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0956E5B9" w:rsidR="004B35F0" w:rsidRDefault="004B35F0" w:rsidP="000B599F">
      <w:pPr>
        <w:ind w:firstLine="720"/>
        <w:jc w:val="both"/>
        <w:rPr>
          <w:rFonts w:ascii="Abadi" w:hAnsi="Abadi"/>
          <w:color w:val="FFFFFF" w:themeColor="background1"/>
          <w:sz w:val="22"/>
          <w:szCs w:val="22"/>
          <w14:textFill>
            <w14:noFill/>
          </w14:textFill>
        </w:rPr>
      </w:pPr>
    </w:p>
    <w:p w14:paraId="65B79B5C" w14:textId="77777777" w:rsidR="00361B4E" w:rsidRPr="00FA1003" w:rsidRDefault="00361B4E" w:rsidP="000B599F">
      <w:pPr>
        <w:ind w:firstLine="720"/>
        <w:jc w:val="both"/>
        <w:rPr>
          <w:rFonts w:ascii="Abadi" w:hAnsi="Abadi"/>
          <w:color w:val="FFFFFF" w:themeColor="background1"/>
          <w:sz w:val="22"/>
          <w:szCs w:val="22"/>
          <w14:textFill>
            <w14:noFill/>
          </w14:textFill>
        </w:rPr>
      </w:pPr>
    </w:p>
    <w:p w14:paraId="59C0928A" w14:textId="66816774" w:rsidR="002463F1" w:rsidRPr="0056537E" w:rsidRDefault="00C402B4" w:rsidP="00BB6CF0">
      <w:pPr>
        <w:ind w:left="720"/>
        <w:jc w:val="both"/>
        <w:rPr>
          <w:rFonts w:ascii="Abadi" w:hAnsi="Abadi"/>
          <w:b/>
          <w:sz w:val="22"/>
          <w:szCs w:val="22"/>
        </w:rPr>
        <w:sectPr w:rsidR="002463F1" w:rsidRPr="0056537E" w:rsidSect="00616111">
          <w:headerReference w:type="even" r:id="rId11"/>
          <w:headerReference w:type="default" r:id="rId12"/>
          <w:footerReference w:type="even" r:id="rId13"/>
          <w:footerReference w:type="default" r:id="rId14"/>
          <w:headerReference w:type="first" r:id="rId15"/>
          <w:footerReference w:type="first" r:id="rId16"/>
          <w:footnotePr>
            <w:pos w:val="beneathText"/>
            <w:numStart w:val="2"/>
          </w:footnotePr>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r>
        <w:rPr>
          <w:rFonts w:ascii="Abadi" w:hAnsi="Abadi"/>
          <w:b/>
          <w:sz w:val="22"/>
          <w:szCs w:val="22"/>
        </w:rPr>
        <w:tab/>
      </w:r>
      <w:r>
        <w:rPr>
          <w:rFonts w:ascii="Abadi" w:hAnsi="Abadi"/>
          <w:b/>
          <w:sz w:val="22"/>
          <w:szCs w:val="22"/>
        </w:rPr>
        <w:tab/>
      </w:r>
      <w:r>
        <w:rPr>
          <w:rFonts w:ascii="Abadi" w:hAnsi="Abadi"/>
          <w:b/>
          <w:sz w:val="22"/>
          <w:szCs w:val="22"/>
        </w:rPr>
        <w:tab/>
      </w:r>
    </w:p>
    <w:p w14:paraId="4BC2908C" w14:textId="139CB4FB"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w:t>
      </w:r>
      <w:r w:rsidR="00615EB6">
        <w:rPr>
          <w:rFonts w:ascii="Abadi" w:hAnsi="Abadi"/>
          <w:b/>
          <w:sz w:val="21"/>
          <w:szCs w:val="21"/>
        </w:rPr>
        <w:t>QUINTA</w:t>
      </w:r>
      <w:r w:rsidRPr="0066249B">
        <w:rPr>
          <w:rFonts w:ascii="Abadi" w:hAnsi="Abadi"/>
          <w:b/>
          <w:sz w:val="21"/>
          <w:szCs w:val="21"/>
        </w:rPr>
        <w:t xml:space="preserve"> LEGISLATURA DEL CONGRESO DEL ESTADO DE GUANAJUATO. </w:t>
      </w:r>
      <w:r w:rsidR="00EB55CD">
        <w:rPr>
          <w:rFonts w:ascii="Abadi" w:hAnsi="Abadi"/>
          <w:b/>
          <w:sz w:val="21"/>
          <w:szCs w:val="21"/>
        </w:rPr>
        <w:t>SESIÓN ORDINARIA</w:t>
      </w:r>
      <w:r w:rsidRPr="0066249B">
        <w:rPr>
          <w:rFonts w:ascii="Abadi" w:hAnsi="Abadi"/>
          <w:b/>
          <w:sz w:val="21"/>
          <w:szCs w:val="21"/>
        </w:rPr>
        <w:t xml:space="preserve">. PRIMER AÑO DE EJERCICIO CONSTITUCIONAL. </w:t>
      </w:r>
      <w:r w:rsidR="000A0B61">
        <w:rPr>
          <w:rFonts w:ascii="Abadi" w:hAnsi="Abadi"/>
          <w:b/>
          <w:sz w:val="21"/>
          <w:szCs w:val="21"/>
        </w:rPr>
        <w:t>SEGUNDO PERIODO</w:t>
      </w:r>
      <w:r w:rsidRPr="0066249B">
        <w:rPr>
          <w:rFonts w:ascii="Abadi" w:hAnsi="Abadi"/>
          <w:b/>
          <w:sz w:val="21"/>
          <w:szCs w:val="21"/>
        </w:rPr>
        <w:t>.</w:t>
      </w:r>
      <w:r w:rsidR="003F20EB">
        <w:rPr>
          <w:rFonts w:ascii="Abadi" w:hAnsi="Abadi"/>
          <w:b/>
          <w:sz w:val="21"/>
          <w:szCs w:val="21"/>
        </w:rPr>
        <w:t xml:space="preserve"> </w:t>
      </w:r>
      <w:r w:rsidR="008836DA">
        <w:rPr>
          <w:rFonts w:ascii="Abadi" w:hAnsi="Abadi"/>
          <w:b/>
          <w:sz w:val="21"/>
          <w:szCs w:val="21"/>
        </w:rPr>
        <w:t xml:space="preserve">PRESIDENCIA DE LA DIPUTADA IRMA LETICIA </w:t>
      </w:r>
      <w:r w:rsidR="00E11DA1">
        <w:rPr>
          <w:rFonts w:ascii="Abadi" w:hAnsi="Abadi"/>
          <w:b/>
          <w:sz w:val="21"/>
          <w:szCs w:val="21"/>
        </w:rPr>
        <w:t>GONZALÉZ SÁNCHEZ.</w:t>
      </w:r>
      <w:r w:rsidR="002C350F">
        <w:rPr>
          <w:rFonts w:ascii="Abadi" w:hAnsi="Abadi"/>
          <w:b/>
          <w:sz w:val="21"/>
          <w:szCs w:val="21"/>
        </w:rPr>
        <w:t xml:space="preserve"> </w:t>
      </w:r>
      <w:r w:rsidR="00732C07">
        <w:rPr>
          <w:rFonts w:ascii="Abadi" w:hAnsi="Abadi"/>
          <w:b/>
          <w:sz w:val="21"/>
          <w:szCs w:val="21"/>
        </w:rPr>
        <w:t>12</w:t>
      </w:r>
      <w:r w:rsidR="00406BF5">
        <w:rPr>
          <w:rFonts w:ascii="Abadi" w:hAnsi="Abadi"/>
          <w:b/>
          <w:sz w:val="21"/>
          <w:szCs w:val="21"/>
        </w:rPr>
        <w:t xml:space="preserve"> </w:t>
      </w:r>
      <w:r w:rsidR="00736CD3">
        <w:rPr>
          <w:rFonts w:ascii="Abadi" w:hAnsi="Abadi"/>
          <w:b/>
          <w:sz w:val="21"/>
          <w:szCs w:val="21"/>
        </w:rPr>
        <w:t xml:space="preserve">DE </w:t>
      </w:r>
      <w:r w:rsidR="00732C07">
        <w:rPr>
          <w:rFonts w:ascii="Abadi" w:hAnsi="Abadi"/>
          <w:b/>
          <w:sz w:val="21"/>
          <w:szCs w:val="21"/>
        </w:rPr>
        <w:t xml:space="preserve">MAYO </w:t>
      </w:r>
      <w:r w:rsidR="0024726D">
        <w:rPr>
          <w:rFonts w:ascii="Abadi" w:hAnsi="Abadi"/>
          <w:b/>
          <w:sz w:val="21"/>
          <w:szCs w:val="21"/>
        </w:rPr>
        <w:t>D</w:t>
      </w:r>
      <w:r w:rsidR="00736CD3">
        <w:rPr>
          <w:rFonts w:ascii="Abadi" w:hAnsi="Abadi"/>
          <w:b/>
          <w:sz w:val="21"/>
          <w:szCs w:val="21"/>
        </w:rPr>
        <w:t>E 202</w:t>
      </w:r>
      <w:r w:rsidR="003F20EB">
        <w:rPr>
          <w:rFonts w:ascii="Abadi" w:hAnsi="Abadi"/>
          <w:b/>
          <w:sz w:val="21"/>
          <w:szCs w:val="21"/>
        </w:rPr>
        <w:t>2</w:t>
      </w:r>
      <w:r w:rsidR="00BE665D">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80AE5">
        <w:rPr>
          <w:rFonts w:ascii="Abadi" w:hAnsi="Abadi"/>
          <w:b/>
          <w:sz w:val="21"/>
          <w:szCs w:val="21"/>
        </w:rPr>
        <w:t>1</w:t>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7D621A7C" w:rsidR="0024733C" w:rsidRDefault="0024733C" w:rsidP="0024733C">
      <w:pPr>
        <w:jc w:val="center"/>
        <w:rPr>
          <w:rFonts w:ascii="Abadi" w:hAnsi="Abadi"/>
          <w:b/>
          <w:sz w:val="21"/>
          <w:szCs w:val="21"/>
        </w:rPr>
      </w:pPr>
      <w:r w:rsidRPr="0066249B">
        <w:rPr>
          <w:rFonts w:ascii="Abadi" w:hAnsi="Abadi"/>
          <w:b/>
          <w:sz w:val="21"/>
          <w:szCs w:val="21"/>
        </w:rPr>
        <w:t>SUMARIO</w:t>
      </w:r>
    </w:p>
    <w:p w14:paraId="379F0214" w14:textId="77777777" w:rsidR="005739F3" w:rsidRDefault="005739F3" w:rsidP="0024733C">
      <w:pPr>
        <w:jc w:val="center"/>
        <w:rPr>
          <w:rFonts w:ascii="Abadi" w:hAnsi="Abadi"/>
          <w:b/>
          <w:sz w:val="21"/>
          <w:szCs w:val="21"/>
        </w:rPr>
      </w:pPr>
    </w:p>
    <w:p w14:paraId="766ABB6D" w14:textId="354689AE" w:rsidR="00257080" w:rsidRDefault="00257080" w:rsidP="005C6EBB">
      <w:pPr>
        <w:pStyle w:val="Prrafodelista"/>
        <w:numPr>
          <w:ilvl w:val="0"/>
          <w:numId w:val="5"/>
        </w:numPr>
        <w:autoSpaceDE w:val="0"/>
        <w:autoSpaceDN w:val="0"/>
        <w:adjustRightInd w:val="0"/>
        <w:ind w:left="851" w:right="567" w:hanging="567"/>
        <w:jc w:val="both"/>
        <w:rPr>
          <w:rFonts w:ascii="Abadi" w:hAnsi="Abadi" w:cs="ArialMT"/>
          <w:b/>
          <w:bCs/>
          <w:sz w:val="21"/>
          <w:szCs w:val="21"/>
        </w:rPr>
      </w:pPr>
      <w:r w:rsidRPr="00257080">
        <w:rPr>
          <w:rFonts w:ascii="Abadi" w:hAnsi="Abadi" w:cs="ArialMT"/>
          <w:b/>
          <w:bCs/>
          <w:sz w:val="21"/>
          <w:szCs w:val="21"/>
        </w:rPr>
        <w:t xml:space="preserve">Lectura y, en su caso, aprobación del orden del día. </w:t>
      </w:r>
    </w:p>
    <w:p w14:paraId="526730ED" w14:textId="431FBDD9" w:rsidR="00E7260A" w:rsidRPr="00E7260A" w:rsidRDefault="00E7260A" w:rsidP="00E7260A">
      <w:pPr>
        <w:ind w:left="2977" w:right="-284" w:firstLine="284"/>
        <w:rPr>
          <w:rFonts w:ascii="Abadi" w:hAnsi="Abadi"/>
          <w:b/>
          <w:bCs/>
          <w:sz w:val="18"/>
          <w:szCs w:val="18"/>
        </w:rPr>
      </w:pPr>
      <w:r w:rsidRPr="00E7260A">
        <w:rPr>
          <w:rFonts w:ascii="Abadi" w:hAnsi="Abadi"/>
          <w:b/>
          <w:bCs/>
          <w:sz w:val="18"/>
          <w:szCs w:val="18"/>
        </w:rPr>
        <w:t>Pág.</w:t>
      </w:r>
      <w:r w:rsidR="005220D8">
        <w:rPr>
          <w:rFonts w:ascii="Abadi" w:hAnsi="Abadi"/>
          <w:b/>
          <w:bCs/>
          <w:sz w:val="18"/>
          <w:szCs w:val="18"/>
        </w:rPr>
        <w:t xml:space="preserve"> </w:t>
      </w:r>
      <w:r w:rsidR="004E121E">
        <w:rPr>
          <w:rFonts w:ascii="Abadi" w:hAnsi="Abadi"/>
          <w:b/>
          <w:bCs/>
          <w:sz w:val="18"/>
          <w:szCs w:val="18"/>
        </w:rPr>
        <w:t>8</w:t>
      </w:r>
    </w:p>
    <w:p w14:paraId="6E1C993F" w14:textId="4766EB8C" w:rsidR="00E7260A" w:rsidRPr="00257080" w:rsidRDefault="00E7260A" w:rsidP="00E7260A">
      <w:pPr>
        <w:pStyle w:val="Prrafodelista"/>
        <w:autoSpaceDE w:val="0"/>
        <w:autoSpaceDN w:val="0"/>
        <w:adjustRightInd w:val="0"/>
        <w:ind w:left="851" w:right="567"/>
        <w:jc w:val="both"/>
        <w:rPr>
          <w:rFonts w:ascii="Abadi" w:hAnsi="Abadi" w:cs="ArialMT"/>
          <w:b/>
          <w:bCs/>
          <w:sz w:val="21"/>
          <w:szCs w:val="21"/>
        </w:rPr>
      </w:pPr>
    </w:p>
    <w:p w14:paraId="1AB7995D" w14:textId="18DCBAF3" w:rsidR="00257080" w:rsidRPr="00257080" w:rsidRDefault="00257080" w:rsidP="005C6EBB">
      <w:pPr>
        <w:pStyle w:val="Prrafodelista"/>
        <w:numPr>
          <w:ilvl w:val="0"/>
          <w:numId w:val="5"/>
        </w:numPr>
        <w:autoSpaceDE w:val="0"/>
        <w:autoSpaceDN w:val="0"/>
        <w:adjustRightInd w:val="0"/>
        <w:ind w:left="851" w:right="567" w:hanging="567"/>
        <w:jc w:val="both"/>
        <w:rPr>
          <w:rFonts w:ascii="Abadi" w:hAnsi="Abadi" w:cs="ArialMT"/>
          <w:b/>
          <w:bCs/>
          <w:sz w:val="21"/>
          <w:szCs w:val="21"/>
        </w:rPr>
      </w:pPr>
      <w:r w:rsidRPr="00257080">
        <w:rPr>
          <w:rFonts w:ascii="Abadi" w:hAnsi="Abadi" w:cs="ArialMT"/>
          <w:b/>
          <w:bCs/>
          <w:sz w:val="21"/>
          <w:szCs w:val="21"/>
        </w:rPr>
        <w:t>Lectura y, en su caso, aprobación del acta de la sesión ordinaria celebrada el 5 de mayo del año en curso.</w:t>
      </w:r>
    </w:p>
    <w:p w14:paraId="108338DD" w14:textId="428996FE" w:rsidR="00257080" w:rsidRDefault="00257080" w:rsidP="00CE791F">
      <w:pPr>
        <w:autoSpaceDE w:val="0"/>
        <w:autoSpaceDN w:val="0"/>
        <w:adjustRightInd w:val="0"/>
        <w:ind w:left="851" w:right="567" w:hanging="567"/>
        <w:jc w:val="both"/>
        <w:rPr>
          <w:rFonts w:ascii="Abadi" w:hAnsi="Abadi" w:cs="Arial-BoldMT"/>
          <w:b/>
          <w:bCs/>
          <w:sz w:val="21"/>
          <w:szCs w:val="21"/>
        </w:rPr>
      </w:pPr>
    </w:p>
    <w:p w14:paraId="44705078" w14:textId="1D7E166D" w:rsidR="00861938" w:rsidRPr="00E7260A" w:rsidRDefault="00861938" w:rsidP="00861938">
      <w:pPr>
        <w:ind w:left="2977" w:right="-284" w:firstLine="284"/>
        <w:rPr>
          <w:rFonts w:ascii="Abadi" w:hAnsi="Abadi"/>
          <w:b/>
          <w:bCs/>
          <w:sz w:val="18"/>
          <w:szCs w:val="18"/>
        </w:rPr>
      </w:pPr>
      <w:r w:rsidRPr="00E7260A">
        <w:rPr>
          <w:rFonts w:ascii="Abadi" w:hAnsi="Abadi"/>
          <w:b/>
          <w:bCs/>
          <w:sz w:val="18"/>
          <w:szCs w:val="18"/>
        </w:rPr>
        <w:t>Pág.</w:t>
      </w:r>
      <w:r>
        <w:rPr>
          <w:rFonts w:ascii="Abadi" w:hAnsi="Abadi"/>
          <w:b/>
          <w:bCs/>
          <w:sz w:val="18"/>
          <w:szCs w:val="18"/>
        </w:rPr>
        <w:t xml:space="preserve"> 1</w:t>
      </w:r>
      <w:r w:rsidR="004E121E">
        <w:rPr>
          <w:rFonts w:ascii="Abadi" w:hAnsi="Abadi"/>
          <w:b/>
          <w:bCs/>
          <w:sz w:val="18"/>
          <w:szCs w:val="18"/>
        </w:rPr>
        <w:t>2</w:t>
      </w:r>
    </w:p>
    <w:p w14:paraId="33725695" w14:textId="77777777" w:rsidR="00861938" w:rsidRPr="00C46026" w:rsidRDefault="00861938" w:rsidP="00CE791F">
      <w:pPr>
        <w:autoSpaceDE w:val="0"/>
        <w:autoSpaceDN w:val="0"/>
        <w:adjustRightInd w:val="0"/>
        <w:ind w:left="851" w:right="567" w:hanging="567"/>
        <w:jc w:val="both"/>
        <w:rPr>
          <w:rFonts w:ascii="Abadi" w:hAnsi="Abadi" w:cs="Arial-BoldMT"/>
          <w:b/>
          <w:bCs/>
          <w:sz w:val="21"/>
          <w:szCs w:val="21"/>
        </w:rPr>
      </w:pPr>
    </w:p>
    <w:p w14:paraId="152932FB" w14:textId="75F87BBE" w:rsidR="00257080" w:rsidRDefault="00257080" w:rsidP="005C6EBB">
      <w:pPr>
        <w:pStyle w:val="Prrafodelista"/>
        <w:numPr>
          <w:ilvl w:val="0"/>
          <w:numId w:val="5"/>
        </w:numPr>
        <w:autoSpaceDE w:val="0"/>
        <w:autoSpaceDN w:val="0"/>
        <w:adjustRightInd w:val="0"/>
        <w:ind w:left="851" w:right="567" w:hanging="567"/>
        <w:jc w:val="both"/>
        <w:rPr>
          <w:rFonts w:ascii="Abadi" w:hAnsi="Abadi" w:cs="ArialMT"/>
          <w:b/>
          <w:bCs/>
          <w:sz w:val="21"/>
          <w:szCs w:val="21"/>
        </w:rPr>
      </w:pPr>
      <w:r w:rsidRPr="00257080">
        <w:rPr>
          <w:rFonts w:ascii="Abadi" w:hAnsi="Abadi" w:cs="ArialMT"/>
          <w:b/>
          <w:bCs/>
          <w:sz w:val="21"/>
          <w:szCs w:val="21"/>
        </w:rPr>
        <w:t>Dar cuenta con las comunicaciones y correspondencia recibidas.</w:t>
      </w:r>
    </w:p>
    <w:p w14:paraId="1411C428" w14:textId="77777777" w:rsidR="00861938" w:rsidRDefault="00861938" w:rsidP="00861938">
      <w:pPr>
        <w:pStyle w:val="Prrafodelista"/>
        <w:ind w:left="720" w:right="-284"/>
        <w:rPr>
          <w:rFonts w:ascii="Abadi" w:hAnsi="Abadi"/>
          <w:b/>
          <w:bCs/>
          <w:sz w:val="18"/>
          <w:szCs w:val="18"/>
        </w:rPr>
      </w:pPr>
    </w:p>
    <w:p w14:paraId="525812FE" w14:textId="77777777" w:rsidR="00861938" w:rsidRDefault="00861938" w:rsidP="00861938">
      <w:pPr>
        <w:pStyle w:val="Prrafodelista"/>
        <w:ind w:left="720" w:right="-284"/>
        <w:rPr>
          <w:rFonts w:ascii="Abadi" w:hAnsi="Abadi"/>
          <w:b/>
          <w:bCs/>
          <w:sz w:val="18"/>
          <w:szCs w:val="18"/>
        </w:rPr>
      </w:pPr>
    </w:p>
    <w:p w14:paraId="410489D7" w14:textId="00D5F07E" w:rsidR="00861938" w:rsidRPr="00861938" w:rsidRDefault="00861938" w:rsidP="00861938">
      <w:pPr>
        <w:pStyle w:val="Prrafodelista"/>
        <w:ind w:left="2844" w:right="-284" w:firstLine="417"/>
        <w:rPr>
          <w:rFonts w:ascii="Abadi" w:hAnsi="Abadi"/>
          <w:b/>
          <w:bCs/>
          <w:sz w:val="18"/>
          <w:szCs w:val="18"/>
        </w:rPr>
      </w:pPr>
      <w:r w:rsidRPr="00861938">
        <w:rPr>
          <w:rFonts w:ascii="Abadi" w:hAnsi="Abadi"/>
          <w:b/>
          <w:bCs/>
          <w:sz w:val="18"/>
          <w:szCs w:val="18"/>
        </w:rPr>
        <w:t xml:space="preserve">Pág. </w:t>
      </w:r>
      <w:r>
        <w:rPr>
          <w:rFonts w:ascii="Abadi" w:hAnsi="Abadi"/>
          <w:b/>
          <w:bCs/>
          <w:sz w:val="18"/>
          <w:szCs w:val="18"/>
        </w:rPr>
        <w:t>2</w:t>
      </w:r>
      <w:r w:rsidR="004E121E">
        <w:rPr>
          <w:rFonts w:ascii="Abadi" w:hAnsi="Abadi"/>
          <w:b/>
          <w:bCs/>
          <w:sz w:val="18"/>
          <w:szCs w:val="18"/>
        </w:rPr>
        <w:t>1</w:t>
      </w:r>
    </w:p>
    <w:p w14:paraId="68957F9A" w14:textId="77777777" w:rsidR="00257080" w:rsidRPr="00C46026" w:rsidRDefault="00257080" w:rsidP="00CE791F">
      <w:pPr>
        <w:autoSpaceDE w:val="0"/>
        <w:autoSpaceDN w:val="0"/>
        <w:adjustRightInd w:val="0"/>
        <w:ind w:left="851" w:right="567" w:hanging="567"/>
        <w:jc w:val="both"/>
        <w:rPr>
          <w:rFonts w:ascii="Abadi" w:hAnsi="Abadi" w:cs="Arial-BoldMT"/>
          <w:b/>
          <w:bCs/>
          <w:sz w:val="21"/>
          <w:szCs w:val="21"/>
        </w:rPr>
      </w:pPr>
    </w:p>
    <w:p w14:paraId="0DFEED5A" w14:textId="0AE6696E" w:rsidR="00257080" w:rsidRDefault="00257080" w:rsidP="005C6EBB">
      <w:pPr>
        <w:pStyle w:val="Prrafodelista"/>
        <w:numPr>
          <w:ilvl w:val="0"/>
          <w:numId w:val="5"/>
        </w:numPr>
        <w:autoSpaceDE w:val="0"/>
        <w:autoSpaceDN w:val="0"/>
        <w:adjustRightInd w:val="0"/>
        <w:ind w:left="851" w:right="567" w:hanging="425"/>
        <w:jc w:val="both"/>
        <w:rPr>
          <w:rFonts w:ascii="Abadi" w:hAnsi="Abadi" w:cs="ArialMT"/>
          <w:b/>
          <w:bCs/>
          <w:sz w:val="21"/>
          <w:szCs w:val="21"/>
        </w:rPr>
      </w:pPr>
      <w:r w:rsidRPr="00CE791F">
        <w:rPr>
          <w:rFonts w:ascii="Abadi" w:hAnsi="Abadi" w:cs="ArialMT"/>
          <w:b/>
          <w:bCs/>
          <w:sz w:val="21"/>
          <w:szCs w:val="21"/>
        </w:rPr>
        <w:t xml:space="preserve">Presentación de la iniciativa formulada por la diputada Hades Berenice Aguilar Castillo integrante del Grupo Parlamentario del Partido MORENA a efecto de reformar el artículo 171; adicionar la </w:t>
      </w:r>
      <w:r w:rsidRPr="00CE791F">
        <w:rPr>
          <w:rFonts w:ascii="Abadi" w:hAnsi="Abadi" w:cs="ArialMT"/>
          <w:b/>
          <w:bCs/>
          <w:sz w:val="21"/>
          <w:szCs w:val="21"/>
        </w:rPr>
        <w:t>fracción IX al artículo 59, recorriéndose en su orden las subsecuentes; y derogar el artículo 169 de</w:t>
      </w:r>
      <w:r w:rsidR="00CE791F" w:rsidRPr="00CE791F">
        <w:rPr>
          <w:rFonts w:ascii="Abadi" w:hAnsi="Abadi" w:cs="ArialMT"/>
          <w:b/>
          <w:bCs/>
          <w:sz w:val="21"/>
          <w:szCs w:val="21"/>
        </w:rPr>
        <w:t xml:space="preserve"> </w:t>
      </w:r>
      <w:r w:rsidRPr="00CE791F">
        <w:rPr>
          <w:rFonts w:ascii="Abadi" w:hAnsi="Abadi" w:cs="ArialMT"/>
          <w:b/>
          <w:bCs/>
          <w:sz w:val="21"/>
          <w:szCs w:val="21"/>
        </w:rPr>
        <w:t>la Ley Orgánica del Poder Legislativo del Estado de Guanajuato.</w:t>
      </w:r>
    </w:p>
    <w:p w14:paraId="7B3FFEAF" w14:textId="0FF5D552" w:rsidR="00861938" w:rsidRDefault="00861938" w:rsidP="00861938">
      <w:pPr>
        <w:pStyle w:val="Prrafodelista"/>
        <w:ind w:left="3261" w:right="-284"/>
        <w:rPr>
          <w:rFonts w:ascii="Abadi" w:hAnsi="Abadi"/>
          <w:b/>
          <w:bCs/>
          <w:sz w:val="18"/>
          <w:szCs w:val="18"/>
        </w:rPr>
      </w:pPr>
      <w:r w:rsidRPr="00861938">
        <w:rPr>
          <w:rFonts w:ascii="Abadi" w:hAnsi="Abadi"/>
          <w:b/>
          <w:bCs/>
          <w:sz w:val="18"/>
          <w:szCs w:val="18"/>
        </w:rPr>
        <w:t xml:space="preserve">Pág. </w:t>
      </w:r>
      <w:r w:rsidR="004E121E">
        <w:rPr>
          <w:rFonts w:ascii="Abadi" w:hAnsi="Abadi"/>
          <w:b/>
          <w:bCs/>
          <w:sz w:val="18"/>
          <w:szCs w:val="18"/>
        </w:rPr>
        <w:t>30</w:t>
      </w:r>
    </w:p>
    <w:p w14:paraId="45B85DCF" w14:textId="77777777" w:rsidR="00861938" w:rsidRDefault="00861938" w:rsidP="00861938">
      <w:pPr>
        <w:pStyle w:val="Prrafodelista"/>
        <w:ind w:left="851" w:right="566"/>
        <w:rPr>
          <w:rFonts w:ascii="Abadi" w:hAnsi="Abadi"/>
          <w:b/>
          <w:bCs/>
          <w:sz w:val="18"/>
          <w:szCs w:val="18"/>
        </w:rPr>
      </w:pPr>
    </w:p>
    <w:p w14:paraId="0B40B971" w14:textId="11E88A68" w:rsidR="00861938" w:rsidRPr="006779BC" w:rsidRDefault="00861938" w:rsidP="006779BC">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w:t>
      </w:r>
      <w:r w:rsidR="006779BC" w:rsidRPr="006779BC">
        <w:rPr>
          <w:rFonts w:ascii="Abadi" w:hAnsi="Abadi" w:cs="ArialMT"/>
          <w:b/>
          <w:bCs/>
          <w:sz w:val="21"/>
          <w:szCs w:val="21"/>
        </w:rPr>
        <w:t xml:space="preserve">para presentar la iniciativa en referencia </w:t>
      </w:r>
      <w:r w:rsidRPr="006779BC">
        <w:rPr>
          <w:rFonts w:ascii="Abadi" w:hAnsi="Abadi" w:cs="ArialMT"/>
          <w:b/>
          <w:bCs/>
          <w:sz w:val="21"/>
          <w:szCs w:val="21"/>
        </w:rPr>
        <w:t xml:space="preserve">la diputada Hades Berenice Aguilar Castillo) </w:t>
      </w:r>
    </w:p>
    <w:p w14:paraId="7FB06F36" w14:textId="77777777" w:rsidR="00861938" w:rsidRPr="00861938" w:rsidRDefault="00861938" w:rsidP="00861938">
      <w:pPr>
        <w:pStyle w:val="Prrafodelista"/>
        <w:ind w:left="3261" w:right="-284"/>
        <w:rPr>
          <w:rFonts w:ascii="Abadi" w:hAnsi="Abadi"/>
          <w:b/>
          <w:bCs/>
          <w:sz w:val="18"/>
          <w:szCs w:val="18"/>
        </w:rPr>
      </w:pPr>
    </w:p>
    <w:p w14:paraId="3496060C" w14:textId="035AC11D" w:rsidR="00861938" w:rsidRDefault="00861938" w:rsidP="00861938">
      <w:pPr>
        <w:pStyle w:val="Prrafodelista"/>
        <w:ind w:left="3261" w:right="-284"/>
        <w:rPr>
          <w:rFonts w:ascii="Abadi" w:hAnsi="Abadi"/>
          <w:b/>
          <w:bCs/>
          <w:sz w:val="18"/>
          <w:szCs w:val="18"/>
        </w:rPr>
      </w:pPr>
      <w:r w:rsidRPr="00861938">
        <w:rPr>
          <w:rFonts w:ascii="Abadi" w:hAnsi="Abadi"/>
          <w:b/>
          <w:bCs/>
          <w:sz w:val="18"/>
          <w:szCs w:val="18"/>
        </w:rPr>
        <w:t xml:space="preserve">Pág. </w:t>
      </w:r>
      <w:r>
        <w:rPr>
          <w:rFonts w:ascii="Abadi" w:hAnsi="Abadi"/>
          <w:b/>
          <w:bCs/>
          <w:sz w:val="18"/>
          <w:szCs w:val="18"/>
        </w:rPr>
        <w:t>3</w:t>
      </w:r>
      <w:r w:rsidR="004E121E">
        <w:rPr>
          <w:rFonts w:ascii="Abadi" w:hAnsi="Abadi"/>
          <w:b/>
          <w:bCs/>
          <w:sz w:val="18"/>
          <w:szCs w:val="18"/>
        </w:rPr>
        <w:t>2</w:t>
      </w:r>
    </w:p>
    <w:p w14:paraId="44675051" w14:textId="77777777" w:rsidR="00861938" w:rsidRPr="00861938" w:rsidRDefault="00861938" w:rsidP="00861938">
      <w:pPr>
        <w:autoSpaceDE w:val="0"/>
        <w:autoSpaceDN w:val="0"/>
        <w:adjustRightInd w:val="0"/>
        <w:ind w:right="567"/>
        <w:jc w:val="both"/>
        <w:rPr>
          <w:rFonts w:ascii="Abadi" w:hAnsi="Abadi" w:cs="ArialMT"/>
          <w:b/>
          <w:bCs/>
          <w:sz w:val="21"/>
          <w:szCs w:val="21"/>
        </w:rPr>
      </w:pPr>
    </w:p>
    <w:p w14:paraId="5DCEF806" w14:textId="2A8DE56D"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46537B">
        <w:rPr>
          <w:rFonts w:ascii="Abadi" w:hAnsi="Abadi" w:cs="ArialMT"/>
          <w:b/>
          <w:bCs/>
          <w:sz w:val="21"/>
          <w:szCs w:val="21"/>
        </w:rPr>
        <w:t>Presentación de la iniciativa de Ley de Educación Superior para el Estado de Guanajuato suscrita por diputadas y diputados integrantes del Grupo Parlamentario del Partido Acción Nacional.</w:t>
      </w:r>
    </w:p>
    <w:p w14:paraId="08813AF0" w14:textId="60BECBCC" w:rsidR="006779BC" w:rsidRDefault="006779BC" w:rsidP="006779BC">
      <w:pPr>
        <w:pStyle w:val="Prrafodelista"/>
        <w:ind w:left="720" w:right="-284"/>
        <w:rPr>
          <w:rFonts w:ascii="Abadi" w:hAnsi="Abadi"/>
          <w:b/>
          <w:bCs/>
          <w:sz w:val="18"/>
          <w:szCs w:val="18"/>
        </w:rPr>
      </w:pPr>
    </w:p>
    <w:p w14:paraId="129D3D4F" w14:textId="77777777" w:rsidR="006779BC" w:rsidRDefault="006779BC" w:rsidP="006779BC">
      <w:pPr>
        <w:pStyle w:val="Prrafodelista"/>
        <w:ind w:left="720" w:right="-284"/>
        <w:rPr>
          <w:rFonts w:ascii="Abadi" w:hAnsi="Abadi"/>
          <w:b/>
          <w:bCs/>
          <w:sz w:val="18"/>
          <w:szCs w:val="18"/>
        </w:rPr>
      </w:pPr>
    </w:p>
    <w:p w14:paraId="650AD182" w14:textId="19E1E879" w:rsidR="006779BC" w:rsidRDefault="006779BC" w:rsidP="006779BC">
      <w:pPr>
        <w:ind w:left="3261" w:right="-284"/>
        <w:rPr>
          <w:rFonts w:ascii="Abadi" w:hAnsi="Abadi"/>
          <w:b/>
          <w:bCs/>
          <w:sz w:val="18"/>
          <w:szCs w:val="18"/>
        </w:rPr>
      </w:pPr>
      <w:r w:rsidRPr="006779BC">
        <w:rPr>
          <w:rFonts w:ascii="Abadi" w:hAnsi="Abadi"/>
          <w:b/>
          <w:bCs/>
          <w:sz w:val="18"/>
          <w:szCs w:val="18"/>
        </w:rPr>
        <w:t xml:space="preserve">Pág. </w:t>
      </w:r>
      <w:r w:rsidR="00B72391">
        <w:rPr>
          <w:rFonts w:ascii="Abadi" w:hAnsi="Abadi"/>
          <w:b/>
          <w:bCs/>
          <w:sz w:val="18"/>
          <w:szCs w:val="18"/>
        </w:rPr>
        <w:t>3</w:t>
      </w:r>
      <w:r w:rsidR="004E121E">
        <w:rPr>
          <w:rFonts w:ascii="Abadi" w:hAnsi="Abadi"/>
          <w:b/>
          <w:bCs/>
          <w:sz w:val="18"/>
          <w:szCs w:val="18"/>
        </w:rPr>
        <w:t>4</w:t>
      </w:r>
    </w:p>
    <w:p w14:paraId="64B14AA7" w14:textId="1F37EEFB" w:rsidR="00B72391" w:rsidRDefault="00B72391" w:rsidP="006779BC">
      <w:pPr>
        <w:ind w:left="3261" w:right="-284"/>
        <w:rPr>
          <w:rFonts w:ascii="Abadi" w:hAnsi="Abadi"/>
          <w:b/>
          <w:bCs/>
          <w:sz w:val="18"/>
          <w:szCs w:val="18"/>
        </w:rPr>
      </w:pPr>
    </w:p>
    <w:p w14:paraId="7C18F392" w14:textId="35D6DAC7" w:rsidR="00B72391" w:rsidRPr="006779BC" w:rsidRDefault="00B72391" w:rsidP="00B72391">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para presentar la iniciativa en referencia </w:t>
      </w:r>
      <w:r>
        <w:rPr>
          <w:rFonts w:ascii="Abadi" w:hAnsi="Abadi" w:cs="ArialMT"/>
          <w:b/>
          <w:bCs/>
          <w:sz w:val="21"/>
          <w:szCs w:val="21"/>
        </w:rPr>
        <w:t>el diputado Aldo Iván  Becerra</w:t>
      </w:r>
      <w:r w:rsidRPr="006779BC">
        <w:rPr>
          <w:rFonts w:ascii="Abadi" w:hAnsi="Abadi" w:cs="ArialMT"/>
          <w:b/>
          <w:bCs/>
          <w:sz w:val="21"/>
          <w:szCs w:val="21"/>
        </w:rPr>
        <w:t xml:space="preserve">) </w:t>
      </w:r>
    </w:p>
    <w:p w14:paraId="3FD7C7DC" w14:textId="541B10FF" w:rsidR="00B72391" w:rsidRDefault="00B72391" w:rsidP="006779BC">
      <w:pPr>
        <w:ind w:left="3261" w:right="-284"/>
        <w:rPr>
          <w:rFonts w:ascii="Abadi" w:hAnsi="Abadi"/>
          <w:b/>
          <w:bCs/>
          <w:sz w:val="18"/>
          <w:szCs w:val="18"/>
        </w:rPr>
      </w:pPr>
    </w:p>
    <w:p w14:paraId="2D67EAD1" w14:textId="77777777" w:rsidR="00B72391" w:rsidRDefault="00B72391" w:rsidP="006779BC">
      <w:pPr>
        <w:ind w:left="3261" w:right="-284"/>
        <w:rPr>
          <w:rFonts w:ascii="Abadi" w:hAnsi="Abadi"/>
          <w:b/>
          <w:bCs/>
          <w:sz w:val="18"/>
          <w:szCs w:val="18"/>
        </w:rPr>
      </w:pPr>
    </w:p>
    <w:p w14:paraId="46B8162F" w14:textId="6B897CA6" w:rsidR="00B72391" w:rsidRPr="006779BC" w:rsidRDefault="00B72391" w:rsidP="00B72391">
      <w:pPr>
        <w:ind w:left="3261" w:right="-284"/>
        <w:rPr>
          <w:rFonts w:ascii="Abadi" w:hAnsi="Abadi"/>
          <w:b/>
          <w:bCs/>
          <w:sz w:val="18"/>
          <w:szCs w:val="18"/>
        </w:rPr>
      </w:pPr>
      <w:r w:rsidRPr="006779BC">
        <w:rPr>
          <w:rFonts w:ascii="Abadi" w:hAnsi="Abadi"/>
          <w:b/>
          <w:bCs/>
          <w:sz w:val="18"/>
          <w:szCs w:val="18"/>
        </w:rPr>
        <w:t xml:space="preserve">Pág. </w:t>
      </w:r>
      <w:r>
        <w:rPr>
          <w:rFonts w:ascii="Abadi" w:hAnsi="Abadi"/>
          <w:b/>
          <w:bCs/>
          <w:sz w:val="18"/>
          <w:szCs w:val="18"/>
        </w:rPr>
        <w:t>8</w:t>
      </w:r>
      <w:r w:rsidR="004E121E">
        <w:rPr>
          <w:rFonts w:ascii="Abadi" w:hAnsi="Abadi"/>
          <w:b/>
          <w:bCs/>
          <w:sz w:val="18"/>
          <w:szCs w:val="18"/>
        </w:rPr>
        <w:t>3</w:t>
      </w:r>
    </w:p>
    <w:p w14:paraId="417BD571" w14:textId="77777777" w:rsidR="00B72391" w:rsidRPr="006779BC" w:rsidRDefault="00B72391" w:rsidP="006779BC">
      <w:pPr>
        <w:ind w:left="3261" w:right="-284"/>
        <w:rPr>
          <w:rFonts w:ascii="Abadi" w:hAnsi="Abadi"/>
          <w:b/>
          <w:bCs/>
          <w:sz w:val="18"/>
          <w:szCs w:val="18"/>
        </w:rPr>
      </w:pPr>
    </w:p>
    <w:p w14:paraId="680DDF49" w14:textId="77777777" w:rsidR="00257080" w:rsidRPr="00C46026" w:rsidRDefault="00257080" w:rsidP="00257080">
      <w:pPr>
        <w:autoSpaceDE w:val="0"/>
        <w:autoSpaceDN w:val="0"/>
        <w:adjustRightInd w:val="0"/>
        <w:jc w:val="both"/>
        <w:rPr>
          <w:rFonts w:ascii="Abadi" w:hAnsi="Abadi" w:cs="Arial-BoldMT"/>
          <w:b/>
          <w:bCs/>
          <w:sz w:val="21"/>
          <w:szCs w:val="21"/>
        </w:rPr>
      </w:pPr>
    </w:p>
    <w:p w14:paraId="773BDCF1" w14:textId="35C34148" w:rsidR="00257080" w:rsidRDefault="00257080" w:rsidP="005C6EBB">
      <w:pPr>
        <w:pStyle w:val="Prrafodelista"/>
        <w:numPr>
          <w:ilvl w:val="0"/>
          <w:numId w:val="5"/>
        </w:numPr>
        <w:autoSpaceDE w:val="0"/>
        <w:autoSpaceDN w:val="0"/>
        <w:adjustRightInd w:val="0"/>
        <w:ind w:left="851" w:right="471"/>
        <w:jc w:val="both"/>
        <w:rPr>
          <w:rFonts w:ascii="Abadi" w:hAnsi="Abadi" w:cs="ArialMT"/>
          <w:b/>
          <w:bCs/>
          <w:sz w:val="21"/>
          <w:szCs w:val="21"/>
        </w:rPr>
      </w:pPr>
      <w:r w:rsidRPr="0046537B">
        <w:rPr>
          <w:rFonts w:ascii="Abadi" w:hAnsi="Abadi" w:cs="ArialMT"/>
          <w:b/>
          <w:bCs/>
          <w:sz w:val="21"/>
          <w:szCs w:val="21"/>
        </w:rPr>
        <w:t xml:space="preserve">Presentación de la iniciativa formulada por diputada y diputados integrantes del </w:t>
      </w:r>
      <w:r w:rsidRPr="0046537B">
        <w:rPr>
          <w:rFonts w:ascii="Abadi" w:hAnsi="Abadi" w:cs="ArialMT"/>
          <w:b/>
          <w:bCs/>
          <w:sz w:val="21"/>
          <w:szCs w:val="21"/>
        </w:rPr>
        <w:lastRenderedPageBreak/>
        <w:t>Grupo Parlamentario del Partido Revolucionario Institucional por la que se adiciona un párrafo al artículo 1 de la Constitución Política para el Estado de Guanajuato.</w:t>
      </w:r>
    </w:p>
    <w:p w14:paraId="4EA304A5" w14:textId="77777777" w:rsidR="00962F7F" w:rsidRDefault="00962F7F" w:rsidP="00A60217">
      <w:pPr>
        <w:pStyle w:val="Prrafodelista"/>
        <w:ind w:left="3261" w:right="-284"/>
        <w:rPr>
          <w:rFonts w:ascii="Abadi" w:hAnsi="Abadi"/>
          <w:b/>
          <w:bCs/>
          <w:sz w:val="18"/>
          <w:szCs w:val="18"/>
        </w:rPr>
      </w:pPr>
    </w:p>
    <w:p w14:paraId="0888B985" w14:textId="1B2789CF" w:rsidR="00A60217" w:rsidRDefault="00A60217" w:rsidP="00A60217">
      <w:pPr>
        <w:pStyle w:val="Prrafodelista"/>
        <w:ind w:left="3261" w:right="-284"/>
        <w:rPr>
          <w:rFonts w:ascii="Abadi" w:hAnsi="Abadi"/>
          <w:b/>
          <w:bCs/>
          <w:sz w:val="18"/>
          <w:szCs w:val="18"/>
        </w:rPr>
      </w:pPr>
      <w:r w:rsidRPr="00A60217">
        <w:rPr>
          <w:rFonts w:ascii="Abadi" w:hAnsi="Abadi"/>
          <w:b/>
          <w:bCs/>
          <w:sz w:val="18"/>
          <w:szCs w:val="18"/>
        </w:rPr>
        <w:t xml:space="preserve">Pág. </w:t>
      </w:r>
      <w:r w:rsidR="00962F7F">
        <w:rPr>
          <w:rFonts w:ascii="Abadi" w:hAnsi="Abadi"/>
          <w:b/>
          <w:bCs/>
          <w:sz w:val="18"/>
          <w:szCs w:val="18"/>
        </w:rPr>
        <w:t>8</w:t>
      </w:r>
      <w:r w:rsidR="004E121E">
        <w:rPr>
          <w:rFonts w:ascii="Abadi" w:hAnsi="Abadi"/>
          <w:b/>
          <w:bCs/>
          <w:sz w:val="18"/>
          <w:szCs w:val="18"/>
        </w:rPr>
        <w:t>5</w:t>
      </w:r>
    </w:p>
    <w:p w14:paraId="05DFC8A4" w14:textId="77777777" w:rsidR="00962F7F" w:rsidRDefault="00962F7F" w:rsidP="00A60217">
      <w:pPr>
        <w:pStyle w:val="Prrafodelista"/>
        <w:ind w:left="3261" w:right="-284"/>
        <w:rPr>
          <w:rFonts w:ascii="Abadi" w:hAnsi="Abadi"/>
          <w:b/>
          <w:bCs/>
          <w:sz w:val="18"/>
          <w:szCs w:val="18"/>
        </w:rPr>
      </w:pPr>
    </w:p>
    <w:p w14:paraId="0FEC944C" w14:textId="45E4BAB0" w:rsidR="00962F7F" w:rsidRPr="006779BC" w:rsidRDefault="00962F7F" w:rsidP="00962F7F">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para presentar la iniciativa en referencia </w:t>
      </w:r>
      <w:r>
        <w:rPr>
          <w:rFonts w:ascii="Abadi" w:hAnsi="Abadi" w:cs="ArialMT"/>
          <w:b/>
          <w:bCs/>
          <w:sz w:val="21"/>
          <w:szCs w:val="21"/>
        </w:rPr>
        <w:t>la diputada Ruth Noemí Tiscareño Agoitia)</w:t>
      </w:r>
      <w:r w:rsidRPr="006779BC">
        <w:rPr>
          <w:rFonts w:ascii="Abadi" w:hAnsi="Abadi" w:cs="ArialMT"/>
          <w:b/>
          <w:bCs/>
          <w:sz w:val="21"/>
          <w:szCs w:val="21"/>
        </w:rPr>
        <w:t xml:space="preserve"> </w:t>
      </w:r>
    </w:p>
    <w:p w14:paraId="7B459B51" w14:textId="386471BB" w:rsidR="00962F7F" w:rsidRDefault="00962F7F" w:rsidP="00A60217">
      <w:pPr>
        <w:pStyle w:val="Prrafodelista"/>
        <w:ind w:left="3261" w:right="-284"/>
        <w:rPr>
          <w:rFonts w:ascii="Abadi" w:hAnsi="Abadi"/>
          <w:b/>
          <w:bCs/>
          <w:sz w:val="18"/>
          <w:szCs w:val="18"/>
        </w:rPr>
      </w:pPr>
    </w:p>
    <w:p w14:paraId="45285377" w14:textId="7CE37E1D" w:rsidR="00962F7F" w:rsidRPr="00A60217" w:rsidRDefault="00962F7F" w:rsidP="00962F7F">
      <w:pPr>
        <w:pStyle w:val="Prrafodelista"/>
        <w:ind w:left="3261" w:right="-284"/>
        <w:rPr>
          <w:rFonts w:ascii="Abadi" w:hAnsi="Abadi"/>
          <w:b/>
          <w:bCs/>
          <w:sz w:val="18"/>
          <w:szCs w:val="18"/>
        </w:rPr>
      </w:pPr>
      <w:r w:rsidRPr="00A60217">
        <w:rPr>
          <w:rFonts w:ascii="Abadi" w:hAnsi="Abadi"/>
          <w:b/>
          <w:bCs/>
          <w:sz w:val="18"/>
          <w:szCs w:val="18"/>
        </w:rPr>
        <w:t xml:space="preserve">Pág. </w:t>
      </w:r>
      <w:r w:rsidR="004E121E">
        <w:rPr>
          <w:rFonts w:ascii="Abadi" w:hAnsi="Abadi"/>
          <w:b/>
          <w:bCs/>
          <w:sz w:val="18"/>
          <w:szCs w:val="18"/>
        </w:rPr>
        <w:t>90</w:t>
      </w:r>
    </w:p>
    <w:p w14:paraId="006BDDCB" w14:textId="77777777" w:rsidR="00962F7F" w:rsidRPr="00A60217" w:rsidRDefault="00962F7F" w:rsidP="00A60217">
      <w:pPr>
        <w:pStyle w:val="Prrafodelista"/>
        <w:ind w:left="3261" w:right="-284"/>
        <w:rPr>
          <w:rFonts w:ascii="Abadi" w:hAnsi="Abadi"/>
          <w:b/>
          <w:bCs/>
          <w:sz w:val="18"/>
          <w:szCs w:val="18"/>
        </w:rPr>
      </w:pPr>
    </w:p>
    <w:p w14:paraId="4E97F932" w14:textId="77777777" w:rsidR="00257080" w:rsidRPr="00C46026" w:rsidRDefault="00257080" w:rsidP="001C7A6A">
      <w:pPr>
        <w:autoSpaceDE w:val="0"/>
        <w:autoSpaceDN w:val="0"/>
        <w:adjustRightInd w:val="0"/>
        <w:ind w:left="851" w:right="471"/>
        <w:jc w:val="both"/>
        <w:rPr>
          <w:rFonts w:ascii="Abadi" w:hAnsi="Abadi" w:cs="Arial-BoldMT"/>
          <w:b/>
          <w:bCs/>
          <w:sz w:val="21"/>
          <w:szCs w:val="21"/>
        </w:rPr>
      </w:pPr>
    </w:p>
    <w:p w14:paraId="373FBF84" w14:textId="5D5AE182" w:rsidR="00257080" w:rsidRDefault="00257080" w:rsidP="005C6EBB">
      <w:pPr>
        <w:pStyle w:val="Prrafodelista"/>
        <w:numPr>
          <w:ilvl w:val="0"/>
          <w:numId w:val="5"/>
        </w:numPr>
        <w:autoSpaceDE w:val="0"/>
        <w:autoSpaceDN w:val="0"/>
        <w:adjustRightInd w:val="0"/>
        <w:ind w:left="851" w:right="471"/>
        <w:jc w:val="both"/>
        <w:rPr>
          <w:rFonts w:ascii="Abadi" w:hAnsi="Abadi" w:cs="ArialMT"/>
          <w:b/>
          <w:bCs/>
          <w:sz w:val="21"/>
          <w:szCs w:val="21"/>
        </w:rPr>
      </w:pPr>
      <w:r w:rsidRPr="0046537B">
        <w:rPr>
          <w:rFonts w:ascii="Abadi" w:hAnsi="Abadi" w:cs="ArialMT"/>
          <w:b/>
          <w:bCs/>
          <w:sz w:val="21"/>
          <w:szCs w:val="21"/>
        </w:rPr>
        <w:t>Presentación de la iniciativa signada por diputada y diputados integrantes del Grupo Parlamentario del Partido Revolucionario Institucional a efecto de reformar el artículo 2890 del Código Civil para el Estado de Guanajuato.</w:t>
      </w:r>
    </w:p>
    <w:p w14:paraId="07B9156E" w14:textId="77777777" w:rsidR="00A60217" w:rsidRDefault="00A60217" w:rsidP="00A60217">
      <w:pPr>
        <w:pStyle w:val="Prrafodelista"/>
        <w:ind w:left="720" w:right="-284"/>
        <w:rPr>
          <w:rFonts w:ascii="Abadi" w:hAnsi="Abadi"/>
          <w:b/>
          <w:bCs/>
          <w:sz w:val="18"/>
          <w:szCs w:val="18"/>
        </w:rPr>
      </w:pPr>
    </w:p>
    <w:p w14:paraId="79F260C2" w14:textId="3F8B9AEB" w:rsidR="00A60217" w:rsidRDefault="00A60217" w:rsidP="00A60217">
      <w:pPr>
        <w:pStyle w:val="Prrafodelista"/>
        <w:ind w:left="3261" w:right="-284"/>
        <w:rPr>
          <w:rFonts w:ascii="Abadi" w:hAnsi="Abadi"/>
          <w:b/>
          <w:bCs/>
          <w:sz w:val="18"/>
          <w:szCs w:val="18"/>
        </w:rPr>
      </w:pPr>
      <w:r w:rsidRPr="00A60217">
        <w:rPr>
          <w:rFonts w:ascii="Abadi" w:hAnsi="Abadi"/>
          <w:b/>
          <w:bCs/>
          <w:sz w:val="18"/>
          <w:szCs w:val="18"/>
        </w:rPr>
        <w:t xml:space="preserve">Pág. </w:t>
      </w:r>
      <w:r w:rsidR="00146DFB">
        <w:rPr>
          <w:rFonts w:ascii="Abadi" w:hAnsi="Abadi"/>
          <w:b/>
          <w:bCs/>
          <w:sz w:val="18"/>
          <w:szCs w:val="18"/>
        </w:rPr>
        <w:t>9</w:t>
      </w:r>
      <w:r w:rsidR="004E121E">
        <w:rPr>
          <w:rFonts w:ascii="Abadi" w:hAnsi="Abadi"/>
          <w:b/>
          <w:bCs/>
          <w:sz w:val="18"/>
          <w:szCs w:val="18"/>
        </w:rPr>
        <w:t>2</w:t>
      </w:r>
    </w:p>
    <w:p w14:paraId="4403F1D2" w14:textId="77777777" w:rsidR="00146DFB" w:rsidRPr="00A60217" w:rsidRDefault="00146DFB" w:rsidP="00A60217">
      <w:pPr>
        <w:pStyle w:val="Prrafodelista"/>
        <w:ind w:left="3261" w:right="-284"/>
        <w:rPr>
          <w:rFonts w:ascii="Abadi" w:hAnsi="Abadi"/>
          <w:b/>
          <w:bCs/>
          <w:sz w:val="18"/>
          <w:szCs w:val="18"/>
        </w:rPr>
      </w:pPr>
    </w:p>
    <w:p w14:paraId="1858CA2E" w14:textId="109DBAB6" w:rsidR="00146DFB" w:rsidRPr="006779BC" w:rsidRDefault="00146DFB" w:rsidP="00146DFB">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para presentar la iniciativa en referencia </w:t>
      </w:r>
      <w:r>
        <w:rPr>
          <w:rFonts w:ascii="Abadi" w:hAnsi="Abadi" w:cs="ArialMT"/>
          <w:b/>
          <w:bCs/>
          <w:sz w:val="21"/>
          <w:szCs w:val="21"/>
        </w:rPr>
        <w:t xml:space="preserve">el diputado Gustavo </w:t>
      </w:r>
      <w:r w:rsidRPr="00146DFB">
        <w:rPr>
          <w:rFonts w:ascii="Abadi" w:hAnsi="Abadi" w:cs="ArialMT"/>
          <w:b/>
          <w:bCs/>
          <w:sz w:val="21"/>
          <w:szCs w:val="21"/>
        </w:rPr>
        <w:t>Adolfo Alfaro Reyes</w:t>
      </w:r>
      <w:r>
        <w:rPr>
          <w:rFonts w:ascii="Abadi" w:hAnsi="Abadi" w:cs="ArialMT"/>
          <w:b/>
          <w:bCs/>
          <w:sz w:val="21"/>
          <w:szCs w:val="21"/>
        </w:rPr>
        <w:t>)</w:t>
      </w:r>
      <w:r w:rsidRPr="006779BC">
        <w:rPr>
          <w:rFonts w:ascii="Abadi" w:hAnsi="Abadi" w:cs="ArialMT"/>
          <w:b/>
          <w:bCs/>
          <w:sz w:val="21"/>
          <w:szCs w:val="21"/>
        </w:rPr>
        <w:t xml:space="preserve"> </w:t>
      </w:r>
    </w:p>
    <w:p w14:paraId="028A161E" w14:textId="77777777" w:rsidR="00A60217" w:rsidRPr="00A60217" w:rsidRDefault="00A60217" w:rsidP="00A60217">
      <w:pPr>
        <w:autoSpaceDE w:val="0"/>
        <w:autoSpaceDN w:val="0"/>
        <w:adjustRightInd w:val="0"/>
        <w:ind w:right="471"/>
        <w:jc w:val="both"/>
        <w:rPr>
          <w:rFonts w:ascii="Abadi" w:hAnsi="Abadi" w:cs="ArialMT"/>
          <w:b/>
          <w:bCs/>
          <w:sz w:val="21"/>
          <w:szCs w:val="21"/>
        </w:rPr>
      </w:pPr>
    </w:p>
    <w:p w14:paraId="39F6FC7B" w14:textId="5E92B2F6" w:rsidR="00146DFB" w:rsidRPr="00A60217" w:rsidRDefault="00146DFB" w:rsidP="00146DFB">
      <w:pPr>
        <w:pStyle w:val="Prrafodelista"/>
        <w:ind w:left="3261" w:right="-284"/>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 xml:space="preserve"> </w:t>
      </w:r>
      <w:r w:rsidR="004E121E">
        <w:rPr>
          <w:rFonts w:ascii="Abadi" w:hAnsi="Abadi"/>
          <w:b/>
          <w:bCs/>
          <w:sz w:val="18"/>
          <w:szCs w:val="18"/>
        </w:rPr>
        <w:t>99</w:t>
      </w:r>
    </w:p>
    <w:p w14:paraId="0F5587D0" w14:textId="77777777" w:rsidR="008A5268" w:rsidRPr="008A5268" w:rsidRDefault="008A5268" w:rsidP="008A5268">
      <w:pPr>
        <w:pStyle w:val="Prrafodelista"/>
        <w:rPr>
          <w:rFonts w:ascii="Abadi" w:hAnsi="Abadi" w:cs="ArialMT"/>
          <w:b/>
          <w:bCs/>
          <w:sz w:val="21"/>
          <w:szCs w:val="21"/>
        </w:rPr>
      </w:pPr>
    </w:p>
    <w:p w14:paraId="4082CB57" w14:textId="6F2C7D5F" w:rsidR="00257080" w:rsidRDefault="00257080" w:rsidP="005C6EBB">
      <w:pPr>
        <w:pStyle w:val="Prrafodelista"/>
        <w:numPr>
          <w:ilvl w:val="0"/>
          <w:numId w:val="5"/>
        </w:numPr>
        <w:autoSpaceDE w:val="0"/>
        <w:autoSpaceDN w:val="0"/>
        <w:adjustRightInd w:val="0"/>
        <w:ind w:left="851" w:right="471"/>
        <w:jc w:val="both"/>
        <w:rPr>
          <w:rFonts w:ascii="Abadi" w:hAnsi="Abadi" w:cs="ArialMT"/>
          <w:b/>
          <w:bCs/>
          <w:sz w:val="21"/>
          <w:szCs w:val="21"/>
        </w:rPr>
      </w:pPr>
      <w:r w:rsidRPr="00CE791F">
        <w:rPr>
          <w:rFonts w:ascii="Abadi" w:hAnsi="Abadi" w:cs="ArialMT"/>
          <w:b/>
          <w:bCs/>
          <w:sz w:val="21"/>
          <w:szCs w:val="21"/>
        </w:rPr>
        <w:t>Presentación de la iniciativa emitida por el diputado Cuauhtémoc Becerra González integrante del Grupo Parlamentario del Partido MORENA a efecto de adicionar un segundo párrafo al artículo 56 de la Ley de Propiedad en Condominio de Inmuebles para el Estado de Guanajuato.</w:t>
      </w:r>
    </w:p>
    <w:p w14:paraId="6455EA12" w14:textId="77777777" w:rsidR="00A60217" w:rsidRDefault="00A60217" w:rsidP="00A60217">
      <w:pPr>
        <w:pStyle w:val="Prrafodelista"/>
        <w:ind w:left="720" w:right="-284"/>
        <w:rPr>
          <w:rFonts w:ascii="Abadi" w:hAnsi="Abadi"/>
          <w:b/>
          <w:bCs/>
          <w:sz w:val="18"/>
          <w:szCs w:val="18"/>
        </w:rPr>
      </w:pPr>
    </w:p>
    <w:p w14:paraId="18D28F2A" w14:textId="33402C39" w:rsidR="00A60217" w:rsidRDefault="00A60217" w:rsidP="004E121E">
      <w:pPr>
        <w:pStyle w:val="Prrafodelista"/>
        <w:ind w:left="3261" w:right="-284"/>
        <w:rPr>
          <w:rFonts w:ascii="Abadi" w:hAnsi="Abadi"/>
          <w:b/>
          <w:bCs/>
          <w:sz w:val="18"/>
          <w:szCs w:val="18"/>
        </w:rPr>
      </w:pPr>
      <w:r w:rsidRPr="00A60217">
        <w:rPr>
          <w:rFonts w:ascii="Abadi" w:hAnsi="Abadi"/>
          <w:b/>
          <w:bCs/>
          <w:sz w:val="18"/>
          <w:szCs w:val="18"/>
        </w:rPr>
        <w:t xml:space="preserve">Pág. </w:t>
      </w:r>
      <w:r w:rsidR="006328A0">
        <w:rPr>
          <w:rFonts w:ascii="Abadi" w:hAnsi="Abadi"/>
          <w:b/>
          <w:bCs/>
          <w:sz w:val="18"/>
          <w:szCs w:val="18"/>
        </w:rPr>
        <w:t>10</w:t>
      </w:r>
      <w:r w:rsidR="004E121E">
        <w:rPr>
          <w:rFonts w:ascii="Abadi" w:hAnsi="Abadi"/>
          <w:b/>
          <w:bCs/>
          <w:sz w:val="18"/>
          <w:szCs w:val="18"/>
        </w:rPr>
        <w:t>2</w:t>
      </w:r>
    </w:p>
    <w:p w14:paraId="3FED529C" w14:textId="77777777" w:rsidR="004E121E" w:rsidRPr="00A60217" w:rsidRDefault="004E121E" w:rsidP="004E121E">
      <w:pPr>
        <w:pStyle w:val="Prrafodelista"/>
        <w:ind w:left="3261" w:right="-284"/>
        <w:rPr>
          <w:rFonts w:ascii="Abadi" w:hAnsi="Abadi" w:cs="ArialMT"/>
          <w:b/>
          <w:bCs/>
          <w:sz w:val="21"/>
          <w:szCs w:val="21"/>
        </w:rPr>
      </w:pPr>
    </w:p>
    <w:p w14:paraId="53645050" w14:textId="5CBD19DD" w:rsidR="00146DFB" w:rsidRPr="006779BC" w:rsidRDefault="00146DFB" w:rsidP="00146DFB">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para presentar la iniciativa en referencia </w:t>
      </w:r>
      <w:r>
        <w:rPr>
          <w:rFonts w:ascii="Abadi" w:hAnsi="Abadi" w:cs="ArialMT"/>
          <w:b/>
          <w:bCs/>
          <w:sz w:val="21"/>
          <w:szCs w:val="21"/>
        </w:rPr>
        <w:t xml:space="preserve">el diputado </w:t>
      </w:r>
      <w:r w:rsidRPr="00146DFB">
        <w:rPr>
          <w:rFonts w:ascii="Abadi" w:hAnsi="Abadi" w:cs="ArialMT"/>
          <w:b/>
          <w:bCs/>
          <w:sz w:val="21"/>
          <w:szCs w:val="21"/>
        </w:rPr>
        <w:t>Cuauhtémoc Becerra González</w:t>
      </w:r>
      <w:r>
        <w:rPr>
          <w:rFonts w:ascii="Abadi" w:hAnsi="Abadi" w:cs="ArialMT"/>
          <w:b/>
          <w:bCs/>
          <w:sz w:val="21"/>
          <w:szCs w:val="21"/>
        </w:rPr>
        <w:t>)</w:t>
      </w:r>
      <w:r w:rsidRPr="006779BC">
        <w:rPr>
          <w:rFonts w:ascii="Abadi" w:hAnsi="Abadi" w:cs="ArialMT"/>
          <w:b/>
          <w:bCs/>
          <w:sz w:val="21"/>
          <w:szCs w:val="21"/>
        </w:rPr>
        <w:t xml:space="preserve"> </w:t>
      </w:r>
    </w:p>
    <w:p w14:paraId="74BFA01E" w14:textId="189E4078" w:rsidR="00257080" w:rsidRDefault="00257080" w:rsidP="001C7A6A">
      <w:pPr>
        <w:autoSpaceDE w:val="0"/>
        <w:autoSpaceDN w:val="0"/>
        <w:adjustRightInd w:val="0"/>
        <w:ind w:left="851" w:right="471"/>
        <w:jc w:val="both"/>
        <w:rPr>
          <w:rFonts w:ascii="Abadi" w:hAnsi="Abadi" w:cs="Arial-BoldMT"/>
          <w:b/>
          <w:bCs/>
          <w:sz w:val="21"/>
          <w:szCs w:val="21"/>
        </w:rPr>
      </w:pPr>
    </w:p>
    <w:p w14:paraId="6EA66094" w14:textId="5B3CC237" w:rsidR="006328A0" w:rsidRPr="00A60217" w:rsidRDefault="006328A0" w:rsidP="006328A0">
      <w:pPr>
        <w:pStyle w:val="Prrafodelista"/>
        <w:ind w:left="3261" w:right="-284"/>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10</w:t>
      </w:r>
      <w:r w:rsidR="004E121E">
        <w:rPr>
          <w:rFonts w:ascii="Abadi" w:hAnsi="Abadi"/>
          <w:b/>
          <w:bCs/>
          <w:sz w:val="18"/>
          <w:szCs w:val="18"/>
        </w:rPr>
        <w:t>4</w:t>
      </w:r>
    </w:p>
    <w:p w14:paraId="0A1BFC30" w14:textId="77777777" w:rsidR="006328A0" w:rsidRPr="00C46026" w:rsidRDefault="006328A0" w:rsidP="001C7A6A">
      <w:pPr>
        <w:autoSpaceDE w:val="0"/>
        <w:autoSpaceDN w:val="0"/>
        <w:adjustRightInd w:val="0"/>
        <w:ind w:left="851" w:right="471"/>
        <w:jc w:val="both"/>
        <w:rPr>
          <w:rFonts w:ascii="Abadi" w:hAnsi="Abadi" w:cs="Arial-BoldMT"/>
          <w:b/>
          <w:bCs/>
          <w:sz w:val="21"/>
          <w:szCs w:val="21"/>
        </w:rPr>
      </w:pPr>
    </w:p>
    <w:p w14:paraId="766EA518" w14:textId="090DEFDA" w:rsidR="00257080" w:rsidRPr="00CE791F"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CE791F">
        <w:rPr>
          <w:rFonts w:ascii="Abadi" w:hAnsi="Abadi" w:cs="ArialMT"/>
          <w:b/>
          <w:bCs/>
          <w:sz w:val="21"/>
          <w:szCs w:val="21"/>
        </w:rPr>
        <w:t xml:space="preserve">Presentación de la iniciativa formulada por el diputado Pablo Alonso Ripoll integrante del Grupo Parlamentario del Partido MORENA a efecto de reformar el artículo 341 del Código Civil para el Estado de Guanajuato. </w:t>
      </w:r>
    </w:p>
    <w:p w14:paraId="0CBCA9D8" w14:textId="53FF1F7B" w:rsidR="006328A0" w:rsidRDefault="006328A0" w:rsidP="006328A0">
      <w:pPr>
        <w:pStyle w:val="Prrafodelista"/>
        <w:ind w:left="3261" w:right="-284"/>
        <w:rPr>
          <w:rFonts w:ascii="Abadi" w:hAnsi="Abadi"/>
          <w:b/>
          <w:bCs/>
          <w:sz w:val="18"/>
          <w:szCs w:val="18"/>
        </w:rPr>
      </w:pPr>
      <w:r w:rsidRPr="00A60217">
        <w:rPr>
          <w:rFonts w:ascii="Abadi" w:hAnsi="Abadi"/>
          <w:b/>
          <w:bCs/>
          <w:sz w:val="18"/>
          <w:szCs w:val="18"/>
        </w:rPr>
        <w:t xml:space="preserve">Pág. </w:t>
      </w:r>
      <w:r w:rsidR="00213965">
        <w:rPr>
          <w:rFonts w:ascii="Abadi" w:hAnsi="Abadi"/>
          <w:b/>
          <w:bCs/>
          <w:sz w:val="18"/>
          <w:szCs w:val="18"/>
        </w:rPr>
        <w:t>10</w:t>
      </w:r>
      <w:r w:rsidR="004E121E">
        <w:rPr>
          <w:rFonts w:ascii="Abadi" w:hAnsi="Abadi"/>
          <w:b/>
          <w:bCs/>
          <w:sz w:val="18"/>
          <w:szCs w:val="18"/>
        </w:rPr>
        <w:t>6</w:t>
      </w:r>
    </w:p>
    <w:p w14:paraId="4946B8CF" w14:textId="392CAD26" w:rsidR="006328A0" w:rsidRDefault="006328A0" w:rsidP="006328A0">
      <w:pPr>
        <w:pStyle w:val="Prrafodelista"/>
        <w:ind w:left="3261" w:right="-284"/>
        <w:rPr>
          <w:rFonts w:ascii="Abadi" w:hAnsi="Abadi"/>
          <w:b/>
          <w:bCs/>
          <w:sz w:val="18"/>
          <w:szCs w:val="18"/>
        </w:rPr>
      </w:pPr>
    </w:p>
    <w:p w14:paraId="36CBCE29" w14:textId="4522EA24" w:rsidR="006328A0" w:rsidRPr="006779BC" w:rsidRDefault="006328A0" w:rsidP="006328A0">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para presentar la iniciativa en referencia </w:t>
      </w:r>
      <w:r>
        <w:rPr>
          <w:rFonts w:ascii="Abadi" w:hAnsi="Abadi" w:cs="ArialMT"/>
          <w:b/>
          <w:bCs/>
          <w:sz w:val="21"/>
          <w:szCs w:val="21"/>
        </w:rPr>
        <w:t xml:space="preserve">el diputado </w:t>
      </w:r>
      <w:r w:rsidRPr="006328A0">
        <w:rPr>
          <w:rFonts w:ascii="Abadi" w:hAnsi="Abadi" w:cs="ArialMT"/>
          <w:b/>
          <w:bCs/>
          <w:sz w:val="21"/>
          <w:szCs w:val="21"/>
        </w:rPr>
        <w:t>Pablo Alonso Ripoll)</w:t>
      </w:r>
    </w:p>
    <w:p w14:paraId="01FB5D61" w14:textId="77777777" w:rsidR="006328A0" w:rsidRPr="00A60217" w:rsidRDefault="006328A0" w:rsidP="006328A0">
      <w:pPr>
        <w:pStyle w:val="Prrafodelista"/>
        <w:ind w:left="3261" w:right="-284"/>
        <w:rPr>
          <w:rFonts w:ascii="Abadi" w:hAnsi="Abadi"/>
          <w:b/>
          <w:bCs/>
          <w:sz w:val="18"/>
          <w:szCs w:val="18"/>
        </w:rPr>
      </w:pPr>
    </w:p>
    <w:p w14:paraId="00136E96" w14:textId="07D38BB1" w:rsidR="006328A0" w:rsidRDefault="006328A0" w:rsidP="006328A0">
      <w:pPr>
        <w:pStyle w:val="Prrafodelista"/>
        <w:ind w:left="3261" w:right="-284"/>
        <w:rPr>
          <w:rFonts w:ascii="Abadi" w:hAnsi="Abadi"/>
          <w:b/>
          <w:bCs/>
          <w:sz w:val="18"/>
          <w:szCs w:val="18"/>
        </w:rPr>
      </w:pPr>
      <w:r w:rsidRPr="00A60217">
        <w:rPr>
          <w:rFonts w:ascii="Abadi" w:hAnsi="Abadi"/>
          <w:b/>
          <w:bCs/>
          <w:sz w:val="18"/>
          <w:szCs w:val="18"/>
        </w:rPr>
        <w:t xml:space="preserve">Pág. </w:t>
      </w:r>
      <w:r w:rsidR="00213965">
        <w:rPr>
          <w:rFonts w:ascii="Abadi" w:hAnsi="Abadi"/>
          <w:b/>
          <w:bCs/>
          <w:sz w:val="18"/>
          <w:szCs w:val="18"/>
        </w:rPr>
        <w:t>10</w:t>
      </w:r>
      <w:r w:rsidR="004E121E">
        <w:rPr>
          <w:rFonts w:ascii="Abadi" w:hAnsi="Abadi"/>
          <w:b/>
          <w:bCs/>
          <w:sz w:val="18"/>
          <w:szCs w:val="18"/>
        </w:rPr>
        <w:t>8</w:t>
      </w:r>
    </w:p>
    <w:p w14:paraId="789BD163" w14:textId="77777777" w:rsidR="006328A0" w:rsidRPr="00C46026" w:rsidRDefault="006328A0" w:rsidP="008A5268">
      <w:pPr>
        <w:autoSpaceDE w:val="0"/>
        <w:autoSpaceDN w:val="0"/>
        <w:adjustRightInd w:val="0"/>
        <w:ind w:left="851" w:right="425" w:hanging="360"/>
        <w:jc w:val="both"/>
        <w:rPr>
          <w:rFonts w:ascii="Abadi" w:hAnsi="Abadi" w:cs="Arial-BoldMT"/>
          <w:b/>
          <w:bCs/>
          <w:sz w:val="21"/>
          <w:szCs w:val="21"/>
        </w:rPr>
      </w:pPr>
    </w:p>
    <w:p w14:paraId="2A8FA17D" w14:textId="4506983B"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CE791F">
        <w:rPr>
          <w:rFonts w:ascii="Abadi" w:hAnsi="Abadi" w:cs="ArialMT"/>
          <w:b/>
          <w:bCs/>
          <w:sz w:val="21"/>
          <w:szCs w:val="21"/>
        </w:rPr>
        <w:t>Presentación de la propuesta de punto de acuerdo suscrita por la diputada Hades Berenice Aguilar Castillo integrante del Grupo Parlamentario del Partido MORENA a efecto de exhortar al Gobernador del Estado de Guanajuato, Diego Sinhue Rodríguez Vallejo, para que inicie un proceso de revisión y rediseño de la política estatal de seguridad pública, incorporando las mejores prácticas en la materia.</w:t>
      </w:r>
    </w:p>
    <w:p w14:paraId="290AE6E0" w14:textId="77777777" w:rsidR="006328A0" w:rsidRDefault="006328A0" w:rsidP="006328A0">
      <w:pPr>
        <w:pStyle w:val="Prrafodelista"/>
        <w:autoSpaceDE w:val="0"/>
        <w:autoSpaceDN w:val="0"/>
        <w:adjustRightInd w:val="0"/>
        <w:ind w:left="851" w:right="425"/>
        <w:jc w:val="both"/>
        <w:rPr>
          <w:rFonts w:ascii="Abadi" w:hAnsi="Abadi" w:cs="ArialMT"/>
          <w:b/>
          <w:bCs/>
          <w:sz w:val="21"/>
          <w:szCs w:val="21"/>
        </w:rPr>
      </w:pPr>
    </w:p>
    <w:p w14:paraId="6DE832BD" w14:textId="027A8248" w:rsidR="006328A0" w:rsidRDefault="006328A0" w:rsidP="00A85262">
      <w:pPr>
        <w:pStyle w:val="Prrafodelista"/>
        <w:ind w:left="2844" w:right="-568" w:firstLine="696"/>
        <w:rPr>
          <w:rFonts w:ascii="Abadi" w:hAnsi="Abadi"/>
          <w:b/>
          <w:bCs/>
          <w:sz w:val="18"/>
          <w:szCs w:val="18"/>
        </w:rPr>
      </w:pPr>
      <w:r w:rsidRPr="00A60217">
        <w:rPr>
          <w:rFonts w:ascii="Abadi" w:hAnsi="Abadi"/>
          <w:b/>
          <w:bCs/>
          <w:sz w:val="18"/>
          <w:szCs w:val="18"/>
        </w:rPr>
        <w:t xml:space="preserve">Pág. </w:t>
      </w:r>
      <w:r w:rsidR="004E121E">
        <w:rPr>
          <w:rFonts w:ascii="Abadi" w:hAnsi="Abadi"/>
          <w:b/>
          <w:bCs/>
          <w:sz w:val="18"/>
          <w:szCs w:val="18"/>
        </w:rPr>
        <w:t>109</w:t>
      </w:r>
    </w:p>
    <w:p w14:paraId="7EFA1188" w14:textId="5A7F7C1A" w:rsidR="00213965" w:rsidRDefault="00213965" w:rsidP="006328A0">
      <w:pPr>
        <w:pStyle w:val="Prrafodelista"/>
        <w:ind w:left="2844" w:right="-284" w:firstLine="696"/>
        <w:rPr>
          <w:rFonts w:ascii="Abadi" w:hAnsi="Abadi"/>
          <w:b/>
          <w:bCs/>
          <w:sz w:val="18"/>
          <w:szCs w:val="18"/>
        </w:rPr>
      </w:pPr>
    </w:p>
    <w:p w14:paraId="6F3167EE" w14:textId="5B584C5A" w:rsidR="00213965" w:rsidRPr="006779BC" w:rsidRDefault="00213965" w:rsidP="00213965">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para presentar </w:t>
      </w:r>
      <w:r w:rsidR="001420C4">
        <w:rPr>
          <w:rFonts w:ascii="Abadi" w:hAnsi="Abadi" w:cs="ArialMT"/>
          <w:b/>
          <w:bCs/>
          <w:sz w:val="21"/>
          <w:szCs w:val="21"/>
        </w:rPr>
        <w:t>el punto de acuerdo</w:t>
      </w:r>
      <w:r w:rsidRPr="006779BC">
        <w:rPr>
          <w:rFonts w:ascii="Abadi" w:hAnsi="Abadi" w:cs="ArialMT"/>
          <w:b/>
          <w:bCs/>
          <w:sz w:val="21"/>
          <w:szCs w:val="21"/>
        </w:rPr>
        <w:t xml:space="preserve"> en referencia </w:t>
      </w:r>
      <w:r w:rsidR="00A85262">
        <w:rPr>
          <w:rFonts w:ascii="Abadi" w:hAnsi="Abadi" w:cs="ArialMT"/>
          <w:b/>
          <w:bCs/>
          <w:sz w:val="21"/>
          <w:szCs w:val="21"/>
        </w:rPr>
        <w:t xml:space="preserve">la diputada </w:t>
      </w:r>
      <w:r w:rsidR="00A85262" w:rsidRPr="003B5849">
        <w:rPr>
          <w:rFonts w:ascii="Abadi" w:hAnsi="Abadi"/>
          <w:b/>
          <w:bCs/>
          <w:sz w:val="21"/>
          <w:szCs w:val="21"/>
        </w:rPr>
        <w:t>Hades Berenice Aguilar Castillo</w:t>
      </w:r>
      <w:r w:rsidRPr="006328A0">
        <w:rPr>
          <w:rFonts w:ascii="Abadi" w:hAnsi="Abadi" w:cs="ArialMT"/>
          <w:b/>
          <w:bCs/>
          <w:sz w:val="21"/>
          <w:szCs w:val="21"/>
        </w:rPr>
        <w:t>)</w:t>
      </w:r>
    </w:p>
    <w:p w14:paraId="3128B3EB" w14:textId="77777777" w:rsidR="00213965" w:rsidRDefault="00213965" w:rsidP="00213965">
      <w:pPr>
        <w:pStyle w:val="Prrafodelista"/>
        <w:ind w:left="2844" w:right="-284" w:firstLine="696"/>
        <w:rPr>
          <w:rFonts w:ascii="Abadi" w:hAnsi="Abadi"/>
          <w:b/>
          <w:bCs/>
          <w:sz w:val="18"/>
          <w:szCs w:val="18"/>
        </w:rPr>
      </w:pPr>
    </w:p>
    <w:p w14:paraId="4C2D4F54" w14:textId="77777777" w:rsidR="00213965" w:rsidRDefault="00213965" w:rsidP="00213965">
      <w:pPr>
        <w:pStyle w:val="Prrafodelista"/>
        <w:ind w:left="2844" w:right="-284" w:firstLine="696"/>
        <w:rPr>
          <w:rFonts w:ascii="Abadi" w:hAnsi="Abadi"/>
          <w:b/>
          <w:bCs/>
          <w:sz w:val="18"/>
          <w:szCs w:val="18"/>
        </w:rPr>
      </w:pPr>
    </w:p>
    <w:p w14:paraId="1CB8865E" w14:textId="50434096" w:rsidR="00213965" w:rsidRDefault="00213965" w:rsidP="00A85262">
      <w:pPr>
        <w:pStyle w:val="Prrafodelista"/>
        <w:ind w:left="2844" w:right="-709" w:firstLine="696"/>
        <w:rPr>
          <w:rFonts w:ascii="Abadi" w:hAnsi="Abadi"/>
          <w:b/>
          <w:bCs/>
          <w:sz w:val="18"/>
          <w:szCs w:val="18"/>
        </w:rPr>
      </w:pPr>
      <w:r w:rsidRPr="00A60217">
        <w:rPr>
          <w:rFonts w:ascii="Abadi" w:hAnsi="Abadi"/>
          <w:b/>
          <w:bCs/>
          <w:sz w:val="18"/>
          <w:szCs w:val="18"/>
        </w:rPr>
        <w:t xml:space="preserve">Pág. </w:t>
      </w:r>
      <w:r w:rsidR="00A85262">
        <w:rPr>
          <w:rFonts w:ascii="Abadi" w:hAnsi="Abadi"/>
          <w:b/>
          <w:bCs/>
          <w:sz w:val="18"/>
          <w:szCs w:val="18"/>
        </w:rPr>
        <w:t>11</w:t>
      </w:r>
      <w:r w:rsidR="004E121E">
        <w:rPr>
          <w:rFonts w:ascii="Abadi" w:hAnsi="Abadi"/>
          <w:b/>
          <w:bCs/>
          <w:sz w:val="18"/>
          <w:szCs w:val="18"/>
        </w:rPr>
        <w:t>1</w:t>
      </w:r>
    </w:p>
    <w:p w14:paraId="67C8C849" w14:textId="77777777" w:rsidR="00213965" w:rsidRDefault="00213965" w:rsidP="006328A0">
      <w:pPr>
        <w:pStyle w:val="Prrafodelista"/>
        <w:ind w:left="2844" w:right="-284" w:firstLine="696"/>
        <w:rPr>
          <w:rFonts w:ascii="Abadi" w:hAnsi="Abadi"/>
          <w:b/>
          <w:bCs/>
          <w:sz w:val="18"/>
          <w:szCs w:val="18"/>
        </w:rPr>
      </w:pPr>
    </w:p>
    <w:p w14:paraId="63330117" w14:textId="77777777" w:rsidR="00257080" w:rsidRPr="00C46026" w:rsidRDefault="00257080" w:rsidP="00257080">
      <w:pPr>
        <w:autoSpaceDE w:val="0"/>
        <w:autoSpaceDN w:val="0"/>
        <w:adjustRightInd w:val="0"/>
        <w:jc w:val="both"/>
        <w:rPr>
          <w:rFonts w:ascii="Abadi" w:hAnsi="Abadi" w:cs="ArialMT"/>
          <w:b/>
          <w:bCs/>
          <w:sz w:val="21"/>
          <w:szCs w:val="21"/>
        </w:rPr>
      </w:pPr>
    </w:p>
    <w:p w14:paraId="36BDB08A" w14:textId="2D838526"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1C7A6A">
        <w:rPr>
          <w:rFonts w:ascii="Abadi" w:hAnsi="Abadi" w:cs="ArialMT"/>
          <w:b/>
          <w:bCs/>
          <w:sz w:val="21"/>
          <w:szCs w:val="21"/>
        </w:rPr>
        <w:t xml:space="preserve">Presentación de la propuesta de punto de acuerdo formulada por la diputada Alma Edwviges Alcaraz Hernández </w:t>
      </w:r>
      <w:r w:rsidRPr="001C7A6A">
        <w:rPr>
          <w:rFonts w:ascii="Abadi" w:hAnsi="Abadi" w:cs="ArialMT"/>
          <w:b/>
          <w:bCs/>
          <w:sz w:val="21"/>
          <w:szCs w:val="21"/>
        </w:rPr>
        <w:lastRenderedPageBreak/>
        <w:t>integrante del Grupo Parlamentario del Partido MORENA a efecto de exhortar a la Fiscalía General del Estado, para que dé a conocer a esta Soberanía cuáles son las causas por las que no se han podido identificar la totalidad de los restos humanos hasta ahora encontrados en fosas clandestinas; así como al Titular del Ejecutivo Estatal para que, a través de la Secretaría de Seguridad Pública, se brinde protección y apoyo técnico a los Colectivos de familiares de personas desaparecidas que realizan el trabajo que debería hacer el propio Estado.</w:t>
      </w:r>
    </w:p>
    <w:p w14:paraId="759FE60C" w14:textId="77777777" w:rsidR="00FD52CC" w:rsidRDefault="00FD52CC" w:rsidP="00FD52CC">
      <w:pPr>
        <w:pStyle w:val="Prrafodelista"/>
        <w:ind w:left="720" w:right="-709"/>
        <w:rPr>
          <w:rFonts w:ascii="Abadi" w:hAnsi="Abadi"/>
          <w:b/>
          <w:bCs/>
          <w:sz w:val="18"/>
          <w:szCs w:val="18"/>
        </w:rPr>
      </w:pPr>
    </w:p>
    <w:p w14:paraId="22805670" w14:textId="77777777" w:rsidR="00FD52CC" w:rsidRDefault="00FD52CC" w:rsidP="00FD52CC">
      <w:pPr>
        <w:pStyle w:val="Prrafodelista"/>
        <w:ind w:left="720" w:right="-709"/>
        <w:rPr>
          <w:rFonts w:ascii="Abadi" w:hAnsi="Abadi"/>
          <w:b/>
          <w:bCs/>
          <w:sz w:val="18"/>
          <w:szCs w:val="18"/>
        </w:rPr>
      </w:pPr>
    </w:p>
    <w:p w14:paraId="36032443" w14:textId="22F83595" w:rsidR="00FD52CC" w:rsidRDefault="00FD52CC" w:rsidP="00FD52CC">
      <w:pPr>
        <w:pStyle w:val="Prrafodelista"/>
        <w:ind w:left="2844" w:right="-709" w:firstLine="696"/>
        <w:rPr>
          <w:rFonts w:ascii="Abadi" w:hAnsi="Abadi"/>
          <w:b/>
          <w:bCs/>
          <w:sz w:val="18"/>
          <w:szCs w:val="18"/>
        </w:rPr>
      </w:pPr>
      <w:r w:rsidRPr="00A60217">
        <w:rPr>
          <w:rFonts w:ascii="Abadi" w:hAnsi="Abadi"/>
          <w:b/>
          <w:bCs/>
          <w:sz w:val="18"/>
          <w:szCs w:val="18"/>
        </w:rPr>
        <w:t xml:space="preserve">Pág. </w:t>
      </w:r>
      <w:r w:rsidR="002C350F">
        <w:rPr>
          <w:rFonts w:ascii="Abadi" w:hAnsi="Abadi"/>
          <w:b/>
          <w:bCs/>
          <w:sz w:val="18"/>
          <w:szCs w:val="18"/>
        </w:rPr>
        <w:t>11</w:t>
      </w:r>
      <w:r w:rsidR="004E121E">
        <w:rPr>
          <w:rFonts w:ascii="Abadi" w:hAnsi="Abadi"/>
          <w:b/>
          <w:bCs/>
          <w:sz w:val="18"/>
          <w:szCs w:val="18"/>
        </w:rPr>
        <w:t>4</w:t>
      </w:r>
    </w:p>
    <w:p w14:paraId="4AE21ED0" w14:textId="5AE27B9E" w:rsidR="00FD52CC" w:rsidRDefault="00FD52CC" w:rsidP="00FD52CC">
      <w:pPr>
        <w:pStyle w:val="Prrafodelista"/>
        <w:ind w:left="720" w:right="-709"/>
        <w:rPr>
          <w:rFonts w:ascii="Abadi" w:hAnsi="Abadi"/>
          <w:b/>
          <w:bCs/>
          <w:sz w:val="18"/>
          <w:szCs w:val="18"/>
        </w:rPr>
      </w:pPr>
    </w:p>
    <w:p w14:paraId="3DAD303E" w14:textId="38209E2E" w:rsidR="00FD52CC" w:rsidRDefault="00FD52CC" w:rsidP="00FD52CC">
      <w:pPr>
        <w:pStyle w:val="Prrafodelista"/>
        <w:ind w:left="720" w:right="-709"/>
        <w:rPr>
          <w:rFonts w:ascii="Abadi" w:hAnsi="Abadi"/>
          <w:b/>
          <w:bCs/>
          <w:sz w:val="18"/>
          <w:szCs w:val="18"/>
        </w:rPr>
      </w:pPr>
    </w:p>
    <w:p w14:paraId="4103D7D9" w14:textId="506AF8B5" w:rsidR="00FD52CC" w:rsidRPr="006779BC" w:rsidRDefault="00FD52CC" w:rsidP="00FD52CC">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para presentar </w:t>
      </w:r>
      <w:r w:rsidR="008454F0">
        <w:rPr>
          <w:rFonts w:ascii="Abadi" w:hAnsi="Abadi" w:cs="ArialMT"/>
          <w:b/>
          <w:bCs/>
          <w:sz w:val="21"/>
          <w:szCs w:val="21"/>
        </w:rPr>
        <w:t>el punto de  acuerdo</w:t>
      </w:r>
      <w:r w:rsidRPr="006779BC">
        <w:rPr>
          <w:rFonts w:ascii="Abadi" w:hAnsi="Abadi" w:cs="ArialMT"/>
          <w:b/>
          <w:bCs/>
          <w:sz w:val="21"/>
          <w:szCs w:val="21"/>
        </w:rPr>
        <w:t xml:space="preserve"> en referencia </w:t>
      </w:r>
      <w:r>
        <w:rPr>
          <w:rFonts w:ascii="Abadi" w:hAnsi="Abadi" w:cs="ArialMT"/>
          <w:b/>
          <w:bCs/>
          <w:sz w:val="21"/>
          <w:szCs w:val="21"/>
        </w:rPr>
        <w:t xml:space="preserve">la </w:t>
      </w:r>
      <w:r w:rsidRPr="001C7A6A">
        <w:rPr>
          <w:rFonts w:ascii="Abadi" w:hAnsi="Abadi" w:cs="ArialMT"/>
          <w:b/>
          <w:bCs/>
          <w:sz w:val="21"/>
          <w:szCs w:val="21"/>
        </w:rPr>
        <w:t>diputada Alma Edwviges Alcaraz Hernández</w:t>
      </w:r>
      <w:r w:rsidRPr="006328A0">
        <w:rPr>
          <w:rFonts w:ascii="Abadi" w:hAnsi="Abadi" w:cs="ArialMT"/>
          <w:b/>
          <w:bCs/>
          <w:sz w:val="21"/>
          <w:szCs w:val="21"/>
        </w:rPr>
        <w:t>)</w:t>
      </w:r>
    </w:p>
    <w:p w14:paraId="56611484" w14:textId="655CE291" w:rsidR="00FD52CC" w:rsidRDefault="00FD52CC" w:rsidP="00FD52CC">
      <w:pPr>
        <w:pStyle w:val="Prrafodelista"/>
        <w:ind w:left="720" w:right="-709"/>
        <w:rPr>
          <w:rFonts w:ascii="Abadi" w:hAnsi="Abadi"/>
          <w:b/>
          <w:bCs/>
          <w:sz w:val="18"/>
          <w:szCs w:val="18"/>
        </w:rPr>
      </w:pPr>
    </w:p>
    <w:p w14:paraId="376CD3FB" w14:textId="77777777" w:rsidR="00FD52CC" w:rsidRDefault="00FD52CC" w:rsidP="00FD52CC">
      <w:pPr>
        <w:pStyle w:val="Prrafodelista"/>
        <w:ind w:left="720" w:right="-709"/>
        <w:rPr>
          <w:rFonts w:ascii="Abadi" w:hAnsi="Abadi"/>
          <w:b/>
          <w:bCs/>
          <w:sz w:val="18"/>
          <w:szCs w:val="18"/>
        </w:rPr>
      </w:pPr>
    </w:p>
    <w:p w14:paraId="6E7007A7" w14:textId="3F0A1119" w:rsidR="00FD52CC" w:rsidRDefault="00FD52CC" w:rsidP="00FD52CC">
      <w:pPr>
        <w:pStyle w:val="Prrafodelista"/>
        <w:ind w:left="2844" w:right="-709" w:firstLine="696"/>
        <w:rPr>
          <w:rFonts w:ascii="Abadi" w:hAnsi="Abadi"/>
          <w:b/>
          <w:bCs/>
          <w:sz w:val="18"/>
          <w:szCs w:val="18"/>
        </w:rPr>
      </w:pPr>
      <w:r w:rsidRPr="00A60217">
        <w:rPr>
          <w:rFonts w:ascii="Abadi" w:hAnsi="Abadi"/>
          <w:b/>
          <w:bCs/>
          <w:sz w:val="18"/>
          <w:szCs w:val="18"/>
        </w:rPr>
        <w:t xml:space="preserve">Pág. </w:t>
      </w:r>
      <w:r w:rsidR="003717C4">
        <w:rPr>
          <w:rFonts w:ascii="Abadi" w:hAnsi="Abadi"/>
          <w:b/>
          <w:bCs/>
          <w:sz w:val="18"/>
          <w:szCs w:val="18"/>
        </w:rPr>
        <w:t>115</w:t>
      </w:r>
    </w:p>
    <w:p w14:paraId="215C5686" w14:textId="77777777" w:rsidR="00FD52CC" w:rsidRDefault="00FD52CC" w:rsidP="00FD52CC">
      <w:pPr>
        <w:pStyle w:val="Prrafodelista"/>
        <w:ind w:left="720" w:right="-709"/>
        <w:rPr>
          <w:rFonts w:ascii="Abadi" w:hAnsi="Abadi"/>
          <w:b/>
          <w:bCs/>
          <w:sz w:val="18"/>
          <w:szCs w:val="18"/>
        </w:rPr>
      </w:pPr>
    </w:p>
    <w:p w14:paraId="2997BD8D" w14:textId="77777777" w:rsidR="00FD52CC" w:rsidRPr="00FD52CC" w:rsidRDefault="00FD52CC" w:rsidP="00FD52CC">
      <w:pPr>
        <w:autoSpaceDE w:val="0"/>
        <w:autoSpaceDN w:val="0"/>
        <w:adjustRightInd w:val="0"/>
        <w:ind w:right="425"/>
        <w:jc w:val="both"/>
        <w:rPr>
          <w:rFonts w:ascii="Abadi" w:hAnsi="Abadi" w:cs="ArialMT"/>
          <w:b/>
          <w:bCs/>
          <w:sz w:val="21"/>
          <w:szCs w:val="21"/>
        </w:rPr>
      </w:pPr>
    </w:p>
    <w:p w14:paraId="262A682A" w14:textId="77777777" w:rsidR="00257080" w:rsidRPr="00C46026" w:rsidRDefault="00257080" w:rsidP="008A5268">
      <w:pPr>
        <w:autoSpaceDE w:val="0"/>
        <w:autoSpaceDN w:val="0"/>
        <w:adjustRightInd w:val="0"/>
        <w:ind w:left="851" w:right="425"/>
        <w:jc w:val="both"/>
        <w:rPr>
          <w:rFonts w:ascii="Abadi" w:hAnsi="Abadi" w:cs="Arial-BoldMT"/>
          <w:b/>
          <w:bCs/>
          <w:sz w:val="21"/>
          <w:szCs w:val="21"/>
        </w:rPr>
      </w:pPr>
    </w:p>
    <w:p w14:paraId="43EAD86B" w14:textId="117C96AF"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1C7A6A">
        <w:rPr>
          <w:rFonts w:ascii="Abadi" w:hAnsi="Abadi" w:cs="ArialMT"/>
          <w:b/>
          <w:bCs/>
          <w:sz w:val="21"/>
          <w:szCs w:val="21"/>
        </w:rPr>
        <w:t xml:space="preserve">Presentación de la propuesta de punto de acuerdo signada por la diputada Alma Edwviges Alcaraz Hernández integrante del Grupo Parlamentario del Partido MORENA a efecto de exhortar a los titulares de los Poderes Ejecutivos de los Municipios del Estado a considerar la capacidad real de pago de sus municipios y el estado de sus finanzas públicas antes de solicitar a este Congreso la autorización para contratar deuda pública; así como a establecer medidas que les </w:t>
      </w:r>
      <w:r w:rsidRPr="001C7A6A">
        <w:rPr>
          <w:rFonts w:ascii="Abadi" w:hAnsi="Abadi" w:cs="ArialMT"/>
          <w:b/>
          <w:bCs/>
          <w:sz w:val="21"/>
          <w:szCs w:val="21"/>
        </w:rPr>
        <w:t>permitan aumentar la recaudación de sus ingresos propios para disminuir su dependencia de los ingresos federales y locales.</w:t>
      </w:r>
    </w:p>
    <w:p w14:paraId="327EC92B" w14:textId="77777777" w:rsidR="008454F0" w:rsidRDefault="008454F0" w:rsidP="008454F0">
      <w:pPr>
        <w:pStyle w:val="Prrafodelista"/>
        <w:ind w:left="720" w:right="-709"/>
        <w:rPr>
          <w:rFonts w:ascii="Abadi" w:hAnsi="Abadi"/>
          <w:b/>
          <w:bCs/>
          <w:sz w:val="18"/>
          <w:szCs w:val="18"/>
        </w:rPr>
      </w:pPr>
    </w:p>
    <w:p w14:paraId="6D570F7D" w14:textId="6E3CB6AD" w:rsidR="008454F0" w:rsidRDefault="008454F0" w:rsidP="008454F0">
      <w:pPr>
        <w:pStyle w:val="Prrafodelista"/>
        <w:ind w:left="2844" w:right="-568" w:firstLine="696"/>
        <w:jc w:val="center"/>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11</w:t>
      </w:r>
      <w:r w:rsidR="004E121E">
        <w:rPr>
          <w:rFonts w:ascii="Abadi" w:hAnsi="Abadi"/>
          <w:b/>
          <w:bCs/>
          <w:sz w:val="18"/>
          <w:szCs w:val="18"/>
        </w:rPr>
        <w:t>7</w:t>
      </w:r>
    </w:p>
    <w:p w14:paraId="73AD6115" w14:textId="77777777" w:rsidR="008454F0" w:rsidRPr="008454F0" w:rsidRDefault="008454F0" w:rsidP="008454F0">
      <w:pPr>
        <w:autoSpaceDE w:val="0"/>
        <w:autoSpaceDN w:val="0"/>
        <w:adjustRightInd w:val="0"/>
        <w:ind w:right="425"/>
        <w:jc w:val="both"/>
        <w:rPr>
          <w:rFonts w:ascii="Abadi" w:hAnsi="Abadi" w:cs="ArialMT"/>
          <w:b/>
          <w:bCs/>
          <w:sz w:val="21"/>
          <w:szCs w:val="21"/>
        </w:rPr>
      </w:pPr>
    </w:p>
    <w:p w14:paraId="3938E0D7" w14:textId="24CEAB3E" w:rsidR="003717C4" w:rsidRDefault="003717C4" w:rsidP="003717C4">
      <w:pPr>
        <w:autoSpaceDE w:val="0"/>
        <w:autoSpaceDN w:val="0"/>
        <w:adjustRightInd w:val="0"/>
        <w:ind w:right="425"/>
        <w:jc w:val="both"/>
        <w:rPr>
          <w:rFonts w:ascii="Abadi" w:hAnsi="Abadi" w:cs="ArialMT"/>
          <w:b/>
          <w:bCs/>
          <w:sz w:val="21"/>
          <w:szCs w:val="21"/>
        </w:rPr>
      </w:pPr>
    </w:p>
    <w:p w14:paraId="48AF9241" w14:textId="245FA4D8" w:rsidR="003717C4" w:rsidRPr="006779BC" w:rsidRDefault="003717C4" w:rsidP="003717C4">
      <w:pPr>
        <w:pStyle w:val="Prrafodelista"/>
        <w:shd w:val="clear" w:color="auto" w:fill="F2F2F2" w:themeFill="background1" w:themeFillShade="F2"/>
        <w:ind w:left="851" w:right="566"/>
        <w:jc w:val="both"/>
        <w:rPr>
          <w:rFonts w:ascii="Abadi" w:hAnsi="Abadi" w:cs="ArialMT"/>
          <w:b/>
          <w:bCs/>
          <w:sz w:val="21"/>
          <w:szCs w:val="21"/>
        </w:rPr>
      </w:pPr>
      <w:r w:rsidRPr="006779BC">
        <w:rPr>
          <w:rFonts w:ascii="Abadi" w:hAnsi="Abadi" w:cs="ArialMT"/>
          <w:b/>
          <w:bCs/>
          <w:sz w:val="21"/>
          <w:szCs w:val="21"/>
        </w:rPr>
        <w:t xml:space="preserve">(Sube a tribuna para presentar </w:t>
      </w:r>
      <w:r w:rsidR="003157EC">
        <w:rPr>
          <w:rFonts w:ascii="Abadi" w:hAnsi="Abadi" w:cs="ArialMT"/>
          <w:b/>
          <w:bCs/>
          <w:sz w:val="21"/>
          <w:szCs w:val="21"/>
        </w:rPr>
        <w:t>el punto de acuerdo</w:t>
      </w:r>
      <w:r w:rsidRPr="006779BC">
        <w:rPr>
          <w:rFonts w:ascii="Abadi" w:hAnsi="Abadi" w:cs="ArialMT"/>
          <w:b/>
          <w:bCs/>
          <w:sz w:val="21"/>
          <w:szCs w:val="21"/>
        </w:rPr>
        <w:t xml:space="preserve"> en referencia </w:t>
      </w:r>
      <w:r>
        <w:rPr>
          <w:rFonts w:ascii="Abadi" w:hAnsi="Abadi" w:cs="ArialMT"/>
          <w:b/>
          <w:bCs/>
          <w:sz w:val="21"/>
          <w:szCs w:val="21"/>
        </w:rPr>
        <w:t xml:space="preserve">la </w:t>
      </w:r>
      <w:r w:rsidRPr="001C7A6A">
        <w:rPr>
          <w:rFonts w:ascii="Abadi" w:hAnsi="Abadi" w:cs="ArialMT"/>
          <w:b/>
          <w:bCs/>
          <w:sz w:val="21"/>
          <w:szCs w:val="21"/>
        </w:rPr>
        <w:t>diputada Alma Edwviges Alcaraz Hernández</w:t>
      </w:r>
      <w:r w:rsidRPr="006328A0">
        <w:rPr>
          <w:rFonts w:ascii="Abadi" w:hAnsi="Abadi" w:cs="ArialMT"/>
          <w:b/>
          <w:bCs/>
          <w:sz w:val="21"/>
          <w:szCs w:val="21"/>
        </w:rPr>
        <w:t>)</w:t>
      </w:r>
    </w:p>
    <w:p w14:paraId="278C20F9" w14:textId="45D9B3D1" w:rsidR="003717C4" w:rsidRDefault="003717C4" w:rsidP="003717C4">
      <w:pPr>
        <w:autoSpaceDE w:val="0"/>
        <w:autoSpaceDN w:val="0"/>
        <w:adjustRightInd w:val="0"/>
        <w:ind w:right="425"/>
        <w:jc w:val="both"/>
        <w:rPr>
          <w:rFonts w:ascii="Abadi" w:hAnsi="Abadi" w:cs="ArialMT"/>
          <w:b/>
          <w:bCs/>
          <w:sz w:val="21"/>
          <w:szCs w:val="21"/>
        </w:rPr>
      </w:pPr>
    </w:p>
    <w:p w14:paraId="6C5DA56E" w14:textId="24A47401" w:rsidR="003717C4" w:rsidRDefault="003717C4" w:rsidP="00913148">
      <w:pPr>
        <w:pStyle w:val="Prrafodelista"/>
        <w:ind w:left="3540" w:right="-709"/>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w:t>
      </w:r>
      <w:r w:rsidR="004E121E">
        <w:rPr>
          <w:rFonts w:ascii="Abadi" w:hAnsi="Abadi"/>
          <w:b/>
          <w:bCs/>
          <w:sz w:val="18"/>
          <w:szCs w:val="18"/>
        </w:rPr>
        <w:t>19</w:t>
      </w:r>
    </w:p>
    <w:p w14:paraId="54031C55" w14:textId="77777777" w:rsidR="00024D21" w:rsidRDefault="00024D21" w:rsidP="00913148">
      <w:pPr>
        <w:pStyle w:val="Prrafodelista"/>
        <w:ind w:left="3540" w:right="-709"/>
        <w:rPr>
          <w:rFonts w:ascii="Abadi" w:hAnsi="Abadi"/>
          <w:b/>
          <w:bCs/>
          <w:sz w:val="18"/>
          <w:szCs w:val="18"/>
        </w:rPr>
      </w:pPr>
    </w:p>
    <w:p w14:paraId="4A97BAAB" w14:textId="3CCA9CFF" w:rsidR="007075AE" w:rsidRPr="007075AE" w:rsidRDefault="007075AE" w:rsidP="007075AE">
      <w:pPr>
        <w:pStyle w:val="Prrafodelista"/>
        <w:shd w:val="clear" w:color="auto" w:fill="F2F2F2" w:themeFill="background1" w:themeFillShade="F2"/>
        <w:ind w:left="720" w:right="566"/>
        <w:jc w:val="both"/>
        <w:rPr>
          <w:rFonts w:ascii="Abadi" w:hAnsi="Abadi" w:cs="ArialMT"/>
          <w:b/>
          <w:bCs/>
          <w:sz w:val="21"/>
          <w:szCs w:val="21"/>
        </w:rPr>
      </w:pPr>
      <w:r>
        <w:rPr>
          <w:rFonts w:ascii="Abadi" w:hAnsi="Abadi" w:cs="ArialMT"/>
          <w:b/>
          <w:bCs/>
          <w:sz w:val="21"/>
          <w:szCs w:val="21"/>
        </w:rPr>
        <w:t>(</w:t>
      </w:r>
      <w:r>
        <w:rPr>
          <w:rFonts w:ascii="Abadi" w:hAnsi="Abadi"/>
          <w:b/>
          <w:bCs/>
          <w:sz w:val="21"/>
          <w:szCs w:val="21"/>
        </w:rPr>
        <w:t xml:space="preserve">Sube a tribuna el </w:t>
      </w:r>
      <w:r w:rsidRPr="007A1C6A">
        <w:rPr>
          <w:rFonts w:ascii="Abadi" w:hAnsi="Abadi"/>
          <w:b/>
          <w:bCs/>
          <w:sz w:val="21"/>
          <w:szCs w:val="21"/>
        </w:rPr>
        <w:t xml:space="preserve"> diputado Víctor Manuel Zanella, para hablar en conta del Punto de Acuerdo</w:t>
      </w:r>
      <w:r w:rsidRPr="006328A0">
        <w:rPr>
          <w:rFonts w:ascii="Abadi" w:hAnsi="Abadi" w:cs="ArialMT"/>
          <w:b/>
          <w:bCs/>
          <w:sz w:val="21"/>
          <w:szCs w:val="21"/>
        </w:rPr>
        <w:t>)</w:t>
      </w:r>
      <w:r>
        <w:rPr>
          <w:rFonts w:ascii="Abadi" w:hAnsi="Abadi" w:cs="ArialMT"/>
          <w:b/>
          <w:bCs/>
          <w:sz w:val="21"/>
          <w:szCs w:val="21"/>
        </w:rPr>
        <w:t xml:space="preserve">  </w:t>
      </w:r>
    </w:p>
    <w:p w14:paraId="4BD43E14" w14:textId="2552B7AD" w:rsidR="003717C4" w:rsidRDefault="003717C4" w:rsidP="00B71088">
      <w:pPr>
        <w:autoSpaceDE w:val="0"/>
        <w:autoSpaceDN w:val="0"/>
        <w:adjustRightInd w:val="0"/>
        <w:ind w:left="426" w:right="425" w:hanging="426"/>
        <w:jc w:val="both"/>
        <w:rPr>
          <w:rFonts w:ascii="Abadi" w:hAnsi="Abadi" w:cs="ArialMT"/>
          <w:b/>
          <w:bCs/>
          <w:sz w:val="21"/>
          <w:szCs w:val="21"/>
        </w:rPr>
      </w:pPr>
    </w:p>
    <w:p w14:paraId="1E60B4A2" w14:textId="77777777" w:rsidR="007075AE" w:rsidRDefault="007075AE" w:rsidP="007075AE">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121</w:t>
      </w:r>
    </w:p>
    <w:p w14:paraId="74C41A42" w14:textId="77777777" w:rsidR="004F6917" w:rsidRDefault="004F6917" w:rsidP="003717C4">
      <w:pPr>
        <w:autoSpaceDE w:val="0"/>
        <w:autoSpaceDN w:val="0"/>
        <w:adjustRightInd w:val="0"/>
        <w:ind w:right="425"/>
        <w:jc w:val="both"/>
        <w:rPr>
          <w:rFonts w:ascii="Abadi" w:hAnsi="Abadi"/>
          <w:b/>
          <w:bCs/>
          <w:sz w:val="21"/>
          <w:szCs w:val="21"/>
        </w:rPr>
      </w:pPr>
    </w:p>
    <w:p w14:paraId="5554D057" w14:textId="77777777" w:rsidR="006057EB" w:rsidRDefault="006057EB" w:rsidP="006057EB">
      <w:pPr>
        <w:pStyle w:val="Prrafodelista"/>
        <w:ind w:left="3540" w:right="-709"/>
        <w:rPr>
          <w:rFonts w:ascii="Abadi" w:hAnsi="Abadi"/>
          <w:b/>
          <w:bCs/>
          <w:sz w:val="18"/>
          <w:szCs w:val="18"/>
        </w:rPr>
      </w:pPr>
    </w:p>
    <w:p w14:paraId="31C98727" w14:textId="3FF85410" w:rsidR="006057EB" w:rsidRPr="007075AE" w:rsidRDefault="006057EB" w:rsidP="006057EB">
      <w:pPr>
        <w:pStyle w:val="Prrafodelista"/>
        <w:shd w:val="clear" w:color="auto" w:fill="F2F2F2" w:themeFill="background1" w:themeFillShade="F2"/>
        <w:ind w:left="720" w:right="566"/>
        <w:jc w:val="both"/>
        <w:rPr>
          <w:rFonts w:ascii="Abadi" w:hAnsi="Abadi" w:cs="ArialMT"/>
          <w:b/>
          <w:bCs/>
          <w:sz w:val="21"/>
          <w:szCs w:val="21"/>
        </w:rPr>
      </w:pPr>
      <w:r>
        <w:rPr>
          <w:rFonts w:ascii="Abadi" w:hAnsi="Abadi" w:cs="ArialMT"/>
          <w:b/>
          <w:bCs/>
          <w:sz w:val="21"/>
          <w:szCs w:val="21"/>
        </w:rPr>
        <w:t>(</w:t>
      </w:r>
      <w:r>
        <w:rPr>
          <w:rFonts w:ascii="Abadi" w:hAnsi="Abadi"/>
          <w:b/>
          <w:bCs/>
          <w:sz w:val="21"/>
          <w:szCs w:val="21"/>
        </w:rPr>
        <w:t xml:space="preserve">Sube a tribuna </w:t>
      </w:r>
      <w:r w:rsidR="00826EDB">
        <w:rPr>
          <w:rFonts w:ascii="Abadi" w:hAnsi="Abadi"/>
          <w:b/>
          <w:bCs/>
          <w:sz w:val="21"/>
          <w:szCs w:val="21"/>
        </w:rPr>
        <w:t xml:space="preserve">la </w:t>
      </w:r>
      <w:r w:rsidR="00826EDB" w:rsidRPr="007A1C6A">
        <w:rPr>
          <w:rFonts w:ascii="Abadi" w:hAnsi="Abadi"/>
          <w:b/>
          <w:bCs/>
          <w:sz w:val="21"/>
          <w:szCs w:val="21"/>
        </w:rPr>
        <w:t>diputada</w:t>
      </w:r>
      <w:r w:rsidR="00826EDB">
        <w:rPr>
          <w:rFonts w:ascii="Abadi" w:hAnsi="Abadi"/>
          <w:b/>
          <w:bCs/>
          <w:sz w:val="21"/>
          <w:szCs w:val="21"/>
        </w:rPr>
        <w:t xml:space="preserve"> Alma Edwvi</w:t>
      </w:r>
      <w:r w:rsidR="00813198">
        <w:rPr>
          <w:rFonts w:ascii="Abadi" w:hAnsi="Abadi"/>
          <w:b/>
          <w:bCs/>
          <w:sz w:val="21"/>
          <w:szCs w:val="21"/>
        </w:rPr>
        <w:t>ges Alcaraz, a tribuna para rectificación de hechos, con la palabra austeridad</w:t>
      </w:r>
      <w:r w:rsidRPr="006328A0">
        <w:rPr>
          <w:rFonts w:ascii="Abadi" w:hAnsi="Abadi" w:cs="ArialMT"/>
          <w:b/>
          <w:bCs/>
          <w:sz w:val="21"/>
          <w:szCs w:val="21"/>
        </w:rPr>
        <w:t>)</w:t>
      </w:r>
      <w:r>
        <w:rPr>
          <w:rFonts w:ascii="Abadi" w:hAnsi="Abadi" w:cs="ArialMT"/>
          <w:b/>
          <w:bCs/>
          <w:sz w:val="21"/>
          <w:szCs w:val="21"/>
        </w:rPr>
        <w:t xml:space="preserve">  </w:t>
      </w:r>
    </w:p>
    <w:p w14:paraId="328C7E4A" w14:textId="77777777" w:rsidR="004F6917" w:rsidRDefault="004F6917" w:rsidP="003717C4">
      <w:pPr>
        <w:autoSpaceDE w:val="0"/>
        <w:autoSpaceDN w:val="0"/>
        <w:adjustRightInd w:val="0"/>
        <w:ind w:right="425"/>
        <w:jc w:val="both"/>
        <w:rPr>
          <w:rFonts w:ascii="Abadi" w:hAnsi="Abadi"/>
          <w:b/>
          <w:bCs/>
          <w:sz w:val="21"/>
          <w:szCs w:val="21"/>
        </w:rPr>
      </w:pPr>
    </w:p>
    <w:p w14:paraId="3EED6C8B" w14:textId="29461910" w:rsidR="00813198" w:rsidRDefault="00813198" w:rsidP="00813198">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125</w:t>
      </w:r>
    </w:p>
    <w:p w14:paraId="013C35C9" w14:textId="495152F0" w:rsidR="00B71088" w:rsidRDefault="00B71088" w:rsidP="00813198">
      <w:pPr>
        <w:pStyle w:val="Prrafodelista"/>
        <w:ind w:left="2844" w:right="-709" w:firstLine="696"/>
        <w:rPr>
          <w:rFonts w:ascii="Abadi" w:hAnsi="Abadi"/>
          <w:b/>
          <w:bCs/>
          <w:sz w:val="18"/>
          <w:szCs w:val="18"/>
        </w:rPr>
      </w:pPr>
    </w:p>
    <w:p w14:paraId="63E0A2B5" w14:textId="77777777" w:rsidR="00B71088" w:rsidRDefault="00B71088" w:rsidP="00813198">
      <w:pPr>
        <w:pStyle w:val="Prrafodelista"/>
        <w:ind w:left="2844" w:right="-709" w:firstLine="696"/>
        <w:rPr>
          <w:rFonts w:ascii="Abadi" w:hAnsi="Abadi"/>
          <w:b/>
          <w:bCs/>
          <w:sz w:val="18"/>
          <w:szCs w:val="18"/>
        </w:rPr>
      </w:pPr>
    </w:p>
    <w:p w14:paraId="14F7732C" w14:textId="1E73F951" w:rsidR="00813198" w:rsidRDefault="00813198" w:rsidP="00813198">
      <w:pPr>
        <w:autoSpaceDE w:val="0"/>
        <w:autoSpaceDN w:val="0"/>
        <w:adjustRightInd w:val="0"/>
        <w:ind w:right="425"/>
        <w:jc w:val="both"/>
        <w:rPr>
          <w:rFonts w:ascii="Abadi" w:hAnsi="Abadi"/>
          <w:b/>
          <w:bCs/>
          <w:sz w:val="21"/>
          <w:szCs w:val="21"/>
        </w:rPr>
      </w:pPr>
    </w:p>
    <w:p w14:paraId="67FB74FA" w14:textId="7CDFC917" w:rsidR="004F6917" w:rsidRDefault="00B71088" w:rsidP="00E93E2D">
      <w:pPr>
        <w:shd w:val="clear" w:color="auto" w:fill="F2F2F2" w:themeFill="background1" w:themeFillShade="F2"/>
        <w:autoSpaceDE w:val="0"/>
        <w:autoSpaceDN w:val="0"/>
        <w:adjustRightInd w:val="0"/>
        <w:ind w:left="709" w:right="425"/>
        <w:jc w:val="both"/>
        <w:rPr>
          <w:rFonts w:ascii="Abadi" w:hAnsi="Abadi"/>
          <w:b/>
          <w:bCs/>
          <w:sz w:val="21"/>
          <w:szCs w:val="21"/>
        </w:rPr>
      </w:pPr>
      <w:r w:rsidRPr="005C6595">
        <w:rPr>
          <w:rFonts w:ascii="Abadi" w:hAnsi="Abadi"/>
          <w:b/>
          <w:bCs/>
          <w:sz w:val="21"/>
          <w:szCs w:val="21"/>
        </w:rPr>
        <w:t>(</w:t>
      </w:r>
      <w:r w:rsidR="00813198" w:rsidRPr="005C6595">
        <w:rPr>
          <w:rFonts w:ascii="Abadi" w:hAnsi="Abadi"/>
          <w:b/>
          <w:bCs/>
          <w:sz w:val="21"/>
          <w:szCs w:val="21"/>
        </w:rPr>
        <w:t>Sube a tribuna el diputado Bricio</w:t>
      </w:r>
      <w:r w:rsidR="00BD2F39">
        <w:rPr>
          <w:rFonts w:ascii="Abadi" w:hAnsi="Abadi"/>
          <w:b/>
          <w:bCs/>
          <w:sz w:val="21"/>
          <w:szCs w:val="21"/>
        </w:rPr>
        <w:t xml:space="preserve"> Balderas</w:t>
      </w:r>
      <w:r w:rsidR="00813198" w:rsidRPr="005C6595">
        <w:rPr>
          <w:rFonts w:ascii="Abadi" w:hAnsi="Abadi"/>
          <w:b/>
          <w:bCs/>
          <w:sz w:val="21"/>
          <w:szCs w:val="21"/>
        </w:rPr>
        <w:t xml:space="preserve"> en rectificación de hechos de la diputada que le antecedió referente en relación a la alusión de la ponente al exhortar a los municipios sobre este esquema de deuda que se ha referido hace momento.)</w:t>
      </w:r>
    </w:p>
    <w:p w14:paraId="237D4D73" w14:textId="6FDEFE2E" w:rsidR="00257080" w:rsidRDefault="00257080" w:rsidP="00257080">
      <w:pPr>
        <w:autoSpaceDE w:val="0"/>
        <w:autoSpaceDN w:val="0"/>
        <w:adjustRightInd w:val="0"/>
        <w:jc w:val="both"/>
        <w:rPr>
          <w:rFonts w:ascii="Abadi" w:hAnsi="Abadi" w:cs="ArialMT"/>
          <w:b/>
          <w:bCs/>
          <w:sz w:val="21"/>
          <w:szCs w:val="21"/>
        </w:rPr>
      </w:pPr>
    </w:p>
    <w:p w14:paraId="4180F17D" w14:textId="66733F7F" w:rsidR="005C6595" w:rsidRDefault="005C6595" w:rsidP="005C6595">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12</w:t>
      </w:r>
      <w:r w:rsidR="00BD2F39">
        <w:rPr>
          <w:rFonts w:ascii="Abadi" w:hAnsi="Abadi"/>
          <w:b/>
          <w:bCs/>
          <w:sz w:val="18"/>
          <w:szCs w:val="18"/>
        </w:rPr>
        <w:t>7</w:t>
      </w:r>
    </w:p>
    <w:p w14:paraId="6E57DCA7" w14:textId="3BB8D3A0" w:rsidR="00C50326" w:rsidRDefault="00C50326" w:rsidP="005C6595">
      <w:pPr>
        <w:pStyle w:val="Prrafodelista"/>
        <w:ind w:left="2844" w:right="-709" w:firstLine="696"/>
        <w:rPr>
          <w:rFonts w:ascii="Abadi" w:hAnsi="Abadi"/>
          <w:b/>
          <w:bCs/>
          <w:sz w:val="18"/>
          <w:szCs w:val="18"/>
        </w:rPr>
      </w:pPr>
    </w:p>
    <w:p w14:paraId="3C9B7CC3" w14:textId="77777777" w:rsidR="00C50326" w:rsidRDefault="00C50326" w:rsidP="005C6595">
      <w:pPr>
        <w:pStyle w:val="Prrafodelista"/>
        <w:ind w:left="2844" w:right="-709" w:firstLine="696"/>
        <w:rPr>
          <w:rFonts w:ascii="Abadi" w:hAnsi="Abadi"/>
          <w:b/>
          <w:bCs/>
          <w:sz w:val="18"/>
          <w:szCs w:val="18"/>
        </w:rPr>
      </w:pPr>
    </w:p>
    <w:p w14:paraId="70800F1A" w14:textId="77777777" w:rsidR="00C50326" w:rsidRPr="007A1C6A" w:rsidRDefault="00C50326" w:rsidP="00E93E2D">
      <w:pPr>
        <w:shd w:val="clear" w:color="auto" w:fill="F2F2F2" w:themeFill="background1" w:themeFillShade="F2"/>
        <w:ind w:left="567" w:right="425"/>
        <w:jc w:val="both"/>
        <w:rPr>
          <w:rFonts w:ascii="Abadi" w:hAnsi="Abadi"/>
          <w:noProof/>
          <w:sz w:val="21"/>
          <w:szCs w:val="21"/>
        </w:rPr>
      </w:pPr>
      <w:r w:rsidRPr="007A1C6A">
        <w:rPr>
          <w:rFonts w:ascii="Abadi" w:hAnsi="Abadi"/>
          <w:b/>
          <w:bCs/>
          <w:sz w:val="21"/>
          <w:szCs w:val="21"/>
        </w:rPr>
        <w:t>(Sube a tribuna el diputado David Martinez Mendizabal, en rectificación de hechos, referente a la visita a los municipios de la diputada Alma Edwviges Alcaraz)</w:t>
      </w:r>
      <w:r w:rsidRPr="007A1C6A">
        <w:rPr>
          <w:rFonts w:ascii="Abadi" w:hAnsi="Abadi"/>
          <w:noProof/>
          <w:sz w:val="21"/>
          <w:szCs w:val="21"/>
        </w:rPr>
        <w:t xml:space="preserve"> </w:t>
      </w:r>
    </w:p>
    <w:p w14:paraId="7BD04324" w14:textId="77777777" w:rsidR="00C50326" w:rsidRPr="007A1C6A" w:rsidRDefault="00C50326" w:rsidP="00C50326">
      <w:pPr>
        <w:ind w:left="567" w:firstLine="709"/>
        <w:jc w:val="both"/>
        <w:rPr>
          <w:rFonts w:ascii="Abadi" w:hAnsi="Abadi"/>
          <w:b/>
          <w:bCs/>
          <w:sz w:val="21"/>
          <w:szCs w:val="21"/>
        </w:rPr>
      </w:pPr>
    </w:p>
    <w:p w14:paraId="66C0A2B4" w14:textId="2A24E3A5" w:rsidR="00C50326" w:rsidRDefault="00C50326" w:rsidP="00C50326">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129</w:t>
      </w:r>
    </w:p>
    <w:p w14:paraId="58CA2631" w14:textId="4870D3BE" w:rsidR="005C6595" w:rsidRDefault="005C6595" w:rsidP="00257080">
      <w:pPr>
        <w:autoSpaceDE w:val="0"/>
        <w:autoSpaceDN w:val="0"/>
        <w:adjustRightInd w:val="0"/>
        <w:jc w:val="both"/>
        <w:rPr>
          <w:rFonts w:ascii="Abadi" w:hAnsi="Abadi" w:cs="ArialMT"/>
          <w:b/>
          <w:bCs/>
          <w:sz w:val="21"/>
          <w:szCs w:val="21"/>
        </w:rPr>
      </w:pPr>
    </w:p>
    <w:p w14:paraId="2B77FA77" w14:textId="5E206F98" w:rsidR="00BD2F39" w:rsidRDefault="00BD2F39" w:rsidP="00257080">
      <w:pPr>
        <w:autoSpaceDE w:val="0"/>
        <w:autoSpaceDN w:val="0"/>
        <w:adjustRightInd w:val="0"/>
        <w:jc w:val="both"/>
        <w:rPr>
          <w:rFonts w:ascii="Abadi" w:hAnsi="Abadi" w:cs="ArialMT"/>
          <w:b/>
          <w:bCs/>
          <w:sz w:val="21"/>
          <w:szCs w:val="21"/>
        </w:rPr>
      </w:pPr>
    </w:p>
    <w:p w14:paraId="2DD1A59D" w14:textId="77777777" w:rsidR="00AE5D68" w:rsidRPr="007A1C6A" w:rsidRDefault="00AE5D68" w:rsidP="00A5074E">
      <w:pPr>
        <w:shd w:val="clear" w:color="auto" w:fill="F2F2F2" w:themeFill="background1" w:themeFillShade="F2"/>
        <w:ind w:left="851" w:right="425"/>
        <w:jc w:val="both"/>
        <w:rPr>
          <w:rFonts w:ascii="Abadi" w:hAnsi="Abadi"/>
          <w:b/>
          <w:bCs/>
          <w:sz w:val="21"/>
          <w:szCs w:val="21"/>
        </w:rPr>
      </w:pPr>
      <w:r w:rsidRPr="007A1C6A">
        <w:rPr>
          <w:rFonts w:ascii="Abadi" w:hAnsi="Abadi"/>
          <w:b/>
          <w:bCs/>
          <w:sz w:val="21"/>
          <w:szCs w:val="21"/>
        </w:rPr>
        <w:t>(Sube a tribuna, el diputado Armando Rangel Hernández, para clarificar los hechos respecto al concepto de austeridad del diputado que le antecedió)</w:t>
      </w:r>
    </w:p>
    <w:p w14:paraId="1D65FA5B" w14:textId="6C422A41" w:rsidR="00804E44" w:rsidRDefault="00804E44" w:rsidP="00257080">
      <w:pPr>
        <w:autoSpaceDE w:val="0"/>
        <w:autoSpaceDN w:val="0"/>
        <w:adjustRightInd w:val="0"/>
        <w:jc w:val="both"/>
        <w:rPr>
          <w:rFonts w:ascii="Abadi" w:hAnsi="Abadi" w:cs="ArialMT"/>
          <w:b/>
          <w:bCs/>
          <w:sz w:val="21"/>
          <w:szCs w:val="21"/>
        </w:rPr>
      </w:pPr>
    </w:p>
    <w:p w14:paraId="415BFE78" w14:textId="013E0901" w:rsidR="00804E44" w:rsidRDefault="00804E44" w:rsidP="00257080">
      <w:pPr>
        <w:autoSpaceDE w:val="0"/>
        <w:autoSpaceDN w:val="0"/>
        <w:adjustRightInd w:val="0"/>
        <w:jc w:val="both"/>
        <w:rPr>
          <w:rFonts w:ascii="Abadi" w:hAnsi="Abadi" w:cs="ArialMT"/>
          <w:b/>
          <w:bCs/>
          <w:sz w:val="21"/>
          <w:szCs w:val="21"/>
        </w:rPr>
      </w:pPr>
    </w:p>
    <w:p w14:paraId="43EC22CF" w14:textId="02995385" w:rsidR="00804E44" w:rsidRPr="00A5074E" w:rsidRDefault="00A5074E" w:rsidP="00A5074E">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130</w:t>
      </w:r>
    </w:p>
    <w:p w14:paraId="76AEEFC3" w14:textId="77777777" w:rsidR="00A5074E" w:rsidRPr="007A1C6A" w:rsidRDefault="00A5074E" w:rsidP="00A5074E">
      <w:pPr>
        <w:shd w:val="clear" w:color="auto" w:fill="F2F2F2" w:themeFill="background1" w:themeFillShade="F2"/>
        <w:ind w:left="851" w:right="425"/>
        <w:jc w:val="both"/>
        <w:rPr>
          <w:rFonts w:ascii="Abadi" w:hAnsi="Abadi"/>
          <w:b/>
          <w:bCs/>
          <w:sz w:val="21"/>
          <w:szCs w:val="21"/>
        </w:rPr>
      </w:pPr>
      <w:r w:rsidRPr="007A1C6A">
        <w:rPr>
          <w:rFonts w:ascii="Abadi" w:hAnsi="Abadi"/>
          <w:b/>
          <w:bCs/>
          <w:sz w:val="21"/>
          <w:szCs w:val="21"/>
        </w:rPr>
        <w:t>(Sube a tribuna la diputada Ruth Noemí Tiscareño, para hablar en contra)</w:t>
      </w:r>
    </w:p>
    <w:p w14:paraId="06FA765B" w14:textId="519B34C2" w:rsidR="00804E44" w:rsidRDefault="00804E44" w:rsidP="00A5074E">
      <w:pPr>
        <w:autoSpaceDE w:val="0"/>
        <w:autoSpaceDN w:val="0"/>
        <w:adjustRightInd w:val="0"/>
        <w:ind w:left="851" w:right="425"/>
        <w:jc w:val="both"/>
        <w:rPr>
          <w:rFonts w:ascii="Abadi" w:hAnsi="Abadi" w:cs="ArialMT"/>
          <w:b/>
          <w:bCs/>
          <w:sz w:val="21"/>
          <w:szCs w:val="21"/>
        </w:rPr>
      </w:pPr>
    </w:p>
    <w:p w14:paraId="75DD29C4" w14:textId="749BAE94" w:rsidR="00A5074E" w:rsidRPr="00A5074E" w:rsidRDefault="00A5074E" w:rsidP="00A5074E">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131</w:t>
      </w:r>
    </w:p>
    <w:p w14:paraId="4A43DD0E" w14:textId="77777777" w:rsidR="00804E44" w:rsidRPr="00C46026" w:rsidRDefault="00804E44" w:rsidP="00257080">
      <w:pPr>
        <w:autoSpaceDE w:val="0"/>
        <w:autoSpaceDN w:val="0"/>
        <w:adjustRightInd w:val="0"/>
        <w:jc w:val="both"/>
        <w:rPr>
          <w:rFonts w:ascii="Abadi" w:hAnsi="Abadi" w:cs="ArialMT"/>
          <w:b/>
          <w:bCs/>
          <w:sz w:val="21"/>
          <w:szCs w:val="21"/>
        </w:rPr>
      </w:pPr>
    </w:p>
    <w:p w14:paraId="191100AF" w14:textId="0D4BD200"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1C7A6A">
        <w:rPr>
          <w:rFonts w:ascii="Abadi" w:hAnsi="Abadi" w:cs="ArialMT"/>
          <w:b/>
          <w:bCs/>
          <w:sz w:val="21"/>
          <w:szCs w:val="21"/>
        </w:rPr>
        <w:t>Presentación de la propuesta de punto de acuerdo de obvia resolución suscrita por las diputadas y los diputados integrantes del Grupo Parlamentario del Partido MORENA a efecto de crear la Comisión Especial de Seguimiento a los hechos del 1 de mayo en el municipio de Irapuato, Guanajuato y, en su caso, aprobación de la misma.</w:t>
      </w:r>
    </w:p>
    <w:p w14:paraId="4923D54E" w14:textId="77777777" w:rsidR="003157EC" w:rsidRDefault="003157EC" w:rsidP="003157EC">
      <w:pPr>
        <w:pStyle w:val="Prrafodelista"/>
        <w:ind w:left="720" w:right="-709"/>
        <w:rPr>
          <w:rFonts w:ascii="Abadi" w:hAnsi="Abadi"/>
          <w:b/>
          <w:bCs/>
          <w:sz w:val="18"/>
          <w:szCs w:val="18"/>
        </w:rPr>
      </w:pPr>
    </w:p>
    <w:p w14:paraId="66C06F7B" w14:textId="75E20414" w:rsidR="003157EC" w:rsidRDefault="003157EC" w:rsidP="00913148">
      <w:pPr>
        <w:pStyle w:val="Prrafodelista"/>
        <w:ind w:left="2844" w:right="-709" w:firstLine="696"/>
        <w:rPr>
          <w:rFonts w:ascii="Abadi" w:hAnsi="Abadi"/>
          <w:b/>
          <w:bCs/>
          <w:sz w:val="18"/>
          <w:szCs w:val="18"/>
        </w:rPr>
      </w:pPr>
      <w:r w:rsidRPr="00A60217">
        <w:rPr>
          <w:rFonts w:ascii="Abadi" w:hAnsi="Abadi"/>
          <w:b/>
          <w:bCs/>
          <w:sz w:val="18"/>
          <w:szCs w:val="18"/>
        </w:rPr>
        <w:t xml:space="preserve">Pág. </w:t>
      </w:r>
      <w:r w:rsidR="001E6654">
        <w:rPr>
          <w:rFonts w:ascii="Abadi" w:hAnsi="Abadi"/>
          <w:b/>
          <w:bCs/>
          <w:sz w:val="18"/>
          <w:szCs w:val="18"/>
        </w:rPr>
        <w:t>133</w:t>
      </w:r>
    </w:p>
    <w:p w14:paraId="55527ADD" w14:textId="77777777" w:rsidR="004E121E" w:rsidRDefault="004E121E" w:rsidP="00244F41">
      <w:pPr>
        <w:pStyle w:val="Prrafodelista"/>
        <w:ind w:left="851" w:right="-709" w:firstLine="2689"/>
        <w:jc w:val="both"/>
        <w:rPr>
          <w:rFonts w:ascii="Abadi" w:hAnsi="Abadi"/>
          <w:b/>
          <w:bCs/>
          <w:sz w:val="18"/>
          <w:szCs w:val="18"/>
        </w:rPr>
      </w:pPr>
    </w:p>
    <w:p w14:paraId="3D62D6BD" w14:textId="0CD69107" w:rsidR="00244F41" w:rsidRPr="00E160AE" w:rsidRDefault="00244F41" w:rsidP="0070167D">
      <w:pPr>
        <w:shd w:val="clear" w:color="auto" w:fill="F2F2F2" w:themeFill="background1" w:themeFillShade="F2"/>
        <w:kinsoku w:val="0"/>
        <w:overflowPunct w:val="0"/>
        <w:autoSpaceDE w:val="0"/>
        <w:autoSpaceDN w:val="0"/>
        <w:adjustRightInd w:val="0"/>
        <w:ind w:left="851" w:right="425"/>
        <w:jc w:val="both"/>
        <w:rPr>
          <w:rFonts w:ascii="Abadi" w:hAnsi="Abadi" w:cs="Cambria"/>
          <w:b/>
          <w:bCs/>
          <w:color w:val="16151D"/>
          <w:sz w:val="21"/>
          <w:szCs w:val="21"/>
          <w:lang w:val="es-MX"/>
        </w:rPr>
      </w:pPr>
      <w:r w:rsidRPr="00E160AE">
        <w:rPr>
          <w:rFonts w:ascii="Abadi" w:hAnsi="Abadi" w:cs="Cambria"/>
          <w:b/>
          <w:bCs/>
          <w:color w:val="16151D"/>
          <w:sz w:val="21"/>
          <w:szCs w:val="21"/>
          <w:lang w:val="es-MX"/>
        </w:rPr>
        <w:t>(Sube a tribuna la diputada Susana Bermúdez, para hablar en contra del punto de acuerdo de obvia resolución)</w:t>
      </w:r>
    </w:p>
    <w:p w14:paraId="13D4E449" w14:textId="77777777" w:rsidR="00244F41" w:rsidRPr="00E160AE" w:rsidRDefault="00244F41" w:rsidP="00244F41">
      <w:pPr>
        <w:kinsoku w:val="0"/>
        <w:overflowPunct w:val="0"/>
        <w:autoSpaceDE w:val="0"/>
        <w:autoSpaceDN w:val="0"/>
        <w:adjustRightInd w:val="0"/>
        <w:ind w:right="-1"/>
        <w:jc w:val="both"/>
        <w:rPr>
          <w:rFonts w:ascii="Abadi" w:hAnsi="Abadi" w:cs="Cambria"/>
          <w:b/>
          <w:bCs/>
          <w:color w:val="16151D"/>
          <w:sz w:val="21"/>
          <w:szCs w:val="21"/>
          <w:lang w:val="es-MX"/>
        </w:rPr>
      </w:pPr>
    </w:p>
    <w:p w14:paraId="30C40FD6" w14:textId="70916FC1" w:rsidR="003157EC" w:rsidRDefault="003157EC" w:rsidP="00604B22">
      <w:pPr>
        <w:pStyle w:val="Prrafodelista"/>
        <w:autoSpaceDE w:val="0"/>
        <w:autoSpaceDN w:val="0"/>
        <w:adjustRightInd w:val="0"/>
        <w:ind w:left="720" w:right="425"/>
        <w:jc w:val="both"/>
        <w:rPr>
          <w:rFonts w:ascii="Abadi" w:hAnsi="Abadi" w:cs="ArialMT"/>
          <w:b/>
          <w:bCs/>
          <w:sz w:val="21"/>
          <w:szCs w:val="21"/>
        </w:rPr>
      </w:pPr>
      <w:r w:rsidRPr="004E121E">
        <w:rPr>
          <w:rFonts w:ascii="Abadi" w:hAnsi="Abadi" w:cs="ArialMT"/>
          <w:b/>
          <w:bCs/>
          <w:sz w:val="21"/>
          <w:szCs w:val="21"/>
        </w:rPr>
        <w:tab/>
      </w:r>
    </w:p>
    <w:p w14:paraId="423D123E" w14:textId="4C4428F6" w:rsidR="004D133C" w:rsidRDefault="004D133C" w:rsidP="004D133C">
      <w:pPr>
        <w:pStyle w:val="Prrafodelista"/>
        <w:ind w:left="2844" w:right="-709" w:firstLine="696"/>
        <w:rPr>
          <w:rFonts w:ascii="Abadi" w:hAnsi="Abadi"/>
          <w:b/>
          <w:bCs/>
          <w:sz w:val="18"/>
          <w:szCs w:val="18"/>
        </w:rPr>
      </w:pPr>
      <w:r w:rsidRPr="00A60217">
        <w:rPr>
          <w:rFonts w:ascii="Abadi" w:hAnsi="Abadi"/>
          <w:b/>
          <w:bCs/>
          <w:sz w:val="18"/>
          <w:szCs w:val="18"/>
        </w:rPr>
        <w:t xml:space="preserve">Pág. </w:t>
      </w:r>
      <w:r w:rsidR="00CA06E8">
        <w:rPr>
          <w:rFonts w:ascii="Abadi" w:hAnsi="Abadi"/>
          <w:b/>
          <w:bCs/>
          <w:sz w:val="18"/>
          <w:szCs w:val="18"/>
        </w:rPr>
        <w:t>135</w:t>
      </w:r>
    </w:p>
    <w:p w14:paraId="16793042" w14:textId="77777777" w:rsidR="004D133C" w:rsidRPr="004E121E" w:rsidRDefault="004D133C" w:rsidP="00604B22">
      <w:pPr>
        <w:pStyle w:val="Prrafodelista"/>
        <w:autoSpaceDE w:val="0"/>
        <w:autoSpaceDN w:val="0"/>
        <w:adjustRightInd w:val="0"/>
        <w:ind w:left="720" w:right="425"/>
        <w:jc w:val="both"/>
        <w:rPr>
          <w:rFonts w:ascii="Abadi" w:hAnsi="Abadi" w:cs="ArialMT"/>
          <w:b/>
          <w:bCs/>
          <w:sz w:val="21"/>
          <w:szCs w:val="21"/>
        </w:rPr>
      </w:pPr>
    </w:p>
    <w:p w14:paraId="41FCB891" w14:textId="3EFB317D" w:rsidR="0070167D" w:rsidRPr="00E160AE" w:rsidRDefault="0070167D" w:rsidP="002D24DF">
      <w:pPr>
        <w:shd w:val="clear" w:color="auto" w:fill="F2F2F2" w:themeFill="background1" w:themeFillShade="F2"/>
        <w:kinsoku w:val="0"/>
        <w:overflowPunct w:val="0"/>
        <w:autoSpaceDE w:val="0"/>
        <w:autoSpaceDN w:val="0"/>
        <w:adjustRightInd w:val="0"/>
        <w:ind w:left="851" w:right="425"/>
        <w:jc w:val="both"/>
        <w:rPr>
          <w:rFonts w:ascii="Abadi" w:hAnsi="Abadi" w:cs="Cambria"/>
          <w:b/>
          <w:bCs/>
          <w:color w:val="16151D"/>
          <w:sz w:val="21"/>
          <w:szCs w:val="21"/>
          <w:lang w:val="es-MX"/>
        </w:rPr>
      </w:pPr>
      <w:r w:rsidRPr="002D24DF">
        <w:rPr>
          <w:rFonts w:ascii="Abadi" w:hAnsi="Abadi" w:cs="Cambria"/>
          <w:b/>
          <w:bCs/>
          <w:color w:val="16151D"/>
          <w:sz w:val="21"/>
          <w:szCs w:val="21"/>
          <w:lang w:val="es-MX"/>
        </w:rPr>
        <w:t>(Sube a tribuna el diputado Ernesto Millán Soberanes, para rectificación de hechos de la persona que le antecedió respecto a «legalidad»)</w:t>
      </w:r>
      <w:r w:rsidRPr="00E160AE">
        <w:rPr>
          <w:rFonts w:ascii="Abadi" w:hAnsi="Abadi" w:cs="Cambria"/>
          <w:b/>
          <w:bCs/>
          <w:color w:val="16151D"/>
          <w:sz w:val="21"/>
          <w:szCs w:val="21"/>
          <w:lang w:val="es-MX"/>
        </w:rPr>
        <w:t xml:space="preserve"> </w:t>
      </w:r>
    </w:p>
    <w:p w14:paraId="3C53ED20" w14:textId="1C2D93BA" w:rsidR="00257080" w:rsidRDefault="00257080" w:rsidP="008A5268">
      <w:pPr>
        <w:autoSpaceDE w:val="0"/>
        <w:autoSpaceDN w:val="0"/>
        <w:adjustRightInd w:val="0"/>
        <w:ind w:left="851" w:right="425"/>
        <w:jc w:val="both"/>
        <w:rPr>
          <w:rFonts w:ascii="Abadi" w:hAnsi="Abadi" w:cs="Arial-BoldMT"/>
          <w:b/>
          <w:bCs/>
          <w:sz w:val="21"/>
          <w:szCs w:val="21"/>
        </w:rPr>
      </w:pPr>
    </w:p>
    <w:p w14:paraId="73515882" w14:textId="06F57C5A" w:rsidR="002D24DF" w:rsidRDefault="002D24DF" w:rsidP="002D24DF">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137</w:t>
      </w:r>
    </w:p>
    <w:p w14:paraId="1B890A00" w14:textId="1C3929A9" w:rsidR="002D24DF" w:rsidRDefault="002D24DF" w:rsidP="008A5268">
      <w:pPr>
        <w:autoSpaceDE w:val="0"/>
        <w:autoSpaceDN w:val="0"/>
        <w:adjustRightInd w:val="0"/>
        <w:ind w:left="851" w:right="425"/>
        <w:jc w:val="both"/>
        <w:rPr>
          <w:rFonts w:ascii="Abadi" w:hAnsi="Abadi" w:cs="Arial-BoldMT"/>
          <w:b/>
          <w:bCs/>
          <w:sz w:val="21"/>
          <w:szCs w:val="21"/>
        </w:rPr>
      </w:pPr>
    </w:p>
    <w:p w14:paraId="109E14F6" w14:textId="77777777" w:rsidR="009C22E5" w:rsidRPr="00E160AE" w:rsidRDefault="009C22E5" w:rsidP="009C22E5">
      <w:pPr>
        <w:shd w:val="clear" w:color="auto" w:fill="F2F2F2" w:themeFill="background1" w:themeFillShade="F2"/>
        <w:kinsoku w:val="0"/>
        <w:overflowPunct w:val="0"/>
        <w:autoSpaceDE w:val="0"/>
        <w:autoSpaceDN w:val="0"/>
        <w:adjustRightInd w:val="0"/>
        <w:ind w:left="851" w:right="425"/>
        <w:jc w:val="both"/>
        <w:rPr>
          <w:rFonts w:ascii="Abadi" w:hAnsi="Abadi" w:cs="Cambria"/>
          <w:b/>
          <w:bCs/>
          <w:color w:val="16151D"/>
          <w:sz w:val="21"/>
          <w:szCs w:val="21"/>
          <w:lang w:val="es-MX"/>
        </w:rPr>
      </w:pPr>
      <w:r w:rsidRPr="00E160AE">
        <w:rPr>
          <w:rFonts w:ascii="Abadi" w:hAnsi="Abadi" w:cs="Cambria"/>
          <w:b/>
          <w:bCs/>
          <w:color w:val="16151D"/>
          <w:sz w:val="21"/>
          <w:szCs w:val="21"/>
          <w:lang w:val="es-MX"/>
        </w:rPr>
        <w:t xml:space="preserve">(Sube a tribuna la diputada Susana Bermúdez Cano para rectificación de hechos, de la persona quien le antecedió «respecto de los </w:t>
      </w:r>
      <w:r w:rsidRPr="00E160AE">
        <w:rPr>
          <w:rFonts w:ascii="Abadi" w:hAnsi="Abadi" w:cs="Cambria"/>
          <w:b/>
          <w:bCs/>
          <w:color w:val="16151D"/>
          <w:sz w:val="21"/>
          <w:szCs w:val="21"/>
          <w:lang w:val="es-MX"/>
        </w:rPr>
        <w:t>antecedentes de otras Comisiones Especiales»)</w:t>
      </w:r>
    </w:p>
    <w:p w14:paraId="5490C6A3" w14:textId="0800A008" w:rsidR="009C22E5" w:rsidRDefault="009C22E5" w:rsidP="009C22E5">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137</w:t>
      </w:r>
    </w:p>
    <w:p w14:paraId="1B08075C" w14:textId="6B1B245E" w:rsidR="00CF1CC7" w:rsidRDefault="00CF1CC7" w:rsidP="009C22E5">
      <w:pPr>
        <w:pStyle w:val="Prrafodelista"/>
        <w:ind w:left="2844" w:right="-709" w:firstLine="696"/>
        <w:rPr>
          <w:rFonts w:ascii="Abadi" w:hAnsi="Abadi"/>
          <w:b/>
          <w:bCs/>
          <w:sz w:val="18"/>
          <w:szCs w:val="18"/>
        </w:rPr>
      </w:pPr>
    </w:p>
    <w:p w14:paraId="0B4F1D9E" w14:textId="77777777" w:rsidR="00162C8D" w:rsidRPr="00A5074E" w:rsidRDefault="00162C8D" w:rsidP="009C22E5">
      <w:pPr>
        <w:pStyle w:val="Prrafodelista"/>
        <w:ind w:left="2844" w:right="-709" w:firstLine="696"/>
        <w:rPr>
          <w:rFonts w:ascii="Abadi" w:hAnsi="Abadi"/>
          <w:b/>
          <w:bCs/>
          <w:sz w:val="18"/>
          <w:szCs w:val="18"/>
        </w:rPr>
      </w:pPr>
    </w:p>
    <w:p w14:paraId="3990EDD4" w14:textId="77777777" w:rsidR="00CF1CC7" w:rsidRPr="00E160AE" w:rsidRDefault="00CF1CC7" w:rsidP="00162C8D">
      <w:pPr>
        <w:shd w:val="clear" w:color="auto" w:fill="F2F2F2" w:themeFill="background1" w:themeFillShade="F2"/>
        <w:kinsoku w:val="0"/>
        <w:overflowPunct w:val="0"/>
        <w:autoSpaceDE w:val="0"/>
        <w:autoSpaceDN w:val="0"/>
        <w:adjustRightInd w:val="0"/>
        <w:ind w:left="851" w:right="283"/>
        <w:jc w:val="both"/>
        <w:rPr>
          <w:rFonts w:ascii="Abadi" w:hAnsi="Abadi" w:cs="Cambria"/>
          <w:b/>
          <w:bCs/>
          <w:color w:val="16151D"/>
          <w:sz w:val="21"/>
          <w:szCs w:val="21"/>
          <w:lang w:val="es-MX"/>
        </w:rPr>
      </w:pPr>
      <w:r w:rsidRPr="00E160AE">
        <w:rPr>
          <w:rFonts w:ascii="Abadi" w:hAnsi="Abadi" w:cs="Cambria"/>
          <w:b/>
          <w:bCs/>
          <w:color w:val="16151D"/>
          <w:sz w:val="21"/>
          <w:szCs w:val="21"/>
          <w:lang w:val="es-MX"/>
        </w:rPr>
        <w:t>(Sube a tribuna el diputado Alejandro Arias Ávila</w:t>
      </w:r>
      <w:r w:rsidRPr="00E160AE">
        <w:rPr>
          <w:rFonts w:ascii="Abadi" w:hAnsi="Abadi" w:cs="Cambria"/>
          <w:color w:val="16151D"/>
          <w:sz w:val="21"/>
          <w:szCs w:val="21"/>
          <w:lang w:val="es-MX"/>
        </w:rPr>
        <w:t xml:space="preserve"> </w:t>
      </w:r>
      <w:r w:rsidRPr="00E160AE">
        <w:rPr>
          <w:rFonts w:ascii="Abadi" w:hAnsi="Abadi" w:cs="Cambria"/>
          <w:b/>
          <w:bCs/>
          <w:color w:val="16151D"/>
          <w:sz w:val="21"/>
          <w:szCs w:val="21"/>
          <w:lang w:val="es-MX"/>
        </w:rPr>
        <w:t>para hablar en contra del punto de acuerdo de obvia resolución)</w:t>
      </w:r>
    </w:p>
    <w:p w14:paraId="57FFEFC4" w14:textId="30AE62A6" w:rsidR="009C22E5" w:rsidRDefault="009C22E5" w:rsidP="008A5268">
      <w:pPr>
        <w:autoSpaceDE w:val="0"/>
        <w:autoSpaceDN w:val="0"/>
        <w:adjustRightInd w:val="0"/>
        <w:ind w:left="851" w:right="425"/>
        <w:jc w:val="both"/>
        <w:rPr>
          <w:rFonts w:ascii="Abadi" w:hAnsi="Abadi" w:cs="Arial-BoldMT"/>
          <w:b/>
          <w:bCs/>
          <w:sz w:val="21"/>
          <w:szCs w:val="21"/>
        </w:rPr>
      </w:pPr>
    </w:p>
    <w:p w14:paraId="5E8DC622" w14:textId="40424419" w:rsidR="00162C8D" w:rsidRDefault="00162C8D" w:rsidP="00162C8D">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138</w:t>
      </w:r>
    </w:p>
    <w:p w14:paraId="2D0B5485" w14:textId="77777777" w:rsidR="0057271B" w:rsidRDefault="0057271B" w:rsidP="008A5268">
      <w:pPr>
        <w:autoSpaceDE w:val="0"/>
        <w:autoSpaceDN w:val="0"/>
        <w:adjustRightInd w:val="0"/>
        <w:ind w:left="851" w:right="425"/>
        <w:jc w:val="both"/>
        <w:rPr>
          <w:rFonts w:ascii="Abadi" w:hAnsi="Abadi" w:cs="Arial-BoldMT"/>
          <w:b/>
          <w:bCs/>
          <w:sz w:val="21"/>
          <w:szCs w:val="21"/>
        </w:rPr>
      </w:pPr>
    </w:p>
    <w:p w14:paraId="67BCF90A" w14:textId="77777777" w:rsidR="009C22E5" w:rsidRPr="00C46026" w:rsidRDefault="009C22E5" w:rsidP="008A5268">
      <w:pPr>
        <w:autoSpaceDE w:val="0"/>
        <w:autoSpaceDN w:val="0"/>
        <w:adjustRightInd w:val="0"/>
        <w:ind w:left="851" w:right="425"/>
        <w:jc w:val="both"/>
        <w:rPr>
          <w:rFonts w:ascii="Abadi" w:hAnsi="Abadi" w:cs="Arial-BoldMT"/>
          <w:b/>
          <w:bCs/>
          <w:sz w:val="21"/>
          <w:szCs w:val="21"/>
        </w:rPr>
      </w:pPr>
    </w:p>
    <w:p w14:paraId="7ABCBD43" w14:textId="70437354"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1C7A6A">
        <w:rPr>
          <w:rFonts w:ascii="Abadi" w:hAnsi="Abadi" w:cs="ArialMT"/>
          <w:b/>
          <w:bCs/>
          <w:sz w:val="21"/>
          <w:szCs w:val="21"/>
        </w:rPr>
        <w:t xml:space="preserve">Presentación del informe de los conceptos generales de los estados financieros de los recursos presupuestales y las transferencias y ajustes </w:t>
      </w:r>
      <w:r w:rsidR="005318C7" w:rsidRPr="001C7A6A">
        <w:rPr>
          <w:rFonts w:ascii="Abadi" w:hAnsi="Abadi" w:cs="ArialMT"/>
          <w:b/>
          <w:bCs/>
          <w:sz w:val="21"/>
          <w:szCs w:val="21"/>
        </w:rPr>
        <w:t xml:space="preserve">presupuestales, </w:t>
      </w:r>
      <w:r w:rsidR="005318C7">
        <w:rPr>
          <w:rFonts w:ascii="Abadi" w:hAnsi="Abadi" w:cs="ArialMT"/>
          <w:b/>
          <w:bCs/>
          <w:sz w:val="21"/>
          <w:szCs w:val="21"/>
        </w:rPr>
        <w:t>correspondiente</w:t>
      </w:r>
      <w:r w:rsidRPr="001C7A6A">
        <w:rPr>
          <w:rFonts w:ascii="Abadi" w:hAnsi="Abadi" w:cs="ArialMT"/>
          <w:b/>
          <w:bCs/>
          <w:sz w:val="21"/>
          <w:szCs w:val="21"/>
        </w:rPr>
        <w:t xml:space="preserve"> al periodo comprendido del 1 al 31 de marzo del año en curso, formulado por la Comisión de Administración y, en su caso, aprobación del mismo.</w:t>
      </w:r>
    </w:p>
    <w:p w14:paraId="66AC5998" w14:textId="77777777" w:rsidR="001420C4" w:rsidRPr="001420C4" w:rsidRDefault="001420C4" w:rsidP="001420C4">
      <w:pPr>
        <w:autoSpaceDE w:val="0"/>
        <w:autoSpaceDN w:val="0"/>
        <w:adjustRightInd w:val="0"/>
        <w:ind w:right="425"/>
        <w:jc w:val="both"/>
        <w:rPr>
          <w:rFonts w:ascii="Abadi" w:hAnsi="Abadi" w:cs="ArialMT"/>
          <w:b/>
          <w:bCs/>
          <w:sz w:val="21"/>
          <w:szCs w:val="21"/>
        </w:rPr>
      </w:pPr>
    </w:p>
    <w:p w14:paraId="35B5AEF9" w14:textId="1A7F6B96" w:rsidR="00257080" w:rsidRDefault="00257080" w:rsidP="008A5268">
      <w:pPr>
        <w:autoSpaceDE w:val="0"/>
        <w:autoSpaceDN w:val="0"/>
        <w:adjustRightInd w:val="0"/>
        <w:ind w:right="425"/>
        <w:jc w:val="both"/>
        <w:rPr>
          <w:rFonts w:ascii="Abadi" w:hAnsi="Abadi" w:cs="Arial-BoldMT"/>
          <w:b/>
          <w:bCs/>
          <w:sz w:val="21"/>
          <w:szCs w:val="21"/>
        </w:rPr>
      </w:pPr>
    </w:p>
    <w:p w14:paraId="6882ABCB" w14:textId="0D8E993C" w:rsidR="001420C4" w:rsidRDefault="001420C4" w:rsidP="001420C4">
      <w:pPr>
        <w:pStyle w:val="Prrafodelista"/>
        <w:ind w:left="2844" w:right="-709" w:firstLine="696"/>
        <w:rPr>
          <w:rFonts w:ascii="Abadi" w:hAnsi="Abadi"/>
          <w:b/>
          <w:bCs/>
          <w:sz w:val="18"/>
          <w:szCs w:val="18"/>
        </w:rPr>
      </w:pPr>
      <w:r w:rsidRPr="00A60217">
        <w:rPr>
          <w:rFonts w:ascii="Abadi" w:hAnsi="Abadi"/>
          <w:b/>
          <w:bCs/>
          <w:sz w:val="18"/>
          <w:szCs w:val="18"/>
        </w:rPr>
        <w:t xml:space="preserve">Pág. </w:t>
      </w:r>
      <w:r w:rsidR="00162C8D">
        <w:rPr>
          <w:rFonts w:ascii="Abadi" w:hAnsi="Abadi"/>
          <w:b/>
          <w:bCs/>
          <w:sz w:val="18"/>
          <w:szCs w:val="18"/>
        </w:rPr>
        <w:t>139</w:t>
      </w:r>
    </w:p>
    <w:p w14:paraId="254F2672" w14:textId="77777777" w:rsidR="001420C4" w:rsidRPr="00C46026" w:rsidRDefault="001420C4" w:rsidP="008A5268">
      <w:pPr>
        <w:autoSpaceDE w:val="0"/>
        <w:autoSpaceDN w:val="0"/>
        <w:adjustRightInd w:val="0"/>
        <w:ind w:right="425"/>
        <w:jc w:val="both"/>
        <w:rPr>
          <w:rFonts w:ascii="Abadi" w:hAnsi="Abadi" w:cs="Arial-BoldMT"/>
          <w:b/>
          <w:bCs/>
          <w:sz w:val="21"/>
          <w:szCs w:val="21"/>
        </w:rPr>
      </w:pPr>
    </w:p>
    <w:p w14:paraId="16065536" w14:textId="6571F2C9"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1C7A6A">
        <w:rPr>
          <w:rFonts w:ascii="Abadi" w:hAnsi="Abadi" w:cs="ArialMT"/>
          <w:b/>
          <w:bCs/>
          <w:sz w:val="21"/>
          <w:szCs w:val="21"/>
        </w:rPr>
        <w:t xml:space="preserve">Discusión y, en su caso, aprobación del dictamen presentado por la Comisión de Seguridad Pública y Comunicaciones relativo a la propuesta de punto de acuerdo suscrita por diputada y diputado integrantes del Grupo Parlamentario del Partido Revolucionario Institucional mediante el cual se efectúa un respetuoso exhorto a los titulares del Ejecutivo Federal y de la Fiscalía General de la República para que, realicen medidas urgentes y contundentes para impedir que, en las fronteras, litorales y aduanas se introduzcan armas de fuego y proyectiles, y se persiga y sancione con eficacia a quienes introduzcan, acopien, trafiquen y/o porten estos </w:t>
      </w:r>
      <w:r w:rsidRPr="001C7A6A">
        <w:rPr>
          <w:rFonts w:ascii="Abadi" w:hAnsi="Abadi" w:cs="ArialMT"/>
          <w:b/>
          <w:bCs/>
          <w:sz w:val="21"/>
          <w:szCs w:val="21"/>
        </w:rPr>
        <w:lastRenderedPageBreak/>
        <w:t>instrumentos en nuestro país.</w:t>
      </w:r>
    </w:p>
    <w:p w14:paraId="382C0127" w14:textId="77777777" w:rsidR="001420C4" w:rsidRDefault="001420C4" w:rsidP="001420C4">
      <w:pPr>
        <w:ind w:left="2832" w:right="-709" w:firstLine="708"/>
        <w:rPr>
          <w:rFonts w:ascii="Abadi" w:hAnsi="Abadi"/>
          <w:b/>
          <w:bCs/>
          <w:sz w:val="18"/>
          <w:szCs w:val="18"/>
        </w:rPr>
      </w:pPr>
    </w:p>
    <w:p w14:paraId="76B06178" w14:textId="4FE54367" w:rsidR="001420C4" w:rsidRDefault="001420C4" w:rsidP="001420C4">
      <w:pPr>
        <w:ind w:left="2832" w:right="-709" w:firstLine="708"/>
        <w:rPr>
          <w:rFonts w:ascii="Abadi" w:hAnsi="Abadi"/>
          <w:b/>
          <w:bCs/>
          <w:sz w:val="18"/>
          <w:szCs w:val="18"/>
        </w:rPr>
      </w:pPr>
      <w:r w:rsidRPr="001420C4">
        <w:rPr>
          <w:rFonts w:ascii="Abadi" w:hAnsi="Abadi"/>
          <w:b/>
          <w:bCs/>
          <w:sz w:val="18"/>
          <w:szCs w:val="18"/>
        </w:rPr>
        <w:t xml:space="preserve">Pág. </w:t>
      </w:r>
      <w:r w:rsidR="00162C8D">
        <w:rPr>
          <w:rFonts w:ascii="Abadi" w:hAnsi="Abadi"/>
          <w:b/>
          <w:bCs/>
          <w:sz w:val="18"/>
          <w:szCs w:val="18"/>
        </w:rPr>
        <w:t>141</w:t>
      </w:r>
    </w:p>
    <w:p w14:paraId="2957952C" w14:textId="20027FCB" w:rsidR="00162C8D" w:rsidRDefault="00162C8D" w:rsidP="001420C4">
      <w:pPr>
        <w:ind w:left="2832" w:right="-709" w:firstLine="708"/>
        <w:rPr>
          <w:rFonts w:ascii="Abadi" w:hAnsi="Abadi"/>
          <w:b/>
          <w:bCs/>
          <w:sz w:val="18"/>
          <w:szCs w:val="18"/>
        </w:rPr>
      </w:pPr>
    </w:p>
    <w:p w14:paraId="1AED5B2D" w14:textId="77777777" w:rsidR="00162C8D" w:rsidRPr="001420C4" w:rsidRDefault="00162C8D" w:rsidP="001420C4">
      <w:pPr>
        <w:ind w:left="2832" w:right="-709" w:firstLine="708"/>
        <w:rPr>
          <w:rFonts w:ascii="Abadi" w:hAnsi="Abadi"/>
          <w:b/>
          <w:bCs/>
          <w:sz w:val="18"/>
          <w:szCs w:val="18"/>
        </w:rPr>
      </w:pPr>
    </w:p>
    <w:p w14:paraId="43CB623C" w14:textId="77777777" w:rsidR="00162C8D" w:rsidRDefault="00162C8D" w:rsidP="00162C8D">
      <w:pPr>
        <w:shd w:val="clear" w:color="auto" w:fill="F2F2F2" w:themeFill="background1" w:themeFillShade="F2"/>
        <w:ind w:left="851" w:right="425"/>
        <w:jc w:val="both"/>
        <w:rPr>
          <w:rFonts w:ascii="Abadi" w:hAnsi="Abadi"/>
          <w:b/>
          <w:bCs/>
          <w:sz w:val="21"/>
          <w:szCs w:val="21"/>
          <w:lang w:val="es-MX"/>
        </w:rPr>
      </w:pPr>
      <w:r w:rsidRPr="00357D15">
        <w:rPr>
          <w:rFonts w:ascii="Abadi" w:hAnsi="Abadi"/>
          <w:b/>
          <w:bCs/>
          <w:sz w:val="21"/>
          <w:szCs w:val="21"/>
          <w:lang w:val="es-MX"/>
        </w:rPr>
        <w:t xml:space="preserve">(Sube a tribuna el diputado Martín López Camacho para hablar a favor del dictamen) </w:t>
      </w:r>
    </w:p>
    <w:p w14:paraId="6C84741B" w14:textId="77777777" w:rsidR="00162C8D" w:rsidRPr="00357D15" w:rsidRDefault="00162C8D" w:rsidP="00162C8D">
      <w:pPr>
        <w:shd w:val="clear" w:color="auto" w:fill="F2F2F2" w:themeFill="background1" w:themeFillShade="F2"/>
        <w:ind w:left="851" w:right="425"/>
        <w:jc w:val="both"/>
        <w:rPr>
          <w:rFonts w:ascii="Abadi" w:hAnsi="Abadi"/>
          <w:b/>
          <w:bCs/>
          <w:sz w:val="21"/>
          <w:szCs w:val="21"/>
          <w:lang w:val="es-MX"/>
        </w:rPr>
      </w:pPr>
    </w:p>
    <w:p w14:paraId="5ACA81B8" w14:textId="77777777" w:rsidR="00162C8D" w:rsidRDefault="00162C8D" w:rsidP="00162C8D">
      <w:pPr>
        <w:ind w:left="2832" w:right="-709" w:firstLine="708"/>
        <w:rPr>
          <w:rFonts w:ascii="Abadi" w:hAnsi="Abadi"/>
          <w:b/>
          <w:bCs/>
          <w:sz w:val="18"/>
          <w:szCs w:val="18"/>
        </w:rPr>
      </w:pPr>
    </w:p>
    <w:p w14:paraId="6A11234D" w14:textId="0BB93247" w:rsidR="00162C8D" w:rsidRDefault="00162C8D" w:rsidP="00162C8D">
      <w:pPr>
        <w:ind w:left="2832" w:right="-709" w:firstLine="708"/>
        <w:rPr>
          <w:rFonts w:ascii="Abadi" w:hAnsi="Abadi"/>
          <w:b/>
          <w:bCs/>
          <w:sz w:val="18"/>
          <w:szCs w:val="18"/>
        </w:rPr>
      </w:pPr>
      <w:r w:rsidRPr="001420C4">
        <w:rPr>
          <w:rFonts w:ascii="Abadi" w:hAnsi="Abadi"/>
          <w:b/>
          <w:bCs/>
          <w:sz w:val="18"/>
          <w:szCs w:val="18"/>
        </w:rPr>
        <w:t xml:space="preserve">Pág. </w:t>
      </w:r>
      <w:r>
        <w:rPr>
          <w:rFonts w:ascii="Abadi" w:hAnsi="Abadi"/>
          <w:b/>
          <w:bCs/>
          <w:sz w:val="18"/>
          <w:szCs w:val="18"/>
        </w:rPr>
        <w:t>145</w:t>
      </w:r>
    </w:p>
    <w:p w14:paraId="48086433" w14:textId="77777777" w:rsidR="00DB5B0A" w:rsidRPr="00357D15" w:rsidRDefault="00DB5B0A" w:rsidP="00DB5B0A">
      <w:pPr>
        <w:shd w:val="clear" w:color="auto" w:fill="F2F2F2" w:themeFill="background1" w:themeFillShade="F2"/>
        <w:ind w:left="851" w:right="425"/>
        <w:jc w:val="both"/>
        <w:rPr>
          <w:rFonts w:ascii="Abadi" w:hAnsi="Abadi"/>
          <w:b/>
          <w:bCs/>
          <w:sz w:val="21"/>
          <w:szCs w:val="21"/>
          <w:lang w:val="es-MX"/>
        </w:rPr>
      </w:pPr>
      <w:r w:rsidRPr="00357D15">
        <w:rPr>
          <w:rFonts w:ascii="Abadi" w:hAnsi="Abadi"/>
          <w:b/>
          <w:bCs/>
          <w:sz w:val="21"/>
          <w:szCs w:val="21"/>
          <w:lang w:val="es-MX"/>
        </w:rPr>
        <w:t>(Sube a tribuna diputada Noemí Tiscareño Agoitia para hablar a favor del dictamen)</w:t>
      </w:r>
    </w:p>
    <w:p w14:paraId="7B9B4F6F" w14:textId="77777777" w:rsidR="00DB5B0A" w:rsidRDefault="00DB5B0A" w:rsidP="00DB5B0A">
      <w:pPr>
        <w:ind w:left="2832" w:right="-709" w:firstLine="708"/>
        <w:rPr>
          <w:rFonts w:ascii="Abadi" w:hAnsi="Abadi"/>
          <w:b/>
          <w:bCs/>
          <w:sz w:val="18"/>
          <w:szCs w:val="18"/>
        </w:rPr>
      </w:pPr>
    </w:p>
    <w:p w14:paraId="10434772" w14:textId="55258E91" w:rsidR="00DB5B0A" w:rsidRDefault="00DB5B0A" w:rsidP="00DB5B0A">
      <w:pPr>
        <w:ind w:left="2832" w:right="-709" w:firstLine="708"/>
        <w:rPr>
          <w:rFonts w:ascii="Abadi" w:hAnsi="Abadi"/>
          <w:b/>
          <w:bCs/>
          <w:sz w:val="18"/>
          <w:szCs w:val="18"/>
        </w:rPr>
      </w:pPr>
      <w:r w:rsidRPr="001420C4">
        <w:rPr>
          <w:rFonts w:ascii="Abadi" w:hAnsi="Abadi"/>
          <w:b/>
          <w:bCs/>
          <w:sz w:val="18"/>
          <w:szCs w:val="18"/>
        </w:rPr>
        <w:t xml:space="preserve">Pág. </w:t>
      </w:r>
      <w:r>
        <w:rPr>
          <w:rFonts w:ascii="Abadi" w:hAnsi="Abadi"/>
          <w:b/>
          <w:bCs/>
          <w:sz w:val="18"/>
          <w:szCs w:val="18"/>
        </w:rPr>
        <w:t>147</w:t>
      </w:r>
    </w:p>
    <w:p w14:paraId="1CDB37A1" w14:textId="77777777" w:rsidR="00B536BD" w:rsidRDefault="00B536BD" w:rsidP="00B536BD">
      <w:pPr>
        <w:shd w:val="clear" w:color="auto" w:fill="F2F2F2" w:themeFill="background1" w:themeFillShade="F2"/>
        <w:ind w:left="2832" w:right="-709" w:firstLine="708"/>
        <w:rPr>
          <w:rFonts w:ascii="Abadi" w:hAnsi="Abadi"/>
          <w:b/>
          <w:bCs/>
          <w:sz w:val="18"/>
          <w:szCs w:val="18"/>
        </w:rPr>
      </w:pPr>
    </w:p>
    <w:p w14:paraId="15AAD121" w14:textId="53C12EA1" w:rsidR="00B536BD" w:rsidRPr="00B536BD" w:rsidRDefault="00B536BD" w:rsidP="00B536BD">
      <w:pPr>
        <w:shd w:val="clear" w:color="auto" w:fill="F2F2F2" w:themeFill="background1" w:themeFillShade="F2"/>
        <w:ind w:left="851" w:right="425"/>
        <w:jc w:val="both"/>
        <w:rPr>
          <w:rFonts w:ascii="Abadi" w:hAnsi="Abadi"/>
          <w:b/>
          <w:bCs/>
          <w:sz w:val="21"/>
          <w:szCs w:val="21"/>
          <w:lang w:val="es-MX"/>
        </w:rPr>
      </w:pPr>
      <w:r w:rsidRPr="00B536BD">
        <w:rPr>
          <w:rFonts w:ascii="Abadi" w:hAnsi="Abadi"/>
          <w:b/>
          <w:bCs/>
          <w:sz w:val="21"/>
          <w:szCs w:val="21"/>
          <w:lang w:val="es-MX"/>
        </w:rPr>
        <w:t>(Diputado David Martinez</w:t>
      </w:r>
      <w:r>
        <w:rPr>
          <w:rFonts w:ascii="Abadi" w:hAnsi="Abadi"/>
          <w:b/>
          <w:bCs/>
          <w:sz w:val="21"/>
          <w:szCs w:val="21"/>
          <w:lang w:val="es-MX"/>
        </w:rPr>
        <w:t xml:space="preserve"> </w:t>
      </w:r>
      <w:r w:rsidRPr="00B536BD">
        <w:rPr>
          <w:rFonts w:ascii="Abadi" w:hAnsi="Abadi"/>
          <w:b/>
          <w:bCs/>
          <w:sz w:val="21"/>
          <w:szCs w:val="21"/>
          <w:lang w:val="es-MX"/>
        </w:rPr>
        <w:t>razona su voto en contra)</w:t>
      </w:r>
    </w:p>
    <w:p w14:paraId="3A3CF3F6" w14:textId="77777777" w:rsidR="0099080B" w:rsidRDefault="0099080B" w:rsidP="00B536BD">
      <w:pPr>
        <w:ind w:left="2832" w:right="-709" w:firstLine="708"/>
        <w:rPr>
          <w:rFonts w:ascii="Abadi" w:hAnsi="Abadi"/>
          <w:b/>
          <w:bCs/>
          <w:sz w:val="18"/>
          <w:szCs w:val="18"/>
        </w:rPr>
      </w:pPr>
    </w:p>
    <w:p w14:paraId="72F14D2E" w14:textId="283FFF96" w:rsidR="00B536BD" w:rsidRDefault="00B536BD" w:rsidP="00B536BD">
      <w:pPr>
        <w:ind w:left="2832" w:right="-709" w:firstLine="708"/>
        <w:rPr>
          <w:rFonts w:ascii="Abadi" w:hAnsi="Abadi"/>
          <w:b/>
          <w:bCs/>
          <w:sz w:val="18"/>
          <w:szCs w:val="18"/>
        </w:rPr>
      </w:pPr>
      <w:r w:rsidRPr="001420C4">
        <w:rPr>
          <w:rFonts w:ascii="Abadi" w:hAnsi="Abadi"/>
          <w:b/>
          <w:bCs/>
          <w:sz w:val="18"/>
          <w:szCs w:val="18"/>
        </w:rPr>
        <w:t xml:space="preserve">Pág. </w:t>
      </w:r>
      <w:r>
        <w:rPr>
          <w:rFonts w:ascii="Abadi" w:hAnsi="Abadi"/>
          <w:b/>
          <w:bCs/>
          <w:sz w:val="18"/>
          <w:szCs w:val="18"/>
        </w:rPr>
        <w:t>147</w:t>
      </w:r>
    </w:p>
    <w:p w14:paraId="287B15DD" w14:textId="150274DD" w:rsidR="00B536BD" w:rsidRDefault="00B536BD" w:rsidP="00B536BD">
      <w:pPr>
        <w:ind w:left="2832" w:right="-709" w:firstLine="708"/>
        <w:rPr>
          <w:rFonts w:ascii="Abadi" w:hAnsi="Abadi"/>
          <w:b/>
          <w:bCs/>
          <w:sz w:val="18"/>
          <w:szCs w:val="18"/>
        </w:rPr>
      </w:pPr>
    </w:p>
    <w:p w14:paraId="3789EFA8" w14:textId="77777777" w:rsidR="005A4500" w:rsidRDefault="005A4500" w:rsidP="005A4500">
      <w:pPr>
        <w:jc w:val="both"/>
        <w:rPr>
          <w:rFonts w:ascii="Abadi" w:hAnsi="Abadi"/>
          <w:b/>
          <w:bCs/>
          <w:sz w:val="21"/>
          <w:szCs w:val="21"/>
          <w:lang w:val="es-MX"/>
        </w:rPr>
      </w:pPr>
    </w:p>
    <w:p w14:paraId="5F7C00FA" w14:textId="5271638A" w:rsidR="001420C4" w:rsidRDefault="005A4500" w:rsidP="0099080B">
      <w:pPr>
        <w:shd w:val="clear" w:color="auto" w:fill="F2F2F2" w:themeFill="background1" w:themeFillShade="F2"/>
        <w:autoSpaceDE w:val="0"/>
        <w:autoSpaceDN w:val="0"/>
        <w:adjustRightInd w:val="0"/>
        <w:ind w:left="851" w:right="425"/>
        <w:jc w:val="both"/>
        <w:rPr>
          <w:rFonts w:ascii="Abadi" w:hAnsi="Abadi"/>
          <w:b/>
          <w:bCs/>
          <w:sz w:val="21"/>
          <w:szCs w:val="21"/>
          <w:lang w:val="es-MX"/>
        </w:rPr>
      </w:pPr>
      <w:r>
        <w:rPr>
          <w:rFonts w:ascii="Abadi" w:hAnsi="Abadi"/>
          <w:b/>
          <w:bCs/>
          <w:sz w:val="21"/>
          <w:szCs w:val="21"/>
          <w:lang w:val="es-MX"/>
        </w:rPr>
        <w:t>(</w:t>
      </w:r>
      <w:r w:rsidRPr="00357D15">
        <w:rPr>
          <w:rFonts w:ascii="Abadi" w:hAnsi="Abadi"/>
          <w:b/>
          <w:bCs/>
          <w:sz w:val="21"/>
          <w:szCs w:val="21"/>
          <w:lang w:val="es-MX"/>
        </w:rPr>
        <w:t>Diputado Cuauhtémoc</w:t>
      </w:r>
      <w:r w:rsidR="005E229D">
        <w:rPr>
          <w:rFonts w:ascii="Abadi" w:hAnsi="Abadi"/>
          <w:b/>
          <w:bCs/>
          <w:sz w:val="21"/>
          <w:szCs w:val="21"/>
          <w:lang w:val="es-MX"/>
        </w:rPr>
        <w:t xml:space="preserve"> Becerra González </w:t>
      </w:r>
      <w:r w:rsidR="0099080B">
        <w:rPr>
          <w:rFonts w:ascii="Abadi" w:hAnsi="Abadi"/>
          <w:b/>
          <w:bCs/>
          <w:sz w:val="21"/>
          <w:szCs w:val="21"/>
          <w:lang w:val="es-MX"/>
        </w:rPr>
        <w:t>razona su voto en contra)</w:t>
      </w:r>
    </w:p>
    <w:p w14:paraId="2DE43E8A" w14:textId="77777777" w:rsidR="0099080B" w:rsidRDefault="0099080B" w:rsidP="0099080B">
      <w:pPr>
        <w:ind w:left="2832" w:right="-709" w:firstLine="708"/>
        <w:rPr>
          <w:rFonts w:ascii="Abadi" w:hAnsi="Abadi"/>
          <w:b/>
          <w:bCs/>
          <w:sz w:val="18"/>
          <w:szCs w:val="18"/>
        </w:rPr>
      </w:pPr>
    </w:p>
    <w:p w14:paraId="42143F43" w14:textId="1DCBC8D4" w:rsidR="0099080B" w:rsidRDefault="0099080B" w:rsidP="0099080B">
      <w:pPr>
        <w:ind w:left="2832" w:right="-709" w:firstLine="708"/>
        <w:rPr>
          <w:rFonts w:ascii="Abadi" w:hAnsi="Abadi"/>
          <w:b/>
          <w:bCs/>
          <w:sz w:val="18"/>
          <w:szCs w:val="18"/>
        </w:rPr>
      </w:pPr>
      <w:r w:rsidRPr="001420C4">
        <w:rPr>
          <w:rFonts w:ascii="Abadi" w:hAnsi="Abadi"/>
          <w:b/>
          <w:bCs/>
          <w:sz w:val="18"/>
          <w:szCs w:val="18"/>
        </w:rPr>
        <w:t xml:space="preserve">Pág. </w:t>
      </w:r>
      <w:r>
        <w:rPr>
          <w:rFonts w:ascii="Abadi" w:hAnsi="Abadi"/>
          <w:b/>
          <w:bCs/>
          <w:sz w:val="18"/>
          <w:szCs w:val="18"/>
        </w:rPr>
        <w:t>147</w:t>
      </w:r>
    </w:p>
    <w:p w14:paraId="630496A6" w14:textId="77777777" w:rsidR="0099080B" w:rsidRPr="001420C4" w:rsidRDefault="0099080B" w:rsidP="0099080B">
      <w:pPr>
        <w:autoSpaceDE w:val="0"/>
        <w:autoSpaceDN w:val="0"/>
        <w:adjustRightInd w:val="0"/>
        <w:ind w:left="851" w:right="425"/>
        <w:jc w:val="both"/>
        <w:rPr>
          <w:rFonts w:ascii="Abadi" w:hAnsi="Abadi" w:cs="ArialMT"/>
          <w:b/>
          <w:bCs/>
          <w:sz w:val="21"/>
          <w:szCs w:val="21"/>
        </w:rPr>
      </w:pPr>
    </w:p>
    <w:p w14:paraId="0BFFA86D" w14:textId="77777777" w:rsidR="00257080" w:rsidRPr="00C46026" w:rsidRDefault="00257080" w:rsidP="00257080">
      <w:pPr>
        <w:autoSpaceDE w:val="0"/>
        <w:autoSpaceDN w:val="0"/>
        <w:adjustRightInd w:val="0"/>
        <w:jc w:val="both"/>
        <w:rPr>
          <w:rFonts w:ascii="Abadi" w:hAnsi="Abadi" w:cs="Arial-BoldMT"/>
          <w:b/>
          <w:bCs/>
          <w:sz w:val="21"/>
          <w:szCs w:val="21"/>
        </w:rPr>
      </w:pPr>
    </w:p>
    <w:p w14:paraId="54843D36" w14:textId="5F362089" w:rsidR="00257080" w:rsidRPr="008A5268"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8A5268">
        <w:rPr>
          <w:rFonts w:ascii="Abadi" w:hAnsi="Abadi" w:cs="ArialMT"/>
          <w:b/>
          <w:bCs/>
          <w:sz w:val="21"/>
          <w:szCs w:val="21"/>
        </w:rPr>
        <w:t>Discusión y, en su caso, aprobación del dictamen suscrito por la Comisión de Seguridad Pública y Comunicaciones relativo a la propuesta de punto de acuerdo suscrita por la diputada Irma Leticia González Sánchez integrante del Grupo Parlamentario del Partido MORENA a efecto de exhortar a los 46 ayuntamientos para que revisen y actualicen los protocolos, reglamentos y manuales de Protección Civil y Bomberos en donde incluyan apartados de análisis de riesgos preventivos, de la misma forma, reexaminar las disposiciones administrativas en la realización de espectáculos públicos masivos; al titular del Poder Ejecutivo a través de la Secretaría de Seguridad Pública para que revise los permisos y certificaciones de las empresas y personal que prestan sus servicios como</w:t>
      </w:r>
      <w:r w:rsidR="001C7A6A" w:rsidRPr="008A5268">
        <w:rPr>
          <w:rFonts w:ascii="Abadi" w:hAnsi="Abadi" w:cs="ArialMT"/>
          <w:b/>
          <w:bCs/>
          <w:sz w:val="21"/>
          <w:szCs w:val="21"/>
        </w:rPr>
        <w:t xml:space="preserve"> </w:t>
      </w:r>
      <w:r w:rsidRPr="008A5268">
        <w:rPr>
          <w:rFonts w:ascii="Abadi" w:hAnsi="Abadi" w:cs="ArialMT"/>
          <w:b/>
          <w:bCs/>
          <w:sz w:val="21"/>
          <w:szCs w:val="21"/>
        </w:rPr>
        <w:t>seguridad privada en el Estado de Guanajuato; y al titular del Poder Ejecutivo a través de la Comisión de Deporte del Estado de Guanajuato, para que informe detalladamente las medidas encaminadas a prevenir la violencia en eventos deportivos, así como las acciones para garantizar el</w:t>
      </w:r>
      <w:r w:rsidR="008A5268" w:rsidRPr="008A5268">
        <w:rPr>
          <w:rFonts w:ascii="Abadi" w:hAnsi="Abadi" w:cs="ArialMT"/>
          <w:b/>
          <w:bCs/>
          <w:sz w:val="21"/>
          <w:szCs w:val="21"/>
        </w:rPr>
        <w:t xml:space="preserve"> </w:t>
      </w:r>
      <w:r w:rsidRPr="008A5268">
        <w:rPr>
          <w:rFonts w:ascii="Abadi" w:hAnsi="Abadi" w:cs="ArialMT"/>
          <w:b/>
          <w:bCs/>
          <w:sz w:val="21"/>
          <w:szCs w:val="21"/>
        </w:rPr>
        <w:t>desarrollo pacífico en los recintos donde se celebran eventos públicos</w:t>
      </w:r>
      <w:r w:rsidR="001C7A6A" w:rsidRPr="008A5268">
        <w:rPr>
          <w:rFonts w:ascii="Abadi" w:hAnsi="Abadi" w:cs="ArialMT"/>
          <w:b/>
          <w:bCs/>
          <w:sz w:val="21"/>
          <w:szCs w:val="21"/>
        </w:rPr>
        <w:t xml:space="preserve"> </w:t>
      </w:r>
      <w:r w:rsidRPr="008A5268">
        <w:rPr>
          <w:rFonts w:ascii="Abadi" w:hAnsi="Abadi" w:cs="ArialMT"/>
          <w:b/>
          <w:bCs/>
          <w:sz w:val="21"/>
          <w:szCs w:val="21"/>
        </w:rPr>
        <w:t>masivos.</w:t>
      </w:r>
    </w:p>
    <w:p w14:paraId="702D18CE" w14:textId="0B35112F" w:rsidR="00257080" w:rsidRDefault="00257080" w:rsidP="008A5268">
      <w:pPr>
        <w:autoSpaceDE w:val="0"/>
        <w:autoSpaceDN w:val="0"/>
        <w:adjustRightInd w:val="0"/>
        <w:ind w:left="851"/>
        <w:jc w:val="both"/>
        <w:rPr>
          <w:rFonts w:ascii="Abadi" w:hAnsi="Abadi" w:cs="Arial-BoldMT"/>
          <w:b/>
          <w:bCs/>
          <w:sz w:val="21"/>
          <w:szCs w:val="21"/>
        </w:rPr>
      </w:pPr>
    </w:p>
    <w:p w14:paraId="0909CE47" w14:textId="5D3D5F22" w:rsidR="001420C4" w:rsidRDefault="001420C4" w:rsidP="001420C4">
      <w:pPr>
        <w:pStyle w:val="Prrafodelista"/>
        <w:ind w:left="2844" w:right="-709" w:firstLine="696"/>
        <w:rPr>
          <w:rFonts w:ascii="Abadi" w:hAnsi="Abadi"/>
          <w:b/>
          <w:bCs/>
          <w:sz w:val="18"/>
          <w:szCs w:val="18"/>
        </w:rPr>
      </w:pPr>
      <w:r w:rsidRPr="00A60217">
        <w:rPr>
          <w:rFonts w:ascii="Abadi" w:hAnsi="Abadi"/>
          <w:b/>
          <w:bCs/>
          <w:sz w:val="18"/>
          <w:szCs w:val="18"/>
        </w:rPr>
        <w:t xml:space="preserve">Pág. </w:t>
      </w:r>
      <w:r w:rsidR="0099080B">
        <w:rPr>
          <w:rFonts w:ascii="Abadi" w:hAnsi="Abadi"/>
          <w:b/>
          <w:bCs/>
          <w:sz w:val="18"/>
          <w:szCs w:val="18"/>
        </w:rPr>
        <w:t>148</w:t>
      </w:r>
    </w:p>
    <w:p w14:paraId="0DE0EDA7" w14:textId="77777777" w:rsidR="001420C4" w:rsidRPr="00C46026" w:rsidRDefault="001420C4" w:rsidP="008A5268">
      <w:pPr>
        <w:autoSpaceDE w:val="0"/>
        <w:autoSpaceDN w:val="0"/>
        <w:adjustRightInd w:val="0"/>
        <w:ind w:left="851"/>
        <w:jc w:val="both"/>
        <w:rPr>
          <w:rFonts w:ascii="Abadi" w:hAnsi="Abadi" w:cs="Arial-BoldMT"/>
          <w:b/>
          <w:bCs/>
          <w:sz w:val="21"/>
          <w:szCs w:val="21"/>
        </w:rPr>
      </w:pPr>
    </w:p>
    <w:p w14:paraId="42049A25" w14:textId="13B852B8"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1C7A6A">
        <w:rPr>
          <w:rFonts w:ascii="Abadi" w:hAnsi="Abadi" w:cs="ArialMT"/>
          <w:b/>
          <w:bCs/>
          <w:sz w:val="21"/>
          <w:szCs w:val="21"/>
        </w:rPr>
        <w:t>Discusión y, en su caso, aprobación del dictamen emitido por la Comisión de Justicia relativo a cinco iniciativas: la primera, a efecto de reformar el artículo 153-a, fracción VI; y adicionar un tercer párrafo al artículo 18, la fracción VIII bis al artículo 38, las fracciones VIII y IX al artículo 153, las fracciones VIII, IX, X y XI al artículo 153-a y el artículo 153-a-2 al Código Penal del Estado de Guanajuato, presentada por el Ayuntamiento de León, Guanajuato; la segunda, a efecto de reformar el artículo 153-a del Código Penal del Estado de Guanajuato, presentada por diputada y diputado</w:t>
      </w:r>
      <w:r w:rsidR="001C7A6A" w:rsidRPr="001C7A6A">
        <w:rPr>
          <w:rFonts w:ascii="Abadi" w:hAnsi="Abadi" w:cs="ArialMT"/>
          <w:b/>
          <w:bCs/>
          <w:sz w:val="21"/>
          <w:szCs w:val="21"/>
        </w:rPr>
        <w:t xml:space="preserve"> </w:t>
      </w:r>
      <w:r w:rsidRPr="001C7A6A">
        <w:rPr>
          <w:rFonts w:ascii="Abadi" w:hAnsi="Abadi" w:cs="ArialMT"/>
          <w:b/>
          <w:bCs/>
          <w:sz w:val="21"/>
          <w:szCs w:val="21"/>
        </w:rPr>
        <w:t>integrantes del Grupo Parlamentario del Partido Verde Ecologista de México de la Sexagésima Cuarta Legislatura; la tercera, por la que se adiciona un cuarto párrafo al artículo 153-a del Código Penal del Estado de  Guanajuato, presentada por diputadas y diputados integrantes del Grupo Parlamentario del Partido Acción Nacional; la cuarta, a efecto de reformar la fracción V del artículo 153-a del Código Penal del Estado de Guanajuato, presentada por diputadas y diputados integrantes del Grupo Parlamentario del Partido Acción Nacional; y la quinta, a efecto de reformar las fracciones I, II, V y VI, y adicionar las fracciones VIII, IX y X y un tercer párrafo al artículo 153-a y, un segundo párrafo al artículo 153-a-1 del Código Penal del Estado de Guanajuato, presentada por la diputada Alma Edwviges Alcaraz Hernández integrante del Grupo Parlamentario del Partido MORENA.</w:t>
      </w:r>
    </w:p>
    <w:p w14:paraId="15B7BA8D" w14:textId="77777777" w:rsidR="001420C4" w:rsidRDefault="001420C4" w:rsidP="001420C4">
      <w:pPr>
        <w:ind w:right="-709"/>
        <w:rPr>
          <w:rFonts w:ascii="Abadi" w:hAnsi="Abadi"/>
          <w:b/>
          <w:bCs/>
          <w:sz w:val="18"/>
          <w:szCs w:val="18"/>
        </w:rPr>
      </w:pPr>
    </w:p>
    <w:p w14:paraId="1A90B236" w14:textId="72F1099D" w:rsidR="00BD2F39" w:rsidRPr="001420C4" w:rsidRDefault="001420C4" w:rsidP="00BD2F39">
      <w:pPr>
        <w:ind w:left="2832" w:right="-709" w:firstLine="708"/>
        <w:rPr>
          <w:rFonts w:ascii="Abadi" w:hAnsi="Abadi"/>
          <w:b/>
          <w:bCs/>
          <w:sz w:val="18"/>
          <w:szCs w:val="18"/>
        </w:rPr>
      </w:pPr>
      <w:r>
        <w:rPr>
          <w:rFonts w:ascii="Abadi" w:hAnsi="Abadi"/>
          <w:b/>
          <w:bCs/>
          <w:sz w:val="18"/>
          <w:szCs w:val="18"/>
        </w:rPr>
        <w:t>P</w:t>
      </w:r>
      <w:r w:rsidRPr="001420C4">
        <w:rPr>
          <w:rFonts w:ascii="Abadi" w:hAnsi="Abadi"/>
          <w:b/>
          <w:bCs/>
          <w:sz w:val="18"/>
          <w:szCs w:val="18"/>
        </w:rPr>
        <w:t xml:space="preserve">ág. </w:t>
      </w:r>
      <w:r w:rsidR="0004339B">
        <w:rPr>
          <w:rFonts w:ascii="Abadi" w:hAnsi="Abadi"/>
          <w:b/>
          <w:bCs/>
          <w:sz w:val="18"/>
          <w:szCs w:val="18"/>
        </w:rPr>
        <w:t>154</w:t>
      </w:r>
    </w:p>
    <w:p w14:paraId="47D1D3F6" w14:textId="77777777" w:rsidR="005C5CDD" w:rsidRDefault="005C5CDD" w:rsidP="005C5CDD">
      <w:pPr>
        <w:shd w:val="clear" w:color="auto" w:fill="F2F2F2" w:themeFill="background1" w:themeFillShade="F2"/>
        <w:ind w:left="851" w:right="425"/>
        <w:jc w:val="both"/>
        <w:rPr>
          <w:rFonts w:ascii="Abadi" w:hAnsi="Abadi"/>
          <w:b/>
          <w:bCs/>
          <w:sz w:val="21"/>
          <w:szCs w:val="21"/>
        </w:rPr>
      </w:pPr>
      <w:r w:rsidRPr="00E432E1">
        <w:rPr>
          <w:rFonts w:ascii="Abadi" w:hAnsi="Abadi"/>
          <w:b/>
          <w:bCs/>
          <w:sz w:val="21"/>
          <w:szCs w:val="21"/>
        </w:rPr>
        <w:t xml:space="preserve">(Sube a tribuna la Diputada Laura Cristina Márquez Alcalá, para hablar a favor del dictamen) </w:t>
      </w:r>
    </w:p>
    <w:p w14:paraId="214A2514" w14:textId="4BFA17A4" w:rsidR="001420C4" w:rsidRDefault="001420C4" w:rsidP="001420C4">
      <w:pPr>
        <w:autoSpaceDE w:val="0"/>
        <w:autoSpaceDN w:val="0"/>
        <w:adjustRightInd w:val="0"/>
        <w:ind w:right="425"/>
        <w:jc w:val="both"/>
        <w:rPr>
          <w:rFonts w:ascii="Abadi" w:hAnsi="Abadi" w:cs="ArialMT"/>
          <w:b/>
          <w:bCs/>
          <w:sz w:val="21"/>
          <w:szCs w:val="21"/>
        </w:rPr>
      </w:pPr>
    </w:p>
    <w:p w14:paraId="5469C246" w14:textId="77777777" w:rsidR="009642D6" w:rsidRDefault="009642D6" w:rsidP="001420C4">
      <w:pPr>
        <w:autoSpaceDE w:val="0"/>
        <w:autoSpaceDN w:val="0"/>
        <w:adjustRightInd w:val="0"/>
        <w:ind w:right="425"/>
        <w:jc w:val="both"/>
        <w:rPr>
          <w:rFonts w:ascii="Abadi" w:hAnsi="Abadi" w:cs="ArialMT"/>
          <w:b/>
          <w:bCs/>
          <w:sz w:val="21"/>
          <w:szCs w:val="21"/>
        </w:rPr>
      </w:pPr>
    </w:p>
    <w:p w14:paraId="3E3B9BB9" w14:textId="674E0C53" w:rsidR="005C5CDD" w:rsidRPr="001420C4" w:rsidRDefault="005C5CDD" w:rsidP="005C5CDD">
      <w:pPr>
        <w:ind w:left="2832" w:right="-709" w:firstLine="708"/>
        <w:rPr>
          <w:rFonts w:ascii="Abadi" w:hAnsi="Abadi"/>
          <w:b/>
          <w:bCs/>
          <w:sz w:val="18"/>
          <w:szCs w:val="18"/>
        </w:rPr>
      </w:pPr>
      <w:r>
        <w:rPr>
          <w:rFonts w:ascii="Abadi" w:hAnsi="Abadi"/>
          <w:b/>
          <w:bCs/>
          <w:sz w:val="18"/>
          <w:szCs w:val="18"/>
        </w:rPr>
        <w:t>P</w:t>
      </w:r>
      <w:r w:rsidRPr="001420C4">
        <w:rPr>
          <w:rFonts w:ascii="Abadi" w:hAnsi="Abadi"/>
          <w:b/>
          <w:bCs/>
          <w:sz w:val="18"/>
          <w:szCs w:val="18"/>
        </w:rPr>
        <w:t xml:space="preserve">ág. </w:t>
      </w:r>
      <w:r>
        <w:rPr>
          <w:rFonts w:ascii="Abadi" w:hAnsi="Abadi"/>
          <w:b/>
          <w:bCs/>
          <w:sz w:val="18"/>
          <w:szCs w:val="18"/>
        </w:rPr>
        <w:t>163</w:t>
      </w:r>
    </w:p>
    <w:p w14:paraId="7F6CB7D7" w14:textId="77777777" w:rsidR="00C0235B" w:rsidRPr="00E432E1" w:rsidRDefault="00C0235B" w:rsidP="00C0235B">
      <w:pPr>
        <w:shd w:val="clear" w:color="auto" w:fill="F2F2F2" w:themeFill="background1" w:themeFillShade="F2"/>
        <w:ind w:left="851" w:right="425"/>
        <w:jc w:val="both"/>
        <w:rPr>
          <w:rFonts w:ascii="Abadi" w:hAnsi="Abadi"/>
          <w:b/>
          <w:bCs/>
          <w:sz w:val="21"/>
          <w:szCs w:val="21"/>
        </w:rPr>
      </w:pPr>
      <w:r w:rsidRPr="00E432E1">
        <w:rPr>
          <w:rFonts w:ascii="Abadi" w:hAnsi="Abadi"/>
          <w:b/>
          <w:bCs/>
          <w:sz w:val="21"/>
          <w:szCs w:val="21"/>
        </w:rPr>
        <w:t>(Sube a tribuna el diputado Gerardo Fernández González</w:t>
      </w:r>
      <w:r>
        <w:rPr>
          <w:rFonts w:ascii="Abadi" w:hAnsi="Abadi"/>
          <w:b/>
          <w:bCs/>
          <w:sz w:val="21"/>
          <w:szCs w:val="21"/>
        </w:rPr>
        <w:t>,</w:t>
      </w:r>
      <w:r w:rsidRPr="00E432E1">
        <w:rPr>
          <w:rFonts w:ascii="Abadi" w:hAnsi="Abadi"/>
          <w:b/>
          <w:bCs/>
          <w:sz w:val="21"/>
          <w:szCs w:val="21"/>
        </w:rPr>
        <w:t xml:space="preserve"> para hablar a favor del dictamen)</w:t>
      </w:r>
    </w:p>
    <w:p w14:paraId="14DB5AEB" w14:textId="5BF69D5B" w:rsidR="005C5CDD" w:rsidRDefault="005C5CDD" w:rsidP="001420C4">
      <w:pPr>
        <w:autoSpaceDE w:val="0"/>
        <w:autoSpaceDN w:val="0"/>
        <w:adjustRightInd w:val="0"/>
        <w:ind w:right="425"/>
        <w:jc w:val="both"/>
        <w:rPr>
          <w:rFonts w:ascii="Abadi" w:hAnsi="Abadi" w:cs="ArialMT"/>
          <w:b/>
          <w:bCs/>
          <w:sz w:val="21"/>
          <w:szCs w:val="21"/>
        </w:rPr>
      </w:pPr>
    </w:p>
    <w:p w14:paraId="45B1DEAB" w14:textId="77777777" w:rsidR="009642D6" w:rsidRPr="001420C4" w:rsidRDefault="009642D6" w:rsidP="001420C4">
      <w:pPr>
        <w:autoSpaceDE w:val="0"/>
        <w:autoSpaceDN w:val="0"/>
        <w:adjustRightInd w:val="0"/>
        <w:ind w:right="425"/>
        <w:jc w:val="both"/>
        <w:rPr>
          <w:rFonts w:ascii="Abadi" w:hAnsi="Abadi" w:cs="ArialMT"/>
          <w:b/>
          <w:bCs/>
          <w:sz w:val="21"/>
          <w:szCs w:val="21"/>
        </w:rPr>
      </w:pPr>
    </w:p>
    <w:p w14:paraId="7E018E0F" w14:textId="48A779C0" w:rsidR="00C0235B" w:rsidRPr="001420C4" w:rsidRDefault="00C0235B" w:rsidP="00C0235B">
      <w:pPr>
        <w:ind w:left="2832" w:right="-709" w:firstLine="708"/>
        <w:rPr>
          <w:rFonts w:ascii="Abadi" w:hAnsi="Abadi"/>
          <w:b/>
          <w:bCs/>
          <w:sz w:val="18"/>
          <w:szCs w:val="18"/>
        </w:rPr>
      </w:pPr>
      <w:r>
        <w:rPr>
          <w:rFonts w:ascii="Abadi" w:hAnsi="Abadi"/>
          <w:b/>
          <w:bCs/>
          <w:sz w:val="18"/>
          <w:szCs w:val="18"/>
        </w:rPr>
        <w:t>P</w:t>
      </w:r>
      <w:r w:rsidRPr="001420C4">
        <w:rPr>
          <w:rFonts w:ascii="Abadi" w:hAnsi="Abadi"/>
          <w:b/>
          <w:bCs/>
          <w:sz w:val="18"/>
          <w:szCs w:val="18"/>
        </w:rPr>
        <w:t xml:space="preserve">ág. </w:t>
      </w:r>
      <w:r>
        <w:rPr>
          <w:rFonts w:ascii="Abadi" w:hAnsi="Abadi"/>
          <w:b/>
          <w:bCs/>
          <w:sz w:val="18"/>
          <w:szCs w:val="18"/>
        </w:rPr>
        <w:t>16</w:t>
      </w:r>
      <w:r w:rsidR="009642D6">
        <w:rPr>
          <w:rFonts w:ascii="Abadi" w:hAnsi="Abadi"/>
          <w:b/>
          <w:bCs/>
          <w:sz w:val="18"/>
          <w:szCs w:val="18"/>
        </w:rPr>
        <w:t>4</w:t>
      </w:r>
    </w:p>
    <w:p w14:paraId="459A436D" w14:textId="662D4073" w:rsidR="00257080" w:rsidRDefault="00257080" w:rsidP="00257080">
      <w:pPr>
        <w:autoSpaceDE w:val="0"/>
        <w:autoSpaceDN w:val="0"/>
        <w:adjustRightInd w:val="0"/>
        <w:jc w:val="both"/>
        <w:rPr>
          <w:rFonts w:ascii="Abadi" w:hAnsi="Abadi" w:cs="ArialMT"/>
          <w:b/>
          <w:bCs/>
          <w:sz w:val="21"/>
          <w:szCs w:val="21"/>
        </w:rPr>
      </w:pPr>
    </w:p>
    <w:p w14:paraId="710E564A" w14:textId="4E113EE8" w:rsidR="009642D6" w:rsidRDefault="009642D6" w:rsidP="00257080">
      <w:pPr>
        <w:autoSpaceDE w:val="0"/>
        <w:autoSpaceDN w:val="0"/>
        <w:adjustRightInd w:val="0"/>
        <w:jc w:val="both"/>
        <w:rPr>
          <w:rFonts w:ascii="Abadi" w:hAnsi="Abadi" w:cs="ArialMT"/>
          <w:b/>
          <w:bCs/>
          <w:sz w:val="21"/>
          <w:szCs w:val="21"/>
        </w:rPr>
      </w:pPr>
    </w:p>
    <w:p w14:paraId="262E9D21" w14:textId="77777777" w:rsidR="003029CD" w:rsidRPr="00E432E1" w:rsidRDefault="003029CD" w:rsidP="003029CD">
      <w:pPr>
        <w:shd w:val="clear" w:color="auto" w:fill="F2F2F2" w:themeFill="background1" w:themeFillShade="F2"/>
        <w:ind w:left="851" w:right="425"/>
        <w:jc w:val="both"/>
        <w:rPr>
          <w:rFonts w:ascii="Abadi" w:hAnsi="Abadi"/>
          <w:b/>
          <w:bCs/>
          <w:sz w:val="21"/>
          <w:szCs w:val="21"/>
        </w:rPr>
      </w:pPr>
      <w:r w:rsidRPr="00E432E1">
        <w:rPr>
          <w:rFonts w:ascii="Abadi" w:hAnsi="Abadi"/>
          <w:b/>
          <w:bCs/>
          <w:sz w:val="21"/>
          <w:szCs w:val="21"/>
        </w:rPr>
        <w:t xml:space="preserve">(Sube a tribuna la Diputada María de la Luz Hernández Martinez, para hablar a favor del dictamen) </w:t>
      </w:r>
    </w:p>
    <w:p w14:paraId="06A72506" w14:textId="55440961" w:rsidR="009642D6" w:rsidRDefault="009642D6" w:rsidP="00257080">
      <w:pPr>
        <w:autoSpaceDE w:val="0"/>
        <w:autoSpaceDN w:val="0"/>
        <w:adjustRightInd w:val="0"/>
        <w:jc w:val="both"/>
        <w:rPr>
          <w:rFonts w:ascii="Abadi" w:hAnsi="Abadi" w:cs="ArialMT"/>
          <w:b/>
          <w:bCs/>
          <w:sz w:val="21"/>
          <w:szCs w:val="21"/>
        </w:rPr>
      </w:pPr>
    </w:p>
    <w:p w14:paraId="2E28C2E7" w14:textId="6CC9EAA3" w:rsidR="009642D6" w:rsidRDefault="009642D6" w:rsidP="00257080">
      <w:pPr>
        <w:autoSpaceDE w:val="0"/>
        <w:autoSpaceDN w:val="0"/>
        <w:adjustRightInd w:val="0"/>
        <w:jc w:val="both"/>
        <w:rPr>
          <w:rFonts w:ascii="Abadi" w:hAnsi="Abadi" w:cs="ArialMT"/>
          <w:b/>
          <w:bCs/>
          <w:sz w:val="21"/>
          <w:szCs w:val="21"/>
        </w:rPr>
      </w:pPr>
    </w:p>
    <w:p w14:paraId="0E9188A1" w14:textId="19D390F2" w:rsidR="00E70724" w:rsidRDefault="003029CD" w:rsidP="00E70724">
      <w:pPr>
        <w:ind w:left="2832" w:right="-709" w:firstLine="708"/>
        <w:rPr>
          <w:rFonts w:ascii="Abadi" w:hAnsi="Abadi"/>
          <w:b/>
          <w:bCs/>
          <w:sz w:val="18"/>
          <w:szCs w:val="18"/>
        </w:rPr>
      </w:pPr>
      <w:r>
        <w:rPr>
          <w:rFonts w:ascii="Abadi" w:hAnsi="Abadi"/>
          <w:b/>
          <w:bCs/>
          <w:sz w:val="18"/>
          <w:szCs w:val="18"/>
        </w:rPr>
        <w:t>P</w:t>
      </w:r>
      <w:r w:rsidRPr="001420C4">
        <w:rPr>
          <w:rFonts w:ascii="Abadi" w:hAnsi="Abadi"/>
          <w:b/>
          <w:bCs/>
          <w:sz w:val="18"/>
          <w:szCs w:val="18"/>
        </w:rPr>
        <w:t xml:space="preserve">ág. </w:t>
      </w:r>
      <w:r>
        <w:rPr>
          <w:rFonts w:ascii="Abadi" w:hAnsi="Abadi"/>
          <w:b/>
          <w:bCs/>
          <w:sz w:val="18"/>
          <w:szCs w:val="18"/>
        </w:rPr>
        <w:t>16</w:t>
      </w:r>
      <w:r w:rsidR="002E3098">
        <w:rPr>
          <w:rFonts w:ascii="Abadi" w:hAnsi="Abadi"/>
          <w:b/>
          <w:bCs/>
          <w:sz w:val="18"/>
          <w:szCs w:val="18"/>
        </w:rPr>
        <w:t>5</w:t>
      </w:r>
    </w:p>
    <w:p w14:paraId="646C42BE" w14:textId="28496105" w:rsidR="00E70724" w:rsidRDefault="00E70724" w:rsidP="00E70724">
      <w:pPr>
        <w:ind w:left="2832" w:right="-709" w:firstLine="708"/>
        <w:rPr>
          <w:rFonts w:ascii="Abadi" w:hAnsi="Abadi"/>
          <w:b/>
          <w:bCs/>
          <w:sz w:val="18"/>
          <w:szCs w:val="18"/>
        </w:rPr>
      </w:pPr>
    </w:p>
    <w:p w14:paraId="221BC92C" w14:textId="77777777" w:rsidR="00E70724" w:rsidRPr="002E3098" w:rsidRDefault="00E70724" w:rsidP="00E70724">
      <w:pPr>
        <w:ind w:left="2832" w:right="-709" w:firstLine="708"/>
        <w:rPr>
          <w:rFonts w:ascii="Abadi" w:hAnsi="Abadi"/>
          <w:b/>
          <w:bCs/>
          <w:sz w:val="18"/>
          <w:szCs w:val="18"/>
        </w:rPr>
      </w:pPr>
    </w:p>
    <w:p w14:paraId="1F0153FC" w14:textId="72D92E11" w:rsidR="00E70724" w:rsidRDefault="00E70724" w:rsidP="00E70724">
      <w:pPr>
        <w:shd w:val="clear" w:color="auto" w:fill="F2F2F2" w:themeFill="background1" w:themeFillShade="F2"/>
        <w:ind w:left="993" w:right="425"/>
        <w:jc w:val="both"/>
        <w:rPr>
          <w:rFonts w:ascii="Abadi" w:hAnsi="Abadi"/>
          <w:b/>
          <w:bCs/>
          <w:sz w:val="21"/>
          <w:szCs w:val="21"/>
        </w:rPr>
      </w:pPr>
      <w:r w:rsidRPr="00E432E1">
        <w:rPr>
          <w:rFonts w:ascii="Abadi" w:hAnsi="Abadi"/>
          <w:b/>
          <w:bCs/>
          <w:sz w:val="21"/>
          <w:szCs w:val="21"/>
        </w:rPr>
        <w:t xml:space="preserve">(Sube a tribuna la Diputada Angélica Casillas Martínez, para hablar a favor del dictamen) </w:t>
      </w:r>
    </w:p>
    <w:p w14:paraId="11D98E06" w14:textId="34B4466E" w:rsidR="00E70724" w:rsidRDefault="00E70724" w:rsidP="00E70724">
      <w:pPr>
        <w:ind w:left="2832" w:right="-709" w:firstLine="708"/>
        <w:rPr>
          <w:rFonts w:ascii="Abadi" w:hAnsi="Abadi"/>
          <w:b/>
          <w:bCs/>
          <w:sz w:val="18"/>
          <w:szCs w:val="18"/>
        </w:rPr>
      </w:pPr>
      <w:r>
        <w:rPr>
          <w:rFonts w:ascii="Abadi" w:hAnsi="Abadi"/>
          <w:b/>
          <w:bCs/>
          <w:sz w:val="18"/>
          <w:szCs w:val="18"/>
        </w:rPr>
        <w:t>P</w:t>
      </w:r>
      <w:r w:rsidRPr="001420C4">
        <w:rPr>
          <w:rFonts w:ascii="Abadi" w:hAnsi="Abadi"/>
          <w:b/>
          <w:bCs/>
          <w:sz w:val="18"/>
          <w:szCs w:val="18"/>
        </w:rPr>
        <w:t xml:space="preserve">ág. </w:t>
      </w:r>
      <w:r>
        <w:rPr>
          <w:rFonts w:ascii="Abadi" w:hAnsi="Abadi"/>
          <w:b/>
          <w:bCs/>
          <w:sz w:val="18"/>
          <w:szCs w:val="18"/>
        </w:rPr>
        <w:t>16</w:t>
      </w:r>
      <w:r w:rsidR="00AA21D2">
        <w:rPr>
          <w:rFonts w:ascii="Abadi" w:hAnsi="Abadi"/>
          <w:b/>
          <w:bCs/>
          <w:sz w:val="18"/>
          <w:szCs w:val="18"/>
        </w:rPr>
        <w:t>5</w:t>
      </w:r>
    </w:p>
    <w:p w14:paraId="1B10B9B3" w14:textId="447D914E" w:rsidR="009642D6" w:rsidRDefault="009642D6" w:rsidP="00257080">
      <w:pPr>
        <w:autoSpaceDE w:val="0"/>
        <w:autoSpaceDN w:val="0"/>
        <w:adjustRightInd w:val="0"/>
        <w:jc w:val="both"/>
        <w:rPr>
          <w:rFonts w:ascii="Abadi" w:hAnsi="Abadi" w:cs="ArialMT"/>
          <w:b/>
          <w:bCs/>
          <w:sz w:val="21"/>
          <w:szCs w:val="21"/>
        </w:rPr>
      </w:pPr>
    </w:p>
    <w:p w14:paraId="203C3B86" w14:textId="77777777" w:rsidR="00AA21D2" w:rsidRPr="00C46026" w:rsidRDefault="00AA21D2" w:rsidP="00257080">
      <w:pPr>
        <w:autoSpaceDE w:val="0"/>
        <w:autoSpaceDN w:val="0"/>
        <w:adjustRightInd w:val="0"/>
        <w:jc w:val="both"/>
        <w:rPr>
          <w:rFonts w:ascii="Abadi" w:hAnsi="Abadi" w:cs="ArialMT"/>
          <w:b/>
          <w:bCs/>
          <w:sz w:val="21"/>
          <w:szCs w:val="21"/>
        </w:rPr>
      </w:pPr>
    </w:p>
    <w:p w14:paraId="4A197919" w14:textId="1116FFAE"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1C7A6A">
        <w:rPr>
          <w:rFonts w:ascii="Abadi" w:hAnsi="Abadi" w:cs="ArialMT"/>
          <w:b/>
          <w:bCs/>
          <w:sz w:val="21"/>
          <w:szCs w:val="21"/>
        </w:rPr>
        <w:t>Discusión y, en su caso, aprobación del dictamen signado por la Comisión de Educación, Ciencia y Tecnología y Cultura relativo a la iniciativa formulada por la diputada y el diputado integrantes del Grupo Parlamentario del Partido Verde Ecologista de México, en la Sexagésima Cuarta Legislatura, por la cual se reforman y adicionan diversos artículos de la Ley de Educación para el Estado de Guanajuato.</w:t>
      </w:r>
    </w:p>
    <w:p w14:paraId="3A5B735A" w14:textId="77777777" w:rsidR="001420C4" w:rsidRDefault="001420C4" w:rsidP="001420C4">
      <w:pPr>
        <w:pStyle w:val="Prrafodelista"/>
        <w:autoSpaceDE w:val="0"/>
        <w:autoSpaceDN w:val="0"/>
        <w:adjustRightInd w:val="0"/>
        <w:ind w:left="851" w:right="425"/>
        <w:jc w:val="both"/>
        <w:rPr>
          <w:rFonts w:ascii="Abadi" w:hAnsi="Abadi" w:cs="ArialMT"/>
          <w:b/>
          <w:bCs/>
          <w:sz w:val="21"/>
          <w:szCs w:val="21"/>
        </w:rPr>
      </w:pPr>
    </w:p>
    <w:p w14:paraId="0E73F1FC" w14:textId="3C347BC9" w:rsidR="001420C4" w:rsidRPr="001420C4" w:rsidRDefault="001420C4" w:rsidP="001420C4">
      <w:pPr>
        <w:ind w:left="2832" w:right="-709" w:firstLine="708"/>
        <w:rPr>
          <w:rFonts w:ascii="Abadi" w:hAnsi="Abadi"/>
          <w:b/>
          <w:bCs/>
          <w:sz w:val="18"/>
          <w:szCs w:val="18"/>
        </w:rPr>
      </w:pPr>
      <w:r w:rsidRPr="001420C4">
        <w:rPr>
          <w:rFonts w:ascii="Abadi" w:hAnsi="Abadi"/>
          <w:b/>
          <w:bCs/>
          <w:sz w:val="18"/>
          <w:szCs w:val="18"/>
        </w:rPr>
        <w:t xml:space="preserve">Pág. </w:t>
      </w:r>
      <w:r w:rsidR="00AA21D2">
        <w:rPr>
          <w:rFonts w:ascii="Abadi" w:hAnsi="Abadi"/>
          <w:b/>
          <w:bCs/>
          <w:sz w:val="18"/>
          <w:szCs w:val="18"/>
        </w:rPr>
        <w:t>167</w:t>
      </w:r>
    </w:p>
    <w:p w14:paraId="46344CAB" w14:textId="77777777" w:rsidR="001420C4" w:rsidRPr="001420C4" w:rsidRDefault="001420C4" w:rsidP="001420C4">
      <w:pPr>
        <w:autoSpaceDE w:val="0"/>
        <w:autoSpaceDN w:val="0"/>
        <w:adjustRightInd w:val="0"/>
        <w:ind w:right="425"/>
        <w:jc w:val="both"/>
        <w:rPr>
          <w:rFonts w:ascii="Abadi" w:hAnsi="Abadi" w:cs="ArialMT"/>
          <w:b/>
          <w:bCs/>
          <w:sz w:val="21"/>
          <w:szCs w:val="21"/>
        </w:rPr>
      </w:pPr>
    </w:p>
    <w:p w14:paraId="4E479F61" w14:textId="77777777" w:rsidR="00257080" w:rsidRPr="00C46026" w:rsidRDefault="00257080" w:rsidP="00257080">
      <w:pPr>
        <w:autoSpaceDE w:val="0"/>
        <w:autoSpaceDN w:val="0"/>
        <w:adjustRightInd w:val="0"/>
        <w:jc w:val="both"/>
        <w:rPr>
          <w:rFonts w:ascii="Abadi" w:hAnsi="Abadi" w:cs="Arial-BoldMT"/>
          <w:b/>
          <w:bCs/>
          <w:sz w:val="21"/>
          <w:szCs w:val="21"/>
        </w:rPr>
      </w:pPr>
    </w:p>
    <w:p w14:paraId="2CBA2A46" w14:textId="0B83FDD1"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1C7A6A">
        <w:rPr>
          <w:rFonts w:ascii="Abadi" w:hAnsi="Abadi" w:cs="ArialMT"/>
          <w:b/>
          <w:bCs/>
          <w:sz w:val="21"/>
          <w:szCs w:val="21"/>
        </w:rPr>
        <w:t>Discusión y, en su caso, aprobación del dictamen emitido por la Comisión de Educación, Ciencia y Tecnología y Cultura relativo a la propuesta de punto de acuerdo suscrita por diputadas y diputados integrantes del Grupo Parlamentario del Partido MORENA a efecto de exhortar a Jorge Enrique Hernández Meza, titular de la Secretaría de Educación de Guanajuato, para que lleve a cabo las acciones necesarias a fin de implementar en todas las instituciones educativas la utilización de uniformes escolares neutros, para que las niñas y adolescentes mujeres tengan la oportunidad de elegir entre el uso de pantalón o falda.</w:t>
      </w:r>
    </w:p>
    <w:p w14:paraId="4187DF7F" w14:textId="77777777" w:rsidR="001420C4" w:rsidRPr="001420C4" w:rsidRDefault="001420C4" w:rsidP="001420C4">
      <w:pPr>
        <w:pStyle w:val="Prrafodelista"/>
        <w:rPr>
          <w:rFonts w:ascii="Abadi" w:hAnsi="Abadi" w:cs="ArialMT"/>
          <w:b/>
          <w:bCs/>
          <w:sz w:val="21"/>
          <w:szCs w:val="21"/>
        </w:rPr>
      </w:pPr>
    </w:p>
    <w:p w14:paraId="2C12DED2" w14:textId="4B9F3516" w:rsidR="002E5045" w:rsidRDefault="001420C4" w:rsidP="002E5045">
      <w:pPr>
        <w:pStyle w:val="Prrafodelista"/>
        <w:ind w:left="2844" w:right="-709" w:firstLine="696"/>
        <w:rPr>
          <w:rFonts w:ascii="Abadi" w:hAnsi="Abadi"/>
          <w:b/>
          <w:bCs/>
          <w:sz w:val="18"/>
          <w:szCs w:val="18"/>
        </w:rPr>
      </w:pPr>
      <w:r w:rsidRPr="00A60217">
        <w:rPr>
          <w:rFonts w:ascii="Abadi" w:hAnsi="Abadi"/>
          <w:b/>
          <w:bCs/>
          <w:sz w:val="18"/>
          <w:szCs w:val="18"/>
        </w:rPr>
        <w:t xml:space="preserve">Pág. </w:t>
      </w:r>
      <w:r w:rsidR="00AA21D2">
        <w:rPr>
          <w:rFonts w:ascii="Abadi" w:hAnsi="Abadi"/>
          <w:b/>
          <w:bCs/>
          <w:sz w:val="18"/>
          <w:szCs w:val="18"/>
        </w:rPr>
        <w:t>173</w:t>
      </w:r>
    </w:p>
    <w:p w14:paraId="35C472F7" w14:textId="77777777" w:rsidR="003A024F" w:rsidRPr="002E5045" w:rsidRDefault="003A024F" w:rsidP="002E5045">
      <w:pPr>
        <w:pStyle w:val="Prrafodelista"/>
        <w:ind w:left="2844" w:right="-709" w:firstLine="696"/>
        <w:rPr>
          <w:rFonts w:ascii="Abadi" w:hAnsi="Abadi"/>
          <w:b/>
          <w:bCs/>
          <w:sz w:val="18"/>
          <w:szCs w:val="18"/>
        </w:rPr>
      </w:pPr>
    </w:p>
    <w:p w14:paraId="39A29BD2" w14:textId="77777777" w:rsidR="002E5045" w:rsidRPr="00571148" w:rsidRDefault="002E5045" w:rsidP="002E5045">
      <w:pPr>
        <w:shd w:val="clear" w:color="auto" w:fill="F2F2F2" w:themeFill="background1" w:themeFillShade="F2"/>
        <w:ind w:left="851" w:right="283"/>
        <w:jc w:val="both"/>
        <w:rPr>
          <w:rFonts w:ascii="Abadi" w:hAnsi="Abadi"/>
          <w:b/>
          <w:bCs/>
          <w:sz w:val="21"/>
          <w:szCs w:val="21"/>
        </w:rPr>
      </w:pPr>
      <w:r w:rsidRPr="00571148">
        <w:rPr>
          <w:rFonts w:ascii="Abadi" w:hAnsi="Abadi"/>
          <w:b/>
          <w:bCs/>
          <w:sz w:val="21"/>
          <w:szCs w:val="21"/>
        </w:rPr>
        <w:t xml:space="preserve">(Sube a tribuna la Diputada Martha Edith Moreno Valencia, para hablar a en contra del dictamen) </w:t>
      </w:r>
    </w:p>
    <w:p w14:paraId="46423FD4" w14:textId="2F3AAAC4" w:rsidR="003A024F" w:rsidRDefault="003A024F" w:rsidP="003A024F">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178</w:t>
      </w:r>
    </w:p>
    <w:p w14:paraId="61ACE988" w14:textId="77777777" w:rsidR="001420C4" w:rsidRPr="001420C4" w:rsidRDefault="001420C4" w:rsidP="001420C4">
      <w:pPr>
        <w:autoSpaceDE w:val="0"/>
        <w:autoSpaceDN w:val="0"/>
        <w:adjustRightInd w:val="0"/>
        <w:ind w:right="425"/>
        <w:jc w:val="both"/>
        <w:rPr>
          <w:rFonts w:ascii="Abadi" w:hAnsi="Abadi" w:cs="ArialMT"/>
          <w:b/>
          <w:bCs/>
          <w:sz w:val="21"/>
          <w:szCs w:val="21"/>
        </w:rPr>
      </w:pPr>
    </w:p>
    <w:p w14:paraId="00ADB27B" w14:textId="77777777" w:rsidR="003A024F" w:rsidRPr="00571148" w:rsidRDefault="003A024F" w:rsidP="003A024F">
      <w:pPr>
        <w:shd w:val="clear" w:color="auto" w:fill="F2F2F2" w:themeFill="background1" w:themeFillShade="F2"/>
        <w:ind w:left="851" w:right="283"/>
        <w:jc w:val="both"/>
        <w:rPr>
          <w:rFonts w:ascii="Abadi" w:hAnsi="Abadi"/>
          <w:b/>
          <w:bCs/>
          <w:sz w:val="21"/>
          <w:szCs w:val="21"/>
        </w:rPr>
      </w:pPr>
      <w:r w:rsidRPr="00571148">
        <w:rPr>
          <w:rFonts w:ascii="Abadi" w:hAnsi="Abadi"/>
          <w:b/>
          <w:bCs/>
          <w:sz w:val="21"/>
          <w:szCs w:val="21"/>
        </w:rPr>
        <w:t xml:space="preserve">(Sube a tribuna la Diputada María de la Luz Hernández, para hablar a favor del dictamen) </w:t>
      </w:r>
    </w:p>
    <w:p w14:paraId="7CF497B1" w14:textId="78B5DAAC" w:rsidR="00257080" w:rsidRDefault="00257080" w:rsidP="00257080">
      <w:pPr>
        <w:autoSpaceDE w:val="0"/>
        <w:autoSpaceDN w:val="0"/>
        <w:adjustRightInd w:val="0"/>
        <w:jc w:val="both"/>
        <w:rPr>
          <w:rFonts w:ascii="Abadi" w:hAnsi="Abadi" w:cs="Arial-BoldMT"/>
          <w:b/>
          <w:bCs/>
          <w:sz w:val="21"/>
          <w:szCs w:val="21"/>
        </w:rPr>
      </w:pPr>
    </w:p>
    <w:p w14:paraId="363B7E25" w14:textId="35CFBFAD" w:rsidR="003A024F" w:rsidRDefault="003A024F" w:rsidP="003A024F">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179</w:t>
      </w:r>
    </w:p>
    <w:p w14:paraId="7392DE89" w14:textId="647016E4" w:rsidR="003A024F" w:rsidRDefault="003A024F" w:rsidP="003A024F">
      <w:pPr>
        <w:autoSpaceDE w:val="0"/>
        <w:autoSpaceDN w:val="0"/>
        <w:adjustRightInd w:val="0"/>
        <w:ind w:left="851" w:right="283"/>
        <w:jc w:val="both"/>
        <w:rPr>
          <w:rFonts w:ascii="Abadi" w:hAnsi="Abadi" w:cs="Arial-BoldMT"/>
          <w:b/>
          <w:bCs/>
          <w:sz w:val="21"/>
          <w:szCs w:val="21"/>
        </w:rPr>
      </w:pPr>
    </w:p>
    <w:p w14:paraId="3B2B2309" w14:textId="0FDB6DC9" w:rsidR="003A024F" w:rsidRDefault="003A024F" w:rsidP="003A024F">
      <w:pPr>
        <w:shd w:val="clear" w:color="auto" w:fill="F2F2F2" w:themeFill="background1" w:themeFillShade="F2"/>
        <w:autoSpaceDE w:val="0"/>
        <w:autoSpaceDN w:val="0"/>
        <w:adjustRightInd w:val="0"/>
        <w:ind w:left="851" w:right="283"/>
        <w:jc w:val="both"/>
        <w:rPr>
          <w:rFonts w:ascii="Abadi" w:hAnsi="Abadi" w:cs="Arial-BoldMT"/>
          <w:b/>
          <w:bCs/>
          <w:sz w:val="21"/>
          <w:szCs w:val="21"/>
        </w:rPr>
      </w:pPr>
      <w:r>
        <w:rPr>
          <w:rFonts w:ascii="Abadi" w:hAnsi="Abadi"/>
          <w:b/>
          <w:bCs/>
          <w:sz w:val="21"/>
          <w:szCs w:val="21"/>
        </w:rPr>
        <w:t>(</w:t>
      </w:r>
      <w:r w:rsidRPr="00571148">
        <w:rPr>
          <w:rFonts w:ascii="Abadi" w:hAnsi="Abadi"/>
          <w:b/>
          <w:bCs/>
          <w:sz w:val="21"/>
          <w:szCs w:val="21"/>
        </w:rPr>
        <w:t>Diputado David Martínez</w:t>
      </w:r>
      <w:r>
        <w:rPr>
          <w:rFonts w:ascii="Abadi" w:hAnsi="Abadi"/>
          <w:b/>
          <w:bCs/>
          <w:sz w:val="21"/>
          <w:szCs w:val="21"/>
        </w:rPr>
        <w:t xml:space="preserve"> razona su voto en contra del dictamen)</w:t>
      </w:r>
    </w:p>
    <w:p w14:paraId="76F994E6" w14:textId="5FD23889" w:rsidR="003A024F" w:rsidRDefault="003A024F" w:rsidP="00257080">
      <w:pPr>
        <w:autoSpaceDE w:val="0"/>
        <w:autoSpaceDN w:val="0"/>
        <w:adjustRightInd w:val="0"/>
        <w:jc w:val="both"/>
        <w:rPr>
          <w:rFonts w:ascii="Abadi" w:hAnsi="Abadi" w:cs="Arial-BoldMT"/>
          <w:b/>
          <w:bCs/>
          <w:sz w:val="21"/>
          <w:szCs w:val="21"/>
        </w:rPr>
      </w:pPr>
    </w:p>
    <w:p w14:paraId="54E3AE78" w14:textId="51BBEE5F" w:rsidR="003A024F" w:rsidRDefault="003A024F" w:rsidP="003A024F">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180</w:t>
      </w:r>
    </w:p>
    <w:p w14:paraId="1ECFC440" w14:textId="23A894FB" w:rsidR="003A024F" w:rsidRDefault="003A024F" w:rsidP="00257080">
      <w:pPr>
        <w:autoSpaceDE w:val="0"/>
        <w:autoSpaceDN w:val="0"/>
        <w:adjustRightInd w:val="0"/>
        <w:jc w:val="both"/>
        <w:rPr>
          <w:rFonts w:ascii="Abadi" w:hAnsi="Abadi" w:cs="Arial-BoldMT"/>
          <w:b/>
          <w:bCs/>
          <w:sz w:val="21"/>
          <w:szCs w:val="21"/>
        </w:rPr>
      </w:pPr>
    </w:p>
    <w:p w14:paraId="77568068" w14:textId="447D232D" w:rsidR="003A024F" w:rsidRDefault="003A024F" w:rsidP="003A024F">
      <w:pPr>
        <w:shd w:val="clear" w:color="auto" w:fill="F2F2F2" w:themeFill="background1" w:themeFillShade="F2"/>
        <w:autoSpaceDE w:val="0"/>
        <w:autoSpaceDN w:val="0"/>
        <w:adjustRightInd w:val="0"/>
        <w:ind w:left="851" w:right="283"/>
        <w:jc w:val="both"/>
        <w:rPr>
          <w:rFonts w:ascii="Abadi" w:hAnsi="Abadi" w:cs="Arial-BoldMT"/>
          <w:b/>
          <w:bCs/>
          <w:sz w:val="21"/>
          <w:szCs w:val="21"/>
        </w:rPr>
      </w:pPr>
      <w:r>
        <w:rPr>
          <w:rFonts w:ascii="Abadi" w:hAnsi="Abadi"/>
          <w:b/>
          <w:bCs/>
          <w:sz w:val="21"/>
          <w:szCs w:val="21"/>
        </w:rPr>
        <w:t>(</w:t>
      </w:r>
      <w:r w:rsidRPr="00571148">
        <w:rPr>
          <w:rFonts w:ascii="Abadi" w:hAnsi="Abadi"/>
          <w:b/>
          <w:bCs/>
          <w:sz w:val="21"/>
          <w:szCs w:val="21"/>
        </w:rPr>
        <w:t>Diputad</w:t>
      </w:r>
      <w:r>
        <w:rPr>
          <w:rFonts w:ascii="Abadi" w:hAnsi="Abadi"/>
          <w:b/>
          <w:bCs/>
          <w:sz w:val="21"/>
          <w:szCs w:val="21"/>
        </w:rPr>
        <w:t>a</w:t>
      </w:r>
      <w:r w:rsidRPr="00571148">
        <w:rPr>
          <w:rFonts w:ascii="Abadi" w:hAnsi="Abadi"/>
          <w:b/>
          <w:bCs/>
          <w:sz w:val="21"/>
          <w:szCs w:val="21"/>
        </w:rPr>
        <w:t xml:space="preserve"> </w:t>
      </w:r>
      <w:r w:rsidR="0060321E">
        <w:rPr>
          <w:rFonts w:ascii="Abadi" w:hAnsi="Abadi"/>
          <w:b/>
          <w:bCs/>
          <w:sz w:val="21"/>
          <w:szCs w:val="21"/>
        </w:rPr>
        <w:t xml:space="preserve">Cristina Márquez Alcalá </w:t>
      </w:r>
      <w:r>
        <w:rPr>
          <w:rFonts w:ascii="Abadi" w:hAnsi="Abadi"/>
          <w:b/>
          <w:bCs/>
          <w:sz w:val="21"/>
          <w:szCs w:val="21"/>
        </w:rPr>
        <w:t xml:space="preserve">razona su voto </w:t>
      </w:r>
      <w:r w:rsidR="00842A48">
        <w:rPr>
          <w:rFonts w:ascii="Abadi" w:hAnsi="Abadi"/>
          <w:b/>
          <w:bCs/>
          <w:sz w:val="21"/>
          <w:szCs w:val="21"/>
        </w:rPr>
        <w:t>a favor</w:t>
      </w:r>
      <w:r>
        <w:rPr>
          <w:rFonts w:ascii="Abadi" w:hAnsi="Abadi"/>
          <w:b/>
          <w:bCs/>
          <w:sz w:val="21"/>
          <w:szCs w:val="21"/>
        </w:rPr>
        <w:t xml:space="preserve"> del dictamen)</w:t>
      </w:r>
    </w:p>
    <w:p w14:paraId="156830D6" w14:textId="59263870" w:rsidR="003A024F" w:rsidRDefault="003A024F" w:rsidP="00257080">
      <w:pPr>
        <w:autoSpaceDE w:val="0"/>
        <w:autoSpaceDN w:val="0"/>
        <w:adjustRightInd w:val="0"/>
        <w:jc w:val="both"/>
        <w:rPr>
          <w:rFonts w:ascii="Abadi" w:hAnsi="Abadi" w:cs="Arial-BoldMT"/>
          <w:b/>
          <w:bCs/>
          <w:sz w:val="21"/>
          <w:szCs w:val="21"/>
        </w:rPr>
      </w:pPr>
    </w:p>
    <w:p w14:paraId="1700B17B" w14:textId="77777777" w:rsidR="0060321E" w:rsidRDefault="0060321E" w:rsidP="0060321E">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180</w:t>
      </w:r>
    </w:p>
    <w:p w14:paraId="2A501175" w14:textId="5CBA7724" w:rsidR="003A024F" w:rsidRDefault="003A024F" w:rsidP="00257080">
      <w:pPr>
        <w:autoSpaceDE w:val="0"/>
        <w:autoSpaceDN w:val="0"/>
        <w:adjustRightInd w:val="0"/>
        <w:jc w:val="both"/>
        <w:rPr>
          <w:rFonts w:ascii="Abadi" w:hAnsi="Abadi" w:cs="Arial-BoldMT"/>
          <w:b/>
          <w:bCs/>
          <w:sz w:val="21"/>
          <w:szCs w:val="21"/>
        </w:rPr>
      </w:pPr>
    </w:p>
    <w:p w14:paraId="020D96FB" w14:textId="77777777" w:rsidR="003A024F" w:rsidRPr="00C46026" w:rsidRDefault="003A024F" w:rsidP="00257080">
      <w:pPr>
        <w:autoSpaceDE w:val="0"/>
        <w:autoSpaceDN w:val="0"/>
        <w:adjustRightInd w:val="0"/>
        <w:jc w:val="both"/>
        <w:rPr>
          <w:rFonts w:ascii="Abadi" w:hAnsi="Abadi" w:cs="Arial-BoldMT"/>
          <w:b/>
          <w:bCs/>
          <w:sz w:val="21"/>
          <w:szCs w:val="21"/>
        </w:rPr>
      </w:pPr>
    </w:p>
    <w:p w14:paraId="2EBD256C" w14:textId="410F870D" w:rsidR="00257080" w:rsidRDefault="00257080" w:rsidP="005C6EBB">
      <w:pPr>
        <w:pStyle w:val="Prrafodelista"/>
        <w:numPr>
          <w:ilvl w:val="0"/>
          <w:numId w:val="5"/>
        </w:numPr>
        <w:autoSpaceDE w:val="0"/>
        <w:autoSpaceDN w:val="0"/>
        <w:adjustRightInd w:val="0"/>
        <w:ind w:left="851" w:right="425"/>
        <w:jc w:val="both"/>
        <w:rPr>
          <w:rFonts w:ascii="Abadi" w:hAnsi="Abadi" w:cs="ArialMT"/>
          <w:b/>
          <w:bCs/>
          <w:sz w:val="21"/>
          <w:szCs w:val="21"/>
        </w:rPr>
      </w:pPr>
      <w:r w:rsidRPr="001C7A6A">
        <w:rPr>
          <w:rFonts w:ascii="Abadi" w:hAnsi="Abadi" w:cs="ArialMT"/>
          <w:b/>
          <w:bCs/>
          <w:sz w:val="21"/>
          <w:szCs w:val="21"/>
        </w:rPr>
        <w:t>Discusión y, en su caso, aprobación del dictamen suscrito por la Comisión de Desarrollo Económico y Social relativo a la iniciativa de Ley para la Protección, Apoyo y Fomento a la Donación de Alimentos en el Estado de Guanajuato, formulada por diputadas y diputados integrantes del Grupo</w:t>
      </w:r>
      <w:r w:rsidR="001C7A6A" w:rsidRPr="001C7A6A">
        <w:rPr>
          <w:rFonts w:ascii="Abadi" w:hAnsi="Abadi" w:cs="ArialMT"/>
          <w:b/>
          <w:bCs/>
          <w:sz w:val="21"/>
          <w:szCs w:val="21"/>
        </w:rPr>
        <w:t xml:space="preserve"> </w:t>
      </w:r>
      <w:r w:rsidRPr="001C7A6A">
        <w:rPr>
          <w:rFonts w:ascii="Abadi" w:hAnsi="Abadi" w:cs="ArialMT"/>
          <w:b/>
          <w:bCs/>
          <w:sz w:val="21"/>
          <w:szCs w:val="21"/>
        </w:rPr>
        <w:t>Parlamentario del Partido Acción Nacional en la Sexagésima Cuarta Legislatura.</w:t>
      </w:r>
    </w:p>
    <w:p w14:paraId="0BBCD0E6" w14:textId="77777777" w:rsidR="001420C4" w:rsidRDefault="001420C4" w:rsidP="001420C4">
      <w:pPr>
        <w:pStyle w:val="Prrafodelista"/>
        <w:autoSpaceDE w:val="0"/>
        <w:autoSpaceDN w:val="0"/>
        <w:adjustRightInd w:val="0"/>
        <w:ind w:left="851" w:right="425"/>
        <w:jc w:val="both"/>
        <w:rPr>
          <w:rFonts w:ascii="Abadi" w:hAnsi="Abadi" w:cs="ArialMT"/>
          <w:b/>
          <w:bCs/>
          <w:sz w:val="21"/>
          <w:szCs w:val="21"/>
        </w:rPr>
      </w:pPr>
    </w:p>
    <w:p w14:paraId="27318758" w14:textId="227AFC55" w:rsidR="001420C4" w:rsidRDefault="001420C4" w:rsidP="001420C4">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w:t>
      </w:r>
      <w:r w:rsidR="0060321E">
        <w:rPr>
          <w:rFonts w:ascii="Abadi" w:hAnsi="Abadi"/>
          <w:b/>
          <w:bCs/>
          <w:sz w:val="18"/>
          <w:szCs w:val="18"/>
        </w:rPr>
        <w:t>81</w:t>
      </w:r>
    </w:p>
    <w:p w14:paraId="6CB66AE1" w14:textId="77777777" w:rsidR="001420C4" w:rsidRPr="001420C4" w:rsidRDefault="001420C4" w:rsidP="001420C4">
      <w:pPr>
        <w:autoSpaceDE w:val="0"/>
        <w:autoSpaceDN w:val="0"/>
        <w:adjustRightInd w:val="0"/>
        <w:ind w:right="425"/>
        <w:jc w:val="both"/>
        <w:rPr>
          <w:rFonts w:ascii="Abadi" w:hAnsi="Abadi" w:cs="ArialMT"/>
          <w:b/>
          <w:bCs/>
          <w:sz w:val="21"/>
          <w:szCs w:val="21"/>
        </w:rPr>
      </w:pPr>
    </w:p>
    <w:p w14:paraId="29516D90" w14:textId="77777777" w:rsidR="00257080" w:rsidRPr="00C46026" w:rsidRDefault="00257080" w:rsidP="008A5268">
      <w:pPr>
        <w:autoSpaceDE w:val="0"/>
        <w:autoSpaceDN w:val="0"/>
        <w:adjustRightInd w:val="0"/>
        <w:ind w:right="425"/>
        <w:jc w:val="both"/>
        <w:rPr>
          <w:rFonts w:ascii="Abadi" w:hAnsi="Abadi" w:cs="Arial-BoldMT"/>
          <w:b/>
          <w:bCs/>
          <w:sz w:val="21"/>
          <w:szCs w:val="21"/>
        </w:rPr>
      </w:pPr>
    </w:p>
    <w:p w14:paraId="33E4F22C" w14:textId="3F4FA2AD"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1C7A6A">
        <w:rPr>
          <w:rFonts w:ascii="Abadi" w:hAnsi="Abadi" w:cs="ArialMT"/>
          <w:b/>
          <w:bCs/>
          <w:sz w:val="21"/>
          <w:szCs w:val="21"/>
        </w:rPr>
        <w:t>Discusión y, en su caso, aprobación del dictamen emitido por la Comisión de Desarrollo Económico y Social relativo a la iniciativa de Ley de Fomento e Impulso a la Actividad Artesanal para el Estado de Guanajuato, formulada por diputadas y diputados integrantes del Grupo Parlamentario del Partido Acción Nacional en la Sexagésima Cuarta Legislatura.</w:t>
      </w:r>
    </w:p>
    <w:p w14:paraId="6D2099CA" w14:textId="77777777" w:rsidR="001420C4" w:rsidRPr="001420C4" w:rsidRDefault="001420C4" w:rsidP="001420C4">
      <w:pPr>
        <w:autoSpaceDE w:val="0"/>
        <w:autoSpaceDN w:val="0"/>
        <w:adjustRightInd w:val="0"/>
        <w:ind w:right="425"/>
        <w:jc w:val="both"/>
        <w:rPr>
          <w:rFonts w:ascii="Abadi" w:hAnsi="Abadi" w:cs="ArialMT"/>
          <w:b/>
          <w:bCs/>
          <w:sz w:val="21"/>
          <w:szCs w:val="21"/>
        </w:rPr>
      </w:pPr>
    </w:p>
    <w:p w14:paraId="712B590C" w14:textId="7F0A78E3" w:rsidR="00257080" w:rsidRPr="00210B2E" w:rsidRDefault="001420C4" w:rsidP="00210B2E">
      <w:pPr>
        <w:pStyle w:val="Prrafodelista"/>
        <w:ind w:left="2844" w:right="-709" w:firstLine="696"/>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w:t>
      </w:r>
      <w:r w:rsidR="00210B2E">
        <w:rPr>
          <w:rFonts w:ascii="Abadi" w:hAnsi="Abadi"/>
          <w:b/>
          <w:bCs/>
          <w:sz w:val="18"/>
          <w:szCs w:val="18"/>
        </w:rPr>
        <w:t>88</w:t>
      </w:r>
    </w:p>
    <w:p w14:paraId="2704241C" w14:textId="70B1B5DE"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1C7A6A">
        <w:rPr>
          <w:rFonts w:ascii="Abadi" w:hAnsi="Abadi" w:cs="ArialMT"/>
          <w:b/>
          <w:bCs/>
          <w:sz w:val="21"/>
          <w:szCs w:val="21"/>
        </w:rPr>
        <w:t>Discusión y, en su caso, aprobación del dictamen signado por la Comisión de Desarrollo Económico y Social relativo a la propuesta de punto de acuerdo formulada por la diputada Martha Edith Moreno Valencia integrante del Grupo Parlamentario del Partido MORENA, con la finalidad de enviar un exhorto a la Cámara de Diputados del Honorable Congreso de la Unión, a efecto de aprobar la iniciativa de reformas a la Constitución Política de los Estados Unidos Mexicanos, en materia energética, presentada por el presidente de la república, Lic. Andrés Manuel López Obrador, por la que se reforman los artículos 25, 27 y 28 de la Constitución Política de los Estados Unidos Mexicanos, así como al titular de la Secretaría de Desarrollo Económico Sustentable, a efecto de realizar foros sobre la Reforma Energética promovida por el Lic. Andrés Manuel López Obrador, para ver sus impactos económicos y sociales.</w:t>
      </w:r>
    </w:p>
    <w:p w14:paraId="3E9D8E08" w14:textId="77777777" w:rsidR="00401003" w:rsidRDefault="00401003" w:rsidP="00401003">
      <w:pPr>
        <w:pStyle w:val="Prrafodelista"/>
        <w:ind w:left="720" w:right="-709"/>
        <w:rPr>
          <w:rFonts w:ascii="Abadi" w:hAnsi="Abadi"/>
          <w:b/>
          <w:bCs/>
          <w:sz w:val="18"/>
          <w:szCs w:val="18"/>
        </w:rPr>
      </w:pPr>
    </w:p>
    <w:p w14:paraId="240A19CF" w14:textId="7101D3C1" w:rsidR="001420C4" w:rsidRDefault="001420C4" w:rsidP="00401003">
      <w:pPr>
        <w:pStyle w:val="Prrafodelista"/>
        <w:ind w:left="3540" w:right="-709"/>
        <w:rPr>
          <w:rFonts w:ascii="Abadi" w:hAnsi="Abadi"/>
          <w:b/>
          <w:bCs/>
          <w:sz w:val="18"/>
          <w:szCs w:val="18"/>
        </w:rPr>
      </w:pPr>
      <w:r w:rsidRPr="00A60217">
        <w:rPr>
          <w:rFonts w:ascii="Abadi" w:hAnsi="Abadi"/>
          <w:b/>
          <w:bCs/>
          <w:sz w:val="18"/>
          <w:szCs w:val="18"/>
        </w:rPr>
        <w:t xml:space="preserve">Pág. </w:t>
      </w:r>
      <w:r w:rsidR="00210B2E">
        <w:rPr>
          <w:rFonts w:ascii="Abadi" w:hAnsi="Abadi"/>
          <w:b/>
          <w:bCs/>
          <w:sz w:val="18"/>
          <w:szCs w:val="18"/>
        </w:rPr>
        <w:t>198</w:t>
      </w:r>
    </w:p>
    <w:p w14:paraId="6C9AE93A" w14:textId="5BD586D2" w:rsidR="001420C4" w:rsidRPr="001420C4" w:rsidRDefault="00E97617" w:rsidP="00E97617">
      <w:pPr>
        <w:shd w:val="clear" w:color="auto" w:fill="F2F2F2" w:themeFill="background1" w:themeFillShade="F2"/>
        <w:autoSpaceDE w:val="0"/>
        <w:autoSpaceDN w:val="0"/>
        <w:adjustRightInd w:val="0"/>
        <w:ind w:left="709" w:right="566"/>
        <w:jc w:val="both"/>
        <w:rPr>
          <w:rFonts w:ascii="Abadi" w:hAnsi="Abadi" w:cs="ArialMT"/>
          <w:b/>
          <w:bCs/>
          <w:sz w:val="21"/>
          <w:szCs w:val="21"/>
        </w:rPr>
      </w:pPr>
      <w:r>
        <w:rPr>
          <w:rFonts w:ascii="Abadi" w:hAnsi="Abadi" w:cs="ArialMT"/>
          <w:b/>
          <w:bCs/>
          <w:sz w:val="21"/>
          <w:szCs w:val="21"/>
        </w:rPr>
        <w:t>(</w:t>
      </w:r>
      <w:r w:rsidR="00032DD3">
        <w:rPr>
          <w:rFonts w:ascii="Abadi" w:hAnsi="Abadi" w:cs="ArialMT"/>
          <w:b/>
          <w:bCs/>
          <w:sz w:val="21"/>
          <w:szCs w:val="21"/>
        </w:rPr>
        <w:t>Diputado Aldo Iván</w:t>
      </w:r>
      <w:r>
        <w:rPr>
          <w:rFonts w:ascii="Abadi" w:hAnsi="Abadi" w:cs="ArialMT"/>
          <w:b/>
          <w:bCs/>
          <w:sz w:val="21"/>
          <w:szCs w:val="21"/>
        </w:rPr>
        <w:t xml:space="preserve"> Márquez Becerra razona su voto)</w:t>
      </w:r>
    </w:p>
    <w:p w14:paraId="1756DEF3" w14:textId="60C7EDFC" w:rsidR="00E97617" w:rsidRDefault="00E97617" w:rsidP="00E97617">
      <w:pPr>
        <w:pStyle w:val="Prrafodelista"/>
        <w:ind w:left="3540" w:right="-709"/>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199</w:t>
      </w:r>
    </w:p>
    <w:p w14:paraId="64EA1EA9" w14:textId="027FF661" w:rsidR="00257080" w:rsidRDefault="00257080" w:rsidP="00257080">
      <w:pPr>
        <w:autoSpaceDE w:val="0"/>
        <w:autoSpaceDN w:val="0"/>
        <w:adjustRightInd w:val="0"/>
        <w:jc w:val="both"/>
        <w:rPr>
          <w:rFonts w:ascii="Abadi" w:hAnsi="Abadi" w:cs="Arial-BoldMT"/>
          <w:b/>
          <w:bCs/>
          <w:sz w:val="21"/>
          <w:szCs w:val="21"/>
        </w:rPr>
      </w:pPr>
    </w:p>
    <w:p w14:paraId="7B54CF0F" w14:textId="39484FB2" w:rsidR="00BC2358" w:rsidRPr="001420C4" w:rsidRDefault="00BC2358" w:rsidP="00BC2358">
      <w:pPr>
        <w:shd w:val="clear" w:color="auto" w:fill="F2F2F2" w:themeFill="background1" w:themeFillShade="F2"/>
        <w:autoSpaceDE w:val="0"/>
        <w:autoSpaceDN w:val="0"/>
        <w:adjustRightInd w:val="0"/>
        <w:ind w:left="709" w:right="566"/>
        <w:jc w:val="both"/>
        <w:rPr>
          <w:rFonts w:ascii="Abadi" w:hAnsi="Abadi" w:cs="ArialMT"/>
          <w:b/>
          <w:bCs/>
          <w:sz w:val="21"/>
          <w:szCs w:val="21"/>
        </w:rPr>
      </w:pPr>
      <w:r>
        <w:rPr>
          <w:rFonts w:ascii="Abadi" w:hAnsi="Abadi" w:cs="ArialMT"/>
          <w:b/>
          <w:bCs/>
          <w:sz w:val="21"/>
          <w:szCs w:val="21"/>
        </w:rPr>
        <w:t>(Diputad</w:t>
      </w:r>
      <w:r w:rsidR="00075E4E">
        <w:rPr>
          <w:rFonts w:ascii="Abadi" w:hAnsi="Abadi" w:cs="ArialMT"/>
          <w:b/>
          <w:bCs/>
          <w:sz w:val="21"/>
          <w:szCs w:val="21"/>
        </w:rPr>
        <w:t>a</w:t>
      </w:r>
      <w:r>
        <w:rPr>
          <w:rFonts w:ascii="Abadi" w:hAnsi="Abadi" w:cs="ArialMT"/>
          <w:b/>
          <w:bCs/>
          <w:sz w:val="21"/>
          <w:szCs w:val="21"/>
        </w:rPr>
        <w:t xml:space="preserve"> </w:t>
      </w:r>
      <w:r w:rsidR="00453BA5">
        <w:rPr>
          <w:rFonts w:ascii="Abadi" w:hAnsi="Abadi" w:cs="ArialMT"/>
          <w:b/>
          <w:bCs/>
          <w:sz w:val="21"/>
          <w:szCs w:val="21"/>
        </w:rPr>
        <w:t>Briseida Anabel Magdaleno González</w:t>
      </w:r>
      <w:r>
        <w:rPr>
          <w:rFonts w:ascii="Abadi" w:hAnsi="Abadi" w:cs="ArialMT"/>
          <w:b/>
          <w:bCs/>
          <w:sz w:val="21"/>
          <w:szCs w:val="21"/>
        </w:rPr>
        <w:t xml:space="preserve"> razona su voto)</w:t>
      </w:r>
    </w:p>
    <w:p w14:paraId="13AA627E" w14:textId="7DBA8855" w:rsidR="00BC2358" w:rsidRDefault="00BC2358" w:rsidP="00BC2358">
      <w:pPr>
        <w:pStyle w:val="Prrafodelista"/>
        <w:ind w:left="3540" w:right="-709"/>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199</w:t>
      </w:r>
    </w:p>
    <w:p w14:paraId="780D309E" w14:textId="77777777" w:rsidR="00BC2358" w:rsidRDefault="00BC2358" w:rsidP="00BC2358">
      <w:pPr>
        <w:pStyle w:val="Prrafodelista"/>
        <w:ind w:left="3540" w:right="-709"/>
        <w:rPr>
          <w:rFonts w:ascii="Abadi" w:hAnsi="Abadi"/>
          <w:b/>
          <w:bCs/>
          <w:sz w:val="18"/>
          <w:szCs w:val="18"/>
        </w:rPr>
      </w:pPr>
    </w:p>
    <w:p w14:paraId="2D0F1476" w14:textId="733475AC" w:rsidR="00BC2358" w:rsidRPr="001420C4" w:rsidRDefault="00BC2358" w:rsidP="00BC2358">
      <w:pPr>
        <w:shd w:val="clear" w:color="auto" w:fill="F2F2F2" w:themeFill="background1" w:themeFillShade="F2"/>
        <w:autoSpaceDE w:val="0"/>
        <w:autoSpaceDN w:val="0"/>
        <w:adjustRightInd w:val="0"/>
        <w:ind w:left="709" w:right="566"/>
        <w:jc w:val="both"/>
        <w:rPr>
          <w:rFonts w:ascii="Abadi" w:hAnsi="Abadi" w:cs="ArialMT"/>
          <w:b/>
          <w:bCs/>
          <w:sz w:val="21"/>
          <w:szCs w:val="21"/>
        </w:rPr>
      </w:pPr>
      <w:r>
        <w:rPr>
          <w:rFonts w:ascii="Abadi" w:hAnsi="Abadi" w:cs="ArialMT"/>
          <w:b/>
          <w:bCs/>
          <w:sz w:val="21"/>
          <w:szCs w:val="21"/>
        </w:rPr>
        <w:t xml:space="preserve">(Diputado </w:t>
      </w:r>
      <w:r w:rsidR="00453BA5">
        <w:rPr>
          <w:rFonts w:ascii="Abadi" w:hAnsi="Abadi" w:cs="ArialMT"/>
          <w:b/>
          <w:bCs/>
          <w:sz w:val="21"/>
          <w:szCs w:val="21"/>
        </w:rPr>
        <w:t xml:space="preserve">Gustavo Adolfo Alfaro Reyes </w:t>
      </w:r>
      <w:r>
        <w:rPr>
          <w:rFonts w:ascii="Abadi" w:hAnsi="Abadi" w:cs="ArialMT"/>
          <w:b/>
          <w:bCs/>
          <w:sz w:val="21"/>
          <w:szCs w:val="21"/>
        </w:rPr>
        <w:t>razona su voto)</w:t>
      </w:r>
    </w:p>
    <w:p w14:paraId="69E7E5FF" w14:textId="77777777" w:rsidR="00BC2358" w:rsidRDefault="00BC2358" w:rsidP="00BC2358">
      <w:pPr>
        <w:pStyle w:val="Prrafodelista"/>
        <w:ind w:left="3540" w:right="-709"/>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199</w:t>
      </w:r>
    </w:p>
    <w:p w14:paraId="1A1483CF" w14:textId="216AD334" w:rsidR="00453BA5" w:rsidRPr="001420C4" w:rsidRDefault="00453BA5" w:rsidP="00453BA5">
      <w:pPr>
        <w:shd w:val="clear" w:color="auto" w:fill="F2F2F2" w:themeFill="background1" w:themeFillShade="F2"/>
        <w:autoSpaceDE w:val="0"/>
        <w:autoSpaceDN w:val="0"/>
        <w:adjustRightInd w:val="0"/>
        <w:ind w:left="709" w:right="566"/>
        <w:jc w:val="both"/>
        <w:rPr>
          <w:rFonts w:ascii="Abadi" w:hAnsi="Abadi" w:cs="ArialMT"/>
          <w:b/>
          <w:bCs/>
          <w:sz w:val="21"/>
          <w:szCs w:val="21"/>
        </w:rPr>
      </w:pPr>
      <w:r>
        <w:rPr>
          <w:rFonts w:ascii="Abadi" w:hAnsi="Abadi" w:cs="ArialMT"/>
          <w:b/>
          <w:bCs/>
          <w:sz w:val="21"/>
          <w:szCs w:val="21"/>
        </w:rPr>
        <w:t>(Diputad</w:t>
      </w:r>
      <w:r w:rsidR="00075E4E">
        <w:rPr>
          <w:rFonts w:ascii="Abadi" w:hAnsi="Abadi" w:cs="ArialMT"/>
          <w:b/>
          <w:bCs/>
          <w:sz w:val="21"/>
          <w:szCs w:val="21"/>
        </w:rPr>
        <w:t>a</w:t>
      </w:r>
      <w:r>
        <w:rPr>
          <w:rFonts w:ascii="Abadi" w:hAnsi="Abadi" w:cs="ArialMT"/>
          <w:b/>
          <w:bCs/>
          <w:sz w:val="21"/>
          <w:szCs w:val="21"/>
        </w:rPr>
        <w:t xml:space="preserve"> </w:t>
      </w:r>
      <w:r w:rsidR="00822FFB">
        <w:rPr>
          <w:rFonts w:ascii="Abadi" w:hAnsi="Abadi" w:cs="ArialMT"/>
          <w:b/>
          <w:bCs/>
          <w:sz w:val="21"/>
          <w:szCs w:val="21"/>
        </w:rPr>
        <w:t xml:space="preserve">Lilia Margarita Rionda Salas </w:t>
      </w:r>
      <w:r>
        <w:rPr>
          <w:rFonts w:ascii="Abadi" w:hAnsi="Abadi" w:cs="ArialMT"/>
          <w:b/>
          <w:bCs/>
          <w:sz w:val="21"/>
          <w:szCs w:val="21"/>
        </w:rPr>
        <w:t>razona su voto)</w:t>
      </w:r>
    </w:p>
    <w:p w14:paraId="5712C483" w14:textId="77777777" w:rsidR="00453BA5" w:rsidRDefault="00453BA5" w:rsidP="00453BA5">
      <w:pPr>
        <w:pStyle w:val="Prrafodelista"/>
        <w:ind w:left="3540" w:right="-709"/>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199</w:t>
      </w:r>
    </w:p>
    <w:p w14:paraId="04821CEB" w14:textId="079ECE04" w:rsidR="00822FFB" w:rsidRPr="001420C4" w:rsidRDefault="00822FFB" w:rsidP="00822FFB">
      <w:pPr>
        <w:shd w:val="clear" w:color="auto" w:fill="F2F2F2" w:themeFill="background1" w:themeFillShade="F2"/>
        <w:autoSpaceDE w:val="0"/>
        <w:autoSpaceDN w:val="0"/>
        <w:adjustRightInd w:val="0"/>
        <w:ind w:left="709" w:right="566"/>
        <w:jc w:val="both"/>
        <w:rPr>
          <w:rFonts w:ascii="Abadi" w:hAnsi="Abadi" w:cs="ArialMT"/>
          <w:b/>
          <w:bCs/>
          <w:sz w:val="21"/>
          <w:szCs w:val="21"/>
        </w:rPr>
      </w:pPr>
      <w:r>
        <w:rPr>
          <w:rFonts w:ascii="Abadi" w:hAnsi="Abadi" w:cs="ArialMT"/>
          <w:b/>
          <w:bCs/>
          <w:sz w:val="21"/>
          <w:szCs w:val="21"/>
        </w:rPr>
        <w:t>(Diputad</w:t>
      </w:r>
      <w:r w:rsidR="00075E4E">
        <w:rPr>
          <w:rFonts w:ascii="Abadi" w:hAnsi="Abadi" w:cs="ArialMT"/>
          <w:b/>
          <w:bCs/>
          <w:sz w:val="21"/>
          <w:szCs w:val="21"/>
        </w:rPr>
        <w:t>a</w:t>
      </w:r>
      <w:r>
        <w:rPr>
          <w:rFonts w:ascii="Abadi" w:hAnsi="Abadi" w:cs="ArialMT"/>
          <w:b/>
          <w:bCs/>
          <w:sz w:val="21"/>
          <w:szCs w:val="21"/>
        </w:rPr>
        <w:t xml:space="preserve"> Martha Guadalupe </w:t>
      </w:r>
      <w:r w:rsidR="00075E4E">
        <w:rPr>
          <w:rFonts w:ascii="Abadi" w:hAnsi="Abadi" w:cs="ArialMT"/>
          <w:b/>
          <w:bCs/>
          <w:sz w:val="21"/>
          <w:szCs w:val="21"/>
        </w:rPr>
        <w:t>Hernández</w:t>
      </w:r>
      <w:r>
        <w:rPr>
          <w:rFonts w:ascii="Abadi" w:hAnsi="Abadi" w:cs="ArialMT"/>
          <w:b/>
          <w:bCs/>
          <w:sz w:val="21"/>
          <w:szCs w:val="21"/>
        </w:rPr>
        <w:t xml:space="preserve"> </w:t>
      </w:r>
      <w:r w:rsidR="00075E4E">
        <w:rPr>
          <w:rFonts w:ascii="Abadi" w:hAnsi="Abadi" w:cs="ArialMT"/>
          <w:b/>
          <w:bCs/>
          <w:sz w:val="21"/>
          <w:szCs w:val="21"/>
        </w:rPr>
        <w:t>Camarena razona</w:t>
      </w:r>
      <w:r>
        <w:rPr>
          <w:rFonts w:ascii="Abadi" w:hAnsi="Abadi" w:cs="ArialMT"/>
          <w:b/>
          <w:bCs/>
          <w:sz w:val="21"/>
          <w:szCs w:val="21"/>
        </w:rPr>
        <w:t xml:space="preserve"> su voto)</w:t>
      </w:r>
    </w:p>
    <w:p w14:paraId="35047AD7" w14:textId="77777777" w:rsidR="00075E4E" w:rsidRDefault="00075E4E" w:rsidP="00075E4E">
      <w:pPr>
        <w:pStyle w:val="Prrafodelista"/>
        <w:ind w:left="3540" w:right="-709"/>
        <w:rPr>
          <w:rFonts w:ascii="Abadi" w:hAnsi="Abadi"/>
          <w:b/>
          <w:bCs/>
          <w:sz w:val="18"/>
          <w:szCs w:val="18"/>
        </w:rPr>
      </w:pPr>
      <w:r w:rsidRPr="00A60217">
        <w:rPr>
          <w:rFonts w:ascii="Abadi" w:hAnsi="Abadi"/>
          <w:b/>
          <w:bCs/>
          <w:sz w:val="18"/>
          <w:szCs w:val="18"/>
        </w:rPr>
        <w:t xml:space="preserve">Pág. </w:t>
      </w:r>
      <w:r>
        <w:rPr>
          <w:rFonts w:ascii="Abadi" w:hAnsi="Abadi"/>
          <w:b/>
          <w:bCs/>
          <w:sz w:val="18"/>
          <w:szCs w:val="18"/>
        </w:rPr>
        <w:t>199</w:t>
      </w:r>
    </w:p>
    <w:p w14:paraId="021B9D31" w14:textId="77777777" w:rsidR="00E97617" w:rsidRPr="00C46026" w:rsidRDefault="00E97617" w:rsidP="00257080">
      <w:pPr>
        <w:autoSpaceDE w:val="0"/>
        <w:autoSpaceDN w:val="0"/>
        <w:adjustRightInd w:val="0"/>
        <w:jc w:val="both"/>
        <w:rPr>
          <w:rFonts w:ascii="Abadi" w:hAnsi="Abadi" w:cs="Arial-BoldMT"/>
          <w:b/>
          <w:bCs/>
          <w:sz w:val="21"/>
          <w:szCs w:val="21"/>
        </w:rPr>
      </w:pPr>
    </w:p>
    <w:p w14:paraId="04A72718" w14:textId="6788B474"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1C7A6A">
        <w:rPr>
          <w:rFonts w:ascii="Abadi" w:hAnsi="Abadi" w:cs="ArialMT"/>
          <w:b/>
          <w:bCs/>
          <w:sz w:val="21"/>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Apaseo el Grande, Gto., con enfoque a resultados del servicio de alumbrado público, por el periodo comprendido del 1 de enero al 31 de diciembre del ejercicio fiscal del año 2020.</w:t>
      </w:r>
    </w:p>
    <w:p w14:paraId="77454BDF" w14:textId="081FF6EF" w:rsidR="00401003" w:rsidRPr="00401003" w:rsidRDefault="00401003" w:rsidP="00401003">
      <w:pPr>
        <w:ind w:left="2832" w:right="-709" w:firstLine="708"/>
        <w:rPr>
          <w:rFonts w:ascii="Abadi" w:hAnsi="Abadi"/>
          <w:b/>
          <w:bCs/>
          <w:sz w:val="18"/>
          <w:szCs w:val="18"/>
        </w:rPr>
      </w:pPr>
      <w:r w:rsidRPr="00401003">
        <w:rPr>
          <w:rFonts w:ascii="Abadi" w:hAnsi="Abadi"/>
          <w:b/>
          <w:bCs/>
          <w:sz w:val="18"/>
          <w:szCs w:val="18"/>
        </w:rPr>
        <w:t xml:space="preserve">Pág. </w:t>
      </w:r>
      <w:r w:rsidR="00075E4E">
        <w:rPr>
          <w:rFonts w:ascii="Abadi" w:hAnsi="Abadi"/>
          <w:b/>
          <w:bCs/>
          <w:sz w:val="18"/>
          <w:szCs w:val="18"/>
        </w:rPr>
        <w:t>200</w:t>
      </w:r>
    </w:p>
    <w:p w14:paraId="027FA2D5" w14:textId="77777777" w:rsidR="00401003" w:rsidRPr="00401003" w:rsidRDefault="00401003" w:rsidP="00401003">
      <w:pPr>
        <w:autoSpaceDE w:val="0"/>
        <w:autoSpaceDN w:val="0"/>
        <w:adjustRightInd w:val="0"/>
        <w:ind w:right="425"/>
        <w:jc w:val="both"/>
        <w:rPr>
          <w:rFonts w:ascii="Abadi" w:hAnsi="Abadi" w:cs="ArialMT"/>
          <w:b/>
          <w:bCs/>
          <w:sz w:val="21"/>
          <w:szCs w:val="21"/>
        </w:rPr>
      </w:pPr>
    </w:p>
    <w:p w14:paraId="1B937433" w14:textId="77777777" w:rsidR="00257080" w:rsidRPr="00C46026" w:rsidRDefault="00257080" w:rsidP="008A5268">
      <w:pPr>
        <w:autoSpaceDE w:val="0"/>
        <w:autoSpaceDN w:val="0"/>
        <w:adjustRightInd w:val="0"/>
        <w:ind w:right="425"/>
        <w:jc w:val="both"/>
        <w:rPr>
          <w:rFonts w:ascii="Abadi" w:hAnsi="Abadi" w:cs="Arial-BoldMT"/>
          <w:b/>
          <w:bCs/>
          <w:sz w:val="21"/>
          <w:szCs w:val="21"/>
        </w:rPr>
      </w:pPr>
    </w:p>
    <w:p w14:paraId="02DD9003" w14:textId="69C97EF3"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1C7A6A">
        <w:rPr>
          <w:rFonts w:ascii="Abadi" w:hAnsi="Abadi" w:cs="ArialMT"/>
          <w:b/>
          <w:bCs/>
          <w:sz w:val="21"/>
          <w:szCs w:val="21"/>
        </w:rPr>
        <w:t xml:space="preserve">Discusión y, en su caso, aprobación del dictamen suscrito por la Comisión de Hacienda y Fiscalización relativo al informe de resultados de la auditoría de desempeño practicada por la Auditoría Superior del Estado de Guanajuato al Poder Ejecutivo del Estado de Guanajuato con enfoque de resultados del Programa </w:t>
      </w:r>
      <w:r w:rsidRPr="001C7A6A">
        <w:rPr>
          <w:rFonts w:ascii="Abadi" w:hAnsi="Abadi" w:cs="Arial-ItalicMT"/>
          <w:b/>
          <w:bCs/>
          <w:i/>
          <w:iCs/>
          <w:sz w:val="21"/>
          <w:szCs w:val="21"/>
        </w:rPr>
        <w:t>Q3391 Vale Grandeza-Compra Local</w:t>
      </w:r>
      <w:r w:rsidRPr="001C7A6A">
        <w:rPr>
          <w:rFonts w:ascii="Abadi" w:hAnsi="Abadi" w:cs="ArialMT"/>
          <w:b/>
          <w:bCs/>
          <w:sz w:val="21"/>
          <w:szCs w:val="21"/>
        </w:rPr>
        <w:t>, a cargo de la Secretaría de Desarrollo Económico Sustentable, por el periodo comprendido del 1 de enero al 31 de diciembre del ejercicio fiscal del año 2020.</w:t>
      </w:r>
    </w:p>
    <w:p w14:paraId="7218119B" w14:textId="77777777" w:rsidR="00401003" w:rsidRDefault="00401003" w:rsidP="00401003">
      <w:pPr>
        <w:pStyle w:val="Prrafodelista"/>
        <w:autoSpaceDE w:val="0"/>
        <w:autoSpaceDN w:val="0"/>
        <w:adjustRightInd w:val="0"/>
        <w:ind w:left="720" w:right="425"/>
        <w:jc w:val="both"/>
        <w:rPr>
          <w:rFonts w:ascii="Abadi" w:hAnsi="Abadi" w:cs="ArialMT"/>
          <w:b/>
          <w:bCs/>
          <w:sz w:val="21"/>
          <w:szCs w:val="21"/>
        </w:rPr>
      </w:pPr>
    </w:p>
    <w:p w14:paraId="0A5BCB67" w14:textId="276A8AFE" w:rsidR="00401003" w:rsidRPr="00401003" w:rsidRDefault="00401003" w:rsidP="00401003">
      <w:pPr>
        <w:ind w:left="2832" w:right="-709" w:firstLine="708"/>
        <w:rPr>
          <w:rFonts w:ascii="Abadi" w:hAnsi="Abadi"/>
          <w:b/>
          <w:bCs/>
          <w:sz w:val="18"/>
          <w:szCs w:val="18"/>
        </w:rPr>
      </w:pPr>
      <w:r w:rsidRPr="00401003">
        <w:rPr>
          <w:rFonts w:ascii="Abadi" w:hAnsi="Abadi"/>
          <w:b/>
          <w:bCs/>
          <w:sz w:val="18"/>
          <w:szCs w:val="18"/>
        </w:rPr>
        <w:t xml:space="preserve">Pág. </w:t>
      </w:r>
      <w:r w:rsidR="00075E4E">
        <w:rPr>
          <w:rFonts w:ascii="Abadi" w:hAnsi="Abadi"/>
          <w:b/>
          <w:bCs/>
          <w:sz w:val="18"/>
          <w:szCs w:val="18"/>
        </w:rPr>
        <w:t>211</w:t>
      </w:r>
      <w:r>
        <w:rPr>
          <w:rFonts w:ascii="Abadi" w:hAnsi="Abadi"/>
          <w:b/>
          <w:bCs/>
          <w:sz w:val="18"/>
          <w:szCs w:val="18"/>
        </w:rPr>
        <w:tab/>
      </w:r>
      <w:r>
        <w:rPr>
          <w:rFonts w:ascii="Abadi" w:hAnsi="Abadi"/>
          <w:b/>
          <w:bCs/>
          <w:sz w:val="18"/>
          <w:szCs w:val="18"/>
        </w:rPr>
        <w:tab/>
      </w:r>
      <w:r>
        <w:rPr>
          <w:rFonts w:ascii="Abadi" w:hAnsi="Abadi"/>
          <w:b/>
          <w:bCs/>
          <w:sz w:val="18"/>
          <w:szCs w:val="18"/>
        </w:rPr>
        <w:tab/>
      </w:r>
    </w:p>
    <w:p w14:paraId="55696440" w14:textId="77777777" w:rsidR="00401003" w:rsidRPr="00401003" w:rsidRDefault="00401003" w:rsidP="00401003">
      <w:pPr>
        <w:autoSpaceDE w:val="0"/>
        <w:autoSpaceDN w:val="0"/>
        <w:adjustRightInd w:val="0"/>
        <w:ind w:right="425"/>
        <w:jc w:val="both"/>
        <w:rPr>
          <w:rFonts w:ascii="Abadi" w:hAnsi="Abadi" w:cs="ArialMT"/>
          <w:b/>
          <w:bCs/>
          <w:sz w:val="21"/>
          <w:szCs w:val="21"/>
        </w:rPr>
      </w:pPr>
    </w:p>
    <w:p w14:paraId="08EA8182" w14:textId="77777777" w:rsidR="00257080" w:rsidRPr="00C46026" w:rsidRDefault="00257080" w:rsidP="008A5268">
      <w:pPr>
        <w:autoSpaceDE w:val="0"/>
        <w:autoSpaceDN w:val="0"/>
        <w:adjustRightInd w:val="0"/>
        <w:ind w:right="425"/>
        <w:jc w:val="both"/>
        <w:rPr>
          <w:rFonts w:ascii="Abadi" w:hAnsi="Abadi" w:cs="Arial-BoldMT"/>
          <w:b/>
          <w:bCs/>
          <w:sz w:val="21"/>
          <w:szCs w:val="21"/>
        </w:rPr>
      </w:pPr>
    </w:p>
    <w:p w14:paraId="27771778" w14:textId="622721D9"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1C7A6A">
        <w:rPr>
          <w:rFonts w:ascii="Abadi" w:hAnsi="Abadi" w:cs="ArialMT"/>
          <w:b/>
          <w:bCs/>
          <w:sz w:val="21"/>
          <w:szCs w:val="21"/>
        </w:rPr>
        <w:t>Discusión y, en su caso, aprobación del dictamen presentado por la Comisión de Hacienda y Fiscalización relativo al informe de resultados de la auditoría de desempeño practicada por la Auditoría Superior del Estado de Guanajuato a la administración municipal de Apaseo el Alto, Gto., con enfoque a resultados del servicio de alumbrado público, por el periodo comprendido del 1 de enero al 31 de diciembre del ejercicio fiscal del año 2020.</w:t>
      </w:r>
    </w:p>
    <w:p w14:paraId="5D558DFE" w14:textId="77777777" w:rsidR="00401003" w:rsidRDefault="00401003" w:rsidP="00401003">
      <w:pPr>
        <w:ind w:left="360" w:right="-709"/>
        <w:rPr>
          <w:rFonts w:ascii="Abadi" w:hAnsi="Abadi"/>
          <w:b/>
          <w:bCs/>
          <w:sz w:val="18"/>
          <w:szCs w:val="18"/>
        </w:rPr>
      </w:pPr>
    </w:p>
    <w:p w14:paraId="1100E434" w14:textId="067C449D" w:rsidR="00401003" w:rsidRPr="00401003" w:rsidRDefault="00401003" w:rsidP="00401003">
      <w:pPr>
        <w:ind w:left="3192" w:right="-709" w:firstLine="348"/>
        <w:rPr>
          <w:rFonts w:ascii="Abadi" w:hAnsi="Abadi"/>
          <w:b/>
          <w:bCs/>
          <w:sz w:val="18"/>
          <w:szCs w:val="18"/>
        </w:rPr>
      </w:pPr>
      <w:r w:rsidRPr="00401003">
        <w:rPr>
          <w:rFonts w:ascii="Abadi" w:hAnsi="Abadi"/>
          <w:b/>
          <w:bCs/>
          <w:sz w:val="18"/>
          <w:szCs w:val="18"/>
        </w:rPr>
        <w:t xml:space="preserve">Pág. </w:t>
      </w:r>
      <w:r w:rsidR="00075E4E">
        <w:rPr>
          <w:rFonts w:ascii="Abadi" w:hAnsi="Abadi"/>
          <w:b/>
          <w:bCs/>
          <w:sz w:val="18"/>
          <w:szCs w:val="18"/>
        </w:rPr>
        <w:t>223</w:t>
      </w:r>
    </w:p>
    <w:p w14:paraId="124A6F28" w14:textId="77777777" w:rsidR="00401003" w:rsidRPr="00401003" w:rsidRDefault="00401003" w:rsidP="00401003">
      <w:pPr>
        <w:autoSpaceDE w:val="0"/>
        <w:autoSpaceDN w:val="0"/>
        <w:adjustRightInd w:val="0"/>
        <w:ind w:right="425"/>
        <w:jc w:val="both"/>
        <w:rPr>
          <w:rFonts w:ascii="Abadi" w:hAnsi="Abadi" w:cs="ArialMT"/>
          <w:b/>
          <w:bCs/>
          <w:sz w:val="21"/>
          <w:szCs w:val="21"/>
        </w:rPr>
      </w:pPr>
    </w:p>
    <w:p w14:paraId="1ECC2CC1" w14:textId="77777777" w:rsidR="00257080" w:rsidRPr="00C46026" w:rsidRDefault="00257080" w:rsidP="00BF1FDD">
      <w:pPr>
        <w:autoSpaceDE w:val="0"/>
        <w:autoSpaceDN w:val="0"/>
        <w:adjustRightInd w:val="0"/>
        <w:ind w:right="425"/>
        <w:jc w:val="both"/>
        <w:rPr>
          <w:rFonts w:ascii="Abadi" w:hAnsi="Abadi" w:cs="Arial-BoldMT"/>
          <w:b/>
          <w:bCs/>
          <w:sz w:val="21"/>
          <w:szCs w:val="21"/>
        </w:rPr>
      </w:pPr>
    </w:p>
    <w:p w14:paraId="6876D121" w14:textId="7B240A74"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1C7A6A">
        <w:rPr>
          <w:rFonts w:ascii="Abadi" w:hAnsi="Abadi" w:cs="ArialMT"/>
          <w:b/>
          <w:bCs/>
          <w:sz w:val="21"/>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Acámbaro, Gto., con</w:t>
      </w:r>
      <w:r w:rsidR="001C7A6A" w:rsidRPr="001C7A6A">
        <w:rPr>
          <w:rFonts w:ascii="Abadi" w:hAnsi="Abadi" w:cs="ArialMT"/>
          <w:b/>
          <w:bCs/>
          <w:sz w:val="21"/>
          <w:szCs w:val="21"/>
        </w:rPr>
        <w:t xml:space="preserve"> </w:t>
      </w:r>
      <w:r w:rsidRPr="001C7A6A">
        <w:rPr>
          <w:rFonts w:ascii="Abadi" w:hAnsi="Abadi" w:cs="ArialMT"/>
          <w:b/>
          <w:bCs/>
          <w:sz w:val="21"/>
          <w:szCs w:val="21"/>
        </w:rPr>
        <w:t>enfoque a resultados del servicio de alumbrado público, por el periodo comprendido del 1 de enero al 31 de diciembre del ejercicio fiscal del año 2020.</w:t>
      </w:r>
    </w:p>
    <w:p w14:paraId="30B1F07E" w14:textId="77777777" w:rsidR="00401003" w:rsidRDefault="00401003" w:rsidP="00401003">
      <w:pPr>
        <w:pStyle w:val="Prrafodelista"/>
        <w:autoSpaceDE w:val="0"/>
        <w:autoSpaceDN w:val="0"/>
        <w:adjustRightInd w:val="0"/>
        <w:ind w:left="720" w:right="425"/>
        <w:jc w:val="both"/>
        <w:rPr>
          <w:rFonts w:ascii="Abadi" w:hAnsi="Abadi" w:cs="ArialMT"/>
          <w:b/>
          <w:bCs/>
          <w:sz w:val="21"/>
          <w:szCs w:val="21"/>
        </w:rPr>
      </w:pPr>
    </w:p>
    <w:p w14:paraId="78B0FD31" w14:textId="23C8FE47" w:rsidR="00401003" w:rsidRPr="00401003" w:rsidRDefault="00401003" w:rsidP="00401003">
      <w:pPr>
        <w:ind w:left="2832" w:right="-709" w:firstLine="708"/>
        <w:rPr>
          <w:rFonts w:ascii="Abadi" w:hAnsi="Abadi"/>
          <w:b/>
          <w:bCs/>
          <w:sz w:val="18"/>
          <w:szCs w:val="18"/>
        </w:rPr>
      </w:pPr>
      <w:r w:rsidRPr="00401003">
        <w:rPr>
          <w:rFonts w:ascii="Abadi" w:hAnsi="Abadi"/>
          <w:b/>
          <w:bCs/>
          <w:sz w:val="18"/>
          <w:szCs w:val="18"/>
        </w:rPr>
        <w:t xml:space="preserve">Pág. </w:t>
      </w:r>
      <w:r w:rsidR="00075E4E">
        <w:rPr>
          <w:rFonts w:ascii="Abadi" w:hAnsi="Abadi"/>
          <w:b/>
          <w:bCs/>
          <w:sz w:val="18"/>
          <w:szCs w:val="18"/>
        </w:rPr>
        <w:t>233</w:t>
      </w:r>
    </w:p>
    <w:p w14:paraId="2949623D" w14:textId="77777777" w:rsidR="00401003" w:rsidRPr="00401003" w:rsidRDefault="00401003" w:rsidP="00401003">
      <w:pPr>
        <w:autoSpaceDE w:val="0"/>
        <w:autoSpaceDN w:val="0"/>
        <w:adjustRightInd w:val="0"/>
        <w:ind w:right="425"/>
        <w:jc w:val="both"/>
        <w:rPr>
          <w:rFonts w:ascii="Abadi" w:hAnsi="Abadi" w:cs="ArialMT"/>
          <w:b/>
          <w:bCs/>
          <w:sz w:val="21"/>
          <w:szCs w:val="21"/>
        </w:rPr>
      </w:pPr>
    </w:p>
    <w:p w14:paraId="3141CF0B" w14:textId="77777777" w:rsidR="00257080" w:rsidRPr="00C46026" w:rsidRDefault="00257080" w:rsidP="00BF1FDD">
      <w:pPr>
        <w:autoSpaceDE w:val="0"/>
        <w:autoSpaceDN w:val="0"/>
        <w:adjustRightInd w:val="0"/>
        <w:ind w:right="425"/>
        <w:jc w:val="both"/>
        <w:rPr>
          <w:rFonts w:ascii="Abadi" w:hAnsi="Abadi" w:cs="Arial-BoldMT"/>
          <w:b/>
          <w:bCs/>
          <w:sz w:val="21"/>
          <w:szCs w:val="21"/>
        </w:rPr>
      </w:pPr>
    </w:p>
    <w:p w14:paraId="4A9B63F9" w14:textId="529D6A9F"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B52704">
        <w:rPr>
          <w:rFonts w:ascii="Abadi" w:hAnsi="Abadi" w:cs="ArialMT"/>
          <w:b/>
          <w:bCs/>
          <w:sz w:val="21"/>
          <w:szCs w:val="21"/>
        </w:rPr>
        <w:t>Discusión y, en su caso, aprobación del dictamen signado por la Comisión de Hacienda y Fiscalización relativo al informe de resultados de la auditoría de desempeño practicada por la Auditoría Superior del Estado de Guanajuato a la administración municipal de Huanímaro, Gto., con</w:t>
      </w:r>
      <w:r w:rsidR="00B52704" w:rsidRPr="00B52704">
        <w:rPr>
          <w:rFonts w:ascii="Abadi" w:hAnsi="Abadi" w:cs="ArialMT"/>
          <w:b/>
          <w:bCs/>
          <w:sz w:val="21"/>
          <w:szCs w:val="21"/>
        </w:rPr>
        <w:t xml:space="preserve"> </w:t>
      </w:r>
      <w:r w:rsidRPr="00B52704">
        <w:rPr>
          <w:rFonts w:ascii="Abadi" w:hAnsi="Abadi" w:cs="ArialMT"/>
          <w:b/>
          <w:bCs/>
          <w:sz w:val="21"/>
          <w:szCs w:val="21"/>
        </w:rPr>
        <w:t>enfoque a resultados del servicio de alumbrado público, por el periodo comprendido del 1 de enero al 31 de diciembre del ejercicio fiscal del año 2020.</w:t>
      </w:r>
    </w:p>
    <w:p w14:paraId="7C102628" w14:textId="77777777" w:rsidR="00401003" w:rsidRDefault="00401003" w:rsidP="00401003">
      <w:pPr>
        <w:pStyle w:val="Prrafodelista"/>
        <w:autoSpaceDE w:val="0"/>
        <w:autoSpaceDN w:val="0"/>
        <w:adjustRightInd w:val="0"/>
        <w:ind w:left="720" w:right="425"/>
        <w:jc w:val="both"/>
        <w:rPr>
          <w:rFonts w:ascii="Abadi" w:hAnsi="Abadi" w:cs="ArialMT"/>
          <w:b/>
          <w:bCs/>
          <w:sz w:val="21"/>
          <w:szCs w:val="21"/>
        </w:rPr>
      </w:pPr>
    </w:p>
    <w:p w14:paraId="2878775B" w14:textId="0ABAEFE4" w:rsidR="00401003" w:rsidRPr="00401003" w:rsidRDefault="00401003" w:rsidP="00401003">
      <w:pPr>
        <w:ind w:left="2832" w:right="-709" w:firstLine="708"/>
        <w:rPr>
          <w:rFonts w:ascii="Abadi" w:hAnsi="Abadi"/>
          <w:b/>
          <w:bCs/>
          <w:sz w:val="18"/>
          <w:szCs w:val="18"/>
        </w:rPr>
      </w:pPr>
      <w:r w:rsidRPr="00401003">
        <w:rPr>
          <w:rFonts w:ascii="Abadi" w:hAnsi="Abadi"/>
          <w:b/>
          <w:bCs/>
          <w:sz w:val="18"/>
          <w:szCs w:val="18"/>
        </w:rPr>
        <w:t xml:space="preserve">Pág. </w:t>
      </w:r>
      <w:r w:rsidR="00075E4E">
        <w:rPr>
          <w:rFonts w:ascii="Abadi" w:hAnsi="Abadi"/>
          <w:b/>
          <w:bCs/>
          <w:sz w:val="18"/>
          <w:szCs w:val="18"/>
        </w:rPr>
        <w:t>245</w:t>
      </w:r>
    </w:p>
    <w:p w14:paraId="1BF5F17C" w14:textId="77777777" w:rsidR="00401003" w:rsidRPr="00401003" w:rsidRDefault="00401003" w:rsidP="00401003">
      <w:pPr>
        <w:autoSpaceDE w:val="0"/>
        <w:autoSpaceDN w:val="0"/>
        <w:adjustRightInd w:val="0"/>
        <w:ind w:right="425"/>
        <w:jc w:val="both"/>
        <w:rPr>
          <w:rFonts w:ascii="Abadi" w:hAnsi="Abadi" w:cs="ArialMT"/>
          <w:b/>
          <w:bCs/>
          <w:sz w:val="21"/>
          <w:szCs w:val="21"/>
        </w:rPr>
      </w:pPr>
    </w:p>
    <w:p w14:paraId="465726EA" w14:textId="77777777" w:rsidR="00257080" w:rsidRPr="00C46026" w:rsidRDefault="00257080" w:rsidP="00257080">
      <w:pPr>
        <w:autoSpaceDE w:val="0"/>
        <w:autoSpaceDN w:val="0"/>
        <w:adjustRightInd w:val="0"/>
        <w:jc w:val="both"/>
        <w:rPr>
          <w:rFonts w:ascii="Abadi" w:hAnsi="Abadi" w:cs="Arial-BoldMT"/>
          <w:b/>
          <w:bCs/>
          <w:sz w:val="21"/>
          <w:szCs w:val="21"/>
        </w:rPr>
      </w:pPr>
    </w:p>
    <w:p w14:paraId="0627D359" w14:textId="05CDC0A9"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B52704">
        <w:rPr>
          <w:rFonts w:ascii="Abadi" w:hAnsi="Abadi" w:cs="ArialMT"/>
          <w:b/>
          <w:bCs/>
          <w:sz w:val="21"/>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Irapuato, Gto., con</w:t>
      </w:r>
      <w:r w:rsidR="00B52704" w:rsidRPr="00B52704">
        <w:rPr>
          <w:rFonts w:ascii="Abadi" w:hAnsi="Abadi" w:cs="ArialMT"/>
          <w:b/>
          <w:bCs/>
          <w:sz w:val="21"/>
          <w:szCs w:val="21"/>
        </w:rPr>
        <w:t xml:space="preserve"> </w:t>
      </w:r>
      <w:r w:rsidRPr="00B52704">
        <w:rPr>
          <w:rFonts w:ascii="Abadi" w:hAnsi="Abadi" w:cs="ArialMT"/>
          <w:b/>
          <w:bCs/>
          <w:sz w:val="21"/>
          <w:szCs w:val="21"/>
        </w:rPr>
        <w:t>enfoque a resultados del servicio de alumbrado público, por el periodo comprendido del 1 de enero al 31 de diciembre del ejercicio fiscal del año 2020.</w:t>
      </w:r>
    </w:p>
    <w:p w14:paraId="4164BA0F" w14:textId="77777777" w:rsidR="00401003" w:rsidRDefault="00401003" w:rsidP="00401003">
      <w:pPr>
        <w:pStyle w:val="Prrafodelista"/>
        <w:autoSpaceDE w:val="0"/>
        <w:autoSpaceDN w:val="0"/>
        <w:adjustRightInd w:val="0"/>
        <w:ind w:left="720" w:right="425"/>
        <w:jc w:val="both"/>
        <w:rPr>
          <w:rFonts w:ascii="Abadi" w:hAnsi="Abadi" w:cs="ArialMT"/>
          <w:b/>
          <w:bCs/>
          <w:sz w:val="21"/>
          <w:szCs w:val="21"/>
        </w:rPr>
      </w:pPr>
    </w:p>
    <w:p w14:paraId="481C7E0E" w14:textId="62F52493" w:rsidR="00401003" w:rsidRPr="00401003" w:rsidRDefault="00401003" w:rsidP="00401003">
      <w:pPr>
        <w:ind w:left="2832" w:right="-709" w:firstLine="708"/>
        <w:rPr>
          <w:rFonts w:ascii="Abadi" w:hAnsi="Abadi"/>
          <w:b/>
          <w:bCs/>
          <w:sz w:val="18"/>
          <w:szCs w:val="18"/>
        </w:rPr>
      </w:pPr>
      <w:r w:rsidRPr="00401003">
        <w:rPr>
          <w:rFonts w:ascii="Abadi" w:hAnsi="Abadi"/>
          <w:b/>
          <w:bCs/>
          <w:sz w:val="18"/>
          <w:szCs w:val="18"/>
        </w:rPr>
        <w:t xml:space="preserve">Pág. </w:t>
      </w:r>
      <w:r w:rsidR="00075E4E">
        <w:rPr>
          <w:rFonts w:ascii="Abadi" w:hAnsi="Abadi"/>
          <w:b/>
          <w:bCs/>
          <w:sz w:val="18"/>
          <w:szCs w:val="18"/>
        </w:rPr>
        <w:t>256</w:t>
      </w:r>
    </w:p>
    <w:p w14:paraId="2837B9D3" w14:textId="77777777" w:rsidR="00401003" w:rsidRPr="00401003" w:rsidRDefault="00401003" w:rsidP="00401003">
      <w:pPr>
        <w:autoSpaceDE w:val="0"/>
        <w:autoSpaceDN w:val="0"/>
        <w:adjustRightInd w:val="0"/>
        <w:ind w:right="425"/>
        <w:jc w:val="both"/>
        <w:rPr>
          <w:rFonts w:ascii="Abadi" w:hAnsi="Abadi" w:cs="ArialMT"/>
          <w:b/>
          <w:bCs/>
          <w:sz w:val="21"/>
          <w:szCs w:val="21"/>
        </w:rPr>
      </w:pPr>
    </w:p>
    <w:p w14:paraId="40E3C14B" w14:textId="77777777" w:rsidR="00257080" w:rsidRPr="00C46026" w:rsidRDefault="00257080" w:rsidP="00BF1FDD">
      <w:pPr>
        <w:autoSpaceDE w:val="0"/>
        <w:autoSpaceDN w:val="0"/>
        <w:adjustRightInd w:val="0"/>
        <w:ind w:right="425"/>
        <w:jc w:val="both"/>
        <w:rPr>
          <w:rFonts w:ascii="Abadi" w:hAnsi="Abadi" w:cs="Arial-BoldMT"/>
          <w:b/>
          <w:bCs/>
          <w:sz w:val="21"/>
          <w:szCs w:val="21"/>
        </w:rPr>
      </w:pPr>
    </w:p>
    <w:p w14:paraId="7C7B2A6A" w14:textId="395B19E1"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B52704">
        <w:rPr>
          <w:rFonts w:ascii="Abadi" w:hAnsi="Abadi" w:cs="ArialMT"/>
          <w:b/>
          <w:bCs/>
          <w:sz w:val="21"/>
          <w:szCs w:val="21"/>
        </w:rPr>
        <w:t>Discusión y, en su caso, aprobación del dictamen suscrito por la Comisión de Hacienda y Fiscalización relativo al informe de resultados de la auditoría de desempeño practicada por la Auditoría Superior del Estado de Guanajuato a la administración municipal de Ocampo, Gto., con enfoque a resultados del servicio de alumbrado público, por el periodo comprendido del 1 de enero al 31 de diciembre del ejercicio fiscal del año 2020.</w:t>
      </w:r>
    </w:p>
    <w:p w14:paraId="573B9A2B" w14:textId="77777777" w:rsidR="00401003" w:rsidRPr="00401003" w:rsidRDefault="00401003" w:rsidP="00401003">
      <w:pPr>
        <w:pStyle w:val="Prrafodelista"/>
        <w:rPr>
          <w:rFonts w:ascii="Abadi" w:hAnsi="Abadi" w:cs="ArialMT"/>
          <w:b/>
          <w:bCs/>
          <w:sz w:val="21"/>
          <w:szCs w:val="21"/>
        </w:rPr>
      </w:pPr>
    </w:p>
    <w:p w14:paraId="7A37815C" w14:textId="600306FE" w:rsidR="00401003" w:rsidRDefault="00401003" w:rsidP="00401003">
      <w:pPr>
        <w:pStyle w:val="Prrafodelista"/>
        <w:ind w:left="2844" w:right="-709" w:firstLine="696"/>
        <w:rPr>
          <w:rFonts w:ascii="Abadi" w:hAnsi="Abadi"/>
          <w:b/>
          <w:bCs/>
          <w:sz w:val="18"/>
          <w:szCs w:val="18"/>
        </w:rPr>
      </w:pPr>
      <w:r w:rsidRPr="00A60217">
        <w:rPr>
          <w:rFonts w:ascii="Abadi" w:hAnsi="Abadi"/>
          <w:b/>
          <w:bCs/>
          <w:sz w:val="18"/>
          <w:szCs w:val="18"/>
        </w:rPr>
        <w:t xml:space="preserve">Pág. </w:t>
      </w:r>
      <w:r w:rsidR="00075E4E">
        <w:rPr>
          <w:rFonts w:ascii="Abadi" w:hAnsi="Abadi"/>
          <w:b/>
          <w:bCs/>
          <w:sz w:val="18"/>
          <w:szCs w:val="18"/>
        </w:rPr>
        <w:t>267</w:t>
      </w:r>
    </w:p>
    <w:p w14:paraId="76FCB1BD" w14:textId="77777777" w:rsidR="00401003" w:rsidRPr="00401003" w:rsidRDefault="00401003" w:rsidP="00401003">
      <w:pPr>
        <w:autoSpaceDE w:val="0"/>
        <w:autoSpaceDN w:val="0"/>
        <w:adjustRightInd w:val="0"/>
        <w:ind w:right="425"/>
        <w:jc w:val="both"/>
        <w:rPr>
          <w:rFonts w:ascii="Abadi" w:hAnsi="Abadi" w:cs="ArialMT"/>
          <w:b/>
          <w:bCs/>
          <w:sz w:val="21"/>
          <w:szCs w:val="21"/>
        </w:rPr>
      </w:pPr>
    </w:p>
    <w:p w14:paraId="40F35454" w14:textId="77777777" w:rsidR="00257080" w:rsidRPr="00C46026" w:rsidRDefault="00257080" w:rsidP="00257080">
      <w:pPr>
        <w:autoSpaceDE w:val="0"/>
        <w:autoSpaceDN w:val="0"/>
        <w:adjustRightInd w:val="0"/>
        <w:jc w:val="both"/>
        <w:rPr>
          <w:rFonts w:ascii="Abadi" w:hAnsi="Abadi" w:cs="Arial-BoldMT"/>
          <w:b/>
          <w:bCs/>
          <w:sz w:val="21"/>
          <w:szCs w:val="21"/>
        </w:rPr>
      </w:pPr>
    </w:p>
    <w:p w14:paraId="07D891F4" w14:textId="7F2EDABB" w:rsidR="00257080" w:rsidRDefault="00257080" w:rsidP="005C6EBB">
      <w:pPr>
        <w:pStyle w:val="Prrafodelista"/>
        <w:numPr>
          <w:ilvl w:val="0"/>
          <w:numId w:val="5"/>
        </w:numPr>
        <w:autoSpaceDE w:val="0"/>
        <w:autoSpaceDN w:val="0"/>
        <w:adjustRightInd w:val="0"/>
        <w:ind w:right="425"/>
        <w:jc w:val="both"/>
        <w:rPr>
          <w:rFonts w:ascii="Abadi" w:hAnsi="Abadi" w:cs="ArialMT"/>
          <w:b/>
          <w:bCs/>
          <w:sz w:val="21"/>
          <w:szCs w:val="21"/>
        </w:rPr>
      </w:pPr>
      <w:r w:rsidRPr="00B52704">
        <w:rPr>
          <w:rFonts w:ascii="Abadi" w:hAnsi="Abadi" w:cs="ArialMT"/>
          <w:b/>
          <w:bCs/>
          <w:sz w:val="21"/>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Guanajuato, Gto., con</w:t>
      </w:r>
      <w:r w:rsidR="00B52704" w:rsidRPr="00B52704">
        <w:rPr>
          <w:rFonts w:ascii="Abadi" w:hAnsi="Abadi" w:cs="ArialMT"/>
          <w:b/>
          <w:bCs/>
          <w:sz w:val="21"/>
          <w:szCs w:val="21"/>
        </w:rPr>
        <w:t xml:space="preserve"> </w:t>
      </w:r>
      <w:r w:rsidRPr="00B52704">
        <w:rPr>
          <w:rFonts w:ascii="Abadi" w:hAnsi="Abadi" w:cs="ArialMT"/>
          <w:b/>
          <w:bCs/>
          <w:sz w:val="21"/>
          <w:szCs w:val="21"/>
        </w:rPr>
        <w:t>enfoque a resultados del servicio de alumbrado público, por el periodo comprendido del 1 de enero al 31 de diciembre del ejercicio fiscal del año 2020.</w:t>
      </w:r>
    </w:p>
    <w:p w14:paraId="79D2C29E" w14:textId="77777777" w:rsidR="00401003" w:rsidRDefault="00401003" w:rsidP="00401003">
      <w:pPr>
        <w:ind w:left="360" w:right="-709"/>
        <w:rPr>
          <w:rFonts w:ascii="Abadi" w:hAnsi="Abadi"/>
          <w:b/>
          <w:bCs/>
          <w:sz w:val="18"/>
          <w:szCs w:val="18"/>
        </w:rPr>
      </w:pPr>
    </w:p>
    <w:p w14:paraId="04D90979" w14:textId="6FD0374D" w:rsidR="00401003" w:rsidRPr="00401003" w:rsidRDefault="00401003" w:rsidP="00401003">
      <w:pPr>
        <w:ind w:left="3192" w:right="-709" w:firstLine="348"/>
        <w:rPr>
          <w:rFonts w:ascii="Abadi" w:hAnsi="Abadi"/>
          <w:b/>
          <w:bCs/>
          <w:sz w:val="18"/>
          <w:szCs w:val="18"/>
        </w:rPr>
      </w:pPr>
      <w:r w:rsidRPr="00401003">
        <w:rPr>
          <w:rFonts w:ascii="Abadi" w:hAnsi="Abadi"/>
          <w:b/>
          <w:bCs/>
          <w:sz w:val="18"/>
          <w:szCs w:val="18"/>
        </w:rPr>
        <w:t xml:space="preserve">Pág. </w:t>
      </w:r>
      <w:r w:rsidR="00075E4E">
        <w:rPr>
          <w:rFonts w:ascii="Abadi" w:hAnsi="Abadi"/>
          <w:b/>
          <w:bCs/>
          <w:sz w:val="18"/>
          <w:szCs w:val="18"/>
        </w:rPr>
        <w:t>279</w:t>
      </w:r>
    </w:p>
    <w:p w14:paraId="438A2242" w14:textId="77777777" w:rsidR="00401003" w:rsidRPr="00401003" w:rsidRDefault="00401003" w:rsidP="00401003">
      <w:pPr>
        <w:autoSpaceDE w:val="0"/>
        <w:autoSpaceDN w:val="0"/>
        <w:adjustRightInd w:val="0"/>
        <w:ind w:right="425"/>
        <w:jc w:val="both"/>
        <w:rPr>
          <w:rFonts w:ascii="Abadi" w:hAnsi="Abadi" w:cs="ArialMT"/>
          <w:b/>
          <w:bCs/>
          <w:sz w:val="21"/>
          <w:szCs w:val="21"/>
        </w:rPr>
      </w:pPr>
    </w:p>
    <w:p w14:paraId="1A63EEA5" w14:textId="77777777" w:rsidR="00257080" w:rsidRPr="00C46026" w:rsidRDefault="00257080" w:rsidP="00BF1FDD">
      <w:pPr>
        <w:ind w:left="720" w:right="425" w:hanging="360"/>
        <w:jc w:val="both"/>
        <w:rPr>
          <w:rFonts w:ascii="Abadi" w:hAnsi="Abadi" w:cs="ArialMT"/>
          <w:b/>
          <w:bCs/>
          <w:sz w:val="21"/>
          <w:szCs w:val="21"/>
        </w:rPr>
      </w:pPr>
    </w:p>
    <w:p w14:paraId="06C701D8" w14:textId="1F48B272" w:rsidR="00257080" w:rsidRDefault="00257080" w:rsidP="005C6EBB">
      <w:pPr>
        <w:pStyle w:val="Prrafodelista"/>
        <w:numPr>
          <w:ilvl w:val="0"/>
          <w:numId w:val="4"/>
        </w:numPr>
        <w:ind w:left="720" w:right="425"/>
        <w:jc w:val="both"/>
        <w:rPr>
          <w:rFonts w:ascii="Abadi" w:hAnsi="Abadi" w:cs="ArialMT"/>
          <w:b/>
          <w:bCs/>
          <w:sz w:val="21"/>
          <w:szCs w:val="21"/>
        </w:rPr>
      </w:pPr>
      <w:r w:rsidRPr="00B52704">
        <w:rPr>
          <w:rFonts w:ascii="Abadi" w:hAnsi="Abadi" w:cs="ArialMT"/>
          <w:b/>
          <w:bCs/>
          <w:sz w:val="21"/>
          <w:szCs w:val="21"/>
        </w:rPr>
        <w:t>Asuntos generales.</w:t>
      </w:r>
    </w:p>
    <w:p w14:paraId="42F27D9B" w14:textId="3050EE1A" w:rsidR="00075E4E" w:rsidRDefault="00075E4E" w:rsidP="00075E4E">
      <w:pPr>
        <w:ind w:right="-426"/>
        <w:jc w:val="right"/>
        <w:rPr>
          <w:rFonts w:ascii="Abadi" w:hAnsi="Abadi"/>
          <w:b/>
          <w:bCs/>
          <w:sz w:val="18"/>
          <w:szCs w:val="18"/>
        </w:rPr>
      </w:pPr>
      <w:r w:rsidRPr="00075E4E">
        <w:rPr>
          <w:rFonts w:ascii="Abadi" w:hAnsi="Abadi"/>
          <w:b/>
          <w:bCs/>
          <w:sz w:val="18"/>
          <w:szCs w:val="18"/>
        </w:rPr>
        <w:t>Pág. 2</w:t>
      </w:r>
      <w:r>
        <w:rPr>
          <w:rFonts w:ascii="Abadi" w:hAnsi="Abadi"/>
          <w:b/>
          <w:bCs/>
          <w:sz w:val="18"/>
          <w:szCs w:val="18"/>
        </w:rPr>
        <w:t>8</w:t>
      </w:r>
      <w:r w:rsidRPr="00075E4E">
        <w:rPr>
          <w:rFonts w:ascii="Abadi" w:hAnsi="Abadi"/>
          <w:b/>
          <w:bCs/>
          <w:sz w:val="18"/>
          <w:szCs w:val="18"/>
        </w:rPr>
        <w:t>9</w:t>
      </w:r>
    </w:p>
    <w:p w14:paraId="2BCB185D" w14:textId="77777777" w:rsidR="00075E4E" w:rsidRPr="00075E4E" w:rsidRDefault="00075E4E" w:rsidP="00075E4E">
      <w:pPr>
        <w:ind w:right="-426"/>
        <w:jc w:val="right"/>
        <w:rPr>
          <w:rFonts w:ascii="Abadi" w:hAnsi="Abadi"/>
          <w:b/>
          <w:bCs/>
          <w:sz w:val="18"/>
          <w:szCs w:val="18"/>
        </w:rPr>
      </w:pPr>
    </w:p>
    <w:p w14:paraId="15B87D95" w14:textId="77777777" w:rsidR="00922D45" w:rsidRDefault="00922D45" w:rsidP="00922D45">
      <w:pPr>
        <w:ind w:firstLine="709"/>
        <w:jc w:val="both"/>
        <w:rPr>
          <w:rFonts w:ascii="Abadi" w:hAnsi="Abadi"/>
          <w:b/>
          <w:bCs/>
          <w:iCs/>
          <w:sz w:val="21"/>
          <w:szCs w:val="21"/>
        </w:rPr>
      </w:pPr>
    </w:p>
    <w:p w14:paraId="7C746926" w14:textId="37E16CD0" w:rsidR="00922D45" w:rsidRDefault="00922D45" w:rsidP="00922D45">
      <w:pPr>
        <w:ind w:firstLine="709"/>
        <w:jc w:val="both"/>
        <w:rPr>
          <w:rFonts w:ascii="Abadi" w:hAnsi="Abadi"/>
          <w:b/>
          <w:bCs/>
          <w:iCs/>
          <w:sz w:val="21"/>
          <w:szCs w:val="21"/>
        </w:rPr>
      </w:pPr>
      <w:r w:rsidRPr="0066249B">
        <w:rPr>
          <w:rFonts w:ascii="Abadi" w:hAnsi="Abadi"/>
          <w:b/>
          <w:bCs/>
          <w:iCs/>
          <w:sz w:val="21"/>
          <w:szCs w:val="21"/>
        </w:rPr>
        <w:t>PRESIDENCIA D</w:t>
      </w:r>
      <w:r>
        <w:rPr>
          <w:rFonts w:ascii="Abadi" w:hAnsi="Abadi"/>
          <w:b/>
          <w:bCs/>
          <w:iCs/>
          <w:sz w:val="21"/>
          <w:szCs w:val="21"/>
        </w:rPr>
        <w:t xml:space="preserve">E LA DIPUTADA </w:t>
      </w:r>
      <w:r w:rsidR="00BF1FDD">
        <w:rPr>
          <w:rFonts w:ascii="Abadi" w:hAnsi="Abadi"/>
          <w:b/>
          <w:bCs/>
          <w:iCs/>
          <w:sz w:val="21"/>
          <w:szCs w:val="21"/>
        </w:rPr>
        <w:t>IRMA LETICIA GONZÁLEZ SÁNCHEZ</w:t>
      </w:r>
      <w:r>
        <w:rPr>
          <w:rFonts w:ascii="Abadi" w:hAnsi="Abadi"/>
          <w:b/>
          <w:bCs/>
          <w:iCs/>
          <w:sz w:val="21"/>
          <w:szCs w:val="21"/>
        </w:rPr>
        <w:t>.</w:t>
      </w:r>
    </w:p>
    <w:p w14:paraId="5E183C4E" w14:textId="26E9FF0B" w:rsidR="009A184D" w:rsidRDefault="009A184D" w:rsidP="00922D45">
      <w:pPr>
        <w:ind w:firstLine="709"/>
        <w:jc w:val="both"/>
        <w:rPr>
          <w:rFonts w:ascii="Abadi" w:hAnsi="Abadi"/>
          <w:b/>
          <w:bCs/>
          <w:iCs/>
          <w:sz w:val="21"/>
          <w:szCs w:val="21"/>
        </w:rPr>
      </w:pPr>
      <w:r>
        <w:rPr>
          <w:noProof/>
        </w:rPr>
        <w:drawing>
          <wp:anchor distT="0" distB="0" distL="114300" distR="114300" simplePos="0" relativeHeight="251663360" behindDoc="1" locked="0" layoutInCell="1" allowOverlap="1" wp14:anchorId="0F87EEE4" wp14:editId="09C868FF">
            <wp:simplePos x="0" y="0"/>
            <wp:positionH relativeFrom="column">
              <wp:posOffset>221615</wp:posOffset>
            </wp:positionH>
            <wp:positionV relativeFrom="paragraph">
              <wp:posOffset>375920</wp:posOffset>
            </wp:positionV>
            <wp:extent cx="1815688" cy="942975"/>
            <wp:effectExtent l="0" t="133350" r="0" b="752475"/>
            <wp:wrapTight wrapText="bothSides">
              <wp:wrapPolygon edited="0">
                <wp:start x="9066" y="-3055"/>
                <wp:lineTo x="0" y="-2182"/>
                <wp:lineTo x="0" y="22255"/>
                <wp:lineTo x="453" y="38400"/>
                <wp:lineTo x="2040" y="38400"/>
                <wp:lineTo x="2267" y="37527"/>
                <wp:lineTo x="19945" y="32727"/>
                <wp:lineTo x="20172" y="4800"/>
                <wp:lineTo x="19719" y="-1745"/>
                <wp:lineTo x="19719" y="-3055"/>
                <wp:lineTo x="9066" y="-3055"/>
              </wp:wrapPolygon>
            </wp:wrapTight>
            <wp:docPr id="4" name="Imagen 4" descr="Imagen que contiene electrónic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electrónica, computadora&#10;&#10;Descripción generada automáticamente"/>
                    <pic:cNvPicPr/>
                  </pic:nvPicPr>
                  <pic:blipFill rotWithShape="1">
                    <a:blip r:embed="rId17" cstate="print">
                      <a:extLst>
                        <a:ext uri="{28A0092B-C50C-407E-A947-70E740481C1C}">
                          <a14:useLocalDpi xmlns:a14="http://schemas.microsoft.com/office/drawing/2010/main" val="0"/>
                        </a:ext>
                      </a:extLst>
                    </a:blip>
                    <a:srcRect b="7627"/>
                    <a:stretch/>
                  </pic:blipFill>
                  <pic:spPr bwMode="auto">
                    <a:xfrm>
                      <a:off x="0" y="0"/>
                      <a:ext cx="1815688" cy="94297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234DD12F" w14:textId="0EA7B7F8" w:rsidR="009A184D" w:rsidRDefault="009A184D" w:rsidP="00922D45">
      <w:pPr>
        <w:ind w:firstLine="709"/>
        <w:jc w:val="both"/>
        <w:rPr>
          <w:rFonts w:ascii="Abadi" w:hAnsi="Abadi"/>
          <w:b/>
          <w:bCs/>
          <w:iCs/>
          <w:sz w:val="21"/>
          <w:szCs w:val="21"/>
        </w:rPr>
      </w:pPr>
    </w:p>
    <w:p w14:paraId="203F86FE" w14:textId="77777777" w:rsidR="00922D45" w:rsidRDefault="00922D45" w:rsidP="00C0132B">
      <w:pPr>
        <w:ind w:firstLine="349"/>
        <w:jc w:val="both"/>
        <w:rPr>
          <w:rFonts w:ascii="Abadi" w:hAnsi="Abadi"/>
          <w:b/>
          <w:bCs/>
          <w:sz w:val="21"/>
          <w:szCs w:val="21"/>
        </w:rPr>
      </w:pPr>
    </w:p>
    <w:p w14:paraId="4A0B42F1" w14:textId="7F09DE21" w:rsidR="000F7389" w:rsidRDefault="000F7389" w:rsidP="000F7389">
      <w:pPr>
        <w:ind w:firstLine="708"/>
        <w:jc w:val="both"/>
        <w:rPr>
          <w:rFonts w:ascii="Abadi" w:hAnsi="Abadi"/>
          <w:sz w:val="21"/>
          <w:szCs w:val="21"/>
        </w:rPr>
      </w:pPr>
      <w:r>
        <w:rPr>
          <w:rFonts w:ascii="Abadi" w:hAnsi="Abadi"/>
          <w:b/>
          <w:bCs/>
          <w:sz w:val="21"/>
          <w:szCs w:val="21"/>
        </w:rPr>
        <w:t xml:space="preserve">- </w:t>
      </w:r>
      <w:r w:rsidRPr="000F7389">
        <w:rPr>
          <w:rFonts w:ascii="Abadi" w:hAnsi="Abadi"/>
          <w:b/>
          <w:bCs/>
          <w:sz w:val="21"/>
          <w:szCs w:val="21"/>
        </w:rPr>
        <w:t xml:space="preserve">La Presidencia.- </w:t>
      </w:r>
      <w:r w:rsidRPr="000F7389">
        <w:rPr>
          <w:rFonts w:ascii="Abadi" w:hAnsi="Abadi"/>
          <w:sz w:val="21"/>
          <w:szCs w:val="21"/>
        </w:rPr>
        <w:t xml:space="preserve">Bienvenidos muy buenos días, tengan todas y todos ustedes compañeras compañeros, diputados quienes nos acompañan aquí de visitantes, que tengan un excelente día,  bienvenidos a todos los que nos ven a través de las redes sociales de los medios electrónicos, vamos a dar inicio con esta sesión del día 12 de mayo del 2022. </w:t>
      </w:r>
    </w:p>
    <w:p w14:paraId="51D8606A" w14:textId="77777777" w:rsidR="000F7389" w:rsidRDefault="000F7389" w:rsidP="000F7389">
      <w:pPr>
        <w:ind w:firstLine="708"/>
        <w:jc w:val="both"/>
        <w:rPr>
          <w:rFonts w:ascii="Abadi" w:hAnsi="Abadi"/>
          <w:sz w:val="21"/>
          <w:szCs w:val="21"/>
        </w:rPr>
      </w:pPr>
    </w:p>
    <w:p w14:paraId="6C415D29" w14:textId="6CEA79E0" w:rsidR="000F7389" w:rsidRDefault="000F7389" w:rsidP="000F7389">
      <w:pPr>
        <w:ind w:firstLine="708"/>
        <w:jc w:val="both"/>
        <w:rPr>
          <w:rFonts w:ascii="Abadi" w:hAnsi="Abadi"/>
          <w:sz w:val="21"/>
          <w:szCs w:val="21"/>
        </w:rPr>
      </w:pPr>
      <w:r w:rsidRPr="000F7389">
        <w:rPr>
          <w:rFonts w:ascii="Abadi" w:hAnsi="Abadi"/>
          <w:sz w:val="21"/>
          <w:szCs w:val="21"/>
        </w:rPr>
        <w:t>- Y se pide a la secretaria certificar el cuórum</w:t>
      </w:r>
      <w:r w:rsidR="00200A99">
        <w:rPr>
          <w:rFonts w:ascii="Abadi" w:hAnsi="Abadi"/>
          <w:sz w:val="21"/>
          <w:szCs w:val="21"/>
        </w:rPr>
        <w:t xml:space="preserve"> </w:t>
      </w:r>
      <w:r w:rsidRPr="000F7389">
        <w:rPr>
          <w:rFonts w:ascii="Abadi" w:hAnsi="Abadi"/>
          <w:sz w:val="21"/>
          <w:szCs w:val="21"/>
        </w:rPr>
        <w:t xml:space="preserve">conforme al registro de asistencia de sistema electrónico. </w:t>
      </w:r>
    </w:p>
    <w:p w14:paraId="5D800E1C" w14:textId="77777777" w:rsidR="000F7389" w:rsidRPr="000F7389" w:rsidRDefault="000F7389" w:rsidP="000F7389">
      <w:pPr>
        <w:ind w:firstLine="708"/>
        <w:jc w:val="both"/>
        <w:rPr>
          <w:rFonts w:ascii="Abadi" w:hAnsi="Abadi"/>
          <w:sz w:val="21"/>
          <w:szCs w:val="21"/>
        </w:rPr>
      </w:pPr>
    </w:p>
    <w:p w14:paraId="229FF07F" w14:textId="14AA35CC" w:rsidR="000F7389" w:rsidRDefault="000F7389" w:rsidP="000F7389">
      <w:pPr>
        <w:ind w:firstLine="708"/>
        <w:jc w:val="both"/>
        <w:rPr>
          <w:rFonts w:ascii="Abadi" w:hAnsi="Abadi"/>
          <w:sz w:val="21"/>
          <w:szCs w:val="21"/>
        </w:rPr>
      </w:pPr>
      <w:r w:rsidRPr="000F7389">
        <w:rPr>
          <w:rFonts w:ascii="Abadi" w:hAnsi="Abadi"/>
          <w:sz w:val="21"/>
          <w:szCs w:val="21"/>
        </w:rPr>
        <w:t xml:space="preserve">- </w:t>
      </w:r>
      <w:r w:rsidRPr="000F7389">
        <w:rPr>
          <w:rFonts w:ascii="Abadi" w:hAnsi="Abadi"/>
          <w:b/>
          <w:bCs/>
          <w:sz w:val="21"/>
          <w:szCs w:val="21"/>
        </w:rPr>
        <w:t>La Secretaria.-</w:t>
      </w:r>
      <w:r w:rsidRPr="000F7389">
        <w:rPr>
          <w:rFonts w:ascii="Abadi" w:hAnsi="Abadi"/>
          <w:sz w:val="21"/>
          <w:szCs w:val="21"/>
        </w:rPr>
        <w:t xml:space="preserve"> Muy buenos días a todas y a todos, la asistencia es de 27 diputadas y diputados, hay cuórum.</w:t>
      </w:r>
    </w:p>
    <w:p w14:paraId="60DE7C9E" w14:textId="77777777" w:rsidR="000F7389" w:rsidRPr="000F7389" w:rsidRDefault="000F7389" w:rsidP="000F7389">
      <w:pPr>
        <w:ind w:firstLine="708"/>
        <w:jc w:val="both"/>
        <w:rPr>
          <w:rFonts w:ascii="Abadi" w:hAnsi="Abadi"/>
          <w:sz w:val="21"/>
          <w:szCs w:val="21"/>
        </w:rPr>
      </w:pPr>
    </w:p>
    <w:p w14:paraId="6CDA02B0" w14:textId="72958C4B" w:rsidR="000F7389" w:rsidRDefault="000F7389" w:rsidP="000F7389">
      <w:pPr>
        <w:ind w:firstLine="708"/>
        <w:jc w:val="both"/>
        <w:rPr>
          <w:rFonts w:ascii="Abadi" w:hAnsi="Abadi"/>
          <w:sz w:val="21"/>
          <w:szCs w:val="21"/>
        </w:rPr>
      </w:pPr>
      <w:r>
        <w:rPr>
          <w:rFonts w:ascii="Abadi" w:hAnsi="Abadi"/>
          <w:b/>
          <w:bCs/>
          <w:sz w:val="21"/>
          <w:szCs w:val="21"/>
        </w:rPr>
        <w:t xml:space="preserve">- </w:t>
      </w:r>
      <w:r w:rsidRPr="000F7389">
        <w:rPr>
          <w:rFonts w:ascii="Abadi" w:hAnsi="Abadi"/>
          <w:b/>
          <w:bCs/>
          <w:sz w:val="21"/>
          <w:szCs w:val="21"/>
        </w:rPr>
        <w:t>La Presidencia.-</w:t>
      </w:r>
      <w:r w:rsidRPr="000F7389">
        <w:rPr>
          <w:rFonts w:ascii="Abadi" w:hAnsi="Abadi"/>
          <w:sz w:val="21"/>
          <w:szCs w:val="21"/>
        </w:rPr>
        <w:t xml:space="preserve"> Siendo las 10:29 (diez horas con veintinueve minutos) se abre la sesión.</w:t>
      </w:r>
    </w:p>
    <w:p w14:paraId="7E345A7A" w14:textId="77777777" w:rsidR="000F7389" w:rsidRPr="000F7389" w:rsidRDefault="000F7389" w:rsidP="000F7389">
      <w:pPr>
        <w:ind w:firstLine="708"/>
        <w:jc w:val="both"/>
        <w:rPr>
          <w:rFonts w:ascii="Abadi" w:hAnsi="Abadi"/>
          <w:sz w:val="21"/>
          <w:szCs w:val="21"/>
        </w:rPr>
      </w:pPr>
    </w:p>
    <w:p w14:paraId="02A60FE1" w14:textId="2EDE49A1" w:rsidR="000F7389" w:rsidRDefault="000F7389" w:rsidP="00E706CE">
      <w:pPr>
        <w:ind w:firstLine="708"/>
        <w:jc w:val="both"/>
        <w:rPr>
          <w:rFonts w:ascii="Abadi" w:hAnsi="Abadi"/>
          <w:sz w:val="21"/>
          <w:szCs w:val="21"/>
        </w:rPr>
      </w:pPr>
      <w:r>
        <w:rPr>
          <w:rFonts w:ascii="Abadi" w:hAnsi="Abadi"/>
          <w:b/>
          <w:bCs/>
          <w:sz w:val="21"/>
          <w:szCs w:val="21"/>
        </w:rPr>
        <w:t xml:space="preserve">- </w:t>
      </w:r>
      <w:r w:rsidRPr="000F7389">
        <w:rPr>
          <w:rFonts w:ascii="Abadi" w:hAnsi="Abadi"/>
          <w:b/>
          <w:bCs/>
          <w:sz w:val="21"/>
          <w:szCs w:val="21"/>
        </w:rPr>
        <w:t>La Secretaria.-</w:t>
      </w:r>
      <w:r w:rsidRPr="000F7389">
        <w:rPr>
          <w:rFonts w:ascii="Abadi" w:hAnsi="Abadi"/>
          <w:sz w:val="21"/>
          <w:szCs w:val="21"/>
        </w:rPr>
        <w:t xml:space="preserve"> Diputada Presidenta una pequeña corrección, somos 29 diputadas y diputados presentes. </w:t>
      </w:r>
    </w:p>
    <w:p w14:paraId="20BB6E2C" w14:textId="77777777" w:rsidR="000F7389" w:rsidRPr="000F7389" w:rsidRDefault="000F7389" w:rsidP="000F7389">
      <w:pPr>
        <w:jc w:val="both"/>
        <w:rPr>
          <w:rFonts w:ascii="Abadi" w:hAnsi="Abadi"/>
          <w:sz w:val="21"/>
          <w:szCs w:val="21"/>
        </w:rPr>
      </w:pPr>
    </w:p>
    <w:p w14:paraId="37BBDA9E" w14:textId="662463EE" w:rsidR="000F7389" w:rsidRDefault="000F7389" w:rsidP="000F7389">
      <w:pPr>
        <w:ind w:firstLine="708"/>
        <w:jc w:val="both"/>
        <w:rPr>
          <w:rFonts w:ascii="Abadi" w:hAnsi="Abadi"/>
          <w:sz w:val="21"/>
          <w:szCs w:val="21"/>
        </w:rPr>
      </w:pPr>
      <w:r>
        <w:rPr>
          <w:rFonts w:ascii="Abadi" w:hAnsi="Abadi"/>
          <w:b/>
          <w:bCs/>
          <w:sz w:val="21"/>
          <w:szCs w:val="21"/>
        </w:rPr>
        <w:t xml:space="preserve">- </w:t>
      </w:r>
      <w:r w:rsidRPr="000F7389">
        <w:rPr>
          <w:rFonts w:ascii="Abadi" w:hAnsi="Abadi"/>
          <w:b/>
          <w:bCs/>
          <w:sz w:val="21"/>
          <w:szCs w:val="21"/>
        </w:rPr>
        <w:t>La Presidencia.-</w:t>
      </w:r>
      <w:r w:rsidRPr="000F7389">
        <w:rPr>
          <w:rFonts w:ascii="Abadi" w:hAnsi="Abadi"/>
          <w:sz w:val="21"/>
          <w:szCs w:val="21"/>
        </w:rPr>
        <w:t xml:space="preserve"> Muchas gracias, diputada.</w:t>
      </w:r>
    </w:p>
    <w:p w14:paraId="74BBD0DD" w14:textId="35A76EE0" w:rsidR="000F7389" w:rsidRPr="000F7389" w:rsidRDefault="003E7942" w:rsidP="000F7389">
      <w:pPr>
        <w:ind w:firstLine="708"/>
        <w:jc w:val="both"/>
        <w:rPr>
          <w:rFonts w:ascii="Abadi" w:hAnsi="Abadi"/>
          <w:sz w:val="21"/>
          <w:szCs w:val="21"/>
        </w:rPr>
      </w:pPr>
      <w:r>
        <w:rPr>
          <w:noProof/>
        </w:rPr>
        <w:drawing>
          <wp:anchor distT="0" distB="0" distL="114300" distR="114300" simplePos="0" relativeHeight="251661312" behindDoc="1" locked="0" layoutInCell="1" allowOverlap="1" wp14:anchorId="41C57566" wp14:editId="1CB4FD26">
            <wp:simplePos x="0" y="0"/>
            <wp:positionH relativeFrom="column">
              <wp:posOffset>240665</wp:posOffset>
            </wp:positionH>
            <wp:positionV relativeFrom="paragraph">
              <wp:posOffset>357505</wp:posOffset>
            </wp:positionV>
            <wp:extent cx="2133600" cy="1115324"/>
            <wp:effectExtent l="0" t="114300" r="0" b="847090"/>
            <wp:wrapTight wrapText="bothSides">
              <wp:wrapPolygon edited="0">
                <wp:start x="193" y="-2214"/>
                <wp:lineTo x="0" y="-1476"/>
                <wp:lineTo x="193" y="33950"/>
                <wp:lineTo x="386" y="37640"/>
                <wp:lineTo x="3471" y="37640"/>
                <wp:lineTo x="3664" y="36902"/>
                <wp:lineTo x="19864" y="33950"/>
                <wp:lineTo x="20443" y="21772"/>
                <wp:lineTo x="20057" y="-2214"/>
                <wp:lineTo x="193" y="-2214"/>
              </wp:wrapPolygon>
            </wp:wrapTight>
            <wp:docPr id="1" name="Imagen 1" descr="Una captura de pantalla de un celular con texto e imágenes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a captura de pantalla de un celular con texto e imágenes de una persona&#10;&#10;Descripción generada automáticamente con confianza media"/>
                    <pic:cNvPicPr/>
                  </pic:nvPicPr>
                  <pic:blipFill rotWithShape="1">
                    <a:blip r:embed="rId18" cstate="print">
                      <a:extLst>
                        <a:ext uri="{28A0092B-C50C-407E-A947-70E740481C1C}">
                          <a14:useLocalDpi xmlns:a14="http://schemas.microsoft.com/office/drawing/2010/main" val="0"/>
                        </a:ext>
                      </a:extLst>
                    </a:blip>
                    <a:srcRect b="7061"/>
                    <a:stretch/>
                  </pic:blipFill>
                  <pic:spPr bwMode="auto">
                    <a:xfrm>
                      <a:off x="0" y="0"/>
                      <a:ext cx="2133600" cy="1115324"/>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52EBF93D" w14:textId="0E8594BA" w:rsidR="000F7389" w:rsidRDefault="000F7389" w:rsidP="000F7389">
      <w:pPr>
        <w:jc w:val="both"/>
      </w:pPr>
    </w:p>
    <w:p w14:paraId="6756EAFD" w14:textId="77777777" w:rsidR="001A6EFF" w:rsidRDefault="001A6EFF" w:rsidP="00D252DB">
      <w:pPr>
        <w:ind w:firstLine="720"/>
        <w:jc w:val="both"/>
        <w:rPr>
          <w:rFonts w:ascii="Abadi" w:hAnsi="Abadi"/>
          <w:sz w:val="21"/>
          <w:szCs w:val="21"/>
        </w:rPr>
      </w:pPr>
    </w:p>
    <w:p w14:paraId="0C6874F5" w14:textId="4CA5C91C" w:rsidR="00F2246E" w:rsidRDefault="00C81307" w:rsidP="000F7389">
      <w:pPr>
        <w:jc w:val="both"/>
        <w:rPr>
          <w:rFonts w:ascii="Abadi" w:hAnsi="Abadi"/>
          <w:b/>
          <w:bCs/>
          <w:iCs/>
          <w:sz w:val="21"/>
          <w:szCs w:val="21"/>
        </w:rPr>
      </w:pPr>
      <w:r>
        <w:rPr>
          <w:rFonts w:ascii="Abadi" w:hAnsi="Abadi"/>
          <w:b/>
          <w:bCs/>
          <w:iCs/>
          <w:sz w:val="21"/>
          <w:szCs w:val="21"/>
        </w:rPr>
        <w:t xml:space="preserve">(Se instruye a la </w:t>
      </w:r>
      <w:r w:rsidR="00BD4C73">
        <w:rPr>
          <w:rFonts w:ascii="Abadi" w:hAnsi="Abadi"/>
          <w:b/>
          <w:bCs/>
          <w:iCs/>
          <w:sz w:val="21"/>
          <w:szCs w:val="21"/>
        </w:rPr>
        <w:t>S</w:t>
      </w:r>
      <w:r>
        <w:rPr>
          <w:rFonts w:ascii="Abadi" w:hAnsi="Abadi"/>
          <w:b/>
          <w:bCs/>
          <w:iCs/>
          <w:sz w:val="21"/>
          <w:szCs w:val="21"/>
        </w:rPr>
        <w:t>ecreta</w:t>
      </w:r>
      <w:r w:rsidR="00150CF0">
        <w:rPr>
          <w:rFonts w:ascii="Abadi" w:hAnsi="Abadi"/>
          <w:b/>
          <w:bCs/>
          <w:iCs/>
          <w:sz w:val="21"/>
          <w:szCs w:val="21"/>
        </w:rPr>
        <w:t xml:space="preserve">ría </w:t>
      </w:r>
      <w:r>
        <w:rPr>
          <w:rFonts w:ascii="Abadi" w:hAnsi="Abadi"/>
          <w:b/>
          <w:bCs/>
          <w:iCs/>
          <w:sz w:val="21"/>
          <w:szCs w:val="21"/>
        </w:rPr>
        <w:t xml:space="preserve">a dar </w:t>
      </w:r>
      <w:r w:rsidR="00FD3C49">
        <w:rPr>
          <w:rFonts w:ascii="Abadi" w:hAnsi="Abadi"/>
          <w:b/>
          <w:bCs/>
          <w:iCs/>
          <w:sz w:val="21"/>
          <w:szCs w:val="21"/>
        </w:rPr>
        <w:t xml:space="preserve">lectura al </w:t>
      </w:r>
      <w:r>
        <w:rPr>
          <w:rFonts w:ascii="Abadi" w:hAnsi="Abadi"/>
          <w:b/>
          <w:bCs/>
          <w:iCs/>
          <w:sz w:val="21"/>
          <w:szCs w:val="21"/>
        </w:rPr>
        <w:t>orden del día)</w:t>
      </w:r>
    </w:p>
    <w:p w14:paraId="7062F885" w14:textId="77777777" w:rsidR="00AD7E6D" w:rsidRPr="006F59BB" w:rsidRDefault="00AD7E6D" w:rsidP="005C6EBB">
      <w:pPr>
        <w:pStyle w:val="Textoindependiente"/>
        <w:numPr>
          <w:ilvl w:val="0"/>
          <w:numId w:val="7"/>
        </w:numPr>
        <w:spacing w:before="214"/>
        <w:ind w:left="284" w:right="-142"/>
        <w:rPr>
          <w:rFonts w:ascii="Abadi" w:hAnsi="Abadi"/>
          <w:sz w:val="21"/>
          <w:szCs w:val="21"/>
        </w:rPr>
      </w:pPr>
      <w:r w:rsidRPr="006F59BB">
        <w:rPr>
          <w:rFonts w:ascii="Abadi" w:hAnsi="Abadi"/>
          <w:sz w:val="21"/>
          <w:szCs w:val="21"/>
        </w:rPr>
        <w:t>LECTURA</w:t>
      </w:r>
      <w:r w:rsidRPr="006F59BB">
        <w:rPr>
          <w:rFonts w:ascii="Abadi" w:hAnsi="Abadi"/>
          <w:spacing w:val="-2"/>
          <w:sz w:val="21"/>
          <w:szCs w:val="21"/>
        </w:rPr>
        <w:t xml:space="preserve"> </w:t>
      </w:r>
      <w:r w:rsidRPr="006F59BB">
        <w:rPr>
          <w:rFonts w:ascii="Abadi" w:hAnsi="Abadi"/>
          <w:sz w:val="21"/>
          <w:szCs w:val="21"/>
        </w:rPr>
        <w:t>Y,</w:t>
      </w:r>
      <w:r w:rsidRPr="006F59BB">
        <w:rPr>
          <w:rFonts w:ascii="Abadi" w:hAnsi="Abadi"/>
          <w:spacing w:val="-2"/>
          <w:sz w:val="21"/>
          <w:szCs w:val="21"/>
        </w:rPr>
        <w:t xml:space="preserve"> </w:t>
      </w:r>
      <w:r w:rsidRPr="006F59BB">
        <w:rPr>
          <w:rFonts w:ascii="Abadi" w:hAnsi="Abadi"/>
          <w:sz w:val="21"/>
          <w:szCs w:val="21"/>
        </w:rPr>
        <w:t>EN</w:t>
      </w:r>
      <w:r w:rsidRPr="006F59BB">
        <w:rPr>
          <w:rFonts w:ascii="Abadi" w:hAnsi="Abadi"/>
          <w:spacing w:val="-1"/>
          <w:sz w:val="21"/>
          <w:szCs w:val="21"/>
        </w:rPr>
        <w:t xml:space="preserve"> </w:t>
      </w:r>
      <w:r w:rsidRPr="006F59BB">
        <w:rPr>
          <w:rFonts w:ascii="Abadi" w:hAnsi="Abadi"/>
          <w:sz w:val="21"/>
          <w:szCs w:val="21"/>
        </w:rPr>
        <w:t>SU</w:t>
      </w:r>
      <w:r w:rsidRPr="006F59BB">
        <w:rPr>
          <w:rFonts w:ascii="Abadi" w:hAnsi="Abadi"/>
          <w:spacing w:val="-2"/>
          <w:sz w:val="21"/>
          <w:szCs w:val="21"/>
        </w:rPr>
        <w:t xml:space="preserve"> </w:t>
      </w:r>
      <w:r w:rsidRPr="006F59BB">
        <w:rPr>
          <w:rFonts w:ascii="Abadi" w:hAnsi="Abadi"/>
          <w:sz w:val="21"/>
          <w:szCs w:val="21"/>
        </w:rPr>
        <w:t>CASO,</w:t>
      </w:r>
      <w:r w:rsidRPr="006F59BB">
        <w:rPr>
          <w:rFonts w:ascii="Abadi" w:hAnsi="Abadi"/>
          <w:spacing w:val="-2"/>
          <w:sz w:val="21"/>
          <w:szCs w:val="21"/>
        </w:rPr>
        <w:t xml:space="preserve"> </w:t>
      </w:r>
      <w:r w:rsidRPr="006F59BB">
        <w:rPr>
          <w:rFonts w:ascii="Abadi" w:hAnsi="Abadi"/>
          <w:sz w:val="21"/>
          <w:szCs w:val="21"/>
        </w:rPr>
        <w:t>APROBACIÓN</w:t>
      </w:r>
      <w:r w:rsidRPr="006F59BB">
        <w:rPr>
          <w:rFonts w:ascii="Abadi" w:hAnsi="Abadi"/>
          <w:spacing w:val="-1"/>
          <w:sz w:val="21"/>
          <w:szCs w:val="21"/>
        </w:rPr>
        <w:t xml:space="preserve"> </w:t>
      </w:r>
      <w:r w:rsidRPr="006F59BB">
        <w:rPr>
          <w:rFonts w:ascii="Abadi" w:hAnsi="Abadi"/>
          <w:sz w:val="21"/>
          <w:szCs w:val="21"/>
        </w:rPr>
        <w:t>DEL</w:t>
      </w:r>
      <w:r w:rsidRPr="006F59BB">
        <w:rPr>
          <w:rFonts w:ascii="Abadi" w:hAnsi="Abadi"/>
          <w:spacing w:val="-2"/>
          <w:sz w:val="21"/>
          <w:szCs w:val="21"/>
        </w:rPr>
        <w:t xml:space="preserve"> </w:t>
      </w:r>
      <w:r w:rsidRPr="006F59BB">
        <w:rPr>
          <w:rFonts w:ascii="Abadi" w:hAnsi="Abadi"/>
          <w:sz w:val="21"/>
          <w:szCs w:val="21"/>
        </w:rPr>
        <w:t>ORDEN</w:t>
      </w:r>
      <w:r w:rsidRPr="006F59BB">
        <w:rPr>
          <w:rFonts w:ascii="Abadi" w:hAnsi="Abadi"/>
          <w:spacing w:val="-1"/>
          <w:sz w:val="21"/>
          <w:szCs w:val="21"/>
        </w:rPr>
        <w:t xml:space="preserve"> </w:t>
      </w:r>
      <w:r w:rsidRPr="006F59BB">
        <w:rPr>
          <w:rFonts w:ascii="Abadi" w:hAnsi="Abadi"/>
          <w:sz w:val="21"/>
          <w:szCs w:val="21"/>
        </w:rPr>
        <w:t>DEL</w:t>
      </w:r>
      <w:r w:rsidRPr="006F59BB">
        <w:rPr>
          <w:rFonts w:ascii="Abadi" w:hAnsi="Abadi"/>
          <w:spacing w:val="-2"/>
          <w:sz w:val="21"/>
          <w:szCs w:val="21"/>
        </w:rPr>
        <w:t xml:space="preserve"> </w:t>
      </w:r>
      <w:r w:rsidRPr="006F59BB">
        <w:rPr>
          <w:rFonts w:ascii="Abadi" w:hAnsi="Abadi"/>
          <w:sz w:val="21"/>
          <w:szCs w:val="21"/>
        </w:rPr>
        <w:t>DÍA.</w:t>
      </w:r>
    </w:p>
    <w:p w14:paraId="72A80FEB" w14:textId="77777777" w:rsidR="00AD7E6D" w:rsidRPr="007F1D57" w:rsidRDefault="00AD7E6D" w:rsidP="007728C4">
      <w:pPr>
        <w:pStyle w:val="Estilo1"/>
        <w:numPr>
          <w:ilvl w:val="0"/>
          <w:numId w:val="0"/>
        </w:numPr>
        <w:ind w:left="851"/>
        <w:rPr>
          <w:rFonts w:ascii="Abadi" w:hAnsi="Abadi"/>
          <w:b w:val="0"/>
          <w:bCs w:val="0"/>
          <w:sz w:val="21"/>
          <w:szCs w:val="21"/>
        </w:rPr>
      </w:pPr>
    </w:p>
    <w:p w14:paraId="25D0DB08" w14:textId="77777777" w:rsidR="00C81307" w:rsidRPr="005C35F6" w:rsidRDefault="00C81307" w:rsidP="0024733C">
      <w:pPr>
        <w:ind w:firstLine="720"/>
        <w:jc w:val="both"/>
        <w:rPr>
          <w:rFonts w:ascii="Abadi" w:hAnsi="Abadi"/>
          <w:iCs/>
          <w:sz w:val="21"/>
          <w:szCs w:val="21"/>
        </w:rPr>
      </w:pPr>
    </w:p>
    <w:p w14:paraId="5C738FA2" w14:textId="068A4D1E" w:rsidR="00951F6D" w:rsidRDefault="00A86E23" w:rsidP="00951F6D">
      <w:pPr>
        <w:ind w:firstLine="720"/>
        <w:jc w:val="both"/>
        <w:rPr>
          <w:rFonts w:ascii="Abadi" w:hAnsi="Abadi"/>
          <w:b/>
          <w:bCs/>
          <w:iCs/>
          <w:sz w:val="21"/>
          <w:szCs w:val="21"/>
        </w:rPr>
      </w:pPr>
      <w:r>
        <w:rPr>
          <w:rFonts w:ascii="Abadi" w:hAnsi="Abadi"/>
          <w:b/>
          <w:bCs/>
          <w:iCs/>
          <w:sz w:val="21"/>
          <w:szCs w:val="21"/>
        </w:rPr>
        <w:t>«</w:t>
      </w:r>
      <w:r w:rsidR="00B73D82">
        <w:rPr>
          <w:rFonts w:ascii="Abadi" w:hAnsi="Abadi"/>
          <w:b/>
          <w:bCs/>
          <w:iCs/>
          <w:sz w:val="21"/>
          <w:szCs w:val="21"/>
        </w:rPr>
        <w:t>SEXAGÉSIMA</w:t>
      </w:r>
      <w:r w:rsidR="00B205D1">
        <w:rPr>
          <w:rFonts w:ascii="Abadi" w:hAnsi="Abadi"/>
          <w:b/>
          <w:bCs/>
          <w:iCs/>
          <w:sz w:val="21"/>
          <w:szCs w:val="21"/>
        </w:rPr>
        <w:t xml:space="preserve"> </w:t>
      </w:r>
      <w:r w:rsidR="00DD3236">
        <w:rPr>
          <w:rFonts w:ascii="Abadi" w:hAnsi="Abadi"/>
          <w:b/>
          <w:sz w:val="21"/>
          <w:szCs w:val="21"/>
        </w:rPr>
        <w:t>QUINTA</w:t>
      </w:r>
      <w:r w:rsidR="00DD3236" w:rsidRPr="0066249B">
        <w:rPr>
          <w:rFonts w:ascii="Abadi" w:hAnsi="Abadi"/>
          <w:b/>
          <w:sz w:val="21"/>
          <w:szCs w:val="21"/>
        </w:rPr>
        <w:t xml:space="preserve"> LEGISLATURA DEL CONGRESO DEL ESTADO DE GUANAJUATO. </w:t>
      </w:r>
      <w:r w:rsidR="00B000F3">
        <w:rPr>
          <w:rFonts w:ascii="Abadi" w:hAnsi="Abadi"/>
          <w:b/>
          <w:sz w:val="21"/>
          <w:szCs w:val="21"/>
        </w:rPr>
        <w:t xml:space="preserve">SESIÓN </w:t>
      </w:r>
      <w:r w:rsidR="006A5467">
        <w:rPr>
          <w:rFonts w:ascii="Abadi" w:hAnsi="Abadi"/>
          <w:b/>
          <w:sz w:val="21"/>
          <w:szCs w:val="21"/>
        </w:rPr>
        <w:t>ORDINARI</w:t>
      </w:r>
      <w:r w:rsidR="004D2542">
        <w:rPr>
          <w:rFonts w:ascii="Abadi" w:hAnsi="Abadi"/>
          <w:b/>
          <w:sz w:val="21"/>
          <w:szCs w:val="21"/>
        </w:rPr>
        <w:t>A DEL</w:t>
      </w:r>
      <w:r w:rsidR="00DD3236" w:rsidRPr="0066249B">
        <w:rPr>
          <w:rFonts w:ascii="Abadi" w:hAnsi="Abadi"/>
          <w:b/>
          <w:sz w:val="21"/>
          <w:szCs w:val="21"/>
        </w:rPr>
        <w:t xml:space="preserve"> PRIMER AÑO DE EJERCICIO CONSTITUCIONAL</w:t>
      </w:r>
      <w:r w:rsidR="00B73D82">
        <w:rPr>
          <w:rFonts w:ascii="Abadi" w:hAnsi="Abadi"/>
          <w:b/>
          <w:bCs/>
          <w:iCs/>
          <w:sz w:val="21"/>
          <w:szCs w:val="21"/>
        </w:rPr>
        <w:t xml:space="preserve">. </w:t>
      </w:r>
      <w:r w:rsidR="00A802FE">
        <w:rPr>
          <w:rFonts w:ascii="Abadi" w:hAnsi="Abadi"/>
          <w:b/>
          <w:bCs/>
          <w:iCs/>
          <w:sz w:val="21"/>
          <w:szCs w:val="21"/>
        </w:rPr>
        <w:t>SEGUNDO PERIODO</w:t>
      </w:r>
      <w:r w:rsidR="00B73D82">
        <w:rPr>
          <w:rFonts w:ascii="Abadi" w:hAnsi="Abadi"/>
          <w:b/>
          <w:bCs/>
          <w:iCs/>
          <w:sz w:val="21"/>
          <w:szCs w:val="21"/>
        </w:rPr>
        <w:t xml:space="preserve">. </w:t>
      </w:r>
      <w:r w:rsidR="00A11000">
        <w:rPr>
          <w:rFonts w:ascii="Abadi" w:hAnsi="Abadi"/>
          <w:b/>
          <w:bCs/>
          <w:iCs/>
          <w:sz w:val="21"/>
          <w:szCs w:val="21"/>
        </w:rPr>
        <w:t xml:space="preserve">12 </w:t>
      </w:r>
      <w:r w:rsidR="00DD3236">
        <w:rPr>
          <w:rFonts w:ascii="Abadi" w:hAnsi="Abadi"/>
          <w:b/>
          <w:bCs/>
          <w:iCs/>
          <w:sz w:val="21"/>
          <w:szCs w:val="21"/>
        </w:rPr>
        <w:t>DE</w:t>
      </w:r>
      <w:r w:rsidR="00A802FE">
        <w:rPr>
          <w:rFonts w:ascii="Abadi" w:hAnsi="Abadi"/>
          <w:b/>
          <w:bCs/>
          <w:iCs/>
          <w:sz w:val="21"/>
          <w:szCs w:val="21"/>
        </w:rPr>
        <w:t xml:space="preserve"> </w:t>
      </w:r>
      <w:r w:rsidR="00A11000">
        <w:rPr>
          <w:rFonts w:ascii="Abadi" w:hAnsi="Abadi"/>
          <w:b/>
          <w:bCs/>
          <w:iCs/>
          <w:sz w:val="21"/>
          <w:szCs w:val="21"/>
        </w:rPr>
        <w:t>MAYO</w:t>
      </w:r>
      <w:r w:rsidR="004225F5">
        <w:rPr>
          <w:rFonts w:ascii="Abadi" w:hAnsi="Abadi"/>
          <w:b/>
          <w:bCs/>
          <w:iCs/>
          <w:sz w:val="21"/>
          <w:szCs w:val="21"/>
        </w:rPr>
        <w:t xml:space="preserve"> </w:t>
      </w:r>
      <w:r w:rsidR="00DD3236">
        <w:rPr>
          <w:rFonts w:ascii="Abadi" w:hAnsi="Abadi"/>
          <w:b/>
          <w:bCs/>
          <w:iCs/>
          <w:sz w:val="21"/>
          <w:szCs w:val="21"/>
        </w:rPr>
        <w:t>DE 2022.</w:t>
      </w:r>
    </w:p>
    <w:p w14:paraId="287075CC" w14:textId="77777777" w:rsidR="00B0382D" w:rsidRDefault="00B0382D" w:rsidP="00A86E23">
      <w:pPr>
        <w:ind w:firstLine="720"/>
        <w:jc w:val="both"/>
        <w:rPr>
          <w:rFonts w:ascii="Abadi" w:hAnsi="Abadi"/>
          <w:b/>
          <w:bCs/>
          <w:iCs/>
          <w:sz w:val="21"/>
          <w:szCs w:val="21"/>
        </w:rPr>
      </w:pPr>
    </w:p>
    <w:p w14:paraId="3D96D5AC" w14:textId="77777777" w:rsidR="00201064" w:rsidRDefault="00201064" w:rsidP="009F648A">
      <w:pPr>
        <w:jc w:val="center"/>
        <w:rPr>
          <w:rFonts w:ascii="Abadi" w:hAnsi="Abadi"/>
          <w:b/>
          <w:bCs/>
          <w:iCs/>
          <w:sz w:val="21"/>
          <w:szCs w:val="21"/>
        </w:rPr>
      </w:pPr>
    </w:p>
    <w:p w14:paraId="04C9132C" w14:textId="5A9C69E1" w:rsidR="00B0382D" w:rsidRDefault="009F648A" w:rsidP="009F648A">
      <w:pPr>
        <w:jc w:val="center"/>
        <w:rPr>
          <w:rFonts w:ascii="Abadi" w:hAnsi="Abadi"/>
          <w:b/>
          <w:bCs/>
          <w:iCs/>
          <w:sz w:val="21"/>
          <w:szCs w:val="21"/>
        </w:rPr>
      </w:pPr>
      <w:r>
        <w:rPr>
          <w:rFonts w:ascii="Abadi" w:hAnsi="Abadi"/>
          <w:b/>
          <w:bCs/>
          <w:iCs/>
          <w:sz w:val="21"/>
          <w:szCs w:val="21"/>
        </w:rPr>
        <w:t>-</w:t>
      </w:r>
      <w:r w:rsidR="00A86E23">
        <w:rPr>
          <w:rFonts w:ascii="Abadi" w:hAnsi="Abadi"/>
          <w:b/>
          <w:bCs/>
          <w:iCs/>
          <w:sz w:val="21"/>
          <w:szCs w:val="21"/>
        </w:rPr>
        <w:t>Orden del día</w:t>
      </w:r>
      <w:r>
        <w:rPr>
          <w:rFonts w:ascii="Abadi" w:hAnsi="Abadi"/>
          <w:b/>
          <w:bCs/>
          <w:iCs/>
          <w:sz w:val="21"/>
          <w:szCs w:val="21"/>
        </w:rPr>
        <w:t>-</w:t>
      </w:r>
    </w:p>
    <w:p w14:paraId="2EE8A27F" w14:textId="2DAEBF0D" w:rsidR="00B73011" w:rsidRDefault="00B73011" w:rsidP="009F648A">
      <w:pPr>
        <w:jc w:val="center"/>
        <w:rPr>
          <w:rFonts w:ascii="Abadi" w:hAnsi="Abadi"/>
          <w:b/>
          <w:bCs/>
          <w:iCs/>
          <w:sz w:val="21"/>
          <w:szCs w:val="21"/>
        </w:rPr>
      </w:pPr>
    </w:p>
    <w:p w14:paraId="10C98DB6" w14:textId="23E23394" w:rsidR="00901400" w:rsidRDefault="00901400" w:rsidP="00901400">
      <w:pPr>
        <w:autoSpaceDE w:val="0"/>
        <w:autoSpaceDN w:val="0"/>
        <w:adjustRightInd w:val="0"/>
        <w:jc w:val="both"/>
        <w:rPr>
          <w:rFonts w:ascii="Abadi" w:hAnsi="Abadi" w:cs="ArialMT"/>
          <w:sz w:val="21"/>
          <w:szCs w:val="21"/>
        </w:rPr>
      </w:pPr>
      <w:r w:rsidRPr="00DD68FA">
        <w:rPr>
          <w:rFonts w:ascii="Abadi" w:hAnsi="Abadi" w:cs="ArialMT"/>
          <w:b/>
          <w:bCs/>
          <w:sz w:val="21"/>
          <w:szCs w:val="21"/>
        </w:rPr>
        <w:t>I.</w:t>
      </w:r>
      <w:r>
        <w:rPr>
          <w:rFonts w:ascii="Abadi" w:hAnsi="Abadi" w:cs="ArialMT"/>
          <w:sz w:val="21"/>
          <w:szCs w:val="21"/>
        </w:rPr>
        <w:t xml:space="preserve"> </w:t>
      </w:r>
      <w:r w:rsidRPr="000D4AA9">
        <w:rPr>
          <w:rFonts w:ascii="Abadi" w:hAnsi="Abadi" w:cs="ArialMT"/>
          <w:sz w:val="21"/>
          <w:szCs w:val="21"/>
        </w:rPr>
        <w:t xml:space="preserve">Lectura y, en su caso, aprobación del orden del día. </w:t>
      </w:r>
      <w:r w:rsidRPr="000D4AA9">
        <w:rPr>
          <w:rFonts w:ascii="Abadi" w:hAnsi="Abadi" w:cs="Arial-BoldMT"/>
          <w:b/>
          <w:bCs/>
          <w:sz w:val="21"/>
          <w:szCs w:val="21"/>
        </w:rPr>
        <w:t xml:space="preserve">II. </w:t>
      </w:r>
      <w:r w:rsidRPr="000D4AA9">
        <w:rPr>
          <w:rFonts w:ascii="Abadi" w:hAnsi="Abadi" w:cs="ArialMT"/>
          <w:sz w:val="21"/>
          <w:szCs w:val="21"/>
        </w:rPr>
        <w:t>Lectura y, en su caso, aprobación del acta de la sesión ordinaria celebrada</w:t>
      </w:r>
      <w:r>
        <w:rPr>
          <w:rFonts w:ascii="Abadi" w:hAnsi="Abadi" w:cs="ArialMT"/>
          <w:sz w:val="21"/>
          <w:szCs w:val="21"/>
        </w:rPr>
        <w:t xml:space="preserve"> </w:t>
      </w:r>
      <w:r w:rsidRPr="000D4AA9">
        <w:rPr>
          <w:rFonts w:ascii="Abadi" w:hAnsi="Abadi" w:cs="ArialMT"/>
          <w:sz w:val="21"/>
          <w:szCs w:val="21"/>
        </w:rPr>
        <w:t>el 5 de mayo del año en curso.</w:t>
      </w:r>
      <w:r>
        <w:rPr>
          <w:rFonts w:ascii="Abadi" w:hAnsi="Abadi" w:cs="ArialMT"/>
          <w:sz w:val="21"/>
          <w:szCs w:val="21"/>
        </w:rPr>
        <w:t xml:space="preserve"> </w:t>
      </w:r>
      <w:r w:rsidRPr="000F7389">
        <w:rPr>
          <w:rFonts w:ascii="Abadi" w:hAnsi="Abadi" w:cs="ArialMT"/>
          <w:b/>
          <w:bCs/>
          <w:sz w:val="21"/>
          <w:szCs w:val="21"/>
        </w:rPr>
        <w:t>III.</w:t>
      </w:r>
      <w:r>
        <w:rPr>
          <w:rFonts w:ascii="Abadi" w:hAnsi="Abadi" w:cs="ArialMT"/>
          <w:sz w:val="21"/>
          <w:szCs w:val="21"/>
        </w:rPr>
        <w:t xml:space="preserve"> </w:t>
      </w:r>
      <w:r w:rsidRPr="000D4AA9">
        <w:rPr>
          <w:rFonts w:ascii="Abadi" w:hAnsi="Abadi" w:cs="ArialMT"/>
          <w:sz w:val="21"/>
          <w:szCs w:val="21"/>
        </w:rPr>
        <w:t>Dar cuenta con las comunicaciones y correspondencia recibidas.</w:t>
      </w:r>
      <w:r>
        <w:rPr>
          <w:rFonts w:ascii="Abadi" w:hAnsi="Abadi" w:cs="ArialMT"/>
          <w:sz w:val="21"/>
          <w:szCs w:val="21"/>
        </w:rPr>
        <w:t xml:space="preserve"> </w:t>
      </w:r>
      <w:r w:rsidRPr="00DD68FA">
        <w:rPr>
          <w:rFonts w:ascii="Abadi" w:hAnsi="Abadi" w:cs="ArialMT"/>
          <w:b/>
          <w:bCs/>
          <w:sz w:val="21"/>
          <w:szCs w:val="21"/>
        </w:rPr>
        <w:t>IV</w:t>
      </w:r>
      <w:r w:rsidRPr="00DD68FA">
        <w:rPr>
          <w:rFonts w:ascii="Abadi" w:hAnsi="Abadi" w:cs="Arial-BoldMT"/>
          <w:b/>
          <w:bCs/>
          <w:sz w:val="21"/>
          <w:szCs w:val="21"/>
        </w:rPr>
        <w:t>.</w:t>
      </w:r>
      <w:r w:rsidRPr="000D4AA9">
        <w:rPr>
          <w:rFonts w:ascii="Abadi" w:hAnsi="Abadi" w:cs="Arial-BoldMT"/>
          <w:b/>
          <w:bCs/>
          <w:sz w:val="21"/>
          <w:szCs w:val="21"/>
        </w:rPr>
        <w:t xml:space="preserve"> </w:t>
      </w:r>
      <w:r w:rsidRPr="000D4AA9">
        <w:rPr>
          <w:rFonts w:ascii="Abadi" w:hAnsi="Abadi" w:cs="ArialMT"/>
          <w:sz w:val="21"/>
          <w:szCs w:val="21"/>
        </w:rPr>
        <w:t>Presentación de la iniciativa formulada por la diputada Hades Berenice</w:t>
      </w:r>
      <w:r>
        <w:rPr>
          <w:rFonts w:ascii="Abadi" w:hAnsi="Abadi" w:cs="ArialMT"/>
          <w:sz w:val="21"/>
          <w:szCs w:val="21"/>
        </w:rPr>
        <w:t xml:space="preserve"> </w:t>
      </w:r>
      <w:r w:rsidRPr="000D4AA9">
        <w:rPr>
          <w:rFonts w:ascii="Abadi" w:hAnsi="Abadi" w:cs="ArialMT"/>
          <w:sz w:val="21"/>
          <w:szCs w:val="21"/>
        </w:rPr>
        <w:t>Aguilar Castillo integrante del Grupo Parlamentario del Partido MORENA a</w:t>
      </w:r>
      <w:r>
        <w:rPr>
          <w:rFonts w:ascii="Abadi" w:hAnsi="Abadi" w:cs="ArialMT"/>
          <w:sz w:val="21"/>
          <w:szCs w:val="21"/>
        </w:rPr>
        <w:t xml:space="preserve"> </w:t>
      </w:r>
      <w:r w:rsidRPr="000D4AA9">
        <w:rPr>
          <w:rFonts w:ascii="Abadi" w:hAnsi="Abadi" w:cs="ArialMT"/>
          <w:sz w:val="21"/>
          <w:szCs w:val="21"/>
        </w:rPr>
        <w:t>efecto de reformar el artículo 171; adicionar la fracción IX al artículo 59,</w:t>
      </w:r>
      <w:r>
        <w:rPr>
          <w:rFonts w:ascii="Abadi" w:hAnsi="Abadi" w:cs="ArialMT"/>
          <w:sz w:val="21"/>
          <w:szCs w:val="21"/>
        </w:rPr>
        <w:t xml:space="preserve"> </w:t>
      </w:r>
      <w:r w:rsidRPr="000D4AA9">
        <w:rPr>
          <w:rFonts w:ascii="Abadi" w:hAnsi="Abadi" w:cs="ArialMT"/>
          <w:sz w:val="21"/>
          <w:szCs w:val="21"/>
        </w:rPr>
        <w:t>recorriéndose en su orden las subsecuentes; y derogar el artículo 169 de</w:t>
      </w:r>
      <w:r>
        <w:rPr>
          <w:rFonts w:ascii="Abadi" w:hAnsi="Abadi" w:cs="ArialMT"/>
          <w:sz w:val="21"/>
          <w:szCs w:val="21"/>
        </w:rPr>
        <w:t xml:space="preserve"> </w:t>
      </w:r>
      <w:r w:rsidRPr="000D4AA9">
        <w:rPr>
          <w:rFonts w:ascii="Abadi" w:hAnsi="Abadi" w:cs="ArialMT"/>
          <w:sz w:val="21"/>
          <w:szCs w:val="21"/>
        </w:rPr>
        <w:t>la Ley Orgánica del Poder Legislativo del Estado de Guanajuato.</w:t>
      </w:r>
      <w:r>
        <w:rPr>
          <w:rFonts w:ascii="Abadi" w:hAnsi="Abadi" w:cs="ArialMT"/>
          <w:sz w:val="21"/>
          <w:szCs w:val="21"/>
        </w:rPr>
        <w:t xml:space="preserve"> </w:t>
      </w:r>
      <w:r w:rsidRPr="00DD68FA">
        <w:rPr>
          <w:rFonts w:ascii="Abadi" w:hAnsi="Abadi" w:cs="ArialMT"/>
          <w:b/>
          <w:bCs/>
          <w:sz w:val="21"/>
          <w:szCs w:val="21"/>
        </w:rPr>
        <w:t>V.</w:t>
      </w:r>
      <w:r>
        <w:rPr>
          <w:rFonts w:ascii="Abadi" w:hAnsi="Abadi" w:cs="ArialMT"/>
          <w:sz w:val="21"/>
          <w:szCs w:val="21"/>
        </w:rPr>
        <w:t xml:space="preserve"> </w:t>
      </w:r>
      <w:r w:rsidRPr="000D4AA9">
        <w:rPr>
          <w:rFonts w:ascii="Abadi" w:hAnsi="Abadi" w:cs="ArialMT"/>
          <w:sz w:val="21"/>
          <w:szCs w:val="21"/>
        </w:rPr>
        <w:t>Presentación de la iniciativa de Ley de Educación Superior para el Estado</w:t>
      </w:r>
      <w:r>
        <w:rPr>
          <w:rFonts w:ascii="Abadi" w:hAnsi="Abadi" w:cs="ArialMT"/>
          <w:sz w:val="21"/>
          <w:szCs w:val="21"/>
        </w:rPr>
        <w:t xml:space="preserve"> </w:t>
      </w:r>
      <w:r w:rsidRPr="000D4AA9">
        <w:rPr>
          <w:rFonts w:ascii="Abadi" w:hAnsi="Abadi" w:cs="ArialMT"/>
          <w:sz w:val="21"/>
          <w:szCs w:val="21"/>
        </w:rPr>
        <w:t>de Guanajuato suscrita por diputadas y diputados integrantes del Grupo</w:t>
      </w:r>
      <w:r>
        <w:rPr>
          <w:rFonts w:ascii="Abadi" w:hAnsi="Abadi" w:cs="ArialMT"/>
          <w:sz w:val="21"/>
          <w:szCs w:val="21"/>
        </w:rPr>
        <w:t xml:space="preserve"> </w:t>
      </w:r>
      <w:r w:rsidRPr="000D4AA9">
        <w:rPr>
          <w:rFonts w:ascii="Abadi" w:hAnsi="Abadi" w:cs="ArialMT"/>
          <w:sz w:val="21"/>
          <w:szCs w:val="21"/>
        </w:rPr>
        <w:t>Parlamentario del Partido Acción Nacional.</w:t>
      </w:r>
      <w:r>
        <w:rPr>
          <w:rFonts w:ascii="Abadi" w:hAnsi="Abadi" w:cs="ArialMT"/>
          <w:sz w:val="21"/>
          <w:szCs w:val="21"/>
        </w:rPr>
        <w:t xml:space="preserve"> </w:t>
      </w:r>
      <w:r w:rsidRPr="00DD68FA">
        <w:rPr>
          <w:rFonts w:ascii="Abadi" w:hAnsi="Abadi" w:cs="ArialMT"/>
          <w:b/>
          <w:bCs/>
          <w:sz w:val="21"/>
          <w:szCs w:val="21"/>
        </w:rPr>
        <w:t>VI.</w:t>
      </w:r>
      <w:r>
        <w:rPr>
          <w:rFonts w:ascii="Abadi" w:hAnsi="Abadi" w:cs="ArialMT"/>
          <w:sz w:val="21"/>
          <w:szCs w:val="21"/>
        </w:rPr>
        <w:t xml:space="preserve"> </w:t>
      </w:r>
      <w:r w:rsidRPr="000D4AA9">
        <w:rPr>
          <w:rFonts w:ascii="Abadi" w:hAnsi="Abadi" w:cs="ArialMT"/>
          <w:sz w:val="21"/>
          <w:szCs w:val="21"/>
        </w:rPr>
        <w:t>Presentación de la iniciativa formulada por diputada y diputados</w:t>
      </w:r>
      <w:r>
        <w:rPr>
          <w:rFonts w:ascii="Abadi" w:hAnsi="Abadi" w:cs="ArialMT"/>
          <w:sz w:val="21"/>
          <w:szCs w:val="21"/>
        </w:rPr>
        <w:t xml:space="preserve"> </w:t>
      </w:r>
      <w:r w:rsidRPr="000D4AA9">
        <w:rPr>
          <w:rFonts w:ascii="Abadi" w:hAnsi="Abadi" w:cs="ArialMT"/>
          <w:sz w:val="21"/>
          <w:szCs w:val="21"/>
        </w:rPr>
        <w:t>integrantes del Grupo Parlamentario del Partido Revolucionario</w:t>
      </w:r>
      <w:r>
        <w:rPr>
          <w:rFonts w:ascii="Abadi" w:hAnsi="Abadi" w:cs="ArialMT"/>
          <w:sz w:val="21"/>
          <w:szCs w:val="21"/>
        </w:rPr>
        <w:t xml:space="preserve"> </w:t>
      </w:r>
      <w:r w:rsidRPr="000D4AA9">
        <w:rPr>
          <w:rFonts w:ascii="Abadi" w:hAnsi="Abadi" w:cs="ArialMT"/>
          <w:sz w:val="21"/>
          <w:szCs w:val="21"/>
        </w:rPr>
        <w:t>Institucional por la que se adiciona un párrafo al artículo 1 de la</w:t>
      </w:r>
      <w:r>
        <w:rPr>
          <w:rFonts w:ascii="Abadi" w:hAnsi="Abadi" w:cs="ArialMT"/>
          <w:sz w:val="21"/>
          <w:szCs w:val="21"/>
        </w:rPr>
        <w:t xml:space="preserve"> </w:t>
      </w:r>
      <w:r w:rsidRPr="000D4AA9">
        <w:rPr>
          <w:rFonts w:ascii="Abadi" w:hAnsi="Abadi" w:cs="ArialMT"/>
          <w:sz w:val="21"/>
          <w:szCs w:val="21"/>
        </w:rPr>
        <w:t>Constitución Política para el Estado de Guanajuato.</w:t>
      </w:r>
      <w:r>
        <w:rPr>
          <w:rFonts w:ascii="Abadi" w:hAnsi="Abadi" w:cs="ArialMT"/>
          <w:sz w:val="21"/>
          <w:szCs w:val="21"/>
        </w:rPr>
        <w:t xml:space="preserve"> </w:t>
      </w:r>
      <w:r w:rsidRPr="00DD68FA">
        <w:rPr>
          <w:rFonts w:ascii="Abadi" w:hAnsi="Abadi" w:cs="ArialMT"/>
          <w:b/>
          <w:bCs/>
          <w:sz w:val="21"/>
          <w:szCs w:val="21"/>
        </w:rPr>
        <w:t>VII</w:t>
      </w:r>
      <w:r w:rsidRPr="000D4AA9">
        <w:rPr>
          <w:rFonts w:ascii="Abadi" w:hAnsi="Abadi" w:cs="Arial-BoldMT"/>
          <w:b/>
          <w:bCs/>
          <w:sz w:val="21"/>
          <w:szCs w:val="21"/>
        </w:rPr>
        <w:t xml:space="preserve">. </w:t>
      </w:r>
      <w:r w:rsidRPr="000D4AA9">
        <w:rPr>
          <w:rFonts w:ascii="Abadi" w:hAnsi="Abadi" w:cs="ArialMT"/>
          <w:sz w:val="21"/>
          <w:szCs w:val="21"/>
        </w:rPr>
        <w:t>Presentación de la iniciativa signada por diputada y diputados integrantes</w:t>
      </w:r>
      <w:r>
        <w:rPr>
          <w:rFonts w:ascii="Abadi" w:hAnsi="Abadi" w:cs="ArialMT"/>
          <w:sz w:val="21"/>
          <w:szCs w:val="21"/>
        </w:rPr>
        <w:t xml:space="preserve"> </w:t>
      </w:r>
      <w:r w:rsidRPr="000D4AA9">
        <w:rPr>
          <w:rFonts w:ascii="Abadi" w:hAnsi="Abadi" w:cs="ArialMT"/>
          <w:sz w:val="21"/>
          <w:szCs w:val="21"/>
        </w:rPr>
        <w:t>del Grupo Parlamentario del Partido Revolucionario Institucional a efecto</w:t>
      </w:r>
      <w:r>
        <w:rPr>
          <w:rFonts w:ascii="Abadi" w:hAnsi="Abadi" w:cs="ArialMT"/>
          <w:sz w:val="21"/>
          <w:szCs w:val="21"/>
        </w:rPr>
        <w:t xml:space="preserve"> </w:t>
      </w:r>
      <w:r w:rsidRPr="000D4AA9">
        <w:rPr>
          <w:rFonts w:ascii="Abadi" w:hAnsi="Abadi" w:cs="ArialMT"/>
          <w:sz w:val="21"/>
          <w:szCs w:val="21"/>
        </w:rPr>
        <w:t>de reformar el artículo 2890 del Código Civil para el Estado de Guanajuato.</w:t>
      </w:r>
      <w:r>
        <w:rPr>
          <w:rFonts w:ascii="Abadi" w:hAnsi="Abadi" w:cs="ArialMT"/>
          <w:sz w:val="21"/>
          <w:szCs w:val="21"/>
        </w:rPr>
        <w:t xml:space="preserve"> </w:t>
      </w:r>
      <w:r w:rsidRPr="00DD68FA">
        <w:rPr>
          <w:rFonts w:ascii="Abadi" w:hAnsi="Abadi" w:cs="ArialMT"/>
          <w:b/>
          <w:bCs/>
          <w:sz w:val="21"/>
          <w:szCs w:val="21"/>
        </w:rPr>
        <w:t>VIII.</w:t>
      </w:r>
      <w:r>
        <w:rPr>
          <w:rFonts w:ascii="Abadi" w:hAnsi="Abadi" w:cs="ArialMT"/>
          <w:sz w:val="21"/>
          <w:szCs w:val="21"/>
        </w:rPr>
        <w:t xml:space="preserve"> </w:t>
      </w:r>
      <w:r w:rsidRPr="000D4AA9">
        <w:rPr>
          <w:rFonts w:ascii="Abadi" w:hAnsi="Abadi" w:cs="ArialMT"/>
          <w:sz w:val="21"/>
          <w:szCs w:val="21"/>
        </w:rPr>
        <w:t>Presentación de la iniciativa emitida por el diputado Cuauhtémoc Becerra</w:t>
      </w:r>
      <w:r>
        <w:rPr>
          <w:rFonts w:ascii="Abadi" w:hAnsi="Abadi" w:cs="ArialMT"/>
          <w:sz w:val="21"/>
          <w:szCs w:val="21"/>
        </w:rPr>
        <w:t xml:space="preserve"> </w:t>
      </w:r>
      <w:r w:rsidRPr="000D4AA9">
        <w:rPr>
          <w:rFonts w:ascii="Abadi" w:hAnsi="Abadi" w:cs="ArialMT"/>
          <w:sz w:val="21"/>
          <w:szCs w:val="21"/>
        </w:rPr>
        <w:t>González integrante del Grupo Parlamentario del Partido MORENA a</w:t>
      </w:r>
      <w:r>
        <w:rPr>
          <w:rFonts w:ascii="Abadi" w:hAnsi="Abadi" w:cs="ArialMT"/>
          <w:sz w:val="21"/>
          <w:szCs w:val="21"/>
        </w:rPr>
        <w:t xml:space="preserve"> </w:t>
      </w:r>
      <w:r w:rsidRPr="000D4AA9">
        <w:rPr>
          <w:rFonts w:ascii="Abadi" w:hAnsi="Abadi" w:cs="ArialMT"/>
          <w:sz w:val="21"/>
          <w:szCs w:val="21"/>
        </w:rPr>
        <w:t>efecto de adicionar un segundo párrafo al artículo 56 de la Ley de</w:t>
      </w:r>
      <w:r>
        <w:rPr>
          <w:rFonts w:ascii="Abadi" w:hAnsi="Abadi" w:cs="ArialMT"/>
          <w:sz w:val="21"/>
          <w:szCs w:val="21"/>
        </w:rPr>
        <w:t xml:space="preserve"> </w:t>
      </w:r>
      <w:r w:rsidRPr="000D4AA9">
        <w:rPr>
          <w:rFonts w:ascii="Abadi" w:hAnsi="Abadi" w:cs="ArialMT"/>
          <w:sz w:val="21"/>
          <w:szCs w:val="21"/>
        </w:rPr>
        <w:t>Propiedad en Condominio de Inmuebles para el Estado de Guanajuato.</w:t>
      </w:r>
      <w:r>
        <w:rPr>
          <w:rFonts w:ascii="Abadi" w:hAnsi="Abadi" w:cs="ArialMT"/>
          <w:sz w:val="21"/>
          <w:szCs w:val="21"/>
        </w:rPr>
        <w:t xml:space="preserve"> </w:t>
      </w:r>
      <w:r w:rsidRPr="00DD68FA">
        <w:rPr>
          <w:rFonts w:ascii="Abadi" w:hAnsi="Abadi" w:cs="ArialMT"/>
          <w:b/>
          <w:bCs/>
          <w:sz w:val="21"/>
          <w:szCs w:val="21"/>
        </w:rPr>
        <w:t>IX</w:t>
      </w:r>
      <w:r w:rsidRPr="000D4AA9">
        <w:rPr>
          <w:rFonts w:ascii="Abadi" w:hAnsi="Abadi" w:cs="Arial-BoldMT"/>
          <w:b/>
          <w:bCs/>
          <w:sz w:val="21"/>
          <w:szCs w:val="21"/>
        </w:rPr>
        <w:t xml:space="preserve">. </w:t>
      </w:r>
      <w:r w:rsidRPr="000D4AA9">
        <w:rPr>
          <w:rFonts w:ascii="Abadi" w:hAnsi="Abadi" w:cs="ArialMT"/>
          <w:sz w:val="21"/>
          <w:szCs w:val="21"/>
        </w:rPr>
        <w:t>Presentación de la iniciativa formulada por el diputado Pablo Alonso Ripoll</w:t>
      </w:r>
      <w:r>
        <w:rPr>
          <w:rFonts w:ascii="Abadi" w:hAnsi="Abadi" w:cs="ArialMT"/>
          <w:sz w:val="21"/>
          <w:szCs w:val="21"/>
        </w:rPr>
        <w:t xml:space="preserve"> </w:t>
      </w:r>
      <w:r w:rsidRPr="000D4AA9">
        <w:rPr>
          <w:rFonts w:ascii="Abadi" w:hAnsi="Abadi" w:cs="ArialMT"/>
          <w:sz w:val="21"/>
          <w:szCs w:val="21"/>
        </w:rPr>
        <w:t>integrante del Grupo Parlamentario del Partido MORENA a efecto de</w:t>
      </w:r>
      <w:r>
        <w:rPr>
          <w:rFonts w:ascii="Abadi" w:hAnsi="Abadi" w:cs="ArialMT"/>
          <w:sz w:val="21"/>
          <w:szCs w:val="21"/>
        </w:rPr>
        <w:t xml:space="preserve"> </w:t>
      </w:r>
      <w:r w:rsidRPr="000D4AA9">
        <w:rPr>
          <w:rFonts w:ascii="Abadi" w:hAnsi="Abadi" w:cs="ArialMT"/>
          <w:sz w:val="21"/>
          <w:szCs w:val="21"/>
        </w:rPr>
        <w:t>reformar el artículo 341 del Código Civil para el Estado de Guanajuato.</w:t>
      </w:r>
      <w:r>
        <w:rPr>
          <w:rFonts w:ascii="Abadi" w:hAnsi="Abadi" w:cs="ArialMT"/>
          <w:sz w:val="21"/>
          <w:szCs w:val="21"/>
        </w:rPr>
        <w:t xml:space="preserve"> </w:t>
      </w:r>
      <w:r>
        <w:rPr>
          <w:rFonts w:ascii="Abadi" w:hAnsi="Abadi" w:cs="Arial-BoldMT"/>
          <w:b/>
          <w:bCs/>
          <w:sz w:val="21"/>
          <w:szCs w:val="21"/>
        </w:rPr>
        <w:t>X</w:t>
      </w:r>
      <w:r w:rsidRPr="000D4AA9">
        <w:rPr>
          <w:rFonts w:ascii="Abadi" w:hAnsi="Abadi" w:cs="Arial-BoldMT"/>
          <w:b/>
          <w:bCs/>
          <w:sz w:val="21"/>
          <w:szCs w:val="21"/>
        </w:rPr>
        <w:t xml:space="preserve">. </w:t>
      </w:r>
      <w:r w:rsidRPr="000D4AA9">
        <w:rPr>
          <w:rFonts w:ascii="Abadi" w:hAnsi="Abadi" w:cs="ArialMT"/>
          <w:sz w:val="21"/>
          <w:szCs w:val="21"/>
        </w:rPr>
        <w:t>Presentación de la propuesta de punto de acuerdo suscrita por la diputada</w:t>
      </w:r>
      <w:r>
        <w:rPr>
          <w:rFonts w:ascii="Abadi" w:hAnsi="Abadi" w:cs="ArialMT"/>
          <w:sz w:val="21"/>
          <w:szCs w:val="21"/>
        </w:rPr>
        <w:t xml:space="preserve"> </w:t>
      </w:r>
      <w:r w:rsidRPr="000D4AA9">
        <w:rPr>
          <w:rFonts w:ascii="Abadi" w:hAnsi="Abadi" w:cs="ArialMT"/>
          <w:sz w:val="21"/>
          <w:szCs w:val="21"/>
        </w:rPr>
        <w:t>Hades Berenice Aguilar Castillo integrante del Grupo Parlamentario del</w:t>
      </w:r>
      <w:r>
        <w:rPr>
          <w:rFonts w:ascii="Abadi" w:hAnsi="Abadi" w:cs="ArialMT"/>
          <w:sz w:val="21"/>
          <w:szCs w:val="21"/>
        </w:rPr>
        <w:t xml:space="preserve"> </w:t>
      </w:r>
      <w:r w:rsidRPr="000D4AA9">
        <w:rPr>
          <w:rFonts w:ascii="Abadi" w:hAnsi="Abadi" w:cs="ArialMT"/>
          <w:sz w:val="21"/>
          <w:szCs w:val="21"/>
        </w:rPr>
        <w:t>Partido MORENA a efecto de exhortar al Gobernador del Estado de</w:t>
      </w:r>
      <w:r>
        <w:rPr>
          <w:rFonts w:ascii="Abadi" w:hAnsi="Abadi" w:cs="ArialMT"/>
          <w:sz w:val="21"/>
          <w:szCs w:val="21"/>
        </w:rPr>
        <w:t xml:space="preserve"> </w:t>
      </w:r>
      <w:r w:rsidRPr="000D4AA9">
        <w:rPr>
          <w:rFonts w:ascii="Abadi" w:hAnsi="Abadi" w:cs="ArialMT"/>
          <w:sz w:val="21"/>
          <w:szCs w:val="21"/>
        </w:rPr>
        <w:t>Guanajuato, Diego Sinhue Rodríguez Vallejo, para que inicie un proceso</w:t>
      </w:r>
      <w:r>
        <w:rPr>
          <w:rFonts w:ascii="Abadi" w:hAnsi="Abadi" w:cs="ArialMT"/>
          <w:sz w:val="21"/>
          <w:szCs w:val="21"/>
        </w:rPr>
        <w:t xml:space="preserve"> </w:t>
      </w:r>
      <w:r w:rsidRPr="000D4AA9">
        <w:rPr>
          <w:rFonts w:ascii="Abadi" w:hAnsi="Abadi" w:cs="ArialMT"/>
          <w:sz w:val="21"/>
          <w:szCs w:val="21"/>
        </w:rPr>
        <w:t>de revisión y rediseño de la política estatal de seguridad pública,</w:t>
      </w:r>
      <w:r>
        <w:rPr>
          <w:rFonts w:ascii="Abadi" w:hAnsi="Abadi" w:cs="ArialMT"/>
          <w:sz w:val="21"/>
          <w:szCs w:val="21"/>
        </w:rPr>
        <w:t xml:space="preserve"> </w:t>
      </w:r>
      <w:r w:rsidRPr="000D4AA9">
        <w:rPr>
          <w:rFonts w:ascii="Abadi" w:hAnsi="Abadi" w:cs="ArialMT"/>
          <w:sz w:val="21"/>
          <w:szCs w:val="21"/>
        </w:rPr>
        <w:t>incorporando las mejores prácticas en la materia.</w:t>
      </w:r>
      <w:r>
        <w:rPr>
          <w:rFonts w:ascii="Abadi" w:hAnsi="Abadi" w:cs="ArialMT"/>
          <w:sz w:val="21"/>
          <w:szCs w:val="21"/>
        </w:rPr>
        <w:t xml:space="preserve"> </w:t>
      </w:r>
      <w:r>
        <w:rPr>
          <w:rFonts w:ascii="Abadi" w:hAnsi="Abadi" w:cs="Arial-BoldMT"/>
          <w:b/>
          <w:bCs/>
          <w:sz w:val="21"/>
          <w:szCs w:val="21"/>
        </w:rPr>
        <w:t>XI</w:t>
      </w:r>
      <w:r w:rsidRPr="000D4AA9">
        <w:rPr>
          <w:rFonts w:ascii="Abadi" w:hAnsi="Abadi" w:cs="Arial-BoldMT"/>
          <w:b/>
          <w:bCs/>
          <w:sz w:val="21"/>
          <w:szCs w:val="21"/>
        </w:rPr>
        <w:t xml:space="preserve">. </w:t>
      </w:r>
      <w:r w:rsidRPr="000D4AA9">
        <w:rPr>
          <w:rFonts w:ascii="Abadi" w:hAnsi="Abadi" w:cs="ArialMT"/>
          <w:sz w:val="21"/>
          <w:szCs w:val="21"/>
        </w:rPr>
        <w:t>Presentación de la propuesta de punto de acuerdo formulada por la</w:t>
      </w:r>
      <w:r>
        <w:rPr>
          <w:rFonts w:ascii="Abadi" w:hAnsi="Abadi" w:cs="ArialMT"/>
          <w:sz w:val="21"/>
          <w:szCs w:val="21"/>
        </w:rPr>
        <w:t xml:space="preserve"> </w:t>
      </w:r>
      <w:r w:rsidRPr="000D4AA9">
        <w:rPr>
          <w:rFonts w:ascii="Abadi" w:hAnsi="Abadi" w:cs="ArialMT"/>
          <w:sz w:val="21"/>
          <w:szCs w:val="21"/>
        </w:rPr>
        <w:t>diputada Alma Edwviges Alcaraz Hernández integrante del Grupo</w:t>
      </w:r>
      <w:r>
        <w:rPr>
          <w:rFonts w:ascii="Abadi" w:hAnsi="Abadi" w:cs="ArialMT"/>
          <w:sz w:val="21"/>
          <w:szCs w:val="21"/>
        </w:rPr>
        <w:t xml:space="preserve"> </w:t>
      </w:r>
      <w:r w:rsidRPr="000D4AA9">
        <w:rPr>
          <w:rFonts w:ascii="Abadi" w:hAnsi="Abadi" w:cs="ArialMT"/>
          <w:sz w:val="21"/>
          <w:szCs w:val="21"/>
        </w:rPr>
        <w:t>Parlamentario del Partido MORENA a efecto de exhortar a la Fiscalía</w:t>
      </w:r>
      <w:r>
        <w:rPr>
          <w:rFonts w:ascii="Abadi" w:hAnsi="Abadi" w:cs="ArialMT"/>
          <w:sz w:val="21"/>
          <w:szCs w:val="21"/>
        </w:rPr>
        <w:t xml:space="preserve"> </w:t>
      </w:r>
      <w:r w:rsidRPr="000D4AA9">
        <w:rPr>
          <w:rFonts w:ascii="Abadi" w:hAnsi="Abadi" w:cs="ArialMT"/>
          <w:sz w:val="21"/>
          <w:szCs w:val="21"/>
        </w:rPr>
        <w:t>General del Estado, para que dé a conocer a esta Soberanía cuáles son</w:t>
      </w:r>
      <w:r>
        <w:rPr>
          <w:rFonts w:ascii="Abadi" w:hAnsi="Abadi" w:cs="ArialMT"/>
          <w:sz w:val="21"/>
          <w:szCs w:val="21"/>
        </w:rPr>
        <w:t xml:space="preserve"> </w:t>
      </w:r>
      <w:r w:rsidRPr="000D4AA9">
        <w:rPr>
          <w:rFonts w:ascii="Abadi" w:hAnsi="Abadi" w:cs="ArialMT"/>
          <w:sz w:val="21"/>
          <w:szCs w:val="21"/>
        </w:rPr>
        <w:t>las causas por las que no se han podido identificar la totalidad de los</w:t>
      </w:r>
      <w:r>
        <w:rPr>
          <w:rFonts w:ascii="Abadi" w:hAnsi="Abadi" w:cs="ArialMT"/>
          <w:sz w:val="21"/>
          <w:szCs w:val="21"/>
        </w:rPr>
        <w:t xml:space="preserve"> </w:t>
      </w:r>
      <w:r w:rsidRPr="000D4AA9">
        <w:rPr>
          <w:rFonts w:ascii="Abadi" w:hAnsi="Abadi" w:cs="ArialMT"/>
          <w:sz w:val="21"/>
          <w:szCs w:val="21"/>
        </w:rPr>
        <w:t>restos humanos hasta ahora encontrados en fosas clandestinas; así como</w:t>
      </w:r>
      <w:r>
        <w:rPr>
          <w:rFonts w:ascii="Abadi" w:hAnsi="Abadi" w:cs="ArialMT"/>
          <w:sz w:val="21"/>
          <w:szCs w:val="21"/>
        </w:rPr>
        <w:t xml:space="preserve"> </w:t>
      </w:r>
      <w:r w:rsidRPr="000D4AA9">
        <w:rPr>
          <w:rFonts w:ascii="Abadi" w:hAnsi="Abadi" w:cs="ArialMT"/>
          <w:sz w:val="21"/>
          <w:szCs w:val="21"/>
        </w:rPr>
        <w:t>al Titular del Ejecutivo Estatal para que, a través de la Secretaría de</w:t>
      </w:r>
      <w:r>
        <w:rPr>
          <w:rFonts w:ascii="Abadi" w:hAnsi="Abadi" w:cs="ArialMT"/>
          <w:sz w:val="21"/>
          <w:szCs w:val="21"/>
        </w:rPr>
        <w:t xml:space="preserve"> </w:t>
      </w:r>
      <w:r w:rsidRPr="000D4AA9">
        <w:rPr>
          <w:rFonts w:ascii="Abadi" w:hAnsi="Abadi" w:cs="ArialMT"/>
          <w:sz w:val="21"/>
          <w:szCs w:val="21"/>
        </w:rPr>
        <w:t>Seguridad Pública, se brinde protección y apoyo técnico a los Colectivos</w:t>
      </w:r>
      <w:r>
        <w:rPr>
          <w:rFonts w:ascii="Abadi" w:hAnsi="Abadi" w:cs="ArialMT"/>
          <w:sz w:val="21"/>
          <w:szCs w:val="21"/>
        </w:rPr>
        <w:t xml:space="preserve"> </w:t>
      </w:r>
      <w:r w:rsidRPr="000D4AA9">
        <w:rPr>
          <w:rFonts w:ascii="Abadi" w:hAnsi="Abadi" w:cs="ArialMT"/>
          <w:sz w:val="21"/>
          <w:szCs w:val="21"/>
        </w:rPr>
        <w:t>de familiares de personas desaparecidas que realizan el trabajo que</w:t>
      </w:r>
      <w:r>
        <w:rPr>
          <w:rFonts w:ascii="Abadi" w:hAnsi="Abadi" w:cs="ArialMT"/>
          <w:sz w:val="21"/>
          <w:szCs w:val="21"/>
        </w:rPr>
        <w:t xml:space="preserve"> </w:t>
      </w:r>
      <w:r w:rsidRPr="000D4AA9">
        <w:rPr>
          <w:rFonts w:ascii="Abadi" w:hAnsi="Abadi" w:cs="ArialMT"/>
          <w:sz w:val="21"/>
          <w:szCs w:val="21"/>
        </w:rPr>
        <w:t>debería hacer el propio Estado.</w:t>
      </w:r>
      <w:r>
        <w:rPr>
          <w:rFonts w:ascii="Abadi" w:hAnsi="Abadi" w:cs="ArialMT"/>
          <w:sz w:val="21"/>
          <w:szCs w:val="21"/>
        </w:rPr>
        <w:t xml:space="preserve"> </w:t>
      </w:r>
      <w:r>
        <w:rPr>
          <w:rFonts w:ascii="Abadi" w:hAnsi="Abadi" w:cs="Arial-BoldMT"/>
          <w:b/>
          <w:bCs/>
          <w:sz w:val="21"/>
          <w:szCs w:val="21"/>
        </w:rPr>
        <w:t>XII</w:t>
      </w:r>
      <w:r w:rsidRPr="000D4AA9">
        <w:rPr>
          <w:rFonts w:ascii="Abadi" w:hAnsi="Abadi" w:cs="Arial-BoldMT"/>
          <w:b/>
          <w:bCs/>
          <w:sz w:val="21"/>
          <w:szCs w:val="21"/>
        </w:rPr>
        <w:t xml:space="preserve">. </w:t>
      </w:r>
      <w:r w:rsidRPr="000D4AA9">
        <w:rPr>
          <w:rFonts w:ascii="Abadi" w:hAnsi="Abadi" w:cs="ArialMT"/>
          <w:sz w:val="21"/>
          <w:szCs w:val="21"/>
        </w:rPr>
        <w:t>Presentación de la propuesta de punto de acuerdo signada por la diputada</w:t>
      </w:r>
      <w:r>
        <w:rPr>
          <w:rFonts w:ascii="Abadi" w:hAnsi="Abadi" w:cs="ArialMT"/>
          <w:sz w:val="21"/>
          <w:szCs w:val="21"/>
        </w:rPr>
        <w:t xml:space="preserve"> </w:t>
      </w:r>
      <w:r w:rsidRPr="000D4AA9">
        <w:rPr>
          <w:rFonts w:ascii="Abadi" w:hAnsi="Abadi" w:cs="ArialMT"/>
          <w:sz w:val="21"/>
          <w:szCs w:val="21"/>
        </w:rPr>
        <w:t>Alma Edwviges Alcaraz Hernández integrante del Grupo Parlamentario del</w:t>
      </w:r>
      <w:r>
        <w:rPr>
          <w:rFonts w:ascii="Abadi" w:hAnsi="Abadi" w:cs="ArialMT"/>
          <w:sz w:val="21"/>
          <w:szCs w:val="21"/>
        </w:rPr>
        <w:t xml:space="preserve"> </w:t>
      </w:r>
      <w:r w:rsidRPr="000D4AA9">
        <w:rPr>
          <w:rFonts w:ascii="Abadi" w:hAnsi="Abadi" w:cs="ArialMT"/>
          <w:sz w:val="21"/>
          <w:szCs w:val="21"/>
        </w:rPr>
        <w:t>Partido MORENA a efecto de exhortar a los titulares de los Poderes</w:t>
      </w:r>
      <w:r>
        <w:rPr>
          <w:rFonts w:ascii="Abadi" w:hAnsi="Abadi" w:cs="ArialMT"/>
          <w:sz w:val="21"/>
          <w:szCs w:val="21"/>
        </w:rPr>
        <w:t xml:space="preserve"> </w:t>
      </w:r>
      <w:r w:rsidRPr="000D4AA9">
        <w:rPr>
          <w:rFonts w:ascii="Abadi" w:hAnsi="Abadi" w:cs="ArialMT"/>
          <w:sz w:val="21"/>
          <w:szCs w:val="21"/>
        </w:rPr>
        <w:t>Ejecutivos de los Municipios del Estado a considerar la capacidad real de</w:t>
      </w:r>
      <w:r>
        <w:rPr>
          <w:rFonts w:ascii="Abadi" w:hAnsi="Abadi" w:cs="ArialMT"/>
          <w:sz w:val="21"/>
          <w:szCs w:val="21"/>
        </w:rPr>
        <w:t xml:space="preserve"> </w:t>
      </w:r>
      <w:r w:rsidRPr="000D4AA9">
        <w:rPr>
          <w:rFonts w:ascii="Abadi" w:hAnsi="Abadi" w:cs="ArialMT"/>
          <w:sz w:val="21"/>
          <w:szCs w:val="21"/>
        </w:rPr>
        <w:t>pago de sus municipios y el estado de sus finanzas públicas antes de</w:t>
      </w:r>
      <w:r>
        <w:rPr>
          <w:rFonts w:ascii="Abadi" w:hAnsi="Abadi" w:cs="ArialMT"/>
          <w:sz w:val="21"/>
          <w:szCs w:val="21"/>
        </w:rPr>
        <w:t xml:space="preserve"> </w:t>
      </w:r>
      <w:r w:rsidRPr="000D4AA9">
        <w:rPr>
          <w:rFonts w:ascii="Abadi" w:hAnsi="Abadi" w:cs="ArialMT"/>
          <w:sz w:val="21"/>
          <w:szCs w:val="21"/>
        </w:rPr>
        <w:t>solicitar a este Congreso la autorización para contratar deuda pública; así</w:t>
      </w:r>
      <w:r>
        <w:rPr>
          <w:rFonts w:ascii="Abadi" w:hAnsi="Abadi" w:cs="ArialMT"/>
          <w:sz w:val="21"/>
          <w:szCs w:val="21"/>
        </w:rPr>
        <w:t xml:space="preserve"> </w:t>
      </w:r>
      <w:r w:rsidRPr="000D4AA9">
        <w:rPr>
          <w:rFonts w:ascii="Abadi" w:hAnsi="Abadi" w:cs="ArialMT"/>
          <w:sz w:val="21"/>
          <w:szCs w:val="21"/>
        </w:rPr>
        <w:t>como a establecer medidas que les permitan aumentar la recaudación de</w:t>
      </w:r>
      <w:r>
        <w:rPr>
          <w:rFonts w:ascii="Abadi" w:hAnsi="Abadi" w:cs="ArialMT"/>
          <w:sz w:val="21"/>
          <w:szCs w:val="21"/>
        </w:rPr>
        <w:t xml:space="preserve"> </w:t>
      </w:r>
      <w:r w:rsidRPr="000D4AA9">
        <w:rPr>
          <w:rFonts w:ascii="Abadi" w:hAnsi="Abadi" w:cs="ArialMT"/>
          <w:sz w:val="21"/>
          <w:szCs w:val="21"/>
        </w:rPr>
        <w:t>sus ingresos propios para disminuir su dependencia de los ingresos</w:t>
      </w:r>
      <w:r>
        <w:rPr>
          <w:rFonts w:ascii="Abadi" w:hAnsi="Abadi" w:cs="ArialMT"/>
          <w:sz w:val="21"/>
          <w:szCs w:val="21"/>
        </w:rPr>
        <w:t xml:space="preserve"> </w:t>
      </w:r>
      <w:r w:rsidRPr="000D4AA9">
        <w:rPr>
          <w:rFonts w:ascii="Abadi" w:hAnsi="Abadi" w:cs="ArialMT"/>
          <w:sz w:val="21"/>
          <w:szCs w:val="21"/>
        </w:rPr>
        <w:t>federales y locales.</w:t>
      </w:r>
      <w:r>
        <w:rPr>
          <w:rFonts w:ascii="Abadi" w:hAnsi="Abadi" w:cs="ArialMT"/>
          <w:sz w:val="21"/>
          <w:szCs w:val="21"/>
        </w:rPr>
        <w:t xml:space="preserve"> </w:t>
      </w:r>
      <w:r>
        <w:rPr>
          <w:rFonts w:ascii="Abadi" w:hAnsi="Abadi" w:cs="Arial-BoldMT"/>
          <w:b/>
          <w:bCs/>
          <w:sz w:val="21"/>
          <w:szCs w:val="21"/>
        </w:rPr>
        <w:t>XIII</w:t>
      </w:r>
      <w:r w:rsidRPr="000D4AA9">
        <w:rPr>
          <w:rFonts w:ascii="Abadi" w:hAnsi="Abadi" w:cs="Arial-BoldMT"/>
          <w:b/>
          <w:bCs/>
          <w:sz w:val="21"/>
          <w:szCs w:val="21"/>
        </w:rPr>
        <w:t xml:space="preserve">. </w:t>
      </w:r>
      <w:r w:rsidRPr="000D4AA9">
        <w:rPr>
          <w:rFonts w:ascii="Abadi" w:hAnsi="Abadi" w:cs="ArialMT"/>
          <w:sz w:val="21"/>
          <w:szCs w:val="21"/>
        </w:rPr>
        <w:t>Presentación de la propuesta de punto de acuerdo de obvia resolución</w:t>
      </w:r>
      <w:r>
        <w:rPr>
          <w:rFonts w:ascii="Abadi" w:hAnsi="Abadi" w:cs="ArialMT"/>
          <w:sz w:val="21"/>
          <w:szCs w:val="21"/>
        </w:rPr>
        <w:t xml:space="preserve"> </w:t>
      </w:r>
      <w:r w:rsidRPr="000D4AA9">
        <w:rPr>
          <w:rFonts w:ascii="Abadi" w:hAnsi="Abadi" w:cs="ArialMT"/>
          <w:sz w:val="21"/>
          <w:szCs w:val="21"/>
        </w:rPr>
        <w:t>suscrita por las diputadas y los diputados integrantes del Grupo</w:t>
      </w:r>
      <w:r>
        <w:rPr>
          <w:rFonts w:ascii="Abadi" w:hAnsi="Abadi" w:cs="ArialMT"/>
          <w:sz w:val="21"/>
          <w:szCs w:val="21"/>
        </w:rPr>
        <w:t xml:space="preserve"> </w:t>
      </w:r>
      <w:r w:rsidRPr="000D4AA9">
        <w:rPr>
          <w:rFonts w:ascii="Abadi" w:hAnsi="Abadi" w:cs="ArialMT"/>
          <w:sz w:val="21"/>
          <w:szCs w:val="21"/>
        </w:rPr>
        <w:t>Parlamentario del Partido MORENA a efecto de crear la Comisión Especial</w:t>
      </w:r>
      <w:r>
        <w:rPr>
          <w:rFonts w:ascii="Abadi" w:hAnsi="Abadi" w:cs="ArialMT"/>
          <w:sz w:val="21"/>
          <w:szCs w:val="21"/>
        </w:rPr>
        <w:t xml:space="preserve"> </w:t>
      </w:r>
      <w:r w:rsidRPr="000D4AA9">
        <w:rPr>
          <w:rFonts w:ascii="Abadi" w:hAnsi="Abadi" w:cs="ArialMT"/>
          <w:sz w:val="21"/>
          <w:szCs w:val="21"/>
        </w:rPr>
        <w:t>de Seguimiento a los hechos del 1 de mayo en el municipio de Irapuato,</w:t>
      </w:r>
      <w:r>
        <w:rPr>
          <w:rFonts w:ascii="Abadi" w:hAnsi="Abadi" w:cs="ArialMT"/>
          <w:sz w:val="21"/>
          <w:szCs w:val="21"/>
        </w:rPr>
        <w:t xml:space="preserve"> </w:t>
      </w:r>
      <w:r w:rsidRPr="000D4AA9">
        <w:rPr>
          <w:rFonts w:ascii="Abadi" w:hAnsi="Abadi" w:cs="ArialMT"/>
          <w:sz w:val="21"/>
          <w:szCs w:val="21"/>
        </w:rPr>
        <w:t>Guanajuato y, en su caso, aprobación de la misma.</w:t>
      </w:r>
      <w:r>
        <w:rPr>
          <w:rFonts w:ascii="Abadi" w:hAnsi="Abadi" w:cs="ArialMT"/>
          <w:sz w:val="21"/>
          <w:szCs w:val="21"/>
        </w:rPr>
        <w:t xml:space="preserve"> </w:t>
      </w:r>
      <w:r>
        <w:rPr>
          <w:rFonts w:ascii="Abadi" w:hAnsi="Abadi" w:cs="Arial-BoldMT"/>
          <w:b/>
          <w:bCs/>
          <w:sz w:val="21"/>
          <w:szCs w:val="21"/>
        </w:rPr>
        <w:t>XIV</w:t>
      </w:r>
      <w:r w:rsidRPr="000D4AA9">
        <w:rPr>
          <w:rFonts w:ascii="Abadi" w:hAnsi="Abadi" w:cs="Arial-BoldMT"/>
          <w:b/>
          <w:bCs/>
          <w:sz w:val="21"/>
          <w:szCs w:val="21"/>
        </w:rPr>
        <w:t xml:space="preserve">. </w:t>
      </w:r>
      <w:r w:rsidRPr="000D4AA9">
        <w:rPr>
          <w:rFonts w:ascii="Abadi" w:hAnsi="Abadi" w:cs="ArialMT"/>
          <w:sz w:val="21"/>
          <w:szCs w:val="21"/>
        </w:rPr>
        <w:t>Presentación del informe de los conceptos generales de los estados</w:t>
      </w:r>
      <w:r>
        <w:rPr>
          <w:rFonts w:ascii="Abadi" w:hAnsi="Abadi" w:cs="ArialMT"/>
          <w:sz w:val="21"/>
          <w:szCs w:val="21"/>
        </w:rPr>
        <w:t xml:space="preserve"> </w:t>
      </w:r>
      <w:r w:rsidRPr="000D4AA9">
        <w:rPr>
          <w:rFonts w:ascii="Abadi" w:hAnsi="Abadi" w:cs="ArialMT"/>
          <w:sz w:val="21"/>
          <w:szCs w:val="21"/>
        </w:rPr>
        <w:t>financieros de los recursos presupuestales y las transferencias y ajustes</w:t>
      </w:r>
      <w:r>
        <w:rPr>
          <w:rFonts w:ascii="Abadi" w:hAnsi="Abadi" w:cs="ArialMT"/>
          <w:sz w:val="21"/>
          <w:szCs w:val="21"/>
        </w:rPr>
        <w:t xml:space="preserve"> </w:t>
      </w:r>
      <w:r w:rsidRPr="000D4AA9">
        <w:rPr>
          <w:rFonts w:ascii="Abadi" w:hAnsi="Abadi" w:cs="ArialMT"/>
          <w:sz w:val="21"/>
          <w:szCs w:val="21"/>
        </w:rPr>
        <w:t>presupuestales, correspondiente al periodo comprendido del 1 al 31 de</w:t>
      </w:r>
      <w:r>
        <w:rPr>
          <w:rFonts w:ascii="Abadi" w:hAnsi="Abadi" w:cs="ArialMT"/>
          <w:sz w:val="21"/>
          <w:szCs w:val="21"/>
        </w:rPr>
        <w:t xml:space="preserve"> </w:t>
      </w:r>
      <w:r w:rsidRPr="000D4AA9">
        <w:rPr>
          <w:rFonts w:ascii="Abadi" w:hAnsi="Abadi" w:cs="ArialMT"/>
          <w:sz w:val="21"/>
          <w:szCs w:val="21"/>
        </w:rPr>
        <w:t>marzo del año en curso, formulado por la Comisión de Administración y, en</w:t>
      </w:r>
      <w:r>
        <w:rPr>
          <w:rFonts w:ascii="Abadi" w:hAnsi="Abadi" w:cs="ArialMT"/>
          <w:sz w:val="21"/>
          <w:szCs w:val="21"/>
        </w:rPr>
        <w:t xml:space="preserve"> </w:t>
      </w:r>
      <w:r w:rsidRPr="000D4AA9">
        <w:rPr>
          <w:rFonts w:ascii="Abadi" w:hAnsi="Abadi" w:cs="ArialMT"/>
          <w:sz w:val="21"/>
          <w:szCs w:val="21"/>
        </w:rPr>
        <w:t>su caso, aprobación del mismo.</w:t>
      </w:r>
      <w:r>
        <w:rPr>
          <w:rFonts w:ascii="Abadi" w:hAnsi="Abadi" w:cs="ArialMT"/>
          <w:sz w:val="21"/>
          <w:szCs w:val="21"/>
        </w:rPr>
        <w:t xml:space="preserve"> </w:t>
      </w:r>
      <w:r>
        <w:rPr>
          <w:rFonts w:ascii="Abadi" w:hAnsi="Abadi" w:cs="Arial-BoldMT"/>
          <w:b/>
          <w:bCs/>
          <w:sz w:val="21"/>
          <w:szCs w:val="21"/>
        </w:rPr>
        <w:t>XV</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presentado por la</w:t>
      </w:r>
      <w:r>
        <w:rPr>
          <w:rFonts w:ascii="Abadi" w:hAnsi="Abadi" w:cs="ArialMT"/>
          <w:sz w:val="21"/>
          <w:szCs w:val="21"/>
        </w:rPr>
        <w:t xml:space="preserve"> </w:t>
      </w:r>
      <w:r w:rsidRPr="000D4AA9">
        <w:rPr>
          <w:rFonts w:ascii="Abadi" w:hAnsi="Abadi" w:cs="ArialMT"/>
          <w:sz w:val="21"/>
          <w:szCs w:val="21"/>
        </w:rPr>
        <w:t>Comisión de Seguridad Pública y Comunicaciones relativo a la propuesta</w:t>
      </w:r>
      <w:r>
        <w:rPr>
          <w:rFonts w:ascii="Abadi" w:hAnsi="Abadi" w:cs="ArialMT"/>
          <w:sz w:val="21"/>
          <w:szCs w:val="21"/>
        </w:rPr>
        <w:t xml:space="preserve"> </w:t>
      </w:r>
      <w:r w:rsidRPr="000D4AA9">
        <w:rPr>
          <w:rFonts w:ascii="Abadi" w:hAnsi="Abadi" w:cs="ArialMT"/>
          <w:sz w:val="21"/>
          <w:szCs w:val="21"/>
        </w:rPr>
        <w:t>de punto de acuerdo suscrita por diputada y diputado integrantes del</w:t>
      </w:r>
      <w:r>
        <w:rPr>
          <w:rFonts w:ascii="Abadi" w:hAnsi="Abadi" w:cs="ArialMT"/>
          <w:sz w:val="21"/>
          <w:szCs w:val="21"/>
        </w:rPr>
        <w:t xml:space="preserve"> </w:t>
      </w:r>
      <w:r w:rsidRPr="000D4AA9">
        <w:rPr>
          <w:rFonts w:ascii="Abadi" w:hAnsi="Abadi" w:cs="ArialMT"/>
          <w:sz w:val="21"/>
          <w:szCs w:val="21"/>
        </w:rPr>
        <w:t>Grupo Parlamentario del Partido Revolucionario Institucional mediante el</w:t>
      </w:r>
      <w:r>
        <w:rPr>
          <w:rFonts w:ascii="Abadi" w:hAnsi="Abadi" w:cs="ArialMT"/>
          <w:sz w:val="21"/>
          <w:szCs w:val="21"/>
        </w:rPr>
        <w:t xml:space="preserve"> </w:t>
      </w:r>
      <w:r w:rsidRPr="000D4AA9">
        <w:rPr>
          <w:rFonts w:ascii="Abadi" w:hAnsi="Abadi" w:cs="ArialMT"/>
          <w:sz w:val="21"/>
          <w:szCs w:val="21"/>
        </w:rPr>
        <w:t>cual se efectúa un respetuoso exhorto a los titulares del Ejecutivo Federal</w:t>
      </w:r>
      <w:r>
        <w:rPr>
          <w:rFonts w:ascii="Abadi" w:hAnsi="Abadi" w:cs="ArialMT"/>
          <w:sz w:val="21"/>
          <w:szCs w:val="21"/>
        </w:rPr>
        <w:t xml:space="preserve"> </w:t>
      </w:r>
      <w:r w:rsidRPr="000D4AA9">
        <w:rPr>
          <w:rFonts w:ascii="Abadi" w:hAnsi="Abadi" w:cs="ArialMT"/>
          <w:sz w:val="21"/>
          <w:szCs w:val="21"/>
        </w:rPr>
        <w:t>y de la Fiscalía General de la República para que, realicen medidas</w:t>
      </w:r>
      <w:r>
        <w:rPr>
          <w:rFonts w:ascii="Abadi" w:hAnsi="Abadi" w:cs="ArialMT"/>
          <w:sz w:val="21"/>
          <w:szCs w:val="21"/>
        </w:rPr>
        <w:t xml:space="preserve"> </w:t>
      </w:r>
      <w:r w:rsidRPr="000D4AA9">
        <w:rPr>
          <w:rFonts w:ascii="Abadi" w:hAnsi="Abadi" w:cs="ArialMT"/>
          <w:sz w:val="21"/>
          <w:szCs w:val="21"/>
        </w:rPr>
        <w:t>urgentes y contundentes para impedir que, en las fronteras, litorales y</w:t>
      </w:r>
      <w:r>
        <w:rPr>
          <w:rFonts w:ascii="Abadi" w:hAnsi="Abadi" w:cs="ArialMT"/>
          <w:sz w:val="21"/>
          <w:szCs w:val="21"/>
        </w:rPr>
        <w:t xml:space="preserve"> </w:t>
      </w:r>
      <w:r w:rsidRPr="000D4AA9">
        <w:rPr>
          <w:rFonts w:ascii="Abadi" w:hAnsi="Abadi" w:cs="ArialMT"/>
          <w:sz w:val="21"/>
          <w:szCs w:val="21"/>
        </w:rPr>
        <w:t>aduanas se introduzcan armas de fuego y proyectiles, y se persiga y</w:t>
      </w:r>
      <w:r>
        <w:rPr>
          <w:rFonts w:ascii="Abadi" w:hAnsi="Abadi" w:cs="ArialMT"/>
          <w:sz w:val="21"/>
          <w:szCs w:val="21"/>
        </w:rPr>
        <w:t xml:space="preserve"> </w:t>
      </w:r>
      <w:r w:rsidRPr="000D4AA9">
        <w:rPr>
          <w:rFonts w:ascii="Abadi" w:hAnsi="Abadi" w:cs="ArialMT"/>
          <w:sz w:val="21"/>
          <w:szCs w:val="21"/>
        </w:rPr>
        <w:t>sancione con eficacia a quienes introduzcan, acopien, trafiquen y/o porten</w:t>
      </w:r>
      <w:r>
        <w:rPr>
          <w:rFonts w:ascii="Abadi" w:hAnsi="Abadi" w:cs="ArialMT"/>
          <w:sz w:val="21"/>
          <w:szCs w:val="21"/>
        </w:rPr>
        <w:t xml:space="preserve"> </w:t>
      </w:r>
      <w:r w:rsidRPr="000D4AA9">
        <w:rPr>
          <w:rFonts w:ascii="Abadi" w:hAnsi="Abadi" w:cs="ArialMT"/>
          <w:sz w:val="21"/>
          <w:szCs w:val="21"/>
        </w:rPr>
        <w:t>estos instrumentos en nuestro país.</w:t>
      </w:r>
      <w:r>
        <w:rPr>
          <w:rFonts w:ascii="Abadi" w:hAnsi="Abadi" w:cs="ArialMT"/>
          <w:sz w:val="21"/>
          <w:szCs w:val="21"/>
        </w:rPr>
        <w:t xml:space="preserve"> </w:t>
      </w:r>
      <w:r>
        <w:rPr>
          <w:rFonts w:ascii="Abadi" w:hAnsi="Abadi" w:cs="Arial-BoldMT"/>
          <w:b/>
          <w:bCs/>
          <w:sz w:val="21"/>
          <w:szCs w:val="21"/>
        </w:rPr>
        <w:t>XVI</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suscrito por la Comisión</w:t>
      </w:r>
      <w:r>
        <w:rPr>
          <w:rFonts w:ascii="Abadi" w:hAnsi="Abadi" w:cs="ArialMT"/>
          <w:sz w:val="21"/>
          <w:szCs w:val="21"/>
        </w:rPr>
        <w:t xml:space="preserve"> </w:t>
      </w:r>
      <w:r w:rsidRPr="000D4AA9">
        <w:rPr>
          <w:rFonts w:ascii="Abadi" w:hAnsi="Abadi" w:cs="ArialMT"/>
          <w:sz w:val="21"/>
          <w:szCs w:val="21"/>
        </w:rPr>
        <w:t>de Seguridad Pública y Comunicaciones relativo a la propuesta de punto</w:t>
      </w:r>
      <w:r>
        <w:rPr>
          <w:rFonts w:ascii="Abadi" w:hAnsi="Abadi" w:cs="ArialMT"/>
          <w:sz w:val="21"/>
          <w:szCs w:val="21"/>
        </w:rPr>
        <w:t xml:space="preserve"> </w:t>
      </w:r>
      <w:r w:rsidRPr="000D4AA9">
        <w:rPr>
          <w:rFonts w:ascii="Abadi" w:hAnsi="Abadi" w:cs="ArialMT"/>
          <w:sz w:val="21"/>
          <w:szCs w:val="21"/>
        </w:rPr>
        <w:t>de acuerdo suscrita por la diputada Irma Leticia González Sánchez</w:t>
      </w:r>
      <w:r>
        <w:rPr>
          <w:rFonts w:ascii="Abadi" w:hAnsi="Abadi" w:cs="ArialMT"/>
          <w:sz w:val="21"/>
          <w:szCs w:val="21"/>
        </w:rPr>
        <w:t xml:space="preserve"> </w:t>
      </w:r>
      <w:r w:rsidRPr="000D4AA9">
        <w:rPr>
          <w:rFonts w:ascii="Abadi" w:hAnsi="Abadi" w:cs="ArialMT"/>
          <w:sz w:val="21"/>
          <w:szCs w:val="21"/>
        </w:rPr>
        <w:t>integrante del Grupo Parlamentario del Partido MORENA a efecto de</w:t>
      </w:r>
      <w:r>
        <w:rPr>
          <w:rFonts w:ascii="Abadi" w:hAnsi="Abadi" w:cs="ArialMT"/>
          <w:sz w:val="21"/>
          <w:szCs w:val="21"/>
        </w:rPr>
        <w:t xml:space="preserve"> </w:t>
      </w:r>
      <w:r w:rsidRPr="000D4AA9">
        <w:rPr>
          <w:rFonts w:ascii="Abadi" w:hAnsi="Abadi" w:cs="ArialMT"/>
          <w:sz w:val="21"/>
          <w:szCs w:val="21"/>
        </w:rPr>
        <w:t>exhortar a los 46 ayuntamientos para que revisen y actualicen los</w:t>
      </w:r>
      <w:r>
        <w:rPr>
          <w:rFonts w:ascii="Abadi" w:hAnsi="Abadi" w:cs="ArialMT"/>
          <w:sz w:val="21"/>
          <w:szCs w:val="21"/>
        </w:rPr>
        <w:t xml:space="preserve"> </w:t>
      </w:r>
      <w:r w:rsidRPr="000D4AA9">
        <w:rPr>
          <w:rFonts w:ascii="Abadi" w:hAnsi="Abadi" w:cs="ArialMT"/>
          <w:sz w:val="21"/>
          <w:szCs w:val="21"/>
        </w:rPr>
        <w:t>protocolos, reglamentos y manuales de Protección Civil y Bomberos en</w:t>
      </w:r>
      <w:r>
        <w:rPr>
          <w:rFonts w:ascii="Abadi" w:hAnsi="Abadi" w:cs="ArialMT"/>
          <w:sz w:val="21"/>
          <w:szCs w:val="21"/>
        </w:rPr>
        <w:t xml:space="preserve"> </w:t>
      </w:r>
      <w:r w:rsidRPr="000D4AA9">
        <w:rPr>
          <w:rFonts w:ascii="Abadi" w:hAnsi="Abadi" w:cs="ArialMT"/>
          <w:sz w:val="21"/>
          <w:szCs w:val="21"/>
        </w:rPr>
        <w:t>donde incluyan apartados de análisis de riesgos preventivos, de la misma</w:t>
      </w:r>
      <w:r>
        <w:rPr>
          <w:rFonts w:ascii="Abadi" w:hAnsi="Abadi" w:cs="ArialMT"/>
          <w:sz w:val="21"/>
          <w:szCs w:val="21"/>
        </w:rPr>
        <w:t xml:space="preserve"> </w:t>
      </w:r>
      <w:r w:rsidRPr="000D4AA9">
        <w:rPr>
          <w:rFonts w:ascii="Abadi" w:hAnsi="Abadi" w:cs="ArialMT"/>
          <w:sz w:val="21"/>
          <w:szCs w:val="21"/>
        </w:rPr>
        <w:t>forma, reexaminar las disposiciones administrativas en la realización de</w:t>
      </w:r>
      <w:r>
        <w:rPr>
          <w:rFonts w:ascii="Abadi" w:hAnsi="Abadi" w:cs="ArialMT"/>
          <w:sz w:val="21"/>
          <w:szCs w:val="21"/>
        </w:rPr>
        <w:t xml:space="preserve"> </w:t>
      </w:r>
      <w:r w:rsidRPr="000D4AA9">
        <w:rPr>
          <w:rFonts w:ascii="Abadi" w:hAnsi="Abadi" w:cs="ArialMT"/>
          <w:sz w:val="21"/>
          <w:szCs w:val="21"/>
        </w:rPr>
        <w:t>espectáculos públicos masivos; al titular del Poder Ejecutivo a través de la</w:t>
      </w:r>
      <w:r>
        <w:rPr>
          <w:rFonts w:ascii="Abadi" w:hAnsi="Abadi" w:cs="ArialMT"/>
          <w:sz w:val="21"/>
          <w:szCs w:val="21"/>
        </w:rPr>
        <w:t xml:space="preserve"> </w:t>
      </w:r>
      <w:r w:rsidRPr="000D4AA9">
        <w:rPr>
          <w:rFonts w:ascii="Abadi" w:hAnsi="Abadi" w:cs="ArialMT"/>
          <w:sz w:val="21"/>
          <w:szCs w:val="21"/>
        </w:rPr>
        <w:t>Secretaría de Seguridad Pública para que revise los permisos y</w:t>
      </w:r>
      <w:r>
        <w:rPr>
          <w:rFonts w:ascii="Abadi" w:hAnsi="Abadi" w:cs="ArialMT"/>
          <w:sz w:val="21"/>
          <w:szCs w:val="21"/>
        </w:rPr>
        <w:t xml:space="preserve"> </w:t>
      </w:r>
      <w:r w:rsidRPr="000D4AA9">
        <w:rPr>
          <w:rFonts w:ascii="Abadi" w:hAnsi="Abadi" w:cs="ArialMT"/>
          <w:sz w:val="21"/>
          <w:szCs w:val="21"/>
        </w:rPr>
        <w:t>certificaciones de las empresas y personal que prestan sus servicios como</w:t>
      </w:r>
      <w:r>
        <w:rPr>
          <w:rFonts w:ascii="Abadi" w:hAnsi="Abadi" w:cs="ArialMT"/>
          <w:sz w:val="21"/>
          <w:szCs w:val="21"/>
        </w:rPr>
        <w:t xml:space="preserve"> </w:t>
      </w:r>
      <w:r w:rsidRPr="000D4AA9">
        <w:rPr>
          <w:rFonts w:ascii="Abadi" w:hAnsi="Abadi" w:cs="ArialMT"/>
          <w:sz w:val="21"/>
          <w:szCs w:val="21"/>
        </w:rPr>
        <w:t>seguridad privada en el Estado de Guanajuato; y al titular del Poder</w:t>
      </w:r>
      <w:r>
        <w:rPr>
          <w:rFonts w:ascii="Abadi" w:hAnsi="Abadi" w:cs="ArialMT"/>
          <w:sz w:val="21"/>
          <w:szCs w:val="21"/>
        </w:rPr>
        <w:t xml:space="preserve"> </w:t>
      </w:r>
      <w:r w:rsidRPr="000D4AA9">
        <w:rPr>
          <w:rFonts w:ascii="Abadi" w:hAnsi="Abadi" w:cs="ArialMT"/>
          <w:sz w:val="21"/>
          <w:szCs w:val="21"/>
        </w:rPr>
        <w:t>Ejecutivo a través de la Comisión de Deporte del Estado de Guanajuato,</w:t>
      </w:r>
      <w:r>
        <w:rPr>
          <w:rFonts w:ascii="Abadi" w:hAnsi="Abadi" w:cs="ArialMT"/>
          <w:sz w:val="21"/>
          <w:szCs w:val="21"/>
        </w:rPr>
        <w:t xml:space="preserve"> </w:t>
      </w:r>
      <w:r w:rsidRPr="000D4AA9">
        <w:rPr>
          <w:rFonts w:ascii="Abadi" w:hAnsi="Abadi" w:cs="ArialMT"/>
          <w:sz w:val="21"/>
          <w:szCs w:val="21"/>
        </w:rPr>
        <w:t>para que informe detalladamente las medidas encaminadas a prevenir la</w:t>
      </w:r>
      <w:r>
        <w:rPr>
          <w:rFonts w:ascii="Abadi" w:hAnsi="Abadi" w:cs="ArialMT"/>
          <w:sz w:val="21"/>
          <w:szCs w:val="21"/>
        </w:rPr>
        <w:t xml:space="preserve"> </w:t>
      </w:r>
      <w:r w:rsidRPr="000D4AA9">
        <w:rPr>
          <w:rFonts w:ascii="Abadi" w:hAnsi="Abadi" w:cs="ArialMT"/>
          <w:sz w:val="21"/>
          <w:szCs w:val="21"/>
        </w:rPr>
        <w:t>violencia en eventos deportivos, así como las acciones para garantizar el</w:t>
      </w:r>
      <w:r>
        <w:rPr>
          <w:rFonts w:ascii="Abadi" w:hAnsi="Abadi" w:cs="ArialMT"/>
          <w:sz w:val="21"/>
          <w:szCs w:val="21"/>
        </w:rPr>
        <w:t xml:space="preserve"> </w:t>
      </w:r>
      <w:r w:rsidRPr="000D4AA9">
        <w:rPr>
          <w:rFonts w:ascii="Abadi" w:hAnsi="Abadi" w:cs="ArialMT"/>
          <w:sz w:val="21"/>
          <w:szCs w:val="21"/>
        </w:rPr>
        <w:t>desarrollo pacífico en los recintos donde se celebran eventos públicos</w:t>
      </w:r>
      <w:r>
        <w:rPr>
          <w:rFonts w:ascii="Abadi" w:hAnsi="Abadi" w:cs="ArialMT"/>
          <w:sz w:val="21"/>
          <w:szCs w:val="21"/>
        </w:rPr>
        <w:t xml:space="preserve"> </w:t>
      </w:r>
      <w:r w:rsidRPr="000D4AA9">
        <w:rPr>
          <w:rFonts w:ascii="Abadi" w:hAnsi="Abadi" w:cs="ArialMT"/>
          <w:sz w:val="21"/>
          <w:szCs w:val="21"/>
        </w:rPr>
        <w:t>masivos.</w:t>
      </w:r>
      <w:r>
        <w:rPr>
          <w:rFonts w:ascii="Abadi" w:hAnsi="Abadi" w:cs="ArialMT"/>
          <w:sz w:val="21"/>
          <w:szCs w:val="21"/>
        </w:rPr>
        <w:t xml:space="preserve"> </w:t>
      </w:r>
      <w:r>
        <w:rPr>
          <w:rFonts w:ascii="Abadi" w:hAnsi="Abadi" w:cs="Arial-BoldMT"/>
          <w:b/>
          <w:bCs/>
          <w:sz w:val="21"/>
          <w:szCs w:val="21"/>
        </w:rPr>
        <w:t>XVII</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emitido por la Comisión</w:t>
      </w:r>
      <w:r>
        <w:rPr>
          <w:rFonts w:ascii="Abadi" w:hAnsi="Abadi" w:cs="ArialMT"/>
          <w:sz w:val="21"/>
          <w:szCs w:val="21"/>
        </w:rPr>
        <w:t xml:space="preserve"> </w:t>
      </w:r>
      <w:r w:rsidRPr="000D4AA9">
        <w:rPr>
          <w:rFonts w:ascii="Abadi" w:hAnsi="Abadi" w:cs="ArialMT"/>
          <w:sz w:val="21"/>
          <w:szCs w:val="21"/>
        </w:rPr>
        <w:t>de Justicia relativo a cinco iniciativas: la primera, a efecto de reformar el</w:t>
      </w:r>
      <w:r>
        <w:rPr>
          <w:rFonts w:ascii="Abadi" w:hAnsi="Abadi" w:cs="ArialMT"/>
          <w:sz w:val="21"/>
          <w:szCs w:val="21"/>
        </w:rPr>
        <w:t xml:space="preserve"> </w:t>
      </w:r>
      <w:r w:rsidRPr="000D4AA9">
        <w:rPr>
          <w:rFonts w:ascii="Abadi" w:hAnsi="Abadi" w:cs="ArialMT"/>
          <w:sz w:val="21"/>
          <w:szCs w:val="21"/>
        </w:rPr>
        <w:t>artículo 153-a, fracción VI; y adicionar un tercer párrafo al artículo 18, la</w:t>
      </w:r>
      <w:r>
        <w:rPr>
          <w:rFonts w:ascii="Abadi" w:hAnsi="Abadi" w:cs="ArialMT"/>
          <w:sz w:val="21"/>
          <w:szCs w:val="21"/>
        </w:rPr>
        <w:t xml:space="preserve"> </w:t>
      </w:r>
      <w:r w:rsidRPr="000D4AA9">
        <w:rPr>
          <w:rFonts w:ascii="Abadi" w:hAnsi="Abadi" w:cs="ArialMT"/>
          <w:sz w:val="21"/>
          <w:szCs w:val="21"/>
        </w:rPr>
        <w:t>fracción VIII bis al artículo 38, las fracciones VIII y IX al artículo 153, las</w:t>
      </w:r>
      <w:r>
        <w:rPr>
          <w:rFonts w:ascii="Abadi" w:hAnsi="Abadi" w:cs="ArialMT"/>
          <w:sz w:val="21"/>
          <w:szCs w:val="21"/>
        </w:rPr>
        <w:t xml:space="preserve"> </w:t>
      </w:r>
      <w:r w:rsidRPr="000D4AA9">
        <w:rPr>
          <w:rFonts w:ascii="Abadi" w:hAnsi="Abadi" w:cs="ArialMT"/>
          <w:sz w:val="21"/>
          <w:szCs w:val="21"/>
        </w:rPr>
        <w:t>fracciones VIII, IX, X y XI al artículo 153-a y el artículo 153-a-2 al Código</w:t>
      </w:r>
      <w:r>
        <w:rPr>
          <w:rFonts w:ascii="Abadi" w:hAnsi="Abadi" w:cs="ArialMT"/>
          <w:sz w:val="21"/>
          <w:szCs w:val="21"/>
        </w:rPr>
        <w:t xml:space="preserve"> </w:t>
      </w:r>
      <w:r w:rsidRPr="000D4AA9">
        <w:rPr>
          <w:rFonts w:ascii="Abadi" w:hAnsi="Abadi" w:cs="ArialMT"/>
          <w:sz w:val="21"/>
          <w:szCs w:val="21"/>
        </w:rPr>
        <w:t>Penal del Estado de Guanajuato, presentada por el Ayuntamiento de León,</w:t>
      </w:r>
      <w:r>
        <w:rPr>
          <w:rFonts w:ascii="Abadi" w:hAnsi="Abadi" w:cs="ArialMT"/>
          <w:sz w:val="21"/>
          <w:szCs w:val="21"/>
        </w:rPr>
        <w:t xml:space="preserve"> </w:t>
      </w:r>
      <w:r w:rsidRPr="000D4AA9">
        <w:rPr>
          <w:rFonts w:ascii="Abadi" w:hAnsi="Abadi" w:cs="ArialMT"/>
          <w:sz w:val="21"/>
          <w:szCs w:val="21"/>
        </w:rPr>
        <w:t>Guanajuato; la segunda, a efecto de reformar el artículo 153-a del Código</w:t>
      </w:r>
      <w:r>
        <w:rPr>
          <w:rFonts w:ascii="Abadi" w:hAnsi="Abadi" w:cs="ArialMT"/>
          <w:sz w:val="21"/>
          <w:szCs w:val="21"/>
        </w:rPr>
        <w:t xml:space="preserve"> </w:t>
      </w:r>
      <w:r w:rsidRPr="000D4AA9">
        <w:rPr>
          <w:rFonts w:ascii="Abadi" w:hAnsi="Abadi" w:cs="ArialMT"/>
          <w:sz w:val="21"/>
          <w:szCs w:val="21"/>
        </w:rPr>
        <w:t>Penal del Estado de Guanajuato, presentada por diputada y diputado</w:t>
      </w:r>
      <w:r>
        <w:rPr>
          <w:rFonts w:ascii="Abadi" w:hAnsi="Abadi" w:cs="ArialMT"/>
          <w:sz w:val="21"/>
          <w:szCs w:val="21"/>
        </w:rPr>
        <w:t xml:space="preserve"> </w:t>
      </w:r>
      <w:r w:rsidRPr="000D4AA9">
        <w:rPr>
          <w:rFonts w:ascii="Abadi" w:hAnsi="Abadi" w:cs="ArialMT"/>
          <w:sz w:val="21"/>
          <w:szCs w:val="21"/>
        </w:rPr>
        <w:t>integrantes del Grupo Parlamentario del Partido Verde Ecologista de</w:t>
      </w:r>
      <w:r>
        <w:rPr>
          <w:rFonts w:ascii="Abadi" w:hAnsi="Abadi" w:cs="ArialMT"/>
          <w:sz w:val="21"/>
          <w:szCs w:val="21"/>
        </w:rPr>
        <w:t xml:space="preserve"> </w:t>
      </w:r>
      <w:r w:rsidRPr="000D4AA9">
        <w:rPr>
          <w:rFonts w:ascii="Abadi" w:hAnsi="Abadi" w:cs="ArialMT"/>
          <w:sz w:val="21"/>
          <w:szCs w:val="21"/>
        </w:rPr>
        <w:t>México de la Sexagésima Cuarta Legislatura; la tercera, por la que se</w:t>
      </w:r>
      <w:r>
        <w:rPr>
          <w:rFonts w:ascii="Abadi" w:hAnsi="Abadi" w:cs="ArialMT"/>
          <w:sz w:val="21"/>
          <w:szCs w:val="21"/>
        </w:rPr>
        <w:t xml:space="preserve"> </w:t>
      </w:r>
      <w:r w:rsidRPr="000D4AA9">
        <w:rPr>
          <w:rFonts w:ascii="Abadi" w:hAnsi="Abadi" w:cs="ArialMT"/>
          <w:sz w:val="21"/>
          <w:szCs w:val="21"/>
        </w:rPr>
        <w:t>adiciona un cuarto párrafo al artículo 153-a del Código Penal del Estado de</w:t>
      </w:r>
      <w:r>
        <w:rPr>
          <w:rFonts w:ascii="Abadi" w:hAnsi="Abadi" w:cs="ArialMT"/>
          <w:sz w:val="21"/>
          <w:szCs w:val="21"/>
        </w:rPr>
        <w:t xml:space="preserve"> </w:t>
      </w:r>
      <w:r w:rsidRPr="000D4AA9">
        <w:rPr>
          <w:rFonts w:ascii="Abadi" w:hAnsi="Abadi" w:cs="ArialMT"/>
          <w:sz w:val="21"/>
          <w:szCs w:val="21"/>
        </w:rPr>
        <w:t>Guanajuato, presentada por diputadas y diputados integrantes del Grupo</w:t>
      </w:r>
      <w:r>
        <w:rPr>
          <w:rFonts w:ascii="Abadi" w:hAnsi="Abadi" w:cs="ArialMT"/>
          <w:sz w:val="21"/>
          <w:szCs w:val="21"/>
        </w:rPr>
        <w:t xml:space="preserve"> </w:t>
      </w:r>
      <w:r w:rsidRPr="000D4AA9">
        <w:rPr>
          <w:rFonts w:ascii="Abadi" w:hAnsi="Abadi" w:cs="ArialMT"/>
          <w:sz w:val="21"/>
          <w:szCs w:val="21"/>
        </w:rPr>
        <w:t>Parlamentario del Partido Acción Nacional; la cuarta, a efecto de reformar</w:t>
      </w:r>
      <w:r>
        <w:rPr>
          <w:rFonts w:ascii="Abadi" w:hAnsi="Abadi" w:cs="ArialMT"/>
          <w:sz w:val="21"/>
          <w:szCs w:val="21"/>
        </w:rPr>
        <w:t xml:space="preserve">  </w:t>
      </w:r>
      <w:r w:rsidRPr="000D4AA9">
        <w:rPr>
          <w:rFonts w:ascii="Abadi" w:hAnsi="Abadi" w:cs="ArialMT"/>
          <w:sz w:val="21"/>
          <w:szCs w:val="21"/>
        </w:rPr>
        <w:t>la fracción V del artículo 53-a del Código Penal del Estado de</w:t>
      </w:r>
      <w:r>
        <w:rPr>
          <w:rFonts w:ascii="Abadi" w:hAnsi="Abadi" w:cs="ArialMT"/>
          <w:sz w:val="21"/>
          <w:szCs w:val="21"/>
        </w:rPr>
        <w:t xml:space="preserve"> </w:t>
      </w:r>
      <w:r w:rsidRPr="000D4AA9">
        <w:rPr>
          <w:rFonts w:ascii="Abadi" w:hAnsi="Abadi" w:cs="ArialMT"/>
          <w:sz w:val="21"/>
          <w:szCs w:val="21"/>
        </w:rPr>
        <w:t>Guanajuato, presentada por diputadas y diputados integrantes del Grupo</w:t>
      </w:r>
      <w:r>
        <w:rPr>
          <w:rFonts w:ascii="Abadi" w:hAnsi="Abadi" w:cs="ArialMT"/>
          <w:sz w:val="21"/>
          <w:szCs w:val="21"/>
        </w:rPr>
        <w:t xml:space="preserve"> </w:t>
      </w:r>
      <w:r w:rsidRPr="000D4AA9">
        <w:rPr>
          <w:rFonts w:ascii="Abadi" w:hAnsi="Abadi" w:cs="ArialMT"/>
          <w:sz w:val="21"/>
          <w:szCs w:val="21"/>
        </w:rPr>
        <w:t>Parlamentario del Partido Acción Nacional; y la quinta, a efecto de</w:t>
      </w:r>
      <w:r>
        <w:rPr>
          <w:rFonts w:ascii="Abadi" w:hAnsi="Abadi" w:cs="ArialMT"/>
          <w:sz w:val="21"/>
          <w:szCs w:val="21"/>
        </w:rPr>
        <w:t xml:space="preserve"> </w:t>
      </w:r>
      <w:r w:rsidRPr="000D4AA9">
        <w:rPr>
          <w:rFonts w:ascii="Abadi" w:hAnsi="Abadi" w:cs="ArialMT"/>
          <w:sz w:val="21"/>
          <w:szCs w:val="21"/>
        </w:rPr>
        <w:t>reformar las fracciones I, II, V y VI, y adicionar las fracciones VIII, IX y X y</w:t>
      </w:r>
      <w:r>
        <w:rPr>
          <w:rFonts w:ascii="Abadi" w:hAnsi="Abadi" w:cs="ArialMT"/>
          <w:sz w:val="21"/>
          <w:szCs w:val="21"/>
        </w:rPr>
        <w:t xml:space="preserve"> </w:t>
      </w:r>
      <w:r w:rsidRPr="000D4AA9">
        <w:rPr>
          <w:rFonts w:ascii="Abadi" w:hAnsi="Abadi" w:cs="ArialMT"/>
          <w:sz w:val="21"/>
          <w:szCs w:val="21"/>
        </w:rPr>
        <w:t>un tercer párrafo al artículo 153-a y, un segundo párrafo al artículo 153-a-1</w:t>
      </w:r>
      <w:r>
        <w:rPr>
          <w:rFonts w:ascii="Abadi" w:hAnsi="Abadi" w:cs="ArialMT"/>
          <w:sz w:val="21"/>
          <w:szCs w:val="21"/>
        </w:rPr>
        <w:t xml:space="preserve"> </w:t>
      </w:r>
      <w:r w:rsidRPr="000D4AA9">
        <w:rPr>
          <w:rFonts w:ascii="Abadi" w:hAnsi="Abadi" w:cs="ArialMT"/>
          <w:sz w:val="21"/>
          <w:szCs w:val="21"/>
        </w:rPr>
        <w:t>del Código Penal del Estado de Guanajuato, presentada por la diputada</w:t>
      </w:r>
      <w:r>
        <w:rPr>
          <w:rFonts w:ascii="Abadi" w:hAnsi="Abadi" w:cs="ArialMT"/>
          <w:sz w:val="21"/>
          <w:szCs w:val="21"/>
        </w:rPr>
        <w:t xml:space="preserve"> </w:t>
      </w:r>
      <w:r w:rsidRPr="000D4AA9">
        <w:rPr>
          <w:rFonts w:ascii="Abadi" w:hAnsi="Abadi" w:cs="ArialMT"/>
          <w:sz w:val="21"/>
          <w:szCs w:val="21"/>
        </w:rPr>
        <w:t>Alma Edwviges Alcaraz Hernández integrante del Grupo Parlamentario del</w:t>
      </w:r>
      <w:r>
        <w:rPr>
          <w:rFonts w:ascii="Abadi" w:hAnsi="Abadi" w:cs="ArialMT"/>
          <w:sz w:val="21"/>
          <w:szCs w:val="21"/>
        </w:rPr>
        <w:t xml:space="preserve"> </w:t>
      </w:r>
      <w:r w:rsidRPr="000D4AA9">
        <w:rPr>
          <w:rFonts w:ascii="Abadi" w:hAnsi="Abadi" w:cs="ArialMT"/>
          <w:sz w:val="21"/>
          <w:szCs w:val="21"/>
        </w:rPr>
        <w:t>Partido MORENA.</w:t>
      </w:r>
      <w:r>
        <w:rPr>
          <w:rFonts w:ascii="Abadi" w:hAnsi="Abadi" w:cs="ArialMT"/>
          <w:sz w:val="21"/>
          <w:szCs w:val="21"/>
        </w:rPr>
        <w:t xml:space="preserve"> </w:t>
      </w:r>
      <w:r>
        <w:rPr>
          <w:rFonts w:ascii="Abadi" w:hAnsi="Abadi" w:cs="Arial-BoldMT"/>
          <w:b/>
          <w:bCs/>
          <w:sz w:val="21"/>
          <w:szCs w:val="21"/>
        </w:rPr>
        <w:t>XVIII</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signado por la Comisión</w:t>
      </w:r>
      <w:r>
        <w:rPr>
          <w:rFonts w:ascii="Abadi" w:hAnsi="Abadi" w:cs="ArialMT"/>
          <w:sz w:val="21"/>
          <w:szCs w:val="21"/>
        </w:rPr>
        <w:t xml:space="preserve"> </w:t>
      </w:r>
      <w:r w:rsidRPr="000D4AA9">
        <w:rPr>
          <w:rFonts w:ascii="Abadi" w:hAnsi="Abadi" w:cs="ArialMT"/>
          <w:sz w:val="21"/>
          <w:szCs w:val="21"/>
        </w:rPr>
        <w:t>de Educación, Ciencia y Tecnología y Cultura relativo a la iniciativa</w:t>
      </w:r>
      <w:r>
        <w:rPr>
          <w:rFonts w:ascii="Abadi" w:hAnsi="Abadi" w:cs="ArialMT"/>
          <w:sz w:val="21"/>
          <w:szCs w:val="21"/>
        </w:rPr>
        <w:t xml:space="preserve"> </w:t>
      </w:r>
      <w:r w:rsidRPr="000D4AA9">
        <w:rPr>
          <w:rFonts w:ascii="Abadi" w:hAnsi="Abadi" w:cs="ArialMT"/>
          <w:sz w:val="21"/>
          <w:szCs w:val="21"/>
        </w:rPr>
        <w:t>formulada por la diputada y el diputado integrantes del Grupo</w:t>
      </w:r>
      <w:r>
        <w:rPr>
          <w:rFonts w:ascii="Abadi" w:hAnsi="Abadi" w:cs="ArialMT"/>
          <w:sz w:val="21"/>
          <w:szCs w:val="21"/>
        </w:rPr>
        <w:t xml:space="preserve"> </w:t>
      </w:r>
      <w:r w:rsidRPr="000D4AA9">
        <w:rPr>
          <w:rFonts w:ascii="Abadi" w:hAnsi="Abadi" w:cs="ArialMT"/>
          <w:sz w:val="21"/>
          <w:szCs w:val="21"/>
        </w:rPr>
        <w:t>Parlamentario del Partido Verde Ecologista de México, en la Sexagésima</w:t>
      </w:r>
      <w:r>
        <w:rPr>
          <w:rFonts w:ascii="Abadi" w:hAnsi="Abadi" w:cs="ArialMT"/>
          <w:sz w:val="21"/>
          <w:szCs w:val="21"/>
        </w:rPr>
        <w:t xml:space="preserve"> </w:t>
      </w:r>
      <w:r w:rsidRPr="000D4AA9">
        <w:rPr>
          <w:rFonts w:ascii="Abadi" w:hAnsi="Abadi" w:cs="ArialMT"/>
          <w:sz w:val="21"/>
          <w:szCs w:val="21"/>
        </w:rPr>
        <w:t>Cuarta Legislatura, por la cual se reforman y adicionan diversos artículos</w:t>
      </w:r>
      <w:r>
        <w:rPr>
          <w:rFonts w:ascii="Abadi" w:hAnsi="Abadi" w:cs="ArialMT"/>
          <w:sz w:val="21"/>
          <w:szCs w:val="21"/>
        </w:rPr>
        <w:t xml:space="preserve"> </w:t>
      </w:r>
      <w:r w:rsidRPr="000D4AA9">
        <w:rPr>
          <w:rFonts w:ascii="Abadi" w:hAnsi="Abadi" w:cs="ArialMT"/>
          <w:sz w:val="21"/>
          <w:szCs w:val="21"/>
        </w:rPr>
        <w:t>de la Ley de Educación para el Estado de Guanajuato.</w:t>
      </w:r>
      <w:r>
        <w:rPr>
          <w:rFonts w:ascii="Abadi" w:hAnsi="Abadi" w:cs="ArialMT"/>
          <w:sz w:val="21"/>
          <w:szCs w:val="21"/>
        </w:rPr>
        <w:t xml:space="preserve"> </w:t>
      </w:r>
      <w:r>
        <w:rPr>
          <w:rFonts w:ascii="Abadi" w:hAnsi="Abadi" w:cs="Arial-BoldMT"/>
          <w:b/>
          <w:bCs/>
          <w:sz w:val="21"/>
          <w:szCs w:val="21"/>
        </w:rPr>
        <w:t>XIX</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emitido por la Comisión</w:t>
      </w:r>
      <w:r>
        <w:rPr>
          <w:rFonts w:ascii="Abadi" w:hAnsi="Abadi" w:cs="ArialMT"/>
          <w:sz w:val="21"/>
          <w:szCs w:val="21"/>
        </w:rPr>
        <w:t xml:space="preserve"> </w:t>
      </w:r>
      <w:r w:rsidRPr="000D4AA9">
        <w:rPr>
          <w:rFonts w:ascii="Abadi" w:hAnsi="Abadi" w:cs="ArialMT"/>
          <w:sz w:val="21"/>
          <w:szCs w:val="21"/>
        </w:rPr>
        <w:t>de Educación, Ciencia y Tecnología y Cultura relativo a la propuesta de</w:t>
      </w:r>
      <w:r>
        <w:rPr>
          <w:rFonts w:ascii="Abadi" w:hAnsi="Abadi" w:cs="ArialMT"/>
          <w:sz w:val="21"/>
          <w:szCs w:val="21"/>
        </w:rPr>
        <w:t xml:space="preserve"> </w:t>
      </w:r>
      <w:r w:rsidRPr="000D4AA9">
        <w:rPr>
          <w:rFonts w:ascii="Abadi" w:hAnsi="Abadi" w:cs="ArialMT"/>
          <w:sz w:val="21"/>
          <w:szCs w:val="21"/>
        </w:rPr>
        <w:t>punto de acuerdo suscrita por diputadas y diputados integrantes del Grupo</w:t>
      </w:r>
      <w:r>
        <w:rPr>
          <w:rFonts w:ascii="Abadi" w:hAnsi="Abadi" w:cs="ArialMT"/>
          <w:sz w:val="21"/>
          <w:szCs w:val="21"/>
        </w:rPr>
        <w:t xml:space="preserve"> </w:t>
      </w:r>
      <w:r w:rsidRPr="000D4AA9">
        <w:rPr>
          <w:rFonts w:ascii="Abadi" w:hAnsi="Abadi" w:cs="ArialMT"/>
          <w:sz w:val="21"/>
          <w:szCs w:val="21"/>
        </w:rPr>
        <w:t>Parlamentario del Partido MORENA a efecto de exhortar a Jorge Enrique</w:t>
      </w:r>
      <w:r>
        <w:rPr>
          <w:rFonts w:ascii="Abadi" w:hAnsi="Abadi" w:cs="ArialMT"/>
          <w:sz w:val="21"/>
          <w:szCs w:val="21"/>
        </w:rPr>
        <w:t xml:space="preserve"> </w:t>
      </w:r>
      <w:r w:rsidRPr="000D4AA9">
        <w:rPr>
          <w:rFonts w:ascii="Abadi" w:hAnsi="Abadi" w:cs="ArialMT"/>
          <w:sz w:val="21"/>
          <w:szCs w:val="21"/>
        </w:rPr>
        <w:t>Hernández Meza, titular de la Secretaría de Educación de Guanajuato,</w:t>
      </w:r>
      <w:r>
        <w:rPr>
          <w:rFonts w:ascii="Abadi" w:hAnsi="Abadi" w:cs="ArialMT"/>
          <w:sz w:val="21"/>
          <w:szCs w:val="21"/>
        </w:rPr>
        <w:t xml:space="preserve"> </w:t>
      </w:r>
      <w:r w:rsidRPr="000D4AA9">
        <w:rPr>
          <w:rFonts w:ascii="Abadi" w:hAnsi="Abadi" w:cs="ArialMT"/>
          <w:sz w:val="21"/>
          <w:szCs w:val="21"/>
        </w:rPr>
        <w:t>para que lleve a cabo las acciones necesarias a fin de implementar en</w:t>
      </w:r>
      <w:r>
        <w:rPr>
          <w:rFonts w:ascii="Abadi" w:hAnsi="Abadi" w:cs="ArialMT"/>
          <w:sz w:val="21"/>
          <w:szCs w:val="21"/>
        </w:rPr>
        <w:t xml:space="preserve"> </w:t>
      </w:r>
      <w:r w:rsidRPr="000D4AA9">
        <w:rPr>
          <w:rFonts w:ascii="Abadi" w:hAnsi="Abadi" w:cs="ArialMT"/>
          <w:sz w:val="21"/>
          <w:szCs w:val="21"/>
        </w:rPr>
        <w:t>todas las instituciones educativas la utilización de uniformes escolares</w:t>
      </w:r>
      <w:r>
        <w:rPr>
          <w:rFonts w:ascii="Abadi" w:hAnsi="Abadi" w:cs="ArialMT"/>
          <w:sz w:val="21"/>
          <w:szCs w:val="21"/>
        </w:rPr>
        <w:t xml:space="preserve"> </w:t>
      </w:r>
      <w:r w:rsidRPr="000D4AA9">
        <w:rPr>
          <w:rFonts w:ascii="Abadi" w:hAnsi="Abadi" w:cs="ArialMT"/>
          <w:sz w:val="21"/>
          <w:szCs w:val="21"/>
        </w:rPr>
        <w:t>neutros, para que las niñas y adolescentes mujeres tengan la oportunidad</w:t>
      </w:r>
      <w:r>
        <w:rPr>
          <w:rFonts w:ascii="Abadi" w:hAnsi="Abadi" w:cs="ArialMT"/>
          <w:sz w:val="21"/>
          <w:szCs w:val="21"/>
        </w:rPr>
        <w:t xml:space="preserve"> </w:t>
      </w:r>
      <w:r w:rsidRPr="000D4AA9">
        <w:rPr>
          <w:rFonts w:ascii="Abadi" w:hAnsi="Abadi" w:cs="ArialMT"/>
          <w:sz w:val="21"/>
          <w:szCs w:val="21"/>
        </w:rPr>
        <w:t>de elegir entre el uso de pantalón o falda.</w:t>
      </w:r>
      <w:r>
        <w:rPr>
          <w:rFonts w:ascii="Abadi" w:hAnsi="Abadi" w:cs="ArialMT"/>
          <w:sz w:val="21"/>
          <w:szCs w:val="21"/>
        </w:rPr>
        <w:t xml:space="preserve"> </w:t>
      </w:r>
      <w:r>
        <w:rPr>
          <w:rFonts w:ascii="Abadi" w:hAnsi="Abadi" w:cs="Arial-BoldMT"/>
          <w:b/>
          <w:bCs/>
          <w:sz w:val="21"/>
          <w:szCs w:val="21"/>
        </w:rPr>
        <w:t>XX</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suscrito por la Comisión</w:t>
      </w:r>
      <w:r>
        <w:rPr>
          <w:rFonts w:ascii="Abadi" w:hAnsi="Abadi" w:cs="ArialMT"/>
          <w:sz w:val="21"/>
          <w:szCs w:val="21"/>
        </w:rPr>
        <w:t xml:space="preserve"> </w:t>
      </w:r>
      <w:r w:rsidRPr="000D4AA9">
        <w:rPr>
          <w:rFonts w:ascii="Abadi" w:hAnsi="Abadi" w:cs="ArialMT"/>
          <w:sz w:val="21"/>
          <w:szCs w:val="21"/>
        </w:rPr>
        <w:t>de Desarrollo Económico y Social relativo a la iniciativa de Ley para la</w:t>
      </w:r>
      <w:r>
        <w:rPr>
          <w:rFonts w:ascii="Abadi" w:hAnsi="Abadi" w:cs="ArialMT"/>
          <w:sz w:val="21"/>
          <w:szCs w:val="21"/>
        </w:rPr>
        <w:t xml:space="preserve"> </w:t>
      </w:r>
      <w:r w:rsidRPr="000D4AA9">
        <w:rPr>
          <w:rFonts w:ascii="Abadi" w:hAnsi="Abadi" w:cs="ArialMT"/>
          <w:sz w:val="21"/>
          <w:szCs w:val="21"/>
        </w:rPr>
        <w:t>Protección, Apoyo y Fomento a la Donación de Alimentos en el Estado de</w:t>
      </w:r>
      <w:r>
        <w:rPr>
          <w:rFonts w:ascii="Abadi" w:hAnsi="Abadi" w:cs="ArialMT"/>
          <w:sz w:val="21"/>
          <w:szCs w:val="21"/>
        </w:rPr>
        <w:t xml:space="preserve"> </w:t>
      </w:r>
      <w:r w:rsidRPr="000D4AA9">
        <w:rPr>
          <w:rFonts w:ascii="Abadi" w:hAnsi="Abadi" w:cs="ArialMT"/>
          <w:sz w:val="21"/>
          <w:szCs w:val="21"/>
        </w:rPr>
        <w:t>Guanajuato, formulada por diputadas y diputados integrantes del Grupo</w:t>
      </w:r>
      <w:r>
        <w:rPr>
          <w:rFonts w:ascii="Abadi" w:hAnsi="Abadi" w:cs="ArialMT"/>
          <w:sz w:val="21"/>
          <w:szCs w:val="21"/>
        </w:rPr>
        <w:t xml:space="preserve"> </w:t>
      </w:r>
      <w:r w:rsidRPr="000D4AA9">
        <w:rPr>
          <w:rFonts w:ascii="Abadi" w:hAnsi="Abadi" w:cs="ArialMT"/>
          <w:sz w:val="21"/>
          <w:szCs w:val="21"/>
        </w:rPr>
        <w:t>Parlamentario del Partido Acción Nacional en la Sexagésima Cuarta</w:t>
      </w:r>
      <w:r>
        <w:rPr>
          <w:rFonts w:ascii="Abadi" w:hAnsi="Abadi" w:cs="ArialMT"/>
          <w:sz w:val="21"/>
          <w:szCs w:val="21"/>
        </w:rPr>
        <w:t xml:space="preserve"> </w:t>
      </w:r>
      <w:r w:rsidRPr="000D4AA9">
        <w:rPr>
          <w:rFonts w:ascii="Abadi" w:hAnsi="Abadi" w:cs="ArialMT"/>
          <w:sz w:val="21"/>
          <w:szCs w:val="21"/>
        </w:rPr>
        <w:t>Legislatura.</w:t>
      </w:r>
      <w:r>
        <w:rPr>
          <w:rFonts w:ascii="Abadi" w:hAnsi="Abadi" w:cs="ArialMT"/>
          <w:sz w:val="21"/>
          <w:szCs w:val="21"/>
        </w:rPr>
        <w:t xml:space="preserve"> </w:t>
      </w:r>
      <w:r>
        <w:rPr>
          <w:rFonts w:ascii="Abadi" w:hAnsi="Abadi" w:cs="Arial-BoldMT"/>
          <w:b/>
          <w:bCs/>
          <w:sz w:val="21"/>
          <w:szCs w:val="21"/>
        </w:rPr>
        <w:t>XXI</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emitido por la Comisión</w:t>
      </w:r>
      <w:r>
        <w:rPr>
          <w:rFonts w:ascii="Abadi" w:hAnsi="Abadi" w:cs="ArialMT"/>
          <w:sz w:val="21"/>
          <w:szCs w:val="21"/>
        </w:rPr>
        <w:t xml:space="preserve"> </w:t>
      </w:r>
      <w:r w:rsidRPr="000D4AA9">
        <w:rPr>
          <w:rFonts w:ascii="Abadi" w:hAnsi="Abadi" w:cs="ArialMT"/>
          <w:sz w:val="21"/>
          <w:szCs w:val="21"/>
        </w:rPr>
        <w:t>de Desarrollo Económico y Social relativo a la iniciativa de Ley de Fomento</w:t>
      </w:r>
      <w:r>
        <w:rPr>
          <w:rFonts w:ascii="Abadi" w:hAnsi="Abadi" w:cs="ArialMT"/>
          <w:sz w:val="21"/>
          <w:szCs w:val="21"/>
        </w:rPr>
        <w:t xml:space="preserve"> </w:t>
      </w:r>
      <w:r w:rsidRPr="000D4AA9">
        <w:rPr>
          <w:rFonts w:ascii="Abadi" w:hAnsi="Abadi" w:cs="ArialMT"/>
          <w:sz w:val="21"/>
          <w:szCs w:val="21"/>
        </w:rPr>
        <w:t>e Impulso a la Actividad Artesanal para el Estado de Guanajuato,</w:t>
      </w:r>
      <w:r>
        <w:rPr>
          <w:rFonts w:ascii="Abadi" w:hAnsi="Abadi" w:cs="ArialMT"/>
          <w:sz w:val="21"/>
          <w:szCs w:val="21"/>
        </w:rPr>
        <w:t xml:space="preserve"> </w:t>
      </w:r>
      <w:r w:rsidRPr="000D4AA9">
        <w:rPr>
          <w:rFonts w:ascii="Abadi" w:hAnsi="Abadi" w:cs="ArialMT"/>
          <w:sz w:val="21"/>
          <w:szCs w:val="21"/>
        </w:rPr>
        <w:t>formulada por diputadas y diputados integrantes del Grupo Parlamentario</w:t>
      </w:r>
      <w:r>
        <w:rPr>
          <w:rFonts w:ascii="Abadi" w:hAnsi="Abadi" w:cs="ArialMT"/>
          <w:sz w:val="21"/>
          <w:szCs w:val="21"/>
        </w:rPr>
        <w:t xml:space="preserve"> </w:t>
      </w:r>
      <w:r w:rsidRPr="000D4AA9">
        <w:rPr>
          <w:rFonts w:ascii="Abadi" w:hAnsi="Abadi" w:cs="ArialMT"/>
          <w:sz w:val="21"/>
          <w:szCs w:val="21"/>
        </w:rPr>
        <w:t>del Partido Acción Nacional en la Sexagésima Cuarta Legislatura.</w:t>
      </w:r>
      <w:r>
        <w:rPr>
          <w:rFonts w:ascii="Abadi" w:hAnsi="Abadi" w:cs="ArialMT"/>
          <w:sz w:val="21"/>
          <w:szCs w:val="21"/>
        </w:rPr>
        <w:t xml:space="preserve"> </w:t>
      </w:r>
      <w:r w:rsidRPr="00FE1BBC">
        <w:rPr>
          <w:rFonts w:ascii="Abadi" w:hAnsi="Abadi" w:cs="ArialMT"/>
          <w:b/>
          <w:bCs/>
          <w:sz w:val="21"/>
          <w:szCs w:val="21"/>
        </w:rPr>
        <w:t>XXII</w:t>
      </w:r>
      <w:r w:rsidRPr="00FE1BBC">
        <w:rPr>
          <w:rFonts w:ascii="Abadi" w:hAnsi="Abadi" w:cs="Arial-BoldMT"/>
          <w:b/>
          <w:bCs/>
          <w:sz w:val="21"/>
          <w:szCs w:val="21"/>
        </w:rPr>
        <w:t xml:space="preserve">. </w:t>
      </w:r>
      <w:r w:rsidRPr="000D4AA9">
        <w:rPr>
          <w:rFonts w:ascii="Abadi" w:hAnsi="Abadi" w:cs="ArialMT"/>
          <w:sz w:val="21"/>
          <w:szCs w:val="21"/>
        </w:rPr>
        <w:t>Discusión y, en su caso, aprobación del dictamen signado por la Comisión</w:t>
      </w:r>
      <w:r>
        <w:rPr>
          <w:rFonts w:ascii="Abadi" w:hAnsi="Abadi" w:cs="ArialMT"/>
          <w:sz w:val="21"/>
          <w:szCs w:val="21"/>
        </w:rPr>
        <w:t xml:space="preserve"> </w:t>
      </w:r>
      <w:r w:rsidRPr="000D4AA9">
        <w:rPr>
          <w:rFonts w:ascii="Abadi" w:hAnsi="Abadi" w:cs="ArialMT"/>
          <w:sz w:val="21"/>
          <w:szCs w:val="21"/>
        </w:rPr>
        <w:t>de Desarrollo Económico y Social relativo a la propuesta de punto de</w:t>
      </w:r>
      <w:r>
        <w:rPr>
          <w:rFonts w:ascii="Abadi" w:hAnsi="Abadi" w:cs="ArialMT"/>
          <w:sz w:val="21"/>
          <w:szCs w:val="21"/>
        </w:rPr>
        <w:t xml:space="preserve"> </w:t>
      </w:r>
      <w:r w:rsidRPr="000D4AA9">
        <w:rPr>
          <w:rFonts w:ascii="Abadi" w:hAnsi="Abadi" w:cs="ArialMT"/>
          <w:sz w:val="21"/>
          <w:szCs w:val="21"/>
        </w:rPr>
        <w:t>acuerdo formulada por la diputada Martha Edith Moreno Valencia</w:t>
      </w:r>
      <w:r>
        <w:rPr>
          <w:rFonts w:ascii="Abadi" w:hAnsi="Abadi" w:cs="ArialMT"/>
          <w:sz w:val="21"/>
          <w:szCs w:val="21"/>
        </w:rPr>
        <w:t xml:space="preserve"> </w:t>
      </w:r>
      <w:r w:rsidRPr="000D4AA9">
        <w:rPr>
          <w:rFonts w:ascii="Abadi" w:hAnsi="Abadi" w:cs="ArialMT"/>
          <w:sz w:val="21"/>
          <w:szCs w:val="21"/>
        </w:rPr>
        <w:t>integrante del Grupo Parlamentario del Partido MORENA, con la finalidad</w:t>
      </w:r>
      <w:r>
        <w:rPr>
          <w:rFonts w:ascii="Abadi" w:hAnsi="Abadi" w:cs="ArialMT"/>
          <w:sz w:val="21"/>
          <w:szCs w:val="21"/>
        </w:rPr>
        <w:t xml:space="preserve"> </w:t>
      </w:r>
      <w:r w:rsidRPr="000D4AA9">
        <w:rPr>
          <w:rFonts w:ascii="Abadi" w:hAnsi="Abadi" w:cs="ArialMT"/>
          <w:sz w:val="21"/>
          <w:szCs w:val="21"/>
        </w:rPr>
        <w:t>de enviar un exhorto a la Cámara de Diputados del Honorable Congreso</w:t>
      </w:r>
      <w:r>
        <w:rPr>
          <w:rFonts w:ascii="Abadi" w:hAnsi="Abadi" w:cs="ArialMT"/>
          <w:sz w:val="21"/>
          <w:szCs w:val="21"/>
        </w:rPr>
        <w:t xml:space="preserve"> </w:t>
      </w:r>
      <w:r w:rsidRPr="000D4AA9">
        <w:rPr>
          <w:rFonts w:ascii="Abadi" w:hAnsi="Abadi" w:cs="ArialMT"/>
          <w:sz w:val="21"/>
          <w:szCs w:val="21"/>
        </w:rPr>
        <w:t>de la Unión, a efecto de aprobar la iniciativa de reformas a la Constitución</w:t>
      </w:r>
      <w:r>
        <w:rPr>
          <w:rFonts w:ascii="Abadi" w:hAnsi="Abadi" w:cs="ArialMT"/>
          <w:sz w:val="21"/>
          <w:szCs w:val="21"/>
        </w:rPr>
        <w:t xml:space="preserve"> </w:t>
      </w:r>
      <w:r w:rsidRPr="000D4AA9">
        <w:rPr>
          <w:rFonts w:ascii="Abadi" w:hAnsi="Abadi" w:cs="ArialMT"/>
          <w:sz w:val="21"/>
          <w:szCs w:val="21"/>
        </w:rPr>
        <w:t>Política de los Estados Unidos Mexicanos, en materia energética,</w:t>
      </w:r>
      <w:r>
        <w:rPr>
          <w:rFonts w:ascii="Abadi" w:hAnsi="Abadi" w:cs="ArialMT"/>
          <w:sz w:val="21"/>
          <w:szCs w:val="21"/>
        </w:rPr>
        <w:t xml:space="preserve"> </w:t>
      </w:r>
      <w:r w:rsidRPr="000D4AA9">
        <w:rPr>
          <w:rFonts w:ascii="Abadi" w:hAnsi="Abadi" w:cs="ArialMT"/>
          <w:sz w:val="21"/>
          <w:szCs w:val="21"/>
        </w:rPr>
        <w:t>presentada por el presidente de la república, Lic. Andrés Manuel López</w:t>
      </w:r>
      <w:r>
        <w:rPr>
          <w:rFonts w:ascii="Abadi" w:hAnsi="Abadi" w:cs="ArialMT"/>
          <w:sz w:val="21"/>
          <w:szCs w:val="21"/>
        </w:rPr>
        <w:t xml:space="preserve"> </w:t>
      </w:r>
      <w:r w:rsidRPr="000D4AA9">
        <w:rPr>
          <w:rFonts w:ascii="Abadi" w:hAnsi="Abadi" w:cs="ArialMT"/>
          <w:sz w:val="21"/>
          <w:szCs w:val="21"/>
        </w:rPr>
        <w:t>Obrador, por la que se reforman los artículos 25, 27 y 28 de la Constitución</w:t>
      </w:r>
      <w:r>
        <w:rPr>
          <w:rFonts w:ascii="Abadi" w:hAnsi="Abadi" w:cs="ArialMT"/>
          <w:sz w:val="21"/>
          <w:szCs w:val="21"/>
        </w:rPr>
        <w:t xml:space="preserve"> </w:t>
      </w:r>
      <w:r w:rsidRPr="000D4AA9">
        <w:rPr>
          <w:rFonts w:ascii="Abadi" w:hAnsi="Abadi" w:cs="ArialMT"/>
          <w:sz w:val="21"/>
          <w:szCs w:val="21"/>
        </w:rPr>
        <w:t>Política de los Estados Unidos Mexicanos, así como al titular de la</w:t>
      </w:r>
      <w:r>
        <w:rPr>
          <w:rFonts w:ascii="Abadi" w:hAnsi="Abadi" w:cs="ArialMT"/>
          <w:sz w:val="21"/>
          <w:szCs w:val="21"/>
        </w:rPr>
        <w:t xml:space="preserve"> </w:t>
      </w:r>
      <w:r w:rsidRPr="000D4AA9">
        <w:rPr>
          <w:rFonts w:ascii="Abadi" w:hAnsi="Abadi" w:cs="ArialMT"/>
          <w:sz w:val="21"/>
          <w:szCs w:val="21"/>
        </w:rPr>
        <w:t>Secretaría de Desarrollo Económico Sustentable, a efecto de realizar foros</w:t>
      </w:r>
      <w:r>
        <w:rPr>
          <w:rFonts w:ascii="Abadi" w:hAnsi="Abadi" w:cs="ArialMT"/>
          <w:sz w:val="21"/>
          <w:szCs w:val="21"/>
        </w:rPr>
        <w:t xml:space="preserve"> </w:t>
      </w:r>
      <w:r w:rsidRPr="000D4AA9">
        <w:rPr>
          <w:rFonts w:ascii="Abadi" w:hAnsi="Abadi" w:cs="ArialMT"/>
          <w:sz w:val="21"/>
          <w:szCs w:val="21"/>
        </w:rPr>
        <w:t>sobre la Reforma Energética promovida por el Lic. Andrés Manuel López</w:t>
      </w:r>
      <w:r>
        <w:rPr>
          <w:rFonts w:ascii="Abadi" w:hAnsi="Abadi" w:cs="ArialMT"/>
          <w:sz w:val="21"/>
          <w:szCs w:val="21"/>
        </w:rPr>
        <w:t xml:space="preserve"> </w:t>
      </w:r>
      <w:r w:rsidRPr="000D4AA9">
        <w:rPr>
          <w:rFonts w:ascii="Abadi" w:hAnsi="Abadi" w:cs="ArialMT"/>
          <w:sz w:val="21"/>
          <w:szCs w:val="21"/>
        </w:rPr>
        <w:t>Obrador, para ver sus impactos económicos y sociales.</w:t>
      </w:r>
      <w:r>
        <w:rPr>
          <w:rFonts w:ascii="Abadi" w:hAnsi="Abadi" w:cs="ArialMT"/>
          <w:sz w:val="21"/>
          <w:szCs w:val="21"/>
        </w:rPr>
        <w:t xml:space="preserve"> </w:t>
      </w:r>
      <w:r>
        <w:rPr>
          <w:rFonts w:ascii="Abadi" w:hAnsi="Abadi" w:cs="Arial-BoldMT"/>
          <w:b/>
          <w:bCs/>
          <w:sz w:val="21"/>
          <w:szCs w:val="21"/>
        </w:rPr>
        <w:t>XXIII</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emitido por la Comisión</w:t>
      </w:r>
      <w:r>
        <w:rPr>
          <w:rFonts w:ascii="Abadi" w:hAnsi="Abadi" w:cs="ArialMT"/>
          <w:sz w:val="21"/>
          <w:szCs w:val="21"/>
        </w:rPr>
        <w:t xml:space="preserve"> </w:t>
      </w:r>
      <w:r w:rsidRPr="000D4AA9">
        <w:rPr>
          <w:rFonts w:ascii="Abadi" w:hAnsi="Abadi" w:cs="ArialMT"/>
          <w:sz w:val="21"/>
          <w:szCs w:val="21"/>
        </w:rPr>
        <w:t>de Hacienda y Fiscalización relativo al informe de resultados de la</w:t>
      </w:r>
      <w:r>
        <w:rPr>
          <w:rFonts w:ascii="Abadi" w:hAnsi="Abadi" w:cs="ArialMT"/>
          <w:sz w:val="21"/>
          <w:szCs w:val="21"/>
        </w:rPr>
        <w:t xml:space="preserve"> </w:t>
      </w:r>
      <w:r w:rsidRPr="000D4AA9">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D4AA9">
        <w:rPr>
          <w:rFonts w:ascii="Abadi" w:hAnsi="Abadi" w:cs="ArialMT"/>
          <w:sz w:val="21"/>
          <w:szCs w:val="21"/>
        </w:rPr>
        <w:t>Guanajuato a la administración municipal de Apaseo el Grande, Gto., con</w:t>
      </w:r>
      <w:r>
        <w:rPr>
          <w:rFonts w:ascii="Abadi" w:hAnsi="Abadi" w:cs="ArialMT"/>
          <w:sz w:val="21"/>
          <w:szCs w:val="21"/>
        </w:rPr>
        <w:t xml:space="preserve"> </w:t>
      </w:r>
      <w:r w:rsidRPr="000D4AA9">
        <w:rPr>
          <w:rFonts w:ascii="Abadi" w:hAnsi="Abadi" w:cs="ArialMT"/>
          <w:sz w:val="21"/>
          <w:szCs w:val="21"/>
        </w:rPr>
        <w:t>enfoque a resultados del servicio de alumbrado público, por el periodo</w:t>
      </w:r>
      <w:r>
        <w:rPr>
          <w:rFonts w:ascii="Abadi" w:hAnsi="Abadi" w:cs="ArialMT"/>
          <w:sz w:val="21"/>
          <w:szCs w:val="21"/>
        </w:rPr>
        <w:t xml:space="preserve"> </w:t>
      </w:r>
      <w:r w:rsidRPr="000D4AA9">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D4AA9">
        <w:rPr>
          <w:rFonts w:ascii="Abadi" w:hAnsi="Abadi" w:cs="ArialMT"/>
          <w:sz w:val="21"/>
          <w:szCs w:val="21"/>
        </w:rPr>
        <w:t>2020.</w:t>
      </w:r>
      <w:r>
        <w:rPr>
          <w:rFonts w:ascii="Abadi" w:hAnsi="Abadi" w:cs="ArialMT"/>
          <w:sz w:val="21"/>
          <w:szCs w:val="21"/>
        </w:rPr>
        <w:t xml:space="preserve"> </w:t>
      </w:r>
      <w:r>
        <w:rPr>
          <w:rFonts w:ascii="Abadi" w:hAnsi="Abadi" w:cs="Arial-BoldMT"/>
          <w:b/>
          <w:bCs/>
          <w:sz w:val="21"/>
          <w:szCs w:val="21"/>
        </w:rPr>
        <w:t>XXIV</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suscrito por la Comisión</w:t>
      </w:r>
      <w:r>
        <w:rPr>
          <w:rFonts w:ascii="Abadi" w:hAnsi="Abadi" w:cs="ArialMT"/>
          <w:sz w:val="21"/>
          <w:szCs w:val="21"/>
        </w:rPr>
        <w:t xml:space="preserve"> </w:t>
      </w:r>
      <w:r w:rsidRPr="000D4AA9">
        <w:rPr>
          <w:rFonts w:ascii="Abadi" w:hAnsi="Abadi" w:cs="ArialMT"/>
          <w:sz w:val="21"/>
          <w:szCs w:val="21"/>
        </w:rPr>
        <w:t>de Hacienda y Fiscalización relativo al informe de resultados de la</w:t>
      </w:r>
      <w:r>
        <w:rPr>
          <w:rFonts w:ascii="Abadi" w:hAnsi="Abadi" w:cs="ArialMT"/>
          <w:sz w:val="21"/>
          <w:szCs w:val="21"/>
        </w:rPr>
        <w:t xml:space="preserve"> </w:t>
      </w:r>
      <w:r w:rsidRPr="000D4AA9">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D4AA9">
        <w:rPr>
          <w:rFonts w:ascii="Abadi" w:hAnsi="Abadi" w:cs="ArialMT"/>
          <w:sz w:val="21"/>
          <w:szCs w:val="21"/>
        </w:rPr>
        <w:t>Guanajuato al Poder Ejecutivo del Estado de Guanajuato con enfoque de</w:t>
      </w:r>
      <w:r>
        <w:rPr>
          <w:rFonts w:ascii="Abadi" w:hAnsi="Abadi" w:cs="ArialMT"/>
          <w:sz w:val="21"/>
          <w:szCs w:val="21"/>
        </w:rPr>
        <w:t xml:space="preserve"> </w:t>
      </w:r>
      <w:r w:rsidRPr="000D4AA9">
        <w:rPr>
          <w:rFonts w:ascii="Abadi" w:hAnsi="Abadi" w:cs="ArialMT"/>
          <w:sz w:val="21"/>
          <w:szCs w:val="21"/>
        </w:rPr>
        <w:t xml:space="preserve">resultados del Programa </w:t>
      </w:r>
      <w:r w:rsidRPr="000D4AA9">
        <w:rPr>
          <w:rFonts w:ascii="Abadi" w:hAnsi="Abadi" w:cs="Arial-ItalicMT"/>
          <w:i/>
          <w:iCs/>
          <w:sz w:val="21"/>
          <w:szCs w:val="21"/>
        </w:rPr>
        <w:t>Q3391 Vale Grandeza-Compra Local</w:t>
      </w:r>
      <w:r w:rsidRPr="000D4AA9">
        <w:rPr>
          <w:rFonts w:ascii="Abadi" w:hAnsi="Abadi" w:cs="ArialMT"/>
          <w:sz w:val="21"/>
          <w:szCs w:val="21"/>
        </w:rPr>
        <w:t>, a cargo de</w:t>
      </w:r>
      <w:r>
        <w:rPr>
          <w:rFonts w:ascii="Abadi" w:hAnsi="Abadi" w:cs="ArialMT"/>
          <w:sz w:val="21"/>
          <w:szCs w:val="21"/>
        </w:rPr>
        <w:t xml:space="preserve"> </w:t>
      </w:r>
      <w:r w:rsidRPr="000D4AA9">
        <w:rPr>
          <w:rFonts w:ascii="Abadi" w:hAnsi="Abadi" w:cs="ArialMT"/>
          <w:sz w:val="21"/>
          <w:szCs w:val="21"/>
        </w:rPr>
        <w:t>la Secretaría de Desarrollo Económico Sustentable, por el periodo</w:t>
      </w:r>
      <w:r>
        <w:rPr>
          <w:rFonts w:ascii="Abadi" w:hAnsi="Abadi" w:cs="ArialMT"/>
          <w:sz w:val="21"/>
          <w:szCs w:val="21"/>
        </w:rPr>
        <w:t xml:space="preserve"> </w:t>
      </w:r>
      <w:r w:rsidRPr="000D4AA9">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D4AA9">
        <w:rPr>
          <w:rFonts w:ascii="Abadi" w:hAnsi="Abadi" w:cs="ArialMT"/>
          <w:sz w:val="21"/>
          <w:szCs w:val="21"/>
        </w:rPr>
        <w:t>2020.</w:t>
      </w:r>
      <w:r>
        <w:rPr>
          <w:rFonts w:ascii="Abadi" w:hAnsi="Abadi" w:cs="ArialMT"/>
          <w:sz w:val="21"/>
          <w:szCs w:val="21"/>
        </w:rPr>
        <w:t xml:space="preserve"> </w:t>
      </w:r>
      <w:r>
        <w:rPr>
          <w:rFonts w:ascii="Abadi" w:hAnsi="Abadi" w:cs="Arial-BoldMT"/>
          <w:b/>
          <w:bCs/>
          <w:sz w:val="21"/>
          <w:szCs w:val="21"/>
        </w:rPr>
        <w:t>XXV</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presentado por la</w:t>
      </w:r>
      <w:r>
        <w:rPr>
          <w:rFonts w:ascii="Abadi" w:hAnsi="Abadi" w:cs="ArialMT"/>
          <w:sz w:val="21"/>
          <w:szCs w:val="21"/>
        </w:rPr>
        <w:t xml:space="preserve"> </w:t>
      </w:r>
      <w:r w:rsidRPr="000D4AA9">
        <w:rPr>
          <w:rFonts w:ascii="Abadi" w:hAnsi="Abadi" w:cs="ArialMT"/>
          <w:sz w:val="21"/>
          <w:szCs w:val="21"/>
        </w:rPr>
        <w:t>Comisión de Hacienda y Fiscalización relativo al informe de resultados de</w:t>
      </w:r>
      <w:r>
        <w:rPr>
          <w:rFonts w:ascii="Abadi" w:hAnsi="Abadi" w:cs="ArialMT"/>
          <w:sz w:val="21"/>
          <w:szCs w:val="21"/>
        </w:rPr>
        <w:t xml:space="preserve"> </w:t>
      </w:r>
      <w:r w:rsidRPr="000D4AA9">
        <w:rPr>
          <w:rFonts w:ascii="Abadi" w:hAnsi="Abadi" w:cs="ArialMT"/>
          <w:sz w:val="21"/>
          <w:szCs w:val="21"/>
        </w:rPr>
        <w:t>la auditoría de desempeño practicada por la Auditoría Superior del Estado</w:t>
      </w:r>
      <w:r>
        <w:rPr>
          <w:rFonts w:ascii="Abadi" w:hAnsi="Abadi" w:cs="ArialMT"/>
          <w:sz w:val="21"/>
          <w:szCs w:val="21"/>
        </w:rPr>
        <w:t xml:space="preserve"> </w:t>
      </w:r>
      <w:r w:rsidRPr="000D4AA9">
        <w:rPr>
          <w:rFonts w:ascii="Abadi" w:hAnsi="Abadi" w:cs="ArialMT"/>
          <w:sz w:val="21"/>
          <w:szCs w:val="21"/>
        </w:rPr>
        <w:t>de Guanajuato a la administración municipal de Apaseo el Alto, Gto., con</w:t>
      </w:r>
      <w:r>
        <w:rPr>
          <w:rFonts w:ascii="Abadi" w:hAnsi="Abadi" w:cs="ArialMT"/>
          <w:sz w:val="21"/>
          <w:szCs w:val="21"/>
        </w:rPr>
        <w:t xml:space="preserve"> </w:t>
      </w:r>
      <w:r w:rsidRPr="000D4AA9">
        <w:rPr>
          <w:rFonts w:ascii="Abadi" w:hAnsi="Abadi" w:cs="ArialMT"/>
          <w:sz w:val="21"/>
          <w:szCs w:val="21"/>
        </w:rPr>
        <w:t>enfoque a resultados del servicio de alumbrado público, por el periodo</w:t>
      </w:r>
      <w:r>
        <w:rPr>
          <w:rFonts w:ascii="Abadi" w:hAnsi="Abadi" w:cs="ArialMT"/>
          <w:sz w:val="21"/>
          <w:szCs w:val="21"/>
        </w:rPr>
        <w:t xml:space="preserve"> </w:t>
      </w:r>
      <w:r w:rsidRPr="000D4AA9">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D4AA9">
        <w:rPr>
          <w:rFonts w:ascii="Abadi" w:hAnsi="Abadi" w:cs="ArialMT"/>
          <w:sz w:val="21"/>
          <w:szCs w:val="21"/>
        </w:rPr>
        <w:t>2020.</w:t>
      </w:r>
      <w:r>
        <w:rPr>
          <w:rFonts w:ascii="Abadi" w:hAnsi="Abadi" w:cs="ArialMT"/>
          <w:sz w:val="21"/>
          <w:szCs w:val="21"/>
        </w:rPr>
        <w:t xml:space="preserve"> </w:t>
      </w:r>
      <w:r>
        <w:rPr>
          <w:rFonts w:ascii="Abadi" w:hAnsi="Abadi" w:cs="Arial-BoldMT"/>
          <w:b/>
          <w:bCs/>
          <w:sz w:val="21"/>
          <w:szCs w:val="21"/>
        </w:rPr>
        <w:t>XXVI</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formulado por la</w:t>
      </w:r>
      <w:r>
        <w:rPr>
          <w:rFonts w:ascii="Abadi" w:hAnsi="Abadi" w:cs="ArialMT"/>
          <w:sz w:val="21"/>
          <w:szCs w:val="21"/>
        </w:rPr>
        <w:t xml:space="preserve"> </w:t>
      </w:r>
      <w:r w:rsidRPr="000D4AA9">
        <w:rPr>
          <w:rFonts w:ascii="Abadi" w:hAnsi="Abadi" w:cs="ArialMT"/>
          <w:sz w:val="21"/>
          <w:szCs w:val="21"/>
        </w:rPr>
        <w:t>Comisión de Hacienda y Fiscalización relativo al informe de resultados de</w:t>
      </w:r>
      <w:r>
        <w:rPr>
          <w:rFonts w:ascii="Abadi" w:hAnsi="Abadi" w:cs="ArialMT"/>
          <w:sz w:val="21"/>
          <w:szCs w:val="21"/>
        </w:rPr>
        <w:t xml:space="preserve"> </w:t>
      </w:r>
      <w:r w:rsidRPr="000D4AA9">
        <w:rPr>
          <w:rFonts w:ascii="Abadi" w:hAnsi="Abadi" w:cs="ArialMT"/>
          <w:sz w:val="21"/>
          <w:szCs w:val="21"/>
        </w:rPr>
        <w:t>la auditoría de desempeño practicada por la Auditoría Superior del Estado</w:t>
      </w:r>
      <w:r>
        <w:rPr>
          <w:rFonts w:ascii="Abadi" w:hAnsi="Abadi" w:cs="ArialMT"/>
          <w:sz w:val="21"/>
          <w:szCs w:val="21"/>
        </w:rPr>
        <w:t xml:space="preserve"> </w:t>
      </w:r>
      <w:r w:rsidRPr="000D4AA9">
        <w:rPr>
          <w:rFonts w:ascii="Abadi" w:hAnsi="Abadi" w:cs="ArialMT"/>
          <w:sz w:val="21"/>
          <w:szCs w:val="21"/>
        </w:rPr>
        <w:t>de Guanajuato a la administración municipal de Acámbaro, Gto., con</w:t>
      </w:r>
      <w:r>
        <w:rPr>
          <w:rFonts w:ascii="Abadi" w:hAnsi="Abadi" w:cs="ArialMT"/>
          <w:sz w:val="21"/>
          <w:szCs w:val="21"/>
        </w:rPr>
        <w:t xml:space="preserve"> e</w:t>
      </w:r>
      <w:r w:rsidRPr="000D4AA9">
        <w:rPr>
          <w:rFonts w:ascii="Abadi" w:hAnsi="Abadi" w:cs="ArialMT"/>
          <w:sz w:val="21"/>
          <w:szCs w:val="21"/>
        </w:rPr>
        <w:t>nfoque a resultados del servicio de alumbrado público, por el periodo</w:t>
      </w:r>
      <w:r>
        <w:rPr>
          <w:rFonts w:ascii="Abadi" w:hAnsi="Abadi" w:cs="ArialMT"/>
          <w:sz w:val="21"/>
          <w:szCs w:val="21"/>
        </w:rPr>
        <w:t xml:space="preserve"> </w:t>
      </w:r>
      <w:r w:rsidRPr="000D4AA9">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D4AA9">
        <w:rPr>
          <w:rFonts w:ascii="Abadi" w:hAnsi="Abadi" w:cs="ArialMT"/>
          <w:sz w:val="21"/>
          <w:szCs w:val="21"/>
        </w:rPr>
        <w:t>2020.</w:t>
      </w:r>
      <w:r>
        <w:rPr>
          <w:rFonts w:ascii="Abadi" w:hAnsi="Abadi" w:cs="ArialMT"/>
          <w:sz w:val="21"/>
          <w:szCs w:val="21"/>
        </w:rPr>
        <w:t xml:space="preserve"> </w:t>
      </w:r>
      <w:r>
        <w:rPr>
          <w:rFonts w:ascii="Abadi" w:hAnsi="Abadi" w:cs="Arial-BoldMT"/>
          <w:b/>
          <w:bCs/>
          <w:sz w:val="21"/>
          <w:szCs w:val="21"/>
        </w:rPr>
        <w:t>XXVII</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signado por la Comisión</w:t>
      </w:r>
      <w:r>
        <w:rPr>
          <w:rFonts w:ascii="Abadi" w:hAnsi="Abadi" w:cs="ArialMT"/>
          <w:sz w:val="21"/>
          <w:szCs w:val="21"/>
        </w:rPr>
        <w:t xml:space="preserve"> </w:t>
      </w:r>
      <w:r w:rsidRPr="000D4AA9">
        <w:rPr>
          <w:rFonts w:ascii="Abadi" w:hAnsi="Abadi" w:cs="ArialMT"/>
          <w:sz w:val="21"/>
          <w:szCs w:val="21"/>
        </w:rPr>
        <w:t>de Hacienda y Fiscalización relativo al informe de resultados de la</w:t>
      </w:r>
      <w:r>
        <w:rPr>
          <w:rFonts w:ascii="Abadi" w:hAnsi="Abadi" w:cs="ArialMT"/>
          <w:sz w:val="21"/>
          <w:szCs w:val="21"/>
        </w:rPr>
        <w:t xml:space="preserve"> </w:t>
      </w:r>
      <w:r w:rsidRPr="000D4AA9">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D4AA9">
        <w:rPr>
          <w:rFonts w:ascii="Abadi" w:hAnsi="Abadi" w:cs="ArialMT"/>
          <w:sz w:val="21"/>
          <w:szCs w:val="21"/>
        </w:rPr>
        <w:t>Guanajuato a la administración municipal de Huanímaro, Gto., con</w:t>
      </w:r>
      <w:r w:rsidR="003E7942">
        <w:rPr>
          <w:rFonts w:ascii="Abadi" w:hAnsi="Abadi" w:cs="ArialMT"/>
          <w:sz w:val="21"/>
          <w:szCs w:val="21"/>
        </w:rPr>
        <w:t xml:space="preserve"> </w:t>
      </w:r>
      <w:r w:rsidRPr="000D4AA9">
        <w:rPr>
          <w:rFonts w:ascii="Abadi" w:hAnsi="Abadi" w:cs="ArialMT"/>
          <w:sz w:val="21"/>
          <w:szCs w:val="21"/>
        </w:rPr>
        <w:t>enfoque a resultados del servicio de alumbrado público, por el periodo</w:t>
      </w:r>
      <w:r>
        <w:rPr>
          <w:rFonts w:ascii="Abadi" w:hAnsi="Abadi" w:cs="ArialMT"/>
          <w:sz w:val="21"/>
          <w:szCs w:val="21"/>
        </w:rPr>
        <w:t xml:space="preserve"> </w:t>
      </w:r>
      <w:r w:rsidRPr="000D4AA9">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D4AA9">
        <w:rPr>
          <w:rFonts w:ascii="Abadi" w:hAnsi="Abadi" w:cs="ArialMT"/>
          <w:sz w:val="21"/>
          <w:szCs w:val="21"/>
        </w:rPr>
        <w:t>2020.</w:t>
      </w:r>
      <w:r>
        <w:rPr>
          <w:rFonts w:ascii="Abadi" w:hAnsi="Abadi" w:cs="ArialMT"/>
          <w:sz w:val="21"/>
          <w:szCs w:val="21"/>
        </w:rPr>
        <w:t xml:space="preserve"> </w:t>
      </w:r>
      <w:r>
        <w:rPr>
          <w:rFonts w:ascii="Abadi" w:hAnsi="Abadi" w:cs="Arial-BoldMT"/>
          <w:b/>
          <w:bCs/>
          <w:sz w:val="21"/>
          <w:szCs w:val="21"/>
        </w:rPr>
        <w:t>XXVIII</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formulado por la</w:t>
      </w:r>
      <w:r>
        <w:rPr>
          <w:rFonts w:ascii="Abadi" w:hAnsi="Abadi" w:cs="ArialMT"/>
          <w:sz w:val="21"/>
          <w:szCs w:val="21"/>
        </w:rPr>
        <w:t xml:space="preserve"> </w:t>
      </w:r>
      <w:r w:rsidRPr="000D4AA9">
        <w:rPr>
          <w:rFonts w:ascii="Abadi" w:hAnsi="Abadi" w:cs="ArialMT"/>
          <w:sz w:val="21"/>
          <w:szCs w:val="21"/>
        </w:rPr>
        <w:t>Comisión de Hacienda y Fiscalización relativo al informe de resultados de</w:t>
      </w:r>
      <w:r>
        <w:rPr>
          <w:rFonts w:ascii="Abadi" w:hAnsi="Abadi" w:cs="ArialMT"/>
          <w:sz w:val="21"/>
          <w:szCs w:val="21"/>
        </w:rPr>
        <w:t xml:space="preserve"> </w:t>
      </w:r>
      <w:r w:rsidRPr="000D4AA9">
        <w:rPr>
          <w:rFonts w:ascii="Abadi" w:hAnsi="Abadi" w:cs="ArialMT"/>
          <w:sz w:val="21"/>
          <w:szCs w:val="21"/>
        </w:rPr>
        <w:t>la auditoría de desempeño practicada por la Auditoría Superior del Estado</w:t>
      </w:r>
      <w:r>
        <w:rPr>
          <w:rFonts w:ascii="Abadi" w:hAnsi="Abadi" w:cs="ArialMT"/>
          <w:sz w:val="21"/>
          <w:szCs w:val="21"/>
        </w:rPr>
        <w:t xml:space="preserve"> </w:t>
      </w:r>
      <w:r w:rsidRPr="000D4AA9">
        <w:rPr>
          <w:rFonts w:ascii="Abadi" w:hAnsi="Abadi" w:cs="ArialMT"/>
          <w:sz w:val="21"/>
          <w:szCs w:val="21"/>
        </w:rPr>
        <w:t>de Guanajuato a la administración municipal de Irapuato, Gto., con</w:t>
      </w:r>
      <w:r>
        <w:rPr>
          <w:rFonts w:ascii="Abadi" w:hAnsi="Abadi" w:cs="ArialMT"/>
          <w:sz w:val="21"/>
          <w:szCs w:val="21"/>
        </w:rPr>
        <w:t xml:space="preserve"> </w:t>
      </w:r>
      <w:r w:rsidRPr="000D4AA9">
        <w:rPr>
          <w:rFonts w:ascii="Abadi" w:hAnsi="Abadi" w:cs="ArialMT"/>
          <w:sz w:val="21"/>
          <w:szCs w:val="21"/>
        </w:rPr>
        <w:t>enfoque a resultados del servicio de alumbrado público, por el periodo</w:t>
      </w:r>
      <w:r>
        <w:rPr>
          <w:rFonts w:ascii="Abadi" w:hAnsi="Abadi" w:cs="ArialMT"/>
          <w:sz w:val="21"/>
          <w:szCs w:val="21"/>
        </w:rPr>
        <w:t xml:space="preserve"> </w:t>
      </w:r>
      <w:r w:rsidRPr="000D4AA9">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D4AA9">
        <w:rPr>
          <w:rFonts w:ascii="Abadi" w:hAnsi="Abadi" w:cs="ArialMT"/>
          <w:sz w:val="21"/>
          <w:szCs w:val="21"/>
        </w:rPr>
        <w:t>2020.</w:t>
      </w:r>
      <w:r>
        <w:rPr>
          <w:rFonts w:ascii="Abadi" w:hAnsi="Abadi" w:cs="ArialMT"/>
          <w:sz w:val="21"/>
          <w:szCs w:val="21"/>
        </w:rPr>
        <w:t xml:space="preserve">  </w:t>
      </w:r>
      <w:r>
        <w:rPr>
          <w:rFonts w:ascii="Abadi" w:hAnsi="Abadi" w:cs="Arial-BoldMT"/>
          <w:b/>
          <w:bCs/>
          <w:sz w:val="21"/>
          <w:szCs w:val="21"/>
        </w:rPr>
        <w:t>XXIX</w:t>
      </w:r>
      <w:r w:rsidRPr="000D4AA9">
        <w:rPr>
          <w:rFonts w:ascii="Abadi" w:hAnsi="Abadi" w:cs="Arial-BoldMT"/>
          <w:b/>
          <w:bCs/>
          <w:sz w:val="21"/>
          <w:szCs w:val="21"/>
        </w:rPr>
        <w:t xml:space="preserve">. </w:t>
      </w:r>
      <w:r w:rsidRPr="000D4AA9">
        <w:rPr>
          <w:rFonts w:ascii="Abadi" w:hAnsi="Abadi" w:cs="ArialMT"/>
          <w:sz w:val="21"/>
          <w:szCs w:val="21"/>
        </w:rPr>
        <w:t>Discusión y, en su caso, aprobación del dictamen suscrito por la Comisión</w:t>
      </w:r>
      <w:r>
        <w:rPr>
          <w:rFonts w:ascii="Abadi" w:hAnsi="Abadi" w:cs="ArialMT"/>
          <w:sz w:val="21"/>
          <w:szCs w:val="21"/>
        </w:rPr>
        <w:t xml:space="preserve"> </w:t>
      </w:r>
      <w:r w:rsidRPr="000D4AA9">
        <w:rPr>
          <w:rFonts w:ascii="Abadi" w:hAnsi="Abadi" w:cs="ArialMT"/>
          <w:sz w:val="21"/>
          <w:szCs w:val="21"/>
        </w:rPr>
        <w:t>de Hacienda y Fiscalización relativo al informe de resultados de la</w:t>
      </w:r>
      <w:r>
        <w:rPr>
          <w:rFonts w:ascii="Abadi" w:hAnsi="Abadi" w:cs="ArialMT"/>
          <w:sz w:val="21"/>
          <w:szCs w:val="21"/>
        </w:rPr>
        <w:t xml:space="preserve"> </w:t>
      </w:r>
      <w:r w:rsidRPr="000D4AA9">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D4AA9">
        <w:rPr>
          <w:rFonts w:ascii="Abadi" w:hAnsi="Abadi" w:cs="ArialMT"/>
          <w:sz w:val="21"/>
          <w:szCs w:val="21"/>
        </w:rPr>
        <w:t>Guanajuato a la administración municipal de Ocampo, Gto., con enfoque a</w:t>
      </w:r>
      <w:r>
        <w:rPr>
          <w:rFonts w:ascii="Abadi" w:hAnsi="Abadi" w:cs="ArialMT"/>
          <w:sz w:val="21"/>
          <w:szCs w:val="21"/>
        </w:rPr>
        <w:t xml:space="preserve"> </w:t>
      </w:r>
      <w:r w:rsidRPr="000D4AA9">
        <w:rPr>
          <w:rFonts w:ascii="Abadi" w:hAnsi="Abadi" w:cs="ArialMT"/>
          <w:sz w:val="21"/>
          <w:szCs w:val="21"/>
        </w:rPr>
        <w:t>resultados del servicio de alumbrado público, por el periodo comprendido</w:t>
      </w:r>
      <w:r>
        <w:rPr>
          <w:rFonts w:ascii="Abadi" w:hAnsi="Abadi" w:cs="ArialMT"/>
          <w:sz w:val="21"/>
          <w:szCs w:val="21"/>
        </w:rPr>
        <w:t xml:space="preserve"> </w:t>
      </w:r>
      <w:r w:rsidRPr="000D4AA9">
        <w:rPr>
          <w:rFonts w:ascii="Abadi" w:hAnsi="Abadi" w:cs="ArialMT"/>
          <w:sz w:val="21"/>
          <w:szCs w:val="21"/>
        </w:rPr>
        <w:t>del 1 de enero al 31 de diciembre del ejercicio fiscal del año 2020.</w:t>
      </w:r>
      <w:r>
        <w:rPr>
          <w:rFonts w:ascii="Abadi" w:hAnsi="Abadi" w:cs="ArialMT"/>
          <w:sz w:val="21"/>
          <w:szCs w:val="21"/>
        </w:rPr>
        <w:t xml:space="preserve"> </w:t>
      </w:r>
      <w:r>
        <w:rPr>
          <w:rFonts w:ascii="Abadi" w:hAnsi="Abadi" w:cs="Arial-BoldMT"/>
          <w:b/>
          <w:bCs/>
          <w:sz w:val="21"/>
          <w:szCs w:val="21"/>
        </w:rPr>
        <w:t xml:space="preserve">XXX. </w:t>
      </w:r>
      <w:r w:rsidRPr="000D4AA9">
        <w:rPr>
          <w:rFonts w:ascii="Abadi" w:hAnsi="Abadi" w:cs="ArialMT"/>
          <w:sz w:val="21"/>
          <w:szCs w:val="21"/>
        </w:rPr>
        <w:t>Discusión y, en su caso, aprobación del dictamen emitido por la Comisión</w:t>
      </w:r>
      <w:r>
        <w:rPr>
          <w:rFonts w:ascii="Abadi" w:hAnsi="Abadi" w:cs="ArialMT"/>
          <w:sz w:val="21"/>
          <w:szCs w:val="21"/>
        </w:rPr>
        <w:t xml:space="preserve"> </w:t>
      </w:r>
      <w:r w:rsidRPr="000D4AA9">
        <w:rPr>
          <w:rFonts w:ascii="Abadi" w:hAnsi="Abadi" w:cs="ArialMT"/>
          <w:sz w:val="21"/>
          <w:szCs w:val="21"/>
        </w:rPr>
        <w:t>de Hacienda y Fiscalización relativo al informe de resultados de la</w:t>
      </w:r>
      <w:r>
        <w:rPr>
          <w:rFonts w:ascii="Abadi" w:hAnsi="Abadi" w:cs="ArialMT"/>
          <w:sz w:val="21"/>
          <w:szCs w:val="21"/>
        </w:rPr>
        <w:t xml:space="preserve"> </w:t>
      </w:r>
      <w:r w:rsidRPr="000D4AA9">
        <w:rPr>
          <w:rFonts w:ascii="Abadi" w:hAnsi="Abadi" w:cs="ArialMT"/>
          <w:sz w:val="21"/>
          <w:szCs w:val="21"/>
        </w:rPr>
        <w:t>auditoría de desempeño practicada por la Auditoría Superior del Estado de</w:t>
      </w:r>
      <w:r>
        <w:rPr>
          <w:rFonts w:ascii="Abadi" w:hAnsi="Abadi" w:cs="ArialMT"/>
          <w:sz w:val="21"/>
          <w:szCs w:val="21"/>
        </w:rPr>
        <w:t xml:space="preserve"> </w:t>
      </w:r>
      <w:r w:rsidRPr="000D4AA9">
        <w:rPr>
          <w:rFonts w:ascii="Abadi" w:hAnsi="Abadi" w:cs="ArialMT"/>
          <w:sz w:val="21"/>
          <w:szCs w:val="21"/>
        </w:rPr>
        <w:t>Guanajuato a la administración municipal de Guanajuato, Gto., con</w:t>
      </w:r>
      <w:r>
        <w:rPr>
          <w:rFonts w:ascii="Abadi" w:hAnsi="Abadi" w:cs="ArialMT"/>
          <w:sz w:val="21"/>
          <w:szCs w:val="21"/>
        </w:rPr>
        <w:t xml:space="preserve"> </w:t>
      </w:r>
      <w:r w:rsidRPr="000D4AA9">
        <w:rPr>
          <w:rFonts w:ascii="Abadi" w:hAnsi="Abadi" w:cs="ArialMT"/>
          <w:sz w:val="21"/>
          <w:szCs w:val="21"/>
        </w:rPr>
        <w:t>enfoque a resultados del servicio de alumbrado público, por el periodo</w:t>
      </w:r>
      <w:r>
        <w:rPr>
          <w:rFonts w:ascii="Abadi" w:hAnsi="Abadi" w:cs="ArialMT"/>
          <w:sz w:val="21"/>
          <w:szCs w:val="21"/>
        </w:rPr>
        <w:t xml:space="preserve"> </w:t>
      </w:r>
      <w:r w:rsidRPr="000D4AA9">
        <w:rPr>
          <w:rFonts w:ascii="Abadi" w:hAnsi="Abadi" w:cs="ArialMT"/>
          <w:sz w:val="21"/>
          <w:szCs w:val="21"/>
        </w:rPr>
        <w:t>comprendido del 1 de enero al 31 de diciembre del ejercicio fiscal del año</w:t>
      </w:r>
      <w:r>
        <w:rPr>
          <w:rFonts w:ascii="Abadi" w:hAnsi="Abadi" w:cs="ArialMT"/>
          <w:sz w:val="21"/>
          <w:szCs w:val="21"/>
        </w:rPr>
        <w:t xml:space="preserve"> </w:t>
      </w:r>
      <w:r w:rsidRPr="000D4AA9">
        <w:rPr>
          <w:rFonts w:ascii="Abadi" w:hAnsi="Abadi" w:cs="ArialMT"/>
          <w:sz w:val="21"/>
          <w:szCs w:val="21"/>
        </w:rPr>
        <w:t>2020.</w:t>
      </w:r>
      <w:r>
        <w:rPr>
          <w:rFonts w:ascii="Abadi" w:hAnsi="Abadi" w:cs="ArialMT"/>
          <w:sz w:val="21"/>
          <w:szCs w:val="21"/>
        </w:rPr>
        <w:t xml:space="preserve"> </w:t>
      </w:r>
      <w:r w:rsidR="009A184D">
        <w:rPr>
          <w:rFonts w:ascii="Abadi" w:hAnsi="Abadi" w:cs="ArialMT"/>
          <w:sz w:val="21"/>
          <w:szCs w:val="21"/>
        </w:rPr>
        <w:t xml:space="preserve">Y finalmente </w:t>
      </w:r>
      <w:r w:rsidR="009A184D" w:rsidRPr="009A184D">
        <w:rPr>
          <w:rFonts w:ascii="Abadi" w:hAnsi="Abadi" w:cs="ArialMT"/>
          <w:b/>
          <w:bCs/>
          <w:sz w:val="21"/>
          <w:szCs w:val="21"/>
        </w:rPr>
        <w:t>XXXI</w:t>
      </w:r>
      <w:r w:rsidRPr="000D4AA9">
        <w:rPr>
          <w:rFonts w:ascii="Abadi" w:hAnsi="Abadi" w:cs="Arial-BoldMT"/>
          <w:b/>
          <w:bCs/>
          <w:sz w:val="21"/>
          <w:szCs w:val="21"/>
        </w:rPr>
        <w:t xml:space="preserve">. </w:t>
      </w:r>
      <w:r w:rsidR="009A184D">
        <w:rPr>
          <w:rFonts w:ascii="Abadi" w:hAnsi="Abadi" w:cs="Arial-BoldMT"/>
          <w:sz w:val="21"/>
          <w:szCs w:val="21"/>
        </w:rPr>
        <w:t xml:space="preserve">Y finalmente </w:t>
      </w:r>
      <w:r w:rsidR="009A184D">
        <w:rPr>
          <w:rFonts w:ascii="Abadi" w:hAnsi="Abadi" w:cs="ArialMT"/>
          <w:sz w:val="21"/>
          <w:szCs w:val="21"/>
        </w:rPr>
        <w:t>a</w:t>
      </w:r>
      <w:r w:rsidRPr="000D4AA9">
        <w:rPr>
          <w:rFonts w:ascii="Abadi" w:hAnsi="Abadi" w:cs="ArialMT"/>
          <w:sz w:val="21"/>
          <w:szCs w:val="21"/>
        </w:rPr>
        <w:t>suntos generales.</w:t>
      </w:r>
    </w:p>
    <w:p w14:paraId="1EF4FE5A" w14:textId="77777777" w:rsidR="00695A92" w:rsidRDefault="00695A92" w:rsidP="00695A92">
      <w:pPr>
        <w:ind w:firstLine="720"/>
        <w:jc w:val="both"/>
        <w:rPr>
          <w:rFonts w:ascii="Abadi" w:hAnsi="Abadi"/>
          <w:b/>
          <w:bCs/>
          <w:sz w:val="21"/>
          <w:szCs w:val="21"/>
        </w:rPr>
      </w:pPr>
    </w:p>
    <w:p w14:paraId="412431ED" w14:textId="3EF928DF" w:rsidR="00DA40A3" w:rsidRDefault="00DA40A3" w:rsidP="00DA40A3">
      <w:pPr>
        <w:ind w:firstLine="708"/>
        <w:jc w:val="both"/>
        <w:rPr>
          <w:rFonts w:ascii="Abadi" w:hAnsi="Abadi"/>
          <w:sz w:val="21"/>
          <w:szCs w:val="21"/>
        </w:rPr>
      </w:pPr>
      <w:r>
        <w:rPr>
          <w:rFonts w:ascii="Abadi" w:hAnsi="Abadi"/>
          <w:b/>
          <w:bCs/>
          <w:sz w:val="21"/>
          <w:szCs w:val="21"/>
        </w:rPr>
        <w:t xml:space="preserve">- </w:t>
      </w:r>
      <w:r w:rsidRPr="00DA40A3">
        <w:rPr>
          <w:rFonts w:ascii="Abadi" w:hAnsi="Abadi"/>
          <w:b/>
          <w:bCs/>
          <w:sz w:val="21"/>
          <w:szCs w:val="21"/>
        </w:rPr>
        <w:t>La Presidencia.-</w:t>
      </w:r>
      <w:r w:rsidRPr="00DA40A3">
        <w:rPr>
          <w:rFonts w:ascii="Abadi" w:hAnsi="Abadi"/>
          <w:sz w:val="21"/>
          <w:szCs w:val="21"/>
        </w:rPr>
        <w:t xml:space="preserve"> Sí, muchas gracias diputada Secretaria, la propuesta de orden del día, está a consideración de las diputadas y diputados, si desean hacer uso de la palabra, indíquenlo a esta Presidencia. </w:t>
      </w:r>
    </w:p>
    <w:p w14:paraId="77A1D7B6" w14:textId="77777777" w:rsidR="00DA40A3" w:rsidRPr="00DA40A3" w:rsidRDefault="00DA40A3" w:rsidP="00DA40A3">
      <w:pPr>
        <w:ind w:firstLine="708"/>
        <w:jc w:val="both"/>
        <w:rPr>
          <w:rFonts w:ascii="Abadi" w:hAnsi="Abadi"/>
          <w:sz w:val="21"/>
          <w:szCs w:val="21"/>
        </w:rPr>
      </w:pPr>
    </w:p>
    <w:p w14:paraId="249C241F" w14:textId="3C87CAA1" w:rsidR="00DA40A3" w:rsidRDefault="00DA40A3" w:rsidP="00DA40A3">
      <w:pPr>
        <w:ind w:firstLine="708"/>
        <w:jc w:val="both"/>
        <w:rPr>
          <w:rFonts w:ascii="Abadi" w:hAnsi="Abadi"/>
          <w:sz w:val="21"/>
          <w:szCs w:val="21"/>
        </w:rPr>
      </w:pPr>
      <w:r>
        <w:rPr>
          <w:rFonts w:ascii="Abadi" w:hAnsi="Abadi"/>
          <w:sz w:val="21"/>
          <w:szCs w:val="21"/>
        </w:rPr>
        <w:t xml:space="preserve">- </w:t>
      </w:r>
      <w:r w:rsidRPr="00DA40A3">
        <w:rPr>
          <w:rFonts w:ascii="Abadi" w:hAnsi="Abadi"/>
          <w:sz w:val="21"/>
          <w:szCs w:val="21"/>
        </w:rPr>
        <w:t>Quiero aprovechar para dar la bienvenida a la diputada Hades Berenice Aguilar, que se incorpora a este Pleno, muy buenos días, al diputado al diputado José Alfonso Borja Pimentel, muy buenos días, diputado y también al diputado Pablo Alonso Ripoll, quien ya estaba integrado nada más que no había ingresado la tarjeta, muy buenos días.</w:t>
      </w:r>
    </w:p>
    <w:p w14:paraId="40754BB2" w14:textId="77777777" w:rsidR="00DA40A3" w:rsidRPr="00DA40A3" w:rsidRDefault="00DA40A3" w:rsidP="00DA40A3">
      <w:pPr>
        <w:jc w:val="both"/>
        <w:rPr>
          <w:rFonts w:ascii="Abadi" w:hAnsi="Abadi"/>
          <w:sz w:val="21"/>
          <w:szCs w:val="21"/>
        </w:rPr>
      </w:pPr>
    </w:p>
    <w:p w14:paraId="152276A2" w14:textId="23FEC67A" w:rsidR="00DA40A3" w:rsidRDefault="00DA40A3" w:rsidP="00DA40A3">
      <w:pPr>
        <w:ind w:firstLine="708"/>
        <w:jc w:val="both"/>
        <w:rPr>
          <w:rFonts w:ascii="Abadi" w:hAnsi="Abadi"/>
          <w:sz w:val="21"/>
          <w:szCs w:val="21"/>
        </w:rPr>
      </w:pPr>
      <w:r>
        <w:rPr>
          <w:rFonts w:ascii="Abadi" w:hAnsi="Abadi"/>
          <w:sz w:val="21"/>
          <w:szCs w:val="21"/>
        </w:rPr>
        <w:t xml:space="preserve">- </w:t>
      </w:r>
      <w:r w:rsidRPr="00DA40A3">
        <w:rPr>
          <w:rFonts w:ascii="Abadi" w:hAnsi="Abadi"/>
          <w:sz w:val="21"/>
          <w:szCs w:val="21"/>
        </w:rPr>
        <w:t xml:space="preserve">Y en virtud de que ninguna diputada y ningún diputado desea hacer uso de la palabra, se ruega a la Secretaría, que en votación económica a través del sistema electrónico pregunte a la Asamblea si es de aprobarse el orden del día, puesto a consideración. </w:t>
      </w:r>
    </w:p>
    <w:p w14:paraId="7D0F2779" w14:textId="77777777" w:rsidR="00DA40A3" w:rsidRPr="00DA40A3" w:rsidRDefault="00DA40A3" w:rsidP="00DA40A3">
      <w:pPr>
        <w:ind w:firstLine="708"/>
        <w:jc w:val="both"/>
        <w:rPr>
          <w:rFonts w:ascii="Abadi" w:hAnsi="Abadi"/>
          <w:sz w:val="21"/>
          <w:szCs w:val="21"/>
        </w:rPr>
      </w:pPr>
    </w:p>
    <w:p w14:paraId="76DCF104" w14:textId="77777777" w:rsidR="003E7942" w:rsidRDefault="003E7942" w:rsidP="00DA40A3">
      <w:pPr>
        <w:jc w:val="center"/>
        <w:rPr>
          <w:rFonts w:ascii="Abadi" w:hAnsi="Abadi"/>
          <w:b/>
          <w:bCs/>
          <w:sz w:val="21"/>
          <w:szCs w:val="21"/>
        </w:rPr>
      </w:pPr>
    </w:p>
    <w:p w14:paraId="662DCF42" w14:textId="20B26517" w:rsidR="00DA40A3" w:rsidRDefault="00DA40A3" w:rsidP="00DA40A3">
      <w:pPr>
        <w:jc w:val="center"/>
        <w:rPr>
          <w:rFonts w:ascii="Abadi" w:hAnsi="Abadi"/>
          <w:b/>
          <w:bCs/>
          <w:sz w:val="21"/>
          <w:szCs w:val="21"/>
        </w:rPr>
      </w:pPr>
      <w:r w:rsidRPr="00DA40A3">
        <w:rPr>
          <w:rFonts w:ascii="Abadi" w:hAnsi="Abadi"/>
          <w:b/>
          <w:bCs/>
          <w:sz w:val="21"/>
          <w:szCs w:val="21"/>
        </w:rPr>
        <w:t>(Se abre el sistema electrónico)</w:t>
      </w:r>
    </w:p>
    <w:p w14:paraId="0FF09AB2" w14:textId="77777777" w:rsidR="00DA40A3" w:rsidRPr="00DA40A3" w:rsidRDefault="00DA40A3" w:rsidP="00DA40A3">
      <w:pPr>
        <w:jc w:val="both"/>
        <w:rPr>
          <w:rFonts w:ascii="Abadi" w:hAnsi="Abadi"/>
          <w:b/>
          <w:bCs/>
          <w:sz w:val="21"/>
          <w:szCs w:val="21"/>
        </w:rPr>
      </w:pPr>
    </w:p>
    <w:p w14:paraId="06750FD7" w14:textId="103349BE" w:rsidR="00DA40A3" w:rsidRDefault="00DA40A3" w:rsidP="00DA40A3">
      <w:pPr>
        <w:ind w:firstLine="708"/>
        <w:jc w:val="both"/>
        <w:rPr>
          <w:rFonts w:ascii="Abadi" w:hAnsi="Abadi"/>
          <w:sz w:val="21"/>
          <w:szCs w:val="21"/>
        </w:rPr>
      </w:pPr>
      <w:r>
        <w:rPr>
          <w:rFonts w:ascii="Abadi" w:hAnsi="Abadi"/>
          <w:b/>
          <w:bCs/>
          <w:sz w:val="21"/>
          <w:szCs w:val="21"/>
        </w:rPr>
        <w:t xml:space="preserve">- </w:t>
      </w:r>
      <w:r w:rsidRPr="00DA40A3">
        <w:rPr>
          <w:rFonts w:ascii="Abadi" w:hAnsi="Abadi"/>
          <w:b/>
          <w:bCs/>
          <w:sz w:val="21"/>
          <w:szCs w:val="21"/>
        </w:rPr>
        <w:t>La Secretaria.-</w:t>
      </w:r>
      <w:r w:rsidRPr="00DA40A3">
        <w:rPr>
          <w:rFonts w:ascii="Abadi" w:hAnsi="Abadi"/>
          <w:sz w:val="21"/>
          <w:szCs w:val="21"/>
        </w:rPr>
        <w:t xml:space="preserve"> Por instrucciones de la Presidencia en votación económica, se pregunta a las diputadas y a los diputados si </w:t>
      </w:r>
      <w:r>
        <w:rPr>
          <w:rFonts w:ascii="Abadi" w:hAnsi="Abadi"/>
          <w:sz w:val="21"/>
          <w:szCs w:val="21"/>
        </w:rPr>
        <w:t xml:space="preserve">se </w:t>
      </w:r>
      <w:r w:rsidRPr="00DA40A3">
        <w:rPr>
          <w:rFonts w:ascii="Abadi" w:hAnsi="Abadi"/>
          <w:sz w:val="21"/>
          <w:szCs w:val="21"/>
        </w:rPr>
        <w:t>apr</w:t>
      </w:r>
      <w:r>
        <w:rPr>
          <w:rFonts w:ascii="Abadi" w:hAnsi="Abadi"/>
          <w:sz w:val="21"/>
          <w:szCs w:val="21"/>
        </w:rPr>
        <w:t>ueba e</w:t>
      </w:r>
      <w:r w:rsidRPr="00DA40A3">
        <w:rPr>
          <w:rFonts w:ascii="Abadi" w:hAnsi="Abadi"/>
          <w:sz w:val="21"/>
          <w:szCs w:val="21"/>
        </w:rPr>
        <w:t xml:space="preserve">l orden del día mediante el sistema electrónico. </w:t>
      </w:r>
    </w:p>
    <w:p w14:paraId="1AA0AA4F" w14:textId="77777777" w:rsidR="003E7942" w:rsidRPr="00DA40A3" w:rsidRDefault="003E7942" w:rsidP="00DA40A3">
      <w:pPr>
        <w:ind w:firstLine="708"/>
        <w:jc w:val="both"/>
        <w:rPr>
          <w:rFonts w:ascii="Abadi" w:hAnsi="Abadi"/>
          <w:sz w:val="21"/>
          <w:szCs w:val="21"/>
        </w:rPr>
      </w:pPr>
    </w:p>
    <w:p w14:paraId="53ED5E0E" w14:textId="73554FE7" w:rsidR="00DA40A3" w:rsidRDefault="00DA40A3" w:rsidP="00DA40A3">
      <w:pPr>
        <w:jc w:val="both"/>
        <w:rPr>
          <w:rFonts w:ascii="Abadi" w:hAnsi="Abadi"/>
          <w:sz w:val="21"/>
          <w:szCs w:val="21"/>
        </w:rPr>
      </w:pPr>
      <w:r w:rsidRPr="00DA40A3">
        <w:rPr>
          <w:rFonts w:ascii="Abadi" w:hAnsi="Abadi"/>
          <w:sz w:val="21"/>
          <w:szCs w:val="21"/>
        </w:rPr>
        <w:t>¿Falta alguna diputada o algún diputado de emitir su voto?</w:t>
      </w:r>
    </w:p>
    <w:p w14:paraId="2AE74A87" w14:textId="77777777" w:rsidR="003E7942" w:rsidRPr="00DA40A3" w:rsidRDefault="003E7942" w:rsidP="00DA40A3">
      <w:pPr>
        <w:jc w:val="both"/>
        <w:rPr>
          <w:rFonts w:ascii="Abadi" w:hAnsi="Abadi"/>
          <w:sz w:val="21"/>
          <w:szCs w:val="21"/>
        </w:rPr>
      </w:pPr>
    </w:p>
    <w:p w14:paraId="543E2CB5" w14:textId="77777777" w:rsidR="00DA40A3" w:rsidRPr="00DA40A3" w:rsidRDefault="00DA40A3" w:rsidP="003E7942">
      <w:pPr>
        <w:jc w:val="center"/>
        <w:rPr>
          <w:rFonts w:ascii="Abadi" w:hAnsi="Abadi"/>
          <w:b/>
          <w:bCs/>
          <w:sz w:val="21"/>
          <w:szCs w:val="21"/>
        </w:rPr>
      </w:pPr>
      <w:r w:rsidRPr="00DA40A3">
        <w:rPr>
          <w:rFonts w:ascii="Abadi" w:hAnsi="Abadi"/>
          <w:b/>
          <w:bCs/>
          <w:sz w:val="21"/>
          <w:szCs w:val="21"/>
        </w:rPr>
        <w:t>(Se cierra el sistema electronico)</w:t>
      </w:r>
    </w:p>
    <w:p w14:paraId="7045EBA0" w14:textId="77777777" w:rsidR="00DA40A3" w:rsidRPr="00DA40A3" w:rsidRDefault="00DA40A3" w:rsidP="003E7942">
      <w:pPr>
        <w:jc w:val="center"/>
        <w:rPr>
          <w:rFonts w:ascii="Abadi" w:hAnsi="Abadi"/>
          <w:b/>
          <w:bCs/>
          <w:sz w:val="21"/>
          <w:szCs w:val="21"/>
        </w:rPr>
      </w:pPr>
    </w:p>
    <w:p w14:paraId="456D4B17" w14:textId="77777777" w:rsidR="00DA40A3" w:rsidRPr="00DA40A3" w:rsidRDefault="00DA40A3" w:rsidP="00DA40A3">
      <w:pPr>
        <w:jc w:val="both"/>
        <w:rPr>
          <w:rFonts w:ascii="Abadi" w:hAnsi="Abadi"/>
          <w:b/>
          <w:bCs/>
          <w:sz w:val="21"/>
          <w:szCs w:val="21"/>
        </w:rPr>
      </w:pPr>
      <w:r w:rsidRPr="00DA40A3">
        <w:rPr>
          <w:rFonts w:ascii="Abadi" w:hAnsi="Abadi"/>
          <w:noProof/>
          <w:sz w:val="21"/>
          <w:szCs w:val="21"/>
        </w:rPr>
        <w:drawing>
          <wp:inline distT="0" distB="0" distL="0" distR="0" wp14:anchorId="4F6C9E8C" wp14:editId="656601C9">
            <wp:extent cx="2000250" cy="1065986"/>
            <wp:effectExtent l="152400" t="152400" r="361950" b="363220"/>
            <wp:docPr id="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abla&#10;&#10;Descripción generada automáticamente"/>
                    <pic:cNvPicPr/>
                  </pic:nvPicPr>
                  <pic:blipFill rotWithShape="1">
                    <a:blip r:embed="rId19"/>
                    <a:srcRect b="5251"/>
                    <a:stretch/>
                  </pic:blipFill>
                  <pic:spPr bwMode="auto">
                    <a:xfrm>
                      <a:off x="0" y="0"/>
                      <a:ext cx="2017643" cy="10752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50EFC7A" w14:textId="5AF683E2" w:rsidR="00DA40A3" w:rsidRDefault="00DA40A3" w:rsidP="00DA40A3">
      <w:pPr>
        <w:ind w:firstLine="708"/>
        <w:jc w:val="both"/>
        <w:rPr>
          <w:rFonts w:ascii="Abadi" w:hAnsi="Abadi"/>
          <w:sz w:val="21"/>
          <w:szCs w:val="21"/>
        </w:rPr>
      </w:pPr>
      <w:r>
        <w:rPr>
          <w:rFonts w:ascii="Abadi" w:hAnsi="Abadi"/>
          <w:b/>
          <w:bCs/>
          <w:sz w:val="21"/>
          <w:szCs w:val="21"/>
        </w:rPr>
        <w:t xml:space="preserve">- </w:t>
      </w:r>
      <w:r w:rsidRPr="00DA40A3">
        <w:rPr>
          <w:rFonts w:ascii="Abadi" w:hAnsi="Abadi"/>
          <w:b/>
          <w:bCs/>
          <w:sz w:val="21"/>
          <w:szCs w:val="21"/>
        </w:rPr>
        <w:t>La Secretaria.-</w:t>
      </w:r>
      <w:r w:rsidRPr="00DA40A3">
        <w:rPr>
          <w:rFonts w:ascii="Abadi" w:hAnsi="Abadi"/>
          <w:sz w:val="21"/>
          <w:szCs w:val="21"/>
        </w:rPr>
        <w:t xml:space="preserve"> La asistencia es de 31 treinta y un votos a favor. </w:t>
      </w:r>
    </w:p>
    <w:p w14:paraId="030F3438" w14:textId="77777777" w:rsidR="00DA40A3" w:rsidRPr="00DA40A3" w:rsidRDefault="00DA40A3" w:rsidP="00DA40A3">
      <w:pPr>
        <w:jc w:val="both"/>
        <w:rPr>
          <w:rFonts w:ascii="Abadi" w:hAnsi="Abadi"/>
          <w:sz w:val="21"/>
          <w:szCs w:val="21"/>
        </w:rPr>
      </w:pPr>
    </w:p>
    <w:p w14:paraId="2AF87D9B" w14:textId="3A10AC89" w:rsidR="00DA40A3" w:rsidRDefault="00DA40A3" w:rsidP="00DA40A3">
      <w:pPr>
        <w:ind w:firstLine="708"/>
        <w:jc w:val="both"/>
        <w:rPr>
          <w:rFonts w:ascii="Abadi" w:hAnsi="Abadi"/>
          <w:sz w:val="21"/>
          <w:szCs w:val="21"/>
        </w:rPr>
      </w:pPr>
      <w:r>
        <w:rPr>
          <w:rFonts w:ascii="Abadi" w:hAnsi="Abadi"/>
          <w:b/>
          <w:bCs/>
          <w:sz w:val="21"/>
          <w:szCs w:val="21"/>
        </w:rPr>
        <w:t xml:space="preserve">- </w:t>
      </w:r>
      <w:r w:rsidRPr="00DA40A3">
        <w:rPr>
          <w:rFonts w:ascii="Abadi" w:hAnsi="Abadi"/>
          <w:b/>
          <w:bCs/>
          <w:sz w:val="21"/>
          <w:szCs w:val="21"/>
        </w:rPr>
        <w:t>La Presidencia.-</w:t>
      </w:r>
      <w:r w:rsidRPr="00DA40A3">
        <w:rPr>
          <w:rFonts w:ascii="Abadi" w:hAnsi="Abadi"/>
          <w:sz w:val="21"/>
          <w:szCs w:val="21"/>
        </w:rPr>
        <w:t xml:space="preserve"> El orden del día ha sido aprobado por unanimidad de votos.</w:t>
      </w:r>
    </w:p>
    <w:p w14:paraId="7EF83FF1" w14:textId="77777777" w:rsidR="00DA40A3" w:rsidRPr="00DA40A3" w:rsidRDefault="00DA40A3" w:rsidP="00DA40A3">
      <w:pPr>
        <w:jc w:val="both"/>
        <w:rPr>
          <w:rFonts w:ascii="Abadi" w:hAnsi="Abadi"/>
          <w:sz w:val="21"/>
          <w:szCs w:val="21"/>
        </w:rPr>
      </w:pPr>
    </w:p>
    <w:p w14:paraId="73140F72" w14:textId="77777777" w:rsidR="003B673C" w:rsidRDefault="003B673C" w:rsidP="00AD7E6D">
      <w:pPr>
        <w:pStyle w:val="Prrafodelista"/>
        <w:tabs>
          <w:tab w:val="left" w:pos="856"/>
        </w:tabs>
        <w:spacing w:before="1"/>
        <w:ind w:left="0" w:right="-142"/>
        <w:jc w:val="both"/>
        <w:rPr>
          <w:rFonts w:ascii="Abadi" w:hAnsi="Abadi"/>
          <w:b/>
          <w:bCs/>
          <w:sz w:val="21"/>
          <w:szCs w:val="21"/>
        </w:rPr>
      </w:pPr>
    </w:p>
    <w:p w14:paraId="53A52C8C" w14:textId="3A5FA68D" w:rsidR="00AD7E6D" w:rsidRPr="006F59BB" w:rsidRDefault="00AD7E6D" w:rsidP="005C6EBB">
      <w:pPr>
        <w:pStyle w:val="Prrafodelista"/>
        <w:numPr>
          <w:ilvl w:val="0"/>
          <w:numId w:val="6"/>
        </w:numPr>
        <w:tabs>
          <w:tab w:val="left" w:pos="856"/>
        </w:tabs>
        <w:spacing w:before="1"/>
        <w:ind w:left="284" w:right="-1"/>
        <w:jc w:val="both"/>
        <w:rPr>
          <w:rFonts w:ascii="Abadi" w:hAnsi="Abadi"/>
          <w:b/>
          <w:bCs/>
          <w:sz w:val="21"/>
          <w:szCs w:val="21"/>
        </w:rPr>
      </w:pPr>
      <w:r w:rsidRPr="006F59BB">
        <w:rPr>
          <w:rFonts w:ascii="Abadi" w:hAnsi="Abadi"/>
          <w:b/>
          <w:bCs/>
          <w:sz w:val="21"/>
          <w:szCs w:val="21"/>
        </w:rPr>
        <w:t>LECTURA Y, EN SU CASO, APROBACIÓN DEL ACTA DE LA SESIÓN ORDINARIA CELEBRADA</w:t>
      </w:r>
      <w:r w:rsidRPr="006F59BB">
        <w:rPr>
          <w:rFonts w:ascii="Abadi" w:hAnsi="Abadi"/>
          <w:b/>
          <w:bCs/>
          <w:spacing w:val="-70"/>
          <w:sz w:val="21"/>
          <w:szCs w:val="21"/>
        </w:rPr>
        <w:t xml:space="preserve"> </w:t>
      </w:r>
      <w:r w:rsidRPr="006F59BB">
        <w:rPr>
          <w:rFonts w:ascii="Abadi" w:hAnsi="Abadi"/>
          <w:b/>
          <w:bCs/>
          <w:sz w:val="21"/>
          <w:szCs w:val="21"/>
        </w:rPr>
        <w:t>EL</w:t>
      </w:r>
      <w:r w:rsidRPr="006F59BB">
        <w:rPr>
          <w:rFonts w:ascii="Abadi" w:hAnsi="Abadi"/>
          <w:b/>
          <w:bCs/>
          <w:spacing w:val="-1"/>
          <w:sz w:val="21"/>
          <w:szCs w:val="21"/>
        </w:rPr>
        <w:t xml:space="preserve"> </w:t>
      </w:r>
      <w:r w:rsidR="007E3716">
        <w:rPr>
          <w:rFonts w:ascii="Abadi" w:hAnsi="Abadi"/>
          <w:b/>
          <w:bCs/>
          <w:spacing w:val="-1"/>
          <w:sz w:val="21"/>
          <w:szCs w:val="21"/>
        </w:rPr>
        <w:t>05</w:t>
      </w:r>
      <w:r w:rsidR="008646B5">
        <w:rPr>
          <w:rFonts w:ascii="Abadi" w:hAnsi="Abadi"/>
          <w:b/>
          <w:bCs/>
          <w:spacing w:val="-1"/>
          <w:sz w:val="21"/>
          <w:szCs w:val="21"/>
        </w:rPr>
        <w:t xml:space="preserve"> DE </w:t>
      </w:r>
      <w:r w:rsidR="007E3716">
        <w:rPr>
          <w:rFonts w:ascii="Abadi" w:hAnsi="Abadi"/>
          <w:b/>
          <w:bCs/>
          <w:spacing w:val="-1"/>
          <w:sz w:val="21"/>
          <w:szCs w:val="21"/>
        </w:rPr>
        <w:t>MAYO</w:t>
      </w:r>
      <w:r w:rsidRPr="006F59BB">
        <w:rPr>
          <w:rFonts w:ascii="Abadi" w:hAnsi="Abadi"/>
          <w:b/>
          <w:bCs/>
          <w:sz w:val="21"/>
          <w:szCs w:val="21"/>
        </w:rPr>
        <w:t xml:space="preserve"> DEL AÑO EN CURSO.</w:t>
      </w:r>
    </w:p>
    <w:p w14:paraId="40AED146" w14:textId="77777777" w:rsidR="00702601" w:rsidRDefault="00702601" w:rsidP="00711CB3">
      <w:pPr>
        <w:pStyle w:val="Estilo1"/>
        <w:numPr>
          <w:ilvl w:val="0"/>
          <w:numId w:val="0"/>
        </w:numPr>
        <w:tabs>
          <w:tab w:val="clear" w:pos="4059"/>
        </w:tabs>
        <w:ind w:left="284" w:right="0" w:firstLine="708"/>
        <w:rPr>
          <w:rFonts w:ascii="Abadi" w:hAnsi="Abadi"/>
          <w:b w:val="0"/>
          <w:bCs w:val="0"/>
          <w:sz w:val="21"/>
          <w:szCs w:val="21"/>
        </w:rPr>
      </w:pPr>
    </w:p>
    <w:p w14:paraId="7E823F70" w14:textId="77777777" w:rsidR="00135E64" w:rsidRPr="00E6379B" w:rsidRDefault="00135E64" w:rsidP="00135E64">
      <w:pPr>
        <w:pStyle w:val="Default"/>
        <w:jc w:val="both"/>
        <w:rPr>
          <w:rFonts w:ascii="Abadi" w:hAnsi="Abadi"/>
          <w:sz w:val="21"/>
          <w:szCs w:val="21"/>
        </w:rPr>
      </w:pPr>
    </w:p>
    <w:p w14:paraId="65C89EC6" w14:textId="01C133B9"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ACTA NÚMERO 2</w:t>
      </w:r>
      <w:r w:rsidR="00B76885">
        <w:rPr>
          <w:rFonts w:ascii="Abadi" w:hAnsi="Abadi"/>
          <w:b/>
          <w:bCs/>
          <w:sz w:val="21"/>
          <w:szCs w:val="21"/>
        </w:rPr>
        <w:t>8</w:t>
      </w:r>
      <w:r w:rsidR="00454854">
        <w:rPr>
          <w:rStyle w:val="Refdenotaalpie"/>
          <w:rFonts w:ascii="Abadi" w:hAnsi="Abadi"/>
          <w:b/>
          <w:bCs/>
          <w:sz w:val="21"/>
          <w:szCs w:val="21"/>
        </w:rPr>
        <w:footnoteReference w:id="2"/>
      </w:r>
    </w:p>
    <w:p w14:paraId="5C801221" w14:textId="77777777" w:rsidR="00135E64" w:rsidRDefault="00135E64" w:rsidP="00135E64">
      <w:pPr>
        <w:pStyle w:val="Default"/>
        <w:jc w:val="center"/>
        <w:rPr>
          <w:rFonts w:ascii="Abadi" w:hAnsi="Abadi"/>
          <w:b/>
          <w:bCs/>
          <w:sz w:val="21"/>
          <w:szCs w:val="21"/>
        </w:rPr>
      </w:pPr>
      <w:r w:rsidRPr="00E6379B">
        <w:rPr>
          <w:rFonts w:ascii="Abadi" w:hAnsi="Abadi"/>
          <w:b/>
          <w:bCs/>
          <w:sz w:val="21"/>
          <w:szCs w:val="21"/>
        </w:rPr>
        <w:t xml:space="preserve">SEXAGÉSIMA QUINTA LEGISLATURA CONSTITUCIONAL DEL </w:t>
      </w:r>
    </w:p>
    <w:p w14:paraId="38447406" w14:textId="77777777"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CONGRESO DEL ESTADO LIBRE Y SOBERANO DE GUANAJUATO</w:t>
      </w:r>
    </w:p>
    <w:p w14:paraId="3523E392" w14:textId="77777777"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SEGUNDO PERIODO ORDINARIO DE SESIONES</w:t>
      </w:r>
    </w:p>
    <w:p w14:paraId="3CDE2644" w14:textId="77777777"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PRIMER AÑO DE EJERCICIO CONSTITUCIONAL</w:t>
      </w:r>
    </w:p>
    <w:p w14:paraId="316ECA75" w14:textId="336DB3CC" w:rsidR="00135E64" w:rsidRDefault="00135E64" w:rsidP="00135E64">
      <w:pPr>
        <w:pStyle w:val="Default"/>
        <w:jc w:val="center"/>
        <w:rPr>
          <w:rFonts w:ascii="Abadi" w:hAnsi="Abadi"/>
          <w:b/>
          <w:bCs/>
          <w:sz w:val="21"/>
          <w:szCs w:val="21"/>
        </w:rPr>
      </w:pPr>
      <w:r w:rsidRPr="00E6379B">
        <w:rPr>
          <w:rFonts w:ascii="Abadi" w:hAnsi="Abadi"/>
          <w:b/>
          <w:bCs/>
          <w:sz w:val="21"/>
          <w:szCs w:val="21"/>
        </w:rPr>
        <w:t>SESIÓN CELEBRADA EL</w:t>
      </w:r>
      <w:r w:rsidR="00FD513B">
        <w:rPr>
          <w:rFonts w:ascii="Abadi" w:hAnsi="Abadi"/>
          <w:b/>
          <w:bCs/>
          <w:sz w:val="21"/>
          <w:szCs w:val="21"/>
        </w:rPr>
        <w:t xml:space="preserve"> 05 MAYO</w:t>
      </w:r>
      <w:r w:rsidRPr="00E6379B">
        <w:rPr>
          <w:rFonts w:ascii="Abadi" w:hAnsi="Abadi"/>
          <w:b/>
          <w:bCs/>
          <w:sz w:val="21"/>
          <w:szCs w:val="21"/>
        </w:rPr>
        <w:t xml:space="preserve"> DE 2022 </w:t>
      </w:r>
    </w:p>
    <w:p w14:paraId="1FE06551" w14:textId="77777777" w:rsidR="007E220E" w:rsidRDefault="007E220E" w:rsidP="00135E64">
      <w:pPr>
        <w:pStyle w:val="Default"/>
        <w:jc w:val="center"/>
        <w:rPr>
          <w:rFonts w:ascii="Abadi" w:hAnsi="Abadi"/>
          <w:b/>
          <w:bCs/>
          <w:sz w:val="21"/>
          <w:szCs w:val="21"/>
        </w:rPr>
      </w:pPr>
    </w:p>
    <w:p w14:paraId="5054D03F" w14:textId="77777777" w:rsidR="00711CB3" w:rsidRDefault="00135E64" w:rsidP="00135E64">
      <w:pPr>
        <w:pStyle w:val="Default"/>
        <w:jc w:val="center"/>
        <w:rPr>
          <w:rFonts w:ascii="Abadi" w:hAnsi="Abadi"/>
          <w:b/>
          <w:bCs/>
          <w:sz w:val="21"/>
          <w:szCs w:val="21"/>
        </w:rPr>
      </w:pPr>
      <w:r w:rsidRPr="00E6379B">
        <w:rPr>
          <w:rFonts w:ascii="Abadi" w:hAnsi="Abadi"/>
          <w:b/>
          <w:bCs/>
          <w:sz w:val="21"/>
          <w:szCs w:val="21"/>
        </w:rPr>
        <w:t xml:space="preserve"> PRESIDENCIA DE LA DIPUTADA</w:t>
      </w:r>
    </w:p>
    <w:p w14:paraId="0259B67C" w14:textId="70AA4CE5" w:rsidR="00135E64" w:rsidRPr="00E6379B" w:rsidRDefault="00135E64" w:rsidP="00135E64">
      <w:pPr>
        <w:pStyle w:val="Default"/>
        <w:jc w:val="center"/>
        <w:rPr>
          <w:rFonts w:ascii="Abadi" w:hAnsi="Abadi"/>
          <w:b/>
          <w:bCs/>
          <w:sz w:val="21"/>
          <w:szCs w:val="21"/>
        </w:rPr>
      </w:pPr>
      <w:r w:rsidRPr="00E6379B">
        <w:rPr>
          <w:rFonts w:ascii="Abadi" w:hAnsi="Abadi"/>
          <w:b/>
          <w:bCs/>
          <w:sz w:val="21"/>
          <w:szCs w:val="21"/>
        </w:rPr>
        <w:t xml:space="preserve"> IRMA LETICIA GONZÁLEZ SÁNCHEZ</w:t>
      </w:r>
    </w:p>
    <w:p w14:paraId="0825DC28" w14:textId="77777777" w:rsidR="00307D50" w:rsidRPr="00E807BA" w:rsidRDefault="00307D50" w:rsidP="00307D50">
      <w:pPr>
        <w:pStyle w:val="Default"/>
        <w:jc w:val="both"/>
        <w:rPr>
          <w:rFonts w:ascii="Abadi" w:hAnsi="Abadi"/>
          <w:sz w:val="21"/>
          <w:szCs w:val="21"/>
        </w:rPr>
      </w:pPr>
    </w:p>
    <w:p w14:paraId="2F7BA2F5" w14:textId="5D64A89D" w:rsidR="00307D50" w:rsidRPr="00E807BA" w:rsidRDefault="00307D50" w:rsidP="00307D50">
      <w:pPr>
        <w:pStyle w:val="Default"/>
        <w:ind w:firstLine="708"/>
        <w:jc w:val="both"/>
        <w:rPr>
          <w:rFonts w:ascii="Abadi" w:hAnsi="Abadi"/>
          <w:sz w:val="21"/>
          <w:szCs w:val="21"/>
        </w:rPr>
      </w:pPr>
      <w:r w:rsidRPr="00E807BA">
        <w:rPr>
          <w:rFonts w:ascii="Abadi" w:hAnsi="Abadi"/>
          <w:sz w:val="21"/>
          <w:szCs w:val="21"/>
        </w:rPr>
        <w:t xml:space="preserve">En la ciudad de Guanajuato, capital del Estado del mismo nombre, se reunieron las diputadas y los diputados que integran la Sexagésima Quinta Legislatura del Congreso del Estado Libre y Soberano de Guanajuato a efecto de llevar a cabo la sesión ordinaria, en los términos de la convocatoria, la cual tuvo el siguiente desarrollo: - - - - - - - - - - - - - - - - - - - - - </w:t>
      </w:r>
    </w:p>
    <w:p w14:paraId="352752DC" w14:textId="3734C64D" w:rsidR="00307D50" w:rsidRPr="00E807BA" w:rsidRDefault="00307D50" w:rsidP="00307D50">
      <w:pPr>
        <w:pStyle w:val="Default"/>
        <w:ind w:firstLine="708"/>
        <w:jc w:val="both"/>
        <w:rPr>
          <w:rFonts w:ascii="Abadi" w:hAnsi="Abadi"/>
          <w:sz w:val="21"/>
          <w:szCs w:val="21"/>
        </w:rPr>
      </w:pPr>
      <w:r w:rsidRPr="00E807BA">
        <w:rPr>
          <w:rFonts w:ascii="Abadi" w:hAnsi="Abadi"/>
          <w:sz w:val="21"/>
          <w:szCs w:val="21"/>
        </w:rPr>
        <w:t xml:space="preserve">La presidencia solicitó a la secretaría certificar el cuórum conforme al registro de asistencia del sistema electrónico. - - - - - - - - - - - - - - - - - - - - - </w:t>
      </w:r>
    </w:p>
    <w:p w14:paraId="40A27F8D" w14:textId="7EA83988" w:rsidR="00307D50" w:rsidRPr="00E807BA" w:rsidRDefault="00307D50" w:rsidP="00307D50">
      <w:pPr>
        <w:pStyle w:val="Default"/>
        <w:ind w:firstLine="708"/>
        <w:jc w:val="both"/>
        <w:rPr>
          <w:rFonts w:ascii="Abadi" w:hAnsi="Abadi"/>
          <w:sz w:val="21"/>
          <w:szCs w:val="21"/>
        </w:rPr>
      </w:pPr>
      <w:r w:rsidRPr="00E807BA">
        <w:rPr>
          <w:rFonts w:ascii="Abadi" w:hAnsi="Abadi"/>
          <w:sz w:val="21"/>
          <w:szCs w:val="21"/>
        </w:rPr>
        <w:t xml:space="preserve">Se registró la presencia de treinta y cuatro diputadas y diputados. La diputada Hades Berenice Aguilar Castillo se incorporó en el desarrollo del punto dieciséis del orden del día. Se registró la inasistencia del diputado Jorge Ortíz Ortega, justificada por la presidencia en virtud del oficio presentado previamente en términos del artículo veintiocho de la Ley Orgánica del Poder Legislativo del Estado. - - - - - - - - - - - - - - - - - - - - - - - - </w:t>
      </w:r>
    </w:p>
    <w:p w14:paraId="35041A34" w14:textId="16B41424" w:rsidR="00307D50" w:rsidRPr="00E807BA" w:rsidRDefault="00307D50" w:rsidP="00307D50">
      <w:pPr>
        <w:pStyle w:val="Default"/>
        <w:ind w:firstLine="708"/>
        <w:jc w:val="both"/>
        <w:rPr>
          <w:rFonts w:ascii="Abadi" w:hAnsi="Abadi"/>
          <w:sz w:val="21"/>
          <w:szCs w:val="21"/>
        </w:rPr>
      </w:pPr>
      <w:r w:rsidRPr="00E807BA">
        <w:rPr>
          <w:rFonts w:ascii="Abadi" w:hAnsi="Abadi"/>
          <w:sz w:val="21"/>
          <w:szCs w:val="21"/>
        </w:rPr>
        <w:t xml:space="preserve">Comprobado el cuórum legal, la presidencia declaró abierta la sesión a las once horas con cinco minutos del cinco de mayo de dos mil veintidós. - - - - - - - - - - - </w:t>
      </w:r>
    </w:p>
    <w:p w14:paraId="796E141B" w14:textId="157554C4" w:rsidR="00307D50" w:rsidRPr="00E807BA" w:rsidRDefault="00307D50" w:rsidP="00307D50">
      <w:pPr>
        <w:pStyle w:val="Default"/>
        <w:ind w:firstLine="708"/>
        <w:jc w:val="both"/>
        <w:rPr>
          <w:rFonts w:ascii="Abadi" w:hAnsi="Abadi"/>
          <w:sz w:val="21"/>
          <w:szCs w:val="21"/>
        </w:rPr>
      </w:pPr>
      <w:r w:rsidRPr="00E807BA">
        <w:rPr>
          <w:rFonts w:ascii="Abadi" w:hAnsi="Abadi"/>
          <w:sz w:val="21"/>
          <w:szCs w:val="21"/>
        </w:rPr>
        <w:t xml:space="preserve">La secretaría por instrucción de la presidencia dio lectura al orden del día; mismo que en modalidad electrónica resultó aprobado por unanimidad, en votación económica, sin discusión, con treinta y dos votos. - - - - - - - - - - - - - - - - </w:t>
      </w:r>
    </w:p>
    <w:p w14:paraId="0F063A23" w14:textId="77777777" w:rsidR="00307D50" w:rsidRPr="00E807BA" w:rsidRDefault="00307D50" w:rsidP="00307D50">
      <w:pPr>
        <w:pStyle w:val="Default"/>
        <w:ind w:firstLine="708"/>
        <w:jc w:val="both"/>
        <w:rPr>
          <w:rFonts w:ascii="Abadi" w:hAnsi="Abadi"/>
          <w:sz w:val="21"/>
          <w:szCs w:val="21"/>
        </w:rPr>
      </w:pPr>
      <w:r w:rsidRPr="00E807BA">
        <w:rPr>
          <w:rFonts w:ascii="Abadi" w:hAnsi="Abadi"/>
          <w:sz w:val="21"/>
          <w:szCs w:val="21"/>
        </w:rPr>
        <w:t xml:space="preserve">En votación económica, se aprobó por unanimidad, con treinta y dos votos, sin discusión, la propuesta de dispensa de lectura del acta de la sesión ordinaria celebrada el veintiocho de abril del año en curso. En los mismos términos, con treinta y dos votos se aprobó el acta de referencia. </w:t>
      </w:r>
    </w:p>
    <w:p w14:paraId="7CF0FA99" w14:textId="514192B5" w:rsidR="00307D50" w:rsidRPr="00E807BA" w:rsidRDefault="00307D50" w:rsidP="00307D50">
      <w:pPr>
        <w:pStyle w:val="Default"/>
        <w:ind w:firstLine="708"/>
        <w:jc w:val="both"/>
        <w:rPr>
          <w:rFonts w:ascii="Abadi" w:hAnsi="Abadi"/>
          <w:sz w:val="21"/>
          <w:szCs w:val="21"/>
        </w:rPr>
      </w:pPr>
      <w:r w:rsidRPr="00E807BA">
        <w:rPr>
          <w:rFonts w:ascii="Abadi" w:hAnsi="Abadi"/>
          <w:sz w:val="21"/>
          <w:szCs w:val="21"/>
        </w:rPr>
        <w:t xml:space="preserve">En votación económica se aprobó por unanimidad, con treinta y dos votos, la propuesta de dispensa de lectura de las comunicaciones y correspondencia recibidas, en razón de encontrarse en la Gaceta Parlamentaria. Una vez lo cual, la presidencia ordenó ejecutar los acuerdos dictados a las comunicaciones y correspondencia recibidas. - - - - - - - - - - - </w:t>
      </w:r>
    </w:p>
    <w:p w14:paraId="43CAAE07" w14:textId="4D0FBDB0" w:rsidR="00307D50" w:rsidRPr="00E807BA" w:rsidRDefault="00307D50" w:rsidP="00307D50">
      <w:pPr>
        <w:pStyle w:val="Default"/>
        <w:ind w:firstLine="708"/>
        <w:jc w:val="both"/>
        <w:rPr>
          <w:rFonts w:ascii="Abadi" w:hAnsi="Abadi"/>
          <w:sz w:val="21"/>
          <w:szCs w:val="21"/>
        </w:rPr>
      </w:pPr>
      <w:r w:rsidRPr="00E807BA">
        <w:rPr>
          <w:rFonts w:ascii="Abadi" w:hAnsi="Abadi"/>
          <w:sz w:val="21"/>
          <w:szCs w:val="21"/>
        </w:rPr>
        <w:t xml:space="preserve">La presidencia dio cuenta con el Cuarto Informe de Gobierno que remitió el Gobernador del Estado, en términos del artículo setenta y ocho de la Constitución Política para el Estado de Guanajuato y pidió a la secretaría dar lectura al oficio de su remisión. Agotada la lectura, la presidencia manifestó que la asamblea por su conducto se daba por enterada y que se recibía el informe, asimismo, comunicó que la Secretaría General en esta fecha estaría entregando un ejemplar del mismo a las diputadas y los diputados para su conocimiento y análisis, de acuerdo a la mecánica aprobada por la Junta de Gobierno y Coordinación Política, y que dicho informe se publicaría en la página web del Congreso del Estado. - - - - - - - - </w:t>
      </w:r>
    </w:p>
    <w:p w14:paraId="5183127E" w14:textId="3D0B2F1C"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sz w:val="21"/>
          <w:szCs w:val="21"/>
        </w:rPr>
        <w:t xml:space="preserve">La presidencia dio cuenta con la propuesta de terna para la designación de la persona que ocupe la titularidad del Órgano Interno de Control del Instituto Electoral del Estado de Guanajuato, formulada por el Consejo General de dicho Instituto; y procedió a turnarla a la Comisión de Gobernación y Puntos Constitucionales, con fundamento en el artículo ciento once </w:t>
      </w:r>
      <w:r w:rsidRPr="00E807BA">
        <w:rPr>
          <w:rFonts w:ascii="Abadi" w:hAnsi="Abadi" w:cstheme="minorBidi"/>
          <w:color w:val="auto"/>
          <w:sz w:val="21"/>
          <w:szCs w:val="21"/>
        </w:rPr>
        <w:t xml:space="preserve">fracción décima primera- de la Ley Orgánica del Poder Legislativo del Estado, para su estudio y dictamen. - - - - - - </w:t>
      </w:r>
      <w:r w:rsidR="00A12915">
        <w:rPr>
          <w:rFonts w:ascii="Abadi" w:hAnsi="Abadi" w:cstheme="minorBidi"/>
          <w:color w:val="auto"/>
          <w:sz w:val="21"/>
          <w:szCs w:val="21"/>
        </w:rPr>
        <w:t xml:space="preserve">- - - - - - - - - - - - - - - - </w:t>
      </w:r>
    </w:p>
    <w:p w14:paraId="2C693E59" w14:textId="711B1558" w:rsidR="00307D50" w:rsidRPr="00E807BA" w:rsidRDefault="00307D50" w:rsidP="00307D50">
      <w:pPr>
        <w:pStyle w:val="Default"/>
        <w:ind w:firstLine="708"/>
        <w:jc w:val="both"/>
        <w:rPr>
          <w:rFonts w:ascii="Abadi" w:hAnsi="Abadi"/>
          <w:color w:val="auto"/>
          <w:sz w:val="21"/>
          <w:szCs w:val="21"/>
        </w:rPr>
      </w:pPr>
      <w:r w:rsidRPr="00E807BA">
        <w:rPr>
          <w:rFonts w:ascii="Abadi" w:hAnsi="Abadi" w:cstheme="minorBidi"/>
          <w:color w:val="auto"/>
          <w:sz w:val="21"/>
          <w:szCs w:val="21"/>
        </w:rPr>
        <w:t xml:space="preserve">La presidencia dio la bienvenida a activistas de la comunidad LGBTI+ encabezados por el embajador gay de Guanajuato, la familia </w:t>
      </w:r>
      <w:r w:rsidRPr="00E807BA">
        <w:rPr>
          <w:rFonts w:ascii="Abadi" w:hAnsi="Abadi"/>
          <w:color w:val="auto"/>
          <w:sz w:val="21"/>
          <w:szCs w:val="21"/>
        </w:rPr>
        <w:t xml:space="preserve">O’Farril, la organización democrática mundial y Grupo Croma, invitados por la diputada Ruth Noemí Tiscareño Agoitia. - - - - - - - - - - - - </w:t>
      </w:r>
    </w:p>
    <w:p w14:paraId="5C899640" w14:textId="61586E3F" w:rsidR="00307D50" w:rsidRDefault="00307D50" w:rsidP="00307D50">
      <w:pPr>
        <w:pStyle w:val="Default"/>
        <w:ind w:firstLine="708"/>
        <w:jc w:val="both"/>
        <w:rPr>
          <w:rFonts w:ascii="Abadi" w:hAnsi="Abadi"/>
          <w:color w:val="auto"/>
          <w:sz w:val="21"/>
          <w:szCs w:val="21"/>
        </w:rPr>
      </w:pPr>
      <w:r w:rsidRPr="00E807BA">
        <w:rPr>
          <w:rFonts w:ascii="Abadi" w:hAnsi="Abadi"/>
          <w:color w:val="auto"/>
          <w:sz w:val="21"/>
          <w:szCs w:val="21"/>
        </w:rPr>
        <w:t xml:space="preserve">La diputada Ruth Noemí Tiscareño Agoitia, a petición de la presidencia, dio lectura a la exposición de motivos de la iniciativa suscrita por ella y los diputados integrantes del Grupo Parlamentario del Partido Revolucionario Institucional a efecto de adicionar un segundo párrafo al artículo treinta y siete y los artículos ciento treinta y ocho bis, ciento treinta y ocho ter, ciento treinta y ocho quater y ciento treinta y ocho quinquies al Código Civil para el Estado de Guanajuato. La presidencia turnó la iniciativa a la Comisión de Justicia, con fundamento en el artículo ciento trece -fracción segunda- de la Ley Orgánica del Poder Legislativo del Estado, para su estudio y dictamen. </w:t>
      </w:r>
      <w:r w:rsidR="00A12915">
        <w:rPr>
          <w:rFonts w:ascii="Abadi" w:hAnsi="Abadi"/>
          <w:color w:val="auto"/>
          <w:sz w:val="21"/>
          <w:szCs w:val="21"/>
        </w:rPr>
        <w:t xml:space="preserve">- - - - - - - - - - - - - - - </w:t>
      </w:r>
    </w:p>
    <w:p w14:paraId="0A4A344B" w14:textId="77777777" w:rsidR="00A12915" w:rsidRDefault="00307D50" w:rsidP="00307D50">
      <w:pPr>
        <w:pStyle w:val="Default"/>
        <w:ind w:firstLine="708"/>
        <w:jc w:val="both"/>
        <w:rPr>
          <w:rFonts w:ascii="Abadi" w:hAnsi="Abadi"/>
          <w:color w:val="auto"/>
          <w:sz w:val="21"/>
          <w:szCs w:val="21"/>
        </w:rPr>
      </w:pPr>
      <w:r w:rsidRPr="00E807BA">
        <w:rPr>
          <w:rFonts w:ascii="Abadi" w:hAnsi="Abadi"/>
          <w:color w:val="auto"/>
          <w:sz w:val="21"/>
          <w:szCs w:val="21"/>
        </w:rPr>
        <w:t xml:space="preserve">El diputado Gustavo Adolfo Alfaro Reyes, a petición de la presidencia, dio lectura a la exposición de motivos de la iniciativa formulada por él y por el diputado Alejandro Arias Ávila integrantes del Grupo Parlamentario del Partido Revolucionario Institucional a efecto de reformar los artículos uno, doscientos veintiséis y doscientos veintisiete de la Ley de Salud del Estado de Guanajuato y los artículos quinto y ciento cuarenta y nueve de la Ley para la Protección y Preservación del Ambiente del Estado de Guanajuato. </w:t>
      </w:r>
    </w:p>
    <w:p w14:paraId="2555FEC0" w14:textId="3C7B4097" w:rsidR="00307D50" w:rsidRDefault="00A12915" w:rsidP="00307D50">
      <w:pPr>
        <w:pStyle w:val="Default"/>
        <w:ind w:firstLine="708"/>
        <w:jc w:val="both"/>
        <w:rPr>
          <w:rFonts w:ascii="Abadi" w:hAnsi="Abadi"/>
          <w:color w:val="auto"/>
          <w:sz w:val="21"/>
          <w:szCs w:val="21"/>
        </w:rPr>
      </w:pPr>
      <w:r>
        <w:rPr>
          <w:rFonts w:ascii="Abadi" w:hAnsi="Abadi"/>
          <w:color w:val="auto"/>
          <w:sz w:val="21"/>
          <w:szCs w:val="21"/>
        </w:rPr>
        <w:t xml:space="preserve">- </w:t>
      </w:r>
      <w:r w:rsidR="00307D50" w:rsidRPr="00E807BA">
        <w:rPr>
          <w:rFonts w:ascii="Abadi" w:hAnsi="Abadi"/>
          <w:color w:val="auto"/>
          <w:sz w:val="21"/>
          <w:szCs w:val="21"/>
        </w:rPr>
        <w:t xml:space="preserve">La presidencia turnó la iniciativa a la Comisión de Salud Pública, con fundamento en el artículo ciento dieciocho -fracciones primera y cuarta- de la Ley Orgánica del Poder Legislativo del Estado, para su estudio y dictamen. - - - - - - </w:t>
      </w:r>
      <w:r>
        <w:rPr>
          <w:rFonts w:ascii="Abadi" w:hAnsi="Abadi"/>
          <w:color w:val="auto"/>
          <w:sz w:val="21"/>
          <w:szCs w:val="21"/>
        </w:rPr>
        <w:t xml:space="preserve">- - - - </w:t>
      </w:r>
    </w:p>
    <w:p w14:paraId="6F1ADBFF" w14:textId="4C9280C9" w:rsidR="00307D50" w:rsidRPr="00E807BA" w:rsidRDefault="00307D50" w:rsidP="00307D50">
      <w:pPr>
        <w:pStyle w:val="Default"/>
        <w:ind w:firstLine="708"/>
        <w:jc w:val="both"/>
        <w:rPr>
          <w:rFonts w:ascii="Abadi" w:hAnsi="Abadi"/>
          <w:color w:val="auto"/>
          <w:sz w:val="21"/>
          <w:szCs w:val="21"/>
        </w:rPr>
      </w:pPr>
      <w:r w:rsidRPr="00E807BA">
        <w:rPr>
          <w:rFonts w:ascii="Abadi" w:hAnsi="Abadi"/>
          <w:color w:val="auto"/>
          <w:sz w:val="21"/>
          <w:szCs w:val="21"/>
        </w:rPr>
        <w:t xml:space="preserve">La presidencia dio la bienvenida a estudiantes de la Facultad de Derecho de la Universidad de León, plantel Celaya, Guanajuato, perteneciente al Distrito décimo quinto, así como a Gallos FC de Tarimoro, quienes representaron a Guanajuato en la Liga UPSL MX división dos y quedaron como subcampeones, todos invitados por la diputada María de la Luz Hernández Martínez. - - - - - - - - - </w:t>
      </w:r>
      <w:r w:rsidR="00A12915">
        <w:rPr>
          <w:rFonts w:ascii="Abadi" w:hAnsi="Abadi"/>
          <w:color w:val="auto"/>
          <w:sz w:val="21"/>
          <w:szCs w:val="21"/>
        </w:rPr>
        <w:t>- - -</w:t>
      </w:r>
    </w:p>
    <w:p w14:paraId="7476B414" w14:textId="188A636C" w:rsidR="00307D50" w:rsidRDefault="00307D50" w:rsidP="00307D50">
      <w:pPr>
        <w:pStyle w:val="Default"/>
        <w:ind w:firstLine="708"/>
        <w:jc w:val="both"/>
        <w:rPr>
          <w:rFonts w:ascii="Abadi" w:hAnsi="Abadi"/>
          <w:color w:val="auto"/>
          <w:sz w:val="21"/>
          <w:szCs w:val="21"/>
        </w:rPr>
      </w:pPr>
      <w:r w:rsidRPr="00E807BA">
        <w:rPr>
          <w:rFonts w:ascii="Abadi" w:hAnsi="Abadi"/>
          <w:color w:val="auto"/>
          <w:sz w:val="21"/>
          <w:szCs w:val="21"/>
        </w:rPr>
        <w:t xml:space="preserve">El diputado José Alfonso Borja Pimentel, por instrucciones de la presidencia, dio lectura a la exposición de motivos de la iniciativa suscrita por diputadas y diputados integrantes del Grupo Parlamentario del Partido Acción Nacional a efecto de reformar, adicionar y derogar diversas disposiciones de la Ley de Contrataciones Públicas para el Estado de Guanajuato. La presidencia turnó la iniciativa a la Comisión de Hacienda y Fiscalización, con fundamento en el artículo ciento doce -fracción décima quinta- de la Ley Orgánica del Poder Legislativo del Estado, para su estudio y dictamen. - - - - - - - - - - - - - - - - - - - - - - </w:t>
      </w:r>
    </w:p>
    <w:p w14:paraId="08E75995" w14:textId="2B636F32" w:rsidR="00307D50" w:rsidRPr="00E807BA" w:rsidRDefault="00307D50" w:rsidP="00307D50">
      <w:pPr>
        <w:pStyle w:val="Default"/>
        <w:ind w:firstLine="708"/>
        <w:jc w:val="both"/>
        <w:rPr>
          <w:rFonts w:ascii="Abadi" w:hAnsi="Abadi" w:cstheme="minorBidi"/>
          <w:color w:val="auto"/>
          <w:sz w:val="21"/>
          <w:szCs w:val="21"/>
        </w:rPr>
      </w:pPr>
      <w:r>
        <w:rPr>
          <w:rFonts w:ascii="Abadi" w:hAnsi="Abadi" w:cstheme="minorBidi"/>
          <w:color w:val="auto"/>
          <w:sz w:val="21"/>
          <w:szCs w:val="21"/>
        </w:rPr>
        <w:t xml:space="preserve">La </w:t>
      </w:r>
      <w:r w:rsidRPr="00E807BA">
        <w:rPr>
          <w:rFonts w:ascii="Abadi" w:hAnsi="Abadi" w:cstheme="minorBidi"/>
          <w:color w:val="auto"/>
          <w:sz w:val="21"/>
          <w:szCs w:val="21"/>
        </w:rPr>
        <w:t xml:space="preserve">diputada Janet Melanie Murillo Chávez, por instrucciones de la presidencia, dio lectura a la exposición de motivos de la iniciativa formulada por diputadas y diputados integrantes del Grupo Parlamentario del Partido Acción Nacional a efecto de adicionar la fracción quinta al artículo doscientos nueve de la Ley Orgánica del Poder Legislativo del Estado de Guanajuato. La presidencia turnó la iniciativa a la Comisión de Gobernación y Puntos Constitucionales, con fundamento en el artículo ciento once -fracción segunda- de la Ley Orgánica del Poder Legislativo del Estado, para su estudio y dictamen. - - - - - - - - - - - - - - - </w:t>
      </w:r>
    </w:p>
    <w:p w14:paraId="2E64556A" w14:textId="20AD9247"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La diputada Alma Edwviges Alcaraz Hernández integrante del Grupo Parlamentario del Partido MORENA, por instrucciones de la presidencia, dio lectura a la exposición de motivos de su iniciativa a efecto de reformar la fracción quinta y adicionar las fracciones séptima y octava del artículo ochenta y cinco de la Constitución Política para el Estado de Guanajuato. La presidencia turnó la iniciativa a la Comisión de Gobernación y Puntos Constitucionales, con fundamento en el artículo ciento once -fracción primera- de la Ley Orgánica del Poder Legislativo del Estado, para su estudio y dictamen. - - </w:t>
      </w:r>
    </w:p>
    <w:p w14:paraId="5A2D8465" w14:textId="5F42DB33"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El diputado David Martínez Mendizábal, por instrucciones de la presidencia, dio lectura a la exposición de motivos de la iniciativa suscrita por la diputada Dessire Angel Rocha, el diputado Gerardo Fernández González y diputadas y diputados integrantes del Grupo Parlamentario del Partido MORENA a efecto de reformar los artículos seis y trece con el anexo dos de la Ley del Presupuesto General de Egresos del Estado de Guanajuato para el Ejercicio Fiscal de dos mil veintidós. Durante la lectura se registró la moción de orden para que el orador se ajustara a la exposición de motivos de la iniciativa, por parte de la diputada Susana Bermúdez Cano, lo que fue negado por la presidencia señalando que no se permitía interrumpir al orador. La presidencia turnó la iniciativa a las Comisiones Unidas de Hacienda y Fiscalización y de Gobernación y Puntos Constitucionales, con fundamento en los artículos ciento doce -fracción tercera- y ciento once -fracción décima séptima-, así como el último párrafo de dichos artículos de la Ley Orgánica del Poder Legislativo del Estado, para su estudio y dictamen. - - - - - - - - - - - - - - - </w:t>
      </w:r>
    </w:p>
    <w:p w14:paraId="1F3CFC12" w14:textId="31247901"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La presidencia dio cuenta con la solicitud formulada por el ayuntamiento de Moroleón, Guanajuato, a efecto de que se le autorice la contratación de uno o varios financiamientos para destinarlos a proyectos de inversión pública productiva. La presidencia turnó la iniciativa a la Comisión de Hacienda y Fiscalización, con fundamento en el artículo ciento doce -fracción sexta- de la Ley Orgánica del Poder Legislativo del Estado, para su estudio y dictamen. - - - - - - - - - - - </w:t>
      </w:r>
      <w:r w:rsidR="00A12915">
        <w:rPr>
          <w:rFonts w:ascii="Abadi" w:hAnsi="Abadi" w:cstheme="minorBidi"/>
          <w:color w:val="auto"/>
          <w:sz w:val="21"/>
          <w:szCs w:val="21"/>
        </w:rPr>
        <w:t xml:space="preserve">- - - - </w:t>
      </w:r>
    </w:p>
    <w:p w14:paraId="2A486D7C" w14:textId="4E478031" w:rsidR="00307D50" w:rsidRPr="00E807BA" w:rsidRDefault="00307D50" w:rsidP="00A12915">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La presidencia dio cuenta con los informes de resultados formulados por la Auditoría Superior del Estado de Guanajuato relativos a las revisiones practicadas a las cuentas públicas municipales de Abasolo, Apaseo el Grande, Dolores Hidalgo Cuna de la Independencia Nacional, San José Iturbide, Santa Cruz de Juventino Rosas y Villagrán, correspondientes al ejercicio fiscal del año dos mil veinte; y los turnó a la Comisión de Hacienda y Fiscalización, con fundamento en el artículo ciento doce -fracción décima segunda- de la Ley Orgánica del Poder Legislativo del Estado, para su estudio y dictamen. - - - - - - - - - - - - - - - - - - - - - - </w:t>
      </w:r>
    </w:p>
    <w:p w14:paraId="379D0005" w14:textId="280DBB9B"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El diputado David Martínez Mendizábal integrante del Grupo Parlamentario del Partido MORENA, a petición de la presidencia, dio lectura a su propuesta de punto de acuerdo a efecto de exhortar al Gobernador del Estado, Diego Sinhue Rodríguez Vallejo, para que incluya la frase Kína sa´íh (pase usted) proveniente de la lengua originaria (chichimeca jonaz), en la señalética de espacios públicos, instalaciones culturales oficiales, oficinas y en los letreros de bienvenida al Estado y cabeceras municipales; al Instituto Estatal de la Cultura para que implante o mejore las acciones de promoción, educación popular y difusión que contribuyan a la revitalización y protección del patrimonio lingüístico del Estado, tales como la visibilización de la lengua chichimeca en los diversos espacios públicos; y a esta Legislatura para que lleve a cabo las acciones necesarias para adecuar la señalética de los espacios del Poder Legislativo del Estado, con la finalidad de incluir la lengua chichimeca jonaz. La presidencia turnó la propuesta a la Comisión de Educación, Ciencia y Tecnología y Cultura, con fundamento en el artículo ciento nueve -fracción cuarta- de la Ley Orgánica del Poder Legislativo del Estado, para su estudio y dictamen. - - - - - </w:t>
      </w:r>
    </w:p>
    <w:p w14:paraId="1D168EB8" w14:textId="31E3010D"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La diputada Ruth Noemí Tiscareño Agoitia integrante del Grupo Parlamentario del Partido Revolucionario Institucional, a petición de la presidencia, dio lectura a su propuesta de punto de acuerdo a efecto de exhortar al Director de Petróleos Mexicanos (PEMEX); a Fidel Vizcaino García, Gerente de RIAMA; así como a la Secretaria del Trabajo y Previsión Social para que den cumplimiento con el contrato colectivo de trabajo y doten de estabilidad y seguridad laboral a los trabajadores de la Refinería Antonio M. Amor (RIAMA) ubicada en Salamanca, Guanajuato. La presidencia turnó la propuesta a la Comisión de Desarrollo Económico y Social, con fundamento en el artículo ciento siete -fracción quinta- de la Ley Orgánica del Poder Legislativo del Estado, para su estudio y dictamen. - - - - - - - - - - - - - - - </w:t>
      </w:r>
    </w:p>
    <w:p w14:paraId="056DE697" w14:textId="6CAC1E18"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La presidencia indicó que la mesa directiva procedería a cerciorarse de la presencia de las diputadas y los diputados asistentes a la sesión y les solicito abstenerse de abandonar el salón durante las votaciones. - - - - - - - - - - - - - - - - - - - </w:t>
      </w:r>
    </w:p>
    <w:p w14:paraId="6433D5BE" w14:textId="220B7EC6"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La diputada Alma Edwviges Alcaraz Hernández, a petición de la presidencia, dio lectura a la propuesta de punto de acuerdo de obvia resolución suscrita por diputadas y diputados integrantes del Grupo Parlamentario del Partido MORENA a efecto de exhortar al Gobernador Diego Sinhue Rodríguez Vallejo para que, por conducto de la Secretaría de Gobierno, inicie las acciones de inspección a las condiciones de trabajo de las y los periodistas del Estado de Guanajuato, con la finalidad de garantizar sus derechos humanos laborales; y elabore, a la brevedad, un informe público acerca de las condiciones laborales del sector periodístico que prevalecen en el Estado de Guanajuato. Agotada la lectura, en los términos solicitados por las y los proponentes, se sometió a consideración de la Asamblea declarar de obvia resolución la propuesta de punto de acuerdo, con fundamento en lo dispuesto por el artículo ciento setenta y siete de la Ley Orgánica del Poder Legislativo del Estado, registrándose la intervención del diputado Bricio Balderas Álvarez para hablar en contra de la obvia resolución; durante su intervención la diputada Alma Edwviges Alcaraz Hernández solicitó una moción de orden señalando que el orador no estaba hablando sobre la obvia resolución. Concluida la intervención, se recabó votación económica mediante el sistema electrónico, no resultando aprobada la obvia resolución, al registrarse diez votos a favor y veinticuatro votos en contra. En consecuencia, la presidencia turnó la propuesta de punto de acuerdo a la Comisión de Gobernación y Puntos Constitucionales, con fundamento en el artículo ciento once -fracción décima novena- de la Ley Orgánica del Poder Legislativo del Estado, para su estudio y dictamen. - - - - - - - - - - - - - - - - - - - - - - </w:t>
      </w:r>
    </w:p>
    <w:p w14:paraId="339BBE47" w14:textId="2E0B35BE" w:rsidR="00307D50"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La diputada Alma Edwviges Alcaraz Hernández integrante del Grupo Parlamentario del Partido MORENA, a petición de la presidencia, dio lectura a su propuesta de punto de acuerdo de obvia resolución a efecto de exhortar a la Presidenta Municipal de Irapuato, Lorena del Carmen Alfaro García, para que deje de criminalizar y perseguir penalmente a las mujeres que, en ejercicio de sus derechos constitucionales, fueron violentadas por la policía municipal de Irapuato. Agotada la lectura, en los términos solicitados por la proponente, se sometió a consideración de la Asamblea declarar de obvia resolución la propuesta de punto de acuerdo, con fundamento en lo dispuesto por el artículo ciento setenta y siete de la Ley Orgánica del Poder Legislativo del Estado, resultando aprobada la obvia resolución, en votación económica, en la modalidad electrónica, por unanimidad al registrarse treinta y tres votos, sin discusión. Se sometió a discusión el punto de acuerdo, registrándose las intervenciones de la diputada Susana Bermúdez Cano para hablar en contra; del diputado David Martínez Mendizábal para hablar a favor; de la diputada Yulma Rocha Aguilar para hablar en contra; durante su intervención la diputada Laura Cristina Márquez Alcalá cuestionó si la oradora estaba hablando a favor o en contra, dando contestación la oradora que en los términos solicitados; por su parte el diputado Armando Rangel Hernández, solicitó interpelar a la oradora, lo que fue aceptado, al término de su intervención fue rectificada en hechos por la diputada Alma Edwviges Alcaraz Hernández; y por último, del diputado Alejandro Arias Ávila para hablar en contra. Agotadas las intervenciones, se recabó votación nominal, en la modalidad electrónica, resultando no aprobada la propuesta de punto de acuerdo, al registrarse diez votos a favor y veinticuatro votos en contra, con el voto razonado de la diputada Irma Leticia González Sánchez. En consecuencia, la presidencia declaró que procedía el archivo definitivo, instruyendo para tal efecto a la Secretaría General. - - - - - - - - - - - - - - - - - - - - - - - </w:t>
      </w:r>
    </w:p>
    <w:p w14:paraId="78DF84FA" w14:textId="5FD765C3"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El diputado Pablo Alonso Ripoll, a petición de la presidencia, dio lectura a su propuesta de punto de acuerdo de obvia resolución a efecto de exhortar a la Unidad de Asuntos Internos de la Secretaría de Seguridad Pública Municipal del municipio de Irapuato, para que en cumplimiento de sus atribuciones contenidas en el artículo sesenta y tres de la Ley del Servicio Profesional de Carrera Policial del Estado y Municipios de Guanajuato, investigue el cumplimiento o no de las obligaciones contenidas en las fracciones primera y quinta del artículo once de la Ley citada, por parte de las y los elementos de policía que realizaron detenciones en la manifestación de mujeres el pasado primero de mayo de dos mil veintidós, y en relación a las denuncias que debieron presentarse por todo aquel integrante de la corporación policial al tener conocimiento de los hechos cometidos por sus compañeras y compañeros. Agotada la lectura, en los términos solicitados por el proponente, se sometió a consideración de la Asamblea declarar de obvia resolución la propuesta de punto de acuerdo, con fundamento en lo dispuesto por el artículo ciento setenta y siete de la Ley Orgánica del Poder Legislativo del Estado, resultando aprobada la obvia resolución, en votación económica, en la modalidad electrónica, por unanimidad al registrarse treinta y cuatro votos, sin discusión. Se sometió a discusión el punto de acuerdo, registrándose la intervención del diputado Víctor Manuel Zanella Huerta para hablar en contra. Agotada la intervención, se recabó votación nominal, en la modalidad electrónica, resultando no aprobado al registrarse diez votos a favor y veinticuatro votos en contra, con los votos razonados de las diputadas Yulma Rocha Aguilar e Irma González Sánchez y del diputado David Martínez Mendizábal. El diputado Armando Rangel Hernández solicitó una moción de orden sobre el razonamiento de votos. En consecuencia, la presidencia declaró que procedía el archivo definitivo, instruyendo para tal efecto a la Secretaría General. - - - - - - - - - - - - </w:t>
      </w:r>
      <w:r w:rsidR="00A12915">
        <w:rPr>
          <w:rFonts w:ascii="Abadi" w:hAnsi="Abadi" w:cstheme="minorBidi"/>
          <w:color w:val="auto"/>
          <w:sz w:val="21"/>
          <w:szCs w:val="21"/>
        </w:rPr>
        <w:t>- - - - - - - - - - -</w:t>
      </w:r>
    </w:p>
    <w:p w14:paraId="31FD6D32" w14:textId="4C4B1B9C"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La diputada Martha Edith Moreno Valencia integrante del Grupo Parlamentario del Partido MORENA, a petición de la presidencia, dio lectura a su propuesta de punto de acuerdo de obvia resolución a efecto de exhortar a la Secretaría de Gobernación, para que, a través de la Comisión Nacional para Prevenir y Erradicar la Violencia contra las Mujeres, decrete la declaratoria de alerta de violencia de género contra las mujeres para el Estado de Guanajuato, solicitada por la Comisión Nacional de los Derechos Humanos. Agotada la lectura, en los términos solicitados por las y los proponentes, se sometió a consideración de la Asamblea declarar de obvia resolución la propuesta de punto de acuerdo, con fundamento en lo dispuesto por el artículo ciento setenta y siete de la Ley Orgánica del Poder Legislativo del Estado, resultando aprobada la obvia resolución, en votación económica, en la modalidad electrónica, por unanimidad al registrarse treinta y cuatro votos, sin discusión. Se sometió a discusión el punto de acuerdo, registrándose las intervenciones de la diputada Noemí Márquez Márquez para hablar en contra, quien al término de su intervención fue rectificada en hechos por la diputada Martha Edith Moreno Valencia, quien a su vez fue rectificada en hechos por quien le antecedió en uso de la voz. Agotadas las intervenciones, se recabó votación nominal, en la modalidad electrónica, resultando no aprobada la propuesta de punto de acuerdo, al registrarse ocho votos a favor y veintiséis votos en contra, con el voto razonado de las diputadas Yulma Rocha Aguilar y Martha Edith Moreno Valencia. En consecuencia, la presidencia declaró que procedía el archivo definitivo, instruyendo para tal efecto a la Secretaría General. - - - - - - - - - - </w:t>
      </w:r>
      <w:r w:rsidR="00A12915">
        <w:rPr>
          <w:rFonts w:ascii="Abadi" w:hAnsi="Abadi" w:cstheme="minorBidi"/>
          <w:color w:val="auto"/>
          <w:sz w:val="21"/>
          <w:szCs w:val="21"/>
        </w:rPr>
        <w:t>- - - - - -</w:t>
      </w:r>
    </w:p>
    <w:p w14:paraId="6252F319" w14:textId="6567C6F9" w:rsidR="00307D50" w:rsidRPr="00E807BA" w:rsidRDefault="00307D50" w:rsidP="00307D50">
      <w:pPr>
        <w:pStyle w:val="Default"/>
        <w:jc w:val="both"/>
        <w:rPr>
          <w:rFonts w:ascii="Abadi" w:hAnsi="Abadi" w:cstheme="minorBidi"/>
          <w:color w:val="auto"/>
          <w:sz w:val="21"/>
          <w:szCs w:val="21"/>
        </w:rPr>
      </w:pPr>
      <w:r w:rsidRPr="00E807BA">
        <w:rPr>
          <w:rFonts w:ascii="Abadi" w:hAnsi="Abadi" w:cstheme="minorBidi"/>
          <w:color w:val="auto"/>
          <w:sz w:val="21"/>
          <w:szCs w:val="21"/>
        </w:rPr>
        <w:t xml:space="preserve">Con el objeto de agilizar el trámite parlamentario de los asuntos agendados en los puntos del veinte al treinta y seis del orden del día, y en virtud de haberse proporcionado con anticipación, así como encontrarse en la Gaceta Parlamentaria, la presidencia propuso su dispensa de lectura; de igual manera, propuso que los dictámenes emitidos por la Comisión de Hacienda y Fiscalización agendados en los puntos del veintinueve al treinta y seis del orden del día, se sometieran a discusión y posterior votación en un solo acto. Puesta a consideración la propuesta, resultó aprobada por unanimidad, al computarse treinta y cuatro votos, sin discusión, en votación económica en la modalidad electrónica. Por lo que se procedió a desahogar el orden del día en los términos aprobados. - - - - - - - - - - - - - - - - - - - - - </w:t>
      </w:r>
    </w:p>
    <w:p w14:paraId="2345016B" w14:textId="59493631" w:rsidR="00307D50" w:rsidRPr="00E807BA" w:rsidRDefault="00307D50" w:rsidP="00307D50">
      <w:pPr>
        <w:pStyle w:val="Default"/>
        <w:ind w:firstLine="708"/>
        <w:jc w:val="both"/>
        <w:rPr>
          <w:rFonts w:ascii="Abadi" w:hAnsi="Abadi"/>
          <w:color w:val="auto"/>
          <w:sz w:val="21"/>
          <w:szCs w:val="21"/>
        </w:rPr>
      </w:pPr>
      <w:r w:rsidRPr="00E807BA">
        <w:rPr>
          <w:rFonts w:ascii="Abadi" w:hAnsi="Abadi" w:cstheme="minorBidi"/>
          <w:color w:val="auto"/>
          <w:sz w:val="21"/>
          <w:szCs w:val="21"/>
        </w:rPr>
        <w:t xml:space="preserve">Se sometió a discusión el dictamen emitido por la Comisión de Gobernación y Puntos Constitucionales relativo a la iniciativa formulada por la diputada y el diputado integrantes del Grupo Parlamentario del Partido Verde Ecologista de México, a fin de reformar y adicionar diversas leyes </w:t>
      </w:r>
      <w:r w:rsidRPr="00E807BA">
        <w:rPr>
          <w:rFonts w:ascii="Abadi" w:hAnsi="Abadi"/>
          <w:i/>
          <w:iCs/>
          <w:color w:val="auto"/>
          <w:sz w:val="21"/>
          <w:szCs w:val="21"/>
        </w:rPr>
        <w:t>con el objeto de crear la Secretaría de las Mujeres del Gobierno del Estado de Guanajuato</w:t>
      </w:r>
      <w:r w:rsidRPr="00E807BA">
        <w:rPr>
          <w:rFonts w:ascii="Abadi" w:hAnsi="Abadi"/>
          <w:color w:val="auto"/>
          <w:sz w:val="21"/>
          <w:szCs w:val="21"/>
        </w:rPr>
        <w:t xml:space="preserve">, ante la Sexagésima Cuarta Legislatura; se registraron las intervenciones de la diputada Susana Bermúdez Cano como autora del dictamen en los términos del artículo ciento setenta y ocho -fracción primera, último párrafo- de la Ley Orgánica del poder Legislativo del Estado y del diputado Gerardo Fernández González para hablar en contra. Agotadas las intervenciones se recabó votación nominal, resultando aprobado el dictamen por mayoría, en la modalidad electrónica, al registrarse veintitrés votos a favor y nueve votos en contra, con el voto razonado de la diputada Yulma Rocha Aguilar. La presidencia instruyó a la Secretaría General para que procediera al archivo definitivo de la iniciativa referida en el dictamen aprobado. - - - - - - - - - - - - - - </w:t>
      </w:r>
    </w:p>
    <w:p w14:paraId="29541899" w14:textId="4BBC8CD1"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olor w:val="auto"/>
          <w:sz w:val="21"/>
          <w:szCs w:val="21"/>
        </w:rPr>
        <w:t xml:space="preserve">Se sometió a discusión el dictamen emitido por la Comisión de Gobernación y Puntos Constitucionales relativo a la iniciativa formulada por la diputada María Magdalena Rosales Cruz, integrante del Grupo Parlamentario del Partido MORENA a efecto de reformar el segundo párrafo de la fracción décima sexta del artículo setenta y siete de la Constitución Política para el Estado de Guanajuato; y de reformas, adiciones y derogaciones a diversos artículos de la Ley de Participación Ciudadana para el Estado de Guanajuato, ante la Sexagésima Cuarta Legislatura; se registraron las intervenciones de la diputada Laura Cristina Márquez Alcalá como autora del dictamen en los términos del artículo ciento setenta y ocho -fracción primera, último párrafo- de la Ley Orgánica del poder Legislativo del Estado y del diputado Cuauhtémoc Becerra González para </w:t>
      </w:r>
      <w:r w:rsidRPr="00E807BA">
        <w:rPr>
          <w:rFonts w:ascii="Abadi" w:hAnsi="Abadi" w:cstheme="minorBidi"/>
          <w:color w:val="auto"/>
          <w:sz w:val="21"/>
          <w:szCs w:val="21"/>
        </w:rPr>
        <w:t xml:space="preserve">hablar en contra. Agotadas las intervenciones se recabó votación nominal, resultando aprobado el dictamen por mayoría, en la modalidad electrónica, al registrarse veintitrés votos a favor y diez votos en contra. La presidencia instruyó a la Secretaría General para que procediera al archivo definitivo de la iniciativa referida en el dictamen aprobado. - - - - - - - - - - - </w:t>
      </w:r>
    </w:p>
    <w:p w14:paraId="1A407E4D" w14:textId="483CBDE9"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Se sometió a discusión el dictamen emitido por la Comisión de Gobernación y Puntos Constitucionales relativo a la iniciativa suscrita por la diputada María Magdalena Rosales Cruz, integrante del Grupo Parlamentario del Partido MORENA a efecto de reformar y adicionar diversas disposiciones de la Constitución Política para el Estado de Guanajuato, de la Ley Orgánica del Poder Ejecutivo para el Estado de Guanajuato, de la Ley del Sistema Estatal Anticorrupción y de la Ley de Responsabilidades Administrativas para el Estado de Guanajuato, ante la Sexagésima Cuarta Legislatura; se registraron las intervenciones del diputado Rolando Fortino Alcántar Rojas como autor del dictamen en los términos del artículo ciento setenta y ocho -fracción primera, último párrafo- de la Ley Orgánica del poder Legislativo del Estado y de la diputada Alma Edwviges Alcaraz Hernández para hablar en contra. Agotadas las intervenciones se recabó votación nominal, resultando aprobado el dictamen por mayoría, en la modalidad electrónica, al registrarse veintidós votos a favor y nueve votos en contra. La presidencia instruyó a la Secretaría General para que procediera al archivo definitivo de la iniciativa referida en el dictamen aprobado. - - - - - - - - - - </w:t>
      </w:r>
      <w:r w:rsidR="00A12915">
        <w:rPr>
          <w:rFonts w:ascii="Abadi" w:hAnsi="Abadi" w:cstheme="minorBidi"/>
          <w:color w:val="auto"/>
          <w:sz w:val="21"/>
          <w:szCs w:val="21"/>
        </w:rPr>
        <w:t>- - - - - - - - - - - -</w:t>
      </w:r>
    </w:p>
    <w:p w14:paraId="373A05D9" w14:textId="1B7307EB"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Se sometió a discusión el dictamen suscrito por la Comisión de Gobernación y Puntos Constitucionales relativo a la iniciativa formulada por diputadas y diputados integrantes del Grupo Parlamentario del Partido Acción Nacional a efecto de adicionar los artículos ciento cincuenta y cuatro bis y ciento cincuenta y cuatro ter a la Ley de Víctimas del Estado de Guanajuato, ante la Sexagésima Cuarta Legislatura; sin registrarse intervenciones. Se recabó votación nominal en la modalidad electrónica, resultando aprobado el dictamen por unanimidad, con treinta y un votos. La presidencia instruyó a la Secretaría General para que procediera al archivo definitivo de la iniciativa referida en el dictamen aprobado. - - - - - - - - - - - </w:t>
      </w:r>
    </w:p>
    <w:p w14:paraId="47FF2050" w14:textId="0358ADB8"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Se sometió a discusión el dictamen formulado por la Comisión de Gobernación y Puntos Constitucionales relativo a la propuesta de punto de acuerdo suscrita por la diputada Hades Berenice Aguilar Castillo integrante del Grupo Parlamentario del Partido MORENA a través del cual hace un respetuoso exhorto a la Comisión de Selección del Comité de Participación Ciudadana del Sistema Estatal Anticorrupción a efecto de que en la deliberación que realicen de la persona que habrá de integrarse al Comité de Participación Ciudadana cumpla cabalmente con el requisito constitucional de destacarse por su aporte a la transparencia, la rendición de cuentas y el combate a la corrupción tal y como lo mandata el artículo ciento treinta y dos de la Constitución Política para el Estado de Guanajuato; sin registrarse intervenciones. Se recabó votación nominal en la modalidad electrónica, resultando aprobado el dictamen por mayoría, al registrarse veinticuatro votos a favor y ocho votos en contra. La presidencia instruyó a la Secretaría General para que procediera al archivo definitivo de la propuesta referida en el dictamen aprobado. - - - - - - - - - - </w:t>
      </w:r>
      <w:r w:rsidR="00A12915">
        <w:rPr>
          <w:rFonts w:ascii="Abadi" w:hAnsi="Abadi" w:cstheme="minorBidi"/>
          <w:color w:val="auto"/>
          <w:sz w:val="21"/>
          <w:szCs w:val="21"/>
        </w:rPr>
        <w:t>- - - - - - - - - - - -</w:t>
      </w:r>
    </w:p>
    <w:p w14:paraId="218765AC" w14:textId="27037B9E"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Se sometió a discusión el dictamen emitido por las Comisiones Unidas de Hacienda y Fiscalización y de Gobernación y Puntos Constitucionales relativo a la iniciativa formulada por diputadas y diputado integrantes del Grupo Parlamentario del Partido Revolucionario Institucional de la Sexagésima Cuarta Legislatura a efecto de reformar el artículo uno y adicionar una fracción treinta, recorriéndose en su orden las subsecuentes del artículo ochenta y dos de la Ley de Fiscalización Superior del Estado de Guanajuato; sin registrarse intervenciones. Se recabó votación nominal en la modalidad electrónica, resultando aprobado el dictamen por unanimidad con treinta y dos votos. La presidencia instruyó a la Secretaría General para que procediera al archivo definitivo de la iniciativa referida en el dictamen aprobado. - - - - - - - - - - - </w:t>
      </w:r>
    </w:p>
    <w:p w14:paraId="62542B55" w14:textId="4BAA2D8C"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Se sometió a discusión el dictamen signado por las Comisiones Unidas de Hacienda y Fiscalización y de Gobernación y Puntos Constitucionales relativo a la iniciativa formulada por la diputada y los diputados integrantes del Grupo Parlamentario del Partido Verde Ecologista de México de la Sexagésima Cuarta Legislatura a efecto de reformar y adicionar diversas leyes estatales en materia de impulso y desarrollo de políticas públicas para fomentar en las empresas la cultura de contratación de jóvenes recién egresados de nivel superior, en la parte correspondiente a la adición de un artículo ocho Ter a la Ley de Hacienda para el Estado de Guanajuato; sin registrarse intervenciones. Se recabó votación nominal en la modalidad electrónica, resultando aprobado el dictamen por mayoría, al registrarse veintidós votos a favor y diez en contra. La presidencia instruyó a la Secretaría General para que procediera al archivo definitivo de la iniciativa referida en el dictamen aprobado. - - - - - - - - - - - - - - </w:t>
      </w:r>
    </w:p>
    <w:p w14:paraId="520F5064" w14:textId="191F3074"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Se sometió a discusión el dictamen signado por las Comisiones Unidas de Hacienda y Fiscalización y de Gobernación y Puntos Constitucionales relativo a dos iniciativas formuladas ante la Sexagésima Cuarta Legislatura, la primera, por diputadas y diputados integrantes del Grupo Parlamentario del Partido Revolucionario Institucional y la segunda, por el diputado Ernesto Alejandro Prieto Gallardo, integrante del Grupo Parlamentario del Partido MORENA a efecto de reformar y adicionar el artículo catorce de la Ley de Hacienda para el Estado de Guanajuato; se registró la intervención de la diputada Martha Edith Moreno Valencia, para hablar en contra del dictamen, quien al término de su intervención fue rectificada en hechos por el diputado Víctor Manuel Zanella Huerta. Agotadas las intervenciones. Se recabó votación nominal en la modalidad electrónica, resultando aprobado el dictamen por mayoría, al registrarse veintidós votos a favor y once votos en contra. La presidencia instruyó a la Secretaría General para que procediera al archivo definitivo de la iniciativa referida en el dictamen aprobado. - - - - - - - - - - - - - - </w:t>
      </w:r>
    </w:p>
    <w:p w14:paraId="308BF77A" w14:textId="5AA222D5"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Se sometió a discusión el dictamen signado por la Comisión para la Igualdad de Género relativo a la iniciativa formulada por las diputadas y los diputados integrantes del Grupo Parlamentario del Partido Acción Nacional a efecto de reformar el artículo veinticuatro bis de la Ley de Planeación para el Estado de Guanajuato y el artículo treinta y ocho de la Ley para la Igualdad entre Mujeres y Hombres del Estado de Guanajuato, en lo correspondiente al segundo ordenamiento; se registraron las intervenciones de la diputada Lilia Margarita Rionda Salas como autora, con fundamento en el artículo ciento setenta y ocho -fracción primera último párrafo- de la Ley Orgánica del Poder Legislativo del Estado y de la diputada Martha Guadalupe Hernández Camarena para hablar a favor. Agotadas las intervenciones, se recabó votación nominal en la modalidad electrónica, resultando aprobado el dictamen por unanimidad con treinta y tres votos. La presidencia instruyó remitir el decreto aprobado al Ejecutivo del Estado para los efectos constitucionales de su competencia. - - - - - - - - - - - - - - - - - - </w:t>
      </w:r>
    </w:p>
    <w:p w14:paraId="04A1D36C" w14:textId="5C929B45" w:rsidR="00307D50" w:rsidRPr="00E807BA" w:rsidRDefault="00307D50" w:rsidP="00307D50">
      <w:pPr>
        <w:pStyle w:val="Default"/>
        <w:ind w:firstLine="708"/>
        <w:jc w:val="both"/>
        <w:rPr>
          <w:rFonts w:ascii="Abadi" w:hAnsi="Abadi" w:cstheme="minorBidi"/>
          <w:color w:val="auto"/>
          <w:sz w:val="21"/>
          <w:szCs w:val="21"/>
        </w:rPr>
      </w:pPr>
      <w:r w:rsidRPr="00E807BA">
        <w:rPr>
          <w:rFonts w:ascii="Abadi" w:hAnsi="Abadi" w:cstheme="minorBidi"/>
          <w:color w:val="auto"/>
          <w:sz w:val="21"/>
          <w:szCs w:val="21"/>
        </w:rPr>
        <w:t xml:space="preserve">Se sometieron a discusión los dictámenes emitidos por la Comisión de Hacienda y Fiscalización agendados en los puntos del veintinueve al treinta y seis del orden del día, relativos a: 1. Informe de resultados de la auditoría de desempeño practicada por la Auditoría Superior del Estado de Guanajuato a la administración municipal de Cortazar, Guanajuato, con enfoque a resultados del servicio de alumbrado público, por el periodo comprendido del uno de enero al treinta y uno de diciembre del ejercicio fiscal del año dos mil veinte; 2. Informe de resultados de la auditoría de desempeño practicada por la Auditoría Superior del Estado de Guanajuato a la administración municipal de Cuerámaro, Guanajuato, con enfoque a resultados del servicio de alumbrado público, por el periodo comprendido del uno de enero al treinta y uno de diciembre del ejercicio fiscal del año dos mil veinte; 3. Informe de resultados de la auditoría de desempeño practicada por la Auditoría Superior del Estado de Guanajuato a la administración municipal de Atarjea, Guanajuato, con enfoque a resultados del servicio de alumbrado público, por el periodo comprendido del uno de enero al treinta y uno de diciembre del ejercicio fiscal del año dos mil veinte; 4. Informe de resultados de la revisión practicada por la Auditoría Superior del Estado de Guanajuato a la cuenta pública municipal de San Francisco del Rincón, Guanajuato, correspondiente al ejercicio fiscal del año dos mil veinte; 5. Informe de resultados de la auditoría de desempeño practicada por la Auditoría Superior del Estado de Guanajuato al Poder Ejecutivo del Estado de Guanajuato con enfoque de resultados del Programa </w:t>
      </w:r>
      <w:r w:rsidRPr="00E807BA">
        <w:rPr>
          <w:rFonts w:ascii="Abadi" w:hAnsi="Abadi"/>
          <w:i/>
          <w:iCs/>
          <w:color w:val="auto"/>
          <w:sz w:val="21"/>
          <w:szCs w:val="21"/>
        </w:rPr>
        <w:t xml:space="preserve">Q3181 Asistencia Alimentaria GTO, </w:t>
      </w:r>
      <w:r w:rsidRPr="00E807BA">
        <w:rPr>
          <w:rFonts w:ascii="Abadi" w:hAnsi="Abadi"/>
          <w:color w:val="auto"/>
          <w:sz w:val="21"/>
          <w:szCs w:val="21"/>
        </w:rPr>
        <w:t xml:space="preserve">a cargo del Sistema para el Desarrollo Integral de la Familia del Estado de Guanajuato, por el periodo comprendido del uno de enero al treinta y uno de diciembre del ejercicio fiscal del año dos mil veinte; 6. Informe de resultados de la auditoría de desempeño practicada por la Auditoría Superior del Estado de Guanajuato a la administración municipal de Jaral del Progreso, Guanajuato, con enfoque a resultados del servicio de alumbrado público, por el periodo comprendido del uno de enero al treinta y uno de diciembre del ejercicio fiscal del año dos mil </w:t>
      </w:r>
      <w:r w:rsidRPr="00E807BA">
        <w:rPr>
          <w:rFonts w:ascii="Abadi" w:hAnsi="Abadi" w:cstheme="minorBidi"/>
          <w:color w:val="auto"/>
          <w:sz w:val="21"/>
          <w:szCs w:val="21"/>
        </w:rPr>
        <w:t xml:space="preserve">veinte; 7. Informe de resultados de la revisión practicada por la Auditoría Superior del Estado de Guanajuato a la cuenta pública municipal de Manuel Doblado, Guanajuato, correspondiente al ejercicio fiscal del año dos mil veinte; y 8. Informe de resultados de la auditoría de desempeño practicada por la Auditoría Superior del Estado de Guanajuato a la administración municipal de Abasolo, Guanajuato, con enfoque a resultados del servicio de alumbrado público, por el periodo comprendido del uno de enero al treinta y uno de diciembre del ejercicio fiscal del año dos mil veinte; sin registrarse participaciones. Se recabó votación nominal, en la modalidad electrónica y resultaron aprobados los dictámenes por mayoría, al computarse veintiún votos a favor y nueve votos en contra, y las abstenciones de los diputados Gustavo Adolfo Alfaro Reyes y José Alfonso Borja Pimentel, en los puntos treinta y cinco y treinta y tres respectivamente, justificando los motivos de las mismas. En consecuencia, la presidencia ordenó remitir los acuerdos aprobados relativos a las cuentas públicas, al titular del Poder Ejecutivo del Estado, para su publicación en el Periódico Oficial del Gobierno del Estado; asimismo, con fundamento en el artículo treinta y siete -fracción sexta- de la Ley de Fiscalización Superior del Estado de Guanajuato, ordenó remitir los acuerdos aprobados junto con sus dictámenes y los informes de resultados a la Auditoría Superior del Estado de Guanajuato, para efectos de su notificación. - - - - - - - - - - - </w:t>
      </w:r>
    </w:p>
    <w:p w14:paraId="4F389061" w14:textId="77777777" w:rsidR="00307D50" w:rsidRPr="00E807BA" w:rsidRDefault="00307D50" w:rsidP="00307D50">
      <w:pPr>
        <w:pStyle w:val="Default"/>
        <w:ind w:firstLine="708"/>
        <w:jc w:val="both"/>
        <w:rPr>
          <w:rFonts w:ascii="Abadi" w:hAnsi="Abadi"/>
          <w:color w:val="auto"/>
          <w:sz w:val="21"/>
          <w:szCs w:val="21"/>
        </w:rPr>
      </w:pPr>
      <w:r w:rsidRPr="00E807BA">
        <w:rPr>
          <w:rFonts w:ascii="Abadi" w:hAnsi="Abadi" w:cstheme="minorBidi"/>
          <w:color w:val="auto"/>
          <w:sz w:val="21"/>
          <w:szCs w:val="21"/>
        </w:rPr>
        <w:t xml:space="preserve">En el apartado de asuntos generales, se registraron las intervenciones del diputado Rolando Fortino Alcántar Rojas con el tema </w:t>
      </w:r>
      <w:r w:rsidRPr="00E807BA">
        <w:rPr>
          <w:rFonts w:ascii="Abadi" w:hAnsi="Abadi"/>
          <w:i/>
          <w:iCs/>
          <w:color w:val="auto"/>
          <w:sz w:val="21"/>
          <w:szCs w:val="21"/>
        </w:rPr>
        <w:t>reflexión</w:t>
      </w:r>
      <w:r w:rsidRPr="00E807BA">
        <w:rPr>
          <w:rFonts w:ascii="Abadi" w:hAnsi="Abadi"/>
          <w:color w:val="auto"/>
          <w:sz w:val="21"/>
          <w:szCs w:val="21"/>
        </w:rPr>
        <w:t xml:space="preserve">, a quien durante su intervención se le formularon dos mociones de orden para ajustarse al tiempo concedido, una por parte de la presidencia y otra a petición del diputado Ernesto Millán Soberanes; y del diputado Ernesto Millán Soberanes con el tema </w:t>
      </w:r>
      <w:r w:rsidRPr="00E807BA">
        <w:rPr>
          <w:rFonts w:ascii="Abadi" w:hAnsi="Abadi"/>
          <w:i/>
          <w:iCs/>
          <w:color w:val="auto"/>
          <w:sz w:val="21"/>
          <w:szCs w:val="21"/>
        </w:rPr>
        <w:t>Irapuato</w:t>
      </w:r>
      <w:r w:rsidRPr="00E807BA">
        <w:rPr>
          <w:rFonts w:ascii="Abadi" w:hAnsi="Abadi"/>
          <w:color w:val="auto"/>
          <w:sz w:val="21"/>
          <w:szCs w:val="21"/>
        </w:rPr>
        <w:t xml:space="preserve">, quien durante su intervención formuló una propuesta que entregó a la presidencia de la mesa directiva, quien indicó que se enlistaría para la siguiente sesión en los términos del artículo ciento cincuenta y dos -primer párrafo- de la Ley Orgánica del Poder Legislativo del Estado. </w:t>
      </w:r>
    </w:p>
    <w:p w14:paraId="4807B147" w14:textId="7F5B8AB1" w:rsidR="00307D50" w:rsidRPr="00E807BA" w:rsidRDefault="00307D50" w:rsidP="00307D50">
      <w:pPr>
        <w:pStyle w:val="Default"/>
        <w:ind w:firstLine="708"/>
        <w:jc w:val="both"/>
        <w:rPr>
          <w:rFonts w:ascii="Abadi" w:hAnsi="Abadi"/>
          <w:color w:val="auto"/>
          <w:sz w:val="21"/>
          <w:szCs w:val="21"/>
        </w:rPr>
      </w:pPr>
      <w:r w:rsidRPr="00E807BA">
        <w:rPr>
          <w:rFonts w:ascii="Abadi" w:hAnsi="Abadi"/>
          <w:color w:val="auto"/>
          <w:sz w:val="21"/>
          <w:szCs w:val="21"/>
        </w:rPr>
        <w:t xml:space="preserve">La secretaría informó que se habían agotado los asuntos listados en el orden del día, que la asistencia a la sesión había sido de treinta y cinco diputadas y diputados; que se registró la inasistencia del diputado Jorge Ortiz Ortega, justificada en su momento por la presidencia y que se habían retirado con permiso de la presidencia las diputadas Briseida Anabel Magdaleno González y María de la Luz Hernández Martínez. - - - - - - - - - - - - - - - </w:t>
      </w:r>
    </w:p>
    <w:p w14:paraId="6A28DB0A" w14:textId="75E4A654" w:rsidR="00307D50" w:rsidRDefault="00307D50" w:rsidP="00307D50">
      <w:pPr>
        <w:pStyle w:val="Default"/>
        <w:ind w:firstLine="708"/>
        <w:jc w:val="both"/>
        <w:rPr>
          <w:rFonts w:ascii="Abadi" w:hAnsi="Abadi"/>
          <w:color w:val="auto"/>
          <w:sz w:val="21"/>
          <w:szCs w:val="21"/>
        </w:rPr>
      </w:pPr>
      <w:r w:rsidRPr="00E807BA">
        <w:rPr>
          <w:rFonts w:ascii="Abadi" w:hAnsi="Abadi"/>
          <w:color w:val="auto"/>
          <w:sz w:val="21"/>
          <w:szCs w:val="21"/>
        </w:rPr>
        <w:t xml:space="preserve">La presidencia manifestó que, en virtud de que el cuórum de asistencia se había mantenido, no procedería a instruir a la secretaría a un nuevo pase de lista; por lo que levantó la sesión a las dieciséis horas con veintitrés minutos e indicó que se citaría para la siguiente por conducto de la Secretaría General. - - - - - - - - - - - - - - </w:t>
      </w:r>
    </w:p>
    <w:p w14:paraId="7C8FD61F" w14:textId="3812DC18" w:rsidR="00307D50" w:rsidRDefault="00307D50" w:rsidP="00307D50">
      <w:pPr>
        <w:pStyle w:val="Default"/>
        <w:ind w:firstLine="708"/>
        <w:jc w:val="both"/>
        <w:rPr>
          <w:rFonts w:ascii="Abadi" w:hAnsi="Abadi"/>
          <w:b/>
          <w:bCs/>
          <w:color w:val="auto"/>
          <w:sz w:val="21"/>
          <w:szCs w:val="21"/>
        </w:rPr>
      </w:pPr>
      <w:r w:rsidRPr="00E807BA">
        <w:rPr>
          <w:rFonts w:ascii="Abadi" w:hAnsi="Abadi" w:cstheme="minorBidi"/>
          <w:color w:val="auto"/>
          <w:sz w:val="21"/>
          <w:szCs w:val="21"/>
        </w:rPr>
        <w:t xml:space="preserve">Todas y cada una de las intervenciones de las diputadas y de los diputados registradas durante la presente sesión se contienen íntegramente en versión mecanográfica y forman parte de la presente acta. Así como el oficio por el que se solicitó la justificación de la inasistencia del diputado Jorge Ortiz Ortega. Damos fe. </w:t>
      </w:r>
    </w:p>
    <w:p w14:paraId="3821432A" w14:textId="77777777" w:rsidR="00307D50" w:rsidRDefault="00307D50" w:rsidP="00307D50">
      <w:pPr>
        <w:pStyle w:val="Default"/>
        <w:jc w:val="both"/>
        <w:rPr>
          <w:rFonts w:ascii="Abadi" w:hAnsi="Abadi"/>
          <w:b/>
          <w:bCs/>
          <w:color w:val="auto"/>
          <w:sz w:val="21"/>
          <w:szCs w:val="21"/>
        </w:rPr>
      </w:pPr>
    </w:p>
    <w:p w14:paraId="35165D2C" w14:textId="07B7FAE8" w:rsidR="00307D50" w:rsidRDefault="00307D50" w:rsidP="00307D50">
      <w:pPr>
        <w:pStyle w:val="Default"/>
        <w:jc w:val="both"/>
        <w:rPr>
          <w:rFonts w:ascii="Abadi" w:hAnsi="Abadi"/>
          <w:b/>
          <w:bCs/>
          <w:color w:val="auto"/>
          <w:sz w:val="21"/>
          <w:szCs w:val="21"/>
        </w:rPr>
      </w:pPr>
      <w:r w:rsidRPr="00E807BA">
        <w:rPr>
          <w:rFonts w:ascii="Abadi" w:hAnsi="Abadi"/>
          <w:b/>
          <w:bCs/>
          <w:color w:val="auto"/>
          <w:sz w:val="21"/>
          <w:szCs w:val="21"/>
        </w:rPr>
        <w:t xml:space="preserve">Irma Leticia González Sánchez </w:t>
      </w:r>
    </w:p>
    <w:p w14:paraId="360128D7" w14:textId="77777777" w:rsidR="00307D50" w:rsidRDefault="00307D50" w:rsidP="00307D50">
      <w:pPr>
        <w:pStyle w:val="Default"/>
        <w:jc w:val="both"/>
        <w:rPr>
          <w:rFonts w:ascii="Abadi" w:hAnsi="Abadi"/>
          <w:b/>
          <w:bCs/>
          <w:color w:val="auto"/>
          <w:sz w:val="21"/>
          <w:szCs w:val="21"/>
        </w:rPr>
      </w:pPr>
      <w:r w:rsidRPr="00E807BA">
        <w:rPr>
          <w:rFonts w:ascii="Abadi" w:hAnsi="Abadi"/>
          <w:b/>
          <w:bCs/>
          <w:color w:val="auto"/>
          <w:sz w:val="21"/>
          <w:szCs w:val="21"/>
        </w:rPr>
        <w:t>Diputada presidenta</w:t>
      </w:r>
    </w:p>
    <w:p w14:paraId="6588A15C" w14:textId="77777777" w:rsidR="00307D50" w:rsidRDefault="00307D50" w:rsidP="00307D50">
      <w:pPr>
        <w:pStyle w:val="Default"/>
        <w:jc w:val="both"/>
        <w:rPr>
          <w:rFonts w:ascii="Abadi" w:hAnsi="Abadi"/>
          <w:b/>
          <w:bCs/>
          <w:color w:val="auto"/>
          <w:sz w:val="21"/>
          <w:szCs w:val="21"/>
        </w:rPr>
      </w:pPr>
    </w:p>
    <w:p w14:paraId="45A33DC8" w14:textId="77777777" w:rsidR="00307D50" w:rsidRPr="00E807BA" w:rsidRDefault="00307D50" w:rsidP="00307D50">
      <w:pPr>
        <w:pStyle w:val="Default"/>
        <w:jc w:val="both"/>
        <w:rPr>
          <w:rFonts w:ascii="Abadi" w:hAnsi="Abadi"/>
          <w:sz w:val="21"/>
          <w:szCs w:val="21"/>
        </w:rPr>
      </w:pPr>
      <w:r w:rsidRPr="00E807BA">
        <w:rPr>
          <w:rFonts w:ascii="Abadi" w:hAnsi="Abadi"/>
          <w:b/>
          <w:bCs/>
          <w:sz w:val="21"/>
          <w:szCs w:val="21"/>
        </w:rPr>
        <w:t xml:space="preserve">Briseida Anabel Magdaleno González </w:t>
      </w:r>
    </w:p>
    <w:p w14:paraId="2286090F" w14:textId="77777777" w:rsidR="00307D50" w:rsidRDefault="00307D50" w:rsidP="00307D50">
      <w:pPr>
        <w:pStyle w:val="Default"/>
        <w:jc w:val="both"/>
        <w:rPr>
          <w:rFonts w:ascii="Abadi" w:hAnsi="Abadi"/>
          <w:b/>
          <w:bCs/>
          <w:sz w:val="21"/>
          <w:szCs w:val="21"/>
        </w:rPr>
      </w:pPr>
      <w:r w:rsidRPr="00E807BA">
        <w:rPr>
          <w:rFonts w:ascii="Abadi" w:hAnsi="Abadi"/>
          <w:b/>
          <w:bCs/>
          <w:sz w:val="21"/>
          <w:szCs w:val="21"/>
        </w:rPr>
        <w:t>Diputada secretaria</w:t>
      </w:r>
    </w:p>
    <w:p w14:paraId="0B165167" w14:textId="77777777" w:rsidR="00307D50" w:rsidRDefault="00307D50" w:rsidP="00307D50">
      <w:pPr>
        <w:pStyle w:val="Default"/>
        <w:jc w:val="both"/>
        <w:rPr>
          <w:rFonts w:ascii="Abadi" w:hAnsi="Abadi"/>
          <w:b/>
          <w:bCs/>
          <w:sz w:val="21"/>
          <w:szCs w:val="21"/>
        </w:rPr>
      </w:pPr>
    </w:p>
    <w:p w14:paraId="723DA4CC" w14:textId="77777777" w:rsidR="00307D50" w:rsidRPr="00E807BA" w:rsidRDefault="00307D50" w:rsidP="00307D50">
      <w:pPr>
        <w:pStyle w:val="Default"/>
        <w:jc w:val="both"/>
        <w:rPr>
          <w:rFonts w:ascii="Abadi" w:hAnsi="Abadi"/>
          <w:sz w:val="21"/>
          <w:szCs w:val="21"/>
        </w:rPr>
      </w:pPr>
      <w:r w:rsidRPr="00E807BA">
        <w:rPr>
          <w:rFonts w:ascii="Abadi" w:hAnsi="Abadi"/>
          <w:b/>
          <w:bCs/>
          <w:sz w:val="21"/>
          <w:szCs w:val="21"/>
        </w:rPr>
        <w:t xml:space="preserve">Yulma Rocha Aguilar </w:t>
      </w:r>
    </w:p>
    <w:p w14:paraId="41E811C8" w14:textId="77777777" w:rsidR="00307D50" w:rsidRDefault="00307D50" w:rsidP="00307D50">
      <w:pPr>
        <w:pStyle w:val="Default"/>
        <w:jc w:val="both"/>
        <w:rPr>
          <w:rFonts w:ascii="Abadi" w:hAnsi="Abadi"/>
          <w:b/>
          <w:bCs/>
          <w:sz w:val="21"/>
          <w:szCs w:val="21"/>
        </w:rPr>
      </w:pPr>
      <w:r w:rsidRPr="00E807BA">
        <w:rPr>
          <w:rFonts w:ascii="Abadi" w:hAnsi="Abadi"/>
          <w:b/>
          <w:bCs/>
          <w:sz w:val="21"/>
          <w:szCs w:val="21"/>
        </w:rPr>
        <w:t>Diputada secretaria</w:t>
      </w:r>
    </w:p>
    <w:p w14:paraId="7EFF003E" w14:textId="77777777" w:rsidR="00307D50" w:rsidRDefault="00307D50" w:rsidP="00307D50">
      <w:pPr>
        <w:pStyle w:val="Default"/>
        <w:rPr>
          <w:rFonts w:ascii="Abadi" w:hAnsi="Abadi"/>
          <w:b/>
          <w:bCs/>
          <w:sz w:val="21"/>
          <w:szCs w:val="21"/>
        </w:rPr>
      </w:pPr>
    </w:p>
    <w:p w14:paraId="17B93B85" w14:textId="77777777" w:rsidR="00307D50" w:rsidRPr="003B62EB" w:rsidRDefault="00307D50" w:rsidP="00307D50">
      <w:pPr>
        <w:pStyle w:val="Default"/>
        <w:rPr>
          <w:rFonts w:ascii="Abadi" w:hAnsi="Abadi"/>
          <w:b/>
          <w:bCs/>
          <w:sz w:val="21"/>
          <w:szCs w:val="21"/>
        </w:rPr>
      </w:pPr>
      <w:r w:rsidRPr="003B62EB">
        <w:rPr>
          <w:rFonts w:ascii="Abadi" w:hAnsi="Abadi"/>
          <w:b/>
          <w:bCs/>
          <w:sz w:val="21"/>
          <w:szCs w:val="21"/>
        </w:rPr>
        <w:t xml:space="preserve">Laura Cristina Márquez Alcalá </w:t>
      </w:r>
    </w:p>
    <w:p w14:paraId="382D0D7F" w14:textId="489BC42C" w:rsidR="00307D50" w:rsidRDefault="00307D50" w:rsidP="00307D50">
      <w:pPr>
        <w:pStyle w:val="Default"/>
        <w:jc w:val="both"/>
        <w:rPr>
          <w:rFonts w:ascii="Abadi" w:hAnsi="Abadi"/>
          <w:b/>
          <w:bCs/>
          <w:sz w:val="21"/>
          <w:szCs w:val="21"/>
        </w:rPr>
      </w:pPr>
      <w:r w:rsidRPr="003B62EB">
        <w:rPr>
          <w:rFonts w:ascii="Abadi" w:hAnsi="Abadi"/>
          <w:b/>
          <w:bCs/>
          <w:sz w:val="21"/>
          <w:szCs w:val="21"/>
        </w:rPr>
        <w:t>Diputada vicepresidenta</w:t>
      </w:r>
    </w:p>
    <w:p w14:paraId="1AC1B496" w14:textId="77777777" w:rsidR="003E7942" w:rsidRDefault="003E7942" w:rsidP="00307D50">
      <w:pPr>
        <w:pStyle w:val="Default"/>
        <w:jc w:val="both"/>
        <w:rPr>
          <w:rFonts w:ascii="Abadi" w:hAnsi="Abadi"/>
          <w:b/>
          <w:bCs/>
          <w:sz w:val="21"/>
          <w:szCs w:val="21"/>
        </w:rPr>
      </w:pPr>
    </w:p>
    <w:p w14:paraId="44ECEFEB" w14:textId="77777777" w:rsidR="0069318E" w:rsidRDefault="0069318E" w:rsidP="0069318E">
      <w:pPr>
        <w:ind w:firstLine="708"/>
        <w:jc w:val="both"/>
        <w:rPr>
          <w:rFonts w:ascii="Abadi" w:hAnsi="Abadi"/>
          <w:sz w:val="21"/>
          <w:szCs w:val="21"/>
        </w:rPr>
      </w:pPr>
      <w:r>
        <w:rPr>
          <w:rFonts w:ascii="Abadi" w:hAnsi="Abadi"/>
          <w:b/>
          <w:bCs/>
          <w:sz w:val="21"/>
          <w:szCs w:val="21"/>
        </w:rPr>
        <w:t xml:space="preserve">- </w:t>
      </w:r>
      <w:r w:rsidRPr="00DA40A3">
        <w:rPr>
          <w:rFonts w:ascii="Abadi" w:hAnsi="Abadi"/>
          <w:b/>
          <w:bCs/>
          <w:sz w:val="21"/>
          <w:szCs w:val="21"/>
        </w:rPr>
        <w:t>La Presidencia.-</w:t>
      </w:r>
      <w:r w:rsidRPr="00DA40A3">
        <w:rPr>
          <w:rFonts w:ascii="Abadi" w:hAnsi="Abadi"/>
          <w:sz w:val="21"/>
          <w:szCs w:val="21"/>
        </w:rPr>
        <w:t xml:space="preserve"> Para desahogar el siguiente punto del orden del día se propone se dispense la lectura del Acta de la Sesión Ordinaria celebrada el 5 de mayo del año en curso, misma que se encuentra en la Gaceta Parlamentaria si desean registrarse con respecto a esta propuesta, indiquenlo ha esta Presidencia. </w:t>
      </w:r>
    </w:p>
    <w:p w14:paraId="50BCDF27" w14:textId="77777777" w:rsidR="0069318E" w:rsidRPr="00DA40A3" w:rsidRDefault="0069318E" w:rsidP="0069318E">
      <w:pPr>
        <w:jc w:val="both"/>
        <w:rPr>
          <w:rFonts w:ascii="Abadi" w:hAnsi="Abadi"/>
          <w:sz w:val="21"/>
          <w:szCs w:val="21"/>
        </w:rPr>
      </w:pPr>
    </w:p>
    <w:p w14:paraId="78C9B5FA" w14:textId="4D63917B" w:rsidR="0069318E" w:rsidRPr="00DA40A3" w:rsidRDefault="0069318E" w:rsidP="0069318E">
      <w:pPr>
        <w:ind w:firstLine="708"/>
        <w:jc w:val="both"/>
        <w:rPr>
          <w:rFonts w:ascii="Abadi" w:hAnsi="Abadi"/>
          <w:sz w:val="21"/>
          <w:szCs w:val="21"/>
        </w:rPr>
      </w:pPr>
      <w:r w:rsidRPr="00DA40A3">
        <w:rPr>
          <w:rFonts w:ascii="Abadi" w:hAnsi="Abadi"/>
          <w:sz w:val="21"/>
          <w:szCs w:val="21"/>
        </w:rPr>
        <w:t xml:space="preserve">- Al no registrarse participaciones, se pide </w:t>
      </w:r>
      <w:r w:rsidR="002D7E8F">
        <w:rPr>
          <w:rFonts w:ascii="Abadi" w:hAnsi="Abadi"/>
          <w:sz w:val="21"/>
          <w:szCs w:val="21"/>
        </w:rPr>
        <w:t xml:space="preserve">a </w:t>
      </w:r>
      <w:r w:rsidRPr="00DA40A3">
        <w:rPr>
          <w:rFonts w:ascii="Abadi" w:hAnsi="Abadi"/>
          <w:sz w:val="21"/>
          <w:szCs w:val="21"/>
        </w:rPr>
        <w:t xml:space="preserve">la </w:t>
      </w:r>
      <w:r w:rsidR="00665C47">
        <w:rPr>
          <w:rFonts w:ascii="Abadi" w:hAnsi="Abadi"/>
          <w:sz w:val="21"/>
          <w:szCs w:val="21"/>
        </w:rPr>
        <w:t>S</w:t>
      </w:r>
      <w:r w:rsidR="00665C47" w:rsidRPr="00DA40A3">
        <w:rPr>
          <w:rFonts w:ascii="Abadi" w:hAnsi="Abadi"/>
          <w:sz w:val="21"/>
          <w:szCs w:val="21"/>
        </w:rPr>
        <w:t>ecreta</w:t>
      </w:r>
      <w:r w:rsidR="00665C47">
        <w:rPr>
          <w:rFonts w:ascii="Abadi" w:hAnsi="Abadi"/>
          <w:sz w:val="21"/>
          <w:szCs w:val="21"/>
        </w:rPr>
        <w:t>r</w:t>
      </w:r>
      <w:r w:rsidR="00665C47" w:rsidRPr="00DA40A3">
        <w:rPr>
          <w:rFonts w:ascii="Abadi" w:hAnsi="Abadi"/>
          <w:sz w:val="21"/>
          <w:szCs w:val="21"/>
        </w:rPr>
        <w:t>ia</w:t>
      </w:r>
      <w:r w:rsidRPr="00DA40A3">
        <w:rPr>
          <w:rFonts w:ascii="Abadi" w:hAnsi="Abadi"/>
          <w:sz w:val="21"/>
          <w:szCs w:val="21"/>
        </w:rPr>
        <w:t xml:space="preserve"> que en votación económica a través del sistema electrónico, pregunte </w:t>
      </w:r>
      <w:r w:rsidR="00772FF1">
        <w:rPr>
          <w:rFonts w:ascii="Abadi" w:hAnsi="Abadi"/>
          <w:sz w:val="21"/>
          <w:szCs w:val="21"/>
        </w:rPr>
        <w:t xml:space="preserve">a </w:t>
      </w:r>
      <w:r w:rsidRPr="00DA40A3">
        <w:rPr>
          <w:rFonts w:ascii="Abadi" w:hAnsi="Abadi"/>
          <w:sz w:val="21"/>
          <w:szCs w:val="21"/>
        </w:rPr>
        <w:t>las diputadas y a los diputados, si se aprueba la propuesta sobre dispensa de lectura.</w:t>
      </w:r>
    </w:p>
    <w:p w14:paraId="6D573DB7" w14:textId="77777777" w:rsidR="0069318E" w:rsidRDefault="0069318E" w:rsidP="0069318E">
      <w:pPr>
        <w:jc w:val="both"/>
        <w:rPr>
          <w:rFonts w:ascii="Abadi" w:hAnsi="Abadi"/>
          <w:b/>
          <w:bCs/>
          <w:sz w:val="21"/>
          <w:szCs w:val="21"/>
        </w:rPr>
      </w:pPr>
    </w:p>
    <w:p w14:paraId="46E78619" w14:textId="77777777" w:rsidR="0069318E" w:rsidRDefault="0069318E" w:rsidP="0069318E">
      <w:pPr>
        <w:jc w:val="center"/>
        <w:rPr>
          <w:rFonts w:ascii="Abadi" w:hAnsi="Abadi"/>
          <w:b/>
          <w:bCs/>
          <w:sz w:val="21"/>
          <w:szCs w:val="21"/>
        </w:rPr>
      </w:pPr>
      <w:r w:rsidRPr="00DA40A3">
        <w:rPr>
          <w:rFonts w:ascii="Abadi" w:hAnsi="Abadi"/>
          <w:b/>
          <w:bCs/>
          <w:sz w:val="21"/>
          <w:szCs w:val="21"/>
        </w:rPr>
        <w:t>(Se abre el sistema electrónico)</w:t>
      </w:r>
    </w:p>
    <w:p w14:paraId="3B104739" w14:textId="77777777" w:rsidR="0069318E" w:rsidRPr="00DA40A3" w:rsidRDefault="0069318E" w:rsidP="0069318E">
      <w:pPr>
        <w:jc w:val="center"/>
        <w:rPr>
          <w:rFonts w:ascii="Abadi" w:hAnsi="Abadi"/>
          <w:b/>
          <w:bCs/>
          <w:sz w:val="21"/>
          <w:szCs w:val="21"/>
        </w:rPr>
      </w:pPr>
    </w:p>
    <w:p w14:paraId="7A891CE3" w14:textId="7AF8070D" w:rsidR="0069318E" w:rsidRPr="00DA40A3" w:rsidRDefault="0069318E" w:rsidP="0069318E">
      <w:pPr>
        <w:ind w:firstLine="708"/>
        <w:jc w:val="both"/>
        <w:rPr>
          <w:rFonts w:ascii="Abadi" w:hAnsi="Abadi"/>
          <w:sz w:val="21"/>
          <w:szCs w:val="21"/>
        </w:rPr>
      </w:pPr>
      <w:r>
        <w:rPr>
          <w:rFonts w:ascii="Abadi" w:hAnsi="Abadi"/>
          <w:b/>
          <w:bCs/>
          <w:sz w:val="21"/>
          <w:szCs w:val="21"/>
        </w:rPr>
        <w:t xml:space="preserve">- </w:t>
      </w:r>
      <w:r w:rsidRPr="00DA40A3">
        <w:rPr>
          <w:rFonts w:ascii="Abadi" w:hAnsi="Abadi"/>
          <w:b/>
          <w:bCs/>
          <w:sz w:val="21"/>
          <w:szCs w:val="21"/>
        </w:rPr>
        <w:t>La Secretaria.-</w:t>
      </w:r>
      <w:r w:rsidRPr="00DA40A3">
        <w:rPr>
          <w:rFonts w:ascii="Abadi" w:hAnsi="Abadi"/>
          <w:sz w:val="21"/>
          <w:szCs w:val="21"/>
        </w:rPr>
        <w:t xml:space="preserve"> </w:t>
      </w:r>
      <w:bookmarkStart w:id="0" w:name="_Hlk106225452"/>
      <w:r w:rsidRPr="00DA40A3">
        <w:rPr>
          <w:rFonts w:ascii="Abadi" w:hAnsi="Abadi"/>
          <w:sz w:val="21"/>
          <w:szCs w:val="21"/>
        </w:rPr>
        <w:t xml:space="preserve">Por instrucciones de la  Presidencia, en votación económica se pregunta a las diputadas y  a los diputados si se aprueba la </w:t>
      </w:r>
      <w:r w:rsidR="00772FF1">
        <w:rPr>
          <w:rFonts w:ascii="Abadi" w:hAnsi="Abadi"/>
          <w:sz w:val="21"/>
          <w:szCs w:val="21"/>
        </w:rPr>
        <w:t xml:space="preserve">propuesta sobre </w:t>
      </w:r>
      <w:r w:rsidRPr="00DA40A3">
        <w:rPr>
          <w:rFonts w:ascii="Abadi" w:hAnsi="Abadi"/>
          <w:sz w:val="21"/>
          <w:szCs w:val="21"/>
        </w:rPr>
        <w:t xml:space="preserve">dispensa de lectura mediante el sistema electrónico. </w:t>
      </w:r>
    </w:p>
    <w:bookmarkEnd w:id="0"/>
    <w:p w14:paraId="79261FBB" w14:textId="77777777" w:rsidR="0069318E" w:rsidRPr="00DA40A3" w:rsidRDefault="0069318E" w:rsidP="0069318E">
      <w:pPr>
        <w:jc w:val="both"/>
        <w:rPr>
          <w:rFonts w:ascii="Abadi" w:hAnsi="Abadi"/>
          <w:sz w:val="21"/>
          <w:szCs w:val="21"/>
        </w:rPr>
      </w:pPr>
    </w:p>
    <w:p w14:paraId="469C3F18" w14:textId="77777777" w:rsidR="0069318E" w:rsidRPr="00DA40A3" w:rsidRDefault="0069318E" w:rsidP="0069318E">
      <w:pPr>
        <w:jc w:val="both"/>
        <w:rPr>
          <w:rFonts w:ascii="Abadi" w:hAnsi="Abadi"/>
          <w:sz w:val="21"/>
          <w:szCs w:val="21"/>
        </w:rPr>
      </w:pPr>
      <w:r w:rsidRPr="00DA40A3">
        <w:rPr>
          <w:rFonts w:ascii="Abadi" w:hAnsi="Abadi"/>
          <w:sz w:val="21"/>
          <w:szCs w:val="21"/>
        </w:rPr>
        <w:t>¿Falta alguna diputada, algún diputado de emitir su voto?</w:t>
      </w:r>
    </w:p>
    <w:p w14:paraId="732D66CA" w14:textId="77777777" w:rsidR="0069318E" w:rsidRPr="00DA40A3" w:rsidRDefault="0069318E" w:rsidP="0069318E">
      <w:pPr>
        <w:jc w:val="both"/>
        <w:rPr>
          <w:rFonts w:ascii="Abadi" w:hAnsi="Abadi"/>
          <w:sz w:val="21"/>
          <w:szCs w:val="21"/>
        </w:rPr>
      </w:pPr>
    </w:p>
    <w:p w14:paraId="2FCD42E1" w14:textId="77777777" w:rsidR="0069318E" w:rsidRPr="00DA40A3" w:rsidRDefault="0069318E" w:rsidP="0069318E">
      <w:pPr>
        <w:jc w:val="center"/>
        <w:rPr>
          <w:rFonts w:ascii="Abadi" w:hAnsi="Abadi"/>
          <w:b/>
          <w:bCs/>
          <w:sz w:val="21"/>
          <w:szCs w:val="21"/>
        </w:rPr>
      </w:pPr>
      <w:r w:rsidRPr="00DA40A3">
        <w:rPr>
          <w:rFonts w:ascii="Abadi" w:hAnsi="Abadi"/>
          <w:b/>
          <w:bCs/>
          <w:sz w:val="21"/>
          <w:szCs w:val="21"/>
        </w:rPr>
        <w:t>(Se cierra el sistema electrónico)</w:t>
      </w:r>
    </w:p>
    <w:p w14:paraId="708B7000" w14:textId="77777777" w:rsidR="0069318E" w:rsidRPr="00DA40A3" w:rsidRDefault="0069318E" w:rsidP="0069318E">
      <w:pPr>
        <w:jc w:val="both"/>
        <w:rPr>
          <w:rFonts w:ascii="Abadi" w:hAnsi="Abadi"/>
          <w:b/>
          <w:bCs/>
          <w:sz w:val="21"/>
          <w:szCs w:val="21"/>
        </w:rPr>
      </w:pPr>
    </w:p>
    <w:p w14:paraId="3054AE08" w14:textId="77777777" w:rsidR="0069318E" w:rsidRPr="00DA40A3" w:rsidRDefault="0069318E" w:rsidP="0069318E">
      <w:pPr>
        <w:jc w:val="both"/>
        <w:rPr>
          <w:rFonts w:ascii="Abadi" w:hAnsi="Abadi"/>
          <w:b/>
          <w:bCs/>
          <w:sz w:val="21"/>
          <w:szCs w:val="21"/>
        </w:rPr>
      </w:pPr>
      <w:r w:rsidRPr="00DA40A3">
        <w:rPr>
          <w:rFonts w:ascii="Abadi" w:hAnsi="Abadi"/>
          <w:noProof/>
          <w:sz w:val="21"/>
          <w:szCs w:val="21"/>
        </w:rPr>
        <w:drawing>
          <wp:inline distT="0" distB="0" distL="0" distR="0" wp14:anchorId="1E2D5F99" wp14:editId="6ED9A381">
            <wp:extent cx="2200275" cy="1168849"/>
            <wp:effectExtent l="152400" t="152400" r="352425" b="355600"/>
            <wp:docPr id="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rotWithShape="1">
                    <a:blip r:embed="rId20"/>
                    <a:srcRect b="5552"/>
                    <a:stretch/>
                  </pic:blipFill>
                  <pic:spPr bwMode="auto">
                    <a:xfrm>
                      <a:off x="0" y="0"/>
                      <a:ext cx="2246491" cy="1193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BA53077" w14:textId="77777777" w:rsidR="0069318E" w:rsidRPr="00DA40A3" w:rsidRDefault="0069318E" w:rsidP="0069318E">
      <w:pPr>
        <w:jc w:val="both"/>
        <w:rPr>
          <w:rFonts w:ascii="Abadi" w:hAnsi="Abadi"/>
          <w:sz w:val="21"/>
          <w:szCs w:val="21"/>
        </w:rPr>
      </w:pPr>
    </w:p>
    <w:p w14:paraId="4B410A9D" w14:textId="77777777" w:rsidR="0069318E" w:rsidRDefault="0069318E" w:rsidP="0069318E">
      <w:pPr>
        <w:ind w:firstLine="708"/>
        <w:jc w:val="both"/>
        <w:rPr>
          <w:rFonts w:ascii="Abadi" w:hAnsi="Abadi"/>
          <w:sz w:val="21"/>
          <w:szCs w:val="21"/>
        </w:rPr>
      </w:pPr>
      <w:r>
        <w:rPr>
          <w:rFonts w:ascii="Abadi" w:hAnsi="Abadi"/>
          <w:b/>
          <w:bCs/>
          <w:sz w:val="21"/>
          <w:szCs w:val="21"/>
        </w:rPr>
        <w:t xml:space="preserve">- </w:t>
      </w:r>
      <w:r w:rsidRPr="00DA40A3">
        <w:rPr>
          <w:rFonts w:ascii="Abadi" w:hAnsi="Abadi"/>
          <w:b/>
          <w:bCs/>
          <w:sz w:val="21"/>
          <w:szCs w:val="21"/>
        </w:rPr>
        <w:t xml:space="preserve">La Secretaria.- </w:t>
      </w:r>
      <w:r w:rsidRPr="00DA40A3">
        <w:rPr>
          <w:rFonts w:ascii="Abadi" w:hAnsi="Abadi"/>
          <w:sz w:val="21"/>
          <w:szCs w:val="21"/>
        </w:rPr>
        <w:t xml:space="preserve">Se registraron 32 votos a favor. </w:t>
      </w:r>
    </w:p>
    <w:p w14:paraId="19410A85" w14:textId="77777777" w:rsidR="0069318E" w:rsidRPr="00DA40A3" w:rsidRDefault="0069318E" w:rsidP="0069318E">
      <w:pPr>
        <w:jc w:val="both"/>
        <w:rPr>
          <w:rFonts w:ascii="Abadi" w:hAnsi="Abadi"/>
          <w:sz w:val="21"/>
          <w:szCs w:val="21"/>
        </w:rPr>
      </w:pPr>
    </w:p>
    <w:p w14:paraId="1D64F3E2" w14:textId="4E82E9B1" w:rsidR="0069318E" w:rsidRDefault="0069318E" w:rsidP="0069318E">
      <w:pPr>
        <w:pStyle w:val="Default"/>
        <w:ind w:firstLine="708"/>
        <w:jc w:val="both"/>
        <w:rPr>
          <w:rFonts w:ascii="Abadi" w:hAnsi="Abadi"/>
          <w:sz w:val="21"/>
          <w:szCs w:val="21"/>
        </w:rPr>
      </w:pPr>
      <w:r>
        <w:rPr>
          <w:rFonts w:ascii="Abadi" w:hAnsi="Abadi"/>
          <w:b/>
          <w:bCs/>
          <w:sz w:val="21"/>
          <w:szCs w:val="21"/>
        </w:rPr>
        <w:t xml:space="preserve">- </w:t>
      </w:r>
      <w:r w:rsidRPr="00DA40A3">
        <w:rPr>
          <w:rFonts w:ascii="Abadi" w:hAnsi="Abadi"/>
          <w:b/>
          <w:bCs/>
          <w:sz w:val="21"/>
          <w:szCs w:val="21"/>
        </w:rPr>
        <w:t>La Presidencia.-</w:t>
      </w:r>
      <w:r w:rsidRPr="00DA40A3">
        <w:rPr>
          <w:rFonts w:ascii="Abadi" w:hAnsi="Abadi"/>
          <w:sz w:val="21"/>
          <w:szCs w:val="21"/>
        </w:rPr>
        <w:t xml:space="preserve"> La dispensa de lectura ha sido aprobada por unanimidad de votos.</w:t>
      </w:r>
    </w:p>
    <w:p w14:paraId="56761420" w14:textId="2E626EEB" w:rsidR="00BD480A" w:rsidRDefault="00BD480A" w:rsidP="00BD480A">
      <w:pPr>
        <w:ind w:firstLine="708"/>
        <w:jc w:val="both"/>
        <w:rPr>
          <w:rFonts w:ascii="Abadi" w:hAnsi="Abadi"/>
          <w:sz w:val="21"/>
          <w:szCs w:val="21"/>
        </w:rPr>
      </w:pPr>
      <w:r>
        <w:rPr>
          <w:rFonts w:ascii="Abadi" w:hAnsi="Abadi"/>
          <w:b/>
          <w:bCs/>
          <w:sz w:val="21"/>
          <w:szCs w:val="21"/>
        </w:rPr>
        <w:t xml:space="preserve">- </w:t>
      </w:r>
      <w:r w:rsidRPr="00BD480A">
        <w:rPr>
          <w:rFonts w:ascii="Abadi" w:hAnsi="Abadi"/>
          <w:b/>
          <w:bCs/>
          <w:sz w:val="21"/>
          <w:szCs w:val="21"/>
        </w:rPr>
        <w:t>La Presidencia.-</w:t>
      </w:r>
      <w:r w:rsidRPr="00BD480A">
        <w:rPr>
          <w:rFonts w:ascii="Abadi" w:hAnsi="Abadi"/>
          <w:sz w:val="21"/>
          <w:szCs w:val="21"/>
        </w:rPr>
        <w:t xml:space="preserve">  En consecuencia, procede someter a consideración de es</w:t>
      </w:r>
      <w:r w:rsidR="00772FF1">
        <w:rPr>
          <w:rFonts w:ascii="Abadi" w:hAnsi="Abadi"/>
          <w:sz w:val="21"/>
          <w:szCs w:val="21"/>
        </w:rPr>
        <w:t>t</w:t>
      </w:r>
      <w:r w:rsidRPr="00BD480A">
        <w:rPr>
          <w:rFonts w:ascii="Abadi" w:hAnsi="Abadi"/>
          <w:sz w:val="21"/>
          <w:szCs w:val="21"/>
        </w:rPr>
        <w:t xml:space="preserve">e Pleno el Acta de referencia. </w:t>
      </w:r>
    </w:p>
    <w:p w14:paraId="05E8A201" w14:textId="77777777" w:rsidR="003E7942" w:rsidRPr="00BD480A" w:rsidRDefault="003E7942" w:rsidP="00BD480A">
      <w:pPr>
        <w:ind w:firstLine="708"/>
        <w:jc w:val="both"/>
        <w:rPr>
          <w:rFonts w:ascii="Abadi" w:hAnsi="Abadi"/>
          <w:sz w:val="21"/>
          <w:szCs w:val="21"/>
        </w:rPr>
      </w:pPr>
    </w:p>
    <w:p w14:paraId="0AEEE473" w14:textId="5FAB0A55" w:rsidR="00BD480A" w:rsidRDefault="00BD480A" w:rsidP="00BD480A">
      <w:pPr>
        <w:ind w:firstLine="708"/>
        <w:jc w:val="both"/>
        <w:rPr>
          <w:rFonts w:ascii="Abadi" w:hAnsi="Abadi"/>
          <w:sz w:val="21"/>
          <w:szCs w:val="21"/>
        </w:rPr>
      </w:pPr>
      <w:r>
        <w:rPr>
          <w:rFonts w:ascii="Abadi" w:hAnsi="Abadi"/>
          <w:sz w:val="21"/>
          <w:szCs w:val="21"/>
        </w:rPr>
        <w:t xml:space="preserve">- </w:t>
      </w:r>
      <w:r w:rsidRPr="00BD480A">
        <w:rPr>
          <w:rFonts w:ascii="Abadi" w:hAnsi="Abadi"/>
          <w:sz w:val="21"/>
          <w:szCs w:val="21"/>
        </w:rPr>
        <w:t>Si desean hacer uso de la palabra indiquenlo ha esta Presidencia.</w:t>
      </w:r>
    </w:p>
    <w:p w14:paraId="15E4ADFB" w14:textId="77777777" w:rsidR="00BD480A" w:rsidRPr="00BD480A" w:rsidRDefault="00BD480A" w:rsidP="00BD480A">
      <w:pPr>
        <w:jc w:val="both"/>
        <w:rPr>
          <w:rFonts w:ascii="Abadi" w:hAnsi="Abadi"/>
          <w:sz w:val="21"/>
          <w:szCs w:val="21"/>
        </w:rPr>
      </w:pPr>
    </w:p>
    <w:p w14:paraId="09BEB492" w14:textId="1E28D96A" w:rsidR="00BD480A" w:rsidRDefault="00BD480A" w:rsidP="00BD480A">
      <w:pPr>
        <w:ind w:firstLine="708"/>
        <w:jc w:val="both"/>
        <w:rPr>
          <w:rFonts w:ascii="Abadi" w:hAnsi="Abadi"/>
          <w:sz w:val="21"/>
          <w:szCs w:val="21"/>
        </w:rPr>
      </w:pPr>
      <w:r>
        <w:rPr>
          <w:rFonts w:ascii="Abadi" w:hAnsi="Abadi"/>
          <w:sz w:val="21"/>
          <w:szCs w:val="21"/>
        </w:rPr>
        <w:t xml:space="preserve">- </w:t>
      </w:r>
      <w:r w:rsidRPr="00BD480A">
        <w:rPr>
          <w:rFonts w:ascii="Abadi" w:hAnsi="Abadi"/>
          <w:sz w:val="21"/>
          <w:szCs w:val="21"/>
        </w:rPr>
        <w:t>Al no registra</w:t>
      </w:r>
      <w:r>
        <w:rPr>
          <w:rFonts w:ascii="Abadi" w:hAnsi="Abadi"/>
          <w:sz w:val="21"/>
          <w:szCs w:val="21"/>
        </w:rPr>
        <w:t xml:space="preserve">rse </w:t>
      </w:r>
      <w:r w:rsidRPr="00BD480A">
        <w:rPr>
          <w:rFonts w:ascii="Abadi" w:hAnsi="Abadi"/>
          <w:sz w:val="21"/>
          <w:szCs w:val="21"/>
        </w:rPr>
        <w:t xml:space="preserve">intervenciones, se solicita a la Secretaria que </w:t>
      </w:r>
      <w:r>
        <w:rPr>
          <w:rFonts w:ascii="Abadi" w:hAnsi="Abadi"/>
          <w:sz w:val="21"/>
          <w:szCs w:val="21"/>
        </w:rPr>
        <w:t xml:space="preserve">en </w:t>
      </w:r>
      <w:r w:rsidRPr="00BD480A">
        <w:rPr>
          <w:rFonts w:ascii="Abadi" w:hAnsi="Abadi"/>
          <w:sz w:val="21"/>
          <w:szCs w:val="21"/>
        </w:rPr>
        <w:t xml:space="preserve">votación económica a través del sistema electrónico, pregunte a las </w:t>
      </w:r>
      <w:r w:rsidR="00772FF1">
        <w:rPr>
          <w:rFonts w:ascii="Abadi" w:hAnsi="Abadi"/>
          <w:sz w:val="21"/>
          <w:szCs w:val="21"/>
        </w:rPr>
        <w:t xml:space="preserve">y los </w:t>
      </w:r>
      <w:r w:rsidRPr="00BD480A">
        <w:rPr>
          <w:rFonts w:ascii="Abadi" w:hAnsi="Abadi"/>
          <w:sz w:val="21"/>
          <w:szCs w:val="21"/>
        </w:rPr>
        <w:t xml:space="preserve">diputados si es de aprobarse el Acta.  </w:t>
      </w:r>
    </w:p>
    <w:p w14:paraId="0D863391" w14:textId="77777777" w:rsidR="00BD480A" w:rsidRPr="00BD480A" w:rsidRDefault="00BD480A" w:rsidP="00BD480A">
      <w:pPr>
        <w:jc w:val="both"/>
        <w:rPr>
          <w:rFonts w:ascii="Abadi" w:hAnsi="Abadi"/>
          <w:sz w:val="21"/>
          <w:szCs w:val="21"/>
        </w:rPr>
      </w:pPr>
    </w:p>
    <w:p w14:paraId="7421FFA1" w14:textId="77777777" w:rsidR="00BD480A" w:rsidRPr="00BD480A" w:rsidRDefault="00BD480A" w:rsidP="00BD480A">
      <w:pPr>
        <w:jc w:val="center"/>
        <w:rPr>
          <w:rFonts w:ascii="Abadi" w:hAnsi="Abadi"/>
          <w:b/>
          <w:bCs/>
          <w:sz w:val="21"/>
          <w:szCs w:val="21"/>
        </w:rPr>
      </w:pPr>
      <w:r w:rsidRPr="00BD480A">
        <w:rPr>
          <w:rFonts w:ascii="Abadi" w:hAnsi="Abadi"/>
          <w:b/>
          <w:bCs/>
          <w:sz w:val="21"/>
          <w:szCs w:val="21"/>
        </w:rPr>
        <w:t>(Se abre el sistema electrónico)</w:t>
      </w:r>
    </w:p>
    <w:p w14:paraId="53A2A2AF" w14:textId="77777777" w:rsidR="00BD480A" w:rsidRDefault="00BD480A" w:rsidP="00BD480A">
      <w:pPr>
        <w:jc w:val="both"/>
        <w:rPr>
          <w:rFonts w:ascii="Abadi" w:hAnsi="Abadi"/>
          <w:b/>
          <w:bCs/>
          <w:sz w:val="21"/>
          <w:szCs w:val="21"/>
        </w:rPr>
      </w:pPr>
    </w:p>
    <w:p w14:paraId="5758C557" w14:textId="19E859A8" w:rsidR="00BD480A" w:rsidRDefault="00BD480A" w:rsidP="00BD480A">
      <w:pPr>
        <w:ind w:firstLine="708"/>
        <w:jc w:val="both"/>
        <w:rPr>
          <w:rFonts w:ascii="Abadi" w:hAnsi="Abadi"/>
          <w:sz w:val="21"/>
          <w:szCs w:val="21"/>
        </w:rPr>
      </w:pPr>
      <w:r>
        <w:rPr>
          <w:rFonts w:ascii="Abadi" w:hAnsi="Abadi"/>
          <w:b/>
          <w:bCs/>
          <w:sz w:val="21"/>
          <w:szCs w:val="21"/>
        </w:rPr>
        <w:t xml:space="preserve">- </w:t>
      </w:r>
      <w:r w:rsidRPr="00BD480A">
        <w:rPr>
          <w:rFonts w:ascii="Abadi" w:hAnsi="Abadi"/>
          <w:b/>
          <w:bCs/>
          <w:sz w:val="21"/>
          <w:szCs w:val="21"/>
        </w:rPr>
        <w:t>La Secretaria.-</w:t>
      </w:r>
      <w:r w:rsidRPr="00BD480A">
        <w:rPr>
          <w:rFonts w:ascii="Abadi" w:hAnsi="Abadi"/>
          <w:sz w:val="21"/>
          <w:szCs w:val="21"/>
        </w:rPr>
        <w:t xml:space="preserve"> </w:t>
      </w:r>
      <w:bookmarkStart w:id="1" w:name="_Hlk106225608"/>
      <w:r w:rsidRPr="00BD480A">
        <w:rPr>
          <w:rFonts w:ascii="Abadi" w:hAnsi="Abadi"/>
          <w:sz w:val="21"/>
          <w:szCs w:val="21"/>
        </w:rPr>
        <w:t xml:space="preserve">En votación económica se consulta </w:t>
      </w:r>
      <w:r w:rsidR="00772FF1">
        <w:rPr>
          <w:rFonts w:ascii="Abadi" w:hAnsi="Abadi"/>
          <w:sz w:val="21"/>
          <w:szCs w:val="21"/>
        </w:rPr>
        <w:t xml:space="preserve">a las diputadas  y a los diputados </w:t>
      </w:r>
      <w:r w:rsidRPr="00BD480A">
        <w:rPr>
          <w:rFonts w:ascii="Abadi" w:hAnsi="Abadi"/>
          <w:sz w:val="21"/>
          <w:szCs w:val="21"/>
        </w:rPr>
        <w:t>si sea prueba el Acta a través del sistema electrónico.</w:t>
      </w:r>
    </w:p>
    <w:bookmarkEnd w:id="1"/>
    <w:p w14:paraId="4A4F0F88" w14:textId="77777777" w:rsidR="00BD480A" w:rsidRPr="00BD480A" w:rsidRDefault="00BD480A" w:rsidP="00BD480A">
      <w:pPr>
        <w:jc w:val="both"/>
        <w:rPr>
          <w:rFonts w:ascii="Abadi" w:hAnsi="Abadi"/>
          <w:sz w:val="21"/>
          <w:szCs w:val="21"/>
        </w:rPr>
      </w:pPr>
    </w:p>
    <w:p w14:paraId="03976C35" w14:textId="64FBD883" w:rsidR="00BD480A" w:rsidRDefault="00BD480A" w:rsidP="00BD480A">
      <w:pPr>
        <w:jc w:val="both"/>
        <w:rPr>
          <w:rFonts w:ascii="Abadi" w:hAnsi="Abadi"/>
          <w:sz w:val="21"/>
          <w:szCs w:val="21"/>
        </w:rPr>
      </w:pPr>
      <w:r w:rsidRPr="00BD480A">
        <w:rPr>
          <w:rFonts w:ascii="Abadi" w:hAnsi="Abadi"/>
          <w:sz w:val="21"/>
          <w:szCs w:val="21"/>
        </w:rPr>
        <w:t>¿Falta alguna diputada o algún diputado emitir su voto?</w:t>
      </w:r>
    </w:p>
    <w:p w14:paraId="2CADF3CE" w14:textId="77777777" w:rsidR="00BD480A" w:rsidRPr="00BD480A" w:rsidRDefault="00BD480A" w:rsidP="00BD480A">
      <w:pPr>
        <w:jc w:val="both"/>
        <w:rPr>
          <w:rFonts w:ascii="Abadi" w:hAnsi="Abadi"/>
          <w:sz w:val="21"/>
          <w:szCs w:val="21"/>
        </w:rPr>
      </w:pPr>
    </w:p>
    <w:p w14:paraId="631ED94F" w14:textId="77777777" w:rsidR="00BD480A" w:rsidRPr="00BD480A" w:rsidRDefault="00BD480A" w:rsidP="00BD480A">
      <w:pPr>
        <w:jc w:val="center"/>
        <w:rPr>
          <w:rFonts w:ascii="Abadi" w:hAnsi="Abadi"/>
          <w:b/>
          <w:bCs/>
          <w:sz w:val="21"/>
          <w:szCs w:val="21"/>
        </w:rPr>
      </w:pPr>
      <w:r w:rsidRPr="00BD480A">
        <w:rPr>
          <w:rFonts w:ascii="Abadi" w:hAnsi="Abadi"/>
          <w:b/>
          <w:bCs/>
          <w:sz w:val="21"/>
          <w:szCs w:val="21"/>
        </w:rPr>
        <w:t>(Se cierra el sistema electrónico)</w:t>
      </w:r>
    </w:p>
    <w:p w14:paraId="3183A469" w14:textId="77777777" w:rsidR="00BD480A" w:rsidRPr="00BD480A" w:rsidRDefault="00BD480A" w:rsidP="00BD480A">
      <w:pPr>
        <w:jc w:val="both"/>
        <w:rPr>
          <w:rFonts w:ascii="Abadi" w:hAnsi="Abadi"/>
          <w:b/>
          <w:bCs/>
          <w:sz w:val="21"/>
          <w:szCs w:val="21"/>
        </w:rPr>
      </w:pPr>
    </w:p>
    <w:p w14:paraId="22471B86" w14:textId="77777777" w:rsidR="00BD480A" w:rsidRPr="00BD480A" w:rsidRDefault="00BD480A" w:rsidP="00BD480A">
      <w:pPr>
        <w:jc w:val="both"/>
        <w:rPr>
          <w:rFonts w:ascii="Abadi" w:hAnsi="Abadi"/>
          <w:b/>
          <w:bCs/>
          <w:sz w:val="21"/>
          <w:szCs w:val="21"/>
        </w:rPr>
      </w:pPr>
      <w:r w:rsidRPr="00BD480A">
        <w:rPr>
          <w:rFonts w:ascii="Abadi" w:hAnsi="Abadi"/>
          <w:noProof/>
          <w:sz w:val="21"/>
          <w:szCs w:val="21"/>
        </w:rPr>
        <w:drawing>
          <wp:inline distT="0" distB="0" distL="0" distR="0" wp14:anchorId="2C2A040C" wp14:editId="4D1FA6F3">
            <wp:extent cx="2076450" cy="1103070"/>
            <wp:effectExtent l="152400" t="152400" r="361950" b="363855"/>
            <wp:docPr id="8"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abla&#10;&#10;Descripción generada automáticamente"/>
                    <pic:cNvPicPr/>
                  </pic:nvPicPr>
                  <pic:blipFill rotWithShape="1">
                    <a:blip r:embed="rId21"/>
                    <a:srcRect b="5552"/>
                    <a:stretch/>
                  </pic:blipFill>
                  <pic:spPr bwMode="auto">
                    <a:xfrm>
                      <a:off x="0" y="0"/>
                      <a:ext cx="2087986" cy="110919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4B51533" w14:textId="77777777" w:rsidR="00BD480A" w:rsidRDefault="00BD480A" w:rsidP="00BD480A">
      <w:pPr>
        <w:jc w:val="both"/>
        <w:rPr>
          <w:rFonts w:ascii="Abadi" w:hAnsi="Abadi"/>
          <w:b/>
          <w:bCs/>
          <w:sz w:val="21"/>
          <w:szCs w:val="21"/>
        </w:rPr>
      </w:pPr>
    </w:p>
    <w:p w14:paraId="1C8F9B38" w14:textId="5ACAE1BE" w:rsidR="00BD480A" w:rsidRDefault="00BD480A" w:rsidP="00BD480A">
      <w:pPr>
        <w:ind w:firstLine="708"/>
        <w:jc w:val="both"/>
        <w:rPr>
          <w:rFonts w:ascii="Abadi" w:hAnsi="Abadi"/>
          <w:sz w:val="21"/>
          <w:szCs w:val="21"/>
        </w:rPr>
      </w:pPr>
      <w:r>
        <w:rPr>
          <w:rFonts w:ascii="Abadi" w:hAnsi="Abadi"/>
          <w:b/>
          <w:bCs/>
          <w:sz w:val="21"/>
          <w:szCs w:val="21"/>
        </w:rPr>
        <w:t xml:space="preserve">- </w:t>
      </w:r>
      <w:r w:rsidRPr="00BD480A">
        <w:rPr>
          <w:rFonts w:ascii="Abadi" w:hAnsi="Abadi"/>
          <w:b/>
          <w:bCs/>
          <w:sz w:val="21"/>
          <w:szCs w:val="21"/>
        </w:rPr>
        <w:t xml:space="preserve">La Secretaria.- </w:t>
      </w:r>
      <w:r w:rsidRPr="00BD480A">
        <w:rPr>
          <w:rFonts w:ascii="Abadi" w:hAnsi="Abadi"/>
          <w:sz w:val="21"/>
          <w:szCs w:val="21"/>
        </w:rPr>
        <w:t xml:space="preserve">Se registraron 32 votos a favor. </w:t>
      </w:r>
    </w:p>
    <w:p w14:paraId="13DC10CA" w14:textId="77777777" w:rsidR="00BD480A" w:rsidRPr="00BD480A" w:rsidRDefault="00BD480A" w:rsidP="00BD480A">
      <w:pPr>
        <w:jc w:val="both"/>
        <w:rPr>
          <w:rFonts w:ascii="Abadi" w:hAnsi="Abadi"/>
          <w:sz w:val="21"/>
          <w:szCs w:val="21"/>
        </w:rPr>
      </w:pPr>
    </w:p>
    <w:p w14:paraId="4C42725C" w14:textId="374A2490" w:rsidR="00BD480A" w:rsidRPr="00BD480A" w:rsidRDefault="00BD480A" w:rsidP="00BD480A">
      <w:pPr>
        <w:ind w:firstLine="708"/>
        <w:jc w:val="both"/>
        <w:rPr>
          <w:rFonts w:ascii="Abadi" w:hAnsi="Abadi"/>
          <w:sz w:val="21"/>
          <w:szCs w:val="21"/>
        </w:rPr>
      </w:pPr>
      <w:r>
        <w:rPr>
          <w:rFonts w:ascii="Abadi" w:hAnsi="Abadi"/>
          <w:b/>
          <w:bCs/>
          <w:sz w:val="21"/>
          <w:szCs w:val="21"/>
        </w:rPr>
        <w:t xml:space="preserve">- </w:t>
      </w:r>
      <w:r w:rsidRPr="00BD480A">
        <w:rPr>
          <w:rFonts w:ascii="Abadi" w:hAnsi="Abadi"/>
          <w:b/>
          <w:bCs/>
          <w:sz w:val="21"/>
          <w:szCs w:val="21"/>
        </w:rPr>
        <w:t xml:space="preserve">La Presidencia.- </w:t>
      </w:r>
      <w:r w:rsidRPr="00BD480A">
        <w:rPr>
          <w:rFonts w:ascii="Abadi" w:hAnsi="Abadi"/>
          <w:sz w:val="21"/>
          <w:szCs w:val="21"/>
        </w:rPr>
        <w:t>El Acta ha sido aprobada por unanimidad de votos.</w:t>
      </w:r>
    </w:p>
    <w:p w14:paraId="5D105412" w14:textId="77777777" w:rsidR="00BD480A" w:rsidRPr="00BD480A" w:rsidRDefault="00BD480A" w:rsidP="0069318E">
      <w:pPr>
        <w:pStyle w:val="Default"/>
        <w:ind w:firstLine="708"/>
        <w:jc w:val="both"/>
        <w:rPr>
          <w:rFonts w:ascii="Abadi" w:hAnsi="Abadi"/>
          <w:b/>
          <w:bCs/>
          <w:sz w:val="21"/>
          <w:szCs w:val="21"/>
        </w:rPr>
      </w:pPr>
    </w:p>
    <w:p w14:paraId="02E90302" w14:textId="77777777" w:rsidR="003E7942" w:rsidRPr="003B62EB" w:rsidRDefault="003E7942" w:rsidP="00307D50">
      <w:pPr>
        <w:pStyle w:val="Default"/>
        <w:jc w:val="both"/>
        <w:rPr>
          <w:rFonts w:ascii="Abadi" w:hAnsi="Abadi"/>
          <w:b/>
          <w:bCs/>
          <w:sz w:val="21"/>
          <w:szCs w:val="21"/>
        </w:rPr>
      </w:pPr>
    </w:p>
    <w:p w14:paraId="1F62888F" w14:textId="6CD586FC" w:rsidR="00FA5D95" w:rsidRPr="001F5101" w:rsidRDefault="00FA5D95" w:rsidP="005C6EBB">
      <w:pPr>
        <w:pStyle w:val="Prrafodelista"/>
        <w:numPr>
          <w:ilvl w:val="0"/>
          <w:numId w:val="9"/>
        </w:numPr>
        <w:ind w:left="284"/>
        <w:jc w:val="both"/>
        <w:rPr>
          <w:rFonts w:ascii="Abadi" w:hAnsi="Abadi"/>
          <w:b/>
          <w:bCs/>
          <w:sz w:val="21"/>
          <w:szCs w:val="21"/>
        </w:rPr>
      </w:pPr>
      <w:r w:rsidRPr="001F5101">
        <w:rPr>
          <w:rFonts w:ascii="Abadi" w:hAnsi="Abadi"/>
          <w:b/>
          <w:bCs/>
          <w:sz w:val="21"/>
          <w:szCs w:val="21"/>
        </w:rPr>
        <w:t xml:space="preserve">DAR CUENTA CON LAS COMUNICACIONES </w:t>
      </w:r>
      <w:r w:rsidR="000D1744" w:rsidRPr="001F5101">
        <w:rPr>
          <w:rFonts w:ascii="Abadi" w:hAnsi="Abadi"/>
          <w:b/>
          <w:bCs/>
          <w:sz w:val="21"/>
          <w:szCs w:val="21"/>
        </w:rPr>
        <w:t>Y CORRESPONDENCIA</w:t>
      </w:r>
      <w:r w:rsidRPr="001F5101">
        <w:rPr>
          <w:rFonts w:ascii="Abadi" w:hAnsi="Abadi"/>
          <w:b/>
          <w:bCs/>
          <w:sz w:val="21"/>
          <w:szCs w:val="21"/>
        </w:rPr>
        <w:t xml:space="preserve">  RECIBIDAS</w:t>
      </w:r>
      <w:r w:rsidR="005F21F2" w:rsidRPr="001F5101">
        <w:rPr>
          <w:rFonts w:ascii="Abadi" w:hAnsi="Abadi"/>
          <w:b/>
          <w:bCs/>
          <w:sz w:val="21"/>
          <w:szCs w:val="21"/>
        </w:rPr>
        <w:t xml:space="preserve"> </w:t>
      </w:r>
      <w:r w:rsidR="00AD1010">
        <w:rPr>
          <w:rStyle w:val="Refdenotaalpie"/>
          <w:rFonts w:ascii="Abadi" w:hAnsi="Abadi"/>
          <w:b/>
          <w:bCs/>
          <w:sz w:val="21"/>
          <w:szCs w:val="21"/>
        </w:rPr>
        <w:footnoteReference w:id="3"/>
      </w:r>
    </w:p>
    <w:p w14:paraId="50940C5C" w14:textId="10C99286" w:rsidR="006B5884" w:rsidRDefault="006B5884" w:rsidP="00FA5D95">
      <w:pPr>
        <w:jc w:val="both"/>
        <w:rPr>
          <w:rFonts w:ascii="Abadi" w:hAnsi="Abadi"/>
          <w:b/>
          <w:bCs/>
          <w:sz w:val="21"/>
          <w:szCs w:val="21"/>
        </w:rPr>
      </w:pPr>
    </w:p>
    <w:p w14:paraId="62127273" w14:textId="78BD7F9D" w:rsidR="00443882" w:rsidRDefault="00443882" w:rsidP="00FA5D95">
      <w:pPr>
        <w:jc w:val="both"/>
        <w:rPr>
          <w:rFonts w:ascii="Abadi" w:hAnsi="Abadi"/>
          <w:b/>
          <w:bCs/>
          <w:sz w:val="21"/>
          <w:szCs w:val="21"/>
        </w:rPr>
      </w:pPr>
    </w:p>
    <w:tbl>
      <w:tblPr>
        <w:tblStyle w:val="Tablaconcuadrcula"/>
        <w:tblW w:w="438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494"/>
        <w:gridCol w:w="1886"/>
      </w:tblGrid>
      <w:tr w:rsidR="00443882" w14:paraId="60AEE478" w14:textId="77777777" w:rsidTr="00724EA0">
        <w:tc>
          <w:tcPr>
            <w:tcW w:w="2494" w:type="dxa"/>
            <w:shd w:val="clear" w:color="auto" w:fill="EEECE1" w:themeFill="background2"/>
          </w:tcPr>
          <w:p w14:paraId="56B76614" w14:textId="77777777" w:rsidR="00443882" w:rsidRPr="006206B9" w:rsidRDefault="00443882" w:rsidP="00901400">
            <w:pPr>
              <w:jc w:val="both"/>
              <w:rPr>
                <w:rFonts w:ascii="Abadi" w:hAnsi="Abadi"/>
                <w:b/>
                <w:bCs/>
                <w:sz w:val="21"/>
                <w:szCs w:val="21"/>
              </w:rPr>
            </w:pPr>
            <w:r w:rsidRPr="006206B9">
              <w:rPr>
                <w:rFonts w:ascii="Abadi" w:hAnsi="Abadi"/>
                <w:b/>
                <w:bCs/>
                <w:sz w:val="21"/>
                <w:szCs w:val="21"/>
              </w:rPr>
              <w:t>A S U N T O</w:t>
            </w:r>
          </w:p>
        </w:tc>
        <w:tc>
          <w:tcPr>
            <w:tcW w:w="1886" w:type="dxa"/>
            <w:shd w:val="clear" w:color="auto" w:fill="EEECE1" w:themeFill="background2"/>
          </w:tcPr>
          <w:p w14:paraId="54D3E96D" w14:textId="77777777" w:rsidR="00443882" w:rsidRPr="006206B9" w:rsidRDefault="00443882" w:rsidP="00901400">
            <w:pPr>
              <w:jc w:val="both"/>
              <w:rPr>
                <w:rFonts w:ascii="Abadi" w:hAnsi="Abadi"/>
                <w:b/>
                <w:bCs/>
                <w:sz w:val="21"/>
                <w:szCs w:val="21"/>
              </w:rPr>
            </w:pPr>
            <w:r w:rsidRPr="006206B9">
              <w:rPr>
                <w:rFonts w:ascii="Abadi" w:hAnsi="Abadi"/>
                <w:b/>
                <w:bCs/>
                <w:sz w:val="21"/>
                <w:szCs w:val="21"/>
              </w:rPr>
              <w:t>A C U E R D O</w:t>
            </w:r>
          </w:p>
        </w:tc>
      </w:tr>
      <w:tr w:rsidR="00443882" w14:paraId="305C8D6A" w14:textId="77777777" w:rsidTr="0064780B">
        <w:tc>
          <w:tcPr>
            <w:tcW w:w="4380" w:type="dxa"/>
            <w:gridSpan w:val="2"/>
            <w:shd w:val="clear" w:color="auto" w:fill="EEECE1" w:themeFill="background2"/>
          </w:tcPr>
          <w:p w14:paraId="307FC2AF" w14:textId="5187463D" w:rsidR="00443882" w:rsidRPr="006206B9" w:rsidRDefault="00C529C5" w:rsidP="003E7942">
            <w:pPr>
              <w:ind w:right="38"/>
              <w:jc w:val="both"/>
              <w:rPr>
                <w:rFonts w:ascii="Abadi" w:hAnsi="Abadi"/>
                <w:b/>
                <w:bCs/>
                <w:sz w:val="21"/>
                <w:szCs w:val="21"/>
              </w:rPr>
            </w:pPr>
            <w:r w:rsidRPr="00C529C5">
              <w:rPr>
                <w:rFonts w:ascii="Abadi" w:hAnsi="Abadi"/>
                <w:b/>
                <w:bCs/>
                <w:sz w:val="21"/>
                <w:szCs w:val="21"/>
              </w:rPr>
              <w:t>I. Comunicados provenientes de los poderes de la Unión y Organismos Autónomos.</w:t>
            </w:r>
          </w:p>
        </w:tc>
      </w:tr>
      <w:tr w:rsidR="00443882" w14:paraId="1CD4CEAC" w14:textId="77777777" w:rsidTr="00724EA0">
        <w:tc>
          <w:tcPr>
            <w:tcW w:w="2494" w:type="dxa"/>
          </w:tcPr>
          <w:p w14:paraId="22F00AB2" w14:textId="77777777" w:rsidR="00F94067" w:rsidRPr="00F94067" w:rsidRDefault="00F94067" w:rsidP="00F94067">
            <w:pPr>
              <w:autoSpaceDE w:val="0"/>
              <w:autoSpaceDN w:val="0"/>
              <w:adjustRightInd w:val="0"/>
              <w:jc w:val="both"/>
              <w:rPr>
                <w:rFonts w:ascii="Abadi" w:eastAsia="Calibri" w:hAnsi="Abadi" w:cs="Arial"/>
                <w:sz w:val="21"/>
                <w:szCs w:val="21"/>
                <w:lang w:eastAsia="en-US"/>
              </w:rPr>
            </w:pPr>
            <w:r w:rsidRPr="00F94067">
              <w:rPr>
                <w:rFonts w:ascii="Abadi" w:eastAsia="Calibri" w:hAnsi="Abadi" w:cs="Arial"/>
                <w:sz w:val="21"/>
                <w:szCs w:val="21"/>
                <w:lang w:eastAsia="en-US"/>
              </w:rPr>
              <w:t>El subsecretario de Empleo y Productividad Laboral de la</w:t>
            </w:r>
          </w:p>
          <w:p w14:paraId="6DD71EAF" w14:textId="77777777" w:rsidR="00F94067" w:rsidRPr="00F94067" w:rsidRDefault="00F94067" w:rsidP="00F94067">
            <w:pPr>
              <w:autoSpaceDE w:val="0"/>
              <w:autoSpaceDN w:val="0"/>
              <w:adjustRightInd w:val="0"/>
              <w:jc w:val="both"/>
              <w:rPr>
                <w:rFonts w:ascii="Abadi" w:eastAsia="Calibri" w:hAnsi="Abadi" w:cs="Arial"/>
                <w:sz w:val="21"/>
                <w:szCs w:val="21"/>
                <w:lang w:eastAsia="en-US"/>
              </w:rPr>
            </w:pPr>
            <w:r w:rsidRPr="00F94067">
              <w:rPr>
                <w:rFonts w:ascii="Abadi" w:eastAsia="Calibri" w:hAnsi="Abadi" w:cs="Arial"/>
                <w:sz w:val="21"/>
                <w:szCs w:val="21"/>
                <w:lang w:eastAsia="en-US"/>
              </w:rPr>
              <w:t>Secretaría del Trabajo y Previsión Social remite respuesta al</w:t>
            </w:r>
          </w:p>
          <w:p w14:paraId="70C11F79" w14:textId="77777777" w:rsidR="00F94067" w:rsidRPr="00F94067" w:rsidRDefault="00F94067" w:rsidP="00F94067">
            <w:pPr>
              <w:autoSpaceDE w:val="0"/>
              <w:autoSpaceDN w:val="0"/>
              <w:adjustRightInd w:val="0"/>
              <w:jc w:val="both"/>
              <w:rPr>
                <w:rFonts w:ascii="Abadi" w:eastAsia="Calibri" w:hAnsi="Abadi" w:cs="Arial"/>
                <w:sz w:val="21"/>
                <w:szCs w:val="21"/>
                <w:lang w:eastAsia="en-US"/>
              </w:rPr>
            </w:pPr>
            <w:r w:rsidRPr="00F94067">
              <w:rPr>
                <w:rFonts w:ascii="Abadi" w:eastAsia="Calibri" w:hAnsi="Abadi" w:cs="Arial"/>
                <w:sz w:val="21"/>
                <w:szCs w:val="21"/>
                <w:lang w:eastAsia="en-US"/>
              </w:rPr>
              <w:t>acuerdo aprobado por esta Legislatura, en el que se exhorta al</w:t>
            </w:r>
          </w:p>
          <w:p w14:paraId="3BE1678F" w14:textId="77777777" w:rsidR="00F94067" w:rsidRPr="00F94067" w:rsidRDefault="00F94067" w:rsidP="00F94067">
            <w:pPr>
              <w:autoSpaceDE w:val="0"/>
              <w:autoSpaceDN w:val="0"/>
              <w:adjustRightInd w:val="0"/>
              <w:jc w:val="both"/>
              <w:rPr>
                <w:rFonts w:ascii="Abadi" w:eastAsia="Calibri" w:hAnsi="Abadi" w:cs="Arial"/>
                <w:sz w:val="21"/>
                <w:szCs w:val="21"/>
                <w:lang w:eastAsia="en-US"/>
              </w:rPr>
            </w:pPr>
            <w:r w:rsidRPr="00F94067">
              <w:rPr>
                <w:rFonts w:ascii="Abadi" w:eastAsia="Calibri" w:hAnsi="Abadi" w:cs="Arial"/>
                <w:sz w:val="21"/>
                <w:szCs w:val="21"/>
                <w:lang w:eastAsia="en-US"/>
              </w:rPr>
              <w:t>sector público, al sector privado y a la sociedad civil organizada a</w:t>
            </w:r>
          </w:p>
          <w:p w14:paraId="514EA381" w14:textId="77777777" w:rsidR="00F94067" w:rsidRPr="00F94067" w:rsidRDefault="00F94067" w:rsidP="00F94067">
            <w:pPr>
              <w:autoSpaceDE w:val="0"/>
              <w:autoSpaceDN w:val="0"/>
              <w:adjustRightInd w:val="0"/>
              <w:jc w:val="both"/>
              <w:rPr>
                <w:rFonts w:ascii="Abadi" w:eastAsia="Calibri" w:hAnsi="Abadi" w:cs="Arial"/>
                <w:sz w:val="21"/>
                <w:szCs w:val="21"/>
                <w:lang w:eastAsia="en-US"/>
              </w:rPr>
            </w:pPr>
            <w:r w:rsidRPr="00F94067">
              <w:rPr>
                <w:rFonts w:ascii="Abadi" w:eastAsia="Calibri" w:hAnsi="Abadi" w:cs="Arial"/>
                <w:sz w:val="21"/>
                <w:szCs w:val="21"/>
                <w:lang w:eastAsia="en-US"/>
              </w:rPr>
              <w:t>efecto de que se siga incentivando la contratación de personas con</w:t>
            </w:r>
          </w:p>
          <w:p w14:paraId="50E35B70" w14:textId="329ED90B" w:rsidR="00F94067" w:rsidRPr="00F94067" w:rsidRDefault="00F94067" w:rsidP="00F94067">
            <w:pPr>
              <w:autoSpaceDE w:val="0"/>
              <w:autoSpaceDN w:val="0"/>
              <w:adjustRightInd w:val="0"/>
              <w:jc w:val="both"/>
              <w:rPr>
                <w:rFonts w:ascii="Abadi" w:eastAsia="Calibri" w:hAnsi="Abadi" w:cs="Arial"/>
                <w:sz w:val="21"/>
                <w:szCs w:val="21"/>
                <w:lang w:eastAsia="en-US"/>
              </w:rPr>
            </w:pPr>
            <w:r w:rsidRPr="00F94067">
              <w:rPr>
                <w:rFonts w:ascii="Abadi" w:eastAsia="Calibri" w:hAnsi="Abadi" w:cs="Arial"/>
                <w:sz w:val="21"/>
                <w:szCs w:val="21"/>
                <w:lang w:eastAsia="en-US"/>
              </w:rPr>
              <w:t>discapacidad.</w:t>
            </w:r>
          </w:p>
          <w:p w14:paraId="12F93764" w14:textId="7DCEBA3C" w:rsidR="00F94067" w:rsidRPr="00F94067" w:rsidRDefault="00F94067" w:rsidP="00F94067">
            <w:pPr>
              <w:autoSpaceDE w:val="0"/>
              <w:autoSpaceDN w:val="0"/>
              <w:adjustRightInd w:val="0"/>
              <w:jc w:val="both"/>
              <w:rPr>
                <w:rFonts w:ascii="Abadi" w:eastAsia="Calibri" w:hAnsi="Abadi" w:cs="Arial"/>
                <w:sz w:val="21"/>
                <w:szCs w:val="21"/>
                <w:lang w:eastAsia="en-US"/>
              </w:rPr>
            </w:pPr>
          </w:p>
          <w:p w14:paraId="7ECB97DD" w14:textId="77777777" w:rsidR="00F94067" w:rsidRPr="00F94067" w:rsidRDefault="00F94067" w:rsidP="00F94067">
            <w:pPr>
              <w:autoSpaceDE w:val="0"/>
              <w:autoSpaceDN w:val="0"/>
              <w:adjustRightInd w:val="0"/>
              <w:jc w:val="both"/>
              <w:rPr>
                <w:rFonts w:ascii="Abadi" w:eastAsia="Calibri" w:hAnsi="Abadi" w:cs="Arial"/>
                <w:sz w:val="21"/>
                <w:szCs w:val="21"/>
                <w:lang w:eastAsia="en-US"/>
              </w:rPr>
            </w:pPr>
          </w:p>
          <w:p w14:paraId="3D37ADC8" w14:textId="77777777" w:rsidR="00F94067" w:rsidRPr="00F94067" w:rsidRDefault="00F94067" w:rsidP="004A1D01">
            <w:pPr>
              <w:autoSpaceDE w:val="0"/>
              <w:autoSpaceDN w:val="0"/>
              <w:adjustRightInd w:val="0"/>
              <w:jc w:val="both"/>
              <w:rPr>
                <w:rFonts w:ascii="Abadi" w:eastAsia="Calibri" w:hAnsi="Abadi" w:cs="Arial"/>
                <w:sz w:val="21"/>
                <w:szCs w:val="21"/>
                <w:lang w:eastAsia="en-US"/>
              </w:rPr>
            </w:pPr>
            <w:r w:rsidRPr="00F94067">
              <w:rPr>
                <w:rFonts w:ascii="Abadi" w:eastAsia="Calibri" w:hAnsi="Abadi" w:cs="Arial"/>
                <w:sz w:val="21"/>
                <w:szCs w:val="21"/>
                <w:lang w:eastAsia="en-US"/>
              </w:rPr>
              <w:t>La presidenta de la Comisión de Derechos Humanos de la Ciudad</w:t>
            </w:r>
          </w:p>
          <w:p w14:paraId="1C12A02F" w14:textId="77777777" w:rsidR="00F94067" w:rsidRPr="00F94067" w:rsidRDefault="00F94067" w:rsidP="004A1D01">
            <w:pPr>
              <w:autoSpaceDE w:val="0"/>
              <w:autoSpaceDN w:val="0"/>
              <w:adjustRightInd w:val="0"/>
              <w:jc w:val="both"/>
              <w:rPr>
                <w:rFonts w:ascii="Abadi" w:eastAsia="Calibri" w:hAnsi="Abadi" w:cs="Arial"/>
                <w:sz w:val="21"/>
                <w:szCs w:val="21"/>
                <w:lang w:eastAsia="en-US"/>
              </w:rPr>
            </w:pPr>
            <w:r w:rsidRPr="00F94067">
              <w:rPr>
                <w:rFonts w:ascii="Abadi" w:eastAsia="Calibri" w:hAnsi="Abadi" w:cs="Arial"/>
                <w:sz w:val="21"/>
                <w:szCs w:val="21"/>
                <w:lang w:eastAsia="en-US"/>
              </w:rPr>
              <w:t>de México remite respuesta a la consulta de la iniciativa por la que</w:t>
            </w:r>
          </w:p>
          <w:p w14:paraId="542F7E76" w14:textId="7A46C217" w:rsidR="00F94067" w:rsidRPr="00F94067" w:rsidRDefault="00F94067" w:rsidP="004A1D01">
            <w:pPr>
              <w:autoSpaceDE w:val="0"/>
              <w:autoSpaceDN w:val="0"/>
              <w:adjustRightInd w:val="0"/>
              <w:jc w:val="both"/>
              <w:rPr>
                <w:rFonts w:ascii="Abadi" w:eastAsia="Calibri" w:hAnsi="Abadi" w:cs="Arial"/>
                <w:sz w:val="21"/>
                <w:szCs w:val="21"/>
                <w:lang w:eastAsia="en-US"/>
              </w:rPr>
            </w:pPr>
            <w:r w:rsidRPr="00F94067">
              <w:rPr>
                <w:rFonts w:ascii="Abadi" w:eastAsia="Calibri" w:hAnsi="Abadi" w:cs="Arial"/>
                <w:sz w:val="21"/>
                <w:szCs w:val="21"/>
                <w:lang w:eastAsia="en-US"/>
              </w:rPr>
              <w:t>se reforman los artículos 14, 15, 16, 17, 18, 19, 20 y 22, y se</w:t>
            </w:r>
            <w:r w:rsidR="002D7E8F">
              <w:rPr>
                <w:rFonts w:ascii="Abadi" w:eastAsia="Calibri" w:hAnsi="Abadi" w:cs="Arial"/>
                <w:sz w:val="21"/>
                <w:szCs w:val="21"/>
                <w:lang w:eastAsia="en-US"/>
              </w:rPr>
              <w:t xml:space="preserve"> </w:t>
            </w:r>
            <w:r w:rsidRPr="00F94067">
              <w:rPr>
                <w:rFonts w:ascii="Abadi" w:eastAsia="Calibri" w:hAnsi="Abadi" w:cs="Arial"/>
                <w:sz w:val="21"/>
                <w:szCs w:val="21"/>
                <w:lang w:eastAsia="en-US"/>
              </w:rPr>
              <w:t>adicionan los artículos 14 bis, 14 ter, 18 bis, 18 ter, 18 quáter, 18</w:t>
            </w:r>
            <w:r w:rsidR="002D7E8F">
              <w:rPr>
                <w:rFonts w:ascii="Abadi" w:eastAsia="Calibri" w:hAnsi="Abadi" w:cs="Arial"/>
                <w:sz w:val="21"/>
                <w:szCs w:val="21"/>
                <w:lang w:eastAsia="en-US"/>
              </w:rPr>
              <w:t xml:space="preserve"> </w:t>
            </w:r>
            <w:r w:rsidRPr="00F94067">
              <w:rPr>
                <w:rFonts w:ascii="Abadi" w:eastAsia="Calibri" w:hAnsi="Abadi" w:cs="Arial"/>
                <w:sz w:val="21"/>
                <w:szCs w:val="21"/>
                <w:lang w:eastAsia="en-US"/>
              </w:rPr>
              <w:t>quinquies, 19 bis, 19 ter, 19 quáter, 19 quinquies, 19 sexies y 19</w:t>
            </w:r>
          </w:p>
          <w:p w14:paraId="2B9686B5" w14:textId="5CBC081C" w:rsidR="00F94067" w:rsidRPr="00584007" w:rsidRDefault="00F94067" w:rsidP="004A1D01">
            <w:pPr>
              <w:autoSpaceDE w:val="0"/>
              <w:autoSpaceDN w:val="0"/>
              <w:adjustRightInd w:val="0"/>
              <w:jc w:val="both"/>
              <w:rPr>
                <w:rFonts w:ascii="Abadi" w:hAnsi="Abadi" w:cs="Calibri"/>
                <w:sz w:val="21"/>
                <w:szCs w:val="21"/>
                <w:lang w:val="es-MX" w:eastAsia="es-MX"/>
              </w:rPr>
            </w:pPr>
            <w:r w:rsidRPr="00584007">
              <w:rPr>
                <w:rFonts w:ascii="Abadi" w:hAnsi="Abadi" w:cs="Calibri"/>
                <w:sz w:val="21"/>
                <w:szCs w:val="21"/>
                <w:lang w:val="es-MX" w:eastAsia="es-MX"/>
              </w:rPr>
              <w:t>septies de la Ley para Prevenir, Atender y Erradicar la</w:t>
            </w:r>
            <w:r w:rsidR="002D7E8F">
              <w:rPr>
                <w:rFonts w:ascii="Abadi" w:hAnsi="Abadi" w:cs="Calibri"/>
                <w:sz w:val="21"/>
                <w:szCs w:val="21"/>
                <w:lang w:val="es-MX" w:eastAsia="es-MX"/>
              </w:rPr>
              <w:t xml:space="preserve"> </w:t>
            </w:r>
            <w:r w:rsidRPr="00584007">
              <w:rPr>
                <w:rFonts w:ascii="Abadi" w:hAnsi="Abadi" w:cs="Calibri"/>
                <w:sz w:val="21"/>
                <w:szCs w:val="21"/>
                <w:lang w:val="es-MX" w:eastAsia="es-MX"/>
              </w:rPr>
              <w:t>Discriminación en el Estado de Guanajuato; y el artículo 4 fracción</w:t>
            </w:r>
          </w:p>
          <w:p w14:paraId="57BD270C" w14:textId="48BAA053" w:rsidR="004E6C29" w:rsidRPr="00584007" w:rsidRDefault="00F94067" w:rsidP="004A1D01">
            <w:pPr>
              <w:autoSpaceDE w:val="0"/>
              <w:autoSpaceDN w:val="0"/>
              <w:adjustRightInd w:val="0"/>
              <w:jc w:val="both"/>
              <w:rPr>
                <w:rFonts w:ascii="Abadi" w:eastAsia="Calibri" w:hAnsi="Abadi" w:cs="Calibri"/>
                <w:color w:val="000000"/>
                <w:sz w:val="21"/>
                <w:szCs w:val="21"/>
                <w:lang w:eastAsia="en-US"/>
              </w:rPr>
            </w:pPr>
            <w:r w:rsidRPr="00584007">
              <w:rPr>
                <w:rFonts w:ascii="Abadi" w:hAnsi="Abadi" w:cs="Calibri"/>
                <w:sz w:val="21"/>
                <w:szCs w:val="21"/>
                <w:lang w:val="es-MX" w:eastAsia="es-MX"/>
              </w:rPr>
              <w:t>V de la Ley de Planeación para el Estado de Guanajuato.</w:t>
            </w:r>
          </w:p>
          <w:p w14:paraId="69A9ED2D" w14:textId="730EAA70" w:rsidR="004E6C29" w:rsidRPr="00D53B60" w:rsidRDefault="004E6C29" w:rsidP="00307482">
            <w:pPr>
              <w:autoSpaceDE w:val="0"/>
              <w:autoSpaceDN w:val="0"/>
              <w:adjustRightInd w:val="0"/>
              <w:jc w:val="both"/>
              <w:rPr>
                <w:rFonts w:ascii="Abadi" w:eastAsia="Calibri" w:hAnsi="Abadi" w:cs="Arial"/>
                <w:color w:val="000000"/>
                <w:sz w:val="21"/>
                <w:szCs w:val="21"/>
                <w:lang w:eastAsia="en-US"/>
              </w:rPr>
            </w:pPr>
          </w:p>
        </w:tc>
        <w:tc>
          <w:tcPr>
            <w:tcW w:w="1886" w:type="dxa"/>
          </w:tcPr>
          <w:p w14:paraId="79C49BFD" w14:textId="77777777" w:rsidR="004E6C29" w:rsidRPr="00F94067" w:rsidRDefault="004E6C29" w:rsidP="00F94067">
            <w:pPr>
              <w:autoSpaceDE w:val="0"/>
              <w:autoSpaceDN w:val="0"/>
              <w:adjustRightInd w:val="0"/>
              <w:jc w:val="both"/>
              <w:rPr>
                <w:rFonts w:ascii="Abadi" w:hAnsi="Abadi"/>
                <w:b/>
                <w:bCs/>
                <w:sz w:val="21"/>
                <w:szCs w:val="21"/>
              </w:rPr>
            </w:pPr>
            <w:r w:rsidRPr="00F94067">
              <w:rPr>
                <w:rFonts w:ascii="Abadi" w:hAnsi="Abadi"/>
                <w:b/>
                <w:bCs/>
                <w:sz w:val="21"/>
                <w:szCs w:val="21"/>
              </w:rPr>
              <w:t>Enterados y se informa que se turnaron</w:t>
            </w:r>
          </w:p>
          <w:p w14:paraId="06A125EF" w14:textId="77777777" w:rsidR="004E6C29" w:rsidRPr="00F94067" w:rsidRDefault="004E6C29" w:rsidP="00F94067">
            <w:pPr>
              <w:autoSpaceDE w:val="0"/>
              <w:autoSpaceDN w:val="0"/>
              <w:adjustRightInd w:val="0"/>
              <w:jc w:val="both"/>
              <w:rPr>
                <w:rFonts w:ascii="Abadi" w:hAnsi="Abadi"/>
                <w:b/>
                <w:bCs/>
                <w:sz w:val="21"/>
                <w:szCs w:val="21"/>
              </w:rPr>
            </w:pPr>
            <w:r w:rsidRPr="00F94067">
              <w:rPr>
                <w:rFonts w:ascii="Abadi" w:hAnsi="Abadi"/>
                <w:b/>
                <w:bCs/>
                <w:sz w:val="21"/>
                <w:szCs w:val="21"/>
              </w:rPr>
              <w:t>a la Comisión de Derechos Humanos y</w:t>
            </w:r>
          </w:p>
          <w:p w14:paraId="36FCD71A" w14:textId="6F390063" w:rsidR="00443882" w:rsidRPr="002F6389" w:rsidRDefault="004E6C29" w:rsidP="00F94067">
            <w:pPr>
              <w:jc w:val="both"/>
              <w:rPr>
                <w:rFonts w:ascii="Abadi" w:hAnsi="Abadi"/>
                <w:b/>
                <w:bCs/>
                <w:sz w:val="20"/>
                <w:szCs w:val="20"/>
              </w:rPr>
            </w:pPr>
            <w:r w:rsidRPr="00F94067">
              <w:rPr>
                <w:rFonts w:ascii="Abadi" w:hAnsi="Abadi"/>
                <w:b/>
                <w:bCs/>
                <w:sz w:val="21"/>
                <w:szCs w:val="21"/>
              </w:rPr>
              <w:t>Atención a Grupos Vulnerables.</w:t>
            </w:r>
          </w:p>
        </w:tc>
      </w:tr>
      <w:tr w:rsidR="004E6C29" w14:paraId="6F6B2416" w14:textId="77777777" w:rsidTr="0064780B">
        <w:tc>
          <w:tcPr>
            <w:tcW w:w="4380" w:type="dxa"/>
            <w:gridSpan w:val="2"/>
            <w:shd w:val="clear" w:color="auto" w:fill="EEECE1" w:themeFill="background2"/>
          </w:tcPr>
          <w:p w14:paraId="102B7D1B" w14:textId="29EDB7C5" w:rsidR="004E6C29" w:rsidRPr="006206B9" w:rsidRDefault="004E6C29" w:rsidP="004E6C29">
            <w:pPr>
              <w:jc w:val="both"/>
              <w:rPr>
                <w:rFonts w:ascii="Abadi" w:hAnsi="Abadi"/>
                <w:b/>
                <w:bCs/>
                <w:sz w:val="21"/>
                <w:szCs w:val="21"/>
              </w:rPr>
            </w:pPr>
            <w:r>
              <w:rPr>
                <w:rFonts w:ascii="Abadi" w:hAnsi="Abadi"/>
                <w:b/>
                <w:bCs/>
                <w:sz w:val="21"/>
                <w:szCs w:val="21"/>
              </w:rPr>
              <w:t>II. Comunicados provenientes de los poderes del Estado y Organismos Autónomos.</w:t>
            </w:r>
          </w:p>
        </w:tc>
      </w:tr>
      <w:tr w:rsidR="004E6C29" w14:paraId="223D417D" w14:textId="77777777" w:rsidTr="00724EA0">
        <w:tc>
          <w:tcPr>
            <w:tcW w:w="2494" w:type="dxa"/>
          </w:tcPr>
          <w:p w14:paraId="7C54516E" w14:textId="44B9B9BE" w:rsidR="004E6C29" w:rsidRPr="00584007" w:rsidRDefault="00584007" w:rsidP="002D7E8F">
            <w:pPr>
              <w:autoSpaceDE w:val="0"/>
              <w:autoSpaceDN w:val="0"/>
              <w:adjustRightInd w:val="0"/>
              <w:jc w:val="both"/>
              <w:rPr>
                <w:rFonts w:ascii="Abadi" w:hAnsi="Abadi" w:cs="Arial"/>
                <w:sz w:val="21"/>
                <w:szCs w:val="21"/>
              </w:rPr>
            </w:pPr>
            <w:r w:rsidRPr="00584007">
              <w:rPr>
                <w:rFonts w:ascii="Abadi" w:hAnsi="Abadi" w:cs="Calibri"/>
                <w:sz w:val="21"/>
                <w:szCs w:val="21"/>
                <w:lang w:val="es-MX" w:eastAsia="es-MX"/>
              </w:rPr>
              <w:t>La coordinadora general jurídica del Gobierno del Estado remite</w:t>
            </w:r>
            <w:r w:rsidR="002D7E8F">
              <w:rPr>
                <w:rFonts w:ascii="Abadi" w:hAnsi="Abadi" w:cs="Calibri"/>
                <w:sz w:val="21"/>
                <w:szCs w:val="21"/>
                <w:lang w:val="es-MX" w:eastAsia="es-MX"/>
              </w:rPr>
              <w:t xml:space="preserve"> </w:t>
            </w:r>
            <w:r w:rsidRPr="00584007">
              <w:rPr>
                <w:rFonts w:ascii="Abadi" w:hAnsi="Abadi" w:cs="Calibri"/>
                <w:sz w:val="21"/>
                <w:szCs w:val="21"/>
                <w:lang w:val="es-MX" w:eastAsia="es-MX"/>
              </w:rPr>
              <w:t>respuesta a la consulta de la iniciativa que reforma el Código Penal</w:t>
            </w:r>
            <w:r w:rsidR="002D7E8F">
              <w:rPr>
                <w:rFonts w:ascii="Abadi" w:hAnsi="Abadi" w:cs="Calibri"/>
                <w:sz w:val="21"/>
                <w:szCs w:val="21"/>
                <w:lang w:val="es-MX" w:eastAsia="es-MX"/>
              </w:rPr>
              <w:t xml:space="preserve"> </w:t>
            </w:r>
            <w:r w:rsidRPr="00584007">
              <w:rPr>
                <w:rFonts w:ascii="Abadi" w:hAnsi="Abadi" w:cs="Calibri"/>
                <w:sz w:val="21"/>
                <w:szCs w:val="21"/>
                <w:lang w:val="es-MX" w:eastAsia="es-MX"/>
              </w:rPr>
              <w:t xml:space="preserve">del Estado de Guanajuato, </w:t>
            </w:r>
            <w:r w:rsidRPr="00584007">
              <w:rPr>
                <w:rFonts w:ascii="Abadi" w:hAnsi="Abadi" w:cs="Calibri-Italic"/>
                <w:i/>
                <w:iCs/>
                <w:sz w:val="21"/>
                <w:szCs w:val="21"/>
                <w:lang w:val="es-MX" w:eastAsia="es-MX"/>
              </w:rPr>
              <w:t>en materia de delitos electorales.</w:t>
            </w:r>
          </w:p>
        </w:tc>
        <w:tc>
          <w:tcPr>
            <w:tcW w:w="1886" w:type="dxa"/>
          </w:tcPr>
          <w:p w14:paraId="0E008FF8" w14:textId="77777777" w:rsidR="00584007" w:rsidRPr="00584007" w:rsidRDefault="00584007" w:rsidP="00584007">
            <w:pPr>
              <w:autoSpaceDE w:val="0"/>
              <w:autoSpaceDN w:val="0"/>
              <w:adjustRightInd w:val="0"/>
              <w:rPr>
                <w:rFonts w:ascii="Abadi" w:hAnsi="Abadi"/>
                <w:b/>
                <w:bCs/>
                <w:sz w:val="21"/>
                <w:szCs w:val="21"/>
              </w:rPr>
            </w:pPr>
            <w:r w:rsidRPr="00584007">
              <w:rPr>
                <w:rFonts w:ascii="Abadi" w:hAnsi="Abadi"/>
                <w:b/>
                <w:bCs/>
                <w:sz w:val="21"/>
                <w:szCs w:val="21"/>
              </w:rPr>
              <w:t>Enterados y se informa que se turnó a la</w:t>
            </w:r>
          </w:p>
          <w:p w14:paraId="49C4E976" w14:textId="469FD630" w:rsidR="004E6C29" w:rsidRPr="00DB451E" w:rsidRDefault="00584007" w:rsidP="00584007">
            <w:pPr>
              <w:jc w:val="both"/>
              <w:rPr>
                <w:rFonts w:ascii="Abadi" w:hAnsi="Abadi"/>
                <w:b/>
                <w:bCs/>
                <w:i/>
                <w:iCs/>
                <w:sz w:val="21"/>
                <w:szCs w:val="21"/>
              </w:rPr>
            </w:pPr>
            <w:r w:rsidRPr="00584007">
              <w:rPr>
                <w:rFonts w:ascii="Abadi" w:hAnsi="Abadi"/>
                <w:b/>
                <w:bCs/>
                <w:sz w:val="21"/>
                <w:szCs w:val="21"/>
              </w:rPr>
              <w:t>Comisión de Justicia.</w:t>
            </w:r>
          </w:p>
        </w:tc>
      </w:tr>
      <w:tr w:rsidR="004E6C29" w14:paraId="5BF63DAA" w14:textId="77777777" w:rsidTr="00724EA0">
        <w:tc>
          <w:tcPr>
            <w:tcW w:w="2494" w:type="dxa"/>
          </w:tcPr>
          <w:p w14:paraId="5B2E5706" w14:textId="7EABF6A8" w:rsidR="00584007" w:rsidRPr="00584007" w:rsidRDefault="00584007" w:rsidP="00584007">
            <w:pPr>
              <w:autoSpaceDE w:val="0"/>
              <w:autoSpaceDN w:val="0"/>
              <w:adjustRightInd w:val="0"/>
              <w:jc w:val="both"/>
              <w:rPr>
                <w:rFonts w:ascii="Abadi" w:hAnsi="Abadi" w:cs="Calibri"/>
                <w:sz w:val="21"/>
                <w:szCs w:val="21"/>
                <w:lang w:val="es-MX" w:eastAsia="es-MX"/>
              </w:rPr>
            </w:pPr>
            <w:r w:rsidRPr="00584007">
              <w:rPr>
                <w:rFonts w:ascii="Abadi" w:hAnsi="Abadi" w:cs="Calibri"/>
                <w:sz w:val="21"/>
                <w:szCs w:val="21"/>
                <w:lang w:val="es-MX" w:eastAsia="es-MX"/>
              </w:rPr>
              <w:t>La consejera presidenta del Instituto Electoral del Estado de</w:t>
            </w:r>
            <w:r w:rsidR="002D7E8F">
              <w:rPr>
                <w:rFonts w:ascii="Abadi" w:hAnsi="Abadi" w:cs="Calibri"/>
                <w:sz w:val="21"/>
                <w:szCs w:val="21"/>
                <w:lang w:val="es-MX" w:eastAsia="es-MX"/>
              </w:rPr>
              <w:t xml:space="preserve"> </w:t>
            </w:r>
            <w:r w:rsidRPr="00584007">
              <w:rPr>
                <w:rFonts w:ascii="Abadi" w:hAnsi="Abadi" w:cs="Calibri"/>
                <w:sz w:val="21"/>
                <w:szCs w:val="21"/>
                <w:lang w:val="es-MX" w:eastAsia="es-MX"/>
              </w:rPr>
              <w:t>Guanajuato remite respuesta a la consulta de la iniciativa por la</w:t>
            </w:r>
            <w:r w:rsidR="002D7E8F">
              <w:rPr>
                <w:rFonts w:ascii="Abadi" w:hAnsi="Abadi" w:cs="Calibri"/>
                <w:sz w:val="21"/>
                <w:szCs w:val="21"/>
                <w:lang w:val="es-MX" w:eastAsia="es-MX"/>
              </w:rPr>
              <w:t xml:space="preserve"> </w:t>
            </w:r>
            <w:r w:rsidRPr="00584007">
              <w:rPr>
                <w:rFonts w:ascii="Abadi" w:hAnsi="Abadi" w:cs="Calibri"/>
                <w:sz w:val="21"/>
                <w:szCs w:val="21"/>
                <w:lang w:val="es-MX" w:eastAsia="es-MX"/>
              </w:rPr>
              <w:t>que se reforma el artículo 42 y se adiciona un artículo 43-BIS de la</w:t>
            </w:r>
          </w:p>
          <w:p w14:paraId="1BCD7A7E" w14:textId="77777777" w:rsidR="00584007" w:rsidRPr="00584007" w:rsidRDefault="00584007" w:rsidP="00584007">
            <w:pPr>
              <w:autoSpaceDE w:val="0"/>
              <w:autoSpaceDN w:val="0"/>
              <w:adjustRightInd w:val="0"/>
              <w:jc w:val="both"/>
              <w:rPr>
                <w:rFonts w:ascii="Abadi" w:hAnsi="Abadi" w:cs="Calibri"/>
                <w:sz w:val="21"/>
                <w:szCs w:val="21"/>
                <w:lang w:val="es-MX" w:eastAsia="es-MX"/>
              </w:rPr>
            </w:pPr>
            <w:r w:rsidRPr="00584007">
              <w:rPr>
                <w:rFonts w:ascii="Abadi" w:hAnsi="Abadi" w:cs="Calibri"/>
                <w:sz w:val="21"/>
                <w:szCs w:val="21"/>
                <w:lang w:val="es-MX" w:eastAsia="es-MX"/>
              </w:rPr>
              <w:t>Constitución Política para el Estado de Guanajuato.</w:t>
            </w:r>
          </w:p>
          <w:p w14:paraId="30E9E701" w14:textId="77777777" w:rsidR="00584007" w:rsidRDefault="00584007" w:rsidP="00584007">
            <w:pPr>
              <w:autoSpaceDE w:val="0"/>
              <w:autoSpaceDN w:val="0"/>
              <w:adjustRightInd w:val="0"/>
              <w:jc w:val="both"/>
              <w:rPr>
                <w:rFonts w:ascii="Abadi" w:hAnsi="Abadi" w:cs="Calibri"/>
                <w:sz w:val="21"/>
                <w:szCs w:val="21"/>
                <w:lang w:val="es-MX" w:eastAsia="es-MX"/>
              </w:rPr>
            </w:pPr>
          </w:p>
          <w:p w14:paraId="34E0EA2C" w14:textId="728D4701" w:rsidR="00584007" w:rsidRPr="00584007" w:rsidRDefault="00584007" w:rsidP="00584007">
            <w:pPr>
              <w:autoSpaceDE w:val="0"/>
              <w:autoSpaceDN w:val="0"/>
              <w:adjustRightInd w:val="0"/>
              <w:jc w:val="both"/>
              <w:rPr>
                <w:rFonts w:ascii="Abadi" w:hAnsi="Abadi" w:cs="Calibri"/>
                <w:sz w:val="21"/>
                <w:szCs w:val="21"/>
                <w:lang w:val="es-MX" w:eastAsia="es-MX"/>
              </w:rPr>
            </w:pPr>
            <w:r w:rsidRPr="00584007">
              <w:rPr>
                <w:rFonts w:ascii="Abadi" w:hAnsi="Abadi" w:cs="Calibri"/>
                <w:sz w:val="21"/>
                <w:szCs w:val="21"/>
                <w:lang w:val="es-MX" w:eastAsia="es-MX"/>
              </w:rPr>
              <w:t>El procurador de los Derechos Humanos del Estado de Guanajuato</w:t>
            </w:r>
          </w:p>
          <w:p w14:paraId="7A9E7FDB" w14:textId="13BD8BB8" w:rsidR="00584007" w:rsidRPr="00584007" w:rsidRDefault="00584007" w:rsidP="00584007">
            <w:pPr>
              <w:autoSpaceDE w:val="0"/>
              <w:autoSpaceDN w:val="0"/>
              <w:adjustRightInd w:val="0"/>
              <w:jc w:val="both"/>
              <w:rPr>
                <w:rFonts w:ascii="Abadi" w:hAnsi="Abadi" w:cs="Calibri"/>
                <w:sz w:val="21"/>
                <w:szCs w:val="21"/>
                <w:lang w:val="es-MX" w:eastAsia="es-MX"/>
              </w:rPr>
            </w:pPr>
            <w:r w:rsidRPr="00584007">
              <w:rPr>
                <w:rFonts w:ascii="Abadi" w:hAnsi="Abadi" w:cs="Calibri"/>
                <w:sz w:val="21"/>
                <w:szCs w:val="21"/>
                <w:lang w:val="es-MX" w:eastAsia="es-MX"/>
              </w:rPr>
              <w:t>remite respuesta a la consulta de la iniciativa por la que se</w:t>
            </w:r>
            <w:r w:rsidR="002D7E8F">
              <w:rPr>
                <w:rFonts w:ascii="Abadi" w:hAnsi="Abadi" w:cs="Calibri"/>
                <w:sz w:val="21"/>
                <w:szCs w:val="21"/>
                <w:lang w:val="es-MX" w:eastAsia="es-MX"/>
              </w:rPr>
              <w:t xml:space="preserve"> </w:t>
            </w:r>
            <w:r w:rsidRPr="00584007">
              <w:rPr>
                <w:rFonts w:ascii="Abadi" w:hAnsi="Abadi" w:cs="Calibri"/>
                <w:sz w:val="21"/>
                <w:szCs w:val="21"/>
                <w:lang w:val="es-MX" w:eastAsia="es-MX"/>
              </w:rPr>
              <w:t>adiciona un sexto párrafo al artículo 3 de la Constitución Política</w:t>
            </w:r>
          </w:p>
          <w:p w14:paraId="2D9BF7C2" w14:textId="77777777" w:rsidR="00584007" w:rsidRPr="00584007" w:rsidRDefault="00584007" w:rsidP="00584007">
            <w:pPr>
              <w:autoSpaceDE w:val="0"/>
              <w:autoSpaceDN w:val="0"/>
              <w:adjustRightInd w:val="0"/>
              <w:jc w:val="both"/>
              <w:rPr>
                <w:rFonts w:ascii="Abadi" w:hAnsi="Abadi" w:cs="Calibri"/>
                <w:sz w:val="21"/>
                <w:szCs w:val="21"/>
                <w:lang w:val="es-MX" w:eastAsia="es-MX"/>
              </w:rPr>
            </w:pPr>
            <w:r w:rsidRPr="00584007">
              <w:rPr>
                <w:rFonts w:ascii="Abadi" w:hAnsi="Abadi" w:cs="Calibri"/>
                <w:sz w:val="21"/>
                <w:szCs w:val="21"/>
                <w:lang w:val="es-MX" w:eastAsia="es-MX"/>
              </w:rPr>
              <w:t>para el Estado de Guanajuato; se adiciona la fracción VIII y se</w:t>
            </w:r>
          </w:p>
          <w:p w14:paraId="537CA96A" w14:textId="77777777" w:rsidR="00584007" w:rsidRPr="00584007" w:rsidRDefault="00584007" w:rsidP="00584007">
            <w:pPr>
              <w:autoSpaceDE w:val="0"/>
              <w:autoSpaceDN w:val="0"/>
              <w:adjustRightInd w:val="0"/>
              <w:jc w:val="both"/>
              <w:rPr>
                <w:rFonts w:ascii="Abadi" w:hAnsi="Abadi" w:cs="Calibri"/>
                <w:sz w:val="21"/>
                <w:szCs w:val="21"/>
                <w:lang w:val="es-MX" w:eastAsia="es-MX"/>
              </w:rPr>
            </w:pPr>
            <w:r w:rsidRPr="00584007">
              <w:rPr>
                <w:rFonts w:ascii="Abadi" w:hAnsi="Abadi" w:cs="Calibri"/>
                <w:sz w:val="21"/>
                <w:szCs w:val="21"/>
                <w:lang w:val="es-MX" w:eastAsia="es-MX"/>
              </w:rPr>
              <w:t>reforma la fracción IX del artículo 128 de la Ley de Educación para</w:t>
            </w:r>
          </w:p>
          <w:p w14:paraId="707C1C79" w14:textId="77777777" w:rsidR="00584007" w:rsidRPr="002D1767" w:rsidRDefault="00584007" w:rsidP="00584007">
            <w:pPr>
              <w:autoSpaceDE w:val="0"/>
              <w:autoSpaceDN w:val="0"/>
              <w:adjustRightInd w:val="0"/>
              <w:jc w:val="both"/>
              <w:rPr>
                <w:rFonts w:ascii="Abadi" w:hAnsi="Abadi" w:cs="Calibri"/>
                <w:sz w:val="21"/>
                <w:szCs w:val="21"/>
                <w:lang w:val="es-MX" w:eastAsia="es-MX"/>
              </w:rPr>
            </w:pPr>
            <w:r w:rsidRPr="00584007">
              <w:rPr>
                <w:rFonts w:ascii="Abadi" w:hAnsi="Abadi" w:cs="Calibri"/>
                <w:sz w:val="21"/>
                <w:szCs w:val="21"/>
                <w:lang w:val="es-MX" w:eastAsia="es-MX"/>
              </w:rPr>
              <w:t xml:space="preserve">el Estado de Guanajuato, </w:t>
            </w:r>
            <w:r w:rsidRPr="002D1767">
              <w:rPr>
                <w:rFonts w:ascii="Abadi" w:hAnsi="Abadi" w:cs="Calibri"/>
                <w:sz w:val="21"/>
                <w:szCs w:val="21"/>
                <w:lang w:val="es-MX" w:eastAsia="es-MX"/>
              </w:rPr>
              <w:t>en la parte correspondiente al primero</w:t>
            </w:r>
          </w:p>
          <w:p w14:paraId="07A3B466" w14:textId="77777777" w:rsidR="004E6C29" w:rsidRPr="002D1767" w:rsidRDefault="00584007" w:rsidP="00584007">
            <w:pPr>
              <w:autoSpaceDE w:val="0"/>
              <w:autoSpaceDN w:val="0"/>
              <w:adjustRightInd w:val="0"/>
              <w:jc w:val="both"/>
              <w:rPr>
                <w:rFonts w:ascii="Abadi" w:hAnsi="Abadi" w:cs="Calibri"/>
                <w:sz w:val="21"/>
                <w:szCs w:val="21"/>
                <w:lang w:val="es-MX" w:eastAsia="es-MX"/>
              </w:rPr>
            </w:pPr>
            <w:r w:rsidRPr="002D1767">
              <w:rPr>
                <w:rFonts w:ascii="Abadi" w:hAnsi="Abadi" w:cs="Calibri"/>
                <w:sz w:val="21"/>
                <w:szCs w:val="21"/>
                <w:lang w:val="es-MX" w:eastAsia="es-MX"/>
              </w:rPr>
              <w:t>de los ordenamientos.</w:t>
            </w:r>
          </w:p>
          <w:p w14:paraId="457BB7EB" w14:textId="77777777" w:rsidR="002D1767" w:rsidRDefault="002D1767" w:rsidP="00584007">
            <w:pPr>
              <w:autoSpaceDE w:val="0"/>
              <w:autoSpaceDN w:val="0"/>
              <w:adjustRightInd w:val="0"/>
              <w:jc w:val="both"/>
              <w:rPr>
                <w:rFonts w:ascii="Abadi" w:hAnsi="Abadi" w:cs="Calibri-Italic"/>
                <w:sz w:val="21"/>
                <w:szCs w:val="21"/>
              </w:rPr>
            </w:pPr>
          </w:p>
          <w:p w14:paraId="0DC728D7" w14:textId="77777777" w:rsidR="002D1767" w:rsidRDefault="002D1767" w:rsidP="00584007">
            <w:pPr>
              <w:autoSpaceDE w:val="0"/>
              <w:autoSpaceDN w:val="0"/>
              <w:adjustRightInd w:val="0"/>
              <w:jc w:val="both"/>
              <w:rPr>
                <w:rFonts w:ascii="Abadi" w:hAnsi="Abadi" w:cs="Calibri-Italic"/>
                <w:sz w:val="21"/>
                <w:szCs w:val="21"/>
              </w:rPr>
            </w:pPr>
          </w:p>
          <w:p w14:paraId="3CC224B4" w14:textId="77777777" w:rsidR="002D1767" w:rsidRPr="002D1767" w:rsidRDefault="002D1767" w:rsidP="002D1767">
            <w:pPr>
              <w:autoSpaceDE w:val="0"/>
              <w:autoSpaceDN w:val="0"/>
              <w:adjustRightInd w:val="0"/>
              <w:jc w:val="both"/>
              <w:rPr>
                <w:rFonts w:ascii="Abadi" w:hAnsi="Abadi" w:cs="Calibri"/>
                <w:sz w:val="21"/>
                <w:szCs w:val="21"/>
                <w:lang w:val="es-MX" w:eastAsia="es-MX"/>
              </w:rPr>
            </w:pPr>
            <w:r w:rsidRPr="002D1767">
              <w:rPr>
                <w:rFonts w:ascii="Abadi" w:hAnsi="Abadi" w:cs="Calibri"/>
                <w:sz w:val="21"/>
                <w:szCs w:val="21"/>
                <w:lang w:val="es-MX" w:eastAsia="es-MX"/>
              </w:rPr>
              <w:t>La consejera electoral del Instituto Electoral del Estado de</w:t>
            </w:r>
          </w:p>
          <w:p w14:paraId="7F06D11F" w14:textId="77777777" w:rsidR="002D1767" w:rsidRPr="002D1767" w:rsidRDefault="002D1767" w:rsidP="002D1767">
            <w:pPr>
              <w:autoSpaceDE w:val="0"/>
              <w:autoSpaceDN w:val="0"/>
              <w:adjustRightInd w:val="0"/>
              <w:jc w:val="both"/>
              <w:rPr>
                <w:rFonts w:ascii="Abadi" w:hAnsi="Abadi" w:cs="Calibri"/>
                <w:sz w:val="21"/>
                <w:szCs w:val="21"/>
                <w:lang w:val="es-MX" w:eastAsia="es-MX"/>
              </w:rPr>
            </w:pPr>
            <w:r w:rsidRPr="002D1767">
              <w:rPr>
                <w:rFonts w:ascii="Abadi" w:hAnsi="Abadi" w:cs="Calibri"/>
                <w:sz w:val="21"/>
                <w:szCs w:val="21"/>
                <w:lang w:val="es-MX" w:eastAsia="es-MX"/>
              </w:rPr>
              <w:t>Guanajuato remite copia para conocimiento del oficio</w:t>
            </w:r>
          </w:p>
          <w:p w14:paraId="43919A42" w14:textId="77777777" w:rsidR="002D1767" w:rsidRPr="002D1767" w:rsidRDefault="002D1767" w:rsidP="002D1767">
            <w:pPr>
              <w:autoSpaceDE w:val="0"/>
              <w:autoSpaceDN w:val="0"/>
              <w:adjustRightInd w:val="0"/>
              <w:jc w:val="both"/>
              <w:rPr>
                <w:rFonts w:ascii="Abadi" w:hAnsi="Abadi" w:cs="Calibri"/>
                <w:sz w:val="21"/>
                <w:szCs w:val="21"/>
                <w:lang w:val="es-MX" w:eastAsia="es-MX"/>
              </w:rPr>
            </w:pPr>
            <w:r w:rsidRPr="002D1767">
              <w:rPr>
                <w:rFonts w:ascii="Abadi" w:hAnsi="Abadi" w:cs="Calibri"/>
                <w:sz w:val="21"/>
                <w:szCs w:val="21"/>
                <w:lang w:val="es-MX" w:eastAsia="es-MX"/>
              </w:rPr>
              <w:t>CEBTG/017/2022, en virtud de la respuesta remitida por la</w:t>
            </w:r>
          </w:p>
          <w:p w14:paraId="43D7A387" w14:textId="77777777" w:rsidR="002D1767" w:rsidRPr="002D1767" w:rsidRDefault="002D1767" w:rsidP="002D1767">
            <w:pPr>
              <w:autoSpaceDE w:val="0"/>
              <w:autoSpaceDN w:val="0"/>
              <w:adjustRightInd w:val="0"/>
              <w:jc w:val="both"/>
              <w:rPr>
                <w:rFonts w:ascii="Abadi" w:hAnsi="Abadi" w:cs="Calibri"/>
                <w:sz w:val="21"/>
                <w:szCs w:val="21"/>
                <w:lang w:val="es-MX" w:eastAsia="es-MX"/>
              </w:rPr>
            </w:pPr>
            <w:r w:rsidRPr="002D1767">
              <w:rPr>
                <w:rFonts w:ascii="Abadi" w:hAnsi="Abadi" w:cs="Calibri"/>
                <w:sz w:val="21"/>
                <w:szCs w:val="21"/>
                <w:lang w:val="es-MX" w:eastAsia="es-MX"/>
              </w:rPr>
              <w:t>presidenta de dicho organismo, realizada mediante el oficio</w:t>
            </w:r>
          </w:p>
          <w:p w14:paraId="23062849" w14:textId="42A94BCF" w:rsidR="002D1767" w:rsidRPr="00584007" w:rsidRDefault="002D1767" w:rsidP="002D1767">
            <w:pPr>
              <w:autoSpaceDE w:val="0"/>
              <w:autoSpaceDN w:val="0"/>
              <w:adjustRightInd w:val="0"/>
              <w:jc w:val="both"/>
              <w:rPr>
                <w:rFonts w:ascii="Abadi" w:hAnsi="Abadi"/>
                <w:sz w:val="21"/>
                <w:szCs w:val="21"/>
              </w:rPr>
            </w:pPr>
            <w:r w:rsidRPr="002D1767">
              <w:rPr>
                <w:rFonts w:ascii="Abadi" w:hAnsi="Abadi" w:cs="Calibri"/>
                <w:sz w:val="21"/>
                <w:szCs w:val="21"/>
                <w:lang w:val="es-MX" w:eastAsia="es-MX"/>
              </w:rPr>
              <w:t>P/083/2022.</w:t>
            </w:r>
          </w:p>
        </w:tc>
        <w:tc>
          <w:tcPr>
            <w:tcW w:w="1886" w:type="dxa"/>
          </w:tcPr>
          <w:p w14:paraId="722F3085" w14:textId="77777777" w:rsidR="002D1767" w:rsidRPr="002D1767" w:rsidRDefault="002D1767" w:rsidP="002D1767">
            <w:pPr>
              <w:autoSpaceDE w:val="0"/>
              <w:autoSpaceDN w:val="0"/>
              <w:adjustRightInd w:val="0"/>
              <w:rPr>
                <w:rFonts w:ascii="Abadi" w:hAnsi="Abadi"/>
                <w:b/>
                <w:bCs/>
                <w:sz w:val="21"/>
                <w:szCs w:val="21"/>
              </w:rPr>
            </w:pPr>
            <w:r w:rsidRPr="002D1767">
              <w:rPr>
                <w:rFonts w:ascii="Abadi" w:hAnsi="Abadi"/>
                <w:b/>
                <w:bCs/>
                <w:sz w:val="21"/>
                <w:szCs w:val="21"/>
              </w:rPr>
              <w:t>Enterados y se informa que se turnaron</w:t>
            </w:r>
          </w:p>
          <w:p w14:paraId="1765583A" w14:textId="77777777" w:rsidR="002D1767" w:rsidRPr="002D1767" w:rsidRDefault="002D1767" w:rsidP="002D1767">
            <w:pPr>
              <w:autoSpaceDE w:val="0"/>
              <w:autoSpaceDN w:val="0"/>
              <w:adjustRightInd w:val="0"/>
              <w:rPr>
                <w:rFonts w:ascii="Abadi" w:hAnsi="Abadi"/>
                <w:b/>
                <w:bCs/>
                <w:sz w:val="21"/>
                <w:szCs w:val="21"/>
              </w:rPr>
            </w:pPr>
            <w:r w:rsidRPr="002D1767">
              <w:rPr>
                <w:rFonts w:ascii="Abadi" w:hAnsi="Abadi"/>
                <w:b/>
                <w:bCs/>
                <w:sz w:val="21"/>
                <w:szCs w:val="21"/>
              </w:rPr>
              <w:t>a la Comisión de Gobernación y Puntos</w:t>
            </w:r>
          </w:p>
          <w:p w14:paraId="3E44441F" w14:textId="25F670EE" w:rsidR="004E6C29" w:rsidRPr="00743304" w:rsidRDefault="002D1767" w:rsidP="002D1767">
            <w:pPr>
              <w:jc w:val="both"/>
              <w:rPr>
                <w:rFonts w:ascii="Abadi" w:hAnsi="Abadi"/>
                <w:b/>
                <w:bCs/>
                <w:sz w:val="21"/>
                <w:szCs w:val="21"/>
              </w:rPr>
            </w:pPr>
            <w:r w:rsidRPr="002D1767">
              <w:rPr>
                <w:rFonts w:ascii="Abadi" w:hAnsi="Abadi"/>
                <w:b/>
                <w:bCs/>
                <w:sz w:val="21"/>
                <w:szCs w:val="21"/>
              </w:rPr>
              <w:t>Constitucionales</w:t>
            </w:r>
            <w:r>
              <w:rPr>
                <w:rFonts w:ascii="Calibri-BoldItalic" w:hAnsi="Calibri-BoldItalic" w:cs="Calibri-BoldItalic"/>
                <w:b/>
                <w:bCs/>
                <w:i/>
                <w:iCs/>
                <w:sz w:val="22"/>
                <w:szCs w:val="22"/>
                <w:lang w:val="es-MX" w:eastAsia="es-MX"/>
              </w:rPr>
              <w:t>.</w:t>
            </w:r>
          </w:p>
        </w:tc>
      </w:tr>
      <w:tr w:rsidR="004E6C29" w:rsidRPr="00595AA4" w14:paraId="215EB7B3" w14:textId="77777777" w:rsidTr="00724EA0">
        <w:tc>
          <w:tcPr>
            <w:tcW w:w="2494" w:type="dxa"/>
          </w:tcPr>
          <w:p w14:paraId="761FBAEE"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El director general Jurídico y Derechos Humanos de la Secretaría</w:t>
            </w:r>
          </w:p>
          <w:p w14:paraId="3A5339D1"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de Seguridad Pública remite respuesta al acuerdo aprobado por</w:t>
            </w:r>
          </w:p>
          <w:p w14:paraId="25DDDC6C"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esta Legislatura, en el que se exhorta a los 46 ayuntamientos del</w:t>
            </w:r>
          </w:p>
          <w:p w14:paraId="4B5DD860"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Estado de Guanajuato, a la Secretaría de Seguridad Pública del</w:t>
            </w:r>
          </w:p>
          <w:p w14:paraId="6A42BD1B"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Estado de Guanajuato y a la Secretaría de Seguridad y Protección</w:t>
            </w:r>
          </w:p>
          <w:p w14:paraId="1D5D93AC"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Ciudadana para intensificar las medidas con perspectiva de género</w:t>
            </w:r>
          </w:p>
          <w:p w14:paraId="29F6DF50"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en las instituciones policiacas; así como garantizar condiciones</w:t>
            </w:r>
          </w:p>
          <w:p w14:paraId="7EE1D1E1"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equitativas para el reclutamiento, selección, ingreso,</w:t>
            </w:r>
          </w:p>
          <w:p w14:paraId="383DB26E"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contratación, ascenso, formación, certificación, permanencia,</w:t>
            </w:r>
          </w:p>
          <w:p w14:paraId="31F2EC05"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evaluación, promoción, reconocimiento y el máximo desarrollo</w:t>
            </w:r>
          </w:p>
          <w:p w14:paraId="4F554F49" w14:textId="77777777" w:rsidR="00234A76" w:rsidRPr="00234A76" w:rsidRDefault="00234A76" w:rsidP="00234A76">
            <w:pPr>
              <w:autoSpaceDE w:val="0"/>
              <w:autoSpaceDN w:val="0"/>
              <w:adjustRightInd w:val="0"/>
              <w:jc w:val="both"/>
              <w:rPr>
                <w:rFonts w:ascii="Abadi" w:hAnsi="Abadi" w:cs="Calibri"/>
                <w:sz w:val="21"/>
                <w:szCs w:val="21"/>
                <w:lang w:val="es-MX" w:eastAsia="es-MX"/>
              </w:rPr>
            </w:pPr>
            <w:r w:rsidRPr="00234A76">
              <w:rPr>
                <w:rFonts w:ascii="Abadi" w:hAnsi="Abadi" w:cs="Calibri"/>
                <w:sz w:val="21"/>
                <w:szCs w:val="21"/>
                <w:lang w:val="es-MX" w:eastAsia="es-MX"/>
              </w:rPr>
              <w:t>profesional de mujeres policías y contribuir a la disminución, y</w:t>
            </w:r>
          </w:p>
          <w:p w14:paraId="10A88BE3" w14:textId="1A8F29EF" w:rsidR="004E6C29" w:rsidRPr="00A33512" w:rsidRDefault="00234A76" w:rsidP="002D7E8F">
            <w:pPr>
              <w:autoSpaceDE w:val="0"/>
              <w:autoSpaceDN w:val="0"/>
              <w:adjustRightInd w:val="0"/>
              <w:rPr>
                <w:rFonts w:ascii="Abadi" w:eastAsia="Arial" w:hAnsi="Abadi" w:cs="Arial"/>
                <w:sz w:val="21"/>
                <w:szCs w:val="21"/>
                <w:lang w:val="en-US" w:eastAsia="en-US"/>
              </w:rPr>
            </w:pPr>
            <w:r>
              <w:rPr>
                <w:rFonts w:ascii="Calibri" w:hAnsi="Calibri" w:cs="Calibri"/>
                <w:sz w:val="22"/>
                <w:szCs w:val="22"/>
                <w:lang w:val="es-MX" w:eastAsia="es-MX"/>
              </w:rPr>
              <w:t>eventual erradicación de la violencia cometida en contra de las</w:t>
            </w:r>
            <w:r w:rsidR="002D7E8F">
              <w:rPr>
                <w:rFonts w:ascii="Calibri" w:hAnsi="Calibri" w:cs="Calibri"/>
                <w:sz w:val="22"/>
                <w:szCs w:val="22"/>
                <w:lang w:val="es-MX" w:eastAsia="es-MX"/>
              </w:rPr>
              <w:t xml:space="preserve"> </w:t>
            </w:r>
            <w:r>
              <w:rPr>
                <w:rFonts w:ascii="Calibri" w:hAnsi="Calibri" w:cs="Calibri"/>
                <w:sz w:val="22"/>
                <w:szCs w:val="22"/>
                <w:lang w:val="es-MX" w:eastAsia="es-MX"/>
              </w:rPr>
              <w:t>mujeres policías.</w:t>
            </w:r>
          </w:p>
        </w:tc>
        <w:tc>
          <w:tcPr>
            <w:tcW w:w="1886" w:type="dxa"/>
          </w:tcPr>
          <w:p w14:paraId="2D0B30DF" w14:textId="22AD975A" w:rsidR="004E6C29" w:rsidRPr="003977A6" w:rsidRDefault="00234A76" w:rsidP="004E6C29">
            <w:pPr>
              <w:jc w:val="both"/>
              <w:rPr>
                <w:rFonts w:ascii="Abadi" w:hAnsi="Abadi"/>
                <w:b/>
                <w:bCs/>
                <w:sz w:val="20"/>
                <w:szCs w:val="20"/>
              </w:rPr>
            </w:pPr>
            <w:r>
              <w:rPr>
                <w:rFonts w:ascii="Calibri-BoldItalic" w:hAnsi="Calibri-BoldItalic" w:cs="Calibri-BoldItalic"/>
                <w:b/>
                <w:bCs/>
                <w:i/>
                <w:iCs/>
                <w:sz w:val="22"/>
                <w:szCs w:val="22"/>
                <w:lang w:val="es-MX" w:eastAsia="es-MX"/>
              </w:rPr>
              <w:t>Enterados.</w:t>
            </w:r>
          </w:p>
        </w:tc>
      </w:tr>
      <w:tr w:rsidR="004E6C29" w:rsidRPr="00595AA4" w14:paraId="1714B847" w14:textId="77777777" w:rsidTr="00724EA0">
        <w:tc>
          <w:tcPr>
            <w:tcW w:w="2494" w:type="dxa"/>
          </w:tcPr>
          <w:p w14:paraId="2339F882"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La coordinadora general jurídica del Gobierno del Estado remite</w:t>
            </w:r>
          </w:p>
          <w:p w14:paraId="01FF5937"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respuesta de la Secretaría Ejecutiva del Sistema de Protección de</w:t>
            </w:r>
          </w:p>
          <w:p w14:paraId="3C0E391F"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los Derechos de Niñas, Niños y Adolescentes del Estado de</w:t>
            </w:r>
          </w:p>
          <w:p w14:paraId="08B21F34"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Guanajuato, a la solicitud de disponer de una propuesta de</w:t>
            </w:r>
          </w:p>
          <w:p w14:paraId="3463B634"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organizaciones que puedan participar con quienes integran la</w:t>
            </w:r>
          </w:p>
          <w:p w14:paraId="7051B816"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Comisión de Derechos Humanos y Atención a Grupos Vulnerables,</w:t>
            </w:r>
          </w:p>
          <w:p w14:paraId="0A1023F9"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en el análisis de tres iniciativas: la primera, que adiciona un</w:t>
            </w:r>
          </w:p>
          <w:p w14:paraId="2840C43A"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párrafo tercero al artículo 8 y la fracción XXIII al artículo 27-1</w:t>
            </w:r>
          </w:p>
          <w:p w14:paraId="57B4A475"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recorriéndose la subsecuente de la Ley de los Derechos de Niñas,</w:t>
            </w:r>
          </w:p>
          <w:p w14:paraId="48160FF8"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Niños y Adolescentes del Estado de Guanajuato; la segunda, que</w:t>
            </w:r>
          </w:p>
          <w:p w14:paraId="116F736A"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adiciona los artículos 48-2, 48-3 y 48-4 a la Ley de los Derechos de</w:t>
            </w:r>
          </w:p>
          <w:p w14:paraId="7BAB6692"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Niñas, Niños y Adolescentes del Estado de Guanajuato; y la</w:t>
            </w:r>
          </w:p>
          <w:p w14:paraId="798AF0A9"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tercera, que adiciona una fracción IV al artículo 179-c del Código</w:t>
            </w:r>
          </w:p>
          <w:p w14:paraId="623F8CE3"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Penal del Estado de Guanajuato y un tercer párrafo al artículo 48</w:t>
            </w:r>
          </w:p>
          <w:p w14:paraId="03E2F4DB" w14:textId="77777777" w:rsidR="006A1CA5"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de la Ley de los Derechos de Niñas, Niños y Adolescentes del Estado de Guanajuato, en la parte correspondiente al segundo</w:t>
            </w:r>
          </w:p>
          <w:p w14:paraId="7E06AEE0" w14:textId="34D83852" w:rsidR="004E6C29" w:rsidRPr="006A1CA5" w:rsidRDefault="006A1CA5" w:rsidP="006A1CA5">
            <w:pPr>
              <w:autoSpaceDE w:val="0"/>
              <w:autoSpaceDN w:val="0"/>
              <w:adjustRightInd w:val="0"/>
              <w:jc w:val="both"/>
              <w:rPr>
                <w:rFonts w:ascii="Abadi" w:hAnsi="Abadi" w:cs="Calibri"/>
                <w:sz w:val="21"/>
                <w:szCs w:val="21"/>
                <w:lang w:val="es-MX" w:eastAsia="es-MX"/>
              </w:rPr>
            </w:pPr>
            <w:r w:rsidRPr="006A1CA5">
              <w:rPr>
                <w:rFonts w:ascii="Abadi" w:hAnsi="Abadi" w:cs="Calibri"/>
                <w:sz w:val="21"/>
                <w:szCs w:val="21"/>
                <w:lang w:val="es-MX" w:eastAsia="es-MX"/>
              </w:rPr>
              <w:t>ordenamiento.</w:t>
            </w:r>
          </w:p>
        </w:tc>
        <w:tc>
          <w:tcPr>
            <w:tcW w:w="1886" w:type="dxa"/>
          </w:tcPr>
          <w:p w14:paraId="05F423BB" w14:textId="77777777" w:rsidR="006A1CA5" w:rsidRPr="006A1CA5" w:rsidRDefault="006A1CA5" w:rsidP="006A1CA5">
            <w:pPr>
              <w:autoSpaceDE w:val="0"/>
              <w:autoSpaceDN w:val="0"/>
              <w:adjustRightInd w:val="0"/>
              <w:rPr>
                <w:rFonts w:ascii="Abadi" w:hAnsi="Abadi"/>
                <w:b/>
                <w:bCs/>
                <w:sz w:val="21"/>
                <w:szCs w:val="21"/>
              </w:rPr>
            </w:pPr>
            <w:r w:rsidRPr="006A1CA5">
              <w:rPr>
                <w:rFonts w:ascii="Abadi" w:hAnsi="Abadi"/>
                <w:b/>
                <w:bCs/>
                <w:sz w:val="21"/>
                <w:szCs w:val="21"/>
              </w:rPr>
              <w:t>Enterados y se informa que se turnó a la</w:t>
            </w:r>
          </w:p>
          <w:p w14:paraId="020B7822" w14:textId="77777777" w:rsidR="006A1CA5" w:rsidRPr="006A1CA5" w:rsidRDefault="006A1CA5" w:rsidP="006A1CA5">
            <w:pPr>
              <w:autoSpaceDE w:val="0"/>
              <w:autoSpaceDN w:val="0"/>
              <w:adjustRightInd w:val="0"/>
              <w:rPr>
                <w:rFonts w:ascii="Abadi" w:hAnsi="Abadi"/>
                <w:b/>
                <w:bCs/>
                <w:sz w:val="21"/>
                <w:szCs w:val="21"/>
              </w:rPr>
            </w:pPr>
            <w:r w:rsidRPr="006A1CA5">
              <w:rPr>
                <w:rFonts w:ascii="Abadi" w:hAnsi="Abadi"/>
                <w:b/>
                <w:bCs/>
                <w:sz w:val="21"/>
                <w:szCs w:val="21"/>
              </w:rPr>
              <w:t>Comisión de Derechos Humanos y</w:t>
            </w:r>
          </w:p>
          <w:p w14:paraId="616FBF8F" w14:textId="0D0C5080" w:rsidR="004E6C29" w:rsidRPr="00510F69" w:rsidRDefault="006A1CA5" w:rsidP="006A1CA5">
            <w:pPr>
              <w:autoSpaceDE w:val="0"/>
              <w:autoSpaceDN w:val="0"/>
              <w:adjustRightInd w:val="0"/>
              <w:rPr>
                <w:rFonts w:ascii="Abadi" w:eastAsia="Calibri" w:hAnsi="Abadi" w:cs="Arial"/>
                <w:b/>
                <w:bCs/>
                <w:color w:val="000000"/>
                <w:sz w:val="21"/>
                <w:szCs w:val="21"/>
                <w:lang w:eastAsia="en-US"/>
              </w:rPr>
            </w:pPr>
            <w:r w:rsidRPr="006A1CA5">
              <w:rPr>
                <w:rFonts w:ascii="Abadi" w:hAnsi="Abadi"/>
                <w:b/>
                <w:bCs/>
                <w:sz w:val="21"/>
                <w:szCs w:val="21"/>
              </w:rPr>
              <w:t>Atención a Grupos Vulnerables.</w:t>
            </w:r>
          </w:p>
        </w:tc>
      </w:tr>
      <w:tr w:rsidR="004E6C29" w:rsidRPr="008E2292" w14:paraId="06C3137E" w14:textId="77777777" w:rsidTr="00724EA0">
        <w:tc>
          <w:tcPr>
            <w:tcW w:w="2494" w:type="dxa"/>
          </w:tcPr>
          <w:p w14:paraId="0F24CB35" w14:textId="77777777" w:rsidR="00DD102A"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El Auditor Superior del Estado de Guanajuato remite información</w:t>
            </w:r>
          </w:p>
          <w:p w14:paraId="11947A49" w14:textId="77777777" w:rsidR="00DD102A"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respecto a los actos de dominio derivados de la desafectación de</w:t>
            </w:r>
          </w:p>
          <w:p w14:paraId="082407AF" w14:textId="77777777" w:rsidR="00DD102A"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una porción del inmueble perteneciente al Jardín de Niños Juan</w:t>
            </w:r>
          </w:p>
          <w:p w14:paraId="69476AC9" w14:textId="77777777" w:rsidR="00DD102A"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Aldama, así como su posterior enajenación a favor del ciudadano</w:t>
            </w:r>
          </w:p>
          <w:p w14:paraId="73D89348" w14:textId="77777777" w:rsidR="00DD102A"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Gabriel Alfonso Padilla Romero; así como al estatus de las</w:t>
            </w:r>
          </w:p>
          <w:p w14:paraId="5697316F" w14:textId="77777777" w:rsidR="00DD102A"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investigaciones relativas al robo de cartuchos y faltante de</w:t>
            </w:r>
          </w:p>
          <w:p w14:paraId="2B9CE686" w14:textId="015047F8" w:rsidR="004E6C29"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recursos en la tesorería municipal de Silao de la Victoria, Gto.</w:t>
            </w:r>
          </w:p>
        </w:tc>
        <w:tc>
          <w:tcPr>
            <w:tcW w:w="1886" w:type="dxa"/>
          </w:tcPr>
          <w:p w14:paraId="1402F9EA" w14:textId="77777777" w:rsidR="00DD102A" w:rsidRPr="00DD102A" w:rsidRDefault="00DD102A" w:rsidP="00DD102A">
            <w:pPr>
              <w:autoSpaceDE w:val="0"/>
              <w:autoSpaceDN w:val="0"/>
              <w:adjustRightInd w:val="0"/>
              <w:rPr>
                <w:rFonts w:ascii="Abadi" w:hAnsi="Abadi"/>
                <w:b/>
                <w:bCs/>
                <w:sz w:val="21"/>
                <w:szCs w:val="21"/>
              </w:rPr>
            </w:pPr>
            <w:r w:rsidRPr="00DD102A">
              <w:rPr>
                <w:rFonts w:ascii="Abadi" w:hAnsi="Abadi"/>
                <w:b/>
                <w:bCs/>
                <w:sz w:val="21"/>
                <w:szCs w:val="21"/>
              </w:rPr>
              <w:t>Enterados y se informa que se turnó a la</w:t>
            </w:r>
          </w:p>
          <w:p w14:paraId="3D44782C" w14:textId="513A35A9" w:rsidR="004E6C29" w:rsidRPr="008E2292" w:rsidRDefault="00DD102A" w:rsidP="00DD102A">
            <w:pPr>
              <w:autoSpaceDE w:val="0"/>
              <w:autoSpaceDN w:val="0"/>
              <w:adjustRightInd w:val="0"/>
              <w:jc w:val="both"/>
              <w:rPr>
                <w:rFonts w:ascii="Abadi" w:hAnsi="Abadi"/>
                <w:b/>
                <w:bCs/>
                <w:sz w:val="20"/>
                <w:szCs w:val="20"/>
              </w:rPr>
            </w:pPr>
            <w:r w:rsidRPr="00DD102A">
              <w:rPr>
                <w:rFonts w:ascii="Abadi" w:hAnsi="Abadi"/>
                <w:b/>
                <w:bCs/>
                <w:sz w:val="21"/>
                <w:szCs w:val="21"/>
              </w:rPr>
              <w:t>Comisión de Hacienda y Fiscalización.</w:t>
            </w:r>
          </w:p>
        </w:tc>
      </w:tr>
      <w:tr w:rsidR="004E6C29" w:rsidRPr="008E2292" w14:paraId="4420D61D" w14:textId="77777777" w:rsidTr="00724EA0">
        <w:tc>
          <w:tcPr>
            <w:tcW w:w="2494" w:type="dxa"/>
          </w:tcPr>
          <w:p w14:paraId="64FB156D" w14:textId="77777777" w:rsidR="00DD102A"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El director general de la Comisión de Deporte del Estado de</w:t>
            </w:r>
          </w:p>
          <w:p w14:paraId="0F71D22A" w14:textId="77777777" w:rsidR="00DD102A"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Guanajuato remite el Plan anual de trabajo de la Comisión de</w:t>
            </w:r>
          </w:p>
          <w:p w14:paraId="03E06A8C" w14:textId="1C984763" w:rsidR="004E6C29" w:rsidRPr="00DD102A" w:rsidRDefault="00DD102A" w:rsidP="00DD102A">
            <w:pPr>
              <w:autoSpaceDE w:val="0"/>
              <w:autoSpaceDN w:val="0"/>
              <w:adjustRightInd w:val="0"/>
              <w:jc w:val="both"/>
              <w:rPr>
                <w:rFonts w:ascii="Abadi" w:hAnsi="Abadi" w:cs="Calibri"/>
                <w:sz w:val="21"/>
                <w:szCs w:val="21"/>
                <w:lang w:val="es-MX" w:eastAsia="es-MX"/>
              </w:rPr>
            </w:pPr>
            <w:r w:rsidRPr="00DD102A">
              <w:rPr>
                <w:rFonts w:ascii="Abadi" w:hAnsi="Abadi" w:cs="Calibri"/>
                <w:sz w:val="21"/>
                <w:szCs w:val="21"/>
                <w:lang w:val="es-MX" w:eastAsia="es-MX"/>
              </w:rPr>
              <w:t>Deporte del Estado de Guanajuato 2022, solicitado.</w:t>
            </w:r>
          </w:p>
        </w:tc>
        <w:tc>
          <w:tcPr>
            <w:tcW w:w="1886" w:type="dxa"/>
          </w:tcPr>
          <w:p w14:paraId="2197EACC" w14:textId="77777777" w:rsidR="00DD102A" w:rsidRPr="00C26CCA" w:rsidRDefault="00DD102A" w:rsidP="00DD102A">
            <w:pPr>
              <w:autoSpaceDE w:val="0"/>
              <w:autoSpaceDN w:val="0"/>
              <w:adjustRightInd w:val="0"/>
              <w:rPr>
                <w:rFonts w:ascii="Abadi" w:hAnsi="Abadi"/>
                <w:b/>
                <w:bCs/>
                <w:sz w:val="21"/>
                <w:szCs w:val="21"/>
              </w:rPr>
            </w:pPr>
            <w:r w:rsidRPr="00C26CCA">
              <w:rPr>
                <w:rFonts w:ascii="Abadi" w:hAnsi="Abadi"/>
                <w:b/>
                <w:bCs/>
                <w:sz w:val="21"/>
                <w:szCs w:val="21"/>
              </w:rPr>
              <w:t>Enterados y se informa que se turnó a la</w:t>
            </w:r>
          </w:p>
          <w:p w14:paraId="5364265E" w14:textId="5C175538" w:rsidR="004E6C29" w:rsidRPr="008E2292" w:rsidRDefault="00DD102A" w:rsidP="00DD102A">
            <w:pPr>
              <w:jc w:val="both"/>
              <w:rPr>
                <w:rFonts w:ascii="Abadi" w:hAnsi="Abadi"/>
                <w:b/>
                <w:bCs/>
                <w:sz w:val="20"/>
                <w:szCs w:val="20"/>
              </w:rPr>
            </w:pPr>
            <w:r w:rsidRPr="00C26CCA">
              <w:rPr>
                <w:rFonts w:ascii="Abadi" w:hAnsi="Abadi"/>
                <w:b/>
                <w:bCs/>
                <w:sz w:val="21"/>
                <w:szCs w:val="21"/>
              </w:rPr>
              <w:t>Comisión de Juventud y Deporte.</w:t>
            </w:r>
          </w:p>
        </w:tc>
      </w:tr>
      <w:tr w:rsidR="004E6C29" w14:paraId="54336945" w14:textId="77777777" w:rsidTr="0064780B">
        <w:tc>
          <w:tcPr>
            <w:tcW w:w="4380" w:type="dxa"/>
            <w:gridSpan w:val="2"/>
            <w:shd w:val="clear" w:color="auto" w:fill="EEECE1" w:themeFill="background2"/>
          </w:tcPr>
          <w:p w14:paraId="6D89A2B2" w14:textId="350AD952" w:rsidR="004E6C29" w:rsidRPr="005C6814" w:rsidRDefault="004E6C29" w:rsidP="004E6C29">
            <w:pPr>
              <w:jc w:val="both"/>
              <w:rPr>
                <w:rFonts w:ascii="Abadi" w:hAnsi="Abadi"/>
                <w:b/>
                <w:bCs/>
                <w:sz w:val="21"/>
                <w:szCs w:val="21"/>
              </w:rPr>
            </w:pPr>
            <w:r>
              <w:rPr>
                <w:rFonts w:ascii="Abadi" w:hAnsi="Abadi"/>
                <w:b/>
                <w:bCs/>
                <w:sz w:val="21"/>
                <w:szCs w:val="21"/>
              </w:rPr>
              <w:t>III. Comunicados provenientes de los ayuntamientos del Estado.</w:t>
            </w:r>
          </w:p>
        </w:tc>
      </w:tr>
      <w:tr w:rsidR="004E6C29" w:rsidRPr="006E1C84" w14:paraId="36C68DD8" w14:textId="77777777" w:rsidTr="00724EA0">
        <w:tc>
          <w:tcPr>
            <w:tcW w:w="2494" w:type="dxa"/>
          </w:tcPr>
          <w:p w14:paraId="7493D72C"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La encargada del despacho de la Secretaría del Ayuntamiento de</w:t>
            </w:r>
          </w:p>
          <w:p w14:paraId="66B2A672"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Abasolo, Gto., remite respuesta a la consulta de cuatro iniciativas:</w:t>
            </w:r>
          </w:p>
          <w:p w14:paraId="6EA8602B"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la primera, que reforma y adiciona la Constitución Política para el</w:t>
            </w:r>
          </w:p>
          <w:p w14:paraId="4C7E3C05"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Estado de Guanajuato y la Ley Orgánica Municipal para el Estado</w:t>
            </w:r>
          </w:p>
          <w:p w14:paraId="21D162F6" w14:textId="77777777" w:rsidR="00A63A0B" w:rsidRPr="00D04C25"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 xml:space="preserve">de Guanajuato, </w:t>
            </w:r>
            <w:r w:rsidRPr="00D04C25">
              <w:rPr>
                <w:rFonts w:ascii="Abadi" w:hAnsi="Abadi" w:cs="Calibri"/>
                <w:sz w:val="21"/>
                <w:szCs w:val="21"/>
                <w:lang w:val="es-MX" w:eastAsia="es-MX"/>
              </w:rPr>
              <w:t>en lo que corresponde al primero de los</w:t>
            </w:r>
          </w:p>
          <w:p w14:paraId="78CE345B"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 xml:space="preserve">ordenamientos; </w:t>
            </w:r>
            <w:r w:rsidRPr="00C26CCA">
              <w:rPr>
                <w:rFonts w:ascii="Abadi" w:hAnsi="Abadi" w:cs="Calibri"/>
                <w:sz w:val="21"/>
                <w:szCs w:val="21"/>
                <w:lang w:val="es-MX" w:eastAsia="es-MX"/>
              </w:rPr>
              <w:t>la segunda, que reforma el artículos 24 Bis de la</w:t>
            </w:r>
          </w:p>
          <w:p w14:paraId="19BB81B8"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Ley de Planeación para el Estado de Guanajuato, y el artículo 38</w:t>
            </w:r>
          </w:p>
          <w:p w14:paraId="496C30A8"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de la Ley para la Igualdad entre Hombres y Mujeres para el Estado</w:t>
            </w:r>
          </w:p>
          <w:p w14:paraId="56937B71" w14:textId="77777777" w:rsidR="00A63A0B" w:rsidRPr="00D04C25"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 xml:space="preserve">de Guanajuato, </w:t>
            </w:r>
            <w:r w:rsidRPr="00D04C25">
              <w:rPr>
                <w:rFonts w:ascii="Abadi" w:hAnsi="Abadi" w:cs="Calibri"/>
                <w:sz w:val="21"/>
                <w:szCs w:val="21"/>
                <w:lang w:val="es-MX" w:eastAsia="es-MX"/>
              </w:rPr>
              <w:t>en la parte que corresponde al primero de los</w:t>
            </w:r>
          </w:p>
          <w:p w14:paraId="72F372CB"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ordenamientos</w:t>
            </w:r>
            <w:r w:rsidRPr="00C26CCA">
              <w:rPr>
                <w:rFonts w:ascii="Abadi" w:hAnsi="Abadi" w:cs="Calibri"/>
                <w:sz w:val="21"/>
                <w:szCs w:val="21"/>
                <w:lang w:val="es-MX" w:eastAsia="es-MX"/>
              </w:rPr>
              <w:t>; la tercera, de Ley de Asistencia a Víctimas de</w:t>
            </w:r>
          </w:p>
          <w:p w14:paraId="0087C04C"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Coaching Coercitivo, Sectas y Líderes Grupales o Unipersonales</w:t>
            </w:r>
          </w:p>
          <w:p w14:paraId="72E8E279"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que Ejerzan Persuasión y Abusos en el Estado de Guanajuato, y de</w:t>
            </w:r>
          </w:p>
          <w:p w14:paraId="42EEEA02" w14:textId="5B1FAD6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reforma al artículo 213 del Código Penal del Estado de</w:t>
            </w:r>
            <w:r w:rsidR="002D7E8F">
              <w:rPr>
                <w:rFonts w:ascii="Abadi" w:hAnsi="Abadi" w:cs="Calibri"/>
                <w:sz w:val="21"/>
                <w:szCs w:val="21"/>
                <w:lang w:val="es-MX" w:eastAsia="es-MX"/>
              </w:rPr>
              <w:t xml:space="preserve"> </w:t>
            </w:r>
            <w:r w:rsidRPr="00C26CCA">
              <w:rPr>
                <w:rFonts w:ascii="Abadi" w:hAnsi="Abadi" w:cs="Calibri"/>
                <w:sz w:val="21"/>
                <w:szCs w:val="21"/>
                <w:lang w:val="es-MX" w:eastAsia="es-MX"/>
              </w:rPr>
              <w:t xml:space="preserve">Guanajuato, </w:t>
            </w:r>
            <w:r w:rsidRPr="00D04C25">
              <w:rPr>
                <w:rFonts w:ascii="Abadi" w:hAnsi="Abadi" w:cs="Calibri"/>
                <w:sz w:val="21"/>
                <w:szCs w:val="21"/>
                <w:lang w:val="es-MX" w:eastAsia="es-MX"/>
              </w:rPr>
              <w:t>en lo que corresponde al primero de los</w:t>
            </w:r>
            <w:r w:rsidR="002D7E8F">
              <w:rPr>
                <w:rFonts w:ascii="Abadi" w:hAnsi="Abadi" w:cs="Calibri"/>
                <w:sz w:val="21"/>
                <w:szCs w:val="21"/>
                <w:lang w:val="es-MX" w:eastAsia="es-MX"/>
              </w:rPr>
              <w:t xml:space="preserve"> </w:t>
            </w:r>
            <w:r w:rsidRPr="00D04C25">
              <w:rPr>
                <w:rFonts w:ascii="Abadi" w:hAnsi="Abadi" w:cs="Calibri"/>
                <w:sz w:val="21"/>
                <w:szCs w:val="21"/>
                <w:lang w:val="es-MX" w:eastAsia="es-MX"/>
              </w:rPr>
              <w:t xml:space="preserve">ordenamientos; </w:t>
            </w:r>
            <w:r w:rsidRPr="00C26CCA">
              <w:rPr>
                <w:rFonts w:ascii="Abadi" w:hAnsi="Abadi" w:cs="Calibri"/>
                <w:sz w:val="21"/>
                <w:szCs w:val="21"/>
                <w:lang w:val="es-MX" w:eastAsia="es-MX"/>
              </w:rPr>
              <w:t>y la cuarta, que adiciona un artículo 22 BIS y una</w:t>
            </w:r>
          </w:p>
          <w:p w14:paraId="629434C7"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fracción XII al artículo 46 de la Ley del Trabajo de los Servidores</w:t>
            </w:r>
          </w:p>
          <w:p w14:paraId="6AB99F44" w14:textId="381CAF3F" w:rsidR="00A63A0B"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Públicos al Servicio del Estado y de los Municipios.</w:t>
            </w:r>
          </w:p>
          <w:p w14:paraId="3F7BDC27" w14:textId="0DB99CF6" w:rsidR="001F5101" w:rsidRDefault="001F5101" w:rsidP="00D04C25">
            <w:pPr>
              <w:autoSpaceDE w:val="0"/>
              <w:autoSpaceDN w:val="0"/>
              <w:adjustRightInd w:val="0"/>
              <w:jc w:val="both"/>
              <w:rPr>
                <w:rFonts w:ascii="Abadi" w:hAnsi="Abadi" w:cs="Calibri"/>
                <w:sz w:val="21"/>
                <w:szCs w:val="21"/>
                <w:lang w:val="es-MX" w:eastAsia="es-MX"/>
              </w:rPr>
            </w:pPr>
          </w:p>
          <w:p w14:paraId="24C74636" w14:textId="77777777" w:rsidR="001F5101" w:rsidRPr="00C26CCA" w:rsidRDefault="001F5101" w:rsidP="00D04C25">
            <w:pPr>
              <w:autoSpaceDE w:val="0"/>
              <w:autoSpaceDN w:val="0"/>
              <w:adjustRightInd w:val="0"/>
              <w:jc w:val="both"/>
              <w:rPr>
                <w:rFonts w:ascii="Abadi" w:hAnsi="Abadi" w:cs="Calibri"/>
                <w:sz w:val="21"/>
                <w:szCs w:val="21"/>
                <w:lang w:val="es-MX" w:eastAsia="es-MX"/>
              </w:rPr>
            </w:pPr>
          </w:p>
          <w:p w14:paraId="6E1FDFE6"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Los secretarios de los ayuntamientos de Celaya y San Luis de la Paz</w:t>
            </w:r>
          </w:p>
          <w:p w14:paraId="57DD5F7B"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remiten respuesta a la consulta de la iniciativa por la que se</w:t>
            </w:r>
          </w:p>
          <w:p w14:paraId="4AF43E49" w14:textId="55B88450"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 xml:space="preserve">adiciona un artículo 22 BIS y una fracción XII al artículo 46 de la </w:t>
            </w:r>
            <w:r w:rsidR="00AB665A">
              <w:rPr>
                <w:rFonts w:ascii="Abadi" w:hAnsi="Abadi" w:cs="Calibri"/>
                <w:sz w:val="21"/>
                <w:szCs w:val="21"/>
                <w:lang w:val="es-MX" w:eastAsia="es-MX"/>
              </w:rPr>
              <w:t>l</w:t>
            </w:r>
            <w:r w:rsidRPr="00C26CCA">
              <w:rPr>
                <w:rFonts w:ascii="Abadi" w:hAnsi="Abadi" w:cs="Calibri"/>
                <w:sz w:val="21"/>
                <w:szCs w:val="21"/>
                <w:lang w:val="es-MX" w:eastAsia="es-MX"/>
              </w:rPr>
              <w:t>ey del Trabajo de los Servidores Públicos al Servicio del Estado y</w:t>
            </w:r>
          </w:p>
          <w:p w14:paraId="17064AAB" w14:textId="60FBE891" w:rsidR="00A63A0B"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de los Municipios.</w:t>
            </w:r>
          </w:p>
          <w:p w14:paraId="3B15FCCF" w14:textId="77777777" w:rsidR="00C26CCA" w:rsidRPr="00C26CCA" w:rsidRDefault="00C26CCA" w:rsidP="00D04C25">
            <w:pPr>
              <w:autoSpaceDE w:val="0"/>
              <w:autoSpaceDN w:val="0"/>
              <w:adjustRightInd w:val="0"/>
              <w:jc w:val="both"/>
              <w:rPr>
                <w:rFonts w:ascii="Abadi" w:hAnsi="Abadi" w:cs="Calibri"/>
                <w:sz w:val="21"/>
                <w:szCs w:val="21"/>
                <w:lang w:val="es-MX" w:eastAsia="es-MX"/>
              </w:rPr>
            </w:pPr>
          </w:p>
          <w:p w14:paraId="676B34EC"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El secretario del ayuntamiento de Doctor Mora, Gto., remite</w:t>
            </w:r>
          </w:p>
          <w:p w14:paraId="16DA216C"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respuesta a la consulta de la iniciativa por la que se reforma la</w:t>
            </w:r>
          </w:p>
          <w:p w14:paraId="4940DDFD"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fracción V del artículo 49 y la facción I del artículo 53, y adiciona el</w:t>
            </w:r>
          </w:p>
          <w:p w14:paraId="5890FDC3"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artículo 12 bis; una fracción VII al artículo 13, una fracción VI al</w:t>
            </w:r>
          </w:p>
          <w:p w14:paraId="4D640D49"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artículo 42, así como las fracciones XII y XIII al artículo 46 de la Ley</w:t>
            </w:r>
          </w:p>
          <w:p w14:paraId="125E957F"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del Trabajo de los Servidores Públicos al Servicio del Estado y de</w:t>
            </w:r>
          </w:p>
          <w:p w14:paraId="5199D2CC"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los Municipios.</w:t>
            </w:r>
          </w:p>
          <w:p w14:paraId="1538B5A7"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El secretario del ayuntamiento de Jaral del Progreso, Gto., remite</w:t>
            </w:r>
          </w:p>
          <w:p w14:paraId="3B9D7D78"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respuesta a la consulta de cinco iniciativas: la primera, por la que</w:t>
            </w:r>
          </w:p>
          <w:p w14:paraId="23E3281B"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se adiciona un párrafo al artículo 1 de la Constitución Política para</w:t>
            </w:r>
          </w:p>
          <w:p w14:paraId="5C866089"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el Estado de Guanajuato; la segunda, por la que se reforman los</w:t>
            </w:r>
          </w:p>
          <w:p w14:paraId="2A32419C"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artículos 46, 69 y 111 de la Constitución Política para el Estado de</w:t>
            </w:r>
          </w:p>
          <w:p w14:paraId="4FFE63A5" w14:textId="359AD2B4" w:rsidR="00A63A0B" w:rsidRPr="00D04C25"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Guanajuato; y se adiciona un artículo 194 bis a la Ley de</w:t>
            </w:r>
            <w:r w:rsidR="002D7E8F">
              <w:rPr>
                <w:rFonts w:ascii="Abadi" w:hAnsi="Abadi" w:cs="Calibri"/>
                <w:sz w:val="21"/>
                <w:szCs w:val="21"/>
                <w:lang w:val="es-MX" w:eastAsia="es-MX"/>
              </w:rPr>
              <w:t xml:space="preserve"> </w:t>
            </w:r>
            <w:r w:rsidRPr="00C26CCA">
              <w:rPr>
                <w:rFonts w:ascii="Abadi" w:hAnsi="Abadi" w:cs="Calibri"/>
                <w:sz w:val="21"/>
                <w:szCs w:val="21"/>
                <w:lang w:val="es-MX" w:eastAsia="es-MX"/>
              </w:rPr>
              <w:t>Instituciones y Procedimientos Electorales para el Estado de</w:t>
            </w:r>
            <w:r w:rsidR="002D7E8F">
              <w:rPr>
                <w:rFonts w:ascii="Abadi" w:hAnsi="Abadi" w:cs="Calibri"/>
                <w:sz w:val="21"/>
                <w:szCs w:val="21"/>
                <w:lang w:val="es-MX" w:eastAsia="es-MX"/>
              </w:rPr>
              <w:t xml:space="preserve"> </w:t>
            </w:r>
            <w:r w:rsidRPr="00C26CCA">
              <w:rPr>
                <w:rFonts w:ascii="Abadi" w:hAnsi="Abadi" w:cs="Calibri"/>
                <w:sz w:val="21"/>
                <w:szCs w:val="21"/>
                <w:lang w:val="es-MX" w:eastAsia="es-MX"/>
              </w:rPr>
              <w:t xml:space="preserve">Guanajuato, </w:t>
            </w:r>
            <w:r w:rsidRPr="00D04C25">
              <w:rPr>
                <w:rFonts w:ascii="Abadi" w:hAnsi="Abadi" w:cs="Calibri"/>
                <w:sz w:val="21"/>
                <w:szCs w:val="21"/>
                <w:lang w:val="es-MX" w:eastAsia="es-MX"/>
              </w:rPr>
              <w:t>en la parte que corresponde al primero de los</w:t>
            </w:r>
          </w:p>
          <w:p w14:paraId="6D41A30E"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ordenamientos</w:t>
            </w:r>
            <w:r w:rsidRPr="00C26CCA">
              <w:rPr>
                <w:rFonts w:ascii="Abadi" w:hAnsi="Abadi" w:cs="Calibri"/>
                <w:sz w:val="21"/>
                <w:szCs w:val="21"/>
                <w:lang w:val="es-MX" w:eastAsia="es-MX"/>
              </w:rPr>
              <w:t>; la tercera, que reforma y adiciona diversas</w:t>
            </w:r>
          </w:p>
          <w:p w14:paraId="0A19426E"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disposiciones de la Constitución Política para el Estado de</w:t>
            </w:r>
          </w:p>
          <w:p w14:paraId="061630A2"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Guanajuato y de la Ley Orgánica Municipal para el Estado de</w:t>
            </w:r>
          </w:p>
          <w:p w14:paraId="6ECA7B50" w14:textId="2DACA035"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 xml:space="preserve">Guanajuato, </w:t>
            </w:r>
            <w:r w:rsidRPr="00D04C25">
              <w:rPr>
                <w:rFonts w:ascii="Abadi" w:hAnsi="Abadi" w:cs="Calibri"/>
                <w:sz w:val="21"/>
                <w:szCs w:val="21"/>
                <w:lang w:val="es-MX" w:eastAsia="es-MX"/>
              </w:rPr>
              <w:t>en lo que corresponde al primero de los</w:t>
            </w:r>
            <w:r w:rsidR="002D7E8F">
              <w:rPr>
                <w:rFonts w:ascii="Abadi" w:hAnsi="Abadi" w:cs="Calibri"/>
                <w:sz w:val="21"/>
                <w:szCs w:val="21"/>
                <w:lang w:val="es-MX" w:eastAsia="es-MX"/>
              </w:rPr>
              <w:t xml:space="preserve"> </w:t>
            </w:r>
            <w:r w:rsidRPr="00D04C25">
              <w:rPr>
                <w:rFonts w:ascii="Abadi" w:hAnsi="Abadi" w:cs="Calibri"/>
                <w:sz w:val="21"/>
                <w:szCs w:val="21"/>
                <w:lang w:val="es-MX" w:eastAsia="es-MX"/>
              </w:rPr>
              <w:t>ordenamientos</w:t>
            </w:r>
            <w:r w:rsidRPr="00C26CCA">
              <w:rPr>
                <w:rFonts w:ascii="Abadi" w:hAnsi="Abadi" w:cs="Calibri"/>
                <w:sz w:val="21"/>
                <w:szCs w:val="21"/>
                <w:lang w:val="es-MX" w:eastAsia="es-MX"/>
              </w:rPr>
              <w:t>; la cuarta, que reforma el artículo 24 bis de la Ley</w:t>
            </w:r>
          </w:p>
          <w:p w14:paraId="68E99E40"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de Planeación para el Estado de Guanajuato y el artículo 38 de la</w:t>
            </w:r>
          </w:p>
          <w:p w14:paraId="6568F68F"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Ley para la Igualdad entre Hombres y Mujeres del Estado de</w:t>
            </w:r>
          </w:p>
          <w:p w14:paraId="34A02303" w14:textId="2CA453B5"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 xml:space="preserve">Guanajuato, </w:t>
            </w:r>
            <w:r w:rsidRPr="00D04C25">
              <w:rPr>
                <w:rFonts w:ascii="Abadi" w:hAnsi="Abadi" w:cs="Calibri"/>
                <w:sz w:val="21"/>
                <w:szCs w:val="21"/>
                <w:lang w:val="es-MX" w:eastAsia="es-MX"/>
              </w:rPr>
              <w:t>en lo que corresponde al primero de los</w:t>
            </w:r>
            <w:r w:rsidR="00C26CCA" w:rsidRPr="00D04C25">
              <w:rPr>
                <w:rFonts w:ascii="Abadi" w:hAnsi="Abadi" w:cs="Calibri"/>
                <w:sz w:val="21"/>
                <w:szCs w:val="21"/>
                <w:lang w:val="es-MX" w:eastAsia="es-MX"/>
              </w:rPr>
              <w:t xml:space="preserve"> </w:t>
            </w:r>
            <w:r w:rsidRPr="00D04C25">
              <w:rPr>
                <w:rFonts w:ascii="Abadi" w:hAnsi="Abadi" w:cs="Calibri"/>
                <w:sz w:val="21"/>
                <w:szCs w:val="21"/>
                <w:lang w:val="es-MX" w:eastAsia="es-MX"/>
              </w:rPr>
              <w:t xml:space="preserve">ordenamientos; </w:t>
            </w:r>
            <w:r w:rsidRPr="00C26CCA">
              <w:rPr>
                <w:rFonts w:ascii="Abadi" w:hAnsi="Abadi" w:cs="Calibri"/>
                <w:sz w:val="21"/>
                <w:szCs w:val="21"/>
                <w:lang w:val="es-MX" w:eastAsia="es-MX"/>
              </w:rPr>
              <w:t>y la quinta, que adiciona un artículo 22 BIS y una</w:t>
            </w:r>
          </w:p>
          <w:p w14:paraId="7E6BFC35" w14:textId="77777777" w:rsidR="00A63A0B"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fracción XII al artículo 46 de la Ley del Trabajo de los Servidores</w:t>
            </w:r>
          </w:p>
          <w:p w14:paraId="535A5767" w14:textId="0FB78075" w:rsidR="004E6C29" w:rsidRPr="00C26CCA" w:rsidRDefault="00A63A0B" w:rsidP="00D04C25">
            <w:pPr>
              <w:autoSpaceDE w:val="0"/>
              <w:autoSpaceDN w:val="0"/>
              <w:adjustRightInd w:val="0"/>
              <w:jc w:val="both"/>
              <w:rPr>
                <w:rFonts w:ascii="Abadi" w:hAnsi="Abadi" w:cs="Calibri"/>
                <w:sz w:val="21"/>
                <w:szCs w:val="21"/>
                <w:lang w:val="es-MX" w:eastAsia="es-MX"/>
              </w:rPr>
            </w:pPr>
            <w:r w:rsidRPr="00C26CCA">
              <w:rPr>
                <w:rFonts w:ascii="Abadi" w:hAnsi="Abadi" w:cs="Calibri"/>
                <w:sz w:val="21"/>
                <w:szCs w:val="21"/>
                <w:lang w:val="es-MX" w:eastAsia="es-MX"/>
              </w:rPr>
              <w:t>Públicos al Servicio del Estado y de los Municipios.</w:t>
            </w:r>
          </w:p>
        </w:tc>
        <w:tc>
          <w:tcPr>
            <w:tcW w:w="1886" w:type="dxa"/>
          </w:tcPr>
          <w:p w14:paraId="7571DBFC" w14:textId="77777777" w:rsidR="00C26CCA" w:rsidRPr="00C26CCA" w:rsidRDefault="00C26CCA" w:rsidP="00C26CCA">
            <w:pPr>
              <w:autoSpaceDE w:val="0"/>
              <w:autoSpaceDN w:val="0"/>
              <w:adjustRightInd w:val="0"/>
              <w:rPr>
                <w:rFonts w:ascii="Abadi" w:hAnsi="Abadi"/>
                <w:b/>
                <w:bCs/>
                <w:sz w:val="21"/>
                <w:szCs w:val="21"/>
              </w:rPr>
            </w:pPr>
            <w:r w:rsidRPr="00C26CCA">
              <w:rPr>
                <w:rFonts w:ascii="Abadi" w:hAnsi="Abadi"/>
                <w:b/>
                <w:bCs/>
                <w:sz w:val="21"/>
                <w:szCs w:val="21"/>
              </w:rPr>
              <w:t>Enterados y se informa que se turnaron</w:t>
            </w:r>
          </w:p>
          <w:p w14:paraId="2C1140D8" w14:textId="77777777" w:rsidR="00C26CCA" w:rsidRPr="00C26CCA" w:rsidRDefault="00C26CCA" w:rsidP="00C26CCA">
            <w:pPr>
              <w:autoSpaceDE w:val="0"/>
              <w:autoSpaceDN w:val="0"/>
              <w:adjustRightInd w:val="0"/>
              <w:rPr>
                <w:rFonts w:ascii="Abadi" w:hAnsi="Abadi"/>
                <w:b/>
                <w:bCs/>
                <w:sz w:val="21"/>
                <w:szCs w:val="21"/>
              </w:rPr>
            </w:pPr>
            <w:r w:rsidRPr="00C26CCA">
              <w:rPr>
                <w:rFonts w:ascii="Abadi" w:hAnsi="Abadi"/>
                <w:b/>
                <w:bCs/>
                <w:sz w:val="21"/>
                <w:szCs w:val="21"/>
              </w:rPr>
              <w:t>a la Comisión de Gobernación y Puntos</w:t>
            </w:r>
          </w:p>
          <w:p w14:paraId="4BD7F45E" w14:textId="2CF16055" w:rsidR="004E6C29" w:rsidRPr="00690840" w:rsidRDefault="00C26CCA" w:rsidP="00C26CCA">
            <w:pPr>
              <w:autoSpaceDE w:val="0"/>
              <w:autoSpaceDN w:val="0"/>
              <w:adjustRightInd w:val="0"/>
              <w:rPr>
                <w:rFonts w:ascii="Abadi" w:hAnsi="Abadi" w:cs="Calibri"/>
                <w:sz w:val="21"/>
                <w:szCs w:val="21"/>
                <w:lang w:val="es-MX" w:eastAsia="es-MX"/>
              </w:rPr>
            </w:pPr>
            <w:r w:rsidRPr="00C26CCA">
              <w:rPr>
                <w:rFonts w:ascii="Abadi" w:hAnsi="Abadi"/>
                <w:b/>
                <w:bCs/>
                <w:sz w:val="21"/>
                <w:szCs w:val="21"/>
              </w:rPr>
              <w:t>Constitucionales</w:t>
            </w:r>
            <w:r>
              <w:rPr>
                <w:rFonts w:ascii="Calibri-BoldItalic" w:hAnsi="Calibri-BoldItalic" w:cs="Calibri-BoldItalic"/>
                <w:b/>
                <w:bCs/>
                <w:i/>
                <w:iCs/>
                <w:sz w:val="22"/>
                <w:szCs w:val="22"/>
                <w:lang w:val="es-MX" w:eastAsia="es-MX"/>
              </w:rPr>
              <w:t>.</w:t>
            </w:r>
          </w:p>
        </w:tc>
      </w:tr>
      <w:tr w:rsidR="004E6C29" w:rsidRPr="00796E08" w14:paraId="0F55449E" w14:textId="77777777" w:rsidTr="00724EA0">
        <w:tc>
          <w:tcPr>
            <w:tcW w:w="2494" w:type="dxa"/>
          </w:tcPr>
          <w:p w14:paraId="320740BA"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El secretario del ayuntamiento de Jaral del Progreso, Gto., remite</w:t>
            </w:r>
          </w:p>
          <w:p w14:paraId="5B4AE0FB"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respuesta al acuerdo aprobado por esta Legislatura, en el que se</w:t>
            </w:r>
          </w:p>
          <w:p w14:paraId="62A5ECFA"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exhorta al sector público, al sector privado y a la sociedad civil</w:t>
            </w:r>
          </w:p>
          <w:p w14:paraId="12810CF6"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organizada a efecto de que se siga incentivando la contratación de</w:t>
            </w:r>
          </w:p>
          <w:p w14:paraId="4A69BE2B" w14:textId="7BDB008C" w:rsidR="004E6C29" w:rsidRPr="005065A4"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personas con discapacidad.</w:t>
            </w:r>
          </w:p>
        </w:tc>
        <w:tc>
          <w:tcPr>
            <w:tcW w:w="1886" w:type="dxa"/>
          </w:tcPr>
          <w:p w14:paraId="393E19B2" w14:textId="77777777" w:rsidR="00D04C25" w:rsidRPr="00D04C25" w:rsidRDefault="00D04C25" w:rsidP="00D04C25">
            <w:pPr>
              <w:autoSpaceDE w:val="0"/>
              <w:autoSpaceDN w:val="0"/>
              <w:adjustRightInd w:val="0"/>
              <w:jc w:val="both"/>
              <w:rPr>
                <w:rFonts w:ascii="Abadi" w:hAnsi="Abadi"/>
                <w:b/>
                <w:bCs/>
                <w:sz w:val="21"/>
                <w:szCs w:val="21"/>
              </w:rPr>
            </w:pPr>
            <w:r w:rsidRPr="00D04C25">
              <w:rPr>
                <w:rFonts w:ascii="Abadi" w:hAnsi="Abadi"/>
                <w:b/>
                <w:bCs/>
                <w:sz w:val="21"/>
                <w:szCs w:val="21"/>
              </w:rPr>
              <w:t>Enterados y se informa que se turnó a la</w:t>
            </w:r>
          </w:p>
          <w:p w14:paraId="1E6CA552" w14:textId="77777777" w:rsidR="00D04C25" w:rsidRPr="00D04C25" w:rsidRDefault="00D04C25" w:rsidP="00D04C25">
            <w:pPr>
              <w:autoSpaceDE w:val="0"/>
              <w:autoSpaceDN w:val="0"/>
              <w:adjustRightInd w:val="0"/>
              <w:jc w:val="both"/>
              <w:rPr>
                <w:rFonts w:ascii="Abadi" w:hAnsi="Abadi"/>
                <w:b/>
                <w:bCs/>
                <w:sz w:val="21"/>
                <w:szCs w:val="21"/>
              </w:rPr>
            </w:pPr>
            <w:r w:rsidRPr="00D04C25">
              <w:rPr>
                <w:rFonts w:ascii="Abadi" w:hAnsi="Abadi"/>
                <w:b/>
                <w:bCs/>
                <w:sz w:val="21"/>
                <w:szCs w:val="21"/>
              </w:rPr>
              <w:t>Comisión de Derechos Humanos y</w:t>
            </w:r>
          </w:p>
          <w:p w14:paraId="55B156A1" w14:textId="490F100F" w:rsidR="004E6C29" w:rsidRPr="00690840" w:rsidRDefault="00D04C25" w:rsidP="00D04C25">
            <w:pPr>
              <w:jc w:val="both"/>
              <w:rPr>
                <w:rFonts w:ascii="Abadi" w:hAnsi="Abadi"/>
                <w:b/>
                <w:sz w:val="21"/>
                <w:szCs w:val="21"/>
              </w:rPr>
            </w:pPr>
            <w:r w:rsidRPr="00D04C25">
              <w:rPr>
                <w:rFonts w:ascii="Abadi" w:hAnsi="Abadi"/>
                <w:b/>
                <w:bCs/>
                <w:sz w:val="21"/>
                <w:szCs w:val="21"/>
              </w:rPr>
              <w:t>Atención a Grupos Vulnerables</w:t>
            </w:r>
            <w:r>
              <w:rPr>
                <w:rFonts w:ascii="Calibri-BoldItalic" w:hAnsi="Calibri-BoldItalic" w:cs="Calibri-BoldItalic"/>
                <w:b/>
                <w:bCs/>
                <w:i/>
                <w:iCs/>
                <w:sz w:val="22"/>
                <w:szCs w:val="22"/>
                <w:lang w:val="es-MX" w:eastAsia="es-MX"/>
              </w:rPr>
              <w:t>.</w:t>
            </w:r>
          </w:p>
        </w:tc>
      </w:tr>
      <w:tr w:rsidR="004E6C29" w:rsidRPr="00796E08" w14:paraId="174B9566" w14:textId="77777777" w:rsidTr="00724EA0">
        <w:tc>
          <w:tcPr>
            <w:tcW w:w="2494" w:type="dxa"/>
          </w:tcPr>
          <w:p w14:paraId="23E306D9"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El secretario del ayuntamiento de San Luis de la Paz, Gto., remite</w:t>
            </w:r>
          </w:p>
          <w:p w14:paraId="578A785D"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copia certificada de la primera modificación al presupuesto de</w:t>
            </w:r>
          </w:p>
          <w:p w14:paraId="76387733"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egresos de la administración pública municipal para el ejercicio</w:t>
            </w:r>
          </w:p>
          <w:p w14:paraId="6F41E38C" w14:textId="52796F44" w:rsid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fiscal 2022.</w:t>
            </w:r>
          </w:p>
          <w:p w14:paraId="17AE6018" w14:textId="17A92AC6" w:rsidR="00E674F9" w:rsidRDefault="00E674F9" w:rsidP="00D04C25">
            <w:pPr>
              <w:autoSpaceDE w:val="0"/>
              <w:autoSpaceDN w:val="0"/>
              <w:adjustRightInd w:val="0"/>
              <w:jc w:val="both"/>
              <w:rPr>
                <w:rFonts w:ascii="Abadi" w:hAnsi="Abadi" w:cs="Calibri"/>
                <w:sz w:val="21"/>
                <w:szCs w:val="21"/>
                <w:lang w:val="es-MX" w:eastAsia="es-MX"/>
              </w:rPr>
            </w:pPr>
          </w:p>
          <w:p w14:paraId="4FDAAE4B" w14:textId="77777777" w:rsidR="00E674F9" w:rsidRPr="00D04C25" w:rsidRDefault="00E674F9" w:rsidP="00D04C25">
            <w:pPr>
              <w:autoSpaceDE w:val="0"/>
              <w:autoSpaceDN w:val="0"/>
              <w:adjustRightInd w:val="0"/>
              <w:jc w:val="both"/>
              <w:rPr>
                <w:rFonts w:ascii="Abadi" w:hAnsi="Abadi" w:cs="Calibri"/>
                <w:sz w:val="21"/>
                <w:szCs w:val="21"/>
                <w:lang w:val="es-MX" w:eastAsia="es-MX"/>
              </w:rPr>
            </w:pPr>
          </w:p>
          <w:p w14:paraId="4DC37429"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El presidente municipal y el secretario del ayuntamiento de San</w:t>
            </w:r>
          </w:p>
          <w:p w14:paraId="5E4C1DF0"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Felipe, Gto., remiten el cierre al pronóstico de ingresos y</w:t>
            </w:r>
          </w:p>
          <w:p w14:paraId="2925603F"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presupuesto de egresos para el ejercicio fiscal 2021; y la primera</w:t>
            </w:r>
          </w:p>
          <w:p w14:paraId="19EA257C" w14:textId="77777777" w:rsidR="00D04C25" w:rsidRPr="00D04C25" w:rsidRDefault="00D04C25" w:rsidP="00D04C25">
            <w:pPr>
              <w:autoSpaceDE w:val="0"/>
              <w:autoSpaceDN w:val="0"/>
              <w:adjustRightInd w:val="0"/>
              <w:jc w:val="both"/>
              <w:rPr>
                <w:rFonts w:ascii="Abadi" w:hAnsi="Abadi" w:cs="Calibri"/>
                <w:sz w:val="21"/>
                <w:szCs w:val="21"/>
                <w:lang w:val="es-MX" w:eastAsia="es-MX"/>
              </w:rPr>
            </w:pPr>
            <w:r w:rsidRPr="00D04C25">
              <w:rPr>
                <w:rFonts w:ascii="Abadi" w:hAnsi="Abadi" w:cs="Calibri"/>
                <w:sz w:val="21"/>
                <w:szCs w:val="21"/>
                <w:lang w:val="es-MX" w:eastAsia="es-MX"/>
              </w:rPr>
              <w:t>modificación al pronóstico de ingresos y presupuesto de egresos</w:t>
            </w:r>
          </w:p>
          <w:p w14:paraId="3AC8CC07" w14:textId="46ACBC4B" w:rsidR="004E6C29" w:rsidRPr="00BD5B28" w:rsidRDefault="00D04C25" w:rsidP="00D04C25">
            <w:pPr>
              <w:jc w:val="both"/>
              <w:rPr>
                <w:rFonts w:ascii="Abadi" w:hAnsi="Abadi" w:cs="Calibri"/>
                <w:sz w:val="21"/>
                <w:szCs w:val="21"/>
                <w:lang w:val="es-MX" w:eastAsia="es-MX"/>
              </w:rPr>
            </w:pPr>
            <w:r w:rsidRPr="00D04C25">
              <w:rPr>
                <w:rFonts w:ascii="Abadi" w:hAnsi="Abadi" w:cs="Calibri"/>
                <w:sz w:val="21"/>
                <w:szCs w:val="21"/>
                <w:lang w:val="es-MX" w:eastAsia="es-MX"/>
              </w:rPr>
              <w:t>para el ejercicio fiscal 2022.</w:t>
            </w:r>
          </w:p>
        </w:tc>
        <w:tc>
          <w:tcPr>
            <w:tcW w:w="1886" w:type="dxa"/>
          </w:tcPr>
          <w:p w14:paraId="4936EBDC" w14:textId="77777777" w:rsidR="00D04C25" w:rsidRPr="00D04C25" w:rsidRDefault="00D04C25" w:rsidP="00D04C25">
            <w:pPr>
              <w:autoSpaceDE w:val="0"/>
              <w:autoSpaceDN w:val="0"/>
              <w:adjustRightInd w:val="0"/>
              <w:jc w:val="both"/>
              <w:rPr>
                <w:rFonts w:ascii="Abadi" w:hAnsi="Abadi"/>
                <w:b/>
                <w:bCs/>
                <w:sz w:val="21"/>
                <w:szCs w:val="21"/>
              </w:rPr>
            </w:pPr>
            <w:r w:rsidRPr="00D04C25">
              <w:rPr>
                <w:rFonts w:ascii="Abadi" w:hAnsi="Abadi"/>
                <w:b/>
                <w:bCs/>
                <w:sz w:val="21"/>
                <w:szCs w:val="21"/>
              </w:rPr>
              <w:t>Enterados y se remiten a la Auditoría</w:t>
            </w:r>
          </w:p>
          <w:p w14:paraId="4447F33F" w14:textId="5B0339D3" w:rsidR="004E6C29" w:rsidRPr="00D04C25" w:rsidRDefault="00D04C25" w:rsidP="00D04C25">
            <w:pPr>
              <w:jc w:val="both"/>
              <w:rPr>
                <w:rFonts w:ascii="Abadi" w:hAnsi="Abadi"/>
                <w:b/>
                <w:bCs/>
                <w:sz w:val="21"/>
                <w:szCs w:val="21"/>
              </w:rPr>
            </w:pPr>
            <w:r w:rsidRPr="00D04C25">
              <w:rPr>
                <w:rFonts w:ascii="Abadi" w:hAnsi="Abadi"/>
                <w:b/>
                <w:bCs/>
                <w:sz w:val="21"/>
                <w:szCs w:val="21"/>
              </w:rPr>
              <w:t>Superior del Estado de Guanajuato.</w:t>
            </w:r>
          </w:p>
        </w:tc>
      </w:tr>
      <w:tr w:rsidR="004E6C29" w:rsidRPr="00313E40" w14:paraId="7CA35DF7" w14:textId="77777777" w:rsidTr="00724EA0">
        <w:tc>
          <w:tcPr>
            <w:tcW w:w="2494" w:type="dxa"/>
          </w:tcPr>
          <w:p w14:paraId="7550562D"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El secretario del ayuntamiento de Celaya, Gto., remite respuesta</w:t>
            </w:r>
          </w:p>
          <w:p w14:paraId="2606E6D3"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a la consulta de la iniciativa a efecto de reformar el artículo 252 y</w:t>
            </w:r>
          </w:p>
          <w:p w14:paraId="71D1E479"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adicionar los artículos 252-1 y 252-2 a la Ley Orgánica Municipal</w:t>
            </w:r>
          </w:p>
          <w:p w14:paraId="1C36DC29"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para el Estado de Guanajuato.</w:t>
            </w:r>
          </w:p>
          <w:p w14:paraId="7FA8E170"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El secretario del ayuntamiento de San Luis de la Paz, Gto., remite</w:t>
            </w:r>
          </w:p>
          <w:p w14:paraId="0CDD9002"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respuesta a la consulta de la iniciativa a efecto de adicionar un</w:t>
            </w:r>
          </w:p>
          <w:p w14:paraId="2AEA5C31"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artículo 11 Bis a la Ley Orgánica del Poder Ejecutivo para el Estado</w:t>
            </w:r>
          </w:p>
          <w:p w14:paraId="7BDF97DE"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de Guanajuato; la fracción XVI Bis al artículo 72 de la Ley Orgánica</w:t>
            </w:r>
          </w:p>
          <w:p w14:paraId="4BD21835"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del Poder Legislativo del Estado de Guanajuato; la fracción LIII Bis</w:t>
            </w:r>
          </w:p>
          <w:p w14:paraId="55F78D22"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al artículo 28 de la Ley Orgánica del Poder Judicial del Estado de</w:t>
            </w:r>
          </w:p>
          <w:p w14:paraId="14EE3010"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Guanajuato; y un segundo párrafo del inciso L, fracción I del</w:t>
            </w:r>
          </w:p>
          <w:p w14:paraId="10B6A012"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artículo 76 de la Ley Orgánica Municipal para el Estado de</w:t>
            </w:r>
          </w:p>
          <w:p w14:paraId="0C55B8BE" w14:textId="71E00478" w:rsid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Guanajuato, en la parte correspondiente al último de los</w:t>
            </w:r>
            <w:r w:rsidR="002D7E8F">
              <w:rPr>
                <w:rFonts w:ascii="Abadi" w:hAnsi="Abadi" w:cs="Calibri"/>
                <w:sz w:val="21"/>
                <w:szCs w:val="21"/>
                <w:lang w:val="es-MX" w:eastAsia="es-MX"/>
              </w:rPr>
              <w:t xml:space="preserve"> </w:t>
            </w:r>
            <w:r w:rsidRPr="002A50B9">
              <w:rPr>
                <w:rFonts w:ascii="Abadi" w:hAnsi="Abadi" w:cs="Calibri"/>
                <w:sz w:val="21"/>
                <w:szCs w:val="21"/>
                <w:lang w:val="es-MX" w:eastAsia="es-MX"/>
              </w:rPr>
              <w:t>ordenamientos.</w:t>
            </w:r>
          </w:p>
          <w:p w14:paraId="4299CB72" w14:textId="77777777" w:rsidR="00060548" w:rsidRPr="002A50B9" w:rsidRDefault="00060548" w:rsidP="002A50B9">
            <w:pPr>
              <w:autoSpaceDE w:val="0"/>
              <w:autoSpaceDN w:val="0"/>
              <w:adjustRightInd w:val="0"/>
              <w:jc w:val="both"/>
              <w:rPr>
                <w:rFonts w:ascii="Abadi" w:hAnsi="Abadi" w:cs="Calibri"/>
                <w:sz w:val="21"/>
                <w:szCs w:val="21"/>
                <w:lang w:val="es-MX" w:eastAsia="es-MX"/>
              </w:rPr>
            </w:pPr>
          </w:p>
          <w:p w14:paraId="4F9CF7B0"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El secretario del ayuntamiento de Jaral del Progreso, Gto., remite</w:t>
            </w:r>
          </w:p>
          <w:p w14:paraId="53D6EA49"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respuesta a la consulta de nueve iniciativas: la primera, que</w:t>
            </w:r>
          </w:p>
          <w:p w14:paraId="76E6DA11"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reforma al artículo 131; la segunda, que adiciona un artículo 9-3 y</w:t>
            </w:r>
          </w:p>
          <w:p w14:paraId="1148BF6E"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reforma los artículos 76 y 83-10; la tercera, que adiciona los</w:t>
            </w:r>
          </w:p>
          <w:p w14:paraId="2EE49F2D"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artículos 9-1 Bis, 9-1 ter, 9-1 Quater, 9-1 Quinquies, 9-1 Sexies, 9-</w:t>
            </w:r>
          </w:p>
          <w:p w14:paraId="13BB4E61"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1 Septies y 9-1 Octies; la cuarta, que reforma el artículo 47; la</w:t>
            </w:r>
          </w:p>
          <w:p w14:paraId="13BA883A"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quinta, que adiciona los artículos 18 Bis, 18 Ter y 18 Quáter; todas</w:t>
            </w:r>
          </w:p>
          <w:p w14:paraId="7608DA41"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de la Ley Orgánica Municipal para el Estado de Guanajuato; la</w:t>
            </w:r>
          </w:p>
          <w:p w14:paraId="4CA9F0DD" w14:textId="77777777" w:rsidR="002A50B9" w:rsidRPr="002A50B9" w:rsidRDefault="002A50B9" w:rsidP="002A50B9">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sexta, que reforma y adiciona diversas disposiciones de la</w:t>
            </w:r>
          </w:p>
          <w:p w14:paraId="605ADE67" w14:textId="33BFA5CE" w:rsidR="00C5754F" w:rsidRPr="00C5754F" w:rsidRDefault="002A50B9" w:rsidP="00C5754F">
            <w:pPr>
              <w:autoSpaceDE w:val="0"/>
              <w:autoSpaceDN w:val="0"/>
              <w:adjustRightInd w:val="0"/>
              <w:jc w:val="both"/>
              <w:rPr>
                <w:rFonts w:ascii="Abadi" w:hAnsi="Abadi" w:cs="Calibri"/>
                <w:sz w:val="21"/>
                <w:szCs w:val="21"/>
                <w:lang w:val="es-MX" w:eastAsia="es-MX"/>
              </w:rPr>
            </w:pPr>
            <w:r w:rsidRPr="002A50B9">
              <w:rPr>
                <w:rFonts w:ascii="Abadi" w:hAnsi="Abadi" w:cs="Calibri"/>
                <w:sz w:val="21"/>
                <w:szCs w:val="21"/>
                <w:lang w:val="es-MX" w:eastAsia="es-MX"/>
              </w:rPr>
              <w:t>Constitución Política para el Estado de Guanajuato y de la Ley</w:t>
            </w:r>
            <w:r w:rsidR="002D7E8F">
              <w:rPr>
                <w:rFonts w:ascii="Abadi" w:hAnsi="Abadi" w:cs="Calibri"/>
                <w:sz w:val="21"/>
                <w:szCs w:val="21"/>
                <w:lang w:val="es-MX" w:eastAsia="es-MX"/>
              </w:rPr>
              <w:t xml:space="preserve"> </w:t>
            </w:r>
            <w:r w:rsidRPr="002A50B9">
              <w:rPr>
                <w:rFonts w:ascii="Abadi" w:hAnsi="Abadi" w:cs="Calibri"/>
                <w:sz w:val="21"/>
                <w:szCs w:val="21"/>
                <w:lang w:val="es-MX" w:eastAsia="es-MX"/>
              </w:rPr>
              <w:t>Orgánica Municipal para el Estado de Guanajuato, en la parte</w:t>
            </w:r>
            <w:r w:rsidR="002D7E8F">
              <w:rPr>
                <w:rFonts w:ascii="Abadi" w:hAnsi="Abadi" w:cs="Calibri"/>
                <w:sz w:val="21"/>
                <w:szCs w:val="21"/>
                <w:lang w:val="es-MX" w:eastAsia="es-MX"/>
              </w:rPr>
              <w:t xml:space="preserve"> </w:t>
            </w:r>
            <w:r w:rsidR="00C5754F" w:rsidRPr="00C5754F">
              <w:rPr>
                <w:rFonts w:ascii="Abadi" w:hAnsi="Abadi" w:cs="Calibri"/>
                <w:sz w:val="21"/>
                <w:szCs w:val="21"/>
                <w:lang w:val="es-MX" w:eastAsia="es-MX"/>
              </w:rPr>
              <w:t>correspondiente al segundo de los ordenamientos; la séptima, que</w:t>
            </w:r>
            <w:r w:rsidR="003E7942">
              <w:rPr>
                <w:rFonts w:ascii="Abadi" w:hAnsi="Abadi" w:cs="Calibri"/>
                <w:sz w:val="21"/>
                <w:szCs w:val="21"/>
                <w:lang w:val="es-MX" w:eastAsia="es-MX"/>
              </w:rPr>
              <w:t xml:space="preserve"> </w:t>
            </w:r>
            <w:r w:rsidR="00C5754F" w:rsidRPr="00C5754F">
              <w:rPr>
                <w:rFonts w:ascii="Abadi" w:hAnsi="Abadi" w:cs="Calibri"/>
                <w:sz w:val="21"/>
                <w:szCs w:val="21"/>
                <w:lang w:val="es-MX" w:eastAsia="es-MX"/>
              </w:rPr>
              <w:t>reforma el artículo 252 y adiciona los artículos 252-1 y 252-2 de la</w:t>
            </w:r>
          </w:p>
          <w:p w14:paraId="1912FA93" w14:textId="77777777"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Ley Orgánica Municipal para el Estado de Guanajuato; la octava,</w:t>
            </w:r>
          </w:p>
          <w:p w14:paraId="581C972F" w14:textId="3D7934A4"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que adiciona un artículo 11 Bis a la Ley Orgánica del Poder</w:t>
            </w:r>
            <w:r w:rsidR="003E7942">
              <w:rPr>
                <w:rFonts w:ascii="Abadi" w:hAnsi="Abadi" w:cs="Calibri"/>
                <w:sz w:val="21"/>
                <w:szCs w:val="21"/>
                <w:lang w:val="es-MX" w:eastAsia="es-MX"/>
              </w:rPr>
              <w:t xml:space="preserve"> </w:t>
            </w:r>
            <w:r w:rsidRPr="00C5754F">
              <w:rPr>
                <w:rFonts w:ascii="Abadi" w:hAnsi="Abadi" w:cs="Calibri"/>
                <w:sz w:val="21"/>
                <w:szCs w:val="21"/>
                <w:lang w:val="es-MX" w:eastAsia="es-MX"/>
              </w:rPr>
              <w:t>Ejecutivo para el Estado de Guanajuato; la fracción XVI Bis al</w:t>
            </w:r>
          </w:p>
          <w:p w14:paraId="5BE0C681" w14:textId="77777777"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artículo 72 de la Ley Orgánica del Poder Legislativo del Estado de</w:t>
            </w:r>
          </w:p>
          <w:p w14:paraId="592C3A4C" w14:textId="77777777"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Guanajuato; la fracción LIII Bis al artículo 28 de la Ley Orgánica del</w:t>
            </w:r>
          </w:p>
          <w:p w14:paraId="10C563FB" w14:textId="77777777"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Poder Judicial del Estado de Guanajuato; y un segundo párrafo del</w:t>
            </w:r>
          </w:p>
          <w:p w14:paraId="7F995D03" w14:textId="77777777"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inciso L, fracción I del artículo 76 de la Ley Orgánica Municipal para</w:t>
            </w:r>
          </w:p>
          <w:p w14:paraId="3790787B" w14:textId="03FFF301"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el Estado de Guanajuato, en la parte correspondiente al último de</w:t>
            </w:r>
            <w:r w:rsidR="003E7942">
              <w:rPr>
                <w:rFonts w:ascii="Abadi" w:hAnsi="Abadi" w:cs="Calibri"/>
                <w:sz w:val="21"/>
                <w:szCs w:val="21"/>
                <w:lang w:val="es-MX" w:eastAsia="es-MX"/>
              </w:rPr>
              <w:t xml:space="preserve"> </w:t>
            </w:r>
            <w:r w:rsidRPr="00C5754F">
              <w:rPr>
                <w:rFonts w:ascii="Abadi" w:hAnsi="Abadi" w:cs="Calibri"/>
                <w:sz w:val="21"/>
                <w:szCs w:val="21"/>
                <w:lang w:val="es-MX" w:eastAsia="es-MX"/>
              </w:rPr>
              <w:t>los ordenamientos; y la novena, que reforma y adiciona diversos</w:t>
            </w:r>
          </w:p>
          <w:p w14:paraId="3C6AD390" w14:textId="77777777"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artículos de la Ley de Participación Ciudadana para el Estado de</w:t>
            </w:r>
          </w:p>
          <w:p w14:paraId="6942FCB9" w14:textId="77777777"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Guanajuato y de la Ley Orgánica Municipal para el Estado de</w:t>
            </w:r>
          </w:p>
          <w:p w14:paraId="49E63500" w14:textId="77777777" w:rsidR="00C5754F" w:rsidRPr="00C5754F" w:rsidRDefault="00C5754F" w:rsidP="00C5754F">
            <w:pPr>
              <w:autoSpaceDE w:val="0"/>
              <w:autoSpaceDN w:val="0"/>
              <w:adjustRightInd w:val="0"/>
              <w:jc w:val="both"/>
              <w:rPr>
                <w:rFonts w:ascii="Abadi" w:hAnsi="Abadi" w:cs="Calibri"/>
                <w:sz w:val="21"/>
                <w:szCs w:val="21"/>
                <w:lang w:val="es-MX" w:eastAsia="es-MX"/>
              </w:rPr>
            </w:pPr>
            <w:r w:rsidRPr="00C5754F">
              <w:rPr>
                <w:rFonts w:ascii="Abadi" w:hAnsi="Abadi" w:cs="Calibri"/>
                <w:sz w:val="21"/>
                <w:szCs w:val="21"/>
                <w:lang w:val="es-MX" w:eastAsia="es-MX"/>
              </w:rPr>
              <w:t>Guanajuato, en la parte correspondiente al segundo de los</w:t>
            </w:r>
          </w:p>
          <w:p w14:paraId="5DE832CD" w14:textId="40DF5C04" w:rsidR="00AD1F76" w:rsidRDefault="00C5754F" w:rsidP="002A50B9">
            <w:pPr>
              <w:pStyle w:val="TableParagraph"/>
              <w:kinsoku w:val="0"/>
              <w:overflowPunct w:val="0"/>
              <w:spacing w:line="276" w:lineRule="auto"/>
              <w:ind w:left="59" w:right="49"/>
              <w:jc w:val="both"/>
              <w:rPr>
                <w:rFonts w:ascii="Abadi" w:eastAsia="Times New Roman" w:hAnsi="Abadi" w:cs="Calibri"/>
                <w:sz w:val="21"/>
                <w:szCs w:val="21"/>
                <w:lang w:val="es-MX" w:eastAsia="es-MX"/>
              </w:rPr>
            </w:pPr>
            <w:r w:rsidRPr="00C5754F">
              <w:rPr>
                <w:rFonts w:ascii="Abadi" w:eastAsia="Times New Roman" w:hAnsi="Abadi" w:cs="Calibri"/>
                <w:sz w:val="21"/>
                <w:szCs w:val="21"/>
                <w:lang w:val="es-MX" w:eastAsia="es-MX"/>
              </w:rPr>
              <w:t>ordenamientos.</w:t>
            </w:r>
          </w:p>
          <w:p w14:paraId="11AB12F8" w14:textId="04DE4420" w:rsidR="00AD1F76" w:rsidRPr="002A50B9" w:rsidRDefault="00AD1F76" w:rsidP="002A50B9">
            <w:pPr>
              <w:pStyle w:val="TableParagraph"/>
              <w:kinsoku w:val="0"/>
              <w:overflowPunct w:val="0"/>
              <w:spacing w:line="276" w:lineRule="auto"/>
              <w:ind w:left="59" w:right="49"/>
              <w:jc w:val="both"/>
              <w:rPr>
                <w:rFonts w:ascii="Abadi" w:eastAsia="Times New Roman" w:hAnsi="Abadi" w:cs="Calibri"/>
                <w:sz w:val="21"/>
                <w:szCs w:val="21"/>
                <w:lang w:val="es-MX" w:eastAsia="es-MX"/>
              </w:rPr>
            </w:pPr>
          </w:p>
        </w:tc>
        <w:tc>
          <w:tcPr>
            <w:tcW w:w="1886" w:type="dxa"/>
          </w:tcPr>
          <w:p w14:paraId="28CFE520" w14:textId="77777777" w:rsidR="002A50B9" w:rsidRPr="002A50B9" w:rsidRDefault="002A50B9" w:rsidP="002A50B9">
            <w:pPr>
              <w:autoSpaceDE w:val="0"/>
              <w:autoSpaceDN w:val="0"/>
              <w:adjustRightInd w:val="0"/>
              <w:rPr>
                <w:rFonts w:ascii="Abadi" w:hAnsi="Abadi"/>
                <w:b/>
                <w:bCs/>
                <w:sz w:val="21"/>
                <w:szCs w:val="21"/>
              </w:rPr>
            </w:pPr>
            <w:r w:rsidRPr="002A50B9">
              <w:rPr>
                <w:rFonts w:ascii="Abadi" w:hAnsi="Abadi"/>
                <w:b/>
                <w:bCs/>
                <w:sz w:val="21"/>
                <w:szCs w:val="21"/>
              </w:rPr>
              <w:t>Enterados y se informa que se turnó a la</w:t>
            </w:r>
          </w:p>
          <w:p w14:paraId="6B03676B" w14:textId="4A95CF58" w:rsidR="004E6C29" w:rsidRPr="002A50B9" w:rsidRDefault="002A50B9" w:rsidP="002A50B9">
            <w:pPr>
              <w:jc w:val="both"/>
              <w:rPr>
                <w:rFonts w:ascii="Abadi" w:hAnsi="Abadi"/>
                <w:b/>
                <w:bCs/>
                <w:sz w:val="21"/>
                <w:szCs w:val="21"/>
              </w:rPr>
            </w:pPr>
            <w:r w:rsidRPr="002A50B9">
              <w:rPr>
                <w:rFonts w:ascii="Abadi" w:hAnsi="Abadi"/>
                <w:b/>
                <w:bCs/>
                <w:sz w:val="21"/>
                <w:szCs w:val="21"/>
              </w:rPr>
              <w:t>Comisión de Asuntos Municipales.</w:t>
            </w:r>
          </w:p>
        </w:tc>
      </w:tr>
      <w:tr w:rsidR="004E6C29" w:rsidRPr="008429AF" w14:paraId="34C0554A" w14:textId="77777777" w:rsidTr="00724EA0">
        <w:tc>
          <w:tcPr>
            <w:tcW w:w="2494" w:type="dxa"/>
          </w:tcPr>
          <w:p w14:paraId="5CF5B17B" w14:textId="77777777" w:rsidR="00FA75AF" w:rsidRPr="00FA75AF" w:rsidRDefault="00FA75AF" w:rsidP="00FA75AF">
            <w:pPr>
              <w:autoSpaceDE w:val="0"/>
              <w:autoSpaceDN w:val="0"/>
              <w:adjustRightInd w:val="0"/>
              <w:jc w:val="both"/>
              <w:rPr>
                <w:rFonts w:ascii="Abadi" w:hAnsi="Abadi" w:cs="Calibri"/>
                <w:sz w:val="21"/>
                <w:szCs w:val="21"/>
                <w:lang w:val="es-MX" w:eastAsia="es-MX"/>
              </w:rPr>
            </w:pPr>
            <w:r w:rsidRPr="00FA75AF">
              <w:rPr>
                <w:rFonts w:ascii="Abadi" w:hAnsi="Abadi" w:cs="Calibri"/>
                <w:sz w:val="21"/>
                <w:szCs w:val="21"/>
                <w:lang w:val="es-MX" w:eastAsia="es-MX"/>
              </w:rPr>
              <w:t>El secretario del ayuntamiento de Celaya, Gto., remite respuesta</w:t>
            </w:r>
          </w:p>
          <w:p w14:paraId="58A696A5" w14:textId="77777777" w:rsidR="00FA75AF" w:rsidRPr="00FA75AF" w:rsidRDefault="00FA75AF" w:rsidP="00FA75AF">
            <w:pPr>
              <w:autoSpaceDE w:val="0"/>
              <w:autoSpaceDN w:val="0"/>
              <w:adjustRightInd w:val="0"/>
              <w:jc w:val="both"/>
              <w:rPr>
                <w:rFonts w:ascii="Abadi" w:hAnsi="Abadi" w:cs="Calibri"/>
                <w:sz w:val="21"/>
                <w:szCs w:val="21"/>
                <w:lang w:val="es-MX" w:eastAsia="es-MX"/>
              </w:rPr>
            </w:pPr>
            <w:r w:rsidRPr="00FA75AF">
              <w:rPr>
                <w:rFonts w:ascii="Abadi" w:hAnsi="Abadi" w:cs="Calibri"/>
                <w:sz w:val="21"/>
                <w:szCs w:val="21"/>
                <w:lang w:val="es-MX" w:eastAsia="es-MX"/>
              </w:rPr>
              <w:t>a la consulta de dos iniciativas: la primera, a efecto de reformar y</w:t>
            </w:r>
          </w:p>
          <w:p w14:paraId="101E1573" w14:textId="118286C5" w:rsidR="00FA75AF" w:rsidRPr="00FA75AF" w:rsidRDefault="00FA75AF" w:rsidP="00FA75AF">
            <w:pPr>
              <w:autoSpaceDE w:val="0"/>
              <w:autoSpaceDN w:val="0"/>
              <w:adjustRightInd w:val="0"/>
              <w:jc w:val="both"/>
              <w:rPr>
                <w:rFonts w:ascii="Abadi" w:hAnsi="Abadi" w:cs="Calibri"/>
                <w:sz w:val="21"/>
                <w:szCs w:val="21"/>
                <w:lang w:val="es-MX" w:eastAsia="es-MX"/>
              </w:rPr>
            </w:pPr>
            <w:r w:rsidRPr="00FA75AF">
              <w:rPr>
                <w:rFonts w:ascii="Abadi" w:hAnsi="Abadi" w:cs="Calibri"/>
                <w:sz w:val="21"/>
                <w:szCs w:val="21"/>
                <w:lang w:val="es-MX" w:eastAsia="es-MX"/>
              </w:rPr>
              <w:t>adicionar diversas disposiciones de la Constitución Política para el</w:t>
            </w:r>
            <w:r w:rsidR="003E7942">
              <w:rPr>
                <w:rFonts w:ascii="Abadi" w:hAnsi="Abadi" w:cs="Calibri"/>
                <w:sz w:val="21"/>
                <w:szCs w:val="21"/>
                <w:lang w:val="es-MX" w:eastAsia="es-MX"/>
              </w:rPr>
              <w:t xml:space="preserve"> </w:t>
            </w:r>
            <w:r w:rsidRPr="00FA75AF">
              <w:rPr>
                <w:rFonts w:ascii="Abadi" w:hAnsi="Abadi" w:cs="Calibri"/>
                <w:sz w:val="21"/>
                <w:szCs w:val="21"/>
                <w:lang w:val="es-MX" w:eastAsia="es-MX"/>
              </w:rPr>
              <w:t>Estado de Guanajuato y de la Ley Orgánica Municipal para el</w:t>
            </w:r>
          </w:p>
          <w:p w14:paraId="2A74B5CF" w14:textId="2C60B489" w:rsidR="00FA75AF" w:rsidRPr="00FA75AF" w:rsidRDefault="00FA75AF" w:rsidP="00FA75AF">
            <w:pPr>
              <w:autoSpaceDE w:val="0"/>
              <w:autoSpaceDN w:val="0"/>
              <w:adjustRightInd w:val="0"/>
              <w:jc w:val="both"/>
              <w:rPr>
                <w:rFonts w:ascii="Abadi" w:hAnsi="Abadi" w:cs="Calibri"/>
                <w:sz w:val="21"/>
                <w:szCs w:val="21"/>
                <w:lang w:val="es-MX" w:eastAsia="es-MX"/>
              </w:rPr>
            </w:pPr>
            <w:r w:rsidRPr="00FA75AF">
              <w:rPr>
                <w:rFonts w:ascii="Abadi" w:hAnsi="Abadi" w:cs="Calibri"/>
                <w:sz w:val="21"/>
                <w:szCs w:val="21"/>
                <w:lang w:val="es-MX" w:eastAsia="es-MX"/>
              </w:rPr>
              <w:t>Estado de Guanajuato; y la segunda a efecto de adicionar un</w:t>
            </w:r>
            <w:r w:rsidR="003E7942">
              <w:rPr>
                <w:rFonts w:ascii="Abadi" w:hAnsi="Abadi" w:cs="Calibri"/>
                <w:sz w:val="21"/>
                <w:szCs w:val="21"/>
                <w:lang w:val="es-MX" w:eastAsia="es-MX"/>
              </w:rPr>
              <w:t xml:space="preserve"> </w:t>
            </w:r>
            <w:r w:rsidRPr="00FA75AF">
              <w:rPr>
                <w:rFonts w:ascii="Abadi" w:hAnsi="Abadi" w:cs="Calibri"/>
                <w:sz w:val="21"/>
                <w:szCs w:val="21"/>
                <w:lang w:val="es-MX" w:eastAsia="es-MX"/>
              </w:rPr>
              <w:t>artículo 11 Bis a la Ley Orgánica del Poder Ejecutivo para el Estado</w:t>
            </w:r>
            <w:r w:rsidR="002D7E8F">
              <w:rPr>
                <w:rFonts w:ascii="Abadi" w:hAnsi="Abadi" w:cs="Calibri"/>
                <w:sz w:val="21"/>
                <w:szCs w:val="21"/>
                <w:lang w:val="es-MX" w:eastAsia="es-MX"/>
              </w:rPr>
              <w:t xml:space="preserve"> </w:t>
            </w:r>
            <w:r w:rsidRPr="00FA75AF">
              <w:rPr>
                <w:rFonts w:ascii="Abadi" w:hAnsi="Abadi" w:cs="Calibri"/>
                <w:sz w:val="21"/>
                <w:szCs w:val="21"/>
                <w:lang w:val="es-MX" w:eastAsia="es-MX"/>
              </w:rPr>
              <w:t>de Guanajuato; la fracción XVI Bis al artículo 72 de la Ley Orgánica</w:t>
            </w:r>
          </w:p>
          <w:p w14:paraId="54DE5EF6" w14:textId="606D089F" w:rsidR="00FA75AF" w:rsidRPr="00FA75AF" w:rsidRDefault="00FA75AF" w:rsidP="00FA75AF">
            <w:pPr>
              <w:autoSpaceDE w:val="0"/>
              <w:autoSpaceDN w:val="0"/>
              <w:adjustRightInd w:val="0"/>
              <w:jc w:val="both"/>
              <w:rPr>
                <w:rFonts w:ascii="Abadi" w:hAnsi="Abadi" w:cs="Calibri"/>
                <w:sz w:val="21"/>
                <w:szCs w:val="21"/>
                <w:lang w:val="es-MX" w:eastAsia="es-MX"/>
              </w:rPr>
            </w:pPr>
            <w:r w:rsidRPr="00FA75AF">
              <w:rPr>
                <w:rFonts w:ascii="Abadi" w:hAnsi="Abadi" w:cs="Calibri"/>
                <w:sz w:val="21"/>
                <w:szCs w:val="21"/>
                <w:lang w:val="es-MX" w:eastAsia="es-MX"/>
              </w:rPr>
              <w:t>del Poder Legislativo del Estado de Guanajuato; la fracción LIII Bis</w:t>
            </w:r>
            <w:r w:rsidR="002D7E8F">
              <w:rPr>
                <w:rFonts w:ascii="Abadi" w:hAnsi="Abadi" w:cs="Calibri"/>
                <w:sz w:val="21"/>
                <w:szCs w:val="21"/>
                <w:lang w:val="es-MX" w:eastAsia="es-MX"/>
              </w:rPr>
              <w:t xml:space="preserve"> </w:t>
            </w:r>
            <w:r w:rsidRPr="00FA75AF">
              <w:rPr>
                <w:rFonts w:ascii="Abadi" w:hAnsi="Abadi" w:cs="Calibri"/>
                <w:sz w:val="21"/>
                <w:szCs w:val="21"/>
                <w:lang w:val="es-MX" w:eastAsia="es-MX"/>
              </w:rPr>
              <w:t>al artículo 28 de la Ley Orgánica del Poder Judicial del Estado de</w:t>
            </w:r>
            <w:r w:rsidR="002D7E8F">
              <w:rPr>
                <w:rFonts w:ascii="Abadi" w:hAnsi="Abadi" w:cs="Calibri"/>
                <w:sz w:val="21"/>
                <w:szCs w:val="21"/>
                <w:lang w:val="es-MX" w:eastAsia="es-MX"/>
              </w:rPr>
              <w:t xml:space="preserve"> </w:t>
            </w:r>
            <w:r w:rsidRPr="00FA75AF">
              <w:rPr>
                <w:rFonts w:ascii="Abadi" w:hAnsi="Abadi" w:cs="Calibri"/>
                <w:sz w:val="21"/>
                <w:szCs w:val="21"/>
                <w:lang w:val="es-MX" w:eastAsia="es-MX"/>
              </w:rPr>
              <w:t>Guanajuato; y un segundo párrafo del inciso L, fracción I del</w:t>
            </w:r>
          </w:p>
          <w:p w14:paraId="71EDE12D" w14:textId="77777777" w:rsidR="00FA75AF" w:rsidRPr="00FA75AF" w:rsidRDefault="00FA75AF" w:rsidP="00FA75AF">
            <w:pPr>
              <w:autoSpaceDE w:val="0"/>
              <w:autoSpaceDN w:val="0"/>
              <w:adjustRightInd w:val="0"/>
              <w:jc w:val="both"/>
              <w:rPr>
                <w:rFonts w:ascii="Abadi" w:hAnsi="Abadi" w:cs="Calibri"/>
                <w:sz w:val="21"/>
                <w:szCs w:val="21"/>
                <w:lang w:val="es-MX" w:eastAsia="es-MX"/>
              </w:rPr>
            </w:pPr>
            <w:r w:rsidRPr="00FA75AF">
              <w:rPr>
                <w:rFonts w:ascii="Abadi" w:hAnsi="Abadi" w:cs="Calibri"/>
                <w:sz w:val="21"/>
                <w:szCs w:val="21"/>
                <w:lang w:val="es-MX" w:eastAsia="es-MX"/>
              </w:rPr>
              <w:t>artículo 76 de la Ley Orgánica Municipal para el Estado de</w:t>
            </w:r>
          </w:p>
          <w:p w14:paraId="2AE98788" w14:textId="4DE47C13" w:rsidR="004E6C29" w:rsidRPr="00AD1F76" w:rsidRDefault="00FA75AF" w:rsidP="00FA75AF">
            <w:pPr>
              <w:jc w:val="both"/>
              <w:rPr>
                <w:rFonts w:ascii="Abadi" w:hAnsi="Abadi" w:cs="Calibri"/>
                <w:sz w:val="21"/>
                <w:szCs w:val="21"/>
                <w:lang w:val="es-MX" w:eastAsia="es-MX"/>
              </w:rPr>
            </w:pPr>
            <w:r w:rsidRPr="00FA75AF">
              <w:rPr>
                <w:rFonts w:ascii="Abadi" w:hAnsi="Abadi" w:cs="Calibri"/>
                <w:sz w:val="21"/>
                <w:szCs w:val="21"/>
                <w:lang w:val="es-MX" w:eastAsia="es-MX"/>
              </w:rPr>
              <w:t>Guanajuato.</w:t>
            </w:r>
          </w:p>
        </w:tc>
        <w:tc>
          <w:tcPr>
            <w:tcW w:w="1886" w:type="dxa"/>
          </w:tcPr>
          <w:p w14:paraId="07249A2C" w14:textId="77777777" w:rsidR="00FA75AF" w:rsidRPr="00FA75AF" w:rsidRDefault="00FA75AF" w:rsidP="00FA75AF">
            <w:pPr>
              <w:autoSpaceDE w:val="0"/>
              <w:autoSpaceDN w:val="0"/>
              <w:adjustRightInd w:val="0"/>
              <w:jc w:val="both"/>
              <w:rPr>
                <w:rFonts w:ascii="Abadi" w:hAnsi="Abadi" w:cs="Calibri"/>
                <w:b/>
                <w:bCs/>
                <w:sz w:val="21"/>
                <w:szCs w:val="21"/>
                <w:lang w:val="es-MX" w:eastAsia="es-MX"/>
              </w:rPr>
            </w:pPr>
            <w:r w:rsidRPr="00FA75AF">
              <w:rPr>
                <w:rFonts w:ascii="Abadi" w:hAnsi="Abadi" w:cs="Calibri"/>
                <w:b/>
                <w:bCs/>
                <w:sz w:val="21"/>
                <w:szCs w:val="21"/>
                <w:lang w:val="es-MX" w:eastAsia="es-MX"/>
              </w:rPr>
              <w:t>Enterados y se informa que se turnaron</w:t>
            </w:r>
          </w:p>
          <w:p w14:paraId="223B35E5" w14:textId="77777777" w:rsidR="00FA75AF" w:rsidRPr="00FA75AF" w:rsidRDefault="00FA75AF" w:rsidP="00FA75AF">
            <w:pPr>
              <w:autoSpaceDE w:val="0"/>
              <w:autoSpaceDN w:val="0"/>
              <w:adjustRightInd w:val="0"/>
              <w:jc w:val="both"/>
              <w:rPr>
                <w:rFonts w:ascii="Abadi" w:hAnsi="Abadi" w:cs="Calibri"/>
                <w:b/>
                <w:bCs/>
                <w:sz w:val="21"/>
                <w:szCs w:val="21"/>
                <w:lang w:val="es-MX" w:eastAsia="es-MX"/>
              </w:rPr>
            </w:pPr>
            <w:r w:rsidRPr="00FA75AF">
              <w:rPr>
                <w:rFonts w:ascii="Abadi" w:hAnsi="Abadi" w:cs="Calibri"/>
                <w:b/>
                <w:bCs/>
                <w:sz w:val="21"/>
                <w:szCs w:val="21"/>
                <w:lang w:val="es-MX" w:eastAsia="es-MX"/>
              </w:rPr>
              <w:t>a las comisiones de Gobernación y</w:t>
            </w:r>
          </w:p>
          <w:p w14:paraId="548F569A" w14:textId="77777777" w:rsidR="00FA75AF" w:rsidRPr="00FA75AF" w:rsidRDefault="00FA75AF" w:rsidP="00FA75AF">
            <w:pPr>
              <w:autoSpaceDE w:val="0"/>
              <w:autoSpaceDN w:val="0"/>
              <w:adjustRightInd w:val="0"/>
              <w:jc w:val="both"/>
              <w:rPr>
                <w:rFonts w:ascii="Abadi" w:hAnsi="Abadi" w:cs="Calibri"/>
                <w:b/>
                <w:bCs/>
                <w:sz w:val="21"/>
                <w:szCs w:val="21"/>
                <w:lang w:val="es-MX" w:eastAsia="es-MX"/>
              </w:rPr>
            </w:pPr>
            <w:r w:rsidRPr="00FA75AF">
              <w:rPr>
                <w:rFonts w:ascii="Abadi" w:hAnsi="Abadi" w:cs="Calibri"/>
                <w:b/>
                <w:bCs/>
                <w:sz w:val="21"/>
                <w:szCs w:val="21"/>
                <w:lang w:val="es-MX" w:eastAsia="es-MX"/>
              </w:rPr>
              <w:t>Puntos Constitucionales y de Asuntos</w:t>
            </w:r>
          </w:p>
          <w:p w14:paraId="5C0130F7" w14:textId="19FA2591" w:rsidR="004E6C29" w:rsidRPr="00FA75AF" w:rsidRDefault="00FA75AF" w:rsidP="00FA75AF">
            <w:pPr>
              <w:jc w:val="both"/>
              <w:rPr>
                <w:rFonts w:ascii="Abadi" w:hAnsi="Abadi" w:cs="Calibri"/>
                <w:sz w:val="21"/>
                <w:szCs w:val="21"/>
                <w:lang w:val="es-MX" w:eastAsia="es-MX"/>
              </w:rPr>
            </w:pPr>
            <w:r w:rsidRPr="00FA75AF">
              <w:rPr>
                <w:rFonts w:ascii="Abadi" w:hAnsi="Abadi" w:cs="Calibri"/>
                <w:b/>
                <w:bCs/>
                <w:sz w:val="21"/>
                <w:szCs w:val="21"/>
                <w:lang w:val="es-MX" w:eastAsia="es-MX"/>
              </w:rPr>
              <w:t>Municipales.</w:t>
            </w:r>
          </w:p>
        </w:tc>
      </w:tr>
      <w:tr w:rsidR="004E6C29" w:rsidRPr="008429AF" w14:paraId="77E2BFC0" w14:textId="77777777" w:rsidTr="00724EA0">
        <w:tc>
          <w:tcPr>
            <w:tcW w:w="2494" w:type="dxa"/>
          </w:tcPr>
          <w:p w14:paraId="0842E79B" w14:textId="77777777" w:rsidR="00873ADD" w:rsidRPr="00873ADD" w:rsidRDefault="00873ADD" w:rsidP="00873ADD">
            <w:pPr>
              <w:autoSpaceDE w:val="0"/>
              <w:autoSpaceDN w:val="0"/>
              <w:adjustRightInd w:val="0"/>
              <w:jc w:val="both"/>
              <w:rPr>
                <w:rFonts w:ascii="Abadi" w:hAnsi="Abadi" w:cs="Calibri"/>
                <w:sz w:val="21"/>
                <w:szCs w:val="21"/>
                <w:lang w:val="es-MX" w:eastAsia="es-MX"/>
              </w:rPr>
            </w:pPr>
            <w:r w:rsidRPr="00873ADD">
              <w:rPr>
                <w:rFonts w:ascii="Abadi" w:hAnsi="Abadi" w:cs="Calibri"/>
                <w:sz w:val="21"/>
                <w:szCs w:val="21"/>
                <w:lang w:val="es-MX" w:eastAsia="es-MX"/>
              </w:rPr>
              <w:t>El secretario del ayuntamiento de Celaya, Gto., remite respuesta</w:t>
            </w:r>
          </w:p>
          <w:p w14:paraId="09BBEC45" w14:textId="77777777" w:rsidR="00873ADD" w:rsidRPr="00873ADD" w:rsidRDefault="00873ADD" w:rsidP="00873ADD">
            <w:pPr>
              <w:autoSpaceDE w:val="0"/>
              <w:autoSpaceDN w:val="0"/>
              <w:adjustRightInd w:val="0"/>
              <w:jc w:val="both"/>
              <w:rPr>
                <w:rFonts w:ascii="Abadi" w:hAnsi="Abadi" w:cs="Calibri"/>
                <w:sz w:val="21"/>
                <w:szCs w:val="21"/>
                <w:lang w:val="es-MX" w:eastAsia="es-MX"/>
              </w:rPr>
            </w:pPr>
            <w:r w:rsidRPr="00873ADD">
              <w:rPr>
                <w:rFonts w:ascii="Abadi" w:hAnsi="Abadi" w:cs="Calibri"/>
                <w:sz w:val="21"/>
                <w:szCs w:val="21"/>
                <w:lang w:val="es-MX" w:eastAsia="es-MX"/>
              </w:rPr>
              <w:t>a la consulta de la iniciativa a efecto de adicionar un artículo 168-</w:t>
            </w:r>
          </w:p>
          <w:p w14:paraId="0963C712" w14:textId="77777777" w:rsidR="00873ADD" w:rsidRPr="00873ADD" w:rsidRDefault="00873ADD" w:rsidP="00873ADD">
            <w:pPr>
              <w:autoSpaceDE w:val="0"/>
              <w:autoSpaceDN w:val="0"/>
              <w:adjustRightInd w:val="0"/>
              <w:jc w:val="both"/>
              <w:rPr>
                <w:rFonts w:ascii="Abadi" w:hAnsi="Abadi" w:cs="Calibri"/>
                <w:sz w:val="21"/>
                <w:szCs w:val="21"/>
                <w:lang w:val="es-MX" w:eastAsia="es-MX"/>
              </w:rPr>
            </w:pPr>
            <w:r w:rsidRPr="00873ADD">
              <w:rPr>
                <w:rFonts w:ascii="Abadi" w:hAnsi="Abadi" w:cs="Calibri"/>
                <w:sz w:val="21"/>
                <w:szCs w:val="21"/>
                <w:lang w:val="es-MX" w:eastAsia="es-MX"/>
              </w:rPr>
              <w:t>a, al Código Penal del Estado de Guanajuato, y derogar el artículo</w:t>
            </w:r>
          </w:p>
          <w:p w14:paraId="53D8B343" w14:textId="77777777" w:rsidR="00873ADD" w:rsidRPr="00873ADD" w:rsidRDefault="00873ADD" w:rsidP="00873ADD">
            <w:pPr>
              <w:autoSpaceDE w:val="0"/>
              <w:autoSpaceDN w:val="0"/>
              <w:adjustRightInd w:val="0"/>
              <w:jc w:val="both"/>
              <w:rPr>
                <w:rFonts w:ascii="Abadi" w:hAnsi="Abadi" w:cs="Calibri"/>
                <w:sz w:val="21"/>
                <w:szCs w:val="21"/>
                <w:lang w:val="es-MX" w:eastAsia="es-MX"/>
              </w:rPr>
            </w:pPr>
            <w:r w:rsidRPr="00873ADD">
              <w:rPr>
                <w:rFonts w:ascii="Abadi" w:hAnsi="Abadi" w:cs="Calibri"/>
                <w:sz w:val="21"/>
                <w:szCs w:val="21"/>
                <w:lang w:val="es-MX" w:eastAsia="es-MX"/>
              </w:rPr>
              <w:t>257 de la Ley de Movilidad del Estado de Guanajuato y sus</w:t>
            </w:r>
          </w:p>
          <w:p w14:paraId="58863037" w14:textId="3B61F43F" w:rsidR="004E6C29" w:rsidRPr="005144E6" w:rsidRDefault="00873ADD" w:rsidP="00873ADD">
            <w:pPr>
              <w:autoSpaceDE w:val="0"/>
              <w:autoSpaceDN w:val="0"/>
              <w:adjustRightInd w:val="0"/>
              <w:jc w:val="both"/>
              <w:rPr>
                <w:rFonts w:ascii="Abadi" w:hAnsi="Abadi" w:cs="Calibri"/>
                <w:sz w:val="21"/>
                <w:szCs w:val="21"/>
                <w:lang w:val="es-MX" w:eastAsia="es-MX"/>
              </w:rPr>
            </w:pPr>
            <w:r w:rsidRPr="00873ADD">
              <w:rPr>
                <w:rFonts w:ascii="Abadi" w:hAnsi="Abadi" w:cs="Calibri"/>
                <w:sz w:val="21"/>
                <w:szCs w:val="21"/>
                <w:lang w:val="es-MX" w:eastAsia="es-MX"/>
              </w:rPr>
              <w:t>Municipios.</w:t>
            </w:r>
          </w:p>
        </w:tc>
        <w:tc>
          <w:tcPr>
            <w:tcW w:w="1886" w:type="dxa"/>
          </w:tcPr>
          <w:p w14:paraId="5FEB8B3B" w14:textId="77777777" w:rsidR="00873ADD" w:rsidRPr="00873ADD" w:rsidRDefault="00873ADD" w:rsidP="00873ADD">
            <w:pPr>
              <w:autoSpaceDE w:val="0"/>
              <w:autoSpaceDN w:val="0"/>
              <w:adjustRightInd w:val="0"/>
              <w:jc w:val="both"/>
              <w:rPr>
                <w:rFonts w:ascii="Abadi" w:hAnsi="Abadi" w:cs="Calibri"/>
                <w:b/>
                <w:bCs/>
                <w:sz w:val="21"/>
                <w:szCs w:val="21"/>
                <w:lang w:val="es-MX" w:eastAsia="es-MX"/>
              </w:rPr>
            </w:pPr>
            <w:r w:rsidRPr="00873ADD">
              <w:rPr>
                <w:rFonts w:ascii="Abadi" w:hAnsi="Abadi" w:cs="Calibri"/>
                <w:b/>
                <w:bCs/>
                <w:sz w:val="21"/>
                <w:szCs w:val="21"/>
                <w:lang w:val="es-MX" w:eastAsia="es-MX"/>
              </w:rPr>
              <w:t>Enterados y se informa que se turnó a</w:t>
            </w:r>
          </w:p>
          <w:p w14:paraId="6A493F68" w14:textId="77777777" w:rsidR="00873ADD" w:rsidRPr="00873ADD" w:rsidRDefault="00873ADD" w:rsidP="00873ADD">
            <w:pPr>
              <w:autoSpaceDE w:val="0"/>
              <w:autoSpaceDN w:val="0"/>
              <w:adjustRightInd w:val="0"/>
              <w:jc w:val="both"/>
              <w:rPr>
                <w:rFonts w:ascii="Abadi" w:hAnsi="Abadi" w:cs="Calibri"/>
                <w:b/>
                <w:bCs/>
                <w:sz w:val="21"/>
                <w:szCs w:val="21"/>
                <w:lang w:val="es-MX" w:eastAsia="es-MX"/>
              </w:rPr>
            </w:pPr>
            <w:r w:rsidRPr="00873ADD">
              <w:rPr>
                <w:rFonts w:ascii="Abadi" w:hAnsi="Abadi" w:cs="Calibri"/>
                <w:b/>
                <w:bCs/>
                <w:sz w:val="21"/>
                <w:szCs w:val="21"/>
                <w:lang w:val="es-MX" w:eastAsia="es-MX"/>
              </w:rPr>
              <w:t>las comisiones de Justicia y de</w:t>
            </w:r>
          </w:p>
          <w:p w14:paraId="2EF4941C" w14:textId="171264FB" w:rsidR="004E6C29" w:rsidRPr="00873ADD" w:rsidRDefault="00873ADD" w:rsidP="00873ADD">
            <w:pPr>
              <w:autoSpaceDE w:val="0"/>
              <w:autoSpaceDN w:val="0"/>
              <w:adjustRightInd w:val="0"/>
              <w:jc w:val="both"/>
              <w:rPr>
                <w:rFonts w:ascii="Abadi" w:hAnsi="Abadi" w:cs="Calibri"/>
                <w:sz w:val="21"/>
                <w:szCs w:val="21"/>
                <w:lang w:val="es-MX" w:eastAsia="es-MX"/>
              </w:rPr>
            </w:pPr>
            <w:r w:rsidRPr="00873ADD">
              <w:rPr>
                <w:rFonts w:ascii="Abadi" w:hAnsi="Abadi" w:cs="Calibri"/>
                <w:b/>
                <w:bCs/>
                <w:sz w:val="21"/>
                <w:szCs w:val="21"/>
                <w:lang w:val="es-MX" w:eastAsia="es-MX"/>
              </w:rPr>
              <w:t>Seguridad Pública y Comunicaciones.</w:t>
            </w:r>
          </w:p>
        </w:tc>
      </w:tr>
      <w:tr w:rsidR="004E6C29" w:rsidRPr="008429AF" w14:paraId="7CBA875A" w14:textId="77777777" w:rsidTr="00724EA0">
        <w:tc>
          <w:tcPr>
            <w:tcW w:w="2494" w:type="dxa"/>
          </w:tcPr>
          <w:p w14:paraId="34EE9197" w14:textId="77777777" w:rsidR="00AB5FC6" w:rsidRPr="00AB5FC6"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Copia marcada al Congreso del Estado del escrito suscrito por el</w:t>
            </w:r>
          </w:p>
          <w:p w14:paraId="3F540F91" w14:textId="77777777" w:rsidR="00AB5FC6" w:rsidRPr="00AB5FC6"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secretario de Seguridad, Prevención y Protección Ciudadana de</w:t>
            </w:r>
          </w:p>
          <w:p w14:paraId="16E612FB" w14:textId="77777777" w:rsidR="00AB5FC6" w:rsidRPr="00AB5FC6"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León, Gto., dirigido al director general del Instituto de Planeación,</w:t>
            </w:r>
          </w:p>
          <w:p w14:paraId="3B8E30C9" w14:textId="631F2DF7" w:rsidR="00AB5FC6" w:rsidRPr="00AB5FC6"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Estadística y Geografía del Estado de Guanajuato, mediante el cual</w:t>
            </w:r>
            <w:r w:rsidR="002D7E8F">
              <w:rPr>
                <w:rFonts w:ascii="Abadi" w:hAnsi="Abadi" w:cs="Calibri"/>
                <w:sz w:val="21"/>
                <w:szCs w:val="21"/>
                <w:lang w:val="es-MX" w:eastAsia="es-MX"/>
              </w:rPr>
              <w:t xml:space="preserve"> </w:t>
            </w:r>
            <w:r w:rsidRPr="00AB5FC6">
              <w:rPr>
                <w:rFonts w:ascii="Abadi" w:hAnsi="Abadi" w:cs="Calibri"/>
                <w:sz w:val="21"/>
                <w:szCs w:val="21"/>
                <w:lang w:val="es-MX" w:eastAsia="es-MX"/>
              </w:rPr>
              <w:t>le remite el acuerdo aprobado por esta Legislatura, en el que se</w:t>
            </w:r>
          </w:p>
          <w:p w14:paraId="58F27033" w14:textId="77777777" w:rsidR="00AB5FC6" w:rsidRPr="00AB5FC6"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exhorta a los 46 ayuntamientos para que elaboren, aprueben y</w:t>
            </w:r>
          </w:p>
          <w:p w14:paraId="67C744EB" w14:textId="77777777" w:rsidR="00AB5FC6" w:rsidRPr="00AB5FC6"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publiquen su Programa Municipal de la Seguridad Pública y de la</w:t>
            </w:r>
          </w:p>
          <w:p w14:paraId="755FDBC4" w14:textId="5D55A381" w:rsidR="00AB5FC6" w:rsidRPr="00AB5FC6"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Prevención Social de la Violencia y la Delincuencia, los remitan al</w:t>
            </w:r>
            <w:r w:rsidR="003E7942">
              <w:rPr>
                <w:rFonts w:ascii="Abadi" w:hAnsi="Abadi" w:cs="Calibri"/>
                <w:sz w:val="21"/>
                <w:szCs w:val="21"/>
                <w:lang w:val="es-MX" w:eastAsia="es-MX"/>
              </w:rPr>
              <w:t xml:space="preserve"> </w:t>
            </w:r>
            <w:r w:rsidRPr="00AB5FC6">
              <w:rPr>
                <w:rFonts w:ascii="Abadi" w:hAnsi="Abadi" w:cs="Calibri"/>
                <w:sz w:val="21"/>
                <w:szCs w:val="21"/>
                <w:lang w:val="es-MX" w:eastAsia="es-MX"/>
              </w:rPr>
              <w:t>Sistema Estatal de Información Estadística y Geográfica, y se</w:t>
            </w:r>
          </w:p>
          <w:p w14:paraId="797EE077" w14:textId="77777777" w:rsidR="00AB5FC6" w:rsidRPr="00AB5FC6"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integren las comisiones municipales de Prevención Social de la</w:t>
            </w:r>
          </w:p>
          <w:p w14:paraId="487827AE" w14:textId="06165D5C" w:rsidR="00AB5FC6" w:rsidRPr="00AB5FC6"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Violencia y la Delincuencia, así como los Consejos de Consulta y</w:t>
            </w:r>
            <w:r w:rsidR="003E7942">
              <w:rPr>
                <w:rFonts w:ascii="Abadi" w:hAnsi="Abadi" w:cs="Calibri"/>
                <w:sz w:val="21"/>
                <w:szCs w:val="21"/>
                <w:lang w:val="es-MX" w:eastAsia="es-MX"/>
              </w:rPr>
              <w:t xml:space="preserve"> </w:t>
            </w:r>
            <w:r w:rsidR="002D7E8F">
              <w:rPr>
                <w:rFonts w:ascii="Abadi" w:hAnsi="Abadi" w:cs="Calibri"/>
                <w:sz w:val="21"/>
                <w:szCs w:val="21"/>
                <w:lang w:val="es-MX" w:eastAsia="es-MX"/>
              </w:rPr>
              <w:t xml:space="preserve"> </w:t>
            </w:r>
            <w:r w:rsidRPr="00AB5FC6">
              <w:rPr>
                <w:rFonts w:ascii="Abadi" w:hAnsi="Abadi" w:cs="Calibri"/>
                <w:sz w:val="21"/>
                <w:szCs w:val="21"/>
                <w:lang w:val="es-MX" w:eastAsia="es-MX"/>
              </w:rPr>
              <w:t>Participación Ciudadana, establecidos en la Ley para la Prevención</w:t>
            </w:r>
            <w:r w:rsidR="002D7E8F">
              <w:rPr>
                <w:rFonts w:ascii="Abadi" w:hAnsi="Abadi" w:cs="Calibri"/>
                <w:sz w:val="21"/>
                <w:szCs w:val="21"/>
                <w:lang w:val="es-MX" w:eastAsia="es-MX"/>
              </w:rPr>
              <w:t xml:space="preserve"> </w:t>
            </w:r>
            <w:r w:rsidRPr="00AB5FC6">
              <w:rPr>
                <w:rFonts w:ascii="Abadi" w:hAnsi="Abadi" w:cs="Calibri"/>
                <w:sz w:val="21"/>
                <w:szCs w:val="21"/>
                <w:lang w:val="es-MX" w:eastAsia="es-MX"/>
              </w:rPr>
              <w:t>Social de la Violencia y la Delincuencia del Estado de Guanajuato y</w:t>
            </w:r>
          </w:p>
          <w:p w14:paraId="6B1AF141" w14:textId="77777777" w:rsidR="004E6C29" w:rsidRDefault="00AB5FC6" w:rsidP="0049650A">
            <w:pPr>
              <w:autoSpaceDE w:val="0"/>
              <w:autoSpaceDN w:val="0"/>
              <w:adjustRightInd w:val="0"/>
              <w:jc w:val="both"/>
              <w:rPr>
                <w:rFonts w:ascii="Abadi" w:hAnsi="Abadi" w:cs="Calibri"/>
                <w:sz w:val="21"/>
                <w:szCs w:val="21"/>
                <w:lang w:val="es-MX" w:eastAsia="es-MX"/>
              </w:rPr>
            </w:pPr>
            <w:r w:rsidRPr="00AB5FC6">
              <w:rPr>
                <w:rFonts w:ascii="Abadi" w:hAnsi="Abadi" w:cs="Calibri"/>
                <w:sz w:val="21"/>
                <w:szCs w:val="21"/>
                <w:lang w:val="es-MX" w:eastAsia="es-MX"/>
              </w:rPr>
              <w:t>sus Municipios.</w:t>
            </w:r>
          </w:p>
          <w:p w14:paraId="18C59CD3" w14:textId="77777777" w:rsidR="0049650A" w:rsidRDefault="0049650A" w:rsidP="0049650A">
            <w:pPr>
              <w:autoSpaceDE w:val="0"/>
              <w:autoSpaceDN w:val="0"/>
              <w:adjustRightInd w:val="0"/>
              <w:jc w:val="both"/>
              <w:rPr>
                <w:rFonts w:ascii="Abadi" w:hAnsi="Abadi" w:cs="Calibri"/>
                <w:sz w:val="21"/>
                <w:szCs w:val="21"/>
                <w:lang w:val="es-MX" w:eastAsia="es-MX"/>
              </w:rPr>
            </w:pPr>
          </w:p>
          <w:p w14:paraId="48D9331A" w14:textId="77777777" w:rsidR="0049650A" w:rsidRDefault="0049650A" w:rsidP="0049650A">
            <w:pPr>
              <w:autoSpaceDE w:val="0"/>
              <w:autoSpaceDN w:val="0"/>
              <w:adjustRightInd w:val="0"/>
              <w:jc w:val="both"/>
              <w:rPr>
                <w:rFonts w:ascii="Abadi" w:hAnsi="Abadi" w:cs="Calibri"/>
                <w:sz w:val="21"/>
                <w:szCs w:val="21"/>
                <w:lang w:val="es-MX" w:eastAsia="es-MX"/>
              </w:rPr>
            </w:pPr>
          </w:p>
          <w:p w14:paraId="1C33FB49"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El secretario del ayuntamiento de Jaral del Progreso, Gto., remite</w:t>
            </w:r>
          </w:p>
          <w:p w14:paraId="113BD924"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respuesta a dos acuerdos aprobados por esta Legislatura: el</w:t>
            </w:r>
          </w:p>
          <w:p w14:paraId="400607B4"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primero, en el que se exhorta a los 46 ayuntamientos del Estado</w:t>
            </w:r>
          </w:p>
          <w:p w14:paraId="42626520"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de Guanajuato, a la Secretaría de Seguridad Pública del Estado de</w:t>
            </w:r>
          </w:p>
          <w:p w14:paraId="53CE4335"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Guanajuato y a la Secretaría de Seguridad y Protección Ciudadana</w:t>
            </w:r>
          </w:p>
          <w:p w14:paraId="2AF52624"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para intensificar las medidas con perspectiva de género en las</w:t>
            </w:r>
          </w:p>
          <w:p w14:paraId="19C4FD69"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instituciones policiacas; así como garantizar condiciones</w:t>
            </w:r>
          </w:p>
          <w:p w14:paraId="1B7A9105" w14:textId="198D79BE"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equitativas para el reclutamiento, selección, ingreso,</w:t>
            </w:r>
            <w:r w:rsidR="002D7E8F">
              <w:rPr>
                <w:rFonts w:ascii="Abadi" w:hAnsi="Abadi" w:cs="Calibri"/>
                <w:sz w:val="21"/>
                <w:szCs w:val="21"/>
                <w:lang w:val="es-MX" w:eastAsia="es-MX"/>
              </w:rPr>
              <w:t xml:space="preserve"> </w:t>
            </w:r>
            <w:r w:rsidRPr="0049650A">
              <w:rPr>
                <w:rFonts w:ascii="Abadi" w:hAnsi="Abadi" w:cs="Calibri"/>
                <w:sz w:val="21"/>
                <w:szCs w:val="21"/>
                <w:lang w:val="es-MX" w:eastAsia="es-MX"/>
              </w:rPr>
              <w:t>contratación, ascenso, formación, certificación, permanencia,</w:t>
            </w:r>
          </w:p>
          <w:p w14:paraId="481A3A38"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evaluación, promoción, reconocimiento y el máximo desarrollo</w:t>
            </w:r>
          </w:p>
          <w:p w14:paraId="3138422C"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profesional de mujeres policías y contribuir a la disminución, y</w:t>
            </w:r>
          </w:p>
          <w:p w14:paraId="564F64EE"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eventual erradicación de la violencia cometida en contra de las</w:t>
            </w:r>
          </w:p>
          <w:p w14:paraId="14B984E5" w14:textId="77777777" w:rsidR="0049650A" w:rsidRPr="0049650A"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mujeres policías; y el segundo, en el que se exhorta a los 46 ayuntamientos del Estado para que aprueben su programa de</w:t>
            </w:r>
          </w:p>
          <w:p w14:paraId="53FE9330" w14:textId="2C2C00B0" w:rsidR="0049650A" w:rsidRPr="001D4715" w:rsidRDefault="0049650A" w:rsidP="0049650A">
            <w:pPr>
              <w:autoSpaceDE w:val="0"/>
              <w:autoSpaceDN w:val="0"/>
              <w:adjustRightInd w:val="0"/>
              <w:jc w:val="both"/>
              <w:rPr>
                <w:rFonts w:ascii="Abadi" w:hAnsi="Abadi" w:cs="Calibri"/>
                <w:sz w:val="21"/>
                <w:szCs w:val="21"/>
                <w:lang w:val="es-MX" w:eastAsia="es-MX"/>
              </w:rPr>
            </w:pPr>
            <w:r w:rsidRPr="0049650A">
              <w:rPr>
                <w:rFonts w:ascii="Abadi" w:hAnsi="Abadi" w:cs="Calibri"/>
                <w:sz w:val="21"/>
                <w:szCs w:val="21"/>
                <w:lang w:val="es-MX" w:eastAsia="es-MX"/>
              </w:rPr>
              <w:t>gobierno.</w:t>
            </w:r>
          </w:p>
        </w:tc>
        <w:tc>
          <w:tcPr>
            <w:tcW w:w="1886" w:type="dxa"/>
          </w:tcPr>
          <w:p w14:paraId="68616DB4" w14:textId="3C173917" w:rsidR="004E6C29" w:rsidRPr="00AB5FC6" w:rsidRDefault="00AB5FC6" w:rsidP="00AB5FC6">
            <w:pPr>
              <w:autoSpaceDE w:val="0"/>
              <w:autoSpaceDN w:val="0"/>
              <w:adjustRightInd w:val="0"/>
              <w:jc w:val="both"/>
              <w:rPr>
                <w:rFonts w:ascii="Abadi" w:hAnsi="Abadi" w:cs="Calibri"/>
                <w:b/>
                <w:bCs/>
                <w:sz w:val="21"/>
                <w:szCs w:val="21"/>
                <w:lang w:val="es-MX" w:eastAsia="es-MX"/>
              </w:rPr>
            </w:pPr>
            <w:r w:rsidRPr="00AB5FC6">
              <w:rPr>
                <w:rFonts w:ascii="Abadi" w:hAnsi="Abadi" w:cs="Calibri"/>
                <w:b/>
                <w:bCs/>
                <w:sz w:val="21"/>
                <w:szCs w:val="21"/>
                <w:lang w:val="es-MX" w:eastAsia="es-MX"/>
              </w:rPr>
              <w:t>Enterados.</w:t>
            </w:r>
          </w:p>
        </w:tc>
      </w:tr>
      <w:tr w:rsidR="004E6C29" w:rsidRPr="008429AF" w14:paraId="25EA4B6F" w14:textId="77777777" w:rsidTr="00724EA0">
        <w:tc>
          <w:tcPr>
            <w:tcW w:w="2494" w:type="dxa"/>
          </w:tcPr>
          <w:p w14:paraId="47C2A588" w14:textId="77777777" w:rsidR="00D030E4" w:rsidRPr="00D030E4" w:rsidRDefault="00D030E4" w:rsidP="00D030E4">
            <w:pPr>
              <w:autoSpaceDE w:val="0"/>
              <w:autoSpaceDN w:val="0"/>
              <w:adjustRightInd w:val="0"/>
              <w:jc w:val="both"/>
              <w:rPr>
                <w:rFonts w:ascii="Abadi" w:hAnsi="Abadi" w:cs="Calibri"/>
                <w:sz w:val="21"/>
                <w:szCs w:val="21"/>
                <w:lang w:val="es-MX" w:eastAsia="es-MX"/>
              </w:rPr>
            </w:pPr>
            <w:r w:rsidRPr="00D030E4">
              <w:rPr>
                <w:rFonts w:ascii="Abadi" w:hAnsi="Abadi" w:cs="Calibri"/>
                <w:sz w:val="21"/>
                <w:szCs w:val="21"/>
                <w:lang w:val="es-MX" w:eastAsia="es-MX"/>
              </w:rPr>
              <w:t>Los secretarios de los ayuntamientos de Jaral del Progreso y San</w:t>
            </w:r>
          </w:p>
          <w:p w14:paraId="11552967" w14:textId="77777777" w:rsidR="00D030E4" w:rsidRPr="00D030E4" w:rsidRDefault="00D030E4" w:rsidP="00D030E4">
            <w:pPr>
              <w:autoSpaceDE w:val="0"/>
              <w:autoSpaceDN w:val="0"/>
              <w:adjustRightInd w:val="0"/>
              <w:jc w:val="both"/>
              <w:rPr>
                <w:rFonts w:ascii="Abadi" w:hAnsi="Abadi" w:cs="Calibri"/>
                <w:sz w:val="21"/>
                <w:szCs w:val="21"/>
                <w:lang w:val="es-MX" w:eastAsia="es-MX"/>
              </w:rPr>
            </w:pPr>
            <w:r w:rsidRPr="00D030E4">
              <w:rPr>
                <w:rFonts w:ascii="Abadi" w:hAnsi="Abadi" w:cs="Calibri"/>
                <w:sz w:val="21"/>
                <w:szCs w:val="21"/>
                <w:lang w:val="es-MX" w:eastAsia="es-MX"/>
              </w:rPr>
              <w:t>Luis de la Paz remiten respuesta a la consulta de la iniciativa que</w:t>
            </w:r>
          </w:p>
          <w:p w14:paraId="0B22037A" w14:textId="77777777" w:rsidR="00D030E4" w:rsidRPr="00D030E4" w:rsidRDefault="00D030E4" w:rsidP="00D030E4">
            <w:pPr>
              <w:autoSpaceDE w:val="0"/>
              <w:autoSpaceDN w:val="0"/>
              <w:adjustRightInd w:val="0"/>
              <w:jc w:val="both"/>
              <w:rPr>
                <w:rFonts w:ascii="Abadi" w:hAnsi="Abadi" w:cs="Calibri"/>
                <w:sz w:val="21"/>
                <w:szCs w:val="21"/>
                <w:lang w:val="es-MX" w:eastAsia="es-MX"/>
              </w:rPr>
            </w:pPr>
            <w:r w:rsidRPr="00D030E4">
              <w:rPr>
                <w:rFonts w:ascii="Abadi" w:hAnsi="Abadi" w:cs="Calibri"/>
                <w:sz w:val="21"/>
                <w:szCs w:val="21"/>
                <w:lang w:val="es-MX" w:eastAsia="es-MX"/>
              </w:rPr>
              <w:t>adiciona un artículo 168-a al Código Penal del Estado de</w:t>
            </w:r>
          </w:p>
          <w:p w14:paraId="32EC157F" w14:textId="77777777" w:rsidR="00D030E4" w:rsidRPr="00D030E4" w:rsidRDefault="00D030E4" w:rsidP="00D030E4">
            <w:pPr>
              <w:autoSpaceDE w:val="0"/>
              <w:autoSpaceDN w:val="0"/>
              <w:adjustRightInd w:val="0"/>
              <w:jc w:val="both"/>
              <w:rPr>
                <w:rFonts w:ascii="Abadi" w:hAnsi="Abadi" w:cs="Calibri"/>
                <w:sz w:val="21"/>
                <w:szCs w:val="21"/>
                <w:lang w:val="es-MX" w:eastAsia="es-MX"/>
              </w:rPr>
            </w:pPr>
            <w:r w:rsidRPr="00D030E4">
              <w:rPr>
                <w:rFonts w:ascii="Abadi" w:hAnsi="Abadi" w:cs="Calibri"/>
                <w:sz w:val="21"/>
                <w:szCs w:val="21"/>
                <w:lang w:val="es-MX" w:eastAsia="es-MX"/>
              </w:rPr>
              <w:t>Guanajuato, y deroga el artículo 257 de la Ley de Movilidad del</w:t>
            </w:r>
          </w:p>
          <w:p w14:paraId="26016921" w14:textId="77777777" w:rsidR="00D030E4" w:rsidRPr="00D030E4" w:rsidRDefault="00D030E4" w:rsidP="00D030E4">
            <w:pPr>
              <w:autoSpaceDE w:val="0"/>
              <w:autoSpaceDN w:val="0"/>
              <w:adjustRightInd w:val="0"/>
              <w:jc w:val="both"/>
              <w:rPr>
                <w:rFonts w:ascii="Abadi" w:hAnsi="Abadi" w:cs="Calibri"/>
                <w:sz w:val="21"/>
                <w:szCs w:val="21"/>
                <w:lang w:val="es-MX" w:eastAsia="es-MX"/>
              </w:rPr>
            </w:pPr>
            <w:r w:rsidRPr="00D030E4">
              <w:rPr>
                <w:rFonts w:ascii="Abadi" w:hAnsi="Abadi" w:cs="Calibri"/>
                <w:sz w:val="21"/>
                <w:szCs w:val="21"/>
                <w:lang w:val="es-MX" w:eastAsia="es-MX"/>
              </w:rPr>
              <w:t>Estado de Guanajuato y sus Municipios, en lo que corresponde al</w:t>
            </w:r>
          </w:p>
          <w:p w14:paraId="5D0736CF" w14:textId="1F2ACF1D" w:rsidR="004E6C29" w:rsidRPr="001D4715" w:rsidRDefault="00D030E4" w:rsidP="00D030E4">
            <w:pPr>
              <w:autoSpaceDE w:val="0"/>
              <w:autoSpaceDN w:val="0"/>
              <w:adjustRightInd w:val="0"/>
              <w:jc w:val="both"/>
              <w:rPr>
                <w:rFonts w:ascii="Abadi" w:hAnsi="Abadi" w:cs="Calibri"/>
                <w:sz w:val="21"/>
                <w:szCs w:val="21"/>
                <w:lang w:val="es-MX" w:eastAsia="es-MX"/>
              </w:rPr>
            </w:pPr>
            <w:r w:rsidRPr="00D030E4">
              <w:rPr>
                <w:rFonts w:ascii="Abadi" w:hAnsi="Abadi" w:cs="Calibri"/>
                <w:sz w:val="21"/>
                <w:szCs w:val="21"/>
                <w:lang w:val="es-MX" w:eastAsia="es-MX"/>
              </w:rPr>
              <w:t>primero de los ordenamientos.</w:t>
            </w:r>
          </w:p>
        </w:tc>
        <w:tc>
          <w:tcPr>
            <w:tcW w:w="1886" w:type="dxa"/>
          </w:tcPr>
          <w:p w14:paraId="1F9568CA" w14:textId="77777777" w:rsidR="00D030E4" w:rsidRPr="00D030E4" w:rsidRDefault="00D030E4" w:rsidP="00D030E4">
            <w:pPr>
              <w:autoSpaceDE w:val="0"/>
              <w:autoSpaceDN w:val="0"/>
              <w:adjustRightInd w:val="0"/>
              <w:jc w:val="both"/>
              <w:rPr>
                <w:rFonts w:ascii="Abadi" w:hAnsi="Abadi" w:cs="Calibri"/>
                <w:b/>
                <w:bCs/>
                <w:sz w:val="21"/>
                <w:szCs w:val="21"/>
                <w:lang w:val="es-MX" w:eastAsia="es-MX"/>
              </w:rPr>
            </w:pPr>
            <w:r w:rsidRPr="00D030E4">
              <w:rPr>
                <w:rFonts w:ascii="Abadi" w:hAnsi="Abadi" w:cs="Calibri"/>
                <w:b/>
                <w:bCs/>
                <w:sz w:val="21"/>
                <w:szCs w:val="21"/>
                <w:lang w:val="es-MX" w:eastAsia="es-MX"/>
              </w:rPr>
              <w:t>Enterados y se informa que se turnaron</w:t>
            </w:r>
          </w:p>
          <w:p w14:paraId="78CE85A7" w14:textId="41E1C6B5" w:rsidR="004E6C29" w:rsidRPr="001D4715" w:rsidRDefault="00D030E4" w:rsidP="00D030E4">
            <w:pPr>
              <w:autoSpaceDE w:val="0"/>
              <w:autoSpaceDN w:val="0"/>
              <w:adjustRightInd w:val="0"/>
              <w:jc w:val="both"/>
              <w:rPr>
                <w:rFonts w:ascii="Abadi" w:hAnsi="Abadi"/>
                <w:b/>
                <w:bCs/>
                <w:sz w:val="21"/>
                <w:szCs w:val="21"/>
              </w:rPr>
            </w:pPr>
            <w:r w:rsidRPr="00D030E4">
              <w:rPr>
                <w:rFonts w:ascii="Abadi" w:hAnsi="Abadi" w:cs="Calibri"/>
                <w:b/>
                <w:bCs/>
                <w:sz w:val="21"/>
                <w:szCs w:val="21"/>
                <w:lang w:val="es-MX" w:eastAsia="es-MX"/>
              </w:rPr>
              <w:t>a la comisión de Justicia.</w:t>
            </w:r>
          </w:p>
        </w:tc>
      </w:tr>
      <w:tr w:rsidR="004E6C29" w:rsidRPr="008429AF" w14:paraId="4230A968" w14:textId="77777777" w:rsidTr="00724EA0">
        <w:tc>
          <w:tcPr>
            <w:tcW w:w="2494" w:type="dxa"/>
          </w:tcPr>
          <w:p w14:paraId="2B21BCD6" w14:textId="77777777"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El secretario del ayuntamiento de Doctor Mora, Gto., remite</w:t>
            </w:r>
          </w:p>
          <w:p w14:paraId="485619E9" w14:textId="77777777"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respuesta a la consulta de tres iniciativas: la primera, que reforma</w:t>
            </w:r>
          </w:p>
          <w:p w14:paraId="2A2CD404" w14:textId="77777777"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el artículo 153 y adiciona el artículo 152 bis; la segunda, que</w:t>
            </w:r>
          </w:p>
          <w:p w14:paraId="4D0BA937" w14:textId="0F79D9B6"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adiciona la fracción VIII, recorriéndose en su orden la</w:t>
            </w:r>
            <w:r w:rsidR="002D7E8F">
              <w:rPr>
                <w:rFonts w:ascii="Abadi" w:hAnsi="Abadi" w:cs="Calibri"/>
                <w:sz w:val="21"/>
                <w:szCs w:val="21"/>
                <w:lang w:val="es-MX" w:eastAsia="es-MX"/>
              </w:rPr>
              <w:t xml:space="preserve"> </w:t>
            </w:r>
            <w:r w:rsidRPr="00A55BE9">
              <w:rPr>
                <w:rFonts w:ascii="Abadi" w:hAnsi="Abadi" w:cs="Calibri"/>
                <w:sz w:val="21"/>
                <w:szCs w:val="21"/>
                <w:lang w:val="es-MX" w:eastAsia="es-MX"/>
              </w:rPr>
              <w:t>subsecuente, al artículo 64, ambas de la Ley de Movilidad del</w:t>
            </w:r>
          </w:p>
          <w:p w14:paraId="53677C38" w14:textId="77777777"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Estado de Guanajuato y sus Municipios; y la tercera, que adiciona</w:t>
            </w:r>
          </w:p>
          <w:p w14:paraId="441556FF" w14:textId="77777777"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diversas disposiciones a la Ley de Protección Civil para el Estado</w:t>
            </w:r>
          </w:p>
          <w:p w14:paraId="01B748A3" w14:textId="77777777"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de Guanajuato, a la Ley de Salud del Estado de Guanajuato, a la</w:t>
            </w:r>
          </w:p>
          <w:p w14:paraId="6F6A3A14" w14:textId="77777777"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Ley para la Protección y Preservación del Ambiente del Estado de</w:t>
            </w:r>
          </w:p>
          <w:p w14:paraId="5942F931" w14:textId="77777777"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Guanajuato, y al Código Territorial para el Estado y los Municipios</w:t>
            </w:r>
          </w:p>
          <w:p w14:paraId="795EBB2B" w14:textId="77777777" w:rsidR="00A55BE9" w:rsidRPr="00A55BE9"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de Guanajuato, en lo que corresponde al primero de los</w:t>
            </w:r>
          </w:p>
          <w:p w14:paraId="28ED59D0" w14:textId="423F4FD1" w:rsidR="004E6C29" w:rsidRPr="001D4715" w:rsidRDefault="00A55BE9" w:rsidP="00A55BE9">
            <w:pPr>
              <w:autoSpaceDE w:val="0"/>
              <w:autoSpaceDN w:val="0"/>
              <w:adjustRightInd w:val="0"/>
              <w:jc w:val="both"/>
              <w:rPr>
                <w:rFonts w:ascii="Abadi" w:hAnsi="Abadi" w:cs="Calibri"/>
                <w:sz w:val="21"/>
                <w:szCs w:val="21"/>
                <w:lang w:val="es-MX" w:eastAsia="es-MX"/>
              </w:rPr>
            </w:pPr>
            <w:r w:rsidRPr="00A55BE9">
              <w:rPr>
                <w:rFonts w:ascii="Abadi" w:hAnsi="Abadi" w:cs="Calibri"/>
                <w:sz w:val="21"/>
                <w:szCs w:val="21"/>
                <w:lang w:val="es-MX" w:eastAsia="es-MX"/>
              </w:rPr>
              <w:t>ordenamientos.</w:t>
            </w:r>
          </w:p>
        </w:tc>
        <w:tc>
          <w:tcPr>
            <w:tcW w:w="1886" w:type="dxa"/>
          </w:tcPr>
          <w:p w14:paraId="4305E2EB" w14:textId="77777777" w:rsidR="00A55BE9" w:rsidRPr="00A55BE9" w:rsidRDefault="00A55BE9" w:rsidP="00A55BE9">
            <w:pPr>
              <w:autoSpaceDE w:val="0"/>
              <w:autoSpaceDN w:val="0"/>
              <w:adjustRightInd w:val="0"/>
              <w:jc w:val="both"/>
              <w:rPr>
                <w:rFonts w:ascii="Abadi" w:hAnsi="Abadi" w:cs="Calibri"/>
                <w:b/>
                <w:bCs/>
                <w:sz w:val="21"/>
                <w:szCs w:val="21"/>
                <w:lang w:val="es-MX" w:eastAsia="es-MX"/>
              </w:rPr>
            </w:pPr>
            <w:r w:rsidRPr="00A55BE9">
              <w:rPr>
                <w:rFonts w:ascii="Abadi" w:hAnsi="Abadi" w:cs="Calibri"/>
                <w:b/>
                <w:bCs/>
                <w:sz w:val="21"/>
                <w:szCs w:val="21"/>
                <w:lang w:val="es-MX" w:eastAsia="es-MX"/>
              </w:rPr>
              <w:t>Enterados y se informa que se turnaron</w:t>
            </w:r>
          </w:p>
          <w:p w14:paraId="53DF266A" w14:textId="77777777" w:rsidR="00A55BE9" w:rsidRPr="00A55BE9" w:rsidRDefault="00A55BE9" w:rsidP="00A55BE9">
            <w:pPr>
              <w:autoSpaceDE w:val="0"/>
              <w:autoSpaceDN w:val="0"/>
              <w:adjustRightInd w:val="0"/>
              <w:jc w:val="both"/>
              <w:rPr>
                <w:rFonts w:ascii="Abadi" w:hAnsi="Abadi" w:cs="Calibri"/>
                <w:b/>
                <w:bCs/>
                <w:sz w:val="21"/>
                <w:szCs w:val="21"/>
                <w:lang w:val="es-MX" w:eastAsia="es-MX"/>
              </w:rPr>
            </w:pPr>
            <w:r w:rsidRPr="00A55BE9">
              <w:rPr>
                <w:rFonts w:ascii="Abadi" w:hAnsi="Abadi" w:cs="Calibri"/>
                <w:b/>
                <w:bCs/>
                <w:sz w:val="21"/>
                <w:szCs w:val="21"/>
                <w:lang w:val="es-MX" w:eastAsia="es-MX"/>
              </w:rPr>
              <w:t>a la comisión de Seguridad Pública y</w:t>
            </w:r>
          </w:p>
          <w:p w14:paraId="349B3AEF" w14:textId="32D19091" w:rsidR="004E6C29" w:rsidRPr="001D4715" w:rsidRDefault="00A55BE9" w:rsidP="00A55BE9">
            <w:pPr>
              <w:autoSpaceDE w:val="0"/>
              <w:autoSpaceDN w:val="0"/>
              <w:adjustRightInd w:val="0"/>
              <w:jc w:val="both"/>
              <w:rPr>
                <w:rFonts w:ascii="Abadi" w:hAnsi="Abadi"/>
                <w:b/>
                <w:bCs/>
                <w:sz w:val="21"/>
                <w:szCs w:val="21"/>
              </w:rPr>
            </w:pPr>
            <w:r w:rsidRPr="00A55BE9">
              <w:rPr>
                <w:rFonts w:ascii="Abadi" w:hAnsi="Abadi" w:cs="Calibri"/>
                <w:b/>
                <w:bCs/>
                <w:sz w:val="21"/>
                <w:szCs w:val="21"/>
                <w:lang w:val="es-MX" w:eastAsia="es-MX"/>
              </w:rPr>
              <w:t>Comunicaciones</w:t>
            </w:r>
            <w:r>
              <w:rPr>
                <w:rFonts w:ascii="Calibri-BoldItalic" w:hAnsi="Calibri-BoldItalic" w:cs="Calibri-BoldItalic"/>
                <w:b/>
                <w:bCs/>
                <w:i/>
                <w:iCs/>
                <w:sz w:val="22"/>
                <w:szCs w:val="22"/>
                <w:lang w:val="es-MX" w:eastAsia="es-MX"/>
              </w:rPr>
              <w:t>.</w:t>
            </w:r>
          </w:p>
        </w:tc>
      </w:tr>
      <w:tr w:rsidR="004E6C29" w:rsidRPr="008429AF" w14:paraId="50F39B2E" w14:textId="77777777" w:rsidTr="00724EA0">
        <w:tc>
          <w:tcPr>
            <w:tcW w:w="2494" w:type="dxa"/>
          </w:tcPr>
          <w:p w14:paraId="5C968E85" w14:textId="027D2025"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Los integrantes de la Comisión de Medio Ambiente del</w:t>
            </w:r>
            <w:r w:rsidR="00811C61">
              <w:rPr>
                <w:rFonts w:ascii="Abadi" w:hAnsi="Abadi" w:cs="Calibri"/>
                <w:sz w:val="21"/>
                <w:szCs w:val="21"/>
                <w:lang w:val="es-MX" w:eastAsia="es-MX"/>
              </w:rPr>
              <w:t xml:space="preserve"> </w:t>
            </w:r>
            <w:r w:rsidRPr="00607C7D">
              <w:rPr>
                <w:rFonts w:ascii="Abadi" w:hAnsi="Abadi" w:cs="Calibri"/>
                <w:sz w:val="21"/>
                <w:szCs w:val="21"/>
                <w:lang w:val="es-MX" w:eastAsia="es-MX"/>
              </w:rPr>
              <w:t>ayuntamiento de Victoria, Gto., remiten respuesta a la consulta de</w:t>
            </w:r>
          </w:p>
          <w:p w14:paraId="747A3541" w14:textId="6DB589E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dos iniciativas: la primera, que reforma la fracción IV del artículo</w:t>
            </w:r>
            <w:r w:rsidR="00811C61">
              <w:rPr>
                <w:rFonts w:ascii="Abadi" w:hAnsi="Abadi" w:cs="Calibri"/>
                <w:sz w:val="21"/>
                <w:szCs w:val="21"/>
                <w:lang w:val="es-MX" w:eastAsia="es-MX"/>
              </w:rPr>
              <w:t xml:space="preserve"> </w:t>
            </w:r>
            <w:r w:rsidRPr="00607C7D">
              <w:rPr>
                <w:rFonts w:ascii="Abadi" w:hAnsi="Abadi" w:cs="Calibri"/>
                <w:sz w:val="21"/>
                <w:szCs w:val="21"/>
                <w:lang w:val="es-MX" w:eastAsia="es-MX"/>
              </w:rPr>
              <w:t>10 y adiciona una fracción XV al artículo 7 recorriéndose en su</w:t>
            </w:r>
            <w:r w:rsidR="002D7E8F">
              <w:rPr>
                <w:rFonts w:ascii="Abadi" w:hAnsi="Abadi" w:cs="Calibri"/>
                <w:sz w:val="21"/>
                <w:szCs w:val="21"/>
                <w:lang w:val="es-MX" w:eastAsia="es-MX"/>
              </w:rPr>
              <w:t xml:space="preserve"> </w:t>
            </w:r>
            <w:r w:rsidRPr="00607C7D">
              <w:rPr>
                <w:rFonts w:ascii="Abadi" w:hAnsi="Abadi" w:cs="Calibri"/>
                <w:sz w:val="21"/>
                <w:szCs w:val="21"/>
                <w:lang w:val="es-MX" w:eastAsia="es-MX"/>
              </w:rPr>
              <w:t>orden la subsecuente de la Ley para la Gestión Integral de</w:t>
            </w:r>
            <w:r w:rsidR="00811C61">
              <w:rPr>
                <w:rFonts w:ascii="Abadi" w:hAnsi="Abadi" w:cs="Calibri"/>
                <w:sz w:val="21"/>
                <w:szCs w:val="21"/>
                <w:lang w:val="es-MX" w:eastAsia="es-MX"/>
              </w:rPr>
              <w:t xml:space="preserve"> </w:t>
            </w:r>
            <w:r w:rsidRPr="00607C7D">
              <w:rPr>
                <w:rFonts w:ascii="Abadi" w:hAnsi="Abadi" w:cs="Calibri"/>
                <w:sz w:val="21"/>
                <w:szCs w:val="21"/>
                <w:lang w:val="es-MX" w:eastAsia="es-MX"/>
              </w:rPr>
              <w:t>Residuos del Estado y los Municipios de Guanajuato; y la segunda,</w:t>
            </w:r>
          </w:p>
          <w:p w14:paraId="68C17ECE"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que reforma el párrafo segundo del artículo 45, y adiciona el artículo 45 bis de la Ley para la Protección Animal del Estado de</w:t>
            </w:r>
          </w:p>
          <w:p w14:paraId="657590F6" w14:textId="77777777" w:rsidR="004E6C29"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Guanajuato.</w:t>
            </w:r>
          </w:p>
          <w:p w14:paraId="3426156D" w14:textId="77777777" w:rsidR="00607C7D" w:rsidRPr="00607C7D" w:rsidRDefault="00607C7D" w:rsidP="00607C7D">
            <w:pPr>
              <w:autoSpaceDE w:val="0"/>
              <w:autoSpaceDN w:val="0"/>
              <w:adjustRightInd w:val="0"/>
              <w:jc w:val="both"/>
              <w:rPr>
                <w:rFonts w:ascii="Abadi" w:hAnsi="Abadi" w:cs="Calibri"/>
                <w:sz w:val="21"/>
                <w:szCs w:val="21"/>
                <w:lang w:val="es-MX" w:eastAsia="es-MX"/>
              </w:rPr>
            </w:pPr>
          </w:p>
          <w:p w14:paraId="702445C2"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El secretario del ayuntamiento de Jaral del Progreso, Gto., remite</w:t>
            </w:r>
          </w:p>
          <w:p w14:paraId="3A950901"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respuesta a la consulta de dos iniciativas: la primera, que reforma</w:t>
            </w:r>
          </w:p>
          <w:p w14:paraId="02874A00"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el párrafo segundo del artículo 45, y adiciona el artículo 45 bis de</w:t>
            </w:r>
          </w:p>
          <w:p w14:paraId="1B2EA54A"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la Ley para la Protección Animal del Estado de Guanajuato; y la</w:t>
            </w:r>
          </w:p>
          <w:p w14:paraId="6787BFB4"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segunda, que reforma la fracción IV del artículo 10 y adiciona una</w:t>
            </w:r>
          </w:p>
          <w:p w14:paraId="5DD25998"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fracción XV al artículo 7 recorriéndose en su orden la subsecuente</w:t>
            </w:r>
          </w:p>
          <w:p w14:paraId="69C40A10"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de la Ley para la Gestión Integral de Residuos del Estado y los</w:t>
            </w:r>
          </w:p>
          <w:p w14:paraId="20C2EC98"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Municipios de Guanajuato; asimismo al acuerdo aprobado por</w:t>
            </w:r>
          </w:p>
          <w:p w14:paraId="70FB4275"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esta Legislatura, en el que se exhorta al Poder Ejecutivo, al Poder</w:t>
            </w:r>
          </w:p>
          <w:p w14:paraId="72316807"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Judicial, a los organismos autónomos y a los 46 ayuntamientos del</w:t>
            </w:r>
          </w:p>
          <w:p w14:paraId="6C70D98A"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Estado, a efecto de que sigan implementando las acciones</w:t>
            </w:r>
          </w:p>
          <w:p w14:paraId="40566CDB"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necesarias de manera interna como en colaboración institucional</w:t>
            </w:r>
          </w:p>
          <w:p w14:paraId="4E9AF2C9"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para seguir fomentando buenas prácticas e infraestructura de</w:t>
            </w:r>
          </w:p>
          <w:p w14:paraId="3F25230F" w14:textId="6C1B0F40"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protección y preservación del medio ambiente, con especial</w:t>
            </w:r>
            <w:r w:rsidR="002D7E8F">
              <w:rPr>
                <w:rFonts w:ascii="Abadi" w:hAnsi="Abadi" w:cs="Calibri"/>
                <w:sz w:val="21"/>
                <w:szCs w:val="21"/>
                <w:lang w:val="es-MX" w:eastAsia="es-MX"/>
              </w:rPr>
              <w:t xml:space="preserve"> </w:t>
            </w:r>
            <w:r w:rsidRPr="00607C7D">
              <w:rPr>
                <w:rFonts w:ascii="Abadi" w:hAnsi="Abadi" w:cs="Calibri"/>
                <w:sz w:val="21"/>
                <w:szCs w:val="21"/>
                <w:lang w:val="es-MX" w:eastAsia="es-MX"/>
              </w:rPr>
              <w:t>énfasis en el diagnosticar, evaluar e implementar el uso de medios</w:t>
            </w:r>
            <w:r w:rsidR="002D7E8F">
              <w:rPr>
                <w:rFonts w:ascii="Abadi" w:hAnsi="Abadi" w:cs="Calibri"/>
                <w:sz w:val="21"/>
                <w:szCs w:val="21"/>
                <w:lang w:val="es-MX" w:eastAsia="es-MX"/>
              </w:rPr>
              <w:t xml:space="preserve"> </w:t>
            </w:r>
            <w:r w:rsidRPr="00607C7D">
              <w:rPr>
                <w:rFonts w:ascii="Abadi" w:hAnsi="Abadi" w:cs="Calibri"/>
                <w:sz w:val="21"/>
                <w:szCs w:val="21"/>
                <w:lang w:val="es-MX" w:eastAsia="es-MX"/>
              </w:rPr>
              <w:t>electrónicos y del sistema de firma electrónica certificada para</w:t>
            </w:r>
            <w:r w:rsidR="002D7E8F">
              <w:rPr>
                <w:rFonts w:ascii="Abadi" w:hAnsi="Abadi" w:cs="Calibri"/>
                <w:sz w:val="21"/>
                <w:szCs w:val="21"/>
                <w:lang w:val="es-MX" w:eastAsia="es-MX"/>
              </w:rPr>
              <w:t xml:space="preserve"> </w:t>
            </w:r>
            <w:r w:rsidRPr="00607C7D">
              <w:rPr>
                <w:rFonts w:ascii="Abadi" w:hAnsi="Abadi" w:cs="Calibri"/>
                <w:sz w:val="21"/>
                <w:szCs w:val="21"/>
                <w:lang w:val="es-MX" w:eastAsia="es-MX"/>
              </w:rPr>
              <w:t>que se interconecten entre diversas instancias; desarrollo de</w:t>
            </w:r>
          </w:p>
          <w:p w14:paraId="0EBED037"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espacios de áreas verdes; disminución del uso de plásticos;</w:t>
            </w:r>
          </w:p>
          <w:p w14:paraId="494698AF"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incentivo de uso de termos, cilindros y recipientes de reúso; uso</w:t>
            </w:r>
          </w:p>
          <w:p w14:paraId="345C4F16"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de energías limpias; separación y aprovechamiento de la basura y</w:t>
            </w:r>
          </w:p>
          <w:p w14:paraId="5452CCD7"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disminución del máximo uso del papel; dando cumplimiento a los</w:t>
            </w:r>
          </w:p>
          <w:p w14:paraId="078949BF"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ordenamientos nacionales e internacionales, con el propósito de</w:t>
            </w:r>
          </w:p>
          <w:p w14:paraId="38DEDE9B" w14:textId="77777777" w:rsidR="00607C7D" w:rsidRPr="00607C7D"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proteger y garantizar los derechos humanos de todas las personas,</w:t>
            </w:r>
          </w:p>
          <w:p w14:paraId="5FD6ACC4" w14:textId="590EBF51" w:rsidR="00607C7D" w:rsidRPr="001D4715" w:rsidRDefault="00607C7D" w:rsidP="00607C7D">
            <w:pPr>
              <w:autoSpaceDE w:val="0"/>
              <w:autoSpaceDN w:val="0"/>
              <w:adjustRightInd w:val="0"/>
              <w:jc w:val="both"/>
              <w:rPr>
                <w:rFonts w:ascii="Abadi" w:hAnsi="Abadi" w:cs="Calibri"/>
                <w:sz w:val="21"/>
                <w:szCs w:val="21"/>
                <w:lang w:val="es-MX" w:eastAsia="es-MX"/>
              </w:rPr>
            </w:pPr>
            <w:r w:rsidRPr="00607C7D">
              <w:rPr>
                <w:rFonts w:ascii="Abadi" w:hAnsi="Abadi" w:cs="Calibri"/>
                <w:sz w:val="21"/>
                <w:szCs w:val="21"/>
                <w:lang w:val="es-MX" w:eastAsia="es-MX"/>
              </w:rPr>
              <w:t>así como impulsar la cultura del cuidado del medio ambiente.</w:t>
            </w:r>
          </w:p>
        </w:tc>
        <w:tc>
          <w:tcPr>
            <w:tcW w:w="1886" w:type="dxa"/>
          </w:tcPr>
          <w:p w14:paraId="23257887" w14:textId="77777777" w:rsidR="00607C7D" w:rsidRPr="00607C7D" w:rsidRDefault="00607C7D" w:rsidP="00607C7D">
            <w:pPr>
              <w:autoSpaceDE w:val="0"/>
              <w:autoSpaceDN w:val="0"/>
              <w:adjustRightInd w:val="0"/>
              <w:rPr>
                <w:rFonts w:ascii="Abadi" w:hAnsi="Abadi" w:cs="Calibri"/>
                <w:b/>
                <w:bCs/>
                <w:sz w:val="21"/>
                <w:szCs w:val="21"/>
                <w:lang w:val="es-MX" w:eastAsia="es-MX"/>
              </w:rPr>
            </w:pPr>
            <w:r w:rsidRPr="00607C7D">
              <w:rPr>
                <w:rFonts w:ascii="Abadi" w:hAnsi="Abadi" w:cs="Calibri"/>
                <w:b/>
                <w:bCs/>
                <w:sz w:val="21"/>
                <w:szCs w:val="21"/>
                <w:lang w:val="es-MX" w:eastAsia="es-MX"/>
              </w:rPr>
              <w:t>Enterados y se informa que se turnaron</w:t>
            </w:r>
          </w:p>
          <w:p w14:paraId="49AEC620" w14:textId="6F8D8D09" w:rsidR="004E6C29" w:rsidRPr="001D4715" w:rsidRDefault="00607C7D" w:rsidP="00607C7D">
            <w:pPr>
              <w:autoSpaceDE w:val="0"/>
              <w:autoSpaceDN w:val="0"/>
              <w:adjustRightInd w:val="0"/>
              <w:jc w:val="both"/>
              <w:rPr>
                <w:rFonts w:ascii="Abadi" w:hAnsi="Abadi"/>
                <w:b/>
                <w:bCs/>
                <w:sz w:val="21"/>
                <w:szCs w:val="21"/>
              </w:rPr>
            </w:pPr>
            <w:r w:rsidRPr="00607C7D">
              <w:rPr>
                <w:rFonts w:ascii="Abadi" w:hAnsi="Abadi" w:cs="Calibri"/>
                <w:b/>
                <w:bCs/>
                <w:sz w:val="21"/>
                <w:szCs w:val="21"/>
                <w:lang w:val="es-MX" w:eastAsia="es-MX"/>
              </w:rPr>
              <w:t>a la comisión de Medio Ambiente.</w:t>
            </w:r>
          </w:p>
        </w:tc>
      </w:tr>
      <w:tr w:rsidR="004E6C29" w:rsidRPr="008429AF" w14:paraId="57A1882F" w14:textId="77777777" w:rsidTr="00724EA0">
        <w:tc>
          <w:tcPr>
            <w:tcW w:w="2494" w:type="dxa"/>
          </w:tcPr>
          <w:p w14:paraId="445E313C" w14:textId="77777777" w:rsidR="00DE5355" w:rsidRPr="00CE0387"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La secretaria del ayuntamiento de Guanajuato, Gto., remite copia</w:t>
            </w:r>
          </w:p>
          <w:p w14:paraId="6C939C51" w14:textId="77777777" w:rsidR="00DE5355" w:rsidRPr="00CE0387"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certificada del contrato de apertura de crédito simple celebrado</w:t>
            </w:r>
          </w:p>
          <w:p w14:paraId="75E0C13D" w14:textId="77777777" w:rsidR="00DE5355" w:rsidRPr="00CE0387"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entre dicho municipio y la institución BBVA Bancomer, Sociedad</w:t>
            </w:r>
          </w:p>
          <w:p w14:paraId="4A623E11" w14:textId="77777777" w:rsidR="00DE5355" w:rsidRPr="00CE0387"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Anónima, Institución de Banca Múltiple, Grupo Financiero BBVA</w:t>
            </w:r>
          </w:p>
          <w:p w14:paraId="35F3E439" w14:textId="77777777" w:rsidR="00DE5355" w:rsidRPr="00CE0387"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Bancomer, autorizado mediante Decreto número 334 expedido</w:t>
            </w:r>
          </w:p>
          <w:p w14:paraId="0022DBD5" w14:textId="68873493" w:rsidR="004E6C29" w:rsidRPr="001D4715"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por la Sexagésima Cuarta Legislatura.</w:t>
            </w:r>
          </w:p>
        </w:tc>
        <w:tc>
          <w:tcPr>
            <w:tcW w:w="1886" w:type="dxa"/>
          </w:tcPr>
          <w:p w14:paraId="01DEC1B8" w14:textId="77777777" w:rsidR="00DE5355" w:rsidRPr="00CE0387" w:rsidRDefault="00DE5355"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Enterados, se turna a la Comisión de</w:t>
            </w:r>
          </w:p>
          <w:p w14:paraId="59BA5349" w14:textId="77777777" w:rsidR="00DE5355" w:rsidRPr="00CE0387" w:rsidRDefault="00DE5355"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Hacienda y Fiscalización y se remite a la</w:t>
            </w:r>
          </w:p>
          <w:p w14:paraId="5C19EE23" w14:textId="77777777" w:rsidR="00DE5355" w:rsidRPr="00CE0387" w:rsidRDefault="00DE5355"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Auditoría Superior del Estado de</w:t>
            </w:r>
          </w:p>
          <w:p w14:paraId="69D1A4A8" w14:textId="77777777" w:rsidR="00DE5355" w:rsidRPr="00CE0387" w:rsidRDefault="00DE5355"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Guanajuato y a la Unidad de Estudios de</w:t>
            </w:r>
          </w:p>
          <w:p w14:paraId="54583978" w14:textId="2AA6A91C" w:rsidR="004E6C29" w:rsidRPr="00CE0387" w:rsidRDefault="00DE5355"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las Finanzas Públicas.</w:t>
            </w:r>
          </w:p>
        </w:tc>
      </w:tr>
      <w:tr w:rsidR="004E6C29" w:rsidRPr="008429AF" w14:paraId="73B93253" w14:textId="77777777" w:rsidTr="000803DC">
        <w:tc>
          <w:tcPr>
            <w:tcW w:w="4380" w:type="dxa"/>
            <w:gridSpan w:val="2"/>
            <w:shd w:val="clear" w:color="auto" w:fill="EEECE1" w:themeFill="background2"/>
          </w:tcPr>
          <w:p w14:paraId="5D21C616" w14:textId="0634B75A" w:rsidR="004E6C29" w:rsidRPr="00CE0387" w:rsidRDefault="004E6C29" w:rsidP="00CE0387">
            <w:pPr>
              <w:jc w:val="both"/>
              <w:rPr>
                <w:rFonts w:ascii="Abadi" w:hAnsi="Abadi" w:cs="Calibri"/>
                <w:b/>
                <w:bCs/>
                <w:sz w:val="21"/>
                <w:szCs w:val="21"/>
                <w:lang w:val="es-MX" w:eastAsia="es-MX"/>
              </w:rPr>
            </w:pPr>
            <w:r w:rsidRPr="00CE0387">
              <w:rPr>
                <w:rFonts w:ascii="Abadi" w:hAnsi="Abadi" w:cs="Calibri"/>
                <w:b/>
                <w:bCs/>
                <w:sz w:val="21"/>
                <w:szCs w:val="21"/>
                <w:lang w:val="es-MX" w:eastAsia="es-MX"/>
              </w:rPr>
              <w:t>IV. Correspondencia provenientes de particulares.</w:t>
            </w:r>
          </w:p>
        </w:tc>
      </w:tr>
      <w:tr w:rsidR="004E6C29" w:rsidRPr="008429AF" w14:paraId="17EA6C53" w14:textId="77777777" w:rsidTr="00724EA0">
        <w:tc>
          <w:tcPr>
            <w:tcW w:w="2494" w:type="dxa"/>
          </w:tcPr>
          <w:p w14:paraId="0453F6A5" w14:textId="77777777" w:rsidR="00DE5355" w:rsidRPr="00CE0387"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El ciudadano Antonio Cabrera Rodríguez de la comunidad el</w:t>
            </w:r>
          </w:p>
          <w:p w14:paraId="2429C4C0" w14:textId="77777777" w:rsidR="00DE5355" w:rsidRPr="00CE0387"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Espejo del municipio de Silao de la Victoria, Gto., comunica su</w:t>
            </w:r>
          </w:p>
          <w:p w14:paraId="716DC50D" w14:textId="77777777" w:rsidR="00DE5355" w:rsidRPr="00CE0387"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inconformidad por la privatización del alumbrado público que</w:t>
            </w:r>
          </w:p>
          <w:p w14:paraId="432E6928" w14:textId="1B2D729E" w:rsidR="004E6C29" w:rsidRPr="00C229F6" w:rsidRDefault="00DE5355" w:rsidP="00CE0387">
            <w:pPr>
              <w:autoSpaceDE w:val="0"/>
              <w:autoSpaceDN w:val="0"/>
              <w:adjustRightInd w:val="0"/>
              <w:jc w:val="both"/>
              <w:rPr>
                <w:rFonts w:ascii="Abadi" w:hAnsi="Abadi" w:cs="Calibri"/>
                <w:sz w:val="21"/>
                <w:szCs w:val="21"/>
                <w:lang w:val="es-MX" w:eastAsia="es-MX"/>
              </w:rPr>
            </w:pPr>
            <w:r w:rsidRPr="00CE0387">
              <w:rPr>
                <w:rFonts w:ascii="Abadi" w:hAnsi="Abadi" w:cs="Calibri"/>
                <w:sz w:val="21"/>
                <w:szCs w:val="21"/>
                <w:lang w:val="es-MX" w:eastAsia="es-MX"/>
              </w:rPr>
              <w:t>pretende realizar el Presidente Municipal.</w:t>
            </w:r>
          </w:p>
        </w:tc>
        <w:tc>
          <w:tcPr>
            <w:tcW w:w="1886" w:type="dxa"/>
          </w:tcPr>
          <w:p w14:paraId="0408DE3D" w14:textId="77777777" w:rsidR="00CE0387" w:rsidRPr="00CE0387" w:rsidRDefault="00CE0387"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Enterados y se le comunica que de</w:t>
            </w:r>
          </w:p>
          <w:p w14:paraId="63428281" w14:textId="77777777" w:rsidR="00CE0387" w:rsidRPr="00CE0387" w:rsidRDefault="00CE0387"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conformidad con el artículo 63 de la</w:t>
            </w:r>
          </w:p>
          <w:p w14:paraId="09957F7C" w14:textId="77777777" w:rsidR="00CE0387" w:rsidRPr="00CE0387" w:rsidRDefault="00CE0387"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Constitución Política para el Estado de</w:t>
            </w:r>
          </w:p>
          <w:p w14:paraId="47486BBF" w14:textId="77777777" w:rsidR="00CE0387" w:rsidRPr="00CE0387" w:rsidRDefault="00CE0387"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Guanajuato este Poder Legislativo</w:t>
            </w:r>
          </w:p>
          <w:p w14:paraId="405A64F7" w14:textId="77777777" w:rsidR="00CE0387" w:rsidRPr="00CE0387" w:rsidRDefault="00CE0387"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carece de competencia para atender su</w:t>
            </w:r>
          </w:p>
          <w:p w14:paraId="668503AA" w14:textId="66E024C1" w:rsidR="004E6C29" w:rsidRPr="00CE0387" w:rsidRDefault="00CE0387" w:rsidP="00CE0387">
            <w:pPr>
              <w:autoSpaceDE w:val="0"/>
              <w:autoSpaceDN w:val="0"/>
              <w:adjustRightInd w:val="0"/>
              <w:jc w:val="both"/>
              <w:rPr>
                <w:rFonts w:ascii="Abadi" w:hAnsi="Abadi" w:cs="Calibri"/>
                <w:b/>
                <w:bCs/>
                <w:sz w:val="21"/>
                <w:szCs w:val="21"/>
                <w:lang w:val="es-MX" w:eastAsia="es-MX"/>
              </w:rPr>
            </w:pPr>
            <w:r w:rsidRPr="00CE0387">
              <w:rPr>
                <w:rFonts w:ascii="Abadi" w:hAnsi="Abadi" w:cs="Calibri"/>
                <w:b/>
                <w:bCs/>
                <w:sz w:val="21"/>
                <w:szCs w:val="21"/>
                <w:lang w:val="es-MX" w:eastAsia="es-MX"/>
              </w:rPr>
              <w:t>petición.</w:t>
            </w:r>
          </w:p>
        </w:tc>
      </w:tr>
    </w:tbl>
    <w:p w14:paraId="46FCDAAD" w14:textId="073FB30E" w:rsidR="009C4506" w:rsidRDefault="009C4506" w:rsidP="003E2418">
      <w:pPr>
        <w:pStyle w:val="Prrafodelista"/>
        <w:ind w:left="0"/>
        <w:jc w:val="both"/>
        <w:rPr>
          <w:rFonts w:ascii="Abadi" w:hAnsi="Abadi"/>
          <w:b/>
          <w:bCs/>
          <w:sz w:val="21"/>
          <w:szCs w:val="21"/>
        </w:rPr>
      </w:pPr>
    </w:p>
    <w:p w14:paraId="31C4CA32" w14:textId="658DBD26" w:rsidR="001F5101" w:rsidRDefault="001F5101" w:rsidP="003E2418">
      <w:pPr>
        <w:pStyle w:val="Prrafodelista"/>
        <w:ind w:left="0"/>
        <w:jc w:val="both"/>
        <w:rPr>
          <w:rFonts w:ascii="Abadi" w:hAnsi="Abadi"/>
          <w:b/>
          <w:bCs/>
          <w:sz w:val="21"/>
          <w:szCs w:val="21"/>
        </w:rPr>
      </w:pPr>
    </w:p>
    <w:p w14:paraId="17BAB412" w14:textId="597EA4A6" w:rsidR="001F5101" w:rsidRDefault="001F5101" w:rsidP="001F5101">
      <w:pPr>
        <w:ind w:firstLine="708"/>
        <w:jc w:val="both"/>
        <w:rPr>
          <w:rFonts w:ascii="Abadi" w:hAnsi="Abadi"/>
          <w:sz w:val="21"/>
          <w:szCs w:val="21"/>
        </w:rPr>
      </w:pPr>
      <w:r>
        <w:rPr>
          <w:rFonts w:ascii="Abadi" w:hAnsi="Abadi"/>
          <w:b/>
          <w:bCs/>
          <w:sz w:val="21"/>
          <w:szCs w:val="21"/>
        </w:rPr>
        <w:t xml:space="preserve">- </w:t>
      </w:r>
      <w:r w:rsidRPr="001F5101">
        <w:rPr>
          <w:rFonts w:ascii="Abadi" w:hAnsi="Abadi"/>
          <w:b/>
          <w:bCs/>
          <w:sz w:val="21"/>
          <w:szCs w:val="21"/>
        </w:rPr>
        <w:t>La Presidencia.-</w:t>
      </w:r>
      <w:r w:rsidRPr="001F5101">
        <w:rPr>
          <w:rFonts w:ascii="Abadi" w:hAnsi="Abadi"/>
          <w:sz w:val="21"/>
          <w:szCs w:val="21"/>
        </w:rPr>
        <w:t xml:space="preserve"> En el siguiente punto del orden del dí</w:t>
      </w:r>
      <w:r w:rsidR="005220D8">
        <w:rPr>
          <w:rFonts w:ascii="Abadi" w:hAnsi="Abadi"/>
          <w:sz w:val="21"/>
          <w:szCs w:val="21"/>
        </w:rPr>
        <w:t>a</w:t>
      </w:r>
      <w:r w:rsidRPr="001F5101">
        <w:rPr>
          <w:rFonts w:ascii="Abadi" w:hAnsi="Abadi"/>
          <w:sz w:val="21"/>
          <w:szCs w:val="21"/>
        </w:rPr>
        <w:t xml:space="preserve"> relativo a las comunicaciones y correspondencia recibidas, se propone la dispensa de su lectura en razón de encontrarse en la Gaceta Parlamentaria, si alguna diputada o algún diputado desea hacer uso de la palabra con respecto a esta propuesta, sírvase indicarlo. </w:t>
      </w:r>
    </w:p>
    <w:p w14:paraId="6FB9B4A1" w14:textId="77777777" w:rsidR="001F5101" w:rsidRPr="001F5101" w:rsidRDefault="001F5101" w:rsidP="001F5101">
      <w:pPr>
        <w:jc w:val="both"/>
        <w:rPr>
          <w:rFonts w:ascii="Abadi" w:hAnsi="Abadi"/>
          <w:sz w:val="21"/>
          <w:szCs w:val="21"/>
        </w:rPr>
      </w:pPr>
    </w:p>
    <w:p w14:paraId="709ACE22" w14:textId="1680D317" w:rsidR="001F5101" w:rsidRDefault="001F5101" w:rsidP="001F5101">
      <w:pPr>
        <w:ind w:firstLine="708"/>
        <w:jc w:val="both"/>
        <w:rPr>
          <w:rFonts w:ascii="Abadi" w:hAnsi="Abadi"/>
          <w:sz w:val="21"/>
          <w:szCs w:val="21"/>
        </w:rPr>
      </w:pPr>
      <w:r>
        <w:rPr>
          <w:rFonts w:ascii="Abadi" w:hAnsi="Abadi"/>
          <w:b/>
          <w:bCs/>
          <w:sz w:val="21"/>
          <w:szCs w:val="21"/>
        </w:rPr>
        <w:t xml:space="preserve">- </w:t>
      </w:r>
      <w:r w:rsidRPr="001F5101">
        <w:rPr>
          <w:rFonts w:ascii="Abadi" w:hAnsi="Abadi"/>
          <w:b/>
          <w:bCs/>
          <w:sz w:val="21"/>
          <w:szCs w:val="21"/>
        </w:rPr>
        <w:t>La Presidencia.-</w:t>
      </w:r>
      <w:r w:rsidRPr="001F5101">
        <w:rPr>
          <w:rFonts w:ascii="Abadi" w:hAnsi="Abadi"/>
          <w:sz w:val="21"/>
          <w:szCs w:val="21"/>
        </w:rPr>
        <w:t xml:space="preserve"> Al no registrarse intervenciones se soli</w:t>
      </w:r>
      <w:r w:rsidR="00D85D47">
        <w:rPr>
          <w:rFonts w:ascii="Abadi" w:hAnsi="Abadi"/>
          <w:sz w:val="21"/>
          <w:szCs w:val="21"/>
        </w:rPr>
        <w:t>ci</w:t>
      </w:r>
      <w:r w:rsidRPr="001F5101">
        <w:rPr>
          <w:rFonts w:ascii="Abadi" w:hAnsi="Abadi"/>
          <w:sz w:val="21"/>
          <w:szCs w:val="21"/>
        </w:rPr>
        <w:t>ta a la Secretaria, que en votación económica a través del sistema electrónico pregunte a las diputadas y a los diputados, si se aprueba la propuesta.</w:t>
      </w:r>
    </w:p>
    <w:p w14:paraId="174780F2" w14:textId="77777777" w:rsidR="001F5101" w:rsidRPr="001F5101" w:rsidRDefault="001F5101" w:rsidP="001F5101">
      <w:pPr>
        <w:jc w:val="both"/>
        <w:rPr>
          <w:rFonts w:ascii="Abadi" w:hAnsi="Abadi"/>
          <w:sz w:val="21"/>
          <w:szCs w:val="21"/>
        </w:rPr>
      </w:pPr>
    </w:p>
    <w:p w14:paraId="07FBE3C2" w14:textId="77777777" w:rsidR="003E7942" w:rsidRDefault="003E7942" w:rsidP="001F5101">
      <w:pPr>
        <w:jc w:val="center"/>
        <w:rPr>
          <w:rFonts w:ascii="Abadi" w:hAnsi="Abadi"/>
          <w:b/>
          <w:bCs/>
          <w:sz w:val="21"/>
          <w:szCs w:val="21"/>
        </w:rPr>
      </w:pPr>
    </w:p>
    <w:p w14:paraId="7DE2E602" w14:textId="6EA340DA" w:rsidR="001F5101" w:rsidRDefault="001F5101" w:rsidP="001F5101">
      <w:pPr>
        <w:jc w:val="center"/>
        <w:rPr>
          <w:rFonts w:ascii="Abadi" w:hAnsi="Abadi"/>
          <w:b/>
          <w:bCs/>
          <w:sz w:val="21"/>
          <w:szCs w:val="21"/>
        </w:rPr>
      </w:pPr>
      <w:r w:rsidRPr="001F5101">
        <w:rPr>
          <w:rFonts w:ascii="Abadi" w:hAnsi="Abadi"/>
          <w:b/>
          <w:bCs/>
          <w:sz w:val="21"/>
          <w:szCs w:val="21"/>
        </w:rPr>
        <w:t>(Se abre el sistema electrónico)</w:t>
      </w:r>
    </w:p>
    <w:p w14:paraId="54EA7E31" w14:textId="77777777" w:rsidR="001F5101" w:rsidRPr="001F5101" w:rsidRDefault="001F5101" w:rsidP="001F5101">
      <w:pPr>
        <w:jc w:val="both"/>
        <w:rPr>
          <w:rFonts w:ascii="Abadi" w:hAnsi="Abadi"/>
          <w:b/>
          <w:bCs/>
          <w:sz w:val="21"/>
          <w:szCs w:val="21"/>
        </w:rPr>
      </w:pPr>
    </w:p>
    <w:p w14:paraId="049EDE14" w14:textId="62105EF7" w:rsidR="001F5101" w:rsidRDefault="001F5101" w:rsidP="001F5101">
      <w:pPr>
        <w:ind w:firstLine="708"/>
        <w:jc w:val="both"/>
        <w:rPr>
          <w:rFonts w:ascii="Abadi" w:hAnsi="Abadi"/>
          <w:sz w:val="21"/>
          <w:szCs w:val="21"/>
        </w:rPr>
      </w:pPr>
      <w:r>
        <w:rPr>
          <w:rFonts w:ascii="Abadi" w:hAnsi="Abadi"/>
          <w:b/>
          <w:bCs/>
          <w:sz w:val="21"/>
          <w:szCs w:val="21"/>
        </w:rPr>
        <w:t xml:space="preserve">- </w:t>
      </w:r>
      <w:r w:rsidRPr="001F5101">
        <w:rPr>
          <w:rFonts w:ascii="Abadi" w:hAnsi="Abadi"/>
          <w:b/>
          <w:bCs/>
          <w:sz w:val="21"/>
          <w:szCs w:val="21"/>
        </w:rPr>
        <w:t xml:space="preserve">La Secretaria.- </w:t>
      </w:r>
      <w:r w:rsidRPr="001F5101">
        <w:rPr>
          <w:rFonts w:ascii="Abadi" w:hAnsi="Abadi"/>
          <w:sz w:val="21"/>
          <w:szCs w:val="21"/>
        </w:rPr>
        <w:t xml:space="preserve">En votación económica, se consulta a las diputadas y a los diputados si se aprueba la propuesta a través del sistema electrónico ¿diputado David Martínez? gracias diputado, ¿diputado Alfonso Borja? gracias diputado ¿diputado Alfonso Ripoll.? ¡Perdón! Alonso, gracias. </w:t>
      </w:r>
    </w:p>
    <w:p w14:paraId="29180A04" w14:textId="77777777" w:rsidR="001F5101" w:rsidRPr="001F5101" w:rsidRDefault="001F5101" w:rsidP="001F5101">
      <w:pPr>
        <w:ind w:firstLine="708"/>
        <w:jc w:val="both"/>
        <w:rPr>
          <w:rFonts w:ascii="Abadi" w:hAnsi="Abadi"/>
          <w:sz w:val="21"/>
          <w:szCs w:val="21"/>
        </w:rPr>
      </w:pPr>
    </w:p>
    <w:p w14:paraId="5DBA68C6" w14:textId="34BBB1A4" w:rsidR="001F5101" w:rsidRPr="001F5101" w:rsidRDefault="001F5101" w:rsidP="001F5101">
      <w:pPr>
        <w:jc w:val="both"/>
        <w:rPr>
          <w:rFonts w:ascii="Abadi" w:hAnsi="Abadi"/>
          <w:sz w:val="21"/>
          <w:szCs w:val="21"/>
        </w:rPr>
      </w:pPr>
      <w:r w:rsidRPr="001F5101">
        <w:rPr>
          <w:rFonts w:ascii="Abadi" w:hAnsi="Abadi"/>
          <w:sz w:val="21"/>
          <w:szCs w:val="21"/>
        </w:rPr>
        <w:t>¿Falta alguna diputada</w:t>
      </w:r>
      <w:r w:rsidR="005220D8">
        <w:rPr>
          <w:rFonts w:ascii="Abadi" w:hAnsi="Abadi"/>
          <w:sz w:val="21"/>
          <w:szCs w:val="21"/>
        </w:rPr>
        <w:t xml:space="preserve"> o a</w:t>
      </w:r>
      <w:r w:rsidRPr="001F5101">
        <w:rPr>
          <w:rFonts w:ascii="Abadi" w:hAnsi="Abadi"/>
          <w:sz w:val="21"/>
          <w:szCs w:val="21"/>
        </w:rPr>
        <w:t xml:space="preserve">lgún diputado de emitir su voto? </w:t>
      </w:r>
    </w:p>
    <w:p w14:paraId="53526705" w14:textId="77777777" w:rsidR="001F5101" w:rsidRPr="001F5101" w:rsidRDefault="001F5101" w:rsidP="001F5101">
      <w:pPr>
        <w:jc w:val="both"/>
        <w:rPr>
          <w:rFonts w:ascii="Abadi" w:hAnsi="Abadi"/>
          <w:sz w:val="21"/>
          <w:szCs w:val="21"/>
        </w:rPr>
      </w:pPr>
    </w:p>
    <w:p w14:paraId="63E7B71A" w14:textId="77777777" w:rsidR="001F5101" w:rsidRDefault="001F5101" w:rsidP="001F5101">
      <w:pPr>
        <w:jc w:val="center"/>
        <w:rPr>
          <w:rFonts w:ascii="Abadi" w:hAnsi="Abadi"/>
          <w:b/>
          <w:bCs/>
          <w:sz w:val="21"/>
          <w:szCs w:val="21"/>
        </w:rPr>
      </w:pPr>
    </w:p>
    <w:p w14:paraId="1B4704A8" w14:textId="1A44FE97" w:rsidR="001F5101" w:rsidRPr="001F5101" w:rsidRDefault="001F5101" w:rsidP="001F5101">
      <w:pPr>
        <w:jc w:val="center"/>
        <w:rPr>
          <w:rFonts w:ascii="Abadi" w:hAnsi="Abadi"/>
          <w:b/>
          <w:bCs/>
          <w:sz w:val="21"/>
          <w:szCs w:val="21"/>
        </w:rPr>
      </w:pPr>
      <w:r w:rsidRPr="001F5101">
        <w:rPr>
          <w:rFonts w:ascii="Abadi" w:hAnsi="Abadi"/>
          <w:b/>
          <w:bCs/>
          <w:sz w:val="21"/>
          <w:szCs w:val="21"/>
        </w:rPr>
        <w:t>(Se cierra el sistema electrónico)</w:t>
      </w:r>
    </w:p>
    <w:p w14:paraId="0E8A72B5" w14:textId="77777777" w:rsidR="001F5101" w:rsidRPr="001F5101" w:rsidRDefault="001F5101" w:rsidP="001F5101">
      <w:pPr>
        <w:jc w:val="both"/>
        <w:rPr>
          <w:rFonts w:ascii="Abadi" w:hAnsi="Abadi"/>
          <w:b/>
          <w:bCs/>
          <w:sz w:val="21"/>
          <w:szCs w:val="21"/>
        </w:rPr>
      </w:pPr>
    </w:p>
    <w:p w14:paraId="705F3CC7" w14:textId="77777777" w:rsidR="001F5101" w:rsidRPr="001F5101" w:rsidRDefault="001F5101" w:rsidP="001F5101">
      <w:pPr>
        <w:jc w:val="both"/>
        <w:rPr>
          <w:rFonts w:ascii="Abadi" w:hAnsi="Abadi"/>
          <w:b/>
          <w:bCs/>
          <w:sz w:val="21"/>
          <w:szCs w:val="21"/>
        </w:rPr>
      </w:pPr>
      <w:r w:rsidRPr="001F5101">
        <w:rPr>
          <w:rFonts w:ascii="Abadi" w:hAnsi="Abadi"/>
          <w:noProof/>
          <w:sz w:val="21"/>
          <w:szCs w:val="21"/>
        </w:rPr>
        <w:drawing>
          <wp:inline distT="0" distB="0" distL="0" distR="0" wp14:anchorId="54D2FCA7" wp14:editId="73402835">
            <wp:extent cx="2085975" cy="1104589"/>
            <wp:effectExtent l="152400" t="152400" r="352425" b="362585"/>
            <wp:docPr id="10"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Tabla&#10;&#10;Descripción generada automáticamente"/>
                    <pic:cNvPicPr/>
                  </pic:nvPicPr>
                  <pic:blipFill rotWithShape="1">
                    <a:blip r:embed="rId22"/>
                    <a:srcRect b="5854"/>
                    <a:stretch/>
                  </pic:blipFill>
                  <pic:spPr bwMode="auto">
                    <a:xfrm>
                      <a:off x="0" y="0"/>
                      <a:ext cx="2102525" cy="111335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0AB92E2" w14:textId="37ED8AEF" w:rsidR="001F5101" w:rsidRDefault="001F5101" w:rsidP="001F5101">
      <w:pPr>
        <w:ind w:firstLine="708"/>
        <w:jc w:val="both"/>
        <w:rPr>
          <w:rFonts w:ascii="Abadi" w:hAnsi="Abadi"/>
          <w:sz w:val="21"/>
          <w:szCs w:val="21"/>
        </w:rPr>
      </w:pPr>
      <w:r>
        <w:rPr>
          <w:rFonts w:ascii="Abadi" w:hAnsi="Abadi"/>
          <w:b/>
          <w:bCs/>
          <w:sz w:val="21"/>
          <w:szCs w:val="21"/>
        </w:rPr>
        <w:t xml:space="preserve">- </w:t>
      </w:r>
      <w:r w:rsidRPr="001F5101">
        <w:rPr>
          <w:rFonts w:ascii="Abadi" w:hAnsi="Abadi"/>
          <w:b/>
          <w:bCs/>
          <w:sz w:val="21"/>
          <w:szCs w:val="21"/>
        </w:rPr>
        <w:t>La Secretaria.-</w:t>
      </w:r>
      <w:r w:rsidRPr="001F5101">
        <w:rPr>
          <w:rFonts w:ascii="Abadi" w:hAnsi="Abadi"/>
          <w:sz w:val="21"/>
          <w:szCs w:val="21"/>
        </w:rPr>
        <w:t xml:space="preserve"> Se registraron 32 votos a favor. </w:t>
      </w:r>
    </w:p>
    <w:p w14:paraId="6647FF16" w14:textId="77777777" w:rsidR="001F5101" w:rsidRPr="001F5101" w:rsidRDefault="001F5101" w:rsidP="001F5101">
      <w:pPr>
        <w:jc w:val="both"/>
        <w:rPr>
          <w:rFonts w:ascii="Abadi" w:hAnsi="Abadi"/>
          <w:sz w:val="21"/>
          <w:szCs w:val="21"/>
        </w:rPr>
      </w:pPr>
    </w:p>
    <w:p w14:paraId="212EB3DB" w14:textId="08D41A5D" w:rsidR="001F5101" w:rsidRDefault="001F5101" w:rsidP="001F5101">
      <w:pPr>
        <w:ind w:firstLine="708"/>
        <w:jc w:val="both"/>
        <w:rPr>
          <w:rFonts w:ascii="Abadi" w:hAnsi="Abadi"/>
          <w:sz w:val="21"/>
          <w:szCs w:val="21"/>
        </w:rPr>
      </w:pPr>
      <w:r>
        <w:rPr>
          <w:rFonts w:ascii="Abadi" w:hAnsi="Abadi"/>
          <w:b/>
          <w:bCs/>
          <w:sz w:val="21"/>
          <w:szCs w:val="21"/>
        </w:rPr>
        <w:t xml:space="preserve">- </w:t>
      </w:r>
      <w:r w:rsidRPr="001F5101">
        <w:rPr>
          <w:rFonts w:ascii="Abadi" w:hAnsi="Abadi"/>
          <w:b/>
          <w:bCs/>
          <w:sz w:val="21"/>
          <w:szCs w:val="21"/>
        </w:rPr>
        <w:t>La Presidencia.-</w:t>
      </w:r>
      <w:r w:rsidRPr="001F5101">
        <w:rPr>
          <w:rFonts w:ascii="Abadi" w:hAnsi="Abadi"/>
          <w:sz w:val="21"/>
          <w:szCs w:val="21"/>
        </w:rPr>
        <w:t xml:space="preserve"> La propuesta ha sido aprobada por unanimidad de votos.</w:t>
      </w:r>
    </w:p>
    <w:p w14:paraId="4C040DC5" w14:textId="77777777" w:rsidR="00F75ACE" w:rsidRDefault="00F75ACE" w:rsidP="001F5101">
      <w:pPr>
        <w:ind w:firstLine="708"/>
        <w:jc w:val="both"/>
        <w:rPr>
          <w:rFonts w:ascii="Abadi" w:hAnsi="Abadi"/>
          <w:sz w:val="21"/>
          <w:szCs w:val="21"/>
        </w:rPr>
      </w:pPr>
    </w:p>
    <w:p w14:paraId="17B6A48A" w14:textId="08F93E9E" w:rsidR="001F5101" w:rsidRPr="001F5101" w:rsidRDefault="001F5101" w:rsidP="001F5101">
      <w:pPr>
        <w:ind w:firstLine="708"/>
        <w:jc w:val="both"/>
        <w:rPr>
          <w:rFonts w:ascii="Abadi" w:hAnsi="Abadi"/>
          <w:sz w:val="21"/>
          <w:szCs w:val="21"/>
        </w:rPr>
      </w:pPr>
      <w:bookmarkStart w:id="2" w:name="_Hlk105827108"/>
      <w:r>
        <w:rPr>
          <w:rFonts w:ascii="Abadi" w:hAnsi="Abadi"/>
          <w:b/>
          <w:bCs/>
          <w:sz w:val="21"/>
          <w:szCs w:val="21"/>
        </w:rPr>
        <w:t xml:space="preserve">- </w:t>
      </w:r>
      <w:r w:rsidRPr="001F5101">
        <w:rPr>
          <w:rFonts w:ascii="Abadi" w:hAnsi="Abadi"/>
          <w:b/>
          <w:bCs/>
          <w:sz w:val="21"/>
          <w:szCs w:val="21"/>
        </w:rPr>
        <w:t>La Presidencia.-</w:t>
      </w:r>
      <w:r w:rsidRPr="001F5101">
        <w:rPr>
          <w:rFonts w:ascii="Abadi" w:hAnsi="Abadi"/>
          <w:sz w:val="21"/>
          <w:szCs w:val="21"/>
        </w:rPr>
        <w:t xml:space="preserve"> En consecuencia ejecútense los acuerdos dictados por es</w:t>
      </w:r>
      <w:r w:rsidR="00D85D47">
        <w:rPr>
          <w:rFonts w:ascii="Abadi" w:hAnsi="Abadi"/>
          <w:sz w:val="21"/>
          <w:szCs w:val="21"/>
        </w:rPr>
        <w:t>t</w:t>
      </w:r>
      <w:r w:rsidRPr="001F5101">
        <w:rPr>
          <w:rFonts w:ascii="Abadi" w:hAnsi="Abadi"/>
          <w:sz w:val="21"/>
          <w:szCs w:val="21"/>
        </w:rPr>
        <w:t>a Presidencia a las comunicaciones y correspondencia recibida</w:t>
      </w:r>
      <w:r w:rsidR="00D85D47">
        <w:rPr>
          <w:rFonts w:ascii="Abadi" w:hAnsi="Abadi"/>
          <w:sz w:val="21"/>
          <w:szCs w:val="21"/>
        </w:rPr>
        <w:t>s</w:t>
      </w:r>
      <w:r w:rsidRPr="001F5101">
        <w:rPr>
          <w:rFonts w:ascii="Abadi" w:hAnsi="Abadi"/>
          <w:sz w:val="21"/>
          <w:szCs w:val="21"/>
        </w:rPr>
        <w:t xml:space="preserve">. </w:t>
      </w:r>
    </w:p>
    <w:bookmarkEnd w:id="2"/>
    <w:p w14:paraId="099E449B" w14:textId="77777777" w:rsidR="001F5101" w:rsidRPr="006F59BB" w:rsidRDefault="001F5101" w:rsidP="003E2418">
      <w:pPr>
        <w:pStyle w:val="Prrafodelista"/>
        <w:ind w:left="0"/>
        <w:jc w:val="both"/>
        <w:rPr>
          <w:rFonts w:ascii="Abadi" w:hAnsi="Abadi"/>
          <w:b/>
          <w:bCs/>
          <w:sz w:val="21"/>
          <w:szCs w:val="21"/>
        </w:rPr>
      </w:pPr>
    </w:p>
    <w:p w14:paraId="67356038" w14:textId="77777777" w:rsidR="0066313B" w:rsidRPr="0066313B" w:rsidRDefault="0066313B" w:rsidP="0066313B">
      <w:pPr>
        <w:autoSpaceDE w:val="0"/>
        <w:autoSpaceDN w:val="0"/>
        <w:adjustRightInd w:val="0"/>
        <w:jc w:val="both"/>
        <w:rPr>
          <w:rFonts w:ascii="Abadi" w:hAnsi="Abadi" w:cs="ArialMT"/>
          <w:b/>
          <w:bCs/>
          <w:sz w:val="21"/>
          <w:szCs w:val="21"/>
        </w:rPr>
      </w:pPr>
    </w:p>
    <w:p w14:paraId="542A1969" w14:textId="3BBA0C03" w:rsidR="006F3002" w:rsidRDefault="003A3660" w:rsidP="005C6EBB">
      <w:pPr>
        <w:pStyle w:val="Prrafodelista"/>
        <w:numPr>
          <w:ilvl w:val="0"/>
          <w:numId w:val="8"/>
        </w:numPr>
        <w:autoSpaceDE w:val="0"/>
        <w:autoSpaceDN w:val="0"/>
        <w:adjustRightInd w:val="0"/>
        <w:ind w:left="426"/>
        <w:jc w:val="both"/>
        <w:rPr>
          <w:rFonts w:ascii="Abadi" w:hAnsi="Abadi" w:cs="ArialMT"/>
          <w:b/>
          <w:bCs/>
          <w:sz w:val="20"/>
          <w:szCs w:val="21"/>
        </w:rPr>
      </w:pPr>
      <w:r>
        <w:rPr>
          <w:rStyle w:val="Refdenotaalpie"/>
          <w:rFonts w:ascii="Abadi" w:hAnsi="Abadi" w:cs="ArialMT"/>
          <w:b/>
          <w:bCs/>
          <w:sz w:val="20"/>
          <w:szCs w:val="21"/>
        </w:rPr>
        <w:footnoteReference w:id="4"/>
      </w:r>
      <w:r w:rsidR="006F3002" w:rsidRPr="001F5101">
        <w:rPr>
          <w:rFonts w:ascii="Abadi" w:hAnsi="Abadi" w:cs="ArialMT"/>
          <w:b/>
          <w:bCs/>
          <w:sz w:val="20"/>
          <w:szCs w:val="21"/>
        </w:rPr>
        <w:t>PRESENTACIÓN DE LA INICIATIVA FORMULADA POR LA DIPUTADA HADES BERENICE AGUILAR CASTILLO INTEGRANTE DEL GRUPO PARLAMENTARIO DEL PARTIDO MORENA A EFECTO DE REFORMAR EL ARTÍCULO 171; ADICIONAR LA FRACCIÓN IX AL ARTÍCULO 59, RECORRIÉNDOSE EN SU ORDEN LAS SUBSECUENTES; Y DEROGAR EL ARTÍCULO 169 DE</w:t>
      </w:r>
      <w:r w:rsidR="001F5101" w:rsidRPr="001F5101">
        <w:rPr>
          <w:rFonts w:ascii="Abadi" w:hAnsi="Abadi" w:cs="ArialMT"/>
          <w:b/>
          <w:bCs/>
          <w:sz w:val="20"/>
          <w:szCs w:val="21"/>
        </w:rPr>
        <w:t xml:space="preserve"> </w:t>
      </w:r>
      <w:r w:rsidR="006F3002" w:rsidRPr="001F5101">
        <w:rPr>
          <w:rFonts w:ascii="Abadi" w:hAnsi="Abadi" w:cs="ArialMT"/>
          <w:b/>
          <w:bCs/>
          <w:sz w:val="20"/>
          <w:szCs w:val="21"/>
        </w:rPr>
        <w:t>LA LEY ORGÁNICA DEL PODER LEGISLATIVO DEL ESTADO DE GUANAJUATO.</w:t>
      </w:r>
    </w:p>
    <w:p w14:paraId="6B6BAE19" w14:textId="41768984" w:rsidR="00817621" w:rsidRDefault="00817621" w:rsidP="00817621">
      <w:pPr>
        <w:autoSpaceDE w:val="0"/>
        <w:autoSpaceDN w:val="0"/>
        <w:adjustRightInd w:val="0"/>
        <w:jc w:val="both"/>
        <w:rPr>
          <w:rFonts w:ascii="Abadi" w:hAnsi="Abadi" w:cs="ArialMT"/>
          <w:b/>
          <w:bCs/>
          <w:sz w:val="20"/>
          <w:szCs w:val="21"/>
        </w:rPr>
      </w:pPr>
    </w:p>
    <w:p w14:paraId="7604EAAF" w14:textId="35AC419F" w:rsidR="00817621" w:rsidRDefault="00817621" w:rsidP="00817621">
      <w:pPr>
        <w:autoSpaceDE w:val="0"/>
        <w:autoSpaceDN w:val="0"/>
        <w:adjustRightInd w:val="0"/>
        <w:jc w:val="both"/>
        <w:rPr>
          <w:rFonts w:ascii="Abadi" w:hAnsi="Abadi" w:cs="ArialMT"/>
          <w:b/>
          <w:bCs/>
          <w:sz w:val="20"/>
          <w:szCs w:val="21"/>
        </w:rPr>
      </w:pPr>
    </w:p>
    <w:p w14:paraId="38218A77" w14:textId="77777777" w:rsidR="00817621" w:rsidRPr="005114A0" w:rsidRDefault="00817621" w:rsidP="00817621">
      <w:pPr>
        <w:autoSpaceDE w:val="0"/>
        <w:autoSpaceDN w:val="0"/>
        <w:adjustRightInd w:val="0"/>
        <w:jc w:val="both"/>
        <w:rPr>
          <w:rFonts w:ascii="Abadi" w:hAnsi="Abadi" w:cs="Arial"/>
          <w:b/>
          <w:bCs/>
          <w:sz w:val="21"/>
          <w:szCs w:val="21"/>
        </w:rPr>
      </w:pPr>
      <w:r w:rsidRPr="005114A0">
        <w:rPr>
          <w:rFonts w:ascii="Abadi" w:hAnsi="Abadi" w:cs="Arial"/>
          <w:b/>
          <w:bCs/>
          <w:sz w:val="21"/>
          <w:szCs w:val="21"/>
        </w:rPr>
        <w:t>DIPUTADA IRMA LETICIA GONZÁLEZ SÁNCHEZ</w:t>
      </w:r>
    </w:p>
    <w:p w14:paraId="79C9B831" w14:textId="77777777" w:rsidR="00817621" w:rsidRPr="005114A0" w:rsidRDefault="00817621" w:rsidP="00817621">
      <w:pPr>
        <w:autoSpaceDE w:val="0"/>
        <w:autoSpaceDN w:val="0"/>
        <w:adjustRightInd w:val="0"/>
        <w:jc w:val="both"/>
        <w:rPr>
          <w:rFonts w:ascii="Abadi" w:hAnsi="Abadi" w:cs="Arial"/>
          <w:b/>
          <w:bCs/>
          <w:sz w:val="21"/>
          <w:szCs w:val="21"/>
        </w:rPr>
      </w:pPr>
      <w:r w:rsidRPr="005114A0">
        <w:rPr>
          <w:rFonts w:ascii="Abadi" w:hAnsi="Abadi" w:cs="Arial"/>
          <w:b/>
          <w:bCs/>
          <w:sz w:val="21"/>
          <w:szCs w:val="21"/>
        </w:rPr>
        <w:t>PRESIDENTA DE LA MESA DIRECTIVA</w:t>
      </w:r>
    </w:p>
    <w:p w14:paraId="4AAC1C26" w14:textId="77777777" w:rsidR="00817621" w:rsidRPr="005114A0" w:rsidRDefault="00817621" w:rsidP="00817621">
      <w:pPr>
        <w:autoSpaceDE w:val="0"/>
        <w:autoSpaceDN w:val="0"/>
        <w:adjustRightInd w:val="0"/>
        <w:jc w:val="both"/>
        <w:rPr>
          <w:rFonts w:ascii="Abadi" w:hAnsi="Abadi" w:cs="Arial"/>
          <w:b/>
          <w:bCs/>
          <w:sz w:val="21"/>
          <w:szCs w:val="21"/>
        </w:rPr>
      </w:pPr>
      <w:r w:rsidRPr="005114A0">
        <w:rPr>
          <w:rFonts w:ascii="Abadi" w:hAnsi="Abadi" w:cs="Arial"/>
          <w:b/>
          <w:bCs/>
          <w:sz w:val="21"/>
          <w:szCs w:val="21"/>
        </w:rPr>
        <w:t>CONGRESO DEL ESTADO DE GUANAJUATO</w:t>
      </w:r>
    </w:p>
    <w:p w14:paraId="47C0AA75" w14:textId="77777777" w:rsidR="00817621" w:rsidRPr="005114A0" w:rsidRDefault="00817621" w:rsidP="00817621">
      <w:pPr>
        <w:autoSpaceDE w:val="0"/>
        <w:autoSpaceDN w:val="0"/>
        <w:adjustRightInd w:val="0"/>
        <w:jc w:val="both"/>
        <w:rPr>
          <w:rFonts w:ascii="Abadi" w:hAnsi="Abadi" w:cs="Arial"/>
          <w:b/>
          <w:bCs/>
          <w:sz w:val="21"/>
          <w:szCs w:val="21"/>
        </w:rPr>
      </w:pPr>
      <w:r w:rsidRPr="005114A0">
        <w:rPr>
          <w:rFonts w:ascii="Abadi" w:hAnsi="Abadi" w:cs="Arial"/>
          <w:b/>
          <w:bCs/>
          <w:sz w:val="21"/>
          <w:szCs w:val="21"/>
        </w:rPr>
        <w:t>LXV LEGISLATURA</w:t>
      </w:r>
    </w:p>
    <w:p w14:paraId="45581D60" w14:textId="77777777" w:rsidR="00817621" w:rsidRPr="005114A0" w:rsidRDefault="00817621" w:rsidP="00817621">
      <w:pPr>
        <w:autoSpaceDE w:val="0"/>
        <w:autoSpaceDN w:val="0"/>
        <w:adjustRightInd w:val="0"/>
        <w:jc w:val="both"/>
        <w:rPr>
          <w:rFonts w:ascii="Abadi" w:hAnsi="Abadi" w:cs="Arial"/>
          <w:b/>
          <w:bCs/>
          <w:sz w:val="21"/>
          <w:szCs w:val="21"/>
        </w:rPr>
      </w:pPr>
      <w:r w:rsidRPr="005114A0">
        <w:rPr>
          <w:rFonts w:ascii="Abadi" w:hAnsi="Abadi" w:cs="Arial"/>
          <w:b/>
          <w:bCs/>
          <w:sz w:val="21"/>
          <w:szCs w:val="21"/>
        </w:rPr>
        <w:t>PRESENTE</w:t>
      </w:r>
    </w:p>
    <w:p w14:paraId="606BC1AB" w14:textId="77777777" w:rsidR="00817621" w:rsidRPr="005114A0" w:rsidRDefault="00817621" w:rsidP="00817621">
      <w:pPr>
        <w:autoSpaceDE w:val="0"/>
        <w:autoSpaceDN w:val="0"/>
        <w:adjustRightInd w:val="0"/>
        <w:jc w:val="both"/>
        <w:rPr>
          <w:rFonts w:ascii="Abadi" w:hAnsi="Abadi" w:cs="Arial"/>
          <w:b/>
          <w:bCs/>
          <w:sz w:val="21"/>
          <w:szCs w:val="21"/>
        </w:rPr>
      </w:pPr>
    </w:p>
    <w:p w14:paraId="20F19623" w14:textId="77777777" w:rsidR="00817621" w:rsidRDefault="00817621" w:rsidP="00817621">
      <w:pPr>
        <w:autoSpaceDE w:val="0"/>
        <w:autoSpaceDN w:val="0"/>
        <w:adjustRightInd w:val="0"/>
        <w:jc w:val="both"/>
        <w:rPr>
          <w:rFonts w:ascii="Abadi" w:hAnsi="Abadi" w:cs="Arial"/>
          <w:sz w:val="21"/>
          <w:szCs w:val="21"/>
        </w:rPr>
      </w:pPr>
      <w:r w:rsidRPr="005114A0">
        <w:rPr>
          <w:rFonts w:ascii="Abadi" w:hAnsi="Abadi" w:cs="Arial"/>
          <w:b/>
          <w:bCs/>
          <w:sz w:val="21"/>
          <w:szCs w:val="21"/>
        </w:rPr>
        <w:t xml:space="preserve">Hades Berenice Aguilar Castillo, </w:t>
      </w:r>
      <w:r w:rsidRPr="005114A0">
        <w:rPr>
          <w:rFonts w:ascii="Abadi" w:hAnsi="Abadi" w:cs="Arial"/>
          <w:sz w:val="21"/>
          <w:szCs w:val="21"/>
        </w:rPr>
        <w:t xml:space="preserve">diputada del Grupo Parlamentario de </w:t>
      </w:r>
      <w:r w:rsidRPr="005114A0">
        <w:rPr>
          <w:rFonts w:ascii="Abadi" w:hAnsi="Abadi" w:cs="Arial"/>
          <w:b/>
          <w:bCs/>
          <w:sz w:val="21"/>
          <w:szCs w:val="21"/>
        </w:rPr>
        <w:t>morena</w:t>
      </w:r>
      <w:r>
        <w:rPr>
          <w:rFonts w:ascii="Abadi" w:hAnsi="Abadi" w:cs="Arial"/>
          <w:b/>
          <w:bCs/>
          <w:sz w:val="21"/>
          <w:szCs w:val="21"/>
        </w:rPr>
        <w:t xml:space="preserve"> </w:t>
      </w:r>
      <w:r w:rsidRPr="005114A0">
        <w:rPr>
          <w:rFonts w:ascii="Abadi" w:hAnsi="Abadi" w:cs="Arial"/>
          <w:sz w:val="21"/>
          <w:szCs w:val="21"/>
        </w:rPr>
        <w:t>en esta LXV Legislatura, en ejercicio de mis atribuciones, comparezco para exponer la siguiente iniciativa con proyecto de Decreto por el cual se reforma la Ley Orgánica del Poder Legislativo del Estado de Guanajuato, para ser sometida a la honorable</w:t>
      </w:r>
      <w:r>
        <w:rPr>
          <w:rFonts w:ascii="Abadi" w:hAnsi="Abadi" w:cs="Arial"/>
          <w:sz w:val="21"/>
          <w:szCs w:val="21"/>
        </w:rPr>
        <w:t xml:space="preserve"> </w:t>
      </w:r>
      <w:r w:rsidRPr="005114A0">
        <w:rPr>
          <w:rFonts w:ascii="Abadi" w:hAnsi="Abadi" w:cs="Arial"/>
          <w:sz w:val="21"/>
          <w:szCs w:val="21"/>
        </w:rPr>
        <w:t>consideración de esta asamblea.</w:t>
      </w:r>
    </w:p>
    <w:p w14:paraId="6F198E76" w14:textId="77777777" w:rsidR="00817621" w:rsidRPr="005114A0" w:rsidRDefault="00817621" w:rsidP="00817621">
      <w:pPr>
        <w:autoSpaceDE w:val="0"/>
        <w:autoSpaceDN w:val="0"/>
        <w:adjustRightInd w:val="0"/>
        <w:jc w:val="both"/>
        <w:rPr>
          <w:rFonts w:ascii="Abadi" w:hAnsi="Abadi" w:cs="Arial"/>
          <w:sz w:val="21"/>
          <w:szCs w:val="21"/>
        </w:rPr>
      </w:pPr>
    </w:p>
    <w:p w14:paraId="427B253A" w14:textId="77777777" w:rsidR="00817621" w:rsidRPr="005114A0"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Lo anterior con fundamento en los artículos 56, fracción II de la Constitución Política</w:t>
      </w:r>
      <w:r>
        <w:rPr>
          <w:rFonts w:ascii="Abadi" w:hAnsi="Abadi" w:cs="Arial"/>
          <w:sz w:val="21"/>
          <w:szCs w:val="21"/>
        </w:rPr>
        <w:t xml:space="preserve"> </w:t>
      </w:r>
      <w:r w:rsidRPr="005114A0">
        <w:rPr>
          <w:rFonts w:ascii="Abadi" w:hAnsi="Abadi" w:cs="Arial"/>
          <w:sz w:val="21"/>
          <w:szCs w:val="21"/>
        </w:rPr>
        <w:t>para el Estado de Guanajuato y 167, fracción II de la Ley Orgánica del Poder</w:t>
      </w:r>
      <w:r>
        <w:rPr>
          <w:rFonts w:ascii="Abadi" w:hAnsi="Abadi" w:cs="Arial"/>
          <w:sz w:val="21"/>
          <w:szCs w:val="21"/>
        </w:rPr>
        <w:t xml:space="preserve"> </w:t>
      </w:r>
      <w:r w:rsidRPr="005114A0">
        <w:rPr>
          <w:rFonts w:ascii="Abadi" w:hAnsi="Abadi" w:cs="Arial"/>
          <w:sz w:val="21"/>
          <w:szCs w:val="21"/>
        </w:rPr>
        <w:t>Legislativo del Estado de Guanajuato, así como en la siguiente</w:t>
      </w:r>
    </w:p>
    <w:p w14:paraId="094FEC54" w14:textId="77777777" w:rsidR="00817621" w:rsidRDefault="00817621" w:rsidP="00817621">
      <w:pPr>
        <w:autoSpaceDE w:val="0"/>
        <w:autoSpaceDN w:val="0"/>
        <w:adjustRightInd w:val="0"/>
        <w:jc w:val="both"/>
        <w:rPr>
          <w:rFonts w:ascii="Abadi" w:hAnsi="Abadi" w:cs="Arial"/>
          <w:b/>
          <w:bCs/>
          <w:sz w:val="21"/>
          <w:szCs w:val="21"/>
        </w:rPr>
      </w:pPr>
    </w:p>
    <w:p w14:paraId="5A2A0637" w14:textId="77777777" w:rsidR="00817621" w:rsidRDefault="00817621" w:rsidP="00817621">
      <w:pPr>
        <w:autoSpaceDE w:val="0"/>
        <w:autoSpaceDN w:val="0"/>
        <w:adjustRightInd w:val="0"/>
        <w:ind w:firstLine="708"/>
        <w:jc w:val="center"/>
        <w:rPr>
          <w:rFonts w:ascii="Abadi" w:hAnsi="Abadi" w:cs="Arial"/>
          <w:b/>
          <w:bCs/>
          <w:sz w:val="21"/>
          <w:szCs w:val="21"/>
        </w:rPr>
      </w:pPr>
      <w:r w:rsidRPr="005114A0">
        <w:rPr>
          <w:rFonts w:ascii="Abadi" w:hAnsi="Abadi" w:cs="Arial"/>
          <w:b/>
          <w:bCs/>
          <w:sz w:val="21"/>
          <w:szCs w:val="21"/>
        </w:rPr>
        <w:t>EXPOSICIÓN DE MOTIVOS</w:t>
      </w:r>
    </w:p>
    <w:p w14:paraId="193D528F" w14:textId="77777777" w:rsidR="00817621" w:rsidRPr="005114A0" w:rsidRDefault="00817621" w:rsidP="00817621">
      <w:pPr>
        <w:autoSpaceDE w:val="0"/>
        <w:autoSpaceDN w:val="0"/>
        <w:adjustRightInd w:val="0"/>
        <w:jc w:val="both"/>
        <w:rPr>
          <w:rFonts w:ascii="Abadi" w:hAnsi="Abadi" w:cs="Arial"/>
          <w:b/>
          <w:bCs/>
          <w:sz w:val="21"/>
          <w:szCs w:val="21"/>
        </w:rPr>
      </w:pPr>
    </w:p>
    <w:p w14:paraId="609504F9" w14:textId="77777777" w:rsidR="00817621" w:rsidRPr="005114A0"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Una de las funciones sustanciales de este Poder Legislativo es la reforma y</w:t>
      </w:r>
      <w:r>
        <w:rPr>
          <w:rFonts w:ascii="Abadi" w:hAnsi="Abadi" w:cs="Arial"/>
          <w:sz w:val="21"/>
          <w:szCs w:val="21"/>
        </w:rPr>
        <w:t xml:space="preserve"> </w:t>
      </w:r>
      <w:r w:rsidRPr="005114A0">
        <w:rPr>
          <w:rFonts w:ascii="Abadi" w:hAnsi="Abadi" w:cs="Arial"/>
          <w:sz w:val="21"/>
          <w:szCs w:val="21"/>
        </w:rPr>
        <w:t>modificación del marco normativo de nuestro Estado. Para ello, este Congreso</w:t>
      </w:r>
      <w:r>
        <w:rPr>
          <w:rFonts w:ascii="Abadi" w:hAnsi="Abadi" w:cs="Arial"/>
          <w:sz w:val="21"/>
          <w:szCs w:val="21"/>
        </w:rPr>
        <w:t xml:space="preserve"> </w:t>
      </w:r>
      <w:r w:rsidRPr="005114A0">
        <w:rPr>
          <w:rFonts w:ascii="Abadi" w:hAnsi="Abadi" w:cs="Arial"/>
          <w:sz w:val="21"/>
          <w:szCs w:val="21"/>
        </w:rPr>
        <w:t>contempla un proceso legislativo que puede ser iniciado por el Gobernador, los</w:t>
      </w:r>
      <w:r>
        <w:rPr>
          <w:rFonts w:ascii="Abadi" w:hAnsi="Abadi" w:cs="Arial"/>
          <w:sz w:val="21"/>
          <w:szCs w:val="21"/>
        </w:rPr>
        <w:t xml:space="preserve"> </w:t>
      </w:r>
      <w:r w:rsidRPr="005114A0">
        <w:rPr>
          <w:rFonts w:ascii="Abadi" w:hAnsi="Abadi" w:cs="Arial"/>
          <w:sz w:val="21"/>
          <w:szCs w:val="21"/>
        </w:rPr>
        <w:t>diputados y diputadas locales, el Supremo Tribunal de Justicia, los Ayuntamientos</w:t>
      </w:r>
      <w:r>
        <w:rPr>
          <w:rFonts w:ascii="Abadi" w:hAnsi="Abadi" w:cs="Arial"/>
          <w:sz w:val="21"/>
          <w:szCs w:val="21"/>
        </w:rPr>
        <w:t xml:space="preserve"> </w:t>
      </w:r>
      <w:r w:rsidRPr="005114A0">
        <w:rPr>
          <w:rFonts w:ascii="Abadi" w:hAnsi="Abadi" w:cs="Arial"/>
          <w:sz w:val="21"/>
          <w:szCs w:val="21"/>
        </w:rPr>
        <w:t>y la propia ciudadanía organizada, según el propio artículo 56 de la Constitución</w:t>
      </w:r>
      <w:r>
        <w:rPr>
          <w:rFonts w:ascii="Abadi" w:hAnsi="Abadi" w:cs="Arial"/>
          <w:sz w:val="21"/>
          <w:szCs w:val="21"/>
        </w:rPr>
        <w:t xml:space="preserve"> </w:t>
      </w:r>
      <w:r w:rsidRPr="005114A0">
        <w:rPr>
          <w:rFonts w:ascii="Abadi" w:hAnsi="Abadi" w:cs="Arial"/>
          <w:sz w:val="21"/>
          <w:szCs w:val="21"/>
        </w:rPr>
        <w:t>Política para el Estado de Guanajuato.</w:t>
      </w:r>
    </w:p>
    <w:p w14:paraId="4FECBA2B" w14:textId="77777777" w:rsidR="00817621" w:rsidRDefault="00817621" w:rsidP="00817621">
      <w:pPr>
        <w:autoSpaceDE w:val="0"/>
        <w:autoSpaceDN w:val="0"/>
        <w:adjustRightInd w:val="0"/>
        <w:ind w:firstLine="708"/>
        <w:jc w:val="both"/>
        <w:rPr>
          <w:rFonts w:ascii="Abadi" w:hAnsi="Abadi" w:cs="Arial"/>
          <w:sz w:val="21"/>
          <w:szCs w:val="21"/>
        </w:rPr>
      </w:pPr>
    </w:p>
    <w:p w14:paraId="47AEEB2C" w14:textId="77777777" w:rsidR="00817621"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El desarrollo del proceso legislativo está normado en la Ley Orgánica del Poder</w:t>
      </w:r>
      <w:r>
        <w:rPr>
          <w:rFonts w:ascii="Abadi" w:hAnsi="Abadi" w:cs="Arial"/>
          <w:sz w:val="21"/>
          <w:szCs w:val="21"/>
        </w:rPr>
        <w:t xml:space="preserve"> </w:t>
      </w:r>
      <w:r w:rsidRPr="005114A0">
        <w:rPr>
          <w:rFonts w:ascii="Abadi" w:hAnsi="Abadi" w:cs="Arial"/>
          <w:sz w:val="21"/>
          <w:szCs w:val="21"/>
        </w:rPr>
        <w:t>Legislativo del Estado de Guanajuato, de modo tal que se contempla una serie de</w:t>
      </w:r>
      <w:r>
        <w:rPr>
          <w:rFonts w:ascii="Abadi" w:hAnsi="Abadi" w:cs="Arial"/>
          <w:sz w:val="21"/>
          <w:szCs w:val="21"/>
        </w:rPr>
        <w:t xml:space="preserve"> </w:t>
      </w:r>
      <w:r w:rsidRPr="005114A0">
        <w:rPr>
          <w:rFonts w:ascii="Abadi" w:hAnsi="Abadi" w:cs="Arial"/>
          <w:sz w:val="21"/>
          <w:szCs w:val="21"/>
        </w:rPr>
        <w:t>procedimientos de estudio, análisis y discusión de todas las iniciativas que se</w:t>
      </w:r>
      <w:r>
        <w:rPr>
          <w:rFonts w:ascii="Abadi" w:hAnsi="Abadi" w:cs="Arial"/>
          <w:sz w:val="21"/>
          <w:szCs w:val="21"/>
        </w:rPr>
        <w:t xml:space="preserve"> </w:t>
      </w:r>
      <w:r w:rsidRPr="005114A0">
        <w:rPr>
          <w:rFonts w:ascii="Abadi" w:hAnsi="Abadi" w:cs="Arial"/>
          <w:sz w:val="21"/>
          <w:szCs w:val="21"/>
        </w:rPr>
        <w:t>presentan, para culminar con la votación y, en su caso, aprobación o archivo de las iniciativas. Ahí se manifiesta la naturaleza democrática de la discusión plural que,</w:t>
      </w:r>
      <w:r>
        <w:rPr>
          <w:rFonts w:ascii="Abadi" w:hAnsi="Abadi" w:cs="Arial"/>
          <w:sz w:val="21"/>
          <w:szCs w:val="21"/>
        </w:rPr>
        <w:t xml:space="preserve"> </w:t>
      </w:r>
      <w:r w:rsidRPr="005114A0">
        <w:rPr>
          <w:rFonts w:ascii="Abadi" w:hAnsi="Abadi" w:cs="Arial"/>
          <w:sz w:val="21"/>
          <w:szCs w:val="21"/>
        </w:rPr>
        <w:t>en teoría, debería permitir que busquemos colectivamente los caminos para resolver</w:t>
      </w:r>
      <w:r>
        <w:rPr>
          <w:rFonts w:ascii="Abadi" w:hAnsi="Abadi" w:cs="Arial"/>
          <w:sz w:val="21"/>
          <w:szCs w:val="21"/>
        </w:rPr>
        <w:t xml:space="preserve"> </w:t>
      </w:r>
      <w:r w:rsidRPr="005114A0">
        <w:rPr>
          <w:rFonts w:ascii="Abadi" w:hAnsi="Abadi" w:cs="Arial"/>
          <w:sz w:val="21"/>
          <w:szCs w:val="21"/>
        </w:rPr>
        <w:t>los problemas y crear las instituciones que necesitamos como sociedad.</w:t>
      </w:r>
    </w:p>
    <w:p w14:paraId="1C80D1E0" w14:textId="77777777" w:rsidR="00817621" w:rsidRPr="005114A0" w:rsidRDefault="00817621" w:rsidP="00817621">
      <w:pPr>
        <w:autoSpaceDE w:val="0"/>
        <w:autoSpaceDN w:val="0"/>
        <w:adjustRightInd w:val="0"/>
        <w:jc w:val="both"/>
        <w:rPr>
          <w:rFonts w:ascii="Abadi" w:hAnsi="Abadi" w:cs="Arial"/>
          <w:sz w:val="21"/>
          <w:szCs w:val="21"/>
        </w:rPr>
      </w:pPr>
    </w:p>
    <w:p w14:paraId="15003E84" w14:textId="77777777" w:rsidR="00817621"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Sin embargo, en nuestro Congreso se presentan múltiples obstáculos que dificultan</w:t>
      </w:r>
      <w:r>
        <w:rPr>
          <w:rFonts w:ascii="Abadi" w:hAnsi="Abadi" w:cs="Arial"/>
          <w:sz w:val="21"/>
          <w:szCs w:val="21"/>
        </w:rPr>
        <w:t xml:space="preserve"> </w:t>
      </w:r>
      <w:r w:rsidRPr="005114A0">
        <w:rPr>
          <w:rFonts w:ascii="Abadi" w:hAnsi="Abadi" w:cs="Arial"/>
          <w:sz w:val="21"/>
          <w:szCs w:val="21"/>
        </w:rPr>
        <w:t>e, incluso, impiden esa discusión plural y democrática. Uno de estos obstáculos se</w:t>
      </w:r>
      <w:r>
        <w:rPr>
          <w:rFonts w:ascii="Abadi" w:hAnsi="Abadi" w:cs="Arial"/>
          <w:sz w:val="21"/>
          <w:szCs w:val="21"/>
        </w:rPr>
        <w:t xml:space="preserve"> </w:t>
      </w:r>
      <w:r w:rsidRPr="005114A0">
        <w:rPr>
          <w:rFonts w:ascii="Abadi" w:hAnsi="Abadi" w:cs="Arial"/>
          <w:sz w:val="21"/>
          <w:szCs w:val="21"/>
        </w:rPr>
        <w:t>encuentra en la Ley. Y ha sido señalado por Morena, por Movimiento Ciudadano,</w:t>
      </w:r>
      <w:r>
        <w:rPr>
          <w:rFonts w:ascii="Abadi" w:hAnsi="Abadi" w:cs="Arial"/>
          <w:sz w:val="21"/>
          <w:szCs w:val="21"/>
        </w:rPr>
        <w:t xml:space="preserve"> </w:t>
      </w:r>
      <w:r w:rsidRPr="005114A0">
        <w:rPr>
          <w:rFonts w:ascii="Abadi" w:hAnsi="Abadi" w:cs="Arial"/>
          <w:sz w:val="21"/>
          <w:szCs w:val="21"/>
        </w:rPr>
        <w:t>por el PT y hasta por el PRD: existe una ventana legal para que quienes presiden</w:t>
      </w:r>
      <w:r>
        <w:rPr>
          <w:rFonts w:ascii="Abadi" w:hAnsi="Abadi" w:cs="Arial"/>
          <w:sz w:val="21"/>
          <w:szCs w:val="21"/>
        </w:rPr>
        <w:t xml:space="preserve"> </w:t>
      </w:r>
      <w:r w:rsidRPr="005114A0">
        <w:rPr>
          <w:rFonts w:ascii="Abadi" w:hAnsi="Abadi" w:cs="Arial"/>
          <w:sz w:val="21"/>
          <w:szCs w:val="21"/>
        </w:rPr>
        <w:t>las Comisiones Legislativas puedan congelar a discreción todas las propuestas que</w:t>
      </w:r>
      <w:r>
        <w:rPr>
          <w:rFonts w:ascii="Abadi" w:hAnsi="Abadi" w:cs="Arial"/>
          <w:sz w:val="21"/>
          <w:szCs w:val="21"/>
        </w:rPr>
        <w:t xml:space="preserve"> </w:t>
      </w:r>
      <w:r w:rsidRPr="005114A0">
        <w:rPr>
          <w:rFonts w:ascii="Abadi" w:hAnsi="Abadi" w:cs="Arial"/>
          <w:sz w:val="21"/>
          <w:szCs w:val="21"/>
        </w:rPr>
        <w:t>no quieren discutir.</w:t>
      </w:r>
    </w:p>
    <w:p w14:paraId="456B1403" w14:textId="77777777" w:rsidR="00817621" w:rsidRPr="005114A0" w:rsidRDefault="00817621" w:rsidP="00817621">
      <w:pPr>
        <w:autoSpaceDE w:val="0"/>
        <w:autoSpaceDN w:val="0"/>
        <w:adjustRightInd w:val="0"/>
        <w:jc w:val="both"/>
        <w:rPr>
          <w:rFonts w:ascii="Abadi" w:hAnsi="Abadi" w:cs="Arial"/>
          <w:sz w:val="21"/>
          <w:szCs w:val="21"/>
        </w:rPr>
      </w:pPr>
    </w:p>
    <w:p w14:paraId="37EB8A90" w14:textId="77777777" w:rsidR="00817621"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Actualmente, nuestra Ley Orgánica no contempla un plazo específico que mandate</w:t>
      </w:r>
      <w:r>
        <w:rPr>
          <w:rFonts w:ascii="Abadi" w:hAnsi="Abadi" w:cs="Arial"/>
          <w:sz w:val="21"/>
          <w:szCs w:val="21"/>
        </w:rPr>
        <w:t xml:space="preserve"> </w:t>
      </w:r>
      <w:r w:rsidRPr="005114A0">
        <w:rPr>
          <w:rFonts w:ascii="Abadi" w:hAnsi="Abadi" w:cs="Arial"/>
          <w:sz w:val="21"/>
          <w:szCs w:val="21"/>
        </w:rPr>
        <w:t>a las Comisiones Legislativas a que dictaminen las iniciativas presentadas en un</w:t>
      </w:r>
      <w:r>
        <w:rPr>
          <w:rFonts w:ascii="Abadi" w:hAnsi="Abadi" w:cs="Arial"/>
          <w:sz w:val="21"/>
          <w:szCs w:val="21"/>
        </w:rPr>
        <w:t xml:space="preserve"> </w:t>
      </w:r>
      <w:r w:rsidRPr="005114A0">
        <w:rPr>
          <w:rFonts w:ascii="Abadi" w:hAnsi="Abadi" w:cs="Arial"/>
          <w:sz w:val="21"/>
          <w:szCs w:val="21"/>
        </w:rPr>
        <w:t>tiempo determinado. Esta falta de plazo se suple con el criterio discrecional de la</w:t>
      </w:r>
      <w:r>
        <w:rPr>
          <w:rFonts w:ascii="Abadi" w:hAnsi="Abadi" w:cs="Arial"/>
          <w:sz w:val="21"/>
          <w:szCs w:val="21"/>
        </w:rPr>
        <w:t xml:space="preserve"> </w:t>
      </w:r>
      <w:r w:rsidRPr="005114A0">
        <w:rPr>
          <w:rFonts w:ascii="Abadi" w:hAnsi="Abadi" w:cs="Arial"/>
          <w:sz w:val="21"/>
          <w:szCs w:val="21"/>
        </w:rPr>
        <w:t>presidenta o presidente de la Comisión de que se trate, situación que Movimiento</w:t>
      </w:r>
      <w:r>
        <w:rPr>
          <w:rFonts w:ascii="Abadi" w:hAnsi="Abadi" w:cs="Arial"/>
          <w:sz w:val="21"/>
          <w:szCs w:val="21"/>
        </w:rPr>
        <w:t xml:space="preserve"> </w:t>
      </w:r>
      <w:r w:rsidRPr="005114A0">
        <w:rPr>
          <w:rFonts w:ascii="Abadi" w:hAnsi="Abadi" w:cs="Arial"/>
          <w:sz w:val="21"/>
          <w:szCs w:val="21"/>
        </w:rPr>
        <w:t xml:space="preserve">Ciudadano </w:t>
      </w:r>
      <w:r w:rsidRPr="005114A0">
        <w:rPr>
          <w:rFonts w:ascii="Abadi" w:hAnsi="Abadi" w:cs="ArialMT"/>
          <w:sz w:val="21"/>
          <w:szCs w:val="21"/>
        </w:rPr>
        <w:t>–</w:t>
      </w:r>
      <w:r w:rsidRPr="005114A0">
        <w:rPr>
          <w:rFonts w:ascii="Abadi" w:hAnsi="Abadi" w:cs="Arial"/>
          <w:sz w:val="21"/>
          <w:szCs w:val="21"/>
        </w:rPr>
        <w:t>en la iniciativa en materia que presentó en esta Legislatura- identificó</w:t>
      </w:r>
      <w:r>
        <w:rPr>
          <w:rFonts w:ascii="Abadi" w:hAnsi="Abadi" w:cs="Arial"/>
          <w:sz w:val="21"/>
          <w:szCs w:val="21"/>
        </w:rPr>
        <w:t xml:space="preserve"> </w:t>
      </w:r>
      <w:r w:rsidRPr="005114A0">
        <w:rPr>
          <w:rFonts w:ascii="Abadi" w:hAnsi="Abadi" w:cs="Arial"/>
          <w:sz w:val="21"/>
          <w:szCs w:val="21"/>
        </w:rPr>
        <w:t xml:space="preserve">como </w:t>
      </w:r>
      <w:r w:rsidRPr="005114A0">
        <w:rPr>
          <w:rFonts w:ascii="Abadi" w:hAnsi="Abadi" w:cs="Arial"/>
          <w:i/>
          <w:iCs/>
          <w:sz w:val="21"/>
          <w:szCs w:val="21"/>
        </w:rPr>
        <w:t xml:space="preserve">veto de bolsillo, </w:t>
      </w:r>
      <w:r w:rsidRPr="005114A0">
        <w:rPr>
          <w:rFonts w:ascii="Abadi" w:hAnsi="Abadi" w:cs="Arial"/>
          <w:sz w:val="21"/>
          <w:szCs w:val="21"/>
        </w:rPr>
        <w:t>parafraseando al politólogo Giovanni Sartori.</w:t>
      </w:r>
    </w:p>
    <w:p w14:paraId="622F7720" w14:textId="77777777" w:rsidR="00817621" w:rsidRPr="005114A0" w:rsidRDefault="00817621" w:rsidP="00817621">
      <w:pPr>
        <w:autoSpaceDE w:val="0"/>
        <w:autoSpaceDN w:val="0"/>
        <w:adjustRightInd w:val="0"/>
        <w:jc w:val="both"/>
        <w:rPr>
          <w:rFonts w:ascii="Abadi" w:hAnsi="Abadi" w:cs="Arial"/>
          <w:sz w:val="21"/>
          <w:szCs w:val="21"/>
        </w:rPr>
      </w:pPr>
    </w:p>
    <w:p w14:paraId="51F9E509" w14:textId="77777777" w:rsidR="00817621" w:rsidRDefault="00817621" w:rsidP="00817621">
      <w:pPr>
        <w:autoSpaceDE w:val="0"/>
        <w:autoSpaceDN w:val="0"/>
        <w:adjustRightInd w:val="0"/>
        <w:jc w:val="both"/>
        <w:rPr>
          <w:rFonts w:ascii="Abadi" w:hAnsi="Abadi" w:cs="Arial"/>
          <w:i/>
          <w:iCs/>
          <w:sz w:val="21"/>
          <w:szCs w:val="21"/>
        </w:rPr>
      </w:pPr>
      <w:r w:rsidRPr="005114A0">
        <w:rPr>
          <w:rFonts w:ascii="Abadi" w:hAnsi="Abadi" w:cs="Arial"/>
          <w:sz w:val="21"/>
          <w:szCs w:val="21"/>
        </w:rPr>
        <w:t>Adicionalmente, existe una disposición de la propia Ley Orgánica del Poder</w:t>
      </w:r>
      <w:r>
        <w:rPr>
          <w:rFonts w:ascii="Abadi" w:hAnsi="Abadi" w:cs="Arial"/>
          <w:sz w:val="21"/>
          <w:szCs w:val="21"/>
        </w:rPr>
        <w:t xml:space="preserve"> </w:t>
      </w:r>
      <w:r w:rsidRPr="005114A0">
        <w:rPr>
          <w:rFonts w:ascii="Abadi" w:hAnsi="Abadi" w:cs="Arial"/>
          <w:sz w:val="21"/>
          <w:szCs w:val="21"/>
        </w:rPr>
        <w:t>Legislativo que permite que las iniciativas pausen el proceso legislativo. Esta</w:t>
      </w:r>
      <w:r>
        <w:rPr>
          <w:rFonts w:ascii="Abadi" w:hAnsi="Abadi" w:cs="Arial"/>
          <w:sz w:val="21"/>
          <w:szCs w:val="21"/>
        </w:rPr>
        <w:t xml:space="preserve"> </w:t>
      </w:r>
      <w:r w:rsidRPr="005114A0">
        <w:rPr>
          <w:rFonts w:ascii="Abadi" w:hAnsi="Abadi" w:cs="Arial"/>
          <w:sz w:val="21"/>
          <w:szCs w:val="21"/>
        </w:rPr>
        <w:t xml:space="preserve">disposición se halla en el artículo 169, mismo que señala: </w:t>
      </w:r>
      <w:r w:rsidRPr="005114A0">
        <w:rPr>
          <w:rFonts w:ascii="Abadi" w:hAnsi="Abadi" w:cs="Arial"/>
          <w:i/>
          <w:iCs/>
          <w:sz w:val="21"/>
          <w:szCs w:val="21"/>
        </w:rPr>
        <w:t>las iniciativas o</w:t>
      </w:r>
      <w:r>
        <w:rPr>
          <w:rFonts w:ascii="Abadi" w:hAnsi="Abadi" w:cs="Arial"/>
          <w:i/>
          <w:iCs/>
          <w:sz w:val="21"/>
          <w:szCs w:val="21"/>
        </w:rPr>
        <w:t xml:space="preserve"> </w:t>
      </w:r>
      <w:r w:rsidRPr="005114A0">
        <w:rPr>
          <w:rFonts w:ascii="Abadi" w:hAnsi="Abadi" w:cs="Arial"/>
          <w:i/>
          <w:iCs/>
          <w:sz w:val="21"/>
          <w:szCs w:val="21"/>
        </w:rPr>
        <w:t>proposiciones de acuerdos que no fueren dictaminadas durante el ejercicio</w:t>
      </w:r>
      <w:r>
        <w:rPr>
          <w:rFonts w:ascii="Abadi" w:hAnsi="Abadi" w:cs="Arial"/>
          <w:i/>
          <w:iCs/>
          <w:sz w:val="21"/>
          <w:szCs w:val="21"/>
        </w:rPr>
        <w:t xml:space="preserve"> </w:t>
      </w:r>
      <w:r w:rsidRPr="005114A0">
        <w:rPr>
          <w:rFonts w:ascii="Abadi" w:hAnsi="Abadi" w:cs="Arial"/>
          <w:i/>
          <w:iCs/>
          <w:sz w:val="21"/>
          <w:szCs w:val="21"/>
        </w:rPr>
        <w:t>constitucional de la Legislatura en la que se presentaron y en la subsecuente, serán</w:t>
      </w:r>
      <w:r>
        <w:rPr>
          <w:rFonts w:ascii="Abadi" w:hAnsi="Abadi" w:cs="Arial"/>
          <w:i/>
          <w:iCs/>
          <w:sz w:val="21"/>
          <w:szCs w:val="21"/>
        </w:rPr>
        <w:t xml:space="preserve"> </w:t>
      </w:r>
      <w:r w:rsidRPr="005114A0">
        <w:rPr>
          <w:rFonts w:ascii="Abadi" w:hAnsi="Abadi" w:cs="Arial"/>
          <w:i/>
          <w:iCs/>
          <w:sz w:val="21"/>
          <w:szCs w:val="21"/>
        </w:rPr>
        <w:t>objeto de archivo definitivo.</w:t>
      </w:r>
    </w:p>
    <w:p w14:paraId="7AD45F03" w14:textId="77777777" w:rsidR="00817621" w:rsidRPr="005114A0" w:rsidRDefault="00817621" w:rsidP="00817621">
      <w:pPr>
        <w:autoSpaceDE w:val="0"/>
        <w:autoSpaceDN w:val="0"/>
        <w:adjustRightInd w:val="0"/>
        <w:jc w:val="both"/>
        <w:rPr>
          <w:rFonts w:ascii="Abadi" w:hAnsi="Abadi" w:cs="Arial"/>
          <w:i/>
          <w:iCs/>
          <w:sz w:val="21"/>
          <w:szCs w:val="21"/>
        </w:rPr>
      </w:pPr>
    </w:p>
    <w:p w14:paraId="404DE0A3" w14:textId="7F535F27" w:rsidR="00817621"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Esta disposición es sumamente irregular. Pues como se exhibió en una iniciativa</w:t>
      </w:r>
      <w:r>
        <w:rPr>
          <w:rFonts w:ascii="Abadi" w:hAnsi="Abadi" w:cs="Arial"/>
          <w:sz w:val="21"/>
          <w:szCs w:val="21"/>
        </w:rPr>
        <w:t xml:space="preserve"> </w:t>
      </w:r>
      <w:r w:rsidRPr="005114A0">
        <w:rPr>
          <w:rFonts w:ascii="Abadi" w:hAnsi="Abadi" w:cs="Arial"/>
          <w:sz w:val="21"/>
          <w:szCs w:val="21"/>
        </w:rPr>
        <w:t>propuesta por el PT la legislatura pasada, Guanajuato es la única entidad que no regula los plazos dentro de los cuales las Comisiones deben analizar, discutir y</w:t>
      </w:r>
      <w:r>
        <w:rPr>
          <w:rFonts w:ascii="Abadi" w:hAnsi="Abadi" w:cs="Arial"/>
          <w:sz w:val="21"/>
          <w:szCs w:val="21"/>
        </w:rPr>
        <w:t xml:space="preserve"> </w:t>
      </w:r>
      <w:r w:rsidRPr="005114A0">
        <w:rPr>
          <w:rFonts w:ascii="Abadi" w:hAnsi="Abadi" w:cs="Arial"/>
          <w:sz w:val="21"/>
          <w:szCs w:val="21"/>
        </w:rPr>
        <w:t>dictaminar las iniciativas. En otras palabras: únicamente Guanajuato contempla una</w:t>
      </w:r>
      <w:r>
        <w:rPr>
          <w:rFonts w:ascii="Abadi" w:hAnsi="Abadi" w:cs="Arial"/>
          <w:sz w:val="21"/>
          <w:szCs w:val="21"/>
        </w:rPr>
        <w:t xml:space="preserve"> </w:t>
      </w:r>
      <w:r w:rsidRPr="005114A0">
        <w:rPr>
          <w:rFonts w:ascii="Abadi" w:hAnsi="Abadi" w:cs="Arial"/>
          <w:sz w:val="21"/>
          <w:szCs w:val="21"/>
        </w:rPr>
        <w:t>congeladora de iniciativas en el marco legal de su proceso legislativo.</w:t>
      </w:r>
    </w:p>
    <w:p w14:paraId="3C765C92" w14:textId="77777777" w:rsidR="005220D8" w:rsidRDefault="005220D8" w:rsidP="00817621">
      <w:pPr>
        <w:autoSpaceDE w:val="0"/>
        <w:autoSpaceDN w:val="0"/>
        <w:adjustRightInd w:val="0"/>
        <w:jc w:val="both"/>
        <w:rPr>
          <w:rFonts w:ascii="Abadi" w:hAnsi="Abadi" w:cs="Arial"/>
          <w:sz w:val="21"/>
          <w:szCs w:val="21"/>
        </w:rPr>
      </w:pPr>
    </w:p>
    <w:p w14:paraId="06AFB272" w14:textId="77777777" w:rsidR="00817621"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Paradójicamente, las iniciativas anti-congeladora que se han presentado en este</w:t>
      </w:r>
      <w:r>
        <w:rPr>
          <w:rFonts w:ascii="Abadi" w:hAnsi="Abadi" w:cs="Arial"/>
          <w:sz w:val="21"/>
          <w:szCs w:val="21"/>
        </w:rPr>
        <w:t xml:space="preserve"> </w:t>
      </w:r>
      <w:r w:rsidRPr="005114A0">
        <w:rPr>
          <w:rFonts w:ascii="Abadi" w:hAnsi="Abadi" w:cs="Arial"/>
          <w:sz w:val="21"/>
          <w:szCs w:val="21"/>
        </w:rPr>
        <w:t>Congreso, todas por parte de la oposición, han sido congeladas. Esto vulnera la</w:t>
      </w:r>
      <w:r>
        <w:rPr>
          <w:rFonts w:ascii="Abadi" w:hAnsi="Abadi" w:cs="Arial"/>
          <w:sz w:val="21"/>
          <w:szCs w:val="21"/>
        </w:rPr>
        <w:t xml:space="preserve"> </w:t>
      </w:r>
      <w:r w:rsidRPr="005114A0">
        <w:rPr>
          <w:rFonts w:ascii="Abadi" w:hAnsi="Abadi" w:cs="Arial"/>
          <w:sz w:val="21"/>
          <w:szCs w:val="21"/>
        </w:rPr>
        <w:t>naturaleza democrática y dialógica de este Congreso, además de que abre la puerta</w:t>
      </w:r>
      <w:r>
        <w:rPr>
          <w:rFonts w:ascii="Abadi" w:hAnsi="Abadi" w:cs="Arial"/>
          <w:sz w:val="21"/>
          <w:szCs w:val="21"/>
        </w:rPr>
        <w:t xml:space="preserve"> </w:t>
      </w:r>
      <w:r w:rsidRPr="005114A0">
        <w:rPr>
          <w:rFonts w:ascii="Abadi" w:hAnsi="Abadi" w:cs="Arial"/>
          <w:sz w:val="21"/>
          <w:szCs w:val="21"/>
        </w:rPr>
        <w:t>a que los sesgos de cálculo electoral, ideológico e incluso de (des)interés político</w:t>
      </w:r>
      <w:r>
        <w:rPr>
          <w:rFonts w:ascii="Abadi" w:hAnsi="Abadi" w:cs="Arial"/>
          <w:sz w:val="21"/>
          <w:szCs w:val="21"/>
        </w:rPr>
        <w:t xml:space="preserve"> </w:t>
      </w:r>
      <w:r w:rsidRPr="005114A0">
        <w:rPr>
          <w:rFonts w:ascii="Abadi" w:hAnsi="Abadi" w:cs="Arial"/>
          <w:sz w:val="21"/>
          <w:szCs w:val="21"/>
        </w:rPr>
        <w:t>en los temas que tengan quienes presiden las Comisiones, se traduzcan en</w:t>
      </w:r>
      <w:r>
        <w:rPr>
          <w:rFonts w:ascii="Abadi" w:hAnsi="Abadi" w:cs="Arial"/>
          <w:sz w:val="21"/>
          <w:szCs w:val="21"/>
        </w:rPr>
        <w:t xml:space="preserve"> </w:t>
      </w:r>
      <w:r w:rsidRPr="005114A0">
        <w:rPr>
          <w:rFonts w:ascii="Abadi" w:hAnsi="Abadi" w:cs="Arial"/>
          <w:sz w:val="21"/>
          <w:szCs w:val="21"/>
        </w:rPr>
        <w:t>silencios impuestos. Esto, a su vez, puede implicar negación de derechos en</w:t>
      </w:r>
      <w:r>
        <w:rPr>
          <w:rFonts w:ascii="Abadi" w:hAnsi="Abadi" w:cs="Arial"/>
          <w:sz w:val="21"/>
          <w:szCs w:val="21"/>
        </w:rPr>
        <w:t xml:space="preserve"> </w:t>
      </w:r>
      <w:r w:rsidRPr="005114A0">
        <w:rPr>
          <w:rFonts w:ascii="Abadi" w:hAnsi="Abadi" w:cs="Arial"/>
          <w:sz w:val="21"/>
          <w:szCs w:val="21"/>
        </w:rPr>
        <w:t>muchos temas que son incómodos para las mayorías políticas de este Poder</w:t>
      </w:r>
      <w:r>
        <w:rPr>
          <w:rFonts w:ascii="Abadi" w:hAnsi="Abadi" w:cs="Arial"/>
          <w:sz w:val="21"/>
          <w:szCs w:val="21"/>
        </w:rPr>
        <w:t xml:space="preserve"> </w:t>
      </w:r>
      <w:r w:rsidRPr="005114A0">
        <w:rPr>
          <w:rFonts w:ascii="Abadi" w:hAnsi="Abadi" w:cs="Arial"/>
          <w:sz w:val="21"/>
          <w:szCs w:val="21"/>
        </w:rPr>
        <w:t>Legislativo.</w:t>
      </w:r>
    </w:p>
    <w:p w14:paraId="1D5D821A" w14:textId="77777777" w:rsidR="00817621" w:rsidRDefault="00817621" w:rsidP="00817621">
      <w:pPr>
        <w:autoSpaceDE w:val="0"/>
        <w:autoSpaceDN w:val="0"/>
        <w:adjustRightInd w:val="0"/>
        <w:jc w:val="both"/>
        <w:rPr>
          <w:rFonts w:ascii="Abadi" w:hAnsi="Abadi" w:cs="Arial"/>
          <w:sz w:val="21"/>
          <w:szCs w:val="21"/>
        </w:rPr>
      </w:pPr>
    </w:p>
    <w:p w14:paraId="2754EC40" w14:textId="77777777" w:rsidR="00817621" w:rsidRDefault="00817621" w:rsidP="00817621">
      <w:pPr>
        <w:autoSpaceDE w:val="0"/>
        <w:autoSpaceDN w:val="0"/>
        <w:adjustRightInd w:val="0"/>
        <w:ind w:firstLine="708"/>
        <w:jc w:val="both"/>
        <w:rPr>
          <w:rFonts w:ascii="Abadi" w:hAnsi="Abadi" w:cs="Arial"/>
          <w:sz w:val="21"/>
          <w:szCs w:val="21"/>
        </w:rPr>
      </w:pPr>
      <w:r w:rsidRPr="005114A0">
        <w:rPr>
          <w:rFonts w:ascii="Abadi" w:hAnsi="Abadi" w:cs="Arial"/>
          <w:sz w:val="21"/>
          <w:szCs w:val="21"/>
        </w:rPr>
        <w:t>Por todo lo anterior, esta iniciativa busca derogar la congeladora legislativa,</w:t>
      </w:r>
      <w:r>
        <w:rPr>
          <w:rFonts w:ascii="Abadi" w:hAnsi="Abadi" w:cs="Arial"/>
          <w:sz w:val="21"/>
          <w:szCs w:val="21"/>
        </w:rPr>
        <w:t xml:space="preserve"> </w:t>
      </w:r>
      <w:r w:rsidRPr="005114A0">
        <w:rPr>
          <w:rFonts w:ascii="Abadi" w:hAnsi="Abadi" w:cs="Arial"/>
          <w:sz w:val="21"/>
          <w:szCs w:val="21"/>
        </w:rPr>
        <w:t>invitando al diálogo plural y democrático, una vez más. Adicionalmente, se</w:t>
      </w:r>
      <w:r>
        <w:rPr>
          <w:rFonts w:ascii="Abadi" w:hAnsi="Abadi" w:cs="Arial"/>
          <w:sz w:val="21"/>
          <w:szCs w:val="21"/>
        </w:rPr>
        <w:t xml:space="preserve"> </w:t>
      </w:r>
      <w:r w:rsidRPr="005114A0">
        <w:rPr>
          <w:rFonts w:ascii="Abadi" w:hAnsi="Abadi" w:cs="Arial"/>
          <w:sz w:val="21"/>
          <w:szCs w:val="21"/>
        </w:rPr>
        <w:t>establecen plazos de dictamen y se retoma el mecanismo de excitativa propuesto</w:t>
      </w:r>
      <w:r>
        <w:rPr>
          <w:rFonts w:ascii="Abadi" w:hAnsi="Abadi" w:cs="Arial"/>
          <w:sz w:val="21"/>
          <w:szCs w:val="21"/>
        </w:rPr>
        <w:t xml:space="preserve"> </w:t>
      </w:r>
      <w:r w:rsidRPr="005114A0">
        <w:rPr>
          <w:rFonts w:ascii="Abadi" w:hAnsi="Abadi" w:cs="Arial"/>
          <w:sz w:val="21"/>
          <w:szCs w:val="21"/>
        </w:rPr>
        <w:t>con anterioridad en este Congreso.</w:t>
      </w:r>
    </w:p>
    <w:p w14:paraId="7FF80DB1" w14:textId="77777777" w:rsidR="00817621" w:rsidRPr="005114A0" w:rsidRDefault="00817621" w:rsidP="00817621">
      <w:pPr>
        <w:autoSpaceDE w:val="0"/>
        <w:autoSpaceDN w:val="0"/>
        <w:adjustRightInd w:val="0"/>
        <w:jc w:val="both"/>
        <w:rPr>
          <w:rFonts w:ascii="Abadi" w:hAnsi="Abadi" w:cs="Arial"/>
          <w:sz w:val="21"/>
          <w:szCs w:val="21"/>
        </w:rPr>
      </w:pPr>
    </w:p>
    <w:p w14:paraId="6A323336" w14:textId="77777777" w:rsidR="00817621" w:rsidRPr="005114A0" w:rsidRDefault="00817621" w:rsidP="00817621">
      <w:pPr>
        <w:autoSpaceDE w:val="0"/>
        <w:autoSpaceDN w:val="0"/>
        <w:adjustRightInd w:val="0"/>
        <w:ind w:firstLine="708"/>
        <w:jc w:val="both"/>
        <w:rPr>
          <w:rFonts w:ascii="Abadi" w:hAnsi="Abadi" w:cs="Arial"/>
          <w:sz w:val="21"/>
          <w:szCs w:val="21"/>
        </w:rPr>
      </w:pPr>
      <w:r w:rsidRPr="005114A0">
        <w:rPr>
          <w:rFonts w:ascii="Abadi" w:hAnsi="Abadi" w:cs="Arial"/>
          <w:sz w:val="21"/>
          <w:szCs w:val="21"/>
        </w:rPr>
        <w:t>De conformidad con lo establecido por el artículo 209 de la Ley Orgánica del Poder</w:t>
      </w:r>
      <w:r>
        <w:rPr>
          <w:rFonts w:ascii="Abadi" w:hAnsi="Abadi" w:cs="Arial"/>
          <w:sz w:val="21"/>
          <w:szCs w:val="21"/>
        </w:rPr>
        <w:t xml:space="preserve"> </w:t>
      </w:r>
      <w:r w:rsidRPr="005114A0">
        <w:rPr>
          <w:rFonts w:ascii="Abadi" w:hAnsi="Abadi" w:cs="Arial"/>
          <w:sz w:val="21"/>
          <w:szCs w:val="21"/>
        </w:rPr>
        <w:t>Legislativo del Estado de Guanajuato, manifiesto que, de aprobarse, esta iniciativa</w:t>
      </w:r>
      <w:r>
        <w:rPr>
          <w:rFonts w:ascii="Abadi" w:hAnsi="Abadi" w:cs="Arial"/>
          <w:sz w:val="21"/>
          <w:szCs w:val="21"/>
        </w:rPr>
        <w:t xml:space="preserve"> </w:t>
      </w:r>
      <w:r w:rsidRPr="005114A0">
        <w:rPr>
          <w:rFonts w:ascii="Abadi" w:hAnsi="Abadi" w:cs="Arial"/>
          <w:sz w:val="21"/>
          <w:szCs w:val="21"/>
        </w:rPr>
        <w:t>supondría los siguientes impactos:</w:t>
      </w:r>
    </w:p>
    <w:p w14:paraId="22E39ED2" w14:textId="77777777" w:rsidR="00817621" w:rsidRPr="005114A0" w:rsidRDefault="00817621" w:rsidP="00817621">
      <w:pPr>
        <w:jc w:val="both"/>
        <w:rPr>
          <w:rFonts w:ascii="Abadi" w:hAnsi="Abadi" w:cs="Arial"/>
          <w:sz w:val="21"/>
          <w:szCs w:val="21"/>
        </w:rPr>
      </w:pPr>
    </w:p>
    <w:p w14:paraId="1150AFF7" w14:textId="77777777" w:rsidR="00817621" w:rsidRDefault="00817621" w:rsidP="00817621">
      <w:pPr>
        <w:autoSpaceDE w:val="0"/>
        <w:autoSpaceDN w:val="0"/>
        <w:adjustRightInd w:val="0"/>
        <w:ind w:firstLine="708"/>
        <w:jc w:val="both"/>
        <w:rPr>
          <w:rFonts w:ascii="Abadi" w:hAnsi="Abadi" w:cs="Arial"/>
          <w:b/>
          <w:bCs/>
          <w:sz w:val="21"/>
          <w:szCs w:val="21"/>
        </w:rPr>
      </w:pPr>
      <w:r w:rsidRPr="005114A0">
        <w:rPr>
          <w:rFonts w:ascii="Abadi" w:hAnsi="Abadi" w:cs="Arial"/>
          <w:b/>
          <w:bCs/>
          <w:sz w:val="21"/>
          <w:szCs w:val="21"/>
        </w:rPr>
        <w:t xml:space="preserve">I. Impacto Jurídico: </w:t>
      </w:r>
    </w:p>
    <w:p w14:paraId="5F7B49C1" w14:textId="77777777" w:rsidR="00817621" w:rsidRDefault="00817621" w:rsidP="00817621">
      <w:pPr>
        <w:autoSpaceDE w:val="0"/>
        <w:autoSpaceDN w:val="0"/>
        <w:adjustRightInd w:val="0"/>
        <w:jc w:val="both"/>
        <w:rPr>
          <w:rFonts w:ascii="Abadi" w:hAnsi="Abadi" w:cs="Arial"/>
          <w:sz w:val="21"/>
          <w:szCs w:val="21"/>
        </w:rPr>
      </w:pPr>
    </w:p>
    <w:p w14:paraId="17C965B4" w14:textId="77777777" w:rsidR="00817621" w:rsidRPr="005114A0" w:rsidRDefault="00817621" w:rsidP="00817621">
      <w:pPr>
        <w:autoSpaceDE w:val="0"/>
        <w:autoSpaceDN w:val="0"/>
        <w:adjustRightInd w:val="0"/>
        <w:ind w:firstLine="708"/>
        <w:jc w:val="both"/>
        <w:rPr>
          <w:rFonts w:ascii="Abadi" w:hAnsi="Abadi" w:cs="Arial"/>
          <w:sz w:val="21"/>
          <w:szCs w:val="21"/>
        </w:rPr>
      </w:pPr>
      <w:r w:rsidRPr="005114A0">
        <w:rPr>
          <w:rFonts w:ascii="Abadi" w:hAnsi="Abadi" w:cs="Arial"/>
          <w:sz w:val="21"/>
          <w:szCs w:val="21"/>
        </w:rPr>
        <w:t>Se adiciona una fracción IX del artículo 59, recorriéndose las</w:t>
      </w:r>
      <w:r>
        <w:rPr>
          <w:rFonts w:ascii="Abadi" w:hAnsi="Abadi" w:cs="Arial"/>
          <w:sz w:val="21"/>
          <w:szCs w:val="21"/>
        </w:rPr>
        <w:t xml:space="preserve"> </w:t>
      </w:r>
      <w:r w:rsidRPr="005114A0">
        <w:rPr>
          <w:rFonts w:ascii="Abadi" w:hAnsi="Abadi" w:cs="Arial"/>
          <w:sz w:val="21"/>
          <w:szCs w:val="21"/>
        </w:rPr>
        <w:t>subsecuentes; se reforma el artículo 171; se deroga el artículo 169, todo de la Ley</w:t>
      </w:r>
      <w:r>
        <w:rPr>
          <w:rFonts w:ascii="Abadi" w:hAnsi="Abadi" w:cs="Arial"/>
          <w:sz w:val="21"/>
          <w:szCs w:val="21"/>
        </w:rPr>
        <w:t xml:space="preserve"> </w:t>
      </w:r>
      <w:r w:rsidRPr="005114A0">
        <w:rPr>
          <w:rFonts w:ascii="Abadi" w:hAnsi="Abadi" w:cs="Arial"/>
          <w:sz w:val="21"/>
          <w:szCs w:val="21"/>
        </w:rPr>
        <w:t>Orgánica del Poder Legislativo del Estado de Guanajuato.</w:t>
      </w:r>
    </w:p>
    <w:p w14:paraId="244F7625" w14:textId="77777777" w:rsidR="00817621" w:rsidRPr="005114A0" w:rsidRDefault="00817621" w:rsidP="00817621">
      <w:pPr>
        <w:jc w:val="both"/>
        <w:rPr>
          <w:rFonts w:ascii="Abadi" w:hAnsi="Abadi" w:cs="Arial"/>
          <w:sz w:val="21"/>
          <w:szCs w:val="21"/>
        </w:rPr>
      </w:pPr>
    </w:p>
    <w:p w14:paraId="1774356C" w14:textId="77777777" w:rsidR="00817621" w:rsidRPr="005114A0" w:rsidRDefault="00817621" w:rsidP="00817621">
      <w:pPr>
        <w:autoSpaceDE w:val="0"/>
        <w:autoSpaceDN w:val="0"/>
        <w:adjustRightInd w:val="0"/>
        <w:ind w:firstLine="708"/>
        <w:jc w:val="both"/>
        <w:rPr>
          <w:rFonts w:ascii="Abadi" w:hAnsi="Abadi" w:cs="Arial"/>
          <w:sz w:val="21"/>
          <w:szCs w:val="21"/>
        </w:rPr>
      </w:pPr>
      <w:r w:rsidRPr="005114A0">
        <w:rPr>
          <w:rFonts w:ascii="Abadi" w:hAnsi="Abadi" w:cs="Arial"/>
          <w:b/>
          <w:bCs/>
          <w:sz w:val="21"/>
          <w:szCs w:val="21"/>
        </w:rPr>
        <w:t xml:space="preserve">II. Impacto Administrativo: </w:t>
      </w:r>
      <w:r w:rsidRPr="005114A0">
        <w:rPr>
          <w:rFonts w:ascii="Abadi" w:hAnsi="Abadi" w:cs="Arial"/>
          <w:sz w:val="21"/>
          <w:szCs w:val="21"/>
        </w:rPr>
        <w:t>No se contemplan impactos en la estructura</w:t>
      </w:r>
      <w:r>
        <w:rPr>
          <w:rFonts w:ascii="Abadi" w:hAnsi="Abadi" w:cs="Arial"/>
          <w:sz w:val="21"/>
          <w:szCs w:val="21"/>
        </w:rPr>
        <w:t xml:space="preserve"> </w:t>
      </w:r>
      <w:r w:rsidRPr="005114A0">
        <w:rPr>
          <w:rFonts w:ascii="Abadi" w:hAnsi="Abadi" w:cs="Arial"/>
          <w:sz w:val="21"/>
          <w:szCs w:val="21"/>
        </w:rPr>
        <w:t>administrativa, pero se incrementaría la eficacia del Poder Legislativo.</w:t>
      </w:r>
    </w:p>
    <w:p w14:paraId="60322AC0" w14:textId="77777777" w:rsidR="00817621" w:rsidRDefault="00817621" w:rsidP="00817621">
      <w:pPr>
        <w:autoSpaceDE w:val="0"/>
        <w:autoSpaceDN w:val="0"/>
        <w:adjustRightInd w:val="0"/>
        <w:jc w:val="both"/>
        <w:rPr>
          <w:rFonts w:ascii="Abadi" w:hAnsi="Abadi" w:cs="Arial"/>
          <w:b/>
          <w:bCs/>
          <w:sz w:val="21"/>
          <w:szCs w:val="21"/>
        </w:rPr>
      </w:pPr>
    </w:p>
    <w:p w14:paraId="7F9F02A1" w14:textId="77777777" w:rsidR="00817621" w:rsidRPr="005114A0" w:rsidRDefault="00817621" w:rsidP="00817621">
      <w:pPr>
        <w:autoSpaceDE w:val="0"/>
        <w:autoSpaceDN w:val="0"/>
        <w:adjustRightInd w:val="0"/>
        <w:ind w:firstLine="708"/>
        <w:jc w:val="both"/>
        <w:rPr>
          <w:rFonts w:ascii="Abadi" w:hAnsi="Abadi" w:cs="Arial"/>
          <w:sz w:val="21"/>
          <w:szCs w:val="21"/>
        </w:rPr>
      </w:pPr>
      <w:r w:rsidRPr="005114A0">
        <w:rPr>
          <w:rFonts w:ascii="Abadi" w:hAnsi="Abadi" w:cs="Arial"/>
          <w:b/>
          <w:bCs/>
          <w:sz w:val="21"/>
          <w:szCs w:val="21"/>
        </w:rPr>
        <w:t xml:space="preserve">III. Impacto Presupuestario: </w:t>
      </w:r>
      <w:r w:rsidRPr="005114A0">
        <w:rPr>
          <w:rFonts w:ascii="Abadi" w:hAnsi="Abadi" w:cs="Arial"/>
          <w:sz w:val="21"/>
          <w:szCs w:val="21"/>
        </w:rPr>
        <w:t>No se contemplan impactos presupuestarios.</w:t>
      </w:r>
    </w:p>
    <w:p w14:paraId="1234D67F" w14:textId="77777777" w:rsidR="00817621" w:rsidRDefault="00817621" w:rsidP="00817621">
      <w:pPr>
        <w:autoSpaceDE w:val="0"/>
        <w:autoSpaceDN w:val="0"/>
        <w:adjustRightInd w:val="0"/>
        <w:jc w:val="both"/>
        <w:rPr>
          <w:rFonts w:ascii="Abadi" w:hAnsi="Abadi" w:cs="Arial"/>
          <w:b/>
          <w:bCs/>
          <w:sz w:val="21"/>
          <w:szCs w:val="21"/>
        </w:rPr>
      </w:pPr>
    </w:p>
    <w:p w14:paraId="1015914B" w14:textId="77777777" w:rsidR="00817621" w:rsidRDefault="00817621" w:rsidP="00817621">
      <w:pPr>
        <w:autoSpaceDE w:val="0"/>
        <w:autoSpaceDN w:val="0"/>
        <w:adjustRightInd w:val="0"/>
        <w:ind w:firstLine="708"/>
        <w:jc w:val="both"/>
        <w:rPr>
          <w:rFonts w:ascii="Abadi" w:hAnsi="Abadi" w:cs="Arial"/>
          <w:sz w:val="21"/>
          <w:szCs w:val="21"/>
        </w:rPr>
      </w:pPr>
      <w:r w:rsidRPr="005114A0">
        <w:rPr>
          <w:rFonts w:ascii="Abadi" w:hAnsi="Abadi" w:cs="Arial"/>
          <w:b/>
          <w:bCs/>
          <w:sz w:val="21"/>
          <w:szCs w:val="21"/>
        </w:rPr>
        <w:t xml:space="preserve">IV. Impacto Social: </w:t>
      </w:r>
      <w:r w:rsidRPr="005114A0">
        <w:rPr>
          <w:rFonts w:ascii="Abadi" w:hAnsi="Abadi" w:cs="Arial"/>
          <w:sz w:val="21"/>
          <w:szCs w:val="21"/>
        </w:rPr>
        <w:t>La presente iniciativa fortalece el marco jurídico del proceso</w:t>
      </w:r>
      <w:r>
        <w:rPr>
          <w:rFonts w:ascii="Abadi" w:hAnsi="Abadi" w:cs="Arial"/>
          <w:sz w:val="21"/>
          <w:szCs w:val="21"/>
        </w:rPr>
        <w:t xml:space="preserve"> </w:t>
      </w:r>
      <w:r w:rsidRPr="005114A0">
        <w:rPr>
          <w:rFonts w:ascii="Abadi" w:hAnsi="Abadi" w:cs="Arial"/>
          <w:sz w:val="21"/>
          <w:szCs w:val="21"/>
        </w:rPr>
        <w:t>legislativo para hacerlo más democrático y plural, que garantice el dictamen de</w:t>
      </w:r>
      <w:r>
        <w:rPr>
          <w:rFonts w:ascii="Abadi" w:hAnsi="Abadi" w:cs="Arial"/>
          <w:sz w:val="21"/>
          <w:szCs w:val="21"/>
        </w:rPr>
        <w:t xml:space="preserve"> </w:t>
      </w:r>
      <w:r w:rsidRPr="005114A0">
        <w:rPr>
          <w:rFonts w:ascii="Abadi" w:hAnsi="Abadi" w:cs="Arial"/>
          <w:sz w:val="21"/>
          <w:szCs w:val="21"/>
        </w:rPr>
        <w:t>todas las iniciativas presentadas, independientemente de quien las inicie.</w:t>
      </w:r>
      <w:r>
        <w:rPr>
          <w:rFonts w:ascii="Abadi" w:hAnsi="Abadi" w:cs="Arial"/>
          <w:sz w:val="21"/>
          <w:szCs w:val="21"/>
        </w:rPr>
        <w:t xml:space="preserve"> </w:t>
      </w:r>
    </w:p>
    <w:p w14:paraId="2673A4D8" w14:textId="77777777" w:rsidR="00817621" w:rsidRDefault="00817621" w:rsidP="00817621">
      <w:pPr>
        <w:autoSpaceDE w:val="0"/>
        <w:autoSpaceDN w:val="0"/>
        <w:adjustRightInd w:val="0"/>
        <w:jc w:val="both"/>
        <w:rPr>
          <w:rFonts w:ascii="Abadi" w:hAnsi="Abadi" w:cs="Arial"/>
          <w:sz w:val="21"/>
          <w:szCs w:val="21"/>
        </w:rPr>
      </w:pPr>
    </w:p>
    <w:p w14:paraId="3D87A798" w14:textId="77777777" w:rsidR="00817621" w:rsidRPr="005114A0" w:rsidRDefault="00817621" w:rsidP="00817621">
      <w:pPr>
        <w:autoSpaceDE w:val="0"/>
        <w:autoSpaceDN w:val="0"/>
        <w:adjustRightInd w:val="0"/>
        <w:ind w:firstLine="708"/>
        <w:jc w:val="both"/>
        <w:rPr>
          <w:rFonts w:ascii="Abadi" w:hAnsi="Abadi" w:cs="Arial"/>
          <w:sz w:val="21"/>
          <w:szCs w:val="21"/>
        </w:rPr>
      </w:pPr>
      <w:r w:rsidRPr="005114A0">
        <w:rPr>
          <w:rFonts w:ascii="Abadi" w:hAnsi="Abadi" w:cs="Arial"/>
          <w:sz w:val="21"/>
          <w:szCs w:val="21"/>
        </w:rPr>
        <w:t>Con base en todo lo anterior, pongo a consideración de esta Honorable Asamblea,</w:t>
      </w:r>
    </w:p>
    <w:p w14:paraId="183543BE" w14:textId="77777777" w:rsidR="00817621" w:rsidRPr="005114A0" w:rsidRDefault="00817621" w:rsidP="00817621">
      <w:pPr>
        <w:jc w:val="both"/>
        <w:rPr>
          <w:rFonts w:ascii="Abadi" w:hAnsi="Abadi" w:cs="Arial"/>
          <w:sz w:val="21"/>
          <w:szCs w:val="21"/>
        </w:rPr>
      </w:pPr>
      <w:r w:rsidRPr="005114A0">
        <w:rPr>
          <w:rFonts w:ascii="Abadi" w:hAnsi="Abadi" w:cs="Arial"/>
          <w:sz w:val="21"/>
          <w:szCs w:val="21"/>
        </w:rPr>
        <w:t>el siguiente proyecto de</w:t>
      </w:r>
    </w:p>
    <w:p w14:paraId="4E749B7A" w14:textId="77777777" w:rsidR="00817621" w:rsidRDefault="00817621" w:rsidP="00817621">
      <w:pPr>
        <w:autoSpaceDE w:val="0"/>
        <w:autoSpaceDN w:val="0"/>
        <w:adjustRightInd w:val="0"/>
        <w:jc w:val="both"/>
        <w:rPr>
          <w:rFonts w:ascii="Abadi" w:hAnsi="Abadi" w:cs="Arial"/>
          <w:b/>
          <w:bCs/>
          <w:sz w:val="21"/>
          <w:szCs w:val="21"/>
        </w:rPr>
      </w:pPr>
      <w:r>
        <w:rPr>
          <w:rFonts w:ascii="Abadi" w:hAnsi="Abadi" w:cs="Arial"/>
          <w:b/>
          <w:bCs/>
          <w:sz w:val="21"/>
          <w:szCs w:val="21"/>
        </w:rPr>
        <w:tab/>
      </w:r>
    </w:p>
    <w:p w14:paraId="6A7D6DC9" w14:textId="77777777" w:rsidR="00817621" w:rsidRDefault="00817621" w:rsidP="00817621">
      <w:pPr>
        <w:autoSpaceDE w:val="0"/>
        <w:autoSpaceDN w:val="0"/>
        <w:adjustRightInd w:val="0"/>
        <w:ind w:firstLine="708"/>
        <w:jc w:val="center"/>
        <w:rPr>
          <w:rFonts w:ascii="Abadi" w:hAnsi="Abadi" w:cs="Arial"/>
          <w:b/>
          <w:bCs/>
          <w:sz w:val="21"/>
          <w:szCs w:val="21"/>
        </w:rPr>
      </w:pPr>
      <w:r w:rsidRPr="005114A0">
        <w:rPr>
          <w:rFonts w:ascii="Abadi" w:hAnsi="Abadi" w:cs="Arial"/>
          <w:b/>
          <w:bCs/>
          <w:sz w:val="21"/>
          <w:szCs w:val="21"/>
        </w:rPr>
        <w:t>DECRETO</w:t>
      </w:r>
    </w:p>
    <w:p w14:paraId="68E9A962" w14:textId="77777777" w:rsidR="00817621" w:rsidRPr="005114A0" w:rsidRDefault="00817621" w:rsidP="00817621">
      <w:pPr>
        <w:autoSpaceDE w:val="0"/>
        <w:autoSpaceDN w:val="0"/>
        <w:adjustRightInd w:val="0"/>
        <w:jc w:val="both"/>
        <w:rPr>
          <w:rFonts w:ascii="Abadi" w:hAnsi="Abadi" w:cs="Arial"/>
          <w:b/>
          <w:bCs/>
          <w:sz w:val="21"/>
          <w:szCs w:val="21"/>
        </w:rPr>
      </w:pPr>
    </w:p>
    <w:p w14:paraId="67140DFC" w14:textId="77777777" w:rsidR="00817621" w:rsidRPr="005114A0" w:rsidRDefault="00817621" w:rsidP="00817621">
      <w:pPr>
        <w:autoSpaceDE w:val="0"/>
        <w:autoSpaceDN w:val="0"/>
        <w:adjustRightInd w:val="0"/>
        <w:jc w:val="both"/>
        <w:rPr>
          <w:rFonts w:ascii="Abadi" w:hAnsi="Abadi" w:cs="Arial"/>
          <w:sz w:val="21"/>
          <w:szCs w:val="21"/>
        </w:rPr>
      </w:pPr>
      <w:r w:rsidRPr="005114A0">
        <w:rPr>
          <w:rFonts w:ascii="Abadi" w:hAnsi="Abadi" w:cs="Arial"/>
          <w:b/>
          <w:bCs/>
          <w:sz w:val="21"/>
          <w:szCs w:val="21"/>
        </w:rPr>
        <w:t xml:space="preserve">ÚNICO.- </w:t>
      </w:r>
      <w:r w:rsidRPr="005114A0">
        <w:rPr>
          <w:rFonts w:ascii="Abadi" w:hAnsi="Abadi" w:cs="Arial"/>
          <w:sz w:val="21"/>
          <w:szCs w:val="21"/>
        </w:rPr>
        <w:t>Se adiciona una fracción IX del artículo 59, recorriéndose las</w:t>
      </w:r>
      <w:r>
        <w:rPr>
          <w:rFonts w:ascii="Abadi" w:hAnsi="Abadi" w:cs="Arial"/>
          <w:sz w:val="21"/>
          <w:szCs w:val="21"/>
        </w:rPr>
        <w:t xml:space="preserve"> </w:t>
      </w:r>
      <w:r w:rsidRPr="005114A0">
        <w:rPr>
          <w:rFonts w:ascii="Abadi" w:hAnsi="Abadi" w:cs="Arial"/>
          <w:sz w:val="21"/>
          <w:szCs w:val="21"/>
        </w:rPr>
        <w:t>subsecuentes; se reforma el artículo 171; se deroga el artículo 169, todo de la Ley</w:t>
      </w:r>
      <w:r>
        <w:rPr>
          <w:rFonts w:ascii="Abadi" w:hAnsi="Abadi" w:cs="Arial"/>
          <w:sz w:val="21"/>
          <w:szCs w:val="21"/>
        </w:rPr>
        <w:t xml:space="preserve"> </w:t>
      </w:r>
      <w:r w:rsidRPr="005114A0">
        <w:rPr>
          <w:rFonts w:ascii="Abadi" w:hAnsi="Abadi" w:cs="Arial"/>
          <w:sz w:val="21"/>
          <w:szCs w:val="21"/>
        </w:rPr>
        <w:t>Orgánica del Poder Legislativo del Estado de Guanajuato, para quedar como sigue:</w:t>
      </w:r>
    </w:p>
    <w:p w14:paraId="07696048" w14:textId="77777777" w:rsidR="00817621" w:rsidRDefault="00817621" w:rsidP="00817621">
      <w:pPr>
        <w:autoSpaceDE w:val="0"/>
        <w:autoSpaceDN w:val="0"/>
        <w:adjustRightInd w:val="0"/>
        <w:jc w:val="both"/>
        <w:rPr>
          <w:rFonts w:ascii="Abadi" w:hAnsi="Abadi" w:cs="Arial"/>
          <w:b/>
          <w:bCs/>
          <w:sz w:val="21"/>
          <w:szCs w:val="21"/>
        </w:rPr>
      </w:pPr>
    </w:p>
    <w:p w14:paraId="709F5490" w14:textId="77777777" w:rsidR="00817621" w:rsidRPr="005114A0" w:rsidRDefault="00817621" w:rsidP="00817621">
      <w:pPr>
        <w:autoSpaceDE w:val="0"/>
        <w:autoSpaceDN w:val="0"/>
        <w:adjustRightInd w:val="0"/>
        <w:ind w:left="709"/>
        <w:jc w:val="both"/>
        <w:rPr>
          <w:rFonts w:ascii="Abadi" w:hAnsi="Abadi" w:cs="Arial"/>
          <w:sz w:val="21"/>
          <w:szCs w:val="21"/>
        </w:rPr>
      </w:pPr>
      <w:r w:rsidRPr="005114A0">
        <w:rPr>
          <w:rFonts w:ascii="Abadi" w:hAnsi="Abadi" w:cs="Arial"/>
          <w:b/>
          <w:bCs/>
          <w:sz w:val="21"/>
          <w:szCs w:val="21"/>
        </w:rPr>
        <w:t xml:space="preserve">Artículo 59. </w:t>
      </w:r>
      <w:r w:rsidRPr="005114A0">
        <w:rPr>
          <w:rFonts w:ascii="Abadi" w:hAnsi="Abadi" w:cs="Arial"/>
          <w:sz w:val="21"/>
          <w:szCs w:val="21"/>
        </w:rPr>
        <w:t>Son atribuciones de la Presidencia:</w:t>
      </w:r>
    </w:p>
    <w:p w14:paraId="2B7C112C" w14:textId="77777777" w:rsidR="00817621" w:rsidRDefault="00817621" w:rsidP="00817621">
      <w:pPr>
        <w:autoSpaceDE w:val="0"/>
        <w:autoSpaceDN w:val="0"/>
        <w:adjustRightInd w:val="0"/>
        <w:ind w:left="709"/>
        <w:jc w:val="both"/>
        <w:rPr>
          <w:rFonts w:ascii="Abadi" w:hAnsi="Abadi" w:cs="Arial"/>
          <w:sz w:val="21"/>
          <w:szCs w:val="21"/>
        </w:rPr>
      </w:pPr>
    </w:p>
    <w:p w14:paraId="51AB9E60" w14:textId="77777777" w:rsidR="00817621" w:rsidRDefault="00817621" w:rsidP="00817621">
      <w:pPr>
        <w:autoSpaceDE w:val="0"/>
        <w:autoSpaceDN w:val="0"/>
        <w:adjustRightInd w:val="0"/>
        <w:ind w:left="709"/>
        <w:jc w:val="both"/>
        <w:rPr>
          <w:rFonts w:ascii="Abadi" w:hAnsi="Abadi" w:cs="Arial"/>
          <w:sz w:val="21"/>
          <w:szCs w:val="21"/>
        </w:rPr>
      </w:pPr>
      <w:r w:rsidRPr="005114A0">
        <w:rPr>
          <w:rFonts w:ascii="Abadi" w:hAnsi="Abadi" w:cs="Arial"/>
          <w:sz w:val="21"/>
          <w:szCs w:val="21"/>
        </w:rPr>
        <w:t>I a VIII...</w:t>
      </w:r>
    </w:p>
    <w:p w14:paraId="3FE7971A" w14:textId="77777777" w:rsidR="00817621" w:rsidRPr="005114A0" w:rsidRDefault="00817621" w:rsidP="00817621">
      <w:pPr>
        <w:autoSpaceDE w:val="0"/>
        <w:autoSpaceDN w:val="0"/>
        <w:adjustRightInd w:val="0"/>
        <w:ind w:left="709"/>
        <w:jc w:val="both"/>
        <w:rPr>
          <w:rFonts w:ascii="Abadi" w:hAnsi="Abadi" w:cs="Arial"/>
          <w:sz w:val="21"/>
          <w:szCs w:val="21"/>
        </w:rPr>
      </w:pPr>
    </w:p>
    <w:p w14:paraId="329C8C33" w14:textId="77777777" w:rsidR="00817621" w:rsidRPr="005114A0" w:rsidRDefault="00817621" w:rsidP="00817621">
      <w:pPr>
        <w:autoSpaceDE w:val="0"/>
        <w:autoSpaceDN w:val="0"/>
        <w:adjustRightInd w:val="0"/>
        <w:ind w:left="709"/>
        <w:jc w:val="both"/>
        <w:rPr>
          <w:rFonts w:ascii="Abadi" w:hAnsi="Abadi" w:cs="Arial"/>
          <w:b/>
          <w:bCs/>
          <w:sz w:val="21"/>
          <w:szCs w:val="21"/>
        </w:rPr>
      </w:pPr>
      <w:r w:rsidRPr="005114A0">
        <w:rPr>
          <w:rFonts w:ascii="Abadi" w:hAnsi="Abadi" w:cs="Arial"/>
          <w:b/>
          <w:bCs/>
          <w:sz w:val="21"/>
          <w:szCs w:val="21"/>
        </w:rPr>
        <w:t>IX. Si transcurre el plazo establecido en el artículo 171 sin que se emita</w:t>
      </w:r>
      <w:r>
        <w:rPr>
          <w:rFonts w:ascii="Abadi" w:hAnsi="Abadi" w:cs="Arial"/>
          <w:b/>
          <w:bCs/>
          <w:sz w:val="21"/>
          <w:szCs w:val="21"/>
        </w:rPr>
        <w:t xml:space="preserve"> </w:t>
      </w:r>
      <w:r w:rsidRPr="005114A0">
        <w:rPr>
          <w:rFonts w:ascii="Abadi" w:hAnsi="Abadi" w:cs="Arial"/>
          <w:b/>
          <w:bCs/>
          <w:sz w:val="21"/>
          <w:szCs w:val="21"/>
        </w:rPr>
        <w:t>dictamen correspondiente, el presidente de la Mesa Directiva por sí</w:t>
      </w:r>
      <w:r>
        <w:rPr>
          <w:rFonts w:ascii="Abadi" w:hAnsi="Abadi" w:cs="Arial"/>
          <w:b/>
          <w:bCs/>
          <w:sz w:val="21"/>
          <w:szCs w:val="21"/>
        </w:rPr>
        <w:t xml:space="preserve"> </w:t>
      </w:r>
      <w:r w:rsidRPr="005114A0">
        <w:rPr>
          <w:rFonts w:ascii="Abadi" w:hAnsi="Abadi" w:cs="Arial"/>
          <w:b/>
          <w:bCs/>
          <w:sz w:val="21"/>
          <w:szCs w:val="21"/>
        </w:rPr>
        <w:t>mismo o a petición de cualquier integrante del Congreso, deberá emitir excitativa a la comisión que corresponda para que presente su dictamen</w:t>
      </w:r>
      <w:r>
        <w:rPr>
          <w:rFonts w:ascii="Abadi" w:hAnsi="Abadi" w:cs="Arial"/>
          <w:b/>
          <w:bCs/>
          <w:sz w:val="21"/>
          <w:szCs w:val="21"/>
        </w:rPr>
        <w:t xml:space="preserve"> </w:t>
      </w:r>
      <w:r w:rsidRPr="005114A0">
        <w:rPr>
          <w:rFonts w:ascii="Abadi" w:hAnsi="Abadi" w:cs="Arial"/>
          <w:b/>
          <w:bCs/>
          <w:sz w:val="21"/>
          <w:szCs w:val="21"/>
        </w:rPr>
        <w:t>antes de que concluya el Periodo Ordinario de Sesiones que transcurre.</w:t>
      </w:r>
    </w:p>
    <w:p w14:paraId="3ABB4C81" w14:textId="77777777" w:rsidR="00817621" w:rsidRDefault="00817621" w:rsidP="00817621">
      <w:pPr>
        <w:autoSpaceDE w:val="0"/>
        <w:autoSpaceDN w:val="0"/>
        <w:adjustRightInd w:val="0"/>
        <w:ind w:left="709"/>
        <w:jc w:val="both"/>
        <w:rPr>
          <w:rFonts w:ascii="Abadi" w:hAnsi="Abadi" w:cs="Arial"/>
          <w:sz w:val="21"/>
          <w:szCs w:val="21"/>
        </w:rPr>
      </w:pPr>
    </w:p>
    <w:p w14:paraId="3E72D1BF" w14:textId="77777777" w:rsidR="00817621" w:rsidRPr="005114A0" w:rsidRDefault="00817621" w:rsidP="00817621">
      <w:pPr>
        <w:autoSpaceDE w:val="0"/>
        <w:autoSpaceDN w:val="0"/>
        <w:adjustRightInd w:val="0"/>
        <w:ind w:left="709"/>
        <w:jc w:val="both"/>
        <w:rPr>
          <w:rFonts w:ascii="Abadi" w:hAnsi="Abadi" w:cs="Arial"/>
          <w:sz w:val="21"/>
          <w:szCs w:val="21"/>
        </w:rPr>
      </w:pPr>
      <w:r w:rsidRPr="005114A0">
        <w:rPr>
          <w:rFonts w:ascii="Abadi" w:hAnsi="Abadi" w:cs="Arial"/>
          <w:sz w:val="21"/>
          <w:szCs w:val="21"/>
        </w:rPr>
        <w:t>X a XXVI...</w:t>
      </w:r>
    </w:p>
    <w:p w14:paraId="55E560E8" w14:textId="77777777" w:rsidR="00817621" w:rsidRDefault="00817621" w:rsidP="00817621">
      <w:pPr>
        <w:autoSpaceDE w:val="0"/>
        <w:autoSpaceDN w:val="0"/>
        <w:adjustRightInd w:val="0"/>
        <w:ind w:left="709"/>
        <w:jc w:val="both"/>
        <w:rPr>
          <w:rFonts w:ascii="Abadi" w:hAnsi="Abadi" w:cs="Arial"/>
          <w:b/>
          <w:bCs/>
          <w:sz w:val="21"/>
          <w:szCs w:val="21"/>
        </w:rPr>
      </w:pPr>
    </w:p>
    <w:p w14:paraId="5BC379EC" w14:textId="77777777" w:rsidR="00817621" w:rsidRPr="005114A0" w:rsidRDefault="00817621" w:rsidP="00817621">
      <w:pPr>
        <w:autoSpaceDE w:val="0"/>
        <w:autoSpaceDN w:val="0"/>
        <w:adjustRightInd w:val="0"/>
        <w:ind w:left="709"/>
        <w:jc w:val="both"/>
        <w:rPr>
          <w:rFonts w:ascii="Abadi" w:hAnsi="Abadi" w:cs="Arial"/>
          <w:b/>
          <w:bCs/>
          <w:sz w:val="21"/>
          <w:szCs w:val="21"/>
        </w:rPr>
      </w:pPr>
      <w:r w:rsidRPr="005114A0">
        <w:rPr>
          <w:rFonts w:ascii="Abadi" w:hAnsi="Abadi" w:cs="Arial"/>
          <w:b/>
          <w:bCs/>
          <w:sz w:val="21"/>
          <w:szCs w:val="21"/>
        </w:rPr>
        <w:t>Artículo 169. Se deroga.</w:t>
      </w:r>
    </w:p>
    <w:p w14:paraId="7529442C" w14:textId="77777777" w:rsidR="00817621" w:rsidRDefault="00817621" w:rsidP="00817621">
      <w:pPr>
        <w:autoSpaceDE w:val="0"/>
        <w:autoSpaceDN w:val="0"/>
        <w:adjustRightInd w:val="0"/>
        <w:ind w:left="709"/>
        <w:jc w:val="both"/>
        <w:rPr>
          <w:rFonts w:ascii="Abadi" w:hAnsi="Abadi" w:cs="Arial"/>
          <w:b/>
          <w:bCs/>
          <w:sz w:val="21"/>
          <w:szCs w:val="21"/>
        </w:rPr>
      </w:pPr>
    </w:p>
    <w:p w14:paraId="4B294C56" w14:textId="77777777" w:rsidR="00817621" w:rsidRDefault="00817621" w:rsidP="00817621">
      <w:pPr>
        <w:autoSpaceDE w:val="0"/>
        <w:autoSpaceDN w:val="0"/>
        <w:adjustRightInd w:val="0"/>
        <w:ind w:left="709"/>
        <w:jc w:val="both"/>
        <w:rPr>
          <w:rFonts w:ascii="Abadi" w:hAnsi="Abadi" w:cs="Arial"/>
          <w:b/>
          <w:bCs/>
          <w:sz w:val="21"/>
          <w:szCs w:val="21"/>
        </w:rPr>
      </w:pPr>
      <w:r w:rsidRPr="005114A0">
        <w:rPr>
          <w:rFonts w:ascii="Abadi" w:hAnsi="Abadi" w:cs="Arial"/>
          <w:b/>
          <w:bCs/>
          <w:sz w:val="21"/>
          <w:szCs w:val="21"/>
        </w:rPr>
        <w:t xml:space="preserve">Artículo 171. </w:t>
      </w:r>
      <w:r w:rsidRPr="005114A0">
        <w:rPr>
          <w:rFonts w:ascii="Abadi" w:hAnsi="Abadi" w:cs="Arial"/>
          <w:sz w:val="21"/>
          <w:szCs w:val="21"/>
        </w:rPr>
        <w:t>Las Comisiones Legislativas a las que se turnen las iniciativas,</w:t>
      </w:r>
      <w:r>
        <w:rPr>
          <w:rFonts w:ascii="Abadi" w:hAnsi="Abadi" w:cs="Arial"/>
          <w:sz w:val="21"/>
          <w:szCs w:val="21"/>
        </w:rPr>
        <w:t xml:space="preserve"> </w:t>
      </w:r>
      <w:r w:rsidRPr="005114A0">
        <w:rPr>
          <w:rFonts w:ascii="Abadi" w:hAnsi="Abadi" w:cs="Arial"/>
          <w:sz w:val="21"/>
          <w:szCs w:val="21"/>
        </w:rPr>
        <w:t>rendirán su dictamen al Congreso del Estado o a la Diputación Permanente,</w:t>
      </w:r>
      <w:r>
        <w:rPr>
          <w:rFonts w:ascii="Abadi" w:hAnsi="Abadi" w:cs="Arial"/>
          <w:sz w:val="21"/>
          <w:szCs w:val="21"/>
        </w:rPr>
        <w:t xml:space="preserve"> </w:t>
      </w:r>
      <w:r w:rsidRPr="005114A0">
        <w:rPr>
          <w:rFonts w:ascii="Abadi" w:hAnsi="Abadi" w:cs="Arial"/>
          <w:b/>
          <w:bCs/>
          <w:sz w:val="21"/>
          <w:szCs w:val="21"/>
        </w:rPr>
        <w:t>en un plazo no mayor a sesenta días hábiles, contados a partir de la</w:t>
      </w:r>
      <w:r>
        <w:rPr>
          <w:rFonts w:ascii="Abadi" w:hAnsi="Abadi" w:cs="Arial"/>
          <w:b/>
          <w:bCs/>
          <w:sz w:val="21"/>
          <w:szCs w:val="21"/>
        </w:rPr>
        <w:t xml:space="preserve"> </w:t>
      </w:r>
      <w:r w:rsidRPr="005114A0">
        <w:rPr>
          <w:rFonts w:ascii="Abadi" w:hAnsi="Abadi" w:cs="Arial"/>
          <w:b/>
          <w:bCs/>
          <w:sz w:val="21"/>
          <w:szCs w:val="21"/>
        </w:rPr>
        <w:t>fecha de su recepción, salvo que:</w:t>
      </w:r>
    </w:p>
    <w:p w14:paraId="0A625EEE" w14:textId="77777777" w:rsidR="00817621" w:rsidRPr="005114A0" w:rsidRDefault="00817621" w:rsidP="00817621">
      <w:pPr>
        <w:autoSpaceDE w:val="0"/>
        <w:autoSpaceDN w:val="0"/>
        <w:adjustRightInd w:val="0"/>
        <w:ind w:left="709"/>
        <w:jc w:val="both"/>
        <w:rPr>
          <w:rFonts w:ascii="Abadi" w:hAnsi="Abadi" w:cs="Arial"/>
          <w:b/>
          <w:bCs/>
          <w:sz w:val="21"/>
          <w:szCs w:val="21"/>
        </w:rPr>
      </w:pPr>
    </w:p>
    <w:p w14:paraId="7AE08236" w14:textId="77777777" w:rsidR="00817621" w:rsidRDefault="00817621" w:rsidP="00817621">
      <w:pPr>
        <w:autoSpaceDE w:val="0"/>
        <w:autoSpaceDN w:val="0"/>
        <w:adjustRightInd w:val="0"/>
        <w:ind w:left="709"/>
        <w:jc w:val="both"/>
        <w:rPr>
          <w:rFonts w:ascii="Abadi" w:hAnsi="Abadi" w:cs="Arial"/>
          <w:b/>
          <w:bCs/>
          <w:sz w:val="21"/>
          <w:szCs w:val="21"/>
        </w:rPr>
      </w:pPr>
      <w:r w:rsidRPr="005114A0">
        <w:rPr>
          <w:rFonts w:ascii="Abadi" w:hAnsi="Abadi" w:cs="Arial"/>
          <w:b/>
          <w:bCs/>
          <w:sz w:val="21"/>
          <w:szCs w:val="21"/>
        </w:rPr>
        <w:t>I. La iniciativa requiera, a juicio de la comisión, un plazo mayor; caso en</w:t>
      </w:r>
      <w:r>
        <w:rPr>
          <w:rFonts w:ascii="Abadi" w:hAnsi="Abadi" w:cs="Arial"/>
          <w:b/>
          <w:bCs/>
          <w:sz w:val="21"/>
          <w:szCs w:val="21"/>
        </w:rPr>
        <w:t xml:space="preserve"> </w:t>
      </w:r>
      <w:r w:rsidRPr="005114A0">
        <w:rPr>
          <w:rFonts w:ascii="Abadi" w:hAnsi="Abadi" w:cs="Arial"/>
          <w:b/>
          <w:bCs/>
          <w:sz w:val="21"/>
          <w:szCs w:val="21"/>
        </w:rPr>
        <w:t>el cual puede solicitar a la Asamblea autorice la prórroga para</w:t>
      </w:r>
      <w:r>
        <w:rPr>
          <w:rFonts w:ascii="Abadi" w:hAnsi="Abadi" w:cs="Arial"/>
          <w:b/>
          <w:bCs/>
          <w:sz w:val="21"/>
          <w:szCs w:val="21"/>
        </w:rPr>
        <w:t xml:space="preserve"> </w:t>
      </w:r>
      <w:r w:rsidRPr="005114A0">
        <w:rPr>
          <w:rFonts w:ascii="Abadi" w:hAnsi="Abadi" w:cs="Arial"/>
          <w:b/>
          <w:bCs/>
          <w:sz w:val="21"/>
          <w:szCs w:val="21"/>
        </w:rPr>
        <w:t>dictaminar, mismo que no podrá exceder de un plazo de treinta días</w:t>
      </w:r>
      <w:r>
        <w:rPr>
          <w:rFonts w:ascii="Abadi" w:hAnsi="Abadi" w:cs="Arial"/>
          <w:b/>
          <w:bCs/>
          <w:sz w:val="21"/>
          <w:szCs w:val="21"/>
        </w:rPr>
        <w:t xml:space="preserve"> </w:t>
      </w:r>
      <w:r w:rsidRPr="005114A0">
        <w:rPr>
          <w:rFonts w:ascii="Abadi" w:hAnsi="Abadi" w:cs="Arial"/>
          <w:b/>
          <w:bCs/>
          <w:sz w:val="21"/>
          <w:szCs w:val="21"/>
        </w:rPr>
        <w:t>hábiles adicionales;</w:t>
      </w:r>
    </w:p>
    <w:p w14:paraId="11F042D6" w14:textId="77777777" w:rsidR="00817621" w:rsidRPr="005114A0" w:rsidRDefault="00817621" w:rsidP="00817621">
      <w:pPr>
        <w:autoSpaceDE w:val="0"/>
        <w:autoSpaceDN w:val="0"/>
        <w:adjustRightInd w:val="0"/>
        <w:ind w:left="709"/>
        <w:jc w:val="both"/>
        <w:rPr>
          <w:rFonts w:ascii="Abadi" w:hAnsi="Abadi" w:cs="Arial"/>
          <w:b/>
          <w:bCs/>
          <w:sz w:val="21"/>
          <w:szCs w:val="21"/>
        </w:rPr>
      </w:pPr>
    </w:p>
    <w:p w14:paraId="4940D0E7" w14:textId="77777777" w:rsidR="00817621" w:rsidRDefault="00817621" w:rsidP="00817621">
      <w:pPr>
        <w:autoSpaceDE w:val="0"/>
        <w:autoSpaceDN w:val="0"/>
        <w:adjustRightInd w:val="0"/>
        <w:ind w:left="709"/>
        <w:jc w:val="both"/>
        <w:rPr>
          <w:rFonts w:ascii="Abadi" w:hAnsi="Abadi" w:cs="Arial"/>
          <w:b/>
          <w:bCs/>
          <w:sz w:val="21"/>
          <w:szCs w:val="21"/>
        </w:rPr>
      </w:pPr>
      <w:r w:rsidRPr="005114A0">
        <w:rPr>
          <w:rFonts w:ascii="Abadi" w:hAnsi="Abadi" w:cs="Arial"/>
          <w:b/>
          <w:bCs/>
          <w:sz w:val="21"/>
          <w:szCs w:val="21"/>
        </w:rPr>
        <w:t>II. Tratándose de una iniciativa para autorizar la enajenación o actos</w:t>
      </w:r>
      <w:r>
        <w:rPr>
          <w:rFonts w:ascii="Abadi" w:hAnsi="Abadi" w:cs="Arial"/>
          <w:b/>
          <w:bCs/>
          <w:sz w:val="21"/>
          <w:szCs w:val="21"/>
        </w:rPr>
        <w:t xml:space="preserve"> </w:t>
      </w:r>
      <w:r w:rsidRPr="005114A0">
        <w:rPr>
          <w:rFonts w:ascii="Abadi" w:hAnsi="Abadi" w:cs="Arial"/>
          <w:b/>
          <w:bCs/>
          <w:sz w:val="21"/>
          <w:szCs w:val="21"/>
        </w:rPr>
        <w:t>traslativos de dominio sobre bienes inmuebles patrimonio del estado</w:t>
      </w:r>
      <w:r>
        <w:rPr>
          <w:rFonts w:ascii="Abadi" w:hAnsi="Abadi" w:cs="Arial"/>
          <w:b/>
          <w:bCs/>
          <w:sz w:val="21"/>
          <w:szCs w:val="21"/>
        </w:rPr>
        <w:t xml:space="preserve"> </w:t>
      </w:r>
      <w:r w:rsidRPr="005114A0">
        <w:rPr>
          <w:rFonts w:ascii="Abadi" w:hAnsi="Abadi" w:cs="Arial"/>
          <w:b/>
          <w:bCs/>
          <w:sz w:val="21"/>
          <w:szCs w:val="21"/>
        </w:rPr>
        <w:t>de Guanajuato, deberán presentar su dictamen en un plazo no mayor a</w:t>
      </w:r>
      <w:r>
        <w:rPr>
          <w:rFonts w:ascii="Abadi" w:hAnsi="Abadi" w:cs="Arial"/>
          <w:b/>
          <w:bCs/>
          <w:sz w:val="21"/>
          <w:szCs w:val="21"/>
        </w:rPr>
        <w:t xml:space="preserve"> </w:t>
      </w:r>
      <w:r w:rsidRPr="005114A0">
        <w:rPr>
          <w:rFonts w:ascii="Abadi" w:hAnsi="Abadi" w:cs="Arial"/>
          <w:b/>
          <w:bCs/>
          <w:sz w:val="21"/>
          <w:szCs w:val="21"/>
        </w:rPr>
        <w:t>treinta días hábiles, contados a partir de la fecha de su recepción. Si a</w:t>
      </w:r>
      <w:r>
        <w:rPr>
          <w:rFonts w:ascii="Abadi" w:hAnsi="Abadi" w:cs="Arial"/>
          <w:b/>
          <w:bCs/>
          <w:sz w:val="21"/>
          <w:szCs w:val="21"/>
        </w:rPr>
        <w:t xml:space="preserve"> </w:t>
      </w:r>
      <w:r w:rsidRPr="005114A0">
        <w:rPr>
          <w:rFonts w:ascii="Abadi" w:hAnsi="Abadi" w:cs="Arial"/>
          <w:b/>
          <w:bCs/>
          <w:sz w:val="21"/>
          <w:szCs w:val="21"/>
        </w:rPr>
        <w:t>juicio de la comisión, la iniciativa requiere de un plazo mayor, esta</w:t>
      </w:r>
      <w:r>
        <w:rPr>
          <w:rFonts w:ascii="Abadi" w:hAnsi="Abadi" w:cs="Arial"/>
          <w:b/>
          <w:bCs/>
          <w:sz w:val="21"/>
          <w:szCs w:val="21"/>
        </w:rPr>
        <w:t xml:space="preserve"> </w:t>
      </w:r>
      <w:r w:rsidRPr="005114A0">
        <w:rPr>
          <w:rFonts w:ascii="Abadi" w:hAnsi="Abadi" w:cs="Arial"/>
          <w:b/>
          <w:bCs/>
          <w:sz w:val="21"/>
          <w:szCs w:val="21"/>
        </w:rPr>
        <w:t>deberá solicitar una prórroga hasta por un máximo de diez días hábiles</w:t>
      </w:r>
      <w:r>
        <w:rPr>
          <w:rFonts w:ascii="Abadi" w:hAnsi="Abadi" w:cs="Arial"/>
          <w:b/>
          <w:bCs/>
          <w:sz w:val="21"/>
          <w:szCs w:val="21"/>
        </w:rPr>
        <w:t xml:space="preserve"> </w:t>
      </w:r>
      <w:r w:rsidRPr="005114A0">
        <w:rPr>
          <w:rFonts w:ascii="Abadi" w:hAnsi="Abadi" w:cs="Arial"/>
          <w:b/>
          <w:bCs/>
          <w:sz w:val="21"/>
          <w:szCs w:val="21"/>
        </w:rPr>
        <w:t>adicionales;</w:t>
      </w:r>
    </w:p>
    <w:p w14:paraId="569AFA7E" w14:textId="77777777" w:rsidR="00817621" w:rsidRPr="005114A0" w:rsidRDefault="00817621" w:rsidP="00817621">
      <w:pPr>
        <w:autoSpaceDE w:val="0"/>
        <w:autoSpaceDN w:val="0"/>
        <w:adjustRightInd w:val="0"/>
        <w:ind w:left="709"/>
        <w:jc w:val="both"/>
        <w:rPr>
          <w:rFonts w:ascii="Abadi" w:hAnsi="Abadi" w:cs="Arial"/>
          <w:b/>
          <w:bCs/>
          <w:sz w:val="21"/>
          <w:szCs w:val="21"/>
        </w:rPr>
      </w:pPr>
    </w:p>
    <w:p w14:paraId="1288A60B" w14:textId="77777777" w:rsidR="00817621" w:rsidRPr="005114A0" w:rsidRDefault="00817621" w:rsidP="00817621">
      <w:pPr>
        <w:autoSpaceDE w:val="0"/>
        <w:autoSpaceDN w:val="0"/>
        <w:adjustRightInd w:val="0"/>
        <w:ind w:left="709"/>
        <w:jc w:val="both"/>
        <w:rPr>
          <w:rFonts w:ascii="Abadi" w:hAnsi="Abadi" w:cs="Arial"/>
          <w:b/>
          <w:bCs/>
          <w:sz w:val="21"/>
          <w:szCs w:val="21"/>
        </w:rPr>
      </w:pPr>
      <w:r w:rsidRPr="005114A0">
        <w:rPr>
          <w:rFonts w:ascii="Abadi" w:hAnsi="Abadi" w:cs="Arial"/>
          <w:b/>
          <w:bCs/>
          <w:sz w:val="21"/>
          <w:szCs w:val="21"/>
        </w:rPr>
        <w:t>III. Cuando se trate de juicio político, se estará sujeto al plazo</w:t>
      </w:r>
      <w:r>
        <w:rPr>
          <w:rFonts w:ascii="Abadi" w:hAnsi="Abadi" w:cs="Arial"/>
          <w:b/>
          <w:bCs/>
          <w:sz w:val="21"/>
          <w:szCs w:val="21"/>
        </w:rPr>
        <w:t xml:space="preserve"> </w:t>
      </w:r>
      <w:r w:rsidRPr="005114A0">
        <w:rPr>
          <w:rFonts w:ascii="Abadi" w:hAnsi="Abadi" w:cs="Arial"/>
          <w:b/>
          <w:bCs/>
          <w:sz w:val="21"/>
          <w:szCs w:val="21"/>
        </w:rPr>
        <w:t>establecido en la Constitución; y</w:t>
      </w:r>
    </w:p>
    <w:p w14:paraId="1F56A78D" w14:textId="77777777" w:rsidR="00817621" w:rsidRPr="005114A0" w:rsidRDefault="00817621" w:rsidP="00817621">
      <w:pPr>
        <w:autoSpaceDE w:val="0"/>
        <w:autoSpaceDN w:val="0"/>
        <w:adjustRightInd w:val="0"/>
        <w:ind w:left="709"/>
        <w:jc w:val="both"/>
        <w:rPr>
          <w:rFonts w:ascii="Abadi" w:hAnsi="Abadi" w:cs="Arial"/>
          <w:b/>
          <w:bCs/>
          <w:sz w:val="21"/>
          <w:szCs w:val="21"/>
        </w:rPr>
      </w:pPr>
      <w:r w:rsidRPr="005114A0">
        <w:rPr>
          <w:rFonts w:ascii="Abadi" w:hAnsi="Abadi" w:cs="Arial"/>
          <w:b/>
          <w:bCs/>
          <w:sz w:val="21"/>
          <w:szCs w:val="21"/>
        </w:rPr>
        <w:t>IV. Cuando se trate de exhortos y puntos de acuerdo legislativos, se</w:t>
      </w:r>
      <w:r>
        <w:rPr>
          <w:rFonts w:ascii="Abadi" w:hAnsi="Abadi" w:cs="Arial"/>
          <w:b/>
          <w:bCs/>
          <w:sz w:val="21"/>
          <w:szCs w:val="21"/>
        </w:rPr>
        <w:t xml:space="preserve"> </w:t>
      </w:r>
      <w:r w:rsidRPr="005114A0">
        <w:rPr>
          <w:rFonts w:ascii="Abadi" w:hAnsi="Abadi" w:cs="Arial"/>
          <w:b/>
          <w:bCs/>
          <w:sz w:val="21"/>
          <w:szCs w:val="21"/>
        </w:rPr>
        <w:t>dictaminarán dentro de los veinte días hábiles, contados a partir de la</w:t>
      </w:r>
      <w:r>
        <w:rPr>
          <w:rFonts w:ascii="Abadi" w:hAnsi="Abadi" w:cs="Arial"/>
          <w:b/>
          <w:bCs/>
          <w:sz w:val="21"/>
          <w:szCs w:val="21"/>
        </w:rPr>
        <w:t xml:space="preserve"> </w:t>
      </w:r>
      <w:r w:rsidRPr="005114A0">
        <w:rPr>
          <w:rFonts w:ascii="Abadi" w:hAnsi="Abadi" w:cs="Arial"/>
          <w:b/>
          <w:bCs/>
          <w:sz w:val="21"/>
          <w:szCs w:val="21"/>
        </w:rPr>
        <w:t>fecha de su recepción.</w:t>
      </w:r>
    </w:p>
    <w:p w14:paraId="5A667E80" w14:textId="77777777" w:rsidR="00817621" w:rsidRPr="005114A0" w:rsidRDefault="00817621" w:rsidP="00817621">
      <w:pPr>
        <w:ind w:left="709"/>
        <w:jc w:val="both"/>
        <w:rPr>
          <w:rFonts w:ascii="Abadi" w:hAnsi="Abadi" w:cs="Arial"/>
          <w:b/>
          <w:bCs/>
          <w:sz w:val="21"/>
          <w:szCs w:val="21"/>
        </w:rPr>
      </w:pPr>
    </w:p>
    <w:p w14:paraId="290FC9C5" w14:textId="77777777" w:rsidR="00817621" w:rsidRPr="005114A0" w:rsidRDefault="00817621" w:rsidP="00817621">
      <w:pPr>
        <w:autoSpaceDE w:val="0"/>
        <w:autoSpaceDN w:val="0"/>
        <w:adjustRightInd w:val="0"/>
        <w:ind w:left="709"/>
        <w:jc w:val="both"/>
        <w:rPr>
          <w:rFonts w:ascii="Abadi" w:hAnsi="Abadi" w:cs="Arial"/>
          <w:b/>
          <w:bCs/>
          <w:sz w:val="21"/>
          <w:szCs w:val="21"/>
        </w:rPr>
      </w:pPr>
      <w:r w:rsidRPr="005114A0">
        <w:rPr>
          <w:rFonts w:ascii="Abadi" w:hAnsi="Abadi" w:cs="Arial"/>
          <w:b/>
          <w:bCs/>
          <w:sz w:val="21"/>
          <w:szCs w:val="21"/>
        </w:rPr>
        <w:t>Los dictámenes deberán contener consideraciones claras y precisas</w:t>
      </w:r>
      <w:r>
        <w:rPr>
          <w:rFonts w:ascii="Abadi" w:hAnsi="Abadi" w:cs="Arial"/>
          <w:b/>
          <w:bCs/>
          <w:sz w:val="21"/>
          <w:szCs w:val="21"/>
        </w:rPr>
        <w:t xml:space="preserve"> </w:t>
      </w:r>
      <w:r w:rsidRPr="005114A0">
        <w:rPr>
          <w:rFonts w:ascii="Abadi" w:hAnsi="Abadi" w:cs="Arial"/>
          <w:b/>
          <w:bCs/>
          <w:sz w:val="21"/>
          <w:szCs w:val="21"/>
        </w:rPr>
        <w:t>del asunto a que se refieran, y concluir sometiendo a consideración del</w:t>
      </w:r>
      <w:r>
        <w:rPr>
          <w:rFonts w:ascii="Abadi" w:hAnsi="Abadi" w:cs="Arial"/>
          <w:b/>
          <w:bCs/>
          <w:sz w:val="21"/>
          <w:szCs w:val="21"/>
        </w:rPr>
        <w:t xml:space="preserve"> </w:t>
      </w:r>
      <w:r w:rsidRPr="005114A0">
        <w:rPr>
          <w:rFonts w:ascii="Abadi" w:hAnsi="Abadi" w:cs="Arial"/>
          <w:b/>
          <w:bCs/>
          <w:sz w:val="21"/>
          <w:szCs w:val="21"/>
        </w:rPr>
        <w:t>Pleno el proyecto de ley, decreto o acuerdo, según corresponda.</w:t>
      </w:r>
    </w:p>
    <w:p w14:paraId="5DBC592A" w14:textId="77777777" w:rsidR="00817621" w:rsidRDefault="00817621" w:rsidP="00817621">
      <w:pPr>
        <w:autoSpaceDE w:val="0"/>
        <w:autoSpaceDN w:val="0"/>
        <w:adjustRightInd w:val="0"/>
        <w:jc w:val="both"/>
        <w:rPr>
          <w:rFonts w:ascii="Abadi" w:hAnsi="Abadi" w:cs="Arial"/>
          <w:b/>
          <w:bCs/>
          <w:sz w:val="21"/>
          <w:szCs w:val="21"/>
        </w:rPr>
      </w:pPr>
    </w:p>
    <w:p w14:paraId="1DB58EDB" w14:textId="77777777" w:rsidR="00817621" w:rsidRDefault="00817621" w:rsidP="00817621">
      <w:pPr>
        <w:autoSpaceDE w:val="0"/>
        <w:autoSpaceDN w:val="0"/>
        <w:adjustRightInd w:val="0"/>
        <w:jc w:val="center"/>
        <w:rPr>
          <w:rFonts w:ascii="Abadi" w:hAnsi="Abadi" w:cs="Arial"/>
          <w:b/>
          <w:bCs/>
          <w:sz w:val="21"/>
          <w:szCs w:val="21"/>
        </w:rPr>
      </w:pPr>
    </w:p>
    <w:p w14:paraId="59361EEE" w14:textId="77777777" w:rsidR="00817621" w:rsidRDefault="00817621" w:rsidP="00817621">
      <w:pPr>
        <w:autoSpaceDE w:val="0"/>
        <w:autoSpaceDN w:val="0"/>
        <w:adjustRightInd w:val="0"/>
        <w:jc w:val="center"/>
        <w:rPr>
          <w:rFonts w:ascii="Abadi" w:hAnsi="Abadi" w:cs="Arial"/>
          <w:b/>
          <w:bCs/>
          <w:sz w:val="21"/>
          <w:szCs w:val="21"/>
        </w:rPr>
      </w:pPr>
      <w:r w:rsidRPr="005114A0">
        <w:rPr>
          <w:rFonts w:ascii="Abadi" w:hAnsi="Abadi" w:cs="Arial"/>
          <w:b/>
          <w:bCs/>
          <w:sz w:val="21"/>
          <w:szCs w:val="21"/>
        </w:rPr>
        <w:t>TRANSITORIOS</w:t>
      </w:r>
    </w:p>
    <w:p w14:paraId="0C4D7338" w14:textId="77777777" w:rsidR="00817621" w:rsidRPr="005114A0" w:rsidRDefault="00817621" w:rsidP="00817621">
      <w:pPr>
        <w:autoSpaceDE w:val="0"/>
        <w:autoSpaceDN w:val="0"/>
        <w:adjustRightInd w:val="0"/>
        <w:jc w:val="both"/>
        <w:rPr>
          <w:rFonts w:ascii="Abadi" w:hAnsi="Abadi" w:cs="Arial"/>
          <w:b/>
          <w:bCs/>
          <w:sz w:val="21"/>
          <w:szCs w:val="21"/>
        </w:rPr>
      </w:pPr>
    </w:p>
    <w:p w14:paraId="1249EE42" w14:textId="77777777" w:rsidR="00817621" w:rsidRDefault="00817621" w:rsidP="00817621">
      <w:pPr>
        <w:autoSpaceDE w:val="0"/>
        <w:autoSpaceDN w:val="0"/>
        <w:adjustRightInd w:val="0"/>
        <w:jc w:val="both"/>
        <w:rPr>
          <w:rFonts w:ascii="Abadi" w:hAnsi="Abadi" w:cs="Arial"/>
          <w:sz w:val="21"/>
          <w:szCs w:val="21"/>
        </w:rPr>
      </w:pPr>
      <w:r w:rsidRPr="005114A0">
        <w:rPr>
          <w:rFonts w:ascii="Abadi" w:hAnsi="Abadi" w:cs="Arial"/>
          <w:b/>
          <w:bCs/>
          <w:sz w:val="21"/>
          <w:szCs w:val="21"/>
        </w:rPr>
        <w:t xml:space="preserve">Único. </w:t>
      </w:r>
      <w:r w:rsidRPr="005114A0">
        <w:rPr>
          <w:rFonts w:ascii="Abadi" w:hAnsi="Abadi" w:cs="Arial"/>
          <w:sz w:val="21"/>
          <w:szCs w:val="21"/>
        </w:rPr>
        <w:t>El presente decreto entrará en vigor el día siguiente al de su publicación en</w:t>
      </w:r>
      <w:r>
        <w:rPr>
          <w:rFonts w:ascii="Abadi" w:hAnsi="Abadi" w:cs="Arial"/>
          <w:sz w:val="21"/>
          <w:szCs w:val="21"/>
        </w:rPr>
        <w:t xml:space="preserve"> </w:t>
      </w:r>
      <w:r w:rsidRPr="005114A0">
        <w:rPr>
          <w:rFonts w:ascii="Abadi" w:hAnsi="Abadi" w:cs="Arial"/>
          <w:sz w:val="21"/>
          <w:szCs w:val="21"/>
        </w:rPr>
        <w:t>el Periódico Oficial del Gobierno del Estado de Guanajuato.</w:t>
      </w:r>
    </w:p>
    <w:p w14:paraId="39461552" w14:textId="77777777" w:rsidR="00817621" w:rsidRPr="005114A0" w:rsidRDefault="00817621" w:rsidP="00817621">
      <w:pPr>
        <w:autoSpaceDE w:val="0"/>
        <w:autoSpaceDN w:val="0"/>
        <w:adjustRightInd w:val="0"/>
        <w:jc w:val="both"/>
        <w:rPr>
          <w:rFonts w:ascii="Abadi" w:hAnsi="Abadi" w:cs="Arial"/>
          <w:sz w:val="21"/>
          <w:szCs w:val="21"/>
        </w:rPr>
      </w:pPr>
    </w:p>
    <w:p w14:paraId="50ACBF3C" w14:textId="77777777" w:rsidR="00817621"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Con razón en lo anteriormente expuesto y fundado, solicito a Usted dar a esta</w:t>
      </w:r>
      <w:r>
        <w:rPr>
          <w:rFonts w:ascii="Abadi" w:hAnsi="Abadi" w:cs="Arial"/>
          <w:sz w:val="21"/>
          <w:szCs w:val="21"/>
        </w:rPr>
        <w:t xml:space="preserve"> </w:t>
      </w:r>
      <w:r w:rsidRPr="005114A0">
        <w:rPr>
          <w:rFonts w:ascii="Abadi" w:hAnsi="Abadi" w:cs="Arial"/>
          <w:sz w:val="21"/>
          <w:szCs w:val="21"/>
        </w:rPr>
        <w:t>Iniciativa el trámite señalado en la Ley Orgánica del Poder Legislativo del Estado de</w:t>
      </w:r>
      <w:r>
        <w:rPr>
          <w:rFonts w:ascii="Abadi" w:hAnsi="Abadi" w:cs="Arial"/>
          <w:sz w:val="21"/>
          <w:szCs w:val="21"/>
        </w:rPr>
        <w:t xml:space="preserve"> </w:t>
      </w:r>
      <w:r w:rsidRPr="005114A0">
        <w:rPr>
          <w:rFonts w:ascii="Abadi" w:hAnsi="Abadi" w:cs="Arial"/>
          <w:sz w:val="21"/>
          <w:szCs w:val="21"/>
        </w:rPr>
        <w:t>Guanajuato.</w:t>
      </w:r>
    </w:p>
    <w:p w14:paraId="0E312F7A" w14:textId="77777777" w:rsidR="00817621" w:rsidRPr="005114A0" w:rsidRDefault="00817621" w:rsidP="00817621">
      <w:pPr>
        <w:autoSpaceDE w:val="0"/>
        <w:autoSpaceDN w:val="0"/>
        <w:adjustRightInd w:val="0"/>
        <w:jc w:val="both"/>
        <w:rPr>
          <w:rFonts w:ascii="Abadi" w:hAnsi="Abadi" w:cs="Arial"/>
          <w:sz w:val="21"/>
          <w:szCs w:val="21"/>
        </w:rPr>
      </w:pPr>
    </w:p>
    <w:p w14:paraId="0FF70429" w14:textId="77777777" w:rsidR="00817621" w:rsidRPr="005114A0"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Guanajuato, Guanajuato, a 10 de mayo del 2022</w:t>
      </w:r>
    </w:p>
    <w:p w14:paraId="12674C26" w14:textId="77777777" w:rsidR="00817621" w:rsidRDefault="00817621" w:rsidP="00817621">
      <w:pPr>
        <w:autoSpaceDE w:val="0"/>
        <w:autoSpaceDN w:val="0"/>
        <w:adjustRightInd w:val="0"/>
        <w:jc w:val="both"/>
        <w:rPr>
          <w:rFonts w:ascii="Abadi" w:hAnsi="Abadi" w:cs="Arial"/>
          <w:sz w:val="21"/>
          <w:szCs w:val="21"/>
        </w:rPr>
      </w:pPr>
    </w:p>
    <w:p w14:paraId="1FE10A93" w14:textId="77777777" w:rsidR="00817621" w:rsidRDefault="00817621" w:rsidP="00817621">
      <w:pPr>
        <w:autoSpaceDE w:val="0"/>
        <w:autoSpaceDN w:val="0"/>
        <w:adjustRightInd w:val="0"/>
        <w:jc w:val="both"/>
        <w:rPr>
          <w:rFonts w:ascii="Abadi" w:hAnsi="Abadi" w:cs="Arial"/>
          <w:sz w:val="21"/>
          <w:szCs w:val="21"/>
        </w:rPr>
      </w:pPr>
      <w:r w:rsidRPr="005114A0">
        <w:rPr>
          <w:rFonts w:ascii="Abadi" w:hAnsi="Abadi" w:cs="Arial"/>
          <w:sz w:val="21"/>
          <w:szCs w:val="21"/>
        </w:rPr>
        <w:t>A t e n t a m e n t e.</w:t>
      </w:r>
    </w:p>
    <w:p w14:paraId="175F68CB" w14:textId="77777777" w:rsidR="00817621" w:rsidRPr="005114A0" w:rsidRDefault="00817621" w:rsidP="00817621">
      <w:pPr>
        <w:autoSpaceDE w:val="0"/>
        <w:autoSpaceDN w:val="0"/>
        <w:adjustRightInd w:val="0"/>
        <w:jc w:val="both"/>
        <w:rPr>
          <w:rFonts w:ascii="Abadi" w:hAnsi="Abadi" w:cs="Arial"/>
          <w:sz w:val="21"/>
          <w:szCs w:val="21"/>
        </w:rPr>
      </w:pPr>
    </w:p>
    <w:p w14:paraId="424400D9" w14:textId="77777777" w:rsidR="00817621" w:rsidRPr="005114A0" w:rsidRDefault="00817621" w:rsidP="00817621">
      <w:pPr>
        <w:autoSpaceDE w:val="0"/>
        <w:autoSpaceDN w:val="0"/>
        <w:adjustRightInd w:val="0"/>
        <w:jc w:val="both"/>
        <w:rPr>
          <w:rFonts w:ascii="Abadi" w:hAnsi="Abadi" w:cs="Arial"/>
          <w:b/>
          <w:bCs/>
          <w:sz w:val="21"/>
          <w:szCs w:val="21"/>
        </w:rPr>
      </w:pPr>
      <w:r w:rsidRPr="005114A0">
        <w:rPr>
          <w:rFonts w:ascii="Abadi" w:hAnsi="Abadi" w:cs="Arial"/>
          <w:b/>
          <w:bCs/>
          <w:sz w:val="21"/>
          <w:szCs w:val="21"/>
        </w:rPr>
        <w:t>Diputada Hades Berenice Aguilar Castillo</w:t>
      </w:r>
    </w:p>
    <w:p w14:paraId="45E15B26" w14:textId="77777777" w:rsidR="00817621" w:rsidRPr="005114A0" w:rsidRDefault="00817621" w:rsidP="00817621">
      <w:pPr>
        <w:jc w:val="both"/>
        <w:rPr>
          <w:rFonts w:ascii="Abadi" w:hAnsi="Abadi"/>
          <w:sz w:val="21"/>
          <w:szCs w:val="21"/>
        </w:rPr>
      </w:pPr>
      <w:r w:rsidRPr="005114A0">
        <w:rPr>
          <w:rFonts w:ascii="Abadi" w:hAnsi="Abadi" w:cs="Arial"/>
          <w:sz w:val="21"/>
          <w:szCs w:val="21"/>
        </w:rPr>
        <w:t>GRUPO PARLAMENTARIO DE MORENA</w:t>
      </w:r>
    </w:p>
    <w:p w14:paraId="2C5E48F4" w14:textId="77777777" w:rsidR="00817621" w:rsidRPr="00817621" w:rsidRDefault="00817621" w:rsidP="00817621">
      <w:pPr>
        <w:autoSpaceDE w:val="0"/>
        <w:autoSpaceDN w:val="0"/>
        <w:adjustRightInd w:val="0"/>
        <w:jc w:val="both"/>
        <w:rPr>
          <w:rFonts w:ascii="Abadi" w:hAnsi="Abadi" w:cs="ArialMT"/>
          <w:b/>
          <w:bCs/>
          <w:sz w:val="20"/>
          <w:szCs w:val="21"/>
        </w:rPr>
      </w:pPr>
    </w:p>
    <w:p w14:paraId="3293FAFE" w14:textId="72109EBD" w:rsidR="00464B2A" w:rsidRDefault="00464B2A" w:rsidP="009C437E">
      <w:pPr>
        <w:jc w:val="both"/>
        <w:rPr>
          <w:rFonts w:ascii="Abadi" w:hAnsi="Abadi" w:cs="TrebuchetMS-Bold"/>
          <w:b/>
          <w:bCs/>
          <w:sz w:val="21"/>
          <w:szCs w:val="21"/>
        </w:rPr>
      </w:pPr>
    </w:p>
    <w:p w14:paraId="7C10AF82" w14:textId="26A1E649" w:rsidR="00464B2A" w:rsidRDefault="00464B2A" w:rsidP="00464B2A">
      <w:pPr>
        <w:ind w:firstLine="708"/>
        <w:jc w:val="both"/>
        <w:rPr>
          <w:rFonts w:ascii="Abadi" w:hAnsi="Abadi"/>
          <w:sz w:val="21"/>
          <w:szCs w:val="21"/>
        </w:rPr>
      </w:pPr>
      <w:r>
        <w:rPr>
          <w:rFonts w:ascii="Abadi" w:hAnsi="Abadi"/>
          <w:b/>
          <w:bCs/>
          <w:sz w:val="21"/>
          <w:szCs w:val="21"/>
        </w:rPr>
        <w:t xml:space="preserve">- </w:t>
      </w:r>
      <w:r w:rsidRPr="00464B2A">
        <w:rPr>
          <w:rFonts w:ascii="Abadi" w:hAnsi="Abadi"/>
          <w:b/>
          <w:bCs/>
          <w:sz w:val="21"/>
          <w:szCs w:val="21"/>
        </w:rPr>
        <w:t>La Presidencia.-</w:t>
      </w:r>
      <w:r w:rsidRPr="00464B2A">
        <w:rPr>
          <w:rFonts w:ascii="Abadi" w:hAnsi="Abadi"/>
          <w:sz w:val="21"/>
          <w:szCs w:val="21"/>
        </w:rPr>
        <w:t xml:space="preserve"> Se pide a la diputada de Hades Berenice Aguilar Castillo, dar lectura a la exposición de motivos de su iniciativa a efecto de reformar el artículo 171; adicionar la fracción IX al artículo 59, recorriéndose en su orden las subsecuentes; y derogar el artículo 169 de la Ley Orgánica del Poder Legislativo del Estado de Guanajuato.</w:t>
      </w:r>
    </w:p>
    <w:p w14:paraId="68811C2A" w14:textId="77777777" w:rsidR="00464B2A" w:rsidRPr="00464B2A" w:rsidRDefault="00464B2A" w:rsidP="00464B2A">
      <w:pPr>
        <w:jc w:val="both"/>
        <w:rPr>
          <w:rFonts w:ascii="Abadi" w:hAnsi="Abadi"/>
          <w:sz w:val="21"/>
          <w:szCs w:val="21"/>
        </w:rPr>
      </w:pPr>
    </w:p>
    <w:p w14:paraId="0E06614E" w14:textId="77777777" w:rsidR="00464B2A" w:rsidRDefault="00464B2A" w:rsidP="00464B2A">
      <w:pPr>
        <w:jc w:val="both"/>
        <w:rPr>
          <w:rFonts w:ascii="Abadi" w:hAnsi="Abadi"/>
          <w:sz w:val="21"/>
          <w:szCs w:val="21"/>
        </w:rPr>
      </w:pPr>
    </w:p>
    <w:p w14:paraId="272A0D3B" w14:textId="3C226195" w:rsidR="00464B2A" w:rsidRPr="00464B2A" w:rsidRDefault="00464B2A" w:rsidP="00464B2A">
      <w:pPr>
        <w:jc w:val="both"/>
        <w:rPr>
          <w:rFonts w:ascii="Abadi" w:hAnsi="Abadi"/>
          <w:sz w:val="21"/>
          <w:szCs w:val="21"/>
        </w:rPr>
      </w:pPr>
      <w:r w:rsidRPr="00464B2A">
        <w:rPr>
          <w:rFonts w:ascii="Abadi" w:hAnsi="Abadi"/>
          <w:sz w:val="21"/>
          <w:szCs w:val="21"/>
        </w:rPr>
        <w:t xml:space="preserve">Adelante, diputada Hades.  </w:t>
      </w:r>
    </w:p>
    <w:p w14:paraId="2B6445B3" w14:textId="77777777" w:rsidR="00464B2A" w:rsidRDefault="00464B2A" w:rsidP="00464B2A">
      <w:pPr>
        <w:jc w:val="both"/>
        <w:rPr>
          <w:rFonts w:ascii="Abadi" w:hAnsi="Abadi"/>
          <w:b/>
          <w:bCs/>
          <w:sz w:val="21"/>
          <w:szCs w:val="21"/>
        </w:rPr>
      </w:pPr>
    </w:p>
    <w:p w14:paraId="6C8EE490" w14:textId="77777777" w:rsidR="00464B2A" w:rsidRDefault="00464B2A" w:rsidP="00464B2A">
      <w:pPr>
        <w:jc w:val="center"/>
        <w:rPr>
          <w:rFonts w:ascii="Abadi" w:hAnsi="Abadi"/>
          <w:b/>
          <w:bCs/>
          <w:sz w:val="21"/>
          <w:szCs w:val="21"/>
        </w:rPr>
      </w:pPr>
    </w:p>
    <w:p w14:paraId="134A65C8" w14:textId="40D2A84A" w:rsidR="00464B2A" w:rsidRPr="00464B2A" w:rsidRDefault="00464B2A" w:rsidP="00464B2A">
      <w:pPr>
        <w:jc w:val="center"/>
        <w:rPr>
          <w:rFonts w:ascii="Abadi" w:hAnsi="Abadi"/>
          <w:b/>
          <w:bCs/>
          <w:sz w:val="21"/>
          <w:szCs w:val="21"/>
        </w:rPr>
      </w:pPr>
      <w:r w:rsidRPr="00464B2A">
        <w:rPr>
          <w:rFonts w:ascii="Abadi" w:hAnsi="Abadi"/>
          <w:b/>
          <w:bCs/>
          <w:sz w:val="21"/>
          <w:szCs w:val="21"/>
        </w:rPr>
        <w:t>(Posicionamiento)</w:t>
      </w:r>
    </w:p>
    <w:p w14:paraId="6AF5CA31" w14:textId="77777777" w:rsidR="003E7942" w:rsidRDefault="003E7942" w:rsidP="003E7942">
      <w:pPr>
        <w:jc w:val="both"/>
        <w:rPr>
          <w:rFonts w:ascii="Abadi" w:hAnsi="Abadi"/>
          <w:b/>
          <w:bCs/>
          <w:sz w:val="21"/>
          <w:szCs w:val="21"/>
        </w:rPr>
      </w:pPr>
    </w:p>
    <w:p w14:paraId="1A76CE87" w14:textId="77777777" w:rsidR="003E7942" w:rsidRDefault="003E7942" w:rsidP="003E7942">
      <w:pPr>
        <w:jc w:val="both"/>
        <w:rPr>
          <w:rFonts w:ascii="Abadi" w:hAnsi="Abadi"/>
          <w:b/>
          <w:bCs/>
          <w:sz w:val="21"/>
          <w:szCs w:val="21"/>
        </w:rPr>
      </w:pPr>
    </w:p>
    <w:p w14:paraId="3A3285D6" w14:textId="7D6E6DEE" w:rsidR="003E7942" w:rsidRDefault="003E7942" w:rsidP="003E7942">
      <w:pPr>
        <w:jc w:val="both"/>
        <w:rPr>
          <w:rFonts w:ascii="Abadi" w:hAnsi="Abadi"/>
          <w:b/>
          <w:bCs/>
          <w:sz w:val="21"/>
          <w:szCs w:val="21"/>
        </w:rPr>
      </w:pPr>
      <w:r w:rsidRPr="00464B2A">
        <w:rPr>
          <w:rFonts w:ascii="Abadi" w:hAnsi="Abadi"/>
          <w:noProof/>
          <w:sz w:val="21"/>
          <w:szCs w:val="21"/>
        </w:rPr>
        <w:drawing>
          <wp:anchor distT="0" distB="0" distL="114300" distR="114300" simplePos="0" relativeHeight="251660288" behindDoc="1" locked="0" layoutInCell="1" allowOverlap="1" wp14:anchorId="67F993BC" wp14:editId="219A471F">
            <wp:simplePos x="0" y="0"/>
            <wp:positionH relativeFrom="column">
              <wp:posOffset>245745</wp:posOffset>
            </wp:positionH>
            <wp:positionV relativeFrom="paragraph">
              <wp:posOffset>131445</wp:posOffset>
            </wp:positionV>
            <wp:extent cx="1943100" cy="1005840"/>
            <wp:effectExtent l="0" t="114300" r="0" b="784860"/>
            <wp:wrapTight wrapText="bothSides">
              <wp:wrapPolygon edited="0">
                <wp:start x="212" y="-2455"/>
                <wp:lineTo x="0" y="24545"/>
                <wp:lineTo x="424" y="38045"/>
                <wp:lineTo x="2965" y="38045"/>
                <wp:lineTo x="3600" y="37227"/>
                <wp:lineTo x="19906" y="31500"/>
                <wp:lineTo x="20118" y="-2455"/>
                <wp:lineTo x="212" y="-2455"/>
              </wp:wrapPolygon>
            </wp:wrapTight>
            <wp:docPr id="15" name="Imagen 15"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Interfaz de usuario gráfica&#10;&#10;Descripción generada automáticamente"/>
                    <pic:cNvPicPr/>
                  </pic:nvPicPr>
                  <pic:blipFill rotWithShape="1">
                    <a:blip r:embed="rId23" cstate="print">
                      <a:extLst>
                        <a:ext uri="{28A0092B-C50C-407E-A947-70E740481C1C}">
                          <a14:useLocalDpi xmlns:a14="http://schemas.microsoft.com/office/drawing/2010/main" val="0"/>
                        </a:ext>
                      </a:extLst>
                    </a:blip>
                    <a:srcRect b="7929"/>
                    <a:stretch/>
                  </pic:blipFill>
                  <pic:spPr bwMode="auto">
                    <a:xfrm>
                      <a:off x="0" y="0"/>
                      <a:ext cx="1943100" cy="100584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70E2C9" w14:textId="77777777" w:rsidR="003E7942" w:rsidRDefault="003E7942" w:rsidP="003E7942">
      <w:pPr>
        <w:jc w:val="both"/>
        <w:rPr>
          <w:rFonts w:ascii="Abadi" w:hAnsi="Abadi"/>
          <w:b/>
          <w:bCs/>
          <w:sz w:val="21"/>
          <w:szCs w:val="21"/>
        </w:rPr>
      </w:pPr>
    </w:p>
    <w:p w14:paraId="21E82F37" w14:textId="77777777" w:rsidR="003E7942" w:rsidRDefault="003E7942" w:rsidP="003E7942">
      <w:pPr>
        <w:jc w:val="both"/>
        <w:rPr>
          <w:rFonts w:ascii="Abadi" w:hAnsi="Abadi"/>
          <w:b/>
          <w:bCs/>
          <w:sz w:val="21"/>
          <w:szCs w:val="21"/>
        </w:rPr>
      </w:pPr>
    </w:p>
    <w:p w14:paraId="2B6E0C6C" w14:textId="77777777" w:rsidR="003E7942" w:rsidRDefault="003E7942" w:rsidP="003E7942">
      <w:pPr>
        <w:jc w:val="both"/>
        <w:rPr>
          <w:rFonts w:ascii="Abadi" w:hAnsi="Abadi"/>
          <w:b/>
          <w:bCs/>
          <w:sz w:val="21"/>
          <w:szCs w:val="21"/>
        </w:rPr>
      </w:pPr>
    </w:p>
    <w:p w14:paraId="0FED7ED0" w14:textId="77777777" w:rsidR="003E7942" w:rsidRDefault="003E7942" w:rsidP="003E7942">
      <w:pPr>
        <w:jc w:val="both"/>
        <w:rPr>
          <w:rFonts w:ascii="Abadi" w:hAnsi="Abadi"/>
          <w:b/>
          <w:bCs/>
          <w:sz w:val="21"/>
          <w:szCs w:val="21"/>
        </w:rPr>
      </w:pPr>
    </w:p>
    <w:p w14:paraId="54B637E7" w14:textId="77777777" w:rsidR="003E7942" w:rsidRDefault="003E7942" w:rsidP="003E7942">
      <w:pPr>
        <w:jc w:val="both"/>
        <w:rPr>
          <w:rFonts w:ascii="Abadi" w:hAnsi="Abadi"/>
          <w:b/>
          <w:bCs/>
          <w:sz w:val="21"/>
          <w:szCs w:val="21"/>
        </w:rPr>
      </w:pPr>
    </w:p>
    <w:p w14:paraId="1953F2F0" w14:textId="77777777" w:rsidR="003E7942" w:rsidRDefault="003E7942" w:rsidP="003E7942">
      <w:pPr>
        <w:jc w:val="both"/>
        <w:rPr>
          <w:rFonts w:ascii="Abadi" w:hAnsi="Abadi"/>
          <w:b/>
          <w:bCs/>
          <w:sz w:val="21"/>
          <w:szCs w:val="21"/>
        </w:rPr>
      </w:pPr>
    </w:p>
    <w:p w14:paraId="004AA370" w14:textId="77777777" w:rsidR="003E7942" w:rsidRDefault="003E7942" w:rsidP="003E7942">
      <w:pPr>
        <w:jc w:val="both"/>
        <w:rPr>
          <w:rFonts w:ascii="Abadi" w:hAnsi="Abadi"/>
          <w:b/>
          <w:bCs/>
          <w:sz w:val="21"/>
          <w:szCs w:val="21"/>
        </w:rPr>
      </w:pPr>
    </w:p>
    <w:p w14:paraId="4797FEA1" w14:textId="77777777" w:rsidR="003E7942" w:rsidRDefault="003E7942" w:rsidP="003E7942">
      <w:pPr>
        <w:jc w:val="both"/>
        <w:rPr>
          <w:rFonts w:ascii="Abadi" w:hAnsi="Abadi"/>
          <w:b/>
          <w:bCs/>
          <w:sz w:val="21"/>
          <w:szCs w:val="21"/>
        </w:rPr>
      </w:pPr>
    </w:p>
    <w:p w14:paraId="63444AE7" w14:textId="77777777" w:rsidR="003E7942" w:rsidRDefault="003E7942" w:rsidP="003E7942">
      <w:pPr>
        <w:jc w:val="both"/>
        <w:rPr>
          <w:rFonts w:ascii="Abadi" w:hAnsi="Abadi"/>
          <w:b/>
          <w:bCs/>
          <w:sz w:val="21"/>
          <w:szCs w:val="21"/>
        </w:rPr>
      </w:pPr>
    </w:p>
    <w:p w14:paraId="19B988FC" w14:textId="77777777" w:rsidR="003E7942" w:rsidRDefault="003E7942" w:rsidP="003E7942">
      <w:pPr>
        <w:jc w:val="both"/>
        <w:rPr>
          <w:rFonts w:ascii="Abadi" w:hAnsi="Abadi"/>
          <w:b/>
          <w:bCs/>
          <w:sz w:val="21"/>
          <w:szCs w:val="21"/>
        </w:rPr>
      </w:pPr>
    </w:p>
    <w:p w14:paraId="2159B5BD" w14:textId="77777777" w:rsidR="003E7942" w:rsidRDefault="003E7942" w:rsidP="003E7942">
      <w:pPr>
        <w:jc w:val="both"/>
        <w:rPr>
          <w:rFonts w:ascii="Abadi" w:hAnsi="Abadi"/>
          <w:b/>
          <w:bCs/>
          <w:sz w:val="21"/>
          <w:szCs w:val="21"/>
        </w:rPr>
      </w:pPr>
    </w:p>
    <w:p w14:paraId="05D910C9" w14:textId="77777777" w:rsidR="003E7942" w:rsidRDefault="003E7942" w:rsidP="003E7942">
      <w:pPr>
        <w:jc w:val="both"/>
        <w:rPr>
          <w:rFonts w:ascii="Abadi" w:hAnsi="Abadi"/>
          <w:b/>
          <w:bCs/>
          <w:sz w:val="21"/>
          <w:szCs w:val="21"/>
        </w:rPr>
      </w:pPr>
    </w:p>
    <w:p w14:paraId="68E8117F" w14:textId="50A9B382" w:rsidR="00464B2A" w:rsidRPr="003E7942" w:rsidRDefault="003E7942" w:rsidP="003E7942">
      <w:pPr>
        <w:jc w:val="both"/>
        <w:rPr>
          <w:rFonts w:ascii="Abadi" w:hAnsi="Abadi"/>
          <w:b/>
          <w:bCs/>
          <w:sz w:val="21"/>
          <w:szCs w:val="21"/>
        </w:rPr>
      </w:pPr>
      <w:r>
        <w:rPr>
          <w:rFonts w:ascii="Abadi" w:hAnsi="Abadi"/>
          <w:b/>
          <w:bCs/>
          <w:sz w:val="21"/>
          <w:szCs w:val="21"/>
        </w:rPr>
        <w:t xml:space="preserve">- </w:t>
      </w:r>
      <w:r w:rsidR="00464B2A" w:rsidRPr="003E7942">
        <w:rPr>
          <w:rFonts w:ascii="Abadi" w:hAnsi="Abadi"/>
          <w:b/>
          <w:bCs/>
          <w:sz w:val="21"/>
          <w:szCs w:val="21"/>
        </w:rPr>
        <w:t xml:space="preserve">Diputada Hades Berenice Aguilar Castillo </w:t>
      </w:r>
    </w:p>
    <w:p w14:paraId="29F41FB0" w14:textId="77777777" w:rsidR="00464B2A" w:rsidRPr="00464B2A" w:rsidRDefault="00464B2A" w:rsidP="00464B2A">
      <w:pPr>
        <w:jc w:val="both"/>
        <w:rPr>
          <w:rFonts w:ascii="Abadi" w:hAnsi="Abadi"/>
          <w:sz w:val="21"/>
          <w:szCs w:val="21"/>
        </w:rPr>
      </w:pPr>
    </w:p>
    <w:p w14:paraId="157061A8" w14:textId="0AFD5809" w:rsidR="00464B2A" w:rsidRDefault="00464B2A" w:rsidP="00464B2A">
      <w:pPr>
        <w:jc w:val="both"/>
        <w:rPr>
          <w:rFonts w:ascii="Abadi" w:hAnsi="Abadi"/>
          <w:sz w:val="21"/>
          <w:szCs w:val="21"/>
        </w:rPr>
      </w:pPr>
      <w:r w:rsidRPr="00464B2A">
        <w:rPr>
          <w:rFonts w:ascii="Abadi" w:hAnsi="Abadi"/>
          <w:sz w:val="21"/>
          <w:szCs w:val="21"/>
        </w:rPr>
        <w:t>- Muchas gracias, diputada Presidenta, la saludo, con cariño les saludo compañeros con mucho cariño, les doy la bienvenida a los jóvenes que hoy nos visitan que bueno que están por acá.</w:t>
      </w:r>
    </w:p>
    <w:p w14:paraId="342717A1" w14:textId="77777777" w:rsidR="00B74E10" w:rsidRPr="00464B2A" w:rsidRDefault="00B74E10" w:rsidP="00464B2A">
      <w:pPr>
        <w:jc w:val="both"/>
        <w:rPr>
          <w:rFonts w:ascii="Abadi" w:hAnsi="Abadi"/>
          <w:sz w:val="21"/>
          <w:szCs w:val="21"/>
        </w:rPr>
      </w:pPr>
    </w:p>
    <w:p w14:paraId="135F1EC9" w14:textId="77777777" w:rsidR="00464B2A" w:rsidRPr="00464B2A" w:rsidRDefault="00464B2A" w:rsidP="00464B2A">
      <w:pPr>
        <w:jc w:val="both"/>
        <w:rPr>
          <w:rFonts w:ascii="Abadi" w:hAnsi="Abadi"/>
          <w:sz w:val="21"/>
          <w:szCs w:val="21"/>
        </w:rPr>
      </w:pPr>
      <w:r w:rsidRPr="00464B2A">
        <w:rPr>
          <w:rFonts w:ascii="Abadi" w:hAnsi="Abadi"/>
          <w:sz w:val="21"/>
          <w:szCs w:val="21"/>
        </w:rPr>
        <w:t>-  Hades Aguilar Castillo, del Grupo Parlamentario de Morena en esta Sexagésima Quinta Legislatura en ejercicio, de mis atribuciones comparezco para exponer la siguiente iniciativa, con proyecto de decreto se reforma la Ley Orgánica, del Poder Legislativo del Estado de Guanajuato sustentada en la siguiente:</w:t>
      </w:r>
    </w:p>
    <w:p w14:paraId="4CCC089E" w14:textId="77777777" w:rsidR="00B74E10" w:rsidRDefault="00B74E10" w:rsidP="00464B2A">
      <w:pPr>
        <w:jc w:val="both"/>
        <w:rPr>
          <w:rFonts w:ascii="Abadi" w:hAnsi="Abadi"/>
          <w:sz w:val="21"/>
          <w:szCs w:val="21"/>
        </w:rPr>
      </w:pPr>
    </w:p>
    <w:p w14:paraId="432CB3B3" w14:textId="73317E6D" w:rsidR="00464B2A" w:rsidRDefault="00464B2A" w:rsidP="00464B2A">
      <w:pPr>
        <w:jc w:val="both"/>
        <w:rPr>
          <w:rFonts w:ascii="Abadi" w:hAnsi="Abadi"/>
          <w:sz w:val="21"/>
          <w:szCs w:val="21"/>
        </w:rPr>
      </w:pPr>
      <w:r w:rsidRPr="00464B2A">
        <w:rPr>
          <w:rFonts w:ascii="Abadi" w:hAnsi="Abadi"/>
          <w:sz w:val="21"/>
          <w:szCs w:val="21"/>
        </w:rPr>
        <w:t>- Exposición de motivos</w:t>
      </w:r>
    </w:p>
    <w:p w14:paraId="69C98649" w14:textId="77777777" w:rsidR="00B74E10" w:rsidRPr="00464B2A" w:rsidRDefault="00B74E10" w:rsidP="00464B2A">
      <w:pPr>
        <w:jc w:val="both"/>
        <w:rPr>
          <w:rFonts w:ascii="Abadi" w:hAnsi="Abadi"/>
          <w:sz w:val="21"/>
          <w:szCs w:val="21"/>
        </w:rPr>
      </w:pPr>
    </w:p>
    <w:p w14:paraId="24F6BA16" w14:textId="4A737A54" w:rsidR="00464B2A" w:rsidRDefault="00464B2A" w:rsidP="00464B2A">
      <w:pPr>
        <w:jc w:val="both"/>
        <w:rPr>
          <w:rFonts w:ascii="Abadi" w:hAnsi="Abadi"/>
          <w:sz w:val="21"/>
          <w:szCs w:val="21"/>
        </w:rPr>
      </w:pPr>
      <w:r w:rsidRPr="00464B2A">
        <w:rPr>
          <w:rFonts w:ascii="Abadi" w:hAnsi="Abadi"/>
          <w:sz w:val="21"/>
          <w:szCs w:val="21"/>
        </w:rPr>
        <w:t xml:space="preserve">- El poder legislativo, tiene como una de sus principales funciones, la reforma y  modificación del marco normativo, que este nuestro  Estado esto se logra a través de un proceso legislativo que están normado en la Ley Orgánica del Poder Legislativo del Estado  de Guanajuato, en teoría, esto se logra a través de un proceso de análisis y discusión, de todas las iniciativas que presentamos las diputadas diputados los ciudadanos organizados el Gobernador, los ayuntamientos  o el Supremo  Tribunal de Justicia se supone, que no debe de importar qué partido, o actor presente las iniciativas, todos y todas que es lo mejor para  nuestro Estado como debemos resolver nuestros problemas y qué instituciones necesitamos para esto lamentablemente a la mayoría de este Congreso, no le  gusta la democracia porque se han aferrado en mantener un problema que ya se ha señalado muchas veces cada jueves lo estamos señalando. </w:t>
      </w:r>
    </w:p>
    <w:p w14:paraId="4B28B5B1" w14:textId="77777777" w:rsidR="00B74E10" w:rsidRPr="00464B2A" w:rsidRDefault="00B74E10" w:rsidP="00464B2A">
      <w:pPr>
        <w:jc w:val="both"/>
        <w:rPr>
          <w:rFonts w:ascii="Abadi" w:hAnsi="Abadi"/>
          <w:sz w:val="21"/>
          <w:szCs w:val="21"/>
        </w:rPr>
      </w:pPr>
    </w:p>
    <w:p w14:paraId="284DB297" w14:textId="6CBB6DCC" w:rsidR="00464B2A" w:rsidRDefault="00464B2A" w:rsidP="00464B2A">
      <w:pPr>
        <w:jc w:val="both"/>
        <w:rPr>
          <w:rFonts w:ascii="Abadi" w:hAnsi="Abadi"/>
          <w:sz w:val="21"/>
          <w:szCs w:val="21"/>
        </w:rPr>
      </w:pPr>
      <w:r w:rsidRPr="00464B2A">
        <w:rPr>
          <w:rFonts w:ascii="Abadi" w:hAnsi="Abadi"/>
          <w:sz w:val="21"/>
          <w:szCs w:val="21"/>
        </w:rPr>
        <w:t>-</w:t>
      </w:r>
      <w:r w:rsidR="00B74E10">
        <w:rPr>
          <w:rFonts w:ascii="Abadi" w:hAnsi="Abadi"/>
          <w:sz w:val="21"/>
          <w:szCs w:val="21"/>
        </w:rPr>
        <w:t xml:space="preserve"> </w:t>
      </w:r>
      <w:r w:rsidRPr="00464B2A">
        <w:rPr>
          <w:rFonts w:ascii="Abadi" w:hAnsi="Abadi"/>
          <w:sz w:val="21"/>
          <w:szCs w:val="21"/>
        </w:rPr>
        <w:t>Y es la congeladora legislativa actualmente, nuestra Ley Orgánica no contempla un plazo específico. Que obligue a las comisiones legislativas a que dictaminen las iniciativas presentadas en un tiempo determinado, esto permite que los presidentes y  presidentas de las Comisiones, decidan arbitrariamente, si se van a discutir o no en la oposición, ya hemos sido testigos, de estas mañas, cuando un tema no les gusta, lo congelan para no tener que discutirlo así ha pasado  con muchas iniciativas, que buscan reconocer derechos humanos, e incluso como iniciativas como ésta, que ya se han presentado por parte de Morena del PT y de Movimiento  Ciudadano  sin necesidad de ser mago ya sé que va a pasar con esta iniciativa, pero la mayoría panista del Congreso, congela hasta las iniciativas anti congeladora.</w:t>
      </w:r>
    </w:p>
    <w:p w14:paraId="6D702D1C" w14:textId="77777777" w:rsidR="00B74E10" w:rsidRPr="00464B2A" w:rsidRDefault="00B74E10" w:rsidP="00464B2A">
      <w:pPr>
        <w:jc w:val="both"/>
        <w:rPr>
          <w:rFonts w:ascii="Abadi" w:hAnsi="Abadi"/>
          <w:sz w:val="21"/>
          <w:szCs w:val="21"/>
        </w:rPr>
      </w:pPr>
    </w:p>
    <w:p w14:paraId="47C9011A" w14:textId="037F6AB6" w:rsidR="00464B2A" w:rsidRDefault="00464B2A" w:rsidP="00464B2A">
      <w:pPr>
        <w:jc w:val="both"/>
        <w:rPr>
          <w:rFonts w:ascii="Abadi" w:hAnsi="Abadi"/>
          <w:sz w:val="21"/>
          <w:szCs w:val="21"/>
        </w:rPr>
      </w:pPr>
      <w:r w:rsidRPr="00464B2A">
        <w:rPr>
          <w:rFonts w:ascii="Abadi" w:hAnsi="Abadi"/>
          <w:sz w:val="21"/>
          <w:szCs w:val="21"/>
        </w:rPr>
        <w:t xml:space="preserve">- Esto lo hace en un artículo irregular de la Ley Orgánica del Poder Legislativo del 169, ese artículo les permite archivar iniciativas sin discutirlas, sin entrarle al debate, porque saben que lo pueden perder y no quieren exhibirse con la ciudadanía nomas como informativo. </w:t>
      </w:r>
    </w:p>
    <w:p w14:paraId="4A2D6C02" w14:textId="77777777" w:rsidR="00B74E10" w:rsidRPr="00464B2A" w:rsidRDefault="00B74E10" w:rsidP="00464B2A">
      <w:pPr>
        <w:jc w:val="both"/>
        <w:rPr>
          <w:rFonts w:ascii="Abadi" w:hAnsi="Abadi"/>
          <w:sz w:val="21"/>
          <w:szCs w:val="21"/>
        </w:rPr>
      </w:pPr>
    </w:p>
    <w:p w14:paraId="053C2FC5" w14:textId="4B9562CA" w:rsidR="00464B2A" w:rsidRDefault="00464B2A" w:rsidP="00464B2A">
      <w:pPr>
        <w:jc w:val="both"/>
        <w:rPr>
          <w:rFonts w:ascii="Abadi" w:hAnsi="Abadi"/>
          <w:sz w:val="21"/>
          <w:szCs w:val="21"/>
        </w:rPr>
      </w:pPr>
      <w:r w:rsidRPr="00464B2A">
        <w:rPr>
          <w:rFonts w:ascii="Abadi" w:hAnsi="Abadi"/>
          <w:sz w:val="21"/>
          <w:szCs w:val="21"/>
        </w:rPr>
        <w:t xml:space="preserve">- Somos el único Congreso Local que tiene este tipo de congelador en su Ley Orgánica, por eso les decimos que no somos un Congreso de avanzada, somos un Congreso de simulación, creo ya estuvo bueno de callar la discusión. Y evitar la confrontación de ideas. Ya compañeros, son tiempos de definiciones. ¿Y si están en contra de algún tema? Pues defiendan la postura públicamente en vez de buscar que la oposición se calle y nunca se discutan otras ideas que no sean las del PAN. </w:t>
      </w:r>
    </w:p>
    <w:p w14:paraId="3CFBC5F6" w14:textId="77777777" w:rsidR="00B74E10" w:rsidRPr="00464B2A" w:rsidRDefault="00B74E10" w:rsidP="00464B2A">
      <w:pPr>
        <w:jc w:val="both"/>
        <w:rPr>
          <w:rFonts w:ascii="Abadi" w:hAnsi="Abadi"/>
          <w:sz w:val="21"/>
          <w:szCs w:val="21"/>
        </w:rPr>
      </w:pPr>
    </w:p>
    <w:p w14:paraId="71014C90" w14:textId="21E63B65" w:rsidR="00464B2A" w:rsidRDefault="00464B2A" w:rsidP="00464B2A">
      <w:pPr>
        <w:jc w:val="both"/>
        <w:rPr>
          <w:rFonts w:ascii="Abadi" w:hAnsi="Abadi"/>
          <w:sz w:val="21"/>
          <w:szCs w:val="21"/>
        </w:rPr>
      </w:pPr>
      <w:r w:rsidRPr="00464B2A">
        <w:rPr>
          <w:rFonts w:ascii="Abadi" w:hAnsi="Abadi"/>
          <w:sz w:val="21"/>
          <w:szCs w:val="21"/>
        </w:rPr>
        <w:t>- Por eso volveos a presentar otra vez, una iniciativa en este tema para insistir en que tiene que derogarse la congeladora legislativa, (ya hasta me la imagine más grande que el congelador de la casa).</w:t>
      </w:r>
    </w:p>
    <w:p w14:paraId="1881610B" w14:textId="77777777" w:rsidR="00B74E10" w:rsidRPr="00464B2A" w:rsidRDefault="00B74E10" w:rsidP="00464B2A">
      <w:pPr>
        <w:jc w:val="both"/>
        <w:rPr>
          <w:rFonts w:ascii="Abadi" w:hAnsi="Abadi"/>
          <w:sz w:val="21"/>
          <w:szCs w:val="21"/>
        </w:rPr>
      </w:pPr>
    </w:p>
    <w:p w14:paraId="59E332C3" w14:textId="17F50456" w:rsidR="00464B2A" w:rsidRDefault="00464B2A" w:rsidP="00464B2A">
      <w:pPr>
        <w:jc w:val="both"/>
        <w:rPr>
          <w:rFonts w:ascii="Abadi" w:hAnsi="Abadi"/>
          <w:sz w:val="21"/>
          <w:szCs w:val="21"/>
        </w:rPr>
      </w:pPr>
      <w:r w:rsidRPr="00464B2A">
        <w:rPr>
          <w:rFonts w:ascii="Abadi" w:hAnsi="Abadi"/>
          <w:sz w:val="21"/>
          <w:szCs w:val="21"/>
        </w:rPr>
        <w:t xml:space="preserve"> - Es necesario para mejorar la democracia en este Congreso y en ese Estado, porque un lado les gusta llenarse la </w:t>
      </w:r>
      <w:r w:rsidR="00B74E10" w:rsidRPr="00464B2A">
        <w:rPr>
          <w:rFonts w:ascii="Abadi" w:hAnsi="Abadi"/>
          <w:sz w:val="21"/>
          <w:szCs w:val="21"/>
        </w:rPr>
        <w:t>boca diciendo</w:t>
      </w:r>
      <w:r w:rsidRPr="00464B2A">
        <w:rPr>
          <w:rFonts w:ascii="Abadi" w:hAnsi="Abadi"/>
          <w:sz w:val="21"/>
          <w:szCs w:val="21"/>
        </w:rPr>
        <w:t xml:space="preserve"> que </w:t>
      </w:r>
      <w:r w:rsidR="003E7942" w:rsidRPr="00464B2A">
        <w:rPr>
          <w:rFonts w:ascii="Abadi" w:hAnsi="Abadi"/>
          <w:sz w:val="21"/>
          <w:szCs w:val="21"/>
        </w:rPr>
        <w:t>están en</w:t>
      </w:r>
      <w:r w:rsidRPr="00464B2A">
        <w:rPr>
          <w:rFonts w:ascii="Abadi" w:hAnsi="Abadi"/>
          <w:sz w:val="21"/>
          <w:szCs w:val="21"/>
        </w:rPr>
        <w:t xml:space="preserve"> contra del pensamiento único </w:t>
      </w:r>
      <w:r w:rsidR="003B3767" w:rsidRPr="00464B2A">
        <w:rPr>
          <w:rFonts w:ascii="Abadi" w:hAnsi="Abadi"/>
          <w:sz w:val="21"/>
          <w:szCs w:val="21"/>
        </w:rPr>
        <w:t xml:space="preserve">pero </w:t>
      </w:r>
      <w:r w:rsidR="003172B8" w:rsidRPr="00464B2A">
        <w:rPr>
          <w:rFonts w:ascii="Abadi" w:hAnsi="Abadi"/>
          <w:sz w:val="21"/>
          <w:szCs w:val="21"/>
        </w:rPr>
        <w:t>otro lado también busca</w:t>
      </w:r>
      <w:r w:rsidRPr="00464B2A">
        <w:rPr>
          <w:rFonts w:ascii="Abadi" w:hAnsi="Abadi"/>
          <w:sz w:val="21"/>
          <w:szCs w:val="21"/>
        </w:rPr>
        <w:t xml:space="preserve"> que no se discuta doto lo que no les gusta, hasta ahora, las iniciativas de la oposición se posponen, las ignoran pero que no se trate de una de la iniciativas del Gobernador, porque ahí sí, tendidos como bandidos en </w:t>
      </w:r>
      <w:r w:rsidR="003E7942">
        <w:rPr>
          <w:rFonts w:ascii="Abadi" w:hAnsi="Abadi"/>
          <w:sz w:val="21"/>
          <w:szCs w:val="21"/>
        </w:rPr>
        <w:t xml:space="preserve">dos </w:t>
      </w:r>
      <w:r w:rsidRPr="00464B2A">
        <w:rPr>
          <w:rFonts w:ascii="Abadi" w:hAnsi="Abadi"/>
          <w:sz w:val="21"/>
          <w:szCs w:val="21"/>
        </w:rPr>
        <w:t xml:space="preserve">semanas sale. </w:t>
      </w:r>
    </w:p>
    <w:p w14:paraId="33CB79F7" w14:textId="77777777" w:rsidR="00B74E10" w:rsidRPr="00464B2A" w:rsidRDefault="00B74E10" w:rsidP="00464B2A">
      <w:pPr>
        <w:jc w:val="both"/>
        <w:rPr>
          <w:rFonts w:ascii="Abadi" w:hAnsi="Abadi"/>
          <w:sz w:val="21"/>
          <w:szCs w:val="21"/>
        </w:rPr>
      </w:pPr>
    </w:p>
    <w:p w14:paraId="7C1F45D1" w14:textId="1EA7CB03" w:rsidR="00464B2A" w:rsidRDefault="00464B2A" w:rsidP="00464B2A">
      <w:pPr>
        <w:jc w:val="both"/>
        <w:rPr>
          <w:rFonts w:ascii="Abadi" w:hAnsi="Abadi"/>
          <w:sz w:val="21"/>
          <w:szCs w:val="21"/>
        </w:rPr>
      </w:pPr>
      <w:r w:rsidRPr="00464B2A">
        <w:rPr>
          <w:rFonts w:ascii="Abadi" w:hAnsi="Abadi"/>
          <w:sz w:val="21"/>
          <w:szCs w:val="21"/>
        </w:rPr>
        <w:t xml:space="preserve">- Por esta razón, con la presente iniciativa buscamos establecer plazos. Para que las comisiones. Tengan que dictaminar todas las iniciativas, vengan de quien vengan y que sea en un tiempo específico, les abrazo con mucho cariño. </w:t>
      </w:r>
    </w:p>
    <w:p w14:paraId="2623F2E8" w14:textId="77777777" w:rsidR="00B74E10" w:rsidRPr="00464B2A" w:rsidRDefault="00B74E10" w:rsidP="00464B2A">
      <w:pPr>
        <w:jc w:val="both"/>
        <w:rPr>
          <w:rFonts w:ascii="Abadi" w:hAnsi="Abadi"/>
          <w:sz w:val="21"/>
          <w:szCs w:val="21"/>
        </w:rPr>
      </w:pPr>
    </w:p>
    <w:p w14:paraId="56C6611B" w14:textId="6AE63C2B" w:rsidR="00464B2A" w:rsidRDefault="00B74E10" w:rsidP="00464B2A">
      <w:pPr>
        <w:jc w:val="both"/>
        <w:rPr>
          <w:rFonts w:ascii="Abadi" w:hAnsi="Abadi"/>
          <w:sz w:val="21"/>
          <w:szCs w:val="21"/>
        </w:rPr>
      </w:pPr>
      <w:r>
        <w:rPr>
          <w:rFonts w:ascii="Abadi" w:hAnsi="Abadi"/>
          <w:sz w:val="21"/>
          <w:szCs w:val="21"/>
        </w:rPr>
        <w:t xml:space="preserve">- </w:t>
      </w:r>
      <w:r w:rsidR="00464B2A" w:rsidRPr="00464B2A">
        <w:rPr>
          <w:rFonts w:ascii="Abadi" w:hAnsi="Abadi"/>
          <w:sz w:val="21"/>
          <w:szCs w:val="21"/>
        </w:rPr>
        <w:t>Es cuanto señora Presidenta.</w:t>
      </w:r>
    </w:p>
    <w:p w14:paraId="1D9F2733" w14:textId="7DAF8074" w:rsidR="00BB7A57" w:rsidRDefault="00BB7A57" w:rsidP="00464B2A">
      <w:pPr>
        <w:jc w:val="both"/>
        <w:rPr>
          <w:rFonts w:ascii="Abadi" w:hAnsi="Abadi"/>
          <w:sz w:val="21"/>
          <w:szCs w:val="21"/>
        </w:rPr>
      </w:pPr>
    </w:p>
    <w:p w14:paraId="35BF1561" w14:textId="5297902E" w:rsidR="00BB7A57" w:rsidRPr="002A107D" w:rsidRDefault="002A107D" w:rsidP="002A107D">
      <w:pPr>
        <w:ind w:firstLine="708"/>
        <w:jc w:val="both"/>
        <w:rPr>
          <w:rFonts w:ascii="Abadi" w:hAnsi="Abadi"/>
          <w:sz w:val="21"/>
          <w:szCs w:val="21"/>
        </w:rPr>
      </w:pPr>
      <w:r>
        <w:rPr>
          <w:rFonts w:ascii="Abadi" w:hAnsi="Abadi"/>
          <w:b/>
          <w:bCs/>
          <w:sz w:val="21"/>
          <w:szCs w:val="21"/>
        </w:rPr>
        <w:t xml:space="preserve">- </w:t>
      </w:r>
      <w:r w:rsidR="00BB7A57" w:rsidRPr="002A107D">
        <w:rPr>
          <w:rFonts w:ascii="Abadi" w:hAnsi="Abadi"/>
          <w:b/>
          <w:bCs/>
          <w:sz w:val="21"/>
          <w:szCs w:val="21"/>
        </w:rPr>
        <w:t>La Presidencia.-</w:t>
      </w:r>
      <w:r w:rsidR="00BB7A57" w:rsidRPr="002A107D">
        <w:rPr>
          <w:rFonts w:ascii="Abadi" w:hAnsi="Abadi"/>
          <w:sz w:val="21"/>
          <w:szCs w:val="21"/>
        </w:rPr>
        <w:t xml:space="preserve"> Muchas gracias, diputada </w:t>
      </w:r>
    </w:p>
    <w:p w14:paraId="7EA3EBB9" w14:textId="77777777" w:rsidR="00BB7A57" w:rsidRPr="00BB7A57" w:rsidRDefault="00BB7A57" w:rsidP="00BB7A57">
      <w:pPr>
        <w:jc w:val="both"/>
        <w:rPr>
          <w:rFonts w:ascii="Abadi" w:hAnsi="Abadi"/>
          <w:sz w:val="21"/>
          <w:szCs w:val="21"/>
        </w:rPr>
      </w:pPr>
    </w:p>
    <w:p w14:paraId="71970EF7" w14:textId="5428F81D" w:rsidR="00BB7A57" w:rsidRDefault="00BB7A57" w:rsidP="00BB7A57">
      <w:pPr>
        <w:ind w:left="284" w:right="425"/>
        <w:jc w:val="both"/>
        <w:rPr>
          <w:rFonts w:ascii="Abadi" w:hAnsi="Abadi"/>
          <w:b/>
          <w:bCs/>
          <w:i/>
          <w:iCs/>
          <w:sz w:val="21"/>
          <w:szCs w:val="21"/>
          <w:u w:val="single"/>
        </w:rPr>
      </w:pPr>
      <w:r w:rsidRPr="00BB7A57">
        <w:rPr>
          <w:rFonts w:ascii="Abadi" w:hAnsi="Abadi"/>
          <w:b/>
          <w:bCs/>
          <w:i/>
          <w:iCs/>
          <w:sz w:val="21"/>
          <w:szCs w:val="21"/>
          <w:u w:val="single"/>
        </w:rPr>
        <w:t>Con fundamento en el artículo 111, fracción II de nuestra Ley Orgánica, se turna a la Comisión de Comisión de Gobernación y Puntos Constitucionales para su Estudio y dictamen.</w:t>
      </w:r>
    </w:p>
    <w:p w14:paraId="42C365DF" w14:textId="5D280715" w:rsidR="00BB7A57" w:rsidRDefault="00BB7A57" w:rsidP="00BB7A57">
      <w:pPr>
        <w:ind w:left="426" w:right="616"/>
        <w:jc w:val="both"/>
        <w:rPr>
          <w:rFonts w:ascii="Abadi" w:hAnsi="Abadi"/>
          <w:b/>
          <w:bCs/>
          <w:i/>
          <w:iCs/>
          <w:sz w:val="21"/>
          <w:szCs w:val="21"/>
          <w:u w:val="single"/>
        </w:rPr>
      </w:pPr>
    </w:p>
    <w:p w14:paraId="63A4A01F" w14:textId="77777777" w:rsidR="00BB7A57" w:rsidRPr="00BB7A57" w:rsidRDefault="00BB7A57" w:rsidP="00BB7A57">
      <w:pPr>
        <w:ind w:left="426" w:right="616"/>
        <w:jc w:val="both"/>
        <w:rPr>
          <w:rFonts w:ascii="Abadi" w:hAnsi="Abadi"/>
          <w:b/>
          <w:bCs/>
          <w:i/>
          <w:iCs/>
          <w:sz w:val="21"/>
          <w:szCs w:val="21"/>
          <w:u w:val="single"/>
        </w:rPr>
      </w:pPr>
    </w:p>
    <w:p w14:paraId="4B261630" w14:textId="327A5984" w:rsidR="00BB7A57" w:rsidRPr="00BB7A57" w:rsidRDefault="00BB7A57" w:rsidP="00BB7A57">
      <w:pPr>
        <w:jc w:val="both"/>
        <w:rPr>
          <w:rFonts w:ascii="Abadi" w:hAnsi="Abadi"/>
          <w:sz w:val="21"/>
          <w:szCs w:val="21"/>
        </w:rPr>
      </w:pPr>
      <w:r>
        <w:rPr>
          <w:rFonts w:ascii="Abadi" w:hAnsi="Abadi"/>
          <w:sz w:val="21"/>
          <w:szCs w:val="21"/>
        </w:rPr>
        <w:t xml:space="preserve">- </w:t>
      </w:r>
      <w:r w:rsidRPr="00BB7A57">
        <w:rPr>
          <w:rFonts w:ascii="Abadi" w:hAnsi="Abadi"/>
          <w:sz w:val="21"/>
          <w:szCs w:val="21"/>
        </w:rPr>
        <w:t xml:space="preserve">Esta Presidencia, da la más cordial bienvenida, a las y los integrantes de Laboratorio de Gestión Pública y Prácticas Parlamentarias de la Universidad de Guanajuato, invitados por el diputado Aldo Iván Márquez Becerra, bienvenido sean todos ustedes. </w:t>
      </w:r>
    </w:p>
    <w:p w14:paraId="50DFD36E" w14:textId="77777777" w:rsidR="00BB7A57" w:rsidRPr="00464B2A" w:rsidRDefault="00BB7A57" w:rsidP="00464B2A">
      <w:pPr>
        <w:jc w:val="both"/>
        <w:rPr>
          <w:rFonts w:ascii="Abadi" w:hAnsi="Abadi"/>
          <w:sz w:val="21"/>
          <w:szCs w:val="21"/>
        </w:rPr>
      </w:pPr>
    </w:p>
    <w:p w14:paraId="7E89806C" w14:textId="77777777" w:rsidR="00464B2A" w:rsidRPr="009C437E" w:rsidRDefault="00464B2A" w:rsidP="009C437E">
      <w:pPr>
        <w:jc w:val="both"/>
        <w:rPr>
          <w:rFonts w:ascii="Abadi" w:hAnsi="Abadi" w:cs="TrebuchetMS"/>
          <w:sz w:val="21"/>
          <w:szCs w:val="21"/>
        </w:rPr>
      </w:pPr>
    </w:p>
    <w:p w14:paraId="0690D08E" w14:textId="3088D738"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PRESENTACIÓN DE LA INICIATIVA DE LEY DE EDUCACIÓN SUPERIOR PARA EL ESTADO DE GUANAJUATO SUSCRITA POR DIPUTADAS Y DIPUTADOS INTEGRANTES DEL GRUPO PARLAMENTARIO DEL PARTIDO ACCIÓN NACIONAL.</w:t>
      </w:r>
    </w:p>
    <w:p w14:paraId="0CB5567D" w14:textId="3C7EFF47" w:rsidR="00366FFB" w:rsidRDefault="00366FFB" w:rsidP="00366FFB">
      <w:pPr>
        <w:autoSpaceDE w:val="0"/>
        <w:autoSpaceDN w:val="0"/>
        <w:adjustRightInd w:val="0"/>
        <w:jc w:val="both"/>
        <w:rPr>
          <w:rFonts w:ascii="Abadi" w:hAnsi="Abadi" w:cs="ArialMT"/>
          <w:b/>
          <w:bCs/>
          <w:sz w:val="20"/>
          <w:szCs w:val="21"/>
        </w:rPr>
      </w:pPr>
    </w:p>
    <w:p w14:paraId="6F142653" w14:textId="730F2EB1" w:rsidR="00366FFB" w:rsidRDefault="00366FFB" w:rsidP="00366FFB">
      <w:pPr>
        <w:autoSpaceDE w:val="0"/>
        <w:autoSpaceDN w:val="0"/>
        <w:adjustRightInd w:val="0"/>
        <w:jc w:val="both"/>
        <w:rPr>
          <w:rFonts w:ascii="Abadi" w:hAnsi="Abadi" w:cs="ArialMT"/>
          <w:b/>
          <w:bCs/>
          <w:sz w:val="20"/>
          <w:szCs w:val="21"/>
        </w:rPr>
      </w:pPr>
    </w:p>
    <w:p w14:paraId="3343FDFE" w14:textId="77777777" w:rsidR="00366FFB" w:rsidRPr="00743CF7" w:rsidRDefault="00366FFB" w:rsidP="00366FFB">
      <w:pPr>
        <w:autoSpaceDE w:val="0"/>
        <w:autoSpaceDN w:val="0"/>
        <w:adjustRightInd w:val="0"/>
        <w:jc w:val="both"/>
        <w:rPr>
          <w:rFonts w:ascii="Abadi" w:hAnsi="Abadi" w:cs="*Calibri-Bold-13698-Identity-H"/>
          <w:b/>
          <w:bCs/>
          <w:color w:val="101010"/>
          <w:sz w:val="21"/>
          <w:szCs w:val="21"/>
        </w:rPr>
      </w:pPr>
      <w:r w:rsidRPr="00743CF7">
        <w:rPr>
          <w:rFonts w:ascii="Abadi" w:hAnsi="Abadi" w:cs="*Calibri-Bold-13698-Identity-H"/>
          <w:b/>
          <w:bCs/>
          <w:color w:val="101010"/>
          <w:sz w:val="21"/>
          <w:szCs w:val="21"/>
        </w:rPr>
        <w:t>DIPUTADA IRMA LETICIA GONZÁLEZ SÁNCHEZ</w:t>
      </w:r>
    </w:p>
    <w:p w14:paraId="5273C4A7" w14:textId="77777777" w:rsidR="00366FFB" w:rsidRPr="00743CF7" w:rsidRDefault="00366FFB" w:rsidP="00366FFB">
      <w:pPr>
        <w:autoSpaceDE w:val="0"/>
        <w:autoSpaceDN w:val="0"/>
        <w:adjustRightInd w:val="0"/>
        <w:jc w:val="both"/>
        <w:rPr>
          <w:rFonts w:ascii="Abadi" w:hAnsi="Abadi" w:cs="*Calibri-Bold-13698-Identity-H"/>
          <w:b/>
          <w:bCs/>
          <w:color w:val="101010"/>
          <w:sz w:val="21"/>
          <w:szCs w:val="21"/>
        </w:rPr>
      </w:pPr>
      <w:r w:rsidRPr="00743CF7">
        <w:rPr>
          <w:rFonts w:ascii="Abadi" w:hAnsi="Abadi" w:cs="*Calibri-Bold-13698-Identity-H"/>
          <w:b/>
          <w:bCs/>
          <w:color w:val="101010"/>
          <w:sz w:val="21"/>
          <w:szCs w:val="21"/>
        </w:rPr>
        <w:t>PRESIDENTA DEL CONGRESO DEL ESTADO</w:t>
      </w:r>
    </w:p>
    <w:p w14:paraId="3E4C0A2B" w14:textId="77777777" w:rsidR="00366FFB" w:rsidRPr="00743CF7" w:rsidRDefault="00366FFB" w:rsidP="00366FFB">
      <w:pPr>
        <w:autoSpaceDE w:val="0"/>
        <w:autoSpaceDN w:val="0"/>
        <w:adjustRightInd w:val="0"/>
        <w:jc w:val="both"/>
        <w:rPr>
          <w:rFonts w:ascii="Abadi" w:hAnsi="Abadi" w:cs="*Calibri-Bold-13698-Identity-H"/>
          <w:b/>
          <w:bCs/>
          <w:color w:val="101010"/>
          <w:sz w:val="21"/>
          <w:szCs w:val="21"/>
        </w:rPr>
      </w:pPr>
      <w:r w:rsidRPr="00743CF7">
        <w:rPr>
          <w:rFonts w:ascii="Abadi" w:hAnsi="Abadi" w:cs="*Calibri-Bold-13698-Identity-H"/>
          <w:b/>
          <w:bCs/>
          <w:color w:val="101010"/>
          <w:sz w:val="21"/>
          <w:szCs w:val="21"/>
        </w:rPr>
        <w:t>LIBRE Y SOBERANO DE GUANAJUATO</w:t>
      </w:r>
    </w:p>
    <w:p w14:paraId="062EE2C0" w14:textId="77777777" w:rsidR="00366FFB" w:rsidRPr="00743CF7" w:rsidRDefault="00366FFB" w:rsidP="00366FFB">
      <w:pPr>
        <w:autoSpaceDE w:val="0"/>
        <w:autoSpaceDN w:val="0"/>
        <w:adjustRightInd w:val="0"/>
        <w:jc w:val="both"/>
        <w:rPr>
          <w:rFonts w:ascii="Abadi" w:hAnsi="Abadi" w:cs="*Calibri-Bold-13698-Identity-H"/>
          <w:b/>
          <w:bCs/>
          <w:color w:val="101010"/>
          <w:sz w:val="21"/>
          <w:szCs w:val="21"/>
        </w:rPr>
      </w:pPr>
      <w:r w:rsidRPr="00743CF7">
        <w:rPr>
          <w:rFonts w:ascii="Abadi" w:hAnsi="Abadi" w:cs="*Calibri-Bold-13698-Identity-H"/>
          <w:b/>
          <w:bCs/>
          <w:color w:val="101010"/>
          <w:sz w:val="21"/>
          <w:szCs w:val="21"/>
        </w:rPr>
        <w:t>SEXAGÉSIMA QUINTA LEGISLATURA</w:t>
      </w:r>
    </w:p>
    <w:p w14:paraId="4FBD8C08" w14:textId="77777777" w:rsidR="00366FFB" w:rsidRPr="00743CF7" w:rsidRDefault="00366FFB" w:rsidP="00366FFB">
      <w:pPr>
        <w:autoSpaceDE w:val="0"/>
        <w:autoSpaceDN w:val="0"/>
        <w:adjustRightInd w:val="0"/>
        <w:jc w:val="both"/>
        <w:rPr>
          <w:rFonts w:ascii="Abadi" w:hAnsi="Abadi" w:cs="*Calibri-Bold-13698-Identity-H"/>
          <w:b/>
          <w:bCs/>
          <w:color w:val="0E0E0E"/>
          <w:sz w:val="21"/>
          <w:szCs w:val="21"/>
        </w:rPr>
      </w:pPr>
      <w:r w:rsidRPr="00743CF7">
        <w:rPr>
          <w:rFonts w:ascii="Abadi" w:hAnsi="Abadi" w:cs="*Calibri-Bold-13698-Identity-H"/>
          <w:b/>
          <w:bCs/>
          <w:color w:val="0E0E0E"/>
          <w:sz w:val="21"/>
          <w:szCs w:val="21"/>
        </w:rPr>
        <w:t>PRESENTE</w:t>
      </w:r>
    </w:p>
    <w:p w14:paraId="35B1F629" w14:textId="77777777" w:rsidR="00366FFB" w:rsidRPr="00743CF7" w:rsidRDefault="00366FFB" w:rsidP="00366FFB">
      <w:pPr>
        <w:autoSpaceDE w:val="0"/>
        <w:autoSpaceDN w:val="0"/>
        <w:adjustRightInd w:val="0"/>
        <w:jc w:val="both"/>
        <w:rPr>
          <w:rFonts w:ascii="Abadi" w:hAnsi="Abadi" w:cs="*Calibri-Bold-13698-Identity-H"/>
          <w:b/>
          <w:bCs/>
          <w:color w:val="0E0E0E"/>
          <w:sz w:val="21"/>
          <w:szCs w:val="21"/>
        </w:rPr>
      </w:pPr>
    </w:p>
    <w:p w14:paraId="073D41EA" w14:textId="77777777" w:rsidR="00366FFB" w:rsidRPr="00743CF7" w:rsidRDefault="00366FFB" w:rsidP="00366FFB">
      <w:pPr>
        <w:autoSpaceDE w:val="0"/>
        <w:autoSpaceDN w:val="0"/>
        <w:adjustRightInd w:val="0"/>
        <w:jc w:val="both"/>
        <w:rPr>
          <w:rFonts w:ascii="Abadi" w:hAnsi="Abadi" w:cs="*Arial-13703-Identity-H"/>
          <w:color w:val="212121"/>
          <w:sz w:val="21"/>
          <w:szCs w:val="21"/>
        </w:rPr>
      </w:pPr>
      <w:r w:rsidRPr="00743CF7">
        <w:rPr>
          <w:rFonts w:ascii="Abadi" w:hAnsi="Abadi" w:cs="*Arial-13703-Identity-H"/>
          <w:color w:val="212121"/>
          <w:sz w:val="21"/>
          <w:szCs w:val="21"/>
        </w:rPr>
        <w:t xml:space="preserve">Quienes integramos el Grupo Parlamentario del Partido Acción Nacional, ante la Sexagésima Quinta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por el que se expide la </w:t>
      </w:r>
      <w:r w:rsidRPr="00743CF7">
        <w:rPr>
          <w:rFonts w:ascii="Abadi" w:hAnsi="Abadi" w:cs="*Calibri-Bold-13698-Identity-H"/>
          <w:b/>
          <w:bCs/>
          <w:color w:val="212121"/>
          <w:sz w:val="21"/>
          <w:szCs w:val="21"/>
        </w:rPr>
        <w:t xml:space="preserve">NUEVA LEY DE EDUCACIÓN SUPERIOR PARA El ESTADO DE GUANAJUATO, </w:t>
      </w:r>
      <w:r w:rsidRPr="00743CF7">
        <w:rPr>
          <w:rFonts w:ascii="Abadi" w:hAnsi="Abadi" w:cs="*Arial-13703-Identity-H"/>
          <w:color w:val="212121"/>
          <w:sz w:val="21"/>
          <w:szCs w:val="21"/>
        </w:rPr>
        <w:t>con base en la siguiente:</w:t>
      </w:r>
    </w:p>
    <w:p w14:paraId="54165844" w14:textId="77777777" w:rsidR="00366FFB" w:rsidRPr="00743CF7" w:rsidRDefault="00366FFB" w:rsidP="00366FFB">
      <w:pPr>
        <w:autoSpaceDE w:val="0"/>
        <w:autoSpaceDN w:val="0"/>
        <w:adjustRightInd w:val="0"/>
        <w:jc w:val="both"/>
        <w:rPr>
          <w:rFonts w:ascii="Abadi" w:hAnsi="Abadi" w:cs="*Calibri-Bold-13698-Identity-H"/>
          <w:b/>
          <w:bCs/>
          <w:color w:val="101010"/>
          <w:sz w:val="21"/>
          <w:szCs w:val="21"/>
        </w:rPr>
      </w:pPr>
    </w:p>
    <w:p w14:paraId="7845139F" w14:textId="77777777" w:rsidR="00366FFB" w:rsidRPr="00743CF7" w:rsidRDefault="00366FFB" w:rsidP="00366FFB">
      <w:pPr>
        <w:autoSpaceDE w:val="0"/>
        <w:autoSpaceDN w:val="0"/>
        <w:adjustRightInd w:val="0"/>
        <w:jc w:val="center"/>
        <w:rPr>
          <w:rFonts w:ascii="Abadi" w:hAnsi="Abadi" w:cs="*Calibri-Bold-13698-Identity-H"/>
          <w:b/>
          <w:bCs/>
          <w:color w:val="101010"/>
          <w:sz w:val="21"/>
          <w:szCs w:val="21"/>
        </w:rPr>
      </w:pPr>
      <w:r w:rsidRPr="00743CF7">
        <w:rPr>
          <w:rFonts w:ascii="Abadi" w:hAnsi="Abadi" w:cs="*Calibri-Bold-13698-Identity-H"/>
          <w:b/>
          <w:bCs/>
          <w:color w:val="101010"/>
          <w:sz w:val="21"/>
          <w:szCs w:val="21"/>
        </w:rPr>
        <w:t>EXPOSICIÓN DE MOTIVOS:</w:t>
      </w:r>
    </w:p>
    <w:p w14:paraId="0D0EC2AF" w14:textId="77777777" w:rsidR="00366FFB" w:rsidRPr="00743CF7" w:rsidRDefault="00366FFB" w:rsidP="00366FFB">
      <w:pPr>
        <w:autoSpaceDE w:val="0"/>
        <w:autoSpaceDN w:val="0"/>
        <w:adjustRightInd w:val="0"/>
        <w:jc w:val="both"/>
        <w:rPr>
          <w:rFonts w:ascii="Abadi" w:hAnsi="Abadi" w:cs="*Calibri-Bold-13698-Identity-H"/>
          <w:b/>
          <w:bCs/>
          <w:color w:val="101010"/>
          <w:sz w:val="21"/>
          <w:szCs w:val="21"/>
        </w:rPr>
      </w:pPr>
    </w:p>
    <w:p w14:paraId="0A4F7A3C" w14:textId="77777777" w:rsidR="00366FFB" w:rsidRPr="00743CF7" w:rsidRDefault="00366FFB" w:rsidP="00366FFB">
      <w:pPr>
        <w:autoSpaceDE w:val="0"/>
        <w:autoSpaceDN w:val="0"/>
        <w:adjustRightInd w:val="0"/>
        <w:jc w:val="both"/>
        <w:rPr>
          <w:rFonts w:ascii="Abadi" w:hAnsi="Abadi" w:cs="*Arial-13703-Identity-H"/>
          <w:color w:val="282828"/>
          <w:sz w:val="21"/>
          <w:szCs w:val="21"/>
        </w:rPr>
      </w:pPr>
      <w:r w:rsidRPr="00743CF7">
        <w:rPr>
          <w:rFonts w:ascii="Abadi" w:hAnsi="Abadi" w:cs="*Arial-13703-Identity-H"/>
          <w:color w:val="282828"/>
          <w:sz w:val="21"/>
          <w:szCs w:val="21"/>
        </w:rPr>
        <w:t xml:space="preserve">Uno de los derechos humanos principales es el derecho a la educación, reconocido </w:t>
      </w:r>
      <w:r w:rsidRPr="00743CF7">
        <w:rPr>
          <w:rFonts w:ascii="Abadi" w:hAnsi="Abadi" w:cs="*Calibri-Bold-13698-Identity-H"/>
          <w:color w:val="282828"/>
          <w:sz w:val="21"/>
          <w:szCs w:val="21"/>
        </w:rPr>
        <w:t xml:space="preserve">y </w:t>
      </w:r>
      <w:r w:rsidRPr="00743CF7">
        <w:rPr>
          <w:rFonts w:ascii="Abadi" w:hAnsi="Abadi" w:cs="*Arial-13703-Identity-H"/>
          <w:color w:val="282828"/>
          <w:sz w:val="21"/>
          <w:szCs w:val="21"/>
        </w:rPr>
        <w:t>defendido a nivel internacional desde la Declaración Universal de los Derechos Humanos, la cual en su artículo 26 consagra el derecho de toda persona a recibir educación y lograr el pleno desarrollo de la personalidad humana y el fortalecimiento del respeto a los derechos y libertades.</w:t>
      </w:r>
    </w:p>
    <w:p w14:paraId="26110E4A" w14:textId="77777777" w:rsidR="00366FFB" w:rsidRPr="00743CF7" w:rsidRDefault="00366FFB" w:rsidP="00366FFB">
      <w:pPr>
        <w:autoSpaceDE w:val="0"/>
        <w:autoSpaceDN w:val="0"/>
        <w:adjustRightInd w:val="0"/>
        <w:jc w:val="both"/>
        <w:rPr>
          <w:rFonts w:ascii="Abadi" w:hAnsi="Abadi" w:cs="*Arial-13703-Identity-H"/>
          <w:color w:val="282828"/>
          <w:sz w:val="21"/>
          <w:szCs w:val="21"/>
        </w:rPr>
      </w:pPr>
    </w:p>
    <w:p w14:paraId="775DF316" w14:textId="77777777" w:rsidR="00366FFB" w:rsidRPr="00743CF7" w:rsidRDefault="00366FFB" w:rsidP="00366FFB">
      <w:pPr>
        <w:autoSpaceDE w:val="0"/>
        <w:autoSpaceDN w:val="0"/>
        <w:adjustRightInd w:val="0"/>
        <w:jc w:val="both"/>
        <w:rPr>
          <w:rFonts w:ascii="Abadi" w:hAnsi="Abadi" w:cs="*Calibri-12049-Identity-H"/>
          <w:color w:val="2A2A2A"/>
          <w:sz w:val="21"/>
          <w:szCs w:val="21"/>
        </w:rPr>
      </w:pPr>
      <w:r w:rsidRPr="00743CF7">
        <w:rPr>
          <w:rFonts w:ascii="Abadi" w:hAnsi="Abadi" w:cs="*Arial-13703-Identity-H"/>
          <w:color w:val="292929"/>
          <w:sz w:val="21"/>
          <w:szCs w:val="21"/>
        </w:rPr>
        <w:t>En Guanajuato compartimos esta visión y</w:t>
      </w:r>
      <w:r w:rsidRPr="00743CF7">
        <w:rPr>
          <w:rFonts w:ascii="Abadi" w:hAnsi="Abadi" w:cs="*Times New Roman-Italic-13688-I"/>
          <w:i/>
          <w:iCs/>
          <w:color w:val="292929"/>
          <w:sz w:val="21"/>
          <w:szCs w:val="21"/>
        </w:rPr>
        <w:t xml:space="preserve"> </w:t>
      </w:r>
      <w:r w:rsidRPr="00743CF7">
        <w:rPr>
          <w:rFonts w:ascii="Abadi" w:hAnsi="Abadi" w:cs="*Arial-13703-Identity-H"/>
          <w:color w:val="292929"/>
          <w:sz w:val="21"/>
          <w:szCs w:val="21"/>
        </w:rPr>
        <w:t xml:space="preserve">refrendamos con certeza y determinación lo que a su vez refieren otros instrumentos jurídicos internacionales, como el Pacto Internacional de Derechos Económicos, Sociales y Culturales, el cual </w:t>
      </w:r>
      <w:r w:rsidRPr="00743CF7">
        <w:rPr>
          <w:rFonts w:ascii="Abadi" w:hAnsi="Abadi" w:cs="*Calibri-12049-Identity-H"/>
          <w:color w:val="2A2A2A"/>
          <w:sz w:val="21"/>
          <w:szCs w:val="21"/>
        </w:rPr>
        <w:t xml:space="preserve">en su artículo 13, numeral 2, inciso c) establece que </w:t>
      </w:r>
      <w:r w:rsidRPr="00743CF7">
        <w:rPr>
          <w:rFonts w:ascii="Abadi" w:hAnsi="Abadi" w:cs="Calibri"/>
          <w:color w:val="2A2A2A"/>
          <w:sz w:val="21"/>
          <w:szCs w:val="21"/>
        </w:rPr>
        <w:t>«</w:t>
      </w:r>
      <w:r w:rsidRPr="00743CF7">
        <w:rPr>
          <w:rFonts w:ascii="Abadi" w:hAnsi="Abadi" w:cs="*Calibri-12049-Identity-H"/>
          <w:color w:val="2A2A2A"/>
          <w:sz w:val="21"/>
          <w:szCs w:val="21"/>
        </w:rPr>
        <w:t>la enseñanza superior debe hacerse igualmente accesible a todos, sobre la base de la capacidad de cada uno, por cuantos medios sean apropiados, y en particular por la implantación progresiva de enseñanza gratuita».</w:t>
      </w:r>
    </w:p>
    <w:p w14:paraId="6A439AC3" w14:textId="77777777" w:rsidR="00366FFB" w:rsidRPr="00743CF7" w:rsidRDefault="00366FFB" w:rsidP="00366FFB">
      <w:pPr>
        <w:autoSpaceDE w:val="0"/>
        <w:autoSpaceDN w:val="0"/>
        <w:adjustRightInd w:val="0"/>
        <w:jc w:val="both"/>
        <w:rPr>
          <w:rFonts w:ascii="Abadi" w:hAnsi="Abadi" w:cs="*Calibri-12049-Identity-H"/>
          <w:color w:val="2A2A2A"/>
          <w:sz w:val="21"/>
          <w:szCs w:val="21"/>
        </w:rPr>
      </w:pPr>
    </w:p>
    <w:p w14:paraId="3E9509C6" w14:textId="77777777" w:rsidR="00366FFB" w:rsidRPr="00743CF7" w:rsidRDefault="00366FFB" w:rsidP="00366FFB">
      <w:pPr>
        <w:autoSpaceDE w:val="0"/>
        <w:autoSpaceDN w:val="0"/>
        <w:adjustRightInd w:val="0"/>
        <w:jc w:val="both"/>
        <w:rPr>
          <w:rFonts w:ascii="Abadi" w:hAnsi="Abadi" w:cs="*Calibri-12049-Identity-H"/>
          <w:color w:val="292929"/>
          <w:sz w:val="21"/>
          <w:szCs w:val="21"/>
        </w:rPr>
      </w:pPr>
      <w:r w:rsidRPr="00743CF7">
        <w:rPr>
          <w:rFonts w:ascii="Abadi" w:hAnsi="Abadi" w:cs="*Calibri-12049-Identity-H"/>
          <w:color w:val="292929"/>
          <w:sz w:val="21"/>
          <w:szCs w:val="21"/>
        </w:rPr>
        <w:t>Ahora bien, en el marco jurídico nacional, la última reforma al artículo 3</w:t>
      </w:r>
      <w:r w:rsidRPr="00743CF7">
        <w:rPr>
          <w:rFonts w:ascii="Abadi" w:hAnsi="Abadi" w:cs="*Calibri-12050-Identity-H"/>
          <w:color w:val="292929"/>
          <w:sz w:val="21"/>
          <w:szCs w:val="21"/>
        </w:rPr>
        <w:t xml:space="preserve">° </w:t>
      </w:r>
      <w:r w:rsidRPr="00743CF7">
        <w:rPr>
          <w:rFonts w:ascii="Abadi" w:hAnsi="Abadi" w:cs="*Calibri-12049-Identity-H"/>
          <w:color w:val="292929"/>
          <w:sz w:val="21"/>
          <w:szCs w:val="21"/>
        </w:rPr>
        <w:t xml:space="preserve">de la Constitución General de la República estableció que la educación superior también sería obligatoria, y que la provisión de esta le correspondería al Estado. </w:t>
      </w:r>
    </w:p>
    <w:p w14:paraId="76A4D016" w14:textId="77777777" w:rsidR="00366FFB" w:rsidRPr="00743CF7" w:rsidRDefault="00366FFB" w:rsidP="00366FFB">
      <w:pPr>
        <w:autoSpaceDE w:val="0"/>
        <w:autoSpaceDN w:val="0"/>
        <w:adjustRightInd w:val="0"/>
        <w:jc w:val="both"/>
        <w:rPr>
          <w:rFonts w:ascii="Abadi" w:hAnsi="Abadi" w:cs="*Calibri-12049-Identity-H"/>
          <w:color w:val="292929"/>
          <w:sz w:val="21"/>
          <w:szCs w:val="21"/>
        </w:rPr>
      </w:pPr>
    </w:p>
    <w:p w14:paraId="2BCFD00F" w14:textId="77777777" w:rsidR="00366FFB" w:rsidRPr="00743CF7" w:rsidRDefault="00366FFB" w:rsidP="00366FFB">
      <w:pPr>
        <w:autoSpaceDE w:val="0"/>
        <w:autoSpaceDN w:val="0"/>
        <w:adjustRightInd w:val="0"/>
        <w:jc w:val="both"/>
        <w:rPr>
          <w:rFonts w:ascii="Abadi" w:hAnsi="Abadi" w:cs="*Calibri-12049-Identity-H"/>
          <w:color w:val="292929"/>
          <w:sz w:val="21"/>
          <w:szCs w:val="21"/>
        </w:rPr>
      </w:pPr>
      <w:r w:rsidRPr="00743CF7">
        <w:rPr>
          <w:rFonts w:ascii="Abadi" w:hAnsi="Abadi" w:cs="*Calibri-12049-Identity-H"/>
          <w:color w:val="292929"/>
          <w:sz w:val="21"/>
          <w:szCs w:val="21"/>
        </w:rPr>
        <w:t>Esta reformo, además, estableció que autoridades federales y estatales deberíamos diseñar políticas para el fomento, inclusión, permanencia y continuidad educativa, así como lo obligación de proporcionar medios de acceso para las personas que cumplan con los requisitos dispuestos por las instituciones de educación superior públicas.</w:t>
      </w:r>
    </w:p>
    <w:p w14:paraId="5E6D90DC" w14:textId="77777777" w:rsidR="00366FFB" w:rsidRPr="00743CF7" w:rsidRDefault="00366FFB" w:rsidP="00366FFB">
      <w:pPr>
        <w:autoSpaceDE w:val="0"/>
        <w:autoSpaceDN w:val="0"/>
        <w:adjustRightInd w:val="0"/>
        <w:jc w:val="both"/>
        <w:rPr>
          <w:rFonts w:ascii="Abadi" w:hAnsi="Abadi" w:cs="*Calibri-12049-Identity-H"/>
          <w:color w:val="292929"/>
          <w:sz w:val="21"/>
          <w:szCs w:val="21"/>
        </w:rPr>
      </w:pPr>
    </w:p>
    <w:p w14:paraId="2C5B37B7" w14:textId="77777777" w:rsidR="00366FFB" w:rsidRPr="00743CF7" w:rsidRDefault="00366FFB" w:rsidP="00366FFB">
      <w:pPr>
        <w:autoSpaceDE w:val="0"/>
        <w:autoSpaceDN w:val="0"/>
        <w:adjustRightInd w:val="0"/>
        <w:jc w:val="both"/>
        <w:rPr>
          <w:rFonts w:ascii="Abadi" w:hAnsi="Abadi" w:cs="*Calibri-12049-Identity-H"/>
          <w:color w:val="767676"/>
          <w:sz w:val="21"/>
          <w:szCs w:val="21"/>
        </w:rPr>
      </w:pPr>
      <w:r w:rsidRPr="00743CF7">
        <w:rPr>
          <w:rFonts w:ascii="Abadi" w:hAnsi="Abadi" w:cs="*Calibri-12049-Identity-H"/>
          <w:color w:val="2C2C2C"/>
          <w:sz w:val="21"/>
          <w:szCs w:val="21"/>
        </w:rPr>
        <w:t>La reforma constitucional, trajo consigo otras obligaciones para el Poder Legislativo</w:t>
      </w:r>
      <w:r>
        <w:rPr>
          <w:rFonts w:ascii="Abadi" w:hAnsi="Abadi" w:cs="*Calibri-12049-Identity-H"/>
          <w:color w:val="2C2C2C"/>
          <w:sz w:val="21"/>
          <w:szCs w:val="21"/>
        </w:rPr>
        <w:t xml:space="preserve"> </w:t>
      </w:r>
      <w:r w:rsidRPr="00743CF7">
        <w:rPr>
          <w:rFonts w:ascii="Abadi" w:hAnsi="Abadi" w:cs="*Calibri-12049-Identity-H"/>
          <w:color w:val="2C2C2C"/>
          <w:sz w:val="21"/>
          <w:szCs w:val="21"/>
        </w:rPr>
        <w:t>Federal. como lo fue la expedición del Decreto por el que se expidió la Ley General de Educación Superior, de observancia obligatoria a partir de su publicación en el diario oficial de lo federación. y del cual también se desprende la abrogación de la Ley para la Coordinación de la Educación Superior</w:t>
      </w:r>
      <w:r w:rsidRPr="00743CF7">
        <w:rPr>
          <w:rFonts w:ascii="Abadi" w:hAnsi="Abadi" w:cs="*Calibri-12049-Identity-H"/>
          <w:color w:val="767676"/>
          <w:sz w:val="21"/>
          <w:szCs w:val="21"/>
        </w:rPr>
        <w:t>.</w:t>
      </w:r>
    </w:p>
    <w:p w14:paraId="4275419F" w14:textId="77777777" w:rsidR="00366FFB" w:rsidRPr="00743CF7" w:rsidRDefault="00366FFB" w:rsidP="00366FFB">
      <w:pPr>
        <w:autoSpaceDE w:val="0"/>
        <w:autoSpaceDN w:val="0"/>
        <w:adjustRightInd w:val="0"/>
        <w:jc w:val="both"/>
        <w:rPr>
          <w:rFonts w:ascii="Abadi" w:hAnsi="Abadi" w:cs="*Calibri-12049-Identity-H"/>
          <w:color w:val="767676"/>
          <w:sz w:val="21"/>
          <w:szCs w:val="21"/>
        </w:rPr>
      </w:pPr>
    </w:p>
    <w:p w14:paraId="276337F2" w14:textId="77777777" w:rsidR="00366FFB" w:rsidRPr="00743CF7" w:rsidRDefault="00366FFB" w:rsidP="00366FFB">
      <w:pPr>
        <w:autoSpaceDE w:val="0"/>
        <w:autoSpaceDN w:val="0"/>
        <w:adjustRightInd w:val="0"/>
        <w:jc w:val="both"/>
        <w:rPr>
          <w:rFonts w:ascii="Abadi" w:hAnsi="Abadi" w:cs="*Calibri-12049-Identity-H"/>
          <w:color w:val="282828"/>
          <w:sz w:val="21"/>
          <w:szCs w:val="21"/>
        </w:rPr>
      </w:pPr>
      <w:r w:rsidRPr="00743CF7">
        <w:rPr>
          <w:rFonts w:ascii="Abadi" w:hAnsi="Abadi" w:cs="*Calibri-12049-Identity-H"/>
          <w:color w:val="282828"/>
          <w:sz w:val="21"/>
          <w:szCs w:val="21"/>
        </w:rPr>
        <w:t>Respecto al derecho fundamental o la educación lo Suprema Corte de Justicia de la Nación también ha decidido cuestiones que conllevan a obligaciones claras y exigibles al Estado Mexicano.</w:t>
      </w:r>
    </w:p>
    <w:p w14:paraId="246607D2" w14:textId="77777777" w:rsidR="00366FFB" w:rsidRPr="00743CF7" w:rsidRDefault="00366FFB" w:rsidP="00366FFB">
      <w:pPr>
        <w:autoSpaceDE w:val="0"/>
        <w:autoSpaceDN w:val="0"/>
        <w:adjustRightInd w:val="0"/>
        <w:jc w:val="both"/>
        <w:rPr>
          <w:rFonts w:ascii="Abadi" w:hAnsi="Abadi" w:cs="*Calibri-12049-Identity-H"/>
          <w:color w:val="282828"/>
          <w:sz w:val="21"/>
          <w:szCs w:val="21"/>
        </w:rPr>
      </w:pPr>
    </w:p>
    <w:p w14:paraId="7946D302" w14:textId="77777777" w:rsidR="00366FFB" w:rsidRPr="00743CF7" w:rsidRDefault="00366FFB" w:rsidP="00366FFB">
      <w:pPr>
        <w:autoSpaceDE w:val="0"/>
        <w:autoSpaceDN w:val="0"/>
        <w:adjustRightInd w:val="0"/>
        <w:jc w:val="both"/>
        <w:rPr>
          <w:rFonts w:ascii="Abadi" w:hAnsi="Abadi" w:cs="*Microsoft Sans Serif-12594-Ide"/>
          <w:color w:val="292929"/>
          <w:sz w:val="21"/>
          <w:szCs w:val="21"/>
        </w:rPr>
      </w:pPr>
      <w:r w:rsidRPr="00743CF7">
        <w:rPr>
          <w:rFonts w:ascii="Abadi" w:hAnsi="Abadi" w:cs="*Calibri-12049-Identity-H"/>
          <w:color w:val="2C2C2C"/>
          <w:sz w:val="21"/>
          <w:szCs w:val="21"/>
        </w:rPr>
        <w:t>&lt;&lt;Respecto de la educación como obligación del Estado, la Primera Sala de la SCJN</w:t>
      </w:r>
      <w:r>
        <w:rPr>
          <w:rFonts w:ascii="Abadi" w:hAnsi="Abadi" w:cs="*Calibri-12049-Identity-H"/>
          <w:color w:val="2C2C2C"/>
          <w:sz w:val="21"/>
          <w:szCs w:val="21"/>
        </w:rPr>
        <w:t xml:space="preserve"> </w:t>
      </w:r>
      <w:r w:rsidRPr="00743CF7">
        <w:rPr>
          <w:rFonts w:ascii="Abadi" w:hAnsi="Abadi" w:cs="*Calibri-12049-Identity-H"/>
          <w:color w:val="2C2C2C"/>
          <w:sz w:val="21"/>
          <w:szCs w:val="21"/>
        </w:rPr>
        <w:t>estableció que el Estado debe adoptar políticas públicas que permitan a todo ser humano recibir la formación, instrucción, dirección o enseñanza necesarias para el</w:t>
      </w:r>
      <w:r>
        <w:rPr>
          <w:rFonts w:ascii="Abadi" w:hAnsi="Abadi" w:cs="*Calibri-12049-Identity-H"/>
          <w:color w:val="2C2C2C"/>
          <w:sz w:val="21"/>
          <w:szCs w:val="21"/>
        </w:rPr>
        <w:t xml:space="preserve"> </w:t>
      </w:r>
      <w:r w:rsidRPr="00743CF7">
        <w:rPr>
          <w:rFonts w:ascii="Abadi" w:hAnsi="Abadi" w:cs="*Microsoft Sans Serif-12594-Ide"/>
          <w:color w:val="292929"/>
          <w:sz w:val="21"/>
          <w:szCs w:val="21"/>
        </w:rPr>
        <w:t>desarrollo armónico de todas sus capacidades cognoscitivas, intelectuales, físicas y humanas, como elemento principal en la formación q</w:t>
      </w:r>
      <w:r>
        <w:rPr>
          <w:rFonts w:ascii="Abadi" w:hAnsi="Abadi" w:cs="*Microsoft Sans Serif-12594-Ide"/>
          <w:color w:val="292929"/>
          <w:sz w:val="21"/>
          <w:szCs w:val="21"/>
        </w:rPr>
        <w:t>u</w:t>
      </w:r>
      <w:r w:rsidRPr="00743CF7">
        <w:rPr>
          <w:rFonts w:ascii="Abadi" w:hAnsi="Abadi" w:cs="*Microsoft Sans Serif-12594-Ide"/>
          <w:color w:val="292929"/>
          <w:sz w:val="21"/>
          <w:szCs w:val="21"/>
        </w:rPr>
        <w:t xml:space="preserve">e su personalidad y que para hacerlo efectivo tienen que cumplir obligaciones como la capacitación de las personas para participar en una sociedad libre, impartirse por las instituciones o por el Estado de forma gratuita y ajena de toda discriminación. </w:t>
      </w:r>
    </w:p>
    <w:p w14:paraId="2D19FE1F" w14:textId="77777777" w:rsidR="00366FFB" w:rsidRPr="00743CF7" w:rsidRDefault="00366FFB" w:rsidP="00366FFB">
      <w:pPr>
        <w:autoSpaceDE w:val="0"/>
        <w:autoSpaceDN w:val="0"/>
        <w:adjustRightInd w:val="0"/>
        <w:jc w:val="both"/>
        <w:rPr>
          <w:rFonts w:ascii="Abadi" w:hAnsi="Abadi" w:cs="*Microsoft Sans Serif-12594-Ide"/>
          <w:color w:val="292929"/>
          <w:sz w:val="21"/>
          <w:szCs w:val="21"/>
        </w:rPr>
      </w:pPr>
    </w:p>
    <w:p w14:paraId="5936B19E" w14:textId="77777777" w:rsidR="00366FFB" w:rsidRPr="00743CF7" w:rsidRDefault="00366FFB" w:rsidP="00366FFB">
      <w:pPr>
        <w:autoSpaceDE w:val="0"/>
        <w:autoSpaceDN w:val="0"/>
        <w:adjustRightInd w:val="0"/>
        <w:jc w:val="both"/>
        <w:rPr>
          <w:rFonts w:ascii="Abadi" w:hAnsi="Abadi" w:cs="*Microsoft Sans Serif-12594-Ide"/>
          <w:color w:val="282828"/>
          <w:sz w:val="21"/>
          <w:szCs w:val="21"/>
        </w:rPr>
      </w:pPr>
      <w:r w:rsidRPr="00743CF7">
        <w:rPr>
          <w:rFonts w:ascii="Abadi" w:hAnsi="Abadi" w:cs="*Microsoft Sans Serif-12594-Ide"/>
          <w:color w:val="282828"/>
          <w:sz w:val="21"/>
          <w:szCs w:val="21"/>
        </w:rPr>
        <w:t>Con la iniciativa con proyecto de decreto que ponemos a su consideración creemos que las complejas estructuras a cargo de las autoridades con obligaciones impuestas, así como las características que ha definido la corte se colman. En particular las relativas a la disponibilidad, accesibilidad, aceptabilidad y adaptabilidad.</w:t>
      </w:r>
    </w:p>
    <w:p w14:paraId="2248E9BE" w14:textId="77777777" w:rsidR="00366FFB" w:rsidRPr="00743CF7" w:rsidRDefault="00366FFB" w:rsidP="00366FFB">
      <w:pPr>
        <w:autoSpaceDE w:val="0"/>
        <w:autoSpaceDN w:val="0"/>
        <w:adjustRightInd w:val="0"/>
        <w:jc w:val="both"/>
        <w:rPr>
          <w:rFonts w:ascii="Abadi" w:hAnsi="Abadi" w:cs="*Microsoft Sans Serif-12594-Ide"/>
          <w:color w:val="282828"/>
          <w:sz w:val="21"/>
          <w:szCs w:val="21"/>
        </w:rPr>
      </w:pPr>
    </w:p>
    <w:p w14:paraId="623BF4B7" w14:textId="77777777" w:rsidR="00366FFB" w:rsidRPr="00743CF7" w:rsidRDefault="00366FFB" w:rsidP="00366FFB">
      <w:pPr>
        <w:autoSpaceDE w:val="0"/>
        <w:autoSpaceDN w:val="0"/>
        <w:adjustRightInd w:val="0"/>
        <w:jc w:val="both"/>
        <w:rPr>
          <w:rFonts w:ascii="Abadi" w:hAnsi="Abadi" w:cs="*Microsoft Sans Serif-12594-Ide"/>
          <w:color w:val="292929"/>
          <w:sz w:val="21"/>
          <w:szCs w:val="21"/>
        </w:rPr>
      </w:pPr>
      <w:r w:rsidRPr="00743CF7">
        <w:rPr>
          <w:rFonts w:ascii="Abadi" w:hAnsi="Abadi" w:cs="*Microsoft Sans Serif-12594-Ide"/>
          <w:color w:val="292929"/>
          <w:sz w:val="21"/>
          <w:szCs w:val="21"/>
        </w:rPr>
        <w:t>Además del marco jurídico internacional y nacional. para intervenir de manera positivo el marco jurídico del sistema de educación superior del estado, es imprescindible comprender instituciones como la Asociación Nacional de Universidades e Instituciones de Educación Superior de México, (ANUIES), el Consejo Nacional de Ciencia y Tecnología (CONACyT) y la Comisión Estatal para lo Planeación de la Educación Superior en el estado de Guanajuato (COEPES) por mencionar lo menos.</w:t>
      </w:r>
    </w:p>
    <w:p w14:paraId="3127F064" w14:textId="77777777" w:rsidR="00366FFB" w:rsidRPr="00743CF7" w:rsidRDefault="00366FFB" w:rsidP="00366FFB">
      <w:pPr>
        <w:autoSpaceDE w:val="0"/>
        <w:autoSpaceDN w:val="0"/>
        <w:adjustRightInd w:val="0"/>
        <w:jc w:val="both"/>
        <w:rPr>
          <w:rFonts w:ascii="Abadi" w:hAnsi="Abadi" w:cs="*Microsoft Sans Serif-12594-Ide"/>
          <w:color w:val="292929"/>
          <w:sz w:val="21"/>
          <w:szCs w:val="21"/>
        </w:rPr>
      </w:pPr>
    </w:p>
    <w:p w14:paraId="643DF2FC" w14:textId="77777777" w:rsidR="00366FFB" w:rsidRPr="00743CF7" w:rsidRDefault="00366FFB" w:rsidP="00366FFB">
      <w:pPr>
        <w:autoSpaceDE w:val="0"/>
        <w:autoSpaceDN w:val="0"/>
        <w:adjustRightInd w:val="0"/>
        <w:jc w:val="both"/>
        <w:rPr>
          <w:rFonts w:ascii="Abadi" w:hAnsi="Abadi" w:cs="*Microsoft Sans Serif-12594-Ide"/>
          <w:color w:val="292929"/>
          <w:sz w:val="21"/>
          <w:szCs w:val="21"/>
        </w:rPr>
      </w:pPr>
      <w:r w:rsidRPr="00743CF7">
        <w:rPr>
          <w:rFonts w:ascii="Abadi" w:hAnsi="Abadi" w:cs="*Microsoft Sans Serif-12594-Ide"/>
          <w:color w:val="292929"/>
          <w:sz w:val="21"/>
          <w:szCs w:val="21"/>
        </w:rPr>
        <w:t xml:space="preserve">La ANUIES se fundó en 1950 y como asociación no gubernamental, de carácter plural. que agremia o las principales instituciones de educación superior del país, y cuya función se ha centrado en «promover el mejoramiento integral en los campos de la docencia, la investigación y lo extensión de la cultura y los servicios de educación superior esta asociación, </w:t>
      </w:r>
      <w:r w:rsidRPr="00743CF7">
        <w:rPr>
          <w:rFonts w:ascii="Abadi" w:hAnsi="Abadi" w:cs="*Courier New-BoldItalic-12592-I"/>
          <w:b/>
          <w:bCs/>
          <w:i/>
          <w:iCs/>
          <w:color w:val="292929"/>
          <w:sz w:val="21"/>
          <w:szCs w:val="21"/>
        </w:rPr>
        <w:t xml:space="preserve">se </w:t>
      </w:r>
      <w:r w:rsidRPr="00743CF7">
        <w:rPr>
          <w:rFonts w:ascii="Abadi" w:hAnsi="Abadi" w:cs="*Microsoft Sans Serif-12594-Ide"/>
          <w:color w:val="292929"/>
          <w:sz w:val="21"/>
          <w:szCs w:val="21"/>
        </w:rPr>
        <w:t>conforma por más de 207 universidades e instituciones de educación superior del país, tanto públicas como particulares.</w:t>
      </w:r>
    </w:p>
    <w:p w14:paraId="379F9267" w14:textId="77777777" w:rsidR="00366FFB" w:rsidRPr="00743CF7" w:rsidRDefault="00366FFB" w:rsidP="00366FFB">
      <w:pPr>
        <w:jc w:val="both"/>
        <w:rPr>
          <w:rFonts w:ascii="Abadi" w:hAnsi="Abadi" w:cs="*Microsoft Sans Serif-12594-Ide"/>
          <w:color w:val="292929"/>
          <w:sz w:val="21"/>
          <w:szCs w:val="21"/>
        </w:rPr>
      </w:pPr>
    </w:p>
    <w:p w14:paraId="7FC03F9F" w14:textId="77777777" w:rsidR="00366FFB" w:rsidRPr="00743CF7" w:rsidRDefault="00366FFB" w:rsidP="00366FFB">
      <w:pPr>
        <w:autoSpaceDE w:val="0"/>
        <w:autoSpaceDN w:val="0"/>
        <w:adjustRightInd w:val="0"/>
        <w:jc w:val="both"/>
        <w:rPr>
          <w:rFonts w:ascii="Abadi" w:hAnsi="Abadi" w:cs="*Arial-11045-Identity-H"/>
          <w:color w:val="2A2A2A"/>
          <w:sz w:val="21"/>
          <w:szCs w:val="21"/>
        </w:rPr>
      </w:pPr>
      <w:r w:rsidRPr="00743CF7">
        <w:rPr>
          <w:rFonts w:ascii="Abadi" w:hAnsi="Abadi" w:cs="*Arial-11045-Identity-H"/>
          <w:color w:val="2A2A2A"/>
          <w:sz w:val="21"/>
          <w:szCs w:val="21"/>
        </w:rPr>
        <w:t>La ANUIES contribuye a la integración y al desarrollo del sistema de educación superior del país, y hago referencia a esta institución porque, sin duda, su fundación propició el acercamiento, diálogo. intercambio de experiencias y conjunción de esfuerzos en torno a planes y programas comunes para la educación superior de nuestro país.</w:t>
      </w:r>
    </w:p>
    <w:p w14:paraId="0D55BE89" w14:textId="77777777" w:rsidR="00366FFB" w:rsidRPr="00743CF7" w:rsidRDefault="00366FFB" w:rsidP="00366FFB">
      <w:pPr>
        <w:autoSpaceDE w:val="0"/>
        <w:autoSpaceDN w:val="0"/>
        <w:adjustRightInd w:val="0"/>
        <w:jc w:val="both"/>
        <w:rPr>
          <w:rFonts w:ascii="Abadi" w:hAnsi="Abadi" w:cs="*Arial-11045-Identity-H"/>
          <w:color w:val="2A2A2A"/>
          <w:sz w:val="21"/>
          <w:szCs w:val="21"/>
        </w:rPr>
      </w:pPr>
    </w:p>
    <w:p w14:paraId="2D7B4658" w14:textId="77777777" w:rsidR="00366FFB" w:rsidRDefault="00366FFB" w:rsidP="00366FFB">
      <w:pPr>
        <w:autoSpaceDE w:val="0"/>
        <w:autoSpaceDN w:val="0"/>
        <w:adjustRightInd w:val="0"/>
        <w:jc w:val="both"/>
        <w:rPr>
          <w:rFonts w:ascii="Abadi" w:hAnsi="Abadi" w:cs="*Arial-11045-Identity-H"/>
          <w:color w:val="292929"/>
          <w:sz w:val="21"/>
          <w:szCs w:val="21"/>
        </w:rPr>
      </w:pPr>
      <w:r w:rsidRPr="00743CF7">
        <w:rPr>
          <w:rFonts w:ascii="Abadi" w:hAnsi="Abadi" w:cs="*Arial-11045-Identity-H"/>
          <w:color w:val="292929"/>
          <w:sz w:val="21"/>
          <w:szCs w:val="21"/>
        </w:rPr>
        <w:t>El segundo momento de mayor impulso al sistema de educación superior, sin duda se dio con la creación, en 1970, del Consejo Nacional de Ciencia y Tecnología (CONACyT), como organismo público asesor y auxiliar del ejecutivo federal en la fijación, instrumentación, ejecución y evaluación de la política nacional de ciencia y tecnología.</w:t>
      </w:r>
    </w:p>
    <w:p w14:paraId="6D4656C3" w14:textId="77777777" w:rsidR="00366FFB" w:rsidRPr="00743CF7" w:rsidRDefault="00366FFB" w:rsidP="00366FFB">
      <w:pPr>
        <w:autoSpaceDE w:val="0"/>
        <w:autoSpaceDN w:val="0"/>
        <w:adjustRightInd w:val="0"/>
        <w:jc w:val="both"/>
        <w:rPr>
          <w:rFonts w:ascii="Abadi" w:hAnsi="Abadi" w:cs="*Arial-11045-Identity-H"/>
          <w:color w:val="292929"/>
          <w:sz w:val="21"/>
          <w:szCs w:val="21"/>
        </w:rPr>
      </w:pPr>
    </w:p>
    <w:p w14:paraId="3E7B6AE7" w14:textId="77777777" w:rsidR="00366FFB" w:rsidRPr="00743CF7" w:rsidRDefault="00366FFB" w:rsidP="00366FFB">
      <w:pPr>
        <w:autoSpaceDE w:val="0"/>
        <w:autoSpaceDN w:val="0"/>
        <w:adjustRightInd w:val="0"/>
        <w:jc w:val="both"/>
        <w:rPr>
          <w:rFonts w:ascii="Abadi" w:hAnsi="Abadi" w:cs="*Arial-11045-Identity-H"/>
          <w:color w:val="292929"/>
          <w:sz w:val="21"/>
          <w:szCs w:val="21"/>
        </w:rPr>
      </w:pPr>
      <w:r w:rsidRPr="00743CF7">
        <w:rPr>
          <w:rFonts w:ascii="Abadi" w:hAnsi="Abadi" w:cs="*Arial-11045-Identity-H"/>
          <w:color w:val="292929"/>
          <w:sz w:val="21"/>
          <w:szCs w:val="21"/>
        </w:rPr>
        <w:t>En lo que respecto al ámbito estatal la Comisión Estatal para la Planeación de la Educación Superior (COEPES) se constituyó en abril de 1980 y, en 1982 entró en receso de más de 1 O años, en virtud de que se consideró que la COEPES había cumplido su cometido con la publicación del Plan Estatal Indicativo de Desarrollo de la Educación Superior (1982-1992). conocido como PEIDES, y las Consideraciones a la Problemática Económica y Educativa en el Estado, en el año de 1986.</w:t>
      </w:r>
    </w:p>
    <w:p w14:paraId="1FC107B2" w14:textId="77777777" w:rsidR="00366FFB" w:rsidRPr="00743CF7" w:rsidRDefault="00366FFB" w:rsidP="00366FFB">
      <w:pPr>
        <w:autoSpaceDE w:val="0"/>
        <w:autoSpaceDN w:val="0"/>
        <w:adjustRightInd w:val="0"/>
        <w:jc w:val="both"/>
        <w:rPr>
          <w:rFonts w:ascii="Abadi" w:hAnsi="Abadi" w:cs="*Arial-11045-Identity-H"/>
          <w:color w:val="292929"/>
          <w:sz w:val="21"/>
          <w:szCs w:val="21"/>
        </w:rPr>
      </w:pPr>
    </w:p>
    <w:p w14:paraId="4B510118" w14:textId="77777777" w:rsidR="00366FFB" w:rsidRPr="00743CF7" w:rsidRDefault="00366FFB" w:rsidP="00366FFB">
      <w:pPr>
        <w:autoSpaceDE w:val="0"/>
        <w:autoSpaceDN w:val="0"/>
        <w:adjustRightInd w:val="0"/>
        <w:jc w:val="both"/>
        <w:rPr>
          <w:rFonts w:ascii="Abadi" w:hAnsi="Abadi" w:cs="*Arial-11045-Identity-H"/>
          <w:color w:val="232323"/>
          <w:sz w:val="21"/>
          <w:szCs w:val="21"/>
        </w:rPr>
      </w:pPr>
      <w:r w:rsidRPr="00743CF7">
        <w:rPr>
          <w:rFonts w:ascii="Abadi" w:hAnsi="Abadi" w:cs="*Arial-11045-Identity-H"/>
          <w:color w:val="232323"/>
          <w:sz w:val="21"/>
          <w:szCs w:val="21"/>
        </w:rPr>
        <w:t xml:space="preserve">No es óbice mencionar, que dicho receso se dio a nivel nacional, ello derivado de diversas circunstancias, siendo una de ellas que la ANUIES asumió un papel fundamental </w:t>
      </w:r>
      <w:r w:rsidRPr="00743CF7">
        <w:rPr>
          <w:rFonts w:ascii="Abadi" w:hAnsi="Abadi" w:cs="*Microsoft Sans Serif-Italic-11"/>
          <w:i/>
          <w:iCs/>
          <w:color w:val="232323"/>
          <w:sz w:val="21"/>
          <w:szCs w:val="21"/>
        </w:rPr>
        <w:t xml:space="preserve">como </w:t>
      </w:r>
      <w:r w:rsidRPr="00743CF7">
        <w:rPr>
          <w:rFonts w:ascii="Abadi" w:hAnsi="Abadi" w:cs="*Arial-11045-Identity-H"/>
          <w:color w:val="686868"/>
          <w:sz w:val="21"/>
          <w:szCs w:val="21"/>
        </w:rPr>
        <w:t>i</w:t>
      </w:r>
      <w:r w:rsidRPr="00743CF7">
        <w:rPr>
          <w:rFonts w:ascii="Abadi" w:hAnsi="Abadi" w:cs="*Arial-11045-Identity-H"/>
          <w:color w:val="232323"/>
          <w:sz w:val="21"/>
          <w:szCs w:val="21"/>
        </w:rPr>
        <w:t xml:space="preserve">nstancia coadyuvante </w:t>
      </w:r>
      <w:r w:rsidRPr="00743CF7">
        <w:rPr>
          <w:rFonts w:ascii="Abadi" w:hAnsi="Abadi" w:cs="*Microsoft Sans Serif-Italic-11"/>
          <w:i/>
          <w:iCs/>
          <w:color w:val="232323"/>
          <w:sz w:val="21"/>
          <w:szCs w:val="21"/>
        </w:rPr>
        <w:t xml:space="preserve">de </w:t>
      </w:r>
      <w:r w:rsidRPr="00743CF7">
        <w:rPr>
          <w:rFonts w:ascii="Abadi" w:hAnsi="Abadi" w:cs="*Arial-11045-Identity-H"/>
          <w:color w:val="232323"/>
          <w:sz w:val="21"/>
          <w:szCs w:val="21"/>
        </w:rPr>
        <w:t>la planeación de educación superior. lo que dio pauta al fortalecimiento de las autoridades educativas de los Estados,</w:t>
      </w:r>
    </w:p>
    <w:p w14:paraId="7DA3CFDB" w14:textId="77777777" w:rsidR="00366FFB" w:rsidRPr="00743CF7" w:rsidRDefault="00366FFB" w:rsidP="00366FFB">
      <w:pPr>
        <w:jc w:val="both"/>
        <w:rPr>
          <w:rFonts w:ascii="Abadi" w:hAnsi="Abadi" w:cs="*Calibri-11044-Identity-H"/>
          <w:color w:val="1E1E1E"/>
          <w:sz w:val="21"/>
          <w:szCs w:val="21"/>
        </w:rPr>
      </w:pPr>
    </w:p>
    <w:p w14:paraId="1069F21B" w14:textId="77777777" w:rsidR="00366FFB" w:rsidRPr="00743CF7" w:rsidRDefault="00366FFB" w:rsidP="00366FFB">
      <w:pPr>
        <w:autoSpaceDE w:val="0"/>
        <w:autoSpaceDN w:val="0"/>
        <w:adjustRightInd w:val="0"/>
        <w:jc w:val="both"/>
        <w:rPr>
          <w:rFonts w:ascii="Abadi" w:hAnsi="Abadi" w:cs="*Microsoft Sans Serif-13496-Ide"/>
          <w:color w:val="282828"/>
          <w:sz w:val="21"/>
          <w:szCs w:val="21"/>
        </w:rPr>
      </w:pPr>
      <w:r w:rsidRPr="00743CF7">
        <w:rPr>
          <w:rFonts w:ascii="Abadi" w:hAnsi="Abadi" w:cs="*Microsoft Sans Serif-13496-Ide"/>
          <w:color w:val="282828"/>
          <w:sz w:val="21"/>
          <w:szCs w:val="21"/>
        </w:rPr>
        <w:t>Posteriormente en 1996 se firmó el acuerdo poro la federalización de lo Educación Superior, creándose, además el Consejo para la Planeación, Evaluación e Impulso de la Formación para el Trabajo, lo Educación Media Superior y Superior (COPLEVIM).</w:t>
      </w:r>
    </w:p>
    <w:p w14:paraId="4B79BEDD" w14:textId="77777777" w:rsidR="00366FFB" w:rsidRPr="00743CF7" w:rsidRDefault="00366FFB" w:rsidP="00366FFB">
      <w:pPr>
        <w:autoSpaceDE w:val="0"/>
        <w:autoSpaceDN w:val="0"/>
        <w:adjustRightInd w:val="0"/>
        <w:jc w:val="both"/>
        <w:rPr>
          <w:rFonts w:ascii="Abadi" w:hAnsi="Abadi" w:cs="*Microsoft Sans Serif-13496-Ide"/>
          <w:color w:val="282828"/>
          <w:sz w:val="21"/>
          <w:szCs w:val="21"/>
        </w:rPr>
      </w:pPr>
    </w:p>
    <w:p w14:paraId="189C01F3" w14:textId="77777777" w:rsidR="00366FFB" w:rsidRPr="00743CF7" w:rsidRDefault="00366FFB" w:rsidP="00366FFB">
      <w:pPr>
        <w:autoSpaceDE w:val="0"/>
        <w:autoSpaceDN w:val="0"/>
        <w:adjustRightInd w:val="0"/>
        <w:jc w:val="both"/>
        <w:rPr>
          <w:rFonts w:ascii="Abadi" w:hAnsi="Abadi" w:cs="*Microsoft Sans Serif-13496-Ide"/>
          <w:color w:val="292929"/>
          <w:sz w:val="21"/>
          <w:szCs w:val="21"/>
        </w:rPr>
      </w:pPr>
      <w:r w:rsidRPr="00743CF7">
        <w:rPr>
          <w:rFonts w:ascii="Abadi" w:hAnsi="Abadi" w:cs="*Microsoft Sans Serif-13496-Ide"/>
          <w:color w:val="292929"/>
          <w:sz w:val="21"/>
          <w:szCs w:val="21"/>
        </w:rPr>
        <w:t xml:space="preserve">Después, en 1997, la Secretaría de Educación Público emitió lo propuesta para la Conciliación de Oferta </w:t>
      </w:r>
      <w:r w:rsidRPr="00743CF7">
        <w:rPr>
          <w:rFonts w:ascii="Abadi" w:hAnsi="Abadi" w:cs="*Calibri-13495-Identity-H"/>
          <w:color w:val="292929"/>
          <w:sz w:val="21"/>
          <w:szCs w:val="21"/>
        </w:rPr>
        <w:t xml:space="preserve">y </w:t>
      </w:r>
      <w:r w:rsidRPr="00743CF7">
        <w:rPr>
          <w:rFonts w:ascii="Abadi" w:hAnsi="Abadi" w:cs="*Microsoft Sans Serif-13496-Ide"/>
          <w:color w:val="292929"/>
          <w:sz w:val="21"/>
          <w:szCs w:val="21"/>
        </w:rPr>
        <w:t>Demanda de Educación Superior en las Entidades Federativas, en la que se recomendó reactivar la COEPES, como actores estratégicos en la activación y planeación de los sistemas estatales de educación superior.</w:t>
      </w:r>
    </w:p>
    <w:p w14:paraId="34037CB4" w14:textId="77777777" w:rsidR="00366FFB" w:rsidRPr="00743CF7" w:rsidRDefault="00366FFB" w:rsidP="00366FFB">
      <w:pPr>
        <w:autoSpaceDE w:val="0"/>
        <w:autoSpaceDN w:val="0"/>
        <w:adjustRightInd w:val="0"/>
        <w:jc w:val="both"/>
        <w:rPr>
          <w:rFonts w:ascii="Abadi" w:hAnsi="Abadi" w:cs="*Microsoft Sans Serif-13496-Ide"/>
          <w:color w:val="292929"/>
          <w:sz w:val="21"/>
          <w:szCs w:val="21"/>
        </w:rPr>
      </w:pPr>
    </w:p>
    <w:p w14:paraId="04D3CC6D" w14:textId="77777777" w:rsidR="00366FFB" w:rsidRPr="00743CF7" w:rsidRDefault="00366FFB" w:rsidP="00366FFB">
      <w:pPr>
        <w:autoSpaceDE w:val="0"/>
        <w:autoSpaceDN w:val="0"/>
        <w:adjustRightInd w:val="0"/>
        <w:jc w:val="both"/>
        <w:rPr>
          <w:rFonts w:ascii="Abadi" w:hAnsi="Abadi" w:cs="*Microsoft Sans Serif-13496-Ide"/>
          <w:color w:val="2A2A2A"/>
          <w:sz w:val="21"/>
          <w:szCs w:val="21"/>
        </w:rPr>
      </w:pPr>
      <w:r w:rsidRPr="00743CF7">
        <w:rPr>
          <w:rFonts w:ascii="Abadi" w:hAnsi="Abadi" w:cs="*Microsoft Sans Serif-13496-Ide"/>
          <w:color w:val="2A2A2A"/>
          <w:sz w:val="21"/>
          <w:szCs w:val="21"/>
        </w:rPr>
        <w:t>Contextualizar la situación de la educación superior en nuestro estado es reconocer que hay 185 mil estudiantes cursando este de educación y representa una cobertura de 34%, aproximadamente.</w:t>
      </w:r>
    </w:p>
    <w:p w14:paraId="4C562C91" w14:textId="77777777" w:rsidR="00366FFB" w:rsidRPr="00743CF7" w:rsidRDefault="00366FFB" w:rsidP="00366FFB">
      <w:pPr>
        <w:autoSpaceDE w:val="0"/>
        <w:autoSpaceDN w:val="0"/>
        <w:adjustRightInd w:val="0"/>
        <w:jc w:val="both"/>
        <w:rPr>
          <w:rFonts w:ascii="Abadi" w:hAnsi="Abadi" w:cs="*Microsoft Sans Serif-13496-Ide"/>
          <w:color w:val="2A2A2A"/>
          <w:sz w:val="21"/>
          <w:szCs w:val="21"/>
        </w:rPr>
      </w:pPr>
    </w:p>
    <w:p w14:paraId="20F88EA5" w14:textId="77777777" w:rsidR="00366FFB" w:rsidRPr="00743CF7" w:rsidRDefault="00366FFB" w:rsidP="00366FFB">
      <w:pPr>
        <w:autoSpaceDE w:val="0"/>
        <w:autoSpaceDN w:val="0"/>
        <w:adjustRightInd w:val="0"/>
        <w:jc w:val="both"/>
        <w:rPr>
          <w:rFonts w:ascii="Abadi" w:hAnsi="Abadi" w:cs="*Microsoft Sans Serif-13496-Ide"/>
          <w:color w:val="292929"/>
          <w:sz w:val="21"/>
          <w:szCs w:val="21"/>
        </w:rPr>
      </w:pPr>
      <w:r w:rsidRPr="00743CF7">
        <w:rPr>
          <w:rFonts w:ascii="Abadi" w:hAnsi="Abadi" w:cs="*Microsoft Sans Serif-13496-Ide"/>
          <w:color w:val="292929"/>
          <w:sz w:val="21"/>
          <w:szCs w:val="21"/>
        </w:rPr>
        <w:t xml:space="preserve">El sistema se integra por 145 universidades particulares, 6 universidades tecnológicas, 3 institutos tecnológicos federales, 6 institutos </w:t>
      </w:r>
      <w:r w:rsidRPr="00743CF7">
        <w:rPr>
          <w:rFonts w:ascii="Abadi" w:hAnsi="Abadi" w:cs="*Calibri-13495-Identity-H"/>
          <w:color w:val="292929"/>
          <w:sz w:val="21"/>
          <w:szCs w:val="21"/>
        </w:rPr>
        <w:t xml:space="preserve">y </w:t>
      </w:r>
      <w:r w:rsidRPr="00743CF7">
        <w:rPr>
          <w:rFonts w:ascii="Abadi" w:hAnsi="Abadi" w:cs="*Microsoft Sans Serif-13496-Ide"/>
          <w:color w:val="292929"/>
          <w:sz w:val="21"/>
          <w:szCs w:val="21"/>
        </w:rPr>
        <w:t xml:space="preserve">universidades tecnológicas descentralizadas, 8 instituciones formadoras de profesionales de la educación, 4 universidades politécnicas, las Escuelas Nacionales de Estudios Superiores de la UNAM, la Unidad Profesional interdisciplinaria de ingeniería del Instituto Politécnico Nacional, Centros Públicos de Investigación y la Universidad de Guanajuato: distribuidas a lo largo </w:t>
      </w:r>
      <w:r w:rsidRPr="00743CF7">
        <w:rPr>
          <w:rFonts w:ascii="Abadi" w:hAnsi="Abadi" w:cs="*Calibri-13495-Identity-H"/>
          <w:color w:val="292929"/>
          <w:sz w:val="21"/>
          <w:szCs w:val="21"/>
        </w:rPr>
        <w:t xml:space="preserve">y </w:t>
      </w:r>
      <w:r w:rsidRPr="00743CF7">
        <w:rPr>
          <w:rFonts w:ascii="Abadi" w:hAnsi="Abadi" w:cs="*Microsoft Sans Serif-13496-Ide"/>
          <w:color w:val="292929"/>
          <w:sz w:val="21"/>
          <w:szCs w:val="21"/>
        </w:rPr>
        <w:t>ancho del estado.</w:t>
      </w:r>
    </w:p>
    <w:p w14:paraId="7A850CDB" w14:textId="77777777" w:rsidR="00366FFB" w:rsidRPr="00743CF7" w:rsidRDefault="00366FFB" w:rsidP="00366FFB">
      <w:pPr>
        <w:autoSpaceDE w:val="0"/>
        <w:autoSpaceDN w:val="0"/>
        <w:adjustRightInd w:val="0"/>
        <w:jc w:val="both"/>
        <w:rPr>
          <w:rFonts w:ascii="Abadi" w:hAnsi="Abadi" w:cs="*Microsoft Sans Serif-13496-Ide"/>
          <w:color w:val="292929"/>
          <w:sz w:val="21"/>
          <w:szCs w:val="21"/>
        </w:rPr>
      </w:pPr>
    </w:p>
    <w:p w14:paraId="5D4B213F" w14:textId="77777777" w:rsidR="00366FFB" w:rsidRPr="00743CF7" w:rsidRDefault="00366FFB" w:rsidP="00366FFB">
      <w:pPr>
        <w:autoSpaceDE w:val="0"/>
        <w:autoSpaceDN w:val="0"/>
        <w:adjustRightInd w:val="0"/>
        <w:jc w:val="both"/>
        <w:rPr>
          <w:rFonts w:ascii="Abadi" w:hAnsi="Abadi" w:cs="*Calibri-12654-Identity-H"/>
          <w:color w:val="292929"/>
          <w:sz w:val="21"/>
          <w:szCs w:val="21"/>
        </w:rPr>
      </w:pPr>
      <w:r w:rsidRPr="00743CF7">
        <w:rPr>
          <w:rFonts w:ascii="Abadi" w:hAnsi="Abadi" w:cs="*Microsoft Sans Serif-13496-Ide"/>
          <w:color w:val="2A2A2A"/>
          <w:sz w:val="21"/>
          <w:szCs w:val="21"/>
        </w:rPr>
        <w:t xml:space="preserve">Con base en lo última actualización de las estadísticas e indicadores educativos por entidad federativa, de la Secretaría de Educación Pública. (SEP) sabemos que de los 99 mil 36 alumnos que egresaron del nivel secundaria en el ciclo escolar 20 J 9- 2020 ingresaron al nivel medio superior 90 mil 292, (8 mil 744 menos de los que </w:t>
      </w:r>
      <w:r w:rsidRPr="00743CF7">
        <w:rPr>
          <w:rFonts w:ascii="Abadi" w:hAnsi="Abadi" w:cs="*Calibri-12654-Identity-H"/>
          <w:color w:val="292929"/>
          <w:sz w:val="21"/>
          <w:szCs w:val="21"/>
        </w:rPr>
        <w:t>egresaron) y que de estos que ingresaron al nivel medio superior sólo concluyeron 73 mil 780. (16 mil 513 menos de los que ingresaron) De esto últimos ingresaron al nivel de educación superior sólo 46 mil 849, (26 mil 931 menos que los que egresaron).</w:t>
      </w:r>
    </w:p>
    <w:p w14:paraId="2647591C" w14:textId="77777777" w:rsidR="00366FFB" w:rsidRPr="00743CF7" w:rsidRDefault="00366FFB" w:rsidP="00366FFB">
      <w:pPr>
        <w:autoSpaceDE w:val="0"/>
        <w:autoSpaceDN w:val="0"/>
        <w:adjustRightInd w:val="0"/>
        <w:jc w:val="both"/>
        <w:rPr>
          <w:rFonts w:ascii="Abadi" w:hAnsi="Abadi" w:cs="*Calibri-12654-Identity-H"/>
          <w:color w:val="292929"/>
          <w:sz w:val="21"/>
          <w:szCs w:val="21"/>
        </w:rPr>
      </w:pPr>
    </w:p>
    <w:p w14:paraId="1A325E3E" w14:textId="77777777" w:rsidR="00366FFB" w:rsidRPr="00743CF7" w:rsidRDefault="00366FFB" w:rsidP="00366FFB">
      <w:pPr>
        <w:autoSpaceDE w:val="0"/>
        <w:autoSpaceDN w:val="0"/>
        <w:adjustRightInd w:val="0"/>
        <w:jc w:val="both"/>
        <w:rPr>
          <w:rFonts w:ascii="Abadi" w:hAnsi="Abadi" w:cs="*Calibri-12654-Identity-H"/>
          <w:color w:val="292929"/>
          <w:sz w:val="21"/>
          <w:szCs w:val="21"/>
        </w:rPr>
      </w:pPr>
      <w:r w:rsidRPr="00743CF7">
        <w:rPr>
          <w:rFonts w:ascii="Abadi" w:hAnsi="Abadi" w:cs="*Calibri-12654-Identity-H"/>
          <w:color w:val="292929"/>
          <w:sz w:val="21"/>
          <w:szCs w:val="21"/>
        </w:rPr>
        <w:t>Los 46 mil 849 que s</w:t>
      </w:r>
      <w:r>
        <w:rPr>
          <w:rFonts w:ascii="Abadi" w:hAnsi="Abadi" w:cs="*Calibri-12654-Identity-H"/>
          <w:color w:val="292929"/>
          <w:sz w:val="21"/>
          <w:szCs w:val="21"/>
        </w:rPr>
        <w:t>e</w:t>
      </w:r>
      <w:r w:rsidRPr="00743CF7">
        <w:rPr>
          <w:rFonts w:ascii="Abadi" w:hAnsi="Abadi" w:cs="*Calibri-12654-Identity-H"/>
          <w:color w:val="292929"/>
          <w:sz w:val="21"/>
          <w:szCs w:val="21"/>
        </w:rPr>
        <w:t xml:space="preserve"> ingresaron al sistema de educación superior son quienes alimentan el indicador de absorción educativo. Es decir que, ya sea en el sector público o particular, pudieron continuar con su formación educativa. La tasa de absorción del ciclo escolar que analizamos es del 63.5%. Sin embargo, la tasa de abandono corresponde al 7 .9% y al final de una generación son menos del 50% los que concluyen el programa educativo. Aunado a lo anterior, la referencia del indicador de eficiencia terminal de educación media superior es de 71.3%, por lo que se desprende que al final de una generación son menos del 50% los alumnos que concluyen el programa educativo respecto de los que ingresaron.</w:t>
      </w:r>
    </w:p>
    <w:p w14:paraId="1956268D" w14:textId="77777777" w:rsidR="00366FFB" w:rsidRPr="00743CF7" w:rsidRDefault="00366FFB" w:rsidP="00366FFB">
      <w:pPr>
        <w:autoSpaceDE w:val="0"/>
        <w:autoSpaceDN w:val="0"/>
        <w:adjustRightInd w:val="0"/>
        <w:jc w:val="both"/>
        <w:rPr>
          <w:rFonts w:ascii="Abadi" w:hAnsi="Abadi" w:cs="*Calibri-12654-Identity-H"/>
          <w:color w:val="292929"/>
          <w:sz w:val="21"/>
          <w:szCs w:val="21"/>
        </w:rPr>
      </w:pPr>
    </w:p>
    <w:p w14:paraId="1911A147" w14:textId="77777777" w:rsidR="00366FFB" w:rsidRPr="00743CF7" w:rsidRDefault="00366FFB" w:rsidP="00366FFB">
      <w:pPr>
        <w:autoSpaceDE w:val="0"/>
        <w:autoSpaceDN w:val="0"/>
        <w:adjustRightInd w:val="0"/>
        <w:jc w:val="both"/>
        <w:rPr>
          <w:rFonts w:ascii="Abadi" w:hAnsi="Abadi" w:cs="*Calibri-12654-Identity-H"/>
          <w:color w:val="282828"/>
          <w:sz w:val="21"/>
          <w:szCs w:val="21"/>
        </w:rPr>
      </w:pPr>
      <w:r w:rsidRPr="00743CF7">
        <w:rPr>
          <w:rFonts w:ascii="Abadi" w:hAnsi="Abadi" w:cs="*Calibri-12654-Identity-H"/>
          <w:color w:val="282828"/>
          <w:sz w:val="21"/>
          <w:szCs w:val="21"/>
        </w:rPr>
        <w:t>El reto que tenemos en Guanajuato, en materia de educación superior es grande como su gente, es grande como su comunidad educativa y es grande como las familias que no dejan de dar aliento y apoyo a sus integrantes para continuar permanentemente con su formación educativa.</w:t>
      </w:r>
    </w:p>
    <w:p w14:paraId="5464E128" w14:textId="77777777" w:rsidR="00366FFB" w:rsidRPr="00743CF7" w:rsidRDefault="00366FFB" w:rsidP="00366FFB">
      <w:pPr>
        <w:autoSpaceDE w:val="0"/>
        <w:autoSpaceDN w:val="0"/>
        <w:adjustRightInd w:val="0"/>
        <w:jc w:val="both"/>
        <w:rPr>
          <w:rFonts w:ascii="Abadi" w:hAnsi="Abadi" w:cs="*Calibri-12654-Identity-H"/>
          <w:color w:val="282828"/>
          <w:sz w:val="21"/>
          <w:szCs w:val="21"/>
        </w:rPr>
      </w:pPr>
    </w:p>
    <w:p w14:paraId="3D1E967F" w14:textId="77777777" w:rsidR="00366FFB" w:rsidRPr="00743CF7" w:rsidRDefault="00366FFB" w:rsidP="00366FFB">
      <w:pPr>
        <w:autoSpaceDE w:val="0"/>
        <w:autoSpaceDN w:val="0"/>
        <w:adjustRightInd w:val="0"/>
        <w:jc w:val="both"/>
        <w:rPr>
          <w:rFonts w:ascii="Abadi" w:hAnsi="Abadi" w:cs="*Calibri-12654-Identity-H"/>
          <w:color w:val="272727"/>
          <w:sz w:val="21"/>
          <w:szCs w:val="21"/>
        </w:rPr>
      </w:pPr>
      <w:r w:rsidRPr="00743CF7">
        <w:rPr>
          <w:rFonts w:ascii="Abadi" w:hAnsi="Abadi" w:cs="*Calibri-12654-Identity-H"/>
          <w:color w:val="272727"/>
          <w:sz w:val="21"/>
          <w:szCs w:val="21"/>
        </w:rPr>
        <w:t>Todos hemos escuchado que la mejora de nuestra calidad de vida es con educación. porque la educación nos permite tener mejores y mayores opciones para nuestro desarrollo individual y social.</w:t>
      </w:r>
    </w:p>
    <w:p w14:paraId="59804D3E" w14:textId="77777777" w:rsidR="00366FFB" w:rsidRPr="00743CF7" w:rsidRDefault="00366FFB" w:rsidP="00366FFB">
      <w:pPr>
        <w:autoSpaceDE w:val="0"/>
        <w:autoSpaceDN w:val="0"/>
        <w:adjustRightInd w:val="0"/>
        <w:jc w:val="both"/>
        <w:rPr>
          <w:rFonts w:ascii="Abadi" w:hAnsi="Abadi" w:cs="*Calibri-12654-Identity-H"/>
          <w:color w:val="272727"/>
          <w:sz w:val="21"/>
          <w:szCs w:val="21"/>
        </w:rPr>
      </w:pPr>
    </w:p>
    <w:p w14:paraId="2A202BD3" w14:textId="77777777" w:rsidR="00366FFB" w:rsidRPr="00743CF7" w:rsidRDefault="00366FFB" w:rsidP="00366FFB">
      <w:pPr>
        <w:autoSpaceDE w:val="0"/>
        <w:autoSpaceDN w:val="0"/>
        <w:adjustRightInd w:val="0"/>
        <w:jc w:val="both"/>
        <w:rPr>
          <w:rFonts w:ascii="Abadi" w:hAnsi="Abadi" w:cs="*Calibri-12654-Identity-H"/>
          <w:color w:val="2A2A2A"/>
          <w:sz w:val="21"/>
          <w:szCs w:val="21"/>
        </w:rPr>
      </w:pPr>
      <w:r w:rsidRPr="00743CF7">
        <w:rPr>
          <w:rFonts w:ascii="Abadi" w:hAnsi="Abadi" w:cs="*Calibri-12654-Identity-H"/>
          <w:color w:val="2A2A2A"/>
          <w:sz w:val="21"/>
          <w:szCs w:val="21"/>
        </w:rPr>
        <w:t>Al hablar de justicia en el desempeño de la educación frecuentemente atribuimos el éxito, o fracaso. escolar a las personas, haciéndolas responsables de su tránsito dentro del proceso educativo y de los resultados que obtuvieron. Sin embargo, esto</w:t>
      </w:r>
    </w:p>
    <w:p w14:paraId="2F3E1180" w14:textId="77777777" w:rsidR="00366FFB" w:rsidRPr="00743CF7" w:rsidRDefault="00366FFB" w:rsidP="00366FFB">
      <w:pPr>
        <w:autoSpaceDE w:val="0"/>
        <w:autoSpaceDN w:val="0"/>
        <w:adjustRightInd w:val="0"/>
        <w:jc w:val="both"/>
        <w:rPr>
          <w:rFonts w:ascii="Abadi" w:hAnsi="Abadi" w:cs="*Arial-11140-Identity-H"/>
          <w:color w:val="2A2A2A"/>
          <w:sz w:val="21"/>
          <w:szCs w:val="21"/>
        </w:rPr>
      </w:pPr>
      <w:r w:rsidRPr="00743CF7">
        <w:rPr>
          <w:rFonts w:ascii="Abadi" w:hAnsi="Abadi" w:cs="*Arial-11140-Identity-H"/>
          <w:color w:val="2A2A2A"/>
          <w:sz w:val="21"/>
          <w:szCs w:val="21"/>
        </w:rPr>
        <w:t xml:space="preserve">percepción omite analizar las desigualdades en el acceso a oportunidades educativas </w:t>
      </w:r>
      <w:r w:rsidRPr="00743CF7">
        <w:rPr>
          <w:rFonts w:ascii="Abadi" w:hAnsi="Abadi" w:cs="*Calibri-11139-Identity-H"/>
          <w:color w:val="2A2A2A"/>
          <w:sz w:val="21"/>
          <w:szCs w:val="21"/>
        </w:rPr>
        <w:t xml:space="preserve">y </w:t>
      </w:r>
      <w:r w:rsidRPr="00743CF7">
        <w:rPr>
          <w:rFonts w:ascii="Abadi" w:hAnsi="Abadi" w:cs="*Arial-11140-Identity-H"/>
          <w:color w:val="2A2A2A"/>
          <w:sz w:val="21"/>
          <w:szCs w:val="21"/>
        </w:rPr>
        <w:t>lo diferencias en calidad de las opciones de educación a las que se tuvo acceso.</w:t>
      </w:r>
    </w:p>
    <w:p w14:paraId="7B3218CA" w14:textId="77777777" w:rsidR="00366FFB" w:rsidRPr="00743CF7" w:rsidRDefault="00366FFB" w:rsidP="00366FFB">
      <w:pPr>
        <w:autoSpaceDE w:val="0"/>
        <w:autoSpaceDN w:val="0"/>
        <w:adjustRightInd w:val="0"/>
        <w:jc w:val="both"/>
        <w:rPr>
          <w:rFonts w:ascii="Abadi" w:hAnsi="Abadi" w:cs="*Arial-11140-Identity-H"/>
          <w:color w:val="2A2A2A"/>
          <w:sz w:val="21"/>
          <w:szCs w:val="21"/>
        </w:rPr>
      </w:pPr>
    </w:p>
    <w:p w14:paraId="4BEDED8D" w14:textId="77777777" w:rsidR="00366FFB" w:rsidRPr="00743CF7" w:rsidRDefault="00366FFB" w:rsidP="00366FFB">
      <w:pPr>
        <w:autoSpaceDE w:val="0"/>
        <w:autoSpaceDN w:val="0"/>
        <w:adjustRightInd w:val="0"/>
        <w:jc w:val="both"/>
        <w:rPr>
          <w:rFonts w:ascii="Abadi" w:hAnsi="Abadi" w:cs="*Arial-11140-Identity-H"/>
          <w:color w:val="2A2A2A"/>
          <w:sz w:val="21"/>
          <w:szCs w:val="21"/>
        </w:rPr>
      </w:pPr>
      <w:r w:rsidRPr="00743CF7">
        <w:rPr>
          <w:rFonts w:ascii="Abadi" w:hAnsi="Abadi" w:cs="*Arial-11140-Identity-H"/>
          <w:color w:val="2A2A2A"/>
          <w:sz w:val="21"/>
          <w:szCs w:val="21"/>
        </w:rPr>
        <w:t xml:space="preserve">Quienes hemos accedido al sistema público de educación superior podemos referir a las complejidades y exigencias que demanda este sistema. Mantener un promedio mínimo para conservar el lugar en el programa educativo </w:t>
      </w:r>
      <w:r w:rsidRPr="00743CF7">
        <w:rPr>
          <w:rFonts w:ascii="Abadi" w:hAnsi="Abadi" w:cs="*Calibri-11139-Identity-H"/>
          <w:color w:val="2A2A2A"/>
          <w:sz w:val="21"/>
          <w:szCs w:val="21"/>
        </w:rPr>
        <w:t xml:space="preserve">y </w:t>
      </w:r>
      <w:r w:rsidRPr="00743CF7">
        <w:rPr>
          <w:rFonts w:ascii="Abadi" w:hAnsi="Abadi" w:cs="*Arial-11140-Identity-H"/>
          <w:color w:val="2A2A2A"/>
          <w:sz w:val="21"/>
          <w:szCs w:val="21"/>
        </w:rPr>
        <w:t>cubrir las cuotas de recuperación, que son por lo menos las responsabilidades durante el proceso educativo.</w:t>
      </w:r>
    </w:p>
    <w:p w14:paraId="01BF10EB" w14:textId="77777777" w:rsidR="00366FFB" w:rsidRPr="00743CF7" w:rsidRDefault="00366FFB" w:rsidP="00366FFB">
      <w:pPr>
        <w:autoSpaceDE w:val="0"/>
        <w:autoSpaceDN w:val="0"/>
        <w:adjustRightInd w:val="0"/>
        <w:jc w:val="both"/>
        <w:rPr>
          <w:rFonts w:ascii="Abadi" w:hAnsi="Abadi" w:cs="*Arial-11140-Identity-H"/>
          <w:color w:val="2A2A2A"/>
          <w:sz w:val="21"/>
          <w:szCs w:val="21"/>
        </w:rPr>
      </w:pPr>
    </w:p>
    <w:p w14:paraId="19F8C0EB" w14:textId="77777777" w:rsidR="00366FFB" w:rsidRPr="00743CF7" w:rsidRDefault="00366FFB" w:rsidP="00366FFB">
      <w:pPr>
        <w:autoSpaceDE w:val="0"/>
        <w:autoSpaceDN w:val="0"/>
        <w:adjustRightInd w:val="0"/>
        <w:jc w:val="both"/>
        <w:rPr>
          <w:rFonts w:ascii="Abadi" w:hAnsi="Abadi" w:cs="*Arial-11140-Identity-H"/>
          <w:color w:val="282828"/>
          <w:sz w:val="21"/>
          <w:szCs w:val="21"/>
        </w:rPr>
      </w:pPr>
      <w:r w:rsidRPr="00743CF7">
        <w:rPr>
          <w:rFonts w:ascii="Abadi" w:hAnsi="Abadi" w:cs="*Arial-11140-Identity-H"/>
          <w:color w:val="282828"/>
          <w:sz w:val="21"/>
          <w:szCs w:val="21"/>
        </w:rPr>
        <w:t xml:space="preserve">El sistema educativo superior, en su ámbito particular, también demanda múltiples exigencias, como acreditar el programa educativo al mismo tiempo del deber de los estudiantes de cubrir las colegiaturas </w:t>
      </w:r>
      <w:r w:rsidRPr="00743CF7">
        <w:rPr>
          <w:rFonts w:ascii="Abadi" w:hAnsi="Abadi" w:cs="*Calibri-11139-Identity-H"/>
          <w:color w:val="282828"/>
          <w:sz w:val="21"/>
          <w:szCs w:val="21"/>
        </w:rPr>
        <w:t xml:space="preserve">y </w:t>
      </w:r>
      <w:r w:rsidRPr="00743CF7">
        <w:rPr>
          <w:rFonts w:ascii="Abadi" w:hAnsi="Abadi" w:cs="*Arial-11140-Identity-H"/>
          <w:color w:val="282828"/>
          <w:sz w:val="21"/>
          <w:szCs w:val="21"/>
        </w:rPr>
        <w:t xml:space="preserve">demás costos que representa. En consecuencia, el éxito </w:t>
      </w:r>
      <w:r w:rsidRPr="00743CF7">
        <w:rPr>
          <w:rFonts w:ascii="Abadi" w:hAnsi="Abadi" w:cs="*Times New Roman-Italic-11137-I"/>
          <w:i/>
          <w:iCs/>
          <w:color w:val="282828"/>
          <w:sz w:val="21"/>
          <w:szCs w:val="21"/>
        </w:rPr>
        <w:t xml:space="preserve">y </w:t>
      </w:r>
      <w:r w:rsidRPr="00743CF7">
        <w:rPr>
          <w:rFonts w:ascii="Abadi" w:hAnsi="Abadi" w:cs="*Arial-11140-Identity-H"/>
          <w:color w:val="282828"/>
          <w:sz w:val="21"/>
          <w:szCs w:val="21"/>
        </w:rPr>
        <w:t xml:space="preserve">efectividad en la formación profesional implica no sólo máxima dedicación </w:t>
      </w:r>
      <w:r w:rsidRPr="00743CF7">
        <w:rPr>
          <w:rFonts w:ascii="Abadi" w:hAnsi="Abadi" w:cs="*Times New Roman-Italic-11137-I"/>
          <w:i/>
          <w:iCs/>
          <w:color w:val="282828"/>
          <w:sz w:val="21"/>
          <w:szCs w:val="21"/>
        </w:rPr>
        <w:t xml:space="preserve">y </w:t>
      </w:r>
      <w:r w:rsidRPr="00743CF7">
        <w:rPr>
          <w:rFonts w:ascii="Abadi" w:hAnsi="Abadi" w:cs="*Arial-11140-Identity-H"/>
          <w:color w:val="282828"/>
          <w:sz w:val="21"/>
          <w:szCs w:val="21"/>
        </w:rPr>
        <w:t xml:space="preserve">empeño por parte de los jóvenes estudiantes, sino también las posibilidades de acceso </w:t>
      </w:r>
      <w:r w:rsidRPr="00743CF7">
        <w:rPr>
          <w:rFonts w:ascii="Abadi" w:hAnsi="Abadi" w:cs="*Times New Roman-Italic-11137-I"/>
          <w:i/>
          <w:iCs/>
          <w:color w:val="282828"/>
          <w:sz w:val="21"/>
          <w:szCs w:val="21"/>
        </w:rPr>
        <w:t xml:space="preserve">y </w:t>
      </w:r>
      <w:r w:rsidRPr="00743CF7">
        <w:rPr>
          <w:rFonts w:ascii="Abadi" w:hAnsi="Abadi" w:cs="*Arial-11140-Identity-H"/>
          <w:color w:val="282828"/>
          <w:sz w:val="21"/>
          <w:szCs w:val="21"/>
        </w:rPr>
        <w:t>calidad de las instituciones de educación superior.</w:t>
      </w:r>
    </w:p>
    <w:p w14:paraId="770DBE07" w14:textId="77777777" w:rsidR="00366FFB" w:rsidRPr="00743CF7" w:rsidRDefault="00366FFB" w:rsidP="00366FFB">
      <w:pPr>
        <w:autoSpaceDE w:val="0"/>
        <w:autoSpaceDN w:val="0"/>
        <w:adjustRightInd w:val="0"/>
        <w:jc w:val="both"/>
        <w:rPr>
          <w:rFonts w:ascii="Abadi" w:hAnsi="Abadi" w:cs="*Arial-11140-Identity-H"/>
          <w:color w:val="282828"/>
          <w:sz w:val="21"/>
          <w:szCs w:val="21"/>
        </w:rPr>
      </w:pPr>
    </w:p>
    <w:p w14:paraId="65400E66" w14:textId="77777777" w:rsidR="00366FFB" w:rsidRPr="00743CF7" w:rsidRDefault="00366FFB" w:rsidP="00366FFB">
      <w:pPr>
        <w:autoSpaceDE w:val="0"/>
        <w:autoSpaceDN w:val="0"/>
        <w:adjustRightInd w:val="0"/>
        <w:jc w:val="both"/>
        <w:rPr>
          <w:rFonts w:ascii="Abadi" w:hAnsi="Abadi" w:cs="*Arial-11140-Identity-H"/>
          <w:color w:val="292929"/>
          <w:sz w:val="21"/>
          <w:szCs w:val="21"/>
        </w:rPr>
      </w:pPr>
      <w:r w:rsidRPr="00743CF7">
        <w:rPr>
          <w:rFonts w:ascii="Abadi" w:hAnsi="Abadi" w:cs="*Arial-11140-Identity-H"/>
          <w:color w:val="292929"/>
          <w:sz w:val="21"/>
          <w:szCs w:val="21"/>
        </w:rPr>
        <w:t>Quienes integramos el Grupo Parlamentario del Partido Acción Nacional, somos conscientes de la necesidad de distribuir la función social del tipo de educación superior entre la federación, el estado y los municipios, por lo que la presente iniciativa con proyecto de decreto refrenda nuestra visión de la necesaria descentralización de la administración pública. pero al mismo tiempo.</w:t>
      </w:r>
    </w:p>
    <w:p w14:paraId="657542A2" w14:textId="77777777" w:rsidR="00366FFB" w:rsidRPr="00743CF7" w:rsidRDefault="00366FFB" w:rsidP="00366FFB">
      <w:pPr>
        <w:autoSpaceDE w:val="0"/>
        <w:autoSpaceDN w:val="0"/>
        <w:adjustRightInd w:val="0"/>
        <w:jc w:val="both"/>
        <w:rPr>
          <w:rFonts w:ascii="Abadi" w:hAnsi="Abadi" w:cs="*Arial-11140-Identity-H"/>
          <w:color w:val="292929"/>
          <w:sz w:val="21"/>
          <w:szCs w:val="21"/>
        </w:rPr>
      </w:pPr>
    </w:p>
    <w:p w14:paraId="5E8A2A0D" w14:textId="77777777" w:rsidR="00366FFB" w:rsidRPr="00743CF7" w:rsidRDefault="00366FFB" w:rsidP="00366FFB">
      <w:pPr>
        <w:autoSpaceDE w:val="0"/>
        <w:autoSpaceDN w:val="0"/>
        <w:adjustRightInd w:val="0"/>
        <w:jc w:val="both"/>
        <w:rPr>
          <w:rFonts w:ascii="Abadi" w:hAnsi="Abadi" w:cs="*Arial-11140-Identity-H"/>
          <w:color w:val="292929"/>
          <w:sz w:val="21"/>
          <w:szCs w:val="21"/>
        </w:rPr>
      </w:pPr>
      <w:r w:rsidRPr="00743CF7">
        <w:rPr>
          <w:rFonts w:ascii="Abadi" w:hAnsi="Abadi" w:cs="*Arial-11140-Identity-H"/>
          <w:color w:val="292929"/>
          <w:sz w:val="21"/>
          <w:szCs w:val="21"/>
        </w:rPr>
        <w:t>demandamos al gobierno federal el cumplimiento a la obligación de crear el Fondo Federal Especial para la obligatoriedad y gratuidad de la educación superior.</w:t>
      </w:r>
    </w:p>
    <w:p w14:paraId="757C0F75" w14:textId="77777777" w:rsidR="00366FFB" w:rsidRPr="00743CF7" w:rsidRDefault="00366FFB" w:rsidP="00366FFB">
      <w:pPr>
        <w:jc w:val="both"/>
        <w:rPr>
          <w:rFonts w:ascii="Abadi" w:hAnsi="Abadi" w:cs="*Arial-11140-Identity-H"/>
          <w:color w:val="292929"/>
          <w:sz w:val="21"/>
          <w:szCs w:val="21"/>
        </w:rPr>
      </w:pPr>
    </w:p>
    <w:p w14:paraId="3369FA6F" w14:textId="77777777" w:rsidR="00366FFB" w:rsidRDefault="00366FFB" w:rsidP="00366FFB">
      <w:pPr>
        <w:autoSpaceDE w:val="0"/>
        <w:autoSpaceDN w:val="0"/>
        <w:adjustRightInd w:val="0"/>
        <w:jc w:val="both"/>
        <w:rPr>
          <w:rFonts w:ascii="Abadi" w:hAnsi="Abadi" w:cs="*Calibri-11534-Identity-H"/>
          <w:color w:val="292929"/>
          <w:sz w:val="21"/>
          <w:szCs w:val="21"/>
        </w:rPr>
      </w:pPr>
      <w:r w:rsidRPr="00743CF7">
        <w:rPr>
          <w:rFonts w:ascii="Abadi" w:hAnsi="Abadi" w:cs="*Calibri-11534-Identity-H"/>
          <w:color w:val="292929"/>
          <w:sz w:val="21"/>
          <w:szCs w:val="21"/>
        </w:rPr>
        <w:t xml:space="preserve">Establecer la coordinación, promoción, vinculación, participación social </w:t>
      </w:r>
      <w:r w:rsidRPr="00743CF7">
        <w:rPr>
          <w:rFonts w:ascii="Abadi" w:hAnsi="Abadi" w:cs="*Calibri-11535-Identity-H"/>
          <w:color w:val="292929"/>
          <w:sz w:val="21"/>
          <w:szCs w:val="21"/>
        </w:rPr>
        <w:t xml:space="preserve">y </w:t>
      </w:r>
      <w:r w:rsidRPr="00743CF7">
        <w:rPr>
          <w:rFonts w:ascii="Abadi" w:hAnsi="Abadi" w:cs="*Calibri-11534-Identity-H"/>
          <w:color w:val="292929"/>
          <w:sz w:val="21"/>
          <w:szCs w:val="21"/>
        </w:rPr>
        <w:t>mejora</w:t>
      </w:r>
      <w:r>
        <w:rPr>
          <w:rFonts w:ascii="Abadi" w:hAnsi="Abadi" w:cs="*Calibri-11534-Identity-H"/>
          <w:color w:val="292929"/>
          <w:sz w:val="21"/>
          <w:szCs w:val="21"/>
        </w:rPr>
        <w:t xml:space="preserve"> </w:t>
      </w:r>
      <w:r w:rsidRPr="00743CF7">
        <w:rPr>
          <w:rFonts w:ascii="Abadi" w:hAnsi="Abadi" w:cs="*Calibri-11534-Identity-H"/>
          <w:color w:val="292929"/>
          <w:sz w:val="21"/>
          <w:szCs w:val="21"/>
        </w:rPr>
        <w:t>continua de la educación superior, implica orientar los criterios para el desarrollo</w:t>
      </w:r>
      <w:r>
        <w:rPr>
          <w:rFonts w:ascii="Abadi" w:hAnsi="Abadi" w:cs="*Calibri-11534-Identity-H"/>
          <w:color w:val="292929"/>
          <w:sz w:val="21"/>
          <w:szCs w:val="21"/>
        </w:rPr>
        <w:t xml:space="preserve"> </w:t>
      </w:r>
      <w:r w:rsidRPr="00743CF7">
        <w:rPr>
          <w:rFonts w:ascii="Abadi" w:hAnsi="Abadi" w:cs="*Calibri-11534-Identity-H"/>
          <w:color w:val="292929"/>
          <w:sz w:val="21"/>
          <w:szCs w:val="21"/>
        </w:rPr>
        <w:t>de políticas públicas con Visión de largo plazo para el beneficio de los guanajuatenses.</w:t>
      </w:r>
      <w:r>
        <w:rPr>
          <w:rFonts w:ascii="Abadi" w:hAnsi="Abadi" w:cs="*Calibri-11534-Identity-H"/>
          <w:color w:val="292929"/>
          <w:sz w:val="21"/>
          <w:szCs w:val="21"/>
        </w:rPr>
        <w:t xml:space="preserve"> </w:t>
      </w:r>
    </w:p>
    <w:p w14:paraId="03B942C7" w14:textId="77777777" w:rsidR="00366FFB" w:rsidRPr="00743CF7" w:rsidRDefault="00366FFB" w:rsidP="00366FFB">
      <w:pPr>
        <w:autoSpaceDE w:val="0"/>
        <w:autoSpaceDN w:val="0"/>
        <w:adjustRightInd w:val="0"/>
        <w:jc w:val="both"/>
        <w:rPr>
          <w:rFonts w:ascii="Abadi" w:hAnsi="Abadi" w:cs="*Calibri-11534-Identity-H"/>
          <w:color w:val="292929"/>
          <w:sz w:val="21"/>
          <w:szCs w:val="21"/>
        </w:rPr>
      </w:pPr>
    </w:p>
    <w:p w14:paraId="75438696" w14:textId="77777777" w:rsidR="00366FFB" w:rsidRPr="00743CF7" w:rsidRDefault="00366FFB" w:rsidP="00366FFB">
      <w:pPr>
        <w:autoSpaceDE w:val="0"/>
        <w:autoSpaceDN w:val="0"/>
        <w:adjustRightInd w:val="0"/>
        <w:jc w:val="both"/>
        <w:rPr>
          <w:rFonts w:ascii="Abadi" w:hAnsi="Abadi" w:cs="*Calibri-11534-Identity-H"/>
          <w:color w:val="2A2A2A"/>
          <w:sz w:val="21"/>
          <w:szCs w:val="21"/>
        </w:rPr>
      </w:pPr>
      <w:r w:rsidRPr="00743CF7">
        <w:rPr>
          <w:rFonts w:ascii="Abadi" w:hAnsi="Abadi" w:cs="*Calibri-11534-Identity-H"/>
          <w:color w:val="2A2A2A"/>
          <w:sz w:val="21"/>
          <w:szCs w:val="21"/>
        </w:rPr>
        <w:t xml:space="preserve">Regular la participación de los sectores público, social </w:t>
      </w:r>
      <w:r w:rsidRPr="00743CF7">
        <w:rPr>
          <w:rFonts w:ascii="Abadi" w:hAnsi="Abadi" w:cs="*Calibri-11535-Identity-H"/>
          <w:color w:val="2A2A2A"/>
          <w:sz w:val="21"/>
          <w:szCs w:val="21"/>
        </w:rPr>
        <w:t xml:space="preserve">y </w:t>
      </w:r>
      <w:r w:rsidRPr="00743CF7">
        <w:rPr>
          <w:rFonts w:ascii="Abadi" w:hAnsi="Abadi" w:cs="*Calibri-11534-Identity-H"/>
          <w:color w:val="2A2A2A"/>
          <w:sz w:val="21"/>
          <w:szCs w:val="21"/>
        </w:rPr>
        <w:t>privado son objeto de esta</w:t>
      </w:r>
      <w:r>
        <w:rPr>
          <w:rFonts w:ascii="Abadi" w:hAnsi="Abadi" w:cs="*Calibri-11534-Identity-H"/>
          <w:color w:val="2A2A2A"/>
          <w:sz w:val="21"/>
          <w:szCs w:val="21"/>
        </w:rPr>
        <w:t xml:space="preserve"> </w:t>
      </w:r>
      <w:r w:rsidRPr="00743CF7">
        <w:rPr>
          <w:rFonts w:ascii="Abadi" w:hAnsi="Abadi" w:cs="*Calibri-11534-Identity-H"/>
          <w:color w:val="2A2A2A"/>
          <w:sz w:val="21"/>
          <w:szCs w:val="21"/>
        </w:rPr>
        <w:t>propuesta que, entre otras virtudes unifica en un solo cuerpo normativo la</w:t>
      </w:r>
      <w:r>
        <w:rPr>
          <w:rFonts w:ascii="Abadi" w:hAnsi="Abadi" w:cs="*Calibri-11534-Identity-H"/>
          <w:color w:val="2A2A2A"/>
          <w:sz w:val="21"/>
          <w:szCs w:val="21"/>
        </w:rPr>
        <w:t xml:space="preserve">s </w:t>
      </w:r>
      <w:r w:rsidRPr="00743CF7">
        <w:rPr>
          <w:rFonts w:ascii="Abadi" w:hAnsi="Abadi" w:cs="*Calibri-11534-Identity-H"/>
          <w:color w:val="2A2A2A"/>
          <w:sz w:val="21"/>
          <w:szCs w:val="21"/>
        </w:rPr>
        <w:t>fragmentadas atribuciones, para el gobierno del estado, contenidas en diversas</w:t>
      </w:r>
      <w:r>
        <w:rPr>
          <w:rFonts w:ascii="Abadi" w:hAnsi="Abadi" w:cs="*Calibri-11534-Identity-H"/>
          <w:color w:val="2A2A2A"/>
          <w:sz w:val="21"/>
          <w:szCs w:val="21"/>
        </w:rPr>
        <w:t xml:space="preserve"> </w:t>
      </w:r>
      <w:r w:rsidRPr="00743CF7">
        <w:rPr>
          <w:rFonts w:ascii="Abadi" w:hAnsi="Abadi" w:cs="*Calibri-11534-Identity-H"/>
          <w:color w:val="2A2A2A"/>
          <w:sz w:val="21"/>
          <w:szCs w:val="21"/>
        </w:rPr>
        <w:t xml:space="preserve">leyes como la Ley General de Educación </w:t>
      </w:r>
      <w:r w:rsidRPr="00743CF7">
        <w:rPr>
          <w:rFonts w:ascii="Abadi" w:hAnsi="Abadi" w:cs="*Calibri-11535-Identity-H"/>
          <w:color w:val="2A2A2A"/>
          <w:sz w:val="21"/>
          <w:szCs w:val="21"/>
        </w:rPr>
        <w:t xml:space="preserve">y </w:t>
      </w:r>
      <w:r w:rsidRPr="00743CF7">
        <w:rPr>
          <w:rFonts w:ascii="Abadi" w:hAnsi="Abadi" w:cs="*Calibri-11534-Identity-H"/>
          <w:color w:val="2A2A2A"/>
          <w:sz w:val="21"/>
          <w:szCs w:val="21"/>
        </w:rPr>
        <w:t>la Ley de Coordinación de la</w:t>
      </w:r>
      <w:r>
        <w:rPr>
          <w:rFonts w:ascii="Abadi" w:hAnsi="Abadi" w:cs="*Calibri-11534-Identity-H"/>
          <w:color w:val="2A2A2A"/>
          <w:sz w:val="21"/>
          <w:szCs w:val="21"/>
        </w:rPr>
        <w:t xml:space="preserve"> </w:t>
      </w:r>
      <w:r w:rsidRPr="00743CF7">
        <w:rPr>
          <w:rFonts w:ascii="Abadi" w:hAnsi="Abadi" w:cs="*Calibri-11534-Identity-H"/>
          <w:color w:val="2A2A2A"/>
          <w:sz w:val="21"/>
          <w:szCs w:val="21"/>
        </w:rPr>
        <w:t>Educación, por mencionar algunas.</w:t>
      </w:r>
    </w:p>
    <w:p w14:paraId="3A8F0E78" w14:textId="77777777" w:rsidR="00366FFB" w:rsidRPr="00743CF7" w:rsidRDefault="00366FFB" w:rsidP="00366FFB">
      <w:pPr>
        <w:autoSpaceDE w:val="0"/>
        <w:autoSpaceDN w:val="0"/>
        <w:adjustRightInd w:val="0"/>
        <w:jc w:val="both"/>
        <w:rPr>
          <w:rFonts w:ascii="Abadi" w:hAnsi="Abadi" w:cs="*Calibri-11534-Identity-H"/>
          <w:color w:val="2A2A2A"/>
          <w:sz w:val="21"/>
          <w:szCs w:val="21"/>
        </w:rPr>
      </w:pPr>
    </w:p>
    <w:p w14:paraId="1D2AF3AD" w14:textId="77777777" w:rsidR="00366FFB" w:rsidRPr="00743CF7" w:rsidRDefault="00366FFB" w:rsidP="00366FFB">
      <w:pPr>
        <w:autoSpaceDE w:val="0"/>
        <w:autoSpaceDN w:val="0"/>
        <w:adjustRightInd w:val="0"/>
        <w:jc w:val="both"/>
        <w:rPr>
          <w:rFonts w:ascii="Abadi" w:hAnsi="Abadi" w:cs="*Calibri-11534-Identity-H"/>
          <w:color w:val="282828"/>
          <w:sz w:val="21"/>
          <w:szCs w:val="21"/>
        </w:rPr>
      </w:pPr>
      <w:r w:rsidRPr="00743CF7">
        <w:rPr>
          <w:rFonts w:ascii="Abadi" w:hAnsi="Abadi" w:cs="*Calibri-11534-Identity-H"/>
          <w:color w:val="282828"/>
          <w:sz w:val="21"/>
          <w:szCs w:val="21"/>
        </w:rPr>
        <w:t xml:space="preserve">Este proyecto, además, es consciente y respetuoso de las exigencias Constitucionales de la autonomía universitaria consagradas en la fracción </w:t>
      </w:r>
      <w:r w:rsidRPr="00743CF7">
        <w:rPr>
          <w:rFonts w:ascii="Abadi" w:hAnsi="Abadi" w:cs="*Calibri-11535-Identity-H"/>
          <w:color w:val="282828"/>
          <w:sz w:val="21"/>
          <w:szCs w:val="21"/>
        </w:rPr>
        <w:t xml:space="preserve">VII </w:t>
      </w:r>
      <w:r w:rsidRPr="00743CF7">
        <w:rPr>
          <w:rFonts w:ascii="Abadi" w:hAnsi="Abadi" w:cs="*Calibri-11534-Identity-H"/>
          <w:color w:val="282828"/>
          <w:sz w:val="21"/>
          <w:szCs w:val="21"/>
        </w:rPr>
        <w:t xml:space="preserve">del Artículo 3o. Constitucional y en consecuencia refrenda la consideración y aprobación de los órganos de gobierno de las propias instituciones, </w:t>
      </w:r>
      <w:r w:rsidRPr="00743CF7">
        <w:rPr>
          <w:rFonts w:ascii="Abadi" w:hAnsi="Abadi" w:cs="*Times New Roman-Italic-11531-I"/>
          <w:i/>
          <w:iCs/>
          <w:color w:val="282828"/>
          <w:sz w:val="21"/>
          <w:szCs w:val="21"/>
        </w:rPr>
        <w:t xml:space="preserve">y </w:t>
      </w:r>
      <w:r w:rsidRPr="00743CF7">
        <w:rPr>
          <w:rFonts w:ascii="Abadi" w:hAnsi="Abadi" w:cs="*Calibri-11534-Identity-H"/>
          <w:color w:val="282828"/>
          <w:sz w:val="21"/>
          <w:szCs w:val="21"/>
        </w:rPr>
        <w:t>por ello, desde este momento solicitamos a la Comisión Dictaminadora que en la metodología que se acuerde para el análisis de esta iniciativa, se incluya la realización de foros con los tomadores de decisiones de las universidades e instituciones de educación superior.</w:t>
      </w:r>
    </w:p>
    <w:p w14:paraId="13D304C6" w14:textId="77777777" w:rsidR="00366FFB" w:rsidRPr="00743CF7" w:rsidRDefault="00366FFB" w:rsidP="00366FFB">
      <w:pPr>
        <w:autoSpaceDE w:val="0"/>
        <w:autoSpaceDN w:val="0"/>
        <w:adjustRightInd w:val="0"/>
        <w:jc w:val="both"/>
        <w:rPr>
          <w:rFonts w:ascii="Abadi" w:hAnsi="Abadi" w:cs="*Calibri-11534-Identity-H"/>
          <w:color w:val="282828"/>
          <w:sz w:val="21"/>
          <w:szCs w:val="21"/>
        </w:rPr>
      </w:pPr>
    </w:p>
    <w:p w14:paraId="216ADA00" w14:textId="77777777" w:rsidR="00366FFB" w:rsidRPr="00743CF7" w:rsidRDefault="00366FFB" w:rsidP="00366FFB">
      <w:pPr>
        <w:autoSpaceDE w:val="0"/>
        <w:autoSpaceDN w:val="0"/>
        <w:adjustRightInd w:val="0"/>
        <w:jc w:val="both"/>
        <w:rPr>
          <w:rFonts w:ascii="Abadi" w:hAnsi="Abadi" w:cs="*Calibri-11534-Identity-H"/>
          <w:color w:val="2A2A2A"/>
          <w:sz w:val="21"/>
          <w:szCs w:val="21"/>
        </w:rPr>
      </w:pPr>
      <w:r w:rsidRPr="00743CF7">
        <w:rPr>
          <w:rFonts w:ascii="Abadi" w:hAnsi="Abadi" w:cs="*Calibri-11534-Identity-H"/>
          <w:color w:val="2A2A2A"/>
          <w:sz w:val="21"/>
          <w:szCs w:val="21"/>
        </w:rPr>
        <w:t>La Iniciativa con Proyecto de Decreto que presentamos es pertinente porque tiene</w:t>
      </w:r>
      <w:r>
        <w:rPr>
          <w:rFonts w:ascii="Abadi" w:hAnsi="Abadi" w:cs="*Calibri-11534-Identity-H"/>
          <w:color w:val="2A2A2A"/>
          <w:sz w:val="21"/>
          <w:szCs w:val="21"/>
        </w:rPr>
        <w:t xml:space="preserve"> </w:t>
      </w:r>
      <w:r w:rsidRPr="00743CF7">
        <w:rPr>
          <w:rFonts w:ascii="Abadi" w:hAnsi="Abadi" w:cs="*Calibri-11534-Identity-H"/>
          <w:color w:val="2A2A2A"/>
          <w:sz w:val="21"/>
          <w:szCs w:val="21"/>
        </w:rPr>
        <w:t xml:space="preserve">por objeto ajustarnos a las bases para la distribución de la función educativa del tipo superior, entre </w:t>
      </w:r>
      <w:r>
        <w:rPr>
          <w:rFonts w:ascii="Abadi" w:hAnsi="Abadi" w:cs="*Calibri-11534-Identity-H"/>
          <w:color w:val="2A2A2A"/>
          <w:sz w:val="21"/>
          <w:szCs w:val="21"/>
        </w:rPr>
        <w:t>federación</w:t>
      </w:r>
      <w:r w:rsidRPr="00743CF7">
        <w:rPr>
          <w:rFonts w:ascii="Abadi" w:hAnsi="Abadi" w:cs="*Calibri-11534-Identity-H"/>
          <w:color w:val="2A2A2A"/>
          <w:sz w:val="21"/>
          <w:szCs w:val="21"/>
        </w:rPr>
        <w:t>, estado y municipios, así como las responsabilidades</w:t>
      </w:r>
      <w:r>
        <w:rPr>
          <w:rFonts w:ascii="Abadi" w:hAnsi="Abadi" w:cs="*Calibri-11534-Identity-H"/>
          <w:color w:val="2A2A2A"/>
          <w:sz w:val="21"/>
          <w:szCs w:val="21"/>
        </w:rPr>
        <w:t xml:space="preserve"> </w:t>
      </w:r>
      <w:r w:rsidRPr="00743CF7">
        <w:rPr>
          <w:rFonts w:ascii="Abadi" w:hAnsi="Abadi" w:cs="*Calibri-11534-Identity-H"/>
          <w:color w:val="2A2A2A"/>
          <w:sz w:val="21"/>
          <w:szCs w:val="21"/>
        </w:rPr>
        <w:t>económicas para financiar el sistema público de educación superior.</w:t>
      </w:r>
    </w:p>
    <w:p w14:paraId="1B3A0313" w14:textId="77777777" w:rsidR="00366FFB" w:rsidRPr="00743CF7" w:rsidRDefault="00366FFB" w:rsidP="00366FFB">
      <w:pPr>
        <w:autoSpaceDE w:val="0"/>
        <w:autoSpaceDN w:val="0"/>
        <w:adjustRightInd w:val="0"/>
        <w:jc w:val="both"/>
        <w:rPr>
          <w:rFonts w:ascii="Abadi" w:hAnsi="Abadi" w:cs="*Calibri-11534-Identity-H"/>
          <w:color w:val="2A2A2A"/>
          <w:sz w:val="21"/>
          <w:szCs w:val="21"/>
        </w:rPr>
      </w:pPr>
    </w:p>
    <w:p w14:paraId="1B94B7E9" w14:textId="77777777" w:rsidR="00366FFB" w:rsidRPr="00743CF7" w:rsidRDefault="00366FFB" w:rsidP="00366FFB">
      <w:pPr>
        <w:autoSpaceDE w:val="0"/>
        <w:autoSpaceDN w:val="0"/>
        <w:adjustRightInd w:val="0"/>
        <w:jc w:val="both"/>
        <w:rPr>
          <w:rFonts w:ascii="Abadi" w:hAnsi="Abadi" w:cs="*Microsoft Sans Serif-12347-Ide"/>
          <w:color w:val="292929"/>
          <w:sz w:val="21"/>
          <w:szCs w:val="21"/>
        </w:rPr>
      </w:pPr>
      <w:r w:rsidRPr="00743CF7">
        <w:rPr>
          <w:rFonts w:ascii="Abadi" w:hAnsi="Abadi" w:cs="*Calibri-11534-Identity-H"/>
          <w:color w:val="2A2A2A"/>
          <w:sz w:val="21"/>
          <w:szCs w:val="21"/>
        </w:rPr>
        <w:t>Conocedores de lo facultad residual que le corresponde a esta soberanía, y allegándonos de las aportaciones que vertió el sector social del sistema estatal de</w:t>
      </w:r>
      <w:r>
        <w:rPr>
          <w:rFonts w:ascii="Abadi" w:hAnsi="Abadi" w:cs="*Calibri-11534-Identity-H"/>
          <w:color w:val="2A2A2A"/>
          <w:sz w:val="21"/>
          <w:szCs w:val="21"/>
        </w:rPr>
        <w:t xml:space="preserve"> </w:t>
      </w:r>
      <w:r w:rsidRPr="00743CF7">
        <w:rPr>
          <w:rFonts w:ascii="Abadi" w:hAnsi="Abadi" w:cs="*Microsoft Sans Serif-12347-Ide"/>
          <w:color w:val="292929"/>
          <w:sz w:val="21"/>
          <w:szCs w:val="21"/>
        </w:rPr>
        <w:t>educación superior, a través de la COEPES, es que planteamos diversas innovaciones para nuestro marco jurídico, ente los que destacamos las siguientes:</w:t>
      </w:r>
    </w:p>
    <w:p w14:paraId="33602E7A" w14:textId="77777777" w:rsidR="00366FFB" w:rsidRPr="00743CF7" w:rsidRDefault="00366FFB" w:rsidP="00366FFB">
      <w:pPr>
        <w:autoSpaceDE w:val="0"/>
        <w:autoSpaceDN w:val="0"/>
        <w:adjustRightInd w:val="0"/>
        <w:jc w:val="both"/>
        <w:rPr>
          <w:rFonts w:ascii="Abadi" w:hAnsi="Abadi" w:cs="*Microsoft Sans Serif-12347-Ide"/>
          <w:color w:val="292929"/>
          <w:sz w:val="21"/>
          <w:szCs w:val="21"/>
        </w:rPr>
      </w:pPr>
    </w:p>
    <w:p w14:paraId="0BE3C714" w14:textId="77777777" w:rsidR="00366FFB" w:rsidRPr="00743CF7" w:rsidRDefault="00366FFB" w:rsidP="00366FFB">
      <w:pPr>
        <w:autoSpaceDE w:val="0"/>
        <w:autoSpaceDN w:val="0"/>
        <w:adjustRightInd w:val="0"/>
        <w:jc w:val="both"/>
        <w:rPr>
          <w:rFonts w:ascii="Abadi" w:hAnsi="Abadi" w:cs="*Microsoft Sans Serif-12347-Ide"/>
          <w:color w:val="2A2A2A"/>
          <w:sz w:val="21"/>
          <w:szCs w:val="21"/>
        </w:rPr>
      </w:pPr>
      <w:r w:rsidRPr="00743CF7">
        <w:rPr>
          <w:rFonts w:ascii="Abadi" w:hAnsi="Abadi" w:cs="*Microsoft Sans Serif-12347-Ide"/>
          <w:color w:val="2A2A2A"/>
          <w:sz w:val="21"/>
          <w:szCs w:val="21"/>
        </w:rPr>
        <w:t>Modelos flexibles y en los que los estudiantes puedan acreditar los programas con aprendizajes obtenidos en su proceso educativo;</w:t>
      </w:r>
    </w:p>
    <w:p w14:paraId="3C590C0E" w14:textId="77777777" w:rsidR="00366FFB" w:rsidRPr="00743CF7" w:rsidRDefault="00366FFB" w:rsidP="00366FFB">
      <w:pPr>
        <w:autoSpaceDE w:val="0"/>
        <w:autoSpaceDN w:val="0"/>
        <w:adjustRightInd w:val="0"/>
        <w:jc w:val="both"/>
        <w:rPr>
          <w:rFonts w:ascii="Abadi" w:hAnsi="Abadi" w:cs="*Microsoft Sans Serif-12347-Ide"/>
          <w:color w:val="2A2A2A"/>
          <w:sz w:val="21"/>
          <w:szCs w:val="21"/>
        </w:rPr>
      </w:pPr>
    </w:p>
    <w:p w14:paraId="3F303AFF" w14:textId="77777777" w:rsidR="00366FFB" w:rsidRPr="00743CF7" w:rsidRDefault="00366FFB" w:rsidP="00366FFB">
      <w:pPr>
        <w:autoSpaceDE w:val="0"/>
        <w:autoSpaceDN w:val="0"/>
        <w:adjustRightInd w:val="0"/>
        <w:jc w:val="both"/>
        <w:rPr>
          <w:rFonts w:ascii="Abadi" w:hAnsi="Abadi" w:cs="*Microsoft Sans Serif-12347-Ide"/>
          <w:color w:val="2C2C2C"/>
          <w:sz w:val="21"/>
          <w:szCs w:val="21"/>
        </w:rPr>
      </w:pPr>
      <w:r w:rsidRPr="00743CF7">
        <w:rPr>
          <w:rFonts w:ascii="Abadi" w:hAnsi="Abadi" w:cs="*Microsoft Sans Serif-12347-Ide"/>
          <w:color w:val="2B2B2B"/>
          <w:sz w:val="21"/>
          <w:szCs w:val="21"/>
        </w:rPr>
        <w:t xml:space="preserve">Asociaciones público- privadas para mejorar la infraestructura educativa, equipamiento </w:t>
      </w:r>
      <w:r>
        <w:rPr>
          <w:rFonts w:ascii="Abadi" w:hAnsi="Abadi" w:cs="*Microsoft Sans Serif-12347-Ide"/>
          <w:color w:val="2B2B2B"/>
          <w:sz w:val="21"/>
          <w:szCs w:val="21"/>
        </w:rPr>
        <w:t xml:space="preserve">y </w:t>
      </w:r>
      <w:r w:rsidRPr="00743CF7">
        <w:rPr>
          <w:rFonts w:ascii="Abadi" w:hAnsi="Abadi" w:cs="*Microsoft Sans Serif-12347-Ide"/>
          <w:color w:val="2B2B2B"/>
          <w:sz w:val="21"/>
          <w:szCs w:val="21"/>
        </w:rPr>
        <w:t xml:space="preserve">desarrollo de aprendizajes en coordinación con los sectores económicos </w:t>
      </w:r>
      <w:r w:rsidRPr="00743CF7">
        <w:rPr>
          <w:rFonts w:ascii="Abadi" w:hAnsi="Abadi" w:cs="*Times New Roman-Italic-12343-I"/>
          <w:i/>
          <w:iCs/>
          <w:color w:val="2B2B2B"/>
          <w:sz w:val="21"/>
          <w:szCs w:val="21"/>
        </w:rPr>
        <w:t xml:space="preserve">y </w:t>
      </w:r>
      <w:r w:rsidRPr="00743CF7">
        <w:rPr>
          <w:rFonts w:ascii="Abadi" w:hAnsi="Abadi" w:cs="*Microsoft Sans Serif-12347-Ide"/>
          <w:color w:val="2B2B2B"/>
          <w:sz w:val="21"/>
          <w:szCs w:val="21"/>
        </w:rPr>
        <w:t xml:space="preserve">sociales; </w:t>
      </w:r>
      <w:r w:rsidRPr="00743CF7">
        <w:rPr>
          <w:rFonts w:ascii="Abadi" w:hAnsi="Abadi" w:cs="*Microsoft Sans Serif-12347-Ide"/>
          <w:color w:val="2C2C2C"/>
          <w:sz w:val="21"/>
          <w:szCs w:val="21"/>
        </w:rPr>
        <w:t>Esquemas ágiles para el reconocimiento, a través de equivalencias, competencias y cursos autogestivos certificados, paro la transición al nivel educativo correspondiente;</w:t>
      </w:r>
    </w:p>
    <w:p w14:paraId="38540E2C" w14:textId="77777777" w:rsidR="00366FFB" w:rsidRPr="00743CF7" w:rsidRDefault="00366FFB" w:rsidP="00366FFB">
      <w:pPr>
        <w:autoSpaceDE w:val="0"/>
        <w:autoSpaceDN w:val="0"/>
        <w:adjustRightInd w:val="0"/>
        <w:jc w:val="both"/>
        <w:rPr>
          <w:rFonts w:ascii="Abadi" w:hAnsi="Abadi" w:cs="*Microsoft Sans Serif-12347-Ide"/>
          <w:color w:val="2C2C2C"/>
          <w:sz w:val="21"/>
          <w:szCs w:val="21"/>
        </w:rPr>
      </w:pPr>
    </w:p>
    <w:p w14:paraId="0BB0770B" w14:textId="77777777" w:rsidR="00366FFB" w:rsidRPr="00743CF7" w:rsidRDefault="00366FFB" w:rsidP="00366FFB">
      <w:pPr>
        <w:autoSpaceDE w:val="0"/>
        <w:autoSpaceDN w:val="0"/>
        <w:adjustRightInd w:val="0"/>
        <w:jc w:val="both"/>
        <w:rPr>
          <w:rFonts w:ascii="Abadi" w:hAnsi="Abadi" w:cs="*Microsoft Sans Serif-12347-Ide"/>
          <w:color w:val="282828"/>
          <w:sz w:val="21"/>
          <w:szCs w:val="21"/>
        </w:rPr>
      </w:pPr>
      <w:r w:rsidRPr="00743CF7">
        <w:rPr>
          <w:rFonts w:ascii="Abadi" w:hAnsi="Abadi" w:cs="*Microsoft Sans Serif-12347-Ide"/>
          <w:color w:val="282828"/>
          <w:sz w:val="21"/>
          <w:szCs w:val="21"/>
        </w:rPr>
        <w:t>Eliminar las limitan tes para concluir un programa educativo del nivel superior</w:t>
      </w:r>
    </w:p>
    <w:p w14:paraId="0BD3984C" w14:textId="77777777" w:rsidR="00366FFB" w:rsidRPr="00743CF7" w:rsidRDefault="00366FFB" w:rsidP="00366FFB">
      <w:pPr>
        <w:autoSpaceDE w:val="0"/>
        <w:autoSpaceDN w:val="0"/>
        <w:adjustRightInd w:val="0"/>
        <w:jc w:val="both"/>
        <w:rPr>
          <w:rFonts w:ascii="Abadi" w:hAnsi="Abadi" w:cs="*Microsoft Sans Serif-12347-Ide"/>
          <w:color w:val="282828"/>
          <w:sz w:val="21"/>
          <w:szCs w:val="21"/>
        </w:rPr>
      </w:pPr>
      <w:r w:rsidRPr="00743CF7">
        <w:rPr>
          <w:rFonts w:ascii="Abadi" w:hAnsi="Abadi" w:cs="*Microsoft Sans Serif-12347-Ide"/>
          <w:color w:val="282828"/>
          <w:sz w:val="21"/>
          <w:szCs w:val="21"/>
        </w:rPr>
        <w:t>de manera obligatoria;</w:t>
      </w:r>
    </w:p>
    <w:p w14:paraId="4F865108" w14:textId="77777777" w:rsidR="00366FFB" w:rsidRPr="00743CF7" w:rsidRDefault="00366FFB" w:rsidP="00366FFB">
      <w:pPr>
        <w:autoSpaceDE w:val="0"/>
        <w:autoSpaceDN w:val="0"/>
        <w:adjustRightInd w:val="0"/>
        <w:jc w:val="both"/>
        <w:rPr>
          <w:rFonts w:ascii="Abadi" w:hAnsi="Abadi" w:cs="*Microsoft Sans Serif-12347-Ide"/>
          <w:color w:val="282828"/>
          <w:sz w:val="21"/>
          <w:szCs w:val="21"/>
        </w:rPr>
      </w:pPr>
    </w:p>
    <w:p w14:paraId="6EDF8D4D" w14:textId="77777777" w:rsidR="00366FFB" w:rsidRPr="00743CF7" w:rsidRDefault="00366FFB" w:rsidP="00366FFB">
      <w:pPr>
        <w:autoSpaceDE w:val="0"/>
        <w:autoSpaceDN w:val="0"/>
        <w:adjustRightInd w:val="0"/>
        <w:jc w:val="both"/>
        <w:rPr>
          <w:rFonts w:ascii="Abadi" w:hAnsi="Abadi" w:cs="*Microsoft Sans Serif-12347-Ide"/>
          <w:color w:val="272727"/>
          <w:sz w:val="21"/>
          <w:szCs w:val="21"/>
        </w:rPr>
      </w:pPr>
      <w:r w:rsidRPr="00743CF7">
        <w:rPr>
          <w:rFonts w:ascii="Abadi" w:hAnsi="Abadi" w:cs="*Microsoft Sans Serif-12347-Ide"/>
          <w:color w:val="272727"/>
          <w:sz w:val="21"/>
          <w:szCs w:val="21"/>
        </w:rPr>
        <w:t>Un trayecto académico sistematizado, con registro digital que permita un seguimiento confiable del expediente del educando en la institución de donde esté matriculado</w:t>
      </w:r>
      <w:r>
        <w:rPr>
          <w:rFonts w:ascii="Abadi" w:hAnsi="Abadi" w:cs="*Microsoft Sans Serif-12347-Ide"/>
          <w:color w:val="272727"/>
          <w:sz w:val="21"/>
          <w:szCs w:val="21"/>
        </w:rPr>
        <w:t>.</w:t>
      </w:r>
    </w:p>
    <w:p w14:paraId="113CA44F" w14:textId="77777777" w:rsidR="00366FFB" w:rsidRPr="00743CF7" w:rsidRDefault="00366FFB" w:rsidP="00366FFB">
      <w:pPr>
        <w:autoSpaceDE w:val="0"/>
        <w:autoSpaceDN w:val="0"/>
        <w:adjustRightInd w:val="0"/>
        <w:jc w:val="both"/>
        <w:rPr>
          <w:rFonts w:ascii="Abadi" w:hAnsi="Abadi" w:cs="*Microsoft Sans Serif-12347-Ide"/>
          <w:color w:val="272727"/>
          <w:sz w:val="21"/>
          <w:szCs w:val="21"/>
        </w:rPr>
      </w:pPr>
    </w:p>
    <w:p w14:paraId="5E781C60" w14:textId="77777777" w:rsidR="00366FFB" w:rsidRPr="00743CF7" w:rsidRDefault="00366FFB" w:rsidP="00366FFB">
      <w:pPr>
        <w:autoSpaceDE w:val="0"/>
        <w:autoSpaceDN w:val="0"/>
        <w:adjustRightInd w:val="0"/>
        <w:jc w:val="both"/>
        <w:rPr>
          <w:rFonts w:ascii="Abadi" w:hAnsi="Abadi" w:cs="*Microsoft Sans Serif-12347-Ide"/>
          <w:color w:val="2A2A2A"/>
          <w:sz w:val="21"/>
          <w:szCs w:val="21"/>
        </w:rPr>
      </w:pPr>
      <w:r w:rsidRPr="00743CF7">
        <w:rPr>
          <w:rFonts w:ascii="Abadi" w:hAnsi="Abadi" w:cs="*Microsoft Sans Serif-12347-Ide"/>
          <w:color w:val="2A2A2A"/>
          <w:sz w:val="21"/>
          <w:szCs w:val="21"/>
        </w:rPr>
        <w:t>Actuar con un enfoque territorial en el que los diferentes sectores sociales se interrelacionen con la finalidad de mejorar las condiciones de la población como resultado del ejercicio académico, de innovación, responsabilidad social, servicios, productos y transferencia de conocimiento y tecnología;</w:t>
      </w:r>
    </w:p>
    <w:p w14:paraId="40E57920" w14:textId="77777777" w:rsidR="00366FFB" w:rsidRPr="00743CF7" w:rsidRDefault="00366FFB" w:rsidP="00366FFB">
      <w:pPr>
        <w:autoSpaceDE w:val="0"/>
        <w:autoSpaceDN w:val="0"/>
        <w:adjustRightInd w:val="0"/>
        <w:jc w:val="both"/>
        <w:rPr>
          <w:rFonts w:ascii="Abadi" w:hAnsi="Abadi" w:cs="*Microsoft Sans Serif-12347-Ide"/>
          <w:color w:val="2A2A2A"/>
          <w:sz w:val="21"/>
          <w:szCs w:val="21"/>
        </w:rPr>
      </w:pPr>
    </w:p>
    <w:p w14:paraId="3E6489D5" w14:textId="77777777" w:rsidR="00366FFB" w:rsidRPr="00743CF7" w:rsidRDefault="00366FFB" w:rsidP="00366FFB">
      <w:pPr>
        <w:autoSpaceDE w:val="0"/>
        <w:autoSpaceDN w:val="0"/>
        <w:adjustRightInd w:val="0"/>
        <w:jc w:val="both"/>
        <w:rPr>
          <w:rFonts w:ascii="Abadi" w:hAnsi="Abadi" w:cs="*Microsoft Sans Serif-12347-Ide"/>
          <w:color w:val="292929"/>
          <w:sz w:val="21"/>
          <w:szCs w:val="21"/>
        </w:rPr>
      </w:pPr>
      <w:r w:rsidRPr="00743CF7">
        <w:rPr>
          <w:rFonts w:ascii="Abadi" w:hAnsi="Abadi" w:cs="*Microsoft Sans Serif-12347-Ide"/>
          <w:color w:val="292929"/>
          <w:sz w:val="21"/>
          <w:szCs w:val="21"/>
        </w:rPr>
        <w:t>Promover la identidad cultural y el sentido de pertenencia de los estudiantes con su municipio y con su estado, así como promover el desarrollo de una visión global durante su proceso educativo;</w:t>
      </w:r>
    </w:p>
    <w:p w14:paraId="3208759D" w14:textId="77777777" w:rsidR="00366FFB" w:rsidRPr="00743CF7" w:rsidRDefault="00366FFB" w:rsidP="00366FFB">
      <w:pPr>
        <w:autoSpaceDE w:val="0"/>
        <w:autoSpaceDN w:val="0"/>
        <w:adjustRightInd w:val="0"/>
        <w:jc w:val="both"/>
        <w:rPr>
          <w:rFonts w:ascii="Abadi" w:hAnsi="Abadi" w:cs="*Microsoft Sans Serif-12347-Ide"/>
          <w:color w:val="292929"/>
          <w:sz w:val="21"/>
          <w:szCs w:val="21"/>
        </w:rPr>
      </w:pPr>
    </w:p>
    <w:p w14:paraId="0994DB95" w14:textId="77777777" w:rsidR="00366FFB" w:rsidRPr="00743CF7" w:rsidRDefault="00366FFB" w:rsidP="00366FFB">
      <w:pPr>
        <w:autoSpaceDE w:val="0"/>
        <w:autoSpaceDN w:val="0"/>
        <w:adjustRightInd w:val="0"/>
        <w:jc w:val="both"/>
        <w:rPr>
          <w:rFonts w:ascii="Abadi" w:hAnsi="Abadi" w:cs="*Microsoft Sans Serif-12347-Ide"/>
          <w:color w:val="2A2A2A"/>
          <w:sz w:val="21"/>
          <w:szCs w:val="21"/>
        </w:rPr>
      </w:pPr>
      <w:r w:rsidRPr="00743CF7">
        <w:rPr>
          <w:rFonts w:ascii="Abadi" w:hAnsi="Abadi" w:cs="*Microsoft Sans Serif-12347-Ide"/>
          <w:color w:val="2A2A2A"/>
          <w:sz w:val="21"/>
          <w:szCs w:val="21"/>
        </w:rPr>
        <w:t>Contar con mecanismos digitales que permitan el Ingreso a la educación superior y su posterior tránsito hacia un modelo mixto o presencial, con los beneficios de incrementar la cobertura y lo atención a la demanda;</w:t>
      </w:r>
    </w:p>
    <w:p w14:paraId="2EB8AAE9" w14:textId="77777777" w:rsidR="00366FFB" w:rsidRPr="00743CF7" w:rsidRDefault="00366FFB" w:rsidP="00366FFB">
      <w:pPr>
        <w:jc w:val="both"/>
        <w:rPr>
          <w:rFonts w:ascii="Abadi" w:hAnsi="Abadi" w:cs="*Microsoft Sans Serif-12347-Ide"/>
          <w:color w:val="2A2A2A"/>
          <w:sz w:val="21"/>
          <w:szCs w:val="21"/>
        </w:rPr>
      </w:pPr>
    </w:p>
    <w:p w14:paraId="7D8186EE" w14:textId="77777777" w:rsidR="00366FFB" w:rsidRPr="00743CF7" w:rsidRDefault="00366FFB" w:rsidP="00366FFB">
      <w:pPr>
        <w:autoSpaceDE w:val="0"/>
        <w:autoSpaceDN w:val="0"/>
        <w:adjustRightInd w:val="0"/>
        <w:jc w:val="both"/>
        <w:rPr>
          <w:rFonts w:ascii="Abadi" w:hAnsi="Abadi" w:cs="*Microsoft Sans Serif-11357-Ide"/>
          <w:color w:val="2C2C2C"/>
          <w:sz w:val="21"/>
          <w:szCs w:val="21"/>
        </w:rPr>
      </w:pPr>
      <w:r w:rsidRPr="00743CF7">
        <w:rPr>
          <w:rFonts w:ascii="Abadi" w:hAnsi="Abadi" w:cs="*Microsoft Sans Serif-11357-Ide"/>
          <w:color w:val="2C2C2C"/>
          <w:sz w:val="21"/>
          <w:szCs w:val="21"/>
        </w:rPr>
        <w:t xml:space="preserve">Promover la investigación básica y aplicada, y las alianzas público-privadas, para el desarrollo de la ciencia, la tecnología e innovación; </w:t>
      </w:r>
    </w:p>
    <w:p w14:paraId="6D2253F1" w14:textId="77777777" w:rsidR="00366FFB" w:rsidRPr="00743CF7" w:rsidRDefault="00366FFB" w:rsidP="00366FFB">
      <w:pPr>
        <w:autoSpaceDE w:val="0"/>
        <w:autoSpaceDN w:val="0"/>
        <w:adjustRightInd w:val="0"/>
        <w:jc w:val="both"/>
        <w:rPr>
          <w:rFonts w:ascii="Abadi" w:hAnsi="Abadi" w:cs="*Microsoft Sans Serif-11357-Ide"/>
          <w:color w:val="2C2C2C"/>
          <w:sz w:val="21"/>
          <w:szCs w:val="21"/>
        </w:rPr>
      </w:pPr>
    </w:p>
    <w:p w14:paraId="58FB2B93" w14:textId="77777777" w:rsidR="00366FFB" w:rsidRPr="00743CF7" w:rsidRDefault="00366FFB" w:rsidP="00366FFB">
      <w:pPr>
        <w:autoSpaceDE w:val="0"/>
        <w:autoSpaceDN w:val="0"/>
        <w:adjustRightInd w:val="0"/>
        <w:jc w:val="both"/>
        <w:rPr>
          <w:rFonts w:ascii="Abadi" w:hAnsi="Abadi" w:cs="*Microsoft Sans Serif-11357-Ide"/>
          <w:color w:val="282828"/>
          <w:sz w:val="21"/>
          <w:szCs w:val="21"/>
        </w:rPr>
      </w:pPr>
      <w:r w:rsidRPr="00743CF7">
        <w:rPr>
          <w:rFonts w:ascii="Abadi" w:hAnsi="Abadi" w:cs="*Microsoft Sans Serif-11357-Ide"/>
          <w:color w:val="2A2A2A"/>
          <w:sz w:val="21"/>
          <w:szCs w:val="21"/>
        </w:rPr>
        <w:t xml:space="preserve">Certificar competencias entre los estudiantes de educación superior, y acorde o la demando de los diferentes sectores económicos y sociales del estado; </w:t>
      </w:r>
      <w:r w:rsidRPr="00743CF7">
        <w:rPr>
          <w:rFonts w:ascii="Abadi" w:hAnsi="Abadi" w:cs="*Microsoft Sans Serif-11357-Ide"/>
          <w:color w:val="282828"/>
          <w:sz w:val="21"/>
          <w:szCs w:val="21"/>
        </w:rPr>
        <w:t>favorecer la participación de los estudiantes en programas académicos de otras universidades dentro y fuera del estado, garantizando su equivalencia en la institución de origen, paro mejorar o complementar los aprendizajes en el nivel superior;</w:t>
      </w:r>
    </w:p>
    <w:p w14:paraId="36C39D50" w14:textId="77777777" w:rsidR="00366FFB" w:rsidRPr="00743CF7" w:rsidRDefault="00366FFB" w:rsidP="00366FFB">
      <w:pPr>
        <w:autoSpaceDE w:val="0"/>
        <w:autoSpaceDN w:val="0"/>
        <w:adjustRightInd w:val="0"/>
        <w:jc w:val="both"/>
        <w:rPr>
          <w:rFonts w:ascii="Abadi" w:hAnsi="Abadi" w:cs="*Microsoft Sans Serif-11357-Ide"/>
          <w:color w:val="282828"/>
          <w:sz w:val="21"/>
          <w:szCs w:val="21"/>
        </w:rPr>
      </w:pPr>
    </w:p>
    <w:p w14:paraId="0976EA05" w14:textId="77777777" w:rsidR="00366FFB" w:rsidRPr="00743CF7" w:rsidRDefault="00366FFB" w:rsidP="00366FFB">
      <w:pPr>
        <w:autoSpaceDE w:val="0"/>
        <w:autoSpaceDN w:val="0"/>
        <w:adjustRightInd w:val="0"/>
        <w:jc w:val="both"/>
        <w:rPr>
          <w:rFonts w:ascii="Abadi" w:hAnsi="Abadi" w:cs="*Microsoft Sans Serif-11357-Ide"/>
          <w:color w:val="292929"/>
          <w:sz w:val="21"/>
          <w:szCs w:val="21"/>
        </w:rPr>
      </w:pPr>
      <w:r w:rsidRPr="00743CF7">
        <w:rPr>
          <w:rFonts w:ascii="Abadi" w:hAnsi="Abadi" w:cs="*Microsoft Sans Serif-11357-Ide"/>
          <w:color w:val="292929"/>
          <w:sz w:val="21"/>
          <w:szCs w:val="21"/>
        </w:rPr>
        <w:t>Que lo Secretaría de Educación de Guanajuato en conjunto con la COEPES, definan los criterios de calidad de la educación para el nivel superior, en concordancia con las autoridades federales;</w:t>
      </w:r>
    </w:p>
    <w:p w14:paraId="31FC8122" w14:textId="77777777" w:rsidR="00366FFB" w:rsidRPr="00743CF7" w:rsidRDefault="00366FFB" w:rsidP="00366FFB">
      <w:pPr>
        <w:autoSpaceDE w:val="0"/>
        <w:autoSpaceDN w:val="0"/>
        <w:adjustRightInd w:val="0"/>
        <w:jc w:val="both"/>
        <w:rPr>
          <w:rFonts w:ascii="Abadi" w:hAnsi="Abadi" w:cs="*Microsoft Sans Serif-11357-Ide"/>
          <w:color w:val="2B2B2B"/>
          <w:sz w:val="21"/>
          <w:szCs w:val="21"/>
        </w:rPr>
      </w:pPr>
      <w:r w:rsidRPr="00743CF7">
        <w:rPr>
          <w:rFonts w:ascii="Abadi" w:hAnsi="Abadi" w:cs="*Microsoft Sans Serif-11357-Ide"/>
          <w:color w:val="2B2B2B"/>
          <w:sz w:val="21"/>
          <w:szCs w:val="21"/>
        </w:rPr>
        <w:t>Establecer indicadores educativos de educación superior con enfoque a la calidad de la educación tanto en el sistema público como en el particular;</w:t>
      </w:r>
    </w:p>
    <w:p w14:paraId="3EF2BB7C" w14:textId="77777777" w:rsidR="00366FFB" w:rsidRPr="00743CF7" w:rsidRDefault="00366FFB" w:rsidP="00366FFB">
      <w:pPr>
        <w:autoSpaceDE w:val="0"/>
        <w:autoSpaceDN w:val="0"/>
        <w:adjustRightInd w:val="0"/>
        <w:jc w:val="both"/>
        <w:rPr>
          <w:rFonts w:ascii="Abadi" w:hAnsi="Abadi" w:cs="*Microsoft Sans Serif-11357-Ide"/>
          <w:color w:val="2B2B2B"/>
          <w:sz w:val="21"/>
          <w:szCs w:val="21"/>
        </w:rPr>
      </w:pPr>
    </w:p>
    <w:p w14:paraId="010F5E7D" w14:textId="77777777" w:rsidR="00366FFB" w:rsidRPr="00743CF7" w:rsidRDefault="00366FFB" w:rsidP="00366FFB">
      <w:pPr>
        <w:autoSpaceDE w:val="0"/>
        <w:autoSpaceDN w:val="0"/>
        <w:adjustRightInd w:val="0"/>
        <w:jc w:val="both"/>
        <w:rPr>
          <w:rFonts w:ascii="Abadi" w:hAnsi="Abadi" w:cs="*Microsoft Sans Serif-11357-Ide"/>
          <w:color w:val="282828"/>
          <w:sz w:val="21"/>
          <w:szCs w:val="21"/>
        </w:rPr>
      </w:pPr>
      <w:r w:rsidRPr="00743CF7">
        <w:rPr>
          <w:rFonts w:ascii="Abadi" w:hAnsi="Abadi" w:cs="*Microsoft Sans Serif-11357-Ide"/>
          <w:color w:val="282828"/>
          <w:sz w:val="21"/>
          <w:szCs w:val="21"/>
        </w:rPr>
        <w:t>Actuar con responsabilidad social en las instituciones de educación superior, como parte indispensable de la formación integral de los estudiantes; Gratuidad, en la que el estado promoverá con base en la suficiencia presupuestal convenios actuales de colaboración con la federación para garantizar la operación de las instituciones públicas de educación superior; Reconocimiento de nuevos modelos educativos en la educación superior, incluido el modelo de universidades por competencias;</w:t>
      </w:r>
    </w:p>
    <w:p w14:paraId="45A89E1A" w14:textId="77777777" w:rsidR="00366FFB" w:rsidRPr="00743CF7" w:rsidRDefault="00366FFB" w:rsidP="00366FFB">
      <w:pPr>
        <w:autoSpaceDE w:val="0"/>
        <w:autoSpaceDN w:val="0"/>
        <w:adjustRightInd w:val="0"/>
        <w:jc w:val="both"/>
        <w:rPr>
          <w:rFonts w:ascii="Abadi" w:hAnsi="Abadi" w:cs="*Microsoft Sans Serif-11357-Ide"/>
          <w:color w:val="282828"/>
          <w:sz w:val="21"/>
          <w:szCs w:val="21"/>
        </w:rPr>
      </w:pPr>
    </w:p>
    <w:p w14:paraId="70C62A3A" w14:textId="77777777" w:rsidR="00366FFB" w:rsidRPr="00743CF7" w:rsidRDefault="00366FFB" w:rsidP="00366FFB">
      <w:pPr>
        <w:autoSpaceDE w:val="0"/>
        <w:autoSpaceDN w:val="0"/>
        <w:adjustRightInd w:val="0"/>
        <w:jc w:val="both"/>
        <w:rPr>
          <w:rFonts w:ascii="Abadi" w:hAnsi="Abadi" w:cs="*Microsoft Sans Serif-11357-Ide"/>
          <w:color w:val="282828"/>
          <w:sz w:val="21"/>
          <w:szCs w:val="21"/>
        </w:rPr>
      </w:pPr>
      <w:r w:rsidRPr="00743CF7">
        <w:rPr>
          <w:rFonts w:ascii="Abadi" w:hAnsi="Abadi" w:cs="*Microsoft Sans Serif-11357-Ide"/>
          <w:color w:val="282828"/>
          <w:sz w:val="21"/>
          <w:szCs w:val="21"/>
        </w:rPr>
        <w:t>Formación dual en la que exista un reconocimiento a la experiencia en los diferentes esquemas que promuevan la adecuada coordinación para el logro de los aprendizajes entre la academia y los sectores productivos;</w:t>
      </w:r>
    </w:p>
    <w:p w14:paraId="7D4EF61E" w14:textId="77777777" w:rsidR="00366FFB" w:rsidRPr="00743CF7" w:rsidRDefault="00366FFB" w:rsidP="00366FFB">
      <w:pPr>
        <w:autoSpaceDE w:val="0"/>
        <w:autoSpaceDN w:val="0"/>
        <w:adjustRightInd w:val="0"/>
        <w:jc w:val="both"/>
        <w:rPr>
          <w:rFonts w:ascii="Abadi" w:hAnsi="Abadi" w:cs="*Microsoft Sans Serif-11357-Ide"/>
          <w:color w:val="282828"/>
          <w:sz w:val="21"/>
          <w:szCs w:val="21"/>
        </w:rPr>
      </w:pPr>
    </w:p>
    <w:p w14:paraId="5944D143" w14:textId="77777777" w:rsidR="00366FFB" w:rsidRPr="00743CF7" w:rsidRDefault="00366FFB" w:rsidP="00366FFB">
      <w:pPr>
        <w:autoSpaceDE w:val="0"/>
        <w:autoSpaceDN w:val="0"/>
        <w:adjustRightInd w:val="0"/>
        <w:jc w:val="both"/>
        <w:rPr>
          <w:rFonts w:ascii="Abadi" w:hAnsi="Abadi" w:cs="*Microsoft Sans Serif-11357-Ide"/>
          <w:color w:val="292929"/>
          <w:sz w:val="21"/>
          <w:szCs w:val="21"/>
        </w:rPr>
      </w:pPr>
      <w:r w:rsidRPr="00743CF7">
        <w:rPr>
          <w:rFonts w:ascii="Abadi" w:hAnsi="Abadi" w:cs="*Microsoft Sans Serif-11357-Ide"/>
          <w:color w:val="292929"/>
          <w:sz w:val="21"/>
          <w:szCs w:val="21"/>
        </w:rPr>
        <w:t>Segunda lengua. se promoverá el dominio de una segunda lengua, con el propósito de mejorar la empleabilidad y el perfil de egreso de los estudiantes de nivel superior, y</w:t>
      </w:r>
    </w:p>
    <w:p w14:paraId="401CD4A0" w14:textId="77777777" w:rsidR="00366FFB" w:rsidRPr="00743CF7" w:rsidRDefault="00366FFB" w:rsidP="00366FFB">
      <w:pPr>
        <w:jc w:val="both"/>
        <w:rPr>
          <w:rFonts w:ascii="Abadi" w:hAnsi="Abadi" w:cs="*Calibri-11356-Identity-H"/>
          <w:color w:val="222222"/>
          <w:sz w:val="21"/>
          <w:szCs w:val="21"/>
        </w:rPr>
      </w:pPr>
    </w:p>
    <w:p w14:paraId="2D15DD6F" w14:textId="77777777" w:rsidR="00366FFB" w:rsidRPr="00743CF7" w:rsidRDefault="00366FFB" w:rsidP="00366FFB">
      <w:pPr>
        <w:autoSpaceDE w:val="0"/>
        <w:autoSpaceDN w:val="0"/>
        <w:adjustRightInd w:val="0"/>
        <w:jc w:val="both"/>
        <w:rPr>
          <w:rFonts w:ascii="Abadi" w:hAnsi="Abadi" w:cs="*Microsoft Sans Serif-10611-Ide"/>
          <w:color w:val="282828"/>
          <w:sz w:val="21"/>
          <w:szCs w:val="21"/>
        </w:rPr>
      </w:pPr>
      <w:r w:rsidRPr="00743CF7">
        <w:rPr>
          <w:rFonts w:ascii="Abadi" w:hAnsi="Abadi" w:cs="*Microsoft Sans Serif-10611-Ide"/>
          <w:color w:val="282828"/>
          <w:sz w:val="21"/>
          <w:szCs w:val="21"/>
        </w:rPr>
        <w:t xml:space="preserve">Atención integral a la violencia de género, de manera corresponsable </w:t>
      </w:r>
      <w:r w:rsidRPr="00743CF7">
        <w:rPr>
          <w:rFonts w:ascii="Abadi" w:hAnsi="Abadi" w:cs="*Arial-10610-Identity-H"/>
          <w:color w:val="282828"/>
          <w:sz w:val="21"/>
          <w:szCs w:val="21"/>
        </w:rPr>
        <w:t xml:space="preserve">y </w:t>
      </w:r>
      <w:r w:rsidRPr="00743CF7">
        <w:rPr>
          <w:rFonts w:ascii="Abadi" w:hAnsi="Abadi" w:cs="*Microsoft Sans Serif-10611-Ide"/>
          <w:color w:val="282828"/>
          <w:sz w:val="21"/>
          <w:szCs w:val="21"/>
        </w:rPr>
        <w:t xml:space="preserve">transversal con otras dependencias. Se desarrollará, promoverá, actualizará </w:t>
      </w:r>
      <w:r w:rsidRPr="00743CF7">
        <w:rPr>
          <w:rFonts w:ascii="Abadi" w:hAnsi="Abadi" w:cs="*Arial-10610-Identity-H"/>
          <w:color w:val="282828"/>
          <w:sz w:val="21"/>
          <w:szCs w:val="21"/>
        </w:rPr>
        <w:t xml:space="preserve">y </w:t>
      </w:r>
      <w:r w:rsidRPr="00743CF7">
        <w:rPr>
          <w:rFonts w:ascii="Abadi" w:hAnsi="Abadi" w:cs="*Microsoft Sans Serif-10611-Ide"/>
          <w:color w:val="282828"/>
          <w:sz w:val="21"/>
          <w:szCs w:val="21"/>
        </w:rPr>
        <w:t xml:space="preserve">capacitará a los responsables en las instituciones de educación superior, </w:t>
      </w:r>
      <w:r w:rsidRPr="00743CF7">
        <w:rPr>
          <w:rFonts w:ascii="Abadi" w:hAnsi="Abadi" w:cs="*Arial-10610-Identity-H"/>
          <w:color w:val="282828"/>
          <w:sz w:val="21"/>
          <w:szCs w:val="21"/>
        </w:rPr>
        <w:t xml:space="preserve">y </w:t>
      </w:r>
      <w:r w:rsidRPr="00743CF7">
        <w:rPr>
          <w:rFonts w:ascii="Abadi" w:hAnsi="Abadi" w:cs="*Microsoft Sans Serif-10611-Ide"/>
          <w:color w:val="282828"/>
          <w:sz w:val="21"/>
          <w:szCs w:val="21"/>
        </w:rPr>
        <w:t>en general a la comunidad educativa, para lo implementación y correcta aplicación de los protocolos poro la atención o la violencia de género entre todas las instituciones de educación superior, por mencionar algunos.</w:t>
      </w:r>
    </w:p>
    <w:p w14:paraId="3ADCC6F6" w14:textId="77777777" w:rsidR="00366FFB" w:rsidRPr="00743CF7" w:rsidRDefault="00366FFB" w:rsidP="00366FFB">
      <w:pPr>
        <w:autoSpaceDE w:val="0"/>
        <w:autoSpaceDN w:val="0"/>
        <w:adjustRightInd w:val="0"/>
        <w:jc w:val="both"/>
        <w:rPr>
          <w:rFonts w:ascii="Abadi" w:hAnsi="Abadi" w:cs="*Microsoft Sans Serif-10611-Ide"/>
          <w:color w:val="282828"/>
          <w:sz w:val="21"/>
          <w:szCs w:val="21"/>
        </w:rPr>
      </w:pPr>
    </w:p>
    <w:p w14:paraId="42C9AAD3" w14:textId="77777777" w:rsidR="00366FFB" w:rsidRPr="00743CF7" w:rsidRDefault="00366FFB" w:rsidP="00366FFB">
      <w:pPr>
        <w:autoSpaceDE w:val="0"/>
        <w:autoSpaceDN w:val="0"/>
        <w:adjustRightInd w:val="0"/>
        <w:jc w:val="both"/>
        <w:rPr>
          <w:rFonts w:ascii="Abadi" w:hAnsi="Abadi" w:cs="*Microsoft Sans Serif-10611-Ide"/>
          <w:color w:val="2A2A2A"/>
          <w:sz w:val="21"/>
          <w:szCs w:val="21"/>
        </w:rPr>
      </w:pPr>
      <w:r w:rsidRPr="00743CF7">
        <w:rPr>
          <w:rFonts w:ascii="Abadi" w:hAnsi="Abadi" w:cs="*Microsoft Sans Serif-10611-Ide"/>
          <w:color w:val="2A2A2A"/>
          <w:sz w:val="21"/>
          <w:szCs w:val="21"/>
        </w:rPr>
        <w:t>Garantizar el derecho universal a la educación superior implicará ofrecer una calidad de vida mejor.</w:t>
      </w:r>
    </w:p>
    <w:p w14:paraId="4DAB4A3A" w14:textId="77777777" w:rsidR="00366FFB" w:rsidRPr="00743CF7" w:rsidRDefault="00366FFB" w:rsidP="00366FFB">
      <w:pPr>
        <w:autoSpaceDE w:val="0"/>
        <w:autoSpaceDN w:val="0"/>
        <w:adjustRightInd w:val="0"/>
        <w:jc w:val="both"/>
        <w:rPr>
          <w:rFonts w:ascii="Abadi" w:hAnsi="Abadi" w:cs="*Microsoft Sans Serif-10611-Ide"/>
          <w:color w:val="2A2A2A"/>
          <w:sz w:val="21"/>
          <w:szCs w:val="21"/>
        </w:rPr>
      </w:pPr>
    </w:p>
    <w:p w14:paraId="3F4B6A4A" w14:textId="77777777" w:rsidR="00366FFB" w:rsidRPr="00743CF7" w:rsidRDefault="00366FFB" w:rsidP="00366FFB">
      <w:pPr>
        <w:autoSpaceDE w:val="0"/>
        <w:autoSpaceDN w:val="0"/>
        <w:adjustRightInd w:val="0"/>
        <w:jc w:val="both"/>
        <w:rPr>
          <w:rFonts w:ascii="Abadi" w:hAnsi="Abadi" w:cs="*Microsoft Sans Serif-10611-Ide"/>
          <w:color w:val="282828"/>
          <w:sz w:val="21"/>
          <w:szCs w:val="21"/>
        </w:rPr>
      </w:pPr>
      <w:r w:rsidRPr="00743CF7">
        <w:rPr>
          <w:rFonts w:ascii="Abadi" w:hAnsi="Abadi" w:cs="*Microsoft Sans Serif-10611-Ide"/>
          <w:color w:val="282828"/>
          <w:sz w:val="21"/>
          <w:szCs w:val="21"/>
        </w:rPr>
        <w:t xml:space="preserve">Nuestra aspiración en materia educativa es el flujo continuo e interrumpido de las personas entre la educación inicial, básica. media superior </w:t>
      </w:r>
      <w:r w:rsidRPr="00743CF7">
        <w:rPr>
          <w:rFonts w:ascii="Abadi" w:hAnsi="Abadi" w:cs="*Times New Roman-Italic-10606-I"/>
          <w:i/>
          <w:iCs/>
          <w:color w:val="282828"/>
          <w:sz w:val="21"/>
          <w:szCs w:val="21"/>
        </w:rPr>
        <w:t xml:space="preserve">y </w:t>
      </w:r>
      <w:r w:rsidRPr="00743CF7">
        <w:rPr>
          <w:rFonts w:ascii="Abadi" w:hAnsi="Abadi" w:cs="*Microsoft Sans Serif-10611-Ide"/>
          <w:color w:val="282828"/>
          <w:sz w:val="21"/>
          <w:szCs w:val="21"/>
        </w:rPr>
        <w:t>superior. Esta es nuestra visión de estado pues sin lugar a duda es la clave para tener una sociedad más justa y más equitativa.</w:t>
      </w:r>
    </w:p>
    <w:p w14:paraId="4B395CD8" w14:textId="77777777" w:rsidR="00366FFB" w:rsidRPr="00743CF7" w:rsidRDefault="00366FFB" w:rsidP="00366FFB">
      <w:pPr>
        <w:autoSpaceDE w:val="0"/>
        <w:autoSpaceDN w:val="0"/>
        <w:adjustRightInd w:val="0"/>
        <w:jc w:val="both"/>
        <w:rPr>
          <w:rFonts w:ascii="Abadi" w:hAnsi="Abadi" w:cs="*Microsoft Sans Serif-10611-Ide"/>
          <w:color w:val="282828"/>
          <w:sz w:val="21"/>
          <w:szCs w:val="21"/>
        </w:rPr>
      </w:pPr>
    </w:p>
    <w:p w14:paraId="72AB9AA4" w14:textId="77777777" w:rsidR="00366FFB" w:rsidRPr="00743CF7" w:rsidRDefault="00366FFB" w:rsidP="00366FFB">
      <w:pPr>
        <w:autoSpaceDE w:val="0"/>
        <w:autoSpaceDN w:val="0"/>
        <w:adjustRightInd w:val="0"/>
        <w:jc w:val="both"/>
        <w:rPr>
          <w:rFonts w:ascii="Abadi" w:hAnsi="Abadi" w:cs="*Microsoft Sans Serif-10611-Ide"/>
          <w:color w:val="292929"/>
          <w:sz w:val="21"/>
          <w:szCs w:val="21"/>
        </w:rPr>
      </w:pPr>
      <w:r w:rsidRPr="00743CF7">
        <w:rPr>
          <w:rFonts w:ascii="Abadi" w:hAnsi="Abadi" w:cs="*Microsoft Sans Serif-10611-Ide"/>
          <w:color w:val="292929"/>
          <w:sz w:val="21"/>
          <w:szCs w:val="21"/>
        </w:rPr>
        <w:t xml:space="preserve">En este sentido, el diseño de la presente iniciativa de Ley de Educación Superior para el Estado de Guanajuato se basa en un diagnóstico de necesidades de la entidad, asegurando la pertinencia de los procesos educativos que coadyuven al impulso de lo formación de profesionales competentes, personas autónomas, colaborativas y que dentro de sus estudios estén inmersos a las experiencias que les posibiliten el acceso laboral, siendo al final agentes de cambio para la ciudadanía </w:t>
      </w:r>
      <w:r w:rsidRPr="00743CF7">
        <w:rPr>
          <w:rFonts w:ascii="Abadi" w:hAnsi="Abadi" w:cs="*Times New Roman-Italic-10607-I"/>
          <w:i/>
          <w:iCs/>
          <w:color w:val="292929"/>
          <w:sz w:val="21"/>
          <w:szCs w:val="21"/>
        </w:rPr>
        <w:t xml:space="preserve">y </w:t>
      </w:r>
      <w:r w:rsidRPr="00743CF7">
        <w:rPr>
          <w:rFonts w:ascii="Abadi" w:hAnsi="Abadi" w:cs="*Microsoft Sans Serif-10611-Ide"/>
          <w:color w:val="292929"/>
          <w:sz w:val="21"/>
          <w:szCs w:val="21"/>
        </w:rPr>
        <w:t>para el estado.</w:t>
      </w:r>
    </w:p>
    <w:p w14:paraId="3C586D0E" w14:textId="77777777" w:rsidR="00366FFB" w:rsidRPr="00743CF7" w:rsidRDefault="00366FFB" w:rsidP="00366FFB">
      <w:pPr>
        <w:autoSpaceDE w:val="0"/>
        <w:autoSpaceDN w:val="0"/>
        <w:adjustRightInd w:val="0"/>
        <w:jc w:val="both"/>
        <w:rPr>
          <w:rFonts w:ascii="Abadi" w:hAnsi="Abadi" w:cs="*Microsoft Sans Serif-10611-Ide"/>
          <w:color w:val="292929"/>
          <w:sz w:val="21"/>
          <w:szCs w:val="21"/>
        </w:rPr>
      </w:pPr>
    </w:p>
    <w:p w14:paraId="275C8615" w14:textId="77777777" w:rsidR="00366FFB" w:rsidRPr="00743CF7" w:rsidRDefault="00366FFB" w:rsidP="00366FFB">
      <w:pPr>
        <w:autoSpaceDE w:val="0"/>
        <w:autoSpaceDN w:val="0"/>
        <w:adjustRightInd w:val="0"/>
        <w:jc w:val="both"/>
        <w:rPr>
          <w:rFonts w:ascii="Abadi" w:hAnsi="Abadi" w:cs="*Microsoft Sans Serif-10611-Ide"/>
          <w:color w:val="282828"/>
          <w:sz w:val="21"/>
          <w:szCs w:val="21"/>
        </w:rPr>
      </w:pPr>
      <w:r w:rsidRPr="00743CF7">
        <w:rPr>
          <w:rFonts w:ascii="Abadi" w:hAnsi="Abadi" w:cs="*Microsoft Sans Serif-10611-Ide"/>
          <w:color w:val="282828"/>
          <w:sz w:val="21"/>
          <w:szCs w:val="21"/>
        </w:rPr>
        <w:t xml:space="preserve">Se dice que para que un derecho sea humano este debe ser igualmente exigible </w:t>
      </w:r>
      <w:r w:rsidRPr="00743CF7">
        <w:rPr>
          <w:rFonts w:ascii="Abadi" w:hAnsi="Abadi" w:cs="*Times New Roman-Italic-10607-I"/>
          <w:i/>
          <w:iCs/>
          <w:color w:val="282828"/>
          <w:sz w:val="21"/>
          <w:szCs w:val="21"/>
        </w:rPr>
        <w:t xml:space="preserve">y </w:t>
      </w:r>
      <w:r w:rsidRPr="00743CF7">
        <w:rPr>
          <w:rFonts w:ascii="Abadi" w:hAnsi="Abadi" w:cs="*Microsoft Sans Serif-10611-Ide"/>
          <w:color w:val="282828"/>
          <w:sz w:val="21"/>
          <w:szCs w:val="21"/>
        </w:rPr>
        <w:t xml:space="preserve">accesible para todos, sin discriminación o cualquier otro menoscabo que impido su ejercicio, </w:t>
      </w:r>
      <w:r w:rsidRPr="00743CF7">
        <w:rPr>
          <w:rFonts w:ascii="Abadi" w:hAnsi="Abadi" w:cs="*Times New Roman-Italic-10606-I"/>
          <w:i/>
          <w:iCs/>
          <w:color w:val="282828"/>
          <w:sz w:val="21"/>
          <w:szCs w:val="21"/>
        </w:rPr>
        <w:t xml:space="preserve">y </w:t>
      </w:r>
      <w:r w:rsidRPr="00743CF7">
        <w:rPr>
          <w:rFonts w:ascii="Abadi" w:hAnsi="Abadi" w:cs="*Microsoft Sans Serif-10611-Ide"/>
          <w:color w:val="282828"/>
          <w:sz w:val="21"/>
          <w:szCs w:val="21"/>
        </w:rPr>
        <w:t>es lo que pretendemos con esta Iniciativa.</w:t>
      </w:r>
    </w:p>
    <w:p w14:paraId="23909EDC" w14:textId="77777777" w:rsidR="00366FFB" w:rsidRPr="00743CF7" w:rsidRDefault="00366FFB" w:rsidP="00366FFB">
      <w:pPr>
        <w:jc w:val="both"/>
        <w:rPr>
          <w:rFonts w:ascii="Abadi" w:hAnsi="Abadi" w:cs="*Microsoft Sans Serif-10611-Ide"/>
          <w:color w:val="282828"/>
          <w:sz w:val="21"/>
          <w:szCs w:val="21"/>
        </w:rPr>
      </w:pPr>
    </w:p>
    <w:p w14:paraId="7E2B1F7B" w14:textId="77777777" w:rsidR="00366FFB" w:rsidRPr="00743CF7" w:rsidRDefault="00366FFB" w:rsidP="00366FFB">
      <w:pPr>
        <w:autoSpaceDE w:val="0"/>
        <w:autoSpaceDN w:val="0"/>
        <w:adjustRightInd w:val="0"/>
        <w:jc w:val="both"/>
        <w:rPr>
          <w:rFonts w:ascii="Abadi" w:hAnsi="Abadi" w:cs="*Microsoft Sans Serif-11450-Ide"/>
          <w:color w:val="2A2A2A"/>
          <w:sz w:val="21"/>
          <w:szCs w:val="21"/>
        </w:rPr>
      </w:pPr>
      <w:r w:rsidRPr="00743CF7">
        <w:rPr>
          <w:rFonts w:ascii="Abadi" w:hAnsi="Abadi" w:cs="*Microsoft Sans Serif-11450-Ide"/>
          <w:color w:val="2A2A2A"/>
          <w:sz w:val="21"/>
          <w:szCs w:val="21"/>
        </w:rPr>
        <w:t>Asimismo, de conformidad con el artículo 209 de la Ley Orgánica del Poder Legislativo del Estado de Guanajuato, señalamos que de aprobarse la presente iniciativa contará con los siguientes:</w:t>
      </w:r>
    </w:p>
    <w:p w14:paraId="5763AF6A" w14:textId="77777777" w:rsidR="00366FFB" w:rsidRPr="00743CF7" w:rsidRDefault="00366FFB" w:rsidP="00366FFB">
      <w:pPr>
        <w:autoSpaceDE w:val="0"/>
        <w:autoSpaceDN w:val="0"/>
        <w:adjustRightInd w:val="0"/>
        <w:jc w:val="both"/>
        <w:rPr>
          <w:rFonts w:ascii="Abadi" w:hAnsi="Abadi" w:cs="*Microsoft Sans Serif-11450-Ide"/>
          <w:color w:val="272727"/>
          <w:sz w:val="21"/>
          <w:szCs w:val="21"/>
        </w:rPr>
      </w:pPr>
    </w:p>
    <w:p w14:paraId="264D478E" w14:textId="77777777" w:rsidR="00366FFB" w:rsidRPr="00743CF7" w:rsidRDefault="00366FFB" w:rsidP="00366FFB">
      <w:pPr>
        <w:autoSpaceDE w:val="0"/>
        <w:autoSpaceDN w:val="0"/>
        <w:adjustRightInd w:val="0"/>
        <w:jc w:val="both"/>
        <w:rPr>
          <w:rFonts w:ascii="Abadi" w:hAnsi="Abadi" w:cs="*Microsoft Sans Serif-11450-Ide"/>
          <w:color w:val="272727"/>
          <w:sz w:val="21"/>
          <w:szCs w:val="21"/>
        </w:rPr>
      </w:pPr>
      <w:r w:rsidRPr="00743CF7">
        <w:rPr>
          <w:rFonts w:ascii="Abadi" w:hAnsi="Abadi" w:cs="*Microsoft Sans Serif-11450-Ide"/>
          <w:b/>
          <w:bCs/>
          <w:color w:val="272727"/>
          <w:sz w:val="21"/>
          <w:szCs w:val="21"/>
        </w:rPr>
        <w:t>l.</w:t>
      </w:r>
      <w:r w:rsidRPr="00743CF7">
        <w:rPr>
          <w:rFonts w:ascii="Abadi" w:hAnsi="Abadi" w:cs="*Microsoft Sans Serif-11450-Ide"/>
          <w:color w:val="272727"/>
          <w:sz w:val="21"/>
          <w:szCs w:val="21"/>
        </w:rPr>
        <w:t xml:space="preserve"> </w:t>
      </w:r>
      <w:r w:rsidRPr="00743CF7">
        <w:rPr>
          <w:rFonts w:ascii="Abadi" w:hAnsi="Abadi" w:cs="*Calibri-Bold-11449-Identity-H"/>
          <w:b/>
          <w:bCs/>
          <w:color w:val="272727"/>
          <w:sz w:val="21"/>
          <w:szCs w:val="21"/>
        </w:rPr>
        <w:t xml:space="preserve">Impacto Jurídico: </w:t>
      </w:r>
      <w:r w:rsidRPr="00743CF7">
        <w:rPr>
          <w:rFonts w:ascii="Abadi" w:hAnsi="Abadi" w:cs="*Microsoft Sans Serif-11450-Ide"/>
          <w:color w:val="272727"/>
          <w:sz w:val="21"/>
          <w:szCs w:val="21"/>
        </w:rPr>
        <w:t>De aprobarse la presente iniciativa se contará con un marco legal de actuación a la vanguardia para Id coordinación y</w:t>
      </w:r>
      <w:r w:rsidRPr="00743CF7">
        <w:rPr>
          <w:rFonts w:ascii="Abadi" w:hAnsi="Abadi" w:cs="*Times New Roman-Italic-11446-I"/>
          <w:i/>
          <w:iCs/>
          <w:color w:val="272727"/>
          <w:sz w:val="21"/>
          <w:szCs w:val="21"/>
        </w:rPr>
        <w:t xml:space="preserve"> </w:t>
      </w:r>
      <w:r w:rsidRPr="00743CF7">
        <w:rPr>
          <w:rFonts w:ascii="Abadi" w:hAnsi="Abadi" w:cs="*Microsoft Sans Serif-11450-Ide"/>
          <w:color w:val="272727"/>
          <w:sz w:val="21"/>
          <w:szCs w:val="21"/>
        </w:rPr>
        <w:t>fomento de la educación superior en el Estado de Guanajuato.</w:t>
      </w:r>
    </w:p>
    <w:p w14:paraId="7DBEE873" w14:textId="77777777" w:rsidR="00366FFB" w:rsidRPr="00743CF7" w:rsidRDefault="00366FFB" w:rsidP="00366FFB">
      <w:pPr>
        <w:autoSpaceDE w:val="0"/>
        <w:autoSpaceDN w:val="0"/>
        <w:adjustRightInd w:val="0"/>
        <w:jc w:val="both"/>
        <w:rPr>
          <w:rFonts w:ascii="Abadi" w:hAnsi="Abadi" w:cs="*Calibri-Bold-11449-Identity-H"/>
          <w:b/>
          <w:bCs/>
          <w:color w:val="272727"/>
          <w:sz w:val="21"/>
          <w:szCs w:val="21"/>
        </w:rPr>
      </w:pPr>
    </w:p>
    <w:p w14:paraId="1FE88A20" w14:textId="77777777" w:rsidR="00366FFB" w:rsidRPr="00743CF7" w:rsidRDefault="00366FFB" w:rsidP="00366FFB">
      <w:pPr>
        <w:autoSpaceDE w:val="0"/>
        <w:autoSpaceDN w:val="0"/>
        <w:adjustRightInd w:val="0"/>
        <w:jc w:val="both"/>
        <w:rPr>
          <w:rFonts w:ascii="Abadi" w:hAnsi="Abadi" w:cs="*Microsoft Sans Serif-11450-Ide"/>
          <w:color w:val="272727"/>
          <w:sz w:val="21"/>
          <w:szCs w:val="21"/>
        </w:rPr>
      </w:pPr>
      <w:r w:rsidRPr="00743CF7">
        <w:rPr>
          <w:rFonts w:ascii="Abadi" w:hAnsi="Abadi" w:cs="*Calibri-Bold-11449-Identity-H"/>
          <w:b/>
          <w:bCs/>
          <w:color w:val="272727"/>
          <w:sz w:val="21"/>
          <w:szCs w:val="21"/>
        </w:rPr>
        <w:t xml:space="preserve">II. Impacto Administrativo: </w:t>
      </w:r>
      <w:r w:rsidRPr="00743CF7">
        <w:rPr>
          <w:rFonts w:ascii="Abadi" w:hAnsi="Abadi" w:cs="*Microsoft Sans Serif-11450-Ide"/>
          <w:color w:val="272727"/>
          <w:sz w:val="21"/>
          <w:szCs w:val="21"/>
        </w:rPr>
        <w:t xml:space="preserve">Del ordenamiento jurídico que se propone se desprenderán nuevas estructuras </w:t>
      </w:r>
      <w:r w:rsidRPr="00743CF7">
        <w:rPr>
          <w:rFonts w:ascii="Abadi" w:hAnsi="Abadi" w:cs="*Times New Roman-Italic-11446-I"/>
          <w:i/>
          <w:iCs/>
          <w:color w:val="272727"/>
          <w:sz w:val="21"/>
          <w:szCs w:val="21"/>
        </w:rPr>
        <w:t xml:space="preserve">y </w:t>
      </w:r>
      <w:r w:rsidRPr="00743CF7">
        <w:rPr>
          <w:rFonts w:ascii="Abadi" w:hAnsi="Abadi" w:cs="*Microsoft Sans Serif-11450-Ide"/>
          <w:color w:val="272727"/>
          <w:sz w:val="21"/>
          <w:szCs w:val="21"/>
        </w:rPr>
        <w:t>relaciones de colaboración interinstitucionales para la implementación de la política estatal de educación superior.</w:t>
      </w:r>
    </w:p>
    <w:p w14:paraId="3707BB54" w14:textId="77777777" w:rsidR="00366FFB" w:rsidRPr="00743CF7" w:rsidRDefault="00366FFB" w:rsidP="00366FFB">
      <w:pPr>
        <w:autoSpaceDE w:val="0"/>
        <w:autoSpaceDN w:val="0"/>
        <w:adjustRightInd w:val="0"/>
        <w:jc w:val="both"/>
        <w:rPr>
          <w:rFonts w:ascii="Abadi" w:hAnsi="Abadi" w:cs="*Calibri-Bold-11449-Identity-H"/>
          <w:b/>
          <w:bCs/>
          <w:color w:val="262626"/>
          <w:sz w:val="21"/>
          <w:szCs w:val="21"/>
        </w:rPr>
      </w:pPr>
    </w:p>
    <w:p w14:paraId="3EAA46DA" w14:textId="77777777" w:rsidR="00366FFB" w:rsidRPr="00743CF7" w:rsidRDefault="00366FFB" w:rsidP="00366FFB">
      <w:pPr>
        <w:autoSpaceDE w:val="0"/>
        <w:autoSpaceDN w:val="0"/>
        <w:adjustRightInd w:val="0"/>
        <w:jc w:val="both"/>
        <w:rPr>
          <w:rFonts w:ascii="Abadi" w:hAnsi="Abadi" w:cs="*Microsoft Sans Serif-11450-Ide"/>
          <w:color w:val="262626"/>
          <w:sz w:val="21"/>
          <w:szCs w:val="21"/>
        </w:rPr>
      </w:pPr>
      <w:r w:rsidRPr="00743CF7">
        <w:rPr>
          <w:rFonts w:ascii="Abadi" w:hAnsi="Abadi" w:cs="*Calibri-Bold-11449-Identity-H"/>
          <w:b/>
          <w:bCs/>
          <w:color w:val="262626"/>
          <w:sz w:val="21"/>
          <w:szCs w:val="21"/>
        </w:rPr>
        <w:t xml:space="preserve">III. Impacto Presupuestario: </w:t>
      </w:r>
      <w:r w:rsidRPr="00743CF7">
        <w:rPr>
          <w:rFonts w:ascii="Abadi" w:hAnsi="Abadi" w:cs="*Microsoft Sans Serif-11450-Ide"/>
          <w:color w:val="262626"/>
          <w:sz w:val="21"/>
          <w:szCs w:val="21"/>
        </w:rPr>
        <w:t>De conformidad con el artículo quinto transitorio de la Ley General de Educación Superior, se establece el principio de progresividad en el tránsito hacia la obligatoriedad y consecuente gratuidad de la educación superior, por lo que en el momento de fijar la metodología de análisis se solicitará localizar los lineamientos del Fondo Federal Especial para la obligatoriedad y gratuidad de la educación superior.</w:t>
      </w:r>
    </w:p>
    <w:p w14:paraId="256D0206" w14:textId="77777777" w:rsidR="00366FFB" w:rsidRPr="00743CF7" w:rsidRDefault="00366FFB" w:rsidP="00366FFB">
      <w:pPr>
        <w:autoSpaceDE w:val="0"/>
        <w:autoSpaceDN w:val="0"/>
        <w:adjustRightInd w:val="0"/>
        <w:jc w:val="both"/>
        <w:rPr>
          <w:rFonts w:ascii="Abadi" w:hAnsi="Abadi" w:cs="*Calibri-Bold-11449-Identity-H"/>
          <w:b/>
          <w:bCs/>
          <w:color w:val="252525"/>
          <w:sz w:val="21"/>
          <w:szCs w:val="21"/>
        </w:rPr>
      </w:pPr>
    </w:p>
    <w:p w14:paraId="61F35813" w14:textId="77777777" w:rsidR="00366FFB" w:rsidRPr="00743CF7" w:rsidRDefault="00366FFB" w:rsidP="00366FFB">
      <w:pPr>
        <w:autoSpaceDE w:val="0"/>
        <w:autoSpaceDN w:val="0"/>
        <w:adjustRightInd w:val="0"/>
        <w:jc w:val="both"/>
        <w:rPr>
          <w:rFonts w:ascii="Abadi" w:hAnsi="Abadi" w:cs="*Microsoft Sans Serif-11450-Ide"/>
          <w:color w:val="252525"/>
          <w:sz w:val="21"/>
          <w:szCs w:val="21"/>
        </w:rPr>
      </w:pPr>
      <w:r w:rsidRPr="00743CF7">
        <w:rPr>
          <w:rFonts w:ascii="Abadi" w:hAnsi="Abadi" w:cs="*Calibri-Bold-11449-Identity-H"/>
          <w:b/>
          <w:bCs/>
          <w:color w:val="252525"/>
          <w:sz w:val="21"/>
          <w:szCs w:val="21"/>
        </w:rPr>
        <w:t xml:space="preserve">IV. Impacto Social: </w:t>
      </w:r>
      <w:r w:rsidRPr="00743CF7">
        <w:rPr>
          <w:rFonts w:ascii="Abadi" w:hAnsi="Abadi" w:cs="*Microsoft Sans Serif-11450-Ide"/>
          <w:color w:val="252525"/>
          <w:sz w:val="21"/>
          <w:szCs w:val="21"/>
        </w:rPr>
        <w:t>Con esta iniciativa se pretende disminuir las desigualdades en cuanto a las posibilidades de acceso y calidad de lo educación superior para todas las personas.</w:t>
      </w:r>
    </w:p>
    <w:p w14:paraId="4F86BE12" w14:textId="77777777" w:rsidR="00366FFB" w:rsidRPr="00743CF7" w:rsidRDefault="00366FFB" w:rsidP="00366FFB">
      <w:pPr>
        <w:autoSpaceDE w:val="0"/>
        <w:autoSpaceDN w:val="0"/>
        <w:adjustRightInd w:val="0"/>
        <w:jc w:val="both"/>
        <w:rPr>
          <w:rFonts w:ascii="Abadi" w:hAnsi="Abadi" w:cs="*Microsoft Sans Serif-11450-Ide"/>
          <w:color w:val="252525"/>
          <w:sz w:val="21"/>
          <w:szCs w:val="21"/>
        </w:rPr>
      </w:pPr>
    </w:p>
    <w:p w14:paraId="7F36AB53" w14:textId="77777777" w:rsidR="00366FFB" w:rsidRPr="00743CF7" w:rsidRDefault="00366FFB" w:rsidP="00366FFB">
      <w:pPr>
        <w:autoSpaceDE w:val="0"/>
        <w:autoSpaceDN w:val="0"/>
        <w:adjustRightInd w:val="0"/>
        <w:jc w:val="both"/>
        <w:rPr>
          <w:rFonts w:ascii="Abadi" w:hAnsi="Abadi" w:cs="*Calibri-10248-Identity-H"/>
          <w:color w:val="282828"/>
          <w:sz w:val="21"/>
          <w:szCs w:val="21"/>
        </w:rPr>
      </w:pPr>
      <w:r w:rsidRPr="00743CF7">
        <w:rPr>
          <w:rFonts w:ascii="Abadi" w:hAnsi="Abadi" w:cs="*Microsoft Sans Serif-11450-Ide"/>
          <w:color w:val="2A2A2A"/>
          <w:sz w:val="21"/>
          <w:szCs w:val="21"/>
        </w:rPr>
        <w:t xml:space="preserve">En lo que respecta a la alineación de la presente iniciativa con lo agenda 2030 de las Naciones Unidas para el desarrollo sostenible, consideramos que la presente propuesta coadyuva con el objetivo número 4 Educación de Calidad, particularmente en la meto 4.3, que corresponde a asegurar el acceso en </w:t>
      </w:r>
      <w:r w:rsidRPr="00743CF7">
        <w:rPr>
          <w:rFonts w:ascii="Abadi" w:hAnsi="Abadi" w:cs="*Calibri-10248-Identity-H"/>
          <w:color w:val="282828"/>
          <w:sz w:val="21"/>
          <w:szCs w:val="21"/>
        </w:rPr>
        <w:t>condiciones de igualdad para todos los hombres y las mujeres a formación técnica, profesional y superior de calidad, incluida la enseñanza universitaria.</w:t>
      </w:r>
    </w:p>
    <w:p w14:paraId="6F5799D8" w14:textId="77777777" w:rsidR="00366FFB" w:rsidRPr="00743CF7" w:rsidRDefault="00366FFB" w:rsidP="00366FFB">
      <w:pPr>
        <w:autoSpaceDE w:val="0"/>
        <w:autoSpaceDN w:val="0"/>
        <w:adjustRightInd w:val="0"/>
        <w:jc w:val="both"/>
        <w:rPr>
          <w:rFonts w:ascii="Abadi" w:hAnsi="Abadi" w:cs="*Calibri-10248-Identity-H"/>
          <w:color w:val="282828"/>
          <w:sz w:val="21"/>
          <w:szCs w:val="21"/>
        </w:rPr>
      </w:pPr>
    </w:p>
    <w:p w14:paraId="0EB5D5B4" w14:textId="77777777" w:rsidR="00366FFB" w:rsidRPr="00743CF7" w:rsidRDefault="00366FFB" w:rsidP="00366FFB">
      <w:pPr>
        <w:autoSpaceDE w:val="0"/>
        <w:autoSpaceDN w:val="0"/>
        <w:adjustRightInd w:val="0"/>
        <w:jc w:val="both"/>
        <w:rPr>
          <w:rFonts w:ascii="Abadi" w:hAnsi="Abadi" w:cs="*Calibri-10248-Identity-H"/>
          <w:color w:val="292929"/>
          <w:sz w:val="21"/>
          <w:szCs w:val="21"/>
        </w:rPr>
      </w:pPr>
      <w:r w:rsidRPr="00743CF7">
        <w:rPr>
          <w:rFonts w:ascii="Abadi" w:hAnsi="Abadi" w:cs="*Calibri-10248-Identity-H"/>
          <w:color w:val="292929"/>
          <w:sz w:val="21"/>
          <w:szCs w:val="21"/>
        </w:rPr>
        <w:t>Por lo anteriormente expuesto nos permitimos someter a la consideración de esta</w:t>
      </w:r>
    </w:p>
    <w:p w14:paraId="70D412F5" w14:textId="77777777" w:rsidR="00366FFB" w:rsidRPr="00743CF7" w:rsidRDefault="00366FFB" w:rsidP="00366FFB">
      <w:pPr>
        <w:autoSpaceDE w:val="0"/>
        <w:autoSpaceDN w:val="0"/>
        <w:adjustRightInd w:val="0"/>
        <w:jc w:val="both"/>
        <w:rPr>
          <w:rFonts w:ascii="Abadi" w:hAnsi="Abadi" w:cs="*Calibri-10248-Identity-H"/>
          <w:color w:val="292929"/>
          <w:sz w:val="21"/>
          <w:szCs w:val="21"/>
        </w:rPr>
      </w:pPr>
      <w:r w:rsidRPr="00743CF7">
        <w:rPr>
          <w:rFonts w:ascii="Abadi" w:hAnsi="Abadi" w:cs="*Calibri-10248-Identity-H"/>
          <w:color w:val="292929"/>
          <w:sz w:val="21"/>
          <w:szCs w:val="21"/>
        </w:rPr>
        <w:t>Asamblea Legislativa, el siguiente proyecto de:</w:t>
      </w:r>
    </w:p>
    <w:p w14:paraId="12E84687" w14:textId="77777777" w:rsidR="00366FFB" w:rsidRPr="00743CF7" w:rsidRDefault="00366FFB" w:rsidP="00366FFB">
      <w:pPr>
        <w:autoSpaceDE w:val="0"/>
        <w:autoSpaceDN w:val="0"/>
        <w:adjustRightInd w:val="0"/>
        <w:jc w:val="both"/>
        <w:rPr>
          <w:rFonts w:ascii="Abadi" w:hAnsi="Abadi" w:cs="*Calibri-Bold-10250-Identity-H"/>
          <w:b/>
          <w:bCs/>
          <w:color w:val="0E0E0E"/>
          <w:sz w:val="21"/>
          <w:szCs w:val="21"/>
        </w:rPr>
      </w:pPr>
    </w:p>
    <w:p w14:paraId="73E676E4" w14:textId="77777777" w:rsidR="00366FFB" w:rsidRPr="00743CF7" w:rsidRDefault="00366FFB" w:rsidP="00366FFB">
      <w:pPr>
        <w:autoSpaceDE w:val="0"/>
        <w:autoSpaceDN w:val="0"/>
        <w:adjustRightInd w:val="0"/>
        <w:jc w:val="center"/>
        <w:rPr>
          <w:rFonts w:ascii="Abadi" w:hAnsi="Abadi" w:cs="*Calibri-Bold-10250-Identity-H"/>
          <w:b/>
          <w:bCs/>
          <w:color w:val="0E0E0E"/>
          <w:sz w:val="21"/>
          <w:szCs w:val="21"/>
        </w:rPr>
      </w:pPr>
      <w:r w:rsidRPr="00743CF7">
        <w:rPr>
          <w:rFonts w:ascii="Abadi" w:hAnsi="Abadi" w:cs="*Calibri-Bold-10250-Identity-H"/>
          <w:b/>
          <w:bCs/>
          <w:color w:val="0E0E0E"/>
          <w:sz w:val="21"/>
          <w:szCs w:val="21"/>
        </w:rPr>
        <w:t>DECRETO:</w:t>
      </w:r>
    </w:p>
    <w:p w14:paraId="6B6BFE77" w14:textId="77777777" w:rsidR="00366FFB" w:rsidRPr="00743CF7" w:rsidRDefault="00366FFB" w:rsidP="00366FFB">
      <w:pPr>
        <w:autoSpaceDE w:val="0"/>
        <w:autoSpaceDN w:val="0"/>
        <w:adjustRightInd w:val="0"/>
        <w:jc w:val="center"/>
        <w:rPr>
          <w:rFonts w:ascii="Abadi" w:hAnsi="Abadi" w:cs="*Calibri-Bold-10250-Identity-H"/>
          <w:b/>
          <w:bCs/>
          <w:color w:val="0E0E0E"/>
          <w:sz w:val="21"/>
          <w:szCs w:val="21"/>
        </w:rPr>
      </w:pPr>
    </w:p>
    <w:p w14:paraId="290DFBF7" w14:textId="77777777" w:rsidR="00366FFB" w:rsidRPr="00743CF7" w:rsidRDefault="00366FFB" w:rsidP="00366FFB">
      <w:pPr>
        <w:autoSpaceDE w:val="0"/>
        <w:autoSpaceDN w:val="0"/>
        <w:adjustRightInd w:val="0"/>
        <w:jc w:val="center"/>
        <w:rPr>
          <w:rFonts w:ascii="Abadi" w:hAnsi="Abadi" w:cs="*Arial-Bold-10251-Identity-H"/>
          <w:b/>
          <w:bCs/>
          <w:color w:val="101010"/>
          <w:sz w:val="21"/>
          <w:szCs w:val="21"/>
        </w:rPr>
      </w:pPr>
      <w:r w:rsidRPr="00743CF7">
        <w:rPr>
          <w:rFonts w:ascii="Abadi" w:hAnsi="Abadi" w:cs="*Arial-Bold-10251-Identity-H"/>
          <w:b/>
          <w:bCs/>
          <w:color w:val="101010"/>
          <w:sz w:val="21"/>
          <w:szCs w:val="21"/>
        </w:rPr>
        <w:t>ÚNICO. Se expide la Ley de Educación Superior para el Estado de Guanajuato,</w:t>
      </w:r>
    </w:p>
    <w:p w14:paraId="1887F964" w14:textId="77777777" w:rsidR="00366FFB" w:rsidRPr="00743CF7" w:rsidRDefault="00366FFB" w:rsidP="00366FFB">
      <w:pPr>
        <w:autoSpaceDE w:val="0"/>
        <w:autoSpaceDN w:val="0"/>
        <w:adjustRightInd w:val="0"/>
        <w:jc w:val="center"/>
        <w:rPr>
          <w:rFonts w:ascii="Abadi" w:hAnsi="Abadi" w:cs="*Arial-Bold-10251-Identity-H"/>
          <w:b/>
          <w:bCs/>
          <w:color w:val="101010"/>
          <w:sz w:val="21"/>
          <w:szCs w:val="21"/>
        </w:rPr>
      </w:pPr>
      <w:r w:rsidRPr="00743CF7">
        <w:rPr>
          <w:rFonts w:ascii="Abadi" w:hAnsi="Abadi" w:cs="*Arial-Bold-10251-Identity-H"/>
          <w:b/>
          <w:bCs/>
          <w:color w:val="101010"/>
          <w:sz w:val="21"/>
          <w:szCs w:val="21"/>
        </w:rPr>
        <w:t>para quedar en los siguientes términos:</w:t>
      </w:r>
    </w:p>
    <w:p w14:paraId="33772FD2" w14:textId="77777777" w:rsidR="00366FFB" w:rsidRPr="00743CF7" w:rsidRDefault="00366FFB" w:rsidP="00366FFB">
      <w:pPr>
        <w:autoSpaceDE w:val="0"/>
        <w:autoSpaceDN w:val="0"/>
        <w:adjustRightInd w:val="0"/>
        <w:jc w:val="center"/>
        <w:rPr>
          <w:rFonts w:ascii="Abadi" w:hAnsi="Abadi" w:cs="*Calibri-Bold-10250-Identity-H"/>
          <w:b/>
          <w:bCs/>
          <w:color w:val="0C0C0C"/>
          <w:sz w:val="21"/>
          <w:szCs w:val="21"/>
        </w:rPr>
      </w:pPr>
    </w:p>
    <w:p w14:paraId="7E72517E" w14:textId="77777777" w:rsidR="00366FFB" w:rsidRPr="00743CF7" w:rsidRDefault="00366FFB" w:rsidP="00366FFB">
      <w:pPr>
        <w:autoSpaceDE w:val="0"/>
        <w:autoSpaceDN w:val="0"/>
        <w:adjustRightInd w:val="0"/>
        <w:jc w:val="center"/>
        <w:rPr>
          <w:rFonts w:ascii="Abadi" w:hAnsi="Abadi" w:cs="*Calibri-Bold-10250-Identity-H"/>
          <w:b/>
          <w:bCs/>
          <w:color w:val="0C0C0C"/>
          <w:sz w:val="21"/>
          <w:szCs w:val="21"/>
        </w:rPr>
      </w:pPr>
      <w:r w:rsidRPr="00743CF7">
        <w:rPr>
          <w:rFonts w:ascii="Abadi" w:hAnsi="Abadi" w:cs="*Calibri-Bold-10250-Identity-H"/>
          <w:b/>
          <w:bCs/>
          <w:color w:val="0C0C0C"/>
          <w:sz w:val="21"/>
          <w:szCs w:val="21"/>
        </w:rPr>
        <w:t>LEY DE EDUCACIÓN SUPERIOR PARA El ESTADO DE GUANAJUATO</w:t>
      </w:r>
    </w:p>
    <w:p w14:paraId="02AD568C" w14:textId="77777777" w:rsidR="00366FFB" w:rsidRPr="00743CF7" w:rsidRDefault="00366FFB" w:rsidP="00366FFB">
      <w:pPr>
        <w:autoSpaceDE w:val="0"/>
        <w:autoSpaceDN w:val="0"/>
        <w:adjustRightInd w:val="0"/>
        <w:jc w:val="center"/>
        <w:rPr>
          <w:rFonts w:ascii="Abadi" w:hAnsi="Abadi" w:cs="*Calibri-Bold-10250-Identity-H"/>
          <w:b/>
          <w:bCs/>
          <w:color w:val="0C0C0C"/>
          <w:sz w:val="21"/>
          <w:szCs w:val="21"/>
        </w:rPr>
      </w:pPr>
      <w:r w:rsidRPr="00743CF7">
        <w:rPr>
          <w:rFonts w:ascii="Abadi" w:hAnsi="Abadi" w:cs="*Calibri-Bold-10250-Identity-H"/>
          <w:b/>
          <w:bCs/>
          <w:color w:val="0C0C0C"/>
          <w:sz w:val="21"/>
          <w:szCs w:val="21"/>
        </w:rPr>
        <w:t>TÍTULO 1</w:t>
      </w:r>
    </w:p>
    <w:p w14:paraId="4EDDF16E" w14:textId="77777777" w:rsidR="00366FFB" w:rsidRPr="00743CF7" w:rsidRDefault="00366FFB" w:rsidP="00366FFB">
      <w:pPr>
        <w:autoSpaceDE w:val="0"/>
        <w:autoSpaceDN w:val="0"/>
        <w:adjustRightInd w:val="0"/>
        <w:jc w:val="center"/>
        <w:rPr>
          <w:rFonts w:ascii="Abadi" w:hAnsi="Abadi" w:cs="*Calibri-Bold-10250-Identity-H"/>
          <w:b/>
          <w:bCs/>
          <w:color w:val="101010"/>
          <w:sz w:val="21"/>
          <w:szCs w:val="21"/>
        </w:rPr>
      </w:pPr>
    </w:p>
    <w:p w14:paraId="3383E820" w14:textId="77777777" w:rsidR="00366FFB" w:rsidRPr="00743CF7" w:rsidRDefault="00366FFB" w:rsidP="00366FFB">
      <w:pPr>
        <w:autoSpaceDE w:val="0"/>
        <w:autoSpaceDN w:val="0"/>
        <w:adjustRightInd w:val="0"/>
        <w:jc w:val="center"/>
        <w:rPr>
          <w:rFonts w:ascii="Abadi" w:hAnsi="Abadi" w:cs="*Calibri-Bold-10250-Identity-H"/>
          <w:b/>
          <w:bCs/>
          <w:color w:val="101010"/>
          <w:sz w:val="21"/>
          <w:szCs w:val="21"/>
        </w:rPr>
      </w:pPr>
      <w:r w:rsidRPr="00743CF7">
        <w:rPr>
          <w:rFonts w:ascii="Abadi" w:hAnsi="Abadi" w:cs="*Calibri-Bold-10250-Identity-H"/>
          <w:b/>
          <w:bCs/>
          <w:color w:val="101010"/>
          <w:sz w:val="21"/>
          <w:szCs w:val="21"/>
        </w:rPr>
        <w:t>DISPOSICIONES GENERALES</w:t>
      </w:r>
    </w:p>
    <w:p w14:paraId="666CD1F7" w14:textId="77777777" w:rsidR="00366FFB" w:rsidRPr="00743CF7" w:rsidRDefault="00366FFB" w:rsidP="00366FFB">
      <w:pPr>
        <w:autoSpaceDE w:val="0"/>
        <w:autoSpaceDN w:val="0"/>
        <w:adjustRightInd w:val="0"/>
        <w:jc w:val="center"/>
        <w:rPr>
          <w:rFonts w:ascii="Abadi" w:hAnsi="Abadi" w:cs="*Arial-Bold-10251-Identity-H"/>
          <w:b/>
          <w:bCs/>
          <w:color w:val="0E0E0E"/>
          <w:sz w:val="21"/>
          <w:szCs w:val="21"/>
        </w:rPr>
      </w:pPr>
      <w:r w:rsidRPr="00743CF7">
        <w:rPr>
          <w:rFonts w:ascii="Abadi" w:hAnsi="Abadi" w:cs="*Arial-Bold-10251-Identity-H"/>
          <w:b/>
          <w:bCs/>
          <w:color w:val="0E0E0E"/>
          <w:sz w:val="21"/>
          <w:szCs w:val="21"/>
        </w:rPr>
        <w:t xml:space="preserve">Capítulo </w:t>
      </w:r>
      <w:r>
        <w:rPr>
          <w:rFonts w:ascii="Abadi" w:hAnsi="Abadi" w:cs="*Arial-Bold-10251-Identity-H"/>
          <w:b/>
          <w:bCs/>
          <w:color w:val="0E0E0E"/>
          <w:sz w:val="21"/>
          <w:szCs w:val="21"/>
        </w:rPr>
        <w:t>I</w:t>
      </w:r>
    </w:p>
    <w:p w14:paraId="77BFCF5D" w14:textId="77777777" w:rsidR="00366FFB" w:rsidRPr="00743CF7" w:rsidRDefault="00366FFB" w:rsidP="00366FFB">
      <w:pPr>
        <w:autoSpaceDE w:val="0"/>
        <w:autoSpaceDN w:val="0"/>
        <w:adjustRightInd w:val="0"/>
        <w:jc w:val="center"/>
        <w:rPr>
          <w:rFonts w:ascii="Abadi" w:hAnsi="Abadi" w:cs="*Arial-Bold-10251-Identity-H"/>
          <w:b/>
          <w:bCs/>
          <w:color w:val="0E0E0E"/>
          <w:sz w:val="21"/>
          <w:szCs w:val="21"/>
        </w:rPr>
      </w:pPr>
      <w:r w:rsidRPr="00743CF7">
        <w:rPr>
          <w:rFonts w:ascii="Abadi" w:hAnsi="Abadi" w:cs="*Arial-Bold-10251-Identity-H"/>
          <w:b/>
          <w:bCs/>
          <w:color w:val="0E0E0E"/>
          <w:sz w:val="21"/>
          <w:szCs w:val="21"/>
        </w:rPr>
        <w:t>Consideraciones Preliminares</w:t>
      </w:r>
    </w:p>
    <w:p w14:paraId="14830C70" w14:textId="77777777" w:rsidR="00366FFB" w:rsidRPr="00743CF7" w:rsidRDefault="00366FFB" w:rsidP="00366FFB">
      <w:pPr>
        <w:autoSpaceDE w:val="0"/>
        <w:autoSpaceDN w:val="0"/>
        <w:adjustRightInd w:val="0"/>
        <w:jc w:val="center"/>
        <w:rPr>
          <w:rFonts w:ascii="Abadi" w:hAnsi="Abadi" w:cs="*Calibri-BoldItalic-10249-Ident"/>
          <w:b/>
          <w:bCs/>
          <w:i/>
          <w:iCs/>
          <w:color w:val="101010"/>
          <w:sz w:val="21"/>
          <w:szCs w:val="21"/>
        </w:rPr>
      </w:pPr>
    </w:p>
    <w:p w14:paraId="0280DCAA" w14:textId="77777777" w:rsidR="00366FFB" w:rsidRPr="00743CF7" w:rsidRDefault="00366FFB" w:rsidP="00366FFB">
      <w:pPr>
        <w:autoSpaceDE w:val="0"/>
        <w:autoSpaceDN w:val="0"/>
        <w:adjustRightInd w:val="0"/>
        <w:jc w:val="right"/>
        <w:rPr>
          <w:rFonts w:ascii="Abadi" w:hAnsi="Abadi" w:cs="*Calibri-BoldItalic-10249-Ident"/>
          <w:b/>
          <w:bCs/>
          <w:i/>
          <w:iCs/>
          <w:color w:val="101010"/>
          <w:sz w:val="21"/>
          <w:szCs w:val="21"/>
        </w:rPr>
      </w:pPr>
      <w:r w:rsidRPr="00743CF7">
        <w:rPr>
          <w:rFonts w:ascii="Abadi" w:hAnsi="Abadi" w:cs="*Calibri-BoldItalic-10249-Ident"/>
          <w:b/>
          <w:bCs/>
          <w:i/>
          <w:iCs/>
          <w:color w:val="101010"/>
          <w:sz w:val="21"/>
          <w:szCs w:val="21"/>
        </w:rPr>
        <w:t>Objeto de la Ley</w:t>
      </w:r>
    </w:p>
    <w:p w14:paraId="249E0D2C" w14:textId="77777777" w:rsidR="00366FFB" w:rsidRPr="00743CF7" w:rsidRDefault="00366FFB" w:rsidP="00366FFB">
      <w:pPr>
        <w:autoSpaceDE w:val="0"/>
        <w:autoSpaceDN w:val="0"/>
        <w:adjustRightInd w:val="0"/>
        <w:ind w:firstLine="708"/>
        <w:jc w:val="both"/>
        <w:rPr>
          <w:rFonts w:ascii="Abadi" w:hAnsi="Abadi" w:cs="*Calibri-10248-Identity-H"/>
          <w:color w:val="292929"/>
          <w:sz w:val="21"/>
          <w:szCs w:val="21"/>
        </w:rPr>
      </w:pPr>
      <w:r w:rsidRPr="00743CF7">
        <w:rPr>
          <w:rFonts w:ascii="Abadi" w:hAnsi="Abadi" w:cs="*Comic Sans MS-Bold-10252-Ident"/>
          <w:b/>
          <w:bCs/>
          <w:color w:val="292929"/>
          <w:sz w:val="21"/>
          <w:szCs w:val="21"/>
        </w:rPr>
        <w:t xml:space="preserve">Artículo 1. </w:t>
      </w:r>
      <w:r w:rsidRPr="00743CF7">
        <w:rPr>
          <w:rFonts w:ascii="Abadi" w:hAnsi="Abadi" w:cs="*Calibri-10248-Identity-H"/>
          <w:color w:val="292929"/>
          <w:sz w:val="21"/>
          <w:szCs w:val="21"/>
        </w:rPr>
        <w:t>las disposiciones de esta Ley son de orden público, interés social y de observancia general en todo el estado de Guanajuato, tienen por objeto regular la prestación del servicio de educación superior que se imparte a través del Estado, los Ayuntamientos, las Instituciones públicas de educación superior con autonomía. los organismos descentralizados e instituciones públicas y los particulares, de conformidad con lo establecido en el artículo 3o. de la Constitución Político de los Estados Unidos Mexicanos, los Tratados Internacionales en los que el Estado Mexicano sea parte, la Ley General de Educación Superior, la Constitución Política para el Estado de Guanajuato y demás disposiciones normativas aplicables.</w:t>
      </w:r>
    </w:p>
    <w:p w14:paraId="5E6C194A" w14:textId="77777777" w:rsidR="00366FFB" w:rsidRPr="00743CF7" w:rsidRDefault="00366FFB" w:rsidP="00366FFB">
      <w:pPr>
        <w:jc w:val="both"/>
        <w:rPr>
          <w:rFonts w:ascii="Abadi" w:hAnsi="Abadi" w:cs="*Calibri-10248-Identity-H"/>
          <w:color w:val="292929"/>
          <w:sz w:val="21"/>
          <w:szCs w:val="21"/>
        </w:rPr>
      </w:pPr>
    </w:p>
    <w:p w14:paraId="74132796" w14:textId="77777777" w:rsidR="00366FFB" w:rsidRPr="00743CF7" w:rsidRDefault="00366FFB" w:rsidP="00366FFB">
      <w:pPr>
        <w:autoSpaceDE w:val="0"/>
        <w:autoSpaceDN w:val="0"/>
        <w:adjustRightInd w:val="0"/>
        <w:jc w:val="right"/>
        <w:rPr>
          <w:rFonts w:ascii="Abadi" w:hAnsi="Abadi" w:cs="*Arial-BoldItalic-12124-Identit"/>
          <w:b/>
          <w:bCs/>
          <w:i/>
          <w:iCs/>
          <w:color w:val="121212"/>
          <w:sz w:val="21"/>
          <w:szCs w:val="21"/>
        </w:rPr>
      </w:pPr>
      <w:r w:rsidRPr="00743CF7">
        <w:rPr>
          <w:rFonts w:ascii="Abadi" w:hAnsi="Abadi" w:cs="*Verdana-Bold-12126-Identity-H"/>
          <w:b/>
          <w:bCs/>
          <w:color w:val="121212"/>
          <w:sz w:val="21"/>
          <w:szCs w:val="21"/>
        </w:rPr>
        <w:t xml:space="preserve">Educación </w:t>
      </w:r>
      <w:r w:rsidRPr="00743CF7">
        <w:rPr>
          <w:rFonts w:ascii="Abadi" w:hAnsi="Abadi" w:cs="*Arial-BoldItalic-12124-Identit"/>
          <w:b/>
          <w:bCs/>
          <w:i/>
          <w:iCs/>
          <w:color w:val="121212"/>
          <w:sz w:val="21"/>
          <w:szCs w:val="21"/>
        </w:rPr>
        <w:t>Superior</w:t>
      </w:r>
    </w:p>
    <w:p w14:paraId="1DE2A16D" w14:textId="77777777" w:rsidR="00366FFB" w:rsidRPr="00743CF7" w:rsidRDefault="00366FFB" w:rsidP="00366FFB">
      <w:pPr>
        <w:autoSpaceDE w:val="0"/>
        <w:autoSpaceDN w:val="0"/>
        <w:adjustRightInd w:val="0"/>
        <w:ind w:firstLine="708"/>
        <w:jc w:val="both"/>
        <w:rPr>
          <w:rFonts w:ascii="Abadi" w:hAnsi="Abadi" w:cs="*Calibri-12123-Identity-H"/>
          <w:color w:val="292929"/>
          <w:sz w:val="21"/>
          <w:szCs w:val="21"/>
        </w:rPr>
      </w:pPr>
      <w:r w:rsidRPr="00743CF7">
        <w:rPr>
          <w:rFonts w:ascii="Abadi" w:hAnsi="Abadi" w:cs="*Microsoft Sans Serif-Bold-1212"/>
          <w:b/>
          <w:bCs/>
          <w:color w:val="292929"/>
          <w:sz w:val="21"/>
          <w:szCs w:val="21"/>
        </w:rPr>
        <w:t xml:space="preserve">Artículo </w:t>
      </w:r>
      <w:r w:rsidRPr="00743CF7">
        <w:rPr>
          <w:rFonts w:ascii="Abadi" w:hAnsi="Abadi" w:cs="*Arial-BoldItalic-12125-Identit"/>
          <w:b/>
          <w:bCs/>
          <w:i/>
          <w:iCs/>
          <w:color w:val="292929"/>
          <w:sz w:val="21"/>
          <w:szCs w:val="21"/>
        </w:rPr>
        <w:t xml:space="preserve">2. </w:t>
      </w:r>
      <w:r w:rsidRPr="00743CF7">
        <w:rPr>
          <w:rFonts w:ascii="Abadi" w:hAnsi="Abadi" w:cs="*Calibri-12123-Identity-H"/>
          <w:color w:val="292929"/>
          <w:sz w:val="21"/>
          <w:szCs w:val="21"/>
        </w:rPr>
        <w:t xml:space="preserve">La educación superior es un derecho humano que coadyuva al bienestar y desarrollo integral de las personas y de la sociedad. Se imparte después del tipo educativo medio superior y está compuesto por los niveles de técnico superior universitario, profesional asociado u otros equivalentes, licenciatura, especialidad, maestría y doctorado. Incluye la educación universitaria, tecnológica. normal y formadora de docentes. </w:t>
      </w:r>
    </w:p>
    <w:p w14:paraId="1A5796DC" w14:textId="77777777" w:rsidR="00366FFB" w:rsidRPr="00743CF7" w:rsidRDefault="00366FFB" w:rsidP="00366FFB">
      <w:pPr>
        <w:autoSpaceDE w:val="0"/>
        <w:autoSpaceDN w:val="0"/>
        <w:adjustRightInd w:val="0"/>
        <w:jc w:val="both"/>
        <w:rPr>
          <w:rFonts w:ascii="Abadi" w:hAnsi="Abadi" w:cs="*Calibri-12123-Identity-H"/>
          <w:color w:val="292929"/>
          <w:sz w:val="21"/>
          <w:szCs w:val="21"/>
        </w:rPr>
      </w:pPr>
    </w:p>
    <w:p w14:paraId="2D433B9B" w14:textId="77777777" w:rsidR="00366FFB" w:rsidRPr="00743CF7" w:rsidRDefault="00366FFB" w:rsidP="00366FFB">
      <w:pPr>
        <w:autoSpaceDE w:val="0"/>
        <w:autoSpaceDN w:val="0"/>
        <w:adjustRightInd w:val="0"/>
        <w:jc w:val="right"/>
        <w:rPr>
          <w:rFonts w:ascii="Abadi" w:hAnsi="Abadi" w:cs="*Arial-BoldItalic-12124-Identit"/>
          <w:b/>
          <w:bCs/>
          <w:i/>
          <w:iCs/>
          <w:color w:val="111111"/>
          <w:sz w:val="21"/>
          <w:szCs w:val="21"/>
        </w:rPr>
      </w:pPr>
      <w:r w:rsidRPr="00743CF7">
        <w:rPr>
          <w:rFonts w:ascii="Abadi" w:hAnsi="Abadi" w:cs="*Arial-BoldItalic-12124-Identit"/>
          <w:b/>
          <w:bCs/>
          <w:i/>
          <w:iCs/>
          <w:color w:val="111111"/>
          <w:sz w:val="21"/>
          <w:szCs w:val="21"/>
        </w:rPr>
        <w:t xml:space="preserve">Obligatoriedad de </w:t>
      </w:r>
      <w:r w:rsidRPr="00743CF7">
        <w:rPr>
          <w:rFonts w:ascii="Abadi" w:hAnsi="Abadi" w:cs="*Verdana-Bold-12126-Identity-H"/>
          <w:b/>
          <w:bCs/>
          <w:color w:val="111111"/>
          <w:sz w:val="21"/>
          <w:szCs w:val="21"/>
        </w:rPr>
        <w:t xml:space="preserve">la Educación </w:t>
      </w:r>
      <w:r w:rsidRPr="00743CF7">
        <w:rPr>
          <w:rFonts w:ascii="Abadi" w:hAnsi="Abadi" w:cs="*Arial-BoldItalic-12124-Identit"/>
          <w:b/>
          <w:bCs/>
          <w:i/>
          <w:iCs/>
          <w:color w:val="111111"/>
          <w:sz w:val="21"/>
          <w:szCs w:val="21"/>
        </w:rPr>
        <w:t>Superior</w:t>
      </w:r>
    </w:p>
    <w:p w14:paraId="0752804E" w14:textId="77777777" w:rsidR="00366FFB" w:rsidRPr="00743CF7" w:rsidRDefault="00366FFB" w:rsidP="00366FFB">
      <w:pPr>
        <w:tabs>
          <w:tab w:val="left" w:pos="8115"/>
        </w:tabs>
        <w:autoSpaceDE w:val="0"/>
        <w:autoSpaceDN w:val="0"/>
        <w:adjustRightInd w:val="0"/>
        <w:jc w:val="both"/>
        <w:rPr>
          <w:rFonts w:ascii="Abadi" w:hAnsi="Abadi" w:cs="*Calibri-12123-Identity-H"/>
          <w:color w:val="2A2A2A"/>
          <w:sz w:val="21"/>
          <w:szCs w:val="21"/>
        </w:rPr>
      </w:pPr>
      <w:r w:rsidRPr="00743CF7">
        <w:rPr>
          <w:rFonts w:ascii="Abadi" w:hAnsi="Abadi" w:cs="*Microsoft Sans Serif-Bold-1212"/>
          <w:b/>
          <w:bCs/>
          <w:color w:val="2A2A2A"/>
          <w:sz w:val="21"/>
          <w:szCs w:val="21"/>
        </w:rPr>
        <w:t xml:space="preserve">Artículo 3. </w:t>
      </w:r>
      <w:r w:rsidRPr="00743CF7">
        <w:rPr>
          <w:rFonts w:ascii="Abadi" w:hAnsi="Abadi" w:cs="*Calibri-12123-Identity-H"/>
          <w:color w:val="2A2A2A"/>
          <w:sz w:val="21"/>
          <w:szCs w:val="21"/>
        </w:rPr>
        <w:t>La obligatoriedad de la educación superior corresponde al Estado, conforme a lo previsto en el artículo 3o. de la Constitución Política de los Estados Unidos Mexicanos, la Ley General de Educación Superior y en los Tratados Internacionales de los que el Estado Mexicano es parte y en las disposiciones de la presente Ley.</w:t>
      </w:r>
    </w:p>
    <w:p w14:paraId="0310DF65" w14:textId="77777777" w:rsidR="00366FFB" w:rsidRPr="00743CF7" w:rsidRDefault="00366FFB" w:rsidP="00366FFB">
      <w:pPr>
        <w:autoSpaceDE w:val="0"/>
        <w:autoSpaceDN w:val="0"/>
        <w:adjustRightInd w:val="0"/>
        <w:jc w:val="both"/>
        <w:rPr>
          <w:rFonts w:ascii="Abadi" w:hAnsi="Abadi" w:cs="*Arial-BoldItalic-12124-Identit"/>
          <w:b/>
          <w:bCs/>
          <w:i/>
          <w:iCs/>
          <w:color w:val="111111"/>
          <w:sz w:val="21"/>
          <w:szCs w:val="21"/>
        </w:rPr>
      </w:pPr>
    </w:p>
    <w:p w14:paraId="3956DBDE" w14:textId="77777777" w:rsidR="00366FFB" w:rsidRPr="00743CF7" w:rsidRDefault="00366FFB" w:rsidP="00366FFB">
      <w:pPr>
        <w:autoSpaceDE w:val="0"/>
        <w:autoSpaceDN w:val="0"/>
        <w:adjustRightInd w:val="0"/>
        <w:jc w:val="right"/>
        <w:rPr>
          <w:rFonts w:ascii="Abadi" w:hAnsi="Abadi" w:cs="*Arial-BoldItalic-12124-Identit"/>
          <w:b/>
          <w:bCs/>
          <w:i/>
          <w:iCs/>
          <w:color w:val="111111"/>
          <w:sz w:val="21"/>
          <w:szCs w:val="21"/>
        </w:rPr>
      </w:pPr>
      <w:r w:rsidRPr="00743CF7">
        <w:rPr>
          <w:rFonts w:ascii="Abadi" w:hAnsi="Abadi" w:cs="*Arial-BoldItalic-12124-Identit"/>
          <w:b/>
          <w:bCs/>
          <w:i/>
          <w:iCs/>
          <w:color w:val="111111"/>
          <w:sz w:val="21"/>
          <w:szCs w:val="21"/>
        </w:rPr>
        <w:t>Instituciones de evaluación superior con autonomía</w:t>
      </w:r>
    </w:p>
    <w:p w14:paraId="543D93A3" w14:textId="77777777" w:rsidR="00366FFB" w:rsidRPr="00743CF7" w:rsidRDefault="00366FFB" w:rsidP="00366FFB">
      <w:pPr>
        <w:autoSpaceDE w:val="0"/>
        <w:autoSpaceDN w:val="0"/>
        <w:adjustRightInd w:val="0"/>
        <w:jc w:val="both"/>
        <w:rPr>
          <w:rFonts w:ascii="Abadi" w:hAnsi="Abadi" w:cs="*Calibri-12123-Identity-H"/>
          <w:color w:val="2A2A2A"/>
          <w:sz w:val="21"/>
          <w:szCs w:val="21"/>
        </w:rPr>
      </w:pPr>
      <w:r w:rsidRPr="00743CF7">
        <w:rPr>
          <w:rFonts w:ascii="Abadi" w:hAnsi="Abadi" w:cs="*Microsoft Sans Serif-Bold-1212"/>
          <w:b/>
          <w:bCs/>
          <w:color w:val="2A2A2A"/>
          <w:sz w:val="21"/>
          <w:szCs w:val="21"/>
        </w:rPr>
        <w:t xml:space="preserve">Artículo 4. </w:t>
      </w:r>
      <w:r w:rsidRPr="00743CF7">
        <w:rPr>
          <w:rFonts w:ascii="Abadi" w:hAnsi="Abadi" w:cs="*Calibri-12123-Identity-H"/>
          <w:color w:val="2A2A2A"/>
          <w:sz w:val="21"/>
          <w:szCs w:val="21"/>
        </w:rPr>
        <w:t>Las universidades e instituciones públicas de educación superior con autonomía contarán con todas las facultades y garantías institucionales que se establecen en la fracción VII del artículo 3o. de la Constitución Política de los Estados Unidos Mexicanos y se regirán por sus respectivas leyes orgánicas, la normatividad que deriva de éstas y, en lo que resulte compatible, por las disposiciones de la presente Ley.</w:t>
      </w:r>
    </w:p>
    <w:p w14:paraId="5955C9B4" w14:textId="77777777" w:rsidR="00366FFB" w:rsidRPr="00743CF7" w:rsidRDefault="00366FFB" w:rsidP="00366FFB">
      <w:pPr>
        <w:autoSpaceDE w:val="0"/>
        <w:autoSpaceDN w:val="0"/>
        <w:adjustRightInd w:val="0"/>
        <w:jc w:val="both"/>
        <w:rPr>
          <w:rFonts w:ascii="Abadi" w:hAnsi="Abadi" w:cs="*Calibri-12123-Identity-H"/>
          <w:color w:val="2A2A2A"/>
          <w:sz w:val="21"/>
          <w:szCs w:val="21"/>
        </w:rPr>
      </w:pPr>
    </w:p>
    <w:p w14:paraId="4B27D109" w14:textId="77777777" w:rsidR="00366FFB" w:rsidRPr="00743CF7" w:rsidRDefault="00366FFB" w:rsidP="00366FFB">
      <w:pPr>
        <w:autoSpaceDE w:val="0"/>
        <w:autoSpaceDN w:val="0"/>
        <w:adjustRightInd w:val="0"/>
        <w:jc w:val="both"/>
        <w:rPr>
          <w:rFonts w:ascii="Abadi" w:hAnsi="Abadi" w:cs="*Calibri-13160-Identity-H"/>
          <w:color w:val="2B2B2B"/>
          <w:sz w:val="21"/>
          <w:szCs w:val="21"/>
        </w:rPr>
      </w:pPr>
      <w:r w:rsidRPr="00743CF7">
        <w:rPr>
          <w:rFonts w:ascii="Abadi" w:hAnsi="Abadi" w:cs="*Calibri-12123-Identity-H"/>
          <w:color w:val="292929"/>
          <w:sz w:val="21"/>
          <w:szCs w:val="21"/>
        </w:rPr>
        <w:t xml:space="preserve">Los procesos legislativos relacionados con sus leyes orgánicas, en todo momento, respetarán de manera irrestricto las facultades y garantías a las que se refiere el párrafo anterior. por lo que no podrán menoscabar la facultad y responsabilidad de las universidades e instituciones de educación superior autónomas de gobernarse a sí mismas; realizar sus fines de educar, Investigar y difundir la cultura respetando lo libertad de cátedra e investigación y de libre examen y discusión de </w:t>
      </w:r>
      <w:r w:rsidRPr="00743CF7">
        <w:rPr>
          <w:rFonts w:ascii="Abadi" w:hAnsi="Abadi" w:cs="*Calibri-13160-Identity-H"/>
          <w:color w:val="2A2A2A"/>
          <w:sz w:val="21"/>
          <w:szCs w:val="21"/>
        </w:rPr>
        <w:t xml:space="preserve">las ideas; determinar sus planes y programas; fijar los términos de ingreso, promoción y permanencia de su personal académico; así como administrar su patrimonio. </w:t>
      </w:r>
      <w:r w:rsidRPr="00743CF7">
        <w:rPr>
          <w:rFonts w:ascii="Abadi" w:hAnsi="Abadi" w:cs="*Calibri-13160-Identity-H"/>
          <w:color w:val="2B2B2B"/>
          <w:sz w:val="21"/>
          <w:szCs w:val="21"/>
        </w:rPr>
        <w:t xml:space="preserve">Ningún acto legislativo podrá contravenir lo establecido en la fracción VII del artículo 3o. de la Constitución Política de los Estados Unidos Mexicanos. Cualquier iniciativa o reforma a las leyes orgánicas referidas en este artículo deberá contar con el respaldo de los resultados favorables de una consulta previa, libre e informada a su comunidad universitaria, a los órganos de gobierno competentes de la universidad o institución públicas de educación superior con autonomía, </w:t>
      </w:r>
      <w:r w:rsidRPr="00743CF7">
        <w:rPr>
          <w:rFonts w:ascii="Abadi" w:hAnsi="Abadi" w:cs="*Arial-13164-Identity-H"/>
          <w:color w:val="2B2B2B"/>
          <w:sz w:val="21"/>
          <w:szCs w:val="21"/>
        </w:rPr>
        <w:t xml:space="preserve">y </w:t>
      </w:r>
      <w:r w:rsidRPr="00743CF7">
        <w:rPr>
          <w:rFonts w:ascii="Abadi" w:hAnsi="Abadi" w:cs="*Calibri-13160-Identity-H"/>
          <w:color w:val="2B2B2B"/>
          <w:sz w:val="21"/>
          <w:szCs w:val="21"/>
        </w:rPr>
        <w:t>deberá contar con una respuesta explícita de su máximo órgano de gobierno colegiado.</w:t>
      </w:r>
    </w:p>
    <w:p w14:paraId="518B2D85" w14:textId="5A4A5755" w:rsidR="00366FFB" w:rsidRPr="00743CF7" w:rsidRDefault="00366FFB" w:rsidP="00366FFB">
      <w:pPr>
        <w:autoSpaceDE w:val="0"/>
        <w:autoSpaceDN w:val="0"/>
        <w:adjustRightInd w:val="0"/>
        <w:jc w:val="both"/>
        <w:rPr>
          <w:rFonts w:ascii="Abadi" w:hAnsi="Abadi" w:cs="*Calibri-13160-Identity-H"/>
          <w:color w:val="282828"/>
          <w:sz w:val="21"/>
          <w:szCs w:val="21"/>
        </w:rPr>
      </w:pPr>
      <w:r w:rsidRPr="00743CF7">
        <w:rPr>
          <w:rFonts w:ascii="Abadi" w:hAnsi="Abadi" w:cs="*Calibri-13160-Identity-H"/>
          <w:color w:val="282828"/>
          <w:sz w:val="21"/>
          <w:szCs w:val="21"/>
        </w:rPr>
        <w:t xml:space="preserve">Las relaciones laborales de las universidades </w:t>
      </w:r>
      <w:r w:rsidRPr="00743CF7">
        <w:rPr>
          <w:rFonts w:ascii="Abadi" w:hAnsi="Abadi" w:cs="*Times New Roman-Italic-13157-I"/>
          <w:i/>
          <w:iCs/>
          <w:color w:val="282828"/>
          <w:sz w:val="21"/>
          <w:szCs w:val="21"/>
        </w:rPr>
        <w:t xml:space="preserve">e </w:t>
      </w:r>
      <w:r w:rsidRPr="00743CF7">
        <w:rPr>
          <w:rFonts w:ascii="Abadi" w:hAnsi="Abadi" w:cs="*Calibri-13160-Identity-H"/>
          <w:color w:val="282828"/>
          <w:sz w:val="21"/>
          <w:szCs w:val="21"/>
        </w:rPr>
        <w:t>instituciones públicos de educación superior con autonomía, tanto del personal académico como del administrativo</w:t>
      </w:r>
      <w:r>
        <w:rPr>
          <w:rFonts w:ascii="Abadi" w:hAnsi="Abadi" w:cs="*Calibri-13160-Identity-H"/>
          <w:color w:val="282828"/>
          <w:sz w:val="21"/>
          <w:szCs w:val="21"/>
        </w:rPr>
        <w:t xml:space="preserve"> </w:t>
      </w:r>
      <w:r w:rsidRPr="00743CF7">
        <w:rPr>
          <w:rFonts w:ascii="Abadi" w:hAnsi="Abadi" w:cs="*Calibri-13160-Identity-H"/>
          <w:color w:val="282828"/>
          <w:sz w:val="21"/>
          <w:szCs w:val="21"/>
        </w:rPr>
        <w:t xml:space="preserve">se normarán por el apartado A del artículo 123 de la Constitución Política de los Estados Unidos Mexicanos, en los términos y con las modalidades que </w:t>
      </w:r>
      <w:r w:rsidR="00F93AC3" w:rsidRPr="00743CF7">
        <w:rPr>
          <w:rFonts w:ascii="Abadi" w:hAnsi="Abadi" w:cs="*Calibri-13160-Identity-H"/>
          <w:color w:val="282828"/>
          <w:sz w:val="21"/>
          <w:szCs w:val="21"/>
        </w:rPr>
        <w:t>establezca la</w:t>
      </w:r>
      <w:r w:rsidRPr="00743CF7">
        <w:rPr>
          <w:rFonts w:ascii="Abadi" w:hAnsi="Abadi" w:cs="*Calibri-13160-Identity-H"/>
          <w:color w:val="282828"/>
          <w:sz w:val="21"/>
          <w:szCs w:val="21"/>
        </w:rPr>
        <w:t xml:space="preserve"> Ley Federal del Trabajo, conforme a las característicos propias de un trabajo especial. de manera que concuerden con la autonomía, la libertad de cátedra e investigación </w:t>
      </w:r>
      <w:r w:rsidRPr="00743CF7">
        <w:rPr>
          <w:rFonts w:ascii="Abadi" w:hAnsi="Abadi" w:cs="*Arial-13164-Identity-H"/>
          <w:color w:val="282828"/>
          <w:sz w:val="21"/>
          <w:szCs w:val="21"/>
        </w:rPr>
        <w:t xml:space="preserve">y </w:t>
      </w:r>
      <w:r w:rsidRPr="00743CF7">
        <w:rPr>
          <w:rFonts w:ascii="Abadi" w:hAnsi="Abadi" w:cs="*Calibri-13160-Identity-H"/>
          <w:color w:val="282828"/>
          <w:sz w:val="21"/>
          <w:szCs w:val="21"/>
        </w:rPr>
        <w:t>los fines de las instituciones a que este artículo se refiere.</w:t>
      </w:r>
    </w:p>
    <w:p w14:paraId="635E2CB1" w14:textId="77777777" w:rsidR="00366FFB" w:rsidRPr="00743CF7" w:rsidRDefault="00366FFB" w:rsidP="00366FFB">
      <w:pPr>
        <w:autoSpaceDE w:val="0"/>
        <w:autoSpaceDN w:val="0"/>
        <w:adjustRightInd w:val="0"/>
        <w:jc w:val="both"/>
        <w:rPr>
          <w:rFonts w:ascii="Abadi" w:hAnsi="Abadi" w:cs="*Calibri-13160-Identity-H"/>
          <w:color w:val="282828"/>
          <w:sz w:val="21"/>
          <w:szCs w:val="21"/>
        </w:rPr>
      </w:pPr>
    </w:p>
    <w:p w14:paraId="2EE5794A" w14:textId="77777777" w:rsidR="00366FFB" w:rsidRPr="00743CF7" w:rsidRDefault="00366FFB" w:rsidP="00366FFB">
      <w:pPr>
        <w:autoSpaceDE w:val="0"/>
        <w:autoSpaceDN w:val="0"/>
        <w:adjustRightInd w:val="0"/>
        <w:jc w:val="right"/>
        <w:rPr>
          <w:rFonts w:ascii="Abadi" w:hAnsi="Abadi" w:cs="*Arial-BoldItalic-13163-Identit"/>
          <w:b/>
          <w:bCs/>
          <w:i/>
          <w:iCs/>
          <w:color w:val="131313"/>
          <w:sz w:val="21"/>
          <w:szCs w:val="21"/>
        </w:rPr>
      </w:pPr>
      <w:r w:rsidRPr="00743CF7">
        <w:rPr>
          <w:rFonts w:ascii="Abadi" w:hAnsi="Abadi" w:cs="*Arial-BoldItalic-13163-Identit"/>
          <w:b/>
          <w:bCs/>
          <w:i/>
          <w:iCs/>
          <w:color w:val="131313"/>
          <w:sz w:val="21"/>
          <w:szCs w:val="21"/>
        </w:rPr>
        <w:t xml:space="preserve">Garantía de acceso a la </w:t>
      </w:r>
      <w:r w:rsidRPr="00743CF7">
        <w:rPr>
          <w:rFonts w:ascii="Abadi" w:hAnsi="Abadi" w:cs="*Calibri-Bold-13162-Identity-H"/>
          <w:b/>
          <w:bCs/>
          <w:color w:val="131313"/>
          <w:sz w:val="21"/>
          <w:szCs w:val="21"/>
        </w:rPr>
        <w:t xml:space="preserve">Educación </w:t>
      </w:r>
      <w:r w:rsidRPr="00743CF7">
        <w:rPr>
          <w:rFonts w:ascii="Abadi" w:hAnsi="Abadi" w:cs="*Arial-BoldItalic-13163-Identit"/>
          <w:b/>
          <w:bCs/>
          <w:i/>
          <w:iCs/>
          <w:color w:val="131313"/>
          <w:sz w:val="21"/>
          <w:szCs w:val="21"/>
        </w:rPr>
        <w:t>Superior</w:t>
      </w:r>
    </w:p>
    <w:p w14:paraId="346AD071" w14:textId="77777777" w:rsidR="00366FFB" w:rsidRPr="00743CF7" w:rsidRDefault="00366FFB" w:rsidP="00366FFB">
      <w:pPr>
        <w:autoSpaceDE w:val="0"/>
        <w:autoSpaceDN w:val="0"/>
        <w:adjustRightInd w:val="0"/>
        <w:jc w:val="both"/>
        <w:rPr>
          <w:rFonts w:ascii="Abadi" w:hAnsi="Abadi" w:cs="*Calibri-13160-Identity-H"/>
          <w:color w:val="282828"/>
          <w:sz w:val="21"/>
          <w:szCs w:val="21"/>
        </w:rPr>
      </w:pPr>
      <w:r w:rsidRPr="00743CF7">
        <w:rPr>
          <w:rFonts w:ascii="Abadi" w:hAnsi="Abadi" w:cs="*Calibri-Bold-13161-Identity-H"/>
          <w:b/>
          <w:bCs/>
          <w:color w:val="282828"/>
          <w:sz w:val="21"/>
          <w:szCs w:val="21"/>
        </w:rPr>
        <w:t xml:space="preserve">Artículo 5. </w:t>
      </w:r>
      <w:r w:rsidRPr="00743CF7">
        <w:rPr>
          <w:rFonts w:ascii="Abadi" w:hAnsi="Abadi" w:cs="*Calibri-13160-Identity-H"/>
          <w:color w:val="282828"/>
          <w:sz w:val="21"/>
          <w:szCs w:val="21"/>
        </w:rPr>
        <w:t xml:space="preserve">De acuerdo con lo dispuesto en la fracción X del artículo 3o, de la Constitución Política de los Estados Unidos Mexicanos </w:t>
      </w:r>
      <w:r w:rsidRPr="00743CF7">
        <w:rPr>
          <w:rFonts w:ascii="Abadi" w:hAnsi="Abadi" w:cs="*Times New Roman-Italic-13156-I"/>
          <w:i/>
          <w:iCs/>
          <w:color w:val="282828"/>
          <w:sz w:val="21"/>
          <w:szCs w:val="21"/>
        </w:rPr>
        <w:t xml:space="preserve">y </w:t>
      </w:r>
      <w:r w:rsidRPr="00743CF7">
        <w:rPr>
          <w:rFonts w:ascii="Abadi" w:hAnsi="Abadi" w:cs="*Calibri-13160-Identity-H"/>
          <w:color w:val="282828"/>
          <w:sz w:val="21"/>
          <w:szCs w:val="21"/>
        </w:rPr>
        <w:t>al principio constitucional</w:t>
      </w:r>
      <w:r>
        <w:rPr>
          <w:rFonts w:ascii="Abadi" w:hAnsi="Abadi" w:cs="*Calibri-13160-Identity-H"/>
          <w:color w:val="282828"/>
          <w:sz w:val="21"/>
          <w:szCs w:val="21"/>
        </w:rPr>
        <w:t xml:space="preserve"> </w:t>
      </w:r>
      <w:r w:rsidRPr="00743CF7">
        <w:rPr>
          <w:rFonts w:ascii="Abadi" w:hAnsi="Abadi" w:cs="*Calibri-13160-Identity-H"/>
          <w:color w:val="282828"/>
          <w:sz w:val="21"/>
          <w:szCs w:val="21"/>
        </w:rPr>
        <w:t xml:space="preserve">de Igualdad </w:t>
      </w:r>
      <w:r w:rsidRPr="00743CF7">
        <w:rPr>
          <w:rFonts w:ascii="Abadi" w:hAnsi="Abadi" w:cs="*Times New Roman-Italic-13156-I"/>
          <w:i/>
          <w:iCs/>
          <w:color w:val="282828"/>
          <w:sz w:val="21"/>
          <w:szCs w:val="21"/>
        </w:rPr>
        <w:t xml:space="preserve">y </w:t>
      </w:r>
      <w:r w:rsidRPr="00743CF7">
        <w:rPr>
          <w:rFonts w:ascii="Abadi" w:hAnsi="Abadi" w:cs="*Calibri-13160-Identity-H"/>
          <w:color w:val="282828"/>
          <w:sz w:val="21"/>
          <w:szCs w:val="21"/>
        </w:rPr>
        <w:t>no discriminación, el Estado instrumentará políticas para garantizar el acceso a la educación superior a toda persona que acredite, con el certificado de bachillerato o equivalente, la terminación de los estudios correspondientes al tipo medio superior y que cumpla con los requisitos que establezcan las instituciones de educación superior.</w:t>
      </w:r>
    </w:p>
    <w:p w14:paraId="00CB609D" w14:textId="77777777" w:rsidR="00366FFB" w:rsidRPr="00743CF7" w:rsidRDefault="00366FFB" w:rsidP="00366FFB">
      <w:pPr>
        <w:jc w:val="both"/>
        <w:rPr>
          <w:rFonts w:ascii="Abadi" w:hAnsi="Abadi" w:cs="*Calibri-13160-Identity-H"/>
          <w:color w:val="282828"/>
          <w:sz w:val="21"/>
          <w:szCs w:val="21"/>
        </w:rPr>
      </w:pPr>
    </w:p>
    <w:p w14:paraId="1546072F" w14:textId="77777777" w:rsidR="00366FFB" w:rsidRPr="00743CF7" w:rsidRDefault="00366FFB" w:rsidP="00366FFB">
      <w:pPr>
        <w:autoSpaceDE w:val="0"/>
        <w:autoSpaceDN w:val="0"/>
        <w:adjustRightInd w:val="0"/>
        <w:jc w:val="right"/>
        <w:rPr>
          <w:rFonts w:ascii="Abadi" w:hAnsi="Abadi" w:cs="*Calibri-BoldItalic-11634-Ident"/>
          <w:b/>
          <w:bCs/>
          <w:i/>
          <w:iCs/>
          <w:color w:val="111111"/>
          <w:sz w:val="21"/>
          <w:szCs w:val="21"/>
        </w:rPr>
      </w:pPr>
      <w:r w:rsidRPr="00743CF7">
        <w:rPr>
          <w:rFonts w:ascii="Abadi" w:hAnsi="Abadi" w:cs="*Calibri-BoldItalic-11634-Ident"/>
          <w:b/>
          <w:bCs/>
          <w:i/>
          <w:iCs/>
          <w:color w:val="111111"/>
          <w:sz w:val="21"/>
          <w:szCs w:val="21"/>
        </w:rPr>
        <w:t>Apoyos académicos</w:t>
      </w:r>
    </w:p>
    <w:p w14:paraId="3A8E46A1" w14:textId="7053E5E0" w:rsidR="00366FFB" w:rsidRPr="00743CF7" w:rsidRDefault="00366FFB" w:rsidP="00366FFB">
      <w:pPr>
        <w:autoSpaceDE w:val="0"/>
        <w:autoSpaceDN w:val="0"/>
        <w:adjustRightInd w:val="0"/>
        <w:jc w:val="both"/>
        <w:rPr>
          <w:rFonts w:ascii="Abadi" w:hAnsi="Abadi" w:cs="*Calibri-11632-Identity-H"/>
          <w:color w:val="2A2A2A"/>
          <w:sz w:val="21"/>
          <w:szCs w:val="21"/>
        </w:rPr>
      </w:pPr>
      <w:r w:rsidRPr="00743CF7">
        <w:rPr>
          <w:rFonts w:ascii="Abadi" w:hAnsi="Abadi" w:cs="*Calibri-Bold-11633-Identity-H"/>
          <w:b/>
          <w:bCs/>
          <w:color w:val="2A2A2A"/>
          <w:sz w:val="21"/>
          <w:szCs w:val="21"/>
        </w:rPr>
        <w:t xml:space="preserve">Artículo 6. </w:t>
      </w:r>
      <w:r w:rsidRPr="00743CF7">
        <w:rPr>
          <w:rFonts w:ascii="Abadi" w:hAnsi="Abadi" w:cs="*Calibri-11632-Identity-H"/>
          <w:color w:val="2A2A2A"/>
          <w:sz w:val="21"/>
          <w:szCs w:val="21"/>
        </w:rPr>
        <w:t xml:space="preserve">El Estado, </w:t>
      </w:r>
      <w:r w:rsidRPr="00743CF7">
        <w:rPr>
          <w:rFonts w:ascii="Abadi" w:hAnsi="Abadi" w:cs="*Times New Roman-11629-Identity"/>
          <w:color w:val="2A2A2A"/>
          <w:sz w:val="21"/>
          <w:szCs w:val="21"/>
        </w:rPr>
        <w:t xml:space="preserve">d </w:t>
      </w:r>
      <w:r w:rsidRPr="00743CF7">
        <w:rPr>
          <w:rFonts w:ascii="Abadi" w:hAnsi="Abadi" w:cs="*Calibri-11632-Identity-H"/>
          <w:color w:val="2A2A2A"/>
          <w:sz w:val="21"/>
          <w:szCs w:val="21"/>
        </w:rPr>
        <w:t xml:space="preserve">través de las instancias competentes, otorgará apoyos académicos a estudiantes, para contribuir a garantizar el acceso y promover la permanencia. lo conclusión de estudios, el intercambio académico local, nacional e internacional, así como la formación </w:t>
      </w:r>
      <w:r w:rsidR="00F93AC3" w:rsidRPr="00743CF7">
        <w:rPr>
          <w:rFonts w:ascii="Abadi" w:hAnsi="Abadi" w:cs="*Calibri-11632-Identity-H"/>
          <w:color w:val="2A2A2A"/>
          <w:sz w:val="21"/>
          <w:szCs w:val="21"/>
        </w:rPr>
        <w:t>teórico-práctica</w:t>
      </w:r>
      <w:r w:rsidRPr="00743CF7">
        <w:rPr>
          <w:rFonts w:ascii="Abadi" w:hAnsi="Abadi" w:cs="*Calibri-11632-Identity-H"/>
          <w:color w:val="2A2A2A"/>
          <w:sz w:val="21"/>
          <w:szCs w:val="21"/>
        </w:rPr>
        <w:t xml:space="preserve">, de toda persona que decida cursar educación superior en instituciones de educación superior públicas, en los términos establecidos en esta Ley y bajo criterios de equidad e inclusión </w:t>
      </w:r>
      <w:r w:rsidRPr="00743CF7">
        <w:rPr>
          <w:rFonts w:ascii="Abadi" w:hAnsi="Abadi" w:cs="*Verdana-11635-Identity-H"/>
          <w:color w:val="2A2A2A"/>
          <w:sz w:val="21"/>
          <w:szCs w:val="21"/>
        </w:rPr>
        <w:t xml:space="preserve">y </w:t>
      </w:r>
      <w:r w:rsidRPr="00743CF7">
        <w:rPr>
          <w:rFonts w:ascii="Abadi" w:hAnsi="Abadi" w:cs="*Calibri-11632-Identity-H"/>
          <w:color w:val="2A2A2A"/>
          <w:sz w:val="21"/>
          <w:szCs w:val="21"/>
        </w:rPr>
        <w:t>transparencia.</w:t>
      </w:r>
    </w:p>
    <w:p w14:paraId="7F386870" w14:textId="77777777" w:rsidR="00366FFB" w:rsidRPr="00743CF7" w:rsidRDefault="00366FFB" w:rsidP="00366FFB">
      <w:pPr>
        <w:autoSpaceDE w:val="0"/>
        <w:autoSpaceDN w:val="0"/>
        <w:adjustRightInd w:val="0"/>
        <w:jc w:val="both"/>
        <w:rPr>
          <w:rFonts w:ascii="Abadi" w:hAnsi="Abadi" w:cs="*Calibri-11632-Identity-H"/>
          <w:color w:val="2A2A2A"/>
          <w:sz w:val="21"/>
          <w:szCs w:val="21"/>
        </w:rPr>
      </w:pPr>
    </w:p>
    <w:p w14:paraId="320B8008" w14:textId="77777777" w:rsidR="00366FFB" w:rsidRDefault="00366FFB" w:rsidP="00366FFB">
      <w:pPr>
        <w:autoSpaceDE w:val="0"/>
        <w:autoSpaceDN w:val="0"/>
        <w:adjustRightInd w:val="0"/>
        <w:jc w:val="both"/>
        <w:rPr>
          <w:rFonts w:ascii="Abadi" w:hAnsi="Abadi" w:cs="*Calibri-BoldItalic-11634-Ident"/>
          <w:b/>
          <w:bCs/>
          <w:i/>
          <w:iCs/>
          <w:color w:val="0F0F0F"/>
          <w:sz w:val="21"/>
          <w:szCs w:val="21"/>
        </w:rPr>
      </w:pPr>
    </w:p>
    <w:p w14:paraId="7E3B89BF" w14:textId="77777777" w:rsidR="00366FFB" w:rsidRDefault="00366FFB" w:rsidP="00366FFB">
      <w:pPr>
        <w:autoSpaceDE w:val="0"/>
        <w:autoSpaceDN w:val="0"/>
        <w:adjustRightInd w:val="0"/>
        <w:jc w:val="both"/>
        <w:rPr>
          <w:rFonts w:ascii="Abadi" w:hAnsi="Abadi" w:cs="*Calibri-BoldItalic-11634-Ident"/>
          <w:b/>
          <w:bCs/>
          <w:i/>
          <w:iCs/>
          <w:color w:val="0F0F0F"/>
          <w:sz w:val="21"/>
          <w:szCs w:val="21"/>
        </w:rPr>
      </w:pPr>
    </w:p>
    <w:p w14:paraId="4D20523B" w14:textId="77777777" w:rsidR="00366FFB" w:rsidRPr="00743CF7" w:rsidRDefault="00366FFB" w:rsidP="00366FFB">
      <w:pPr>
        <w:autoSpaceDE w:val="0"/>
        <w:autoSpaceDN w:val="0"/>
        <w:adjustRightInd w:val="0"/>
        <w:jc w:val="right"/>
        <w:rPr>
          <w:rFonts w:ascii="Abadi" w:hAnsi="Abadi" w:cs="*Calibri-BoldItalic-11634-Ident"/>
          <w:b/>
          <w:bCs/>
          <w:i/>
          <w:iCs/>
          <w:color w:val="0F0F0F"/>
          <w:sz w:val="21"/>
          <w:szCs w:val="21"/>
        </w:rPr>
      </w:pPr>
      <w:r w:rsidRPr="00743CF7">
        <w:rPr>
          <w:rFonts w:ascii="Abadi" w:hAnsi="Abadi" w:cs="*Calibri-BoldItalic-11634-Ident"/>
          <w:b/>
          <w:bCs/>
          <w:i/>
          <w:iCs/>
          <w:color w:val="0F0F0F"/>
          <w:sz w:val="21"/>
          <w:szCs w:val="21"/>
        </w:rPr>
        <w:t>Aprobación de planes y programas de estudio</w:t>
      </w:r>
    </w:p>
    <w:p w14:paraId="6BFF865C" w14:textId="5D9B2684" w:rsidR="00366FFB" w:rsidRPr="00743CF7" w:rsidRDefault="00366FFB" w:rsidP="00366FFB">
      <w:pPr>
        <w:autoSpaceDE w:val="0"/>
        <w:autoSpaceDN w:val="0"/>
        <w:adjustRightInd w:val="0"/>
        <w:jc w:val="both"/>
        <w:rPr>
          <w:rFonts w:ascii="Abadi" w:hAnsi="Abadi" w:cs="*Calibri-11632-Identity-H"/>
          <w:color w:val="292929"/>
          <w:sz w:val="21"/>
          <w:szCs w:val="21"/>
        </w:rPr>
      </w:pPr>
      <w:r w:rsidRPr="00743CF7">
        <w:rPr>
          <w:rFonts w:ascii="Abadi" w:hAnsi="Abadi" w:cs="*Calibri-Bold-11633-Identity-H"/>
          <w:b/>
          <w:bCs/>
          <w:color w:val="292929"/>
          <w:sz w:val="21"/>
          <w:szCs w:val="21"/>
        </w:rPr>
        <w:t xml:space="preserve">Artículo 7. </w:t>
      </w:r>
      <w:r w:rsidRPr="00743CF7">
        <w:rPr>
          <w:rFonts w:ascii="Abadi" w:hAnsi="Abadi" w:cs="*Calibri-11632-Identity-H"/>
          <w:color w:val="292929"/>
          <w:sz w:val="21"/>
          <w:szCs w:val="21"/>
        </w:rPr>
        <w:t xml:space="preserve">Para el funcionamiento de instituciones públicas de educación superior, diversas a las coordinados o sec1orizodas a la Secretaría, que pretendan establecer los Poderes del Estado, ayuntamientos y Organismos Autónomos que no sean instituciones educativas, se deberá solicitar a aquella la aprobación de sus planes </w:t>
      </w:r>
      <w:r w:rsidRPr="00743CF7">
        <w:rPr>
          <w:rFonts w:ascii="Abadi" w:hAnsi="Abadi" w:cs="*Verdana-11635-Identity-H"/>
          <w:color w:val="292929"/>
          <w:sz w:val="21"/>
          <w:szCs w:val="21"/>
        </w:rPr>
        <w:t xml:space="preserve">y </w:t>
      </w:r>
      <w:r w:rsidRPr="00743CF7">
        <w:rPr>
          <w:rFonts w:ascii="Abadi" w:hAnsi="Abadi" w:cs="*Calibri-11632-Identity-H"/>
          <w:color w:val="292929"/>
          <w:sz w:val="21"/>
          <w:szCs w:val="21"/>
        </w:rPr>
        <w:t xml:space="preserve">programas de estudio. </w:t>
      </w:r>
      <w:r w:rsidR="00F93AC3" w:rsidRPr="00743CF7">
        <w:rPr>
          <w:rFonts w:ascii="Abadi" w:hAnsi="Abadi" w:cs="*Calibri-11632-Identity-H"/>
          <w:color w:val="292929"/>
          <w:sz w:val="21"/>
          <w:szCs w:val="21"/>
        </w:rPr>
        <w:t>Dichas instituciones</w:t>
      </w:r>
      <w:r w:rsidRPr="00743CF7">
        <w:rPr>
          <w:rFonts w:ascii="Abadi" w:hAnsi="Abadi" w:cs="*Calibri-11632-Identity-H"/>
          <w:color w:val="292929"/>
          <w:sz w:val="21"/>
          <w:szCs w:val="21"/>
        </w:rPr>
        <w:t xml:space="preserve"> ·expedirán constancias. </w:t>
      </w:r>
    </w:p>
    <w:p w14:paraId="44D26AF6" w14:textId="77777777" w:rsidR="00366FFB" w:rsidRPr="00743CF7" w:rsidRDefault="00366FFB" w:rsidP="00366FFB">
      <w:pPr>
        <w:autoSpaceDE w:val="0"/>
        <w:autoSpaceDN w:val="0"/>
        <w:adjustRightInd w:val="0"/>
        <w:jc w:val="both"/>
        <w:rPr>
          <w:rFonts w:ascii="Abadi" w:hAnsi="Abadi" w:cs="*Calibri-11632-Identity-H"/>
          <w:color w:val="292929"/>
          <w:sz w:val="21"/>
          <w:szCs w:val="21"/>
        </w:rPr>
      </w:pPr>
    </w:p>
    <w:p w14:paraId="575E3CCD" w14:textId="77777777" w:rsidR="00366FFB" w:rsidRPr="00743CF7" w:rsidRDefault="00366FFB" w:rsidP="00366FFB">
      <w:pPr>
        <w:autoSpaceDE w:val="0"/>
        <w:autoSpaceDN w:val="0"/>
        <w:adjustRightInd w:val="0"/>
        <w:jc w:val="both"/>
        <w:rPr>
          <w:rFonts w:ascii="Abadi" w:hAnsi="Abadi" w:cs="*Calibri-11632-Identity-H"/>
          <w:color w:val="292929"/>
          <w:sz w:val="21"/>
          <w:szCs w:val="21"/>
        </w:rPr>
      </w:pPr>
      <w:r w:rsidRPr="00743CF7">
        <w:rPr>
          <w:rFonts w:ascii="Abadi" w:hAnsi="Abadi" w:cs="*Calibri-11632-Identity-H"/>
          <w:color w:val="292929"/>
          <w:sz w:val="21"/>
          <w:szCs w:val="21"/>
        </w:rPr>
        <w:t xml:space="preserve">certificados, diplomas </w:t>
      </w:r>
      <w:r w:rsidRPr="00743CF7">
        <w:rPr>
          <w:rFonts w:ascii="Abadi" w:hAnsi="Abadi" w:cs="*Tahoma-11636-Identity-H"/>
          <w:color w:val="292929"/>
          <w:sz w:val="21"/>
          <w:szCs w:val="21"/>
        </w:rPr>
        <w:t xml:space="preserve">y </w:t>
      </w:r>
      <w:r w:rsidRPr="00743CF7">
        <w:rPr>
          <w:rFonts w:ascii="Abadi" w:hAnsi="Abadi" w:cs="*Calibri-11632-Identity-H"/>
          <w:color w:val="292929"/>
          <w:sz w:val="21"/>
          <w:szCs w:val="21"/>
        </w:rPr>
        <w:t>títulos que tendrán la validez correspondiente a los estudios</w:t>
      </w:r>
      <w:r>
        <w:rPr>
          <w:rFonts w:ascii="Abadi" w:hAnsi="Abadi" w:cs="*Calibri-11632-Identity-H"/>
          <w:color w:val="292929"/>
          <w:sz w:val="21"/>
          <w:szCs w:val="21"/>
        </w:rPr>
        <w:t xml:space="preserve"> </w:t>
      </w:r>
      <w:r w:rsidRPr="00743CF7">
        <w:rPr>
          <w:rFonts w:ascii="Abadi" w:hAnsi="Abadi" w:cs="*Calibri-11632-Identity-H"/>
          <w:color w:val="292929"/>
          <w:sz w:val="21"/>
          <w:szCs w:val="21"/>
        </w:rPr>
        <w:t>realizados.</w:t>
      </w:r>
    </w:p>
    <w:p w14:paraId="554F71B8" w14:textId="77777777" w:rsidR="00366FFB" w:rsidRPr="00743CF7" w:rsidRDefault="00366FFB" w:rsidP="00366FFB">
      <w:pPr>
        <w:autoSpaceDE w:val="0"/>
        <w:autoSpaceDN w:val="0"/>
        <w:adjustRightInd w:val="0"/>
        <w:jc w:val="both"/>
        <w:rPr>
          <w:rFonts w:ascii="Abadi" w:hAnsi="Abadi" w:cs="*Calibri-11632-Identity-H"/>
          <w:color w:val="292929"/>
          <w:sz w:val="21"/>
          <w:szCs w:val="21"/>
        </w:rPr>
      </w:pPr>
    </w:p>
    <w:p w14:paraId="63CA733D" w14:textId="77777777" w:rsidR="00366FFB" w:rsidRPr="00743CF7" w:rsidRDefault="00366FFB" w:rsidP="00366FFB">
      <w:pPr>
        <w:autoSpaceDE w:val="0"/>
        <w:autoSpaceDN w:val="0"/>
        <w:adjustRightInd w:val="0"/>
        <w:jc w:val="both"/>
        <w:rPr>
          <w:rFonts w:ascii="Abadi" w:hAnsi="Abadi" w:cs="*Calibri-11632-Identity-H"/>
          <w:color w:val="2B2B2B"/>
          <w:sz w:val="21"/>
          <w:szCs w:val="21"/>
        </w:rPr>
      </w:pPr>
      <w:r w:rsidRPr="00743CF7">
        <w:rPr>
          <w:rFonts w:ascii="Abadi" w:hAnsi="Abadi" w:cs="*Calibri-11632-Identity-H"/>
          <w:color w:val="2B2B2B"/>
          <w:sz w:val="21"/>
          <w:szCs w:val="21"/>
        </w:rPr>
        <w:t xml:space="preserve">Asimismo, lo Secretaría podrá otorgar la aprobación de piones </w:t>
      </w:r>
      <w:r w:rsidRPr="00743CF7">
        <w:rPr>
          <w:rFonts w:ascii="Abadi" w:hAnsi="Abadi" w:cs="*Tahoma-11636-Identity-H"/>
          <w:color w:val="2B2B2B"/>
          <w:sz w:val="21"/>
          <w:szCs w:val="21"/>
        </w:rPr>
        <w:t xml:space="preserve">y </w:t>
      </w:r>
      <w:r w:rsidRPr="00743CF7">
        <w:rPr>
          <w:rFonts w:ascii="Abadi" w:hAnsi="Abadi" w:cs="*Calibri-11632-Identity-H"/>
          <w:color w:val="2B2B2B"/>
          <w:sz w:val="21"/>
          <w:szCs w:val="21"/>
        </w:rPr>
        <w:t>programas de estudio de educación superior o instituciones educativas adscritas a la dependencia.</w:t>
      </w:r>
    </w:p>
    <w:p w14:paraId="68B3CB5E" w14:textId="77777777" w:rsidR="00366FFB" w:rsidRPr="00743CF7" w:rsidRDefault="00366FFB" w:rsidP="00366FFB">
      <w:pPr>
        <w:autoSpaceDE w:val="0"/>
        <w:autoSpaceDN w:val="0"/>
        <w:adjustRightInd w:val="0"/>
        <w:jc w:val="both"/>
        <w:rPr>
          <w:rFonts w:ascii="Abadi" w:hAnsi="Abadi" w:cs="*Calibri-11632-Identity-H"/>
          <w:color w:val="2B2B2B"/>
          <w:sz w:val="21"/>
          <w:szCs w:val="21"/>
        </w:rPr>
      </w:pPr>
    </w:p>
    <w:p w14:paraId="548DB7AE" w14:textId="77777777" w:rsidR="00366FFB" w:rsidRPr="00743CF7" w:rsidRDefault="00366FFB" w:rsidP="00366FFB">
      <w:pPr>
        <w:autoSpaceDE w:val="0"/>
        <w:autoSpaceDN w:val="0"/>
        <w:adjustRightInd w:val="0"/>
        <w:jc w:val="right"/>
        <w:rPr>
          <w:rFonts w:ascii="Abadi" w:hAnsi="Abadi" w:cs="*Calibri-BoldItalic-11634-Ident"/>
          <w:b/>
          <w:bCs/>
          <w:i/>
          <w:iCs/>
          <w:color w:val="121212"/>
          <w:sz w:val="21"/>
          <w:szCs w:val="21"/>
        </w:rPr>
      </w:pPr>
      <w:r w:rsidRPr="00743CF7">
        <w:rPr>
          <w:rFonts w:ascii="Abadi" w:hAnsi="Abadi" w:cs="*Calibri-BoldItalic-11634-Ident"/>
          <w:b/>
          <w:bCs/>
          <w:i/>
          <w:iCs/>
          <w:color w:val="121212"/>
          <w:sz w:val="21"/>
          <w:szCs w:val="21"/>
        </w:rPr>
        <w:t>Flexibilidad de los estudios</w:t>
      </w:r>
    </w:p>
    <w:p w14:paraId="5BCC6294" w14:textId="77777777" w:rsidR="00366FFB" w:rsidRPr="00743CF7" w:rsidRDefault="00366FFB" w:rsidP="00366FFB">
      <w:pPr>
        <w:autoSpaceDE w:val="0"/>
        <w:autoSpaceDN w:val="0"/>
        <w:adjustRightInd w:val="0"/>
        <w:jc w:val="both"/>
        <w:rPr>
          <w:rFonts w:ascii="Abadi" w:hAnsi="Abadi" w:cs="*Calibri-11632-Identity-H"/>
          <w:color w:val="282828"/>
          <w:sz w:val="21"/>
          <w:szCs w:val="21"/>
        </w:rPr>
      </w:pPr>
      <w:r w:rsidRPr="00743CF7">
        <w:rPr>
          <w:rFonts w:ascii="Abadi" w:hAnsi="Abadi" w:cs="*Calibri-Bold-11633-Identity-H"/>
          <w:b/>
          <w:bCs/>
          <w:color w:val="282828"/>
          <w:sz w:val="21"/>
          <w:szCs w:val="21"/>
        </w:rPr>
        <w:t xml:space="preserve">Artículo 8. </w:t>
      </w:r>
      <w:r w:rsidRPr="00743CF7">
        <w:rPr>
          <w:rFonts w:ascii="Abadi" w:hAnsi="Abadi" w:cs="*Calibri-11632-Identity-H"/>
          <w:color w:val="282828"/>
          <w:sz w:val="21"/>
          <w:szCs w:val="21"/>
        </w:rPr>
        <w:t>Las autoridades educativas, en el ámb</w:t>
      </w:r>
      <w:r w:rsidRPr="00743CF7">
        <w:rPr>
          <w:rFonts w:ascii="Abadi" w:hAnsi="Abadi" w:cs="*Calibri-11632-Identity-H"/>
          <w:color w:val="777777"/>
          <w:sz w:val="21"/>
          <w:szCs w:val="21"/>
        </w:rPr>
        <w:t>i</w:t>
      </w:r>
      <w:r w:rsidRPr="00743CF7">
        <w:rPr>
          <w:rFonts w:ascii="Abadi" w:hAnsi="Abadi" w:cs="*Calibri-11632-Identity-H"/>
          <w:color w:val="282828"/>
          <w:sz w:val="21"/>
          <w:szCs w:val="21"/>
        </w:rPr>
        <w:t xml:space="preserve">to de su competencia, deberán establecer las condiciones necesarios para que la flexibilidad de sus programas educativos sea favorable al desarrollo </w:t>
      </w:r>
      <w:r w:rsidRPr="00743CF7">
        <w:rPr>
          <w:rFonts w:ascii="Abadi" w:hAnsi="Abadi" w:cs="*Tahoma-11636-Identity-H"/>
          <w:color w:val="282828"/>
          <w:sz w:val="21"/>
          <w:szCs w:val="21"/>
        </w:rPr>
        <w:t xml:space="preserve">y </w:t>
      </w:r>
      <w:r w:rsidRPr="00743CF7">
        <w:rPr>
          <w:rFonts w:ascii="Abadi" w:hAnsi="Abadi" w:cs="*Calibri-11632-Identity-H"/>
          <w:color w:val="282828"/>
          <w:sz w:val="21"/>
          <w:szCs w:val="21"/>
        </w:rPr>
        <w:t>culminación de la trayectoria académica del estudiante.</w:t>
      </w:r>
    </w:p>
    <w:p w14:paraId="4AEEB5D6" w14:textId="77777777" w:rsidR="00366FFB" w:rsidRDefault="00366FFB" w:rsidP="00366FFB">
      <w:pPr>
        <w:autoSpaceDE w:val="0"/>
        <w:autoSpaceDN w:val="0"/>
        <w:adjustRightInd w:val="0"/>
        <w:jc w:val="both"/>
        <w:rPr>
          <w:rFonts w:ascii="Abadi" w:hAnsi="Abadi" w:cs="*Calibri-12071-Identity-H"/>
          <w:color w:val="272727"/>
          <w:sz w:val="21"/>
          <w:szCs w:val="21"/>
        </w:rPr>
      </w:pPr>
    </w:p>
    <w:p w14:paraId="42C2A610" w14:textId="77777777" w:rsidR="00366FFB" w:rsidRPr="00743CF7" w:rsidRDefault="00366FFB" w:rsidP="00366FFB">
      <w:pPr>
        <w:autoSpaceDE w:val="0"/>
        <w:autoSpaceDN w:val="0"/>
        <w:adjustRightInd w:val="0"/>
        <w:jc w:val="both"/>
        <w:rPr>
          <w:rFonts w:ascii="Abadi" w:hAnsi="Abadi" w:cs="*Calibri-12071-Identity-H"/>
          <w:color w:val="272727"/>
          <w:sz w:val="21"/>
          <w:szCs w:val="21"/>
        </w:rPr>
      </w:pPr>
      <w:r w:rsidRPr="00743CF7">
        <w:rPr>
          <w:rFonts w:ascii="Abadi" w:hAnsi="Abadi" w:cs="*Calibri-12071-Identity-H"/>
          <w:color w:val="272727"/>
          <w:sz w:val="21"/>
          <w:szCs w:val="21"/>
        </w:rPr>
        <w:t xml:space="preserve">Para contribuir </w:t>
      </w:r>
      <w:r w:rsidRPr="00743CF7">
        <w:rPr>
          <w:rFonts w:ascii="Abadi" w:hAnsi="Abadi" w:cs="*Times New Roman-12068-Identity"/>
          <w:color w:val="272727"/>
          <w:sz w:val="21"/>
          <w:szCs w:val="21"/>
        </w:rPr>
        <w:t xml:space="preserve">q </w:t>
      </w:r>
      <w:r w:rsidRPr="00743CF7">
        <w:rPr>
          <w:rFonts w:ascii="Abadi" w:hAnsi="Abadi" w:cs="*Calibri-12071-Identity-H"/>
          <w:color w:val="272727"/>
          <w:sz w:val="21"/>
          <w:szCs w:val="21"/>
        </w:rPr>
        <w:t>la flexibilidad de estudios, la educación superior debe contar con salidas laterales que validen los aprendizajes obtenidos en su proceso formativo.</w:t>
      </w:r>
    </w:p>
    <w:p w14:paraId="40698D0D" w14:textId="77777777" w:rsidR="00366FFB" w:rsidRDefault="00366FFB" w:rsidP="00366FFB">
      <w:pPr>
        <w:autoSpaceDE w:val="0"/>
        <w:autoSpaceDN w:val="0"/>
        <w:adjustRightInd w:val="0"/>
        <w:jc w:val="both"/>
        <w:rPr>
          <w:rFonts w:ascii="Abadi" w:hAnsi="Abadi" w:cs="*Arial-BoldItalic-12073-Identit"/>
          <w:b/>
          <w:bCs/>
          <w:i/>
          <w:iCs/>
          <w:color w:val="141414"/>
          <w:sz w:val="21"/>
          <w:szCs w:val="21"/>
        </w:rPr>
      </w:pPr>
    </w:p>
    <w:p w14:paraId="2C551260" w14:textId="77777777" w:rsidR="00366FFB" w:rsidRPr="00743CF7" w:rsidRDefault="00366FFB" w:rsidP="00366FFB">
      <w:pPr>
        <w:autoSpaceDE w:val="0"/>
        <w:autoSpaceDN w:val="0"/>
        <w:adjustRightInd w:val="0"/>
        <w:jc w:val="right"/>
        <w:rPr>
          <w:rFonts w:ascii="Abadi" w:hAnsi="Abadi" w:cs="*Arial-BoldItalic-12073-Identit"/>
          <w:b/>
          <w:bCs/>
          <w:i/>
          <w:iCs/>
          <w:color w:val="141414"/>
          <w:sz w:val="21"/>
          <w:szCs w:val="21"/>
        </w:rPr>
      </w:pPr>
      <w:r w:rsidRPr="00743CF7">
        <w:rPr>
          <w:rFonts w:ascii="Abadi" w:hAnsi="Abadi" w:cs="*Arial-BoldItalic-12073-Identit"/>
          <w:b/>
          <w:bCs/>
          <w:i/>
          <w:iCs/>
          <w:color w:val="141414"/>
          <w:sz w:val="21"/>
          <w:szCs w:val="21"/>
        </w:rPr>
        <w:t>Supletoriedad</w:t>
      </w:r>
    </w:p>
    <w:p w14:paraId="56AEC0DE" w14:textId="77777777" w:rsidR="00366FFB" w:rsidRPr="00743CF7" w:rsidRDefault="00366FFB" w:rsidP="00366FFB">
      <w:pPr>
        <w:autoSpaceDE w:val="0"/>
        <w:autoSpaceDN w:val="0"/>
        <w:adjustRightInd w:val="0"/>
        <w:ind w:firstLine="708"/>
        <w:jc w:val="both"/>
        <w:rPr>
          <w:rFonts w:ascii="Abadi" w:hAnsi="Abadi" w:cs="*Calibri-12071-Identity-H"/>
          <w:color w:val="292929"/>
          <w:sz w:val="21"/>
          <w:szCs w:val="21"/>
        </w:rPr>
      </w:pPr>
      <w:r w:rsidRPr="00743CF7">
        <w:rPr>
          <w:rFonts w:ascii="Abadi" w:hAnsi="Abadi" w:cs="*Calibri-Bold-12072-Identity-H"/>
          <w:b/>
          <w:bCs/>
          <w:color w:val="292929"/>
          <w:sz w:val="21"/>
          <w:szCs w:val="21"/>
        </w:rPr>
        <w:t xml:space="preserve">Artículo </w:t>
      </w:r>
      <w:r w:rsidRPr="00743CF7">
        <w:rPr>
          <w:rFonts w:ascii="Abadi" w:hAnsi="Abadi" w:cs="*Calibri-12071-Identity-H"/>
          <w:color w:val="292929"/>
          <w:sz w:val="21"/>
          <w:szCs w:val="21"/>
        </w:rPr>
        <w:t xml:space="preserve">9. En lo no previsto por esta Ley, será aplicable lo establecido en la Constitución Política de los Estados Unidos Mexicanos, Ley General de Educación. Ley General de Educación Superior, Ley de Educación para el Estado de Guanajuato y Ley para una Convivencia Libre de Violencia en el Entorno Escolar para el Estado de Guanajuato y sus Municipios y la Ley para el Desarrollo </w:t>
      </w:r>
      <w:r w:rsidRPr="00743CF7">
        <w:rPr>
          <w:rFonts w:ascii="Abadi" w:hAnsi="Abadi" w:cs="*Times New Roman-Italic-12067-I"/>
          <w:i/>
          <w:iCs/>
          <w:color w:val="292929"/>
          <w:sz w:val="21"/>
          <w:szCs w:val="21"/>
        </w:rPr>
        <w:t xml:space="preserve">y </w:t>
      </w:r>
      <w:r w:rsidRPr="00743CF7">
        <w:rPr>
          <w:rFonts w:ascii="Abadi" w:hAnsi="Abadi" w:cs="*Calibri-12071-Identity-H"/>
          <w:color w:val="292929"/>
          <w:sz w:val="21"/>
          <w:szCs w:val="21"/>
        </w:rPr>
        <w:t>Competitividad Económica del Estado de Guanajuato y sus Municipios.</w:t>
      </w:r>
    </w:p>
    <w:p w14:paraId="0929F63E" w14:textId="77777777" w:rsidR="00366FFB" w:rsidRDefault="00366FFB" w:rsidP="00366FFB">
      <w:pPr>
        <w:autoSpaceDE w:val="0"/>
        <w:autoSpaceDN w:val="0"/>
        <w:adjustRightInd w:val="0"/>
        <w:jc w:val="both"/>
        <w:rPr>
          <w:rFonts w:ascii="Abadi" w:hAnsi="Abadi" w:cs="*Arial-BoldItalic-12073-Identit"/>
          <w:b/>
          <w:bCs/>
          <w:i/>
          <w:iCs/>
          <w:color w:val="151515"/>
          <w:sz w:val="21"/>
          <w:szCs w:val="21"/>
        </w:rPr>
      </w:pPr>
    </w:p>
    <w:p w14:paraId="29D86A16" w14:textId="77777777" w:rsidR="00366FFB" w:rsidRDefault="00366FFB" w:rsidP="00366FFB">
      <w:pPr>
        <w:autoSpaceDE w:val="0"/>
        <w:autoSpaceDN w:val="0"/>
        <w:adjustRightInd w:val="0"/>
        <w:jc w:val="both"/>
        <w:rPr>
          <w:rFonts w:ascii="Abadi" w:hAnsi="Abadi" w:cs="*Arial-BoldItalic-12073-Identit"/>
          <w:b/>
          <w:bCs/>
          <w:i/>
          <w:iCs/>
          <w:color w:val="151515"/>
          <w:sz w:val="21"/>
          <w:szCs w:val="21"/>
        </w:rPr>
      </w:pPr>
    </w:p>
    <w:p w14:paraId="6E6AA55B" w14:textId="77777777" w:rsidR="00366FFB" w:rsidRPr="00743CF7" w:rsidRDefault="00366FFB" w:rsidP="00366FFB">
      <w:pPr>
        <w:autoSpaceDE w:val="0"/>
        <w:autoSpaceDN w:val="0"/>
        <w:adjustRightInd w:val="0"/>
        <w:jc w:val="right"/>
        <w:rPr>
          <w:rFonts w:ascii="Abadi" w:hAnsi="Abadi" w:cs="*Arial-BoldItalic-12073-Identit"/>
          <w:b/>
          <w:bCs/>
          <w:i/>
          <w:iCs/>
          <w:color w:val="151515"/>
          <w:sz w:val="21"/>
          <w:szCs w:val="21"/>
        </w:rPr>
      </w:pPr>
      <w:r w:rsidRPr="00743CF7">
        <w:rPr>
          <w:rFonts w:ascii="Abadi" w:hAnsi="Abadi" w:cs="*Arial-BoldItalic-12073-Identit"/>
          <w:b/>
          <w:bCs/>
          <w:i/>
          <w:iCs/>
          <w:color w:val="151515"/>
          <w:sz w:val="21"/>
          <w:szCs w:val="21"/>
        </w:rPr>
        <w:t>Glosario</w:t>
      </w:r>
    </w:p>
    <w:p w14:paraId="0C568C52" w14:textId="77777777" w:rsidR="00366FFB" w:rsidRPr="00743CF7" w:rsidRDefault="00366FFB" w:rsidP="00366FFB">
      <w:pPr>
        <w:autoSpaceDE w:val="0"/>
        <w:autoSpaceDN w:val="0"/>
        <w:adjustRightInd w:val="0"/>
        <w:ind w:firstLine="708"/>
        <w:jc w:val="both"/>
        <w:rPr>
          <w:rFonts w:ascii="Abadi" w:hAnsi="Abadi" w:cs="*Calibri-12071-Identity-H"/>
          <w:color w:val="242424"/>
          <w:sz w:val="21"/>
          <w:szCs w:val="21"/>
        </w:rPr>
      </w:pPr>
      <w:r w:rsidRPr="00743CF7">
        <w:rPr>
          <w:rFonts w:ascii="Abadi" w:hAnsi="Abadi" w:cs="*Calibri-Bold-12072-Identity-H"/>
          <w:b/>
          <w:bCs/>
          <w:color w:val="242424"/>
          <w:sz w:val="21"/>
          <w:szCs w:val="21"/>
        </w:rPr>
        <w:t xml:space="preserve">Artículo 10. </w:t>
      </w:r>
      <w:r w:rsidRPr="00743CF7">
        <w:rPr>
          <w:rFonts w:ascii="Abadi" w:hAnsi="Abadi" w:cs="*Calibri-12071-Identity-H"/>
          <w:color w:val="242424"/>
          <w:sz w:val="21"/>
          <w:szCs w:val="21"/>
        </w:rPr>
        <w:t>Para efectos de la presente Ley se entiende por:</w:t>
      </w:r>
    </w:p>
    <w:p w14:paraId="6F51EDCB" w14:textId="77777777" w:rsidR="00366FFB" w:rsidRDefault="00366FFB" w:rsidP="00366FFB">
      <w:pPr>
        <w:autoSpaceDE w:val="0"/>
        <w:autoSpaceDN w:val="0"/>
        <w:adjustRightInd w:val="0"/>
        <w:jc w:val="both"/>
        <w:rPr>
          <w:rFonts w:ascii="Abadi" w:hAnsi="Abadi" w:cs="*Calibri-12071-Identity-H"/>
          <w:color w:val="262626"/>
          <w:sz w:val="21"/>
          <w:szCs w:val="21"/>
        </w:rPr>
      </w:pPr>
    </w:p>
    <w:p w14:paraId="351C73F1" w14:textId="77777777" w:rsidR="00366FFB" w:rsidRPr="00F37D2C" w:rsidRDefault="00366FFB" w:rsidP="005C6EBB">
      <w:pPr>
        <w:pStyle w:val="Prrafodelista"/>
        <w:numPr>
          <w:ilvl w:val="0"/>
          <w:numId w:val="11"/>
        </w:numPr>
        <w:autoSpaceDE w:val="0"/>
        <w:autoSpaceDN w:val="0"/>
        <w:adjustRightInd w:val="0"/>
        <w:contextualSpacing/>
        <w:jc w:val="both"/>
        <w:rPr>
          <w:rFonts w:ascii="Abadi" w:hAnsi="Abadi" w:cs="*Calibri-12071-Identity-H"/>
          <w:color w:val="262626"/>
          <w:sz w:val="21"/>
          <w:szCs w:val="21"/>
        </w:rPr>
      </w:pPr>
      <w:r w:rsidRPr="00F37D2C">
        <w:rPr>
          <w:rFonts w:ascii="Abadi" w:hAnsi="Abadi" w:cs="*Calibri-Bold-12072-Identity-H"/>
          <w:b/>
          <w:bCs/>
          <w:color w:val="262626"/>
          <w:sz w:val="21"/>
          <w:szCs w:val="21"/>
        </w:rPr>
        <w:t xml:space="preserve">Ajustes razonables: </w:t>
      </w:r>
      <w:r w:rsidRPr="00F37D2C">
        <w:rPr>
          <w:rFonts w:ascii="Abadi" w:hAnsi="Abadi" w:cs="*Calibri-12071-Identity-H"/>
          <w:color w:val="262626"/>
          <w:sz w:val="21"/>
          <w:szCs w:val="21"/>
        </w:rPr>
        <w:t xml:space="preserve">a las modificaciones </w:t>
      </w:r>
      <w:r w:rsidRPr="00F37D2C">
        <w:rPr>
          <w:rFonts w:ascii="Abadi" w:hAnsi="Abadi" w:cs="*Times New Roman-Italic-12067-I"/>
          <w:i/>
          <w:iCs/>
          <w:color w:val="262626"/>
          <w:sz w:val="21"/>
          <w:szCs w:val="21"/>
        </w:rPr>
        <w:t xml:space="preserve">y </w:t>
      </w:r>
      <w:r w:rsidRPr="00F37D2C">
        <w:rPr>
          <w:rFonts w:ascii="Abadi" w:hAnsi="Abadi" w:cs="*Calibri-12071-Identity-H"/>
          <w:color w:val="262626"/>
          <w:sz w:val="21"/>
          <w:szCs w:val="21"/>
        </w:rPr>
        <w:t xml:space="preserve">adaptaciones necesarias y adecuadas que no impongan una carga desproporcionada o indebida, cuando se requieran en un caso particular, para garantizar a las personas con discapacidad el goce o ejercicio, en igualdad de condiciones con las demás, de todos los derechos humanos </w:t>
      </w:r>
      <w:r w:rsidRPr="00F37D2C">
        <w:rPr>
          <w:rFonts w:ascii="Abadi" w:hAnsi="Abadi" w:cs="*Times New Roman-Italic-12067-I"/>
          <w:i/>
          <w:iCs/>
          <w:color w:val="262626"/>
          <w:sz w:val="21"/>
          <w:szCs w:val="21"/>
        </w:rPr>
        <w:t xml:space="preserve">y </w:t>
      </w:r>
      <w:r w:rsidRPr="00F37D2C">
        <w:rPr>
          <w:rFonts w:ascii="Abadi" w:hAnsi="Abadi" w:cs="*Calibri-12071-Identity-H"/>
          <w:color w:val="262626"/>
          <w:sz w:val="21"/>
          <w:szCs w:val="21"/>
        </w:rPr>
        <w:t xml:space="preserve">libertades fundamentales; </w:t>
      </w:r>
    </w:p>
    <w:p w14:paraId="1F98AD4F" w14:textId="77777777" w:rsidR="00366FFB" w:rsidRPr="00743CF7" w:rsidRDefault="00366FFB" w:rsidP="00366FFB">
      <w:pPr>
        <w:autoSpaceDE w:val="0"/>
        <w:autoSpaceDN w:val="0"/>
        <w:adjustRightInd w:val="0"/>
        <w:jc w:val="both"/>
        <w:rPr>
          <w:rFonts w:ascii="Abadi" w:hAnsi="Abadi" w:cs="*Calibri-12071-Identity-H"/>
          <w:color w:val="262626"/>
          <w:sz w:val="21"/>
          <w:szCs w:val="21"/>
        </w:rPr>
      </w:pPr>
    </w:p>
    <w:p w14:paraId="3F3D717D" w14:textId="77777777" w:rsidR="00366FFB" w:rsidRPr="00F37D2C" w:rsidRDefault="00366FFB" w:rsidP="005C6EBB">
      <w:pPr>
        <w:pStyle w:val="Prrafodelista"/>
        <w:numPr>
          <w:ilvl w:val="0"/>
          <w:numId w:val="11"/>
        </w:numPr>
        <w:autoSpaceDE w:val="0"/>
        <w:autoSpaceDN w:val="0"/>
        <w:adjustRightInd w:val="0"/>
        <w:contextualSpacing/>
        <w:jc w:val="both"/>
        <w:rPr>
          <w:rFonts w:ascii="Abadi" w:hAnsi="Abadi" w:cs="*Calibri-12071-Identity-H"/>
          <w:color w:val="242424"/>
          <w:sz w:val="21"/>
          <w:szCs w:val="21"/>
        </w:rPr>
      </w:pPr>
      <w:r w:rsidRPr="00F37D2C">
        <w:rPr>
          <w:rFonts w:ascii="Abadi" w:hAnsi="Abadi" w:cs="*Calibri-Bold-12072-Identity-H"/>
          <w:b/>
          <w:bCs/>
          <w:color w:val="242424"/>
          <w:sz w:val="21"/>
          <w:szCs w:val="21"/>
        </w:rPr>
        <w:t xml:space="preserve">Autoridad Educativa Federal: </w:t>
      </w:r>
      <w:r w:rsidRPr="00F37D2C">
        <w:rPr>
          <w:rFonts w:ascii="Abadi" w:hAnsi="Abadi" w:cs="*Calibri-12071-Identity-H"/>
          <w:color w:val="242424"/>
          <w:sz w:val="21"/>
          <w:szCs w:val="21"/>
        </w:rPr>
        <w:t>a la Secretaría de Educación Pública de la Administración Pública Federal;</w:t>
      </w:r>
    </w:p>
    <w:p w14:paraId="33378E52" w14:textId="77777777" w:rsidR="00366FFB" w:rsidRPr="00743CF7" w:rsidRDefault="00366FFB" w:rsidP="00366FFB">
      <w:pPr>
        <w:autoSpaceDE w:val="0"/>
        <w:autoSpaceDN w:val="0"/>
        <w:adjustRightInd w:val="0"/>
        <w:jc w:val="both"/>
        <w:rPr>
          <w:rFonts w:ascii="Abadi" w:hAnsi="Abadi" w:cs="*Calibri-12071-Identity-H"/>
          <w:color w:val="242424"/>
          <w:sz w:val="21"/>
          <w:szCs w:val="21"/>
        </w:rPr>
      </w:pPr>
    </w:p>
    <w:p w14:paraId="755BA552" w14:textId="77777777" w:rsidR="00366FFB" w:rsidRPr="00F37D2C" w:rsidRDefault="00366FFB" w:rsidP="005C6EBB">
      <w:pPr>
        <w:pStyle w:val="Prrafodelista"/>
        <w:numPr>
          <w:ilvl w:val="0"/>
          <w:numId w:val="11"/>
        </w:numPr>
        <w:autoSpaceDE w:val="0"/>
        <w:autoSpaceDN w:val="0"/>
        <w:adjustRightInd w:val="0"/>
        <w:contextualSpacing/>
        <w:jc w:val="both"/>
        <w:rPr>
          <w:rFonts w:ascii="Abadi" w:hAnsi="Abadi" w:cs="*Calibri-12071-Identity-H"/>
          <w:color w:val="252525"/>
          <w:sz w:val="21"/>
          <w:szCs w:val="21"/>
        </w:rPr>
      </w:pPr>
      <w:r w:rsidRPr="00F37D2C">
        <w:rPr>
          <w:rFonts w:ascii="Abadi" w:hAnsi="Abadi" w:cs="*Calibri-Bold-12072-Identity-H"/>
          <w:b/>
          <w:bCs/>
          <w:color w:val="252525"/>
          <w:sz w:val="21"/>
          <w:szCs w:val="21"/>
        </w:rPr>
        <w:t xml:space="preserve">Autoridades educativas: </w:t>
      </w:r>
      <w:r w:rsidRPr="00F37D2C">
        <w:rPr>
          <w:rFonts w:ascii="Abadi" w:hAnsi="Abadi" w:cs="*Calibri-12071-Identity-H"/>
          <w:color w:val="252525"/>
          <w:sz w:val="21"/>
          <w:szCs w:val="21"/>
        </w:rPr>
        <w:t>a las instancias referidas en esta Ley, que son las competentes en el ámbito estatal. para el ejercicio de la función social educativa;</w:t>
      </w:r>
    </w:p>
    <w:p w14:paraId="57E22A35" w14:textId="77777777" w:rsidR="00366FFB" w:rsidRPr="00743CF7" w:rsidRDefault="00366FFB" w:rsidP="00366FFB">
      <w:pPr>
        <w:autoSpaceDE w:val="0"/>
        <w:autoSpaceDN w:val="0"/>
        <w:adjustRightInd w:val="0"/>
        <w:jc w:val="both"/>
        <w:rPr>
          <w:rFonts w:ascii="Abadi" w:hAnsi="Abadi" w:cs="*Calibri-12071-Identity-H"/>
          <w:color w:val="252525"/>
          <w:sz w:val="21"/>
          <w:szCs w:val="21"/>
        </w:rPr>
      </w:pPr>
    </w:p>
    <w:p w14:paraId="1A7A10FE" w14:textId="77777777" w:rsidR="00366FFB" w:rsidRPr="00F37D2C" w:rsidRDefault="00366FFB" w:rsidP="005C6EBB">
      <w:pPr>
        <w:pStyle w:val="Prrafodelista"/>
        <w:numPr>
          <w:ilvl w:val="0"/>
          <w:numId w:val="11"/>
        </w:numPr>
        <w:autoSpaceDE w:val="0"/>
        <w:autoSpaceDN w:val="0"/>
        <w:adjustRightInd w:val="0"/>
        <w:contextualSpacing/>
        <w:jc w:val="both"/>
        <w:rPr>
          <w:rFonts w:ascii="Abadi" w:hAnsi="Abadi" w:cs="*Calibri-12071-Identity-H"/>
          <w:color w:val="4C4C4C"/>
          <w:sz w:val="21"/>
          <w:szCs w:val="21"/>
        </w:rPr>
      </w:pPr>
      <w:r w:rsidRPr="00F37D2C">
        <w:rPr>
          <w:rFonts w:ascii="Abadi" w:hAnsi="Abadi" w:cs="*Calibri-Bold-12072-Identity-H"/>
          <w:b/>
          <w:bCs/>
          <w:color w:val="2A2A2A"/>
          <w:sz w:val="21"/>
          <w:szCs w:val="21"/>
        </w:rPr>
        <w:t xml:space="preserve">Autorización: </w:t>
      </w:r>
      <w:r w:rsidRPr="00F37D2C">
        <w:rPr>
          <w:rFonts w:ascii="Abadi" w:hAnsi="Abadi" w:cs="*Calibri-12071-Identity-H"/>
          <w:color w:val="2A2A2A"/>
          <w:sz w:val="21"/>
          <w:szCs w:val="21"/>
        </w:rPr>
        <w:t xml:space="preserve">a) acuerdo previo y expreso de la autoridad educativa competente, que permite a las instituciones particulares impartir estudios de educación normal </w:t>
      </w:r>
      <w:r w:rsidRPr="00F37D2C">
        <w:rPr>
          <w:rFonts w:ascii="Abadi" w:hAnsi="Abadi" w:cs="*Times New Roman-Italic-12067-I"/>
          <w:i/>
          <w:iCs/>
          <w:color w:val="2A2A2A"/>
          <w:sz w:val="21"/>
          <w:szCs w:val="21"/>
        </w:rPr>
        <w:t xml:space="preserve">y </w:t>
      </w:r>
      <w:r w:rsidRPr="00F37D2C">
        <w:rPr>
          <w:rFonts w:ascii="Abadi" w:hAnsi="Abadi" w:cs="*Calibri-12071-Identity-H"/>
          <w:color w:val="2A2A2A"/>
          <w:sz w:val="21"/>
          <w:szCs w:val="21"/>
        </w:rPr>
        <w:t xml:space="preserve">demás para la formación docente de educación básica. </w:t>
      </w:r>
    </w:p>
    <w:p w14:paraId="57EA9CAA" w14:textId="77777777" w:rsidR="00366FFB" w:rsidRPr="00743CF7" w:rsidRDefault="00366FFB" w:rsidP="00366FFB">
      <w:pPr>
        <w:jc w:val="both"/>
        <w:rPr>
          <w:rFonts w:ascii="Abadi" w:hAnsi="Abadi" w:cs="*Calibri-12071-Identity-H"/>
          <w:color w:val="4C4C4C"/>
          <w:sz w:val="21"/>
          <w:szCs w:val="21"/>
        </w:rPr>
      </w:pPr>
    </w:p>
    <w:p w14:paraId="5E890F08"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586-Ide"/>
          <w:color w:val="272727"/>
          <w:sz w:val="21"/>
          <w:szCs w:val="21"/>
        </w:rPr>
      </w:pPr>
      <w:r w:rsidRPr="001B54B9">
        <w:rPr>
          <w:rFonts w:ascii="Abadi" w:hAnsi="Abadi" w:cs="*Comic Sans MS-Bold-11585-Ident"/>
          <w:b/>
          <w:bCs/>
          <w:color w:val="272727"/>
          <w:sz w:val="21"/>
          <w:szCs w:val="21"/>
        </w:rPr>
        <w:t xml:space="preserve">Educación Inclusiva: </w:t>
      </w:r>
      <w:r w:rsidRPr="001B54B9">
        <w:rPr>
          <w:rFonts w:ascii="Abadi" w:hAnsi="Abadi" w:cs="*Microsoft Sans Serif-11586-Ide"/>
          <w:color w:val="272727"/>
          <w:sz w:val="21"/>
          <w:szCs w:val="21"/>
        </w:rPr>
        <w:t>aquella que elimina toda forma de discriminación y exclusión, así como las demás condiciones estructurales que se convierten en barreras al aprendizaje y la participación, atendiendo las capacidades, circunstancias, necesidades, estilos y ritmos de aprendizaje de los educandos;</w:t>
      </w:r>
    </w:p>
    <w:p w14:paraId="4B12879D" w14:textId="77777777" w:rsidR="00366FFB" w:rsidRPr="00743CF7" w:rsidRDefault="00366FFB" w:rsidP="00366FFB">
      <w:pPr>
        <w:autoSpaceDE w:val="0"/>
        <w:autoSpaceDN w:val="0"/>
        <w:adjustRightInd w:val="0"/>
        <w:jc w:val="both"/>
        <w:rPr>
          <w:rFonts w:ascii="Abadi" w:hAnsi="Abadi" w:cs="*Microsoft Sans Serif-11586-Ide"/>
          <w:color w:val="272727"/>
          <w:sz w:val="21"/>
          <w:szCs w:val="21"/>
        </w:rPr>
      </w:pPr>
    </w:p>
    <w:p w14:paraId="20E9667B"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586-Ide"/>
          <w:color w:val="242424"/>
          <w:sz w:val="21"/>
          <w:szCs w:val="21"/>
        </w:rPr>
      </w:pPr>
      <w:r w:rsidRPr="001B54B9">
        <w:rPr>
          <w:rFonts w:ascii="Abadi" w:hAnsi="Abadi" w:cs="*Microsoft Sans Serif-Bold-1158"/>
          <w:b/>
          <w:bCs/>
          <w:color w:val="242424"/>
          <w:sz w:val="21"/>
          <w:szCs w:val="21"/>
        </w:rPr>
        <w:t xml:space="preserve">Equidad de género: </w:t>
      </w:r>
      <w:r w:rsidRPr="001B54B9">
        <w:rPr>
          <w:rFonts w:ascii="Abadi" w:hAnsi="Abadi" w:cs="*Microsoft Sans Serif-11586-Ide"/>
          <w:color w:val="242424"/>
          <w:sz w:val="21"/>
          <w:szCs w:val="21"/>
        </w:rPr>
        <w:t>Principio a través del cual la persona estudiante accede. en igualdad de condiciones, al servicio público de la educación que impa</w:t>
      </w:r>
      <w:r w:rsidRPr="001B54B9">
        <w:rPr>
          <w:rFonts w:ascii="Abadi" w:hAnsi="Abadi" w:cs="*Microsoft Sans Serif-11586-Ide"/>
          <w:color w:val="434343"/>
          <w:sz w:val="21"/>
          <w:szCs w:val="21"/>
        </w:rPr>
        <w:t>rt</w:t>
      </w:r>
      <w:r w:rsidRPr="001B54B9">
        <w:rPr>
          <w:rFonts w:ascii="Abadi" w:hAnsi="Abadi" w:cs="*Microsoft Sans Serif-11586-Ide"/>
          <w:color w:val="242424"/>
          <w:sz w:val="21"/>
          <w:szCs w:val="21"/>
        </w:rPr>
        <w:t>e</w:t>
      </w:r>
      <w:r w:rsidRPr="001B54B9">
        <w:rPr>
          <w:rFonts w:ascii="Abadi" w:hAnsi="Abadi" w:cs="*Microsoft Sans Serif-11586-Ide"/>
          <w:color w:val="949494"/>
          <w:sz w:val="21"/>
          <w:szCs w:val="21"/>
        </w:rPr>
        <w:t xml:space="preserve">. </w:t>
      </w:r>
      <w:r w:rsidRPr="001B54B9">
        <w:rPr>
          <w:rFonts w:ascii="Abadi" w:hAnsi="Abadi" w:cs="*Microsoft Sans Serif-11586-Ide"/>
          <w:color w:val="242424"/>
          <w:sz w:val="21"/>
          <w:szCs w:val="21"/>
        </w:rPr>
        <w:t>el Estado, los Ayuntamientos, los organismos descentralizados del sector educativo y los particulares;</w:t>
      </w:r>
    </w:p>
    <w:p w14:paraId="350D4B5C" w14:textId="77777777" w:rsidR="00366FFB" w:rsidRPr="00743CF7" w:rsidRDefault="00366FFB" w:rsidP="00366FFB">
      <w:pPr>
        <w:autoSpaceDE w:val="0"/>
        <w:autoSpaceDN w:val="0"/>
        <w:adjustRightInd w:val="0"/>
        <w:jc w:val="both"/>
        <w:rPr>
          <w:rFonts w:ascii="Abadi" w:hAnsi="Abadi" w:cs="*Comic Sans MS-Bold-11585-Ident"/>
          <w:b/>
          <w:bCs/>
          <w:color w:val="292929"/>
          <w:sz w:val="21"/>
          <w:szCs w:val="21"/>
        </w:rPr>
      </w:pPr>
    </w:p>
    <w:p w14:paraId="5A10D79F" w14:textId="6E6F7E9C"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586-Ide"/>
          <w:color w:val="292929"/>
          <w:sz w:val="21"/>
          <w:szCs w:val="21"/>
        </w:rPr>
      </w:pPr>
      <w:r w:rsidRPr="001B54B9">
        <w:rPr>
          <w:rFonts w:ascii="Abadi" w:hAnsi="Abadi" w:cs="*Comic Sans MS-Bold-11585-Ident"/>
          <w:b/>
          <w:bCs/>
          <w:color w:val="292929"/>
          <w:sz w:val="21"/>
          <w:szCs w:val="21"/>
        </w:rPr>
        <w:t xml:space="preserve">Estudiante: </w:t>
      </w:r>
      <w:r w:rsidRPr="001B54B9">
        <w:rPr>
          <w:rFonts w:ascii="Abadi" w:hAnsi="Abadi" w:cs="*Microsoft Sans Serif-11586-Ide"/>
          <w:color w:val="292929"/>
          <w:sz w:val="21"/>
          <w:szCs w:val="21"/>
        </w:rPr>
        <w:t xml:space="preserve">a </w:t>
      </w:r>
      <w:r w:rsidR="00F93AC3" w:rsidRPr="001B54B9">
        <w:rPr>
          <w:rFonts w:ascii="Abadi" w:hAnsi="Abadi" w:cs="*Microsoft Sans Serif-11586-Ide"/>
          <w:color w:val="292929"/>
          <w:sz w:val="21"/>
          <w:szCs w:val="21"/>
        </w:rPr>
        <w:t>todas aquellas personas</w:t>
      </w:r>
      <w:r w:rsidRPr="001B54B9">
        <w:rPr>
          <w:rFonts w:ascii="Abadi" w:hAnsi="Abadi" w:cs="*Microsoft Sans Serif-11586-Ide"/>
          <w:color w:val="292929"/>
          <w:sz w:val="21"/>
          <w:szCs w:val="21"/>
        </w:rPr>
        <w:t xml:space="preserve"> que se dedican al aprendizaje y puesta en práctica de conocimientos y que cursan sus estudios en alguna institución de los tipos de educación superior, de carácter público o privado con autorización o reconocimiento de validez oficial de</w:t>
      </w:r>
    </w:p>
    <w:p w14:paraId="532CC860" w14:textId="618EFB3A"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586-Ide"/>
          <w:color w:val="292929"/>
          <w:sz w:val="21"/>
          <w:szCs w:val="21"/>
        </w:rPr>
      </w:pPr>
      <w:r w:rsidRPr="001B54B9">
        <w:rPr>
          <w:rFonts w:ascii="Abadi" w:hAnsi="Abadi" w:cs="*Microsoft Sans Serif-11586-Ide"/>
          <w:color w:val="292929"/>
          <w:sz w:val="21"/>
          <w:szCs w:val="21"/>
        </w:rPr>
        <w:t xml:space="preserve">estudios por parte de </w:t>
      </w:r>
      <w:r w:rsidR="00F93AC3" w:rsidRPr="001B54B9">
        <w:rPr>
          <w:rFonts w:ascii="Abadi" w:hAnsi="Abadi" w:cs="*Microsoft Sans Serif-11586-Ide"/>
          <w:color w:val="292929"/>
          <w:sz w:val="21"/>
          <w:szCs w:val="21"/>
        </w:rPr>
        <w:t>las autoridades correspondientes</w:t>
      </w:r>
      <w:r w:rsidRPr="001B54B9">
        <w:rPr>
          <w:rFonts w:ascii="Abadi" w:hAnsi="Abadi" w:cs="*Microsoft Sans Serif-11586-Ide"/>
          <w:color w:val="292929"/>
          <w:sz w:val="21"/>
          <w:szCs w:val="21"/>
        </w:rPr>
        <w:t xml:space="preserve">. Para los </w:t>
      </w:r>
      <w:r w:rsidRPr="001B54B9">
        <w:rPr>
          <w:rFonts w:ascii="Abadi" w:hAnsi="Abadi" w:cs="*Arial-Italic-11584-Identity-H"/>
          <w:i/>
          <w:iCs/>
          <w:color w:val="292929"/>
          <w:sz w:val="21"/>
          <w:szCs w:val="21"/>
        </w:rPr>
        <w:t xml:space="preserve">efectos </w:t>
      </w:r>
      <w:r w:rsidRPr="001B54B9">
        <w:rPr>
          <w:rFonts w:ascii="Abadi" w:hAnsi="Abadi" w:cs="*Microsoft Sans Serif-11586-Ide"/>
          <w:color w:val="292929"/>
          <w:sz w:val="21"/>
          <w:szCs w:val="21"/>
        </w:rPr>
        <w:t>de esta Ley y las demás disposiciones educativas, se entenderá como sinónimos, estudiante, educando o alumno;</w:t>
      </w:r>
    </w:p>
    <w:p w14:paraId="780FEE01" w14:textId="77777777" w:rsidR="00366FFB" w:rsidRPr="00743CF7" w:rsidRDefault="00366FFB" w:rsidP="00366FFB">
      <w:pPr>
        <w:autoSpaceDE w:val="0"/>
        <w:autoSpaceDN w:val="0"/>
        <w:adjustRightInd w:val="0"/>
        <w:jc w:val="both"/>
        <w:rPr>
          <w:rFonts w:ascii="Abadi" w:hAnsi="Abadi" w:cs="*Comic Sans MS-Bold-11585-Ident"/>
          <w:b/>
          <w:bCs/>
          <w:color w:val="282828"/>
          <w:sz w:val="21"/>
          <w:szCs w:val="21"/>
        </w:rPr>
      </w:pPr>
    </w:p>
    <w:p w14:paraId="162A821E" w14:textId="77777777" w:rsidR="00366FFB" w:rsidRPr="009B18C5" w:rsidRDefault="00366FFB" w:rsidP="005C6EBB">
      <w:pPr>
        <w:pStyle w:val="Prrafodelista"/>
        <w:numPr>
          <w:ilvl w:val="0"/>
          <w:numId w:val="11"/>
        </w:numPr>
        <w:autoSpaceDE w:val="0"/>
        <w:autoSpaceDN w:val="0"/>
        <w:adjustRightInd w:val="0"/>
        <w:contextualSpacing/>
        <w:jc w:val="both"/>
        <w:rPr>
          <w:rFonts w:ascii="Abadi" w:hAnsi="Abadi" w:cs="*Microsoft Sans Serif-11586-Ide"/>
          <w:color w:val="282828"/>
          <w:sz w:val="21"/>
          <w:szCs w:val="21"/>
        </w:rPr>
      </w:pPr>
      <w:r w:rsidRPr="009B18C5">
        <w:rPr>
          <w:rFonts w:ascii="Abadi" w:hAnsi="Abadi" w:cs="*Microsoft Sans Serif-Bold-1158"/>
          <w:b/>
          <w:bCs/>
          <w:color w:val="282828"/>
          <w:sz w:val="21"/>
          <w:szCs w:val="21"/>
        </w:rPr>
        <w:t xml:space="preserve">Gratuidad: </w:t>
      </w:r>
      <w:r w:rsidRPr="009B18C5">
        <w:rPr>
          <w:rFonts w:ascii="Abadi" w:hAnsi="Abadi" w:cs="*Microsoft Sans Serif-11586-Ide"/>
          <w:color w:val="282828"/>
          <w:sz w:val="21"/>
          <w:szCs w:val="21"/>
        </w:rPr>
        <w:t>a las acciones que promuevan las autoridades educativas para eliminar progresivamente los cobros de las Instituciones públicas de educación superior a estudiantes, por conceptos de inscripción</w:t>
      </w:r>
      <w:r>
        <w:rPr>
          <w:rFonts w:ascii="Abadi" w:hAnsi="Abadi" w:cs="*Microsoft Sans Serif-11586-Ide"/>
          <w:color w:val="282828"/>
          <w:sz w:val="21"/>
          <w:szCs w:val="21"/>
        </w:rPr>
        <w:t>,</w:t>
      </w:r>
      <w:r w:rsidRPr="009B18C5">
        <w:rPr>
          <w:rFonts w:ascii="Abadi" w:hAnsi="Abadi" w:cs="*Microsoft Sans Serif-11586-Ide"/>
          <w:color w:val="282828"/>
          <w:sz w:val="21"/>
          <w:szCs w:val="21"/>
        </w:rPr>
        <w:t xml:space="preserve"> reinscripción y cuotas escolares ordinarias, en los programas educativos de los niveles técnico superior universitario, profesional asociado, licenciatura y posgrado. así como para fortalecer la situación financiera de las mismas. ante la disminución de ingresos que se observe derivado de la implementación de la gratuidad:</w:t>
      </w:r>
    </w:p>
    <w:p w14:paraId="77CE8625" w14:textId="77777777" w:rsidR="00366FFB" w:rsidRPr="00743CF7" w:rsidRDefault="00366FFB" w:rsidP="00366FFB">
      <w:pPr>
        <w:autoSpaceDE w:val="0"/>
        <w:autoSpaceDN w:val="0"/>
        <w:adjustRightInd w:val="0"/>
        <w:jc w:val="both"/>
        <w:rPr>
          <w:rFonts w:ascii="Abadi" w:hAnsi="Abadi" w:cs="*Microsoft Sans Serif-11586-Ide"/>
          <w:color w:val="282828"/>
          <w:sz w:val="21"/>
          <w:szCs w:val="21"/>
        </w:rPr>
      </w:pPr>
    </w:p>
    <w:p w14:paraId="48FD440F" w14:textId="77777777" w:rsidR="00366FFB" w:rsidRPr="009B18C5" w:rsidRDefault="00366FFB" w:rsidP="005C6EBB">
      <w:pPr>
        <w:pStyle w:val="Prrafodelista"/>
        <w:numPr>
          <w:ilvl w:val="0"/>
          <w:numId w:val="11"/>
        </w:numPr>
        <w:autoSpaceDE w:val="0"/>
        <w:autoSpaceDN w:val="0"/>
        <w:adjustRightInd w:val="0"/>
        <w:contextualSpacing/>
        <w:jc w:val="both"/>
        <w:rPr>
          <w:rFonts w:ascii="Abadi" w:hAnsi="Abadi" w:cs="*Microsoft Sans Serif-11538-Ide"/>
          <w:color w:val="2A2A2A"/>
          <w:sz w:val="21"/>
          <w:szCs w:val="21"/>
        </w:rPr>
      </w:pPr>
      <w:r w:rsidRPr="009B18C5">
        <w:rPr>
          <w:rFonts w:ascii="Abadi" w:hAnsi="Abadi" w:cs="*Microsoft Sans Serif-Bold-1158"/>
          <w:b/>
          <w:bCs/>
          <w:color w:val="111111"/>
          <w:sz w:val="21"/>
          <w:szCs w:val="21"/>
        </w:rPr>
        <w:t xml:space="preserve">Instituciones públicas de educación superior con autonomía: </w:t>
      </w:r>
      <w:r w:rsidRPr="009B18C5">
        <w:rPr>
          <w:rFonts w:ascii="Abadi" w:hAnsi="Abadi" w:cs="*Microsoft Sans Serif-11586-Ide"/>
          <w:color w:val="111111"/>
          <w:sz w:val="21"/>
          <w:szCs w:val="21"/>
        </w:rPr>
        <w:t xml:space="preserve">a las </w:t>
      </w:r>
      <w:r w:rsidRPr="009B18C5">
        <w:rPr>
          <w:rFonts w:ascii="Abadi" w:hAnsi="Abadi" w:cs="*Microsoft Sans Serif-11586-Ide"/>
          <w:color w:val="282828"/>
          <w:sz w:val="21"/>
          <w:szCs w:val="21"/>
        </w:rPr>
        <w:t xml:space="preserve">universidades y demás instituciones de educación superior a las que lo ley otorgue autonomía y con ella. la facultad y lo responsabilidad de </w:t>
      </w:r>
      <w:r w:rsidRPr="009B18C5">
        <w:rPr>
          <w:rFonts w:ascii="Abadi" w:hAnsi="Abadi" w:cs="*Microsoft Sans Serif-11538-Ide"/>
          <w:color w:val="2A2A2A"/>
          <w:sz w:val="21"/>
          <w:szCs w:val="21"/>
        </w:rPr>
        <w:t xml:space="preserve">gobernarse a sí mismas para realizar sus fines de educar, investigar </w:t>
      </w:r>
      <w:r w:rsidRPr="009B18C5">
        <w:rPr>
          <w:rFonts w:ascii="Abadi" w:hAnsi="Abadi" w:cs="*Times New Roman-Italic-11532-I"/>
          <w:i/>
          <w:iCs/>
          <w:color w:val="2A2A2A"/>
          <w:sz w:val="21"/>
          <w:szCs w:val="21"/>
        </w:rPr>
        <w:t xml:space="preserve">y </w:t>
      </w:r>
      <w:r w:rsidRPr="009B18C5">
        <w:rPr>
          <w:rFonts w:ascii="Abadi" w:hAnsi="Abadi" w:cs="*Microsoft Sans Serif-11538-Ide"/>
          <w:color w:val="2A2A2A"/>
          <w:sz w:val="21"/>
          <w:szCs w:val="21"/>
        </w:rPr>
        <w:t xml:space="preserve">difundir la cultura, de acuerdo con los principios de libertad de cátedra e investigación </w:t>
      </w:r>
      <w:r w:rsidRPr="009B18C5">
        <w:rPr>
          <w:rFonts w:ascii="Abadi" w:hAnsi="Abadi" w:cs="*Calibri-11536-Identity-H"/>
          <w:color w:val="2A2A2A"/>
          <w:sz w:val="21"/>
          <w:szCs w:val="21"/>
        </w:rPr>
        <w:t xml:space="preserve">y </w:t>
      </w:r>
      <w:r w:rsidRPr="009B18C5">
        <w:rPr>
          <w:rFonts w:ascii="Abadi" w:hAnsi="Abadi" w:cs="*Microsoft Sans Serif-11538-Ide"/>
          <w:color w:val="2A2A2A"/>
          <w:sz w:val="21"/>
          <w:szCs w:val="21"/>
        </w:rPr>
        <w:t xml:space="preserve">de libre examen </w:t>
      </w:r>
      <w:r w:rsidRPr="009B18C5">
        <w:rPr>
          <w:rFonts w:ascii="Abadi" w:hAnsi="Abadi" w:cs="*Calibri-11536-Identity-H"/>
          <w:color w:val="2A2A2A"/>
          <w:sz w:val="21"/>
          <w:szCs w:val="21"/>
        </w:rPr>
        <w:t xml:space="preserve">y </w:t>
      </w:r>
      <w:r w:rsidRPr="009B18C5">
        <w:rPr>
          <w:rFonts w:ascii="Abadi" w:hAnsi="Abadi" w:cs="*Microsoft Sans Serif-11538-Ide"/>
          <w:color w:val="2A2A2A"/>
          <w:sz w:val="21"/>
          <w:szCs w:val="21"/>
        </w:rPr>
        <w:t xml:space="preserve">discusión de las ideas; así como determinar sus planes </w:t>
      </w:r>
      <w:r w:rsidRPr="009B18C5">
        <w:rPr>
          <w:rFonts w:ascii="Abadi" w:hAnsi="Abadi" w:cs="*Calibri-11536-Identity-H"/>
          <w:color w:val="2A2A2A"/>
          <w:sz w:val="21"/>
          <w:szCs w:val="21"/>
        </w:rPr>
        <w:t xml:space="preserve">y </w:t>
      </w:r>
      <w:r w:rsidRPr="009B18C5">
        <w:rPr>
          <w:rFonts w:ascii="Abadi" w:hAnsi="Abadi" w:cs="*Microsoft Sans Serif-11538-Ide"/>
          <w:color w:val="2A2A2A"/>
          <w:sz w:val="21"/>
          <w:szCs w:val="21"/>
        </w:rPr>
        <w:t xml:space="preserve">programas: fijar los términos de ingreso </w:t>
      </w:r>
      <w:r w:rsidRPr="009B18C5">
        <w:rPr>
          <w:rFonts w:ascii="Abadi" w:hAnsi="Abadi" w:cs="*Times New Roman-Italic-11532-I"/>
          <w:i/>
          <w:iCs/>
          <w:color w:val="2A2A2A"/>
          <w:sz w:val="21"/>
          <w:szCs w:val="21"/>
        </w:rPr>
        <w:t xml:space="preserve">y </w:t>
      </w:r>
      <w:r w:rsidRPr="009B18C5">
        <w:rPr>
          <w:rFonts w:ascii="Abadi" w:hAnsi="Abadi" w:cs="*Microsoft Sans Serif-11538-Ide"/>
          <w:color w:val="2A2A2A"/>
          <w:sz w:val="21"/>
          <w:szCs w:val="21"/>
        </w:rPr>
        <w:t xml:space="preserve">permanencia de su personal académico </w:t>
      </w:r>
      <w:r w:rsidRPr="009B18C5">
        <w:rPr>
          <w:rFonts w:ascii="Abadi" w:hAnsi="Abadi" w:cs="*Calibri-11536-Identity-H"/>
          <w:color w:val="2A2A2A"/>
          <w:sz w:val="21"/>
          <w:szCs w:val="21"/>
        </w:rPr>
        <w:t xml:space="preserve">y </w:t>
      </w:r>
      <w:r w:rsidRPr="009B18C5">
        <w:rPr>
          <w:rFonts w:ascii="Abadi" w:hAnsi="Abadi" w:cs="*Microsoft Sans Serif-11538-Ide"/>
          <w:color w:val="2A2A2A"/>
          <w:sz w:val="21"/>
          <w:szCs w:val="21"/>
        </w:rPr>
        <w:t>administrar su patrimonio;</w:t>
      </w:r>
    </w:p>
    <w:p w14:paraId="3728CECA" w14:textId="77777777" w:rsidR="00366FFB" w:rsidRPr="00743CF7" w:rsidRDefault="00366FFB" w:rsidP="00366FFB">
      <w:pPr>
        <w:autoSpaceDE w:val="0"/>
        <w:autoSpaceDN w:val="0"/>
        <w:adjustRightInd w:val="0"/>
        <w:jc w:val="both"/>
        <w:rPr>
          <w:rFonts w:ascii="Abadi" w:hAnsi="Abadi" w:cs="*Arial-Bold-11537-Identity-H"/>
          <w:b/>
          <w:bCs/>
          <w:color w:val="171717"/>
          <w:sz w:val="21"/>
          <w:szCs w:val="21"/>
        </w:rPr>
      </w:pPr>
    </w:p>
    <w:p w14:paraId="3391DEF8" w14:textId="77D8ABF2"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538-Ide"/>
          <w:color w:val="292929"/>
          <w:sz w:val="21"/>
          <w:szCs w:val="21"/>
        </w:rPr>
      </w:pPr>
      <w:r w:rsidRPr="001B54B9">
        <w:rPr>
          <w:rFonts w:ascii="Abadi" w:hAnsi="Abadi" w:cs="*Arial-Bold-11537-Identity-H"/>
          <w:b/>
          <w:bCs/>
          <w:color w:val="171717"/>
          <w:sz w:val="21"/>
          <w:szCs w:val="21"/>
        </w:rPr>
        <w:t xml:space="preserve">Instituciones públicas de educación superior: </w:t>
      </w:r>
      <w:r w:rsidRPr="001B54B9">
        <w:rPr>
          <w:rFonts w:ascii="Abadi" w:hAnsi="Abadi" w:cs="*Microsoft Sans Serif-11538-Ide"/>
          <w:color w:val="171717"/>
          <w:sz w:val="21"/>
          <w:szCs w:val="21"/>
        </w:rPr>
        <w:t xml:space="preserve">a las instituciones del </w:t>
      </w:r>
      <w:r w:rsidRPr="001B54B9">
        <w:rPr>
          <w:rFonts w:ascii="Abadi" w:hAnsi="Abadi" w:cs="*Microsoft Sans Serif-11538-Ide"/>
          <w:color w:val="292929"/>
          <w:sz w:val="21"/>
          <w:szCs w:val="21"/>
        </w:rPr>
        <w:t xml:space="preserve">Estado que imparten el servicio de educación superior, los organismos descentralizados no autónomos, las universidades </w:t>
      </w:r>
      <w:r w:rsidRPr="001B54B9">
        <w:rPr>
          <w:rFonts w:ascii="Abadi" w:hAnsi="Abadi" w:cs="*Calibri-11536-Identity-H"/>
          <w:color w:val="292929"/>
          <w:sz w:val="21"/>
          <w:szCs w:val="21"/>
        </w:rPr>
        <w:t xml:space="preserve">y </w:t>
      </w:r>
      <w:r w:rsidRPr="001B54B9">
        <w:rPr>
          <w:rFonts w:ascii="Abadi" w:hAnsi="Abadi" w:cs="*Microsoft Sans Serif-11538-Ide"/>
          <w:color w:val="292929"/>
          <w:sz w:val="21"/>
          <w:szCs w:val="21"/>
        </w:rPr>
        <w:t xml:space="preserve">demás instituciones públicas de educación superior con autonomía, así como </w:t>
      </w:r>
      <w:r w:rsidR="00F93AC3" w:rsidRPr="001B54B9">
        <w:rPr>
          <w:rFonts w:ascii="Abadi" w:hAnsi="Abadi" w:cs="*Microsoft Sans Serif-11538-Ide"/>
          <w:color w:val="292929"/>
          <w:sz w:val="21"/>
          <w:szCs w:val="21"/>
        </w:rPr>
        <w:t>otras instituciones educativas financiadas mayoritariamente</w:t>
      </w:r>
      <w:r w:rsidRPr="001B54B9">
        <w:rPr>
          <w:rFonts w:ascii="Abadi" w:hAnsi="Abadi" w:cs="*Microsoft Sans Serif-11538-Ide"/>
          <w:color w:val="292929"/>
          <w:sz w:val="21"/>
          <w:szCs w:val="21"/>
        </w:rPr>
        <w:t xml:space="preserve"> por recursos</w:t>
      </w:r>
    </w:p>
    <w:p w14:paraId="7E23A3C9" w14:textId="77777777" w:rsidR="00366FFB" w:rsidRPr="001B54B9" w:rsidRDefault="00366FFB" w:rsidP="00366FFB">
      <w:pPr>
        <w:pStyle w:val="Prrafodelista"/>
        <w:autoSpaceDE w:val="0"/>
        <w:autoSpaceDN w:val="0"/>
        <w:adjustRightInd w:val="0"/>
        <w:jc w:val="both"/>
        <w:rPr>
          <w:rFonts w:ascii="Abadi" w:hAnsi="Abadi" w:cs="*Microsoft Sans Serif-11538-Ide"/>
          <w:color w:val="292929"/>
          <w:sz w:val="21"/>
          <w:szCs w:val="21"/>
        </w:rPr>
      </w:pPr>
      <w:r w:rsidRPr="001B54B9">
        <w:rPr>
          <w:rFonts w:ascii="Abadi" w:hAnsi="Abadi" w:cs="*Microsoft Sans Serif-11538-Ide"/>
          <w:color w:val="292929"/>
          <w:sz w:val="21"/>
          <w:szCs w:val="21"/>
        </w:rPr>
        <w:t>públicos;</w:t>
      </w:r>
    </w:p>
    <w:p w14:paraId="384F521A" w14:textId="77777777" w:rsidR="00366FFB" w:rsidRPr="00743CF7" w:rsidRDefault="00366FFB" w:rsidP="00366FFB">
      <w:pPr>
        <w:autoSpaceDE w:val="0"/>
        <w:autoSpaceDN w:val="0"/>
        <w:adjustRightInd w:val="0"/>
        <w:jc w:val="both"/>
        <w:rPr>
          <w:rFonts w:ascii="Abadi" w:hAnsi="Abadi" w:cs="*Microsoft Sans Serif-11538-Ide"/>
          <w:color w:val="292929"/>
          <w:sz w:val="21"/>
          <w:szCs w:val="21"/>
        </w:rPr>
      </w:pPr>
    </w:p>
    <w:p w14:paraId="560D817E"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538-Ide"/>
          <w:color w:val="292929"/>
          <w:sz w:val="21"/>
          <w:szCs w:val="21"/>
        </w:rPr>
      </w:pPr>
      <w:r w:rsidRPr="001B54B9">
        <w:rPr>
          <w:rFonts w:ascii="Abadi" w:hAnsi="Abadi" w:cs="*Arial-Bold-11537-Identity-H"/>
          <w:b/>
          <w:bCs/>
          <w:color w:val="181818"/>
          <w:sz w:val="21"/>
          <w:szCs w:val="21"/>
        </w:rPr>
        <w:t xml:space="preserve">Instituciones particulares de educación superior: </w:t>
      </w:r>
      <w:r w:rsidRPr="001B54B9">
        <w:rPr>
          <w:rFonts w:ascii="Abadi" w:hAnsi="Abadi" w:cs="*Microsoft Sans Serif-11538-Ide"/>
          <w:color w:val="181818"/>
          <w:sz w:val="21"/>
          <w:szCs w:val="21"/>
        </w:rPr>
        <w:t xml:space="preserve">aquellas a cargo de </w:t>
      </w:r>
      <w:r w:rsidRPr="001B54B9">
        <w:rPr>
          <w:rFonts w:ascii="Abadi" w:hAnsi="Abadi" w:cs="*Microsoft Sans Serif-11538-Ide"/>
          <w:color w:val="292929"/>
          <w:sz w:val="21"/>
          <w:szCs w:val="21"/>
        </w:rPr>
        <w:t>personas físicos o morales del sector privado, que imparten el servicio de educación superior con autorización o reconocimiento de validez oficial de estudios otorgado en términos de esta Ley y la Ley de Educación para el Estado de Guanajuato;</w:t>
      </w:r>
    </w:p>
    <w:p w14:paraId="5F2D94A4" w14:textId="77777777" w:rsidR="00366FFB" w:rsidRPr="00743CF7" w:rsidRDefault="00366FFB" w:rsidP="00366FFB">
      <w:pPr>
        <w:autoSpaceDE w:val="0"/>
        <w:autoSpaceDN w:val="0"/>
        <w:adjustRightInd w:val="0"/>
        <w:jc w:val="both"/>
        <w:rPr>
          <w:rFonts w:ascii="Abadi" w:hAnsi="Abadi" w:cs="*Microsoft Sans Serif-11538-Ide"/>
          <w:color w:val="292929"/>
          <w:sz w:val="21"/>
          <w:szCs w:val="21"/>
        </w:rPr>
      </w:pPr>
    </w:p>
    <w:p w14:paraId="72AC378F"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538-Ide"/>
          <w:color w:val="282828"/>
          <w:sz w:val="21"/>
          <w:szCs w:val="21"/>
        </w:rPr>
      </w:pPr>
      <w:r>
        <w:rPr>
          <w:rFonts w:ascii="Abadi" w:hAnsi="Abadi" w:cs="*Arial-Bold-11537-Identity-H"/>
          <w:b/>
          <w:bCs/>
          <w:color w:val="282828"/>
          <w:sz w:val="21"/>
          <w:szCs w:val="21"/>
        </w:rPr>
        <w:t>I</w:t>
      </w:r>
      <w:r w:rsidRPr="001B54B9">
        <w:rPr>
          <w:rFonts w:ascii="Abadi" w:hAnsi="Abadi" w:cs="*Arial-Bold-11537-Identity-H"/>
          <w:b/>
          <w:bCs/>
          <w:color w:val="282828"/>
          <w:sz w:val="21"/>
          <w:szCs w:val="21"/>
        </w:rPr>
        <w:t xml:space="preserve">nterculturalidad: </w:t>
      </w:r>
      <w:r w:rsidRPr="001B54B9">
        <w:rPr>
          <w:rFonts w:ascii="Abadi" w:hAnsi="Abadi" w:cs="*Microsoft Sans Serif-11538-Ide"/>
          <w:color w:val="282828"/>
          <w:sz w:val="21"/>
          <w:szCs w:val="21"/>
        </w:rPr>
        <w:t xml:space="preserve">o la consolidación de la identidad e interacción entre personas </w:t>
      </w:r>
      <w:r w:rsidRPr="001B54B9">
        <w:rPr>
          <w:rFonts w:ascii="Abadi" w:hAnsi="Abadi" w:cs="*Times New Roman-Italic-11532-I"/>
          <w:i/>
          <w:iCs/>
          <w:color w:val="282828"/>
          <w:sz w:val="21"/>
          <w:szCs w:val="21"/>
        </w:rPr>
        <w:t xml:space="preserve">y </w:t>
      </w:r>
      <w:r w:rsidRPr="001B54B9">
        <w:rPr>
          <w:rFonts w:ascii="Abadi" w:hAnsi="Abadi" w:cs="*Microsoft Sans Serif-11538-Ide"/>
          <w:color w:val="282828"/>
          <w:sz w:val="21"/>
          <w:szCs w:val="21"/>
        </w:rPr>
        <w:t xml:space="preserve">comunidades pertenecientes a distintas culturas, sobre la base del respeto </w:t>
      </w:r>
      <w:r w:rsidRPr="001B54B9">
        <w:rPr>
          <w:rFonts w:ascii="Abadi" w:hAnsi="Abadi" w:cs="*Times New Roman-11533-Identity"/>
          <w:color w:val="282828"/>
          <w:sz w:val="21"/>
          <w:szCs w:val="21"/>
        </w:rPr>
        <w:t xml:space="preserve">d </w:t>
      </w:r>
      <w:r w:rsidRPr="001B54B9">
        <w:rPr>
          <w:rFonts w:ascii="Abadi" w:hAnsi="Abadi" w:cs="*Microsoft Sans Serif-11538-Ide"/>
          <w:color w:val="282828"/>
          <w:sz w:val="21"/>
          <w:szCs w:val="21"/>
        </w:rPr>
        <w:t>sus diferentes concepciones, opiniones, tradiciones, costumbres y modos de vida y del reconocimiento de sus derechos, en un marco de inclusión social;</w:t>
      </w:r>
    </w:p>
    <w:p w14:paraId="53DC5CF0" w14:textId="77777777" w:rsidR="00366FFB" w:rsidRPr="00743CF7" w:rsidRDefault="00366FFB" w:rsidP="00366FFB">
      <w:pPr>
        <w:autoSpaceDE w:val="0"/>
        <w:autoSpaceDN w:val="0"/>
        <w:adjustRightInd w:val="0"/>
        <w:jc w:val="both"/>
        <w:rPr>
          <w:rFonts w:ascii="Abadi" w:hAnsi="Abadi" w:cs="*Microsoft Sans Serif-11538-Ide"/>
          <w:color w:val="282828"/>
          <w:sz w:val="21"/>
          <w:szCs w:val="21"/>
        </w:rPr>
      </w:pPr>
    </w:p>
    <w:p w14:paraId="47E643EB"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538-Ide"/>
          <w:color w:val="262626"/>
          <w:sz w:val="21"/>
          <w:szCs w:val="21"/>
        </w:rPr>
      </w:pPr>
      <w:r>
        <w:rPr>
          <w:rFonts w:ascii="Abadi" w:hAnsi="Abadi" w:cs="*Arial-Bold-11537-Identity-H"/>
          <w:b/>
          <w:bCs/>
          <w:color w:val="262626"/>
          <w:sz w:val="21"/>
          <w:szCs w:val="21"/>
        </w:rPr>
        <w:t xml:space="preserve"> </w:t>
      </w:r>
      <w:r w:rsidRPr="001B54B9">
        <w:rPr>
          <w:rFonts w:ascii="Abadi" w:hAnsi="Abadi" w:cs="*Arial-Bold-11537-Identity-H"/>
          <w:b/>
          <w:bCs/>
          <w:color w:val="262626"/>
          <w:sz w:val="21"/>
          <w:szCs w:val="21"/>
        </w:rPr>
        <w:t xml:space="preserve">Mente factura: </w:t>
      </w:r>
      <w:r w:rsidRPr="001B54B9">
        <w:rPr>
          <w:rFonts w:ascii="Abadi" w:hAnsi="Abadi" w:cs="*Microsoft Sans Serif-11538-Ide"/>
          <w:color w:val="262626"/>
          <w:sz w:val="21"/>
          <w:szCs w:val="21"/>
        </w:rPr>
        <w:t xml:space="preserve">al desarrollo intelectual poro crear alternativas o soluciones para el impulso de la industria, que propicie un crecimiento económico, mediante la creatividad, innovación </w:t>
      </w:r>
      <w:r w:rsidRPr="001B54B9">
        <w:rPr>
          <w:rFonts w:ascii="Abadi" w:hAnsi="Abadi" w:cs="*Times New Roman-Italic-11532-I"/>
          <w:i/>
          <w:iCs/>
          <w:color w:val="262626"/>
          <w:sz w:val="21"/>
          <w:szCs w:val="21"/>
        </w:rPr>
        <w:t xml:space="preserve">y </w:t>
      </w:r>
      <w:r w:rsidRPr="001B54B9">
        <w:rPr>
          <w:rFonts w:ascii="Abadi" w:hAnsi="Abadi" w:cs="*Microsoft Sans Serif-11538-Ide"/>
          <w:color w:val="262626"/>
          <w:sz w:val="21"/>
          <w:szCs w:val="21"/>
        </w:rPr>
        <w:t>fortalecimiento de las capacidades científicas y tecnológicas;</w:t>
      </w:r>
    </w:p>
    <w:p w14:paraId="67C87B51" w14:textId="77777777" w:rsidR="00366FFB" w:rsidRPr="00743CF7" w:rsidRDefault="00366FFB" w:rsidP="00366FFB">
      <w:pPr>
        <w:jc w:val="both"/>
        <w:rPr>
          <w:rFonts w:ascii="Abadi" w:hAnsi="Abadi" w:cs="*Microsoft Sans Serif-11538-Ide"/>
          <w:color w:val="262626"/>
          <w:sz w:val="21"/>
          <w:szCs w:val="21"/>
        </w:rPr>
      </w:pPr>
    </w:p>
    <w:p w14:paraId="112FB050"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Arial-11154-Identity-H"/>
          <w:color w:val="252525"/>
          <w:sz w:val="21"/>
          <w:szCs w:val="21"/>
        </w:rPr>
      </w:pPr>
      <w:r w:rsidRPr="001B54B9">
        <w:rPr>
          <w:rFonts w:ascii="Abadi" w:hAnsi="Abadi" w:cs="*Calibri-Bold-11153-Identity-H"/>
          <w:b/>
          <w:bCs/>
          <w:color w:val="252525"/>
          <w:sz w:val="21"/>
          <w:szCs w:val="21"/>
        </w:rPr>
        <w:t xml:space="preserve">Obligatoriedad: </w:t>
      </w:r>
      <w:r w:rsidRPr="001B54B9">
        <w:rPr>
          <w:rFonts w:ascii="Abadi" w:hAnsi="Abadi" w:cs="*Arial-11154-Identity-H"/>
          <w:color w:val="252525"/>
          <w:sz w:val="21"/>
          <w:szCs w:val="21"/>
        </w:rPr>
        <w:t>a las acciones que promueva el Estado para apoyar el incremento de la cobertura de educación superior, mejorar la distribución territorial y la diversidad de la ofer</w:t>
      </w:r>
      <w:r>
        <w:rPr>
          <w:rFonts w:ascii="Abadi" w:hAnsi="Abadi" w:cs="*Arial-11154-Identity-H"/>
          <w:color w:val="252525"/>
          <w:sz w:val="21"/>
          <w:szCs w:val="21"/>
        </w:rPr>
        <w:t>t</w:t>
      </w:r>
      <w:r w:rsidRPr="001B54B9">
        <w:rPr>
          <w:rFonts w:ascii="Abadi" w:hAnsi="Abadi" w:cs="*Arial-11154-Identity-H"/>
          <w:color w:val="252525"/>
          <w:sz w:val="21"/>
          <w:szCs w:val="21"/>
        </w:rPr>
        <w:t>a educativa;</w:t>
      </w:r>
    </w:p>
    <w:p w14:paraId="6D8BB764" w14:textId="77777777" w:rsidR="00366FFB" w:rsidRPr="00743CF7" w:rsidRDefault="00366FFB" w:rsidP="00366FFB">
      <w:pPr>
        <w:autoSpaceDE w:val="0"/>
        <w:autoSpaceDN w:val="0"/>
        <w:adjustRightInd w:val="0"/>
        <w:jc w:val="both"/>
        <w:rPr>
          <w:rFonts w:ascii="Abadi" w:hAnsi="Abadi" w:cs="*Arial-11154-Identity-H"/>
          <w:color w:val="252525"/>
          <w:sz w:val="21"/>
          <w:szCs w:val="21"/>
        </w:rPr>
      </w:pPr>
    </w:p>
    <w:p w14:paraId="2407585D"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Arial-11154-Identity-H"/>
          <w:color w:val="262626"/>
          <w:sz w:val="21"/>
          <w:szCs w:val="21"/>
        </w:rPr>
      </w:pPr>
      <w:r>
        <w:rPr>
          <w:rFonts w:ascii="Abadi" w:hAnsi="Abadi" w:cs="*Calibri-Bold-11153-Identity-H"/>
          <w:b/>
          <w:bCs/>
          <w:color w:val="262626"/>
          <w:sz w:val="21"/>
          <w:szCs w:val="21"/>
        </w:rPr>
        <w:t xml:space="preserve"> </w:t>
      </w:r>
      <w:r w:rsidRPr="001B54B9">
        <w:rPr>
          <w:rFonts w:ascii="Abadi" w:hAnsi="Abadi" w:cs="*Calibri-Bold-11153-Identity-H"/>
          <w:b/>
          <w:bCs/>
          <w:color w:val="262626"/>
          <w:sz w:val="21"/>
          <w:szCs w:val="21"/>
        </w:rPr>
        <w:t xml:space="preserve">Paridad de género: </w:t>
      </w:r>
      <w:r w:rsidRPr="001B54B9">
        <w:rPr>
          <w:rFonts w:ascii="Abadi" w:hAnsi="Abadi" w:cs="*Arial-11154-Identity-H"/>
          <w:color w:val="262626"/>
          <w:sz w:val="21"/>
          <w:szCs w:val="21"/>
        </w:rPr>
        <w:t>la participación equilibrada de mujeres y hombres en les funciones de docencia e investigación en las instituciones de educación superior, así como en los puestos de poder y tomo de decisiones en todas las esferas de la educación superior;</w:t>
      </w:r>
    </w:p>
    <w:p w14:paraId="48D5A3F4" w14:textId="77777777" w:rsidR="00366FFB" w:rsidRPr="00743CF7" w:rsidRDefault="00366FFB" w:rsidP="00366FFB">
      <w:pPr>
        <w:autoSpaceDE w:val="0"/>
        <w:autoSpaceDN w:val="0"/>
        <w:adjustRightInd w:val="0"/>
        <w:jc w:val="both"/>
        <w:rPr>
          <w:rFonts w:ascii="Abadi" w:hAnsi="Abadi" w:cs="*Calibri-Bold-11153-Identity-H"/>
          <w:b/>
          <w:bCs/>
          <w:color w:val="262626"/>
          <w:sz w:val="21"/>
          <w:szCs w:val="21"/>
        </w:rPr>
      </w:pPr>
    </w:p>
    <w:p w14:paraId="46FF9C03" w14:textId="77777777" w:rsidR="00366FFB" w:rsidRPr="009B18C5" w:rsidRDefault="00366FFB" w:rsidP="005C6EBB">
      <w:pPr>
        <w:pStyle w:val="Prrafodelista"/>
        <w:numPr>
          <w:ilvl w:val="0"/>
          <w:numId w:val="11"/>
        </w:numPr>
        <w:autoSpaceDE w:val="0"/>
        <w:autoSpaceDN w:val="0"/>
        <w:adjustRightInd w:val="0"/>
        <w:contextualSpacing/>
        <w:jc w:val="both"/>
        <w:rPr>
          <w:rFonts w:ascii="Abadi" w:hAnsi="Abadi" w:cs="*Arial-11154-Identity-H"/>
          <w:color w:val="262626"/>
          <w:sz w:val="21"/>
          <w:szCs w:val="21"/>
        </w:rPr>
      </w:pPr>
      <w:r w:rsidRPr="009B18C5">
        <w:rPr>
          <w:rFonts w:ascii="Abadi" w:hAnsi="Abadi" w:cs="*Calibri-Bold-11153-Identity-H"/>
          <w:b/>
          <w:bCs/>
          <w:color w:val="262626"/>
          <w:sz w:val="21"/>
          <w:szCs w:val="21"/>
        </w:rPr>
        <w:t xml:space="preserve">Personas con discapacidad: </w:t>
      </w:r>
      <w:r w:rsidRPr="009B18C5">
        <w:rPr>
          <w:rFonts w:ascii="Abadi" w:hAnsi="Abadi" w:cs="*Arial-11154-Identity-H"/>
          <w:color w:val="262626"/>
          <w:sz w:val="21"/>
          <w:szCs w:val="21"/>
        </w:rPr>
        <w:t>aquéllas que presentan alguna deficiencia física, mental, intelectual. sensorial, de trastorno de tollo o peso, ya sea de naturaleza congénita o adquirida. permanente o temporal, que limite su capacidad de ejercer una o más actividades esenciales de lo vida diario, y que puede impedir su desarrollo;</w:t>
      </w:r>
    </w:p>
    <w:p w14:paraId="5710E6CC" w14:textId="77777777" w:rsidR="00366FFB" w:rsidRPr="00743CF7" w:rsidRDefault="00366FFB" w:rsidP="00366FFB">
      <w:pPr>
        <w:autoSpaceDE w:val="0"/>
        <w:autoSpaceDN w:val="0"/>
        <w:adjustRightInd w:val="0"/>
        <w:jc w:val="both"/>
        <w:rPr>
          <w:rFonts w:ascii="Abadi" w:hAnsi="Abadi" w:cs="*Arial-11154-Identity-H"/>
          <w:color w:val="262626"/>
          <w:sz w:val="21"/>
          <w:szCs w:val="21"/>
        </w:rPr>
      </w:pPr>
    </w:p>
    <w:p w14:paraId="3E72F36E"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Arial-11154-Identity-H"/>
          <w:color w:val="262626"/>
          <w:sz w:val="21"/>
          <w:szCs w:val="21"/>
        </w:rPr>
      </w:pPr>
      <w:r w:rsidRPr="001B54B9">
        <w:rPr>
          <w:rFonts w:ascii="Abadi" w:hAnsi="Abadi" w:cs="*Calibri-Bold-11153-Identity-H"/>
          <w:b/>
          <w:bCs/>
          <w:color w:val="262626"/>
          <w:sz w:val="21"/>
          <w:szCs w:val="21"/>
        </w:rPr>
        <w:t xml:space="preserve">XVII. Prácticos Profesionales: </w:t>
      </w:r>
      <w:r w:rsidRPr="001B54B9">
        <w:rPr>
          <w:rFonts w:ascii="Abadi" w:hAnsi="Abadi" w:cs="*Arial-11154-Identity-H"/>
          <w:color w:val="262626"/>
          <w:sz w:val="21"/>
          <w:szCs w:val="21"/>
        </w:rPr>
        <w:t>las actividades que el estudiante realiza, con organismos e instituciones del sector público o privado a fin de desarrollar y consolidar sus conocimientos, habilidades y aptitudes. las cuales deben estar relacionadas con su perfil académico y enfocadas a satisfacer necesidades sociales;</w:t>
      </w:r>
    </w:p>
    <w:p w14:paraId="5AF19C33" w14:textId="77777777" w:rsidR="00366FFB" w:rsidRPr="00743CF7" w:rsidRDefault="00366FFB" w:rsidP="00366FFB">
      <w:pPr>
        <w:autoSpaceDE w:val="0"/>
        <w:autoSpaceDN w:val="0"/>
        <w:adjustRightInd w:val="0"/>
        <w:jc w:val="both"/>
        <w:rPr>
          <w:rFonts w:ascii="Abadi" w:hAnsi="Abadi" w:cs="*Arial-11154-Identity-H"/>
          <w:color w:val="262626"/>
          <w:sz w:val="21"/>
          <w:szCs w:val="21"/>
        </w:rPr>
      </w:pPr>
    </w:p>
    <w:p w14:paraId="0202372F"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Arial-11154-Identity-H"/>
          <w:color w:val="292929"/>
          <w:sz w:val="21"/>
          <w:szCs w:val="21"/>
        </w:rPr>
      </w:pPr>
      <w:r>
        <w:rPr>
          <w:rFonts w:ascii="Abadi" w:hAnsi="Abadi" w:cs="*Calibri-Bold-11153-Identity-H"/>
          <w:b/>
          <w:bCs/>
          <w:color w:val="151515"/>
          <w:sz w:val="21"/>
          <w:szCs w:val="21"/>
        </w:rPr>
        <w:t xml:space="preserve"> </w:t>
      </w:r>
      <w:r w:rsidRPr="001B54B9">
        <w:rPr>
          <w:rFonts w:ascii="Abadi" w:hAnsi="Abadi" w:cs="*Calibri-Bold-11153-Identity-H"/>
          <w:b/>
          <w:bCs/>
          <w:color w:val="151515"/>
          <w:sz w:val="21"/>
          <w:szCs w:val="21"/>
        </w:rPr>
        <w:t xml:space="preserve">Reconocimiento de validez oficial de estudios: </w:t>
      </w:r>
      <w:r w:rsidRPr="001B54B9">
        <w:rPr>
          <w:rFonts w:ascii="Abadi" w:hAnsi="Abadi" w:cs="*Arial-11154-Identity-H"/>
          <w:color w:val="151515"/>
          <w:sz w:val="21"/>
          <w:szCs w:val="21"/>
        </w:rPr>
        <w:t xml:space="preserve">a la resolución o acuerdo </w:t>
      </w:r>
      <w:r w:rsidRPr="001B54B9">
        <w:rPr>
          <w:rFonts w:ascii="Abadi" w:hAnsi="Abadi" w:cs="*Arial-11154-Identity-H"/>
          <w:color w:val="292929"/>
          <w:sz w:val="21"/>
          <w:szCs w:val="21"/>
        </w:rPr>
        <w:t>emitido en términos de esta Ley por las autoridades competentes, en virtud de lo cual se incorporan los estudios de educación superior impartidos por un particular al Sistema Educativo Estatal;</w:t>
      </w:r>
    </w:p>
    <w:p w14:paraId="2A0BB3B5" w14:textId="77777777" w:rsidR="00366FFB" w:rsidRPr="00743CF7" w:rsidRDefault="00366FFB" w:rsidP="00366FFB">
      <w:pPr>
        <w:autoSpaceDE w:val="0"/>
        <w:autoSpaceDN w:val="0"/>
        <w:adjustRightInd w:val="0"/>
        <w:jc w:val="both"/>
        <w:rPr>
          <w:rFonts w:ascii="Abadi" w:hAnsi="Abadi" w:cs="*Calibri-Bold-11153-Identity-H"/>
          <w:b/>
          <w:bCs/>
          <w:color w:val="202020"/>
          <w:sz w:val="21"/>
          <w:szCs w:val="21"/>
        </w:rPr>
      </w:pPr>
    </w:p>
    <w:p w14:paraId="1DF9F1FD"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Arial-11154-Identity-H"/>
          <w:color w:val="202020"/>
          <w:sz w:val="21"/>
          <w:szCs w:val="21"/>
        </w:rPr>
      </w:pPr>
      <w:r>
        <w:rPr>
          <w:rFonts w:ascii="Abadi" w:hAnsi="Abadi" w:cs="*Calibri-Bold-11153-Identity-H"/>
          <w:b/>
          <w:bCs/>
          <w:color w:val="202020"/>
          <w:sz w:val="21"/>
          <w:szCs w:val="21"/>
        </w:rPr>
        <w:t xml:space="preserve"> </w:t>
      </w:r>
      <w:r w:rsidRPr="001B54B9">
        <w:rPr>
          <w:rFonts w:ascii="Abadi" w:hAnsi="Abadi" w:cs="*Calibri-Bold-11153-Identity-H"/>
          <w:b/>
          <w:bCs/>
          <w:color w:val="202020"/>
          <w:sz w:val="21"/>
          <w:szCs w:val="21"/>
        </w:rPr>
        <w:t xml:space="preserve">Secretaría: </w:t>
      </w:r>
      <w:r w:rsidRPr="001B54B9">
        <w:rPr>
          <w:rFonts w:ascii="Abadi" w:hAnsi="Abadi" w:cs="*Arial-11154-Identity-H"/>
          <w:color w:val="202020"/>
          <w:sz w:val="21"/>
          <w:szCs w:val="21"/>
        </w:rPr>
        <w:t>a la Secretaría de Educación:</w:t>
      </w:r>
    </w:p>
    <w:p w14:paraId="18C5291D" w14:textId="77777777" w:rsidR="00366FFB" w:rsidRPr="00743CF7" w:rsidRDefault="00366FFB" w:rsidP="00366FFB">
      <w:pPr>
        <w:autoSpaceDE w:val="0"/>
        <w:autoSpaceDN w:val="0"/>
        <w:adjustRightInd w:val="0"/>
        <w:jc w:val="both"/>
        <w:rPr>
          <w:rFonts w:ascii="Abadi" w:hAnsi="Abadi" w:cs="*Arial-11154-Identity-H"/>
          <w:color w:val="202020"/>
          <w:sz w:val="21"/>
          <w:szCs w:val="21"/>
        </w:rPr>
      </w:pPr>
    </w:p>
    <w:p w14:paraId="5EC70BD5"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Arial-11154-Identity-H"/>
          <w:color w:val="262626"/>
          <w:sz w:val="21"/>
          <w:szCs w:val="21"/>
        </w:rPr>
      </w:pPr>
      <w:r>
        <w:rPr>
          <w:rFonts w:ascii="Abadi" w:hAnsi="Abadi" w:cs="*Calibri-Bold-11153-Identity-H"/>
          <w:b/>
          <w:bCs/>
          <w:color w:val="262626"/>
          <w:sz w:val="21"/>
          <w:szCs w:val="21"/>
        </w:rPr>
        <w:t xml:space="preserve"> </w:t>
      </w:r>
      <w:r w:rsidRPr="001B54B9">
        <w:rPr>
          <w:rFonts w:ascii="Abadi" w:hAnsi="Abadi" w:cs="*Calibri-Bold-11153-Identity-H"/>
          <w:b/>
          <w:bCs/>
          <w:color w:val="262626"/>
          <w:sz w:val="21"/>
          <w:szCs w:val="21"/>
        </w:rPr>
        <w:t xml:space="preserve">Servicio social: </w:t>
      </w:r>
      <w:r w:rsidRPr="001B54B9">
        <w:rPr>
          <w:rFonts w:ascii="Abadi" w:hAnsi="Abadi" w:cs="*Arial-11154-Identity-H"/>
          <w:color w:val="262626"/>
          <w:sz w:val="21"/>
          <w:szCs w:val="21"/>
        </w:rPr>
        <w:t>a la actividad eminentemente formativo y temporal que será obligatoria de acuerdo con lo señalado por la ley y que desarrolla en las y los estudiantes de educación superior, una conciencia de solidaridad y compromiso con la sociedad:</w:t>
      </w:r>
    </w:p>
    <w:p w14:paraId="151DE377" w14:textId="77777777" w:rsidR="00366FFB" w:rsidRPr="00743CF7" w:rsidRDefault="00366FFB" w:rsidP="00366FFB">
      <w:pPr>
        <w:jc w:val="both"/>
        <w:rPr>
          <w:rFonts w:ascii="Abadi" w:hAnsi="Abadi" w:cs="*Arial-11154-Identity-H"/>
          <w:color w:val="262626"/>
          <w:sz w:val="21"/>
          <w:szCs w:val="21"/>
        </w:rPr>
      </w:pPr>
    </w:p>
    <w:p w14:paraId="36AC1416"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765-Ide"/>
          <w:color w:val="292929"/>
          <w:sz w:val="21"/>
          <w:szCs w:val="21"/>
        </w:rPr>
      </w:pPr>
      <w:r w:rsidRPr="001B54B9">
        <w:rPr>
          <w:rFonts w:ascii="Abadi" w:hAnsi="Abadi" w:cs="*Calibri-Bold-11763-Identity-H"/>
          <w:b/>
          <w:bCs/>
          <w:color w:val="161616"/>
          <w:sz w:val="21"/>
          <w:szCs w:val="21"/>
        </w:rPr>
        <w:t xml:space="preserve"> Territorialización de lo educación superior: </w:t>
      </w:r>
      <w:r w:rsidRPr="001B54B9">
        <w:rPr>
          <w:rFonts w:ascii="Abadi" w:hAnsi="Abadi" w:cs="*Microsoft Sans Serif-11765-Ide"/>
          <w:color w:val="161616"/>
          <w:sz w:val="21"/>
          <w:szCs w:val="21"/>
        </w:rPr>
        <w:t xml:space="preserve">el conjunto de políticas y </w:t>
      </w:r>
      <w:r w:rsidRPr="001B54B9">
        <w:rPr>
          <w:rFonts w:ascii="Abadi" w:hAnsi="Abadi" w:cs="*Microsoft Sans Serif-11765-Ide"/>
          <w:color w:val="292929"/>
          <w:sz w:val="21"/>
          <w:szCs w:val="21"/>
        </w:rPr>
        <w:t xml:space="preserve">acciones cuyo propósito consiste en considerar los contextos regionales </w:t>
      </w:r>
      <w:r w:rsidRPr="001B54B9">
        <w:rPr>
          <w:rFonts w:ascii="Abadi" w:hAnsi="Abadi" w:cs="*Calibri-11764-Identity-H"/>
          <w:color w:val="292929"/>
          <w:sz w:val="21"/>
          <w:szCs w:val="21"/>
        </w:rPr>
        <w:t xml:space="preserve">y </w:t>
      </w:r>
      <w:r w:rsidRPr="001B54B9">
        <w:rPr>
          <w:rFonts w:ascii="Abadi" w:hAnsi="Abadi" w:cs="*Microsoft Sans Serif-11765-Ide"/>
          <w:color w:val="292929"/>
          <w:sz w:val="21"/>
          <w:szCs w:val="21"/>
        </w:rPr>
        <w:t>locales de lo prestación del servicio de educación superior en beneficio de la población de dicho territorio; y</w:t>
      </w:r>
    </w:p>
    <w:p w14:paraId="028B7141" w14:textId="77777777" w:rsidR="00366FFB" w:rsidRPr="00743CF7" w:rsidRDefault="00366FFB" w:rsidP="00366FFB">
      <w:pPr>
        <w:autoSpaceDE w:val="0"/>
        <w:autoSpaceDN w:val="0"/>
        <w:adjustRightInd w:val="0"/>
        <w:jc w:val="both"/>
        <w:rPr>
          <w:rFonts w:ascii="Abadi" w:hAnsi="Abadi" w:cs="*Microsoft Sans Serif-11765-Ide"/>
          <w:color w:val="292929"/>
          <w:sz w:val="21"/>
          <w:szCs w:val="21"/>
        </w:rPr>
      </w:pPr>
    </w:p>
    <w:p w14:paraId="3A847540" w14:textId="77777777" w:rsidR="00366FFB" w:rsidRPr="001B54B9" w:rsidRDefault="00366FFB" w:rsidP="005C6EBB">
      <w:pPr>
        <w:pStyle w:val="Prrafodelista"/>
        <w:numPr>
          <w:ilvl w:val="0"/>
          <w:numId w:val="11"/>
        </w:numPr>
        <w:autoSpaceDE w:val="0"/>
        <w:autoSpaceDN w:val="0"/>
        <w:adjustRightInd w:val="0"/>
        <w:contextualSpacing/>
        <w:jc w:val="both"/>
        <w:rPr>
          <w:rFonts w:ascii="Abadi" w:hAnsi="Abadi" w:cs="*Microsoft Sans Serif-11765-Ide"/>
          <w:color w:val="272727"/>
          <w:sz w:val="21"/>
          <w:szCs w:val="21"/>
        </w:rPr>
      </w:pPr>
      <w:r w:rsidRPr="001B54B9">
        <w:rPr>
          <w:rFonts w:ascii="Abadi" w:hAnsi="Abadi" w:cs="*Calibri-Bold-11763-Identity-H"/>
          <w:b/>
          <w:bCs/>
          <w:color w:val="272727"/>
          <w:sz w:val="21"/>
          <w:szCs w:val="21"/>
        </w:rPr>
        <w:t xml:space="preserve">Violencia de género: </w:t>
      </w:r>
      <w:r w:rsidRPr="001B54B9">
        <w:rPr>
          <w:rFonts w:ascii="Abadi" w:hAnsi="Abadi" w:cs="*Microsoft Sans Serif-11765-Ide"/>
          <w:color w:val="272727"/>
          <w:sz w:val="21"/>
          <w:szCs w:val="21"/>
        </w:rPr>
        <w:t xml:space="preserve">acción u omisión en el entorno educativo, ya sea en instituciones educativas públicos o particulares, que afecta física, sexual y/o psicológicamente a las personas estudiantes, basada en su género, atentando en contra de su integridad, libertad </w:t>
      </w:r>
      <w:r w:rsidRPr="001B54B9">
        <w:rPr>
          <w:rFonts w:ascii="Abadi" w:hAnsi="Abadi" w:cs="*Calibri-11764-Identity-H"/>
          <w:color w:val="272727"/>
          <w:sz w:val="21"/>
          <w:szCs w:val="21"/>
        </w:rPr>
        <w:t xml:space="preserve">y </w:t>
      </w:r>
      <w:r w:rsidRPr="001B54B9">
        <w:rPr>
          <w:rFonts w:ascii="Abadi" w:hAnsi="Abadi" w:cs="*Microsoft Sans Serif-11765-Ide"/>
          <w:color w:val="272727"/>
          <w:sz w:val="21"/>
          <w:szCs w:val="21"/>
        </w:rPr>
        <w:t>dignidad.</w:t>
      </w:r>
    </w:p>
    <w:p w14:paraId="0692D94B" w14:textId="77777777" w:rsidR="00366FFB" w:rsidRPr="00743CF7" w:rsidRDefault="00366FFB" w:rsidP="00366FFB">
      <w:pPr>
        <w:autoSpaceDE w:val="0"/>
        <w:autoSpaceDN w:val="0"/>
        <w:adjustRightInd w:val="0"/>
        <w:jc w:val="both"/>
        <w:rPr>
          <w:rFonts w:ascii="Abadi" w:hAnsi="Abadi" w:cs="*Calibri-Bold-11763-Identity-H"/>
          <w:b/>
          <w:bCs/>
          <w:color w:val="0F0F0F"/>
          <w:sz w:val="21"/>
          <w:szCs w:val="21"/>
        </w:rPr>
      </w:pPr>
    </w:p>
    <w:p w14:paraId="4AA6CFD6" w14:textId="77777777" w:rsidR="00366FFB" w:rsidRPr="00743CF7" w:rsidRDefault="00366FFB" w:rsidP="00366FFB">
      <w:pPr>
        <w:autoSpaceDE w:val="0"/>
        <w:autoSpaceDN w:val="0"/>
        <w:adjustRightInd w:val="0"/>
        <w:jc w:val="center"/>
        <w:rPr>
          <w:rFonts w:ascii="Abadi" w:hAnsi="Abadi" w:cs="*Calibri-Bold-11763-Identity-H"/>
          <w:b/>
          <w:bCs/>
          <w:color w:val="0F0F0F"/>
          <w:sz w:val="21"/>
          <w:szCs w:val="21"/>
        </w:rPr>
      </w:pPr>
      <w:r w:rsidRPr="00743CF7">
        <w:rPr>
          <w:rFonts w:ascii="Abadi" w:hAnsi="Abadi" w:cs="*Calibri-Bold-11763-Identity-H"/>
          <w:b/>
          <w:bCs/>
          <w:color w:val="0F0F0F"/>
          <w:sz w:val="21"/>
          <w:szCs w:val="21"/>
        </w:rPr>
        <w:t>Capítulo II</w:t>
      </w:r>
    </w:p>
    <w:p w14:paraId="7C802A6B" w14:textId="77777777" w:rsidR="00366FFB" w:rsidRPr="00743CF7" w:rsidRDefault="00366FFB" w:rsidP="00366FFB">
      <w:pPr>
        <w:autoSpaceDE w:val="0"/>
        <w:autoSpaceDN w:val="0"/>
        <w:adjustRightInd w:val="0"/>
        <w:jc w:val="center"/>
        <w:rPr>
          <w:rFonts w:ascii="Abadi" w:hAnsi="Abadi" w:cs="*Calibri-Bold-11763-Identity-H"/>
          <w:b/>
          <w:bCs/>
          <w:color w:val="0F0F0F"/>
          <w:sz w:val="21"/>
          <w:szCs w:val="21"/>
        </w:rPr>
      </w:pPr>
    </w:p>
    <w:p w14:paraId="5BE8375E" w14:textId="77777777" w:rsidR="00366FFB" w:rsidRPr="00743CF7" w:rsidRDefault="00366FFB" w:rsidP="00366FFB">
      <w:pPr>
        <w:autoSpaceDE w:val="0"/>
        <w:autoSpaceDN w:val="0"/>
        <w:adjustRightInd w:val="0"/>
        <w:jc w:val="center"/>
        <w:rPr>
          <w:rFonts w:ascii="Abadi" w:hAnsi="Abadi" w:cs="*Calibri-Bold-11763-Identity-H"/>
          <w:b/>
          <w:bCs/>
          <w:color w:val="101010"/>
          <w:sz w:val="21"/>
          <w:szCs w:val="21"/>
        </w:rPr>
      </w:pPr>
      <w:r w:rsidRPr="00743CF7">
        <w:rPr>
          <w:rFonts w:ascii="Abadi" w:hAnsi="Abadi" w:cs="*Calibri-Bold-11763-Identity-H"/>
          <w:b/>
          <w:bCs/>
          <w:color w:val="101010"/>
          <w:sz w:val="21"/>
          <w:szCs w:val="21"/>
        </w:rPr>
        <w:t>Fines de la Educación Superior</w:t>
      </w:r>
    </w:p>
    <w:p w14:paraId="76A0EB95" w14:textId="77777777" w:rsidR="00366FFB" w:rsidRPr="00743CF7" w:rsidRDefault="00366FFB" w:rsidP="00366FFB">
      <w:pPr>
        <w:autoSpaceDE w:val="0"/>
        <w:autoSpaceDN w:val="0"/>
        <w:adjustRightInd w:val="0"/>
        <w:jc w:val="center"/>
        <w:rPr>
          <w:rFonts w:ascii="Abadi" w:hAnsi="Abadi" w:cs="*Calibri-Bold-11763-Identity-H"/>
          <w:b/>
          <w:bCs/>
          <w:color w:val="101010"/>
          <w:sz w:val="21"/>
          <w:szCs w:val="21"/>
        </w:rPr>
      </w:pPr>
    </w:p>
    <w:p w14:paraId="167ABC8D" w14:textId="77777777" w:rsidR="00366FFB" w:rsidRPr="00743CF7" w:rsidRDefault="00366FFB" w:rsidP="00366FFB">
      <w:pPr>
        <w:autoSpaceDE w:val="0"/>
        <w:autoSpaceDN w:val="0"/>
        <w:adjustRightInd w:val="0"/>
        <w:jc w:val="right"/>
        <w:rPr>
          <w:rFonts w:ascii="Abadi" w:hAnsi="Abadi" w:cs="*Microsoft Sans Serif-BoldItali"/>
          <w:b/>
          <w:bCs/>
          <w:i/>
          <w:iCs/>
          <w:color w:val="121212"/>
          <w:sz w:val="21"/>
          <w:szCs w:val="21"/>
        </w:rPr>
      </w:pPr>
      <w:r w:rsidRPr="00743CF7">
        <w:rPr>
          <w:rFonts w:ascii="Abadi" w:hAnsi="Abadi" w:cs="*Microsoft Sans Serif-BoldItali"/>
          <w:b/>
          <w:bCs/>
          <w:i/>
          <w:iCs/>
          <w:color w:val="121212"/>
          <w:sz w:val="21"/>
          <w:szCs w:val="21"/>
        </w:rPr>
        <w:t>Fines de la educación superior</w:t>
      </w:r>
    </w:p>
    <w:p w14:paraId="7DA025CA" w14:textId="77777777" w:rsidR="00366FFB" w:rsidRPr="00743CF7" w:rsidRDefault="00366FFB" w:rsidP="00366FFB">
      <w:pPr>
        <w:autoSpaceDE w:val="0"/>
        <w:autoSpaceDN w:val="0"/>
        <w:adjustRightInd w:val="0"/>
        <w:jc w:val="both"/>
        <w:rPr>
          <w:rFonts w:ascii="Abadi" w:hAnsi="Abadi" w:cs="*Microsoft Sans Serif-11765-Ide"/>
          <w:color w:val="292929"/>
          <w:sz w:val="21"/>
          <w:szCs w:val="21"/>
        </w:rPr>
      </w:pPr>
      <w:r w:rsidRPr="00743CF7">
        <w:rPr>
          <w:rFonts w:ascii="Abadi" w:hAnsi="Abadi" w:cs="*Calibri-Bold-11763-Identity-H"/>
          <w:b/>
          <w:bCs/>
          <w:color w:val="292929"/>
          <w:sz w:val="21"/>
          <w:szCs w:val="21"/>
        </w:rPr>
        <w:t xml:space="preserve">Artículo 11. </w:t>
      </w:r>
      <w:r w:rsidRPr="00743CF7">
        <w:rPr>
          <w:rFonts w:ascii="Abadi" w:hAnsi="Abadi" w:cs="*Microsoft Sans Serif-11765-Ide"/>
          <w:color w:val="292929"/>
          <w:sz w:val="21"/>
          <w:szCs w:val="21"/>
        </w:rPr>
        <w:t xml:space="preserve">La educación superior en el Estado de Guanajuato tendrá además de los fines previstos en la Ley General de Educación Superior, los siguientes: l. Propiciar la formación integre! de las personas. a efecto de que cuenten con sólidas competencias para el ejercicio de su profesión </w:t>
      </w:r>
      <w:r w:rsidRPr="00743CF7">
        <w:rPr>
          <w:rFonts w:ascii="Abadi" w:hAnsi="Abadi" w:cs="*Calibri-11764-Identity-H"/>
          <w:color w:val="292929"/>
          <w:sz w:val="21"/>
          <w:szCs w:val="21"/>
        </w:rPr>
        <w:t xml:space="preserve">y </w:t>
      </w:r>
      <w:r w:rsidRPr="00743CF7">
        <w:rPr>
          <w:rFonts w:ascii="Abadi" w:hAnsi="Abadi" w:cs="*Microsoft Sans Serif-11765-Ide"/>
          <w:color w:val="292929"/>
          <w:sz w:val="21"/>
          <w:szCs w:val="21"/>
        </w:rPr>
        <w:t>para el desarrollo pleno en todos los ámbitos de su vida;</w:t>
      </w:r>
    </w:p>
    <w:p w14:paraId="03D6BBE9" w14:textId="77777777" w:rsidR="00366FFB" w:rsidRPr="00743CF7" w:rsidRDefault="00366FFB" w:rsidP="00366FFB">
      <w:pPr>
        <w:autoSpaceDE w:val="0"/>
        <w:autoSpaceDN w:val="0"/>
        <w:adjustRightInd w:val="0"/>
        <w:jc w:val="both"/>
        <w:rPr>
          <w:rFonts w:ascii="Abadi" w:hAnsi="Abadi" w:cs="*Microsoft Sans Serif-11765-Ide"/>
          <w:color w:val="292929"/>
          <w:sz w:val="21"/>
          <w:szCs w:val="21"/>
        </w:rPr>
      </w:pPr>
    </w:p>
    <w:p w14:paraId="5FF38121"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Microsoft Sans Serif-11765-Ide"/>
          <w:color w:val="292929"/>
          <w:sz w:val="21"/>
          <w:szCs w:val="21"/>
        </w:rPr>
      </w:pPr>
      <w:r w:rsidRPr="000D5978">
        <w:rPr>
          <w:rFonts w:ascii="Abadi" w:hAnsi="Abadi" w:cs="*Microsoft Sans Serif-11765-Ide"/>
          <w:b/>
          <w:bCs/>
          <w:color w:val="292929"/>
          <w:sz w:val="21"/>
          <w:szCs w:val="21"/>
        </w:rPr>
        <w:t xml:space="preserve">II. </w:t>
      </w:r>
      <w:r w:rsidRPr="000D5978">
        <w:rPr>
          <w:rFonts w:ascii="Abadi" w:hAnsi="Abadi" w:cs="*Microsoft Sans Serif-11765-Ide"/>
          <w:color w:val="292929"/>
          <w:sz w:val="21"/>
          <w:szCs w:val="21"/>
        </w:rPr>
        <w:t xml:space="preserve">Desarrollar en los estudiantes un amplio sentido de pertenencia </w:t>
      </w:r>
      <w:r w:rsidRPr="000D5978">
        <w:rPr>
          <w:rFonts w:ascii="Abadi" w:hAnsi="Abadi" w:cs="*Calibri-11764-Identity-H"/>
          <w:color w:val="292929"/>
          <w:sz w:val="21"/>
          <w:szCs w:val="21"/>
        </w:rPr>
        <w:t xml:space="preserve">y </w:t>
      </w:r>
      <w:r w:rsidRPr="000D5978">
        <w:rPr>
          <w:rFonts w:ascii="Abadi" w:hAnsi="Abadi" w:cs="*Microsoft Sans Serif-11765-Ide"/>
          <w:color w:val="292929"/>
          <w:sz w:val="21"/>
          <w:szCs w:val="21"/>
        </w:rPr>
        <w:t xml:space="preserve">responsabilidad social, que favorezca la construcción de una sociedad solidaria, equitativa, próspera, justa e incluyente, así como la capacidad creativa hacia lo innovación, la expresión y las habilidades del pensamiento: </w:t>
      </w:r>
    </w:p>
    <w:p w14:paraId="1BADC4A1" w14:textId="77777777" w:rsidR="00366FFB" w:rsidRPr="00743CF7" w:rsidRDefault="00366FFB" w:rsidP="00366FFB">
      <w:pPr>
        <w:autoSpaceDE w:val="0"/>
        <w:autoSpaceDN w:val="0"/>
        <w:adjustRightInd w:val="0"/>
        <w:jc w:val="both"/>
        <w:rPr>
          <w:rFonts w:ascii="Abadi" w:hAnsi="Abadi" w:cs="*Microsoft Sans Serif-11765-Ide"/>
          <w:color w:val="292929"/>
          <w:sz w:val="21"/>
          <w:szCs w:val="21"/>
        </w:rPr>
      </w:pPr>
    </w:p>
    <w:p w14:paraId="745D0EB4"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Microsoft Sans Serif-11765-Ide"/>
          <w:color w:val="272727"/>
          <w:sz w:val="21"/>
          <w:szCs w:val="21"/>
        </w:rPr>
      </w:pPr>
      <w:r w:rsidRPr="000D5978">
        <w:rPr>
          <w:rFonts w:ascii="Abadi" w:hAnsi="Abadi" w:cs="*Microsoft Sans Serif-11765-Ide"/>
          <w:color w:val="272727"/>
          <w:sz w:val="21"/>
          <w:szCs w:val="21"/>
        </w:rPr>
        <w:t xml:space="preserve">Formar Profesionistas que estén preparados para afrontar los retos de la sociedad actual </w:t>
      </w:r>
      <w:r w:rsidRPr="000D5978">
        <w:rPr>
          <w:rFonts w:ascii="Abadi" w:hAnsi="Abadi" w:cs="*Calibri-11764-Identity-H"/>
          <w:color w:val="272727"/>
          <w:sz w:val="21"/>
          <w:szCs w:val="21"/>
        </w:rPr>
        <w:t xml:space="preserve">y </w:t>
      </w:r>
      <w:r w:rsidRPr="000D5978">
        <w:rPr>
          <w:rFonts w:ascii="Abadi" w:hAnsi="Abadi" w:cs="*Microsoft Sans Serif-11765-Ide"/>
          <w:color w:val="272727"/>
          <w:sz w:val="21"/>
          <w:szCs w:val="21"/>
        </w:rPr>
        <w:t>para mejorar su calidad de vida;</w:t>
      </w:r>
    </w:p>
    <w:p w14:paraId="310A14C4" w14:textId="77777777" w:rsidR="00366FFB" w:rsidRPr="00743CF7" w:rsidRDefault="00366FFB" w:rsidP="00366FFB">
      <w:pPr>
        <w:autoSpaceDE w:val="0"/>
        <w:autoSpaceDN w:val="0"/>
        <w:adjustRightInd w:val="0"/>
        <w:jc w:val="both"/>
        <w:rPr>
          <w:rFonts w:ascii="Abadi" w:hAnsi="Abadi" w:cs="*Microsoft Sans Serif-11765-Ide"/>
          <w:color w:val="272727"/>
          <w:sz w:val="21"/>
          <w:szCs w:val="21"/>
        </w:rPr>
      </w:pPr>
    </w:p>
    <w:p w14:paraId="6ACB62F7"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Microsoft Sans Serif-11765-Ide"/>
          <w:color w:val="2A2A2A"/>
          <w:sz w:val="21"/>
          <w:szCs w:val="21"/>
        </w:rPr>
      </w:pPr>
      <w:r w:rsidRPr="000D5978">
        <w:rPr>
          <w:rFonts w:ascii="Abadi" w:hAnsi="Abadi" w:cs="*Microsoft Sans Serif-11765-Ide"/>
          <w:color w:val="2A2A2A"/>
          <w:sz w:val="21"/>
          <w:szCs w:val="21"/>
        </w:rPr>
        <w:t>Reconocer los aprendizajes adquiridos en lo experiencia laboral.</w:t>
      </w:r>
    </w:p>
    <w:p w14:paraId="17A08DAD" w14:textId="77777777" w:rsidR="00366FFB" w:rsidRPr="00743CF7" w:rsidRDefault="00366FFB" w:rsidP="00366FFB">
      <w:pPr>
        <w:autoSpaceDE w:val="0"/>
        <w:autoSpaceDN w:val="0"/>
        <w:adjustRightInd w:val="0"/>
        <w:jc w:val="both"/>
        <w:rPr>
          <w:rFonts w:ascii="Abadi" w:hAnsi="Abadi" w:cs="*Microsoft Sans Serif-11765-Ide"/>
          <w:color w:val="2A2A2A"/>
          <w:sz w:val="21"/>
          <w:szCs w:val="21"/>
        </w:rPr>
      </w:pPr>
    </w:p>
    <w:p w14:paraId="0567E7B7" w14:textId="77777777" w:rsidR="00366FFB" w:rsidRDefault="00366FFB" w:rsidP="005C6EBB">
      <w:pPr>
        <w:pStyle w:val="Prrafodelista"/>
        <w:numPr>
          <w:ilvl w:val="0"/>
          <w:numId w:val="12"/>
        </w:numPr>
        <w:spacing w:after="160" w:line="259" w:lineRule="auto"/>
        <w:contextualSpacing/>
        <w:jc w:val="both"/>
        <w:rPr>
          <w:rFonts w:ascii="Abadi" w:hAnsi="Abadi" w:cs="*Arial-11727-Identity-H"/>
          <w:color w:val="2A2A2A"/>
          <w:sz w:val="21"/>
          <w:szCs w:val="21"/>
        </w:rPr>
      </w:pPr>
      <w:r w:rsidRPr="000D5978">
        <w:rPr>
          <w:rFonts w:ascii="Abadi" w:hAnsi="Abadi" w:cs="*Microsoft Sans Serif-11765-Ide"/>
          <w:color w:val="2A2A2A"/>
          <w:sz w:val="21"/>
          <w:szCs w:val="21"/>
        </w:rPr>
        <w:t>aprendizaje autónomo</w:t>
      </w:r>
      <w:r w:rsidRPr="000D5978">
        <w:rPr>
          <w:rFonts w:ascii="Abadi" w:hAnsi="Abadi" w:cs="*Times New Roman-11760-Identity"/>
          <w:color w:val="2A2A2A"/>
          <w:sz w:val="21"/>
          <w:szCs w:val="21"/>
        </w:rPr>
        <w:t xml:space="preserve">1 </w:t>
      </w:r>
      <w:r w:rsidRPr="000D5978">
        <w:rPr>
          <w:rFonts w:ascii="Abadi" w:hAnsi="Abadi" w:cs="*Microsoft Sans Serif-11765-Ide"/>
          <w:color w:val="2A2A2A"/>
          <w:sz w:val="21"/>
          <w:szCs w:val="21"/>
        </w:rPr>
        <w:t xml:space="preserve">en modelo no formal, a través de mecanismos que </w:t>
      </w:r>
      <w:r w:rsidRPr="000D5978">
        <w:rPr>
          <w:rFonts w:ascii="Abadi" w:hAnsi="Abadi" w:cs="*Arial-11727-Identity-H"/>
          <w:color w:val="2A2A2A"/>
          <w:sz w:val="21"/>
          <w:szCs w:val="21"/>
        </w:rPr>
        <w:t>permitan su equivalencia académica y que permita a los educandos concluir en menor tiempo su educación formal;</w:t>
      </w:r>
    </w:p>
    <w:p w14:paraId="7E30FDFD" w14:textId="77777777" w:rsidR="00366FFB" w:rsidRPr="000D5978" w:rsidRDefault="00366FFB" w:rsidP="00366FFB">
      <w:pPr>
        <w:pStyle w:val="Prrafodelista"/>
        <w:rPr>
          <w:rFonts w:ascii="Abadi" w:hAnsi="Abadi" w:cs="*Arial-11727-Identity-H"/>
          <w:color w:val="2A2A2A"/>
          <w:sz w:val="21"/>
          <w:szCs w:val="21"/>
        </w:rPr>
      </w:pPr>
    </w:p>
    <w:p w14:paraId="388CE10D"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Arial-11727-Identity-H"/>
          <w:color w:val="292929"/>
          <w:sz w:val="21"/>
          <w:szCs w:val="21"/>
        </w:rPr>
      </w:pPr>
      <w:r w:rsidRPr="000D5978">
        <w:rPr>
          <w:rFonts w:ascii="Abadi" w:hAnsi="Abadi" w:cs="*Arial-11727-Identity-H"/>
          <w:color w:val="292929"/>
          <w:sz w:val="21"/>
          <w:szCs w:val="21"/>
        </w:rPr>
        <w:t xml:space="preserve">Impulsar la investigación básica </w:t>
      </w:r>
      <w:r w:rsidRPr="000D5978">
        <w:rPr>
          <w:rFonts w:ascii="Abadi" w:hAnsi="Abadi" w:cs="*Times New Roman-Italic-11722-I"/>
          <w:i/>
          <w:iCs/>
          <w:color w:val="292929"/>
          <w:sz w:val="21"/>
          <w:szCs w:val="21"/>
        </w:rPr>
        <w:t xml:space="preserve">y </w:t>
      </w:r>
      <w:r w:rsidRPr="000D5978">
        <w:rPr>
          <w:rFonts w:ascii="Abadi" w:hAnsi="Abadi" w:cs="*Arial-11727-Identity-H"/>
          <w:color w:val="292929"/>
          <w:sz w:val="21"/>
          <w:szCs w:val="21"/>
        </w:rPr>
        <w:t xml:space="preserve">aplicada. el desarrollo tecnológico, Id transferencia tecnológica, la innovación, la economía del conocimiento, la mente factura </w:t>
      </w:r>
      <w:r w:rsidRPr="000D5978">
        <w:rPr>
          <w:rFonts w:ascii="Abadi" w:hAnsi="Abadi" w:cs="*Times New Roman-Italic-11722-I"/>
          <w:i/>
          <w:iCs/>
          <w:color w:val="292929"/>
          <w:sz w:val="21"/>
          <w:szCs w:val="21"/>
        </w:rPr>
        <w:t xml:space="preserve">y </w:t>
      </w:r>
      <w:r w:rsidRPr="000D5978">
        <w:rPr>
          <w:rFonts w:ascii="Abadi" w:hAnsi="Abadi" w:cs="*Arial-11727-Identity-H"/>
          <w:color w:val="292929"/>
          <w:sz w:val="21"/>
          <w:szCs w:val="21"/>
        </w:rPr>
        <w:t>la formación de emprendedores, que posicionen al Estado nacional e internacionalmente;</w:t>
      </w:r>
    </w:p>
    <w:p w14:paraId="0FA2793B" w14:textId="77777777" w:rsidR="00366FFB" w:rsidRPr="00743CF7" w:rsidRDefault="00366FFB" w:rsidP="00366FFB">
      <w:pPr>
        <w:autoSpaceDE w:val="0"/>
        <w:autoSpaceDN w:val="0"/>
        <w:adjustRightInd w:val="0"/>
        <w:jc w:val="both"/>
        <w:rPr>
          <w:rFonts w:ascii="Abadi" w:hAnsi="Abadi" w:cs="*Arial-11727-Identity-H"/>
          <w:color w:val="292929"/>
          <w:sz w:val="21"/>
          <w:szCs w:val="21"/>
        </w:rPr>
      </w:pPr>
    </w:p>
    <w:p w14:paraId="6711872D"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Arial-11727-Identity-H"/>
          <w:color w:val="2A2A2A"/>
          <w:sz w:val="21"/>
          <w:szCs w:val="21"/>
        </w:rPr>
      </w:pPr>
      <w:r w:rsidRPr="000D5978">
        <w:rPr>
          <w:rFonts w:ascii="Abadi" w:hAnsi="Abadi" w:cs="*Arial-11727-Identity-H"/>
          <w:color w:val="2A2A2A"/>
          <w:sz w:val="21"/>
          <w:szCs w:val="21"/>
        </w:rPr>
        <w:t xml:space="preserve">Otorgar educación del tipo superior que propicie el desarrollo humano, con el propósito de que las personas alcancen sus máximas capacidades en el beneficio propio y de Id sociedad en general: </w:t>
      </w:r>
    </w:p>
    <w:p w14:paraId="267BB2C6" w14:textId="77777777" w:rsidR="00366FFB" w:rsidRPr="00743CF7" w:rsidRDefault="00366FFB" w:rsidP="00366FFB">
      <w:pPr>
        <w:autoSpaceDE w:val="0"/>
        <w:autoSpaceDN w:val="0"/>
        <w:adjustRightInd w:val="0"/>
        <w:jc w:val="both"/>
        <w:rPr>
          <w:rFonts w:ascii="Abadi" w:hAnsi="Abadi" w:cs="*Arial-11727-Identity-H"/>
          <w:color w:val="2A2A2A"/>
          <w:sz w:val="21"/>
          <w:szCs w:val="21"/>
        </w:rPr>
      </w:pPr>
    </w:p>
    <w:p w14:paraId="72861F35"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Arial-11727-Identity-H"/>
          <w:color w:val="282828"/>
          <w:sz w:val="21"/>
          <w:szCs w:val="21"/>
        </w:rPr>
      </w:pPr>
      <w:r w:rsidRPr="000D5978">
        <w:rPr>
          <w:rFonts w:ascii="Abadi" w:hAnsi="Abadi" w:cs="*Arial-11727-Identity-H"/>
          <w:color w:val="282828"/>
          <w:sz w:val="21"/>
          <w:szCs w:val="21"/>
        </w:rPr>
        <w:t>Promover el desarrollo y la aplicación de las ciencias, métodos y técnicas para elevar el bienestar social mediante el trabajo productivo;</w:t>
      </w:r>
    </w:p>
    <w:p w14:paraId="1E6826D2" w14:textId="77777777" w:rsidR="00366FFB" w:rsidRPr="00743CF7" w:rsidRDefault="00366FFB" w:rsidP="00366FFB">
      <w:pPr>
        <w:autoSpaceDE w:val="0"/>
        <w:autoSpaceDN w:val="0"/>
        <w:adjustRightInd w:val="0"/>
        <w:jc w:val="both"/>
        <w:rPr>
          <w:rFonts w:ascii="Abadi" w:hAnsi="Abadi" w:cs="*Calibri-Bold-11726-Identity-H"/>
          <w:b/>
          <w:bCs/>
          <w:color w:val="282828"/>
          <w:sz w:val="21"/>
          <w:szCs w:val="21"/>
        </w:rPr>
      </w:pPr>
    </w:p>
    <w:p w14:paraId="1CA615CA"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Arial-11727-Identity-H"/>
          <w:color w:val="282828"/>
          <w:sz w:val="21"/>
          <w:szCs w:val="21"/>
        </w:rPr>
      </w:pPr>
      <w:r w:rsidRPr="000D5978">
        <w:rPr>
          <w:rFonts w:ascii="Abadi" w:hAnsi="Abadi" w:cs="*Arial-11727-Identity-H"/>
          <w:color w:val="282828"/>
          <w:sz w:val="21"/>
          <w:szCs w:val="21"/>
        </w:rPr>
        <w:t>Fomentar los valores universales en los estudiantes y fortalecer su conciencia ética como integrantes de lo sociedad, así como en el ejercicio de su profesión;</w:t>
      </w:r>
    </w:p>
    <w:p w14:paraId="2A9EB582" w14:textId="77777777" w:rsidR="00366FFB" w:rsidRPr="00743CF7" w:rsidRDefault="00366FFB" w:rsidP="00366FFB">
      <w:pPr>
        <w:autoSpaceDE w:val="0"/>
        <w:autoSpaceDN w:val="0"/>
        <w:adjustRightInd w:val="0"/>
        <w:jc w:val="both"/>
        <w:rPr>
          <w:rFonts w:ascii="Abadi" w:hAnsi="Abadi" w:cs="*Arial-11727-Identity-H"/>
          <w:color w:val="262626"/>
          <w:sz w:val="21"/>
          <w:szCs w:val="21"/>
        </w:rPr>
      </w:pPr>
    </w:p>
    <w:p w14:paraId="25A60EE0"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Arial-11727-Identity-H"/>
          <w:color w:val="262626"/>
          <w:sz w:val="21"/>
          <w:szCs w:val="21"/>
        </w:rPr>
      </w:pPr>
      <w:r w:rsidRPr="000D5978">
        <w:rPr>
          <w:rFonts w:ascii="Abadi" w:hAnsi="Abadi" w:cs="*Arial-11727-Identity-H"/>
          <w:color w:val="262626"/>
          <w:sz w:val="21"/>
          <w:szCs w:val="21"/>
        </w:rPr>
        <w:t>Desarrollar en la conciencio del educando que sobre la base de la justicia, del respeto a los derechos humanos, la democracia y libertad, se darán las condiciones para reducir las desigualdades sociales; contribuyendo a construir, formar y desarrollar uno sociedad con mejores condiciones de vida;</w:t>
      </w:r>
    </w:p>
    <w:p w14:paraId="6E956843" w14:textId="77777777" w:rsidR="00366FFB" w:rsidRPr="00743CF7" w:rsidRDefault="00366FFB" w:rsidP="00366FFB">
      <w:pPr>
        <w:autoSpaceDE w:val="0"/>
        <w:autoSpaceDN w:val="0"/>
        <w:adjustRightInd w:val="0"/>
        <w:jc w:val="both"/>
        <w:rPr>
          <w:rFonts w:ascii="Abadi" w:hAnsi="Abadi" w:cs="*Arial-11727-Identity-H"/>
          <w:color w:val="262626"/>
          <w:sz w:val="21"/>
          <w:szCs w:val="21"/>
        </w:rPr>
      </w:pPr>
    </w:p>
    <w:p w14:paraId="74CDB7B7"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Arial-11727-Identity-H"/>
          <w:color w:val="292929"/>
          <w:sz w:val="21"/>
          <w:szCs w:val="21"/>
        </w:rPr>
      </w:pPr>
      <w:r w:rsidRPr="000D5978">
        <w:rPr>
          <w:rFonts w:ascii="Abadi" w:hAnsi="Abadi" w:cs="*Arial-11727-Identity-H"/>
          <w:color w:val="292929"/>
          <w:sz w:val="21"/>
          <w:szCs w:val="21"/>
        </w:rPr>
        <w:t xml:space="preserve">Fomentar en los estudiantes la valoración de la diversidad y la cultura de inclusión como condiciones para el enriquecimiento social y cultural; </w:t>
      </w:r>
    </w:p>
    <w:p w14:paraId="130DDE8B" w14:textId="77777777" w:rsidR="00366FFB" w:rsidRPr="00743CF7" w:rsidRDefault="00366FFB" w:rsidP="00366FFB">
      <w:pPr>
        <w:autoSpaceDE w:val="0"/>
        <w:autoSpaceDN w:val="0"/>
        <w:adjustRightInd w:val="0"/>
        <w:jc w:val="both"/>
        <w:rPr>
          <w:rFonts w:ascii="Abadi" w:hAnsi="Abadi" w:cs="*Arial-11727-Identity-H"/>
          <w:color w:val="292929"/>
          <w:sz w:val="21"/>
          <w:szCs w:val="21"/>
        </w:rPr>
      </w:pPr>
    </w:p>
    <w:p w14:paraId="161F461A"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Arial-11727-Identity-H"/>
          <w:color w:val="282828"/>
          <w:sz w:val="21"/>
          <w:szCs w:val="21"/>
        </w:rPr>
      </w:pPr>
      <w:r w:rsidRPr="000D5978">
        <w:rPr>
          <w:rFonts w:ascii="Abadi" w:hAnsi="Abadi" w:cs="*Arial-11727-Identity-H"/>
          <w:color w:val="282828"/>
          <w:sz w:val="21"/>
          <w:szCs w:val="21"/>
        </w:rPr>
        <w:t xml:space="preserve">Contribuir al desarrollo social, cultural. científico, humanístico, productivo y económico del Estado, a través de la formación profesional de personas con capacidad creativa, innovadora y emprendedora, con un alto compromiso social, que pongan al servicio de la sociedad sus conocimientos; </w:t>
      </w:r>
    </w:p>
    <w:p w14:paraId="48D1117C" w14:textId="77777777" w:rsidR="00366FFB" w:rsidRPr="00743CF7" w:rsidRDefault="00366FFB" w:rsidP="00366FFB">
      <w:pPr>
        <w:autoSpaceDE w:val="0"/>
        <w:autoSpaceDN w:val="0"/>
        <w:adjustRightInd w:val="0"/>
        <w:jc w:val="both"/>
        <w:rPr>
          <w:rFonts w:ascii="Abadi" w:hAnsi="Abadi" w:cs="*Arial-11727-Identity-H"/>
          <w:color w:val="282828"/>
          <w:sz w:val="21"/>
          <w:szCs w:val="21"/>
        </w:rPr>
      </w:pPr>
    </w:p>
    <w:p w14:paraId="1798AB2D"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Microsoft Sans Serif-11392-Ide"/>
          <w:color w:val="272727"/>
          <w:sz w:val="21"/>
          <w:szCs w:val="21"/>
        </w:rPr>
      </w:pPr>
      <w:r w:rsidRPr="000D5978">
        <w:rPr>
          <w:rFonts w:ascii="Abadi" w:hAnsi="Abadi" w:cs="*Arial-11727-Identity-H"/>
          <w:color w:val="2A2A2A"/>
          <w:sz w:val="21"/>
          <w:szCs w:val="21"/>
        </w:rPr>
        <w:t>Coadyuvar. a través de la generación, transmisión, aplicación y difusión del conocimiento</w:t>
      </w:r>
      <w:r w:rsidRPr="000D5978">
        <w:rPr>
          <w:rFonts w:ascii="Abadi" w:hAnsi="Abadi" w:cs="*Times New Roman-11720-Identity"/>
          <w:color w:val="2A2A2A"/>
          <w:sz w:val="21"/>
          <w:szCs w:val="21"/>
        </w:rPr>
        <w:t xml:space="preserve">1 </w:t>
      </w:r>
      <w:r w:rsidRPr="000D5978">
        <w:rPr>
          <w:rFonts w:ascii="Abadi" w:hAnsi="Abadi" w:cs="*Arial-11727-Identity-H"/>
          <w:color w:val="2A2A2A"/>
          <w:sz w:val="21"/>
          <w:szCs w:val="21"/>
        </w:rPr>
        <w:t xml:space="preserve">a la solución de los problemas locales, regionales, nacionales </w:t>
      </w:r>
      <w:r w:rsidRPr="000D5978">
        <w:rPr>
          <w:rFonts w:ascii="Abadi" w:hAnsi="Abadi" w:cs="*Microsoft Sans Serif-11392-Ide"/>
          <w:color w:val="272727"/>
          <w:sz w:val="21"/>
          <w:szCs w:val="21"/>
        </w:rPr>
        <w:t xml:space="preserve">e internacionales, di cuidado </w:t>
      </w:r>
      <w:r w:rsidRPr="000D5978">
        <w:rPr>
          <w:rFonts w:ascii="Abadi" w:hAnsi="Abadi" w:cs="*Calibri-11389-Identity-H"/>
          <w:color w:val="272727"/>
          <w:sz w:val="21"/>
          <w:szCs w:val="21"/>
        </w:rPr>
        <w:t xml:space="preserve">y </w:t>
      </w:r>
      <w:r w:rsidRPr="000D5978">
        <w:rPr>
          <w:rFonts w:ascii="Abadi" w:hAnsi="Abadi" w:cs="*Microsoft Sans Serif-11392-Ide"/>
          <w:color w:val="272727"/>
          <w:sz w:val="21"/>
          <w:szCs w:val="21"/>
        </w:rPr>
        <w:t>sustentabilidad del medio ambiente y al desarrollo sostenible;</w:t>
      </w:r>
    </w:p>
    <w:p w14:paraId="56EB8AC1" w14:textId="77777777" w:rsidR="00366FFB" w:rsidRPr="00743CF7" w:rsidRDefault="00366FFB" w:rsidP="00366FFB">
      <w:pPr>
        <w:autoSpaceDE w:val="0"/>
        <w:autoSpaceDN w:val="0"/>
        <w:adjustRightInd w:val="0"/>
        <w:jc w:val="both"/>
        <w:rPr>
          <w:rFonts w:ascii="Abadi" w:hAnsi="Abadi" w:cs="*Microsoft Sans Serif-11392-Ide"/>
          <w:color w:val="272727"/>
          <w:sz w:val="21"/>
          <w:szCs w:val="21"/>
        </w:rPr>
      </w:pPr>
    </w:p>
    <w:p w14:paraId="2536EACD"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Microsoft Sans Serif-11392-Ide"/>
          <w:color w:val="272727"/>
          <w:sz w:val="21"/>
          <w:szCs w:val="21"/>
        </w:rPr>
      </w:pPr>
      <w:r w:rsidRPr="000D5978">
        <w:rPr>
          <w:rFonts w:ascii="Abadi" w:hAnsi="Abadi" w:cs="*Microsoft Sans Serif-11392-Ide"/>
          <w:color w:val="282828"/>
          <w:sz w:val="21"/>
          <w:szCs w:val="21"/>
        </w:rPr>
        <w:t xml:space="preserve">Fomentar uno conciencio de respeto a los derechos humanos de la persono y de la sociedad como medio de conservar la paz </w:t>
      </w:r>
      <w:r w:rsidRPr="000D5978">
        <w:rPr>
          <w:rFonts w:ascii="Abadi" w:hAnsi="Abadi" w:cs="*Times New Roman-Italic-11386-I"/>
          <w:i/>
          <w:iCs/>
          <w:color w:val="282828"/>
          <w:sz w:val="21"/>
          <w:szCs w:val="21"/>
        </w:rPr>
        <w:t xml:space="preserve">y </w:t>
      </w:r>
      <w:r w:rsidRPr="000D5978">
        <w:rPr>
          <w:rFonts w:ascii="Abadi" w:hAnsi="Abadi" w:cs="*Microsoft Sans Serif-11392-Ide"/>
          <w:color w:val="282828"/>
          <w:sz w:val="21"/>
          <w:szCs w:val="21"/>
        </w:rPr>
        <w:t xml:space="preserve">la convivencia humana; así como la difusión de los derechos humanos de los estudiantes y las formas de protección con que cuentan para ejercerlos; </w:t>
      </w:r>
      <w:r w:rsidRPr="000D5978">
        <w:rPr>
          <w:rFonts w:ascii="Abadi" w:hAnsi="Abadi" w:cs="*Arial-Bold-11390-Identity-H"/>
          <w:color w:val="272727"/>
          <w:sz w:val="21"/>
          <w:szCs w:val="21"/>
        </w:rPr>
        <w:t xml:space="preserve">XIV. </w:t>
      </w:r>
      <w:r w:rsidRPr="000D5978">
        <w:rPr>
          <w:rFonts w:ascii="Abadi" w:hAnsi="Abadi" w:cs="*Microsoft Sans Serif-11392-Ide"/>
          <w:color w:val="272727"/>
          <w:sz w:val="21"/>
          <w:szCs w:val="21"/>
        </w:rPr>
        <w:t xml:space="preserve">Impulsar que los educandos desarrollen su autoestima, la responsabilidad familiar, el respeto </w:t>
      </w:r>
      <w:r w:rsidRPr="000D5978">
        <w:rPr>
          <w:rFonts w:ascii="Abadi" w:hAnsi="Abadi" w:cs="*Calibri-11389-Identity-H"/>
          <w:color w:val="272727"/>
          <w:sz w:val="21"/>
          <w:szCs w:val="21"/>
        </w:rPr>
        <w:t xml:space="preserve">y </w:t>
      </w:r>
      <w:r w:rsidRPr="000D5978">
        <w:rPr>
          <w:rFonts w:ascii="Abadi" w:hAnsi="Abadi" w:cs="*Microsoft Sans Serif-11392-Ide"/>
          <w:color w:val="272727"/>
          <w:sz w:val="21"/>
          <w:szCs w:val="21"/>
        </w:rPr>
        <w:t xml:space="preserve">la tolerancia a las diferencias, a favor de la construcción de una cultura de igualdad entre los géneros con equidad; </w:t>
      </w:r>
    </w:p>
    <w:p w14:paraId="46DA8866" w14:textId="77777777" w:rsidR="00366FFB" w:rsidRPr="00743CF7" w:rsidRDefault="00366FFB" w:rsidP="00366FFB">
      <w:pPr>
        <w:autoSpaceDE w:val="0"/>
        <w:autoSpaceDN w:val="0"/>
        <w:adjustRightInd w:val="0"/>
        <w:jc w:val="both"/>
        <w:rPr>
          <w:rFonts w:ascii="Abadi" w:hAnsi="Abadi" w:cs="*Microsoft Sans Serif-11392-Ide"/>
          <w:color w:val="272727"/>
          <w:sz w:val="21"/>
          <w:szCs w:val="21"/>
        </w:rPr>
      </w:pPr>
    </w:p>
    <w:p w14:paraId="48AF874C"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Microsoft Sans Serif-11392-Ide"/>
          <w:color w:val="1F1F1F"/>
          <w:sz w:val="21"/>
          <w:szCs w:val="21"/>
        </w:rPr>
      </w:pPr>
      <w:r>
        <w:rPr>
          <w:rFonts w:ascii="Abadi" w:hAnsi="Abadi" w:cs="*Arial-Bold-11390-Identity-H"/>
          <w:b/>
          <w:bCs/>
          <w:color w:val="1F1F1F"/>
          <w:sz w:val="21"/>
          <w:szCs w:val="21"/>
        </w:rPr>
        <w:t xml:space="preserve"> </w:t>
      </w:r>
      <w:r w:rsidRPr="000D5978">
        <w:rPr>
          <w:rFonts w:ascii="Abadi" w:hAnsi="Abadi" w:cs="*Microsoft Sans Serif-11392-Ide"/>
          <w:color w:val="1F1F1F"/>
          <w:sz w:val="21"/>
          <w:szCs w:val="21"/>
        </w:rPr>
        <w:t>Fortalecer los programas destinados a la formación de la cultura de la legalidad, la inclusión y la no discriminación. la paz y protección del ambiente:</w:t>
      </w:r>
    </w:p>
    <w:p w14:paraId="10E64B13" w14:textId="77777777" w:rsidR="00366FFB" w:rsidRPr="00743CF7" w:rsidRDefault="00366FFB" w:rsidP="00366FFB">
      <w:pPr>
        <w:autoSpaceDE w:val="0"/>
        <w:autoSpaceDN w:val="0"/>
        <w:adjustRightInd w:val="0"/>
        <w:jc w:val="both"/>
        <w:rPr>
          <w:rFonts w:ascii="Abadi" w:hAnsi="Abadi" w:cs="*Microsoft Sans Serif-11392-Ide"/>
          <w:color w:val="1F1F1F"/>
          <w:sz w:val="21"/>
          <w:szCs w:val="21"/>
        </w:rPr>
      </w:pPr>
    </w:p>
    <w:p w14:paraId="6DDAD0EC"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Microsoft Sans Serif-11392-Ide"/>
          <w:color w:val="282828"/>
          <w:sz w:val="21"/>
          <w:szCs w:val="21"/>
        </w:rPr>
      </w:pPr>
      <w:r w:rsidRPr="000D5978">
        <w:rPr>
          <w:rFonts w:ascii="Abadi" w:hAnsi="Abadi" w:cs="*Microsoft Sans Serif-11392-Ide"/>
          <w:color w:val="282828"/>
          <w:sz w:val="21"/>
          <w:szCs w:val="21"/>
        </w:rPr>
        <w:t xml:space="preserve">Asegurar que los estudiantes reciban una formación integral, mediante la aplicación de modelos educativos centrados en el aprendizaje, en el desarrollo de habilidades </w:t>
      </w:r>
      <w:r w:rsidRPr="000D5978">
        <w:rPr>
          <w:rFonts w:ascii="Abadi" w:hAnsi="Abadi" w:cs="*Calibri-11389-Identity-H"/>
          <w:color w:val="282828"/>
          <w:sz w:val="21"/>
          <w:szCs w:val="21"/>
        </w:rPr>
        <w:t xml:space="preserve">y </w:t>
      </w:r>
      <w:r w:rsidRPr="000D5978">
        <w:rPr>
          <w:rFonts w:ascii="Abadi" w:hAnsi="Abadi" w:cs="*Microsoft Sans Serif-11392-Ide"/>
          <w:color w:val="282828"/>
          <w:sz w:val="21"/>
          <w:szCs w:val="21"/>
        </w:rPr>
        <w:t xml:space="preserve">actitudes </w:t>
      </w:r>
      <w:r w:rsidRPr="000D5978">
        <w:rPr>
          <w:rFonts w:ascii="Abadi" w:hAnsi="Abadi" w:cs="*Calibri-11389-Identity-H"/>
          <w:color w:val="282828"/>
          <w:sz w:val="21"/>
          <w:szCs w:val="21"/>
        </w:rPr>
        <w:t xml:space="preserve">y </w:t>
      </w:r>
      <w:r w:rsidRPr="000D5978">
        <w:rPr>
          <w:rFonts w:ascii="Abadi" w:hAnsi="Abadi" w:cs="*Microsoft Sans Serif-11392-Ide"/>
          <w:color w:val="282828"/>
          <w:sz w:val="21"/>
          <w:szCs w:val="21"/>
        </w:rPr>
        <w:t xml:space="preserve">en la práctica de valores que les permitan desarrollarse mejor como personas, </w:t>
      </w:r>
      <w:r w:rsidRPr="000D5978">
        <w:rPr>
          <w:rFonts w:ascii="Abadi" w:hAnsi="Abadi" w:cs="*Calibri-11389-Identity-H"/>
          <w:color w:val="282828"/>
          <w:sz w:val="21"/>
          <w:szCs w:val="21"/>
        </w:rPr>
        <w:t xml:space="preserve">y </w:t>
      </w:r>
      <w:r w:rsidRPr="000D5978">
        <w:rPr>
          <w:rFonts w:ascii="Abadi" w:hAnsi="Abadi" w:cs="*Microsoft Sans Serif-11392-Ide"/>
          <w:color w:val="282828"/>
          <w:sz w:val="21"/>
          <w:szCs w:val="21"/>
        </w:rPr>
        <w:t>como profesionistas en un mundo cada vez más global que requiere la interacción con personas de diferentes culturas; y</w:t>
      </w:r>
    </w:p>
    <w:p w14:paraId="7E8DD056" w14:textId="77777777" w:rsidR="00366FFB" w:rsidRPr="00743CF7" w:rsidRDefault="00366FFB" w:rsidP="00366FFB">
      <w:pPr>
        <w:autoSpaceDE w:val="0"/>
        <w:autoSpaceDN w:val="0"/>
        <w:adjustRightInd w:val="0"/>
        <w:jc w:val="both"/>
        <w:rPr>
          <w:rFonts w:ascii="Abadi" w:hAnsi="Abadi" w:cs="*Microsoft Sans Serif-11392-Ide"/>
          <w:color w:val="282828"/>
          <w:sz w:val="21"/>
          <w:szCs w:val="21"/>
        </w:rPr>
      </w:pPr>
    </w:p>
    <w:p w14:paraId="217E74F2" w14:textId="77777777" w:rsidR="00366FFB" w:rsidRPr="000D5978" w:rsidRDefault="00366FFB" w:rsidP="005C6EBB">
      <w:pPr>
        <w:pStyle w:val="Prrafodelista"/>
        <w:numPr>
          <w:ilvl w:val="0"/>
          <w:numId w:val="12"/>
        </w:numPr>
        <w:autoSpaceDE w:val="0"/>
        <w:autoSpaceDN w:val="0"/>
        <w:adjustRightInd w:val="0"/>
        <w:contextualSpacing/>
        <w:jc w:val="both"/>
        <w:rPr>
          <w:rFonts w:ascii="Abadi" w:hAnsi="Abadi" w:cs="*Microsoft Sans Serif-11392-Ide"/>
          <w:color w:val="272727"/>
          <w:sz w:val="21"/>
          <w:szCs w:val="21"/>
        </w:rPr>
      </w:pPr>
      <w:r w:rsidRPr="000D5978">
        <w:rPr>
          <w:rFonts w:ascii="Abadi" w:hAnsi="Abadi" w:cs="*Microsoft Sans Serif-11392-Ide"/>
          <w:color w:val="272727"/>
          <w:sz w:val="21"/>
          <w:szCs w:val="21"/>
        </w:rPr>
        <w:t xml:space="preserve">Facilitar la incorporación de estudiantes a los sectores productivo </w:t>
      </w:r>
      <w:r w:rsidRPr="000D5978">
        <w:rPr>
          <w:rFonts w:ascii="Abadi" w:hAnsi="Abadi" w:cs="*Calibri-11389-Identity-H"/>
          <w:color w:val="272727"/>
          <w:sz w:val="21"/>
          <w:szCs w:val="21"/>
        </w:rPr>
        <w:t xml:space="preserve">y </w:t>
      </w:r>
      <w:r w:rsidRPr="000D5978">
        <w:rPr>
          <w:rFonts w:ascii="Abadi" w:hAnsi="Abadi" w:cs="*Microsoft Sans Serif-11392-Ide"/>
          <w:color w:val="272727"/>
          <w:sz w:val="21"/>
          <w:szCs w:val="21"/>
        </w:rPr>
        <w:t>laboral.</w:t>
      </w:r>
    </w:p>
    <w:p w14:paraId="0B592B94" w14:textId="77777777" w:rsidR="00366FFB" w:rsidRPr="00743CF7" w:rsidRDefault="00366FFB" w:rsidP="00366FFB">
      <w:pPr>
        <w:autoSpaceDE w:val="0"/>
        <w:autoSpaceDN w:val="0"/>
        <w:adjustRightInd w:val="0"/>
        <w:jc w:val="both"/>
        <w:rPr>
          <w:rFonts w:ascii="Abadi" w:hAnsi="Abadi" w:cs="*Arial-Bold-11390-Identity-H"/>
          <w:b/>
          <w:bCs/>
          <w:color w:val="101010"/>
          <w:sz w:val="21"/>
          <w:szCs w:val="21"/>
        </w:rPr>
      </w:pPr>
    </w:p>
    <w:p w14:paraId="76E98110" w14:textId="77777777" w:rsidR="00366FFB" w:rsidRPr="00743CF7" w:rsidRDefault="00366FFB" w:rsidP="00366FFB">
      <w:pPr>
        <w:autoSpaceDE w:val="0"/>
        <w:autoSpaceDN w:val="0"/>
        <w:adjustRightInd w:val="0"/>
        <w:jc w:val="center"/>
        <w:rPr>
          <w:rFonts w:ascii="Abadi" w:hAnsi="Abadi" w:cs="*Arial-Bold-11390-Identity-H"/>
          <w:b/>
          <w:bCs/>
          <w:color w:val="101010"/>
          <w:sz w:val="21"/>
          <w:szCs w:val="21"/>
        </w:rPr>
      </w:pPr>
      <w:r w:rsidRPr="00743CF7">
        <w:rPr>
          <w:rFonts w:ascii="Abadi" w:hAnsi="Abadi" w:cs="*Arial-Bold-11390-Identity-H"/>
          <w:b/>
          <w:bCs/>
          <w:color w:val="101010"/>
          <w:sz w:val="21"/>
          <w:szCs w:val="21"/>
        </w:rPr>
        <w:t>Capítulo III</w:t>
      </w:r>
    </w:p>
    <w:p w14:paraId="77093AC5" w14:textId="77777777" w:rsidR="00366FFB" w:rsidRPr="00743CF7" w:rsidRDefault="00366FFB" w:rsidP="00366FFB">
      <w:pPr>
        <w:autoSpaceDE w:val="0"/>
        <w:autoSpaceDN w:val="0"/>
        <w:adjustRightInd w:val="0"/>
        <w:jc w:val="center"/>
        <w:rPr>
          <w:rFonts w:ascii="Abadi" w:hAnsi="Abadi" w:cs="*Arial-Bold-11390-Identity-H"/>
          <w:b/>
          <w:bCs/>
          <w:color w:val="101010"/>
          <w:sz w:val="21"/>
          <w:szCs w:val="21"/>
        </w:rPr>
      </w:pPr>
    </w:p>
    <w:p w14:paraId="3820906D" w14:textId="77777777" w:rsidR="00366FFB" w:rsidRPr="00743CF7" w:rsidRDefault="00366FFB" w:rsidP="00366FFB">
      <w:pPr>
        <w:autoSpaceDE w:val="0"/>
        <w:autoSpaceDN w:val="0"/>
        <w:adjustRightInd w:val="0"/>
        <w:jc w:val="center"/>
        <w:rPr>
          <w:rFonts w:ascii="Abadi" w:hAnsi="Abadi" w:cs="*Arial-Bold-11390-Identity-H"/>
          <w:b/>
          <w:bCs/>
          <w:color w:val="0E0E0E"/>
          <w:sz w:val="21"/>
          <w:szCs w:val="21"/>
        </w:rPr>
      </w:pPr>
      <w:r w:rsidRPr="00743CF7">
        <w:rPr>
          <w:rFonts w:ascii="Abadi" w:hAnsi="Abadi" w:cs="*Arial-Bold-11390-Identity-H"/>
          <w:b/>
          <w:bCs/>
          <w:color w:val="0E0E0E"/>
          <w:sz w:val="21"/>
          <w:szCs w:val="21"/>
        </w:rPr>
        <w:t>Desarrollo Humano en la educación superior</w:t>
      </w:r>
    </w:p>
    <w:p w14:paraId="54517EFC" w14:textId="77777777" w:rsidR="00366FFB" w:rsidRDefault="00366FFB" w:rsidP="00366FFB">
      <w:pPr>
        <w:autoSpaceDE w:val="0"/>
        <w:autoSpaceDN w:val="0"/>
        <w:adjustRightInd w:val="0"/>
        <w:jc w:val="both"/>
        <w:rPr>
          <w:rFonts w:ascii="Abadi" w:hAnsi="Abadi" w:cs="*Arial-BoldItalic-11391-Identit"/>
          <w:b/>
          <w:bCs/>
          <w:i/>
          <w:iCs/>
          <w:color w:val="0D0D0D"/>
          <w:sz w:val="21"/>
          <w:szCs w:val="21"/>
        </w:rPr>
      </w:pPr>
    </w:p>
    <w:p w14:paraId="55817E22" w14:textId="77777777" w:rsidR="00366FFB" w:rsidRPr="00743CF7" w:rsidRDefault="00366FFB" w:rsidP="00366FFB">
      <w:pPr>
        <w:autoSpaceDE w:val="0"/>
        <w:autoSpaceDN w:val="0"/>
        <w:adjustRightInd w:val="0"/>
        <w:jc w:val="right"/>
        <w:rPr>
          <w:rFonts w:ascii="Abadi" w:hAnsi="Abadi" w:cs="*Arial-BoldItalic-11391-Identit"/>
          <w:b/>
          <w:bCs/>
          <w:i/>
          <w:iCs/>
          <w:color w:val="0D0D0D"/>
          <w:sz w:val="21"/>
          <w:szCs w:val="21"/>
        </w:rPr>
      </w:pPr>
      <w:r w:rsidRPr="00743CF7">
        <w:rPr>
          <w:rFonts w:ascii="Abadi" w:hAnsi="Abadi" w:cs="*Arial-BoldItalic-11391-Identit"/>
          <w:b/>
          <w:bCs/>
          <w:i/>
          <w:iCs/>
          <w:color w:val="0D0D0D"/>
          <w:sz w:val="21"/>
          <w:szCs w:val="21"/>
        </w:rPr>
        <w:t>Desarrollo humano</w:t>
      </w:r>
    </w:p>
    <w:p w14:paraId="63D0D077" w14:textId="77777777" w:rsidR="00366FFB" w:rsidRPr="00743CF7" w:rsidRDefault="00366FFB" w:rsidP="00366FFB">
      <w:pPr>
        <w:autoSpaceDE w:val="0"/>
        <w:autoSpaceDN w:val="0"/>
        <w:adjustRightInd w:val="0"/>
        <w:ind w:firstLine="708"/>
        <w:jc w:val="both"/>
        <w:rPr>
          <w:rFonts w:ascii="Abadi" w:hAnsi="Abadi" w:cs="*Microsoft Sans Serif-11392-Ide"/>
          <w:color w:val="282828"/>
          <w:sz w:val="21"/>
          <w:szCs w:val="21"/>
        </w:rPr>
      </w:pPr>
      <w:r w:rsidRPr="00743CF7">
        <w:rPr>
          <w:rFonts w:ascii="Abadi" w:hAnsi="Abadi" w:cs="*Arial-Bold-11390-Identity-H"/>
          <w:b/>
          <w:bCs/>
          <w:color w:val="282828"/>
          <w:sz w:val="21"/>
          <w:szCs w:val="21"/>
        </w:rPr>
        <w:t xml:space="preserve">Artículo 12. </w:t>
      </w:r>
      <w:r w:rsidRPr="00743CF7">
        <w:rPr>
          <w:rFonts w:ascii="Abadi" w:hAnsi="Abadi" w:cs="*Microsoft Sans Serif-11392-Ide"/>
          <w:color w:val="282828"/>
          <w:sz w:val="21"/>
          <w:szCs w:val="21"/>
        </w:rPr>
        <w:t>La educación superior, además de lo estipulado en el artículo 7 de la Ley General de Educación Superior, fomentará el desarrollo humano integral del estudiante en la construcción de saberes</w:t>
      </w:r>
      <w:r w:rsidRPr="00743CF7">
        <w:rPr>
          <w:rFonts w:ascii="Abadi" w:hAnsi="Abadi" w:cs="*Times New Roman-11385-Identity"/>
          <w:color w:val="282828"/>
          <w:sz w:val="21"/>
          <w:szCs w:val="21"/>
        </w:rPr>
        <w:t xml:space="preserve">1 </w:t>
      </w:r>
      <w:r w:rsidRPr="00743CF7">
        <w:rPr>
          <w:rFonts w:ascii="Abadi" w:hAnsi="Abadi" w:cs="*Microsoft Sans Serif-11392-Ide"/>
          <w:color w:val="282828"/>
          <w:sz w:val="21"/>
          <w:szCs w:val="21"/>
        </w:rPr>
        <w:t>basado en lo siguiente:</w:t>
      </w:r>
    </w:p>
    <w:p w14:paraId="5CDA5792" w14:textId="77777777" w:rsidR="00366FFB" w:rsidRPr="00743CF7" w:rsidRDefault="00366FFB" w:rsidP="00366FFB">
      <w:pPr>
        <w:autoSpaceDE w:val="0"/>
        <w:autoSpaceDN w:val="0"/>
        <w:adjustRightInd w:val="0"/>
        <w:jc w:val="both"/>
        <w:rPr>
          <w:rFonts w:ascii="Abadi" w:hAnsi="Abadi" w:cs="*Microsoft Sans Serif-11392-Ide"/>
          <w:color w:val="282828"/>
          <w:sz w:val="21"/>
          <w:szCs w:val="21"/>
        </w:rPr>
      </w:pPr>
    </w:p>
    <w:p w14:paraId="3F5E5CEC" w14:textId="77777777" w:rsidR="00366FFB" w:rsidRPr="000D5978" w:rsidRDefault="00366FFB" w:rsidP="005C6EBB">
      <w:pPr>
        <w:pStyle w:val="Prrafodelista"/>
        <w:numPr>
          <w:ilvl w:val="0"/>
          <w:numId w:val="13"/>
        </w:numPr>
        <w:autoSpaceDE w:val="0"/>
        <w:autoSpaceDN w:val="0"/>
        <w:adjustRightInd w:val="0"/>
        <w:contextualSpacing/>
        <w:jc w:val="both"/>
        <w:rPr>
          <w:rFonts w:ascii="Abadi" w:hAnsi="Abadi" w:cs="*Microsoft Sans Serif-11392-Ide"/>
          <w:color w:val="2A2A2A"/>
          <w:sz w:val="21"/>
          <w:szCs w:val="21"/>
        </w:rPr>
      </w:pPr>
      <w:r w:rsidRPr="000D5978">
        <w:rPr>
          <w:rFonts w:ascii="Abadi" w:hAnsi="Abadi" w:cs="*Microsoft Sans Serif-11392-Ide"/>
          <w:color w:val="2A2A2A"/>
          <w:sz w:val="21"/>
          <w:szCs w:val="21"/>
        </w:rPr>
        <w:t>La dignidad de la persona. en un marco de igualdad sustantiva, inclusión y no discriminación, así como el respeto de los derechos humanos;</w:t>
      </w:r>
    </w:p>
    <w:p w14:paraId="221F9E41" w14:textId="77777777" w:rsidR="00366FFB" w:rsidRPr="00743CF7" w:rsidRDefault="00366FFB" w:rsidP="00366FFB">
      <w:pPr>
        <w:jc w:val="both"/>
        <w:rPr>
          <w:rFonts w:ascii="Abadi" w:hAnsi="Abadi" w:cs="*Microsoft Sans Serif-11392-Ide"/>
          <w:color w:val="2A2A2A"/>
          <w:sz w:val="21"/>
          <w:szCs w:val="21"/>
        </w:rPr>
      </w:pPr>
    </w:p>
    <w:p w14:paraId="3206F942" w14:textId="77777777" w:rsidR="00366FFB" w:rsidRPr="000D5978" w:rsidRDefault="00366FFB" w:rsidP="005C6EBB">
      <w:pPr>
        <w:pStyle w:val="Prrafodelista"/>
        <w:numPr>
          <w:ilvl w:val="0"/>
          <w:numId w:val="13"/>
        </w:numPr>
        <w:autoSpaceDE w:val="0"/>
        <w:autoSpaceDN w:val="0"/>
        <w:adjustRightInd w:val="0"/>
        <w:contextualSpacing/>
        <w:jc w:val="both"/>
        <w:rPr>
          <w:rFonts w:ascii="Abadi" w:hAnsi="Abadi" w:cs="*Microsoft Sans Serif-11252-Ide"/>
          <w:color w:val="2B2B2B"/>
          <w:sz w:val="21"/>
          <w:szCs w:val="21"/>
        </w:rPr>
      </w:pPr>
      <w:r w:rsidRPr="000D5978">
        <w:rPr>
          <w:rFonts w:ascii="Abadi" w:hAnsi="Abadi" w:cs="*Microsoft Sans Serif-11252-Ide"/>
          <w:color w:val="2B2B2B"/>
          <w:sz w:val="21"/>
          <w:szCs w:val="21"/>
        </w:rPr>
        <w:t>El reconocimiento, respeto y promoción de la diversidad e interculturalidad y sus procesos formativos;</w:t>
      </w:r>
    </w:p>
    <w:p w14:paraId="5095240E" w14:textId="77777777" w:rsidR="00366FFB" w:rsidRPr="00743CF7" w:rsidRDefault="00366FFB" w:rsidP="00366FFB">
      <w:pPr>
        <w:autoSpaceDE w:val="0"/>
        <w:autoSpaceDN w:val="0"/>
        <w:adjustRightInd w:val="0"/>
        <w:jc w:val="both"/>
        <w:rPr>
          <w:rFonts w:ascii="Abadi" w:hAnsi="Abadi" w:cs="*Microsoft Sans Serif-11252-Ide"/>
          <w:color w:val="2B2B2B"/>
          <w:sz w:val="21"/>
          <w:szCs w:val="21"/>
        </w:rPr>
      </w:pPr>
    </w:p>
    <w:p w14:paraId="04950714" w14:textId="77777777" w:rsidR="00366FFB" w:rsidRPr="000D5978" w:rsidRDefault="00366FFB" w:rsidP="005C6EBB">
      <w:pPr>
        <w:pStyle w:val="Prrafodelista"/>
        <w:numPr>
          <w:ilvl w:val="0"/>
          <w:numId w:val="13"/>
        </w:numPr>
        <w:autoSpaceDE w:val="0"/>
        <w:autoSpaceDN w:val="0"/>
        <w:adjustRightInd w:val="0"/>
        <w:contextualSpacing/>
        <w:jc w:val="both"/>
        <w:rPr>
          <w:rFonts w:ascii="Abadi" w:hAnsi="Abadi" w:cs="*Microsoft Sans Serif-11252-Ide"/>
          <w:color w:val="292929"/>
          <w:sz w:val="21"/>
          <w:szCs w:val="21"/>
        </w:rPr>
      </w:pPr>
      <w:r w:rsidRPr="000D5978">
        <w:rPr>
          <w:rFonts w:ascii="Abadi" w:hAnsi="Abadi" w:cs="*Microsoft Sans Serif-11252-Ide"/>
          <w:color w:val="2A2A2A"/>
          <w:sz w:val="21"/>
          <w:szCs w:val="21"/>
        </w:rPr>
        <w:t xml:space="preserve">Lo preservación y transmisión de la cultura, tradiciones, lenguas, historia e </w:t>
      </w:r>
      <w:r w:rsidRPr="000D5978">
        <w:rPr>
          <w:rFonts w:ascii="Abadi" w:hAnsi="Abadi" w:cs="*Microsoft Sans Serif-11252-Ide"/>
          <w:color w:val="292929"/>
          <w:sz w:val="21"/>
          <w:szCs w:val="21"/>
        </w:rPr>
        <w:t>identidad del Estado;</w:t>
      </w:r>
    </w:p>
    <w:p w14:paraId="643D4382" w14:textId="77777777" w:rsidR="00366FFB" w:rsidRPr="00743CF7" w:rsidRDefault="00366FFB" w:rsidP="00366FFB">
      <w:pPr>
        <w:autoSpaceDE w:val="0"/>
        <w:autoSpaceDN w:val="0"/>
        <w:adjustRightInd w:val="0"/>
        <w:jc w:val="both"/>
        <w:rPr>
          <w:rFonts w:ascii="Abadi" w:hAnsi="Abadi" w:cs="*Microsoft Sans Serif-11252-Ide"/>
          <w:color w:val="292929"/>
          <w:sz w:val="21"/>
          <w:szCs w:val="21"/>
        </w:rPr>
      </w:pPr>
    </w:p>
    <w:p w14:paraId="1D53C9BD" w14:textId="77777777" w:rsidR="00366FFB" w:rsidRPr="000D5978" w:rsidRDefault="00366FFB" w:rsidP="005C6EBB">
      <w:pPr>
        <w:pStyle w:val="Prrafodelista"/>
        <w:numPr>
          <w:ilvl w:val="0"/>
          <w:numId w:val="13"/>
        </w:numPr>
        <w:autoSpaceDE w:val="0"/>
        <w:autoSpaceDN w:val="0"/>
        <w:adjustRightInd w:val="0"/>
        <w:contextualSpacing/>
        <w:jc w:val="both"/>
        <w:rPr>
          <w:rFonts w:ascii="Abadi" w:hAnsi="Abadi" w:cs="*Microsoft Sans Serif-11252-Ide"/>
          <w:color w:val="282828"/>
          <w:sz w:val="21"/>
          <w:szCs w:val="21"/>
        </w:rPr>
      </w:pPr>
      <w:r w:rsidRPr="000D5978">
        <w:rPr>
          <w:rFonts w:ascii="Abadi" w:hAnsi="Abadi" w:cs="*Microsoft Sans Serif-11252-Ide"/>
          <w:color w:val="282828"/>
          <w:sz w:val="21"/>
          <w:szCs w:val="21"/>
        </w:rPr>
        <w:t>Promoción de la cohesión social;</w:t>
      </w:r>
    </w:p>
    <w:p w14:paraId="326F26A3" w14:textId="77777777" w:rsidR="00366FFB" w:rsidRPr="00743CF7" w:rsidRDefault="00366FFB" w:rsidP="00366FFB">
      <w:pPr>
        <w:autoSpaceDE w:val="0"/>
        <w:autoSpaceDN w:val="0"/>
        <w:adjustRightInd w:val="0"/>
        <w:jc w:val="both"/>
        <w:rPr>
          <w:rFonts w:ascii="Abadi" w:hAnsi="Abadi" w:cs="*Microsoft Sans Serif-11252-Ide"/>
          <w:color w:val="282828"/>
          <w:sz w:val="21"/>
          <w:szCs w:val="21"/>
        </w:rPr>
      </w:pPr>
    </w:p>
    <w:p w14:paraId="6D29FFEC" w14:textId="77777777" w:rsidR="00366FFB" w:rsidRPr="000D5978" w:rsidRDefault="00366FFB" w:rsidP="005C6EBB">
      <w:pPr>
        <w:pStyle w:val="Prrafodelista"/>
        <w:numPr>
          <w:ilvl w:val="0"/>
          <w:numId w:val="13"/>
        </w:numPr>
        <w:autoSpaceDE w:val="0"/>
        <w:autoSpaceDN w:val="0"/>
        <w:adjustRightInd w:val="0"/>
        <w:contextualSpacing/>
        <w:jc w:val="both"/>
        <w:rPr>
          <w:rFonts w:ascii="Abadi" w:hAnsi="Abadi" w:cs="*Microsoft Sans Serif-11252-Ide"/>
          <w:color w:val="292929"/>
          <w:sz w:val="21"/>
          <w:szCs w:val="21"/>
        </w:rPr>
      </w:pPr>
      <w:r w:rsidRPr="000D5978">
        <w:rPr>
          <w:rFonts w:ascii="Abadi" w:hAnsi="Abadi" w:cs="*Microsoft Sans Serif-11252-Ide"/>
          <w:color w:val="292929"/>
          <w:sz w:val="21"/>
          <w:szCs w:val="21"/>
        </w:rPr>
        <w:t>El acceso a la cultura, el arte y el deporte: y</w:t>
      </w:r>
    </w:p>
    <w:p w14:paraId="7F4BF039" w14:textId="77777777" w:rsidR="00366FFB" w:rsidRPr="00743CF7" w:rsidRDefault="00366FFB" w:rsidP="00366FFB">
      <w:pPr>
        <w:autoSpaceDE w:val="0"/>
        <w:autoSpaceDN w:val="0"/>
        <w:adjustRightInd w:val="0"/>
        <w:jc w:val="both"/>
        <w:rPr>
          <w:rFonts w:ascii="Abadi" w:hAnsi="Abadi" w:cs="*Microsoft Sans Serif-11252-Ide"/>
          <w:color w:val="292929"/>
          <w:sz w:val="21"/>
          <w:szCs w:val="21"/>
        </w:rPr>
      </w:pPr>
    </w:p>
    <w:p w14:paraId="1F4BC5B4" w14:textId="77777777" w:rsidR="00366FFB" w:rsidRPr="000D5978" w:rsidRDefault="00366FFB" w:rsidP="005C6EBB">
      <w:pPr>
        <w:pStyle w:val="Prrafodelista"/>
        <w:numPr>
          <w:ilvl w:val="0"/>
          <w:numId w:val="13"/>
        </w:numPr>
        <w:autoSpaceDE w:val="0"/>
        <w:autoSpaceDN w:val="0"/>
        <w:adjustRightInd w:val="0"/>
        <w:contextualSpacing/>
        <w:jc w:val="both"/>
        <w:rPr>
          <w:rFonts w:ascii="Abadi" w:hAnsi="Abadi" w:cs="*Microsoft Sans Serif-11252-Ide"/>
          <w:color w:val="2B2B2B"/>
          <w:sz w:val="21"/>
          <w:szCs w:val="21"/>
        </w:rPr>
      </w:pPr>
      <w:r w:rsidRPr="000D5978">
        <w:rPr>
          <w:rFonts w:ascii="Abadi" w:hAnsi="Abadi" w:cs="*Microsoft Sans Serif-11252-Ide"/>
          <w:color w:val="2B2B2B"/>
          <w:sz w:val="21"/>
          <w:szCs w:val="21"/>
        </w:rPr>
        <w:t>Proporcionar a través de los planes y programas, los elementos necesarios para que los estudiantes desarrollen el máximo potencial en el ejercicio de su profesión y en su relación con la sociedad.</w:t>
      </w:r>
    </w:p>
    <w:p w14:paraId="38EC3BC5" w14:textId="77777777" w:rsidR="00366FFB" w:rsidRPr="00743CF7" w:rsidRDefault="00366FFB" w:rsidP="00366FFB">
      <w:pPr>
        <w:autoSpaceDE w:val="0"/>
        <w:autoSpaceDN w:val="0"/>
        <w:adjustRightInd w:val="0"/>
        <w:jc w:val="both"/>
        <w:rPr>
          <w:rFonts w:ascii="Abadi" w:hAnsi="Abadi" w:cs="*Arial-BoldItalic-11251-Identit"/>
          <w:b/>
          <w:bCs/>
          <w:i/>
          <w:iCs/>
          <w:color w:val="151515"/>
          <w:sz w:val="21"/>
          <w:szCs w:val="21"/>
        </w:rPr>
      </w:pPr>
    </w:p>
    <w:p w14:paraId="59BDC2F1" w14:textId="77777777" w:rsidR="00366FFB" w:rsidRPr="00743CF7" w:rsidRDefault="00366FFB" w:rsidP="00366FFB">
      <w:pPr>
        <w:autoSpaceDE w:val="0"/>
        <w:autoSpaceDN w:val="0"/>
        <w:adjustRightInd w:val="0"/>
        <w:jc w:val="right"/>
        <w:rPr>
          <w:rFonts w:ascii="Abadi" w:hAnsi="Abadi" w:cs="*Arial-BoldItalic-11251-Identit"/>
          <w:b/>
          <w:bCs/>
          <w:i/>
          <w:iCs/>
          <w:color w:val="151515"/>
          <w:sz w:val="21"/>
          <w:szCs w:val="21"/>
        </w:rPr>
      </w:pPr>
      <w:r w:rsidRPr="00743CF7">
        <w:rPr>
          <w:rFonts w:ascii="Abadi" w:hAnsi="Abadi" w:cs="*Arial-BoldItalic-11251-Identit"/>
          <w:b/>
          <w:bCs/>
          <w:i/>
          <w:iCs/>
          <w:color w:val="151515"/>
          <w:sz w:val="21"/>
          <w:szCs w:val="21"/>
        </w:rPr>
        <w:t>Fortalecimiento de capacidades y destrezas</w:t>
      </w:r>
    </w:p>
    <w:p w14:paraId="5FEC713D" w14:textId="77777777" w:rsidR="00366FFB" w:rsidRPr="00743CF7" w:rsidRDefault="00366FFB" w:rsidP="00366FFB">
      <w:pPr>
        <w:autoSpaceDE w:val="0"/>
        <w:autoSpaceDN w:val="0"/>
        <w:adjustRightInd w:val="0"/>
        <w:jc w:val="both"/>
        <w:rPr>
          <w:rFonts w:ascii="Abadi" w:hAnsi="Abadi" w:cs="*Microsoft Sans Serif-11252-Ide"/>
          <w:color w:val="282828"/>
          <w:sz w:val="21"/>
          <w:szCs w:val="21"/>
        </w:rPr>
      </w:pPr>
      <w:r w:rsidRPr="00743CF7">
        <w:rPr>
          <w:rFonts w:ascii="Abadi" w:hAnsi="Abadi" w:cs="*Arial-Bold-11250-Identity-H"/>
          <w:b/>
          <w:bCs/>
          <w:color w:val="282828"/>
          <w:sz w:val="21"/>
          <w:szCs w:val="21"/>
        </w:rPr>
        <w:t xml:space="preserve">Artículo </w:t>
      </w:r>
      <w:r w:rsidRPr="0027411C">
        <w:rPr>
          <w:rFonts w:ascii="Abadi" w:hAnsi="Abadi" w:cs="*Microsoft Sans Serif-11252-Ide"/>
          <w:b/>
          <w:bCs/>
          <w:color w:val="282828"/>
          <w:sz w:val="21"/>
          <w:szCs w:val="21"/>
        </w:rPr>
        <w:t>13.</w:t>
      </w:r>
      <w:r w:rsidRPr="00743CF7">
        <w:rPr>
          <w:rFonts w:ascii="Abadi" w:hAnsi="Abadi" w:cs="*Microsoft Sans Serif-11252-Ide"/>
          <w:color w:val="282828"/>
          <w:sz w:val="21"/>
          <w:szCs w:val="21"/>
        </w:rPr>
        <w:t xml:space="preserve"> Como parle de la formación y desarrollo humano. en los planes y programas se procurará incluir los aprendizajes necesarios para fortalecer las capacidades </w:t>
      </w:r>
      <w:r w:rsidRPr="00743CF7">
        <w:rPr>
          <w:rFonts w:ascii="Abadi" w:hAnsi="Abadi" w:cs="*Times New Roman-Italic-11247-I"/>
          <w:i/>
          <w:iCs/>
          <w:color w:val="282828"/>
          <w:sz w:val="21"/>
          <w:szCs w:val="21"/>
        </w:rPr>
        <w:t xml:space="preserve">y </w:t>
      </w:r>
      <w:r w:rsidRPr="00743CF7">
        <w:rPr>
          <w:rFonts w:ascii="Abadi" w:hAnsi="Abadi" w:cs="*Microsoft Sans Serif-11252-Ide"/>
          <w:color w:val="282828"/>
          <w:sz w:val="21"/>
          <w:szCs w:val="21"/>
        </w:rPr>
        <w:t>destrezas de los estudiantes en cuanto a comunicación, resolución de conflictos, administración del tiempo, inteligencia emocional, liderazgo, negociación y en general, todas aquellas conocidas como habilidades blondas.</w:t>
      </w:r>
    </w:p>
    <w:p w14:paraId="0CC11B43" w14:textId="77777777" w:rsidR="00366FFB" w:rsidRPr="00743CF7" w:rsidRDefault="00366FFB" w:rsidP="00366FFB">
      <w:pPr>
        <w:autoSpaceDE w:val="0"/>
        <w:autoSpaceDN w:val="0"/>
        <w:adjustRightInd w:val="0"/>
        <w:jc w:val="both"/>
        <w:rPr>
          <w:rFonts w:ascii="Abadi" w:hAnsi="Abadi" w:cs="*Arial-Bold-11250-Identity-H"/>
          <w:b/>
          <w:bCs/>
          <w:color w:val="101010"/>
          <w:sz w:val="21"/>
          <w:szCs w:val="21"/>
        </w:rPr>
      </w:pPr>
    </w:p>
    <w:p w14:paraId="673F949B" w14:textId="77777777" w:rsidR="00366FFB" w:rsidRPr="00743CF7" w:rsidRDefault="00366FFB" w:rsidP="00366FFB">
      <w:pPr>
        <w:autoSpaceDE w:val="0"/>
        <w:autoSpaceDN w:val="0"/>
        <w:adjustRightInd w:val="0"/>
        <w:jc w:val="center"/>
        <w:rPr>
          <w:rFonts w:ascii="Abadi" w:hAnsi="Abadi" w:cs="*Arial-Bold-11250-Identity-H"/>
          <w:b/>
          <w:bCs/>
          <w:color w:val="101010"/>
          <w:sz w:val="21"/>
          <w:szCs w:val="21"/>
        </w:rPr>
      </w:pPr>
      <w:r w:rsidRPr="00743CF7">
        <w:rPr>
          <w:rFonts w:ascii="Abadi" w:hAnsi="Abadi" w:cs="*Arial-Bold-11250-Identity-H"/>
          <w:b/>
          <w:bCs/>
          <w:color w:val="101010"/>
          <w:sz w:val="21"/>
          <w:szCs w:val="21"/>
        </w:rPr>
        <w:t>Capítulo IV</w:t>
      </w:r>
    </w:p>
    <w:p w14:paraId="0D34F227" w14:textId="77777777" w:rsidR="00366FFB" w:rsidRPr="00743CF7" w:rsidRDefault="00366FFB" w:rsidP="00366FFB">
      <w:pPr>
        <w:autoSpaceDE w:val="0"/>
        <w:autoSpaceDN w:val="0"/>
        <w:adjustRightInd w:val="0"/>
        <w:jc w:val="center"/>
        <w:rPr>
          <w:rFonts w:ascii="Abadi" w:hAnsi="Abadi" w:cs="*Arial-Bold-11250-Identity-H"/>
          <w:b/>
          <w:bCs/>
          <w:color w:val="121212"/>
          <w:sz w:val="21"/>
          <w:szCs w:val="21"/>
        </w:rPr>
      </w:pPr>
      <w:r w:rsidRPr="00743CF7">
        <w:rPr>
          <w:rFonts w:ascii="Abadi" w:hAnsi="Abadi" w:cs="*Arial-Bold-11250-Identity-H"/>
          <w:b/>
          <w:bCs/>
          <w:color w:val="121212"/>
          <w:sz w:val="21"/>
          <w:szCs w:val="21"/>
        </w:rPr>
        <w:t xml:space="preserve">Criterios </w:t>
      </w:r>
      <w:r w:rsidRPr="00743CF7">
        <w:rPr>
          <w:rFonts w:ascii="Abadi" w:hAnsi="Abadi" w:cs="*Times New Roman-BoldItalic-112"/>
          <w:b/>
          <w:bCs/>
          <w:i/>
          <w:iCs/>
          <w:color w:val="121212"/>
          <w:sz w:val="21"/>
          <w:szCs w:val="21"/>
        </w:rPr>
        <w:t xml:space="preserve">y </w:t>
      </w:r>
      <w:r w:rsidRPr="00743CF7">
        <w:rPr>
          <w:rFonts w:ascii="Abadi" w:hAnsi="Abadi" w:cs="*Arial-Bold-11250-Identity-H"/>
          <w:b/>
          <w:bCs/>
          <w:color w:val="121212"/>
          <w:sz w:val="21"/>
          <w:szCs w:val="21"/>
        </w:rPr>
        <w:t>políticas de la educación superior</w:t>
      </w:r>
    </w:p>
    <w:p w14:paraId="433A6E9A" w14:textId="77777777" w:rsidR="00366FFB" w:rsidRDefault="00366FFB" w:rsidP="00366FFB">
      <w:pPr>
        <w:autoSpaceDE w:val="0"/>
        <w:autoSpaceDN w:val="0"/>
        <w:adjustRightInd w:val="0"/>
        <w:jc w:val="both"/>
        <w:rPr>
          <w:rFonts w:ascii="Abadi" w:hAnsi="Abadi" w:cs="*Tahoma-BoldItalic-11253-Identi"/>
          <w:b/>
          <w:bCs/>
          <w:i/>
          <w:iCs/>
          <w:color w:val="121212"/>
          <w:sz w:val="21"/>
          <w:szCs w:val="21"/>
        </w:rPr>
      </w:pPr>
    </w:p>
    <w:p w14:paraId="33B1D8C5" w14:textId="38711182" w:rsidR="00366FFB" w:rsidRPr="00743CF7" w:rsidRDefault="00366FFB" w:rsidP="00366FFB">
      <w:pPr>
        <w:autoSpaceDE w:val="0"/>
        <w:autoSpaceDN w:val="0"/>
        <w:adjustRightInd w:val="0"/>
        <w:jc w:val="right"/>
        <w:rPr>
          <w:rFonts w:ascii="Abadi" w:hAnsi="Abadi" w:cs="*Tahoma-BoldItalic-11253-Identi"/>
          <w:b/>
          <w:bCs/>
          <w:i/>
          <w:iCs/>
          <w:color w:val="121212"/>
          <w:sz w:val="21"/>
          <w:szCs w:val="21"/>
        </w:rPr>
      </w:pPr>
      <w:r w:rsidRPr="00743CF7">
        <w:rPr>
          <w:rFonts w:ascii="Abadi" w:hAnsi="Abadi" w:cs="*Tahoma-BoldItalic-11253-Identi"/>
          <w:b/>
          <w:bCs/>
          <w:i/>
          <w:iCs/>
          <w:color w:val="121212"/>
          <w:sz w:val="21"/>
          <w:szCs w:val="21"/>
        </w:rPr>
        <w:t xml:space="preserve">Criterios </w:t>
      </w:r>
      <w:r w:rsidR="00F93AC3">
        <w:rPr>
          <w:rFonts w:ascii="Abadi" w:hAnsi="Abadi" w:cs="*Tahoma-BoldItalic-11253-Identi"/>
          <w:b/>
          <w:bCs/>
          <w:i/>
          <w:iCs/>
          <w:color w:val="121212"/>
          <w:sz w:val="21"/>
          <w:szCs w:val="21"/>
        </w:rPr>
        <w:t xml:space="preserve">de la </w:t>
      </w:r>
      <w:r w:rsidRPr="00743CF7">
        <w:rPr>
          <w:rFonts w:ascii="Abadi" w:hAnsi="Abadi" w:cs="*Tahoma-BoldItalic-11253-Identi"/>
          <w:b/>
          <w:bCs/>
          <w:i/>
          <w:iCs/>
          <w:color w:val="121212"/>
          <w:sz w:val="21"/>
          <w:szCs w:val="21"/>
        </w:rPr>
        <w:t>Educación Superior</w:t>
      </w:r>
    </w:p>
    <w:p w14:paraId="48D5DAB4" w14:textId="77777777" w:rsidR="00366FFB" w:rsidRPr="00743CF7" w:rsidRDefault="00366FFB" w:rsidP="00366FFB">
      <w:pPr>
        <w:autoSpaceDE w:val="0"/>
        <w:autoSpaceDN w:val="0"/>
        <w:adjustRightInd w:val="0"/>
        <w:jc w:val="both"/>
        <w:rPr>
          <w:rFonts w:ascii="Abadi" w:hAnsi="Abadi" w:cs="*Microsoft Sans Serif-11252-Ide"/>
          <w:color w:val="282828"/>
          <w:sz w:val="21"/>
          <w:szCs w:val="21"/>
        </w:rPr>
      </w:pPr>
      <w:r w:rsidRPr="00743CF7">
        <w:rPr>
          <w:rFonts w:ascii="Abadi" w:hAnsi="Abadi" w:cs="*Arial-Bold-11250-Identity-H"/>
          <w:b/>
          <w:bCs/>
          <w:color w:val="282828"/>
          <w:sz w:val="21"/>
          <w:szCs w:val="21"/>
        </w:rPr>
        <w:t xml:space="preserve">Artículo 14, </w:t>
      </w:r>
      <w:r w:rsidRPr="00743CF7">
        <w:rPr>
          <w:rFonts w:ascii="Abadi" w:hAnsi="Abadi" w:cs="*Microsoft Sans Serif-11252-Ide"/>
          <w:color w:val="282828"/>
          <w:sz w:val="21"/>
          <w:szCs w:val="21"/>
        </w:rPr>
        <w:t>Lo educación superior en el Estado de Guanajuato, además de los previstos en el artículo 8 de la Ley General de Educación Superior, se orientará conforme a los criterios siguientes:</w:t>
      </w:r>
    </w:p>
    <w:p w14:paraId="4F33FCC3" w14:textId="77777777" w:rsidR="00366FFB" w:rsidRPr="00743CF7" w:rsidRDefault="00366FFB" w:rsidP="00366FFB">
      <w:pPr>
        <w:autoSpaceDE w:val="0"/>
        <w:autoSpaceDN w:val="0"/>
        <w:adjustRightInd w:val="0"/>
        <w:jc w:val="both"/>
        <w:rPr>
          <w:rFonts w:ascii="Abadi" w:hAnsi="Abadi" w:cs="*Microsoft Sans Serif-11252-Ide"/>
          <w:color w:val="282828"/>
          <w:sz w:val="21"/>
          <w:szCs w:val="21"/>
        </w:rPr>
      </w:pPr>
    </w:p>
    <w:p w14:paraId="1874A8B9" w14:textId="77777777" w:rsidR="00366FFB" w:rsidRPr="0027411C" w:rsidRDefault="00366FFB" w:rsidP="005C6EBB">
      <w:pPr>
        <w:pStyle w:val="Prrafodelista"/>
        <w:numPr>
          <w:ilvl w:val="0"/>
          <w:numId w:val="14"/>
        </w:numPr>
        <w:autoSpaceDE w:val="0"/>
        <w:autoSpaceDN w:val="0"/>
        <w:adjustRightInd w:val="0"/>
        <w:contextualSpacing/>
        <w:jc w:val="both"/>
        <w:rPr>
          <w:rFonts w:ascii="Abadi" w:hAnsi="Abadi" w:cs="*Microsoft Sans Serif-11252-Ide"/>
          <w:color w:val="2B2B2B"/>
          <w:sz w:val="21"/>
          <w:szCs w:val="21"/>
        </w:rPr>
      </w:pPr>
      <w:r w:rsidRPr="0027411C">
        <w:rPr>
          <w:rFonts w:ascii="Abadi" w:hAnsi="Abadi" w:cs="*Microsoft Sans Serif-11252-Ide"/>
          <w:color w:val="2B2B2B"/>
          <w:sz w:val="21"/>
          <w:szCs w:val="21"/>
        </w:rPr>
        <w:t>La calidad educativa impulsado por la academia, el sector público, lo sociedad y el sector productivo;</w:t>
      </w:r>
    </w:p>
    <w:p w14:paraId="4E79798D" w14:textId="77777777" w:rsidR="00366FFB" w:rsidRPr="00743CF7" w:rsidRDefault="00366FFB" w:rsidP="00366FFB">
      <w:pPr>
        <w:autoSpaceDE w:val="0"/>
        <w:autoSpaceDN w:val="0"/>
        <w:adjustRightInd w:val="0"/>
        <w:jc w:val="both"/>
        <w:rPr>
          <w:rFonts w:ascii="Abadi" w:hAnsi="Abadi" w:cs="*Microsoft Sans Serif-11252-Ide"/>
          <w:color w:val="2B2B2B"/>
          <w:sz w:val="21"/>
          <w:szCs w:val="21"/>
        </w:rPr>
      </w:pPr>
    </w:p>
    <w:p w14:paraId="253906D8" w14:textId="77777777" w:rsidR="00366FFB" w:rsidRPr="00743CF7" w:rsidRDefault="00366FFB" w:rsidP="00366FFB">
      <w:pPr>
        <w:autoSpaceDE w:val="0"/>
        <w:autoSpaceDN w:val="0"/>
        <w:adjustRightInd w:val="0"/>
        <w:jc w:val="both"/>
        <w:rPr>
          <w:rFonts w:ascii="Abadi" w:hAnsi="Abadi" w:cs="*Microsoft Sans Serif-11252-Ide"/>
          <w:color w:val="2B2B2B"/>
          <w:sz w:val="21"/>
          <w:szCs w:val="21"/>
        </w:rPr>
      </w:pPr>
    </w:p>
    <w:p w14:paraId="17C8402C" w14:textId="77777777" w:rsidR="00366FFB" w:rsidRPr="0027411C" w:rsidRDefault="00366FFB" w:rsidP="005C6EBB">
      <w:pPr>
        <w:pStyle w:val="Prrafodelista"/>
        <w:numPr>
          <w:ilvl w:val="0"/>
          <w:numId w:val="14"/>
        </w:numPr>
        <w:spacing w:after="160" w:line="259" w:lineRule="auto"/>
        <w:contextualSpacing/>
        <w:jc w:val="both"/>
        <w:rPr>
          <w:rFonts w:ascii="Abadi" w:hAnsi="Abadi" w:cs="*Microsoft Sans Serif-11252-Ide"/>
          <w:color w:val="282828"/>
          <w:sz w:val="21"/>
          <w:szCs w:val="21"/>
        </w:rPr>
      </w:pPr>
      <w:r w:rsidRPr="0027411C">
        <w:rPr>
          <w:rFonts w:ascii="Abadi" w:hAnsi="Abadi" w:cs="*Microsoft Sans Serif-11252-Ide"/>
          <w:color w:val="282828"/>
          <w:sz w:val="21"/>
          <w:szCs w:val="21"/>
        </w:rPr>
        <w:t>El cuidado, respeto y sustentabilidad del medio ambiente;</w:t>
      </w:r>
    </w:p>
    <w:p w14:paraId="78529832" w14:textId="77777777" w:rsidR="00366FFB" w:rsidRPr="00743CF7" w:rsidRDefault="00366FFB" w:rsidP="00366FFB">
      <w:pPr>
        <w:jc w:val="both"/>
        <w:rPr>
          <w:rFonts w:ascii="Abadi" w:hAnsi="Abadi" w:cs="*Microsoft Sans Serif-11252-Ide"/>
          <w:color w:val="282828"/>
          <w:sz w:val="21"/>
          <w:szCs w:val="21"/>
        </w:rPr>
      </w:pPr>
    </w:p>
    <w:p w14:paraId="13A5A98F" w14:textId="3855BF2A" w:rsidR="00366FFB" w:rsidRPr="0027411C" w:rsidRDefault="00366FFB" w:rsidP="005C6EBB">
      <w:pPr>
        <w:pStyle w:val="Prrafodelista"/>
        <w:numPr>
          <w:ilvl w:val="0"/>
          <w:numId w:val="14"/>
        </w:numPr>
        <w:autoSpaceDE w:val="0"/>
        <w:autoSpaceDN w:val="0"/>
        <w:adjustRightInd w:val="0"/>
        <w:contextualSpacing/>
        <w:jc w:val="both"/>
        <w:rPr>
          <w:rFonts w:ascii="Abadi" w:hAnsi="Abadi" w:cs="*Microsoft Sans Serif-11626-Ide"/>
          <w:color w:val="262626"/>
          <w:sz w:val="21"/>
          <w:szCs w:val="21"/>
        </w:rPr>
      </w:pPr>
      <w:r w:rsidRPr="0027411C">
        <w:rPr>
          <w:rFonts w:ascii="Abadi" w:hAnsi="Abadi" w:cs="*Microsoft Sans Serif-11626-Ide"/>
          <w:color w:val="262626"/>
          <w:sz w:val="21"/>
          <w:szCs w:val="21"/>
        </w:rPr>
        <w:t xml:space="preserve">El fomento a la cultura de Id paz y la </w:t>
      </w:r>
      <w:r w:rsidR="00F93AC3" w:rsidRPr="0027411C">
        <w:rPr>
          <w:rFonts w:ascii="Abadi" w:hAnsi="Abadi" w:cs="*Microsoft Sans Serif-11626-Ide"/>
          <w:color w:val="262626"/>
          <w:sz w:val="21"/>
          <w:szCs w:val="21"/>
        </w:rPr>
        <w:t>resolución pacífica</w:t>
      </w:r>
      <w:r w:rsidRPr="0027411C">
        <w:rPr>
          <w:rFonts w:ascii="Abadi" w:hAnsi="Abadi" w:cs="*Microsoft Sans Serif-11626-Ide"/>
          <w:color w:val="262626"/>
          <w:sz w:val="21"/>
          <w:szCs w:val="21"/>
        </w:rPr>
        <w:t xml:space="preserve"> de los conflictos en el entorno, así como los principios de la Igualdad, la justicia, la solidaridad, la cultura de la legalidad y el respeto a los derechos humanos; </w:t>
      </w:r>
    </w:p>
    <w:p w14:paraId="55667BEF" w14:textId="77777777" w:rsidR="00366FFB" w:rsidRDefault="00366FFB" w:rsidP="00366FFB">
      <w:pPr>
        <w:autoSpaceDE w:val="0"/>
        <w:autoSpaceDN w:val="0"/>
        <w:adjustRightInd w:val="0"/>
        <w:jc w:val="both"/>
        <w:rPr>
          <w:rFonts w:ascii="Abadi" w:hAnsi="Abadi" w:cs="*Microsoft Sans Serif-11626-Ide"/>
          <w:color w:val="262626"/>
          <w:sz w:val="21"/>
          <w:szCs w:val="21"/>
        </w:rPr>
      </w:pPr>
    </w:p>
    <w:p w14:paraId="57AD6760" w14:textId="77777777" w:rsidR="00366FFB" w:rsidRPr="0027411C" w:rsidRDefault="00366FFB" w:rsidP="005C6EBB">
      <w:pPr>
        <w:pStyle w:val="Prrafodelista"/>
        <w:numPr>
          <w:ilvl w:val="0"/>
          <w:numId w:val="14"/>
        </w:numPr>
        <w:autoSpaceDE w:val="0"/>
        <w:autoSpaceDN w:val="0"/>
        <w:adjustRightInd w:val="0"/>
        <w:contextualSpacing/>
        <w:jc w:val="both"/>
        <w:rPr>
          <w:rFonts w:ascii="Abadi" w:hAnsi="Abadi" w:cs="*Microsoft Sans Serif-11626-Ide"/>
          <w:color w:val="2A2A2A"/>
          <w:sz w:val="21"/>
          <w:szCs w:val="21"/>
        </w:rPr>
      </w:pPr>
      <w:r w:rsidRPr="0027411C">
        <w:rPr>
          <w:rFonts w:ascii="Abadi" w:hAnsi="Abadi" w:cs="*Microsoft Sans Serif-11626-Ide"/>
          <w:color w:val="2A2A2A"/>
          <w:sz w:val="21"/>
          <w:szCs w:val="21"/>
        </w:rPr>
        <w:t>La participación social en el diseño, aplicación y evaluación de políticas de educación superior;</w:t>
      </w:r>
    </w:p>
    <w:p w14:paraId="3263A8C4" w14:textId="77777777" w:rsidR="00366FFB" w:rsidRPr="00743CF7" w:rsidRDefault="00366FFB" w:rsidP="00366FFB">
      <w:pPr>
        <w:autoSpaceDE w:val="0"/>
        <w:autoSpaceDN w:val="0"/>
        <w:adjustRightInd w:val="0"/>
        <w:jc w:val="both"/>
        <w:rPr>
          <w:rFonts w:ascii="Abadi" w:hAnsi="Abadi" w:cs="*Comic Sans MS-Bold-11625-Ident"/>
          <w:b/>
          <w:bCs/>
          <w:color w:val="272727"/>
          <w:sz w:val="21"/>
          <w:szCs w:val="21"/>
        </w:rPr>
      </w:pPr>
    </w:p>
    <w:p w14:paraId="344E2758" w14:textId="77777777" w:rsidR="00366FFB" w:rsidRPr="00E226A9" w:rsidRDefault="00366FFB" w:rsidP="005C6EBB">
      <w:pPr>
        <w:pStyle w:val="Prrafodelista"/>
        <w:numPr>
          <w:ilvl w:val="0"/>
          <w:numId w:val="14"/>
        </w:numPr>
        <w:autoSpaceDE w:val="0"/>
        <w:autoSpaceDN w:val="0"/>
        <w:adjustRightInd w:val="0"/>
        <w:contextualSpacing/>
        <w:jc w:val="both"/>
        <w:rPr>
          <w:rFonts w:ascii="Abadi" w:hAnsi="Abadi" w:cs="*Microsoft Sans Serif-11626-Ide"/>
          <w:color w:val="272727"/>
          <w:sz w:val="21"/>
          <w:szCs w:val="21"/>
        </w:rPr>
      </w:pPr>
      <w:r w:rsidRPr="00E226A9">
        <w:rPr>
          <w:rFonts w:ascii="Abadi" w:hAnsi="Abadi" w:cs="*Microsoft Sans Serif-11626-Ide"/>
          <w:color w:val="272727"/>
          <w:sz w:val="21"/>
          <w:szCs w:val="21"/>
        </w:rPr>
        <w:t>El impulso de la práctica profesional para el desarrollo de las competencias del estudiante;</w:t>
      </w:r>
    </w:p>
    <w:p w14:paraId="35482107" w14:textId="77777777" w:rsidR="00366FFB" w:rsidRPr="00743CF7" w:rsidRDefault="00366FFB" w:rsidP="00366FFB">
      <w:pPr>
        <w:autoSpaceDE w:val="0"/>
        <w:autoSpaceDN w:val="0"/>
        <w:adjustRightInd w:val="0"/>
        <w:jc w:val="both"/>
        <w:rPr>
          <w:rFonts w:ascii="Abadi" w:hAnsi="Abadi" w:cs="*Comic Sans MS-Bold-11625-Ident"/>
          <w:b/>
          <w:bCs/>
          <w:color w:val="282828"/>
          <w:sz w:val="21"/>
          <w:szCs w:val="21"/>
        </w:rPr>
      </w:pPr>
    </w:p>
    <w:p w14:paraId="2B27DD04" w14:textId="77777777" w:rsidR="00366FFB" w:rsidRPr="00E226A9" w:rsidRDefault="00366FFB" w:rsidP="005C6EBB">
      <w:pPr>
        <w:pStyle w:val="Prrafodelista"/>
        <w:numPr>
          <w:ilvl w:val="0"/>
          <w:numId w:val="14"/>
        </w:numPr>
        <w:autoSpaceDE w:val="0"/>
        <w:autoSpaceDN w:val="0"/>
        <w:adjustRightInd w:val="0"/>
        <w:contextualSpacing/>
        <w:jc w:val="both"/>
        <w:rPr>
          <w:rFonts w:ascii="Abadi" w:hAnsi="Abadi" w:cs="*Microsoft Sans Serif-11626-Ide"/>
          <w:color w:val="282828"/>
          <w:sz w:val="21"/>
          <w:szCs w:val="21"/>
        </w:rPr>
      </w:pPr>
      <w:r w:rsidRPr="00E226A9">
        <w:rPr>
          <w:rFonts w:ascii="Abadi" w:hAnsi="Abadi" w:cs="*Microsoft Sans Serif-11626-Ide"/>
          <w:color w:val="282828"/>
          <w:sz w:val="21"/>
          <w:szCs w:val="21"/>
        </w:rPr>
        <w:t>El desarrollo de la mente factura con pertinencia en los entornos local, nacional e internacional:</w:t>
      </w:r>
    </w:p>
    <w:p w14:paraId="3356A344" w14:textId="77777777" w:rsidR="00366FFB" w:rsidRPr="00743CF7" w:rsidRDefault="00366FFB" w:rsidP="00366FFB">
      <w:pPr>
        <w:autoSpaceDE w:val="0"/>
        <w:autoSpaceDN w:val="0"/>
        <w:adjustRightInd w:val="0"/>
        <w:jc w:val="both"/>
        <w:rPr>
          <w:rFonts w:ascii="Abadi" w:hAnsi="Abadi" w:cs="*Microsoft Sans Serif-11626-Ide"/>
          <w:color w:val="282828"/>
          <w:sz w:val="21"/>
          <w:szCs w:val="21"/>
        </w:rPr>
      </w:pPr>
    </w:p>
    <w:p w14:paraId="1DC2461D" w14:textId="77777777" w:rsidR="00366FFB" w:rsidRPr="0027411C" w:rsidRDefault="00366FFB" w:rsidP="005C6EBB">
      <w:pPr>
        <w:pStyle w:val="Prrafodelista"/>
        <w:numPr>
          <w:ilvl w:val="0"/>
          <w:numId w:val="14"/>
        </w:numPr>
        <w:autoSpaceDE w:val="0"/>
        <w:autoSpaceDN w:val="0"/>
        <w:adjustRightInd w:val="0"/>
        <w:contextualSpacing/>
        <w:jc w:val="both"/>
        <w:rPr>
          <w:rFonts w:ascii="Abadi" w:hAnsi="Abadi" w:cs="*Microsoft Sans Serif-11626-Ide"/>
          <w:color w:val="2B2B2B"/>
          <w:sz w:val="21"/>
          <w:szCs w:val="21"/>
        </w:rPr>
      </w:pPr>
      <w:r w:rsidRPr="0027411C">
        <w:rPr>
          <w:rFonts w:ascii="Abadi" w:hAnsi="Abadi" w:cs="*Microsoft Sans Serif-11626-Ide"/>
          <w:color w:val="2B2B2B"/>
          <w:sz w:val="21"/>
          <w:szCs w:val="21"/>
        </w:rPr>
        <w:t>Vinculación entre estudiantes y sector productivo para favorecer una formación profesional que coadyuve a impulsar al Estado como destino estratégico de turismo de negocios;</w:t>
      </w:r>
    </w:p>
    <w:p w14:paraId="41089B48" w14:textId="77777777" w:rsidR="00366FFB" w:rsidRPr="00743CF7" w:rsidRDefault="00366FFB" w:rsidP="00366FFB">
      <w:pPr>
        <w:autoSpaceDE w:val="0"/>
        <w:autoSpaceDN w:val="0"/>
        <w:adjustRightInd w:val="0"/>
        <w:jc w:val="both"/>
        <w:rPr>
          <w:rFonts w:ascii="Abadi" w:hAnsi="Abadi" w:cs="*Microsoft Sans Serif-11626-Ide"/>
          <w:color w:val="2B2B2B"/>
          <w:sz w:val="21"/>
          <w:szCs w:val="21"/>
        </w:rPr>
      </w:pPr>
    </w:p>
    <w:p w14:paraId="0239DD58" w14:textId="77777777" w:rsidR="00366FFB" w:rsidRPr="0027411C" w:rsidRDefault="00366FFB" w:rsidP="005C6EBB">
      <w:pPr>
        <w:pStyle w:val="Prrafodelista"/>
        <w:numPr>
          <w:ilvl w:val="0"/>
          <w:numId w:val="14"/>
        </w:numPr>
        <w:autoSpaceDE w:val="0"/>
        <w:autoSpaceDN w:val="0"/>
        <w:adjustRightInd w:val="0"/>
        <w:contextualSpacing/>
        <w:jc w:val="both"/>
        <w:rPr>
          <w:rFonts w:ascii="Abadi" w:hAnsi="Abadi" w:cs="*Microsoft Sans Serif-11626-Ide"/>
          <w:color w:val="252525"/>
          <w:sz w:val="21"/>
          <w:szCs w:val="21"/>
        </w:rPr>
      </w:pPr>
      <w:r w:rsidRPr="0027411C">
        <w:rPr>
          <w:rFonts w:ascii="Abadi" w:hAnsi="Abadi" w:cs="*Microsoft Sans Serif-11626-Ide"/>
          <w:color w:val="252525"/>
          <w:sz w:val="21"/>
          <w:szCs w:val="21"/>
        </w:rPr>
        <w:t>La promoción de la cultura del emprendimiento para fomentar la creación de empresas en la Entidad;</w:t>
      </w:r>
    </w:p>
    <w:p w14:paraId="00ED37B0" w14:textId="77777777" w:rsidR="00366FFB" w:rsidRPr="00743CF7" w:rsidRDefault="00366FFB" w:rsidP="00366FFB">
      <w:pPr>
        <w:autoSpaceDE w:val="0"/>
        <w:autoSpaceDN w:val="0"/>
        <w:adjustRightInd w:val="0"/>
        <w:jc w:val="both"/>
        <w:rPr>
          <w:rFonts w:ascii="Abadi" w:hAnsi="Abadi" w:cs="*Microsoft Sans Serif-11626-Ide"/>
          <w:color w:val="252525"/>
          <w:sz w:val="21"/>
          <w:szCs w:val="21"/>
        </w:rPr>
      </w:pPr>
    </w:p>
    <w:p w14:paraId="277E0FB1" w14:textId="77777777" w:rsidR="00366FFB" w:rsidRPr="0027411C" w:rsidRDefault="00366FFB" w:rsidP="005C6EBB">
      <w:pPr>
        <w:pStyle w:val="Prrafodelista"/>
        <w:numPr>
          <w:ilvl w:val="0"/>
          <w:numId w:val="14"/>
        </w:numPr>
        <w:autoSpaceDE w:val="0"/>
        <w:autoSpaceDN w:val="0"/>
        <w:adjustRightInd w:val="0"/>
        <w:contextualSpacing/>
        <w:jc w:val="both"/>
        <w:rPr>
          <w:rFonts w:ascii="Abadi" w:hAnsi="Abadi" w:cs="*Microsoft Sans Serif-11626-Ide"/>
          <w:color w:val="282828"/>
          <w:sz w:val="21"/>
          <w:szCs w:val="21"/>
        </w:rPr>
      </w:pPr>
      <w:r w:rsidRPr="0027411C">
        <w:rPr>
          <w:rFonts w:ascii="Abadi" w:hAnsi="Abadi" w:cs="*Microsoft Sans Serif-11626-Ide"/>
          <w:color w:val="282828"/>
          <w:sz w:val="21"/>
          <w:szCs w:val="21"/>
        </w:rPr>
        <w:t>La potencialización del talento en la Entidad, promoviendo la protección de la propiedad intelectual y el fomento al registro de patentes;</w:t>
      </w:r>
    </w:p>
    <w:p w14:paraId="2A2CBEFB" w14:textId="77777777" w:rsidR="00366FFB" w:rsidRPr="00743CF7" w:rsidRDefault="00366FFB" w:rsidP="00366FFB">
      <w:pPr>
        <w:autoSpaceDE w:val="0"/>
        <w:autoSpaceDN w:val="0"/>
        <w:adjustRightInd w:val="0"/>
        <w:jc w:val="both"/>
        <w:rPr>
          <w:rFonts w:ascii="Abadi" w:hAnsi="Abadi" w:cs="*Microsoft Sans Serif-11626-Ide"/>
          <w:color w:val="282828"/>
          <w:sz w:val="21"/>
          <w:szCs w:val="21"/>
        </w:rPr>
      </w:pPr>
    </w:p>
    <w:p w14:paraId="11A76709" w14:textId="77777777" w:rsidR="00366FFB" w:rsidRPr="0027411C" w:rsidRDefault="00366FFB" w:rsidP="005C6EBB">
      <w:pPr>
        <w:pStyle w:val="Prrafodelista"/>
        <w:numPr>
          <w:ilvl w:val="0"/>
          <w:numId w:val="14"/>
        </w:numPr>
        <w:autoSpaceDE w:val="0"/>
        <w:autoSpaceDN w:val="0"/>
        <w:adjustRightInd w:val="0"/>
        <w:contextualSpacing/>
        <w:jc w:val="both"/>
        <w:rPr>
          <w:rFonts w:ascii="Abadi" w:hAnsi="Abadi" w:cs="*Microsoft Sans Serif-11626-Ide"/>
          <w:color w:val="2B2B2B"/>
          <w:sz w:val="21"/>
          <w:szCs w:val="21"/>
        </w:rPr>
      </w:pPr>
      <w:r w:rsidRPr="0027411C">
        <w:rPr>
          <w:rFonts w:ascii="Abadi" w:hAnsi="Abadi" w:cs="*Microsoft Sans Serif-11626-Ide"/>
          <w:color w:val="2B2B2B"/>
          <w:sz w:val="21"/>
          <w:szCs w:val="21"/>
        </w:rPr>
        <w:t>La transparencia y rendición de cuentos, a través del ejercicio disciplinado, honesto y responsable de los recursos financieros, humanos y materiales de las Instituciones de Educación Superior;</w:t>
      </w:r>
    </w:p>
    <w:p w14:paraId="5E2876CF" w14:textId="77777777" w:rsidR="00366FFB" w:rsidRPr="00743CF7" w:rsidRDefault="00366FFB" w:rsidP="00366FFB">
      <w:pPr>
        <w:autoSpaceDE w:val="0"/>
        <w:autoSpaceDN w:val="0"/>
        <w:adjustRightInd w:val="0"/>
        <w:jc w:val="both"/>
        <w:rPr>
          <w:rFonts w:ascii="Abadi" w:hAnsi="Abadi" w:cs="*Microsoft Sans Serif-11626-Ide"/>
          <w:color w:val="2B2B2B"/>
          <w:sz w:val="21"/>
          <w:szCs w:val="21"/>
        </w:rPr>
      </w:pPr>
    </w:p>
    <w:p w14:paraId="5162BDAD" w14:textId="77777777" w:rsidR="00366FFB" w:rsidRPr="0027411C" w:rsidRDefault="00366FFB" w:rsidP="005C6EBB">
      <w:pPr>
        <w:pStyle w:val="Prrafodelista"/>
        <w:numPr>
          <w:ilvl w:val="0"/>
          <w:numId w:val="14"/>
        </w:numPr>
        <w:autoSpaceDE w:val="0"/>
        <w:autoSpaceDN w:val="0"/>
        <w:adjustRightInd w:val="0"/>
        <w:contextualSpacing/>
        <w:jc w:val="both"/>
        <w:rPr>
          <w:rFonts w:ascii="Abadi" w:hAnsi="Abadi" w:cs="*Microsoft Sans Serif-11626-Ide"/>
          <w:color w:val="282828"/>
          <w:sz w:val="21"/>
          <w:szCs w:val="21"/>
        </w:rPr>
      </w:pPr>
      <w:r w:rsidRPr="0027411C">
        <w:rPr>
          <w:rFonts w:ascii="Abadi" w:hAnsi="Abadi" w:cs="*Microsoft Sans Serif-11626-Ide"/>
          <w:color w:val="282828"/>
          <w:sz w:val="21"/>
          <w:szCs w:val="21"/>
        </w:rPr>
        <w:t>El fortalecimiento a la formación y acompañamiento de los docentes de educación superior; y</w:t>
      </w:r>
    </w:p>
    <w:p w14:paraId="5413692B" w14:textId="77777777" w:rsidR="00366FFB" w:rsidRPr="00743CF7" w:rsidRDefault="00366FFB" w:rsidP="00366FFB">
      <w:pPr>
        <w:autoSpaceDE w:val="0"/>
        <w:autoSpaceDN w:val="0"/>
        <w:adjustRightInd w:val="0"/>
        <w:jc w:val="both"/>
        <w:rPr>
          <w:rFonts w:ascii="Abadi" w:hAnsi="Abadi" w:cs="*Microsoft Sans Serif-11626-Ide"/>
          <w:color w:val="282828"/>
          <w:sz w:val="21"/>
          <w:szCs w:val="21"/>
        </w:rPr>
      </w:pPr>
    </w:p>
    <w:p w14:paraId="07B66FDD" w14:textId="77777777" w:rsidR="00366FFB" w:rsidRPr="0027411C" w:rsidRDefault="00366FFB" w:rsidP="005C6EBB">
      <w:pPr>
        <w:pStyle w:val="Prrafodelista"/>
        <w:numPr>
          <w:ilvl w:val="0"/>
          <w:numId w:val="14"/>
        </w:numPr>
        <w:autoSpaceDE w:val="0"/>
        <w:autoSpaceDN w:val="0"/>
        <w:adjustRightInd w:val="0"/>
        <w:contextualSpacing/>
        <w:jc w:val="both"/>
        <w:rPr>
          <w:rFonts w:ascii="Abadi" w:hAnsi="Abadi" w:cs="*Calibri-BoldItalic-11639-Ident"/>
          <w:i/>
          <w:iCs/>
          <w:color w:val="121212"/>
          <w:sz w:val="21"/>
          <w:szCs w:val="21"/>
        </w:rPr>
      </w:pPr>
      <w:r>
        <w:rPr>
          <w:rFonts w:ascii="Abadi" w:hAnsi="Abadi" w:cs="*Microsoft Sans Serif-11626-Ide"/>
          <w:color w:val="2A2A2A"/>
          <w:sz w:val="21"/>
          <w:szCs w:val="21"/>
        </w:rPr>
        <w:t xml:space="preserve"> </w:t>
      </w:r>
      <w:r w:rsidRPr="0027411C">
        <w:rPr>
          <w:rFonts w:ascii="Abadi" w:hAnsi="Abadi" w:cs="*Microsoft Sans Serif-11626-Ide"/>
          <w:color w:val="2A2A2A"/>
          <w:sz w:val="21"/>
          <w:szCs w:val="21"/>
        </w:rPr>
        <w:t xml:space="preserve">La territorialización de la educación superior mediante la interacción con los diferentes sectores de lo población, poro contribuir al desarrollo comunitario mediante la vinculación de los procesos educativos con las necesidades y realidades sociales, económicas y culturales de las diversas regiones del país y del Estado, </w:t>
      </w:r>
      <w:r w:rsidRPr="0027411C">
        <w:rPr>
          <w:rFonts w:ascii="Abadi" w:hAnsi="Abadi" w:cs="*Calibri-BoldItalic-11639-Ident"/>
          <w:i/>
          <w:iCs/>
          <w:color w:val="121212"/>
          <w:sz w:val="21"/>
          <w:szCs w:val="21"/>
        </w:rPr>
        <w:t xml:space="preserve">Características de las políticas para la educación superior </w:t>
      </w:r>
    </w:p>
    <w:p w14:paraId="7CEE3192" w14:textId="77777777" w:rsidR="00366FFB" w:rsidRPr="00743CF7" w:rsidRDefault="00366FFB" w:rsidP="00366FFB">
      <w:pPr>
        <w:autoSpaceDE w:val="0"/>
        <w:autoSpaceDN w:val="0"/>
        <w:adjustRightInd w:val="0"/>
        <w:jc w:val="both"/>
        <w:rPr>
          <w:rFonts w:ascii="Abadi" w:hAnsi="Abadi" w:cs="*Calibri-BoldItalic-11639-Ident"/>
          <w:b/>
          <w:bCs/>
          <w:i/>
          <w:iCs/>
          <w:color w:val="121212"/>
          <w:sz w:val="21"/>
          <w:szCs w:val="21"/>
        </w:rPr>
      </w:pPr>
    </w:p>
    <w:p w14:paraId="58F0A865" w14:textId="77777777" w:rsidR="00366FFB" w:rsidRPr="00E226A9" w:rsidRDefault="00366FFB" w:rsidP="00366FFB">
      <w:pPr>
        <w:autoSpaceDE w:val="0"/>
        <w:autoSpaceDN w:val="0"/>
        <w:adjustRightInd w:val="0"/>
        <w:ind w:firstLine="708"/>
        <w:jc w:val="both"/>
        <w:rPr>
          <w:rFonts w:ascii="Abadi" w:hAnsi="Abadi" w:cs="*Calibri-11637-Identity-H"/>
          <w:color w:val="2A2A2A"/>
          <w:sz w:val="21"/>
          <w:szCs w:val="21"/>
        </w:rPr>
      </w:pPr>
      <w:r w:rsidRPr="00E226A9">
        <w:rPr>
          <w:rFonts w:ascii="Abadi" w:hAnsi="Abadi" w:cs="*Microsoft Sans Serif-Bold-1164"/>
          <w:b/>
          <w:bCs/>
          <w:color w:val="2A2A2A"/>
          <w:sz w:val="21"/>
          <w:szCs w:val="21"/>
        </w:rPr>
        <w:t xml:space="preserve">Artículo 15. </w:t>
      </w:r>
      <w:r w:rsidRPr="00E226A9">
        <w:rPr>
          <w:rFonts w:ascii="Abadi" w:hAnsi="Abadi" w:cs="*Calibri-11637-Identity-H"/>
          <w:color w:val="2A2A2A"/>
          <w:sz w:val="21"/>
          <w:szCs w:val="21"/>
        </w:rPr>
        <w:t>Lo elaboración de políticas en materia de educación superior se basará en lo siguiente:</w:t>
      </w:r>
    </w:p>
    <w:p w14:paraId="23791C5C" w14:textId="77777777" w:rsidR="00366FFB" w:rsidRPr="00743CF7" w:rsidRDefault="00366FFB" w:rsidP="00366FFB">
      <w:pPr>
        <w:autoSpaceDE w:val="0"/>
        <w:autoSpaceDN w:val="0"/>
        <w:adjustRightInd w:val="0"/>
        <w:jc w:val="both"/>
        <w:rPr>
          <w:rFonts w:ascii="Abadi" w:hAnsi="Abadi" w:cs="*Calibri-11637-Identity-H"/>
          <w:color w:val="2A2A2A"/>
          <w:sz w:val="21"/>
          <w:szCs w:val="21"/>
        </w:rPr>
      </w:pPr>
    </w:p>
    <w:p w14:paraId="7841BDF3" w14:textId="77777777" w:rsidR="00366FFB" w:rsidRPr="00743CF7" w:rsidRDefault="00366FFB" w:rsidP="00366FFB">
      <w:pPr>
        <w:autoSpaceDE w:val="0"/>
        <w:autoSpaceDN w:val="0"/>
        <w:adjustRightInd w:val="0"/>
        <w:jc w:val="both"/>
        <w:rPr>
          <w:rFonts w:ascii="Abadi" w:hAnsi="Abadi" w:cs="*Calibri-11637-Identity-H"/>
          <w:color w:val="2A2A2A"/>
          <w:sz w:val="21"/>
          <w:szCs w:val="21"/>
        </w:rPr>
      </w:pPr>
    </w:p>
    <w:p w14:paraId="0D210CE4" w14:textId="02BC9568" w:rsidR="00366FFB" w:rsidRDefault="00366FFB" w:rsidP="005C6EBB">
      <w:pPr>
        <w:pStyle w:val="Prrafodelista"/>
        <w:numPr>
          <w:ilvl w:val="0"/>
          <w:numId w:val="15"/>
        </w:numPr>
        <w:autoSpaceDE w:val="0"/>
        <w:autoSpaceDN w:val="0"/>
        <w:adjustRightInd w:val="0"/>
        <w:contextualSpacing/>
        <w:jc w:val="both"/>
        <w:rPr>
          <w:rFonts w:ascii="Abadi" w:hAnsi="Abadi" w:cs="*Calibri-11637-Identity-H"/>
          <w:color w:val="2A2A2A"/>
          <w:sz w:val="21"/>
          <w:szCs w:val="21"/>
        </w:rPr>
      </w:pPr>
      <w:r w:rsidRPr="00CB0BD9">
        <w:rPr>
          <w:rFonts w:ascii="Abadi" w:hAnsi="Abadi" w:cs="*Calibri-11637-Identity-H"/>
          <w:color w:val="2A2A2A"/>
          <w:sz w:val="21"/>
          <w:szCs w:val="21"/>
        </w:rPr>
        <w:t>La mejora continua de la educación superior para su calidad, excelencia, pertinencia y vanguardia:</w:t>
      </w:r>
    </w:p>
    <w:p w14:paraId="17BC6730" w14:textId="77777777" w:rsidR="00F93AC3" w:rsidRDefault="00F93AC3" w:rsidP="00F93AC3">
      <w:pPr>
        <w:pStyle w:val="Prrafodelista"/>
        <w:autoSpaceDE w:val="0"/>
        <w:autoSpaceDN w:val="0"/>
        <w:adjustRightInd w:val="0"/>
        <w:ind w:left="720"/>
        <w:contextualSpacing/>
        <w:jc w:val="both"/>
        <w:rPr>
          <w:rFonts w:ascii="Abadi" w:hAnsi="Abadi" w:cs="*Calibri-11637-Identity-H"/>
          <w:color w:val="2A2A2A"/>
          <w:sz w:val="21"/>
          <w:szCs w:val="21"/>
        </w:rPr>
      </w:pPr>
    </w:p>
    <w:p w14:paraId="47F832D0" w14:textId="31CF5CF4" w:rsidR="00366FFB" w:rsidRDefault="00366FFB" w:rsidP="005C6EBB">
      <w:pPr>
        <w:pStyle w:val="Prrafodelista"/>
        <w:numPr>
          <w:ilvl w:val="0"/>
          <w:numId w:val="15"/>
        </w:numPr>
        <w:autoSpaceDE w:val="0"/>
        <w:autoSpaceDN w:val="0"/>
        <w:adjustRightInd w:val="0"/>
        <w:contextualSpacing/>
        <w:jc w:val="both"/>
        <w:rPr>
          <w:rFonts w:ascii="Abadi" w:hAnsi="Abadi" w:cs="*Calibri-11637-Identity-H"/>
          <w:color w:val="2A2A2A"/>
          <w:sz w:val="21"/>
          <w:szCs w:val="21"/>
        </w:rPr>
      </w:pPr>
      <w:r w:rsidRPr="0027411C">
        <w:rPr>
          <w:rFonts w:ascii="Abadi" w:hAnsi="Abadi" w:cs="*Calibri-11637-Identity-H"/>
          <w:color w:val="2A2A2A"/>
          <w:sz w:val="21"/>
          <w:szCs w:val="21"/>
        </w:rPr>
        <w:t>El incremento de las oportunidades y posibilidades de acceso a la educación superior para contribuir a la conformación de una sociedad que valora y promueve el conocimiento científico, humanístico y tecnológico, además de la cultura, el arte, el deporte y la información;</w:t>
      </w:r>
    </w:p>
    <w:p w14:paraId="287E7EE0" w14:textId="77777777" w:rsidR="00F93AC3" w:rsidRPr="00F93AC3" w:rsidRDefault="00F93AC3" w:rsidP="00F93AC3">
      <w:pPr>
        <w:pStyle w:val="Prrafodelista"/>
        <w:rPr>
          <w:rFonts w:ascii="Abadi" w:hAnsi="Abadi" w:cs="*Calibri-11637-Identity-H"/>
          <w:color w:val="2A2A2A"/>
          <w:sz w:val="21"/>
          <w:szCs w:val="21"/>
        </w:rPr>
      </w:pPr>
    </w:p>
    <w:p w14:paraId="7B2DD62D" w14:textId="77777777" w:rsidR="00F93AC3" w:rsidRPr="0027411C" w:rsidRDefault="00F93AC3" w:rsidP="00F93AC3">
      <w:pPr>
        <w:pStyle w:val="Prrafodelista"/>
        <w:autoSpaceDE w:val="0"/>
        <w:autoSpaceDN w:val="0"/>
        <w:adjustRightInd w:val="0"/>
        <w:ind w:left="720"/>
        <w:contextualSpacing/>
        <w:jc w:val="both"/>
        <w:rPr>
          <w:rFonts w:ascii="Abadi" w:hAnsi="Abadi" w:cs="*Calibri-11637-Identity-H"/>
          <w:color w:val="2A2A2A"/>
          <w:sz w:val="21"/>
          <w:szCs w:val="21"/>
        </w:rPr>
      </w:pPr>
    </w:p>
    <w:p w14:paraId="17C220F1" w14:textId="6EF08CB0" w:rsidR="00366FFB" w:rsidRDefault="00366FFB" w:rsidP="005C6EBB">
      <w:pPr>
        <w:pStyle w:val="Prrafodelista"/>
        <w:numPr>
          <w:ilvl w:val="0"/>
          <w:numId w:val="15"/>
        </w:numPr>
        <w:autoSpaceDE w:val="0"/>
        <w:autoSpaceDN w:val="0"/>
        <w:adjustRightInd w:val="0"/>
        <w:contextualSpacing/>
        <w:jc w:val="both"/>
        <w:rPr>
          <w:rFonts w:ascii="Abadi" w:hAnsi="Abadi" w:cs="*Calibri-11637-Identity-H"/>
          <w:color w:val="2A2A2A"/>
          <w:sz w:val="21"/>
          <w:szCs w:val="21"/>
        </w:rPr>
      </w:pPr>
      <w:r w:rsidRPr="0027411C">
        <w:rPr>
          <w:rFonts w:ascii="Abadi" w:hAnsi="Abadi" w:cs="*Calibri-11637-Identity-H"/>
          <w:color w:val="2A2A2A"/>
          <w:sz w:val="21"/>
          <w:szCs w:val="21"/>
        </w:rPr>
        <w:t xml:space="preserve">La impartición de lo educación superior con un enfoque de inclusión social que garantice </w:t>
      </w:r>
      <w:r w:rsidRPr="0027411C">
        <w:rPr>
          <w:rFonts w:ascii="Abadi" w:hAnsi="Abadi" w:cs="*Times New Roman-11634-Identity"/>
          <w:color w:val="2A2A2A"/>
          <w:sz w:val="21"/>
          <w:szCs w:val="21"/>
        </w:rPr>
        <w:t>I</w:t>
      </w:r>
      <w:r>
        <w:rPr>
          <w:rFonts w:ascii="Abadi" w:hAnsi="Abadi" w:cs="*Times New Roman-11634-Identity"/>
          <w:color w:val="2A2A2A"/>
          <w:sz w:val="21"/>
          <w:szCs w:val="21"/>
        </w:rPr>
        <w:t>a</w:t>
      </w:r>
      <w:r w:rsidRPr="0027411C">
        <w:rPr>
          <w:rFonts w:ascii="Abadi" w:hAnsi="Abadi" w:cs="*Times New Roman-11634-Identity"/>
          <w:color w:val="2A2A2A"/>
          <w:sz w:val="21"/>
          <w:szCs w:val="21"/>
        </w:rPr>
        <w:t xml:space="preserve"> </w:t>
      </w:r>
      <w:r w:rsidRPr="0027411C">
        <w:rPr>
          <w:rFonts w:ascii="Abadi" w:hAnsi="Abadi" w:cs="*Calibri-11637-Identity-H"/>
          <w:color w:val="2A2A2A"/>
          <w:sz w:val="21"/>
          <w:szCs w:val="21"/>
        </w:rPr>
        <w:t xml:space="preserve">equidad en el acceso o este derecho humano; </w:t>
      </w:r>
    </w:p>
    <w:p w14:paraId="1D5238C5" w14:textId="77777777" w:rsidR="00F93AC3" w:rsidRPr="0027411C" w:rsidRDefault="00F93AC3" w:rsidP="00F93AC3">
      <w:pPr>
        <w:pStyle w:val="Prrafodelista"/>
        <w:autoSpaceDE w:val="0"/>
        <w:autoSpaceDN w:val="0"/>
        <w:adjustRightInd w:val="0"/>
        <w:ind w:left="720"/>
        <w:contextualSpacing/>
        <w:jc w:val="both"/>
        <w:rPr>
          <w:rFonts w:ascii="Abadi" w:hAnsi="Abadi" w:cs="*Calibri-11637-Identity-H"/>
          <w:color w:val="2A2A2A"/>
          <w:sz w:val="21"/>
          <w:szCs w:val="21"/>
        </w:rPr>
      </w:pPr>
    </w:p>
    <w:p w14:paraId="0D768D0E" w14:textId="7658A8B7" w:rsidR="00366FFB" w:rsidRDefault="00366FFB" w:rsidP="005C6EBB">
      <w:pPr>
        <w:pStyle w:val="Prrafodelista"/>
        <w:numPr>
          <w:ilvl w:val="0"/>
          <w:numId w:val="15"/>
        </w:numPr>
        <w:autoSpaceDE w:val="0"/>
        <w:autoSpaceDN w:val="0"/>
        <w:adjustRightInd w:val="0"/>
        <w:contextualSpacing/>
        <w:jc w:val="both"/>
        <w:rPr>
          <w:rFonts w:ascii="Abadi" w:hAnsi="Abadi" w:cs="*Calibri-11637-Identity-H"/>
          <w:color w:val="2C2C2C"/>
          <w:sz w:val="21"/>
          <w:szCs w:val="21"/>
        </w:rPr>
      </w:pPr>
      <w:r w:rsidRPr="0027411C">
        <w:rPr>
          <w:rFonts w:ascii="Abadi" w:hAnsi="Abadi" w:cs="*Calibri-11637-Identity-H"/>
          <w:color w:val="2C2C2C"/>
          <w:sz w:val="21"/>
          <w:szCs w:val="21"/>
        </w:rPr>
        <w:t xml:space="preserve">La vinculación entre las autoridades educativas y las instituciones de educación superior con diversos sectores sociales y con el ámbito laboral, para que, al egresar, los futuros profesionistas se incorporen a las actividades productivas del país y contribuyan a su desarrollo social y económico; </w:t>
      </w:r>
    </w:p>
    <w:p w14:paraId="3193431C" w14:textId="77777777" w:rsidR="00F93AC3" w:rsidRPr="00F93AC3" w:rsidRDefault="00F93AC3" w:rsidP="00F93AC3">
      <w:pPr>
        <w:pStyle w:val="Prrafodelista"/>
        <w:rPr>
          <w:rFonts w:ascii="Abadi" w:hAnsi="Abadi" w:cs="*Calibri-11637-Identity-H"/>
          <w:color w:val="2C2C2C"/>
          <w:sz w:val="21"/>
          <w:szCs w:val="21"/>
        </w:rPr>
      </w:pPr>
    </w:p>
    <w:p w14:paraId="424D7BCD" w14:textId="77777777" w:rsidR="00F93AC3" w:rsidRPr="0027411C" w:rsidRDefault="00F93AC3" w:rsidP="00F93AC3">
      <w:pPr>
        <w:pStyle w:val="Prrafodelista"/>
        <w:autoSpaceDE w:val="0"/>
        <w:autoSpaceDN w:val="0"/>
        <w:adjustRightInd w:val="0"/>
        <w:ind w:left="720"/>
        <w:contextualSpacing/>
        <w:jc w:val="both"/>
        <w:rPr>
          <w:rFonts w:ascii="Abadi" w:hAnsi="Abadi" w:cs="*Calibri-11637-Identity-H"/>
          <w:color w:val="2C2C2C"/>
          <w:sz w:val="21"/>
          <w:szCs w:val="21"/>
        </w:rPr>
      </w:pPr>
    </w:p>
    <w:p w14:paraId="180DFADA" w14:textId="6413BCF7" w:rsidR="00366FFB" w:rsidRDefault="00366FFB" w:rsidP="005C6EBB">
      <w:pPr>
        <w:pStyle w:val="Prrafodelista"/>
        <w:numPr>
          <w:ilvl w:val="0"/>
          <w:numId w:val="15"/>
        </w:numPr>
        <w:autoSpaceDE w:val="0"/>
        <w:autoSpaceDN w:val="0"/>
        <w:adjustRightInd w:val="0"/>
        <w:contextualSpacing/>
        <w:jc w:val="both"/>
        <w:rPr>
          <w:rFonts w:ascii="Abadi" w:hAnsi="Abadi" w:cs="*Calibri-11637-Identity-H"/>
          <w:color w:val="2A2A2A"/>
          <w:sz w:val="21"/>
          <w:szCs w:val="21"/>
        </w:rPr>
      </w:pPr>
      <w:r w:rsidRPr="0027411C">
        <w:rPr>
          <w:rFonts w:ascii="Abadi" w:hAnsi="Abadi" w:cs="*Calibri-11637-Identity-H"/>
          <w:color w:val="2A2A2A"/>
          <w:sz w:val="21"/>
          <w:szCs w:val="21"/>
        </w:rPr>
        <w:t>La promoción de acuerdos y programas entre las autoridades educativas, las instituciones de educación superior y otros actores sociales, para que, con una visión social y de Estado, impulsen el desarrollo y consolidación de la educación superior;</w:t>
      </w:r>
    </w:p>
    <w:p w14:paraId="6445467D" w14:textId="77777777" w:rsidR="00F93AC3" w:rsidRPr="0027411C" w:rsidRDefault="00F93AC3" w:rsidP="00F93AC3">
      <w:pPr>
        <w:pStyle w:val="Prrafodelista"/>
        <w:autoSpaceDE w:val="0"/>
        <w:autoSpaceDN w:val="0"/>
        <w:adjustRightInd w:val="0"/>
        <w:ind w:left="720"/>
        <w:contextualSpacing/>
        <w:jc w:val="both"/>
        <w:rPr>
          <w:rFonts w:ascii="Abadi" w:hAnsi="Abadi" w:cs="*Calibri-11637-Identity-H"/>
          <w:color w:val="2A2A2A"/>
          <w:sz w:val="21"/>
          <w:szCs w:val="21"/>
        </w:rPr>
      </w:pPr>
    </w:p>
    <w:p w14:paraId="6B5D297A" w14:textId="50AE25CA" w:rsidR="00366FFB" w:rsidRDefault="00366FFB" w:rsidP="005C6EBB">
      <w:pPr>
        <w:pStyle w:val="Prrafodelista"/>
        <w:numPr>
          <w:ilvl w:val="0"/>
          <w:numId w:val="15"/>
        </w:numPr>
        <w:autoSpaceDE w:val="0"/>
        <w:autoSpaceDN w:val="0"/>
        <w:adjustRightInd w:val="0"/>
        <w:contextualSpacing/>
        <w:jc w:val="both"/>
        <w:rPr>
          <w:rFonts w:ascii="Abadi" w:hAnsi="Abadi" w:cs="*Calibri-11637-Identity-H"/>
          <w:color w:val="2A2A2A"/>
          <w:sz w:val="21"/>
          <w:szCs w:val="21"/>
        </w:rPr>
      </w:pPr>
      <w:r w:rsidRPr="0027411C">
        <w:rPr>
          <w:rFonts w:ascii="Abadi" w:hAnsi="Abadi" w:cs="*Calibri-11637-Identity-H"/>
          <w:color w:val="2A2A2A"/>
          <w:sz w:val="21"/>
          <w:szCs w:val="21"/>
        </w:rPr>
        <w:t>El fomento de la integridad académica y la honestidad de toda la comunidad de las instituciones de educación superior;</w:t>
      </w:r>
    </w:p>
    <w:p w14:paraId="686809B8" w14:textId="77777777" w:rsidR="00F93AC3" w:rsidRPr="00F93AC3" w:rsidRDefault="00F93AC3" w:rsidP="00F93AC3">
      <w:pPr>
        <w:pStyle w:val="Prrafodelista"/>
        <w:rPr>
          <w:rFonts w:ascii="Abadi" w:hAnsi="Abadi" w:cs="*Calibri-11637-Identity-H"/>
          <w:color w:val="2A2A2A"/>
          <w:sz w:val="21"/>
          <w:szCs w:val="21"/>
        </w:rPr>
      </w:pPr>
    </w:p>
    <w:p w14:paraId="43ECA44D" w14:textId="77777777" w:rsidR="00F93AC3" w:rsidRPr="0027411C" w:rsidRDefault="00F93AC3" w:rsidP="00F93AC3">
      <w:pPr>
        <w:pStyle w:val="Prrafodelista"/>
        <w:autoSpaceDE w:val="0"/>
        <w:autoSpaceDN w:val="0"/>
        <w:adjustRightInd w:val="0"/>
        <w:ind w:left="720"/>
        <w:contextualSpacing/>
        <w:jc w:val="both"/>
        <w:rPr>
          <w:rFonts w:ascii="Abadi" w:hAnsi="Abadi" w:cs="*Calibri-11637-Identity-H"/>
          <w:color w:val="2A2A2A"/>
          <w:sz w:val="21"/>
          <w:szCs w:val="21"/>
        </w:rPr>
      </w:pPr>
    </w:p>
    <w:p w14:paraId="700D1492" w14:textId="2D090A5E" w:rsidR="00366FFB" w:rsidRDefault="00366FFB" w:rsidP="005C6EBB">
      <w:pPr>
        <w:pStyle w:val="Prrafodelista"/>
        <w:numPr>
          <w:ilvl w:val="0"/>
          <w:numId w:val="15"/>
        </w:numPr>
        <w:autoSpaceDE w:val="0"/>
        <w:autoSpaceDN w:val="0"/>
        <w:adjustRightInd w:val="0"/>
        <w:contextualSpacing/>
        <w:jc w:val="both"/>
        <w:rPr>
          <w:rFonts w:ascii="Abadi" w:hAnsi="Abadi" w:cs="*Calibri-11637-Identity-H"/>
          <w:color w:val="292929"/>
          <w:sz w:val="21"/>
          <w:szCs w:val="21"/>
        </w:rPr>
      </w:pPr>
      <w:r w:rsidRPr="0027411C">
        <w:rPr>
          <w:rFonts w:ascii="Abadi" w:hAnsi="Abadi" w:cs="*Calibri-11637-Identity-H"/>
          <w:color w:val="292929"/>
          <w:sz w:val="21"/>
          <w:szCs w:val="21"/>
        </w:rPr>
        <w:t>La promoción y consolidación de redes universitarias para la cooperación y el desarrollo de las funciones de las instituciones de educación superior; así como de aquellos para la activación físico, la práctica del deporte y la educación física;</w:t>
      </w:r>
    </w:p>
    <w:p w14:paraId="4EDF724B" w14:textId="77777777" w:rsidR="00F93AC3" w:rsidRPr="0027411C" w:rsidRDefault="00F93AC3" w:rsidP="00F93AC3">
      <w:pPr>
        <w:pStyle w:val="Prrafodelista"/>
        <w:autoSpaceDE w:val="0"/>
        <w:autoSpaceDN w:val="0"/>
        <w:adjustRightInd w:val="0"/>
        <w:ind w:left="720"/>
        <w:contextualSpacing/>
        <w:jc w:val="both"/>
        <w:rPr>
          <w:rFonts w:ascii="Abadi" w:hAnsi="Abadi" w:cs="*Calibri-11637-Identity-H"/>
          <w:color w:val="292929"/>
          <w:sz w:val="21"/>
          <w:szCs w:val="21"/>
        </w:rPr>
      </w:pPr>
    </w:p>
    <w:p w14:paraId="40DB0A91" w14:textId="6D307F49" w:rsidR="00366FFB" w:rsidRDefault="00366FFB" w:rsidP="005C6EBB">
      <w:pPr>
        <w:pStyle w:val="Prrafodelista"/>
        <w:numPr>
          <w:ilvl w:val="0"/>
          <w:numId w:val="15"/>
        </w:numPr>
        <w:autoSpaceDE w:val="0"/>
        <w:autoSpaceDN w:val="0"/>
        <w:adjustRightInd w:val="0"/>
        <w:contextualSpacing/>
        <w:jc w:val="both"/>
        <w:rPr>
          <w:rFonts w:ascii="Abadi" w:hAnsi="Abadi" w:cs="*Arial-12084-Identity-H"/>
          <w:color w:val="2B2B2B"/>
          <w:sz w:val="21"/>
          <w:szCs w:val="21"/>
        </w:rPr>
      </w:pPr>
      <w:r w:rsidRPr="0027411C">
        <w:rPr>
          <w:rFonts w:ascii="Abadi" w:hAnsi="Abadi" w:cs="*Arial-12084-Identity-H"/>
          <w:color w:val="2B2B2B"/>
          <w:sz w:val="21"/>
          <w:szCs w:val="21"/>
        </w:rPr>
        <w:t xml:space="preserve">El diseño </w:t>
      </w:r>
      <w:r w:rsidRPr="0027411C">
        <w:rPr>
          <w:rFonts w:ascii="Abadi" w:hAnsi="Abadi" w:cs="*Arial-12085-Identity-H"/>
          <w:color w:val="2B2B2B"/>
          <w:sz w:val="21"/>
          <w:szCs w:val="21"/>
        </w:rPr>
        <w:t xml:space="preserve">y </w:t>
      </w:r>
      <w:r w:rsidRPr="0027411C">
        <w:rPr>
          <w:rFonts w:ascii="Abadi" w:hAnsi="Abadi" w:cs="*Arial-12084-Identity-H"/>
          <w:color w:val="2B2B2B"/>
          <w:sz w:val="21"/>
          <w:szCs w:val="21"/>
        </w:rPr>
        <w:t>aplicación de procedimientos de acceso y apoyo al tipo de educación superior para personas con aptitudes sobresalientes y talentos específicos;</w:t>
      </w:r>
    </w:p>
    <w:p w14:paraId="470737EC" w14:textId="77777777" w:rsidR="00F93AC3" w:rsidRPr="00F93AC3" w:rsidRDefault="00F93AC3" w:rsidP="00F93AC3">
      <w:pPr>
        <w:pStyle w:val="Prrafodelista"/>
        <w:rPr>
          <w:rFonts w:ascii="Abadi" w:hAnsi="Abadi" w:cs="*Arial-12084-Identity-H"/>
          <w:color w:val="2B2B2B"/>
          <w:sz w:val="21"/>
          <w:szCs w:val="21"/>
        </w:rPr>
      </w:pPr>
    </w:p>
    <w:p w14:paraId="788FFDC4" w14:textId="77777777" w:rsidR="00F93AC3" w:rsidRPr="0027411C" w:rsidRDefault="00F93AC3" w:rsidP="00F93AC3">
      <w:pPr>
        <w:pStyle w:val="Prrafodelista"/>
        <w:autoSpaceDE w:val="0"/>
        <w:autoSpaceDN w:val="0"/>
        <w:adjustRightInd w:val="0"/>
        <w:ind w:left="720"/>
        <w:contextualSpacing/>
        <w:jc w:val="both"/>
        <w:rPr>
          <w:rFonts w:ascii="Abadi" w:hAnsi="Abadi" w:cs="*Arial-12084-Identity-H"/>
          <w:color w:val="2B2B2B"/>
          <w:sz w:val="21"/>
          <w:szCs w:val="21"/>
        </w:rPr>
      </w:pPr>
    </w:p>
    <w:p w14:paraId="2E313B50" w14:textId="0D8F5BBD" w:rsidR="00366FFB" w:rsidRDefault="00366FFB" w:rsidP="005C6EBB">
      <w:pPr>
        <w:pStyle w:val="Prrafodelista"/>
        <w:numPr>
          <w:ilvl w:val="0"/>
          <w:numId w:val="15"/>
        </w:numPr>
        <w:autoSpaceDE w:val="0"/>
        <w:autoSpaceDN w:val="0"/>
        <w:adjustRightInd w:val="0"/>
        <w:contextualSpacing/>
        <w:jc w:val="both"/>
        <w:rPr>
          <w:rFonts w:ascii="Abadi" w:hAnsi="Abadi" w:cs="*Arial-12084-Identity-H"/>
          <w:color w:val="2A2A2A"/>
          <w:sz w:val="21"/>
          <w:szCs w:val="21"/>
        </w:rPr>
      </w:pPr>
      <w:r w:rsidRPr="0027411C">
        <w:rPr>
          <w:rFonts w:ascii="Abadi" w:hAnsi="Abadi" w:cs="*Arial-12084-Identity-H"/>
          <w:color w:val="2A2A2A"/>
          <w:sz w:val="21"/>
          <w:szCs w:val="21"/>
        </w:rPr>
        <w:t>El establecimiento de procesos de planeación participativa de la educación superior. con visión de mediano y largo plazo;</w:t>
      </w:r>
    </w:p>
    <w:p w14:paraId="4FBF09BF" w14:textId="77777777" w:rsidR="00F93AC3" w:rsidRPr="0027411C" w:rsidRDefault="00F93AC3" w:rsidP="00F93AC3">
      <w:pPr>
        <w:pStyle w:val="Prrafodelista"/>
        <w:autoSpaceDE w:val="0"/>
        <w:autoSpaceDN w:val="0"/>
        <w:adjustRightInd w:val="0"/>
        <w:ind w:left="720"/>
        <w:contextualSpacing/>
        <w:jc w:val="both"/>
        <w:rPr>
          <w:rFonts w:ascii="Abadi" w:hAnsi="Abadi" w:cs="*Arial-12084-Identity-H"/>
          <w:color w:val="2A2A2A"/>
          <w:sz w:val="21"/>
          <w:szCs w:val="21"/>
        </w:rPr>
      </w:pPr>
    </w:p>
    <w:p w14:paraId="31BD2F59" w14:textId="6EE5C50B" w:rsidR="00366FFB" w:rsidRDefault="00366FFB" w:rsidP="005C6EBB">
      <w:pPr>
        <w:pStyle w:val="Prrafodelista"/>
        <w:numPr>
          <w:ilvl w:val="0"/>
          <w:numId w:val="15"/>
        </w:numPr>
        <w:autoSpaceDE w:val="0"/>
        <w:autoSpaceDN w:val="0"/>
        <w:adjustRightInd w:val="0"/>
        <w:contextualSpacing/>
        <w:jc w:val="both"/>
        <w:rPr>
          <w:rFonts w:ascii="Abadi" w:hAnsi="Abadi" w:cs="*Arial-12084-Identity-H"/>
          <w:color w:val="2B2B2B"/>
          <w:sz w:val="21"/>
          <w:szCs w:val="21"/>
        </w:rPr>
      </w:pPr>
      <w:r w:rsidRPr="0027411C">
        <w:rPr>
          <w:rFonts w:ascii="Abadi" w:hAnsi="Abadi" w:cs="*Arial-12084-Identity-H"/>
          <w:color w:val="2B2B2B"/>
          <w:sz w:val="21"/>
          <w:szCs w:val="21"/>
        </w:rPr>
        <w:t xml:space="preserve">Lo articulación de las estrategias </w:t>
      </w:r>
      <w:r w:rsidRPr="0027411C">
        <w:rPr>
          <w:rFonts w:ascii="Abadi" w:hAnsi="Abadi" w:cs="*Arial-12085-Identity-H"/>
          <w:color w:val="2B2B2B"/>
          <w:sz w:val="21"/>
          <w:szCs w:val="21"/>
        </w:rPr>
        <w:t xml:space="preserve">y </w:t>
      </w:r>
      <w:r w:rsidRPr="0027411C">
        <w:rPr>
          <w:rFonts w:ascii="Abadi" w:hAnsi="Abadi" w:cs="*Arial-12084-Identity-H"/>
          <w:color w:val="2B2B2B"/>
          <w:sz w:val="21"/>
          <w:szCs w:val="21"/>
        </w:rPr>
        <w:t>los programas de los distintos subsistemas de educación superior, con un enfoque de compromiso de las Instituciones de educación superior que contribuya a lo búsqueda de soluciones a los pro</w:t>
      </w:r>
      <w:r w:rsidRPr="0027411C">
        <w:rPr>
          <w:rFonts w:ascii="Abadi" w:hAnsi="Abadi" w:cs="*Arial-12084-Identity-H"/>
          <w:color w:val="181818"/>
          <w:sz w:val="21"/>
          <w:szCs w:val="21"/>
        </w:rPr>
        <w:t>b</w:t>
      </w:r>
      <w:r w:rsidRPr="0027411C">
        <w:rPr>
          <w:rFonts w:ascii="Abadi" w:hAnsi="Abadi" w:cs="*Arial-12084-Identity-H"/>
          <w:color w:val="444444"/>
          <w:sz w:val="21"/>
          <w:szCs w:val="21"/>
        </w:rPr>
        <w:t>l</w:t>
      </w:r>
      <w:r w:rsidRPr="0027411C">
        <w:rPr>
          <w:rFonts w:ascii="Abadi" w:hAnsi="Abadi" w:cs="*Arial-12084-Identity-H"/>
          <w:color w:val="2B2B2B"/>
          <w:sz w:val="21"/>
          <w:szCs w:val="21"/>
        </w:rPr>
        <w:t>emas de la Entidad;</w:t>
      </w:r>
    </w:p>
    <w:p w14:paraId="47F55E8A" w14:textId="77777777" w:rsidR="00F93AC3" w:rsidRPr="00F93AC3" w:rsidRDefault="00F93AC3" w:rsidP="00F93AC3">
      <w:pPr>
        <w:pStyle w:val="Prrafodelista"/>
        <w:rPr>
          <w:rFonts w:ascii="Abadi" w:hAnsi="Abadi" w:cs="*Arial-12084-Identity-H"/>
          <w:color w:val="2B2B2B"/>
          <w:sz w:val="21"/>
          <w:szCs w:val="21"/>
        </w:rPr>
      </w:pPr>
    </w:p>
    <w:p w14:paraId="7FC51CF8" w14:textId="77777777" w:rsidR="00F93AC3" w:rsidRPr="0027411C" w:rsidRDefault="00F93AC3" w:rsidP="00F93AC3">
      <w:pPr>
        <w:pStyle w:val="Prrafodelista"/>
        <w:autoSpaceDE w:val="0"/>
        <w:autoSpaceDN w:val="0"/>
        <w:adjustRightInd w:val="0"/>
        <w:ind w:left="720"/>
        <w:contextualSpacing/>
        <w:jc w:val="both"/>
        <w:rPr>
          <w:rFonts w:ascii="Abadi" w:hAnsi="Abadi" w:cs="*Arial-12084-Identity-H"/>
          <w:color w:val="2B2B2B"/>
          <w:sz w:val="21"/>
          <w:szCs w:val="21"/>
        </w:rPr>
      </w:pPr>
    </w:p>
    <w:p w14:paraId="41CE4784" w14:textId="19B8C94F" w:rsidR="00366FFB" w:rsidRDefault="00366FFB" w:rsidP="005C6EBB">
      <w:pPr>
        <w:pStyle w:val="Prrafodelista"/>
        <w:numPr>
          <w:ilvl w:val="0"/>
          <w:numId w:val="15"/>
        </w:numPr>
        <w:autoSpaceDE w:val="0"/>
        <w:autoSpaceDN w:val="0"/>
        <w:adjustRightInd w:val="0"/>
        <w:contextualSpacing/>
        <w:jc w:val="both"/>
        <w:rPr>
          <w:rFonts w:ascii="Abadi" w:hAnsi="Abadi" w:cs="*Arial-12084-Identity-H"/>
          <w:color w:val="2A2A2A"/>
          <w:sz w:val="21"/>
          <w:szCs w:val="21"/>
        </w:rPr>
      </w:pPr>
      <w:r w:rsidRPr="0027411C">
        <w:rPr>
          <w:rFonts w:ascii="Abadi" w:hAnsi="Abadi" w:cs="*Arial-12084-Identity-H"/>
          <w:color w:val="2A2A2A"/>
          <w:sz w:val="21"/>
          <w:szCs w:val="21"/>
        </w:rPr>
        <w:t>Lo promoción permanente de procesos de diagnóstico y evaluación que permitan prevenir y atender la deserción escolar, particularmente lo de sectores en vulnerabilidad social;</w:t>
      </w:r>
    </w:p>
    <w:p w14:paraId="610FA294" w14:textId="77777777" w:rsidR="00F93AC3" w:rsidRPr="0027411C" w:rsidRDefault="00F93AC3" w:rsidP="00F93AC3">
      <w:pPr>
        <w:pStyle w:val="Prrafodelista"/>
        <w:autoSpaceDE w:val="0"/>
        <w:autoSpaceDN w:val="0"/>
        <w:adjustRightInd w:val="0"/>
        <w:ind w:left="720"/>
        <w:contextualSpacing/>
        <w:jc w:val="both"/>
        <w:rPr>
          <w:rFonts w:ascii="Abadi" w:hAnsi="Abadi" w:cs="*Arial-12084-Identity-H"/>
          <w:color w:val="2A2A2A"/>
          <w:sz w:val="21"/>
          <w:szCs w:val="21"/>
        </w:rPr>
      </w:pPr>
    </w:p>
    <w:p w14:paraId="219A7928" w14:textId="2FDD0187" w:rsidR="00366FFB" w:rsidRDefault="00366FFB" w:rsidP="005C6EBB">
      <w:pPr>
        <w:pStyle w:val="Prrafodelista"/>
        <w:numPr>
          <w:ilvl w:val="0"/>
          <w:numId w:val="15"/>
        </w:numPr>
        <w:autoSpaceDE w:val="0"/>
        <w:autoSpaceDN w:val="0"/>
        <w:adjustRightInd w:val="0"/>
        <w:contextualSpacing/>
        <w:jc w:val="both"/>
        <w:rPr>
          <w:rFonts w:ascii="Abadi" w:hAnsi="Abadi" w:cs="*Arial-12084-Identity-H"/>
          <w:color w:val="292929"/>
          <w:sz w:val="21"/>
          <w:szCs w:val="21"/>
        </w:rPr>
      </w:pPr>
      <w:r w:rsidRPr="0027411C">
        <w:rPr>
          <w:rFonts w:ascii="Abadi" w:hAnsi="Abadi" w:cs="*Arial-12084-Identity-H"/>
          <w:color w:val="292929"/>
          <w:sz w:val="21"/>
          <w:szCs w:val="21"/>
        </w:rPr>
        <w:t xml:space="preserve">La evaluación de la educación superior corno un proceso integral, sistemático y participativo para su mejora continua, basada entre otros aspectos, en evaluaciones diagnósticas, de programas </w:t>
      </w:r>
      <w:r w:rsidRPr="0027411C">
        <w:rPr>
          <w:rFonts w:ascii="Abadi" w:hAnsi="Abadi" w:cs="*Times New Roman-Italic-12081-I"/>
          <w:i/>
          <w:iCs/>
          <w:color w:val="292929"/>
          <w:sz w:val="21"/>
          <w:szCs w:val="21"/>
        </w:rPr>
        <w:t xml:space="preserve">y </w:t>
      </w:r>
      <w:r w:rsidRPr="0027411C">
        <w:rPr>
          <w:rFonts w:ascii="Abadi" w:hAnsi="Abadi" w:cs="*Arial-12084-Identity-H"/>
          <w:color w:val="292929"/>
          <w:sz w:val="21"/>
          <w:szCs w:val="21"/>
        </w:rPr>
        <w:t>de gestión institucional, así como en la acreditación en los términos que se establezcan en las disposiciones derivadas de la presente Ley;</w:t>
      </w:r>
    </w:p>
    <w:p w14:paraId="57A253FF" w14:textId="77777777" w:rsidR="00F93AC3" w:rsidRPr="00F93AC3" w:rsidRDefault="00F93AC3" w:rsidP="00F93AC3">
      <w:pPr>
        <w:pStyle w:val="Prrafodelista"/>
        <w:rPr>
          <w:rFonts w:ascii="Abadi" w:hAnsi="Abadi" w:cs="*Arial-12084-Identity-H"/>
          <w:color w:val="292929"/>
          <w:sz w:val="21"/>
          <w:szCs w:val="21"/>
        </w:rPr>
      </w:pPr>
    </w:p>
    <w:p w14:paraId="4C9051E3" w14:textId="77777777" w:rsidR="00F93AC3" w:rsidRPr="0027411C" w:rsidRDefault="00F93AC3" w:rsidP="00F93AC3">
      <w:pPr>
        <w:pStyle w:val="Prrafodelista"/>
        <w:autoSpaceDE w:val="0"/>
        <w:autoSpaceDN w:val="0"/>
        <w:adjustRightInd w:val="0"/>
        <w:ind w:left="720"/>
        <w:contextualSpacing/>
        <w:jc w:val="both"/>
        <w:rPr>
          <w:rFonts w:ascii="Abadi" w:hAnsi="Abadi" w:cs="*Arial-12084-Identity-H"/>
          <w:color w:val="292929"/>
          <w:sz w:val="21"/>
          <w:szCs w:val="21"/>
        </w:rPr>
      </w:pPr>
    </w:p>
    <w:p w14:paraId="3E26C414" w14:textId="77777777" w:rsidR="00366FFB" w:rsidRPr="0027411C" w:rsidRDefault="00366FFB" w:rsidP="005C6EBB">
      <w:pPr>
        <w:pStyle w:val="Prrafodelista"/>
        <w:numPr>
          <w:ilvl w:val="0"/>
          <w:numId w:val="15"/>
        </w:numPr>
        <w:autoSpaceDE w:val="0"/>
        <w:autoSpaceDN w:val="0"/>
        <w:adjustRightInd w:val="0"/>
        <w:contextualSpacing/>
        <w:jc w:val="both"/>
        <w:rPr>
          <w:rFonts w:ascii="Abadi" w:hAnsi="Abadi" w:cs="*Arial-12084-Identity-H"/>
          <w:color w:val="2A2A2A"/>
          <w:sz w:val="21"/>
          <w:szCs w:val="21"/>
        </w:rPr>
      </w:pPr>
      <w:r w:rsidRPr="0027411C">
        <w:rPr>
          <w:rFonts w:ascii="Abadi" w:hAnsi="Abadi" w:cs="*Arial-12084-Identity-H"/>
          <w:color w:val="2A2A2A"/>
          <w:sz w:val="21"/>
          <w:szCs w:val="21"/>
        </w:rPr>
        <w:t>El impulso de la calidad educativa, la excelencia, la innovación permanente, la mente</w:t>
      </w:r>
      <w:r>
        <w:rPr>
          <w:rFonts w:ascii="Abadi" w:hAnsi="Abadi" w:cs="*Arial-12084-Identity-H"/>
          <w:color w:val="2A2A2A"/>
          <w:sz w:val="21"/>
          <w:szCs w:val="21"/>
        </w:rPr>
        <w:t xml:space="preserve"> </w:t>
      </w:r>
      <w:r w:rsidRPr="0027411C">
        <w:rPr>
          <w:rFonts w:ascii="Abadi" w:hAnsi="Abadi" w:cs="*Arial-12084-Identity-H"/>
          <w:color w:val="2A2A2A"/>
          <w:sz w:val="21"/>
          <w:szCs w:val="21"/>
        </w:rPr>
        <w:t>f</w:t>
      </w:r>
      <w:r>
        <w:rPr>
          <w:rFonts w:ascii="Abadi" w:hAnsi="Abadi" w:cs="*Arial-12084-Identity-H"/>
          <w:color w:val="2A2A2A"/>
          <w:sz w:val="21"/>
          <w:szCs w:val="21"/>
        </w:rPr>
        <w:t>a</w:t>
      </w:r>
      <w:r w:rsidRPr="0027411C">
        <w:rPr>
          <w:rFonts w:ascii="Abadi" w:hAnsi="Abadi" w:cs="*Arial-12084-Identity-H"/>
          <w:color w:val="2A2A2A"/>
          <w:sz w:val="21"/>
          <w:szCs w:val="21"/>
        </w:rPr>
        <w:t>ctura en la formación profesional y en las actividades de generación, transmisión, aplicación y difusión del conocimiento;</w:t>
      </w:r>
    </w:p>
    <w:p w14:paraId="703D1738" w14:textId="24DEF0E6" w:rsidR="00366FFB" w:rsidRDefault="00366FFB" w:rsidP="005C6EBB">
      <w:pPr>
        <w:pStyle w:val="Prrafodelista"/>
        <w:numPr>
          <w:ilvl w:val="0"/>
          <w:numId w:val="15"/>
        </w:numPr>
        <w:autoSpaceDE w:val="0"/>
        <w:autoSpaceDN w:val="0"/>
        <w:adjustRightInd w:val="0"/>
        <w:contextualSpacing/>
        <w:jc w:val="both"/>
        <w:rPr>
          <w:rFonts w:ascii="Abadi" w:hAnsi="Abadi" w:cs="*Arial-12084-Identity-H"/>
          <w:color w:val="292929"/>
          <w:sz w:val="21"/>
          <w:szCs w:val="21"/>
        </w:rPr>
      </w:pPr>
      <w:r w:rsidRPr="0027411C">
        <w:rPr>
          <w:rFonts w:ascii="Abadi" w:hAnsi="Abadi" w:cs="*Arial-12084-Identity-H"/>
          <w:color w:val="292929"/>
          <w:sz w:val="21"/>
          <w:szCs w:val="21"/>
        </w:rPr>
        <w:t xml:space="preserve">Promover las modalidades virtuales </w:t>
      </w:r>
      <w:r w:rsidRPr="0027411C">
        <w:rPr>
          <w:rFonts w:ascii="Abadi" w:hAnsi="Abadi" w:cs="*Times New Roman-Italic-12080-I"/>
          <w:i/>
          <w:iCs/>
          <w:color w:val="292929"/>
          <w:sz w:val="21"/>
          <w:szCs w:val="21"/>
        </w:rPr>
        <w:t xml:space="preserve">y </w:t>
      </w:r>
      <w:r w:rsidRPr="0027411C">
        <w:rPr>
          <w:rFonts w:ascii="Abadi" w:hAnsi="Abadi" w:cs="*Times New Roman-12079-Identity"/>
          <w:color w:val="292929"/>
          <w:sz w:val="21"/>
          <w:szCs w:val="21"/>
        </w:rPr>
        <w:t xml:space="preserve">d </w:t>
      </w:r>
      <w:r w:rsidRPr="0027411C">
        <w:rPr>
          <w:rFonts w:ascii="Abadi" w:hAnsi="Abadi" w:cs="*Arial-12084-Identity-H"/>
          <w:color w:val="292929"/>
          <w:sz w:val="21"/>
          <w:szCs w:val="21"/>
        </w:rPr>
        <w:t>distancia como una alternativa paro ampliar la oferta de los servicios educativos</w:t>
      </w:r>
      <w:r w:rsidR="00F93AC3">
        <w:rPr>
          <w:rFonts w:ascii="Abadi" w:hAnsi="Abadi" w:cs="*Arial-12084-Identity-H"/>
          <w:color w:val="292929"/>
          <w:sz w:val="21"/>
          <w:szCs w:val="21"/>
        </w:rPr>
        <w:t>.</w:t>
      </w:r>
    </w:p>
    <w:p w14:paraId="17CC7ACE" w14:textId="77777777" w:rsidR="00F93AC3" w:rsidRPr="0027411C" w:rsidRDefault="00F93AC3" w:rsidP="00F93AC3">
      <w:pPr>
        <w:pStyle w:val="Prrafodelista"/>
        <w:autoSpaceDE w:val="0"/>
        <w:autoSpaceDN w:val="0"/>
        <w:adjustRightInd w:val="0"/>
        <w:ind w:left="720"/>
        <w:contextualSpacing/>
        <w:jc w:val="both"/>
        <w:rPr>
          <w:rFonts w:ascii="Abadi" w:hAnsi="Abadi" w:cs="*Arial-12084-Identity-H"/>
          <w:color w:val="292929"/>
          <w:sz w:val="21"/>
          <w:szCs w:val="21"/>
        </w:rPr>
      </w:pPr>
    </w:p>
    <w:p w14:paraId="72B0A505" w14:textId="1A8FDCBF" w:rsidR="00366FFB" w:rsidRDefault="00366FFB" w:rsidP="005C6EBB">
      <w:pPr>
        <w:pStyle w:val="Prrafodelista"/>
        <w:numPr>
          <w:ilvl w:val="0"/>
          <w:numId w:val="15"/>
        </w:numPr>
        <w:autoSpaceDE w:val="0"/>
        <w:autoSpaceDN w:val="0"/>
        <w:adjustRightInd w:val="0"/>
        <w:contextualSpacing/>
        <w:jc w:val="both"/>
        <w:rPr>
          <w:rFonts w:ascii="Abadi" w:hAnsi="Abadi" w:cs="*Arial-12084-Identity-H"/>
          <w:color w:val="292929"/>
          <w:sz w:val="21"/>
          <w:szCs w:val="21"/>
        </w:rPr>
      </w:pPr>
      <w:r w:rsidRPr="0027411C">
        <w:rPr>
          <w:rFonts w:ascii="Abadi" w:hAnsi="Abadi" w:cs="*Arial-12084-Identity-H"/>
          <w:color w:val="292929"/>
          <w:sz w:val="21"/>
          <w:szCs w:val="21"/>
        </w:rPr>
        <w:t xml:space="preserve">Promover acciones de intercambio, movilidad y experiencias educativas que fortalezcan la interculturalidad y su sentido de pertenencia, la internacionalización y el </w:t>
      </w:r>
      <w:r w:rsidRPr="0027411C">
        <w:rPr>
          <w:rFonts w:ascii="Abadi" w:hAnsi="Abadi" w:cs="*Arial-12085-Identity-H"/>
          <w:color w:val="292929"/>
          <w:sz w:val="21"/>
          <w:szCs w:val="21"/>
        </w:rPr>
        <w:t xml:space="preserve">perfil </w:t>
      </w:r>
      <w:r w:rsidRPr="0027411C">
        <w:rPr>
          <w:rFonts w:ascii="Abadi" w:hAnsi="Abadi" w:cs="*Arial-12084-Identity-H"/>
          <w:color w:val="292929"/>
          <w:sz w:val="21"/>
          <w:szCs w:val="21"/>
        </w:rPr>
        <w:t>de ciudadano global;</w:t>
      </w:r>
    </w:p>
    <w:p w14:paraId="524618BB" w14:textId="77777777" w:rsidR="00F93AC3" w:rsidRPr="00F93AC3" w:rsidRDefault="00F93AC3" w:rsidP="00F93AC3">
      <w:pPr>
        <w:pStyle w:val="Prrafodelista"/>
        <w:rPr>
          <w:rFonts w:ascii="Abadi" w:hAnsi="Abadi" w:cs="*Arial-12084-Identity-H"/>
          <w:color w:val="292929"/>
          <w:sz w:val="21"/>
          <w:szCs w:val="21"/>
        </w:rPr>
      </w:pPr>
    </w:p>
    <w:p w14:paraId="1C144FCC" w14:textId="77777777" w:rsidR="00F93AC3" w:rsidRPr="0027411C" w:rsidRDefault="00F93AC3" w:rsidP="00F93AC3">
      <w:pPr>
        <w:pStyle w:val="Prrafodelista"/>
        <w:autoSpaceDE w:val="0"/>
        <w:autoSpaceDN w:val="0"/>
        <w:adjustRightInd w:val="0"/>
        <w:ind w:left="720"/>
        <w:contextualSpacing/>
        <w:jc w:val="both"/>
        <w:rPr>
          <w:rFonts w:ascii="Abadi" w:hAnsi="Abadi" w:cs="*Arial-12084-Identity-H"/>
          <w:color w:val="292929"/>
          <w:sz w:val="21"/>
          <w:szCs w:val="21"/>
        </w:rPr>
      </w:pPr>
    </w:p>
    <w:p w14:paraId="7DB79D62" w14:textId="7E56313A" w:rsidR="00366FFB" w:rsidRDefault="00366FFB" w:rsidP="005C6EBB">
      <w:pPr>
        <w:pStyle w:val="Prrafodelista"/>
        <w:numPr>
          <w:ilvl w:val="0"/>
          <w:numId w:val="15"/>
        </w:numPr>
        <w:autoSpaceDE w:val="0"/>
        <w:autoSpaceDN w:val="0"/>
        <w:adjustRightInd w:val="0"/>
        <w:contextualSpacing/>
        <w:jc w:val="both"/>
        <w:rPr>
          <w:rFonts w:ascii="Abadi" w:hAnsi="Abadi" w:cs="*Calibri-11770-Identity-H"/>
          <w:color w:val="2A2A2A"/>
          <w:sz w:val="21"/>
          <w:szCs w:val="21"/>
        </w:rPr>
      </w:pPr>
      <w:r>
        <w:rPr>
          <w:rFonts w:ascii="Abadi" w:hAnsi="Abadi" w:cs="*Calibri-11770-Identity-H"/>
          <w:color w:val="2A2A2A"/>
          <w:sz w:val="21"/>
          <w:szCs w:val="21"/>
        </w:rPr>
        <w:t xml:space="preserve"> </w:t>
      </w:r>
      <w:r w:rsidRPr="0027411C">
        <w:rPr>
          <w:rFonts w:ascii="Abadi" w:hAnsi="Abadi" w:cs="*Calibri-11770-Identity-H"/>
          <w:color w:val="2A2A2A"/>
          <w:sz w:val="21"/>
          <w:szCs w:val="21"/>
        </w:rPr>
        <w:t xml:space="preserve">El fortalecimiento de la carrera del personal académico </w:t>
      </w:r>
      <w:r w:rsidRPr="0027411C">
        <w:rPr>
          <w:rFonts w:ascii="Abadi" w:hAnsi="Abadi" w:cs="*Calibri-11772-Identity-H"/>
          <w:color w:val="2A2A2A"/>
          <w:sz w:val="21"/>
          <w:szCs w:val="21"/>
        </w:rPr>
        <w:t xml:space="preserve">y </w:t>
      </w:r>
      <w:r w:rsidRPr="0027411C">
        <w:rPr>
          <w:rFonts w:ascii="Abadi" w:hAnsi="Abadi" w:cs="*Calibri-11770-Identity-H"/>
          <w:color w:val="2A2A2A"/>
          <w:sz w:val="21"/>
          <w:szCs w:val="21"/>
        </w:rPr>
        <w:t>administrativo de las instituciones públicas de educación superior, considerando la diversidad de sus entornos. a través de su formación, capacitación. actualización, profesionalización y superación, que permitan mejorar las condiciones bajo las cuales pres</w:t>
      </w:r>
      <w:r>
        <w:rPr>
          <w:rFonts w:ascii="Abadi" w:hAnsi="Abadi" w:cs="*Calibri-11770-Identity-H"/>
          <w:color w:val="2A2A2A"/>
          <w:sz w:val="21"/>
          <w:szCs w:val="21"/>
        </w:rPr>
        <w:t>tan</w:t>
      </w:r>
      <w:r w:rsidRPr="0027411C">
        <w:rPr>
          <w:rFonts w:ascii="Abadi" w:hAnsi="Abadi" w:cs="*Calibri-11770-Identity-H"/>
          <w:color w:val="2A2A2A"/>
          <w:sz w:val="21"/>
          <w:szCs w:val="21"/>
        </w:rPr>
        <w:t xml:space="preserve"> sus servicios;</w:t>
      </w:r>
    </w:p>
    <w:p w14:paraId="4BAB8398" w14:textId="77777777" w:rsidR="00F93AC3" w:rsidRPr="0027411C" w:rsidRDefault="00F93AC3" w:rsidP="00F93AC3">
      <w:pPr>
        <w:pStyle w:val="Prrafodelista"/>
        <w:autoSpaceDE w:val="0"/>
        <w:autoSpaceDN w:val="0"/>
        <w:adjustRightInd w:val="0"/>
        <w:ind w:left="720"/>
        <w:contextualSpacing/>
        <w:jc w:val="both"/>
        <w:rPr>
          <w:rFonts w:ascii="Abadi" w:hAnsi="Abadi" w:cs="*Calibri-11770-Identity-H"/>
          <w:color w:val="2A2A2A"/>
          <w:sz w:val="21"/>
          <w:szCs w:val="21"/>
        </w:rPr>
      </w:pPr>
    </w:p>
    <w:p w14:paraId="081DC073" w14:textId="0DE42C13" w:rsidR="00366FFB" w:rsidRDefault="00366FFB" w:rsidP="005C6EBB">
      <w:pPr>
        <w:pStyle w:val="Prrafodelista"/>
        <w:numPr>
          <w:ilvl w:val="0"/>
          <w:numId w:val="15"/>
        </w:numPr>
        <w:autoSpaceDE w:val="0"/>
        <w:autoSpaceDN w:val="0"/>
        <w:adjustRightInd w:val="0"/>
        <w:contextualSpacing/>
        <w:jc w:val="both"/>
        <w:rPr>
          <w:rFonts w:ascii="Abadi" w:hAnsi="Abadi" w:cs="*Calibri-11770-Identity-H"/>
          <w:color w:val="282828"/>
          <w:sz w:val="21"/>
          <w:szCs w:val="21"/>
        </w:rPr>
      </w:pPr>
      <w:r w:rsidRPr="0027411C">
        <w:rPr>
          <w:rFonts w:ascii="Abadi" w:hAnsi="Abadi" w:cs="*Calibri-11770-Identity-H"/>
          <w:color w:val="282828"/>
          <w:sz w:val="21"/>
          <w:szCs w:val="21"/>
        </w:rPr>
        <w:t xml:space="preserve">El fortalecimiento del personal académico </w:t>
      </w:r>
      <w:r w:rsidRPr="0027411C">
        <w:rPr>
          <w:rFonts w:ascii="Abadi" w:hAnsi="Abadi" w:cs="*Calibri-11772-Identity-H"/>
          <w:color w:val="282828"/>
          <w:sz w:val="21"/>
          <w:szCs w:val="21"/>
        </w:rPr>
        <w:t xml:space="preserve">y </w:t>
      </w:r>
      <w:r w:rsidRPr="0027411C">
        <w:rPr>
          <w:rFonts w:ascii="Abadi" w:hAnsi="Abadi" w:cs="*Calibri-11770-Identity-H"/>
          <w:color w:val="282828"/>
          <w:sz w:val="21"/>
          <w:szCs w:val="21"/>
        </w:rPr>
        <w:t>de la excelencia educativa, mediante la búsqueda de condiciones laborales adecuadas y estabilidad en el empleo;</w:t>
      </w:r>
    </w:p>
    <w:p w14:paraId="6D967525" w14:textId="77777777" w:rsidR="00F93AC3" w:rsidRPr="00F93AC3" w:rsidRDefault="00F93AC3" w:rsidP="00F93AC3">
      <w:pPr>
        <w:pStyle w:val="Prrafodelista"/>
        <w:rPr>
          <w:rFonts w:ascii="Abadi" w:hAnsi="Abadi" w:cs="*Calibri-11770-Identity-H"/>
          <w:color w:val="282828"/>
          <w:sz w:val="21"/>
          <w:szCs w:val="21"/>
        </w:rPr>
      </w:pPr>
    </w:p>
    <w:p w14:paraId="057B7DD1" w14:textId="77777777" w:rsidR="00F93AC3" w:rsidRPr="0027411C" w:rsidRDefault="00F93AC3" w:rsidP="00F93AC3">
      <w:pPr>
        <w:pStyle w:val="Prrafodelista"/>
        <w:autoSpaceDE w:val="0"/>
        <w:autoSpaceDN w:val="0"/>
        <w:adjustRightInd w:val="0"/>
        <w:ind w:left="720"/>
        <w:contextualSpacing/>
        <w:jc w:val="both"/>
        <w:rPr>
          <w:rFonts w:ascii="Abadi" w:hAnsi="Abadi" w:cs="*Calibri-11770-Identity-H"/>
          <w:color w:val="282828"/>
          <w:sz w:val="21"/>
          <w:szCs w:val="21"/>
        </w:rPr>
      </w:pPr>
    </w:p>
    <w:p w14:paraId="786CBB63" w14:textId="35913536" w:rsidR="00366FFB" w:rsidRDefault="00366FFB" w:rsidP="005C6EBB">
      <w:pPr>
        <w:pStyle w:val="Prrafodelista"/>
        <w:numPr>
          <w:ilvl w:val="0"/>
          <w:numId w:val="15"/>
        </w:numPr>
        <w:autoSpaceDE w:val="0"/>
        <w:autoSpaceDN w:val="0"/>
        <w:adjustRightInd w:val="0"/>
        <w:contextualSpacing/>
        <w:jc w:val="both"/>
        <w:rPr>
          <w:rFonts w:ascii="Abadi" w:hAnsi="Abadi" w:cs="*Calibri-11770-Identity-H"/>
          <w:color w:val="2B2B2B"/>
          <w:sz w:val="21"/>
          <w:szCs w:val="21"/>
        </w:rPr>
      </w:pPr>
      <w:r w:rsidRPr="0027411C">
        <w:rPr>
          <w:rFonts w:ascii="Abadi" w:hAnsi="Abadi" w:cs="*Calibri-11770-Identity-H"/>
          <w:color w:val="2B2B2B"/>
          <w:sz w:val="21"/>
          <w:szCs w:val="21"/>
        </w:rPr>
        <w:t>Impulsar en el ámbito educativo acciones de voluntariados, tendientes a fortalecer una formación para participar en la colaboración y solución de diversos problemas sociales</w:t>
      </w:r>
      <w:r w:rsidR="00F93AC3">
        <w:rPr>
          <w:rFonts w:ascii="Abadi" w:hAnsi="Abadi" w:cs="*Calibri-11770-Identity-H"/>
          <w:color w:val="2B2B2B"/>
          <w:sz w:val="21"/>
          <w:szCs w:val="21"/>
        </w:rPr>
        <w:t>;</w:t>
      </w:r>
    </w:p>
    <w:p w14:paraId="1EB31F21" w14:textId="77777777" w:rsidR="00F93AC3" w:rsidRPr="0027411C" w:rsidRDefault="00F93AC3" w:rsidP="00F93AC3">
      <w:pPr>
        <w:pStyle w:val="Prrafodelista"/>
        <w:autoSpaceDE w:val="0"/>
        <w:autoSpaceDN w:val="0"/>
        <w:adjustRightInd w:val="0"/>
        <w:ind w:left="720"/>
        <w:contextualSpacing/>
        <w:jc w:val="both"/>
        <w:rPr>
          <w:rFonts w:ascii="Abadi" w:hAnsi="Abadi" w:cs="*Calibri-11770-Identity-H"/>
          <w:color w:val="2B2B2B"/>
          <w:sz w:val="21"/>
          <w:szCs w:val="21"/>
        </w:rPr>
      </w:pPr>
    </w:p>
    <w:p w14:paraId="7E5DCD55" w14:textId="2E9ECB93" w:rsidR="00366FFB" w:rsidRDefault="00366FFB" w:rsidP="005C6EBB">
      <w:pPr>
        <w:pStyle w:val="Prrafodelista"/>
        <w:numPr>
          <w:ilvl w:val="0"/>
          <w:numId w:val="15"/>
        </w:numPr>
        <w:autoSpaceDE w:val="0"/>
        <w:autoSpaceDN w:val="0"/>
        <w:adjustRightInd w:val="0"/>
        <w:contextualSpacing/>
        <w:jc w:val="both"/>
        <w:rPr>
          <w:rFonts w:ascii="Abadi" w:hAnsi="Abadi" w:cs="*Calibri-11770-Identity-H"/>
          <w:color w:val="2B2B2B"/>
          <w:sz w:val="21"/>
          <w:szCs w:val="21"/>
        </w:rPr>
      </w:pPr>
      <w:r>
        <w:rPr>
          <w:rFonts w:ascii="Abadi" w:hAnsi="Abadi" w:cs="*Calibri-11770-Identity-H"/>
          <w:color w:val="2B2B2B"/>
          <w:sz w:val="21"/>
          <w:szCs w:val="21"/>
        </w:rPr>
        <w:t xml:space="preserve"> </w:t>
      </w:r>
      <w:r w:rsidRPr="0027411C">
        <w:rPr>
          <w:rFonts w:ascii="Abadi" w:hAnsi="Abadi" w:cs="*Calibri-11770-Identity-H"/>
          <w:color w:val="2B2B2B"/>
          <w:sz w:val="21"/>
          <w:szCs w:val="21"/>
        </w:rPr>
        <w:t>El involucramiento de los educandos en distintas actividades y proyectos de beneficio social</w:t>
      </w:r>
      <w:r w:rsidR="00F93AC3">
        <w:rPr>
          <w:rFonts w:ascii="Abadi" w:hAnsi="Abadi" w:cs="*Calibri-11770-Identity-H"/>
          <w:color w:val="2B2B2B"/>
          <w:sz w:val="21"/>
          <w:szCs w:val="21"/>
        </w:rPr>
        <w:t>;</w:t>
      </w:r>
    </w:p>
    <w:p w14:paraId="6BC62975" w14:textId="77777777" w:rsidR="00F93AC3" w:rsidRPr="00F93AC3" w:rsidRDefault="00F93AC3" w:rsidP="00F93AC3">
      <w:pPr>
        <w:pStyle w:val="Prrafodelista"/>
        <w:rPr>
          <w:rFonts w:ascii="Abadi" w:hAnsi="Abadi" w:cs="*Calibri-11770-Identity-H"/>
          <w:color w:val="2B2B2B"/>
          <w:sz w:val="21"/>
          <w:szCs w:val="21"/>
        </w:rPr>
      </w:pPr>
    </w:p>
    <w:p w14:paraId="1CF48605" w14:textId="77777777" w:rsidR="00F93AC3" w:rsidRPr="0027411C" w:rsidRDefault="00F93AC3" w:rsidP="00F93AC3">
      <w:pPr>
        <w:pStyle w:val="Prrafodelista"/>
        <w:autoSpaceDE w:val="0"/>
        <w:autoSpaceDN w:val="0"/>
        <w:adjustRightInd w:val="0"/>
        <w:ind w:left="720"/>
        <w:contextualSpacing/>
        <w:jc w:val="both"/>
        <w:rPr>
          <w:rFonts w:ascii="Abadi" w:hAnsi="Abadi" w:cs="*Calibri-11770-Identity-H"/>
          <w:color w:val="2B2B2B"/>
          <w:sz w:val="21"/>
          <w:szCs w:val="21"/>
        </w:rPr>
      </w:pPr>
    </w:p>
    <w:p w14:paraId="6F9B2632" w14:textId="0833B4B6" w:rsidR="00366FFB" w:rsidRDefault="00366FFB" w:rsidP="005C6EBB">
      <w:pPr>
        <w:pStyle w:val="Prrafodelista"/>
        <w:numPr>
          <w:ilvl w:val="0"/>
          <w:numId w:val="15"/>
        </w:numPr>
        <w:autoSpaceDE w:val="0"/>
        <w:autoSpaceDN w:val="0"/>
        <w:adjustRightInd w:val="0"/>
        <w:contextualSpacing/>
        <w:jc w:val="both"/>
        <w:rPr>
          <w:rFonts w:ascii="Abadi" w:hAnsi="Abadi" w:cs="*Calibri-11770-Identity-H"/>
          <w:color w:val="282828"/>
          <w:sz w:val="21"/>
          <w:szCs w:val="21"/>
        </w:rPr>
      </w:pPr>
      <w:r w:rsidRPr="0027411C">
        <w:rPr>
          <w:rFonts w:ascii="Abadi" w:hAnsi="Abadi" w:cs="*Calibri-11770-Identity-H"/>
          <w:color w:val="282828"/>
          <w:sz w:val="21"/>
          <w:szCs w:val="21"/>
        </w:rPr>
        <w:t xml:space="preserve">Promover la </w:t>
      </w:r>
      <w:r w:rsidR="00F93AC3" w:rsidRPr="0027411C">
        <w:rPr>
          <w:rFonts w:ascii="Abadi" w:hAnsi="Abadi" w:cs="*Calibri-11770-Identity-H"/>
          <w:color w:val="282828"/>
          <w:sz w:val="21"/>
          <w:szCs w:val="21"/>
        </w:rPr>
        <w:t>participación activa</w:t>
      </w:r>
      <w:r w:rsidRPr="0027411C">
        <w:rPr>
          <w:rFonts w:ascii="Abadi" w:hAnsi="Abadi" w:cs="*Calibri-11770-Identity-H"/>
          <w:color w:val="282828"/>
          <w:sz w:val="21"/>
          <w:szCs w:val="21"/>
        </w:rPr>
        <w:t xml:space="preserve"> en el ámbito social. a fin de contribuir a la realización de acciones que tengan impacto en el desarrollo colectivo;</w:t>
      </w:r>
    </w:p>
    <w:p w14:paraId="42A8513B" w14:textId="77777777" w:rsidR="00F93AC3" w:rsidRDefault="00F93AC3" w:rsidP="00F93AC3">
      <w:pPr>
        <w:pStyle w:val="Prrafodelista"/>
        <w:autoSpaceDE w:val="0"/>
        <w:autoSpaceDN w:val="0"/>
        <w:adjustRightInd w:val="0"/>
        <w:ind w:left="720"/>
        <w:contextualSpacing/>
        <w:jc w:val="both"/>
        <w:rPr>
          <w:rFonts w:ascii="Abadi" w:hAnsi="Abadi" w:cs="*Calibri-11770-Identity-H"/>
          <w:color w:val="282828"/>
          <w:sz w:val="21"/>
          <w:szCs w:val="21"/>
        </w:rPr>
      </w:pPr>
    </w:p>
    <w:p w14:paraId="2E1530CB" w14:textId="4E41173B" w:rsidR="00366FFB" w:rsidRDefault="00366FFB" w:rsidP="005C6EBB">
      <w:pPr>
        <w:pStyle w:val="Prrafodelista"/>
        <w:numPr>
          <w:ilvl w:val="0"/>
          <w:numId w:val="15"/>
        </w:numPr>
        <w:autoSpaceDE w:val="0"/>
        <w:autoSpaceDN w:val="0"/>
        <w:adjustRightInd w:val="0"/>
        <w:contextualSpacing/>
        <w:jc w:val="both"/>
        <w:rPr>
          <w:rFonts w:ascii="Abadi" w:hAnsi="Abadi" w:cs="*Calibri-11770-Identity-H"/>
          <w:color w:val="2B2B2B"/>
          <w:sz w:val="21"/>
          <w:szCs w:val="21"/>
        </w:rPr>
      </w:pPr>
      <w:r>
        <w:rPr>
          <w:rFonts w:ascii="Abadi" w:hAnsi="Abadi" w:cs="*Calibri-11770-Identity-H"/>
          <w:color w:val="2B2B2B"/>
          <w:sz w:val="21"/>
          <w:szCs w:val="21"/>
        </w:rPr>
        <w:t xml:space="preserve"> </w:t>
      </w:r>
      <w:r w:rsidRPr="0027411C">
        <w:rPr>
          <w:rFonts w:ascii="Abadi" w:hAnsi="Abadi" w:cs="*Calibri-11770-Identity-H"/>
          <w:color w:val="2B2B2B"/>
          <w:sz w:val="21"/>
          <w:szCs w:val="21"/>
        </w:rPr>
        <w:t xml:space="preserve">La creación, implementación </w:t>
      </w:r>
      <w:r w:rsidRPr="0027411C">
        <w:rPr>
          <w:rFonts w:ascii="Abadi" w:hAnsi="Abadi" w:cs="*Calibri-11772-Identity-H"/>
          <w:color w:val="2B2B2B"/>
          <w:sz w:val="21"/>
          <w:szCs w:val="21"/>
        </w:rPr>
        <w:t xml:space="preserve">y </w:t>
      </w:r>
      <w:r w:rsidRPr="0027411C">
        <w:rPr>
          <w:rFonts w:ascii="Abadi" w:hAnsi="Abadi" w:cs="*Calibri-11770-Identity-H"/>
          <w:color w:val="2B2B2B"/>
          <w:sz w:val="21"/>
          <w:szCs w:val="21"/>
        </w:rPr>
        <w:t xml:space="preserve">evaluación de programas y estrategias que garanticen lo seguridad de las personas en las instalaciones de las instituciones de educación superior. así como la creación de programas y protocolos enfocados a la prevención </w:t>
      </w:r>
      <w:r w:rsidRPr="0027411C">
        <w:rPr>
          <w:rFonts w:ascii="Abadi" w:hAnsi="Abadi" w:cs="*Calibri-11772-Identity-H"/>
          <w:color w:val="2B2B2B"/>
          <w:sz w:val="21"/>
          <w:szCs w:val="21"/>
        </w:rPr>
        <w:t xml:space="preserve">y </w:t>
      </w:r>
      <w:r w:rsidRPr="0027411C">
        <w:rPr>
          <w:rFonts w:ascii="Abadi" w:hAnsi="Abadi" w:cs="*Calibri-11770-Identity-H"/>
          <w:color w:val="2B2B2B"/>
          <w:sz w:val="21"/>
          <w:szCs w:val="21"/>
        </w:rPr>
        <w:t xml:space="preserve">actuación en condiciones de riesgos </w:t>
      </w:r>
      <w:r w:rsidRPr="0027411C">
        <w:rPr>
          <w:rFonts w:ascii="Abadi" w:hAnsi="Abadi" w:cs="*Calibri-11772-Identity-H"/>
          <w:color w:val="2B2B2B"/>
          <w:sz w:val="21"/>
          <w:szCs w:val="21"/>
        </w:rPr>
        <w:t xml:space="preserve">y </w:t>
      </w:r>
      <w:r w:rsidRPr="0027411C">
        <w:rPr>
          <w:rFonts w:ascii="Abadi" w:hAnsi="Abadi" w:cs="*Calibri-11770-Identity-H"/>
          <w:color w:val="2B2B2B"/>
          <w:sz w:val="21"/>
          <w:szCs w:val="21"/>
        </w:rPr>
        <w:t xml:space="preserve">emergencias, en términos de lo dispuesto por la Ley Generar de Protección Civil y la Ley de Protección Civil para el Estado de Guanajuato; </w:t>
      </w:r>
    </w:p>
    <w:p w14:paraId="50AE1E1D" w14:textId="77777777" w:rsidR="00F93AC3" w:rsidRPr="00F93AC3" w:rsidRDefault="00F93AC3" w:rsidP="00F93AC3">
      <w:pPr>
        <w:pStyle w:val="Prrafodelista"/>
        <w:rPr>
          <w:rFonts w:ascii="Abadi" w:hAnsi="Abadi" w:cs="*Calibri-11770-Identity-H"/>
          <w:color w:val="2B2B2B"/>
          <w:sz w:val="21"/>
          <w:szCs w:val="21"/>
        </w:rPr>
      </w:pPr>
    </w:p>
    <w:p w14:paraId="32250142" w14:textId="77777777" w:rsidR="00F93AC3" w:rsidRPr="0027411C" w:rsidRDefault="00F93AC3" w:rsidP="00F93AC3">
      <w:pPr>
        <w:pStyle w:val="Prrafodelista"/>
        <w:autoSpaceDE w:val="0"/>
        <w:autoSpaceDN w:val="0"/>
        <w:adjustRightInd w:val="0"/>
        <w:ind w:left="720"/>
        <w:contextualSpacing/>
        <w:jc w:val="both"/>
        <w:rPr>
          <w:rFonts w:ascii="Abadi" w:hAnsi="Abadi" w:cs="*Calibri-11770-Identity-H"/>
          <w:color w:val="2B2B2B"/>
          <w:sz w:val="21"/>
          <w:szCs w:val="21"/>
        </w:rPr>
      </w:pPr>
    </w:p>
    <w:p w14:paraId="7DFDB37C" w14:textId="440BFF4C" w:rsidR="00366FFB" w:rsidRDefault="00366FFB" w:rsidP="005C6EBB">
      <w:pPr>
        <w:pStyle w:val="Prrafodelista"/>
        <w:numPr>
          <w:ilvl w:val="0"/>
          <w:numId w:val="15"/>
        </w:numPr>
        <w:autoSpaceDE w:val="0"/>
        <w:autoSpaceDN w:val="0"/>
        <w:adjustRightInd w:val="0"/>
        <w:contextualSpacing/>
        <w:jc w:val="both"/>
        <w:rPr>
          <w:rFonts w:ascii="Abadi" w:hAnsi="Abadi" w:cs="*Calibri-11770-Identity-H"/>
          <w:color w:val="282828"/>
          <w:sz w:val="21"/>
          <w:szCs w:val="21"/>
        </w:rPr>
      </w:pPr>
      <w:r w:rsidRPr="0027411C">
        <w:rPr>
          <w:rFonts w:ascii="Abadi" w:hAnsi="Abadi" w:cs="*Calibri-11770-Identity-H"/>
          <w:color w:val="282828"/>
          <w:sz w:val="21"/>
          <w:szCs w:val="21"/>
        </w:rPr>
        <w:t>La vinculación de las instituciones de educación superior con el entorno social, la promoción de su articulación y participación con los sectores productivos y de servicios, así como en impulso al desarrollo de la mente factura;</w:t>
      </w:r>
    </w:p>
    <w:p w14:paraId="1B4DD6C9" w14:textId="77777777" w:rsidR="00F93AC3" w:rsidRPr="0027411C" w:rsidRDefault="00F93AC3" w:rsidP="00F93AC3">
      <w:pPr>
        <w:pStyle w:val="Prrafodelista"/>
        <w:autoSpaceDE w:val="0"/>
        <w:autoSpaceDN w:val="0"/>
        <w:adjustRightInd w:val="0"/>
        <w:ind w:left="720"/>
        <w:contextualSpacing/>
        <w:jc w:val="both"/>
        <w:rPr>
          <w:rFonts w:ascii="Abadi" w:hAnsi="Abadi" w:cs="*Calibri-11770-Identity-H"/>
          <w:color w:val="282828"/>
          <w:sz w:val="21"/>
          <w:szCs w:val="21"/>
        </w:rPr>
      </w:pPr>
    </w:p>
    <w:p w14:paraId="08DB90CA" w14:textId="14359E23" w:rsidR="00366FFB" w:rsidRDefault="00366FFB" w:rsidP="005C6EBB">
      <w:pPr>
        <w:pStyle w:val="Prrafodelista"/>
        <w:numPr>
          <w:ilvl w:val="0"/>
          <w:numId w:val="15"/>
        </w:numPr>
        <w:autoSpaceDE w:val="0"/>
        <w:autoSpaceDN w:val="0"/>
        <w:adjustRightInd w:val="0"/>
        <w:contextualSpacing/>
        <w:jc w:val="both"/>
        <w:rPr>
          <w:rFonts w:ascii="Abadi" w:hAnsi="Abadi" w:cs="*Microsoft Sans Serif-12130-Ide"/>
          <w:color w:val="282828"/>
          <w:sz w:val="21"/>
          <w:szCs w:val="21"/>
        </w:rPr>
      </w:pPr>
      <w:r w:rsidRPr="0027411C">
        <w:rPr>
          <w:rFonts w:ascii="Abadi" w:hAnsi="Abadi" w:cs="*Microsoft Sans Serif-12130-Ide"/>
          <w:color w:val="282828"/>
          <w:sz w:val="21"/>
          <w:szCs w:val="21"/>
        </w:rPr>
        <w:t xml:space="preserve">El establecimiento de acciones afirmativas que coadyuven a garantizar el acceso, permanencia, continuidad </w:t>
      </w:r>
      <w:r w:rsidRPr="0027411C">
        <w:rPr>
          <w:rFonts w:ascii="Abadi" w:hAnsi="Abadi" w:cs="*Tahoma-12131-Identity-H"/>
          <w:color w:val="282828"/>
          <w:sz w:val="21"/>
          <w:szCs w:val="21"/>
        </w:rPr>
        <w:t xml:space="preserve">y </w:t>
      </w:r>
      <w:r w:rsidRPr="0027411C">
        <w:rPr>
          <w:rFonts w:ascii="Abadi" w:hAnsi="Abadi" w:cs="*Microsoft Sans Serif-12130-Ide"/>
          <w:color w:val="282828"/>
          <w:sz w:val="21"/>
          <w:szCs w:val="21"/>
        </w:rPr>
        <w:t xml:space="preserve">egreso oportuno de estudiantes con discapacidad en los programas de educación superior; </w:t>
      </w:r>
    </w:p>
    <w:p w14:paraId="6F610BB0" w14:textId="77777777" w:rsidR="00F93AC3" w:rsidRPr="00F93AC3" w:rsidRDefault="00F93AC3" w:rsidP="00F93AC3">
      <w:pPr>
        <w:pStyle w:val="Prrafodelista"/>
        <w:rPr>
          <w:rFonts w:ascii="Abadi" w:hAnsi="Abadi" w:cs="*Microsoft Sans Serif-12130-Ide"/>
          <w:color w:val="282828"/>
          <w:sz w:val="21"/>
          <w:szCs w:val="21"/>
        </w:rPr>
      </w:pPr>
    </w:p>
    <w:p w14:paraId="68005245" w14:textId="77777777" w:rsidR="00F93AC3" w:rsidRPr="0027411C" w:rsidRDefault="00F93AC3" w:rsidP="00F93AC3">
      <w:pPr>
        <w:pStyle w:val="Prrafodelista"/>
        <w:autoSpaceDE w:val="0"/>
        <w:autoSpaceDN w:val="0"/>
        <w:adjustRightInd w:val="0"/>
        <w:ind w:left="720"/>
        <w:contextualSpacing/>
        <w:jc w:val="both"/>
        <w:rPr>
          <w:rFonts w:ascii="Abadi" w:hAnsi="Abadi" w:cs="*Microsoft Sans Serif-12130-Ide"/>
          <w:color w:val="282828"/>
          <w:sz w:val="21"/>
          <w:szCs w:val="21"/>
        </w:rPr>
      </w:pPr>
    </w:p>
    <w:p w14:paraId="6A4E48DB" w14:textId="55662A71" w:rsidR="00366FFB" w:rsidRDefault="00366FFB" w:rsidP="005C6EBB">
      <w:pPr>
        <w:pStyle w:val="Prrafodelista"/>
        <w:numPr>
          <w:ilvl w:val="0"/>
          <w:numId w:val="15"/>
        </w:numPr>
        <w:autoSpaceDE w:val="0"/>
        <w:autoSpaceDN w:val="0"/>
        <w:adjustRightInd w:val="0"/>
        <w:contextualSpacing/>
        <w:jc w:val="both"/>
        <w:rPr>
          <w:rFonts w:ascii="Abadi" w:hAnsi="Abadi" w:cs="*Microsoft Sans Serif-12130-Ide"/>
          <w:color w:val="292929"/>
          <w:sz w:val="21"/>
          <w:szCs w:val="21"/>
        </w:rPr>
      </w:pPr>
      <w:r w:rsidRPr="0027411C">
        <w:rPr>
          <w:rFonts w:ascii="Abadi" w:hAnsi="Abadi" w:cs="*Microsoft Sans Serif-12130-Ide"/>
          <w:color w:val="292929"/>
          <w:sz w:val="21"/>
          <w:szCs w:val="21"/>
        </w:rPr>
        <w:t xml:space="preserve">El impulso a las actividades de extensión y difusión cultural que articulen y evalúen los resultados del trabajo académico con las comunidades en que se encuentran insertas las instituciones; </w:t>
      </w:r>
    </w:p>
    <w:p w14:paraId="4B770665" w14:textId="77777777" w:rsidR="00F93AC3" w:rsidRPr="0027411C" w:rsidRDefault="00F93AC3" w:rsidP="00F93AC3">
      <w:pPr>
        <w:pStyle w:val="Prrafodelista"/>
        <w:autoSpaceDE w:val="0"/>
        <w:autoSpaceDN w:val="0"/>
        <w:adjustRightInd w:val="0"/>
        <w:ind w:left="720"/>
        <w:contextualSpacing/>
        <w:jc w:val="both"/>
        <w:rPr>
          <w:rFonts w:ascii="Abadi" w:hAnsi="Abadi" w:cs="*Microsoft Sans Serif-12130-Ide"/>
          <w:color w:val="292929"/>
          <w:sz w:val="21"/>
          <w:szCs w:val="21"/>
        </w:rPr>
      </w:pPr>
    </w:p>
    <w:p w14:paraId="584DF198" w14:textId="303D2643" w:rsidR="00366FFB" w:rsidRDefault="00366FFB" w:rsidP="005C6EBB">
      <w:pPr>
        <w:pStyle w:val="Prrafodelista"/>
        <w:numPr>
          <w:ilvl w:val="0"/>
          <w:numId w:val="15"/>
        </w:numPr>
        <w:autoSpaceDE w:val="0"/>
        <w:autoSpaceDN w:val="0"/>
        <w:adjustRightInd w:val="0"/>
        <w:contextualSpacing/>
        <w:jc w:val="both"/>
        <w:rPr>
          <w:rFonts w:ascii="Abadi" w:hAnsi="Abadi" w:cs="*Microsoft Sans Serif-12130-Ide"/>
          <w:color w:val="2B2B2B"/>
          <w:sz w:val="21"/>
          <w:szCs w:val="21"/>
        </w:rPr>
      </w:pPr>
      <w:r w:rsidRPr="0027411C">
        <w:rPr>
          <w:rFonts w:ascii="Abadi" w:hAnsi="Abadi" w:cs="*Microsoft Sans Serif-12130-Ide"/>
          <w:color w:val="2B2B2B"/>
          <w:sz w:val="21"/>
          <w:szCs w:val="21"/>
        </w:rPr>
        <w:t xml:space="preserve">La articulación </w:t>
      </w:r>
      <w:r w:rsidRPr="0027411C">
        <w:rPr>
          <w:rFonts w:ascii="Abadi" w:hAnsi="Abadi" w:cs="*Tahoma-12131-Identity-H"/>
          <w:color w:val="2B2B2B"/>
          <w:sz w:val="21"/>
          <w:szCs w:val="21"/>
        </w:rPr>
        <w:t xml:space="preserve">y </w:t>
      </w:r>
      <w:r w:rsidRPr="0027411C">
        <w:rPr>
          <w:rFonts w:ascii="Abadi" w:hAnsi="Abadi" w:cs="*Microsoft Sans Serif-12130-Ide"/>
          <w:color w:val="2B2B2B"/>
          <w:sz w:val="21"/>
          <w:szCs w:val="21"/>
        </w:rPr>
        <w:t>la complementariedad con los demás tipos educativos;</w:t>
      </w:r>
    </w:p>
    <w:p w14:paraId="340BC5E3" w14:textId="77777777" w:rsidR="00F93AC3" w:rsidRPr="00F93AC3" w:rsidRDefault="00F93AC3" w:rsidP="00F93AC3">
      <w:pPr>
        <w:pStyle w:val="Prrafodelista"/>
        <w:rPr>
          <w:rFonts w:ascii="Abadi" w:hAnsi="Abadi" w:cs="*Microsoft Sans Serif-12130-Ide"/>
          <w:color w:val="2B2B2B"/>
          <w:sz w:val="21"/>
          <w:szCs w:val="21"/>
        </w:rPr>
      </w:pPr>
    </w:p>
    <w:p w14:paraId="34F19C73" w14:textId="77777777" w:rsidR="00F93AC3" w:rsidRPr="0027411C" w:rsidRDefault="00F93AC3" w:rsidP="00F93AC3">
      <w:pPr>
        <w:pStyle w:val="Prrafodelista"/>
        <w:autoSpaceDE w:val="0"/>
        <w:autoSpaceDN w:val="0"/>
        <w:adjustRightInd w:val="0"/>
        <w:ind w:left="720"/>
        <w:contextualSpacing/>
        <w:jc w:val="both"/>
        <w:rPr>
          <w:rFonts w:ascii="Abadi" w:hAnsi="Abadi" w:cs="*Microsoft Sans Serif-12130-Ide"/>
          <w:color w:val="2B2B2B"/>
          <w:sz w:val="21"/>
          <w:szCs w:val="21"/>
        </w:rPr>
      </w:pPr>
    </w:p>
    <w:p w14:paraId="413A2D9C" w14:textId="2344835F" w:rsidR="00366FFB" w:rsidRDefault="00366FFB" w:rsidP="005C6EBB">
      <w:pPr>
        <w:pStyle w:val="Prrafodelista"/>
        <w:numPr>
          <w:ilvl w:val="0"/>
          <w:numId w:val="15"/>
        </w:numPr>
        <w:autoSpaceDE w:val="0"/>
        <w:autoSpaceDN w:val="0"/>
        <w:adjustRightInd w:val="0"/>
        <w:contextualSpacing/>
        <w:jc w:val="both"/>
        <w:rPr>
          <w:rFonts w:ascii="Abadi" w:hAnsi="Abadi" w:cs="*Microsoft Sans Serif-12130-Ide"/>
          <w:color w:val="282828"/>
          <w:sz w:val="21"/>
          <w:szCs w:val="21"/>
        </w:rPr>
      </w:pPr>
      <w:r w:rsidRPr="0027411C">
        <w:rPr>
          <w:rFonts w:ascii="Abadi" w:hAnsi="Abadi" w:cs="*Microsoft Sans Serif-12130-Ide"/>
          <w:color w:val="282828"/>
          <w:sz w:val="21"/>
          <w:szCs w:val="21"/>
        </w:rPr>
        <w:t xml:space="preserve">La mejora continua e integral de las tareas administrativas </w:t>
      </w:r>
      <w:r w:rsidRPr="0027411C">
        <w:rPr>
          <w:rFonts w:ascii="Abadi" w:hAnsi="Abadi" w:cs="*Tahoma-12131-Identity-H"/>
          <w:color w:val="282828"/>
          <w:sz w:val="21"/>
          <w:szCs w:val="21"/>
        </w:rPr>
        <w:t xml:space="preserve">y </w:t>
      </w:r>
      <w:r w:rsidRPr="0027411C">
        <w:rPr>
          <w:rFonts w:ascii="Abadi" w:hAnsi="Abadi" w:cs="*Microsoft Sans Serif-12130-Ide"/>
          <w:color w:val="282828"/>
          <w:sz w:val="21"/>
          <w:szCs w:val="21"/>
        </w:rPr>
        <w:t>de gestión de las instituciones de educación superior;</w:t>
      </w:r>
    </w:p>
    <w:p w14:paraId="1670A230" w14:textId="77777777" w:rsidR="00F93AC3" w:rsidRPr="0027411C" w:rsidRDefault="00F93AC3" w:rsidP="00F93AC3">
      <w:pPr>
        <w:pStyle w:val="Prrafodelista"/>
        <w:autoSpaceDE w:val="0"/>
        <w:autoSpaceDN w:val="0"/>
        <w:adjustRightInd w:val="0"/>
        <w:ind w:left="720"/>
        <w:contextualSpacing/>
        <w:jc w:val="both"/>
        <w:rPr>
          <w:rFonts w:ascii="Abadi" w:hAnsi="Abadi" w:cs="*Microsoft Sans Serif-12130-Ide"/>
          <w:color w:val="282828"/>
          <w:sz w:val="21"/>
          <w:szCs w:val="21"/>
        </w:rPr>
      </w:pPr>
    </w:p>
    <w:p w14:paraId="6FF487E5" w14:textId="77777777" w:rsidR="00366FFB" w:rsidRPr="0027411C" w:rsidRDefault="00366FFB" w:rsidP="005C6EBB">
      <w:pPr>
        <w:pStyle w:val="Prrafodelista"/>
        <w:numPr>
          <w:ilvl w:val="0"/>
          <w:numId w:val="15"/>
        </w:numPr>
        <w:autoSpaceDE w:val="0"/>
        <w:autoSpaceDN w:val="0"/>
        <w:adjustRightInd w:val="0"/>
        <w:contextualSpacing/>
        <w:jc w:val="both"/>
        <w:rPr>
          <w:rFonts w:ascii="Abadi" w:hAnsi="Abadi" w:cs="*Microsoft Sans Serif-12130-Ide"/>
          <w:color w:val="282828"/>
          <w:sz w:val="21"/>
          <w:szCs w:val="21"/>
        </w:rPr>
      </w:pPr>
      <w:r w:rsidRPr="0027411C">
        <w:rPr>
          <w:rFonts w:ascii="Abadi" w:hAnsi="Abadi" w:cs="*Microsoft Sans Serif-12130-Ide"/>
          <w:color w:val="282828"/>
          <w:sz w:val="21"/>
          <w:szCs w:val="21"/>
        </w:rPr>
        <w:t xml:space="preserve">La promoción del fortalecimiento institucional, el dinamismo y la diversidad de modalidades </w:t>
      </w:r>
      <w:r w:rsidRPr="0027411C">
        <w:rPr>
          <w:rFonts w:ascii="Abadi" w:hAnsi="Abadi" w:cs="*Tahoma-12131-Identity-H"/>
          <w:color w:val="282828"/>
          <w:sz w:val="21"/>
          <w:szCs w:val="21"/>
        </w:rPr>
        <w:t xml:space="preserve">y </w:t>
      </w:r>
      <w:r w:rsidRPr="0027411C">
        <w:rPr>
          <w:rFonts w:ascii="Abadi" w:hAnsi="Abadi" w:cs="*Microsoft Sans Serif-12130-Ide"/>
          <w:color w:val="282828"/>
          <w:sz w:val="21"/>
          <w:szCs w:val="21"/>
        </w:rPr>
        <w:t>opciones educativas en las instituciones de educación superior;</w:t>
      </w:r>
    </w:p>
    <w:p w14:paraId="130E4E4F" w14:textId="77777777" w:rsidR="00366FFB" w:rsidRPr="0027411C" w:rsidRDefault="00366FFB" w:rsidP="005C6EBB">
      <w:pPr>
        <w:pStyle w:val="Prrafodelista"/>
        <w:numPr>
          <w:ilvl w:val="0"/>
          <w:numId w:val="15"/>
        </w:numPr>
        <w:autoSpaceDE w:val="0"/>
        <w:autoSpaceDN w:val="0"/>
        <w:adjustRightInd w:val="0"/>
        <w:contextualSpacing/>
        <w:jc w:val="both"/>
        <w:rPr>
          <w:rFonts w:ascii="Abadi" w:hAnsi="Abadi" w:cs="*Microsoft Sans Serif-12130-Ide"/>
          <w:color w:val="272727"/>
          <w:sz w:val="21"/>
          <w:szCs w:val="21"/>
        </w:rPr>
      </w:pPr>
      <w:r w:rsidRPr="0027411C">
        <w:rPr>
          <w:rFonts w:ascii="Abadi" w:hAnsi="Abadi" w:cs="*Microsoft Sans Serif-12130-Ide"/>
          <w:color w:val="272727"/>
          <w:sz w:val="21"/>
          <w:szCs w:val="21"/>
        </w:rPr>
        <w:t xml:space="preserve">El impulso de la investigación científica, humanístico, tecnológica </w:t>
      </w:r>
      <w:r w:rsidRPr="0027411C">
        <w:rPr>
          <w:rFonts w:ascii="Abadi" w:hAnsi="Abadi" w:cs="*Tahoma-12131-Identity-H"/>
          <w:color w:val="272727"/>
          <w:sz w:val="21"/>
          <w:szCs w:val="21"/>
        </w:rPr>
        <w:t xml:space="preserve">y </w:t>
      </w:r>
      <w:r w:rsidRPr="0027411C">
        <w:rPr>
          <w:rFonts w:ascii="Abadi" w:hAnsi="Abadi" w:cs="*Microsoft Sans Serif-12130-Ide"/>
          <w:color w:val="272727"/>
          <w:sz w:val="21"/>
          <w:szCs w:val="21"/>
        </w:rPr>
        <w:t xml:space="preserve">lo innovación tecnológica, así como lo diseminación </w:t>
      </w:r>
      <w:r w:rsidRPr="0027411C">
        <w:rPr>
          <w:rFonts w:ascii="Abadi" w:hAnsi="Abadi" w:cs="*Tahoma-12131-Identity-H"/>
          <w:color w:val="272727"/>
          <w:sz w:val="21"/>
          <w:szCs w:val="21"/>
        </w:rPr>
        <w:t xml:space="preserve">y </w:t>
      </w:r>
      <w:r w:rsidRPr="0027411C">
        <w:rPr>
          <w:rFonts w:ascii="Abadi" w:hAnsi="Abadi" w:cs="*Microsoft Sans Serif-12130-Ide"/>
          <w:color w:val="272727"/>
          <w:sz w:val="21"/>
          <w:szCs w:val="21"/>
        </w:rPr>
        <w:t>la difusión de la información en acceso abierto que se derive para impulsar el conocimiento y desarrollo de la educación superior;</w:t>
      </w:r>
    </w:p>
    <w:p w14:paraId="26DEF8C1" w14:textId="77777777" w:rsidR="00366FFB" w:rsidRPr="00743CF7" w:rsidRDefault="00366FFB" w:rsidP="00366FFB">
      <w:pPr>
        <w:autoSpaceDE w:val="0"/>
        <w:autoSpaceDN w:val="0"/>
        <w:adjustRightInd w:val="0"/>
        <w:jc w:val="both"/>
        <w:rPr>
          <w:rFonts w:ascii="Abadi" w:hAnsi="Abadi" w:cs="*Calibri-Bold-12128-Identity-H"/>
          <w:b/>
          <w:bCs/>
          <w:color w:val="282828"/>
          <w:sz w:val="21"/>
          <w:szCs w:val="21"/>
        </w:rPr>
      </w:pPr>
    </w:p>
    <w:p w14:paraId="52F9C59A" w14:textId="7A0ADAA2" w:rsidR="00366FFB" w:rsidRDefault="00366FFB" w:rsidP="005C6EBB">
      <w:pPr>
        <w:pStyle w:val="Prrafodelista"/>
        <w:numPr>
          <w:ilvl w:val="0"/>
          <w:numId w:val="15"/>
        </w:numPr>
        <w:autoSpaceDE w:val="0"/>
        <w:autoSpaceDN w:val="0"/>
        <w:adjustRightInd w:val="0"/>
        <w:contextualSpacing/>
        <w:jc w:val="both"/>
        <w:rPr>
          <w:rFonts w:ascii="Abadi" w:hAnsi="Abadi" w:cs="*Microsoft Sans Serif-12130-Ide"/>
          <w:color w:val="282828"/>
          <w:sz w:val="21"/>
          <w:szCs w:val="21"/>
        </w:rPr>
      </w:pPr>
      <w:r w:rsidRPr="0027411C">
        <w:rPr>
          <w:rFonts w:ascii="Abadi" w:hAnsi="Abadi" w:cs="*Microsoft Sans Serif-12130-Ide"/>
          <w:color w:val="282828"/>
          <w:sz w:val="21"/>
          <w:szCs w:val="21"/>
        </w:rPr>
        <w:t xml:space="preserve">Impulsar la flexibilidad de la educación superior, a efecto de que los estudiantes puedan cursar este nivel educativo bajo un entorno dinámico; </w:t>
      </w:r>
    </w:p>
    <w:p w14:paraId="7B924024" w14:textId="77777777" w:rsidR="00F93AC3" w:rsidRPr="00F93AC3" w:rsidRDefault="00F93AC3" w:rsidP="00F93AC3">
      <w:pPr>
        <w:pStyle w:val="Prrafodelista"/>
        <w:rPr>
          <w:rFonts w:ascii="Abadi" w:hAnsi="Abadi" w:cs="*Microsoft Sans Serif-12130-Ide"/>
          <w:color w:val="282828"/>
          <w:sz w:val="21"/>
          <w:szCs w:val="21"/>
        </w:rPr>
      </w:pPr>
    </w:p>
    <w:p w14:paraId="0D7278D5" w14:textId="77777777" w:rsidR="00F93AC3" w:rsidRPr="0027411C" w:rsidRDefault="00F93AC3" w:rsidP="00F93AC3">
      <w:pPr>
        <w:pStyle w:val="Prrafodelista"/>
        <w:autoSpaceDE w:val="0"/>
        <w:autoSpaceDN w:val="0"/>
        <w:adjustRightInd w:val="0"/>
        <w:ind w:left="720"/>
        <w:contextualSpacing/>
        <w:jc w:val="both"/>
        <w:rPr>
          <w:rFonts w:ascii="Abadi" w:hAnsi="Abadi" w:cs="*Microsoft Sans Serif-12130-Ide"/>
          <w:color w:val="282828"/>
          <w:sz w:val="21"/>
          <w:szCs w:val="21"/>
        </w:rPr>
      </w:pPr>
    </w:p>
    <w:p w14:paraId="531E7558" w14:textId="154EE94F" w:rsidR="00366FFB" w:rsidRDefault="00366FFB" w:rsidP="005C6EBB">
      <w:pPr>
        <w:pStyle w:val="Prrafodelista"/>
        <w:numPr>
          <w:ilvl w:val="0"/>
          <w:numId w:val="15"/>
        </w:numPr>
        <w:autoSpaceDE w:val="0"/>
        <w:autoSpaceDN w:val="0"/>
        <w:adjustRightInd w:val="0"/>
        <w:contextualSpacing/>
        <w:jc w:val="both"/>
        <w:rPr>
          <w:rFonts w:ascii="Abadi" w:hAnsi="Abadi" w:cs="*Microsoft Sans Serif-12130-Ide"/>
          <w:color w:val="272727"/>
          <w:sz w:val="21"/>
          <w:szCs w:val="21"/>
        </w:rPr>
      </w:pPr>
      <w:r w:rsidRPr="0027411C">
        <w:rPr>
          <w:rFonts w:ascii="Abadi" w:hAnsi="Abadi" w:cs="*Microsoft Sans Serif-12130-Ide"/>
          <w:color w:val="272727"/>
          <w:sz w:val="21"/>
          <w:szCs w:val="21"/>
        </w:rPr>
        <w:t xml:space="preserve">La promoción del acceso </w:t>
      </w:r>
      <w:r w:rsidRPr="0027411C">
        <w:rPr>
          <w:rFonts w:ascii="Abadi" w:hAnsi="Abadi" w:cs="*Tahoma-12131-Identity-H"/>
          <w:color w:val="272727"/>
          <w:sz w:val="21"/>
          <w:szCs w:val="21"/>
        </w:rPr>
        <w:t xml:space="preserve">y </w:t>
      </w:r>
      <w:r w:rsidRPr="0027411C">
        <w:rPr>
          <w:rFonts w:ascii="Abadi" w:hAnsi="Abadi" w:cs="*Microsoft Sans Serif-12130-Ide"/>
          <w:color w:val="272727"/>
          <w:sz w:val="21"/>
          <w:szCs w:val="21"/>
        </w:rPr>
        <w:t>la utilización responsable de las tecnologías de la información, comunicación, conocimiento y aprendizaje digital en los procesos de la vida cotidiana y en todas las modalidades de la oferta del tipo de educación superior;</w:t>
      </w:r>
    </w:p>
    <w:p w14:paraId="0F592B0F" w14:textId="77777777" w:rsidR="00F93AC3" w:rsidRPr="0027411C" w:rsidRDefault="00F93AC3" w:rsidP="00F93AC3">
      <w:pPr>
        <w:pStyle w:val="Prrafodelista"/>
        <w:autoSpaceDE w:val="0"/>
        <w:autoSpaceDN w:val="0"/>
        <w:adjustRightInd w:val="0"/>
        <w:ind w:left="720"/>
        <w:contextualSpacing/>
        <w:jc w:val="both"/>
        <w:rPr>
          <w:rFonts w:ascii="Abadi" w:hAnsi="Abadi" w:cs="*Microsoft Sans Serif-12130-Ide"/>
          <w:color w:val="272727"/>
          <w:sz w:val="21"/>
          <w:szCs w:val="21"/>
        </w:rPr>
      </w:pPr>
    </w:p>
    <w:p w14:paraId="528886FC" w14:textId="6AD58A21" w:rsidR="00366FFB" w:rsidRDefault="00366FFB" w:rsidP="005C6EBB">
      <w:pPr>
        <w:pStyle w:val="Prrafodelista"/>
        <w:numPr>
          <w:ilvl w:val="0"/>
          <w:numId w:val="15"/>
        </w:numPr>
        <w:autoSpaceDE w:val="0"/>
        <w:autoSpaceDN w:val="0"/>
        <w:adjustRightInd w:val="0"/>
        <w:contextualSpacing/>
        <w:jc w:val="both"/>
        <w:rPr>
          <w:rFonts w:ascii="Abadi" w:hAnsi="Abadi" w:cs="*Microsoft Sans Serif-12130-Ide"/>
          <w:color w:val="282828"/>
          <w:sz w:val="21"/>
          <w:szCs w:val="21"/>
        </w:rPr>
      </w:pPr>
      <w:r w:rsidRPr="00025800">
        <w:rPr>
          <w:rFonts w:ascii="Abadi" w:hAnsi="Abadi" w:cs="*Microsoft Sans Serif-12130-Ide"/>
          <w:color w:val="282828"/>
          <w:sz w:val="21"/>
          <w:szCs w:val="21"/>
        </w:rPr>
        <w:t xml:space="preserve">La generación </w:t>
      </w:r>
      <w:r w:rsidRPr="00025800">
        <w:rPr>
          <w:rFonts w:ascii="Abadi" w:hAnsi="Abadi" w:cs="*Tahoma-12131-Identity-H"/>
          <w:color w:val="282828"/>
          <w:sz w:val="21"/>
          <w:szCs w:val="21"/>
        </w:rPr>
        <w:t xml:space="preserve">y </w:t>
      </w:r>
      <w:r w:rsidRPr="00025800">
        <w:rPr>
          <w:rFonts w:ascii="Abadi" w:hAnsi="Abadi" w:cs="*Microsoft Sans Serif-12130-Ide"/>
          <w:color w:val="282828"/>
          <w:sz w:val="21"/>
          <w:szCs w:val="21"/>
        </w:rPr>
        <w:t>aplicación de métodos innovadores que faciliten la obtención de conocimientos, como función sustantiva de las instituciones de educación superior; y</w:t>
      </w:r>
    </w:p>
    <w:p w14:paraId="1878147B" w14:textId="77777777" w:rsidR="00F93AC3" w:rsidRPr="00F93AC3" w:rsidRDefault="00F93AC3" w:rsidP="00F93AC3">
      <w:pPr>
        <w:pStyle w:val="Prrafodelista"/>
        <w:rPr>
          <w:rFonts w:ascii="Abadi" w:hAnsi="Abadi" w:cs="*Microsoft Sans Serif-12130-Ide"/>
          <w:color w:val="282828"/>
          <w:sz w:val="21"/>
          <w:szCs w:val="21"/>
        </w:rPr>
      </w:pPr>
    </w:p>
    <w:p w14:paraId="1D211039" w14:textId="77777777" w:rsidR="00F93AC3" w:rsidRPr="00025800" w:rsidRDefault="00F93AC3" w:rsidP="00F93AC3">
      <w:pPr>
        <w:pStyle w:val="Prrafodelista"/>
        <w:autoSpaceDE w:val="0"/>
        <w:autoSpaceDN w:val="0"/>
        <w:adjustRightInd w:val="0"/>
        <w:ind w:left="720"/>
        <w:contextualSpacing/>
        <w:jc w:val="both"/>
        <w:rPr>
          <w:rFonts w:ascii="Abadi" w:hAnsi="Abadi" w:cs="*Microsoft Sans Serif-12130-Ide"/>
          <w:color w:val="282828"/>
          <w:sz w:val="21"/>
          <w:szCs w:val="21"/>
        </w:rPr>
      </w:pPr>
    </w:p>
    <w:p w14:paraId="5AAF5F77" w14:textId="77777777" w:rsidR="00366FFB" w:rsidRPr="0027411C" w:rsidRDefault="00366FFB" w:rsidP="005C6EBB">
      <w:pPr>
        <w:pStyle w:val="Prrafodelista"/>
        <w:numPr>
          <w:ilvl w:val="0"/>
          <w:numId w:val="15"/>
        </w:numPr>
        <w:autoSpaceDE w:val="0"/>
        <w:autoSpaceDN w:val="0"/>
        <w:adjustRightInd w:val="0"/>
        <w:contextualSpacing/>
        <w:jc w:val="both"/>
        <w:rPr>
          <w:rFonts w:ascii="Abadi" w:hAnsi="Abadi" w:cs="*Calibri-11645-Identity-H"/>
          <w:color w:val="2B2B2B"/>
          <w:sz w:val="21"/>
          <w:szCs w:val="21"/>
        </w:rPr>
      </w:pPr>
      <w:r w:rsidRPr="0027411C">
        <w:rPr>
          <w:rFonts w:ascii="Abadi" w:hAnsi="Abadi" w:cs="*Microsoft Sans Serif-12130-Ide"/>
          <w:color w:val="272727"/>
          <w:sz w:val="21"/>
          <w:szCs w:val="21"/>
        </w:rPr>
        <w:t xml:space="preserve">Participar con la sociedad con la finalidad de retribuir por parte de los educandos en su oportunidad, el esfuerzo realizado para su formación, tanto </w:t>
      </w:r>
      <w:r w:rsidRPr="0027411C">
        <w:rPr>
          <w:rFonts w:ascii="Abadi" w:hAnsi="Abadi" w:cs="*Calibri-11645-Identity-H"/>
          <w:color w:val="2B2B2B"/>
          <w:sz w:val="21"/>
          <w:szCs w:val="21"/>
        </w:rPr>
        <w:t>en la prestación de un servicio social y profesional efectivo, como en el desarrollo de su ejercicio profesional.</w:t>
      </w:r>
    </w:p>
    <w:p w14:paraId="14EE43FB" w14:textId="77777777" w:rsidR="00366FFB" w:rsidRPr="00743CF7" w:rsidRDefault="00366FFB" w:rsidP="00366FFB">
      <w:pPr>
        <w:autoSpaceDE w:val="0"/>
        <w:autoSpaceDN w:val="0"/>
        <w:adjustRightInd w:val="0"/>
        <w:jc w:val="both"/>
        <w:rPr>
          <w:rFonts w:ascii="Abadi" w:hAnsi="Abadi" w:cs="*Calibri-11645-Identity-H"/>
          <w:color w:val="2B2B2B"/>
          <w:sz w:val="21"/>
          <w:szCs w:val="21"/>
        </w:rPr>
      </w:pPr>
    </w:p>
    <w:p w14:paraId="13B2AF4E" w14:textId="504CA7CF" w:rsidR="00366FFB" w:rsidRDefault="00366FFB" w:rsidP="00366FFB">
      <w:pPr>
        <w:autoSpaceDE w:val="0"/>
        <w:autoSpaceDN w:val="0"/>
        <w:adjustRightInd w:val="0"/>
        <w:jc w:val="both"/>
        <w:rPr>
          <w:rFonts w:ascii="Abadi" w:hAnsi="Abadi" w:cs="*Calibri-11645-Identity-H"/>
          <w:color w:val="2A2A2A"/>
          <w:sz w:val="21"/>
          <w:szCs w:val="21"/>
        </w:rPr>
      </w:pPr>
      <w:r w:rsidRPr="00743CF7">
        <w:rPr>
          <w:rFonts w:ascii="Abadi" w:hAnsi="Abadi" w:cs="*Calibri-11645-Identity-H"/>
          <w:color w:val="2A2A2A"/>
          <w:sz w:val="21"/>
          <w:szCs w:val="21"/>
        </w:rPr>
        <w:t>Para efecto de dar cumplimiento al establecimiento de las Políticas a las que se refiere este artículo, la Secretar/a se coordinará con la autoridad educativa federal.</w:t>
      </w:r>
    </w:p>
    <w:p w14:paraId="27CE95CE" w14:textId="77777777" w:rsidR="00F93AC3" w:rsidRPr="00743CF7" w:rsidRDefault="00F93AC3" w:rsidP="00366FFB">
      <w:pPr>
        <w:autoSpaceDE w:val="0"/>
        <w:autoSpaceDN w:val="0"/>
        <w:adjustRightInd w:val="0"/>
        <w:jc w:val="both"/>
        <w:rPr>
          <w:rFonts w:ascii="Abadi" w:hAnsi="Abadi" w:cs="*Calibri-11645-Identity-H"/>
          <w:color w:val="2A2A2A"/>
          <w:sz w:val="21"/>
          <w:szCs w:val="21"/>
        </w:rPr>
      </w:pPr>
    </w:p>
    <w:p w14:paraId="48FC02E0" w14:textId="77777777" w:rsidR="00366FFB" w:rsidRPr="00743CF7" w:rsidRDefault="00366FFB" w:rsidP="00366FFB">
      <w:pPr>
        <w:autoSpaceDE w:val="0"/>
        <w:autoSpaceDN w:val="0"/>
        <w:adjustRightInd w:val="0"/>
        <w:jc w:val="both"/>
        <w:rPr>
          <w:rFonts w:ascii="Abadi" w:hAnsi="Abadi" w:cs="*Calibri-11645-Identity-H"/>
          <w:color w:val="2A2A2A"/>
          <w:sz w:val="21"/>
          <w:szCs w:val="21"/>
        </w:rPr>
      </w:pPr>
      <w:r w:rsidRPr="00743CF7">
        <w:rPr>
          <w:rFonts w:ascii="Abadi" w:hAnsi="Abadi" w:cs="*Calibri-11645-Identity-H"/>
          <w:color w:val="2A2A2A"/>
          <w:sz w:val="21"/>
          <w:szCs w:val="21"/>
        </w:rPr>
        <w:t xml:space="preserve">con los Ayuntamientos </w:t>
      </w:r>
      <w:r w:rsidRPr="00743CF7">
        <w:rPr>
          <w:rFonts w:ascii="Abadi" w:hAnsi="Abadi" w:cs="*Calibri-11646-Identity-H"/>
          <w:color w:val="2A2A2A"/>
          <w:sz w:val="21"/>
          <w:szCs w:val="21"/>
        </w:rPr>
        <w:t xml:space="preserve">y </w:t>
      </w:r>
      <w:r w:rsidRPr="00743CF7">
        <w:rPr>
          <w:rFonts w:ascii="Abadi" w:hAnsi="Abadi" w:cs="*Calibri-11645-Identity-H"/>
          <w:color w:val="2A2A2A"/>
          <w:sz w:val="21"/>
          <w:szCs w:val="21"/>
        </w:rPr>
        <w:t>con las Instituciones públicas de educación superior. en el</w:t>
      </w:r>
    </w:p>
    <w:p w14:paraId="0707266B" w14:textId="77777777" w:rsidR="00366FFB" w:rsidRPr="00743CF7" w:rsidRDefault="00366FFB" w:rsidP="00366FFB">
      <w:pPr>
        <w:autoSpaceDE w:val="0"/>
        <w:autoSpaceDN w:val="0"/>
        <w:adjustRightInd w:val="0"/>
        <w:jc w:val="both"/>
        <w:rPr>
          <w:rFonts w:ascii="Abadi" w:hAnsi="Abadi" w:cs="*Calibri-11645-Identity-H"/>
          <w:color w:val="2A2A2A"/>
          <w:sz w:val="21"/>
          <w:szCs w:val="21"/>
        </w:rPr>
      </w:pPr>
      <w:r w:rsidRPr="00743CF7">
        <w:rPr>
          <w:rFonts w:ascii="Abadi" w:hAnsi="Abadi" w:cs="*Calibri-11645-Identity-H"/>
          <w:color w:val="2A2A2A"/>
          <w:sz w:val="21"/>
          <w:szCs w:val="21"/>
        </w:rPr>
        <w:t>ámbito de su competencia.</w:t>
      </w:r>
    </w:p>
    <w:p w14:paraId="38597E95" w14:textId="77777777" w:rsidR="00366FFB" w:rsidRPr="00743CF7" w:rsidRDefault="00366FFB" w:rsidP="00366FFB">
      <w:pPr>
        <w:autoSpaceDE w:val="0"/>
        <w:autoSpaceDN w:val="0"/>
        <w:adjustRightInd w:val="0"/>
        <w:jc w:val="both"/>
        <w:rPr>
          <w:rFonts w:ascii="Abadi" w:hAnsi="Abadi" w:cs="*Calibri-Bold-11647-Identity-H"/>
          <w:b/>
          <w:bCs/>
          <w:color w:val="0F0F0F"/>
          <w:sz w:val="21"/>
          <w:szCs w:val="21"/>
        </w:rPr>
      </w:pPr>
    </w:p>
    <w:p w14:paraId="4B7823E5" w14:textId="77777777" w:rsidR="00686E37" w:rsidRDefault="00686E37" w:rsidP="00366FFB">
      <w:pPr>
        <w:autoSpaceDE w:val="0"/>
        <w:autoSpaceDN w:val="0"/>
        <w:adjustRightInd w:val="0"/>
        <w:jc w:val="center"/>
        <w:rPr>
          <w:rFonts w:ascii="Abadi" w:hAnsi="Abadi" w:cs="*Calibri-Bold-11647-Identity-H"/>
          <w:b/>
          <w:bCs/>
          <w:color w:val="0F0F0F"/>
          <w:sz w:val="21"/>
          <w:szCs w:val="21"/>
        </w:rPr>
      </w:pPr>
    </w:p>
    <w:p w14:paraId="0AE2A869" w14:textId="77777777" w:rsidR="00686E37" w:rsidRDefault="00686E37" w:rsidP="00366FFB">
      <w:pPr>
        <w:autoSpaceDE w:val="0"/>
        <w:autoSpaceDN w:val="0"/>
        <w:adjustRightInd w:val="0"/>
        <w:jc w:val="center"/>
        <w:rPr>
          <w:rFonts w:ascii="Abadi" w:hAnsi="Abadi" w:cs="*Calibri-Bold-11647-Identity-H"/>
          <w:b/>
          <w:bCs/>
          <w:color w:val="0F0F0F"/>
          <w:sz w:val="21"/>
          <w:szCs w:val="21"/>
        </w:rPr>
      </w:pPr>
    </w:p>
    <w:p w14:paraId="5C59FE4E" w14:textId="5B05DC56" w:rsidR="00366FFB" w:rsidRPr="00743CF7" w:rsidRDefault="00366FFB" w:rsidP="00366FFB">
      <w:pPr>
        <w:autoSpaceDE w:val="0"/>
        <w:autoSpaceDN w:val="0"/>
        <w:adjustRightInd w:val="0"/>
        <w:jc w:val="center"/>
        <w:rPr>
          <w:rFonts w:ascii="Abadi" w:hAnsi="Abadi" w:cs="*Calibri-Bold-11647-Identity-H"/>
          <w:b/>
          <w:bCs/>
          <w:color w:val="0F0F0F"/>
          <w:sz w:val="21"/>
          <w:szCs w:val="21"/>
        </w:rPr>
      </w:pPr>
      <w:r w:rsidRPr="00743CF7">
        <w:rPr>
          <w:rFonts w:ascii="Abadi" w:hAnsi="Abadi" w:cs="*Calibri-Bold-11647-Identity-H"/>
          <w:b/>
          <w:bCs/>
          <w:color w:val="0F0F0F"/>
          <w:sz w:val="21"/>
          <w:szCs w:val="21"/>
        </w:rPr>
        <w:t>Capítulo V</w:t>
      </w:r>
    </w:p>
    <w:p w14:paraId="037DF0EC" w14:textId="77777777" w:rsidR="00366FFB" w:rsidRPr="00743CF7" w:rsidRDefault="00366FFB" w:rsidP="00366FFB">
      <w:pPr>
        <w:autoSpaceDE w:val="0"/>
        <w:autoSpaceDN w:val="0"/>
        <w:adjustRightInd w:val="0"/>
        <w:jc w:val="center"/>
        <w:rPr>
          <w:rFonts w:ascii="Abadi" w:hAnsi="Abadi" w:cs="*Calibri-Bold-11647-Identity-H"/>
          <w:b/>
          <w:bCs/>
          <w:color w:val="111111"/>
          <w:sz w:val="21"/>
          <w:szCs w:val="21"/>
        </w:rPr>
      </w:pPr>
      <w:r w:rsidRPr="00743CF7">
        <w:rPr>
          <w:rFonts w:ascii="Abadi" w:hAnsi="Abadi" w:cs="*Calibri-Bold-11647-Identity-H"/>
          <w:b/>
          <w:bCs/>
          <w:color w:val="111111"/>
          <w:sz w:val="21"/>
          <w:szCs w:val="21"/>
        </w:rPr>
        <w:t>Derechos humanos de los estudiantes de educación superior</w:t>
      </w:r>
    </w:p>
    <w:p w14:paraId="11904782" w14:textId="77777777" w:rsidR="00366FFB" w:rsidRPr="00743CF7" w:rsidRDefault="00366FFB" w:rsidP="00366FFB">
      <w:pPr>
        <w:autoSpaceDE w:val="0"/>
        <w:autoSpaceDN w:val="0"/>
        <w:adjustRightInd w:val="0"/>
        <w:jc w:val="both"/>
        <w:rPr>
          <w:rFonts w:ascii="Abadi" w:hAnsi="Abadi" w:cs="*Calibri-Bold-11647-Identity-H"/>
          <w:b/>
          <w:bCs/>
          <w:color w:val="111111"/>
          <w:sz w:val="21"/>
          <w:szCs w:val="21"/>
        </w:rPr>
      </w:pPr>
    </w:p>
    <w:p w14:paraId="6713FB6C" w14:textId="77777777" w:rsidR="00366FFB" w:rsidRPr="00743CF7" w:rsidRDefault="00366FFB" w:rsidP="00366FFB">
      <w:pPr>
        <w:autoSpaceDE w:val="0"/>
        <w:autoSpaceDN w:val="0"/>
        <w:adjustRightInd w:val="0"/>
        <w:jc w:val="right"/>
        <w:rPr>
          <w:rFonts w:ascii="Abadi" w:hAnsi="Abadi" w:cs="*Microsoft Sans Serif-BoldItali"/>
          <w:b/>
          <w:bCs/>
          <w:i/>
          <w:iCs/>
          <w:color w:val="141414"/>
          <w:sz w:val="21"/>
          <w:szCs w:val="21"/>
        </w:rPr>
      </w:pPr>
      <w:r w:rsidRPr="00743CF7">
        <w:rPr>
          <w:rFonts w:ascii="Abadi" w:hAnsi="Abadi" w:cs="*Microsoft Sans Serif-BoldItali"/>
          <w:b/>
          <w:bCs/>
          <w:i/>
          <w:iCs/>
          <w:color w:val="141414"/>
          <w:sz w:val="21"/>
          <w:szCs w:val="21"/>
        </w:rPr>
        <w:t>Derechos humanos</w:t>
      </w:r>
    </w:p>
    <w:p w14:paraId="04A15D18" w14:textId="77777777" w:rsidR="00366FFB" w:rsidRPr="00743CF7" w:rsidRDefault="00366FFB" w:rsidP="00366FFB">
      <w:pPr>
        <w:autoSpaceDE w:val="0"/>
        <w:autoSpaceDN w:val="0"/>
        <w:adjustRightInd w:val="0"/>
        <w:ind w:firstLine="708"/>
        <w:jc w:val="both"/>
        <w:rPr>
          <w:rFonts w:ascii="Abadi" w:hAnsi="Abadi" w:cs="*Calibri-11645-Identity-H"/>
          <w:color w:val="2A2A2A"/>
          <w:sz w:val="21"/>
          <w:szCs w:val="21"/>
        </w:rPr>
      </w:pPr>
      <w:r w:rsidRPr="00743CF7">
        <w:rPr>
          <w:rFonts w:ascii="Abadi" w:hAnsi="Abadi" w:cs="*Calibri-Bold-11647-Identity-H"/>
          <w:b/>
          <w:bCs/>
          <w:color w:val="2A2A2A"/>
          <w:sz w:val="21"/>
          <w:szCs w:val="21"/>
        </w:rPr>
        <w:t xml:space="preserve">Artículo 16. </w:t>
      </w:r>
      <w:r w:rsidRPr="00743CF7">
        <w:rPr>
          <w:rFonts w:ascii="Abadi" w:hAnsi="Abadi" w:cs="*Calibri-11645-Identity-H"/>
          <w:color w:val="2A2A2A"/>
          <w:sz w:val="21"/>
          <w:szCs w:val="21"/>
        </w:rPr>
        <w:t>Son derechos humanos de los estudiantes de educación superior. los reconocidos por los Tratados Internacionales en los que el Estado Mexicanos sea parte, la Constitución Política de los Estados Unidos Mexicanos, la Ley General de</w:t>
      </w:r>
    </w:p>
    <w:p w14:paraId="3D7D02B0" w14:textId="77777777" w:rsidR="00366FFB" w:rsidRPr="00743CF7" w:rsidRDefault="00366FFB" w:rsidP="00366FFB">
      <w:pPr>
        <w:autoSpaceDE w:val="0"/>
        <w:autoSpaceDN w:val="0"/>
        <w:adjustRightInd w:val="0"/>
        <w:jc w:val="both"/>
        <w:rPr>
          <w:rFonts w:ascii="Abadi" w:hAnsi="Abadi" w:cs="*Calibri-11645-Identity-H"/>
          <w:color w:val="2A2A2A"/>
          <w:sz w:val="21"/>
          <w:szCs w:val="21"/>
        </w:rPr>
      </w:pPr>
      <w:r w:rsidRPr="00743CF7">
        <w:rPr>
          <w:rFonts w:ascii="Abadi" w:hAnsi="Abadi" w:cs="*Calibri-11645-Identity-H"/>
          <w:color w:val="2A2A2A"/>
          <w:sz w:val="21"/>
          <w:szCs w:val="21"/>
        </w:rPr>
        <w:t>Educación, la Ley General de Educación Superior, la Constitución Política para el</w:t>
      </w:r>
    </w:p>
    <w:p w14:paraId="7FDCF0C7" w14:textId="77777777" w:rsidR="00366FFB" w:rsidRPr="00743CF7" w:rsidRDefault="00366FFB" w:rsidP="00366FFB">
      <w:pPr>
        <w:autoSpaceDE w:val="0"/>
        <w:autoSpaceDN w:val="0"/>
        <w:adjustRightInd w:val="0"/>
        <w:jc w:val="both"/>
        <w:rPr>
          <w:rFonts w:ascii="Abadi" w:hAnsi="Abadi" w:cs="*Calibri-11645-Identity-H"/>
          <w:color w:val="2A2A2A"/>
          <w:sz w:val="21"/>
          <w:szCs w:val="21"/>
        </w:rPr>
      </w:pPr>
      <w:r w:rsidRPr="00743CF7">
        <w:rPr>
          <w:rFonts w:ascii="Abadi" w:hAnsi="Abadi" w:cs="*Calibri-11645-Identity-H"/>
          <w:color w:val="2A2A2A"/>
          <w:sz w:val="21"/>
          <w:szCs w:val="21"/>
        </w:rPr>
        <w:t xml:space="preserve">Estado de Guanajuato </w:t>
      </w:r>
      <w:r w:rsidRPr="00743CF7">
        <w:rPr>
          <w:rFonts w:ascii="Abadi" w:hAnsi="Abadi" w:cs="*Calibri-11646-Identity-H"/>
          <w:color w:val="2A2A2A"/>
          <w:sz w:val="21"/>
          <w:szCs w:val="21"/>
        </w:rPr>
        <w:t xml:space="preserve">y </w:t>
      </w:r>
      <w:r w:rsidRPr="00743CF7">
        <w:rPr>
          <w:rFonts w:ascii="Abadi" w:hAnsi="Abadi" w:cs="*Calibri-11645-Identity-H"/>
          <w:color w:val="2A2A2A"/>
          <w:sz w:val="21"/>
          <w:szCs w:val="21"/>
        </w:rPr>
        <w:t>demás ordenamientos aplicables.</w:t>
      </w:r>
    </w:p>
    <w:p w14:paraId="5A0DF023" w14:textId="77777777" w:rsidR="00366FFB" w:rsidRPr="00743CF7" w:rsidRDefault="00366FFB" w:rsidP="00366FFB">
      <w:pPr>
        <w:autoSpaceDE w:val="0"/>
        <w:autoSpaceDN w:val="0"/>
        <w:adjustRightInd w:val="0"/>
        <w:jc w:val="both"/>
        <w:rPr>
          <w:rFonts w:ascii="Abadi" w:hAnsi="Abadi" w:cs="*Microsoft Sans Serif-BoldItali"/>
          <w:b/>
          <w:bCs/>
          <w:i/>
          <w:iCs/>
          <w:color w:val="161616"/>
          <w:sz w:val="21"/>
          <w:szCs w:val="21"/>
        </w:rPr>
      </w:pPr>
    </w:p>
    <w:p w14:paraId="63C253A4" w14:textId="77777777" w:rsidR="00366FFB" w:rsidRPr="00743CF7" w:rsidRDefault="00366FFB" w:rsidP="00366FFB">
      <w:pPr>
        <w:autoSpaceDE w:val="0"/>
        <w:autoSpaceDN w:val="0"/>
        <w:adjustRightInd w:val="0"/>
        <w:jc w:val="right"/>
        <w:rPr>
          <w:rFonts w:ascii="Abadi" w:hAnsi="Abadi" w:cs="*Microsoft Sans Serif-BoldItali"/>
          <w:b/>
          <w:bCs/>
          <w:i/>
          <w:iCs/>
          <w:color w:val="161616"/>
          <w:sz w:val="21"/>
          <w:szCs w:val="21"/>
        </w:rPr>
      </w:pPr>
      <w:r w:rsidRPr="00743CF7">
        <w:rPr>
          <w:rFonts w:ascii="Abadi" w:hAnsi="Abadi" w:cs="*Microsoft Sans Serif-BoldItali"/>
          <w:b/>
          <w:bCs/>
          <w:i/>
          <w:iCs/>
          <w:color w:val="161616"/>
          <w:sz w:val="21"/>
          <w:szCs w:val="21"/>
        </w:rPr>
        <w:t>Derechos de los estudiantes en situación vulnerable</w:t>
      </w:r>
    </w:p>
    <w:p w14:paraId="310FAE1E" w14:textId="77777777" w:rsidR="00366FFB" w:rsidRPr="00743CF7" w:rsidRDefault="00366FFB" w:rsidP="00366FFB">
      <w:pPr>
        <w:autoSpaceDE w:val="0"/>
        <w:autoSpaceDN w:val="0"/>
        <w:adjustRightInd w:val="0"/>
        <w:ind w:firstLine="708"/>
        <w:jc w:val="both"/>
        <w:rPr>
          <w:rFonts w:ascii="Abadi" w:hAnsi="Abadi" w:cs="*Calibri-11645-Identity-H"/>
          <w:color w:val="282828"/>
          <w:sz w:val="21"/>
          <w:szCs w:val="21"/>
        </w:rPr>
      </w:pPr>
      <w:r w:rsidRPr="00743CF7">
        <w:rPr>
          <w:rFonts w:ascii="Abadi" w:hAnsi="Abadi" w:cs="*Calibri-Bold-11647-Identity-H"/>
          <w:b/>
          <w:bCs/>
          <w:color w:val="282828"/>
          <w:sz w:val="21"/>
          <w:szCs w:val="21"/>
        </w:rPr>
        <w:t xml:space="preserve">Artículo 17. </w:t>
      </w:r>
      <w:r w:rsidRPr="00743CF7">
        <w:rPr>
          <w:rFonts w:ascii="Abadi" w:hAnsi="Abadi" w:cs="*Calibri-11645-Identity-H"/>
          <w:color w:val="282828"/>
          <w:sz w:val="21"/>
          <w:szCs w:val="21"/>
        </w:rPr>
        <w:t>El Estado garantizará el derecho humano a la educación de aquellas personas que se encuentren en alguna situación vulnerable, en el marco de la equidad e inclusión educativa. realizando todos aquellas acciones y mecanismos para salvaguardar su protección.</w:t>
      </w:r>
    </w:p>
    <w:p w14:paraId="4197922F" w14:textId="77777777" w:rsidR="00366FFB" w:rsidRPr="00743CF7" w:rsidRDefault="00366FFB" w:rsidP="00366FFB">
      <w:pPr>
        <w:autoSpaceDE w:val="0"/>
        <w:autoSpaceDN w:val="0"/>
        <w:adjustRightInd w:val="0"/>
        <w:jc w:val="both"/>
        <w:rPr>
          <w:rFonts w:ascii="Abadi" w:hAnsi="Abadi" w:cs="*Microsoft Sans Serif-BoldItali"/>
          <w:b/>
          <w:bCs/>
          <w:i/>
          <w:iCs/>
          <w:color w:val="101010"/>
          <w:sz w:val="21"/>
          <w:szCs w:val="21"/>
        </w:rPr>
      </w:pPr>
    </w:p>
    <w:p w14:paraId="6ECFF461" w14:textId="77777777" w:rsidR="00366FFB" w:rsidRPr="00743CF7" w:rsidRDefault="00366FFB" w:rsidP="00366FFB">
      <w:pPr>
        <w:autoSpaceDE w:val="0"/>
        <w:autoSpaceDN w:val="0"/>
        <w:adjustRightInd w:val="0"/>
        <w:jc w:val="right"/>
        <w:rPr>
          <w:rFonts w:ascii="Abadi" w:hAnsi="Abadi" w:cs="*Microsoft Sans Serif-BoldItali"/>
          <w:b/>
          <w:bCs/>
          <w:i/>
          <w:iCs/>
          <w:color w:val="101010"/>
          <w:sz w:val="21"/>
          <w:szCs w:val="21"/>
        </w:rPr>
      </w:pPr>
      <w:r w:rsidRPr="00743CF7">
        <w:rPr>
          <w:rFonts w:ascii="Abadi" w:hAnsi="Abadi" w:cs="*Microsoft Sans Serif-BoldItali"/>
          <w:b/>
          <w:bCs/>
          <w:i/>
          <w:iCs/>
          <w:color w:val="101010"/>
          <w:sz w:val="21"/>
          <w:szCs w:val="21"/>
        </w:rPr>
        <w:t>Apoyos para la permanencia y conclusión</w:t>
      </w:r>
    </w:p>
    <w:p w14:paraId="3ADF2F3D" w14:textId="77777777" w:rsidR="00366FFB" w:rsidRPr="00743CF7" w:rsidRDefault="00366FFB" w:rsidP="00366FFB">
      <w:pPr>
        <w:autoSpaceDE w:val="0"/>
        <w:autoSpaceDN w:val="0"/>
        <w:adjustRightInd w:val="0"/>
        <w:jc w:val="right"/>
        <w:rPr>
          <w:rFonts w:ascii="Abadi" w:hAnsi="Abadi" w:cs="*Microsoft Sans Serif-BoldItali"/>
          <w:b/>
          <w:bCs/>
          <w:i/>
          <w:iCs/>
          <w:color w:val="101010"/>
          <w:sz w:val="21"/>
          <w:szCs w:val="21"/>
        </w:rPr>
      </w:pPr>
      <w:r w:rsidRPr="00743CF7">
        <w:rPr>
          <w:rFonts w:ascii="Abadi" w:hAnsi="Abadi" w:cs="*Microsoft Sans Serif-BoldItali"/>
          <w:b/>
          <w:bCs/>
          <w:i/>
          <w:iCs/>
          <w:color w:val="101010"/>
          <w:sz w:val="21"/>
          <w:szCs w:val="21"/>
        </w:rPr>
        <w:t>de la educación superior</w:t>
      </w:r>
    </w:p>
    <w:p w14:paraId="1F2416B2" w14:textId="00C93237" w:rsidR="00366FFB" w:rsidRPr="00743CF7" w:rsidRDefault="00366FFB" w:rsidP="00366FFB">
      <w:pPr>
        <w:autoSpaceDE w:val="0"/>
        <w:autoSpaceDN w:val="0"/>
        <w:adjustRightInd w:val="0"/>
        <w:jc w:val="both"/>
        <w:rPr>
          <w:rFonts w:ascii="Abadi" w:hAnsi="Abadi" w:cs="*Calibri-11645-Identity-H"/>
          <w:color w:val="2A2A2A"/>
          <w:sz w:val="21"/>
          <w:szCs w:val="21"/>
        </w:rPr>
      </w:pPr>
      <w:r w:rsidRPr="00743CF7">
        <w:rPr>
          <w:rFonts w:ascii="Abadi" w:hAnsi="Abadi" w:cs="*Calibri-Bold-11647-Identity-H"/>
          <w:b/>
          <w:bCs/>
          <w:color w:val="2A2A2A"/>
          <w:sz w:val="21"/>
          <w:szCs w:val="21"/>
        </w:rPr>
        <w:t xml:space="preserve">Artículo </w:t>
      </w:r>
      <w:r w:rsidR="00686E37">
        <w:rPr>
          <w:rFonts w:ascii="Abadi" w:hAnsi="Abadi" w:cs="*Calibri-Bold-11647-Identity-H"/>
          <w:b/>
          <w:bCs/>
          <w:color w:val="2A2A2A"/>
          <w:sz w:val="21"/>
          <w:szCs w:val="21"/>
        </w:rPr>
        <w:t>18</w:t>
      </w:r>
      <w:r w:rsidRPr="00743CF7">
        <w:rPr>
          <w:rFonts w:ascii="Abadi" w:hAnsi="Abadi" w:cs="*Calibri-Bold-11647-Identity-H"/>
          <w:b/>
          <w:bCs/>
          <w:color w:val="2A2A2A"/>
          <w:sz w:val="21"/>
          <w:szCs w:val="21"/>
        </w:rPr>
        <w:t xml:space="preserve">. </w:t>
      </w:r>
      <w:r w:rsidRPr="00743CF7">
        <w:rPr>
          <w:rFonts w:ascii="Abadi" w:hAnsi="Abadi" w:cs="*Calibri-11645-Identity-H"/>
          <w:color w:val="2A2A2A"/>
          <w:sz w:val="21"/>
          <w:szCs w:val="21"/>
        </w:rPr>
        <w:t>Las autoridades educa1ivas, en el ámbito de sus respectivas competencias. gestionarán apoyos ante las distintas instancias públicas y privadas.</w:t>
      </w:r>
      <w:r>
        <w:rPr>
          <w:rFonts w:ascii="Abadi" w:hAnsi="Abadi" w:cs="*Calibri-11645-Identity-H"/>
          <w:color w:val="2A2A2A"/>
          <w:sz w:val="21"/>
          <w:szCs w:val="21"/>
        </w:rPr>
        <w:t xml:space="preserve"> </w:t>
      </w:r>
      <w:r w:rsidRPr="00743CF7">
        <w:rPr>
          <w:rFonts w:ascii="Abadi" w:hAnsi="Abadi" w:cs="*Calibri-11645-Identity-H"/>
          <w:color w:val="2A2A2A"/>
          <w:sz w:val="21"/>
          <w:szCs w:val="21"/>
        </w:rPr>
        <w:t>que permitan a los estudiantes que se encuentren en situación de vulnerabilidad.</w:t>
      </w:r>
      <w:r>
        <w:rPr>
          <w:rFonts w:ascii="Abadi" w:hAnsi="Abadi" w:cs="*Calibri-11645-Identity-H"/>
          <w:color w:val="2A2A2A"/>
          <w:sz w:val="21"/>
          <w:szCs w:val="21"/>
        </w:rPr>
        <w:t xml:space="preserve"> </w:t>
      </w:r>
      <w:r w:rsidRPr="00743CF7">
        <w:rPr>
          <w:rFonts w:ascii="Abadi" w:hAnsi="Abadi" w:cs="*Calibri-11645-Identity-H"/>
          <w:color w:val="2A2A2A"/>
          <w:sz w:val="21"/>
          <w:szCs w:val="21"/>
        </w:rPr>
        <w:t xml:space="preserve">así como a madres trabajadoras, permanecer </w:t>
      </w:r>
      <w:r w:rsidRPr="00743CF7">
        <w:rPr>
          <w:rFonts w:ascii="Abadi" w:hAnsi="Abadi" w:cs="*Calibri-11646-Identity-H"/>
          <w:color w:val="2A2A2A"/>
          <w:sz w:val="21"/>
          <w:szCs w:val="21"/>
        </w:rPr>
        <w:t xml:space="preserve">y </w:t>
      </w:r>
      <w:r w:rsidRPr="00743CF7">
        <w:rPr>
          <w:rFonts w:ascii="Abadi" w:hAnsi="Abadi" w:cs="*Calibri-11645-Identity-H"/>
          <w:color w:val="2A2A2A"/>
          <w:sz w:val="21"/>
          <w:szCs w:val="21"/>
        </w:rPr>
        <w:t>concluir la educación superior.</w:t>
      </w:r>
    </w:p>
    <w:p w14:paraId="468774D8" w14:textId="77777777" w:rsidR="00366FFB" w:rsidRPr="00743CF7" w:rsidRDefault="00366FFB" w:rsidP="00366FFB">
      <w:pPr>
        <w:jc w:val="both"/>
        <w:rPr>
          <w:rFonts w:ascii="Abadi" w:hAnsi="Abadi" w:cs="*Calibri-11645-Identity-H"/>
          <w:color w:val="2A2A2A"/>
          <w:sz w:val="21"/>
          <w:szCs w:val="21"/>
        </w:rPr>
      </w:pPr>
    </w:p>
    <w:p w14:paraId="559A5590" w14:textId="77777777" w:rsidR="00366FFB" w:rsidRPr="00743CF7" w:rsidRDefault="00366FFB" w:rsidP="00366FFB">
      <w:pPr>
        <w:autoSpaceDE w:val="0"/>
        <w:autoSpaceDN w:val="0"/>
        <w:adjustRightInd w:val="0"/>
        <w:jc w:val="center"/>
        <w:rPr>
          <w:rFonts w:ascii="Abadi" w:hAnsi="Abadi" w:cs="*Calibri-Bold-10230-Identity-H"/>
          <w:b/>
          <w:bCs/>
          <w:color w:val="101010"/>
          <w:sz w:val="21"/>
          <w:szCs w:val="21"/>
        </w:rPr>
      </w:pPr>
      <w:r w:rsidRPr="00743CF7">
        <w:rPr>
          <w:rFonts w:ascii="Abadi" w:hAnsi="Abadi" w:cs="*Calibri-Bold-10230-Identity-H"/>
          <w:b/>
          <w:bCs/>
          <w:color w:val="101010"/>
          <w:sz w:val="21"/>
          <w:szCs w:val="21"/>
        </w:rPr>
        <w:t xml:space="preserve">TÍTULO </w:t>
      </w:r>
      <w:r>
        <w:rPr>
          <w:rFonts w:ascii="Abadi" w:hAnsi="Abadi" w:cs="*Calibri-Bold-10230-Identity-H"/>
          <w:b/>
          <w:bCs/>
          <w:color w:val="101010"/>
          <w:sz w:val="21"/>
          <w:szCs w:val="21"/>
        </w:rPr>
        <w:t>II</w:t>
      </w:r>
    </w:p>
    <w:p w14:paraId="1CD16003" w14:textId="77777777" w:rsidR="00366FFB" w:rsidRPr="00743CF7" w:rsidRDefault="00366FFB" w:rsidP="00366FFB">
      <w:pPr>
        <w:autoSpaceDE w:val="0"/>
        <w:autoSpaceDN w:val="0"/>
        <w:adjustRightInd w:val="0"/>
        <w:jc w:val="center"/>
        <w:rPr>
          <w:rFonts w:ascii="Abadi" w:hAnsi="Abadi" w:cs="*Calibri-Bold-10230-Identity-H"/>
          <w:b/>
          <w:bCs/>
          <w:color w:val="101010"/>
          <w:sz w:val="21"/>
          <w:szCs w:val="21"/>
        </w:rPr>
      </w:pPr>
      <w:r w:rsidRPr="00743CF7">
        <w:rPr>
          <w:rFonts w:ascii="Abadi" w:hAnsi="Abadi" w:cs="*Calibri-Bold-10230-Identity-H"/>
          <w:b/>
          <w:bCs/>
          <w:color w:val="101010"/>
          <w:sz w:val="21"/>
          <w:szCs w:val="21"/>
        </w:rPr>
        <w:t>AUTORIDADES EDUCATIVAS</w:t>
      </w:r>
    </w:p>
    <w:p w14:paraId="275D1FBE" w14:textId="77777777" w:rsidR="00366FFB" w:rsidRPr="00743CF7" w:rsidRDefault="00366FFB" w:rsidP="00366FFB">
      <w:pPr>
        <w:autoSpaceDE w:val="0"/>
        <w:autoSpaceDN w:val="0"/>
        <w:adjustRightInd w:val="0"/>
        <w:jc w:val="center"/>
        <w:rPr>
          <w:rFonts w:ascii="Abadi" w:hAnsi="Abadi" w:cs="*Calibri-Bold-10230-Identity-H"/>
          <w:b/>
          <w:bCs/>
          <w:color w:val="101010"/>
          <w:sz w:val="21"/>
          <w:szCs w:val="21"/>
        </w:rPr>
      </w:pPr>
    </w:p>
    <w:p w14:paraId="3A978EE5" w14:textId="77777777" w:rsidR="00366FFB" w:rsidRPr="00743CF7" w:rsidRDefault="00366FFB" w:rsidP="00366FFB">
      <w:pPr>
        <w:autoSpaceDE w:val="0"/>
        <w:autoSpaceDN w:val="0"/>
        <w:adjustRightInd w:val="0"/>
        <w:jc w:val="center"/>
        <w:rPr>
          <w:rFonts w:ascii="Abadi" w:hAnsi="Abadi" w:cs="*Calibri-Bold-10230-Identity-H"/>
          <w:b/>
          <w:bCs/>
          <w:color w:val="101010"/>
          <w:sz w:val="21"/>
          <w:szCs w:val="21"/>
        </w:rPr>
      </w:pPr>
      <w:r w:rsidRPr="00743CF7">
        <w:rPr>
          <w:rFonts w:ascii="Abadi" w:hAnsi="Abadi" w:cs="*Calibri-Bold-10230-Identity-H"/>
          <w:b/>
          <w:bCs/>
          <w:color w:val="101010"/>
          <w:sz w:val="21"/>
          <w:szCs w:val="21"/>
        </w:rPr>
        <w:t xml:space="preserve">Capítulo </w:t>
      </w:r>
      <w:r>
        <w:rPr>
          <w:rFonts w:ascii="Abadi" w:hAnsi="Abadi" w:cs="*Calibri-Bold-10230-Identity-H"/>
          <w:b/>
          <w:bCs/>
          <w:color w:val="101010"/>
          <w:sz w:val="21"/>
          <w:szCs w:val="21"/>
        </w:rPr>
        <w:t>I</w:t>
      </w:r>
    </w:p>
    <w:p w14:paraId="6351BCFC" w14:textId="77777777" w:rsidR="00366FFB" w:rsidRDefault="00366FFB" w:rsidP="00366FFB">
      <w:pPr>
        <w:autoSpaceDE w:val="0"/>
        <w:autoSpaceDN w:val="0"/>
        <w:adjustRightInd w:val="0"/>
        <w:jc w:val="center"/>
        <w:rPr>
          <w:rFonts w:ascii="Abadi" w:hAnsi="Abadi" w:cs="*Calibri-Bold-10230-Identity-H"/>
          <w:b/>
          <w:bCs/>
          <w:color w:val="121212"/>
          <w:sz w:val="21"/>
          <w:szCs w:val="21"/>
        </w:rPr>
      </w:pPr>
      <w:r w:rsidRPr="00743CF7">
        <w:rPr>
          <w:rFonts w:ascii="Abadi" w:hAnsi="Abadi" w:cs="*Calibri-Bold-10230-Identity-H"/>
          <w:b/>
          <w:bCs/>
          <w:color w:val="121212"/>
          <w:sz w:val="21"/>
          <w:szCs w:val="21"/>
        </w:rPr>
        <w:t>Autoridades en materia de educación superior</w:t>
      </w:r>
    </w:p>
    <w:p w14:paraId="51CBE890" w14:textId="77777777" w:rsidR="00366FFB" w:rsidRPr="00743CF7" w:rsidRDefault="00366FFB" w:rsidP="00366FFB">
      <w:pPr>
        <w:autoSpaceDE w:val="0"/>
        <w:autoSpaceDN w:val="0"/>
        <w:adjustRightInd w:val="0"/>
        <w:jc w:val="both"/>
        <w:rPr>
          <w:rFonts w:ascii="Abadi" w:hAnsi="Abadi" w:cs="*Calibri-Bold-10230-Identity-H"/>
          <w:b/>
          <w:bCs/>
          <w:color w:val="121212"/>
          <w:sz w:val="21"/>
          <w:szCs w:val="21"/>
        </w:rPr>
      </w:pPr>
    </w:p>
    <w:p w14:paraId="16A5AE10" w14:textId="77777777" w:rsidR="00366FFB" w:rsidRPr="00743CF7" w:rsidRDefault="00366FFB" w:rsidP="00366FFB">
      <w:pPr>
        <w:autoSpaceDE w:val="0"/>
        <w:autoSpaceDN w:val="0"/>
        <w:adjustRightInd w:val="0"/>
        <w:jc w:val="right"/>
        <w:rPr>
          <w:rFonts w:ascii="Abadi" w:hAnsi="Abadi" w:cs="*Microsoft Sans Serif-BoldItali"/>
          <w:b/>
          <w:bCs/>
          <w:i/>
          <w:iCs/>
          <w:color w:val="131313"/>
          <w:sz w:val="21"/>
          <w:szCs w:val="21"/>
        </w:rPr>
      </w:pPr>
      <w:r w:rsidRPr="00743CF7">
        <w:rPr>
          <w:rFonts w:ascii="Abadi" w:hAnsi="Abadi" w:cs="*Microsoft Sans Serif-BoldItali"/>
          <w:b/>
          <w:bCs/>
          <w:i/>
          <w:iCs/>
          <w:color w:val="131313"/>
          <w:sz w:val="21"/>
          <w:szCs w:val="21"/>
        </w:rPr>
        <w:t>Autoridades educativas</w:t>
      </w:r>
    </w:p>
    <w:p w14:paraId="6D1355CE" w14:textId="77777777" w:rsidR="00366FFB" w:rsidRPr="00743CF7" w:rsidRDefault="00366FFB" w:rsidP="00366FFB">
      <w:pPr>
        <w:autoSpaceDE w:val="0"/>
        <w:autoSpaceDN w:val="0"/>
        <w:adjustRightInd w:val="0"/>
        <w:jc w:val="both"/>
        <w:rPr>
          <w:rFonts w:ascii="Abadi" w:hAnsi="Abadi" w:cs="*Microsoft Sans Serif-10231-Ide"/>
          <w:color w:val="2A2A2A"/>
          <w:sz w:val="21"/>
          <w:szCs w:val="21"/>
        </w:rPr>
      </w:pPr>
      <w:r w:rsidRPr="00743CF7">
        <w:rPr>
          <w:rFonts w:ascii="Abadi" w:hAnsi="Abadi" w:cs="*Calibri-Bold-10230-Identity-H"/>
          <w:b/>
          <w:bCs/>
          <w:color w:val="2A2A2A"/>
          <w:sz w:val="21"/>
          <w:szCs w:val="21"/>
        </w:rPr>
        <w:t xml:space="preserve">Artículo 19. </w:t>
      </w:r>
      <w:r w:rsidRPr="00743CF7">
        <w:rPr>
          <w:rFonts w:ascii="Abadi" w:hAnsi="Abadi" w:cs="*Microsoft Sans Serif-10231-Ide"/>
          <w:color w:val="2A2A2A"/>
          <w:sz w:val="21"/>
          <w:szCs w:val="21"/>
        </w:rPr>
        <w:t>La aplicación y vigilancia del cumplimiento de esta Ley corresponde a las autoridades educativas. Son autoridades educativas, en el ámbito de sus</w:t>
      </w:r>
      <w:r>
        <w:rPr>
          <w:rFonts w:ascii="Abadi" w:hAnsi="Abadi" w:cs="*Microsoft Sans Serif-10231-Ide"/>
          <w:color w:val="2A2A2A"/>
          <w:sz w:val="21"/>
          <w:szCs w:val="21"/>
        </w:rPr>
        <w:t xml:space="preserve"> </w:t>
      </w:r>
      <w:r w:rsidRPr="00743CF7">
        <w:rPr>
          <w:rFonts w:ascii="Abadi" w:hAnsi="Abadi" w:cs="*Microsoft Sans Serif-10231-Ide"/>
          <w:color w:val="2A2A2A"/>
          <w:sz w:val="21"/>
          <w:szCs w:val="21"/>
        </w:rPr>
        <w:t>respectivas competencias:</w:t>
      </w:r>
    </w:p>
    <w:p w14:paraId="19CFB04E" w14:textId="77777777" w:rsidR="00366FFB" w:rsidRDefault="00366FFB" w:rsidP="00366FFB">
      <w:pPr>
        <w:autoSpaceDE w:val="0"/>
        <w:autoSpaceDN w:val="0"/>
        <w:adjustRightInd w:val="0"/>
        <w:jc w:val="both"/>
        <w:rPr>
          <w:rFonts w:ascii="Abadi" w:hAnsi="Abadi" w:cs="*Microsoft Sans Serif-10231-Ide"/>
          <w:b/>
          <w:bCs/>
          <w:color w:val="292929"/>
          <w:sz w:val="21"/>
          <w:szCs w:val="21"/>
        </w:rPr>
      </w:pPr>
    </w:p>
    <w:p w14:paraId="4FAB6C8A" w14:textId="77777777" w:rsidR="00366FFB" w:rsidRPr="00743CF7" w:rsidRDefault="00366FFB" w:rsidP="00366FFB">
      <w:pPr>
        <w:autoSpaceDE w:val="0"/>
        <w:autoSpaceDN w:val="0"/>
        <w:adjustRightInd w:val="0"/>
        <w:jc w:val="both"/>
        <w:rPr>
          <w:rFonts w:ascii="Abadi" w:hAnsi="Abadi" w:cs="*Microsoft Sans Serif-10231-Ide"/>
          <w:color w:val="292929"/>
          <w:sz w:val="21"/>
          <w:szCs w:val="21"/>
        </w:rPr>
      </w:pPr>
      <w:r w:rsidRPr="00743CF7">
        <w:rPr>
          <w:rFonts w:ascii="Abadi" w:hAnsi="Abadi" w:cs="*Microsoft Sans Serif-10231-Ide"/>
          <w:b/>
          <w:bCs/>
          <w:color w:val="292929"/>
          <w:sz w:val="21"/>
          <w:szCs w:val="21"/>
        </w:rPr>
        <w:t>l.</w:t>
      </w:r>
      <w:r w:rsidRPr="00743CF7">
        <w:rPr>
          <w:rFonts w:ascii="Abadi" w:hAnsi="Abadi" w:cs="*Microsoft Sans Serif-10231-Ide"/>
          <w:color w:val="292929"/>
          <w:sz w:val="21"/>
          <w:szCs w:val="21"/>
        </w:rPr>
        <w:t xml:space="preserve"> El Ejecutivo Estatal;</w:t>
      </w:r>
    </w:p>
    <w:p w14:paraId="7E6FB98E" w14:textId="77777777" w:rsidR="00366FFB" w:rsidRPr="00743CF7" w:rsidRDefault="00366FFB" w:rsidP="00366FFB">
      <w:pPr>
        <w:autoSpaceDE w:val="0"/>
        <w:autoSpaceDN w:val="0"/>
        <w:adjustRightInd w:val="0"/>
        <w:jc w:val="both"/>
        <w:rPr>
          <w:rFonts w:ascii="Abadi" w:hAnsi="Abadi" w:cs="*Microsoft Sans Serif-10231-Ide"/>
          <w:color w:val="212121"/>
          <w:sz w:val="21"/>
          <w:szCs w:val="21"/>
        </w:rPr>
      </w:pPr>
      <w:r w:rsidRPr="00743CF7">
        <w:rPr>
          <w:rFonts w:ascii="Abadi" w:hAnsi="Abadi" w:cs="*Microsoft Sans Serif-10231-Ide"/>
          <w:b/>
          <w:bCs/>
          <w:color w:val="212121"/>
          <w:sz w:val="21"/>
          <w:szCs w:val="21"/>
        </w:rPr>
        <w:t>II.</w:t>
      </w:r>
      <w:r w:rsidRPr="00743CF7">
        <w:rPr>
          <w:rFonts w:ascii="Abadi" w:hAnsi="Abadi" w:cs="*Microsoft Sans Serif-10231-Ide"/>
          <w:color w:val="212121"/>
          <w:sz w:val="21"/>
          <w:szCs w:val="21"/>
        </w:rPr>
        <w:t xml:space="preserve"> La Secretaría:</w:t>
      </w:r>
    </w:p>
    <w:p w14:paraId="1F2E6B1C" w14:textId="77777777" w:rsidR="00366FFB" w:rsidRPr="00743CF7" w:rsidRDefault="00366FFB" w:rsidP="00366FFB">
      <w:pPr>
        <w:autoSpaceDE w:val="0"/>
        <w:autoSpaceDN w:val="0"/>
        <w:adjustRightInd w:val="0"/>
        <w:jc w:val="both"/>
        <w:rPr>
          <w:rFonts w:ascii="Abadi" w:hAnsi="Abadi" w:cs="*Microsoft Sans Serif-10231-Ide"/>
          <w:color w:val="272727"/>
          <w:sz w:val="21"/>
          <w:szCs w:val="21"/>
        </w:rPr>
      </w:pPr>
      <w:r w:rsidRPr="00743CF7">
        <w:rPr>
          <w:rFonts w:ascii="Abadi" w:hAnsi="Abadi" w:cs="*Calibri-Bold-10230-Identity-H"/>
          <w:b/>
          <w:bCs/>
          <w:color w:val="272727"/>
          <w:sz w:val="21"/>
          <w:szCs w:val="21"/>
        </w:rPr>
        <w:t xml:space="preserve">III. </w:t>
      </w:r>
      <w:r w:rsidRPr="00743CF7">
        <w:rPr>
          <w:rFonts w:ascii="Abadi" w:hAnsi="Abadi" w:cs="*Microsoft Sans Serif-10231-Ide"/>
          <w:color w:val="272727"/>
          <w:sz w:val="21"/>
          <w:szCs w:val="21"/>
        </w:rPr>
        <w:t>Los organismos descentralizados del sector educativo; y</w:t>
      </w:r>
    </w:p>
    <w:p w14:paraId="52CFC1A6" w14:textId="77777777" w:rsidR="00366FFB" w:rsidRPr="00743CF7" w:rsidRDefault="00366FFB" w:rsidP="00366FFB">
      <w:pPr>
        <w:autoSpaceDE w:val="0"/>
        <w:autoSpaceDN w:val="0"/>
        <w:adjustRightInd w:val="0"/>
        <w:jc w:val="both"/>
        <w:rPr>
          <w:rFonts w:ascii="Abadi" w:hAnsi="Abadi" w:cs="*Microsoft Sans Serif-10231-Ide"/>
          <w:color w:val="252525"/>
          <w:sz w:val="21"/>
          <w:szCs w:val="21"/>
        </w:rPr>
      </w:pPr>
      <w:r w:rsidRPr="00743CF7">
        <w:rPr>
          <w:rFonts w:ascii="Abadi" w:hAnsi="Abadi" w:cs="*Calibri-Bold-10230-Identity-H"/>
          <w:b/>
          <w:bCs/>
          <w:color w:val="252525"/>
          <w:sz w:val="21"/>
          <w:szCs w:val="21"/>
        </w:rPr>
        <w:t xml:space="preserve">IV. </w:t>
      </w:r>
      <w:r w:rsidRPr="00743CF7">
        <w:rPr>
          <w:rFonts w:ascii="Abadi" w:hAnsi="Abadi" w:cs="*Microsoft Sans Serif-10231-Ide"/>
          <w:color w:val="252525"/>
          <w:sz w:val="21"/>
          <w:szCs w:val="21"/>
        </w:rPr>
        <w:t>Los ayuntamientos.</w:t>
      </w:r>
    </w:p>
    <w:p w14:paraId="0744EB27" w14:textId="77777777" w:rsidR="00366FFB" w:rsidRPr="00743CF7" w:rsidRDefault="00366FFB" w:rsidP="00366FFB">
      <w:pPr>
        <w:autoSpaceDE w:val="0"/>
        <w:autoSpaceDN w:val="0"/>
        <w:adjustRightInd w:val="0"/>
        <w:jc w:val="both"/>
        <w:rPr>
          <w:rFonts w:ascii="Abadi" w:hAnsi="Abadi" w:cs="*Calibri-Bold-10230-Identity-H"/>
          <w:b/>
          <w:bCs/>
          <w:color w:val="0E0E0E"/>
          <w:sz w:val="21"/>
          <w:szCs w:val="21"/>
        </w:rPr>
      </w:pPr>
    </w:p>
    <w:p w14:paraId="79FDF594" w14:textId="77777777" w:rsidR="00366FFB" w:rsidRPr="00743CF7" w:rsidRDefault="00366FFB" w:rsidP="00366FFB">
      <w:pPr>
        <w:autoSpaceDE w:val="0"/>
        <w:autoSpaceDN w:val="0"/>
        <w:adjustRightInd w:val="0"/>
        <w:jc w:val="center"/>
        <w:rPr>
          <w:rFonts w:ascii="Abadi" w:hAnsi="Abadi" w:cs="*Calibri-Bold-10230-Identity-H"/>
          <w:b/>
          <w:bCs/>
          <w:color w:val="0E0E0E"/>
          <w:sz w:val="21"/>
          <w:szCs w:val="21"/>
        </w:rPr>
      </w:pPr>
      <w:r w:rsidRPr="00743CF7">
        <w:rPr>
          <w:rFonts w:ascii="Abadi" w:hAnsi="Abadi" w:cs="*Calibri-Bold-10230-Identity-H"/>
          <w:b/>
          <w:bCs/>
          <w:color w:val="0E0E0E"/>
          <w:sz w:val="21"/>
          <w:szCs w:val="21"/>
        </w:rPr>
        <w:t>Capítulo II</w:t>
      </w:r>
    </w:p>
    <w:p w14:paraId="1EC33ABC" w14:textId="77777777" w:rsidR="00366FFB" w:rsidRPr="00743CF7" w:rsidRDefault="00366FFB" w:rsidP="00366FFB">
      <w:pPr>
        <w:autoSpaceDE w:val="0"/>
        <w:autoSpaceDN w:val="0"/>
        <w:adjustRightInd w:val="0"/>
        <w:jc w:val="both"/>
        <w:rPr>
          <w:rFonts w:ascii="Abadi" w:hAnsi="Abadi" w:cs="*Calibri-Bold-10230-Identity-H"/>
          <w:b/>
          <w:bCs/>
          <w:color w:val="101010"/>
          <w:sz w:val="21"/>
          <w:szCs w:val="21"/>
        </w:rPr>
      </w:pPr>
    </w:p>
    <w:p w14:paraId="42B0FD76" w14:textId="77777777" w:rsidR="00366FFB" w:rsidRPr="00743CF7" w:rsidRDefault="00366FFB" w:rsidP="00366FFB">
      <w:pPr>
        <w:autoSpaceDE w:val="0"/>
        <w:autoSpaceDN w:val="0"/>
        <w:adjustRightInd w:val="0"/>
        <w:jc w:val="center"/>
        <w:rPr>
          <w:rFonts w:ascii="Abadi" w:hAnsi="Abadi" w:cs="*Calibri-Bold-10230-Identity-H"/>
          <w:b/>
          <w:bCs/>
          <w:color w:val="101010"/>
          <w:sz w:val="21"/>
          <w:szCs w:val="21"/>
        </w:rPr>
      </w:pPr>
      <w:r w:rsidRPr="00743CF7">
        <w:rPr>
          <w:rFonts w:ascii="Abadi" w:hAnsi="Abadi" w:cs="*Calibri-Bold-10230-Identity-H"/>
          <w:b/>
          <w:bCs/>
          <w:color w:val="101010"/>
          <w:sz w:val="21"/>
          <w:szCs w:val="21"/>
        </w:rPr>
        <w:t>Atribuciones de las Autoridades Educativas</w:t>
      </w:r>
    </w:p>
    <w:p w14:paraId="1AF8766E" w14:textId="77777777" w:rsidR="00366FFB" w:rsidRDefault="00366FFB" w:rsidP="00366FFB">
      <w:pPr>
        <w:autoSpaceDE w:val="0"/>
        <w:autoSpaceDN w:val="0"/>
        <w:adjustRightInd w:val="0"/>
        <w:jc w:val="center"/>
        <w:rPr>
          <w:rFonts w:ascii="Abadi" w:hAnsi="Abadi" w:cs="*Microsoft Sans Serif-BoldItali"/>
          <w:b/>
          <w:bCs/>
          <w:i/>
          <w:iCs/>
          <w:color w:val="0F0F0F"/>
          <w:sz w:val="21"/>
          <w:szCs w:val="21"/>
        </w:rPr>
      </w:pPr>
    </w:p>
    <w:p w14:paraId="48E41647" w14:textId="77777777" w:rsidR="00366FFB" w:rsidRPr="00743CF7" w:rsidRDefault="00366FFB" w:rsidP="00366FFB">
      <w:pPr>
        <w:autoSpaceDE w:val="0"/>
        <w:autoSpaceDN w:val="0"/>
        <w:adjustRightInd w:val="0"/>
        <w:jc w:val="right"/>
        <w:rPr>
          <w:rFonts w:ascii="Abadi" w:hAnsi="Abadi" w:cs="*Microsoft Sans Serif-BoldItali"/>
          <w:b/>
          <w:bCs/>
          <w:i/>
          <w:iCs/>
          <w:color w:val="0F0F0F"/>
          <w:sz w:val="21"/>
          <w:szCs w:val="21"/>
        </w:rPr>
      </w:pPr>
      <w:r w:rsidRPr="00743CF7">
        <w:rPr>
          <w:rFonts w:ascii="Abadi" w:hAnsi="Abadi" w:cs="*Microsoft Sans Serif-BoldItali"/>
          <w:b/>
          <w:bCs/>
          <w:i/>
          <w:iCs/>
          <w:color w:val="0F0F0F"/>
          <w:sz w:val="21"/>
          <w:szCs w:val="21"/>
        </w:rPr>
        <w:t>Atribuciones del Ejecutivo Estatal</w:t>
      </w:r>
    </w:p>
    <w:p w14:paraId="71378419" w14:textId="77777777" w:rsidR="00366FFB" w:rsidRPr="00743CF7" w:rsidRDefault="00366FFB" w:rsidP="00366FFB">
      <w:pPr>
        <w:autoSpaceDE w:val="0"/>
        <w:autoSpaceDN w:val="0"/>
        <w:adjustRightInd w:val="0"/>
        <w:jc w:val="both"/>
        <w:rPr>
          <w:rFonts w:ascii="Abadi" w:hAnsi="Abadi" w:cs="*Microsoft Sans Serif-10231-Ide"/>
          <w:color w:val="242424"/>
          <w:sz w:val="21"/>
          <w:szCs w:val="21"/>
        </w:rPr>
      </w:pPr>
      <w:r w:rsidRPr="00743CF7">
        <w:rPr>
          <w:rFonts w:ascii="Abadi" w:hAnsi="Abadi" w:cs="*Calibri-Bold-10230-Identity-H"/>
          <w:b/>
          <w:bCs/>
          <w:color w:val="242424"/>
          <w:sz w:val="21"/>
          <w:szCs w:val="21"/>
        </w:rPr>
        <w:t xml:space="preserve">Artículo 20. </w:t>
      </w:r>
      <w:r w:rsidRPr="00743CF7">
        <w:rPr>
          <w:rFonts w:ascii="Abadi" w:hAnsi="Abadi" w:cs="*Microsoft Sans Serif-10231-Ide"/>
          <w:color w:val="242424"/>
          <w:sz w:val="21"/>
          <w:szCs w:val="21"/>
        </w:rPr>
        <w:t>Corresponden al Ejecutivo Estatal, las atribuciones siguientes:</w:t>
      </w:r>
    </w:p>
    <w:p w14:paraId="79D398E8" w14:textId="77777777" w:rsidR="00366FFB" w:rsidRPr="00743CF7" w:rsidRDefault="00366FFB" w:rsidP="00366FFB">
      <w:pPr>
        <w:autoSpaceDE w:val="0"/>
        <w:autoSpaceDN w:val="0"/>
        <w:adjustRightInd w:val="0"/>
        <w:jc w:val="both"/>
        <w:rPr>
          <w:rFonts w:ascii="Abadi" w:hAnsi="Abadi" w:cs="*Microsoft Sans Serif-10231-Ide"/>
          <w:color w:val="242424"/>
          <w:sz w:val="21"/>
          <w:szCs w:val="21"/>
        </w:rPr>
      </w:pPr>
    </w:p>
    <w:p w14:paraId="459DF6CA" w14:textId="77777777" w:rsidR="00366FFB" w:rsidRPr="0089450A" w:rsidRDefault="00366FFB" w:rsidP="005C6EBB">
      <w:pPr>
        <w:pStyle w:val="Prrafodelista"/>
        <w:numPr>
          <w:ilvl w:val="0"/>
          <w:numId w:val="16"/>
        </w:numPr>
        <w:autoSpaceDE w:val="0"/>
        <w:autoSpaceDN w:val="0"/>
        <w:adjustRightInd w:val="0"/>
        <w:contextualSpacing/>
        <w:jc w:val="both"/>
        <w:rPr>
          <w:rFonts w:ascii="Abadi" w:hAnsi="Abadi" w:cs="*Microsoft Sans Serif-10231-Ide"/>
          <w:color w:val="2A2A2A"/>
          <w:sz w:val="21"/>
          <w:szCs w:val="21"/>
        </w:rPr>
      </w:pPr>
      <w:r w:rsidRPr="0089450A">
        <w:rPr>
          <w:rFonts w:ascii="Abadi" w:hAnsi="Abadi" w:cs="*Microsoft Sans Serif-10231-Ide"/>
          <w:color w:val="2A2A2A"/>
          <w:sz w:val="21"/>
          <w:szCs w:val="21"/>
        </w:rPr>
        <w:t xml:space="preserve">Garantizar el servicio público de educación superior, atendiendo a las necesidades y características de ese tipo de educación, conforme a los principios, fines y criterios establecidos en el artículo 3o. de la Constitución Política de los Estados Unidos Mexicanos, los Trotados Internacionales en los que el Estado Mexicano sea parte, el artículo 3o. de la Constitución Política del Estado de Guanajuato, la Ley General de Educación Superior, la Ley de Educación para el Estado de Guanajuato, la presente Ley </w:t>
      </w:r>
      <w:r w:rsidRPr="0089450A">
        <w:rPr>
          <w:rFonts w:ascii="Abadi" w:hAnsi="Abadi" w:cs="*Times New Roman-Italic-10227-I"/>
          <w:i/>
          <w:iCs/>
          <w:color w:val="2A2A2A"/>
          <w:sz w:val="21"/>
          <w:szCs w:val="21"/>
        </w:rPr>
        <w:t xml:space="preserve">y </w:t>
      </w:r>
      <w:r w:rsidRPr="0089450A">
        <w:rPr>
          <w:rFonts w:ascii="Abadi" w:hAnsi="Abadi" w:cs="*Microsoft Sans Serif-10231-Ide"/>
          <w:color w:val="2A2A2A"/>
          <w:sz w:val="21"/>
          <w:szCs w:val="21"/>
        </w:rPr>
        <w:t xml:space="preserve">demás disposiciones normativas aplicables; </w:t>
      </w:r>
    </w:p>
    <w:p w14:paraId="58117C9F" w14:textId="77777777" w:rsidR="00366FFB" w:rsidRDefault="00366FFB" w:rsidP="00366FFB">
      <w:pPr>
        <w:autoSpaceDE w:val="0"/>
        <w:autoSpaceDN w:val="0"/>
        <w:adjustRightInd w:val="0"/>
        <w:jc w:val="both"/>
        <w:rPr>
          <w:rFonts w:ascii="Abadi" w:hAnsi="Abadi" w:cs="*Microsoft Sans Serif-10231-Ide"/>
          <w:color w:val="2A2A2A"/>
          <w:sz w:val="21"/>
          <w:szCs w:val="21"/>
        </w:rPr>
      </w:pPr>
    </w:p>
    <w:p w14:paraId="31E6C66A" w14:textId="77777777" w:rsidR="00366FFB" w:rsidRPr="0089450A" w:rsidRDefault="00366FFB" w:rsidP="005C6EBB">
      <w:pPr>
        <w:pStyle w:val="Prrafodelista"/>
        <w:numPr>
          <w:ilvl w:val="0"/>
          <w:numId w:val="16"/>
        </w:numPr>
        <w:autoSpaceDE w:val="0"/>
        <w:autoSpaceDN w:val="0"/>
        <w:adjustRightInd w:val="0"/>
        <w:contextualSpacing/>
        <w:jc w:val="both"/>
        <w:rPr>
          <w:rFonts w:ascii="Abadi" w:hAnsi="Abadi" w:cs="*Microsoft Sans Serif-11342-Ide"/>
          <w:color w:val="292929"/>
          <w:sz w:val="21"/>
          <w:szCs w:val="21"/>
        </w:rPr>
      </w:pPr>
      <w:r w:rsidRPr="0089450A">
        <w:rPr>
          <w:rFonts w:ascii="Abadi" w:hAnsi="Abadi" w:cs="*Microsoft Sans Serif-11342-Ide"/>
          <w:color w:val="292929"/>
          <w:sz w:val="21"/>
          <w:szCs w:val="21"/>
        </w:rPr>
        <w:t>Diseñar e instrumentar programas para el desarrollo de la educación superior en el ámbito estatal. articulados con los instrumentos de planeación del desarrollo, procurando la participación social;</w:t>
      </w:r>
    </w:p>
    <w:p w14:paraId="7D56A480" w14:textId="77777777" w:rsidR="00366FFB" w:rsidRPr="00743CF7" w:rsidRDefault="00366FFB" w:rsidP="00366FFB">
      <w:pPr>
        <w:autoSpaceDE w:val="0"/>
        <w:autoSpaceDN w:val="0"/>
        <w:adjustRightInd w:val="0"/>
        <w:jc w:val="both"/>
        <w:rPr>
          <w:rFonts w:ascii="Abadi" w:hAnsi="Abadi" w:cs="*Microsoft Sans Serif-11342-Ide"/>
          <w:color w:val="292929"/>
          <w:sz w:val="21"/>
          <w:szCs w:val="21"/>
        </w:rPr>
      </w:pPr>
    </w:p>
    <w:p w14:paraId="7FF1B416" w14:textId="77777777" w:rsidR="00366FFB" w:rsidRPr="0089450A" w:rsidRDefault="00366FFB" w:rsidP="005C6EBB">
      <w:pPr>
        <w:pStyle w:val="Prrafodelista"/>
        <w:numPr>
          <w:ilvl w:val="0"/>
          <w:numId w:val="16"/>
        </w:numPr>
        <w:autoSpaceDE w:val="0"/>
        <w:autoSpaceDN w:val="0"/>
        <w:adjustRightInd w:val="0"/>
        <w:contextualSpacing/>
        <w:jc w:val="both"/>
        <w:rPr>
          <w:rFonts w:ascii="Abadi" w:hAnsi="Abadi" w:cs="*Microsoft Sans Serif-11342-Ide"/>
          <w:color w:val="2B2B2B"/>
          <w:sz w:val="21"/>
          <w:szCs w:val="21"/>
        </w:rPr>
      </w:pPr>
      <w:r w:rsidRPr="0089450A">
        <w:rPr>
          <w:rFonts w:ascii="Abadi" w:hAnsi="Abadi" w:cs="*Microsoft Sans Serif-11342-Ide"/>
          <w:color w:val="2B2B2B"/>
          <w:sz w:val="21"/>
          <w:szCs w:val="21"/>
        </w:rPr>
        <w:t>Promover, por conducto de la Secretaría, autoridades educativas y organismos descentralizados competentes, la investigación y el desarrollo de la ciencia, la tecnología y la innovación, fomentando su enseñanza, su expansión y divulgación en acceso abierto. en los términos de la presente Ley y de las demás disposiciones aplicables:</w:t>
      </w:r>
    </w:p>
    <w:p w14:paraId="7696BE47" w14:textId="77777777" w:rsidR="00366FFB" w:rsidRPr="00743CF7" w:rsidRDefault="00366FFB" w:rsidP="00366FFB">
      <w:pPr>
        <w:autoSpaceDE w:val="0"/>
        <w:autoSpaceDN w:val="0"/>
        <w:adjustRightInd w:val="0"/>
        <w:jc w:val="both"/>
        <w:rPr>
          <w:rFonts w:ascii="Abadi" w:hAnsi="Abadi" w:cs="*Microsoft Sans Serif-11342-Ide"/>
          <w:color w:val="2B2B2B"/>
          <w:sz w:val="21"/>
          <w:szCs w:val="21"/>
        </w:rPr>
      </w:pPr>
    </w:p>
    <w:p w14:paraId="100EA79A" w14:textId="77777777" w:rsidR="00366FFB" w:rsidRPr="0089450A" w:rsidRDefault="00366FFB" w:rsidP="005C6EBB">
      <w:pPr>
        <w:pStyle w:val="Prrafodelista"/>
        <w:numPr>
          <w:ilvl w:val="0"/>
          <w:numId w:val="16"/>
        </w:numPr>
        <w:autoSpaceDE w:val="0"/>
        <w:autoSpaceDN w:val="0"/>
        <w:adjustRightInd w:val="0"/>
        <w:contextualSpacing/>
        <w:jc w:val="both"/>
        <w:rPr>
          <w:rFonts w:ascii="Abadi" w:hAnsi="Abadi" w:cs="*Microsoft Sans Serif-11342-Ide"/>
          <w:color w:val="292929"/>
          <w:sz w:val="21"/>
          <w:szCs w:val="21"/>
        </w:rPr>
      </w:pPr>
      <w:r w:rsidRPr="0089450A">
        <w:rPr>
          <w:rFonts w:ascii="Abadi" w:hAnsi="Abadi" w:cs="*Microsoft Sans Serif-11342-Ide"/>
          <w:color w:val="292929"/>
          <w:sz w:val="21"/>
          <w:szCs w:val="21"/>
        </w:rPr>
        <w:t>Promover la mejora continua y la excelencia académica de las funciones, programas y servicios de educación superior, con lo participación de los componentes que integran el Sistema Nacional de Educación Superior;</w:t>
      </w:r>
    </w:p>
    <w:p w14:paraId="1D407186" w14:textId="77777777" w:rsidR="00366FFB" w:rsidRPr="00743CF7" w:rsidRDefault="00366FFB" w:rsidP="00366FFB">
      <w:pPr>
        <w:autoSpaceDE w:val="0"/>
        <w:autoSpaceDN w:val="0"/>
        <w:adjustRightInd w:val="0"/>
        <w:jc w:val="both"/>
        <w:rPr>
          <w:rFonts w:ascii="Abadi" w:hAnsi="Abadi" w:cs="*Microsoft Sans Serif-11342-Ide"/>
          <w:color w:val="292929"/>
          <w:sz w:val="21"/>
          <w:szCs w:val="21"/>
        </w:rPr>
      </w:pPr>
    </w:p>
    <w:p w14:paraId="4C4FEC75" w14:textId="77777777" w:rsidR="00366FFB" w:rsidRDefault="00366FFB" w:rsidP="005C6EBB">
      <w:pPr>
        <w:pStyle w:val="Prrafodelista"/>
        <w:numPr>
          <w:ilvl w:val="0"/>
          <w:numId w:val="16"/>
        </w:numPr>
        <w:autoSpaceDE w:val="0"/>
        <w:autoSpaceDN w:val="0"/>
        <w:adjustRightInd w:val="0"/>
        <w:contextualSpacing/>
        <w:jc w:val="both"/>
        <w:rPr>
          <w:rFonts w:ascii="Abadi" w:hAnsi="Abadi" w:cs="*Calibri-11338-Identity-H"/>
          <w:color w:val="2A2A2A"/>
          <w:sz w:val="21"/>
          <w:szCs w:val="21"/>
        </w:rPr>
      </w:pPr>
      <w:r w:rsidRPr="006D0A55">
        <w:rPr>
          <w:rFonts w:ascii="Abadi" w:hAnsi="Abadi" w:cs="*Microsoft Sans Serif-11342-Ide"/>
          <w:color w:val="2A2A2A"/>
          <w:sz w:val="21"/>
          <w:szCs w:val="21"/>
        </w:rPr>
        <w:t xml:space="preserve">Promover, en términos de las disposiciones jurídicas aplicables, la asignación de recursos a las instituciones públicas de educación superior: </w:t>
      </w:r>
      <w:r>
        <w:rPr>
          <w:rFonts w:ascii="Abadi" w:hAnsi="Abadi" w:cs="*Calibri-11338-Identity-H"/>
          <w:color w:val="2A2A2A"/>
          <w:sz w:val="21"/>
          <w:szCs w:val="21"/>
        </w:rPr>
        <w:t>y</w:t>
      </w:r>
    </w:p>
    <w:p w14:paraId="312F28FC" w14:textId="77777777" w:rsidR="00366FFB" w:rsidRPr="006D0A55" w:rsidRDefault="00366FFB" w:rsidP="00366FFB">
      <w:pPr>
        <w:pStyle w:val="Prrafodelista"/>
        <w:rPr>
          <w:rFonts w:ascii="Abadi" w:hAnsi="Abadi" w:cs="*Calibri-11338-Identity-H"/>
          <w:color w:val="2A2A2A"/>
          <w:sz w:val="21"/>
          <w:szCs w:val="21"/>
        </w:rPr>
      </w:pPr>
    </w:p>
    <w:p w14:paraId="79441546" w14:textId="77777777" w:rsidR="00366FFB" w:rsidRPr="006D0A55" w:rsidRDefault="00366FFB" w:rsidP="00366FFB">
      <w:pPr>
        <w:pStyle w:val="Prrafodelista"/>
        <w:autoSpaceDE w:val="0"/>
        <w:autoSpaceDN w:val="0"/>
        <w:adjustRightInd w:val="0"/>
        <w:ind w:left="720"/>
        <w:jc w:val="both"/>
        <w:rPr>
          <w:rFonts w:ascii="Abadi" w:hAnsi="Abadi" w:cs="*Calibri-11338-Identity-H"/>
          <w:color w:val="2A2A2A"/>
          <w:sz w:val="21"/>
          <w:szCs w:val="21"/>
        </w:rPr>
      </w:pPr>
    </w:p>
    <w:p w14:paraId="43F11471" w14:textId="77777777" w:rsidR="00366FFB" w:rsidRPr="0089450A" w:rsidRDefault="00366FFB" w:rsidP="005C6EBB">
      <w:pPr>
        <w:pStyle w:val="Prrafodelista"/>
        <w:numPr>
          <w:ilvl w:val="0"/>
          <w:numId w:val="16"/>
        </w:numPr>
        <w:autoSpaceDE w:val="0"/>
        <w:autoSpaceDN w:val="0"/>
        <w:adjustRightInd w:val="0"/>
        <w:contextualSpacing/>
        <w:jc w:val="both"/>
        <w:rPr>
          <w:rFonts w:ascii="Abadi" w:hAnsi="Abadi" w:cs="*Microsoft Sans Serif-11342-Ide"/>
          <w:color w:val="272727"/>
          <w:sz w:val="21"/>
          <w:szCs w:val="21"/>
        </w:rPr>
      </w:pPr>
      <w:r w:rsidRPr="0089450A">
        <w:rPr>
          <w:rFonts w:ascii="Abadi" w:hAnsi="Abadi" w:cs="*Microsoft Sans Serif-11342-Ide"/>
          <w:color w:val="272727"/>
          <w:sz w:val="21"/>
          <w:szCs w:val="21"/>
        </w:rPr>
        <w:t>Elaborar un informe anual sobre el estado que guarda la educación superior en el Estado, el cual deberá incluir un enfoque de mejora continua. la definición de áreas estratégicas y programas prioritarios</w:t>
      </w:r>
      <w:r w:rsidRPr="0089450A">
        <w:rPr>
          <w:rFonts w:ascii="Abadi" w:hAnsi="Abadi" w:cs="*Microsoft Sans Serif-11343-Ide"/>
          <w:color w:val="272727"/>
          <w:sz w:val="21"/>
          <w:szCs w:val="21"/>
        </w:rPr>
        <w:t xml:space="preserve"> </w:t>
      </w:r>
      <w:r w:rsidRPr="0089450A">
        <w:rPr>
          <w:rFonts w:ascii="Abadi" w:hAnsi="Abadi" w:cs="*Microsoft Sans Serif-11342-Ide"/>
          <w:color w:val="272727"/>
          <w:sz w:val="21"/>
          <w:szCs w:val="21"/>
        </w:rPr>
        <w:t>así como la información contable, presupuestaria y programática del sector. El informe será remitido al Congreso de la Unión, al Congreso del Estado y al Consejo Nacional para la Coordinación de la Educación Superior.</w:t>
      </w:r>
    </w:p>
    <w:p w14:paraId="12AA1031" w14:textId="77777777" w:rsidR="00366FFB" w:rsidRDefault="00366FFB" w:rsidP="00366FFB">
      <w:pPr>
        <w:autoSpaceDE w:val="0"/>
        <w:autoSpaceDN w:val="0"/>
        <w:adjustRightInd w:val="0"/>
        <w:jc w:val="both"/>
        <w:rPr>
          <w:rFonts w:ascii="Abadi" w:hAnsi="Abadi" w:cs="*Comic Sans MS-BoldItalic-11341"/>
          <w:b/>
          <w:bCs/>
          <w:i/>
          <w:iCs/>
          <w:color w:val="111111"/>
          <w:sz w:val="21"/>
          <w:szCs w:val="21"/>
        </w:rPr>
      </w:pPr>
    </w:p>
    <w:p w14:paraId="213BD2D0" w14:textId="77777777" w:rsidR="00366FFB" w:rsidRPr="00743CF7" w:rsidRDefault="00366FFB" w:rsidP="00366FFB">
      <w:pPr>
        <w:autoSpaceDE w:val="0"/>
        <w:autoSpaceDN w:val="0"/>
        <w:adjustRightInd w:val="0"/>
        <w:jc w:val="right"/>
        <w:rPr>
          <w:rFonts w:ascii="Abadi" w:hAnsi="Abadi" w:cs="*Comic Sans MS-BoldItalic-11341"/>
          <w:b/>
          <w:bCs/>
          <w:i/>
          <w:iCs/>
          <w:color w:val="111111"/>
          <w:sz w:val="21"/>
          <w:szCs w:val="21"/>
        </w:rPr>
      </w:pPr>
      <w:r w:rsidRPr="00743CF7">
        <w:rPr>
          <w:rFonts w:ascii="Abadi" w:hAnsi="Abadi" w:cs="*Comic Sans MS-BoldItalic-11341"/>
          <w:b/>
          <w:bCs/>
          <w:i/>
          <w:iCs/>
          <w:color w:val="111111"/>
          <w:sz w:val="21"/>
          <w:szCs w:val="21"/>
        </w:rPr>
        <w:t>Atribuciones de la Secretaría</w:t>
      </w:r>
    </w:p>
    <w:p w14:paraId="0F133315" w14:textId="03314B61" w:rsidR="00366FFB" w:rsidRDefault="00366FFB" w:rsidP="00366FFB">
      <w:pPr>
        <w:autoSpaceDE w:val="0"/>
        <w:autoSpaceDN w:val="0"/>
        <w:adjustRightInd w:val="0"/>
        <w:jc w:val="both"/>
        <w:rPr>
          <w:rFonts w:ascii="Abadi" w:hAnsi="Abadi" w:cs="*Microsoft Sans Serif-11342-Ide"/>
          <w:color w:val="242424"/>
          <w:sz w:val="21"/>
          <w:szCs w:val="21"/>
        </w:rPr>
      </w:pPr>
      <w:r w:rsidRPr="00743CF7">
        <w:rPr>
          <w:rFonts w:ascii="Abadi" w:hAnsi="Abadi" w:cs="*Arial-Bold-11340-Identity-H"/>
          <w:b/>
          <w:bCs/>
          <w:color w:val="242424"/>
          <w:sz w:val="21"/>
          <w:szCs w:val="21"/>
        </w:rPr>
        <w:t xml:space="preserve">Artículo 21. </w:t>
      </w:r>
      <w:r w:rsidRPr="00743CF7">
        <w:rPr>
          <w:rFonts w:ascii="Abadi" w:hAnsi="Abadi" w:cs="*Microsoft Sans Serif-11342-Ide"/>
          <w:color w:val="242424"/>
          <w:sz w:val="21"/>
          <w:szCs w:val="21"/>
        </w:rPr>
        <w:t xml:space="preserve">Corresponden a la Secretaría. </w:t>
      </w:r>
      <w:r w:rsidR="00686E37" w:rsidRPr="00743CF7">
        <w:rPr>
          <w:rFonts w:ascii="Abadi" w:hAnsi="Abadi" w:cs="*Microsoft Sans Serif-11342-Ide"/>
          <w:color w:val="242424"/>
          <w:sz w:val="21"/>
          <w:szCs w:val="21"/>
        </w:rPr>
        <w:t>las atribuciones siguientes</w:t>
      </w:r>
      <w:r w:rsidRPr="00743CF7">
        <w:rPr>
          <w:rFonts w:ascii="Abadi" w:hAnsi="Abadi" w:cs="*Microsoft Sans Serif-11342-Ide"/>
          <w:color w:val="242424"/>
          <w:sz w:val="21"/>
          <w:szCs w:val="21"/>
        </w:rPr>
        <w:t>:</w:t>
      </w:r>
    </w:p>
    <w:p w14:paraId="6E9B64F9" w14:textId="77777777" w:rsidR="00366FFB" w:rsidRPr="00743CF7" w:rsidRDefault="00366FFB" w:rsidP="00366FFB">
      <w:pPr>
        <w:autoSpaceDE w:val="0"/>
        <w:autoSpaceDN w:val="0"/>
        <w:adjustRightInd w:val="0"/>
        <w:jc w:val="both"/>
        <w:rPr>
          <w:rFonts w:ascii="Abadi" w:hAnsi="Abadi" w:cs="*Microsoft Sans Serif-11342-Ide"/>
          <w:color w:val="242424"/>
          <w:sz w:val="21"/>
          <w:szCs w:val="21"/>
        </w:rPr>
      </w:pPr>
    </w:p>
    <w:p w14:paraId="5A7D9513" w14:textId="15258010" w:rsidR="00366FFB" w:rsidRDefault="00366FFB" w:rsidP="005C6EBB">
      <w:pPr>
        <w:pStyle w:val="Prrafodelista"/>
        <w:numPr>
          <w:ilvl w:val="0"/>
          <w:numId w:val="17"/>
        </w:numPr>
        <w:autoSpaceDE w:val="0"/>
        <w:autoSpaceDN w:val="0"/>
        <w:adjustRightInd w:val="0"/>
        <w:contextualSpacing/>
        <w:jc w:val="both"/>
        <w:rPr>
          <w:rFonts w:ascii="Abadi" w:hAnsi="Abadi" w:cs="*Microsoft Sans Serif-12540-Ide"/>
          <w:color w:val="2A2A2A"/>
          <w:sz w:val="21"/>
          <w:szCs w:val="21"/>
        </w:rPr>
      </w:pPr>
      <w:r w:rsidRPr="00282F3E">
        <w:rPr>
          <w:rFonts w:ascii="Abadi" w:hAnsi="Abadi" w:cs="*Microsoft Sans Serif-11342-Ide"/>
          <w:color w:val="2A2A2A"/>
          <w:sz w:val="21"/>
          <w:szCs w:val="21"/>
        </w:rPr>
        <w:t xml:space="preserve">Coordinar el Sistema Estatal de Educación Superior, de acuerdo con la normatividad del Estado en materia educativa </w:t>
      </w:r>
      <w:r w:rsidRPr="00282F3E">
        <w:rPr>
          <w:rFonts w:ascii="Abadi" w:hAnsi="Abadi" w:cs="*Microsoft Sans Serif-11343-Ide"/>
          <w:color w:val="2A2A2A"/>
          <w:sz w:val="21"/>
          <w:szCs w:val="21"/>
        </w:rPr>
        <w:t>y</w:t>
      </w:r>
      <w:r w:rsidRPr="00282F3E">
        <w:rPr>
          <w:rFonts w:ascii="Abadi" w:hAnsi="Abadi" w:cs="*Microsoft Sans Serif-11342-Ide"/>
          <w:color w:val="2A2A2A"/>
          <w:sz w:val="21"/>
          <w:szCs w:val="21"/>
        </w:rPr>
        <w:t xml:space="preserve"> las disposiciones de lo </w:t>
      </w:r>
      <w:r w:rsidRPr="00282F3E">
        <w:rPr>
          <w:rFonts w:ascii="Abadi" w:hAnsi="Abadi" w:cs="*Microsoft Sans Serif-12540-Ide"/>
          <w:color w:val="2A2A2A"/>
          <w:sz w:val="21"/>
          <w:szCs w:val="21"/>
        </w:rPr>
        <w:t xml:space="preserve">presente Ley, con respeto a lo autonomía universitaria y la diversidad de las instituciones de educación superior; </w:t>
      </w:r>
    </w:p>
    <w:p w14:paraId="5AAEA5A7"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2540-Ide"/>
          <w:color w:val="2A2A2A"/>
          <w:sz w:val="21"/>
          <w:szCs w:val="21"/>
        </w:rPr>
      </w:pPr>
    </w:p>
    <w:p w14:paraId="1ECCD40B" w14:textId="7915DF37" w:rsidR="00366FFB" w:rsidRDefault="00366FFB" w:rsidP="005C6EBB">
      <w:pPr>
        <w:pStyle w:val="Prrafodelista"/>
        <w:numPr>
          <w:ilvl w:val="0"/>
          <w:numId w:val="17"/>
        </w:numPr>
        <w:autoSpaceDE w:val="0"/>
        <w:autoSpaceDN w:val="0"/>
        <w:adjustRightInd w:val="0"/>
        <w:contextualSpacing/>
        <w:jc w:val="both"/>
        <w:rPr>
          <w:rFonts w:ascii="Abadi" w:hAnsi="Abadi" w:cs="*Microsoft Sans Serif-12540-Ide"/>
          <w:color w:val="2A2A2A"/>
          <w:sz w:val="21"/>
          <w:szCs w:val="21"/>
        </w:rPr>
      </w:pPr>
      <w:r w:rsidRPr="00282F3E">
        <w:rPr>
          <w:rFonts w:ascii="Abadi" w:hAnsi="Abadi" w:cs="*Microsoft Sans Serif-12540-Ide"/>
          <w:color w:val="2A2A2A"/>
          <w:sz w:val="21"/>
          <w:szCs w:val="21"/>
        </w:rPr>
        <w:t>Proponer esquemas de prácticas profesionales para estudiantes de educación superior, que vinculen a los sectores educativo y productivo:</w:t>
      </w:r>
    </w:p>
    <w:p w14:paraId="31F6B803" w14:textId="77777777" w:rsidR="00686E37" w:rsidRPr="00686E37" w:rsidRDefault="00686E37" w:rsidP="00686E37">
      <w:pPr>
        <w:pStyle w:val="Prrafodelista"/>
        <w:rPr>
          <w:rFonts w:ascii="Abadi" w:hAnsi="Abadi" w:cs="*Microsoft Sans Serif-12540-Ide"/>
          <w:color w:val="2A2A2A"/>
          <w:sz w:val="21"/>
          <w:szCs w:val="21"/>
        </w:rPr>
      </w:pPr>
    </w:p>
    <w:p w14:paraId="5721423B"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2540-Ide"/>
          <w:color w:val="2A2A2A"/>
          <w:sz w:val="21"/>
          <w:szCs w:val="21"/>
        </w:rPr>
      </w:pPr>
    </w:p>
    <w:p w14:paraId="32EF712E" w14:textId="77383C56" w:rsidR="00366FFB" w:rsidRDefault="00366FFB" w:rsidP="005C6EBB">
      <w:pPr>
        <w:pStyle w:val="Prrafodelista"/>
        <w:numPr>
          <w:ilvl w:val="0"/>
          <w:numId w:val="17"/>
        </w:numPr>
        <w:autoSpaceDE w:val="0"/>
        <w:autoSpaceDN w:val="0"/>
        <w:adjustRightInd w:val="0"/>
        <w:contextualSpacing/>
        <w:jc w:val="both"/>
        <w:rPr>
          <w:rFonts w:ascii="Abadi" w:hAnsi="Abadi" w:cs="*Microsoft Sans Serif-12540-Ide"/>
          <w:color w:val="282828"/>
          <w:sz w:val="21"/>
          <w:szCs w:val="21"/>
        </w:rPr>
      </w:pPr>
      <w:r w:rsidRPr="008634E2">
        <w:rPr>
          <w:rFonts w:ascii="Abadi" w:hAnsi="Abadi" w:cs="*Microsoft Sans Serif-12540-Ide"/>
          <w:color w:val="282828"/>
          <w:sz w:val="21"/>
          <w:szCs w:val="21"/>
        </w:rPr>
        <w:t xml:space="preserve">Vincular lo planeación de Id educación superior con los objetivos, lineamientos </w:t>
      </w:r>
      <w:r w:rsidRPr="008634E2">
        <w:rPr>
          <w:rFonts w:ascii="Abadi" w:hAnsi="Abadi" w:cs="*Times New Roman-Italic-12536-I"/>
          <w:i/>
          <w:iCs/>
          <w:color w:val="282828"/>
          <w:sz w:val="21"/>
          <w:szCs w:val="21"/>
        </w:rPr>
        <w:t xml:space="preserve">y </w:t>
      </w:r>
      <w:r w:rsidRPr="008634E2">
        <w:rPr>
          <w:rFonts w:ascii="Abadi" w:hAnsi="Abadi" w:cs="*Microsoft Sans Serif-12540-Ide"/>
          <w:color w:val="282828"/>
          <w:sz w:val="21"/>
          <w:szCs w:val="21"/>
        </w:rPr>
        <w:t>prioridades del Plan Nacional de Desarrollo, del Pion Estatal de Desarrollo, el Programa de Gobierno, del Programa Sectorial de Educación, del Programa Nacional de Educación Superior y del Programa Estatal de Educación Superior;</w:t>
      </w:r>
    </w:p>
    <w:p w14:paraId="436FA913" w14:textId="77777777" w:rsidR="00686E37" w:rsidRPr="008634E2" w:rsidRDefault="00686E37" w:rsidP="00686E37">
      <w:pPr>
        <w:pStyle w:val="Prrafodelista"/>
        <w:autoSpaceDE w:val="0"/>
        <w:autoSpaceDN w:val="0"/>
        <w:adjustRightInd w:val="0"/>
        <w:ind w:left="720"/>
        <w:contextualSpacing/>
        <w:jc w:val="both"/>
        <w:rPr>
          <w:rFonts w:ascii="Abadi" w:hAnsi="Abadi" w:cs="*Microsoft Sans Serif-12540-Ide"/>
          <w:color w:val="282828"/>
          <w:sz w:val="21"/>
          <w:szCs w:val="21"/>
        </w:rPr>
      </w:pPr>
    </w:p>
    <w:p w14:paraId="26D5BA9E" w14:textId="2DB6253B" w:rsidR="00366FFB" w:rsidRPr="00686E37" w:rsidRDefault="00366FFB" w:rsidP="005C6EBB">
      <w:pPr>
        <w:pStyle w:val="Prrafodelista"/>
        <w:numPr>
          <w:ilvl w:val="0"/>
          <w:numId w:val="17"/>
        </w:numPr>
        <w:autoSpaceDE w:val="0"/>
        <w:autoSpaceDN w:val="0"/>
        <w:adjustRightInd w:val="0"/>
        <w:contextualSpacing/>
        <w:jc w:val="both"/>
        <w:rPr>
          <w:rFonts w:ascii="Abadi" w:hAnsi="Abadi" w:cs="*Microsoft Sans Serif-12540-Ide"/>
          <w:color w:val="282828"/>
          <w:sz w:val="21"/>
          <w:szCs w:val="21"/>
        </w:rPr>
      </w:pPr>
      <w:r w:rsidRPr="00282F3E">
        <w:rPr>
          <w:rFonts w:ascii="Abadi" w:hAnsi="Abadi" w:cs="*Microsoft Sans Serif-12540-Ide"/>
          <w:color w:val="2B2B2B"/>
          <w:sz w:val="21"/>
          <w:szCs w:val="21"/>
        </w:rPr>
        <w:t xml:space="preserve">Establecer mecanismos de colaboración, coordinación y vinculación, entre los subsistemas e instituciones de educación superior del estado; </w:t>
      </w:r>
    </w:p>
    <w:p w14:paraId="1F98EB60" w14:textId="77777777" w:rsidR="00686E37" w:rsidRPr="00686E37" w:rsidRDefault="00686E37" w:rsidP="00686E37">
      <w:pPr>
        <w:pStyle w:val="Prrafodelista"/>
        <w:rPr>
          <w:rFonts w:ascii="Abadi" w:hAnsi="Abadi" w:cs="*Microsoft Sans Serif-12540-Ide"/>
          <w:color w:val="282828"/>
          <w:sz w:val="21"/>
          <w:szCs w:val="21"/>
        </w:rPr>
      </w:pPr>
    </w:p>
    <w:p w14:paraId="3FBF0E6B" w14:textId="77777777" w:rsidR="00686E37" w:rsidRPr="00D863C7" w:rsidRDefault="00686E37" w:rsidP="00686E37">
      <w:pPr>
        <w:pStyle w:val="Prrafodelista"/>
        <w:autoSpaceDE w:val="0"/>
        <w:autoSpaceDN w:val="0"/>
        <w:adjustRightInd w:val="0"/>
        <w:ind w:left="720"/>
        <w:contextualSpacing/>
        <w:jc w:val="both"/>
        <w:rPr>
          <w:rFonts w:ascii="Abadi" w:hAnsi="Abadi" w:cs="*Microsoft Sans Serif-12540-Ide"/>
          <w:color w:val="282828"/>
          <w:sz w:val="21"/>
          <w:szCs w:val="21"/>
        </w:rPr>
      </w:pPr>
    </w:p>
    <w:p w14:paraId="70650F1F" w14:textId="35F79687" w:rsidR="00366FFB" w:rsidRDefault="00366FFB" w:rsidP="005C6EBB">
      <w:pPr>
        <w:pStyle w:val="Prrafodelista"/>
        <w:numPr>
          <w:ilvl w:val="0"/>
          <w:numId w:val="17"/>
        </w:numPr>
        <w:autoSpaceDE w:val="0"/>
        <w:autoSpaceDN w:val="0"/>
        <w:adjustRightInd w:val="0"/>
        <w:contextualSpacing/>
        <w:jc w:val="both"/>
        <w:rPr>
          <w:rFonts w:ascii="Abadi" w:hAnsi="Abadi" w:cs="*Microsoft Sans Serif-12540-Ide"/>
          <w:color w:val="282828"/>
          <w:sz w:val="21"/>
          <w:szCs w:val="21"/>
        </w:rPr>
      </w:pPr>
      <w:r w:rsidRPr="00282F3E">
        <w:rPr>
          <w:rFonts w:ascii="Abadi" w:hAnsi="Abadi" w:cs="*Microsoft Sans Serif-12540-Ide"/>
          <w:color w:val="282828"/>
          <w:sz w:val="21"/>
          <w:szCs w:val="21"/>
        </w:rPr>
        <w:t>Establecer el funcionamiento de la Comisión Estatal para la Planeación de la Educación Superior, previa consulta a las instituciones de educación superior integrantes;</w:t>
      </w:r>
    </w:p>
    <w:p w14:paraId="76568205"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2540-Ide"/>
          <w:color w:val="282828"/>
          <w:sz w:val="21"/>
          <w:szCs w:val="21"/>
        </w:rPr>
      </w:pPr>
    </w:p>
    <w:p w14:paraId="7001FC4A" w14:textId="6FC6F6DE" w:rsidR="00366FFB" w:rsidRDefault="00366FFB" w:rsidP="005C6EBB">
      <w:pPr>
        <w:pStyle w:val="Prrafodelista"/>
        <w:numPr>
          <w:ilvl w:val="0"/>
          <w:numId w:val="17"/>
        </w:numPr>
        <w:autoSpaceDE w:val="0"/>
        <w:autoSpaceDN w:val="0"/>
        <w:adjustRightInd w:val="0"/>
        <w:contextualSpacing/>
        <w:jc w:val="both"/>
        <w:rPr>
          <w:rFonts w:ascii="Abadi" w:hAnsi="Abadi" w:cs="*Microsoft Sans Serif-12540-Ide"/>
          <w:color w:val="282828"/>
          <w:sz w:val="21"/>
          <w:szCs w:val="21"/>
        </w:rPr>
      </w:pPr>
      <w:r w:rsidRPr="00282F3E">
        <w:rPr>
          <w:rFonts w:ascii="Abadi" w:hAnsi="Abadi" w:cs="*Microsoft Sans Serif-12540-Ide"/>
          <w:color w:val="282828"/>
          <w:sz w:val="21"/>
          <w:szCs w:val="21"/>
        </w:rPr>
        <w:t>Fungir como enloce del Estado con el Consejo Nacional para la Coordinación de la Educación Superior, para la planeación, evaluación y mejora continua de la educación superior;</w:t>
      </w:r>
    </w:p>
    <w:p w14:paraId="0AD50C57" w14:textId="77777777" w:rsidR="00686E37" w:rsidRPr="00686E37" w:rsidRDefault="00686E37" w:rsidP="00686E37">
      <w:pPr>
        <w:pStyle w:val="Prrafodelista"/>
        <w:rPr>
          <w:rFonts w:ascii="Abadi" w:hAnsi="Abadi" w:cs="*Microsoft Sans Serif-12540-Ide"/>
          <w:color w:val="282828"/>
          <w:sz w:val="21"/>
          <w:szCs w:val="21"/>
        </w:rPr>
      </w:pPr>
    </w:p>
    <w:p w14:paraId="3EF9A8FF"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2540-Ide"/>
          <w:color w:val="282828"/>
          <w:sz w:val="21"/>
          <w:szCs w:val="21"/>
        </w:rPr>
      </w:pPr>
    </w:p>
    <w:p w14:paraId="17388F9B" w14:textId="6AC5F323" w:rsidR="00366FFB" w:rsidRDefault="00366FFB" w:rsidP="005C6EBB">
      <w:pPr>
        <w:pStyle w:val="Prrafodelista"/>
        <w:numPr>
          <w:ilvl w:val="0"/>
          <w:numId w:val="17"/>
        </w:numPr>
        <w:autoSpaceDE w:val="0"/>
        <w:autoSpaceDN w:val="0"/>
        <w:adjustRightInd w:val="0"/>
        <w:contextualSpacing/>
        <w:jc w:val="both"/>
        <w:rPr>
          <w:rFonts w:ascii="Abadi" w:hAnsi="Abadi" w:cs="*Microsoft Sans Serif-12540-Ide"/>
          <w:color w:val="292929"/>
          <w:sz w:val="21"/>
          <w:szCs w:val="21"/>
        </w:rPr>
      </w:pPr>
      <w:r w:rsidRPr="00282F3E">
        <w:rPr>
          <w:rFonts w:ascii="Abadi" w:hAnsi="Abadi" w:cs="*Microsoft Sans Serif-12540-Ide"/>
          <w:color w:val="292929"/>
          <w:sz w:val="21"/>
          <w:szCs w:val="21"/>
        </w:rPr>
        <w:t>Promover programas poro el desarrollo de la educación superior en el ámbito estatal, articulados con los instrumentos de planeación de desarrollo, procurando la más amplia participación social;</w:t>
      </w:r>
    </w:p>
    <w:p w14:paraId="470D67DF"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2540-Ide"/>
          <w:color w:val="292929"/>
          <w:sz w:val="21"/>
          <w:szCs w:val="21"/>
        </w:rPr>
      </w:pPr>
    </w:p>
    <w:p w14:paraId="6FE9F65C" w14:textId="6856AE0D" w:rsidR="00366FFB" w:rsidRDefault="00366FFB" w:rsidP="005C6EBB">
      <w:pPr>
        <w:pStyle w:val="Prrafodelista"/>
        <w:numPr>
          <w:ilvl w:val="0"/>
          <w:numId w:val="17"/>
        </w:numPr>
        <w:autoSpaceDE w:val="0"/>
        <w:autoSpaceDN w:val="0"/>
        <w:adjustRightInd w:val="0"/>
        <w:contextualSpacing/>
        <w:jc w:val="both"/>
        <w:rPr>
          <w:rFonts w:ascii="Abadi" w:hAnsi="Abadi" w:cs="*Microsoft Sans Serif-12540-Ide"/>
          <w:color w:val="282828"/>
          <w:sz w:val="21"/>
          <w:szCs w:val="21"/>
        </w:rPr>
      </w:pPr>
      <w:r w:rsidRPr="00282F3E">
        <w:rPr>
          <w:rFonts w:ascii="Abadi" w:hAnsi="Abadi" w:cs="*Microsoft Sans Serif-12540-Ide"/>
          <w:color w:val="282828"/>
          <w:sz w:val="21"/>
          <w:szCs w:val="21"/>
        </w:rPr>
        <w:t xml:space="preserve">Proponer a la Autoridad Educativa Federal contenidos regionales para que, en su coso, sean incluidos en los planes </w:t>
      </w:r>
      <w:r w:rsidRPr="00282F3E">
        <w:rPr>
          <w:rFonts w:ascii="Abadi" w:hAnsi="Abadi" w:cs="*Times New Roman-Italic-12536-I"/>
          <w:i/>
          <w:iCs/>
          <w:color w:val="282828"/>
          <w:sz w:val="21"/>
          <w:szCs w:val="21"/>
        </w:rPr>
        <w:t xml:space="preserve">y </w:t>
      </w:r>
      <w:r w:rsidRPr="00282F3E">
        <w:rPr>
          <w:rFonts w:ascii="Abadi" w:hAnsi="Abadi" w:cs="*Microsoft Sans Serif-12540-Ide"/>
          <w:color w:val="282828"/>
          <w:sz w:val="21"/>
          <w:szCs w:val="21"/>
        </w:rPr>
        <w:t>programas de estudio de las escuelas normales y formadoras de docentes;</w:t>
      </w:r>
    </w:p>
    <w:p w14:paraId="60C4A3A9" w14:textId="77777777" w:rsidR="00686E37" w:rsidRPr="00686E37" w:rsidRDefault="00686E37" w:rsidP="00686E37">
      <w:pPr>
        <w:pStyle w:val="Prrafodelista"/>
        <w:rPr>
          <w:rFonts w:ascii="Abadi" w:hAnsi="Abadi" w:cs="*Microsoft Sans Serif-12540-Ide"/>
          <w:color w:val="282828"/>
          <w:sz w:val="21"/>
          <w:szCs w:val="21"/>
        </w:rPr>
      </w:pPr>
    </w:p>
    <w:p w14:paraId="606012F8"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2540-Ide"/>
          <w:color w:val="282828"/>
          <w:sz w:val="21"/>
          <w:szCs w:val="21"/>
        </w:rPr>
      </w:pPr>
    </w:p>
    <w:p w14:paraId="7D9D2B71" w14:textId="7FF7CC44" w:rsidR="00366FFB" w:rsidRDefault="00366FFB" w:rsidP="005C6EBB">
      <w:pPr>
        <w:pStyle w:val="Prrafodelista"/>
        <w:numPr>
          <w:ilvl w:val="0"/>
          <w:numId w:val="17"/>
        </w:numPr>
        <w:autoSpaceDE w:val="0"/>
        <w:autoSpaceDN w:val="0"/>
        <w:adjustRightInd w:val="0"/>
        <w:contextualSpacing/>
        <w:jc w:val="both"/>
        <w:rPr>
          <w:rFonts w:ascii="Abadi" w:hAnsi="Abadi" w:cs="*Microsoft Sans Serif-12540-Ide"/>
          <w:color w:val="292929"/>
          <w:sz w:val="21"/>
          <w:szCs w:val="21"/>
        </w:rPr>
      </w:pPr>
      <w:r w:rsidRPr="00282F3E">
        <w:rPr>
          <w:rFonts w:ascii="Abadi" w:hAnsi="Abadi" w:cs="*Microsoft Sans Serif-12540-Ide"/>
          <w:color w:val="292929"/>
          <w:sz w:val="21"/>
          <w:szCs w:val="21"/>
        </w:rPr>
        <w:t xml:space="preserve">Coordinar la elaboración del anteproyecto de presupuesto de egresos correspondiente a </w:t>
      </w:r>
      <w:r w:rsidR="00686E37" w:rsidRPr="00282F3E">
        <w:rPr>
          <w:rFonts w:ascii="Abadi" w:hAnsi="Abadi" w:cs="*Microsoft Sans Serif-12540-Ide"/>
          <w:color w:val="292929"/>
          <w:sz w:val="21"/>
          <w:szCs w:val="21"/>
        </w:rPr>
        <w:t>las instituciones</w:t>
      </w:r>
      <w:r w:rsidRPr="00282F3E">
        <w:rPr>
          <w:rFonts w:ascii="Abadi" w:hAnsi="Abadi" w:cs="*Microsoft Sans Serif-12540-Ide"/>
          <w:color w:val="292929"/>
          <w:sz w:val="21"/>
          <w:szCs w:val="21"/>
        </w:rPr>
        <w:t xml:space="preserve"> de educación superior sectorizados a la Secretaría de Educación. o través de los medios que la misma establezca;</w:t>
      </w:r>
    </w:p>
    <w:p w14:paraId="3EBF4E15"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2540-Ide"/>
          <w:color w:val="292929"/>
          <w:sz w:val="21"/>
          <w:szCs w:val="21"/>
        </w:rPr>
      </w:pPr>
    </w:p>
    <w:p w14:paraId="1198905B" w14:textId="77777777" w:rsidR="00366FFB" w:rsidRPr="00282F3E" w:rsidRDefault="00366FFB" w:rsidP="005C6EBB">
      <w:pPr>
        <w:pStyle w:val="Prrafodelista"/>
        <w:numPr>
          <w:ilvl w:val="0"/>
          <w:numId w:val="17"/>
        </w:numPr>
        <w:autoSpaceDE w:val="0"/>
        <w:autoSpaceDN w:val="0"/>
        <w:adjustRightInd w:val="0"/>
        <w:contextualSpacing/>
        <w:jc w:val="both"/>
        <w:rPr>
          <w:rFonts w:ascii="Abadi" w:hAnsi="Abadi" w:cs="*Calibri-11961-Identity-H"/>
          <w:color w:val="2A2A2A"/>
          <w:sz w:val="21"/>
          <w:szCs w:val="21"/>
        </w:rPr>
      </w:pPr>
      <w:r w:rsidRPr="00282F3E">
        <w:rPr>
          <w:rFonts w:ascii="Abadi" w:hAnsi="Abadi" w:cs="*Calibri-11961-Identity-H"/>
          <w:color w:val="2A2A2A"/>
          <w:sz w:val="21"/>
          <w:szCs w:val="21"/>
        </w:rPr>
        <w:t xml:space="preserve">Ministrar. en tiempo </w:t>
      </w:r>
      <w:r w:rsidRPr="00282F3E">
        <w:rPr>
          <w:rFonts w:ascii="Abadi" w:hAnsi="Abadi" w:cs="*Times New Roman-Italic-11957-I"/>
          <w:i/>
          <w:iCs/>
          <w:color w:val="2A2A2A"/>
          <w:sz w:val="21"/>
          <w:szCs w:val="21"/>
        </w:rPr>
        <w:t xml:space="preserve">y </w:t>
      </w:r>
      <w:r w:rsidRPr="00282F3E">
        <w:rPr>
          <w:rFonts w:ascii="Abadi" w:hAnsi="Abadi" w:cs="*Calibri-11961-Identity-H"/>
          <w:color w:val="2A2A2A"/>
          <w:sz w:val="21"/>
          <w:szCs w:val="21"/>
        </w:rPr>
        <w:t xml:space="preserve">formo, los recursos provenientes de la Federación para la educación superior, en aquellos casos que los reciba directamente; </w:t>
      </w:r>
    </w:p>
    <w:p w14:paraId="0262F7FB" w14:textId="5E91E34F" w:rsidR="00686E37" w:rsidRDefault="00366FFB" w:rsidP="005C6EBB">
      <w:pPr>
        <w:pStyle w:val="Prrafodelista"/>
        <w:numPr>
          <w:ilvl w:val="0"/>
          <w:numId w:val="17"/>
        </w:numPr>
        <w:autoSpaceDE w:val="0"/>
        <w:autoSpaceDN w:val="0"/>
        <w:adjustRightInd w:val="0"/>
        <w:contextualSpacing/>
        <w:jc w:val="both"/>
        <w:rPr>
          <w:rFonts w:ascii="Abadi" w:hAnsi="Abadi" w:cs="*Calibri-11961-Identity-H"/>
          <w:color w:val="282828"/>
          <w:sz w:val="21"/>
          <w:szCs w:val="21"/>
        </w:rPr>
      </w:pPr>
      <w:r w:rsidRPr="008634E2">
        <w:rPr>
          <w:rFonts w:ascii="Abadi" w:hAnsi="Abadi" w:cs="*Calibri-11961-Identity-H"/>
          <w:color w:val="282828"/>
          <w:sz w:val="21"/>
          <w:szCs w:val="21"/>
        </w:rPr>
        <w:t>Promover políticas de financiamiento para el desarrollo de la educación superior</w:t>
      </w:r>
      <w:r w:rsidR="00686E37">
        <w:rPr>
          <w:rFonts w:ascii="Abadi" w:hAnsi="Abadi" w:cs="*Calibri-11961-Identity-H"/>
          <w:color w:val="282828"/>
          <w:sz w:val="21"/>
          <w:szCs w:val="21"/>
        </w:rPr>
        <w:t xml:space="preserve"> y</w:t>
      </w:r>
      <w:r w:rsidRPr="008634E2">
        <w:rPr>
          <w:rFonts w:ascii="Abadi" w:hAnsi="Abadi" w:cs="*Times New Roman-Italic-11958-I"/>
          <w:i/>
          <w:iCs/>
          <w:color w:val="282828"/>
          <w:sz w:val="21"/>
          <w:szCs w:val="21"/>
        </w:rPr>
        <w:t xml:space="preserve"> </w:t>
      </w:r>
      <w:r w:rsidRPr="008634E2">
        <w:rPr>
          <w:rFonts w:ascii="Abadi" w:hAnsi="Abadi" w:cs="*Calibri-11961-Identity-H"/>
          <w:color w:val="282828"/>
          <w:sz w:val="21"/>
          <w:szCs w:val="21"/>
        </w:rPr>
        <w:t xml:space="preserve">la realización de proyectos entre </w:t>
      </w:r>
      <w:r w:rsidR="00686E37" w:rsidRPr="008634E2">
        <w:rPr>
          <w:rFonts w:ascii="Abadi" w:hAnsi="Abadi" w:cs="*Calibri-11961-Identity-H"/>
          <w:color w:val="282828"/>
          <w:sz w:val="21"/>
          <w:szCs w:val="21"/>
        </w:rPr>
        <w:t>las instituciones</w:t>
      </w:r>
      <w:r w:rsidRPr="008634E2">
        <w:rPr>
          <w:rFonts w:ascii="Abadi" w:hAnsi="Abadi" w:cs="*Calibri-11961-Identity-H"/>
          <w:color w:val="282828"/>
          <w:sz w:val="21"/>
          <w:szCs w:val="21"/>
        </w:rPr>
        <w:t xml:space="preserve"> de educación superior;</w:t>
      </w:r>
    </w:p>
    <w:p w14:paraId="1DCA38A0" w14:textId="77777777" w:rsidR="00686E37" w:rsidRPr="00686E37" w:rsidRDefault="00686E37" w:rsidP="00686E37">
      <w:pPr>
        <w:pStyle w:val="Prrafodelista"/>
        <w:autoSpaceDE w:val="0"/>
        <w:autoSpaceDN w:val="0"/>
        <w:adjustRightInd w:val="0"/>
        <w:ind w:left="720"/>
        <w:contextualSpacing/>
        <w:jc w:val="both"/>
        <w:rPr>
          <w:rFonts w:ascii="Abadi" w:hAnsi="Abadi" w:cs="*Calibri-11961-Identity-H"/>
          <w:color w:val="282828"/>
          <w:sz w:val="21"/>
          <w:szCs w:val="21"/>
        </w:rPr>
      </w:pPr>
    </w:p>
    <w:p w14:paraId="3ED7AFB8" w14:textId="71EB0D51" w:rsidR="00366FFB" w:rsidRDefault="00366FFB" w:rsidP="005C6EBB">
      <w:pPr>
        <w:pStyle w:val="Prrafodelista"/>
        <w:numPr>
          <w:ilvl w:val="0"/>
          <w:numId w:val="17"/>
        </w:numPr>
        <w:autoSpaceDE w:val="0"/>
        <w:autoSpaceDN w:val="0"/>
        <w:adjustRightInd w:val="0"/>
        <w:contextualSpacing/>
        <w:jc w:val="both"/>
        <w:rPr>
          <w:rFonts w:ascii="Abadi" w:hAnsi="Abadi" w:cs="*Calibri-11961-Identity-H"/>
          <w:color w:val="2A2A2A"/>
          <w:sz w:val="21"/>
          <w:szCs w:val="21"/>
        </w:rPr>
      </w:pPr>
      <w:r w:rsidRPr="00282F3E">
        <w:rPr>
          <w:rFonts w:ascii="Abadi" w:hAnsi="Abadi" w:cs="*Calibri-11961-Identity-H"/>
          <w:color w:val="2A2A2A"/>
          <w:sz w:val="21"/>
          <w:szCs w:val="21"/>
        </w:rPr>
        <w:t>Promover en e</w:t>
      </w:r>
      <w:r w:rsidRPr="00282F3E">
        <w:rPr>
          <w:rFonts w:ascii="Abadi" w:hAnsi="Abadi" w:cs="*Calibri-11961-Identity-H"/>
          <w:color w:val="747474"/>
          <w:sz w:val="21"/>
          <w:szCs w:val="21"/>
        </w:rPr>
        <w:t xml:space="preserve">l </w:t>
      </w:r>
      <w:r w:rsidRPr="00282F3E">
        <w:rPr>
          <w:rFonts w:ascii="Abadi" w:hAnsi="Abadi" w:cs="*Calibri-11961-Identity-H"/>
          <w:color w:val="2A2A2A"/>
          <w:sz w:val="21"/>
          <w:szCs w:val="21"/>
        </w:rPr>
        <w:t xml:space="preserve">ámbito de su competencia Id investigación y el desarrollo de la ciencia, la tecnología </w:t>
      </w:r>
      <w:r w:rsidRPr="00282F3E">
        <w:rPr>
          <w:rFonts w:ascii="Abadi" w:hAnsi="Abadi" w:cs="*Calibri-11963-Identity-H"/>
          <w:color w:val="2A2A2A"/>
          <w:sz w:val="21"/>
          <w:szCs w:val="21"/>
        </w:rPr>
        <w:t xml:space="preserve">y </w:t>
      </w:r>
      <w:r w:rsidRPr="00282F3E">
        <w:rPr>
          <w:rFonts w:ascii="Abadi" w:hAnsi="Abadi" w:cs="*Calibri-11961-Identity-H"/>
          <w:color w:val="2A2A2A"/>
          <w:sz w:val="21"/>
          <w:szCs w:val="21"/>
        </w:rPr>
        <w:t xml:space="preserve">la innovación, fomentar su enseñanza, transferencia, expansión </w:t>
      </w:r>
      <w:r w:rsidRPr="00282F3E">
        <w:rPr>
          <w:rFonts w:ascii="Abadi" w:hAnsi="Abadi" w:cs="*Calibri-11963-Identity-H"/>
          <w:color w:val="2A2A2A"/>
          <w:sz w:val="21"/>
          <w:szCs w:val="21"/>
        </w:rPr>
        <w:t xml:space="preserve">y </w:t>
      </w:r>
      <w:r w:rsidRPr="00282F3E">
        <w:rPr>
          <w:rFonts w:ascii="Abadi" w:hAnsi="Abadi" w:cs="*Calibri-11961-Identity-H"/>
          <w:color w:val="2A2A2A"/>
          <w:sz w:val="21"/>
          <w:szCs w:val="21"/>
        </w:rPr>
        <w:t>divulgación en acceso abierto, mediante la economía del conocimiento, la mente factura y la formación de emprendedores, en los términos de la presente Ley y de las demás disposiciones aplicables;</w:t>
      </w:r>
    </w:p>
    <w:p w14:paraId="58B93F9A" w14:textId="77777777" w:rsidR="00686E37" w:rsidRPr="00686E37" w:rsidRDefault="00686E37" w:rsidP="00686E37">
      <w:pPr>
        <w:pStyle w:val="Prrafodelista"/>
        <w:rPr>
          <w:rFonts w:ascii="Abadi" w:hAnsi="Abadi" w:cs="*Calibri-11961-Identity-H"/>
          <w:color w:val="2A2A2A"/>
          <w:sz w:val="21"/>
          <w:szCs w:val="21"/>
        </w:rPr>
      </w:pPr>
    </w:p>
    <w:p w14:paraId="616AC94B" w14:textId="77777777" w:rsidR="00686E37" w:rsidRPr="00282F3E" w:rsidRDefault="00686E37" w:rsidP="00686E37">
      <w:pPr>
        <w:pStyle w:val="Prrafodelista"/>
        <w:autoSpaceDE w:val="0"/>
        <w:autoSpaceDN w:val="0"/>
        <w:adjustRightInd w:val="0"/>
        <w:ind w:left="720"/>
        <w:contextualSpacing/>
        <w:jc w:val="both"/>
        <w:rPr>
          <w:rFonts w:ascii="Abadi" w:hAnsi="Abadi" w:cs="*Calibri-11961-Identity-H"/>
          <w:color w:val="2A2A2A"/>
          <w:sz w:val="21"/>
          <w:szCs w:val="21"/>
        </w:rPr>
      </w:pPr>
    </w:p>
    <w:p w14:paraId="737CFA6F" w14:textId="40954F8D" w:rsidR="00366FFB" w:rsidRDefault="00366FFB" w:rsidP="005C6EBB">
      <w:pPr>
        <w:pStyle w:val="Prrafodelista"/>
        <w:numPr>
          <w:ilvl w:val="0"/>
          <w:numId w:val="17"/>
        </w:numPr>
        <w:autoSpaceDE w:val="0"/>
        <w:autoSpaceDN w:val="0"/>
        <w:adjustRightInd w:val="0"/>
        <w:contextualSpacing/>
        <w:jc w:val="both"/>
        <w:rPr>
          <w:rFonts w:ascii="Abadi" w:hAnsi="Abadi" w:cs="*Calibri-11961-Identity-H"/>
          <w:color w:val="292929"/>
          <w:sz w:val="21"/>
          <w:szCs w:val="21"/>
        </w:rPr>
      </w:pPr>
      <w:r w:rsidRPr="00282F3E">
        <w:rPr>
          <w:rFonts w:ascii="Abadi" w:hAnsi="Abadi" w:cs="*Calibri-11961-Identity-H"/>
          <w:color w:val="292929"/>
          <w:sz w:val="21"/>
          <w:szCs w:val="21"/>
        </w:rPr>
        <w:t>Promover en las instituciones de educación superior la celebración de convenios para el desarrollo armónico de la educación superior. El</w:t>
      </w:r>
      <w:r>
        <w:rPr>
          <w:rFonts w:ascii="Abadi" w:hAnsi="Abadi" w:cs="*Calibri-11961-Identity-H"/>
          <w:color w:val="292929"/>
          <w:sz w:val="21"/>
          <w:szCs w:val="21"/>
        </w:rPr>
        <w:t xml:space="preserve"> </w:t>
      </w:r>
      <w:r w:rsidRPr="00282F3E">
        <w:rPr>
          <w:rFonts w:ascii="Abadi" w:hAnsi="Abadi" w:cs="*Calibri-11961-Identity-H"/>
          <w:color w:val="292929"/>
          <w:sz w:val="21"/>
          <w:szCs w:val="21"/>
        </w:rPr>
        <w:t xml:space="preserve">fortalecimiento de la investigación científica </w:t>
      </w:r>
      <w:r w:rsidRPr="00282F3E">
        <w:rPr>
          <w:rFonts w:ascii="Abadi" w:hAnsi="Abadi" w:cs="*Calibri-11963-Identity-H"/>
          <w:color w:val="292929"/>
          <w:sz w:val="21"/>
          <w:szCs w:val="21"/>
        </w:rPr>
        <w:t xml:space="preserve">y </w:t>
      </w:r>
      <w:r w:rsidRPr="00282F3E">
        <w:rPr>
          <w:rFonts w:ascii="Abadi" w:hAnsi="Abadi" w:cs="*Calibri-11961-Identity-H"/>
          <w:color w:val="292929"/>
          <w:sz w:val="21"/>
          <w:szCs w:val="21"/>
        </w:rPr>
        <w:t xml:space="preserve">tecnológica, </w:t>
      </w:r>
      <w:r w:rsidRPr="00282F3E">
        <w:rPr>
          <w:rFonts w:ascii="Abadi" w:hAnsi="Abadi" w:cs="*Calibri-11963-Identity-H"/>
          <w:color w:val="292929"/>
          <w:sz w:val="21"/>
          <w:szCs w:val="21"/>
        </w:rPr>
        <w:t xml:space="preserve">y </w:t>
      </w:r>
      <w:r w:rsidRPr="00282F3E">
        <w:rPr>
          <w:rFonts w:ascii="Abadi" w:hAnsi="Abadi" w:cs="*Calibri-11961-Identity-H"/>
          <w:color w:val="292929"/>
          <w:sz w:val="21"/>
          <w:szCs w:val="21"/>
        </w:rPr>
        <w:t>para el desarrollo del Sistema Estatal de Educación Superior;</w:t>
      </w:r>
    </w:p>
    <w:p w14:paraId="3B19BC86" w14:textId="77777777" w:rsidR="00686E37" w:rsidRPr="00282F3E" w:rsidRDefault="00686E37" w:rsidP="00686E37">
      <w:pPr>
        <w:pStyle w:val="Prrafodelista"/>
        <w:autoSpaceDE w:val="0"/>
        <w:autoSpaceDN w:val="0"/>
        <w:adjustRightInd w:val="0"/>
        <w:ind w:left="720"/>
        <w:contextualSpacing/>
        <w:jc w:val="both"/>
        <w:rPr>
          <w:rFonts w:ascii="Abadi" w:hAnsi="Abadi" w:cs="*Calibri-11961-Identity-H"/>
          <w:color w:val="292929"/>
          <w:sz w:val="21"/>
          <w:szCs w:val="21"/>
        </w:rPr>
      </w:pPr>
    </w:p>
    <w:p w14:paraId="1CA0774D" w14:textId="65623486" w:rsidR="00366FFB" w:rsidRDefault="00366FFB" w:rsidP="005C6EBB">
      <w:pPr>
        <w:pStyle w:val="Prrafodelista"/>
        <w:numPr>
          <w:ilvl w:val="0"/>
          <w:numId w:val="17"/>
        </w:numPr>
        <w:autoSpaceDE w:val="0"/>
        <w:autoSpaceDN w:val="0"/>
        <w:adjustRightInd w:val="0"/>
        <w:contextualSpacing/>
        <w:jc w:val="both"/>
        <w:rPr>
          <w:rFonts w:ascii="Abadi" w:hAnsi="Abadi" w:cs="*Calibri-11961-Identity-H"/>
          <w:color w:val="282828"/>
          <w:sz w:val="21"/>
          <w:szCs w:val="21"/>
        </w:rPr>
      </w:pPr>
      <w:r w:rsidRPr="00282F3E">
        <w:rPr>
          <w:rFonts w:ascii="Abadi" w:hAnsi="Abadi" w:cs="*Calibri-11961-Identity-H"/>
          <w:color w:val="282828"/>
          <w:sz w:val="21"/>
          <w:szCs w:val="21"/>
        </w:rPr>
        <w:t xml:space="preserve">Promover </w:t>
      </w:r>
      <w:r>
        <w:rPr>
          <w:rFonts w:ascii="Abadi" w:hAnsi="Abadi" w:cs="*Calibri-11961-Identity-H"/>
          <w:color w:val="282828"/>
          <w:sz w:val="21"/>
          <w:szCs w:val="21"/>
        </w:rPr>
        <w:t>y de</w:t>
      </w:r>
      <w:r w:rsidRPr="00282F3E">
        <w:rPr>
          <w:rFonts w:ascii="Abadi" w:hAnsi="Abadi" w:cs="*Calibri-11961-Identity-H"/>
          <w:color w:val="282828"/>
          <w:sz w:val="21"/>
          <w:szCs w:val="21"/>
        </w:rPr>
        <w:t xml:space="preserve"> mejora continua de las funciones, programas </w:t>
      </w:r>
      <w:r w:rsidRPr="00282F3E">
        <w:rPr>
          <w:rFonts w:ascii="Abadi" w:hAnsi="Abadi" w:cs="*Calibri-11963-Identity-H"/>
          <w:color w:val="282828"/>
          <w:sz w:val="21"/>
          <w:szCs w:val="21"/>
        </w:rPr>
        <w:t xml:space="preserve">y </w:t>
      </w:r>
      <w:r w:rsidRPr="00282F3E">
        <w:rPr>
          <w:rFonts w:ascii="Abadi" w:hAnsi="Abadi" w:cs="*Calibri-11961-Identity-H"/>
          <w:color w:val="282828"/>
          <w:sz w:val="21"/>
          <w:szCs w:val="21"/>
        </w:rPr>
        <w:t xml:space="preserve">servicios de educación superior, con la participación de los integrantes del Sistema Estatal de Educación Superior; </w:t>
      </w:r>
    </w:p>
    <w:p w14:paraId="4162990C" w14:textId="77777777" w:rsidR="00686E37" w:rsidRPr="00686E37" w:rsidRDefault="00686E37" w:rsidP="00686E37">
      <w:pPr>
        <w:pStyle w:val="Prrafodelista"/>
        <w:rPr>
          <w:rFonts w:ascii="Abadi" w:hAnsi="Abadi" w:cs="*Calibri-11961-Identity-H"/>
          <w:color w:val="282828"/>
          <w:sz w:val="21"/>
          <w:szCs w:val="21"/>
        </w:rPr>
      </w:pPr>
    </w:p>
    <w:p w14:paraId="0385DC57" w14:textId="77777777" w:rsidR="00686E37" w:rsidRPr="00282F3E" w:rsidRDefault="00686E37" w:rsidP="00686E37">
      <w:pPr>
        <w:pStyle w:val="Prrafodelista"/>
        <w:autoSpaceDE w:val="0"/>
        <w:autoSpaceDN w:val="0"/>
        <w:adjustRightInd w:val="0"/>
        <w:ind w:left="720"/>
        <w:contextualSpacing/>
        <w:jc w:val="both"/>
        <w:rPr>
          <w:rFonts w:ascii="Abadi" w:hAnsi="Abadi" w:cs="*Calibri-11961-Identity-H"/>
          <w:color w:val="282828"/>
          <w:sz w:val="21"/>
          <w:szCs w:val="21"/>
        </w:rPr>
      </w:pPr>
    </w:p>
    <w:p w14:paraId="530D8BEE" w14:textId="6BB34A71" w:rsidR="00366FFB" w:rsidRDefault="00366FFB" w:rsidP="005C6EBB">
      <w:pPr>
        <w:pStyle w:val="Prrafodelista"/>
        <w:numPr>
          <w:ilvl w:val="0"/>
          <w:numId w:val="17"/>
        </w:numPr>
        <w:autoSpaceDE w:val="0"/>
        <w:autoSpaceDN w:val="0"/>
        <w:adjustRightInd w:val="0"/>
        <w:contextualSpacing/>
        <w:jc w:val="both"/>
        <w:rPr>
          <w:rFonts w:ascii="Abadi" w:hAnsi="Abadi" w:cs="*Calibri-11961-Identity-H"/>
          <w:color w:val="292929"/>
          <w:sz w:val="21"/>
          <w:szCs w:val="21"/>
        </w:rPr>
      </w:pPr>
      <w:r w:rsidRPr="00BA3373">
        <w:rPr>
          <w:rFonts w:ascii="Abadi" w:hAnsi="Abadi" w:cs="*Calibri-11961-Identity-H"/>
          <w:color w:val="292929"/>
          <w:sz w:val="21"/>
          <w:szCs w:val="21"/>
        </w:rPr>
        <w:t>Fomentar la cultura de la evaluación y acreditación entre las instituciones de educación superior del Estado;</w:t>
      </w:r>
    </w:p>
    <w:p w14:paraId="583BD0F4" w14:textId="77777777" w:rsidR="00686E37" w:rsidRPr="00BA3373" w:rsidRDefault="00686E37" w:rsidP="00686E37">
      <w:pPr>
        <w:pStyle w:val="Prrafodelista"/>
        <w:autoSpaceDE w:val="0"/>
        <w:autoSpaceDN w:val="0"/>
        <w:adjustRightInd w:val="0"/>
        <w:ind w:left="720"/>
        <w:contextualSpacing/>
        <w:jc w:val="both"/>
        <w:rPr>
          <w:rFonts w:ascii="Abadi" w:hAnsi="Abadi" w:cs="*Calibri-11961-Identity-H"/>
          <w:color w:val="292929"/>
          <w:sz w:val="21"/>
          <w:szCs w:val="21"/>
        </w:rPr>
      </w:pPr>
    </w:p>
    <w:p w14:paraId="49BE03D3" w14:textId="09CBFCE2" w:rsidR="00366FFB" w:rsidRDefault="00366FFB" w:rsidP="005C6EBB">
      <w:pPr>
        <w:pStyle w:val="Prrafodelista"/>
        <w:numPr>
          <w:ilvl w:val="0"/>
          <w:numId w:val="17"/>
        </w:numPr>
        <w:autoSpaceDE w:val="0"/>
        <w:autoSpaceDN w:val="0"/>
        <w:adjustRightInd w:val="0"/>
        <w:contextualSpacing/>
        <w:jc w:val="both"/>
        <w:rPr>
          <w:rFonts w:ascii="Abadi" w:hAnsi="Abadi" w:cs="*Calibri-11961-Identity-H"/>
          <w:color w:val="282828"/>
          <w:sz w:val="21"/>
          <w:szCs w:val="21"/>
        </w:rPr>
      </w:pPr>
      <w:r w:rsidRPr="00282F3E">
        <w:rPr>
          <w:rFonts w:ascii="Abadi" w:hAnsi="Abadi" w:cs="*Calibri-11961-Identity-H"/>
          <w:color w:val="282828"/>
          <w:sz w:val="21"/>
          <w:szCs w:val="21"/>
        </w:rPr>
        <w:t xml:space="preserve">Promover de manera coordinada, con diversas instancias, programas de expansión y diversificación de la oferta educativa de tipo superior, con criterios de innovación. equidad, inclusión. interculturalidad </w:t>
      </w:r>
      <w:r w:rsidRPr="00282F3E">
        <w:rPr>
          <w:rFonts w:ascii="Abadi" w:hAnsi="Abadi" w:cs="*Times New Roman-Italic-11957-I"/>
          <w:i/>
          <w:iCs/>
          <w:color w:val="282828"/>
          <w:sz w:val="21"/>
          <w:szCs w:val="21"/>
        </w:rPr>
        <w:t xml:space="preserve">y </w:t>
      </w:r>
      <w:r w:rsidRPr="00282F3E">
        <w:rPr>
          <w:rFonts w:ascii="Abadi" w:hAnsi="Abadi" w:cs="*Calibri-11961-Identity-H"/>
          <w:color w:val="282828"/>
          <w:sz w:val="21"/>
          <w:szCs w:val="21"/>
        </w:rPr>
        <w:t>pertinencia;</w:t>
      </w:r>
    </w:p>
    <w:p w14:paraId="307B42F3" w14:textId="77777777" w:rsidR="00686E37" w:rsidRPr="00686E37" w:rsidRDefault="00686E37" w:rsidP="00686E37">
      <w:pPr>
        <w:pStyle w:val="Prrafodelista"/>
        <w:rPr>
          <w:rFonts w:ascii="Abadi" w:hAnsi="Abadi" w:cs="*Calibri-11961-Identity-H"/>
          <w:color w:val="282828"/>
          <w:sz w:val="21"/>
          <w:szCs w:val="21"/>
        </w:rPr>
      </w:pPr>
    </w:p>
    <w:p w14:paraId="71B10E37" w14:textId="77777777" w:rsidR="00686E37" w:rsidRPr="00282F3E" w:rsidRDefault="00686E37" w:rsidP="00686E37">
      <w:pPr>
        <w:pStyle w:val="Prrafodelista"/>
        <w:autoSpaceDE w:val="0"/>
        <w:autoSpaceDN w:val="0"/>
        <w:adjustRightInd w:val="0"/>
        <w:ind w:left="720"/>
        <w:contextualSpacing/>
        <w:jc w:val="both"/>
        <w:rPr>
          <w:rFonts w:ascii="Abadi" w:hAnsi="Abadi" w:cs="*Calibri-11961-Identity-H"/>
          <w:color w:val="282828"/>
          <w:sz w:val="21"/>
          <w:szCs w:val="21"/>
        </w:rPr>
      </w:pPr>
    </w:p>
    <w:p w14:paraId="19A591BE" w14:textId="00711039" w:rsidR="00366FFB" w:rsidRDefault="00366FFB" w:rsidP="005C6EBB">
      <w:pPr>
        <w:pStyle w:val="Prrafodelista"/>
        <w:numPr>
          <w:ilvl w:val="0"/>
          <w:numId w:val="17"/>
        </w:numPr>
        <w:autoSpaceDE w:val="0"/>
        <w:autoSpaceDN w:val="0"/>
        <w:adjustRightInd w:val="0"/>
        <w:contextualSpacing/>
        <w:jc w:val="both"/>
        <w:rPr>
          <w:rFonts w:ascii="Abadi" w:hAnsi="Abadi" w:cs="*Calibri-11961-Identity-H"/>
          <w:color w:val="292929"/>
          <w:sz w:val="21"/>
          <w:szCs w:val="21"/>
        </w:rPr>
      </w:pPr>
      <w:r w:rsidRPr="008634E2">
        <w:rPr>
          <w:rFonts w:ascii="Abadi" w:hAnsi="Abadi" w:cs="*Calibri-11961-Identity-H"/>
          <w:color w:val="292929"/>
          <w:sz w:val="21"/>
          <w:szCs w:val="21"/>
        </w:rPr>
        <w:t>Establecer los lineamientos para la expedición de títulos profesionales por parte de las autoridades educativas correspondientes:</w:t>
      </w:r>
    </w:p>
    <w:p w14:paraId="0C87FA1B" w14:textId="77777777" w:rsidR="00686E37" w:rsidRPr="008634E2" w:rsidRDefault="00686E37" w:rsidP="00686E37">
      <w:pPr>
        <w:pStyle w:val="Prrafodelista"/>
        <w:autoSpaceDE w:val="0"/>
        <w:autoSpaceDN w:val="0"/>
        <w:adjustRightInd w:val="0"/>
        <w:ind w:left="720"/>
        <w:contextualSpacing/>
        <w:jc w:val="both"/>
        <w:rPr>
          <w:rFonts w:ascii="Abadi" w:hAnsi="Abadi" w:cs="*Calibri-11961-Identity-H"/>
          <w:color w:val="292929"/>
          <w:sz w:val="21"/>
          <w:szCs w:val="21"/>
        </w:rPr>
      </w:pPr>
    </w:p>
    <w:p w14:paraId="7FD4E290" w14:textId="57929568" w:rsidR="00366FFB" w:rsidRDefault="00366FFB" w:rsidP="005C6EBB">
      <w:pPr>
        <w:pStyle w:val="Prrafodelista"/>
        <w:numPr>
          <w:ilvl w:val="0"/>
          <w:numId w:val="17"/>
        </w:numPr>
        <w:autoSpaceDE w:val="0"/>
        <w:autoSpaceDN w:val="0"/>
        <w:adjustRightInd w:val="0"/>
        <w:contextualSpacing/>
        <w:jc w:val="both"/>
        <w:rPr>
          <w:rFonts w:ascii="Abadi" w:hAnsi="Abadi" w:cs="*Calibri-11961-Identity-H"/>
          <w:color w:val="292929"/>
          <w:sz w:val="21"/>
          <w:szCs w:val="21"/>
        </w:rPr>
      </w:pPr>
      <w:r w:rsidRPr="00BA3373">
        <w:rPr>
          <w:rFonts w:ascii="Abadi" w:hAnsi="Abadi" w:cs="*Calibri-11961-Identity-H"/>
          <w:color w:val="292929"/>
          <w:sz w:val="21"/>
          <w:szCs w:val="21"/>
        </w:rPr>
        <w:t>Coordinar el suministro de la información para actualizar el sistema al que se refiere el artículo 61 de la Ley General de Educación Superior;</w:t>
      </w:r>
    </w:p>
    <w:p w14:paraId="527C805D" w14:textId="77777777" w:rsidR="00686E37" w:rsidRPr="00686E37" w:rsidRDefault="00686E37" w:rsidP="00686E37">
      <w:pPr>
        <w:pStyle w:val="Prrafodelista"/>
        <w:rPr>
          <w:rFonts w:ascii="Abadi" w:hAnsi="Abadi" w:cs="*Calibri-11961-Identity-H"/>
          <w:color w:val="292929"/>
          <w:sz w:val="21"/>
          <w:szCs w:val="21"/>
        </w:rPr>
      </w:pPr>
    </w:p>
    <w:p w14:paraId="2D7A9395" w14:textId="77777777" w:rsidR="00686E37" w:rsidRPr="00BA3373" w:rsidRDefault="00686E37" w:rsidP="00686E37">
      <w:pPr>
        <w:pStyle w:val="Prrafodelista"/>
        <w:autoSpaceDE w:val="0"/>
        <w:autoSpaceDN w:val="0"/>
        <w:adjustRightInd w:val="0"/>
        <w:ind w:left="720"/>
        <w:contextualSpacing/>
        <w:jc w:val="both"/>
        <w:rPr>
          <w:rFonts w:ascii="Abadi" w:hAnsi="Abadi" w:cs="*Calibri-11961-Identity-H"/>
          <w:color w:val="292929"/>
          <w:sz w:val="21"/>
          <w:szCs w:val="21"/>
        </w:rPr>
      </w:pPr>
    </w:p>
    <w:p w14:paraId="2504A586" w14:textId="4094A9FD" w:rsidR="00366FFB" w:rsidRDefault="00366FFB" w:rsidP="005C6EBB">
      <w:pPr>
        <w:pStyle w:val="Prrafodelista"/>
        <w:numPr>
          <w:ilvl w:val="0"/>
          <w:numId w:val="17"/>
        </w:numPr>
        <w:autoSpaceDE w:val="0"/>
        <w:autoSpaceDN w:val="0"/>
        <w:adjustRightInd w:val="0"/>
        <w:contextualSpacing/>
        <w:jc w:val="both"/>
        <w:rPr>
          <w:rFonts w:ascii="Abadi" w:hAnsi="Abadi" w:cs="*Microsoft Sans Serif-11873-Ide"/>
          <w:color w:val="282828"/>
          <w:sz w:val="21"/>
          <w:szCs w:val="21"/>
        </w:rPr>
      </w:pPr>
      <w:r w:rsidRPr="00282F3E">
        <w:rPr>
          <w:rFonts w:ascii="Abadi" w:hAnsi="Abadi" w:cs="*Microsoft Sans Serif-11873-Ide"/>
          <w:color w:val="282828"/>
          <w:sz w:val="21"/>
          <w:szCs w:val="21"/>
        </w:rPr>
        <w:t>Establecer mecanismos de coordinación entre los subsistemas de educación superior, así como con otras instancias dedicadas a la investigación, innovación, ciencia, tecnología y emprendimiento, para impulsar la transferencia tecnológica y la innovación como productos de alto valor agregado en beneficio de los diferentes sectores de la sociedad;</w:t>
      </w:r>
    </w:p>
    <w:p w14:paraId="224A2BE6"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1873-Ide"/>
          <w:color w:val="282828"/>
          <w:sz w:val="21"/>
          <w:szCs w:val="21"/>
        </w:rPr>
      </w:pPr>
    </w:p>
    <w:p w14:paraId="3E4EDF38" w14:textId="1282D9FE" w:rsidR="00366FFB" w:rsidRDefault="00366FFB" w:rsidP="005C6EBB">
      <w:pPr>
        <w:pStyle w:val="Prrafodelista"/>
        <w:numPr>
          <w:ilvl w:val="0"/>
          <w:numId w:val="17"/>
        </w:numPr>
        <w:autoSpaceDE w:val="0"/>
        <w:autoSpaceDN w:val="0"/>
        <w:adjustRightInd w:val="0"/>
        <w:contextualSpacing/>
        <w:jc w:val="both"/>
        <w:rPr>
          <w:rFonts w:ascii="Abadi" w:hAnsi="Abadi" w:cs="*Microsoft Sans Serif-11873-Ide"/>
          <w:color w:val="262626"/>
          <w:sz w:val="21"/>
          <w:szCs w:val="21"/>
        </w:rPr>
      </w:pPr>
      <w:r w:rsidRPr="00BA3373">
        <w:rPr>
          <w:rFonts w:ascii="Abadi" w:hAnsi="Abadi" w:cs="*Microsoft Sans Serif-11873-Ide"/>
          <w:color w:val="262626"/>
          <w:sz w:val="21"/>
          <w:szCs w:val="21"/>
        </w:rPr>
        <w:t>Impulsar la creación de grupos multidisciplinarios para un mejor avance científico y tecnológico en lo resolución de las necesidades estatales, nacionales e internacionales;</w:t>
      </w:r>
    </w:p>
    <w:p w14:paraId="123B2FDF" w14:textId="77777777" w:rsidR="00686E37" w:rsidRPr="00686E37" w:rsidRDefault="00686E37" w:rsidP="00686E37">
      <w:pPr>
        <w:pStyle w:val="Prrafodelista"/>
        <w:rPr>
          <w:rFonts w:ascii="Abadi" w:hAnsi="Abadi" w:cs="*Microsoft Sans Serif-11873-Ide"/>
          <w:color w:val="262626"/>
          <w:sz w:val="21"/>
          <w:szCs w:val="21"/>
        </w:rPr>
      </w:pPr>
    </w:p>
    <w:p w14:paraId="40F1AB08" w14:textId="77777777" w:rsidR="00686E37" w:rsidRPr="00BA3373" w:rsidRDefault="00686E37" w:rsidP="00686E37">
      <w:pPr>
        <w:pStyle w:val="Prrafodelista"/>
        <w:autoSpaceDE w:val="0"/>
        <w:autoSpaceDN w:val="0"/>
        <w:adjustRightInd w:val="0"/>
        <w:ind w:left="720"/>
        <w:contextualSpacing/>
        <w:jc w:val="both"/>
        <w:rPr>
          <w:rFonts w:ascii="Abadi" w:hAnsi="Abadi" w:cs="*Microsoft Sans Serif-11873-Ide"/>
          <w:color w:val="262626"/>
          <w:sz w:val="21"/>
          <w:szCs w:val="21"/>
        </w:rPr>
      </w:pPr>
    </w:p>
    <w:p w14:paraId="72D64381" w14:textId="66D5C677" w:rsidR="00366FFB" w:rsidRDefault="00366FFB" w:rsidP="005C6EBB">
      <w:pPr>
        <w:pStyle w:val="Prrafodelista"/>
        <w:numPr>
          <w:ilvl w:val="0"/>
          <w:numId w:val="17"/>
        </w:numPr>
        <w:autoSpaceDE w:val="0"/>
        <w:autoSpaceDN w:val="0"/>
        <w:adjustRightInd w:val="0"/>
        <w:contextualSpacing/>
        <w:jc w:val="both"/>
        <w:rPr>
          <w:rFonts w:ascii="Abadi" w:hAnsi="Abadi" w:cs="*Microsoft Sans Serif-11873-Ide"/>
          <w:color w:val="272727"/>
          <w:sz w:val="21"/>
          <w:szCs w:val="21"/>
        </w:rPr>
      </w:pPr>
      <w:r w:rsidRPr="00282F3E">
        <w:rPr>
          <w:rFonts w:ascii="Abadi" w:hAnsi="Abadi" w:cs="*Microsoft Sans Serif-11873-Ide"/>
          <w:color w:val="272727"/>
          <w:sz w:val="21"/>
          <w:szCs w:val="21"/>
        </w:rPr>
        <w:t xml:space="preserve">Promover, fomentar y coordinar acciones que Vinculen la planeación institucional e interinstitucional en la educación superior con los objetivos y prioridades que demande el desarrollo comunitario, municipal, estatal </w:t>
      </w:r>
      <w:r w:rsidRPr="00282F3E">
        <w:rPr>
          <w:rFonts w:ascii="Abadi" w:hAnsi="Abadi" w:cs="*Times New Roman-Italic-11868-I"/>
          <w:i/>
          <w:iCs/>
          <w:color w:val="272727"/>
          <w:sz w:val="21"/>
          <w:szCs w:val="21"/>
        </w:rPr>
        <w:t xml:space="preserve">y </w:t>
      </w:r>
      <w:r w:rsidRPr="00282F3E">
        <w:rPr>
          <w:rFonts w:ascii="Abadi" w:hAnsi="Abadi" w:cs="*Microsoft Sans Serif-11873-Ide"/>
          <w:color w:val="272727"/>
          <w:sz w:val="21"/>
          <w:szCs w:val="21"/>
        </w:rPr>
        <w:t>nacional;</w:t>
      </w:r>
    </w:p>
    <w:p w14:paraId="322BBBCB"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1873-Ide"/>
          <w:color w:val="272727"/>
          <w:sz w:val="21"/>
          <w:szCs w:val="21"/>
        </w:rPr>
      </w:pPr>
    </w:p>
    <w:p w14:paraId="20E895BD" w14:textId="52D01830" w:rsidR="00366FFB" w:rsidRDefault="00366FFB" w:rsidP="005C6EBB">
      <w:pPr>
        <w:pStyle w:val="Prrafodelista"/>
        <w:numPr>
          <w:ilvl w:val="0"/>
          <w:numId w:val="17"/>
        </w:numPr>
        <w:autoSpaceDE w:val="0"/>
        <w:autoSpaceDN w:val="0"/>
        <w:adjustRightInd w:val="0"/>
        <w:contextualSpacing/>
        <w:jc w:val="both"/>
        <w:rPr>
          <w:rFonts w:ascii="Abadi" w:hAnsi="Abadi" w:cs="*Microsoft Sans Serif-11873-Ide"/>
          <w:color w:val="292929"/>
          <w:sz w:val="21"/>
          <w:szCs w:val="21"/>
        </w:rPr>
      </w:pPr>
      <w:r w:rsidRPr="00282F3E">
        <w:rPr>
          <w:rFonts w:ascii="Abadi" w:hAnsi="Abadi" w:cs="*Microsoft Sans Serif-11873-Ide"/>
          <w:color w:val="292929"/>
          <w:sz w:val="21"/>
          <w:szCs w:val="21"/>
        </w:rPr>
        <w:t>Impulsar y apoyar la celebración de convenios y acuerdos para el fomento y desarrollo armónico de la educación superior y evaluar su impacto en los sectores sociales y productivos;</w:t>
      </w:r>
    </w:p>
    <w:p w14:paraId="79CBD015" w14:textId="77777777" w:rsidR="00686E37" w:rsidRPr="00686E37" w:rsidRDefault="00686E37" w:rsidP="00686E37">
      <w:pPr>
        <w:pStyle w:val="Prrafodelista"/>
        <w:rPr>
          <w:rFonts w:ascii="Abadi" w:hAnsi="Abadi" w:cs="*Microsoft Sans Serif-11873-Ide"/>
          <w:color w:val="292929"/>
          <w:sz w:val="21"/>
          <w:szCs w:val="21"/>
        </w:rPr>
      </w:pPr>
    </w:p>
    <w:p w14:paraId="143CC12E"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1873-Ide"/>
          <w:color w:val="292929"/>
          <w:sz w:val="21"/>
          <w:szCs w:val="21"/>
        </w:rPr>
      </w:pPr>
    </w:p>
    <w:p w14:paraId="15C54077" w14:textId="169908E8" w:rsidR="00366FFB" w:rsidRDefault="00366FFB" w:rsidP="005C6EBB">
      <w:pPr>
        <w:pStyle w:val="Prrafodelista"/>
        <w:numPr>
          <w:ilvl w:val="0"/>
          <w:numId w:val="17"/>
        </w:numPr>
        <w:autoSpaceDE w:val="0"/>
        <w:autoSpaceDN w:val="0"/>
        <w:adjustRightInd w:val="0"/>
        <w:contextualSpacing/>
        <w:jc w:val="both"/>
        <w:rPr>
          <w:rFonts w:ascii="Abadi" w:hAnsi="Abadi" w:cs="*Microsoft Sans Serif-11873-Ide"/>
          <w:color w:val="272727"/>
          <w:sz w:val="21"/>
          <w:szCs w:val="21"/>
        </w:rPr>
      </w:pPr>
      <w:r w:rsidRPr="00D92179">
        <w:rPr>
          <w:rFonts w:ascii="Abadi" w:hAnsi="Abadi" w:cs="*Microsoft Sans Serif-11873-Ide"/>
          <w:color w:val="272727"/>
          <w:sz w:val="21"/>
          <w:szCs w:val="21"/>
        </w:rPr>
        <w:t>Coordinarse con la autoridad educativa federal en las acciones y procesos para fortalecer la gestión, organización y administración de las escuelas normales y de las demás instituciones públicas de educación superior que no cuenten con autonomía:</w:t>
      </w:r>
    </w:p>
    <w:p w14:paraId="07F75C64" w14:textId="77777777" w:rsidR="00686E37" w:rsidRPr="00D92179" w:rsidRDefault="00686E37" w:rsidP="00686E37">
      <w:pPr>
        <w:pStyle w:val="Prrafodelista"/>
        <w:autoSpaceDE w:val="0"/>
        <w:autoSpaceDN w:val="0"/>
        <w:adjustRightInd w:val="0"/>
        <w:ind w:left="720"/>
        <w:contextualSpacing/>
        <w:jc w:val="both"/>
        <w:rPr>
          <w:rFonts w:ascii="Abadi" w:hAnsi="Abadi" w:cs="*Microsoft Sans Serif-11873-Ide"/>
          <w:color w:val="272727"/>
          <w:sz w:val="21"/>
          <w:szCs w:val="21"/>
        </w:rPr>
      </w:pPr>
    </w:p>
    <w:p w14:paraId="4B46CFAD" w14:textId="37A00CF8" w:rsidR="00366FFB" w:rsidRDefault="00366FFB" w:rsidP="005C6EBB">
      <w:pPr>
        <w:pStyle w:val="Prrafodelista"/>
        <w:numPr>
          <w:ilvl w:val="0"/>
          <w:numId w:val="17"/>
        </w:numPr>
        <w:autoSpaceDE w:val="0"/>
        <w:autoSpaceDN w:val="0"/>
        <w:adjustRightInd w:val="0"/>
        <w:contextualSpacing/>
        <w:jc w:val="both"/>
        <w:rPr>
          <w:rFonts w:ascii="Abadi" w:hAnsi="Abadi" w:cs="*Microsoft Sans Serif-11873-Ide"/>
          <w:color w:val="272727"/>
          <w:sz w:val="21"/>
          <w:szCs w:val="21"/>
        </w:rPr>
      </w:pPr>
      <w:r w:rsidRPr="00282F3E">
        <w:rPr>
          <w:rFonts w:ascii="Abadi" w:hAnsi="Abadi" w:cs="*Microsoft Sans Serif-11873-Ide"/>
          <w:color w:val="272727"/>
          <w:sz w:val="21"/>
          <w:szCs w:val="21"/>
        </w:rPr>
        <w:t xml:space="preserve">Establecer, conforme a la normatividad aplicable, los criterios académicos que debieron considerarse para la designación del personal directivo de las instituciones públicas de educación superior de sostenimiento estatal, así como de aquellas que reciban subsidio federal y no cuenten con autonomía; </w:t>
      </w:r>
    </w:p>
    <w:p w14:paraId="314D9144" w14:textId="77777777" w:rsidR="00686E37" w:rsidRPr="00686E37" w:rsidRDefault="00686E37" w:rsidP="00686E37">
      <w:pPr>
        <w:pStyle w:val="Prrafodelista"/>
        <w:rPr>
          <w:rFonts w:ascii="Abadi" w:hAnsi="Abadi" w:cs="*Microsoft Sans Serif-11873-Ide"/>
          <w:color w:val="272727"/>
          <w:sz w:val="21"/>
          <w:szCs w:val="21"/>
        </w:rPr>
      </w:pPr>
    </w:p>
    <w:p w14:paraId="121E591E" w14:textId="77777777" w:rsidR="00686E37" w:rsidRPr="00282F3E" w:rsidRDefault="00686E37" w:rsidP="00686E37">
      <w:pPr>
        <w:pStyle w:val="Prrafodelista"/>
        <w:autoSpaceDE w:val="0"/>
        <w:autoSpaceDN w:val="0"/>
        <w:adjustRightInd w:val="0"/>
        <w:ind w:left="720"/>
        <w:contextualSpacing/>
        <w:jc w:val="both"/>
        <w:rPr>
          <w:rFonts w:ascii="Abadi" w:hAnsi="Abadi" w:cs="*Microsoft Sans Serif-11873-Ide"/>
          <w:color w:val="272727"/>
          <w:sz w:val="21"/>
          <w:szCs w:val="21"/>
        </w:rPr>
      </w:pPr>
    </w:p>
    <w:p w14:paraId="7699ED65" w14:textId="45F65502" w:rsidR="00366FFB" w:rsidRDefault="00366FFB" w:rsidP="005C6EBB">
      <w:pPr>
        <w:pStyle w:val="Prrafodelista"/>
        <w:numPr>
          <w:ilvl w:val="0"/>
          <w:numId w:val="17"/>
        </w:numPr>
        <w:autoSpaceDE w:val="0"/>
        <w:autoSpaceDN w:val="0"/>
        <w:adjustRightInd w:val="0"/>
        <w:contextualSpacing/>
        <w:jc w:val="both"/>
        <w:rPr>
          <w:rFonts w:ascii="Abadi" w:hAnsi="Abadi" w:cs="*Arial-11551-Identity-H"/>
          <w:color w:val="2B2B2B"/>
          <w:sz w:val="21"/>
          <w:szCs w:val="21"/>
        </w:rPr>
      </w:pPr>
      <w:r w:rsidRPr="00282F3E">
        <w:rPr>
          <w:rFonts w:ascii="Abadi" w:hAnsi="Abadi" w:cs="*Microsoft Sans Serif-11873-Ide"/>
          <w:color w:val="272727"/>
          <w:sz w:val="21"/>
          <w:szCs w:val="21"/>
        </w:rPr>
        <w:t xml:space="preserve">Establecer lineamientos para la educación superior impartida por particulares incorporadas a la Secretaría, conforme a las disposiciones de </w:t>
      </w:r>
      <w:r w:rsidRPr="00282F3E">
        <w:rPr>
          <w:rFonts w:ascii="Abadi" w:hAnsi="Abadi" w:cs="*Arial-11551-Identity-H"/>
          <w:color w:val="2B2B2B"/>
          <w:sz w:val="21"/>
          <w:szCs w:val="21"/>
        </w:rPr>
        <w:t>esta Ley y las demás disposiciones aplicables, así como ejercer las facultades de vigilancia respecto a esos servicios de educación superior;</w:t>
      </w:r>
    </w:p>
    <w:p w14:paraId="16281222" w14:textId="77777777" w:rsidR="00686E37" w:rsidRPr="00282F3E" w:rsidRDefault="00686E37" w:rsidP="00686E37">
      <w:pPr>
        <w:pStyle w:val="Prrafodelista"/>
        <w:autoSpaceDE w:val="0"/>
        <w:autoSpaceDN w:val="0"/>
        <w:adjustRightInd w:val="0"/>
        <w:ind w:left="720"/>
        <w:contextualSpacing/>
        <w:jc w:val="both"/>
        <w:rPr>
          <w:rFonts w:ascii="Abadi" w:hAnsi="Abadi" w:cs="*Arial-11551-Identity-H"/>
          <w:color w:val="2B2B2B"/>
          <w:sz w:val="21"/>
          <w:szCs w:val="21"/>
        </w:rPr>
      </w:pPr>
    </w:p>
    <w:p w14:paraId="0A353BD3" w14:textId="1A4C651E" w:rsidR="00366FFB" w:rsidRDefault="00366FFB" w:rsidP="005C6EBB">
      <w:pPr>
        <w:pStyle w:val="Prrafodelista"/>
        <w:numPr>
          <w:ilvl w:val="0"/>
          <w:numId w:val="17"/>
        </w:numPr>
        <w:autoSpaceDE w:val="0"/>
        <w:autoSpaceDN w:val="0"/>
        <w:adjustRightInd w:val="0"/>
        <w:contextualSpacing/>
        <w:jc w:val="both"/>
        <w:rPr>
          <w:rFonts w:ascii="Abadi" w:hAnsi="Abadi" w:cs="*Arial-11551-Identity-H"/>
          <w:color w:val="282828"/>
          <w:sz w:val="21"/>
          <w:szCs w:val="21"/>
        </w:rPr>
      </w:pPr>
      <w:r w:rsidRPr="00282F3E">
        <w:rPr>
          <w:rFonts w:ascii="Abadi" w:hAnsi="Abadi" w:cs="*Arial-11551-Identity-H"/>
          <w:color w:val="282828"/>
          <w:sz w:val="21"/>
          <w:szCs w:val="21"/>
        </w:rPr>
        <w:t>Coordinar con los Ayuntamientos que impartan el servicio de educación superior, las acciones encaminadas a dar cumplimiento a los criterios, fines y políticas de este tipo de educación;</w:t>
      </w:r>
    </w:p>
    <w:p w14:paraId="6469D605" w14:textId="77777777" w:rsidR="00686E37" w:rsidRPr="00686E37" w:rsidRDefault="00686E37" w:rsidP="00686E37">
      <w:pPr>
        <w:pStyle w:val="Prrafodelista"/>
        <w:rPr>
          <w:rFonts w:ascii="Abadi" w:hAnsi="Abadi" w:cs="*Arial-11551-Identity-H"/>
          <w:color w:val="282828"/>
          <w:sz w:val="21"/>
          <w:szCs w:val="21"/>
        </w:rPr>
      </w:pPr>
    </w:p>
    <w:p w14:paraId="7FCFDD4D" w14:textId="77777777" w:rsidR="00686E37" w:rsidRPr="00282F3E" w:rsidRDefault="00686E37" w:rsidP="00686E37">
      <w:pPr>
        <w:pStyle w:val="Prrafodelista"/>
        <w:autoSpaceDE w:val="0"/>
        <w:autoSpaceDN w:val="0"/>
        <w:adjustRightInd w:val="0"/>
        <w:ind w:left="720"/>
        <w:contextualSpacing/>
        <w:jc w:val="both"/>
        <w:rPr>
          <w:rFonts w:ascii="Abadi" w:hAnsi="Abadi" w:cs="*Arial-11551-Identity-H"/>
          <w:color w:val="282828"/>
          <w:sz w:val="21"/>
          <w:szCs w:val="21"/>
        </w:rPr>
      </w:pPr>
    </w:p>
    <w:p w14:paraId="3744B225" w14:textId="1599006B" w:rsidR="00366FFB" w:rsidRDefault="00366FFB" w:rsidP="005C6EBB">
      <w:pPr>
        <w:pStyle w:val="Prrafodelista"/>
        <w:numPr>
          <w:ilvl w:val="0"/>
          <w:numId w:val="17"/>
        </w:numPr>
        <w:autoSpaceDE w:val="0"/>
        <w:autoSpaceDN w:val="0"/>
        <w:adjustRightInd w:val="0"/>
        <w:contextualSpacing/>
        <w:jc w:val="both"/>
        <w:rPr>
          <w:rFonts w:ascii="Abadi" w:hAnsi="Abadi" w:cs="*Arial-11551-Identity-H"/>
          <w:color w:val="262626"/>
          <w:sz w:val="21"/>
          <w:szCs w:val="21"/>
        </w:rPr>
      </w:pPr>
      <w:r w:rsidRPr="00282F3E">
        <w:rPr>
          <w:rFonts w:ascii="Abadi" w:hAnsi="Abadi" w:cs="*Arial-11551-Identity-H"/>
          <w:color w:val="262626"/>
          <w:sz w:val="21"/>
          <w:szCs w:val="21"/>
        </w:rPr>
        <w:t>Establecer un sistema único de información estatal de educación superior;</w:t>
      </w:r>
    </w:p>
    <w:p w14:paraId="29B1CE55" w14:textId="77777777" w:rsidR="00686E37" w:rsidRPr="00282F3E" w:rsidRDefault="00686E37" w:rsidP="00686E37">
      <w:pPr>
        <w:pStyle w:val="Prrafodelista"/>
        <w:autoSpaceDE w:val="0"/>
        <w:autoSpaceDN w:val="0"/>
        <w:adjustRightInd w:val="0"/>
        <w:ind w:left="720"/>
        <w:contextualSpacing/>
        <w:jc w:val="both"/>
        <w:rPr>
          <w:rFonts w:ascii="Abadi" w:hAnsi="Abadi" w:cs="*Arial-11551-Identity-H"/>
          <w:color w:val="262626"/>
          <w:sz w:val="21"/>
          <w:szCs w:val="21"/>
        </w:rPr>
      </w:pPr>
    </w:p>
    <w:p w14:paraId="6172FA86" w14:textId="254554F8" w:rsidR="00366FFB" w:rsidRDefault="00366FFB" w:rsidP="005C6EBB">
      <w:pPr>
        <w:pStyle w:val="Prrafodelista"/>
        <w:numPr>
          <w:ilvl w:val="0"/>
          <w:numId w:val="17"/>
        </w:numPr>
        <w:autoSpaceDE w:val="0"/>
        <w:autoSpaceDN w:val="0"/>
        <w:adjustRightInd w:val="0"/>
        <w:contextualSpacing/>
        <w:jc w:val="both"/>
        <w:rPr>
          <w:rFonts w:ascii="Abadi" w:hAnsi="Abadi" w:cs="*Arial-11551-Identity-H"/>
          <w:color w:val="292929"/>
          <w:sz w:val="21"/>
          <w:szCs w:val="21"/>
        </w:rPr>
      </w:pPr>
      <w:r w:rsidRPr="00282F3E">
        <w:rPr>
          <w:rFonts w:ascii="Abadi" w:hAnsi="Abadi" w:cs="*Arial-11551-Identity-H"/>
          <w:color w:val="292929"/>
          <w:sz w:val="21"/>
          <w:szCs w:val="21"/>
        </w:rPr>
        <w:t xml:space="preserve">Coordinar las acciones necesarias para alimentar el sistema de información del Sistema Nacional de Educación Superior: </w:t>
      </w:r>
    </w:p>
    <w:p w14:paraId="02B1A202" w14:textId="77777777" w:rsidR="00686E37" w:rsidRPr="00686E37" w:rsidRDefault="00686E37" w:rsidP="00686E37">
      <w:pPr>
        <w:pStyle w:val="Prrafodelista"/>
        <w:rPr>
          <w:rFonts w:ascii="Abadi" w:hAnsi="Abadi" w:cs="*Arial-11551-Identity-H"/>
          <w:color w:val="292929"/>
          <w:sz w:val="21"/>
          <w:szCs w:val="21"/>
        </w:rPr>
      </w:pPr>
    </w:p>
    <w:p w14:paraId="6FD96982" w14:textId="77777777" w:rsidR="00686E37" w:rsidRPr="00282F3E" w:rsidRDefault="00686E37" w:rsidP="00686E37">
      <w:pPr>
        <w:pStyle w:val="Prrafodelista"/>
        <w:autoSpaceDE w:val="0"/>
        <w:autoSpaceDN w:val="0"/>
        <w:adjustRightInd w:val="0"/>
        <w:ind w:left="720"/>
        <w:contextualSpacing/>
        <w:jc w:val="both"/>
        <w:rPr>
          <w:rFonts w:ascii="Abadi" w:hAnsi="Abadi" w:cs="*Arial-11551-Identity-H"/>
          <w:color w:val="292929"/>
          <w:sz w:val="21"/>
          <w:szCs w:val="21"/>
        </w:rPr>
      </w:pPr>
    </w:p>
    <w:p w14:paraId="47FB20B1" w14:textId="4C7E0B2F" w:rsidR="00366FFB" w:rsidRDefault="00366FFB" w:rsidP="005C6EBB">
      <w:pPr>
        <w:pStyle w:val="Prrafodelista"/>
        <w:numPr>
          <w:ilvl w:val="0"/>
          <w:numId w:val="17"/>
        </w:numPr>
        <w:autoSpaceDE w:val="0"/>
        <w:autoSpaceDN w:val="0"/>
        <w:adjustRightInd w:val="0"/>
        <w:contextualSpacing/>
        <w:jc w:val="both"/>
        <w:rPr>
          <w:rFonts w:ascii="Abadi" w:hAnsi="Abadi" w:cs="*Arial-11551-Identity-H"/>
          <w:color w:val="2A2A2A"/>
          <w:sz w:val="21"/>
          <w:szCs w:val="21"/>
        </w:rPr>
      </w:pPr>
      <w:r w:rsidRPr="00686E37">
        <w:rPr>
          <w:rFonts w:ascii="Abadi" w:hAnsi="Abadi" w:cs="*Arial-11551-Identity-H"/>
          <w:color w:val="2A2A2A"/>
          <w:sz w:val="21"/>
          <w:szCs w:val="21"/>
        </w:rPr>
        <w:t xml:space="preserve">Promover la internacionalización de las instituciones de educación superior, o través de convenios de movilidad y de </w:t>
      </w:r>
      <w:r w:rsidR="00686E37" w:rsidRPr="00686E37">
        <w:rPr>
          <w:rFonts w:ascii="Abadi" w:hAnsi="Abadi" w:cs="*Arial-11551-Identity-H"/>
          <w:color w:val="2A2A2A"/>
          <w:sz w:val="21"/>
          <w:szCs w:val="21"/>
        </w:rPr>
        <w:t>otras formas</w:t>
      </w:r>
      <w:r w:rsidRPr="00686E37">
        <w:rPr>
          <w:rFonts w:ascii="Abadi" w:hAnsi="Abadi" w:cs="*Arial-11551-Identity-H"/>
          <w:color w:val="2A2A2A"/>
          <w:sz w:val="21"/>
          <w:szCs w:val="21"/>
        </w:rPr>
        <w:t xml:space="preserve"> de cooperación</w:t>
      </w:r>
      <w:r w:rsidR="00686E37" w:rsidRPr="00686E37">
        <w:rPr>
          <w:rFonts w:ascii="Abadi" w:hAnsi="Abadi" w:cs="*Arial-11551-Identity-H"/>
          <w:color w:val="2A2A2A"/>
          <w:sz w:val="21"/>
          <w:szCs w:val="21"/>
        </w:rPr>
        <w:t xml:space="preserve"> </w:t>
      </w:r>
      <w:r w:rsidRPr="00686E37">
        <w:rPr>
          <w:rFonts w:ascii="Abadi" w:hAnsi="Abadi" w:cs="*Arial-11551-Identity-H"/>
          <w:color w:val="2A2A2A"/>
          <w:sz w:val="21"/>
          <w:szCs w:val="21"/>
        </w:rPr>
        <w:t>académica;</w:t>
      </w:r>
    </w:p>
    <w:p w14:paraId="2812B333" w14:textId="77777777" w:rsidR="00686E37" w:rsidRPr="00686E37" w:rsidRDefault="00686E37" w:rsidP="00686E37">
      <w:pPr>
        <w:pStyle w:val="Prrafodelista"/>
        <w:autoSpaceDE w:val="0"/>
        <w:autoSpaceDN w:val="0"/>
        <w:adjustRightInd w:val="0"/>
        <w:ind w:left="720"/>
        <w:contextualSpacing/>
        <w:jc w:val="both"/>
        <w:rPr>
          <w:rFonts w:ascii="Abadi" w:hAnsi="Abadi" w:cs="*Arial-11551-Identity-H"/>
          <w:color w:val="2A2A2A"/>
          <w:sz w:val="21"/>
          <w:szCs w:val="21"/>
        </w:rPr>
      </w:pPr>
    </w:p>
    <w:p w14:paraId="0821FFD8" w14:textId="4F98D87E" w:rsidR="00366FFB" w:rsidRDefault="00366FFB" w:rsidP="005C6EBB">
      <w:pPr>
        <w:pStyle w:val="Prrafodelista"/>
        <w:numPr>
          <w:ilvl w:val="0"/>
          <w:numId w:val="17"/>
        </w:numPr>
        <w:autoSpaceDE w:val="0"/>
        <w:autoSpaceDN w:val="0"/>
        <w:adjustRightInd w:val="0"/>
        <w:contextualSpacing/>
        <w:jc w:val="both"/>
        <w:rPr>
          <w:rFonts w:ascii="Abadi" w:hAnsi="Abadi" w:cs="*Arial-11551-Identity-H"/>
          <w:color w:val="292929"/>
          <w:sz w:val="21"/>
          <w:szCs w:val="21"/>
        </w:rPr>
      </w:pPr>
      <w:r w:rsidRPr="00282F3E">
        <w:rPr>
          <w:rFonts w:ascii="Abadi" w:hAnsi="Abadi" w:cs="*Arial-11551-Identity-H"/>
          <w:color w:val="292929"/>
          <w:sz w:val="21"/>
          <w:szCs w:val="21"/>
        </w:rPr>
        <w:t xml:space="preserve">Coordinarse con la autoridad educativo federal. en lo elaboración de </w:t>
      </w:r>
      <w:r w:rsidR="00686E37" w:rsidRPr="00282F3E">
        <w:rPr>
          <w:rFonts w:ascii="Abadi" w:hAnsi="Abadi" w:cs="*Arial-11551-Identity-H"/>
          <w:color w:val="292929"/>
          <w:sz w:val="21"/>
          <w:szCs w:val="21"/>
        </w:rPr>
        <w:t>los políticos</w:t>
      </w:r>
      <w:r w:rsidRPr="00282F3E">
        <w:rPr>
          <w:rFonts w:ascii="Abadi" w:hAnsi="Abadi" w:cs="*Arial-11551-Identity-H"/>
          <w:color w:val="292929"/>
          <w:sz w:val="21"/>
          <w:szCs w:val="21"/>
        </w:rPr>
        <w:t xml:space="preserve"> de la educación normal y de formación docente;</w:t>
      </w:r>
    </w:p>
    <w:p w14:paraId="2A1D7D40" w14:textId="77777777" w:rsidR="00686E37" w:rsidRPr="00686E37" w:rsidRDefault="00686E37" w:rsidP="00686E37">
      <w:pPr>
        <w:pStyle w:val="Prrafodelista"/>
        <w:rPr>
          <w:rFonts w:ascii="Abadi" w:hAnsi="Abadi" w:cs="*Arial-11551-Identity-H"/>
          <w:color w:val="292929"/>
          <w:sz w:val="21"/>
          <w:szCs w:val="21"/>
        </w:rPr>
      </w:pPr>
    </w:p>
    <w:p w14:paraId="1B60B745" w14:textId="2FF48738" w:rsidR="00366FFB" w:rsidRDefault="00366FFB" w:rsidP="005C6EBB">
      <w:pPr>
        <w:pStyle w:val="Prrafodelista"/>
        <w:numPr>
          <w:ilvl w:val="0"/>
          <w:numId w:val="17"/>
        </w:numPr>
        <w:autoSpaceDE w:val="0"/>
        <w:autoSpaceDN w:val="0"/>
        <w:adjustRightInd w:val="0"/>
        <w:contextualSpacing/>
        <w:jc w:val="both"/>
        <w:rPr>
          <w:rFonts w:ascii="Abadi" w:hAnsi="Abadi" w:cs="*Arial-11551-Identity-H"/>
          <w:color w:val="282828"/>
          <w:sz w:val="21"/>
          <w:szCs w:val="21"/>
        </w:rPr>
      </w:pPr>
      <w:r w:rsidRPr="00282F3E">
        <w:rPr>
          <w:rFonts w:ascii="Abadi" w:hAnsi="Abadi" w:cs="*Arial-11551-Identity-H"/>
          <w:color w:val="282828"/>
          <w:sz w:val="21"/>
          <w:szCs w:val="21"/>
        </w:rPr>
        <w:t>Coordinar la instrumentación de las medidas y acciones estratégicos que se acuerden en el Consejo Nacional para la Coordinación de la Educación Superior, en el ámbito de su competencia;</w:t>
      </w:r>
    </w:p>
    <w:p w14:paraId="017A384F" w14:textId="77777777" w:rsidR="00805777" w:rsidRPr="00805777" w:rsidRDefault="00805777" w:rsidP="00805777">
      <w:pPr>
        <w:pStyle w:val="Prrafodelista"/>
        <w:rPr>
          <w:rFonts w:ascii="Abadi" w:hAnsi="Abadi" w:cs="*Arial-11551-Identity-H"/>
          <w:color w:val="282828"/>
          <w:sz w:val="21"/>
          <w:szCs w:val="21"/>
        </w:rPr>
      </w:pPr>
    </w:p>
    <w:p w14:paraId="52F44EA7" w14:textId="77777777" w:rsidR="00805777" w:rsidRPr="00282F3E" w:rsidRDefault="00805777" w:rsidP="00805777">
      <w:pPr>
        <w:pStyle w:val="Prrafodelista"/>
        <w:autoSpaceDE w:val="0"/>
        <w:autoSpaceDN w:val="0"/>
        <w:adjustRightInd w:val="0"/>
        <w:ind w:left="720"/>
        <w:contextualSpacing/>
        <w:jc w:val="both"/>
        <w:rPr>
          <w:rFonts w:ascii="Abadi" w:hAnsi="Abadi" w:cs="*Arial-11551-Identity-H"/>
          <w:color w:val="282828"/>
          <w:sz w:val="21"/>
          <w:szCs w:val="21"/>
        </w:rPr>
      </w:pPr>
    </w:p>
    <w:p w14:paraId="68639593" w14:textId="77777777" w:rsidR="00366FFB" w:rsidRPr="00282F3E" w:rsidRDefault="00366FFB" w:rsidP="005C6EBB">
      <w:pPr>
        <w:pStyle w:val="Prrafodelista"/>
        <w:numPr>
          <w:ilvl w:val="0"/>
          <w:numId w:val="17"/>
        </w:numPr>
        <w:autoSpaceDE w:val="0"/>
        <w:autoSpaceDN w:val="0"/>
        <w:adjustRightInd w:val="0"/>
        <w:contextualSpacing/>
        <w:jc w:val="both"/>
        <w:rPr>
          <w:rFonts w:ascii="Abadi" w:hAnsi="Abadi" w:cs="*Arial-11551-Identity-H"/>
          <w:color w:val="292929"/>
          <w:sz w:val="21"/>
          <w:szCs w:val="21"/>
        </w:rPr>
      </w:pPr>
      <w:r w:rsidRPr="00282F3E">
        <w:rPr>
          <w:rFonts w:ascii="Abadi" w:hAnsi="Abadi" w:cs="*Arial-11551-Identity-H"/>
          <w:color w:val="292929"/>
          <w:sz w:val="21"/>
          <w:szCs w:val="21"/>
        </w:rPr>
        <w:t>Coordinar las acciones para fomentar la evaluación y acreditación en programas, procesos e instituciones de educación superior;</w:t>
      </w:r>
    </w:p>
    <w:p w14:paraId="4F6E1B7E" w14:textId="77777777" w:rsidR="00366FFB" w:rsidRPr="00743CF7" w:rsidRDefault="00366FFB" w:rsidP="00366FFB">
      <w:pPr>
        <w:autoSpaceDE w:val="0"/>
        <w:autoSpaceDN w:val="0"/>
        <w:adjustRightInd w:val="0"/>
        <w:jc w:val="both"/>
        <w:rPr>
          <w:rFonts w:ascii="Abadi" w:hAnsi="Abadi" w:cs="*Calibri-Bold-11550-Identity-H"/>
          <w:b/>
          <w:bCs/>
          <w:color w:val="2A2A2A"/>
          <w:sz w:val="21"/>
          <w:szCs w:val="21"/>
        </w:rPr>
      </w:pPr>
    </w:p>
    <w:p w14:paraId="4E218A9D" w14:textId="77777777" w:rsidR="00366FFB" w:rsidRPr="00282F3E" w:rsidRDefault="00366FFB" w:rsidP="005C6EBB">
      <w:pPr>
        <w:pStyle w:val="Prrafodelista"/>
        <w:numPr>
          <w:ilvl w:val="0"/>
          <w:numId w:val="17"/>
        </w:numPr>
        <w:autoSpaceDE w:val="0"/>
        <w:autoSpaceDN w:val="0"/>
        <w:adjustRightInd w:val="0"/>
        <w:contextualSpacing/>
        <w:jc w:val="both"/>
        <w:rPr>
          <w:rFonts w:ascii="Abadi" w:hAnsi="Abadi" w:cs="*Arial-11551-Identity-H"/>
          <w:color w:val="2A2A2A"/>
          <w:sz w:val="21"/>
          <w:szCs w:val="21"/>
        </w:rPr>
      </w:pPr>
      <w:r w:rsidRPr="00282F3E">
        <w:rPr>
          <w:rFonts w:ascii="Abadi" w:hAnsi="Abadi" w:cs="*Arial-11551-Identity-H"/>
          <w:color w:val="2A2A2A"/>
          <w:sz w:val="21"/>
          <w:szCs w:val="21"/>
        </w:rPr>
        <w:t>Otorgar, negar o retirar la Autorización y el Reconocimiento de validez oficial a estudios de educación superior, en términos de la presente ley y demás disposiciones aplicables; y</w:t>
      </w:r>
    </w:p>
    <w:p w14:paraId="77CF7AB4" w14:textId="77777777" w:rsidR="00366FFB" w:rsidRPr="00743CF7" w:rsidRDefault="00366FFB" w:rsidP="00366FFB">
      <w:pPr>
        <w:autoSpaceDE w:val="0"/>
        <w:autoSpaceDN w:val="0"/>
        <w:adjustRightInd w:val="0"/>
        <w:jc w:val="both"/>
        <w:rPr>
          <w:rFonts w:ascii="Abadi" w:hAnsi="Abadi" w:cs="*Calibri-Bold-11550-Identity-H"/>
          <w:b/>
          <w:bCs/>
          <w:color w:val="262626"/>
          <w:sz w:val="21"/>
          <w:szCs w:val="21"/>
        </w:rPr>
      </w:pPr>
    </w:p>
    <w:p w14:paraId="6DA34B24" w14:textId="7601826B" w:rsidR="00366FFB" w:rsidRPr="00282F3E" w:rsidRDefault="00366FFB" w:rsidP="005C6EBB">
      <w:pPr>
        <w:pStyle w:val="Prrafodelista"/>
        <w:numPr>
          <w:ilvl w:val="0"/>
          <w:numId w:val="17"/>
        </w:numPr>
        <w:autoSpaceDE w:val="0"/>
        <w:autoSpaceDN w:val="0"/>
        <w:adjustRightInd w:val="0"/>
        <w:contextualSpacing/>
        <w:jc w:val="both"/>
        <w:rPr>
          <w:rFonts w:ascii="Abadi" w:hAnsi="Abadi" w:cs="*Arial-11551-Identity-H"/>
          <w:color w:val="262626"/>
          <w:sz w:val="21"/>
          <w:szCs w:val="21"/>
        </w:rPr>
      </w:pPr>
      <w:r w:rsidRPr="00282F3E">
        <w:rPr>
          <w:rFonts w:ascii="Abadi" w:hAnsi="Abadi" w:cs="*Arial-11551-Identity-H"/>
          <w:color w:val="262626"/>
          <w:sz w:val="21"/>
          <w:szCs w:val="21"/>
        </w:rPr>
        <w:t xml:space="preserve">Las demás que con tal carácter establezcan esta Ley y </w:t>
      </w:r>
      <w:r w:rsidR="00805777">
        <w:rPr>
          <w:rFonts w:ascii="Abadi" w:hAnsi="Abadi" w:cs="*Arial-11551-Identity-H"/>
          <w:color w:val="262626"/>
          <w:sz w:val="21"/>
          <w:szCs w:val="21"/>
        </w:rPr>
        <w:t xml:space="preserve">otras </w:t>
      </w:r>
      <w:r w:rsidRPr="00282F3E">
        <w:rPr>
          <w:rFonts w:ascii="Abadi" w:hAnsi="Abadi" w:cs="*Arial-11551-Identity-H"/>
          <w:color w:val="262626"/>
          <w:sz w:val="21"/>
          <w:szCs w:val="21"/>
        </w:rPr>
        <w:t>disposiciones aplicables.</w:t>
      </w:r>
    </w:p>
    <w:p w14:paraId="2C8698BE" w14:textId="77777777" w:rsidR="00366FFB" w:rsidRPr="00743CF7" w:rsidRDefault="00366FFB" w:rsidP="00366FFB">
      <w:pPr>
        <w:autoSpaceDE w:val="0"/>
        <w:autoSpaceDN w:val="0"/>
        <w:adjustRightInd w:val="0"/>
        <w:jc w:val="both"/>
        <w:rPr>
          <w:rFonts w:ascii="Abadi" w:hAnsi="Abadi" w:cs="*Arial-BoldItalic-11552-Identit"/>
          <w:b/>
          <w:bCs/>
          <w:i/>
          <w:iCs/>
          <w:color w:val="131313"/>
          <w:sz w:val="21"/>
          <w:szCs w:val="21"/>
        </w:rPr>
      </w:pPr>
    </w:p>
    <w:p w14:paraId="429E83D2" w14:textId="39E65982" w:rsidR="00366FFB" w:rsidRPr="00743CF7" w:rsidRDefault="00366FFB" w:rsidP="00366FFB">
      <w:pPr>
        <w:autoSpaceDE w:val="0"/>
        <w:autoSpaceDN w:val="0"/>
        <w:adjustRightInd w:val="0"/>
        <w:jc w:val="right"/>
        <w:rPr>
          <w:rFonts w:ascii="Abadi" w:hAnsi="Abadi" w:cs="*Arial-BoldItalic-11552-Identit"/>
          <w:b/>
          <w:bCs/>
          <w:i/>
          <w:iCs/>
          <w:color w:val="131313"/>
          <w:sz w:val="21"/>
          <w:szCs w:val="21"/>
        </w:rPr>
      </w:pPr>
      <w:r w:rsidRPr="00743CF7">
        <w:rPr>
          <w:rFonts w:ascii="Abadi" w:hAnsi="Abadi" w:cs="*Arial-BoldItalic-11552-Identit"/>
          <w:b/>
          <w:bCs/>
          <w:i/>
          <w:iCs/>
          <w:color w:val="131313"/>
          <w:sz w:val="21"/>
          <w:szCs w:val="21"/>
        </w:rPr>
        <w:t xml:space="preserve">Atribuciones </w:t>
      </w:r>
      <w:r w:rsidR="00805777">
        <w:rPr>
          <w:rFonts w:ascii="Abadi" w:hAnsi="Abadi" w:cs="*Arial-BoldItalic-11552-Identit"/>
          <w:b/>
          <w:bCs/>
          <w:i/>
          <w:iCs/>
          <w:color w:val="131313"/>
          <w:sz w:val="21"/>
          <w:szCs w:val="21"/>
        </w:rPr>
        <w:t xml:space="preserve">de </w:t>
      </w:r>
      <w:r w:rsidRPr="00743CF7">
        <w:rPr>
          <w:rFonts w:ascii="Abadi" w:hAnsi="Abadi" w:cs="*Arial-BoldItalic-11552-Identit"/>
          <w:b/>
          <w:bCs/>
          <w:i/>
          <w:iCs/>
          <w:color w:val="131313"/>
          <w:sz w:val="21"/>
          <w:szCs w:val="21"/>
        </w:rPr>
        <w:t>los organismos públicos descentr</w:t>
      </w:r>
      <w:r w:rsidR="00805777">
        <w:rPr>
          <w:rFonts w:ascii="Abadi" w:hAnsi="Abadi" w:cs="*Arial-BoldItalic-11552-Identit"/>
          <w:b/>
          <w:bCs/>
          <w:i/>
          <w:iCs/>
          <w:color w:val="131313"/>
          <w:sz w:val="21"/>
          <w:szCs w:val="21"/>
        </w:rPr>
        <w:t>alizados</w:t>
      </w:r>
    </w:p>
    <w:p w14:paraId="5633DE1D" w14:textId="77777777" w:rsidR="00366FFB" w:rsidRPr="00743CF7" w:rsidRDefault="00366FFB" w:rsidP="00805777">
      <w:pPr>
        <w:autoSpaceDE w:val="0"/>
        <w:autoSpaceDN w:val="0"/>
        <w:adjustRightInd w:val="0"/>
        <w:ind w:firstLine="360"/>
        <w:jc w:val="both"/>
        <w:rPr>
          <w:rFonts w:ascii="Abadi" w:hAnsi="Abadi" w:cs="*Arial-11551-Identity-H"/>
          <w:color w:val="2A2A2A"/>
          <w:sz w:val="21"/>
          <w:szCs w:val="21"/>
        </w:rPr>
      </w:pPr>
      <w:r w:rsidRPr="00743CF7">
        <w:rPr>
          <w:rFonts w:ascii="Abadi" w:hAnsi="Abadi" w:cs="*Calibri-Bold-11549-Identity-H"/>
          <w:b/>
          <w:bCs/>
          <w:color w:val="2A2A2A"/>
          <w:sz w:val="21"/>
          <w:szCs w:val="21"/>
        </w:rPr>
        <w:t xml:space="preserve">Artículo </w:t>
      </w:r>
      <w:r w:rsidRPr="00743CF7">
        <w:rPr>
          <w:rFonts w:ascii="Abadi" w:hAnsi="Abadi" w:cs="*Times New Roman-BoldItalic-115"/>
          <w:b/>
          <w:bCs/>
          <w:i/>
          <w:iCs/>
          <w:color w:val="2A2A2A"/>
          <w:sz w:val="21"/>
          <w:szCs w:val="21"/>
        </w:rPr>
        <w:t xml:space="preserve">22. </w:t>
      </w:r>
      <w:r w:rsidRPr="00743CF7">
        <w:rPr>
          <w:rFonts w:ascii="Abadi" w:hAnsi="Abadi" w:cs="*Arial-11551-Identity-H"/>
          <w:color w:val="2A2A2A"/>
          <w:sz w:val="21"/>
          <w:szCs w:val="21"/>
        </w:rPr>
        <w:t>Las instituciones de educación superior que se encuentren constituidas como organismos públicos descentralizados, tendrán las atribuciones siguientes:</w:t>
      </w:r>
    </w:p>
    <w:p w14:paraId="1EDCDBAC" w14:textId="77777777" w:rsidR="00366FFB" w:rsidRPr="00743CF7" w:rsidRDefault="00366FFB" w:rsidP="00366FFB">
      <w:pPr>
        <w:jc w:val="both"/>
        <w:rPr>
          <w:rFonts w:ascii="Abadi" w:hAnsi="Abadi" w:cs="*Calibri-11548-Identity-H"/>
          <w:color w:val="222222"/>
          <w:sz w:val="21"/>
          <w:szCs w:val="21"/>
        </w:rPr>
      </w:pPr>
    </w:p>
    <w:p w14:paraId="19E426DC"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Arial-11571-Identity-H"/>
          <w:color w:val="272727"/>
          <w:sz w:val="21"/>
          <w:szCs w:val="21"/>
        </w:rPr>
      </w:pPr>
      <w:r w:rsidRPr="009C5DBC">
        <w:rPr>
          <w:rFonts w:ascii="Abadi" w:hAnsi="Abadi" w:cs="*Arial-11571-Identity-H"/>
          <w:color w:val="272727"/>
          <w:sz w:val="21"/>
          <w:szCs w:val="21"/>
        </w:rPr>
        <w:t>Diseñar e implementar, de manera coordinada con la Secretaría, programas de expansión y diversificación de la oferta educativa de tipo superior, garantizando los recursos materiales</w:t>
      </w:r>
      <w:r>
        <w:rPr>
          <w:rFonts w:ascii="Abadi" w:hAnsi="Abadi" w:cs="*Arial-11571-Identity-H"/>
          <w:color w:val="272727"/>
          <w:sz w:val="21"/>
          <w:szCs w:val="21"/>
        </w:rPr>
        <w:t xml:space="preserve"> y</w:t>
      </w:r>
      <w:r w:rsidRPr="009C5DBC">
        <w:rPr>
          <w:rFonts w:ascii="Abadi" w:hAnsi="Abadi" w:cs="*Times New Roman-Italic-11569-I"/>
          <w:i/>
          <w:iCs/>
          <w:color w:val="272727"/>
          <w:sz w:val="21"/>
          <w:szCs w:val="21"/>
        </w:rPr>
        <w:t xml:space="preserve"> </w:t>
      </w:r>
      <w:r w:rsidRPr="009C5DBC">
        <w:rPr>
          <w:rFonts w:ascii="Abadi" w:hAnsi="Abadi" w:cs="*Arial-11571-Identity-H"/>
          <w:color w:val="272727"/>
          <w:sz w:val="21"/>
          <w:szCs w:val="21"/>
        </w:rPr>
        <w:t>la infraestructura necesaria para la prestación de nuevos servicios educativos con criterios de calidad, excelencia, equidad, inclusión, interculturalidad y pertinencia;</w:t>
      </w:r>
    </w:p>
    <w:p w14:paraId="60B38370" w14:textId="77777777" w:rsidR="00366FFB" w:rsidRPr="00743CF7" w:rsidRDefault="00366FFB" w:rsidP="00366FFB">
      <w:pPr>
        <w:autoSpaceDE w:val="0"/>
        <w:autoSpaceDN w:val="0"/>
        <w:adjustRightInd w:val="0"/>
        <w:jc w:val="both"/>
        <w:rPr>
          <w:rFonts w:ascii="Abadi" w:hAnsi="Abadi" w:cs="*Arial-11571-Identity-H"/>
          <w:color w:val="272727"/>
          <w:sz w:val="21"/>
          <w:szCs w:val="21"/>
        </w:rPr>
      </w:pPr>
    </w:p>
    <w:p w14:paraId="61C63E65"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Arial-11571-Identity-H"/>
          <w:color w:val="282828"/>
          <w:sz w:val="21"/>
          <w:szCs w:val="21"/>
        </w:rPr>
      </w:pPr>
      <w:r w:rsidRPr="009C5DBC">
        <w:rPr>
          <w:rFonts w:ascii="Abadi" w:hAnsi="Abadi" w:cs="*Arial-11571-Identity-H"/>
          <w:color w:val="282828"/>
          <w:sz w:val="21"/>
          <w:szCs w:val="21"/>
        </w:rPr>
        <w:t xml:space="preserve">Realizar la planeación de la educación superior que imparten, en sujeción a la planeación estatal </w:t>
      </w:r>
      <w:r w:rsidRPr="009C5DBC">
        <w:rPr>
          <w:rFonts w:ascii="Abadi" w:hAnsi="Abadi" w:cs="*Times New Roman-Italic-11569-I"/>
          <w:i/>
          <w:iCs/>
          <w:color w:val="282828"/>
          <w:sz w:val="21"/>
          <w:szCs w:val="21"/>
        </w:rPr>
        <w:t xml:space="preserve">y </w:t>
      </w:r>
      <w:r w:rsidRPr="009C5DBC">
        <w:rPr>
          <w:rFonts w:ascii="Abadi" w:hAnsi="Abadi" w:cs="*Arial-11571-Identity-H"/>
          <w:color w:val="282828"/>
          <w:sz w:val="21"/>
          <w:szCs w:val="21"/>
        </w:rPr>
        <w:t>con la participación de las comunidades académicas de las instituciones de este tipo de educación;</w:t>
      </w:r>
    </w:p>
    <w:p w14:paraId="0D549950" w14:textId="77777777" w:rsidR="00366FFB" w:rsidRPr="00743CF7" w:rsidRDefault="00366FFB" w:rsidP="00366FFB">
      <w:pPr>
        <w:autoSpaceDE w:val="0"/>
        <w:autoSpaceDN w:val="0"/>
        <w:adjustRightInd w:val="0"/>
        <w:jc w:val="both"/>
        <w:rPr>
          <w:rFonts w:ascii="Abadi" w:hAnsi="Abadi" w:cs="*Arial-11571-Identity-H"/>
          <w:color w:val="282828"/>
          <w:sz w:val="21"/>
          <w:szCs w:val="21"/>
        </w:rPr>
      </w:pPr>
    </w:p>
    <w:p w14:paraId="018A45C4"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Arial-11571-Identity-H"/>
          <w:color w:val="292929"/>
          <w:sz w:val="21"/>
          <w:szCs w:val="21"/>
        </w:rPr>
      </w:pPr>
      <w:r w:rsidRPr="009C5DBC">
        <w:rPr>
          <w:rFonts w:ascii="Abadi" w:hAnsi="Abadi" w:cs="*Arial-11571-Identity-H"/>
          <w:color w:val="292929"/>
          <w:sz w:val="21"/>
          <w:szCs w:val="21"/>
        </w:rPr>
        <w:t xml:space="preserve">Impulsar opciones educativas innovadoras que contribuyan a la calidad, excelencia, et incremento de la cobertura </w:t>
      </w:r>
      <w:r w:rsidRPr="009C5DBC">
        <w:rPr>
          <w:rFonts w:ascii="Abadi" w:hAnsi="Abadi" w:cs="*Times New Roman-Italic-11569-I"/>
          <w:i/>
          <w:iCs/>
          <w:color w:val="292929"/>
          <w:sz w:val="21"/>
          <w:szCs w:val="21"/>
        </w:rPr>
        <w:t xml:space="preserve">y </w:t>
      </w:r>
      <w:r w:rsidRPr="009C5DBC">
        <w:rPr>
          <w:rFonts w:ascii="Abadi" w:hAnsi="Abadi" w:cs="*Arial-11571-Identity-H"/>
          <w:color w:val="292929"/>
          <w:sz w:val="21"/>
          <w:szCs w:val="21"/>
        </w:rPr>
        <w:t>diversificación de la oferta educativa;</w:t>
      </w:r>
    </w:p>
    <w:p w14:paraId="30A3306B" w14:textId="77777777" w:rsidR="00366FFB" w:rsidRPr="00743CF7" w:rsidRDefault="00366FFB" w:rsidP="00366FFB">
      <w:pPr>
        <w:autoSpaceDE w:val="0"/>
        <w:autoSpaceDN w:val="0"/>
        <w:adjustRightInd w:val="0"/>
        <w:jc w:val="both"/>
        <w:rPr>
          <w:rFonts w:ascii="Abadi" w:hAnsi="Abadi" w:cs="*Arial-11571-Identity-H"/>
          <w:color w:val="292929"/>
          <w:sz w:val="21"/>
          <w:szCs w:val="21"/>
        </w:rPr>
      </w:pPr>
    </w:p>
    <w:p w14:paraId="7F8545E5"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Arial-11571-Identity-H"/>
          <w:color w:val="292929"/>
          <w:sz w:val="21"/>
          <w:szCs w:val="21"/>
        </w:rPr>
      </w:pPr>
      <w:r w:rsidRPr="009C5DBC">
        <w:rPr>
          <w:rFonts w:ascii="Abadi" w:hAnsi="Abadi" w:cs="*Arial-11571-Identity-H"/>
          <w:color w:val="292929"/>
          <w:sz w:val="21"/>
          <w:szCs w:val="21"/>
        </w:rPr>
        <w:t>Promover, con los sectores público, social y productivo, la inserción laboral de las personas egresadas de educación superior;</w:t>
      </w:r>
    </w:p>
    <w:p w14:paraId="36D76368" w14:textId="77777777" w:rsidR="00366FFB" w:rsidRPr="00743CF7" w:rsidRDefault="00366FFB" w:rsidP="00366FFB">
      <w:pPr>
        <w:autoSpaceDE w:val="0"/>
        <w:autoSpaceDN w:val="0"/>
        <w:adjustRightInd w:val="0"/>
        <w:jc w:val="both"/>
        <w:rPr>
          <w:rFonts w:ascii="Abadi" w:hAnsi="Abadi" w:cs="*Arial-11571-Identity-H"/>
          <w:color w:val="262626"/>
          <w:sz w:val="21"/>
          <w:szCs w:val="21"/>
        </w:rPr>
      </w:pPr>
    </w:p>
    <w:p w14:paraId="000D5CBC"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Arial-11571-Identity-H"/>
          <w:color w:val="262626"/>
          <w:sz w:val="21"/>
          <w:szCs w:val="21"/>
        </w:rPr>
      </w:pPr>
      <w:r w:rsidRPr="009C5DBC">
        <w:rPr>
          <w:rFonts w:ascii="Abadi" w:hAnsi="Abadi" w:cs="*Arial-11571-Identity-H"/>
          <w:color w:val="262626"/>
          <w:sz w:val="21"/>
          <w:szCs w:val="21"/>
        </w:rPr>
        <w:t>Implementar políticas de financiamiento para la generación de recursos complementarios para el cumplimiento de su objeto;</w:t>
      </w:r>
    </w:p>
    <w:p w14:paraId="1BAB4482" w14:textId="77777777" w:rsidR="00366FFB" w:rsidRPr="00743CF7" w:rsidRDefault="00366FFB" w:rsidP="00366FFB">
      <w:pPr>
        <w:autoSpaceDE w:val="0"/>
        <w:autoSpaceDN w:val="0"/>
        <w:adjustRightInd w:val="0"/>
        <w:jc w:val="both"/>
        <w:rPr>
          <w:rFonts w:ascii="Abadi" w:hAnsi="Abadi" w:cs="*Arial-11571-Identity-H"/>
          <w:color w:val="282828"/>
          <w:sz w:val="21"/>
          <w:szCs w:val="21"/>
        </w:rPr>
      </w:pPr>
    </w:p>
    <w:p w14:paraId="146FE927"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Arial-11571-Identity-H"/>
          <w:color w:val="282828"/>
          <w:sz w:val="21"/>
          <w:szCs w:val="21"/>
        </w:rPr>
      </w:pPr>
      <w:r w:rsidRPr="009C5DBC">
        <w:rPr>
          <w:rFonts w:ascii="Abadi" w:hAnsi="Abadi" w:cs="*Arial-11571-Identity-H"/>
          <w:color w:val="282828"/>
          <w:sz w:val="21"/>
          <w:szCs w:val="21"/>
        </w:rPr>
        <w:t>Dar seguimiento a las medidas para generar las condiciones educativas, del entorno urbano y de prestación de servicios públicos necesarios que coadyuven al cumplimiento, por parte de las instituciones de educación superior, de los criterios, fines y políticas previstos en esta Ley;</w:t>
      </w:r>
    </w:p>
    <w:p w14:paraId="24502794" w14:textId="77777777" w:rsidR="00366FFB" w:rsidRPr="00743CF7" w:rsidRDefault="00366FFB" w:rsidP="00366FFB">
      <w:pPr>
        <w:autoSpaceDE w:val="0"/>
        <w:autoSpaceDN w:val="0"/>
        <w:adjustRightInd w:val="0"/>
        <w:jc w:val="both"/>
        <w:rPr>
          <w:rFonts w:ascii="Abadi" w:hAnsi="Abadi" w:cs="*Microsoft Sans Serif-Bold-1157"/>
          <w:b/>
          <w:bCs/>
          <w:color w:val="292929"/>
          <w:sz w:val="21"/>
          <w:szCs w:val="21"/>
        </w:rPr>
      </w:pPr>
    </w:p>
    <w:p w14:paraId="320B2B43"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Arial-11571-Identity-H"/>
          <w:color w:val="292929"/>
          <w:sz w:val="21"/>
          <w:szCs w:val="21"/>
        </w:rPr>
      </w:pPr>
      <w:r w:rsidRPr="009C5DBC">
        <w:rPr>
          <w:rFonts w:ascii="Abadi" w:hAnsi="Abadi" w:cs="*Arial-11571-Identity-H"/>
          <w:color w:val="292929"/>
          <w:sz w:val="21"/>
          <w:szCs w:val="21"/>
        </w:rPr>
        <w:t>Orientar sus prácticas administrativas, a través de procesos de simplificación, para facilitar la operación de las instituciones de educación superior en el cumplimiento de sus fines educativos;</w:t>
      </w:r>
    </w:p>
    <w:p w14:paraId="718782A7" w14:textId="77777777" w:rsidR="00366FFB" w:rsidRPr="00743CF7" w:rsidRDefault="00366FFB" w:rsidP="00366FFB">
      <w:pPr>
        <w:autoSpaceDE w:val="0"/>
        <w:autoSpaceDN w:val="0"/>
        <w:adjustRightInd w:val="0"/>
        <w:jc w:val="both"/>
        <w:rPr>
          <w:rFonts w:ascii="Abadi" w:hAnsi="Abadi" w:cs="*Microsoft Sans Serif-Bold-1157"/>
          <w:b/>
          <w:bCs/>
          <w:color w:val="272727"/>
          <w:sz w:val="21"/>
          <w:szCs w:val="21"/>
        </w:rPr>
      </w:pPr>
    </w:p>
    <w:p w14:paraId="76AC2E49"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Arial-11571-Identity-H"/>
          <w:color w:val="272727"/>
          <w:sz w:val="21"/>
          <w:szCs w:val="21"/>
        </w:rPr>
      </w:pPr>
      <w:r w:rsidRPr="009C5DBC">
        <w:rPr>
          <w:rFonts w:ascii="Abadi" w:hAnsi="Abadi" w:cs="*Arial-11571-Identity-H"/>
          <w:color w:val="272727"/>
          <w:sz w:val="21"/>
          <w:szCs w:val="21"/>
        </w:rPr>
        <w:t xml:space="preserve">Dar aviso a las autoridades competentes, a efecto de ordenar la suspensión de actos o prácticas que constituyan una probable conducta prohibida por la ley o una posible violación a los derechos humanos reconocidos por esta norma </w:t>
      </w:r>
      <w:r w:rsidRPr="009C5DBC">
        <w:rPr>
          <w:rFonts w:ascii="Abadi" w:hAnsi="Abadi" w:cs="*Microsoft Sans Serif-Italic-11"/>
          <w:i/>
          <w:iCs/>
          <w:color w:val="272727"/>
          <w:sz w:val="21"/>
          <w:szCs w:val="21"/>
        </w:rPr>
        <w:t xml:space="preserve">e </w:t>
      </w:r>
      <w:r w:rsidRPr="009C5DBC">
        <w:rPr>
          <w:rFonts w:ascii="Abadi" w:hAnsi="Abadi" w:cs="*Arial-11571-Identity-H"/>
          <w:color w:val="272727"/>
          <w:sz w:val="21"/>
          <w:szCs w:val="21"/>
        </w:rPr>
        <w:t>imponer las sanciones que procedan;</w:t>
      </w:r>
    </w:p>
    <w:p w14:paraId="46789CD5" w14:textId="77777777" w:rsidR="00366FFB" w:rsidRPr="00743CF7" w:rsidRDefault="00366FFB" w:rsidP="00366FFB">
      <w:pPr>
        <w:jc w:val="both"/>
        <w:rPr>
          <w:rFonts w:ascii="Abadi" w:hAnsi="Abadi" w:cs="*Arial-11571-Identity-H"/>
          <w:color w:val="272727"/>
          <w:sz w:val="21"/>
          <w:szCs w:val="21"/>
        </w:rPr>
      </w:pPr>
    </w:p>
    <w:p w14:paraId="1C256A07"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Calibri-12028-Identity-H"/>
          <w:color w:val="2A2A2A"/>
          <w:sz w:val="21"/>
          <w:szCs w:val="21"/>
        </w:rPr>
      </w:pPr>
      <w:r w:rsidRPr="009C5DBC">
        <w:rPr>
          <w:rFonts w:ascii="Abadi" w:hAnsi="Abadi" w:cs="*Calibri-12028-Identity-H"/>
          <w:color w:val="2A2A2A"/>
          <w:sz w:val="21"/>
          <w:szCs w:val="21"/>
        </w:rPr>
        <w:t xml:space="preserve">Coordinarse con los sectores público, productivo y social para generar acciones </w:t>
      </w:r>
      <w:r w:rsidRPr="009C5DBC">
        <w:rPr>
          <w:rFonts w:ascii="Abadi" w:hAnsi="Abadi" w:cs="*Times New Roman-Italic-12025-I"/>
          <w:i/>
          <w:iCs/>
          <w:color w:val="2A2A2A"/>
          <w:sz w:val="21"/>
          <w:szCs w:val="21"/>
        </w:rPr>
        <w:t xml:space="preserve">y </w:t>
      </w:r>
      <w:r w:rsidRPr="009C5DBC">
        <w:rPr>
          <w:rFonts w:ascii="Abadi" w:hAnsi="Abadi" w:cs="*Calibri-12028-Identity-H"/>
          <w:color w:val="2A2A2A"/>
          <w:sz w:val="21"/>
          <w:szCs w:val="21"/>
        </w:rPr>
        <w:t xml:space="preserve">programas educativos del tipo superior pertinentes con las necesidades de la región </w:t>
      </w:r>
      <w:r w:rsidRPr="009C5DBC">
        <w:rPr>
          <w:rFonts w:ascii="Abadi" w:hAnsi="Abadi" w:cs="*Tahoma-12031-Identity-H"/>
          <w:color w:val="2A2A2A"/>
          <w:sz w:val="21"/>
          <w:szCs w:val="21"/>
        </w:rPr>
        <w:t xml:space="preserve">y </w:t>
      </w:r>
      <w:r w:rsidRPr="009C5DBC">
        <w:rPr>
          <w:rFonts w:ascii="Abadi" w:hAnsi="Abadi" w:cs="*Calibri-12028-Identity-H"/>
          <w:color w:val="2A2A2A"/>
          <w:sz w:val="21"/>
          <w:szCs w:val="21"/>
        </w:rPr>
        <w:t>de su municipio;</w:t>
      </w:r>
    </w:p>
    <w:p w14:paraId="62614F6E" w14:textId="77777777" w:rsidR="00366FFB" w:rsidRPr="00743CF7" w:rsidRDefault="00366FFB" w:rsidP="00366FFB">
      <w:pPr>
        <w:autoSpaceDE w:val="0"/>
        <w:autoSpaceDN w:val="0"/>
        <w:adjustRightInd w:val="0"/>
        <w:jc w:val="both"/>
        <w:rPr>
          <w:rFonts w:ascii="Abadi" w:hAnsi="Abadi" w:cs="*Calibri-12028-Identity-H"/>
          <w:color w:val="2A2A2A"/>
          <w:sz w:val="21"/>
          <w:szCs w:val="21"/>
        </w:rPr>
      </w:pPr>
    </w:p>
    <w:p w14:paraId="4A311457"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Calibri-12028-Identity-H"/>
          <w:color w:val="2A2A2A"/>
          <w:sz w:val="21"/>
          <w:szCs w:val="21"/>
        </w:rPr>
      </w:pPr>
      <w:r w:rsidRPr="009C5DBC">
        <w:rPr>
          <w:rFonts w:ascii="Abadi" w:hAnsi="Abadi" w:cs="*Calibri-12028-Identity-H"/>
          <w:color w:val="2A2A2A"/>
          <w:sz w:val="21"/>
          <w:szCs w:val="21"/>
        </w:rPr>
        <w:t>Aplicar la totalidad de los recursos destinados o aprobados para la promoción o prestación de servicios educativos, sin modificar su finalidad o asignación, en los términos de esto Ley; y</w:t>
      </w:r>
    </w:p>
    <w:p w14:paraId="57E61E3A" w14:textId="77777777" w:rsidR="00366FFB" w:rsidRPr="00743CF7" w:rsidRDefault="00366FFB" w:rsidP="00366FFB">
      <w:pPr>
        <w:autoSpaceDE w:val="0"/>
        <w:autoSpaceDN w:val="0"/>
        <w:adjustRightInd w:val="0"/>
        <w:jc w:val="both"/>
        <w:rPr>
          <w:rFonts w:ascii="Abadi" w:hAnsi="Abadi" w:cs="*Calibri-12028-Identity-H"/>
          <w:color w:val="2A2A2A"/>
          <w:sz w:val="21"/>
          <w:szCs w:val="21"/>
        </w:rPr>
      </w:pPr>
    </w:p>
    <w:p w14:paraId="322281FF" w14:textId="77777777" w:rsidR="00366FFB" w:rsidRPr="009C5DBC" w:rsidRDefault="00366FFB" w:rsidP="005C6EBB">
      <w:pPr>
        <w:pStyle w:val="Prrafodelista"/>
        <w:numPr>
          <w:ilvl w:val="0"/>
          <w:numId w:val="18"/>
        </w:numPr>
        <w:autoSpaceDE w:val="0"/>
        <w:autoSpaceDN w:val="0"/>
        <w:adjustRightInd w:val="0"/>
        <w:contextualSpacing/>
        <w:jc w:val="both"/>
        <w:rPr>
          <w:rFonts w:ascii="Abadi" w:hAnsi="Abadi" w:cs="*Calibri-12028-Identity-H"/>
          <w:color w:val="2B2B2B"/>
          <w:sz w:val="21"/>
          <w:szCs w:val="21"/>
        </w:rPr>
      </w:pPr>
      <w:r w:rsidRPr="009C5DBC">
        <w:rPr>
          <w:rFonts w:ascii="Abadi" w:hAnsi="Abadi" w:cs="*Calibri-12028-Identity-H"/>
          <w:color w:val="2B2B2B"/>
          <w:sz w:val="21"/>
          <w:szCs w:val="21"/>
        </w:rPr>
        <w:t>Las demás previstas en esta Ley y eh los ordenamientos aplicables.</w:t>
      </w:r>
    </w:p>
    <w:p w14:paraId="70E1CED4" w14:textId="77777777" w:rsidR="00366FFB" w:rsidRPr="00743CF7" w:rsidRDefault="00366FFB" w:rsidP="00366FFB">
      <w:pPr>
        <w:autoSpaceDE w:val="0"/>
        <w:autoSpaceDN w:val="0"/>
        <w:adjustRightInd w:val="0"/>
        <w:jc w:val="both"/>
        <w:rPr>
          <w:rFonts w:ascii="Abadi" w:hAnsi="Abadi" w:cs="*Calibri-12028-Identity-H"/>
          <w:color w:val="2B2B2B"/>
          <w:sz w:val="21"/>
          <w:szCs w:val="21"/>
        </w:rPr>
      </w:pPr>
    </w:p>
    <w:p w14:paraId="21C887E3" w14:textId="77777777" w:rsidR="00366FFB" w:rsidRPr="00743CF7" w:rsidRDefault="00366FFB" w:rsidP="00366FFB">
      <w:pPr>
        <w:autoSpaceDE w:val="0"/>
        <w:autoSpaceDN w:val="0"/>
        <w:adjustRightInd w:val="0"/>
        <w:jc w:val="both"/>
        <w:rPr>
          <w:rFonts w:ascii="Abadi" w:hAnsi="Abadi" w:cs="*Calibri-12028-Identity-H"/>
          <w:color w:val="2B2B2B"/>
          <w:sz w:val="21"/>
          <w:szCs w:val="21"/>
        </w:rPr>
      </w:pPr>
    </w:p>
    <w:p w14:paraId="2511E675" w14:textId="77777777" w:rsidR="00366FFB" w:rsidRPr="00743CF7" w:rsidRDefault="00366FFB" w:rsidP="00366FFB">
      <w:pPr>
        <w:autoSpaceDE w:val="0"/>
        <w:autoSpaceDN w:val="0"/>
        <w:adjustRightInd w:val="0"/>
        <w:jc w:val="right"/>
        <w:rPr>
          <w:rFonts w:ascii="Abadi" w:hAnsi="Abadi" w:cs="*Tahoma-BoldItalic-12032-Identi"/>
          <w:b/>
          <w:bCs/>
          <w:i/>
          <w:iCs/>
          <w:color w:val="131313"/>
          <w:sz w:val="21"/>
          <w:szCs w:val="21"/>
        </w:rPr>
      </w:pPr>
      <w:r w:rsidRPr="00743CF7">
        <w:rPr>
          <w:rFonts w:ascii="Abadi" w:hAnsi="Abadi" w:cs="*Tahoma-BoldItalic-12032-Identi"/>
          <w:b/>
          <w:bCs/>
          <w:i/>
          <w:iCs/>
          <w:color w:val="131313"/>
          <w:sz w:val="21"/>
          <w:szCs w:val="21"/>
        </w:rPr>
        <w:t>Atribuciones de los Ayuntamientos</w:t>
      </w:r>
    </w:p>
    <w:p w14:paraId="3AC2EBEC" w14:textId="77777777" w:rsidR="00366FFB" w:rsidRPr="00743CF7" w:rsidRDefault="00366FFB" w:rsidP="00366FFB">
      <w:pPr>
        <w:autoSpaceDE w:val="0"/>
        <w:autoSpaceDN w:val="0"/>
        <w:adjustRightInd w:val="0"/>
        <w:ind w:firstLine="360"/>
        <w:jc w:val="both"/>
        <w:rPr>
          <w:rFonts w:ascii="Abadi" w:hAnsi="Abadi" w:cs="*Calibri-12028-Identity-H"/>
          <w:color w:val="2A2A2A"/>
          <w:sz w:val="21"/>
          <w:szCs w:val="21"/>
        </w:rPr>
      </w:pPr>
      <w:r w:rsidRPr="00743CF7">
        <w:rPr>
          <w:rFonts w:ascii="Abadi" w:hAnsi="Abadi" w:cs="*Arial-Bold-12029-Identity-H"/>
          <w:b/>
          <w:bCs/>
          <w:color w:val="2A2A2A"/>
          <w:sz w:val="21"/>
          <w:szCs w:val="21"/>
        </w:rPr>
        <w:t xml:space="preserve">Artículo 23. </w:t>
      </w:r>
      <w:r w:rsidRPr="00743CF7">
        <w:rPr>
          <w:rFonts w:ascii="Abadi" w:hAnsi="Abadi" w:cs="*Calibri-12028-Identity-H"/>
          <w:color w:val="2A2A2A"/>
          <w:sz w:val="21"/>
          <w:szCs w:val="21"/>
        </w:rPr>
        <w:t>Los Ayuntamientos, en materia de educación superior, tienen las siguientes atribuciones:</w:t>
      </w:r>
    </w:p>
    <w:p w14:paraId="62E19945" w14:textId="77777777" w:rsidR="00366FFB" w:rsidRPr="00743CF7" w:rsidRDefault="00366FFB" w:rsidP="00366FFB">
      <w:pPr>
        <w:autoSpaceDE w:val="0"/>
        <w:autoSpaceDN w:val="0"/>
        <w:adjustRightInd w:val="0"/>
        <w:jc w:val="both"/>
        <w:rPr>
          <w:rFonts w:ascii="Abadi" w:hAnsi="Abadi" w:cs="*Calibri-12028-Identity-H"/>
          <w:color w:val="2A2A2A"/>
          <w:sz w:val="21"/>
          <w:szCs w:val="21"/>
        </w:rPr>
      </w:pPr>
    </w:p>
    <w:p w14:paraId="03C1D26C" w14:textId="77777777" w:rsidR="00366FFB" w:rsidRPr="00891AE7" w:rsidRDefault="00366FFB" w:rsidP="005C6EBB">
      <w:pPr>
        <w:pStyle w:val="Prrafodelista"/>
        <w:numPr>
          <w:ilvl w:val="0"/>
          <w:numId w:val="19"/>
        </w:numPr>
        <w:autoSpaceDE w:val="0"/>
        <w:autoSpaceDN w:val="0"/>
        <w:adjustRightInd w:val="0"/>
        <w:contextualSpacing/>
        <w:jc w:val="both"/>
        <w:rPr>
          <w:rFonts w:ascii="Abadi" w:hAnsi="Abadi" w:cs="*Calibri-12028-Identity-H"/>
          <w:color w:val="2A2A2A"/>
          <w:sz w:val="21"/>
          <w:szCs w:val="21"/>
        </w:rPr>
      </w:pPr>
      <w:r w:rsidRPr="00891AE7">
        <w:rPr>
          <w:rFonts w:ascii="Abadi" w:hAnsi="Abadi" w:cs="*Calibri-12028-Identity-H"/>
          <w:color w:val="2A2A2A"/>
          <w:sz w:val="21"/>
          <w:szCs w:val="21"/>
        </w:rPr>
        <w:t xml:space="preserve">l. Coordinarse con la Secretaría, a efecto de cumplir adecuadamente con los criterios, fines </w:t>
      </w:r>
      <w:r w:rsidRPr="00891AE7">
        <w:rPr>
          <w:rFonts w:ascii="Abadi" w:hAnsi="Abadi" w:cs="*Times New Roman-Italic-12025-I"/>
          <w:i/>
          <w:iCs/>
          <w:color w:val="2A2A2A"/>
          <w:sz w:val="21"/>
          <w:szCs w:val="21"/>
        </w:rPr>
        <w:t xml:space="preserve">y </w:t>
      </w:r>
      <w:r w:rsidRPr="00891AE7">
        <w:rPr>
          <w:rFonts w:ascii="Abadi" w:hAnsi="Abadi" w:cs="*Calibri-12028-Identity-H"/>
          <w:color w:val="2A2A2A"/>
          <w:sz w:val="21"/>
          <w:szCs w:val="21"/>
        </w:rPr>
        <w:t>políticas del tipo de educación superior;</w:t>
      </w:r>
    </w:p>
    <w:p w14:paraId="3DB2315B" w14:textId="77777777" w:rsidR="00366FFB" w:rsidRPr="00743CF7" w:rsidRDefault="00366FFB" w:rsidP="00366FFB">
      <w:pPr>
        <w:autoSpaceDE w:val="0"/>
        <w:autoSpaceDN w:val="0"/>
        <w:adjustRightInd w:val="0"/>
        <w:jc w:val="both"/>
        <w:rPr>
          <w:rFonts w:ascii="Abadi" w:hAnsi="Abadi" w:cs="*Calibri-12028-Identity-H"/>
          <w:color w:val="2A2A2A"/>
          <w:sz w:val="21"/>
          <w:szCs w:val="21"/>
        </w:rPr>
      </w:pPr>
    </w:p>
    <w:p w14:paraId="781C4BC5" w14:textId="77777777" w:rsidR="00366FFB" w:rsidRPr="00891AE7" w:rsidRDefault="00366FFB" w:rsidP="005C6EBB">
      <w:pPr>
        <w:pStyle w:val="Prrafodelista"/>
        <w:numPr>
          <w:ilvl w:val="0"/>
          <w:numId w:val="19"/>
        </w:numPr>
        <w:autoSpaceDE w:val="0"/>
        <w:autoSpaceDN w:val="0"/>
        <w:adjustRightInd w:val="0"/>
        <w:contextualSpacing/>
        <w:jc w:val="both"/>
        <w:rPr>
          <w:rFonts w:ascii="Abadi" w:hAnsi="Abadi" w:cs="*Calibri-12028-Identity-H"/>
          <w:color w:val="2B2B2B"/>
          <w:sz w:val="21"/>
          <w:szCs w:val="21"/>
        </w:rPr>
      </w:pPr>
      <w:r w:rsidRPr="00891AE7">
        <w:rPr>
          <w:rFonts w:ascii="Abadi" w:hAnsi="Abadi" w:cs="*Calibri-12028-Identity-H"/>
          <w:color w:val="2B2B2B"/>
          <w:sz w:val="21"/>
          <w:szCs w:val="21"/>
        </w:rPr>
        <w:t xml:space="preserve">Colaborar, en el ámbito de su competencia, con lo Secretaría </w:t>
      </w:r>
      <w:r w:rsidRPr="00891AE7">
        <w:rPr>
          <w:rFonts w:ascii="Abadi" w:hAnsi="Abadi" w:cs="*Tahoma-12031-Identity-H"/>
          <w:color w:val="2B2B2B"/>
          <w:sz w:val="21"/>
          <w:szCs w:val="21"/>
        </w:rPr>
        <w:t xml:space="preserve">y </w:t>
      </w:r>
      <w:r w:rsidRPr="00891AE7">
        <w:rPr>
          <w:rFonts w:ascii="Abadi" w:hAnsi="Abadi" w:cs="*Calibri-12028-Identity-H"/>
          <w:color w:val="2B2B2B"/>
          <w:sz w:val="21"/>
          <w:szCs w:val="21"/>
        </w:rPr>
        <w:t>las demás Instancias públicas educativas de carácter estatal, para el adecuado funcionamiento de los servicios educativos del tipo superior;</w:t>
      </w:r>
    </w:p>
    <w:p w14:paraId="7093AAFE" w14:textId="77777777" w:rsidR="00366FFB" w:rsidRPr="00743CF7" w:rsidRDefault="00366FFB" w:rsidP="00366FFB">
      <w:pPr>
        <w:autoSpaceDE w:val="0"/>
        <w:autoSpaceDN w:val="0"/>
        <w:adjustRightInd w:val="0"/>
        <w:jc w:val="both"/>
        <w:rPr>
          <w:rFonts w:ascii="Abadi" w:hAnsi="Abadi" w:cs="*Calibri-12028-Identity-H"/>
          <w:color w:val="292929"/>
          <w:sz w:val="21"/>
          <w:szCs w:val="21"/>
        </w:rPr>
      </w:pPr>
    </w:p>
    <w:p w14:paraId="6C13B7CD" w14:textId="77777777" w:rsidR="00366FFB" w:rsidRPr="00891AE7" w:rsidRDefault="00366FFB" w:rsidP="005C6EBB">
      <w:pPr>
        <w:pStyle w:val="Prrafodelista"/>
        <w:numPr>
          <w:ilvl w:val="0"/>
          <w:numId w:val="19"/>
        </w:numPr>
        <w:autoSpaceDE w:val="0"/>
        <w:autoSpaceDN w:val="0"/>
        <w:adjustRightInd w:val="0"/>
        <w:contextualSpacing/>
        <w:jc w:val="both"/>
        <w:rPr>
          <w:rFonts w:ascii="Abadi" w:hAnsi="Abadi" w:cs="*Calibri-12028-Identity-H"/>
          <w:color w:val="292929"/>
          <w:sz w:val="21"/>
          <w:szCs w:val="21"/>
        </w:rPr>
      </w:pPr>
      <w:r w:rsidRPr="00891AE7">
        <w:rPr>
          <w:rFonts w:ascii="Abadi" w:hAnsi="Abadi" w:cs="*Calibri-12028-Identity-H"/>
          <w:color w:val="292929"/>
          <w:sz w:val="21"/>
          <w:szCs w:val="21"/>
        </w:rPr>
        <w:t>Gestionar ante la Secretaría los programas de educación superior para generar los perfiles profesionales necesarios y suficientes para la prestación de los servicios que la constitución y la Ley le obligan al Ayuntamiento:</w:t>
      </w:r>
    </w:p>
    <w:p w14:paraId="4B7F121B" w14:textId="77777777" w:rsidR="00366FFB" w:rsidRPr="00743CF7" w:rsidRDefault="00366FFB" w:rsidP="00366FFB">
      <w:pPr>
        <w:autoSpaceDE w:val="0"/>
        <w:autoSpaceDN w:val="0"/>
        <w:adjustRightInd w:val="0"/>
        <w:jc w:val="both"/>
        <w:rPr>
          <w:rFonts w:ascii="Abadi" w:hAnsi="Abadi" w:cs="*Microsoft Sans Serif-Bold-1203"/>
          <w:b/>
          <w:bCs/>
          <w:color w:val="2A2A2A"/>
          <w:sz w:val="21"/>
          <w:szCs w:val="21"/>
        </w:rPr>
      </w:pPr>
    </w:p>
    <w:p w14:paraId="64E67F88" w14:textId="77777777" w:rsidR="00366FFB" w:rsidRPr="00891AE7" w:rsidRDefault="00366FFB" w:rsidP="005C6EBB">
      <w:pPr>
        <w:pStyle w:val="Prrafodelista"/>
        <w:numPr>
          <w:ilvl w:val="0"/>
          <w:numId w:val="19"/>
        </w:numPr>
        <w:autoSpaceDE w:val="0"/>
        <w:autoSpaceDN w:val="0"/>
        <w:adjustRightInd w:val="0"/>
        <w:contextualSpacing/>
        <w:jc w:val="both"/>
        <w:rPr>
          <w:rFonts w:ascii="Abadi" w:hAnsi="Abadi" w:cs="*Calibri-12028-Identity-H"/>
          <w:color w:val="2A2A2A"/>
          <w:sz w:val="21"/>
          <w:szCs w:val="21"/>
        </w:rPr>
      </w:pPr>
      <w:r w:rsidRPr="00891AE7">
        <w:rPr>
          <w:rFonts w:ascii="Abadi" w:hAnsi="Abadi" w:cs="*Calibri-12028-Identity-H"/>
          <w:color w:val="2A2A2A"/>
          <w:sz w:val="21"/>
          <w:szCs w:val="21"/>
        </w:rPr>
        <w:t>Elaborar, aprobar, ejecutar. dar seguimiento y evaluar la planeación municipal en materia educativo, en congruencia con la planeación de la Secretaría, para la unificación y coordinación de dicha actividad:</w:t>
      </w:r>
    </w:p>
    <w:p w14:paraId="79B7698E" w14:textId="77777777" w:rsidR="00366FFB" w:rsidRPr="00743CF7" w:rsidRDefault="00366FFB" w:rsidP="00366FFB">
      <w:pPr>
        <w:autoSpaceDE w:val="0"/>
        <w:autoSpaceDN w:val="0"/>
        <w:adjustRightInd w:val="0"/>
        <w:jc w:val="both"/>
        <w:rPr>
          <w:rFonts w:ascii="Abadi" w:hAnsi="Abadi" w:cs="*Calibri-12028-Identity-H"/>
          <w:color w:val="2A2A2A"/>
          <w:sz w:val="21"/>
          <w:szCs w:val="21"/>
        </w:rPr>
      </w:pPr>
    </w:p>
    <w:p w14:paraId="0C597509" w14:textId="77777777" w:rsidR="00366FFB" w:rsidRPr="00891AE7" w:rsidRDefault="00366FFB" w:rsidP="005C6EBB">
      <w:pPr>
        <w:pStyle w:val="Prrafodelista"/>
        <w:numPr>
          <w:ilvl w:val="0"/>
          <w:numId w:val="19"/>
        </w:numPr>
        <w:autoSpaceDE w:val="0"/>
        <w:autoSpaceDN w:val="0"/>
        <w:adjustRightInd w:val="0"/>
        <w:contextualSpacing/>
        <w:jc w:val="both"/>
        <w:rPr>
          <w:rFonts w:ascii="Abadi" w:hAnsi="Abadi" w:cs="*Calibri-12028-Identity-H"/>
          <w:color w:val="2A2A2A"/>
          <w:sz w:val="21"/>
          <w:szCs w:val="21"/>
        </w:rPr>
      </w:pPr>
      <w:r w:rsidRPr="00891AE7">
        <w:rPr>
          <w:rFonts w:ascii="Abadi" w:hAnsi="Abadi" w:cs="*Calibri-12028-Identity-H"/>
          <w:color w:val="2A2A2A"/>
          <w:sz w:val="21"/>
          <w:szCs w:val="21"/>
        </w:rPr>
        <w:t xml:space="preserve">Colaborar </w:t>
      </w:r>
      <w:r w:rsidRPr="00891AE7">
        <w:rPr>
          <w:rFonts w:ascii="Abadi" w:hAnsi="Abadi" w:cs="*Tahoma-12031-Identity-H"/>
          <w:color w:val="2A2A2A"/>
          <w:sz w:val="21"/>
          <w:szCs w:val="21"/>
        </w:rPr>
        <w:t xml:space="preserve">y </w:t>
      </w:r>
      <w:r w:rsidRPr="00891AE7">
        <w:rPr>
          <w:rFonts w:ascii="Abadi" w:hAnsi="Abadi" w:cs="*Calibri-12028-Identity-H"/>
          <w:color w:val="2A2A2A"/>
          <w:sz w:val="21"/>
          <w:szCs w:val="21"/>
        </w:rPr>
        <w:t xml:space="preserve">coordinarse con el Ejecutivo Estatal en las acciones de construcción, equipamiento, mantenimiento, rehabilitación, reforzamiento, reconstrucción </w:t>
      </w:r>
      <w:r w:rsidRPr="00891AE7">
        <w:rPr>
          <w:rFonts w:ascii="Abadi" w:hAnsi="Abadi" w:cs="*Times New Roman-Italic-12025-I"/>
          <w:i/>
          <w:iCs/>
          <w:color w:val="2A2A2A"/>
          <w:sz w:val="21"/>
          <w:szCs w:val="21"/>
        </w:rPr>
        <w:t xml:space="preserve">y </w:t>
      </w:r>
      <w:r w:rsidRPr="00891AE7">
        <w:rPr>
          <w:rFonts w:ascii="Abadi" w:hAnsi="Abadi" w:cs="*Calibri-12028-Identity-H"/>
          <w:color w:val="2A2A2A"/>
          <w:sz w:val="21"/>
          <w:szCs w:val="21"/>
        </w:rPr>
        <w:t>habilitación de inmuebles e instalaciones destinados al servicio de educación superior, estableciendo para cado ejercicio fiscal las previsiones presupuestales correspondientes;</w:t>
      </w:r>
    </w:p>
    <w:p w14:paraId="5EEB84E7" w14:textId="77777777" w:rsidR="00366FFB" w:rsidRPr="00743CF7" w:rsidRDefault="00366FFB" w:rsidP="00366FFB">
      <w:pPr>
        <w:jc w:val="both"/>
        <w:rPr>
          <w:rFonts w:ascii="Abadi" w:hAnsi="Abadi" w:cs="*Calibri-12028-Identity-H"/>
          <w:color w:val="2A2A2A"/>
          <w:sz w:val="21"/>
          <w:szCs w:val="21"/>
        </w:rPr>
      </w:pPr>
    </w:p>
    <w:p w14:paraId="0C567953" w14:textId="2ECF21EB" w:rsidR="00366FFB" w:rsidRPr="00891AE7" w:rsidRDefault="00366FFB" w:rsidP="005C6EBB">
      <w:pPr>
        <w:pStyle w:val="Prrafodelista"/>
        <w:numPr>
          <w:ilvl w:val="0"/>
          <w:numId w:val="19"/>
        </w:numPr>
        <w:autoSpaceDE w:val="0"/>
        <w:autoSpaceDN w:val="0"/>
        <w:adjustRightInd w:val="0"/>
        <w:contextualSpacing/>
        <w:jc w:val="both"/>
        <w:rPr>
          <w:rFonts w:ascii="Abadi" w:hAnsi="Abadi" w:cs="*Microsoft Sans Serif-11829-Ide"/>
          <w:color w:val="2A2A2A"/>
          <w:sz w:val="21"/>
          <w:szCs w:val="21"/>
        </w:rPr>
      </w:pPr>
      <w:r w:rsidRPr="00891AE7">
        <w:rPr>
          <w:rFonts w:ascii="Abadi" w:hAnsi="Abadi" w:cs="*Microsoft Sans Serif-11829-Ide"/>
          <w:color w:val="2A2A2A"/>
          <w:sz w:val="21"/>
          <w:szCs w:val="21"/>
        </w:rPr>
        <w:t xml:space="preserve">Celebrar convenios con </w:t>
      </w:r>
      <w:r w:rsidR="00805777" w:rsidRPr="00891AE7">
        <w:rPr>
          <w:rFonts w:ascii="Abadi" w:hAnsi="Abadi" w:cs="*Microsoft Sans Serif-11829-Ide"/>
          <w:color w:val="2A2A2A"/>
          <w:sz w:val="21"/>
          <w:szCs w:val="21"/>
        </w:rPr>
        <w:t>las instituciones</w:t>
      </w:r>
      <w:r w:rsidRPr="00891AE7">
        <w:rPr>
          <w:rFonts w:ascii="Abadi" w:hAnsi="Abadi" w:cs="*Microsoft Sans Serif-11829-Ide"/>
          <w:color w:val="2A2A2A"/>
          <w:sz w:val="21"/>
          <w:szCs w:val="21"/>
        </w:rPr>
        <w:t xml:space="preserve"> de educación superior, con la finalidad de ofrecer opciones de empleo a las personas egresados de educación superior;</w:t>
      </w:r>
    </w:p>
    <w:p w14:paraId="6C790BBD" w14:textId="77777777" w:rsidR="00366FFB" w:rsidRPr="00743CF7" w:rsidRDefault="00366FFB" w:rsidP="00366FFB">
      <w:pPr>
        <w:autoSpaceDE w:val="0"/>
        <w:autoSpaceDN w:val="0"/>
        <w:adjustRightInd w:val="0"/>
        <w:jc w:val="both"/>
        <w:rPr>
          <w:rFonts w:ascii="Abadi" w:hAnsi="Abadi" w:cs="*Calibri-Bold-11828-Identity-H"/>
          <w:b/>
          <w:bCs/>
          <w:color w:val="292929"/>
          <w:sz w:val="21"/>
          <w:szCs w:val="21"/>
        </w:rPr>
      </w:pPr>
    </w:p>
    <w:p w14:paraId="7AC44067" w14:textId="77777777" w:rsidR="00366FFB" w:rsidRPr="00891AE7" w:rsidRDefault="00366FFB" w:rsidP="005C6EBB">
      <w:pPr>
        <w:pStyle w:val="Prrafodelista"/>
        <w:numPr>
          <w:ilvl w:val="0"/>
          <w:numId w:val="19"/>
        </w:numPr>
        <w:autoSpaceDE w:val="0"/>
        <w:autoSpaceDN w:val="0"/>
        <w:adjustRightInd w:val="0"/>
        <w:contextualSpacing/>
        <w:jc w:val="both"/>
        <w:rPr>
          <w:rFonts w:ascii="Abadi" w:hAnsi="Abadi" w:cs="*Times New Roman-Italic-11822-I"/>
          <w:i/>
          <w:iCs/>
          <w:color w:val="292929"/>
          <w:sz w:val="21"/>
          <w:szCs w:val="21"/>
        </w:rPr>
      </w:pPr>
      <w:r w:rsidRPr="00891AE7">
        <w:rPr>
          <w:rFonts w:ascii="Abadi" w:hAnsi="Abadi" w:cs="*Microsoft Sans Serif-11829-Ide"/>
          <w:color w:val="292929"/>
          <w:sz w:val="21"/>
          <w:szCs w:val="21"/>
        </w:rPr>
        <w:t xml:space="preserve">Proponer o la Secretaría contenidos regionales para que, en su caso, sean incluidos en los planes </w:t>
      </w:r>
      <w:r w:rsidRPr="00891AE7">
        <w:rPr>
          <w:rFonts w:ascii="Abadi" w:hAnsi="Abadi" w:cs="*Times New Roman-Italic-11822-I"/>
          <w:i/>
          <w:iCs/>
          <w:color w:val="292929"/>
          <w:sz w:val="21"/>
          <w:szCs w:val="21"/>
        </w:rPr>
        <w:t xml:space="preserve">y </w:t>
      </w:r>
      <w:r w:rsidRPr="00891AE7">
        <w:rPr>
          <w:rFonts w:ascii="Abadi" w:hAnsi="Abadi" w:cs="*Microsoft Sans Serif-11829-Ide"/>
          <w:color w:val="292929"/>
          <w:sz w:val="21"/>
          <w:szCs w:val="21"/>
        </w:rPr>
        <w:t xml:space="preserve">programas de estudio de las escuelas normales; </w:t>
      </w:r>
      <w:r w:rsidRPr="00891AE7">
        <w:rPr>
          <w:rFonts w:ascii="Abadi" w:hAnsi="Abadi" w:cs="*Times New Roman-Italic-11822-I"/>
          <w:i/>
          <w:iCs/>
          <w:color w:val="292929"/>
          <w:sz w:val="21"/>
          <w:szCs w:val="21"/>
        </w:rPr>
        <w:t>y</w:t>
      </w:r>
    </w:p>
    <w:p w14:paraId="55E79B3D" w14:textId="77777777" w:rsidR="00366FFB" w:rsidRPr="00743CF7" w:rsidRDefault="00366FFB" w:rsidP="00366FFB">
      <w:pPr>
        <w:autoSpaceDE w:val="0"/>
        <w:autoSpaceDN w:val="0"/>
        <w:adjustRightInd w:val="0"/>
        <w:jc w:val="both"/>
        <w:rPr>
          <w:rFonts w:ascii="Abadi" w:hAnsi="Abadi" w:cs="*Calibri-Bold-11828-Identity-H"/>
          <w:b/>
          <w:bCs/>
          <w:color w:val="2A2A2A"/>
          <w:sz w:val="21"/>
          <w:szCs w:val="21"/>
        </w:rPr>
      </w:pPr>
    </w:p>
    <w:p w14:paraId="313B5BB0" w14:textId="77777777" w:rsidR="00366FFB" w:rsidRPr="00891AE7" w:rsidRDefault="00366FFB" w:rsidP="005C6EBB">
      <w:pPr>
        <w:pStyle w:val="Prrafodelista"/>
        <w:numPr>
          <w:ilvl w:val="0"/>
          <w:numId w:val="19"/>
        </w:numPr>
        <w:autoSpaceDE w:val="0"/>
        <w:autoSpaceDN w:val="0"/>
        <w:adjustRightInd w:val="0"/>
        <w:contextualSpacing/>
        <w:jc w:val="both"/>
        <w:rPr>
          <w:rFonts w:ascii="Abadi" w:hAnsi="Abadi" w:cs="*Microsoft Sans Serif-11829-Ide"/>
          <w:color w:val="2A2A2A"/>
          <w:sz w:val="21"/>
          <w:szCs w:val="21"/>
        </w:rPr>
      </w:pPr>
      <w:r w:rsidRPr="00891AE7">
        <w:rPr>
          <w:rFonts w:ascii="Abadi" w:hAnsi="Abadi" w:cs="*Microsoft Sans Serif-11829-Ide"/>
          <w:color w:val="2A2A2A"/>
          <w:sz w:val="21"/>
          <w:szCs w:val="21"/>
        </w:rPr>
        <w:t>Las demás que le señale otras disposiciones legales.</w:t>
      </w:r>
    </w:p>
    <w:p w14:paraId="4D393153" w14:textId="77777777" w:rsidR="00366FFB" w:rsidRDefault="00366FFB" w:rsidP="00366FFB">
      <w:pPr>
        <w:autoSpaceDE w:val="0"/>
        <w:autoSpaceDN w:val="0"/>
        <w:adjustRightInd w:val="0"/>
        <w:jc w:val="both"/>
        <w:rPr>
          <w:rFonts w:ascii="Abadi" w:hAnsi="Abadi" w:cs="*Calibri-BoldItalic-11827-Ident"/>
          <w:b/>
          <w:bCs/>
          <w:i/>
          <w:iCs/>
          <w:color w:val="121212"/>
          <w:sz w:val="21"/>
          <w:szCs w:val="21"/>
        </w:rPr>
      </w:pPr>
    </w:p>
    <w:p w14:paraId="26261472" w14:textId="77777777" w:rsidR="00366FFB" w:rsidRPr="00743CF7" w:rsidRDefault="00366FFB" w:rsidP="00366FFB">
      <w:pPr>
        <w:autoSpaceDE w:val="0"/>
        <w:autoSpaceDN w:val="0"/>
        <w:adjustRightInd w:val="0"/>
        <w:jc w:val="right"/>
        <w:rPr>
          <w:rFonts w:ascii="Abadi" w:hAnsi="Abadi" w:cs="*Calibri-BoldItalic-11827-Ident"/>
          <w:b/>
          <w:bCs/>
          <w:i/>
          <w:iCs/>
          <w:color w:val="121212"/>
          <w:sz w:val="21"/>
          <w:szCs w:val="21"/>
        </w:rPr>
      </w:pPr>
      <w:r w:rsidRPr="00743CF7">
        <w:rPr>
          <w:rFonts w:ascii="Abadi" w:hAnsi="Abadi" w:cs="*Calibri-BoldItalic-11827-Ident"/>
          <w:b/>
          <w:bCs/>
          <w:i/>
          <w:iCs/>
          <w:color w:val="121212"/>
          <w:sz w:val="21"/>
          <w:szCs w:val="21"/>
        </w:rPr>
        <w:t>Acciones en materia de paridad de género</w:t>
      </w:r>
    </w:p>
    <w:p w14:paraId="1DEB2458" w14:textId="675FD2B0" w:rsidR="00366FFB" w:rsidRPr="00743CF7" w:rsidRDefault="00366FFB" w:rsidP="00366FFB">
      <w:pPr>
        <w:autoSpaceDE w:val="0"/>
        <w:autoSpaceDN w:val="0"/>
        <w:adjustRightInd w:val="0"/>
        <w:ind w:firstLine="708"/>
        <w:jc w:val="both"/>
        <w:rPr>
          <w:rFonts w:ascii="Abadi" w:hAnsi="Abadi" w:cs="*Microsoft Sans Serif-11829-Ide"/>
          <w:color w:val="292929"/>
          <w:sz w:val="21"/>
          <w:szCs w:val="21"/>
        </w:rPr>
      </w:pPr>
      <w:r w:rsidRPr="00743CF7">
        <w:rPr>
          <w:rFonts w:ascii="Abadi" w:hAnsi="Abadi" w:cs="*Calibri-Bold-11826-Identity-H"/>
          <w:b/>
          <w:bCs/>
          <w:color w:val="292929"/>
          <w:sz w:val="21"/>
          <w:szCs w:val="21"/>
        </w:rPr>
        <w:t xml:space="preserve">Artículo 24. </w:t>
      </w:r>
      <w:r w:rsidR="00805777" w:rsidRPr="00743CF7">
        <w:rPr>
          <w:rFonts w:ascii="Abadi" w:hAnsi="Abadi" w:cs="*Microsoft Sans Serif-11829-Ide"/>
          <w:color w:val="292929"/>
          <w:sz w:val="21"/>
          <w:szCs w:val="21"/>
        </w:rPr>
        <w:t>Las autoridades educativas</w:t>
      </w:r>
      <w:r w:rsidRPr="00743CF7">
        <w:rPr>
          <w:rFonts w:ascii="Abadi" w:hAnsi="Abadi" w:cs="*Microsoft Sans Serif-11829-Ide"/>
          <w:color w:val="292929"/>
          <w:sz w:val="21"/>
          <w:szCs w:val="21"/>
        </w:rPr>
        <w:t xml:space="preserve">, en el ámbito de sus respectivas competencias, deberán instrumentar acciones tendentes d alcanzar lo paridad de género en los órganos colegiados de gobierno, consultivos </w:t>
      </w:r>
      <w:r w:rsidRPr="00743CF7">
        <w:rPr>
          <w:rFonts w:ascii="Abadi" w:hAnsi="Abadi" w:cs="*Times New Roman-Italic-11822-I"/>
          <w:i/>
          <w:iCs/>
          <w:color w:val="292929"/>
          <w:sz w:val="21"/>
          <w:szCs w:val="21"/>
        </w:rPr>
        <w:t xml:space="preserve">y </w:t>
      </w:r>
      <w:r w:rsidRPr="00743CF7">
        <w:rPr>
          <w:rFonts w:ascii="Abadi" w:hAnsi="Abadi" w:cs="*Microsoft Sans Serif-11829-Ide"/>
          <w:color w:val="292929"/>
          <w:sz w:val="21"/>
          <w:szCs w:val="21"/>
        </w:rPr>
        <w:t>académicos que se constituyan en educación superior</w:t>
      </w:r>
      <w:r w:rsidRPr="00743CF7">
        <w:rPr>
          <w:rFonts w:ascii="Abadi" w:hAnsi="Abadi" w:cs="*Microsoft Sans Serif-11830-Ide"/>
          <w:color w:val="292929"/>
          <w:sz w:val="21"/>
          <w:szCs w:val="21"/>
        </w:rPr>
        <w:t xml:space="preserve">1 </w:t>
      </w:r>
      <w:r w:rsidRPr="00743CF7">
        <w:rPr>
          <w:rFonts w:ascii="Abadi" w:hAnsi="Abadi" w:cs="*Microsoft Sans Serif-11829-Ide"/>
          <w:color w:val="292929"/>
          <w:sz w:val="21"/>
          <w:szCs w:val="21"/>
        </w:rPr>
        <w:t>así como el acceso de las mujeres a los cargos directivos unipersonales de las instituciones de educación superior.</w:t>
      </w:r>
    </w:p>
    <w:p w14:paraId="60DE1005" w14:textId="77777777" w:rsidR="00366FFB" w:rsidRPr="00743CF7" w:rsidRDefault="00366FFB" w:rsidP="00366FFB">
      <w:pPr>
        <w:autoSpaceDE w:val="0"/>
        <w:autoSpaceDN w:val="0"/>
        <w:adjustRightInd w:val="0"/>
        <w:jc w:val="both"/>
        <w:rPr>
          <w:rFonts w:ascii="Abadi" w:hAnsi="Abadi" w:cs="*Microsoft Sans Serif-11829-Ide"/>
          <w:color w:val="292929"/>
          <w:sz w:val="21"/>
          <w:szCs w:val="21"/>
        </w:rPr>
      </w:pPr>
    </w:p>
    <w:p w14:paraId="421977AB" w14:textId="77777777" w:rsidR="00366FFB" w:rsidRDefault="00366FFB" w:rsidP="00366FFB">
      <w:pPr>
        <w:autoSpaceDE w:val="0"/>
        <w:autoSpaceDN w:val="0"/>
        <w:adjustRightInd w:val="0"/>
        <w:jc w:val="center"/>
        <w:rPr>
          <w:rFonts w:ascii="Abadi" w:hAnsi="Abadi" w:cs="*Calibri-Bold-11826-Identity-H"/>
          <w:b/>
          <w:bCs/>
          <w:color w:val="0D0D0D"/>
          <w:sz w:val="21"/>
          <w:szCs w:val="21"/>
        </w:rPr>
      </w:pPr>
      <w:r w:rsidRPr="00743CF7">
        <w:rPr>
          <w:rFonts w:ascii="Abadi" w:hAnsi="Abadi" w:cs="*Calibri-Bold-11826-Identity-H"/>
          <w:b/>
          <w:bCs/>
          <w:color w:val="0D0D0D"/>
          <w:sz w:val="21"/>
          <w:szCs w:val="21"/>
        </w:rPr>
        <w:t xml:space="preserve">Capítulo </w:t>
      </w:r>
      <w:r>
        <w:rPr>
          <w:rFonts w:ascii="Abadi" w:hAnsi="Abadi" w:cs="*Calibri-Bold-11826-Identity-H"/>
          <w:b/>
          <w:bCs/>
          <w:color w:val="0D0D0D"/>
          <w:sz w:val="21"/>
          <w:szCs w:val="21"/>
        </w:rPr>
        <w:t>III</w:t>
      </w:r>
    </w:p>
    <w:p w14:paraId="6610AB84" w14:textId="77777777" w:rsidR="00366FFB" w:rsidRPr="00743CF7" w:rsidRDefault="00366FFB" w:rsidP="00366FFB">
      <w:pPr>
        <w:autoSpaceDE w:val="0"/>
        <w:autoSpaceDN w:val="0"/>
        <w:adjustRightInd w:val="0"/>
        <w:jc w:val="center"/>
        <w:rPr>
          <w:rFonts w:ascii="Abadi" w:hAnsi="Abadi" w:cs="*Calibri-Bold-11826-Identity-H"/>
          <w:b/>
          <w:bCs/>
          <w:color w:val="0D0D0D"/>
          <w:sz w:val="21"/>
          <w:szCs w:val="21"/>
        </w:rPr>
      </w:pPr>
    </w:p>
    <w:p w14:paraId="2890E356" w14:textId="77777777" w:rsidR="00366FFB" w:rsidRPr="00743CF7" w:rsidRDefault="00366FFB" w:rsidP="00366FFB">
      <w:pPr>
        <w:autoSpaceDE w:val="0"/>
        <w:autoSpaceDN w:val="0"/>
        <w:adjustRightInd w:val="0"/>
        <w:jc w:val="right"/>
        <w:rPr>
          <w:rFonts w:ascii="Abadi" w:hAnsi="Abadi" w:cs="*Calibri-BoldItalic-11827-Ident"/>
          <w:b/>
          <w:bCs/>
          <w:i/>
          <w:iCs/>
          <w:color w:val="101010"/>
          <w:sz w:val="21"/>
          <w:szCs w:val="21"/>
        </w:rPr>
      </w:pPr>
      <w:r w:rsidRPr="00743CF7">
        <w:rPr>
          <w:rFonts w:ascii="Abadi" w:hAnsi="Abadi" w:cs="*Calibri-Bold-11826-Identity-H"/>
          <w:b/>
          <w:bCs/>
          <w:color w:val="131313"/>
          <w:sz w:val="21"/>
          <w:szCs w:val="21"/>
        </w:rPr>
        <w:t>Del ejercicio del derecho a la educación superior</w:t>
      </w:r>
      <w:r>
        <w:rPr>
          <w:rFonts w:ascii="Abadi" w:hAnsi="Abadi" w:cs="*Calibri-Bold-11826-Identity-H"/>
          <w:b/>
          <w:bCs/>
          <w:color w:val="131313"/>
          <w:sz w:val="21"/>
          <w:szCs w:val="21"/>
        </w:rPr>
        <w:t xml:space="preserve"> </w:t>
      </w:r>
      <w:r w:rsidRPr="00743CF7">
        <w:rPr>
          <w:rFonts w:ascii="Abadi" w:hAnsi="Abadi" w:cs="*Calibri-BoldItalic-11827-Ident"/>
          <w:b/>
          <w:bCs/>
          <w:i/>
          <w:iCs/>
          <w:color w:val="101010"/>
          <w:sz w:val="21"/>
          <w:szCs w:val="21"/>
        </w:rPr>
        <w:t xml:space="preserve">Inclusión </w:t>
      </w:r>
      <w:r w:rsidRPr="00743CF7">
        <w:rPr>
          <w:rFonts w:ascii="Abadi" w:hAnsi="Abadi" w:cs="*Tahoma-BoldItalic-11831-Identi"/>
          <w:b/>
          <w:bCs/>
          <w:i/>
          <w:iCs/>
          <w:color w:val="101010"/>
          <w:sz w:val="21"/>
          <w:szCs w:val="21"/>
        </w:rPr>
        <w:t xml:space="preserve">y </w:t>
      </w:r>
      <w:r w:rsidRPr="00743CF7">
        <w:rPr>
          <w:rFonts w:ascii="Abadi" w:hAnsi="Abadi" w:cs="*Calibri-BoldItalic-11827-Ident"/>
          <w:b/>
          <w:bCs/>
          <w:i/>
          <w:iCs/>
          <w:color w:val="101010"/>
          <w:sz w:val="21"/>
          <w:szCs w:val="21"/>
        </w:rPr>
        <w:t>accesibilidad</w:t>
      </w:r>
    </w:p>
    <w:p w14:paraId="596E21CC" w14:textId="77777777" w:rsidR="00366FFB" w:rsidRPr="00743CF7" w:rsidRDefault="00366FFB" w:rsidP="00366FFB">
      <w:pPr>
        <w:autoSpaceDE w:val="0"/>
        <w:autoSpaceDN w:val="0"/>
        <w:adjustRightInd w:val="0"/>
        <w:ind w:firstLine="708"/>
        <w:jc w:val="both"/>
        <w:rPr>
          <w:rFonts w:ascii="Abadi" w:hAnsi="Abadi" w:cs="*Microsoft Sans Serif-11829-Ide"/>
          <w:color w:val="282828"/>
          <w:sz w:val="21"/>
          <w:szCs w:val="21"/>
        </w:rPr>
      </w:pPr>
      <w:r w:rsidRPr="00743CF7">
        <w:rPr>
          <w:rFonts w:ascii="Abadi" w:hAnsi="Abadi" w:cs="*Calibri-Bold-11826-Identity-H"/>
          <w:b/>
          <w:bCs/>
          <w:color w:val="282828"/>
          <w:sz w:val="21"/>
          <w:szCs w:val="21"/>
        </w:rPr>
        <w:t xml:space="preserve">Artículo 25. </w:t>
      </w:r>
      <w:r w:rsidRPr="00743CF7">
        <w:rPr>
          <w:rFonts w:ascii="Abadi" w:hAnsi="Abadi" w:cs="*Microsoft Sans Serif-11829-Ide"/>
          <w:color w:val="282828"/>
          <w:sz w:val="21"/>
          <w:szCs w:val="21"/>
        </w:rPr>
        <w:t xml:space="preserve">La Secretaría </w:t>
      </w:r>
      <w:r w:rsidRPr="00743CF7">
        <w:rPr>
          <w:rFonts w:ascii="Abadi" w:hAnsi="Abadi" w:cs="*Times New Roman-Italic-11823-I"/>
          <w:i/>
          <w:iCs/>
          <w:color w:val="282828"/>
          <w:sz w:val="21"/>
          <w:szCs w:val="21"/>
        </w:rPr>
        <w:t xml:space="preserve">y </w:t>
      </w:r>
      <w:r w:rsidRPr="00743CF7">
        <w:rPr>
          <w:rFonts w:ascii="Abadi" w:hAnsi="Abadi" w:cs="*Microsoft Sans Serif-11829-Ide"/>
          <w:color w:val="282828"/>
          <w:sz w:val="21"/>
          <w:szCs w:val="21"/>
        </w:rPr>
        <w:t xml:space="preserve">demás autoridades educativas, se coordinarán en el ámbito de sus competencias, podrá garantizar la prestación del servicio de educación superior en el Estado, en los términos de la presente Ley. </w:t>
      </w:r>
    </w:p>
    <w:p w14:paraId="71137ADB" w14:textId="77777777" w:rsidR="00366FFB" w:rsidRPr="00743CF7" w:rsidRDefault="00366FFB" w:rsidP="00366FFB">
      <w:pPr>
        <w:autoSpaceDE w:val="0"/>
        <w:autoSpaceDN w:val="0"/>
        <w:adjustRightInd w:val="0"/>
        <w:jc w:val="both"/>
        <w:rPr>
          <w:rFonts w:ascii="Abadi" w:hAnsi="Abadi" w:cs="*Microsoft Sans Serif-11829-Ide"/>
          <w:color w:val="282828"/>
          <w:sz w:val="21"/>
          <w:szCs w:val="21"/>
        </w:rPr>
      </w:pPr>
    </w:p>
    <w:p w14:paraId="135D050B" w14:textId="77777777" w:rsidR="00366FFB" w:rsidRPr="00743CF7" w:rsidRDefault="00366FFB" w:rsidP="00366FFB">
      <w:pPr>
        <w:autoSpaceDE w:val="0"/>
        <w:autoSpaceDN w:val="0"/>
        <w:adjustRightInd w:val="0"/>
        <w:ind w:firstLine="708"/>
        <w:jc w:val="both"/>
        <w:rPr>
          <w:rFonts w:ascii="Abadi" w:hAnsi="Abadi" w:cs="*Microsoft Sans Serif-12479-Ide"/>
          <w:color w:val="2B2B2B"/>
          <w:sz w:val="21"/>
          <w:szCs w:val="21"/>
        </w:rPr>
      </w:pPr>
      <w:r w:rsidRPr="00743CF7">
        <w:rPr>
          <w:rFonts w:ascii="Abadi" w:hAnsi="Abadi" w:cs="*Microsoft Sans Serif-11829-Ide"/>
          <w:color w:val="2A2A2A"/>
          <w:sz w:val="21"/>
          <w:szCs w:val="21"/>
        </w:rPr>
        <w:t xml:space="preserve">Las acciones que realicen se basarán en el enfoque de derechos humanos </w:t>
      </w:r>
      <w:r w:rsidRPr="00743CF7">
        <w:rPr>
          <w:rFonts w:ascii="Abadi" w:hAnsi="Abadi" w:cs="*Times New Roman-Italic-11822-I"/>
          <w:i/>
          <w:iCs/>
          <w:color w:val="2A2A2A"/>
          <w:sz w:val="21"/>
          <w:szCs w:val="21"/>
        </w:rPr>
        <w:t xml:space="preserve">y </w:t>
      </w:r>
      <w:r w:rsidRPr="00743CF7">
        <w:rPr>
          <w:rFonts w:ascii="Abadi" w:hAnsi="Abadi" w:cs="*Microsoft Sans Serif-11829-Ide"/>
          <w:color w:val="2A2A2A"/>
          <w:sz w:val="21"/>
          <w:szCs w:val="21"/>
        </w:rPr>
        <w:t xml:space="preserve">de igualdad sustantiva, respetando el principio de inclusión. Tendrán una perspectiva de juventudes, de género, así como de interculturalidad, con especial atención o los pueblos y comunidades indígenas. a las personas afromexicanas y migrantes, así como cualquier otra que resida en el Estado, o las personas con discapacidad </w:t>
      </w:r>
      <w:r w:rsidRPr="00743CF7">
        <w:rPr>
          <w:rFonts w:ascii="Abadi" w:hAnsi="Abadi" w:cs="*Times New Roman-Italic-11822-I"/>
          <w:i/>
          <w:iCs/>
          <w:color w:val="2A2A2A"/>
          <w:sz w:val="21"/>
          <w:szCs w:val="21"/>
        </w:rPr>
        <w:t xml:space="preserve">y </w:t>
      </w:r>
      <w:r w:rsidRPr="00743CF7">
        <w:rPr>
          <w:rFonts w:ascii="Abadi" w:hAnsi="Abadi" w:cs="*Microsoft Sans Serif-11829-Ide"/>
          <w:color w:val="2A2A2A"/>
          <w:sz w:val="21"/>
          <w:szCs w:val="21"/>
        </w:rPr>
        <w:t>a los grupos en situación de vulnerabilidad. Tomarán en cuenta</w:t>
      </w:r>
      <w:r>
        <w:rPr>
          <w:rFonts w:ascii="Abadi" w:hAnsi="Abadi" w:cs="*Microsoft Sans Serif-11829-Ide"/>
          <w:color w:val="2A2A2A"/>
          <w:sz w:val="21"/>
          <w:szCs w:val="21"/>
        </w:rPr>
        <w:t xml:space="preserve"> </w:t>
      </w:r>
      <w:r w:rsidRPr="00743CF7">
        <w:rPr>
          <w:rFonts w:ascii="Abadi" w:hAnsi="Abadi" w:cs="*Microsoft Sans Serif-12479-Ide"/>
          <w:color w:val="2B2B2B"/>
          <w:sz w:val="21"/>
          <w:szCs w:val="21"/>
        </w:rPr>
        <w:t>medidas para proporcionar atención a estudiantes con aptitudes sobresalientes que cursen de algún nivel del tipo de educación superior.</w:t>
      </w:r>
    </w:p>
    <w:p w14:paraId="7297369C" w14:textId="77777777" w:rsidR="00366FFB" w:rsidRPr="00743CF7" w:rsidRDefault="00366FFB" w:rsidP="00366FFB">
      <w:pPr>
        <w:autoSpaceDE w:val="0"/>
        <w:autoSpaceDN w:val="0"/>
        <w:adjustRightInd w:val="0"/>
        <w:jc w:val="both"/>
        <w:rPr>
          <w:rFonts w:ascii="Abadi" w:hAnsi="Abadi" w:cs="*Tahoma-BoldItalic-12480-Identi"/>
          <w:b/>
          <w:bCs/>
          <w:i/>
          <w:iCs/>
          <w:color w:val="111111"/>
          <w:sz w:val="21"/>
          <w:szCs w:val="21"/>
        </w:rPr>
      </w:pPr>
    </w:p>
    <w:p w14:paraId="2E16E0AE" w14:textId="77777777" w:rsidR="00366FFB" w:rsidRPr="00743CF7" w:rsidRDefault="00366FFB" w:rsidP="00366FFB">
      <w:pPr>
        <w:autoSpaceDE w:val="0"/>
        <w:autoSpaceDN w:val="0"/>
        <w:adjustRightInd w:val="0"/>
        <w:jc w:val="right"/>
        <w:rPr>
          <w:rFonts w:ascii="Abadi" w:hAnsi="Abadi" w:cs="*Tahoma-BoldItalic-12480-Identi"/>
          <w:b/>
          <w:bCs/>
          <w:i/>
          <w:iCs/>
          <w:color w:val="111111"/>
          <w:sz w:val="21"/>
          <w:szCs w:val="21"/>
        </w:rPr>
      </w:pPr>
      <w:r w:rsidRPr="00743CF7">
        <w:rPr>
          <w:rFonts w:ascii="Abadi" w:hAnsi="Abadi" w:cs="*Tahoma-BoldItalic-12480-Identi"/>
          <w:b/>
          <w:bCs/>
          <w:i/>
          <w:iCs/>
          <w:color w:val="111111"/>
          <w:sz w:val="21"/>
          <w:szCs w:val="21"/>
        </w:rPr>
        <w:t>Ajustes razonables</w:t>
      </w:r>
    </w:p>
    <w:p w14:paraId="3EB63D2A" w14:textId="61BBB43D" w:rsidR="00366FFB" w:rsidRPr="00743CF7" w:rsidRDefault="00366FFB" w:rsidP="00366FFB">
      <w:pPr>
        <w:autoSpaceDE w:val="0"/>
        <w:autoSpaceDN w:val="0"/>
        <w:adjustRightInd w:val="0"/>
        <w:ind w:firstLine="708"/>
        <w:jc w:val="both"/>
        <w:rPr>
          <w:rFonts w:ascii="Abadi" w:hAnsi="Abadi" w:cs="*Microsoft Sans Serif-12479-Ide"/>
          <w:color w:val="292929"/>
          <w:sz w:val="21"/>
          <w:szCs w:val="21"/>
        </w:rPr>
      </w:pPr>
      <w:r w:rsidRPr="00743CF7">
        <w:rPr>
          <w:rFonts w:ascii="Abadi" w:hAnsi="Abadi" w:cs="*Verdana-Bold-12478-Identity-H"/>
          <w:b/>
          <w:bCs/>
          <w:color w:val="292929"/>
          <w:sz w:val="21"/>
          <w:szCs w:val="21"/>
        </w:rPr>
        <w:t xml:space="preserve">Artículo 26. </w:t>
      </w:r>
      <w:r w:rsidRPr="00743CF7">
        <w:rPr>
          <w:rFonts w:ascii="Abadi" w:hAnsi="Abadi" w:cs="*Microsoft Sans Serif-12479-Ide"/>
          <w:color w:val="292929"/>
          <w:sz w:val="21"/>
          <w:szCs w:val="21"/>
        </w:rPr>
        <w:t xml:space="preserve">Las instituciones educativas públicas o particulares de educación </w:t>
      </w:r>
      <w:r w:rsidR="00805777" w:rsidRPr="00743CF7">
        <w:rPr>
          <w:rFonts w:ascii="Abadi" w:hAnsi="Abadi" w:cs="*Microsoft Sans Serif-12479-Ide"/>
          <w:color w:val="292929"/>
          <w:sz w:val="21"/>
          <w:szCs w:val="21"/>
        </w:rPr>
        <w:t>superior</w:t>
      </w:r>
      <w:r w:rsidRPr="00743CF7">
        <w:rPr>
          <w:rFonts w:ascii="Abadi" w:hAnsi="Abadi" w:cs="*Microsoft Sans Serif-12479-Ide"/>
          <w:color w:val="292929"/>
          <w:sz w:val="21"/>
          <w:szCs w:val="21"/>
        </w:rPr>
        <w:t xml:space="preserve"> realizarán ajustes razonables </w:t>
      </w:r>
      <w:r w:rsidRPr="00743CF7">
        <w:rPr>
          <w:rFonts w:ascii="Abadi" w:hAnsi="Abadi" w:cs="*Times New Roman-Italic-12474-I"/>
          <w:i/>
          <w:iCs/>
          <w:color w:val="292929"/>
          <w:sz w:val="21"/>
          <w:szCs w:val="21"/>
        </w:rPr>
        <w:t xml:space="preserve">y </w:t>
      </w:r>
      <w:r w:rsidRPr="00743CF7">
        <w:rPr>
          <w:rFonts w:ascii="Abadi" w:hAnsi="Abadi" w:cs="*Microsoft Sans Serif-12479-Ide"/>
          <w:color w:val="292929"/>
          <w:sz w:val="21"/>
          <w:szCs w:val="21"/>
        </w:rPr>
        <w:t>aplicarán métodos, técnicas, materiales específicos y las medidas de apoyo necesarios para garantizar la satisfacción de las necesidades de aprendizaje de los estudiantes y el máximo desarrollo de su potencial para su integración con autonomía o la vida social y productiva.</w:t>
      </w:r>
    </w:p>
    <w:p w14:paraId="705558CF" w14:textId="77777777" w:rsidR="00366FFB" w:rsidRPr="00743CF7" w:rsidRDefault="00366FFB" w:rsidP="00366FFB">
      <w:pPr>
        <w:autoSpaceDE w:val="0"/>
        <w:autoSpaceDN w:val="0"/>
        <w:adjustRightInd w:val="0"/>
        <w:jc w:val="both"/>
        <w:rPr>
          <w:rFonts w:ascii="Abadi" w:hAnsi="Abadi" w:cs="*Tahoma-BoldItalic-12480-Identi"/>
          <w:b/>
          <w:bCs/>
          <w:i/>
          <w:iCs/>
          <w:color w:val="121212"/>
          <w:sz w:val="21"/>
          <w:szCs w:val="21"/>
        </w:rPr>
      </w:pPr>
    </w:p>
    <w:p w14:paraId="153CF443" w14:textId="77777777" w:rsidR="00366FFB" w:rsidRPr="00743CF7" w:rsidRDefault="00366FFB" w:rsidP="00366FFB">
      <w:pPr>
        <w:autoSpaceDE w:val="0"/>
        <w:autoSpaceDN w:val="0"/>
        <w:adjustRightInd w:val="0"/>
        <w:jc w:val="right"/>
        <w:rPr>
          <w:rFonts w:ascii="Abadi" w:hAnsi="Abadi" w:cs="*Tahoma-BoldItalic-12480-Identi"/>
          <w:b/>
          <w:bCs/>
          <w:i/>
          <w:iCs/>
          <w:color w:val="121212"/>
          <w:sz w:val="21"/>
          <w:szCs w:val="21"/>
        </w:rPr>
      </w:pPr>
      <w:r w:rsidRPr="00743CF7">
        <w:rPr>
          <w:rFonts w:ascii="Abadi" w:hAnsi="Abadi" w:cs="*Tahoma-BoldItalic-12480-Identi"/>
          <w:b/>
          <w:bCs/>
          <w:i/>
          <w:iCs/>
          <w:color w:val="121212"/>
          <w:sz w:val="21"/>
          <w:szCs w:val="21"/>
        </w:rPr>
        <w:t>Acciones coordinadas</w:t>
      </w:r>
    </w:p>
    <w:p w14:paraId="5E7379F1" w14:textId="77777777" w:rsidR="00366FFB" w:rsidRPr="00743CF7" w:rsidRDefault="00366FFB" w:rsidP="00366FFB">
      <w:pPr>
        <w:autoSpaceDE w:val="0"/>
        <w:autoSpaceDN w:val="0"/>
        <w:adjustRightInd w:val="0"/>
        <w:ind w:firstLine="708"/>
        <w:jc w:val="both"/>
        <w:rPr>
          <w:rFonts w:ascii="Abadi" w:hAnsi="Abadi" w:cs="*Microsoft Sans Serif-12479-Ide"/>
          <w:color w:val="2C2C2C"/>
          <w:sz w:val="21"/>
          <w:szCs w:val="21"/>
        </w:rPr>
      </w:pPr>
      <w:r w:rsidRPr="00743CF7">
        <w:rPr>
          <w:rFonts w:ascii="Abadi" w:hAnsi="Abadi" w:cs="*Verdana-Bold-12478-Identity-H"/>
          <w:b/>
          <w:bCs/>
          <w:color w:val="2C2C2C"/>
          <w:sz w:val="21"/>
          <w:szCs w:val="21"/>
        </w:rPr>
        <w:t xml:space="preserve">Artículo </w:t>
      </w:r>
      <w:r w:rsidRPr="00743CF7">
        <w:rPr>
          <w:rFonts w:ascii="Abadi" w:hAnsi="Abadi" w:cs="*Arial-BoldItalic-12477-Identit"/>
          <w:b/>
          <w:bCs/>
          <w:i/>
          <w:iCs/>
          <w:color w:val="2C2C2C"/>
          <w:sz w:val="21"/>
          <w:szCs w:val="21"/>
        </w:rPr>
        <w:t xml:space="preserve">27. </w:t>
      </w:r>
      <w:r w:rsidRPr="00743CF7">
        <w:rPr>
          <w:rFonts w:ascii="Abadi" w:hAnsi="Abadi" w:cs="*Microsoft Sans Serif-12479-Ide"/>
          <w:color w:val="2C2C2C"/>
          <w:sz w:val="21"/>
          <w:szCs w:val="21"/>
        </w:rPr>
        <w:t xml:space="preserve">Las instituciones de educación superior, en coordinación con la Secretaría. promoverán conforme a sus posibilidades </w:t>
      </w:r>
      <w:r w:rsidRPr="00743CF7">
        <w:rPr>
          <w:rFonts w:ascii="Abadi" w:hAnsi="Abadi" w:cs="*Times New Roman-Italic-12474-I"/>
          <w:i/>
          <w:iCs/>
          <w:color w:val="2C2C2C"/>
          <w:sz w:val="21"/>
          <w:szCs w:val="21"/>
        </w:rPr>
        <w:t xml:space="preserve">y </w:t>
      </w:r>
      <w:r w:rsidRPr="00743CF7">
        <w:rPr>
          <w:rFonts w:ascii="Abadi" w:hAnsi="Abadi" w:cs="*Microsoft Sans Serif-12479-Ide"/>
          <w:color w:val="2C2C2C"/>
          <w:sz w:val="21"/>
          <w:szCs w:val="21"/>
        </w:rPr>
        <w:t>en ejercicio de sus atribuciones, lo siguiente:</w:t>
      </w:r>
    </w:p>
    <w:p w14:paraId="0F19F6F5" w14:textId="0F24457A" w:rsidR="00366FFB" w:rsidRDefault="00366FFB" w:rsidP="00366FFB">
      <w:pPr>
        <w:autoSpaceDE w:val="0"/>
        <w:autoSpaceDN w:val="0"/>
        <w:adjustRightInd w:val="0"/>
        <w:jc w:val="both"/>
        <w:rPr>
          <w:rFonts w:ascii="Abadi" w:hAnsi="Abadi" w:cs="*Microsoft Sans Serif-12479-Ide"/>
          <w:color w:val="2C2C2C"/>
          <w:sz w:val="21"/>
          <w:szCs w:val="21"/>
        </w:rPr>
      </w:pPr>
    </w:p>
    <w:p w14:paraId="081A7C42" w14:textId="77777777" w:rsidR="00805777" w:rsidRPr="00743CF7" w:rsidRDefault="00805777" w:rsidP="00366FFB">
      <w:pPr>
        <w:autoSpaceDE w:val="0"/>
        <w:autoSpaceDN w:val="0"/>
        <w:adjustRightInd w:val="0"/>
        <w:jc w:val="both"/>
        <w:rPr>
          <w:rFonts w:ascii="Abadi" w:hAnsi="Abadi" w:cs="*Microsoft Sans Serif-12479-Ide"/>
          <w:color w:val="292929"/>
          <w:sz w:val="21"/>
          <w:szCs w:val="21"/>
        </w:rPr>
      </w:pPr>
    </w:p>
    <w:p w14:paraId="6986A24F" w14:textId="6D0DA3B6" w:rsidR="000D6810" w:rsidRPr="000D6810" w:rsidRDefault="000D6810" w:rsidP="005C6EBB">
      <w:pPr>
        <w:pStyle w:val="Prrafodelista"/>
        <w:numPr>
          <w:ilvl w:val="0"/>
          <w:numId w:val="20"/>
        </w:numPr>
        <w:autoSpaceDE w:val="0"/>
        <w:autoSpaceDN w:val="0"/>
        <w:adjustRightInd w:val="0"/>
        <w:contextualSpacing/>
        <w:jc w:val="both"/>
        <w:rPr>
          <w:rFonts w:ascii="Abadi" w:hAnsi="Abadi" w:cs="*Arial-11263-Identity-H"/>
          <w:color w:val="282828"/>
          <w:sz w:val="21"/>
          <w:szCs w:val="21"/>
        </w:rPr>
      </w:pPr>
      <w:r>
        <w:rPr>
          <w:rFonts w:ascii="Abadi" w:hAnsi="Abadi" w:cs="*Microsoft Sans Serif-12479-Ide"/>
          <w:color w:val="292929"/>
          <w:sz w:val="21"/>
          <w:szCs w:val="21"/>
        </w:rPr>
        <w:t xml:space="preserve">Programas basados en el principio de equidad entre las personas a fin de disminuir las brechas entre las regiones del Estado, atendiendo a la demanda educativa enfocada a los contextos. </w:t>
      </w:r>
    </w:p>
    <w:p w14:paraId="3F4E765A" w14:textId="77777777" w:rsidR="000D6810" w:rsidRPr="000D6810" w:rsidRDefault="000D6810" w:rsidP="000D6810">
      <w:pPr>
        <w:pStyle w:val="Prrafodelista"/>
        <w:autoSpaceDE w:val="0"/>
        <w:autoSpaceDN w:val="0"/>
        <w:adjustRightInd w:val="0"/>
        <w:ind w:left="720"/>
        <w:contextualSpacing/>
        <w:jc w:val="both"/>
        <w:rPr>
          <w:rFonts w:ascii="Abadi" w:hAnsi="Abadi" w:cs="*Arial-11263-Identity-H"/>
          <w:color w:val="282828"/>
          <w:sz w:val="21"/>
          <w:szCs w:val="21"/>
        </w:rPr>
      </w:pPr>
    </w:p>
    <w:p w14:paraId="39D1264B" w14:textId="75FC4241" w:rsidR="00366FFB" w:rsidRPr="006D0A55" w:rsidRDefault="00366FFB" w:rsidP="005C6EBB">
      <w:pPr>
        <w:pStyle w:val="Prrafodelista"/>
        <w:numPr>
          <w:ilvl w:val="0"/>
          <w:numId w:val="20"/>
        </w:numPr>
        <w:autoSpaceDE w:val="0"/>
        <w:autoSpaceDN w:val="0"/>
        <w:adjustRightInd w:val="0"/>
        <w:contextualSpacing/>
        <w:jc w:val="both"/>
        <w:rPr>
          <w:rFonts w:ascii="Abadi" w:hAnsi="Abadi" w:cs="*Arial-11263-Identity-H"/>
          <w:color w:val="282828"/>
          <w:sz w:val="21"/>
          <w:szCs w:val="21"/>
        </w:rPr>
      </w:pPr>
      <w:r w:rsidRPr="006D0A55">
        <w:rPr>
          <w:rFonts w:ascii="Abadi" w:hAnsi="Abadi" w:cs="*Microsoft Sans Serif-12479-Ide"/>
          <w:color w:val="282828"/>
          <w:sz w:val="21"/>
          <w:szCs w:val="21"/>
        </w:rPr>
        <w:t>Modelos y programas educativos, así como acciones afirmativas que eliminen las desigualdades y la discriminación por razones económicas, de origen étnico, lingüísticas, de género, de discapacidad así como cualquier otra acción que garantice el acceso. Permanencia</w:t>
      </w:r>
      <w:r>
        <w:rPr>
          <w:rFonts w:ascii="Abadi" w:hAnsi="Abadi" w:cs="*Microsoft Sans Serif-12479-Ide"/>
          <w:color w:val="282828"/>
          <w:sz w:val="21"/>
          <w:szCs w:val="21"/>
        </w:rPr>
        <w:t xml:space="preserve">, </w:t>
      </w:r>
      <w:r w:rsidRPr="006D0A55">
        <w:rPr>
          <w:rFonts w:ascii="Abadi" w:hAnsi="Abadi" w:cs="*Microsoft Sans Serif-12479-Ide"/>
          <w:color w:val="282828"/>
          <w:sz w:val="21"/>
          <w:szCs w:val="21"/>
        </w:rPr>
        <w:t xml:space="preserve">continuidad </w:t>
      </w:r>
      <w:r w:rsidRPr="006D0A55">
        <w:rPr>
          <w:rFonts w:ascii="Abadi" w:hAnsi="Abadi" w:cs="*Times New Roman-Italic-12474-I"/>
          <w:i/>
          <w:iCs/>
          <w:color w:val="282828"/>
          <w:sz w:val="21"/>
          <w:szCs w:val="21"/>
        </w:rPr>
        <w:t xml:space="preserve">y </w:t>
      </w:r>
      <w:r w:rsidRPr="006D0A55">
        <w:rPr>
          <w:rFonts w:ascii="Abadi" w:hAnsi="Abadi" w:cs="*Microsoft Sans Serif-12479-Ide"/>
          <w:color w:val="282828"/>
          <w:sz w:val="21"/>
          <w:szCs w:val="21"/>
        </w:rPr>
        <w:t>egreso oportuno y equilibrado entre género en los programas de educación superior: La formación de equipos multidisciplinarios para la atención de las personas con discapacidad, identificación de necesidades específicas de la población con dicha condición, barreras para el aprendizaje y la participación, vinculación intro e interinstitucional, interlocución con lo comunidad estudiantil y las diversas ins</w:t>
      </w:r>
      <w:r w:rsidRPr="006D0A55">
        <w:rPr>
          <w:rFonts w:ascii="Abadi" w:hAnsi="Abadi" w:cs="*Microsoft Sans Serif-12479-Ide"/>
          <w:color w:val="6C6C6C"/>
          <w:sz w:val="21"/>
          <w:szCs w:val="21"/>
        </w:rPr>
        <w:t>t</w:t>
      </w:r>
      <w:r w:rsidRPr="006D0A55">
        <w:rPr>
          <w:rFonts w:ascii="Abadi" w:hAnsi="Abadi" w:cs="*Microsoft Sans Serif-12479-Ide"/>
          <w:color w:val="282828"/>
          <w:sz w:val="21"/>
          <w:szCs w:val="21"/>
        </w:rPr>
        <w:t>an</w:t>
      </w:r>
      <w:r w:rsidRPr="006D0A55">
        <w:rPr>
          <w:rFonts w:ascii="Abadi" w:hAnsi="Abadi" w:cs="*Microsoft Sans Serif-12479-Ide"/>
          <w:color w:val="393939"/>
          <w:sz w:val="21"/>
          <w:szCs w:val="21"/>
        </w:rPr>
        <w:t>ci</w:t>
      </w:r>
      <w:r w:rsidRPr="006D0A55">
        <w:rPr>
          <w:rFonts w:ascii="Abadi" w:hAnsi="Abadi" w:cs="*Microsoft Sans Serif-12479-Ide"/>
          <w:color w:val="282828"/>
          <w:sz w:val="21"/>
          <w:szCs w:val="21"/>
        </w:rPr>
        <w:t xml:space="preserve">as o autoridades educativas, investigación y demás  </w:t>
      </w:r>
      <w:r w:rsidRPr="006D0A55">
        <w:rPr>
          <w:rFonts w:ascii="Abadi" w:hAnsi="Abadi" w:cs="*Arial-11263-Identity-H"/>
          <w:color w:val="282828"/>
          <w:sz w:val="21"/>
          <w:szCs w:val="21"/>
        </w:rPr>
        <w:t>acciones encaminadas a la inclusión de las personas con discapacidad en todos los tipos, niveles y modalidades educativas, en términos de las disposiciones jurídicas aplicables;</w:t>
      </w:r>
    </w:p>
    <w:p w14:paraId="27B6E71C" w14:textId="77777777" w:rsidR="00366FFB" w:rsidRPr="00743CF7" w:rsidRDefault="00366FFB" w:rsidP="00366FFB">
      <w:pPr>
        <w:autoSpaceDE w:val="0"/>
        <w:autoSpaceDN w:val="0"/>
        <w:adjustRightInd w:val="0"/>
        <w:jc w:val="both"/>
        <w:rPr>
          <w:rFonts w:ascii="Abadi" w:hAnsi="Abadi" w:cs="*Arial-11263-Identity-H"/>
          <w:color w:val="282828"/>
          <w:sz w:val="21"/>
          <w:szCs w:val="21"/>
        </w:rPr>
      </w:pPr>
    </w:p>
    <w:p w14:paraId="2ECCEB2C" w14:textId="77777777" w:rsidR="00366FFB" w:rsidRPr="006D0A55" w:rsidRDefault="00366FFB" w:rsidP="005C6EBB">
      <w:pPr>
        <w:pStyle w:val="Prrafodelista"/>
        <w:numPr>
          <w:ilvl w:val="0"/>
          <w:numId w:val="20"/>
        </w:numPr>
        <w:autoSpaceDE w:val="0"/>
        <w:autoSpaceDN w:val="0"/>
        <w:adjustRightInd w:val="0"/>
        <w:contextualSpacing/>
        <w:jc w:val="both"/>
        <w:rPr>
          <w:rFonts w:ascii="Abadi" w:hAnsi="Abadi" w:cs="*Arial-11263-Identity-H"/>
          <w:color w:val="2B2B2B"/>
          <w:sz w:val="21"/>
          <w:szCs w:val="21"/>
        </w:rPr>
      </w:pPr>
      <w:r w:rsidRPr="006D0A55">
        <w:rPr>
          <w:rFonts w:ascii="Abadi" w:hAnsi="Abadi" w:cs="*Arial-11263-Identity-H"/>
          <w:color w:val="2B2B2B"/>
          <w:sz w:val="21"/>
          <w:szCs w:val="21"/>
        </w:rPr>
        <w:t xml:space="preserve">La aplicación de acciones afirmativas para apoyar a mujeres en el acceso y permanencia, continuidad </w:t>
      </w:r>
      <w:r w:rsidRPr="006D0A55">
        <w:rPr>
          <w:rFonts w:ascii="Abadi" w:hAnsi="Abadi" w:cs="*Times New Roman-Italic-11258-I"/>
          <w:i/>
          <w:iCs/>
          <w:color w:val="2B2B2B"/>
          <w:sz w:val="21"/>
          <w:szCs w:val="21"/>
        </w:rPr>
        <w:t xml:space="preserve">y </w:t>
      </w:r>
      <w:r w:rsidRPr="006D0A55">
        <w:rPr>
          <w:rFonts w:ascii="Abadi" w:hAnsi="Abadi" w:cs="*Arial-11263-Identity-H"/>
          <w:color w:val="2B2B2B"/>
          <w:sz w:val="21"/>
          <w:szCs w:val="21"/>
        </w:rPr>
        <w:t>egreso oportuno de los estudios que cursen en educación superior;</w:t>
      </w:r>
    </w:p>
    <w:p w14:paraId="0666D433" w14:textId="77777777" w:rsidR="00366FFB" w:rsidRPr="00743CF7" w:rsidRDefault="00366FFB" w:rsidP="00366FFB">
      <w:pPr>
        <w:autoSpaceDE w:val="0"/>
        <w:autoSpaceDN w:val="0"/>
        <w:adjustRightInd w:val="0"/>
        <w:jc w:val="both"/>
        <w:rPr>
          <w:rFonts w:ascii="Abadi" w:hAnsi="Abadi" w:cs="*Arial-11263-Identity-H"/>
          <w:color w:val="2A2A2A"/>
          <w:sz w:val="21"/>
          <w:szCs w:val="21"/>
        </w:rPr>
      </w:pPr>
    </w:p>
    <w:p w14:paraId="31E75A81" w14:textId="5A432B4F" w:rsidR="00366FFB" w:rsidRPr="00B5758D" w:rsidRDefault="00366FFB" w:rsidP="005C6EBB">
      <w:pPr>
        <w:pStyle w:val="Prrafodelista"/>
        <w:numPr>
          <w:ilvl w:val="0"/>
          <w:numId w:val="20"/>
        </w:numPr>
        <w:autoSpaceDE w:val="0"/>
        <w:autoSpaceDN w:val="0"/>
        <w:adjustRightInd w:val="0"/>
        <w:contextualSpacing/>
        <w:jc w:val="both"/>
        <w:rPr>
          <w:rFonts w:ascii="Abadi" w:hAnsi="Abadi" w:cs="*Arial-11263-Identity-H"/>
          <w:color w:val="2A2A2A"/>
          <w:sz w:val="21"/>
          <w:szCs w:val="21"/>
        </w:rPr>
      </w:pPr>
      <w:r w:rsidRPr="00B5758D">
        <w:rPr>
          <w:rFonts w:ascii="Abadi" w:hAnsi="Abadi" w:cs="*Arial-11263-Identity-H"/>
          <w:color w:val="2A2A2A"/>
          <w:sz w:val="21"/>
          <w:szCs w:val="21"/>
        </w:rPr>
        <w:t xml:space="preserve">Condiciones de movilidad y de estancia para personas que. por sus condiciones geográficas de su residencia o de salud requieran apoyos para realizar sus estudios en </w:t>
      </w:r>
      <w:r w:rsidR="000D6810" w:rsidRPr="00B5758D">
        <w:rPr>
          <w:rFonts w:ascii="Abadi" w:hAnsi="Abadi" w:cs="*Arial-11263-Identity-H"/>
          <w:color w:val="2A2A2A"/>
          <w:sz w:val="21"/>
          <w:szCs w:val="21"/>
        </w:rPr>
        <w:t>las sedes</w:t>
      </w:r>
      <w:r w:rsidRPr="00B5758D">
        <w:rPr>
          <w:rFonts w:ascii="Abadi" w:hAnsi="Abadi" w:cs="*Arial-11263-Identity-H"/>
          <w:color w:val="2A2A2A"/>
          <w:sz w:val="21"/>
          <w:szCs w:val="21"/>
        </w:rPr>
        <w:t xml:space="preserve"> de las instituciones de educación superior:</w:t>
      </w:r>
    </w:p>
    <w:p w14:paraId="1387E6A0" w14:textId="77777777" w:rsidR="00366FFB" w:rsidRPr="00743CF7" w:rsidRDefault="00366FFB" w:rsidP="00366FFB">
      <w:pPr>
        <w:autoSpaceDE w:val="0"/>
        <w:autoSpaceDN w:val="0"/>
        <w:adjustRightInd w:val="0"/>
        <w:jc w:val="both"/>
        <w:rPr>
          <w:rFonts w:ascii="Abadi" w:hAnsi="Abadi" w:cs="*Arial-11263-Identity-H"/>
          <w:color w:val="292929"/>
          <w:sz w:val="21"/>
          <w:szCs w:val="21"/>
        </w:rPr>
      </w:pPr>
    </w:p>
    <w:p w14:paraId="5FA740D8"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Arial-11263-Identity-H"/>
          <w:color w:val="292929"/>
          <w:sz w:val="21"/>
          <w:szCs w:val="21"/>
        </w:rPr>
      </w:pPr>
      <w:r w:rsidRPr="00B5758D">
        <w:rPr>
          <w:rFonts w:ascii="Abadi" w:hAnsi="Abadi" w:cs="*Arial-11263-Identity-H"/>
          <w:color w:val="292929"/>
          <w:sz w:val="21"/>
          <w:szCs w:val="21"/>
        </w:rPr>
        <w:t xml:space="preserve">Mecanismos digitales que permitan el ingreso a la educación superior y su posterior tránsito a un modelo mixto o presencial; </w:t>
      </w:r>
    </w:p>
    <w:p w14:paraId="2E6F8B91" w14:textId="77777777" w:rsidR="00366FFB" w:rsidRPr="00743CF7" w:rsidRDefault="00366FFB" w:rsidP="00366FFB">
      <w:pPr>
        <w:autoSpaceDE w:val="0"/>
        <w:autoSpaceDN w:val="0"/>
        <w:adjustRightInd w:val="0"/>
        <w:jc w:val="both"/>
        <w:rPr>
          <w:rFonts w:ascii="Abadi" w:hAnsi="Abadi" w:cs="*Arial-11263-Identity-H"/>
          <w:color w:val="282828"/>
          <w:sz w:val="21"/>
          <w:szCs w:val="21"/>
        </w:rPr>
      </w:pPr>
    </w:p>
    <w:p w14:paraId="0849FF23" w14:textId="26E07C60" w:rsidR="00366FFB" w:rsidRPr="00B5758D" w:rsidRDefault="000D6810" w:rsidP="005C6EBB">
      <w:pPr>
        <w:pStyle w:val="Prrafodelista"/>
        <w:numPr>
          <w:ilvl w:val="0"/>
          <w:numId w:val="20"/>
        </w:numPr>
        <w:autoSpaceDE w:val="0"/>
        <w:autoSpaceDN w:val="0"/>
        <w:adjustRightInd w:val="0"/>
        <w:contextualSpacing/>
        <w:jc w:val="both"/>
        <w:rPr>
          <w:rFonts w:ascii="Abadi" w:hAnsi="Abadi" w:cs="*Arial-11263-Identity-H"/>
          <w:color w:val="282828"/>
          <w:sz w:val="21"/>
          <w:szCs w:val="21"/>
        </w:rPr>
      </w:pPr>
      <w:r w:rsidRPr="00B5758D">
        <w:rPr>
          <w:rFonts w:ascii="Abadi" w:hAnsi="Abadi" w:cs="*Arial-11263-Identity-H"/>
          <w:color w:val="282828"/>
          <w:sz w:val="21"/>
          <w:szCs w:val="21"/>
        </w:rPr>
        <w:t>Acciones encaminadas</w:t>
      </w:r>
      <w:r w:rsidR="00366FFB" w:rsidRPr="00B5758D">
        <w:rPr>
          <w:rFonts w:ascii="Abadi" w:hAnsi="Abadi" w:cs="*Arial-11263-Identity-H"/>
          <w:color w:val="282828"/>
          <w:sz w:val="21"/>
          <w:szCs w:val="21"/>
        </w:rPr>
        <w:t xml:space="preserve"> al fortalecimiento de la prestación del servicio educativo superior mediante el incremento de la cobertura, atención a la demanda, recuperación o reforzamiento de aprendizajes, portabilidad y flexibilidad de planes y programas de estudio;</w:t>
      </w:r>
    </w:p>
    <w:p w14:paraId="19CDA3CE" w14:textId="77777777" w:rsidR="00366FFB" w:rsidRPr="00743CF7" w:rsidRDefault="00366FFB" w:rsidP="00366FFB">
      <w:pPr>
        <w:autoSpaceDE w:val="0"/>
        <w:autoSpaceDN w:val="0"/>
        <w:adjustRightInd w:val="0"/>
        <w:jc w:val="both"/>
        <w:rPr>
          <w:rFonts w:ascii="Abadi" w:hAnsi="Abadi" w:cs="*Calibri-Bold-11261-Identity-H"/>
          <w:b/>
          <w:bCs/>
          <w:color w:val="292929"/>
          <w:sz w:val="21"/>
          <w:szCs w:val="21"/>
        </w:rPr>
      </w:pPr>
    </w:p>
    <w:p w14:paraId="0111D142"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Arial-11263-Identity-H"/>
          <w:color w:val="292929"/>
          <w:sz w:val="21"/>
          <w:szCs w:val="21"/>
        </w:rPr>
      </w:pPr>
      <w:r w:rsidRPr="00B5758D">
        <w:rPr>
          <w:rFonts w:ascii="Abadi" w:hAnsi="Abadi" w:cs="*Arial-11263-Identity-H"/>
          <w:color w:val="292929"/>
          <w:sz w:val="21"/>
          <w:szCs w:val="21"/>
        </w:rPr>
        <w:t>Impulso de la transferencia tecnológica y la innovación corno productos de alto valor agregado en beneficio de los diferentes sectores de la sociedad:</w:t>
      </w:r>
    </w:p>
    <w:p w14:paraId="23958607" w14:textId="77777777" w:rsidR="00366FFB" w:rsidRPr="00743CF7" w:rsidRDefault="00366FFB" w:rsidP="00366FFB">
      <w:pPr>
        <w:autoSpaceDE w:val="0"/>
        <w:autoSpaceDN w:val="0"/>
        <w:adjustRightInd w:val="0"/>
        <w:jc w:val="both"/>
        <w:rPr>
          <w:rFonts w:ascii="Abadi" w:hAnsi="Abadi" w:cs="*Calibri-Bold-11262-Identity-H"/>
          <w:b/>
          <w:bCs/>
          <w:color w:val="282828"/>
          <w:sz w:val="21"/>
          <w:szCs w:val="21"/>
        </w:rPr>
      </w:pPr>
    </w:p>
    <w:p w14:paraId="3A438519"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Arial-11263-Identity-H"/>
          <w:color w:val="282828"/>
          <w:sz w:val="21"/>
          <w:szCs w:val="21"/>
        </w:rPr>
      </w:pPr>
      <w:r w:rsidRPr="00B5758D">
        <w:rPr>
          <w:rFonts w:ascii="Abadi" w:hAnsi="Abadi" w:cs="*Arial-11263-Identity-H"/>
          <w:color w:val="282828"/>
          <w:sz w:val="21"/>
          <w:szCs w:val="21"/>
        </w:rPr>
        <w:t>La promoción de la ampliación y el mejoramiento permanente de la infraestructura física y tecnológica de las instituciones públicas de educación superior, con base en el principio de educación inclusiva;</w:t>
      </w:r>
    </w:p>
    <w:p w14:paraId="4B55EB28" w14:textId="77777777" w:rsidR="00366FFB" w:rsidRPr="00743CF7" w:rsidRDefault="00366FFB" w:rsidP="00366FFB">
      <w:pPr>
        <w:autoSpaceDE w:val="0"/>
        <w:autoSpaceDN w:val="0"/>
        <w:adjustRightInd w:val="0"/>
        <w:jc w:val="both"/>
        <w:rPr>
          <w:rFonts w:ascii="Abadi" w:hAnsi="Abadi" w:cs="*Calibri-Bold-11261-Identity-H"/>
          <w:b/>
          <w:bCs/>
          <w:color w:val="292929"/>
          <w:sz w:val="21"/>
          <w:szCs w:val="21"/>
        </w:rPr>
      </w:pPr>
    </w:p>
    <w:p w14:paraId="3A2B423C"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Arial-11263-Identity-H"/>
          <w:color w:val="292929"/>
          <w:sz w:val="21"/>
          <w:szCs w:val="21"/>
        </w:rPr>
      </w:pPr>
      <w:r w:rsidRPr="00B5758D">
        <w:rPr>
          <w:rFonts w:ascii="Abadi" w:hAnsi="Abadi" w:cs="*Arial-11263-Identity-H"/>
          <w:color w:val="292929"/>
          <w:sz w:val="21"/>
          <w:szCs w:val="21"/>
        </w:rPr>
        <w:t>El desarrollo y mejoramiento de la infraestructura física. recursos humanos y tecnología de las instituciones públicas de educación superior para garantizar la cobertura;</w:t>
      </w:r>
    </w:p>
    <w:p w14:paraId="2898D66F" w14:textId="77777777" w:rsidR="00366FFB" w:rsidRPr="00743CF7" w:rsidRDefault="00366FFB" w:rsidP="00366FFB">
      <w:pPr>
        <w:jc w:val="both"/>
        <w:rPr>
          <w:rFonts w:ascii="Abadi" w:hAnsi="Abadi" w:cs="*Arial-11263-Identity-H"/>
          <w:color w:val="2A2A2A"/>
          <w:sz w:val="21"/>
          <w:szCs w:val="21"/>
        </w:rPr>
      </w:pPr>
    </w:p>
    <w:p w14:paraId="0A67239D" w14:textId="77777777" w:rsidR="00366FFB" w:rsidRPr="00B5758D" w:rsidRDefault="00366FFB" w:rsidP="005C6EBB">
      <w:pPr>
        <w:pStyle w:val="Prrafodelista"/>
        <w:numPr>
          <w:ilvl w:val="0"/>
          <w:numId w:val="20"/>
        </w:numPr>
        <w:spacing w:after="160" w:line="259" w:lineRule="auto"/>
        <w:contextualSpacing/>
        <w:jc w:val="both"/>
        <w:rPr>
          <w:rFonts w:ascii="Abadi" w:hAnsi="Abadi" w:cs="*Arial-11263-Identity-H"/>
          <w:color w:val="2A2A2A"/>
          <w:sz w:val="21"/>
          <w:szCs w:val="21"/>
        </w:rPr>
      </w:pPr>
      <w:r w:rsidRPr="00B5758D">
        <w:rPr>
          <w:rFonts w:ascii="Abadi" w:hAnsi="Abadi" w:cs="*Arial-11263-Identity-H"/>
          <w:color w:val="2A2A2A"/>
          <w:sz w:val="21"/>
          <w:szCs w:val="21"/>
        </w:rPr>
        <w:t>La enseñanza de otras lenguas:</w:t>
      </w:r>
    </w:p>
    <w:p w14:paraId="31CDF5DC" w14:textId="77777777" w:rsidR="00366FFB" w:rsidRPr="00743CF7" w:rsidRDefault="00366FFB" w:rsidP="00366FFB">
      <w:pPr>
        <w:jc w:val="both"/>
        <w:rPr>
          <w:rFonts w:ascii="Abadi" w:hAnsi="Abadi" w:cs="*Arial-11263-Identity-H"/>
          <w:color w:val="2A2A2A"/>
          <w:sz w:val="21"/>
          <w:szCs w:val="21"/>
        </w:rPr>
      </w:pPr>
    </w:p>
    <w:p w14:paraId="455DB8C3"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Calibri-11451-Identity-H"/>
          <w:color w:val="292929"/>
          <w:sz w:val="21"/>
          <w:szCs w:val="21"/>
        </w:rPr>
      </w:pPr>
      <w:r w:rsidRPr="00B5758D">
        <w:rPr>
          <w:rFonts w:ascii="Abadi" w:hAnsi="Abadi" w:cs="*Calibri-11451-Identity-H"/>
          <w:color w:val="292929"/>
          <w:sz w:val="21"/>
          <w:szCs w:val="21"/>
        </w:rPr>
        <w:t xml:space="preserve">El acceso de la comunidad de las insti1uciones de educación superior al acervo bibliográfico </w:t>
      </w:r>
      <w:r w:rsidRPr="00B5758D">
        <w:rPr>
          <w:rFonts w:ascii="Abadi" w:hAnsi="Abadi" w:cs="*Calibri-11450-Identity-H"/>
          <w:color w:val="292929"/>
          <w:sz w:val="21"/>
          <w:szCs w:val="21"/>
        </w:rPr>
        <w:t xml:space="preserve">y </w:t>
      </w:r>
      <w:r w:rsidRPr="00B5758D">
        <w:rPr>
          <w:rFonts w:ascii="Abadi" w:hAnsi="Abadi" w:cs="*Calibri-11451-Identity-H"/>
          <w:color w:val="292929"/>
          <w:sz w:val="21"/>
          <w:szCs w:val="21"/>
        </w:rPr>
        <w:t xml:space="preserve">audiovisual, así como la creación, ampliación </w:t>
      </w:r>
      <w:r w:rsidRPr="00B5758D">
        <w:rPr>
          <w:rFonts w:ascii="Abadi" w:hAnsi="Abadi" w:cs="*Calibri-11450-Identity-H"/>
          <w:color w:val="292929"/>
          <w:sz w:val="21"/>
          <w:szCs w:val="21"/>
        </w:rPr>
        <w:t xml:space="preserve">y </w:t>
      </w:r>
      <w:r w:rsidRPr="00B5758D">
        <w:rPr>
          <w:rFonts w:ascii="Abadi" w:hAnsi="Abadi" w:cs="*Calibri-11451-Identity-H"/>
          <w:color w:val="292929"/>
          <w:sz w:val="21"/>
          <w:szCs w:val="21"/>
        </w:rPr>
        <w:t xml:space="preserve">actualización en formatos asequibles y de acceso abierto de los servicios informativos </w:t>
      </w:r>
      <w:r w:rsidRPr="00B5758D">
        <w:rPr>
          <w:rFonts w:ascii="Abadi" w:hAnsi="Abadi" w:cs="*Calibri-11450-Identity-H"/>
          <w:color w:val="292929"/>
          <w:sz w:val="21"/>
          <w:szCs w:val="21"/>
        </w:rPr>
        <w:t xml:space="preserve">y </w:t>
      </w:r>
      <w:r w:rsidRPr="00B5758D">
        <w:rPr>
          <w:rFonts w:ascii="Abadi" w:hAnsi="Abadi" w:cs="*Calibri-11451-Identity-H"/>
          <w:color w:val="292929"/>
          <w:sz w:val="21"/>
          <w:szCs w:val="21"/>
        </w:rPr>
        <w:t xml:space="preserve">de los repositorios con lo utilización de las tecnologías de la información, comunicación, conocimiento </w:t>
      </w:r>
      <w:r w:rsidRPr="00B5758D">
        <w:rPr>
          <w:rFonts w:ascii="Abadi" w:hAnsi="Abadi" w:cs="*Calibri-11450-Identity-H"/>
          <w:color w:val="292929"/>
          <w:sz w:val="21"/>
          <w:szCs w:val="21"/>
        </w:rPr>
        <w:t xml:space="preserve">y </w:t>
      </w:r>
      <w:r w:rsidRPr="00B5758D">
        <w:rPr>
          <w:rFonts w:ascii="Abadi" w:hAnsi="Abadi" w:cs="*Calibri-11451-Identity-H"/>
          <w:color w:val="292929"/>
          <w:sz w:val="21"/>
          <w:szCs w:val="21"/>
        </w:rPr>
        <w:t xml:space="preserve">aprendizaje digital; </w:t>
      </w:r>
    </w:p>
    <w:p w14:paraId="3785E163" w14:textId="77777777" w:rsidR="00366FFB" w:rsidRPr="00743CF7" w:rsidRDefault="00366FFB" w:rsidP="00366FFB">
      <w:pPr>
        <w:autoSpaceDE w:val="0"/>
        <w:autoSpaceDN w:val="0"/>
        <w:adjustRightInd w:val="0"/>
        <w:jc w:val="both"/>
        <w:rPr>
          <w:rFonts w:ascii="Abadi" w:hAnsi="Abadi" w:cs="*Calibri-11451-Identity-H"/>
          <w:color w:val="292929"/>
          <w:sz w:val="21"/>
          <w:szCs w:val="21"/>
        </w:rPr>
      </w:pPr>
    </w:p>
    <w:p w14:paraId="262476EC"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Calibri-11451-Identity-H"/>
          <w:color w:val="292929"/>
          <w:sz w:val="21"/>
          <w:szCs w:val="21"/>
        </w:rPr>
      </w:pPr>
      <w:r w:rsidRPr="00B5758D">
        <w:rPr>
          <w:rFonts w:ascii="Abadi" w:hAnsi="Abadi" w:cs="*Calibri-11451-Identity-H"/>
          <w:color w:val="292929"/>
          <w:sz w:val="21"/>
          <w:szCs w:val="21"/>
        </w:rPr>
        <w:t xml:space="preserve">La incorporación de áreas verdes </w:t>
      </w:r>
      <w:r w:rsidRPr="00B5758D">
        <w:rPr>
          <w:rFonts w:ascii="Abadi" w:hAnsi="Abadi" w:cs="*Calibri-11450-Identity-H"/>
          <w:color w:val="292929"/>
          <w:sz w:val="21"/>
          <w:szCs w:val="21"/>
        </w:rPr>
        <w:t xml:space="preserve">y </w:t>
      </w:r>
      <w:r w:rsidRPr="00B5758D">
        <w:rPr>
          <w:rFonts w:ascii="Abadi" w:hAnsi="Abadi" w:cs="*Calibri-11451-Identity-H"/>
          <w:color w:val="292929"/>
          <w:sz w:val="21"/>
          <w:szCs w:val="21"/>
        </w:rPr>
        <w:t>deportivas en la infraestructura de las instituciones de educación superior:</w:t>
      </w:r>
    </w:p>
    <w:p w14:paraId="5FF2FB0C" w14:textId="77777777" w:rsidR="00366FFB" w:rsidRPr="00743CF7" w:rsidRDefault="00366FFB" w:rsidP="00366FFB">
      <w:pPr>
        <w:autoSpaceDE w:val="0"/>
        <w:autoSpaceDN w:val="0"/>
        <w:adjustRightInd w:val="0"/>
        <w:jc w:val="both"/>
        <w:rPr>
          <w:rFonts w:ascii="Abadi" w:hAnsi="Abadi" w:cs="*Calibri-11451-Identity-H"/>
          <w:color w:val="292929"/>
          <w:sz w:val="21"/>
          <w:szCs w:val="21"/>
        </w:rPr>
      </w:pPr>
    </w:p>
    <w:p w14:paraId="0795E7DC"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Calibri-11451-Identity-H"/>
          <w:color w:val="2B2B2B"/>
          <w:sz w:val="21"/>
          <w:szCs w:val="21"/>
        </w:rPr>
      </w:pPr>
      <w:r w:rsidRPr="00B5758D">
        <w:rPr>
          <w:rFonts w:ascii="Abadi" w:hAnsi="Abadi" w:cs="*Calibri-11451-Identity-H"/>
          <w:color w:val="2B2B2B"/>
          <w:sz w:val="21"/>
          <w:szCs w:val="21"/>
        </w:rPr>
        <w:t xml:space="preserve">Una cultura de prevención </w:t>
      </w:r>
      <w:r w:rsidRPr="00B5758D">
        <w:rPr>
          <w:rFonts w:ascii="Abadi" w:hAnsi="Abadi" w:cs="*Calibri-11450-Identity-H"/>
          <w:color w:val="2B2B2B"/>
          <w:sz w:val="21"/>
          <w:szCs w:val="21"/>
        </w:rPr>
        <w:t xml:space="preserve">y </w:t>
      </w:r>
      <w:r w:rsidRPr="00B5758D">
        <w:rPr>
          <w:rFonts w:ascii="Abadi" w:hAnsi="Abadi" w:cs="*Calibri-11451-Identity-H"/>
          <w:color w:val="2B2B2B"/>
          <w:sz w:val="21"/>
          <w:szCs w:val="21"/>
        </w:rPr>
        <w:t xml:space="preserve">resiliencia para la protección civil, a fin de arraigar en la comunidad de las instituciones de educación superior los elementos básicos de prevención, autoprotección </w:t>
      </w:r>
      <w:r w:rsidRPr="00B5758D">
        <w:rPr>
          <w:rFonts w:ascii="Abadi" w:hAnsi="Abadi" w:cs="*Calibri-11450-Identity-H"/>
          <w:color w:val="2B2B2B"/>
          <w:sz w:val="21"/>
          <w:szCs w:val="21"/>
        </w:rPr>
        <w:t xml:space="preserve">y </w:t>
      </w:r>
      <w:r w:rsidRPr="00B5758D">
        <w:rPr>
          <w:rFonts w:ascii="Abadi" w:hAnsi="Abadi" w:cs="*Calibri-11451-Identity-H"/>
          <w:color w:val="2B2B2B"/>
          <w:sz w:val="21"/>
          <w:szCs w:val="21"/>
        </w:rPr>
        <w:t xml:space="preserve">mitigación frente o circunstancias de riesgo y desastres; </w:t>
      </w:r>
    </w:p>
    <w:p w14:paraId="1CEC9700" w14:textId="77777777" w:rsidR="00366FFB" w:rsidRPr="00743CF7" w:rsidRDefault="00366FFB" w:rsidP="00366FFB">
      <w:pPr>
        <w:autoSpaceDE w:val="0"/>
        <w:autoSpaceDN w:val="0"/>
        <w:adjustRightInd w:val="0"/>
        <w:jc w:val="both"/>
        <w:rPr>
          <w:rFonts w:ascii="Abadi" w:hAnsi="Abadi" w:cs="*Calibri-11451-Identity-H"/>
          <w:color w:val="2B2B2B"/>
          <w:sz w:val="21"/>
          <w:szCs w:val="21"/>
        </w:rPr>
      </w:pPr>
    </w:p>
    <w:p w14:paraId="3B6997B1"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Calibri-11451-Identity-H"/>
          <w:color w:val="2A2A2A"/>
          <w:sz w:val="21"/>
          <w:szCs w:val="21"/>
        </w:rPr>
      </w:pPr>
      <w:r w:rsidRPr="00B5758D">
        <w:rPr>
          <w:rFonts w:ascii="Abadi" w:hAnsi="Abadi" w:cs="*Calibri-11451-Identity-H"/>
          <w:color w:val="2A2A2A"/>
          <w:sz w:val="21"/>
          <w:szCs w:val="21"/>
        </w:rPr>
        <w:t>Fomento a las pr</w:t>
      </w:r>
      <w:r>
        <w:rPr>
          <w:rFonts w:ascii="Abadi" w:hAnsi="Abadi" w:cs="*Calibri-11451-Identity-H"/>
          <w:color w:val="2A2A2A"/>
          <w:sz w:val="21"/>
          <w:szCs w:val="21"/>
        </w:rPr>
        <w:t>á</w:t>
      </w:r>
      <w:r w:rsidRPr="00B5758D">
        <w:rPr>
          <w:rFonts w:ascii="Abadi" w:hAnsi="Abadi" w:cs="*Calibri-11451-Identity-H"/>
          <w:color w:val="2A2A2A"/>
          <w:sz w:val="21"/>
          <w:szCs w:val="21"/>
        </w:rPr>
        <w:t>c</w:t>
      </w:r>
      <w:r>
        <w:rPr>
          <w:rFonts w:ascii="Abadi" w:hAnsi="Abadi" w:cs="*Calibri-11451-Identity-H"/>
          <w:color w:val="2A2A2A"/>
          <w:sz w:val="21"/>
          <w:szCs w:val="21"/>
        </w:rPr>
        <w:t>ticas</w:t>
      </w:r>
      <w:r w:rsidRPr="00B5758D">
        <w:rPr>
          <w:rFonts w:ascii="Abadi" w:hAnsi="Abadi" w:cs="*Calibri-11451-Identity-H"/>
          <w:color w:val="2A2A2A"/>
          <w:sz w:val="21"/>
          <w:szCs w:val="21"/>
        </w:rPr>
        <w:t xml:space="preserve"> de evaluación </w:t>
      </w:r>
      <w:r w:rsidRPr="00B5758D">
        <w:rPr>
          <w:rFonts w:ascii="Abadi" w:hAnsi="Abadi" w:cs="*Calibri-11450-Identity-H"/>
          <w:color w:val="2A2A2A"/>
          <w:sz w:val="21"/>
          <w:szCs w:val="21"/>
        </w:rPr>
        <w:t xml:space="preserve">y </w:t>
      </w:r>
      <w:r w:rsidRPr="00B5758D">
        <w:rPr>
          <w:rFonts w:ascii="Abadi" w:hAnsi="Abadi" w:cs="*Calibri-11451-Identity-H"/>
          <w:color w:val="2A2A2A"/>
          <w:sz w:val="21"/>
          <w:szCs w:val="21"/>
        </w:rPr>
        <w:t>acreditación de programas, procesos e instituciones de educación superior;</w:t>
      </w:r>
    </w:p>
    <w:p w14:paraId="5CED4015" w14:textId="77777777" w:rsidR="00366FFB" w:rsidRPr="00743CF7" w:rsidRDefault="00366FFB" w:rsidP="00366FFB">
      <w:pPr>
        <w:autoSpaceDE w:val="0"/>
        <w:autoSpaceDN w:val="0"/>
        <w:adjustRightInd w:val="0"/>
        <w:jc w:val="both"/>
        <w:rPr>
          <w:rFonts w:ascii="Abadi" w:hAnsi="Abadi" w:cs="*Calibri-11451-Identity-H"/>
          <w:color w:val="2A2A2A"/>
          <w:sz w:val="21"/>
          <w:szCs w:val="21"/>
        </w:rPr>
      </w:pPr>
    </w:p>
    <w:p w14:paraId="14C05D38" w14:textId="44666A4A" w:rsidR="00366FFB" w:rsidRPr="00B5758D" w:rsidRDefault="00366FFB" w:rsidP="005C6EBB">
      <w:pPr>
        <w:pStyle w:val="Prrafodelista"/>
        <w:numPr>
          <w:ilvl w:val="0"/>
          <w:numId w:val="20"/>
        </w:numPr>
        <w:autoSpaceDE w:val="0"/>
        <w:autoSpaceDN w:val="0"/>
        <w:adjustRightInd w:val="0"/>
        <w:contextualSpacing/>
        <w:jc w:val="both"/>
        <w:rPr>
          <w:rFonts w:ascii="Abadi" w:hAnsi="Abadi" w:cs="*Calibri-11451-Identity-H"/>
          <w:color w:val="292929"/>
          <w:sz w:val="21"/>
          <w:szCs w:val="21"/>
        </w:rPr>
      </w:pPr>
      <w:r w:rsidRPr="00B5758D">
        <w:rPr>
          <w:rFonts w:ascii="Abadi" w:hAnsi="Abadi" w:cs="*Calibri-11451-Identity-H"/>
          <w:color w:val="292929"/>
          <w:sz w:val="21"/>
          <w:szCs w:val="21"/>
        </w:rPr>
        <w:t>Acciones para abatir las circunstancias sociales, educativas, económicas, de salud, trabajo, culturales o políticas, figuras o instituciones jurídicas, actos, omisiones, barreras o prácticas que tengan por objeto o produzcan el efecto de negar, excluir, distinguir, menoscobar</w:t>
      </w:r>
      <w:r w:rsidRPr="00B5758D">
        <w:rPr>
          <w:rFonts w:ascii="Abadi" w:hAnsi="Abadi" w:cs="*Calibri-11454-Identity-H"/>
          <w:color w:val="292929"/>
          <w:sz w:val="21"/>
          <w:szCs w:val="21"/>
        </w:rPr>
        <w:t xml:space="preserve">1 </w:t>
      </w:r>
      <w:r w:rsidRPr="00B5758D">
        <w:rPr>
          <w:rFonts w:ascii="Abadi" w:hAnsi="Abadi" w:cs="*Calibri-11451-Identity-H"/>
          <w:color w:val="292929"/>
          <w:sz w:val="21"/>
          <w:szCs w:val="21"/>
        </w:rPr>
        <w:t>impedir o restringir el derecho a la educación super</w:t>
      </w:r>
      <w:r w:rsidRPr="00B5758D">
        <w:rPr>
          <w:rFonts w:ascii="Abadi" w:hAnsi="Abadi" w:cs="*Calibri-11451-Identity-H"/>
          <w:color w:val="7F7F7F"/>
          <w:sz w:val="21"/>
          <w:szCs w:val="21"/>
        </w:rPr>
        <w:t>i</w:t>
      </w:r>
      <w:r w:rsidRPr="00B5758D">
        <w:rPr>
          <w:rFonts w:ascii="Abadi" w:hAnsi="Abadi" w:cs="*Calibri-11451-Identity-H"/>
          <w:color w:val="292929"/>
          <w:sz w:val="21"/>
          <w:szCs w:val="21"/>
        </w:rPr>
        <w:t xml:space="preserve">or de </w:t>
      </w:r>
      <w:r w:rsidR="000D6810" w:rsidRPr="00B5758D">
        <w:rPr>
          <w:rFonts w:ascii="Abadi" w:hAnsi="Abadi" w:cs="*Calibri-11451-Identity-H"/>
          <w:color w:val="292929"/>
          <w:sz w:val="21"/>
          <w:szCs w:val="21"/>
        </w:rPr>
        <w:t>las personas</w:t>
      </w:r>
      <w:r w:rsidRPr="00B5758D">
        <w:rPr>
          <w:rFonts w:ascii="Abadi" w:hAnsi="Abadi" w:cs="*Calibri-11451-Identity-H"/>
          <w:color w:val="292929"/>
          <w:sz w:val="21"/>
          <w:szCs w:val="21"/>
        </w:rPr>
        <w:t xml:space="preserve"> que cumplan con los requisitos de ingreso;</w:t>
      </w:r>
    </w:p>
    <w:p w14:paraId="32C4DCED" w14:textId="77777777" w:rsidR="00366FFB" w:rsidRPr="00743CF7" w:rsidRDefault="00366FFB" w:rsidP="00366FFB">
      <w:pPr>
        <w:autoSpaceDE w:val="0"/>
        <w:autoSpaceDN w:val="0"/>
        <w:adjustRightInd w:val="0"/>
        <w:jc w:val="both"/>
        <w:rPr>
          <w:rFonts w:ascii="Abadi" w:hAnsi="Abadi" w:cs="*Calibri-11451-Identity-H"/>
          <w:color w:val="292929"/>
          <w:sz w:val="21"/>
          <w:szCs w:val="21"/>
        </w:rPr>
      </w:pPr>
    </w:p>
    <w:p w14:paraId="455C30B0" w14:textId="77777777" w:rsidR="00366FFB" w:rsidRPr="00D634CE" w:rsidRDefault="00366FFB" w:rsidP="005C6EBB">
      <w:pPr>
        <w:pStyle w:val="Prrafodelista"/>
        <w:numPr>
          <w:ilvl w:val="0"/>
          <w:numId w:val="20"/>
        </w:numPr>
        <w:autoSpaceDE w:val="0"/>
        <w:autoSpaceDN w:val="0"/>
        <w:adjustRightInd w:val="0"/>
        <w:contextualSpacing/>
        <w:jc w:val="both"/>
        <w:rPr>
          <w:rFonts w:ascii="Abadi" w:hAnsi="Abadi" w:cs="*Calibri-11451-Identity-H"/>
          <w:color w:val="292929"/>
          <w:sz w:val="21"/>
          <w:szCs w:val="21"/>
        </w:rPr>
      </w:pPr>
      <w:r w:rsidRPr="00D634CE">
        <w:rPr>
          <w:rFonts w:ascii="Abadi" w:hAnsi="Abadi" w:cs="*Calibri-11451-Identity-H"/>
          <w:color w:val="292929"/>
          <w:sz w:val="21"/>
          <w:szCs w:val="21"/>
        </w:rPr>
        <w:t xml:space="preserve">Participación en el desarrollo de proyectos específicos para contribuir a la resolución de problemas y el desarrollo de la educación en todos los tipos </w:t>
      </w:r>
      <w:r w:rsidRPr="00D634CE">
        <w:rPr>
          <w:rFonts w:ascii="Abadi" w:hAnsi="Abadi" w:cs="*Calibri-11450-Identity-H"/>
          <w:color w:val="292929"/>
          <w:sz w:val="21"/>
          <w:szCs w:val="21"/>
        </w:rPr>
        <w:t xml:space="preserve">y </w:t>
      </w:r>
      <w:r w:rsidRPr="00D634CE">
        <w:rPr>
          <w:rFonts w:ascii="Abadi" w:hAnsi="Abadi" w:cs="*Calibri-11451-Identity-H"/>
          <w:color w:val="292929"/>
          <w:sz w:val="21"/>
          <w:szCs w:val="21"/>
        </w:rPr>
        <w:t>niveles educativos:</w:t>
      </w:r>
    </w:p>
    <w:p w14:paraId="7CC49970" w14:textId="77777777" w:rsidR="00366FFB" w:rsidRPr="00743CF7" w:rsidRDefault="00366FFB" w:rsidP="00366FFB">
      <w:pPr>
        <w:autoSpaceDE w:val="0"/>
        <w:autoSpaceDN w:val="0"/>
        <w:adjustRightInd w:val="0"/>
        <w:jc w:val="both"/>
        <w:rPr>
          <w:rFonts w:ascii="Abadi" w:hAnsi="Abadi" w:cs="*Calibri-11451-Identity-H"/>
          <w:color w:val="292929"/>
          <w:sz w:val="21"/>
          <w:szCs w:val="21"/>
        </w:rPr>
      </w:pPr>
    </w:p>
    <w:p w14:paraId="1D3F6529"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Calibri-11450-Identity-H"/>
          <w:color w:val="2B2B2B"/>
          <w:sz w:val="21"/>
          <w:szCs w:val="21"/>
        </w:rPr>
      </w:pPr>
      <w:r w:rsidRPr="00B5758D">
        <w:rPr>
          <w:rFonts w:ascii="Abadi" w:hAnsi="Abadi" w:cs="*Calibri-11451-Identity-H"/>
          <w:color w:val="2B2B2B"/>
          <w:sz w:val="21"/>
          <w:szCs w:val="21"/>
        </w:rPr>
        <w:t xml:space="preserve">Implementación de la territorialización de lo educación superior, mediante acciones académicas, de innovación, responsabilidad social, servicio social, prácticas profesionales, investigación, servicios. Productos </w:t>
      </w:r>
      <w:r w:rsidRPr="00B5758D">
        <w:rPr>
          <w:rFonts w:ascii="Abadi" w:hAnsi="Abadi" w:cs="*Calibri-11450-Identity-H"/>
          <w:color w:val="2B2B2B"/>
          <w:sz w:val="21"/>
          <w:szCs w:val="21"/>
        </w:rPr>
        <w:t xml:space="preserve">y </w:t>
      </w:r>
      <w:r w:rsidRPr="00B5758D">
        <w:rPr>
          <w:rFonts w:ascii="Abadi" w:hAnsi="Abadi" w:cs="*Calibri-11451-Identity-H"/>
          <w:color w:val="2B2B2B"/>
          <w:sz w:val="21"/>
          <w:szCs w:val="21"/>
        </w:rPr>
        <w:t xml:space="preserve">transferencia de conocimiento o tecnología; </w:t>
      </w:r>
      <w:r w:rsidRPr="00B5758D">
        <w:rPr>
          <w:rFonts w:ascii="Abadi" w:hAnsi="Abadi" w:cs="*Calibri-11450-Identity-H"/>
          <w:color w:val="2B2B2B"/>
          <w:sz w:val="21"/>
          <w:szCs w:val="21"/>
        </w:rPr>
        <w:t>y</w:t>
      </w:r>
    </w:p>
    <w:p w14:paraId="241898F5" w14:textId="77777777" w:rsidR="00366FFB" w:rsidRPr="00743CF7" w:rsidRDefault="00366FFB" w:rsidP="00366FFB">
      <w:pPr>
        <w:jc w:val="both"/>
        <w:rPr>
          <w:rFonts w:ascii="Abadi" w:hAnsi="Abadi" w:cs="*Calibri-11450-Identity-H"/>
          <w:color w:val="2B2B2B"/>
          <w:sz w:val="21"/>
          <w:szCs w:val="21"/>
        </w:rPr>
      </w:pPr>
    </w:p>
    <w:p w14:paraId="5EB0B848" w14:textId="77777777" w:rsidR="00366FFB" w:rsidRPr="00B5758D" w:rsidRDefault="00366FFB" w:rsidP="005C6EBB">
      <w:pPr>
        <w:pStyle w:val="Prrafodelista"/>
        <w:numPr>
          <w:ilvl w:val="0"/>
          <w:numId w:val="20"/>
        </w:numPr>
        <w:autoSpaceDE w:val="0"/>
        <w:autoSpaceDN w:val="0"/>
        <w:adjustRightInd w:val="0"/>
        <w:contextualSpacing/>
        <w:jc w:val="both"/>
        <w:rPr>
          <w:rFonts w:ascii="Abadi" w:hAnsi="Abadi" w:cs="*Microsoft Sans Serif-12140-Ide"/>
          <w:color w:val="282828"/>
          <w:sz w:val="21"/>
          <w:szCs w:val="21"/>
        </w:rPr>
      </w:pPr>
      <w:r w:rsidRPr="00B5758D">
        <w:rPr>
          <w:rFonts w:ascii="Abadi" w:hAnsi="Abadi" w:cs="*Microsoft Sans Serif-12140-Ide"/>
          <w:color w:val="282828"/>
          <w:sz w:val="21"/>
          <w:szCs w:val="21"/>
        </w:rPr>
        <w:t>Otras que contribuyen di logro de los criterios, fines y políticos de la educación superior.</w:t>
      </w:r>
    </w:p>
    <w:p w14:paraId="3C9A94B9" w14:textId="77777777" w:rsidR="00366FFB" w:rsidRPr="00743CF7" w:rsidRDefault="00366FFB" w:rsidP="00366FFB">
      <w:pPr>
        <w:autoSpaceDE w:val="0"/>
        <w:autoSpaceDN w:val="0"/>
        <w:adjustRightInd w:val="0"/>
        <w:jc w:val="both"/>
        <w:rPr>
          <w:rFonts w:ascii="Abadi" w:hAnsi="Abadi" w:cs="*Microsoft Sans Serif-12140-Ide"/>
          <w:color w:val="282828"/>
          <w:sz w:val="21"/>
          <w:szCs w:val="21"/>
        </w:rPr>
      </w:pPr>
    </w:p>
    <w:p w14:paraId="11484CA2" w14:textId="77777777" w:rsidR="00366FFB" w:rsidRPr="00743CF7" w:rsidRDefault="00366FFB" w:rsidP="00366FFB">
      <w:pPr>
        <w:autoSpaceDE w:val="0"/>
        <w:autoSpaceDN w:val="0"/>
        <w:adjustRightInd w:val="0"/>
        <w:jc w:val="right"/>
        <w:rPr>
          <w:rFonts w:ascii="Abadi" w:hAnsi="Abadi" w:cs="*Arial-BoldItalic-12138-Identit"/>
          <w:b/>
          <w:bCs/>
          <w:i/>
          <w:iCs/>
          <w:color w:val="101010"/>
          <w:sz w:val="21"/>
          <w:szCs w:val="21"/>
        </w:rPr>
      </w:pPr>
      <w:r w:rsidRPr="00743CF7">
        <w:rPr>
          <w:rFonts w:ascii="Abadi" w:hAnsi="Abadi" w:cs="*Arial-BoldItalic-12138-Identit"/>
          <w:b/>
          <w:bCs/>
          <w:i/>
          <w:iCs/>
          <w:color w:val="101010"/>
          <w:sz w:val="21"/>
          <w:szCs w:val="21"/>
        </w:rPr>
        <w:t>Establecimiento de instituciones</w:t>
      </w:r>
    </w:p>
    <w:p w14:paraId="1DB0AB03" w14:textId="77777777" w:rsidR="00366FFB" w:rsidRPr="00743CF7" w:rsidRDefault="00366FFB" w:rsidP="00366FFB">
      <w:pPr>
        <w:autoSpaceDE w:val="0"/>
        <w:autoSpaceDN w:val="0"/>
        <w:adjustRightInd w:val="0"/>
        <w:ind w:firstLine="708"/>
        <w:jc w:val="both"/>
        <w:rPr>
          <w:rFonts w:ascii="Abadi" w:hAnsi="Abadi" w:cs="*Microsoft Sans Serif-12140-Ide"/>
          <w:color w:val="282828"/>
          <w:sz w:val="21"/>
          <w:szCs w:val="21"/>
        </w:rPr>
      </w:pPr>
      <w:r w:rsidRPr="00743CF7">
        <w:rPr>
          <w:rFonts w:ascii="Abadi" w:hAnsi="Abadi" w:cs="*Comic Sans MS-Bold-12139-Ident"/>
          <w:b/>
          <w:bCs/>
          <w:color w:val="282828"/>
          <w:sz w:val="21"/>
          <w:szCs w:val="21"/>
        </w:rPr>
        <w:t xml:space="preserve">Artículo 28. </w:t>
      </w:r>
      <w:r w:rsidRPr="00743CF7">
        <w:rPr>
          <w:rFonts w:ascii="Abadi" w:hAnsi="Abadi" w:cs="*Microsoft Sans Serif-12140-Ide"/>
          <w:color w:val="282828"/>
          <w:sz w:val="21"/>
          <w:szCs w:val="21"/>
        </w:rPr>
        <w:t xml:space="preserve">Las autoridades educativas. en el establecimiento </w:t>
      </w:r>
      <w:r w:rsidRPr="00743CF7">
        <w:rPr>
          <w:rFonts w:ascii="Abadi" w:hAnsi="Abadi" w:cs="*Times New Roman-Italic-12133-I"/>
          <w:i/>
          <w:iCs/>
          <w:color w:val="282828"/>
          <w:sz w:val="21"/>
          <w:szCs w:val="21"/>
        </w:rPr>
        <w:t xml:space="preserve">y </w:t>
      </w:r>
      <w:r w:rsidRPr="00743CF7">
        <w:rPr>
          <w:rFonts w:ascii="Abadi" w:hAnsi="Abadi" w:cs="*Microsoft Sans Serif-12140-Ide"/>
          <w:color w:val="282828"/>
          <w:sz w:val="21"/>
          <w:szCs w:val="21"/>
        </w:rPr>
        <w:t xml:space="preserve">extensión de las instituciones de educación superior o la creación de programas educativos, tomarán en cuenta los planes </w:t>
      </w:r>
      <w:r w:rsidRPr="00743CF7">
        <w:rPr>
          <w:rFonts w:ascii="Abadi" w:hAnsi="Abadi" w:cs="*Times New Roman-Italic-12133-I"/>
          <w:i/>
          <w:iCs/>
          <w:color w:val="282828"/>
          <w:sz w:val="21"/>
          <w:szCs w:val="21"/>
        </w:rPr>
        <w:t xml:space="preserve">y </w:t>
      </w:r>
      <w:r w:rsidRPr="00743CF7">
        <w:rPr>
          <w:rFonts w:ascii="Abadi" w:hAnsi="Abadi" w:cs="*Microsoft Sans Serif-12140-Ide"/>
          <w:color w:val="282828"/>
          <w:sz w:val="21"/>
          <w:szCs w:val="21"/>
        </w:rPr>
        <w:t>programas gubernamentales, así como los planes de las instituciones de educación super</w:t>
      </w:r>
      <w:r w:rsidRPr="00743CF7">
        <w:rPr>
          <w:rFonts w:ascii="Abadi" w:hAnsi="Abadi" w:cs="*Microsoft Sans Serif-12140-Ide"/>
          <w:color w:val="5C5C5C"/>
          <w:sz w:val="21"/>
          <w:szCs w:val="21"/>
        </w:rPr>
        <w:t>i</w:t>
      </w:r>
      <w:r w:rsidRPr="00743CF7">
        <w:rPr>
          <w:rFonts w:ascii="Abadi" w:hAnsi="Abadi" w:cs="*Microsoft Sans Serif-12140-Ide"/>
          <w:color w:val="282828"/>
          <w:sz w:val="21"/>
          <w:szCs w:val="21"/>
        </w:rPr>
        <w:t>o</w:t>
      </w:r>
      <w:r w:rsidRPr="00743CF7">
        <w:rPr>
          <w:rFonts w:ascii="Abadi" w:hAnsi="Abadi" w:cs="*Microsoft Sans Serif-12140-Ide"/>
          <w:color w:val="424242"/>
          <w:sz w:val="21"/>
          <w:szCs w:val="21"/>
        </w:rPr>
        <w:t>r</w:t>
      </w:r>
      <w:r w:rsidRPr="00743CF7">
        <w:rPr>
          <w:rFonts w:ascii="Abadi" w:hAnsi="Abadi" w:cs="*Microsoft Sans Serif-12140-Ide"/>
          <w:color w:val="888888"/>
          <w:sz w:val="21"/>
          <w:szCs w:val="21"/>
        </w:rPr>
        <w:t xml:space="preserve">· </w:t>
      </w:r>
      <w:r w:rsidRPr="00743CF7">
        <w:rPr>
          <w:rFonts w:ascii="Abadi" w:hAnsi="Abadi" w:cs="*Microsoft Sans Serif-12140-Ide"/>
          <w:color w:val="282828"/>
          <w:sz w:val="21"/>
          <w:szCs w:val="21"/>
        </w:rPr>
        <w:t>y las demandas de lo sociedad, bajo criterios de pertinencia, calidad, excelencia, equidad. inclusión, interculturalidad y cuidado del medio ambiente, además del entorno mundial y las necesidades nacionales y estatales.</w:t>
      </w:r>
    </w:p>
    <w:p w14:paraId="1D9D427F" w14:textId="77777777" w:rsidR="00366FFB" w:rsidRPr="00743CF7" w:rsidRDefault="00366FFB" w:rsidP="00366FFB">
      <w:pPr>
        <w:autoSpaceDE w:val="0"/>
        <w:autoSpaceDN w:val="0"/>
        <w:adjustRightInd w:val="0"/>
        <w:jc w:val="both"/>
        <w:rPr>
          <w:rFonts w:ascii="Abadi" w:hAnsi="Abadi" w:cs="*Arial-BoldItalic-12138-Identit"/>
          <w:b/>
          <w:bCs/>
          <w:i/>
          <w:iCs/>
          <w:color w:val="121212"/>
          <w:sz w:val="21"/>
          <w:szCs w:val="21"/>
        </w:rPr>
      </w:pPr>
    </w:p>
    <w:p w14:paraId="350CC2A7" w14:textId="77777777" w:rsidR="00366FFB" w:rsidRPr="00743CF7" w:rsidRDefault="00366FFB" w:rsidP="00366FFB">
      <w:pPr>
        <w:autoSpaceDE w:val="0"/>
        <w:autoSpaceDN w:val="0"/>
        <w:adjustRightInd w:val="0"/>
        <w:jc w:val="right"/>
        <w:rPr>
          <w:rFonts w:ascii="Abadi" w:hAnsi="Abadi" w:cs="*Arial-BoldItalic-12138-Identit"/>
          <w:b/>
          <w:bCs/>
          <w:i/>
          <w:iCs/>
          <w:color w:val="121212"/>
          <w:sz w:val="21"/>
          <w:szCs w:val="21"/>
        </w:rPr>
      </w:pPr>
      <w:r w:rsidRPr="00743CF7">
        <w:rPr>
          <w:rFonts w:ascii="Abadi" w:hAnsi="Abadi" w:cs="*Arial-BoldItalic-12138-Identit"/>
          <w:b/>
          <w:bCs/>
          <w:i/>
          <w:iCs/>
          <w:color w:val="121212"/>
          <w:sz w:val="21"/>
          <w:szCs w:val="21"/>
        </w:rPr>
        <w:t>Reconocimiento de estudios realizados</w:t>
      </w:r>
    </w:p>
    <w:p w14:paraId="45944334" w14:textId="77777777" w:rsidR="00366FFB" w:rsidRPr="00743CF7" w:rsidRDefault="00366FFB" w:rsidP="00366FFB">
      <w:pPr>
        <w:autoSpaceDE w:val="0"/>
        <w:autoSpaceDN w:val="0"/>
        <w:adjustRightInd w:val="0"/>
        <w:jc w:val="right"/>
        <w:rPr>
          <w:rFonts w:ascii="Abadi" w:hAnsi="Abadi" w:cs="*Arial-BoldItalic-12138-Identit"/>
          <w:b/>
          <w:bCs/>
          <w:i/>
          <w:iCs/>
          <w:color w:val="121212"/>
          <w:sz w:val="21"/>
          <w:szCs w:val="21"/>
        </w:rPr>
      </w:pPr>
      <w:r w:rsidRPr="00743CF7">
        <w:rPr>
          <w:rFonts w:ascii="Abadi" w:hAnsi="Abadi" w:cs="*Arial-BoldItalic-12138-Identit"/>
          <w:b/>
          <w:bCs/>
          <w:i/>
          <w:iCs/>
          <w:color w:val="121212"/>
          <w:sz w:val="21"/>
          <w:szCs w:val="21"/>
        </w:rPr>
        <w:t>en diversa institución educativa</w:t>
      </w:r>
    </w:p>
    <w:p w14:paraId="63E3071E" w14:textId="77777777" w:rsidR="00366FFB" w:rsidRPr="00743CF7" w:rsidRDefault="00366FFB" w:rsidP="00366FFB">
      <w:pPr>
        <w:autoSpaceDE w:val="0"/>
        <w:autoSpaceDN w:val="0"/>
        <w:adjustRightInd w:val="0"/>
        <w:ind w:firstLine="708"/>
        <w:jc w:val="both"/>
        <w:rPr>
          <w:rFonts w:ascii="Abadi" w:hAnsi="Abadi" w:cs="*Microsoft Sans Serif-12140-Ide"/>
          <w:color w:val="262626"/>
          <w:sz w:val="21"/>
          <w:szCs w:val="21"/>
        </w:rPr>
      </w:pPr>
      <w:r w:rsidRPr="00743CF7">
        <w:rPr>
          <w:rFonts w:ascii="Abadi" w:hAnsi="Abadi" w:cs="*Comic Sans MS-Bold-12139-Ident"/>
          <w:b/>
          <w:bCs/>
          <w:color w:val="262626"/>
          <w:sz w:val="21"/>
          <w:szCs w:val="21"/>
        </w:rPr>
        <w:t xml:space="preserve">Artículo </w:t>
      </w:r>
      <w:r w:rsidRPr="00743CF7">
        <w:rPr>
          <w:rFonts w:ascii="Abadi" w:hAnsi="Abadi" w:cs="*Times New Roman-BoldItalic-121"/>
          <w:b/>
          <w:bCs/>
          <w:i/>
          <w:iCs/>
          <w:color w:val="262626"/>
          <w:sz w:val="21"/>
          <w:szCs w:val="21"/>
        </w:rPr>
        <w:t xml:space="preserve">29. </w:t>
      </w:r>
      <w:r w:rsidRPr="00743CF7">
        <w:rPr>
          <w:rFonts w:ascii="Abadi" w:hAnsi="Abadi" w:cs="*Microsoft Sans Serif-12140-Ide"/>
          <w:color w:val="262626"/>
          <w:sz w:val="21"/>
          <w:szCs w:val="21"/>
        </w:rPr>
        <w:t>Las autoridades educativas deben promover y reconocer los estudios realizados en instituciones de educación superior, diferentes a aquello donde se encuentre inscrito el educando, lo que permitirá fortalecer o crear un perfil profesional particular.</w:t>
      </w:r>
    </w:p>
    <w:p w14:paraId="1794F2F3" w14:textId="77777777" w:rsidR="00366FFB" w:rsidRPr="00743CF7" w:rsidRDefault="00366FFB" w:rsidP="00366FFB">
      <w:pPr>
        <w:autoSpaceDE w:val="0"/>
        <w:autoSpaceDN w:val="0"/>
        <w:adjustRightInd w:val="0"/>
        <w:jc w:val="both"/>
        <w:rPr>
          <w:rFonts w:ascii="Abadi" w:hAnsi="Abadi" w:cs="*Microsoft Sans Serif-12140-Ide"/>
          <w:color w:val="262626"/>
          <w:sz w:val="21"/>
          <w:szCs w:val="21"/>
        </w:rPr>
      </w:pPr>
    </w:p>
    <w:p w14:paraId="48392114" w14:textId="77777777" w:rsidR="00366FFB" w:rsidRPr="00743CF7" w:rsidRDefault="00366FFB" w:rsidP="00366FFB">
      <w:pPr>
        <w:autoSpaceDE w:val="0"/>
        <w:autoSpaceDN w:val="0"/>
        <w:adjustRightInd w:val="0"/>
        <w:ind w:firstLine="708"/>
        <w:jc w:val="both"/>
        <w:rPr>
          <w:rFonts w:ascii="Abadi" w:hAnsi="Abadi" w:cs="*Microsoft Sans Serif-12140-Ide"/>
          <w:color w:val="282828"/>
          <w:sz w:val="21"/>
          <w:szCs w:val="21"/>
        </w:rPr>
      </w:pPr>
      <w:r w:rsidRPr="00743CF7">
        <w:rPr>
          <w:rFonts w:ascii="Abadi" w:hAnsi="Abadi" w:cs="*Microsoft Sans Serif-12140-Ide"/>
          <w:color w:val="282828"/>
          <w:sz w:val="21"/>
          <w:szCs w:val="21"/>
        </w:rPr>
        <w:t>Asimismo, deben implementar procesos de ingreso permanente de acuerdo al avance curricular previo, en la misma o en diferente institución educativa, competencia adquirida en el sector productiva, conocimientos adquiridos de manera autodidacta, que tenga equivalencia parcial o total con un programa de estudio, que permitan a los estudiantes reducir los tiempos de permanencia en</w:t>
      </w:r>
      <w:r>
        <w:rPr>
          <w:rFonts w:ascii="Abadi" w:hAnsi="Abadi" w:cs="*Microsoft Sans Serif-12140-Ide"/>
          <w:color w:val="282828"/>
          <w:sz w:val="21"/>
          <w:szCs w:val="21"/>
        </w:rPr>
        <w:t xml:space="preserve"> </w:t>
      </w:r>
      <w:r w:rsidRPr="00743CF7">
        <w:rPr>
          <w:rFonts w:ascii="Abadi" w:hAnsi="Abadi" w:cs="*Microsoft Sans Serif-12140-Ide"/>
          <w:color w:val="282828"/>
          <w:sz w:val="21"/>
          <w:szCs w:val="21"/>
        </w:rPr>
        <w:t xml:space="preserve">la institución educativa, ampliando los perfiles de ingreso, </w:t>
      </w:r>
    </w:p>
    <w:p w14:paraId="52B6DD12" w14:textId="77777777" w:rsidR="00366FFB" w:rsidRPr="00743CF7" w:rsidRDefault="00366FFB" w:rsidP="00366FFB">
      <w:pPr>
        <w:autoSpaceDE w:val="0"/>
        <w:autoSpaceDN w:val="0"/>
        <w:adjustRightInd w:val="0"/>
        <w:jc w:val="both"/>
        <w:rPr>
          <w:rFonts w:ascii="Abadi" w:hAnsi="Abadi" w:cs="*Microsoft Sans Serif-12140-Ide"/>
          <w:color w:val="282828"/>
          <w:sz w:val="21"/>
          <w:szCs w:val="21"/>
        </w:rPr>
      </w:pPr>
    </w:p>
    <w:p w14:paraId="4C4BEF74" w14:textId="77777777" w:rsidR="00366FFB" w:rsidRPr="00743CF7" w:rsidRDefault="00366FFB" w:rsidP="00366FFB">
      <w:pPr>
        <w:autoSpaceDE w:val="0"/>
        <w:autoSpaceDN w:val="0"/>
        <w:adjustRightInd w:val="0"/>
        <w:jc w:val="right"/>
        <w:rPr>
          <w:rFonts w:ascii="Abadi" w:hAnsi="Abadi" w:cs="*Arial-BoldItalic-12138-Identit"/>
          <w:b/>
          <w:bCs/>
          <w:i/>
          <w:iCs/>
          <w:color w:val="121212"/>
          <w:sz w:val="21"/>
          <w:szCs w:val="21"/>
        </w:rPr>
      </w:pPr>
      <w:r w:rsidRPr="00743CF7">
        <w:rPr>
          <w:rFonts w:ascii="Abadi" w:hAnsi="Abadi" w:cs="*Arial-BoldItalic-12138-Identit"/>
          <w:b/>
          <w:bCs/>
          <w:i/>
          <w:iCs/>
          <w:color w:val="121212"/>
          <w:sz w:val="21"/>
          <w:szCs w:val="21"/>
        </w:rPr>
        <w:t>Modelos educativos para dar cumplimiento a créditos</w:t>
      </w:r>
    </w:p>
    <w:p w14:paraId="182E0EE8" w14:textId="77777777" w:rsidR="00366FFB" w:rsidRPr="00743CF7" w:rsidRDefault="00366FFB" w:rsidP="00366FFB">
      <w:pPr>
        <w:autoSpaceDE w:val="0"/>
        <w:autoSpaceDN w:val="0"/>
        <w:adjustRightInd w:val="0"/>
        <w:ind w:firstLine="708"/>
        <w:jc w:val="both"/>
        <w:rPr>
          <w:rFonts w:ascii="Abadi" w:hAnsi="Abadi" w:cs="*Microsoft Sans Serif-12140-Ide"/>
          <w:color w:val="282828"/>
          <w:sz w:val="21"/>
          <w:szCs w:val="21"/>
        </w:rPr>
      </w:pPr>
      <w:r w:rsidRPr="00743CF7">
        <w:rPr>
          <w:rFonts w:ascii="Abadi" w:hAnsi="Abadi" w:cs="*Comic Sans MS-Bold-12139-Ident"/>
          <w:b/>
          <w:bCs/>
          <w:color w:val="282828"/>
          <w:sz w:val="21"/>
          <w:szCs w:val="21"/>
        </w:rPr>
        <w:t xml:space="preserve">Artículo 30. </w:t>
      </w:r>
      <w:r w:rsidRPr="00743CF7">
        <w:rPr>
          <w:rFonts w:ascii="Abadi" w:hAnsi="Abadi" w:cs="*Microsoft Sans Serif-12140-Ide"/>
          <w:color w:val="282828"/>
          <w:sz w:val="21"/>
          <w:szCs w:val="21"/>
        </w:rPr>
        <w:t xml:space="preserve">La educación superior, contará con modelos educativos cortos que complementen la oferta ordinaria </w:t>
      </w:r>
      <w:r w:rsidRPr="00743CF7">
        <w:rPr>
          <w:rFonts w:ascii="Abadi" w:hAnsi="Abadi" w:cs="*Times New Roman-Italic-12133-I"/>
          <w:i/>
          <w:iCs/>
          <w:color w:val="282828"/>
          <w:sz w:val="21"/>
          <w:szCs w:val="21"/>
        </w:rPr>
        <w:t xml:space="preserve">y </w:t>
      </w:r>
      <w:r w:rsidRPr="00743CF7">
        <w:rPr>
          <w:rFonts w:ascii="Abadi" w:hAnsi="Abadi" w:cs="*Microsoft Sans Serif-12140-Ide"/>
          <w:color w:val="282828"/>
          <w:sz w:val="21"/>
          <w:szCs w:val="21"/>
        </w:rPr>
        <w:t xml:space="preserve">den mayor posibilidad a los estudiantes de avanzar </w:t>
      </w:r>
      <w:r w:rsidRPr="00743CF7">
        <w:rPr>
          <w:rFonts w:ascii="Abadi" w:hAnsi="Abadi" w:cs="*Times New Roman-Italic-12133-I"/>
          <w:i/>
          <w:iCs/>
          <w:color w:val="282828"/>
          <w:sz w:val="21"/>
          <w:szCs w:val="21"/>
        </w:rPr>
        <w:t xml:space="preserve">y </w:t>
      </w:r>
      <w:r w:rsidRPr="00743CF7">
        <w:rPr>
          <w:rFonts w:ascii="Abadi" w:hAnsi="Abadi" w:cs="*Microsoft Sans Serif-12140-Ide"/>
          <w:color w:val="282828"/>
          <w:sz w:val="21"/>
          <w:szCs w:val="21"/>
        </w:rPr>
        <w:t>cumplir con los créditos definidos en su programa educativo.</w:t>
      </w:r>
    </w:p>
    <w:p w14:paraId="39FEA4FC" w14:textId="77777777" w:rsidR="00366FFB" w:rsidRPr="00743CF7" w:rsidRDefault="00366FFB" w:rsidP="00366FFB">
      <w:pPr>
        <w:jc w:val="both"/>
        <w:rPr>
          <w:rFonts w:ascii="Abadi" w:hAnsi="Abadi" w:cs="*Microsoft Sans Serif-12140-Ide"/>
          <w:color w:val="282828"/>
          <w:sz w:val="21"/>
          <w:szCs w:val="21"/>
        </w:rPr>
      </w:pPr>
    </w:p>
    <w:p w14:paraId="790C350E" w14:textId="77777777" w:rsidR="00366FFB" w:rsidRPr="00743CF7" w:rsidRDefault="00366FFB" w:rsidP="00366FFB">
      <w:pPr>
        <w:autoSpaceDE w:val="0"/>
        <w:autoSpaceDN w:val="0"/>
        <w:adjustRightInd w:val="0"/>
        <w:jc w:val="center"/>
        <w:rPr>
          <w:rFonts w:ascii="Abadi" w:hAnsi="Abadi" w:cs="*Calibri-Bold-10357-Identity-H"/>
          <w:b/>
          <w:bCs/>
          <w:color w:val="0E0E0E"/>
          <w:sz w:val="21"/>
          <w:szCs w:val="21"/>
        </w:rPr>
      </w:pPr>
      <w:r w:rsidRPr="00743CF7">
        <w:rPr>
          <w:rFonts w:ascii="Abadi" w:hAnsi="Abadi" w:cs="*Calibri-Bold-10357-Identity-H"/>
          <w:b/>
          <w:bCs/>
          <w:color w:val="0E0E0E"/>
          <w:sz w:val="21"/>
          <w:szCs w:val="21"/>
        </w:rPr>
        <w:t>TÍTULO III</w:t>
      </w:r>
    </w:p>
    <w:p w14:paraId="645C4E4C" w14:textId="77777777" w:rsidR="00366FFB" w:rsidRPr="00743CF7" w:rsidRDefault="00366FFB" w:rsidP="00366FFB">
      <w:pPr>
        <w:autoSpaceDE w:val="0"/>
        <w:autoSpaceDN w:val="0"/>
        <w:adjustRightInd w:val="0"/>
        <w:jc w:val="center"/>
        <w:rPr>
          <w:rFonts w:ascii="Abadi" w:hAnsi="Abadi" w:cs="*Microsoft Sans Serif-Bold-1036"/>
          <w:b/>
          <w:bCs/>
          <w:color w:val="0D0D0D"/>
          <w:sz w:val="21"/>
          <w:szCs w:val="21"/>
        </w:rPr>
      </w:pPr>
      <w:r w:rsidRPr="00743CF7">
        <w:rPr>
          <w:rFonts w:ascii="Abadi" w:hAnsi="Abadi" w:cs="*Microsoft Sans Serif-Bold-1036"/>
          <w:b/>
          <w:bCs/>
          <w:color w:val="0D0D0D"/>
          <w:sz w:val="21"/>
          <w:szCs w:val="21"/>
        </w:rPr>
        <w:t>DEL TIPO DE EDUCACIÓN SUPERIOR</w:t>
      </w:r>
    </w:p>
    <w:p w14:paraId="4434AF52" w14:textId="77777777" w:rsidR="00366FFB" w:rsidRPr="00743CF7" w:rsidRDefault="00366FFB" w:rsidP="00366FFB">
      <w:pPr>
        <w:autoSpaceDE w:val="0"/>
        <w:autoSpaceDN w:val="0"/>
        <w:adjustRightInd w:val="0"/>
        <w:jc w:val="center"/>
        <w:rPr>
          <w:rFonts w:ascii="Abadi" w:hAnsi="Abadi" w:cs="*Microsoft Sans Serif-Bold-1036"/>
          <w:b/>
          <w:bCs/>
          <w:color w:val="0D0D0D"/>
          <w:sz w:val="21"/>
          <w:szCs w:val="21"/>
        </w:rPr>
      </w:pPr>
    </w:p>
    <w:p w14:paraId="3436C457" w14:textId="77777777" w:rsidR="00366FFB" w:rsidRPr="00743CF7" w:rsidRDefault="00366FFB" w:rsidP="00366FFB">
      <w:pPr>
        <w:autoSpaceDE w:val="0"/>
        <w:autoSpaceDN w:val="0"/>
        <w:adjustRightInd w:val="0"/>
        <w:jc w:val="center"/>
        <w:rPr>
          <w:rFonts w:ascii="Abadi" w:hAnsi="Abadi" w:cs="*Microsoft Sans Serif-Bold-1036"/>
          <w:b/>
          <w:bCs/>
          <w:color w:val="0D0D0D"/>
          <w:sz w:val="21"/>
          <w:szCs w:val="21"/>
        </w:rPr>
      </w:pPr>
      <w:r w:rsidRPr="00743CF7">
        <w:rPr>
          <w:rFonts w:ascii="Abadi" w:hAnsi="Abadi" w:cs="*Microsoft Sans Serif-Bold-1036"/>
          <w:b/>
          <w:bCs/>
          <w:color w:val="0D0D0D"/>
          <w:sz w:val="21"/>
          <w:szCs w:val="21"/>
        </w:rPr>
        <w:t>Capítulo Único</w:t>
      </w:r>
    </w:p>
    <w:p w14:paraId="3417187F" w14:textId="77777777" w:rsidR="00366FFB" w:rsidRPr="00743CF7" w:rsidRDefault="00366FFB" w:rsidP="00366FFB">
      <w:pPr>
        <w:autoSpaceDE w:val="0"/>
        <w:autoSpaceDN w:val="0"/>
        <w:adjustRightInd w:val="0"/>
        <w:jc w:val="center"/>
        <w:rPr>
          <w:rFonts w:ascii="Abadi" w:hAnsi="Abadi" w:cs="*Microsoft Sans Serif-Bold-1036"/>
          <w:b/>
          <w:bCs/>
          <w:color w:val="121212"/>
          <w:sz w:val="21"/>
          <w:szCs w:val="21"/>
        </w:rPr>
      </w:pPr>
      <w:r w:rsidRPr="00743CF7">
        <w:rPr>
          <w:rFonts w:ascii="Abadi" w:hAnsi="Abadi" w:cs="*Microsoft Sans Serif-Bold-1036"/>
          <w:b/>
          <w:bCs/>
          <w:color w:val="121212"/>
          <w:sz w:val="21"/>
          <w:szCs w:val="21"/>
        </w:rPr>
        <w:t>Niveles, modalidades y opciones</w:t>
      </w:r>
    </w:p>
    <w:p w14:paraId="75138046" w14:textId="77777777" w:rsidR="00366FFB" w:rsidRDefault="00366FFB" w:rsidP="00366FFB">
      <w:pPr>
        <w:autoSpaceDE w:val="0"/>
        <w:autoSpaceDN w:val="0"/>
        <w:adjustRightInd w:val="0"/>
        <w:jc w:val="right"/>
        <w:rPr>
          <w:rFonts w:ascii="Abadi" w:hAnsi="Abadi" w:cs="*Verdana-BoldItalic-10359-Ident"/>
          <w:b/>
          <w:bCs/>
          <w:i/>
          <w:iCs/>
          <w:color w:val="121212"/>
          <w:sz w:val="21"/>
          <w:szCs w:val="21"/>
        </w:rPr>
      </w:pPr>
    </w:p>
    <w:p w14:paraId="082CE9DB" w14:textId="77777777" w:rsidR="00366FFB" w:rsidRPr="00743CF7" w:rsidRDefault="00366FFB" w:rsidP="00366FFB">
      <w:pPr>
        <w:autoSpaceDE w:val="0"/>
        <w:autoSpaceDN w:val="0"/>
        <w:adjustRightInd w:val="0"/>
        <w:jc w:val="right"/>
        <w:rPr>
          <w:rFonts w:ascii="Abadi" w:hAnsi="Abadi" w:cs="*Verdana-BoldItalic-10359-Ident"/>
          <w:b/>
          <w:bCs/>
          <w:i/>
          <w:iCs/>
          <w:color w:val="121212"/>
          <w:sz w:val="21"/>
          <w:szCs w:val="21"/>
        </w:rPr>
      </w:pPr>
      <w:r w:rsidRPr="00743CF7">
        <w:rPr>
          <w:rFonts w:ascii="Abadi" w:hAnsi="Abadi" w:cs="*Verdana-BoldItalic-10359-Ident"/>
          <w:b/>
          <w:bCs/>
          <w:i/>
          <w:iCs/>
          <w:color w:val="121212"/>
          <w:sz w:val="21"/>
          <w:szCs w:val="21"/>
        </w:rPr>
        <w:t>Niveles de educación superior</w:t>
      </w:r>
    </w:p>
    <w:p w14:paraId="3E1423BE" w14:textId="77777777" w:rsidR="00366FFB" w:rsidRPr="00743CF7" w:rsidRDefault="00366FFB" w:rsidP="00366FFB">
      <w:pPr>
        <w:autoSpaceDE w:val="0"/>
        <w:autoSpaceDN w:val="0"/>
        <w:adjustRightInd w:val="0"/>
        <w:jc w:val="both"/>
        <w:rPr>
          <w:rFonts w:ascii="Abadi" w:hAnsi="Abadi" w:cs="*Arial-10358-Identity-H"/>
          <w:color w:val="272727"/>
          <w:sz w:val="21"/>
          <w:szCs w:val="21"/>
        </w:rPr>
      </w:pPr>
      <w:r w:rsidRPr="00743CF7">
        <w:rPr>
          <w:rFonts w:ascii="Abadi" w:hAnsi="Abadi" w:cs="*Microsoft Sans Serif-Bold-1036"/>
          <w:b/>
          <w:bCs/>
          <w:color w:val="272727"/>
          <w:sz w:val="21"/>
          <w:szCs w:val="21"/>
        </w:rPr>
        <w:t xml:space="preserve">Artículo 31. </w:t>
      </w:r>
      <w:r w:rsidRPr="00743CF7">
        <w:rPr>
          <w:rFonts w:ascii="Abadi" w:hAnsi="Abadi" w:cs="*Arial-10358-Identity-H"/>
          <w:color w:val="272727"/>
          <w:sz w:val="21"/>
          <w:szCs w:val="21"/>
        </w:rPr>
        <w:t>Los estudios correspondientes o los niveles del tipo de educación superior atenderán a lo siguiente:</w:t>
      </w:r>
    </w:p>
    <w:p w14:paraId="25ABF7CF" w14:textId="77777777" w:rsidR="00366FFB" w:rsidRPr="00743CF7" w:rsidRDefault="00366FFB" w:rsidP="00366FFB">
      <w:pPr>
        <w:autoSpaceDE w:val="0"/>
        <w:autoSpaceDN w:val="0"/>
        <w:adjustRightInd w:val="0"/>
        <w:jc w:val="both"/>
        <w:rPr>
          <w:rFonts w:ascii="Abadi" w:hAnsi="Abadi" w:cs="*Arial-10358-Identity-H"/>
          <w:color w:val="272727"/>
          <w:sz w:val="21"/>
          <w:szCs w:val="21"/>
        </w:rPr>
      </w:pPr>
    </w:p>
    <w:p w14:paraId="514E7420" w14:textId="77777777" w:rsidR="00366FFB" w:rsidRPr="003C4786" w:rsidRDefault="00366FFB" w:rsidP="005C6EBB">
      <w:pPr>
        <w:pStyle w:val="Prrafodelista"/>
        <w:numPr>
          <w:ilvl w:val="0"/>
          <w:numId w:val="21"/>
        </w:numPr>
        <w:autoSpaceDE w:val="0"/>
        <w:autoSpaceDN w:val="0"/>
        <w:adjustRightInd w:val="0"/>
        <w:contextualSpacing/>
        <w:jc w:val="both"/>
        <w:rPr>
          <w:rFonts w:ascii="Abadi" w:hAnsi="Abadi" w:cs="*Arial-10358-Identity-H"/>
          <w:color w:val="2A2A2A"/>
          <w:sz w:val="21"/>
          <w:szCs w:val="21"/>
        </w:rPr>
      </w:pPr>
      <w:r w:rsidRPr="003C4786">
        <w:rPr>
          <w:rFonts w:ascii="Abadi" w:hAnsi="Abadi" w:cs="*Microsoft Sans Serif-Bold-1036"/>
          <w:b/>
          <w:bCs/>
          <w:color w:val="151515"/>
          <w:sz w:val="21"/>
          <w:szCs w:val="21"/>
        </w:rPr>
        <w:t xml:space="preserve">De técnico superior universitario o profesional asociado: </w:t>
      </w:r>
      <w:r w:rsidRPr="003C4786">
        <w:rPr>
          <w:rFonts w:ascii="Abadi" w:hAnsi="Abadi" w:cs="*Arial-10358-Identity-H"/>
          <w:color w:val="151515"/>
          <w:sz w:val="21"/>
          <w:szCs w:val="21"/>
        </w:rPr>
        <w:t xml:space="preserve">se cursan después </w:t>
      </w:r>
      <w:r w:rsidRPr="003C4786">
        <w:rPr>
          <w:rFonts w:ascii="Abadi" w:hAnsi="Abadi" w:cs="*Arial-10358-Identity-H"/>
          <w:color w:val="2A2A2A"/>
          <w:sz w:val="21"/>
          <w:szCs w:val="21"/>
        </w:rPr>
        <w:t xml:space="preserve">de los del tipo medio superior y están orientados a desarrollar competencias profesionales basadas en habilidades y destrezas específicas en funciones y procesos de los sectores productivos de bienes y servicios, preparando a las y los estudiantes para el mercado laboral. La conclusión de los créditos de estos estudios </w:t>
      </w:r>
      <w:r w:rsidRPr="003C4786">
        <w:rPr>
          <w:rFonts w:ascii="Abadi" w:hAnsi="Abadi" w:cs="*Microsoft Sans Serif-Italic-10"/>
          <w:i/>
          <w:iCs/>
          <w:color w:val="2A2A2A"/>
          <w:sz w:val="21"/>
          <w:szCs w:val="21"/>
        </w:rPr>
        <w:t xml:space="preserve">se </w:t>
      </w:r>
      <w:r w:rsidRPr="003C4786">
        <w:rPr>
          <w:rFonts w:ascii="Abadi" w:hAnsi="Abadi" w:cs="*Arial-10358-Identity-H"/>
          <w:color w:val="2A2A2A"/>
          <w:sz w:val="21"/>
          <w:szCs w:val="21"/>
        </w:rPr>
        <w:t>reconocerá mediante el título de técnico superior universitario, o profesional asociado, según corresponda. Esta formación puede ser considerada como parte del pion de estudios de una licenciatura;</w:t>
      </w:r>
    </w:p>
    <w:p w14:paraId="49C9C4BE" w14:textId="77777777" w:rsidR="00366FFB" w:rsidRPr="00743CF7" w:rsidRDefault="00366FFB" w:rsidP="00366FFB">
      <w:pPr>
        <w:autoSpaceDE w:val="0"/>
        <w:autoSpaceDN w:val="0"/>
        <w:adjustRightInd w:val="0"/>
        <w:jc w:val="both"/>
        <w:rPr>
          <w:rFonts w:ascii="Abadi" w:hAnsi="Abadi" w:cs="*Arial-10358-Identity-H"/>
          <w:color w:val="2A2A2A"/>
          <w:sz w:val="21"/>
          <w:szCs w:val="21"/>
        </w:rPr>
      </w:pPr>
    </w:p>
    <w:p w14:paraId="5C8D940C" w14:textId="77777777" w:rsidR="00366FFB" w:rsidRPr="003C4786" w:rsidRDefault="00366FFB" w:rsidP="005C6EBB">
      <w:pPr>
        <w:pStyle w:val="Prrafodelista"/>
        <w:numPr>
          <w:ilvl w:val="0"/>
          <w:numId w:val="21"/>
        </w:numPr>
        <w:autoSpaceDE w:val="0"/>
        <w:autoSpaceDN w:val="0"/>
        <w:adjustRightInd w:val="0"/>
        <w:contextualSpacing/>
        <w:jc w:val="both"/>
        <w:rPr>
          <w:rFonts w:ascii="Abadi" w:hAnsi="Abadi" w:cs="*Arial-10358-Identity-H"/>
          <w:color w:val="222222"/>
          <w:sz w:val="21"/>
          <w:szCs w:val="21"/>
        </w:rPr>
      </w:pPr>
      <w:r w:rsidRPr="003C4786">
        <w:rPr>
          <w:rFonts w:ascii="Abadi" w:hAnsi="Abadi" w:cs="*Microsoft Sans Serif-Bold-1036"/>
          <w:b/>
          <w:bCs/>
          <w:color w:val="222222"/>
          <w:sz w:val="21"/>
          <w:szCs w:val="21"/>
        </w:rPr>
        <w:t xml:space="preserve">De licenciatura: </w:t>
      </w:r>
      <w:r w:rsidRPr="003C4786">
        <w:rPr>
          <w:rFonts w:ascii="Abadi" w:hAnsi="Abadi" w:cs="*Arial-10358-Identity-H"/>
          <w:color w:val="222222"/>
          <w:sz w:val="21"/>
          <w:szCs w:val="21"/>
        </w:rPr>
        <w:t>se cursan después de los del tipo medio superior y están orientados a la formación integral en una profesión, disciplino o campo académico, que faciliten lo incorporación al sector social, productivo y laboral. A su conclusión, se obtendrá el título profesional correspondiente;</w:t>
      </w:r>
    </w:p>
    <w:p w14:paraId="3E758732" w14:textId="77777777" w:rsidR="00366FFB" w:rsidRPr="00743CF7" w:rsidRDefault="00366FFB" w:rsidP="00366FFB">
      <w:pPr>
        <w:autoSpaceDE w:val="0"/>
        <w:autoSpaceDN w:val="0"/>
        <w:adjustRightInd w:val="0"/>
        <w:jc w:val="both"/>
        <w:rPr>
          <w:rFonts w:ascii="Abadi" w:hAnsi="Abadi" w:cs="*Microsoft Sans Serif-Bold-1036"/>
          <w:b/>
          <w:bCs/>
          <w:color w:val="2A2A2A"/>
          <w:sz w:val="21"/>
          <w:szCs w:val="21"/>
        </w:rPr>
      </w:pPr>
    </w:p>
    <w:p w14:paraId="3DD06627" w14:textId="77777777" w:rsidR="00366FFB" w:rsidRPr="003C4786" w:rsidRDefault="00366FFB" w:rsidP="005C6EBB">
      <w:pPr>
        <w:pStyle w:val="Prrafodelista"/>
        <w:numPr>
          <w:ilvl w:val="0"/>
          <w:numId w:val="21"/>
        </w:numPr>
        <w:autoSpaceDE w:val="0"/>
        <w:autoSpaceDN w:val="0"/>
        <w:adjustRightInd w:val="0"/>
        <w:contextualSpacing/>
        <w:jc w:val="both"/>
        <w:rPr>
          <w:rFonts w:ascii="Abadi" w:hAnsi="Abadi" w:cs="*Microsoft Sans Serif-10748-Ide"/>
          <w:color w:val="2A2A2A"/>
          <w:sz w:val="21"/>
          <w:szCs w:val="21"/>
        </w:rPr>
      </w:pPr>
      <w:r w:rsidRPr="003C4786">
        <w:rPr>
          <w:rFonts w:ascii="Abadi" w:hAnsi="Abadi" w:cs="*Microsoft Sans Serif-Bold-1036"/>
          <w:b/>
          <w:bCs/>
          <w:color w:val="2A2A2A"/>
          <w:sz w:val="21"/>
          <w:szCs w:val="21"/>
        </w:rPr>
        <w:t xml:space="preserve">De especialidad: </w:t>
      </w:r>
      <w:r w:rsidRPr="003C4786">
        <w:rPr>
          <w:rFonts w:ascii="Abadi" w:hAnsi="Abadi" w:cs="*Arial-10358-Identity-H"/>
          <w:color w:val="2A2A2A"/>
          <w:sz w:val="21"/>
          <w:szCs w:val="21"/>
        </w:rPr>
        <w:t xml:space="preserve">se cursan después de la licenciatura y tienen como objetivo profundizar en el estudio y tratamiento de problemas o actividades específicas de un área particular </w:t>
      </w:r>
      <w:r w:rsidRPr="003C4786">
        <w:rPr>
          <w:rFonts w:ascii="Abadi" w:hAnsi="Abadi" w:cs="*Arial-10358-Identity-H"/>
          <w:color w:val="919191"/>
          <w:sz w:val="21"/>
          <w:szCs w:val="21"/>
        </w:rPr>
        <w:t>·</w:t>
      </w:r>
      <w:r w:rsidRPr="003C4786">
        <w:rPr>
          <w:rFonts w:ascii="Abadi" w:hAnsi="Abadi" w:cs="*Arial-10358-Identity-H"/>
          <w:color w:val="2A2A2A"/>
          <w:sz w:val="21"/>
          <w:szCs w:val="21"/>
        </w:rPr>
        <w:t xml:space="preserve">de una profesión. El </w:t>
      </w:r>
      <w:r w:rsidRPr="003C4786">
        <w:rPr>
          <w:rFonts w:ascii="Abadi" w:hAnsi="Abadi" w:cs="*Microsoft Sans Serif-10748-Ide"/>
          <w:color w:val="2A2A2A"/>
          <w:sz w:val="21"/>
          <w:szCs w:val="21"/>
        </w:rPr>
        <w:t>documento que se expide a la conclusión de dichos estudios es un diploma de especialidad y, en los casos respectivos, se otorga el grado correspondiente;</w:t>
      </w:r>
    </w:p>
    <w:p w14:paraId="7EEBA99A" w14:textId="77777777" w:rsidR="00366FFB" w:rsidRPr="00743CF7" w:rsidRDefault="00366FFB" w:rsidP="00366FFB">
      <w:pPr>
        <w:autoSpaceDE w:val="0"/>
        <w:autoSpaceDN w:val="0"/>
        <w:adjustRightInd w:val="0"/>
        <w:jc w:val="both"/>
        <w:rPr>
          <w:rFonts w:ascii="Abadi" w:hAnsi="Abadi" w:cs="*Arial-Bold-10747-Identity-H"/>
          <w:b/>
          <w:bCs/>
          <w:color w:val="272727"/>
          <w:sz w:val="21"/>
          <w:szCs w:val="21"/>
        </w:rPr>
      </w:pPr>
    </w:p>
    <w:p w14:paraId="31D66511" w14:textId="77777777" w:rsidR="00366FFB" w:rsidRPr="003C4786" w:rsidRDefault="00366FFB" w:rsidP="005C6EBB">
      <w:pPr>
        <w:pStyle w:val="Prrafodelista"/>
        <w:numPr>
          <w:ilvl w:val="0"/>
          <w:numId w:val="21"/>
        </w:numPr>
        <w:autoSpaceDE w:val="0"/>
        <w:autoSpaceDN w:val="0"/>
        <w:adjustRightInd w:val="0"/>
        <w:contextualSpacing/>
        <w:jc w:val="both"/>
        <w:rPr>
          <w:rFonts w:ascii="Abadi" w:hAnsi="Abadi" w:cs="*Microsoft Sans Serif-10748-Ide"/>
          <w:color w:val="272727"/>
          <w:sz w:val="21"/>
          <w:szCs w:val="21"/>
        </w:rPr>
      </w:pPr>
      <w:r w:rsidRPr="003C4786">
        <w:rPr>
          <w:rFonts w:ascii="Abadi" w:hAnsi="Abadi" w:cs="*Arial-Bold-10747-Identity-H"/>
          <w:b/>
          <w:bCs/>
          <w:color w:val="272727"/>
          <w:sz w:val="21"/>
          <w:szCs w:val="21"/>
        </w:rPr>
        <w:t xml:space="preserve">De maestría: </w:t>
      </w:r>
      <w:r w:rsidRPr="003C4786">
        <w:rPr>
          <w:rFonts w:ascii="Abadi" w:hAnsi="Abadi" w:cs="*Microsoft Sans Serif-10748-Ide"/>
          <w:color w:val="272727"/>
          <w:sz w:val="21"/>
          <w:szCs w:val="21"/>
        </w:rPr>
        <w:t xml:space="preserve">se cursan después de la licenciatura o especialidad y proporcionan una formación amplia y sólida en un campo de conocimiento y tienen como objetivos alguno de los siguientes: </w:t>
      </w:r>
    </w:p>
    <w:p w14:paraId="08F01B37" w14:textId="77777777" w:rsidR="00366FFB" w:rsidRPr="00743CF7" w:rsidRDefault="00366FFB" w:rsidP="00366FFB">
      <w:pPr>
        <w:autoSpaceDE w:val="0"/>
        <w:autoSpaceDN w:val="0"/>
        <w:adjustRightInd w:val="0"/>
        <w:jc w:val="both"/>
        <w:rPr>
          <w:rFonts w:ascii="Abadi" w:hAnsi="Abadi" w:cs="*Microsoft Sans Serif-10748-Ide"/>
          <w:color w:val="272727"/>
          <w:sz w:val="21"/>
          <w:szCs w:val="21"/>
        </w:rPr>
      </w:pPr>
    </w:p>
    <w:p w14:paraId="7E50BEE1" w14:textId="77777777" w:rsidR="00366FFB" w:rsidRPr="00743CF7" w:rsidRDefault="00366FFB" w:rsidP="00366FFB">
      <w:pPr>
        <w:autoSpaceDE w:val="0"/>
        <w:autoSpaceDN w:val="0"/>
        <w:adjustRightInd w:val="0"/>
        <w:jc w:val="both"/>
        <w:rPr>
          <w:rFonts w:ascii="Abadi" w:hAnsi="Abadi" w:cs="*Microsoft Sans Serif-10748-Ide"/>
          <w:color w:val="292929"/>
          <w:sz w:val="21"/>
          <w:szCs w:val="21"/>
        </w:rPr>
      </w:pPr>
    </w:p>
    <w:p w14:paraId="7AB7BCE3" w14:textId="77777777" w:rsidR="00366FFB" w:rsidRPr="00924F82" w:rsidRDefault="00366FFB" w:rsidP="005C6EBB">
      <w:pPr>
        <w:pStyle w:val="Prrafodelista"/>
        <w:numPr>
          <w:ilvl w:val="0"/>
          <w:numId w:val="22"/>
        </w:numPr>
        <w:autoSpaceDE w:val="0"/>
        <w:autoSpaceDN w:val="0"/>
        <w:adjustRightInd w:val="0"/>
        <w:ind w:left="1560"/>
        <w:contextualSpacing/>
        <w:jc w:val="both"/>
        <w:rPr>
          <w:rFonts w:ascii="Abadi" w:hAnsi="Abadi" w:cs="*Microsoft Sans Serif-10748-Ide"/>
          <w:color w:val="292929"/>
          <w:sz w:val="21"/>
          <w:szCs w:val="21"/>
        </w:rPr>
      </w:pPr>
      <w:r w:rsidRPr="00924F82">
        <w:rPr>
          <w:rFonts w:ascii="Abadi" w:hAnsi="Abadi" w:cs="*Microsoft Sans Serif-10748-Ide"/>
          <w:color w:val="292929"/>
          <w:sz w:val="21"/>
          <w:szCs w:val="21"/>
        </w:rPr>
        <w:t>La iniciación en la investigación, innovación o transferencia del conocimiento;</w:t>
      </w:r>
    </w:p>
    <w:p w14:paraId="75D65A1B" w14:textId="77777777" w:rsidR="00366FFB" w:rsidRDefault="00366FFB" w:rsidP="00366FFB">
      <w:pPr>
        <w:pStyle w:val="Prrafodelista"/>
        <w:autoSpaceDE w:val="0"/>
        <w:autoSpaceDN w:val="0"/>
        <w:adjustRightInd w:val="0"/>
        <w:ind w:left="1560"/>
        <w:jc w:val="both"/>
        <w:rPr>
          <w:rFonts w:ascii="Abadi" w:hAnsi="Abadi" w:cs="*Microsoft Sans Serif-10748-Ide"/>
          <w:color w:val="292929"/>
          <w:sz w:val="21"/>
          <w:szCs w:val="21"/>
        </w:rPr>
      </w:pPr>
    </w:p>
    <w:p w14:paraId="3B4BB193" w14:textId="77777777" w:rsidR="00366FFB" w:rsidRPr="003C4786" w:rsidRDefault="00366FFB" w:rsidP="005C6EBB">
      <w:pPr>
        <w:pStyle w:val="Prrafodelista"/>
        <w:numPr>
          <w:ilvl w:val="0"/>
          <w:numId w:val="22"/>
        </w:numPr>
        <w:autoSpaceDE w:val="0"/>
        <w:autoSpaceDN w:val="0"/>
        <w:adjustRightInd w:val="0"/>
        <w:ind w:left="1560"/>
        <w:contextualSpacing/>
        <w:jc w:val="both"/>
        <w:rPr>
          <w:rFonts w:ascii="Abadi" w:hAnsi="Abadi" w:cs="*Microsoft Sans Serif-10748-Ide"/>
          <w:color w:val="292929"/>
          <w:sz w:val="21"/>
          <w:szCs w:val="21"/>
        </w:rPr>
      </w:pPr>
      <w:r w:rsidRPr="003C4786">
        <w:rPr>
          <w:rFonts w:ascii="Abadi" w:hAnsi="Abadi" w:cs="*Microsoft Sans Serif-10748-Ide"/>
          <w:color w:val="292929"/>
          <w:sz w:val="21"/>
          <w:szCs w:val="21"/>
        </w:rPr>
        <w:t>La formación para la docencia; o</w:t>
      </w:r>
    </w:p>
    <w:p w14:paraId="61E8204E" w14:textId="77777777" w:rsidR="00366FFB" w:rsidRPr="00743CF7" w:rsidRDefault="00366FFB" w:rsidP="00366FFB">
      <w:pPr>
        <w:autoSpaceDE w:val="0"/>
        <w:autoSpaceDN w:val="0"/>
        <w:adjustRightInd w:val="0"/>
        <w:ind w:left="1560"/>
        <w:jc w:val="both"/>
        <w:rPr>
          <w:rFonts w:ascii="Abadi" w:hAnsi="Abadi" w:cs="*Microsoft Sans Serif-10748-Ide"/>
          <w:color w:val="2C2C2C"/>
          <w:sz w:val="21"/>
          <w:szCs w:val="21"/>
        </w:rPr>
      </w:pPr>
    </w:p>
    <w:p w14:paraId="212C2A41" w14:textId="77777777" w:rsidR="00366FFB" w:rsidRPr="003C4786" w:rsidRDefault="00366FFB" w:rsidP="005C6EBB">
      <w:pPr>
        <w:pStyle w:val="Prrafodelista"/>
        <w:numPr>
          <w:ilvl w:val="0"/>
          <w:numId w:val="22"/>
        </w:numPr>
        <w:autoSpaceDE w:val="0"/>
        <w:autoSpaceDN w:val="0"/>
        <w:adjustRightInd w:val="0"/>
        <w:ind w:left="1560"/>
        <w:contextualSpacing/>
        <w:jc w:val="both"/>
        <w:rPr>
          <w:rFonts w:ascii="Abadi" w:hAnsi="Abadi" w:cs="*Microsoft Sans Serif-10748-Ide"/>
          <w:color w:val="2C2C2C"/>
          <w:sz w:val="21"/>
          <w:szCs w:val="21"/>
        </w:rPr>
      </w:pPr>
      <w:r w:rsidRPr="003C4786">
        <w:rPr>
          <w:rFonts w:ascii="Abadi" w:hAnsi="Abadi" w:cs="*Microsoft Sans Serif-10748-Ide"/>
          <w:color w:val="2C2C2C"/>
          <w:sz w:val="21"/>
          <w:szCs w:val="21"/>
        </w:rPr>
        <w:t>El desarrollo de una alta capacidad para el ejercicio profesional.</w:t>
      </w:r>
    </w:p>
    <w:p w14:paraId="365DB1E4" w14:textId="77777777" w:rsidR="00366FFB" w:rsidRPr="00743CF7" w:rsidRDefault="00366FFB" w:rsidP="00366FFB">
      <w:pPr>
        <w:autoSpaceDE w:val="0"/>
        <w:autoSpaceDN w:val="0"/>
        <w:adjustRightInd w:val="0"/>
        <w:jc w:val="both"/>
        <w:rPr>
          <w:rFonts w:ascii="Abadi" w:hAnsi="Abadi" w:cs="*Microsoft Sans Serif-10748-Ide"/>
          <w:color w:val="2A2A2A"/>
          <w:sz w:val="21"/>
          <w:szCs w:val="21"/>
        </w:rPr>
      </w:pPr>
    </w:p>
    <w:p w14:paraId="437E4D19" w14:textId="77777777" w:rsidR="00366FFB" w:rsidRPr="003C4786" w:rsidRDefault="00366FFB" w:rsidP="00366FFB">
      <w:pPr>
        <w:pStyle w:val="Prrafodelista"/>
        <w:autoSpaceDE w:val="0"/>
        <w:autoSpaceDN w:val="0"/>
        <w:adjustRightInd w:val="0"/>
        <w:ind w:left="720"/>
        <w:jc w:val="both"/>
        <w:rPr>
          <w:rFonts w:ascii="Abadi" w:hAnsi="Abadi" w:cs="*Microsoft Sans Serif-10748-Ide"/>
          <w:color w:val="2A2A2A"/>
          <w:sz w:val="21"/>
          <w:szCs w:val="21"/>
        </w:rPr>
      </w:pPr>
      <w:r w:rsidRPr="003C4786">
        <w:rPr>
          <w:rFonts w:ascii="Abadi" w:hAnsi="Abadi" w:cs="*Microsoft Sans Serif-10748-Ide"/>
          <w:color w:val="2A2A2A"/>
          <w:sz w:val="21"/>
          <w:szCs w:val="21"/>
        </w:rPr>
        <w:t>Al finalizar estos estudios, se otorgó el grado correspondiente: y</w:t>
      </w:r>
    </w:p>
    <w:p w14:paraId="5F6086AE" w14:textId="77777777" w:rsidR="00366FFB" w:rsidRPr="00743CF7" w:rsidRDefault="00366FFB" w:rsidP="00366FFB">
      <w:pPr>
        <w:autoSpaceDE w:val="0"/>
        <w:autoSpaceDN w:val="0"/>
        <w:adjustRightInd w:val="0"/>
        <w:jc w:val="both"/>
        <w:rPr>
          <w:rFonts w:ascii="Abadi" w:hAnsi="Abadi" w:cs="*Microsoft Sans Serif-10748-Ide"/>
          <w:color w:val="272727"/>
          <w:sz w:val="21"/>
          <w:szCs w:val="21"/>
        </w:rPr>
      </w:pPr>
    </w:p>
    <w:p w14:paraId="151BAFCF" w14:textId="77777777" w:rsidR="00366FFB" w:rsidRPr="003C4786" w:rsidRDefault="00366FFB" w:rsidP="005C6EBB">
      <w:pPr>
        <w:pStyle w:val="Prrafodelista"/>
        <w:numPr>
          <w:ilvl w:val="0"/>
          <w:numId w:val="21"/>
        </w:numPr>
        <w:autoSpaceDE w:val="0"/>
        <w:autoSpaceDN w:val="0"/>
        <w:adjustRightInd w:val="0"/>
        <w:contextualSpacing/>
        <w:jc w:val="both"/>
        <w:rPr>
          <w:rFonts w:ascii="Abadi" w:hAnsi="Abadi" w:cs="*Microsoft Sans Serif-10748-Ide"/>
          <w:color w:val="272727"/>
          <w:sz w:val="21"/>
          <w:szCs w:val="21"/>
        </w:rPr>
      </w:pPr>
      <w:r w:rsidRPr="003C4786">
        <w:rPr>
          <w:rFonts w:ascii="Abadi" w:hAnsi="Abadi" w:cs="*Arial-Bold-10747-Identity-H"/>
          <w:b/>
          <w:bCs/>
          <w:color w:val="272727"/>
          <w:sz w:val="21"/>
          <w:szCs w:val="21"/>
        </w:rPr>
        <w:t xml:space="preserve">De doctorado: </w:t>
      </w:r>
      <w:r w:rsidRPr="003C4786">
        <w:rPr>
          <w:rFonts w:ascii="Abadi" w:hAnsi="Abadi" w:cs="*Microsoft Sans Serif-10748-Ide"/>
          <w:color w:val="272727"/>
          <w:sz w:val="21"/>
          <w:szCs w:val="21"/>
        </w:rPr>
        <w:t>se cursan después de lo licenciatura o la maestría, de conformidad con lo establecido en los respectivos planes de estudio y tienen como objetivo proporcionar una formación sólida para desarrollar lo actividad profesional de investigación en ciencias, humanidades o artes que produzca nuevo conocimiento científico, tecnológico y humanístico, aplicación innovadora o desarrollo tecnológico original. A la conclusión de este nivel educativo, se otorga el grado correspondiente.</w:t>
      </w:r>
    </w:p>
    <w:p w14:paraId="62344F92" w14:textId="77777777" w:rsidR="00366FFB" w:rsidRPr="00743CF7" w:rsidRDefault="00366FFB" w:rsidP="00366FFB">
      <w:pPr>
        <w:autoSpaceDE w:val="0"/>
        <w:autoSpaceDN w:val="0"/>
        <w:adjustRightInd w:val="0"/>
        <w:jc w:val="both"/>
        <w:rPr>
          <w:rFonts w:ascii="Abadi" w:hAnsi="Abadi" w:cs="*Microsoft Sans Serif-10748-Ide"/>
          <w:color w:val="272727"/>
          <w:sz w:val="21"/>
          <w:szCs w:val="21"/>
        </w:rPr>
      </w:pPr>
    </w:p>
    <w:p w14:paraId="0BDD76CC" w14:textId="77777777" w:rsidR="00366FFB" w:rsidRPr="00743CF7" w:rsidRDefault="00366FFB" w:rsidP="00366FFB">
      <w:pPr>
        <w:autoSpaceDE w:val="0"/>
        <w:autoSpaceDN w:val="0"/>
        <w:adjustRightInd w:val="0"/>
        <w:ind w:firstLine="708"/>
        <w:jc w:val="both"/>
        <w:rPr>
          <w:rFonts w:ascii="Abadi" w:hAnsi="Abadi" w:cs="*Microsoft Sans Serif-10748-Ide"/>
          <w:color w:val="2C2C2C"/>
          <w:sz w:val="21"/>
          <w:szCs w:val="21"/>
        </w:rPr>
      </w:pPr>
      <w:r w:rsidRPr="00743CF7">
        <w:rPr>
          <w:rFonts w:ascii="Abadi" w:hAnsi="Abadi" w:cs="*Microsoft Sans Serif-10748-Ide"/>
          <w:color w:val="2C2C2C"/>
          <w:sz w:val="21"/>
          <w:szCs w:val="21"/>
        </w:rPr>
        <w:t>Son estudios de posgrado los que se realizan después de la conclusión de los estudios de licenciatura, en los términos previstos en las fracciones III, IV y V de este artículo.</w:t>
      </w:r>
    </w:p>
    <w:p w14:paraId="4A233305" w14:textId="77777777" w:rsidR="00366FFB" w:rsidRPr="00743CF7" w:rsidRDefault="00366FFB" w:rsidP="00366FFB">
      <w:pPr>
        <w:jc w:val="both"/>
        <w:rPr>
          <w:rFonts w:ascii="Abadi" w:hAnsi="Abadi" w:cs="*Arial-BoldItalic-10746-Identit"/>
          <w:b/>
          <w:bCs/>
          <w:i/>
          <w:iCs/>
          <w:color w:val="141414"/>
          <w:sz w:val="21"/>
          <w:szCs w:val="21"/>
        </w:rPr>
      </w:pPr>
    </w:p>
    <w:p w14:paraId="43692886" w14:textId="77777777" w:rsidR="00366FFB" w:rsidRPr="00743CF7" w:rsidRDefault="00366FFB" w:rsidP="00366FFB">
      <w:pPr>
        <w:jc w:val="right"/>
        <w:rPr>
          <w:rFonts w:ascii="Abadi" w:hAnsi="Abadi" w:cs="*Arial-BoldItalic-10746-Identit"/>
          <w:b/>
          <w:bCs/>
          <w:i/>
          <w:iCs/>
          <w:color w:val="141414"/>
          <w:sz w:val="21"/>
          <w:szCs w:val="21"/>
        </w:rPr>
      </w:pPr>
      <w:r w:rsidRPr="00743CF7">
        <w:rPr>
          <w:rFonts w:ascii="Abadi" w:hAnsi="Abadi" w:cs="*Arial-BoldItalic-10746-Identit"/>
          <w:b/>
          <w:bCs/>
          <w:i/>
          <w:iCs/>
          <w:color w:val="141414"/>
          <w:sz w:val="21"/>
          <w:szCs w:val="21"/>
        </w:rPr>
        <w:t>Modalidades en Educac</w:t>
      </w:r>
      <w:r>
        <w:rPr>
          <w:rFonts w:ascii="Abadi" w:hAnsi="Abadi" w:cs="*Arial-BoldItalic-10746-Identit"/>
          <w:b/>
          <w:bCs/>
          <w:i/>
          <w:iCs/>
          <w:color w:val="141414"/>
          <w:sz w:val="21"/>
          <w:szCs w:val="21"/>
        </w:rPr>
        <w:t>ión</w:t>
      </w:r>
      <w:r w:rsidRPr="00743CF7">
        <w:rPr>
          <w:rFonts w:ascii="Abadi" w:hAnsi="Abadi" w:cs="*Arial-BoldItalic-10746-Identit"/>
          <w:b/>
          <w:bCs/>
          <w:i/>
          <w:iCs/>
          <w:color w:val="141414"/>
          <w:sz w:val="21"/>
          <w:szCs w:val="21"/>
        </w:rPr>
        <w:t xml:space="preserve"> Superior</w:t>
      </w:r>
    </w:p>
    <w:p w14:paraId="34447120" w14:textId="77777777" w:rsidR="00366FFB" w:rsidRPr="00743CF7" w:rsidRDefault="00366FFB" w:rsidP="00366FFB">
      <w:pPr>
        <w:autoSpaceDE w:val="0"/>
        <w:autoSpaceDN w:val="0"/>
        <w:adjustRightInd w:val="0"/>
        <w:ind w:firstLine="708"/>
        <w:jc w:val="both"/>
        <w:rPr>
          <w:rFonts w:ascii="Abadi" w:hAnsi="Abadi" w:cs="*Calibri-10886-Identity-H"/>
          <w:color w:val="292929"/>
          <w:sz w:val="21"/>
          <w:szCs w:val="21"/>
        </w:rPr>
      </w:pPr>
      <w:r w:rsidRPr="00743CF7">
        <w:rPr>
          <w:rFonts w:ascii="Abadi" w:hAnsi="Abadi" w:cs="*Calibri-Bold-10888-Identity-H"/>
          <w:b/>
          <w:bCs/>
          <w:color w:val="292929"/>
          <w:sz w:val="21"/>
          <w:szCs w:val="21"/>
        </w:rPr>
        <w:t xml:space="preserve">Artículo 32. </w:t>
      </w:r>
      <w:r w:rsidRPr="00743CF7">
        <w:rPr>
          <w:rFonts w:ascii="Abadi" w:hAnsi="Abadi" w:cs="*Calibri-10886-Identity-H"/>
          <w:color w:val="292929"/>
          <w:sz w:val="21"/>
          <w:szCs w:val="21"/>
        </w:rPr>
        <w:t>Las modalidades que comprende la educación superior son las siguientes:</w:t>
      </w:r>
    </w:p>
    <w:p w14:paraId="40B4A74D" w14:textId="77777777" w:rsidR="00366FFB" w:rsidRPr="00743CF7" w:rsidRDefault="00366FFB" w:rsidP="00366FFB">
      <w:pPr>
        <w:autoSpaceDE w:val="0"/>
        <w:autoSpaceDN w:val="0"/>
        <w:adjustRightInd w:val="0"/>
        <w:jc w:val="both"/>
        <w:rPr>
          <w:rFonts w:ascii="Abadi" w:hAnsi="Abadi" w:cs="*Calibri-10886-Identity-H"/>
          <w:color w:val="292929"/>
          <w:sz w:val="21"/>
          <w:szCs w:val="21"/>
        </w:rPr>
      </w:pPr>
    </w:p>
    <w:p w14:paraId="6D83042B" w14:textId="77777777" w:rsidR="00366FFB" w:rsidRPr="00AE3CE3" w:rsidRDefault="00366FFB" w:rsidP="005C6EBB">
      <w:pPr>
        <w:pStyle w:val="Prrafodelista"/>
        <w:numPr>
          <w:ilvl w:val="0"/>
          <w:numId w:val="23"/>
        </w:numPr>
        <w:autoSpaceDE w:val="0"/>
        <w:autoSpaceDN w:val="0"/>
        <w:adjustRightInd w:val="0"/>
        <w:contextualSpacing/>
        <w:jc w:val="both"/>
        <w:rPr>
          <w:rFonts w:ascii="Abadi" w:hAnsi="Abadi" w:cs="*Calibri-10886-Identity-H"/>
          <w:color w:val="292929"/>
          <w:sz w:val="21"/>
          <w:szCs w:val="21"/>
        </w:rPr>
      </w:pPr>
      <w:r w:rsidRPr="00AE3CE3">
        <w:rPr>
          <w:rFonts w:ascii="Abadi" w:hAnsi="Abadi" w:cs="*Calibri-Bold-10888-Identity-H"/>
          <w:b/>
          <w:bCs/>
          <w:color w:val="292929"/>
          <w:sz w:val="21"/>
          <w:szCs w:val="21"/>
        </w:rPr>
        <w:t xml:space="preserve">Escolarizado: </w:t>
      </w:r>
      <w:r w:rsidRPr="00AE3CE3">
        <w:rPr>
          <w:rFonts w:ascii="Abadi" w:hAnsi="Abadi" w:cs="*Calibri-10886-Identity-H"/>
          <w:color w:val="292929"/>
          <w:sz w:val="21"/>
          <w:szCs w:val="21"/>
        </w:rPr>
        <w:t xml:space="preserve">es el conjunto de servicios educativos que se imparten en las instituciones de educación superior, caracterizada por la existencia de coincidencias espaciales </w:t>
      </w:r>
      <w:r w:rsidRPr="00AE3CE3">
        <w:rPr>
          <w:rFonts w:ascii="Abadi" w:hAnsi="Abadi" w:cs="*Calibri-10887-Identity-H"/>
          <w:color w:val="292929"/>
          <w:sz w:val="21"/>
          <w:szCs w:val="21"/>
        </w:rPr>
        <w:t xml:space="preserve">y </w:t>
      </w:r>
      <w:r w:rsidRPr="00AE3CE3">
        <w:rPr>
          <w:rFonts w:ascii="Abadi" w:hAnsi="Abadi" w:cs="*Calibri-10886-Identity-H"/>
          <w:color w:val="292929"/>
          <w:sz w:val="21"/>
          <w:szCs w:val="21"/>
        </w:rPr>
        <w:t>temporales entre quienes participan en un programa académico y la institución que lo ofrece poro recibir formación académica de manera sistemática, como parle de un plan de estudios;</w:t>
      </w:r>
    </w:p>
    <w:p w14:paraId="5643E599" w14:textId="77777777" w:rsidR="00366FFB" w:rsidRPr="00743CF7" w:rsidRDefault="00366FFB" w:rsidP="00366FFB">
      <w:pPr>
        <w:autoSpaceDE w:val="0"/>
        <w:autoSpaceDN w:val="0"/>
        <w:adjustRightInd w:val="0"/>
        <w:ind w:left="142"/>
        <w:jc w:val="both"/>
        <w:rPr>
          <w:rFonts w:ascii="Abadi" w:hAnsi="Abadi" w:cs="*Calibri-10886-Identity-H"/>
          <w:color w:val="292929"/>
          <w:sz w:val="21"/>
          <w:szCs w:val="21"/>
        </w:rPr>
      </w:pPr>
    </w:p>
    <w:p w14:paraId="05CC01B7" w14:textId="77777777" w:rsidR="00366FFB" w:rsidRPr="00AE3CE3" w:rsidRDefault="00366FFB" w:rsidP="005C6EBB">
      <w:pPr>
        <w:pStyle w:val="Prrafodelista"/>
        <w:numPr>
          <w:ilvl w:val="0"/>
          <w:numId w:val="23"/>
        </w:numPr>
        <w:autoSpaceDE w:val="0"/>
        <w:autoSpaceDN w:val="0"/>
        <w:adjustRightInd w:val="0"/>
        <w:contextualSpacing/>
        <w:jc w:val="both"/>
        <w:rPr>
          <w:rFonts w:ascii="Abadi" w:hAnsi="Abadi" w:cs="*Calibri-10886-Identity-H"/>
          <w:color w:val="292929"/>
          <w:sz w:val="21"/>
          <w:szCs w:val="21"/>
        </w:rPr>
      </w:pPr>
      <w:r w:rsidRPr="00AE3CE3">
        <w:rPr>
          <w:rFonts w:ascii="Abadi" w:hAnsi="Abadi" w:cs="*Calibri-Bold-10888-Identity-H"/>
          <w:b/>
          <w:bCs/>
          <w:color w:val="292929"/>
          <w:sz w:val="21"/>
          <w:szCs w:val="21"/>
        </w:rPr>
        <w:t xml:space="preserve">No escolarizada: </w:t>
      </w:r>
      <w:r w:rsidRPr="00AE3CE3">
        <w:rPr>
          <w:rFonts w:ascii="Abadi" w:hAnsi="Abadi" w:cs="*Calibri-10886-Identity-H"/>
          <w:color w:val="292929"/>
          <w:sz w:val="21"/>
          <w:szCs w:val="21"/>
        </w:rPr>
        <w:t>es el proceso de construcción de saberes autónomo, flexible o rígido, según un plan de estudios, caracterizado por lo coincidencia temporal entre quienes participan en un programa académico y la institución que lo ofrece, que puede llevarse a cabo a través de una plataforma tecnológica educativa, medios electrónicos u otros recursos didácticos para la formación a distancia;</w:t>
      </w:r>
    </w:p>
    <w:p w14:paraId="7E6A88DE" w14:textId="77777777" w:rsidR="00366FFB" w:rsidRPr="00743CF7" w:rsidRDefault="00366FFB" w:rsidP="00366FFB">
      <w:pPr>
        <w:autoSpaceDE w:val="0"/>
        <w:autoSpaceDN w:val="0"/>
        <w:adjustRightInd w:val="0"/>
        <w:ind w:left="142"/>
        <w:jc w:val="both"/>
        <w:rPr>
          <w:rFonts w:ascii="Abadi" w:hAnsi="Abadi" w:cs="*Calibri-10886-Identity-H"/>
          <w:color w:val="292929"/>
          <w:sz w:val="21"/>
          <w:szCs w:val="21"/>
        </w:rPr>
      </w:pPr>
    </w:p>
    <w:p w14:paraId="5811A01D" w14:textId="77777777" w:rsidR="00366FFB" w:rsidRPr="00AE3CE3" w:rsidRDefault="00366FFB" w:rsidP="005C6EBB">
      <w:pPr>
        <w:pStyle w:val="Prrafodelista"/>
        <w:numPr>
          <w:ilvl w:val="0"/>
          <w:numId w:val="23"/>
        </w:numPr>
        <w:autoSpaceDE w:val="0"/>
        <w:autoSpaceDN w:val="0"/>
        <w:adjustRightInd w:val="0"/>
        <w:contextualSpacing/>
        <w:jc w:val="both"/>
        <w:rPr>
          <w:rFonts w:ascii="Abadi" w:hAnsi="Abadi" w:cs="*Calibri-10886-Identity-H"/>
          <w:color w:val="282828"/>
          <w:sz w:val="21"/>
          <w:szCs w:val="21"/>
        </w:rPr>
      </w:pPr>
      <w:r w:rsidRPr="00AE3CE3">
        <w:rPr>
          <w:rFonts w:ascii="Abadi" w:hAnsi="Abadi" w:cs="*Calibri-10886-Identity-H"/>
          <w:color w:val="282828"/>
          <w:sz w:val="21"/>
          <w:szCs w:val="21"/>
        </w:rPr>
        <w:t xml:space="preserve">Mixta: es uno combinación de las modalidades escolarizada </w:t>
      </w:r>
      <w:r w:rsidRPr="00AE3CE3">
        <w:rPr>
          <w:rFonts w:ascii="Abadi" w:hAnsi="Abadi" w:cs="*Calibri-10887-Identity-H"/>
          <w:color w:val="282828"/>
          <w:sz w:val="21"/>
          <w:szCs w:val="21"/>
        </w:rPr>
        <w:t xml:space="preserve">y </w:t>
      </w:r>
      <w:r w:rsidRPr="00AE3CE3">
        <w:rPr>
          <w:rFonts w:ascii="Abadi" w:hAnsi="Abadi" w:cs="*Calibri-10886-Identity-H"/>
          <w:color w:val="282828"/>
          <w:sz w:val="21"/>
          <w:szCs w:val="21"/>
        </w:rPr>
        <w:t>no escolarizado, para cursar las asignaturas o módulos que integran un plan de estudios;</w:t>
      </w:r>
    </w:p>
    <w:p w14:paraId="37384EEE" w14:textId="77777777" w:rsidR="00366FFB" w:rsidRPr="00743CF7" w:rsidRDefault="00366FFB" w:rsidP="00366FFB">
      <w:pPr>
        <w:autoSpaceDE w:val="0"/>
        <w:autoSpaceDN w:val="0"/>
        <w:adjustRightInd w:val="0"/>
        <w:ind w:left="142"/>
        <w:jc w:val="both"/>
        <w:rPr>
          <w:rFonts w:ascii="Abadi" w:hAnsi="Abadi" w:cs="*Calibri-10886-Identity-H"/>
          <w:color w:val="282828"/>
          <w:sz w:val="21"/>
          <w:szCs w:val="21"/>
        </w:rPr>
      </w:pPr>
    </w:p>
    <w:p w14:paraId="0638C480" w14:textId="77777777" w:rsidR="00366FFB" w:rsidRPr="00AE3CE3" w:rsidRDefault="00366FFB" w:rsidP="005C6EBB">
      <w:pPr>
        <w:pStyle w:val="Prrafodelista"/>
        <w:numPr>
          <w:ilvl w:val="0"/>
          <w:numId w:val="23"/>
        </w:numPr>
        <w:autoSpaceDE w:val="0"/>
        <w:autoSpaceDN w:val="0"/>
        <w:adjustRightInd w:val="0"/>
        <w:contextualSpacing/>
        <w:jc w:val="both"/>
        <w:rPr>
          <w:rFonts w:ascii="Abadi" w:hAnsi="Abadi" w:cs="*Calibri-10887-Identity-H"/>
          <w:color w:val="292929"/>
          <w:sz w:val="21"/>
          <w:szCs w:val="21"/>
        </w:rPr>
      </w:pPr>
      <w:r w:rsidRPr="00AE3CE3">
        <w:rPr>
          <w:rFonts w:ascii="Abadi" w:hAnsi="Abadi" w:cs="*Calibri-Bold-10888-Identity-H"/>
          <w:b/>
          <w:bCs/>
          <w:color w:val="292929"/>
          <w:sz w:val="21"/>
          <w:szCs w:val="21"/>
        </w:rPr>
        <w:t xml:space="preserve">Dual: </w:t>
      </w:r>
      <w:r w:rsidRPr="00AE3CE3">
        <w:rPr>
          <w:rFonts w:ascii="Abadi" w:hAnsi="Abadi" w:cs="*Calibri-10886-Identity-H"/>
          <w:color w:val="292929"/>
          <w:sz w:val="21"/>
          <w:szCs w:val="21"/>
        </w:rPr>
        <w:t xml:space="preserve">es el proceso de construcción de saberes dirigido por una institución de educación superior para la vinculación de lo teoría </w:t>
      </w:r>
      <w:r w:rsidRPr="00AE3CE3">
        <w:rPr>
          <w:rFonts w:ascii="Abadi" w:hAnsi="Abadi" w:cs="*Calibri-10887-Identity-H"/>
          <w:color w:val="292929"/>
          <w:sz w:val="21"/>
          <w:szCs w:val="21"/>
        </w:rPr>
        <w:t xml:space="preserve">y </w:t>
      </w:r>
      <w:r w:rsidRPr="00AE3CE3">
        <w:rPr>
          <w:rFonts w:ascii="Abadi" w:hAnsi="Abadi" w:cs="*Calibri-10886-Identity-H"/>
          <w:color w:val="292929"/>
          <w:sz w:val="21"/>
          <w:szCs w:val="21"/>
        </w:rPr>
        <w:t xml:space="preserve">la práctica, integrando al estudiante en estancias laborales para desarrollar sus habilidades, </w:t>
      </w:r>
      <w:r w:rsidRPr="00AE3CE3">
        <w:rPr>
          <w:rFonts w:ascii="Abadi" w:hAnsi="Abadi" w:cs="*Calibri-10887-Identity-H"/>
          <w:color w:val="292929"/>
          <w:sz w:val="21"/>
          <w:szCs w:val="21"/>
        </w:rPr>
        <w:t>y</w:t>
      </w:r>
    </w:p>
    <w:p w14:paraId="4AD71347" w14:textId="77777777" w:rsidR="00366FFB" w:rsidRPr="00743CF7" w:rsidRDefault="00366FFB" w:rsidP="00366FFB">
      <w:pPr>
        <w:autoSpaceDE w:val="0"/>
        <w:autoSpaceDN w:val="0"/>
        <w:adjustRightInd w:val="0"/>
        <w:ind w:left="142"/>
        <w:jc w:val="both"/>
        <w:rPr>
          <w:rFonts w:ascii="Abadi" w:hAnsi="Abadi" w:cs="*Calibri-10887-Identity-H"/>
          <w:color w:val="292929"/>
          <w:sz w:val="21"/>
          <w:szCs w:val="21"/>
        </w:rPr>
      </w:pPr>
    </w:p>
    <w:p w14:paraId="380B6E26" w14:textId="77777777" w:rsidR="00366FFB" w:rsidRPr="00AE3CE3" w:rsidRDefault="00366FFB" w:rsidP="005C6EBB">
      <w:pPr>
        <w:pStyle w:val="Prrafodelista"/>
        <w:numPr>
          <w:ilvl w:val="0"/>
          <w:numId w:val="23"/>
        </w:numPr>
        <w:autoSpaceDE w:val="0"/>
        <w:autoSpaceDN w:val="0"/>
        <w:adjustRightInd w:val="0"/>
        <w:contextualSpacing/>
        <w:jc w:val="both"/>
        <w:rPr>
          <w:rFonts w:ascii="Abadi" w:hAnsi="Abadi" w:cs="*Calibri-10886-Identity-H"/>
          <w:color w:val="282828"/>
          <w:sz w:val="21"/>
          <w:szCs w:val="21"/>
        </w:rPr>
      </w:pPr>
      <w:r w:rsidRPr="00AE3CE3">
        <w:rPr>
          <w:rFonts w:ascii="Abadi" w:hAnsi="Abadi" w:cs="*Calibri-10886-Identity-H"/>
          <w:color w:val="282828"/>
          <w:sz w:val="21"/>
          <w:szCs w:val="21"/>
        </w:rPr>
        <w:t xml:space="preserve">Las que determinen las autoridades educativas de educación superior </w:t>
      </w:r>
      <w:r w:rsidRPr="00AE3CE3">
        <w:rPr>
          <w:rFonts w:ascii="Abadi" w:hAnsi="Abadi" w:cs="*Calibri-10887-Identity-H"/>
          <w:color w:val="282828"/>
          <w:sz w:val="21"/>
          <w:szCs w:val="21"/>
        </w:rPr>
        <w:t xml:space="preserve">y </w:t>
      </w:r>
      <w:r w:rsidRPr="00AE3CE3">
        <w:rPr>
          <w:rFonts w:ascii="Abadi" w:hAnsi="Abadi" w:cs="*Calibri-10886-Identity-H"/>
          <w:color w:val="282828"/>
          <w:sz w:val="21"/>
          <w:szCs w:val="21"/>
        </w:rPr>
        <w:t>las instituciones de educación superior, de conformidad con la normatividad aplicable.</w:t>
      </w:r>
    </w:p>
    <w:p w14:paraId="298D7C1A" w14:textId="77777777" w:rsidR="00366FFB" w:rsidRPr="00743CF7" w:rsidRDefault="00366FFB" w:rsidP="00366FFB">
      <w:pPr>
        <w:jc w:val="both"/>
        <w:rPr>
          <w:rFonts w:ascii="Abadi" w:hAnsi="Abadi" w:cs="*Calibri-10886-Identity-H"/>
          <w:color w:val="282828"/>
          <w:sz w:val="21"/>
          <w:szCs w:val="21"/>
        </w:rPr>
      </w:pPr>
    </w:p>
    <w:p w14:paraId="33DEB22F" w14:textId="77777777" w:rsidR="00366FFB" w:rsidRPr="00743CF7" w:rsidRDefault="00366FFB" w:rsidP="00366FFB">
      <w:pPr>
        <w:autoSpaceDE w:val="0"/>
        <w:autoSpaceDN w:val="0"/>
        <w:adjustRightInd w:val="0"/>
        <w:ind w:firstLine="502"/>
        <w:jc w:val="both"/>
        <w:rPr>
          <w:rFonts w:ascii="Abadi" w:hAnsi="Abadi" w:cs="*Calibri-11237-Identity-H"/>
          <w:color w:val="282828"/>
          <w:sz w:val="21"/>
          <w:szCs w:val="21"/>
        </w:rPr>
      </w:pPr>
      <w:r w:rsidRPr="00743CF7">
        <w:rPr>
          <w:rFonts w:ascii="Abadi" w:hAnsi="Abadi" w:cs="*Calibri-11237-Identity-H"/>
          <w:color w:val="282828"/>
          <w:sz w:val="21"/>
          <w:szCs w:val="21"/>
        </w:rPr>
        <w:t xml:space="preserve">En el caso de las universidades </w:t>
      </w:r>
      <w:r w:rsidRPr="00743CF7">
        <w:rPr>
          <w:rFonts w:ascii="Abadi" w:hAnsi="Abadi" w:cs="*Microsoft Sans Serif-Italic-11"/>
          <w:i/>
          <w:iCs/>
          <w:color w:val="282828"/>
          <w:sz w:val="21"/>
          <w:szCs w:val="21"/>
        </w:rPr>
        <w:t xml:space="preserve">e </w:t>
      </w:r>
      <w:r w:rsidRPr="00743CF7">
        <w:rPr>
          <w:rFonts w:ascii="Abadi" w:hAnsi="Abadi" w:cs="*Calibri-11237-Identity-H"/>
          <w:color w:val="282828"/>
          <w:sz w:val="21"/>
          <w:szCs w:val="21"/>
        </w:rPr>
        <w:t>instituciones públicos de educación superior con autonomía se estará a lo que determine la fracción VII del artículo 3o. de la Constitución Polí1ica de los Estados Unidos Mexicanos y su normatividad interna.</w:t>
      </w:r>
    </w:p>
    <w:p w14:paraId="01668C85" w14:textId="77777777" w:rsidR="00366FFB" w:rsidRPr="00743CF7" w:rsidRDefault="00366FFB" w:rsidP="00366FFB">
      <w:pPr>
        <w:autoSpaceDE w:val="0"/>
        <w:autoSpaceDN w:val="0"/>
        <w:adjustRightInd w:val="0"/>
        <w:jc w:val="both"/>
        <w:rPr>
          <w:rFonts w:ascii="Abadi" w:hAnsi="Abadi" w:cs="*Microsoft Sans Serif-BoldItali"/>
          <w:b/>
          <w:bCs/>
          <w:i/>
          <w:iCs/>
          <w:color w:val="121212"/>
          <w:sz w:val="21"/>
          <w:szCs w:val="21"/>
        </w:rPr>
      </w:pPr>
    </w:p>
    <w:p w14:paraId="6BCA5A22" w14:textId="77777777" w:rsidR="00A91728" w:rsidRDefault="00366FFB" w:rsidP="00366FFB">
      <w:pPr>
        <w:autoSpaceDE w:val="0"/>
        <w:autoSpaceDN w:val="0"/>
        <w:adjustRightInd w:val="0"/>
        <w:jc w:val="right"/>
        <w:rPr>
          <w:rFonts w:ascii="Abadi" w:hAnsi="Abadi" w:cs="*Microsoft Sans Serif-BoldItali"/>
          <w:b/>
          <w:bCs/>
          <w:i/>
          <w:iCs/>
          <w:color w:val="121212"/>
          <w:sz w:val="21"/>
          <w:szCs w:val="21"/>
        </w:rPr>
      </w:pPr>
      <w:r w:rsidRPr="00743CF7">
        <w:rPr>
          <w:rFonts w:ascii="Abadi" w:hAnsi="Abadi" w:cs="*Microsoft Sans Serif-BoldItali"/>
          <w:b/>
          <w:bCs/>
          <w:i/>
          <w:iCs/>
          <w:color w:val="121212"/>
          <w:sz w:val="21"/>
          <w:szCs w:val="21"/>
        </w:rPr>
        <w:t xml:space="preserve"> </w:t>
      </w:r>
    </w:p>
    <w:p w14:paraId="4847ACFE" w14:textId="77777777" w:rsidR="00A91728" w:rsidRDefault="00A91728" w:rsidP="00366FFB">
      <w:pPr>
        <w:autoSpaceDE w:val="0"/>
        <w:autoSpaceDN w:val="0"/>
        <w:adjustRightInd w:val="0"/>
        <w:jc w:val="right"/>
        <w:rPr>
          <w:rFonts w:ascii="Abadi" w:hAnsi="Abadi" w:cs="*Microsoft Sans Serif-BoldItali"/>
          <w:b/>
          <w:bCs/>
          <w:i/>
          <w:iCs/>
          <w:color w:val="121212"/>
          <w:sz w:val="21"/>
          <w:szCs w:val="21"/>
        </w:rPr>
      </w:pPr>
    </w:p>
    <w:p w14:paraId="0BF83C68" w14:textId="77777777" w:rsidR="00A91728" w:rsidRDefault="00A91728" w:rsidP="00366FFB">
      <w:pPr>
        <w:autoSpaceDE w:val="0"/>
        <w:autoSpaceDN w:val="0"/>
        <w:adjustRightInd w:val="0"/>
        <w:jc w:val="right"/>
        <w:rPr>
          <w:rFonts w:ascii="Abadi" w:hAnsi="Abadi" w:cs="*Microsoft Sans Serif-BoldItali"/>
          <w:b/>
          <w:bCs/>
          <w:i/>
          <w:iCs/>
          <w:color w:val="121212"/>
          <w:sz w:val="21"/>
          <w:szCs w:val="21"/>
        </w:rPr>
      </w:pPr>
    </w:p>
    <w:p w14:paraId="14C84944" w14:textId="77777777" w:rsidR="00A91728" w:rsidRDefault="00A91728" w:rsidP="00366FFB">
      <w:pPr>
        <w:autoSpaceDE w:val="0"/>
        <w:autoSpaceDN w:val="0"/>
        <w:adjustRightInd w:val="0"/>
        <w:jc w:val="right"/>
        <w:rPr>
          <w:rFonts w:ascii="Abadi" w:hAnsi="Abadi" w:cs="*Microsoft Sans Serif-BoldItali"/>
          <w:b/>
          <w:bCs/>
          <w:i/>
          <w:iCs/>
          <w:color w:val="121212"/>
          <w:sz w:val="21"/>
          <w:szCs w:val="21"/>
        </w:rPr>
      </w:pPr>
    </w:p>
    <w:p w14:paraId="56297CD1" w14:textId="4D321123" w:rsidR="00366FFB" w:rsidRPr="00743CF7" w:rsidRDefault="00366FFB" w:rsidP="00366FFB">
      <w:pPr>
        <w:autoSpaceDE w:val="0"/>
        <w:autoSpaceDN w:val="0"/>
        <w:adjustRightInd w:val="0"/>
        <w:jc w:val="right"/>
        <w:rPr>
          <w:rFonts w:ascii="Abadi" w:hAnsi="Abadi" w:cs="*Microsoft Sans Serif-BoldItali"/>
          <w:b/>
          <w:bCs/>
          <w:i/>
          <w:iCs/>
          <w:color w:val="121212"/>
          <w:sz w:val="21"/>
          <w:szCs w:val="21"/>
        </w:rPr>
      </w:pPr>
      <w:r w:rsidRPr="00743CF7">
        <w:rPr>
          <w:rFonts w:ascii="Abadi" w:hAnsi="Abadi" w:cs="*Microsoft Sans Serif-BoldItali"/>
          <w:b/>
          <w:bCs/>
          <w:i/>
          <w:iCs/>
          <w:color w:val="121212"/>
          <w:sz w:val="21"/>
          <w:szCs w:val="21"/>
        </w:rPr>
        <w:t>Opciones en Educación Superior</w:t>
      </w:r>
    </w:p>
    <w:p w14:paraId="10A6481B" w14:textId="77777777" w:rsidR="00366FFB" w:rsidRPr="00743CF7" w:rsidRDefault="00366FFB" w:rsidP="00366FFB">
      <w:pPr>
        <w:autoSpaceDE w:val="0"/>
        <w:autoSpaceDN w:val="0"/>
        <w:adjustRightInd w:val="0"/>
        <w:ind w:firstLine="708"/>
        <w:jc w:val="both"/>
        <w:rPr>
          <w:rFonts w:ascii="Abadi" w:hAnsi="Abadi" w:cs="*Calibri-11237-Identity-H"/>
          <w:color w:val="242424"/>
          <w:sz w:val="21"/>
          <w:szCs w:val="21"/>
        </w:rPr>
      </w:pPr>
      <w:r w:rsidRPr="00743CF7">
        <w:rPr>
          <w:rFonts w:ascii="Abadi" w:hAnsi="Abadi" w:cs="*Calibri-Bold-11238-Identity-H"/>
          <w:b/>
          <w:bCs/>
          <w:color w:val="252525"/>
          <w:sz w:val="21"/>
          <w:szCs w:val="21"/>
        </w:rPr>
        <w:t xml:space="preserve">Artículo 33. </w:t>
      </w:r>
      <w:r w:rsidRPr="00743CF7">
        <w:rPr>
          <w:rFonts w:ascii="Abadi" w:hAnsi="Abadi" w:cs="*Calibri-11237-Identity-H"/>
          <w:color w:val="252525"/>
          <w:sz w:val="21"/>
          <w:szCs w:val="21"/>
        </w:rPr>
        <w:t xml:space="preserve">Las opciones que comprende lo educación superior serán, de </w:t>
      </w:r>
      <w:r w:rsidRPr="00743CF7">
        <w:rPr>
          <w:rFonts w:ascii="Abadi" w:hAnsi="Abadi" w:cs="*Calibri-11237-Identity-H"/>
          <w:color w:val="242424"/>
          <w:sz w:val="21"/>
          <w:szCs w:val="21"/>
        </w:rPr>
        <w:t>manera enunciativa y no limitativa:</w:t>
      </w:r>
    </w:p>
    <w:p w14:paraId="5628DB25" w14:textId="77777777" w:rsidR="00366FFB" w:rsidRDefault="00366FFB" w:rsidP="00366FFB">
      <w:pPr>
        <w:autoSpaceDE w:val="0"/>
        <w:autoSpaceDN w:val="0"/>
        <w:adjustRightInd w:val="0"/>
        <w:jc w:val="both"/>
        <w:rPr>
          <w:rFonts w:ascii="Abadi" w:hAnsi="Abadi" w:cs="*Calibri-11237-Identity-H"/>
          <w:color w:val="292929"/>
          <w:sz w:val="21"/>
          <w:szCs w:val="21"/>
        </w:rPr>
      </w:pPr>
    </w:p>
    <w:p w14:paraId="786C0224" w14:textId="77777777" w:rsidR="00366FFB" w:rsidRPr="00AE3CE3" w:rsidRDefault="00366FFB" w:rsidP="005C6EBB">
      <w:pPr>
        <w:pStyle w:val="Prrafodelista"/>
        <w:numPr>
          <w:ilvl w:val="0"/>
          <w:numId w:val="24"/>
        </w:numPr>
        <w:autoSpaceDE w:val="0"/>
        <w:autoSpaceDN w:val="0"/>
        <w:adjustRightInd w:val="0"/>
        <w:contextualSpacing/>
        <w:jc w:val="both"/>
        <w:rPr>
          <w:rFonts w:ascii="Abadi" w:hAnsi="Abadi" w:cs="*Calibri-11237-Identity-H"/>
          <w:color w:val="292929"/>
          <w:sz w:val="21"/>
          <w:szCs w:val="21"/>
        </w:rPr>
      </w:pPr>
      <w:r w:rsidRPr="00AE3CE3">
        <w:rPr>
          <w:rFonts w:ascii="Abadi" w:hAnsi="Abadi" w:cs="*Calibri-11237-Identity-H"/>
          <w:color w:val="292929"/>
          <w:sz w:val="21"/>
          <w:szCs w:val="21"/>
        </w:rPr>
        <w:t>Presencial;</w:t>
      </w:r>
    </w:p>
    <w:p w14:paraId="629B07E7" w14:textId="77777777" w:rsidR="00366FFB" w:rsidRPr="00743CF7" w:rsidRDefault="00366FFB" w:rsidP="00366FFB">
      <w:pPr>
        <w:autoSpaceDE w:val="0"/>
        <w:autoSpaceDN w:val="0"/>
        <w:adjustRightInd w:val="0"/>
        <w:jc w:val="both"/>
        <w:rPr>
          <w:rFonts w:ascii="Abadi" w:hAnsi="Abadi" w:cs="*Calibri-11237-Identity-H"/>
          <w:color w:val="292929"/>
          <w:sz w:val="21"/>
          <w:szCs w:val="21"/>
        </w:rPr>
      </w:pPr>
    </w:p>
    <w:p w14:paraId="708B0740" w14:textId="77777777" w:rsidR="00366FFB" w:rsidRPr="00AE3CE3" w:rsidRDefault="00366FFB" w:rsidP="005C6EBB">
      <w:pPr>
        <w:pStyle w:val="Prrafodelista"/>
        <w:numPr>
          <w:ilvl w:val="0"/>
          <w:numId w:val="24"/>
        </w:numPr>
        <w:autoSpaceDE w:val="0"/>
        <w:autoSpaceDN w:val="0"/>
        <w:adjustRightInd w:val="0"/>
        <w:contextualSpacing/>
        <w:jc w:val="both"/>
        <w:rPr>
          <w:rFonts w:ascii="Abadi" w:hAnsi="Abadi" w:cs="*Calibri-11237-Identity-H"/>
          <w:color w:val="252525"/>
          <w:sz w:val="21"/>
          <w:szCs w:val="21"/>
        </w:rPr>
      </w:pPr>
      <w:r w:rsidRPr="00AE3CE3">
        <w:rPr>
          <w:rFonts w:ascii="Abadi" w:hAnsi="Abadi" w:cs="*Calibri-11237-Identity-H"/>
          <w:color w:val="252525"/>
          <w:sz w:val="21"/>
          <w:szCs w:val="21"/>
        </w:rPr>
        <w:t>En línea o virtual;</w:t>
      </w:r>
    </w:p>
    <w:p w14:paraId="20A21664" w14:textId="77777777" w:rsidR="00366FFB" w:rsidRDefault="00366FFB" w:rsidP="00366FFB">
      <w:pPr>
        <w:pStyle w:val="Prrafodelista"/>
        <w:autoSpaceDE w:val="0"/>
        <w:autoSpaceDN w:val="0"/>
        <w:adjustRightInd w:val="0"/>
        <w:ind w:left="720"/>
        <w:jc w:val="both"/>
        <w:rPr>
          <w:rFonts w:ascii="Abadi" w:hAnsi="Abadi" w:cs="*Calibri-11237-Identity-H"/>
          <w:color w:val="222222"/>
          <w:sz w:val="21"/>
          <w:szCs w:val="21"/>
        </w:rPr>
      </w:pPr>
    </w:p>
    <w:p w14:paraId="0541C2CA" w14:textId="77777777" w:rsidR="00366FFB" w:rsidRPr="00AE3CE3" w:rsidRDefault="00366FFB" w:rsidP="005C6EBB">
      <w:pPr>
        <w:pStyle w:val="Prrafodelista"/>
        <w:numPr>
          <w:ilvl w:val="0"/>
          <w:numId w:val="24"/>
        </w:numPr>
        <w:autoSpaceDE w:val="0"/>
        <w:autoSpaceDN w:val="0"/>
        <w:adjustRightInd w:val="0"/>
        <w:contextualSpacing/>
        <w:jc w:val="both"/>
        <w:rPr>
          <w:rFonts w:ascii="Abadi" w:hAnsi="Abadi" w:cs="*Calibri-11237-Identity-H"/>
          <w:color w:val="222222"/>
          <w:sz w:val="21"/>
          <w:szCs w:val="21"/>
        </w:rPr>
      </w:pPr>
      <w:r w:rsidRPr="00AE3CE3">
        <w:rPr>
          <w:rFonts w:ascii="Abadi" w:hAnsi="Abadi" w:cs="*Calibri-11237-Identity-H"/>
          <w:color w:val="222222"/>
          <w:sz w:val="21"/>
          <w:szCs w:val="21"/>
        </w:rPr>
        <w:t>Abierta y o distancio;</w:t>
      </w:r>
    </w:p>
    <w:p w14:paraId="46DA654C" w14:textId="77777777" w:rsidR="00366FFB" w:rsidRPr="00743CF7" w:rsidRDefault="00366FFB" w:rsidP="00366FFB">
      <w:pPr>
        <w:autoSpaceDE w:val="0"/>
        <w:autoSpaceDN w:val="0"/>
        <w:adjustRightInd w:val="0"/>
        <w:jc w:val="both"/>
        <w:rPr>
          <w:rFonts w:ascii="Abadi" w:hAnsi="Abadi" w:cs="*Calibri-Bold-11238-Identity-H"/>
          <w:b/>
          <w:bCs/>
          <w:color w:val="262626"/>
          <w:sz w:val="21"/>
          <w:szCs w:val="21"/>
        </w:rPr>
      </w:pPr>
    </w:p>
    <w:p w14:paraId="436CEB00" w14:textId="77777777" w:rsidR="00366FFB" w:rsidRPr="00AE3CE3" w:rsidRDefault="00366FFB" w:rsidP="005C6EBB">
      <w:pPr>
        <w:pStyle w:val="Prrafodelista"/>
        <w:numPr>
          <w:ilvl w:val="0"/>
          <w:numId w:val="24"/>
        </w:numPr>
        <w:autoSpaceDE w:val="0"/>
        <w:autoSpaceDN w:val="0"/>
        <w:adjustRightInd w:val="0"/>
        <w:contextualSpacing/>
        <w:jc w:val="both"/>
        <w:rPr>
          <w:rFonts w:ascii="Abadi" w:hAnsi="Abadi" w:cs="*Times New Roman-Italic-11234-I"/>
          <w:i/>
          <w:iCs/>
          <w:color w:val="262626"/>
          <w:sz w:val="21"/>
          <w:szCs w:val="21"/>
        </w:rPr>
      </w:pPr>
      <w:r w:rsidRPr="00AE3CE3">
        <w:rPr>
          <w:rFonts w:ascii="Abadi" w:hAnsi="Abadi" w:cs="*Calibri-11237-Identity-H"/>
          <w:color w:val="262626"/>
          <w:sz w:val="21"/>
          <w:szCs w:val="21"/>
        </w:rPr>
        <w:t xml:space="preserve">Certificación por examen; </w:t>
      </w:r>
      <w:r w:rsidRPr="00AE3CE3">
        <w:rPr>
          <w:rFonts w:ascii="Abadi" w:hAnsi="Abadi" w:cs="*Times New Roman-Italic-11234-I"/>
          <w:i/>
          <w:iCs/>
          <w:color w:val="262626"/>
          <w:sz w:val="21"/>
          <w:szCs w:val="21"/>
        </w:rPr>
        <w:t>y</w:t>
      </w:r>
    </w:p>
    <w:p w14:paraId="44804966" w14:textId="77777777" w:rsidR="00366FFB" w:rsidRPr="00743CF7" w:rsidRDefault="00366FFB" w:rsidP="00366FFB">
      <w:pPr>
        <w:autoSpaceDE w:val="0"/>
        <w:autoSpaceDN w:val="0"/>
        <w:adjustRightInd w:val="0"/>
        <w:jc w:val="both"/>
        <w:rPr>
          <w:rFonts w:ascii="Abadi" w:hAnsi="Abadi" w:cs="*Times New Roman-Bold-11233-Ide"/>
          <w:b/>
          <w:bCs/>
          <w:color w:val="282828"/>
          <w:sz w:val="21"/>
          <w:szCs w:val="21"/>
        </w:rPr>
      </w:pPr>
    </w:p>
    <w:p w14:paraId="088CA533" w14:textId="77777777" w:rsidR="00366FFB" w:rsidRPr="00AE3CE3" w:rsidRDefault="00366FFB" w:rsidP="005C6EBB">
      <w:pPr>
        <w:pStyle w:val="Prrafodelista"/>
        <w:numPr>
          <w:ilvl w:val="0"/>
          <w:numId w:val="24"/>
        </w:numPr>
        <w:autoSpaceDE w:val="0"/>
        <w:autoSpaceDN w:val="0"/>
        <w:adjustRightInd w:val="0"/>
        <w:contextualSpacing/>
        <w:jc w:val="both"/>
        <w:rPr>
          <w:rFonts w:ascii="Abadi" w:hAnsi="Abadi" w:cs="*Calibri-11237-Identity-H"/>
          <w:color w:val="282828"/>
          <w:sz w:val="21"/>
          <w:szCs w:val="21"/>
        </w:rPr>
      </w:pPr>
      <w:r w:rsidRPr="00AE3CE3">
        <w:rPr>
          <w:rFonts w:ascii="Abadi" w:hAnsi="Abadi" w:cs="*Calibri-11237-Identity-H"/>
          <w:color w:val="282828"/>
          <w:sz w:val="21"/>
          <w:szCs w:val="21"/>
        </w:rPr>
        <w:t>Las demás que se determinen por las autoridades educativas e instituciones de educación superior, o través de las disposiciones que se deriven de la presente Ley.</w:t>
      </w:r>
    </w:p>
    <w:p w14:paraId="16AA5286" w14:textId="77777777" w:rsidR="00366FFB" w:rsidRPr="00743CF7" w:rsidRDefault="00366FFB" w:rsidP="00366FFB">
      <w:pPr>
        <w:autoSpaceDE w:val="0"/>
        <w:autoSpaceDN w:val="0"/>
        <w:adjustRightInd w:val="0"/>
        <w:jc w:val="both"/>
        <w:rPr>
          <w:rFonts w:ascii="Abadi" w:hAnsi="Abadi" w:cs="*Microsoft Sans Serif-BoldItali"/>
          <w:b/>
          <w:bCs/>
          <w:i/>
          <w:iCs/>
          <w:color w:val="121212"/>
          <w:sz w:val="21"/>
          <w:szCs w:val="21"/>
        </w:rPr>
      </w:pPr>
    </w:p>
    <w:p w14:paraId="1F2C8C9D" w14:textId="77777777" w:rsidR="00366FFB" w:rsidRPr="00743CF7" w:rsidRDefault="00366FFB" w:rsidP="00366FFB">
      <w:pPr>
        <w:autoSpaceDE w:val="0"/>
        <w:autoSpaceDN w:val="0"/>
        <w:adjustRightInd w:val="0"/>
        <w:jc w:val="right"/>
        <w:rPr>
          <w:rFonts w:ascii="Abadi" w:hAnsi="Abadi" w:cs="*Microsoft Sans Serif-BoldItali"/>
          <w:b/>
          <w:bCs/>
          <w:i/>
          <w:iCs/>
          <w:color w:val="121212"/>
          <w:sz w:val="21"/>
          <w:szCs w:val="21"/>
        </w:rPr>
      </w:pPr>
      <w:r w:rsidRPr="00743CF7">
        <w:rPr>
          <w:rFonts w:ascii="Abadi" w:hAnsi="Abadi" w:cs="*Microsoft Sans Serif-BoldItali"/>
          <w:b/>
          <w:bCs/>
          <w:i/>
          <w:iCs/>
          <w:color w:val="121212"/>
          <w:sz w:val="21"/>
          <w:szCs w:val="21"/>
        </w:rPr>
        <w:t xml:space="preserve">Registro digital </w:t>
      </w:r>
      <w:r w:rsidRPr="00743CF7">
        <w:rPr>
          <w:rFonts w:ascii="Abadi" w:hAnsi="Abadi" w:cs="*Comic Sans MS-BoldItalic-11239"/>
          <w:b/>
          <w:bCs/>
          <w:i/>
          <w:iCs/>
          <w:color w:val="121212"/>
          <w:sz w:val="21"/>
          <w:szCs w:val="21"/>
        </w:rPr>
        <w:t xml:space="preserve">y </w:t>
      </w:r>
      <w:r w:rsidRPr="00743CF7">
        <w:rPr>
          <w:rFonts w:ascii="Abadi" w:hAnsi="Abadi" w:cs="*Microsoft Sans Serif-BoldItali"/>
          <w:b/>
          <w:bCs/>
          <w:i/>
          <w:iCs/>
          <w:color w:val="121212"/>
          <w:sz w:val="21"/>
          <w:szCs w:val="21"/>
        </w:rPr>
        <w:t>movilidad de estudiantes</w:t>
      </w:r>
    </w:p>
    <w:p w14:paraId="0B1B23C7" w14:textId="7FFDE8E3" w:rsidR="00366FFB" w:rsidRPr="00743CF7" w:rsidRDefault="00366FFB" w:rsidP="00366FFB">
      <w:pPr>
        <w:autoSpaceDE w:val="0"/>
        <w:autoSpaceDN w:val="0"/>
        <w:adjustRightInd w:val="0"/>
        <w:jc w:val="both"/>
        <w:rPr>
          <w:rFonts w:ascii="Abadi" w:hAnsi="Abadi" w:cs="*Calibri-11237-Identity-H"/>
          <w:color w:val="272727"/>
          <w:sz w:val="21"/>
          <w:szCs w:val="21"/>
        </w:rPr>
      </w:pPr>
      <w:r w:rsidRPr="00743CF7">
        <w:rPr>
          <w:rFonts w:ascii="Abadi" w:hAnsi="Abadi" w:cs="*Calibri-Bold-11238-Identity-H"/>
          <w:b/>
          <w:bCs/>
          <w:color w:val="272727"/>
          <w:sz w:val="21"/>
          <w:szCs w:val="21"/>
        </w:rPr>
        <w:t xml:space="preserve">Artículo </w:t>
      </w:r>
      <w:r w:rsidRPr="003D794E">
        <w:rPr>
          <w:rFonts w:ascii="Abadi" w:hAnsi="Abadi" w:cs="*Calibri-11237-Identity-H"/>
          <w:b/>
          <w:bCs/>
          <w:color w:val="272727"/>
          <w:sz w:val="21"/>
          <w:szCs w:val="21"/>
        </w:rPr>
        <w:t>34.</w:t>
      </w:r>
      <w:r w:rsidRPr="00743CF7">
        <w:rPr>
          <w:rFonts w:ascii="Abadi" w:hAnsi="Abadi" w:cs="*Calibri-11237-Identity-H"/>
          <w:color w:val="272727"/>
          <w:sz w:val="21"/>
          <w:szCs w:val="21"/>
        </w:rPr>
        <w:t xml:space="preserve"> Las instituciones de educación </w:t>
      </w:r>
      <w:r w:rsidR="00A91728" w:rsidRPr="00743CF7">
        <w:rPr>
          <w:rFonts w:ascii="Abadi" w:hAnsi="Abadi" w:cs="*Calibri-11237-Identity-H"/>
          <w:color w:val="272727"/>
          <w:sz w:val="21"/>
          <w:szCs w:val="21"/>
        </w:rPr>
        <w:t>superior</w:t>
      </w:r>
      <w:r w:rsidRPr="00743CF7">
        <w:rPr>
          <w:rFonts w:ascii="Abadi" w:hAnsi="Abadi" w:cs="*Calibri-11237-Identity-H"/>
          <w:color w:val="272727"/>
          <w:sz w:val="21"/>
          <w:szCs w:val="21"/>
        </w:rPr>
        <w:t xml:space="preserve"> deberán implementar un registro digital que permita dar seguimiento a los expedientes de los estudiantes inscritos en las mismas.</w:t>
      </w:r>
    </w:p>
    <w:p w14:paraId="2B383A5F" w14:textId="77777777" w:rsidR="00366FFB" w:rsidRPr="00743CF7" w:rsidRDefault="00366FFB" w:rsidP="00366FFB">
      <w:pPr>
        <w:autoSpaceDE w:val="0"/>
        <w:autoSpaceDN w:val="0"/>
        <w:adjustRightInd w:val="0"/>
        <w:jc w:val="both"/>
        <w:rPr>
          <w:rFonts w:ascii="Abadi" w:hAnsi="Abadi" w:cs="*Calibri-11237-Identity-H"/>
          <w:color w:val="272727"/>
          <w:sz w:val="21"/>
          <w:szCs w:val="21"/>
        </w:rPr>
      </w:pPr>
    </w:p>
    <w:p w14:paraId="27242761" w14:textId="7E51067E" w:rsidR="00366FFB" w:rsidRPr="00743CF7" w:rsidRDefault="00366FFB" w:rsidP="00366FFB">
      <w:pPr>
        <w:autoSpaceDE w:val="0"/>
        <w:autoSpaceDN w:val="0"/>
        <w:adjustRightInd w:val="0"/>
        <w:jc w:val="both"/>
        <w:rPr>
          <w:rFonts w:ascii="Abadi" w:hAnsi="Abadi" w:cs="*Calibri-11237-Identity-H"/>
          <w:color w:val="272727"/>
          <w:sz w:val="21"/>
          <w:szCs w:val="21"/>
        </w:rPr>
      </w:pPr>
      <w:r w:rsidRPr="00743CF7">
        <w:rPr>
          <w:rFonts w:ascii="Abadi" w:hAnsi="Abadi" w:cs="*Calibri-11237-Identity-H"/>
          <w:color w:val="272727"/>
          <w:sz w:val="21"/>
          <w:szCs w:val="21"/>
        </w:rPr>
        <w:t xml:space="preserve">Asimismo, deberán implementar la movilidad de los estudiantes con otras </w:t>
      </w:r>
      <w:r w:rsidRPr="00743CF7">
        <w:rPr>
          <w:rFonts w:ascii="Abadi" w:hAnsi="Abadi" w:cs="*Calibri-11237-Identity-H"/>
          <w:color w:val="3B3B3B"/>
          <w:sz w:val="21"/>
          <w:szCs w:val="21"/>
        </w:rPr>
        <w:t>i</w:t>
      </w:r>
      <w:r w:rsidRPr="00743CF7">
        <w:rPr>
          <w:rFonts w:ascii="Abadi" w:hAnsi="Abadi" w:cs="*Calibri-11237-Identity-H"/>
          <w:color w:val="272727"/>
          <w:sz w:val="21"/>
          <w:szCs w:val="21"/>
        </w:rPr>
        <w:t>nst</w:t>
      </w:r>
      <w:r w:rsidRPr="00743CF7">
        <w:rPr>
          <w:rFonts w:ascii="Abadi" w:hAnsi="Abadi" w:cs="*Calibri-11237-Identity-H"/>
          <w:color w:val="737373"/>
          <w:sz w:val="21"/>
          <w:szCs w:val="21"/>
        </w:rPr>
        <w:t>i</w:t>
      </w:r>
      <w:r w:rsidRPr="00743CF7">
        <w:rPr>
          <w:rFonts w:ascii="Abadi" w:hAnsi="Abadi" w:cs="*Calibri-11237-Identity-H"/>
          <w:color w:val="272727"/>
          <w:sz w:val="21"/>
          <w:szCs w:val="21"/>
        </w:rPr>
        <w:t>tucione</w:t>
      </w:r>
      <w:r w:rsidRPr="00743CF7">
        <w:rPr>
          <w:rFonts w:ascii="Abadi" w:hAnsi="Abadi" w:cs="*Calibri-11237-Identity-H"/>
          <w:color w:val="3B3B3B"/>
          <w:sz w:val="21"/>
          <w:szCs w:val="21"/>
        </w:rPr>
        <w:t xml:space="preserve">s </w:t>
      </w:r>
      <w:r w:rsidRPr="00743CF7">
        <w:rPr>
          <w:rFonts w:ascii="Abadi" w:hAnsi="Abadi" w:cs="*Calibri-11237-Identity-H"/>
          <w:color w:val="272727"/>
          <w:sz w:val="21"/>
          <w:szCs w:val="21"/>
        </w:rPr>
        <w:t xml:space="preserve">de educación superior, para fortalecer su perfil de egreso, con la finalidad de que la </w:t>
      </w:r>
      <w:r w:rsidR="00A91728" w:rsidRPr="00743CF7">
        <w:rPr>
          <w:rFonts w:ascii="Abadi" w:hAnsi="Abadi" w:cs="*Calibri-11237-Identity-H"/>
          <w:color w:val="272727"/>
          <w:sz w:val="21"/>
          <w:szCs w:val="21"/>
        </w:rPr>
        <w:t>calificación obtenida</w:t>
      </w:r>
      <w:r w:rsidRPr="00743CF7">
        <w:rPr>
          <w:rFonts w:ascii="Abadi" w:hAnsi="Abadi" w:cs="*Calibri-11237-Identity-H"/>
          <w:color w:val="272727"/>
          <w:sz w:val="21"/>
          <w:szCs w:val="21"/>
        </w:rPr>
        <w:t xml:space="preserve"> será registrada en el expediente educativo y reconocida por la institución educativa de origen o receptora.</w:t>
      </w:r>
    </w:p>
    <w:p w14:paraId="3107780D" w14:textId="77777777" w:rsidR="00366FFB" w:rsidRPr="00743CF7" w:rsidRDefault="00366FFB" w:rsidP="00366FFB">
      <w:pPr>
        <w:autoSpaceDE w:val="0"/>
        <w:autoSpaceDN w:val="0"/>
        <w:adjustRightInd w:val="0"/>
        <w:jc w:val="both"/>
        <w:rPr>
          <w:rFonts w:ascii="Abadi" w:hAnsi="Abadi" w:cs="*Microsoft Sans Serif-BoldItali"/>
          <w:b/>
          <w:bCs/>
          <w:i/>
          <w:iCs/>
          <w:color w:val="121212"/>
          <w:sz w:val="21"/>
          <w:szCs w:val="21"/>
        </w:rPr>
      </w:pPr>
    </w:p>
    <w:p w14:paraId="06954CF7" w14:textId="77777777" w:rsidR="00366FFB" w:rsidRPr="00743CF7" w:rsidRDefault="00366FFB" w:rsidP="00366FFB">
      <w:pPr>
        <w:autoSpaceDE w:val="0"/>
        <w:autoSpaceDN w:val="0"/>
        <w:adjustRightInd w:val="0"/>
        <w:jc w:val="right"/>
        <w:rPr>
          <w:rFonts w:ascii="Abadi" w:hAnsi="Abadi" w:cs="*Microsoft Sans Serif-BoldItali"/>
          <w:b/>
          <w:bCs/>
          <w:i/>
          <w:iCs/>
          <w:color w:val="121212"/>
          <w:sz w:val="21"/>
          <w:szCs w:val="21"/>
        </w:rPr>
      </w:pPr>
      <w:r w:rsidRPr="00743CF7">
        <w:rPr>
          <w:rFonts w:ascii="Abadi" w:hAnsi="Abadi" w:cs="*Microsoft Sans Serif-BoldItali"/>
          <w:b/>
          <w:bCs/>
          <w:i/>
          <w:iCs/>
          <w:color w:val="121212"/>
          <w:sz w:val="21"/>
          <w:szCs w:val="21"/>
        </w:rPr>
        <w:t>Simpliflcacl6n administrativa</w:t>
      </w:r>
    </w:p>
    <w:p w14:paraId="28B642B9" w14:textId="77777777" w:rsidR="00366FFB" w:rsidRPr="00743CF7" w:rsidRDefault="00366FFB" w:rsidP="00366FFB">
      <w:pPr>
        <w:autoSpaceDE w:val="0"/>
        <w:autoSpaceDN w:val="0"/>
        <w:adjustRightInd w:val="0"/>
        <w:jc w:val="both"/>
        <w:rPr>
          <w:rFonts w:ascii="Abadi" w:hAnsi="Abadi" w:cs="*Calibri-11237-Identity-H"/>
          <w:color w:val="292929"/>
          <w:sz w:val="21"/>
          <w:szCs w:val="21"/>
        </w:rPr>
      </w:pPr>
      <w:r w:rsidRPr="00743CF7">
        <w:rPr>
          <w:rFonts w:ascii="Abadi" w:hAnsi="Abadi" w:cs="*Calibri-Bold-11238-Identity-H"/>
          <w:b/>
          <w:bCs/>
          <w:color w:val="292929"/>
          <w:sz w:val="21"/>
          <w:szCs w:val="21"/>
        </w:rPr>
        <w:t xml:space="preserve">Artículo 35. </w:t>
      </w:r>
      <w:r w:rsidRPr="00743CF7">
        <w:rPr>
          <w:rFonts w:ascii="Abadi" w:hAnsi="Abadi" w:cs="*Calibri-11237-Identity-H"/>
          <w:color w:val="292929"/>
          <w:sz w:val="21"/>
          <w:szCs w:val="21"/>
        </w:rPr>
        <w:t>En el proceso de reconocimiento de créditos, calificaciones y estudios realizados en diferentes instituciones de educación superior públicas o privadas, se deberá de promover la simplificación administrativa.</w:t>
      </w:r>
    </w:p>
    <w:p w14:paraId="732A8660" w14:textId="77777777" w:rsidR="00366FFB" w:rsidRPr="00743CF7" w:rsidRDefault="00366FFB" w:rsidP="00366FFB">
      <w:pPr>
        <w:jc w:val="both"/>
        <w:rPr>
          <w:rFonts w:ascii="Abadi" w:hAnsi="Abadi" w:cs="*Calibri-11237-Identity-H"/>
          <w:color w:val="292929"/>
          <w:sz w:val="21"/>
          <w:szCs w:val="21"/>
        </w:rPr>
      </w:pPr>
    </w:p>
    <w:p w14:paraId="4172028B" w14:textId="77777777" w:rsidR="00366FFB" w:rsidRPr="00743CF7" w:rsidRDefault="00366FFB" w:rsidP="00366FFB">
      <w:pPr>
        <w:autoSpaceDE w:val="0"/>
        <w:autoSpaceDN w:val="0"/>
        <w:adjustRightInd w:val="0"/>
        <w:jc w:val="right"/>
        <w:rPr>
          <w:rFonts w:ascii="Abadi" w:hAnsi="Abadi" w:cs="*Calibri-BoldItalic-12274-Ident"/>
          <w:b/>
          <w:bCs/>
          <w:i/>
          <w:iCs/>
          <w:color w:val="121212"/>
          <w:sz w:val="21"/>
          <w:szCs w:val="21"/>
        </w:rPr>
      </w:pPr>
      <w:r w:rsidRPr="00743CF7">
        <w:rPr>
          <w:rFonts w:ascii="Abadi" w:hAnsi="Abadi" w:cs="*Calibri-BoldItalic-12274-Ident"/>
          <w:b/>
          <w:bCs/>
          <w:i/>
          <w:iCs/>
          <w:color w:val="121212"/>
          <w:sz w:val="21"/>
          <w:szCs w:val="21"/>
        </w:rPr>
        <w:t xml:space="preserve">Esquemas de formación </w:t>
      </w:r>
      <w:r w:rsidRPr="00743CF7">
        <w:rPr>
          <w:rFonts w:ascii="Abadi" w:hAnsi="Abadi" w:cs="*Arial-Bold-12277-Identity-H"/>
          <w:b/>
          <w:bCs/>
          <w:color w:val="121212"/>
          <w:sz w:val="21"/>
          <w:szCs w:val="21"/>
        </w:rPr>
        <w:t xml:space="preserve">o </w:t>
      </w:r>
      <w:r w:rsidRPr="00743CF7">
        <w:rPr>
          <w:rFonts w:ascii="Abadi" w:hAnsi="Abadi" w:cs="*Calibri-BoldItalic-12274-Ident"/>
          <w:b/>
          <w:bCs/>
          <w:i/>
          <w:iCs/>
          <w:color w:val="121212"/>
          <w:sz w:val="21"/>
          <w:szCs w:val="21"/>
        </w:rPr>
        <w:t>modelo dual</w:t>
      </w:r>
    </w:p>
    <w:p w14:paraId="4DD8571A" w14:textId="77777777" w:rsidR="00366FFB" w:rsidRPr="00743CF7" w:rsidRDefault="00366FFB" w:rsidP="00366FFB">
      <w:pPr>
        <w:autoSpaceDE w:val="0"/>
        <w:autoSpaceDN w:val="0"/>
        <w:adjustRightInd w:val="0"/>
        <w:jc w:val="both"/>
        <w:rPr>
          <w:rFonts w:ascii="Abadi" w:hAnsi="Abadi" w:cs="*Calibri-12272-Identity-H"/>
          <w:color w:val="292929"/>
          <w:sz w:val="21"/>
          <w:szCs w:val="21"/>
        </w:rPr>
      </w:pPr>
      <w:r w:rsidRPr="00743CF7">
        <w:rPr>
          <w:rFonts w:ascii="Abadi" w:hAnsi="Abadi" w:cs="*Calibri-Bold-12273-Identity-H"/>
          <w:b/>
          <w:bCs/>
          <w:color w:val="292929"/>
          <w:sz w:val="21"/>
          <w:szCs w:val="21"/>
        </w:rPr>
        <w:t xml:space="preserve">Artículo 36. </w:t>
      </w:r>
      <w:r w:rsidRPr="00743CF7">
        <w:rPr>
          <w:rFonts w:ascii="Abadi" w:hAnsi="Abadi" w:cs="*Calibri-12272-Identity-H"/>
          <w:color w:val="292929"/>
          <w:sz w:val="21"/>
          <w:szCs w:val="21"/>
        </w:rPr>
        <w:t xml:space="preserve">Las autoridades educativas, promoverán acuerdos de vinculación entre las instituciones de educación superior con los sectores público. </w:t>
      </w:r>
    </w:p>
    <w:p w14:paraId="7F925AA8" w14:textId="77777777" w:rsidR="00366FFB" w:rsidRPr="00743CF7" w:rsidRDefault="00366FFB" w:rsidP="00366FFB">
      <w:pPr>
        <w:autoSpaceDE w:val="0"/>
        <w:autoSpaceDN w:val="0"/>
        <w:adjustRightInd w:val="0"/>
        <w:jc w:val="both"/>
        <w:rPr>
          <w:rFonts w:ascii="Abadi" w:hAnsi="Abadi" w:cs="*Calibri-12272-Identity-H"/>
          <w:color w:val="292929"/>
          <w:sz w:val="21"/>
          <w:szCs w:val="21"/>
        </w:rPr>
      </w:pPr>
    </w:p>
    <w:p w14:paraId="2CACD38C" w14:textId="77777777" w:rsidR="00366FFB" w:rsidRPr="00743CF7" w:rsidRDefault="00366FFB" w:rsidP="00366FFB">
      <w:pPr>
        <w:autoSpaceDE w:val="0"/>
        <w:autoSpaceDN w:val="0"/>
        <w:adjustRightInd w:val="0"/>
        <w:jc w:val="both"/>
        <w:rPr>
          <w:rFonts w:ascii="Abadi" w:hAnsi="Abadi" w:cs="*Calibri-12272-Identity-H"/>
          <w:color w:val="292929"/>
          <w:sz w:val="21"/>
          <w:szCs w:val="21"/>
        </w:rPr>
      </w:pPr>
      <w:r w:rsidRPr="00743CF7">
        <w:rPr>
          <w:rFonts w:ascii="Abadi" w:hAnsi="Abadi" w:cs="*Calibri-12272-Identity-H"/>
          <w:color w:val="292929"/>
          <w:sz w:val="21"/>
          <w:szCs w:val="21"/>
        </w:rPr>
        <w:t xml:space="preserve">privado </w:t>
      </w:r>
      <w:r w:rsidRPr="00743CF7">
        <w:rPr>
          <w:rFonts w:ascii="Abadi" w:hAnsi="Abadi" w:cs="*Times New Roman-Italic-12269-I"/>
          <w:i/>
          <w:iCs/>
          <w:color w:val="292929"/>
          <w:sz w:val="21"/>
          <w:szCs w:val="21"/>
        </w:rPr>
        <w:t xml:space="preserve">y </w:t>
      </w:r>
      <w:r w:rsidRPr="00743CF7">
        <w:rPr>
          <w:rFonts w:ascii="Abadi" w:hAnsi="Abadi" w:cs="*Calibri-12272-Identity-H"/>
          <w:color w:val="292929"/>
          <w:sz w:val="21"/>
          <w:szCs w:val="21"/>
        </w:rPr>
        <w:t>social para implementar esquemas de formación o modelo dual,</w:t>
      </w:r>
      <w:r>
        <w:rPr>
          <w:rFonts w:ascii="Abadi" w:hAnsi="Abadi" w:cs="*Calibri-12272-Identity-H"/>
          <w:color w:val="292929"/>
          <w:sz w:val="21"/>
          <w:szCs w:val="21"/>
        </w:rPr>
        <w:t xml:space="preserve"> </w:t>
      </w:r>
      <w:r w:rsidRPr="00743CF7">
        <w:rPr>
          <w:rFonts w:ascii="Abadi" w:hAnsi="Abadi" w:cs="*Calibri-12272-Identity-H"/>
          <w:color w:val="292929"/>
          <w:sz w:val="21"/>
          <w:szCs w:val="21"/>
        </w:rPr>
        <w:t>formación continua y certificación de competencias.</w:t>
      </w:r>
    </w:p>
    <w:p w14:paraId="7D3C66B7" w14:textId="77777777" w:rsidR="00366FFB" w:rsidRPr="00743CF7" w:rsidRDefault="00366FFB" w:rsidP="00366FFB">
      <w:pPr>
        <w:autoSpaceDE w:val="0"/>
        <w:autoSpaceDN w:val="0"/>
        <w:adjustRightInd w:val="0"/>
        <w:jc w:val="both"/>
        <w:rPr>
          <w:rFonts w:ascii="Abadi" w:hAnsi="Abadi" w:cs="*Calibri-12272-Identity-H"/>
          <w:color w:val="292929"/>
          <w:sz w:val="21"/>
          <w:szCs w:val="21"/>
        </w:rPr>
      </w:pPr>
    </w:p>
    <w:p w14:paraId="113D77EA" w14:textId="77777777" w:rsidR="00366FFB" w:rsidRPr="00743CF7" w:rsidRDefault="00366FFB" w:rsidP="00366FFB">
      <w:pPr>
        <w:autoSpaceDE w:val="0"/>
        <w:autoSpaceDN w:val="0"/>
        <w:adjustRightInd w:val="0"/>
        <w:jc w:val="right"/>
        <w:rPr>
          <w:rFonts w:ascii="Abadi" w:hAnsi="Abadi" w:cs="*Calibri-Bold-12275-Identity-H"/>
          <w:b/>
          <w:bCs/>
          <w:color w:val="101010"/>
          <w:sz w:val="21"/>
          <w:szCs w:val="21"/>
        </w:rPr>
      </w:pPr>
      <w:r w:rsidRPr="00743CF7">
        <w:rPr>
          <w:rFonts w:ascii="Abadi" w:hAnsi="Abadi" w:cs="*Calibri-BoldItalic-12274-Ident"/>
          <w:b/>
          <w:bCs/>
          <w:i/>
          <w:iCs/>
          <w:color w:val="101010"/>
          <w:sz w:val="21"/>
          <w:szCs w:val="21"/>
        </w:rPr>
        <w:t xml:space="preserve">Aprovechamiento de </w:t>
      </w:r>
      <w:r w:rsidRPr="00743CF7">
        <w:rPr>
          <w:rFonts w:ascii="Abadi" w:hAnsi="Abadi" w:cs="*Calibri-Bold-12275-Identity-H"/>
          <w:b/>
          <w:bCs/>
          <w:color w:val="101010"/>
          <w:sz w:val="21"/>
          <w:szCs w:val="21"/>
        </w:rPr>
        <w:t xml:space="preserve">los </w:t>
      </w:r>
      <w:r w:rsidRPr="00743CF7">
        <w:rPr>
          <w:rFonts w:ascii="Abadi" w:hAnsi="Abadi" w:cs="*Calibri-BoldItalic-12274-Ident"/>
          <w:b/>
          <w:bCs/>
          <w:i/>
          <w:iCs/>
          <w:color w:val="101010"/>
          <w:sz w:val="21"/>
          <w:szCs w:val="21"/>
        </w:rPr>
        <w:t xml:space="preserve">medíos </w:t>
      </w:r>
      <w:r w:rsidRPr="00743CF7">
        <w:rPr>
          <w:rFonts w:ascii="Abadi" w:hAnsi="Abadi" w:cs="*Calibri-Bold-12275-Identity-H"/>
          <w:b/>
          <w:bCs/>
          <w:color w:val="101010"/>
          <w:sz w:val="21"/>
          <w:szCs w:val="21"/>
        </w:rPr>
        <w:t>tecnológicos</w:t>
      </w:r>
    </w:p>
    <w:p w14:paraId="7E2E022D" w14:textId="77777777" w:rsidR="00366FFB" w:rsidRPr="00743CF7" w:rsidRDefault="00366FFB" w:rsidP="00366FFB">
      <w:pPr>
        <w:autoSpaceDE w:val="0"/>
        <w:autoSpaceDN w:val="0"/>
        <w:adjustRightInd w:val="0"/>
        <w:jc w:val="both"/>
        <w:rPr>
          <w:rFonts w:ascii="Abadi" w:hAnsi="Abadi" w:cs="*Calibri-12272-Identity-H"/>
          <w:color w:val="292929"/>
          <w:sz w:val="21"/>
          <w:szCs w:val="21"/>
        </w:rPr>
      </w:pPr>
      <w:r w:rsidRPr="00743CF7">
        <w:rPr>
          <w:rFonts w:ascii="Abadi" w:hAnsi="Abadi" w:cs="*Calibri-Bold-12273-Identity-H"/>
          <w:b/>
          <w:bCs/>
          <w:color w:val="292929"/>
          <w:sz w:val="21"/>
          <w:szCs w:val="21"/>
        </w:rPr>
        <w:t xml:space="preserve">Artículo </w:t>
      </w:r>
      <w:r w:rsidRPr="00A91728">
        <w:rPr>
          <w:rFonts w:ascii="Abadi" w:hAnsi="Abadi" w:cs="*Calibri-12272-Identity-H"/>
          <w:b/>
          <w:bCs/>
          <w:color w:val="292929"/>
          <w:sz w:val="21"/>
          <w:szCs w:val="21"/>
        </w:rPr>
        <w:t>37</w:t>
      </w:r>
      <w:r w:rsidRPr="00743CF7">
        <w:rPr>
          <w:rFonts w:ascii="Abadi" w:hAnsi="Abadi" w:cs="*Calibri-12272-Identity-H"/>
          <w:color w:val="292929"/>
          <w:sz w:val="21"/>
          <w:szCs w:val="21"/>
        </w:rPr>
        <w:t xml:space="preserve">. En los planes </w:t>
      </w:r>
      <w:r w:rsidRPr="00743CF7">
        <w:rPr>
          <w:rFonts w:ascii="Abadi" w:hAnsi="Abadi" w:cs="*Comic Sans MS-12278-Identity-H"/>
          <w:color w:val="292929"/>
          <w:sz w:val="21"/>
          <w:szCs w:val="21"/>
        </w:rPr>
        <w:t xml:space="preserve">y </w:t>
      </w:r>
      <w:r w:rsidRPr="00743CF7">
        <w:rPr>
          <w:rFonts w:ascii="Abadi" w:hAnsi="Abadi" w:cs="*Calibri-12272-Identity-H"/>
          <w:color w:val="292929"/>
          <w:sz w:val="21"/>
          <w:szCs w:val="21"/>
        </w:rPr>
        <w:t>programas de estudio de las instituciones de educación superior, se buscará el aprovechamiento de los medios tecnológicos, propiciando que el personal docente altamente calificado, puedo impartir una asignatura de Manero simultánea a los estudiantes de las diversas instituciones educativas que lo integran, a fin de lograr una mayor calidad en la educación.</w:t>
      </w:r>
    </w:p>
    <w:p w14:paraId="46168510" w14:textId="77777777" w:rsidR="00366FFB" w:rsidRPr="00743CF7" w:rsidRDefault="00366FFB" w:rsidP="00366FFB">
      <w:pPr>
        <w:autoSpaceDE w:val="0"/>
        <w:autoSpaceDN w:val="0"/>
        <w:adjustRightInd w:val="0"/>
        <w:jc w:val="both"/>
        <w:rPr>
          <w:rFonts w:ascii="Abadi" w:hAnsi="Abadi" w:cs="*Calibri-12272-Identity-H"/>
          <w:color w:val="292929"/>
          <w:sz w:val="21"/>
          <w:szCs w:val="21"/>
        </w:rPr>
      </w:pPr>
    </w:p>
    <w:p w14:paraId="68FB9572" w14:textId="77777777" w:rsidR="00366FFB" w:rsidRPr="00743CF7" w:rsidRDefault="00366FFB" w:rsidP="00366FFB">
      <w:pPr>
        <w:autoSpaceDE w:val="0"/>
        <w:autoSpaceDN w:val="0"/>
        <w:adjustRightInd w:val="0"/>
        <w:jc w:val="right"/>
        <w:rPr>
          <w:rFonts w:ascii="Abadi" w:hAnsi="Abadi" w:cs="*Calibri-BoldItalic-12274-Ident"/>
          <w:b/>
          <w:bCs/>
          <w:i/>
          <w:iCs/>
          <w:color w:val="121212"/>
          <w:sz w:val="21"/>
          <w:szCs w:val="21"/>
        </w:rPr>
      </w:pPr>
      <w:r w:rsidRPr="00743CF7">
        <w:rPr>
          <w:rFonts w:ascii="Abadi" w:hAnsi="Abadi" w:cs="*Calibri-BoldItalic-12274-Ident"/>
          <w:b/>
          <w:bCs/>
          <w:i/>
          <w:iCs/>
          <w:color w:val="121212"/>
          <w:sz w:val="21"/>
          <w:szCs w:val="21"/>
        </w:rPr>
        <w:t>Certificación de conocimientos</w:t>
      </w:r>
    </w:p>
    <w:p w14:paraId="16A12011" w14:textId="77777777" w:rsidR="00366FFB" w:rsidRPr="00743CF7" w:rsidRDefault="00366FFB" w:rsidP="00366FFB">
      <w:pPr>
        <w:autoSpaceDE w:val="0"/>
        <w:autoSpaceDN w:val="0"/>
        <w:adjustRightInd w:val="0"/>
        <w:jc w:val="both"/>
        <w:rPr>
          <w:rFonts w:ascii="Abadi" w:hAnsi="Abadi" w:cs="*Calibri-12272-Identity-H"/>
          <w:color w:val="292929"/>
          <w:sz w:val="21"/>
          <w:szCs w:val="21"/>
        </w:rPr>
      </w:pPr>
      <w:r w:rsidRPr="00743CF7">
        <w:rPr>
          <w:rFonts w:ascii="Abadi" w:hAnsi="Abadi" w:cs="*Calibri-Bold-12273-Identity-H"/>
          <w:b/>
          <w:bCs/>
          <w:color w:val="292929"/>
          <w:sz w:val="21"/>
          <w:szCs w:val="21"/>
        </w:rPr>
        <w:t xml:space="preserve">Artículo </w:t>
      </w:r>
      <w:r w:rsidRPr="00743CF7">
        <w:rPr>
          <w:rFonts w:ascii="Abadi" w:hAnsi="Abadi" w:cs="*Arial-Bold-12276-Identity-H"/>
          <w:b/>
          <w:bCs/>
          <w:color w:val="292929"/>
          <w:sz w:val="21"/>
          <w:szCs w:val="21"/>
        </w:rPr>
        <w:t xml:space="preserve">38. </w:t>
      </w:r>
      <w:r w:rsidRPr="00743CF7">
        <w:rPr>
          <w:rFonts w:ascii="Abadi" w:hAnsi="Abadi" w:cs="*Calibri-12272-Identity-H"/>
          <w:color w:val="292929"/>
          <w:sz w:val="21"/>
          <w:szCs w:val="21"/>
        </w:rPr>
        <w:t>La Secretaría podrá expedir constancias, certificados. Diplomas o títulos a quienes acrediten los conocimientos parciales respectivos a educación superior, adquiridos en forma autodidacta, de educación no formal e informal, de la experiencia laboral o a través de otros procesos educativos, para lo cual deberá</w:t>
      </w:r>
      <w:r>
        <w:rPr>
          <w:rFonts w:ascii="Abadi" w:hAnsi="Abadi" w:cs="*Calibri-12272-Identity-H"/>
          <w:color w:val="292929"/>
          <w:sz w:val="21"/>
          <w:szCs w:val="21"/>
        </w:rPr>
        <w:t xml:space="preserve"> </w:t>
      </w:r>
      <w:r w:rsidRPr="00743CF7">
        <w:rPr>
          <w:rFonts w:ascii="Abadi" w:hAnsi="Abadi" w:cs="*Calibri-12272-Identity-H"/>
          <w:color w:val="292929"/>
          <w:sz w:val="21"/>
          <w:szCs w:val="21"/>
        </w:rPr>
        <w:t>sujetarse a las disposiciones normativas aplicables.</w:t>
      </w:r>
    </w:p>
    <w:p w14:paraId="3E57E3FF" w14:textId="77777777" w:rsidR="00366FFB" w:rsidRPr="00743CF7" w:rsidRDefault="00366FFB" w:rsidP="00366FFB">
      <w:pPr>
        <w:autoSpaceDE w:val="0"/>
        <w:autoSpaceDN w:val="0"/>
        <w:adjustRightInd w:val="0"/>
        <w:jc w:val="both"/>
        <w:rPr>
          <w:rFonts w:ascii="Abadi" w:hAnsi="Abadi" w:cs="*Calibri-12272-Identity-H"/>
          <w:color w:val="292929"/>
          <w:sz w:val="21"/>
          <w:szCs w:val="21"/>
        </w:rPr>
      </w:pPr>
    </w:p>
    <w:p w14:paraId="4CD293D7" w14:textId="77777777" w:rsidR="00366FFB" w:rsidRPr="00743CF7" w:rsidRDefault="00366FFB" w:rsidP="00366FFB">
      <w:pPr>
        <w:autoSpaceDE w:val="0"/>
        <w:autoSpaceDN w:val="0"/>
        <w:adjustRightInd w:val="0"/>
        <w:jc w:val="both"/>
        <w:rPr>
          <w:rFonts w:ascii="Abadi" w:hAnsi="Abadi" w:cs="*Calibri-12272-Identity-H"/>
          <w:color w:val="292929"/>
          <w:sz w:val="21"/>
          <w:szCs w:val="21"/>
        </w:rPr>
      </w:pPr>
      <w:r w:rsidRPr="00743CF7">
        <w:rPr>
          <w:rFonts w:ascii="Abadi" w:hAnsi="Abadi" w:cs="*Calibri-12272-Identity-H"/>
          <w:color w:val="292929"/>
          <w:sz w:val="21"/>
          <w:szCs w:val="21"/>
        </w:rPr>
        <w:t>Las evaluaciones que sean necesarias para lo dispuesto en este artículo serán realizadas directamente por la Secretaría o por las Instancias de las cuales ésta se apoye o convengan.</w:t>
      </w:r>
    </w:p>
    <w:p w14:paraId="457E6FA7" w14:textId="77777777" w:rsidR="00366FFB" w:rsidRPr="00743CF7" w:rsidRDefault="00366FFB" w:rsidP="00366FFB">
      <w:pPr>
        <w:autoSpaceDE w:val="0"/>
        <w:autoSpaceDN w:val="0"/>
        <w:adjustRightInd w:val="0"/>
        <w:jc w:val="both"/>
        <w:rPr>
          <w:rFonts w:ascii="Abadi" w:hAnsi="Abadi" w:cs="*Calibri-BoldItalic-12274-Ident"/>
          <w:b/>
          <w:bCs/>
          <w:i/>
          <w:iCs/>
          <w:color w:val="0E0E0E"/>
          <w:sz w:val="21"/>
          <w:szCs w:val="21"/>
        </w:rPr>
      </w:pPr>
    </w:p>
    <w:p w14:paraId="1E8E3DA0" w14:textId="77777777" w:rsidR="00366FFB" w:rsidRPr="00743CF7" w:rsidRDefault="00366FFB" w:rsidP="00366FFB">
      <w:pPr>
        <w:autoSpaceDE w:val="0"/>
        <w:autoSpaceDN w:val="0"/>
        <w:adjustRightInd w:val="0"/>
        <w:jc w:val="center"/>
        <w:rPr>
          <w:rFonts w:ascii="Abadi" w:hAnsi="Abadi" w:cs="*Calibri-BoldItalic-12274-Ident"/>
          <w:b/>
          <w:bCs/>
          <w:i/>
          <w:iCs/>
          <w:color w:val="0E0E0E"/>
          <w:sz w:val="21"/>
          <w:szCs w:val="21"/>
        </w:rPr>
      </w:pPr>
      <w:r w:rsidRPr="00743CF7">
        <w:rPr>
          <w:rFonts w:ascii="Abadi" w:hAnsi="Abadi" w:cs="*Calibri-BoldItalic-12274-Ident"/>
          <w:b/>
          <w:bCs/>
          <w:i/>
          <w:iCs/>
          <w:color w:val="0E0E0E"/>
          <w:sz w:val="21"/>
          <w:szCs w:val="21"/>
        </w:rPr>
        <w:t>Título Profesional</w:t>
      </w:r>
    </w:p>
    <w:p w14:paraId="51DEE270" w14:textId="77777777" w:rsidR="00366FFB" w:rsidRPr="00743CF7" w:rsidRDefault="00366FFB" w:rsidP="00366FFB">
      <w:pPr>
        <w:autoSpaceDE w:val="0"/>
        <w:autoSpaceDN w:val="0"/>
        <w:adjustRightInd w:val="0"/>
        <w:jc w:val="both"/>
        <w:rPr>
          <w:rFonts w:ascii="Abadi" w:hAnsi="Abadi" w:cs="*Calibri-Bold-12273-Identity-H"/>
          <w:b/>
          <w:bCs/>
          <w:color w:val="282828"/>
          <w:sz w:val="21"/>
          <w:szCs w:val="21"/>
        </w:rPr>
      </w:pPr>
    </w:p>
    <w:p w14:paraId="6EA1CF2E" w14:textId="61ECC391" w:rsidR="00366FFB" w:rsidRPr="00743CF7" w:rsidRDefault="00366FFB" w:rsidP="00366FFB">
      <w:pPr>
        <w:autoSpaceDE w:val="0"/>
        <w:autoSpaceDN w:val="0"/>
        <w:adjustRightInd w:val="0"/>
        <w:ind w:firstLine="708"/>
        <w:jc w:val="both"/>
        <w:rPr>
          <w:rFonts w:ascii="Abadi" w:hAnsi="Abadi" w:cs="*Calibri-11779-Identity-H"/>
          <w:color w:val="282828"/>
          <w:sz w:val="21"/>
          <w:szCs w:val="21"/>
        </w:rPr>
      </w:pPr>
      <w:r w:rsidRPr="00743CF7">
        <w:rPr>
          <w:rFonts w:ascii="Abadi" w:hAnsi="Abadi" w:cs="*Calibri-Bold-12273-Identity-H"/>
          <w:b/>
          <w:bCs/>
          <w:color w:val="282828"/>
          <w:sz w:val="21"/>
          <w:szCs w:val="21"/>
        </w:rPr>
        <w:t xml:space="preserve">Artículo 39. </w:t>
      </w:r>
      <w:r w:rsidR="00A91728" w:rsidRPr="00743CF7">
        <w:rPr>
          <w:rFonts w:ascii="Abadi" w:hAnsi="Abadi" w:cs="*Calibri-12272-Identity-H"/>
          <w:color w:val="282828"/>
          <w:sz w:val="21"/>
          <w:szCs w:val="21"/>
        </w:rPr>
        <w:t>Las instituciones</w:t>
      </w:r>
      <w:r w:rsidRPr="00743CF7">
        <w:rPr>
          <w:rFonts w:ascii="Abadi" w:hAnsi="Abadi" w:cs="*Calibri-12272-Identity-H"/>
          <w:color w:val="282828"/>
          <w:sz w:val="21"/>
          <w:szCs w:val="21"/>
        </w:rPr>
        <w:t xml:space="preserve"> de educación superior podrán otorgar título profesional, diploma o grado académico a la persona que hayo concluido estudios de tipo superior </w:t>
      </w:r>
      <w:r w:rsidRPr="00743CF7">
        <w:rPr>
          <w:rFonts w:ascii="Abadi" w:hAnsi="Abadi" w:cs="*Times New Roman-Italic-12269-I"/>
          <w:i/>
          <w:iCs/>
          <w:color w:val="282828"/>
          <w:sz w:val="21"/>
          <w:szCs w:val="21"/>
        </w:rPr>
        <w:t xml:space="preserve">y </w:t>
      </w:r>
      <w:r w:rsidRPr="00743CF7">
        <w:rPr>
          <w:rFonts w:ascii="Abadi" w:hAnsi="Abadi" w:cs="*Calibri-12272-Identity-H"/>
          <w:color w:val="282828"/>
          <w:sz w:val="21"/>
          <w:szCs w:val="21"/>
        </w:rPr>
        <w:t xml:space="preserve">cumplido los requisitos académicos establecidos en los planes de estudio y ordenamientos aplicables, </w:t>
      </w:r>
      <w:r w:rsidRPr="00743CF7">
        <w:rPr>
          <w:rFonts w:ascii="Abadi" w:hAnsi="Abadi" w:cs="*Calibri-11779-Identity-H"/>
          <w:color w:val="282828"/>
          <w:sz w:val="21"/>
          <w:szCs w:val="21"/>
        </w:rPr>
        <w:t>Para este propósito, las institucionales de educación superior determinarán los requisitos y modalidades en que sus egresados podrán obtener el título profesional, diploma o grado académico correspondiente.</w:t>
      </w:r>
    </w:p>
    <w:p w14:paraId="50961883" w14:textId="77777777" w:rsidR="00366FFB" w:rsidRPr="00743CF7" w:rsidRDefault="00366FFB" w:rsidP="00366FFB">
      <w:pPr>
        <w:autoSpaceDE w:val="0"/>
        <w:autoSpaceDN w:val="0"/>
        <w:adjustRightInd w:val="0"/>
        <w:jc w:val="both"/>
        <w:rPr>
          <w:rFonts w:ascii="Abadi" w:hAnsi="Abadi" w:cs="*Calibri-11779-Identity-H"/>
          <w:color w:val="282828"/>
          <w:sz w:val="21"/>
          <w:szCs w:val="21"/>
        </w:rPr>
      </w:pPr>
    </w:p>
    <w:p w14:paraId="29373CB9" w14:textId="77777777" w:rsidR="00366FFB" w:rsidRPr="00743CF7" w:rsidRDefault="00366FFB" w:rsidP="00366FFB">
      <w:pPr>
        <w:autoSpaceDE w:val="0"/>
        <w:autoSpaceDN w:val="0"/>
        <w:adjustRightInd w:val="0"/>
        <w:ind w:firstLine="708"/>
        <w:jc w:val="both"/>
        <w:rPr>
          <w:rFonts w:ascii="Abadi" w:hAnsi="Abadi" w:cs="*Calibri-11779-Identity-H"/>
          <w:color w:val="282828"/>
          <w:sz w:val="21"/>
          <w:szCs w:val="21"/>
        </w:rPr>
      </w:pPr>
      <w:r w:rsidRPr="00743CF7">
        <w:rPr>
          <w:rFonts w:ascii="Abadi" w:hAnsi="Abadi" w:cs="*Calibri-11779-Identity-H"/>
          <w:color w:val="282828"/>
          <w:sz w:val="21"/>
          <w:szCs w:val="21"/>
        </w:rPr>
        <w:t>Los certificados, diplomas, títulos profesionales y grados académicos que expidan los particulares respecto de estudios autorizados o reconocidos requerirán de autenticación por parte de la autoridad o institución pública que haya concedido la autorización o el reconocimiento de validez oficial de estudios. Para tal efecto, podrán utilizar medios digitales y procesos electrónicos. Todos los certificados, diplomas, títulos profesionales y grados académicos señalados en este artículo tendrán validez en todo el territorio nacional. en términos de la Ley General de Educación Superior.</w:t>
      </w:r>
    </w:p>
    <w:p w14:paraId="47214499" w14:textId="77777777" w:rsidR="00366FFB" w:rsidRPr="00743CF7" w:rsidRDefault="00366FFB" w:rsidP="00366FFB">
      <w:pPr>
        <w:autoSpaceDE w:val="0"/>
        <w:autoSpaceDN w:val="0"/>
        <w:adjustRightInd w:val="0"/>
        <w:jc w:val="both"/>
        <w:rPr>
          <w:rFonts w:ascii="Abadi" w:hAnsi="Abadi" w:cs="*Tahoma-BoldItalic-11781-Identi"/>
          <w:b/>
          <w:bCs/>
          <w:i/>
          <w:iCs/>
          <w:color w:val="0E0E0E"/>
          <w:sz w:val="21"/>
          <w:szCs w:val="21"/>
        </w:rPr>
      </w:pPr>
    </w:p>
    <w:p w14:paraId="62516EAE" w14:textId="77777777" w:rsidR="00366FFB" w:rsidRPr="00743CF7" w:rsidRDefault="00366FFB" w:rsidP="00366FFB">
      <w:pPr>
        <w:autoSpaceDE w:val="0"/>
        <w:autoSpaceDN w:val="0"/>
        <w:adjustRightInd w:val="0"/>
        <w:jc w:val="right"/>
        <w:rPr>
          <w:rFonts w:ascii="Abadi" w:hAnsi="Abadi" w:cs="*Tahoma-BoldItalic-11781-Identi"/>
          <w:b/>
          <w:bCs/>
          <w:i/>
          <w:iCs/>
          <w:color w:val="0E0E0E"/>
          <w:sz w:val="21"/>
          <w:szCs w:val="21"/>
        </w:rPr>
      </w:pPr>
      <w:r w:rsidRPr="00743CF7">
        <w:rPr>
          <w:rFonts w:ascii="Abadi" w:hAnsi="Abadi" w:cs="*Tahoma-BoldItalic-11781-Identi"/>
          <w:b/>
          <w:bCs/>
          <w:i/>
          <w:iCs/>
          <w:color w:val="0E0E0E"/>
          <w:sz w:val="21"/>
          <w:szCs w:val="21"/>
        </w:rPr>
        <w:t>Estrategias de impulso a la titulación</w:t>
      </w:r>
    </w:p>
    <w:p w14:paraId="691005E4" w14:textId="77777777" w:rsidR="00366FFB" w:rsidRPr="00743CF7" w:rsidRDefault="00366FFB" w:rsidP="00366FFB">
      <w:pPr>
        <w:autoSpaceDE w:val="0"/>
        <w:autoSpaceDN w:val="0"/>
        <w:adjustRightInd w:val="0"/>
        <w:ind w:firstLine="708"/>
        <w:jc w:val="both"/>
        <w:rPr>
          <w:rFonts w:ascii="Abadi" w:hAnsi="Abadi" w:cs="*Calibri-11779-Identity-H"/>
          <w:color w:val="262626"/>
          <w:sz w:val="21"/>
          <w:szCs w:val="21"/>
        </w:rPr>
      </w:pPr>
      <w:r w:rsidRPr="00743CF7">
        <w:rPr>
          <w:rFonts w:ascii="Abadi" w:hAnsi="Abadi" w:cs="*Calibri-Bold-11780-Identity-H"/>
          <w:b/>
          <w:bCs/>
          <w:color w:val="262626"/>
          <w:sz w:val="21"/>
          <w:szCs w:val="21"/>
        </w:rPr>
        <w:t xml:space="preserve">Artículo 40. </w:t>
      </w:r>
      <w:r w:rsidRPr="00743CF7">
        <w:rPr>
          <w:rFonts w:ascii="Abadi" w:hAnsi="Abadi" w:cs="*Calibri-11779-Identity-H"/>
          <w:color w:val="262626"/>
          <w:sz w:val="21"/>
          <w:szCs w:val="21"/>
        </w:rPr>
        <w:t>Las autoridades educativas, en el ámbito de su competencia, promoverán estrategias para impulsar para la titulación de las personas en los programas a su cargo y que hayan cumplido con los requisitos académicos y administrativos establecidos por las instituciones de educación superior.</w:t>
      </w:r>
    </w:p>
    <w:p w14:paraId="26BEDF43" w14:textId="77777777" w:rsidR="00366FFB" w:rsidRDefault="00366FFB" w:rsidP="00366FFB">
      <w:pPr>
        <w:autoSpaceDE w:val="0"/>
        <w:autoSpaceDN w:val="0"/>
        <w:adjustRightInd w:val="0"/>
        <w:jc w:val="both"/>
        <w:rPr>
          <w:rFonts w:ascii="Abadi" w:hAnsi="Abadi" w:cs="*Tahoma-BoldItalic-11781-Identi"/>
          <w:b/>
          <w:bCs/>
          <w:i/>
          <w:iCs/>
          <w:color w:val="101010"/>
          <w:sz w:val="21"/>
          <w:szCs w:val="21"/>
        </w:rPr>
      </w:pPr>
    </w:p>
    <w:p w14:paraId="0387C23E" w14:textId="77777777" w:rsidR="00366FFB" w:rsidRPr="00743CF7" w:rsidRDefault="00366FFB" w:rsidP="00366FFB">
      <w:pPr>
        <w:autoSpaceDE w:val="0"/>
        <w:autoSpaceDN w:val="0"/>
        <w:adjustRightInd w:val="0"/>
        <w:jc w:val="right"/>
        <w:rPr>
          <w:rFonts w:ascii="Abadi" w:hAnsi="Abadi" w:cs="*Tahoma-BoldItalic-11781-Identi"/>
          <w:b/>
          <w:bCs/>
          <w:i/>
          <w:iCs/>
          <w:color w:val="101010"/>
          <w:sz w:val="21"/>
          <w:szCs w:val="21"/>
        </w:rPr>
      </w:pPr>
      <w:r w:rsidRPr="00743CF7">
        <w:rPr>
          <w:rFonts w:ascii="Abadi" w:hAnsi="Abadi" w:cs="*Tahoma-BoldItalic-11781-Identi"/>
          <w:b/>
          <w:bCs/>
          <w:i/>
          <w:iCs/>
          <w:color w:val="101010"/>
          <w:sz w:val="21"/>
          <w:szCs w:val="21"/>
        </w:rPr>
        <w:t>Obligatoriedad del servicio social</w:t>
      </w:r>
    </w:p>
    <w:p w14:paraId="0A338125" w14:textId="77777777" w:rsidR="00366FFB" w:rsidRPr="00743CF7" w:rsidRDefault="00366FFB" w:rsidP="00366FFB">
      <w:pPr>
        <w:autoSpaceDE w:val="0"/>
        <w:autoSpaceDN w:val="0"/>
        <w:adjustRightInd w:val="0"/>
        <w:ind w:firstLine="708"/>
        <w:jc w:val="both"/>
        <w:rPr>
          <w:rFonts w:ascii="Abadi" w:hAnsi="Abadi" w:cs="*Calibri-11779-Identity-H"/>
          <w:color w:val="282828"/>
          <w:sz w:val="21"/>
          <w:szCs w:val="21"/>
        </w:rPr>
      </w:pPr>
      <w:r w:rsidRPr="00743CF7">
        <w:rPr>
          <w:rFonts w:ascii="Abadi" w:hAnsi="Abadi" w:cs="*Calibri-Bold-11780-Identity-H"/>
          <w:b/>
          <w:bCs/>
          <w:color w:val="282828"/>
          <w:sz w:val="21"/>
          <w:szCs w:val="21"/>
        </w:rPr>
        <w:t xml:space="preserve">Artículo 41. </w:t>
      </w:r>
      <w:r w:rsidRPr="00743CF7">
        <w:rPr>
          <w:rFonts w:ascii="Abadi" w:hAnsi="Abadi" w:cs="*Calibri-11779-Identity-H"/>
          <w:color w:val="282828"/>
          <w:sz w:val="21"/>
          <w:szCs w:val="21"/>
        </w:rPr>
        <w:t>A efecto de obtener el título profesional correspondiente al nivel de licenciatura, será obligatoria la prestación del servicio social, para lo cual las instituciones de educación superior deberán sujetarse a las disposiciones constitucionales y legales en la materia.</w:t>
      </w:r>
    </w:p>
    <w:p w14:paraId="74EE19E4" w14:textId="77777777" w:rsidR="00366FFB" w:rsidRPr="00743CF7" w:rsidRDefault="00366FFB" w:rsidP="00366FFB">
      <w:pPr>
        <w:autoSpaceDE w:val="0"/>
        <w:autoSpaceDN w:val="0"/>
        <w:adjustRightInd w:val="0"/>
        <w:jc w:val="both"/>
        <w:rPr>
          <w:rFonts w:ascii="Abadi" w:hAnsi="Abadi" w:cs="*Calibri-11779-Identity-H"/>
          <w:color w:val="282828"/>
          <w:sz w:val="21"/>
          <w:szCs w:val="21"/>
        </w:rPr>
      </w:pPr>
    </w:p>
    <w:p w14:paraId="6D643B88" w14:textId="77777777" w:rsidR="00366FFB" w:rsidRPr="00743CF7" w:rsidRDefault="00366FFB" w:rsidP="00366FFB">
      <w:pPr>
        <w:autoSpaceDE w:val="0"/>
        <w:autoSpaceDN w:val="0"/>
        <w:adjustRightInd w:val="0"/>
        <w:ind w:firstLine="708"/>
        <w:jc w:val="both"/>
        <w:rPr>
          <w:rFonts w:ascii="Abadi" w:hAnsi="Abadi" w:cs="*Microsoft Sans Serif-11936-Ide"/>
          <w:color w:val="2B2B2B"/>
          <w:sz w:val="21"/>
          <w:szCs w:val="21"/>
        </w:rPr>
      </w:pPr>
      <w:r w:rsidRPr="00743CF7">
        <w:rPr>
          <w:rFonts w:ascii="Abadi" w:hAnsi="Abadi" w:cs="*Calibri-11779-Identity-H"/>
          <w:color w:val="2E2E2E"/>
          <w:sz w:val="21"/>
          <w:szCs w:val="21"/>
        </w:rPr>
        <w:t>La Secretaría promoverá con las instituciones de educación superior que, como una o</w:t>
      </w:r>
      <w:r w:rsidRPr="00743CF7">
        <w:rPr>
          <w:rFonts w:ascii="Abadi" w:hAnsi="Abadi" w:cs="*Calibri-11779-Identity-H"/>
          <w:color w:val="1B1B1B"/>
          <w:sz w:val="21"/>
          <w:szCs w:val="21"/>
        </w:rPr>
        <w:t>p</w:t>
      </w:r>
      <w:r w:rsidRPr="00743CF7">
        <w:rPr>
          <w:rFonts w:ascii="Abadi" w:hAnsi="Abadi" w:cs="*Calibri-11779-Identity-H"/>
          <w:color w:val="2E2E2E"/>
          <w:sz w:val="21"/>
          <w:szCs w:val="21"/>
        </w:rPr>
        <w:t>ció</w:t>
      </w:r>
      <w:r w:rsidRPr="00743CF7">
        <w:rPr>
          <w:rFonts w:ascii="Abadi" w:hAnsi="Abadi" w:cs="*Calibri-11779-Identity-H"/>
          <w:color w:val="1B1B1B"/>
          <w:sz w:val="21"/>
          <w:szCs w:val="21"/>
        </w:rPr>
        <w:t xml:space="preserve">n </w:t>
      </w:r>
      <w:r w:rsidRPr="00743CF7">
        <w:rPr>
          <w:rFonts w:ascii="Abadi" w:hAnsi="Abadi" w:cs="*Calibri-11779-Identity-H"/>
          <w:color w:val="2E2E2E"/>
          <w:sz w:val="21"/>
          <w:szCs w:val="21"/>
        </w:rPr>
        <w:t xml:space="preserve">del servicio social, se realice el reforzamiento del conocimiento, a través de tutorías a estudiantes en los tipos educativos básico y medio superior en </w:t>
      </w:r>
      <w:r w:rsidRPr="00743CF7">
        <w:rPr>
          <w:rFonts w:ascii="Abadi" w:hAnsi="Abadi" w:cs="*Microsoft Sans Serif-11936-Ide"/>
          <w:color w:val="2B2B2B"/>
          <w:sz w:val="21"/>
          <w:szCs w:val="21"/>
        </w:rPr>
        <w:t>las áreas de matemáticas, lenguaje, comunicación y se proporcione acompañamiento en servicios de psicología, trabajo social, orientación educativa</w:t>
      </w:r>
      <w:r>
        <w:rPr>
          <w:rFonts w:ascii="Abadi" w:hAnsi="Abadi" w:cs="*Microsoft Sans Serif-11936-Ide"/>
          <w:color w:val="2B2B2B"/>
          <w:sz w:val="21"/>
          <w:szCs w:val="21"/>
        </w:rPr>
        <w:t xml:space="preserve">, </w:t>
      </w:r>
      <w:r w:rsidRPr="00743CF7">
        <w:rPr>
          <w:rFonts w:ascii="Abadi" w:hAnsi="Abadi" w:cs="*Microsoft Sans Serif-11936-Ide"/>
          <w:color w:val="2B2B2B"/>
          <w:sz w:val="21"/>
          <w:szCs w:val="21"/>
        </w:rPr>
        <w:t>proyectos de emprendedurí</w:t>
      </w:r>
      <w:r>
        <w:rPr>
          <w:rFonts w:ascii="Abadi" w:hAnsi="Abadi" w:cs="*Microsoft Sans Serif-11936-Ide"/>
          <w:color w:val="2B2B2B"/>
          <w:sz w:val="21"/>
          <w:szCs w:val="21"/>
        </w:rPr>
        <w:t>a</w:t>
      </w:r>
      <w:r w:rsidRPr="00743CF7">
        <w:rPr>
          <w:rFonts w:ascii="Abadi" w:hAnsi="Abadi" w:cs="*Microsoft Sans Serif-11936-Ide"/>
          <w:color w:val="2B2B2B"/>
          <w:sz w:val="21"/>
          <w:szCs w:val="21"/>
        </w:rPr>
        <w:t xml:space="preserve"> social entre otros, para contribuir a su máximo aprendizaje, desarrollo integral y equidad en educación.</w:t>
      </w:r>
    </w:p>
    <w:p w14:paraId="394CCC6A" w14:textId="77777777" w:rsidR="00366FFB" w:rsidRPr="00743CF7" w:rsidRDefault="00366FFB" w:rsidP="00366FFB">
      <w:pPr>
        <w:autoSpaceDE w:val="0"/>
        <w:autoSpaceDN w:val="0"/>
        <w:adjustRightInd w:val="0"/>
        <w:jc w:val="both"/>
        <w:rPr>
          <w:rFonts w:ascii="Abadi" w:hAnsi="Abadi" w:cs="*Microsoft Sans Serif-11936-Ide"/>
          <w:color w:val="2B2B2B"/>
          <w:sz w:val="21"/>
          <w:szCs w:val="21"/>
        </w:rPr>
      </w:pPr>
    </w:p>
    <w:p w14:paraId="524AC9A9" w14:textId="77777777" w:rsidR="00366FFB" w:rsidRPr="00743CF7" w:rsidRDefault="00366FFB" w:rsidP="00366FFB">
      <w:pPr>
        <w:autoSpaceDE w:val="0"/>
        <w:autoSpaceDN w:val="0"/>
        <w:adjustRightInd w:val="0"/>
        <w:jc w:val="both"/>
        <w:rPr>
          <w:rFonts w:ascii="Abadi" w:hAnsi="Abadi" w:cs="*Microsoft Sans Serif-11936-Ide"/>
          <w:color w:val="2C2C2C"/>
          <w:sz w:val="21"/>
          <w:szCs w:val="21"/>
        </w:rPr>
      </w:pPr>
      <w:r w:rsidRPr="00743CF7">
        <w:rPr>
          <w:rFonts w:ascii="Abadi" w:hAnsi="Abadi" w:cs="*Microsoft Sans Serif-11936-Ide"/>
          <w:color w:val="2C2C2C"/>
          <w:sz w:val="21"/>
          <w:szCs w:val="21"/>
        </w:rPr>
        <w:t>Las autoridades educativas, en coordinación con las instituciones de educación superior. promoverán que el servicio social sea reconocido como parte de su experiencia para el desempeño de sus labores profesionales. para la cual, La Secretaría emitirá los lineamientos respectivos.</w:t>
      </w:r>
    </w:p>
    <w:p w14:paraId="1A27395B" w14:textId="77777777" w:rsidR="00366FFB" w:rsidRPr="00743CF7" w:rsidRDefault="00366FFB" w:rsidP="00366FFB">
      <w:pPr>
        <w:autoSpaceDE w:val="0"/>
        <w:autoSpaceDN w:val="0"/>
        <w:adjustRightInd w:val="0"/>
        <w:jc w:val="both"/>
        <w:rPr>
          <w:rFonts w:ascii="Abadi" w:hAnsi="Abadi" w:cs="*Microsoft Sans Serif-11936-Ide"/>
          <w:color w:val="2C2C2C"/>
          <w:sz w:val="21"/>
          <w:szCs w:val="21"/>
        </w:rPr>
      </w:pPr>
    </w:p>
    <w:p w14:paraId="6DD00D2E" w14:textId="77777777" w:rsidR="00366FFB" w:rsidRPr="00743CF7" w:rsidRDefault="00366FFB" w:rsidP="00366FFB">
      <w:pPr>
        <w:autoSpaceDE w:val="0"/>
        <w:autoSpaceDN w:val="0"/>
        <w:adjustRightInd w:val="0"/>
        <w:jc w:val="right"/>
        <w:rPr>
          <w:rFonts w:ascii="Abadi" w:hAnsi="Abadi" w:cs="*Comic Sans MS-BoldItalic-11935"/>
          <w:b/>
          <w:bCs/>
          <w:i/>
          <w:iCs/>
          <w:color w:val="101010"/>
          <w:sz w:val="21"/>
          <w:szCs w:val="21"/>
        </w:rPr>
      </w:pPr>
      <w:r w:rsidRPr="00743CF7">
        <w:rPr>
          <w:rFonts w:ascii="Abadi" w:hAnsi="Abadi" w:cs="*Comic Sans MS-BoldItalic-11935"/>
          <w:b/>
          <w:bCs/>
          <w:i/>
          <w:iCs/>
          <w:color w:val="101010"/>
          <w:sz w:val="21"/>
          <w:szCs w:val="21"/>
        </w:rPr>
        <w:t xml:space="preserve">Equivalencias </w:t>
      </w:r>
      <w:r w:rsidRPr="00743CF7">
        <w:rPr>
          <w:rFonts w:ascii="Abadi" w:hAnsi="Abadi" w:cs="*Times New Roman-Bold-11930-Ide"/>
          <w:b/>
          <w:bCs/>
          <w:color w:val="101010"/>
          <w:sz w:val="21"/>
          <w:szCs w:val="21"/>
        </w:rPr>
        <w:t xml:space="preserve">y </w:t>
      </w:r>
      <w:r w:rsidRPr="00743CF7">
        <w:rPr>
          <w:rFonts w:ascii="Abadi" w:hAnsi="Abadi" w:cs="*Comic Sans MS-BoldItalic-11935"/>
          <w:b/>
          <w:bCs/>
          <w:i/>
          <w:iCs/>
          <w:color w:val="101010"/>
          <w:sz w:val="21"/>
          <w:szCs w:val="21"/>
        </w:rPr>
        <w:t>Revalidaciones</w:t>
      </w:r>
    </w:p>
    <w:p w14:paraId="61969598" w14:textId="77777777" w:rsidR="00366FFB" w:rsidRPr="00743CF7" w:rsidRDefault="00366FFB" w:rsidP="00366FFB">
      <w:pPr>
        <w:autoSpaceDE w:val="0"/>
        <w:autoSpaceDN w:val="0"/>
        <w:adjustRightInd w:val="0"/>
        <w:jc w:val="both"/>
        <w:rPr>
          <w:rFonts w:ascii="Abadi" w:hAnsi="Abadi" w:cs="*Microsoft Sans Serif-11936-Ide"/>
          <w:color w:val="282828"/>
          <w:sz w:val="21"/>
          <w:szCs w:val="21"/>
        </w:rPr>
      </w:pPr>
      <w:r w:rsidRPr="00743CF7">
        <w:rPr>
          <w:rFonts w:ascii="Abadi" w:hAnsi="Abadi" w:cs="*Arial-Bold-11934-Identity-H"/>
          <w:b/>
          <w:bCs/>
          <w:color w:val="282828"/>
          <w:sz w:val="21"/>
          <w:szCs w:val="21"/>
        </w:rPr>
        <w:t xml:space="preserve"> </w:t>
      </w:r>
      <w:r>
        <w:rPr>
          <w:rFonts w:ascii="Abadi" w:hAnsi="Abadi" w:cs="*Arial-Bold-11934-Identity-H"/>
          <w:b/>
          <w:bCs/>
          <w:color w:val="282828"/>
          <w:sz w:val="21"/>
          <w:szCs w:val="21"/>
        </w:rPr>
        <w:tab/>
      </w:r>
      <w:r w:rsidRPr="00743CF7">
        <w:rPr>
          <w:rFonts w:ascii="Abadi" w:hAnsi="Abadi" w:cs="*Arial-Bold-11934-Identity-H"/>
          <w:b/>
          <w:bCs/>
          <w:color w:val="282828"/>
          <w:sz w:val="21"/>
          <w:szCs w:val="21"/>
        </w:rPr>
        <w:t xml:space="preserve">Artículo 42. </w:t>
      </w:r>
      <w:r w:rsidRPr="00743CF7">
        <w:rPr>
          <w:rFonts w:ascii="Abadi" w:hAnsi="Abadi" w:cs="*Microsoft Sans Serif-11936-Ide"/>
          <w:color w:val="282828"/>
          <w:sz w:val="21"/>
          <w:szCs w:val="21"/>
        </w:rPr>
        <w:t>En la educación superior, las equivalencias y revalidaciones de estudio se realizarán considerando la equiparación de asignaturas, la similitud o afinidad de los planes y programas de estudio. el número de créditos correspondientes al plan de estudios. cualquier otra unidad de aprendizaje, ciclo escolar o nivel educativo, para tal efecto. se atenderán las disposiciones que emita la Autoridad Educativa federal.</w:t>
      </w:r>
    </w:p>
    <w:p w14:paraId="68F5DA08" w14:textId="77777777" w:rsidR="00366FFB" w:rsidRPr="00743CF7" w:rsidRDefault="00366FFB" w:rsidP="00366FFB">
      <w:pPr>
        <w:autoSpaceDE w:val="0"/>
        <w:autoSpaceDN w:val="0"/>
        <w:adjustRightInd w:val="0"/>
        <w:jc w:val="both"/>
        <w:rPr>
          <w:rFonts w:ascii="Abadi" w:hAnsi="Abadi" w:cs="*Microsoft Sans Serif-11936-Ide"/>
          <w:color w:val="282828"/>
          <w:sz w:val="21"/>
          <w:szCs w:val="21"/>
        </w:rPr>
      </w:pPr>
    </w:p>
    <w:p w14:paraId="3ABA61BD" w14:textId="4495B7D9" w:rsidR="00366FFB" w:rsidRPr="00743CF7" w:rsidRDefault="00366FFB" w:rsidP="00366FFB">
      <w:pPr>
        <w:autoSpaceDE w:val="0"/>
        <w:autoSpaceDN w:val="0"/>
        <w:adjustRightInd w:val="0"/>
        <w:ind w:firstLine="708"/>
        <w:jc w:val="both"/>
        <w:rPr>
          <w:rFonts w:ascii="Abadi" w:hAnsi="Abadi" w:cs="*Microsoft Sans Serif-11936-Ide"/>
          <w:color w:val="2B2B2B"/>
          <w:sz w:val="21"/>
          <w:szCs w:val="21"/>
        </w:rPr>
      </w:pPr>
      <w:r w:rsidRPr="00743CF7">
        <w:rPr>
          <w:rFonts w:ascii="Abadi" w:hAnsi="Abadi" w:cs="*Microsoft Sans Serif-11936-Ide"/>
          <w:color w:val="2B2B2B"/>
          <w:sz w:val="21"/>
          <w:szCs w:val="21"/>
        </w:rPr>
        <w:t xml:space="preserve">Las autoridades educativas e instituciones de educación superior a las que en su caso se faculte para otorgar revalidaciones o equivalencias de estudios promoverán la simplificación de dichos procedimientos, atendiendo a los principios de celeridad, imparcialidad, flexibilidad y asequibilidad. Además, promoverán la utilización de medios electrónicos de verificación de autenticidad de documentos académ1cos, a fin de facilitar y garantizar la incorporación </w:t>
      </w:r>
      <w:r w:rsidRPr="00743CF7">
        <w:rPr>
          <w:rFonts w:ascii="Abadi" w:hAnsi="Abadi" w:cs="*Times New Roman-Italic-11929-I"/>
          <w:i/>
          <w:iCs/>
          <w:color w:val="2B2B2B"/>
          <w:sz w:val="21"/>
          <w:szCs w:val="21"/>
        </w:rPr>
        <w:t xml:space="preserve">y </w:t>
      </w:r>
      <w:r w:rsidRPr="00743CF7">
        <w:rPr>
          <w:rFonts w:ascii="Abadi" w:hAnsi="Abadi" w:cs="*Microsoft Sans Serif-11936-Ide"/>
          <w:color w:val="2B2B2B"/>
          <w:sz w:val="21"/>
          <w:szCs w:val="21"/>
        </w:rPr>
        <w:t xml:space="preserve">permanencia al tipo de educación superior a </w:t>
      </w:r>
      <w:r w:rsidR="00A91728" w:rsidRPr="00743CF7">
        <w:rPr>
          <w:rFonts w:ascii="Abadi" w:hAnsi="Abadi" w:cs="*Microsoft Sans Serif-11936-Ide"/>
          <w:color w:val="2B2B2B"/>
          <w:sz w:val="21"/>
          <w:szCs w:val="21"/>
        </w:rPr>
        <w:t>todas las personas</w:t>
      </w:r>
      <w:r w:rsidRPr="00743CF7">
        <w:rPr>
          <w:rFonts w:ascii="Abadi" w:hAnsi="Abadi" w:cs="*Microsoft Sans Serif-11936-Ide"/>
          <w:color w:val="2B2B2B"/>
          <w:sz w:val="21"/>
          <w:szCs w:val="21"/>
        </w:rPr>
        <w:t>, incluidas las que hayan sido</w:t>
      </w:r>
    </w:p>
    <w:p w14:paraId="1B445AAA" w14:textId="77777777" w:rsidR="00366FFB" w:rsidRPr="00743CF7" w:rsidRDefault="00366FFB" w:rsidP="00366FFB">
      <w:pPr>
        <w:autoSpaceDE w:val="0"/>
        <w:autoSpaceDN w:val="0"/>
        <w:adjustRightInd w:val="0"/>
        <w:jc w:val="both"/>
        <w:rPr>
          <w:rFonts w:ascii="Abadi" w:hAnsi="Abadi" w:cs="*Microsoft Sans Serif-11936-Ide"/>
          <w:color w:val="2B2B2B"/>
          <w:sz w:val="21"/>
          <w:szCs w:val="21"/>
        </w:rPr>
      </w:pPr>
      <w:r w:rsidRPr="00743CF7">
        <w:rPr>
          <w:rFonts w:ascii="Abadi" w:hAnsi="Abadi" w:cs="*Microsoft Sans Serif-11936-Ide"/>
          <w:color w:val="2B2B2B"/>
          <w:sz w:val="21"/>
          <w:szCs w:val="21"/>
        </w:rPr>
        <w:t>repatriadas a nuestro país, regresen voluntariamente o enfrenten situaciones de desplazamiento o migración interna, conforme a las disposiciones de la materia.</w:t>
      </w:r>
    </w:p>
    <w:p w14:paraId="2856FEC8" w14:textId="77777777" w:rsidR="00366FFB" w:rsidRPr="00743CF7" w:rsidRDefault="00366FFB" w:rsidP="00366FFB">
      <w:pPr>
        <w:jc w:val="both"/>
        <w:rPr>
          <w:rFonts w:ascii="Abadi" w:hAnsi="Abadi" w:cs="*Microsoft Sans Serif-11936-Ide"/>
          <w:color w:val="2B2B2B"/>
          <w:sz w:val="21"/>
          <w:szCs w:val="21"/>
        </w:rPr>
      </w:pPr>
    </w:p>
    <w:p w14:paraId="2C78FC06" w14:textId="77777777" w:rsidR="00366FFB" w:rsidRPr="00743CF7" w:rsidRDefault="00366FFB" w:rsidP="00366FFB">
      <w:pPr>
        <w:autoSpaceDE w:val="0"/>
        <w:autoSpaceDN w:val="0"/>
        <w:adjustRightInd w:val="0"/>
        <w:jc w:val="right"/>
        <w:rPr>
          <w:rFonts w:ascii="Abadi" w:hAnsi="Abadi" w:cs="*Arial-BoldItalic-12236-Identit"/>
          <w:b/>
          <w:bCs/>
          <w:i/>
          <w:iCs/>
          <w:color w:val="111111"/>
          <w:sz w:val="21"/>
          <w:szCs w:val="21"/>
        </w:rPr>
      </w:pPr>
      <w:r w:rsidRPr="00743CF7">
        <w:rPr>
          <w:rFonts w:ascii="Abadi" w:hAnsi="Abadi" w:cs="*Arial-BoldItalic-12236-Identit"/>
          <w:b/>
          <w:bCs/>
          <w:i/>
          <w:iCs/>
          <w:color w:val="111111"/>
          <w:sz w:val="21"/>
          <w:szCs w:val="21"/>
        </w:rPr>
        <w:t>Orientación vocacional</w:t>
      </w:r>
    </w:p>
    <w:p w14:paraId="386942F4" w14:textId="77777777" w:rsidR="00366FFB" w:rsidRPr="00743CF7" w:rsidRDefault="00366FFB" w:rsidP="00366FFB">
      <w:pPr>
        <w:autoSpaceDE w:val="0"/>
        <w:autoSpaceDN w:val="0"/>
        <w:adjustRightInd w:val="0"/>
        <w:ind w:firstLine="708"/>
        <w:jc w:val="both"/>
        <w:rPr>
          <w:rFonts w:ascii="Abadi" w:hAnsi="Abadi" w:cs="*Microsoft Sans Serif-12238-Ide"/>
          <w:color w:val="787878"/>
          <w:sz w:val="21"/>
          <w:szCs w:val="21"/>
        </w:rPr>
      </w:pPr>
      <w:r w:rsidRPr="00743CF7">
        <w:rPr>
          <w:rFonts w:ascii="Abadi" w:hAnsi="Abadi" w:cs="*Comic Sans MS-Bold-12237-Ident"/>
          <w:b/>
          <w:bCs/>
          <w:color w:val="2B2B2B"/>
          <w:sz w:val="21"/>
          <w:szCs w:val="21"/>
        </w:rPr>
        <w:t xml:space="preserve">Artículo 43. </w:t>
      </w:r>
      <w:r w:rsidRPr="00743CF7">
        <w:rPr>
          <w:rFonts w:ascii="Abadi" w:hAnsi="Abadi" w:cs="*Microsoft Sans Serif-12238-Ide"/>
          <w:color w:val="2B2B2B"/>
          <w:sz w:val="21"/>
          <w:szCs w:val="21"/>
        </w:rPr>
        <w:t xml:space="preserve">Las instituciones de educación superior podrán coordinarse con Instituciones de diferentes tipos, asimismo podrán celebrarse convenios para la coordinación con Colegios de Profesionistas u otras personas físicos o morales, poro proporcionar orientación vocacional a quien así lo requiera, con el fin de dotar de alternativas paro la elección de los estudios del tipo </w:t>
      </w:r>
      <w:r w:rsidRPr="00743CF7">
        <w:rPr>
          <w:rFonts w:ascii="Abadi" w:hAnsi="Abadi" w:cs="*Microsoft Sans Serif-12238-Ide"/>
          <w:color w:val="404040"/>
          <w:sz w:val="21"/>
          <w:szCs w:val="21"/>
        </w:rPr>
        <w:t>s</w:t>
      </w:r>
      <w:r w:rsidRPr="00743CF7">
        <w:rPr>
          <w:rFonts w:ascii="Abadi" w:hAnsi="Abadi" w:cs="*Microsoft Sans Serif-12238-Ide"/>
          <w:color w:val="2B2B2B"/>
          <w:sz w:val="21"/>
          <w:szCs w:val="21"/>
        </w:rPr>
        <w:t>uperior</w:t>
      </w:r>
      <w:r w:rsidRPr="00743CF7">
        <w:rPr>
          <w:rFonts w:ascii="Abadi" w:hAnsi="Abadi" w:cs="*Microsoft Sans Serif-12238-Ide"/>
          <w:color w:val="787878"/>
          <w:sz w:val="21"/>
          <w:szCs w:val="21"/>
        </w:rPr>
        <w:t>.</w:t>
      </w:r>
    </w:p>
    <w:p w14:paraId="393A5D23" w14:textId="77777777" w:rsidR="00366FFB" w:rsidRPr="00743CF7" w:rsidRDefault="00366FFB" w:rsidP="00366FFB">
      <w:pPr>
        <w:autoSpaceDE w:val="0"/>
        <w:autoSpaceDN w:val="0"/>
        <w:adjustRightInd w:val="0"/>
        <w:jc w:val="both"/>
        <w:rPr>
          <w:rFonts w:ascii="Abadi" w:hAnsi="Abadi" w:cs="*Microsoft Sans Serif-12238-Ide"/>
          <w:color w:val="787878"/>
          <w:sz w:val="21"/>
          <w:szCs w:val="21"/>
        </w:rPr>
      </w:pPr>
    </w:p>
    <w:p w14:paraId="0F13E108" w14:textId="77777777" w:rsidR="00366FFB" w:rsidRPr="00743CF7" w:rsidRDefault="00366FFB" w:rsidP="00366FFB">
      <w:pPr>
        <w:autoSpaceDE w:val="0"/>
        <w:autoSpaceDN w:val="0"/>
        <w:adjustRightInd w:val="0"/>
        <w:jc w:val="both"/>
        <w:rPr>
          <w:rFonts w:ascii="Abadi" w:hAnsi="Abadi" w:cs="*Microsoft Sans Serif-12238-Ide"/>
          <w:color w:val="2A2A2A"/>
          <w:sz w:val="21"/>
          <w:szCs w:val="21"/>
        </w:rPr>
      </w:pPr>
      <w:r w:rsidRPr="00743CF7">
        <w:rPr>
          <w:rFonts w:ascii="Abadi" w:hAnsi="Abadi" w:cs="*Microsoft Sans Serif-12238-Ide"/>
          <w:color w:val="2A2A2A"/>
          <w:sz w:val="21"/>
          <w:szCs w:val="21"/>
        </w:rPr>
        <w:t>Lo anterior, sin perjuicio de lo establecido en la Ley de Educación para el Estado de Guanajuato.</w:t>
      </w:r>
    </w:p>
    <w:p w14:paraId="08ACB72B" w14:textId="19520778" w:rsidR="00366FFB" w:rsidRDefault="00366FFB" w:rsidP="00366FFB">
      <w:pPr>
        <w:autoSpaceDE w:val="0"/>
        <w:autoSpaceDN w:val="0"/>
        <w:adjustRightInd w:val="0"/>
        <w:jc w:val="both"/>
        <w:rPr>
          <w:rFonts w:ascii="Abadi" w:hAnsi="Abadi" w:cs="*Microsoft Sans Serif-12238-Ide"/>
          <w:color w:val="2A2A2A"/>
          <w:sz w:val="21"/>
          <w:szCs w:val="21"/>
        </w:rPr>
      </w:pPr>
    </w:p>
    <w:p w14:paraId="7AF5350C" w14:textId="77777777" w:rsidR="00A91728" w:rsidRPr="00743CF7" w:rsidRDefault="00A91728" w:rsidP="00366FFB">
      <w:pPr>
        <w:autoSpaceDE w:val="0"/>
        <w:autoSpaceDN w:val="0"/>
        <w:adjustRightInd w:val="0"/>
        <w:jc w:val="both"/>
        <w:rPr>
          <w:rFonts w:ascii="Abadi" w:hAnsi="Abadi" w:cs="*Microsoft Sans Serif-12238-Ide"/>
          <w:color w:val="2A2A2A"/>
          <w:sz w:val="21"/>
          <w:szCs w:val="21"/>
        </w:rPr>
      </w:pPr>
    </w:p>
    <w:p w14:paraId="64FB9621" w14:textId="0D67C8C7" w:rsidR="00366FFB" w:rsidRPr="00743CF7" w:rsidRDefault="00366FFB" w:rsidP="00366FFB">
      <w:pPr>
        <w:autoSpaceDE w:val="0"/>
        <w:autoSpaceDN w:val="0"/>
        <w:adjustRightInd w:val="0"/>
        <w:jc w:val="right"/>
        <w:rPr>
          <w:rFonts w:ascii="Abadi" w:hAnsi="Abadi" w:cs="*Arial-BoldItalic-12236-Identit"/>
          <w:b/>
          <w:bCs/>
          <w:i/>
          <w:iCs/>
          <w:color w:val="131313"/>
          <w:sz w:val="21"/>
          <w:szCs w:val="21"/>
        </w:rPr>
      </w:pPr>
      <w:r w:rsidRPr="00743CF7">
        <w:rPr>
          <w:rFonts w:ascii="Abadi" w:hAnsi="Abadi" w:cs="*Arial-BoldItalic-12236-Identit"/>
          <w:b/>
          <w:bCs/>
          <w:i/>
          <w:iCs/>
          <w:color w:val="131313"/>
          <w:sz w:val="21"/>
          <w:szCs w:val="21"/>
        </w:rPr>
        <w:t>Instituciones de educac</w:t>
      </w:r>
      <w:r w:rsidR="00A91728">
        <w:rPr>
          <w:rFonts w:ascii="Abadi" w:hAnsi="Abadi" w:cs="*Arial-BoldItalic-12236-Identit"/>
          <w:b/>
          <w:bCs/>
          <w:i/>
          <w:iCs/>
          <w:color w:val="131313"/>
          <w:sz w:val="21"/>
          <w:szCs w:val="21"/>
        </w:rPr>
        <w:t>ió</w:t>
      </w:r>
      <w:r w:rsidRPr="00743CF7">
        <w:rPr>
          <w:rFonts w:ascii="Abadi" w:hAnsi="Abadi" w:cs="*Arial-BoldItalic-12236-Identit"/>
          <w:b/>
          <w:bCs/>
          <w:i/>
          <w:iCs/>
          <w:color w:val="131313"/>
          <w:sz w:val="21"/>
          <w:szCs w:val="21"/>
        </w:rPr>
        <w:t>n superior autónomas</w:t>
      </w:r>
    </w:p>
    <w:p w14:paraId="22BB61F5" w14:textId="77777777" w:rsidR="00366FFB" w:rsidRPr="00743CF7" w:rsidRDefault="00366FFB" w:rsidP="00366FFB">
      <w:pPr>
        <w:autoSpaceDE w:val="0"/>
        <w:autoSpaceDN w:val="0"/>
        <w:adjustRightInd w:val="0"/>
        <w:ind w:firstLine="708"/>
        <w:jc w:val="both"/>
        <w:rPr>
          <w:rFonts w:ascii="Abadi" w:hAnsi="Abadi" w:cs="*Microsoft Sans Serif-12238-Ide"/>
          <w:color w:val="282828"/>
          <w:sz w:val="21"/>
          <w:szCs w:val="21"/>
        </w:rPr>
      </w:pPr>
      <w:r w:rsidRPr="00743CF7">
        <w:rPr>
          <w:rFonts w:ascii="Abadi" w:hAnsi="Abadi" w:cs="*Comic Sans MS-Bold-12237-Ident"/>
          <w:b/>
          <w:bCs/>
          <w:color w:val="282828"/>
          <w:sz w:val="21"/>
          <w:szCs w:val="21"/>
        </w:rPr>
        <w:t xml:space="preserve">Artículo 44. </w:t>
      </w:r>
      <w:r w:rsidRPr="00743CF7">
        <w:rPr>
          <w:rFonts w:ascii="Abadi" w:hAnsi="Abadi" w:cs="*Microsoft Sans Serif-12238-Ide"/>
          <w:color w:val="282828"/>
          <w:sz w:val="21"/>
          <w:szCs w:val="21"/>
        </w:rPr>
        <w:t>Las instituciones públicas de educación superior con autonomía constitucional y legal se regirán por sus propias normas y en materia de revalidación y movilidad estarán a lo que decidan sus autoridades escolares, de conformidad con la normatividad aplicable.</w:t>
      </w:r>
    </w:p>
    <w:p w14:paraId="09A9B20C" w14:textId="77777777" w:rsidR="00366FFB" w:rsidRDefault="00366FFB" w:rsidP="00366FFB">
      <w:pPr>
        <w:autoSpaceDE w:val="0"/>
        <w:autoSpaceDN w:val="0"/>
        <w:adjustRightInd w:val="0"/>
        <w:jc w:val="both"/>
        <w:rPr>
          <w:rFonts w:ascii="Abadi" w:hAnsi="Abadi" w:cs="*Arial-BoldItalic-12236-Identit"/>
          <w:b/>
          <w:bCs/>
          <w:i/>
          <w:iCs/>
          <w:color w:val="111111"/>
          <w:sz w:val="21"/>
          <w:szCs w:val="21"/>
        </w:rPr>
      </w:pPr>
    </w:p>
    <w:p w14:paraId="2536FEFC" w14:textId="77777777" w:rsidR="00A91728" w:rsidRDefault="00A91728" w:rsidP="00366FFB">
      <w:pPr>
        <w:autoSpaceDE w:val="0"/>
        <w:autoSpaceDN w:val="0"/>
        <w:adjustRightInd w:val="0"/>
        <w:jc w:val="right"/>
        <w:rPr>
          <w:rFonts w:ascii="Abadi" w:hAnsi="Abadi" w:cs="*Arial-BoldItalic-12236-Identit"/>
          <w:b/>
          <w:bCs/>
          <w:i/>
          <w:iCs/>
          <w:color w:val="111111"/>
          <w:sz w:val="21"/>
          <w:szCs w:val="21"/>
        </w:rPr>
      </w:pPr>
    </w:p>
    <w:p w14:paraId="4F195155" w14:textId="77777777" w:rsidR="00A91728" w:rsidRDefault="00A91728" w:rsidP="00366FFB">
      <w:pPr>
        <w:autoSpaceDE w:val="0"/>
        <w:autoSpaceDN w:val="0"/>
        <w:adjustRightInd w:val="0"/>
        <w:jc w:val="right"/>
        <w:rPr>
          <w:rFonts w:ascii="Abadi" w:hAnsi="Abadi" w:cs="*Arial-BoldItalic-12236-Identit"/>
          <w:b/>
          <w:bCs/>
          <w:i/>
          <w:iCs/>
          <w:color w:val="111111"/>
          <w:sz w:val="21"/>
          <w:szCs w:val="21"/>
        </w:rPr>
      </w:pPr>
    </w:p>
    <w:p w14:paraId="4E20391F" w14:textId="49E0C604" w:rsidR="00366FFB" w:rsidRPr="00743CF7" w:rsidRDefault="00366FFB" w:rsidP="00366FFB">
      <w:pPr>
        <w:autoSpaceDE w:val="0"/>
        <w:autoSpaceDN w:val="0"/>
        <w:adjustRightInd w:val="0"/>
        <w:jc w:val="right"/>
        <w:rPr>
          <w:rFonts w:ascii="Abadi" w:hAnsi="Abadi" w:cs="*Arial-BoldItalic-12236-Identit"/>
          <w:b/>
          <w:bCs/>
          <w:i/>
          <w:iCs/>
          <w:color w:val="111111"/>
          <w:sz w:val="21"/>
          <w:szCs w:val="21"/>
        </w:rPr>
      </w:pPr>
      <w:r w:rsidRPr="00743CF7">
        <w:rPr>
          <w:rFonts w:ascii="Abadi" w:hAnsi="Abadi" w:cs="*Arial-BoldItalic-12236-Identit"/>
          <w:b/>
          <w:bCs/>
          <w:i/>
          <w:iCs/>
          <w:color w:val="111111"/>
          <w:sz w:val="21"/>
          <w:szCs w:val="21"/>
        </w:rPr>
        <w:t>Registro de documentos académicos</w:t>
      </w:r>
    </w:p>
    <w:p w14:paraId="453C2E08" w14:textId="77777777" w:rsidR="00366FFB" w:rsidRPr="00743CF7" w:rsidRDefault="00366FFB" w:rsidP="00366FFB">
      <w:pPr>
        <w:autoSpaceDE w:val="0"/>
        <w:autoSpaceDN w:val="0"/>
        <w:adjustRightInd w:val="0"/>
        <w:ind w:firstLine="708"/>
        <w:jc w:val="both"/>
        <w:rPr>
          <w:rFonts w:ascii="Abadi" w:hAnsi="Abadi" w:cs="*Microsoft Sans Serif-12238-Ide"/>
          <w:color w:val="282828"/>
          <w:sz w:val="21"/>
          <w:szCs w:val="21"/>
        </w:rPr>
      </w:pPr>
      <w:r w:rsidRPr="00743CF7">
        <w:rPr>
          <w:rFonts w:ascii="Abadi" w:hAnsi="Abadi" w:cs="*Comic Sans MS-Bold-12237-Ident"/>
          <w:b/>
          <w:bCs/>
          <w:color w:val="282828"/>
          <w:sz w:val="21"/>
          <w:szCs w:val="21"/>
        </w:rPr>
        <w:t xml:space="preserve">Artículo </w:t>
      </w:r>
      <w:r w:rsidRPr="00743CF7">
        <w:rPr>
          <w:rFonts w:ascii="Abadi" w:hAnsi="Abadi" w:cs="*Times New Roman-BoldItalic-122"/>
          <w:b/>
          <w:bCs/>
          <w:i/>
          <w:iCs/>
          <w:color w:val="282828"/>
          <w:sz w:val="21"/>
          <w:szCs w:val="21"/>
        </w:rPr>
        <w:t xml:space="preserve">45. </w:t>
      </w:r>
      <w:r w:rsidRPr="00743CF7">
        <w:rPr>
          <w:rFonts w:ascii="Abadi" w:hAnsi="Abadi" w:cs="*Microsoft Sans Serif-12238-Ide"/>
          <w:color w:val="282828"/>
          <w:sz w:val="21"/>
          <w:szCs w:val="21"/>
        </w:rPr>
        <w:t>Los certificados, diplomas, títulos profesionales, grados académicos, revalidaciones o equivalencias de estudios y demás comprobantes académicos que expidan las instituciones de educación superior, con sujeción a los ordenamientos y leyes aplicables, deberán registrarse. en los términos que establezca la autoridad educativa federal. en el Sistema de Información y Gestión Educativa que al efecto establezca dicho instancia.</w:t>
      </w:r>
    </w:p>
    <w:p w14:paraId="30BEC598" w14:textId="77777777" w:rsidR="00366FFB" w:rsidRPr="00743CF7" w:rsidRDefault="00366FFB" w:rsidP="00366FFB">
      <w:pPr>
        <w:autoSpaceDE w:val="0"/>
        <w:autoSpaceDN w:val="0"/>
        <w:adjustRightInd w:val="0"/>
        <w:jc w:val="both"/>
        <w:rPr>
          <w:rFonts w:ascii="Abadi" w:hAnsi="Abadi" w:cs="*Arial-BoldItalic-12236-Identit"/>
          <w:b/>
          <w:bCs/>
          <w:i/>
          <w:iCs/>
          <w:color w:val="121212"/>
          <w:sz w:val="21"/>
          <w:szCs w:val="21"/>
        </w:rPr>
      </w:pPr>
    </w:p>
    <w:p w14:paraId="21AF2625" w14:textId="77777777" w:rsidR="00366FFB" w:rsidRDefault="00366FFB" w:rsidP="00366FFB">
      <w:pPr>
        <w:autoSpaceDE w:val="0"/>
        <w:autoSpaceDN w:val="0"/>
        <w:adjustRightInd w:val="0"/>
        <w:jc w:val="right"/>
        <w:rPr>
          <w:rFonts w:ascii="Abadi" w:hAnsi="Abadi" w:cs="*Arial-BoldItalic-12236-Identit"/>
          <w:b/>
          <w:bCs/>
          <w:i/>
          <w:iCs/>
          <w:color w:val="121212"/>
          <w:sz w:val="21"/>
          <w:szCs w:val="21"/>
        </w:rPr>
      </w:pPr>
      <w:r w:rsidRPr="00743CF7">
        <w:rPr>
          <w:rFonts w:ascii="Abadi" w:hAnsi="Abadi" w:cs="*Arial-BoldItalic-12236-Identit"/>
          <w:b/>
          <w:bCs/>
          <w:i/>
          <w:iCs/>
          <w:color w:val="121212"/>
          <w:sz w:val="21"/>
          <w:szCs w:val="21"/>
        </w:rPr>
        <w:t xml:space="preserve">Registro Nacional de Opciones </w:t>
      </w:r>
    </w:p>
    <w:p w14:paraId="57572FAF" w14:textId="77777777" w:rsidR="00366FFB" w:rsidRPr="00743CF7" w:rsidRDefault="00366FFB" w:rsidP="00366FFB">
      <w:pPr>
        <w:autoSpaceDE w:val="0"/>
        <w:autoSpaceDN w:val="0"/>
        <w:adjustRightInd w:val="0"/>
        <w:jc w:val="right"/>
        <w:rPr>
          <w:rFonts w:ascii="Abadi" w:hAnsi="Abadi" w:cs="*Arial-BoldItalic-12236-Identit"/>
          <w:b/>
          <w:bCs/>
          <w:i/>
          <w:iCs/>
          <w:color w:val="121212"/>
          <w:sz w:val="21"/>
          <w:szCs w:val="21"/>
        </w:rPr>
      </w:pPr>
      <w:r w:rsidRPr="00743CF7">
        <w:rPr>
          <w:rFonts w:ascii="Abadi" w:hAnsi="Abadi" w:cs="*Arial-BoldItalic-12236-Identit"/>
          <w:b/>
          <w:bCs/>
          <w:i/>
          <w:iCs/>
          <w:color w:val="121212"/>
          <w:sz w:val="21"/>
          <w:szCs w:val="21"/>
        </w:rPr>
        <w:t>para Educación Superior</w:t>
      </w:r>
    </w:p>
    <w:p w14:paraId="46CD2909" w14:textId="77777777" w:rsidR="00366FFB" w:rsidRPr="00743CF7" w:rsidRDefault="00366FFB" w:rsidP="00366FFB">
      <w:pPr>
        <w:autoSpaceDE w:val="0"/>
        <w:autoSpaceDN w:val="0"/>
        <w:adjustRightInd w:val="0"/>
        <w:ind w:firstLine="708"/>
        <w:jc w:val="both"/>
        <w:rPr>
          <w:rFonts w:ascii="Abadi" w:hAnsi="Abadi" w:cs="*Microsoft Sans Serif-12238-Ide"/>
          <w:color w:val="2A2A2A"/>
          <w:sz w:val="21"/>
          <w:szCs w:val="21"/>
        </w:rPr>
      </w:pPr>
      <w:r w:rsidRPr="00743CF7">
        <w:rPr>
          <w:rFonts w:ascii="Abadi" w:hAnsi="Abadi" w:cs="*Comic Sans MS-Bold-12237-Ident"/>
          <w:b/>
          <w:bCs/>
          <w:color w:val="2A2A2A"/>
          <w:sz w:val="21"/>
          <w:szCs w:val="21"/>
        </w:rPr>
        <w:t xml:space="preserve">Artículo 46. </w:t>
      </w:r>
      <w:r w:rsidRPr="00743CF7">
        <w:rPr>
          <w:rFonts w:ascii="Abadi" w:hAnsi="Abadi" w:cs="*Microsoft Sans Serif-12238-Ide"/>
          <w:color w:val="2A2A2A"/>
          <w:sz w:val="21"/>
          <w:szCs w:val="21"/>
        </w:rPr>
        <w:t>La Secretaría y demás. autoridades educativas proporcionarán a la Autoridad Educativa Federal lo información necesaria para el Registro Nacional de Opciones para Educación Superior, la cual será difundida a través de diversos medios de comunicación.</w:t>
      </w:r>
    </w:p>
    <w:p w14:paraId="47AC1DA7" w14:textId="77777777" w:rsidR="00366FFB" w:rsidRPr="00743CF7" w:rsidRDefault="00366FFB" w:rsidP="00366FFB">
      <w:pPr>
        <w:jc w:val="both"/>
        <w:rPr>
          <w:rFonts w:ascii="Abadi" w:hAnsi="Abadi" w:cs="*Microsoft Sans Serif-12238-Ide"/>
          <w:color w:val="2A2A2A"/>
          <w:sz w:val="21"/>
          <w:szCs w:val="21"/>
        </w:rPr>
      </w:pPr>
    </w:p>
    <w:p w14:paraId="30FA7246" w14:textId="77777777" w:rsidR="00366FFB" w:rsidRPr="00743CF7" w:rsidRDefault="00366FFB" w:rsidP="00366FFB">
      <w:pPr>
        <w:autoSpaceDE w:val="0"/>
        <w:autoSpaceDN w:val="0"/>
        <w:adjustRightInd w:val="0"/>
        <w:jc w:val="both"/>
        <w:rPr>
          <w:rFonts w:ascii="Abadi" w:hAnsi="Abadi" w:cs="*Microsoft Sans Serif-11516-Ide"/>
          <w:color w:val="2C2C2C"/>
          <w:sz w:val="21"/>
          <w:szCs w:val="21"/>
        </w:rPr>
      </w:pPr>
      <w:r w:rsidRPr="00743CF7">
        <w:rPr>
          <w:rFonts w:ascii="Abadi" w:hAnsi="Abadi" w:cs="*Microsoft Sans Serif-11516-Ide"/>
          <w:color w:val="2C2C2C"/>
          <w:sz w:val="21"/>
          <w:szCs w:val="21"/>
        </w:rPr>
        <w:t xml:space="preserve">Las autoridades educativas, de manera coordinada, proporcionarán asesoría </w:t>
      </w:r>
      <w:r w:rsidRPr="00743CF7">
        <w:rPr>
          <w:rFonts w:ascii="Abadi" w:hAnsi="Abadi" w:cs="*Calibri-11515-Identity-H"/>
          <w:color w:val="2C2C2C"/>
          <w:sz w:val="21"/>
          <w:szCs w:val="21"/>
        </w:rPr>
        <w:t xml:space="preserve">y </w:t>
      </w:r>
      <w:r w:rsidRPr="00743CF7">
        <w:rPr>
          <w:rFonts w:ascii="Abadi" w:hAnsi="Abadi" w:cs="*Microsoft Sans Serif-11516-Ide"/>
          <w:color w:val="2C2C2C"/>
          <w:sz w:val="21"/>
          <w:szCs w:val="21"/>
        </w:rPr>
        <w:t>facilitarán los medios e información, a los interesados, para su acceso a los lugares disponibles.</w:t>
      </w:r>
    </w:p>
    <w:p w14:paraId="12FEC2C5" w14:textId="77777777" w:rsidR="00366FFB" w:rsidRPr="00743CF7" w:rsidRDefault="00366FFB" w:rsidP="00366FFB">
      <w:pPr>
        <w:autoSpaceDE w:val="0"/>
        <w:autoSpaceDN w:val="0"/>
        <w:adjustRightInd w:val="0"/>
        <w:jc w:val="both"/>
        <w:rPr>
          <w:rFonts w:ascii="Abadi" w:hAnsi="Abadi" w:cs="*Microsoft Sans Serif-11516-Ide"/>
          <w:color w:val="2C2C2C"/>
          <w:sz w:val="21"/>
          <w:szCs w:val="21"/>
        </w:rPr>
      </w:pPr>
    </w:p>
    <w:p w14:paraId="5282C327" w14:textId="77777777" w:rsidR="00366FFB" w:rsidRPr="00743CF7" w:rsidRDefault="00366FFB" w:rsidP="00366FFB">
      <w:pPr>
        <w:autoSpaceDE w:val="0"/>
        <w:autoSpaceDN w:val="0"/>
        <w:adjustRightInd w:val="0"/>
        <w:jc w:val="both"/>
        <w:rPr>
          <w:rFonts w:ascii="Abadi" w:hAnsi="Abadi" w:cs="*Microsoft Sans Serif-11516-Ide"/>
          <w:color w:val="2B2B2B"/>
          <w:sz w:val="21"/>
          <w:szCs w:val="21"/>
        </w:rPr>
      </w:pPr>
      <w:r w:rsidRPr="00743CF7">
        <w:rPr>
          <w:rFonts w:ascii="Abadi" w:hAnsi="Abadi" w:cs="*Microsoft Sans Serif-11516-Ide"/>
          <w:color w:val="2B2B2B"/>
          <w:sz w:val="21"/>
          <w:szCs w:val="21"/>
        </w:rPr>
        <w:t xml:space="preserve">Las personas tendrán el derecho a elegir libremente lo institución </w:t>
      </w:r>
      <w:r w:rsidRPr="00743CF7">
        <w:rPr>
          <w:rFonts w:ascii="Abadi" w:hAnsi="Abadi" w:cs="*Calibri-11515-Identity-H"/>
          <w:color w:val="2B2B2B"/>
          <w:sz w:val="21"/>
          <w:szCs w:val="21"/>
        </w:rPr>
        <w:t xml:space="preserve">y </w:t>
      </w:r>
      <w:r w:rsidRPr="00743CF7">
        <w:rPr>
          <w:rFonts w:ascii="Abadi" w:hAnsi="Abadi" w:cs="*Microsoft Sans Serif-11516-Ide"/>
          <w:color w:val="2B2B2B"/>
          <w:sz w:val="21"/>
          <w:szCs w:val="21"/>
        </w:rPr>
        <w:t>el programa académico de su preferencia, previo cumplimiento de los requisitos que establezcan las instituciones de educación superior.</w:t>
      </w:r>
    </w:p>
    <w:p w14:paraId="05FA2E02" w14:textId="7C4F91CD" w:rsidR="00366FFB" w:rsidRPr="00743CF7" w:rsidRDefault="00366FFB" w:rsidP="00366FFB">
      <w:pPr>
        <w:autoSpaceDE w:val="0"/>
        <w:autoSpaceDN w:val="0"/>
        <w:adjustRightInd w:val="0"/>
        <w:ind w:left="4956" w:firstLine="708"/>
        <w:jc w:val="both"/>
        <w:rPr>
          <w:rFonts w:ascii="Abadi" w:hAnsi="Abadi" w:cs="*Calibri-BoldItalic-11513-Ident"/>
          <w:b/>
          <w:bCs/>
          <w:i/>
          <w:iCs/>
          <w:color w:val="111111"/>
          <w:sz w:val="21"/>
          <w:szCs w:val="21"/>
        </w:rPr>
      </w:pPr>
      <w:r w:rsidRPr="00743CF7">
        <w:rPr>
          <w:rFonts w:ascii="Abadi" w:hAnsi="Abadi" w:cs="*Calibri-BoldItalic-11513-Ident"/>
          <w:b/>
          <w:bCs/>
          <w:i/>
          <w:iCs/>
          <w:color w:val="111111"/>
          <w:sz w:val="21"/>
          <w:szCs w:val="21"/>
        </w:rPr>
        <w:t>s</w:t>
      </w:r>
    </w:p>
    <w:p w14:paraId="69C3AE68" w14:textId="5CBB3BB8" w:rsidR="00366FFB" w:rsidRPr="00743CF7" w:rsidRDefault="00366FFB" w:rsidP="00366FFB">
      <w:pPr>
        <w:autoSpaceDE w:val="0"/>
        <w:autoSpaceDN w:val="0"/>
        <w:adjustRightInd w:val="0"/>
        <w:ind w:firstLine="708"/>
        <w:jc w:val="both"/>
        <w:rPr>
          <w:rFonts w:ascii="Abadi" w:hAnsi="Abadi" w:cs="*Microsoft Sans Serif-11516-Ide"/>
          <w:color w:val="292929"/>
          <w:sz w:val="21"/>
          <w:szCs w:val="21"/>
        </w:rPr>
      </w:pPr>
      <w:r w:rsidRPr="00743CF7">
        <w:rPr>
          <w:rFonts w:ascii="Abadi" w:hAnsi="Abadi" w:cs="*Calibri-Bold-11512-Identity-H"/>
          <w:b/>
          <w:bCs/>
          <w:color w:val="292929"/>
          <w:sz w:val="21"/>
          <w:szCs w:val="21"/>
        </w:rPr>
        <w:t xml:space="preserve">Artículo 47. </w:t>
      </w:r>
      <w:r w:rsidR="00A91728">
        <w:rPr>
          <w:rFonts w:ascii="Abadi" w:hAnsi="Abadi" w:cs="*Microsoft Sans Serif-11516-Ide"/>
          <w:color w:val="292929"/>
          <w:sz w:val="21"/>
          <w:szCs w:val="21"/>
        </w:rPr>
        <w:t>L</w:t>
      </w:r>
      <w:r w:rsidR="00A91728" w:rsidRPr="00743CF7">
        <w:rPr>
          <w:rFonts w:ascii="Abadi" w:hAnsi="Abadi" w:cs="*Microsoft Sans Serif-11516-Ide"/>
          <w:color w:val="292929"/>
          <w:sz w:val="21"/>
          <w:szCs w:val="21"/>
        </w:rPr>
        <w:t>as autoridades educativas</w:t>
      </w:r>
      <w:r w:rsidRPr="00743CF7">
        <w:rPr>
          <w:rFonts w:ascii="Abadi" w:hAnsi="Abadi" w:cs="*Microsoft Sans Serif-11516-Ide"/>
          <w:color w:val="292929"/>
          <w:sz w:val="21"/>
          <w:szCs w:val="21"/>
        </w:rPr>
        <w:t xml:space="preserve"> atenderán al Morco Nacional de Cualificaciones </w:t>
      </w:r>
      <w:r w:rsidRPr="00743CF7">
        <w:rPr>
          <w:rFonts w:ascii="Abadi" w:hAnsi="Abadi" w:cs="*Calibri-11515-Identity-H"/>
          <w:color w:val="292929"/>
          <w:sz w:val="21"/>
          <w:szCs w:val="21"/>
        </w:rPr>
        <w:t xml:space="preserve">y </w:t>
      </w:r>
      <w:r w:rsidRPr="00743CF7">
        <w:rPr>
          <w:rFonts w:ascii="Abadi" w:hAnsi="Abadi" w:cs="*Microsoft Sans Serif-11516-Ide"/>
          <w:color w:val="292929"/>
          <w:sz w:val="21"/>
          <w:szCs w:val="21"/>
        </w:rPr>
        <w:t xml:space="preserve">al sistema nacional de asignación, acumulación </w:t>
      </w:r>
      <w:r w:rsidRPr="00743CF7">
        <w:rPr>
          <w:rFonts w:ascii="Abadi" w:hAnsi="Abadi" w:cs="*Calibri-11515-Identity-H"/>
          <w:color w:val="292929"/>
          <w:sz w:val="21"/>
          <w:szCs w:val="21"/>
        </w:rPr>
        <w:t xml:space="preserve">y </w:t>
      </w:r>
      <w:r w:rsidRPr="00743CF7">
        <w:rPr>
          <w:rFonts w:ascii="Abadi" w:hAnsi="Abadi" w:cs="*Microsoft Sans Serif-11516-Ide"/>
          <w:color w:val="292929"/>
          <w:sz w:val="21"/>
          <w:szCs w:val="21"/>
        </w:rPr>
        <w:t xml:space="preserve">transferencia de créditos académicos, emitidos por la Autoridad Educativa federal, o efecto de facilitar el tránsito </w:t>
      </w:r>
      <w:r w:rsidRPr="00743CF7">
        <w:rPr>
          <w:rFonts w:ascii="Abadi" w:hAnsi="Abadi" w:cs="*Calibri-11515-Identity-H"/>
          <w:color w:val="292929"/>
          <w:sz w:val="21"/>
          <w:szCs w:val="21"/>
        </w:rPr>
        <w:t xml:space="preserve">y </w:t>
      </w:r>
      <w:r w:rsidRPr="00743CF7">
        <w:rPr>
          <w:rFonts w:ascii="Abadi" w:hAnsi="Abadi" w:cs="*Microsoft Sans Serif-11516-Ide"/>
          <w:color w:val="292929"/>
          <w:sz w:val="21"/>
          <w:szCs w:val="21"/>
        </w:rPr>
        <w:t>movilidad de estudiantes por el Sistema Educativo Nacional, en los términos que establece la Ley General de Educación Superior.</w:t>
      </w:r>
    </w:p>
    <w:p w14:paraId="1306C804" w14:textId="77777777" w:rsidR="00366FFB" w:rsidRPr="00743CF7" w:rsidRDefault="00366FFB" w:rsidP="00366FFB">
      <w:pPr>
        <w:autoSpaceDE w:val="0"/>
        <w:autoSpaceDN w:val="0"/>
        <w:adjustRightInd w:val="0"/>
        <w:jc w:val="both"/>
        <w:rPr>
          <w:rFonts w:ascii="Abadi" w:hAnsi="Abadi" w:cs="*Microsoft Sans Serif-11516-Ide"/>
          <w:color w:val="292929"/>
          <w:sz w:val="21"/>
          <w:szCs w:val="21"/>
        </w:rPr>
      </w:pPr>
    </w:p>
    <w:p w14:paraId="0633FB14" w14:textId="77777777" w:rsidR="00366FFB" w:rsidRPr="00743CF7" w:rsidRDefault="00366FFB" w:rsidP="00366FFB">
      <w:pPr>
        <w:autoSpaceDE w:val="0"/>
        <w:autoSpaceDN w:val="0"/>
        <w:adjustRightInd w:val="0"/>
        <w:ind w:firstLine="708"/>
        <w:jc w:val="both"/>
        <w:rPr>
          <w:rFonts w:ascii="Abadi" w:hAnsi="Abadi" w:cs="*Microsoft Sans Serif-11516-Ide"/>
          <w:color w:val="2B2B2B"/>
          <w:sz w:val="21"/>
          <w:szCs w:val="21"/>
        </w:rPr>
      </w:pPr>
      <w:r w:rsidRPr="00743CF7">
        <w:rPr>
          <w:rFonts w:ascii="Abadi" w:hAnsi="Abadi" w:cs="*Microsoft Sans Serif-11516-Ide"/>
          <w:color w:val="2B2B2B"/>
          <w:sz w:val="21"/>
          <w:szCs w:val="21"/>
        </w:rPr>
        <w:t xml:space="preserve">Se establecerán mecanismos para </w:t>
      </w:r>
      <w:r w:rsidRPr="00743CF7">
        <w:rPr>
          <w:rFonts w:ascii="Abadi" w:hAnsi="Abadi" w:cs="*Microsoft Sans Serif-11516-Ide"/>
          <w:color w:val="9D9D9D"/>
          <w:sz w:val="21"/>
          <w:szCs w:val="21"/>
        </w:rPr>
        <w:t xml:space="preserve">· </w:t>
      </w:r>
      <w:r w:rsidRPr="00743CF7">
        <w:rPr>
          <w:rFonts w:ascii="Abadi" w:hAnsi="Abadi" w:cs="*Microsoft Sans Serif-11516-Ide"/>
          <w:color w:val="2B2B2B"/>
          <w:sz w:val="21"/>
          <w:szCs w:val="21"/>
        </w:rPr>
        <w:t xml:space="preserve">reconocer los </w:t>
      </w:r>
      <w:r w:rsidRPr="00743CF7">
        <w:rPr>
          <w:rFonts w:ascii="Abadi" w:hAnsi="Abadi" w:cs="*Microsoft Sans Serif-11516-Ide"/>
          <w:color w:val="414141"/>
          <w:sz w:val="21"/>
          <w:szCs w:val="21"/>
        </w:rPr>
        <w:t>c</w:t>
      </w:r>
      <w:r w:rsidRPr="00743CF7">
        <w:rPr>
          <w:rFonts w:ascii="Abadi" w:hAnsi="Abadi" w:cs="*Microsoft Sans Serif-11516-Ide"/>
          <w:color w:val="2B2B2B"/>
          <w:sz w:val="21"/>
          <w:szCs w:val="21"/>
        </w:rPr>
        <w:t>onocim</w:t>
      </w:r>
      <w:r w:rsidRPr="00743CF7">
        <w:rPr>
          <w:rFonts w:ascii="Abadi" w:hAnsi="Abadi" w:cs="*Microsoft Sans Serif-11516-Ide"/>
          <w:color w:val="858585"/>
          <w:sz w:val="21"/>
          <w:szCs w:val="21"/>
        </w:rPr>
        <w:t>i</w:t>
      </w:r>
      <w:r w:rsidRPr="00743CF7">
        <w:rPr>
          <w:rFonts w:ascii="Abadi" w:hAnsi="Abadi" w:cs="*Microsoft Sans Serif-11516-Ide"/>
          <w:color w:val="2B2B2B"/>
          <w:sz w:val="21"/>
          <w:szCs w:val="21"/>
        </w:rPr>
        <w:t>entos previamente adquiridos en el Marco Nacional de Cualificaciones.</w:t>
      </w:r>
    </w:p>
    <w:p w14:paraId="1333D588" w14:textId="77777777" w:rsidR="00366FFB" w:rsidRPr="00743CF7" w:rsidRDefault="00366FFB" w:rsidP="00366FFB">
      <w:pPr>
        <w:autoSpaceDE w:val="0"/>
        <w:autoSpaceDN w:val="0"/>
        <w:adjustRightInd w:val="0"/>
        <w:jc w:val="both"/>
        <w:rPr>
          <w:rFonts w:ascii="Abadi" w:hAnsi="Abadi" w:cs="*Microsoft Sans Serif-Bold-1151"/>
          <w:b/>
          <w:bCs/>
          <w:color w:val="090909"/>
          <w:sz w:val="21"/>
          <w:szCs w:val="21"/>
        </w:rPr>
      </w:pPr>
    </w:p>
    <w:p w14:paraId="46937CC6" w14:textId="77777777" w:rsidR="00366FFB" w:rsidRPr="00743CF7" w:rsidRDefault="00366FFB" w:rsidP="00366FFB">
      <w:pPr>
        <w:autoSpaceDE w:val="0"/>
        <w:autoSpaceDN w:val="0"/>
        <w:adjustRightInd w:val="0"/>
        <w:jc w:val="center"/>
        <w:rPr>
          <w:rFonts w:ascii="Abadi" w:hAnsi="Abadi" w:cs="*Microsoft Sans Serif-Bold-1151"/>
          <w:b/>
          <w:bCs/>
          <w:color w:val="090909"/>
          <w:sz w:val="21"/>
          <w:szCs w:val="21"/>
        </w:rPr>
      </w:pPr>
      <w:r w:rsidRPr="00743CF7">
        <w:rPr>
          <w:rFonts w:ascii="Abadi" w:hAnsi="Abadi" w:cs="*Microsoft Sans Serif-Bold-1151"/>
          <w:b/>
          <w:bCs/>
          <w:color w:val="090909"/>
          <w:sz w:val="21"/>
          <w:szCs w:val="21"/>
        </w:rPr>
        <w:t>TÍTULO IV</w:t>
      </w:r>
    </w:p>
    <w:p w14:paraId="2326A4E1" w14:textId="77777777" w:rsidR="00366FFB" w:rsidRPr="00743CF7" w:rsidRDefault="00366FFB" w:rsidP="00366FFB">
      <w:pPr>
        <w:autoSpaceDE w:val="0"/>
        <w:autoSpaceDN w:val="0"/>
        <w:adjustRightInd w:val="0"/>
        <w:jc w:val="center"/>
        <w:rPr>
          <w:rFonts w:ascii="Abadi" w:hAnsi="Abadi" w:cs="*Calibri-Bold-11512-Identity-H"/>
          <w:b/>
          <w:bCs/>
          <w:color w:val="0E0E0E"/>
          <w:sz w:val="21"/>
          <w:szCs w:val="21"/>
        </w:rPr>
      </w:pPr>
      <w:r w:rsidRPr="00743CF7">
        <w:rPr>
          <w:rFonts w:ascii="Abadi" w:hAnsi="Abadi" w:cs="*Calibri-Bold-11512-Identity-H"/>
          <w:b/>
          <w:bCs/>
          <w:color w:val="0E0E0E"/>
          <w:sz w:val="21"/>
          <w:szCs w:val="21"/>
        </w:rPr>
        <w:t>SISTEMA ESTATAL DE EDUCACIÓN SUPERIOR</w:t>
      </w:r>
    </w:p>
    <w:p w14:paraId="1C900343" w14:textId="77777777" w:rsidR="00366FFB" w:rsidRPr="00743CF7" w:rsidRDefault="00366FFB" w:rsidP="00366FFB">
      <w:pPr>
        <w:autoSpaceDE w:val="0"/>
        <w:autoSpaceDN w:val="0"/>
        <w:adjustRightInd w:val="0"/>
        <w:jc w:val="center"/>
        <w:rPr>
          <w:rFonts w:ascii="Abadi" w:hAnsi="Abadi" w:cs="*Calibri-Bold-11512-Identity-H"/>
          <w:b/>
          <w:bCs/>
          <w:color w:val="0E0E0E"/>
          <w:sz w:val="21"/>
          <w:szCs w:val="21"/>
        </w:rPr>
      </w:pPr>
      <w:r w:rsidRPr="00743CF7">
        <w:rPr>
          <w:rFonts w:ascii="Abadi" w:hAnsi="Abadi" w:cs="*Calibri-Bold-11512-Identity-H"/>
          <w:b/>
          <w:bCs/>
          <w:color w:val="0E0E0E"/>
          <w:sz w:val="21"/>
          <w:szCs w:val="21"/>
        </w:rPr>
        <w:br/>
        <w:t xml:space="preserve">Capítulo </w:t>
      </w:r>
      <w:r>
        <w:rPr>
          <w:rFonts w:ascii="Abadi" w:hAnsi="Abadi" w:cs="*Calibri-Bold-11512-Identity-H"/>
          <w:b/>
          <w:bCs/>
          <w:color w:val="0E0E0E"/>
          <w:sz w:val="21"/>
          <w:szCs w:val="21"/>
        </w:rPr>
        <w:t>I</w:t>
      </w:r>
    </w:p>
    <w:p w14:paraId="5BD9EBAB" w14:textId="77777777" w:rsidR="00366FFB" w:rsidRPr="00743CF7" w:rsidRDefault="00366FFB" w:rsidP="00366FFB">
      <w:pPr>
        <w:autoSpaceDE w:val="0"/>
        <w:autoSpaceDN w:val="0"/>
        <w:adjustRightInd w:val="0"/>
        <w:jc w:val="center"/>
        <w:rPr>
          <w:rFonts w:ascii="Abadi" w:hAnsi="Abadi" w:cs="*Calibri-Bold-11514-Identity-H"/>
          <w:b/>
          <w:bCs/>
          <w:color w:val="0E0E0E"/>
          <w:sz w:val="21"/>
          <w:szCs w:val="21"/>
        </w:rPr>
      </w:pPr>
      <w:r w:rsidRPr="00743CF7">
        <w:rPr>
          <w:rFonts w:ascii="Abadi" w:hAnsi="Abadi" w:cs="*Calibri-Bold-11514-Identity-H"/>
          <w:b/>
          <w:bCs/>
          <w:color w:val="0E0E0E"/>
          <w:sz w:val="21"/>
          <w:szCs w:val="21"/>
        </w:rPr>
        <w:t>Sistema Estatal de Educación Superior</w:t>
      </w:r>
    </w:p>
    <w:p w14:paraId="5232E027" w14:textId="77777777" w:rsidR="00366FFB" w:rsidRDefault="00366FFB" w:rsidP="00366FFB">
      <w:pPr>
        <w:autoSpaceDE w:val="0"/>
        <w:autoSpaceDN w:val="0"/>
        <w:adjustRightInd w:val="0"/>
        <w:jc w:val="both"/>
        <w:rPr>
          <w:rFonts w:ascii="Abadi" w:hAnsi="Abadi" w:cs="*Calibri-BoldItalic-11513-Ident"/>
          <w:b/>
          <w:bCs/>
          <w:i/>
          <w:iCs/>
          <w:color w:val="0F0F0F"/>
          <w:sz w:val="21"/>
          <w:szCs w:val="21"/>
        </w:rPr>
      </w:pPr>
    </w:p>
    <w:p w14:paraId="04CE1AA1" w14:textId="77777777" w:rsidR="00366FFB" w:rsidRPr="00743CF7" w:rsidRDefault="00366FFB" w:rsidP="00366FFB">
      <w:pPr>
        <w:autoSpaceDE w:val="0"/>
        <w:autoSpaceDN w:val="0"/>
        <w:adjustRightInd w:val="0"/>
        <w:jc w:val="right"/>
        <w:rPr>
          <w:rFonts w:ascii="Abadi" w:hAnsi="Abadi" w:cs="*Calibri-BoldItalic-11513-Ident"/>
          <w:b/>
          <w:bCs/>
          <w:i/>
          <w:iCs/>
          <w:color w:val="0F0F0F"/>
          <w:sz w:val="21"/>
          <w:szCs w:val="21"/>
        </w:rPr>
      </w:pPr>
      <w:r w:rsidRPr="00743CF7">
        <w:rPr>
          <w:rFonts w:ascii="Abadi" w:hAnsi="Abadi" w:cs="*Calibri-BoldItalic-11513-Ident"/>
          <w:b/>
          <w:bCs/>
          <w:i/>
          <w:iCs/>
          <w:color w:val="0F0F0F"/>
          <w:sz w:val="21"/>
          <w:szCs w:val="21"/>
        </w:rPr>
        <w:t>Sistema Estatal de Educación Superior</w:t>
      </w:r>
    </w:p>
    <w:p w14:paraId="71E03986" w14:textId="77777777" w:rsidR="00366FFB" w:rsidRPr="00743CF7" w:rsidRDefault="00366FFB" w:rsidP="00366FFB">
      <w:pPr>
        <w:autoSpaceDE w:val="0"/>
        <w:autoSpaceDN w:val="0"/>
        <w:adjustRightInd w:val="0"/>
        <w:ind w:firstLine="708"/>
        <w:jc w:val="both"/>
        <w:rPr>
          <w:rFonts w:ascii="Abadi" w:hAnsi="Abadi" w:cs="*Microsoft Sans Serif-12512-Ide"/>
          <w:color w:val="2A2A2A"/>
          <w:sz w:val="21"/>
          <w:szCs w:val="21"/>
        </w:rPr>
      </w:pPr>
      <w:r w:rsidRPr="00743CF7">
        <w:rPr>
          <w:rFonts w:ascii="Abadi" w:hAnsi="Abadi" w:cs="*Calibri-Bold-11512-Identity-H"/>
          <w:b/>
          <w:bCs/>
          <w:color w:val="292929"/>
          <w:sz w:val="21"/>
          <w:szCs w:val="21"/>
        </w:rPr>
        <w:t xml:space="preserve">Artículo 48. </w:t>
      </w:r>
      <w:r w:rsidRPr="00743CF7">
        <w:rPr>
          <w:rFonts w:ascii="Abadi" w:hAnsi="Abadi" w:cs="*Microsoft Sans Serif-11516-Ide"/>
          <w:color w:val="292929"/>
          <w:sz w:val="21"/>
          <w:szCs w:val="21"/>
        </w:rPr>
        <w:t xml:space="preserve">El Sistema Estatal de Educación Superior, es el conjunto orgánico y articulado de actores, instituciones </w:t>
      </w:r>
      <w:r w:rsidRPr="00743CF7">
        <w:rPr>
          <w:rFonts w:ascii="Abadi" w:hAnsi="Abadi" w:cs="*Times New Roman-Italic-11508-I"/>
          <w:i/>
          <w:iCs/>
          <w:color w:val="292929"/>
          <w:sz w:val="21"/>
          <w:szCs w:val="21"/>
        </w:rPr>
        <w:t xml:space="preserve">y </w:t>
      </w:r>
      <w:r w:rsidRPr="00743CF7">
        <w:rPr>
          <w:rFonts w:ascii="Abadi" w:hAnsi="Abadi" w:cs="*Microsoft Sans Serif-11516-Ide"/>
          <w:color w:val="292929"/>
          <w:sz w:val="21"/>
          <w:szCs w:val="21"/>
        </w:rPr>
        <w:t xml:space="preserve">procesos para la prestación del servicio público de educación superior que imparte el Estado, sus Instituciones públicas de educación superior con autonomía </w:t>
      </w:r>
      <w:r w:rsidRPr="00743CF7">
        <w:rPr>
          <w:rFonts w:ascii="Abadi" w:hAnsi="Abadi" w:cs="*Times New Roman-Italic-11509-I"/>
          <w:i/>
          <w:iCs/>
          <w:color w:val="292929"/>
          <w:sz w:val="21"/>
          <w:szCs w:val="21"/>
        </w:rPr>
        <w:t xml:space="preserve">y </w:t>
      </w:r>
      <w:r w:rsidRPr="00743CF7">
        <w:rPr>
          <w:rFonts w:ascii="Abadi" w:hAnsi="Abadi" w:cs="*Microsoft Sans Serif-11516-Ide"/>
          <w:color w:val="292929"/>
          <w:sz w:val="21"/>
          <w:szCs w:val="21"/>
        </w:rPr>
        <w:t>organismos descentralizados, así como los particulares con autorización o reconocimiento de validez oficial de estudios y</w:t>
      </w:r>
      <w:r w:rsidRPr="00743CF7">
        <w:rPr>
          <w:rFonts w:ascii="Abadi" w:hAnsi="Abadi" w:cs="*Times New Roman-Italic-11508-I"/>
          <w:i/>
          <w:iCs/>
          <w:color w:val="292929"/>
          <w:sz w:val="21"/>
          <w:szCs w:val="21"/>
        </w:rPr>
        <w:t xml:space="preserve"> </w:t>
      </w:r>
      <w:r w:rsidRPr="00743CF7">
        <w:rPr>
          <w:rFonts w:ascii="Abadi" w:hAnsi="Abadi" w:cs="*Microsoft Sans Serif-12512-Ide"/>
          <w:color w:val="2A2A2A"/>
          <w:sz w:val="21"/>
          <w:szCs w:val="21"/>
        </w:rPr>
        <w:t>todos aquellos elementos que contribuyen al cumplimiento de los fines de la educación superior.</w:t>
      </w:r>
    </w:p>
    <w:p w14:paraId="420BBBDF" w14:textId="77777777" w:rsidR="00366FFB" w:rsidRPr="00743CF7" w:rsidRDefault="00366FFB" w:rsidP="00366FFB">
      <w:pPr>
        <w:autoSpaceDE w:val="0"/>
        <w:autoSpaceDN w:val="0"/>
        <w:adjustRightInd w:val="0"/>
        <w:jc w:val="both"/>
        <w:rPr>
          <w:rFonts w:ascii="Abadi" w:hAnsi="Abadi" w:cs="*Microsoft Sans Serif-12512-Ide"/>
          <w:color w:val="2A2A2A"/>
          <w:sz w:val="21"/>
          <w:szCs w:val="21"/>
        </w:rPr>
      </w:pPr>
    </w:p>
    <w:p w14:paraId="57332CF5" w14:textId="77777777" w:rsidR="00366FFB" w:rsidRPr="00743CF7" w:rsidRDefault="00366FFB" w:rsidP="00366FFB">
      <w:pPr>
        <w:autoSpaceDE w:val="0"/>
        <w:autoSpaceDN w:val="0"/>
        <w:adjustRightInd w:val="0"/>
        <w:jc w:val="both"/>
        <w:rPr>
          <w:rFonts w:ascii="Abadi" w:hAnsi="Abadi" w:cs="*Arial-BoldItalic-12509-Identit"/>
          <w:b/>
          <w:bCs/>
          <w:i/>
          <w:iCs/>
          <w:color w:val="121212"/>
          <w:sz w:val="21"/>
          <w:szCs w:val="21"/>
        </w:rPr>
      </w:pPr>
    </w:p>
    <w:p w14:paraId="61508FC3" w14:textId="77777777" w:rsidR="00366FFB" w:rsidRPr="00743CF7" w:rsidRDefault="00366FFB" w:rsidP="00366FFB">
      <w:pPr>
        <w:autoSpaceDE w:val="0"/>
        <w:autoSpaceDN w:val="0"/>
        <w:adjustRightInd w:val="0"/>
        <w:jc w:val="right"/>
        <w:rPr>
          <w:rFonts w:ascii="Abadi" w:hAnsi="Abadi" w:cs="*Arial-BoldItalic-12509-Identit"/>
          <w:b/>
          <w:bCs/>
          <w:i/>
          <w:iCs/>
          <w:color w:val="121212"/>
          <w:sz w:val="21"/>
          <w:szCs w:val="21"/>
        </w:rPr>
      </w:pPr>
      <w:r w:rsidRPr="00743CF7">
        <w:rPr>
          <w:rFonts w:ascii="Abadi" w:hAnsi="Abadi" w:cs="*Arial-BoldItalic-12509-Identit"/>
          <w:b/>
          <w:bCs/>
          <w:i/>
          <w:iCs/>
          <w:color w:val="121212"/>
          <w:sz w:val="21"/>
          <w:szCs w:val="21"/>
        </w:rPr>
        <w:t xml:space="preserve">Interrelación </w:t>
      </w:r>
      <w:r w:rsidRPr="00743CF7">
        <w:rPr>
          <w:rFonts w:ascii="Abadi" w:hAnsi="Abadi" w:cs="*Comic Sans MS-Bold-12511-Ident"/>
          <w:b/>
          <w:bCs/>
          <w:color w:val="121212"/>
          <w:sz w:val="21"/>
          <w:szCs w:val="21"/>
        </w:rPr>
        <w:t xml:space="preserve">con </w:t>
      </w:r>
      <w:r w:rsidRPr="00743CF7">
        <w:rPr>
          <w:rFonts w:ascii="Abadi" w:hAnsi="Abadi" w:cs="*Arial-BoldItalic-12509-Identit"/>
          <w:b/>
          <w:bCs/>
          <w:i/>
          <w:iCs/>
          <w:color w:val="121212"/>
          <w:sz w:val="21"/>
          <w:szCs w:val="21"/>
        </w:rPr>
        <w:t>otros tipos educativos</w:t>
      </w:r>
    </w:p>
    <w:p w14:paraId="6AA82718" w14:textId="77777777" w:rsidR="00366FFB" w:rsidRPr="00743CF7" w:rsidRDefault="00366FFB" w:rsidP="00366FFB">
      <w:pPr>
        <w:autoSpaceDE w:val="0"/>
        <w:autoSpaceDN w:val="0"/>
        <w:adjustRightInd w:val="0"/>
        <w:ind w:firstLine="708"/>
        <w:jc w:val="both"/>
        <w:rPr>
          <w:rFonts w:ascii="Abadi" w:hAnsi="Abadi" w:cs="*Microsoft Sans Serif-12512-Ide"/>
          <w:color w:val="292929"/>
          <w:sz w:val="21"/>
          <w:szCs w:val="21"/>
        </w:rPr>
      </w:pPr>
      <w:r w:rsidRPr="00743CF7">
        <w:rPr>
          <w:rFonts w:ascii="Abadi" w:hAnsi="Abadi" w:cs="*Comic Sans MS-Bold-12510-Ident"/>
          <w:b/>
          <w:bCs/>
          <w:color w:val="292929"/>
          <w:sz w:val="21"/>
          <w:szCs w:val="21"/>
        </w:rPr>
        <w:t xml:space="preserve">Artículo 49. </w:t>
      </w:r>
      <w:r w:rsidRPr="00743CF7">
        <w:rPr>
          <w:rFonts w:ascii="Abadi" w:hAnsi="Abadi" w:cs="*Microsoft Sans Serif-12512-Ide"/>
          <w:color w:val="292929"/>
          <w:sz w:val="21"/>
          <w:szCs w:val="21"/>
        </w:rPr>
        <w:t>La Secretaría, en conjunto con las Instituciones educativas</w:t>
      </w:r>
      <w:r>
        <w:rPr>
          <w:rFonts w:ascii="Abadi" w:hAnsi="Abadi" w:cs="*Microsoft Sans Serif-12512-Ide"/>
          <w:color w:val="292929"/>
          <w:sz w:val="21"/>
          <w:szCs w:val="21"/>
        </w:rPr>
        <w:t xml:space="preserve">, </w:t>
      </w:r>
      <w:r w:rsidRPr="00743CF7">
        <w:rPr>
          <w:rFonts w:ascii="Abadi" w:hAnsi="Abadi" w:cs="*Microsoft Sans Serif-12512-Ide"/>
          <w:color w:val="292929"/>
          <w:sz w:val="21"/>
          <w:szCs w:val="21"/>
        </w:rPr>
        <w:t>promoverá la vinculación y articulación con otros tipos educativos, mediante la formulación de estrategias que ofrezcan uno formación integral a los estudiantes, paro que cuenten con uno preparación académica que les permita la continuidad de su trayecto escolar y su egreso oportuno de educación superior.</w:t>
      </w:r>
    </w:p>
    <w:p w14:paraId="4FF0BC34" w14:textId="77777777" w:rsidR="00366FFB" w:rsidRPr="00743CF7" w:rsidRDefault="00366FFB" w:rsidP="00366FFB">
      <w:pPr>
        <w:autoSpaceDE w:val="0"/>
        <w:autoSpaceDN w:val="0"/>
        <w:adjustRightInd w:val="0"/>
        <w:jc w:val="both"/>
        <w:rPr>
          <w:rFonts w:ascii="Abadi" w:hAnsi="Abadi" w:cs="*Microsoft Sans Serif-12512-Ide"/>
          <w:color w:val="292929"/>
          <w:sz w:val="21"/>
          <w:szCs w:val="21"/>
        </w:rPr>
      </w:pPr>
    </w:p>
    <w:p w14:paraId="6170F3BA" w14:textId="77777777" w:rsidR="00366FFB" w:rsidRPr="00743CF7" w:rsidRDefault="00366FFB" w:rsidP="00366FFB">
      <w:pPr>
        <w:autoSpaceDE w:val="0"/>
        <w:autoSpaceDN w:val="0"/>
        <w:adjustRightInd w:val="0"/>
        <w:ind w:firstLine="708"/>
        <w:jc w:val="both"/>
        <w:rPr>
          <w:rFonts w:ascii="Abadi" w:hAnsi="Abadi" w:cs="*Microsoft Sans Serif-12512-Ide"/>
          <w:color w:val="2A2A2A"/>
          <w:sz w:val="21"/>
          <w:szCs w:val="21"/>
        </w:rPr>
      </w:pPr>
      <w:r w:rsidRPr="00743CF7">
        <w:rPr>
          <w:rFonts w:ascii="Abadi" w:hAnsi="Abadi" w:cs="*Microsoft Sans Serif-12512-Ide"/>
          <w:color w:val="2A2A2A"/>
          <w:sz w:val="21"/>
          <w:szCs w:val="21"/>
        </w:rPr>
        <w:t xml:space="preserve">Las autoridades educativas </w:t>
      </w:r>
      <w:r w:rsidRPr="00743CF7">
        <w:rPr>
          <w:rFonts w:ascii="Abadi" w:hAnsi="Abadi" w:cs="*Times New Roman-Italic-12506-I"/>
          <w:i/>
          <w:iCs/>
          <w:color w:val="2A2A2A"/>
          <w:sz w:val="21"/>
          <w:szCs w:val="21"/>
        </w:rPr>
        <w:t xml:space="preserve">y </w:t>
      </w:r>
      <w:r w:rsidRPr="00743CF7">
        <w:rPr>
          <w:rFonts w:ascii="Abadi" w:hAnsi="Abadi" w:cs="*Microsoft Sans Serif-12512-Ide"/>
          <w:color w:val="2A2A2A"/>
          <w:sz w:val="21"/>
          <w:szCs w:val="21"/>
        </w:rPr>
        <w:t xml:space="preserve">las instituciones de educación superior, en el ámbito de sus respectivas competencias y en ejercido de las atribuciones que les confieren los ordenamientos jurídicos aplicables, coadyuvarán al cumplimiento de la programación estratégica establecida en los sistemas educativos nacional y estatal. Asimismo, sus acciones responderán a la diversidad lingüística, regional y sociocultural del Estado, las desigualdades de género, así como de la población rural dispersa y grupos migratorios, además de las características </w:t>
      </w:r>
      <w:r w:rsidRPr="00743CF7">
        <w:rPr>
          <w:rFonts w:ascii="Abadi" w:hAnsi="Abadi" w:cs="*Times New Roman-Italic-12505-I"/>
          <w:i/>
          <w:iCs/>
          <w:color w:val="2A2A2A"/>
          <w:sz w:val="21"/>
          <w:szCs w:val="21"/>
        </w:rPr>
        <w:t xml:space="preserve">y </w:t>
      </w:r>
      <w:r w:rsidRPr="00743CF7">
        <w:rPr>
          <w:rFonts w:ascii="Abadi" w:hAnsi="Abadi" w:cs="*Microsoft Sans Serif-12512-Ide"/>
          <w:color w:val="2A2A2A"/>
          <w:sz w:val="21"/>
          <w:szCs w:val="21"/>
        </w:rPr>
        <w:t>necesidades</w:t>
      </w:r>
    </w:p>
    <w:p w14:paraId="4543026F" w14:textId="77777777" w:rsidR="00366FFB" w:rsidRPr="00743CF7" w:rsidRDefault="00366FFB" w:rsidP="00366FFB">
      <w:pPr>
        <w:autoSpaceDE w:val="0"/>
        <w:autoSpaceDN w:val="0"/>
        <w:adjustRightInd w:val="0"/>
        <w:jc w:val="both"/>
        <w:rPr>
          <w:rFonts w:ascii="Abadi" w:hAnsi="Abadi" w:cs="*Microsoft Sans Serif-12512-Ide"/>
          <w:color w:val="2A2A2A"/>
          <w:sz w:val="21"/>
          <w:szCs w:val="21"/>
        </w:rPr>
      </w:pPr>
      <w:r w:rsidRPr="00743CF7">
        <w:rPr>
          <w:rFonts w:ascii="Abadi" w:hAnsi="Abadi" w:cs="*Microsoft Sans Serif-12512-Ide"/>
          <w:color w:val="2A2A2A"/>
          <w:sz w:val="21"/>
          <w:szCs w:val="21"/>
        </w:rPr>
        <w:t>específicas de los diversos sectores de la población.</w:t>
      </w:r>
    </w:p>
    <w:p w14:paraId="36C12A53" w14:textId="77777777" w:rsidR="00366FFB" w:rsidRPr="00743CF7" w:rsidRDefault="00366FFB" w:rsidP="00366FFB">
      <w:pPr>
        <w:autoSpaceDE w:val="0"/>
        <w:autoSpaceDN w:val="0"/>
        <w:adjustRightInd w:val="0"/>
        <w:jc w:val="both"/>
        <w:rPr>
          <w:rFonts w:ascii="Abadi" w:hAnsi="Abadi" w:cs="*Microsoft Sans Serif-12512-Ide"/>
          <w:color w:val="2A2A2A"/>
          <w:sz w:val="21"/>
          <w:szCs w:val="21"/>
        </w:rPr>
      </w:pPr>
    </w:p>
    <w:p w14:paraId="2B818F5D" w14:textId="77777777" w:rsidR="00366FFB" w:rsidRPr="00743CF7" w:rsidRDefault="00366FFB" w:rsidP="00A91728">
      <w:pPr>
        <w:autoSpaceDE w:val="0"/>
        <w:autoSpaceDN w:val="0"/>
        <w:adjustRightInd w:val="0"/>
        <w:jc w:val="both"/>
        <w:rPr>
          <w:rFonts w:ascii="Abadi" w:hAnsi="Abadi" w:cs="*Arial-BoldItalic-12509-Identit"/>
          <w:b/>
          <w:bCs/>
          <w:i/>
          <w:iCs/>
          <w:color w:val="0F0F0F"/>
          <w:sz w:val="21"/>
          <w:szCs w:val="21"/>
        </w:rPr>
      </w:pPr>
      <w:r w:rsidRPr="00743CF7">
        <w:rPr>
          <w:rFonts w:ascii="Abadi" w:hAnsi="Abadi" w:cs="*Arial-BoldItalic-12509-Identit"/>
          <w:b/>
          <w:bCs/>
          <w:i/>
          <w:iCs/>
          <w:color w:val="0F0F0F"/>
          <w:sz w:val="21"/>
          <w:szCs w:val="21"/>
        </w:rPr>
        <w:t>Integración del Sistema Estatal de Educación Superior</w:t>
      </w:r>
    </w:p>
    <w:p w14:paraId="2465BB21" w14:textId="77777777" w:rsidR="00366FFB" w:rsidRPr="00743CF7" w:rsidRDefault="00366FFB" w:rsidP="00366FFB">
      <w:pPr>
        <w:autoSpaceDE w:val="0"/>
        <w:autoSpaceDN w:val="0"/>
        <w:adjustRightInd w:val="0"/>
        <w:ind w:firstLine="708"/>
        <w:jc w:val="both"/>
        <w:rPr>
          <w:rFonts w:ascii="Abadi" w:hAnsi="Abadi" w:cs="*Microsoft Sans Serif-12512-Ide"/>
          <w:color w:val="282828"/>
          <w:sz w:val="21"/>
          <w:szCs w:val="21"/>
        </w:rPr>
      </w:pPr>
      <w:r w:rsidRPr="00743CF7">
        <w:rPr>
          <w:rFonts w:ascii="Abadi" w:hAnsi="Abadi" w:cs="*Comic Sans MS-Bold-12510-Ident"/>
          <w:b/>
          <w:bCs/>
          <w:color w:val="282828"/>
          <w:sz w:val="21"/>
          <w:szCs w:val="21"/>
        </w:rPr>
        <w:t xml:space="preserve">Artículo </w:t>
      </w:r>
      <w:r w:rsidRPr="00743CF7">
        <w:rPr>
          <w:rFonts w:ascii="Abadi" w:hAnsi="Abadi" w:cs="*Microsoft Sans Serif-BoldItali"/>
          <w:b/>
          <w:bCs/>
          <w:i/>
          <w:iCs/>
          <w:color w:val="282828"/>
          <w:sz w:val="21"/>
          <w:szCs w:val="21"/>
        </w:rPr>
        <w:t xml:space="preserve">50. </w:t>
      </w:r>
      <w:r w:rsidRPr="00743CF7">
        <w:rPr>
          <w:rFonts w:ascii="Abadi" w:hAnsi="Abadi" w:cs="*Microsoft Sans Serif-12512-Ide"/>
          <w:color w:val="282828"/>
          <w:sz w:val="21"/>
          <w:szCs w:val="21"/>
        </w:rPr>
        <w:t>En el Sistema Estatal de Educación Superior participarán, con sentido de responsabilidad social, los actores, instituciones y procesos que lo componen y estará integrado por:</w:t>
      </w:r>
    </w:p>
    <w:p w14:paraId="6DC89A62" w14:textId="77777777" w:rsidR="00366FFB" w:rsidRPr="00743CF7" w:rsidRDefault="00366FFB" w:rsidP="00366FFB">
      <w:pPr>
        <w:autoSpaceDE w:val="0"/>
        <w:autoSpaceDN w:val="0"/>
        <w:adjustRightInd w:val="0"/>
        <w:jc w:val="both"/>
        <w:rPr>
          <w:rFonts w:ascii="Abadi" w:hAnsi="Abadi" w:cs="*Microsoft Sans Serif-12512-Ide"/>
          <w:color w:val="282828"/>
          <w:sz w:val="21"/>
          <w:szCs w:val="21"/>
        </w:rPr>
      </w:pPr>
    </w:p>
    <w:p w14:paraId="43D780B0" w14:textId="77777777" w:rsidR="00366FFB" w:rsidRDefault="00366FFB" w:rsidP="005C6EBB">
      <w:pPr>
        <w:pStyle w:val="Prrafodelista"/>
        <w:numPr>
          <w:ilvl w:val="0"/>
          <w:numId w:val="25"/>
        </w:numPr>
        <w:autoSpaceDE w:val="0"/>
        <w:autoSpaceDN w:val="0"/>
        <w:adjustRightInd w:val="0"/>
        <w:contextualSpacing/>
        <w:jc w:val="both"/>
        <w:rPr>
          <w:rFonts w:ascii="Abadi" w:hAnsi="Abadi" w:cs="*Microsoft Sans Serif-12512-Ide"/>
          <w:color w:val="292929"/>
          <w:sz w:val="21"/>
          <w:szCs w:val="21"/>
        </w:rPr>
      </w:pPr>
      <w:r w:rsidRPr="007C23F0">
        <w:rPr>
          <w:rFonts w:ascii="Abadi" w:hAnsi="Abadi" w:cs="*Microsoft Sans Serif-12512-Ide"/>
          <w:color w:val="292929"/>
          <w:sz w:val="21"/>
          <w:szCs w:val="21"/>
        </w:rPr>
        <w:t xml:space="preserve">Las </w:t>
      </w:r>
      <w:r w:rsidRPr="007C23F0">
        <w:rPr>
          <w:rFonts w:ascii="Abadi" w:hAnsi="Abadi" w:cs="*Times New Roman-Italic-12505-I"/>
          <w:i/>
          <w:iCs/>
          <w:color w:val="292929"/>
          <w:sz w:val="21"/>
          <w:szCs w:val="21"/>
        </w:rPr>
        <w:t xml:space="preserve">y </w:t>
      </w:r>
      <w:r w:rsidRPr="007C23F0">
        <w:rPr>
          <w:rFonts w:ascii="Abadi" w:hAnsi="Abadi" w:cs="*Microsoft Sans Serif-12512-Ide"/>
          <w:color w:val="292929"/>
          <w:sz w:val="21"/>
          <w:szCs w:val="21"/>
        </w:rPr>
        <w:t>los estudiantes de las instituciones de educación superior;</w:t>
      </w:r>
    </w:p>
    <w:p w14:paraId="3D70A6BF" w14:textId="77777777" w:rsidR="00366FFB" w:rsidRPr="007C23F0" w:rsidRDefault="00366FFB" w:rsidP="00366FFB">
      <w:pPr>
        <w:pStyle w:val="Prrafodelista"/>
        <w:autoSpaceDE w:val="0"/>
        <w:autoSpaceDN w:val="0"/>
        <w:adjustRightInd w:val="0"/>
        <w:ind w:left="720"/>
        <w:jc w:val="both"/>
        <w:rPr>
          <w:rFonts w:ascii="Abadi" w:hAnsi="Abadi" w:cs="*Microsoft Sans Serif-12512-Ide"/>
          <w:color w:val="292929"/>
          <w:sz w:val="21"/>
          <w:szCs w:val="21"/>
        </w:rPr>
      </w:pPr>
    </w:p>
    <w:p w14:paraId="25B9B9D1" w14:textId="77777777" w:rsidR="00366FFB" w:rsidRDefault="00366FFB" w:rsidP="005C6EBB">
      <w:pPr>
        <w:pStyle w:val="Prrafodelista"/>
        <w:numPr>
          <w:ilvl w:val="0"/>
          <w:numId w:val="25"/>
        </w:numPr>
        <w:autoSpaceDE w:val="0"/>
        <w:autoSpaceDN w:val="0"/>
        <w:adjustRightInd w:val="0"/>
        <w:contextualSpacing/>
        <w:jc w:val="both"/>
        <w:rPr>
          <w:rFonts w:ascii="Abadi" w:hAnsi="Abadi" w:cs="*Microsoft Sans Serif-12512-Ide"/>
          <w:color w:val="292929"/>
          <w:sz w:val="21"/>
          <w:szCs w:val="21"/>
        </w:rPr>
      </w:pPr>
      <w:r w:rsidRPr="007C23F0">
        <w:rPr>
          <w:rFonts w:ascii="Abadi" w:hAnsi="Abadi" w:cs="*Microsoft Sans Serif-12512-Ide"/>
          <w:color w:val="292929"/>
          <w:sz w:val="21"/>
          <w:szCs w:val="21"/>
        </w:rPr>
        <w:t>El personal académico de las instituciones de educación superior;</w:t>
      </w:r>
    </w:p>
    <w:p w14:paraId="611A44E4" w14:textId="77777777" w:rsidR="00366FFB" w:rsidRPr="007C23F0" w:rsidRDefault="00366FFB" w:rsidP="00366FFB">
      <w:pPr>
        <w:pStyle w:val="Prrafodelista"/>
        <w:rPr>
          <w:rFonts w:ascii="Abadi" w:hAnsi="Abadi" w:cs="*Microsoft Sans Serif-12512-Ide"/>
          <w:color w:val="292929"/>
          <w:sz w:val="21"/>
          <w:szCs w:val="21"/>
        </w:rPr>
      </w:pPr>
    </w:p>
    <w:p w14:paraId="47D1C0FC" w14:textId="77777777" w:rsidR="00366FFB" w:rsidRDefault="00366FFB" w:rsidP="005C6EBB">
      <w:pPr>
        <w:pStyle w:val="Prrafodelista"/>
        <w:numPr>
          <w:ilvl w:val="0"/>
          <w:numId w:val="25"/>
        </w:numPr>
        <w:autoSpaceDE w:val="0"/>
        <w:autoSpaceDN w:val="0"/>
        <w:adjustRightInd w:val="0"/>
        <w:contextualSpacing/>
        <w:jc w:val="both"/>
        <w:rPr>
          <w:rFonts w:ascii="Abadi" w:hAnsi="Abadi" w:cs="*Microsoft Sans Serif-12512-Ide"/>
          <w:color w:val="272727"/>
          <w:sz w:val="21"/>
          <w:szCs w:val="21"/>
        </w:rPr>
      </w:pPr>
      <w:r w:rsidRPr="007C23F0">
        <w:rPr>
          <w:rFonts w:ascii="Abadi" w:hAnsi="Abadi" w:cs="*Microsoft Sans Serif-12512-Ide"/>
          <w:color w:val="272727"/>
          <w:sz w:val="21"/>
          <w:szCs w:val="21"/>
        </w:rPr>
        <w:t>El personal administrativo de las instituciones de educación superior;</w:t>
      </w:r>
    </w:p>
    <w:p w14:paraId="54E55B70" w14:textId="77777777" w:rsidR="00366FFB" w:rsidRPr="007C23F0" w:rsidRDefault="00366FFB" w:rsidP="00366FFB">
      <w:pPr>
        <w:pStyle w:val="Prrafodelista"/>
        <w:rPr>
          <w:rFonts w:ascii="Abadi" w:hAnsi="Abadi" w:cs="*Microsoft Sans Serif-12512-Ide"/>
          <w:color w:val="272727"/>
          <w:sz w:val="21"/>
          <w:szCs w:val="21"/>
        </w:rPr>
      </w:pPr>
    </w:p>
    <w:p w14:paraId="7DF1B3FF" w14:textId="77777777" w:rsidR="00366FFB" w:rsidRPr="007C23F0" w:rsidRDefault="00366FFB" w:rsidP="00366FFB">
      <w:pPr>
        <w:pStyle w:val="Prrafodelista"/>
        <w:autoSpaceDE w:val="0"/>
        <w:autoSpaceDN w:val="0"/>
        <w:adjustRightInd w:val="0"/>
        <w:ind w:left="720"/>
        <w:jc w:val="both"/>
        <w:rPr>
          <w:rFonts w:ascii="Abadi" w:hAnsi="Abadi" w:cs="*Microsoft Sans Serif-12512-Ide"/>
          <w:color w:val="272727"/>
          <w:sz w:val="21"/>
          <w:szCs w:val="21"/>
        </w:rPr>
      </w:pPr>
    </w:p>
    <w:p w14:paraId="3C933573" w14:textId="77777777" w:rsidR="00366FFB" w:rsidRDefault="00366FFB" w:rsidP="005C6EBB">
      <w:pPr>
        <w:pStyle w:val="Prrafodelista"/>
        <w:numPr>
          <w:ilvl w:val="0"/>
          <w:numId w:val="25"/>
        </w:numPr>
        <w:spacing w:after="160" w:line="259" w:lineRule="auto"/>
        <w:contextualSpacing/>
        <w:jc w:val="both"/>
        <w:rPr>
          <w:rFonts w:ascii="Abadi" w:hAnsi="Abadi" w:cs="*Microsoft Sans Serif-12512-Ide"/>
          <w:color w:val="292929"/>
          <w:sz w:val="21"/>
          <w:szCs w:val="21"/>
        </w:rPr>
      </w:pPr>
      <w:r w:rsidRPr="007C23F0">
        <w:rPr>
          <w:rFonts w:ascii="Abadi" w:hAnsi="Abadi" w:cs="*Microsoft Sans Serif-12512-Ide"/>
          <w:color w:val="292929"/>
          <w:sz w:val="21"/>
          <w:szCs w:val="21"/>
        </w:rPr>
        <w:t>Las autoridades educativas estatales y de los Ayuntamientos;</w:t>
      </w:r>
    </w:p>
    <w:p w14:paraId="76764155" w14:textId="77777777" w:rsidR="00366FFB" w:rsidRPr="007C23F0" w:rsidRDefault="00366FFB" w:rsidP="00366FFB">
      <w:pPr>
        <w:pStyle w:val="Prrafodelista"/>
        <w:ind w:left="720"/>
        <w:jc w:val="both"/>
        <w:rPr>
          <w:rFonts w:ascii="Abadi" w:hAnsi="Abadi" w:cs="*Microsoft Sans Serif-12512-Ide"/>
          <w:color w:val="292929"/>
          <w:sz w:val="21"/>
          <w:szCs w:val="21"/>
        </w:rPr>
      </w:pPr>
    </w:p>
    <w:p w14:paraId="31B561CD" w14:textId="77777777" w:rsidR="00366FFB" w:rsidRPr="007C23F0" w:rsidRDefault="00366FFB" w:rsidP="005C6EBB">
      <w:pPr>
        <w:pStyle w:val="Prrafodelista"/>
        <w:numPr>
          <w:ilvl w:val="0"/>
          <w:numId w:val="25"/>
        </w:numPr>
        <w:autoSpaceDE w:val="0"/>
        <w:autoSpaceDN w:val="0"/>
        <w:adjustRightInd w:val="0"/>
        <w:contextualSpacing/>
        <w:jc w:val="both"/>
        <w:rPr>
          <w:rFonts w:ascii="Abadi" w:hAnsi="Abadi" w:cs="*Arial-10738-Identity-H"/>
          <w:color w:val="2B2B2B"/>
          <w:sz w:val="21"/>
          <w:szCs w:val="21"/>
        </w:rPr>
      </w:pPr>
      <w:r w:rsidRPr="007C23F0">
        <w:rPr>
          <w:rFonts w:ascii="Abadi" w:hAnsi="Abadi" w:cs="*Arial-10738-Identity-H"/>
          <w:color w:val="2B2B2B"/>
          <w:sz w:val="21"/>
          <w:szCs w:val="21"/>
        </w:rPr>
        <w:t>Las instituciones de educación superior del Estado, sus organismos descentralizados y desconcentrados, así como los subsistemas en que se organice la educación superior:</w:t>
      </w:r>
    </w:p>
    <w:p w14:paraId="1675BC22" w14:textId="77777777" w:rsidR="00366FFB" w:rsidRPr="00743CF7" w:rsidRDefault="00366FFB" w:rsidP="00366FFB">
      <w:pPr>
        <w:autoSpaceDE w:val="0"/>
        <w:autoSpaceDN w:val="0"/>
        <w:adjustRightInd w:val="0"/>
        <w:jc w:val="both"/>
        <w:rPr>
          <w:rFonts w:ascii="Abadi" w:hAnsi="Abadi" w:cs="*Arial-Bold-10739-Identity-H"/>
          <w:b/>
          <w:bCs/>
          <w:color w:val="2C2C2C"/>
          <w:sz w:val="21"/>
          <w:szCs w:val="21"/>
        </w:rPr>
      </w:pPr>
    </w:p>
    <w:p w14:paraId="3DBF22D8" w14:textId="77777777" w:rsidR="00366FFB" w:rsidRPr="007C23F0" w:rsidRDefault="00366FFB" w:rsidP="005C6EBB">
      <w:pPr>
        <w:pStyle w:val="Prrafodelista"/>
        <w:numPr>
          <w:ilvl w:val="0"/>
          <w:numId w:val="25"/>
        </w:numPr>
        <w:autoSpaceDE w:val="0"/>
        <w:autoSpaceDN w:val="0"/>
        <w:adjustRightInd w:val="0"/>
        <w:contextualSpacing/>
        <w:jc w:val="both"/>
        <w:rPr>
          <w:rFonts w:ascii="Abadi" w:hAnsi="Abadi" w:cs="*Arial-10738-Identity-H"/>
          <w:color w:val="2C2C2C"/>
          <w:sz w:val="21"/>
          <w:szCs w:val="21"/>
        </w:rPr>
      </w:pPr>
      <w:r w:rsidRPr="007C23F0">
        <w:rPr>
          <w:rFonts w:ascii="Abadi" w:hAnsi="Abadi" w:cs="*Arial-10738-Identity-H"/>
          <w:color w:val="2C2C2C"/>
          <w:sz w:val="21"/>
          <w:szCs w:val="21"/>
        </w:rPr>
        <w:t>Las instituciones particulares de educación superior con autorización o reconocimiento de validez oficial de estudios;</w:t>
      </w:r>
    </w:p>
    <w:p w14:paraId="68A87EAD" w14:textId="77777777" w:rsidR="00366FFB" w:rsidRPr="00743CF7" w:rsidRDefault="00366FFB" w:rsidP="00366FFB">
      <w:pPr>
        <w:autoSpaceDE w:val="0"/>
        <w:autoSpaceDN w:val="0"/>
        <w:adjustRightInd w:val="0"/>
        <w:jc w:val="both"/>
        <w:rPr>
          <w:rFonts w:ascii="Abadi" w:hAnsi="Abadi" w:cs="*Arial-Bold-10739-Identity-H"/>
          <w:b/>
          <w:bCs/>
          <w:color w:val="242424"/>
          <w:sz w:val="21"/>
          <w:szCs w:val="21"/>
        </w:rPr>
      </w:pPr>
    </w:p>
    <w:p w14:paraId="23109442" w14:textId="77777777" w:rsidR="00366FFB" w:rsidRPr="007C23F0" w:rsidRDefault="00366FFB" w:rsidP="005C6EBB">
      <w:pPr>
        <w:pStyle w:val="Prrafodelista"/>
        <w:numPr>
          <w:ilvl w:val="0"/>
          <w:numId w:val="25"/>
        </w:numPr>
        <w:autoSpaceDE w:val="0"/>
        <w:autoSpaceDN w:val="0"/>
        <w:adjustRightInd w:val="0"/>
        <w:contextualSpacing/>
        <w:jc w:val="both"/>
        <w:rPr>
          <w:rFonts w:ascii="Abadi" w:hAnsi="Abadi" w:cs="*Arial-10738-Identity-H"/>
          <w:color w:val="242424"/>
          <w:sz w:val="21"/>
          <w:szCs w:val="21"/>
        </w:rPr>
      </w:pPr>
      <w:r w:rsidRPr="007C23F0">
        <w:rPr>
          <w:rFonts w:ascii="Abadi" w:hAnsi="Abadi" w:cs="*Arial-10738-Identity-H"/>
          <w:color w:val="242424"/>
          <w:sz w:val="21"/>
          <w:szCs w:val="21"/>
        </w:rPr>
        <w:t>Los programas educativos;</w:t>
      </w:r>
    </w:p>
    <w:p w14:paraId="4E14608C" w14:textId="77777777" w:rsidR="00366FFB" w:rsidRPr="00743CF7" w:rsidRDefault="00366FFB" w:rsidP="00366FFB">
      <w:pPr>
        <w:autoSpaceDE w:val="0"/>
        <w:autoSpaceDN w:val="0"/>
        <w:adjustRightInd w:val="0"/>
        <w:jc w:val="both"/>
        <w:rPr>
          <w:rFonts w:ascii="Abadi" w:hAnsi="Abadi" w:cs="*Arial-Bold-10739-Identity-H"/>
          <w:b/>
          <w:bCs/>
          <w:color w:val="2A2A2A"/>
          <w:sz w:val="21"/>
          <w:szCs w:val="21"/>
        </w:rPr>
      </w:pPr>
    </w:p>
    <w:p w14:paraId="7EC8BA04" w14:textId="77777777" w:rsidR="00366FFB" w:rsidRPr="007C23F0" w:rsidRDefault="00366FFB" w:rsidP="005C6EBB">
      <w:pPr>
        <w:pStyle w:val="Prrafodelista"/>
        <w:numPr>
          <w:ilvl w:val="0"/>
          <w:numId w:val="25"/>
        </w:numPr>
        <w:autoSpaceDE w:val="0"/>
        <w:autoSpaceDN w:val="0"/>
        <w:adjustRightInd w:val="0"/>
        <w:contextualSpacing/>
        <w:jc w:val="both"/>
        <w:rPr>
          <w:rFonts w:ascii="Abadi" w:hAnsi="Abadi" w:cs="*Arial-10738-Identity-H"/>
          <w:color w:val="2A2A2A"/>
          <w:sz w:val="21"/>
          <w:szCs w:val="21"/>
        </w:rPr>
      </w:pPr>
      <w:r w:rsidRPr="007C23F0">
        <w:rPr>
          <w:rFonts w:ascii="Abadi" w:hAnsi="Abadi" w:cs="*Arial-10738-Identity-H"/>
          <w:color w:val="2A2A2A"/>
          <w:sz w:val="21"/>
          <w:szCs w:val="21"/>
        </w:rPr>
        <w:t>Los instrumentos legales, administrativos y económicos de apoyo a la educación superior;</w:t>
      </w:r>
    </w:p>
    <w:p w14:paraId="75951F84" w14:textId="77777777" w:rsidR="00366FFB" w:rsidRDefault="00366FFB" w:rsidP="00366FFB">
      <w:pPr>
        <w:pStyle w:val="Prrafodelista"/>
        <w:autoSpaceDE w:val="0"/>
        <w:autoSpaceDN w:val="0"/>
        <w:adjustRightInd w:val="0"/>
        <w:ind w:left="720"/>
        <w:jc w:val="both"/>
        <w:rPr>
          <w:rFonts w:ascii="Abadi" w:hAnsi="Abadi" w:cs="*Arial-10738-Identity-H"/>
          <w:color w:val="292929"/>
          <w:sz w:val="21"/>
          <w:szCs w:val="21"/>
        </w:rPr>
      </w:pPr>
    </w:p>
    <w:p w14:paraId="74E6F2BA" w14:textId="77777777" w:rsidR="00366FFB" w:rsidRPr="007C23F0" w:rsidRDefault="00366FFB" w:rsidP="005C6EBB">
      <w:pPr>
        <w:pStyle w:val="Prrafodelista"/>
        <w:numPr>
          <w:ilvl w:val="0"/>
          <w:numId w:val="25"/>
        </w:numPr>
        <w:autoSpaceDE w:val="0"/>
        <w:autoSpaceDN w:val="0"/>
        <w:adjustRightInd w:val="0"/>
        <w:contextualSpacing/>
        <w:jc w:val="both"/>
        <w:rPr>
          <w:rFonts w:ascii="Abadi" w:hAnsi="Abadi" w:cs="*Arial-10738-Identity-H"/>
          <w:color w:val="292929"/>
          <w:sz w:val="21"/>
          <w:szCs w:val="21"/>
        </w:rPr>
      </w:pPr>
      <w:r w:rsidRPr="007C23F0">
        <w:rPr>
          <w:rFonts w:ascii="Abadi" w:hAnsi="Abadi" w:cs="*Arial-10738-Identity-H"/>
          <w:color w:val="292929"/>
          <w:sz w:val="21"/>
          <w:szCs w:val="21"/>
        </w:rPr>
        <w:t>Las políticas en materia de educación superior;</w:t>
      </w:r>
    </w:p>
    <w:p w14:paraId="5AFAB970" w14:textId="77777777" w:rsidR="00366FFB" w:rsidRPr="00743CF7" w:rsidRDefault="00366FFB" w:rsidP="00366FFB">
      <w:pPr>
        <w:autoSpaceDE w:val="0"/>
        <w:autoSpaceDN w:val="0"/>
        <w:adjustRightInd w:val="0"/>
        <w:jc w:val="both"/>
        <w:rPr>
          <w:rFonts w:ascii="Abadi" w:hAnsi="Abadi" w:cs="*Calibri-Bold-10737-Identity-H"/>
          <w:b/>
          <w:bCs/>
          <w:color w:val="2B2B2B"/>
          <w:sz w:val="21"/>
          <w:szCs w:val="21"/>
        </w:rPr>
      </w:pPr>
    </w:p>
    <w:p w14:paraId="5FA8DEDE" w14:textId="77777777" w:rsidR="00366FFB" w:rsidRPr="007C23F0" w:rsidRDefault="00366FFB" w:rsidP="005C6EBB">
      <w:pPr>
        <w:pStyle w:val="Prrafodelista"/>
        <w:numPr>
          <w:ilvl w:val="0"/>
          <w:numId w:val="25"/>
        </w:numPr>
        <w:autoSpaceDE w:val="0"/>
        <w:autoSpaceDN w:val="0"/>
        <w:adjustRightInd w:val="0"/>
        <w:contextualSpacing/>
        <w:jc w:val="both"/>
        <w:rPr>
          <w:rFonts w:ascii="Abadi" w:hAnsi="Abadi" w:cs="*Arial-10738-Identity-H"/>
          <w:color w:val="2B2B2B"/>
          <w:sz w:val="21"/>
          <w:szCs w:val="21"/>
        </w:rPr>
      </w:pPr>
      <w:r w:rsidRPr="007C23F0">
        <w:rPr>
          <w:rFonts w:ascii="Abadi" w:hAnsi="Abadi" w:cs="*Arial-10738-Identity-H"/>
          <w:color w:val="2B2B2B"/>
          <w:sz w:val="21"/>
          <w:szCs w:val="21"/>
        </w:rPr>
        <w:t>Las instancias colegiadas de vinculación, participación y consulta derivadas de esta Ley;</w:t>
      </w:r>
    </w:p>
    <w:p w14:paraId="6C7ADB0A" w14:textId="77777777" w:rsidR="00366FFB" w:rsidRPr="00743CF7" w:rsidRDefault="00366FFB" w:rsidP="00366FFB">
      <w:pPr>
        <w:autoSpaceDE w:val="0"/>
        <w:autoSpaceDN w:val="0"/>
        <w:adjustRightInd w:val="0"/>
        <w:jc w:val="both"/>
        <w:rPr>
          <w:rFonts w:ascii="Abadi" w:hAnsi="Abadi" w:cs="*Calibri-Bold-10737-Identity-H"/>
          <w:b/>
          <w:bCs/>
          <w:color w:val="2B2B2B"/>
          <w:sz w:val="21"/>
          <w:szCs w:val="21"/>
        </w:rPr>
      </w:pPr>
    </w:p>
    <w:p w14:paraId="4031FA28" w14:textId="77777777" w:rsidR="00366FFB" w:rsidRPr="007C23F0" w:rsidRDefault="00366FFB" w:rsidP="005C6EBB">
      <w:pPr>
        <w:pStyle w:val="Prrafodelista"/>
        <w:numPr>
          <w:ilvl w:val="0"/>
          <w:numId w:val="25"/>
        </w:numPr>
        <w:autoSpaceDE w:val="0"/>
        <w:autoSpaceDN w:val="0"/>
        <w:adjustRightInd w:val="0"/>
        <w:contextualSpacing/>
        <w:jc w:val="both"/>
        <w:rPr>
          <w:rFonts w:ascii="Abadi" w:hAnsi="Abadi" w:cs="*Arial-10738-Identity-H"/>
          <w:color w:val="2B2B2B"/>
          <w:sz w:val="21"/>
          <w:szCs w:val="21"/>
        </w:rPr>
      </w:pPr>
      <w:r w:rsidRPr="007C23F0">
        <w:rPr>
          <w:rFonts w:ascii="Abadi" w:hAnsi="Abadi" w:cs="*Arial-10738-Identity-H"/>
          <w:color w:val="2B2B2B"/>
          <w:sz w:val="21"/>
          <w:szCs w:val="21"/>
        </w:rPr>
        <w:t>La Comisión Estatal para la Planeación de la Educación Superior o instancia equivalente; y</w:t>
      </w:r>
    </w:p>
    <w:p w14:paraId="58569D2F" w14:textId="77777777" w:rsidR="00366FFB" w:rsidRPr="00743CF7" w:rsidRDefault="00366FFB" w:rsidP="00366FFB">
      <w:pPr>
        <w:autoSpaceDE w:val="0"/>
        <w:autoSpaceDN w:val="0"/>
        <w:adjustRightInd w:val="0"/>
        <w:jc w:val="both"/>
        <w:rPr>
          <w:rFonts w:ascii="Abadi" w:hAnsi="Abadi" w:cs="*Microsoft Sans Serif-Bold-1074"/>
          <w:b/>
          <w:bCs/>
          <w:color w:val="272727"/>
          <w:sz w:val="21"/>
          <w:szCs w:val="21"/>
        </w:rPr>
      </w:pPr>
    </w:p>
    <w:p w14:paraId="0DD8E6F3" w14:textId="77777777" w:rsidR="00366FFB" w:rsidRPr="007C23F0" w:rsidRDefault="00366FFB" w:rsidP="005C6EBB">
      <w:pPr>
        <w:pStyle w:val="Prrafodelista"/>
        <w:numPr>
          <w:ilvl w:val="0"/>
          <w:numId w:val="25"/>
        </w:numPr>
        <w:autoSpaceDE w:val="0"/>
        <w:autoSpaceDN w:val="0"/>
        <w:adjustRightInd w:val="0"/>
        <w:contextualSpacing/>
        <w:jc w:val="both"/>
        <w:rPr>
          <w:rFonts w:ascii="Abadi" w:hAnsi="Abadi" w:cs="*Arial-10738-Identity-H"/>
          <w:color w:val="272727"/>
          <w:sz w:val="21"/>
          <w:szCs w:val="21"/>
        </w:rPr>
      </w:pPr>
      <w:r w:rsidRPr="007C23F0">
        <w:rPr>
          <w:rFonts w:ascii="Abadi" w:hAnsi="Abadi" w:cs="*Arial-10738-Identity-H"/>
          <w:color w:val="272727"/>
          <w:sz w:val="21"/>
          <w:szCs w:val="21"/>
        </w:rPr>
        <w:t>Todos los demás actores que participen en la prestación del servicio público de educación superior.</w:t>
      </w:r>
    </w:p>
    <w:p w14:paraId="5520A7B5" w14:textId="15EEEB32" w:rsidR="00366FFB" w:rsidRDefault="00366FFB" w:rsidP="00366FFB">
      <w:pPr>
        <w:pStyle w:val="Prrafodelista"/>
        <w:autoSpaceDE w:val="0"/>
        <w:autoSpaceDN w:val="0"/>
        <w:adjustRightInd w:val="0"/>
        <w:ind w:left="720"/>
        <w:jc w:val="both"/>
        <w:rPr>
          <w:rFonts w:ascii="Abadi" w:hAnsi="Abadi" w:cs="*Arial-10738-Identity-H"/>
          <w:color w:val="272727"/>
          <w:sz w:val="21"/>
          <w:szCs w:val="21"/>
        </w:rPr>
      </w:pPr>
    </w:p>
    <w:p w14:paraId="09C19F7B" w14:textId="640FDBA4" w:rsidR="00A91728" w:rsidRDefault="00A91728" w:rsidP="00366FFB">
      <w:pPr>
        <w:pStyle w:val="Prrafodelista"/>
        <w:autoSpaceDE w:val="0"/>
        <w:autoSpaceDN w:val="0"/>
        <w:adjustRightInd w:val="0"/>
        <w:ind w:left="720"/>
        <w:jc w:val="both"/>
        <w:rPr>
          <w:rFonts w:ascii="Abadi" w:hAnsi="Abadi" w:cs="*Arial-10738-Identity-H"/>
          <w:color w:val="272727"/>
          <w:sz w:val="21"/>
          <w:szCs w:val="21"/>
        </w:rPr>
      </w:pPr>
    </w:p>
    <w:p w14:paraId="4F6A17FD" w14:textId="77777777" w:rsidR="00A91728" w:rsidRPr="007C23F0" w:rsidRDefault="00A91728" w:rsidP="00366FFB">
      <w:pPr>
        <w:pStyle w:val="Prrafodelista"/>
        <w:autoSpaceDE w:val="0"/>
        <w:autoSpaceDN w:val="0"/>
        <w:adjustRightInd w:val="0"/>
        <w:ind w:left="720"/>
        <w:jc w:val="both"/>
        <w:rPr>
          <w:rFonts w:ascii="Abadi" w:hAnsi="Abadi" w:cs="*Arial-10738-Identity-H"/>
          <w:color w:val="272727"/>
          <w:sz w:val="21"/>
          <w:szCs w:val="21"/>
        </w:rPr>
      </w:pPr>
    </w:p>
    <w:p w14:paraId="60CEA3C4" w14:textId="77777777" w:rsidR="00366FFB" w:rsidRPr="00743CF7" w:rsidRDefault="00366FFB" w:rsidP="00A91728">
      <w:pPr>
        <w:autoSpaceDE w:val="0"/>
        <w:autoSpaceDN w:val="0"/>
        <w:adjustRightInd w:val="0"/>
        <w:jc w:val="both"/>
        <w:rPr>
          <w:rFonts w:ascii="Abadi" w:hAnsi="Abadi" w:cs="*Arial-BoldItalic-10740-Identit"/>
          <w:b/>
          <w:bCs/>
          <w:i/>
          <w:iCs/>
          <w:color w:val="111111"/>
          <w:sz w:val="21"/>
          <w:szCs w:val="21"/>
        </w:rPr>
      </w:pPr>
      <w:r w:rsidRPr="00743CF7">
        <w:rPr>
          <w:rFonts w:ascii="Abadi" w:hAnsi="Abadi" w:cs="*Arial-BoldItalic-10740-Identit"/>
          <w:b/>
          <w:bCs/>
          <w:i/>
          <w:iCs/>
          <w:color w:val="111111"/>
          <w:sz w:val="21"/>
          <w:szCs w:val="21"/>
        </w:rPr>
        <w:t>Propósitos del Sistema Estatal de Educación Superior</w:t>
      </w:r>
    </w:p>
    <w:p w14:paraId="726D8E4F" w14:textId="77777777" w:rsidR="00366FFB" w:rsidRPr="00743CF7" w:rsidRDefault="00366FFB" w:rsidP="00366FFB">
      <w:pPr>
        <w:autoSpaceDE w:val="0"/>
        <w:autoSpaceDN w:val="0"/>
        <w:adjustRightInd w:val="0"/>
        <w:ind w:firstLine="708"/>
        <w:jc w:val="both"/>
        <w:rPr>
          <w:rFonts w:ascii="Abadi" w:hAnsi="Abadi" w:cs="*Arial-10738-Identity-H"/>
          <w:color w:val="292929"/>
          <w:sz w:val="21"/>
          <w:szCs w:val="21"/>
        </w:rPr>
      </w:pPr>
      <w:r w:rsidRPr="00743CF7">
        <w:rPr>
          <w:rFonts w:ascii="Abadi" w:hAnsi="Abadi" w:cs="*Arial-Bold-10739-Identity-H"/>
          <w:b/>
          <w:bCs/>
          <w:color w:val="292929"/>
          <w:sz w:val="21"/>
          <w:szCs w:val="21"/>
        </w:rPr>
        <w:t xml:space="preserve">Artículo 51. </w:t>
      </w:r>
      <w:r w:rsidRPr="00743CF7">
        <w:rPr>
          <w:rFonts w:ascii="Abadi" w:hAnsi="Abadi" w:cs="*Arial-10738-Identity-H"/>
          <w:color w:val="292929"/>
          <w:sz w:val="21"/>
          <w:szCs w:val="21"/>
        </w:rPr>
        <w:t>El Sistema Estatal de Educación Superior, tendrá los propósitos siguientes:</w:t>
      </w:r>
    </w:p>
    <w:p w14:paraId="6FF9736B" w14:textId="77777777" w:rsidR="00366FFB" w:rsidRPr="00743CF7" w:rsidRDefault="00366FFB" w:rsidP="00366FFB">
      <w:pPr>
        <w:autoSpaceDE w:val="0"/>
        <w:autoSpaceDN w:val="0"/>
        <w:adjustRightInd w:val="0"/>
        <w:jc w:val="both"/>
        <w:rPr>
          <w:rFonts w:ascii="Abadi" w:hAnsi="Abadi" w:cs="*Arial-10738-Identity-H"/>
          <w:color w:val="292929"/>
          <w:sz w:val="21"/>
          <w:szCs w:val="21"/>
        </w:rPr>
      </w:pPr>
    </w:p>
    <w:p w14:paraId="4FCDC07D" w14:textId="77777777" w:rsidR="00366FFB" w:rsidRPr="0078144D" w:rsidRDefault="00366FFB" w:rsidP="005C6EBB">
      <w:pPr>
        <w:pStyle w:val="Prrafodelista"/>
        <w:numPr>
          <w:ilvl w:val="0"/>
          <w:numId w:val="26"/>
        </w:numPr>
        <w:autoSpaceDE w:val="0"/>
        <w:autoSpaceDN w:val="0"/>
        <w:adjustRightInd w:val="0"/>
        <w:contextualSpacing/>
        <w:jc w:val="both"/>
        <w:rPr>
          <w:rFonts w:ascii="Abadi" w:hAnsi="Abadi" w:cs="*Arial-10738-Identity-H"/>
          <w:color w:val="2B2B2B"/>
          <w:sz w:val="21"/>
          <w:szCs w:val="21"/>
        </w:rPr>
      </w:pPr>
      <w:r w:rsidRPr="0078144D">
        <w:rPr>
          <w:rFonts w:ascii="Abadi" w:hAnsi="Abadi" w:cs="*Arial-10738-Identity-H"/>
          <w:color w:val="2B2B2B"/>
          <w:sz w:val="21"/>
          <w:szCs w:val="21"/>
        </w:rPr>
        <w:t>Contribuir a la consolidación de estructuras, sistemas y procesos orientados a la mejora continua e innovadora de las instituciones y programas de educación superior:</w:t>
      </w:r>
    </w:p>
    <w:p w14:paraId="235E558D" w14:textId="77777777" w:rsidR="00366FFB" w:rsidRPr="00743CF7" w:rsidRDefault="00366FFB" w:rsidP="00366FFB">
      <w:pPr>
        <w:autoSpaceDE w:val="0"/>
        <w:autoSpaceDN w:val="0"/>
        <w:adjustRightInd w:val="0"/>
        <w:jc w:val="both"/>
        <w:rPr>
          <w:rFonts w:ascii="Abadi" w:hAnsi="Abadi" w:cs="*Arial-10738-Identity-H"/>
          <w:color w:val="2B2B2B"/>
          <w:sz w:val="21"/>
          <w:szCs w:val="21"/>
        </w:rPr>
      </w:pPr>
    </w:p>
    <w:p w14:paraId="7504C967" w14:textId="77777777" w:rsidR="00366FFB" w:rsidRPr="0078144D" w:rsidRDefault="00366FFB" w:rsidP="005C6EBB">
      <w:pPr>
        <w:pStyle w:val="Prrafodelista"/>
        <w:numPr>
          <w:ilvl w:val="0"/>
          <w:numId w:val="26"/>
        </w:numPr>
        <w:autoSpaceDE w:val="0"/>
        <w:autoSpaceDN w:val="0"/>
        <w:adjustRightInd w:val="0"/>
        <w:contextualSpacing/>
        <w:jc w:val="both"/>
        <w:rPr>
          <w:rFonts w:ascii="Abadi" w:hAnsi="Abadi" w:cs="*Arial-10738-Identity-H"/>
          <w:color w:val="272727"/>
          <w:sz w:val="21"/>
          <w:szCs w:val="21"/>
        </w:rPr>
      </w:pPr>
      <w:r w:rsidRPr="0078144D">
        <w:rPr>
          <w:rFonts w:ascii="Abadi" w:hAnsi="Abadi" w:cs="*Arial-10738-Identity-H"/>
          <w:color w:val="272727"/>
          <w:sz w:val="21"/>
          <w:szCs w:val="21"/>
        </w:rPr>
        <w:t>Ampliar la distribución territorial y la oferta de educación superior, a fin de atender las problemáticas locales y regionales, con énfasis en el bienestar de la población;</w:t>
      </w:r>
    </w:p>
    <w:p w14:paraId="53AF63B0" w14:textId="77777777" w:rsidR="00366FFB" w:rsidRPr="00743CF7" w:rsidRDefault="00366FFB" w:rsidP="00366FFB">
      <w:pPr>
        <w:autoSpaceDE w:val="0"/>
        <w:autoSpaceDN w:val="0"/>
        <w:adjustRightInd w:val="0"/>
        <w:jc w:val="both"/>
        <w:rPr>
          <w:rFonts w:ascii="Abadi" w:hAnsi="Abadi" w:cs="*Arial-10738-Identity-H"/>
          <w:color w:val="272727"/>
          <w:sz w:val="21"/>
          <w:szCs w:val="21"/>
        </w:rPr>
      </w:pPr>
    </w:p>
    <w:p w14:paraId="0A9026BD" w14:textId="77777777" w:rsidR="00366FFB" w:rsidRDefault="00366FFB" w:rsidP="005C6EBB">
      <w:pPr>
        <w:pStyle w:val="Prrafodelista"/>
        <w:numPr>
          <w:ilvl w:val="0"/>
          <w:numId w:val="26"/>
        </w:numPr>
        <w:autoSpaceDE w:val="0"/>
        <w:autoSpaceDN w:val="0"/>
        <w:adjustRightInd w:val="0"/>
        <w:contextualSpacing/>
        <w:jc w:val="both"/>
        <w:rPr>
          <w:rFonts w:ascii="Abadi" w:hAnsi="Abadi" w:cs="*Arial-10738-Identity-H"/>
          <w:color w:val="2A2A2A"/>
          <w:sz w:val="21"/>
          <w:szCs w:val="21"/>
        </w:rPr>
      </w:pPr>
      <w:r w:rsidRPr="0078144D">
        <w:rPr>
          <w:rFonts w:ascii="Abadi" w:hAnsi="Abadi" w:cs="*Arial-10738-Identity-H"/>
          <w:color w:val="2A2A2A"/>
          <w:sz w:val="21"/>
          <w:szCs w:val="21"/>
        </w:rPr>
        <w:t>Fortalecer las capacidades educativas locales y la coordinación con la Federación;</w:t>
      </w:r>
    </w:p>
    <w:p w14:paraId="572AE54B" w14:textId="77777777" w:rsidR="00366FFB" w:rsidRPr="0078144D" w:rsidRDefault="00366FFB" w:rsidP="00366FFB">
      <w:pPr>
        <w:pStyle w:val="Prrafodelista"/>
        <w:rPr>
          <w:rFonts w:ascii="Abadi" w:hAnsi="Abadi" w:cs="*Arial-10738-Identity-H"/>
          <w:color w:val="2A2A2A"/>
          <w:sz w:val="21"/>
          <w:szCs w:val="21"/>
        </w:rPr>
      </w:pPr>
    </w:p>
    <w:p w14:paraId="23AB56C6" w14:textId="77777777" w:rsidR="00366FFB" w:rsidRPr="0078144D" w:rsidRDefault="00366FFB" w:rsidP="005C6EBB">
      <w:pPr>
        <w:pStyle w:val="Prrafodelista"/>
        <w:numPr>
          <w:ilvl w:val="0"/>
          <w:numId w:val="26"/>
        </w:numPr>
        <w:autoSpaceDE w:val="0"/>
        <w:autoSpaceDN w:val="0"/>
        <w:adjustRightInd w:val="0"/>
        <w:contextualSpacing/>
        <w:jc w:val="both"/>
        <w:rPr>
          <w:rFonts w:ascii="Abadi" w:hAnsi="Abadi" w:cs="*Arial-12250-Identity-H"/>
          <w:color w:val="292929"/>
          <w:sz w:val="21"/>
          <w:szCs w:val="21"/>
        </w:rPr>
      </w:pPr>
      <w:r w:rsidRPr="0078144D">
        <w:rPr>
          <w:rFonts w:ascii="Abadi" w:hAnsi="Abadi" w:cs="*Arial-12250-Identity-H"/>
          <w:color w:val="292929"/>
          <w:sz w:val="21"/>
          <w:szCs w:val="21"/>
        </w:rPr>
        <w:t>Sentar las bases, desde el ámbito local, de procesos eficientes y eficaces de planeación, coordinación, participación y vinculación social, conforme a lo establecido en esta Ley;</w:t>
      </w:r>
    </w:p>
    <w:p w14:paraId="7F2CAC50" w14:textId="77777777" w:rsidR="00366FFB" w:rsidRPr="00743CF7" w:rsidRDefault="00366FFB" w:rsidP="00366FFB">
      <w:pPr>
        <w:autoSpaceDE w:val="0"/>
        <w:autoSpaceDN w:val="0"/>
        <w:adjustRightInd w:val="0"/>
        <w:jc w:val="both"/>
        <w:rPr>
          <w:rFonts w:ascii="Abadi" w:hAnsi="Abadi" w:cs="*Arial-12250-Identity-H"/>
          <w:color w:val="292929"/>
          <w:sz w:val="21"/>
          <w:szCs w:val="21"/>
        </w:rPr>
      </w:pPr>
    </w:p>
    <w:p w14:paraId="6FDB76B7" w14:textId="77777777" w:rsidR="00366FFB" w:rsidRPr="0078144D" w:rsidRDefault="00366FFB" w:rsidP="005C6EBB">
      <w:pPr>
        <w:pStyle w:val="Prrafodelista"/>
        <w:numPr>
          <w:ilvl w:val="0"/>
          <w:numId w:val="26"/>
        </w:numPr>
        <w:autoSpaceDE w:val="0"/>
        <w:autoSpaceDN w:val="0"/>
        <w:adjustRightInd w:val="0"/>
        <w:contextualSpacing/>
        <w:jc w:val="both"/>
        <w:rPr>
          <w:rFonts w:ascii="Abadi" w:hAnsi="Abadi" w:cs="*Arial-12250-Identity-H"/>
          <w:color w:val="292929"/>
          <w:sz w:val="21"/>
          <w:szCs w:val="21"/>
        </w:rPr>
      </w:pPr>
      <w:r w:rsidRPr="0078144D">
        <w:rPr>
          <w:rFonts w:ascii="Abadi" w:hAnsi="Abadi" w:cs="*Arial-12250-Identity-H"/>
          <w:color w:val="292929"/>
          <w:sz w:val="21"/>
          <w:szCs w:val="21"/>
        </w:rPr>
        <w:t>Promover e impulsar los procesos de evaluación y acreditación de programas e instituciones de educación superior;</w:t>
      </w:r>
    </w:p>
    <w:p w14:paraId="51663BD9" w14:textId="77777777" w:rsidR="00366FFB" w:rsidRPr="00743CF7" w:rsidRDefault="00366FFB" w:rsidP="00366FFB">
      <w:pPr>
        <w:autoSpaceDE w:val="0"/>
        <w:autoSpaceDN w:val="0"/>
        <w:adjustRightInd w:val="0"/>
        <w:jc w:val="both"/>
        <w:rPr>
          <w:rFonts w:ascii="Abadi" w:hAnsi="Abadi" w:cs="*Arial-12250-Identity-H"/>
          <w:color w:val="2B2B2B"/>
          <w:sz w:val="21"/>
          <w:szCs w:val="21"/>
        </w:rPr>
      </w:pPr>
    </w:p>
    <w:p w14:paraId="5A12C6ED" w14:textId="77777777" w:rsidR="00366FFB" w:rsidRPr="0078144D" w:rsidRDefault="00366FFB" w:rsidP="005C6EBB">
      <w:pPr>
        <w:pStyle w:val="Prrafodelista"/>
        <w:numPr>
          <w:ilvl w:val="0"/>
          <w:numId w:val="26"/>
        </w:numPr>
        <w:autoSpaceDE w:val="0"/>
        <w:autoSpaceDN w:val="0"/>
        <w:adjustRightInd w:val="0"/>
        <w:contextualSpacing/>
        <w:jc w:val="both"/>
        <w:rPr>
          <w:rFonts w:ascii="Abadi" w:hAnsi="Abadi" w:cs="*Arial-12250-Identity-H"/>
          <w:color w:val="2B2B2B"/>
          <w:sz w:val="21"/>
          <w:szCs w:val="21"/>
        </w:rPr>
      </w:pPr>
      <w:r w:rsidRPr="0078144D">
        <w:rPr>
          <w:rFonts w:ascii="Abadi" w:hAnsi="Abadi" w:cs="*Arial-12250-Identity-H"/>
          <w:color w:val="2B2B2B"/>
          <w:sz w:val="21"/>
          <w:szCs w:val="21"/>
        </w:rPr>
        <w:t xml:space="preserve">Fortalecer </w:t>
      </w:r>
      <w:r w:rsidRPr="0078144D">
        <w:rPr>
          <w:rFonts w:ascii="Abadi" w:hAnsi="Abadi" w:cs="*Calibri-12248-Identity-H"/>
          <w:color w:val="2B2B2B"/>
          <w:sz w:val="21"/>
          <w:szCs w:val="21"/>
        </w:rPr>
        <w:t xml:space="preserve">y </w:t>
      </w:r>
      <w:r w:rsidRPr="0078144D">
        <w:rPr>
          <w:rFonts w:ascii="Abadi" w:hAnsi="Abadi" w:cs="*Arial-12250-Identity-H"/>
          <w:color w:val="2B2B2B"/>
          <w:sz w:val="21"/>
          <w:szCs w:val="21"/>
        </w:rPr>
        <w:t xml:space="preserve">articular la concurrencia financiera </w:t>
      </w:r>
      <w:r w:rsidRPr="0078144D">
        <w:rPr>
          <w:rFonts w:ascii="Abadi" w:hAnsi="Abadi" w:cs="*Calibri-12248-Identity-H"/>
          <w:color w:val="2B2B2B"/>
          <w:sz w:val="21"/>
          <w:szCs w:val="21"/>
        </w:rPr>
        <w:t xml:space="preserve">y </w:t>
      </w:r>
      <w:r w:rsidRPr="0078144D">
        <w:rPr>
          <w:rFonts w:ascii="Abadi" w:hAnsi="Abadi" w:cs="*Arial-12250-Identity-H"/>
          <w:color w:val="2B2B2B"/>
          <w:sz w:val="21"/>
          <w:szCs w:val="21"/>
        </w:rPr>
        <w:t>la distribución de recursos públicos en el Estado;</w:t>
      </w:r>
    </w:p>
    <w:p w14:paraId="1D665CCC" w14:textId="77777777" w:rsidR="00366FFB" w:rsidRPr="00743CF7" w:rsidRDefault="00366FFB" w:rsidP="00366FFB">
      <w:pPr>
        <w:autoSpaceDE w:val="0"/>
        <w:autoSpaceDN w:val="0"/>
        <w:adjustRightInd w:val="0"/>
        <w:jc w:val="both"/>
        <w:rPr>
          <w:rFonts w:ascii="Abadi" w:hAnsi="Abadi" w:cs="*Microsoft Sans Serif-Bold-1225"/>
          <w:b/>
          <w:bCs/>
          <w:color w:val="2A2A2A"/>
          <w:sz w:val="21"/>
          <w:szCs w:val="21"/>
        </w:rPr>
      </w:pPr>
    </w:p>
    <w:p w14:paraId="7B02CAC2" w14:textId="77777777" w:rsidR="00366FFB" w:rsidRPr="0078144D" w:rsidRDefault="00366FFB" w:rsidP="005C6EBB">
      <w:pPr>
        <w:pStyle w:val="Prrafodelista"/>
        <w:numPr>
          <w:ilvl w:val="0"/>
          <w:numId w:val="26"/>
        </w:numPr>
        <w:autoSpaceDE w:val="0"/>
        <w:autoSpaceDN w:val="0"/>
        <w:adjustRightInd w:val="0"/>
        <w:contextualSpacing/>
        <w:jc w:val="both"/>
        <w:rPr>
          <w:rFonts w:ascii="Abadi" w:hAnsi="Abadi" w:cs="*Arial-12250-Identity-H"/>
          <w:color w:val="2A2A2A"/>
          <w:sz w:val="21"/>
          <w:szCs w:val="21"/>
        </w:rPr>
      </w:pPr>
      <w:r w:rsidRPr="0078144D">
        <w:rPr>
          <w:rFonts w:ascii="Abadi" w:hAnsi="Abadi" w:cs="*Arial-12250-Identity-H"/>
          <w:color w:val="2A2A2A"/>
          <w:sz w:val="21"/>
          <w:szCs w:val="21"/>
        </w:rPr>
        <w:t>Coadyuvar a la integración y articulación de espacios locales y regionales de educación superior, ciencia, tecnología e innovación;</w:t>
      </w:r>
    </w:p>
    <w:p w14:paraId="35296DB6" w14:textId="77777777" w:rsidR="00366FFB" w:rsidRPr="00743CF7" w:rsidRDefault="00366FFB" w:rsidP="00366FFB">
      <w:pPr>
        <w:autoSpaceDE w:val="0"/>
        <w:autoSpaceDN w:val="0"/>
        <w:adjustRightInd w:val="0"/>
        <w:jc w:val="both"/>
        <w:rPr>
          <w:rFonts w:ascii="Abadi" w:hAnsi="Abadi" w:cs="*Calibri-Bold-12249-Identity-H"/>
          <w:b/>
          <w:bCs/>
          <w:color w:val="2A2A2A"/>
          <w:sz w:val="21"/>
          <w:szCs w:val="21"/>
        </w:rPr>
      </w:pPr>
    </w:p>
    <w:p w14:paraId="1162B510" w14:textId="77777777" w:rsidR="00366FFB" w:rsidRPr="0078144D" w:rsidRDefault="00366FFB" w:rsidP="005C6EBB">
      <w:pPr>
        <w:pStyle w:val="Prrafodelista"/>
        <w:numPr>
          <w:ilvl w:val="0"/>
          <w:numId w:val="26"/>
        </w:numPr>
        <w:autoSpaceDE w:val="0"/>
        <w:autoSpaceDN w:val="0"/>
        <w:adjustRightInd w:val="0"/>
        <w:contextualSpacing/>
        <w:jc w:val="both"/>
        <w:rPr>
          <w:rFonts w:ascii="Abadi" w:hAnsi="Abadi" w:cs="*Arial-12250-Identity-H"/>
          <w:color w:val="2A2A2A"/>
          <w:sz w:val="21"/>
          <w:szCs w:val="21"/>
        </w:rPr>
      </w:pPr>
      <w:r w:rsidRPr="0078144D">
        <w:rPr>
          <w:rFonts w:ascii="Abadi" w:hAnsi="Abadi" w:cs="*Arial-12250-Identity-H"/>
          <w:color w:val="2A2A2A"/>
          <w:sz w:val="21"/>
          <w:szCs w:val="21"/>
        </w:rPr>
        <w:t>Estrechar la vinculación de las instituciones de educación superior con las comunidades locales, el entorno social, así como con los sectores sociales y productivos; y</w:t>
      </w:r>
    </w:p>
    <w:p w14:paraId="12C8E767" w14:textId="77777777" w:rsidR="00366FFB" w:rsidRPr="00743CF7" w:rsidRDefault="00366FFB" w:rsidP="00366FFB">
      <w:pPr>
        <w:autoSpaceDE w:val="0"/>
        <w:autoSpaceDN w:val="0"/>
        <w:adjustRightInd w:val="0"/>
        <w:jc w:val="both"/>
        <w:rPr>
          <w:rFonts w:ascii="Abadi" w:hAnsi="Abadi" w:cs="*Microsoft Sans Serif-Bold-1225"/>
          <w:b/>
          <w:bCs/>
          <w:color w:val="2A2A2A"/>
          <w:sz w:val="21"/>
          <w:szCs w:val="21"/>
        </w:rPr>
      </w:pPr>
    </w:p>
    <w:p w14:paraId="406223EC" w14:textId="77777777" w:rsidR="00366FFB" w:rsidRPr="0078144D" w:rsidRDefault="00366FFB" w:rsidP="005C6EBB">
      <w:pPr>
        <w:pStyle w:val="Prrafodelista"/>
        <w:numPr>
          <w:ilvl w:val="0"/>
          <w:numId w:val="26"/>
        </w:numPr>
        <w:autoSpaceDE w:val="0"/>
        <w:autoSpaceDN w:val="0"/>
        <w:adjustRightInd w:val="0"/>
        <w:contextualSpacing/>
        <w:jc w:val="both"/>
        <w:rPr>
          <w:rFonts w:ascii="Abadi" w:hAnsi="Abadi" w:cs="*Arial-12250-Identity-H"/>
          <w:color w:val="2A2A2A"/>
          <w:sz w:val="21"/>
          <w:szCs w:val="21"/>
        </w:rPr>
      </w:pPr>
      <w:r w:rsidRPr="0078144D">
        <w:rPr>
          <w:rFonts w:ascii="Abadi" w:hAnsi="Abadi" w:cs="*Arial-12250-Identity-H"/>
          <w:color w:val="2A2A2A"/>
          <w:sz w:val="21"/>
          <w:szCs w:val="21"/>
        </w:rPr>
        <w:t>Los demás que se determinen en las leyes correspondientes.</w:t>
      </w:r>
    </w:p>
    <w:p w14:paraId="1008F5D8" w14:textId="77777777" w:rsidR="00366FFB" w:rsidRPr="00743CF7" w:rsidRDefault="00366FFB" w:rsidP="00366FFB">
      <w:pPr>
        <w:autoSpaceDE w:val="0"/>
        <w:autoSpaceDN w:val="0"/>
        <w:adjustRightInd w:val="0"/>
        <w:jc w:val="both"/>
        <w:rPr>
          <w:rFonts w:ascii="Abadi" w:hAnsi="Abadi" w:cs="*Arial-12250-Identity-H"/>
          <w:color w:val="2A2A2A"/>
          <w:sz w:val="21"/>
          <w:szCs w:val="21"/>
        </w:rPr>
      </w:pPr>
    </w:p>
    <w:p w14:paraId="42CC2288" w14:textId="77777777" w:rsidR="00366FFB" w:rsidRPr="00743CF7" w:rsidRDefault="00366FFB" w:rsidP="00366FFB">
      <w:pPr>
        <w:autoSpaceDE w:val="0"/>
        <w:autoSpaceDN w:val="0"/>
        <w:adjustRightInd w:val="0"/>
        <w:jc w:val="both"/>
        <w:rPr>
          <w:rFonts w:ascii="Abadi" w:hAnsi="Abadi" w:cs="*Arial-12250-Identity-H"/>
          <w:color w:val="2A2A2A"/>
          <w:sz w:val="21"/>
          <w:szCs w:val="21"/>
        </w:rPr>
      </w:pPr>
      <w:r w:rsidRPr="00743CF7">
        <w:rPr>
          <w:rFonts w:ascii="Abadi" w:hAnsi="Abadi" w:cs="*Arial-12250-Identity-H"/>
          <w:color w:val="2A2A2A"/>
          <w:sz w:val="21"/>
          <w:szCs w:val="21"/>
        </w:rPr>
        <w:t>Las autoridades educativas, en el ámbito de sus respectivos competencias, realizarán las acciones conducentes para el cumplimiento de los propósitos del Sistema Estatal de Educación Superior.</w:t>
      </w:r>
    </w:p>
    <w:p w14:paraId="5F73F3A6" w14:textId="77777777" w:rsidR="00A91728" w:rsidRDefault="00A91728" w:rsidP="00A91728">
      <w:pPr>
        <w:autoSpaceDE w:val="0"/>
        <w:autoSpaceDN w:val="0"/>
        <w:adjustRightInd w:val="0"/>
        <w:jc w:val="both"/>
        <w:rPr>
          <w:rFonts w:ascii="Abadi" w:hAnsi="Abadi" w:cs="*Arial-12250-Identity-H"/>
          <w:color w:val="2A2A2A"/>
          <w:sz w:val="21"/>
          <w:szCs w:val="21"/>
        </w:rPr>
      </w:pPr>
    </w:p>
    <w:p w14:paraId="67D02023" w14:textId="342736F4" w:rsidR="00366FFB" w:rsidRDefault="00366FFB" w:rsidP="00A91728">
      <w:pPr>
        <w:autoSpaceDE w:val="0"/>
        <w:autoSpaceDN w:val="0"/>
        <w:adjustRightInd w:val="0"/>
        <w:jc w:val="both"/>
        <w:rPr>
          <w:rFonts w:ascii="Abadi" w:hAnsi="Abadi" w:cs="*Calibri-BoldItalic-12247-Ident"/>
          <w:b/>
          <w:bCs/>
          <w:i/>
          <w:iCs/>
          <w:color w:val="0F0F0F"/>
          <w:sz w:val="21"/>
          <w:szCs w:val="21"/>
        </w:rPr>
      </w:pPr>
      <w:r w:rsidRPr="00743CF7">
        <w:rPr>
          <w:rFonts w:ascii="Abadi" w:hAnsi="Abadi" w:cs="*Calibri-BoldItalic-12247-Ident"/>
          <w:b/>
          <w:bCs/>
          <w:i/>
          <w:iCs/>
          <w:color w:val="0F0F0F"/>
          <w:sz w:val="21"/>
          <w:szCs w:val="21"/>
        </w:rPr>
        <w:t>Elaboración del Programa Estatal de Educación Superior</w:t>
      </w:r>
    </w:p>
    <w:p w14:paraId="366DD481" w14:textId="77777777" w:rsidR="00366FFB" w:rsidRPr="00743CF7" w:rsidRDefault="00366FFB" w:rsidP="00366FFB">
      <w:pPr>
        <w:autoSpaceDE w:val="0"/>
        <w:autoSpaceDN w:val="0"/>
        <w:adjustRightInd w:val="0"/>
        <w:ind w:firstLine="708"/>
        <w:jc w:val="both"/>
        <w:rPr>
          <w:rFonts w:ascii="Abadi" w:hAnsi="Abadi" w:cs="*Arial-12250-Identity-H"/>
          <w:color w:val="292929"/>
          <w:sz w:val="21"/>
          <w:szCs w:val="21"/>
        </w:rPr>
      </w:pPr>
      <w:r w:rsidRPr="00743CF7">
        <w:rPr>
          <w:rFonts w:ascii="Abadi" w:hAnsi="Abadi" w:cs="*Microsoft Sans Serif-Bold-1225"/>
          <w:b/>
          <w:bCs/>
          <w:color w:val="292929"/>
          <w:sz w:val="21"/>
          <w:szCs w:val="21"/>
        </w:rPr>
        <w:t xml:space="preserve">Artículo 52. </w:t>
      </w:r>
      <w:r w:rsidRPr="00743CF7">
        <w:rPr>
          <w:rFonts w:ascii="Abadi" w:hAnsi="Abadi" w:cs="*Arial-12250-Identity-H"/>
          <w:color w:val="292929"/>
          <w:sz w:val="21"/>
          <w:szCs w:val="21"/>
        </w:rPr>
        <w:t xml:space="preserve">El Ejecutivo del Estado emitirá un Programa Estatal de Educación Superior, con un enfoque que responda a los contextos regionales y locales de la prestación de este servicio. Deberá revisarse con un año de anticipación a la actualización que se realice del Programa Nacional de Educación Superior. </w:t>
      </w:r>
    </w:p>
    <w:p w14:paraId="2E7E2105" w14:textId="77777777" w:rsidR="00366FFB" w:rsidRPr="00743CF7" w:rsidRDefault="00366FFB" w:rsidP="00366FFB">
      <w:pPr>
        <w:autoSpaceDE w:val="0"/>
        <w:autoSpaceDN w:val="0"/>
        <w:adjustRightInd w:val="0"/>
        <w:jc w:val="both"/>
        <w:rPr>
          <w:rFonts w:ascii="Abadi" w:hAnsi="Abadi" w:cs="*Arial-12250-Identity-H"/>
          <w:color w:val="292929"/>
          <w:sz w:val="21"/>
          <w:szCs w:val="21"/>
        </w:rPr>
      </w:pPr>
    </w:p>
    <w:p w14:paraId="31BBA202" w14:textId="6C8006D7" w:rsidR="00366FFB" w:rsidRPr="00743CF7" w:rsidRDefault="00366FFB" w:rsidP="00366FFB">
      <w:pPr>
        <w:autoSpaceDE w:val="0"/>
        <w:autoSpaceDN w:val="0"/>
        <w:adjustRightInd w:val="0"/>
        <w:jc w:val="both"/>
        <w:rPr>
          <w:rFonts w:ascii="Abadi" w:hAnsi="Abadi" w:cs="*Calibri-10666-Identity-H"/>
          <w:color w:val="2B2B2B"/>
          <w:sz w:val="21"/>
          <w:szCs w:val="21"/>
        </w:rPr>
      </w:pPr>
      <w:r w:rsidRPr="00743CF7">
        <w:rPr>
          <w:rFonts w:ascii="Abadi" w:hAnsi="Abadi" w:cs="*Arial-12250-Identity-H"/>
          <w:color w:val="2A2A2A"/>
          <w:sz w:val="21"/>
          <w:szCs w:val="21"/>
        </w:rPr>
        <w:t xml:space="preserve">En su elaboración se observarán las disposiciones aplicables en materia de planeación y en lo conducente lo establecido en el Programa Nacional de Educación Superior. Asimismo, la Comisión Estatal para la Planeación de la Educación Superior </w:t>
      </w:r>
      <w:r w:rsidRPr="00743CF7">
        <w:rPr>
          <w:rFonts w:ascii="Abadi" w:hAnsi="Abadi" w:cs="*Times New Roman-Italic-12244-I"/>
          <w:i/>
          <w:iCs/>
          <w:color w:val="2A2A2A"/>
          <w:sz w:val="21"/>
          <w:szCs w:val="21"/>
        </w:rPr>
        <w:t xml:space="preserve">y </w:t>
      </w:r>
      <w:r w:rsidRPr="00743CF7">
        <w:rPr>
          <w:rFonts w:ascii="Abadi" w:hAnsi="Abadi" w:cs="*Arial-12250-Identity-H"/>
          <w:color w:val="2A2A2A"/>
          <w:sz w:val="21"/>
          <w:szCs w:val="21"/>
        </w:rPr>
        <w:t xml:space="preserve">las instancias locales de vinculación, consulta y participación </w:t>
      </w:r>
      <w:r w:rsidRPr="00743CF7">
        <w:rPr>
          <w:rFonts w:ascii="Abadi" w:hAnsi="Abadi" w:cs="*Calibri-10666-Identity-H"/>
          <w:color w:val="2B2B2B"/>
          <w:sz w:val="21"/>
          <w:szCs w:val="21"/>
        </w:rPr>
        <w:t>social en materia de educación superior de la entidad, pondrán a consideración</w:t>
      </w:r>
      <w:r w:rsidR="00A91728">
        <w:rPr>
          <w:rFonts w:ascii="Abadi" w:hAnsi="Abadi" w:cs="*Calibri-10666-Identity-H"/>
          <w:color w:val="2B2B2B"/>
          <w:sz w:val="21"/>
          <w:szCs w:val="21"/>
        </w:rPr>
        <w:t xml:space="preserve"> </w:t>
      </w:r>
      <w:r w:rsidRPr="00743CF7">
        <w:rPr>
          <w:rFonts w:ascii="Abadi" w:hAnsi="Abadi" w:cs="*Calibri-10666-Identity-H"/>
          <w:color w:val="2B2B2B"/>
          <w:sz w:val="21"/>
          <w:szCs w:val="21"/>
        </w:rPr>
        <w:t>de la Secretaría sus propuestas.</w:t>
      </w:r>
    </w:p>
    <w:p w14:paraId="0642E944" w14:textId="77777777" w:rsidR="00366FFB" w:rsidRPr="00743CF7" w:rsidRDefault="00366FFB" w:rsidP="00366FFB">
      <w:pPr>
        <w:autoSpaceDE w:val="0"/>
        <w:autoSpaceDN w:val="0"/>
        <w:adjustRightInd w:val="0"/>
        <w:jc w:val="both"/>
        <w:rPr>
          <w:rFonts w:ascii="Abadi" w:hAnsi="Abadi" w:cs="*Calibri-Bold-10667-Identity-H"/>
          <w:b/>
          <w:bCs/>
          <w:color w:val="101010"/>
          <w:sz w:val="21"/>
          <w:szCs w:val="21"/>
        </w:rPr>
      </w:pPr>
    </w:p>
    <w:p w14:paraId="4FFB9491" w14:textId="77777777" w:rsidR="00366FFB" w:rsidRPr="00743CF7" w:rsidRDefault="00366FFB" w:rsidP="00366FFB">
      <w:pPr>
        <w:autoSpaceDE w:val="0"/>
        <w:autoSpaceDN w:val="0"/>
        <w:adjustRightInd w:val="0"/>
        <w:jc w:val="center"/>
        <w:rPr>
          <w:rFonts w:ascii="Abadi" w:hAnsi="Abadi" w:cs="*Calibri-Bold-10667-Identity-H"/>
          <w:b/>
          <w:bCs/>
          <w:color w:val="101010"/>
          <w:sz w:val="21"/>
          <w:szCs w:val="21"/>
        </w:rPr>
      </w:pPr>
      <w:r w:rsidRPr="00743CF7">
        <w:rPr>
          <w:rFonts w:ascii="Abadi" w:hAnsi="Abadi" w:cs="*Calibri-Bold-10667-Identity-H"/>
          <w:b/>
          <w:bCs/>
          <w:color w:val="101010"/>
          <w:sz w:val="21"/>
          <w:szCs w:val="21"/>
        </w:rPr>
        <w:t xml:space="preserve">Capítulo </w:t>
      </w:r>
      <w:r>
        <w:rPr>
          <w:rFonts w:ascii="Abadi" w:hAnsi="Abadi" w:cs="*Calibri-Bold-10667-Identity-H"/>
          <w:b/>
          <w:bCs/>
          <w:color w:val="101010"/>
          <w:sz w:val="21"/>
          <w:szCs w:val="21"/>
        </w:rPr>
        <w:t>II</w:t>
      </w:r>
    </w:p>
    <w:p w14:paraId="017F67BB" w14:textId="36441FF3" w:rsidR="00366FFB" w:rsidRDefault="00366FFB" w:rsidP="00366FFB">
      <w:pPr>
        <w:autoSpaceDE w:val="0"/>
        <w:autoSpaceDN w:val="0"/>
        <w:adjustRightInd w:val="0"/>
        <w:jc w:val="center"/>
        <w:rPr>
          <w:rFonts w:ascii="Abadi" w:hAnsi="Abadi" w:cs="*Calibri-Bold-10667-Identity-H"/>
          <w:b/>
          <w:bCs/>
          <w:color w:val="0E0E0E"/>
          <w:sz w:val="21"/>
          <w:szCs w:val="21"/>
        </w:rPr>
      </w:pPr>
      <w:r w:rsidRPr="00743CF7">
        <w:rPr>
          <w:rFonts w:ascii="Abadi" w:hAnsi="Abadi" w:cs="*Calibri-Bold-10667-Identity-H"/>
          <w:b/>
          <w:bCs/>
          <w:color w:val="0E0E0E"/>
          <w:sz w:val="21"/>
          <w:szCs w:val="21"/>
        </w:rPr>
        <w:t>De los subsistemas de educación superior</w:t>
      </w:r>
    </w:p>
    <w:p w14:paraId="6E8A6B64" w14:textId="77777777" w:rsidR="00BF4072" w:rsidRDefault="00BF4072" w:rsidP="00366FFB">
      <w:pPr>
        <w:autoSpaceDE w:val="0"/>
        <w:autoSpaceDN w:val="0"/>
        <w:adjustRightInd w:val="0"/>
        <w:jc w:val="center"/>
        <w:rPr>
          <w:rFonts w:ascii="Abadi" w:hAnsi="Abadi" w:cs="*Calibri-Bold-10667-Identity-H"/>
          <w:b/>
          <w:bCs/>
          <w:color w:val="0E0E0E"/>
          <w:sz w:val="21"/>
          <w:szCs w:val="21"/>
        </w:rPr>
      </w:pPr>
    </w:p>
    <w:p w14:paraId="177C7853" w14:textId="4F46CB6C" w:rsidR="00366FFB" w:rsidRPr="00743CF7" w:rsidRDefault="00BF4072" w:rsidP="00BF4072">
      <w:pPr>
        <w:autoSpaceDE w:val="0"/>
        <w:autoSpaceDN w:val="0"/>
        <w:adjustRightInd w:val="0"/>
        <w:ind w:left="7080"/>
        <w:jc w:val="both"/>
        <w:rPr>
          <w:rFonts w:ascii="Abadi" w:hAnsi="Abadi" w:cs="*Comic Sans MS-BoldItalic-10669"/>
          <w:b/>
          <w:bCs/>
          <w:i/>
          <w:iCs/>
          <w:color w:val="111111"/>
          <w:sz w:val="21"/>
          <w:szCs w:val="21"/>
        </w:rPr>
      </w:pPr>
      <w:r>
        <w:rPr>
          <w:rFonts w:ascii="Abadi" w:hAnsi="Abadi" w:cs="*Comic Sans MS-BoldItalic-10669"/>
          <w:b/>
          <w:bCs/>
          <w:i/>
          <w:iCs/>
          <w:color w:val="111111"/>
          <w:sz w:val="21"/>
          <w:szCs w:val="21"/>
        </w:rPr>
        <w:t>S</w:t>
      </w:r>
      <w:r w:rsidR="00366FFB" w:rsidRPr="00743CF7">
        <w:rPr>
          <w:rFonts w:ascii="Abadi" w:hAnsi="Abadi" w:cs="*Comic Sans MS-BoldItalic-10669"/>
          <w:b/>
          <w:bCs/>
          <w:i/>
          <w:iCs/>
          <w:color w:val="111111"/>
          <w:sz w:val="21"/>
          <w:szCs w:val="21"/>
        </w:rPr>
        <w:t>as</w:t>
      </w:r>
    </w:p>
    <w:p w14:paraId="03460C3A" w14:textId="77777777" w:rsidR="00317065" w:rsidRPr="00743CF7" w:rsidRDefault="00317065" w:rsidP="00317065">
      <w:pPr>
        <w:autoSpaceDE w:val="0"/>
        <w:autoSpaceDN w:val="0"/>
        <w:adjustRightInd w:val="0"/>
        <w:jc w:val="right"/>
        <w:rPr>
          <w:rFonts w:ascii="Abadi" w:hAnsi="Abadi" w:cs="*Calibri-Bold-10667-Identity-H"/>
          <w:b/>
          <w:bCs/>
          <w:color w:val="0E0E0E"/>
          <w:sz w:val="21"/>
          <w:szCs w:val="21"/>
        </w:rPr>
      </w:pPr>
      <w:r>
        <w:rPr>
          <w:rFonts w:ascii="Abadi" w:hAnsi="Abadi" w:cs="*Calibri-Bold-10667-Identity-H"/>
          <w:b/>
          <w:bCs/>
          <w:color w:val="0E0E0E"/>
          <w:sz w:val="21"/>
          <w:szCs w:val="21"/>
        </w:rPr>
        <w:t>Subsistencias</w:t>
      </w:r>
    </w:p>
    <w:p w14:paraId="1D20BAD8" w14:textId="77777777" w:rsidR="00366FFB" w:rsidRPr="00743CF7" w:rsidRDefault="00366FFB" w:rsidP="00BF4072">
      <w:pPr>
        <w:autoSpaceDE w:val="0"/>
        <w:autoSpaceDN w:val="0"/>
        <w:adjustRightInd w:val="0"/>
        <w:ind w:firstLine="708"/>
        <w:jc w:val="both"/>
        <w:rPr>
          <w:rFonts w:ascii="Abadi" w:hAnsi="Abadi" w:cs="*Calibri-10666-Identity-H"/>
          <w:color w:val="292929"/>
          <w:sz w:val="21"/>
          <w:szCs w:val="21"/>
        </w:rPr>
      </w:pPr>
      <w:r w:rsidRPr="00743CF7">
        <w:rPr>
          <w:rFonts w:ascii="Abadi" w:hAnsi="Abadi" w:cs="*Calibri-Bold-10667-Identity-H"/>
          <w:b/>
          <w:bCs/>
          <w:color w:val="292929"/>
          <w:sz w:val="21"/>
          <w:szCs w:val="21"/>
        </w:rPr>
        <w:t xml:space="preserve">Artículo </w:t>
      </w:r>
      <w:r w:rsidRPr="00743CF7">
        <w:rPr>
          <w:rFonts w:ascii="Abadi" w:hAnsi="Abadi" w:cs="*Arial-BoldItalic-10668-Identit"/>
          <w:b/>
          <w:bCs/>
          <w:i/>
          <w:iCs/>
          <w:color w:val="292929"/>
          <w:sz w:val="21"/>
          <w:szCs w:val="21"/>
        </w:rPr>
        <w:t xml:space="preserve">53. </w:t>
      </w:r>
      <w:r w:rsidRPr="00743CF7">
        <w:rPr>
          <w:rFonts w:ascii="Abadi" w:hAnsi="Abadi" w:cs="*Calibri-10666-Identity-H"/>
          <w:color w:val="292929"/>
          <w:sz w:val="21"/>
          <w:szCs w:val="21"/>
        </w:rPr>
        <w:t xml:space="preserve">El Sistema Estatal de Educación Superior se integra por los subsistemas universitario, tecnológico y de escuelas normales y formación docente, en sus diferentes modalidades, a fin de garantizar una oferta educativa con capacidad de atender las necesidades del Estado, además de las prioridades específicas de formación de profesionistas, investigadoras </w:t>
      </w:r>
      <w:r w:rsidRPr="00743CF7">
        <w:rPr>
          <w:rFonts w:ascii="Abadi" w:hAnsi="Abadi" w:cs="*Microsoft Sans Serif-Italic-10"/>
          <w:i/>
          <w:iCs/>
          <w:color w:val="292929"/>
          <w:sz w:val="21"/>
          <w:szCs w:val="21"/>
        </w:rPr>
        <w:t xml:space="preserve">e </w:t>
      </w:r>
      <w:r w:rsidRPr="00743CF7">
        <w:rPr>
          <w:rFonts w:ascii="Abadi" w:hAnsi="Abadi" w:cs="*Calibri-10666-Identity-H"/>
          <w:color w:val="292929"/>
          <w:sz w:val="21"/>
          <w:szCs w:val="21"/>
        </w:rPr>
        <w:t>investigadores para el desarrollo sostenible del país.</w:t>
      </w:r>
    </w:p>
    <w:p w14:paraId="0BACB286" w14:textId="77777777" w:rsidR="00366FFB" w:rsidRPr="00743CF7" w:rsidRDefault="00366FFB" w:rsidP="00366FFB">
      <w:pPr>
        <w:autoSpaceDE w:val="0"/>
        <w:autoSpaceDN w:val="0"/>
        <w:adjustRightInd w:val="0"/>
        <w:jc w:val="both"/>
        <w:rPr>
          <w:rFonts w:ascii="Abadi" w:hAnsi="Abadi" w:cs="*Calibri-Bold-10667-Identity-H"/>
          <w:b/>
          <w:bCs/>
          <w:color w:val="101010"/>
          <w:sz w:val="21"/>
          <w:szCs w:val="21"/>
        </w:rPr>
      </w:pPr>
    </w:p>
    <w:p w14:paraId="7B49636E" w14:textId="77777777" w:rsidR="00366FFB" w:rsidRPr="00743CF7" w:rsidRDefault="00366FFB" w:rsidP="00366FFB">
      <w:pPr>
        <w:autoSpaceDE w:val="0"/>
        <w:autoSpaceDN w:val="0"/>
        <w:adjustRightInd w:val="0"/>
        <w:jc w:val="center"/>
        <w:rPr>
          <w:rFonts w:ascii="Abadi" w:hAnsi="Abadi" w:cs="*Calibri-Bold-10667-Identity-H"/>
          <w:b/>
          <w:bCs/>
          <w:color w:val="101010"/>
          <w:sz w:val="21"/>
          <w:szCs w:val="21"/>
        </w:rPr>
      </w:pPr>
      <w:r w:rsidRPr="00743CF7">
        <w:rPr>
          <w:rFonts w:ascii="Abadi" w:hAnsi="Abadi" w:cs="*Calibri-Bold-10667-Identity-H"/>
          <w:b/>
          <w:bCs/>
          <w:color w:val="101010"/>
          <w:sz w:val="21"/>
          <w:szCs w:val="21"/>
        </w:rPr>
        <w:t>Sección Primera</w:t>
      </w:r>
    </w:p>
    <w:p w14:paraId="4978639E" w14:textId="77777777" w:rsidR="00366FFB" w:rsidRPr="00743CF7" w:rsidRDefault="00366FFB" w:rsidP="00366FFB">
      <w:pPr>
        <w:autoSpaceDE w:val="0"/>
        <w:autoSpaceDN w:val="0"/>
        <w:adjustRightInd w:val="0"/>
        <w:jc w:val="center"/>
        <w:rPr>
          <w:rFonts w:ascii="Abadi" w:hAnsi="Abadi" w:cs="*Calibri-Bold-10667-Identity-H"/>
          <w:b/>
          <w:bCs/>
          <w:color w:val="101010"/>
          <w:sz w:val="21"/>
          <w:szCs w:val="21"/>
        </w:rPr>
      </w:pPr>
      <w:r w:rsidRPr="00743CF7">
        <w:rPr>
          <w:rFonts w:ascii="Abadi" w:hAnsi="Abadi" w:cs="*Calibri-Bold-10667-Identity-H"/>
          <w:b/>
          <w:bCs/>
          <w:color w:val="101010"/>
          <w:sz w:val="21"/>
          <w:szCs w:val="21"/>
        </w:rPr>
        <w:t>Subsistema Universitario</w:t>
      </w:r>
    </w:p>
    <w:p w14:paraId="4EB19679" w14:textId="31BC82D3" w:rsidR="00366FFB" w:rsidRPr="00743CF7" w:rsidRDefault="00366FFB" w:rsidP="00366FFB">
      <w:pPr>
        <w:autoSpaceDE w:val="0"/>
        <w:autoSpaceDN w:val="0"/>
        <w:adjustRightInd w:val="0"/>
        <w:ind w:left="5664"/>
        <w:jc w:val="both"/>
        <w:rPr>
          <w:rFonts w:ascii="Abadi" w:hAnsi="Abadi" w:cs="*Comic Sans MS-BoldItalic-10669"/>
          <w:b/>
          <w:bCs/>
          <w:i/>
          <w:iCs/>
          <w:color w:val="101010"/>
          <w:sz w:val="21"/>
          <w:szCs w:val="21"/>
        </w:rPr>
      </w:pPr>
      <w:r w:rsidRPr="00743CF7">
        <w:rPr>
          <w:rFonts w:ascii="Abadi" w:hAnsi="Abadi" w:cs="*Comic Sans MS-BoldItalic-10669"/>
          <w:b/>
          <w:bCs/>
          <w:i/>
          <w:iCs/>
          <w:color w:val="101010"/>
          <w:sz w:val="21"/>
          <w:szCs w:val="21"/>
        </w:rPr>
        <w:t>ia</w:t>
      </w:r>
    </w:p>
    <w:p w14:paraId="0DE67E4C" w14:textId="42F7BFA4" w:rsidR="00366FFB" w:rsidRPr="00743CF7" w:rsidRDefault="00366FFB" w:rsidP="00366FFB">
      <w:pPr>
        <w:autoSpaceDE w:val="0"/>
        <w:autoSpaceDN w:val="0"/>
        <w:adjustRightInd w:val="0"/>
        <w:ind w:firstLine="708"/>
        <w:jc w:val="both"/>
        <w:rPr>
          <w:rFonts w:ascii="Abadi" w:hAnsi="Abadi" w:cs="*Calibri-10666-Identity-H"/>
          <w:color w:val="272727"/>
          <w:sz w:val="21"/>
          <w:szCs w:val="21"/>
        </w:rPr>
      </w:pPr>
      <w:r w:rsidRPr="00743CF7">
        <w:rPr>
          <w:rFonts w:ascii="Abadi" w:hAnsi="Abadi" w:cs="*Calibri-Bold-10667-Identity-H"/>
          <w:b/>
          <w:bCs/>
          <w:color w:val="272727"/>
          <w:sz w:val="21"/>
          <w:szCs w:val="21"/>
        </w:rPr>
        <w:t xml:space="preserve">Artículo </w:t>
      </w:r>
      <w:r w:rsidRPr="00743CF7">
        <w:rPr>
          <w:rFonts w:ascii="Abadi" w:hAnsi="Abadi" w:cs="*Arial-BoldItalic-10668-Identit"/>
          <w:b/>
          <w:bCs/>
          <w:i/>
          <w:iCs/>
          <w:color w:val="272727"/>
          <w:sz w:val="21"/>
          <w:szCs w:val="21"/>
        </w:rPr>
        <w:t xml:space="preserve">54. </w:t>
      </w:r>
      <w:r w:rsidRPr="00743CF7">
        <w:rPr>
          <w:rFonts w:ascii="Abadi" w:hAnsi="Abadi" w:cs="*Calibri-10666-Identity-H"/>
          <w:color w:val="272727"/>
          <w:sz w:val="21"/>
          <w:szCs w:val="21"/>
        </w:rPr>
        <w:t xml:space="preserve">La educación superior universitaria tiene por objeto la formación integral de </w:t>
      </w:r>
      <w:r w:rsidR="00317065" w:rsidRPr="00743CF7">
        <w:rPr>
          <w:rFonts w:ascii="Abadi" w:hAnsi="Abadi" w:cs="*Calibri-10666-Identity-H"/>
          <w:color w:val="272727"/>
          <w:sz w:val="21"/>
          <w:szCs w:val="21"/>
        </w:rPr>
        <w:t>las personas</w:t>
      </w:r>
      <w:r w:rsidRPr="00743CF7">
        <w:rPr>
          <w:rFonts w:ascii="Abadi" w:hAnsi="Abadi" w:cs="*Calibri-10666-Identity-H"/>
          <w:color w:val="272727"/>
          <w:sz w:val="21"/>
          <w:szCs w:val="21"/>
        </w:rPr>
        <w:t xml:space="preserve"> para el desarrollo armónico de todas sus facultades, </w:t>
      </w:r>
      <w:r>
        <w:rPr>
          <w:rFonts w:ascii="Abadi" w:hAnsi="Abadi" w:cs="*Calibri-10666-Identity-H"/>
          <w:color w:val="272727"/>
          <w:sz w:val="21"/>
          <w:szCs w:val="21"/>
        </w:rPr>
        <w:t xml:space="preserve">la </w:t>
      </w:r>
      <w:r w:rsidRPr="0078144D">
        <w:rPr>
          <w:rFonts w:ascii="Abadi" w:hAnsi="Abadi" w:cs="*Calibri-10666-Identity-H"/>
          <w:color w:val="272727"/>
          <w:sz w:val="21"/>
          <w:szCs w:val="21"/>
        </w:rPr>
        <w:t>c</w:t>
      </w:r>
      <w:r w:rsidRPr="00743CF7">
        <w:rPr>
          <w:rFonts w:ascii="Abadi" w:hAnsi="Abadi" w:cs="*Calibri-10666-Identity-H"/>
          <w:color w:val="272727"/>
          <w:sz w:val="21"/>
          <w:szCs w:val="21"/>
        </w:rPr>
        <w:t xml:space="preserve">onstrucción de saberes, la generación, aplicación, intercambio </w:t>
      </w:r>
      <w:r w:rsidRPr="00743CF7">
        <w:rPr>
          <w:rFonts w:ascii="Abadi" w:hAnsi="Abadi" w:cs="*Tahoma-10671-Identity-H"/>
          <w:color w:val="272727"/>
          <w:sz w:val="21"/>
          <w:szCs w:val="21"/>
        </w:rPr>
        <w:t xml:space="preserve">y </w:t>
      </w:r>
      <w:r w:rsidRPr="00743CF7">
        <w:rPr>
          <w:rFonts w:ascii="Abadi" w:hAnsi="Abadi" w:cs="*Calibri-10666-Identity-H"/>
          <w:color w:val="272727"/>
          <w:sz w:val="21"/>
          <w:szCs w:val="21"/>
        </w:rPr>
        <w:t>transmisión del conocimiento, así como la difusión de la cultura y la extensión académica que faciliten la incorporación de las personas egresadas a los sectores social, productivo y laboral.</w:t>
      </w:r>
    </w:p>
    <w:p w14:paraId="5E87D105" w14:textId="77777777" w:rsidR="00366FFB" w:rsidRPr="00743CF7" w:rsidRDefault="00366FFB" w:rsidP="00366FFB">
      <w:pPr>
        <w:autoSpaceDE w:val="0"/>
        <w:autoSpaceDN w:val="0"/>
        <w:adjustRightInd w:val="0"/>
        <w:jc w:val="both"/>
        <w:rPr>
          <w:rFonts w:ascii="Abadi" w:hAnsi="Abadi" w:cs="*Calibri-10666-Identity-H"/>
          <w:color w:val="272727"/>
          <w:sz w:val="21"/>
          <w:szCs w:val="21"/>
        </w:rPr>
      </w:pPr>
    </w:p>
    <w:p w14:paraId="1B6A9B7D" w14:textId="77777777" w:rsidR="00366FFB" w:rsidRDefault="00366FFB" w:rsidP="00366FFB">
      <w:pPr>
        <w:autoSpaceDE w:val="0"/>
        <w:autoSpaceDN w:val="0"/>
        <w:adjustRightInd w:val="0"/>
        <w:jc w:val="both"/>
        <w:rPr>
          <w:rFonts w:ascii="Abadi" w:hAnsi="Abadi" w:cs="*Calibri-10666-Identity-H"/>
          <w:color w:val="292929"/>
          <w:sz w:val="21"/>
          <w:szCs w:val="21"/>
        </w:rPr>
      </w:pPr>
      <w:r w:rsidRPr="00743CF7">
        <w:rPr>
          <w:rFonts w:ascii="Abadi" w:hAnsi="Abadi" w:cs="*Calibri-10666-Identity-H"/>
          <w:color w:val="292929"/>
          <w:sz w:val="21"/>
          <w:szCs w:val="21"/>
        </w:rPr>
        <w:t>El subsistema universitario se encuentra Integrado por las universidades e instituidnos de educación superior que realizan los objetivos establecidos en el</w:t>
      </w:r>
      <w:r>
        <w:rPr>
          <w:rFonts w:ascii="Abadi" w:hAnsi="Abadi" w:cs="*Calibri-10666-Identity-H"/>
          <w:color w:val="292929"/>
          <w:sz w:val="21"/>
          <w:szCs w:val="21"/>
        </w:rPr>
        <w:t xml:space="preserve"> </w:t>
      </w:r>
      <w:r w:rsidRPr="00743CF7">
        <w:rPr>
          <w:rFonts w:ascii="Abadi" w:hAnsi="Abadi" w:cs="*Calibri-10666-Identity-H"/>
          <w:color w:val="292929"/>
          <w:sz w:val="21"/>
          <w:szCs w:val="21"/>
        </w:rPr>
        <w:t>párrafo anterior y se clasifican de la siguiente forma en razón de su naturaleza</w:t>
      </w:r>
      <w:r>
        <w:rPr>
          <w:rFonts w:ascii="Abadi" w:hAnsi="Abadi" w:cs="*Calibri-10666-Identity-H"/>
          <w:color w:val="292929"/>
          <w:sz w:val="21"/>
          <w:szCs w:val="21"/>
        </w:rPr>
        <w:t xml:space="preserve"> </w:t>
      </w:r>
      <w:r w:rsidRPr="00743CF7">
        <w:rPr>
          <w:rFonts w:ascii="Abadi" w:hAnsi="Abadi" w:cs="*Calibri-10666-Identity-H"/>
          <w:color w:val="292929"/>
          <w:sz w:val="21"/>
          <w:szCs w:val="21"/>
        </w:rPr>
        <w:t>jurídica:</w:t>
      </w:r>
    </w:p>
    <w:p w14:paraId="63DBC8C0" w14:textId="77777777" w:rsidR="00366FFB" w:rsidRPr="00743CF7" w:rsidRDefault="00366FFB" w:rsidP="00366FFB">
      <w:pPr>
        <w:autoSpaceDE w:val="0"/>
        <w:autoSpaceDN w:val="0"/>
        <w:adjustRightInd w:val="0"/>
        <w:jc w:val="both"/>
        <w:rPr>
          <w:rFonts w:ascii="Abadi" w:hAnsi="Abadi" w:cs="*Calibri-10666-Identity-H"/>
          <w:color w:val="292929"/>
          <w:sz w:val="21"/>
          <w:szCs w:val="21"/>
        </w:rPr>
      </w:pPr>
    </w:p>
    <w:p w14:paraId="01B14C63" w14:textId="77777777" w:rsidR="00366FFB" w:rsidRPr="00C46A84" w:rsidRDefault="00366FFB" w:rsidP="005C6EBB">
      <w:pPr>
        <w:pStyle w:val="Prrafodelista"/>
        <w:numPr>
          <w:ilvl w:val="0"/>
          <w:numId w:val="27"/>
        </w:numPr>
        <w:spacing w:after="160" w:line="259" w:lineRule="auto"/>
        <w:contextualSpacing/>
        <w:jc w:val="both"/>
        <w:rPr>
          <w:rFonts w:ascii="Abadi" w:hAnsi="Abadi" w:cs="*Calibri-10666-Identity-H"/>
          <w:color w:val="282828"/>
          <w:sz w:val="21"/>
          <w:szCs w:val="21"/>
        </w:rPr>
      </w:pPr>
      <w:r w:rsidRPr="00C46A84">
        <w:rPr>
          <w:rFonts w:ascii="Abadi" w:hAnsi="Abadi" w:cs="*Calibri-10666-Identity-H"/>
          <w:color w:val="282828"/>
          <w:sz w:val="21"/>
          <w:szCs w:val="21"/>
        </w:rPr>
        <w:t>En el ámbito del Estado:</w:t>
      </w:r>
    </w:p>
    <w:p w14:paraId="09CC3541" w14:textId="77777777" w:rsidR="00366FFB" w:rsidRPr="00743CF7" w:rsidRDefault="00366FFB" w:rsidP="00366FFB">
      <w:pPr>
        <w:jc w:val="both"/>
        <w:rPr>
          <w:rFonts w:ascii="Abadi" w:hAnsi="Abadi" w:cs="*Calibri-10666-Identity-H"/>
          <w:color w:val="282828"/>
          <w:sz w:val="21"/>
          <w:szCs w:val="21"/>
        </w:rPr>
      </w:pPr>
    </w:p>
    <w:p w14:paraId="7A23B66F" w14:textId="77777777" w:rsidR="00366FFB" w:rsidRPr="00C46A84" w:rsidRDefault="00366FFB" w:rsidP="005C6EBB">
      <w:pPr>
        <w:pStyle w:val="Prrafodelista"/>
        <w:numPr>
          <w:ilvl w:val="0"/>
          <w:numId w:val="28"/>
        </w:numPr>
        <w:autoSpaceDE w:val="0"/>
        <w:autoSpaceDN w:val="0"/>
        <w:adjustRightInd w:val="0"/>
        <w:ind w:left="1418"/>
        <w:contextualSpacing/>
        <w:jc w:val="both"/>
        <w:rPr>
          <w:rFonts w:ascii="Abadi" w:hAnsi="Abadi" w:cs="*Arial-9728-Identity-H"/>
          <w:color w:val="2B2B2B"/>
          <w:sz w:val="21"/>
          <w:szCs w:val="21"/>
        </w:rPr>
      </w:pPr>
      <w:r w:rsidRPr="00C46A84">
        <w:rPr>
          <w:rFonts w:ascii="Abadi" w:hAnsi="Abadi" w:cs="*Arial-9728-Identity-H"/>
          <w:color w:val="2B2B2B"/>
          <w:sz w:val="21"/>
          <w:szCs w:val="21"/>
        </w:rPr>
        <w:t>Universidades e instituciones de educación superior autónomas por ley;</w:t>
      </w:r>
    </w:p>
    <w:p w14:paraId="471ABD85" w14:textId="77777777" w:rsidR="00366FFB" w:rsidRPr="00743CF7" w:rsidRDefault="00366FFB" w:rsidP="00366FFB">
      <w:pPr>
        <w:autoSpaceDE w:val="0"/>
        <w:autoSpaceDN w:val="0"/>
        <w:adjustRightInd w:val="0"/>
        <w:ind w:left="1418"/>
        <w:jc w:val="both"/>
        <w:rPr>
          <w:rFonts w:ascii="Abadi" w:hAnsi="Abadi" w:cs="*Arial-9728-Identity-H"/>
          <w:color w:val="2A2A2A"/>
          <w:sz w:val="21"/>
          <w:szCs w:val="21"/>
        </w:rPr>
      </w:pPr>
    </w:p>
    <w:p w14:paraId="67E575F3" w14:textId="77777777" w:rsidR="00366FFB" w:rsidRPr="00C46A84" w:rsidRDefault="00366FFB" w:rsidP="005C6EBB">
      <w:pPr>
        <w:pStyle w:val="Prrafodelista"/>
        <w:numPr>
          <w:ilvl w:val="0"/>
          <w:numId w:val="28"/>
        </w:numPr>
        <w:autoSpaceDE w:val="0"/>
        <w:autoSpaceDN w:val="0"/>
        <w:adjustRightInd w:val="0"/>
        <w:ind w:left="1418"/>
        <w:contextualSpacing/>
        <w:jc w:val="both"/>
        <w:rPr>
          <w:rFonts w:ascii="Abadi" w:hAnsi="Abadi" w:cs="*Arial-9728-Identity-H"/>
          <w:color w:val="2A2A2A"/>
          <w:sz w:val="21"/>
          <w:szCs w:val="21"/>
        </w:rPr>
      </w:pPr>
      <w:r w:rsidRPr="00C46A84">
        <w:rPr>
          <w:rFonts w:ascii="Abadi" w:hAnsi="Abadi" w:cs="*Arial-9728-Identity-H"/>
          <w:color w:val="2A2A2A"/>
          <w:sz w:val="21"/>
          <w:szCs w:val="21"/>
        </w:rPr>
        <w:t>Universidades e instituciones de educación superior constituidas como organismos descentralizados distintas a las que la ley otorga autonomía. Quedan comprendidas en este rubro las universidades interculturales. Las universidades públicas estatales con apoyo solidario o equivalentes;</w:t>
      </w:r>
    </w:p>
    <w:p w14:paraId="68EAD4ED" w14:textId="77777777" w:rsidR="00366FFB" w:rsidRPr="00743CF7" w:rsidRDefault="00366FFB" w:rsidP="00366FFB">
      <w:pPr>
        <w:autoSpaceDE w:val="0"/>
        <w:autoSpaceDN w:val="0"/>
        <w:adjustRightInd w:val="0"/>
        <w:ind w:left="1418"/>
        <w:jc w:val="both"/>
        <w:rPr>
          <w:rFonts w:ascii="Abadi" w:hAnsi="Abadi" w:cs="*Arial-9728-Identity-H"/>
          <w:color w:val="272727"/>
          <w:sz w:val="21"/>
          <w:szCs w:val="21"/>
        </w:rPr>
      </w:pPr>
    </w:p>
    <w:p w14:paraId="13F76649" w14:textId="77777777" w:rsidR="00366FFB" w:rsidRPr="00C46A84" w:rsidRDefault="00366FFB" w:rsidP="005C6EBB">
      <w:pPr>
        <w:pStyle w:val="Prrafodelista"/>
        <w:numPr>
          <w:ilvl w:val="0"/>
          <w:numId w:val="28"/>
        </w:numPr>
        <w:autoSpaceDE w:val="0"/>
        <w:autoSpaceDN w:val="0"/>
        <w:adjustRightInd w:val="0"/>
        <w:ind w:left="1418"/>
        <w:contextualSpacing/>
        <w:jc w:val="both"/>
        <w:rPr>
          <w:rFonts w:ascii="Abadi" w:hAnsi="Abadi" w:cs="*Arial-9728-Identity-H"/>
          <w:color w:val="272727"/>
          <w:sz w:val="21"/>
          <w:szCs w:val="21"/>
        </w:rPr>
      </w:pPr>
      <w:r w:rsidRPr="00C46A84">
        <w:rPr>
          <w:rFonts w:ascii="Abadi" w:hAnsi="Abadi" w:cs="*Arial-9728-Identity-H"/>
          <w:color w:val="272727"/>
          <w:sz w:val="21"/>
          <w:szCs w:val="21"/>
        </w:rPr>
        <w:t>Universidades e instituciones de educación superior constituidas como órganos desconcentrados de una dependencia de alguno de los poderes de una entidad federativa, y</w:t>
      </w:r>
    </w:p>
    <w:p w14:paraId="151BBE5D" w14:textId="77777777" w:rsidR="00366FFB" w:rsidRPr="00743CF7" w:rsidRDefault="00366FFB" w:rsidP="00366FFB">
      <w:pPr>
        <w:autoSpaceDE w:val="0"/>
        <w:autoSpaceDN w:val="0"/>
        <w:adjustRightInd w:val="0"/>
        <w:ind w:left="1418"/>
        <w:jc w:val="both"/>
        <w:rPr>
          <w:rFonts w:ascii="Abadi" w:hAnsi="Abadi" w:cs="*Arial-9728-Identity-H"/>
          <w:color w:val="272727"/>
          <w:sz w:val="21"/>
          <w:szCs w:val="21"/>
        </w:rPr>
      </w:pPr>
    </w:p>
    <w:p w14:paraId="64629FF8" w14:textId="77777777" w:rsidR="00366FFB" w:rsidRPr="00C46A84" w:rsidRDefault="00366FFB" w:rsidP="005C6EBB">
      <w:pPr>
        <w:pStyle w:val="Prrafodelista"/>
        <w:numPr>
          <w:ilvl w:val="0"/>
          <w:numId w:val="28"/>
        </w:numPr>
        <w:autoSpaceDE w:val="0"/>
        <w:autoSpaceDN w:val="0"/>
        <w:adjustRightInd w:val="0"/>
        <w:ind w:left="1418"/>
        <w:contextualSpacing/>
        <w:jc w:val="both"/>
        <w:rPr>
          <w:rFonts w:ascii="Abadi" w:hAnsi="Abadi" w:cs="*Arial-9728-Identity-H"/>
          <w:color w:val="282828"/>
          <w:sz w:val="21"/>
          <w:szCs w:val="21"/>
        </w:rPr>
      </w:pPr>
      <w:r w:rsidRPr="00C46A84">
        <w:rPr>
          <w:rFonts w:ascii="Abadi" w:hAnsi="Abadi" w:cs="*Arial-9728-Identity-H"/>
          <w:color w:val="282828"/>
          <w:sz w:val="21"/>
          <w:szCs w:val="21"/>
        </w:rPr>
        <w:t>Aquellas a través de las cuales una dependencia de alguno de los poderes de una entidad federativa imparte el servicio de educación superior en forma directa;</w:t>
      </w:r>
    </w:p>
    <w:p w14:paraId="369FD10D" w14:textId="77777777" w:rsidR="00366FFB" w:rsidRPr="00743CF7" w:rsidRDefault="00366FFB" w:rsidP="00366FFB">
      <w:pPr>
        <w:autoSpaceDE w:val="0"/>
        <w:autoSpaceDN w:val="0"/>
        <w:adjustRightInd w:val="0"/>
        <w:jc w:val="both"/>
        <w:rPr>
          <w:rFonts w:ascii="Abadi" w:hAnsi="Abadi" w:cs="*Arial-9728-Identity-H"/>
          <w:color w:val="282828"/>
          <w:sz w:val="21"/>
          <w:szCs w:val="21"/>
        </w:rPr>
      </w:pPr>
    </w:p>
    <w:p w14:paraId="2C239F0A" w14:textId="77777777" w:rsidR="00366FFB" w:rsidRPr="00C46A84" w:rsidRDefault="00366FFB" w:rsidP="005C6EBB">
      <w:pPr>
        <w:pStyle w:val="Prrafodelista"/>
        <w:numPr>
          <w:ilvl w:val="0"/>
          <w:numId w:val="27"/>
        </w:numPr>
        <w:autoSpaceDE w:val="0"/>
        <w:autoSpaceDN w:val="0"/>
        <w:adjustRightInd w:val="0"/>
        <w:contextualSpacing/>
        <w:jc w:val="both"/>
        <w:rPr>
          <w:rFonts w:ascii="Abadi" w:hAnsi="Abadi" w:cs="*Arial-9728-Identity-H"/>
          <w:color w:val="2B2B2B"/>
          <w:sz w:val="21"/>
          <w:szCs w:val="21"/>
        </w:rPr>
      </w:pPr>
      <w:r w:rsidRPr="00C46A84">
        <w:rPr>
          <w:rFonts w:ascii="Abadi" w:hAnsi="Abadi" w:cs="*Arial-9728-Identity-H"/>
          <w:color w:val="2B2B2B"/>
          <w:sz w:val="21"/>
          <w:szCs w:val="21"/>
        </w:rPr>
        <w:t>Instituciones de educación superior establecidas por los Ayuntamientos;</w:t>
      </w:r>
    </w:p>
    <w:p w14:paraId="6D9908C3" w14:textId="77777777" w:rsidR="00366FFB" w:rsidRPr="00743CF7" w:rsidRDefault="00366FFB" w:rsidP="00366FFB">
      <w:pPr>
        <w:autoSpaceDE w:val="0"/>
        <w:autoSpaceDN w:val="0"/>
        <w:adjustRightInd w:val="0"/>
        <w:jc w:val="both"/>
        <w:rPr>
          <w:rFonts w:ascii="Abadi" w:hAnsi="Abadi" w:cs="*Arial-9728-Identity-H"/>
          <w:color w:val="292929"/>
          <w:sz w:val="21"/>
          <w:szCs w:val="21"/>
        </w:rPr>
      </w:pPr>
    </w:p>
    <w:p w14:paraId="22F221A5" w14:textId="77777777" w:rsidR="00366FFB" w:rsidRPr="00C46A84" w:rsidRDefault="00366FFB" w:rsidP="005C6EBB">
      <w:pPr>
        <w:pStyle w:val="Prrafodelista"/>
        <w:numPr>
          <w:ilvl w:val="0"/>
          <w:numId w:val="27"/>
        </w:numPr>
        <w:autoSpaceDE w:val="0"/>
        <w:autoSpaceDN w:val="0"/>
        <w:adjustRightInd w:val="0"/>
        <w:contextualSpacing/>
        <w:jc w:val="both"/>
        <w:rPr>
          <w:rFonts w:ascii="Abadi" w:hAnsi="Abadi" w:cs="*Arial-9728-Identity-H"/>
          <w:color w:val="292929"/>
          <w:sz w:val="21"/>
          <w:szCs w:val="21"/>
        </w:rPr>
      </w:pPr>
      <w:r w:rsidRPr="00C46A84">
        <w:rPr>
          <w:rFonts w:ascii="Abadi" w:hAnsi="Abadi" w:cs="*Arial-9728-Identity-H"/>
          <w:color w:val="292929"/>
          <w:sz w:val="21"/>
          <w:szCs w:val="21"/>
        </w:rPr>
        <w:t>Universidades e instituciones públicas comunitarias de educación superior, que son aquellos que se organizan a partir de acuerdos establecidos entre las autoridades federales, del Estado o los Ayuntamientos. con comunidades organizadas;</w:t>
      </w:r>
    </w:p>
    <w:p w14:paraId="3E0173B5" w14:textId="77777777" w:rsidR="00366FFB" w:rsidRPr="00743CF7" w:rsidRDefault="00366FFB" w:rsidP="00366FFB">
      <w:pPr>
        <w:autoSpaceDE w:val="0"/>
        <w:autoSpaceDN w:val="0"/>
        <w:adjustRightInd w:val="0"/>
        <w:jc w:val="both"/>
        <w:rPr>
          <w:rFonts w:ascii="Abadi" w:hAnsi="Abadi" w:cs="*Arial-9728-Identity-H"/>
          <w:color w:val="292929"/>
          <w:sz w:val="21"/>
          <w:szCs w:val="21"/>
        </w:rPr>
      </w:pPr>
    </w:p>
    <w:p w14:paraId="58C0CC81" w14:textId="77777777" w:rsidR="00366FFB" w:rsidRPr="00C46A84" w:rsidRDefault="00366FFB" w:rsidP="005C6EBB">
      <w:pPr>
        <w:pStyle w:val="Prrafodelista"/>
        <w:numPr>
          <w:ilvl w:val="0"/>
          <w:numId w:val="27"/>
        </w:numPr>
        <w:autoSpaceDE w:val="0"/>
        <w:autoSpaceDN w:val="0"/>
        <w:adjustRightInd w:val="0"/>
        <w:contextualSpacing/>
        <w:jc w:val="both"/>
        <w:rPr>
          <w:rFonts w:ascii="Abadi" w:hAnsi="Abadi" w:cs="*Arial-9728-Identity-H"/>
          <w:color w:val="292929"/>
          <w:sz w:val="21"/>
          <w:szCs w:val="21"/>
        </w:rPr>
      </w:pPr>
      <w:r w:rsidRPr="00C46A84">
        <w:rPr>
          <w:rFonts w:ascii="Abadi" w:hAnsi="Abadi" w:cs="*Arial-9728-Identity-H"/>
          <w:color w:val="292929"/>
          <w:sz w:val="21"/>
          <w:szCs w:val="21"/>
        </w:rPr>
        <w:t>Universidades e instituciones particulares de educación superior, que son aquellos creadas por particulares con autorización o reconocimiento de validez oficial de estudios. Quedan comprendidas en este apartado, aquellas instituciones particulares de educación superior de sostenimiento social y comunitario;</w:t>
      </w:r>
    </w:p>
    <w:p w14:paraId="77726453" w14:textId="77777777" w:rsidR="00366FFB" w:rsidRPr="00743CF7" w:rsidRDefault="00366FFB" w:rsidP="00366FFB">
      <w:pPr>
        <w:jc w:val="both"/>
        <w:rPr>
          <w:rFonts w:ascii="Abadi" w:hAnsi="Abadi" w:cs="*Arial-9728-Identity-H"/>
          <w:color w:val="292929"/>
          <w:sz w:val="21"/>
          <w:szCs w:val="21"/>
        </w:rPr>
      </w:pPr>
    </w:p>
    <w:p w14:paraId="7A7FC0D4" w14:textId="77777777" w:rsidR="00366FFB" w:rsidRPr="00C46A84" w:rsidRDefault="00366FFB" w:rsidP="005C6EBB">
      <w:pPr>
        <w:pStyle w:val="Prrafodelista"/>
        <w:numPr>
          <w:ilvl w:val="0"/>
          <w:numId w:val="27"/>
        </w:numPr>
        <w:autoSpaceDE w:val="0"/>
        <w:autoSpaceDN w:val="0"/>
        <w:adjustRightInd w:val="0"/>
        <w:contextualSpacing/>
        <w:jc w:val="both"/>
        <w:rPr>
          <w:rFonts w:ascii="Abadi" w:hAnsi="Abadi" w:cs="*Microsoft Sans Serif-10880-Ide"/>
          <w:color w:val="2A2A2A"/>
          <w:sz w:val="21"/>
          <w:szCs w:val="21"/>
        </w:rPr>
      </w:pPr>
      <w:r w:rsidRPr="00C46A84">
        <w:rPr>
          <w:rFonts w:ascii="Abadi" w:hAnsi="Abadi" w:cs="*Microsoft Sans Serif-10880-Ide"/>
          <w:color w:val="2A2A2A"/>
          <w:sz w:val="21"/>
          <w:szCs w:val="21"/>
        </w:rPr>
        <w:t>Instituciones de educación superior reconocidas en México mediante convenios o tratados internacionales, y</w:t>
      </w:r>
    </w:p>
    <w:p w14:paraId="12158ED0" w14:textId="77777777" w:rsidR="00366FFB" w:rsidRPr="00743CF7" w:rsidRDefault="00366FFB" w:rsidP="00366FFB">
      <w:pPr>
        <w:autoSpaceDE w:val="0"/>
        <w:autoSpaceDN w:val="0"/>
        <w:adjustRightInd w:val="0"/>
        <w:jc w:val="both"/>
        <w:rPr>
          <w:rFonts w:ascii="Abadi" w:hAnsi="Abadi" w:cs="*Microsoft Sans Serif-10880-Ide"/>
          <w:color w:val="2A2A2A"/>
          <w:sz w:val="21"/>
          <w:szCs w:val="21"/>
        </w:rPr>
      </w:pPr>
    </w:p>
    <w:p w14:paraId="60147689" w14:textId="77777777" w:rsidR="00366FFB" w:rsidRPr="00C46A84" w:rsidRDefault="00366FFB" w:rsidP="005C6EBB">
      <w:pPr>
        <w:pStyle w:val="Prrafodelista"/>
        <w:numPr>
          <w:ilvl w:val="0"/>
          <w:numId w:val="27"/>
        </w:numPr>
        <w:autoSpaceDE w:val="0"/>
        <w:autoSpaceDN w:val="0"/>
        <w:adjustRightInd w:val="0"/>
        <w:contextualSpacing/>
        <w:jc w:val="both"/>
        <w:rPr>
          <w:rFonts w:ascii="Abadi" w:hAnsi="Abadi" w:cs="*Microsoft Sans Serif-10880-Ide"/>
          <w:color w:val="282828"/>
          <w:sz w:val="21"/>
          <w:szCs w:val="21"/>
        </w:rPr>
      </w:pPr>
      <w:r w:rsidRPr="00C46A84">
        <w:rPr>
          <w:rFonts w:ascii="Abadi" w:hAnsi="Abadi" w:cs="*Microsoft Sans Serif-10880-Ide"/>
          <w:color w:val="282828"/>
          <w:sz w:val="21"/>
          <w:szCs w:val="21"/>
        </w:rPr>
        <w:t xml:space="preserve">Centros Públicos de Investigación, que son aquellas entidades paraestatales de la Administración Pública Federal o del estado, que de acuerdo con su instrumento de creación tienen como objeto predominante realizar actividades de investigación científica, tecnológica y humanística, cuentan con programas de formación en el tipo superior </w:t>
      </w:r>
      <w:r w:rsidRPr="00C46A84">
        <w:rPr>
          <w:rFonts w:ascii="Abadi" w:hAnsi="Abadi" w:cs="*Times New Roman-Italic-10874-I"/>
          <w:i/>
          <w:iCs/>
          <w:color w:val="282828"/>
          <w:sz w:val="21"/>
          <w:szCs w:val="21"/>
        </w:rPr>
        <w:t xml:space="preserve">y </w:t>
      </w:r>
      <w:r w:rsidRPr="00C46A84">
        <w:rPr>
          <w:rFonts w:ascii="Abadi" w:hAnsi="Abadi" w:cs="*Microsoft Sans Serif-10880-Ide"/>
          <w:color w:val="282828"/>
          <w:sz w:val="21"/>
          <w:szCs w:val="21"/>
        </w:rPr>
        <w:t>realizan actividades de</w:t>
      </w:r>
    </w:p>
    <w:p w14:paraId="0C144FB9" w14:textId="77777777" w:rsidR="00366FFB" w:rsidRPr="00C46A84" w:rsidRDefault="00366FFB" w:rsidP="005C6EBB">
      <w:pPr>
        <w:pStyle w:val="Prrafodelista"/>
        <w:numPr>
          <w:ilvl w:val="0"/>
          <w:numId w:val="27"/>
        </w:numPr>
        <w:autoSpaceDE w:val="0"/>
        <w:autoSpaceDN w:val="0"/>
        <w:adjustRightInd w:val="0"/>
        <w:contextualSpacing/>
        <w:jc w:val="both"/>
        <w:rPr>
          <w:rFonts w:ascii="Abadi" w:hAnsi="Abadi" w:cs="*Microsoft Sans Serif-10880-Ide"/>
          <w:color w:val="282828"/>
          <w:sz w:val="21"/>
          <w:szCs w:val="21"/>
        </w:rPr>
      </w:pPr>
      <w:r w:rsidRPr="00C46A84">
        <w:rPr>
          <w:rFonts w:ascii="Abadi" w:hAnsi="Abadi" w:cs="*Microsoft Sans Serif-10880-Ide"/>
          <w:color w:val="282828"/>
          <w:sz w:val="21"/>
          <w:szCs w:val="21"/>
        </w:rPr>
        <w:t xml:space="preserve">vinculación con los sectores social </w:t>
      </w:r>
      <w:r w:rsidRPr="00C46A84">
        <w:rPr>
          <w:rFonts w:ascii="Abadi" w:hAnsi="Abadi" w:cs="*Times New Roman-Italic-10874-I"/>
          <w:i/>
          <w:iCs/>
          <w:color w:val="282828"/>
          <w:sz w:val="21"/>
          <w:szCs w:val="21"/>
        </w:rPr>
        <w:t xml:space="preserve">y </w:t>
      </w:r>
      <w:r w:rsidRPr="00C46A84">
        <w:rPr>
          <w:rFonts w:ascii="Abadi" w:hAnsi="Abadi" w:cs="*Microsoft Sans Serif-10880-Ide"/>
          <w:color w:val="282828"/>
          <w:sz w:val="21"/>
          <w:szCs w:val="21"/>
        </w:rPr>
        <w:t>productivo, extensión y d</w:t>
      </w:r>
      <w:r w:rsidRPr="00C46A84">
        <w:rPr>
          <w:rFonts w:ascii="Abadi" w:hAnsi="Abadi" w:cs="*Microsoft Sans Serif-10880-Ide"/>
          <w:color w:val="818181"/>
          <w:sz w:val="21"/>
          <w:szCs w:val="21"/>
        </w:rPr>
        <w:t>i</w:t>
      </w:r>
      <w:r w:rsidRPr="00C46A84">
        <w:rPr>
          <w:rFonts w:ascii="Abadi" w:hAnsi="Abadi" w:cs="*Microsoft Sans Serif-10880-Ide"/>
          <w:color w:val="282828"/>
          <w:sz w:val="21"/>
          <w:szCs w:val="21"/>
        </w:rPr>
        <w:t>fus</w:t>
      </w:r>
      <w:r w:rsidRPr="00C46A84">
        <w:rPr>
          <w:rFonts w:ascii="Abadi" w:hAnsi="Abadi" w:cs="*Microsoft Sans Serif-10880-Ide"/>
          <w:color w:val="3F3F3F"/>
          <w:sz w:val="21"/>
          <w:szCs w:val="21"/>
        </w:rPr>
        <w:t>i</w:t>
      </w:r>
      <w:r w:rsidRPr="00C46A84">
        <w:rPr>
          <w:rFonts w:ascii="Abadi" w:hAnsi="Abadi" w:cs="*Microsoft Sans Serif-10880-Ide"/>
          <w:color w:val="282828"/>
          <w:sz w:val="21"/>
          <w:szCs w:val="21"/>
        </w:rPr>
        <w:t>ón académica.</w:t>
      </w:r>
    </w:p>
    <w:p w14:paraId="0243198B" w14:textId="77777777" w:rsidR="00366FFB" w:rsidRPr="00743CF7" w:rsidRDefault="00366FFB" w:rsidP="00366FFB">
      <w:pPr>
        <w:autoSpaceDE w:val="0"/>
        <w:autoSpaceDN w:val="0"/>
        <w:adjustRightInd w:val="0"/>
        <w:jc w:val="both"/>
        <w:rPr>
          <w:rFonts w:ascii="Abadi" w:hAnsi="Abadi" w:cs="*Calibri-Bold-10878-Identity-H"/>
          <w:b/>
          <w:bCs/>
          <w:color w:val="131313"/>
          <w:sz w:val="21"/>
          <w:szCs w:val="21"/>
        </w:rPr>
      </w:pPr>
    </w:p>
    <w:p w14:paraId="633798D9" w14:textId="77777777" w:rsidR="00366FFB" w:rsidRPr="00743CF7" w:rsidRDefault="00366FFB" w:rsidP="00366FFB">
      <w:pPr>
        <w:autoSpaceDE w:val="0"/>
        <w:autoSpaceDN w:val="0"/>
        <w:adjustRightInd w:val="0"/>
        <w:jc w:val="center"/>
        <w:rPr>
          <w:rFonts w:ascii="Abadi" w:hAnsi="Abadi" w:cs="*Calibri-Bold-10878-Identity-H"/>
          <w:b/>
          <w:bCs/>
          <w:color w:val="131313"/>
          <w:sz w:val="21"/>
          <w:szCs w:val="21"/>
        </w:rPr>
      </w:pPr>
      <w:r w:rsidRPr="00743CF7">
        <w:rPr>
          <w:rFonts w:ascii="Abadi" w:hAnsi="Abadi" w:cs="*Calibri-Bold-10878-Identity-H"/>
          <w:b/>
          <w:bCs/>
          <w:color w:val="131313"/>
          <w:sz w:val="21"/>
          <w:szCs w:val="21"/>
        </w:rPr>
        <w:t>Sección Segunda</w:t>
      </w:r>
    </w:p>
    <w:p w14:paraId="66EFB53E" w14:textId="77777777" w:rsidR="00366FFB" w:rsidRPr="00743CF7" w:rsidRDefault="00366FFB" w:rsidP="00366FFB">
      <w:pPr>
        <w:autoSpaceDE w:val="0"/>
        <w:autoSpaceDN w:val="0"/>
        <w:adjustRightInd w:val="0"/>
        <w:jc w:val="center"/>
        <w:rPr>
          <w:rFonts w:ascii="Abadi" w:hAnsi="Abadi" w:cs="*Calibri-Bold-10878-Identity-H"/>
          <w:b/>
          <w:bCs/>
          <w:color w:val="131313"/>
          <w:sz w:val="21"/>
          <w:szCs w:val="21"/>
        </w:rPr>
      </w:pPr>
      <w:r w:rsidRPr="00743CF7">
        <w:rPr>
          <w:rFonts w:ascii="Abadi" w:hAnsi="Abadi" w:cs="*Calibri-Bold-10878-Identity-H"/>
          <w:b/>
          <w:bCs/>
          <w:color w:val="131313"/>
          <w:sz w:val="21"/>
          <w:szCs w:val="21"/>
        </w:rPr>
        <w:t>Subsistema Tecnológico</w:t>
      </w:r>
    </w:p>
    <w:p w14:paraId="1508F866" w14:textId="77777777" w:rsidR="00366FFB" w:rsidRPr="00743CF7" w:rsidRDefault="00366FFB" w:rsidP="00366FFB">
      <w:pPr>
        <w:autoSpaceDE w:val="0"/>
        <w:autoSpaceDN w:val="0"/>
        <w:adjustRightInd w:val="0"/>
        <w:jc w:val="center"/>
        <w:rPr>
          <w:rFonts w:ascii="Abadi" w:hAnsi="Abadi" w:cs="*Tahoma-BoldItalic-10881-Identi"/>
          <w:b/>
          <w:bCs/>
          <w:i/>
          <w:iCs/>
          <w:color w:val="131313"/>
          <w:sz w:val="21"/>
          <w:szCs w:val="21"/>
        </w:rPr>
      </w:pPr>
      <w:r w:rsidRPr="00743CF7">
        <w:rPr>
          <w:rFonts w:ascii="Abadi" w:hAnsi="Abadi" w:cs="*Tahoma-BoldItalic-10881-Identi"/>
          <w:b/>
          <w:bCs/>
          <w:i/>
          <w:iCs/>
          <w:color w:val="131313"/>
          <w:sz w:val="21"/>
          <w:szCs w:val="21"/>
        </w:rPr>
        <w:t>Educación Superior Tecnológica</w:t>
      </w:r>
    </w:p>
    <w:p w14:paraId="142E119C" w14:textId="77777777" w:rsidR="00366FFB" w:rsidRPr="00743CF7" w:rsidRDefault="00366FFB" w:rsidP="00366FFB">
      <w:pPr>
        <w:autoSpaceDE w:val="0"/>
        <w:autoSpaceDN w:val="0"/>
        <w:adjustRightInd w:val="0"/>
        <w:jc w:val="center"/>
        <w:rPr>
          <w:rFonts w:ascii="Abadi" w:hAnsi="Abadi" w:cs="*Arial-Bold-10879-Identity-H"/>
          <w:b/>
          <w:bCs/>
          <w:color w:val="292929"/>
          <w:sz w:val="21"/>
          <w:szCs w:val="21"/>
        </w:rPr>
      </w:pPr>
    </w:p>
    <w:p w14:paraId="46665C1F" w14:textId="40DD1E2E" w:rsidR="00366FFB" w:rsidRPr="00743CF7" w:rsidRDefault="00366FFB" w:rsidP="00366FFB">
      <w:pPr>
        <w:autoSpaceDE w:val="0"/>
        <w:autoSpaceDN w:val="0"/>
        <w:adjustRightInd w:val="0"/>
        <w:ind w:firstLine="708"/>
        <w:jc w:val="both"/>
        <w:rPr>
          <w:rFonts w:ascii="Abadi" w:hAnsi="Abadi" w:cs="*Microsoft Sans Serif-10880-Ide"/>
          <w:color w:val="292929"/>
          <w:sz w:val="21"/>
          <w:szCs w:val="21"/>
        </w:rPr>
      </w:pPr>
      <w:r w:rsidRPr="00743CF7">
        <w:rPr>
          <w:rFonts w:ascii="Abadi" w:hAnsi="Abadi" w:cs="*Arial-Bold-10879-Identity-H"/>
          <w:b/>
          <w:bCs/>
          <w:color w:val="292929"/>
          <w:sz w:val="21"/>
          <w:szCs w:val="21"/>
        </w:rPr>
        <w:t xml:space="preserve">Artículo </w:t>
      </w:r>
      <w:r w:rsidRPr="00743CF7">
        <w:rPr>
          <w:rFonts w:ascii="Abadi" w:hAnsi="Abadi" w:cs="*Times New Roman-BoldItalic-108"/>
          <w:b/>
          <w:bCs/>
          <w:i/>
          <w:iCs/>
          <w:color w:val="292929"/>
          <w:sz w:val="21"/>
          <w:szCs w:val="21"/>
        </w:rPr>
        <w:t xml:space="preserve">55. </w:t>
      </w:r>
      <w:r w:rsidRPr="00743CF7">
        <w:rPr>
          <w:rFonts w:ascii="Abadi" w:hAnsi="Abadi" w:cs="*Microsoft Sans Serif-10880-Ide"/>
          <w:color w:val="292929"/>
          <w:sz w:val="21"/>
          <w:szCs w:val="21"/>
        </w:rPr>
        <w:t xml:space="preserve">La educación superior tecnológica tiene por objeto la formación integral de las personas con énfasis en la enseñanza, la aplicación y la vinculación de </w:t>
      </w:r>
      <w:r w:rsidR="00317065" w:rsidRPr="00743CF7">
        <w:rPr>
          <w:rFonts w:ascii="Abadi" w:hAnsi="Abadi" w:cs="*Microsoft Sans Serif-10880-Ide"/>
          <w:color w:val="292929"/>
          <w:sz w:val="21"/>
          <w:szCs w:val="21"/>
        </w:rPr>
        <w:t>las ciencias</w:t>
      </w:r>
      <w:r w:rsidRPr="00743CF7">
        <w:rPr>
          <w:rFonts w:ascii="Abadi" w:hAnsi="Abadi" w:cs="*Microsoft Sans Serif-10880-Ide"/>
          <w:color w:val="292929"/>
          <w:sz w:val="21"/>
          <w:szCs w:val="21"/>
        </w:rPr>
        <w:t>, l</w:t>
      </w:r>
      <w:r>
        <w:rPr>
          <w:rFonts w:ascii="Abadi" w:hAnsi="Abadi" w:cs="*Microsoft Sans Serif-10880-Ide"/>
          <w:color w:val="292929"/>
          <w:sz w:val="21"/>
          <w:szCs w:val="21"/>
        </w:rPr>
        <w:t>a</w:t>
      </w:r>
      <w:r w:rsidRPr="00743CF7">
        <w:rPr>
          <w:rFonts w:ascii="Abadi" w:hAnsi="Abadi" w:cs="*Microsoft Sans Serif-10880-Ide"/>
          <w:color w:val="292929"/>
          <w:sz w:val="21"/>
          <w:szCs w:val="21"/>
        </w:rPr>
        <w:t xml:space="preserve">s ingenierías </w:t>
      </w:r>
      <w:r w:rsidRPr="00743CF7">
        <w:rPr>
          <w:rFonts w:ascii="Abadi" w:hAnsi="Abadi" w:cs="*Times New Roman-Italic-10874-I"/>
          <w:i/>
          <w:iCs/>
          <w:color w:val="292929"/>
          <w:sz w:val="21"/>
          <w:szCs w:val="21"/>
        </w:rPr>
        <w:t xml:space="preserve">y </w:t>
      </w:r>
      <w:r w:rsidRPr="00743CF7">
        <w:rPr>
          <w:rFonts w:ascii="Abadi" w:hAnsi="Abadi" w:cs="*Microsoft Sans Serif-10880-Ide"/>
          <w:color w:val="292929"/>
          <w:sz w:val="21"/>
          <w:szCs w:val="21"/>
        </w:rPr>
        <w:t xml:space="preserve">lo tecnología con los sectores productivos de bienes </w:t>
      </w:r>
      <w:r w:rsidRPr="00743CF7">
        <w:rPr>
          <w:rFonts w:ascii="Abadi" w:hAnsi="Abadi" w:cs="*Times New Roman-Italic-10873-I"/>
          <w:i/>
          <w:iCs/>
          <w:color w:val="292929"/>
          <w:sz w:val="21"/>
          <w:szCs w:val="21"/>
        </w:rPr>
        <w:t xml:space="preserve">y </w:t>
      </w:r>
      <w:r w:rsidRPr="00743CF7">
        <w:rPr>
          <w:rFonts w:ascii="Abadi" w:hAnsi="Abadi" w:cs="*Microsoft Sans Serif-10880-Ide"/>
          <w:color w:val="292929"/>
          <w:sz w:val="21"/>
          <w:szCs w:val="21"/>
        </w:rPr>
        <w:t xml:space="preserve">servicios, así como Id investigación científica y tecnológica. </w:t>
      </w:r>
    </w:p>
    <w:p w14:paraId="5FE8F1EB" w14:textId="77777777" w:rsidR="00366FFB" w:rsidRPr="00743CF7" w:rsidRDefault="00366FFB" w:rsidP="00366FFB">
      <w:pPr>
        <w:autoSpaceDE w:val="0"/>
        <w:autoSpaceDN w:val="0"/>
        <w:adjustRightInd w:val="0"/>
        <w:jc w:val="both"/>
        <w:rPr>
          <w:rFonts w:ascii="Abadi" w:hAnsi="Abadi" w:cs="*Microsoft Sans Serif-10880-Ide"/>
          <w:color w:val="292929"/>
          <w:sz w:val="21"/>
          <w:szCs w:val="21"/>
        </w:rPr>
      </w:pPr>
    </w:p>
    <w:p w14:paraId="0695AA5A" w14:textId="77777777" w:rsidR="00366FFB" w:rsidRPr="00743CF7" w:rsidRDefault="00366FFB" w:rsidP="00366FFB">
      <w:pPr>
        <w:autoSpaceDE w:val="0"/>
        <w:autoSpaceDN w:val="0"/>
        <w:adjustRightInd w:val="0"/>
        <w:ind w:firstLine="708"/>
        <w:jc w:val="both"/>
        <w:rPr>
          <w:rFonts w:ascii="Abadi" w:hAnsi="Abadi" w:cs="*Microsoft Sans Serif-10880-Ide"/>
          <w:color w:val="282828"/>
          <w:sz w:val="21"/>
          <w:szCs w:val="21"/>
        </w:rPr>
      </w:pPr>
      <w:r w:rsidRPr="00743CF7">
        <w:rPr>
          <w:rFonts w:ascii="Abadi" w:hAnsi="Abadi" w:cs="*Microsoft Sans Serif-10880-Ide"/>
          <w:color w:val="282828"/>
          <w:sz w:val="21"/>
          <w:szCs w:val="21"/>
        </w:rPr>
        <w:t>El subsistema tecnológico se encuentra integrado por las instituciones de educación superior que realizan los objetivos que se prevén en el párrafo inferior con el énfasis mencionado y se clasifican de la siguiente forma en razón de su naturaleza jurídica:</w:t>
      </w:r>
    </w:p>
    <w:p w14:paraId="36B4FA57" w14:textId="77777777" w:rsidR="00366FFB" w:rsidRPr="00743CF7" w:rsidRDefault="00366FFB" w:rsidP="00366FFB">
      <w:pPr>
        <w:autoSpaceDE w:val="0"/>
        <w:autoSpaceDN w:val="0"/>
        <w:adjustRightInd w:val="0"/>
        <w:jc w:val="both"/>
        <w:rPr>
          <w:rFonts w:ascii="Abadi" w:hAnsi="Abadi" w:cs="*Microsoft Sans Serif-10880-Ide"/>
          <w:color w:val="282828"/>
          <w:sz w:val="21"/>
          <w:szCs w:val="21"/>
        </w:rPr>
      </w:pPr>
    </w:p>
    <w:p w14:paraId="57F4A58F" w14:textId="77777777" w:rsidR="00366FFB" w:rsidRPr="00C46A84" w:rsidRDefault="00366FFB" w:rsidP="005C6EBB">
      <w:pPr>
        <w:pStyle w:val="Prrafodelista"/>
        <w:numPr>
          <w:ilvl w:val="0"/>
          <w:numId w:val="29"/>
        </w:numPr>
        <w:autoSpaceDE w:val="0"/>
        <w:autoSpaceDN w:val="0"/>
        <w:adjustRightInd w:val="0"/>
        <w:contextualSpacing/>
        <w:jc w:val="both"/>
        <w:rPr>
          <w:rFonts w:ascii="Abadi" w:hAnsi="Abadi" w:cs="*Microsoft Sans Serif-10880-Ide"/>
          <w:color w:val="262626"/>
          <w:sz w:val="21"/>
          <w:szCs w:val="21"/>
        </w:rPr>
      </w:pPr>
      <w:r w:rsidRPr="00C46A84">
        <w:rPr>
          <w:rFonts w:ascii="Abadi" w:hAnsi="Abadi" w:cs="*Microsoft Sans Serif-10880-Ide"/>
          <w:color w:val="262626"/>
          <w:sz w:val="21"/>
          <w:szCs w:val="21"/>
        </w:rPr>
        <w:t>Instituciones de educación superior autónomas por ley;</w:t>
      </w:r>
    </w:p>
    <w:p w14:paraId="5F804380" w14:textId="77777777" w:rsidR="00366FFB" w:rsidRPr="00743CF7" w:rsidRDefault="00366FFB" w:rsidP="00366FFB">
      <w:pPr>
        <w:autoSpaceDE w:val="0"/>
        <w:autoSpaceDN w:val="0"/>
        <w:adjustRightInd w:val="0"/>
        <w:jc w:val="both"/>
        <w:rPr>
          <w:rFonts w:ascii="Abadi" w:hAnsi="Abadi" w:cs="*Microsoft Sans Serif-10880-Ide"/>
          <w:color w:val="262626"/>
          <w:sz w:val="21"/>
          <w:szCs w:val="21"/>
        </w:rPr>
      </w:pPr>
    </w:p>
    <w:p w14:paraId="56AA7C8F" w14:textId="7BD1B472" w:rsidR="00366FFB" w:rsidRPr="00C46A84" w:rsidRDefault="00366FFB" w:rsidP="005C6EBB">
      <w:pPr>
        <w:pStyle w:val="Prrafodelista"/>
        <w:numPr>
          <w:ilvl w:val="0"/>
          <w:numId w:val="29"/>
        </w:numPr>
        <w:autoSpaceDE w:val="0"/>
        <w:autoSpaceDN w:val="0"/>
        <w:adjustRightInd w:val="0"/>
        <w:contextualSpacing/>
        <w:jc w:val="both"/>
        <w:rPr>
          <w:rFonts w:ascii="Abadi" w:hAnsi="Abadi" w:cs="*Microsoft Sans Serif-11678-Ide"/>
          <w:color w:val="2A2A2A"/>
          <w:sz w:val="21"/>
          <w:szCs w:val="21"/>
        </w:rPr>
      </w:pPr>
      <w:r w:rsidRPr="00C46A84">
        <w:rPr>
          <w:rFonts w:ascii="Abadi" w:hAnsi="Abadi" w:cs="*Microsoft Sans Serif-10880-Ide"/>
          <w:color w:val="292929"/>
          <w:sz w:val="21"/>
          <w:szCs w:val="21"/>
        </w:rPr>
        <w:t xml:space="preserve">Instituciones de educación superior constituidas como organismos descentralizados, distintas a aquellas que la ley otorga autonomía. Quedan </w:t>
      </w:r>
      <w:r w:rsidRPr="00C46A84">
        <w:rPr>
          <w:rFonts w:ascii="Abadi" w:hAnsi="Abadi" w:cs="*Microsoft Sans Serif-11678-Ide"/>
          <w:color w:val="2A2A2A"/>
          <w:sz w:val="21"/>
          <w:szCs w:val="21"/>
        </w:rPr>
        <w:t xml:space="preserve">comprendidas en este rubro </w:t>
      </w:r>
      <w:r w:rsidR="00317065" w:rsidRPr="00C46A84">
        <w:rPr>
          <w:rFonts w:ascii="Abadi" w:hAnsi="Abadi" w:cs="*Microsoft Sans Serif-11678-Ide"/>
          <w:color w:val="2A2A2A"/>
          <w:sz w:val="21"/>
          <w:szCs w:val="21"/>
        </w:rPr>
        <w:t>las universidades tecnológicas</w:t>
      </w:r>
      <w:r w:rsidRPr="00C46A84">
        <w:rPr>
          <w:rFonts w:ascii="Abadi" w:hAnsi="Abadi" w:cs="*Microsoft Sans Serif-11678-Ide"/>
          <w:color w:val="2A2A2A"/>
          <w:sz w:val="21"/>
          <w:szCs w:val="21"/>
        </w:rPr>
        <w:t>, las universidades politécnicas, los institutos tecnológicos descentralizados o equivalentes;</w:t>
      </w:r>
    </w:p>
    <w:p w14:paraId="65796BD7" w14:textId="77777777" w:rsidR="00366FFB" w:rsidRPr="00743CF7" w:rsidRDefault="00366FFB" w:rsidP="00366FFB">
      <w:pPr>
        <w:autoSpaceDE w:val="0"/>
        <w:autoSpaceDN w:val="0"/>
        <w:adjustRightInd w:val="0"/>
        <w:jc w:val="both"/>
        <w:rPr>
          <w:rFonts w:ascii="Abadi" w:hAnsi="Abadi" w:cs="*Microsoft Sans Serif-11678-Ide"/>
          <w:color w:val="2A2A2A"/>
          <w:sz w:val="21"/>
          <w:szCs w:val="21"/>
        </w:rPr>
      </w:pPr>
    </w:p>
    <w:p w14:paraId="7E2AF48A" w14:textId="77777777" w:rsidR="00366FFB" w:rsidRPr="00C46A84" w:rsidRDefault="00366FFB" w:rsidP="005C6EBB">
      <w:pPr>
        <w:pStyle w:val="Prrafodelista"/>
        <w:numPr>
          <w:ilvl w:val="0"/>
          <w:numId w:val="29"/>
        </w:numPr>
        <w:autoSpaceDE w:val="0"/>
        <w:autoSpaceDN w:val="0"/>
        <w:adjustRightInd w:val="0"/>
        <w:contextualSpacing/>
        <w:jc w:val="both"/>
        <w:rPr>
          <w:rFonts w:ascii="Abadi" w:hAnsi="Abadi" w:cs="*Microsoft Sans Serif-11678-Ide"/>
          <w:color w:val="2A2A2A"/>
          <w:sz w:val="21"/>
          <w:szCs w:val="21"/>
        </w:rPr>
      </w:pPr>
      <w:r w:rsidRPr="00C46A84">
        <w:rPr>
          <w:rFonts w:ascii="Abadi" w:hAnsi="Abadi" w:cs="*Microsoft Sans Serif-11678-Ide"/>
          <w:color w:val="2A2A2A"/>
          <w:sz w:val="21"/>
          <w:szCs w:val="21"/>
        </w:rPr>
        <w:t>Instituciones de educación superior constituidas como órganos desconcentrados de una dependencia, institución pública o de alguno de los Poderes;</w:t>
      </w:r>
    </w:p>
    <w:p w14:paraId="50F43F61" w14:textId="77777777" w:rsidR="00366FFB" w:rsidRPr="00743CF7" w:rsidRDefault="00366FFB" w:rsidP="00366FFB">
      <w:pPr>
        <w:autoSpaceDE w:val="0"/>
        <w:autoSpaceDN w:val="0"/>
        <w:adjustRightInd w:val="0"/>
        <w:jc w:val="both"/>
        <w:rPr>
          <w:rFonts w:ascii="Abadi" w:hAnsi="Abadi" w:cs="*Microsoft Sans Serif-11678-Ide"/>
          <w:color w:val="2A2A2A"/>
          <w:sz w:val="21"/>
          <w:szCs w:val="21"/>
        </w:rPr>
      </w:pPr>
    </w:p>
    <w:p w14:paraId="45303FC9" w14:textId="77777777" w:rsidR="00366FFB" w:rsidRPr="00C46A84" w:rsidRDefault="00366FFB" w:rsidP="005C6EBB">
      <w:pPr>
        <w:pStyle w:val="Prrafodelista"/>
        <w:numPr>
          <w:ilvl w:val="0"/>
          <w:numId w:val="29"/>
        </w:numPr>
        <w:autoSpaceDE w:val="0"/>
        <w:autoSpaceDN w:val="0"/>
        <w:adjustRightInd w:val="0"/>
        <w:contextualSpacing/>
        <w:jc w:val="both"/>
        <w:rPr>
          <w:rFonts w:ascii="Abadi" w:hAnsi="Abadi" w:cs="*Microsoft Sans Serif-11678-Ide"/>
          <w:color w:val="292929"/>
          <w:sz w:val="21"/>
          <w:szCs w:val="21"/>
        </w:rPr>
      </w:pPr>
      <w:r w:rsidRPr="00C46A84">
        <w:rPr>
          <w:rFonts w:ascii="Abadi" w:hAnsi="Abadi" w:cs="*Microsoft Sans Serif-11678-Ide"/>
          <w:color w:val="292929"/>
          <w:sz w:val="21"/>
          <w:szCs w:val="21"/>
        </w:rPr>
        <w:t>Instituciones municipales de educación superior;</w:t>
      </w:r>
    </w:p>
    <w:p w14:paraId="670BC9CC" w14:textId="77777777" w:rsidR="00366FFB" w:rsidRPr="00743CF7" w:rsidRDefault="00366FFB" w:rsidP="00366FFB">
      <w:pPr>
        <w:autoSpaceDE w:val="0"/>
        <w:autoSpaceDN w:val="0"/>
        <w:adjustRightInd w:val="0"/>
        <w:jc w:val="both"/>
        <w:rPr>
          <w:rFonts w:ascii="Abadi" w:hAnsi="Abadi" w:cs="*Microsoft Sans Serif-11678-Ide"/>
          <w:color w:val="292929"/>
          <w:sz w:val="21"/>
          <w:szCs w:val="21"/>
        </w:rPr>
      </w:pPr>
    </w:p>
    <w:p w14:paraId="4A4997C3" w14:textId="77777777" w:rsidR="00366FFB" w:rsidRPr="00C46A84" w:rsidRDefault="00366FFB" w:rsidP="005C6EBB">
      <w:pPr>
        <w:pStyle w:val="Prrafodelista"/>
        <w:numPr>
          <w:ilvl w:val="0"/>
          <w:numId w:val="29"/>
        </w:numPr>
        <w:autoSpaceDE w:val="0"/>
        <w:autoSpaceDN w:val="0"/>
        <w:adjustRightInd w:val="0"/>
        <w:contextualSpacing/>
        <w:jc w:val="both"/>
        <w:rPr>
          <w:rFonts w:ascii="Abadi" w:hAnsi="Abadi" w:cs="*Microsoft Sans Serif-11678-Ide"/>
          <w:color w:val="282828"/>
          <w:sz w:val="21"/>
          <w:szCs w:val="21"/>
        </w:rPr>
      </w:pPr>
      <w:r w:rsidRPr="00C46A84">
        <w:rPr>
          <w:rFonts w:ascii="Abadi" w:hAnsi="Abadi" w:cs="*Microsoft Sans Serif-11678-Ide"/>
          <w:color w:val="282828"/>
          <w:sz w:val="21"/>
          <w:szCs w:val="21"/>
        </w:rPr>
        <w:t>Aquellas a través de las cuales una dependencia, institución pública o alguno de los poderes, importe el servicio de educación superior en forma directa; y</w:t>
      </w:r>
    </w:p>
    <w:p w14:paraId="044FE8F6" w14:textId="77777777" w:rsidR="00366FFB" w:rsidRPr="00743CF7" w:rsidRDefault="00366FFB" w:rsidP="00366FFB">
      <w:pPr>
        <w:autoSpaceDE w:val="0"/>
        <w:autoSpaceDN w:val="0"/>
        <w:adjustRightInd w:val="0"/>
        <w:jc w:val="both"/>
        <w:rPr>
          <w:rFonts w:ascii="Abadi" w:hAnsi="Abadi" w:cs="*Microsoft Sans Serif-11678-Ide"/>
          <w:color w:val="282828"/>
          <w:sz w:val="21"/>
          <w:szCs w:val="21"/>
        </w:rPr>
      </w:pPr>
    </w:p>
    <w:p w14:paraId="08A8E609" w14:textId="77777777" w:rsidR="00366FFB" w:rsidRPr="00C46A84" w:rsidRDefault="00366FFB" w:rsidP="005C6EBB">
      <w:pPr>
        <w:pStyle w:val="Prrafodelista"/>
        <w:numPr>
          <w:ilvl w:val="0"/>
          <w:numId w:val="29"/>
        </w:numPr>
        <w:autoSpaceDE w:val="0"/>
        <w:autoSpaceDN w:val="0"/>
        <w:adjustRightInd w:val="0"/>
        <w:contextualSpacing/>
        <w:jc w:val="both"/>
        <w:rPr>
          <w:rFonts w:ascii="Abadi" w:hAnsi="Abadi" w:cs="*Microsoft Sans Serif-11678-Ide"/>
          <w:color w:val="282828"/>
          <w:sz w:val="21"/>
          <w:szCs w:val="21"/>
        </w:rPr>
      </w:pPr>
      <w:r w:rsidRPr="00C46A84">
        <w:rPr>
          <w:rFonts w:ascii="Abadi" w:hAnsi="Abadi" w:cs="*Microsoft Sans Serif-11678-Ide"/>
          <w:color w:val="282828"/>
          <w:sz w:val="21"/>
          <w:szCs w:val="21"/>
        </w:rPr>
        <w:t>Instituciones particulares de educación superior creadas por particulares con reconocimiento de validez oficial de estudios.</w:t>
      </w:r>
    </w:p>
    <w:p w14:paraId="528D9161" w14:textId="77777777" w:rsidR="00366FFB" w:rsidRPr="00743CF7" w:rsidRDefault="00366FFB" w:rsidP="00366FFB">
      <w:pPr>
        <w:autoSpaceDE w:val="0"/>
        <w:autoSpaceDN w:val="0"/>
        <w:adjustRightInd w:val="0"/>
        <w:jc w:val="both"/>
        <w:rPr>
          <w:rFonts w:ascii="Abadi" w:hAnsi="Abadi" w:cs="*Calibri-Bold-11675-Identity-H"/>
          <w:b/>
          <w:bCs/>
          <w:color w:val="111111"/>
          <w:sz w:val="21"/>
          <w:szCs w:val="21"/>
        </w:rPr>
      </w:pPr>
    </w:p>
    <w:p w14:paraId="2137586A" w14:textId="77777777" w:rsidR="00F75ACE" w:rsidRDefault="00F75ACE" w:rsidP="00317065">
      <w:pPr>
        <w:autoSpaceDE w:val="0"/>
        <w:autoSpaceDN w:val="0"/>
        <w:adjustRightInd w:val="0"/>
        <w:jc w:val="center"/>
        <w:rPr>
          <w:rFonts w:ascii="Abadi" w:hAnsi="Abadi" w:cs="*Calibri-Bold-11675-Identity-H"/>
          <w:b/>
          <w:bCs/>
          <w:color w:val="111111"/>
          <w:sz w:val="21"/>
          <w:szCs w:val="21"/>
        </w:rPr>
      </w:pPr>
    </w:p>
    <w:p w14:paraId="1C0F133A" w14:textId="529109F2" w:rsidR="00366FFB" w:rsidRPr="00743CF7" w:rsidRDefault="00366FFB" w:rsidP="00317065">
      <w:pPr>
        <w:autoSpaceDE w:val="0"/>
        <w:autoSpaceDN w:val="0"/>
        <w:adjustRightInd w:val="0"/>
        <w:jc w:val="center"/>
        <w:rPr>
          <w:rFonts w:ascii="Abadi" w:hAnsi="Abadi" w:cs="*Calibri-Bold-11675-Identity-H"/>
          <w:b/>
          <w:bCs/>
          <w:color w:val="111111"/>
          <w:sz w:val="21"/>
          <w:szCs w:val="21"/>
        </w:rPr>
      </w:pPr>
      <w:r w:rsidRPr="00743CF7">
        <w:rPr>
          <w:rFonts w:ascii="Abadi" w:hAnsi="Abadi" w:cs="*Calibri-Bold-11675-Identity-H"/>
          <w:b/>
          <w:bCs/>
          <w:color w:val="111111"/>
          <w:sz w:val="21"/>
          <w:szCs w:val="21"/>
        </w:rPr>
        <w:t>Sección Tercera</w:t>
      </w:r>
    </w:p>
    <w:p w14:paraId="09615B82" w14:textId="77777777" w:rsidR="00366FFB" w:rsidRPr="00743CF7" w:rsidRDefault="00366FFB" w:rsidP="00317065">
      <w:pPr>
        <w:autoSpaceDE w:val="0"/>
        <w:autoSpaceDN w:val="0"/>
        <w:adjustRightInd w:val="0"/>
        <w:jc w:val="center"/>
        <w:rPr>
          <w:rFonts w:ascii="Abadi" w:hAnsi="Abadi" w:cs="*Calibri-Bold-11675-Identity-H"/>
          <w:b/>
          <w:bCs/>
          <w:color w:val="101010"/>
          <w:sz w:val="21"/>
          <w:szCs w:val="21"/>
        </w:rPr>
      </w:pPr>
    </w:p>
    <w:p w14:paraId="77004FFB" w14:textId="23B7032B" w:rsidR="00366FFB" w:rsidRDefault="00366FFB" w:rsidP="00317065">
      <w:pPr>
        <w:autoSpaceDE w:val="0"/>
        <w:autoSpaceDN w:val="0"/>
        <w:adjustRightInd w:val="0"/>
        <w:jc w:val="center"/>
        <w:rPr>
          <w:rFonts w:ascii="Abadi" w:hAnsi="Abadi" w:cs="*Calibri-Bold-11675-Identity-H"/>
          <w:b/>
          <w:bCs/>
          <w:color w:val="101010"/>
          <w:sz w:val="21"/>
          <w:szCs w:val="21"/>
        </w:rPr>
      </w:pPr>
      <w:r w:rsidRPr="00743CF7">
        <w:rPr>
          <w:rFonts w:ascii="Abadi" w:hAnsi="Abadi" w:cs="*Calibri-Bold-11675-Identity-H"/>
          <w:b/>
          <w:bCs/>
          <w:color w:val="101010"/>
          <w:sz w:val="21"/>
          <w:szCs w:val="21"/>
        </w:rPr>
        <w:t>Subsistema de Escuelas Normales e Instituciones de Formación Docente</w:t>
      </w:r>
    </w:p>
    <w:p w14:paraId="3F014C5B" w14:textId="2FDB20B1" w:rsidR="00317065" w:rsidRDefault="00317065" w:rsidP="00317065">
      <w:pPr>
        <w:autoSpaceDE w:val="0"/>
        <w:autoSpaceDN w:val="0"/>
        <w:adjustRightInd w:val="0"/>
        <w:jc w:val="center"/>
        <w:rPr>
          <w:rFonts w:ascii="Abadi" w:hAnsi="Abadi" w:cs="*Calibri-Bold-11675-Identity-H"/>
          <w:b/>
          <w:bCs/>
          <w:color w:val="101010"/>
          <w:sz w:val="21"/>
          <w:szCs w:val="21"/>
        </w:rPr>
      </w:pPr>
    </w:p>
    <w:p w14:paraId="0481F3C8" w14:textId="31E8E184" w:rsidR="00317065" w:rsidRPr="00743CF7" w:rsidRDefault="00317065" w:rsidP="00317065">
      <w:pPr>
        <w:autoSpaceDE w:val="0"/>
        <w:autoSpaceDN w:val="0"/>
        <w:adjustRightInd w:val="0"/>
        <w:jc w:val="center"/>
        <w:rPr>
          <w:rFonts w:ascii="Abadi" w:hAnsi="Abadi" w:cs="*Calibri-Bold-11675-Identity-H"/>
          <w:b/>
          <w:bCs/>
          <w:color w:val="101010"/>
          <w:sz w:val="21"/>
          <w:szCs w:val="21"/>
        </w:rPr>
      </w:pPr>
      <w:r>
        <w:rPr>
          <w:rFonts w:ascii="Abadi" w:hAnsi="Abadi" w:cs="*Calibri-Bold-11675-Identity-H"/>
          <w:b/>
          <w:bCs/>
          <w:color w:val="101010"/>
          <w:sz w:val="21"/>
          <w:szCs w:val="21"/>
        </w:rPr>
        <w:t>Educación Normal</w:t>
      </w:r>
    </w:p>
    <w:p w14:paraId="1AFBD0AD" w14:textId="4C496BD1" w:rsidR="00366FFB" w:rsidRPr="00743CF7" w:rsidRDefault="00366FFB" w:rsidP="00317065">
      <w:pPr>
        <w:autoSpaceDE w:val="0"/>
        <w:autoSpaceDN w:val="0"/>
        <w:adjustRightInd w:val="0"/>
        <w:ind w:left="6372" w:firstLine="708"/>
        <w:jc w:val="center"/>
        <w:rPr>
          <w:rFonts w:ascii="Abadi" w:hAnsi="Abadi" w:cs="*Comic Sans MS-BoldItalic-11677"/>
          <w:b/>
          <w:bCs/>
          <w:i/>
          <w:iCs/>
          <w:color w:val="101010"/>
          <w:sz w:val="21"/>
          <w:szCs w:val="21"/>
        </w:rPr>
      </w:pPr>
      <w:r w:rsidRPr="00743CF7">
        <w:rPr>
          <w:rFonts w:ascii="Abadi" w:hAnsi="Abadi" w:cs="*Comic Sans MS-BoldItalic-11677"/>
          <w:b/>
          <w:bCs/>
          <w:i/>
          <w:iCs/>
          <w:color w:val="101010"/>
          <w:sz w:val="21"/>
          <w:szCs w:val="21"/>
        </w:rPr>
        <w:t>ción Norml</w:t>
      </w:r>
    </w:p>
    <w:p w14:paraId="7EB43477" w14:textId="77777777" w:rsidR="00366FFB" w:rsidRPr="00743CF7" w:rsidRDefault="00366FFB" w:rsidP="00317065">
      <w:pPr>
        <w:autoSpaceDE w:val="0"/>
        <w:autoSpaceDN w:val="0"/>
        <w:adjustRightInd w:val="0"/>
        <w:ind w:firstLine="360"/>
        <w:jc w:val="both"/>
        <w:rPr>
          <w:rFonts w:ascii="Abadi" w:hAnsi="Abadi" w:cs="*Microsoft Sans Serif-11678-Ide"/>
          <w:color w:val="252525"/>
          <w:sz w:val="21"/>
          <w:szCs w:val="21"/>
        </w:rPr>
      </w:pPr>
      <w:r w:rsidRPr="00743CF7">
        <w:rPr>
          <w:rFonts w:ascii="Abadi" w:hAnsi="Abadi" w:cs="*Calibri-Bold-11675-Identity-H"/>
          <w:b/>
          <w:bCs/>
          <w:color w:val="252525"/>
          <w:sz w:val="21"/>
          <w:szCs w:val="21"/>
        </w:rPr>
        <w:t xml:space="preserve">Artículo </w:t>
      </w:r>
      <w:r w:rsidRPr="00743CF7">
        <w:rPr>
          <w:rFonts w:ascii="Abadi" w:hAnsi="Abadi" w:cs="*Comic Sans MS-BoldItalic-11677"/>
          <w:b/>
          <w:bCs/>
          <w:i/>
          <w:iCs/>
          <w:color w:val="252525"/>
          <w:sz w:val="21"/>
          <w:szCs w:val="21"/>
        </w:rPr>
        <w:t xml:space="preserve">56. </w:t>
      </w:r>
      <w:r w:rsidRPr="00743CF7">
        <w:rPr>
          <w:rFonts w:ascii="Abadi" w:hAnsi="Abadi" w:cs="*Microsoft Sans Serif-11678-Ide"/>
          <w:color w:val="252525"/>
          <w:sz w:val="21"/>
          <w:szCs w:val="21"/>
        </w:rPr>
        <w:t xml:space="preserve">La educación normal </w:t>
      </w:r>
      <w:r w:rsidRPr="00743CF7">
        <w:rPr>
          <w:rFonts w:ascii="Abadi" w:hAnsi="Abadi" w:cs="*Times New Roman-Italic-11665-I"/>
          <w:i/>
          <w:iCs/>
          <w:color w:val="252525"/>
          <w:sz w:val="21"/>
          <w:szCs w:val="21"/>
        </w:rPr>
        <w:t xml:space="preserve">y </w:t>
      </w:r>
      <w:r w:rsidRPr="00743CF7">
        <w:rPr>
          <w:rFonts w:ascii="Abadi" w:hAnsi="Abadi" w:cs="*Microsoft Sans Serif-11678-Ide"/>
          <w:color w:val="252525"/>
          <w:sz w:val="21"/>
          <w:szCs w:val="21"/>
        </w:rPr>
        <w:t>de formación docente tiene por objeto:</w:t>
      </w:r>
    </w:p>
    <w:p w14:paraId="624DAA38" w14:textId="77777777" w:rsidR="00366FFB" w:rsidRDefault="00366FFB" w:rsidP="00366FFB">
      <w:pPr>
        <w:autoSpaceDE w:val="0"/>
        <w:autoSpaceDN w:val="0"/>
        <w:adjustRightInd w:val="0"/>
        <w:jc w:val="both"/>
        <w:rPr>
          <w:rFonts w:ascii="Abadi" w:hAnsi="Abadi" w:cs="*Microsoft Sans Serif-11678-Ide"/>
          <w:color w:val="272727"/>
          <w:sz w:val="21"/>
          <w:szCs w:val="21"/>
        </w:rPr>
      </w:pPr>
    </w:p>
    <w:p w14:paraId="5888233F" w14:textId="77777777" w:rsidR="00366FFB" w:rsidRPr="00A84492" w:rsidRDefault="00366FFB" w:rsidP="005C6EBB">
      <w:pPr>
        <w:pStyle w:val="Prrafodelista"/>
        <w:numPr>
          <w:ilvl w:val="0"/>
          <w:numId w:val="30"/>
        </w:numPr>
        <w:autoSpaceDE w:val="0"/>
        <w:autoSpaceDN w:val="0"/>
        <w:adjustRightInd w:val="0"/>
        <w:contextualSpacing/>
        <w:jc w:val="both"/>
        <w:rPr>
          <w:rFonts w:ascii="Abadi" w:hAnsi="Abadi" w:cs="*Microsoft Sans Serif-11678-Ide"/>
          <w:color w:val="272727"/>
          <w:sz w:val="21"/>
          <w:szCs w:val="21"/>
        </w:rPr>
      </w:pPr>
      <w:r w:rsidRPr="00A84492">
        <w:rPr>
          <w:rFonts w:ascii="Abadi" w:hAnsi="Abadi" w:cs="*Microsoft Sans Serif-11678-Ide"/>
          <w:color w:val="272727"/>
          <w:sz w:val="21"/>
          <w:szCs w:val="21"/>
        </w:rPr>
        <w:t xml:space="preserve">Formar de manera integral profesionales de la educación básica </w:t>
      </w:r>
      <w:r w:rsidRPr="00A84492">
        <w:rPr>
          <w:rFonts w:ascii="Abadi" w:hAnsi="Abadi" w:cs="*Calibri-11674-Identity-H"/>
          <w:color w:val="272727"/>
          <w:sz w:val="21"/>
          <w:szCs w:val="21"/>
        </w:rPr>
        <w:t xml:space="preserve">y </w:t>
      </w:r>
      <w:r w:rsidRPr="00A84492">
        <w:rPr>
          <w:rFonts w:ascii="Abadi" w:hAnsi="Abadi" w:cs="*Microsoft Sans Serif-11678-Ide"/>
          <w:color w:val="272727"/>
          <w:sz w:val="21"/>
          <w:szCs w:val="21"/>
        </w:rPr>
        <w:t xml:space="preserve">media superior, en los niveles de licenciatura, especialidad, maestría </w:t>
      </w:r>
      <w:r w:rsidRPr="00A84492">
        <w:rPr>
          <w:rFonts w:ascii="Abadi" w:hAnsi="Abadi" w:cs="*Times New Roman-Italic-11665-I"/>
          <w:i/>
          <w:iCs/>
          <w:color w:val="272727"/>
          <w:sz w:val="21"/>
          <w:szCs w:val="21"/>
        </w:rPr>
        <w:t xml:space="preserve">y </w:t>
      </w:r>
      <w:r w:rsidRPr="00A84492">
        <w:rPr>
          <w:rFonts w:ascii="Abadi" w:hAnsi="Abadi" w:cs="*Microsoft Sans Serif-11678-Ide"/>
          <w:color w:val="272727"/>
          <w:sz w:val="21"/>
          <w:szCs w:val="21"/>
        </w:rPr>
        <w:t xml:space="preserve">doctorado, comprometidos con su comunidad </w:t>
      </w:r>
      <w:r w:rsidRPr="00A84492">
        <w:rPr>
          <w:rFonts w:ascii="Abadi" w:hAnsi="Abadi" w:cs="*Times New Roman-Italic-11665-I"/>
          <w:i/>
          <w:iCs/>
          <w:color w:val="272727"/>
          <w:sz w:val="21"/>
          <w:szCs w:val="21"/>
        </w:rPr>
        <w:t xml:space="preserve">y </w:t>
      </w:r>
      <w:r w:rsidRPr="00A84492">
        <w:rPr>
          <w:rFonts w:ascii="Abadi" w:hAnsi="Abadi" w:cs="*Microsoft Sans Serif-11678-Ide"/>
          <w:color w:val="272727"/>
          <w:sz w:val="21"/>
          <w:szCs w:val="21"/>
        </w:rPr>
        <w:t xml:space="preserve">con responsabilidad social. Para contribuir a la construcción </w:t>
      </w:r>
      <w:r w:rsidRPr="00A84492">
        <w:rPr>
          <w:rFonts w:ascii="Abadi" w:hAnsi="Abadi" w:cs="*Times New Roman-Italic-11665-I"/>
          <w:i/>
          <w:iCs/>
          <w:color w:val="272727"/>
          <w:sz w:val="21"/>
          <w:szCs w:val="21"/>
        </w:rPr>
        <w:t xml:space="preserve">y </w:t>
      </w:r>
      <w:r w:rsidRPr="00A84492">
        <w:rPr>
          <w:rFonts w:ascii="Abadi" w:hAnsi="Abadi" w:cs="*Microsoft Sans Serif-11678-Ide"/>
          <w:color w:val="272727"/>
          <w:sz w:val="21"/>
          <w:szCs w:val="21"/>
        </w:rPr>
        <w:t xml:space="preserve">desarrollo de una sociedad justa, inclusiva </w:t>
      </w:r>
      <w:r w:rsidRPr="00A84492">
        <w:rPr>
          <w:rFonts w:ascii="Abadi" w:hAnsi="Abadi" w:cs="*Calibri-11674-Identity-H"/>
          <w:color w:val="272727"/>
          <w:sz w:val="21"/>
          <w:szCs w:val="21"/>
        </w:rPr>
        <w:t xml:space="preserve">y </w:t>
      </w:r>
      <w:r w:rsidRPr="00A84492">
        <w:rPr>
          <w:rFonts w:ascii="Abadi" w:hAnsi="Abadi" w:cs="*Microsoft Sans Serif-11678-Ide"/>
          <w:color w:val="272727"/>
          <w:sz w:val="21"/>
          <w:szCs w:val="21"/>
        </w:rPr>
        <w:t>democrática;</w:t>
      </w:r>
    </w:p>
    <w:p w14:paraId="79BD2038" w14:textId="77777777" w:rsidR="00366FFB" w:rsidRPr="00743CF7" w:rsidRDefault="00366FFB" w:rsidP="00366FFB">
      <w:pPr>
        <w:autoSpaceDE w:val="0"/>
        <w:autoSpaceDN w:val="0"/>
        <w:adjustRightInd w:val="0"/>
        <w:jc w:val="both"/>
        <w:rPr>
          <w:rFonts w:ascii="Abadi" w:hAnsi="Abadi" w:cs="*Microsoft Sans Serif-11678-Ide"/>
          <w:color w:val="272727"/>
          <w:sz w:val="21"/>
          <w:szCs w:val="21"/>
        </w:rPr>
      </w:pPr>
    </w:p>
    <w:p w14:paraId="6789F99B" w14:textId="77777777" w:rsidR="00366FFB" w:rsidRPr="00A84492" w:rsidRDefault="00366FFB" w:rsidP="005C6EBB">
      <w:pPr>
        <w:pStyle w:val="Prrafodelista"/>
        <w:numPr>
          <w:ilvl w:val="0"/>
          <w:numId w:val="30"/>
        </w:numPr>
        <w:autoSpaceDE w:val="0"/>
        <w:autoSpaceDN w:val="0"/>
        <w:adjustRightInd w:val="0"/>
        <w:contextualSpacing/>
        <w:jc w:val="both"/>
        <w:rPr>
          <w:rFonts w:ascii="Abadi" w:hAnsi="Abadi" w:cs="*Microsoft Sans Serif-11678-Ide"/>
          <w:color w:val="252525"/>
          <w:sz w:val="21"/>
          <w:szCs w:val="21"/>
        </w:rPr>
      </w:pPr>
      <w:r w:rsidRPr="00A84492">
        <w:rPr>
          <w:rFonts w:ascii="Abadi" w:hAnsi="Abadi" w:cs="*Microsoft Sans Serif-11678-Ide"/>
          <w:color w:val="252525"/>
          <w:sz w:val="21"/>
          <w:szCs w:val="21"/>
        </w:rPr>
        <w:t>Contribuir al fortalecimiento y la mejora continua de la educación básica y media superior para lograr la inclusión, equidad y excelencia educativa; y</w:t>
      </w:r>
    </w:p>
    <w:p w14:paraId="3339937D" w14:textId="77777777" w:rsidR="00366FFB" w:rsidRDefault="00366FFB" w:rsidP="00366FFB">
      <w:pPr>
        <w:autoSpaceDE w:val="0"/>
        <w:autoSpaceDN w:val="0"/>
        <w:adjustRightInd w:val="0"/>
        <w:jc w:val="both"/>
        <w:rPr>
          <w:rFonts w:ascii="Abadi" w:hAnsi="Abadi" w:cs="*Microsoft Sans Serif-11678-Ide"/>
          <w:color w:val="2A2A2A"/>
          <w:sz w:val="21"/>
          <w:szCs w:val="21"/>
        </w:rPr>
      </w:pPr>
    </w:p>
    <w:p w14:paraId="42DBF6A1" w14:textId="77777777" w:rsidR="00366FFB" w:rsidRPr="00A84492" w:rsidRDefault="00366FFB" w:rsidP="005C6EBB">
      <w:pPr>
        <w:pStyle w:val="Prrafodelista"/>
        <w:numPr>
          <w:ilvl w:val="0"/>
          <w:numId w:val="30"/>
        </w:numPr>
        <w:autoSpaceDE w:val="0"/>
        <w:autoSpaceDN w:val="0"/>
        <w:adjustRightInd w:val="0"/>
        <w:contextualSpacing/>
        <w:jc w:val="both"/>
        <w:rPr>
          <w:rFonts w:ascii="Abadi" w:hAnsi="Abadi" w:cs="*Arial-11678-Identity-H"/>
          <w:color w:val="2B2B2B"/>
          <w:sz w:val="21"/>
          <w:szCs w:val="21"/>
        </w:rPr>
      </w:pPr>
      <w:r w:rsidRPr="00A84492">
        <w:rPr>
          <w:rFonts w:ascii="Abadi" w:hAnsi="Abadi" w:cs="*Microsoft Sans Serif-11678-Ide"/>
          <w:color w:val="2A2A2A"/>
          <w:sz w:val="21"/>
          <w:szCs w:val="21"/>
        </w:rPr>
        <w:t xml:space="preserve">Desarrollar actividades de investigación, de extensión </w:t>
      </w:r>
      <w:r w:rsidRPr="00A84492">
        <w:rPr>
          <w:rFonts w:ascii="Abadi" w:hAnsi="Abadi" w:cs="*Calibri-11674-Identity-H"/>
          <w:color w:val="2A2A2A"/>
          <w:sz w:val="21"/>
          <w:szCs w:val="21"/>
        </w:rPr>
        <w:t xml:space="preserve">y </w:t>
      </w:r>
      <w:r w:rsidRPr="00A84492">
        <w:rPr>
          <w:rFonts w:ascii="Abadi" w:hAnsi="Abadi" w:cs="*Microsoft Sans Serif-11678-Ide"/>
          <w:color w:val="2A2A2A"/>
          <w:sz w:val="21"/>
          <w:szCs w:val="21"/>
        </w:rPr>
        <w:t xml:space="preserve">de capacitación en las áreas propias de su especialidad. estableciendo procedimientos de coordinación </w:t>
      </w:r>
      <w:r w:rsidRPr="00A84492">
        <w:rPr>
          <w:rFonts w:ascii="Abadi" w:hAnsi="Abadi" w:cs="*Calibri-11674-Identity-H"/>
          <w:color w:val="2A2A2A"/>
          <w:sz w:val="21"/>
          <w:szCs w:val="21"/>
        </w:rPr>
        <w:t xml:space="preserve">y </w:t>
      </w:r>
      <w:r w:rsidRPr="00A84492">
        <w:rPr>
          <w:rFonts w:ascii="Abadi" w:hAnsi="Abadi" w:cs="*Microsoft Sans Serif-11678-Ide"/>
          <w:color w:val="2A2A2A"/>
          <w:sz w:val="21"/>
          <w:szCs w:val="21"/>
        </w:rPr>
        <w:t xml:space="preserve">vinculación con otras instituciones u organismos nacionales </w:t>
      </w:r>
      <w:r w:rsidRPr="00A84492">
        <w:rPr>
          <w:rFonts w:ascii="Abadi" w:hAnsi="Abadi" w:cs="*Arial-11678-Identity-H"/>
          <w:color w:val="2B2B2B"/>
          <w:sz w:val="21"/>
          <w:szCs w:val="21"/>
        </w:rPr>
        <w:t>e internacionales que contribuyan o la profesionalización de los docentes y al mejoramiento de sus prácticas educativas.</w:t>
      </w:r>
    </w:p>
    <w:p w14:paraId="0B915EA0" w14:textId="77777777" w:rsidR="00366FFB" w:rsidRPr="00743CF7" w:rsidRDefault="00366FFB" w:rsidP="00366FFB">
      <w:pPr>
        <w:autoSpaceDE w:val="0"/>
        <w:autoSpaceDN w:val="0"/>
        <w:adjustRightInd w:val="0"/>
        <w:jc w:val="both"/>
        <w:rPr>
          <w:rFonts w:ascii="Abadi" w:hAnsi="Abadi" w:cs="*Arial-11678-Identity-H"/>
          <w:color w:val="2B2B2B"/>
          <w:sz w:val="21"/>
          <w:szCs w:val="21"/>
        </w:rPr>
      </w:pPr>
    </w:p>
    <w:p w14:paraId="62E7D553" w14:textId="77777777" w:rsidR="00366FFB" w:rsidRPr="00743CF7" w:rsidRDefault="00366FFB" w:rsidP="00366FFB">
      <w:pPr>
        <w:autoSpaceDE w:val="0"/>
        <w:autoSpaceDN w:val="0"/>
        <w:adjustRightInd w:val="0"/>
        <w:jc w:val="both"/>
        <w:rPr>
          <w:rFonts w:ascii="Abadi" w:hAnsi="Abadi" w:cs="*Arial-11678-Identity-H"/>
          <w:color w:val="2A2A2A"/>
          <w:sz w:val="21"/>
          <w:szCs w:val="21"/>
        </w:rPr>
      </w:pPr>
      <w:r w:rsidRPr="00743CF7">
        <w:rPr>
          <w:rFonts w:ascii="Abadi" w:hAnsi="Abadi" w:cs="*Arial-11678-Identity-H"/>
          <w:color w:val="2A2A2A"/>
          <w:sz w:val="21"/>
          <w:szCs w:val="21"/>
        </w:rPr>
        <w:t>El subsistema de escuelas normales e instituciones de formación docente está integrado por:</w:t>
      </w:r>
    </w:p>
    <w:p w14:paraId="72EFA9A4" w14:textId="77777777" w:rsidR="00366FFB" w:rsidRPr="00743CF7" w:rsidRDefault="00366FFB" w:rsidP="00366FFB">
      <w:pPr>
        <w:autoSpaceDE w:val="0"/>
        <w:autoSpaceDN w:val="0"/>
        <w:adjustRightInd w:val="0"/>
        <w:jc w:val="both"/>
        <w:rPr>
          <w:rFonts w:ascii="Abadi" w:hAnsi="Abadi" w:cs="*Arial-11678-Identity-H"/>
          <w:color w:val="2A2A2A"/>
          <w:sz w:val="21"/>
          <w:szCs w:val="21"/>
        </w:rPr>
      </w:pPr>
    </w:p>
    <w:p w14:paraId="6F4BE645" w14:textId="77777777" w:rsidR="00366FFB" w:rsidRPr="00A84492" w:rsidRDefault="00366FFB" w:rsidP="005C6EBB">
      <w:pPr>
        <w:pStyle w:val="Prrafodelista"/>
        <w:numPr>
          <w:ilvl w:val="0"/>
          <w:numId w:val="31"/>
        </w:numPr>
        <w:autoSpaceDE w:val="0"/>
        <w:autoSpaceDN w:val="0"/>
        <w:adjustRightInd w:val="0"/>
        <w:contextualSpacing/>
        <w:jc w:val="both"/>
        <w:rPr>
          <w:rFonts w:ascii="Abadi" w:hAnsi="Abadi" w:cs="*Arial-11678-Identity-H"/>
          <w:color w:val="292929"/>
          <w:sz w:val="21"/>
          <w:szCs w:val="21"/>
        </w:rPr>
      </w:pPr>
      <w:r w:rsidRPr="00A84492">
        <w:rPr>
          <w:rFonts w:ascii="Abadi" w:hAnsi="Abadi" w:cs="*Arial-11678-Identity-H"/>
          <w:color w:val="292929"/>
          <w:sz w:val="21"/>
          <w:szCs w:val="21"/>
        </w:rPr>
        <w:t>Las escuelas normales públicas y particulares;</w:t>
      </w:r>
    </w:p>
    <w:p w14:paraId="4DCDE245" w14:textId="77777777" w:rsidR="00366FFB" w:rsidRPr="00A84492" w:rsidRDefault="00366FFB" w:rsidP="005C6EBB">
      <w:pPr>
        <w:pStyle w:val="Prrafodelista"/>
        <w:numPr>
          <w:ilvl w:val="0"/>
          <w:numId w:val="31"/>
        </w:numPr>
        <w:autoSpaceDE w:val="0"/>
        <w:autoSpaceDN w:val="0"/>
        <w:adjustRightInd w:val="0"/>
        <w:contextualSpacing/>
        <w:jc w:val="both"/>
        <w:rPr>
          <w:rFonts w:ascii="Abadi" w:hAnsi="Abadi" w:cs="*Times New Roman-Italic-11672-I"/>
          <w:i/>
          <w:iCs/>
          <w:color w:val="2C2C2C"/>
          <w:sz w:val="21"/>
          <w:szCs w:val="21"/>
        </w:rPr>
      </w:pPr>
      <w:r w:rsidRPr="00A84492">
        <w:rPr>
          <w:rFonts w:ascii="Abadi" w:hAnsi="Abadi" w:cs="*Arial-11678-Identity-H"/>
          <w:color w:val="2C2C2C"/>
          <w:sz w:val="21"/>
          <w:szCs w:val="21"/>
        </w:rPr>
        <w:t xml:space="preserve">Las universidades pedagógicas; </w:t>
      </w:r>
      <w:r w:rsidRPr="00A84492">
        <w:rPr>
          <w:rFonts w:ascii="Abadi" w:hAnsi="Abadi" w:cs="*Times New Roman-Italic-11672-I"/>
          <w:i/>
          <w:iCs/>
          <w:color w:val="2C2C2C"/>
          <w:sz w:val="21"/>
          <w:szCs w:val="21"/>
        </w:rPr>
        <w:t>y</w:t>
      </w:r>
    </w:p>
    <w:p w14:paraId="6E6E5EFC" w14:textId="77777777" w:rsidR="00366FFB" w:rsidRPr="00A84492" w:rsidRDefault="00366FFB" w:rsidP="005C6EBB">
      <w:pPr>
        <w:pStyle w:val="Prrafodelista"/>
        <w:numPr>
          <w:ilvl w:val="0"/>
          <w:numId w:val="31"/>
        </w:numPr>
        <w:autoSpaceDE w:val="0"/>
        <w:autoSpaceDN w:val="0"/>
        <w:adjustRightInd w:val="0"/>
        <w:contextualSpacing/>
        <w:jc w:val="both"/>
        <w:rPr>
          <w:rFonts w:ascii="Abadi" w:hAnsi="Abadi" w:cs="*Arial-11678-Identity-H"/>
          <w:color w:val="2D2D2D"/>
          <w:sz w:val="21"/>
          <w:szCs w:val="21"/>
        </w:rPr>
      </w:pPr>
      <w:r w:rsidRPr="00A84492">
        <w:rPr>
          <w:rFonts w:ascii="Abadi" w:hAnsi="Abadi" w:cs="*Arial-11678-Identity-H"/>
          <w:color w:val="2D2D2D"/>
          <w:sz w:val="21"/>
          <w:szCs w:val="21"/>
        </w:rPr>
        <w:t>Los centros de actualización del magisterio.</w:t>
      </w:r>
    </w:p>
    <w:p w14:paraId="1B3ED54C" w14:textId="77777777" w:rsidR="00366FFB" w:rsidRPr="00743CF7" w:rsidRDefault="00366FFB" w:rsidP="00366FFB">
      <w:pPr>
        <w:autoSpaceDE w:val="0"/>
        <w:autoSpaceDN w:val="0"/>
        <w:adjustRightInd w:val="0"/>
        <w:jc w:val="both"/>
        <w:rPr>
          <w:rFonts w:ascii="Abadi" w:hAnsi="Abadi" w:cs="*Calibri-BoldItalic-11676-Ident"/>
          <w:b/>
          <w:bCs/>
          <w:i/>
          <w:iCs/>
          <w:color w:val="141414"/>
          <w:sz w:val="21"/>
          <w:szCs w:val="21"/>
        </w:rPr>
      </w:pPr>
    </w:p>
    <w:p w14:paraId="54897FE0" w14:textId="77777777" w:rsidR="00366FFB" w:rsidRPr="00743CF7" w:rsidRDefault="00366FFB" w:rsidP="00366FFB">
      <w:pPr>
        <w:autoSpaceDE w:val="0"/>
        <w:autoSpaceDN w:val="0"/>
        <w:adjustRightInd w:val="0"/>
        <w:jc w:val="right"/>
        <w:rPr>
          <w:rFonts w:ascii="Abadi" w:hAnsi="Abadi" w:cs="*Calibri-BoldItalic-11676-Ident"/>
          <w:b/>
          <w:bCs/>
          <w:i/>
          <w:iCs/>
          <w:color w:val="141414"/>
          <w:sz w:val="21"/>
          <w:szCs w:val="21"/>
        </w:rPr>
      </w:pPr>
      <w:r w:rsidRPr="00743CF7">
        <w:rPr>
          <w:rFonts w:ascii="Abadi" w:hAnsi="Abadi" w:cs="*Calibri-BoldItalic-11676-Ident"/>
          <w:b/>
          <w:bCs/>
          <w:i/>
          <w:iCs/>
          <w:color w:val="141414"/>
          <w:sz w:val="21"/>
          <w:szCs w:val="21"/>
        </w:rPr>
        <w:t>Formación docente</w:t>
      </w:r>
    </w:p>
    <w:p w14:paraId="39FBA837" w14:textId="77777777" w:rsidR="00366FFB" w:rsidRPr="00743CF7" w:rsidRDefault="00366FFB" w:rsidP="00366FFB">
      <w:pPr>
        <w:autoSpaceDE w:val="0"/>
        <w:autoSpaceDN w:val="0"/>
        <w:adjustRightInd w:val="0"/>
        <w:ind w:firstLine="708"/>
        <w:jc w:val="both"/>
        <w:rPr>
          <w:rFonts w:ascii="Abadi" w:hAnsi="Abadi" w:cs="*Arial-11678-Identity-H"/>
          <w:color w:val="2B2B2B"/>
          <w:sz w:val="21"/>
          <w:szCs w:val="21"/>
        </w:rPr>
      </w:pPr>
      <w:r w:rsidRPr="00743CF7">
        <w:rPr>
          <w:rFonts w:ascii="Abadi" w:hAnsi="Abadi" w:cs="*Calibri-Bold-11675-Identity-H"/>
          <w:b/>
          <w:bCs/>
          <w:color w:val="2B2B2B"/>
          <w:sz w:val="21"/>
          <w:szCs w:val="21"/>
        </w:rPr>
        <w:t xml:space="preserve">Artículo </w:t>
      </w:r>
      <w:r w:rsidRPr="00743CF7">
        <w:rPr>
          <w:rFonts w:ascii="Abadi" w:hAnsi="Abadi" w:cs="*Times New Roman-BoldItalic-116"/>
          <w:b/>
          <w:bCs/>
          <w:i/>
          <w:iCs/>
          <w:color w:val="2B2B2B"/>
          <w:sz w:val="21"/>
          <w:szCs w:val="21"/>
        </w:rPr>
        <w:t xml:space="preserve">57. </w:t>
      </w:r>
      <w:r w:rsidRPr="00743CF7">
        <w:rPr>
          <w:rFonts w:ascii="Abadi" w:hAnsi="Abadi" w:cs="*Arial-11678-Identity-H"/>
          <w:color w:val="2B2B2B"/>
          <w:sz w:val="21"/>
          <w:szCs w:val="21"/>
        </w:rPr>
        <w:t>La formación docente, permitirá contar con maestras y maestros que resignifiquen la educación de las niñas, los niños, adolescentes y jóvenes con un enfoque integral, a partir de una vocación de docencia que promueva modelos de educación pertinentes y aprendizajes relevantes, que fortalezca la identidad nacional, democrática, equitativa, inclusiva e intercultural, además de considerar el carácter local, contextual y situacional de los procesos de construcción de saberes.</w:t>
      </w:r>
    </w:p>
    <w:p w14:paraId="067118C8" w14:textId="77777777" w:rsidR="00366FFB" w:rsidRPr="00743CF7" w:rsidRDefault="00366FFB" w:rsidP="00366FFB">
      <w:pPr>
        <w:autoSpaceDE w:val="0"/>
        <w:autoSpaceDN w:val="0"/>
        <w:adjustRightInd w:val="0"/>
        <w:jc w:val="both"/>
        <w:rPr>
          <w:rFonts w:ascii="Abadi" w:hAnsi="Abadi" w:cs="*Arial-11678-Identity-H"/>
          <w:color w:val="2B2B2B"/>
          <w:sz w:val="21"/>
          <w:szCs w:val="21"/>
        </w:rPr>
      </w:pPr>
    </w:p>
    <w:p w14:paraId="334F77A5" w14:textId="77777777" w:rsidR="00366FFB" w:rsidRPr="00743CF7" w:rsidRDefault="00366FFB" w:rsidP="00366FFB">
      <w:pPr>
        <w:autoSpaceDE w:val="0"/>
        <w:autoSpaceDN w:val="0"/>
        <w:adjustRightInd w:val="0"/>
        <w:ind w:firstLine="708"/>
        <w:jc w:val="right"/>
        <w:rPr>
          <w:rFonts w:ascii="Abadi" w:hAnsi="Abadi" w:cs="*Calibri-BoldItalic-11676-Ident"/>
          <w:b/>
          <w:bCs/>
          <w:i/>
          <w:iCs/>
          <w:color w:val="151515"/>
          <w:sz w:val="21"/>
          <w:szCs w:val="21"/>
        </w:rPr>
      </w:pPr>
      <w:r w:rsidRPr="00743CF7">
        <w:rPr>
          <w:rFonts w:ascii="Abadi" w:hAnsi="Abadi" w:cs="*Calibri-BoldItalic-11676-Ident"/>
          <w:b/>
          <w:bCs/>
          <w:i/>
          <w:iCs/>
          <w:color w:val="151515"/>
          <w:sz w:val="21"/>
          <w:szCs w:val="21"/>
        </w:rPr>
        <w:t xml:space="preserve">Fortalecimiento de </w:t>
      </w:r>
      <w:r w:rsidRPr="00743CF7">
        <w:rPr>
          <w:rFonts w:ascii="Abadi" w:hAnsi="Abadi" w:cs="*Calibri-Bold-11677-Identity-H"/>
          <w:b/>
          <w:bCs/>
          <w:color w:val="151515"/>
          <w:sz w:val="21"/>
          <w:szCs w:val="21"/>
        </w:rPr>
        <w:t xml:space="preserve">las instituciones </w:t>
      </w:r>
      <w:r w:rsidRPr="00743CF7">
        <w:rPr>
          <w:rFonts w:ascii="Abadi" w:hAnsi="Abadi" w:cs="*Calibri-BoldItalic-11676-Ident"/>
          <w:b/>
          <w:bCs/>
          <w:i/>
          <w:iCs/>
          <w:color w:val="151515"/>
          <w:sz w:val="21"/>
          <w:szCs w:val="21"/>
        </w:rPr>
        <w:t>públicas</w:t>
      </w:r>
    </w:p>
    <w:p w14:paraId="0AADB276" w14:textId="77777777" w:rsidR="00366FFB" w:rsidRPr="00743CF7" w:rsidRDefault="00366FFB" w:rsidP="00366FFB">
      <w:pPr>
        <w:autoSpaceDE w:val="0"/>
        <w:autoSpaceDN w:val="0"/>
        <w:adjustRightInd w:val="0"/>
        <w:ind w:firstLine="708"/>
        <w:jc w:val="both"/>
        <w:rPr>
          <w:rFonts w:ascii="Abadi" w:hAnsi="Abadi" w:cs="*Arial-11678-Identity-H"/>
          <w:color w:val="2A2A2A"/>
          <w:sz w:val="21"/>
          <w:szCs w:val="21"/>
        </w:rPr>
      </w:pPr>
      <w:r w:rsidRPr="00743CF7">
        <w:rPr>
          <w:rFonts w:ascii="Abadi" w:hAnsi="Abadi" w:cs="*Calibri-Bold-11675-Identity-H"/>
          <w:b/>
          <w:bCs/>
          <w:color w:val="2A2A2A"/>
          <w:sz w:val="21"/>
          <w:szCs w:val="21"/>
        </w:rPr>
        <w:t xml:space="preserve">Artículo </w:t>
      </w:r>
      <w:r w:rsidRPr="00743CF7">
        <w:rPr>
          <w:rFonts w:ascii="Abadi" w:hAnsi="Abadi" w:cs="*Times New Roman-BoldItalic-116"/>
          <w:b/>
          <w:bCs/>
          <w:i/>
          <w:iCs/>
          <w:color w:val="2A2A2A"/>
          <w:sz w:val="21"/>
          <w:szCs w:val="21"/>
        </w:rPr>
        <w:t xml:space="preserve">58. </w:t>
      </w:r>
      <w:r w:rsidRPr="00743CF7">
        <w:rPr>
          <w:rFonts w:ascii="Abadi" w:hAnsi="Abadi" w:cs="*Arial-11678-Identity-H"/>
          <w:color w:val="2A2A2A"/>
          <w:sz w:val="21"/>
          <w:szCs w:val="21"/>
        </w:rPr>
        <w:t>La Secretaría promoverá el fortalecimiento de las instituciones públicas de formación docente, escuelas normales, universidades pedagógicas y centros de actualización del magisterio, para lo cual promoverá ante la autoridad educativa federal mejores condiciones para el desempeño y profesionalización de los formadores de formadores, desarrollar sus programas curriculares, de investigación y de extensión, robustecer sus procesos de administración y la planeación de sus modelos de ingreso e instrumentar metodologías pedagógicas innovadoras para contar con una sólida formación inicial y formación continua.</w:t>
      </w:r>
    </w:p>
    <w:p w14:paraId="44A41137" w14:textId="77777777" w:rsidR="00366FFB" w:rsidRPr="00743CF7" w:rsidRDefault="00366FFB" w:rsidP="00366FFB">
      <w:pPr>
        <w:jc w:val="both"/>
        <w:rPr>
          <w:rFonts w:ascii="Abadi" w:hAnsi="Abadi" w:cs="*Arial-11678-Identity-H"/>
          <w:color w:val="2A2A2A"/>
          <w:sz w:val="21"/>
          <w:szCs w:val="21"/>
        </w:rPr>
      </w:pPr>
    </w:p>
    <w:p w14:paraId="6535353C" w14:textId="77777777" w:rsidR="00366FFB" w:rsidRPr="00743CF7" w:rsidRDefault="00366FFB" w:rsidP="00366FFB">
      <w:pPr>
        <w:autoSpaceDE w:val="0"/>
        <w:autoSpaceDN w:val="0"/>
        <w:adjustRightInd w:val="0"/>
        <w:jc w:val="right"/>
        <w:rPr>
          <w:rFonts w:ascii="Abadi" w:hAnsi="Abadi" w:cs="*Calibri-BoldItalic-11678-Ident"/>
          <w:b/>
          <w:bCs/>
          <w:i/>
          <w:iCs/>
          <w:color w:val="0F0F0F"/>
          <w:sz w:val="21"/>
          <w:szCs w:val="21"/>
        </w:rPr>
      </w:pPr>
      <w:r w:rsidRPr="00743CF7">
        <w:rPr>
          <w:rFonts w:ascii="Abadi" w:hAnsi="Abadi" w:cs="*Calibri-BoldItalic-11678-Ident"/>
          <w:b/>
          <w:bCs/>
          <w:i/>
          <w:iCs/>
          <w:color w:val="0F0F0F"/>
          <w:sz w:val="21"/>
          <w:szCs w:val="21"/>
        </w:rPr>
        <w:t>Información de necesidades de las instituciones Formadoras de Docentes</w:t>
      </w:r>
    </w:p>
    <w:p w14:paraId="454818DC" w14:textId="5C45ED84" w:rsidR="00366FFB" w:rsidRPr="00743CF7" w:rsidRDefault="00366FFB" w:rsidP="00366FFB">
      <w:pPr>
        <w:autoSpaceDE w:val="0"/>
        <w:autoSpaceDN w:val="0"/>
        <w:adjustRightInd w:val="0"/>
        <w:ind w:firstLine="708"/>
        <w:jc w:val="both"/>
        <w:rPr>
          <w:rFonts w:ascii="Abadi" w:hAnsi="Abadi" w:cs="*Arial-11679-Identity-H"/>
          <w:color w:val="292929"/>
          <w:sz w:val="21"/>
          <w:szCs w:val="21"/>
        </w:rPr>
      </w:pPr>
      <w:r w:rsidRPr="00743CF7">
        <w:rPr>
          <w:rFonts w:ascii="Abadi" w:hAnsi="Abadi" w:cs="*Comic Sans MS-Bold-11681-Ident"/>
          <w:b/>
          <w:bCs/>
          <w:color w:val="292929"/>
          <w:sz w:val="21"/>
          <w:szCs w:val="21"/>
        </w:rPr>
        <w:t xml:space="preserve">Artículo </w:t>
      </w:r>
      <w:r w:rsidRPr="00743CF7">
        <w:rPr>
          <w:rFonts w:ascii="Abadi" w:hAnsi="Abadi" w:cs="*Times New Roman-BoldItalic-116"/>
          <w:b/>
          <w:bCs/>
          <w:i/>
          <w:iCs/>
          <w:color w:val="292929"/>
          <w:sz w:val="21"/>
          <w:szCs w:val="21"/>
        </w:rPr>
        <w:t xml:space="preserve">59. </w:t>
      </w:r>
      <w:r w:rsidRPr="00743CF7">
        <w:rPr>
          <w:rFonts w:ascii="Abadi" w:hAnsi="Abadi" w:cs="*Arial-11679-Identity-H"/>
          <w:color w:val="292929"/>
          <w:sz w:val="21"/>
          <w:szCs w:val="21"/>
        </w:rPr>
        <w:t xml:space="preserve">La Secretaría y la autoridad educa1iva municipal participarán con la autoridad educativa federal. proporcionando la información necesaria para que sean tomadas en cuento las necesidades </w:t>
      </w:r>
      <w:r w:rsidRPr="00743CF7">
        <w:rPr>
          <w:rFonts w:ascii="Abadi" w:hAnsi="Abadi" w:cs="*Verdana-11682-Identity-H"/>
          <w:color w:val="292929"/>
          <w:sz w:val="21"/>
          <w:szCs w:val="21"/>
        </w:rPr>
        <w:t xml:space="preserve">y </w:t>
      </w:r>
      <w:r w:rsidRPr="00743CF7">
        <w:rPr>
          <w:rFonts w:ascii="Abadi" w:hAnsi="Abadi" w:cs="*Arial-11679-Identity-H"/>
          <w:color w:val="292929"/>
          <w:sz w:val="21"/>
          <w:szCs w:val="21"/>
        </w:rPr>
        <w:t xml:space="preserve">contextos regionales </w:t>
      </w:r>
      <w:r w:rsidRPr="00743CF7">
        <w:rPr>
          <w:rFonts w:ascii="Abadi" w:hAnsi="Abadi" w:cs="*Verdana-11682-Identity-H"/>
          <w:color w:val="292929"/>
          <w:sz w:val="21"/>
          <w:szCs w:val="21"/>
        </w:rPr>
        <w:t xml:space="preserve">y </w:t>
      </w:r>
      <w:r w:rsidRPr="00743CF7">
        <w:rPr>
          <w:rFonts w:ascii="Abadi" w:hAnsi="Abadi" w:cs="*Arial-11679-Identity-H"/>
          <w:color w:val="292929"/>
          <w:sz w:val="21"/>
          <w:szCs w:val="21"/>
        </w:rPr>
        <w:t xml:space="preserve">locales de las comunidades donde se encuentran ubicados </w:t>
      </w:r>
      <w:r w:rsidR="00317065" w:rsidRPr="00743CF7">
        <w:rPr>
          <w:rFonts w:ascii="Abadi" w:hAnsi="Abadi" w:cs="*Arial-11679-Identity-H"/>
          <w:color w:val="292929"/>
          <w:sz w:val="21"/>
          <w:szCs w:val="21"/>
        </w:rPr>
        <w:t>las instituciones formadoras</w:t>
      </w:r>
      <w:r w:rsidRPr="00743CF7">
        <w:rPr>
          <w:rFonts w:ascii="Abadi" w:hAnsi="Abadi" w:cs="*Arial-11679-Identity-H"/>
          <w:color w:val="292929"/>
          <w:sz w:val="21"/>
          <w:szCs w:val="21"/>
        </w:rPr>
        <w:t xml:space="preserve"> de docentes </w:t>
      </w:r>
      <w:r w:rsidRPr="00743CF7">
        <w:rPr>
          <w:rFonts w:ascii="Abadi" w:hAnsi="Abadi" w:cs="*Verdana-11682-Identity-H"/>
          <w:color w:val="292929"/>
          <w:sz w:val="21"/>
          <w:szCs w:val="21"/>
        </w:rPr>
        <w:t xml:space="preserve">y </w:t>
      </w:r>
      <w:r w:rsidRPr="00743CF7">
        <w:rPr>
          <w:rFonts w:ascii="Abadi" w:hAnsi="Abadi" w:cs="*Arial-11679-Identity-H"/>
          <w:color w:val="292929"/>
          <w:sz w:val="21"/>
          <w:szCs w:val="21"/>
        </w:rPr>
        <w:t>escuelas normales.</w:t>
      </w:r>
    </w:p>
    <w:p w14:paraId="79EE967F" w14:textId="77777777" w:rsidR="00366FFB" w:rsidRPr="00743CF7" w:rsidRDefault="00366FFB" w:rsidP="00366FFB">
      <w:pPr>
        <w:autoSpaceDE w:val="0"/>
        <w:autoSpaceDN w:val="0"/>
        <w:adjustRightInd w:val="0"/>
        <w:jc w:val="both"/>
        <w:rPr>
          <w:rFonts w:ascii="Abadi" w:hAnsi="Abadi" w:cs="*Arial-11679-Identity-H"/>
          <w:color w:val="292929"/>
          <w:sz w:val="21"/>
          <w:szCs w:val="21"/>
        </w:rPr>
      </w:pPr>
    </w:p>
    <w:p w14:paraId="51107987" w14:textId="77777777" w:rsidR="00366FFB" w:rsidRPr="00743CF7" w:rsidRDefault="00366FFB" w:rsidP="00366FFB">
      <w:pPr>
        <w:autoSpaceDE w:val="0"/>
        <w:autoSpaceDN w:val="0"/>
        <w:adjustRightInd w:val="0"/>
        <w:jc w:val="right"/>
        <w:rPr>
          <w:rFonts w:ascii="Abadi" w:hAnsi="Abadi" w:cs="*Calibri-BoldItalic-11678-Ident"/>
          <w:b/>
          <w:bCs/>
          <w:i/>
          <w:iCs/>
          <w:color w:val="101010"/>
          <w:sz w:val="21"/>
          <w:szCs w:val="21"/>
        </w:rPr>
      </w:pPr>
      <w:r w:rsidRPr="00743CF7">
        <w:rPr>
          <w:rFonts w:ascii="Abadi" w:hAnsi="Abadi" w:cs="*Calibri-BoldItalic-11678-Ident"/>
          <w:b/>
          <w:bCs/>
          <w:i/>
          <w:iCs/>
          <w:color w:val="101010"/>
          <w:sz w:val="21"/>
          <w:szCs w:val="21"/>
        </w:rPr>
        <w:t xml:space="preserve">Participación en el </w:t>
      </w:r>
      <w:r w:rsidRPr="00743CF7">
        <w:rPr>
          <w:rFonts w:ascii="Abadi" w:hAnsi="Abadi" w:cs="*Arial-Bold-11680-Identity-H"/>
          <w:b/>
          <w:bCs/>
          <w:color w:val="101010"/>
          <w:sz w:val="21"/>
          <w:szCs w:val="21"/>
        </w:rPr>
        <w:t xml:space="preserve">Consejo </w:t>
      </w:r>
      <w:r w:rsidRPr="00743CF7">
        <w:rPr>
          <w:rFonts w:ascii="Abadi" w:hAnsi="Abadi" w:cs="*Calibri-BoldItalic-11678-Ident"/>
          <w:b/>
          <w:bCs/>
          <w:i/>
          <w:iCs/>
          <w:color w:val="101010"/>
          <w:sz w:val="21"/>
          <w:szCs w:val="21"/>
        </w:rPr>
        <w:t>Nacional de Autoridades de Educación Normal</w:t>
      </w:r>
    </w:p>
    <w:p w14:paraId="0012FF65" w14:textId="77777777" w:rsidR="00366FFB" w:rsidRPr="00743CF7" w:rsidRDefault="00366FFB" w:rsidP="00366FFB">
      <w:pPr>
        <w:autoSpaceDE w:val="0"/>
        <w:autoSpaceDN w:val="0"/>
        <w:adjustRightInd w:val="0"/>
        <w:ind w:firstLine="708"/>
        <w:jc w:val="both"/>
        <w:rPr>
          <w:rFonts w:ascii="Abadi" w:hAnsi="Abadi" w:cs="*Arial-11679-Identity-H"/>
          <w:color w:val="272727"/>
          <w:sz w:val="21"/>
          <w:szCs w:val="21"/>
        </w:rPr>
      </w:pPr>
      <w:r w:rsidRPr="00743CF7">
        <w:rPr>
          <w:rFonts w:ascii="Abadi" w:hAnsi="Abadi" w:cs="*Comic Sans MS-Bold-11681-Ident"/>
          <w:b/>
          <w:bCs/>
          <w:color w:val="272727"/>
          <w:sz w:val="21"/>
          <w:szCs w:val="21"/>
        </w:rPr>
        <w:t xml:space="preserve">Artículo 60. </w:t>
      </w:r>
      <w:r w:rsidRPr="00743CF7">
        <w:rPr>
          <w:rFonts w:ascii="Abadi" w:hAnsi="Abadi" w:cs="*Arial-11679-Identity-H"/>
          <w:color w:val="272727"/>
          <w:sz w:val="21"/>
          <w:szCs w:val="21"/>
        </w:rPr>
        <w:t xml:space="preserve">La Secretaría participará en representación del Estado en el Consejo Nacional de Autoridades de Educación Normal, como órgano que establece los acuerdos sobre políticas y acciones para el desarrollo de las escuelas normales </w:t>
      </w:r>
      <w:r w:rsidRPr="00743CF7">
        <w:rPr>
          <w:rFonts w:ascii="Abadi" w:hAnsi="Abadi" w:cs="*Verdana-11682-Identity-H"/>
          <w:color w:val="272727"/>
          <w:sz w:val="21"/>
          <w:szCs w:val="21"/>
        </w:rPr>
        <w:t xml:space="preserve">y </w:t>
      </w:r>
      <w:r w:rsidRPr="00743CF7">
        <w:rPr>
          <w:rFonts w:ascii="Abadi" w:hAnsi="Abadi" w:cs="*Arial-11679-Identity-H"/>
          <w:color w:val="272727"/>
          <w:sz w:val="21"/>
          <w:szCs w:val="21"/>
        </w:rPr>
        <w:t>las instituciones de formación docente.</w:t>
      </w:r>
    </w:p>
    <w:p w14:paraId="73DC86E0" w14:textId="77777777" w:rsidR="00366FFB" w:rsidRPr="00743CF7" w:rsidRDefault="00366FFB" w:rsidP="00366FFB">
      <w:pPr>
        <w:autoSpaceDE w:val="0"/>
        <w:autoSpaceDN w:val="0"/>
        <w:adjustRightInd w:val="0"/>
        <w:jc w:val="both"/>
        <w:rPr>
          <w:rFonts w:ascii="Abadi" w:hAnsi="Abadi" w:cs="*Microsoft Sans Serif-Bold-1168"/>
          <w:b/>
          <w:bCs/>
          <w:color w:val="111111"/>
          <w:sz w:val="21"/>
          <w:szCs w:val="21"/>
        </w:rPr>
      </w:pPr>
    </w:p>
    <w:p w14:paraId="6E2F40A0" w14:textId="77777777" w:rsidR="00366FFB" w:rsidRPr="00743CF7" w:rsidRDefault="00366FFB" w:rsidP="00366FFB">
      <w:pPr>
        <w:autoSpaceDE w:val="0"/>
        <w:autoSpaceDN w:val="0"/>
        <w:adjustRightInd w:val="0"/>
        <w:jc w:val="center"/>
        <w:rPr>
          <w:rFonts w:ascii="Abadi" w:hAnsi="Abadi" w:cs="*Microsoft Sans Serif-Bold-1168"/>
          <w:b/>
          <w:bCs/>
          <w:color w:val="111111"/>
          <w:sz w:val="21"/>
          <w:szCs w:val="21"/>
        </w:rPr>
      </w:pPr>
      <w:r w:rsidRPr="00743CF7">
        <w:rPr>
          <w:rFonts w:ascii="Abadi" w:hAnsi="Abadi" w:cs="*Microsoft Sans Serif-Bold-1168"/>
          <w:b/>
          <w:bCs/>
          <w:color w:val="111111"/>
          <w:sz w:val="21"/>
          <w:szCs w:val="21"/>
        </w:rPr>
        <w:t>TÍTULO V</w:t>
      </w:r>
    </w:p>
    <w:p w14:paraId="25CF2E57" w14:textId="77777777" w:rsidR="00366FFB" w:rsidRPr="00743CF7" w:rsidRDefault="00366FFB" w:rsidP="00366FFB">
      <w:pPr>
        <w:autoSpaceDE w:val="0"/>
        <w:autoSpaceDN w:val="0"/>
        <w:adjustRightInd w:val="0"/>
        <w:jc w:val="center"/>
        <w:rPr>
          <w:rFonts w:ascii="Abadi" w:hAnsi="Abadi" w:cs="*Microsoft Sans Serif-Bold-1168"/>
          <w:b/>
          <w:bCs/>
          <w:color w:val="0E0E0E"/>
          <w:sz w:val="21"/>
          <w:szCs w:val="21"/>
        </w:rPr>
      </w:pPr>
      <w:r w:rsidRPr="00743CF7">
        <w:rPr>
          <w:rFonts w:ascii="Abadi" w:hAnsi="Abadi" w:cs="*Microsoft Sans Serif-Bold-1168"/>
          <w:b/>
          <w:bCs/>
          <w:color w:val="0E0E0E"/>
          <w:sz w:val="21"/>
          <w:szCs w:val="21"/>
        </w:rPr>
        <w:t>Ciencia, Tecnología e Innovación</w:t>
      </w:r>
    </w:p>
    <w:p w14:paraId="18318EF5" w14:textId="77777777" w:rsidR="00366FFB" w:rsidRPr="00743CF7" w:rsidRDefault="00366FFB" w:rsidP="00366FFB">
      <w:pPr>
        <w:autoSpaceDE w:val="0"/>
        <w:autoSpaceDN w:val="0"/>
        <w:adjustRightInd w:val="0"/>
        <w:jc w:val="center"/>
        <w:rPr>
          <w:rFonts w:ascii="Abadi" w:hAnsi="Abadi" w:cs="*Microsoft Sans Serif-Bold-1168"/>
          <w:b/>
          <w:bCs/>
          <w:color w:val="0E0E0E"/>
          <w:sz w:val="21"/>
          <w:szCs w:val="21"/>
        </w:rPr>
      </w:pPr>
      <w:r w:rsidRPr="00743CF7">
        <w:rPr>
          <w:rFonts w:ascii="Abadi" w:hAnsi="Abadi" w:cs="*Microsoft Sans Serif-Bold-1168"/>
          <w:b/>
          <w:bCs/>
          <w:color w:val="0E0E0E"/>
          <w:sz w:val="21"/>
          <w:szCs w:val="21"/>
        </w:rPr>
        <w:t xml:space="preserve">Capítulo </w:t>
      </w:r>
      <w:r>
        <w:rPr>
          <w:rFonts w:ascii="Abadi" w:hAnsi="Abadi" w:cs="*Microsoft Sans Serif-Bold-1168"/>
          <w:b/>
          <w:bCs/>
          <w:color w:val="0E0E0E"/>
          <w:sz w:val="21"/>
          <w:szCs w:val="21"/>
        </w:rPr>
        <w:t>I</w:t>
      </w:r>
    </w:p>
    <w:p w14:paraId="40460E31" w14:textId="77777777" w:rsidR="00366FFB" w:rsidRDefault="00366FFB" w:rsidP="00366FFB">
      <w:pPr>
        <w:autoSpaceDE w:val="0"/>
        <w:autoSpaceDN w:val="0"/>
        <w:adjustRightInd w:val="0"/>
        <w:jc w:val="center"/>
        <w:rPr>
          <w:rFonts w:ascii="Abadi" w:hAnsi="Abadi" w:cs="*Microsoft Sans Serif-Bold-1168"/>
          <w:b/>
          <w:bCs/>
          <w:color w:val="111111"/>
          <w:sz w:val="21"/>
          <w:szCs w:val="21"/>
        </w:rPr>
      </w:pPr>
    </w:p>
    <w:p w14:paraId="5A9B48B0" w14:textId="77777777" w:rsidR="00366FFB" w:rsidRPr="00743CF7" w:rsidRDefault="00366FFB" w:rsidP="00366FFB">
      <w:pPr>
        <w:autoSpaceDE w:val="0"/>
        <w:autoSpaceDN w:val="0"/>
        <w:adjustRightInd w:val="0"/>
        <w:jc w:val="center"/>
        <w:rPr>
          <w:rFonts w:ascii="Abadi" w:hAnsi="Abadi" w:cs="*Microsoft Sans Serif-Bold-1168"/>
          <w:b/>
          <w:bCs/>
          <w:color w:val="111111"/>
          <w:sz w:val="21"/>
          <w:szCs w:val="21"/>
        </w:rPr>
      </w:pPr>
      <w:r w:rsidRPr="00743CF7">
        <w:rPr>
          <w:rFonts w:ascii="Abadi" w:hAnsi="Abadi" w:cs="*Microsoft Sans Serif-Bold-1168"/>
          <w:b/>
          <w:bCs/>
          <w:color w:val="111111"/>
          <w:sz w:val="21"/>
          <w:szCs w:val="21"/>
        </w:rPr>
        <w:t xml:space="preserve">Obligaciones en materia de ciencia, tecnología </w:t>
      </w:r>
      <w:r w:rsidRPr="00743CF7">
        <w:rPr>
          <w:rFonts w:ascii="Abadi" w:hAnsi="Abadi" w:cs="*Calibri-BoldItalic-11678-Ident"/>
          <w:b/>
          <w:bCs/>
          <w:i/>
          <w:iCs/>
          <w:color w:val="111111"/>
          <w:sz w:val="21"/>
          <w:szCs w:val="21"/>
        </w:rPr>
        <w:t xml:space="preserve">e </w:t>
      </w:r>
      <w:r w:rsidRPr="00743CF7">
        <w:rPr>
          <w:rFonts w:ascii="Abadi" w:hAnsi="Abadi" w:cs="*Microsoft Sans Serif-Bold-1168"/>
          <w:b/>
          <w:bCs/>
          <w:color w:val="111111"/>
          <w:sz w:val="21"/>
          <w:szCs w:val="21"/>
        </w:rPr>
        <w:t>Innovación</w:t>
      </w:r>
    </w:p>
    <w:p w14:paraId="12406E71" w14:textId="77777777" w:rsidR="00366FFB" w:rsidRDefault="00366FFB" w:rsidP="00366FFB">
      <w:pPr>
        <w:autoSpaceDE w:val="0"/>
        <w:autoSpaceDN w:val="0"/>
        <w:adjustRightInd w:val="0"/>
        <w:jc w:val="center"/>
        <w:rPr>
          <w:rFonts w:ascii="Abadi" w:hAnsi="Abadi" w:cs="*Calibri-BoldItalic-11678-Ident"/>
          <w:b/>
          <w:bCs/>
          <w:i/>
          <w:iCs/>
          <w:color w:val="111111"/>
          <w:sz w:val="21"/>
          <w:szCs w:val="21"/>
        </w:rPr>
      </w:pPr>
    </w:p>
    <w:p w14:paraId="4CD9AB1C" w14:textId="77777777" w:rsidR="00366FFB" w:rsidRPr="00743CF7" w:rsidRDefault="00366FFB" w:rsidP="00366FFB">
      <w:pPr>
        <w:autoSpaceDE w:val="0"/>
        <w:autoSpaceDN w:val="0"/>
        <w:adjustRightInd w:val="0"/>
        <w:jc w:val="right"/>
        <w:rPr>
          <w:rFonts w:ascii="Abadi" w:hAnsi="Abadi" w:cs="*Calibri-BoldItalic-11678-Ident"/>
          <w:b/>
          <w:bCs/>
          <w:i/>
          <w:iCs/>
          <w:color w:val="111111"/>
          <w:sz w:val="21"/>
          <w:szCs w:val="21"/>
        </w:rPr>
      </w:pPr>
      <w:r w:rsidRPr="00743CF7">
        <w:rPr>
          <w:rFonts w:ascii="Abadi" w:hAnsi="Abadi" w:cs="*Calibri-BoldItalic-11678-Ident"/>
          <w:b/>
          <w:bCs/>
          <w:i/>
          <w:iCs/>
          <w:color w:val="111111"/>
          <w:sz w:val="21"/>
          <w:szCs w:val="21"/>
        </w:rPr>
        <w:t>Coordinación de programas, proyectos y recursos</w:t>
      </w:r>
    </w:p>
    <w:p w14:paraId="558624A4" w14:textId="77777777" w:rsidR="00366FFB" w:rsidRPr="00743CF7" w:rsidRDefault="00366FFB" w:rsidP="00366FFB">
      <w:pPr>
        <w:autoSpaceDE w:val="0"/>
        <w:autoSpaceDN w:val="0"/>
        <w:adjustRightInd w:val="0"/>
        <w:ind w:firstLine="708"/>
        <w:jc w:val="both"/>
        <w:rPr>
          <w:rFonts w:ascii="Abadi" w:hAnsi="Abadi" w:cs="*Arial-11679-Identity-H"/>
          <w:color w:val="282828"/>
          <w:sz w:val="21"/>
          <w:szCs w:val="21"/>
        </w:rPr>
      </w:pPr>
      <w:r w:rsidRPr="00743CF7">
        <w:rPr>
          <w:rFonts w:ascii="Abadi" w:hAnsi="Abadi" w:cs="*Comic Sans MS-Bold-11681-Ident"/>
          <w:b/>
          <w:bCs/>
          <w:color w:val="282828"/>
          <w:sz w:val="21"/>
          <w:szCs w:val="21"/>
        </w:rPr>
        <w:t xml:space="preserve">Artículo 61. </w:t>
      </w:r>
      <w:r w:rsidRPr="00743CF7">
        <w:rPr>
          <w:rFonts w:ascii="Abadi" w:hAnsi="Abadi" w:cs="*Arial-11679-Identity-H"/>
          <w:color w:val="282828"/>
          <w:sz w:val="21"/>
          <w:szCs w:val="21"/>
        </w:rPr>
        <w:t>Con la finalidad de lograr la coordinación y complementariedad de programas, proyectos y recursos destinados a la ciencia, humanidades y tecnología e innovación, las autoridades educativas y las instituciones de educación superior, además de lo establecido en la ley en la materia, atenderán lo siguiente:</w:t>
      </w:r>
    </w:p>
    <w:p w14:paraId="16388EC2" w14:textId="77777777" w:rsidR="00366FFB" w:rsidRPr="00743CF7" w:rsidRDefault="00366FFB" w:rsidP="00366FFB">
      <w:pPr>
        <w:autoSpaceDE w:val="0"/>
        <w:autoSpaceDN w:val="0"/>
        <w:adjustRightInd w:val="0"/>
        <w:jc w:val="both"/>
        <w:rPr>
          <w:rFonts w:ascii="Abadi" w:hAnsi="Abadi" w:cs="*Arial-11679-Identity-H"/>
          <w:color w:val="282828"/>
          <w:sz w:val="21"/>
          <w:szCs w:val="21"/>
        </w:rPr>
      </w:pPr>
    </w:p>
    <w:p w14:paraId="12C96087" w14:textId="77777777" w:rsidR="00366FFB" w:rsidRPr="002712A2" w:rsidRDefault="00366FFB" w:rsidP="00366FFB">
      <w:pPr>
        <w:autoSpaceDE w:val="0"/>
        <w:autoSpaceDN w:val="0"/>
        <w:adjustRightInd w:val="0"/>
        <w:jc w:val="both"/>
        <w:rPr>
          <w:rFonts w:ascii="Abadi" w:hAnsi="Abadi" w:cs="*Arial-11679-Identity-H"/>
          <w:color w:val="282828"/>
          <w:sz w:val="21"/>
          <w:szCs w:val="21"/>
        </w:rPr>
      </w:pPr>
      <w:r w:rsidRPr="002712A2">
        <w:rPr>
          <w:rFonts w:ascii="Abadi" w:hAnsi="Abadi" w:cs="*Arial-11679-Identity-H"/>
          <w:color w:val="282828"/>
          <w:sz w:val="21"/>
          <w:szCs w:val="21"/>
        </w:rPr>
        <w:t>El fomento de la vocación científico, tecnológico, humanística e innovadora;</w:t>
      </w:r>
    </w:p>
    <w:p w14:paraId="5288C96C" w14:textId="77777777" w:rsidR="00366FFB" w:rsidRPr="00743CF7" w:rsidRDefault="00366FFB" w:rsidP="00366FFB">
      <w:pPr>
        <w:autoSpaceDE w:val="0"/>
        <w:autoSpaceDN w:val="0"/>
        <w:adjustRightInd w:val="0"/>
        <w:jc w:val="both"/>
        <w:rPr>
          <w:rFonts w:ascii="Abadi" w:hAnsi="Abadi" w:cs="*Arial-11679-Identity-H"/>
          <w:color w:val="282828"/>
          <w:sz w:val="21"/>
          <w:szCs w:val="21"/>
        </w:rPr>
      </w:pPr>
    </w:p>
    <w:p w14:paraId="64A41EC8" w14:textId="77777777" w:rsidR="00366FFB" w:rsidRPr="002712A2" w:rsidRDefault="00366FFB" w:rsidP="00366FFB">
      <w:pPr>
        <w:autoSpaceDE w:val="0"/>
        <w:autoSpaceDN w:val="0"/>
        <w:adjustRightInd w:val="0"/>
        <w:jc w:val="both"/>
        <w:rPr>
          <w:rFonts w:ascii="Abadi" w:hAnsi="Abadi" w:cs="*Arial-11679-Identity-H"/>
          <w:color w:val="2B2B2B"/>
          <w:sz w:val="21"/>
          <w:szCs w:val="21"/>
        </w:rPr>
      </w:pPr>
      <w:r w:rsidRPr="002712A2">
        <w:rPr>
          <w:rFonts w:ascii="Abadi" w:hAnsi="Abadi" w:cs="*Arial-11679-Identity-H"/>
          <w:color w:val="2B2B2B"/>
          <w:sz w:val="21"/>
          <w:szCs w:val="21"/>
        </w:rPr>
        <w:t xml:space="preserve">La consolidación de los procesos de enseñanza </w:t>
      </w:r>
      <w:r w:rsidRPr="002712A2">
        <w:rPr>
          <w:rFonts w:ascii="Abadi" w:hAnsi="Abadi" w:cs="*Verdana-11682-Identity-H"/>
          <w:color w:val="2B2B2B"/>
          <w:sz w:val="21"/>
          <w:szCs w:val="21"/>
        </w:rPr>
        <w:t xml:space="preserve">y </w:t>
      </w:r>
      <w:r w:rsidRPr="002712A2">
        <w:rPr>
          <w:rFonts w:ascii="Abadi" w:hAnsi="Abadi" w:cs="*Arial-11679-Identity-H"/>
          <w:color w:val="2B2B2B"/>
          <w:sz w:val="21"/>
          <w:szCs w:val="21"/>
        </w:rPr>
        <w:t xml:space="preserve">aprendizaje de la investigación e innovación científica, humanística </w:t>
      </w:r>
      <w:r w:rsidRPr="002712A2">
        <w:rPr>
          <w:rFonts w:ascii="Abadi" w:hAnsi="Abadi" w:cs="*Verdana-11682-Identity-H"/>
          <w:color w:val="2B2B2B"/>
          <w:sz w:val="21"/>
          <w:szCs w:val="21"/>
        </w:rPr>
        <w:t xml:space="preserve">y </w:t>
      </w:r>
      <w:r w:rsidRPr="002712A2">
        <w:rPr>
          <w:rFonts w:ascii="Abadi" w:hAnsi="Abadi" w:cs="*Arial-11679-Identity-H"/>
          <w:color w:val="2B2B2B"/>
          <w:sz w:val="21"/>
          <w:szCs w:val="21"/>
        </w:rPr>
        <w:t>tecnológica;</w:t>
      </w:r>
    </w:p>
    <w:p w14:paraId="073DC3BD" w14:textId="77777777" w:rsidR="00366FFB" w:rsidRPr="00743CF7" w:rsidRDefault="00366FFB" w:rsidP="00366FFB">
      <w:pPr>
        <w:jc w:val="both"/>
        <w:rPr>
          <w:rFonts w:ascii="Abadi" w:hAnsi="Abadi" w:cs="*Arial-11679-Identity-H"/>
          <w:color w:val="2B2B2B"/>
          <w:sz w:val="21"/>
          <w:szCs w:val="21"/>
        </w:rPr>
      </w:pPr>
    </w:p>
    <w:p w14:paraId="678ADE68" w14:textId="77777777" w:rsidR="00366FFB" w:rsidRPr="002712A2" w:rsidRDefault="00366FFB" w:rsidP="00366FFB">
      <w:pPr>
        <w:autoSpaceDE w:val="0"/>
        <w:autoSpaceDN w:val="0"/>
        <w:adjustRightInd w:val="0"/>
        <w:jc w:val="both"/>
        <w:rPr>
          <w:rFonts w:ascii="Abadi" w:hAnsi="Abadi" w:cs="*Arial-12045-Identity-H"/>
          <w:color w:val="2A2A2A"/>
          <w:sz w:val="21"/>
          <w:szCs w:val="21"/>
        </w:rPr>
      </w:pPr>
      <w:r w:rsidRPr="002712A2">
        <w:rPr>
          <w:rFonts w:ascii="Abadi" w:hAnsi="Abadi" w:cs="*Arial-12045-Identity-H"/>
          <w:color w:val="2A2A2A"/>
          <w:sz w:val="21"/>
          <w:szCs w:val="21"/>
        </w:rPr>
        <w:t>La formación de investigadoras e investigadores, en los casos que corresponda;</w:t>
      </w:r>
    </w:p>
    <w:p w14:paraId="55833730" w14:textId="77777777" w:rsidR="00366FFB" w:rsidRPr="00743CF7" w:rsidRDefault="00366FFB" w:rsidP="00366FFB">
      <w:pPr>
        <w:autoSpaceDE w:val="0"/>
        <w:autoSpaceDN w:val="0"/>
        <w:adjustRightInd w:val="0"/>
        <w:jc w:val="both"/>
        <w:rPr>
          <w:rFonts w:ascii="Abadi" w:hAnsi="Abadi" w:cs="*Arial-12045-Identity-H"/>
          <w:color w:val="2A2A2A"/>
          <w:sz w:val="21"/>
          <w:szCs w:val="21"/>
        </w:rPr>
      </w:pPr>
    </w:p>
    <w:p w14:paraId="25E90C7F" w14:textId="77777777" w:rsidR="00366FFB" w:rsidRPr="002712A2" w:rsidRDefault="00366FFB" w:rsidP="00366FFB">
      <w:pPr>
        <w:autoSpaceDE w:val="0"/>
        <w:autoSpaceDN w:val="0"/>
        <w:adjustRightInd w:val="0"/>
        <w:jc w:val="both"/>
        <w:rPr>
          <w:rFonts w:ascii="Abadi" w:hAnsi="Abadi" w:cs="*Arial-12045-Identity-H"/>
          <w:color w:val="2C2C2C"/>
          <w:sz w:val="21"/>
          <w:szCs w:val="21"/>
        </w:rPr>
      </w:pPr>
      <w:r w:rsidRPr="002712A2">
        <w:rPr>
          <w:rFonts w:ascii="Abadi" w:hAnsi="Abadi" w:cs="*Arial-12045-Identity-H"/>
          <w:color w:val="2C2C2C"/>
          <w:sz w:val="21"/>
          <w:szCs w:val="21"/>
        </w:rPr>
        <w:t>El fomento a la creación de infraestructura para el desarrollo de la ciencia y la innovación tecnológica;</w:t>
      </w:r>
    </w:p>
    <w:p w14:paraId="789138BA" w14:textId="77777777" w:rsidR="00366FFB" w:rsidRPr="00743CF7" w:rsidRDefault="00366FFB" w:rsidP="00366FFB">
      <w:pPr>
        <w:autoSpaceDE w:val="0"/>
        <w:autoSpaceDN w:val="0"/>
        <w:adjustRightInd w:val="0"/>
        <w:jc w:val="both"/>
        <w:rPr>
          <w:rFonts w:ascii="Abadi" w:hAnsi="Abadi" w:cs="*Arial-12045-Identity-H"/>
          <w:color w:val="2C2C2C"/>
          <w:sz w:val="21"/>
          <w:szCs w:val="21"/>
        </w:rPr>
      </w:pPr>
    </w:p>
    <w:p w14:paraId="763A3A8B" w14:textId="77777777" w:rsidR="00366FFB" w:rsidRPr="002712A2" w:rsidRDefault="00366FFB" w:rsidP="00366FFB">
      <w:pPr>
        <w:autoSpaceDE w:val="0"/>
        <w:autoSpaceDN w:val="0"/>
        <w:adjustRightInd w:val="0"/>
        <w:jc w:val="both"/>
        <w:rPr>
          <w:rFonts w:ascii="Abadi" w:hAnsi="Abadi" w:cs="*Arial-12045-Identity-H"/>
          <w:color w:val="2C2C2C"/>
          <w:sz w:val="21"/>
          <w:szCs w:val="21"/>
        </w:rPr>
      </w:pPr>
      <w:r w:rsidRPr="002712A2">
        <w:rPr>
          <w:rFonts w:ascii="Abadi" w:hAnsi="Abadi" w:cs="*Arial-12045-Identity-H"/>
          <w:color w:val="2C2C2C"/>
          <w:sz w:val="21"/>
          <w:szCs w:val="21"/>
        </w:rPr>
        <w:t>El apoyo para la realización de investigación e innovación científica, humanístico y tecnológico;</w:t>
      </w:r>
    </w:p>
    <w:p w14:paraId="32E4D3D1" w14:textId="77777777" w:rsidR="00366FFB" w:rsidRDefault="00366FFB" w:rsidP="00366FFB">
      <w:pPr>
        <w:autoSpaceDE w:val="0"/>
        <w:autoSpaceDN w:val="0"/>
        <w:adjustRightInd w:val="0"/>
        <w:jc w:val="both"/>
        <w:rPr>
          <w:rFonts w:ascii="Abadi" w:hAnsi="Abadi" w:cs="*Arial-12045-Identity-H"/>
          <w:color w:val="2A2A2A"/>
          <w:sz w:val="21"/>
          <w:szCs w:val="21"/>
        </w:rPr>
      </w:pPr>
    </w:p>
    <w:p w14:paraId="0F9ED35E" w14:textId="77777777" w:rsidR="00366FFB" w:rsidRPr="002712A2" w:rsidRDefault="00366FFB" w:rsidP="00366FFB">
      <w:pPr>
        <w:autoSpaceDE w:val="0"/>
        <w:autoSpaceDN w:val="0"/>
        <w:adjustRightInd w:val="0"/>
        <w:jc w:val="both"/>
        <w:rPr>
          <w:rFonts w:ascii="Abadi" w:hAnsi="Abadi" w:cs="*Arial-12045-Identity-H"/>
          <w:color w:val="2A2A2A"/>
          <w:sz w:val="21"/>
          <w:szCs w:val="21"/>
        </w:rPr>
      </w:pPr>
      <w:r w:rsidRPr="002712A2">
        <w:rPr>
          <w:rFonts w:ascii="Abadi" w:hAnsi="Abadi" w:cs="*Arial-12045-Identity-H"/>
          <w:color w:val="2A2A2A"/>
          <w:sz w:val="21"/>
          <w:szCs w:val="21"/>
        </w:rPr>
        <w:t>El diseño y operación de proyectos de investigación aplicada que favorezcan la innovación en las regiones en las que se encuentran las instituciones de educación superior, fortalezcan los lazos con las comunidades de su entorno e impulsen su desarrollo regional;</w:t>
      </w:r>
    </w:p>
    <w:p w14:paraId="5B1F79D7" w14:textId="77777777" w:rsidR="00366FFB" w:rsidRPr="00743CF7" w:rsidRDefault="00366FFB" w:rsidP="00366FFB">
      <w:pPr>
        <w:autoSpaceDE w:val="0"/>
        <w:autoSpaceDN w:val="0"/>
        <w:adjustRightInd w:val="0"/>
        <w:jc w:val="both"/>
        <w:rPr>
          <w:rFonts w:ascii="Abadi" w:hAnsi="Abadi" w:cs="*Arial-12045-Identity-H"/>
          <w:color w:val="2A2A2A"/>
          <w:sz w:val="21"/>
          <w:szCs w:val="21"/>
        </w:rPr>
      </w:pPr>
    </w:p>
    <w:p w14:paraId="61920BE3" w14:textId="77777777" w:rsidR="00366FFB" w:rsidRPr="002712A2" w:rsidRDefault="00366FFB" w:rsidP="00366FFB">
      <w:pPr>
        <w:autoSpaceDE w:val="0"/>
        <w:autoSpaceDN w:val="0"/>
        <w:adjustRightInd w:val="0"/>
        <w:jc w:val="both"/>
        <w:rPr>
          <w:rFonts w:ascii="Abadi" w:hAnsi="Abadi" w:cs="*Arial-12045-Identity-H"/>
          <w:color w:val="2B2B2B"/>
          <w:sz w:val="21"/>
          <w:szCs w:val="21"/>
        </w:rPr>
      </w:pPr>
      <w:r w:rsidRPr="002712A2">
        <w:rPr>
          <w:rFonts w:ascii="Abadi" w:hAnsi="Abadi" w:cs="*Arial-12045-Identity-H"/>
          <w:color w:val="2B2B2B"/>
          <w:sz w:val="21"/>
          <w:szCs w:val="21"/>
        </w:rPr>
        <w:t xml:space="preserve">La formación en habilidades digitales y el uso responsable de las tecnologías de lo información, comunicación, conocimiento y aprendizaje digital en el proceso de construcción de saberes como mecanismo que contribuya a mejorar el desempeño y los resultados académicos; y </w:t>
      </w:r>
    </w:p>
    <w:p w14:paraId="3ADEFB0D" w14:textId="77777777" w:rsidR="00366FFB" w:rsidRPr="00743CF7" w:rsidRDefault="00366FFB" w:rsidP="00366FFB">
      <w:pPr>
        <w:autoSpaceDE w:val="0"/>
        <w:autoSpaceDN w:val="0"/>
        <w:adjustRightInd w:val="0"/>
        <w:jc w:val="both"/>
        <w:rPr>
          <w:rFonts w:ascii="Abadi" w:hAnsi="Abadi" w:cs="*Arial-12045-Identity-H"/>
          <w:color w:val="2B2B2B"/>
          <w:sz w:val="21"/>
          <w:szCs w:val="21"/>
        </w:rPr>
      </w:pPr>
    </w:p>
    <w:p w14:paraId="1751F7AB" w14:textId="3F217321" w:rsidR="00366FFB" w:rsidRDefault="00366FFB" w:rsidP="00366FFB">
      <w:pPr>
        <w:autoSpaceDE w:val="0"/>
        <w:autoSpaceDN w:val="0"/>
        <w:adjustRightInd w:val="0"/>
        <w:jc w:val="both"/>
        <w:rPr>
          <w:rFonts w:ascii="Abadi" w:hAnsi="Abadi" w:cs="*Arial-12045-Identity-H"/>
          <w:color w:val="272727"/>
          <w:sz w:val="21"/>
          <w:szCs w:val="21"/>
        </w:rPr>
      </w:pPr>
      <w:r w:rsidRPr="002712A2">
        <w:rPr>
          <w:rFonts w:ascii="Abadi" w:hAnsi="Abadi" w:cs="*Arial-12045-Identity-H"/>
          <w:color w:val="272727"/>
          <w:sz w:val="21"/>
          <w:szCs w:val="21"/>
        </w:rPr>
        <w:t>El impulso de la información científica, tecnológica, humanística y de innovación, en los términos que establezca la ley de la materia.</w:t>
      </w:r>
    </w:p>
    <w:p w14:paraId="014A89D7" w14:textId="2396B035" w:rsidR="00317065" w:rsidRDefault="00317065" w:rsidP="00366FFB">
      <w:pPr>
        <w:autoSpaceDE w:val="0"/>
        <w:autoSpaceDN w:val="0"/>
        <w:adjustRightInd w:val="0"/>
        <w:jc w:val="both"/>
        <w:rPr>
          <w:rFonts w:ascii="Abadi" w:hAnsi="Abadi" w:cs="*Arial-12045-Identity-H"/>
          <w:color w:val="272727"/>
          <w:sz w:val="21"/>
          <w:szCs w:val="21"/>
        </w:rPr>
      </w:pPr>
    </w:p>
    <w:p w14:paraId="3A1DC19C" w14:textId="3F7837D8" w:rsidR="00317065" w:rsidRPr="00317065" w:rsidRDefault="00317065" w:rsidP="00366FFB">
      <w:pPr>
        <w:autoSpaceDE w:val="0"/>
        <w:autoSpaceDN w:val="0"/>
        <w:adjustRightInd w:val="0"/>
        <w:jc w:val="both"/>
        <w:rPr>
          <w:rFonts w:ascii="Abadi" w:hAnsi="Abadi" w:cs="*Tahoma-BoldItalic-12830-Identi"/>
          <w:b/>
          <w:bCs/>
          <w:i/>
          <w:iCs/>
          <w:color w:val="131313"/>
          <w:sz w:val="21"/>
          <w:szCs w:val="21"/>
        </w:rPr>
      </w:pPr>
      <w:r w:rsidRPr="00317065">
        <w:rPr>
          <w:rFonts w:ascii="Abadi" w:hAnsi="Abadi" w:cs="*Tahoma-BoldItalic-12830-Identi"/>
          <w:b/>
          <w:bCs/>
          <w:i/>
          <w:iCs/>
          <w:color w:val="131313"/>
          <w:sz w:val="21"/>
          <w:szCs w:val="21"/>
        </w:rPr>
        <w:t>Fortalecimiento y expansión</w:t>
      </w:r>
    </w:p>
    <w:p w14:paraId="437F5ADE" w14:textId="6D97EF95" w:rsidR="00366FFB" w:rsidRPr="00743CF7" w:rsidRDefault="00366FFB" w:rsidP="00366FFB">
      <w:pPr>
        <w:autoSpaceDE w:val="0"/>
        <w:autoSpaceDN w:val="0"/>
        <w:adjustRightInd w:val="0"/>
        <w:ind w:firstLine="708"/>
        <w:jc w:val="both"/>
        <w:rPr>
          <w:rFonts w:ascii="Abadi" w:hAnsi="Abadi" w:cs="*Arial-12045-Identity-H"/>
          <w:color w:val="282828"/>
          <w:sz w:val="21"/>
          <w:szCs w:val="21"/>
        </w:rPr>
      </w:pPr>
      <w:r w:rsidRPr="00743CF7">
        <w:rPr>
          <w:rFonts w:ascii="Abadi" w:hAnsi="Abadi" w:cs="*Arial-Bold-12046-Identity-H"/>
          <w:b/>
          <w:bCs/>
          <w:color w:val="282828"/>
          <w:sz w:val="21"/>
          <w:szCs w:val="21"/>
        </w:rPr>
        <w:t xml:space="preserve">Artículo </w:t>
      </w:r>
      <w:r w:rsidRPr="00743CF7">
        <w:rPr>
          <w:rFonts w:ascii="Abadi" w:hAnsi="Abadi" w:cs="*Times New Roman-BoldItalic-120"/>
          <w:b/>
          <w:bCs/>
          <w:i/>
          <w:iCs/>
          <w:color w:val="282828"/>
          <w:sz w:val="21"/>
          <w:szCs w:val="21"/>
        </w:rPr>
        <w:t xml:space="preserve">62. </w:t>
      </w:r>
      <w:r w:rsidRPr="00743CF7">
        <w:rPr>
          <w:rFonts w:ascii="Abadi" w:hAnsi="Abadi" w:cs="*Arial-12045-Identity-H"/>
          <w:color w:val="282828"/>
          <w:sz w:val="21"/>
          <w:szCs w:val="21"/>
        </w:rPr>
        <w:t xml:space="preserve">Las autoridades educativas promoverán, ante las instancias competentes y conforme a los procedimientos establecidos en las disposiciones aplicables, que las instituciones de educación superior accedan a los recursos destinados al fortalecimiento y expansión de la investigación científica, humanística y el desarrollo de la tecnología </w:t>
      </w:r>
      <w:r w:rsidRPr="00743CF7">
        <w:rPr>
          <w:rFonts w:ascii="Abadi" w:hAnsi="Abadi" w:cs="*Times New Roman-Italic-12041-I"/>
          <w:i/>
          <w:iCs/>
          <w:color w:val="282828"/>
          <w:sz w:val="21"/>
          <w:szCs w:val="21"/>
        </w:rPr>
        <w:t xml:space="preserve">y </w:t>
      </w:r>
      <w:r w:rsidRPr="00743CF7">
        <w:rPr>
          <w:rFonts w:ascii="Abadi" w:hAnsi="Abadi" w:cs="*Arial-12045-Identity-H"/>
          <w:color w:val="282828"/>
          <w:sz w:val="21"/>
          <w:szCs w:val="21"/>
        </w:rPr>
        <w:t xml:space="preserve">la innovación en el Estado. </w:t>
      </w:r>
    </w:p>
    <w:p w14:paraId="07CDE014" w14:textId="77777777" w:rsidR="00366FFB" w:rsidRPr="00743CF7" w:rsidRDefault="00366FFB" w:rsidP="00366FFB">
      <w:pPr>
        <w:autoSpaceDE w:val="0"/>
        <w:autoSpaceDN w:val="0"/>
        <w:adjustRightInd w:val="0"/>
        <w:jc w:val="both"/>
        <w:rPr>
          <w:rFonts w:ascii="Abadi" w:hAnsi="Abadi" w:cs="*Arial-12045-Identity-H"/>
          <w:color w:val="282828"/>
          <w:sz w:val="21"/>
          <w:szCs w:val="21"/>
        </w:rPr>
      </w:pPr>
    </w:p>
    <w:p w14:paraId="001A0230" w14:textId="55F80C74" w:rsidR="00366FFB" w:rsidRPr="00743CF7" w:rsidRDefault="00366FFB" w:rsidP="00366FFB">
      <w:pPr>
        <w:autoSpaceDE w:val="0"/>
        <w:autoSpaceDN w:val="0"/>
        <w:adjustRightInd w:val="0"/>
        <w:ind w:firstLine="708"/>
        <w:jc w:val="both"/>
        <w:rPr>
          <w:rFonts w:ascii="Abadi" w:hAnsi="Abadi" w:cs="*Calibri-12825-Identity-H"/>
          <w:color w:val="292929"/>
          <w:sz w:val="21"/>
          <w:szCs w:val="21"/>
        </w:rPr>
      </w:pPr>
      <w:r w:rsidRPr="00743CF7">
        <w:rPr>
          <w:rFonts w:ascii="Abadi" w:hAnsi="Abadi" w:cs="*Arial-12045-Identity-H"/>
          <w:color w:val="2B2B2B"/>
          <w:sz w:val="21"/>
          <w:szCs w:val="21"/>
        </w:rPr>
        <w:t xml:space="preserve">Los recursos a los que se refiere este artículo se destinarán para apoyar la investigación básica y aplicada, la generación de prototipos científicos </w:t>
      </w:r>
      <w:r w:rsidRPr="00743CF7">
        <w:rPr>
          <w:rFonts w:ascii="Abadi" w:hAnsi="Abadi" w:cs="*Times New Roman-Italic-12041-I"/>
          <w:i/>
          <w:iCs/>
          <w:color w:val="2B2B2B"/>
          <w:sz w:val="21"/>
          <w:szCs w:val="21"/>
        </w:rPr>
        <w:t xml:space="preserve">y </w:t>
      </w:r>
      <w:r w:rsidRPr="00743CF7">
        <w:rPr>
          <w:rFonts w:ascii="Abadi" w:hAnsi="Abadi" w:cs="*Arial-12045-Identity-H"/>
          <w:color w:val="2B2B2B"/>
          <w:sz w:val="21"/>
          <w:szCs w:val="21"/>
        </w:rPr>
        <w:t xml:space="preserve">tecnológicos, el diseño de proyectos para la mejora continua de la educación, la </w:t>
      </w:r>
      <w:r w:rsidRPr="00743CF7">
        <w:rPr>
          <w:rFonts w:ascii="Abadi" w:hAnsi="Abadi" w:cs="*Calibri-12825-Identity-H"/>
          <w:color w:val="292929"/>
          <w:sz w:val="21"/>
          <w:szCs w:val="21"/>
        </w:rPr>
        <w:t xml:space="preserve">divulgación de la ciencia, la </w:t>
      </w:r>
      <w:r w:rsidR="00317065" w:rsidRPr="00743CF7">
        <w:rPr>
          <w:rFonts w:ascii="Abadi" w:hAnsi="Abadi" w:cs="*Calibri-12825-Identity-H"/>
          <w:color w:val="292929"/>
          <w:sz w:val="21"/>
          <w:szCs w:val="21"/>
        </w:rPr>
        <w:t>innovación tecnológica</w:t>
      </w:r>
      <w:r w:rsidRPr="00743CF7">
        <w:rPr>
          <w:rFonts w:ascii="Abadi" w:hAnsi="Abadi" w:cs="*Calibri-12825-Identity-H"/>
          <w:color w:val="292929"/>
          <w:sz w:val="21"/>
          <w:szCs w:val="21"/>
        </w:rPr>
        <w:t xml:space="preserve"> y, en general, </w:t>
      </w:r>
      <w:r w:rsidR="00317065" w:rsidRPr="00743CF7">
        <w:rPr>
          <w:rFonts w:ascii="Abadi" w:hAnsi="Abadi" w:cs="*Calibri-12825-Identity-H"/>
          <w:color w:val="292929"/>
          <w:sz w:val="21"/>
          <w:szCs w:val="21"/>
        </w:rPr>
        <w:t>todas aquellas acciones</w:t>
      </w:r>
      <w:r w:rsidRPr="00743CF7">
        <w:rPr>
          <w:rFonts w:ascii="Abadi" w:hAnsi="Abadi" w:cs="*Calibri-12825-Identity-H"/>
          <w:color w:val="292929"/>
          <w:sz w:val="21"/>
          <w:szCs w:val="21"/>
        </w:rPr>
        <w:t xml:space="preserve"> que contribuyan al desarrollo.</w:t>
      </w:r>
    </w:p>
    <w:p w14:paraId="00D29148" w14:textId="77777777" w:rsidR="00366FFB" w:rsidRPr="00743CF7" w:rsidRDefault="00366FFB" w:rsidP="00366FFB">
      <w:pPr>
        <w:autoSpaceDE w:val="0"/>
        <w:autoSpaceDN w:val="0"/>
        <w:adjustRightInd w:val="0"/>
        <w:jc w:val="both"/>
        <w:rPr>
          <w:rFonts w:ascii="Abadi" w:hAnsi="Abadi" w:cs="*Tahoma-BoldItalic-12830-Identi"/>
          <w:b/>
          <w:bCs/>
          <w:i/>
          <w:iCs/>
          <w:color w:val="131313"/>
          <w:sz w:val="21"/>
          <w:szCs w:val="21"/>
        </w:rPr>
      </w:pPr>
    </w:p>
    <w:p w14:paraId="291C2038" w14:textId="77777777" w:rsidR="00366FFB" w:rsidRPr="00743CF7" w:rsidRDefault="00366FFB" w:rsidP="00317065">
      <w:pPr>
        <w:autoSpaceDE w:val="0"/>
        <w:autoSpaceDN w:val="0"/>
        <w:adjustRightInd w:val="0"/>
        <w:jc w:val="both"/>
        <w:rPr>
          <w:rFonts w:ascii="Abadi" w:hAnsi="Abadi" w:cs="*Tahoma-BoldItalic-12830-Identi"/>
          <w:b/>
          <w:bCs/>
          <w:i/>
          <w:iCs/>
          <w:color w:val="131313"/>
          <w:sz w:val="21"/>
          <w:szCs w:val="21"/>
        </w:rPr>
      </w:pPr>
      <w:r w:rsidRPr="00743CF7">
        <w:rPr>
          <w:rFonts w:ascii="Abadi" w:hAnsi="Abadi" w:cs="*Tahoma-BoldItalic-12830-Identi"/>
          <w:b/>
          <w:bCs/>
          <w:i/>
          <w:iCs/>
          <w:color w:val="131313"/>
          <w:sz w:val="21"/>
          <w:szCs w:val="21"/>
        </w:rPr>
        <w:t>Vinculación para el desarrollo científico, tecnológico y la innovación</w:t>
      </w:r>
    </w:p>
    <w:p w14:paraId="370CDAE0" w14:textId="640BBE7E" w:rsidR="00366FFB" w:rsidRDefault="00366FFB" w:rsidP="00366FFB">
      <w:pPr>
        <w:autoSpaceDE w:val="0"/>
        <w:autoSpaceDN w:val="0"/>
        <w:adjustRightInd w:val="0"/>
        <w:ind w:firstLine="708"/>
        <w:jc w:val="both"/>
        <w:rPr>
          <w:rFonts w:ascii="Abadi" w:hAnsi="Abadi" w:cs="*Calibri-12825-Identity-H"/>
          <w:color w:val="2B2B2B"/>
          <w:sz w:val="21"/>
          <w:szCs w:val="21"/>
        </w:rPr>
      </w:pPr>
      <w:r w:rsidRPr="00743CF7">
        <w:rPr>
          <w:rFonts w:ascii="Abadi" w:hAnsi="Abadi" w:cs="*Comic Sans MS-Bold-12829-Ident"/>
          <w:b/>
          <w:bCs/>
          <w:color w:val="2B2B2B"/>
          <w:sz w:val="21"/>
          <w:szCs w:val="21"/>
        </w:rPr>
        <w:t xml:space="preserve">Artículo 63. </w:t>
      </w:r>
      <w:r w:rsidRPr="00743CF7">
        <w:rPr>
          <w:rFonts w:ascii="Abadi" w:hAnsi="Abadi" w:cs="*Calibri-12825-Identity-H"/>
          <w:color w:val="2B2B2B"/>
          <w:sz w:val="21"/>
          <w:szCs w:val="21"/>
        </w:rPr>
        <w:t xml:space="preserve">Con lo finalidad de impulsor el desarrollo científico, tecnológico y la innovación, </w:t>
      </w:r>
      <w:r w:rsidR="00317065" w:rsidRPr="00743CF7">
        <w:rPr>
          <w:rFonts w:ascii="Abadi" w:hAnsi="Abadi" w:cs="*Calibri-12825-Identity-H"/>
          <w:color w:val="2B2B2B"/>
          <w:sz w:val="21"/>
          <w:szCs w:val="21"/>
        </w:rPr>
        <w:t>las instituciones</w:t>
      </w:r>
      <w:r w:rsidRPr="00743CF7">
        <w:rPr>
          <w:rFonts w:ascii="Abadi" w:hAnsi="Abadi" w:cs="*Calibri-12825-Identity-H"/>
          <w:color w:val="2B2B2B"/>
          <w:sz w:val="21"/>
          <w:szCs w:val="21"/>
        </w:rPr>
        <w:t xml:space="preserve"> de educación superior se vincularán con los distintos centros de investigación </w:t>
      </w:r>
      <w:r w:rsidRPr="00743CF7">
        <w:rPr>
          <w:rFonts w:ascii="Abadi" w:hAnsi="Abadi" w:cs="*Calibri-12826-Identity-H"/>
          <w:color w:val="2B2B2B"/>
          <w:sz w:val="21"/>
          <w:szCs w:val="21"/>
        </w:rPr>
        <w:t xml:space="preserve">y </w:t>
      </w:r>
      <w:r w:rsidRPr="00743CF7">
        <w:rPr>
          <w:rFonts w:ascii="Abadi" w:hAnsi="Abadi" w:cs="*Calibri-12825-Identity-H"/>
          <w:color w:val="2B2B2B"/>
          <w:sz w:val="21"/>
          <w:szCs w:val="21"/>
        </w:rPr>
        <w:t>con el sector productivo. para la generación de proyectos conjuntos en beneficio de la sociedad.</w:t>
      </w:r>
    </w:p>
    <w:p w14:paraId="3197CF67" w14:textId="27FC5DEA" w:rsidR="00162574" w:rsidRDefault="00162574" w:rsidP="00366FFB">
      <w:pPr>
        <w:autoSpaceDE w:val="0"/>
        <w:autoSpaceDN w:val="0"/>
        <w:adjustRightInd w:val="0"/>
        <w:ind w:firstLine="708"/>
        <w:jc w:val="both"/>
        <w:rPr>
          <w:rFonts w:ascii="Abadi" w:hAnsi="Abadi" w:cs="*Calibri-12825-Identity-H"/>
          <w:color w:val="2B2B2B"/>
          <w:sz w:val="21"/>
          <w:szCs w:val="21"/>
        </w:rPr>
      </w:pPr>
    </w:p>
    <w:p w14:paraId="17AB9607" w14:textId="24E0895F" w:rsidR="00162574" w:rsidRPr="00162574" w:rsidRDefault="00162574" w:rsidP="00366FFB">
      <w:pPr>
        <w:autoSpaceDE w:val="0"/>
        <w:autoSpaceDN w:val="0"/>
        <w:adjustRightInd w:val="0"/>
        <w:ind w:firstLine="708"/>
        <w:jc w:val="both"/>
        <w:rPr>
          <w:rFonts w:ascii="Abadi" w:hAnsi="Abadi" w:cs="*Tahoma-BoldItalic-12830-Identi"/>
          <w:b/>
          <w:bCs/>
          <w:i/>
          <w:iCs/>
          <w:color w:val="131313"/>
          <w:sz w:val="21"/>
          <w:szCs w:val="21"/>
        </w:rPr>
      </w:pPr>
      <w:r w:rsidRPr="00162574">
        <w:rPr>
          <w:rFonts w:ascii="Abadi" w:hAnsi="Abadi" w:cs="*Tahoma-BoldItalic-12830-Identi"/>
          <w:b/>
          <w:bCs/>
          <w:i/>
          <w:iCs/>
          <w:color w:val="131313"/>
          <w:sz w:val="21"/>
          <w:szCs w:val="21"/>
        </w:rPr>
        <w:t>Programas de posgrado</w:t>
      </w:r>
    </w:p>
    <w:p w14:paraId="37FA59E4" w14:textId="2DACD423" w:rsidR="00366FFB" w:rsidRPr="00743CF7" w:rsidRDefault="00366FFB" w:rsidP="00366FFB">
      <w:pPr>
        <w:autoSpaceDE w:val="0"/>
        <w:autoSpaceDN w:val="0"/>
        <w:adjustRightInd w:val="0"/>
        <w:ind w:left="6372"/>
        <w:jc w:val="both"/>
        <w:rPr>
          <w:rFonts w:ascii="Abadi" w:hAnsi="Abadi" w:cs="*Tahoma-BoldItalic-12830-Identi"/>
          <w:b/>
          <w:bCs/>
          <w:i/>
          <w:iCs/>
          <w:color w:val="111111"/>
          <w:sz w:val="21"/>
          <w:szCs w:val="21"/>
        </w:rPr>
      </w:pPr>
      <w:r w:rsidRPr="00743CF7">
        <w:rPr>
          <w:rFonts w:ascii="Abadi" w:hAnsi="Abadi" w:cs="*Tahoma-BoldItalic-12830-Identi"/>
          <w:b/>
          <w:bCs/>
          <w:i/>
          <w:iCs/>
          <w:color w:val="111111"/>
          <w:sz w:val="21"/>
          <w:szCs w:val="21"/>
        </w:rPr>
        <w:t>o</w:t>
      </w:r>
    </w:p>
    <w:p w14:paraId="1A574A29" w14:textId="77777777" w:rsidR="00366FFB" w:rsidRPr="00743CF7" w:rsidRDefault="00366FFB" w:rsidP="00366FFB">
      <w:pPr>
        <w:autoSpaceDE w:val="0"/>
        <w:autoSpaceDN w:val="0"/>
        <w:adjustRightInd w:val="0"/>
        <w:ind w:firstLine="708"/>
        <w:jc w:val="both"/>
        <w:rPr>
          <w:rFonts w:ascii="Abadi" w:hAnsi="Abadi" w:cs="*Calibri-12825-Identity-H"/>
          <w:color w:val="292929"/>
          <w:sz w:val="21"/>
          <w:szCs w:val="21"/>
        </w:rPr>
      </w:pPr>
      <w:r w:rsidRPr="00743CF7">
        <w:rPr>
          <w:rFonts w:ascii="Abadi" w:hAnsi="Abadi" w:cs="*Arial-Bold-12828-Identity-H"/>
          <w:b/>
          <w:bCs/>
          <w:color w:val="292929"/>
          <w:sz w:val="21"/>
          <w:szCs w:val="21"/>
        </w:rPr>
        <w:t xml:space="preserve">Artículo </w:t>
      </w:r>
      <w:r w:rsidRPr="007E6DF3">
        <w:rPr>
          <w:rFonts w:ascii="Abadi" w:hAnsi="Abadi" w:cs="*Calibri-12825-Identity-H"/>
          <w:b/>
          <w:bCs/>
          <w:color w:val="292929"/>
          <w:sz w:val="21"/>
          <w:szCs w:val="21"/>
        </w:rPr>
        <w:t>64.</w:t>
      </w:r>
      <w:r w:rsidRPr="00743CF7">
        <w:rPr>
          <w:rFonts w:ascii="Abadi" w:hAnsi="Abadi" w:cs="*Calibri-12825-Identity-H"/>
          <w:color w:val="292929"/>
          <w:sz w:val="21"/>
          <w:szCs w:val="21"/>
        </w:rPr>
        <w:t xml:space="preserve"> Las instituciones de educación superior fomentarán la creación de programas de posgrado enfocados en la investigación e innovación científica, humanística y tecnológica.</w:t>
      </w:r>
    </w:p>
    <w:p w14:paraId="21C4D892" w14:textId="77777777" w:rsidR="00366FFB" w:rsidRPr="00743CF7" w:rsidRDefault="00366FFB" w:rsidP="00366FFB">
      <w:pPr>
        <w:autoSpaceDE w:val="0"/>
        <w:autoSpaceDN w:val="0"/>
        <w:adjustRightInd w:val="0"/>
        <w:jc w:val="both"/>
        <w:rPr>
          <w:rFonts w:ascii="Abadi" w:hAnsi="Abadi" w:cs="*Calibri-12825-Identity-H"/>
          <w:color w:val="292929"/>
          <w:sz w:val="21"/>
          <w:szCs w:val="21"/>
        </w:rPr>
      </w:pPr>
    </w:p>
    <w:p w14:paraId="17B50C11" w14:textId="77777777" w:rsidR="00366FFB" w:rsidRPr="00743CF7" w:rsidRDefault="00366FFB" w:rsidP="00366FFB">
      <w:pPr>
        <w:autoSpaceDE w:val="0"/>
        <w:autoSpaceDN w:val="0"/>
        <w:adjustRightInd w:val="0"/>
        <w:ind w:firstLine="708"/>
        <w:jc w:val="both"/>
        <w:rPr>
          <w:rFonts w:ascii="Abadi" w:hAnsi="Abadi" w:cs="*Calibri-12825-Identity-H"/>
          <w:color w:val="292929"/>
          <w:sz w:val="21"/>
          <w:szCs w:val="21"/>
        </w:rPr>
      </w:pPr>
      <w:r w:rsidRPr="00743CF7">
        <w:rPr>
          <w:rFonts w:ascii="Abadi" w:hAnsi="Abadi" w:cs="*Calibri-12825-Identity-H"/>
          <w:color w:val="292929"/>
          <w:sz w:val="21"/>
          <w:szCs w:val="21"/>
        </w:rPr>
        <w:t xml:space="preserve">Para contribuir a la formación de especialistas en las disciplinas científicas, humanísticas </w:t>
      </w:r>
      <w:r w:rsidRPr="00743CF7">
        <w:rPr>
          <w:rFonts w:ascii="Abadi" w:hAnsi="Abadi" w:cs="*Calibri-12826-Identity-H"/>
          <w:color w:val="292929"/>
          <w:sz w:val="21"/>
          <w:szCs w:val="21"/>
        </w:rPr>
        <w:t xml:space="preserve">y </w:t>
      </w:r>
      <w:r w:rsidRPr="00743CF7">
        <w:rPr>
          <w:rFonts w:ascii="Abadi" w:hAnsi="Abadi" w:cs="*Calibri-12825-Identity-H"/>
          <w:color w:val="292929"/>
          <w:sz w:val="21"/>
          <w:szCs w:val="21"/>
        </w:rPr>
        <w:t>tecnológicas e incrementar lo matrícula de esos programas de posgrado, las autoridades educativas y las instituciones de educación superior</w:t>
      </w:r>
      <w:r>
        <w:rPr>
          <w:rFonts w:ascii="Abadi" w:hAnsi="Abadi" w:cs="*Calibri-12825-Identity-H"/>
          <w:color w:val="292929"/>
          <w:sz w:val="21"/>
          <w:szCs w:val="21"/>
        </w:rPr>
        <w:t xml:space="preserve">, </w:t>
      </w:r>
      <w:r w:rsidRPr="00743CF7">
        <w:rPr>
          <w:rFonts w:ascii="Abadi" w:hAnsi="Abadi" w:cs="*Calibri-12825-Identity-H"/>
          <w:color w:val="292929"/>
          <w:sz w:val="21"/>
          <w:szCs w:val="21"/>
        </w:rPr>
        <w:t>promoverán el otorgamiento de becas ante las instancias competentes.</w:t>
      </w:r>
    </w:p>
    <w:p w14:paraId="179CB667" w14:textId="77777777" w:rsidR="00366FFB" w:rsidRPr="00743CF7" w:rsidRDefault="00366FFB" w:rsidP="00366FFB">
      <w:pPr>
        <w:autoSpaceDE w:val="0"/>
        <w:autoSpaceDN w:val="0"/>
        <w:adjustRightInd w:val="0"/>
        <w:jc w:val="both"/>
        <w:rPr>
          <w:rFonts w:ascii="Abadi" w:hAnsi="Abadi" w:cs="*Tahoma-BoldItalic-12830-Identi"/>
          <w:b/>
          <w:bCs/>
          <w:i/>
          <w:iCs/>
          <w:color w:val="121212"/>
          <w:sz w:val="21"/>
          <w:szCs w:val="21"/>
        </w:rPr>
      </w:pPr>
    </w:p>
    <w:p w14:paraId="720E592B" w14:textId="77777777" w:rsidR="00366FFB" w:rsidRPr="00743CF7" w:rsidRDefault="00366FFB" w:rsidP="00162574">
      <w:pPr>
        <w:autoSpaceDE w:val="0"/>
        <w:autoSpaceDN w:val="0"/>
        <w:adjustRightInd w:val="0"/>
        <w:jc w:val="both"/>
        <w:rPr>
          <w:rFonts w:ascii="Abadi" w:hAnsi="Abadi" w:cs="*Tahoma-BoldItalic-12830-Identi"/>
          <w:b/>
          <w:bCs/>
          <w:i/>
          <w:iCs/>
          <w:color w:val="121212"/>
          <w:sz w:val="21"/>
          <w:szCs w:val="21"/>
        </w:rPr>
      </w:pPr>
      <w:r w:rsidRPr="00743CF7">
        <w:rPr>
          <w:rFonts w:ascii="Abadi" w:hAnsi="Abadi" w:cs="*Tahoma-BoldItalic-12830-Identi"/>
          <w:b/>
          <w:bCs/>
          <w:i/>
          <w:iCs/>
          <w:color w:val="121212"/>
          <w:sz w:val="21"/>
          <w:szCs w:val="21"/>
        </w:rPr>
        <w:t xml:space="preserve">Colaboración para investigación </w:t>
      </w:r>
      <w:r w:rsidRPr="00743CF7">
        <w:rPr>
          <w:rFonts w:ascii="Abadi" w:hAnsi="Abadi" w:cs="*Arial-Bold-12827-Identity-H"/>
          <w:b/>
          <w:bCs/>
          <w:color w:val="121212"/>
          <w:sz w:val="21"/>
          <w:szCs w:val="21"/>
        </w:rPr>
        <w:t xml:space="preserve">e </w:t>
      </w:r>
      <w:r w:rsidRPr="00743CF7">
        <w:rPr>
          <w:rFonts w:ascii="Abadi" w:hAnsi="Abadi" w:cs="*Tahoma-BoldItalic-12830-Identi"/>
          <w:b/>
          <w:bCs/>
          <w:i/>
          <w:iCs/>
          <w:color w:val="121212"/>
          <w:sz w:val="21"/>
          <w:szCs w:val="21"/>
        </w:rPr>
        <w:t>Innovación científica, humanística y tecnológica</w:t>
      </w:r>
    </w:p>
    <w:p w14:paraId="2B7FB8F7" w14:textId="77777777" w:rsidR="00366FFB" w:rsidRPr="00743CF7" w:rsidRDefault="00366FFB" w:rsidP="00366FFB">
      <w:pPr>
        <w:autoSpaceDE w:val="0"/>
        <w:autoSpaceDN w:val="0"/>
        <w:adjustRightInd w:val="0"/>
        <w:ind w:firstLine="708"/>
        <w:jc w:val="both"/>
        <w:rPr>
          <w:rFonts w:ascii="Abadi" w:hAnsi="Abadi" w:cs="*Microsoft Sans Serif-12171-Ide"/>
          <w:color w:val="2B2B2B"/>
          <w:sz w:val="21"/>
          <w:szCs w:val="21"/>
        </w:rPr>
      </w:pPr>
      <w:r w:rsidRPr="00743CF7">
        <w:rPr>
          <w:rFonts w:ascii="Abadi" w:hAnsi="Abadi" w:cs="*Comic Sans MS-Bold-12829-Ident"/>
          <w:b/>
          <w:bCs/>
          <w:color w:val="282828"/>
          <w:sz w:val="21"/>
          <w:szCs w:val="21"/>
        </w:rPr>
        <w:t xml:space="preserve">Artículo </w:t>
      </w:r>
      <w:r w:rsidRPr="00743CF7">
        <w:rPr>
          <w:rFonts w:ascii="Abadi" w:hAnsi="Abadi" w:cs="*Times New Roman-BoldItalic-128"/>
          <w:b/>
          <w:bCs/>
          <w:i/>
          <w:iCs/>
          <w:color w:val="282828"/>
          <w:sz w:val="21"/>
          <w:szCs w:val="21"/>
        </w:rPr>
        <w:t xml:space="preserve">65. </w:t>
      </w:r>
      <w:r w:rsidRPr="00743CF7">
        <w:rPr>
          <w:rFonts w:ascii="Abadi" w:hAnsi="Abadi" w:cs="*Calibri-12825-Identity-H"/>
          <w:color w:val="282828"/>
          <w:sz w:val="21"/>
          <w:szCs w:val="21"/>
        </w:rPr>
        <w:t xml:space="preserve">Las instituciones públicas de educación superior podrán realizar investigación e innovación científica, humanístico </w:t>
      </w:r>
      <w:r w:rsidRPr="00743CF7">
        <w:rPr>
          <w:rFonts w:ascii="Abadi" w:hAnsi="Abadi" w:cs="*Calibri-12826-Identity-H"/>
          <w:color w:val="282828"/>
          <w:sz w:val="21"/>
          <w:szCs w:val="21"/>
        </w:rPr>
        <w:t xml:space="preserve">y </w:t>
      </w:r>
      <w:r w:rsidRPr="00743CF7">
        <w:rPr>
          <w:rFonts w:ascii="Abadi" w:hAnsi="Abadi" w:cs="*Calibri-12825-Identity-H"/>
          <w:color w:val="282828"/>
          <w:sz w:val="21"/>
          <w:szCs w:val="21"/>
        </w:rPr>
        <w:t xml:space="preserve">tecnológico, en asociación con otras instituciones, centros públicos de investigación. sectores social y privado, de acuerdo con su normatividad interna. Asimismo, podrán constituir repositorios por disciplinas científicas, humanísticas, tecnológicas </w:t>
      </w:r>
      <w:r w:rsidRPr="00743CF7">
        <w:rPr>
          <w:rFonts w:ascii="Abadi" w:hAnsi="Abadi" w:cs="*Times New Roman-Italic-12821-I"/>
          <w:i/>
          <w:iCs/>
          <w:color w:val="282828"/>
          <w:sz w:val="21"/>
          <w:szCs w:val="21"/>
        </w:rPr>
        <w:t xml:space="preserve">y </w:t>
      </w:r>
      <w:r w:rsidRPr="00743CF7">
        <w:rPr>
          <w:rFonts w:ascii="Abadi" w:hAnsi="Abadi" w:cs="*Calibri-12825-Identity-H"/>
          <w:color w:val="282828"/>
          <w:sz w:val="21"/>
          <w:szCs w:val="21"/>
        </w:rPr>
        <w:t>de innovación, de acuerdo con los criterios que se deriven de las disposiciones legales en lo materia</w:t>
      </w:r>
      <w:r w:rsidRPr="00743CF7">
        <w:rPr>
          <w:rFonts w:ascii="Abadi" w:hAnsi="Abadi" w:cs="*Calibri-12825-Identity-H"/>
          <w:color w:val="737373"/>
          <w:sz w:val="21"/>
          <w:szCs w:val="21"/>
        </w:rPr>
        <w:t xml:space="preserve">, </w:t>
      </w:r>
      <w:r w:rsidRPr="00743CF7">
        <w:rPr>
          <w:rFonts w:ascii="Abadi" w:hAnsi="Abadi" w:cs="*Calibri-12825-Identity-H"/>
          <w:color w:val="2C2C2C"/>
          <w:sz w:val="21"/>
          <w:szCs w:val="21"/>
        </w:rPr>
        <w:t xml:space="preserve">Con la finalidad de extender hacia todos los sectores de la sociedad los beneficios de la investigación y desarrollo a los que se refiere este artículo, las autoridades </w:t>
      </w:r>
      <w:r w:rsidRPr="00743CF7">
        <w:rPr>
          <w:rFonts w:ascii="Abadi" w:hAnsi="Abadi" w:cs="*Microsoft Sans Serif-12171-Ide"/>
          <w:color w:val="2B2B2B"/>
          <w:sz w:val="21"/>
          <w:szCs w:val="21"/>
        </w:rPr>
        <w:t xml:space="preserve">educativas </w:t>
      </w:r>
      <w:r w:rsidRPr="00743CF7">
        <w:rPr>
          <w:rFonts w:ascii="Abadi" w:hAnsi="Abadi" w:cs="*Calibri-12168-Identity-H"/>
          <w:color w:val="2B2B2B"/>
          <w:sz w:val="21"/>
          <w:szCs w:val="21"/>
        </w:rPr>
        <w:t xml:space="preserve">y </w:t>
      </w:r>
      <w:r w:rsidRPr="00743CF7">
        <w:rPr>
          <w:rFonts w:ascii="Abadi" w:hAnsi="Abadi" w:cs="*Microsoft Sans Serif-12171-Ide"/>
          <w:color w:val="2B2B2B"/>
          <w:sz w:val="21"/>
          <w:szCs w:val="21"/>
        </w:rPr>
        <w:t xml:space="preserve">los instituciones de educación superior Impulsarán, de manera permanente, acciones de divulgación del conocimiento. dando prioridad a lo población escolar en todos los tipos </w:t>
      </w:r>
      <w:r w:rsidRPr="00743CF7">
        <w:rPr>
          <w:rFonts w:ascii="Abadi" w:hAnsi="Abadi" w:cs="*Calibri-12168-Identity-H"/>
          <w:color w:val="2B2B2B"/>
          <w:sz w:val="21"/>
          <w:szCs w:val="21"/>
        </w:rPr>
        <w:t xml:space="preserve">y </w:t>
      </w:r>
      <w:r w:rsidRPr="00743CF7">
        <w:rPr>
          <w:rFonts w:ascii="Abadi" w:hAnsi="Abadi" w:cs="*Microsoft Sans Serif-12171-Ide"/>
          <w:color w:val="2B2B2B"/>
          <w:sz w:val="21"/>
          <w:szCs w:val="21"/>
        </w:rPr>
        <w:t>niveles educativos.</w:t>
      </w:r>
    </w:p>
    <w:p w14:paraId="5DE79666" w14:textId="77777777" w:rsidR="00366FFB" w:rsidRPr="00743CF7" w:rsidRDefault="00366FFB" w:rsidP="00366FFB">
      <w:pPr>
        <w:autoSpaceDE w:val="0"/>
        <w:autoSpaceDN w:val="0"/>
        <w:adjustRightInd w:val="0"/>
        <w:jc w:val="both"/>
        <w:rPr>
          <w:rFonts w:ascii="Abadi" w:hAnsi="Abadi" w:cs="*Calibri-BoldItalic-12169-Ident"/>
          <w:b/>
          <w:bCs/>
          <w:i/>
          <w:iCs/>
          <w:color w:val="111111"/>
          <w:sz w:val="21"/>
          <w:szCs w:val="21"/>
        </w:rPr>
      </w:pPr>
    </w:p>
    <w:p w14:paraId="1881A983" w14:textId="77777777" w:rsidR="00366FFB" w:rsidRPr="00743CF7" w:rsidRDefault="00366FFB" w:rsidP="00366FFB">
      <w:pPr>
        <w:autoSpaceDE w:val="0"/>
        <w:autoSpaceDN w:val="0"/>
        <w:adjustRightInd w:val="0"/>
        <w:jc w:val="right"/>
        <w:rPr>
          <w:rFonts w:ascii="Abadi" w:hAnsi="Abadi" w:cs="*Calibri-BoldItalic-12169-Ident"/>
          <w:b/>
          <w:bCs/>
          <w:i/>
          <w:iCs/>
          <w:color w:val="111111"/>
          <w:sz w:val="21"/>
          <w:szCs w:val="21"/>
        </w:rPr>
      </w:pPr>
      <w:r w:rsidRPr="00743CF7">
        <w:rPr>
          <w:rFonts w:ascii="Abadi" w:hAnsi="Abadi" w:cs="*Calibri-BoldItalic-12169-Ident"/>
          <w:b/>
          <w:bCs/>
          <w:i/>
          <w:iCs/>
          <w:color w:val="111111"/>
          <w:sz w:val="21"/>
          <w:szCs w:val="21"/>
        </w:rPr>
        <w:t>Fortalecimiento de los modelos pedagógicos</w:t>
      </w:r>
    </w:p>
    <w:p w14:paraId="4150D3FE" w14:textId="77777777" w:rsidR="00366FFB" w:rsidRPr="00743CF7" w:rsidRDefault="00366FFB" w:rsidP="00366FFB">
      <w:pPr>
        <w:autoSpaceDE w:val="0"/>
        <w:autoSpaceDN w:val="0"/>
        <w:adjustRightInd w:val="0"/>
        <w:jc w:val="right"/>
        <w:rPr>
          <w:rFonts w:ascii="Abadi" w:hAnsi="Abadi" w:cs="*Calibri-BoldItalic-12169-Ident"/>
          <w:b/>
          <w:bCs/>
          <w:i/>
          <w:iCs/>
          <w:color w:val="111111"/>
          <w:sz w:val="21"/>
          <w:szCs w:val="21"/>
        </w:rPr>
      </w:pPr>
      <w:r w:rsidRPr="00743CF7">
        <w:rPr>
          <w:rFonts w:ascii="Abadi" w:hAnsi="Abadi" w:cs="*Calibri-BoldItalic-12169-Ident"/>
          <w:b/>
          <w:bCs/>
          <w:i/>
          <w:iCs/>
          <w:color w:val="111111"/>
          <w:sz w:val="21"/>
          <w:szCs w:val="21"/>
        </w:rPr>
        <w:t>y la innovación educativa</w:t>
      </w:r>
    </w:p>
    <w:p w14:paraId="54E1831A" w14:textId="77777777" w:rsidR="00366FFB" w:rsidRPr="00743CF7" w:rsidRDefault="00366FFB" w:rsidP="00366FFB">
      <w:pPr>
        <w:autoSpaceDE w:val="0"/>
        <w:autoSpaceDN w:val="0"/>
        <w:adjustRightInd w:val="0"/>
        <w:ind w:firstLine="708"/>
        <w:jc w:val="both"/>
        <w:rPr>
          <w:rFonts w:ascii="Abadi" w:hAnsi="Abadi" w:cs="*Microsoft Sans Serif-12171-Ide"/>
          <w:color w:val="2A2A2A"/>
          <w:sz w:val="21"/>
          <w:szCs w:val="21"/>
        </w:rPr>
      </w:pPr>
      <w:r w:rsidRPr="00743CF7">
        <w:rPr>
          <w:rFonts w:ascii="Abadi" w:hAnsi="Abadi" w:cs="*Arial-Bold-12170-Identity-H"/>
          <w:b/>
          <w:bCs/>
          <w:color w:val="2A2A2A"/>
          <w:sz w:val="21"/>
          <w:szCs w:val="21"/>
        </w:rPr>
        <w:t xml:space="preserve">Artículo </w:t>
      </w:r>
      <w:r w:rsidRPr="00743CF7">
        <w:rPr>
          <w:rFonts w:ascii="Abadi" w:hAnsi="Abadi" w:cs="*Calibri-BoldItalic-12169-Ident"/>
          <w:b/>
          <w:bCs/>
          <w:i/>
          <w:iCs/>
          <w:color w:val="2A2A2A"/>
          <w:sz w:val="21"/>
          <w:szCs w:val="21"/>
        </w:rPr>
        <w:t xml:space="preserve">66. </w:t>
      </w:r>
      <w:r w:rsidRPr="00743CF7">
        <w:rPr>
          <w:rFonts w:ascii="Abadi" w:hAnsi="Abadi" w:cs="*Microsoft Sans Serif-12171-Ide"/>
          <w:color w:val="2A2A2A"/>
          <w:sz w:val="21"/>
          <w:szCs w:val="21"/>
        </w:rPr>
        <w:t xml:space="preserve">Las instituciones de educación superior aprovecharán el avance de las tecnologías de la información, comunicación, conocimiento y aprendizaje digital, con la finalidad de fortalecer los modelos pedagógicos y la innovación educativa; así como para favorecer y facilitar el acceso de la comunidad educativo al uso de medios tecnológicos </w:t>
      </w:r>
      <w:r w:rsidRPr="00743CF7">
        <w:rPr>
          <w:rFonts w:ascii="Abadi" w:hAnsi="Abadi" w:cs="*Calibri-12168-Identity-H"/>
          <w:color w:val="2A2A2A"/>
          <w:sz w:val="21"/>
          <w:szCs w:val="21"/>
        </w:rPr>
        <w:t xml:space="preserve">y </w:t>
      </w:r>
      <w:r w:rsidRPr="00743CF7">
        <w:rPr>
          <w:rFonts w:ascii="Abadi" w:hAnsi="Abadi" w:cs="*Microsoft Sans Serif-12171-Ide"/>
          <w:color w:val="2A2A2A"/>
          <w:sz w:val="21"/>
          <w:szCs w:val="21"/>
        </w:rPr>
        <w:t xml:space="preserve">plataformas digitales. Asimismo, promoverán la integración en sus planes </w:t>
      </w:r>
      <w:r w:rsidRPr="00743CF7">
        <w:rPr>
          <w:rFonts w:ascii="Abadi" w:hAnsi="Abadi" w:cs="*Calibri-12168-Identity-H"/>
          <w:color w:val="2A2A2A"/>
          <w:sz w:val="21"/>
          <w:szCs w:val="21"/>
        </w:rPr>
        <w:t xml:space="preserve">y </w:t>
      </w:r>
      <w:r w:rsidRPr="00743CF7">
        <w:rPr>
          <w:rFonts w:ascii="Abadi" w:hAnsi="Abadi" w:cs="*Microsoft Sans Serif-12171-Ide"/>
          <w:color w:val="2A2A2A"/>
          <w:sz w:val="21"/>
          <w:szCs w:val="21"/>
        </w:rPr>
        <w:t>programas de estudio de los contenidos</w:t>
      </w:r>
      <w:r>
        <w:rPr>
          <w:rFonts w:ascii="Abadi" w:hAnsi="Abadi" w:cs="*Microsoft Sans Serif-12171-Ide"/>
          <w:color w:val="2A2A2A"/>
          <w:sz w:val="21"/>
          <w:szCs w:val="21"/>
        </w:rPr>
        <w:t xml:space="preserve"> </w:t>
      </w:r>
      <w:r w:rsidRPr="00743CF7">
        <w:rPr>
          <w:rFonts w:ascii="Abadi" w:hAnsi="Abadi" w:cs="*Microsoft Sans Serif-12171-Ide"/>
          <w:color w:val="2A2A2A"/>
          <w:sz w:val="21"/>
          <w:szCs w:val="21"/>
        </w:rPr>
        <w:t>necesarios para que las y los estudiantes adquieran los conocimientos, técnicas y destrezas sobre tecnología digital y plataformas digitales con información de acceso abierto.</w:t>
      </w:r>
    </w:p>
    <w:p w14:paraId="6A6F4F63" w14:textId="77777777" w:rsidR="00366FFB" w:rsidRPr="00743CF7" w:rsidRDefault="00366FFB" w:rsidP="00366FFB">
      <w:pPr>
        <w:autoSpaceDE w:val="0"/>
        <w:autoSpaceDN w:val="0"/>
        <w:adjustRightInd w:val="0"/>
        <w:jc w:val="both"/>
        <w:rPr>
          <w:rFonts w:ascii="Abadi" w:hAnsi="Abadi" w:cs="*Calibri-BoldItalic-12169-Ident"/>
          <w:b/>
          <w:bCs/>
          <w:i/>
          <w:iCs/>
          <w:color w:val="0F0F0F"/>
          <w:sz w:val="21"/>
          <w:szCs w:val="21"/>
        </w:rPr>
      </w:pPr>
    </w:p>
    <w:p w14:paraId="4B458C17" w14:textId="77777777" w:rsidR="00366FFB" w:rsidRPr="00743CF7" w:rsidRDefault="00366FFB" w:rsidP="00162574">
      <w:pPr>
        <w:autoSpaceDE w:val="0"/>
        <w:autoSpaceDN w:val="0"/>
        <w:adjustRightInd w:val="0"/>
        <w:jc w:val="both"/>
        <w:rPr>
          <w:rFonts w:ascii="Abadi" w:hAnsi="Abadi" w:cs="*Calibri-BoldItalic-12169-Ident"/>
          <w:b/>
          <w:bCs/>
          <w:i/>
          <w:iCs/>
          <w:color w:val="0F0F0F"/>
          <w:sz w:val="21"/>
          <w:szCs w:val="21"/>
        </w:rPr>
      </w:pPr>
      <w:r w:rsidRPr="00743CF7">
        <w:rPr>
          <w:rFonts w:ascii="Abadi" w:hAnsi="Abadi" w:cs="*Calibri-BoldItalic-12169-Ident"/>
          <w:b/>
          <w:bCs/>
          <w:i/>
          <w:iCs/>
          <w:color w:val="0F0F0F"/>
          <w:sz w:val="21"/>
          <w:szCs w:val="21"/>
        </w:rPr>
        <w:t>Acciones para el fomento del aprendizaje digital</w:t>
      </w:r>
    </w:p>
    <w:p w14:paraId="461C2340" w14:textId="77777777" w:rsidR="00366FFB" w:rsidRPr="00743CF7" w:rsidRDefault="00366FFB" w:rsidP="00366FFB">
      <w:pPr>
        <w:autoSpaceDE w:val="0"/>
        <w:autoSpaceDN w:val="0"/>
        <w:adjustRightInd w:val="0"/>
        <w:ind w:firstLine="708"/>
        <w:jc w:val="both"/>
        <w:rPr>
          <w:rFonts w:ascii="Abadi" w:hAnsi="Abadi" w:cs="*Microsoft Sans Serif-12171-Ide"/>
          <w:color w:val="2A2A2A"/>
          <w:sz w:val="21"/>
          <w:szCs w:val="21"/>
        </w:rPr>
      </w:pPr>
      <w:r w:rsidRPr="00743CF7">
        <w:rPr>
          <w:rFonts w:ascii="Abadi" w:hAnsi="Abadi" w:cs="*Arial-Bold-12170-Identity-H"/>
          <w:b/>
          <w:bCs/>
          <w:color w:val="2A2A2A"/>
          <w:sz w:val="21"/>
          <w:szCs w:val="21"/>
        </w:rPr>
        <w:t xml:space="preserve">Artículo 67. </w:t>
      </w:r>
      <w:r w:rsidRPr="00743CF7">
        <w:rPr>
          <w:rFonts w:ascii="Abadi" w:hAnsi="Abadi" w:cs="*Microsoft Sans Serif-12171-Ide"/>
          <w:color w:val="2A2A2A"/>
          <w:sz w:val="21"/>
          <w:szCs w:val="21"/>
        </w:rPr>
        <w:t xml:space="preserve">Para fomentar el aprendizaje, el conocimiento, las competencias formativas </w:t>
      </w:r>
      <w:r w:rsidRPr="00743CF7">
        <w:rPr>
          <w:rFonts w:ascii="Abadi" w:hAnsi="Abadi" w:cs="*Calibri-12168-Identity-H"/>
          <w:color w:val="2A2A2A"/>
          <w:sz w:val="21"/>
          <w:szCs w:val="21"/>
        </w:rPr>
        <w:t xml:space="preserve">y </w:t>
      </w:r>
      <w:r w:rsidRPr="00743CF7">
        <w:rPr>
          <w:rFonts w:ascii="Abadi" w:hAnsi="Abadi" w:cs="*Microsoft Sans Serif-12171-Ide"/>
          <w:color w:val="2A2A2A"/>
          <w:sz w:val="21"/>
          <w:szCs w:val="21"/>
        </w:rPr>
        <w:t>las habilidades digitales, las instituciones de educación superior, en el ámbito de sus respectivas competencias, desarrollarán estrategias transversales y las siguientes acciones:</w:t>
      </w:r>
    </w:p>
    <w:p w14:paraId="4081205F" w14:textId="77777777" w:rsidR="00366FFB" w:rsidRPr="00743CF7" w:rsidRDefault="00366FFB" w:rsidP="00366FFB">
      <w:pPr>
        <w:autoSpaceDE w:val="0"/>
        <w:autoSpaceDN w:val="0"/>
        <w:adjustRightInd w:val="0"/>
        <w:jc w:val="both"/>
        <w:rPr>
          <w:rFonts w:ascii="Abadi" w:hAnsi="Abadi" w:cs="*Microsoft Sans Serif-12171-Ide"/>
          <w:color w:val="2A2A2A"/>
          <w:sz w:val="21"/>
          <w:szCs w:val="21"/>
        </w:rPr>
      </w:pPr>
    </w:p>
    <w:p w14:paraId="34C3B959" w14:textId="53641EAF" w:rsidR="00366FFB" w:rsidRPr="007E6DF3" w:rsidRDefault="00366FFB" w:rsidP="005C6EBB">
      <w:pPr>
        <w:pStyle w:val="Prrafodelista"/>
        <w:numPr>
          <w:ilvl w:val="0"/>
          <w:numId w:val="32"/>
        </w:numPr>
        <w:autoSpaceDE w:val="0"/>
        <w:autoSpaceDN w:val="0"/>
        <w:adjustRightInd w:val="0"/>
        <w:contextualSpacing/>
        <w:jc w:val="both"/>
        <w:rPr>
          <w:rFonts w:ascii="Abadi" w:hAnsi="Abadi" w:cs="*Microsoft Sans Serif-12171-Ide"/>
          <w:color w:val="2B2B2B"/>
          <w:sz w:val="21"/>
          <w:szCs w:val="21"/>
        </w:rPr>
      </w:pPr>
      <w:r w:rsidRPr="007E6DF3">
        <w:rPr>
          <w:rFonts w:ascii="Abadi" w:hAnsi="Abadi" w:cs="*Microsoft Sans Serif-12171-Ide"/>
          <w:color w:val="2B2B2B"/>
          <w:sz w:val="21"/>
          <w:szCs w:val="21"/>
        </w:rPr>
        <w:t>Priorizar la conversión a las tecnologías de la información, comunicación, conocimiento y aprendizaje digital;</w:t>
      </w:r>
    </w:p>
    <w:p w14:paraId="53AA6731" w14:textId="77777777" w:rsidR="00366FFB" w:rsidRPr="00743CF7" w:rsidRDefault="00366FFB" w:rsidP="00366FFB">
      <w:pPr>
        <w:autoSpaceDE w:val="0"/>
        <w:autoSpaceDN w:val="0"/>
        <w:adjustRightInd w:val="0"/>
        <w:jc w:val="both"/>
        <w:rPr>
          <w:rFonts w:ascii="Abadi" w:hAnsi="Abadi" w:cs="*Microsoft Sans Serif-12171-Ide"/>
          <w:color w:val="2B2B2B"/>
          <w:sz w:val="21"/>
          <w:szCs w:val="21"/>
        </w:rPr>
      </w:pPr>
    </w:p>
    <w:p w14:paraId="4B45B72A" w14:textId="77777777" w:rsidR="00366FFB" w:rsidRPr="007E6DF3" w:rsidRDefault="00366FFB" w:rsidP="005C6EBB">
      <w:pPr>
        <w:pStyle w:val="Prrafodelista"/>
        <w:numPr>
          <w:ilvl w:val="0"/>
          <w:numId w:val="32"/>
        </w:numPr>
        <w:autoSpaceDE w:val="0"/>
        <w:autoSpaceDN w:val="0"/>
        <w:adjustRightInd w:val="0"/>
        <w:contextualSpacing/>
        <w:jc w:val="both"/>
        <w:rPr>
          <w:rFonts w:ascii="Abadi" w:hAnsi="Abadi" w:cs="*Microsoft Sans Serif-12171-Ide"/>
          <w:color w:val="2A2A2A"/>
          <w:sz w:val="21"/>
          <w:szCs w:val="21"/>
        </w:rPr>
      </w:pPr>
      <w:r w:rsidRPr="007E6DF3">
        <w:rPr>
          <w:rFonts w:ascii="Abadi" w:hAnsi="Abadi" w:cs="*Microsoft Sans Serif-12171-Ide"/>
          <w:color w:val="2A2A2A"/>
          <w:sz w:val="21"/>
          <w:szCs w:val="21"/>
        </w:rPr>
        <w:t xml:space="preserve">Implementar las opciones educativas con la utilización de las tecnologías de la información, comunicación, conocimiento </w:t>
      </w:r>
      <w:r w:rsidRPr="007E6DF3">
        <w:rPr>
          <w:rFonts w:ascii="Abadi" w:hAnsi="Abadi" w:cs="*Calibri-12168-Identity-H"/>
          <w:color w:val="2A2A2A"/>
          <w:sz w:val="21"/>
          <w:szCs w:val="21"/>
        </w:rPr>
        <w:t xml:space="preserve">y </w:t>
      </w:r>
      <w:r w:rsidRPr="007E6DF3">
        <w:rPr>
          <w:rFonts w:ascii="Abadi" w:hAnsi="Abadi" w:cs="*Microsoft Sans Serif-12171-Ide"/>
          <w:color w:val="2A2A2A"/>
          <w:sz w:val="21"/>
          <w:szCs w:val="21"/>
        </w:rPr>
        <w:t xml:space="preserve">aprendizaje digital; </w:t>
      </w:r>
    </w:p>
    <w:p w14:paraId="4C90A378" w14:textId="77777777" w:rsidR="00366FFB" w:rsidRPr="00743CF7" w:rsidRDefault="00366FFB" w:rsidP="00366FFB">
      <w:pPr>
        <w:autoSpaceDE w:val="0"/>
        <w:autoSpaceDN w:val="0"/>
        <w:adjustRightInd w:val="0"/>
        <w:jc w:val="both"/>
        <w:rPr>
          <w:rFonts w:ascii="Abadi" w:hAnsi="Abadi" w:cs="*Microsoft Sans Serif-12171-Ide"/>
          <w:color w:val="2A2A2A"/>
          <w:sz w:val="21"/>
          <w:szCs w:val="21"/>
        </w:rPr>
      </w:pPr>
    </w:p>
    <w:p w14:paraId="63DC0AEF" w14:textId="77777777" w:rsidR="00366FFB" w:rsidRPr="007E6DF3" w:rsidRDefault="00366FFB" w:rsidP="005C6EBB">
      <w:pPr>
        <w:pStyle w:val="Prrafodelista"/>
        <w:numPr>
          <w:ilvl w:val="0"/>
          <w:numId w:val="32"/>
        </w:numPr>
        <w:autoSpaceDE w:val="0"/>
        <w:autoSpaceDN w:val="0"/>
        <w:adjustRightInd w:val="0"/>
        <w:contextualSpacing/>
        <w:jc w:val="both"/>
        <w:rPr>
          <w:rFonts w:ascii="Abadi" w:hAnsi="Abadi" w:cs="*Microsoft Sans Serif-12171-Ide"/>
          <w:color w:val="2B2B2B"/>
          <w:sz w:val="21"/>
          <w:szCs w:val="21"/>
        </w:rPr>
      </w:pPr>
      <w:r w:rsidRPr="007E6DF3">
        <w:rPr>
          <w:rFonts w:ascii="Abadi" w:hAnsi="Abadi" w:cs="*Microsoft Sans Serif-12171-Ide"/>
          <w:color w:val="2B2B2B"/>
          <w:sz w:val="21"/>
          <w:szCs w:val="21"/>
        </w:rPr>
        <w:t>Contar con tecnología accesible paro la realización de las funciones de docencia; y</w:t>
      </w:r>
    </w:p>
    <w:p w14:paraId="0B9C5296" w14:textId="77777777" w:rsidR="00366FFB" w:rsidRPr="00743CF7" w:rsidRDefault="00366FFB" w:rsidP="00366FFB">
      <w:pPr>
        <w:autoSpaceDE w:val="0"/>
        <w:autoSpaceDN w:val="0"/>
        <w:adjustRightInd w:val="0"/>
        <w:jc w:val="both"/>
        <w:rPr>
          <w:rFonts w:ascii="Abadi" w:hAnsi="Abadi" w:cs="*Microsoft Sans Serif-12171-Ide"/>
          <w:color w:val="2B2B2B"/>
          <w:sz w:val="21"/>
          <w:szCs w:val="21"/>
        </w:rPr>
      </w:pPr>
    </w:p>
    <w:p w14:paraId="0718FD37" w14:textId="77777777" w:rsidR="00366FFB" w:rsidRPr="007E6DF3" w:rsidRDefault="00366FFB" w:rsidP="005C6EBB">
      <w:pPr>
        <w:pStyle w:val="Prrafodelista"/>
        <w:numPr>
          <w:ilvl w:val="0"/>
          <w:numId w:val="32"/>
        </w:numPr>
        <w:autoSpaceDE w:val="0"/>
        <w:autoSpaceDN w:val="0"/>
        <w:adjustRightInd w:val="0"/>
        <w:contextualSpacing/>
        <w:jc w:val="both"/>
        <w:rPr>
          <w:rFonts w:ascii="Abadi" w:hAnsi="Abadi" w:cs="*Microsoft Sans Serif-12171-Ide"/>
          <w:color w:val="292929"/>
          <w:sz w:val="21"/>
          <w:szCs w:val="21"/>
        </w:rPr>
      </w:pPr>
      <w:r w:rsidRPr="007E6DF3">
        <w:rPr>
          <w:rFonts w:ascii="Abadi" w:hAnsi="Abadi" w:cs="*Microsoft Sans Serif-12171-Ide"/>
          <w:color w:val="292929"/>
          <w:sz w:val="21"/>
          <w:szCs w:val="21"/>
        </w:rPr>
        <w:t>Aplicar la Agenda Digital Educativo, - en términos de la Ley de Educación</w:t>
      </w:r>
      <w:r>
        <w:rPr>
          <w:rFonts w:ascii="Abadi" w:hAnsi="Abadi" w:cs="*Microsoft Sans Serif-12171-Ide"/>
          <w:color w:val="292929"/>
          <w:sz w:val="21"/>
          <w:szCs w:val="21"/>
        </w:rPr>
        <w:t xml:space="preserve"> </w:t>
      </w:r>
      <w:r w:rsidRPr="007E6DF3">
        <w:rPr>
          <w:rFonts w:ascii="Abadi" w:hAnsi="Abadi" w:cs="*Microsoft Sans Serif-12171-Ide"/>
          <w:color w:val="292929"/>
          <w:sz w:val="21"/>
          <w:szCs w:val="21"/>
        </w:rPr>
        <w:t>para el Estado de Guanajuato.</w:t>
      </w:r>
    </w:p>
    <w:p w14:paraId="64B6EDB6" w14:textId="77777777" w:rsidR="00366FFB" w:rsidRPr="00743CF7" w:rsidRDefault="00366FFB" w:rsidP="00366FFB">
      <w:pPr>
        <w:jc w:val="both"/>
        <w:rPr>
          <w:rFonts w:ascii="Abadi" w:hAnsi="Abadi" w:cs="*Microsoft Sans Serif-12171-Ide"/>
          <w:color w:val="292929"/>
          <w:sz w:val="21"/>
          <w:szCs w:val="21"/>
        </w:rPr>
      </w:pPr>
    </w:p>
    <w:p w14:paraId="58CA4AF0" w14:textId="77777777" w:rsidR="00366FFB" w:rsidRPr="00743CF7" w:rsidRDefault="00366FFB" w:rsidP="00366FFB">
      <w:pPr>
        <w:autoSpaceDE w:val="0"/>
        <w:autoSpaceDN w:val="0"/>
        <w:adjustRightInd w:val="0"/>
        <w:jc w:val="center"/>
        <w:rPr>
          <w:rFonts w:ascii="Abadi" w:hAnsi="Abadi" w:cs="*Arial-Bold-11653-Identity-H"/>
          <w:b/>
          <w:bCs/>
          <w:color w:val="0D0D0D"/>
          <w:sz w:val="21"/>
          <w:szCs w:val="21"/>
        </w:rPr>
      </w:pPr>
      <w:r w:rsidRPr="00743CF7">
        <w:rPr>
          <w:rFonts w:ascii="Abadi" w:hAnsi="Abadi" w:cs="*Arial-Bold-11653-Identity-H"/>
          <w:b/>
          <w:bCs/>
          <w:color w:val="0D0D0D"/>
          <w:sz w:val="21"/>
          <w:szCs w:val="21"/>
        </w:rPr>
        <w:t>Capítulo II</w:t>
      </w:r>
    </w:p>
    <w:p w14:paraId="63A9C1A3" w14:textId="77777777" w:rsidR="00366FFB" w:rsidRPr="00743CF7" w:rsidRDefault="00366FFB" w:rsidP="00366FFB">
      <w:pPr>
        <w:autoSpaceDE w:val="0"/>
        <w:autoSpaceDN w:val="0"/>
        <w:adjustRightInd w:val="0"/>
        <w:jc w:val="center"/>
        <w:rPr>
          <w:rFonts w:ascii="Abadi" w:hAnsi="Abadi" w:cs="*Arial-Bold-11653-Identity-H"/>
          <w:b/>
          <w:bCs/>
          <w:color w:val="111111"/>
          <w:sz w:val="21"/>
          <w:szCs w:val="21"/>
        </w:rPr>
      </w:pPr>
      <w:r w:rsidRPr="00743CF7">
        <w:rPr>
          <w:rFonts w:ascii="Abadi" w:hAnsi="Abadi" w:cs="*Arial-Bold-11653-Identity-H"/>
          <w:b/>
          <w:bCs/>
          <w:color w:val="111111"/>
          <w:sz w:val="21"/>
          <w:szCs w:val="21"/>
        </w:rPr>
        <w:t>Del impulso a la ciencia, tecnología e Innovación</w:t>
      </w:r>
    </w:p>
    <w:p w14:paraId="02766C00" w14:textId="77777777" w:rsidR="00366FFB" w:rsidRDefault="00366FFB" w:rsidP="00366FFB">
      <w:pPr>
        <w:autoSpaceDE w:val="0"/>
        <w:autoSpaceDN w:val="0"/>
        <w:adjustRightInd w:val="0"/>
        <w:jc w:val="center"/>
        <w:rPr>
          <w:rFonts w:ascii="Abadi" w:hAnsi="Abadi" w:cs="*Calibri-BoldItalic-11652-Ident"/>
          <w:b/>
          <w:bCs/>
          <w:i/>
          <w:iCs/>
          <w:color w:val="101010"/>
          <w:sz w:val="21"/>
          <w:szCs w:val="21"/>
        </w:rPr>
      </w:pPr>
    </w:p>
    <w:p w14:paraId="1419F10D" w14:textId="77777777" w:rsidR="00366FFB" w:rsidRPr="00743CF7" w:rsidRDefault="00366FFB" w:rsidP="00366FFB">
      <w:pPr>
        <w:autoSpaceDE w:val="0"/>
        <w:autoSpaceDN w:val="0"/>
        <w:adjustRightInd w:val="0"/>
        <w:jc w:val="center"/>
        <w:rPr>
          <w:rFonts w:ascii="Abadi" w:hAnsi="Abadi" w:cs="*Calibri-BoldItalic-11652-Ident"/>
          <w:b/>
          <w:bCs/>
          <w:i/>
          <w:iCs/>
          <w:color w:val="101010"/>
          <w:sz w:val="21"/>
          <w:szCs w:val="21"/>
        </w:rPr>
      </w:pPr>
      <w:r w:rsidRPr="00743CF7">
        <w:rPr>
          <w:rFonts w:ascii="Abadi" w:hAnsi="Abadi" w:cs="*Calibri-BoldItalic-11652-Ident"/>
          <w:b/>
          <w:bCs/>
          <w:i/>
          <w:iCs/>
          <w:color w:val="101010"/>
          <w:sz w:val="21"/>
          <w:szCs w:val="21"/>
        </w:rPr>
        <w:t>Participación en actividades de enseñanza, tutoría,</w:t>
      </w:r>
    </w:p>
    <w:p w14:paraId="42414A47" w14:textId="77777777" w:rsidR="00366FFB" w:rsidRPr="00743CF7" w:rsidRDefault="00366FFB" w:rsidP="00366FFB">
      <w:pPr>
        <w:autoSpaceDE w:val="0"/>
        <w:autoSpaceDN w:val="0"/>
        <w:adjustRightInd w:val="0"/>
        <w:jc w:val="center"/>
        <w:rPr>
          <w:rFonts w:ascii="Abadi" w:hAnsi="Abadi" w:cs="*Calibri-BoldItalic-11652-Ident"/>
          <w:b/>
          <w:bCs/>
          <w:i/>
          <w:iCs/>
          <w:color w:val="101010"/>
          <w:sz w:val="21"/>
          <w:szCs w:val="21"/>
        </w:rPr>
      </w:pPr>
      <w:r w:rsidRPr="00743CF7">
        <w:rPr>
          <w:rFonts w:ascii="Abadi" w:hAnsi="Abadi" w:cs="*Calibri-BoldItalic-11652-Ident"/>
          <w:b/>
          <w:bCs/>
          <w:i/>
          <w:iCs/>
          <w:color w:val="101010"/>
          <w:sz w:val="21"/>
          <w:szCs w:val="21"/>
        </w:rPr>
        <w:t>Investigación y aplicación innovadora</w:t>
      </w:r>
    </w:p>
    <w:p w14:paraId="5DCB6C5E" w14:textId="77777777" w:rsidR="00366FFB" w:rsidRPr="00743CF7" w:rsidRDefault="00366FFB" w:rsidP="00366FFB">
      <w:pPr>
        <w:autoSpaceDE w:val="0"/>
        <w:autoSpaceDN w:val="0"/>
        <w:adjustRightInd w:val="0"/>
        <w:jc w:val="both"/>
        <w:rPr>
          <w:rFonts w:ascii="Abadi" w:hAnsi="Abadi" w:cs="*Calibri-BoldItalic-11652-Ident"/>
          <w:b/>
          <w:bCs/>
          <w:i/>
          <w:iCs/>
          <w:color w:val="101010"/>
          <w:sz w:val="21"/>
          <w:szCs w:val="21"/>
        </w:rPr>
      </w:pPr>
    </w:p>
    <w:p w14:paraId="60094589" w14:textId="77777777" w:rsidR="00366FFB" w:rsidRPr="00743CF7" w:rsidRDefault="00366FFB" w:rsidP="00366FFB">
      <w:pPr>
        <w:autoSpaceDE w:val="0"/>
        <w:autoSpaceDN w:val="0"/>
        <w:adjustRightInd w:val="0"/>
        <w:ind w:firstLine="708"/>
        <w:jc w:val="both"/>
        <w:rPr>
          <w:rFonts w:ascii="Abadi" w:hAnsi="Abadi" w:cs="*Microsoft Sans Serif-11655-Ide"/>
          <w:color w:val="292929"/>
          <w:sz w:val="21"/>
          <w:szCs w:val="21"/>
        </w:rPr>
      </w:pPr>
      <w:r w:rsidRPr="00743CF7">
        <w:rPr>
          <w:rFonts w:ascii="Abadi" w:hAnsi="Abadi" w:cs="*Comic Sans MS-Bold-11654-Ident"/>
          <w:b/>
          <w:bCs/>
          <w:color w:val="292929"/>
          <w:sz w:val="21"/>
          <w:szCs w:val="21"/>
        </w:rPr>
        <w:t xml:space="preserve">Artículo 68. </w:t>
      </w:r>
      <w:r w:rsidRPr="00743CF7">
        <w:rPr>
          <w:rFonts w:ascii="Abadi" w:hAnsi="Abadi" w:cs="*Microsoft Sans Serif-11655-Ide"/>
          <w:color w:val="292929"/>
          <w:sz w:val="21"/>
          <w:szCs w:val="21"/>
        </w:rPr>
        <w:t>Las instituciones de educación superior promoverán, a través de sus ordenamientos internos, que sus docentes e investigadores participen en actividades de enseñanza, tutoría, investigación y aplicación innovadora del conocimiento. El Estado apoyará la difusión e investigación científica, humanística y tecnológica que contribuya a la formación de investigadores y profesionistas altamente calificados.</w:t>
      </w:r>
    </w:p>
    <w:p w14:paraId="5EBD8E7B" w14:textId="77777777" w:rsidR="00366FFB" w:rsidRPr="00743CF7" w:rsidRDefault="00366FFB" w:rsidP="00366FFB">
      <w:pPr>
        <w:autoSpaceDE w:val="0"/>
        <w:autoSpaceDN w:val="0"/>
        <w:adjustRightInd w:val="0"/>
        <w:jc w:val="both"/>
        <w:rPr>
          <w:rFonts w:ascii="Abadi" w:hAnsi="Abadi" w:cs="*Microsoft Sans Serif-11655-Ide"/>
          <w:color w:val="292929"/>
          <w:sz w:val="21"/>
          <w:szCs w:val="21"/>
        </w:rPr>
      </w:pPr>
    </w:p>
    <w:p w14:paraId="290FEC3C" w14:textId="77777777" w:rsidR="00366FFB" w:rsidRPr="00743CF7" w:rsidRDefault="00366FFB" w:rsidP="00366FFB">
      <w:pPr>
        <w:autoSpaceDE w:val="0"/>
        <w:autoSpaceDN w:val="0"/>
        <w:adjustRightInd w:val="0"/>
        <w:jc w:val="right"/>
        <w:rPr>
          <w:rFonts w:ascii="Abadi" w:hAnsi="Abadi" w:cs="*Calibri-BoldItalic-11652-Ident"/>
          <w:b/>
          <w:bCs/>
          <w:i/>
          <w:iCs/>
          <w:color w:val="121212"/>
          <w:sz w:val="21"/>
          <w:szCs w:val="21"/>
        </w:rPr>
      </w:pPr>
      <w:r w:rsidRPr="00743CF7">
        <w:rPr>
          <w:rFonts w:ascii="Abadi" w:hAnsi="Abadi" w:cs="*Calibri-BoldItalic-11652-Ident"/>
          <w:b/>
          <w:bCs/>
          <w:i/>
          <w:iCs/>
          <w:color w:val="121212"/>
          <w:sz w:val="21"/>
          <w:szCs w:val="21"/>
        </w:rPr>
        <w:t>Políticas de educación superior en materia</w:t>
      </w:r>
    </w:p>
    <w:p w14:paraId="62E694AF" w14:textId="77777777" w:rsidR="00366FFB" w:rsidRPr="00743CF7" w:rsidRDefault="00366FFB" w:rsidP="00366FFB">
      <w:pPr>
        <w:autoSpaceDE w:val="0"/>
        <w:autoSpaceDN w:val="0"/>
        <w:adjustRightInd w:val="0"/>
        <w:jc w:val="right"/>
        <w:rPr>
          <w:rFonts w:ascii="Abadi" w:hAnsi="Abadi" w:cs="*Calibri-BoldItalic-11652-Ident"/>
          <w:b/>
          <w:bCs/>
          <w:i/>
          <w:iCs/>
          <w:color w:val="121212"/>
          <w:sz w:val="21"/>
          <w:szCs w:val="21"/>
        </w:rPr>
      </w:pPr>
      <w:r w:rsidRPr="00743CF7">
        <w:rPr>
          <w:rFonts w:ascii="Abadi" w:hAnsi="Abadi" w:cs="*Calibri-BoldItalic-11652-Ident"/>
          <w:b/>
          <w:bCs/>
          <w:i/>
          <w:iCs/>
          <w:color w:val="121212"/>
          <w:sz w:val="21"/>
          <w:szCs w:val="21"/>
        </w:rPr>
        <w:t>de ciencias, humanidades y tecnología e innovación</w:t>
      </w:r>
    </w:p>
    <w:p w14:paraId="42E2E414" w14:textId="77777777" w:rsidR="00366FFB" w:rsidRPr="00743CF7" w:rsidRDefault="00366FFB" w:rsidP="00366FFB">
      <w:pPr>
        <w:autoSpaceDE w:val="0"/>
        <w:autoSpaceDN w:val="0"/>
        <w:adjustRightInd w:val="0"/>
        <w:jc w:val="both"/>
        <w:rPr>
          <w:rFonts w:ascii="Abadi" w:hAnsi="Abadi" w:cs="*Comic Sans MS-Bold-11654-Ident"/>
          <w:b/>
          <w:bCs/>
          <w:color w:val="282828"/>
          <w:sz w:val="21"/>
          <w:szCs w:val="21"/>
        </w:rPr>
      </w:pPr>
    </w:p>
    <w:p w14:paraId="15549954" w14:textId="77777777" w:rsidR="00366FFB" w:rsidRPr="00743CF7" w:rsidRDefault="00366FFB" w:rsidP="00366FFB">
      <w:pPr>
        <w:autoSpaceDE w:val="0"/>
        <w:autoSpaceDN w:val="0"/>
        <w:adjustRightInd w:val="0"/>
        <w:ind w:firstLine="708"/>
        <w:jc w:val="both"/>
        <w:rPr>
          <w:rFonts w:ascii="Abadi" w:hAnsi="Abadi" w:cs="*Microsoft Sans Serif-11655-Ide"/>
          <w:color w:val="282828"/>
          <w:sz w:val="21"/>
          <w:szCs w:val="21"/>
        </w:rPr>
      </w:pPr>
      <w:r w:rsidRPr="00743CF7">
        <w:rPr>
          <w:rFonts w:ascii="Abadi" w:hAnsi="Abadi" w:cs="*Comic Sans MS-Bold-11654-Ident"/>
          <w:b/>
          <w:bCs/>
          <w:color w:val="282828"/>
          <w:sz w:val="21"/>
          <w:szCs w:val="21"/>
        </w:rPr>
        <w:t xml:space="preserve">Artículo 69. </w:t>
      </w:r>
      <w:r w:rsidRPr="00743CF7">
        <w:rPr>
          <w:rFonts w:ascii="Abadi" w:hAnsi="Abadi" w:cs="*Microsoft Sans Serif-11655-Ide"/>
          <w:color w:val="282828"/>
          <w:sz w:val="21"/>
          <w:szCs w:val="21"/>
        </w:rPr>
        <w:t>Las políticas de educación superior en materia de ciencia, humanidades, tecnología e innovación establecerán los procedimientos para la coordinación y complementariedad de programas, proyectos y recursos económicos.</w:t>
      </w:r>
    </w:p>
    <w:p w14:paraId="698AD89F" w14:textId="77777777" w:rsidR="00366FFB" w:rsidRPr="00743CF7" w:rsidRDefault="00366FFB" w:rsidP="00366FFB">
      <w:pPr>
        <w:autoSpaceDE w:val="0"/>
        <w:autoSpaceDN w:val="0"/>
        <w:adjustRightInd w:val="0"/>
        <w:jc w:val="both"/>
        <w:rPr>
          <w:rFonts w:ascii="Abadi" w:hAnsi="Abadi" w:cs="*Microsoft Sans Serif-11655-Ide"/>
          <w:color w:val="282828"/>
          <w:sz w:val="21"/>
          <w:szCs w:val="21"/>
        </w:rPr>
      </w:pPr>
    </w:p>
    <w:p w14:paraId="0EA532F1" w14:textId="0D0CF039" w:rsidR="00366FFB" w:rsidRPr="00743CF7" w:rsidRDefault="00366FFB" w:rsidP="00366FFB">
      <w:pPr>
        <w:autoSpaceDE w:val="0"/>
        <w:autoSpaceDN w:val="0"/>
        <w:adjustRightInd w:val="0"/>
        <w:jc w:val="both"/>
        <w:rPr>
          <w:rFonts w:ascii="Abadi" w:hAnsi="Abadi" w:cs="*Microsoft Sans Serif-11655-Ide"/>
          <w:color w:val="292929"/>
          <w:sz w:val="21"/>
          <w:szCs w:val="21"/>
        </w:rPr>
      </w:pPr>
      <w:r w:rsidRPr="00743CF7">
        <w:rPr>
          <w:rFonts w:ascii="Abadi" w:hAnsi="Abadi" w:cs="*Microsoft Sans Serif-11655-Ide"/>
          <w:color w:val="292929"/>
          <w:sz w:val="21"/>
          <w:szCs w:val="21"/>
        </w:rPr>
        <w:t xml:space="preserve">Para lograr ese propósito, las </w:t>
      </w:r>
      <w:r w:rsidR="00162574" w:rsidRPr="00743CF7">
        <w:rPr>
          <w:rFonts w:ascii="Abadi" w:hAnsi="Abadi" w:cs="*Microsoft Sans Serif-11655-Ide"/>
          <w:color w:val="292929"/>
          <w:sz w:val="21"/>
          <w:szCs w:val="21"/>
        </w:rPr>
        <w:t>autoridades educativas</w:t>
      </w:r>
      <w:r w:rsidRPr="00743CF7">
        <w:rPr>
          <w:rFonts w:ascii="Abadi" w:hAnsi="Abadi" w:cs="*Microsoft Sans Serif-11655-Ide"/>
          <w:color w:val="292929"/>
          <w:sz w:val="21"/>
          <w:szCs w:val="21"/>
        </w:rPr>
        <w:t xml:space="preserve"> y las instituciones de educación superior, además de lo establecido en </w:t>
      </w:r>
      <w:r w:rsidR="00162574" w:rsidRPr="00743CF7">
        <w:rPr>
          <w:rFonts w:ascii="Abadi" w:hAnsi="Abadi" w:cs="*Microsoft Sans Serif-11655-Ide"/>
          <w:color w:val="292929"/>
          <w:sz w:val="21"/>
          <w:szCs w:val="21"/>
        </w:rPr>
        <w:t>otras disposiciones legales</w:t>
      </w:r>
      <w:r w:rsidRPr="00743CF7">
        <w:rPr>
          <w:rFonts w:ascii="Abadi" w:hAnsi="Abadi" w:cs="*Microsoft Sans Serif-11655-Ide"/>
          <w:color w:val="292929"/>
          <w:sz w:val="21"/>
          <w:szCs w:val="21"/>
        </w:rPr>
        <w:t>, atenderán lo siguiente:</w:t>
      </w:r>
    </w:p>
    <w:p w14:paraId="729FFF98" w14:textId="77777777" w:rsidR="00366FFB" w:rsidRDefault="00366FFB" w:rsidP="00366FFB">
      <w:pPr>
        <w:autoSpaceDE w:val="0"/>
        <w:autoSpaceDN w:val="0"/>
        <w:adjustRightInd w:val="0"/>
        <w:jc w:val="both"/>
        <w:rPr>
          <w:rFonts w:ascii="Abadi" w:hAnsi="Abadi" w:cs="*Microsoft Sans Serif-11655-Ide"/>
          <w:color w:val="282828"/>
          <w:sz w:val="21"/>
          <w:szCs w:val="21"/>
        </w:rPr>
      </w:pPr>
    </w:p>
    <w:p w14:paraId="7F1D6553" w14:textId="77777777" w:rsidR="00366FFB" w:rsidRPr="007E6DF3" w:rsidRDefault="00366FFB" w:rsidP="005C6EBB">
      <w:pPr>
        <w:pStyle w:val="Prrafodelista"/>
        <w:numPr>
          <w:ilvl w:val="0"/>
          <w:numId w:val="33"/>
        </w:numPr>
        <w:autoSpaceDE w:val="0"/>
        <w:autoSpaceDN w:val="0"/>
        <w:adjustRightInd w:val="0"/>
        <w:contextualSpacing/>
        <w:jc w:val="both"/>
        <w:rPr>
          <w:rFonts w:ascii="Abadi" w:hAnsi="Abadi" w:cs="*Microsoft Sans Serif-11655-Ide"/>
          <w:color w:val="282828"/>
          <w:sz w:val="21"/>
          <w:szCs w:val="21"/>
        </w:rPr>
      </w:pPr>
      <w:r w:rsidRPr="007E6DF3">
        <w:rPr>
          <w:rFonts w:ascii="Abadi" w:hAnsi="Abadi" w:cs="*Microsoft Sans Serif-11655-Ide"/>
          <w:color w:val="282828"/>
          <w:sz w:val="21"/>
          <w:szCs w:val="21"/>
        </w:rPr>
        <w:t>El fomento de la vocación científica; tecnológica, humanística e innovadora;</w:t>
      </w:r>
    </w:p>
    <w:p w14:paraId="25C50BC7" w14:textId="77777777" w:rsidR="00366FFB" w:rsidRPr="00743CF7" w:rsidRDefault="00366FFB" w:rsidP="00366FFB">
      <w:pPr>
        <w:autoSpaceDE w:val="0"/>
        <w:autoSpaceDN w:val="0"/>
        <w:adjustRightInd w:val="0"/>
        <w:jc w:val="both"/>
        <w:rPr>
          <w:rFonts w:ascii="Abadi" w:hAnsi="Abadi" w:cs="*Microsoft Sans Serif-11655-Ide"/>
          <w:color w:val="282828"/>
          <w:sz w:val="21"/>
          <w:szCs w:val="21"/>
        </w:rPr>
      </w:pPr>
    </w:p>
    <w:p w14:paraId="1361970E" w14:textId="77777777" w:rsidR="00366FFB" w:rsidRPr="007E6DF3" w:rsidRDefault="00366FFB" w:rsidP="005C6EBB">
      <w:pPr>
        <w:pStyle w:val="Prrafodelista"/>
        <w:numPr>
          <w:ilvl w:val="0"/>
          <w:numId w:val="33"/>
        </w:numPr>
        <w:autoSpaceDE w:val="0"/>
        <w:autoSpaceDN w:val="0"/>
        <w:adjustRightInd w:val="0"/>
        <w:contextualSpacing/>
        <w:jc w:val="both"/>
        <w:rPr>
          <w:rFonts w:ascii="Abadi" w:hAnsi="Abadi" w:cs="*Microsoft Sans Serif-11655-Ide"/>
          <w:color w:val="292929"/>
          <w:sz w:val="21"/>
          <w:szCs w:val="21"/>
        </w:rPr>
      </w:pPr>
      <w:r w:rsidRPr="007E6DF3">
        <w:rPr>
          <w:rFonts w:ascii="Abadi" w:hAnsi="Abadi" w:cs="*Microsoft Sans Serif-11655-Ide"/>
          <w:color w:val="292929"/>
          <w:sz w:val="21"/>
          <w:szCs w:val="21"/>
        </w:rPr>
        <w:t>La consolidación de los procesos de enseñanza y aprendizaje de la investigación e innovación científica, humanística y tecnológica;</w:t>
      </w:r>
    </w:p>
    <w:p w14:paraId="21ECABAF" w14:textId="77777777" w:rsidR="00366FFB" w:rsidRPr="00743CF7" w:rsidRDefault="00366FFB" w:rsidP="00366FFB">
      <w:pPr>
        <w:autoSpaceDE w:val="0"/>
        <w:autoSpaceDN w:val="0"/>
        <w:adjustRightInd w:val="0"/>
        <w:jc w:val="both"/>
        <w:rPr>
          <w:rFonts w:ascii="Abadi" w:hAnsi="Abadi" w:cs="*Microsoft Sans Serif-11655-Ide"/>
          <w:color w:val="292929"/>
          <w:sz w:val="21"/>
          <w:szCs w:val="21"/>
        </w:rPr>
      </w:pPr>
    </w:p>
    <w:p w14:paraId="0F8329E0" w14:textId="77777777" w:rsidR="00366FFB" w:rsidRPr="007E6DF3" w:rsidRDefault="00366FFB" w:rsidP="005C6EBB">
      <w:pPr>
        <w:pStyle w:val="Prrafodelista"/>
        <w:numPr>
          <w:ilvl w:val="0"/>
          <w:numId w:val="33"/>
        </w:numPr>
        <w:autoSpaceDE w:val="0"/>
        <w:autoSpaceDN w:val="0"/>
        <w:adjustRightInd w:val="0"/>
        <w:contextualSpacing/>
        <w:jc w:val="both"/>
        <w:rPr>
          <w:rFonts w:ascii="Abadi" w:hAnsi="Abadi" w:cs="*Microsoft Sans Serif-11655-Ide"/>
          <w:color w:val="292929"/>
          <w:sz w:val="21"/>
          <w:szCs w:val="21"/>
        </w:rPr>
      </w:pPr>
      <w:r w:rsidRPr="007E6DF3">
        <w:rPr>
          <w:rFonts w:ascii="Abadi" w:hAnsi="Abadi" w:cs="*Microsoft Sans Serif-11655-Ide"/>
          <w:color w:val="292929"/>
          <w:sz w:val="21"/>
          <w:szCs w:val="21"/>
        </w:rPr>
        <w:t>La formación de investigadoras e investigadores;</w:t>
      </w:r>
    </w:p>
    <w:p w14:paraId="35EA2CEC" w14:textId="77777777" w:rsidR="00366FFB" w:rsidRPr="00743CF7" w:rsidRDefault="00366FFB" w:rsidP="00366FFB">
      <w:pPr>
        <w:autoSpaceDE w:val="0"/>
        <w:autoSpaceDN w:val="0"/>
        <w:adjustRightInd w:val="0"/>
        <w:jc w:val="both"/>
        <w:rPr>
          <w:rFonts w:ascii="Abadi" w:hAnsi="Abadi" w:cs="*Microsoft Sans Serif-11655-Ide"/>
          <w:color w:val="292929"/>
          <w:sz w:val="21"/>
          <w:szCs w:val="21"/>
        </w:rPr>
      </w:pPr>
    </w:p>
    <w:p w14:paraId="73CA3C90" w14:textId="77777777" w:rsidR="00366FFB" w:rsidRPr="007E6DF3" w:rsidRDefault="00366FFB" w:rsidP="005C6EBB">
      <w:pPr>
        <w:pStyle w:val="Prrafodelista"/>
        <w:numPr>
          <w:ilvl w:val="0"/>
          <w:numId w:val="33"/>
        </w:numPr>
        <w:autoSpaceDE w:val="0"/>
        <w:autoSpaceDN w:val="0"/>
        <w:adjustRightInd w:val="0"/>
        <w:contextualSpacing/>
        <w:jc w:val="both"/>
        <w:rPr>
          <w:rFonts w:ascii="Abadi" w:hAnsi="Abadi" w:cs="*Microsoft Sans Serif-11655-Ide"/>
          <w:color w:val="2C2C2C"/>
          <w:sz w:val="21"/>
          <w:szCs w:val="21"/>
        </w:rPr>
      </w:pPr>
      <w:r w:rsidRPr="007E6DF3">
        <w:rPr>
          <w:rFonts w:ascii="Abadi" w:hAnsi="Abadi" w:cs="*Microsoft Sans Serif-11655-Ide"/>
          <w:color w:val="2C2C2C"/>
          <w:sz w:val="21"/>
          <w:szCs w:val="21"/>
        </w:rPr>
        <w:t>El fomento a la creación de infraestructura para el desarrollo de la ciencia y la innovación tecnológica;</w:t>
      </w:r>
    </w:p>
    <w:p w14:paraId="3082508E" w14:textId="77777777" w:rsidR="00366FFB" w:rsidRPr="00743CF7" w:rsidRDefault="00366FFB" w:rsidP="00366FFB">
      <w:pPr>
        <w:jc w:val="both"/>
        <w:rPr>
          <w:rFonts w:ascii="Abadi" w:hAnsi="Abadi" w:cs="*Microsoft Sans Serif-11655-Ide"/>
          <w:color w:val="2C2C2C"/>
          <w:sz w:val="21"/>
          <w:szCs w:val="21"/>
        </w:rPr>
      </w:pPr>
    </w:p>
    <w:p w14:paraId="12593553" w14:textId="77777777" w:rsidR="00366FFB" w:rsidRPr="007E6DF3" w:rsidRDefault="00366FFB" w:rsidP="005C6EBB">
      <w:pPr>
        <w:pStyle w:val="Prrafodelista"/>
        <w:numPr>
          <w:ilvl w:val="0"/>
          <w:numId w:val="33"/>
        </w:numPr>
        <w:autoSpaceDE w:val="0"/>
        <w:autoSpaceDN w:val="0"/>
        <w:adjustRightInd w:val="0"/>
        <w:contextualSpacing/>
        <w:jc w:val="both"/>
        <w:rPr>
          <w:rFonts w:ascii="Abadi" w:hAnsi="Abadi" w:cs="*Microsoft Sans Serif-10038-Ide"/>
          <w:color w:val="2C2C2C"/>
          <w:sz w:val="21"/>
          <w:szCs w:val="21"/>
        </w:rPr>
      </w:pPr>
      <w:r w:rsidRPr="007E6DF3">
        <w:rPr>
          <w:rFonts w:ascii="Abadi" w:hAnsi="Abadi" w:cs="*Microsoft Sans Serif-10038-Ide"/>
          <w:color w:val="2C2C2C"/>
          <w:sz w:val="21"/>
          <w:szCs w:val="21"/>
        </w:rPr>
        <w:t xml:space="preserve">El apoyo paro lo realización de investigación e innovación científica, humanística </w:t>
      </w:r>
      <w:r w:rsidRPr="007E6DF3">
        <w:rPr>
          <w:rFonts w:ascii="Abadi" w:hAnsi="Abadi" w:cs="*Tahoma-10040-Identity-H"/>
          <w:color w:val="2C2C2C"/>
          <w:sz w:val="21"/>
          <w:szCs w:val="21"/>
        </w:rPr>
        <w:t xml:space="preserve">y </w:t>
      </w:r>
      <w:r w:rsidRPr="007E6DF3">
        <w:rPr>
          <w:rFonts w:ascii="Abadi" w:hAnsi="Abadi" w:cs="*Microsoft Sans Serif-10038-Ide"/>
          <w:color w:val="2C2C2C"/>
          <w:sz w:val="21"/>
          <w:szCs w:val="21"/>
        </w:rPr>
        <w:t>tecnológica;</w:t>
      </w:r>
    </w:p>
    <w:p w14:paraId="035F6D8C" w14:textId="77777777" w:rsidR="00366FFB" w:rsidRPr="00743CF7" w:rsidRDefault="00366FFB" w:rsidP="00366FFB">
      <w:pPr>
        <w:autoSpaceDE w:val="0"/>
        <w:autoSpaceDN w:val="0"/>
        <w:adjustRightInd w:val="0"/>
        <w:jc w:val="both"/>
        <w:rPr>
          <w:rFonts w:ascii="Abadi" w:hAnsi="Abadi" w:cs="*Microsoft Sans Serif-10038-Ide"/>
          <w:color w:val="2C2C2C"/>
          <w:sz w:val="21"/>
          <w:szCs w:val="21"/>
        </w:rPr>
      </w:pPr>
    </w:p>
    <w:p w14:paraId="7EFA56C4" w14:textId="77777777" w:rsidR="00366FFB" w:rsidRPr="007E6DF3" w:rsidRDefault="00366FFB" w:rsidP="005C6EBB">
      <w:pPr>
        <w:pStyle w:val="Prrafodelista"/>
        <w:numPr>
          <w:ilvl w:val="0"/>
          <w:numId w:val="33"/>
        </w:numPr>
        <w:autoSpaceDE w:val="0"/>
        <w:autoSpaceDN w:val="0"/>
        <w:adjustRightInd w:val="0"/>
        <w:contextualSpacing/>
        <w:jc w:val="both"/>
        <w:rPr>
          <w:rFonts w:ascii="Abadi" w:hAnsi="Abadi" w:cs="*Times New Roman-Italic-10034-I"/>
          <w:i/>
          <w:iCs/>
          <w:color w:val="2A2A2A"/>
          <w:sz w:val="21"/>
          <w:szCs w:val="21"/>
        </w:rPr>
      </w:pPr>
      <w:r w:rsidRPr="007E6DF3">
        <w:rPr>
          <w:rFonts w:ascii="Abadi" w:hAnsi="Abadi" w:cs="*Microsoft Sans Serif-10038-Ide"/>
          <w:color w:val="2A2A2A"/>
          <w:sz w:val="21"/>
          <w:szCs w:val="21"/>
        </w:rPr>
        <w:t>El diseño y operación de proyectos de investigación aplicada, que favorezcan la innovación en las regiones en las que se encuentran las instituciones de educación superior, fortalezcan los lazos con l</w:t>
      </w:r>
      <w:r>
        <w:rPr>
          <w:rFonts w:ascii="Abadi" w:hAnsi="Abadi" w:cs="*Microsoft Sans Serif-10038-Ide"/>
          <w:color w:val="2A2A2A"/>
          <w:sz w:val="21"/>
          <w:szCs w:val="21"/>
        </w:rPr>
        <w:t>as</w:t>
      </w:r>
      <w:r w:rsidRPr="007E6DF3">
        <w:rPr>
          <w:rFonts w:ascii="Abadi" w:hAnsi="Abadi" w:cs="*Microsoft Sans Serif-10038-Ide"/>
          <w:color w:val="2A2A2A"/>
          <w:sz w:val="21"/>
          <w:szCs w:val="21"/>
        </w:rPr>
        <w:t xml:space="preserve"> comunidades de su entorno e impulsen su desarrollo; </w:t>
      </w:r>
      <w:r w:rsidRPr="007E6DF3">
        <w:rPr>
          <w:rFonts w:ascii="Abadi" w:hAnsi="Abadi" w:cs="*Times New Roman-Italic-10034-I"/>
          <w:i/>
          <w:iCs/>
          <w:color w:val="2A2A2A"/>
          <w:sz w:val="21"/>
          <w:szCs w:val="21"/>
        </w:rPr>
        <w:t>y</w:t>
      </w:r>
    </w:p>
    <w:p w14:paraId="64DFA545" w14:textId="77777777" w:rsidR="00366FFB" w:rsidRPr="00743CF7" w:rsidRDefault="00366FFB" w:rsidP="00366FFB">
      <w:pPr>
        <w:autoSpaceDE w:val="0"/>
        <w:autoSpaceDN w:val="0"/>
        <w:adjustRightInd w:val="0"/>
        <w:jc w:val="both"/>
        <w:rPr>
          <w:rFonts w:ascii="Abadi" w:hAnsi="Abadi" w:cs="*Microsoft Sans Serif-Bold-1003"/>
          <w:b/>
          <w:bCs/>
          <w:color w:val="282828"/>
          <w:sz w:val="21"/>
          <w:szCs w:val="21"/>
        </w:rPr>
      </w:pPr>
    </w:p>
    <w:p w14:paraId="72D442DF" w14:textId="77777777" w:rsidR="00366FFB" w:rsidRPr="007E6DF3" w:rsidRDefault="00366FFB" w:rsidP="005C6EBB">
      <w:pPr>
        <w:pStyle w:val="Prrafodelista"/>
        <w:numPr>
          <w:ilvl w:val="0"/>
          <w:numId w:val="33"/>
        </w:numPr>
        <w:autoSpaceDE w:val="0"/>
        <w:autoSpaceDN w:val="0"/>
        <w:adjustRightInd w:val="0"/>
        <w:contextualSpacing/>
        <w:jc w:val="both"/>
        <w:rPr>
          <w:rFonts w:ascii="Abadi" w:hAnsi="Abadi" w:cs="*Microsoft Sans Serif-10038-Ide"/>
          <w:color w:val="282828"/>
          <w:sz w:val="21"/>
          <w:szCs w:val="21"/>
        </w:rPr>
      </w:pPr>
      <w:r w:rsidRPr="007E6DF3">
        <w:rPr>
          <w:rFonts w:ascii="Abadi" w:hAnsi="Abadi" w:cs="*Microsoft Sans Serif-10038-Ide"/>
          <w:color w:val="282828"/>
          <w:sz w:val="21"/>
          <w:szCs w:val="21"/>
        </w:rPr>
        <w:t xml:space="preserve">La divulgación </w:t>
      </w:r>
      <w:r w:rsidRPr="007E6DF3">
        <w:rPr>
          <w:rFonts w:ascii="Abadi" w:hAnsi="Abadi" w:cs="*Tahoma-10040-Identity-H"/>
          <w:color w:val="282828"/>
          <w:sz w:val="21"/>
          <w:szCs w:val="21"/>
        </w:rPr>
        <w:t xml:space="preserve">y </w:t>
      </w:r>
      <w:r w:rsidRPr="007E6DF3">
        <w:rPr>
          <w:rFonts w:ascii="Abadi" w:hAnsi="Abadi" w:cs="*Microsoft Sans Serif-10038-Ide"/>
          <w:color w:val="282828"/>
          <w:sz w:val="21"/>
          <w:szCs w:val="21"/>
        </w:rPr>
        <w:t xml:space="preserve">accesibilidad de la información científica, tecnológica, humanística </w:t>
      </w:r>
      <w:r w:rsidRPr="007E6DF3">
        <w:rPr>
          <w:rFonts w:ascii="Abadi" w:hAnsi="Abadi" w:cs="*Tahoma-10040-Identity-H"/>
          <w:color w:val="282828"/>
          <w:sz w:val="21"/>
          <w:szCs w:val="21"/>
        </w:rPr>
        <w:t xml:space="preserve">y </w:t>
      </w:r>
      <w:r w:rsidRPr="007E6DF3">
        <w:rPr>
          <w:rFonts w:ascii="Abadi" w:hAnsi="Abadi" w:cs="*Microsoft Sans Serif-10038-Ide"/>
          <w:color w:val="282828"/>
          <w:sz w:val="21"/>
          <w:szCs w:val="21"/>
        </w:rPr>
        <w:t>de innovación.</w:t>
      </w:r>
    </w:p>
    <w:p w14:paraId="54165A0C" w14:textId="77777777" w:rsidR="00366FFB" w:rsidRPr="00743CF7" w:rsidRDefault="00366FFB" w:rsidP="00366FFB">
      <w:pPr>
        <w:autoSpaceDE w:val="0"/>
        <w:autoSpaceDN w:val="0"/>
        <w:adjustRightInd w:val="0"/>
        <w:jc w:val="both"/>
        <w:rPr>
          <w:rFonts w:ascii="Abadi" w:hAnsi="Abadi" w:cs="*Calibri-Bold-10037-Identity-H"/>
          <w:b/>
          <w:bCs/>
          <w:color w:val="101010"/>
          <w:sz w:val="21"/>
          <w:szCs w:val="21"/>
        </w:rPr>
      </w:pPr>
    </w:p>
    <w:p w14:paraId="78897412" w14:textId="77777777" w:rsidR="00366FFB" w:rsidRPr="00743CF7" w:rsidRDefault="00366FFB" w:rsidP="00366FFB">
      <w:pPr>
        <w:autoSpaceDE w:val="0"/>
        <w:autoSpaceDN w:val="0"/>
        <w:adjustRightInd w:val="0"/>
        <w:jc w:val="center"/>
        <w:rPr>
          <w:rFonts w:ascii="Abadi" w:hAnsi="Abadi" w:cs="*Calibri-Bold-10037-Identity-H"/>
          <w:b/>
          <w:bCs/>
          <w:color w:val="101010"/>
          <w:sz w:val="21"/>
          <w:szCs w:val="21"/>
        </w:rPr>
      </w:pPr>
      <w:r w:rsidRPr="00743CF7">
        <w:rPr>
          <w:rFonts w:ascii="Abadi" w:hAnsi="Abadi" w:cs="*Calibri-Bold-10037-Identity-H"/>
          <w:b/>
          <w:bCs/>
          <w:color w:val="101010"/>
          <w:sz w:val="21"/>
          <w:szCs w:val="21"/>
        </w:rPr>
        <w:t xml:space="preserve">Capítulo </w:t>
      </w:r>
      <w:r>
        <w:rPr>
          <w:rFonts w:ascii="Abadi" w:hAnsi="Abadi" w:cs="*Calibri-Bold-10037-Identity-H"/>
          <w:b/>
          <w:bCs/>
          <w:color w:val="101010"/>
          <w:sz w:val="21"/>
          <w:szCs w:val="21"/>
        </w:rPr>
        <w:t>III</w:t>
      </w:r>
    </w:p>
    <w:p w14:paraId="4C36BE17" w14:textId="77777777" w:rsidR="00366FFB" w:rsidRPr="00743CF7" w:rsidRDefault="00366FFB" w:rsidP="00366FFB">
      <w:pPr>
        <w:autoSpaceDE w:val="0"/>
        <w:autoSpaceDN w:val="0"/>
        <w:adjustRightInd w:val="0"/>
        <w:jc w:val="center"/>
        <w:rPr>
          <w:rFonts w:ascii="Abadi" w:hAnsi="Abadi" w:cs="*Calibri-Bold-10037-Identity-H"/>
          <w:b/>
          <w:bCs/>
          <w:color w:val="0F0F0F"/>
          <w:sz w:val="21"/>
          <w:szCs w:val="21"/>
        </w:rPr>
      </w:pPr>
      <w:r w:rsidRPr="00743CF7">
        <w:rPr>
          <w:rFonts w:ascii="Abadi" w:hAnsi="Abadi" w:cs="*Calibri-Bold-10037-Identity-H"/>
          <w:b/>
          <w:bCs/>
          <w:color w:val="0F0F0F"/>
          <w:sz w:val="21"/>
          <w:szCs w:val="21"/>
        </w:rPr>
        <w:t xml:space="preserve">Comité de innovación, ciencia </w:t>
      </w:r>
      <w:r w:rsidRPr="00743CF7">
        <w:rPr>
          <w:rFonts w:ascii="Abadi" w:hAnsi="Abadi" w:cs="*Microsoft Sans Serif-10038-Ide"/>
          <w:color w:val="0F0F0F"/>
          <w:sz w:val="21"/>
          <w:szCs w:val="21"/>
        </w:rPr>
        <w:t xml:space="preserve">y </w:t>
      </w:r>
      <w:r w:rsidRPr="00743CF7">
        <w:rPr>
          <w:rFonts w:ascii="Abadi" w:hAnsi="Abadi" w:cs="*Calibri-Bold-10037-Identity-H"/>
          <w:b/>
          <w:bCs/>
          <w:color w:val="0F0F0F"/>
          <w:sz w:val="21"/>
          <w:szCs w:val="21"/>
        </w:rPr>
        <w:t>tecnología en educación superior</w:t>
      </w:r>
    </w:p>
    <w:p w14:paraId="6B275364" w14:textId="77777777" w:rsidR="00366FFB" w:rsidRPr="00743CF7" w:rsidRDefault="00366FFB" w:rsidP="00366FFB">
      <w:pPr>
        <w:autoSpaceDE w:val="0"/>
        <w:autoSpaceDN w:val="0"/>
        <w:adjustRightInd w:val="0"/>
        <w:jc w:val="both"/>
        <w:rPr>
          <w:rFonts w:ascii="Abadi" w:hAnsi="Abadi" w:cs="*Calibri-Bold-10037-Identity-H"/>
          <w:b/>
          <w:bCs/>
          <w:color w:val="282828"/>
          <w:sz w:val="21"/>
          <w:szCs w:val="21"/>
        </w:rPr>
      </w:pPr>
    </w:p>
    <w:p w14:paraId="5EB717C4" w14:textId="77777777" w:rsidR="00366FFB" w:rsidRPr="00743CF7" w:rsidRDefault="00366FFB" w:rsidP="00366FFB">
      <w:pPr>
        <w:autoSpaceDE w:val="0"/>
        <w:autoSpaceDN w:val="0"/>
        <w:adjustRightInd w:val="0"/>
        <w:ind w:firstLine="708"/>
        <w:jc w:val="both"/>
        <w:rPr>
          <w:rFonts w:ascii="Abadi" w:hAnsi="Abadi" w:cs="*Microsoft Sans Serif-10038-Ide"/>
          <w:color w:val="282828"/>
          <w:sz w:val="21"/>
          <w:szCs w:val="21"/>
        </w:rPr>
      </w:pPr>
      <w:r w:rsidRPr="00743CF7">
        <w:rPr>
          <w:rFonts w:ascii="Abadi" w:hAnsi="Abadi" w:cs="*Calibri-Bold-10037-Identity-H"/>
          <w:b/>
          <w:bCs/>
          <w:color w:val="282828"/>
          <w:sz w:val="21"/>
          <w:szCs w:val="21"/>
        </w:rPr>
        <w:t xml:space="preserve">Artículo 70. </w:t>
      </w:r>
      <w:r w:rsidRPr="00743CF7">
        <w:rPr>
          <w:rFonts w:ascii="Abadi" w:hAnsi="Abadi" w:cs="*Microsoft Sans Serif-10038-Ide"/>
          <w:color w:val="282828"/>
          <w:sz w:val="21"/>
          <w:szCs w:val="21"/>
        </w:rPr>
        <w:t xml:space="preserve">La coordinación, implementación e impulso de la innovación, ciencia </w:t>
      </w:r>
      <w:r w:rsidRPr="00743CF7">
        <w:rPr>
          <w:rFonts w:ascii="Abadi" w:hAnsi="Abadi" w:cs="*Tahoma-10040-Identity-H"/>
          <w:color w:val="282828"/>
          <w:sz w:val="21"/>
          <w:szCs w:val="21"/>
        </w:rPr>
        <w:t xml:space="preserve">y </w:t>
      </w:r>
      <w:r w:rsidRPr="00743CF7">
        <w:rPr>
          <w:rFonts w:ascii="Abadi" w:hAnsi="Abadi" w:cs="*Microsoft Sans Serif-10038-Ide"/>
          <w:color w:val="282828"/>
          <w:sz w:val="21"/>
          <w:szCs w:val="21"/>
        </w:rPr>
        <w:t>tecnología en educación superior, estará o cargo de un Comité, el cual estará integrado por una persona representante de:</w:t>
      </w:r>
    </w:p>
    <w:p w14:paraId="31179E89" w14:textId="77777777" w:rsidR="00366FFB" w:rsidRPr="00743CF7" w:rsidRDefault="00366FFB" w:rsidP="00366FFB">
      <w:pPr>
        <w:autoSpaceDE w:val="0"/>
        <w:autoSpaceDN w:val="0"/>
        <w:adjustRightInd w:val="0"/>
        <w:jc w:val="both"/>
        <w:rPr>
          <w:rFonts w:ascii="Abadi" w:hAnsi="Abadi" w:cs="*Microsoft Sans Serif-10038-Ide"/>
          <w:color w:val="282828"/>
          <w:sz w:val="21"/>
          <w:szCs w:val="21"/>
        </w:rPr>
      </w:pPr>
    </w:p>
    <w:p w14:paraId="7229A98F" w14:textId="77777777" w:rsidR="00366FFB" w:rsidRPr="007E6DF3" w:rsidRDefault="00366FFB" w:rsidP="005C6EBB">
      <w:pPr>
        <w:pStyle w:val="Prrafodelista"/>
        <w:numPr>
          <w:ilvl w:val="0"/>
          <w:numId w:val="34"/>
        </w:numPr>
        <w:autoSpaceDE w:val="0"/>
        <w:autoSpaceDN w:val="0"/>
        <w:adjustRightInd w:val="0"/>
        <w:contextualSpacing/>
        <w:jc w:val="both"/>
        <w:rPr>
          <w:rFonts w:ascii="Abadi" w:hAnsi="Abadi" w:cs="*Microsoft Sans Serif-10038-Ide"/>
          <w:color w:val="2B2B2B"/>
          <w:sz w:val="21"/>
          <w:szCs w:val="21"/>
        </w:rPr>
      </w:pPr>
      <w:r w:rsidRPr="007E6DF3">
        <w:rPr>
          <w:rFonts w:ascii="Abadi" w:hAnsi="Abadi" w:cs="*Microsoft Sans Serif-10038-Ide"/>
          <w:color w:val="2B2B2B"/>
          <w:sz w:val="21"/>
          <w:szCs w:val="21"/>
        </w:rPr>
        <w:t>l. La Secretaría de Educación;</w:t>
      </w:r>
    </w:p>
    <w:p w14:paraId="435AD134" w14:textId="77777777" w:rsidR="00366FFB" w:rsidRPr="007E6DF3" w:rsidRDefault="00366FFB" w:rsidP="005C6EBB">
      <w:pPr>
        <w:pStyle w:val="Prrafodelista"/>
        <w:numPr>
          <w:ilvl w:val="0"/>
          <w:numId w:val="34"/>
        </w:numPr>
        <w:autoSpaceDE w:val="0"/>
        <w:autoSpaceDN w:val="0"/>
        <w:adjustRightInd w:val="0"/>
        <w:contextualSpacing/>
        <w:jc w:val="both"/>
        <w:rPr>
          <w:rFonts w:ascii="Abadi" w:hAnsi="Abadi" w:cs="*Microsoft Sans Serif-10038-Ide"/>
          <w:color w:val="2B2B2B"/>
          <w:sz w:val="21"/>
          <w:szCs w:val="21"/>
        </w:rPr>
      </w:pPr>
      <w:r w:rsidRPr="007E6DF3">
        <w:rPr>
          <w:rFonts w:ascii="Abadi" w:hAnsi="Abadi" w:cs="*Microsoft Sans Serif-10038-Ide"/>
          <w:color w:val="2B2B2B"/>
          <w:sz w:val="21"/>
          <w:szCs w:val="21"/>
        </w:rPr>
        <w:t>Lo Secretaría de Desarrollo Económico Sustentable;</w:t>
      </w:r>
    </w:p>
    <w:p w14:paraId="0E189448" w14:textId="77777777" w:rsidR="00366FFB" w:rsidRDefault="00366FFB" w:rsidP="005C6EBB">
      <w:pPr>
        <w:pStyle w:val="Prrafodelista"/>
        <w:numPr>
          <w:ilvl w:val="0"/>
          <w:numId w:val="34"/>
        </w:numPr>
        <w:autoSpaceDE w:val="0"/>
        <w:autoSpaceDN w:val="0"/>
        <w:adjustRightInd w:val="0"/>
        <w:contextualSpacing/>
        <w:jc w:val="both"/>
        <w:rPr>
          <w:rFonts w:ascii="Abadi" w:hAnsi="Abadi" w:cs="*Microsoft Sans Serif-10038-Ide"/>
          <w:color w:val="282828"/>
          <w:sz w:val="21"/>
          <w:szCs w:val="21"/>
        </w:rPr>
      </w:pPr>
      <w:r w:rsidRPr="007E6DF3">
        <w:rPr>
          <w:rFonts w:ascii="Abadi" w:hAnsi="Abadi" w:cs="*Microsoft Sans Serif-10038-Ide"/>
          <w:color w:val="282828"/>
          <w:sz w:val="21"/>
          <w:szCs w:val="21"/>
        </w:rPr>
        <w:t>El Instituto de Innovación, Ciencia y Emprendimiento para la Competitividad del estado de Guanajuato; y</w:t>
      </w:r>
    </w:p>
    <w:p w14:paraId="5FFD4035" w14:textId="77777777" w:rsidR="00366FFB" w:rsidRDefault="00366FFB" w:rsidP="005C6EBB">
      <w:pPr>
        <w:pStyle w:val="Prrafodelista"/>
        <w:numPr>
          <w:ilvl w:val="0"/>
          <w:numId w:val="34"/>
        </w:numPr>
        <w:autoSpaceDE w:val="0"/>
        <w:autoSpaceDN w:val="0"/>
        <w:adjustRightInd w:val="0"/>
        <w:contextualSpacing/>
        <w:jc w:val="both"/>
        <w:rPr>
          <w:rFonts w:ascii="Abadi" w:hAnsi="Abadi" w:cs="*Microsoft Sans Serif-10038-Ide"/>
          <w:color w:val="282828"/>
          <w:sz w:val="21"/>
          <w:szCs w:val="21"/>
        </w:rPr>
      </w:pPr>
      <w:r w:rsidRPr="007E6DF3">
        <w:rPr>
          <w:rFonts w:ascii="Abadi" w:hAnsi="Abadi" w:cs="*Microsoft Sans Serif-10038-Ide"/>
          <w:color w:val="2B2B2B"/>
          <w:sz w:val="21"/>
          <w:szCs w:val="21"/>
        </w:rPr>
        <w:t xml:space="preserve"> </w:t>
      </w:r>
      <w:r w:rsidRPr="00743CF7">
        <w:rPr>
          <w:rFonts w:ascii="Abadi" w:hAnsi="Abadi" w:cs="*Microsoft Sans Serif-10038-Ide"/>
          <w:color w:val="2B2B2B"/>
          <w:sz w:val="21"/>
          <w:szCs w:val="21"/>
        </w:rPr>
        <w:t>El Instituto para el Desarrollo y Atención o los Juventudes del Estado</w:t>
      </w:r>
      <w:r>
        <w:rPr>
          <w:rFonts w:ascii="Abadi" w:hAnsi="Abadi" w:cs="*Microsoft Sans Serif-10038-Ide"/>
          <w:color w:val="2B2B2B"/>
          <w:sz w:val="21"/>
          <w:szCs w:val="21"/>
        </w:rPr>
        <w:t xml:space="preserve"> </w:t>
      </w:r>
      <w:r w:rsidRPr="00743CF7">
        <w:rPr>
          <w:rFonts w:ascii="Abadi" w:hAnsi="Abadi" w:cs="*Microsoft Sans Serif-10038-Ide"/>
          <w:color w:val="2B2B2B"/>
          <w:sz w:val="21"/>
          <w:szCs w:val="21"/>
        </w:rPr>
        <w:t>de Guanajuato</w:t>
      </w:r>
    </w:p>
    <w:p w14:paraId="119517FC" w14:textId="77777777" w:rsidR="00366FFB" w:rsidRPr="007E6DF3" w:rsidRDefault="00366FFB" w:rsidP="00366FFB">
      <w:pPr>
        <w:pStyle w:val="Prrafodelista"/>
        <w:autoSpaceDE w:val="0"/>
        <w:autoSpaceDN w:val="0"/>
        <w:adjustRightInd w:val="0"/>
        <w:ind w:left="720"/>
        <w:jc w:val="both"/>
        <w:rPr>
          <w:rFonts w:ascii="Abadi" w:hAnsi="Abadi" w:cs="*Microsoft Sans Serif-10038-Ide"/>
          <w:color w:val="282828"/>
          <w:sz w:val="21"/>
          <w:szCs w:val="21"/>
        </w:rPr>
      </w:pPr>
    </w:p>
    <w:p w14:paraId="1FC5D326" w14:textId="77777777" w:rsidR="00366FFB" w:rsidRPr="00743CF7" w:rsidRDefault="00366FFB" w:rsidP="00366FFB">
      <w:pPr>
        <w:autoSpaceDE w:val="0"/>
        <w:autoSpaceDN w:val="0"/>
        <w:adjustRightInd w:val="0"/>
        <w:jc w:val="both"/>
        <w:rPr>
          <w:rFonts w:ascii="Abadi" w:hAnsi="Abadi" w:cs="*Microsoft Sans Serif-10038-Ide"/>
          <w:color w:val="282828"/>
          <w:sz w:val="21"/>
          <w:szCs w:val="21"/>
        </w:rPr>
      </w:pPr>
    </w:p>
    <w:p w14:paraId="03421FEA" w14:textId="77777777" w:rsidR="00366FFB" w:rsidRPr="00743CF7" w:rsidRDefault="00366FFB" w:rsidP="00366FFB">
      <w:pPr>
        <w:autoSpaceDE w:val="0"/>
        <w:autoSpaceDN w:val="0"/>
        <w:adjustRightInd w:val="0"/>
        <w:jc w:val="both"/>
        <w:rPr>
          <w:rFonts w:ascii="Abadi" w:hAnsi="Abadi" w:cs="*Microsoft Sans Serif-10038-Ide"/>
          <w:color w:val="242424"/>
          <w:sz w:val="21"/>
          <w:szCs w:val="21"/>
        </w:rPr>
      </w:pPr>
      <w:r w:rsidRPr="00743CF7">
        <w:rPr>
          <w:rFonts w:ascii="Abadi" w:hAnsi="Abadi" w:cs="*Calibri-Bold-10037-Identity-H"/>
          <w:b/>
          <w:bCs/>
          <w:color w:val="242424"/>
          <w:sz w:val="21"/>
          <w:szCs w:val="21"/>
        </w:rPr>
        <w:t xml:space="preserve">Artículo 71. </w:t>
      </w:r>
      <w:r w:rsidRPr="00743CF7">
        <w:rPr>
          <w:rFonts w:ascii="Abadi" w:hAnsi="Abadi" w:cs="*Microsoft Sans Serif-10038-Ide"/>
          <w:color w:val="242424"/>
          <w:sz w:val="21"/>
          <w:szCs w:val="21"/>
        </w:rPr>
        <w:t>El referido Comité, tendrá como funciones:</w:t>
      </w:r>
    </w:p>
    <w:p w14:paraId="1ACF15F3" w14:textId="77777777" w:rsidR="00366FFB" w:rsidRDefault="00366FFB" w:rsidP="00366FFB">
      <w:pPr>
        <w:autoSpaceDE w:val="0"/>
        <w:autoSpaceDN w:val="0"/>
        <w:adjustRightInd w:val="0"/>
        <w:jc w:val="both"/>
        <w:rPr>
          <w:rFonts w:ascii="Abadi" w:hAnsi="Abadi" w:cs="*Times New Roman-10033-Identity"/>
          <w:color w:val="636363"/>
          <w:sz w:val="21"/>
          <w:szCs w:val="21"/>
        </w:rPr>
      </w:pPr>
    </w:p>
    <w:p w14:paraId="1589B8C4" w14:textId="11B1A25A" w:rsidR="00366FFB" w:rsidRDefault="00366FFB" w:rsidP="005C6EBB">
      <w:pPr>
        <w:pStyle w:val="Prrafodelista"/>
        <w:numPr>
          <w:ilvl w:val="0"/>
          <w:numId w:val="35"/>
        </w:numPr>
        <w:autoSpaceDE w:val="0"/>
        <w:autoSpaceDN w:val="0"/>
        <w:adjustRightInd w:val="0"/>
        <w:contextualSpacing/>
        <w:jc w:val="both"/>
        <w:rPr>
          <w:rFonts w:ascii="Abadi" w:hAnsi="Abadi" w:cs="*Microsoft Sans Serif-10038-Ide"/>
          <w:color w:val="2A2A2A"/>
          <w:sz w:val="21"/>
          <w:szCs w:val="21"/>
        </w:rPr>
      </w:pPr>
      <w:r w:rsidRPr="005E531F">
        <w:rPr>
          <w:rFonts w:ascii="Abadi" w:hAnsi="Abadi" w:cs="*Microsoft Sans Serif-10038-Ide"/>
          <w:color w:val="2A2A2A"/>
          <w:sz w:val="21"/>
          <w:szCs w:val="21"/>
        </w:rPr>
        <w:t xml:space="preserve">Colaborar en la implementación de acciones que se realicen en las instituciones de educación superior en materia de innovación, ciencia </w:t>
      </w:r>
      <w:r w:rsidRPr="005E531F">
        <w:rPr>
          <w:rFonts w:ascii="Abadi" w:hAnsi="Abadi" w:cs="*Tahoma-10040-Identity-H"/>
          <w:color w:val="2A2A2A"/>
          <w:sz w:val="21"/>
          <w:szCs w:val="21"/>
        </w:rPr>
        <w:t xml:space="preserve">y </w:t>
      </w:r>
      <w:r w:rsidRPr="005E531F">
        <w:rPr>
          <w:rFonts w:ascii="Abadi" w:hAnsi="Abadi" w:cs="*Microsoft Sans Serif-10038-Ide"/>
          <w:color w:val="2A2A2A"/>
          <w:sz w:val="21"/>
          <w:szCs w:val="21"/>
        </w:rPr>
        <w:t>tecnología;</w:t>
      </w:r>
    </w:p>
    <w:p w14:paraId="66AE0693" w14:textId="77777777" w:rsidR="00F2244A" w:rsidRPr="005E531F" w:rsidRDefault="00F2244A" w:rsidP="00F2244A">
      <w:pPr>
        <w:pStyle w:val="Prrafodelista"/>
        <w:autoSpaceDE w:val="0"/>
        <w:autoSpaceDN w:val="0"/>
        <w:adjustRightInd w:val="0"/>
        <w:ind w:left="720"/>
        <w:contextualSpacing/>
        <w:jc w:val="both"/>
        <w:rPr>
          <w:rFonts w:ascii="Abadi" w:hAnsi="Abadi" w:cs="*Microsoft Sans Serif-10038-Ide"/>
          <w:color w:val="2A2A2A"/>
          <w:sz w:val="21"/>
          <w:szCs w:val="21"/>
        </w:rPr>
      </w:pPr>
    </w:p>
    <w:p w14:paraId="5F81E522" w14:textId="3D3F11DD" w:rsidR="00366FFB" w:rsidRDefault="00366FFB" w:rsidP="005C6EBB">
      <w:pPr>
        <w:pStyle w:val="Prrafodelista"/>
        <w:numPr>
          <w:ilvl w:val="0"/>
          <w:numId w:val="35"/>
        </w:numPr>
        <w:autoSpaceDE w:val="0"/>
        <w:autoSpaceDN w:val="0"/>
        <w:adjustRightInd w:val="0"/>
        <w:contextualSpacing/>
        <w:jc w:val="both"/>
        <w:rPr>
          <w:rFonts w:ascii="Abadi" w:hAnsi="Abadi" w:cs="*Microsoft Sans Serif-11527-Ide"/>
          <w:color w:val="292929"/>
          <w:sz w:val="21"/>
          <w:szCs w:val="21"/>
        </w:rPr>
      </w:pPr>
      <w:r w:rsidRPr="005E531F">
        <w:rPr>
          <w:rFonts w:ascii="Abadi" w:hAnsi="Abadi" w:cs="*Microsoft Sans Serif-11527-Ide"/>
          <w:color w:val="292929"/>
          <w:sz w:val="21"/>
          <w:szCs w:val="21"/>
        </w:rPr>
        <w:t>Vincularse con el organismo responsable de la innovación en el Estado, para la consolidación de proyectos que promuevan la participación de estudiantes con el sector empresarial;</w:t>
      </w:r>
    </w:p>
    <w:p w14:paraId="237AC4BB" w14:textId="77777777" w:rsidR="00F2244A" w:rsidRPr="00F2244A" w:rsidRDefault="00F2244A" w:rsidP="00F2244A">
      <w:pPr>
        <w:pStyle w:val="Prrafodelista"/>
        <w:rPr>
          <w:rFonts w:ascii="Abadi" w:hAnsi="Abadi" w:cs="*Microsoft Sans Serif-11527-Ide"/>
          <w:color w:val="292929"/>
          <w:sz w:val="21"/>
          <w:szCs w:val="21"/>
        </w:rPr>
      </w:pPr>
    </w:p>
    <w:p w14:paraId="379D2AAB" w14:textId="77777777" w:rsidR="00F2244A" w:rsidRPr="005E531F" w:rsidRDefault="00F2244A" w:rsidP="00F2244A">
      <w:pPr>
        <w:pStyle w:val="Prrafodelista"/>
        <w:autoSpaceDE w:val="0"/>
        <w:autoSpaceDN w:val="0"/>
        <w:adjustRightInd w:val="0"/>
        <w:ind w:left="720"/>
        <w:contextualSpacing/>
        <w:jc w:val="both"/>
        <w:rPr>
          <w:rFonts w:ascii="Abadi" w:hAnsi="Abadi" w:cs="*Microsoft Sans Serif-11527-Ide"/>
          <w:color w:val="292929"/>
          <w:sz w:val="21"/>
          <w:szCs w:val="21"/>
        </w:rPr>
      </w:pPr>
    </w:p>
    <w:p w14:paraId="15403075" w14:textId="4AD11557" w:rsidR="00366FFB" w:rsidRDefault="00366FFB" w:rsidP="005C6EBB">
      <w:pPr>
        <w:pStyle w:val="Prrafodelista"/>
        <w:numPr>
          <w:ilvl w:val="0"/>
          <w:numId w:val="35"/>
        </w:numPr>
        <w:autoSpaceDE w:val="0"/>
        <w:autoSpaceDN w:val="0"/>
        <w:adjustRightInd w:val="0"/>
        <w:contextualSpacing/>
        <w:jc w:val="both"/>
        <w:rPr>
          <w:rFonts w:ascii="Abadi" w:hAnsi="Abadi" w:cs="*Microsoft Sans Serif-11527-Ide"/>
          <w:color w:val="2B2B2B"/>
          <w:sz w:val="21"/>
          <w:szCs w:val="21"/>
        </w:rPr>
      </w:pPr>
      <w:r w:rsidRPr="005E531F">
        <w:rPr>
          <w:rFonts w:ascii="Abadi" w:hAnsi="Abadi" w:cs="*Microsoft Sans Serif-11527-Ide"/>
          <w:color w:val="2B2B2B"/>
          <w:sz w:val="21"/>
          <w:szCs w:val="21"/>
        </w:rPr>
        <w:t xml:space="preserve">Promover acciones con los sectores público, productivo </w:t>
      </w:r>
      <w:r w:rsidRPr="005E531F">
        <w:rPr>
          <w:rFonts w:ascii="Abadi" w:hAnsi="Abadi" w:cs="*Calibri-11525-Identity-H"/>
          <w:color w:val="2B2B2B"/>
          <w:sz w:val="21"/>
          <w:szCs w:val="21"/>
        </w:rPr>
        <w:t xml:space="preserve">y </w:t>
      </w:r>
      <w:r w:rsidRPr="005E531F">
        <w:rPr>
          <w:rFonts w:ascii="Abadi" w:hAnsi="Abadi" w:cs="*Microsoft Sans Serif-11527-Ide"/>
          <w:color w:val="2B2B2B"/>
          <w:sz w:val="21"/>
          <w:szCs w:val="21"/>
        </w:rPr>
        <w:t>social. Que fortalezca las competencias de los estudiantes de educación superior:</w:t>
      </w:r>
    </w:p>
    <w:p w14:paraId="522C8A96" w14:textId="77777777" w:rsidR="00F2244A" w:rsidRPr="005E531F" w:rsidRDefault="00F2244A" w:rsidP="00F2244A">
      <w:pPr>
        <w:pStyle w:val="Prrafodelista"/>
        <w:autoSpaceDE w:val="0"/>
        <w:autoSpaceDN w:val="0"/>
        <w:adjustRightInd w:val="0"/>
        <w:ind w:left="720"/>
        <w:contextualSpacing/>
        <w:jc w:val="both"/>
        <w:rPr>
          <w:rFonts w:ascii="Abadi" w:hAnsi="Abadi" w:cs="*Microsoft Sans Serif-11527-Ide"/>
          <w:color w:val="2B2B2B"/>
          <w:sz w:val="21"/>
          <w:szCs w:val="21"/>
        </w:rPr>
      </w:pPr>
    </w:p>
    <w:p w14:paraId="5A8FA995" w14:textId="11CD907C" w:rsidR="00366FFB" w:rsidRDefault="00366FFB" w:rsidP="005C6EBB">
      <w:pPr>
        <w:pStyle w:val="Prrafodelista"/>
        <w:numPr>
          <w:ilvl w:val="0"/>
          <w:numId w:val="35"/>
        </w:numPr>
        <w:autoSpaceDE w:val="0"/>
        <w:autoSpaceDN w:val="0"/>
        <w:adjustRightInd w:val="0"/>
        <w:contextualSpacing/>
        <w:jc w:val="both"/>
        <w:rPr>
          <w:rFonts w:ascii="Abadi" w:hAnsi="Abadi" w:cs="*Microsoft Sans Serif-11527-Ide"/>
          <w:color w:val="2A2A2A"/>
          <w:sz w:val="21"/>
          <w:szCs w:val="21"/>
        </w:rPr>
      </w:pPr>
      <w:r w:rsidRPr="005E531F">
        <w:rPr>
          <w:rFonts w:ascii="Abadi" w:hAnsi="Abadi" w:cs="*Microsoft Sans Serif-11527-Ide"/>
          <w:color w:val="2A2A2A"/>
          <w:sz w:val="21"/>
          <w:szCs w:val="21"/>
        </w:rPr>
        <w:t xml:space="preserve">Generar estrategias para incentivar en las instituciones de educación la innovación, ciencia </w:t>
      </w:r>
      <w:r w:rsidRPr="005E531F">
        <w:rPr>
          <w:rFonts w:ascii="Abadi" w:hAnsi="Abadi" w:cs="*Calibri-11525-Identity-H"/>
          <w:color w:val="2A2A2A"/>
          <w:sz w:val="21"/>
          <w:szCs w:val="21"/>
        </w:rPr>
        <w:t xml:space="preserve">y </w:t>
      </w:r>
      <w:r w:rsidRPr="005E531F">
        <w:rPr>
          <w:rFonts w:ascii="Abadi" w:hAnsi="Abadi" w:cs="*Microsoft Sans Serif-11527-Ide"/>
          <w:color w:val="2A2A2A"/>
          <w:sz w:val="21"/>
          <w:szCs w:val="21"/>
        </w:rPr>
        <w:t>tecnología, de manera que permitan o los estudiantes incorporarse al campo productivo:</w:t>
      </w:r>
    </w:p>
    <w:p w14:paraId="48EC9274" w14:textId="77777777" w:rsidR="00F2244A" w:rsidRPr="00F2244A" w:rsidRDefault="00F2244A" w:rsidP="00F2244A">
      <w:pPr>
        <w:pStyle w:val="Prrafodelista"/>
        <w:rPr>
          <w:rFonts w:ascii="Abadi" w:hAnsi="Abadi" w:cs="*Microsoft Sans Serif-11527-Ide"/>
          <w:color w:val="2A2A2A"/>
          <w:sz w:val="21"/>
          <w:szCs w:val="21"/>
        </w:rPr>
      </w:pPr>
    </w:p>
    <w:p w14:paraId="162C9F6B" w14:textId="77777777" w:rsidR="00F2244A" w:rsidRPr="005E531F" w:rsidRDefault="00F2244A" w:rsidP="00F2244A">
      <w:pPr>
        <w:pStyle w:val="Prrafodelista"/>
        <w:autoSpaceDE w:val="0"/>
        <w:autoSpaceDN w:val="0"/>
        <w:adjustRightInd w:val="0"/>
        <w:ind w:left="720"/>
        <w:contextualSpacing/>
        <w:jc w:val="both"/>
        <w:rPr>
          <w:rFonts w:ascii="Abadi" w:hAnsi="Abadi" w:cs="*Microsoft Sans Serif-11527-Ide"/>
          <w:color w:val="2A2A2A"/>
          <w:sz w:val="21"/>
          <w:szCs w:val="21"/>
        </w:rPr>
      </w:pPr>
    </w:p>
    <w:p w14:paraId="546991FE" w14:textId="2151EF11" w:rsidR="00366FFB" w:rsidRDefault="00366FFB" w:rsidP="005C6EBB">
      <w:pPr>
        <w:pStyle w:val="Prrafodelista"/>
        <w:numPr>
          <w:ilvl w:val="0"/>
          <w:numId w:val="35"/>
        </w:numPr>
        <w:autoSpaceDE w:val="0"/>
        <w:autoSpaceDN w:val="0"/>
        <w:adjustRightInd w:val="0"/>
        <w:contextualSpacing/>
        <w:jc w:val="both"/>
        <w:rPr>
          <w:rFonts w:ascii="Abadi" w:hAnsi="Abadi" w:cs="*Microsoft Sans Serif-11527-Ide"/>
          <w:color w:val="2A2A2A"/>
          <w:sz w:val="21"/>
          <w:szCs w:val="21"/>
        </w:rPr>
      </w:pPr>
      <w:r w:rsidRPr="005E531F">
        <w:rPr>
          <w:rFonts w:ascii="Abadi" w:hAnsi="Abadi" w:cs="*Microsoft Sans Serif-11527-Ide"/>
          <w:color w:val="2A2A2A"/>
          <w:sz w:val="21"/>
          <w:szCs w:val="21"/>
        </w:rPr>
        <w:t xml:space="preserve">Fortalecer la investigación y desarrollo tecnológico en las instituciones de educación superior, o través de mecanismos de colaboración con diversas instancias del sector público </w:t>
      </w:r>
      <w:r w:rsidRPr="005E531F">
        <w:rPr>
          <w:rFonts w:ascii="Abadi" w:hAnsi="Abadi" w:cs="*Calibri-11525-Identity-H"/>
          <w:color w:val="2A2A2A"/>
          <w:sz w:val="21"/>
          <w:szCs w:val="21"/>
        </w:rPr>
        <w:t xml:space="preserve">y </w:t>
      </w:r>
      <w:r w:rsidRPr="005E531F">
        <w:rPr>
          <w:rFonts w:ascii="Abadi" w:hAnsi="Abadi" w:cs="*Microsoft Sans Serif-11527-Ide"/>
          <w:color w:val="2A2A2A"/>
          <w:sz w:val="21"/>
          <w:szCs w:val="21"/>
        </w:rPr>
        <w:t>privado;</w:t>
      </w:r>
    </w:p>
    <w:p w14:paraId="5F4D29E1" w14:textId="77777777" w:rsidR="00F2244A" w:rsidRPr="005E531F" w:rsidRDefault="00F2244A" w:rsidP="00F2244A">
      <w:pPr>
        <w:pStyle w:val="Prrafodelista"/>
        <w:autoSpaceDE w:val="0"/>
        <w:autoSpaceDN w:val="0"/>
        <w:adjustRightInd w:val="0"/>
        <w:ind w:left="720"/>
        <w:contextualSpacing/>
        <w:jc w:val="both"/>
        <w:rPr>
          <w:rFonts w:ascii="Abadi" w:hAnsi="Abadi" w:cs="*Microsoft Sans Serif-11527-Ide"/>
          <w:color w:val="2A2A2A"/>
          <w:sz w:val="21"/>
          <w:szCs w:val="21"/>
        </w:rPr>
      </w:pPr>
    </w:p>
    <w:p w14:paraId="7112A772" w14:textId="2E4C7A40" w:rsidR="00366FFB" w:rsidRDefault="00366FFB" w:rsidP="005C6EBB">
      <w:pPr>
        <w:pStyle w:val="Prrafodelista"/>
        <w:numPr>
          <w:ilvl w:val="0"/>
          <w:numId w:val="35"/>
        </w:numPr>
        <w:autoSpaceDE w:val="0"/>
        <w:autoSpaceDN w:val="0"/>
        <w:adjustRightInd w:val="0"/>
        <w:contextualSpacing/>
        <w:jc w:val="both"/>
        <w:rPr>
          <w:rFonts w:ascii="Abadi" w:hAnsi="Abadi" w:cs="*Microsoft Sans Serif-11527-Ide"/>
          <w:color w:val="282828"/>
          <w:sz w:val="21"/>
          <w:szCs w:val="21"/>
        </w:rPr>
      </w:pPr>
      <w:r w:rsidRPr="005E531F">
        <w:rPr>
          <w:rFonts w:ascii="Abadi" w:hAnsi="Abadi" w:cs="*Microsoft Sans Serif-11527-Ide"/>
          <w:color w:val="282828"/>
          <w:sz w:val="21"/>
          <w:szCs w:val="21"/>
        </w:rPr>
        <w:t>Establecer estrategias que permitan la incorporación de estudiantes a empresas para realizar sus prácticas profesionales, ejerciendo sus conocimientos, habilidades y aptitudes, las cuales deben estar relacionadas con su perfil académico;</w:t>
      </w:r>
    </w:p>
    <w:p w14:paraId="1B4F2FB9" w14:textId="77777777" w:rsidR="00F2244A" w:rsidRPr="00F2244A" w:rsidRDefault="00F2244A" w:rsidP="00F2244A">
      <w:pPr>
        <w:pStyle w:val="Prrafodelista"/>
        <w:rPr>
          <w:rFonts w:ascii="Abadi" w:hAnsi="Abadi" w:cs="*Microsoft Sans Serif-11527-Ide"/>
          <w:color w:val="282828"/>
          <w:sz w:val="21"/>
          <w:szCs w:val="21"/>
        </w:rPr>
      </w:pPr>
    </w:p>
    <w:p w14:paraId="46FAB71A" w14:textId="77777777" w:rsidR="00F2244A" w:rsidRPr="005E531F" w:rsidRDefault="00F2244A" w:rsidP="00F2244A">
      <w:pPr>
        <w:pStyle w:val="Prrafodelista"/>
        <w:autoSpaceDE w:val="0"/>
        <w:autoSpaceDN w:val="0"/>
        <w:adjustRightInd w:val="0"/>
        <w:ind w:left="720"/>
        <w:contextualSpacing/>
        <w:jc w:val="both"/>
        <w:rPr>
          <w:rFonts w:ascii="Abadi" w:hAnsi="Abadi" w:cs="*Microsoft Sans Serif-11527-Ide"/>
          <w:color w:val="282828"/>
          <w:sz w:val="21"/>
          <w:szCs w:val="21"/>
        </w:rPr>
      </w:pPr>
    </w:p>
    <w:p w14:paraId="73AEA903" w14:textId="4DB09DA3" w:rsidR="00366FFB" w:rsidRDefault="00366FFB" w:rsidP="005C6EBB">
      <w:pPr>
        <w:pStyle w:val="Prrafodelista"/>
        <w:numPr>
          <w:ilvl w:val="0"/>
          <w:numId w:val="35"/>
        </w:numPr>
        <w:autoSpaceDE w:val="0"/>
        <w:autoSpaceDN w:val="0"/>
        <w:adjustRightInd w:val="0"/>
        <w:contextualSpacing/>
        <w:jc w:val="both"/>
        <w:rPr>
          <w:rFonts w:ascii="Abadi" w:hAnsi="Abadi" w:cs="*Times New Roman-Italic-11521-I"/>
          <w:i/>
          <w:iCs/>
          <w:color w:val="292929"/>
          <w:sz w:val="21"/>
          <w:szCs w:val="21"/>
        </w:rPr>
      </w:pPr>
      <w:r w:rsidRPr="005E531F">
        <w:rPr>
          <w:rFonts w:ascii="Abadi" w:hAnsi="Abadi" w:cs="*Microsoft Sans Serif-11527-Ide"/>
          <w:color w:val="292929"/>
          <w:sz w:val="21"/>
          <w:szCs w:val="21"/>
        </w:rPr>
        <w:t xml:space="preserve">Promover en las instituciones de educación superior el aprendizaje e impulso a la investigación de conocimientos científicos </w:t>
      </w:r>
      <w:r w:rsidRPr="005E531F">
        <w:rPr>
          <w:rFonts w:ascii="Abadi" w:hAnsi="Abadi" w:cs="*Calibri-11525-Identity-H"/>
          <w:color w:val="292929"/>
          <w:sz w:val="21"/>
          <w:szCs w:val="21"/>
        </w:rPr>
        <w:t xml:space="preserve">y </w:t>
      </w:r>
      <w:r w:rsidRPr="005E531F">
        <w:rPr>
          <w:rFonts w:ascii="Abadi" w:hAnsi="Abadi" w:cs="*Microsoft Sans Serif-11527-Ide"/>
          <w:color w:val="292929"/>
          <w:sz w:val="21"/>
          <w:szCs w:val="21"/>
        </w:rPr>
        <w:t xml:space="preserve">tecnológicos, motivando a los estudiantes a generar proyectos paro un mejor desarrollo: </w:t>
      </w:r>
      <w:r w:rsidRPr="005E531F">
        <w:rPr>
          <w:rFonts w:ascii="Abadi" w:hAnsi="Abadi" w:cs="*Times New Roman-Italic-11521-I"/>
          <w:i/>
          <w:iCs/>
          <w:color w:val="292929"/>
          <w:sz w:val="21"/>
          <w:szCs w:val="21"/>
        </w:rPr>
        <w:t>y</w:t>
      </w:r>
    </w:p>
    <w:p w14:paraId="0B9C4E2F" w14:textId="77777777" w:rsidR="00F2244A" w:rsidRPr="005E531F" w:rsidRDefault="00F2244A" w:rsidP="00F2244A">
      <w:pPr>
        <w:pStyle w:val="Prrafodelista"/>
        <w:autoSpaceDE w:val="0"/>
        <w:autoSpaceDN w:val="0"/>
        <w:adjustRightInd w:val="0"/>
        <w:ind w:left="720"/>
        <w:contextualSpacing/>
        <w:jc w:val="both"/>
        <w:rPr>
          <w:rFonts w:ascii="Abadi" w:hAnsi="Abadi" w:cs="*Times New Roman-Italic-11521-I"/>
          <w:i/>
          <w:iCs/>
          <w:color w:val="292929"/>
          <w:sz w:val="21"/>
          <w:szCs w:val="21"/>
        </w:rPr>
      </w:pPr>
    </w:p>
    <w:p w14:paraId="0E96C7D0" w14:textId="77777777" w:rsidR="00366FFB" w:rsidRPr="005E531F" w:rsidRDefault="00366FFB" w:rsidP="005C6EBB">
      <w:pPr>
        <w:pStyle w:val="Prrafodelista"/>
        <w:numPr>
          <w:ilvl w:val="0"/>
          <w:numId w:val="35"/>
        </w:numPr>
        <w:autoSpaceDE w:val="0"/>
        <w:autoSpaceDN w:val="0"/>
        <w:adjustRightInd w:val="0"/>
        <w:contextualSpacing/>
        <w:jc w:val="both"/>
        <w:rPr>
          <w:rFonts w:ascii="Abadi" w:hAnsi="Abadi" w:cs="*Microsoft Sans Serif-11527-Ide"/>
          <w:color w:val="242424"/>
          <w:sz w:val="21"/>
          <w:szCs w:val="21"/>
        </w:rPr>
      </w:pPr>
      <w:r w:rsidRPr="005E531F">
        <w:rPr>
          <w:rFonts w:ascii="Abadi" w:hAnsi="Abadi" w:cs="*Microsoft Sans Serif-11527-Ide"/>
          <w:color w:val="242424"/>
          <w:sz w:val="21"/>
          <w:szCs w:val="21"/>
        </w:rPr>
        <w:t>Generar vínculos con diversas instancias que propicien la investigación y el desarrollo de la ciencia. la tecnología y la innovación en las instituciones de educación superior.</w:t>
      </w:r>
    </w:p>
    <w:p w14:paraId="497C2372" w14:textId="77777777" w:rsidR="00366FFB" w:rsidRPr="00743CF7" w:rsidRDefault="00366FFB" w:rsidP="00366FFB">
      <w:pPr>
        <w:autoSpaceDE w:val="0"/>
        <w:autoSpaceDN w:val="0"/>
        <w:adjustRightInd w:val="0"/>
        <w:jc w:val="both"/>
        <w:rPr>
          <w:rFonts w:ascii="Abadi" w:hAnsi="Abadi" w:cs="*Comic Sans MS-Bold-11526-Ident"/>
          <w:b/>
          <w:bCs/>
          <w:color w:val="0F0F0F"/>
          <w:sz w:val="21"/>
          <w:szCs w:val="21"/>
        </w:rPr>
      </w:pPr>
      <w:r w:rsidRPr="00743CF7">
        <w:rPr>
          <w:rFonts w:ascii="Abadi" w:hAnsi="Abadi" w:cs="*Comic Sans MS-Bold-11526-Ident"/>
          <w:b/>
          <w:bCs/>
          <w:color w:val="0F0F0F"/>
          <w:sz w:val="21"/>
          <w:szCs w:val="21"/>
        </w:rPr>
        <w:t xml:space="preserve"> </w:t>
      </w:r>
    </w:p>
    <w:p w14:paraId="3A689EB0" w14:textId="77777777" w:rsidR="00366FFB" w:rsidRDefault="00366FFB" w:rsidP="00366FFB">
      <w:pPr>
        <w:autoSpaceDE w:val="0"/>
        <w:autoSpaceDN w:val="0"/>
        <w:adjustRightInd w:val="0"/>
        <w:jc w:val="both"/>
        <w:rPr>
          <w:rFonts w:ascii="Abadi" w:hAnsi="Abadi" w:cs="*Comic Sans MS-Bold-11526-Ident"/>
          <w:b/>
          <w:bCs/>
          <w:color w:val="0F0F0F"/>
          <w:sz w:val="21"/>
          <w:szCs w:val="21"/>
        </w:rPr>
      </w:pPr>
    </w:p>
    <w:p w14:paraId="5A9C8A59" w14:textId="77777777" w:rsidR="00366FFB" w:rsidRDefault="00366FFB" w:rsidP="00366FFB">
      <w:pPr>
        <w:autoSpaceDE w:val="0"/>
        <w:autoSpaceDN w:val="0"/>
        <w:adjustRightInd w:val="0"/>
        <w:jc w:val="both"/>
        <w:rPr>
          <w:rFonts w:ascii="Abadi" w:hAnsi="Abadi" w:cs="*Comic Sans MS-Bold-11526-Ident"/>
          <w:b/>
          <w:bCs/>
          <w:color w:val="0F0F0F"/>
          <w:sz w:val="21"/>
          <w:szCs w:val="21"/>
        </w:rPr>
      </w:pPr>
    </w:p>
    <w:p w14:paraId="42744BF4" w14:textId="77777777" w:rsidR="00366FFB" w:rsidRPr="00743CF7" w:rsidRDefault="00366FFB" w:rsidP="00366FFB">
      <w:pPr>
        <w:autoSpaceDE w:val="0"/>
        <w:autoSpaceDN w:val="0"/>
        <w:adjustRightInd w:val="0"/>
        <w:jc w:val="center"/>
        <w:rPr>
          <w:rFonts w:ascii="Abadi" w:hAnsi="Abadi" w:cs="*Comic Sans MS-Bold-11526-Ident"/>
          <w:b/>
          <w:bCs/>
          <w:color w:val="0F0F0F"/>
          <w:sz w:val="21"/>
          <w:szCs w:val="21"/>
        </w:rPr>
      </w:pPr>
      <w:r w:rsidRPr="00743CF7">
        <w:rPr>
          <w:rFonts w:ascii="Abadi" w:hAnsi="Abadi" w:cs="*Comic Sans MS-Bold-11526-Ident"/>
          <w:b/>
          <w:bCs/>
          <w:color w:val="0F0F0F"/>
          <w:sz w:val="21"/>
          <w:szCs w:val="21"/>
        </w:rPr>
        <w:t>TÍTULO VI</w:t>
      </w:r>
    </w:p>
    <w:p w14:paraId="02929E65" w14:textId="77777777" w:rsidR="00366FFB" w:rsidRPr="00743CF7" w:rsidRDefault="00366FFB" w:rsidP="00366FFB">
      <w:pPr>
        <w:autoSpaceDE w:val="0"/>
        <w:autoSpaceDN w:val="0"/>
        <w:adjustRightInd w:val="0"/>
        <w:jc w:val="center"/>
        <w:rPr>
          <w:rFonts w:ascii="Abadi" w:hAnsi="Abadi" w:cs="*Comic Sans MS-Bold-11526-Ident"/>
          <w:b/>
          <w:bCs/>
          <w:color w:val="111111"/>
          <w:sz w:val="21"/>
          <w:szCs w:val="21"/>
        </w:rPr>
      </w:pPr>
      <w:r w:rsidRPr="00743CF7">
        <w:rPr>
          <w:rFonts w:ascii="Abadi" w:hAnsi="Abadi" w:cs="*Comic Sans MS-Bold-11526-Ident"/>
          <w:b/>
          <w:bCs/>
          <w:color w:val="111111"/>
          <w:sz w:val="21"/>
          <w:szCs w:val="21"/>
        </w:rPr>
        <w:t xml:space="preserve">Coordinación, Planeación, Evaluación </w:t>
      </w:r>
      <w:r w:rsidRPr="00743CF7">
        <w:rPr>
          <w:rFonts w:ascii="Abadi" w:hAnsi="Abadi" w:cs="*Times New Roman-BoldItalic-115"/>
          <w:b/>
          <w:bCs/>
          <w:i/>
          <w:iCs/>
          <w:color w:val="111111"/>
          <w:sz w:val="21"/>
          <w:szCs w:val="21"/>
        </w:rPr>
        <w:t xml:space="preserve">y </w:t>
      </w:r>
      <w:r w:rsidRPr="00743CF7">
        <w:rPr>
          <w:rFonts w:ascii="Abadi" w:hAnsi="Abadi" w:cs="*Comic Sans MS-Bold-11526-Ident"/>
          <w:b/>
          <w:bCs/>
          <w:color w:val="111111"/>
          <w:sz w:val="21"/>
          <w:szCs w:val="21"/>
        </w:rPr>
        <w:t>participación social</w:t>
      </w:r>
    </w:p>
    <w:p w14:paraId="4DD3387F" w14:textId="77777777" w:rsidR="00366FFB" w:rsidRDefault="00366FFB" w:rsidP="00366FFB">
      <w:pPr>
        <w:autoSpaceDE w:val="0"/>
        <w:autoSpaceDN w:val="0"/>
        <w:adjustRightInd w:val="0"/>
        <w:jc w:val="center"/>
        <w:rPr>
          <w:rFonts w:ascii="Abadi" w:hAnsi="Abadi" w:cs="*Comic Sans MS-Bold-11526-Ident"/>
          <w:b/>
          <w:bCs/>
          <w:color w:val="111111"/>
          <w:sz w:val="21"/>
          <w:szCs w:val="21"/>
        </w:rPr>
      </w:pPr>
    </w:p>
    <w:p w14:paraId="3B2B35A2" w14:textId="77777777" w:rsidR="00366FFB" w:rsidRPr="00743CF7" w:rsidRDefault="00366FFB" w:rsidP="00366FFB">
      <w:pPr>
        <w:autoSpaceDE w:val="0"/>
        <w:autoSpaceDN w:val="0"/>
        <w:adjustRightInd w:val="0"/>
        <w:jc w:val="center"/>
        <w:rPr>
          <w:rFonts w:ascii="Abadi" w:hAnsi="Abadi" w:cs="*Comic Sans MS-Bold-11526-Ident"/>
          <w:b/>
          <w:bCs/>
          <w:color w:val="111111"/>
          <w:sz w:val="21"/>
          <w:szCs w:val="21"/>
        </w:rPr>
      </w:pPr>
      <w:r w:rsidRPr="00743CF7">
        <w:rPr>
          <w:rFonts w:ascii="Abadi" w:hAnsi="Abadi" w:cs="*Comic Sans MS-Bold-11526-Ident"/>
          <w:b/>
          <w:bCs/>
          <w:color w:val="111111"/>
          <w:sz w:val="21"/>
          <w:szCs w:val="21"/>
        </w:rPr>
        <w:t xml:space="preserve">Capítulo </w:t>
      </w:r>
      <w:r>
        <w:rPr>
          <w:rFonts w:ascii="Abadi" w:hAnsi="Abadi" w:cs="*Comic Sans MS-Bold-11526-Ident"/>
          <w:b/>
          <w:bCs/>
          <w:color w:val="111111"/>
          <w:sz w:val="21"/>
          <w:szCs w:val="21"/>
        </w:rPr>
        <w:t>I</w:t>
      </w:r>
    </w:p>
    <w:p w14:paraId="03B55C00" w14:textId="77777777" w:rsidR="00366FFB" w:rsidRPr="00743CF7" w:rsidRDefault="00366FFB" w:rsidP="00366FFB">
      <w:pPr>
        <w:autoSpaceDE w:val="0"/>
        <w:autoSpaceDN w:val="0"/>
        <w:adjustRightInd w:val="0"/>
        <w:jc w:val="center"/>
        <w:rPr>
          <w:rFonts w:ascii="Abadi" w:hAnsi="Abadi" w:cs="*Comic Sans MS-Bold-11526-Ident"/>
          <w:b/>
          <w:bCs/>
          <w:color w:val="101010"/>
          <w:sz w:val="21"/>
          <w:szCs w:val="21"/>
        </w:rPr>
      </w:pPr>
      <w:r w:rsidRPr="00743CF7">
        <w:rPr>
          <w:rFonts w:ascii="Abadi" w:hAnsi="Abadi" w:cs="*Comic Sans MS-Bold-11526-Ident"/>
          <w:b/>
          <w:bCs/>
          <w:color w:val="101010"/>
          <w:sz w:val="21"/>
          <w:szCs w:val="21"/>
        </w:rPr>
        <w:t>Vinculación entre las instancias</w:t>
      </w:r>
    </w:p>
    <w:p w14:paraId="5F971ECD" w14:textId="77777777" w:rsidR="00366FFB" w:rsidRPr="00743CF7" w:rsidRDefault="00366FFB" w:rsidP="00366FFB">
      <w:pPr>
        <w:jc w:val="center"/>
        <w:rPr>
          <w:rFonts w:ascii="Abadi" w:hAnsi="Abadi" w:cs="*Calibri-11524-Identity-H"/>
          <w:color w:val="1E1E1E"/>
          <w:sz w:val="21"/>
          <w:szCs w:val="21"/>
        </w:rPr>
      </w:pPr>
    </w:p>
    <w:p w14:paraId="43857E28" w14:textId="0967357F" w:rsidR="00366FFB" w:rsidRPr="00743CF7" w:rsidRDefault="00F2244A" w:rsidP="00F2244A">
      <w:pPr>
        <w:autoSpaceDE w:val="0"/>
        <w:autoSpaceDN w:val="0"/>
        <w:adjustRightInd w:val="0"/>
        <w:jc w:val="both"/>
        <w:rPr>
          <w:rFonts w:ascii="Abadi" w:hAnsi="Abadi" w:cs="*Microsoft Sans Serif-BoldItali"/>
          <w:b/>
          <w:bCs/>
          <w:i/>
          <w:iCs/>
          <w:color w:val="131313"/>
          <w:sz w:val="21"/>
          <w:szCs w:val="21"/>
        </w:rPr>
      </w:pPr>
      <w:r>
        <w:rPr>
          <w:rFonts w:ascii="Abadi" w:hAnsi="Abadi" w:cs="*Microsoft Sans Serif-BoldItali"/>
          <w:b/>
          <w:bCs/>
          <w:i/>
          <w:iCs/>
          <w:color w:val="131313"/>
          <w:sz w:val="21"/>
          <w:szCs w:val="21"/>
        </w:rPr>
        <w:t>C</w:t>
      </w:r>
      <w:r w:rsidR="00366FFB" w:rsidRPr="00743CF7">
        <w:rPr>
          <w:rFonts w:ascii="Abadi" w:hAnsi="Abadi" w:cs="*Microsoft Sans Serif-BoldItali"/>
          <w:b/>
          <w:bCs/>
          <w:i/>
          <w:iCs/>
          <w:color w:val="131313"/>
          <w:sz w:val="21"/>
          <w:szCs w:val="21"/>
        </w:rPr>
        <w:t>olaboración entre autoridades educativas</w:t>
      </w:r>
    </w:p>
    <w:p w14:paraId="73459CA5" w14:textId="4D63D174" w:rsidR="00366FFB" w:rsidRPr="00743CF7" w:rsidRDefault="00366FFB" w:rsidP="00366FFB">
      <w:pPr>
        <w:autoSpaceDE w:val="0"/>
        <w:autoSpaceDN w:val="0"/>
        <w:adjustRightInd w:val="0"/>
        <w:ind w:firstLine="708"/>
        <w:jc w:val="both"/>
        <w:rPr>
          <w:rFonts w:ascii="Abadi" w:hAnsi="Abadi" w:cs="*Microsoft Sans Serif-10826-Ide"/>
          <w:color w:val="2A2A2A"/>
          <w:sz w:val="21"/>
          <w:szCs w:val="21"/>
        </w:rPr>
      </w:pPr>
      <w:r w:rsidRPr="00743CF7">
        <w:rPr>
          <w:rFonts w:ascii="Abadi" w:hAnsi="Abadi" w:cs="*Calibri-Bold-10825-Identity-H"/>
          <w:b/>
          <w:bCs/>
          <w:color w:val="2A2A2A"/>
          <w:sz w:val="21"/>
          <w:szCs w:val="21"/>
        </w:rPr>
        <w:t xml:space="preserve">Artículo </w:t>
      </w:r>
      <w:r w:rsidRPr="00743CF7">
        <w:rPr>
          <w:rFonts w:ascii="Abadi" w:hAnsi="Abadi" w:cs="*Times New Roman-BoldItalic-108"/>
          <w:b/>
          <w:bCs/>
          <w:i/>
          <w:iCs/>
          <w:color w:val="2A2A2A"/>
          <w:sz w:val="21"/>
          <w:szCs w:val="21"/>
        </w:rPr>
        <w:t xml:space="preserve">72. </w:t>
      </w:r>
      <w:r w:rsidR="00F2244A" w:rsidRPr="00743CF7">
        <w:rPr>
          <w:rFonts w:ascii="Abadi" w:hAnsi="Abadi" w:cs="*Microsoft Sans Serif-10826-Ide"/>
          <w:color w:val="2A2A2A"/>
          <w:sz w:val="21"/>
          <w:szCs w:val="21"/>
        </w:rPr>
        <w:t>Las autoridades educativas</w:t>
      </w:r>
      <w:r w:rsidRPr="00743CF7">
        <w:rPr>
          <w:rFonts w:ascii="Abadi" w:hAnsi="Abadi" w:cs="*Microsoft Sans Serif-10826-Ide"/>
          <w:color w:val="2A2A2A"/>
          <w:sz w:val="21"/>
          <w:szCs w:val="21"/>
        </w:rPr>
        <w:t xml:space="preserve"> establecerán coordinación y programación estratégico, participativa, interinstitucional </w:t>
      </w:r>
      <w:r w:rsidRPr="00743CF7">
        <w:rPr>
          <w:rFonts w:ascii="Abadi" w:hAnsi="Abadi" w:cs="*Times New Roman-Italic-10821-I"/>
          <w:i/>
          <w:iCs/>
          <w:color w:val="2A2A2A"/>
          <w:sz w:val="21"/>
          <w:szCs w:val="21"/>
        </w:rPr>
        <w:t xml:space="preserve">y </w:t>
      </w:r>
      <w:r w:rsidRPr="00743CF7">
        <w:rPr>
          <w:rFonts w:ascii="Abadi" w:hAnsi="Abadi" w:cs="*Microsoft Sans Serif-10826-Ide"/>
          <w:color w:val="2A2A2A"/>
          <w:sz w:val="21"/>
          <w:szCs w:val="21"/>
        </w:rPr>
        <w:t xml:space="preserve">colaborativa, con el apoyo de las comunidades académicas de las instituciones de educación superior, en los términos y conforme a las instancias </w:t>
      </w:r>
      <w:r w:rsidRPr="00743CF7">
        <w:rPr>
          <w:rFonts w:ascii="Abadi" w:hAnsi="Abadi" w:cs="*Times New Roman-Italic-10821-I"/>
          <w:i/>
          <w:iCs/>
          <w:color w:val="2A2A2A"/>
          <w:sz w:val="21"/>
          <w:szCs w:val="21"/>
        </w:rPr>
        <w:t xml:space="preserve">y </w:t>
      </w:r>
      <w:r w:rsidRPr="00743CF7">
        <w:rPr>
          <w:rFonts w:ascii="Abadi" w:hAnsi="Abadi" w:cs="*Microsoft Sans Serif-10826-Ide"/>
          <w:color w:val="2A2A2A"/>
          <w:sz w:val="21"/>
          <w:szCs w:val="21"/>
        </w:rPr>
        <w:t>disposiciones que se establecen en esta Ley.</w:t>
      </w:r>
    </w:p>
    <w:p w14:paraId="50975728" w14:textId="77777777" w:rsidR="00366FFB" w:rsidRPr="00743CF7" w:rsidRDefault="00366FFB" w:rsidP="00366FFB">
      <w:pPr>
        <w:autoSpaceDE w:val="0"/>
        <w:autoSpaceDN w:val="0"/>
        <w:adjustRightInd w:val="0"/>
        <w:jc w:val="both"/>
        <w:rPr>
          <w:rFonts w:ascii="Abadi" w:hAnsi="Abadi" w:cs="*Calibri-Bold-10825-Identity-H"/>
          <w:b/>
          <w:bCs/>
          <w:color w:val="0D0D0D"/>
          <w:sz w:val="21"/>
          <w:szCs w:val="21"/>
        </w:rPr>
      </w:pPr>
    </w:p>
    <w:p w14:paraId="58F7850D" w14:textId="77777777" w:rsidR="00366FFB" w:rsidRDefault="00366FFB" w:rsidP="00366FFB">
      <w:pPr>
        <w:autoSpaceDE w:val="0"/>
        <w:autoSpaceDN w:val="0"/>
        <w:adjustRightInd w:val="0"/>
        <w:jc w:val="center"/>
        <w:rPr>
          <w:rFonts w:ascii="Abadi" w:hAnsi="Abadi" w:cs="*Calibri-Bold-10825-Identity-H"/>
          <w:b/>
          <w:bCs/>
          <w:color w:val="0D0D0D"/>
          <w:sz w:val="21"/>
          <w:szCs w:val="21"/>
        </w:rPr>
      </w:pPr>
      <w:r w:rsidRPr="00743CF7">
        <w:rPr>
          <w:rFonts w:ascii="Abadi" w:hAnsi="Abadi" w:cs="*Calibri-Bold-10825-Identity-H"/>
          <w:b/>
          <w:bCs/>
          <w:color w:val="0D0D0D"/>
          <w:sz w:val="21"/>
          <w:szCs w:val="21"/>
        </w:rPr>
        <w:t>Capítulo II</w:t>
      </w:r>
    </w:p>
    <w:p w14:paraId="2AB836AA" w14:textId="77777777" w:rsidR="00366FFB" w:rsidRPr="00743CF7" w:rsidRDefault="00366FFB" w:rsidP="00366FFB">
      <w:pPr>
        <w:autoSpaceDE w:val="0"/>
        <w:autoSpaceDN w:val="0"/>
        <w:adjustRightInd w:val="0"/>
        <w:jc w:val="center"/>
        <w:rPr>
          <w:rFonts w:ascii="Abadi" w:hAnsi="Abadi" w:cs="*Calibri-Bold-10825-Identity-H"/>
          <w:b/>
          <w:bCs/>
          <w:color w:val="0D0D0D"/>
          <w:sz w:val="21"/>
          <w:szCs w:val="21"/>
        </w:rPr>
      </w:pPr>
    </w:p>
    <w:p w14:paraId="7815E3A8" w14:textId="77777777" w:rsidR="00366FFB" w:rsidRPr="00743CF7" w:rsidRDefault="00366FFB" w:rsidP="00366FFB">
      <w:pPr>
        <w:autoSpaceDE w:val="0"/>
        <w:autoSpaceDN w:val="0"/>
        <w:adjustRightInd w:val="0"/>
        <w:jc w:val="center"/>
        <w:rPr>
          <w:rFonts w:ascii="Abadi" w:hAnsi="Abadi" w:cs="*Microsoft Sans Serif-BoldItali"/>
          <w:b/>
          <w:bCs/>
          <w:i/>
          <w:iCs/>
          <w:color w:val="111111"/>
          <w:sz w:val="21"/>
          <w:szCs w:val="21"/>
        </w:rPr>
      </w:pPr>
      <w:r w:rsidRPr="00743CF7">
        <w:rPr>
          <w:rFonts w:ascii="Abadi" w:hAnsi="Abadi" w:cs="*Microsoft Sans Serif-BoldItali"/>
          <w:b/>
          <w:bCs/>
          <w:i/>
          <w:iCs/>
          <w:color w:val="111111"/>
          <w:sz w:val="21"/>
          <w:szCs w:val="21"/>
        </w:rPr>
        <w:t xml:space="preserve">Actores fundamentales para la planeación </w:t>
      </w:r>
      <w:r w:rsidRPr="00743CF7">
        <w:rPr>
          <w:rFonts w:ascii="Abadi" w:hAnsi="Abadi" w:cs="*Microsoft Sans Serif-10826-Ide"/>
          <w:color w:val="111111"/>
          <w:sz w:val="21"/>
          <w:szCs w:val="21"/>
        </w:rPr>
        <w:t xml:space="preserve">y </w:t>
      </w:r>
      <w:r w:rsidRPr="00743CF7">
        <w:rPr>
          <w:rFonts w:ascii="Abadi" w:hAnsi="Abadi" w:cs="*Microsoft Sans Serif-BoldItali"/>
          <w:b/>
          <w:bCs/>
          <w:i/>
          <w:iCs/>
          <w:color w:val="111111"/>
          <w:sz w:val="21"/>
          <w:szCs w:val="21"/>
        </w:rPr>
        <w:t>desarrollo de la Educación Superior Comisión</w:t>
      </w:r>
    </w:p>
    <w:p w14:paraId="7ACBA44E" w14:textId="77777777" w:rsidR="00366FFB" w:rsidRDefault="00366FFB" w:rsidP="00366FFB">
      <w:pPr>
        <w:autoSpaceDE w:val="0"/>
        <w:autoSpaceDN w:val="0"/>
        <w:adjustRightInd w:val="0"/>
        <w:jc w:val="center"/>
        <w:rPr>
          <w:rFonts w:ascii="Abadi" w:hAnsi="Abadi" w:cs="*Microsoft Sans Serif-BoldItali"/>
          <w:b/>
          <w:bCs/>
          <w:i/>
          <w:iCs/>
          <w:color w:val="111111"/>
          <w:sz w:val="21"/>
          <w:szCs w:val="21"/>
        </w:rPr>
      </w:pPr>
    </w:p>
    <w:p w14:paraId="716B4356" w14:textId="77777777" w:rsidR="00366FFB" w:rsidRPr="00743CF7" w:rsidRDefault="00366FFB" w:rsidP="00366FFB">
      <w:pPr>
        <w:autoSpaceDE w:val="0"/>
        <w:autoSpaceDN w:val="0"/>
        <w:adjustRightInd w:val="0"/>
        <w:jc w:val="right"/>
        <w:rPr>
          <w:rFonts w:ascii="Abadi" w:hAnsi="Abadi" w:cs="*Microsoft Sans Serif-BoldItali"/>
          <w:b/>
          <w:bCs/>
          <w:i/>
          <w:iCs/>
          <w:color w:val="111111"/>
          <w:sz w:val="21"/>
          <w:szCs w:val="21"/>
        </w:rPr>
      </w:pPr>
      <w:r w:rsidRPr="00743CF7">
        <w:rPr>
          <w:rFonts w:ascii="Abadi" w:hAnsi="Abadi" w:cs="*Microsoft Sans Serif-BoldItali"/>
          <w:b/>
          <w:bCs/>
          <w:i/>
          <w:iCs/>
          <w:color w:val="111111"/>
          <w:sz w:val="21"/>
          <w:szCs w:val="21"/>
        </w:rPr>
        <w:t>Estatal para la Planeación de la Educación Superior</w:t>
      </w:r>
    </w:p>
    <w:p w14:paraId="3B0335F3" w14:textId="77777777" w:rsidR="00366FFB" w:rsidRPr="00743CF7" w:rsidRDefault="00366FFB" w:rsidP="00366FFB">
      <w:pPr>
        <w:autoSpaceDE w:val="0"/>
        <w:autoSpaceDN w:val="0"/>
        <w:adjustRightInd w:val="0"/>
        <w:jc w:val="both"/>
        <w:rPr>
          <w:rFonts w:ascii="Abadi" w:hAnsi="Abadi" w:cs="*Calibri-Bold-10825-Identity-H"/>
          <w:b/>
          <w:bCs/>
          <w:color w:val="282828"/>
          <w:sz w:val="21"/>
          <w:szCs w:val="21"/>
        </w:rPr>
      </w:pPr>
    </w:p>
    <w:p w14:paraId="053980ED" w14:textId="77777777" w:rsidR="00366FFB" w:rsidRDefault="00366FFB" w:rsidP="00366FFB">
      <w:pPr>
        <w:autoSpaceDE w:val="0"/>
        <w:autoSpaceDN w:val="0"/>
        <w:adjustRightInd w:val="0"/>
        <w:ind w:firstLine="708"/>
        <w:jc w:val="both"/>
        <w:rPr>
          <w:rFonts w:ascii="Abadi" w:hAnsi="Abadi" w:cs="*Microsoft Sans Serif-10826-Ide"/>
          <w:color w:val="282828"/>
          <w:sz w:val="21"/>
          <w:szCs w:val="21"/>
        </w:rPr>
      </w:pPr>
      <w:r w:rsidRPr="00743CF7">
        <w:rPr>
          <w:rFonts w:ascii="Abadi" w:hAnsi="Abadi" w:cs="*Calibri-Bold-10825-Identity-H"/>
          <w:b/>
          <w:bCs/>
          <w:color w:val="282828"/>
          <w:sz w:val="21"/>
          <w:szCs w:val="21"/>
        </w:rPr>
        <w:t xml:space="preserve">Artículo 73. </w:t>
      </w:r>
      <w:r w:rsidRPr="00743CF7">
        <w:rPr>
          <w:rFonts w:ascii="Abadi" w:hAnsi="Abadi" w:cs="*Microsoft Sans Serif-10826-Ide"/>
          <w:color w:val="282828"/>
          <w:sz w:val="21"/>
          <w:szCs w:val="21"/>
        </w:rPr>
        <w:t>El Estado contará con una Comisión Estatal para la Planeación</w:t>
      </w:r>
      <w:r>
        <w:rPr>
          <w:rFonts w:ascii="Abadi" w:hAnsi="Abadi" w:cs="*Microsoft Sans Serif-10826-Ide"/>
          <w:color w:val="282828"/>
          <w:sz w:val="21"/>
          <w:szCs w:val="21"/>
        </w:rPr>
        <w:t xml:space="preserve"> </w:t>
      </w:r>
      <w:r w:rsidRPr="00743CF7">
        <w:rPr>
          <w:rFonts w:ascii="Abadi" w:hAnsi="Abadi" w:cs="*Microsoft Sans Serif-10826-Ide"/>
          <w:color w:val="282828"/>
          <w:sz w:val="21"/>
          <w:szCs w:val="21"/>
        </w:rPr>
        <w:t>de la Educación Superior, para la coordinación de las estrategias, programas y</w:t>
      </w:r>
      <w:r>
        <w:rPr>
          <w:rFonts w:ascii="Abadi" w:hAnsi="Abadi" w:cs="*Microsoft Sans Serif-10826-Ide"/>
          <w:color w:val="282828"/>
          <w:sz w:val="21"/>
          <w:szCs w:val="21"/>
        </w:rPr>
        <w:t xml:space="preserve"> </w:t>
      </w:r>
      <w:r w:rsidRPr="00743CF7">
        <w:rPr>
          <w:rFonts w:ascii="Abadi" w:hAnsi="Abadi" w:cs="*Microsoft Sans Serif-10826-Ide"/>
          <w:color w:val="282828"/>
          <w:sz w:val="21"/>
          <w:szCs w:val="21"/>
        </w:rPr>
        <w:t>proyectos, así como para la planeación del desarrollo de la educación superior.</w:t>
      </w:r>
      <w:r>
        <w:rPr>
          <w:rFonts w:ascii="Abadi" w:hAnsi="Abadi" w:cs="*Microsoft Sans Serif-10826-Ide"/>
          <w:color w:val="282828"/>
          <w:sz w:val="21"/>
          <w:szCs w:val="21"/>
        </w:rPr>
        <w:t xml:space="preserve"> </w:t>
      </w:r>
    </w:p>
    <w:p w14:paraId="0A13A8D1" w14:textId="77777777" w:rsidR="00366FFB" w:rsidRDefault="00366FFB" w:rsidP="00366FFB">
      <w:pPr>
        <w:autoSpaceDE w:val="0"/>
        <w:autoSpaceDN w:val="0"/>
        <w:adjustRightInd w:val="0"/>
        <w:jc w:val="both"/>
        <w:rPr>
          <w:rFonts w:ascii="Abadi" w:hAnsi="Abadi" w:cs="*Microsoft Sans Serif-10826-Ide"/>
          <w:color w:val="282828"/>
          <w:sz w:val="21"/>
          <w:szCs w:val="21"/>
        </w:rPr>
      </w:pPr>
    </w:p>
    <w:p w14:paraId="2F400D8D" w14:textId="77777777" w:rsidR="00366FFB" w:rsidRPr="00743CF7" w:rsidRDefault="00366FFB" w:rsidP="00366FFB">
      <w:pPr>
        <w:autoSpaceDE w:val="0"/>
        <w:autoSpaceDN w:val="0"/>
        <w:adjustRightInd w:val="0"/>
        <w:jc w:val="both"/>
        <w:rPr>
          <w:rFonts w:ascii="Abadi" w:hAnsi="Abadi" w:cs="*Microsoft Sans Serif-10826-Ide"/>
          <w:color w:val="2B2B2B"/>
          <w:sz w:val="21"/>
          <w:szCs w:val="21"/>
        </w:rPr>
      </w:pPr>
      <w:r w:rsidRPr="00743CF7">
        <w:rPr>
          <w:rFonts w:ascii="Abadi" w:hAnsi="Abadi" w:cs="*Microsoft Sans Serif-10826-Ide"/>
          <w:color w:val="2B2B2B"/>
          <w:sz w:val="21"/>
          <w:szCs w:val="21"/>
        </w:rPr>
        <w:t>La referida Comisión, se regulará conforme a lo siguiente:</w:t>
      </w:r>
    </w:p>
    <w:p w14:paraId="4754B9D5" w14:textId="77777777" w:rsidR="00366FFB" w:rsidRPr="00743CF7" w:rsidRDefault="00366FFB" w:rsidP="00366FFB">
      <w:pPr>
        <w:autoSpaceDE w:val="0"/>
        <w:autoSpaceDN w:val="0"/>
        <w:adjustRightInd w:val="0"/>
        <w:jc w:val="both"/>
        <w:rPr>
          <w:rFonts w:ascii="Abadi" w:hAnsi="Abadi" w:cs="*Microsoft Sans Serif-10826-Ide"/>
          <w:color w:val="262626"/>
          <w:sz w:val="21"/>
          <w:szCs w:val="21"/>
        </w:rPr>
      </w:pPr>
    </w:p>
    <w:p w14:paraId="1869F187" w14:textId="77777777" w:rsidR="00366FFB" w:rsidRPr="005E531F" w:rsidRDefault="00366FFB" w:rsidP="005C6EBB">
      <w:pPr>
        <w:pStyle w:val="Prrafodelista"/>
        <w:numPr>
          <w:ilvl w:val="0"/>
          <w:numId w:val="36"/>
        </w:numPr>
        <w:autoSpaceDE w:val="0"/>
        <w:autoSpaceDN w:val="0"/>
        <w:adjustRightInd w:val="0"/>
        <w:contextualSpacing/>
        <w:jc w:val="both"/>
        <w:rPr>
          <w:rFonts w:ascii="Abadi" w:hAnsi="Abadi" w:cs="*Microsoft Sans Serif-10826-Ide"/>
          <w:color w:val="262626"/>
          <w:sz w:val="21"/>
          <w:szCs w:val="21"/>
        </w:rPr>
      </w:pPr>
      <w:r w:rsidRPr="005E531F">
        <w:rPr>
          <w:rFonts w:ascii="Abadi" w:hAnsi="Abadi" w:cs="*Microsoft Sans Serif-10826-Ide"/>
          <w:color w:val="262626"/>
          <w:sz w:val="21"/>
          <w:szCs w:val="21"/>
        </w:rPr>
        <w:t>Se integrará por al menos una persona representante de:</w:t>
      </w:r>
    </w:p>
    <w:p w14:paraId="33639705" w14:textId="77777777" w:rsidR="00366FFB" w:rsidRDefault="00366FFB" w:rsidP="00366FFB">
      <w:pPr>
        <w:autoSpaceDE w:val="0"/>
        <w:autoSpaceDN w:val="0"/>
        <w:adjustRightInd w:val="0"/>
        <w:ind w:left="1080"/>
        <w:jc w:val="both"/>
        <w:rPr>
          <w:rFonts w:ascii="Abadi" w:hAnsi="Abadi" w:cs="*Microsoft Sans Serif-10826-Ide"/>
          <w:color w:val="262626"/>
          <w:sz w:val="21"/>
          <w:szCs w:val="21"/>
        </w:rPr>
      </w:pPr>
    </w:p>
    <w:p w14:paraId="0EA55F87" w14:textId="77777777" w:rsidR="00366FFB" w:rsidRPr="005E531F" w:rsidRDefault="00366FFB" w:rsidP="005C6EBB">
      <w:pPr>
        <w:pStyle w:val="Prrafodelista"/>
        <w:numPr>
          <w:ilvl w:val="0"/>
          <w:numId w:val="37"/>
        </w:numPr>
        <w:autoSpaceDE w:val="0"/>
        <w:autoSpaceDN w:val="0"/>
        <w:adjustRightInd w:val="0"/>
        <w:contextualSpacing/>
        <w:jc w:val="both"/>
        <w:rPr>
          <w:rFonts w:ascii="Abadi" w:hAnsi="Abadi" w:cs="*Microsoft Sans Serif-10826-Ide"/>
          <w:color w:val="262626"/>
          <w:sz w:val="21"/>
          <w:szCs w:val="21"/>
        </w:rPr>
      </w:pPr>
      <w:r w:rsidRPr="005E531F">
        <w:rPr>
          <w:rFonts w:ascii="Abadi" w:hAnsi="Abadi" w:cs="*Microsoft Sans Serif-10826-Ide"/>
          <w:color w:val="262626"/>
          <w:sz w:val="21"/>
          <w:szCs w:val="21"/>
        </w:rPr>
        <w:t>La Secretaría;</w:t>
      </w:r>
    </w:p>
    <w:p w14:paraId="794E872B" w14:textId="77777777" w:rsidR="00366FFB" w:rsidRPr="00743CF7" w:rsidRDefault="00366FFB" w:rsidP="00366FFB">
      <w:pPr>
        <w:autoSpaceDE w:val="0"/>
        <w:autoSpaceDN w:val="0"/>
        <w:adjustRightInd w:val="0"/>
        <w:jc w:val="both"/>
        <w:rPr>
          <w:rFonts w:ascii="Abadi" w:hAnsi="Abadi" w:cs="*Microsoft Sans Serif-10826-Ide"/>
          <w:color w:val="262626"/>
          <w:sz w:val="21"/>
          <w:szCs w:val="21"/>
        </w:rPr>
      </w:pPr>
    </w:p>
    <w:p w14:paraId="54A4879D" w14:textId="77777777" w:rsidR="00366FFB" w:rsidRPr="005E531F" w:rsidRDefault="00366FFB" w:rsidP="005C6EBB">
      <w:pPr>
        <w:pStyle w:val="Prrafodelista"/>
        <w:numPr>
          <w:ilvl w:val="0"/>
          <w:numId w:val="37"/>
        </w:numPr>
        <w:autoSpaceDE w:val="0"/>
        <w:autoSpaceDN w:val="0"/>
        <w:adjustRightInd w:val="0"/>
        <w:contextualSpacing/>
        <w:jc w:val="both"/>
        <w:rPr>
          <w:rFonts w:ascii="Abadi" w:hAnsi="Abadi" w:cs="*Microsoft Sans Serif-10826-Ide"/>
          <w:color w:val="252525"/>
          <w:sz w:val="21"/>
          <w:szCs w:val="21"/>
        </w:rPr>
      </w:pPr>
      <w:r w:rsidRPr="005E531F">
        <w:rPr>
          <w:rFonts w:ascii="Abadi" w:hAnsi="Abadi" w:cs="*Microsoft Sans Serif-10826-Ide"/>
          <w:color w:val="252525"/>
          <w:sz w:val="21"/>
          <w:szCs w:val="21"/>
        </w:rPr>
        <w:t>La Autoridad Educativa Federal;</w:t>
      </w:r>
    </w:p>
    <w:p w14:paraId="46F369C7" w14:textId="77777777" w:rsidR="00366FFB" w:rsidRPr="00743CF7" w:rsidRDefault="00366FFB" w:rsidP="00366FFB">
      <w:pPr>
        <w:autoSpaceDE w:val="0"/>
        <w:autoSpaceDN w:val="0"/>
        <w:adjustRightInd w:val="0"/>
        <w:jc w:val="both"/>
        <w:rPr>
          <w:rFonts w:ascii="Abadi" w:hAnsi="Abadi" w:cs="*Microsoft Sans Serif-10826-Ide"/>
          <w:color w:val="252525"/>
          <w:sz w:val="21"/>
          <w:szCs w:val="21"/>
        </w:rPr>
      </w:pPr>
    </w:p>
    <w:p w14:paraId="032DC5AC" w14:textId="77777777" w:rsidR="00366FFB" w:rsidRPr="005E531F" w:rsidRDefault="00366FFB" w:rsidP="005C6EBB">
      <w:pPr>
        <w:pStyle w:val="Prrafodelista"/>
        <w:numPr>
          <w:ilvl w:val="0"/>
          <w:numId w:val="37"/>
        </w:numPr>
        <w:autoSpaceDE w:val="0"/>
        <w:autoSpaceDN w:val="0"/>
        <w:adjustRightInd w:val="0"/>
        <w:contextualSpacing/>
        <w:jc w:val="both"/>
        <w:rPr>
          <w:rFonts w:ascii="Abadi" w:hAnsi="Abadi" w:cs="*Microsoft Sans Serif-10826-Ide"/>
          <w:color w:val="292929"/>
          <w:sz w:val="21"/>
          <w:szCs w:val="21"/>
        </w:rPr>
      </w:pPr>
      <w:r w:rsidRPr="005E531F">
        <w:rPr>
          <w:rFonts w:ascii="Abadi" w:hAnsi="Abadi" w:cs="*Microsoft Sans Serif-10826-Ide"/>
          <w:color w:val="292929"/>
          <w:sz w:val="21"/>
          <w:szCs w:val="21"/>
        </w:rPr>
        <w:t>Instituciones públicas de educación s</w:t>
      </w:r>
      <w:r w:rsidRPr="005E531F">
        <w:rPr>
          <w:rFonts w:ascii="Abadi" w:hAnsi="Abadi" w:cs="*Microsoft Sans Serif-10826-Ide"/>
          <w:color w:val="ADADAD"/>
          <w:sz w:val="21"/>
          <w:szCs w:val="21"/>
        </w:rPr>
        <w:t>u</w:t>
      </w:r>
      <w:r w:rsidRPr="005E531F">
        <w:rPr>
          <w:rFonts w:ascii="Abadi" w:hAnsi="Abadi" w:cs="*Microsoft Sans Serif-10826-Ide"/>
          <w:color w:val="292929"/>
          <w:sz w:val="21"/>
          <w:szCs w:val="21"/>
        </w:rPr>
        <w:t>pe</w:t>
      </w:r>
      <w:r w:rsidRPr="005E531F">
        <w:rPr>
          <w:rFonts w:ascii="Abadi" w:hAnsi="Abadi" w:cs="*Microsoft Sans Serif-10826-Ide"/>
          <w:color w:val="3C3C3C"/>
          <w:sz w:val="21"/>
          <w:szCs w:val="21"/>
        </w:rPr>
        <w:t>r</w:t>
      </w:r>
      <w:r w:rsidRPr="005E531F">
        <w:rPr>
          <w:rFonts w:ascii="Abadi" w:hAnsi="Abadi" w:cs="*Microsoft Sans Serif-10826-Ide"/>
          <w:color w:val="292929"/>
          <w:sz w:val="21"/>
          <w:szCs w:val="21"/>
        </w:rPr>
        <w:t>ior de cada uno de los tres subsistemas en la entidad;</w:t>
      </w:r>
    </w:p>
    <w:p w14:paraId="0E050AD0" w14:textId="77777777" w:rsidR="00366FFB" w:rsidRPr="00743CF7" w:rsidRDefault="00366FFB" w:rsidP="00366FFB">
      <w:pPr>
        <w:autoSpaceDE w:val="0"/>
        <w:autoSpaceDN w:val="0"/>
        <w:adjustRightInd w:val="0"/>
        <w:jc w:val="both"/>
        <w:rPr>
          <w:rFonts w:ascii="Abadi" w:hAnsi="Abadi" w:cs="*Microsoft Sans Serif-10826-Ide"/>
          <w:color w:val="292929"/>
          <w:sz w:val="21"/>
          <w:szCs w:val="21"/>
        </w:rPr>
      </w:pPr>
    </w:p>
    <w:p w14:paraId="727C914C" w14:textId="77777777" w:rsidR="00366FFB" w:rsidRPr="005E531F" w:rsidRDefault="00366FFB" w:rsidP="005C6EBB">
      <w:pPr>
        <w:pStyle w:val="Prrafodelista"/>
        <w:numPr>
          <w:ilvl w:val="0"/>
          <w:numId w:val="37"/>
        </w:numPr>
        <w:autoSpaceDE w:val="0"/>
        <w:autoSpaceDN w:val="0"/>
        <w:adjustRightInd w:val="0"/>
        <w:contextualSpacing/>
        <w:jc w:val="both"/>
        <w:rPr>
          <w:rFonts w:ascii="Abadi" w:hAnsi="Abadi" w:cs="*Microsoft Sans Serif-10826-Ide"/>
          <w:color w:val="262626"/>
          <w:sz w:val="21"/>
          <w:szCs w:val="21"/>
        </w:rPr>
      </w:pPr>
      <w:r w:rsidRPr="005E531F">
        <w:rPr>
          <w:rFonts w:ascii="Abadi" w:hAnsi="Abadi" w:cs="*Microsoft Sans Serif-10826-Ide"/>
          <w:color w:val="262626"/>
          <w:sz w:val="21"/>
          <w:szCs w:val="21"/>
        </w:rPr>
        <w:t>Instituciones de educación superior particulares de la entidad;</w:t>
      </w:r>
    </w:p>
    <w:p w14:paraId="2FDF093F" w14:textId="77777777" w:rsidR="00366FFB" w:rsidRPr="00743CF7" w:rsidRDefault="00366FFB" w:rsidP="00366FFB">
      <w:pPr>
        <w:autoSpaceDE w:val="0"/>
        <w:autoSpaceDN w:val="0"/>
        <w:adjustRightInd w:val="0"/>
        <w:jc w:val="both"/>
        <w:rPr>
          <w:rFonts w:ascii="Abadi" w:hAnsi="Abadi" w:cs="*Microsoft Sans Serif-10826-Ide"/>
          <w:color w:val="262626"/>
          <w:sz w:val="21"/>
          <w:szCs w:val="21"/>
        </w:rPr>
      </w:pPr>
    </w:p>
    <w:p w14:paraId="1A727A73" w14:textId="4B491CB0" w:rsidR="00366FFB" w:rsidRPr="005E531F" w:rsidRDefault="00366FFB" w:rsidP="005C6EBB">
      <w:pPr>
        <w:pStyle w:val="Prrafodelista"/>
        <w:numPr>
          <w:ilvl w:val="0"/>
          <w:numId w:val="37"/>
        </w:numPr>
        <w:autoSpaceDE w:val="0"/>
        <w:autoSpaceDN w:val="0"/>
        <w:adjustRightInd w:val="0"/>
        <w:contextualSpacing/>
        <w:jc w:val="both"/>
        <w:rPr>
          <w:rFonts w:ascii="Abadi" w:hAnsi="Abadi" w:cs="*Times New Roman-Italic-10821-I"/>
          <w:i/>
          <w:iCs/>
          <w:color w:val="292929"/>
          <w:sz w:val="21"/>
          <w:szCs w:val="21"/>
        </w:rPr>
      </w:pPr>
      <w:r w:rsidRPr="005E531F">
        <w:rPr>
          <w:rFonts w:ascii="Abadi" w:hAnsi="Abadi" w:cs="*Microsoft Sans Serif-10826-Ide"/>
          <w:color w:val="292929"/>
          <w:sz w:val="21"/>
          <w:szCs w:val="21"/>
        </w:rPr>
        <w:t xml:space="preserve">La instancia estatal de </w:t>
      </w:r>
      <w:r w:rsidR="00F2244A" w:rsidRPr="005E531F">
        <w:rPr>
          <w:rFonts w:ascii="Abadi" w:hAnsi="Abadi" w:cs="*Microsoft Sans Serif-10826-Ide"/>
          <w:color w:val="292929"/>
          <w:sz w:val="21"/>
          <w:szCs w:val="21"/>
        </w:rPr>
        <w:t>vinculación</w:t>
      </w:r>
      <w:r w:rsidRPr="005E531F">
        <w:rPr>
          <w:rFonts w:ascii="Abadi" w:hAnsi="Abadi" w:cs="*Microsoft Sans Serif-10826-Ide"/>
          <w:color w:val="292929"/>
          <w:sz w:val="21"/>
          <w:szCs w:val="21"/>
        </w:rPr>
        <w:t xml:space="preserve"> consulta y participación social; </w:t>
      </w:r>
      <w:r w:rsidRPr="005E531F">
        <w:rPr>
          <w:rFonts w:ascii="Abadi" w:hAnsi="Abadi" w:cs="*Times New Roman-Italic-10821-I"/>
          <w:i/>
          <w:iCs/>
          <w:color w:val="292929"/>
          <w:sz w:val="21"/>
          <w:szCs w:val="21"/>
        </w:rPr>
        <w:t>y</w:t>
      </w:r>
    </w:p>
    <w:p w14:paraId="34D048F9" w14:textId="77777777" w:rsidR="00366FFB" w:rsidRDefault="00366FFB" w:rsidP="00366FFB">
      <w:pPr>
        <w:autoSpaceDE w:val="0"/>
        <w:autoSpaceDN w:val="0"/>
        <w:adjustRightInd w:val="0"/>
        <w:jc w:val="both"/>
        <w:rPr>
          <w:rFonts w:ascii="Abadi" w:hAnsi="Abadi" w:cs="*Microsoft Sans Serif-10826-Ide"/>
          <w:color w:val="282828"/>
          <w:sz w:val="21"/>
          <w:szCs w:val="21"/>
        </w:rPr>
      </w:pPr>
    </w:p>
    <w:p w14:paraId="358C3EF7" w14:textId="77777777" w:rsidR="00366FFB" w:rsidRDefault="00366FFB" w:rsidP="005C6EBB">
      <w:pPr>
        <w:pStyle w:val="Prrafodelista"/>
        <w:numPr>
          <w:ilvl w:val="0"/>
          <w:numId w:val="37"/>
        </w:numPr>
        <w:autoSpaceDE w:val="0"/>
        <w:autoSpaceDN w:val="0"/>
        <w:adjustRightInd w:val="0"/>
        <w:contextualSpacing/>
        <w:jc w:val="both"/>
        <w:rPr>
          <w:rFonts w:ascii="Abadi" w:hAnsi="Abadi" w:cs="*Microsoft Sans Serif-10826-Ide"/>
          <w:color w:val="282828"/>
          <w:sz w:val="21"/>
          <w:szCs w:val="21"/>
        </w:rPr>
      </w:pPr>
      <w:r w:rsidRPr="005E531F">
        <w:rPr>
          <w:rFonts w:ascii="Abadi" w:hAnsi="Abadi" w:cs="*Microsoft Sans Serif-10826-Ide"/>
          <w:color w:val="282828"/>
          <w:sz w:val="21"/>
          <w:szCs w:val="21"/>
        </w:rPr>
        <w:t xml:space="preserve">El Sistema estatal de ciencia </w:t>
      </w:r>
      <w:r w:rsidRPr="005E531F">
        <w:rPr>
          <w:rFonts w:ascii="Abadi" w:hAnsi="Abadi" w:cs="*Times New Roman-Italic-10821-I"/>
          <w:i/>
          <w:iCs/>
          <w:color w:val="282828"/>
          <w:sz w:val="21"/>
          <w:szCs w:val="21"/>
        </w:rPr>
        <w:t xml:space="preserve">y </w:t>
      </w:r>
      <w:r w:rsidRPr="005E531F">
        <w:rPr>
          <w:rFonts w:ascii="Abadi" w:hAnsi="Abadi" w:cs="*Microsoft Sans Serif-10826-Ide"/>
          <w:color w:val="282828"/>
          <w:sz w:val="21"/>
          <w:szCs w:val="21"/>
        </w:rPr>
        <w:t>tecnología o el organismo competente en estas materias o su equivalente.</w:t>
      </w:r>
    </w:p>
    <w:p w14:paraId="605860A5" w14:textId="77777777" w:rsidR="00366FFB" w:rsidRPr="005E531F" w:rsidRDefault="00366FFB" w:rsidP="00366FFB">
      <w:pPr>
        <w:pStyle w:val="Prrafodelista"/>
        <w:rPr>
          <w:rFonts w:ascii="Abadi" w:hAnsi="Abadi" w:cs="*Microsoft Sans Serif-10826-Ide"/>
          <w:color w:val="282828"/>
          <w:sz w:val="21"/>
          <w:szCs w:val="21"/>
        </w:rPr>
      </w:pPr>
    </w:p>
    <w:p w14:paraId="39808EC1" w14:textId="77777777" w:rsidR="00366FFB" w:rsidRPr="005E531F" w:rsidRDefault="00366FFB" w:rsidP="00366FFB">
      <w:pPr>
        <w:pStyle w:val="Prrafodelista"/>
        <w:autoSpaceDE w:val="0"/>
        <w:autoSpaceDN w:val="0"/>
        <w:adjustRightInd w:val="0"/>
        <w:ind w:left="720"/>
        <w:jc w:val="both"/>
        <w:rPr>
          <w:rFonts w:ascii="Abadi" w:hAnsi="Abadi" w:cs="*Microsoft Sans Serif-10826-Ide"/>
          <w:color w:val="282828"/>
          <w:sz w:val="21"/>
          <w:szCs w:val="21"/>
        </w:rPr>
      </w:pPr>
    </w:p>
    <w:p w14:paraId="13F162C6" w14:textId="77777777" w:rsidR="00366FFB" w:rsidRPr="005E531F" w:rsidRDefault="00366FFB" w:rsidP="005C6EBB">
      <w:pPr>
        <w:pStyle w:val="Prrafodelista"/>
        <w:numPr>
          <w:ilvl w:val="0"/>
          <w:numId w:val="36"/>
        </w:numPr>
        <w:autoSpaceDE w:val="0"/>
        <w:autoSpaceDN w:val="0"/>
        <w:adjustRightInd w:val="0"/>
        <w:contextualSpacing/>
        <w:jc w:val="both"/>
        <w:rPr>
          <w:rFonts w:ascii="Abadi" w:hAnsi="Abadi" w:cs="*Microsoft Sans Serif-10826-Ide"/>
          <w:color w:val="292929"/>
          <w:sz w:val="21"/>
          <w:szCs w:val="21"/>
        </w:rPr>
      </w:pPr>
      <w:r w:rsidRPr="005E531F">
        <w:rPr>
          <w:rFonts w:ascii="Abadi" w:hAnsi="Abadi" w:cs="*Microsoft Sans Serif-10826-Ide"/>
          <w:color w:val="292929"/>
          <w:sz w:val="21"/>
          <w:szCs w:val="21"/>
        </w:rPr>
        <w:t xml:space="preserve">A sus sesiones se podrá invitar a personas representantes de los sectores social </w:t>
      </w:r>
      <w:r w:rsidRPr="005E531F">
        <w:rPr>
          <w:rFonts w:ascii="Abadi" w:hAnsi="Abadi" w:cs="*Times New Roman-Italic-10820-I"/>
          <w:i/>
          <w:iCs/>
          <w:color w:val="292929"/>
          <w:sz w:val="21"/>
          <w:szCs w:val="21"/>
        </w:rPr>
        <w:t xml:space="preserve">y </w:t>
      </w:r>
      <w:r w:rsidRPr="005E531F">
        <w:rPr>
          <w:rFonts w:ascii="Abadi" w:hAnsi="Abadi" w:cs="*Microsoft Sans Serif-10826-Ide"/>
          <w:color w:val="292929"/>
          <w:sz w:val="21"/>
          <w:szCs w:val="21"/>
        </w:rPr>
        <w:t>productivo, quienes tendrán únicamente voz:,</w:t>
      </w:r>
    </w:p>
    <w:p w14:paraId="2E67058C" w14:textId="77777777" w:rsidR="00366FFB" w:rsidRDefault="00366FFB" w:rsidP="00366FFB">
      <w:pPr>
        <w:pStyle w:val="Prrafodelista"/>
        <w:autoSpaceDE w:val="0"/>
        <w:autoSpaceDN w:val="0"/>
        <w:adjustRightInd w:val="0"/>
        <w:ind w:left="720"/>
        <w:jc w:val="both"/>
        <w:rPr>
          <w:rFonts w:ascii="Abadi" w:hAnsi="Abadi" w:cs="*Microsoft Sans Serif-12379-Ide"/>
          <w:color w:val="282828"/>
          <w:sz w:val="21"/>
          <w:szCs w:val="21"/>
        </w:rPr>
      </w:pPr>
    </w:p>
    <w:p w14:paraId="414C8781" w14:textId="77777777" w:rsidR="00366FFB" w:rsidRPr="005E531F" w:rsidRDefault="00366FFB" w:rsidP="005C6EBB">
      <w:pPr>
        <w:pStyle w:val="Prrafodelista"/>
        <w:numPr>
          <w:ilvl w:val="0"/>
          <w:numId w:val="36"/>
        </w:numPr>
        <w:autoSpaceDE w:val="0"/>
        <w:autoSpaceDN w:val="0"/>
        <w:adjustRightInd w:val="0"/>
        <w:contextualSpacing/>
        <w:jc w:val="both"/>
        <w:rPr>
          <w:rFonts w:ascii="Abadi" w:hAnsi="Abadi" w:cs="*Microsoft Sans Serif-12379-Ide"/>
          <w:color w:val="282828"/>
          <w:sz w:val="21"/>
          <w:szCs w:val="21"/>
        </w:rPr>
      </w:pPr>
      <w:r w:rsidRPr="005E531F">
        <w:rPr>
          <w:rFonts w:ascii="Abadi" w:hAnsi="Abadi" w:cs="*Microsoft Sans Serif-12379-Ide"/>
          <w:color w:val="282828"/>
          <w:sz w:val="21"/>
          <w:szCs w:val="21"/>
        </w:rPr>
        <w:t>En la designación de las personas referidas, se buscará en lo posible la representación paritaria entre los géneros:</w:t>
      </w:r>
    </w:p>
    <w:p w14:paraId="2FF729D2" w14:textId="77777777" w:rsidR="00366FFB" w:rsidRPr="00743CF7" w:rsidRDefault="00366FFB" w:rsidP="00366FFB">
      <w:pPr>
        <w:autoSpaceDE w:val="0"/>
        <w:autoSpaceDN w:val="0"/>
        <w:adjustRightInd w:val="0"/>
        <w:jc w:val="both"/>
        <w:rPr>
          <w:rFonts w:ascii="Abadi" w:hAnsi="Abadi" w:cs="*Microsoft Sans Serif-12379-Ide"/>
          <w:color w:val="282828"/>
          <w:sz w:val="21"/>
          <w:szCs w:val="21"/>
        </w:rPr>
      </w:pPr>
    </w:p>
    <w:p w14:paraId="380C1B7B" w14:textId="77777777" w:rsidR="00366FFB" w:rsidRPr="004112C3" w:rsidRDefault="00366FFB" w:rsidP="005C6EBB">
      <w:pPr>
        <w:pStyle w:val="Prrafodelista"/>
        <w:numPr>
          <w:ilvl w:val="0"/>
          <w:numId w:val="36"/>
        </w:numPr>
        <w:autoSpaceDE w:val="0"/>
        <w:autoSpaceDN w:val="0"/>
        <w:adjustRightInd w:val="0"/>
        <w:contextualSpacing/>
        <w:jc w:val="both"/>
        <w:rPr>
          <w:rFonts w:ascii="Abadi" w:hAnsi="Abadi" w:cs="*Microsoft Sans Serif-12379-Ide"/>
          <w:color w:val="292929"/>
          <w:sz w:val="21"/>
          <w:szCs w:val="21"/>
        </w:rPr>
      </w:pPr>
      <w:r w:rsidRPr="004112C3">
        <w:rPr>
          <w:rFonts w:ascii="Abadi" w:hAnsi="Abadi" w:cs="*Microsoft Sans Serif-12379-Ide"/>
          <w:color w:val="282828"/>
          <w:sz w:val="21"/>
          <w:szCs w:val="21"/>
        </w:rPr>
        <w:t>Las personas que integren la comisión estatal o instancia equivalente deberán gozar de reconocimiento en el ámbito académico de la educación superior. La forma de integración de la Comisión Estatal será determinada por la Secretaría, en consulta con las instituciones de educación superior;</w:t>
      </w:r>
    </w:p>
    <w:p w14:paraId="43870E62" w14:textId="77777777" w:rsidR="00366FFB" w:rsidRPr="004112C3" w:rsidRDefault="00366FFB" w:rsidP="00366FFB">
      <w:pPr>
        <w:pStyle w:val="Prrafodelista"/>
        <w:rPr>
          <w:rFonts w:ascii="Abadi" w:hAnsi="Abadi" w:cs="*Microsoft Sans Serif-12379-Ide"/>
          <w:color w:val="292929"/>
          <w:sz w:val="21"/>
          <w:szCs w:val="21"/>
        </w:rPr>
      </w:pPr>
    </w:p>
    <w:p w14:paraId="2F3F9121" w14:textId="77777777" w:rsidR="00366FFB" w:rsidRPr="004112C3" w:rsidRDefault="00366FFB" w:rsidP="005C6EBB">
      <w:pPr>
        <w:pStyle w:val="Prrafodelista"/>
        <w:numPr>
          <w:ilvl w:val="0"/>
          <w:numId w:val="36"/>
        </w:numPr>
        <w:autoSpaceDE w:val="0"/>
        <w:autoSpaceDN w:val="0"/>
        <w:adjustRightInd w:val="0"/>
        <w:contextualSpacing/>
        <w:jc w:val="both"/>
        <w:rPr>
          <w:rFonts w:ascii="Abadi" w:hAnsi="Abadi" w:cs="*Microsoft Sans Serif-12379-Ide"/>
          <w:color w:val="292929"/>
          <w:sz w:val="21"/>
          <w:szCs w:val="21"/>
        </w:rPr>
      </w:pPr>
      <w:r w:rsidRPr="004112C3">
        <w:rPr>
          <w:rFonts w:ascii="Abadi" w:hAnsi="Abadi" w:cs="*Microsoft Sans Serif-12379-Ide"/>
          <w:color w:val="292929"/>
          <w:sz w:val="21"/>
          <w:szCs w:val="21"/>
        </w:rPr>
        <w:t>La Comisión Estatal para la Planeación de la Educación Superior o instancia equivalente. además de las previstas en la Ley General de Educación Superior, tendrá las siguientes funciones:</w:t>
      </w:r>
    </w:p>
    <w:p w14:paraId="34AF7C6D" w14:textId="77777777" w:rsidR="00366FFB" w:rsidRPr="00743CF7" w:rsidRDefault="00366FFB" w:rsidP="00366FFB">
      <w:pPr>
        <w:autoSpaceDE w:val="0"/>
        <w:autoSpaceDN w:val="0"/>
        <w:adjustRightInd w:val="0"/>
        <w:jc w:val="both"/>
        <w:rPr>
          <w:rFonts w:ascii="Abadi" w:hAnsi="Abadi" w:cs="*Microsoft Sans Serif-12379-Ide"/>
          <w:color w:val="292929"/>
          <w:sz w:val="21"/>
          <w:szCs w:val="21"/>
        </w:rPr>
      </w:pPr>
    </w:p>
    <w:p w14:paraId="4B45287B"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379-Ide"/>
          <w:color w:val="292929"/>
          <w:sz w:val="21"/>
          <w:szCs w:val="21"/>
        </w:rPr>
      </w:pPr>
      <w:r w:rsidRPr="004112C3">
        <w:rPr>
          <w:rFonts w:ascii="Abadi" w:hAnsi="Abadi" w:cs="*Microsoft Sans Serif-12379-Ide"/>
          <w:color w:val="292929"/>
          <w:sz w:val="21"/>
          <w:szCs w:val="21"/>
        </w:rPr>
        <w:t xml:space="preserve">Planear </w:t>
      </w:r>
      <w:r w:rsidRPr="004112C3">
        <w:rPr>
          <w:rFonts w:ascii="Abadi" w:hAnsi="Abadi" w:cs="*Calibri-12378-Identity-H"/>
          <w:color w:val="292929"/>
          <w:sz w:val="21"/>
          <w:szCs w:val="21"/>
        </w:rPr>
        <w:t xml:space="preserve">y </w:t>
      </w:r>
      <w:r w:rsidRPr="004112C3">
        <w:rPr>
          <w:rFonts w:ascii="Abadi" w:hAnsi="Abadi" w:cs="*Microsoft Sans Serif-12379-Ide"/>
          <w:color w:val="292929"/>
          <w:sz w:val="21"/>
          <w:szCs w:val="21"/>
        </w:rPr>
        <w:t xml:space="preserve">propiciar el desarrollo de la educación superior de la entidad de manera concertada </w:t>
      </w:r>
      <w:r w:rsidRPr="004112C3">
        <w:rPr>
          <w:rFonts w:ascii="Abadi" w:hAnsi="Abadi" w:cs="*Times New Roman-Italic-12376-I"/>
          <w:i/>
          <w:iCs/>
          <w:color w:val="292929"/>
          <w:sz w:val="21"/>
          <w:szCs w:val="21"/>
        </w:rPr>
        <w:t xml:space="preserve">y </w:t>
      </w:r>
      <w:r w:rsidRPr="004112C3">
        <w:rPr>
          <w:rFonts w:ascii="Abadi" w:hAnsi="Abadi" w:cs="*Microsoft Sans Serif-12379-Ide"/>
          <w:color w:val="292929"/>
          <w:sz w:val="21"/>
          <w:szCs w:val="21"/>
        </w:rPr>
        <w:t>participativa entre la Secretaría y las instituciones de educación superior;</w:t>
      </w:r>
    </w:p>
    <w:p w14:paraId="372ECA14" w14:textId="77777777" w:rsidR="00366FFB" w:rsidRPr="00743CF7" w:rsidRDefault="00366FFB" w:rsidP="00366FFB">
      <w:pPr>
        <w:autoSpaceDE w:val="0"/>
        <w:autoSpaceDN w:val="0"/>
        <w:adjustRightInd w:val="0"/>
        <w:ind w:left="709"/>
        <w:jc w:val="both"/>
        <w:rPr>
          <w:rFonts w:ascii="Abadi" w:hAnsi="Abadi" w:cs="*Microsoft Sans Serif-12379-Ide"/>
          <w:color w:val="292929"/>
          <w:sz w:val="21"/>
          <w:szCs w:val="21"/>
        </w:rPr>
      </w:pPr>
    </w:p>
    <w:p w14:paraId="190B417A"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379-Ide"/>
          <w:color w:val="2A2A2A"/>
          <w:sz w:val="21"/>
          <w:szCs w:val="21"/>
        </w:rPr>
      </w:pPr>
      <w:r w:rsidRPr="004112C3">
        <w:rPr>
          <w:rFonts w:ascii="Abadi" w:hAnsi="Abadi" w:cs="*Microsoft Sans Serif-12379-Ide"/>
          <w:color w:val="2A2A2A"/>
          <w:sz w:val="21"/>
          <w:szCs w:val="21"/>
        </w:rPr>
        <w:t>Colaborar con la Secretaría en la elaboración del programa estatal de educación superior;</w:t>
      </w:r>
    </w:p>
    <w:p w14:paraId="5FDBA17C" w14:textId="77777777" w:rsidR="00366FFB" w:rsidRPr="00743CF7" w:rsidRDefault="00366FFB" w:rsidP="00366FFB">
      <w:pPr>
        <w:autoSpaceDE w:val="0"/>
        <w:autoSpaceDN w:val="0"/>
        <w:adjustRightInd w:val="0"/>
        <w:ind w:left="709"/>
        <w:jc w:val="both"/>
        <w:rPr>
          <w:rFonts w:ascii="Abadi" w:hAnsi="Abadi" w:cs="*Microsoft Sans Serif-12379-Ide"/>
          <w:color w:val="2A2A2A"/>
          <w:sz w:val="21"/>
          <w:szCs w:val="21"/>
        </w:rPr>
      </w:pPr>
    </w:p>
    <w:p w14:paraId="07CF0CC8"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379-Ide"/>
          <w:color w:val="282828"/>
          <w:sz w:val="21"/>
          <w:szCs w:val="21"/>
        </w:rPr>
      </w:pPr>
      <w:r w:rsidRPr="004112C3">
        <w:rPr>
          <w:rFonts w:ascii="Abadi" w:hAnsi="Abadi" w:cs="*Microsoft Sans Serif-12379-Ide"/>
          <w:color w:val="282828"/>
          <w:sz w:val="21"/>
          <w:szCs w:val="21"/>
        </w:rPr>
        <w:t xml:space="preserve">Diseñar y promover la implementación de programas. proyectos, estrategias. políticas </w:t>
      </w:r>
      <w:r w:rsidRPr="004112C3">
        <w:rPr>
          <w:rFonts w:ascii="Abadi" w:hAnsi="Abadi" w:cs="*Times New Roman-Italic-12376-I"/>
          <w:i/>
          <w:iCs/>
          <w:color w:val="282828"/>
          <w:sz w:val="21"/>
          <w:szCs w:val="21"/>
        </w:rPr>
        <w:t xml:space="preserve">y </w:t>
      </w:r>
      <w:r w:rsidRPr="004112C3">
        <w:rPr>
          <w:rFonts w:ascii="Abadi" w:hAnsi="Abadi" w:cs="*Microsoft Sans Serif-12379-Ide"/>
          <w:color w:val="282828"/>
          <w:sz w:val="21"/>
          <w:szCs w:val="21"/>
        </w:rPr>
        <w:t>acciones que apoyen el desarrollo y la mejora continua de la educación superior en la entidad;</w:t>
      </w:r>
    </w:p>
    <w:p w14:paraId="2D2A1C5D" w14:textId="77777777" w:rsidR="00366FFB" w:rsidRPr="00743CF7" w:rsidRDefault="00366FFB" w:rsidP="00366FFB">
      <w:pPr>
        <w:autoSpaceDE w:val="0"/>
        <w:autoSpaceDN w:val="0"/>
        <w:adjustRightInd w:val="0"/>
        <w:ind w:left="709"/>
        <w:jc w:val="both"/>
        <w:rPr>
          <w:rFonts w:ascii="Abadi" w:hAnsi="Abadi" w:cs="*Microsoft Sans Serif-12379-Ide"/>
          <w:color w:val="282828"/>
          <w:sz w:val="21"/>
          <w:szCs w:val="21"/>
        </w:rPr>
      </w:pPr>
    </w:p>
    <w:p w14:paraId="438EEF1B"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379-Ide"/>
          <w:color w:val="2A2A2A"/>
          <w:sz w:val="21"/>
          <w:szCs w:val="21"/>
        </w:rPr>
      </w:pPr>
      <w:r w:rsidRPr="004112C3">
        <w:rPr>
          <w:rFonts w:ascii="Abadi" w:hAnsi="Abadi" w:cs="*Microsoft Sans Serif-12379-Ide"/>
          <w:color w:val="2A2A2A"/>
          <w:sz w:val="21"/>
          <w:szCs w:val="21"/>
        </w:rPr>
        <w:t xml:space="preserve">Fomentar la colaboración entre las instituciones de educación superior de la entidad, que permita un desarrollo coordinado de este tipo de educación. La movilidad de las y los estudiantes y del personal académico. así como su vinculación con los sectores público, social </w:t>
      </w:r>
      <w:r w:rsidRPr="004112C3">
        <w:rPr>
          <w:rFonts w:ascii="Abadi" w:hAnsi="Abadi" w:cs="*Times New Roman-Italic-12376-I"/>
          <w:i/>
          <w:iCs/>
          <w:color w:val="2A2A2A"/>
          <w:sz w:val="21"/>
          <w:szCs w:val="21"/>
        </w:rPr>
        <w:t xml:space="preserve">y </w:t>
      </w:r>
      <w:r w:rsidRPr="004112C3">
        <w:rPr>
          <w:rFonts w:ascii="Abadi" w:hAnsi="Abadi" w:cs="*Microsoft Sans Serif-12379-Ide"/>
          <w:color w:val="2A2A2A"/>
          <w:sz w:val="21"/>
          <w:szCs w:val="21"/>
        </w:rPr>
        <w:t>productivo;</w:t>
      </w:r>
    </w:p>
    <w:p w14:paraId="5D77B80C" w14:textId="77777777" w:rsidR="00366FFB" w:rsidRPr="00743CF7" w:rsidRDefault="00366FFB" w:rsidP="00366FFB">
      <w:pPr>
        <w:autoSpaceDE w:val="0"/>
        <w:autoSpaceDN w:val="0"/>
        <w:adjustRightInd w:val="0"/>
        <w:ind w:left="709"/>
        <w:jc w:val="both"/>
        <w:rPr>
          <w:rFonts w:ascii="Abadi" w:hAnsi="Abadi" w:cs="*Microsoft Sans Serif-12379-Ide"/>
          <w:color w:val="2A2A2A"/>
          <w:sz w:val="21"/>
          <w:szCs w:val="21"/>
        </w:rPr>
      </w:pPr>
    </w:p>
    <w:p w14:paraId="54DC8B03"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379-Ide"/>
          <w:color w:val="282828"/>
          <w:sz w:val="21"/>
          <w:szCs w:val="21"/>
        </w:rPr>
      </w:pPr>
      <w:r w:rsidRPr="004112C3">
        <w:rPr>
          <w:rFonts w:ascii="Abadi" w:hAnsi="Abadi" w:cs="*Microsoft Sans Serif-12379-Ide"/>
          <w:color w:val="282828"/>
          <w:sz w:val="21"/>
          <w:szCs w:val="21"/>
        </w:rPr>
        <w:t xml:space="preserve">Diseñar y proponer estrategias para hacer efectiva la obligatoriedad de la educación superior en la entidad, así como para reorientar de la oferta educativa, conforme a las necesidades del desarrollo estatal </w:t>
      </w:r>
      <w:r w:rsidRPr="004112C3">
        <w:rPr>
          <w:rFonts w:ascii="Abadi" w:hAnsi="Abadi" w:cs="*Times New Roman-Italic-12376-I"/>
          <w:i/>
          <w:iCs/>
          <w:color w:val="282828"/>
          <w:sz w:val="21"/>
          <w:szCs w:val="21"/>
        </w:rPr>
        <w:t xml:space="preserve">y </w:t>
      </w:r>
      <w:r w:rsidRPr="004112C3">
        <w:rPr>
          <w:rFonts w:ascii="Abadi" w:hAnsi="Abadi" w:cs="*Microsoft Sans Serif-12379-Ide"/>
          <w:color w:val="282828"/>
          <w:sz w:val="21"/>
          <w:szCs w:val="21"/>
        </w:rPr>
        <w:t>regional. bajo criterios de calidad pertinencia, Inclusión, equidad y multiculturalidad:</w:t>
      </w:r>
    </w:p>
    <w:p w14:paraId="2BCDC616" w14:textId="77777777" w:rsidR="00366FFB" w:rsidRPr="00743CF7" w:rsidRDefault="00366FFB" w:rsidP="00366FFB">
      <w:pPr>
        <w:ind w:left="709"/>
        <w:jc w:val="both"/>
        <w:rPr>
          <w:rFonts w:ascii="Abadi" w:hAnsi="Abadi" w:cs="*Microsoft Sans Serif-12379-Ide"/>
          <w:color w:val="282828"/>
          <w:sz w:val="21"/>
          <w:szCs w:val="21"/>
        </w:rPr>
      </w:pPr>
    </w:p>
    <w:p w14:paraId="10350539"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185-Ide"/>
          <w:color w:val="2A2A2A"/>
          <w:sz w:val="21"/>
          <w:szCs w:val="21"/>
        </w:rPr>
      </w:pPr>
      <w:r w:rsidRPr="004112C3">
        <w:rPr>
          <w:rFonts w:ascii="Abadi" w:hAnsi="Abadi" w:cs="*Microsoft Sans Serif-12185-Ide"/>
          <w:color w:val="2A2A2A"/>
          <w:sz w:val="21"/>
          <w:szCs w:val="21"/>
        </w:rPr>
        <w:t>Proponer criterios generales para la creación de nuevas instituciones públicas y programas educativos, apegándose o las políticas de educación superior;</w:t>
      </w:r>
    </w:p>
    <w:p w14:paraId="5D161D45" w14:textId="77777777" w:rsidR="00366FFB" w:rsidRPr="00743CF7" w:rsidRDefault="00366FFB" w:rsidP="00366FFB">
      <w:pPr>
        <w:autoSpaceDE w:val="0"/>
        <w:autoSpaceDN w:val="0"/>
        <w:adjustRightInd w:val="0"/>
        <w:ind w:left="709"/>
        <w:jc w:val="both"/>
        <w:rPr>
          <w:rFonts w:ascii="Abadi" w:hAnsi="Abadi" w:cs="*Microsoft Sans Serif-12185-Ide"/>
          <w:color w:val="2A2A2A"/>
          <w:sz w:val="21"/>
          <w:szCs w:val="21"/>
        </w:rPr>
      </w:pPr>
    </w:p>
    <w:p w14:paraId="346DB76F"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185-Ide"/>
          <w:color w:val="2A2A2A"/>
          <w:sz w:val="21"/>
          <w:szCs w:val="21"/>
        </w:rPr>
      </w:pPr>
      <w:r w:rsidRPr="004112C3">
        <w:rPr>
          <w:rFonts w:ascii="Abadi" w:hAnsi="Abadi" w:cs="*Microsoft Sans Serif-12185-Ide"/>
          <w:color w:val="2A2A2A"/>
          <w:sz w:val="21"/>
          <w:szCs w:val="21"/>
        </w:rPr>
        <w:t>Realizar y solicitar estudios de factibilidad y de pertinencia de la apertura de nuevas instituciones públicas, piones y programas de estudios, así como nuevas modalidades y opciones educativas;</w:t>
      </w:r>
    </w:p>
    <w:p w14:paraId="7022EF38" w14:textId="77777777" w:rsidR="00366FFB" w:rsidRPr="00743CF7" w:rsidRDefault="00366FFB" w:rsidP="00366FFB">
      <w:pPr>
        <w:autoSpaceDE w:val="0"/>
        <w:autoSpaceDN w:val="0"/>
        <w:adjustRightInd w:val="0"/>
        <w:ind w:left="709"/>
        <w:jc w:val="both"/>
        <w:rPr>
          <w:rFonts w:ascii="Abadi" w:hAnsi="Abadi" w:cs="*Microsoft Sans Serif-Bold-1218"/>
          <w:b/>
          <w:bCs/>
          <w:color w:val="2A2A2A"/>
          <w:sz w:val="21"/>
          <w:szCs w:val="21"/>
        </w:rPr>
      </w:pPr>
    </w:p>
    <w:p w14:paraId="074025A4"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185-Ide"/>
          <w:color w:val="282828"/>
          <w:sz w:val="21"/>
          <w:szCs w:val="21"/>
        </w:rPr>
      </w:pPr>
      <w:r w:rsidRPr="004112C3">
        <w:rPr>
          <w:rFonts w:ascii="Abadi" w:hAnsi="Abadi" w:cs="*Microsoft Sans Serif-12185-Ide"/>
          <w:color w:val="2A2A2A"/>
          <w:sz w:val="21"/>
          <w:szCs w:val="21"/>
        </w:rPr>
        <w:t xml:space="preserve">Realizar los estudios necesarios que permitan identificar las necesidades de docencia, investigación, extensión </w:t>
      </w:r>
      <w:r w:rsidRPr="004112C3">
        <w:rPr>
          <w:rFonts w:ascii="Abadi" w:hAnsi="Abadi" w:cs="*Calibri-12183-Identity-H"/>
          <w:color w:val="2A2A2A"/>
          <w:sz w:val="21"/>
          <w:szCs w:val="21"/>
        </w:rPr>
        <w:t xml:space="preserve">y </w:t>
      </w:r>
      <w:r w:rsidRPr="004112C3">
        <w:rPr>
          <w:rFonts w:ascii="Abadi" w:hAnsi="Abadi" w:cs="*Microsoft Sans Serif-12185-Ide"/>
          <w:color w:val="2A2A2A"/>
          <w:sz w:val="21"/>
          <w:szCs w:val="21"/>
        </w:rPr>
        <w:t xml:space="preserve">difusión de la cultura en la entidad </w:t>
      </w:r>
      <w:r w:rsidRPr="004112C3">
        <w:rPr>
          <w:rFonts w:ascii="Abadi" w:hAnsi="Abadi" w:cs="*Microsoft Sans Serif-12185-Ide"/>
          <w:color w:val="282828"/>
          <w:sz w:val="21"/>
          <w:szCs w:val="21"/>
        </w:rPr>
        <w:t xml:space="preserve">i) Proponer estrategias paro el fortalecimiento del financiamiento de las instituciones públicas de educación superior de la entidad, así como para la transparencia </w:t>
      </w:r>
      <w:r w:rsidRPr="004112C3">
        <w:rPr>
          <w:rFonts w:ascii="Abadi" w:hAnsi="Abadi" w:cs="*Calibri-12183-Identity-H"/>
          <w:color w:val="282828"/>
          <w:sz w:val="21"/>
          <w:szCs w:val="21"/>
        </w:rPr>
        <w:t xml:space="preserve">y </w:t>
      </w:r>
      <w:r w:rsidRPr="004112C3">
        <w:rPr>
          <w:rFonts w:ascii="Abadi" w:hAnsi="Abadi" w:cs="*Microsoft Sans Serif-12185-Ide"/>
          <w:color w:val="282828"/>
          <w:sz w:val="21"/>
          <w:szCs w:val="21"/>
        </w:rPr>
        <w:t>la rendición de cuentas;</w:t>
      </w:r>
    </w:p>
    <w:p w14:paraId="42F0C671" w14:textId="77777777" w:rsidR="00366FFB" w:rsidRPr="00743CF7" w:rsidRDefault="00366FFB" w:rsidP="00366FFB">
      <w:pPr>
        <w:autoSpaceDE w:val="0"/>
        <w:autoSpaceDN w:val="0"/>
        <w:adjustRightInd w:val="0"/>
        <w:ind w:left="709"/>
        <w:jc w:val="both"/>
        <w:rPr>
          <w:rFonts w:ascii="Abadi" w:hAnsi="Abadi" w:cs="*Calibri-Bold-12184-Identity-H"/>
          <w:b/>
          <w:bCs/>
          <w:color w:val="2A2A2A"/>
          <w:sz w:val="21"/>
          <w:szCs w:val="21"/>
        </w:rPr>
      </w:pPr>
    </w:p>
    <w:p w14:paraId="29F9A9EE"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185-Ide"/>
          <w:color w:val="2A2A2A"/>
          <w:sz w:val="21"/>
          <w:szCs w:val="21"/>
        </w:rPr>
      </w:pPr>
      <w:r w:rsidRPr="004112C3">
        <w:rPr>
          <w:rFonts w:ascii="Abadi" w:hAnsi="Abadi" w:cs="*Microsoft Sans Serif-12185-Ide"/>
          <w:color w:val="2A2A2A"/>
          <w:sz w:val="21"/>
          <w:szCs w:val="21"/>
        </w:rPr>
        <w:t>Participar con el Consejo Nacional para la Coordinación de la Educación Superior, en el diseño de las directrices, estrategias y programas para el desarrollo de la educación superior. en los términos de las disposiciones aplicables;</w:t>
      </w:r>
    </w:p>
    <w:p w14:paraId="69F8D0DF" w14:textId="77777777" w:rsidR="00366FFB" w:rsidRPr="00743CF7" w:rsidRDefault="00366FFB" w:rsidP="00366FFB">
      <w:pPr>
        <w:autoSpaceDE w:val="0"/>
        <w:autoSpaceDN w:val="0"/>
        <w:adjustRightInd w:val="0"/>
        <w:ind w:left="709"/>
        <w:jc w:val="both"/>
        <w:rPr>
          <w:rFonts w:ascii="Abadi" w:hAnsi="Abadi" w:cs="*Calibri-Bold-12184-Identity-H"/>
          <w:b/>
          <w:bCs/>
          <w:color w:val="292929"/>
          <w:sz w:val="21"/>
          <w:szCs w:val="21"/>
        </w:rPr>
      </w:pPr>
    </w:p>
    <w:p w14:paraId="0971EACF"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185-Ide"/>
          <w:color w:val="292929"/>
          <w:sz w:val="21"/>
          <w:szCs w:val="21"/>
        </w:rPr>
      </w:pPr>
      <w:r w:rsidRPr="004112C3">
        <w:rPr>
          <w:rFonts w:ascii="Abadi" w:hAnsi="Abadi" w:cs="*Microsoft Sans Serif-12185-Ide"/>
          <w:color w:val="292929"/>
          <w:sz w:val="21"/>
          <w:szCs w:val="21"/>
        </w:rPr>
        <w:t>Impulsor los procesos de evaluación de las instituciones de educación superior de la entidad y formular recomendaciones, para la mejora continua de las mismas;</w:t>
      </w:r>
    </w:p>
    <w:p w14:paraId="7249BAF9" w14:textId="77777777" w:rsidR="00366FFB" w:rsidRPr="00743CF7" w:rsidRDefault="00366FFB" w:rsidP="00366FFB">
      <w:pPr>
        <w:autoSpaceDE w:val="0"/>
        <w:autoSpaceDN w:val="0"/>
        <w:adjustRightInd w:val="0"/>
        <w:ind w:left="709"/>
        <w:jc w:val="both"/>
        <w:rPr>
          <w:rFonts w:ascii="Abadi" w:hAnsi="Abadi" w:cs="*Microsoft Sans Serif-Bold-1218"/>
          <w:b/>
          <w:bCs/>
          <w:color w:val="292929"/>
          <w:sz w:val="21"/>
          <w:szCs w:val="21"/>
        </w:rPr>
      </w:pPr>
    </w:p>
    <w:p w14:paraId="1196D001"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185-Ide"/>
          <w:color w:val="292929"/>
          <w:sz w:val="21"/>
          <w:szCs w:val="21"/>
        </w:rPr>
      </w:pPr>
      <w:r w:rsidRPr="004112C3">
        <w:rPr>
          <w:rFonts w:ascii="Abadi" w:hAnsi="Abadi" w:cs="*Microsoft Sans Serif-12185-Ide"/>
          <w:color w:val="292929"/>
          <w:sz w:val="21"/>
          <w:szCs w:val="21"/>
        </w:rPr>
        <w:t xml:space="preserve">Proponer estrategias para el fortalecimiento de la planta académica </w:t>
      </w:r>
      <w:r w:rsidRPr="004112C3">
        <w:rPr>
          <w:rFonts w:ascii="Abadi" w:hAnsi="Abadi" w:cs="*Calibri-12183-Identity-H"/>
          <w:color w:val="292929"/>
          <w:sz w:val="21"/>
          <w:szCs w:val="21"/>
        </w:rPr>
        <w:t xml:space="preserve">y </w:t>
      </w:r>
      <w:r w:rsidRPr="004112C3">
        <w:rPr>
          <w:rFonts w:ascii="Abadi" w:hAnsi="Abadi" w:cs="*Microsoft Sans Serif-12185-Ide"/>
          <w:color w:val="292929"/>
          <w:sz w:val="21"/>
          <w:szCs w:val="21"/>
        </w:rPr>
        <w:t>administrativa de 'las instituciones de educación superior del Estado:</w:t>
      </w:r>
    </w:p>
    <w:p w14:paraId="61B67F6B" w14:textId="77777777" w:rsidR="00366FFB" w:rsidRPr="00743CF7" w:rsidRDefault="00366FFB" w:rsidP="00366FFB">
      <w:pPr>
        <w:autoSpaceDE w:val="0"/>
        <w:autoSpaceDN w:val="0"/>
        <w:adjustRightInd w:val="0"/>
        <w:ind w:left="709"/>
        <w:jc w:val="both"/>
        <w:rPr>
          <w:rFonts w:ascii="Abadi" w:hAnsi="Abadi" w:cs="*Microsoft Sans Serif-12185-Ide"/>
          <w:color w:val="272727"/>
          <w:sz w:val="21"/>
          <w:szCs w:val="21"/>
        </w:rPr>
      </w:pPr>
    </w:p>
    <w:p w14:paraId="31430988"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Calibri-12183-Identity-H"/>
          <w:color w:val="272727"/>
          <w:sz w:val="21"/>
          <w:szCs w:val="21"/>
        </w:rPr>
      </w:pPr>
      <w:r w:rsidRPr="004112C3">
        <w:rPr>
          <w:rFonts w:ascii="Abadi" w:hAnsi="Abadi" w:cs="*Microsoft Sans Serif-12185-Ide"/>
          <w:color w:val="272727"/>
          <w:sz w:val="21"/>
          <w:szCs w:val="21"/>
        </w:rPr>
        <w:t xml:space="preserve">Aprobar su reglamento interno de funcionamiento; </w:t>
      </w:r>
      <w:r w:rsidRPr="004112C3">
        <w:rPr>
          <w:rFonts w:ascii="Abadi" w:hAnsi="Abadi" w:cs="*Calibri-12183-Identity-H"/>
          <w:color w:val="272727"/>
          <w:sz w:val="21"/>
          <w:szCs w:val="21"/>
        </w:rPr>
        <w:t>y</w:t>
      </w:r>
    </w:p>
    <w:p w14:paraId="73D18231" w14:textId="77777777" w:rsidR="00366FFB" w:rsidRPr="00743CF7" w:rsidRDefault="00366FFB" w:rsidP="00366FFB">
      <w:pPr>
        <w:autoSpaceDE w:val="0"/>
        <w:autoSpaceDN w:val="0"/>
        <w:adjustRightInd w:val="0"/>
        <w:ind w:left="709"/>
        <w:jc w:val="both"/>
        <w:rPr>
          <w:rFonts w:ascii="Abadi" w:hAnsi="Abadi" w:cs="*Microsoft Sans Serif-12185-Ide"/>
          <w:color w:val="2C2C2C"/>
          <w:sz w:val="21"/>
          <w:szCs w:val="21"/>
        </w:rPr>
      </w:pPr>
    </w:p>
    <w:p w14:paraId="477C7F32" w14:textId="77777777" w:rsidR="00366FFB" w:rsidRPr="004112C3" w:rsidRDefault="00366FFB" w:rsidP="005C6EBB">
      <w:pPr>
        <w:pStyle w:val="Prrafodelista"/>
        <w:numPr>
          <w:ilvl w:val="0"/>
          <w:numId w:val="38"/>
        </w:numPr>
        <w:autoSpaceDE w:val="0"/>
        <w:autoSpaceDN w:val="0"/>
        <w:adjustRightInd w:val="0"/>
        <w:ind w:left="709"/>
        <w:contextualSpacing/>
        <w:jc w:val="both"/>
        <w:rPr>
          <w:rFonts w:ascii="Abadi" w:hAnsi="Abadi" w:cs="*Microsoft Sans Serif-12185-Ide"/>
          <w:color w:val="2C2C2C"/>
          <w:sz w:val="21"/>
          <w:szCs w:val="21"/>
        </w:rPr>
      </w:pPr>
      <w:r w:rsidRPr="004112C3">
        <w:rPr>
          <w:rFonts w:ascii="Abadi" w:hAnsi="Abadi" w:cs="*Microsoft Sans Serif-12185-Ide"/>
          <w:color w:val="2C2C2C"/>
          <w:sz w:val="21"/>
          <w:szCs w:val="21"/>
        </w:rPr>
        <w:t>Las demás previstas en la presente Ley y en otras disposiciones aplicables.</w:t>
      </w:r>
    </w:p>
    <w:p w14:paraId="0E288280" w14:textId="77777777" w:rsidR="00366FFB" w:rsidRPr="00743CF7" w:rsidRDefault="00366FFB" w:rsidP="00366FFB">
      <w:pPr>
        <w:autoSpaceDE w:val="0"/>
        <w:autoSpaceDN w:val="0"/>
        <w:adjustRightInd w:val="0"/>
        <w:jc w:val="both"/>
        <w:rPr>
          <w:rFonts w:ascii="Abadi" w:hAnsi="Abadi" w:cs="*Microsoft Sans Serif-12185-Ide"/>
          <w:color w:val="292929"/>
          <w:sz w:val="21"/>
          <w:szCs w:val="21"/>
        </w:rPr>
      </w:pPr>
    </w:p>
    <w:p w14:paraId="43231A1A" w14:textId="77777777" w:rsidR="00366FFB" w:rsidRPr="005E531F" w:rsidRDefault="00366FFB" w:rsidP="005C6EBB">
      <w:pPr>
        <w:pStyle w:val="Prrafodelista"/>
        <w:numPr>
          <w:ilvl w:val="0"/>
          <w:numId w:val="36"/>
        </w:numPr>
        <w:autoSpaceDE w:val="0"/>
        <w:autoSpaceDN w:val="0"/>
        <w:adjustRightInd w:val="0"/>
        <w:contextualSpacing/>
        <w:jc w:val="both"/>
        <w:rPr>
          <w:rFonts w:ascii="Abadi" w:hAnsi="Abadi" w:cs="*Microsoft Sans Serif-12185-Ide"/>
          <w:color w:val="292929"/>
          <w:sz w:val="21"/>
          <w:szCs w:val="21"/>
        </w:rPr>
      </w:pPr>
      <w:r w:rsidRPr="005E531F">
        <w:rPr>
          <w:rFonts w:ascii="Abadi" w:hAnsi="Abadi" w:cs="*Microsoft Sans Serif-12185-Ide"/>
          <w:color w:val="292929"/>
          <w:sz w:val="21"/>
          <w:szCs w:val="21"/>
        </w:rPr>
        <w:t>La Comisión Estatal para la Planeación de la Educación Superior o instancia equivalente, establecerá un espacio de deliberación, el cual tendrá como objeto intercambiar experiencias e integrar uno visión compartida sobre las funciones a su cargo. Contará con uno secretaría técnica, designada conforme a su reglamento interno.</w:t>
      </w:r>
    </w:p>
    <w:p w14:paraId="34AD3ABA" w14:textId="77777777" w:rsidR="00366FFB" w:rsidRPr="00743CF7" w:rsidRDefault="00366FFB" w:rsidP="00366FFB">
      <w:pPr>
        <w:jc w:val="both"/>
        <w:rPr>
          <w:rFonts w:ascii="Abadi" w:hAnsi="Abadi" w:cs="*Microsoft Sans Serif-12185-Ide"/>
          <w:color w:val="292929"/>
          <w:sz w:val="21"/>
          <w:szCs w:val="21"/>
        </w:rPr>
      </w:pPr>
    </w:p>
    <w:p w14:paraId="74B2BEE5" w14:textId="77777777" w:rsidR="00366FFB" w:rsidRPr="00743CF7" w:rsidRDefault="00366FFB" w:rsidP="00F2244A">
      <w:pPr>
        <w:autoSpaceDE w:val="0"/>
        <w:autoSpaceDN w:val="0"/>
        <w:adjustRightInd w:val="0"/>
        <w:jc w:val="both"/>
        <w:rPr>
          <w:rFonts w:ascii="Abadi" w:hAnsi="Abadi" w:cs="*Microsoft Sans Serif-BoldItali"/>
          <w:b/>
          <w:bCs/>
          <w:i/>
          <w:iCs/>
          <w:color w:val="101010"/>
          <w:sz w:val="21"/>
          <w:szCs w:val="21"/>
        </w:rPr>
      </w:pPr>
      <w:r w:rsidRPr="00743CF7">
        <w:rPr>
          <w:rFonts w:ascii="Abadi" w:hAnsi="Abadi" w:cs="*Microsoft Sans Serif-BoldItali"/>
          <w:b/>
          <w:bCs/>
          <w:i/>
          <w:iCs/>
          <w:color w:val="101010"/>
          <w:sz w:val="21"/>
          <w:szCs w:val="21"/>
        </w:rPr>
        <w:t xml:space="preserve">Vinculación, consulta </w:t>
      </w:r>
      <w:r w:rsidRPr="00743CF7">
        <w:rPr>
          <w:rFonts w:ascii="Abadi" w:hAnsi="Abadi" w:cs="*Comic Sans MS-BoldItalic-12855"/>
          <w:b/>
          <w:bCs/>
          <w:i/>
          <w:iCs/>
          <w:color w:val="101010"/>
          <w:sz w:val="21"/>
          <w:szCs w:val="21"/>
        </w:rPr>
        <w:t xml:space="preserve">y </w:t>
      </w:r>
      <w:r w:rsidRPr="00743CF7">
        <w:rPr>
          <w:rFonts w:ascii="Abadi" w:hAnsi="Abadi" w:cs="*Microsoft Sans Serif-BoldItali"/>
          <w:b/>
          <w:bCs/>
          <w:i/>
          <w:iCs/>
          <w:color w:val="101010"/>
          <w:sz w:val="21"/>
          <w:szCs w:val="21"/>
        </w:rPr>
        <w:t>participación social</w:t>
      </w:r>
    </w:p>
    <w:p w14:paraId="0852426B" w14:textId="77777777" w:rsidR="00366FFB" w:rsidRPr="00743CF7" w:rsidRDefault="00366FFB" w:rsidP="00366FFB">
      <w:pPr>
        <w:autoSpaceDE w:val="0"/>
        <w:autoSpaceDN w:val="0"/>
        <w:adjustRightInd w:val="0"/>
        <w:ind w:firstLine="708"/>
        <w:jc w:val="both"/>
        <w:rPr>
          <w:rFonts w:ascii="Abadi" w:hAnsi="Abadi" w:cs="*Calibri-12851-Identity-H"/>
          <w:color w:val="282828"/>
          <w:sz w:val="21"/>
          <w:szCs w:val="21"/>
        </w:rPr>
      </w:pPr>
      <w:r w:rsidRPr="00743CF7">
        <w:rPr>
          <w:rFonts w:ascii="Abadi" w:hAnsi="Abadi" w:cs="*Calibri-Bold-12853-Identity-H"/>
          <w:b/>
          <w:bCs/>
          <w:color w:val="282828"/>
          <w:sz w:val="21"/>
          <w:szCs w:val="21"/>
        </w:rPr>
        <w:t xml:space="preserve">Artículo 74. </w:t>
      </w:r>
      <w:r w:rsidRPr="00743CF7">
        <w:rPr>
          <w:rFonts w:ascii="Abadi" w:hAnsi="Abadi" w:cs="*Calibri-12851-Identity-H"/>
          <w:color w:val="282828"/>
          <w:sz w:val="21"/>
          <w:szCs w:val="21"/>
        </w:rPr>
        <w:t>La Comisión Estatal poro la Planeación de lo Educación Superior o su equivalente, como apoyo en el cumplimiento de sus funciones, convocará a instancias u órganos de vinculación, consulta y participación social.</w:t>
      </w:r>
    </w:p>
    <w:p w14:paraId="56CAB3A6" w14:textId="77777777" w:rsidR="00366FFB" w:rsidRPr="00743CF7" w:rsidRDefault="00366FFB" w:rsidP="00366FFB">
      <w:pPr>
        <w:autoSpaceDE w:val="0"/>
        <w:autoSpaceDN w:val="0"/>
        <w:adjustRightInd w:val="0"/>
        <w:jc w:val="both"/>
        <w:rPr>
          <w:rFonts w:ascii="Abadi" w:hAnsi="Abadi" w:cs="*Microsoft Sans Serif-BoldItali"/>
          <w:b/>
          <w:bCs/>
          <w:i/>
          <w:iCs/>
          <w:color w:val="0F0F0F"/>
          <w:sz w:val="21"/>
          <w:szCs w:val="21"/>
        </w:rPr>
      </w:pPr>
    </w:p>
    <w:p w14:paraId="395ACAA9" w14:textId="77777777" w:rsidR="00366FFB" w:rsidRPr="00743CF7" w:rsidRDefault="00366FFB" w:rsidP="00F2244A">
      <w:pPr>
        <w:autoSpaceDE w:val="0"/>
        <w:autoSpaceDN w:val="0"/>
        <w:adjustRightInd w:val="0"/>
        <w:jc w:val="both"/>
        <w:rPr>
          <w:rFonts w:ascii="Abadi" w:hAnsi="Abadi" w:cs="*Microsoft Sans Serif-BoldItali"/>
          <w:b/>
          <w:bCs/>
          <w:i/>
          <w:iCs/>
          <w:color w:val="0F0F0F"/>
          <w:sz w:val="21"/>
          <w:szCs w:val="21"/>
        </w:rPr>
      </w:pPr>
      <w:r w:rsidRPr="00743CF7">
        <w:rPr>
          <w:rFonts w:ascii="Abadi" w:hAnsi="Abadi" w:cs="*Microsoft Sans Serif-BoldItali"/>
          <w:b/>
          <w:bCs/>
          <w:i/>
          <w:iCs/>
          <w:color w:val="0F0F0F"/>
          <w:sz w:val="21"/>
          <w:szCs w:val="21"/>
        </w:rPr>
        <w:t xml:space="preserve">Participación en el Consejo Nacional para la Coordinación </w:t>
      </w:r>
      <w:r w:rsidRPr="00743CF7">
        <w:rPr>
          <w:rFonts w:ascii="Abadi" w:hAnsi="Abadi" w:cs="*Calibri-12851-Identity-H"/>
          <w:color w:val="0F0F0F"/>
          <w:sz w:val="21"/>
          <w:szCs w:val="21"/>
        </w:rPr>
        <w:t xml:space="preserve">de </w:t>
      </w:r>
      <w:r w:rsidRPr="00743CF7">
        <w:rPr>
          <w:rFonts w:ascii="Abadi" w:hAnsi="Abadi" w:cs="*Microsoft Sans Serif-BoldItali"/>
          <w:b/>
          <w:bCs/>
          <w:i/>
          <w:iCs/>
          <w:color w:val="0F0F0F"/>
          <w:sz w:val="21"/>
          <w:szCs w:val="21"/>
        </w:rPr>
        <w:t>la Educación Superior</w:t>
      </w:r>
    </w:p>
    <w:p w14:paraId="6B1D89B0" w14:textId="77777777" w:rsidR="00366FFB" w:rsidRPr="00743CF7" w:rsidRDefault="00366FFB" w:rsidP="00366FFB">
      <w:pPr>
        <w:autoSpaceDE w:val="0"/>
        <w:autoSpaceDN w:val="0"/>
        <w:adjustRightInd w:val="0"/>
        <w:ind w:firstLine="708"/>
        <w:jc w:val="both"/>
        <w:rPr>
          <w:rFonts w:ascii="Abadi" w:hAnsi="Abadi" w:cs="*Calibri-12851-Identity-H"/>
          <w:color w:val="282828"/>
          <w:sz w:val="21"/>
          <w:szCs w:val="21"/>
        </w:rPr>
      </w:pPr>
      <w:r w:rsidRPr="00743CF7">
        <w:rPr>
          <w:rFonts w:ascii="Abadi" w:hAnsi="Abadi" w:cs="*Calibri-Bold-12853-Identity-H"/>
          <w:b/>
          <w:bCs/>
          <w:color w:val="282828"/>
          <w:sz w:val="21"/>
          <w:szCs w:val="21"/>
        </w:rPr>
        <w:t xml:space="preserve">Artículo 75. </w:t>
      </w:r>
      <w:r w:rsidRPr="00743CF7">
        <w:rPr>
          <w:rFonts w:ascii="Abadi" w:hAnsi="Abadi" w:cs="*Calibri-12851-Identity-H"/>
          <w:color w:val="282828"/>
          <w:sz w:val="21"/>
          <w:szCs w:val="21"/>
        </w:rPr>
        <w:t>La Secretaría participará en el Consejo Nacional para la</w:t>
      </w:r>
      <w:r>
        <w:rPr>
          <w:rFonts w:ascii="Abadi" w:hAnsi="Abadi" w:cs="*Calibri-12851-Identity-H"/>
          <w:color w:val="282828"/>
          <w:sz w:val="21"/>
          <w:szCs w:val="21"/>
        </w:rPr>
        <w:t xml:space="preserve"> </w:t>
      </w:r>
      <w:r w:rsidRPr="00743CF7">
        <w:rPr>
          <w:rFonts w:ascii="Abadi" w:hAnsi="Abadi" w:cs="*Calibri-12851-Identity-H"/>
          <w:color w:val="282828"/>
          <w:sz w:val="21"/>
          <w:szCs w:val="21"/>
        </w:rPr>
        <w:t>Coordinación de la Educación Superior. en términos de lo dispuesto en la Ley</w:t>
      </w:r>
      <w:r>
        <w:rPr>
          <w:rFonts w:ascii="Abadi" w:hAnsi="Abadi" w:cs="*Calibri-12851-Identity-H"/>
          <w:color w:val="282828"/>
          <w:sz w:val="21"/>
          <w:szCs w:val="21"/>
        </w:rPr>
        <w:t xml:space="preserve"> </w:t>
      </w:r>
      <w:r w:rsidRPr="00743CF7">
        <w:rPr>
          <w:rFonts w:ascii="Abadi" w:hAnsi="Abadi" w:cs="*Calibri-12851-Identity-H"/>
          <w:color w:val="282828"/>
          <w:sz w:val="21"/>
          <w:szCs w:val="21"/>
        </w:rPr>
        <w:t>General de Educación Superior.</w:t>
      </w:r>
    </w:p>
    <w:p w14:paraId="46D63F3D" w14:textId="77777777" w:rsidR="00F2244A" w:rsidRDefault="00F2244A" w:rsidP="00366FFB">
      <w:pPr>
        <w:autoSpaceDE w:val="0"/>
        <w:autoSpaceDN w:val="0"/>
        <w:adjustRightInd w:val="0"/>
        <w:jc w:val="center"/>
        <w:rPr>
          <w:rFonts w:ascii="Abadi" w:hAnsi="Abadi" w:cs="*Calibri-Bold-12853-Identity-H"/>
          <w:b/>
          <w:bCs/>
          <w:color w:val="0E0E0E"/>
          <w:sz w:val="21"/>
          <w:szCs w:val="21"/>
        </w:rPr>
      </w:pPr>
    </w:p>
    <w:p w14:paraId="0122528E" w14:textId="77777777" w:rsidR="00F2244A" w:rsidRDefault="00F2244A" w:rsidP="00366FFB">
      <w:pPr>
        <w:autoSpaceDE w:val="0"/>
        <w:autoSpaceDN w:val="0"/>
        <w:adjustRightInd w:val="0"/>
        <w:jc w:val="center"/>
        <w:rPr>
          <w:rFonts w:ascii="Abadi" w:hAnsi="Abadi" w:cs="*Calibri-Bold-12853-Identity-H"/>
          <w:b/>
          <w:bCs/>
          <w:color w:val="0E0E0E"/>
          <w:sz w:val="21"/>
          <w:szCs w:val="21"/>
        </w:rPr>
      </w:pPr>
    </w:p>
    <w:p w14:paraId="6C32B312" w14:textId="2444DEC1" w:rsidR="00366FFB" w:rsidRPr="00743CF7" w:rsidRDefault="00366FFB" w:rsidP="00366FFB">
      <w:pPr>
        <w:autoSpaceDE w:val="0"/>
        <w:autoSpaceDN w:val="0"/>
        <w:adjustRightInd w:val="0"/>
        <w:jc w:val="center"/>
        <w:rPr>
          <w:rFonts w:ascii="Abadi" w:hAnsi="Abadi" w:cs="*Calibri-Bold-12853-Identity-H"/>
          <w:b/>
          <w:bCs/>
          <w:color w:val="0E0E0E"/>
          <w:sz w:val="21"/>
          <w:szCs w:val="21"/>
        </w:rPr>
      </w:pPr>
      <w:r w:rsidRPr="00743CF7">
        <w:rPr>
          <w:rFonts w:ascii="Abadi" w:hAnsi="Abadi" w:cs="*Calibri-Bold-12853-Identity-H"/>
          <w:b/>
          <w:bCs/>
          <w:color w:val="0E0E0E"/>
          <w:sz w:val="21"/>
          <w:szCs w:val="21"/>
        </w:rPr>
        <w:t>Capítulo III</w:t>
      </w:r>
    </w:p>
    <w:p w14:paraId="286546FD" w14:textId="77777777" w:rsidR="00F2244A" w:rsidRDefault="00366FFB" w:rsidP="00F2244A">
      <w:pPr>
        <w:autoSpaceDE w:val="0"/>
        <w:autoSpaceDN w:val="0"/>
        <w:adjustRightInd w:val="0"/>
        <w:jc w:val="center"/>
        <w:rPr>
          <w:rFonts w:ascii="Abadi" w:hAnsi="Abadi" w:cs="*Calibri-Bold-12853-Identity-H"/>
          <w:b/>
          <w:bCs/>
          <w:color w:val="111111"/>
          <w:sz w:val="21"/>
          <w:szCs w:val="21"/>
        </w:rPr>
      </w:pPr>
      <w:r w:rsidRPr="00743CF7">
        <w:rPr>
          <w:rFonts w:ascii="Abadi" w:hAnsi="Abadi" w:cs="*Calibri-Bold-12853-Identity-H"/>
          <w:b/>
          <w:bCs/>
          <w:color w:val="111111"/>
          <w:sz w:val="21"/>
          <w:szCs w:val="21"/>
        </w:rPr>
        <w:t>Mejora Continua de la</w:t>
      </w:r>
      <w:r w:rsidRPr="00743CF7">
        <w:rPr>
          <w:rFonts w:ascii="Abadi" w:hAnsi="Abadi" w:cs="*Comic Sans MS-12854-Identity-H"/>
          <w:color w:val="111111"/>
          <w:sz w:val="21"/>
          <w:szCs w:val="21"/>
        </w:rPr>
        <w:t xml:space="preserve"> </w:t>
      </w:r>
      <w:r w:rsidRPr="00743CF7">
        <w:rPr>
          <w:rFonts w:ascii="Abadi" w:hAnsi="Abadi" w:cs="*Calibri-Bold-12853-Identity-H"/>
          <w:b/>
          <w:bCs/>
          <w:color w:val="111111"/>
          <w:sz w:val="21"/>
          <w:szCs w:val="21"/>
        </w:rPr>
        <w:t>Evaluación y la</w:t>
      </w:r>
      <w:r w:rsidRPr="00743CF7">
        <w:rPr>
          <w:rFonts w:ascii="Abadi" w:hAnsi="Abadi" w:cs="*Comic Sans MS-12854-Identity-H"/>
          <w:color w:val="111111"/>
          <w:sz w:val="21"/>
          <w:szCs w:val="21"/>
        </w:rPr>
        <w:t xml:space="preserve"> </w:t>
      </w:r>
      <w:r w:rsidRPr="00743CF7">
        <w:rPr>
          <w:rFonts w:ascii="Abadi" w:hAnsi="Abadi" w:cs="*Calibri-Bold-12853-Identity-H"/>
          <w:b/>
          <w:bCs/>
          <w:color w:val="111111"/>
          <w:sz w:val="21"/>
          <w:szCs w:val="21"/>
        </w:rPr>
        <w:t>Información de la Educación Superior Mejora en los métodos</w:t>
      </w:r>
      <w:r w:rsidR="00F2244A">
        <w:rPr>
          <w:rFonts w:ascii="Abadi" w:hAnsi="Abadi" w:cs="*Calibri-Bold-12853-Identity-H"/>
          <w:b/>
          <w:bCs/>
          <w:color w:val="111111"/>
          <w:sz w:val="21"/>
          <w:szCs w:val="21"/>
        </w:rPr>
        <w:t xml:space="preserve"> </w:t>
      </w:r>
    </w:p>
    <w:p w14:paraId="38012F7D" w14:textId="77777777" w:rsidR="00F2244A" w:rsidRDefault="00F2244A" w:rsidP="00F2244A">
      <w:pPr>
        <w:autoSpaceDE w:val="0"/>
        <w:autoSpaceDN w:val="0"/>
        <w:adjustRightInd w:val="0"/>
        <w:jc w:val="center"/>
        <w:rPr>
          <w:rFonts w:ascii="Abadi" w:hAnsi="Abadi" w:cs="*Calibri-Bold-12853-Identity-H"/>
          <w:b/>
          <w:bCs/>
          <w:color w:val="111111"/>
          <w:sz w:val="21"/>
          <w:szCs w:val="21"/>
        </w:rPr>
      </w:pPr>
    </w:p>
    <w:p w14:paraId="6628084A" w14:textId="20879F09" w:rsidR="00366FFB" w:rsidRPr="00743CF7" w:rsidRDefault="00366FFB" w:rsidP="00F2244A">
      <w:pPr>
        <w:autoSpaceDE w:val="0"/>
        <w:autoSpaceDN w:val="0"/>
        <w:adjustRightInd w:val="0"/>
        <w:jc w:val="center"/>
        <w:rPr>
          <w:rFonts w:ascii="Abadi" w:hAnsi="Abadi" w:cs="*Microsoft Sans Serif-BoldItali"/>
          <w:b/>
          <w:bCs/>
          <w:i/>
          <w:iCs/>
          <w:color w:val="111111"/>
          <w:sz w:val="21"/>
          <w:szCs w:val="21"/>
        </w:rPr>
      </w:pPr>
      <w:r w:rsidRPr="00743CF7">
        <w:rPr>
          <w:rFonts w:ascii="Abadi" w:hAnsi="Abadi" w:cs="*Microsoft Sans Serif-BoldItali"/>
          <w:b/>
          <w:bCs/>
          <w:i/>
          <w:iCs/>
          <w:color w:val="111111"/>
          <w:sz w:val="21"/>
          <w:szCs w:val="21"/>
        </w:rPr>
        <w:t>Mejora en los</w:t>
      </w:r>
      <w:r w:rsidR="00F2244A">
        <w:rPr>
          <w:rFonts w:ascii="Abadi" w:hAnsi="Abadi" w:cs="*Microsoft Sans Serif-BoldItali"/>
          <w:b/>
          <w:bCs/>
          <w:i/>
          <w:iCs/>
          <w:color w:val="111111"/>
          <w:sz w:val="21"/>
          <w:szCs w:val="21"/>
        </w:rPr>
        <w:t xml:space="preserve"> </w:t>
      </w:r>
      <w:r w:rsidRPr="00743CF7">
        <w:rPr>
          <w:rFonts w:ascii="Abadi" w:hAnsi="Abadi" w:cs="*Microsoft Sans Serif-BoldItali"/>
          <w:b/>
          <w:bCs/>
          <w:i/>
          <w:iCs/>
          <w:color w:val="111111"/>
          <w:sz w:val="21"/>
          <w:szCs w:val="21"/>
        </w:rPr>
        <w:t>métodos pedagógicos</w:t>
      </w:r>
    </w:p>
    <w:p w14:paraId="28D2ED54" w14:textId="2F39A2D9" w:rsidR="00366FFB" w:rsidRDefault="00366FFB" w:rsidP="00366FFB">
      <w:pPr>
        <w:autoSpaceDE w:val="0"/>
        <w:autoSpaceDN w:val="0"/>
        <w:adjustRightInd w:val="0"/>
        <w:ind w:firstLine="708"/>
        <w:jc w:val="both"/>
        <w:rPr>
          <w:rFonts w:ascii="Abadi" w:hAnsi="Abadi" w:cs="*Calibri-12851-Identity-H"/>
          <w:color w:val="282828"/>
          <w:sz w:val="21"/>
          <w:szCs w:val="21"/>
        </w:rPr>
      </w:pPr>
      <w:r w:rsidRPr="00743CF7">
        <w:rPr>
          <w:rFonts w:ascii="Abadi" w:hAnsi="Abadi" w:cs="*Calibri-Bold-12853-Identity-H"/>
          <w:b/>
          <w:bCs/>
          <w:color w:val="282828"/>
          <w:sz w:val="21"/>
          <w:szCs w:val="21"/>
        </w:rPr>
        <w:t xml:space="preserve">Artículo 76. </w:t>
      </w:r>
      <w:r w:rsidRPr="00743CF7">
        <w:rPr>
          <w:rFonts w:ascii="Abadi" w:hAnsi="Abadi" w:cs="*Calibri-12851-Identity-H"/>
          <w:color w:val="282828"/>
          <w:sz w:val="21"/>
          <w:szCs w:val="21"/>
        </w:rPr>
        <w:t>Las autoridades educativas, de conformidad con su normatividad aplicable, establecerán de manera progresiva y permanente esquemas de formación, capacitación, superación y profesionalización del personal académico del tipo de educación superior, con la finalidad de contribuir a una mejora en los métodos pedagógicos, el proceso de construcción de saberes y en el aprovechamiento académico de las y los estudiantes.</w:t>
      </w:r>
    </w:p>
    <w:p w14:paraId="512932FA" w14:textId="77777777" w:rsidR="00F2244A" w:rsidRDefault="00F2244A" w:rsidP="00366FFB">
      <w:pPr>
        <w:autoSpaceDE w:val="0"/>
        <w:autoSpaceDN w:val="0"/>
        <w:adjustRightInd w:val="0"/>
        <w:ind w:firstLine="708"/>
        <w:jc w:val="both"/>
        <w:rPr>
          <w:rFonts w:ascii="Abadi" w:hAnsi="Abadi" w:cs="*Calibri-12851-Identity-H"/>
          <w:color w:val="282828"/>
          <w:sz w:val="21"/>
          <w:szCs w:val="21"/>
        </w:rPr>
      </w:pPr>
    </w:p>
    <w:p w14:paraId="2C16B9AC" w14:textId="4241CEB0" w:rsidR="00F2244A" w:rsidRPr="00F2244A" w:rsidRDefault="00F2244A" w:rsidP="00366FFB">
      <w:pPr>
        <w:autoSpaceDE w:val="0"/>
        <w:autoSpaceDN w:val="0"/>
        <w:adjustRightInd w:val="0"/>
        <w:ind w:firstLine="708"/>
        <w:jc w:val="both"/>
        <w:rPr>
          <w:rFonts w:ascii="Abadi" w:hAnsi="Abadi" w:cs="*Microsoft Sans Serif-BoldItali"/>
          <w:b/>
          <w:bCs/>
          <w:i/>
          <w:iCs/>
          <w:color w:val="111111"/>
          <w:sz w:val="21"/>
          <w:szCs w:val="21"/>
        </w:rPr>
      </w:pPr>
      <w:r w:rsidRPr="00F2244A">
        <w:rPr>
          <w:rFonts w:ascii="Abadi" w:hAnsi="Abadi" w:cs="*Microsoft Sans Serif-BoldItali"/>
          <w:b/>
          <w:bCs/>
          <w:i/>
          <w:iCs/>
          <w:color w:val="111111"/>
          <w:sz w:val="21"/>
          <w:szCs w:val="21"/>
        </w:rPr>
        <w:t>Procesos par ale mejora continuo</w:t>
      </w:r>
    </w:p>
    <w:p w14:paraId="520C0B0F" w14:textId="5FE82A23" w:rsidR="00366FFB" w:rsidRPr="00743CF7" w:rsidRDefault="00366FFB" w:rsidP="00366FFB">
      <w:pPr>
        <w:autoSpaceDE w:val="0"/>
        <w:autoSpaceDN w:val="0"/>
        <w:adjustRightInd w:val="0"/>
        <w:ind w:left="5664"/>
        <w:jc w:val="both"/>
        <w:rPr>
          <w:rFonts w:ascii="Abadi" w:hAnsi="Abadi" w:cs="*Microsoft Sans Serif-BoldItali"/>
          <w:b/>
          <w:bCs/>
          <w:i/>
          <w:iCs/>
          <w:color w:val="101010"/>
          <w:sz w:val="21"/>
          <w:szCs w:val="21"/>
        </w:rPr>
      </w:pPr>
      <w:r w:rsidRPr="00F2244A">
        <w:rPr>
          <w:rFonts w:ascii="Abadi" w:hAnsi="Abadi" w:cs="*Calibri-Bold-12853-Identity-H"/>
          <w:b/>
          <w:bCs/>
          <w:color w:val="111111"/>
          <w:sz w:val="21"/>
          <w:szCs w:val="21"/>
        </w:rPr>
        <w:t>u</w:t>
      </w:r>
      <w:r w:rsidRPr="00743CF7">
        <w:rPr>
          <w:rFonts w:ascii="Abadi" w:hAnsi="Abadi" w:cs="*Microsoft Sans Serif-BoldItali"/>
          <w:b/>
          <w:bCs/>
          <w:i/>
          <w:iCs/>
          <w:color w:val="101010"/>
          <w:sz w:val="21"/>
          <w:szCs w:val="21"/>
        </w:rPr>
        <w:t>o</w:t>
      </w:r>
    </w:p>
    <w:p w14:paraId="331126FA" w14:textId="79DEEC72" w:rsidR="00366FFB" w:rsidRPr="00743CF7" w:rsidRDefault="00366FFB" w:rsidP="00366FFB">
      <w:pPr>
        <w:autoSpaceDE w:val="0"/>
        <w:autoSpaceDN w:val="0"/>
        <w:adjustRightInd w:val="0"/>
        <w:ind w:firstLine="708"/>
        <w:jc w:val="both"/>
        <w:rPr>
          <w:rFonts w:ascii="Abadi" w:hAnsi="Abadi" w:cs="*Calibri-12404-Identity-H"/>
          <w:color w:val="2C2C2C"/>
          <w:sz w:val="21"/>
          <w:szCs w:val="21"/>
        </w:rPr>
      </w:pPr>
      <w:r w:rsidRPr="00743CF7">
        <w:rPr>
          <w:rFonts w:ascii="Abadi" w:hAnsi="Abadi" w:cs="*Calibri-Bold-12853-Identity-H"/>
          <w:b/>
          <w:bCs/>
          <w:color w:val="292929"/>
          <w:sz w:val="21"/>
          <w:szCs w:val="21"/>
        </w:rPr>
        <w:t xml:space="preserve">Artículo 77. </w:t>
      </w:r>
      <w:r w:rsidRPr="00743CF7">
        <w:rPr>
          <w:rFonts w:ascii="Abadi" w:hAnsi="Abadi" w:cs="*Calibri-12851-Identity-H"/>
          <w:color w:val="292929"/>
          <w:sz w:val="21"/>
          <w:szCs w:val="21"/>
        </w:rPr>
        <w:t xml:space="preserve">Las instituciones de educación superior deberán desarrollar procesos sistemáticos e integrales de planeación y evaluación de carácter interno </w:t>
      </w:r>
      <w:r w:rsidRPr="00743CF7">
        <w:rPr>
          <w:rFonts w:ascii="Abadi" w:hAnsi="Abadi" w:cs="*Calibri-12852-Identity-H"/>
          <w:color w:val="292929"/>
          <w:sz w:val="21"/>
          <w:szCs w:val="21"/>
        </w:rPr>
        <w:t xml:space="preserve">y </w:t>
      </w:r>
      <w:r w:rsidRPr="00743CF7">
        <w:rPr>
          <w:rFonts w:ascii="Abadi" w:hAnsi="Abadi" w:cs="*Calibri-12851-Identity-H"/>
          <w:color w:val="292929"/>
          <w:sz w:val="21"/>
          <w:szCs w:val="21"/>
        </w:rPr>
        <w:t xml:space="preserve">externo de los procesos </w:t>
      </w:r>
      <w:r w:rsidRPr="00743CF7">
        <w:rPr>
          <w:rFonts w:ascii="Abadi" w:hAnsi="Abadi" w:cs="*Calibri-12852-Identity-H"/>
          <w:color w:val="292929"/>
          <w:sz w:val="21"/>
          <w:szCs w:val="21"/>
        </w:rPr>
        <w:t xml:space="preserve">y </w:t>
      </w:r>
      <w:r w:rsidRPr="00743CF7">
        <w:rPr>
          <w:rFonts w:ascii="Abadi" w:hAnsi="Abadi" w:cs="*Calibri-12851-Identity-H"/>
          <w:color w:val="292929"/>
          <w:sz w:val="21"/>
          <w:szCs w:val="21"/>
        </w:rPr>
        <w:t>resultados de sus funciones sustantivas y de gestión, incluidas l</w:t>
      </w:r>
      <w:r w:rsidRPr="00743CF7">
        <w:rPr>
          <w:rFonts w:ascii="Abadi" w:eastAsia="Abadi" w:hAnsi="Abadi" w:cs="Abadi" w:hint="eastAsia"/>
          <w:color w:val="292929"/>
          <w:sz w:val="21"/>
          <w:szCs w:val="21"/>
        </w:rPr>
        <w:t>􀃐</w:t>
      </w:r>
      <w:r w:rsidRPr="00743CF7">
        <w:rPr>
          <w:rFonts w:ascii="Abadi" w:hAnsi="Abadi" w:cs="*Calibri-12851-Identity-H"/>
          <w:color w:val="292929"/>
          <w:sz w:val="21"/>
          <w:szCs w:val="21"/>
        </w:rPr>
        <w:t xml:space="preserve">s condiciones de operación de sus programas académicos, para la mejora continua de la educación </w:t>
      </w:r>
      <w:r w:rsidRPr="00743CF7">
        <w:rPr>
          <w:rFonts w:ascii="Abadi" w:hAnsi="Abadi" w:cs="*Calibri-12852-Identity-H"/>
          <w:color w:val="292929"/>
          <w:sz w:val="21"/>
          <w:szCs w:val="21"/>
        </w:rPr>
        <w:t xml:space="preserve">y </w:t>
      </w:r>
      <w:r w:rsidRPr="00743CF7">
        <w:rPr>
          <w:rFonts w:ascii="Abadi" w:hAnsi="Abadi" w:cs="*Calibri-12851-Identity-H"/>
          <w:color w:val="292929"/>
          <w:sz w:val="21"/>
          <w:szCs w:val="21"/>
        </w:rPr>
        <w:t xml:space="preserve">el máximo logro de aprendizaje de las </w:t>
      </w:r>
      <w:r w:rsidRPr="00743CF7">
        <w:rPr>
          <w:rFonts w:ascii="Abadi" w:hAnsi="Abadi" w:cs="*Calibri-12852-Identity-H"/>
          <w:color w:val="292929"/>
          <w:sz w:val="21"/>
          <w:szCs w:val="21"/>
        </w:rPr>
        <w:t xml:space="preserve">y </w:t>
      </w:r>
      <w:r w:rsidRPr="00743CF7">
        <w:rPr>
          <w:rFonts w:ascii="Abadi" w:hAnsi="Abadi" w:cs="*Calibri-12851-Identity-H"/>
          <w:color w:val="292929"/>
          <w:sz w:val="21"/>
          <w:szCs w:val="21"/>
        </w:rPr>
        <w:t>los estudiantes. Para tal efecto, padrón apoyarse en los mejores prácticos instrumentadas por otras instituciones de educación superior, así como de las</w:t>
      </w:r>
      <w:r>
        <w:rPr>
          <w:rFonts w:ascii="Abadi" w:hAnsi="Abadi" w:cs="*Calibri-12851-Identity-H"/>
          <w:color w:val="292929"/>
          <w:sz w:val="21"/>
          <w:szCs w:val="21"/>
        </w:rPr>
        <w:t xml:space="preserve"> </w:t>
      </w:r>
      <w:r w:rsidRPr="00743CF7">
        <w:rPr>
          <w:rFonts w:ascii="Abadi" w:hAnsi="Abadi" w:cs="*Calibri-12404-Identity-H"/>
          <w:color w:val="2C2C2C"/>
          <w:sz w:val="21"/>
          <w:szCs w:val="21"/>
        </w:rPr>
        <w:t xml:space="preserve">organizaciones e instancias nacionales e internacionales, dedicadas a la evaluación y acreditación de programas académicos y de gestión institucional. </w:t>
      </w:r>
    </w:p>
    <w:p w14:paraId="34110735" w14:textId="77777777" w:rsidR="00366FFB" w:rsidRPr="00743CF7" w:rsidRDefault="00366FFB" w:rsidP="00366FFB">
      <w:pPr>
        <w:autoSpaceDE w:val="0"/>
        <w:autoSpaceDN w:val="0"/>
        <w:adjustRightInd w:val="0"/>
        <w:jc w:val="both"/>
        <w:rPr>
          <w:rFonts w:ascii="Abadi" w:hAnsi="Abadi" w:cs="*Calibri-12404-Identity-H"/>
          <w:color w:val="2C2C2C"/>
          <w:sz w:val="21"/>
          <w:szCs w:val="21"/>
        </w:rPr>
      </w:pPr>
    </w:p>
    <w:p w14:paraId="0C4E538D" w14:textId="77777777" w:rsidR="00366FFB" w:rsidRPr="00743CF7" w:rsidRDefault="00366FFB" w:rsidP="00366FFB">
      <w:pPr>
        <w:autoSpaceDE w:val="0"/>
        <w:autoSpaceDN w:val="0"/>
        <w:adjustRightInd w:val="0"/>
        <w:ind w:firstLine="708"/>
        <w:jc w:val="both"/>
        <w:rPr>
          <w:rFonts w:ascii="Abadi" w:hAnsi="Abadi" w:cs="*Calibri-12404-Identity-H"/>
          <w:color w:val="292929"/>
          <w:sz w:val="21"/>
          <w:szCs w:val="21"/>
        </w:rPr>
      </w:pPr>
      <w:r w:rsidRPr="00743CF7">
        <w:rPr>
          <w:rFonts w:ascii="Abadi" w:hAnsi="Abadi" w:cs="*Calibri-12404-Identity-H"/>
          <w:color w:val="292929"/>
          <w:sz w:val="21"/>
          <w:szCs w:val="21"/>
        </w:rPr>
        <w:t xml:space="preserve">Los resultados de procesos de planeación </w:t>
      </w:r>
      <w:r w:rsidRPr="00743CF7">
        <w:rPr>
          <w:rFonts w:ascii="Abadi" w:hAnsi="Abadi" w:cs="*Calibri-12405-Identity-H"/>
          <w:color w:val="292929"/>
          <w:sz w:val="21"/>
          <w:szCs w:val="21"/>
        </w:rPr>
        <w:t xml:space="preserve">y </w:t>
      </w:r>
      <w:r w:rsidRPr="00743CF7">
        <w:rPr>
          <w:rFonts w:ascii="Abadi" w:hAnsi="Abadi" w:cs="*Calibri-12404-Identity-H"/>
          <w:color w:val="292929"/>
          <w:sz w:val="21"/>
          <w:szCs w:val="21"/>
        </w:rPr>
        <w:t>evaluación deberán estar disponibles</w:t>
      </w:r>
      <w:r>
        <w:rPr>
          <w:rFonts w:ascii="Abadi" w:hAnsi="Abadi" w:cs="*Calibri-12404-Identity-H"/>
          <w:color w:val="292929"/>
          <w:sz w:val="21"/>
          <w:szCs w:val="21"/>
        </w:rPr>
        <w:t xml:space="preserve"> </w:t>
      </w:r>
      <w:r w:rsidRPr="00743CF7">
        <w:rPr>
          <w:rFonts w:ascii="Abadi" w:hAnsi="Abadi" w:cs="*Calibri-12404-Identity-H"/>
          <w:color w:val="292929"/>
          <w:sz w:val="21"/>
          <w:szCs w:val="21"/>
        </w:rPr>
        <w:t>a consulta. Serán con fines diagnósticos para contribuir al proceso de mejora continua de la educación y no tendrán carácter punitivo.</w:t>
      </w:r>
    </w:p>
    <w:p w14:paraId="33E7ECCA" w14:textId="77777777" w:rsidR="00366FFB" w:rsidRPr="00743CF7" w:rsidRDefault="00366FFB" w:rsidP="00366FFB">
      <w:pPr>
        <w:autoSpaceDE w:val="0"/>
        <w:autoSpaceDN w:val="0"/>
        <w:adjustRightInd w:val="0"/>
        <w:jc w:val="both"/>
        <w:rPr>
          <w:rFonts w:ascii="Abadi" w:hAnsi="Abadi" w:cs="*Comic Sans MS-BoldItalic-12408"/>
          <w:b/>
          <w:bCs/>
          <w:i/>
          <w:iCs/>
          <w:color w:val="101010"/>
          <w:sz w:val="21"/>
          <w:szCs w:val="21"/>
        </w:rPr>
      </w:pPr>
    </w:p>
    <w:p w14:paraId="6373CD6F" w14:textId="78AFDF6C" w:rsidR="00366FFB" w:rsidRPr="00743CF7" w:rsidRDefault="00366FFB" w:rsidP="00366FFB">
      <w:pPr>
        <w:autoSpaceDE w:val="0"/>
        <w:autoSpaceDN w:val="0"/>
        <w:adjustRightInd w:val="0"/>
        <w:jc w:val="both"/>
        <w:rPr>
          <w:rFonts w:ascii="Abadi" w:hAnsi="Abadi" w:cs="*Comic Sans MS-BoldItalic-12408"/>
          <w:b/>
          <w:bCs/>
          <w:i/>
          <w:iCs/>
          <w:color w:val="101010"/>
          <w:sz w:val="21"/>
          <w:szCs w:val="21"/>
        </w:rPr>
      </w:pPr>
      <w:r w:rsidRPr="00743CF7">
        <w:rPr>
          <w:rFonts w:ascii="Abadi" w:hAnsi="Abadi" w:cs="*Comic Sans MS-BoldItalic-12408"/>
          <w:b/>
          <w:bCs/>
          <w:i/>
          <w:iCs/>
          <w:color w:val="101010"/>
          <w:sz w:val="21"/>
          <w:szCs w:val="21"/>
        </w:rPr>
        <w:t>Sistema de información d</w:t>
      </w:r>
      <w:r w:rsidR="00F2244A">
        <w:rPr>
          <w:rFonts w:ascii="Abadi" w:hAnsi="Abadi" w:cs="*Comic Sans MS-BoldItalic-12408"/>
          <w:b/>
          <w:bCs/>
          <w:i/>
          <w:iCs/>
          <w:color w:val="101010"/>
          <w:sz w:val="21"/>
          <w:szCs w:val="21"/>
        </w:rPr>
        <w:t>e</w:t>
      </w:r>
      <w:r w:rsidRPr="00743CF7">
        <w:rPr>
          <w:rFonts w:ascii="Abadi" w:hAnsi="Abadi" w:cs="*Comic Sans MS-BoldItalic-12408"/>
          <w:b/>
          <w:bCs/>
          <w:i/>
          <w:iCs/>
          <w:color w:val="101010"/>
          <w:sz w:val="21"/>
          <w:szCs w:val="21"/>
        </w:rPr>
        <w:t xml:space="preserve"> educación superior</w:t>
      </w:r>
    </w:p>
    <w:p w14:paraId="6C9D032C" w14:textId="77777777" w:rsidR="00366FFB" w:rsidRPr="00743CF7" w:rsidRDefault="00366FFB" w:rsidP="00366FFB">
      <w:pPr>
        <w:autoSpaceDE w:val="0"/>
        <w:autoSpaceDN w:val="0"/>
        <w:adjustRightInd w:val="0"/>
        <w:ind w:firstLine="708"/>
        <w:jc w:val="both"/>
        <w:rPr>
          <w:rFonts w:ascii="Abadi" w:hAnsi="Abadi" w:cs="*Calibri-12404-Identity-H"/>
          <w:color w:val="2A2A2A"/>
          <w:sz w:val="21"/>
          <w:szCs w:val="21"/>
        </w:rPr>
      </w:pPr>
      <w:r w:rsidRPr="00743CF7">
        <w:rPr>
          <w:rFonts w:ascii="Abadi" w:hAnsi="Abadi" w:cs="*Calibri-Bold-12406-Identity-H"/>
          <w:b/>
          <w:bCs/>
          <w:color w:val="2A2A2A"/>
          <w:sz w:val="21"/>
          <w:szCs w:val="21"/>
        </w:rPr>
        <w:t xml:space="preserve">Artículo 78. </w:t>
      </w:r>
      <w:r w:rsidRPr="00743CF7">
        <w:rPr>
          <w:rFonts w:ascii="Abadi" w:hAnsi="Abadi" w:cs="*Calibri-12404-Identity-H"/>
          <w:color w:val="2A2A2A"/>
          <w:sz w:val="21"/>
          <w:szCs w:val="21"/>
        </w:rPr>
        <w:t>La Secretaría implementará un sistema de información de la</w:t>
      </w:r>
      <w:r>
        <w:rPr>
          <w:rFonts w:ascii="Abadi" w:hAnsi="Abadi" w:cs="*Calibri-12404-Identity-H"/>
          <w:color w:val="2A2A2A"/>
          <w:sz w:val="21"/>
          <w:szCs w:val="21"/>
        </w:rPr>
        <w:t xml:space="preserve"> </w:t>
      </w:r>
      <w:r w:rsidRPr="00743CF7">
        <w:rPr>
          <w:rFonts w:ascii="Abadi" w:hAnsi="Abadi" w:cs="*Calibri-12404-Identity-H"/>
          <w:color w:val="2A2A2A"/>
          <w:sz w:val="21"/>
          <w:szCs w:val="21"/>
        </w:rPr>
        <w:t>educación superior de consulta pública como un instrumento de apoyo a los</w:t>
      </w:r>
      <w:r>
        <w:rPr>
          <w:rFonts w:ascii="Abadi" w:hAnsi="Abadi" w:cs="*Calibri-12404-Identity-H"/>
          <w:color w:val="2A2A2A"/>
          <w:sz w:val="21"/>
          <w:szCs w:val="21"/>
        </w:rPr>
        <w:t xml:space="preserve"> </w:t>
      </w:r>
      <w:r w:rsidRPr="00743CF7">
        <w:rPr>
          <w:rFonts w:ascii="Abadi" w:hAnsi="Abadi" w:cs="*Calibri-12404-Identity-H"/>
          <w:color w:val="2A2A2A"/>
          <w:sz w:val="21"/>
          <w:szCs w:val="21"/>
        </w:rPr>
        <w:t xml:space="preserve">procesos de planeación </w:t>
      </w:r>
      <w:r w:rsidRPr="00743CF7">
        <w:rPr>
          <w:rFonts w:ascii="Abadi" w:hAnsi="Abadi" w:cs="*Calibri-12405-Identity-H"/>
          <w:color w:val="2A2A2A"/>
          <w:sz w:val="21"/>
          <w:szCs w:val="21"/>
        </w:rPr>
        <w:t xml:space="preserve">y </w:t>
      </w:r>
      <w:r w:rsidRPr="00743CF7">
        <w:rPr>
          <w:rFonts w:ascii="Abadi" w:hAnsi="Abadi" w:cs="*Calibri-12404-Identity-H"/>
          <w:color w:val="2A2A2A"/>
          <w:sz w:val="21"/>
          <w:szCs w:val="21"/>
        </w:rPr>
        <w:t>evaluación. Para la operación de dicho sistema,</w:t>
      </w:r>
      <w:r>
        <w:rPr>
          <w:rFonts w:ascii="Abadi" w:hAnsi="Abadi" w:cs="*Calibri-12404-Identity-H"/>
          <w:color w:val="2A2A2A"/>
          <w:sz w:val="21"/>
          <w:szCs w:val="21"/>
        </w:rPr>
        <w:t xml:space="preserve"> </w:t>
      </w:r>
      <w:r w:rsidRPr="00743CF7">
        <w:rPr>
          <w:rFonts w:ascii="Abadi" w:hAnsi="Abadi" w:cs="*Calibri-12404-Identity-H"/>
          <w:color w:val="2A2A2A"/>
          <w:sz w:val="21"/>
          <w:szCs w:val="21"/>
        </w:rPr>
        <w:t>establecerá los procesos bajo los cuales las autoridades educativas, instituciones</w:t>
      </w:r>
      <w:r>
        <w:rPr>
          <w:rFonts w:ascii="Abadi" w:hAnsi="Abadi" w:cs="*Calibri-12404-Identity-H"/>
          <w:color w:val="2A2A2A"/>
          <w:sz w:val="21"/>
          <w:szCs w:val="21"/>
        </w:rPr>
        <w:t xml:space="preserve"> </w:t>
      </w:r>
      <w:r w:rsidRPr="00743CF7">
        <w:rPr>
          <w:rFonts w:ascii="Abadi" w:hAnsi="Abadi" w:cs="*Calibri-12404-Identity-H"/>
          <w:color w:val="2A2A2A"/>
          <w:sz w:val="21"/>
          <w:szCs w:val="21"/>
        </w:rPr>
        <w:t xml:space="preserve">de educación superior, además de las instancias </w:t>
      </w:r>
      <w:r w:rsidRPr="00743CF7">
        <w:rPr>
          <w:rFonts w:ascii="Abadi" w:hAnsi="Abadi" w:cs="*Calibri-12405-Identity-H"/>
          <w:color w:val="2A2A2A"/>
          <w:sz w:val="21"/>
          <w:szCs w:val="21"/>
        </w:rPr>
        <w:t xml:space="preserve">y </w:t>
      </w:r>
      <w:r w:rsidRPr="00743CF7">
        <w:rPr>
          <w:rFonts w:ascii="Abadi" w:hAnsi="Abadi" w:cs="*Calibri-12404-Identity-H"/>
          <w:color w:val="2A2A2A"/>
          <w:sz w:val="21"/>
          <w:szCs w:val="21"/>
        </w:rPr>
        <w:t>sectores vinculados con el tipo</w:t>
      </w:r>
      <w:r>
        <w:rPr>
          <w:rFonts w:ascii="Abadi" w:hAnsi="Abadi" w:cs="*Calibri-12404-Identity-H"/>
          <w:color w:val="2A2A2A"/>
          <w:sz w:val="21"/>
          <w:szCs w:val="21"/>
        </w:rPr>
        <w:t xml:space="preserve"> </w:t>
      </w:r>
      <w:r w:rsidRPr="00743CF7">
        <w:rPr>
          <w:rFonts w:ascii="Abadi" w:hAnsi="Abadi" w:cs="*Calibri-12404-Identity-H"/>
          <w:color w:val="2A2A2A"/>
          <w:sz w:val="21"/>
          <w:szCs w:val="21"/>
        </w:rPr>
        <w:t>de educación</w:t>
      </w:r>
      <w:r>
        <w:rPr>
          <w:rFonts w:ascii="Abadi" w:hAnsi="Abadi" w:cs="*Calibri-12404-Identity-H"/>
          <w:color w:val="2A2A2A"/>
          <w:sz w:val="21"/>
          <w:szCs w:val="21"/>
        </w:rPr>
        <w:t xml:space="preserve"> </w:t>
      </w:r>
      <w:r w:rsidRPr="00743CF7">
        <w:rPr>
          <w:rFonts w:ascii="Abadi" w:hAnsi="Abadi" w:cs="*Calibri-12404-Identity-H"/>
          <w:color w:val="2A2A2A"/>
          <w:sz w:val="21"/>
          <w:szCs w:val="21"/>
        </w:rPr>
        <w:t>superior proporcionen información que integre el sistema al que se</w:t>
      </w:r>
      <w:r>
        <w:rPr>
          <w:rFonts w:ascii="Abadi" w:hAnsi="Abadi" w:cs="*Calibri-12404-Identity-H"/>
          <w:color w:val="2A2A2A"/>
          <w:sz w:val="21"/>
          <w:szCs w:val="21"/>
        </w:rPr>
        <w:t xml:space="preserve"> </w:t>
      </w:r>
      <w:r w:rsidRPr="00743CF7">
        <w:rPr>
          <w:rFonts w:ascii="Abadi" w:hAnsi="Abadi" w:cs="*Calibri-12404-Identity-H"/>
          <w:color w:val="2A2A2A"/>
          <w:sz w:val="21"/>
          <w:szCs w:val="21"/>
        </w:rPr>
        <w:t xml:space="preserve">refiere este artículo, la cual tendrá fines estadísticos, de planeación. evaluación </w:t>
      </w:r>
      <w:r w:rsidRPr="00743CF7">
        <w:rPr>
          <w:rFonts w:ascii="Abadi" w:hAnsi="Abadi" w:cs="*Calibri-12405-Identity-H"/>
          <w:color w:val="2A2A2A"/>
          <w:sz w:val="21"/>
          <w:szCs w:val="21"/>
        </w:rPr>
        <w:t>y</w:t>
      </w:r>
      <w:r>
        <w:rPr>
          <w:rFonts w:ascii="Abadi" w:hAnsi="Abadi" w:cs="*Calibri-12405-Identity-H"/>
          <w:color w:val="2A2A2A"/>
          <w:sz w:val="21"/>
          <w:szCs w:val="21"/>
        </w:rPr>
        <w:t xml:space="preserve"> </w:t>
      </w:r>
      <w:r w:rsidRPr="00743CF7">
        <w:rPr>
          <w:rFonts w:ascii="Abadi" w:hAnsi="Abadi" w:cs="*Calibri-12404-Identity-H"/>
          <w:color w:val="2A2A2A"/>
          <w:sz w:val="21"/>
          <w:szCs w:val="21"/>
        </w:rPr>
        <w:t>de información a la sociedad. a través de los medios que para tal efecto se</w:t>
      </w:r>
    </w:p>
    <w:p w14:paraId="5E8FA5BF" w14:textId="77777777" w:rsidR="00366FFB" w:rsidRPr="00743CF7" w:rsidRDefault="00366FFB" w:rsidP="00366FFB">
      <w:pPr>
        <w:autoSpaceDE w:val="0"/>
        <w:autoSpaceDN w:val="0"/>
        <w:adjustRightInd w:val="0"/>
        <w:jc w:val="both"/>
        <w:rPr>
          <w:rFonts w:ascii="Abadi" w:hAnsi="Abadi" w:cs="*Calibri-12404-Identity-H"/>
          <w:color w:val="2A2A2A"/>
          <w:sz w:val="21"/>
          <w:szCs w:val="21"/>
        </w:rPr>
      </w:pPr>
      <w:r w:rsidRPr="00743CF7">
        <w:rPr>
          <w:rFonts w:ascii="Abadi" w:hAnsi="Abadi" w:cs="*Calibri-12404-Identity-H"/>
          <w:color w:val="2A2A2A"/>
          <w:sz w:val="21"/>
          <w:szCs w:val="21"/>
        </w:rPr>
        <w:t>determinen.</w:t>
      </w:r>
    </w:p>
    <w:p w14:paraId="47D6667B" w14:textId="77777777" w:rsidR="00366FFB" w:rsidRPr="00743CF7" w:rsidRDefault="00366FFB" w:rsidP="00366FFB">
      <w:pPr>
        <w:autoSpaceDE w:val="0"/>
        <w:autoSpaceDN w:val="0"/>
        <w:adjustRightInd w:val="0"/>
        <w:jc w:val="both"/>
        <w:rPr>
          <w:rFonts w:ascii="Abadi" w:hAnsi="Abadi" w:cs="*Microsoft Sans Serif-Bold-1240"/>
          <w:b/>
          <w:bCs/>
          <w:color w:val="0E0E0E"/>
          <w:sz w:val="21"/>
          <w:szCs w:val="21"/>
        </w:rPr>
      </w:pPr>
    </w:p>
    <w:p w14:paraId="07264B36" w14:textId="77777777" w:rsidR="00366FFB" w:rsidRPr="00743CF7" w:rsidRDefault="00366FFB" w:rsidP="00366FFB">
      <w:pPr>
        <w:autoSpaceDE w:val="0"/>
        <w:autoSpaceDN w:val="0"/>
        <w:adjustRightInd w:val="0"/>
        <w:jc w:val="center"/>
        <w:rPr>
          <w:rFonts w:ascii="Abadi" w:hAnsi="Abadi" w:cs="*Microsoft Sans Serif-Bold-1240"/>
          <w:b/>
          <w:bCs/>
          <w:color w:val="0E0E0E"/>
          <w:sz w:val="21"/>
          <w:szCs w:val="21"/>
        </w:rPr>
      </w:pPr>
      <w:r w:rsidRPr="00743CF7">
        <w:rPr>
          <w:rFonts w:ascii="Abadi" w:hAnsi="Abadi" w:cs="*Microsoft Sans Serif-Bold-1240"/>
          <w:b/>
          <w:bCs/>
          <w:color w:val="0E0E0E"/>
          <w:sz w:val="21"/>
          <w:szCs w:val="21"/>
        </w:rPr>
        <w:t>TÍTULO VII</w:t>
      </w:r>
    </w:p>
    <w:p w14:paraId="632017E1" w14:textId="77777777" w:rsidR="00366FFB" w:rsidRPr="00743CF7" w:rsidRDefault="00366FFB" w:rsidP="00366FFB">
      <w:pPr>
        <w:autoSpaceDE w:val="0"/>
        <w:autoSpaceDN w:val="0"/>
        <w:adjustRightInd w:val="0"/>
        <w:jc w:val="center"/>
        <w:rPr>
          <w:rFonts w:ascii="Abadi" w:hAnsi="Abadi" w:cs="*Calibri-Bold-12406-Identity-H"/>
          <w:b/>
          <w:bCs/>
          <w:color w:val="0E0E0E"/>
          <w:sz w:val="21"/>
          <w:szCs w:val="21"/>
        </w:rPr>
      </w:pPr>
      <w:r w:rsidRPr="00743CF7">
        <w:rPr>
          <w:rFonts w:ascii="Abadi" w:hAnsi="Abadi" w:cs="*Calibri-Bold-12406-Identity-H"/>
          <w:b/>
          <w:bCs/>
          <w:color w:val="0E0E0E"/>
          <w:sz w:val="21"/>
          <w:szCs w:val="21"/>
        </w:rPr>
        <w:t>Convivencia por la Paz</w:t>
      </w:r>
    </w:p>
    <w:p w14:paraId="6140F498" w14:textId="77777777" w:rsidR="00366FFB" w:rsidRPr="00743CF7" w:rsidRDefault="00366FFB" w:rsidP="00366FFB">
      <w:pPr>
        <w:autoSpaceDE w:val="0"/>
        <w:autoSpaceDN w:val="0"/>
        <w:adjustRightInd w:val="0"/>
        <w:jc w:val="center"/>
        <w:rPr>
          <w:rFonts w:ascii="Abadi" w:hAnsi="Abadi" w:cs="*Calibri-Bold-12406-Identity-H"/>
          <w:b/>
          <w:bCs/>
          <w:color w:val="0E0E0E"/>
          <w:sz w:val="21"/>
          <w:szCs w:val="21"/>
        </w:rPr>
      </w:pPr>
      <w:r w:rsidRPr="00743CF7">
        <w:rPr>
          <w:rFonts w:ascii="Abadi" w:hAnsi="Abadi" w:cs="*Calibri-Bold-12406-Identity-H"/>
          <w:b/>
          <w:bCs/>
          <w:color w:val="0E0E0E"/>
          <w:sz w:val="21"/>
          <w:szCs w:val="21"/>
        </w:rPr>
        <w:t xml:space="preserve">Capítulo </w:t>
      </w:r>
      <w:r>
        <w:rPr>
          <w:rFonts w:ascii="Abadi" w:hAnsi="Abadi" w:cs="*Calibri-Bold-12406-Identity-H"/>
          <w:b/>
          <w:bCs/>
          <w:color w:val="0E0E0E"/>
          <w:sz w:val="21"/>
          <w:szCs w:val="21"/>
        </w:rPr>
        <w:t>I</w:t>
      </w:r>
    </w:p>
    <w:p w14:paraId="13F44D9A" w14:textId="77777777" w:rsidR="00366FFB" w:rsidRDefault="00366FFB" w:rsidP="00366FFB">
      <w:pPr>
        <w:autoSpaceDE w:val="0"/>
        <w:autoSpaceDN w:val="0"/>
        <w:adjustRightInd w:val="0"/>
        <w:jc w:val="center"/>
        <w:rPr>
          <w:rFonts w:ascii="Abadi" w:hAnsi="Abadi" w:cs="*Calibri-Bold-12406-Identity-H"/>
          <w:b/>
          <w:bCs/>
          <w:color w:val="0D0D0D"/>
          <w:sz w:val="21"/>
          <w:szCs w:val="21"/>
        </w:rPr>
      </w:pPr>
    </w:p>
    <w:p w14:paraId="1E51D361" w14:textId="77777777" w:rsidR="00366FFB" w:rsidRPr="00743CF7" w:rsidRDefault="00366FFB" w:rsidP="00366FFB">
      <w:pPr>
        <w:autoSpaceDE w:val="0"/>
        <w:autoSpaceDN w:val="0"/>
        <w:adjustRightInd w:val="0"/>
        <w:jc w:val="center"/>
        <w:rPr>
          <w:rFonts w:ascii="Abadi" w:hAnsi="Abadi" w:cs="*Calibri-Bold-12406-Identity-H"/>
          <w:b/>
          <w:bCs/>
          <w:color w:val="0D0D0D"/>
          <w:sz w:val="21"/>
          <w:szCs w:val="21"/>
        </w:rPr>
      </w:pPr>
      <w:r w:rsidRPr="00743CF7">
        <w:rPr>
          <w:rFonts w:ascii="Abadi" w:hAnsi="Abadi" w:cs="*Calibri-Bold-12406-Identity-H"/>
          <w:b/>
          <w:bCs/>
          <w:color w:val="0D0D0D"/>
          <w:sz w:val="21"/>
          <w:szCs w:val="21"/>
        </w:rPr>
        <w:t>Acciones para prevenir la violencia escolar</w:t>
      </w:r>
    </w:p>
    <w:p w14:paraId="273F0403" w14:textId="77777777" w:rsidR="00366FFB" w:rsidRPr="00743CF7" w:rsidRDefault="00366FFB" w:rsidP="00366FFB">
      <w:pPr>
        <w:autoSpaceDE w:val="0"/>
        <w:autoSpaceDN w:val="0"/>
        <w:adjustRightInd w:val="0"/>
        <w:rPr>
          <w:rFonts w:ascii="Abadi" w:hAnsi="Abadi" w:cs="*Comic Sans MS-BoldItalic-12408"/>
          <w:b/>
          <w:bCs/>
          <w:i/>
          <w:iCs/>
          <w:color w:val="0F0F0F"/>
          <w:sz w:val="21"/>
          <w:szCs w:val="21"/>
        </w:rPr>
      </w:pPr>
      <w:r w:rsidRPr="00743CF7">
        <w:rPr>
          <w:rFonts w:ascii="Abadi" w:hAnsi="Abadi" w:cs="*Comic Sans MS-BoldItalic-12408"/>
          <w:b/>
          <w:bCs/>
          <w:i/>
          <w:iCs/>
          <w:color w:val="0F0F0F"/>
          <w:sz w:val="21"/>
          <w:szCs w:val="21"/>
        </w:rPr>
        <w:t>Prevención y atención de violencia escotar</w:t>
      </w:r>
    </w:p>
    <w:p w14:paraId="3789A103" w14:textId="77777777" w:rsidR="00366FFB" w:rsidRPr="00743CF7" w:rsidRDefault="00366FFB" w:rsidP="00366FFB">
      <w:pPr>
        <w:autoSpaceDE w:val="0"/>
        <w:autoSpaceDN w:val="0"/>
        <w:adjustRightInd w:val="0"/>
        <w:jc w:val="both"/>
        <w:rPr>
          <w:rFonts w:ascii="Abadi" w:hAnsi="Abadi" w:cs="*Calibri-Bold-12406-Identity-H"/>
          <w:b/>
          <w:bCs/>
          <w:color w:val="282828"/>
          <w:sz w:val="21"/>
          <w:szCs w:val="21"/>
        </w:rPr>
      </w:pPr>
    </w:p>
    <w:p w14:paraId="35F2B33A" w14:textId="77777777" w:rsidR="00366FFB" w:rsidRPr="00743CF7" w:rsidRDefault="00366FFB" w:rsidP="00366FFB">
      <w:pPr>
        <w:autoSpaceDE w:val="0"/>
        <w:autoSpaceDN w:val="0"/>
        <w:adjustRightInd w:val="0"/>
        <w:ind w:firstLine="708"/>
        <w:jc w:val="both"/>
        <w:rPr>
          <w:rFonts w:ascii="Abadi" w:hAnsi="Abadi" w:cs="*Calibri-12404-Identity-H"/>
          <w:color w:val="282828"/>
          <w:sz w:val="21"/>
          <w:szCs w:val="21"/>
        </w:rPr>
      </w:pPr>
      <w:r w:rsidRPr="00743CF7">
        <w:rPr>
          <w:rFonts w:ascii="Abadi" w:hAnsi="Abadi" w:cs="*Calibri-Bold-12406-Identity-H"/>
          <w:b/>
          <w:bCs/>
          <w:color w:val="282828"/>
          <w:sz w:val="21"/>
          <w:szCs w:val="21"/>
        </w:rPr>
        <w:t xml:space="preserve">Artículo </w:t>
      </w:r>
      <w:r w:rsidRPr="00743CF7">
        <w:rPr>
          <w:rFonts w:ascii="Abadi" w:hAnsi="Abadi" w:cs="*Arial-BoldItalic-12407-Identit"/>
          <w:b/>
          <w:bCs/>
          <w:i/>
          <w:iCs/>
          <w:color w:val="282828"/>
          <w:sz w:val="21"/>
          <w:szCs w:val="21"/>
        </w:rPr>
        <w:t xml:space="preserve">79. </w:t>
      </w:r>
      <w:r w:rsidRPr="00743CF7">
        <w:rPr>
          <w:rFonts w:ascii="Abadi" w:hAnsi="Abadi" w:cs="*Calibri-12404-Identity-H"/>
          <w:color w:val="282828"/>
          <w:sz w:val="21"/>
          <w:szCs w:val="21"/>
        </w:rPr>
        <w:t xml:space="preserve">Las instituciones de educación superior, en sus ámbitos de competencia, promoverán las medidas necesarias para la prevención </w:t>
      </w:r>
      <w:r w:rsidRPr="00743CF7">
        <w:rPr>
          <w:rFonts w:ascii="Abadi" w:hAnsi="Abadi" w:cs="*Calibri-12405-Identity-H"/>
          <w:color w:val="282828"/>
          <w:sz w:val="21"/>
          <w:szCs w:val="21"/>
        </w:rPr>
        <w:t xml:space="preserve">y </w:t>
      </w:r>
      <w:r w:rsidRPr="00743CF7">
        <w:rPr>
          <w:rFonts w:ascii="Abadi" w:hAnsi="Abadi" w:cs="*Calibri-12404-Identity-H"/>
          <w:color w:val="282828"/>
          <w:sz w:val="21"/>
          <w:szCs w:val="21"/>
        </w:rPr>
        <w:t xml:space="preserve">atención de todos los tipos </w:t>
      </w:r>
      <w:r w:rsidRPr="00743CF7">
        <w:rPr>
          <w:rFonts w:ascii="Abadi" w:hAnsi="Abadi" w:cs="*Calibri-12405-Identity-H"/>
          <w:color w:val="282828"/>
          <w:sz w:val="21"/>
          <w:szCs w:val="21"/>
        </w:rPr>
        <w:t xml:space="preserve">y </w:t>
      </w:r>
      <w:r w:rsidRPr="00743CF7">
        <w:rPr>
          <w:rFonts w:ascii="Abadi" w:hAnsi="Abadi" w:cs="*Calibri-12404-Identity-H"/>
          <w:color w:val="282828"/>
          <w:sz w:val="21"/>
          <w:szCs w:val="21"/>
        </w:rPr>
        <w:t xml:space="preserve">modalidades de violencia, así como para la protección del bienestar físico, mental y social de sus estudiantes </w:t>
      </w:r>
      <w:r w:rsidRPr="00743CF7">
        <w:rPr>
          <w:rFonts w:ascii="Abadi" w:hAnsi="Abadi" w:cs="*Times New Roman-Italic-12401-I"/>
          <w:i/>
          <w:iCs/>
          <w:color w:val="282828"/>
          <w:sz w:val="21"/>
          <w:szCs w:val="21"/>
        </w:rPr>
        <w:t xml:space="preserve">y </w:t>
      </w:r>
      <w:r w:rsidRPr="00743CF7">
        <w:rPr>
          <w:rFonts w:ascii="Abadi" w:hAnsi="Abadi" w:cs="*Calibri-12404-Identity-H"/>
          <w:color w:val="282828"/>
          <w:sz w:val="21"/>
          <w:szCs w:val="21"/>
        </w:rPr>
        <w:t>del personal que labore en ellas.</w:t>
      </w:r>
    </w:p>
    <w:p w14:paraId="3AD28852" w14:textId="77777777" w:rsidR="00366FFB" w:rsidRPr="00743CF7" w:rsidRDefault="00366FFB" w:rsidP="00366FFB">
      <w:pPr>
        <w:autoSpaceDE w:val="0"/>
        <w:autoSpaceDN w:val="0"/>
        <w:adjustRightInd w:val="0"/>
        <w:jc w:val="both"/>
        <w:rPr>
          <w:rFonts w:ascii="Abadi" w:hAnsi="Abadi" w:cs="*Calibri-12404-Identity-H"/>
          <w:color w:val="282828"/>
          <w:sz w:val="21"/>
          <w:szCs w:val="21"/>
        </w:rPr>
      </w:pPr>
    </w:p>
    <w:p w14:paraId="39C479DF" w14:textId="77777777" w:rsidR="00366FFB" w:rsidRPr="00743CF7" w:rsidRDefault="00366FFB" w:rsidP="00366FFB">
      <w:pPr>
        <w:autoSpaceDE w:val="0"/>
        <w:autoSpaceDN w:val="0"/>
        <w:adjustRightInd w:val="0"/>
        <w:ind w:firstLine="708"/>
        <w:jc w:val="both"/>
        <w:rPr>
          <w:rFonts w:ascii="Abadi" w:hAnsi="Abadi" w:cs="*Microsoft Sans Serif-9811-Iden"/>
          <w:color w:val="2A2A2A"/>
          <w:sz w:val="21"/>
          <w:szCs w:val="21"/>
        </w:rPr>
      </w:pPr>
      <w:r w:rsidRPr="00743CF7">
        <w:rPr>
          <w:rFonts w:ascii="Abadi" w:hAnsi="Abadi" w:cs="*Calibri-12404-Identity-H"/>
          <w:color w:val="282828"/>
          <w:sz w:val="21"/>
          <w:szCs w:val="21"/>
        </w:rPr>
        <w:t xml:space="preserve">Dichas medidos se basarán en diagnósticos </w:t>
      </w:r>
      <w:r w:rsidRPr="00743CF7">
        <w:rPr>
          <w:rFonts w:ascii="Abadi" w:hAnsi="Abadi" w:cs="*Calibri-12405-Identity-H"/>
          <w:color w:val="282828"/>
          <w:sz w:val="21"/>
          <w:szCs w:val="21"/>
        </w:rPr>
        <w:t xml:space="preserve">y </w:t>
      </w:r>
      <w:r w:rsidRPr="00743CF7">
        <w:rPr>
          <w:rFonts w:ascii="Abadi" w:hAnsi="Abadi" w:cs="*Calibri-12404-Identity-H"/>
          <w:color w:val="282828"/>
          <w:sz w:val="21"/>
          <w:szCs w:val="21"/>
        </w:rPr>
        <w:t xml:space="preserve">estudios de las actividades académicas, escolares </w:t>
      </w:r>
      <w:r w:rsidRPr="00743CF7">
        <w:rPr>
          <w:rFonts w:ascii="Abadi" w:hAnsi="Abadi" w:cs="*Times New Roman-Italic-12400-I"/>
          <w:i/>
          <w:iCs/>
          <w:color w:val="282828"/>
          <w:sz w:val="21"/>
          <w:szCs w:val="21"/>
        </w:rPr>
        <w:t xml:space="preserve">y </w:t>
      </w:r>
      <w:r w:rsidRPr="00743CF7">
        <w:rPr>
          <w:rFonts w:ascii="Abadi" w:hAnsi="Abadi" w:cs="*Calibri-12404-Identity-H"/>
          <w:color w:val="282828"/>
          <w:sz w:val="21"/>
          <w:szCs w:val="21"/>
        </w:rPr>
        <w:t xml:space="preserve">administrativas para lograr una detección </w:t>
      </w:r>
      <w:r w:rsidRPr="00743CF7">
        <w:rPr>
          <w:rFonts w:ascii="Abadi" w:hAnsi="Abadi" w:cs="*Times New Roman-Italic-12400-I"/>
          <w:i/>
          <w:iCs/>
          <w:color w:val="282828"/>
          <w:sz w:val="21"/>
          <w:szCs w:val="21"/>
        </w:rPr>
        <w:t xml:space="preserve">y </w:t>
      </w:r>
      <w:r w:rsidRPr="00743CF7">
        <w:rPr>
          <w:rFonts w:ascii="Abadi" w:hAnsi="Abadi" w:cs="*Calibri-12404-Identity-H"/>
          <w:color w:val="282828"/>
          <w:sz w:val="21"/>
          <w:szCs w:val="21"/>
        </w:rPr>
        <w:t xml:space="preserve">atención </w:t>
      </w:r>
      <w:r w:rsidRPr="00743CF7">
        <w:rPr>
          <w:rFonts w:ascii="Abadi" w:hAnsi="Abadi" w:cs="*Microsoft Sans Serif-9811-Iden"/>
          <w:color w:val="2A2A2A"/>
          <w:sz w:val="21"/>
          <w:szCs w:val="21"/>
        </w:rPr>
        <w:t>oportuno de los factores de riesgo, violencia y discriminación, estableciendo protocolos de atención y proporcionando, en su caso. servicios de orientación y apoyo de trabajo social, médico y psicológico.</w:t>
      </w:r>
    </w:p>
    <w:p w14:paraId="41842FD0" w14:textId="77777777" w:rsidR="00366FFB" w:rsidRPr="00743CF7" w:rsidRDefault="00366FFB" w:rsidP="00366FFB">
      <w:pPr>
        <w:autoSpaceDE w:val="0"/>
        <w:autoSpaceDN w:val="0"/>
        <w:adjustRightInd w:val="0"/>
        <w:jc w:val="both"/>
        <w:rPr>
          <w:rFonts w:ascii="Abadi" w:hAnsi="Abadi" w:cs="*Microsoft Sans Serif-9811-Iden"/>
          <w:color w:val="2A2A2A"/>
          <w:sz w:val="21"/>
          <w:szCs w:val="21"/>
        </w:rPr>
      </w:pPr>
    </w:p>
    <w:p w14:paraId="072B0333" w14:textId="446ACC75" w:rsidR="00366FFB" w:rsidRPr="00743CF7" w:rsidRDefault="00366FFB" w:rsidP="00366FFB">
      <w:pPr>
        <w:autoSpaceDE w:val="0"/>
        <w:autoSpaceDN w:val="0"/>
        <w:adjustRightInd w:val="0"/>
        <w:jc w:val="both"/>
        <w:rPr>
          <w:rFonts w:ascii="Abadi" w:hAnsi="Abadi" w:cs="*Microsoft Sans Serif-9811-Iden"/>
          <w:color w:val="2A2A2A"/>
          <w:sz w:val="21"/>
          <w:szCs w:val="21"/>
        </w:rPr>
      </w:pPr>
      <w:r w:rsidRPr="00743CF7">
        <w:rPr>
          <w:rFonts w:ascii="Abadi" w:hAnsi="Abadi" w:cs="*Microsoft Sans Serif-9811-Iden"/>
          <w:color w:val="2A2A2A"/>
          <w:sz w:val="21"/>
          <w:szCs w:val="21"/>
        </w:rPr>
        <w:t>Las acciones derivadas para el cumplimiento de este artículo respetarán la protección de datos personales y la privacidad de los estudiantes y del personal que reciba los servicios.</w:t>
      </w:r>
    </w:p>
    <w:p w14:paraId="18267DB1" w14:textId="77777777" w:rsidR="00366FFB" w:rsidRPr="00743CF7" w:rsidRDefault="00366FFB" w:rsidP="00366FFB">
      <w:pPr>
        <w:autoSpaceDE w:val="0"/>
        <w:autoSpaceDN w:val="0"/>
        <w:adjustRightInd w:val="0"/>
        <w:jc w:val="both"/>
        <w:rPr>
          <w:rFonts w:ascii="Abadi" w:hAnsi="Abadi" w:cs="*Calibri-BoldItalic-9810-Identi"/>
          <w:b/>
          <w:bCs/>
          <w:i/>
          <w:iCs/>
          <w:color w:val="101010"/>
          <w:sz w:val="21"/>
          <w:szCs w:val="21"/>
        </w:rPr>
      </w:pPr>
    </w:p>
    <w:p w14:paraId="17B0B1B1" w14:textId="77777777" w:rsidR="00366FFB" w:rsidRPr="00743CF7" w:rsidRDefault="00366FFB" w:rsidP="00366FFB">
      <w:pPr>
        <w:autoSpaceDE w:val="0"/>
        <w:autoSpaceDN w:val="0"/>
        <w:adjustRightInd w:val="0"/>
        <w:jc w:val="right"/>
        <w:rPr>
          <w:rFonts w:ascii="Abadi" w:hAnsi="Abadi" w:cs="*Calibri-BoldItalic-9810-Identi"/>
          <w:b/>
          <w:bCs/>
          <w:i/>
          <w:iCs/>
          <w:color w:val="101010"/>
          <w:sz w:val="21"/>
          <w:szCs w:val="21"/>
        </w:rPr>
      </w:pPr>
      <w:r w:rsidRPr="00743CF7">
        <w:rPr>
          <w:rFonts w:ascii="Abadi" w:hAnsi="Abadi" w:cs="*Calibri-BoldItalic-9810-Identi"/>
          <w:b/>
          <w:bCs/>
          <w:i/>
          <w:iCs/>
          <w:color w:val="101010"/>
          <w:sz w:val="21"/>
          <w:szCs w:val="21"/>
        </w:rPr>
        <w:t>Casos no previstos</w:t>
      </w:r>
    </w:p>
    <w:p w14:paraId="709D843A" w14:textId="77777777" w:rsidR="00366FFB" w:rsidRPr="00743CF7" w:rsidRDefault="00366FFB" w:rsidP="00366FFB">
      <w:pPr>
        <w:autoSpaceDE w:val="0"/>
        <w:autoSpaceDN w:val="0"/>
        <w:adjustRightInd w:val="0"/>
        <w:ind w:firstLine="708"/>
        <w:jc w:val="both"/>
        <w:rPr>
          <w:rFonts w:ascii="Abadi" w:hAnsi="Abadi" w:cs="*Microsoft Sans Serif-9811-Iden"/>
          <w:color w:val="262626"/>
          <w:sz w:val="21"/>
          <w:szCs w:val="21"/>
        </w:rPr>
      </w:pPr>
      <w:r w:rsidRPr="00743CF7">
        <w:rPr>
          <w:rFonts w:ascii="Abadi" w:hAnsi="Abadi" w:cs="*Microsoft Sans Serif-Bold-9812"/>
          <w:b/>
          <w:bCs/>
          <w:color w:val="262626"/>
          <w:sz w:val="21"/>
          <w:szCs w:val="21"/>
        </w:rPr>
        <w:t xml:space="preserve">Artículo 80. </w:t>
      </w:r>
      <w:r w:rsidRPr="00743CF7">
        <w:rPr>
          <w:rFonts w:ascii="Abadi" w:hAnsi="Abadi" w:cs="*Microsoft Sans Serif-9811-Iden"/>
          <w:color w:val="262626"/>
          <w:sz w:val="21"/>
          <w:szCs w:val="21"/>
        </w:rPr>
        <w:t>En todo lo no previsto por esta Ley en materia de convivencia escolar, será aplicable la Ley para una Convivencia Libre de Violencia en el Entorno Escolar para el Estado de Guanajuato y sus Municipios.</w:t>
      </w:r>
    </w:p>
    <w:p w14:paraId="65E6965C" w14:textId="77777777" w:rsidR="00366FFB" w:rsidRPr="00743CF7" w:rsidRDefault="00366FFB" w:rsidP="00366FFB">
      <w:pPr>
        <w:autoSpaceDE w:val="0"/>
        <w:autoSpaceDN w:val="0"/>
        <w:adjustRightInd w:val="0"/>
        <w:jc w:val="both"/>
        <w:rPr>
          <w:rFonts w:ascii="Abadi" w:hAnsi="Abadi" w:cs="*Microsoft Sans Serif-Bold-9812"/>
          <w:b/>
          <w:bCs/>
          <w:color w:val="0F0F0F"/>
          <w:sz w:val="21"/>
          <w:szCs w:val="21"/>
        </w:rPr>
      </w:pPr>
    </w:p>
    <w:p w14:paraId="426DFB66" w14:textId="77777777" w:rsidR="00F2244A" w:rsidRDefault="00F2244A" w:rsidP="00366FFB">
      <w:pPr>
        <w:autoSpaceDE w:val="0"/>
        <w:autoSpaceDN w:val="0"/>
        <w:adjustRightInd w:val="0"/>
        <w:jc w:val="center"/>
        <w:rPr>
          <w:rFonts w:ascii="Abadi" w:hAnsi="Abadi" w:cs="*Microsoft Sans Serif-Bold-9812"/>
          <w:b/>
          <w:bCs/>
          <w:color w:val="0F0F0F"/>
          <w:sz w:val="21"/>
          <w:szCs w:val="21"/>
        </w:rPr>
      </w:pPr>
    </w:p>
    <w:p w14:paraId="5A2339D6" w14:textId="0D37443B" w:rsidR="00366FFB" w:rsidRPr="00743CF7" w:rsidRDefault="00366FFB" w:rsidP="00366FFB">
      <w:pPr>
        <w:autoSpaceDE w:val="0"/>
        <w:autoSpaceDN w:val="0"/>
        <w:adjustRightInd w:val="0"/>
        <w:jc w:val="center"/>
        <w:rPr>
          <w:rFonts w:ascii="Abadi" w:hAnsi="Abadi" w:cs="*Microsoft Sans Serif-Bold-9812"/>
          <w:b/>
          <w:bCs/>
          <w:color w:val="0F0F0F"/>
          <w:sz w:val="21"/>
          <w:szCs w:val="21"/>
        </w:rPr>
      </w:pPr>
      <w:r w:rsidRPr="00743CF7">
        <w:rPr>
          <w:rFonts w:ascii="Abadi" w:hAnsi="Abadi" w:cs="*Microsoft Sans Serif-Bold-9812"/>
          <w:b/>
          <w:bCs/>
          <w:color w:val="0F0F0F"/>
          <w:sz w:val="21"/>
          <w:szCs w:val="21"/>
        </w:rPr>
        <w:t>Capítulo</w:t>
      </w:r>
    </w:p>
    <w:p w14:paraId="146EAE99" w14:textId="77777777" w:rsidR="00366FFB" w:rsidRPr="00743CF7" w:rsidRDefault="00366FFB" w:rsidP="00366FFB">
      <w:pPr>
        <w:autoSpaceDE w:val="0"/>
        <w:autoSpaceDN w:val="0"/>
        <w:adjustRightInd w:val="0"/>
        <w:jc w:val="center"/>
        <w:rPr>
          <w:rFonts w:ascii="Abadi" w:hAnsi="Abadi" w:cs="*Microsoft Sans Serif-Bold-9812"/>
          <w:b/>
          <w:bCs/>
          <w:color w:val="111111"/>
          <w:sz w:val="21"/>
          <w:szCs w:val="21"/>
        </w:rPr>
      </w:pPr>
    </w:p>
    <w:p w14:paraId="752CCD9D" w14:textId="77777777" w:rsidR="00366FFB" w:rsidRDefault="00366FFB" w:rsidP="00366FFB">
      <w:pPr>
        <w:autoSpaceDE w:val="0"/>
        <w:autoSpaceDN w:val="0"/>
        <w:adjustRightInd w:val="0"/>
        <w:jc w:val="center"/>
        <w:rPr>
          <w:rFonts w:ascii="Abadi" w:hAnsi="Abadi" w:cs="*Microsoft Sans Serif-Bold-9812"/>
          <w:b/>
          <w:bCs/>
          <w:color w:val="111111"/>
          <w:sz w:val="21"/>
          <w:szCs w:val="21"/>
        </w:rPr>
      </w:pPr>
      <w:r w:rsidRPr="00743CF7">
        <w:rPr>
          <w:rFonts w:ascii="Abadi" w:hAnsi="Abadi" w:cs="*Microsoft Sans Serif-Bold-9812"/>
          <w:b/>
          <w:bCs/>
          <w:color w:val="111111"/>
          <w:sz w:val="21"/>
          <w:szCs w:val="21"/>
        </w:rPr>
        <w:t>Acciones para prevenir la violencia de género</w:t>
      </w:r>
    </w:p>
    <w:p w14:paraId="1F0ED184" w14:textId="77777777" w:rsidR="00F2244A" w:rsidRDefault="00F2244A" w:rsidP="00F2244A">
      <w:pPr>
        <w:autoSpaceDE w:val="0"/>
        <w:autoSpaceDN w:val="0"/>
        <w:adjustRightInd w:val="0"/>
        <w:jc w:val="both"/>
        <w:rPr>
          <w:rFonts w:ascii="Abadi" w:hAnsi="Abadi" w:cs="*Microsoft Sans Serif-Bold-9812"/>
          <w:b/>
          <w:bCs/>
          <w:color w:val="111111"/>
          <w:sz w:val="21"/>
          <w:szCs w:val="21"/>
        </w:rPr>
      </w:pPr>
    </w:p>
    <w:p w14:paraId="69585C6D" w14:textId="11199FA9" w:rsidR="00366FFB" w:rsidRPr="00743CF7" w:rsidRDefault="00366FFB" w:rsidP="00F2244A">
      <w:pPr>
        <w:autoSpaceDE w:val="0"/>
        <w:autoSpaceDN w:val="0"/>
        <w:adjustRightInd w:val="0"/>
        <w:jc w:val="both"/>
        <w:rPr>
          <w:rFonts w:ascii="Abadi" w:hAnsi="Abadi" w:cs="*Calibri-BoldItalic-9810-Identi"/>
          <w:b/>
          <w:bCs/>
          <w:i/>
          <w:iCs/>
          <w:color w:val="111111"/>
          <w:sz w:val="21"/>
          <w:szCs w:val="21"/>
        </w:rPr>
      </w:pPr>
      <w:r w:rsidRPr="00743CF7">
        <w:rPr>
          <w:rFonts w:ascii="Abadi" w:hAnsi="Abadi" w:cs="*Calibri-BoldItalic-9810-Identi"/>
          <w:b/>
          <w:bCs/>
          <w:i/>
          <w:iCs/>
          <w:color w:val="111111"/>
          <w:sz w:val="21"/>
          <w:szCs w:val="21"/>
        </w:rPr>
        <w:t>Acciones para espacios libres de violencia y discriminación</w:t>
      </w:r>
    </w:p>
    <w:p w14:paraId="7DDEAD57" w14:textId="77777777" w:rsidR="00366FFB" w:rsidRPr="00743CF7" w:rsidRDefault="00366FFB" w:rsidP="00366FFB">
      <w:pPr>
        <w:autoSpaceDE w:val="0"/>
        <w:autoSpaceDN w:val="0"/>
        <w:adjustRightInd w:val="0"/>
        <w:jc w:val="both"/>
        <w:rPr>
          <w:rFonts w:ascii="Abadi" w:hAnsi="Abadi" w:cs="*Microsoft Sans Serif-Bold-9812"/>
          <w:b/>
          <w:bCs/>
          <w:color w:val="292929"/>
          <w:sz w:val="21"/>
          <w:szCs w:val="21"/>
        </w:rPr>
      </w:pPr>
    </w:p>
    <w:p w14:paraId="62ACEA73" w14:textId="77777777" w:rsidR="00366FFB" w:rsidRPr="00743CF7" w:rsidRDefault="00366FFB" w:rsidP="00366FFB">
      <w:pPr>
        <w:autoSpaceDE w:val="0"/>
        <w:autoSpaceDN w:val="0"/>
        <w:adjustRightInd w:val="0"/>
        <w:ind w:firstLine="708"/>
        <w:jc w:val="both"/>
        <w:rPr>
          <w:rFonts w:ascii="Abadi" w:hAnsi="Abadi" w:cs="*Microsoft Sans Serif-9811-Iden"/>
          <w:color w:val="292929"/>
          <w:sz w:val="21"/>
          <w:szCs w:val="21"/>
        </w:rPr>
      </w:pPr>
      <w:r w:rsidRPr="00743CF7">
        <w:rPr>
          <w:rFonts w:ascii="Abadi" w:hAnsi="Abadi" w:cs="*Microsoft Sans Serif-Bold-9812"/>
          <w:b/>
          <w:bCs/>
          <w:color w:val="292929"/>
          <w:sz w:val="21"/>
          <w:szCs w:val="21"/>
        </w:rPr>
        <w:t xml:space="preserve">Artículo 81. </w:t>
      </w:r>
      <w:r w:rsidRPr="00743CF7">
        <w:rPr>
          <w:rFonts w:ascii="Abadi" w:hAnsi="Abadi" w:cs="*Microsoft Sans Serif-9811-Iden"/>
          <w:color w:val="292929"/>
          <w:sz w:val="21"/>
          <w:szCs w:val="21"/>
        </w:rPr>
        <w:t>Las instituciones de educación superior realizarán acciones para propiciar espacios libres de todo tipo y modalidad de violencia y de discriminación hacia las mujeres, paro garantizar el acceso pleno al derecho a la educación superior.</w:t>
      </w:r>
    </w:p>
    <w:p w14:paraId="1EAB23C2" w14:textId="77777777" w:rsidR="00366FFB" w:rsidRDefault="00366FFB" w:rsidP="00366FFB">
      <w:pPr>
        <w:autoSpaceDE w:val="0"/>
        <w:autoSpaceDN w:val="0"/>
        <w:adjustRightInd w:val="0"/>
        <w:jc w:val="both"/>
        <w:rPr>
          <w:rFonts w:ascii="Abadi" w:hAnsi="Abadi" w:cs="*Microsoft Sans Serif-9811-Iden"/>
          <w:color w:val="292929"/>
          <w:sz w:val="21"/>
          <w:szCs w:val="21"/>
        </w:rPr>
      </w:pPr>
    </w:p>
    <w:p w14:paraId="2687851F" w14:textId="77777777" w:rsidR="00366FFB" w:rsidRPr="00743CF7" w:rsidRDefault="00366FFB" w:rsidP="00366FFB">
      <w:pPr>
        <w:autoSpaceDE w:val="0"/>
        <w:autoSpaceDN w:val="0"/>
        <w:adjustRightInd w:val="0"/>
        <w:jc w:val="both"/>
        <w:rPr>
          <w:rFonts w:ascii="Abadi" w:hAnsi="Abadi" w:cs="*Microsoft Sans Serif-9811-Iden"/>
          <w:color w:val="292929"/>
          <w:sz w:val="21"/>
          <w:szCs w:val="21"/>
        </w:rPr>
      </w:pPr>
      <w:r w:rsidRPr="00743CF7">
        <w:rPr>
          <w:rFonts w:ascii="Abadi" w:hAnsi="Abadi" w:cs="*Microsoft Sans Serif-9811-Iden"/>
          <w:color w:val="292929"/>
          <w:sz w:val="21"/>
          <w:szCs w:val="21"/>
        </w:rPr>
        <w:t>En el ámbito de su competencia, conforme a sus procedimientos normativos y de acuerdo con sus características, las instituciones de educación superior promoverán, entre otras. la adopción de las siguientes medidas:</w:t>
      </w:r>
    </w:p>
    <w:p w14:paraId="380AC037" w14:textId="77777777" w:rsidR="00366FFB" w:rsidRPr="00743CF7" w:rsidRDefault="00366FFB" w:rsidP="00366FFB">
      <w:pPr>
        <w:autoSpaceDE w:val="0"/>
        <w:autoSpaceDN w:val="0"/>
        <w:adjustRightInd w:val="0"/>
        <w:jc w:val="both"/>
        <w:rPr>
          <w:rFonts w:ascii="Abadi" w:hAnsi="Abadi" w:cs="*Microsoft Sans Serif-9811-Iden"/>
          <w:color w:val="2B2B2B"/>
          <w:sz w:val="21"/>
          <w:szCs w:val="21"/>
        </w:rPr>
      </w:pPr>
    </w:p>
    <w:p w14:paraId="0F7CE28A" w14:textId="77777777" w:rsidR="00366FFB" w:rsidRPr="00A67318" w:rsidRDefault="00366FFB" w:rsidP="005C6EBB">
      <w:pPr>
        <w:pStyle w:val="Prrafodelista"/>
        <w:numPr>
          <w:ilvl w:val="0"/>
          <w:numId w:val="39"/>
        </w:numPr>
        <w:autoSpaceDE w:val="0"/>
        <w:autoSpaceDN w:val="0"/>
        <w:adjustRightInd w:val="0"/>
        <w:contextualSpacing/>
        <w:jc w:val="both"/>
        <w:rPr>
          <w:rFonts w:ascii="Abadi" w:hAnsi="Abadi" w:cs="*Microsoft Sans Serif-9811-Iden"/>
          <w:color w:val="2B2B2B"/>
          <w:sz w:val="21"/>
          <w:szCs w:val="21"/>
        </w:rPr>
      </w:pPr>
      <w:r w:rsidRPr="00A67318">
        <w:rPr>
          <w:rFonts w:ascii="Abadi" w:hAnsi="Abadi" w:cs="*Microsoft Sans Serif-9811-Iden"/>
          <w:color w:val="2B2B2B"/>
          <w:sz w:val="21"/>
          <w:szCs w:val="21"/>
        </w:rPr>
        <w:t>En el ámbito institucional:</w:t>
      </w:r>
    </w:p>
    <w:p w14:paraId="450B7278" w14:textId="77777777" w:rsidR="00366FFB" w:rsidRPr="00743CF7" w:rsidRDefault="00366FFB" w:rsidP="00366FFB">
      <w:pPr>
        <w:autoSpaceDE w:val="0"/>
        <w:autoSpaceDN w:val="0"/>
        <w:adjustRightInd w:val="0"/>
        <w:jc w:val="both"/>
        <w:rPr>
          <w:rFonts w:ascii="Abadi" w:hAnsi="Abadi" w:cs="*Microsoft Sans Serif-9811-Iden"/>
          <w:color w:val="2B2B2B"/>
          <w:sz w:val="21"/>
          <w:szCs w:val="21"/>
        </w:rPr>
      </w:pPr>
    </w:p>
    <w:p w14:paraId="6333311F" w14:textId="77777777" w:rsidR="00366FFB" w:rsidRPr="00A67318" w:rsidRDefault="00366FFB" w:rsidP="005C6EBB">
      <w:pPr>
        <w:pStyle w:val="Prrafodelista"/>
        <w:numPr>
          <w:ilvl w:val="0"/>
          <w:numId w:val="40"/>
        </w:numPr>
        <w:autoSpaceDE w:val="0"/>
        <w:autoSpaceDN w:val="0"/>
        <w:adjustRightInd w:val="0"/>
        <w:contextualSpacing/>
        <w:jc w:val="both"/>
        <w:rPr>
          <w:rFonts w:ascii="Abadi" w:hAnsi="Abadi" w:cs="*Microsoft Sans Serif-10510-Ide"/>
          <w:color w:val="2C2C2C"/>
          <w:sz w:val="21"/>
          <w:szCs w:val="21"/>
        </w:rPr>
      </w:pPr>
      <w:r w:rsidRPr="00A67318">
        <w:rPr>
          <w:rFonts w:ascii="Abadi" w:hAnsi="Abadi" w:cs="*Microsoft Sans Serif-10510-Ide"/>
          <w:color w:val="2C2C2C"/>
          <w:sz w:val="21"/>
          <w:szCs w:val="21"/>
        </w:rPr>
        <w:t xml:space="preserve">Emisión de diagnósticos, programas </w:t>
      </w:r>
      <w:r w:rsidRPr="00A67318">
        <w:rPr>
          <w:rFonts w:ascii="Abadi" w:hAnsi="Abadi" w:cs="*Tahoma-10511-Identity-H"/>
          <w:color w:val="2C2C2C"/>
          <w:sz w:val="21"/>
          <w:szCs w:val="21"/>
        </w:rPr>
        <w:t xml:space="preserve">y </w:t>
      </w:r>
      <w:r w:rsidRPr="00A67318">
        <w:rPr>
          <w:rFonts w:ascii="Abadi" w:hAnsi="Abadi" w:cs="*Microsoft Sans Serif-10510-Ide"/>
          <w:color w:val="2C2C2C"/>
          <w:sz w:val="21"/>
          <w:szCs w:val="21"/>
        </w:rPr>
        <w:t>protocolos para la prevención, atención, sanción y erradicación de todos los tipos y modalidades de Violencia; en el caso de la violencia de género, se excluirán las medidas de conciliación o equivalentes como medio de solución de controversias:</w:t>
      </w:r>
    </w:p>
    <w:p w14:paraId="3DF04FB3" w14:textId="77777777" w:rsidR="00366FFB" w:rsidRPr="00743CF7" w:rsidRDefault="00366FFB" w:rsidP="00366FFB">
      <w:pPr>
        <w:autoSpaceDE w:val="0"/>
        <w:autoSpaceDN w:val="0"/>
        <w:adjustRightInd w:val="0"/>
        <w:jc w:val="both"/>
        <w:rPr>
          <w:rFonts w:ascii="Abadi" w:hAnsi="Abadi" w:cs="*Microsoft Sans Serif-10510-Ide"/>
          <w:color w:val="2C2C2C"/>
          <w:sz w:val="21"/>
          <w:szCs w:val="21"/>
        </w:rPr>
      </w:pPr>
    </w:p>
    <w:p w14:paraId="472E4CE9" w14:textId="77777777" w:rsidR="00366FFB" w:rsidRPr="00A67318" w:rsidRDefault="00366FFB" w:rsidP="005C6EBB">
      <w:pPr>
        <w:pStyle w:val="Prrafodelista"/>
        <w:numPr>
          <w:ilvl w:val="0"/>
          <w:numId w:val="40"/>
        </w:numPr>
        <w:autoSpaceDE w:val="0"/>
        <w:autoSpaceDN w:val="0"/>
        <w:adjustRightInd w:val="0"/>
        <w:contextualSpacing/>
        <w:jc w:val="both"/>
        <w:rPr>
          <w:rFonts w:ascii="Abadi" w:hAnsi="Abadi" w:cs="*Microsoft Sans Serif-10510-Ide"/>
          <w:color w:val="2A2A2A"/>
          <w:sz w:val="21"/>
          <w:szCs w:val="21"/>
        </w:rPr>
      </w:pPr>
      <w:r w:rsidRPr="00A67318">
        <w:rPr>
          <w:rFonts w:ascii="Abadi" w:hAnsi="Abadi" w:cs="*Microsoft Sans Serif-10510-Ide"/>
          <w:color w:val="2A2A2A"/>
          <w:sz w:val="21"/>
          <w:szCs w:val="21"/>
        </w:rPr>
        <w:t xml:space="preserve">Creación de instancias con personal capacitado para la operación y seguimiento de protocolos para la prevención, atención, sanción </w:t>
      </w:r>
      <w:r w:rsidRPr="00A67318">
        <w:rPr>
          <w:rFonts w:ascii="Abadi" w:hAnsi="Abadi" w:cs="*Tahoma-10511-Identity-H"/>
          <w:color w:val="2A2A2A"/>
          <w:sz w:val="21"/>
          <w:szCs w:val="21"/>
        </w:rPr>
        <w:t xml:space="preserve">y </w:t>
      </w:r>
      <w:r w:rsidRPr="00A67318">
        <w:rPr>
          <w:rFonts w:ascii="Abadi" w:hAnsi="Abadi" w:cs="*Microsoft Sans Serif-10510-Ide"/>
          <w:color w:val="2A2A2A"/>
          <w:sz w:val="21"/>
          <w:szCs w:val="21"/>
        </w:rPr>
        <w:t>erradicación de todos los tipos y modalidades de violencia, en específico la que se ejerce contra las mujeres;</w:t>
      </w:r>
    </w:p>
    <w:p w14:paraId="56495A0A" w14:textId="77777777" w:rsidR="00366FFB" w:rsidRPr="00743CF7" w:rsidRDefault="00366FFB" w:rsidP="00366FFB">
      <w:pPr>
        <w:autoSpaceDE w:val="0"/>
        <w:autoSpaceDN w:val="0"/>
        <w:adjustRightInd w:val="0"/>
        <w:jc w:val="both"/>
        <w:rPr>
          <w:rFonts w:ascii="Abadi" w:hAnsi="Abadi" w:cs="*Microsoft Sans Serif-10510-Ide"/>
          <w:color w:val="2A2A2A"/>
          <w:sz w:val="21"/>
          <w:szCs w:val="21"/>
        </w:rPr>
      </w:pPr>
    </w:p>
    <w:p w14:paraId="571011D7" w14:textId="77777777" w:rsidR="00366FFB" w:rsidRPr="00A67318" w:rsidRDefault="00366FFB" w:rsidP="005C6EBB">
      <w:pPr>
        <w:pStyle w:val="Prrafodelista"/>
        <w:numPr>
          <w:ilvl w:val="0"/>
          <w:numId w:val="40"/>
        </w:numPr>
        <w:autoSpaceDE w:val="0"/>
        <w:autoSpaceDN w:val="0"/>
        <w:adjustRightInd w:val="0"/>
        <w:contextualSpacing/>
        <w:jc w:val="both"/>
        <w:rPr>
          <w:rFonts w:ascii="Abadi" w:hAnsi="Abadi" w:cs="*Microsoft Sans Serif-10510-Ide"/>
          <w:color w:val="2A2A2A"/>
          <w:sz w:val="21"/>
          <w:szCs w:val="21"/>
        </w:rPr>
      </w:pPr>
      <w:r w:rsidRPr="00A67318">
        <w:rPr>
          <w:rFonts w:ascii="Abadi" w:hAnsi="Abadi" w:cs="*Microsoft Sans Serif-10510-Ide"/>
          <w:color w:val="2A2A2A"/>
          <w:sz w:val="21"/>
          <w:szCs w:val="21"/>
        </w:rPr>
        <w:t>Adopción de medidas para considerar la violencia que se ejerce contra las mujeres como causo especialmente grave de responsabilidad;</w:t>
      </w:r>
    </w:p>
    <w:p w14:paraId="1E8947A3" w14:textId="77777777" w:rsidR="00366FFB" w:rsidRPr="00743CF7" w:rsidRDefault="00366FFB" w:rsidP="00366FFB">
      <w:pPr>
        <w:autoSpaceDE w:val="0"/>
        <w:autoSpaceDN w:val="0"/>
        <w:adjustRightInd w:val="0"/>
        <w:jc w:val="both"/>
        <w:rPr>
          <w:rFonts w:ascii="Abadi" w:hAnsi="Abadi" w:cs="*Microsoft Sans Serif-10510-Ide"/>
          <w:color w:val="2A2A2A"/>
          <w:sz w:val="21"/>
          <w:szCs w:val="21"/>
        </w:rPr>
      </w:pPr>
    </w:p>
    <w:p w14:paraId="138E0C96" w14:textId="77777777" w:rsidR="00366FFB" w:rsidRPr="00A67318" w:rsidRDefault="00366FFB" w:rsidP="005C6EBB">
      <w:pPr>
        <w:pStyle w:val="Prrafodelista"/>
        <w:numPr>
          <w:ilvl w:val="0"/>
          <w:numId w:val="40"/>
        </w:numPr>
        <w:autoSpaceDE w:val="0"/>
        <w:autoSpaceDN w:val="0"/>
        <w:adjustRightInd w:val="0"/>
        <w:contextualSpacing/>
        <w:jc w:val="both"/>
        <w:rPr>
          <w:rFonts w:ascii="Abadi" w:hAnsi="Abadi" w:cs="*Microsoft Sans Serif-10510-Ide"/>
          <w:color w:val="2A2A2A"/>
          <w:sz w:val="21"/>
          <w:szCs w:val="21"/>
        </w:rPr>
      </w:pPr>
      <w:r w:rsidRPr="00A67318">
        <w:rPr>
          <w:rFonts w:ascii="Abadi" w:hAnsi="Abadi" w:cs="*Microsoft Sans Serif-10510-Ide"/>
          <w:color w:val="2A2A2A"/>
          <w:sz w:val="21"/>
          <w:szCs w:val="21"/>
        </w:rPr>
        <w:t xml:space="preserve">Aplicación de programas que permitan la detección temprana de los problemas de los tipos </w:t>
      </w:r>
      <w:r w:rsidRPr="00A67318">
        <w:rPr>
          <w:rFonts w:ascii="Abadi" w:hAnsi="Abadi" w:cs="*Tahoma-10511-Identity-H"/>
          <w:color w:val="2A2A2A"/>
          <w:sz w:val="21"/>
          <w:szCs w:val="21"/>
        </w:rPr>
        <w:t xml:space="preserve">y </w:t>
      </w:r>
      <w:r w:rsidRPr="00A67318">
        <w:rPr>
          <w:rFonts w:ascii="Abadi" w:hAnsi="Abadi" w:cs="*Microsoft Sans Serif-10510-Ide"/>
          <w:color w:val="2A2A2A"/>
          <w:sz w:val="21"/>
          <w:szCs w:val="21"/>
        </w:rPr>
        <w:t xml:space="preserve">modalidades de la violencia de género en las instituciones de educación superior, para proporcionar una primera respuesta urgente a las alumnas </w:t>
      </w:r>
      <w:r w:rsidRPr="00A67318">
        <w:rPr>
          <w:rFonts w:ascii="Abadi" w:hAnsi="Abadi" w:cs="*Tahoma-10511-Identity-H"/>
          <w:color w:val="2A2A2A"/>
          <w:sz w:val="21"/>
          <w:szCs w:val="21"/>
        </w:rPr>
        <w:t xml:space="preserve">y </w:t>
      </w:r>
      <w:r w:rsidRPr="00A67318">
        <w:rPr>
          <w:rFonts w:ascii="Abadi" w:hAnsi="Abadi" w:cs="*Microsoft Sans Serif-10510-Ide"/>
          <w:color w:val="2A2A2A"/>
          <w:sz w:val="21"/>
          <w:szCs w:val="21"/>
        </w:rPr>
        <w:t>trabajadoras que la sufren;</w:t>
      </w:r>
    </w:p>
    <w:p w14:paraId="4B859E33" w14:textId="77777777" w:rsidR="00366FFB" w:rsidRPr="00743CF7" w:rsidRDefault="00366FFB" w:rsidP="00366FFB">
      <w:pPr>
        <w:autoSpaceDE w:val="0"/>
        <w:autoSpaceDN w:val="0"/>
        <w:adjustRightInd w:val="0"/>
        <w:jc w:val="both"/>
        <w:rPr>
          <w:rFonts w:ascii="Abadi" w:hAnsi="Abadi" w:cs="*Verdana-Bold-10509-Identity-H"/>
          <w:b/>
          <w:bCs/>
          <w:color w:val="2A2A2A"/>
          <w:sz w:val="21"/>
          <w:szCs w:val="21"/>
        </w:rPr>
      </w:pPr>
    </w:p>
    <w:p w14:paraId="6012DDD9" w14:textId="77777777" w:rsidR="00366FFB" w:rsidRPr="00A67318" w:rsidRDefault="00366FFB" w:rsidP="005C6EBB">
      <w:pPr>
        <w:pStyle w:val="Prrafodelista"/>
        <w:numPr>
          <w:ilvl w:val="0"/>
          <w:numId w:val="40"/>
        </w:numPr>
        <w:autoSpaceDE w:val="0"/>
        <w:autoSpaceDN w:val="0"/>
        <w:adjustRightInd w:val="0"/>
        <w:contextualSpacing/>
        <w:jc w:val="both"/>
        <w:rPr>
          <w:rFonts w:ascii="Abadi" w:hAnsi="Abadi" w:cs="*Microsoft Sans Serif-10510-Ide"/>
          <w:color w:val="2A2A2A"/>
          <w:sz w:val="21"/>
          <w:szCs w:val="21"/>
        </w:rPr>
      </w:pPr>
      <w:r w:rsidRPr="00A67318">
        <w:rPr>
          <w:rFonts w:ascii="Abadi" w:hAnsi="Abadi" w:cs="*Microsoft Sans Serif-10510-Ide"/>
          <w:color w:val="2A2A2A"/>
          <w:sz w:val="21"/>
          <w:szCs w:val="21"/>
        </w:rPr>
        <w:t>Realización de acciones formativas y de capacitación a toda la comunidad de las instituciones de educación superior en materia de derechos humanos, así como de la importancia de la transversalización de la perspectiva de género;</w:t>
      </w:r>
    </w:p>
    <w:p w14:paraId="4ED5A712" w14:textId="77777777" w:rsidR="00366FFB" w:rsidRPr="00743CF7" w:rsidRDefault="00366FFB" w:rsidP="00366FFB">
      <w:pPr>
        <w:autoSpaceDE w:val="0"/>
        <w:autoSpaceDN w:val="0"/>
        <w:adjustRightInd w:val="0"/>
        <w:jc w:val="both"/>
        <w:rPr>
          <w:rFonts w:ascii="Abadi" w:hAnsi="Abadi" w:cs="*Microsoft Sans Serif-10510-Ide"/>
          <w:color w:val="2A2A2A"/>
          <w:sz w:val="21"/>
          <w:szCs w:val="21"/>
        </w:rPr>
      </w:pPr>
    </w:p>
    <w:p w14:paraId="75774430" w14:textId="77777777" w:rsidR="00366FFB" w:rsidRPr="00A67318" w:rsidRDefault="00366FFB" w:rsidP="005C6EBB">
      <w:pPr>
        <w:pStyle w:val="Prrafodelista"/>
        <w:numPr>
          <w:ilvl w:val="0"/>
          <w:numId w:val="40"/>
        </w:numPr>
        <w:autoSpaceDE w:val="0"/>
        <w:autoSpaceDN w:val="0"/>
        <w:adjustRightInd w:val="0"/>
        <w:contextualSpacing/>
        <w:jc w:val="both"/>
        <w:rPr>
          <w:rFonts w:ascii="Abadi" w:hAnsi="Abadi" w:cs="*Tahoma-10511-Identity-H"/>
          <w:color w:val="2A2A2A"/>
          <w:sz w:val="21"/>
          <w:szCs w:val="21"/>
        </w:rPr>
      </w:pPr>
      <w:r w:rsidRPr="00A67318">
        <w:rPr>
          <w:rFonts w:ascii="Abadi" w:hAnsi="Abadi" w:cs="*Microsoft Sans Serif-10510-Ide"/>
          <w:color w:val="2A2A2A"/>
          <w:sz w:val="21"/>
          <w:szCs w:val="21"/>
        </w:rPr>
        <w:t xml:space="preserve">Promoción de la cultura de la denuncia de la violencia de género en la comunidad de las instituciones de educación superior: </w:t>
      </w:r>
      <w:r w:rsidRPr="00A67318">
        <w:rPr>
          <w:rFonts w:ascii="Abadi" w:hAnsi="Abadi" w:cs="*Tahoma-10511-Identity-H"/>
          <w:color w:val="2A2A2A"/>
          <w:sz w:val="21"/>
          <w:szCs w:val="21"/>
        </w:rPr>
        <w:t xml:space="preserve">y </w:t>
      </w:r>
    </w:p>
    <w:p w14:paraId="7B7FDFCB" w14:textId="77777777" w:rsidR="00366FFB" w:rsidRPr="00743CF7" w:rsidRDefault="00366FFB" w:rsidP="00366FFB">
      <w:pPr>
        <w:autoSpaceDE w:val="0"/>
        <w:autoSpaceDN w:val="0"/>
        <w:adjustRightInd w:val="0"/>
        <w:jc w:val="both"/>
        <w:rPr>
          <w:rFonts w:ascii="Abadi" w:hAnsi="Abadi" w:cs="*Tahoma-10511-Identity-H"/>
          <w:color w:val="2A2A2A"/>
          <w:sz w:val="21"/>
          <w:szCs w:val="21"/>
        </w:rPr>
      </w:pPr>
    </w:p>
    <w:p w14:paraId="73B96069" w14:textId="77777777" w:rsidR="00366FFB" w:rsidRPr="00A67318" w:rsidRDefault="00366FFB" w:rsidP="005C6EBB">
      <w:pPr>
        <w:pStyle w:val="Prrafodelista"/>
        <w:numPr>
          <w:ilvl w:val="0"/>
          <w:numId w:val="40"/>
        </w:numPr>
        <w:autoSpaceDE w:val="0"/>
        <w:autoSpaceDN w:val="0"/>
        <w:adjustRightInd w:val="0"/>
        <w:contextualSpacing/>
        <w:jc w:val="both"/>
        <w:rPr>
          <w:rFonts w:ascii="Abadi" w:hAnsi="Abadi" w:cs="*Microsoft Sans Serif-10510-Ide"/>
          <w:color w:val="2A2A2A"/>
          <w:sz w:val="21"/>
          <w:szCs w:val="21"/>
        </w:rPr>
      </w:pPr>
      <w:r w:rsidRPr="00A67318">
        <w:rPr>
          <w:rFonts w:ascii="Abadi" w:hAnsi="Abadi" w:cs="*Microsoft Sans Serif-10510-Ide"/>
          <w:color w:val="2A2A2A"/>
          <w:sz w:val="21"/>
          <w:szCs w:val="21"/>
        </w:rPr>
        <w:t>Creación de una instancia para la igualdad de género cuya función sea la incorporación de la perspectiva de género en todas las acciones que lleve a cabo la institución.</w:t>
      </w:r>
    </w:p>
    <w:p w14:paraId="29B48B1D" w14:textId="77777777" w:rsidR="00366FFB" w:rsidRPr="00743CF7" w:rsidRDefault="00366FFB" w:rsidP="00366FFB">
      <w:pPr>
        <w:autoSpaceDE w:val="0"/>
        <w:autoSpaceDN w:val="0"/>
        <w:adjustRightInd w:val="0"/>
        <w:jc w:val="both"/>
        <w:rPr>
          <w:rFonts w:ascii="Abadi" w:hAnsi="Abadi" w:cs="*Microsoft Sans Serif-10510-Ide"/>
          <w:color w:val="2A2A2A"/>
          <w:sz w:val="21"/>
          <w:szCs w:val="21"/>
        </w:rPr>
      </w:pPr>
    </w:p>
    <w:p w14:paraId="0E49B1D4" w14:textId="77777777" w:rsidR="00366FFB" w:rsidRPr="00A67318" w:rsidRDefault="00366FFB" w:rsidP="005C6EBB">
      <w:pPr>
        <w:pStyle w:val="Prrafodelista"/>
        <w:numPr>
          <w:ilvl w:val="0"/>
          <w:numId w:val="39"/>
        </w:numPr>
        <w:autoSpaceDE w:val="0"/>
        <w:autoSpaceDN w:val="0"/>
        <w:adjustRightInd w:val="0"/>
        <w:contextualSpacing/>
        <w:jc w:val="both"/>
        <w:rPr>
          <w:rFonts w:ascii="Abadi" w:hAnsi="Abadi" w:cs="*Microsoft Sans Serif-10482-Ide"/>
          <w:color w:val="272727"/>
          <w:sz w:val="21"/>
          <w:szCs w:val="21"/>
        </w:rPr>
      </w:pPr>
      <w:r w:rsidRPr="00A67318">
        <w:rPr>
          <w:rFonts w:ascii="Abadi" w:hAnsi="Abadi" w:cs="*Microsoft Sans Serif-10482-Ide"/>
          <w:color w:val="272727"/>
          <w:sz w:val="21"/>
          <w:szCs w:val="21"/>
        </w:rPr>
        <w:t>En el ámbito académico:</w:t>
      </w:r>
    </w:p>
    <w:p w14:paraId="3C37C0C5" w14:textId="77777777" w:rsidR="00366FFB" w:rsidRPr="00743CF7" w:rsidRDefault="00366FFB" w:rsidP="00366FFB">
      <w:pPr>
        <w:autoSpaceDE w:val="0"/>
        <w:autoSpaceDN w:val="0"/>
        <w:adjustRightInd w:val="0"/>
        <w:jc w:val="both"/>
        <w:rPr>
          <w:rFonts w:ascii="Abadi" w:hAnsi="Abadi" w:cs="*Microsoft Sans Serif-10482-Ide"/>
          <w:color w:val="272727"/>
          <w:sz w:val="21"/>
          <w:szCs w:val="21"/>
        </w:rPr>
      </w:pPr>
    </w:p>
    <w:p w14:paraId="41EB2C98" w14:textId="77777777" w:rsidR="00366FFB" w:rsidRPr="00A67318" w:rsidRDefault="00366FFB" w:rsidP="005C6EBB">
      <w:pPr>
        <w:pStyle w:val="Prrafodelista"/>
        <w:numPr>
          <w:ilvl w:val="0"/>
          <w:numId w:val="41"/>
        </w:numPr>
        <w:autoSpaceDE w:val="0"/>
        <w:autoSpaceDN w:val="0"/>
        <w:adjustRightInd w:val="0"/>
        <w:contextualSpacing/>
        <w:jc w:val="both"/>
        <w:rPr>
          <w:rFonts w:ascii="Abadi" w:hAnsi="Abadi" w:cs="*Microsoft Sans Serif-10482-Ide"/>
          <w:color w:val="2C2C2C"/>
          <w:sz w:val="21"/>
          <w:szCs w:val="21"/>
        </w:rPr>
      </w:pPr>
      <w:r w:rsidRPr="00A67318">
        <w:rPr>
          <w:rFonts w:ascii="Abadi" w:hAnsi="Abadi" w:cs="*Microsoft Sans Serif-10482-Ide"/>
          <w:color w:val="2C2C2C"/>
          <w:sz w:val="21"/>
          <w:szCs w:val="21"/>
        </w:rPr>
        <w:t>Incorporación de contenidos educativos con perspectiva de género   que fomenten la igualdad sustantiva y contribuyan a la eliminación de todos los tipos y modalidades de violencia, en específico la que se ejerce contra las mujeres, así como los estereotipos de género y que estén basados en la idea de la superioridad o inferioridad de uno de los sexos. Y</w:t>
      </w:r>
    </w:p>
    <w:p w14:paraId="761A93B0" w14:textId="77777777" w:rsidR="00366FFB" w:rsidRPr="00A67318" w:rsidRDefault="00366FFB" w:rsidP="00366FFB">
      <w:pPr>
        <w:autoSpaceDE w:val="0"/>
        <w:autoSpaceDN w:val="0"/>
        <w:adjustRightInd w:val="0"/>
        <w:jc w:val="both"/>
        <w:rPr>
          <w:rFonts w:ascii="Abadi" w:hAnsi="Abadi" w:cs="*Microsoft Sans Serif-10482-Ide"/>
          <w:color w:val="2C2C2C"/>
          <w:sz w:val="21"/>
          <w:szCs w:val="21"/>
        </w:rPr>
      </w:pPr>
    </w:p>
    <w:p w14:paraId="74A0CA49" w14:textId="77777777" w:rsidR="00366FFB" w:rsidRPr="00A67318" w:rsidRDefault="00366FFB" w:rsidP="005C6EBB">
      <w:pPr>
        <w:pStyle w:val="Prrafodelista"/>
        <w:numPr>
          <w:ilvl w:val="0"/>
          <w:numId w:val="41"/>
        </w:numPr>
        <w:autoSpaceDE w:val="0"/>
        <w:autoSpaceDN w:val="0"/>
        <w:adjustRightInd w:val="0"/>
        <w:contextualSpacing/>
        <w:jc w:val="both"/>
        <w:rPr>
          <w:rFonts w:ascii="Abadi" w:hAnsi="Abadi" w:cs="*Microsoft Sans Serif-10482-Ide"/>
          <w:color w:val="2A2A2A"/>
          <w:sz w:val="21"/>
          <w:szCs w:val="21"/>
        </w:rPr>
      </w:pPr>
      <w:r w:rsidRPr="00A67318">
        <w:rPr>
          <w:rFonts w:ascii="Abadi" w:hAnsi="Abadi" w:cs="*Microsoft Sans Serif-10482-Ide"/>
          <w:color w:val="2A2A2A"/>
          <w:sz w:val="21"/>
          <w:szCs w:val="21"/>
        </w:rPr>
        <w:t>Desarrollo de investigación multidisciplinaria encaminada a crear modelos para la detección y erradicación de la violencia de género en las instituciones de educación superior.</w:t>
      </w:r>
    </w:p>
    <w:p w14:paraId="577D3C64" w14:textId="77777777" w:rsidR="00366FFB" w:rsidRPr="00743CF7" w:rsidRDefault="00366FFB" w:rsidP="00366FFB">
      <w:pPr>
        <w:autoSpaceDE w:val="0"/>
        <w:autoSpaceDN w:val="0"/>
        <w:adjustRightInd w:val="0"/>
        <w:jc w:val="both"/>
        <w:rPr>
          <w:rFonts w:ascii="Abadi" w:hAnsi="Abadi" w:cs="*Microsoft Sans Serif-10482-Ide"/>
          <w:color w:val="292929"/>
          <w:sz w:val="21"/>
          <w:szCs w:val="21"/>
        </w:rPr>
      </w:pPr>
    </w:p>
    <w:p w14:paraId="7A82BB7D" w14:textId="77777777" w:rsidR="00366FFB" w:rsidRPr="00A67318" w:rsidRDefault="00366FFB" w:rsidP="005C6EBB">
      <w:pPr>
        <w:pStyle w:val="Prrafodelista"/>
        <w:numPr>
          <w:ilvl w:val="0"/>
          <w:numId w:val="39"/>
        </w:numPr>
        <w:autoSpaceDE w:val="0"/>
        <w:autoSpaceDN w:val="0"/>
        <w:adjustRightInd w:val="0"/>
        <w:contextualSpacing/>
        <w:jc w:val="both"/>
        <w:rPr>
          <w:rFonts w:ascii="Abadi" w:hAnsi="Abadi" w:cs="*Microsoft Sans Serif-10482-Ide"/>
          <w:color w:val="292929"/>
          <w:sz w:val="21"/>
          <w:szCs w:val="21"/>
        </w:rPr>
      </w:pPr>
      <w:r w:rsidRPr="00A67318">
        <w:rPr>
          <w:rFonts w:ascii="Abadi" w:hAnsi="Abadi" w:cs="*Microsoft Sans Serif-10482-Ide"/>
          <w:color w:val="292929"/>
          <w:sz w:val="21"/>
          <w:szCs w:val="21"/>
        </w:rPr>
        <w:t>Eh el entorno de la prestación del servicio:</w:t>
      </w:r>
    </w:p>
    <w:p w14:paraId="045FB196" w14:textId="77777777" w:rsidR="00366FFB" w:rsidRPr="00743CF7" w:rsidRDefault="00366FFB" w:rsidP="00366FFB">
      <w:pPr>
        <w:autoSpaceDE w:val="0"/>
        <w:autoSpaceDN w:val="0"/>
        <w:adjustRightInd w:val="0"/>
        <w:jc w:val="both"/>
        <w:rPr>
          <w:rFonts w:ascii="Abadi" w:hAnsi="Abadi" w:cs="*Microsoft Sans Serif-10482-Ide"/>
          <w:color w:val="2B2B2B"/>
          <w:sz w:val="21"/>
          <w:szCs w:val="21"/>
        </w:rPr>
      </w:pPr>
    </w:p>
    <w:p w14:paraId="662C6EAD" w14:textId="77777777" w:rsidR="00366FFB" w:rsidRPr="00A67318" w:rsidRDefault="00366FFB" w:rsidP="005C6EBB">
      <w:pPr>
        <w:pStyle w:val="Prrafodelista"/>
        <w:numPr>
          <w:ilvl w:val="0"/>
          <w:numId w:val="42"/>
        </w:numPr>
        <w:autoSpaceDE w:val="0"/>
        <w:autoSpaceDN w:val="0"/>
        <w:adjustRightInd w:val="0"/>
        <w:contextualSpacing/>
        <w:jc w:val="both"/>
        <w:rPr>
          <w:rFonts w:ascii="Abadi" w:hAnsi="Abadi" w:cs="*Microsoft Sans Serif-10482-Ide"/>
          <w:color w:val="2B2B2B"/>
          <w:sz w:val="21"/>
          <w:szCs w:val="21"/>
        </w:rPr>
      </w:pPr>
      <w:r w:rsidRPr="00A67318">
        <w:rPr>
          <w:rFonts w:ascii="Abadi" w:hAnsi="Abadi" w:cs="*Microsoft Sans Serif-10482-Ide"/>
          <w:color w:val="2B2B2B"/>
          <w:sz w:val="21"/>
          <w:szCs w:val="21"/>
        </w:rPr>
        <w:t>Promoción de senderos seguros dentro y fuera de las instalaciones de las instituciones de educación superior;</w:t>
      </w:r>
    </w:p>
    <w:p w14:paraId="519EE2F9" w14:textId="77777777" w:rsidR="00366FFB" w:rsidRPr="00743CF7" w:rsidRDefault="00366FFB" w:rsidP="00366FFB">
      <w:pPr>
        <w:autoSpaceDE w:val="0"/>
        <w:autoSpaceDN w:val="0"/>
        <w:adjustRightInd w:val="0"/>
        <w:jc w:val="both"/>
        <w:rPr>
          <w:rFonts w:ascii="Abadi" w:hAnsi="Abadi" w:cs="*Microsoft Sans Serif-10482-Ide"/>
          <w:color w:val="2A2A2A"/>
          <w:sz w:val="21"/>
          <w:szCs w:val="21"/>
        </w:rPr>
      </w:pPr>
    </w:p>
    <w:p w14:paraId="57765B86" w14:textId="77777777" w:rsidR="00366FFB" w:rsidRPr="00A67318" w:rsidRDefault="00366FFB" w:rsidP="005C6EBB">
      <w:pPr>
        <w:pStyle w:val="Prrafodelista"/>
        <w:numPr>
          <w:ilvl w:val="0"/>
          <w:numId w:val="42"/>
        </w:numPr>
        <w:autoSpaceDE w:val="0"/>
        <w:autoSpaceDN w:val="0"/>
        <w:adjustRightInd w:val="0"/>
        <w:contextualSpacing/>
        <w:jc w:val="both"/>
        <w:rPr>
          <w:rFonts w:ascii="Abadi" w:hAnsi="Abadi" w:cs="*Microsoft Sans Serif-10482-Ide"/>
          <w:color w:val="2A2A2A"/>
          <w:sz w:val="21"/>
          <w:szCs w:val="21"/>
        </w:rPr>
      </w:pPr>
      <w:r w:rsidRPr="00A67318">
        <w:rPr>
          <w:rFonts w:ascii="Abadi" w:hAnsi="Abadi" w:cs="*Microsoft Sans Serif-10482-Ide"/>
          <w:color w:val="2A2A2A"/>
          <w:sz w:val="21"/>
          <w:szCs w:val="21"/>
        </w:rPr>
        <w:t>Promoción del mejoramiento del entorno urbano de las instituciones de educación superior, así como de su infraestructura para la generación de condiciones de seguridad de las mujeres;</w:t>
      </w:r>
    </w:p>
    <w:p w14:paraId="72A20130" w14:textId="77777777" w:rsidR="00366FFB" w:rsidRPr="00743CF7" w:rsidRDefault="00366FFB" w:rsidP="00366FFB">
      <w:pPr>
        <w:autoSpaceDE w:val="0"/>
        <w:autoSpaceDN w:val="0"/>
        <w:adjustRightInd w:val="0"/>
        <w:jc w:val="both"/>
        <w:rPr>
          <w:rFonts w:ascii="Abadi" w:hAnsi="Abadi" w:cs="*Microsoft Sans Serif-10482-Ide"/>
          <w:color w:val="2A2A2A"/>
          <w:sz w:val="21"/>
          <w:szCs w:val="21"/>
        </w:rPr>
      </w:pPr>
    </w:p>
    <w:p w14:paraId="4C1482A7" w14:textId="77777777" w:rsidR="00366FFB" w:rsidRPr="00A67318" w:rsidRDefault="00366FFB" w:rsidP="005C6EBB">
      <w:pPr>
        <w:pStyle w:val="Prrafodelista"/>
        <w:numPr>
          <w:ilvl w:val="0"/>
          <w:numId w:val="42"/>
        </w:numPr>
        <w:autoSpaceDE w:val="0"/>
        <w:autoSpaceDN w:val="0"/>
        <w:adjustRightInd w:val="0"/>
        <w:contextualSpacing/>
        <w:jc w:val="both"/>
        <w:rPr>
          <w:rFonts w:ascii="Abadi" w:hAnsi="Abadi" w:cs="*Microsoft Sans Serif-10482-Ide"/>
          <w:color w:val="2A2A2A"/>
          <w:sz w:val="21"/>
          <w:szCs w:val="21"/>
        </w:rPr>
      </w:pPr>
      <w:r w:rsidRPr="00A67318">
        <w:rPr>
          <w:rFonts w:ascii="Abadi" w:hAnsi="Abadi" w:cs="*Microsoft Sans Serif-10482-Ide"/>
          <w:color w:val="2A2A2A"/>
          <w:sz w:val="21"/>
          <w:szCs w:val="21"/>
        </w:rPr>
        <w:t>Dignificación de las instalaciones sanitarias con lo implementación de medidas que respeten los derechos y la dignidad de las mujeres y se constituyan como espacios libres de violencia;</w:t>
      </w:r>
    </w:p>
    <w:p w14:paraId="49E51004" w14:textId="77777777" w:rsidR="00366FFB" w:rsidRPr="00743CF7" w:rsidRDefault="00366FFB" w:rsidP="00366FFB">
      <w:pPr>
        <w:autoSpaceDE w:val="0"/>
        <w:autoSpaceDN w:val="0"/>
        <w:adjustRightInd w:val="0"/>
        <w:jc w:val="both"/>
        <w:rPr>
          <w:rFonts w:ascii="Abadi" w:hAnsi="Abadi" w:cs="*Microsoft Sans Serif-10482-Ide"/>
          <w:color w:val="2A2A2A"/>
          <w:sz w:val="21"/>
          <w:szCs w:val="21"/>
        </w:rPr>
      </w:pPr>
    </w:p>
    <w:p w14:paraId="73A45100" w14:textId="77777777" w:rsidR="00366FFB" w:rsidRPr="00A67318" w:rsidRDefault="00366FFB" w:rsidP="005C6EBB">
      <w:pPr>
        <w:pStyle w:val="Prrafodelista"/>
        <w:numPr>
          <w:ilvl w:val="0"/>
          <w:numId w:val="42"/>
        </w:numPr>
        <w:autoSpaceDE w:val="0"/>
        <w:autoSpaceDN w:val="0"/>
        <w:adjustRightInd w:val="0"/>
        <w:contextualSpacing/>
        <w:jc w:val="both"/>
        <w:rPr>
          <w:rFonts w:ascii="Abadi" w:hAnsi="Abadi" w:cs="*Microsoft Sans Serif-10482-Ide"/>
          <w:color w:val="2A2A2A"/>
          <w:sz w:val="21"/>
          <w:szCs w:val="21"/>
        </w:rPr>
      </w:pPr>
      <w:r w:rsidRPr="00A67318">
        <w:rPr>
          <w:rFonts w:ascii="Abadi" w:hAnsi="Abadi" w:cs="*Microsoft Sans Serif-10482-Ide"/>
          <w:color w:val="2A2A2A"/>
          <w:sz w:val="21"/>
          <w:szCs w:val="21"/>
        </w:rPr>
        <w:t>Fomento de medidas en el transporte público para garantizar la seguridad de la comunidad educativa, en específico las alumnas. académicas y trabajadores de las instituciones de educación superior en los trayectos relacionados con sus actividades académicas y laborales, respectivamente;</w:t>
      </w:r>
    </w:p>
    <w:p w14:paraId="01C46E41" w14:textId="77777777" w:rsidR="00366FFB" w:rsidRPr="00743CF7" w:rsidRDefault="00366FFB" w:rsidP="00366FFB">
      <w:pPr>
        <w:autoSpaceDE w:val="0"/>
        <w:autoSpaceDN w:val="0"/>
        <w:adjustRightInd w:val="0"/>
        <w:jc w:val="both"/>
        <w:rPr>
          <w:rFonts w:ascii="Abadi" w:hAnsi="Abadi" w:cs="*Microsoft Sans Serif-10482-Ide"/>
          <w:color w:val="2A2A2A"/>
          <w:sz w:val="21"/>
          <w:szCs w:val="21"/>
        </w:rPr>
      </w:pPr>
    </w:p>
    <w:p w14:paraId="67C673D3" w14:textId="77777777" w:rsidR="00366FFB" w:rsidRPr="00A67318" w:rsidRDefault="00366FFB" w:rsidP="005C6EBB">
      <w:pPr>
        <w:pStyle w:val="Prrafodelista"/>
        <w:numPr>
          <w:ilvl w:val="0"/>
          <w:numId w:val="42"/>
        </w:numPr>
        <w:autoSpaceDE w:val="0"/>
        <w:autoSpaceDN w:val="0"/>
        <w:adjustRightInd w:val="0"/>
        <w:contextualSpacing/>
        <w:jc w:val="both"/>
        <w:rPr>
          <w:rFonts w:ascii="Abadi" w:hAnsi="Abadi" w:cs="*Arial-10478-Identity-H"/>
          <w:color w:val="2B2B2B"/>
          <w:sz w:val="21"/>
          <w:szCs w:val="21"/>
        </w:rPr>
      </w:pPr>
      <w:r w:rsidRPr="00A67318">
        <w:rPr>
          <w:rFonts w:ascii="Abadi" w:hAnsi="Abadi" w:cs="*Arial-10478-Identity-H"/>
          <w:color w:val="2B2B2B"/>
          <w:sz w:val="21"/>
          <w:szCs w:val="21"/>
        </w:rPr>
        <w:t>Promoción de transporte escolar exclusivo para mujeres, de resultar necesario.</w:t>
      </w:r>
    </w:p>
    <w:p w14:paraId="4356590B" w14:textId="77777777" w:rsidR="00366FFB" w:rsidRPr="00743CF7" w:rsidRDefault="00366FFB" w:rsidP="00366FFB">
      <w:pPr>
        <w:autoSpaceDE w:val="0"/>
        <w:autoSpaceDN w:val="0"/>
        <w:adjustRightInd w:val="0"/>
        <w:jc w:val="both"/>
        <w:rPr>
          <w:rFonts w:ascii="Abadi" w:hAnsi="Abadi" w:cs="*Arial-10478-Identity-H"/>
          <w:color w:val="2A2A2A"/>
          <w:sz w:val="21"/>
          <w:szCs w:val="21"/>
        </w:rPr>
      </w:pPr>
    </w:p>
    <w:p w14:paraId="62A2E159" w14:textId="77777777" w:rsidR="00366FFB" w:rsidRPr="00A67318" w:rsidRDefault="00366FFB" w:rsidP="005C6EBB">
      <w:pPr>
        <w:pStyle w:val="Prrafodelista"/>
        <w:numPr>
          <w:ilvl w:val="0"/>
          <w:numId w:val="42"/>
        </w:numPr>
        <w:autoSpaceDE w:val="0"/>
        <w:autoSpaceDN w:val="0"/>
        <w:adjustRightInd w:val="0"/>
        <w:contextualSpacing/>
        <w:jc w:val="both"/>
        <w:rPr>
          <w:rFonts w:ascii="Abadi" w:hAnsi="Abadi" w:cs="*Arial-10478-Identity-H"/>
          <w:color w:val="2A2A2A"/>
          <w:sz w:val="21"/>
          <w:szCs w:val="21"/>
        </w:rPr>
      </w:pPr>
      <w:r w:rsidRPr="00A67318">
        <w:rPr>
          <w:rFonts w:ascii="Abadi" w:hAnsi="Abadi" w:cs="*Arial-10478-Identity-H"/>
          <w:color w:val="2A2A2A"/>
          <w:sz w:val="21"/>
          <w:szCs w:val="21"/>
        </w:rPr>
        <w:t xml:space="preserve">Implementar las medidas necesarias para la prevención </w:t>
      </w:r>
      <w:r w:rsidRPr="00A67318">
        <w:rPr>
          <w:rFonts w:ascii="Abadi" w:hAnsi="Abadi" w:cs="*Comic Sans MS-10480-Identity-H"/>
          <w:color w:val="2A2A2A"/>
          <w:sz w:val="21"/>
          <w:szCs w:val="21"/>
        </w:rPr>
        <w:t xml:space="preserve">y </w:t>
      </w:r>
      <w:r w:rsidRPr="00A67318">
        <w:rPr>
          <w:rFonts w:ascii="Abadi" w:hAnsi="Abadi" w:cs="*Arial-10478-Identity-H"/>
          <w:color w:val="2A2A2A"/>
          <w:sz w:val="21"/>
          <w:szCs w:val="21"/>
        </w:rPr>
        <w:t>atención la violencia de género en todas sus modalidades; y</w:t>
      </w:r>
    </w:p>
    <w:p w14:paraId="1DABF1D2" w14:textId="77777777" w:rsidR="00366FFB" w:rsidRPr="00743CF7" w:rsidRDefault="00366FFB" w:rsidP="00366FFB">
      <w:pPr>
        <w:autoSpaceDE w:val="0"/>
        <w:autoSpaceDN w:val="0"/>
        <w:adjustRightInd w:val="0"/>
        <w:jc w:val="both"/>
        <w:rPr>
          <w:rFonts w:ascii="Abadi" w:hAnsi="Abadi" w:cs="*Arial-10478-Identity-H"/>
          <w:color w:val="2A2A2A"/>
          <w:sz w:val="21"/>
          <w:szCs w:val="21"/>
        </w:rPr>
      </w:pPr>
    </w:p>
    <w:p w14:paraId="6868BAA3" w14:textId="77777777" w:rsidR="00366FFB" w:rsidRPr="00A67318" w:rsidRDefault="00366FFB" w:rsidP="005C6EBB">
      <w:pPr>
        <w:pStyle w:val="Prrafodelista"/>
        <w:numPr>
          <w:ilvl w:val="0"/>
          <w:numId w:val="42"/>
        </w:numPr>
        <w:autoSpaceDE w:val="0"/>
        <w:autoSpaceDN w:val="0"/>
        <w:adjustRightInd w:val="0"/>
        <w:contextualSpacing/>
        <w:jc w:val="both"/>
        <w:rPr>
          <w:rFonts w:ascii="Abadi" w:hAnsi="Abadi" w:cs="*Arial-10478-Identity-H"/>
          <w:color w:val="2C2C2C"/>
          <w:sz w:val="21"/>
          <w:szCs w:val="21"/>
        </w:rPr>
      </w:pPr>
      <w:r w:rsidRPr="00A67318">
        <w:rPr>
          <w:rFonts w:ascii="Abadi" w:hAnsi="Abadi" w:cs="*Arial-10478-Identity-H"/>
          <w:color w:val="282828"/>
          <w:sz w:val="21"/>
          <w:szCs w:val="21"/>
        </w:rPr>
        <w:t xml:space="preserve">Realizar acciones para propiciar espacios libres de todo tipo </w:t>
      </w:r>
      <w:r w:rsidRPr="00A67318">
        <w:rPr>
          <w:rFonts w:ascii="Abadi" w:hAnsi="Abadi" w:cs="*Comic Sans MS-10480-Identity-H"/>
          <w:color w:val="282828"/>
          <w:sz w:val="21"/>
          <w:szCs w:val="21"/>
        </w:rPr>
        <w:t xml:space="preserve">y </w:t>
      </w:r>
      <w:r w:rsidRPr="00A67318">
        <w:rPr>
          <w:rFonts w:ascii="Abadi" w:hAnsi="Abadi" w:cs="*Arial-10478-Identity-H"/>
          <w:color w:val="2C2C2C"/>
          <w:sz w:val="21"/>
          <w:szCs w:val="21"/>
        </w:rPr>
        <w:t>modalidad de violencia, en específico la de género y de discriminación hacia las mujeres. para garantizar el acceso pleno al derecho a la educación superior.</w:t>
      </w:r>
    </w:p>
    <w:p w14:paraId="14CCE5A5" w14:textId="77777777" w:rsidR="00366FFB" w:rsidRPr="00743CF7" w:rsidRDefault="00366FFB" w:rsidP="00366FFB">
      <w:pPr>
        <w:autoSpaceDE w:val="0"/>
        <w:autoSpaceDN w:val="0"/>
        <w:adjustRightInd w:val="0"/>
        <w:jc w:val="both"/>
        <w:rPr>
          <w:rFonts w:ascii="Abadi" w:hAnsi="Abadi" w:cs="*Arial-10478-Identity-H"/>
          <w:color w:val="2B2B2B"/>
          <w:sz w:val="21"/>
          <w:szCs w:val="21"/>
        </w:rPr>
      </w:pPr>
    </w:p>
    <w:p w14:paraId="1392AA09" w14:textId="77777777" w:rsidR="00366FFB" w:rsidRPr="00743CF7" w:rsidRDefault="00366FFB" w:rsidP="00366FFB">
      <w:pPr>
        <w:autoSpaceDE w:val="0"/>
        <w:autoSpaceDN w:val="0"/>
        <w:adjustRightInd w:val="0"/>
        <w:ind w:firstLine="360"/>
        <w:jc w:val="both"/>
        <w:rPr>
          <w:rFonts w:ascii="Abadi" w:hAnsi="Abadi" w:cs="*Arial-10478-Identity-H"/>
          <w:color w:val="2B2B2B"/>
          <w:sz w:val="21"/>
          <w:szCs w:val="21"/>
        </w:rPr>
      </w:pPr>
      <w:r w:rsidRPr="00743CF7">
        <w:rPr>
          <w:rFonts w:ascii="Abadi" w:hAnsi="Abadi" w:cs="*Arial-10478-Identity-H"/>
          <w:color w:val="2B2B2B"/>
          <w:sz w:val="21"/>
          <w:szCs w:val="21"/>
        </w:rPr>
        <w:t xml:space="preserve">Las medidas establecidas en la fracción III de este artículo serán complementarias </w:t>
      </w:r>
      <w:r w:rsidRPr="00743CF7">
        <w:rPr>
          <w:rFonts w:ascii="Abadi" w:hAnsi="Abadi" w:cs="*Comic Sans MS-10480-Identity-H"/>
          <w:color w:val="2B2B2B"/>
          <w:sz w:val="21"/>
          <w:szCs w:val="21"/>
        </w:rPr>
        <w:t xml:space="preserve">y </w:t>
      </w:r>
      <w:r w:rsidRPr="00743CF7">
        <w:rPr>
          <w:rFonts w:ascii="Abadi" w:hAnsi="Abadi" w:cs="*Arial-10478-Identity-H"/>
          <w:color w:val="2B2B2B"/>
          <w:sz w:val="21"/>
          <w:szCs w:val="21"/>
        </w:rPr>
        <w:t>coadyuvantes a las que realicen las autoridades respectivas en el ámbito de su competencia.</w:t>
      </w:r>
    </w:p>
    <w:p w14:paraId="7C91CC7E" w14:textId="77777777" w:rsidR="00366FFB" w:rsidRPr="00743CF7" w:rsidRDefault="00366FFB" w:rsidP="00366FFB">
      <w:pPr>
        <w:autoSpaceDE w:val="0"/>
        <w:autoSpaceDN w:val="0"/>
        <w:adjustRightInd w:val="0"/>
        <w:jc w:val="both"/>
        <w:rPr>
          <w:rFonts w:ascii="Abadi" w:hAnsi="Abadi" w:cs="*Arial-10478-Identity-H"/>
          <w:color w:val="2A2A2A"/>
          <w:sz w:val="21"/>
          <w:szCs w:val="21"/>
        </w:rPr>
      </w:pPr>
    </w:p>
    <w:p w14:paraId="005F0AF1" w14:textId="2615A665" w:rsidR="00366FFB" w:rsidRPr="00743CF7" w:rsidRDefault="00366FFB" w:rsidP="00366FFB">
      <w:pPr>
        <w:autoSpaceDE w:val="0"/>
        <w:autoSpaceDN w:val="0"/>
        <w:adjustRightInd w:val="0"/>
        <w:ind w:firstLine="360"/>
        <w:jc w:val="both"/>
        <w:rPr>
          <w:rFonts w:ascii="Abadi" w:hAnsi="Abadi" w:cs="*Arial-10478-Identity-H"/>
          <w:color w:val="2A2A2A"/>
          <w:sz w:val="21"/>
          <w:szCs w:val="21"/>
        </w:rPr>
      </w:pPr>
      <w:r w:rsidRPr="00743CF7">
        <w:rPr>
          <w:rFonts w:ascii="Abadi" w:hAnsi="Abadi" w:cs="*Arial-10478-Identity-H"/>
          <w:color w:val="2A2A2A"/>
          <w:sz w:val="21"/>
          <w:szCs w:val="21"/>
        </w:rPr>
        <w:t xml:space="preserve">La instancia poro lo equidad de género dentro de la estructura de </w:t>
      </w:r>
      <w:r w:rsidR="00F2244A" w:rsidRPr="00743CF7">
        <w:rPr>
          <w:rFonts w:ascii="Abadi" w:hAnsi="Abadi" w:cs="*Arial-10478-Identity-H"/>
          <w:color w:val="2A2A2A"/>
          <w:sz w:val="21"/>
          <w:szCs w:val="21"/>
        </w:rPr>
        <w:t>las instituciones</w:t>
      </w:r>
      <w:r w:rsidRPr="00743CF7">
        <w:rPr>
          <w:rFonts w:ascii="Abadi" w:hAnsi="Abadi" w:cs="*Arial-10478-Identity-H"/>
          <w:color w:val="2A2A2A"/>
          <w:sz w:val="21"/>
          <w:szCs w:val="21"/>
        </w:rPr>
        <w:t xml:space="preserve"> de educación superior será la encargada de realizar el seguimiento de las acciones a las que se refiere este artículo, siendo aplicable lo señalado en el</w:t>
      </w:r>
    </w:p>
    <w:p w14:paraId="59337B1E" w14:textId="77777777" w:rsidR="00366FFB" w:rsidRPr="00743CF7" w:rsidRDefault="00366FFB" w:rsidP="00366FFB">
      <w:pPr>
        <w:autoSpaceDE w:val="0"/>
        <w:autoSpaceDN w:val="0"/>
        <w:adjustRightInd w:val="0"/>
        <w:jc w:val="both"/>
        <w:rPr>
          <w:rFonts w:ascii="Abadi" w:hAnsi="Abadi" w:cs="*Arial-10478-Identity-H"/>
          <w:color w:val="2A2A2A"/>
          <w:sz w:val="21"/>
          <w:szCs w:val="21"/>
        </w:rPr>
      </w:pPr>
      <w:r w:rsidRPr="00743CF7">
        <w:rPr>
          <w:rFonts w:ascii="Abadi" w:hAnsi="Abadi" w:cs="*Arial-10478-Identity-H"/>
          <w:color w:val="2A2A2A"/>
          <w:sz w:val="21"/>
          <w:szCs w:val="21"/>
        </w:rPr>
        <w:t>Capítulo siguiente.</w:t>
      </w:r>
    </w:p>
    <w:p w14:paraId="27071740" w14:textId="77777777" w:rsidR="00366FFB" w:rsidRPr="00743CF7" w:rsidRDefault="00366FFB" w:rsidP="00366FFB">
      <w:pPr>
        <w:autoSpaceDE w:val="0"/>
        <w:autoSpaceDN w:val="0"/>
        <w:adjustRightInd w:val="0"/>
        <w:jc w:val="both"/>
        <w:rPr>
          <w:rFonts w:ascii="Abadi" w:hAnsi="Abadi" w:cs="*Arial-Bold-10479-Identity-H"/>
          <w:b/>
          <w:bCs/>
          <w:color w:val="111111"/>
          <w:sz w:val="21"/>
          <w:szCs w:val="21"/>
        </w:rPr>
      </w:pPr>
    </w:p>
    <w:p w14:paraId="3498F750" w14:textId="77777777" w:rsidR="00366FFB" w:rsidRPr="00743CF7" w:rsidRDefault="00366FFB" w:rsidP="00366FFB">
      <w:pPr>
        <w:autoSpaceDE w:val="0"/>
        <w:autoSpaceDN w:val="0"/>
        <w:adjustRightInd w:val="0"/>
        <w:jc w:val="center"/>
        <w:rPr>
          <w:rFonts w:ascii="Abadi" w:hAnsi="Abadi" w:cs="*Arial-Bold-10479-Identity-H"/>
          <w:b/>
          <w:bCs/>
          <w:color w:val="111111"/>
          <w:sz w:val="21"/>
          <w:szCs w:val="21"/>
        </w:rPr>
      </w:pPr>
      <w:r w:rsidRPr="00743CF7">
        <w:rPr>
          <w:rFonts w:ascii="Abadi" w:hAnsi="Abadi" w:cs="*Arial-Bold-10479-Identity-H"/>
          <w:b/>
          <w:bCs/>
          <w:color w:val="111111"/>
          <w:sz w:val="21"/>
          <w:szCs w:val="21"/>
        </w:rPr>
        <w:t xml:space="preserve">Capítulo </w:t>
      </w:r>
      <w:r>
        <w:rPr>
          <w:rFonts w:ascii="Abadi" w:hAnsi="Abadi" w:cs="*Arial-Bold-10479-Identity-H"/>
          <w:b/>
          <w:bCs/>
          <w:color w:val="111111"/>
          <w:sz w:val="21"/>
          <w:szCs w:val="21"/>
        </w:rPr>
        <w:t>III</w:t>
      </w:r>
    </w:p>
    <w:p w14:paraId="6B548B75" w14:textId="77777777" w:rsidR="00366FFB" w:rsidRPr="00743CF7" w:rsidRDefault="00366FFB" w:rsidP="00366FFB">
      <w:pPr>
        <w:autoSpaceDE w:val="0"/>
        <w:autoSpaceDN w:val="0"/>
        <w:adjustRightInd w:val="0"/>
        <w:jc w:val="center"/>
        <w:rPr>
          <w:rFonts w:ascii="Abadi" w:hAnsi="Abadi" w:cs="*Arial-Bold-10479-Identity-H"/>
          <w:b/>
          <w:bCs/>
          <w:color w:val="111111"/>
          <w:sz w:val="21"/>
          <w:szCs w:val="21"/>
        </w:rPr>
      </w:pPr>
      <w:r w:rsidRPr="00743CF7">
        <w:rPr>
          <w:rFonts w:ascii="Abadi" w:hAnsi="Abadi" w:cs="*Arial-Bold-10479-Identity-H"/>
          <w:b/>
          <w:bCs/>
          <w:color w:val="111111"/>
          <w:sz w:val="21"/>
          <w:szCs w:val="21"/>
        </w:rPr>
        <w:t>Equidad de género</w:t>
      </w:r>
    </w:p>
    <w:p w14:paraId="2576E7B7" w14:textId="77777777" w:rsidR="00366FFB" w:rsidRDefault="00366FFB" w:rsidP="00366FFB">
      <w:pPr>
        <w:autoSpaceDE w:val="0"/>
        <w:autoSpaceDN w:val="0"/>
        <w:adjustRightInd w:val="0"/>
        <w:jc w:val="center"/>
        <w:rPr>
          <w:rFonts w:ascii="Abadi" w:hAnsi="Abadi" w:cs="*Tahoma-BoldItalic-10482-Identi"/>
          <w:b/>
          <w:bCs/>
          <w:i/>
          <w:iCs/>
          <w:color w:val="101010"/>
          <w:sz w:val="21"/>
          <w:szCs w:val="21"/>
        </w:rPr>
      </w:pPr>
    </w:p>
    <w:p w14:paraId="5DA413A5" w14:textId="77777777" w:rsidR="00366FFB" w:rsidRPr="00743CF7" w:rsidRDefault="00366FFB" w:rsidP="00366FFB">
      <w:pPr>
        <w:autoSpaceDE w:val="0"/>
        <w:autoSpaceDN w:val="0"/>
        <w:adjustRightInd w:val="0"/>
        <w:jc w:val="right"/>
        <w:rPr>
          <w:rFonts w:ascii="Abadi" w:hAnsi="Abadi" w:cs="*Tahoma-BoldItalic-10482-Identi"/>
          <w:b/>
          <w:bCs/>
          <w:i/>
          <w:iCs/>
          <w:color w:val="101010"/>
          <w:sz w:val="21"/>
          <w:szCs w:val="21"/>
        </w:rPr>
      </w:pPr>
      <w:r w:rsidRPr="00743CF7">
        <w:rPr>
          <w:rFonts w:ascii="Abadi" w:hAnsi="Abadi" w:cs="*Tahoma-BoldItalic-10482-Identi"/>
          <w:b/>
          <w:bCs/>
          <w:i/>
          <w:iCs/>
          <w:color w:val="101010"/>
          <w:sz w:val="21"/>
          <w:szCs w:val="21"/>
        </w:rPr>
        <w:t>Criterios que</w:t>
      </w:r>
      <w:r>
        <w:rPr>
          <w:rFonts w:ascii="Abadi" w:hAnsi="Abadi" w:cs="*Tahoma-BoldItalic-10482-Identi"/>
          <w:b/>
          <w:bCs/>
          <w:i/>
          <w:iCs/>
          <w:color w:val="101010"/>
          <w:sz w:val="21"/>
          <w:szCs w:val="21"/>
        </w:rPr>
        <w:t xml:space="preserve"> se</w:t>
      </w:r>
      <w:r w:rsidRPr="00743CF7">
        <w:rPr>
          <w:rFonts w:ascii="Abadi" w:hAnsi="Abadi" w:cs="*Arial-10478-Identity-H"/>
          <w:color w:val="101010"/>
          <w:sz w:val="21"/>
          <w:szCs w:val="21"/>
        </w:rPr>
        <w:t xml:space="preserve"> </w:t>
      </w:r>
      <w:r w:rsidRPr="00743CF7">
        <w:rPr>
          <w:rFonts w:ascii="Abadi" w:hAnsi="Abadi" w:cs="*Tahoma-BoldItalic-10482-Identi"/>
          <w:b/>
          <w:bCs/>
          <w:i/>
          <w:iCs/>
          <w:color w:val="101010"/>
          <w:sz w:val="21"/>
          <w:szCs w:val="21"/>
        </w:rPr>
        <w:t>deben observar en</w:t>
      </w:r>
    </w:p>
    <w:p w14:paraId="7A929BAC" w14:textId="77777777" w:rsidR="00366FFB" w:rsidRPr="00743CF7" w:rsidRDefault="00366FFB" w:rsidP="00366FFB">
      <w:pPr>
        <w:autoSpaceDE w:val="0"/>
        <w:autoSpaceDN w:val="0"/>
        <w:adjustRightInd w:val="0"/>
        <w:jc w:val="right"/>
        <w:rPr>
          <w:rFonts w:ascii="Abadi" w:hAnsi="Abadi" w:cs="*Microsoft Sans Serif-BoldItali"/>
          <w:b/>
          <w:bCs/>
          <w:i/>
          <w:iCs/>
          <w:color w:val="101010"/>
          <w:sz w:val="21"/>
          <w:szCs w:val="21"/>
        </w:rPr>
      </w:pPr>
      <w:r w:rsidRPr="00743CF7">
        <w:rPr>
          <w:rFonts w:ascii="Abadi" w:hAnsi="Abadi" w:cs="*Microsoft Sans Serif-BoldItali"/>
          <w:b/>
          <w:bCs/>
          <w:i/>
          <w:iCs/>
          <w:color w:val="101010"/>
          <w:sz w:val="21"/>
          <w:szCs w:val="21"/>
        </w:rPr>
        <w:t>materia de equidad de género</w:t>
      </w:r>
    </w:p>
    <w:p w14:paraId="656B038D" w14:textId="77777777" w:rsidR="00366FFB" w:rsidRPr="00743CF7" w:rsidRDefault="00366FFB" w:rsidP="00366FFB">
      <w:pPr>
        <w:autoSpaceDE w:val="0"/>
        <w:autoSpaceDN w:val="0"/>
        <w:adjustRightInd w:val="0"/>
        <w:jc w:val="right"/>
        <w:rPr>
          <w:rFonts w:ascii="Abadi" w:hAnsi="Abadi" w:cs="*Arial-Bold-10479-Identity-H"/>
          <w:b/>
          <w:bCs/>
          <w:color w:val="272727"/>
          <w:sz w:val="21"/>
          <w:szCs w:val="21"/>
        </w:rPr>
      </w:pPr>
    </w:p>
    <w:p w14:paraId="557431FB" w14:textId="57697EC7" w:rsidR="00366FFB" w:rsidRPr="00743CF7" w:rsidRDefault="00366FFB" w:rsidP="00366FFB">
      <w:pPr>
        <w:autoSpaceDE w:val="0"/>
        <w:autoSpaceDN w:val="0"/>
        <w:adjustRightInd w:val="0"/>
        <w:ind w:firstLine="708"/>
        <w:jc w:val="both"/>
        <w:rPr>
          <w:rFonts w:ascii="Abadi" w:hAnsi="Abadi" w:cs="*Arial-10478-Identity-H"/>
          <w:color w:val="272727"/>
          <w:sz w:val="21"/>
          <w:szCs w:val="21"/>
        </w:rPr>
      </w:pPr>
      <w:r w:rsidRPr="00743CF7">
        <w:rPr>
          <w:rFonts w:ascii="Abadi" w:hAnsi="Abadi" w:cs="*Arial-Bold-10479-Identity-H"/>
          <w:b/>
          <w:bCs/>
          <w:color w:val="272727"/>
          <w:sz w:val="21"/>
          <w:szCs w:val="21"/>
        </w:rPr>
        <w:t xml:space="preserve">Artículo 82. </w:t>
      </w:r>
      <w:r w:rsidRPr="00743CF7">
        <w:rPr>
          <w:rFonts w:ascii="Abadi" w:hAnsi="Abadi" w:cs="*Arial-10478-Identity-H"/>
          <w:color w:val="272727"/>
          <w:sz w:val="21"/>
          <w:szCs w:val="21"/>
        </w:rPr>
        <w:t xml:space="preserve">Los criterios que deben observar las autoridades educativas en Materia de equidad de </w:t>
      </w:r>
      <w:r w:rsidR="00F2244A" w:rsidRPr="00743CF7">
        <w:rPr>
          <w:rFonts w:ascii="Abadi" w:hAnsi="Abadi" w:cs="*Arial-10478-Identity-H"/>
          <w:color w:val="272727"/>
          <w:sz w:val="21"/>
          <w:szCs w:val="21"/>
        </w:rPr>
        <w:t>género</w:t>
      </w:r>
      <w:r w:rsidRPr="00743CF7">
        <w:rPr>
          <w:rFonts w:ascii="Abadi" w:hAnsi="Abadi" w:cs="*Arial-10478-Identity-H"/>
          <w:color w:val="272727"/>
          <w:sz w:val="21"/>
          <w:szCs w:val="21"/>
        </w:rPr>
        <w:t xml:space="preserve"> se basarán en lo siguiente:</w:t>
      </w:r>
    </w:p>
    <w:p w14:paraId="65AE4A64" w14:textId="77777777" w:rsidR="00366FFB" w:rsidRPr="00743CF7" w:rsidRDefault="00366FFB" w:rsidP="00366FFB">
      <w:pPr>
        <w:autoSpaceDE w:val="0"/>
        <w:autoSpaceDN w:val="0"/>
        <w:adjustRightInd w:val="0"/>
        <w:jc w:val="both"/>
        <w:rPr>
          <w:rFonts w:ascii="Abadi" w:hAnsi="Abadi" w:cs="*Arial-10478-Identity-H"/>
          <w:color w:val="2B2B2B"/>
          <w:sz w:val="21"/>
          <w:szCs w:val="21"/>
        </w:rPr>
      </w:pPr>
    </w:p>
    <w:p w14:paraId="6A68C0DB" w14:textId="77777777" w:rsidR="00366FFB" w:rsidRPr="003644FF" w:rsidRDefault="00366FFB" w:rsidP="005C6EBB">
      <w:pPr>
        <w:pStyle w:val="Prrafodelista"/>
        <w:numPr>
          <w:ilvl w:val="0"/>
          <w:numId w:val="43"/>
        </w:numPr>
        <w:autoSpaceDE w:val="0"/>
        <w:autoSpaceDN w:val="0"/>
        <w:adjustRightInd w:val="0"/>
        <w:contextualSpacing/>
        <w:jc w:val="both"/>
        <w:rPr>
          <w:rFonts w:ascii="Abadi" w:hAnsi="Abadi" w:cs="*Microsoft Sans Serif-12003-Ide"/>
          <w:color w:val="272727"/>
          <w:sz w:val="21"/>
          <w:szCs w:val="21"/>
        </w:rPr>
      </w:pPr>
      <w:r w:rsidRPr="003644FF">
        <w:rPr>
          <w:rFonts w:ascii="Abadi" w:hAnsi="Abadi" w:cs="*Arial-10478-Identity-H"/>
          <w:color w:val="2B2B2B"/>
          <w:sz w:val="21"/>
          <w:szCs w:val="21"/>
        </w:rPr>
        <w:t xml:space="preserve">El incremento en la incorporación de académicas a plazas de tiempo completo con funciones de docencia e investigación en las áreas de ciencias, humanidades, ingenieros </w:t>
      </w:r>
      <w:r w:rsidRPr="003644FF">
        <w:rPr>
          <w:rFonts w:ascii="Abadi" w:hAnsi="Abadi" w:cs="*Comic Sans MS-10480-Identity-H"/>
          <w:color w:val="2B2B2B"/>
          <w:sz w:val="21"/>
          <w:szCs w:val="21"/>
        </w:rPr>
        <w:t xml:space="preserve">y </w:t>
      </w:r>
      <w:r w:rsidRPr="003644FF">
        <w:rPr>
          <w:rFonts w:ascii="Abadi" w:hAnsi="Abadi" w:cs="*Arial-10478-Identity-H"/>
          <w:color w:val="2B2B2B"/>
          <w:sz w:val="21"/>
          <w:szCs w:val="21"/>
        </w:rPr>
        <w:t xml:space="preserve">tecnologías, cuando así </w:t>
      </w:r>
      <w:r w:rsidRPr="003644FF">
        <w:rPr>
          <w:rFonts w:ascii="Abadi" w:hAnsi="Abadi" w:cs="*Microsoft Sans Serif-12003-Ide"/>
          <w:color w:val="272727"/>
          <w:sz w:val="21"/>
          <w:szCs w:val="21"/>
        </w:rPr>
        <w:t>corresponda, porque lograr la paridad de género, conforme o lo normatividad de cado institución;</w:t>
      </w:r>
    </w:p>
    <w:p w14:paraId="4FBB8C4A" w14:textId="77777777" w:rsidR="00366FFB" w:rsidRPr="00743CF7" w:rsidRDefault="00366FFB" w:rsidP="00366FFB">
      <w:pPr>
        <w:autoSpaceDE w:val="0"/>
        <w:autoSpaceDN w:val="0"/>
        <w:adjustRightInd w:val="0"/>
        <w:jc w:val="both"/>
        <w:rPr>
          <w:rFonts w:ascii="Abadi" w:hAnsi="Abadi" w:cs="*Microsoft Sans Serif-12003-Ide"/>
          <w:color w:val="272727"/>
          <w:sz w:val="21"/>
          <w:szCs w:val="21"/>
        </w:rPr>
      </w:pPr>
    </w:p>
    <w:p w14:paraId="6901E0F3" w14:textId="77777777" w:rsidR="00366FFB" w:rsidRPr="003644FF" w:rsidRDefault="00366FFB" w:rsidP="005C6EBB">
      <w:pPr>
        <w:pStyle w:val="Prrafodelista"/>
        <w:numPr>
          <w:ilvl w:val="0"/>
          <w:numId w:val="43"/>
        </w:numPr>
        <w:autoSpaceDE w:val="0"/>
        <w:autoSpaceDN w:val="0"/>
        <w:adjustRightInd w:val="0"/>
        <w:contextualSpacing/>
        <w:jc w:val="both"/>
        <w:rPr>
          <w:rFonts w:ascii="Abadi" w:hAnsi="Abadi" w:cs="*Microsoft Sans Serif-12003-Ide"/>
          <w:color w:val="2A2A2A"/>
          <w:sz w:val="21"/>
          <w:szCs w:val="21"/>
        </w:rPr>
      </w:pPr>
      <w:r w:rsidRPr="003644FF">
        <w:rPr>
          <w:rFonts w:ascii="Abadi" w:hAnsi="Abadi" w:cs="*Microsoft Sans Serif-12003-Ide"/>
          <w:color w:val="2A2A2A"/>
          <w:sz w:val="21"/>
          <w:szCs w:val="21"/>
        </w:rPr>
        <w:t xml:space="preserve">La incorporación de la transversalidad de la perspectiva de género en las funciones académicas de enseñanza, investigación, extensión </w:t>
      </w:r>
      <w:r w:rsidRPr="003644FF">
        <w:rPr>
          <w:rFonts w:ascii="Abadi" w:hAnsi="Abadi" w:cs="*Calibri-12000-Identity-H"/>
          <w:color w:val="2A2A2A"/>
          <w:sz w:val="21"/>
          <w:szCs w:val="21"/>
        </w:rPr>
        <w:t xml:space="preserve">y </w:t>
      </w:r>
      <w:r w:rsidRPr="003644FF">
        <w:rPr>
          <w:rFonts w:ascii="Abadi" w:hAnsi="Abadi" w:cs="*Microsoft Sans Serif-12003-Ide"/>
          <w:color w:val="2A2A2A"/>
          <w:sz w:val="21"/>
          <w:szCs w:val="21"/>
        </w:rPr>
        <w:t xml:space="preserve">difusión cultural. así corno en las actividades administrativas </w:t>
      </w:r>
      <w:r w:rsidRPr="003644FF">
        <w:rPr>
          <w:rFonts w:ascii="Abadi" w:hAnsi="Abadi" w:cs="*Calibri-11999-Identity-H"/>
          <w:color w:val="2A2A2A"/>
          <w:sz w:val="21"/>
          <w:szCs w:val="21"/>
        </w:rPr>
        <w:t xml:space="preserve">y </w:t>
      </w:r>
      <w:r w:rsidRPr="003644FF">
        <w:rPr>
          <w:rFonts w:ascii="Abadi" w:hAnsi="Abadi" w:cs="*Microsoft Sans Serif-12003-Ide"/>
          <w:color w:val="2A2A2A"/>
          <w:sz w:val="21"/>
          <w:szCs w:val="21"/>
        </w:rPr>
        <w:t>directivas, con el propósito de contribuir a la igualdad y la equidad en el ámbito de la educación superior e impulsarla en lo sociedad;</w:t>
      </w:r>
    </w:p>
    <w:p w14:paraId="081FC3F7" w14:textId="77777777" w:rsidR="00366FFB" w:rsidRPr="00743CF7" w:rsidRDefault="00366FFB" w:rsidP="00366FFB">
      <w:pPr>
        <w:autoSpaceDE w:val="0"/>
        <w:autoSpaceDN w:val="0"/>
        <w:adjustRightInd w:val="0"/>
        <w:jc w:val="both"/>
        <w:rPr>
          <w:rFonts w:ascii="Abadi" w:hAnsi="Abadi" w:cs="*Microsoft Sans Serif-12003-Ide"/>
          <w:color w:val="2A2A2A"/>
          <w:sz w:val="21"/>
          <w:szCs w:val="21"/>
        </w:rPr>
      </w:pPr>
    </w:p>
    <w:p w14:paraId="45AD8D9B" w14:textId="77777777" w:rsidR="00366FFB" w:rsidRPr="003644FF" w:rsidRDefault="00366FFB" w:rsidP="005C6EBB">
      <w:pPr>
        <w:pStyle w:val="Prrafodelista"/>
        <w:numPr>
          <w:ilvl w:val="0"/>
          <w:numId w:val="43"/>
        </w:numPr>
        <w:autoSpaceDE w:val="0"/>
        <w:autoSpaceDN w:val="0"/>
        <w:adjustRightInd w:val="0"/>
        <w:contextualSpacing/>
        <w:jc w:val="both"/>
        <w:rPr>
          <w:rFonts w:ascii="Abadi" w:hAnsi="Abadi" w:cs="*Microsoft Sans Serif-12003-Ide"/>
          <w:color w:val="282828"/>
          <w:sz w:val="21"/>
          <w:szCs w:val="21"/>
        </w:rPr>
      </w:pPr>
      <w:r w:rsidRPr="003644FF">
        <w:rPr>
          <w:rFonts w:ascii="Abadi" w:hAnsi="Abadi" w:cs="*Microsoft Sans Serif-12003-Ide"/>
          <w:color w:val="282828"/>
          <w:sz w:val="21"/>
          <w:szCs w:val="21"/>
        </w:rPr>
        <w:t xml:space="preserve">La promoción de medidas que eliminen los estereotipos de género para cursar los planes </w:t>
      </w:r>
      <w:r w:rsidRPr="003644FF">
        <w:rPr>
          <w:rFonts w:ascii="Abadi" w:hAnsi="Abadi" w:cs="*Calibri-11999-Identity-H"/>
          <w:color w:val="282828"/>
          <w:sz w:val="21"/>
          <w:szCs w:val="21"/>
        </w:rPr>
        <w:t xml:space="preserve">y </w:t>
      </w:r>
      <w:r w:rsidRPr="003644FF">
        <w:rPr>
          <w:rFonts w:ascii="Abadi" w:hAnsi="Abadi" w:cs="*Microsoft Sans Serif-12003-Ide"/>
          <w:color w:val="282828"/>
          <w:sz w:val="21"/>
          <w:szCs w:val="21"/>
        </w:rPr>
        <w:t>programas de estudio que impartan las instituciones de educación superior;</w:t>
      </w:r>
    </w:p>
    <w:p w14:paraId="2E1E59F6" w14:textId="77777777" w:rsidR="00366FFB" w:rsidRPr="00743CF7" w:rsidRDefault="00366FFB" w:rsidP="00366FFB">
      <w:pPr>
        <w:autoSpaceDE w:val="0"/>
        <w:autoSpaceDN w:val="0"/>
        <w:adjustRightInd w:val="0"/>
        <w:jc w:val="both"/>
        <w:rPr>
          <w:rFonts w:ascii="Abadi" w:hAnsi="Abadi" w:cs="*Microsoft Sans Serif-12003-Ide"/>
          <w:color w:val="282828"/>
          <w:sz w:val="21"/>
          <w:szCs w:val="21"/>
        </w:rPr>
      </w:pPr>
    </w:p>
    <w:p w14:paraId="5D6E065C" w14:textId="77777777" w:rsidR="00366FFB" w:rsidRDefault="00366FFB" w:rsidP="005C6EBB">
      <w:pPr>
        <w:pStyle w:val="Prrafodelista"/>
        <w:numPr>
          <w:ilvl w:val="0"/>
          <w:numId w:val="43"/>
        </w:numPr>
        <w:autoSpaceDE w:val="0"/>
        <w:autoSpaceDN w:val="0"/>
        <w:adjustRightInd w:val="0"/>
        <w:contextualSpacing/>
        <w:jc w:val="both"/>
        <w:rPr>
          <w:rFonts w:ascii="Abadi" w:hAnsi="Abadi" w:cs="*Microsoft Sans Serif-12003-Ide"/>
          <w:color w:val="282828"/>
          <w:sz w:val="21"/>
          <w:szCs w:val="21"/>
        </w:rPr>
      </w:pPr>
      <w:r w:rsidRPr="003644FF">
        <w:rPr>
          <w:rFonts w:ascii="Abadi" w:hAnsi="Abadi" w:cs="*Microsoft Sans Serif-12003-Ide"/>
          <w:color w:val="282828"/>
          <w:sz w:val="21"/>
          <w:szCs w:val="21"/>
        </w:rPr>
        <w:t>Fomentar las condiciones de equidad entre el personal académico a cargo de las tareas de docencia, investigación, extensión y difusión de la cultural;</w:t>
      </w:r>
    </w:p>
    <w:p w14:paraId="60F6E903" w14:textId="77777777" w:rsidR="00366FFB" w:rsidRPr="003644FF" w:rsidRDefault="00366FFB" w:rsidP="00366FFB">
      <w:pPr>
        <w:pStyle w:val="Prrafodelista"/>
        <w:rPr>
          <w:rFonts w:ascii="Abadi" w:hAnsi="Abadi" w:cs="*Microsoft Sans Serif-12003-Ide"/>
          <w:color w:val="282828"/>
          <w:sz w:val="21"/>
          <w:szCs w:val="21"/>
        </w:rPr>
      </w:pPr>
    </w:p>
    <w:p w14:paraId="7B560003" w14:textId="77777777" w:rsidR="00366FFB" w:rsidRPr="003644FF" w:rsidRDefault="00366FFB" w:rsidP="005C6EBB">
      <w:pPr>
        <w:pStyle w:val="Prrafodelista"/>
        <w:numPr>
          <w:ilvl w:val="0"/>
          <w:numId w:val="43"/>
        </w:numPr>
        <w:autoSpaceDE w:val="0"/>
        <w:autoSpaceDN w:val="0"/>
        <w:adjustRightInd w:val="0"/>
        <w:contextualSpacing/>
        <w:jc w:val="both"/>
        <w:rPr>
          <w:rFonts w:ascii="Abadi" w:hAnsi="Abadi" w:cs="*Microsoft Sans Serif-12003-Ide"/>
          <w:color w:val="282828"/>
          <w:sz w:val="21"/>
          <w:szCs w:val="21"/>
        </w:rPr>
      </w:pPr>
      <w:r>
        <w:rPr>
          <w:rFonts w:ascii="Abadi" w:hAnsi="Abadi" w:cs="*Microsoft Sans Serif-12003-Ide"/>
          <w:color w:val="2E2E2E"/>
          <w:sz w:val="21"/>
          <w:szCs w:val="21"/>
        </w:rPr>
        <w:t xml:space="preserve">La </w:t>
      </w:r>
      <w:r w:rsidRPr="003644FF">
        <w:rPr>
          <w:rFonts w:ascii="Abadi" w:hAnsi="Abadi" w:cs="*Microsoft Sans Serif-12003-Ide"/>
          <w:color w:val="2E2E2E"/>
          <w:sz w:val="21"/>
          <w:szCs w:val="21"/>
        </w:rPr>
        <w:t xml:space="preserve">promoción </w:t>
      </w:r>
      <w:r w:rsidRPr="003644FF">
        <w:rPr>
          <w:rFonts w:ascii="Abadi" w:hAnsi="Abadi" w:cs="*Calibri-12000-Identity-H"/>
          <w:color w:val="2E2E2E"/>
          <w:sz w:val="21"/>
          <w:szCs w:val="21"/>
        </w:rPr>
        <w:t xml:space="preserve">y </w:t>
      </w:r>
      <w:r w:rsidRPr="003644FF">
        <w:rPr>
          <w:rFonts w:ascii="Abadi" w:hAnsi="Abadi" w:cs="*Microsoft Sans Serif-12003-Ide"/>
          <w:color w:val="2E2E2E"/>
          <w:sz w:val="21"/>
          <w:szCs w:val="21"/>
        </w:rPr>
        <w:t xml:space="preserve">respeto de la igualdad entre mujeres </w:t>
      </w:r>
      <w:r w:rsidRPr="003644FF">
        <w:rPr>
          <w:rFonts w:ascii="Abadi" w:hAnsi="Abadi" w:cs="*Calibri-12000-Identity-H"/>
          <w:color w:val="2E2E2E"/>
          <w:sz w:val="21"/>
          <w:szCs w:val="21"/>
        </w:rPr>
        <w:t xml:space="preserve">y </w:t>
      </w:r>
      <w:r w:rsidRPr="003644FF">
        <w:rPr>
          <w:rFonts w:ascii="Abadi" w:hAnsi="Abadi" w:cs="*Microsoft Sans Serif-12003-Ide"/>
          <w:color w:val="2E2E2E"/>
          <w:sz w:val="21"/>
          <w:szCs w:val="21"/>
        </w:rPr>
        <w:t xml:space="preserve">hombres, generando mecanismos para erradicar cualquier tipo </w:t>
      </w:r>
      <w:r w:rsidRPr="003644FF">
        <w:rPr>
          <w:rFonts w:ascii="Abadi" w:hAnsi="Abadi" w:cs="*Calibri-11999-Identity-H"/>
          <w:color w:val="2E2E2E"/>
          <w:sz w:val="21"/>
          <w:szCs w:val="21"/>
        </w:rPr>
        <w:t xml:space="preserve">y </w:t>
      </w:r>
      <w:r w:rsidRPr="003644FF">
        <w:rPr>
          <w:rFonts w:ascii="Abadi" w:hAnsi="Abadi" w:cs="*Microsoft Sans Serif-12003-Ide"/>
          <w:color w:val="2E2E2E"/>
          <w:sz w:val="21"/>
          <w:szCs w:val="21"/>
        </w:rPr>
        <w:t>modalidad de violencia de género en las instituciones de educación super</w:t>
      </w:r>
      <w:r w:rsidRPr="003644FF">
        <w:rPr>
          <w:rFonts w:ascii="Abadi" w:hAnsi="Abadi" w:cs="*Microsoft Sans Serif-12003-Ide"/>
          <w:color w:val="1C1C1C"/>
          <w:sz w:val="21"/>
          <w:szCs w:val="21"/>
        </w:rPr>
        <w:t>i</w:t>
      </w:r>
      <w:r w:rsidRPr="003644FF">
        <w:rPr>
          <w:rFonts w:ascii="Abadi" w:hAnsi="Abadi" w:cs="*Microsoft Sans Serif-12003-Ide"/>
          <w:color w:val="2E2E2E"/>
          <w:sz w:val="21"/>
          <w:szCs w:val="21"/>
        </w:rPr>
        <w:t>or</w:t>
      </w:r>
      <w:r w:rsidRPr="003644FF">
        <w:rPr>
          <w:rFonts w:ascii="Abadi" w:hAnsi="Abadi" w:cs="*Microsoft Sans Serif-12003-Ide"/>
          <w:color w:val="7C7C7C"/>
          <w:sz w:val="21"/>
          <w:szCs w:val="21"/>
        </w:rPr>
        <w:t>.</w:t>
      </w:r>
    </w:p>
    <w:p w14:paraId="2D4B70D2" w14:textId="77777777" w:rsidR="00366FFB" w:rsidRPr="00743CF7" w:rsidRDefault="00366FFB" w:rsidP="00366FFB">
      <w:pPr>
        <w:autoSpaceDE w:val="0"/>
        <w:autoSpaceDN w:val="0"/>
        <w:adjustRightInd w:val="0"/>
        <w:jc w:val="both"/>
        <w:rPr>
          <w:rFonts w:ascii="Abadi" w:hAnsi="Abadi" w:cs="*Arial-Bold-12001-Identity-H"/>
          <w:b/>
          <w:bCs/>
          <w:color w:val="101010"/>
          <w:sz w:val="21"/>
          <w:szCs w:val="21"/>
        </w:rPr>
      </w:pPr>
    </w:p>
    <w:p w14:paraId="4233FA56" w14:textId="77777777" w:rsidR="00366FFB" w:rsidRPr="00743CF7" w:rsidRDefault="00366FFB" w:rsidP="00366FFB">
      <w:pPr>
        <w:autoSpaceDE w:val="0"/>
        <w:autoSpaceDN w:val="0"/>
        <w:adjustRightInd w:val="0"/>
        <w:jc w:val="center"/>
        <w:rPr>
          <w:rFonts w:ascii="Abadi" w:hAnsi="Abadi" w:cs="*Arial-Bold-12001-Identity-H"/>
          <w:b/>
          <w:bCs/>
          <w:color w:val="101010"/>
          <w:sz w:val="21"/>
          <w:szCs w:val="21"/>
        </w:rPr>
      </w:pPr>
      <w:r w:rsidRPr="00743CF7">
        <w:rPr>
          <w:rFonts w:ascii="Abadi" w:hAnsi="Abadi" w:cs="*Arial-Bold-12001-Identity-H"/>
          <w:b/>
          <w:bCs/>
          <w:color w:val="101010"/>
          <w:sz w:val="21"/>
          <w:szCs w:val="21"/>
        </w:rPr>
        <w:t>TÍTULO VIII</w:t>
      </w:r>
    </w:p>
    <w:p w14:paraId="5F178B1C" w14:textId="77777777" w:rsidR="00366FFB" w:rsidRPr="00743CF7" w:rsidRDefault="00366FFB" w:rsidP="00366FFB">
      <w:pPr>
        <w:autoSpaceDE w:val="0"/>
        <w:autoSpaceDN w:val="0"/>
        <w:adjustRightInd w:val="0"/>
        <w:jc w:val="center"/>
        <w:rPr>
          <w:rFonts w:ascii="Abadi" w:hAnsi="Abadi" w:cs="*Arial-Bold-12001-Identity-H"/>
          <w:b/>
          <w:bCs/>
          <w:color w:val="101010"/>
          <w:sz w:val="21"/>
          <w:szCs w:val="21"/>
        </w:rPr>
      </w:pPr>
      <w:r w:rsidRPr="00743CF7">
        <w:rPr>
          <w:rFonts w:ascii="Abadi" w:hAnsi="Abadi" w:cs="*Arial-Bold-12001-Identity-H"/>
          <w:b/>
          <w:bCs/>
          <w:color w:val="101010"/>
          <w:sz w:val="21"/>
          <w:szCs w:val="21"/>
        </w:rPr>
        <w:t>Financiamiento de la Educación Superior</w:t>
      </w:r>
    </w:p>
    <w:p w14:paraId="25409128" w14:textId="77777777" w:rsidR="00366FFB" w:rsidRPr="00743CF7" w:rsidRDefault="00366FFB" w:rsidP="00366FFB">
      <w:pPr>
        <w:autoSpaceDE w:val="0"/>
        <w:autoSpaceDN w:val="0"/>
        <w:adjustRightInd w:val="0"/>
        <w:jc w:val="center"/>
        <w:rPr>
          <w:rFonts w:ascii="Abadi" w:hAnsi="Abadi" w:cs="*Arial-Bold-12001-Identity-H"/>
          <w:b/>
          <w:bCs/>
          <w:color w:val="101010"/>
          <w:sz w:val="21"/>
          <w:szCs w:val="21"/>
        </w:rPr>
      </w:pPr>
      <w:r w:rsidRPr="00743CF7">
        <w:rPr>
          <w:rFonts w:ascii="Abadi" w:hAnsi="Abadi" w:cs="*Arial-Bold-12001-Identity-H"/>
          <w:b/>
          <w:bCs/>
          <w:color w:val="101010"/>
          <w:sz w:val="21"/>
          <w:szCs w:val="21"/>
        </w:rPr>
        <w:t>Capítulo I</w:t>
      </w:r>
    </w:p>
    <w:p w14:paraId="390D7928" w14:textId="77777777" w:rsidR="00366FFB" w:rsidRPr="00743CF7" w:rsidRDefault="00366FFB" w:rsidP="00366FFB">
      <w:pPr>
        <w:autoSpaceDE w:val="0"/>
        <w:autoSpaceDN w:val="0"/>
        <w:adjustRightInd w:val="0"/>
        <w:jc w:val="center"/>
        <w:rPr>
          <w:rFonts w:ascii="Abadi" w:hAnsi="Abadi" w:cs="*Arial-Bold-12001-Identity-H"/>
          <w:b/>
          <w:bCs/>
          <w:color w:val="121212"/>
          <w:sz w:val="21"/>
          <w:szCs w:val="21"/>
        </w:rPr>
      </w:pPr>
      <w:r w:rsidRPr="00743CF7">
        <w:rPr>
          <w:rFonts w:ascii="Abadi" w:hAnsi="Abadi" w:cs="*Arial-Bold-12001-Identity-H"/>
          <w:b/>
          <w:bCs/>
          <w:color w:val="121212"/>
          <w:sz w:val="21"/>
          <w:szCs w:val="21"/>
        </w:rPr>
        <w:t>Obligaciones en materia de financiamiento</w:t>
      </w:r>
    </w:p>
    <w:p w14:paraId="54EDD443" w14:textId="77777777" w:rsidR="00366FFB" w:rsidRDefault="00366FFB" w:rsidP="00366FFB">
      <w:pPr>
        <w:autoSpaceDE w:val="0"/>
        <w:autoSpaceDN w:val="0"/>
        <w:adjustRightInd w:val="0"/>
        <w:jc w:val="right"/>
        <w:rPr>
          <w:rFonts w:ascii="Abadi" w:hAnsi="Abadi" w:cs="*Arial-BoldItalic-12002-Identit"/>
          <w:b/>
          <w:bCs/>
          <w:i/>
          <w:iCs/>
          <w:color w:val="101010"/>
          <w:sz w:val="21"/>
          <w:szCs w:val="21"/>
        </w:rPr>
      </w:pPr>
    </w:p>
    <w:p w14:paraId="42F4FB49" w14:textId="77777777" w:rsidR="00366FFB" w:rsidRPr="00743CF7" w:rsidRDefault="00366FFB" w:rsidP="00366FFB">
      <w:pPr>
        <w:autoSpaceDE w:val="0"/>
        <w:autoSpaceDN w:val="0"/>
        <w:adjustRightInd w:val="0"/>
        <w:jc w:val="right"/>
        <w:rPr>
          <w:rFonts w:ascii="Abadi" w:hAnsi="Abadi" w:cs="*Arial-BoldItalic-12002-Identit"/>
          <w:b/>
          <w:bCs/>
          <w:i/>
          <w:iCs/>
          <w:color w:val="101010"/>
          <w:sz w:val="21"/>
          <w:szCs w:val="21"/>
        </w:rPr>
      </w:pPr>
      <w:r w:rsidRPr="00743CF7">
        <w:rPr>
          <w:rFonts w:ascii="Abadi" w:hAnsi="Abadi" w:cs="*Arial-BoldItalic-12002-Identit"/>
          <w:b/>
          <w:bCs/>
          <w:i/>
          <w:iCs/>
          <w:color w:val="101010"/>
          <w:sz w:val="21"/>
          <w:szCs w:val="21"/>
        </w:rPr>
        <w:t>Progresividad de la gratuidad de la educación superior</w:t>
      </w:r>
    </w:p>
    <w:p w14:paraId="4B58FD68" w14:textId="77777777" w:rsidR="00366FFB" w:rsidRPr="00743CF7" w:rsidRDefault="00366FFB" w:rsidP="00366FFB">
      <w:pPr>
        <w:autoSpaceDE w:val="0"/>
        <w:autoSpaceDN w:val="0"/>
        <w:adjustRightInd w:val="0"/>
        <w:jc w:val="both"/>
        <w:rPr>
          <w:rFonts w:ascii="Abadi" w:hAnsi="Abadi" w:cs="*Arial-Bold-12001-Identity-H"/>
          <w:b/>
          <w:bCs/>
          <w:color w:val="272727"/>
          <w:sz w:val="21"/>
          <w:szCs w:val="21"/>
        </w:rPr>
      </w:pPr>
    </w:p>
    <w:p w14:paraId="2FFE491D" w14:textId="77777777" w:rsidR="00366FFB" w:rsidRPr="00743CF7" w:rsidRDefault="00366FFB" w:rsidP="00366FFB">
      <w:pPr>
        <w:autoSpaceDE w:val="0"/>
        <w:autoSpaceDN w:val="0"/>
        <w:adjustRightInd w:val="0"/>
        <w:ind w:firstLine="708"/>
        <w:jc w:val="both"/>
        <w:rPr>
          <w:rFonts w:ascii="Abadi" w:hAnsi="Abadi" w:cs="*Microsoft Sans Serif-12003-Ide"/>
          <w:color w:val="272727"/>
          <w:sz w:val="21"/>
          <w:szCs w:val="21"/>
        </w:rPr>
      </w:pPr>
      <w:r w:rsidRPr="00743CF7">
        <w:rPr>
          <w:rFonts w:ascii="Abadi" w:hAnsi="Abadi" w:cs="*Arial-Bold-12001-Identity-H"/>
          <w:b/>
          <w:bCs/>
          <w:color w:val="272727"/>
          <w:sz w:val="21"/>
          <w:szCs w:val="21"/>
        </w:rPr>
        <w:t xml:space="preserve">Artículo 83. </w:t>
      </w:r>
      <w:r w:rsidRPr="00743CF7">
        <w:rPr>
          <w:rFonts w:ascii="Abadi" w:hAnsi="Abadi" w:cs="*Microsoft Sans Serif-12003-Ide"/>
          <w:color w:val="272727"/>
          <w:sz w:val="21"/>
          <w:szCs w:val="21"/>
        </w:rPr>
        <w:t>El gobierno del Estado, en concurrencia con la Federación, de conformidad con la disponibilidad presupuestaria, dará cumplimiento progresivo al mandato de obligatoriedad de la educación superior y al principio de gratuidad en la educación en términos de lo establecido en el artículo 3o. de la Constitución Política de los Estados Unidos Mexicanos.</w:t>
      </w:r>
    </w:p>
    <w:p w14:paraId="49479834" w14:textId="77777777" w:rsidR="00366FFB" w:rsidRPr="00743CF7" w:rsidRDefault="00366FFB" w:rsidP="00366FFB">
      <w:pPr>
        <w:autoSpaceDE w:val="0"/>
        <w:autoSpaceDN w:val="0"/>
        <w:adjustRightInd w:val="0"/>
        <w:jc w:val="both"/>
        <w:rPr>
          <w:rFonts w:ascii="Abadi" w:hAnsi="Abadi" w:cs="*Microsoft Sans Serif-12003-Ide"/>
          <w:color w:val="272727"/>
          <w:sz w:val="21"/>
          <w:szCs w:val="21"/>
        </w:rPr>
      </w:pPr>
    </w:p>
    <w:p w14:paraId="5AA6E558" w14:textId="400EA281" w:rsidR="00366FFB" w:rsidRDefault="00366FFB" w:rsidP="00366FFB">
      <w:pPr>
        <w:autoSpaceDE w:val="0"/>
        <w:autoSpaceDN w:val="0"/>
        <w:adjustRightInd w:val="0"/>
        <w:ind w:firstLine="708"/>
        <w:jc w:val="both"/>
        <w:rPr>
          <w:rFonts w:ascii="Abadi" w:hAnsi="Abadi" w:cs="*Arial-11768-Identity-H"/>
          <w:color w:val="292929"/>
          <w:sz w:val="21"/>
          <w:szCs w:val="21"/>
        </w:rPr>
      </w:pPr>
      <w:r w:rsidRPr="00743CF7">
        <w:rPr>
          <w:rFonts w:ascii="Abadi" w:hAnsi="Abadi" w:cs="*Arial-11768-Identity-H"/>
          <w:color w:val="292929"/>
          <w:sz w:val="21"/>
          <w:szCs w:val="21"/>
        </w:rPr>
        <w:t xml:space="preserve">Para el financiamiento de las instituciones de educación superior públicas se considerarán, entre otros aspectos, las necesidades regionales y locales de la prestación del servicio de educación superior </w:t>
      </w:r>
      <w:r w:rsidRPr="00743CF7">
        <w:rPr>
          <w:rFonts w:ascii="Abadi" w:hAnsi="Abadi" w:cs="*Times New Roman-Italic-11766-I"/>
          <w:i/>
          <w:iCs/>
          <w:color w:val="292929"/>
          <w:sz w:val="21"/>
          <w:szCs w:val="21"/>
        </w:rPr>
        <w:t xml:space="preserve">y </w:t>
      </w:r>
      <w:r w:rsidRPr="00743CF7">
        <w:rPr>
          <w:rFonts w:ascii="Abadi" w:hAnsi="Abadi" w:cs="*Arial-11768-Identity-H"/>
          <w:color w:val="292929"/>
          <w:sz w:val="21"/>
          <w:szCs w:val="21"/>
        </w:rPr>
        <w:t>se sujetará a las disposiciones de ingreso, gasto público, transparencia, rendición de cuentas y fiscalización que resulten aplicables.</w:t>
      </w:r>
    </w:p>
    <w:p w14:paraId="0C7CFC0B" w14:textId="31DDE8EB" w:rsidR="002001D5" w:rsidRDefault="002001D5" w:rsidP="00366FFB">
      <w:pPr>
        <w:autoSpaceDE w:val="0"/>
        <w:autoSpaceDN w:val="0"/>
        <w:adjustRightInd w:val="0"/>
        <w:ind w:firstLine="708"/>
        <w:jc w:val="both"/>
        <w:rPr>
          <w:rFonts w:ascii="Abadi" w:hAnsi="Abadi" w:cs="*Arial-11768-Identity-H"/>
          <w:color w:val="292929"/>
          <w:sz w:val="21"/>
          <w:szCs w:val="21"/>
        </w:rPr>
      </w:pPr>
    </w:p>
    <w:p w14:paraId="293D5EAE" w14:textId="43C506EE" w:rsidR="002001D5" w:rsidRPr="002001D5" w:rsidRDefault="002001D5" w:rsidP="00366FFB">
      <w:pPr>
        <w:autoSpaceDE w:val="0"/>
        <w:autoSpaceDN w:val="0"/>
        <w:adjustRightInd w:val="0"/>
        <w:ind w:firstLine="708"/>
        <w:jc w:val="both"/>
        <w:rPr>
          <w:rFonts w:ascii="Abadi" w:hAnsi="Abadi" w:cs="*Arial-Bold-12001-Identity-H"/>
          <w:b/>
          <w:bCs/>
          <w:i/>
          <w:iCs/>
          <w:color w:val="121212"/>
          <w:sz w:val="21"/>
          <w:szCs w:val="21"/>
        </w:rPr>
      </w:pPr>
      <w:r w:rsidRPr="002001D5">
        <w:rPr>
          <w:rFonts w:ascii="Abadi" w:hAnsi="Abadi" w:cs="*Arial-Bold-12001-Identity-H"/>
          <w:b/>
          <w:bCs/>
          <w:i/>
          <w:iCs/>
          <w:color w:val="121212"/>
          <w:sz w:val="21"/>
          <w:szCs w:val="21"/>
        </w:rPr>
        <w:t>Integración del Presupuesto</w:t>
      </w:r>
    </w:p>
    <w:p w14:paraId="13F47C21" w14:textId="79B5C2E7" w:rsidR="00366FFB" w:rsidRPr="00743CF7" w:rsidRDefault="00366FFB" w:rsidP="00366FFB">
      <w:pPr>
        <w:autoSpaceDE w:val="0"/>
        <w:autoSpaceDN w:val="0"/>
        <w:adjustRightInd w:val="0"/>
        <w:ind w:left="5664"/>
        <w:jc w:val="both"/>
        <w:rPr>
          <w:rFonts w:ascii="Abadi" w:hAnsi="Abadi" w:cs="*Arial-BoldItalic-11769-Identit"/>
          <w:b/>
          <w:bCs/>
          <w:i/>
          <w:iCs/>
          <w:color w:val="101010"/>
          <w:sz w:val="21"/>
          <w:szCs w:val="21"/>
        </w:rPr>
      </w:pPr>
    </w:p>
    <w:p w14:paraId="254AAA93" w14:textId="77777777" w:rsidR="00366FFB" w:rsidRPr="00743CF7" w:rsidRDefault="00366FFB" w:rsidP="00366FFB">
      <w:pPr>
        <w:autoSpaceDE w:val="0"/>
        <w:autoSpaceDN w:val="0"/>
        <w:adjustRightInd w:val="0"/>
        <w:ind w:firstLine="708"/>
        <w:jc w:val="both"/>
        <w:rPr>
          <w:rFonts w:ascii="Abadi" w:hAnsi="Abadi" w:cs="*Arial-11768-Identity-H"/>
          <w:color w:val="292929"/>
          <w:sz w:val="21"/>
          <w:szCs w:val="21"/>
        </w:rPr>
      </w:pPr>
      <w:r>
        <w:rPr>
          <w:rFonts w:ascii="Abadi" w:hAnsi="Abadi" w:cs="*Comic Sans MS-Bold-11770-Ident"/>
          <w:b/>
          <w:bCs/>
          <w:color w:val="292929"/>
          <w:sz w:val="21"/>
          <w:szCs w:val="21"/>
        </w:rPr>
        <w:t>A</w:t>
      </w:r>
      <w:r w:rsidRPr="00743CF7">
        <w:rPr>
          <w:rFonts w:ascii="Abadi" w:hAnsi="Abadi" w:cs="*Comic Sans MS-Bold-11770-Ident"/>
          <w:b/>
          <w:bCs/>
          <w:color w:val="292929"/>
          <w:sz w:val="21"/>
          <w:szCs w:val="21"/>
        </w:rPr>
        <w:t xml:space="preserve">rtículo 84. </w:t>
      </w:r>
      <w:r w:rsidRPr="00743CF7">
        <w:rPr>
          <w:rFonts w:ascii="Abadi" w:hAnsi="Abadi" w:cs="*Arial-11768-Identity-H"/>
          <w:color w:val="292929"/>
          <w:sz w:val="21"/>
          <w:szCs w:val="21"/>
        </w:rPr>
        <w:t xml:space="preserve">En la integración de los presupuestos correspondientes, de conformidad con la disponibilidad presupuestaria, en su caso, se contemplarán los recursos financieros, humanos, materiales </w:t>
      </w:r>
      <w:r w:rsidRPr="00743CF7">
        <w:rPr>
          <w:rFonts w:ascii="Abadi" w:hAnsi="Abadi" w:cs="*Times New Roman-Italic-11766-I"/>
          <w:i/>
          <w:iCs/>
          <w:color w:val="292929"/>
          <w:sz w:val="21"/>
          <w:szCs w:val="21"/>
        </w:rPr>
        <w:t xml:space="preserve">y </w:t>
      </w:r>
      <w:r w:rsidRPr="00743CF7">
        <w:rPr>
          <w:rFonts w:ascii="Abadi" w:hAnsi="Abadi" w:cs="*Arial-11768-Identity-H"/>
          <w:color w:val="292929"/>
          <w:sz w:val="21"/>
          <w:szCs w:val="21"/>
        </w:rPr>
        <w:t>la Infraestructura necesarios para el crecimiento gradual, desarrollo y cumplimiento de las funciones de las instituciones públicas de educación superior, bajo los mandatos constitucionales de obligatoriedad y gratuidad, además de los criterios de equidad, inclusión, calidad y excelencia.</w:t>
      </w:r>
    </w:p>
    <w:p w14:paraId="3C7E7FCD" w14:textId="77777777" w:rsidR="00366FFB" w:rsidRPr="00743CF7" w:rsidRDefault="00366FFB" w:rsidP="00366FFB">
      <w:pPr>
        <w:autoSpaceDE w:val="0"/>
        <w:autoSpaceDN w:val="0"/>
        <w:adjustRightInd w:val="0"/>
        <w:jc w:val="both"/>
        <w:rPr>
          <w:rFonts w:ascii="Abadi" w:hAnsi="Abadi" w:cs="*Arial-11768-Identity-H"/>
          <w:color w:val="292929"/>
          <w:sz w:val="21"/>
          <w:szCs w:val="21"/>
        </w:rPr>
      </w:pPr>
    </w:p>
    <w:p w14:paraId="5BF9B05D" w14:textId="77777777" w:rsidR="00366FFB" w:rsidRPr="00743CF7" w:rsidRDefault="00366FFB" w:rsidP="00366FFB">
      <w:pPr>
        <w:autoSpaceDE w:val="0"/>
        <w:autoSpaceDN w:val="0"/>
        <w:adjustRightInd w:val="0"/>
        <w:jc w:val="both"/>
        <w:rPr>
          <w:rFonts w:ascii="Abadi" w:hAnsi="Abadi" w:cs="*Arial-11768-Identity-H"/>
          <w:color w:val="2A2A2A"/>
          <w:sz w:val="21"/>
          <w:szCs w:val="21"/>
        </w:rPr>
      </w:pPr>
      <w:r w:rsidRPr="00743CF7">
        <w:rPr>
          <w:rFonts w:ascii="Abadi" w:hAnsi="Abadi" w:cs="*Arial-11768-Identity-H"/>
          <w:color w:val="2A2A2A"/>
          <w:sz w:val="21"/>
          <w:szCs w:val="21"/>
        </w:rPr>
        <w:t xml:space="preserve">Los Ayuntamientos que, en su caso, impartan educación superior observarán lo establecido en este artículo conforme o la legislación que les fuere aplicable. </w:t>
      </w:r>
    </w:p>
    <w:p w14:paraId="14EFD846" w14:textId="77777777" w:rsidR="00366FFB" w:rsidRPr="00743CF7" w:rsidRDefault="00366FFB" w:rsidP="00366FFB">
      <w:pPr>
        <w:autoSpaceDE w:val="0"/>
        <w:autoSpaceDN w:val="0"/>
        <w:adjustRightInd w:val="0"/>
        <w:jc w:val="both"/>
        <w:rPr>
          <w:rFonts w:ascii="Abadi" w:hAnsi="Abadi" w:cs="*Arial-11768-Identity-H"/>
          <w:color w:val="2A2A2A"/>
          <w:sz w:val="21"/>
          <w:szCs w:val="21"/>
        </w:rPr>
      </w:pPr>
    </w:p>
    <w:p w14:paraId="0EF798C9" w14:textId="77777777" w:rsidR="00366FFB" w:rsidRPr="00743CF7" w:rsidRDefault="00366FFB" w:rsidP="00366FFB">
      <w:pPr>
        <w:autoSpaceDE w:val="0"/>
        <w:autoSpaceDN w:val="0"/>
        <w:adjustRightInd w:val="0"/>
        <w:jc w:val="both"/>
        <w:rPr>
          <w:rFonts w:ascii="Abadi" w:hAnsi="Abadi" w:cs="*Arial-BoldItalic-11769-Identit"/>
          <w:b/>
          <w:bCs/>
          <w:i/>
          <w:iCs/>
          <w:color w:val="131313"/>
          <w:sz w:val="21"/>
          <w:szCs w:val="21"/>
        </w:rPr>
      </w:pPr>
    </w:p>
    <w:p w14:paraId="4BACFEA8" w14:textId="086AED04" w:rsidR="00366FFB" w:rsidRDefault="00366FFB" w:rsidP="002001D5">
      <w:pPr>
        <w:autoSpaceDE w:val="0"/>
        <w:autoSpaceDN w:val="0"/>
        <w:adjustRightInd w:val="0"/>
        <w:jc w:val="both"/>
        <w:rPr>
          <w:rFonts w:ascii="Abadi" w:hAnsi="Abadi" w:cs="*Arial-11768-Identity-H"/>
          <w:b/>
          <w:bCs/>
          <w:color w:val="282828"/>
          <w:sz w:val="21"/>
          <w:szCs w:val="21"/>
        </w:rPr>
      </w:pPr>
      <w:r>
        <w:rPr>
          <w:rFonts w:ascii="Abadi" w:hAnsi="Abadi" w:cs="*Arial-11768-Identity-H"/>
          <w:b/>
          <w:bCs/>
          <w:color w:val="282828"/>
          <w:sz w:val="21"/>
          <w:szCs w:val="21"/>
        </w:rPr>
        <w:t>Recursos para el financiamiento de la educación superior</w:t>
      </w:r>
    </w:p>
    <w:p w14:paraId="09136290" w14:textId="77777777" w:rsidR="002001D5" w:rsidRDefault="002001D5" w:rsidP="002001D5">
      <w:pPr>
        <w:autoSpaceDE w:val="0"/>
        <w:autoSpaceDN w:val="0"/>
        <w:adjustRightInd w:val="0"/>
        <w:jc w:val="both"/>
        <w:rPr>
          <w:rFonts w:ascii="Abadi" w:hAnsi="Abadi" w:cs="*Arial-11768-Identity-H"/>
          <w:b/>
          <w:bCs/>
          <w:color w:val="282828"/>
          <w:sz w:val="21"/>
          <w:szCs w:val="21"/>
        </w:rPr>
      </w:pPr>
    </w:p>
    <w:p w14:paraId="46B2503E" w14:textId="77777777" w:rsidR="00366FFB" w:rsidRPr="00743CF7" w:rsidRDefault="00366FFB" w:rsidP="00366FFB">
      <w:pPr>
        <w:autoSpaceDE w:val="0"/>
        <w:autoSpaceDN w:val="0"/>
        <w:adjustRightInd w:val="0"/>
        <w:ind w:firstLine="708"/>
        <w:jc w:val="both"/>
        <w:rPr>
          <w:rFonts w:ascii="Abadi" w:hAnsi="Abadi" w:cs="*Arial-11768-Identity-H"/>
          <w:color w:val="282828"/>
          <w:sz w:val="21"/>
          <w:szCs w:val="21"/>
        </w:rPr>
      </w:pPr>
      <w:r w:rsidRPr="003644FF">
        <w:rPr>
          <w:rFonts w:ascii="Abadi" w:hAnsi="Abadi" w:cs="*Arial-11768-Identity-H"/>
          <w:b/>
          <w:bCs/>
          <w:color w:val="282828"/>
          <w:sz w:val="21"/>
          <w:szCs w:val="21"/>
        </w:rPr>
        <w:t xml:space="preserve">Artículo 85. </w:t>
      </w:r>
      <w:r w:rsidRPr="00743CF7">
        <w:rPr>
          <w:rFonts w:ascii="Abadi" w:hAnsi="Abadi" w:cs="*Arial-11768-Identity-H"/>
          <w:color w:val="282828"/>
          <w:sz w:val="21"/>
          <w:szCs w:val="21"/>
        </w:rPr>
        <w:t>En el ejercicio de los recursos para el financiamiento de la educación superior, además de observar lo previsto por las disposiciones legales aplicables, se deberá:</w:t>
      </w:r>
    </w:p>
    <w:p w14:paraId="41BD32DD" w14:textId="77777777" w:rsidR="00366FFB" w:rsidRPr="00743CF7" w:rsidRDefault="00366FFB" w:rsidP="00366FFB">
      <w:pPr>
        <w:autoSpaceDE w:val="0"/>
        <w:autoSpaceDN w:val="0"/>
        <w:adjustRightInd w:val="0"/>
        <w:jc w:val="both"/>
        <w:rPr>
          <w:rFonts w:ascii="Abadi" w:hAnsi="Abadi" w:cs="*Arial-11768-Identity-H"/>
          <w:color w:val="282828"/>
          <w:sz w:val="21"/>
          <w:szCs w:val="21"/>
        </w:rPr>
      </w:pPr>
    </w:p>
    <w:p w14:paraId="1255280C" w14:textId="77777777" w:rsidR="00366FFB" w:rsidRDefault="00366FFB" w:rsidP="005C6EBB">
      <w:pPr>
        <w:pStyle w:val="Prrafodelista"/>
        <w:numPr>
          <w:ilvl w:val="0"/>
          <w:numId w:val="44"/>
        </w:numPr>
        <w:autoSpaceDE w:val="0"/>
        <w:autoSpaceDN w:val="0"/>
        <w:adjustRightInd w:val="0"/>
        <w:contextualSpacing/>
        <w:jc w:val="both"/>
        <w:rPr>
          <w:rFonts w:ascii="Abadi" w:hAnsi="Abadi" w:cs="*Arial-11768-Identity-H"/>
          <w:color w:val="2A2A2A"/>
          <w:sz w:val="21"/>
          <w:szCs w:val="21"/>
        </w:rPr>
      </w:pPr>
      <w:r w:rsidRPr="001A04A3">
        <w:rPr>
          <w:rFonts w:ascii="Abadi" w:hAnsi="Abadi" w:cs="*Arial-11768-Identity-H"/>
          <w:color w:val="2A2A2A"/>
          <w:sz w:val="21"/>
          <w:szCs w:val="21"/>
        </w:rPr>
        <w:t>La ministración de los recursos ordinarios atenderá primordialmente el principio de oportunidad y respeto a los calendarios de gasto que se elaboren por las autoridades correspondientes, con base en las prioridades y</w:t>
      </w:r>
      <w:r w:rsidRPr="001A04A3">
        <w:rPr>
          <w:rFonts w:ascii="Abadi" w:hAnsi="Abadi" w:cs="*Times New Roman-Italic-11766-I"/>
          <w:i/>
          <w:iCs/>
          <w:color w:val="2A2A2A"/>
          <w:sz w:val="21"/>
          <w:szCs w:val="21"/>
        </w:rPr>
        <w:t xml:space="preserve"> </w:t>
      </w:r>
      <w:r w:rsidRPr="001A04A3">
        <w:rPr>
          <w:rFonts w:ascii="Abadi" w:hAnsi="Abadi" w:cs="*Arial-11768-Identity-H"/>
          <w:color w:val="2A2A2A"/>
          <w:sz w:val="21"/>
          <w:szCs w:val="21"/>
        </w:rPr>
        <w:t xml:space="preserve">requerimientos de las instituciones de educación superior, con el objeto de lograr una mayor eficiencia de los mismos; </w:t>
      </w:r>
    </w:p>
    <w:p w14:paraId="67EE0D14" w14:textId="77777777" w:rsidR="00366FFB" w:rsidRDefault="00366FFB" w:rsidP="00366FFB">
      <w:pPr>
        <w:autoSpaceDE w:val="0"/>
        <w:autoSpaceDN w:val="0"/>
        <w:adjustRightInd w:val="0"/>
        <w:jc w:val="both"/>
        <w:rPr>
          <w:rFonts w:ascii="Abadi" w:hAnsi="Abadi" w:cs="*Arial-11768-Identity-H"/>
          <w:color w:val="2A2A2A"/>
          <w:sz w:val="21"/>
          <w:szCs w:val="21"/>
        </w:rPr>
      </w:pPr>
    </w:p>
    <w:p w14:paraId="3278A55D" w14:textId="77777777" w:rsidR="00366FFB" w:rsidRPr="001A04A3" w:rsidRDefault="00366FFB" w:rsidP="005C6EBB">
      <w:pPr>
        <w:pStyle w:val="Prrafodelista"/>
        <w:numPr>
          <w:ilvl w:val="0"/>
          <w:numId w:val="44"/>
        </w:numPr>
        <w:autoSpaceDE w:val="0"/>
        <w:autoSpaceDN w:val="0"/>
        <w:adjustRightInd w:val="0"/>
        <w:contextualSpacing/>
        <w:jc w:val="both"/>
        <w:rPr>
          <w:rFonts w:ascii="Abadi" w:hAnsi="Abadi" w:cs="*Arial-12550-Identity-H"/>
          <w:color w:val="2A2A2A"/>
          <w:sz w:val="21"/>
          <w:szCs w:val="21"/>
        </w:rPr>
      </w:pPr>
      <w:r w:rsidRPr="001A04A3">
        <w:rPr>
          <w:rFonts w:ascii="Abadi" w:hAnsi="Abadi" w:cs="*Arial-12550-Identity-H"/>
          <w:color w:val="2A2A2A"/>
          <w:sz w:val="21"/>
          <w:szCs w:val="21"/>
        </w:rPr>
        <w:t>Los recursos ordinarios de las instituciones públicas de educación superior son aquellos destinados a cubrir, entre otras, las erogaciones e</w:t>
      </w:r>
      <w:r w:rsidRPr="001A04A3">
        <w:rPr>
          <w:rFonts w:ascii="Abadi" w:eastAsia="Abadi" w:hAnsi="Abadi" w:cs="Abadi" w:hint="eastAsia"/>
          <w:color w:val="2A2A2A"/>
          <w:sz w:val="21"/>
          <w:szCs w:val="21"/>
        </w:rPr>
        <w:t>􀃚</w:t>
      </w:r>
      <w:r w:rsidRPr="001A04A3">
        <w:rPr>
          <w:rFonts w:ascii="Abadi" w:hAnsi="Abadi" w:cs="*Arial-12550-Identity-H"/>
          <w:color w:val="2A2A2A"/>
          <w:sz w:val="21"/>
          <w:szCs w:val="21"/>
        </w:rPr>
        <w:t xml:space="preserve"> materia de servicios personales y gastos de operación, así como para el desarrollo de sus funciones sustantivas, de manera particular, la ampliación de la oferta educativa, el incremento de la cobertura, el fortalecimiento de la carrera docente, el logro de la excelencia académico. el fortalecimiento de la investigación científico, humanística. el desarrollo tecnológico, la innovación y la mejora continua de la gestión institucional;</w:t>
      </w:r>
    </w:p>
    <w:p w14:paraId="596CA63E" w14:textId="77777777" w:rsidR="00366FFB" w:rsidRPr="00743CF7" w:rsidRDefault="00366FFB" w:rsidP="00366FFB">
      <w:pPr>
        <w:autoSpaceDE w:val="0"/>
        <w:autoSpaceDN w:val="0"/>
        <w:adjustRightInd w:val="0"/>
        <w:jc w:val="both"/>
        <w:rPr>
          <w:rFonts w:ascii="Abadi" w:hAnsi="Abadi" w:cs="*Arial-12550-Identity-H"/>
          <w:color w:val="2A2A2A"/>
          <w:sz w:val="21"/>
          <w:szCs w:val="21"/>
        </w:rPr>
      </w:pPr>
    </w:p>
    <w:p w14:paraId="383280F9" w14:textId="77777777" w:rsidR="00366FFB" w:rsidRPr="001A04A3" w:rsidRDefault="00366FFB" w:rsidP="005C6EBB">
      <w:pPr>
        <w:pStyle w:val="Prrafodelista"/>
        <w:numPr>
          <w:ilvl w:val="0"/>
          <w:numId w:val="44"/>
        </w:numPr>
        <w:autoSpaceDE w:val="0"/>
        <w:autoSpaceDN w:val="0"/>
        <w:adjustRightInd w:val="0"/>
        <w:contextualSpacing/>
        <w:jc w:val="both"/>
        <w:rPr>
          <w:rFonts w:ascii="Abadi" w:hAnsi="Abadi" w:cs="*Arial-12550-Identity-H"/>
          <w:color w:val="2A2A2A"/>
          <w:sz w:val="21"/>
          <w:szCs w:val="21"/>
        </w:rPr>
      </w:pPr>
      <w:r w:rsidRPr="001A04A3">
        <w:rPr>
          <w:rFonts w:ascii="Abadi" w:hAnsi="Abadi" w:cs="*Arial-12550-Identity-H"/>
          <w:color w:val="2A2A2A"/>
          <w:sz w:val="21"/>
          <w:szCs w:val="21"/>
        </w:rPr>
        <w:t>De conformidad con lo establecido en la Ley General de Educación Superior, las instituciones públicas de educación superior podrán solicitar recursos extraordinarios federales para la satisfacción de necesidades adicionales en el cumplimiento de sus funciones sustantivas de docencia, investigación, desarrollo científico y tecnológico, extensión y difusión de la cultura;</w:t>
      </w:r>
    </w:p>
    <w:p w14:paraId="048AB23E" w14:textId="77777777" w:rsidR="00366FFB" w:rsidRPr="00743CF7" w:rsidRDefault="00366FFB" w:rsidP="00366FFB">
      <w:pPr>
        <w:autoSpaceDE w:val="0"/>
        <w:autoSpaceDN w:val="0"/>
        <w:adjustRightInd w:val="0"/>
        <w:jc w:val="both"/>
        <w:rPr>
          <w:rFonts w:ascii="Abadi" w:hAnsi="Abadi" w:cs="*Arial-12550-Identity-H"/>
          <w:color w:val="2A2A2A"/>
          <w:sz w:val="21"/>
          <w:szCs w:val="21"/>
        </w:rPr>
      </w:pPr>
    </w:p>
    <w:p w14:paraId="57E4A992" w14:textId="77777777" w:rsidR="00366FFB" w:rsidRPr="001A04A3" w:rsidRDefault="00366FFB" w:rsidP="005C6EBB">
      <w:pPr>
        <w:pStyle w:val="Prrafodelista"/>
        <w:numPr>
          <w:ilvl w:val="0"/>
          <w:numId w:val="44"/>
        </w:numPr>
        <w:autoSpaceDE w:val="0"/>
        <w:autoSpaceDN w:val="0"/>
        <w:adjustRightInd w:val="0"/>
        <w:contextualSpacing/>
        <w:jc w:val="both"/>
        <w:rPr>
          <w:rFonts w:ascii="Abadi" w:hAnsi="Abadi" w:cs="*Arial-12550-Identity-H"/>
          <w:color w:val="292929"/>
          <w:sz w:val="21"/>
          <w:szCs w:val="21"/>
        </w:rPr>
      </w:pPr>
      <w:r w:rsidRPr="001A04A3">
        <w:rPr>
          <w:rFonts w:ascii="Abadi" w:hAnsi="Abadi" w:cs="*Arial-12550-Identity-H"/>
          <w:color w:val="292929"/>
          <w:sz w:val="21"/>
          <w:szCs w:val="21"/>
        </w:rPr>
        <w:t xml:space="preserve">Los recursos públicos que reciban las instituciones públicas de educación superior deberán administrarse con eficiencia, responsabilidad y transparencia. a través de procedimientos que permitan la rendición de cuentas </w:t>
      </w:r>
      <w:r w:rsidRPr="001A04A3">
        <w:rPr>
          <w:rFonts w:ascii="Abadi" w:hAnsi="Abadi" w:cs="*Calibri-12549-Identity-H"/>
          <w:color w:val="292929"/>
          <w:sz w:val="21"/>
          <w:szCs w:val="21"/>
        </w:rPr>
        <w:t xml:space="preserve">y </w:t>
      </w:r>
      <w:r w:rsidRPr="001A04A3">
        <w:rPr>
          <w:rFonts w:ascii="Abadi" w:hAnsi="Abadi" w:cs="*Arial-12550-Identity-H"/>
          <w:color w:val="292929"/>
          <w:sz w:val="21"/>
          <w:szCs w:val="21"/>
        </w:rPr>
        <w:t>el combate a la corrupción;</w:t>
      </w:r>
    </w:p>
    <w:p w14:paraId="7A4A36F4" w14:textId="77777777" w:rsidR="00366FFB" w:rsidRPr="00743CF7" w:rsidRDefault="00366FFB" w:rsidP="00366FFB">
      <w:pPr>
        <w:autoSpaceDE w:val="0"/>
        <w:autoSpaceDN w:val="0"/>
        <w:adjustRightInd w:val="0"/>
        <w:jc w:val="both"/>
        <w:rPr>
          <w:rFonts w:ascii="Abadi" w:hAnsi="Abadi" w:cs="*Arial-12550-Identity-H"/>
          <w:color w:val="292929"/>
          <w:sz w:val="21"/>
          <w:szCs w:val="21"/>
        </w:rPr>
      </w:pPr>
    </w:p>
    <w:p w14:paraId="0C2B2495" w14:textId="77777777" w:rsidR="00366FFB" w:rsidRPr="001A04A3" w:rsidRDefault="00366FFB" w:rsidP="005C6EBB">
      <w:pPr>
        <w:pStyle w:val="Prrafodelista"/>
        <w:numPr>
          <w:ilvl w:val="0"/>
          <w:numId w:val="44"/>
        </w:numPr>
        <w:autoSpaceDE w:val="0"/>
        <w:autoSpaceDN w:val="0"/>
        <w:adjustRightInd w:val="0"/>
        <w:contextualSpacing/>
        <w:jc w:val="both"/>
        <w:rPr>
          <w:rFonts w:ascii="Abadi" w:hAnsi="Abadi" w:cs="*Arial-12550-Identity-H"/>
          <w:color w:val="272727"/>
          <w:sz w:val="21"/>
          <w:szCs w:val="21"/>
        </w:rPr>
      </w:pPr>
      <w:r w:rsidRPr="001A04A3">
        <w:rPr>
          <w:rFonts w:ascii="Abadi" w:hAnsi="Abadi" w:cs="*Arial-12550-Identity-H"/>
          <w:color w:val="272727"/>
          <w:sz w:val="21"/>
          <w:szCs w:val="21"/>
        </w:rPr>
        <w:t xml:space="preserve">El ejercicio del gasto público de las instituciones públicas de educación superior estará sujeto a las disposiciones </w:t>
      </w:r>
      <w:r w:rsidRPr="001A04A3">
        <w:rPr>
          <w:rFonts w:ascii="Abadi" w:hAnsi="Abadi" w:cs="*Calibri-12549-Identity-H"/>
          <w:color w:val="272727"/>
          <w:sz w:val="21"/>
          <w:szCs w:val="21"/>
        </w:rPr>
        <w:t xml:space="preserve">y </w:t>
      </w:r>
      <w:r w:rsidRPr="001A04A3">
        <w:rPr>
          <w:rFonts w:ascii="Abadi" w:hAnsi="Abadi" w:cs="*Arial-12550-Identity-H"/>
          <w:color w:val="272727"/>
          <w:sz w:val="21"/>
          <w:szCs w:val="21"/>
        </w:rPr>
        <w:t xml:space="preserve">criterios establecidos en las leyes aplicables </w:t>
      </w:r>
      <w:r w:rsidRPr="001A04A3">
        <w:rPr>
          <w:rFonts w:ascii="Abadi" w:hAnsi="Abadi" w:cs="*Calibri-12549-Identity-H"/>
          <w:color w:val="272727"/>
          <w:sz w:val="21"/>
          <w:szCs w:val="21"/>
        </w:rPr>
        <w:t xml:space="preserve">y </w:t>
      </w:r>
      <w:r w:rsidRPr="001A04A3">
        <w:rPr>
          <w:rFonts w:ascii="Abadi" w:hAnsi="Abadi" w:cs="*Arial-12550-Identity-H"/>
          <w:color w:val="272727"/>
          <w:sz w:val="21"/>
          <w:szCs w:val="21"/>
        </w:rPr>
        <w:t>su normatividad interna, debiendo observar los principios de legalidad, eficiencia, eficacia, economía, transparencia, rendición de cuentas y honradez:</w:t>
      </w:r>
    </w:p>
    <w:p w14:paraId="6E271801" w14:textId="77777777" w:rsidR="00366FFB" w:rsidRPr="00743CF7" w:rsidRDefault="00366FFB" w:rsidP="00366FFB">
      <w:pPr>
        <w:autoSpaceDE w:val="0"/>
        <w:autoSpaceDN w:val="0"/>
        <w:adjustRightInd w:val="0"/>
        <w:jc w:val="both"/>
        <w:rPr>
          <w:rFonts w:ascii="Abadi" w:hAnsi="Abadi" w:cs="*Arial-12550-Identity-H"/>
          <w:color w:val="272727"/>
          <w:sz w:val="21"/>
          <w:szCs w:val="21"/>
        </w:rPr>
      </w:pPr>
    </w:p>
    <w:p w14:paraId="6CD0E130" w14:textId="77777777" w:rsidR="00366FFB" w:rsidRDefault="00366FFB" w:rsidP="005C6EBB">
      <w:pPr>
        <w:pStyle w:val="Prrafodelista"/>
        <w:numPr>
          <w:ilvl w:val="0"/>
          <w:numId w:val="44"/>
        </w:numPr>
        <w:autoSpaceDE w:val="0"/>
        <w:autoSpaceDN w:val="0"/>
        <w:adjustRightInd w:val="0"/>
        <w:contextualSpacing/>
        <w:jc w:val="both"/>
        <w:rPr>
          <w:rFonts w:ascii="Abadi" w:hAnsi="Abadi" w:cs="*Arial-12550-Identity-H"/>
          <w:color w:val="2B2B2B"/>
          <w:sz w:val="21"/>
          <w:szCs w:val="21"/>
        </w:rPr>
      </w:pPr>
      <w:r w:rsidRPr="001A04A3">
        <w:rPr>
          <w:rFonts w:ascii="Abadi" w:hAnsi="Abadi" w:cs="*Arial-12550-Identity-H"/>
          <w:color w:val="2B2B2B"/>
          <w:sz w:val="21"/>
          <w:szCs w:val="21"/>
        </w:rPr>
        <w:t xml:space="preserve">Las autoridades educativas prestarán todas las facilidades </w:t>
      </w:r>
      <w:r w:rsidRPr="001A04A3">
        <w:rPr>
          <w:rFonts w:ascii="Abadi" w:hAnsi="Abadi" w:cs="*Calibri-12549-Identity-H"/>
          <w:color w:val="2B2B2B"/>
          <w:sz w:val="21"/>
          <w:szCs w:val="21"/>
        </w:rPr>
        <w:t xml:space="preserve">y </w:t>
      </w:r>
      <w:r w:rsidRPr="001A04A3">
        <w:rPr>
          <w:rFonts w:ascii="Abadi" w:hAnsi="Abadi" w:cs="*Arial-12550-Identity-H"/>
          <w:color w:val="2B2B2B"/>
          <w:sz w:val="21"/>
          <w:szCs w:val="21"/>
        </w:rPr>
        <w:t xml:space="preserve">colaboración paro que, en su caso, el Ejecutivo Federal y las instancias fiscalizadoras verifiquen la correcta ministración de recursos federales a las instituciones  </w:t>
      </w:r>
    </w:p>
    <w:p w14:paraId="245BCDF9" w14:textId="77777777" w:rsidR="00366FFB" w:rsidRPr="00FD5412" w:rsidRDefault="00366FFB" w:rsidP="00366FFB">
      <w:pPr>
        <w:pStyle w:val="Prrafodelista"/>
        <w:rPr>
          <w:rFonts w:ascii="Abadi" w:hAnsi="Abadi" w:cs="*Arial-12550-Identity-H"/>
          <w:color w:val="2B2B2B"/>
          <w:sz w:val="21"/>
          <w:szCs w:val="21"/>
        </w:rPr>
      </w:pPr>
    </w:p>
    <w:p w14:paraId="70F993B5" w14:textId="1881ADAA" w:rsidR="00366FFB" w:rsidRPr="00FD5412" w:rsidRDefault="00366FFB" w:rsidP="005C6EBB">
      <w:pPr>
        <w:pStyle w:val="Prrafodelista"/>
        <w:numPr>
          <w:ilvl w:val="0"/>
          <w:numId w:val="44"/>
        </w:numPr>
        <w:autoSpaceDE w:val="0"/>
        <w:autoSpaceDN w:val="0"/>
        <w:adjustRightInd w:val="0"/>
        <w:contextualSpacing/>
        <w:jc w:val="both"/>
        <w:rPr>
          <w:rFonts w:ascii="Abadi" w:hAnsi="Abadi" w:cs="*Microsoft Sans Serif-12186-Ide"/>
          <w:color w:val="2A2A2A"/>
          <w:sz w:val="21"/>
          <w:szCs w:val="21"/>
        </w:rPr>
      </w:pPr>
      <w:r w:rsidRPr="00FD5412">
        <w:rPr>
          <w:rFonts w:ascii="Abadi" w:hAnsi="Abadi" w:cs="*Microsoft Sans Serif-12186-Ide"/>
          <w:color w:val="2A2A2A"/>
          <w:sz w:val="21"/>
          <w:szCs w:val="21"/>
        </w:rPr>
        <w:t xml:space="preserve">En el caso de los recursos públicos estatales y municipales, la fiscalización y rendición de cuentas se sujetará a lo dispuesto en las leyes y disposiciones aplicables, correspondiendo a la Auditoría Superior del Estado de Guanajuato, ejercer las atribuciones que aquéllas establezcan. La fiscalización de los recursos públicos que ejerzan las instituciones públicas de educación superior con </w:t>
      </w:r>
      <w:r w:rsidR="002001D5" w:rsidRPr="00FD5412">
        <w:rPr>
          <w:rFonts w:ascii="Abadi" w:hAnsi="Abadi" w:cs="*Microsoft Sans Serif-12186-Ide"/>
          <w:color w:val="2A2A2A"/>
          <w:sz w:val="21"/>
          <w:szCs w:val="21"/>
        </w:rPr>
        <w:t>autonomía</w:t>
      </w:r>
      <w:r w:rsidRPr="00FD5412">
        <w:rPr>
          <w:rFonts w:ascii="Abadi" w:hAnsi="Abadi" w:cs="*Microsoft Sans Serif-12186-Ide"/>
          <w:color w:val="2A2A2A"/>
          <w:sz w:val="21"/>
          <w:szCs w:val="21"/>
        </w:rPr>
        <w:t xml:space="preserve"> deberá realizarse con pleno respeto o ésta:</w:t>
      </w:r>
    </w:p>
    <w:p w14:paraId="31A4872F" w14:textId="77777777" w:rsidR="00366FFB" w:rsidRPr="00743CF7" w:rsidRDefault="00366FFB" w:rsidP="00366FFB">
      <w:pPr>
        <w:autoSpaceDE w:val="0"/>
        <w:autoSpaceDN w:val="0"/>
        <w:adjustRightInd w:val="0"/>
        <w:jc w:val="both"/>
        <w:rPr>
          <w:rFonts w:ascii="Abadi" w:hAnsi="Abadi" w:cs="*Microsoft Sans Serif-Bold-1218"/>
          <w:b/>
          <w:bCs/>
          <w:color w:val="2A2A2A"/>
          <w:sz w:val="21"/>
          <w:szCs w:val="21"/>
        </w:rPr>
      </w:pPr>
    </w:p>
    <w:p w14:paraId="0FE2D671" w14:textId="77777777" w:rsidR="00366FFB" w:rsidRPr="00FD5412" w:rsidRDefault="00366FFB" w:rsidP="005C6EBB">
      <w:pPr>
        <w:pStyle w:val="Prrafodelista"/>
        <w:numPr>
          <w:ilvl w:val="0"/>
          <w:numId w:val="44"/>
        </w:numPr>
        <w:autoSpaceDE w:val="0"/>
        <w:autoSpaceDN w:val="0"/>
        <w:adjustRightInd w:val="0"/>
        <w:contextualSpacing/>
        <w:jc w:val="both"/>
        <w:rPr>
          <w:rFonts w:ascii="Abadi" w:hAnsi="Abadi" w:cs="*Microsoft Sans Serif-12186-Ide"/>
          <w:color w:val="2A2A2A"/>
          <w:sz w:val="21"/>
          <w:szCs w:val="21"/>
        </w:rPr>
      </w:pPr>
      <w:r w:rsidRPr="00FD5412">
        <w:rPr>
          <w:rFonts w:ascii="Abadi" w:hAnsi="Abadi" w:cs="*Microsoft Sans Serif-12186-Ide"/>
          <w:color w:val="2A2A2A"/>
          <w:sz w:val="21"/>
          <w:szCs w:val="21"/>
        </w:rPr>
        <w:t>Los ingresos propios de las instituciones que cuenten con personalidad jurídica y patrimonio propio serán complementarios a lo asignación presupuestal a cargo de la Federación y del Estado. Esos ingresos serán reportados en los informes que se realicen de la evaluación de gasto público respectivo, conforme a las disposiciones jurídicas aplicables.</w:t>
      </w:r>
    </w:p>
    <w:p w14:paraId="0C4961A7" w14:textId="77777777" w:rsidR="00366FFB" w:rsidRPr="00743CF7" w:rsidRDefault="00366FFB" w:rsidP="00366FFB">
      <w:pPr>
        <w:autoSpaceDE w:val="0"/>
        <w:autoSpaceDN w:val="0"/>
        <w:adjustRightInd w:val="0"/>
        <w:jc w:val="both"/>
        <w:rPr>
          <w:rFonts w:ascii="Abadi" w:hAnsi="Abadi" w:cs="*Microsoft Sans Serif-Bold-1218"/>
          <w:b/>
          <w:bCs/>
          <w:color w:val="282828"/>
          <w:sz w:val="21"/>
          <w:szCs w:val="21"/>
        </w:rPr>
      </w:pPr>
    </w:p>
    <w:p w14:paraId="76340AC6" w14:textId="77777777" w:rsidR="00366FFB" w:rsidRPr="00FD5412" w:rsidRDefault="00366FFB" w:rsidP="005C6EBB">
      <w:pPr>
        <w:pStyle w:val="Prrafodelista"/>
        <w:numPr>
          <w:ilvl w:val="0"/>
          <w:numId w:val="44"/>
        </w:numPr>
        <w:autoSpaceDE w:val="0"/>
        <w:autoSpaceDN w:val="0"/>
        <w:adjustRightInd w:val="0"/>
        <w:contextualSpacing/>
        <w:jc w:val="both"/>
        <w:rPr>
          <w:rFonts w:ascii="Abadi" w:hAnsi="Abadi" w:cs="*Microsoft Sans Serif-12186-Ide"/>
          <w:color w:val="282828"/>
          <w:sz w:val="21"/>
          <w:szCs w:val="21"/>
        </w:rPr>
      </w:pPr>
      <w:r w:rsidRPr="00FD5412">
        <w:rPr>
          <w:rFonts w:ascii="Abadi" w:hAnsi="Abadi" w:cs="*Microsoft Sans Serif-12186-Ide"/>
          <w:color w:val="282828"/>
          <w:sz w:val="21"/>
          <w:szCs w:val="21"/>
        </w:rPr>
        <w:t>Estos ingresos formarán parte de su patrimonio, serán administrados por las propias instituciones y se destinarán para el cumplimiento de su ob</w:t>
      </w:r>
      <w:r w:rsidRPr="00FD5412">
        <w:rPr>
          <w:rFonts w:ascii="Abadi" w:hAnsi="Abadi" w:cs="*Microsoft Sans Serif-12186-Ide"/>
          <w:color w:val="787878"/>
          <w:sz w:val="21"/>
          <w:szCs w:val="21"/>
        </w:rPr>
        <w:t>j</w:t>
      </w:r>
      <w:r w:rsidRPr="00FD5412">
        <w:rPr>
          <w:rFonts w:ascii="Abadi" w:hAnsi="Abadi" w:cs="*Microsoft Sans Serif-12186-Ide"/>
          <w:color w:val="282828"/>
          <w:sz w:val="21"/>
          <w:szCs w:val="21"/>
        </w:rPr>
        <w:t>eto y programas de desarrollo institucional;</w:t>
      </w:r>
    </w:p>
    <w:p w14:paraId="458E363B" w14:textId="77777777" w:rsidR="00366FFB" w:rsidRPr="00743CF7" w:rsidRDefault="00366FFB" w:rsidP="00366FFB">
      <w:pPr>
        <w:autoSpaceDE w:val="0"/>
        <w:autoSpaceDN w:val="0"/>
        <w:adjustRightInd w:val="0"/>
        <w:jc w:val="both"/>
        <w:rPr>
          <w:rFonts w:ascii="Abadi" w:hAnsi="Abadi" w:cs="*Microsoft Sans Serif-12186-Ide"/>
          <w:color w:val="2A2A2A"/>
          <w:sz w:val="21"/>
          <w:szCs w:val="21"/>
        </w:rPr>
      </w:pPr>
    </w:p>
    <w:p w14:paraId="7BC34946" w14:textId="77777777" w:rsidR="00366FFB" w:rsidRPr="00FD5412" w:rsidRDefault="00366FFB" w:rsidP="005C6EBB">
      <w:pPr>
        <w:pStyle w:val="Prrafodelista"/>
        <w:numPr>
          <w:ilvl w:val="0"/>
          <w:numId w:val="44"/>
        </w:numPr>
        <w:autoSpaceDE w:val="0"/>
        <w:autoSpaceDN w:val="0"/>
        <w:adjustRightInd w:val="0"/>
        <w:contextualSpacing/>
        <w:jc w:val="both"/>
        <w:rPr>
          <w:rFonts w:ascii="Abadi" w:hAnsi="Abadi" w:cs="*Microsoft Sans Serif-12186-Ide"/>
          <w:color w:val="2A2A2A"/>
          <w:sz w:val="21"/>
          <w:szCs w:val="21"/>
        </w:rPr>
      </w:pPr>
      <w:r w:rsidRPr="00FD5412">
        <w:rPr>
          <w:rFonts w:ascii="Abadi" w:hAnsi="Abadi" w:cs="*Microsoft Sans Serif-12186-Ide"/>
          <w:color w:val="2A2A2A"/>
          <w:sz w:val="21"/>
          <w:szCs w:val="21"/>
        </w:rPr>
        <w:t xml:space="preserve">Las instituciones públicas de educación superior, con apoyo de la Secretaría, podrán llevar a cabo programas </w:t>
      </w:r>
      <w:r w:rsidRPr="00FD5412">
        <w:rPr>
          <w:rFonts w:ascii="Abadi" w:hAnsi="Abadi" w:cs="*Times New Roman-Italic-12182-I"/>
          <w:i/>
          <w:iCs/>
          <w:color w:val="2A2A2A"/>
          <w:sz w:val="21"/>
          <w:szCs w:val="21"/>
        </w:rPr>
        <w:t xml:space="preserve">y </w:t>
      </w:r>
      <w:r w:rsidRPr="00FD5412">
        <w:rPr>
          <w:rFonts w:ascii="Abadi" w:hAnsi="Abadi" w:cs="*Microsoft Sans Serif-12186-Ide"/>
          <w:color w:val="2A2A2A"/>
          <w:sz w:val="21"/>
          <w:szCs w:val="21"/>
        </w:rPr>
        <w:t xml:space="preserve">acciones para incrementar sus recursos, así como ampliar </w:t>
      </w:r>
      <w:r w:rsidRPr="00FD5412">
        <w:rPr>
          <w:rFonts w:ascii="Abadi" w:hAnsi="Abadi" w:cs="*Times New Roman-Italic-12182-I"/>
          <w:i/>
          <w:iCs/>
          <w:color w:val="2A2A2A"/>
          <w:sz w:val="21"/>
          <w:szCs w:val="21"/>
        </w:rPr>
        <w:t xml:space="preserve">y </w:t>
      </w:r>
      <w:r w:rsidRPr="00FD5412">
        <w:rPr>
          <w:rFonts w:ascii="Abadi" w:hAnsi="Abadi" w:cs="*Microsoft Sans Serif-12186-Ide"/>
          <w:color w:val="2A2A2A"/>
          <w:sz w:val="21"/>
          <w:szCs w:val="21"/>
        </w:rPr>
        <w:t xml:space="preserve">diversificar sus fuentes de financiamiento, sin menoscabo del principio constitucional de gratuidad en los términos establece idos en la presente Ley. Las instituciones de educación superior informarán a las instancias correspondientes sobre la captación de recursos </w:t>
      </w:r>
      <w:r w:rsidRPr="00FD5412">
        <w:rPr>
          <w:rFonts w:ascii="Abadi" w:hAnsi="Abadi" w:cs="*Times New Roman-Italic-12182-I"/>
          <w:i/>
          <w:iCs/>
          <w:color w:val="2A2A2A"/>
          <w:sz w:val="21"/>
          <w:szCs w:val="21"/>
        </w:rPr>
        <w:t xml:space="preserve">y </w:t>
      </w:r>
      <w:r w:rsidRPr="00FD5412">
        <w:rPr>
          <w:rFonts w:ascii="Abadi" w:hAnsi="Abadi" w:cs="*Microsoft Sans Serif-12186-Ide"/>
          <w:color w:val="2A2A2A"/>
          <w:sz w:val="21"/>
          <w:szCs w:val="21"/>
        </w:rPr>
        <w:t>su aplicación, observando las disposiciones de fiscalización, transparencia y rendición de cuentas;</w:t>
      </w:r>
    </w:p>
    <w:p w14:paraId="0DDF0C73" w14:textId="77777777" w:rsidR="00366FFB" w:rsidRPr="00743CF7" w:rsidRDefault="00366FFB" w:rsidP="00366FFB">
      <w:pPr>
        <w:autoSpaceDE w:val="0"/>
        <w:autoSpaceDN w:val="0"/>
        <w:adjustRightInd w:val="0"/>
        <w:jc w:val="both"/>
        <w:rPr>
          <w:rFonts w:ascii="Abadi" w:hAnsi="Abadi" w:cs="*Microsoft Sans Serif-12186-Ide"/>
          <w:color w:val="2A2A2A"/>
          <w:sz w:val="21"/>
          <w:szCs w:val="21"/>
        </w:rPr>
      </w:pPr>
    </w:p>
    <w:p w14:paraId="40ED61BB" w14:textId="77777777" w:rsidR="00366FFB" w:rsidRPr="00FD5412" w:rsidRDefault="00366FFB" w:rsidP="005C6EBB">
      <w:pPr>
        <w:pStyle w:val="Prrafodelista"/>
        <w:numPr>
          <w:ilvl w:val="0"/>
          <w:numId w:val="44"/>
        </w:numPr>
        <w:autoSpaceDE w:val="0"/>
        <w:autoSpaceDN w:val="0"/>
        <w:adjustRightInd w:val="0"/>
        <w:contextualSpacing/>
        <w:jc w:val="both"/>
        <w:rPr>
          <w:rFonts w:ascii="Abadi" w:hAnsi="Abadi" w:cs="*Microsoft Sans Serif-9811-Iden"/>
          <w:color w:val="2B2B2B"/>
          <w:sz w:val="21"/>
          <w:szCs w:val="21"/>
        </w:rPr>
      </w:pPr>
      <w:r w:rsidRPr="00FD5412">
        <w:rPr>
          <w:rFonts w:ascii="Abadi" w:hAnsi="Abadi" w:cs="*Microsoft Sans Serif-12186-Ide"/>
          <w:color w:val="292929"/>
          <w:sz w:val="21"/>
          <w:szCs w:val="21"/>
        </w:rPr>
        <w:t>Establecer fuentes complementarias de financiamiento que apoyen los programas educativos, en especial a los compensatorios:</w:t>
      </w:r>
    </w:p>
    <w:p w14:paraId="6DCB277C" w14:textId="77777777" w:rsidR="00366FFB" w:rsidRPr="00743CF7" w:rsidRDefault="00366FFB" w:rsidP="00366FFB">
      <w:pPr>
        <w:autoSpaceDE w:val="0"/>
        <w:autoSpaceDN w:val="0"/>
        <w:adjustRightInd w:val="0"/>
        <w:jc w:val="both"/>
        <w:rPr>
          <w:rFonts w:ascii="Abadi" w:hAnsi="Abadi" w:cs="*Arial-12550-Identity-H"/>
          <w:color w:val="2B2B2B"/>
          <w:sz w:val="21"/>
          <w:szCs w:val="21"/>
        </w:rPr>
      </w:pPr>
    </w:p>
    <w:p w14:paraId="25B6B71C" w14:textId="77777777" w:rsidR="00366FFB" w:rsidRPr="001A04A3" w:rsidRDefault="00366FFB" w:rsidP="005C6EBB">
      <w:pPr>
        <w:pStyle w:val="Prrafodelista"/>
        <w:numPr>
          <w:ilvl w:val="0"/>
          <w:numId w:val="44"/>
        </w:numPr>
        <w:autoSpaceDE w:val="0"/>
        <w:autoSpaceDN w:val="0"/>
        <w:adjustRightInd w:val="0"/>
        <w:contextualSpacing/>
        <w:jc w:val="both"/>
        <w:rPr>
          <w:rFonts w:ascii="Abadi" w:hAnsi="Abadi" w:cs="*Microsoft Sans Serif-12292-Ide"/>
          <w:color w:val="292929"/>
          <w:sz w:val="21"/>
          <w:szCs w:val="21"/>
        </w:rPr>
      </w:pPr>
      <w:r w:rsidRPr="001A04A3">
        <w:rPr>
          <w:rFonts w:ascii="Abadi" w:hAnsi="Abadi" w:cs="*Microsoft Sans Serif-12292-Ide"/>
          <w:color w:val="292929"/>
          <w:sz w:val="21"/>
          <w:szCs w:val="21"/>
        </w:rPr>
        <w:t>Las instituciones educativas, en cumplimiento de su objeto, buscarán diversificar sus fuentes de financiamiento a través de la prestación de servicios de asesoría, capacitación, investigación. consultoría o análogos con los sectores público, social y privado;</w:t>
      </w:r>
    </w:p>
    <w:p w14:paraId="6D9B78C6" w14:textId="77777777" w:rsidR="00366FFB" w:rsidRPr="00743CF7" w:rsidRDefault="00366FFB" w:rsidP="00366FFB">
      <w:pPr>
        <w:autoSpaceDE w:val="0"/>
        <w:autoSpaceDN w:val="0"/>
        <w:adjustRightInd w:val="0"/>
        <w:jc w:val="both"/>
        <w:rPr>
          <w:rFonts w:ascii="Abadi" w:hAnsi="Abadi" w:cs="*Microsoft Sans Serif-12292-Ide"/>
          <w:color w:val="292929"/>
          <w:sz w:val="21"/>
          <w:szCs w:val="21"/>
        </w:rPr>
      </w:pPr>
    </w:p>
    <w:p w14:paraId="00752856" w14:textId="77777777" w:rsidR="00366FFB" w:rsidRPr="001A04A3" w:rsidRDefault="00366FFB" w:rsidP="005C6EBB">
      <w:pPr>
        <w:pStyle w:val="Prrafodelista"/>
        <w:numPr>
          <w:ilvl w:val="0"/>
          <w:numId w:val="44"/>
        </w:numPr>
        <w:autoSpaceDE w:val="0"/>
        <w:autoSpaceDN w:val="0"/>
        <w:adjustRightInd w:val="0"/>
        <w:contextualSpacing/>
        <w:jc w:val="both"/>
        <w:rPr>
          <w:rFonts w:ascii="Abadi" w:hAnsi="Abadi" w:cs="*Microsoft Sans Serif-12292-Ide"/>
          <w:color w:val="2A2A2A"/>
          <w:sz w:val="21"/>
          <w:szCs w:val="21"/>
        </w:rPr>
      </w:pPr>
      <w:r w:rsidRPr="001A04A3">
        <w:rPr>
          <w:rFonts w:ascii="Abadi" w:hAnsi="Abadi" w:cs="*Microsoft Sans Serif-12292-Ide"/>
          <w:color w:val="2A2A2A"/>
          <w:sz w:val="21"/>
          <w:szCs w:val="21"/>
        </w:rPr>
        <w:t>Celebrar convenios entre el Estado y los ayuntamientos, para acceder a fuentes alternas de financiamiento conforme lo establezcan las disposiciones aplicables;</w:t>
      </w:r>
    </w:p>
    <w:p w14:paraId="29992E01" w14:textId="77777777" w:rsidR="00366FFB" w:rsidRPr="00743CF7" w:rsidRDefault="00366FFB" w:rsidP="00366FFB">
      <w:pPr>
        <w:autoSpaceDE w:val="0"/>
        <w:autoSpaceDN w:val="0"/>
        <w:adjustRightInd w:val="0"/>
        <w:jc w:val="both"/>
        <w:rPr>
          <w:rFonts w:ascii="Abadi" w:hAnsi="Abadi" w:cs="*Microsoft Sans Serif-12292-Ide"/>
          <w:color w:val="2A2A2A"/>
          <w:sz w:val="21"/>
          <w:szCs w:val="21"/>
        </w:rPr>
      </w:pPr>
    </w:p>
    <w:p w14:paraId="7486B022" w14:textId="77777777" w:rsidR="00366FFB" w:rsidRPr="001A04A3" w:rsidRDefault="00366FFB" w:rsidP="005C6EBB">
      <w:pPr>
        <w:pStyle w:val="Prrafodelista"/>
        <w:numPr>
          <w:ilvl w:val="0"/>
          <w:numId w:val="44"/>
        </w:numPr>
        <w:autoSpaceDE w:val="0"/>
        <w:autoSpaceDN w:val="0"/>
        <w:adjustRightInd w:val="0"/>
        <w:contextualSpacing/>
        <w:jc w:val="both"/>
        <w:rPr>
          <w:rFonts w:ascii="Abadi" w:hAnsi="Abadi" w:cs="*Microsoft Sans Serif-12292-Ide"/>
          <w:color w:val="292929"/>
          <w:sz w:val="21"/>
          <w:szCs w:val="21"/>
        </w:rPr>
      </w:pPr>
      <w:r w:rsidRPr="001A04A3">
        <w:rPr>
          <w:rFonts w:ascii="Abadi" w:hAnsi="Abadi" w:cs="*Microsoft Sans Serif-12292-Ide"/>
          <w:color w:val="292929"/>
          <w:sz w:val="21"/>
          <w:szCs w:val="21"/>
        </w:rPr>
        <w:t>Las asociaciones públicas y privadas podrán participar en el financiamiento de la educación superior, con la finalidad de mejorar la infraestructura educativa, equipamiento y desarrollo de aprendizajes en las instituciones educativas;</w:t>
      </w:r>
    </w:p>
    <w:p w14:paraId="6E1FF089" w14:textId="77777777" w:rsidR="00366FFB" w:rsidRPr="00743CF7" w:rsidRDefault="00366FFB" w:rsidP="00366FFB">
      <w:pPr>
        <w:autoSpaceDE w:val="0"/>
        <w:autoSpaceDN w:val="0"/>
        <w:adjustRightInd w:val="0"/>
        <w:jc w:val="both"/>
        <w:rPr>
          <w:rFonts w:ascii="Abadi" w:hAnsi="Abadi" w:cs="*Microsoft Sans Serif-12292-Ide"/>
          <w:color w:val="292929"/>
          <w:sz w:val="21"/>
          <w:szCs w:val="21"/>
        </w:rPr>
      </w:pPr>
    </w:p>
    <w:p w14:paraId="5A5BBAD1" w14:textId="77777777" w:rsidR="00366FFB" w:rsidRPr="001A04A3" w:rsidRDefault="00366FFB" w:rsidP="005C6EBB">
      <w:pPr>
        <w:pStyle w:val="Prrafodelista"/>
        <w:numPr>
          <w:ilvl w:val="0"/>
          <w:numId w:val="44"/>
        </w:numPr>
        <w:autoSpaceDE w:val="0"/>
        <w:autoSpaceDN w:val="0"/>
        <w:adjustRightInd w:val="0"/>
        <w:contextualSpacing/>
        <w:jc w:val="both"/>
        <w:rPr>
          <w:rFonts w:ascii="Abadi" w:hAnsi="Abadi" w:cs="*Microsoft Sans Serif-12292-Ide"/>
          <w:color w:val="282828"/>
          <w:sz w:val="21"/>
          <w:szCs w:val="21"/>
        </w:rPr>
      </w:pPr>
      <w:r w:rsidRPr="001A04A3">
        <w:rPr>
          <w:rFonts w:ascii="Abadi" w:hAnsi="Abadi" w:cs="*Microsoft Sans Serif-12292-Ide"/>
          <w:color w:val="282828"/>
          <w:sz w:val="21"/>
          <w:szCs w:val="21"/>
        </w:rPr>
        <w:t>Concurrir con la Federación al financiamiento de los servicios públicos educativos para el cumplimiento de los fines y criterios de la educación y su adecuado funcionamiento; y</w:t>
      </w:r>
    </w:p>
    <w:p w14:paraId="0C1AD84B" w14:textId="77777777" w:rsidR="00366FFB" w:rsidRPr="00743CF7" w:rsidRDefault="00366FFB" w:rsidP="00366FFB">
      <w:pPr>
        <w:autoSpaceDE w:val="0"/>
        <w:autoSpaceDN w:val="0"/>
        <w:adjustRightInd w:val="0"/>
        <w:jc w:val="both"/>
        <w:rPr>
          <w:rFonts w:ascii="Abadi" w:hAnsi="Abadi" w:cs="*Microsoft Sans Serif-12292-Ide"/>
          <w:color w:val="282828"/>
          <w:sz w:val="21"/>
          <w:szCs w:val="21"/>
        </w:rPr>
      </w:pPr>
    </w:p>
    <w:p w14:paraId="7CE86C17" w14:textId="77777777" w:rsidR="00366FFB" w:rsidRDefault="00366FFB" w:rsidP="005C6EBB">
      <w:pPr>
        <w:pStyle w:val="Prrafodelista"/>
        <w:numPr>
          <w:ilvl w:val="0"/>
          <w:numId w:val="44"/>
        </w:numPr>
        <w:autoSpaceDE w:val="0"/>
        <w:autoSpaceDN w:val="0"/>
        <w:adjustRightInd w:val="0"/>
        <w:contextualSpacing/>
        <w:jc w:val="both"/>
        <w:rPr>
          <w:rFonts w:ascii="Abadi" w:hAnsi="Abadi" w:cs="*Microsoft Sans Serif-12292-Ide"/>
          <w:color w:val="292929"/>
          <w:sz w:val="21"/>
          <w:szCs w:val="21"/>
        </w:rPr>
      </w:pPr>
      <w:r w:rsidRPr="001A04A3">
        <w:rPr>
          <w:rFonts w:ascii="Abadi" w:hAnsi="Abadi" w:cs="*Microsoft Sans Serif-12292-Ide"/>
          <w:color w:val="292929"/>
          <w:sz w:val="21"/>
          <w:szCs w:val="21"/>
        </w:rPr>
        <w:t>Las autoridades educativas podrán gestionar fuentes complementarias de financiamiento que apoyen al cumplimiento de los fines de esta Ley; para tales efectos, los Organismos Públicos Descentralizados que imparten educación superior, podrán realizar diversas actividades para la generación de recursos a través de desarrollos tecnológicos, prestación de servicios Profesionales derivados de la formación profesional, regalías por uso de patentes, entre otros.</w:t>
      </w:r>
    </w:p>
    <w:p w14:paraId="08F9273C" w14:textId="77777777" w:rsidR="002001D5" w:rsidRDefault="002001D5" w:rsidP="002001D5">
      <w:pPr>
        <w:autoSpaceDE w:val="0"/>
        <w:autoSpaceDN w:val="0"/>
        <w:adjustRightInd w:val="0"/>
        <w:ind w:firstLine="708"/>
        <w:jc w:val="both"/>
        <w:rPr>
          <w:rFonts w:ascii="Abadi" w:hAnsi="Abadi" w:cs="*Arial-Bold-12001-Identity-H"/>
          <w:b/>
          <w:bCs/>
          <w:i/>
          <w:iCs/>
          <w:color w:val="121212"/>
          <w:sz w:val="21"/>
          <w:szCs w:val="21"/>
        </w:rPr>
      </w:pPr>
    </w:p>
    <w:p w14:paraId="7B87AD0E" w14:textId="3630CB6F" w:rsidR="00366FFB" w:rsidRPr="002001D5" w:rsidRDefault="002001D5" w:rsidP="002001D5">
      <w:pPr>
        <w:autoSpaceDE w:val="0"/>
        <w:autoSpaceDN w:val="0"/>
        <w:adjustRightInd w:val="0"/>
        <w:ind w:firstLine="708"/>
        <w:jc w:val="both"/>
        <w:rPr>
          <w:rFonts w:ascii="Abadi" w:hAnsi="Abadi" w:cs="*Arial-Bold-12001-Identity-H"/>
          <w:b/>
          <w:bCs/>
          <w:i/>
          <w:iCs/>
          <w:color w:val="121212"/>
          <w:sz w:val="21"/>
          <w:szCs w:val="21"/>
        </w:rPr>
      </w:pPr>
      <w:r w:rsidRPr="002001D5">
        <w:rPr>
          <w:rFonts w:ascii="Abadi" w:hAnsi="Abadi" w:cs="*Arial-Bold-12001-Identity-H"/>
          <w:b/>
          <w:bCs/>
          <w:i/>
          <w:iCs/>
          <w:color w:val="121212"/>
          <w:sz w:val="21"/>
          <w:szCs w:val="21"/>
        </w:rPr>
        <w:t>Presupuesto</w:t>
      </w:r>
    </w:p>
    <w:p w14:paraId="1F06F849" w14:textId="23CD7906" w:rsidR="00366FFB" w:rsidRPr="00743CF7" w:rsidRDefault="00366FFB" w:rsidP="00366FFB">
      <w:pPr>
        <w:autoSpaceDE w:val="0"/>
        <w:autoSpaceDN w:val="0"/>
        <w:adjustRightInd w:val="0"/>
        <w:ind w:left="7080"/>
        <w:jc w:val="both"/>
        <w:rPr>
          <w:rFonts w:ascii="Abadi" w:hAnsi="Abadi" w:cs="*Comic Sans MS-BoldItalic-12291"/>
          <w:b/>
          <w:bCs/>
          <w:i/>
          <w:iCs/>
          <w:color w:val="131313"/>
          <w:sz w:val="21"/>
          <w:szCs w:val="21"/>
        </w:rPr>
      </w:pPr>
      <w:r w:rsidRPr="00743CF7">
        <w:rPr>
          <w:rFonts w:ascii="Abadi" w:hAnsi="Abadi" w:cs="*Comic Sans MS-BoldItalic-12291"/>
          <w:b/>
          <w:bCs/>
          <w:i/>
          <w:iCs/>
          <w:color w:val="131313"/>
          <w:sz w:val="21"/>
          <w:szCs w:val="21"/>
        </w:rPr>
        <w:t>P</w:t>
      </w:r>
    </w:p>
    <w:p w14:paraId="696FC848" w14:textId="77777777" w:rsidR="00366FFB" w:rsidRPr="00743CF7" w:rsidRDefault="00366FFB" w:rsidP="00366FFB">
      <w:pPr>
        <w:autoSpaceDE w:val="0"/>
        <w:autoSpaceDN w:val="0"/>
        <w:adjustRightInd w:val="0"/>
        <w:ind w:firstLine="708"/>
        <w:jc w:val="both"/>
        <w:rPr>
          <w:rFonts w:ascii="Abadi" w:hAnsi="Abadi" w:cs="*Calibri-13768-Identity-H"/>
          <w:color w:val="2B2B2B"/>
          <w:sz w:val="21"/>
          <w:szCs w:val="21"/>
        </w:rPr>
      </w:pPr>
      <w:r w:rsidRPr="00743CF7">
        <w:rPr>
          <w:rFonts w:ascii="Abadi" w:hAnsi="Abadi" w:cs="*Microsoft Sans Serif-Bold-1229"/>
          <w:b/>
          <w:bCs/>
          <w:color w:val="272727"/>
          <w:sz w:val="21"/>
          <w:szCs w:val="21"/>
        </w:rPr>
        <w:t xml:space="preserve">Artículo 86. </w:t>
      </w:r>
      <w:r w:rsidRPr="00743CF7">
        <w:rPr>
          <w:rFonts w:ascii="Abadi" w:hAnsi="Abadi" w:cs="*Microsoft Sans Serif-12292-Ide"/>
          <w:color w:val="272727"/>
          <w:sz w:val="21"/>
          <w:szCs w:val="21"/>
        </w:rPr>
        <w:t xml:space="preserve">El presupuesto autorizado en materia educativa, incluyendo a la investigación científica y tecnológica para el Estado y el aprobado por los ayuntamientos, será irreductible e intransferible a otros fines distintos a la educación. Los recursos presupuestales aprobados deberán ser prioritarios, oportunos, suficientes </w:t>
      </w:r>
      <w:r w:rsidRPr="00743CF7">
        <w:rPr>
          <w:rFonts w:ascii="Abadi" w:hAnsi="Abadi" w:cs="*Times New Roman-Italic-12286-I"/>
          <w:i/>
          <w:iCs/>
          <w:color w:val="272727"/>
          <w:sz w:val="21"/>
          <w:szCs w:val="21"/>
        </w:rPr>
        <w:t xml:space="preserve">y </w:t>
      </w:r>
      <w:r w:rsidRPr="00743CF7">
        <w:rPr>
          <w:rFonts w:ascii="Abadi" w:hAnsi="Abadi" w:cs="*Microsoft Sans Serif-12292-Ide"/>
          <w:color w:val="272727"/>
          <w:sz w:val="21"/>
          <w:szCs w:val="21"/>
        </w:rPr>
        <w:t xml:space="preserve">crecientes para permitir el cumplimiento de las </w:t>
      </w:r>
      <w:r w:rsidRPr="00743CF7">
        <w:rPr>
          <w:rFonts w:ascii="Abadi" w:hAnsi="Abadi" w:cs="*Calibri-13768-Identity-H"/>
          <w:color w:val="2B2B2B"/>
          <w:sz w:val="21"/>
          <w:szCs w:val="21"/>
        </w:rPr>
        <w:t>responsabilidades estatales y municipales derivadas de la Ley General de Educación Superior y de esta Ley. Estos recursos nunca podrán ser menores a los ejercidos en el presupuesto de egresos del ejercicio inmediato anterior.</w:t>
      </w:r>
    </w:p>
    <w:p w14:paraId="0063621A" w14:textId="77777777" w:rsidR="00366FFB" w:rsidRDefault="00366FFB" w:rsidP="00366FFB">
      <w:pPr>
        <w:autoSpaceDE w:val="0"/>
        <w:autoSpaceDN w:val="0"/>
        <w:adjustRightInd w:val="0"/>
        <w:ind w:firstLine="708"/>
        <w:jc w:val="both"/>
        <w:rPr>
          <w:rFonts w:ascii="Abadi" w:hAnsi="Abadi" w:cs="*Calibri-BoldItalic-13769-Ident"/>
          <w:b/>
          <w:bCs/>
          <w:i/>
          <w:iCs/>
          <w:color w:val="141414"/>
          <w:sz w:val="21"/>
          <w:szCs w:val="21"/>
        </w:rPr>
      </w:pPr>
    </w:p>
    <w:p w14:paraId="7FB74127" w14:textId="77777777" w:rsidR="00366FFB" w:rsidRPr="00743CF7" w:rsidRDefault="00366FFB" w:rsidP="00366FFB">
      <w:pPr>
        <w:autoSpaceDE w:val="0"/>
        <w:autoSpaceDN w:val="0"/>
        <w:adjustRightInd w:val="0"/>
        <w:ind w:firstLine="708"/>
        <w:jc w:val="right"/>
        <w:rPr>
          <w:rFonts w:ascii="Abadi" w:hAnsi="Abadi" w:cs="*Calibri-BoldItalic-13769-Ident"/>
          <w:b/>
          <w:bCs/>
          <w:i/>
          <w:iCs/>
          <w:color w:val="141414"/>
          <w:sz w:val="21"/>
          <w:szCs w:val="21"/>
        </w:rPr>
      </w:pPr>
      <w:r w:rsidRPr="00743CF7">
        <w:rPr>
          <w:rFonts w:ascii="Abadi" w:hAnsi="Abadi" w:cs="*Calibri-BoldItalic-13769-Ident"/>
          <w:b/>
          <w:bCs/>
          <w:i/>
          <w:iCs/>
          <w:color w:val="141414"/>
          <w:sz w:val="21"/>
          <w:szCs w:val="21"/>
        </w:rPr>
        <w:t>Condiciones para la inversión en materia educativa</w:t>
      </w:r>
    </w:p>
    <w:p w14:paraId="344B80D6" w14:textId="77777777" w:rsidR="00366FFB" w:rsidRPr="00743CF7" w:rsidRDefault="00366FFB" w:rsidP="00366FFB">
      <w:pPr>
        <w:autoSpaceDE w:val="0"/>
        <w:autoSpaceDN w:val="0"/>
        <w:adjustRightInd w:val="0"/>
        <w:ind w:firstLine="708"/>
        <w:jc w:val="both"/>
        <w:rPr>
          <w:rFonts w:ascii="Abadi" w:hAnsi="Abadi" w:cs="*Calibri-13768-Identity-H"/>
          <w:color w:val="2A2A2A"/>
          <w:sz w:val="21"/>
          <w:szCs w:val="21"/>
        </w:rPr>
      </w:pPr>
      <w:r w:rsidRPr="00743CF7">
        <w:rPr>
          <w:rFonts w:ascii="Abadi" w:hAnsi="Abadi" w:cs="*Calibri-Bold-13770-Identity-H"/>
          <w:b/>
          <w:bCs/>
          <w:color w:val="2A2A2A"/>
          <w:sz w:val="21"/>
          <w:szCs w:val="21"/>
        </w:rPr>
        <w:t xml:space="preserve">Artículo 87. </w:t>
      </w:r>
      <w:r w:rsidRPr="00743CF7">
        <w:rPr>
          <w:rFonts w:ascii="Abadi" w:hAnsi="Abadi" w:cs="*Calibri-13768-Identity-H"/>
          <w:color w:val="2A2A2A"/>
          <w:sz w:val="21"/>
          <w:szCs w:val="21"/>
        </w:rPr>
        <w:t>El Ejecutivo Estatal y los ayuntamientos, establecerán los condiciones fiscales, presupuestales, administrativas y legales para facilitar y fomentar la inversión en materia educativa.</w:t>
      </w:r>
    </w:p>
    <w:p w14:paraId="4F9A69C8" w14:textId="77777777" w:rsidR="00366FFB" w:rsidRPr="00743CF7" w:rsidRDefault="00366FFB" w:rsidP="00366FFB">
      <w:pPr>
        <w:autoSpaceDE w:val="0"/>
        <w:autoSpaceDN w:val="0"/>
        <w:adjustRightInd w:val="0"/>
        <w:jc w:val="both"/>
        <w:rPr>
          <w:rFonts w:ascii="Abadi" w:hAnsi="Abadi" w:cs="*Calibri-Bold-13770-Identity-H"/>
          <w:b/>
          <w:bCs/>
          <w:color w:val="0C0C0C"/>
          <w:sz w:val="21"/>
          <w:szCs w:val="21"/>
        </w:rPr>
      </w:pPr>
    </w:p>
    <w:p w14:paraId="71D907E7" w14:textId="77777777" w:rsidR="00366FFB" w:rsidRPr="00743CF7" w:rsidRDefault="00366FFB" w:rsidP="00366FFB">
      <w:pPr>
        <w:autoSpaceDE w:val="0"/>
        <w:autoSpaceDN w:val="0"/>
        <w:adjustRightInd w:val="0"/>
        <w:jc w:val="center"/>
        <w:rPr>
          <w:rFonts w:ascii="Abadi" w:hAnsi="Abadi" w:cs="*Calibri-Bold-13770-Identity-H"/>
          <w:b/>
          <w:bCs/>
          <w:color w:val="0C0C0C"/>
          <w:sz w:val="21"/>
          <w:szCs w:val="21"/>
        </w:rPr>
      </w:pPr>
      <w:r w:rsidRPr="00743CF7">
        <w:rPr>
          <w:rFonts w:ascii="Abadi" w:hAnsi="Abadi" w:cs="*Calibri-Bold-13770-Identity-H"/>
          <w:b/>
          <w:bCs/>
          <w:color w:val="0C0C0C"/>
          <w:sz w:val="21"/>
          <w:szCs w:val="21"/>
        </w:rPr>
        <w:t>Capítulo</w:t>
      </w:r>
      <w:r>
        <w:rPr>
          <w:rFonts w:ascii="Abadi" w:hAnsi="Abadi" w:cs="*Calibri-Bold-13770-Identity-H"/>
          <w:b/>
          <w:bCs/>
          <w:color w:val="0C0C0C"/>
          <w:sz w:val="21"/>
          <w:szCs w:val="21"/>
        </w:rPr>
        <w:t xml:space="preserve"> II</w:t>
      </w:r>
    </w:p>
    <w:p w14:paraId="2E11187D" w14:textId="77777777" w:rsidR="00366FFB" w:rsidRPr="00743CF7" w:rsidRDefault="00366FFB" w:rsidP="00366FFB">
      <w:pPr>
        <w:autoSpaceDE w:val="0"/>
        <w:autoSpaceDN w:val="0"/>
        <w:adjustRightInd w:val="0"/>
        <w:jc w:val="center"/>
        <w:rPr>
          <w:rFonts w:ascii="Abadi" w:hAnsi="Abadi" w:cs="*Calibri-Bold-13770-Identity-H"/>
          <w:b/>
          <w:bCs/>
          <w:color w:val="111111"/>
          <w:sz w:val="21"/>
          <w:szCs w:val="21"/>
        </w:rPr>
      </w:pPr>
      <w:r w:rsidRPr="00743CF7">
        <w:rPr>
          <w:rFonts w:ascii="Abadi" w:hAnsi="Abadi" w:cs="*Calibri-Bold-13770-Identity-H"/>
          <w:b/>
          <w:bCs/>
          <w:color w:val="111111"/>
          <w:sz w:val="21"/>
          <w:szCs w:val="21"/>
        </w:rPr>
        <w:t>Financiamiento para la gratuidad, calidad y excelencia de la educación superior</w:t>
      </w:r>
    </w:p>
    <w:p w14:paraId="60E538B8" w14:textId="77777777" w:rsidR="00366FFB" w:rsidRPr="00743CF7" w:rsidRDefault="00366FFB" w:rsidP="00366FFB">
      <w:pPr>
        <w:autoSpaceDE w:val="0"/>
        <w:autoSpaceDN w:val="0"/>
        <w:adjustRightInd w:val="0"/>
        <w:jc w:val="center"/>
        <w:rPr>
          <w:rFonts w:ascii="Abadi" w:hAnsi="Abadi" w:cs="*Calibri-BoldItalic-13769-Ident"/>
          <w:b/>
          <w:bCs/>
          <w:i/>
          <w:iCs/>
          <w:color w:val="111111"/>
          <w:sz w:val="21"/>
          <w:szCs w:val="21"/>
        </w:rPr>
      </w:pPr>
      <w:r w:rsidRPr="00743CF7">
        <w:rPr>
          <w:rFonts w:ascii="Abadi" w:hAnsi="Abadi" w:cs="*Calibri-BoldItalic-13769-Ident"/>
          <w:b/>
          <w:bCs/>
          <w:i/>
          <w:iCs/>
          <w:color w:val="111111"/>
          <w:sz w:val="21"/>
          <w:szCs w:val="21"/>
        </w:rPr>
        <w:t>Transic</w:t>
      </w:r>
      <w:r>
        <w:rPr>
          <w:rFonts w:ascii="Abadi" w:hAnsi="Abadi" w:cs="*Calibri-BoldItalic-13769-Ident"/>
          <w:b/>
          <w:bCs/>
          <w:i/>
          <w:iCs/>
          <w:color w:val="111111"/>
          <w:sz w:val="21"/>
          <w:szCs w:val="21"/>
        </w:rPr>
        <w:t>ión</w:t>
      </w:r>
      <w:r w:rsidRPr="00743CF7">
        <w:rPr>
          <w:rFonts w:ascii="Abadi" w:hAnsi="Abadi" w:cs="*Calibri-BoldItalic-13769-Ident"/>
          <w:b/>
          <w:bCs/>
          <w:i/>
          <w:iCs/>
          <w:color w:val="111111"/>
          <w:sz w:val="21"/>
          <w:szCs w:val="21"/>
        </w:rPr>
        <w:t xml:space="preserve"> gradual hacia la gratuidad</w:t>
      </w:r>
    </w:p>
    <w:p w14:paraId="54BDC55B" w14:textId="77777777" w:rsidR="00366FFB" w:rsidRPr="00743CF7" w:rsidRDefault="00366FFB" w:rsidP="00366FFB">
      <w:pPr>
        <w:autoSpaceDE w:val="0"/>
        <w:autoSpaceDN w:val="0"/>
        <w:adjustRightInd w:val="0"/>
        <w:jc w:val="center"/>
        <w:rPr>
          <w:rFonts w:ascii="Abadi" w:hAnsi="Abadi" w:cs="*Calibri-Bold-13770-Identity-H"/>
          <w:b/>
          <w:bCs/>
          <w:color w:val="2A2A2A"/>
          <w:sz w:val="21"/>
          <w:szCs w:val="21"/>
        </w:rPr>
      </w:pPr>
    </w:p>
    <w:p w14:paraId="0F491E16" w14:textId="435DFBEF" w:rsidR="00366FFB" w:rsidRPr="00743CF7" w:rsidRDefault="00366FFB" w:rsidP="00366FFB">
      <w:pPr>
        <w:autoSpaceDE w:val="0"/>
        <w:autoSpaceDN w:val="0"/>
        <w:adjustRightInd w:val="0"/>
        <w:ind w:firstLine="708"/>
        <w:jc w:val="both"/>
        <w:rPr>
          <w:rFonts w:ascii="Abadi" w:hAnsi="Abadi" w:cs="*Calibri-13768-Identity-H"/>
          <w:color w:val="2A2A2A"/>
          <w:sz w:val="21"/>
          <w:szCs w:val="21"/>
        </w:rPr>
      </w:pPr>
      <w:r w:rsidRPr="00743CF7">
        <w:rPr>
          <w:rFonts w:ascii="Abadi" w:hAnsi="Abadi" w:cs="*Calibri-Bold-13770-Identity-H"/>
          <w:b/>
          <w:bCs/>
          <w:color w:val="2A2A2A"/>
          <w:sz w:val="21"/>
          <w:szCs w:val="21"/>
        </w:rPr>
        <w:t xml:space="preserve">Artículo 88. </w:t>
      </w:r>
      <w:r w:rsidRPr="00743CF7">
        <w:rPr>
          <w:rFonts w:ascii="Abadi" w:hAnsi="Abadi" w:cs="*Calibri-13768-Identity-H"/>
          <w:color w:val="2A2A2A"/>
          <w:sz w:val="21"/>
          <w:szCs w:val="21"/>
        </w:rPr>
        <w:t xml:space="preserve">Para la transición gradual y progresiva hacia la gratuidad, en ningún caso afectará el cumplimiento de los fines previstos en el artículo 3o. de la Constitución Política de los Estados Unidos Mexicanos, ni </w:t>
      </w:r>
      <w:r w:rsidR="002001D5" w:rsidRPr="00743CF7">
        <w:rPr>
          <w:rFonts w:ascii="Abadi" w:hAnsi="Abadi" w:cs="*Calibri-13768-Identity-H"/>
          <w:color w:val="2A2A2A"/>
          <w:sz w:val="21"/>
          <w:szCs w:val="21"/>
        </w:rPr>
        <w:t>las finanzas</w:t>
      </w:r>
      <w:r w:rsidRPr="00743CF7">
        <w:rPr>
          <w:rFonts w:ascii="Abadi" w:hAnsi="Abadi" w:cs="*Calibri-13768-Identity-H"/>
          <w:color w:val="2A2A2A"/>
          <w:sz w:val="21"/>
          <w:szCs w:val="21"/>
        </w:rPr>
        <w:t xml:space="preserve"> de las instituciones públicas de educación superior. Para tal efecto, el Poder Legislativo, en función de la suficiencia presupuesta!, destinará recursos en la Ley del Presupuesto General de Egresos para el Estado de Guanajuato, en cada ejercicio fiscal.</w:t>
      </w:r>
    </w:p>
    <w:p w14:paraId="0313E64C" w14:textId="77777777" w:rsidR="00366FFB" w:rsidRPr="00743CF7" w:rsidRDefault="00366FFB" w:rsidP="00366FFB">
      <w:pPr>
        <w:autoSpaceDE w:val="0"/>
        <w:autoSpaceDN w:val="0"/>
        <w:adjustRightInd w:val="0"/>
        <w:jc w:val="both"/>
        <w:rPr>
          <w:rFonts w:ascii="Abadi" w:hAnsi="Abadi" w:cs="*Calibri-13768-Identity-H"/>
          <w:color w:val="2A2A2A"/>
          <w:sz w:val="21"/>
          <w:szCs w:val="21"/>
        </w:rPr>
      </w:pPr>
    </w:p>
    <w:p w14:paraId="2D769CD8" w14:textId="77777777" w:rsidR="00366FFB" w:rsidRPr="00743CF7" w:rsidRDefault="00366FFB" w:rsidP="00366FFB">
      <w:pPr>
        <w:autoSpaceDE w:val="0"/>
        <w:autoSpaceDN w:val="0"/>
        <w:adjustRightInd w:val="0"/>
        <w:ind w:firstLine="708"/>
        <w:jc w:val="both"/>
        <w:rPr>
          <w:rFonts w:ascii="Abadi" w:hAnsi="Abadi" w:cs="*Calibri-13768-Identity-H"/>
          <w:color w:val="292929"/>
          <w:sz w:val="21"/>
          <w:szCs w:val="21"/>
        </w:rPr>
      </w:pPr>
      <w:r w:rsidRPr="00743CF7">
        <w:rPr>
          <w:rFonts w:ascii="Abadi" w:hAnsi="Abadi" w:cs="*Calibri-13768-Identity-H"/>
          <w:color w:val="292929"/>
          <w:sz w:val="21"/>
          <w:szCs w:val="21"/>
        </w:rPr>
        <w:t>Las universidades e instituciones públicas de educación superior con autonomía, a partir de la disponibilidad presupuestaria derivada del financiamiento previsto en esta Ley, con el apoyo de las autoridades educativas federal y del Estado, propondrán mecanismos paro la transición gradual hacia la gratuidad de los servicios educativos, sin que en ningún caso se afecte el cumplimiento de sus fines, ni las finanzas institucionales.</w:t>
      </w:r>
    </w:p>
    <w:p w14:paraId="3A6BDCE5" w14:textId="77777777" w:rsidR="00366FFB" w:rsidRPr="00743CF7" w:rsidRDefault="00366FFB" w:rsidP="00366FFB">
      <w:pPr>
        <w:autoSpaceDE w:val="0"/>
        <w:autoSpaceDN w:val="0"/>
        <w:adjustRightInd w:val="0"/>
        <w:jc w:val="both"/>
        <w:rPr>
          <w:rFonts w:ascii="Abadi" w:hAnsi="Abadi" w:cs="*Calibri-13768-Identity-H"/>
          <w:color w:val="292929"/>
          <w:sz w:val="21"/>
          <w:szCs w:val="21"/>
        </w:rPr>
      </w:pPr>
    </w:p>
    <w:p w14:paraId="5706002D" w14:textId="59D50DC6" w:rsidR="00366FFB" w:rsidRPr="00743CF7" w:rsidRDefault="002001D5" w:rsidP="002001D5">
      <w:pPr>
        <w:autoSpaceDE w:val="0"/>
        <w:autoSpaceDN w:val="0"/>
        <w:adjustRightInd w:val="0"/>
        <w:jc w:val="both"/>
        <w:rPr>
          <w:rFonts w:ascii="Abadi" w:hAnsi="Abadi" w:cs="*Calibri-BoldItalic-13769-Ident"/>
          <w:b/>
          <w:bCs/>
          <w:i/>
          <w:iCs/>
          <w:color w:val="121212"/>
          <w:sz w:val="21"/>
          <w:szCs w:val="21"/>
        </w:rPr>
      </w:pPr>
      <w:r>
        <w:rPr>
          <w:rFonts w:ascii="Abadi" w:hAnsi="Abadi" w:cs="*Calibri-BoldItalic-13769-Ident"/>
          <w:b/>
          <w:bCs/>
          <w:i/>
          <w:iCs/>
          <w:color w:val="121212"/>
          <w:sz w:val="21"/>
          <w:szCs w:val="21"/>
        </w:rPr>
        <w:t>A</w:t>
      </w:r>
      <w:r w:rsidR="00366FFB" w:rsidRPr="00743CF7">
        <w:rPr>
          <w:rFonts w:ascii="Abadi" w:hAnsi="Abadi" w:cs="*Calibri-BoldItalic-13769-Ident"/>
          <w:b/>
          <w:bCs/>
          <w:i/>
          <w:iCs/>
          <w:color w:val="121212"/>
          <w:sz w:val="21"/>
          <w:szCs w:val="21"/>
        </w:rPr>
        <w:t xml:space="preserve">signación de </w:t>
      </w:r>
      <w:r>
        <w:rPr>
          <w:rFonts w:ascii="Abadi" w:hAnsi="Abadi" w:cs="*Calibri-BoldItalic-13769-Ident"/>
          <w:b/>
          <w:bCs/>
          <w:i/>
          <w:iCs/>
          <w:color w:val="121212"/>
          <w:sz w:val="21"/>
          <w:szCs w:val="21"/>
        </w:rPr>
        <w:t>r</w:t>
      </w:r>
      <w:r w:rsidR="00366FFB" w:rsidRPr="00743CF7">
        <w:rPr>
          <w:rFonts w:ascii="Abadi" w:hAnsi="Abadi" w:cs="*Calibri-BoldItalic-13769-Ident"/>
          <w:b/>
          <w:bCs/>
          <w:i/>
          <w:iCs/>
          <w:color w:val="121212"/>
          <w:sz w:val="21"/>
          <w:szCs w:val="21"/>
        </w:rPr>
        <w:t>ecursos financieros</w:t>
      </w:r>
    </w:p>
    <w:p w14:paraId="1C41A706" w14:textId="505A504E" w:rsidR="00366FFB" w:rsidRPr="00743CF7" w:rsidRDefault="00366FFB" w:rsidP="00366FFB">
      <w:pPr>
        <w:autoSpaceDE w:val="0"/>
        <w:autoSpaceDN w:val="0"/>
        <w:adjustRightInd w:val="0"/>
        <w:ind w:firstLine="708"/>
        <w:jc w:val="both"/>
        <w:rPr>
          <w:rFonts w:ascii="Abadi" w:hAnsi="Abadi" w:cs="*Microsoft Sans Serif-11191-Ide"/>
          <w:color w:val="292929"/>
          <w:sz w:val="21"/>
          <w:szCs w:val="21"/>
        </w:rPr>
      </w:pPr>
      <w:r w:rsidRPr="008C50AC">
        <w:rPr>
          <w:rFonts w:ascii="Abadi" w:hAnsi="Abadi" w:cs="*Calibri-13768-Identity-H"/>
          <w:b/>
          <w:bCs/>
          <w:color w:val="292929"/>
          <w:sz w:val="21"/>
          <w:szCs w:val="21"/>
        </w:rPr>
        <w:t>Artículo 89.</w:t>
      </w:r>
      <w:r w:rsidRPr="00743CF7">
        <w:rPr>
          <w:rFonts w:ascii="Abadi" w:hAnsi="Abadi" w:cs="*Calibri-13768-Identity-H"/>
          <w:color w:val="292929"/>
          <w:sz w:val="21"/>
          <w:szCs w:val="21"/>
        </w:rPr>
        <w:t xml:space="preserve"> La asignación de recursos financieros a las universidades e instituciones públicas de educación </w:t>
      </w:r>
      <w:r w:rsidR="002001D5" w:rsidRPr="00743CF7">
        <w:rPr>
          <w:rFonts w:ascii="Abadi" w:hAnsi="Abadi" w:cs="*Calibri-13768-Identity-H"/>
          <w:color w:val="292929"/>
          <w:sz w:val="21"/>
          <w:szCs w:val="21"/>
        </w:rPr>
        <w:t>superior</w:t>
      </w:r>
      <w:r w:rsidRPr="00743CF7">
        <w:rPr>
          <w:rFonts w:ascii="Abadi" w:hAnsi="Abadi" w:cs="*Calibri-13768-Identity-H"/>
          <w:color w:val="292929"/>
          <w:sz w:val="21"/>
          <w:szCs w:val="21"/>
        </w:rPr>
        <w:t xml:space="preserve"> </w:t>
      </w:r>
      <w:r w:rsidRPr="00743CF7">
        <w:rPr>
          <w:rFonts w:ascii="Abadi" w:hAnsi="Abadi" w:cs="*Microsoft Sans Serif-Italic-13"/>
          <w:i/>
          <w:iCs/>
          <w:color w:val="292929"/>
          <w:sz w:val="21"/>
          <w:szCs w:val="21"/>
        </w:rPr>
        <w:t xml:space="preserve">se </w:t>
      </w:r>
      <w:r w:rsidRPr="00743CF7">
        <w:rPr>
          <w:rFonts w:ascii="Abadi" w:hAnsi="Abadi" w:cs="*Calibri-13768-Identity-H"/>
          <w:color w:val="292929"/>
          <w:sz w:val="21"/>
          <w:szCs w:val="21"/>
        </w:rPr>
        <w:t xml:space="preserve">realizará con una visión de largo   </w:t>
      </w:r>
      <w:r w:rsidRPr="00743CF7">
        <w:rPr>
          <w:rFonts w:ascii="Abadi" w:hAnsi="Abadi" w:cs="*Microsoft Sans Serif-11191-Ide"/>
          <w:color w:val="292929"/>
          <w:sz w:val="21"/>
          <w:szCs w:val="21"/>
        </w:rPr>
        <w:t>plazo; paro tal efecto, los autoridades respectivas en su ámbito de competencia considerarán:</w:t>
      </w:r>
    </w:p>
    <w:p w14:paraId="1DB16181" w14:textId="77777777" w:rsidR="00366FFB" w:rsidRPr="00743CF7" w:rsidRDefault="00366FFB" w:rsidP="00366FFB">
      <w:pPr>
        <w:autoSpaceDE w:val="0"/>
        <w:autoSpaceDN w:val="0"/>
        <w:adjustRightInd w:val="0"/>
        <w:jc w:val="both"/>
        <w:rPr>
          <w:rFonts w:ascii="Abadi" w:hAnsi="Abadi" w:cs="*Microsoft Sans Serif-11191-Ide"/>
          <w:color w:val="292929"/>
          <w:sz w:val="21"/>
          <w:szCs w:val="21"/>
        </w:rPr>
      </w:pPr>
    </w:p>
    <w:p w14:paraId="38F660EA" w14:textId="77777777" w:rsidR="00366FFB" w:rsidRPr="00FD5412" w:rsidRDefault="00366FFB" w:rsidP="005C6EBB">
      <w:pPr>
        <w:pStyle w:val="Prrafodelista"/>
        <w:numPr>
          <w:ilvl w:val="0"/>
          <w:numId w:val="45"/>
        </w:numPr>
        <w:autoSpaceDE w:val="0"/>
        <w:autoSpaceDN w:val="0"/>
        <w:adjustRightInd w:val="0"/>
        <w:contextualSpacing/>
        <w:jc w:val="both"/>
        <w:rPr>
          <w:rFonts w:ascii="Abadi" w:hAnsi="Abadi" w:cs="*Microsoft Sans Serif-11191-Ide"/>
          <w:color w:val="282828"/>
          <w:sz w:val="21"/>
          <w:szCs w:val="21"/>
        </w:rPr>
      </w:pPr>
      <w:r w:rsidRPr="00FD5412">
        <w:rPr>
          <w:rFonts w:ascii="Abadi" w:hAnsi="Abadi" w:cs="*Microsoft Sans Serif-11191-Ide"/>
          <w:color w:val="282828"/>
          <w:sz w:val="21"/>
          <w:szCs w:val="21"/>
        </w:rPr>
        <w:t>Los Planes y programas de gobierno y los Programas Nacional y Estatal de Educación Superior;</w:t>
      </w:r>
    </w:p>
    <w:p w14:paraId="5EF0BCAF" w14:textId="77777777" w:rsidR="00366FFB" w:rsidRPr="00743CF7" w:rsidRDefault="00366FFB" w:rsidP="00366FFB">
      <w:pPr>
        <w:autoSpaceDE w:val="0"/>
        <w:autoSpaceDN w:val="0"/>
        <w:adjustRightInd w:val="0"/>
        <w:jc w:val="both"/>
        <w:rPr>
          <w:rFonts w:ascii="Abadi" w:hAnsi="Abadi" w:cs="*Microsoft Sans Serif-11191-Ide"/>
          <w:color w:val="282828"/>
          <w:sz w:val="21"/>
          <w:szCs w:val="21"/>
        </w:rPr>
      </w:pPr>
    </w:p>
    <w:p w14:paraId="548370F2" w14:textId="77777777" w:rsidR="00366FFB" w:rsidRDefault="00366FFB" w:rsidP="005C6EBB">
      <w:pPr>
        <w:pStyle w:val="Prrafodelista"/>
        <w:numPr>
          <w:ilvl w:val="0"/>
          <w:numId w:val="45"/>
        </w:numPr>
        <w:autoSpaceDE w:val="0"/>
        <w:autoSpaceDN w:val="0"/>
        <w:adjustRightInd w:val="0"/>
        <w:contextualSpacing/>
        <w:jc w:val="both"/>
        <w:rPr>
          <w:rFonts w:ascii="Abadi" w:hAnsi="Abadi" w:cs="*Microsoft Sans Serif-11191-Ide"/>
          <w:color w:val="2A2A2A"/>
          <w:sz w:val="21"/>
          <w:szCs w:val="21"/>
        </w:rPr>
      </w:pPr>
      <w:r w:rsidRPr="00FD5412">
        <w:rPr>
          <w:rFonts w:ascii="Abadi" w:hAnsi="Abadi" w:cs="*Microsoft Sans Serif-11191-Ide"/>
          <w:color w:val="2A2A2A"/>
          <w:sz w:val="21"/>
          <w:szCs w:val="21"/>
        </w:rPr>
        <w:t xml:space="preserve">Los planes de desarrollo de las instituciones de educación superior </w:t>
      </w:r>
      <w:r w:rsidRPr="00FD5412">
        <w:rPr>
          <w:rFonts w:ascii="Abadi" w:hAnsi="Abadi" w:cs="*Tahoma-11192-Identity-H"/>
          <w:color w:val="2A2A2A"/>
          <w:sz w:val="21"/>
          <w:szCs w:val="21"/>
        </w:rPr>
        <w:t xml:space="preserve">y </w:t>
      </w:r>
      <w:r w:rsidRPr="00FD5412">
        <w:rPr>
          <w:rFonts w:ascii="Abadi" w:hAnsi="Abadi" w:cs="*Microsoft Sans Serif-11191-Ide"/>
          <w:color w:val="2A2A2A"/>
          <w:sz w:val="21"/>
          <w:szCs w:val="21"/>
        </w:rPr>
        <w:t>lo disponibilidad presupuestaria para cubrir las necesidades financieras del ejercicio fiscal correspondiente, así como el conjunto de operación previstos;</w:t>
      </w:r>
    </w:p>
    <w:p w14:paraId="5190D8EB" w14:textId="77777777" w:rsidR="00366FFB" w:rsidRPr="00FD5412" w:rsidRDefault="00366FFB" w:rsidP="00366FFB">
      <w:pPr>
        <w:pStyle w:val="Prrafodelista"/>
        <w:rPr>
          <w:rFonts w:ascii="Abadi" w:hAnsi="Abadi" w:cs="*Microsoft Sans Serif-11191-Ide"/>
          <w:color w:val="2A2A2A"/>
          <w:sz w:val="21"/>
          <w:szCs w:val="21"/>
        </w:rPr>
      </w:pPr>
    </w:p>
    <w:p w14:paraId="3CDE8384" w14:textId="77777777" w:rsidR="00366FFB" w:rsidRPr="00FD5412" w:rsidRDefault="00366FFB" w:rsidP="005C6EBB">
      <w:pPr>
        <w:pStyle w:val="Prrafodelista"/>
        <w:numPr>
          <w:ilvl w:val="0"/>
          <w:numId w:val="45"/>
        </w:numPr>
        <w:autoSpaceDE w:val="0"/>
        <w:autoSpaceDN w:val="0"/>
        <w:adjustRightInd w:val="0"/>
        <w:contextualSpacing/>
        <w:jc w:val="both"/>
        <w:rPr>
          <w:rFonts w:ascii="Abadi" w:hAnsi="Abadi" w:cs="*Microsoft Sans Serif-11191-Ide"/>
          <w:color w:val="272727"/>
          <w:sz w:val="21"/>
          <w:szCs w:val="21"/>
        </w:rPr>
      </w:pPr>
      <w:r w:rsidRPr="00FD5412">
        <w:rPr>
          <w:rFonts w:ascii="Abadi" w:hAnsi="Abadi" w:cs="*Microsoft Sans Serif-11191-Ide"/>
          <w:color w:val="272727"/>
          <w:sz w:val="21"/>
          <w:szCs w:val="21"/>
        </w:rPr>
        <w:t>Los p</w:t>
      </w:r>
      <w:r>
        <w:rPr>
          <w:rFonts w:ascii="Abadi" w:hAnsi="Abadi" w:cs="*Microsoft Sans Serif-11191-Ide"/>
          <w:color w:val="272727"/>
          <w:sz w:val="21"/>
          <w:szCs w:val="21"/>
        </w:rPr>
        <w:t>lanes</w:t>
      </w:r>
      <w:r w:rsidRPr="00FD5412">
        <w:rPr>
          <w:rFonts w:ascii="Abadi" w:hAnsi="Abadi" w:cs="*Microsoft Sans Serif-11191-Ide"/>
          <w:color w:val="272727"/>
          <w:sz w:val="21"/>
          <w:szCs w:val="21"/>
        </w:rPr>
        <w:t xml:space="preserve"> </w:t>
      </w:r>
      <w:r w:rsidRPr="00FD5412">
        <w:rPr>
          <w:rFonts w:ascii="Abadi" w:hAnsi="Abadi" w:cs="*Tahoma-11192-Identity-H"/>
          <w:color w:val="272727"/>
          <w:sz w:val="21"/>
          <w:szCs w:val="21"/>
        </w:rPr>
        <w:t xml:space="preserve">y </w:t>
      </w:r>
      <w:r w:rsidRPr="00FD5412">
        <w:rPr>
          <w:rFonts w:ascii="Abadi" w:hAnsi="Abadi" w:cs="*Microsoft Sans Serif-11191-Ide"/>
          <w:color w:val="272727"/>
          <w:sz w:val="21"/>
          <w:szCs w:val="21"/>
        </w:rPr>
        <w:t>programas de la Secretaría relacionados con lo educación superior;</w:t>
      </w:r>
    </w:p>
    <w:p w14:paraId="3F68381E" w14:textId="77777777" w:rsidR="00366FFB" w:rsidRPr="00743CF7" w:rsidRDefault="00366FFB" w:rsidP="00366FFB">
      <w:pPr>
        <w:autoSpaceDE w:val="0"/>
        <w:autoSpaceDN w:val="0"/>
        <w:adjustRightInd w:val="0"/>
        <w:jc w:val="both"/>
        <w:rPr>
          <w:rFonts w:ascii="Abadi" w:hAnsi="Abadi" w:cs="*Microsoft Sans Serif-11191-Ide"/>
          <w:color w:val="272727"/>
          <w:sz w:val="21"/>
          <w:szCs w:val="21"/>
        </w:rPr>
      </w:pPr>
    </w:p>
    <w:p w14:paraId="1C3DB696" w14:textId="77777777" w:rsidR="00366FFB" w:rsidRPr="00FD5412" w:rsidRDefault="00366FFB" w:rsidP="005C6EBB">
      <w:pPr>
        <w:pStyle w:val="Prrafodelista"/>
        <w:numPr>
          <w:ilvl w:val="0"/>
          <w:numId w:val="45"/>
        </w:numPr>
        <w:autoSpaceDE w:val="0"/>
        <w:autoSpaceDN w:val="0"/>
        <w:adjustRightInd w:val="0"/>
        <w:contextualSpacing/>
        <w:jc w:val="both"/>
        <w:rPr>
          <w:rFonts w:ascii="Abadi" w:hAnsi="Abadi" w:cs="*Microsoft Sans Serif-11191-Ide"/>
          <w:color w:val="282828"/>
          <w:sz w:val="21"/>
          <w:szCs w:val="21"/>
        </w:rPr>
      </w:pPr>
      <w:r w:rsidRPr="00FD5412">
        <w:rPr>
          <w:rFonts w:ascii="Abadi" w:hAnsi="Abadi" w:cs="*Microsoft Sans Serif-11191-Ide"/>
          <w:color w:val="282828"/>
          <w:sz w:val="21"/>
          <w:szCs w:val="21"/>
        </w:rPr>
        <w:t xml:space="preserve">La cobertura educativa en el Estado y las necesidades financieras derivadas de la ampliación de la población escolar atendida, de la oferta educativa </w:t>
      </w:r>
      <w:r w:rsidRPr="00FD5412">
        <w:rPr>
          <w:rFonts w:ascii="Abadi" w:hAnsi="Abadi" w:cs="*Times New Roman-Italic-11186-I"/>
          <w:i/>
          <w:iCs/>
          <w:color w:val="282828"/>
          <w:sz w:val="21"/>
          <w:szCs w:val="21"/>
        </w:rPr>
        <w:t xml:space="preserve">y </w:t>
      </w:r>
      <w:r w:rsidRPr="00FD5412">
        <w:rPr>
          <w:rFonts w:ascii="Abadi" w:hAnsi="Abadi" w:cs="*Microsoft Sans Serif-11191-Ide"/>
          <w:color w:val="282828"/>
          <w:sz w:val="21"/>
          <w:szCs w:val="21"/>
        </w:rPr>
        <w:t>la desconcentración geográfica;</w:t>
      </w:r>
    </w:p>
    <w:p w14:paraId="06924A40" w14:textId="77777777" w:rsidR="00366FFB" w:rsidRPr="00743CF7" w:rsidRDefault="00366FFB" w:rsidP="00366FFB">
      <w:pPr>
        <w:autoSpaceDE w:val="0"/>
        <w:autoSpaceDN w:val="0"/>
        <w:adjustRightInd w:val="0"/>
        <w:jc w:val="both"/>
        <w:rPr>
          <w:rFonts w:ascii="Abadi" w:hAnsi="Abadi" w:cs="*Microsoft Sans Serif-11191-Ide"/>
          <w:color w:val="282828"/>
          <w:sz w:val="21"/>
          <w:szCs w:val="21"/>
        </w:rPr>
      </w:pPr>
    </w:p>
    <w:p w14:paraId="35371DBE" w14:textId="77777777" w:rsidR="00366FFB" w:rsidRPr="00FD5412" w:rsidRDefault="00366FFB" w:rsidP="005C6EBB">
      <w:pPr>
        <w:pStyle w:val="Prrafodelista"/>
        <w:numPr>
          <w:ilvl w:val="0"/>
          <w:numId w:val="45"/>
        </w:numPr>
        <w:autoSpaceDE w:val="0"/>
        <w:autoSpaceDN w:val="0"/>
        <w:adjustRightInd w:val="0"/>
        <w:contextualSpacing/>
        <w:jc w:val="both"/>
        <w:rPr>
          <w:rFonts w:ascii="Abadi" w:hAnsi="Abadi" w:cs="*Microsoft Sans Serif-11191-Ide"/>
          <w:color w:val="292929"/>
          <w:sz w:val="21"/>
          <w:szCs w:val="21"/>
        </w:rPr>
      </w:pPr>
      <w:r w:rsidRPr="00FD5412">
        <w:rPr>
          <w:rFonts w:ascii="Abadi" w:hAnsi="Abadi" w:cs="*Microsoft Sans Serif-11191-Ide"/>
          <w:color w:val="292929"/>
          <w:sz w:val="21"/>
          <w:szCs w:val="21"/>
        </w:rPr>
        <w:t xml:space="preserve">Las necesidades para garantizar el fortalecimiento académico y el cumplimiento de las funciones de docencia, investigación, extensión, difusión del conocimiento, la cultura y gestión institucional; y </w:t>
      </w:r>
    </w:p>
    <w:p w14:paraId="1E7CC71C" w14:textId="77777777" w:rsidR="00366FFB" w:rsidRPr="00743CF7" w:rsidRDefault="00366FFB" w:rsidP="00366FFB">
      <w:pPr>
        <w:autoSpaceDE w:val="0"/>
        <w:autoSpaceDN w:val="0"/>
        <w:adjustRightInd w:val="0"/>
        <w:jc w:val="both"/>
        <w:rPr>
          <w:rFonts w:ascii="Abadi" w:hAnsi="Abadi" w:cs="*Calibri-Bold-11189-Identity-H"/>
          <w:b/>
          <w:bCs/>
          <w:color w:val="282828"/>
          <w:sz w:val="21"/>
          <w:szCs w:val="21"/>
        </w:rPr>
      </w:pPr>
    </w:p>
    <w:p w14:paraId="33EF42C8" w14:textId="77777777" w:rsidR="00366FFB" w:rsidRPr="00FD5412" w:rsidRDefault="00366FFB" w:rsidP="005C6EBB">
      <w:pPr>
        <w:pStyle w:val="Prrafodelista"/>
        <w:numPr>
          <w:ilvl w:val="0"/>
          <w:numId w:val="45"/>
        </w:numPr>
        <w:autoSpaceDE w:val="0"/>
        <w:autoSpaceDN w:val="0"/>
        <w:adjustRightInd w:val="0"/>
        <w:contextualSpacing/>
        <w:jc w:val="both"/>
        <w:rPr>
          <w:rFonts w:ascii="Abadi" w:hAnsi="Abadi" w:cs="*Microsoft Sans Serif-11191-Ide"/>
          <w:color w:val="282828"/>
          <w:sz w:val="21"/>
          <w:szCs w:val="21"/>
        </w:rPr>
      </w:pPr>
      <w:r w:rsidRPr="00FD5412">
        <w:rPr>
          <w:rFonts w:ascii="Abadi" w:hAnsi="Abadi" w:cs="*Microsoft Sans Serif-11191-Ide"/>
          <w:color w:val="282828"/>
          <w:sz w:val="21"/>
          <w:szCs w:val="21"/>
        </w:rPr>
        <w:t xml:space="preserve">El ejercicio responsable </w:t>
      </w:r>
      <w:r w:rsidRPr="00FD5412">
        <w:rPr>
          <w:rFonts w:ascii="Abadi" w:hAnsi="Abadi" w:cs="*Times New Roman-Italic-11186-I"/>
          <w:i/>
          <w:iCs/>
          <w:color w:val="282828"/>
          <w:sz w:val="21"/>
          <w:szCs w:val="21"/>
        </w:rPr>
        <w:t xml:space="preserve">y </w:t>
      </w:r>
      <w:r w:rsidRPr="00FD5412">
        <w:rPr>
          <w:rFonts w:ascii="Abadi" w:hAnsi="Abadi" w:cs="*Microsoft Sans Serif-11191-Ide"/>
          <w:color w:val="282828"/>
          <w:sz w:val="21"/>
          <w:szCs w:val="21"/>
        </w:rPr>
        <w:t>transparente de los recursos públicos, de conformidad con la legislación aplicable.</w:t>
      </w:r>
    </w:p>
    <w:p w14:paraId="7CE1C2AD" w14:textId="77777777" w:rsidR="00366FFB" w:rsidRPr="00743CF7" w:rsidRDefault="00366FFB" w:rsidP="00366FFB">
      <w:pPr>
        <w:autoSpaceDE w:val="0"/>
        <w:autoSpaceDN w:val="0"/>
        <w:adjustRightInd w:val="0"/>
        <w:jc w:val="both"/>
        <w:rPr>
          <w:rFonts w:ascii="Abadi" w:hAnsi="Abadi" w:cs="*Microsoft Sans Serif-11191-Ide"/>
          <w:color w:val="282828"/>
          <w:sz w:val="21"/>
          <w:szCs w:val="21"/>
        </w:rPr>
      </w:pPr>
    </w:p>
    <w:p w14:paraId="7BF666BF" w14:textId="77777777" w:rsidR="00366FFB" w:rsidRPr="00743CF7" w:rsidRDefault="00366FFB" w:rsidP="00366FFB">
      <w:pPr>
        <w:autoSpaceDE w:val="0"/>
        <w:autoSpaceDN w:val="0"/>
        <w:adjustRightInd w:val="0"/>
        <w:ind w:firstLine="360"/>
        <w:jc w:val="both"/>
        <w:rPr>
          <w:rFonts w:ascii="Abadi" w:hAnsi="Abadi" w:cs="*Microsoft Sans Serif-11191-Ide"/>
          <w:color w:val="292929"/>
          <w:sz w:val="21"/>
          <w:szCs w:val="21"/>
        </w:rPr>
      </w:pPr>
      <w:r w:rsidRPr="00743CF7">
        <w:rPr>
          <w:rFonts w:ascii="Abadi" w:hAnsi="Abadi" w:cs="*Microsoft Sans Serif-11191-Ide"/>
          <w:color w:val="292929"/>
          <w:sz w:val="21"/>
          <w:szCs w:val="21"/>
        </w:rPr>
        <w:t xml:space="preserve">La Secretaría </w:t>
      </w:r>
      <w:r w:rsidRPr="00743CF7">
        <w:rPr>
          <w:rFonts w:ascii="Abadi" w:hAnsi="Abadi" w:cs="*Tahoma-11192-Identity-H"/>
          <w:color w:val="292929"/>
          <w:sz w:val="21"/>
          <w:szCs w:val="21"/>
        </w:rPr>
        <w:t xml:space="preserve">y </w:t>
      </w:r>
      <w:r w:rsidRPr="00743CF7">
        <w:rPr>
          <w:rFonts w:ascii="Abadi" w:hAnsi="Abadi" w:cs="*Microsoft Sans Serif-11191-Ide"/>
          <w:color w:val="292929"/>
          <w:sz w:val="21"/>
          <w:szCs w:val="21"/>
        </w:rPr>
        <w:t>las autoridades educativas federales establecerán procedimientos para asegurar una participación equitativa en el financiamiento de la educación superior. a efecto de alcanzar de manera gradual las aportaciones paritarias estatales respecto a los recursos otorgados por la federación que se destinen a las instituciones de educación superior del Estado.</w:t>
      </w:r>
    </w:p>
    <w:p w14:paraId="36D0AFFD" w14:textId="77777777" w:rsidR="00366FFB" w:rsidRPr="00743CF7" w:rsidRDefault="00366FFB" w:rsidP="00366FFB">
      <w:pPr>
        <w:jc w:val="both"/>
        <w:rPr>
          <w:rFonts w:ascii="Abadi" w:hAnsi="Abadi" w:cs="*Microsoft Sans Serif-11191-Ide"/>
          <w:color w:val="292929"/>
          <w:sz w:val="21"/>
          <w:szCs w:val="21"/>
        </w:rPr>
      </w:pPr>
    </w:p>
    <w:p w14:paraId="7EFC4776" w14:textId="77777777" w:rsidR="00366FFB" w:rsidRPr="00743CF7" w:rsidRDefault="00366FFB" w:rsidP="00366FFB">
      <w:pPr>
        <w:autoSpaceDE w:val="0"/>
        <w:autoSpaceDN w:val="0"/>
        <w:adjustRightInd w:val="0"/>
        <w:jc w:val="center"/>
        <w:rPr>
          <w:rFonts w:ascii="Abadi" w:hAnsi="Abadi" w:cs="*Calibri-Bold-12724-Identity-H"/>
          <w:b/>
          <w:bCs/>
          <w:color w:val="0D0D0D"/>
          <w:sz w:val="21"/>
          <w:szCs w:val="21"/>
        </w:rPr>
      </w:pPr>
      <w:r w:rsidRPr="00743CF7">
        <w:rPr>
          <w:rFonts w:ascii="Abadi" w:hAnsi="Abadi" w:cs="*Calibri-Bold-12724-Identity-H"/>
          <w:b/>
          <w:bCs/>
          <w:color w:val="0D0D0D"/>
          <w:sz w:val="21"/>
          <w:szCs w:val="21"/>
        </w:rPr>
        <w:t>TÍTULO IX</w:t>
      </w:r>
    </w:p>
    <w:p w14:paraId="2F4E6FCE" w14:textId="77777777" w:rsidR="00366FFB" w:rsidRPr="00743CF7" w:rsidRDefault="00366FFB" w:rsidP="00366FFB">
      <w:pPr>
        <w:autoSpaceDE w:val="0"/>
        <w:autoSpaceDN w:val="0"/>
        <w:adjustRightInd w:val="0"/>
        <w:jc w:val="center"/>
        <w:rPr>
          <w:rFonts w:ascii="Abadi" w:hAnsi="Abadi" w:cs="*Calibri-Bold-12724-Identity-H"/>
          <w:b/>
          <w:bCs/>
          <w:color w:val="0D0D0D"/>
          <w:sz w:val="21"/>
          <w:szCs w:val="21"/>
        </w:rPr>
      </w:pPr>
    </w:p>
    <w:p w14:paraId="6F240813" w14:textId="77777777" w:rsidR="00366FFB" w:rsidRPr="00743CF7" w:rsidRDefault="00366FFB" w:rsidP="00366FFB">
      <w:pPr>
        <w:autoSpaceDE w:val="0"/>
        <w:autoSpaceDN w:val="0"/>
        <w:adjustRightInd w:val="0"/>
        <w:jc w:val="center"/>
        <w:rPr>
          <w:rFonts w:ascii="Abadi" w:hAnsi="Abadi" w:cs="*Arial-Bold-12727-Identity-H"/>
          <w:b/>
          <w:bCs/>
          <w:color w:val="101010"/>
          <w:sz w:val="21"/>
          <w:szCs w:val="21"/>
        </w:rPr>
      </w:pPr>
      <w:r w:rsidRPr="00743CF7">
        <w:rPr>
          <w:rFonts w:ascii="Abadi" w:hAnsi="Abadi" w:cs="*Arial-Bold-12727-Identity-H"/>
          <w:b/>
          <w:bCs/>
          <w:color w:val="101010"/>
          <w:sz w:val="21"/>
          <w:szCs w:val="21"/>
        </w:rPr>
        <w:t>Particulares que imparten educación superior</w:t>
      </w:r>
    </w:p>
    <w:p w14:paraId="5456C3BA" w14:textId="77777777" w:rsidR="00366FFB" w:rsidRDefault="00366FFB" w:rsidP="00366FFB">
      <w:pPr>
        <w:autoSpaceDE w:val="0"/>
        <w:autoSpaceDN w:val="0"/>
        <w:adjustRightInd w:val="0"/>
        <w:jc w:val="center"/>
        <w:rPr>
          <w:rFonts w:ascii="Abadi" w:hAnsi="Abadi" w:cs="*Arial-Bold-12727-Identity-H"/>
          <w:b/>
          <w:bCs/>
          <w:color w:val="101010"/>
          <w:sz w:val="21"/>
          <w:szCs w:val="21"/>
        </w:rPr>
      </w:pPr>
      <w:r w:rsidRPr="00743CF7">
        <w:rPr>
          <w:rFonts w:ascii="Abadi" w:hAnsi="Abadi" w:cs="*Arial-Bold-12727-Identity-H"/>
          <w:b/>
          <w:bCs/>
          <w:color w:val="101010"/>
          <w:sz w:val="21"/>
          <w:szCs w:val="21"/>
        </w:rPr>
        <w:t>Capítulo I</w:t>
      </w:r>
    </w:p>
    <w:p w14:paraId="1F9F961B" w14:textId="77777777" w:rsidR="00366FFB" w:rsidRPr="00743CF7" w:rsidRDefault="00366FFB" w:rsidP="00366FFB">
      <w:pPr>
        <w:autoSpaceDE w:val="0"/>
        <w:autoSpaceDN w:val="0"/>
        <w:adjustRightInd w:val="0"/>
        <w:jc w:val="center"/>
        <w:rPr>
          <w:rFonts w:ascii="Abadi" w:hAnsi="Abadi" w:cs="*Arial-Bold-12727-Identity-H"/>
          <w:b/>
          <w:bCs/>
          <w:color w:val="101010"/>
          <w:sz w:val="21"/>
          <w:szCs w:val="21"/>
        </w:rPr>
      </w:pPr>
    </w:p>
    <w:p w14:paraId="484E53FD" w14:textId="77777777" w:rsidR="00366FFB" w:rsidRPr="00743CF7" w:rsidRDefault="00366FFB" w:rsidP="00366FFB">
      <w:pPr>
        <w:autoSpaceDE w:val="0"/>
        <w:autoSpaceDN w:val="0"/>
        <w:adjustRightInd w:val="0"/>
        <w:jc w:val="center"/>
        <w:rPr>
          <w:rFonts w:ascii="Abadi" w:hAnsi="Abadi" w:cs="*Arial-Bold-12727-Identity-H"/>
          <w:b/>
          <w:bCs/>
          <w:color w:val="0F0F0F"/>
          <w:sz w:val="21"/>
          <w:szCs w:val="21"/>
        </w:rPr>
      </w:pPr>
      <w:r w:rsidRPr="00743CF7">
        <w:rPr>
          <w:rFonts w:ascii="Abadi" w:hAnsi="Abadi" w:cs="*Arial-Bold-12727-Identity-H"/>
          <w:b/>
          <w:bCs/>
          <w:color w:val="0F0F0F"/>
          <w:sz w:val="21"/>
          <w:szCs w:val="21"/>
        </w:rPr>
        <w:t>La educación superior impartida por particulares</w:t>
      </w:r>
    </w:p>
    <w:p w14:paraId="4CB7AB68" w14:textId="77777777" w:rsidR="00366FFB" w:rsidRDefault="00366FFB" w:rsidP="00366FFB">
      <w:pPr>
        <w:autoSpaceDE w:val="0"/>
        <w:autoSpaceDN w:val="0"/>
        <w:adjustRightInd w:val="0"/>
        <w:jc w:val="right"/>
        <w:rPr>
          <w:rFonts w:ascii="Abadi" w:hAnsi="Abadi" w:cs="*Calibri-BoldItalic-12725-Ident"/>
          <w:b/>
          <w:bCs/>
          <w:i/>
          <w:iCs/>
          <w:color w:val="111111"/>
          <w:sz w:val="21"/>
          <w:szCs w:val="21"/>
        </w:rPr>
      </w:pPr>
    </w:p>
    <w:p w14:paraId="7FF8E401" w14:textId="1517CA46" w:rsidR="00366FFB" w:rsidRPr="00743CF7" w:rsidRDefault="00366FFB" w:rsidP="00366FFB">
      <w:pPr>
        <w:autoSpaceDE w:val="0"/>
        <w:autoSpaceDN w:val="0"/>
        <w:adjustRightInd w:val="0"/>
        <w:jc w:val="right"/>
        <w:rPr>
          <w:rFonts w:ascii="Abadi" w:hAnsi="Abadi" w:cs="*Calibri-BoldItalic-12725-Ident"/>
          <w:b/>
          <w:bCs/>
          <w:i/>
          <w:iCs/>
          <w:color w:val="111111"/>
          <w:sz w:val="21"/>
          <w:szCs w:val="21"/>
        </w:rPr>
      </w:pPr>
      <w:r w:rsidRPr="00743CF7">
        <w:rPr>
          <w:rFonts w:ascii="Abadi" w:hAnsi="Abadi" w:cs="*Calibri-BoldItalic-12725-Ident"/>
          <w:b/>
          <w:bCs/>
          <w:i/>
          <w:iCs/>
          <w:color w:val="111111"/>
          <w:sz w:val="21"/>
          <w:szCs w:val="21"/>
        </w:rPr>
        <w:t>Educación impartida por particulares</w:t>
      </w:r>
    </w:p>
    <w:p w14:paraId="1C236649" w14:textId="77777777" w:rsidR="00366FFB" w:rsidRDefault="00366FFB" w:rsidP="00366FFB">
      <w:pPr>
        <w:autoSpaceDE w:val="0"/>
        <w:autoSpaceDN w:val="0"/>
        <w:adjustRightInd w:val="0"/>
        <w:ind w:firstLine="708"/>
        <w:jc w:val="both"/>
        <w:rPr>
          <w:rFonts w:ascii="Abadi" w:hAnsi="Abadi" w:cs="*Arial-Bold-12727-Identity-H"/>
          <w:b/>
          <w:bCs/>
          <w:color w:val="292929"/>
          <w:sz w:val="21"/>
          <w:szCs w:val="21"/>
        </w:rPr>
      </w:pPr>
    </w:p>
    <w:p w14:paraId="0A4FE511" w14:textId="6AE9886B" w:rsidR="00366FFB" w:rsidRPr="00743CF7" w:rsidRDefault="00366FFB" w:rsidP="00366FFB">
      <w:pPr>
        <w:autoSpaceDE w:val="0"/>
        <w:autoSpaceDN w:val="0"/>
        <w:adjustRightInd w:val="0"/>
        <w:ind w:firstLine="708"/>
        <w:jc w:val="both"/>
        <w:rPr>
          <w:rFonts w:ascii="Abadi" w:hAnsi="Abadi" w:cs="*Courier New-12728-Identity-H"/>
          <w:color w:val="292929"/>
          <w:sz w:val="21"/>
          <w:szCs w:val="21"/>
        </w:rPr>
      </w:pPr>
      <w:r w:rsidRPr="00743CF7">
        <w:rPr>
          <w:rFonts w:ascii="Abadi" w:hAnsi="Abadi" w:cs="*Arial-Bold-12727-Identity-H"/>
          <w:b/>
          <w:bCs/>
          <w:color w:val="292929"/>
          <w:sz w:val="21"/>
          <w:szCs w:val="21"/>
        </w:rPr>
        <w:t xml:space="preserve">Artículo 90. </w:t>
      </w:r>
      <w:r w:rsidRPr="00743CF7">
        <w:rPr>
          <w:rFonts w:ascii="Abadi" w:hAnsi="Abadi" w:cs="*Courier New-12728-Identity-H"/>
          <w:color w:val="292929"/>
          <w:sz w:val="21"/>
          <w:szCs w:val="21"/>
        </w:rPr>
        <w:t>El Estado reconoce la contribución que realizan las instituciones particulares de educación superior que cuentan con autorización o reconocimiento de validez oficial de estudios para el logro de los principios, fines y criterios de la educación establecidos en la Constitución Política de los Estados</w:t>
      </w:r>
      <w:r>
        <w:rPr>
          <w:rFonts w:ascii="Abadi" w:hAnsi="Abadi" w:cs="*Courier New-12728-Identity-H"/>
          <w:color w:val="292929"/>
          <w:sz w:val="21"/>
          <w:szCs w:val="21"/>
        </w:rPr>
        <w:t xml:space="preserve"> </w:t>
      </w:r>
      <w:r w:rsidRPr="00743CF7">
        <w:rPr>
          <w:rFonts w:ascii="Abadi" w:hAnsi="Abadi" w:cs="*Courier New-12728-Identity-H"/>
          <w:color w:val="292929"/>
          <w:sz w:val="21"/>
          <w:szCs w:val="21"/>
        </w:rPr>
        <w:t>Unidos Mexicanos, por tanto, gozarán de todas las garantías para impartir este tipo de educación, asimismo estarán obligados a cumplir las disposiciones legales</w:t>
      </w:r>
    </w:p>
    <w:p w14:paraId="36136377" w14:textId="77777777" w:rsidR="00366FFB" w:rsidRPr="00743CF7" w:rsidRDefault="00366FFB" w:rsidP="00366FFB">
      <w:pPr>
        <w:autoSpaceDE w:val="0"/>
        <w:autoSpaceDN w:val="0"/>
        <w:adjustRightInd w:val="0"/>
        <w:jc w:val="both"/>
        <w:rPr>
          <w:rFonts w:ascii="Abadi" w:hAnsi="Abadi" w:cs="*Courier New-12728-Identity-H"/>
          <w:color w:val="292929"/>
          <w:sz w:val="21"/>
          <w:szCs w:val="21"/>
        </w:rPr>
      </w:pPr>
      <w:r w:rsidRPr="00743CF7">
        <w:rPr>
          <w:rFonts w:ascii="Abadi" w:hAnsi="Abadi" w:cs="*Courier New-12728-Identity-H"/>
          <w:color w:val="292929"/>
          <w:sz w:val="21"/>
          <w:szCs w:val="21"/>
        </w:rPr>
        <w:t>aplicables.</w:t>
      </w:r>
    </w:p>
    <w:p w14:paraId="20DB9F1A" w14:textId="77777777" w:rsidR="00366FFB" w:rsidRPr="00743CF7" w:rsidRDefault="00366FFB" w:rsidP="00366FFB">
      <w:pPr>
        <w:autoSpaceDE w:val="0"/>
        <w:autoSpaceDN w:val="0"/>
        <w:adjustRightInd w:val="0"/>
        <w:jc w:val="both"/>
        <w:rPr>
          <w:rFonts w:ascii="Abadi" w:hAnsi="Abadi" w:cs="*Courier New-12728-Identity-H"/>
          <w:color w:val="292929"/>
          <w:sz w:val="21"/>
          <w:szCs w:val="21"/>
        </w:rPr>
      </w:pPr>
    </w:p>
    <w:p w14:paraId="24737E3D" w14:textId="77777777" w:rsidR="00366FFB" w:rsidRPr="00743CF7" w:rsidRDefault="00366FFB" w:rsidP="00366FFB">
      <w:pPr>
        <w:autoSpaceDE w:val="0"/>
        <w:autoSpaceDN w:val="0"/>
        <w:adjustRightInd w:val="0"/>
        <w:jc w:val="both"/>
        <w:rPr>
          <w:rFonts w:ascii="Abadi" w:hAnsi="Abadi" w:cs="*Courier New-12728-Identity-H"/>
          <w:color w:val="292929"/>
          <w:sz w:val="21"/>
          <w:szCs w:val="21"/>
        </w:rPr>
      </w:pPr>
      <w:r w:rsidRPr="00743CF7">
        <w:rPr>
          <w:rFonts w:ascii="Abadi" w:hAnsi="Abadi" w:cs="*Courier New-12728-Identity-H"/>
          <w:color w:val="292929"/>
          <w:sz w:val="21"/>
          <w:szCs w:val="21"/>
        </w:rPr>
        <w:t xml:space="preserve">A las instituciones particulares de educación superior se les reconoce la libertad para definir su modelo educativo, así como su organización interna </w:t>
      </w:r>
      <w:r w:rsidRPr="00743CF7">
        <w:rPr>
          <w:rFonts w:ascii="Abadi" w:hAnsi="Abadi" w:cs="*Tahoma-12730-Identity-H"/>
          <w:color w:val="292929"/>
          <w:sz w:val="21"/>
          <w:szCs w:val="21"/>
        </w:rPr>
        <w:t xml:space="preserve">y </w:t>
      </w:r>
      <w:r w:rsidRPr="00743CF7">
        <w:rPr>
          <w:rFonts w:ascii="Abadi" w:hAnsi="Abadi" w:cs="*Courier New-12728-Identity-H"/>
          <w:color w:val="292929"/>
          <w:sz w:val="21"/>
          <w:szCs w:val="21"/>
        </w:rPr>
        <w:t xml:space="preserve">administrativa; fijar las disposiciones de admisión, permanencia </w:t>
      </w:r>
      <w:r w:rsidRPr="00743CF7">
        <w:rPr>
          <w:rFonts w:ascii="Abadi" w:hAnsi="Abadi" w:cs="*Verdana-12729-Identity-H"/>
          <w:color w:val="292929"/>
          <w:sz w:val="21"/>
          <w:szCs w:val="21"/>
        </w:rPr>
        <w:t xml:space="preserve">y </w:t>
      </w:r>
      <w:r w:rsidRPr="00743CF7">
        <w:rPr>
          <w:rFonts w:ascii="Abadi" w:hAnsi="Abadi" w:cs="*Courier New-12728-Identity-H"/>
          <w:color w:val="292929"/>
          <w:sz w:val="21"/>
          <w:szCs w:val="21"/>
        </w:rPr>
        <w:t>egreso de sus</w:t>
      </w:r>
      <w:r>
        <w:rPr>
          <w:rFonts w:ascii="Abadi" w:hAnsi="Abadi" w:cs="*Courier New-12728-Identity-H"/>
          <w:color w:val="292929"/>
          <w:sz w:val="21"/>
          <w:szCs w:val="21"/>
        </w:rPr>
        <w:t xml:space="preserve"> </w:t>
      </w:r>
      <w:r w:rsidRPr="00743CF7">
        <w:rPr>
          <w:rFonts w:ascii="Abadi" w:hAnsi="Abadi" w:cs="*Courier New-12728-Identity-H"/>
          <w:color w:val="292929"/>
          <w:sz w:val="21"/>
          <w:szCs w:val="21"/>
        </w:rPr>
        <w:t xml:space="preserve">estudiantes, con pleno respeto a los derechos humanos </w:t>
      </w:r>
      <w:r w:rsidRPr="00743CF7">
        <w:rPr>
          <w:rFonts w:ascii="Abadi" w:hAnsi="Abadi" w:cs="*Tahoma-12730-Identity-H"/>
          <w:color w:val="292929"/>
          <w:sz w:val="21"/>
          <w:szCs w:val="21"/>
        </w:rPr>
        <w:t xml:space="preserve">y </w:t>
      </w:r>
      <w:r w:rsidRPr="00743CF7">
        <w:rPr>
          <w:rFonts w:ascii="Abadi" w:hAnsi="Abadi" w:cs="*Courier New-12728-Identity-H"/>
          <w:color w:val="292929"/>
          <w:sz w:val="21"/>
          <w:szCs w:val="21"/>
        </w:rPr>
        <w:t>en apego a las disposiciones legales; participar en programas que promuevan la ciencia, la tecnología y la innovación; promover la investigación, la vinculación y la extensión</w:t>
      </w:r>
      <w:r>
        <w:rPr>
          <w:rFonts w:ascii="Abadi" w:hAnsi="Abadi" w:cs="*Courier New-12728-Identity-H"/>
          <w:color w:val="292929"/>
          <w:sz w:val="21"/>
          <w:szCs w:val="21"/>
        </w:rPr>
        <w:t xml:space="preserve"> </w:t>
      </w:r>
      <w:r w:rsidRPr="00743CF7">
        <w:rPr>
          <w:rFonts w:ascii="Abadi" w:hAnsi="Abadi" w:cs="*Courier New-12728-Identity-H"/>
          <w:color w:val="292929"/>
          <w:sz w:val="21"/>
          <w:szCs w:val="21"/>
        </w:rPr>
        <w:t xml:space="preserve">dentro de los lineamientos de su modelo educativo y desarrollo institucional; realizar convenios con universidades, centros de investigación </w:t>
      </w:r>
      <w:r w:rsidRPr="00743CF7">
        <w:rPr>
          <w:rFonts w:ascii="Abadi" w:hAnsi="Abadi" w:cs="*Verdana-12729-Identity-H"/>
          <w:color w:val="292929"/>
          <w:sz w:val="21"/>
          <w:szCs w:val="21"/>
        </w:rPr>
        <w:t xml:space="preserve">y </w:t>
      </w:r>
      <w:r w:rsidRPr="00743CF7">
        <w:rPr>
          <w:rFonts w:ascii="Abadi" w:hAnsi="Abadi" w:cs="*Courier New-12728-Identity-H"/>
          <w:color w:val="292929"/>
          <w:sz w:val="21"/>
          <w:szCs w:val="21"/>
        </w:rPr>
        <w:t>otras organizaciones nacionales o extranjeras para la prestación de sus servicios educativos; y las demás necesarias para prestar el servicio público de educación superior en cumplimiento con las disposiciones de la presente Ley.</w:t>
      </w:r>
    </w:p>
    <w:p w14:paraId="7DBEC32C" w14:textId="77777777" w:rsidR="00366FFB" w:rsidRPr="00743CF7" w:rsidRDefault="00366FFB" w:rsidP="00366FFB">
      <w:pPr>
        <w:autoSpaceDE w:val="0"/>
        <w:autoSpaceDN w:val="0"/>
        <w:adjustRightInd w:val="0"/>
        <w:jc w:val="both"/>
        <w:rPr>
          <w:rFonts w:ascii="Abadi" w:hAnsi="Abadi" w:cs="*Courier New-12728-Identity-H"/>
          <w:color w:val="292929"/>
          <w:sz w:val="21"/>
          <w:szCs w:val="21"/>
        </w:rPr>
      </w:pPr>
    </w:p>
    <w:p w14:paraId="1A526719" w14:textId="77777777" w:rsidR="00366FFB" w:rsidRPr="00743CF7" w:rsidRDefault="00366FFB" w:rsidP="00366FFB">
      <w:pPr>
        <w:autoSpaceDE w:val="0"/>
        <w:autoSpaceDN w:val="0"/>
        <w:adjustRightInd w:val="0"/>
        <w:jc w:val="both"/>
        <w:rPr>
          <w:rFonts w:ascii="Abadi" w:hAnsi="Abadi" w:cs="*Calibri-BoldItalic-12725-Ident"/>
          <w:b/>
          <w:bCs/>
          <w:i/>
          <w:iCs/>
          <w:color w:val="121212"/>
          <w:sz w:val="21"/>
          <w:szCs w:val="21"/>
        </w:rPr>
      </w:pPr>
      <w:r w:rsidRPr="00743CF7">
        <w:rPr>
          <w:rFonts w:ascii="Abadi" w:hAnsi="Abadi" w:cs="*Calibri-BoldItalic-12725-Ident"/>
          <w:b/>
          <w:bCs/>
          <w:i/>
          <w:iCs/>
          <w:color w:val="121212"/>
          <w:sz w:val="21"/>
          <w:szCs w:val="21"/>
        </w:rPr>
        <w:t xml:space="preserve">Autorización </w:t>
      </w:r>
      <w:r w:rsidRPr="00743CF7">
        <w:rPr>
          <w:rFonts w:ascii="Abadi" w:hAnsi="Abadi" w:cs="*Calibri-Bold-12726-Identity-H"/>
          <w:b/>
          <w:bCs/>
          <w:color w:val="121212"/>
          <w:sz w:val="21"/>
          <w:szCs w:val="21"/>
        </w:rPr>
        <w:t xml:space="preserve">o </w:t>
      </w:r>
      <w:r w:rsidRPr="00743CF7">
        <w:rPr>
          <w:rFonts w:ascii="Abadi" w:hAnsi="Abadi" w:cs="*Calibri-BoldItalic-12725-Ident"/>
          <w:b/>
          <w:bCs/>
          <w:i/>
          <w:iCs/>
          <w:color w:val="121212"/>
          <w:sz w:val="21"/>
          <w:szCs w:val="21"/>
        </w:rPr>
        <w:t>reconocimiento de validez oficial de estudios</w:t>
      </w:r>
    </w:p>
    <w:p w14:paraId="6222C4EC" w14:textId="77777777" w:rsidR="00366FFB" w:rsidRDefault="00366FFB" w:rsidP="00366FFB">
      <w:pPr>
        <w:autoSpaceDE w:val="0"/>
        <w:autoSpaceDN w:val="0"/>
        <w:adjustRightInd w:val="0"/>
        <w:ind w:firstLine="708"/>
        <w:jc w:val="both"/>
        <w:rPr>
          <w:rFonts w:ascii="Abadi" w:hAnsi="Abadi" w:cs="*Arial-Bold-12727-Identity-H"/>
          <w:b/>
          <w:bCs/>
          <w:color w:val="2A2A2A"/>
          <w:sz w:val="21"/>
          <w:szCs w:val="21"/>
        </w:rPr>
      </w:pPr>
    </w:p>
    <w:p w14:paraId="6649E426" w14:textId="3B4F0941" w:rsidR="00366FFB" w:rsidRPr="00743CF7" w:rsidRDefault="00366FFB" w:rsidP="00366FFB">
      <w:pPr>
        <w:autoSpaceDE w:val="0"/>
        <w:autoSpaceDN w:val="0"/>
        <w:adjustRightInd w:val="0"/>
        <w:ind w:firstLine="708"/>
        <w:jc w:val="both"/>
        <w:rPr>
          <w:rFonts w:ascii="Abadi" w:hAnsi="Abadi" w:cs="*Microsoft Sans Serif-11827-Ide"/>
          <w:color w:val="282828"/>
          <w:sz w:val="21"/>
          <w:szCs w:val="21"/>
        </w:rPr>
      </w:pPr>
      <w:r w:rsidRPr="00743CF7">
        <w:rPr>
          <w:rFonts w:ascii="Abadi" w:hAnsi="Abadi" w:cs="*Arial-Bold-12727-Identity-H"/>
          <w:b/>
          <w:bCs/>
          <w:color w:val="2A2A2A"/>
          <w:sz w:val="21"/>
          <w:szCs w:val="21"/>
        </w:rPr>
        <w:t xml:space="preserve">Artículo </w:t>
      </w:r>
      <w:r w:rsidRPr="00743CF7">
        <w:rPr>
          <w:rFonts w:ascii="Abadi" w:hAnsi="Abadi" w:cs="*Calibri-Bold-12724-Identity-H"/>
          <w:b/>
          <w:bCs/>
          <w:color w:val="2A2A2A"/>
          <w:sz w:val="21"/>
          <w:szCs w:val="21"/>
        </w:rPr>
        <w:t xml:space="preserve">91. </w:t>
      </w:r>
      <w:r w:rsidRPr="00743CF7">
        <w:rPr>
          <w:rFonts w:ascii="Abadi" w:hAnsi="Abadi" w:cs="*Courier New-12728-Identity-H"/>
          <w:color w:val="2A2A2A"/>
          <w:sz w:val="21"/>
          <w:szCs w:val="21"/>
        </w:rPr>
        <w:t xml:space="preserve">Los particulares podrán impartir educación del tipo superior considerada como servicio público en términos de esta Ley, en todos sus niveles y </w:t>
      </w:r>
      <w:r w:rsidRPr="00743CF7">
        <w:rPr>
          <w:rFonts w:ascii="Abadi" w:hAnsi="Abadi" w:cs="*Microsoft Sans Serif-11827-Ide"/>
          <w:color w:val="282828"/>
          <w:sz w:val="21"/>
          <w:szCs w:val="21"/>
        </w:rPr>
        <w:t>modalidades, con la autorización o reconocimiento de validez oficial de estudios, en los términos dispuestos por el artículo 3o. de la Constitución Política de los Estados Unidos Mexicanos, esto Ley, la Ley General de Educación, la Ley de Educación paro el Estado de Guanajuato, éstos últimas en lo que correspondan y demás disposiciones jurídicas aplicables.</w:t>
      </w:r>
    </w:p>
    <w:p w14:paraId="3BC27D3E" w14:textId="77777777" w:rsidR="00366FFB" w:rsidRPr="00743CF7" w:rsidRDefault="00366FFB" w:rsidP="00366FFB">
      <w:pPr>
        <w:autoSpaceDE w:val="0"/>
        <w:autoSpaceDN w:val="0"/>
        <w:adjustRightInd w:val="0"/>
        <w:jc w:val="both"/>
        <w:rPr>
          <w:rFonts w:ascii="Abadi" w:hAnsi="Abadi" w:cs="*Microsoft Sans Serif-11827-Ide"/>
          <w:color w:val="282828"/>
          <w:sz w:val="21"/>
          <w:szCs w:val="21"/>
        </w:rPr>
      </w:pPr>
    </w:p>
    <w:p w14:paraId="2F4B7B88" w14:textId="63D9F313" w:rsidR="00366FFB" w:rsidRPr="00743CF7" w:rsidRDefault="00366FFB" w:rsidP="00366FFB">
      <w:pPr>
        <w:autoSpaceDE w:val="0"/>
        <w:autoSpaceDN w:val="0"/>
        <w:adjustRightInd w:val="0"/>
        <w:ind w:firstLine="708"/>
        <w:jc w:val="both"/>
        <w:rPr>
          <w:rFonts w:ascii="Abadi" w:hAnsi="Abadi" w:cs="*Microsoft Sans Serif-11827-Ide"/>
          <w:color w:val="282828"/>
          <w:sz w:val="21"/>
          <w:szCs w:val="21"/>
        </w:rPr>
      </w:pPr>
      <w:r w:rsidRPr="00743CF7">
        <w:rPr>
          <w:rFonts w:ascii="Abadi" w:hAnsi="Abadi" w:cs="*Microsoft Sans Serif-11827-Ide"/>
          <w:color w:val="282828"/>
          <w:sz w:val="21"/>
          <w:szCs w:val="21"/>
        </w:rPr>
        <w:t xml:space="preserve">Por lo que concierne a la educación normal </w:t>
      </w:r>
      <w:r w:rsidRPr="00743CF7">
        <w:rPr>
          <w:rFonts w:ascii="Abadi" w:hAnsi="Abadi" w:cs="*Times New Roman-Italic-11824-I"/>
          <w:i/>
          <w:iCs/>
          <w:color w:val="282828"/>
          <w:sz w:val="21"/>
          <w:szCs w:val="21"/>
        </w:rPr>
        <w:t xml:space="preserve">y </w:t>
      </w:r>
      <w:r w:rsidRPr="00743CF7">
        <w:rPr>
          <w:rFonts w:ascii="Abadi" w:hAnsi="Abadi" w:cs="*Microsoft Sans Serif-11827-Ide"/>
          <w:color w:val="282828"/>
          <w:sz w:val="21"/>
          <w:szCs w:val="21"/>
        </w:rPr>
        <w:t xml:space="preserve">demás para la formación docente de educación básica, deberán obtener previamente, en cada caso, la autorización expresa del Estado, la cual surtirá efectos a partir de su otorgamiento por parte de la autoridad educativa correspondiente o la Institución facultada para ello </w:t>
      </w:r>
      <w:r w:rsidRPr="00743CF7">
        <w:rPr>
          <w:rFonts w:ascii="Abadi" w:hAnsi="Abadi" w:cs="*Times New Roman-Italic-11824-I"/>
          <w:i/>
          <w:iCs/>
          <w:color w:val="282828"/>
          <w:sz w:val="21"/>
          <w:szCs w:val="21"/>
        </w:rPr>
        <w:t xml:space="preserve">y </w:t>
      </w:r>
      <w:r w:rsidRPr="00743CF7">
        <w:rPr>
          <w:rFonts w:ascii="Abadi" w:hAnsi="Abadi" w:cs="*Microsoft Sans Serif-11827-Ide"/>
          <w:color w:val="282828"/>
          <w:sz w:val="21"/>
          <w:szCs w:val="21"/>
        </w:rPr>
        <w:t>se otorgará conforme a las disposiciones de la Ley General de Educación</w:t>
      </w:r>
      <w:r>
        <w:rPr>
          <w:rFonts w:ascii="Abadi" w:hAnsi="Abadi" w:cs="*Microsoft Sans Serif-11827-Ide"/>
          <w:color w:val="282828"/>
          <w:sz w:val="21"/>
          <w:szCs w:val="21"/>
        </w:rPr>
        <w:t xml:space="preserve"> y</w:t>
      </w:r>
      <w:r w:rsidRPr="00743CF7">
        <w:rPr>
          <w:rFonts w:ascii="Abadi" w:hAnsi="Abadi" w:cs="*Times New Roman-Italic-11824-I"/>
          <w:i/>
          <w:iCs/>
          <w:color w:val="282828"/>
          <w:sz w:val="21"/>
          <w:szCs w:val="21"/>
        </w:rPr>
        <w:t xml:space="preserve"> </w:t>
      </w:r>
      <w:r w:rsidRPr="00743CF7">
        <w:rPr>
          <w:rFonts w:ascii="Abadi" w:hAnsi="Abadi" w:cs="*Microsoft Sans Serif-11827-Ide"/>
          <w:color w:val="282828"/>
          <w:sz w:val="21"/>
          <w:szCs w:val="21"/>
        </w:rPr>
        <w:t>las disposiciones normativas que expidan lo autoridad educativa federal y lo Secretaría para tal efecto.</w:t>
      </w:r>
    </w:p>
    <w:p w14:paraId="7DCED93C" w14:textId="77777777" w:rsidR="00366FFB" w:rsidRPr="00743CF7" w:rsidRDefault="00366FFB" w:rsidP="00366FFB">
      <w:pPr>
        <w:autoSpaceDE w:val="0"/>
        <w:autoSpaceDN w:val="0"/>
        <w:adjustRightInd w:val="0"/>
        <w:jc w:val="both"/>
        <w:rPr>
          <w:rFonts w:ascii="Abadi" w:hAnsi="Abadi" w:cs="*Microsoft Sans Serif-11827-Ide"/>
          <w:color w:val="282828"/>
          <w:sz w:val="21"/>
          <w:szCs w:val="21"/>
        </w:rPr>
      </w:pPr>
    </w:p>
    <w:p w14:paraId="0370C1EB" w14:textId="77777777" w:rsidR="00366FFB" w:rsidRPr="00743CF7" w:rsidRDefault="00366FFB" w:rsidP="00366FFB">
      <w:pPr>
        <w:autoSpaceDE w:val="0"/>
        <w:autoSpaceDN w:val="0"/>
        <w:adjustRightInd w:val="0"/>
        <w:ind w:firstLine="708"/>
        <w:jc w:val="both"/>
        <w:rPr>
          <w:rFonts w:ascii="Abadi" w:hAnsi="Abadi" w:cs="*Microsoft Sans Serif-11827-Ide"/>
          <w:color w:val="262626"/>
          <w:sz w:val="21"/>
          <w:szCs w:val="21"/>
        </w:rPr>
      </w:pPr>
      <w:r w:rsidRPr="00743CF7">
        <w:rPr>
          <w:rFonts w:ascii="Abadi" w:hAnsi="Abadi" w:cs="*Microsoft Sans Serif-11827-Ide"/>
          <w:color w:val="262626"/>
          <w:sz w:val="21"/>
          <w:szCs w:val="21"/>
        </w:rPr>
        <w:t>Tratándose de estudios distintos a los del párrafo anterior, se estará a la dispuesto en el presente Título y en lo que corresponda a lo Ley General de Educación y a la Ley de Educación para el Estado de Guanajuato.</w:t>
      </w:r>
    </w:p>
    <w:p w14:paraId="17CC163C" w14:textId="77777777" w:rsidR="00366FFB" w:rsidRPr="00743CF7" w:rsidRDefault="00366FFB" w:rsidP="00366FFB">
      <w:pPr>
        <w:autoSpaceDE w:val="0"/>
        <w:autoSpaceDN w:val="0"/>
        <w:adjustRightInd w:val="0"/>
        <w:jc w:val="both"/>
        <w:rPr>
          <w:rFonts w:ascii="Abadi" w:hAnsi="Abadi" w:cs="*Microsoft Sans Serif-11827-Ide"/>
          <w:color w:val="262626"/>
          <w:sz w:val="21"/>
          <w:szCs w:val="21"/>
        </w:rPr>
      </w:pPr>
    </w:p>
    <w:p w14:paraId="0B7DC8AD" w14:textId="77777777" w:rsidR="00366FFB" w:rsidRPr="00743CF7" w:rsidRDefault="00366FFB" w:rsidP="00366FFB">
      <w:pPr>
        <w:autoSpaceDE w:val="0"/>
        <w:autoSpaceDN w:val="0"/>
        <w:adjustRightInd w:val="0"/>
        <w:ind w:firstLine="708"/>
        <w:jc w:val="both"/>
        <w:rPr>
          <w:rFonts w:ascii="Abadi" w:hAnsi="Abadi" w:cs="*Microsoft Sans Serif-11827-Ide"/>
          <w:color w:val="282828"/>
          <w:sz w:val="21"/>
          <w:szCs w:val="21"/>
        </w:rPr>
      </w:pPr>
      <w:r w:rsidRPr="00743CF7">
        <w:rPr>
          <w:rFonts w:ascii="Abadi" w:hAnsi="Abadi" w:cs="*Microsoft Sans Serif-11827-Ide"/>
          <w:color w:val="282828"/>
          <w:sz w:val="21"/>
          <w:szCs w:val="21"/>
        </w:rPr>
        <w:t>Los particulares que impartan estudios de tipo superior que obtengan autorización o reconocimiento de validez oficial de estudios en términos de esta Ley, deberán registrarse ante la autoridad en materia de profesiones, de conformidad con la normatividad aplicable.</w:t>
      </w:r>
    </w:p>
    <w:p w14:paraId="73885642" w14:textId="77777777" w:rsidR="00366FFB" w:rsidRPr="00743CF7" w:rsidRDefault="00366FFB" w:rsidP="00366FFB">
      <w:pPr>
        <w:autoSpaceDE w:val="0"/>
        <w:autoSpaceDN w:val="0"/>
        <w:adjustRightInd w:val="0"/>
        <w:jc w:val="both"/>
        <w:rPr>
          <w:rFonts w:ascii="Abadi" w:hAnsi="Abadi" w:cs="*Microsoft Sans Serif-11827-Ide"/>
          <w:color w:val="282828"/>
          <w:sz w:val="21"/>
          <w:szCs w:val="21"/>
        </w:rPr>
      </w:pPr>
    </w:p>
    <w:p w14:paraId="6E67C0CB" w14:textId="77777777" w:rsidR="002001D5" w:rsidRDefault="002001D5" w:rsidP="002001D5">
      <w:pPr>
        <w:autoSpaceDE w:val="0"/>
        <w:autoSpaceDN w:val="0"/>
        <w:adjustRightInd w:val="0"/>
        <w:ind w:firstLine="708"/>
        <w:jc w:val="both"/>
        <w:rPr>
          <w:rFonts w:ascii="Abadi" w:hAnsi="Abadi" w:cs="*Arial-13453-Identity-H"/>
          <w:color w:val="2C2C2C"/>
          <w:sz w:val="21"/>
          <w:szCs w:val="21"/>
        </w:rPr>
      </w:pPr>
      <w:r w:rsidRPr="00743CF7">
        <w:rPr>
          <w:rFonts w:ascii="Abadi" w:hAnsi="Abadi" w:cs="*Microsoft Sans Serif-11827-Ide"/>
          <w:color w:val="2B2B2B"/>
          <w:sz w:val="21"/>
          <w:szCs w:val="21"/>
        </w:rPr>
        <w:t>Las autorizaciones</w:t>
      </w:r>
      <w:r w:rsidR="00366FFB" w:rsidRPr="00743CF7">
        <w:rPr>
          <w:rFonts w:ascii="Abadi" w:hAnsi="Abadi" w:cs="*Microsoft Sans Serif-11827-Ide"/>
          <w:color w:val="2B2B2B"/>
          <w:sz w:val="21"/>
          <w:szCs w:val="21"/>
        </w:rPr>
        <w:t xml:space="preserve"> o los reconocimientos de validez oficial de estudios se refrendarán con lo periodicidad que se determine en esta Ley. Las autoridades educativas o las instituciones públicas de educación superior facultadas para ello, en los casos de su competencia, podrán autorizar plazos de refrendo mayores a los </w:t>
      </w:r>
      <w:r w:rsidR="00366FFB" w:rsidRPr="00743CF7">
        <w:rPr>
          <w:rFonts w:ascii="Abadi" w:hAnsi="Abadi" w:cs="*Arial-13453-Identity-H"/>
          <w:color w:val="2C2C2C"/>
          <w:sz w:val="21"/>
          <w:szCs w:val="21"/>
        </w:rPr>
        <w:t>previstos en las disposiciones normativas aplicables. En el supuesto de no cumplirse los requisitos establecidos paro el refrendo, establecerán los procedimientos necesarios para salvaguardar los estudios de las personas inscritos en el plan y</w:t>
      </w:r>
      <w:r w:rsidR="00366FFB">
        <w:rPr>
          <w:rFonts w:ascii="Abadi" w:hAnsi="Abadi" w:cs="*Arial-13453-Identity-H"/>
          <w:color w:val="2C2C2C"/>
          <w:sz w:val="21"/>
          <w:szCs w:val="21"/>
        </w:rPr>
        <w:t xml:space="preserve"> </w:t>
      </w:r>
      <w:r w:rsidR="00366FFB" w:rsidRPr="00743CF7">
        <w:rPr>
          <w:rFonts w:ascii="Abadi" w:hAnsi="Abadi" w:cs="*Arial-13453-Identity-H"/>
          <w:color w:val="2C2C2C"/>
          <w:sz w:val="21"/>
          <w:szCs w:val="21"/>
        </w:rPr>
        <w:t>programa respectivo.</w:t>
      </w:r>
    </w:p>
    <w:p w14:paraId="7051A629" w14:textId="77777777" w:rsidR="002001D5" w:rsidRDefault="002001D5" w:rsidP="002001D5">
      <w:pPr>
        <w:autoSpaceDE w:val="0"/>
        <w:autoSpaceDN w:val="0"/>
        <w:adjustRightInd w:val="0"/>
        <w:ind w:firstLine="708"/>
        <w:jc w:val="both"/>
        <w:rPr>
          <w:rFonts w:ascii="Abadi" w:hAnsi="Abadi" w:cs="*Arial-13453-Identity-H"/>
          <w:color w:val="2C2C2C"/>
          <w:sz w:val="21"/>
          <w:szCs w:val="21"/>
        </w:rPr>
      </w:pPr>
    </w:p>
    <w:p w14:paraId="7632C2EF" w14:textId="076077D2" w:rsidR="00366FFB" w:rsidRPr="00743CF7" w:rsidRDefault="002001D5" w:rsidP="00F328C7">
      <w:pPr>
        <w:autoSpaceDE w:val="0"/>
        <w:autoSpaceDN w:val="0"/>
        <w:adjustRightInd w:val="0"/>
        <w:ind w:left="708" w:firstLine="708"/>
        <w:jc w:val="both"/>
        <w:rPr>
          <w:rFonts w:ascii="Abadi" w:hAnsi="Abadi" w:cs="*Arial-BoldItalic-13454-Identit"/>
          <w:b/>
          <w:bCs/>
          <w:i/>
          <w:iCs/>
          <w:color w:val="161616"/>
          <w:sz w:val="21"/>
          <w:szCs w:val="21"/>
        </w:rPr>
      </w:pPr>
      <w:r w:rsidRPr="002001D5">
        <w:rPr>
          <w:rFonts w:ascii="Abadi" w:hAnsi="Abadi" w:cs="*Arial-BoldItalic-13454-Identit"/>
          <w:b/>
          <w:bCs/>
          <w:i/>
          <w:iCs/>
          <w:color w:val="161616"/>
          <w:sz w:val="21"/>
          <w:szCs w:val="21"/>
        </w:rPr>
        <w:t>O</w:t>
      </w:r>
      <w:r w:rsidR="00366FFB" w:rsidRPr="00743CF7">
        <w:rPr>
          <w:rFonts w:ascii="Abadi" w:hAnsi="Abadi" w:cs="*Arial-BoldItalic-13454-Identit"/>
          <w:b/>
          <w:bCs/>
          <w:i/>
          <w:iCs/>
          <w:color w:val="161616"/>
          <w:sz w:val="21"/>
          <w:szCs w:val="21"/>
        </w:rPr>
        <w:t>torgamiento de becas</w:t>
      </w:r>
    </w:p>
    <w:p w14:paraId="146D3A19" w14:textId="77777777" w:rsidR="00366FFB" w:rsidRPr="00743CF7" w:rsidRDefault="00366FFB" w:rsidP="00366FFB">
      <w:pPr>
        <w:autoSpaceDE w:val="0"/>
        <w:autoSpaceDN w:val="0"/>
        <w:adjustRightInd w:val="0"/>
        <w:ind w:firstLine="708"/>
        <w:jc w:val="both"/>
        <w:rPr>
          <w:rFonts w:ascii="Abadi" w:hAnsi="Abadi" w:cs="*Arial-13453-Identity-H"/>
          <w:color w:val="292929"/>
          <w:sz w:val="21"/>
          <w:szCs w:val="21"/>
        </w:rPr>
      </w:pPr>
      <w:r w:rsidRPr="002001D5">
        <w:rPr>
          <w:rFonts w:ascii="Abadi" w:hAnsi="Abadi" w:cs="*Arial-BoldItalic-13454-Identit"/>
          <w:b/>
          <w:bCs/>
          <w:i/>
          <w:iCs/>
          <w:color w:val="161616"/>
          <w:sz w:val="21"/>
          <w:szCs w:val="21"/>
        </w:rPr>
        <w:t>Artículo</w:t>
      </w:r>
      <w:r w:rsidRPr="00743CF7">
        <w:rPr>
          <w:rFonts w:ascii="Abadi" w:hAnsi="Abadi" w:cs="*Microsoft Sans Serif-Bold-1345"/>
          <w:b/>
          <w:bCs/>
          <w:color w:val="292929"/>
          <w:sz w:val="21"/>
          <w:szCs w:val="21"/>
        </w:rPr>
        <w:t xml:space="preserve"> 92. </w:t>
      </w:r>
      <w:r w:rsidRPr="00743CF7">
        <w:rPr>
          <w:rFonts w:ascii="Abadi" w:hAnsi="Abadi" w:cs="*Arial-13453-Identity-H"/>
          <w:color w:val="292929"/>
          <w:sz w:val="21"/>
          <w:szCs w:val="21"/>
        </w:rPr>
        <w:t xml:space="preserve">Para contribuir a la equidad en educación, las instituciones particulares de educación superior otorgarán becas que cubran la impartición del servicio educativo, cuya suma del número que otorguen no podrá </w:t>
      </w:r>
      <w:r w:rsidRPr="00743CF7">
        <w:rPr>
          <w:rFonts w:ascii="Abadi" w:hAnsi="Abadi" w:cs="*Microsoft Sans Serif-Italic-13"/>
          <w:i/>
          <w:iCs/>
          <w:color w:val="292929"/>
          <w:sz w:val="21"/>
          <w:szCs w:val="21"/>
        </w:rPr>
        <w:t xml:space="preserve">ser </w:t>
      </w:r>
      <w:r w:rsidRPr="00743CF7">
        <w:rPr>
          <w:rFonts w:ascii="Abadi" w:hAnsi="Abadi" w:cs="*Arial-13453-Identity-H"/>
          <w:color w:val="292929"/>
          <w:sz w:val="21"/>
          <w:szCs w:val="21"/>
        </w:rPr>
        <w:t>inferior al cinco por ciento del total de su matrícula inscrita para todos los planes y programas de estudios con autorización o reconocimiento de validez oficial de estudios distribuidos de manera proporcional. de acuerdo con el número de estudiantes de cada uno de ellos.</w:t>
      </w:r>
    </w:p>
    <w:p w14:paraId="3D5A7A85" w14:textId="77777777" w:rsidR="00366FFB" w:rsidRPr="00743CF7" w:rsidRDefault="00366FFB" w:rsidP="00366FFB">
      <w:pPr>
        <w:autoSpaceDE w:val="0"/>
        <w:autoSpaceDN w:val="0"/>
        <w:adjustRightInd w:val="0"/>
        <w:jc w:val="both"/>
        <w:rPr>
          <w:rFonts w:ascii="Abadi" w:hAnsi="Abadi" w:cs="*Arial-13453-Identity-H"/>
          <w:color w:val="292929"/>
          <w:sz w:val="21"/>
          <w:szCs w:val="21"/>
        </w:rPr>
      </w:pPr>
    </w:p>
    <w:p w14:paraId="531B04F3" w14:textId="77777777" w:rsidR="00366FFB" w:rsidRPr="00743CF7" w:rsidRDefault="00366FFB" w:rsidP="00366FFB">
      <w:pPr>
        <w:autoSpaceDE w:val="0"/>
        <w:autoSpaceDN w:val="0"/>
        <w:adjustRightInd w:val="0"/>
        <w:jc w:val="both"/>
        <w:rPr>
          <w:rFonts w:ascii="Abadi" w:hAnsi="Abadi" w:cs="*Arial-13453-Identity-H"/>
          <w:color w:val="292929"/>
          <w:sz w:val="21"/>
          <w:szCs w:val="21"/>
        </w:rPr>
      </w:pPr>
      <w:r w:rsidRPr="00743CF7">
        <w:rPr>
          <w:rFonts w:ascii="Abadi" w:hAnsi="Abadi" w:cs="*Arial-13453-Identity-H"/>
          <w:color w:val="292929"/>
          <w:sz w:val="21"/>
          <w:szCs w:val="21"/>
        </w:rPr>
        <w:t>Las becas se otorgarán, con base en el criterio de equidad, o estudiantes que no cuenten con posibilidades económicas para cubrir el servicio educativo prestado por las instituciones particulares de educación superior, sobresalgan en capacidades académicas o ambas, y que cumplan con los requisitos que la misma establezca para el ingreso y permanenci</w:t>
      </w:r>
      <w:r>
        <w:rPr>
          <w:rFonts w:ascii="Abadi" w:hAnsi="Abadi" w:cs="*Arial-13453-Identity-H"/>
          <w:color w:val="292929"/>
          <w:sz w:val="21"/>
          <w:szCs w:val="21"/>
        </w:rPr>
        <w:t>a</w:t>
      </w:r>
      <w:r w:rsidRPr="00743CF7">
        <w:rPr>
          <w:rFonts w:ascii="Abadi" w:hAnsi="Abadi" w:cs="*Arial-13453-Identity-H"/>
          <w:color w:val="292929"/>
          <w:sz w:val="21"/>
          <w:szCs w:val="21"/>
        </w:rPr>
        <w:t>. El otorgamiento se realizará a través de un Comité de Equidad y Corresponsabilidad Social Educativa establecido por cado institución particular de educación superior, conforme o sus normas internas y deberá cumplir con los principios de transparencia y publicidad conforme a las disposiciones normativas aplicables.</w:t>
      </w:r>
    </w:p>
    <w:p w14:paraId="4E99C6CD" w14:textId="77777777" w:rsidR="00366FFB" w:rsidRPr="00743CF7" w:rsidRDefault="00366FFB" w:rsidP="00366FFB">
      <w:pPr>
        <w:autoSpaceDE w:val="0"/>
        <w:autoSpaceDN w:val="0"/>
        <w:adjustRightInd w:val="0"/>
        <w:jc w:val="both"/>
        <w:rPr>
          <w:rFonts w:ascii="Abadi" w:hAnsi="Abadi" w:cs="*Arial-13453-Identity-H"/>
          <w:color w:val="292929"/>
          <w:sz w:val="21"/>
          <w:szCs w:val="21"/>
        </w:rPr>
      </w:pPr>
    </w:p>
    <w:p w14:paraId="7C6C8F38" w14:textId="182CE008" w:rsidR="00366FFB" w:rsidRPr="00743CF7" w:rsidRDefault="002001D5" w:rsidP="00366FFB">
      <w:pPr>
        <w:autoSpaceDE w:val="0"/>
        <w:autoSpaceDN w:val="0"/>
        <w:adjustRightInd w:val="0"/>
        <w:jc w:val="both"/>
        <w:rPr>
          <w:rFonts w:ascii="Abadi" w:hAnsi="Abadi" w:cs="*Arial-13453-Identity-H"/>
          <w:color w:val="2B2B2B"/>
          <w:sz w:val="21"/>
          <w:szCs w:val="21"/>
        </w:rPr>
      </w:pPr>
      <w:r w:rsidRPr="00743CF7">
        <w:rPr>
          <w:rFonts w:ascii="Abadi" w:hAnsi="Abadi" w:cs="*Arial-13453-Identity-H"/>
          <w:color w:val="2B2B2B"/>
          <w:sz w:val="21"/>
          <w:szCs w:val="21"/>
        </w:rPr>
        <w:t>Las becas</w:t>
      </w:r>
      <w:r w:rsidR="00366FFB" w:rsidRPr="00743CF7">
        <w:rPr>
          <w:rFonts w:ascii="Abadi" w:hAnsi="Abadi" w:cs="*Arial-13453-Identity-H"/>
          <w:color w:val="2B2B2B"/>
          <w:sz w:val="21"/>
          <w:szCs w:val="21"/>
        </w:rPr>
        <w:t xml:space="preserve"> podrán consistir en la exención del pago total o parcial de las cuotas de inscripción o </w:t>
      </w:r>
      <w:r w:rsidR="00366FFB" w:rsidRPr="00743CF7">
        <w:rPr>
          <w:rFonts w:ascii="Abadi" w:hAnsi="Abadi" w:cs="*Microsoft Sans Serif-Italic-13"/>
          <w:i/>
          <w:iCs/>
          <w:color w:val="2B2B2B"/>
          <w:sz w:val="21"/>
          <w:szCs w:val="21"/>
        </w:rPr>
        <w:t xml:space="preserve">de </w:t>
      </w:r>
      <w:r w:rsidR="00366FFB" w:rsidRPr="00743CF7">
        <w:rPr>
          <w:rFonts w:ascii="Abadi" w:hAnsi="Abadi" w:cs="*Arial-13453-Identity-H"/>
          <w:color w:val="2B2B2B"/>
          <w:sz w:val="21"/>
          <w:szCs w:val="21"/>
        </w:rPr>
        <w:t xml:space="preserve">colegiaturas que haya establecido el particular. Para dar cumplimiento al monto establecido en </w:t>
      </w:r>
      <w:r w:rsidR="00366FFB" w:rsidRPr="00743CF7">
        <w:rPr>
          <w:rFonts w:ascii="Abadi" w:hAnsi="Abadi" w:cs="*Times New Roman-Italic-13449-I"/>
          <w:i/>
          <w:iCs/>
          <w:color w:val="2B2B2B"/>
          <w:sz w:val="21"/>
          <w:szCs w:val="21"/>
        </w:rPr>
        <w:t xml:space="preserve">el </w:t>
      </w:r>
      <w:r w:rsidR="00366FFB" w:rsidRPr="00743CF7">
        <w:rPr>
          <w:rFonts w:ascii="Abadi" w:hAnsi="Abadi" w:cs="*Arial-13453-Identity-H"/>
          <w:color w:val="2B2B2B"/>
          <w:sz w:val="21"/>
          <w:szCs w:val="21"/>
        </w:rPr>
        <w:t>párrafo primero de este artículo, los</w:t>
      </w:r>
    </w:p>
    <w:p w14:paraId="6BBF54FF" w14:textId="77777777" w:rsidR="00366FFB" w:rsidRPr="00743CF7" w:rsidRDefault="00366FFB" w:rsidP="00366FFB">
      <w:pPr>
        <w:autoSpaceDE w:val="0"/>
        <w:autoSpaceDN w:val="0"/>
        <w:adjustRightInd w:val="0"/>
        <w:jc w:val="both"/>
        <w:rPr>
          <w:rFonts w:ascii="Abadi" w:hAnsi="Abadi" w:cs="*Arial-13453-Identity-H"/>
          <w:color w:val="2B2B2B"/>
          <w:sz w:val="21"/>
          <w:szCs w:val="21"/>
        </w:rPr>
      </w:pPr>
    </w:p>
    <w:p w14:paraId="262CAC01" w14:textId="3C49AAE0" w:rsidR="00366FFB" w:rsidRPr="00743CF7" w:rsidRDefault="00366FFB" w:rsidP="00366FFB">
      <w:pPr>
        <w:autoSpaceDE w:val="0"/>
        <w:autoSpaceDN w:val="0"/>
        <w:adjustRightInd w:val="0"/>
        <w:jc w:val="both"/>
        <w:rPr>
          <w:rFonts w:ascii="Abadi" w:hAnsi="Abadi" w:cs="*Arial-11588-Identity-H"/>
          <w:color w:val="292929"/>
          <w:sz w:val="21"/>
          <w:szCs w:val="21"/>
        </w:rPr>
      </w:pPr>
      <w:r w:rsidRPr="00743CF7">
        <w:rPr>
          <w:rFonts w:ascii="Abadi" w:hAnsi="Abadi" w:cs="*Arial-13453-Identity-H"/>
          <w:color w:val="2B2B2B"/>
          <w:sz w:val="21"/>
          <w:szCs w:val="21"/>
        </w:rPr>
        <w:t xml:space="preserve">porcentajes de </w:t>
      </w:r>
      <w:r w:rsidR="002001D5" w:rsidRPr="00743CF7">
        <w:rPr>
          <w:rFonts w:ascii="Abadi" w:hAnsi="Abadi" w:cs="*Arial-13453-Identity-H"/>
          <w:color w:val="2B2B2B"/>
          <w:sz w:val="21"/>
          <w:szCs w:val="21"/>
        </w:rPr>
        <w:t>las becas parciales</w:t>
      </w:r>
      <w:r w:rsidRPr="00743CF7">
        <w:rPr>
          <w:rFonts w:ascii="Abadi" w:hAnsi="Abadi" w:cs="*Arial-13453-Identity-H"/>
          <w:color w:val="2B2B2B"/>
          <w:sz w:val="21"/>
          <w:szCs w:val="21"/>
        </w:rPr>
        <w:t xml:space="preserve"> se sumarán hasta completar el equivalente a una beca de la exención del pago total de las cuotas de inscripción o de </w:t>
      </w:r>
      <w:r w:rsidRPr="00743CF7">
        <w:rPr>
          <w:rFonts w:ascii="Abadi" w:hAnsi="Abadi" w:cs="*Arial-11588-Identity-H"/>
          <w:color w:val="292929"/>
          <w:sz w:val="21"/>
          <w:szCs w:val="21"/>
        </w:rPr>
        <w:t>colegiaturas que hoyo establecido el particular. El otorgamiento o renovación de lo beca no podrá condicionarse a la aceptación de ningún crédito. gravamen, servicio o actividad extracurricular a cargo del becario.</w:t>
      </w:r>
    </w:p>
    <w:p w14:paraId="1ACF7576" w14:textId="77777777" w:rsidR="00366FFB" w:rsidRPr="00743CF7" w:rsidRDefault="00366FFB" w:rsidP="00366FFB">
      <w:pPr>
        <w:autoSpaceDE w:val="0"/>
        <w:autoSpaceDN w:val="0"/>
        <w:adjustRightInd w:val="0"/>
        <w:jc w:val="both"/>
        <w:rPr>
          <w:rFonts w:ascii="Abadi" w:hAnsi="Abadi" w:cs="*Arial-Bold-11590-Identity-H"/>
          <w:b/>
          <w:bCs/>
          <w:color w:val="0E0E0E"/>
          <w:sz w:val="21"/>
          <w:szCs w:val="21"/>
        </w:rPr>
      </w:pPr>
    </w:p>
    <w:p w14:paraId="23D9F434" w14:textId="77777777" w:rsidR="00366FFB" w:rsidRDefault="00366FFB" w:rsidP="00366FFB">
      <w:pPr>
        <w:autoSpaceDE w:val="0"/>
        <w:autoSpaceDN w:val="0"/>
        <w:adjustRightInd w:val="0"/>
        <w:jc w:val="center"/>
        <w:rPr>
          <w:rFonts w:ascii="Abadi" w:hAnsi="Abadi" w:cs="*Arial-Bold-11590-Identity-H"/>
          <w:b/>
          <w:bCs/>
          <w:color w:val="0E0E0E"/>
          <w:sz w:val="21"/>
          <w:szCs w:val="21"/>
        </w:rPr>
      </w:pPr>
      <w:r w:rsidRPr="00743CF7">
        <w:rPr>
          <w:rFonts w:ascii="Abadi" w:hAnsi="Abadi" w:cs="*Arial-Bold-11590-Identity-H"/>
          <w:b/>
          <w:bCs/>
          <w:color w:val="0E0E0E"/>
          <w:sz w:val="21"/>
          <w:szCs w:val="21"/>
        </w:rPr>
        <w:t xml:space="preserve">Capítulo </w:t>
      </w:r>
      <w:r>
        <w:rPr>
          <w:rFonts w:ascii="Abadi" w:hAnsi="Abadi" w:cs="*Arial-Bold-11590-Identity-H"/>
          <w:b/>
          <w:bCs/>
          <w:color w:val="0E0E0E"/>
          <w:sz w:val="21"/>
          <w:szCs w:val="21"/>
        </w:rPr>
        <w:t>II</w:t>
      </w:r>
    </w:p>
    <w:p w14:paraId="7B7A3B8A" w14:textId="77777777" w:rsidR="00366FFB" w:rsidRPr="00743CF7" w:rsidRDefault="00366FFB" w:rsidP="00366FFB">
      <w:pPr>
        <w:autoSpaceDE w:val="0"/>
        <w:autoSpaceDN w:val="0"/>
        <w:adjustRightInd w:val="0"/>
        <w:jc w:val="center"/>
        <w:rPr>
          <w:rFonts w:ascii="Abadi" w:hAnsi="Abadi" w:cs="*Arial-Bold-11590-Identity-H"/>
          <w:b/>
          <w:bCs/>
          <w:color w:val="0E0E0E"/>
          <w:sz w:val="21"/>
          <w:szCs w:val="21"/>
        </w:rPr>
      </w:pPr>
    </w:p>
    <w:p w14:paraId="1B4B165F" w14:textId="77777777" w:rsidR="00366FFB" w:rsidRPr="00743CF7" w:rsidRDefault="00366FFB" w:rsidP="00366FFB">
      <w:pPr>
        <w:autoSpaceDE w:val="0"/>
        <w:autoSpaceDN w:val="0"/>
        <w:adjustRightInd w:val="0"/>
        <w:jc w:val="center"/>
        <w:rPr>
          <w:rFonts w:ascii="Abadi" w:hAnsi="Abadi" w:cs="*Arial-Bold-11590-Identity-H"/>
          <w:b/>
          <w:bCs/>
          <w:color w:val="101010"/>
          <w:sz w:val="21"/>
          <w:szCs w:val="21"/>
        </w:rPr>
      </w:pPr>
      <w:r w:rsidRPr="00743CF7">
        <w:rPr>
          <w:rFonts w:ascii="Abadi" w:hAnsi="Abadi" w:cs="*Arial-Bold-11590-Identity-H"/>
          <w:b/>
          <w:bCs/>
          <w:color w:val="101010"/>
          <w:sz w:val="21"/>
          <w:szCs w:val="21"/>
        </w:rPr>
        <w:t>Incorporación de particulares al Sistema Educativo Estatal</w:t>
      </w:r>
    </w:p>
    <w:p w14:paraId="2AA5EA18" w14:textId="77777777" w:rsidR="00366FFB" w:rsidRDefault="00366FFB" w:rsidP="00366FFB">
      <w:pPr>
        <w:autoSpaceDE w:val="0"/>
        <w:autoSpaceDN w:val="0"/>
        <w:adjustRightInd w:val="0"/>
        <w:jc w:val="both"/>
        <w:rPr>
          <w:rFonts w:ascii="Abadi" w:hAnsi="Abadi" w:cs="*Arial-BoldItalic-11591-Identit"/>
          <w:b/>
          <w:bCs/>
          <w:i/>
          <w:iCs/>
          <w:color w:val="101010"/>
          <w:sz w:val="21"/>
          <w:szCs w:val="21"/>
        </w:rPr>
      </w:pPr>
    </w:p>
    <w:p w14:paraId="3A125B4F" w14:textId="77777777" w:rsidR="00366FFB" w:rsidRPr="00743CF7" w:rsidRDefault="00366FFB" w:rsidP="00366FFB">
      <w:pPr>
        <w:autoSpaceDE w:val="0"/>
        <w:autoSpaceDN w:val="0"/>
        <w:adjustRightInd w:val="0"/>
        <w:jc w:val="both"/>
        <w:rPr>
          <w:rFonts w:ascii="Abadi" w:hAnsi="Abadi" w:cs="*Arial-BoldItalic-11591-Identit"/>
          <w:b/>
          <w:bCs/>
          <w:i/>
          <w:iCs/>
          <w:color w:val="101010"/>
          <w:sz w:val="21"/>
          <w:szCs w:val="21"/>
        </w:rPr>
      </w:pPr>
      <w:r w:rsidRPr="00743CF7">
        <w:rPr>
          <w:rFonts w:ascii="Abadi" w:hAnsi="Abadi" w:cs="*Arial-BoldItalic-11591-Identit"/>
          <w:b/>
          <w:bCs/>
          <w:i/>
          <w:iCs/>
          <w:color w:val="101010"/>
          <w:sz w:val="21"/>
          <w:szCs w:val="21"/>
        </w:rPr>
        <w:t>Reconocimiento de validez oficial de estudios</w:t>
      </w:r>
    </w:p>
    <w:p w14:paraId="6D45AF34" w14:textId="77777777" w:rsidR="00366FFB" w:rsidRDefault="00366FFB" w:rsidP="00366FFB">
      <w:pPr>
        <w:autoSpaceDE w:val="0"/>
        <w:autoSpaceDN w:val="0"/>
        <w:adjustRightInd w:val="0"/>
        <w:ind w:firstLine="708"/>
        <w:jc w:val="both"/>
        <w:rPr>
          <w:rFonts w:ascii="Abadi" w:hAnsi="Abadi" w:cs="*Arial-11588-Identity-H"/>
          <w:color w:val="292929"/>
          <w:sz w:val="21"/>
          <w:szCs w:val="21"/>
        </w:rPr>
      </w:pPr>
      <w:r w:rsidRPr="00743CF7">
        <w:rPr>
          <w:rFonts w:ascii="Abadi" w:hAnsi="Abadi" w:cs="*Arial-Bold-11590-Identity-H"/>
          <w:b/>
          <w:bCs/>
          <w:color w:val="292929"/>
          <w:sz w:val="21"/>
          <w:szCs w:val="21"/>
        </w:rPr>
        <w:t xml:space="preserve">Artículo 93. </w:t>
      </w:r>
      <w:r w:rsidRPr="00743CF7">
        <w:rPr>
          <w:rFonts w:ascii="Abadi" w:hAnsi="Abadi" w:cs="*Arial-11588-Identity-H"/>
          <w:color w:val="292929"/>
          <w:sz w:val="21"/>
          <w:szCs w:val="21"/>
        </w:rPr>
        <w:t>En el reconocimiento de validez oficial de estudios, se atenderán las siguientes disposiciones:</w:t>
      </w:r>
    </w:p>
    <w:p w14:paraId="255F3F00" w14:textId="77777777" w:rsidR="00366FFB" w:rsidRDefault="00366FFB" w:rsidP="00366FFB">
      <w:pPr>
        <w:autoSpaceDE w:val="0"/>
        <w:autoSpaceDN w:val="0"/>
        <w:adjustRightInd w:val="0"/>
        <w:ind w:firstLine="708"/>
        <w:jc w:val="both"/>
        <w:rPr>
          <w:rFonts w:ascii="Abadi" w:hAnsi="Abadi" w:cs="*Arial-11588-Identity-H"/>
          <w:color w:val="292929"/>
          <w:sz w:val="21"/>
          <w:szCs w:val="21"/>
        </w:rPr>
      </w:pPr>
    </w:p>
    <w:p w14:paraId="5200A60F" w14:textId="77777777" w:rsidR="00366FFB" w:rsidRPr="006901E0" w:rsidRDefault="00366FFB" w:rsidP="005C6EBB">
      <w:pPr>
        <w:pStyle w:val="Prrafodelista"/>
        <w:numPr>
          <w:ilvl w:val="0"/>
          <w:numId w:val="46"/>
        </w:numPr>
        <w:autoSpaceDE w:val="0"/>
        <w:autoSpaceDN w:val="0"/>
        <w:adjustRightInd w:val="0"/>
        <w:contextualSpacing/>
        <w:jc w:val="both"/>
        <w:rPr>
          <w:rFonts w:ascii="Abadi" w:hAnsi="Abadi" w:cs="*Arial-11588-Identity-H"/>
          <w:color w:val="2A2A2A"/>
          <w:sz w:val="21"/>
          <w:szCs w:val="21"/>
        </w:rPr>
      </w:pPr>
      <w:r w:rsidRPr="006901E0">
        <w:rPr>
          <w:rFonts w:ascii="Abadi" w:hAnsi="Abadi" w:cs="*Arial-11588-Identity-H"/>
          <w:color w:val="2A2A2A"/>
          <w:sz w:val="21"/>
          <w:szCs w:val="21"/>
        </w:rPr>
        <w:t xml:space="preserve">La resolución o acuerdo emitido en términos de esta Ley por las autoridades educativas facultadas para ello, reconoce la validez oficial de estudios del tipo superior impartidos por un particular. </w:t>
      </w:r>
    </w:p>
    <w:p w14:paraId="7DEF7D17" w14:textId="77777777" w:rsidR="00366FFB" w:rsidRPr="00743CF7" w:rsidRDefault="00366FFB" w:rsidP="00366FFB">
      <w:pPr>
        <w:autoSpaceDE w:val="0"/>
        <w:autoSpaceDN w:val="0"/>
        <w:adjustRightInd w:val="0"/>
        <w:ind w:firstLine="708"/>
        <w:jc w:val="both"/>
        <w:rPr>
          <w:rFonts w:ascii="Abadi" w:hAnsi="Abadi" w:cs="*Arial-11588-Identity-H"/>
          <w:color w:val="292929"/>
          <w:sz w:val="21"/>
          <w:szCs w:val="21"/>
        </w:rPr>
      </w:pPr>
    </w:p>
    <w:p w14:paraId="679ECDEB" w14:textId="77777777" w:rsidR="00366FFB" w:rsidRPr="00743CF7" w:rsidRDefault="00366FFB" w:rsidP="00366FFB">
      <w:pPr>
        <w:autoSpaceDE w:val="0"/>
        <w:autoSpaceDN w:val="0"/>
        <w:adjustRightInd w:val="0"/>
        <w:jc w:val="both"/>
        <w:rPr>
          <w:rFonts w:ascii="Abadi" w:hAnsi="Abadi" w:cs="*Arial-11588-Identity-H"/>
          <w:color w:val="2A2A2A"/>
          <w:sz w:val="21"/>
          <w:szCs w:val="21"/>
        </w:rPr>
      </w:pPr>
    </w:p>
    <w:p w14:paraId="524EA63C" w14:textId="77777777" w:rsidR="00366FFB" w:rsidRPr="006901E0" w:rsidRDefault="00366FFB" w:rsidP="00366FFB">
      <w:pPr>
        <w:autoSpaceDE w:val="0"/>
        <w:autoSpaceDN w:val="0"/>
        <w:adjustRightInd w:val="0"/>
        <w:jc w:val="both"/>
        <w:rPr>
          <w:rFonts w:ascii="Abadi" w:hAnsi="Abadi" w:cs="*Arial-11588-Identity-H"/>
          <w:color w:val="2A2A2A"/>
          <w:sz w:val="21"/>
          <w:szCs w:val="21"/>
        </w:rPr>
      </w:pPr>
      <w:r w:rsidRPr="006901E0">
        <w:rPr>
          <w:rFonts w:ascii="Abadi" w:hAnsi="Abadi" w:cs="*Arial-11588-Identity-H"/>
          <w:color w:val="2A2A2A"/>
          <w:sz w:val="21"/>
          <w:szCs w:val="21"/>
        </w:rPr>
        <w:t xml:space="preserve">Para su tramitación </w:t>
      </w:r>
      <w:r w:rsidRPr="006901E0">
        <w:rPr>
          <w:rFonts w:ascii="Abadi" w:hAnsi="Abadi" w:cs="*Arial-11589-Identity-H"/>
          <w:color w:val="2A2A2A"/>
          <w:sz w:val="21"/>
          <w:szCs w:val="21"/>
        </w:rPr>
        <w:t xml:space="preserve">1 </w:t>
      </w:r>
      <w:r w:rsidRPr="006901E0">
        <w:rPr>
          <w:rFonts w:ascii="Abadi" w:hAnsi="Abadi" w:cs="*Arial-11588-Identity-H"/>
          <w:color w:val="2A2A2A"/>
          <w:sz w:val="21"/>
          <w:szCs w:val="21"/>
        </w:rPr>
        <w:t>se observará lo siguiente:</w:t>
      </w:r>
    </w:p>
    <w:p w14:paraId="2E4C1AEC" w14:textId="77777777" w:rsidR="00366FFB" w:rsidRPr="00743CF7" w:rsidRDefault="00366FFB" w:rsidP="00366FFB">
      <w:pPr>
        <w:autoSpaceDE w:val="0"/>
        <w:autoSpaceDN w:val="0"/>
        <w:adjustRightInd w:val="0"/>
        <w:jc w:val="both"/>
        <w:rPr>
          <w:rFonts w:ascii="Abadi" w:hAnsi="Abadi" w:cs="*Arial-11588-Identity-H"/>
          <w:color w:val="2A2A2A"/>
          <w:sz w:val="21"/>
          <w:szCs w:val="21"/>
        </w:rPr>
      </w:pPr>
    </w:p>
    <w:p w14:paraId="38B1A262" w14:textId="77777777" w:rsidR="00366FFB" w:rsidRPr="00626840" w:rsidRDefault="00366FFB" w:rsidP="005C6EBB">
      <w:pPr>
        <w:pStyle w:val="Prrafodelista"/>
        <w:numPr>
          <w:ilvl w:val="0"/>
          <w:numId w:val="47"/>
        </w:numPr>
        <w:autoSpaceDE w:val="0"/>
        <w:autoSpaceDN w:val="0"/>
        <w:adjustRightInd w:val="0"/>
        <w:contextualSpacing/>
        <w:jc w:val="both"/>
        <w:rPr>
          <w:rFonts w:ascii="Abadi" w:hAnsi="Abadi" w:cs="*Arial-11588-Identity-H"/>
          <w:color w:val="292929"/>
          <w:sz w:val="21"/>
          <w:szCs w:val="21"/>
        </w:rPr>
      </w:pPr>
      <w:r w:rsidRPr="00626840">
        <w:rPr>
          <w:rFonts w:ascii="Abadi" w:hAnsi="Abadi" w:cs="*Arial-11588-Identity-H"/>
          <w:color w:val="292929"/>
          <w:sz w:val="21"/>
          <w:szCs w:val="21"/>
        </w:rPr>
        <w:t xml:space="preserve">Corresponde a la Secretaría o las instituciones públicas de educación superior facultadas paro ello, otorgar, negar o retirar este tipo de reconocimiento conforme a lo establecido en esta Ley, la Ley General de Educación, la Ley de Educación para el Estado de Guanajuato y demás disposiciones normativas aplicables: </w:t>
      </w:r>
    </w:p>
    <w:p w14:paraId="11AF4A7E" w14:textId="77777777" w:rsidR="00366FFB" w:rsidRPr="00743CF7" w:rsidRDefault="00366FFB" w:rsidP="00366FFB">
      <w:pPr>
        <w:autoSpaceDE w:val="0"/>
        <w:autoSpaceDN w:val="0"/>
        <w:adjustRightInd w:val="0"/>
        <w:jc w:val="both"/>
        <w:rPr>
          <w:rFonts w:ascii="Abadi" w:hAnsi="Abadi" w:cs="*Microsoft Sans Serif-Bold-1159"/>
          <w:b/>
          <w:bCs/>
          <w:color w:val="2D2D2D"/>
          <w:sz w:val="21"/>
          <w:szCs w:val="21"/>
        </w:rPr>
      </w:pPr>
    </w:p>
    <w:p w14:paraId="0CC982CB" w14:textId="77777777" w:rsidR="00366FFB" w:rsidRPr="00626840" w:rsidRDefault="00366FFB" w:rsidP="005C6EBB">
      <w:pPr>
        <w:pStyle w:val="Prrafodelista"/>
        <w:numPr>
          <w:ilvl w:val="0"/>
          <w:numId w:val="47"/>
        </w:numPr>
        <w:autoSpaceDE w:val="0"/>
        <w:autoSpaceDN w:val="0"/>
        <w:adjustRightInd w:val="0"/>
        <w:contextualSpacing/>
        <w:jc w:val="both"/>
        <w:rPr>
          <w:rFonts w:ascii="Abadi" w:hAnsi="Abadi" w:cs="*Arial-11588-Identity-H"/>
          <w:color w:val="2D2D2D"/>
          <w:sz w:val="21"/>
          <w:szCs w:val="21"/>
        </w:rPr>
      </w:pPr>
      <w:r w:rsidRPr="00626840">
        <w:rPr>
          <w:rFonts w:ascii="Abadi" w:hAnsi="Abadi" w:cs="*Arial-11588-Identity-H"/>
          <w:color w:val="2D2D2D"/>
          <w:sz w:val="21"/>
          <w:szCs w:val="21"/>
        </w:rPr>
        <w:t>Se otorgará a la persona solicitante que acredite contar con personal académico, planes y programas de estudio, así como instalaciones conforme a lo establecido en las disposiciones correspondientes y que además presente, como parte de su reglamento escolar, las formas y procedimientos de titulación respectivos:</w:t>
      </w:r>
    </w:p>
    <w:p w14:paraId="29AB5002" w14:textId="77777777" w:rsidR="00366FFB" w:rsidRPr="00743CF7" w:rsidRDefault="00366FFB" w:rsidP="00366FFB">
      <w:pPr>
        <w:autoSpaceDE w:val="0"/>
        <w:autoSpaceDN w:val="0"/>
        <w:adjustRightInd w:val="0"/>
        <w:jc w:val="both"/>
        <w:rPr>
          <w:rFonts w:ascii="Abadi" w:hAnsi="Abadi" w:cs="*Microsoft Sans Serif-Bold-1159"/>
          <w:b/>
          <w:bCs/>
          <w:color w:val="292929"/>
          <w:sz w:val="21"/>
          <w:szCs w:val="21"/>
        </w:rPr>
      </w:pPr>
    </w:p>
    <w:p w14:paraId="2C29214A" w14:textId="77777777" w:rsidR="00366FFB" w:rsidRPr="00626840" w:rsidRDefault="00366FFB" w:rsidP="005C6EBB">
      <w:pPr>
        <w:pStyle w:val="Prrafodelista"/>
        <w:numPr>
          <w:ilvl w:val="0"/>
          <w:numId w:val="47"/>
        </w:numPr>
        <w:autoSpaceDE w:val="0"/>
        <w:autoSpaceDN w:val="0"/>
        <w:adjustRightInd w:val="0"/>
        <w:contextualSpacing/>
        <w:jc w:val="both"/>
        <w:rPr>
          <w:rFonts w:ascii="Abadi" w:hAnsi="Abadi" w:cs="*Arial-11588-Identity-H"/>
          <w:color w:val="292929"/>
          <w:sz w:val="21"/>
          <w:szCs w:val="21"/>
        </w:rPr>
      </w:pPr>
      <w:r w:rsidRPr="00626840">
        <w:rPr>
          <w:rFonts w:ascii="Abadi" w:hAnsi="Abadi" w:cs="*Arial-11588-Identity-H"/>
          <w:color w:val="292929"/>
          <w:sz w:val="21"/>
          <w:szCs w:val="21"/>
        </w:rPr>
        <w:t>El otorgamiento será paro impartir un plan de estudios en un domicilio determinado. Una vez otorgado y en caso de que se modifique el domicilio, se deberá solicitar un nuevo reconocimiento, salvo en casos de desastres naturales, fortuitos o de fuerza mayor:</w:t>
      </w:r>
    </w:p>
    <w:p w14:paraId="40EECF14" w14:textId="77777777" w:rsidR="00366FFB" w:rsidRPr="00743CF7" w:rsidRDefault="00366FFB" w:rsidP="00366FFB">
      <w:pPr>
        <w:jc w:val="both"/>
        <w:rPr>
          <w:rFonts w:ascii="Abadi" w:hAnsi="Abadi" w:cs="*Arial-11588-Identity-H"/>
          <w:color w:val="292929"/>
          <w:sz w:val="21"/>
          <w:szCs w:val="21"/>
        </w:rPr>
      </w:pPr>
    </w:p>
    <w:p w14:paraId="248AF8C6" w14:textId="77777777" w:rsidR="00366FFB" w:rsidRPr="00626840" w:rsidRDefault="00366FFB" w:rsidP="005C6EBB">
      <w:pPr>
        <w:pStyle w:val="Prrafodelista"/>
        <w:numPr>
          <w:ilvl w:val="0"/>
          <w:numId w:val="47"/>
        </w:numPr>
        <w:autoSpaceDE w:val="0"/>
        <w:autoSpaceDN w:val="0"/>
        <w:adjustRightInd w:val="0"/>
        <w:contextualSpacing/>
        <w:jc w:val="both"/>
        <w:rPr>
          <w:rFonts w:ascii="Abadi" w:hAnsi="Abadi" w:cs="*Calibri-12847-Identity-H"/>
          <w:color w:val="2A2A2A"/>
          <w:sz w:val="21"/>
          <w:szCs w:val="21"/>
        </w:rPr>
      </w:pPr>
      <w:r w:rsidRPr="00626840">
        <w:rPr>
          <w:rFonts w:ascii="Abadi" w:hAnsi="Abadi" w:cs="*Calibri-12847-Identity-H"/>
          <w:color w:val="2A2A2A"/>
          <w:sz w:val="21"/>
          <w:szCs w:val="21"/>
        </w:rPr>
        <w:t>Los particulares que quieran ofrecer o impartir estudios con lo denominación de técnico superior universitario, profesional asociado, licenciatura, especialidad, maestría o doctorado, podrán hacerlo con el reconocimiento de validez oficial de estudios que emita la Secretaría o la institución facultada para ello;</w:t>
      </w:r>
    </w:p>
    <w:p w14:paraId="02769ADA" w14:textId="77777777" w:rsidR="00366FFB" w:rsidRPr="00743CF7" w:rsidRDefault="00366FFB" w:rsidP="00366FFB">
      <w:pPr>
        <w:autoSpaceDE w:val="0"/>
        <w:autoSpaceDN w:val="0"/>
        <w:adjustRightInd w:val="0"/>
        <w:jc w:val="both"/>
        <w:rPr>
          <w:rFonts w:ascii="Abadi" w:hAnsi="Abadi" w:cs="*Calibri-12847-Identity-H"/>
          <w:color w:val="2A2A2A"/>
          <w:sz w:val="21"/>
          <w:szCs w:val="21"/>
        </w:rPr>
      </w:pPr>
    </w:p>
    <w:p w14:paraId="1B1F4549" w14:textId="77777777" w:rsidR="00366FFB" w:rsidRPr="00626840" w:rsidRDefault="00366FFB" w:rsidP="005C6EBB">
      <w:pPr>
        <w:pStyle w:val="Prrafodelista"/>
        <w:numPr>
          <w:ilvl w:val="0"/>
          <w:numId w:val="47"/>
        </w:numPr>
        <w:autoSpaceDE w:val="0"/>
        <w:autoSpaceDN w:val="0"/>
        <w:adjustRightInd w:val="0"/>
        <w:contextualSpacing/>
        <w:jc w:val="both"/>
        <w:rPr>
          <w:rFonts w:ascii="Abadi" w:hAnsi="Abadi" w:cs="*Calibri-12847-Identity-H"/>
          <w:color w:val="2D2D2D"/>
          <w:sz w:val="21"/>
          <w:szCs w:val="21"/>
        </w:rPr>
      </w:pPr>
      <w:r w:rsidRPr="00626840">
        <w:rPr>
          <w:rFonts w:ascii="Abadi" w:hAnsi="Abadi" w:cs="*Calibri-12847-Identity-H"/>
          <w:color w:val="2D2D2D"/>
          <w:sz w:val="21"/>
          <w:szCs w:val="21"/>
        </w:rPr>
        <w:t>El reconocimiento de validez oficial de estudios será intransferible;</w:t>
      </w:r>
    </w:p>
    <w:p w14:paraId="19B1BBD2" w14:textId="77777777" w:rsidR="00366FFB" w:rsidRPr="00743CF7" w:rsidRDefault="00366FFB" w:rsidP="00366FFB">
      <w:pPr>
        <w:autoSpaceDE w:val="0"/>
        <w:autoSpaceDN w:val="0"/>
        <w:adjustRightInd w:val="0"/>
        <w:jc w:val="both"/>
        <w:rPr>
          <w:rFonts w:ascii="Abadi" w:hAnsi="Abadi" w:cs="*Calibri-12847-Identity-H"/>
          <w:color w:val="2D2D2D"/>
          <w:sz w:val="21"/>
          <w:szCs w:val="21"/>
        </w:rPr>
      </w:pPr>
    </w:p>
    <w:p w14:paraId="527F178B" w14:textId="77777777" w:rsidR="00366FFB" w:rsidRPr="00626840" w:rsidRDefault="00366FFB" w:rsidP="005C6EBB">
      <w:pPr>
        <w:pStyle w:val="Prrafodelista"/>
        <w:numPr>
          <w:ilvl w:val="0"/>
          <w:numId w:val="47"/>
        </w:numPr>
        <w:autoSpaceDE w:val="0"/>
        <w:autoSpaceDN w:val="0"/>
        <w:adjustRightInd w:val="0"/>
        <w:contextualSpacing/>
        <w:jc w:val="both"/>
        <w:rPr>
          <w:rFonts w:ascii="Abadi" w:hAnsi="Abadi" w:cs="*Calibri-12847-Identity-H"/>
          <w:color w:val="282828"/>
          <w:sz w:val="21"/>
          <w:szCs w:val="21"/>
        </w:rPr>
      </w:pPr>
      <w:r w:rsidRPr="00626840">
        <w:rPr>
          <w:rFonts w:ascii="Abadi" w:hAnsi="Abadi" w:cs="*Calibri-12847-Identity-H"/>
          <w:color w:val="282828"/>
          <w:sz w:val="21"/>
          <w:szCs w:val="21"/>
        </w:rPr>
        <w:t>El plazo para que la Secretaría o las instituciones públicas de educación superior facultadas respondan respecto a la solicitud del reconocimiento de validez oficial de estudios será de sesenta días hábiles contados al día siguiente en que es admitido el trámite respectivo. Podrán prorrogar ese plazo hasta por treinta días hábiles por causa debidamente justificada. En caso de no contestar en el plazo establecido, la Secretaría o las instituciones facultadas para ello determinarán el procedimiento para tenerse por otorgado el reconocimiento, a través de los lineamientos que emito;</w:t>
      </w:r>
    </w:p>
    <w:p w14:paraId="70B7086F" w14:textId="77777777" w:rsidR="00366FFB" w:rsidRPr="00743CF7" w:rsidRDefault="00366FFB" w:rsidP="00366FFB">
      <w:pPr>
        <w:autoSpaceDE w:val="0"/>
        <w:autoSpaceDN w:val="0"/>
        <w:adjustRightInd w:val="0"/>
        <w:jc w:val="both"/>
        <w:rPr>
          <w:rFonts w:ascii="Abadi" w:hAnsi="Abadi" w:cs="*Calibri-12847-Identity-H"/>
          <w:color w:val="282828"/>
          <w:sz w:val="21"/>
          <w:szCs w:val="21"/>
        </w:rPr>
      </w:pPr>
    </w:p>
    <w:p w14:paraId="38CB7B77" w14:textId="77777777" w:rsidR="00366FFB" w:rsidRPr="00626840" w:rsidRDefault="00366FFB" w:rsidP="005C6EBB">
      <w:pPr>
        <w:pStyle w:val="Prrafodelista"/>
        <w:numPr>
          <w:ilvl w:val="0"/>
          <w:numId w:val="47"/>
        </w:numPr>
        <w:autoSpaceDE w:val="0"/>
        <w:autoSpaceDN w:val="0"/>
        <w:adjustRightInd w:val="0"/>
        <w:contextualSpacing/>
        <w:jc w:val="both"/>
        <w:rPr>
          <w:rFonts w:ascii="Abadi" w:hAnsi="Abadi" w:cs="*Calibri-12847-Identity-H"/>
          <w:color w:val="2A2A2A"/>
          <w:sz w:val="21"/>
          <w:szCs w:val="21"/>
        </w:rPr>
      </w:pPr>
      <w:r w:rsidRPr="00626840">
        <w:rPr>
          <w:rFonts w:ascii="Abadi" w:hAnsi="Abadi" w:cs="*Calibri-12847-Identity-H"/>
          <w:color w:val="2A2A2A"/>
          <w:sz w:val="21"/>
          <w:szCs w:val="21"/>
        </w:rPr>
        <w:t xml:space="preserve">Conjuntamente con la solicitud del reconocimiento de validez oficial de estudios o con la solicitud del refrendo del mismo, la institución particular de educación superior respectiva presentará un programa de mejora continua o una acreditación institucional nacional o internacional vigente, ante la Secretaría o las instituciones públicas de educación superior facultadas y que haya otorgado el reconocimiento. El referido programa se actualizará a la solicitud del refrendo respectivo y será un elemento de evaluación conforme a lo dispuesto en esta Ley; </w:t>
      </w:r>
    </w:p>
    <w:p w14:paraId="714C68DB" w14:textId="77777777" w:rsidR="00366FFB" w:rsidRPr="00743CF7" w:rsidRDefault="00366FFB" w:rsidP="00366FFB">
      <w:pPr>
        <w:autoSpaceDE w:val="0"/>
        <w:autoSpaceDN w:val="0"/>
        <w:adjustRightInd w:val="0"/>
        <w:jc w:val="both"/>
        <w:rPr>
          <w:rFonts w:ascii="Abadi" w:hAnsi="Abadi" w:cs="*Calibri-12847-Identity-H"/>
          <w:color w:val="2A2A2A"/>
          <w:sz w:val="21"/>
          <w:szCs w:val="21"/>
        </w:rPr>
      </w:pPr>
    </w:p>
    <w:p w14:paraId="1B5F9797" w14:textId="77777777" w:rsidR="00366FFB" w:rsidRPr="00A44C75" w:rsidRDefault="00366FFB" w:rsidP="005C6EBB">
      <w:pPr>
        <w:pStyle w:val="Prrafodelista"/>
        <w:numPr>
          <w:ilvl w:val="0"/>
          <w:numId w:val="47"/>
        </w:numPr>
        <w:autoSpaceDE w:val="0"/>
        <w:autoSpaceDN w:val="0"/>
        <w:adjustRightInd w:val="0"/>
        <w:contextualSpacing/>
        <w:jc w:val="both"/>
        <w:rPr>
          <w:rFonts w:ascii="Abadi" w:hAnsi="Abadi" w:cs="*Calibri-10983-Identity-H"/>
          <w:color w:val="282828"/>
          <w:sz w:val="21"/>
          <w:szCs w:val="21"/>
        </w:rPr>
      </w:pPr>
      <w:r w:rsidRPr="00626840">
        <w:rPr>
          <w:rFonts w:ascii="Abadi" w:hAnsi="Abadi" w:cs="*Calibri-12847-Identity-H"/>
          <w:color w:val="2A2A2A"/>
          <w:sz w:val="21"/>
          <w:szCs w:val="21"/>
        </w:rPr>
        <w:t xml:space="preserve">El reconocimiento de validez oficial de estudios se refrendará por una periodicidad de uno punto cinco veces la duración del plan y programa de estudio respectivo. Las autoridades educativas o las instituciones facultadas para ello establecerán procedimientos abreviados </w:t>
      </w:r>
      <w:r w:rsidRPr="00626840">
        <w:rPr>
          <w:rFonts w:ascii="Abadi" w:hAnsi="Abadi" w:cs="*Tahoma-12849-Identity-H"/>
          <w:color w:val="2A2A2A"/>
          <w:sz w:val="21"/>
          <w:szCs w:val="21"/>
        </w:rPr>
        <w:t xml:space="preserve">y </w:t>
      </w:r>
      <w:r w:rsidRPr="00626840">
        <w:rPr>
          <w:rFonts w:ascii="Abadi" w:hAnsi="Abadi" w:cs="*Calibri-12847-Identity-H"/>
          <w:color w:val="2A2A2A"/>
          <w:sz w:val="21"/>
          <w:szCs w:val="21"/>
        </w:rPr>
        <w:t>en su caso electrónicos. La solicitud de refrendo deberá recibir respuesta en un plazo no mayor a treinta días, en caso contrario se tendrá por otorgado; e</w:t>
      </w:r>
    </w:p>
    <w:p w14:paraId="3D47436A" w14:textId="77777777" w:rsidR="00366FFB" w:rsidRPr="00A44C75" w:rsidRDefault="00366FFB" w:rsidP="00366FFB">
      <w:pPr>
        <w:pStyle w:val="Prrafodelista"/>
        <w:rPr>
          <w:rFonts w:ascii="Abadi" w:hAnsi="Abadi" w:cs="*Calibri-12847-Identity-H"/>
          <w:color w:val="2A2A2A"/>
          <w:sz w:val="21"/>
          <w:szCs w:val="21"/>
        </w:rPr>
      </w:pPr>
    </w:p>
    <w:p w14:paraId="71F1FEE4" w14:textId="77777777" w:rsidR="00366FFB" w:rsidRPr="00626840" w:rsidRDefault="00366FFB" w:rsidP="005C6EBB">
      <w:pPr>
        <w:pStyle w:val="Prrafodelista"/>
        <w:numPr>
          <w:ilvl w:val="0"/>
          <w:numId w:val="47"/>
        </w:numPr>
        <w:autoSpaceDE w:val="0"/>
        <w:autoSpaceDN w:val="0"/>
        <w:adjustRightInd w:val="0"/>
        <w:contextualSpacing/>
        <w:jc w:val="both"/>
        <w:rPr>
          <w:rFonts w:ascii="Abadi" w:hAnsi="Abadi" w:cs="*Calibri-10983-Identity-H"/>
          <w:color w:val="282828"/>
          <w:sz w:val="21"/>
          <w:szCs w:val="21"/>
        </w:rPr>
      </w:pPr>
      <w:r w:rsidRPr="00626840">
        <w:rPr>
          <w:rFonts w:ascii="Abadi" w:hAnsi="Abadi" w:cs="*Calibri-10983-Identity-H"/>
          <w:color w:val="282828"/>
          <w:sz w:val="21"/>
          <w:szCs w:val="21"/>
        </w:rPr>
        <w:t xml:space="preserve">Los particulares deberán mencionar en la documentación que expidan </w:t>
      </w:r>
      <w:r w:rsidRPr="00626840">
        <w:rPr>
          <w:rFonts w:ascii="Abadi" w:hAnsi="Abadi" w:cs="*Times New Roman-Italic-10980-I"/>
          <w:i/>
          <w:iCs/>
          <w:color w:val="282828"/>
          <w:sz w:val="21"/>
          <w:szCs w:val="21"/>
        </w:rPr>
        <w:t xml:space="preserve">y </w:t>
      </w:r>
      <w:r w:rsidRPr="00626840">
        <w:rPr>
          <w:rFonts w:ascii="Abadi" w:hAnsi="Abadi" w:cs="*Calibri-10983-Identity-H"/>
          <w:color w:val="282828"/>
          <w:sz w:val="21"/>
          <w:szCs w:val="21"/>
        </w:rPr>
        <w:t>en la publicidad que hagan, una leyenda que indique si cada uno de sus planes y programas cuenta con reconocimiento de validez oficial de estudios, especificando el número y fecha del acuerdo respectivo, la clave de centro de trabajo</w:t>
      </w:r>
      <w:r w:rsidRPr="00626840">
        <w:rPr>
          <w:rFonts w:ascii="Abadi" w:hAnsi="Abadi" w:cs="*Times New Roman-10979-Identity"/>
          <w:color w:val="282828"/>
          <w:sz w:val="21"/>
          <w:szCs w:val="21"/>
        </w:rPr>
        <w:t xml:space="preserve">1 </w:t>
      </w:r>
      <w:r w:rsidRPr="00626840">
        <w:rPr>
          <w:rFonts w:ascii="Abadi" w:hAnsi="Abadi" w:cs="*Calibri-10983-Identity-H"/>
          <w:color w:val="282828"/>
          <w:sz w:val="21"/>
          <w:szCs w:val="21"/>
        </w:rPr>
        <w:t>modalidad en que se imparte, domicilio autorizado, así como la autoridad que lo emitió.</w:t>
      </w:r>
    </w:p>
    <w:p w14:paraId="6BCC524F" w14:textId="77777777" w:rsidR="00366FFB" w:rsidRPr="00743CF7" w:rsidRDefault="00366FFB" w:rsidP="00366FFB">
      <w:pPr>
        <w:autoSpaceDE w:val="0"/>
        <w:autoSpaceDN w:val="0"/>
        <w:adjustRightInd w:val="0"/>
        <w:jc w:val="both"/>
        <w:rPr>
          <w:rFonts w:ascii="Abadi" w:hAnsi="Abadi" w:cs="*Calibri-10983-Identity-H"/>
          <w:color w:val="282828"/>
          <w:sz w:val="21"/>
          <w:szCs w:val="21"/>
        </w:rPr>
      </w:pPr>
    </w:p>
    <w:p w14:paraId="187E86AE" w14:textId="77777777" w:rsidR="00366FFB" w:rsidRPr="00626840" w:rsidRDefault="00366FFB" w:rsidP="00366FFB">
      <w:pPr>
        <w:pStyle w:val="Prrafodelista"/>
        <w:autoSpaceDE w:val="0"/>
        <w:autoSpaceDN w:val="0"/>
        <w:adjustRightInd w:val="0"/>
        <w:ind w:left="720"/>
        <w:jc w:val="both"/>
        <w:rPr>
          <w:rFonts w:ascii="Abadi" w:hAnsi="Abadi" w:cs="*Calibri-10983-Identity-H"/>
          <w:color w:val="2A2A2A"/>
          <w:sz w:val="21"/>
          <w:szCs w:val="21"/>
        </w:rPr>
      </w:pPr>
    </w:p>
    <w:p w14:paraId="49017CEE" w14:textId="77777777" w:rsidR="00366FFB" w:rsidRPr="00A44C75" w:rsidRDefault="00366FFB" w:rsidP="005C6EBB">
      <w:pPr>
        <w:pStyle w:val="Prrafodelista"/>
        <w:numPr>
          <w:ilvl w:val="0"/>
          <w:numId w:val="46"/>
        </w:numPr>
        <w:autoSpaceDE w:val="0"/>
        <w:autoSpaceDN w:val="0"/>
        <w:adjustRightInd w:val="0"/>
        <w:contextualSpacing/>
        <w:jc w:val="both"/>
        <w:rPr>
          <w:rFonts w:ascii="Abadi" w:hAnsi="Abadi" w:cs="*Calibri-10983-Identity-H"/>
          <w:color w:val="282828"/>
          <w:sz w:val="21"/>
          <w:szCs w:val="21"/>
        </w:rPr>
      </w:pPr>
      <w:r>
        <w:rPr>
          <w:rFonts w:ascii="Abadi" w:hAnsi="Abadi" w:cs="*Calibri-10983-Identity-H"/>
          <w:color w:val="282828"/>
          <w:sz w:val="21"/>
          <w:szCs w:val="21"/>
        </w:rPr>
        <w:t xml:space="preserve">Los </w:t>
      </w:r>
      <w:r w:rsidRPr="00626840">
        <w:rPr>
          <w:rFonts w:ascii="Abadi" w:hAnsi="Abadi" w:cs="*Calibri-10983-Identity-H"/>
          <w:color w:val="2A2A2A"/>
          <w:sz w:val="21"/>
          <w:szCs w:val="21"/>
        </w:rPr>
        <w:t>estudios relacionados con formación de recursos humanos en salud son competencia de la Autoridad Educativa Federal, en términos de lo previsto en la Ley General de Educación Superior.</w:t>
      </w:r>
      <w:r>
        <w:rPr>
          <w:rFonts w:ascii="Abadi" w:hAnsi="Abadi" w:cs="*Calibri-10983-Identity-H"/>
          <w:color w:val="2A2A2A"/>
          <w:sz w:val="21"/>
          <w:szCs w:val="21"/>
        </w:rPr>
        <w:t xml:space="preserve"> </w:t>
      </w:r>
    </w:p>
    <w:p w14:paraId="59228762" w14:textId="77777777" w:rsidR="00366FFB" w:rsidRDefault="00366FFB" w:rsidP="00366FFB">
      <w:pPr>
        <w:pStyle w:val="Prrafodelista"/>
        <w:autoSpaceDE w:val="0"/>
        <w:autoSpaceDN w:val="0"/>
        <w:adjustRightInd w:val="0"/>
        <w:ind w:left="720"/>
        <w:jc w:val="both"/>
        <w:rPr>
          <w:rFonts w:ascii="Abadi" w:hAnsi="Abadi" w:cs="*Calibri-10983-Identity-H"/>
          <w:color w:val="282828"/>
          <w:sz w:val="21"/>
          <w:szCs w:val="21"/>
        </w:rPr>
      </w:pPr>
    </w:p>
    <w:p w14:paraId="1CB09B09" w14:textId="77777777" w:rsidR="00366FFB" w:rsidRPr="00626840" w:rsidRDefault="00366FFB" w:rsidP="005C6EBB">
      <w:pPr>
        <w:pStyle w:val="Prrafodelista"/>
        <w:numPr>
          <w:ilvl w:val="0"/>
          <w:numId w:val="46"/>
        </w:numPr>
        <w:autoSpaceDE w:val="0"/>
        <w:autoSpaceDN w:val="0"/>
        <w:adjustRightInd w:val="0"/>
        <w:contextualSpacing/>
        <w:jc w:val="both"/>
        <w:rPr>
          <w:rFonts w:ascii="Abadi" w:hAnsi="Abadi" w:cs="*Calibri-10983-Identity-H"/>
          <w:color w:val="282828"/>
          <w:sz w:val="21"/>
          <w:szCs w:val="21"/>
        </w:rPr>
      </w:pPr>
      <w:r>
        <w:rPr>
          <w:rFonts w:ascii="Abadi" w:hAnsi="Abadi" w:cs="*Calibri-10983-Identity-H"/>
          <w:color w:val="282828"/>
          <w:sz w:val="21"/>
          <w:szCs w:val="21"/>
        </w:rPr>
        <w:t xml:space="preserve">Para la </w:t>
      </w:r>
      <w:r w:rsidRPr="00626840">
        <w:rPr>
          <w:rFonts w:ascii="Abadi" w:hAnsi="Abadi" w:cs="*Calibri-10983-Identity-H"/>
          <w:color w:val="282828"/>
          <w:sz w:val="21"/>
          <w:szCs w:val="21"/>
        </w:rPr>
        <w:t>obtención del reconocimiento de validez oficial de estudios de los programas de educación superior que sean impartidos en la modalidad no escolarizada o las opciones en línea o virtual, además de lo establecido en la presente Ley, deberán cumplir con los requerimientos de orden técnico que establezca la Secretaría o la institución de educación superior facultada para ello;</w:t>
      </w:r>
    </w:p>
    <w:p w14:paraId="3E387958" w14:textId="77777777" w:rsidR="00366FFB" w:rsidRPr="00743CF7" w:rsidRDefault="00366FFB" w:rsidP="00366FFB">
      <w:pPr>
        <w:autoSpaceDE w:val="0"/>
        <w:autoSpaceDN w:val="0"/>
        <w:adjustRightInd w:val="0"/>
        <w:jc w:val="both"/>
        <w:rPr>
          <w:rFonts w:ascii="Abadi" w:hAnsi="Abadi" w:cs="*Arial-Bold-10984-Identity-H"/>
          <w:b/>
          <w:bCs/>
          <w:color w:val="292929"/>
          <w:sz w:val="21"/>
          <w:szCs w:val="21"/>
        </w:rPr>
      </w:pPr>
    </w:p>
    <w:p w14:paraId="1793ECFA" w14:textId="77777777" w:rsidR="00366FFB" w:rsidRPr="00626840" w:rsidRDefault="00366FFB" w:rsidP="005C6EBB">
      <w:pPr>
        <w:pStyle w:val="Prrafodelista"/>
        <w:numPr>
          <w:ilvl w:val="0"/>
          <w:numId w:val="46"/>
        </w:numPr>
        <w:autoSpaceDE w:val="0"/>
        <w:autoSpaceDN w:val="0"/>
        <w:adjustRightInd w:val="0"/>
        <w:contextualSpacing/>
        <w:jc w:val="both"/>
        <w:rPr>
          <w:rFonts w:ascii="Abadi" w:hAnsi="Abadi" w:cs="*Calibri-10983-Identity-H"/>
          <w:color w:val="292929"/>
          <w:sz w:val="21"/>
          <w:szCs w:val="21"/>
        </w:rPr>
      </w:pPr>
      <w:r w:rsidRPr="00626840">
        <w:rPr>
          <w:rFonts w:ascii="Abadi" w:hAnsi="Abadi" w:cs="*Calibri-10983-Identity-H"/>
          <w:color w:val="292929"/>
          <w:sz w:val="21"/>
          <w:szCs w:val="21"/>
        </w:rPr>
        <w:t>Con la resolución o acuerdo emitido por la Secretaría o las instituciones de educación superior facultadas para ello, que reconoce la validez oficial de estudios del tipo superior;</w:t>
      </w:r>
    </w:p>
    <w:p w14:paraId="20F6FBA7" w14:textId="77777777" w:rsidR="00366FFB" w:rsidRDefault="00366FFB" w:rsidP="00366FFB">
      <w:pPr>
        <w:autoSpaceDE w:val="0"/>
        <w:autoSpaceDN w:val="0"/>
        <w:adjustRightInd w:val="0"/>
        <w:jc w:val="both"/>
        <w:rPr>
          <w:rFonts w:ascii="Abadi" w:hAnsi="Abadi" w:cs="*Calibri-10983-Identity-H"/>
          <w:color w:val="272727"/>
          <w:sz w:val="21"/>
          <w:szCs w:val="21"/>
        </w:rPr>
      </w:pPr>
    </w:p>
    <w:p w14:paraId="3E20FE6C" w14:textId="77777777" w:rsidR="00366FFB" w:rsidRPr="00626840" w:rsidRDefault="00366FFB" w:rsidP="005C6EBB">
      <w:pPr>
        <w:pStyle w:val="Prrafodelista"/>
        <w:numPr>
          <w:ilvl w:val="0"/>
          <w:numId w:val="46"/>
        </w:numPr>
        <w:autoSpaceDE w:val="0"/>
        <w:autoSpaceDN w:val="0"/>
        <w:adjustRightInd w:val="0"/>
        <w:contextualSpacing/>
        <w:jc w:val="both"/>
        <w:rPr>
          <w:rFonts w:ascii="Abadi" w:hAnsi="Abadi" w:cs="*Calibri-10983-Identity-H"/>
          <w:color w:val="272727"/>
          <w:sz w:val="21"/>
          <w:szCs w:val="21"/>
        </w:rPr>
      </w:pPr>
      <w:r w:rsidRPr="00626840">
        <w:rPr>
          <w:rFonts w:ascii="Abadi" w:hAnsi="Abadi" w:cs="*Calibri-10983-Identity-H"/>
          <w:color w:val="272727"/>
          <w:sz w:val="21"/>
          <w:szCs w:val="21"/>
        </w:rPr>
        <w:t>El reconocimiento de validez oficial de estudios surtirá efectos a partir de su otorgamiento;</w:t>
      </w:r>
    </w:p>
    <w:p w14:paraId="12CD5D63" w14:textId="77777777" w:rsidR="00366FFB" w:rsidRPr="00743CF7" w:rsidRDefault="00366FFB" w:rsidP="00366FFB">
      <w:pPr>
        <w:autoSpaceDE w:val="0"/>
        <w:autoSpaceDN w:val="0"/>
        <w:adjustRightInd w:val="0"/>
        <w:jc w:val="both"/>
        <w:rPr>
          <w:rFonts w:ascii="Abadi" w:hAnsi="Abadi" w:cs="*Calibri-10983-Identity-H"/>
          <w:color w:val="272727"/>
          <w:sz w:val="21"/>
          <w:szCs w:val="21"/>
        </w:rPr>
      </w:pPr>
    </w:p>
    <w:p w14:paraId="6B8464DF" w14:textId="77777777" w:rsidR="00366FFB" w:rsidRPr="00626840" w:rsidRDefault="00366FFB" w:rsidP="005C6EBB">
      <w:pPr>
        <w:pStyle w:val="Prrafodelista"/>
        <w:numPr>
          <w:ilvl w:val="0"/>
          <w:numId w:val="46"/>
        </w:numPr>
        <w:autoSpaceDE w:val="0"/>
        <w:autoSpaceDN w:val="0"/>
        <w:adjustRightInd w:val="0"/>
        <w:contextualSpacing/>
        <w:jc w:val="both"/>
        <w:rPr>
          <w:rFonts w:ascii="Abadi" w:hAnsi="Abadi" w:cs="*Microsoft Sans Serif-12034-Ide"/>
          <w:color w:val="292929"/>
          <w:sz w:val="21"/>
          <w:szCs w:val="21"/>
        </w:rPr>
      </w:pPr>
      <w:r w:rsidRPr="00626840">
        <w:rPr>
          <w:rFonts w:ascii="Abadi" w:hAnsi="Abadi" w:cs="*Calibri-10983-Identity-H"/>
          <w:color w:val="2B2B2B"/>
          <w:sz w:val="21"/>
          <w:szCs w:val="21"/>
        </w:rPr>
        <w:t xml:space="preserve">Corresponderá a la Secretaría e instituciones facultadas para otorgar, negar o, en su caso, revocar o retirar la autorización o el reconocimiento de validez oficial de estudios, vigilar que las denominaciones de las instituciones de educación </w:t>
      </w:r>
      <w:r w:rsidRPr="00626840">
        <w:rPr>
          <w:rFonts w:ascii="Abadi" w:hAnsi="Abadi" w:cs="*Microsoft Sans Serif-12034-Ide"/>
          <w:color w:val="292929"/>
          <w:sz w:val="21"/>
          <w:szCs w:val="21"/>
        </w:rPr>
        <w:t>superior particulares correspondan a su naturaleza, de acuerdo con las disposiciones aplicables;</w:t>
      </w:r>
    </w:p>
    <w:p w14:paraId="511EAAE8" w14:textId="77777777" w:rsidR="00366FFB" w:rsidRPr="00743CF7" w:rsidRDefault="00366FFB" w:rsidP="00366FFB">
      <w:pPr>
        <w:autoSpaceDE w:val="0"/>
        <w:autoSpaceDN w:val="0"/>
        <w:adjustRightInd w:val="0"/>
        <w:jc w:val="both"/>
        <w:rPr>
          <w:rFonts w:ascii="Abadi" w:hAnsi="Abadi" w:cs="*Microsoft Sans Serif-12034-Ide"/>
          <w:color w:val="292929"/>
          <w:sz w:val="21"/>
          <w:szCs w:val="21"/>
        </w:rPr>
      </w:pPr>
    </w:p>
    <w:p w14:paraId="208F75B4" w14:textId="77777777" w:rsidR="00366FFB" w:rsidRPr="00626840" w:rsidRDefault="00366FFB" w:rsidP="005C6EBB">
      <w:pPr>
        <w:pStyle w:val="Prrafodelista"/>
        <w:numPr>
          <w:ilvl w:val="0"/>
          <w:numId w:val="46"/>
        </w:numPr>
        <w:autoSpaceDE w:val="0"/>
        <w:autoSpaceDN w:val="0"/>
        <w:adjustRightInd w:val="0"/>
        <w:contextualSpacing/>
        <w:jc w:val="both"/>
        <w:rPr>
          <w:rFonts w:ascii="Abadi" w:hAnsi="Abadi" w:cs="*Microsoft Sans Serif-12034-Ide"/>
          <w:color w:val="292929"/>
          <w:sz w:val="21"/>
          <w:szCs w:val="21"/>
        </w:rPr>
      </w:pPr>
      <w:r w:rsidRPr="00626840">
        <w:rPr>
          <w:rFonts w:ascii="Abadi" w:hAnsi="Abadi" w:cs="*Microsoft Sans Serif-12034-Ide"/>
          <w:color w:val="292929"/>
          <w:sz w:val="21"/>
          <w:szCs w:val="21"/>
        </w:rPr>
        <w:t>En las disposiciones que emita la Secretaría e instituciones facultadas para otorgar la autorización o el reconocimien1o de validez oficial de estudios, para regular los trámites y procedimientos relacionados con la autorización y el reconocimiento de validez oficial de estudios, establecerán un programa de simplificación administrativa;</w:t>
      </w:r>
    </w:p>
    <w:p w14:paraId="3AA331B0" w14:textId="77777777" w:rsidR="00366FFB" w:rsidRPr="00743CF7" w:rsidRDefault="00366FFB" w:rsidP="00366FFB">
      <w:pPr>
        <w:autoSpaceDE w:val="0"/>
        <w:autoSpaceDN w:val="0"/>
        <w:adjustRightInd w:val="0"/>
        <w:jc w:val="both"/>
        <w:rPr>
          <w:rFonts w:ascii="Abadi" w:hAnsi="Abadi" w:cs="*Microsoft Sans Serif-12034-Ide"/>
          <w:color w:val="292929"/>
          <w:sz w:val="21"/>
          <w:szCs w:val="21"/>
        </w:rPr>
      </w:pPr>
    </w:p>
    <w:p w14:paraId="21B608BA" w14:textId="77777777" w:rsidR="00366FFB" w:rsidRPr="00626840" w:rsidRDefault="00366FFB" w:rsidP="005C6EBB">
      <w:pPr>
        <w:pStyle w:val="Prrafodelista"/>
        <w:numPr>
          <w:ilvl w:val="0"/>
          <w:numId w:val="46"/>
        </w:numPr>
        <w:autoSpaceDE w:val="0"/>
        <w:autoSpaceDN w:val="0"/>
        <w:adjustRightInd w:val="0"/>
        <w:contextualSpacing/>
        <w:jc w:val="both"/>
        <w:rPr>
          <w:rFonts w:ascii="Abadi" w:hAnsi="Abadi" w:cs="*Microsoft Sans Serif-12034-Ide"/>
          <w:color w:val="2C2C2C"/>
          <w:sz w:val="21"/>
          <w:szCs w:val="21"/>
        </w:rPr>
      </w:pPr>
      <w:r w:rsidRPr="00626840">
        <w:rPr>
          <w:rFonts w:ascii="Abadi" w:hAnsi="Abadi" w:cs="*Microsoft Sans Serif-12034-Ide"/>
          <w:color w:val="2C2C2C"/>
          <w:sz w:val="21"/>
          <w:szCs w:val="21"/>
        </w:rPr>
        <w:t>Los estudios realizados con anterioridad al otorgamiento del reconocimiento de validez oficial de estudios no tendrán validez oficial.</w:t>
      </w:r>
    </w:p>
    <w:p w14:paraId="5F798E9A" w14:textId="77777777" w:rsidR="00366FFB" w:rsidRDefault="00366FFB" w:rsidP="00366FFB">
      <w:pPr>
        <w:autoSpaceDE w:val="0"/>
        <w:autoSpaceDN w:val="0"/>
        <w:adjustRightInd w:val="0"/>
        <w:jc w:val="both"/>
        <w:rPr>
          <w:rFonts w:ascii="Abadi" w:hAnsi="Abadi" w:cs="*Microsoft Sans Serif-BoldItali"/>
          <w:b/>
          <w:bCs/>
          <w:i/>
          <w:iCs/>
          <w:color w:val="0F0F0F"/>
          <w:sz w:val="21"/>
          <w:szCs w:val="21"/>
        </w:rPr>
      </w:pPr>
    </w:p>
    <w:p w14:paraId="55608B47" w14:textId="77777777" w:rsidR="00366FFB" w:rsidRDefault="00366FFB" w:rsidP="00366FFB">
      <w:pPr>
        <w:autoSpaceDE w:val="0"/>
        <w:autoSpaceDN w:val="0"/>
        <w:adjustRightInd w:val="0"/>
        <w:ind w:left="2124" w:firstLine="708"/>
        <w:jc w:val="both"/>
        <w:rPr>
          <w:rFonts w:ascii="Abadi" w:hAnsi="Abadi" w:cs="*Microsoft Sans Serif-BoldItali"/>
          <w:b/>
          <w:bCs/>
          <w:i/>
          <w:iCs/>
          <w:color w:val="0F0F0F"/>
          <w:sz w:val="21"/>
          <w:szCs w:val="21"/>
        </w:rPr>
      </w:pPr>
    </w:p>
    <w:p w14:paraId="73CBFAC2" w14:textId="77777777" w:rsidR="00366FFB" w:rsidRPr="00743CF7" w:rsidRDefault="00366FFB" w:rsidP="002001D5">
      <w:pPr>
        <w:autoSpaceDE w:val="0"/>
        <w:autoSpaceDN w:val="0"/>
        <w:adjustRightInd w:val="0"/>
        <w:jc w:val="both"/>
        <w:rPr>
          <w:rFonts w:ascii="Abadi" w:hAnsi="Abadi" w:cs="*Microsoft Sans Serif-BoldItali"/>
          <w:b/>
          <w:bCs/>
          <w:i/>
          <w:iCs/>
          <w:color w:val="0F0F0F"/>
          <w:sz w:val="21"/>
          <w:szCs w:val="21"/>
        </w:rPr>
      </w:pPr>
      <w:r w:rsidRPr="00743CF7">
        <w:rPr>
          <w:rFonts w:ascii="Abadi" w:hAnsi="Abadi" w:cs="*Microsoft Sans Serif-BoldItali"/>
          <w:b/>
          <w:bCs/>
          <w:i/>
          <w:iCs/>
          <w:color w:val="0F0F0F"/>
          <w:sz w:val="21"/>
          <w:szCs w:val="21"/>
        </w:rPr>
        <w:t xml:space="preserve">Reconocimiento a la </w:t>
      </w:r>
      <w:r w:rsidRPr="00743CF7">
        <w:rPr>
          <w:rFonts w:ascii="Abadi" w:hAnsi="Abadi" w:cs="*Calibri-Bold-12032-Identity-H"/>
          <w:b/>
          <w:bCs/>
          <w:color w:val="0F0F0F"/>
          <w:sz w:val="21"/>
          <w:szCs w:val="21"/>
        </w:rPr>
        <w:t xml:space="preserve">gestión </w:t>
      </w:r>
      <w:r w:rsidRPr="00743CF7">
        <w:rPr>
          <w:rFonts w:ascii="Abadi" w:hAnsi="Abadi" w:cs="*Microsoft Sans Serif-BoldItali"/>
          <w:b/>
          <w:bCs/>
          <w:i/>
          <w:iCs/>
          <w:color w:val="0F0F0F"/>
          <w:sz w:val="21"/>
          <w:szCs w:val="21"/>
        </w:rPr>
        <w:t>institucional y excelencia educativa</w:t>
      </w:r>
    </w:p>
    <w:p w14:paraId="735FC7C1" w14:textId="77777777" w:rsidR="00366FFB" w:rsidRPr="00743CF7" w:rsidRDefault="00366FFB" w:rsidP="00366FFB">
      <w:pPr>
        <w:autoSpaceDE w:val="0"/>
        <w:autoSpaceDN w:val="0"/>
        <w:adjustRightInd w:val="0"/>
        <w:jc w:val="both"/>
        <w:rPr>
          <w:rFonts w:ascii="Abadi" w:hAnsi="Abadi" w:cs="*Microsoft Sans Serif-12034-Ide"/>
          <w:color w:val="292929"/>
          <w:sz w:val="21"/>
          <w:szCs w:val="21"/>
        </w:rPr>
      </w:pPr>
      <w:r w:rsidRPr="00743CF7">
        <w:rPr>
          <w:rFonts w:ascii="Abadi" w:hAnsi="Abadi" w:cs="*Microsoft Sans Serif-Bold-1203"/>
          <w:b/>
          <w:bCs/>
          <w:color w:val="292929"/>
          <w:sz w:val="21"/>
          <w:szCs w:val="21"/>
        </w:rPr>
        <w:t xml:space="preserve">Artículo 94. </w:t>
      </w:r>
      <w:r w:rsidRPr="00743CF7">
        <w:rPr>
          <w:rFonts w:ascii="Abadi" w:hAnsi="Abadi" w:cs="*Microsoft Sans Serif-12034-Ide"/>
          <w:color w:val="292929"/>
          <w:sz w:val="21"/>
          <w:szCs w:val="21"/>
        </w:rPr>
        <w:t xml:space="preserve">La Secretaría e instituciones facultadas, podrán en el ámbito estatal, otorgar, negar o retirar, a los particulares con Autorización o Reconocimiento de validez oficial de estudios del tipo superior que tengan incorporados, un reconocimiento a la gestión institucional </w:t>
      </w:r>
      <w:r w:rsidRPr="00743CF7">
        <w:rPr>
          <w:rFonts w:ascii="Abadi" w:hAnsi="Abadi" w:cs="*Calibri-12031-Identity-H"/>
          <w:color w:val="292929"/>
          <w:sz w:val="21"/>
          <w:szCs w:val="21"/>
        </w:rPr>
        <w:t xml:space="preserve">y </w:t>
      </w:r>
      <w:r w:rsidRPr="00743CF7">
        <w:rPr>
          <w:rFonts w:ascii="Abadi" w:hAnsi="Abadi" w:cs="*Microsoft Sans Serif-12034-Ide"/>
          <w:color w:val="292929"/>
          <w:sz w:val="21"/>
          <w:szCs w:val="21"/>
        </w:rPr>
        <w:t xml:space="preserve">excelencia educativa. </w:t>
      </w:r>
    </w:p>
    <w:p w14:paraId="3C7F2AE1" w14:textId="77777777" w:rsidR="00366FFB" w:rsidRPr="00743CF7" w:rsidRDefault="00366FFB" w:rsidP="00366FFB">
      <w:pPr>
        <w:autoSpaceDE w:val="0"/>
        <w:autoSpaceDN w:val="0"/>
        <w:adjustRightInd w:val="0"/>
        <w:jc w:val="both"/>
        <w:rPr>
          <w:rFonts w:ascii="Abadi" w:hAnsi="Abadi" w:cs="*Microsoft Sans Serif-12034-Ide"/>
          <w:color w:val="292929"/>
          <w:sz w:val="21"/>
          <w:szCs w:val="21"/>
        </w:rPr>
      </w:pPr>
    </w:p>
    <w:p w14:paraId="759CC5A3" w14:textId="77777777" w:rsidR="00366FFB" w:rsidRPr="00743CF7" w:rsidRDefault="00366FFB" w:rsidP="00366FFB">
      <w:pPr>
        <w:autoSpaceDE w:val="0"/>
        <w:autoSpaceDN w:val="0"/>
        <w:adjustRightInd w:val="0"/>
        <w:jc w:val="both"/>
        <w:rPr>
          <w:rFonts w:ascii="Abadi" w:hAnsi="Abadi" w:cs="*Microsoft Sans Serif-12034-Ide"/>
          <w:color w:val="292929"/>
          <w:sz w:val="21"/>
          <w:szCs w:val="21"/>
        </w:rPr>
      </w:pPr>
      <w:r w:rsidRPr="00743CF7">
        <w:rPr>
          <w:rFonts w:ascii="Abadi" w:hAnsi="Abadi" w:cs="*Microsoft Sans Serif-12034-Ide"/>
          <w:color w:val="292929"/>
          <w:sz w:val="21"/>
          <w:szCs w:val="21"/>
        </w:rPr>
        <w:t>Para tal efecto, se estará a lo siguiente:</w:t>
      </w:r>
    </w:p>
    <w:p w14:paraId="1A56FE7F" w14:textId="77777777" w:rsidR="00366FFB" w:rsidRPr="00743CF7" w:rsidRDefault="00366FFB" w:rsidP="00366FFB">
      <w:pPr>
        <w:autoSpaceDE w:val="0"/>
        <w:autoSpaceDN w:val="0"/>
        <w:adjustRightInd w:val="0"/>
        <w:jc w:val="both"/>
        <w:rPr>
          <w:rFonts w:ascii="Abadi" w:hAnsi="Abadi" w:cs="*Microsoft Sans Serif-12034-Ide"/>
          <w:color w:val="292929"/>
          <w:sz w:val="21"/>
          <w:szCs w:val="21"/>
        </w:rPr>
      </w:pPr>
    </w:p>
    <w:p w14:paraId="166E006B" w14:textId="77777777" w:rsidR="00366FFB" w:rsidRPr="00180127" w:rsidRDefault="00366FFB" w:rsidP="005C6EBB">
      <w:pPr>
        <w:pStyle w:val="Prrafodelista"/>
        <w:numPr>
          <w:ilvl w:val="0"/>
          <w:numId w:val="48"/>
        </w:numPr>
        <w:autoSpaceDE w:val="0"/>
        <w:autoSpaceDN w:val="0"/>
        <w:adjustRightInd w:val="0"/>
        <w:contextualSpacing/>
        <w:jc w:val="both"/>
        <w:rPr>
          <w:rFonts w:ascii="Abadi" w:hAnsi="Abadi" w:cs="*Microsoft Sans Serif-12034-Ide"/>
          <w:color w:val="2B2B2B"/>
          <w:sz w:val="21"/>
          <w:szCs w:val="21"/>
        </w:rPr>
      </w:pPr>
      <w:r w:rsidRPr="00180127">
        <w:rPr>
          <w:rFonts w:ascii="Abadi" w:hAnsi="Abadi" w:cs="*Microsoft Sans Serif-12034-Ide"/>
          <w:color w:val="2B2B2B"/>
          <w:sz w:val="21"/>
          <w:szCs w:val="21"/>
        </w:rPr>
        <w:t xml:space="preserve">El reconocimiento o la gestión institucional </w:t>
      </w:r>
      <w:r w:rsidRPr="00180127">
        <w:rPr>
          <w:rFonts w:ascii="Abadi" w:hAnsi="Abadi" w:cs="*Calibri-12031-Identity-H"/>
          <w:color w:val="2B2B2B"/>
          <w:sz w:val="21"/>
          <w:szCs w:val="21"/>
        </w:rPr>
        <w:t xml:space="preserve">y </w:t>
      </w:r>
      <w:r w:rsidRPr="00180127">
        <w:rPr>
          <w:rFonts w:ascii="Abadi" w:hAnsi="Abadi" w:cs="*Microsoft Sans Serif-12034-Ide"/>
          <w:color w:val="2B2B2B"/>
          <w:sz w:val="21"/>
          <w:szCs w:val="21"/>
        </w:rPr>
        <w:t>excelencia educativa se otorgará a las instituciones particulares que impar tan estudios del tipo superior que reúnan los siguientes requisitos:</w:t>
      </w:r>
    </w:p>
    <w:p w14:paraId="1512B7C7" w14:textId="77777777" w:rsidR="00366FFB" w:rsidRPr="00743CF7" w:rsidRDefault="00366FFB" w:rsidP="00366FFB">
      <w:pPr>
        <w:autoSpaceDE w:val="0"/>
        <w:autoSpaceDN w:val="0"/>
        <w:adjustRightInd w:val="0"/>
        <w:jc w:val="both"/>
        <w:rPr>
          <w:rFonts w:ascii="Abadi" w:hAnsi="Abadi" w:cs="*Microsoft Sans Serif-12034-Ide"/>
          <w:color w:val="2B2B2B"/>
          <w:sz w:val="21"/>
          <w:szCs w:val="21"/>
        </w:rPr>
      </w:pPr>
    </w:p>
    <w:p w14:paraId="0A211BE5" w14:textId="77777777" w:rsidR="00366FFB" w:rsidRPr="00180127" w:rsidRDefault="00366FFB" w:rsidP="00366FFB">
      <w:pPr>
        <w:autoSpaceDE w:val="0"/>
        <w:autoSpaceDN w:val="0"/>
        <w:adjustRightInd w:val="0"/>
        <w:jc w:val="both"/>
        <w:rPr>
          <w:rFonts w:ascii="Abadi" w:hAnsi="Abadi" w:cs="*Microsoft Sans Serif-12034-Ide"/>
          <w:color w:val="2A2A2A"/>
          <w:sz w:val="21"/>
          <w:szCs w:val="21"/>
        </w:rPr>
      </w:pPr>
      <w:r w:rsidRPr="00180127">
        <w:rPr>
          <w:rFonts w:ascii="Abadi" w:hAnsi="Abadi" w:cs="*Microsoft Sans Serif-12034-Ide"/>
          <w:color w:val="2A2A2A"/>
          <w:sz w:val="21"/>
          <w:szCs w:val="21"/>
        </w:rPr>
        <w:t>Cuenten con una acreditación institucional nacional o internacional vigente;</w:t>
      </w:r>
    </w:p>
    <w:p w14:paraId="3337E86C" w14:textId="77777777" w:rsidR="00366FFB" w:rsidRPr="00743CF7" w:rsidRDefault="00366FFB" w:rsidP="00366FFB">
      <w:pPr>
        <w:autoSpaceDE w:val="0"/>
        <w:autoSpaceDN w:val="0"/>
        <w:adjustRightInd w:val="0"/>
        <w:jc w:val="both"/>
        <w:rPr>
          <w:rFonts w:ascii="Abadi" w:hAnsi="Abadi" w:cs="*Microsoft Sans Serif-12034-Ide"/>
          <w:color w:val="2A2A2A"/>
          <w:sz w:val="21"/>
          <w:szCs w:val="21"/>
        </w:rPr>
      </w:pPr>
    </w:p>
    <w:p w14:paraId="02DC54F9" w14:textId="474EB34A" w:rsidR="00366FFB" w:rsidRPr="00180127" w:rsidRDefault="00366FFB" w:rsidP="00366FFB">
      <w:pPr>
        <w:autoSpaceDE w:val="0"/>
        <w:autoSpaceDN w:val="0"/>
        <w:adjustRightInd w:val="0"/>
        <w:jc w:val="both"/>
        <w:rPr>
          <w:rFonts w:ascii="Abadi" w:hAnsi="Abadi" w:cs="*Microsoft Sans Serif-12034-Ide"/>
          <w:color w:val="292929"/>
          <w:sz w:val="21"/>
          <w:szCs w:val="21"/>
        </w:rPr>
      </w:pPr>
      <w:r w:rsidRPr="00180127">
        <w:rPr>
          <w:rFonts w:ascii="Abadi" w:hAnsi="Abadi" w:cs="*Microsoft Sans Serif-12034-Ide"/>
          <w:color w:val="292929"/>
          <w:sz w:val="21"/>
          <w:szCs w:val="21"/>
        </w:rPr>
        <w:t xml:space="preserve">Cuenten con profesores que cumplan los criterios académicos acordes con </w:t>
      </w:r>
      <w:r w:rsidR="002001D5" w:rsidRPr="00180127">
        <w:rPr>
          <w:rFonts w:ascii="Abadi" w:hAnsi="Abadi" w:cs="*Microsoft Sans Serif-12034-Ide"/>
          <w:color w:val="292929"/>
          <w:sz w:val="21"/>
          <w:szCs w:val="21"/>
        </w:rPr>
        <w:t>la</w:t>
      </w:r>
      <w:r w:rsidR="002001D5">
        <w:rPr>
          <w:rFonts w:ascii="Abadi" w:hAnsi="Abadi" w:cs="*Microsoft Sans Serif-12034-Ide"/>
          <w:color w:val="292929"/>
          <w:sz w:val="21"/>
          <w:szCs w:val="21"/>
        </w:rPr>
        <w:t xml:space="preserve"> asignatura</w:t>
      </w:r>
      <w:r w:rsidRPr="00180127">
        <w:rPr>
          <w:rFonts w:ascii="Abadi" w:hAnsi="Abadi" w:cs="*Microsoft Sans Serif-12034-Ide"/>
          <w:color w:val="292929"/>
          <w:sz w:val="21"/>
          <w:szCs w:val="21"/>
        </w:rPr>
        <w:t xml:space="preserve"> a impartir en el plan de estudios correspondiente;</w:t>
      </w:r>
    </w:p>
    <w:p w14:paraId="59B490D9" w14:textId="77777777" w:rsidR="00366FFB" w:rsidRPr="00743CF7" w:rsidRDefault="00366FFB" w:rsidP="00366FFB">
      <w:pPr>
        <w:autoSpaceDE w:val="0"/>
        <w:autoSpaceDN w:val="0"/>
        <w:adjustRightInd w:val="0"/>
        <w:jc w:val="both"/>
        <w:rPr>
          <w:rFonts w:ascii="Abadi" w:hAnsi="Abadi" w:cs="*Microsoft Sans Serif-12034-Ide"/>
          <w:color w:val="292929"/>
          <w:sz w:val="21"/>
          <w:szCs w:val="21"/>
        </w:rPr>
      </w:pPr>
    </w:p>
    <w:p w14:paraId="7F25BE1B" w14:textId="77777777" w:rsidR="00366FFB" w:rsidRPr="00180127" w:rsidRDefault="00366FFB" w:rsidP="00366FFB">
      <w:pPr>
        <w:autoSpaceDE w:val="0"/>
        <w:autoSpaceDN w:val="0"/>
        <w:adjustRightInd w:val="0"/>
        <w:jc w:val="both"/>
        <w:rPr>
          <w:rFonts w:ascii="Abadi" w:hAnsi="Abadi" w:cs="*Microsoft Sans Serif-12034-Ide"/>
          <w:color w:val="2A2A2A"/>
          <w:sz w:val="21"/>
          <w:szCs w:val="21"/>
        </w:rPr>
      </w:pPr>
      <w:r w:rsidRPr="00180127">
        <w:rPr>
          <w:rFonts w:ascii="Abadi" w:hAnsi="Abadi" w:cs="*Microsoft Sans Serif-12034-Ide"/>
          <w:color w:val="2A2A2A"/>
          <w:sz w:val="21"/>
          <w:szCs w:val="21"/>
        </w:rPr>
        <w:t xml:space="preserve">Impartan estudios con enfoque de derechos humanos </w:t>
      </w:r>
      <w:r w:rsidRPr="00180127">
        <w:rPr>
          <w:rFonts w:ascii="Abadi" w:hAnsi="Abadi" w:cs="*Calibri-12031-Identity-H"/>
          <w:color w:val="2A2A2A"/>
          <w:sz w:val="21"/>
          <w:szCs w:val="21"/>
        </w:rPr>
        <w:t xml:space="preserve">y </w:t>
      </w:r>
      <w:r w:rsidRPr="00180127">
        <w:rPr>
          <w:rFonts w:ascii="Abadi" w:hAnsi="Abadi" w:cs="*Microsoft Sans Serif-12034-Ide"/>
          <w:color w:val="2A2A2A"/>
          <w:sz w:val="21"/>
          <w:szCs w:val="21"/>
        </w:rPr>
        <w:t>de igualdad sustantivo que contribuyan a la inclusión, equidad, excelencia y mejora continua de la educación;</w:t>
      </w:r>
    </w:p>
    <w:p w14:paraId="65FB0A84" w14:textId="77777777" w:rsidR="00366FFB" w:rsidRPr="00743CF7" w:rsidRDefault="00366FFB" w:rsidP="00366FFB">
      <w:pPr>
        <w:autoSpaceDE w:val="0"/>
        <w:autoSpaceDN w:val="0"/>
        <w:adjustRightInd w:val="0"/>
        <w:jc w:val="both"/>
        <w:rPr>
          <w:rFonts w:ascii="Abadi" w:hAnsi="Abadi" w:cs="*Microsoft Sans Serif-12034-Ide"/>
          <w:color w:val="2A2A2A"/>
          <w:sz w:val="21"/>
          <w:szCs w:val="21"/>
        </w:rPr>
      </w:pPr>
    </w:p>
    <w:p w14:paraId="6ACF5BC4" w14:textId="77777777" w:rsidR="00366FFB" w:rsidRPr="00180127" w:rsidRDefault="00366FFB" w:rsidP="00366FFB">
      <w:pPr>
        <w:autoSpaceDE w:val="0"/>
        <w:autoSpaceDN w:val="0"/>
        <w:adjustRightInd w:val="0"/>
        <w:jc w:val="both"/>
        <w:rPr>
          <w:rFonts w:ascii="Abadi" w:hAnsi="Abadi" w:cs="*Microsoft Sans Serif-13213-Ide"/>
          <w:color w:val="2B2B2B"/>
          <w:sz w:val="21"/>
          <w:szCs w:val="21"/>
        </w:rPr>
      </w:pPr>
      <w:r w:rsidRPr="00180127">
        <w:rPr>
          <w:rFonts w:ascii="Abadi" w:hAnsi="Abadi" w:cs="*Microsoft Sans Serif-13213-Ide"/>
          <w:color w:val="2B2B2B"/>
          <w:sz w:val="21"/>
          <w:szCs w:val="21"/>
        </w:rPr>
        <w:t>Cuenten con planes y programas con reconocimiento de validez oficial de estudios del tipo superior con una antigüedad mínima de diez años;</w:t>
      </w:r>
    </w:p>
    <w:p w14:paraId="30006B09" w14:textId="77777777" w:rsidR="00366FFB" w:rsidRPr="00743CF7" w:rsidRDefault="00366FFB" w:rsidP="00366FFB">
      <w:pPr>
        <w:autoSpaceDE w:val="0"/>
        <w:autoSpaceDN w:val="0"/>
        <w:adjustRightInd w:val="0"/>
        <w:jc w:val="both"/>
        <w:rPr>
          <w:rFonts w:ascii="Abadi" w:hAnsi="Abadi" w:cs="*Microsoft Sans Serif-13213-Ide"/>
          <w:color w:val="2B2B2B"/>
          <w:sz w:val="21"/>
          <w:szCs w:val="21"/>
        </w:rPr>
      </w:pPr>
    </w:p>
    <w:p w14:paraId="1B17036D" w14:textId="491C3E09" w:rsidR="00366FFB" w:rsidRPr="00180127" w:rsidRDefault="00366FFB" w:rsidP="00366FFB">
      <w:pPr>
        <w:autoSpaceDE w:val="0"/>
        <w:autoSpaceDN w:val="0"/>
        <w:adjustRightInd w:val="0"/>
        <w:jc w:val="both"/>
        <w:rPr>
          <w:rFonts w:ascii="Abadi" w:hAnsi="Abadi" w:cs="*Microsoft Sans Serif-13213-Ide"/>
          <w:color w:val="2A2A2A"/>
          <w:sz w:val="21"/>
          <w:szCs w:val="21"/>
        </w:rPr>
      </w:pPr>
      <w:r w:rsidRPr="00180127">
        <w:rPr>
          <w:rFonts w:ascii="Abadi" w:hAnsi="Abadi" w:cs="*Microsoft Sans Serif-13213-Ide"/>
          <w:color w:val="2A2A2A"/>
          <w:sz w:val="21"/>
          <w:szCs w:val="21"/>
        </w:rPr>
        <w:t xml:space="preserve">No hayan sido sancionados por las autoridades educativas correspondientes por alguna de las infracciones establecidas en el artículo 98 fracciones </w:t>
      </w:r>
      <w:r>
        <w:rPr>
          <w:rFonts w:ascii="Abadi" w:hAnsi="Abadi" w:cs="*Microsoft Sans Serif-13213-Ide"/>
          <w:color w:val="2A2A2A"/>
          <w:sz w:val="21"/>
          <w:szCs w:val="21"/>
        </w:rPr>
        <w:t>I,</w:t>
      </w:r>
      <w:r w:rsidR="002001D5">
        <w:rPr>
          <w:rFonts w:ascii="Abadi" w:hAnsi="Abadi" w:cs="*Microsoft Sans Serif-13213-Ide"/>
          <w:color w:val="2A2A2A"/>
          <w:sz w:val="21"/>
          <w:szCs w:val="21"/>
        </w:rPr>
        <w:t xml:space="preserve"> </w:t>
      </w:r>
      <w:r>
        <w:rPr>
          <w:rFonts w:ascii="Abadi" w:hAnsi="Abadi" w:cs="*Microsoft Sans Serif-13213-Ide"/>
          <w:color w:val="2A2A2A"/>
          <w:sz w:val="21"/>
          <w:szCs w:val="21"/>
        </w:rPr>
        <w:t xml:space="preserve">II, </w:t>
      </w:r>
      <w:r w:rsidRPr="00180127">
        <w:rPr>
          <w:rFonts w:ascii="Abadi" w:hAnsi="Abadi" w:cs="*Microsoft Sans Serif-13213-Ide"/>
          <w:color w:val="2A2A2A"/>
          <w:sz w:val="21"/>
          <w:szCs w:val="21"/>
        </w:rPr>
        <w:t xml:space="preserve">IV </w:t>
      </w:r>
      <w:r>
        <w:rPr>
          <w:rFonts w:ascii="Abadi" w:hAnsi="Abadi" w:cs="*Microsoft Sans Serif-13213-Ide"/>
          <w:color w:val="2A2A2A"/>
          <w:sz w:val="21"/>
          <w:szCs w:val="21"/>
        </w:rPr>
        <w:t xml:space="preserve">y </w:t>
      </w:r>
      <w:r w:rsidRPr="00180127">
        <w:rPr>
          <w:rFonts w:ascii="Abadi" w:hAnsi="Abadi" w:cs="*Microsoft Sans Serif-13213-Ide"/>
          <w:color w:val="2A2A2A"/>
          <w:sz w:val="21"/>
          <w:szCs w:val="21"/>
        </w:rPr>
        <w:t>VII de esta Ley, en los últimos cinco años anteriores a la fecha de solicitud del reconocimiento a lo gestión institucional y excelencia educativa respectivo;</w:t>
      </w:r>
    </w:p>
    <w:p w14:paraId="5CEB2731" w14:textId="77777777" w:rsidR="00366FFB" w:rsidRDefault="00366FFB" w:rsidP="00366FFB">
      <w:pPr>
        <w:autoSpaceDE w:val="0"/>
        <w:autoSpaceDN w:val="0"/>
        <w:adjustRightInd w:val="0"/>
        <w:jc w:val="both"/>
        <w:rPr>
          <w:rFonts w:ascii="Abadi" w:hAnsi="Abadi" w:cs="*Microsoft Sans Serif-13213-Ide"/>
          <w:color w:val="2A2A2A"/>
          <w:sz w:val="21"/>
          <w:szCs w:val="21"/>
        </w:rPr>
      </w:pPr>
    </w:p>
    <w:p w14:paraId="444B5E4A" w14:textId="2540FC50" w:rsidR="00366FFB" w:rsidRPr="008F1305" w:rsidRDefault="00366FFB" w:rsidP="00366FFB">
      <w:pPr>
        <w:autoSpaceDE w:val="0"/>
        <w:autoSpaceDN w:val="0"/>
        <w:adjustRightInd w:val="0"/>
        <w:jc w:val="both"/>
        <w:rPr>
          <w:rFonts w:ascii="Abadi" w:hAnsi="Abadi" w:cs="*Microsoft Sans Serif-13213-Ide"/>
          <w:color w:val="292929"/>
          <w:sz w:val="21"/>
          <w:szCs w:val="21"/>
        </w:rPr>
      </w:pPr>
      <w:r w:rsidRPr="008F1305">
        <w:rPr>
          <w:rFonts w:ascii="Abadi" w:hAnsi="Abadi" w:cs="*Microsoft Sans Serif-13213-Ide"/>
          <w:color w:val="292929"/>
          <w:sz w:val="21"/>
          <w:szCs w:val="21"/>
        </w:rPr>
        <w:t xml:space="preserve">Cuenten con infraestructura para el cumplimiento del principio de inclusión que contribuya a eliminar </w:t>
      </w:r>
      <w:r w:rsidR="002001D5" w:rsidRPr="008F1305">
        <w:rPr>
          <w:rFonts w:ascii="Abadi" w:hAnsi="Abadi" w:cs="*Microsoft Sans Serif-13213-Ide"/>
          <w:color w:val="292929"/>
          <w:sz w:val="21"/>
          <w:szCs w:val="21"/>
        </w:rPr>
        <w:t>las barreras</w:t>
      </w:r>
      <w:r w:rsidRPr="008F1305">
        <w:rPr>
          <w:rFonts w:ascii="Abadi" w:hAnsi="Abadi" w:cs="*Microsoft Sans Serif-13213-Ide"/>
          <w:color w:val="292929"/>
          <w:sz w:val="21"/>
          <w:szCs w:val="21"/>
        </w:rPr>
        <w:t xml:space="preserve"> para el aprendizaje;</w:t>
      </w:r>
    </w:p>
    <w:p w14:paraId="1A6D0E68" w14:textId="77777777" w:rsidR="00366FFB" w:rsidRPr="00743CF7" w:rsidRDefault="00366FFB" w:rsidP="00366FFB">
      <w:pPr>
        <w:autoSpaceDE w:val="0"/>
        <w:autoSpaceDN w:val="0"/>
        <w:adjustRightInd w:val="0"/>
        <w:jc w:val="both"/>
        <w:rPr>
          <w:rFonts w:ascii="Abadi" w:hAnsi="Abadi" w:cs="*Microsoft Sans Serif-13213-Ide"/>
          <w:color w:val="292929"/>
          <w:sz w:val="21"/>
          <w:szCs w:val="21"/>
        </w:rPr>
      </w:pPr>
    </w:p>
    <w:p w14:paraId="64CE773B" w14:textId="77777777" w:rsidR="00366FFB" w:rsidRPr="008F1305" w:rsidRDefault="00366FFB" w:rsidP="00366FFB">
      <w:pPr>
        <w:autoSpaceDE w:val="0"/>
        <w:autoSpaceDN w:val="0"/>
        <w:adjustRightInd w:val="0"/>
        <w:jc w:val="both"/>
        <w:rPr>
          <w:rFonts w:ascii="Abadi" w:hAnsi="Abadi" w:cs="*Microsoft Sans Serif-13213-Ide"/>
          <w:color w:val="2A2A2A"/>
          <w:sz w:val="21"/>
          <w:szCs w:val="21"/>
        </w:rPr>
      </w:pPr>
      <w:r w:rsidRPr="008F1305">
        <w:rPr>
          <w:rFonts w:ascii="Abadi" w:hAnsi="Abadi" w:cs="*Microsoft Sans Serif-13213-Ide"/>
          <w:color w:val="2A2A2A"/>
          <w:sz w:val="21"/>
          <w:szCs w:val="21"/>
        </w:rPr>
        <w:t>Acrediten la vinculación de sus planes y programas de estudio con los sectores sociales o productivos; y</w:t>
      </w:r>
    </w:p>
    <w:p w14:paraId="5FC10F43" w14:textId="77777777" w:rsidR="00366FFB" w:rsidRPr="00743CF7" w:rsidRDefault="00366FFB" w:rsidP="00366FFB">
      <w:pPr>
        <w:autoSpaceDE w:val="0"/>
        <w:autoSpaceDN w:val="0"/>
        <w:adjustRightInd w:val="0"/>
        <w:jc w:val="both"/>
        <w:rPr>
          <w:rFonts w:ascii="Abadi" w:hAnsi="Abadi" w:cs="*Microsoft Sans Serif-13213-Ide"/>
          <w:color w:val="2A2A2A"/>
          <w:sz w:val="21"/>
          <w:szCs w:val="21"/>
        </w:rPr>
      </w:pPr>
    </w:p>
    <w:p w14:paraId="0C736EB6" w14:textId="77777777" w:rsidR="00366FFB" w:rsidRPr="008F1305" w:rsidRDefault="00366FFB" w:rsidP="00366FFB">
      <w:pPr>
        <w:autoSpaceDE w:val="0"/>
        <w:autoSpaceDN w:val="0"/>
        <w:adjustRightInd w:val="0"/>
        <w:jc w:val="both"/>
        <w:rPr>
          <w:rFonts w:ascii="Abadi" w:hAnsi="Abadi" w:cs="*Microsoft Sans Serif-13213-Ide"/>
          <w:color w:val="292929"/>
          <w:sz w:val="21"/>
          <w:szCs w:val="21"/>
        </w:rPr>
      </w:pPr>
      <w:r w:rsidRPr="008F1305">
        <w:rPr>
          <w:rFonts w:ascii="Abadi" w:hAnsi="Abadi" w:cs="*Microsoft Sans Serif-13213-Ide"/>
          <w:color w:val="292929"/>
          <w:sz w:val="21"/>
          <w:szCs w:val="21"/>
        </w:rPr>
        <w:t>Demuestren la contribución en beneficio de la sociedad con los aportes de la institución y sus egresados.</w:t>
      </w:r>
    </w:p>
    <w:p w14:paraId="436AE8C6" w14:textId="77777777" w:rsidR="00366FFB" w:rsidRPr="00743CF7" w:rsidRDefault="00366FFB" w:rsidP="00366FFB">
      <w:pPr>
        <w:autoSpaceDE w:val="0"/>
        <w:autoSpaceDN w:val="0"/>
        <w:adjustRightInd w:val="0"/>
        <w:jc w:val="both"/>
        <w:rPr>
          <w:rFonts w:ascii="Abadi" w:hAnsi="Abadi" w:cs="*Microsoft Sans Serif-13213-Ide"/>
          <w:color w:val="292929"/>
          <w:sz w:val="21"/>
          <w:szCs w:val="21"/>
        </w:rPr>
      </w:pPr>
    </w:p>
    <w:p w14:paraId="7770D7A8" w14:textId="77777777" w:rsidR="00366FFB" w:rsidRPr="008F1305" w:rsidRDefault="00366FFB" w:rsidP="00366FFB">
      <w:pPr>
        <w:autoSpaceDE w:val="0"/>
        <w:autoSpaceDN w:val="0"/>
        <w:adjustRightInd w:val="0"/>
        <w:jc w:val="both"/>
        <w:rPr>
          <w:rFonts w:ascii="Abadi" w:hAnsi="Abadi" w:cs="*Microsoft Sans Serif-13213-Ide"/>
          <w:color w:val="282828"/>
          <w:sz w:val="21"/>
          <w:szCs w:val="21"/>
        </w:rPr>
      </w:pPr>
      <w:r w:rsidRPr="008F1305">
        <w:rPr>
          <w:rFonts w:ascii="Abadi" w:hAnsi="Abadi" w:cs="*Microsoft Sans Serif-13213-Ide"/>
          <w:color w:val="282828"/>
          <w:sz w:val="21"/>
          <w:szCs w:val="21"/>
        </w:rPr>
        <w:t xml:space="preserve">Con la obtención del reconocimiento a la gestión institucional </w:t>
      </w:r>
      <w:r w:rsidRPr="008F1305">
        <w:rPr>
          <w:rFonts w:ascii="Abadi" w:hAnsi="Abadi" w:cs="*Times New Roman-Italic-13210-I"/>
          <w:i/>
          <w:iCs/>
          <w:color w:val="282828"/>
          <w:sz w:val="21"/>
          <w:szCs w:val="21"/>
        </w:rPr>
        <w:t xml:space="preserve">y </w:t>
      </w:r>
      <w:r w:rsidRPr="008F1305">
        <w:rPr>
          <w:rFonts w:ascii="Abadi" w:hAnsi="Abadi" w:cs="*Microsoft Sans Serif-13213-Ide"/>
          <w:color w:val="282828"/>
          <w:sz w:val="21"/>
          <w:szCs w:val="21"/>
        </w:rPr>
        <w:t>excelencia educativa, los particulares que impartan educación superior podrán obtener los siguientes beneficios:</w:t>
      </w:r>
    </w:p>
    <w:p w14:paraId="3F0E3F2B" w14:textId="77777777" w:rsidR="00366FFB" w:rsidRPr="00743CF7" w:rsidRDefault="00366FFB" w:rsidP="00366FFB">
      <w:pPr>
        <w:autoSpaceDE w:val="0"/>
        <w:autoSpaceDN w:val="0"/>
        <w:adjustRightInd w:val="0"/>
        <w:jc w:val="both"/>
        <w:rPr>
          <w:rFonts w:ascii="Abadi" w:hAnsi="Abadi" w:cs="*Microsoft Sans Serif-13213-Ide"/>
          <w:color w:val="282828"/>
          <w:sz w:val="21"/>
          <w:szCs w:val="21"/>
        </w:rPr>
      </w:pPr>
    </w:p>
    <w:p w14:paraId="209A2745" w14:textId="77777777" w:rsidR="00366FFB" w:rsidRPr="008F1305" w:rsidRDefault="00366FFB" w:rsidP="00366FFB">
      <w:pPr>
        <w:autoSpaceDE w:val="0"/>
        <w:autoSpaceDN w:val="0"/>
        <w:adjustRightInd w:val="0"/>
        <w:jc w:val="both"/>
        <w:rPr>
          <w:rFonts w:ascii="Abadi" w:hAnsi="Abadi" w:cs="*Microsoft Sans Serif-13213-Ide"/>
          <w:color w:val="292929"/>
          <w:sz w:val="21"/>
          <w:szCs w:val="21"/>
        </w:rPr>
      </w:pPr>
      <w:r w:rsidRPr="008F1305">
        <w:rPr>
          <w:rFonts w:ascii="Abadi" w:hAnsi="Abadi" w:cs="*Microsoft Sans Serif-13213-Ide"/>
          <w:color w:val="292929"/>
          <w:sz w:val="21"/>
          <w:szCs w:val="21"/>
        </w:rPr>
        <w:t>Contar con una carpeta de evidencias documentales única para la presentación de solicitudes de trámites ante la autoridad educativo correspondiente o institución facultada para ello;</w:t>
      </w:r>
    </w:p>
    <w:p w14:paraId="54E142F4" w14:textId="77777777" w:rsidR="00366FFB" w:rsidRPr="00743CF7" w:rsidRDefault="00366FFB" w:rsidP="00366FFB">
      <w:pPr>
        <w:autoSpaceDE w:val="0"/>
        <w:autoSpaceDN w:val="0"/>
        <w:adjustRightInd w:val="0"/>
        <w:jc w:val="both"/>
        <w:rPr>
          <w:rFonts w:ascii="Abadi" w:hAnsi="Abadi" w:cs="*Microsoft Sans Serif-13213-Ide"/>
          <w:color w:val="292929"/>
          <w:sz w:val="21"/>
          <w:szCs w:val="21"/>
        </w:rPr>
      </w:pPr>
    </w:p>
    <w:p w14:paraId="60D27004" w14:textId="77777777" w:rsidR="00366FFB" w:rsidRPr="008F1305" w:rsidRDefault="00366FFB" w:rsidP="00366FFB">
      <w:pPr>
        <w:autoSpaceDE w:val="0"/>
        <w:autoSpaceDN w:val="0"/>
        <w:adjustRightInd w:val="0"/>
        <w:jc w:val="both"/>
        <w:rPr>
          <w:rFonts w:ascii="Abadi" w:hAnsi="Abadi" w:cs="*Microsoft Sans Serif-13213-Ide"/>
          <w:color w:val="292929"/>
          <w:sz w:val="21"/>
          <w:szCs w:val="21"/>
        </w:rPr>
      </w:pPr>
      <w:r w:rsidRPr="008F1305">
        <w:rPr>
          <w:rFonts w:ascii="Abadi" w:hAnsi="Abadi" w:cs="*Microsoft Sans Serif-13213-Ide"/>
          <w:color w:val="292929"/>
          <w:sz w:val="21"/>
          <w:szCs w:val="21"/>
        </w:rPr>
        <w:t>Ostentar en la publicidad que realice la institución particular de educación superior. su reconocimiento a la gestión institucional y excelencia educativa:</w:t>
      </w:r>
    </w:p>
    <w:p w14:paraId="04204071" w14:textId="77777777" w:rsidR="00366FFB" w:rsidRPr="00743CF7" w:rsidRDefault="00366FFB" w:rsidP="00366FFB">
      <w:pPr>
        <w:autoSpaceDE w:val="0"/>
        <w:autoSpaceDN w:val="0"/>
        <w:adjustRightInd w:val="0"/>
        <w:jc w:val="both"/>
        <w:rPr>
          <w:rFonts w:ascii="Abadi" w:hAnsi="Abadi" w:cs="*Microsoft Sans Serif-13213-Ide"/>
          <w:color w:val="292929"/>
          <w:sz w:val="21"/>
          <w:szCs w:val="21"/>
        </w:rPr>
      </w:pPr>
    </w:p>
    <w:p w14:paraId="6454F39C" w14:textId="77777777" w:rsidR="00366FFB" w:rsidRPr="008F1305" w:rsidRDefault="00366FFB" w:rsidP="00366FFB">
      <w:pPr>
        <w:autoSpaceDE w:val="0"/>
        <w:autoSpaceDN w:val="0"/>
        <w:adjustRightInd w:val="0"/>
        <w:jc w:val="both"/>
        <w:rPr>
          <w:rFonts w:ascii="Abadi" w:hAnsi="Abadi" w:cs="*Microsoft Sans Serif-11233-Ide"/>
          <w:color w:val="292929"/>
          <w:sz w:val="21"/>
          <w:szCs w:val="21"/>
        </w:rPr>
      </w:pPr>
      <w:r w:rsidRPr="008F1305">
        <w:rPr>
          <w:rFonts w:ascii="Abadi" w:hAnsi="Abadi" w:cs="*Microsoft Sans Serif-13213-Ide"/>
          <w:color w:val="292929"/>
          <w:sz w:val="21"/>
          <w:szCs w:val="21"/>
        </w:rPr>
        <w:t>Obtener procedimientos abreviados con menor tiempo de respuesta para la resolución de sus trámites por parte de la Secretaría. Poro la obtención del reconocimiento de validez de estudios de programas educativos nuevos o de aquellos programas que ya tengan reconocimiento oficial y que tengan por objeto la reforma o actualización de contenidos. lo Secretaría recibirá a trámite las solicitudes</w:t>
      </w:r>
      <w:r w:rsidRPr="008F1305">
        <w:rPr>
          <w:rFonts w:ascii="Abadi" w:hAnsi="Abadi" w:cs="*Microsoft Sans Serif-11233-Ide"/>
          <w:color w:val="292929"/>
          <w:sz w:val="21"/>
          <w:szCs w:val="21"/>
        </w:rPr>
        <w:t xml:space="preserve"> que le sean presentadas, mismos que resolverá en un plazo de diez días hábiles. notificando de inmediato al solicitante; en caso contrario, se tendrán por admitidas las solicitudes;</w:t>
      </w:r>
    </w:p>
    <w:p w14:paraId="2A12893B" w14:textId="77777777" w:rsidR="00366FFB" w:rsidRPr="00743CF7" w:rsidRDefault="00366FFB" w:rsidP="00366FFB">
      <w:pPr>
        <w:autoSpaceDE w:val="0"/>
        <w:autoSpaceDN w:val="0"/>
        <w:adjustRightInd w:val="0"/>
        <w:ind w:firstLine="60"/>
        <w:jc w:val="both"/>
        <w:rPr>
          <w:rFonts w:ascii="Abadi" w:hAnsi="Abadi" w:cs="*Microsoft Sans Serif-11233-Ide"/>
          <w:color w:val="292929"/>
          <w:sz w:val="21"/>
          <w:szCs w:val="21"/>
        </w:rPr>
      </w:pPr>
    </w:p>
    <w:p w14:paraId="242762F1" w14:textId="77777777" w:rsidR="00366FFB" w:rsidRPr="008F1305" w:rsidRDefault="00366FFB" w:rsidP="00366FFB">
      <w:pPr>
        <w:autoSpaceDE w:val="0"/>
        <w:autoSpaceDN w:val="0"/>
        <w:adjustRightInd w:val="0"/>
        <w:jc w:val="both"/>
        <w:rPr>
          <w:rFonts w:ascii="Abadi" w:hAnsi="Abadi" w:cs="*Microsoft Sans Serif-11233-Ide"/>
          <w:color w:val="2A2A2A"/>
          <w:sz w:val="21"/>
          <w:szCs w:val="21"/>
        </w:rPr>
      </w:pPr>
      <w:r w:rsidRPr="008F1305">
        <w:rPr>
          <w:rFonts w:ascii="Abadi" w:hAnsi="Abadi" w:cs="*Microsoft Sans Serif-11233-Ide"/>
          <w:color w:val="2A2A2A"/>
          <w:sz w:val="21"/>
          <w:szCs w:val="21"/>
        </w:rPr>
        <w:t xml:space="preserve">Impartir asignaturas en domicilios distintos para los que se otorgó el reconocimiento de validez oficial de estudios, de acuerdo con el porcentaje </w:t>
      </w:r>
      <w:r w:rsidRPr="008F1305">
        <w:rPr>
          <w:rFonts w:ascii="Abadi" w:hAnsi="Abadi" w:cs="*Tahoma-11235-Identity-H"/>
          <w:color w:val="2A2A2A"/>
          <w:sz w:val="21"/>
          <w:szCs w:val="21"/>
        </w:rPr>
        <w:t xml:space="preserve">y </w:t>
      </w:r>
      <w:r w:rsidRPr="008F1305">
        <w:rPr>
          <w:rFonts w:ascii="Abadi" w:hAnsi="Abadi" w:cs="*Microsoft Sans Serif-11233-Ide"/>
          <w:color w:val="2A2A2A"/>
          <w:sz w:val="21"/>
          <w:szCs w:val="21"/>
        </w:rPr>
        <w:t xml:space="preserve">disposiciones aplicables, siempre </w:t>
      </w:r>
      <w:r w:rsidRPr="008F1305">
        <w:rPr>
          <w:rFonts w:ascii="Abadi" w:hAnsi="Abadi" w:cs="*Tahoma-11235-Identity-H"/>
          <w:color w:val="2A2A2A"/>
          <w:sz w:val="21"/>
          <w:szCs w:val="21"/>
        </w:rPr>
        <w:t xml:space="preserve">y </w:t>
      </w:r>
      <w:r w:rsidRPr="008F1305">
        <w:rPr>
          <w:rFonts w:ascii="Abadi" w:hAnsi="Abadi" w:cs="*Microsoft Sans Serif-11233-Ide"/>
          <w:color w:val="2A2A2A"/>
          <w:sz w:val="21"/>
          <w:szCs w:val="21"/>
        </w:rPr>
        <w:t>cuando acrediten contar con espacios que satisfagan las condiciones higiénicas, de seguridad y pedagógicas necesarias que permitan el adecuado desarrollo del proceso educativo;</w:t>
      </w:r>
    </w:p>
    <w:p w14:paraId="160B8E78" w14:textId="77777777" w:rsidR="00366FFB" w:rsidRPr="00743CF7" w:rsidRDefault="00366FFB" w:rsidP="00366FFB">
      <w:pPr>
        <w:autoSpaceDE w:val="0"/>
        <w:autoSpaceDN w:val="0"/>
        <w:adjustRightInd w:val="0"/>
        <w:jc w:val="both"/>
        <w:rPr>
          <w:rFonts w:ascii="Abadi" w:hAnsi="Abadi" w:cs="*Microsoft Sans Serif-11233-Ide"/>
          <w:color w:val="292929"/>
          <w:sz w:val="21"/>
          <w:szCs w:val="21"/>
        </w:rPr>
      </w:pPr>
    </w:p>
    <w:p w14:paraId="5465600B" w14:textId="77777777" w:rsidR="00366FFB" w:rsidRPr="008F1305" w:rsidRDefault="00366FFB" w:rsidP="00366FFB">
      <w:pPr>
        <w:autoSpaceDE w:val="0"/>
        <w:autoSpaceDN w:val="0"/>
        <w:adjustRightInd w:val="0"/>
        <w:jc w:val="both"/>
        <w:rPr>
          <w:rFonts w:ascii="Abadi" w:hAnsi="Abadi" w:cs="*Microsoft Sans Serif-11233-Ide"/>
          <w:color w:val="292929"/>
          <w:sz w:val="21"/>
          <w:szCs w:val="21"/>
        </w:rPr>
      </w:pPr>
      <w:r w:rsidRPr="008F1305">
        <w:rPr>
          <w:rFonts w:ascii="Abadi" w:hAnsi="Abadi" w:cs="*Microsoft Sans Serif-11233-Ide"/>
          <w:color w:val="292929"/>
          <w:sz w:val="21"/>
          <w:szCs w:val="21"/>
        </w:rPr>
        <w:t>Obtener movilidad académica entre sus planes de estudio afines con reconocimiento de validez oficial de estudios sin trámite de equivalencia de estudios;</w:t>
      </w:r>
    </w:p>
    <w:p w14:paraId="502266A7" w14:textId="77777777" w:rsidR="00366FFB" w:rsidRPr="00743CF7" w:rsidRDefault="00366FFB" w:rsidP="00366FFB">
      <w:pPr>
        <w:autoSpaceDE w:val="0"/>
        <w:autoSpaceDN w:val="0"/>
        <w:adjustRightInd w:val="0"/>
        <w:jc w:val="both"/>
        <w:rPr>
          <w:rFonts w:ascii="Abadi" w:hAnsi="Abadi" w:cs="*Microsoft Sans Serif-11233-Ide"/>
          <w:color w:val="292929"/>
          <w:sz w:val="21"/>
          <w:szCs w:val="21"/>
        </w:rPr>
      </w:pPr>
    </w:p>
    <w:p w14:paraId="52C8FAA5" w14:textId="77777777" w:rsidR="00366FFB" w:rsidRPr="008F1305" w:rsidRDefault="00366FFB" w:rsidP="00366FFB">
      <w:pPr>
        <w:autoSpaceDE w:val="0"/>
        <w:autoSpaceDN w:val="0"/>
        <w:adjustRightInd w:val="0"/>
        <w:jc w:val="both"/>
        <w:rPr>
          <w:rFonts w:ascii="Abadi" w:hAnsi="Abadi" w:cs="*Microsoft Sans Serif-11233-Ide"/>
          <w:color w:val="292929"/>
          <w:sz w:val="21"/>
          <w:szCs w:val="21"/>
        </w:rPr>
      </w:pPr>
      <w:r w:rsidRPr="008F1305">
        <w:rPr>
          <w:rFonts w:ascii="Abadi" w:hAnsi="Abadi" w:cs="*Microsoft Sans Serif-11233-Ide"/>
          <w:color w:val="292929"/>
          <w:sz w:val="21"/>
          <w:szCs w:val="21"/>
        </w:rPr>
        <w:t xml:space="preserve">Replicar planes y programas de estudio de los que hayo obtenido el reconocimiento de validez oficial de estudios respectivo en otros planteles que pertenezcan a la misma institución, de acuerdo con las disposiciones aplicables, siempre </w:t>
      </w:r>
      <w:r w:rsidRPr="008F1305">
        <w:rPr>
          <w:rFonts w:ascii="Abadi" w:hAnsi="Abadi" w:cs="*Tahoma-11235-Identity-H"/>
          <w:color w:val="292929"/>
          <w:sz w:val="21"/>
          <w:szCs w:val="21"/>
        </w:rPr>
        <w:t xml:space="preserve">y </w:t>
      </w:r>
      <w:r w:rsidRPr="008F1305">
        <w:rPr>
          <w:rFonts w:ascii="Abadi" w:hAnsi="Abadi" w:cs="*Microsoft Sans Serif-11233-Ide"/>
          <w:color w:val="292929"/>
          <w:sz w:val="21"/>
          <w:szCs w:val="21"/>
        </w:rPr>
        <w:t xml:space="preserve">cuando acrediten contar con espacios que satisfagan las condiciones higiénicas, de seguridad </w:t>
      </w:r>
      <w:r w:rsidRPr="008F1305">
        <w:rPr>
          <w:rFonts w:ascii="Abadi" w:hAnsi="Abadi" w:cs="*Tahoma-11235-Identity-H"/>
          <w:color w:val="292929"/>
          <w:sz w:val="21"/>
          <w:szCs w:val="21"/>
        </w:rPr>
        <w:t xml:space="preserve">y </w:t>
      </w:r>
      <w:r w:rsidRPr="008F1305">
        <w:rPr>
          <w:rFonts w:ascii="Abadi" w:hAnsi="Abadi" w:cs="*Microsoft Sans Serif-11233-Ide"/>
          <w:color w:val="292929"/>
          <w:sz w:val="21"/>
          <w:szCs w:val="21"/>
        </w:rPr>
        <w:t>pedagógicas necesarios que permitan el adecuado desarrollo del proceso educativo;</w:t>
      </w:r>
    </w:p>
    <w:p w14:paraId="03446DF4" w14:textId="77777777" w:rsidR="00366FFB" w:rsidRPr="00743CF7" w:rsidRDefault="00366FFB" w:rsidP="00366FFB">
      <w:pPr>
        <w:autoSpaceDE w:val="0"/>
        <w:autoSpaceDN w:val="0"/>
        <w:adjustRightInd w:val="0"/>
        <w:jc w:val="both"/>
        <w:rPr>
          <w:rFonts w:ascii="Abadi" w:hAnsi="Abadi" w:cs="*Microsoft Sans Serif-11233-Ide"/>
          <w:color w:val="292929"/>
          <w:sz w:val="21"/>
          <w:szCs w:val="21"/>
        </w:rPr>
      </w:pPr>
    </w:p>
    <w:p w14:paraId="733ACD3B" w14:textId="77777777" w:rsidR="00366FFB" w:rsidRPr="008F1305" w:rsidRDefault="00366FFB" w:rsidP="00366FFB">
      <w:pPr>
        <w:autoSpaceDE w:val="0"/>
        <w:autoSpaceDN w:val="0"/>
        <w:adjustRightInd w:val="0"/>
        <w:jc w:val="both"/>
        <w:rPr>
          <w:rFonts w:ascii="Abadi" w:hAnsi="Abadi" w:cs="*Microsoft Sans Serif-11233-Ide"/>
          <w:color w:val="292929"/>
          <w:sz w:val="21"/>
          <w:szCs w:val="21"/>
        </w:rPr>
      </w:pPr>
      <w:r w:rsidRPr="008F1305">
        <w:rPr>
          <w:rFonts w:ascii="Abadi" w:hAnsi="Abadi" w:cs="*Microsoft Sans Serif-11233-Ide"/>
          <w:color w:val="292929"/>
          <w:sz w:val="21"/>
          <w:szCs w:val="21"/>
        </w:rPr>
        <w:t xml:space="preserve">Otorgar o sus estudiantes equivalencias y revalidaciones parciales con fines académicos, respecto de sus propios planes </w:t>
      </w:r>
      <w:r w:rsidRPr="008F1305">
        <w:rPr>
          <w:rFonts w:ascii="Abadi" w:hAnsi="Abadi" w:cs="*Tahoma-11235-Identity-H"/>
          <w:color w:val="292929"/>
          <w:sz w:val="21"/>
          <w:szCs w:val="21"/>
        </w:rPr>
        <w:t xml:space="preserve">y </w:t>
      </w:r>
      <w:r w:rsidRPr="008F1305">
        <w:rPr>
          <w:rFonts w:ascii="Abadi" w:hAnsi="Abadi" w:cs="*Microsoft Sans Serif-11233-Ide"/>
          <w:color w:val="292929"/>
          <w:sz w:val="21"/>
          <w:szCs w:val="21"/>
        </w:rPr>
        <w:t>programas de estudio, las cuales serán de aplicación interno en la institución, conforme a las disposiciones normativas aplicables;</w:t>
      </w:r>
    </w:p>
    <w:p w14:paraId="31E034FE" w14:textId="77777777" w:rsidR="00366FFB" w:rsidRPr="00743CF7" w:rsidRDefault="00366FFB" w:rsidP="00366FFB">
      <w:pPr>
        <w:autoSpaceDE w:val="0"/>
        <w:autoSpaceDN w:val="0"/>
        <w:adjustRightInd w:val="0"/>
        <w:jc w:val="both"/>
        <w:rPr>
          <w:rFonts w:ascii="Abadi" w:hAnsi="Abadi" w:cs="*Microsoft Sans Serif-11233-Ide"/>
          <w:color w:val="292929"/>
          <w:sz w:val="21"/>
          <w:szCs w:val="21"/>
        </w:rPr>
      </w:pPr>
    </w:p>
    <w:p w14:paraId="015DB5B1" w14:textId="77777777" w:rsidR="00366FFB" w:rsidRPr="008F1305" w:rsidRDefault="00366FFB" w:rsidP="00366FFB">
      <w:pPr>
        <w:autoSpaceDE w:val="0"/>
        <w:autoSpaceDN w:val="0"/>
        <w:adjustRightInd w:val="0"/>
        <w:jc w:val="both"/>
        <w:rPr>
          <w:rFonts w:ascii="Abadi" w:hAnsi="Abadi" w:cs="*Microsoft Sans Serif-11233-Ide"/>
          <w:color w:val="2A2A2A"/>
          <w:sz w:val="21"/>
          <w:szCs w:val="21"/>
        </w:rPr>
      </w:pPr>
      <w:r w:rsidRPr="008F1305">
        <w:rPr>
          <w:rFonts w:ascii="Abadi" w:hAnsi="Abadi" w:cs="*Microsoft Sans Serif-11233-Ide"/>
          <w:color w:val="2A2A2A"/>
          <w:sz w:val="21"/>
          <w:szCs w:val="21"/>
        </w:rPr>
        <w:t>Mantener la vigencia del reconocimiento de validez oficial de estudios respectivo sin el refrendo al que se refiere esta Ley; y</w:t>
      </w:r>
    </w:p>
    <w:p w14:paraId="030FEA5F" w14:textId="77777777" w:rsidR="00366FFB" w:rsidRPr="00743CF7" w:rsidRDefault="00366FFB" w:rsidP="00366FFB">
      <w:pPr>
        <w:autoSpaceDE w:val="0"/>
        <w:autoSpaceDN w:val="0"/>
        <w:adjustRightInd w:val="0"/>
        <w:jc w:val="both"/>
        <w:rPr>
          <w:rFonts w:ascii="Abadi" w:hAnsi="Abadi" w:cs="*Microsoft Sans Serif-11233-Ide"/>
          <w:color w:val="2A2A2A"/>
          <w:sz w:val="21"/>
          <w:szCs w:val="21"/>
        </w:rPr>
      </w:pPr>
    </w:p>
    <w:p w14:paraId="149EF24B" w14:textId="77777777" w:rsidR="00366FFB" w:rsidRPr="008F1305" w:rsidRDefault="00366FFB" w:rsidP="00366FFB">
      <w:pPr>
        <w:jc w:val="both"/>
        <w:rPr>
          <w:rFonts w:ascii="Abadi" w:hAnsi="Abadi" w:cs="*Microsoft Sans Serif-11233-Ide"/>
          <w:color w:val="272727"/>
          <w:sz w:val="21"/>
          <w:szCs w:val="21"/>
        </w:rPr>
      </w:pPr>
      <w:r w:rsidRPr="008F1305">
        <w:rPr>
          <w:rFonts w:ascii="Abadi" w:hAnsi="Abadi" w:cs="*Microsoft Sans Serif-11233-Ide"/>
          <w:color w:val="272727"/>
          <w:sz w:val="21"/>
          <w:szCs w:val="21"/>
        </w:rPr>
        <w:t>Los demás beneficios que se determinen en las disposiciones aplicables.</w:t>
      </w:r>
    </w:p>
    <w:p w14:paraId="30C1D391" w14:textId="77777777" w:rsidR="00366FFB" w:rsidRPr="00743CF7" w:rsidRDefault="00366FFB" w:rsidP="00366FFB">
      <w:pPr>
        <w:jc w:val="both"/>
        <w:rPr>
          <w:rFonts w:ascii="Abadi" w:hAnsi="Abadi" w:cs="*Microsoft Sans Serif-11233-Ide"/>
          <w:color w:val="272727"/>
          <w:sz w:val="21"/>
          <w:szCs w:val="21"/>
        </w:rPr>
      </w:pPr>
    </w:p>
    <w:p w14:paraId="16DE223B" w14:textId="77777777" w:rsidR="00366FFB" w:rsidRPr="00180127" w:rsidRDefault="00366FFB" w:rsidP="00366FFB">
      <w:pPr>
        <w:autoSpaceDE w:val="0"/>
        <w:autoSpaceDN w:val="0"/>
        <w:adjustRightInd w:val="0"/>
        <w:jc w:val="both"/>
        <w:rPr>
          <w:rFonts w:ascii="Abadi" w:hAnsi="Abadi" w:cs="*Microsoft Sans Serif-11860-Ide"/>
          <w:color w:val="282828"/>
          <w:sz w:val="21"/>
          <w:szCs w:val="21"/>
        </w:rPr>
      </w:pPr>
      <w:r w:rsidRPr="008F1305">
        <w:rPr>
          <w:rFonts w:ascii="Abadi" w:hAnsi="Abadi" w:cs="*Microsoft Sans Serif-11860-Ide"/>
          <w:color w:val="282828"/>
          <w:sz w:val="21"/>
          <w:szCs w:val="21"/>
        </w:rPr>
        <w:t>Los beneficios que se deriven del reconocimiento a la gestión institucional y</w:t>
      </w:r>
      <w:r>
        <w:rPr>
          <w:rFonts w:ascii="Abadi" w:hAnsi="Abadi" w:cs="*Microsoft Sans Serif-11860-Ide"/>
          <w:color w:val="282828"/>
          <w:sz w:val="21"/>
          <w:szCs w:val="21"/>
        </w:rPr>
        <w:t xml:space="preserve"> </w:t>
      </w:r>
      <w:r w:rsidRPr="00180127">
        <w:rPr>
          <w:rFonts w:ascii="Abadi" w:hAnsi="Abadi" w:cs="*Microsoft Sans Serif-11860-Ide"/>
          <w:color w:val="282828"/>
          <w:sz w:val="21"/>
          <w:szCs w:val="21"/>
        </w:rPr>
        <w:t>excelencia educativa se otorgarán por rangos, en términos de las disposiciones</w:t>
      </w:r>
      <w:r>
        <w:rPr>
          <w:rFonts w:ascii="Abadi" w:hAnsi="Abadi" w:cs="*Microsoft Sans Serif-11860-Ide"/>
          <w:color w:val="282828"/>
          <w:sz w:val="21"/>
          <w:szCs w:val="21"/>
        </w:rPr>
        <w:t xml:space="preserve"> </w:t>
      </w:r>
      <w:r w:rsidRPr="00180127">
        <w:rPr>
          <w:rFonts w:ascii="Abadi" w:hAnsi="Abadi" w:cs="*Microsoft Sans Serif-11860-Ide"/>
          <w:color w:val="282828"/>
          <w:sz w:val="21"/>
          <w:szCs w:val="21"/>
        </w:rPr>
        <w:t>aplicables;</w:t>
      </w:r>
    </w:p>
    <w:p w14:paraId="62D3E445" w14:textId="77777777" w:rsidR="00366FFB" w:rsidRPr="00743CF7" w:rsidRDefault="00366FFB" w:rsidP="00366FFB">
      <w:pPr>
        <w:autoSpaceDE w:val="0"/>
        <w:autoSpaceDN w:val="0"/>
        <w:adjustRightInd w:val="0"/>
        <w:jc w:val="both"/>
        <w:rPr>
          <w:rFonts w:ascii="Abadi" w:hAnsi="Abadi" w:cs="*Microsoft Sans Serif-11860-Ide"/>
          <w:color w:val="282828"/>
          <w:sz w:val="21"/>
          <w:szCs w:val="21"/>
        </w:rPr>
      </w:pPr>
    </w:p>
    <w:p w14:paraId="75E9216A" w14:textId="77777777" w:rsidR="00366FFB" w:rsidRPr="008F1305" w:rsidRDefault="00366FFB" w:rsidP="005C6EBB">
      <w:pPr>
        <w:pStyle w:val="Prrafodelista"/>
        <w:numPr>
          <w:ilvl w:val="0"/>
          <w:numId w:val="48"/>
        </w:numPr>
        <w:autoSpaceDE w:val="0"/>
        <w:autoSpaceDN w:val="0"/>
        <w:adjustRightInd w:val="0"/>
        <w:contextualSpacing/>
        <w:jc w:val="both"/>
        <w:rPr>
          <w:rFonts w:ascii="Abadi" w:hAnsi="Abadi" w:cs="*Microsoft Sans Serif-11860-Ide"/>
          <w:color w:val="2A2A2A"/>
          <w:sz w:val="21"/>
          <w:szCs w:val="21"/>
        </w:rPr>
      </w:pPr>
      <w:r w:rsidRPr="008F1305">
        <w:rPr>
          <w:rFonts w:ascii="Abadi" w:hAnsi="Abadi" w:cs="*Microsoft Sans Serif-11860-Ide"/>
          <w:color w:val="2A2A2A"/>
          <w:sz w:val="21"/>
          <w:szCs w:val="21"/>
        </w:rPr>
        <w:t>El reconocimiento a la gestión institucional y excelencia educativa tendrá una vigencia de cinco años y podrá ser prorrogable, siempre que prevalezcan los condiciones que originaron su otorgamiento</w:t>
      </w:r>
    </w:p>
    <w:p w14:paraId="0BB3C8B6" w14:textId="77777777" w:rsidR="00366FFB" w:rsidRPr="00743CF7" w:rsidRDefault="00366FFB" w:rsidP="00366FFB">
      <w:pPr>
        <w:autoSpaceDE w:val="0"/>
        <w:autoSpaceDN w:val="0"/>
        <w:adjustRightInd w:val="0"/>
        <w:jc w:val="both"/>
        <w:rPr>
          <w:rFonts w:ascii="Abadi" w:hAnsi="Abadi" w:cs="*Microsoft Sans Serif-11860-Ide"/>
          <w:color w:val="292929"/>
          <w:sz w:val="21"/>
          <w:szCs w:val="21"/>
        </w:rPr>
      </w:pPr>
    </w:p>
    <w:p w14:paraId="0B27A27F" w14:textId="77777777" w:rsidR="00366FFB" w:rsidRPr="00180127" w:rsidRDefault="00366FFB" w:rsidP="005C6EBB">
      <w:pPr>
        <w:pStyle w:val="Prrafodelista"/>
        <w:numPr>
          <w:ilvl w:val="0"/>
          <w:numId w:val="48"/>
        </w:numPr>
        <w:autoSpaceDE w:val="0"/>
        <w:autoSpaceDN w:val="0"/>
        <w:adjustRightInd w:val="0"/>
        <w:contextualSpacing/>
        <w:jc w:val="both"/>
        <w:rPr>
          <w:rFonts w:ascii="Abadi" w:hAnsi="Abadi" w:cs="*Microsoft Sans Serif-11860-Ide"/>
          <w:color w:val="292929"/>
          <w:sz w:val="21"/>
          <w:szCs w:val="21"/>
        </w:rPr>
      </w:pPr>
      <w:r w:rsidRPr="00180127">
        <w:rPr>
          <w:rFonts w:ascii="Abadi" w:hAnsi="Abadi" w:cs="*Microsoft Sans Serif-11860-Ide"/>
          <w:color w:val="292929"/>
          <w:sz w:val="21"/>
          <w:szCs w:val="21"/>
        </w:rPr>
        <w:t>El reconocimiento al que se refiere este artículo será intransferible, y</w:t>
      </w:r>
    </w:p>
    <w:p w14:paraId="0A919458" w14:textId="77777777" w:rsidR="00366FFB" w:rsidRPr="00743CF7" w:rsidRDefault="00366FFB" w:rsidP="00366FFB">
      <w:pPr>
        <w:autoSpaceDE w:val="0"/>
        <w:autoSpaceDN w:val="0"/>
        <w:adjustRightInd w:val="0"/>
        <w:jc w:val="both"/>
        <w:rPr>
          <w:rFonts w:ascii="Abadi" w:hAnsi="Abadi" w:cs="*Microsoft Sans Serif-11860-Ide"/>
          <w:color w:val="2A2A2A"/>
          <w:sz w:val="21"/>
          <w:szCs w:val="21"/>
        </w:rPr>
      </w:pPr>
    </w:p>
    <w:p w14:paraId="0DF49BE9" w14:textId="77777777" w:rsidR="00366FFB" w:rsidRPr="00180127" w:rsidRDefault="00366FFB" w:rsidP="005C6EBB">
      <w:pPr>
        <w:pStyle w:val="Prrafodelista"/>
        <w:numPr>
          <w:ilvl w:val="0"/>
          <w:numId w:val="48"/>
        </w:numPr>
        <w:autoSpaceDE w:val="0"/>
        <w:autoSpaceDN w:val="0"/>
        <w:adjustRightInd w:val="0"/>
        <w:contextualSpacing/>
        <w:jc w:val="both"/>
        <w:rPr>
          <w:rFonts w:ascii="Abadi" w:hAnsi="Abadi" w:cs="*Microsoft Sans Serif-11860-Ide"/>
          <w:color w:val="2A2A2A"/>
          <w:sz w:val="21"/>
          <w:szCs w:val="21"/>
        </w:rPr>
      </w:pPr>
      <w:r>
        <w:rPr>
          <w:rFonts w:ascii="Abadi" w:hAnsi="Abadi" w:cs="*Microsoft Sans Serif-11860-Ide"/>
          <w:color w:val="2A2A2A"/>
          <w:sz w:val="21"/>
          <w:szCs w:val="21"/>
        </w:rPr>
        <w:t>L</w:t>
      </w:r>
      <w:r w:rsidRPr="00180127">
        <w:rPr>
          <w:rFonts w:ascii="Abadi" w:hAnsi="Abadi" w:cs="*Microsoft Sans Serif-11860-Ide"/>
          <w:color w:val="2A2A2A"/>
          <w:sz w:val="21"/>
          <w:szCs w:val="21"/>
        </w:rPr>
        <w:t xml:space="preserve">a Secretaría e instituciones facultadas, en cualquier momento, podrán ejercer sus facultades de vigilancia sobre la&amp; Instituciones particulares de educación superior a las que se les otorgue este reconocimiento: asimismo, podrán imponerles las sanciones previstas en la presente Ley y demás normativa aplicable, de acuerdo al procedimiento establecido en las disposiciones reglamentarias aplicables. El reconocimiento a la gestión institucional </w:t>
      </w:r>
      <w:r w:rsidRPr="00180127">
        <w:rPr>
          <w:rFonts w:ascii="Abadi" w:hAnsi="Abadi" w:cs="*Times New Roman-Italic-11853-I"/>
          <w:i/>
          <w:iCs/>
          <w:color w:val="2A2A2A"/>
          <w:sz w:val="21"/>
          <w:szCs w:val="21"/>
        </w:rPr>
        <w:t xml:space="preserve">y </w:t>
      </w:r>
      <w:r w:rsidRPr="00180127">
        <w:rPr>
          <w:rFonts w:ascii="Abadi" w:hAnsi="Abadi" w:cs="*Microsoft Sans Serif-11860-Ide"/>
          <w:color w:val="2A2A2A"/>
          <w:sz w:val="21"/>
          <w:szCs w:val="21"/>
        </w:rPr>
        <w:t xml:space="preserve">excelencia educativa será retirado cuando lo sanción impuesta por alguna de las infracciones establecidas en el artículo </w:t>
      </w:r>
      <w:r w:rsidRPr="008F1305">
        <w:rPr>
          <w:rFonts w:ascii="Abadi" w:hAnsi="Abadi" w:cs="*Microsoft Sans Serif-11860-Ide"/>
          <w:b/>
          <w:bCs/>
          <w:color w:val="2A2A2A"/>
          <w:sz w:val="21"/>
          <w:szCs w:val="21"/>
        </w:rPr>
        <w:t>98</w:t>
      </w:r>
      <w:r w:rsidRPr="00180127">
        <w:rPr>
          <w:rFonts w:ascii="Abadi" w:hAnsi="Abadi" w:cs="*Microsoft Sans Serif-11860-Ide"/>
          <w:color w:val="2A2A2A"/>
          <w:sz w:val="21"/>
          <w:szCs w:val="21"/>
        </w:rPr>
        <w:t xml:space="preserve"> fracciones </w:t>
      </w:r>
      <w:r>
        <w:rPr>
          <w:rFonts w:ascii="Abadi" w:hAnsi="Abadi" w:cs="*Microsoft Sans Serif-11860-Ide"/>
          <w:color w:val="2A2A2A"/>
          <w:sz w:val="21"/>
          <w:szCs w:val="21"/>
        </w:rPr>
        <w:t>I</w:t>
      </w:r>
      <w:r w:rsidRPr="00180127">
        <w:rPr>
          <w:rFonts w:ascii="Abadi" w:hAnsi="Abadi" w:cs="*Microsoft Sans Serif-11860-Ide"/>
          <w:color w:val="2A2A2A"/>
          <w:sz w:val="21"/>
          <w:szCs w:val="21"/>
        </w:rPr>
        <w:t xml:space="preserve">, </w:t>
      </w:r>
      <w:r>
        <w:rPr>
          <w:rFonts w:ascii="Abadi" w:hAnsi="Abadi" w:cs="*Microsoft Sans Serif-11860-Ide"/>
          <w:color w:val="2A2A2A"/>
          <w:sz w:val="21"/>
          <w:szCs w:val="21"/>
        </w:rPr>
        <w:t>II</w:t>
      </w:r>
      <w:r w:rsidRPr="00180127">
        <w:rPr>
          <w:rFonts w:ascii="Abadi" w:hAnsi="Abadi" w:cs="*Microsoft Sans Serif-11860-Ide"/>
          <w:color w:val="2A2A2A"/>
          <w:sz w:val="21"/>
          <w:szCs w:val="21"/>
        </w:rPr>
        <w:t xml:space="preserve"> IV y VII de la Ley General de Educación Superior, haya quedado firme y se imposibilitará por diez años al particular para solicitar el referido reconocimiento.</w:t>
      </w:r>
    </w:p>
    <w:p w14:paraId="7C0DE600" w14:textId="77777777" w:rsidR="00366FFB" w:rsidRPr="00743CF7" w:rsidRDefault="00366FFB" w:rsidP="00366FFB">
      <w:pPr>
        <w:autoSpaceDE w:val="0"/>
        <w:autoSpaceDN w:val="0"/>
        <w:adjustRightInd w:val="0"/>
        <w:jc w:val="both"/>
        <w:rPr>
          <w:rFonts w:ascii="Abadi" w:hAnsi="Abadi" w:cs="*Calibri-Bold-11857-Identity-H"/>
          <w:b/>
          <w:bCs/>
          <w:color w:val="0D0D0D"/>
          <w:sz w:val="21"/>
          <w:szCs w:val="21"/>
        </w:rPr>
      </w:pPr>
    </w:p>
    <w:p w14:paraId="3C3D7C38" w14:textId="77777777" w:rsidR="00366FFB" w:rsidRPr="00743CF7" w:rsidRDefault="00366FFB" w:rsidP="00366FFB">
      <w:pPr>
        <w:autoSpaceDE w:val="0"/>
        <w:autoSpaceDN w:val="0"/>
        <w:adjustRightInd w:val="0"/>
        <w:jc w:val="center"/>
        <w:rPr>
          <w:rFonts w:ascii="Abadi" w:hAnsi="Abadi" w:cs="*Calibri-Bold-11857-Identity-H"/>
          <w:b/>
          <w:bCs/>
          <w:color w:val="0D0D0D"/>
          <w:sz w:val="21"/>
          <w:szCs w:val="21"/>
        </w:rPr>
      </w:pPr>
      <w:r w:rsidRPr="00743CF7">
        <w:rPr>
          <w:rFonts w:ascii="Abadi" w:hAnsi="Abadi" w:cs="*Calibri-Bold-11857-Identity-H"/>
          <w:b/>
          <w:bCs/>
          <w:color w:val="0D0D0D"/>
          <w:sz w:val="21"/>
          <w:szCs w:val="21"/>
        </w:rPr>
        <w:t xml:space="preserve">Capítulo </w:t>
      </w:r>
      <w:r>
        <w:rPr>
          <w:rFonts w:ascii="Abadi" w:hAnsi="Abadi" w:cs="*Calibri-Bold-11857-Identity-H"/>
          <w:b/>
          <w:bCs/>
          <w:color w:val="0D0D0D"/>
          <w:sz w:val="21"/>
          <w:szCs w:val="21"/>
        </w:rPr>
        <w:t>III</w:t>
      </w:r>
    </w:p>
    <w:p w14:paraId="1DD351AE" w14:textId="77777777" w:rsidR="00366FFB" w:rsidRPr="00743CF7" w:rsidRDefault="00366FFB" w:rsidP="00366FFB">
      <w:pPr>
        <w:autoSpaceDE w:val="0"/>
        <w:autoSpaceDN w:val="0"/>
        <w:adjustRightInd w:val="0"/>
        <w:jc w:val="center"/>
        <w:rPr>
          <w:rFonts w:ascii="Abadi" w:hAnsi="Abadi" w:cs="*Calibri-Bold-11857-Identity-H"/>
          <w:b/>
          <w:bCs/>
          <w:color w:val="0D0D0D"/>
          <w:sz w:val="21"/>
          <w:szCs w:val="21"/>
        </w:rPr>
      </w:pPr>
      <w:r w:rsidRPr="00743CF7">
        <w:rPr>
          <w:rFonts w:ascii="Abadi" w:hAnsi="Abadi" w:cs="*Calibri-Bold-11857-Identity-H"/>
          <w:b/>
          <w:bCs/>
          <w:color w:val="0D0D0D"/>
          <w:sz w:val="21"/>
          <w:szCs w:val="21"/>
        </w:rPr>
        <w:t>Obligaciones de los particulares</w:t>
      </w:r>
    </w:p>
    <w:p w14:paraId="4EF131D0" w14:textId="77777777" w:rsidR="00366FFB" w:rsidRDefault="00366FFB" w:rsidP="00366FFB">
      <w:pPr>
        <w:autoSpaceDE w:val="0"/>
        <w:autoSpaceDN w:val="0"/>
        <w:adjustRightInd w:val="0"/>
        <w:jc w:val="center"/>
        <w:rPr>
          <w:rFonts w:ascii="Abadi" w:hAnsi="Abadi" w:cs="*Verdana-Bold-11859-Identity-H"/>
          <w:b/>
          <w:bCs/>
          <w:color w:val="131313"/>
          <w:sz w:val="21"/>
          <w:szCs w:val="21"/>
        </w:rPr>
      </w:pPr>
    </w:p>
    <w:p w14:paraId="1610DBD8" w14:textId="3FBC8881" w:rsidR="00366FFB" w:rsidRPr="00743CF7" w:rsidRDefault="00366FFB" w:rsidP="00366FFB">
      <w:pPr>
        <w:autoSpaceDE w:val="0"/>
        <w:autoSpaceDN w:val="0"/>
        <w:adjustRightInd w:val="0"/>
        <w:ind w:left="5664" w:firstLine="708"/>
        <w:jc w:val="right"/>
        <w:rPr>
          <w:rFonts w:ascii="Abadi" w:hAnsi="Abadi" w:cs="*Verdana-Bold-11859-Identity-H"/>
          <w:b/>
          <w:bCs/>
          <w:color w:val="131313"/>
          <w:sz w:val="21"/>
          <w:szCs w:val="21"/>
        </w:rPr>
      </w:pPr>
      <w:r w:rsidRPr="00743CF7">
        <w:rPr>
          <w:rFonts w:ascii="Abadi" w:hAnsi="Abadi" w:cs="*Verdana-Bold-11859-Identity-H"/>
          <w:b/>
          <w:bCs/>
          <w:color w:val="131313"/>
          <w:sz w:val="21"/>
          <w:szCs w:val="21"/>
        </w:rPr>
        <w:t>O</w:t>
      </w:r>
    </w:p>
    <w:p w14:paraId="1FCEBACC" w14:textId="10283D0B" w:rsidR="00366FFB" w:rsidRPr="00743CF7" w:rsidRDefault="00366FFB" w:rsidP="00366FFB">
      <w:pPr>
        <w:autoSpaceDE w:val="0"/>
        <w:autoSpaceDN w:val="0"/>
        <w:adjustRightInd w:val="0"/>
        <w:ind w:firstLine="708"/>
        <w:jc w:val="both"/>
        <w:rPr>
          <w:rFonts w:ascii="Abadi" w:hAnsi="Abadi" w:cs="*Microsoft Sans Serif-11860-Ide"/>
          <w:color w:val="282828"/>
          <w:sz w:val="21"/>
          <w:szCs w:val="21"/>
        </w:rPr>
      </w:pPr>
      <w:r w:rsidRPr="00743CF7">
        <w:rPr>
          <w:rFonts w:ascii="Abadi" w:hAnsi="Abadi" w:cs="*Calibri-Bold-11857-Identity-H"/>
          <w:b/>
          <w:bCs/>
          <w:color w:val="282828"/>
          <w:sz w:val="21"/>
          <w:szCs w:val="21"/>
        </w:rPr>
        <w:t xml:space="preserve">Artículo </w:t>
      </w:r>
      <w:r w:rsidRPr="00743CF7">
        <w:rPr>
          <w:rFonts w:ascii="Abadi" w:hAnsi="Abadi" w:cs="*Arial-BoldItalic-11858-Identit"/>
          <w:b/>
          <w:bCs/>
          <w:i/>
          <w:iCs/>
          <w:color w:val="282828"/>
          <w:sz w:val="21"/>
          <w:szCs w:val="21"/>
        </w:rPr>
        <w:t xml:space="preserve">95. </w:t>
      </w:r>
      <w:r w:rsidRPr="00743CF7">
        <w:rPr>
          <w:rFonts w:ascii="Abadi" w:hAnsi="Abadi" w:cs="*Microsoft Sans Serif-11860-Ide"/>
          <w:color w:val="282828"/>
          <w:sz w:val="21"/>
          <w:szCs w:val="21"/>
        </w:rPr>
        <w:t xml:space="preserve">Los particulares tendrán </w:t>
      </w:r>
      <w:r w:rsidR="002001D5" w:rsidRPr="00743CF7">
        <w:rPr>
          <w:rFonts w:ascii="Abadi" w:hAnsi="Abadi" w:cs="*Microsoft Sans Serif-11860-Ide"/>
          <w:color w:val="282828"/>
          <w:sz w:val="21"/>
          <w:szCs w:val="21"/>
        </w:rPr>
        <w:t>las obligaciones</w:t>
      </w:r>
      <w:r w:rsidRPr="00743CF7">
        <w:rPr>
          <w:rFonts w:ascii="Abadi" w:hAnsi="Abadi" w:cs="*Microsoft Sans Serif-11860-Ide"/>
          <w:color w:val="282828"/>
          <w:sz w:val="21"/>
          <w:szCs w:val="21"/>
        </w:rPr>
        <w:t xml:space="preserve"> que deriven de esta Ley, las establecidas en la Ley General de Educación, en la Ley de Educación para el Estado de Guanajuato y los que deriven de estás.</w:t>
      </w:r>
    </w:p>
    <w:p w14:paraId="58E0E8F8" w14:textId="77777777" w:rsidR="00366FFB" w:rsidRPr="00743CF7" w:rsidRDefault="00366FFB" w:rsidP="00366FFB">
      <w:pPr>
        <w:jc w:val="both"/>
        <w:rPr>
          <w:rFonts w:ascii="Abadi" w:hAnsi="Abadi" w:cs="*Microsoft Sans Serif-11860-Ide"/>
          <w:color w:val="282828"/>
          <w:sz w:val="21"/>
          <w:szCs w:val="21"/>
        </w:rPr>
      </w:pPr>
    </w:p>
    <w:p w14:paraId="70C95092" w14:textId="77777777" w:rsidR="00366FFB" w:rsidRDefault="00366FFB" w:rsidP="00366FFB">
      <w:pPr>
        <w:autoSpaceDE w:val="0"/>
        <w:autoSpaceDN w:val="0"/>
        <w:adjustRightInd w:val="0"/>
        <w:jc w:val="both"/>
        <w:rPr>
          <w:rFonts w:ascii="Abadi" w:hAnsi="Abadi" w:cs="*Calibri-Bold-11816-Identity-H"/>
          <w:b/>
          <w:bCs/>
          <w:color w:val="121212"/>
          <w:sz w:val="21"/>
          <w:szCs w:val="21"/>
        </w:rPr>
      </w:pPr>
    </w:p>
    <w:p w14:paraId="7624D7C3" w14:textId="77777777" w:rsidR="00366FFB" w:rsidRPr="00743CF7" w:rsidRDefault="00366FFB" w:rsidP="00366FFB">
      <w:pPr>
        <w:autoSpaceDE w:val="0"/>
        <w:autoSpaceDN w:val="0"/>
        <w:adjustRightInd w:val="0"/>
        <w:jc w:val="center"/>
        <w:rPr>
          <w:rFonts w:ascii="Abadi" w:hAnsi="Abadi" w:cs="*Calibri-Bold-11816-Identity-H"/>
          <w:b/>
          <w:bCs/>
          <w:color w:val="121212"/>
          <w:sz w:val="21"/>
          <w:szCs w:val="21"/>
        </w:rPr>
      </w:pPr>
      <w:r w:rsidRPr="00743CF7">
        <w:rPr>
          <w:rFonts w:ascii="Abadi" w:hAnsi="Abadi" w:cs="*Calibri-Bold-11816-Identity-H"/>
          <w:b/>
          <w:bCs/>
          <w:color w:val="121212"/>
          <w:sz w:val="21"/>
          <w:szCs w:val="21"/>
        </w:rPr>
        <w:t>Cap</w:t>
      </w:r>
      <w:r w:rsidRPr="00743CF7">
        <w:rPr>
          <w:rFonts w:ascii="Abadi" w:eastAsia="Calibri" w:hAnsi="Abadi" w:cs="Calibri"/>
          <w:b/>
          <w:bCs/>
          <w:color w:val="121212"/>
          <w:sz w:val="21"/>
          <w:szCs w:val="21"/>
        </w:rPr>
        <w:t>ít</w:t>
      </w:r>
      <w:r w:rsidRPr="00743CF7">
        <w:rPr>
          <w:rFonts w:ascii="Abadi" w:hAnsi="Abadi" w:cs="*Calibri-Bold-11816-Identity-H"/>
          <w:b/>
          <w:bCs/>
          <w:color w:val="121212"/>
          <w:sz w:val="21"/>
          <w:szCs w:val="21"/>
        </w:rPr>
        <w:t>ulo IV</w:t>
      </w:r>
    </w:p>
    <w:p w14:paraId="7E76553D" w14:textId="77777777" w:rsidR="00366FFB" w:rsidRPr="00743CF7" w:rsidRDefault="00366FFB" w:rsidP="00366FFB">
      <w:pPr>
        <w:autoSpaceDE w:val="0"/>
        <w:autoSpaceDN w:val="0"/>
        <w:adjustRightInd w:val="0"/>
        <w:jc w:val="center"/>
        <w:rPr>
          <w:rFonts w:ascii="Abadi" w:hAnsi="Abadi" w:cs="*Calibri-Bold-11816-Identity-H"/>
          <w:b/>
          <w:bCs/>
          <w:color w:val="121212"/>
          <w:sz w:val="21"/>
          <w:szCs w:val="21"/>
        </w:rPr>
      </w:pPr>
      <w:r w:rsidRPr="00743CF7">
        <w:rPr>
          <w:rFonts w:ascii="Abadi" w:hAnsi="Abadi" w:cs="*Calibri-Bold-11816-Identity-H"/>
          <w:b/>
          <w:bCs/>
          <w:color w:val="121212"/>
          <w:sz w:val="21"/>
          <w:szCs w:val="21"/>
        </w:rPr>
        <w:t>Acciones de vigilancia</w:t>
      </w:r>
    </w:p>
    <w:p w14:paraId="1CB0F9AD" w14:textId="77777777" w:rsidR="00366FFB" w:rsidRDefault="00366FFB" w:rsidP="00366FFB">
      <w:pPr>
        <w:autoSpaceDE w:val="0"/>
        <w:autoSpaceDN w:val="0"/>
        <w:adjustRightInd w:val="0"/>
        <w:jc w:val="both"/>
        <w:rPr>
          <w:rFonts w:ascii="Abadi" w:hAnsi="Abadi" w:cs="*Comic Sans MS-BoldItalic-11817"/>
          <w:b/>
          <w:bCs/>
          <w:i/>
          <w:iCs/>
          <w:color w:val="121212"/>
          <w:sz w:val="21"/>
          <w:szCs w:val="21"/>
        </w:rPr>
      </w:pPr>
    </w:p>
    <w:p w14:paraId="4C6726B5" w14:textId="77777777" w:rsidR="00366FFB" w:rsidRPr="00743CF7" w:rsidRDefault="00366FFB" w:rsidP="00366FFB">
      <w:pPr>
        <w:autoSpaceDE w:val="0"/>
        <w:autoSpaceDN w:val="0"/>
        <w:adjustRightInd w:val="0"/>
        <w:jc w:val="right"/>
        <w:rPr>
          <w:rFonts w:ascii="Abadi" w:hAnsi="Abadi" w:cs="*Comic Sans MS-BoldItalic-11817"/>
          <w:b/>
          <w:bCs/>
          <w:i/>
          <w:iCs/>
          <w:color w:val="121212"/>
          <w:sz w:val="21"/>
          <w:szCs w:val="21"/>
        </w:rPr>
      </w:pPr>
      <w:r w:rsidRPr="00743CF7">
        <w:rPr>
          <w:rFonts w:ascii="Abadi" w:hAnsi="Abadi" w:cs="*Comic Sans MS-BoldItalic-11817"/>
          <w:b/>
          <w:bCs/>
          <w:i/>
          <w:iCs/>
          <w:color w:val="121212"/>
          <w:sz w:val="21"/>
          <w:szCs w:val="21"/>
        </w:rPr>
        <w:t>Acciones de vigilancia en la prestación</w:t>
      </w:r>
    </w:p>
    <w:p w14:paraId="2C44C4D2" w14:textId="77777777" w:rsidR="00366FFB" w:rsidRPr="00743CF7" w:rsidRDefault="00366FFB" w:rsidP="00366FFB">
      <w:pPr>
        <w:autoSpaceDE w:val="0"/>
        <w:autoSpaceDN w:val="0"/>
        <w:adjustRightInd w:val="0"/>
        <w:jc w:val="right"/>
        <w:rPr>
          <w:rFonts w:ascii="Abadi" w:hAnsi="Abadi" w:cs="*Comic Sans MS-BoldItalic-11817"/>
          <w:b/>
          <w:bCs/>
          <w:i/>
          <w:iCs/>
          <w:color w:val="121212"/>
          <w:sz w:val="21"/>
          <w:szCs w:val="21"/>
        </w:rPr>
      </w:pPr>
      <w:r w:rsidRPr="00743CF7">
        <w:rPr>
          <w:rFonts w:ascii="Abadi" w:hAnsi="Abadi" w:cs="*Comic Sans MS-BoldItalic-11817"/>
          <w:b/>
          <w:bCs/>
          <w:i/>
          <w:iCs/>
          <w:color w:val="121212"/>
          <w:sz w:val="21"/>
          <w:szCs w:val="21"/>
        </w:rPr>
        <w:t>del servicio de educación superior</w:t>
      </w:r>
    </w:p>
    <w:p w14:paraId="3CD7D96A" w14:textId="77777777" w:rsidR="00366FFB" w:rsidRDefault="00366FFB" w:rsidP="00366FFB">
      <w:pPr>
        <w:autoSpaceDE w:val="0"/>
        <w:autoSpaceDN w:val="0"/>
        <w:adjustRightInd w:val="0"/>
        <w:ind w:firstLine="708"/>
        <w:jc w:val="both"/>
        <w:rPr>
          <w:rFonts w:ascii="Abadi" w:hAnsi="Abadi" w:cs="*Calibri-Bold-11816-Identity-H"/>
          <w:b/>
          <w:bCs/>
          <w:color w:val="292929"/>
          <w:sz w:val="21"/>
          <w:szCs w:val="21"/>
        </w:rPr>
      </w:pPr>
    </w:p>
    <w:p w14:paraId="653F88AC" w14:textId="22A20649" w:rsidR="00366FFB" w:rsidRDefault="00366FFB" w:rsidP="00366FFB">
      <w:pPr>
        <w:autoSpaceDE w:val="0"/>
        <w:autoSpaceDN w:val="0"/>
        <w:adjustRightInd w:val="0"/>
        <w:ind w:firstLine="708"/>
        <w:jc w:val="both"/>
        <w:rPr>
          <w:rFonts w:ascii="Abadi" w:hAnsi="Abadi" w:cs="*Microsoft Sans Serif-11818-Ide"/>
          <w:color w:val="292929"/>
          <w:sz w:val="21"/>
          <w:szCs w:val="21"/>
        </w:rPr>
      </w:pPr>
      <w:r w:rsidRPr="00743CF7">
        <w:rPr>
          <w:rFonts w:ascii="Abadi" w:hAnsi="Abadi" w:cs="*Calibri-Bold-11816-Identity-H"/>
          <w:b/>
          <w:bCs/>
          <w:color w:val="292929"/>
          <w:sz w:val="21"/>
          <w:szCs w:val="21"/>
        </w:rPr>
        <w:t xml:space="preserve">Artículo 96. </w:t>
      </w:r>
      <w:r w:rsidRPr="00743CF7">
        <w:rPr>
          <w:rFonts w:ascii="Abadi" w:hAnsi="Abadi" w:cs="*Microsoft Sans Serif-11818-Ide"/>
          <w:color w:val="292929"/>
          <w:sz w:val="21"/>
          <w:szCs w:val="21"/>
        </w:rPr>
        <w:t>La Secretaría o instituciones facultadas que otorguen la autorización o el reconocimiento de validez oficial, serán responsables de llevar a cabo las acciones de vigilancia de los servicios educativos respecto a los cuales se concedió dicha autorización o reconocimiento.</w:t>
      </w:r>
    </w:p>
    <w:p w14:paraId="516B2D43" w14:textId="77777777" w:rsidR="00366FFB" w:rsidRPr="00743CF7" w:rsidRDefault="00366FFB" w:rsidP="00366FFB">
      <w:pPr>
        <w:autoSpaceDE w:val="0"/>
        <w:autoSpaceDN w:val="0"/>
        <w:adjustRightInd w:val="0"/>
        <w:ind w:firstLine="708"/>
        <w:jc w:val="both"/>
        <w:rPr>
          <w:rFonts w:ascii="Abadi" w:hAnsi="Abadi" w:cs="*Microsoft Sans Serif-11818-Ide"/>
          <w:color w:val="292929"/>
          <w:sz w:val="21"/>
          <w:szCs w:val="21"/>
        </w:rPr>
      </w:pPr>
    </w:p>
    <w:p w14:paraId="17B44A12" w14:textId="77777777" w:rsidR="00366FFB" w:rsidRPr="00743CF7" w:rsidRDefault="00366FFB" w:rsidP="00366FFB">
      <w:pPr>
        <w:autoSpaceDE w:val="0"/>
        <w:autoSpaceDN w:val="0"/>
        <w:adjustRightInd w:val="0"/>
        <w:jc w:val="both"/>
        <w:rPr>
          <w:rFonts w:ascii="Abadi" w:hAnsi="Abadi" w:cs="*Microsoft Sans Serif-11818-Ide"/>
          <w:color w:val="2A2A2A"/>
          <w:sz w:val="21"/>
          <w:szCs w:val="21"/>
        </w:rPr>
      </w:pPr>
      <w:r w:rsidRPr="00743CF7">
        <w:rPr>
          <w:rFonts w:ascii="Abadi" w:hAnsi="Abadi" w:cs="*Microsoft Sans Serif-11818-Ide"/>
          <w:color w:val="2A2A2A"/>
          <w:sz w:val="21"/>
          <w:szCs w:val="21"/>
        </w:rPr>
        <w:t xml:space="preserve">Las facultades de vigilancia respecto de los estudios a los que se haya otorgado autorización o reconocimiento de validez oficial de estudios se ejercerán de conformidad con lo dispuesto en el Capítulo </w:t>
      </w:r>
      <w:r>
        <w:rPr>
          <w:rFonts w:ascii="Abadi" w:hAnsi="Abadi" w:cs="*Microsoft Sans Serif-11818-Ide"/>
          <w:color w:val="2A2A2A"/>
          <w:sz w:val="21"/>
          <w:szCs w:val="21"/>
        </w:rPr>
        <w:t>II</w:t>
      </w:r>
      <w:r w:rsidRPr="00743CF7">
        <w:rPr>
          <w:rFonts w:ascii="Abadi" w:hAnsi="Abadi" w:cs="*Microsoft Sans Serif-11818-Ide"/>
          <w:color w:val="2A2A2A"/>
          <w:sz w:val="21"/>
          <w:szCs w:val="21"/>
        </w:rPr>
        <w:t xml:space="preserve"> del Título Décimo Primero de la Ley de General de Educación. En el caso de las instituciones públicas de educación superior facultadas para ello, se sujetarán o las disposiciones que emitan en esa materia.</w:t>
      </w:r>
    </w:p>
    <w:p w14:paraId="7A8A4923" w14:textId="77777777" w:rsidR="00366FFB" w:rsidRPr="00743CF7" w:rsidRDefault="00366FFB" w:rsidP="00366FFB">
      <w:pPr>
        <w:autoSpaceDE w:val="0"/>
        <w:autoSpaceDN w:val="0"/>
        <w:adjustRightInd w:val="0"/>
        <w:jc w:val="both"/>
        <w:rPr>
          <w:rFonts w:ascii="Abadi" w:hAnsi="Abadi" w:cs="*Microsoft Sans Serif-11818-Ide"/>
          <w:color w:val="2A2A2A"/>
          <w:sz w:val="21"/>
          <w:szCs w:val="21"/>
        </w:rPr>
      </w:pPr>
    </w:p>
    <w:p w14:paraId="2624B130" w14:textId="77777777" w:rsidR="00366FFB" w:rsidRPr="00743CF7" w:rsidRDefault="00366FFB" w:rsidP="00366FFB">
      <w:pPr>
        <w:autoSpaceDE w:val="0"/>
        <w:autoSpaceDN w:val="0"/>
        <w:adjustRightInd w:val="0"/>
        <w:jc w:val="both"/>
        <w:rPr>
          <w:rFonts w:ascii="Abadi" w:hAnsi="Abadi" w:cs="*Microsoft Sans Serif-11818-Ide"/>
          <w:color w:val="292929"/>
          <w:sz w:val="21"/>
          <w:szCs w:val="21"/>
        </w:rPr>
      </w:pPr>
      <w:r w:rsidRPr="00743CF7">
        <w:rPr>
          <w:rFonts w:ascii="Abadi" w:hAnsi="Abadi" w:cs="*Microsoft Sans Serif-11818-Ide"/>
          <w:color w:val="292929"/>
          <w:sz w:val="21"/>
          <w:szCs w:val="21"/>
        </w:rPr>
        <w:t>La Secretaría podrá auxiliar a la Autoridad Educativa Federal en el ejercicio de las facultades de vigilancia de las instituciones que estén incorporadas a esta última, cuando la misma lo solicite.</w:t>
      </w:r>
    </w:p>
    <w:p w14:paraId="68AE4072" w14:textId="77777777" w:rsidR="00366FFB" w:rsidRDefault="00366FFB" w:rsidP="00366FFB">
      <w:pPr>
        <w:autoSpaceDE w:val="0"/>
        <w:autoSpaceDN w:val="0"/>
        <w:adjustRightInd w:val="0"/>
        <w:jc w:val="both"/>
        <w:rPr>
          <w:rFonts w:ascii="Abadi" w:hAnsi="Abadi" w:cs="*Comic Sans MS-BoldItalic-11817"/>
          <w:b/>
          <w:bCs/>
          <w:i/>
          <w:iCs/>
          <w:color w:val="111111"/>
          <w:sz w:val="21"/>
          <w:szCs w:val="21"/>
        </w:rPr>
      </w:pPr>
    </w:p>
    <w:p w14:paraId="7FEB5696" w14:textId="77777777" w:rsidR="00366FFB" w:rsidRPr="00743CF7" w:rsidRDefault="00366FFB" w:rsidP="00366FFB">
      <w:pPr>
        <w:autoSpaceDE w:val="0"/>
        <w:autoSpaceDN w:val="0"/>
        <w:adjustRightInd w:val="0"/>
        <w:jc w:val="right"/>
        <w:rPr>
          <w:rFonts w:ascii="Abadi" w:hAnsi="Abadi" w:cs="*Comic Sans MS-BoldItalic-11817"/>
          <w:b/>
          <w:bCs/>
          <w:i/>
          <w:iCs/>
          <w:color w:val="111111"/>
          <w:sz w:val="21"/>
          <w:szCs w:val="21"/>
        </w:rPr>
      </w:pPr>
      <w:r w:rsidRPr="00743CF7">
        <w:rPr>
          <w:rFonts w:ascii="Abadi" w:hAnsi="Abadi" w:cs="*Comic Sans MS-BoldItalic-11817"/>
          <w:b/>
          <w:bCs/>
          <w:i/>
          <w:iCs/>
          <w:color w:val="111111"/>
          <w:sz w:val="21"/>
          <w:szCs w:val="21"/>
        </w:rPr>
        <w:t>Medidas precautorias y correctivas</w:t>
      </w:r>
    </w:p>
    <w:p w14:paraId="0265BE65" w14:textId="77777777" w:rsidR="00366FFB" w:rsidRPr="00743CF7" w:rsidRDefault="00366FFB" w:rsidP="00366FFB">
      <w:pPr>
        <w:autoSpaceDE w:val="0"/>
        <w:autoSpaceDN w:val="0"/>
        <w:adjustRightInd w:val="0"/>
        <w:ind w:firstLine="708"/>
        <w:jc w:val="both"/>
        <w:rPr>
          <w:rFonts w:ascii="Abadi" w:hAnsi="Abadi" w:cs="*Microsoft Sans Serif-11818-Ide"/>
          <w:color w:val="2A2A2A"/>
          <w:sz w:val="21"/>
          <w:szCs w:val="21"/>
        </w:rPr>
      </w:pPr>
      <w:r w:rsidRPr="00743CF7">
        <w:rPr>
          <w:rFonts w:ascii="Abadi" w:hAnsi="Abadi" w:cs="*Calibri-Bold-11816-Identity-H"/>
          <w:b/>
          <w:bCs/>
          <w:color w:val="2A2A2A"/>
          <w:sz w:val="21"/>
          <w:szCs w:val="21"/>
        </w:rPr>
        <w:t xml:space="preserve">Artículo 97. </w:t>
      </w:r>
      <w:r w:rsidRPr="00743CF7">
        <w:rPr>
          <w:rFonts w:ascii="Abadi" w:hAnsi="Abadi" w:cs="*Microsoft Sans Serif-11818-Ide"/>
          <w:color w:val="2A2A2A"/>
          <w:sz w:val="21"/>
          <w:szCs w:val="21"/>
        </w:rPr>
        <w:t>Las autoridades o lo institución pública de educación superior que hayan otorgado la autorización o reconocimiento de validez oficial de estudios, al realizar las visitas de vigilancia a las que se refiere la Ley de Educación para el Estado de Guanajuato, podrán aplicar las siguientes medidas precautorias y correctivas:</w:t>
      </w:r>
    </w:p>
    <w:p w14:paraId="1445CC96" w14:textId="77777777" w:rsidR="00366FFB" w:rsidRPr="00743CF7" w:rsidRDefault="00366FFB" w:rsidP="00366FFB">
      <w:pPr>
        <w:autoSpaceDE w:val="0"/>
        <w:autoSpaceDN w:val="0"/>
        <w:adjustRightInd w:val="0"/>
        <w:jc w:val="both"/>
        <w:rPr>
          <w:rFonts w:ascii="Abadi" w:hAnsi="Abadi" w:cs="*Microsoft Sans Serif-11818-Ide"/>
          <w:color w:val="2A2A2A"/>
          <w:sz w:val="21"/>
          <w:szCs w:val="21"/>
        </w:rPr>
      </w:pPr>
    </w:p>
    <w:p w14:paraId="54C64A32" w14:textId="77777777" w:rsidR="00366FFB" w:rsidRPr="008F1305" w:rsidRDefault="00366FFB" w:rsidP="005C6EBB">
      <w:pPr>
        <w:pStyle w:val="Prrafodelista"/>
        <w:numPr>
          <w:ilvl w:val="0"/>
          <w:numId w:val="49"/>
        </w:numPr>
        <w:autoSpaceDE w:val="0"/>
        <w:autoSpaceDN w:val="0"/>
        <w:adjustRightInd w:val="0"/>
        <w:contextualSpacing/>
        <w:jc w:val="both"/>
        <w:rPr>
          <w:rFonts w:ascii="Abadi" w:hAnsi="Abadi" w:cs="*Microsoft Sans Serif-11818-Ide"/>
          <w:color w:val="2C2C2C"/>
          <w:sz w:val="21"/>
          <w:szCs w:val="21"/>
        </w:rPr>
      </w:pPr>
      <w:r w:rsidRPr="008F1305">
        <w:rPr>
          <w:rFonts w:ascii="Abadi" w:hAnsi="Abadi" w:cs="*Microsoft Sans Serif-11818-Ide"/>
          <w:color w:val="2C2C2C"/>
          <w:sz w:val="21"/>
          <w:szCs w:val="21"/>
        </w:rPr>
        <w:t>Suspensión temporal o definitiva del servicio educativo del plan o programa de estudios respectivo;</w:t>
      </w:r>
    </w:p>
    <w:p w14:paraId="56193761" w14:textId="77777777" w:rsidR="00366FFB" w:rsidRPr="00743CF7" w:rsidRDefault="00366FFB" w:rsidP="00366FFB">
      <w:pPr>
        <w:jc w:val="both"/>
        <w:rPr>
          <w:rFonts w:ascii="Abadi" w:hAnsi="Abadi" w:cs="*Microsoft Sans Serif-11818-Ide"/>
          <w:color w:val="2C2C2C"/>
          <w:sz w:val="21"/>
          <w:szCs w:val="21"/>
        </w:rPr>
      </w:pPr>
    </w:p>
    <w:p w14:paraId="206E6E90" w14:textId="77777777" w:rsidR="00366FFB" w:rsidRPr="008F1305" w:rsidRDefault="00366FFB" w:rsidP="005C6EBB">
      <w:pPr>
        <w:pStyle w:val="Prrafodelista"/>
        <w:numPr>
          <w:ilvl w:val="0"/>
          <w:numId w:val="49"/>
        </w:numPr>
        <w:autoSpaceDE w:val="0"/>
        <w:autoSpaceDN w:val="0"/>
        <w:adjustRightInd w:val="0"/>
        <w:contextualSpacing/>
        <w:jc w:val="both"/>
        <w:rPr>
          <w:rFonts w:ascii="Abadi" w:hAnsi="Abadi" w:cs="*Microsoft Sans Serif-10376-Ide"/>
          <w:color w:val="292929"/>
          <w:sz w:val="21"/>
          <w:szCs w:val="21"/>
        </w:rPr>
      </w:pPr>
      <w:r w:rsidRPr="008F1305">
        <w:rPr>
          <w:rFonts w:ascii="Abadi" w:hAnsi="Abadi" w:cs="*Microsoft Sans Serif-10376-Ide"/>
          <w:color w:val="292929"/>
          <w:sz w:val="21"/>
          <w:szCs w:val="21"/>
        </w:rPr>
        <w:t xml:space="preserve">Suspensión de información o publicidad del plan o programa de estudios respectivo que no cumpla con lo previsto en esta Ley; </w:t>
      </w:r>
    </w:p>
    <w:p w14:paraId="47945A7C" w14:textId="77777777" w:rsidR="00366FFB" w:rsidRPr="00743CF7" w:rsidRDefault="00366FFB" w:rsidP="00366FFB">
      <w:pPr>
        <w:autoSpaceDE w:val="0"/>
        <w:autoSpaceDN w:val="0"/>
        <w:adjustRightInd w:val="0"/>
        <w:jc w:val="both"/>
        <w:rPr>
          <w:rFonts w:ascii="Abadi" w:hAnsi="Abadi" w:cs="*Microsoft Sans Serif-10376-Ide"/>
          <w:color w:val="292929"/>
          <w:sz w:val="21"/>
          <w:szCs w:val="21"/>
        </w:rPr>
      </w:pPr>
    </w:p>
    <w:p w14:paraId="21602E86" w14:textId="77777777" w:rsidR="00366FFB" w:rsidRPr="008F1305" w:rsidRDefault="00366FFB" w:rsidP="005C6EBB">
      <w:pPr>
        <w:pStyle w:val="Prrafodelista"/>
        <w:numPr>
          <w:ilvl w:val="0"/>
          <w:numId w:val="49"/>
        </w:numPr>
        <w:autoSpaceDE w:val="0"/>
        <w:autoSpaceDN w:val="0"/>
        <w:adjustRightInd w:val="0"/>
        <w:contextualSpacing/>
        <w:jc w:val="both"/>
        <w:rPr>
          <w:rFonts w:ascii="Abadi" w:hAnsi="Abadi" w:cs="*Microsoft Sans Serif-10376-Ide"/>
          <w:color w:val="292929"/>
          <w:sz w:val="21"/>
          <w:szCs w:val="21"/>
        </w:rPr>
      </w:pPr>
      <w:r w:rsidRPr="008F1305">
        <w:rPr>
          <w:rFonts w:ascii="Abadi" w:hAnsi="Abadi" w:cs="*Microsoft Sans Serif-10376-Ide"/>
          <w:color w:val="292929"/>
          <w:sz w:val="21"/>
          <w:szCs w:val="21"/>
        </w:rPr>
        <w:t>Colocación de sellos e información de advertencia en el plantel educativo sobre el pion o programa de estudios respectivo, y</w:t>
      </w:r>
    </w:p>
    <w:p w14:paraId="01E59E9A" w14:textId="77777777" w:rsidR="00366FFB" w:rsidRPr="00743CF7" w:rsidRDefault="00366FFB" w:rsidP="00366FFB">
      <w:pPr>
        <w:autoSpaceDE w:val="0"/>
        <w:autoSpaceDN w:val="0"/>
        <w:adjustRightInd w:val="0"/>
        <w:jc w:val="both"/>
        <w:rPr>
          <w:rFonts w:ascii="Abadi" w:hAnsi="Abadi" w:cs="*Microsoft Sans Serif-10376-Ide"/>
          <w:color w:val="292929"/>
          <w:sz w:val="21"/>
          <w:szCs w:val="21"/>
        </w:rPr>
      </w:pPr>
    </w:p>
    <w:p w14:paraId="61023E34" w14:textId="77777777" w:rsidR="00366FFB" w:rsidRPr="008F1305" w:rsidRDefault="00366FFB" w:rsidP="005C6EBB">
      <w:pPr>
        <w:pStyle w:val="Prrafodelista"/>
        <w:numPr>
          <w:ilvl w:val="0"/>
          <w:numId w:val="49"/>
        </w:numPr>
        <w:autoSpaceDE w:val="0"/>
        <w:autoSpaceDN w:val="0"/>
        <w:adjustRightInd w:val="0"/>
        <w:contextualSpacing/>
        <w:jc w:val="both"/>
        <w:rPr>
          <w:rFonts w:ascii="Abadi" w:hAnsi="Abadi" w:cs="*Microsoft Sans Serif-10376-Ide"/>
          <w:color w:val="2B2B2B"/>
          <w:sz w:val="21"/>
          <w:szCs w:val="21"/>
        </w:rPr>
      </w:pPr>
      <w:r w:rsidRPr="008F1305">
        <w:rPr>
          <w:rFonts w:ascii="Abadi" w:hAnsi="Abadi" w:cs="*Microsoft Sans Serif-10376-Ide"/>
          <w:color w:val="2B2B2B"/>
          <w:sz w:val="21"/>
          <w:szCs w:val="21"/>
        </w:rPr>
        <w:t>Aquellas necesarias para salvaguardar los derechos educativos de las y los estudiantes.</w:t>
      </w:r>
    </w:p>
    <w:p w14:paraId="2E193CF1" w14:textId="77777777" w:rsidR="00366FFB" w:rsidRPr="00743CF7" w:rsidRDefault="00366FFB" w:rsidP="00366FFB">
      <w:pPr>
        <w:autoSpaceDE w:val="0"/>
        <w:autoSpaceDN w:val="0"/>
        <w:adjustRightInd w:val="0"/>
        <w:jc w:val="both"/>
        <w:rPr>
          <w:rFonts w:ascii="Abadi" w:hAnsi="Abadi" w:cs="*Microsoft Sans Serif-10376-Ide"/>
          <w:color w:val="292929"/>
          <w:sz w:val="21"/>
          <w:szCs w:val="21"/>
        </w:rPr>
      </w:pPr>
    </w:p>
    <w:p w14:paraId="1943B12F" w14:textId="778E14BD" w:rsidR="00366FFB" w:rsidRPr="00743CF7" w:rsidRDefault="00366FFB" w:rsidP="00366FFB">
      <w:pPr>
        <w:autoSpaceDE w:val="0"/>
        <w:autoSpaceDN w:val="0"/>
        <w:adjustRightInd w:val="0"/>
        <w:jc w:val="both"/>
        <w:rPr>
          <w:rFonts w:ascii="Abadi" w:hAnsi="Abadi" w:cs="*Microsoft Sans Serif-10376-Ide"/>
          <w:color w:val="292929"/>
          <w:sz w:val="21"/>
          <w:szCs w:val="21"/>
        </w:rPr>
      </w:pPr>
      <w:r w:rsidRPr="00743CF7">
        <w:rPr>
          <w:rFonts w:ascii="Abadi" w:hAnsi="Abadi" w:cs="*Microsoft Sans Serif-10376-Ide"/>
          <w:color w:val="292929"/>
          <w:sz w:val="21"/>
          <w:szCs w:val="21"/>
        </w:rPr>
        <w:t xml:space="preserve">En caso de aplicarse las medidas establecidas en las fracciones I y II de este artículo, la autoridad educativa correspondiente establecerá los procedimientos necesarios para salvaguardar los estudios de los </w:t>
      </w:r>
      <w:r w:rsidR="002001D5" w:rsidRPr="00743CF7">
        <w:rPr>
          <w:rFonts w:ascii="Abadi" w:hAnsi="Abadi" w:cs="*Microsoft Sans Serif-10376-Ide"/>
          <w:color w:val="292929"/>
          <w:sz w:val="21"/>
          <w:szCs w:val="21"/>
        </w:rPr>
        <w:t>personas inscritas</w:t>
      </w:r>
      <w:r w:rsidRPr="00743CF7">
        <w:rPr>
          <w:rFonts w:ascii="Abadi" w:hAnsi="Abadi" w:cs="*Microsoft Sans Serif-10376-Ide"/>
          <w:color w:val="292929"/>
          <w:sz w:val="21"/>
          <w:szCs w:val="21"/>
        </w:rPr>
        <w:t xml:space="preserve"> en el plan o programa de estudios respectivo.</w:t>
      </w:r>
    </w:p>
    <w:p w14:paraId="54F1246D" w14:textId="77777777" w:rsidR="00366FFB" w:rsidRPr="00743CF7" w:rsidRDefault="00366FFB" w:rsidP="00366FFB">
      <w:pPr>
        <w:autoSpaceDE w:val="0"/>
        <w:autoSpaceDN w:val="0"/>
        <w:adjustRightInd w:val="0"/>
        <w:jc w:val="both"/>
        <w:rPr>
          <w:rFonts w:ascii="Abadi" w:hAnsi="Abadi" w:cs="*Microsoft Sans Serif-Bold-1037"/>
          <w:b/>
          <w:bCs/>
          <w:color w:val="0F0F0F"/>
          <w:sz w:val="21"/>
          <w:szCs w:val="21"/>
        </w:rPr>
      </w:pPr>
    </w:p>
    <w:p w14:paraId="420F46F5" w14:textId="77777777" w:rsidR="00366FFB" w:rsidRPr="00743CF7" w:rsidRDefault="00366FFB" w:rsidP="00366FFB">
      <w:pPr>
        <w:autoSpaceDE w:val="0"/>
        <w:autoSpaceDN w:val="0"/>
        <w:adjustRightInd w:val="0"/>
        <w:jc w:val="center"/>
        <w:rPr>
          <w:rFonts w:ascii="Abadi" w:hAnsi="Abadi" w:cs="*Microsoft Sans Serif-Bold-1037"/>
          <w:b/>
          <w:bCs/>
          <w:color w:val="0F0F0F"/>
          <w:sz w:val="21"/>
          <w:szCs w:val="21"/>
        </w:rPr>
      </w:pPr>
      <w:r w:rsidRPr="00743CF7">
        <w:rPr>
          <w:rFonts w:ascii="Abadi" w:hAnsi="Abadi" w:cs="*Microsoft Sans Serif-Bold-1037"/>
          <w:b/>
          <w:bCs/>
          <w:color w:val="0F0F0F"/>
          <w:sz w:val="21"/>
          <w:szCs w:val="21"/>
        </w:rPr>
        <w:t>Capítulo V</w:t>
      </w:r>
    </w:p>
    <w:p w14:paraId="5F220B48" w14:textId="77777777" w:rsidR="00366FFB" w:rsidRPr="00743CF7" w:rsidRDefault="00366FFB" w:rsidP="00366FFB">
      <w:pPr>
        <w:autoSpaceDE w:val="0"/>
        <w:autoSpaceDN w:val="0"/>
        <w:adjustRightInd w:val="0"/>
        <w:jc w:val="center"/>
        <w:rPr>
          <w:rFonts w:ascii="Abadi" w:hAnsi="Abadi" w:cs="*Microsoft Sans Serif-Bold-1037"/>
          <w:b/>
          <w:bCs/>
          <w:color w:val="0F0F0F"/>
          <w:sz w:val="21"/>
          <w:szCs w:val="21"/>
        </w:rPr>
      </w:pPr>
      <w:r w:rsidRPr="00743CF7">
        <w:rPr>
          <w:rFonts w:ascii="Abadi" w:hAnsi="Abadi" w:cs="*Microsoft Sans Serif-Bold-1037"/>
          <w:b/>
          <w:bCs/>
          <w:color w:val="0F0F0F"/>
          <w:sz w:val="21"/>
          <w:szCs w:val="21"/>
        </w:rPr>
        <w:t>Infracciones</w:t>
      </w:r>
    </w:p>
    <w:p w14:paraId="3817A0AC" w14:textId="77777777" w:rsidR="00366FFB" w:rsidRDefault="00366FFB" w:rsidP="00366FFB">
      <w:pPr>
        <w:autoSpaceDE w:val="0"/>
        <w:autoSpaceDN w:val="0"/>
        <w:adjustRightInd w:val="0"/>
        <w:jc w:val="center"/>
        <w:rPr>
          <w:rFonts w:ascii="Abadi" w:hAnsi="Abadi" w:cs="*Calibri-BoldItalic-10374-Ident"/>
          <w:b/>
          <w:bCs/>
          <w:i/>
          <w:iCs/>
          <w:color w:val="121212"/>
          <w:sz w:val="21"/>
          <w:szCs w:val="21"/>
        </w:rPr>
      </w:pPr>
    </w:p>
    <w:p w14:paraId="7D7BC650" w14:textId="77777777" w:rsidR="00366FFB" w:rsidRPr="00743CF7" w:rsidRDefault="00366FFB" w:rsidP="00366FFB">
      <w:pPr>
        <w:autoSpaceDE w:val="0"/>
        <w:autoSpaceDN w:val="0"/>
        <w:adjustRightInd w:val="0"/>
        <w:jc w:val="right"/>
        <w:rPr>
          <w:rFonts w:ascii="Abadi" w:hAnsi="Abadi" w:cs="*Calibri-BoldItalic-10374-Ident"/>
          <w:b/>
          <w:bCs/>
          <w:i/>
          <w:iCs/>
          <w:color w:val="121212"/>
          <w:sz w:val="21"/>
          <w:szCs w:val="21"/>
        </w:rPr>
      </w:pPr>
      <w:r w:rsidRPr="00743CF7">
        <w:rPr>
          <w:rFonts w:ascii="Abadi" w:hAnsi="Abadi" w:cs="*Calibri-BoldItalic-10374-Ident"/>
          <w:b/>
          <w:bCs/>
          <w:i/>
          <w:iCs/>
          <w:color w:val="121212"/>
          <w:sz w:val="21"/>
          <w:szCs w:val="21"/>
        </w:rPr>
        <w:t>De las Infracciones</w:t>
      </w:r>
    </w:p>
    <w:p w14:paraId="1073F77B" w14:textId="77777777" w:rsidR="00366FFB" w:rsidRPr="00743CF7" w:rsidRDefault="00366FFB" w:rsidP="00366FFB">
      <w:pPr>
        <w:autoSpaceDE w:val="0"/>
        <w:autoSpaceDN w:val="0"/>
        <w:adjustRightInd w:val="0"/>
        <w:jc w:val="both"/>
        <w:rPr>
          <w:rFonts w:ascii="Abadi" w:hAnsi="Abadi" w:cs="*Arial-Bold-10375-Identity-H"/>
          <w:b/>
          <w:bCs/>
          <w:color w:val="262626"/>
          <w:sz w:val="21"/>
          <w:szCs w:val="21"/>
        </w:rPr>
      </w:pPr>
    </w:p>
    <w:p w14:paraId="4BE9EC72" w14:textId="77777777" w:rsidR="00366FFB" w:rsidRPr="00743CF7" w:rsidRDefault="00366FFB" w:rsidP="00366FFB">
      <w:pPr>
        <w:autoSpaceDE w:val="0"/>
        <w:autoSpaceDN w:val="0"/>
        <w:adjustRightInd w:val="0"/>
        <w:jc w:val="both"/>
        <w:rPr>
          <w:rFonts w:ascii="Abadi" w:hAnsi="Abadi" w:cs="*Microsoft Sans Serif-10376-Ide"/>
          <w:color w:val="262626"/>
          <w:sz w:val="21"/>
          <w:szCs w:val="21"/>
        </w:rPr>
      </w:pPr>
      <w:r w:rsidRPr="00743CF7">
        <w:rPr>
          <w:rFonts w:ascii="Abadi" w:hAnsi="Abadi" w:cs="*Arial-Bold-10375-Identity-H"/>
          <w:b/>
          <w:bCs/>
          <w:color w:val="262626"/>
          <w:sz w:val="21"/>
          <w:szCs w:val="21"/>
        </w:rPr>
        <w:t xml:space="preserve">Artículo 98. </w:t>
      </w:r>
      <w:r w:rsidRPr="00743CF7">
        <w:rPr>
          <w:rFonts w:ascii="Abadi" w:hAnsi="Abadi" w:cs="*Microsoft Sans Serif-10376-Ide"/>
          <w:color w:val="262626"/>
          <w:sz w:val="21"/>
          <w:szCs w:val="21"/>
        </w:rPr>
        <w:t xml:space="preserve">Además de aquellas establecidas en la Ley de Educación para el Estado de Guanajuato, son infracciones de quienes prestan servicios educativos: </w:t>
      </w:r>
    </w:p>
    <w:p w14:paraId="6820A52F" w14:textId="77777777" w:rsidR="00366FFB" w:rsidRPr="00743CF7" w:rsidRDefault="00366FFB" w:rsidP="00366FFB">
      <w:pPr>
        <w:autoSpaceDE w:val="0"/>
        <w:autoSpaceDN w:val="0"/>
        <w:adjustRightInd w:val="0"/>
        <w:jc w:val="both"/>
        <w:rPr>
          <w:rFonts w:ascii="Abadi" w:hAnsi="Abadi" w:cs="*Microsoft Sans Serif-10376-Ide"/>
          <w:color w:val="272727"/>
          <w:sz w:val="21"/>
          <w:szCs w:val="21"/>
        </w:rPr>
      </w:pPr>
    </w:p>
    <w:p w14:paraId="476DD8C3" w14:textId="77777777" w:rsidR="00366FFB" w:rsidRPr="001D14EF" w:rsidRDefault="00366FFB" w:rsidP="005C6EBB">
      <w:pPr>
        <w:pStyle w:val="Prrafodelista"/>
        <w:numPr>
          <w:ilvl w:val="0"/>
          <w:numId w:val="50"/>
        </w:numPr>
        <w:autoSpaceDE w:val="0"/>
        <w:autoSpaceDN w:val="0"/>
        <w:adjustRightInd w:val="0"/>
        <w:contextualSpacing/>
        <w:jc w:val="both"/>
        <w:rPr>
          <w:rFonts w:ascii="Abadi" w:hAnsi="Abadi" w:cs="*Microsoft Sans Serif-10376-Ide"/>
          <w:color w:val="272727"/>
          <w:sz w:val="21"/>
          <w:szCs w:val="21"/>
        </w:rPr>
      </w:pPr>
      <w:r w:rsidRPr="001D14EF">
        <w:rPr>
          <w:rFonts w:ascii="Abadi" w:hAnsi="Abadi" w:cs="*Microsoft Sans Serif-10376-Ide"/>
          <w:color w:val="272727"/>
          <w:sz w:val="21"/>
          <w:szCs w:val="21"/>
        </w:rPr>
        <w:t>Ofrecer o impartir estudios denominados como técnico superior universitario, profesional asociado, licenciatura, especialidad, maestría o doctorado, en los casos que corresponda en los términos de esta Ley, sin contar con el reconocimiento de validez oficial de estudios u ostentarlo sin haberlo obtenido;</w:t>
      </w:r>
    </w:p>
    <w:p w14:paraId="5C217EC4" w14:textId="77777777" w:rsidR="00366FFB" w:rsidRPr="00743CF7" w:rsidRDefault="00366FFB" w:rsidP="00366FFB">
      <w:pPr>
        <w:autoSpaceDE w:val="0"/>
        <w:autoSpaceDN w:val="0"/>
        <w:adjustRightInd w:val="0"/>
        <w:jc w:val="both"/>
        <w:rPr>
          <w:rFonts w:ascii="Abadi" w:hAnsi="Abadi" w:cs="*Microsoft Sans Serif-10376-Ide"/>
          <w:color w:val="272727"/>
          <w:sz w:val="21"/>
          <w:szCs w:val="21"/>
        </w:rPr>
      </w:pPr>
    </w:p>
    <w:p w14:paraId="0C08FB73" w14:textId="77777777" w:rsidR="00366FFB" w:rsidRPr="001D14EF" w:rsidRDefault="00366FFB" w:rsidP="005C6EBB">
      <w:pPr>
        <w:pStyle w:val="Prrafodelista"/>
        <w:numPr>
          <w:ilvl w:val="0"/>
          <w:numId w:val="50"/>
        </w:numPr>
        <w:autoSpaceDE w:val="0"/>
        <w:autoSpaceDN w:val="0"/>
        <w:adjustRightInd w:val="0"/>
        <w:contextualSpacing/>
        <w:jc w:val="both"/>
        <w:rPr>
          <w:rFonts w:ascii="Abadi" w:hAnsi="Abadi" w:cs="*Microsoft Sans Serif-10376-Ide"/>
          <w:color w:val="292929"/>
          <w:sz w:val="21"/>
          <w:szCs w:val="21"/>
        </w:rPr>
      </w:pPr>
      <w:r w:rsidRPr="001D14EF">
        <w:rPr>
          <w:rFonts w:ascii="Abadi" w:hAnsi="Abadi" w:cs="*Microsoft Sans Serif-10376-Ide"/>
          <w:color w:val="292929"/>
          <w:sz w:val="21"/>
          <w:szCs w:val="21"/>
        </w:rPr>
        <w:t>Incumplir con lo dispuesto en el artículo 93 fracción I, incisos g). h) e i) de esta Ley;</w:t>
      </w:r>
    </w:p>
    <w:p w14:paraId="4FA320E0" w14:textId="77777777" w:rsidR="00366FFB" w:rsidRPr="00743CF7" w:rsidRDefault="00366FFB" w:rsidP="00366FFB">
      <w:pPr>
        <w:autoSpaceDE w:val="0"/>
        <w:autoSpaceDN w:val="0"/>
        <w:adjustRightInd w:val="0"/>
        <w:jc w:val="both"/>
        <w:rPr>
          <w:rFonts w:ascii="Abadi" w:hAnsi="Abadi" w:cs="*Microsoft Sans Serif-10376-Ide"/>
          <w:color w:val="292929"/>
          <w:sz w:val="21"/>
          <w:szCs w:val="21"/>
        </w:rPr>
      </w:pPr>
    </w:p>
    <w:p w14:paraId="403110C2" w14:textId="77777777" w:rsidR="00366FFB" w:rsidRPr="001D14EF" w:rsidRDefault="00366FFB" w:rsidP="005C6EBB">
      <w:pPr>
        <w:pStyle w:val="Prrafodelista"/>
        <w:numPr>
          <w:ilvl w:val="0"/>
          <w:numId w:val="50"/>
        </w:numPr>
        <w:autoSpaceDE w:val="0"/>
        <w:autoSpaceDN w:val="0"/>
        <w:adjustRightInd w:val="0"/>
        <w:contextualSpacing/>
        <w:jc w:val="both"/>
        <w:rPr>
          <w:rFonts w:ascii="Abadi" w:hAnsi="Abadi" w:cs="*Microsoft Sans Serif-10376-Ide"/>
          <w:color w:val="292929"/>
          <w:sz w:val="21"/>
          <w:szCs w:val="21"/>
        </w:rPr>
      </w:pPr>
      <w:r w:rsidRPr="001D14EF">
        <w:rPr>
          <w:rFonts w:ascii="Abadi" w:hAnsi="Abadi" w:cs="*Microsoft Sans Serif-10376-Ide"/>
          <w:color w:val="292929"/>
          <w:sz w:val="21"/>
          <w:szCs w:val="21"/>
        </w:rPr>
        <w:t>Contravenir las disposiciones contempladas en los artículos 11 y 14 de esta Ley:</w:t>
      </w:r>
    </w:p>
    <w:p w14:paraId="355CC515" w14:textId="77777777" w:rsidR="00366FFB" w:rsidRPr="00743CF7" w:rsidRDefault="00366FFB" w:rsidP="00366FFB">
      <w:pPr>
        <w:autoSpaceDE w:val="0"/>
        <w:autoSpaceDN w:val="0"/>
        <w:adjustRightInd w:val="0"/>
        <w:jc w:val="both"/>
        <w:rPr>
          <w:rFonts w:ascii="Abadi" w:hAnsi="Abadi" w:cs="*Microsoft Sans Serif-10376-Ide"/>
          <w:color w:val="292929"/>
          <w:sz w:val="21"/>
          <w:szCs w:val="21"/>
        </w:rPr>
      </w:pPr>
    </w:p>
    <w:p w14:paraId="430191F7" w14:textId="77777777" w:rsidR="00366FFB" w:rsidRPr="001D14EF" w:rsidRDefault="00366FFB" w:rsidP="005C6EBB">
      <w:pPr>
        <w:pStyle w:val="Prrafodelista"/>
        <w:numPr>
          <w:ilvl w:val="0"/>
          <w:numId w:val="50"/>
        </w:numPr>
        <w:autoSpaceDE w:val="0"/>
        <w:autoSpaceDN w:val="0"/>
        <w:adjustRightInd w:val="0"/>
        <w:contextualSpacing/>
        <w:jc w:val="both"/>
        <w:rPr>
          <w:rFonts w:ascii="Abadi" w:hAnsi="Abadi" w:cs="*Arial-11122-Identity-H"/>
          <w:color w:val="282828"/>
          <w:sz w:val="21"/>
          <w:szCs w:val="21"/>
        </w:rPr>
      </w:pPr>
      <w:r w:rsidRPr="001D14EF">
        <w:rPr>
          <w:rFonts w:ascii="Abadi" w:hAnsi="Abadi" w:cs="*Arial-11122-Identity-H"/>
          <w:color w:val="282828"/>
          <w:sz w:val="21"/>
          <w:szCs w:val="21"/>
        </w:rPr>
        <w:t>Incumplir con las medidas correctivas o precautorias que ordene la autoridad educativa en términos de esta Ley;</w:t>
      </w:r>
    </w:p>
    <w:p w14:paraId="2E499AAE" w14:textId="77777777" w:rsidR="00366FFB" w:rsidRPr="00743CF7" w:rsidRDefault="00366FFB" w:rsidP="00366FFB">
      <w:pPr>
        <w:autoSpaceDE w:val="0"/>
        <w:autoSpaceDN w:val="0"/>
        <w:adjustRightInd w:val="0"/>
        <w:jc w:val="both"/>
        <w:rPr>
          <w:rFonts w:ascii="Abadi" w:hAnsi="Abadi" w:cs="*Arial-11122-Identity-H"/>
          <w:color w:val="2B2B2B"/>
          <w:sz w:val="21"/>
          <w:szCs w:val="21"/>
        </w:rPr>
      </w:pPr>
    </w:p>
    <w:p w14:paraId="58BFD8E8" w14:textId="77777777" w:rsidR="00366FFB" w:rsidRPr="001D14EF" w:rsidRDefault="00366FFB" w:rsidP="005C6EBB">
      <w:pPr>
        <w:pStyle w:val="Prrafodelista"/>
        <w:numPr>
          <w:ilvl w:val="0"/>
          <w:numId w:val="50"/>
        </w:numPr>
        <w:autoSpaceDE w:val="0"/>
        <w:autoSpaceDN w:val="0"/>
        <w:adjustRightInd w:val="0"/>
        <w:contextualSpacing/>
        <w:jc w:val="both"/>
        <w:rPr>
          <w:rFonts w:ascii="Abadi" w:hAnsi="Abadi" w:cs="*Arial-11122-Identity-H"/>
          <w:color w:val="2B2B2B"/>
          <w:sz w:val="21"/>
          <w:szCs w:val="21"/>
        </w:rPr>
      </w:pPr>
      <w:r w:rsidRPr="001D14EF">
        <w:rPr>
          <w:rFonts w:ascii="Abadi" w:hAnsi="Abadi" w:cs="*Arial-11122-Identity-H"/>
          <w:color w:val="2B2B2B"/>
          <w:sz w:val="21"/>
          <w:szCs w:val="21"/>
        </w:rPr>
        <w:t>Incumplir con alguna de las disposiciones en la asignación de becas en términos del artículo 92 de esta Ley;</w:t>
      </w:r>
    </w:p>
    <w:p w14:paraId="52F11200" w14:textId="77777777" w:rsidR="00366FFB" w:rsidRPr="00743CF7" w:rsidRDefault="00366FFB" w:rsidP="00366FFB">
      <w:pPr>
        <w:autoSpaceDE w:val="0"/>
        <w:autoSpaceDN w:val="0"/>
        <w:adjustRightInd w:val="0"/>
        <w:jc w:val="both"/>
        <w:rPr>
          <w:rFonts w:ascii="Abadi" w:hAnsi="Abadi" w:cs="*Calibri-Bold-11121-Identity-H"/>
          <w:b/>
          <w:bCs/>
          <w:color w:val="2A2A2A"/>
          <w:sz w:val="21"/>
          <w:szCs w:val="21"/>
        </w:rPr>
      </w:pPr>
    </w:p>
    <w:p w14:paraId="054C5C0D" w14:textId="77777777" w:rsidR="00366FFB" w:rsidRPr="001D14EF" w:rsidRDefault="00366FFB" w:rsidP="005C6EBB">
      <w:pPr>
        <w:pStyle w:val="Prrafodelista"/>
        <w:numPr>
          <w:ilvl w:val="0"/>
          <w:numId w:val="50"/>
        </w:numPr>
        <w:autoSpaceDE w:val="0"/>
        <w:autoSpaceDN w:val="0"/>
        <w:adjustRightInd w:val="0"/>
        <w:contextualSpacing/>
        <w:jc w:val="both"/>
        <w:rPr>
          <w:rFonts w:ascii="Abadi" w:hAnsi="Abadi" w:cs="*Arial-11122-Identity-H"/>
          <w:color w:val="2A2A2A"/>
          <w:sz w:val="21"/>
          <w:szCs w:val="21"/>
        </w:rPr>
      </w:pPr>
      <w:r w:rsidRPr="001D14EF">
        <w:rPr>
          <w:rFonts w:ascii="Abadi" w:hAnsi="Abadi" w:cs="*Arial-11122-Identity-H"/>
          <w:color w:val="2A2A2A"/>
          <w:sz w:val="21"/>
          <w:szCs w:val="21"/>
        </w:rPr>
        <w:t>Condicionar la prestación de</w:t>
      </w:r>
      <w:r w:rsidRPr="001D14EF">
        <w:rPr>
          <w:rFonts w:ascii="Abadi" w:hAnsi="Abadi" w:cs="*Arial-11122-Identity-H"/>
          <w:color w:val="8F8F8F"/>
          <w:sz w:val="21"/>
          <w:szCs w:val="21"/>
        </w:rPr>
        <w:t xml:space="preserve">l </w:t>
      </w:r>
      <w:r w:rsidRPr="001D14EF">
        <w:rPr>
          <w:rFonts w:ascii="Abadi" w:hAnsi="Abadi" w:cs="*Arial-11122-Identity-H"/>
          <w:color w:val="2A2A2A"/>
          <w:sz w:val="21"/>
          <w:szCs w:val="21"/>
        </w:rPr>
        <w:t>servicio público de educación a la contratación de servicios ajenos a la prestación del mismo;</w:t>
      </w:r>
    </w:p>
    <w:p w14:paraId="5D740E3A" w14:textId="77777777" w:rsidR="00366FFB" w:rsidRPr="00743CF7" w:rsidRDefault="00366FFB" w:rsidP="00366FFB">
      <w:pPr>
        <w:autoSpaceDE w:val="0"/>
        <w:autoSpaceDN w:val="0"/>
        <w:adjustRightInd w:val="0"/>
        <w:jc w:val="both"/>
        <w:rPr>
          <w:rFonts w:ascii="Abadi" w:hAnsi="Abadi" w:cs="*Microsoft Sans Serif-Bold-1112"/>
          <w:b/>
          <w:bCs/>
          <w:color w:val="282828"/>
          <w:sz w:val="21"/>
          <w:szCs w:val="21"/>
        </w:rPr>
      </w:pPr>
    </w:p>
    <w:p w14:paraId="4852A70E" w14:textId="77777777" w:rsidR="00366FFB" w:rsidRDefault="00366FFB" w:rsidP="005C6EBB">
      <w:pPr>
        <w:pStyle w:val="Prrafodelista"/>
        <w:numPr>
          <w:ilvl w:val="0"/>
          <w:numId w:val="50"/>
        </w:numPr>
        <w:autoSpaceDE w:val="0"/>
        <w:autoSpaceDN w:val="0"/>
        <w:adjustRightInd w:val="0"/>
        <w:contextualSpacing/>
        <w:jc w:val="both"/>
        <w:rPr>
          <w:rFonts w:ascii="Abadi" w:hAnsi="Abadi" w:cs="*Arial-11122-Identity-H"/>
          <w:color w:val="282828"/>
          <w:sz w:val="21"/>
          <w:szCs w:val="21"/>
        </w:rPr>
      </w:pPr>
      <w:r w:rsidRPr="001D14EF">
        <w:rPr>
          <w:rFonts w:ascii="Abadi" w:hAnsi="Abadi" w:cs="*Arial-11122-Identity-H"/>
          <w:color w:val="282828"/>
          <w:sz w:val="21"/>
          <w:szCs w:val="21"/>
        </w:rPr>
        <w:t>Incumplir con las sanciones que lo autoridad educativa imponga; y</w:t>
      </w:r>
    </w:p>
    <w:p w14:paraId="25DF91B7" w14:textId="77777777" w:rsidR="00366FFB" w:rsidRPr="004732E6" w:rsidRDefault="00366FFB" w:rsidP="00366FFB">
      <w:pPr>
        <w:pStyle w:val="Prrafodelista"/>
        <w:rPr>
          <w:rFonts w:ascii="Abadi" w:hAnsi="Abadi" w:cs="*Arial-11122-Identity-H"/>
          <w:color w:val="282828"/>
          <w:sz w:val="21"/>
          <w:szCs w:val="21"/>
        </w:rPr>
      </w:pPr>
    </w:p>
    <w:p w14:paraId="0CE5D3DA" w14:textId="77777777" w:rsidR="00366FFB" w:rsidRPr="001D14EF" w:rsidRDefault="00366FFB" w:rsidP="005C6EBB">
      <w:pPr>
        <w:pStyle w:val="Prrafodelista"/>
        <w:numPr>
          <w:ilvl w:val="0"/>
          <w:numId w:val="50"/>
        </w:numPr>
        <w:autoSpaceDE w:val="0"/>
        <w:autoSpaceDN w:val="0"/>
        <w:adjustRightInd w:val="0"/>
        <w:contextualSpacing/>
        <w:jc w:val="both"/>
        <w:rPr>
          <w:rFonts w:ascii="Abadi" w:hAnsi="Abadi" w:cs="*Arial-11122-Identity-H"/>
          <w:color w:val="282828"/>
          <w:sz w:val="21"/>
          <w:szCs w:val="21"/>
        </w:rPr>
      </w:pPr>
      <w:r w:rsidRPr="001D14EF">
        <w:rPr>
          <w:rFonts w:ascii="Abadi" w:hAnsi="Abadi" w:cs="*Arial-11122-Identity-H"/>
          <w:color w:val="282828"/>
          <w:sz w:val="21"/>
          <w:szCs w:val="21"/>
        </w:rPr>
        <w:t xml:space="preserve"> Incumplir cualesquiera de los demás preceptos de esta Ley, así corno las disposiciones expedidas con fundamento en ello.</w:t>
      </w:r>
    </w:p>
    <w:p w14:paraId="67FD18C7" w14:textId="77777777" w:rsidR="00366FFB" w:rsidRDefault="00366FFB" w:rsidP="00366FFB">
      <w:pPr>
        <w:autoSpaceDE w:val="0"/>
        <w:autoSpaceDN w:val="0"/>
        <w:adjustRightInd w:val="0"/>
        <w:jc w:val="both"/>
        <w:rPr>
          <w:rFonts w:ascii="Abadi" w:hAnsi="Abadi" w:cs="*Microsoft Sans Serif-BoldItali"/>
          <w:b/>
          <w:bCs/>
          <w:i/>
          <w:iCs/>
          <w:color w:val="0F0F0F"/>
          <w:sz w:val="21"/>
          <w:szCs w:val="21"/>
        </w:rPr>
      </w:pPr>
    </w:p>
    <w:p w14:paraId="73AC682D" w14:textId="77777777" w:rsidR="00366FFB" w:rsidRPr="00743CF7" w:rsidRDefault="00366FFB" w:rsidP="00366FFB">
      <w:pPr>
        <w:autoSpaceDE w:val="0"/>
        <w:autoSpaceDN w:val="0"/>
        <w:adjustRightInd w:val="0"/>
        <w:jc w:val="both"/>
        <w:rPr>
          <w:rFonts w:ascii="Abadi" w:hAnsi="Abadi" w:cs="*Microsoft Sans Serif-BoldItali"/>
          <w:b/>
          <w:bCs/>
          <w:i/>
          <w:iCs/>
          <w:color w:val="0F0F0F"/>
          <w:sz w:val="21"/>
          <w:szCs w:val="21"/>
        </w:rPr>
      </w:pPr>
      <w:r w:rsidRPr="00743CF7">
        <w:rPr>
          <w:rFonts w:ascii="Abadi" w:hAnsi="Abadi" w:cs="*Microsoft Sans Serif-BoldItali"/>
          <w:b/>
          <w:bCs/>
          <w:i/>
          <w:iCs/>
          <w:color w:val="0F0F0F"/>
          <w:sz w:val="21"/>
          <w:szCs w:val="21"/>
        </w:rPr>
        <w:t>Sanciones</w:t>
      </w:r>
    </w:p>
    <w:p w14:paraId="3825770A" w14:textId="77777777" w:rsidR="00366FFB" w:rsidRPr="00743CF7" w:rsidRDefault="00366FFB" w:rsidP="00366FFB">
      <w:pPr>
        <w:autoSpaceDE w:val="0"/>
        <w:autoSpaceDN w:val="0"/>
        <w:adjustRightInd w:val="0"/>
        <w:jc w:val="both"/>
        <w:rPr>
          <w:rFonts w:ascii="Abadi" w:hAnsi="Abadi" w:cs="*Calibri-Bold-11121-Identity-H"/>
          <w:b/>
          <w:bCs/>
          <w:color w:val="262626"/>
          <w:sz w:val="21"/>
          <w:szCs w:val="21"/>
        </w:rPr>
      </w:pPr>
    </w:p>
    <w:p w14:paraId="10549BAB" w14:textId="77777777" w:rsidR="00366FFB" w:rsidRPr="00743CF7" w:rsidRDefault="00366FFB" w:rsidP="00366FFB">
      <w:pPr>
        <w:autoSpaceDE w:val="0"/>
        <w:autoSpaceDN w:val="0"/>
        <w:adjustRightInd w:val="0"/>
        <w:ind w:firstLine="708"/>
        <w:jc w:val="both"/>
        <w:rPr>
          <w:rFonts w:ascii="Abadi" w:hAnsi="Abadi" w:cs="*Arial-11122-Identity-H"/>
          <w:color w:val="262626"/>
          <w:sz w:val="21"/>
          <w:szCs w:val="21"/>
        </w:rPr>
      </w:pPr>
      <w:r w:rsidRPr="00743CF7">
        <w:rPr>
          <w:rFonts w:ascii="Abadi" w:hAnsi="Abadi" w:cs="*Calibri-Bold-11121-Identity-H"/>
          <w:b/>
          <w:bCs/>
          <w:color w:val="262626"/>
          <w:sz w:val="21"/>
          <w:szCs w:val="21"/>
        </w:rPr>
        <w:t xml:space="preserve">Artículo 99. </w:t>
      </w:r>
      <w:r w:rsidRPr="00743CF7">
        <w:rPr>
          <w:rFonts w:ascii="Abadi" w:hAnsi="Abadi" w:cs="*Arial-11122-Identity-H"/>
          <w:color w:val="262626"/>
          <w:sz w:val="21"/>
          <w:szCs w:val="21"/>
        </w:rPr>
        <w:t>Las infracciones enumeradas en el artículo anterior serán</w:t>
      </w:r>
      <w:r>
        <w:rPr>
          <w:rFonts w:ascii="Abadi" w:hAnsi="Abadi" w:cs="*Arial-11122-Identity-H"/>
          <w:color w:val="262626"/>
          <w:sz w:val="21"/>
          <w:szCs w:val="21"/>
        </w:rPr>
        <w:t xml:space="preserve"> </w:t>
      </w:r>
      <w:r w:rsidRPr="00743CF7">
        <w:rPr>
          <w:rFonts w:ascii="Abadi" w:hAnsi="Abadi" w:cs="*Arial-11122-Identity-H"/>
          <w:color w:val="262626"/>
          <w:sz w:val="21"/>
          <w:szCs w:val="21"/>
        </w:rPr>
        <w:t>sancionadas de la siguiente manera:</w:t>
      </w:r>
    </w:p>
    <w:p w14:paraId="18E4AB37" w14:textId="77777777" w:rsidR="00366FFB" w:rsidRPr="00743CF7" w:rsidRDefault="00366FFB" w:rsidP="00366FFB">
      <w:pPr>
        <w:autoSpaceDE w:val="0"/>
        <w:autoSpaceDN w:val="0"/>
        <w:adjustRightInd w:val="0"/>
        <w:jc w:val="both"/>
        <w:rPr>
          <w:rFonts w:ascii="Abadi" w:hAnsi="Abadi" w:cs="*Arial-11122-Identity-H"/>
          <w:color w:val="2D2D2D"/>
          <w:sz w:val="21"/>
          <w:szCs w:val="21"/>
        </w:rPr>
      </w:pPr>
    </w:p>
    <w:p w14:paraId="17892A62" w14:textId="77777777" w:rsidR="00366FFB" w:rsidRPr="00AB0304" w:rsidRDefault="00366FFB" w:rsidP="005C6EBB">
      <w:pPr>
        <w:pStyle w:val="Prrafodelista"/>
        <w:numPr>
          <w:ilvl w:val="0"/>
          <w:numId w:val="51"/>
        </w:numPr>
        <w:autoSpaceDE w:val="0"/>
        <w:autoSpaceDN w:val="0"/>
        <w:adjustRightInd w:val="0"/>
        <w:contextualSpacing/>
        <w:jc w:val="both"/>
        <w:rPr>
          <w:rFonts w:ascii="Abadi" w:hAnsi="Abadi" w:cs="*Arial-11122-Identity-H"/>
          <w:color w:val="2D2D2D"/>
          <w:sz w:val="21"/>
          <w:szCs w:val="21"/>
        </w:rPr>
      </w:pPr>
      <w:r w:rsidRPr="00AB0304">
        <w:rPr>
          <w:rFonts w:ascii="Abadi" w:hAnsi="Abadi" w:cs="*Arial-11122-Identity-H"/>
          <w:color w:val="2D2D2D"/>
          <w:sz w:val="21"/>
          <w:szCs w:val="21"/>
        </w:rPr>
        <w:t>Imposición de multa, para lo cual se estará a los siguientes criterios:</w:t>
      </w:r>
    </w:p>
    <w:p w14:paraId="042BBD6F" w14:textId="77777777" w:rsidR="00366FFB" w:rsidRPr="00743CF7" w:rsidRDefault="00366FFB" w:rsidP="00366FFB">
      <w:pPr>
        <w:autoSpaceDE w:val="0"/>
        <w:autoSpaceDN w:val="0"/>
        <w:adjustRightInd w:val="0"/>
        <w:jc w:val="both"/>
        <w:rPr>
          <w:rFonts w:ascii="Abadi" w:hAnsi="Abadi" w:cs="*Arial-11122-Identity-H"/>
          <w:color w:val="2A2A2A"/>
          <w:sz w:val="21"/>
          <w:szCs w:val="21"/>
        </w:rPr>
      </w:pPr>
    </w:p>
    <w:p w14:paraId="1D0EF7E9" w14:textId="77777777" w:rsidR="00366FFB" w:rsidRPr="00AB0304" w:rsidRDefault="00366FFB" w:rsidP="005C6EBB">
      <w:pPr>
        <w:pStyle w:val="Prrafodelista"/>
        <w:numPr>
          <w:ilvl w:val="0"/>
          <w:numId w:val="52"/>
        </w:numPr>
        <w:autoSpaceDE w:val="0"/>
        <w:autoSpaceDN w:val="0"/>
        <w:adjustRightInd w:val="0"/>
        <w:contextualSpacing/>
        <w:jc w:val="both"/>
        <w:rPr>
          <w:rFonts w:ascii="Abadi" w:hAnsi="Abadi" w:cs="*Arial-11122-Identity-H"/>
          <w:color w:val="2A2A2A"/>
          <w:sz w:val="21"/>
          <w:szCs w:val="21"/>
        </w:rPr>
      </w:pPr>
      <w:r w:rsidRPr="00AB0304">
        <w:rPr>
          <w:rFonts w:ascii="Abadi" w:hAnsi="Abadi" w:cs="*Arial-11122-Identity-H"/>
          <w:color w:val="2A2A2A"/>
          <w:sz w:val="21"/>
          <w:szCs w:val="21"/>
        </w:rPr>
        <w:t>Multa por el equivalente o un monto mínimo de cien y hasta máximo de siete mil veces de la Unidad de Medida y Actualización, en la fecha en que se cometo la infracción, respecto o lo señalado en la fracción III del artículo 98 de esta Ley;</w:t>
      </w:r>
    </w:p>
    <w:p w14:paraId="62495C0A" w14:textId="77777777" w:rsidR="00366FFB" w:rsidRPr="00743CF7" w:rsidRDefault="00366FFB" w:rsidP="00366FFB">
      <w:pPr>
        <w:autoSpaceDE w:val="0"/>
        <w:autoSpaceDN w:val="0"/>
        <w:adjustRightInd w:val="0"/>
        <w:jc w:val="both"/>
        <w:rPr>
          <w:rFonts w:ascii="Abadi" w:hAnsi="Abadi" w:cs="*Arial-11122-Identity-H"/>
          <w:color w:val="2A2A2A"/>
          <w:sz w:val="21"/>
          <w:szCs w:val="21"/>
        </w:rPr>
      </w:pPr>
    </w:p>
    <w:p w14:paraId="335CE6E4" w14:textId="77777777" w:rsidR="00366FFB" w:rsidRPr="00AB0304" w:rsidRDefault="00366FFB" w:rsidP="005C6EBB">
      <w:pPr>
        <w:pStyle w:val="Prrafodelista"/>
        <w:numPr>
          <w:ilvl w:val="0"/>
          <w:numId w:val="52"/>
        </w:numPr>
        <w:autoSpaceDE w:val="0"/>
        <w:autoSpaceDN w:val="0"/>
        <w:adjustRightInd w:val="0"/>
        <w:contextualSpacing/>
        <w:jc w:val="both"/>
        <w:rPr>
          <w:rFonts w:ascii="Abadi" w:hAnsi="Abadi" w:cs="*Arial-11122-Identity-H"/>
          <w:color w:val="2A2A2A"/>
          <w:sz w:val="21"/>
          <w:szCs w:val="21"/>
        </w:rPr>
      </w:pPr>
      <w:r w:rsidRPr="00AB0304">
        <w:rPr>
          <w:rFonts w:ascii="Abadi" w:hAnsi="Abadi" w:cs="*Arial-11122-Identity-H"/>
          <w:color w:val="2A2A2A"/>
          <w:sz w:val="21"/>
          <w:szCs w:val="21"/>
        </w:rPr>
        <w:t xml:space="preserve">Multa por el equivalente a un monto mínimo de mil y un, </w:t>
      </w:r>
      <w:r w:rsidRPr="00AB0304">
        <w:rPr>
          <w:rFonts w:ascii="Abadi" w:hAnsi="Abadi" w:cs="*Times New Roman-Italic-11118-I"/>
          <w:i/>
          <w:iCs/>
          <w:color w:val="2A2A2A"/>
          <w:sz w:val="21"/>
          <w:szCs w:val="21"/>
        </w:rPr>
        <w:t xml:space="preserve">y </w:t>
      </w:r>
      <w:r w:rsidRPr="00AB0304">
        <w:rPr>
          <w:rFonts w:ascii="Abadi" w:hAnsi="Abadi" w:cs="*Arial-11122-Identity-H"/>
          <w:color w:val="2A2A2A"/>
          <w:sz w:val="21"/>
          <w:szCs w:val="21"/>
        </w:rPr>
        <w:t xml:space="preserve">hasta máximo de siete mil veces de la Unidad de Medida </w:t>
      </w:r>
      <w:r w:rsidRPr="00AB0304">
        <w:rPr>
          <w:rFonts w:ascii="Abadi" w:hAnsi="Abadi" w:cs="*Times New Roman-Italic-11117-I"/>
          <w:i/>
          <w:iCs/>
          <w:color w:val="2A2A2A"/>
          <w:sz w:val="21"/>
          <w:szCs w:val="21"/>
        </w:rPr>
        <w:t xml:space="preserve">y </w:t>
      </w:r>
      <w:r w:rsidRPr="00AB0304">
        <w:rPr>
          <w:rFonts w:ascii="Abadi" w:hAnsi="Abadi" w:cs="*Arial-11122-Identity-H"/>
          <w:color w:val="2A2A2A"/>
          <w:sz w:val="21"/>
          <w:szCs w:val="21"/>
        </w:rPr>
        <w:t>Actualización, en la fecha en que se cometa la infracción, respecto a lo señalado en la fracción VIII del artículo 98 de esta Ley; y</w:t>
      </w:r>
    </w:p>
    <w:p w14:paraId="0E128AF4" w14:textId="77777777" w:rsidR="00366FFB" w:rsidRPr="00743CF7" w:rsidRDefault="00366FFB" w:rsidP="00366FFB">
      <w:pPr>
        <w:autoSpaceDE w:val="0"/>
        <w:autoSpaceDN w:val="0"/>
        <w:adjustRightInd w:val="0"/>
        <w:jc w:val="both"/>
        <w:rPr>
          <w:rFonts w:ascii="Abadi" w:hAnsi="Abadi" w:cs="*Arial-11122-Identity-H"/>
          <w:color w:val="2A2A2A"/>
          <w:sz w:val="21"/>
          <w:szCs w:val="21"/>
        </w:rPr>
      </w:pPr>
    </w:p>
    <w:p w14:paraId="7869691C" w14:textId="77777777" w:rsidR="00366FFB" w:rsidRPr="00AB0304" w:rsidRDefault="00366FFB" w:rsidP="005C6EBB">
      <w:pPr>
        <w:pStyle w:val="Prrafodelista"/>
        <w:numPr>
          <w:ilvl w:val="0"/>
          <w:numId w:val="52"/>
        </w:numPr>
        <w:autoSpaceDE w:val="0"/>
        <w:autoSpaceDN w:val="0"/>
        <w:adjustRightInd w:val="0"/>
        <w:contextualSpacing/>
        <w:jc w:val="both"/>
        <w:rPr>
          <w:rFonts w:ascii="Abadi" w:hAnsi="Abadi" w:cs="*Arial-11122-Identity-H"/>
          <w:color w:val="2A2A2A"/>
          <w:sz w:val="21"/>
          <w:szCs w:val="21"/>
        </w:rPr>
      </w:pPr>
      <w:r w:rsidRPr="00AB0304">
        <w:rPr>
          <w:rFonts w:ascii="Abadi" w:hAnsi="Abadi" w:cs="*Arial-11122-Identity-H"/>
          <w:color w:val="2A2A2A"/>
          <w:sz w:val="21"/>
          <w:szCs w:val="21"/>
        </w:rPr>
        <w:t>Multa por el equivalente a un monto mínimo de siete mil y un, y hasta máximo de quince mil veces de la Unidad de Medida y Actualización, en la fecha en que se cometa la infracción, respecto o lo señalado en las fracciones V y VI del artículo 98 de esta Ley.</w:t>
      </w:r>
    </w:p>
    <w:p w14:paraId="7EF25965" w14:textId="77777777" w:rsidR="00366FFB" w:rsidRPr="00743CF7" w:rsidRDefault="00366FFB" w:rsidP="00366FFB">
      <w:pPr>
        <w:jc w:val="both"/>
        <w:rPr>
          <w:rFonts w:ascii="Abadi" w:hAnsi="Abadi" w:cs="*Arial-11122-Identity-H"/>
          <w:color w:val="2A2A2A"/>
          <w:sz w:val="21"/>
          <w:szCs w:val="21"/>
        </w:rPr>
      </w:pPr>
    </w:p>
    <w:p w14:paraId="325C6C35" w14:textId="77777777" w:rsidR="00366FFB" w:rsidRPr="00AB0304" w:rsidRDefault="00366FFB" w:rsidP="00366FFB">
      <w:pPr>
        <w:autoSpaceDE w:val="0"/>
        <w:autoSpaceDN w:val="0"/>
        <w:adjustRightInd w:val="0"/>
        <w:ind w:firstLine="708"/>
        <w:jc w:val="both"/>
        <w:rPr>
          <w:rFonts w:ascii="Abadi" w:hAnsi="Abadi" w:cs="*Microsoft Sans Serif-10999-Ide"/>
          <w:color w:val="2B2B2B"/>
          <w:sz w:val="21"/>
          <w:szCs w:val="21"/>
        </w:rPr>
      </w:pPr>
      <w:r w:rsidRPr="00AB0304">
        <w:rPr>
          <w:rFonts w:ascii="Abadi" w:hAnsi="Abadi" w:cs="*Microsoft Sans Serif-10999-Ide"/>
          <w:color w:val="2B2B2B"/>
          <w:sz w:val="21"/>
          <w:szCs w:val="21"/>
        </w:rPr>
        <w:t>Las multas impuestas podrán duplicarse en caso de reincidencia;</w:t>
      </w:r>
    </w:p>
    <w:p w14:paraId="1EAFF21E" w14:textId="77777777" w:rsidR="00366FFB" w:rsidRDefault="00366FFB" w:rsidP="00366FFB">
      <w:pPr>
        <w:autoSpaceDE w:val="0"/>
        <w:autoSpaceDN w:val="0"/>
        <w:adjustRightInd w:val="0"/>
        <w:jc w:val="both"/>
        <w:rPr>
          <w:rFonts w:ascii="Abadi" w:hAnsi="Abadi" w:cs="*Microsoft Sans Serif-10999-Ide"/>
          <w:color w:val="2A2A2A"/>
          <w:sz w:val="21"/>
          <w:szCs w:val="21"/>
        </w:rPr>
      </w:pPr>
    </w:p>
    <w:p w14:paraId="5EE8199A" w14:textId="77777777" w:rsidR="00366FFB" w:rsidRPr="00AB0304" w:rsidRDefault="00366FFB" w:rsidP="005C6EBB">
      <w:pPr>
        <w:pStyle w:val="Prrafodelista"/>
        <w:numPr>
          <w:ilvl w:val="0"/>
          <w:numId w:val="51"/>
        </w:numPr>
        <w:autoSpaceDE w:val="0"/>
        <w:autoSpaceDN w:val="0"/>
        <w:adjustRightInd w:val="0"/>
        <w:contextualSpacing/>
        <w:jc w:val="both"/>
        <w:rPr>
          <w:rFonts w:ascii="Abadi" w:hAnsi="Abadi" w:cs="*Microsoft Sans Serif-10999-Ide"/>
          <w:color w:val="2A2A2A"/>
          <w:sz w:val="21"/>
          <w:szCs w:val="21"/>
        </w:rPr>
      </w:pPr>
      <w:r w:rsidRPr="00AB0304">
        <w:rPr>
          <w:rFonts w:ascii="Abadi" w:hAnsi="Abadi" w:cs="*Microsoft Sans Serif-10999-Ide"/>
          <w:color w:val="2A2A2A"/>
          <w:sz w:val="21"/>
          <w:szCs w:val="21"/>
        </w:rPr>
        <w:t>Revocación de la Autorización o Retiro del reconocimiento de validez oficial de estudios correspondiente: respecto a lo señalado en la fracción II del artículo 98 de esta Ley:</w:t>
      </w:r>
    </w:p>
    <w:p w14:paraId="092B0556" w14:textId="77777777" w:rsidR="00366FFB" w:rsidRPr="00743CF7" w:rsidRDefault="00366FFB" w:rsidP="00366FFB">
      <w:pPr>
        <w:autoSpaceDE w:val="0"/>
        <w:autoSpaceDN w:val="0"/>
        <w:adjustRightInd w:val="0"/>
        <w:jc w:val="both"/>
        <w:rPr>
          <w:rFonts w:ascii="Abadi" w:hAnsi="Abadi" w:cs="*Microsoft Sans Serif-10999-Ide"/>
          <w:color w:val="2A2A2A"/>
          <w:sz w:val="21"/>
          <w:szCs w:val="21"/>
        </w:rPr>
      </w:pPr>
    </w:p>
    <w:p w14:paraId="5278664B" w14:textId="77777777" w:rsidR="00366FFB" w:rsidRPr="00AB0304" w:rsidRDefault="00366FFB" w:rsidP="005C6EBB">
      <w:pPr>
        <w:pStyle w:val="Prrafodelista"/>
        <w:numPr>
          <w:ilvl w:val="0"/>
          <w:numId w:val="51"/>
        </w:numPr>
        <w:autoSpaceDE w:val="0"/>
        <w:autoSpaceDN w:val="0"/>
        <w:adjustRightInd w:val="0"/>
        <w:contextualSpacing/>
        <w:jc w:val="both"/>
        <w:rPr>
          <w:rFonts w:ascii="Abadi" w:hAnsi="Abadi" w:cs="*Microsoft Sans Serif-10999-Ide"/>
          <w:color w:val="292929"/>
          <w:sz w:val="21"/>
          <w:szCs w:val="21"/>
        </w:rPr>
      </w:pPr>
      <w:r w:rsidRPr="00AB0304">
        <w:rPr>
          <w:rFonts w:ascii="Abadi" w:hAnsi="Abadi" w:cs="*Microsoft Sans Serif-10999-Ide"/>
          <w:color w:val="292929"/>
          <w:sz w:val="21"/>
          <w:szCs w:val="21"/>
        </w:rPr>
        <w:t xml:space="preserve">Clausura del plantel, respecto a las fracciones l. IV y VII del artículo 98 de esta Ley. Se aplicará además de esta sanción la imposibilidad para obtener autorización o reconocimiento de validez oficial de estudios hasta por cinco años en el caso de la fracción I del artículo 98 de la presente Ley.  </w:t>
      </w:r>
    </w:p>
    <w:p w14:paraId="6FF931F8" w14:textId="77777777" w:rsidR="00366FFB" w:rsidRDefault="00366FFB" w:rsidP="00366FFB">
      <w:pPr>
        <w:autoSpaceDE w:val="0"/>
        <w:autoSpaceDN w:val="0"/>
        <w:adjustRightInd w:val="0"/>
        <w:jc w:val="both"/>
        <w:rPr>
          <w:rFonts w:ascii="Abadi" w:hAnsi="Abadi" w:cs="*Microsoft Sans Serif-10999-Ide"/>
          <w:color w:val="292929"/>
          <w:sz w:val="21"/>
          <w:szCs w:val="21"/>
        </w:rPr>
      </w:pPr>
    </w:p>
    <w:p w14:paraId="45FEF86C" w14:textId="77777777" w:rsidR="00366FFB" w:rsidRPr="00AB0304" w:rsidRDefault="00366FFB" w:rsidP="005C6EBB">
      <w:pPr>
        <w:pStyle w:val="Prrafodelista"/>
        <w:numPr>
          <w:ilvl w:val="0"/>
          <w:numId w:val="51"/>
        </w:numPr>
        <w:autoSpaceDE w:val="0"/>
        <w:autoSpaceDN w:val="0"/>
        <w:adjustRightInd w:val="0"/>
        <w:contextualSpacing/>
        <w:jc w:val="both"/>
        <w:rPr>
          <w:rFonts w:ascii="Abadi" w:hAnsi="Abadi" w:cs="*Microsoft Sans Serif-10999-Ide"/>
          <w:color w:val="282828"/>
          <w:sz w:val="21"/>
          <w:szCs w:val="21"/>
        </w:rPr>
      </w:pPr>
      <w:r w:rsidRPr="00AB0304">
        <w:rPr>
          <w:rFonts w:ascii="Abadi" w:hAnsi="Abadi" w:cs="*Microsoft Sans Serif-10999-Ide"/>
          <w:color w:val="282828"/>
          <w:sz w:val="21"/>
          <w:szCs w:val="21"/>
        </w:rPr>
        <w:t>Imposibilidad para obtener autorización o reconocimiento de validez oficial de estudios hasta por cinco años. en el caso de la Infracción prevista en la fracción I del artículo 98 de esta Ley.</w:t>
      </w:r>
    </w:p>
    <w:p w14:paraId="618D0E7D" w14:textId="77777777" w:rsidR="00366FFB" w:rsidRPr="00743CF7" w:rsidRDefault="00366FFB" w:rsidP="00366FFB">
      <w:pPr>
        <w:autoSpaceDE w:val="0"/>
        <w:autoSpaceDN w:val="0"/>
        <w:adjustRightInd w:val="0"/>
        <w:jc w:val="both"/>
        <w:rPr>
          <w:rFonts w:ascii="Abadi" w:hAnsi="Abadi" w:cs="*Microsoft Sans Serif-10999-Ide"/>
          <w:color w:val="282828"/>
          <w:sz w:val="21"/>
          <w:szCs w:val="21"/>
        </w:rPr>
      </w:pPr>
    </w:p>
    <w:p w14:paraId="7B71C7A5" w14:textId="77777777" w:rsidR="00366FFB" w:rsidRPr="00743CF7" w:rsidRDefault="00366FFB" w:rsidP="00366FFB">
      <w:pPr>
        <w:autoSpaceDE w:val="0"/>
        <w:autoSpaceDN w:val="0"/>
        <w:adjustRightInd w:val="0"/>
        <w:jc w:val="both"/>
        <w:rPr>
          <w:rFonts w:ascii="Abadi" w:hAnsi="Abadi" w:cs="*Microsoft Sans Serif-10999-Ide"/>
          <w:color w:val="2A2A2A"/>
          <w:sz w:val="21"/>
          <w:szCs w:val="21"/>
        </w:rPr>
      </w:pPr>
      <w:r w:rsidRPr="00743CF7">
        <w:rPr>
          <w:rFonts w:ascii="Abadi" w:hAnsi="Abadi" w:cs="*Microsoft Sans Serif-10999-Ide"/>
          <w:color w:val="2A2A2A"/>
          <w:sz w:val="21"/>
          <w:szCs w:val="21"/>
        </w:rPr>
        <w:t xml:space="preserve">En la aplicación de las sanciones establecidas en las fracciones </w:t>
      </w:r>
      <w:r>
        <w:rPr>
          <w:rFonts w:ascii="Abadi" w:hAnsi="Abadi" w:cs="*Times New Roman-10995-Identity"/>
          <w:color w:val="2A2A2A"/>
          <w:sz w:val="21"/>
          <w:szCs w:val="21"/>
        </w:rPr>
        <w:t xml:space="preserve">II </w:t>
      </w:r>
      <w:r w:rsidRPr="00743CF7">
        <w:rPr>
          <w:rFonts w:ascii="Abadi" w:hAnsi="Abadi" w:cs="*Microsoft Sans Serif-10999-Ide"/>
          <w:color w:val="2A2A2A"/>
          <w:sz w:val="21"/>
          <w:szCs w:val="21"/>
        </w:rPr>
        <w:t xml:space="preserve">y </w:t>
      </w:r>
      <w:r>
        <w:rPr>
          <w:rFonts w:ascii="Abadi" w:hAnsi="Abadi" w:cs="*Times New Roman-10995-Identity"/>
          <w:color w:val="2A2A2A"/>
          <w:sz w:val="21"/>
          <w:szCs w:val="21"/>
        </w:rPr>
        <w:t>III</w:t>
      </w:r>
      <w:r w:rsidRPr="00743CF7">
        <w:rPr>
          <w:rFonts w:ascii="Abadi" w:hAnsi="Abadi" w:cs="*Times New Roman-10995-Identity"/>
          <w:color w:val="2A2A2A"/>
          <w:sz w:val="21"/>
          <w:szCs w:val="21"/>
        </w:rPr>
        <w:t xml:space="preserve"> </w:t>
      </w:r>
      <w:r w:rsidRPr="00743CF7">
        <w:rPr>
          <w:rFonts w:ascii="Abadi" w:hAnsi="Abadi" w:cs="*Microsoft Sans Serif-10999-Ide"/>
          <w:color w:val="2A2A2A"/>
          <w:sz w:val="21"/>
          <w:szCs w:val="21"/>
        </w:rPr>
        <w:t>de este</w:t>
      </w:r>
      <w:r>
        <w:rPr>
          <w:rFonts w:ascii="Abadi" w:hAnsi="Abadi" w:cs="*Microsoft Sans Serif-10999-Ide"/>
          <w:color w:val="2A2A2A"/>
          <w:sz w:val="21"/>
          <w:szCs w:val="21"/>
        </w:rPr>
        <w:t xml:space="preserve"> </w:t>
      </w:r>
      <w:r w:rsidRPr="00743CF7">
        <w:rPr>
          <w:rFonts w:ascii="Abadi" w:hAnsi="Abadi" w:cs="*Microsoft Sans Serif-10999-Ide"/>
          <w:color w:val="2A2A2A"/>
          <w:sz w:val="21"/>
          <w:szCs w:val="21"/>
        </w:rPr>
        <w:t>artículo, lo autoridad educativa correspondiente establecerá los procedimientos</w:t>
      </w:r>
      <w:r>
        <w:rPr>
          <w:rFonts w:ascii="Abadi" w:hAnsi="Abadi" w:cs="*Microsoft Sans Serif-10999-Ide"/>
          <w:color w:val="2A2A2A"/>
          <w:sz w:val="21"/>
          <w:szCs w:val="21"/>
        </w:rPr>
        <w:t xml:space="preserve"> </w:t>
      </w:r>
      <w:r w:rsidRPr="00743CF7">
        <w:rPr>
          <w:rFonts w:ascii="Abadi" w:hAnsi="Abadi" w:cs="*Microsoft Sans Serif-10999-Ide"/>
          <w:color w:val="2A2A2A"/>
          <w:sz w:val="21"/>
          <w:szCs w:val="21"/>
        </w:rPr>
        <w:t>necesarios para salvaguardar los estudios de las personas inscritos en el plan o</w:t>
      </w:r>
      <w:r>
        <w:rPr>
          <w:rFonts w:ascii="Abadi" w:hAnsi="Abadi" w:cs="*Microsoft Sans Serif-10999-Ide"/>
          <w:color w:val="2A2A2A"/>
          <w:sz w:val="21"/>
          <w:szCs w:val="21"/>
        </w:rPr>
        <w:t xml:space="preserve"> </w:t>
      </w:r>
      <w:r w:rsidRPr="00743CF7">
        <w:rPr>
          <w:rFonts w:ascii="Abadi" w:hAnsi="Abadi" w:cs="*Microsoft Sans Serif-10999-Ide"/>
          <w:color w:val="2A2A2A"/>
          <w:sz w:val="21"/>
          <w:szCs w:val="21"/>
        </w:rPr>
        <w:t>programa respectivo.</w:t>
      </w:r>
    </w:p>
    <w:p w14:paraId="5704F6E8" w14:textId="77777777" w:rsidR="00366FFB" w:rsidRPr="00743CF7" w:rsidRDefault="00366FFB" w:rsidP="00366FFB">
      <w:pPr>
        <w:autoSpaceDE w:val="0"/>
        <w:autoSpaceDN w:val="0"/>
        <w:adjustRightInd w:val="0"/>
        <w:jc w:val="both"/>
        <w:rPr>
          <w:rFonts w:ascii="Abadi" w:hAnsi="Abadi" w:cs="*Arial-Bold-10997-Identity-H"/>
          <w:b/>
          <w:bCs/>
          <w:color w:val="0E0E0E"/>
          <w:sz w:val="21"/>
          <w:szCs w:val="21"/>
        </w:rPr>
      </w:pPr>
    </w:p>
    <w:p w14:paraId="748106C2" w14:textId="77777777" w:rsidR="00366FFB" w:rsidRPr="00743CF7" w:rsidRDefault="00366FFB" w:rsidP="00366FFB">
      <w:pPr>
        <w:autoSpaceDE w:val="0"/>
        <w:autoSpaceDN w:val="0"/>
        <w:adjustRightInd w:val="0"/>
        <w:jc w:val="center"/>
        <w:rPr>
          <w:rFonts w:ascii="Abadi" w:hAnsi="Abadi" w:cs="*Arial-Bold-10997-Identity-H"/>
          <w:b/>
          <w:bCs/>
          <w:color w:val="0E0E0E"/>
          <w:sz w:val="21"/>
          <w:szCs w:val="21"/>
        </w:rPr>
      </w:pPr>
      <w:r w:rsidRPr="00743CF7">
        <w:rPr>
          <w:rFonts w:ascii="Abadi" w:hAnsi="Abadi" w:cs="*Arial-Bold-10997-Identity-H"/>
          <w:b/>
          <w:bCs/>
          <w:color w:val="0E0E0E"/>
          <w:sz w:val="21"/>
          <w:szCs w:val="21"/>
        </w:rPr>
        <w:t>Capítulo VI</w:t>
      </w:r>
    </w:p>
    <w:p w14:paraId="14ED3092" w14:textId="77777777" w:rsidR="00366FFB" w:rsidRPr="00743CF7" w:rsidRDefault="00366FFB" w:rsidP="00366FFB">
      <w:pPr>
        <w:autoSpaceDE w:val="0"/>
        <w:autoSpaceDN w:val="0"/>
        <w:adjustRightInd w:val="0"/>
        <w:jc w:val="center"/>
        <w:rPr>
          <w:rFonts w:ascii="Abadi" w:hAnsi="Abadi" w:cs="*Arial-Bold-10997-Identity-H"/>
          <w:b/>
          <w:bCs/>
          <w:color w:val="0E0E0E"/>
          <w:sz w:val="21"/>
          <w:szCs w:val="21"/>
        </w:rPr>
      </w:pPr>
      <w:r w:rsidRPr="00743CF7">
        <w:rPr>
          <w:rFonts w:ascii="Abadi" w:hAnsi="Abadi" w:cs="*Arial-Bold-10997-Identity-H"/>
          <w:b/>
          <w:bCs/>
          <w:color w:val="0E0E0E"/>
          <w:sz w:val="21"/>
          <w:szCs w:val="21"/>
        </w:rPr>
        <w:t>Recurso de revisión</w:t>
      </w:r>
    </w:p>
    <w:p w14:paraId="6A6D20B0" w14:textId="77777777" w:rsidR="00366FFB" w:rsidRDefault="00366FFB" w:rsidP="00366FFB">
      <w:pPr>
        <w:autoSpaceDE w:val="0"/>
        <w:autoSpaceDN w:val="0"/>
        <w:adjustRightInd w:val="0"/>
        <w:jc w:val="both"/>
        <w:rPr>
          <w:rFonts w:ascii="Abadi" w:hAnsi="Abadi" w:cs="*Comic Sans MS-BoldItalic-10998"/>
          <w:b/>
          <w:bCs/>
          <w:i/>
          <w:iCs/>
          <w:color w:val="151515"/>
          <w:sz w:val="21"/>
          <w:szCs w:val="21"/>
        </w:rPr>
      </w:pPr>
    </w:p>
    <w:p w14:paraId="778BDCFF" w14:textId="77777777" w:rsidR="00366FFB" w:rsidRPr="00743CF7" w:rsidRDefault="00366FFB" w:rsidP="00366FFB">
      <w:pPr>
        <w:autoSpaceDE w:val="0"/>
        <w:autoSpaceDN w:val="0"/>
        <w:adjustRightInd w:val="0"/>
        <w:jc w:val="right"/>
        <w:rPr>
          <w:rFonts w:ascii="Abadi" w:hAnsi="Abadi" w:cs="*Comic Sans MS-BoldItalic-10998"/>
          <w:b/>
          <w:bCs/>
          <w:i/>
          <w:iCs/>
          <w:color w:val="151515"/>
          <w:sz w:val="21"/>
          <w:szCs w:val="21"/>
        </w:rPr>
      </w:pPr>
      <w:r w:rsidRPr="00743CF7">
        <w:rPr>
          <w:rFonts w:ascii="Abadi" w:hAnsi="Abadi" w:cs="*Comic Sans MS-BoldItalic-10998"/>
          <w:b/>
          <w:bCs/>
          <w:i/>
          <w:iCs/>
          <w:color w:val="151515"/>
          <w:sz w:val="21"/>
          <w:szCs w:val="21"/>
        </w:rPr>
        <w:t>Recurso de revisión</w:t>
      </w:r>
    </w:p>
    <w:p w14:paraId="4BAA1367" w14:textId="77777777" w:rsidR="00366FFB" w:rsidRPr="00743CF7" w:rsidRDefault="00366FFB" w:rsidP="00366FFB">
      <w:pPr>
        <w:autoSpaceDE w:val="0"/>
        <w:autoSpaceDN w:val="0"/>
        <w:adjustRightInd w:val="0"/>
        <w:ind w:firstLine="708"/>
        <w:jc w:val="both"/>
        <w:rPr>
          <w:rFonts w:ascii="Abadi" w:hAnsi="Abadi" w:cs="*Calibri-10992-Identity-H"/>
          <w:color w:val="2D2D2D"/>
          <w:sz w:val="21"/>
          <w:szCs w:val="21"/>
        </w:rPr>
      </w:pPr>
      <w:r w:rsidRPr="00743CF7">
        <w:rPr>
          <w:rFonts w:ascii="Abadi" w:hAnsi="Abadi" w:cs="*Arial-Bold-10997-Identity-H"/>
          <w:b/>
          <w:bCs/>
          <w:color w:val="282828"/>
          <w:sz w:val="21"/>
          <w:szCs w:val="21"/>
        </w:rPr>
        <w:t xml:space="preserve">Artículo 100. </w:t>
      </w:r>
      <w:r w:rsidRPr="00743CF7">
        <w:rPr>
          <w:rFonts w:ascii="Abadi" w:hAnsi="Abadi" w:cs="*Microsoft Sans Serif-10999-Ide"/>
          <w:color w:val="282828"/>
          <w:sz w:val="21"/>
          <w:szCs w:val="21"/>
        </w:rPr>
        <w:t>En contra de las resoluciones emitidas por las autoridades</w:t>
      </w:r>
      <w:r>
        <w:rPr>
          <w:rFonts w:ascii="Abadi" w:hAnsi="Abadi" w:cs="*Microsoft Sans Serif-10999-Ide"/>
          <w:color w:val="282828"/>
          <w:sz w:val="21"/>
          <w:szCs w:val="21"/>
        </w:rPr>
        <w:t xml:space="preserve"> </w:t>
      </w:r>
      <w:r w:rsidRPr="00743CF7">
        <w:rPr>
          <w:rFonts w:ascii="Abadi" w:hAnsi="Abadi" w:cs="*Microsoft Sans Serif-10999-Ide"/>
          <w:color w:val="282828"/>
          <w:sz w:val="21"/>
          <w:szCs w:val="21"/>
        </w:rPr>
        <w:t>educativas en materia de autorización o reconocimiento de validez oficial de</w:t>
      </w:r>
      <w:r>
        <w:rPr>
          <w:rFonts w:ascii="Abadi" w:hAnsi="Abadi" w:cs="*Microsoft Sans Serif-10999-Ide"/>
          <w:color w:val="282828"/>
          <w:sz w:val="21"/>
          <w:szCs w:val="21"/>
        </w:rPr>
        <w:t xml:space="preserve"> </w:t>
      </w:r>
      <w:r w:rsidRPr="00743CF7">
        <w:rPr>
          <w:rFonts w:ascii="Abadi" w:hAnsi="Abadi" w:cs="*Microsoft Sans Serif-10999-Ide"/>
          <w:color w:val="282828"/>
          <w:sz w:val="21"/>
          <w:szCs w:val="21"/>
        </w:rPr>
        <w:t>estudios, los trámites y procedimientos relacionados con los mismos. con</w:t>
      </w:r>
      <w:r>
        <w:rPr>
          <w:rFonts w:ascii="Abadi" w:hAnsi="Abadi" w:cs="*Microsoft Sans Serif-10999-Ide"/>
          <w:color w:val="282828"/>
          <w:sz w:val="21"/>
          <w:szCs w:val="21"/>
        </w:rPr>
        <w:t xml:space="preserve"> </w:t>
      </w:r>
      <w:r w:rsidRPr="00743CF7">
        <w:rPr>
          <w:rFonts w:ascii="Abadi" w:hAnsi="Abadi" w:cs="*Microsoft Sans Serif-10999-Ide"/>
          <w:color w:val="282828"/>
          <w:sz w:val="21"/>
          <w:szCs w:val="21"/>
        </w:rPr>
        <w:t>fundamento en las disposiciones de esta Ley y las normas que de ella deriven, el</w:t>
      </w:r>
      <w:r>
        <w:rPr>
          <w:rFonts w:ascii="Abadi" w:hAnsi="Abadi" w:cs="*Microsoft Sans Serif-10999-Ide"/>
          <w:color w:val="282828"/>
          <w:sz w:val="21"/>
          <w:szCs w:val="21"/>
        </w:rPr>
        <w:t xml:space="preserve"> </w:t>
      </w:r>
      <w:r w:rsidRPr="00743CF7">
        <w:rPr>
          <w:rFonts w:ascii="Abadi" w:hAnsi="Abadi" w:cs="*Microsoft Sans Serif-10999-Ide"/>
          <w:color w:val="282828"/>
          <w:sz w:val="21"/>
          <w:szCs w:val="21"/>
        </w:rPr>
        <w:t>afectado podrá optar entre interponer el recurso de revisión o acudir a la autoridad</w:t>
      </w:r>
      <w:r>
        <w:rPr>
          <w:rFonts w:ascii="Abadi" w:hAnsi="Abadi" w:cs="*Microsoft Sans Serif-10999-Ide"/>
          <w:color w:val="282828"/>
          <w:sz w:val="21"/>
          <w:szCs w:val="21"/>
        </w:rPr>
        <w:t xml:space="preserve"> </w:t>
      </w:r>
      <w:r w:rsidRPr="00743CF7">
        <w:rPr>
          <w:rFonts w:ascii="Abadi" w:hAnsi="Abadi" w:cs="*Calibri-10992-Identity-H"/>
          <w:color w:val="2D2D2D"/>
          <w:sz w:val="21"/>
          <w:szCs w:val="21"/>
        </w:rPr>
        <w:t>jurisdiccional que corresponda. en términos de las disposiciones normativas aplicables.</w:t>
      </w:r>
    </w:p>
    <w:p w14:paraId="56B73E7E" w14:textId="77777777" w:rsidR="00366FFB" w:rsidRPr="00743CF7" w:rsidRDefault="00366FFB" w:rsidP="00366FFB">
      <w:pPr>
        <w:autoSpaceDE w:val="0"/>
        <w:autoSpaceDN w:val="0"/>
        <w:adjustRightInd w:val="0"/>
        <w:jc w:val="both"/>
        <w:rPr>
          <w:rFonts w:ascii="Abadi" w:hAnsi="Abadi" w:cs="*Calibri-10992-Identity-H"/>
          <w:color w:val="2D2D2D"/>
          <w:sz w:val="21"/>
          <w:szCs w:val="21"/>
        </w:rPr>
      </w:pPr>
    </w:p>
    <w:p w14:paraId="4EE54D13" w14:textId="77777777" w:rsidR="00366FFB" w:rsidRPr="00743CF7" w:rsidRDefault="00366FFB" w:rsidP="00366FFB">
      <w:pPr>
        <w:autoSpaceDE w:val="0"/>
        <w:autoSpaceDN w:val="0"/>
        <w:adjustRightInd w:val="0"/>
        <w:jc w:val="both"/>
        <w:rPr>
          <w:rFonts w:ascii="Abadi" w:hAnsi="Abadi" w:cs="*Calibri-10992-Identity-H"/>
          <w:color w:val="2B2B2B"/>
          <w:sz w:val="21"/>
          <w:szCs w:val="21"/>
        </w:rPr>
      </w:pPr>
      <w:r w:rsidRPr="00743CF7">
        <w:rPr>
          <w:rFonts w:ascii="Abadi" w:hAnsi="Abadi" w:cs="*Calibri-10992-Identity-H"/>
          <w:color w:val="2B2B2B"/>
          <w:sz w:val="21"/>
          <w:szCs w:val="21"/>
        </w:rPr>
        <w:t>También podrá interponerse el recurso de revisión cuando la autoridad no dé respuesta en el plazo establecido para el otorgamiento del reconocimiento de</w:t>
      </w:r>
    </w:p>
    <w:p w14:paraId="4DCAC1EB" w14:textId="77777777" w:rsidR="00366FFB" w:rsidRPr="00743CF7" w:rsidRDefault="00366FFB" w:rsidP="00366FFB">
      <w:pPr>
        <w:autoSpaceDE w:val="0"/>
        <w:autoSpaceDN w:val="0"/>
        <w:adjustRightInd w:val="0"/>
        <w:jc w:val="both"/>
        <w:rPr>
          <w:rFonts w:ascii="Abadi" w:hAnsi="Abadi" w:cs="*Calibri-10992-Identity-H"/>
          <w:color w:val="2B2B2B"/>
          <w:sz w:val="21"/>
          <w:szCs w:val="21"/>
        </w:rPr>
      </w:pPr>
      <w:r w:rsidRPr="00743CF7">
        <w:rPr>
          <w:rFonts w:ascii="Abadi" w:hAnsi="Abadi" w:cs="*Calibri-10992-Identity-H"/>
          <w:color w:val="2B2B2B"/>
          <w:sz w:val="21"/>
          <w:szCs w:val="21"/>
        </w:rPr>
        <w:t>validez oficial de estudios en términos de esta Ley.</w:t>
      </w:r>
    </w:p>
    <w:p w14:paraId="767E4369" w14:textId="77777777" w:rsidR="00366FFB" w:rsidRPr="00743CF7" w:rsidRDefault="00366FFB" w:rsidP="00366FFB">
      <w:pPr>
        <w:autoSpaceDE w:val="0"/>
        <w:autoSpaceDN w:val="0"/>
        <w:adjustRightInd w:val="0"/>
        <w:jc w:val="both"/>
        <w:rPr>
          <w:rFonts w:ascii="Abadi" w:hAnsi="Abadi" w:cs="*Calibri-Bold-10993-Identity-H"/>
          <w:b/>
          <w:bCs/>
          <w:color w:val="101010"/>
          <w:sz w:val="21"/>
          <w:szCs w:val="21"/>
        </w:rPr>
      </w:pPr>
    </w:p>
    <w:p w14:paraId="64ED1AB0" w14:textId="77777777" w:rsidR="00366FFB" w:rsidRPr="00743CF7" w:rsidRDefault="00366FFB" w:rsidP="00366FFB">
      <w:pPr>
        <w:autoSpaceDE w:val="0"/>
        <w:autoSpaceDN w:val="0"/>
        <w:adjustRightInd w:val="0"/>
        <w:jc w:val="both"/>
        <w:rPr>
          <w:rFonts w:ascii="Abadi" w:hAnsi="Abadi" w:cs="*Calibri-Bold-10993-Identity-H"/>
          <w:b/>
          <w:bCs/>
          <w:color w:val="101010"/>
          <w:sz w:val="21"/>
          <w:szCs w:val="21"/>
        </w:rPr>
      </w:pPr>
    </w:p>
    <w:p w14:paraId="7725C267" w14:textId="77777777" w:rsidR="00366FFB" w:rsidRPr="00743CF7" w:rsidRDefault="00366FFB" w:rsidP="00366FFB">
      <w:pPr>
        <w:autoSpaceDE w:val="0"/>
        <w:autoSpaceDN w:val="0"/>
        <w:adjustRightInd w:val="0"/>
        <w:jc w:val="center"/>
        <w:rPr>
          <w:rFonts w:ascii="Abadi" w:hAnsi="Abadi" w:cs="*Calibri-Bold-10993-Identity-H"/>
          <w:b/>
          <w:bCs/>
          <w:color w:val="101010"/>
          <w:sz w:val="21"/>
          <w:szCs w:val="21"/>
        </w:rPr>
      </w:pPr>
      <w:r w:rsidRPr="00743CF7">
        <w:rPr>
          <w:rFonts w:ascii="Abadi" w:hAnsi="Abadi" w:cs="*Calibri-Bold-10993-Identity-H"/>
          <w:b/>
          <w:bCs/>
          <w:color w:val="101010"/>
          <w:sz w:val="21"/>
          <w:szCs w:val="21"/>
        </w:rPr>
        <w:t>Transitorios</w:t>
      </w:r>
    </w:p>
    <w:p w14:paraId="7E9FDBE8" w14:textId="77777777" w:rsidR="00366FFB" w:rsidRPr="00743CF7" w:rsidRDefault="00366FFB" w:rsidP="00366FFB">
      <w:pPr>
        <w:autoSpaceDE w:val="0"/>
        <w:autoSpaceDN w:val="0"/>
        <w:adjustRightInd w:val="0"/>
        <w:jc w:val="both"/>
        <w:rPr>
          <w:rFonts w:ascii="Abadi" w:hAnsi="Abadi" w:cs="*Calibri-Bold-10993-Identity-H"/>
          <w:b/>
          <w:bCs/>
          <w:color w:val="272727"/>
          <w:sz w:val="21"/>
          <w:szCs w:val="21"/>
        </w:rPr>
      </w:pPr>
    </w:p>
    <w:p w14:paraId="55C44219" w14:textId="77777777" w:rsidR="00366FFB" w:rsidRPr="00743CF7" w:rsidRDefault="00366FFB" w:rsidP="00366FFB">
      <w:pPr>
        <w:autoSpaceDE w:val="0"/>
        <w:autoSpaceDN w:val="0"/>
        <w:adjustRightInd w:val="0"/>
        <w:jc w:val="both"/>
        <w:rPr>
          <w:rFonts w:ascii="Abadi" w:hAnsi="Abadi" w:cs="*Calibri-10992-Identity-H"/>
          <w:color w:val="272727"/>
          <w:sz w:val="21"/>
          <w:szCs w:val="21"/>
        </w:rPr>
      </w:pPr>
      <w:r w:rsidRPr="00743CF7">
        <w:rPr>
          <w:rFonts w:ascii="Abadi" w:hAnsi="Abadi" w:cs="*Calibri-Bold-10993-Identity-H"/>
          <w:b/>
          <w:bCs/>
          <w:color w:val="272727"/>
          <w:sz w:val="21"/>
          <w:szCs w:val="21"/>
        </w:rPr>
        <w:t xml:space="preserve">Artículo Primero. </w:t>
      </w:r>
      <w:r w:rsidRPr="00743CF7">
        <w:rPr>
          <w:rFonts w:ascii="Abadi" w:hAnsi="Abadi" w:cs="*Calibri-10992-Identity-H"/>
          <w:color w:val="272727"/>
          <w:sz w:val="21"/>
          <w:szCs w:val="21"/>
        </w:rPr>
        <w:t>El presente Decreto entrar en vigencia el día siguiente al de su</w:t>
      </w:r>
      <w:r>
        <w:rPr>
          <w:rFonts w:ascii="Abadi" w:hAnsi="Abadi" w:cs="*Calibri-10992-Identity-H"/>
          <w:color w:val="272727"/>
          <w:sz w:val="21"/>
          <w:szCs w:val="21"/>
        </w:rPr>
        <w:t xml:space="preserve"> </w:t>
      </w:r>
      <w:r w:rsidRPr="00743CF7">
        <w:rPr>
          <w:rFonts w:ascii="Abadi" w:hAnsi="Abadi" w:cs="*Calibri-10992-Identity-H"/>
          <w:color w:val="272727"/>
          <w:sz w:val="21"/>
          <w:szCs w:val="21"/>
        </w:rPr>
        <w:t>publicación en el Periódico Ofidia del Gobierno del Estado.</w:t>
      </w:r>
      <w:r>
        <w:rPr>
          <w:rFonts w:ascii="Abadi" w:hAnsi="Abadi" w:cs="*Calibri-10992-Identity-H"/>
          <w:color w:val="272727"/>
          <w:sz w:val="21"/>
          <w:szCs w:val="21"/>
        </w:rPr>
        <w:t xml:space="preserve"> </w:t>
      </w:r>
    </w:p>
    <w:p w14:paraId="6528ABCC" w14:textId="77777777" w:rsidR="00366FFB" w:rsidRPr="00743CF7" w:rsidRDefault="00366FFB" w:rsidP="00366FFB">
      <w:pPr>
        <w:autoSpaceDE w:val="0"/>
        <w:autoSpaceDN w:val="0"/>
        <w:adjustRightInd w:val="0"/>
        <w:jc w:val="both"/>
        <w:rPr>
          <w:rFonts w:ascii="Abadi" w:hAnsi="Abadi" w:cs="*Calibri-Bold-10993-Identity-H"/>
          <w:b/>
          <w:bCs/>
          <w:color w:val="282828"/>
          <w:sz w:val="21"/>
          <w:szCs w:val="21"/>
        </w:rPr>
      </w:pPr>
    </w:p>
    <w:p w14:paraId="64538E78" w14:textId="77777777" w:rsidR="00366FFB" w:rsidRPr="00743CF7" w:rsidRDefault="00366FFB" w:rsidP="00366FFB">
      <w:pPr>
        <w:autoSpaceDE w:val="0"/>
        <w:autoSpaceDN w:val="0"/>
        <w:adjustRightInd w:val="0"/>
        <w:jc w:val="both"/>
        <w:rPr>
          <w:rFonts w:ascii="Abadi" w:hAnsi="Abadi" w:cs="*Calibri-10992-Identity-H"/>
          <w:color w:val="282828"/>
          <w:sz w:val="21"/>
          <w:szCs w:val="21"/>
        </w:rPr>
      </w:pPr>
      <w:r w:rsidRPr="00743CF7">
        <w:rPr>
          <w:rFonts w:ascii="Abadi" w:hAnsi="Abadi" w:cs="*Calibri-Bold-10993-Identity-H"/>
          <w:b/>
          <w:bCs/>
          <w:color w:val="282828"/>
          <w:sz w:val="21"/>
          <w:szCs w:val="21"/>
        </w:rPr>
        <w:t xml:space="preserve">Artículo Segundo. </w:t>
      </w:r>
      <w:r w:rsidRPr="00743CF7">
        <w:rPr>
          <w:rFonts w:ascii="Abadi" w:hAnsi="Abadi" w:cs="*Calibri-10992-Identity-H"/>
          <w:color w:val="282828"/>
          <w:sz w:val="21"/>
          <w:szCs w:val="21"/>
        </w:rPr>
        <w:t>El Ejecutivo del Estado expedirá los reglamentos</w:t>
      </w:r>
      <w:r>
        <w:rPr>
          <w:rFonts w:ascii="Abadi" w:hAnsi="Abadi" w:cs="*Calibri-10992-Identity-H"/>
          <w:color w:val="282828"/>
          <w:sz w:val="21"/>
          <w:szCs w:val="21"/>
        </w:rPr>
        <w:t xml:space="preserve"> </w:t>
      </w:r>
      <w:r w:rsidRPr="00743CF7">
        <w:rPr>
          <w:rFonts w:ascii="Abadi" w:hAnsi="Abadi" w:cs="*Calibri-10992-Identity-H"/>
          <w:color w:val="282828"/>
          <w:sz w:val="21"/>
          <w:szCs w:val="21"/>
        </w:rPr>
        <w:t>correspondientes en un plazo no mayor a 180 días. contados a partir de que entre</w:t>
      </w:r>
      <w:r>
        <w:rPr>
          <w:rFonts w:ascii="Abadi" w:hAnsi="Abadi" w:cs="*Calibri-10992-Identity-H"/>
          <w:color w:val="282828"/>
          <w:sz w:val="21"/>
          <w:szCs w:val="21"/>
        </w:rPr>
        <w:t xml:space="preserve"> </w:t>
      </w:r>
      <w:r w:rsidRPr="00743CF7">
        <w:rPr>
          <w:rFonts w:ascii="Abadi" w:hAnsi="Abadi" w:cs="*Calibri-10992-Identity-H"/>
          <w:color w:val="282828"/>
          <w:sz w:val="21"/>
          <w:szCs w:val="21"/>
        </w:rPr>
        <w:t>en vigencia la presente Ley. Hasta la emisión de tales ordenamientos, continuarán</w:t>
      </w:r>
      <w:r>
        <w:rPr>
          <w:rFonts w:ascii="Abadi" w:hAnsi="Abadi" w:cs="*Calibri-10992-Identity-H"/>
          <w:color w:val="282828"/>
          <w:sz w:val="21"/>
          <w:szCs w:val="21"/>
        </w:rPr>
        <w:t xml:space="preserve"> </w:t>
      </w:r>
      <w:r w:rsidRPr="00743CF7">
        <w:rPr>
          <w:rFonts w:ascii="Abadi" w:hAnsi="Abadi" w:cs="*Calibri-10992-Identity-H"/>
          <w:color w:val="282828"/>
          <w:sz w:val="21"/>
          <w:szCs w:val="21"/>
        </w:rPr>
        <w:t>aplicándose los emitidos con anterioridad al presente Decreto, en aquello que no</w:t>
      </w:r>
      <w:r>
        <w:rPr>
          <w:rFonts w:ascii="Abadi" w:hAnsi="Abadi" w:cs="*Calibri-10992-Identity-H"/>
          <w:color w:val="282828"/>
          <w:sz w:val="21"/>
          <w:szCs w:val="21"/>
        </w:rPr>
        <w:t xml:space="preserve"> </w:t>
      </w:r>
      <w:r w:rsidRPr="00743CF7">
        <w:rPr>
          <w:rFonts w:ascii="Abadi" w:hAnsi="Abadi" w:cs="*Calibri-10992-Identity-H"/>
          <w:color w:val="282828"/>
          <w:sz w:val="21"/>
          <w:szCs w:val="21"/>
        </w:rPr>
        <w:t>se contravengan sus disposiciones.</w:t>
      </w:r>
    </w:p>
    <w:p w14:paraId="748D77DE" w14:textId="77777777" w:rsidR="00366FFB" w:rsidRPr="00743CF7" w:rsidRDefault="00366FFB" w:rsidP="00366FFB">
      <w:pPr>
        <w:autoSpaceDE w:val="0"/>
        <w:autoSpaceDN w:val="0"/>
        <w:adjustRightInd w:val="0"/>
        <w:jc w:val="both"/>
        <w:rPr>
          <w:rFonts w:ascii="Abadi" w:hAnsi="Abadi" w:cs="*Calibri-10992-Identity-H"/>
          <w:color w:val="2A2A2A"/>
          <w:sz w:val="21"/>
          <w:szCs w:val="21"/>
        </w:rPr>
      </w:pPr>
    </w:p>
    <w:p w14:paraId="723C7D86" w14:textId="77777777" w:rsidR="00366FFB" w:rsidRDefault="00366FFB" w:rsidP="00366FFB">
      <w:pPr>
        <w:autoSpaceDE w:val="0"/>
        <w:autoSpaceDN w:val="0"/>
        <w:adjustRightInd w:val="0"/>
        <w:jc w:val="both"/>
        <w:rPr>
          <w:rFonts w:ascii="Abadi" w:hAnsi="Abadi" w:cs="*Calibri-10992-Identity-H"/>
          <w:color w:val="2A2A2A"/>
          <w:sz w:val="21"/>
          <w:szCs w:val="21"/>
        </w:rPr>
      </w:pPr>
      <w:r w:rsidRPr="00743CF7">
        <w:rPr>
          <w:rFonts w:ascii="Abadi" w:hAnsi="Abadi" w:cs="*Calibri-10992-Identity-H"/>
          <w:color w:val="2A2A2A"/>
          <w:sz w:val="21"/>
          <w:szCs w:val="21"/>
        </w:rPr>
        <w:t>Los acuerdos y lineamientos y demás disposiciones de carácter general que hayan</w:t>
      </w:r>
      <w:r>
        <w:rPr>
          <w:rFonts w:ascii="Abadi" w:hAnsi="Abadi" w:cs="*Calibri-10992-Identity-H"/>
          <w:color w:val="2A2A2A"/>
          <w:sz w:val="21"/>
          <w:szCs w:val="21"/>
        </w:rPr>
        <w:t xml:space="preserve"> </w:t>
      </w:r>
      <w:r w:rsidRPr="00743CF7">
        <w:rPr>
          <w:rFonts w:ascii="Abadi" w:hAnsi="Abadi" w:cs="*Calibri-10992-Identity-H"/>
          <w:color w:val="2A2A2A"/>
          <w:sz w:val="21"/>
          <w:szCs w:val="21"/>
        </w:rPr>
        <w:t>emitido previamente las autoridades educativas reguladas por la presente Ley</w:t>
      </w:r>
      <w:r>
        <w:rPr>
          <w:rFonts w:ascii="Abadi" w:hAnsi="Abadi" w:cs="*Calibri-10992-Identity-H"/>
          <w:color w:val="2A2A2A"/>
          <w:sz w:val="21"/>
          <w:szCs w:val="21"/>
        </w:rPr>
        <w:t xml:space="preserve"> </w:t>
      </w:r>
      <w:r w:rsidRPr="00743CF7">
        <w:rPr>
          <w:rFonts w:ascii="Abadi" w:hAnsi="Abadi" w:cs="*Calibri-10992-Identity-H"/>
          <w:color w:val="2A2A2A"/>
          <w:sz w:val="21"/>
          <w:szCs w:val="21"/>
        </w:rPr>
        <w:t>podrán continuar su aplicación en lo que no contravenga a la misma.</w:t>
      </w:r>
      <w:r>
        <w:rPr>
          <w:rFonts w:ascii="Abadi" w:hAnsi="Abadi" w:cs="*Calibri-10992-Identity-H"/>
          <w:color w:val="2A2A2A"/>
          <w:sz w:val="21"/>
          <w:szCs w:val="21"/>
        </w:rPr>
        <w:t xml:space="preserve"> </w:t>
      </w:r>
    </w:p>
    <w:p w14:paraId="15A883E1" w14:textId="77777777" w:rsidR="00366FFB" w:rsidRDefault="00366FFB" w:rsidP="00366FFB">
      <w:pPr>
        <w:autoSpaceDE w:val="0"/>
        <w:autoSpaceDN w:val="0"/>
        <w:adjustRightInd w:val="0"/>
        <w:jc w:val="both"/>
        <w:rPr>
          <w:rFonts w:ascii="Abadi" w:hAnsi="Abadi" w:cs="*Calibri-10992-Identity-H"/>
          <w:color w:val="2A2A2A"/>
          <w:sz w:val="21"/>
          <w:szCs w:val="21"/>
        </w:rPr>
      </w:pPr>
    </w:p>
    <w:p w14:paraId="7CD80E80" w14:textId="77777777" w:rsidR="00366FFB" w:rsidRPr="00743CF7" w:rsidRDefault="00366FFB" w:rsidP="00366FFB">
      <w:pPr>
        <w:autoSpaceDE w:val="0"/>
        <w:autoSpaceDN w:val="0"/>
        <w:adjustRightInd w:val="0"/>
        <w:jc w:val="both"/>
        <w:rPr>
          <w:rFonts w:ascii="Abadi" w:hAnsi="Abadi" w:cs="*Calibri-10992-Identity-H"/>
          <w:color w:val="272727"/>
          <w:sz w:val="21"/>
          <w:szCs w:val="21"/>
        </w:rPr>
      </w:pPr>
      <w:r w:rsidRPr="00743CF7">
        <w:rPr>
          <w:rFonts w:ascii="Abadi" w:hAnsi="Abadi" w:cs="*Calibri-Bold-10993-Identity-H"/>
          <w:b/>
          <w:bCs/>
          <w:color w:val="272727"/>
          <w:sz w:val="21"/>
          <w:szCs w:val="21"/>
        </w:rPr>
        <w:t xml:space="preserve">Artículo Tercero. </w:t>
      </w:r>
      <w:r w:rsidRPr="00743CF7">
        <w:rPr>
          <w:rFonts w:ascii="Abadi" w:hAnsi="Abadi" w:cs="*Calibri-10992-Identity-H"/>
          <w:color w:val="272727"/>
          <w:sz w:val="21"/>
          <w:szCs w:val="21"/>
        </w:rPr>
        <w:t>Se derogan todas las disposiciones que se opongan a lo previsto</w:t>
      </w:r>
      <w:r>
        <w:rPr>
          <w:rFonts w:ascii="Abadi" w:hAnsi="Abadi" w:cs="*Calibri-10992-Identity-H"/>
          <w:color w:val="272727"/>
          <w:sz w:val="21"/>
          <w:szCs w:val="21"/>
        </w:rPr>
        <w:t xml:space="preserve"> </w:t>
      </w:r>
      <w:r w:rsidRPr="00743CF7">
        <w:rPr>
          <w:rFonts w:ascii="Abadi" w:hAnsi="Abadi" w:cs="*Calibri-10992-Identity-H"/>
          <w:color w:val="272727"/>
          <w:sz w:val="21"/>
          <w:szCs w:val="21"/>
        </w:rPr>
        <w:t>en el presente ordenamiento,</w:t>
      </w:r>
    </w:p>
    <w:p w14:paraId="07B13472" w14:textId="77777777" w:rsidR="00366FFB" w:rsidRPr="00743CF7" w:rsidRDefault="00366FFB" w:rsidP="00366FFB">
      <w:pPr>
        <w:autoSpaceDE w:val="0"/>
        <w:autoSpaceDN w:val="0"/>
        <w:adjustRightInd w:val="0"/>
        <w:jc w:val="both"/>
        <w:rPr>
          <w:rFonts w:ascii="Abadi" w:hAnsi="Abadi" w:cs="*Calibri-Bold-10993-Identity-H"/>
          <w:b/>
          <w:bCs/>
          <w:color w:val="292929"/>
          <w:sz w:val="21"/>
          <w:szCs w:val="21"/>
        </w:rPr>
      </w:pPr>
    </w:p>
    <w:p w14:paraId="3435BB47" w14:textId="77777777" w:rsidR="00366FFB" w:rsidRPr="00743CF7" w:rsidRDefault="00366FFB" w:rsidP="00366FFB">
      <w:pPr>
        <w:autoSpaceDE w:val="0"/>
        <w:autoSpaceDN w:val="0"/>
        <w:adjustRightInd w:val="0"/>
        <w:jc w:val="both"/>
        <w:rPr>
          <w:rFonts w:ascii="Abadi" w:hAnsi="Abadi" w:cs="*Calibri-10992-Identity-H"/>
          <w:color w:val="292929"/>
          <w:sz w:val="21"/>
          <w:szCs w:val="21"/>
        </w:rPr>
      </w:pPr>
      <w:r w:rsidRPr="00743CF7">
        <w:rPr>
          <w:rFonts w:ascii="Abadi" w:hAnsi="Abadi" w:cs="*Calibri-Bold-10993-Identity-H"/>
          <w:b/>
          <w:bCs/>
          <w:color w:val="292929"/>
          <w:sz w:val="21"/>
          <w:szCs w:val="21"/>
        </w:rPr>
        <w:t xml:space="preserve">Artículo Cuarto. </w:t>
      </w:r>
      <w:r w:rsidRPr="00743CF7">
        <w:rPr>
          <w:rFonts w:ascii="Abadi" w:hAnsi="Abadi" w:cs="*Calibri-10992-Identity-H"/>
          <w:color w:val="292929"/>
          <w:sz w:val="21"/>
          <w:szCs w:val="21"/>
        </w:rPr>
        <w:t>Los procedimientos que se encuentren en trámite a la entrada en</w:t>
      </w:r>
      <w:r>
        <w:rPr>
          <w:rFonts w:ascii="Abadi" w:hAnsi="Abadi" w:cs="*Calibri-10992-Identity-H"/>
          <w:color w:val="292929"/>
          <w:sz w:val="21"/>
          <w:szCs w:val="21"/>
        </w:rPr>
        <w:t xml:space="preserve"> </w:t>
      </w:r>
      <w:r w:rsidRPr="00743CF7">
        <w:rPr>
          <w:rFonts w:ascii="Abadi" w:hAnsi="Abadi" w:cs="*Calibri-10992-Identity-H"/>
          <w:color w:val="292929"/>
          <w:sz w:val="21"/>
          <w:szCs w:val="21"/>
        </w:rPr>
        <w:t>vigencia de la presente Ley, se tramitar6n con base en los dispositivos que se</w:t>
      </w:r>
      <w:r>
        <w:rPr>
          <w:rFonts w:ascii="Abadi" w:hAnsi="Abadi" w:cs="*Calibri-10992-Identity-H"/>
          <w:color w:val="292929"/>
          <w:sz w:val="21"/>
          <w:szCs w:val="21"/>
        </w:rPr>
        <w:t xml:space="preserve"> </w:t>
      </w:r>
      <w:r w:rsidRPr="00743CF7">
        <w:rPr>
          <w:rFonts w:ascii="Abadi" w:hAnsi="Abadi" w:cs="*Calibri-10992-Identity-H"/>
          <w:color w:val="292929"/>
          <w:sz w:val="21"/>
          <w:szCs w:val="21"/>
        </w:rPr>
        <w:t>abroguen, hasta su debida conclusión, así como los recursos que deriven de los</w:t>
      </w:r>
      <w:r>
        <w:rPr>
          <w:rFonts w:ascii="Abadi" w:hAnsi="Abadi" w:cs="*Calibri-10992-Identity-H"/>
          <w:color w:val="292929"/>
          <w:sz w:val="21"/>
          <w:szCs w:val="21"/>
        </w:rPr>
        <w:t xml:space="preserve"> </w:t>
      </w:r>
      <w:r w:rsidRPr="00743CF7">
        <w:rPr>
          <w:rFonts w:ascii="Abadi" w:hAnsi="Abadi" w:cs="*Calibri-10992-Identity-H"/>
          <w:color w:val="292929"/>
          <w:sz w:val="21"/>
          <w:szCs w:val="21"/>
        </w:rPr>
        <w:t>mismos y aquellos que se encuentren pendientes de resolución.</w:t>
      </w:r>
    </w:p>
    <w:p w14:paraId="0C5E5FAC" w14:textId="77777777" w:rsidR="00366FFB" w:rsidRPr="00743CF7" w:rsidRDefault="00366FFB" w:rsidP="00366FFB">
      <w:pPr>
        <w:jc w:val="both"/>
        <w:rPr>
          <w:rFonts w:ascii="Abadi" w:hAnsi="Abadi" w:cs="*Calibri-10992-Identity-H"/>
          <w:color w:val="292929"/>
          <w:sz w:val="21"/>
          <w:szCs w:val="21"/>
        </w:rPr>
      </w:pPr>
    </w:p>
    <w:p w14:paraId="7373E2FB" w14:textId="77777777" w:rsidR="00366FFB" w:rsidRPr="00743CF7" w:rsidRDefault="00366FFB" w:rsidP="00366FFB">
      <w:pPr>
        <w:autoSpaceDE w:val="0"/>
        <w:autoSpaceDN w:val="0"/>
        <w:adjustRightInd w:val="0"/>
        <w:jc w:val="both"/>
        <w:rPr>
          <w:rFonts w:ascii="Abadi" w:hAnsi="Abadi" w:cs="*Arial-11690-Identity-H"/>
          <w:color w:val="2A2A2A"/>
          <w:sz w:val="21"/>
          <w:szCs w:val="21"/>
        </w:rPr>
      </w:pPr>
      <w:r w:rsidRPr="00743CF7">
        <w:rPr>
          <w:rFonts w:ascii="Abadi" w:hAnsi="Abadi" w:cs="*Calibri-Bold-11689-Identity-H"/>
          <w:b/>
          <w:bCs/>
          <w:color w:val="2A2A2A"/>
          <w:sz w:val="21"/>
          <w:szCs w:val="21"/>
        </w:rPr>
        <w:t xml:space="preserve">Artículo Quinto. </w:t>
      </w:r>
      <w:r w:rsidRPr="00743CF7">
        <w:rPr>
          <w:rFonts w:ascii="Abadi" w:hAnsi="Abadi" w:cs="*Arial-11690-Identity-H"/>
          <w:color w:val="2A2A2A"/>
          <w:sz w:val="21"/>
          <w:szCs w:val="21"/>
        </w:rPr>
        <w:t>La gratuidad de la educación superior se implementará de manera</w:t>
      </w:r>
      <w:r>
        <w:rPr>
          <w:rFonts w:ascii="Abadi" w:hAnsi="Abadi" w:cs="*Arial-11690-Identity-H"/>
          <w:color w:val="2A2A2A"/>
          <w:sz w:val="21"/>
          <w:szCs w:val="21"/>
        </w:rPr>
        <w:t xml:space="preserve"> </w:t>
      </w:r>
      <w:r w:rsidRPr="00743CF7">
        <w:rPr>
          <w:rFonts w:ascii="Abadi" w:hAnsi="Abadi" w:cs="*Arial-11690-Identity-H"/>
          <w:color w:val="2A2A2A"/>
          <w:sz w:val="21"/>
          <w:szCs w:val="21"/>
        </w:rPr>
        <w:t>progresiva en función de la suficiencia presupuesta!, a partir del ciclo 2022-2023: sin</w:t>
      </w:r>
      <w:r>
        <w:rPr>
          <w:rFonts w:ascii="Abadi" w:hAnsi="Abadi" w:cs="*Arial-11690-Identity-H"/>
          <w:color w:val="2A2A2A"/>
          <w:sz w:val="21"/>
          <w:szCs w:val="21"/>
        </w:rPr>
        <w:t xml:space="preserve"> </w:t>
      </w:r>
      <w:r w:rsidRPr="00743CF7">
        <w:rPr>
          <w:rFonts w:ascii="Abadi" w:hAnsi="Abadi" w:cs="*Arial-11690-Identity-H"/>
          <w:color w:val="2A2A2A"/>
          <w:sz w:val="21"/>
          <w:szCs w:val="21"/>
        </w:rPr>
        <w:t>detrimento de las acciones que se realicen con la entrada en vigencia del presente</w:t>
      </w:r>
      <w:r>
        <w:rPr>
          <w:rFonts w:ascii="Abadi" w:hAnsi="Abadi" w:cs="*Arial-11690-Identity-H"/>
          <w:color w:val="2A2A2A"/>
          <w:sz w:val="21"/>
          <w:szCs w:val="21"/>
        </w:rPr>
        <w:t xml:space="preserve"> </w:t>
      </w:r>
      <w:r w:rsidRPr="00743CF7">
        <w:rPr>
          <w:rFonts w:ascii="Abadi" w:hAnsi="Abadi" w:cs="*Arial-11690-Identity-H"/>
          <w:color w:val="2A2A2A"/>
          <w:sz w:val="21"/>
          <w:szCs w:val="21"/>
        </w:rPr>
        <w:t>Decreto.</w:t>
      </w:r>
    </w:p>
    <w:p w14:paraId="3FD7B7B0" w14:textId="77777777" w:rsidR="00366FFB" w:rsidRPr="00743CF7" w:rsidRDefault="00366FFB" w:rsidP="00366FFB">
      <w:pPr>
        <w:autoSpaceDE w:val="0"/>
        <w:autoSpaceDN w:val="0"/>
        <w:adjustRightInd w:val="0"/>
        <w:jc w:val="both"/>
        <w:rPr>
          <w:rFonts w:ascii="Abadi" w:hAnsi="Abadi" w:cs="*Calibri-Bold-11689-Identity-H"/>
          <w:b/>
          <w:bCs/>
          <w:color w:val="292929"/>
          <w:sz w:val="21"/>
          <w:szCs w:val="21"/>
        </w:rPr>
      </w:pPr>
    </w:p>
    <w:p w14:paraId="51AEA232" w14:textId="77777777" w:rsidR="00366FFB" w:rsidRPr="00743CF7" w:rsidRDefault="00366FFB" w:rsidP="00366FFB">
      <w:pPr>
        <w:autoSpaceDE w:val="0"/>
        <w:autoSpaceDN w:val="0"/>
        <w:adjustRightInd w:val="0"/>
        <w:jc w:val="both"/>
        <w:rPr>
          <w:rFonts w:ascii="Abadi" w:hAnsi="Abadi" w:cs="*Arial-11690-Identity-H"/>
          <w:color w:val="292929"/>
          <w:sz w:val="21"/>
          <w:szCs w:val="21"/>
        </w:rPr>
      </w:pPr>
      <w:r w:rsidRPr="00743CF7">
        <w:rPr>
          <w:rFonts w:ascii="Abadi" w:hAnsi="Abadi" w:cs="*Calibri-Bold-11689-Identity-H"/>
          <w:b/>
          <w:bCs/>
          <w:color w:val="292929"/>
          <w:sz w:val="21"/>
          <w:szCs w:val="21"/>
        </w:rPr>
        <w:t xml:space="preserve">Artículo </w:t>
      </w:r>
      <w:r w:rsidRPr="00743CF7">
        <w:rPr>
          <w:rFonts w:ascii="Abadi" w:hAnsi="Abadi" w:cs="*Arial-BoldItalic-11691-Identit"/>
          <w:b/>
          <w:bCs/>
          <w:i/>
          <w:iCs/>
          <w:color w:val="292929"/>
          <w:sz w:val="21"/>
          <w:szCs w:val="21"/>
        </w:rPr>
        <w:t xml:space="preserve">Sexto. </w:t>
      </w:r>
      <w:r w:rsidRPr="00743CF7">
        <w:rPr>
          <w:rFonts w:ascii="Abadi" w:hAnsi="Abadi" w:cs="*Arial-11690-Identity-H"/>
          <w:color w:val="292929"/>
          <w:sz w:val="21"/>
          <w:szCs w:val="21"/>
        </w:rPr>
        <w:t>Dentro de los ciento ochenta días siguientes a la entrada en</w:t>
      </w:r>
      <w:r>
        <w:rPr>
          <w:rFonts w:ascii="Abadi" w:hAnsi="Abadi" w:cs="*Arial-11690-Identity-H"/>
          <w:color w:val="292929"/>
          <w:sz w:val="21"/>
          <w:szCs w:val="21"/>
        </w:rPr>
        <w:t xml:space="preserve"> </w:t>
      </w:r>
      <w:r w:rsidRPr="00743CF7">
        <w:rPr>
          <w:rFonts w:ascii="Abadi" w:hAnsi="Abadi" w:cs="*Arial-11690-Identity-H"/>
          <w:color w:val="292929"/>
          <w:sz w:val="21"/>
          <w:szCs w:val="21"/>
        </w:rPr>
        <w:t>vigencia del presente Decreto, se deberá armonizar el marco normativo de lo</w:t>
      </w:r>
      <w:r>
        <w:rPr>
          <w:rFonts w:ascii="Abadi" w:hAnsi="Abadi" w:cs="*Arial-11690-Identity-H"/>
          <w:color w:val="292929"/>
          <w:sz w:val="21"/>
          <w:szCs w:val="21"/>
        </w:rPr>
        <w:t xml:space="preserve"> </w:t>
      </w:r>
      <w:r w:rsidRPr="00743CF7">
        <w:rPr>
          <w:rFonts w:ascii="Abadi" w:hAnsi="Abadi" w:cs="*Arial-11690-Identity-H"/>
          <w:color w:val="292929"/>
          <w:sz w:val="21"/>
          <w:szCs w:val="21"/>
        </w:rPr>
        <w:t>Comisión Estatal para la Planeación de la Educación Superior, de conformidad con</w:t>
      </w:r>
      <w:r>
        <w:rPr>
          <w:rFonts w:ascii="Abadi" w:hAnsi="Abadi" w:cs="*Arial-11690-Identity-H"/>
          <w:color w:val="292929"/>
          <w:sz w:val="21"/>
          <w:szCs w:val="21"/>
        </w:rPr>
        <w:t xml:space="preserve"> </w:t>
      </w:r>
      <w:r w:rsidRPr="00743CF7">
        <w:rPr>
          <w:rFonts w:ascii="Abadi" w:hAnsi="Abadi" w:cs="*Arial-11690-Identity-H"/>
          <w:color w:val="292929"/>
          <w:sz w:val="21"/>
          <w:szCs w:val="21"/>
        </w:rPr>
        <w:t>las disposiciones de esta Ley.</w:t>
      </w:r>
    </w:p>
    <w:p w14:paraId="3391280A" w14:textId="77777777" w:rsidR="00366FFB" w:rsidRPr="00743CF7" w:rsidRDefault="00366FFB" w:rsidP="00366FFB">
      <w:pPr>
        <w:autoSpaceDE w:val="0"/>
        <w:autoSpaceDN w:val="0"/>
        <w:adjustRightInd w:val="0"/>
        <w:jc w:val="both"/>
        <w:rPr>
          <w:rFonts w:ascii="Abadi" w:hAnsi="Abadi" w:cs="*Calibri-Bold-11689-Identity-H"/>
          <w:b/>
          <w:bCs/>
          <w:color w:val="282828"/>
          <w:sz w:val="21"/>
          <w:szCs w:val="21"/>
        </w:rPr>
      </w:pPr>
    </w:p>
    <w:p w14:paraId="62B9D33C" w14:textId="77777777" w:rsidR="00366FFB" w:rsidRPr="00743CF7" w:rsidRDefault="00366FFB" w:rsidP="00366FFB">
      <w:pPr>
        <w:autoSpaceDE w:val="0"/>
        <w:autoSpaceDN w:val="0"/>
        <w:adjustRightInd w:val="0"/>
        <w:jc w:val="both"/>
        <w:rPr>
          <w:rFonts w:ascii="Abadi" w:hAnsi="Abadi" w:cs="*Arial-11690-Identity-H"/>
          <w:color w:val="282828"/>
          <w:sz w:val="21"/>
          <w:szCs w:val="21"/>
        </w:rPr>
      </w:pPr>
      <w:r w:rsidRPr="00743CF7">
        <w:rPr>
          <w:rFonts w:ascii="Abadi" w:hAnsi="Abadi" w:cs="*Calibri-Bold-11689-Identity-H"/>
          <w:b/>
          <w:bCs/>
          <w:color w:val="282828"/>
          <w:sz w:val="21"/>
          <w:szCs w:val="21"/>
        </w:rPr>
        <w:t xml:space="preserve">Artículo Séptimo. </w:t>
      </w:r>
      <w:r w:rsidRPr="00743CF7">
        <w:rPr>
          <w:rFonts w:ascii="Abadi" w:hAnsi="Abadi" w:cs="*Arial-11690-Identity-H"/>
          <w:color w:val="282828"/>
          <w:sz w:val="21"/>
          <w:szCs w:val="21"/>
        </w:rPr>
        <w:t>Las erogaciones que se generen con motivo de la entrada en</w:t>
      </w:r>
      <w:r>
        <w:rPr>
          <w:rFonts w:ascii="Abadi" w:hAnsi="Abadi" w:cs="*Arial-11690-Identity-H"/>
          <w:color w:val="282828"/>
          <w:sz w:val="21"/>
          <w:szCs w:val="21"/>
        </w:rPr>
        <w:t xml:space="preserve"> </w:t>
      </w:r>
      <w:r w:rsidRPr="00743CF7">
        <w:rPr>
          <w:rFonts w:ascii="Abadi" w:hAnsi="Abadi" w:cs="*Arial-11690-Identity-H"/>
          <w:color w:val="282828"/>
          <w:sz w:val="21"/>
          <w:szCs w:val="21"/>
        </w:rPr>
        <w:t>vigor de la presente Ley se realizarán con cargo a la disponibilidad presupuestaria</w:t>
      </w:r>
      <w:r>
        <w:rPr>
          <w:rFonts w:ascii="Abadi" w:hAnsi="Abadi" w:cs="*Arial-11690-Identity-H"/>
          <w:color w:val="282828"/>
          <w:sz w:val="21"/>
          <w:szCs w:val="21"/>
        </w:rPr>
        <w:t xml:space="preserve"> </w:t>
      </w:r>
      <w:r w:rsidRPr="00743CF7">
        <w:rPr>
          <w:rFonts w:ascii="Abadi" w:hAnsi="Abadi" w:cs="*Arial-11690-Identity-H"/>
          <w:color w:val="282828"/>
          <w:sz w:val="21"/>
          <w:szCs w:val="21"/>
        </w:rPr>
        <w:t>que se apruebe para tal fin al sector educativo en el ejercicio fiscal de que se trate,</w:t>
      </w:r>
      <w:r>
        <w:rPr>
          <w:rFonts w:ascii="Abadi" w:hAnsi="Abadi" w:cs="*Arial-11690-Identity-H"/>
          <w:color w:val="282828"/>
          <w:sz w:val="21"/>
          <w:szCs w:val="21"/>
        </w:rPr>
        <w:t xml:space="preserve"> </w:t>
      </w:r>
      <w:r w:rsidRPr="00743CF7">
        <w:rPr>
          <w:rFonts w:ascii="Abadi" w:hAnsi="Abadi" w:cs="*Arial-11690-Identity-H"/>
          <w:color w:val="282828"/>
          <w:sz w:val="21"/>
          <w:szCs w:val="21"/>
        </w:rPr>
        <w:t>lo cual se llevará d cabo de manera gradual con el objeto de cumplir con las</w:t>
      </w:r>
      <w:r>
        <w:rPr>
          <w:rFonts w:ascii="Abadi" w:hAnsi="Abadi" w:cs="*Arial-11690-Identity-H"/>
          <w:color w:val="282828"/>
          <w:sz w:val="21"/>
          <w:szCs w:val="21"/>
        </w:rPr>
        <w:t xml:space="preserve"> </w:t>
      </w:r>
      <w:r w:rsidRPr="00743CF7">
        <w:rPr>
          <w:rFonts w:ascii="Abadi" w:hAnsi="Abadi" w:cs="*Arial-11690-Identity-H"/>
          <w:color w:val="282828"/>
          <w:sz w:val="21"/>
          <w:szCs w:val="21"/>
        </w:rPr>
        <w:t>obligaciones que tendrán a su cargo las autoridades competentes.</w:t>
      </w:r>
    </w:p>
    <w:p w14:paraId="0DE98934" w14:textId="77777777" w:rsidR="00366FFB" w:rsidRPr="00743CF7" w:rsidRDefault="00366FFB" w:rsidP="00366FFB">
      <w:pPr>
        <w:autoSpaceDE w:val="0"/>
        <w:autoSpaceDN w:val="0"/>
        <w:adjustRightInd w:val="0"/>
        <w:jc w:val="both"/>
        <w:rPr>
          <w:rFonts w:ascii="Abadi" w:hAnsi="Abadi" w:cs="*Calibri-Bold-11689-Identity-H"/>
          <w:b/>
          <w:bCs/>
          <w:color w:val="292929"/>
          <w:sz w:val="21"/>
          <w:szCs w:val="21"/>
        </w:rPr>
      </w:pPr>
    </w:p>
    <w:p w14:paraId="534152A7" w14:textId="77777777" w:rsidR="00366FFB" w:rsidRPr="00743CF7" w:rsidRDefault="00366FFB" w:rsidP="00366FFB">
      <w:pPr>
        <w:autoSpaceDE w:val="0"/>
        <w:autoSpaceDN w:val="0"/>
        <w:adjustRightInd w:val="0"/>
        <w:jc w:val="both"/>
        <w:rPr>
          <w:rFonts w:ascii="Abadi" w:hAnsi="Abadi" w:cs="*Arial-11690-Identity-H"/>
          <w:color w:val="292929"/>
          <w:sz w:val="21"/>
          <w:szCs w:val="21"/>
        </w:rPr>
      </w:pPr>
      <w:r w:rsidRPr="00743CF7">
        <w:rPr>
          <w:rFonts w:ascii="Abadi" w:hAnsi="Abadi" w:cs="*Calibri-Bold-11689-Identity-H"/>
          <w:b/>
          <w:bCs/>
          <w:color w:val="292929"/>
          <w:sz w:val="21"/>
          <w:szCs w:val="21"/>
        </w:rPr>
        <w:t xml:space="preserve">Artículo Octavo. </w:t>
      </w:r>
      <w:r w:rsidRPr="00743CF7">
        <w:rPr>
          <w:rFonts w:ascii="Abadi" w:hAnsi="Abadi" w:cs="*Arial-11690-Identity-H"/>
          <w:color w:val="292929"/>
          <w:sz w:val="21"/>
          <w:szCs w:val="21"/>
        </w:rPr>
        <w:t>Las acciones a las que se refiere el artículo 81 del presente</w:t>
      </w:r>
      <w:r>
        <w:rPr>
          <w:rFonts w:ascii="Abadi" w:hAnsi="Abadi" w:cs="*Arial-11690-Identity-H"/>
          <w:color w:val="292929"/>
          <w:sz w:val="21"/>
          <w:szCs w:val="21"/>
        </w:rPr>
        <w:t xml:space="preserve"> </w:t>
      </w:r>
      <w:r w:rsidRPr="00743CF7">
        <w:rPr>
          <w:rFonts w:ascii="Abadi" w:hAnsi="Abadi" w:cs="*Arial-11690-Identity-H"/>
          <w:color w:val="292929"/>
          <w:sz w:val="21"/>
          <w:szCs w:val="21"/>
        </w:rPr>
        <w:t>Decreto, referentes a la importancia para que las instituciones de educación</w:t>
      </w:r>
      <w:r>
        <w:rPr>
          <w:rFonts w:ascii="Abadi" w:hAnsi="Abadi" w:cs="*Arial-11690-Identity-H"/>
          <w:color w:val="292929"/>
          <w:sz w:val="21"/>
          <w:szCs w:val="21"/>
        </w:rPr>
        <w:t xml:space="preserve"> </w:t>
      </w:r>
      <w:r w:rsidRPr="00743CF7">
        <w:rPr>
          <w:rFonts w:ascii="Abadi" w:hAnsi="Abadi" w:cs="*Arial-11690-Identity-H"/>
          <w:color w:val="292929"/>
          <w:sz w:val="21"/>
          <w:szCs w:val="21"/>
        </w:rPr>
        <w:t>superior se constituyan como espacios libres de violencia de género y de</w:t>
      </w:r>
      <w:r>
        <w:rPr>
          <w:rFonts w:ascii="Abadi" w:hAnsi="Abadi" w:cs="*Arial-11690-Identity-H"/>
          <w:color w:val="292929"/>
          <w:sz w:val="21"/>
          <w:szCs w:val="21"/>
        </w:rPr>
        <w:t xml:space="preserve"> </w:t>
      </w:r>
      <w:r w:rsidRPr="00743CF7">
        <w:rPr>
          <w:rFonts w:ascii="Abadi" w:hAnsi="Abadi" w:cs="*Arial-11690-Identity-H"/>
          <w:color w:val="292929"/>
          <w:sz w:val="21"/>
          <w:szCs w:val="21"/>
        </w:rPr>
        <w:t xml:space="preserve">discriminación hacia las mujeres deberán realizarse </w:t>
      </w:r>
      <w:r w:rsidRPr="00743CF7">
        <w:rPr>
          <w:rFonts w:ascii="Abadi" w:hAnsi="Abadi" w:cs="*Times New Roman-Italic-11686-I"/>
          <w:i/>
          <w:iCs/>
          <w:color w:val="292929"/>
          <w:sz w:val="21"/>
          <w:szCs w:val="21"/>
        </w:rPr>
        <w:t xml:space="preserve">y </w:t>
      </w:r>
      <w:r w:rsidRPr="00743CF7">
        <w:rPr>
          <w:rFonts w:ascii="Abadi" w:hAnsi="Abadi" w:cs="*Arial-11690-Identity-H"/>
          <w:color w:val="292929"/>
          <w:sz w:val="21"/>
          <w:szCs w:val="21"/>
        </w:rPr>
        <w:t>reforzarse de manera</w:t>
      </w:r>
      <w:r>
        <w:rPr>
          <w:rFonts w:ascii="Abadi" w:hAnsi="Abadi" w:cs="*Arial-11690-Identity-H"/>
          <w:color w:val="292929"/>
          <w:sz w:val="21"/>
          <w:szCs w:val="21"/>
        </w:rPr>
        <w:t xml:space="preserve"> </w:t>
      </w:r>
      <w:r w:rsidRPr="00743CF7">
        <w:rPr>
          <w:rFonts w:ascii="Abadi" w:hAnsi="Abadi" w:cs="*Arial-11690-Identity-H"/>
          <w:color w:val="292929"/>
          <w:sz w:val="21"/>
          <w:szCs w:val="21"/>
        </w:rPr>
        <w:t>progresiva y de acuerdo con la disponibilidad presupuesta! de cada institución a</w:t>
      </w:r>
      <w:r>
        <w:rPr>
          <w:rFonts w:ascii="Abadi" w:hAnsi="Abadi" w:cs="*Arial-11690-Identity-H"/>
          <w:color w:val="292929"/>
          <w:sz w:val="21"/>
          <w:szCs w:val="21"/>
        </w:rPr>
        <w:t xml:space="preserve"> </w:t>
      </w:r>
      <w:r w:rsidRPr="00743CF7">
        <w:rPr>
          <w:rFonts w:ascii="Abadi" w:hAnsi="Abadi" w:cs="*Arial-11690-Identity-H"/>
          <w:color w:val="292929"/>
          <w:sz w:val="21"/>
          <w:szCs w:val="21"/>
        </w:rPr>
        <w:t>partir de los ciento veinte días siguientes a su entrada en vigor.</w:t>
      </w:r>
    </w:p>
    <w:p w14:paraId="0C0CA471" w14:textId="77777777" w:rsidR="00366FFB" w:rsidRPr="00743CF7" w:rsidRDefault="00366FFB" w:rsidP="00366FFB">
      <w:pPr>
        <w:autoSpaceDE w:val="0"/>
        <w:autoSpaceDN w:val="0"/>
        <w:adjustRightInd w:val="0"/>
        <w:jc w:val="both"/>
        <w:rPr>
          <w:rFonts w:ascii="Abadi" w:hAnsi="Abadi" w:cs="*Calibri-Bold-11689-Identity-H"/>
          <w:b/>
          <w:bCs/>
          <w:color w:val="282828"/>
          <w:sz w:val="21"/>
          <w:szCs w:val="21"/>
        </w:rPr>
      </w:pPr>
    </w:p>
    <w:p w14:paraId="5C0D395F" w14:textId="77777777" w:rsidR="00366FFB" w:rsidRPr="00743CF7" w:rsidRDefault="00366FFB" w:rsidP="00366FFB">
      <w:pPr>
        <w:autoSpaceDE w:val="0"/>
        <w:autoSpaceDN w:val="0"/>
        <w:adjustRightInd w:val="0"/>
        <w:jc w:val="both"/>
        <w:rPr>
          <w:rFonts w:ascii="Abadi" w:hAnsi="Abadi" w:cs="*Arial-11690-Identity-H"/>
          <w:color w:val="282828"/>
          <w:sz w:val="21"/>
          <w:szCs w:val="21"/>
        </w:rPr>
      </w:pPr>
      <w:r w:rsidRPr="00743CF7">
        <w:rPr>
          <w:rFonts w:ascii="Abadi" w:hAnsi="Abadi" w:cs="*Calibri-Bold-11689-Identity-H"/>
          <w:b/>
          <w:bCs/>
          <w:color w:val="282828"/>
          <w:sz w:val="21"/>
          <w:szCs w:val="21"/>
        </w:rPr>
        <w:t xml:space="preserve">Artículo Noveno. </w:t>
      </w:r>
      <w:r w:rsidRPr="00743CF7">
        <w:rPr>
          <w:rFonts w:ascii="Abadi" w:hAnsi="Abadi" w:cs="*Arial-11690-Identity-H"/>
          <w:color w:val="282828"/>
          <w:sz w:val="21"/>
          <w:szCs w:val="21"/>
        </w:rPr>
        <w:t xml:space="preserve">Los trámites relacionados con el artículo 93 </w:t>
      </w:r>
      <w:r>
        <w:rPr>
          <w:rFonts w:ascii="Abadi" w:hAnsi="Abadi" w:cs="*Arial-11690-Identity-H"/>
          <w:color w:val="282828"/>
          <w:sz w:val="21"/>
          <w:szCs w:val="21"/>
        </w:rPr>
        <w:t xml:space="preserve">y </w:t>
      </w:r>
      <w:r w:rsidRPr="00743CF7">
        <w:rPr>
          <w:rFonts w:ascii="Abadi" w:hAnsi="Abadi" w:cs="*Arial-11690-Identity-H"/>
          <w:color w:val="282828"/>
          <w:sz w:val="21"/>
          <w:szCs w:val="21"/>
        </w:rPr>
        <w:t>que hayan sido</w:t>
      </w:r>
      <w:r>
        <w:rPr>
          <w:rFonts w:ascii="Abadi" w:hAnsi="Abadi" w:cs="*Arial-11690-Identity-H"/>
          <w:color w:val="282828"/>
          <w:sz w:val="21"/>
          <w:szCs w:val="21"/>
        </w:rPr>
        <w:t xml:space="preserve"> </w:t>
      </w:r>
      <w:r w:rsidRPr="00743CF7">
        <w:rPr>
          <w:rFonts w:ascii="Abadi" w:hAnsi="Abadi" w:cs="*Arial-11690-Identity-H"/>
          <w:color w:val="282828"/>
          <w:sz w:val="21"/>
          <w:szCs w:val="21"/>
        </w:rPr>
        <w:t>iniciados con anterioridad, se concluirán conforme a las disposiciones anteriores a</w:t>
      </w:r>
      <w:r>
        <w:rPr>
          <w:rFonts w:ascii="Abadi" w:hAnsi="Abadi" w:cs="*Arial-11690-Identity-H"/>
          <w:color w:val="282828"/>
          <w:sz w:val="21"/>
          <w:szCs w:val="21"/>
        </w:rPr>
        <w:t xml:space="preserve"> </w:t>
      </w:r>
      <w:r w:rsidRPr="00743CF7">
        <w:rPr>
          <w:rFonts w:ascii="Abadi" w:hAnsi="Abadi" w:cs="*Arial-11690-Identity-H"/>
          <w:color w:val="282828"/>
          <w:sz w:val="21"/>
          <w:szCs w:val="21"/>
        </w:rPr>
        <w:t>la entrada en vigor de la presente Ley.</w:t>
      </w:r>
    </w:p>
    <w:p w14:paraId="025EE5CE" w14:textId="77777777" w:rsidR="00366FFB" w:rsidRPr="00743CF7" w:rsidRDefault="00366FFB" w:rsidP="00366FFB">
      <w:pPr>
        <w:autoSpaceDE w:val="0"/>
        <w:autoSpaceDN w:val="0"/>
        <w:adjustRightInd w:val="0"/>
        <w:jc w:val="both"/>
        <w:rPr>
          <w:rFonts w:ascii="Abadi" w:hAnsi="Abadi" w:cs="*Arial-11690-Identity-H"/>
          <w:color w:val="282828"/>
          <w:sz w:val="21"/>
          <w:szCs w:val="21"/>
        </w:rPr>
      </w:pPr>
    </w:p>
    <w:p w14:paraId="0DA2BFB8" w14:textId="3FD6DB53" w:rsidR="00366FFB" w:rsidRPr="00743CF7" w:rsidRDefault="00366FFB" w:rsidP="00366FFB">
      <w:pPr>
        <w:autoSpaceDE w:val="0"/>
        <w:autoSpaceDN w:val="0"/>
        <w:adjustRightInd w:val="0"/>
        <w:jc w:val="both"/>
        <w:rPr>
          <w:rFonts w:ascii="Abadi" w:hAnsi="Abadi" w:cs="*Comic Sans MS-Bold-7246-Identi"/>
          <w:b/>
          <w:bCs/>
          <w:color w:val="292929"/>
          <w:sz w:val="21"/>
          <w:szCs w:val="21"/>
        </w:rPr>
      </w:pPr>
    </w:p>
    <w:p w14:paraId="37A1ABF2" w14:textId="77777777" w:rsidR="00366FFB" w:rsidRPr="00743CF7" w:rsidRDefault="00366FFB" w:rsidP="00366FFB">
      <w:pPr>
        <w:autoSpaceDE w:val="0"/>
        <w:autoSpaceDN w:val="0"/>
        <w:adjustRightInd w:val="0"/>
        <w:jc w:val="both"/>
        <w:rPr>
          <w:rFonts w:ascii="Abadi" w:hAnsi="Abadi" w:cs="*Arial-7245-Identity-H"/>
          <w:color w:val="292929"/>
          <w:sz w:val="21"/>
          <w:szCs w:val="21"/>
        </w:rPr>
      </w:pPr>
      <w:r w:rsidRPr="00743CF7">
        <w:rPr>
          <w:rFonts w:ascii="Abadi" w:hAnsi="Abadi" w:cs="*Comic Sans MS-Bold-7246-Identi"/>
          <w:b/>
          <w:bCs/>
          <w:color w:val="292929"/>
          <w:sz w:val="21"/>
          <w:szCs w:val="21"/>
        </w:rPr>
        <w:t xml:space="preserve">Artículo Décimo. </w:t>
      </w:r>
      <w:r w:rsidRPr="00743CF7">
        <w:rPr>
          <w:rFonts w:ascii="Abadi" w:hAnsi="Abadi" w:cs="*Arial-7245-Identity-H"/>
          <w:color w:val="292929"/>
          <w:sz w:val="21"/>
          <w:szCs w:val="21"/>
        </w:rPr>
        <w:t>Las Instituciones públicas de educación superior podrán</w:t>
      </w:r>
      <w:r>
        <w:rPr>
          <w:rFonts w:ascii="Abadi" w:hAnsi="Abadi" w:cs="*Arial-7245-Identity-H"/>
          <w:color w:val="292929"/>
          <w:sz w:val="21"/>
          <w:szCs w:val="21"/>
        </w:rPr>
        <w:t xml:space="preserve"> </w:t>
      </w:r>
      <w:r w:rsidRPr="00743CF7">
        <w:rPr>
          <w:rFonts w:ascii="Abadi" w:hAnsi="Abadi" w:cs="*Arial-7245-Identity-H"/>
          <w:color w:val="292929"/>
          <w:sz w:val="21"/>
          <w:szCs w:val="21"/>
        </w:rPr>
        <w:t>establecer mecanismos para recibir donativos, los cuales les permitan disponer de</w:t>
      </w:r>
      <w:r>
        <w:rPr>
          <w:rFonts w:ascii="Abadi" w:hAnsi="Abadi" w:cs="*Arial-7245-Identity-H"/>
          <w:color w:val="292929"/>
          <w:sz w:val="21"/>
          <w:szCs w:val="21"/>
        </w:rPr>
        <w:t xml:space="preserve"> </w:t>
      </w:r>
      <w:r w:rsidRPr="00743CF7">
        <w:rPr>
          <w:rFonts w:ascii="Abadi" w:hAnsi="Abadi" w:cs="*Arial-7245-Identity-H"/>
          <w:color w:val="292929"/>
          <w:sz w:val="21"/>
          <w:szCs w:val="21"/>
        </w:rPr>
        <w:t>recursos para cuestiones específicas que fortalezcan su equipamiento y</w:t>
      </w:r>
      <w:r>
        <w:rPr>
          <w:rFonts w:ascii="Abadi" w:hAnsi="Abadi" w:cs="*Arial-7245-Identity-H"/>
          <w:color w:val="292929"/>
          <w:sz w:val="21"/>
          <w:szCs w:val="21"/>
        </w:rPr>
        <w:t xml:space="preserve"> </w:t>
      </w:r>
      <w:r w:rsidRPr="00743CF7">
        <w:rPr>
          <w:rFonts w:ascii="Abadi" w:hAnsi="Abadi" w:cs="*Arial-7245-Identity-H"/>
          <w:color w:val="292929"/>
          <w:sz w:val="21"/>
          <w:szCs w:val="21"/>
        </w:rPr>
        <w:t>desempeño educativo. Las autoridades educativas de la institución</w:t>
      </w:r>
    </w:p>
    <w:p w14:paraId="504E32F0" w14:textId="77777777" w:rsidR="00366FFB" w:rsidRDefault="00366FFB" w:rsidP="00366FFB">
      <w:pPr>
        <w:autoSpaceDE w:val="0"/>
        <w:autoSpaceDN w:val="0"/>
        <w:adjustRightInd w:val="0"/>
        <w:jc w:val="both"/>
        <w:rPr>
          <w:rFonts w:ascii="Abadi" w:hAnsi="Abadi" w:cs="*Arial-7245-Identity-H"/>
          <w:color w:val="292929"/>
          <w:sz w:val="21"/>
          <w:szCs w:val="21"/>
        </w:rPr>
      </w:pPr>
      <w:r w:rsidRPr="00743CF7">
        <w:rPr>
          <w:rFonts w:ascii="Abadi" w:hAnsi="Abadi" w:cs="*Arial-7245-Identity-H"/>
          <w:color w:val="292929"/>
          <w:sz w:val="21"/>
          <w:szCs w:val="21"/>
        </w:rPr>
        <w:t>correspondiente deberán aplicar la normatividad de transparencia y rendición de</w:t>
      </w:r>
      <w:r>
        <w:rPr>
          <w:rFonts w:ascii="Abadi" w:hAnsi="Abadi" w:cs="*Arial-7245-Identity-H"/>
          <w:color w:val="292929"/>
          <w:sz w:val="21"/>
          <w:szCs w:val="21"/>
        </w:rPr>
        <w:t xml:space="preserve"> </w:t>
      </w:r>
      <w:r w:rsidRPr="00743CF7">
        <w:rPr>
          <w:rFonts w:ascii="Abadi" w:hAnsi="Abadi" w:cs="*Arial-7245-Identity-H"/>
          <w:color w:val="292929"/>
          <w:sz w:val="21"/>
          <w:szCs w:val="21"/>
        </w:rPr>
        <w:t>cuentas sobre los recursos obtenidos en donación, de conformidad con las</w:t>
      </w:r>
      <w:r>
        <w:rPr>
          <w:rFonts w:ascii="Abadi" w:hAnsi="Abadi" w:cs="*Arial-7245-Identity-H"/>
          <w:color w:val="292929"/>
          <w:sz w:val="21"/>
          <w:szCs w:val="21"/>
        </w:rPr>
        <w:t xml:space="preserve"> </w:t>
      </w:r>
      <w:r w:rsidRPr="00743CF7">
        <w:rPr>
          <w:rFonts w:ascii="Abadi" w:hAnsi="Abadi" w:cs="*Arial-7245-Identity-H"/>
          <w:color w:val="292929"/>
          <w:sz w:val="21"/>
          <w:szCs w:val="21"/>
        </w:rPr>
        <w:t>disposiciones aplicables.</w:t>
      </w:r>
    </w:p>
    <w:p w14:paraId="6304FABA" w14:textId="77777777" w:rsidR="00366FFB" w:rsidRPr="00743CF7" w:rsidRDefault="00366FFB" w:rsidP="00366FFB">
      <w:pPr>
        <w:autoSpaceDE w:val="0"/>
        <w:autoSpaceDN w:val="0"/>
        <w:adjustRightInd w:val="0"/>
        <w:jc w:val="both"/>
        <w:rPr>
          <w:rFonts w:ascii="Abadi" w:hAnsi="Abadi" w:cs="*Arial-7245-Identity-H"/>
          <w:color w:val="292929"/>
          <w:sz w:val="21"/>
          <w:szCs w:val="21"/>
        </w:rPr>
      </w:pPr>
    </w:p>
    <w:p w14:paraId="51138DBB" w14:textId="77777777" w:rsidR="00366FFB" w:rsidRPr="00743CF7" w:rsidRDefault="00366FFB" w:rsidP="00366FFB">
      <w:pPr>
        <w:autoSpaceDE w:val="0"/>
        <w:autoSpaceDN w:val="0"/>
        <w:adjustRightInd w:val="0"/>
        <w:jc w:val="both"/>
        <w:rPr>
          <w:rFonts w:ascii="Abadi" w:hAnsi="Abadi" w:cs="*Arial-7245-Identity-H"/>
          <w:color w:val="2C2C2C"/>
          <w:sz w:val="21"/>
          <w:szCs w:val="21"/>
        </w:rPr>
      </w:pPr>
      <w:r w:rsidRPr="00743CF7">
        <w:rPr>
          <w:rFonts w:ascii="Abadi" w:hAnsi="Abadi" w:cs="*Arial-7245-Identity-H"/>
          <w:color w:val="2C2C2C"/>
          <w:sz w:val="21"/>
          <w:szCs w:val="21"/>
        </w:rPr>
        <w:t>En razón de lo anteriormente expuesto y fundado, solicito o usted dar, a la presente</w:t>
      </w:r>
      <w:r>
        <w:rPr>
          <w:rFonts w:ascii="Abadi" w:hAnsi="Abadi" w:cs="*Arial-7245-Identity-H"/>
          <w:color w:val="2C2C2C"/>
          <w:sz w:val="21"/>
          <w:szCs w:val="21"/>
        </w:rPr>
        <w:t xml:space="preserve"> </w:t>
      </w:r>
      <w:r w:rsidRPr="00743CF7">
        <w:rPr>
          <w:rFonts w:ascii="Abadi" w:hAnsi="Abadi" w:cs="*Arial-7245-Identity-H"/>
          <w:color w:val="2C2C2C"/>
          <w:sz w:val="21"/>
          <w:szCs w:val="21"/>
        </w:rPr>
        <w:t>iniciativa, el trámite señalado en nuestra Ley Orgánica del Poder Legislativo del</w:t>
      </w:r>
      <w:r>
        <w:rPr>
          <w:rFonts w:ascii="Abadi" w:hAnsi="Abadi" w:cs="*Arial-7245-Identity-H"/>
          <w:color w:val="2C2C2C"/>
          <w:sz w:val="21"/>
          <w:szCs w:val="21"/>
        </w:rPr>
        <w:t xml:space="preserve"> </w:t>
      </w:r>
      <w:r w:rsidRPr="00743CF7">
        <w:rPr>
          <w:rFonts w:ascii="Abadi" w:hAnsi="Abadi" w:cs="*Arial-7245-Identity-H"/>
          <w:color w:val="2C2C2C"/>
          <w:sz w:val="21"/>
          <w:szCs w:val="21"/>
        </w:rPr>
        <w:t>Estado de Guanajuato.</w:t>
      </w:r>
    </w:p>
    <w:p w14:paraId="763128CE" w14:textId="77777777" w:rsidR="00366FFB" w:rsidRPr="00743CF7" w:rsidRDefault="00366FFB" w:rsidP="00366FFB">
      <w:pPr>
        <w:autoSpaceDE w:val="0"/>
        <w:autoSpaceDN w:val="0"/>
        <w:adjustRightInd w:val="0"/>
        <w:jc w:val="both"/>
        <w:rPr>
          <w:rFonts w:ascii="Abadi" w:hAnsi="Abadi" w:cs="*Comic Sans MS-Bold-7246-Identi"/>
          <w:b/>
          <w:bCs/>
          <w:color w:val="111111"/>
          <w:sz w:val="21"/>
          <w:szCs w:val="21"/>
        </w:rPr>
      </w:pPr>
    </w:p>
    <w:p w14:paraId="56F759ED" w14:textId="77777777" w:rsidR="00366FFB" w:rsidRPr="00743CF7" w:rsidRDefault="00366FFB" w:rsidP="00366FFB">
      <w:pPr>
        <w:autoSpaceDE w:val="0"/>
        <w:autoSpaceDN w:val="0"/>
        <w:adjustRightInd w:val="0"/>
        <w:jc w:val="center"/>
        <w:rPr>
          <w:rFonts w:ascii="Abadi" w:hAnsi="Abadi" w:cs="*Comic Sans MS-Bold-7246-Identi"/>
          <w:b/>
          <w:bCs/>
          <w:color w:val="111111"/>
          <w:sz w:val="21"/>
          <w:szCs w:val="21"/>
        </w:rPr>
      </w:pPr>
      <w:r w:rsidRPr="00743CF7">
        <w:rPr>
          <w:rFonts w:ascii="Abadi" w:hAnsi="Abadi" w:cs="*Comic Sans MS-Bold-7246-Identi"/>
          <w:b/>
          <w:bCs/>
          <w:color w:val="111111"/>
          <w:sz w:val="21"/>
          <w:szCs w:val="21"/>
        </w:rPr>
        <w:t>ATENTAMENTE</w:t>
      </w:r>
    </w:p>
    <w:p w14:paraId="6A41B2EF" w14:textId="77777777" w:rsidR="00366FFB" w:rsidRPr="00743CF7" w:rsidRDefault="00366FFB" w:rsidP="00366FFB">
      <w:pPr>
        <w:autoSpaceDE w:val="0"/>
        <w:autoSpaceDN w:val="0"/>
        <w:adjustRightInd w:val="0"/>
        <w:jc w:val="center"/>
        <w:rPr>
          <w:rFonts w:ascii="Abadi" w:hAnsi="Abadi" w:cs="*Comic Sans MS-Bold-7246-Identi"/>
          <w:b/>
          <w:bCs/>
          <w:color w:val="111111"/>
          <w:sz w:val="21"/>
          <w:szCs w:val="21"/>
        </w:rPr>
      </w:pPr>
      <w:r w:rsidRPr="00743CF7">
        <w:rPr>
          <w:rFonts w:ascii="Abadi" w:hAnsi="Abadi" w:cs="*Comic Sans MS-Bold-7246-Identi"/>
          <w:b/>
          <w:bCs/>
          <w:color w:val="111111"/>
          <w:sz w:val="21"/>
          <w:szCs w:val="21"/>
        </w:rPr>
        <w:t>Guanajuato, Gto., a 12 de mayo de 2022</w:t>
      </w:r>
    </w:p>
    <w:p w14:paraId="757A72DB" w14:textId="66FC968D" w:rsidR="00366FFB" w:rsidRPr="00743CF7" w:rsidRDefault="00366FFB" w:rsidP="00366FFB">
      <w:pPr>
        <w:autoSpaceDE w:val="0"/>
        <w:autoSpaceDN w:val="0"/>
        <w:adjustRightInd w:val="0"/>
        <w:jc w:val="center"/>
        <w:rPr>
          <w:rFonts w:ascii="Abadi" w:hAnsi="Abadi" w:cs="*Comic Sans MS-Bold-7246-Identi"/>
          <w:b/>
          <w:bCs/>
          <w:color w:val="0E0E0E"/>
          <w:sz w:val="21"/>
          <w:szCs w:val="21"/>
        </w:rPr>
      </w:pPr>
      <w:r w:rsidRPr="00743CF7">
        <w:rPr>
          <w:rFonts w:ascii="Abadi" w:hAnsi="Abadi" w:cs="*Comic Sans MS-Bold-7246-Identi"/>
          <w:b/>
          <w:bCs/>
          <w:color w:val="0E0E0E"/>
          <w:sz w:val="21"/>
          <w:szCs w:val="21"/>
        </w:rPr>
        <w:t xml:space="preserve">Diputadas </w:t>
      </w:r>
      <w:r w:rsidR="006779BC">
        <w:rPr>
          <w:rFonts w:ascii="Abadi" w:hAnsi="Abadi" w:cs="*Comic Sans MS-Bold-7246-Identi"/>
          <w:b/>
          <w:bCs/>
          <w:color w:val="0E0E0E"/>
          <w:sz w:val="21"/>
          <w:szCs w:val="21"/>
        </w:rPr>
        <w:t xml:space="preserve">y </w:t>
      </w:r>
      <w:r w:rsidRPr="00743CF7">
        <w:rPr>
          <w:rFonts w:ascii="Abadi" w:hAnsi="Abadi" w:cs="*Comic Sans MS-Bold-7246-Identi"/>
          <w:b/>
          <w:bCs/>
          <w:color w:val="0E0E0E"/>
          <w:sz w:val="21"/>
          <w:szCs w:val="21"/>
        </w:rPr>
        <w:t>Diputados Integrantes del</w:t>
      </w:r>
    </w:p>
    <w:p w14:paraId="75953B4F" w14:textId="6F386F2C" w:rsidR="00366FFB" w:rsidRDefault="00366FFB" w:rsidP="00366FFB">
      <w:pPr>
        <w:autoSpaceDE w:val="0"/>
        <w:autoSpaceDN w:val="0"/>
        <w:adjustRightInd w:val="0"/>
        <w:jc w:val="center"/>
        <w:rPr>
          <w:rFonts w:ascii="Abadi" w:hAnsi="Abadi" w:cs="*Comic Sans MS-Bold-7246-Identi"/>
          <w:b/>
          <w:bCs/>
          <w:color w:val="101010"/>
          <w:sz w:val="21"/>
          <w:szCs w:val="21"/>
        </w:rPr>
      </w:pPr>
      <w:r w:rsidRPr="00743CF7">
        <w:rPr>
          <w:rFonts w:ascii="Abadi" w:hAnsi="Abadi" w:cs="*Comic Sans MS-Bold-7246-Identi"/>
          <w:b/>
          <w:bCs/>
          <w:color w:val="101010"/>
          <w:sz w:val="21"/>
          <w:szCs w:val="21"/>
        </w:rPr>
        <w:t xml:space="preserve">Grupo Parlamentario del Partido Acción </w:t>
      </w:r>
      <w:r>
        <w:rPr>
          <w:rFonts w:ascii="Abadi" w:hAnsi="Abadi" w:cs="*Comic Sans MS-Bold-7246-Identi"/>
          <w:b/>
          <w:bCs/>
          <w:color w:val="101010"/>
          <w:sz w:val="21"/>
          <w:szCs w:val="21"/>
        </w:rPr>
        <w:t>Nacional</w:t>
      </w:r>
    </w:p>
    <w:p w14:paraId="630DD48E" w14:textId="24A0493E" w:rsidR="00725D5E" w:rsidRDefault="00725D5E" w:rsidP="00366FFB">
      <w:pPr>
        <w:autoSpaceDE w:val="0"/>
        <w:autoSpaceDN w:val="0"/>
        <w:adjustRightInd w:val="0"/>
        <w:jc w:val="center"/>
        <w:rPr>
          <w:rFonts w:ascii="Abadi" w:hAnsi="Abadi" w:cs="*Comic Sans MS-Bold-7246-Identi"/>
          <w:b/>
          <w:bCs/>
          <w:color w:val="101010"/>
          <w:sz w:val="21"/>
          <w:szCs w:val="21"/>
        </w:rPr>
      </w:pPr>
    </w:p>
    <w:p w14:paraId="34269A74" w14:textId="48002031" w:rsidR="00725D5E" w:rsidRDefault="00725D5E" w:rsidP="00366FFB">
      <w:pPr>
        <w:autoSpaceDE w:val="0"/>
        <w:autoSpaceDN w:val="0"/>
        <w:adjustRightInd w:val="0"/>
        <w:jc w:val="center"/>
        <w:rPr>
          <w:rFonts w:ascii="Abadi" w:hAnsi="Abadi" w:cs="*Comic Sans MS-Bold-7246-Identi"/>
          <w:b/>
          <w:bCs/>
          <w:color w:val="101010"/>
          <w:sz w:val="21"/>
          <w:szCs w:val="21"/>
        </w:rPr>
      </w:pPr>
    </w:p>
    <w:p w14:paraId="7293DA10" w14:textId="5692C30A" w:rsidR="00725D5E" w:rsidRPr="00725D5E" w:rsidRDefault="00A4415D" w:rsidP="00A4415D">
      <w:pPr>
        <w:ind w:firstLine="708"/>
        <w:jc w:val="both"/>
        <w:rPr>
          <w:rFonts w:ascii="Abadi" w:hAnsi="Abadi"/>
          <w:sz w:val="21"/>
          <w:szCs w:val="21"/>
        </w:rPr>
      </w:pPr>
      <w:r>
        <w:rPr>
          <w:rFonts w:ascii="Abadi" w:hAnsi="Abadi"/>
          <w:b/>
          <w:bCs/>
          <w:sz w:val="21"/>
          <w:szCs w:val="21"/>
        </w:rPr>
        <w:t xml:space="preserve">- </w:t>
      </w:r>
      <w:r w:rsidR="00725D5E" w:rsidRPr="00725D5E">
        <w:rPr>
          <w:rFonts w:ascii="Abadi" w:hAnsi="Abadi"/>
          <w:b/>
          <w:bCs/>
          <w:sz w:val="21"/>
          <w:szCs w:val="21"/>
        </w:rPr>
        <w:t>La Presidencia.-</w:t>
      </w:r>
      <w:r w:rsidR="00725D5E" w:rsidRPr="00725D5E">
        <w:rPr>
          <w:rFonts w:ascii="Abadi" w:hAnsi="Abadi"/>
          <w:sz w:val="21"/>
          <w:szCs w:val="21"/>
        </w:rPr>
        <w:t xml:space="preserve"> Y se pide al diputado Aldo Iván Márquez Becerra, dar lectura a la exposición de motivos de la Iniciativa de Ley de Educación Superior para el Estado de Guanajuato, suscrita por diputadas y diputados integrantes del Grupo Parlamentario del Partido Acción Nacional. </w:t>
      </w:r>
    </w:p>
    <w:p w14:paraId="2E25C12D" w14:textId="77777777" w:rsidR="00725D5E" w:rsidRPr="00725D5E" w:rsidRDefault="00725D5E" w:rsidP="00725D5E">
      <w:pPr>
        <w:jc w:val="both"/>
        <w:rPr>
          <w:rFonts w:ascii="Abadi" w:hAnsi="Abadi"/>
          <w:sz w:val="21"/>
          <w:szCs w:val="21"/>
        </w:rPr>
      </w:pPr>
    </w:p>
    <w:p w14:paraId="2D219432" w14:textId="69BE9F1A" w:rsidR="00725D5E" w:rsidRPr="00725D5E" w:rsidRDefault="00A4415D" w:rsidP="00A4415D">
      <w:pPr>
        <w:ind w:firstLine="708"/>
        <w:jc w:val="both"/>
        <w:rPr>
          <w:rFonts w:ascii="Abadi" w:hAnsi="Abadi"/>
          <w:sz w:val="21"/>
          <w:szCs w:val="21"/>
        </w:rPr>
      </w:pPr>
      <w:r>
        <w:rPr>
          <w:rFonts w:ascii="Abadi" w:hAnsi="Abadi"/>
          <w:sz w:val="21"/>
          <w:szCs w:val="21"/>
        </w:rPr>
        <w:t xml:space="preserve">- </w:t>
      </w:r>
      <w:r w:rsidR="00725D5E" w:rsidRPr="00725D5E">
        <w:rPr>
          <w:rFonts w:ascii="Abadi" w:hAnsi="Abadi"/>
          <w:sz w:val="21"/>
          <w:szCs w:val="21"/>
        </w:rPr>
        <w:t>Adelante, diputado Aldo.</w:t>
      </w:r>
    </w:p>
    <w:p w14:paraId="6FC4D392" w14:textId="57618D47" w:rsidR="00725D5E" w:rsidRPr="00725D5E" w:rsidRDefault="00725D5E" w:rsidP="00725D5E">
      <w:pPr>
        <w:jc w:val="both"/>
        <w:rPr>
          <w:rFonts w:ascii="Abadi" w:hAnsi="Abadi"/>
          <w:b/>
          <w:bCs/>
          <w:sz w:val="21"/>
          <w:szCs w:val="21"/>
        </w:rPr>
      </w:pPr>
    </w:p>
    <w:p w14:paraId="6074370E" w14:textId="77777777" w:rsidR="00725D5E" w:rsidRDefault="00725D5E" w:rsidP="00725D5E">
      <w:pPr>
        <w:jc w:val="center"/>
        <w:rPr>
          <w:rFonts w:ascii="Abadi" w:hAnsi="Abadi"/>
          <w:b/>
          <w:bCs/>
          <w:sz w:val="21"/>
          <w:szCs w:val="21"/>
        </w:rPr>
      </w:pPr>
    </w:p>
    <w:p w14:paraId="09EBDA94" w14:textId="130BB813" w:rsidR="00725D5E" w:rsidRDefault="00725D5E" w:rsidP="00725D5E">
      <w:pPr>
        <w:jc w:val="center"/>
        <w:rPr>
          <w:rFonts w:ascii="Abadi" w:hAnsi="Abadi"/>
          <w:b/>
          <w:bCs/>
          <w:sz w:val="21"/>
          <w:szCs w:val="21"/>
        </w:rPr>
      </w:pPr>
      <w:r w:rsidRPr="00725D5E">
        <w:rPr>
          <w:rFonts w:ascii="Abadi" w:hAnsi="Abadi"/>
          <w:b/>
          <w:bCs/>
          <w:sz w:val="21"/>
          <w:szCs w:val="21"/>
        </w:rPr>
        <w:t>(Posicionamiento)</w:t>
      </w:r>
    </w:p>
    <w:p w14:paraId="43A164FA" w14:textId="748912B7" w:rsidR="00725D5E" w:rsidRDefault="00725D5E" w:rsidP="00725D5E">
      <w:pPr>
        <w:jc w:val="center"/>
        <w:rPr>
          <w:rFonts w:ascii="Abadi" w:hAnsi="Abadi"/>
          <w:b/>
          <w:bCs/>
          <w:sz w:val="21"/>
          <w:szCs w:val="21"/>
        </w:rPr>
      </w:pPr>
      <w:r w:rsidRPr="00725D5E">
        <w:rPr>
          <w:rFonts w:ascii="Abadi" w:hAnsi="Abadi"/>
          <w:noProof/>
          <w:sz w:val="21"/>
          <w:szCs w:val="21"/>
        </w:rPr>
        <w:drawing>
          <wp:anchor distT="0" distB="0" distL="114300" distR="114300" simplePos="0" relativeHeight="251665408" behindDoc="1" locked="0" layoutInCell="1" allowOverlap="1" wp14:anchorId="332FA6F4" wp14:editId="43DA438A">
            <wp:simplePos x="0" y="0"/>
            <wp:positionH relativeFrom="column">
              <wp:posOffset>400050</wp:posOffset>
            </wp:positionH>
            <wp:positionV relativeFrom="paragraph">
              <wp:posOffset>389255</wp:posOffset>
            </wp:positionV>
            <wp:extent cx="1962150" cy="1015365"/>
            <wp:effectExtent l="19050" t="114300" r="0" b="794385"/>
            <wp:wrapTight wrapText="bothSides">
              <wp:wrapPolygon edited="0">
                <wp:start x="210" y="-2432"/>
                <wp:lineTo x="-210" y="4863"/>
                <wp:lineTo x="0" y="24315"/>
                <wp:lineTo x="419" y="38094"/>
                <wp:lineTo x="2307" y="38094"/>
                <wp:lineTo x="4194" y="37283"/>
                <wp:lineTo x="19922" y="31610"/>
                <wp:lineTo x="20132" y="-2432"/>
                <wp:lineTo x="210" y="-2432"/>
              </wp:wrapPolygon>
            </wp:wrapTight>
            <wp:docPr id="19" name="Imagen 19" descr="Un hombre en traje parado enfrente de una televis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hombre en traje parado enfrente de una televisión&#10;&#10;Descripción generada automáticamente con confianza media"/>
                    <pic:cNvPicPr/>
                  </pic:nvPicPr>
                  <pic:blipFill rotWithShape="1">
                    <a:blip r:embed="rId24" cstate="print">
                      <a:extLst>
                        <a:ext uri="{28A0092B-C50C-407E-A947-70E740481C1C}">
                          <a14:useLocalDpi xmlns:a14="http://schemas.microsoft.com/office/drawing/2010/main" val="0"/>
                        </a:ext>
                      </a:extLst>
                    </a:blip>
                    <a:srcRect b="7929"/>
                    <a:stretch/>
                  </pic:blipFill>
                  <pic:spPr bwMode="auto">
                    <a:xfrm>
                      <a:off x="0" y="0"/>
                      <a:ext cx="1962150" cy="101536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502103D7" w14:textId="0B988092" w:rsidR="00725D5E" w:rsidRDefault="00725D5E" w:rsidP="00725D5E">
      <w:pPr>
        <w:jc w:val="center"/>
        <w:rPr>
          <w:rFonts w:ascii="Abadi" w:hAnsi="Abadi"/>
          <w:b/>
          <w:bCs/>
          <w:sz w:val="21"/>
          <w:szCs w:val="21"/>
        </w:rPr>
      </w:pPr>
    </w:p>
    <w:p w14:paraId="359B33F0" w14:textId="12FCE7F8" w:rsidR="00725D5E" w:rsidRDefault="00725D5E" w:rsidP="00725D5E">
      <w:pPr>
        <w:jc w:val="center"/>
        <w:rPr>
          <w:rFonts w:ascii="Abadi" w:hAnsi="Abadi"/>
          <w:b/>
          <w:bCs/>
          <w:sz w:val="21"/>
          <w:szCs w:val="21"/>
        </w:rPr>
      </w:pPr>
    </w:p>
    <w:p w14:paraId="6F5E03BC" w14:textId="77777777" w:rsidR="00725D5E" w:rsidRDefault="00725D5E" w:rsidP="00725D5E">
      <w:pPr>
        <w:jc w:val="center"/>
        <w:rPr>
          <w:rFonts w:ascii="Abadi" w:hAnsi="Abadi"/>
          <w:b/>
          <w:bCs/>
          <w:sz w:val="21"/>
          <w:szCs w:val="21"/>
        </w:rPr>
      </w:pPr>
    </w:p>
    <w:p w14:paraId="2A7F2471" w14:textId="77777777" w:rsidR="00725D5E" w:rsidRDefault="00725D5E" w:rsidP="00725D5E">
      <w:pPr>
        <w:jc w:val="center"/>
        <w:rPr>
          <w:rFonts w:ascii="Abadi" w:hAnsi="Abadi"/>
          <w:b/>
          <w:bCs/>
          <w:sz w:val="21"/>
          <w:szCs w:val="21"/>
        </w:rPr>
      </w:pPr>
    </w:p>
    <w:p w14:paraId="7313024E" w14:textId="77777777" w:rsidR="00725D5E" w:rsidRDefault="00725D5E" w:rsidP="00725D5E">
      <w:pPr>
        <w:jc w:val="center"/>
        <w:rPr>
          <w:rFonts w:ascii="Abadi" w:hAnsi="Abadi"/>
          <w:b/>
          <w:bCs/>
          <w:sz w:val="21"/>
          <w:szCs w:val="21"/>
        </w:rPr>
      </w:pPr>
    </w:p>
    <w:p w14:paraId="7DA8A190" w14:textId="77777777" w:rsidR="00725D5E" w:rsidRDefault="00725D5E" w:rsidP="00725D5E">
      <w:pPr>
        <w:jc w:val="center"/>
        <w:rPr>
          <w:rFonts w:ascii="Abadi" w:hAnsi="Abadi"/>
          <w:b/>
          <w:bCs/>
          <w:sz w:val="21"/>
          <w:szCs w:val="21"/>
        </w:rPr>
      </w:pPr>
    </w:p>
    <w:p w14:paraId="6016E4D5" w14:textId="77777777" w:rsidR="00725D5E" w:rsidRDefault="00725D5E" w:rsidP="00725D5E">
      <w:pPr>
        <w:jc w:val="center"/>
        <w:rPr>
          <w:rFonts w:ascii="Abadi" w:hAnsi="Abadi"/>
          <w:b/>
          <w:bCs/>
          <w:sz w:val="21"/>
          <w:szCs w:val="21"/>
        </w:rPr>
      </w:pPr>
    </w:p>
    <w:p w14:paraId="18253A01" w14:textId="77777777" w:rsidR="00725D5E" w:rsidRDefault="00725D5E" w:rsidP="00725D5E">
      <w:pPr>
        <w:jc w:val="center"/>
        <w:rPr>
          <w:rFonts w:ascii="Abadi" w:hAnsi="Abadi"/>
          <w:b/>
          <w:bCs/>
          <w:sz w:val="21"/>
          <w:szCs w:val="21"/>
        </w:rPr>
      </w:pPr>
    </w:p>
    <w:p w14:paraId="0FAFB68C" w14:textId="77777777" w:rsidR="00725D5E" w:rsidRDefault="00725D5E" w:rsidP="00725D5E">
      <w:pPr>
        <w:jc w:val="center"/>
        <w:rPr>
          <w:rFonts w:ascii="Abadi" w:hAnsi="Abadi"/>
          <w:b/>
          <w:bCs/>
          <w:sz w:val="21"/>
          <w:szCs w:val="21"/>
        </w:rPr>
      </w:pPr>
    </w:p>
    <w:p w14:paraId="4994FB64" w14:textId="77777777" w:rsidR="00725D5E" w:rsidRDefault="00725D5E" w:rsidP="00725D5E">
      <w:pPr>
        <w:jc w:val="center"/>
        <w:rPr>
          <w:rFonts w:ascii="Abadi" w:hAnsi="Abadi"/>
          <w:b/>
          <w:bCs/>
          <w:sz w:val="21"/>
          <w:szCs w:val="21"/>
        </w:rPr>
      </w:pPr>
    </w:p>
    <w:p w14:paraId="1C7308DC" w14:textId="77777777" w:rsidR="00725D5E" w:rsidRDefault="00725D5E" w:rsidP="00725D5E">
      <w:pPr>
        <w:jc w:val="center"/>
        <w:rPr>
          <w:rFonts w:ascii="Abadi" w:hAnsi="Abadi"/>
          <w:b/>
          <w:bCs/>
          <w:sz w:val="21"/>
          <w:szCs w:val="21"/>
        </w:rPr>
      </w:pPr>
    </w:p>
    <w:p w14:paraId="7DB5FD11" w14:textId="77777777" w:rsidR="00725D5E" w:rsidRDefault="00725D5E" w:rsidP="00725D5E">
      <w:pPr>
        <w:jc w:val="center"/>
        <w:rPr>
          <w:rFonts w:ascii="Abadi" w:hAnsi="Abadi"/>
          <w:b/>
          <w:bCs/>
          <w:sz w:val="21"/>
          <w:szCs w:val="21"/>
        </w:rPr>
      </w:pPr>
    </w:p>
    <w:p w14:paraId="11E813F8" w14:textId="77777777" w:rsidR="00725D5E" w:rsidRDefault="00725D5E" w:rsidP="00725D5E">
      <w:pPr>
        <w:jc w:val="center"/>
        <w:rPr>
          <w:rFonts w:ascii="Abadi" w:hAnsi="Abadi"/>
          <w:b/>
          <w:bCs/>
          <w:sz w:val="21"/>
          <w:szCs w:val="21"/>
        </w:rPr>
      </w:pPr>
    </w:p>
    <w:p w14:paraId="783A24F4" w14:textId="77777777" w:rsidR="00725D5E" w:rsidRDefault="00725D5E" w:rsidP="00725D5E">
      <w:pPr>
        <w:jc w:val="center"/>
        <w:rPr>
          <w:rFonts w:ascii="Abadi" w:hAnsi="Abadi"/>
          <w:b/>
          <w:bCs/>
          <w:sz w:val="21"/>
          <w:szCs w:val="21"/>
        </w:rPr>
      </w:pPr>
    </w:p>
    <w:p w14:paraId="395F3F82" w14:textId="77777777" w:rsidR="00725D5E" w:rsidRPr="00725D5E" w:rsidRDefault="00725D5E" w:rsidP="00725D5E">
      <w:pPr>
        <w:autoSpaceDE w:val="0"/>
        <w:autoSpaceDN w:val="0"/>
        <w:adjustRightInd w:val="0"/>
        <w:jc w:val="center"/>
        <w:rPr>
          <w:rFonts w:ascii="Abadi" w:hAnsi="Abadi" w:cs="ArialMT"/>
          <w:b/>
          <w:bCs/>
          <w:sz w:val="20"/>
          <w:szCs w:val="21"/>
        </w:rPr>
      </w:pPr>
      <w:r>
        <w:rPr>
          <w:rFonts w:ascii="Abadi" w:hAnsi="Abadi" w:cs="ArialMT"/>
          <w:b/>
          <w:bCs/>
          <w:sz w:val="20"/>
          <w:szCs w:val="21"/>
        </w:rPr>
        <w:t>-</w:t>
      </w:r>
      <w:r w:rsidRPr="00725D5E">
        <w:rPr>
          <w:rFonts w:ascii="Abadi" w:hAnsi="Abadi" w:cs="ArialMT"/>
          <w:b/>
          <w:bCs/>
          <w:sz w:val="20"/>
          <w:szCs w:val="21"/>
        </w:rPr>
        <w:t>Diputado Aldo Iván Márquez Becerra</w:t>
      </w:r>
      <w:r>
        <w:rPr>
          <w:rFonts w:ascii="Abadi" w:hAnsi="Abadi" w:cs="ArialMT"/>
          <w:b/>
          <w:bCs/>
          <w:sz w:val="20"/>
          <w:szCs w:val="21"/>
        </w:rPr>
        <w:t>-</w:t>
      </w:r>
    </w:p>
    <w:p w14:paraId="1F22BDAE" w14:textId="77777777" w:rsidR="00A4415D" w:rsidRDefault="00A4415D" w:rsidP="003172B8">
      <w:pPr>
        <w:autoSpaceDE w:val="0"/>
        <w:autoSpaceDN w:val="0"/>
        <w:adjustRightInd w:val="0"/>
        <w:jc w:val="both"/>
        <w:rPr>
          <w:rFonts w:ascii="Abadi" w:hAnsi="Abadi" w:cs="ArialMT"/>
          <w:sz w:val="21"/>
          <w:szCs w:val="21"/>
        </w:rPr>
      </w:pPr>
    </w:p>
    <w:p w14:paraId="391A0DFF" w14:textId="01B530EE" w:rsidR="003172B8" w:rsidRPr="00366FFB" w:rsidRDefault="00725D5E" w:rsidP="003172B8">
      <w:pPr>
        <w:autoSpaceDE w:val="0"/>
        <w:autoSpaceDN w:val="0"/>
        <w:adjustRightInd w:val="0"/>
        <w:jc w:val="both"/>
        <w:rPr>
          <w:rFonts w:ascii="Abadi" w:hAnsi="Abadi" w:cs="ArialMT"/>
          <w:sz w:val="21"/>
          <w:szCs w:val="21"/>
        </w:rPr>
      </w:pPr>
      <w:r>
        <w:rPr>
          <w:rFonts w:ascii="Abadi" w:hAnsi="Abadi" w:cs="ArialMT"/>
          <w:sz w:val="21"/>
          <w:szCs w:val="21"/>
        </w:rPr>
        <w:t xml:space="preserve">- </w:t>
      </w:r>
      <w:r w:rsidR="003172B8" w:rsidRPr="00366FFB">
        <w:rPr>
          <w:rFonts w:ascii="Abadi" w:hAnsi="Abadi" w:cs="ArialMT"/>
          <w:sz w:val="21"/>
          <w:szCs w:val="21"/>
        </w:rPr>
        <w:t>Sí. Muy Buenos días a todas y a todos a las y los jóvenes que nos están acompañando en este Congreso que vienen de distintos Municipios muchísimas gracias bienvenidos ese es su Congreso, también a los amigos, comerciantes que estoy bienvenidos de verdad a todos los medios de comunicación muchísimas gracias también por dar cobertura a todos los trabaos que hacemos aquí  a mis compañeras y compañeros diputados, buenos días que gusto me da saludarlos y sobre todo a mis compañeras que hacen esta flamante  Mesa Directiva, dirigida por puras mujeres. Gracias.</w:t>
      </w:r>
    </w:p>
    <w:p w14:paraId="2B5B7DF2" w14:textId="77777777" w:rsidR="003172B8" w:rsidRPr="00366FFB" w:rsidRDefault="003172B8" w:rsidP="003172B8">
      <w:pPr>
        <w:autoSpaceDE w:val="0"/>
        <w:autoSpaceDN w:val="0"/>
        <w:adjustRightInd w:val="0"/>
        <w:jc w:val="both"/>
        <w:rPr>
          <w:rFonts w:ascii="Abadi" w:hAnsi="Abadi" w:cs="ArialMT"/>
          <w:sz w:val="21"/>
          <w:szCs w:val="21"/>
        </w:rPr>
      </w:pPr>
    </w:p>
    <w:p w14:paraId="3797B7F2" w14:textId="6A22F749"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-Con el permiso de la Presidencia, compañeras y compañeros diputados. Si quisiéramos expresar de manea sintética los motivos que nos lleva a presentar esta iniciativa de Ley de Educación Superior lo diría de la siguiente manera, es cumplir un compromiso de un presente y un futuro prometedor y lleno de esperanza, para las y los Jóvenes Guanajuatenses a través de la educación, porque la educación ya a lo sabemos es la llave que abre todas las puertas al desarrollo. </w:t>
      </w:r>
    </w:p>
    <w:p w14:paraId="4774B79D" w14:textId="77777777" w:rsidR="003172B8" w:rsidRPr="00366FFB" w:rsidRDefault="003172B8" w:rsidP="003172B8">
      <w:pPr>
        <w:autoSpaceDE w:val="0"/>
        <w:autoSpaceDN w:val="0"/>
        <w:adjustRightInd w:val="0"/>
        <w:jc w:val="both"/>
        <w:rPr>
          <w:rFonts w:ascii="Abadi" w:hAnsi="Abadi" w:cs="ArialMT"/>
          <w:sz w:val="21"/>
          <w:szCs w:val="21"/>
        </w:rPr>
      </w:pPr>
    </w:p>
    <w:p w14:paraId="52787D41" w14:textId="3D51CE6B"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-Durante la campaña en nuestro dialogo con la población, escuchamos a la juventud, conocimos sus anhelos de una vida mejor, su demanda de más oportunidades para realizarse como personas y como profesionistas, cumplir estos sueños, pues., necesariamente se debe hacer a través de la educación. </w:t>
      </w:r>
    </w:p>
    <w:p w14:paraId="0668B1F8" w14:textId="77777777" w:rsidR="003172B8" w:rsidRPr="00366FFB" w:rsidRDefault="003172B8" w:rsidP="003172B8">
      <w:pPr>
        <w:autoSpaceDE w:val="0"/>
        <w:autoSpaceDN w:val="0"/>
        <w:adjustRightInd w:val="0"/>
        <w:jc w:val="both"/>
        <w:rPr>
          <w:rFonts w:ascii="Abadi" w:hAnsi="Abadi" w:cs="ArialMT"/>
          <w:sz w:val="21"/>
          <w:szCs w:val="21"/>
        </w:rPr>
      </w:pPr>
    </w:p>
    <w:p w14:paraId="736A053F" w14:textId="7686FB67"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-Por ello, queremos que esta ley sea inspiradora y que también los aliente a las y los jóvenes guanajuatenses pueda cursar su educación superior, y cumpla sus sueños para eso requerimos de una Ley que les proporcione auténticas oportunidades y caminos laterales. Además de ser un derecho humano, la educación es un pasaporte la futuro es la herramienta que nos da acceso </w:t>
      </w:r>
      <w:r w:rsidR="00366FFB" w:rsidRPr="00366FFB">
        <w:rPr>
          <w:rFonts w:ascii="Abadi" w:hAnsi="Abadi" w:cs="ArialMT"/>
          <w:sz w:val="21"/>
          <w:szCs w:val="21"/>
        </w:rPr>
        <w:t>a más</w:t>
      </w:r>
      <w:r w:rsidRPr="00366FFB">
        <w:rPr>
          <w:rFonts w:ascii="Abadi" w:hAnsi="Abadi" w:cs="ArialMT"/>
          <w:sz w:val="21"/>
          <w:szCs w:val="21"/>
        </w:rPr>
        <w:t xml:space="preserve"> y mejore pociones para nuestro desarrollo individual y social. </w:t>
      </w:r>
    </w:p>
    <w:p w14:paraId="30EB2C08" w14:textId="77777777" w:rsidR="003172B8" w:rsidRPr="00366FFB" w:rsidRDefault="003172B8" w:rsidP="003172B8">
      <w:pPr>
        <w:autoSpaceDE w:val="0"/>
        <w:autoSpaceDN w:val="0"/>
        <w:adjustRightInd w:val="0"/>
        <w:jc w:val="both"/>
        <w:rPr>
          <w:rFonts w:ascii="Abadi" w:hAnsi="Abadi" w:cs="ArialMT"/>
          <w:sz w:val="21"/>
          <w:szCs w:val="21"/>
        </w:rPr>
      </w:pPr>
    </w:p>
    <w:p w14:paraId="45582B89" w14:textId="490509B8"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-Desde nuestra función pública tenemos la gran responsabilidad de responder a la confianza ciudadano y dar los pasos necesarios para que los y las ciudadano guanajuatenses, pueda alcanzar sus aspiraciones.</w:t>
      </w:r>
    </w:p>
    <w:p w14:paraId="6152B760" w14:textId="77777777" w:rsidR="003172B8" w:rsidRPr="00366FFB" w:rsidRDefault="003172B8" w:rsidP="003172B8">
      <w:pPr>
        <w:autoSpaceDE w:val="0"/>
        <w:autoSpaceDN w:val="0"/>
        <w:adjustRightInd w:val="0"/>
        <w:jc w:val="both"/>
        <w:rPr>
          <w:rFonts w:ascii="Abadi" w:hAnsi="Abadi" w:cs="ArialMT"/>
          <w:sz w:val="21"/>
          <w:szCs w:val="21"/>
        </w:rPr>
      </w:pPr>
    </w:p>
    <w:p w14:paraId="628B051A" w14:textId="5EC7A341"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-Hoy con la presente iniciativa, estamos dando el primer paso hacia Tener. Habilidad de responder a la confianza ciudadana. Potencias. Alcanzar sus aspiraciones. Queremos lograr que las y los jóvenes tengan acceso a una educación superior de calidad, innovadora con visión de futuro y que les abr a la puerta para su desarrollo integral.</w:t>
      </w:r>
    </w:p>
    <w:p w14:paraId="2BCEEF80" w14:textId="77777777" w:rsidR="003172B8" w:rsidRPr="00366FFB" w:rsidRDefault="003172B8" w:rsidP="003172B8">
      <w:pPr>
        <w:autoSpaceDE w:val="0"/>
        <w:autoSpaceDN w:val="0"/>
        <w:adjustRightInd w:val="0"/>
        <w:jc w:val="both"/>
        <w:rPr>
          <w:rFonts w:ascii="Abadi" w:hAnsi="Abadi" w:cs="ArialMT"/>
          <w:sz w:val="21"/>
          <w:szCs w:val="21"/>
        </w:rPr>
      </w:pPr>
    </w:p>
    <w:p w14:paraId="0A4FAA96" w14:textId="3BCEEAC0"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-Que proponemos en la iniciativa responder a los retos del presente y los del futuro equipar a los jóvenes con conocimientos pertinente que los fortalezca eficazmente a un mundo cada vez más competido, queremos  generar en conjunto con la comunidad educativa  y en vinculación con el sector productivo un modelo de educación superior, que permita a los estudiantes contar con opciones de trabajo  incluso antes de que concluyan sus estudio, esto les ayudara  a generar ingresos y ser aun </w:t>
      </w:r>
      <w:r w:rsidR="00366FFB" w:rsidRPr="00366FFB">
        <w:rPr>
          <w:rFonts w:ascii="Abadi" w:hAnsi="Abadi" w:cs="ArialMT"/>
          <w:sz w:val="21"/>
          <w:szCs w:val="21"/>
        </w:rPr>
        <w:t>estímulo</w:t>
      </w:r>
      <w:r w:rsidRPr="00366FFB">
        <w:rPr>
          <w:rFonts w:ascii="Abadi" w:hAnsi="Abadi" w:cs="ArialMT"/>
          <w:sz w:val="21"/>
          <w:szCs w:val="21"/>
        </w:rPr>
        <w:t xml:space="preserve"> para continuar con su formación profesional, un modelo educativo flexible que reconozca a través de equivalencias las competencias y habilidades adquiridas  así como cursos autogestivos y otros conocimientos y que cuenten con esta salida laterales que validen todos los aprendizajes obtenidos en su proceso formativo, una educación superior con visión de futuro que asuman el pensamiento disruptivo y reconozca el valor de la innovación de la construcción de mejor escenarios para el desarrollo.</w:t>
      </w:r>
    </w:p>
    <w:p w14:paraId="1A5CDF46" w14:textId="77777777" w:rsidR="003172B8" w:rsidRPr="00366FFB" w:rsidRDefault="003172B8" w:rsidP="003172B8">
      <w:pPr>
        <w:autoSpaceDE w:val="0"/>
        <w:autoSpaceDN w:val="0"/>
        <w:adjustRightInd w:val="0"/>
        <w:jc w:val="both"/>
        <w:rPr>
          <w:rFonts w:ascii="Abadi" w:hAnsi="Abadi" w:cs="ArialMT"/>
          <w:sz w:val="21"/>
          <w:szCs w:val="21"/>
        </w:rPr>
      </w:pPr>
    </w:p>
    <w:p w14:paraId="2D5004CD" w14:textId="1B872F0C"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-Esto es una educación que avance al siguiente nivel y fomente el emprendedurismo la innovación y la mente factura. </w:t>
      </w:r>
    </w:p>
    <w:p w14:paraId="2C24B0BC" w14:textId="77777777" w:rsidR="003172B8" w:rsidRPr="00366FFB" w:rsidRDefault="003172B8" w:rsidP="003172B8">
      <w:pPr>
        <w:autoSpaceDE w:val="0"/>
        <w:autoSpaceDN w:val="0"/>
        <w:adjustRightInd w:val="0"/>
        <w:jc w:val="both"/>
        <w:rPr>
          <w:rFonts w:ascii="Abadi" w:hAnsi="Abadi" w:cs="ArialMT"/>
          <w:sz w:val="21"/>
          <w:szCs w:val="21"/>
        </w:rPr>
      </w:pPr>
    </w:p>
    <w:p w14:paraId="71D4EACF" w14:textId="7A4CE517"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-Un modelo que promueva la investigación básica, y aplicada, las alianzas público-privadas para el desarrollo de la ciencia y la tecnología peor además buscamos una educación superior que despierte compromiso y ayude a las y los jóvenes a insertarse en sus comunidades para que sean agentes de cambio de impulsores en el empoderamiento comunitario.</w:t>
      </w:r>
    </w:p>
    <w:p w14:paraId="72FD9DDC" w14:textId="77777777" w:rsidR="00366FFB" w:rsidRPr="00366FFB" w:rsidRDefault="00366FFB" w:rsidP="003172B8">
      <w:pPr>
        <w:autoSpaceDE w:val="0"/>
        <w:autoSpaceDN w:val="0"/>
        <w:adjustRightInd w:val="0"/>
        <w:jc w:val="both"/>
        <w:rPr>
          <w:rFonts w:ascii="Abadi" w:hAnsi="Abadi" w:cs="ArialMT"/>
          <w:sz w:val="21"/>
          <w:szCs w:val="21"/>
        </w:rPr>
      </w:pPr>
    </w:p>
    <w:p w14:paraId="10410C33" w14:textId="79B07797"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-Una educación superior que nunca pierda el respeto a los derechos de las personas y asuma el compromiso de la inclusión la no discriminación la generación de espacios libres se violencia y una operación sustentable.</w:t>
      </w:r>
    </w:p>
    <w:p w14:paraId="01E8E5E1" w14:textId="77777777" w:rsidR="003172B8" w:rsidRPr="00366FFB" w:rsidRDefault="003172B8" w:rsidP="003172B8">
      <w:pPr>
        <w:autoSpaceDE w:val="0"/>
        <w:autoSpaceDN w:val="0"/>
        <w:adjustRightInd w:val="0"/>
        <w:jc w:val="both"/>
        <w:rPr>
          <w:rFonts w:ascii="Abadi" w:hAnsi="Abadi" w:cs="ArialMT"/>
          <w:sz w:val="21"/>
          <w:szCs w:val="21"/>
        </w:rPr>
      </w:pPr>
    </w:p>
    <w:p w14:paraId="2A7DC3E4" w14:textId="724AC123"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-La propuesta que presentamos también reconoce la obligatoriedad del estado en materia de educación superior y su vínculo con la gratuidad para tener suficiencia presupuestal habrá que promover convenios anuales con la colaboración a din de garantizar la operación de las instituciones públicas de educación superior  a la vez generar esquemas que permitan incrementar las becas para estudiantes a estudiantes en las universidades privadas a así como mecanismos para que las instituciones públicas pueda recibir donativos. </w:t>
      </w:r>
    </w:p>
    <w:p w14:paraId="02B876C1" w14:textId="77777777" w:rsidR="003172B8" w:rsidRPr="00366FFB" w:rsidRDefault="003172B8" w:rsidP="003172B8">
      <w:pPr>
        <w:autoSpaceDE w:val="0"/>
        <w:autoSpaceDN w:val="0"/>
        <w:adjustRightInd w:val="0"/>
        <w:jc w:val="both"/>
        <w:rPr>
          <w:rFonts w:ascii="Abadi" w:hAnsi="Abadi" w:cs="ArialMT"/>
          <w:sz w:val="21"/>
          <w:szCs w:val="21"/>
        </w:rPr>
      </w:pPr>
    </w:p>
    <w:p w14:paraId="35D0C09E" w14:textId="11E354F2"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-Un tema complejo sin duda, pero si es posible si todas y todos sumamos propuestas y esfuerzos, la nueva ley que estamos proponiendo es una ley de avanzada que responde a los retos del presente y del futuro, y asume a participación de os jóvenes en un mundo global para fraseando un poco lo que comentaba el gobernador al proponer la internacionalización de la educción, estamos impulsando más Guanajuato en el mundo, sabiendo que cuando estos estudiantes regresen a casa, tenderemos más mundo en Guanajuato y por su puesto un beneficio multiplicado.</w:t>
      </w:r>
    </w:p>
    <w:p w14:paraId="593E7C83" w14:textId="77777777" w:rsidR="003172B8" w:rsidRPr="00366FFB" w:rsidRDefault="003172B8" w:rsidP="003172B8">
      <w:pPr>
        <w:autoSpaceDE w:val="0"/>
        <w:autoSpaceDN w:val="0"/>
        <w:adjustRightInd w:val="0"/>
        <w:jc w:val="both"/>
        <w:rPr>
          <w:rFonts w:ascii="Abadi" w:hAnsi="Abadi" w:cs="ArialMT"/>
          <w:sz w:val="21"/>
          <w:szCs w:val="21"/>
        </w:rPr>
      </w:pPr>
    </w:p>
    <w:p w14:paraId="247A4F7B" w14:textId="77EE4AAE"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-Desde ahora les invito a todas y todos compañeros legisladores a participar en el análisis de esta iniciativa y a sumar sus aportaciones en benéfico de la juventud guanajuatense </w:t>
      </w:r>
    </w:p>
    <w:p w14:paraId="0BB3F5A4" w14:textId="77777777" w:rsidR="003172B8" w:rsidRPr="00366FFB" w:rsidRDefault="003172B8" w:rsidP="003172B8">
      <w:pPr>
        <w:autoSpaceDE w:val="0"/>
        <w:autoSpaceDN w:val="0"/>
        <w:adjustRightInd w:val="0"/>
        <w:jc w:val="both"/>
        <w:rPr>
          <w:rFonts w:ascii="Abadi" w:hAnsi="Abadi" w:cs="ArialMT"/>
          <w:sz w:val="21"/>
          <w:szCs w:val="21"/>
        </w:rPr>
      </w:pPr>
    </w:p>
    <w:p w14:paraId="0347F29C" w14:textId="2BE89174"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-De conformidad con nuestro artículo 109 de nuestra Ley Orgánica del Poder Legislativo, señalamos que de aprobarse la presente iniciativa, contara con los siguientes impactos:</w:t>
      </w:r>
    </w:p>
    <w:p w14:paraId="1420DC9F" w14:textId="77777777" w:rsidR="003172B8" w:rsidRPr="00366FFB" w:rsidRDefault="003172B8" w:rsidP="003172B8">
      <w:pPr>
        <w:autoSpaceDE w:val="0"/>
        <w:autoSpaceDN w:val="0"/>
        <w:adjustRightInd w:val="0"/>
        <w:jc w:val="both"/>
        <w:rPr>
          <w:rFonts w:ascii="Abadi" w:hAnsi="Abadi" w:cs="ArialMT"/>
          <w:sz w:val="21"/>
          <w:szCs w:val="21"/>
        </w:rPr>
      </w:pPr>
    </w:p>
    <w:p w14:paraId="7A3304BD" w14:textId="4BBC6C32"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-Impacto Jurídico, de aprobarse la presente iniciativa, se contará con un marco legal de actuación a la vanguardia para la coordinación y el fomento de la Educación Superior del Estado de Guanajuato. </w:t>
      </w:r>
    </w:p>
    <w:p w14:paraId="168F88FE" w14:textId="77777777" w:rsidR="003172B8" w:rsidRPr="00366FFB" w:rsidRDefault="003172B8" w:rsidP="003172B8">
      <w:pPr>
        <w:autoSpaceDE w:val="0"/>
        <w:autoSpaceDN w:val="0"/>
        <w:adjustRightInd w:val="0"/>
        <w:jc w:val="both"/>
        <w:rPr>
          <w:rFonts w:ascii="Abadi" w:hAnsi="Abadi" w:cs="ArialMT"/>
          <w:sz w:val="21"/>
          <w:szCs w:val="21"/>
        </w:rPr>
      </w:pPr>
    </w:p>
    <w:p w14:paraId="1249BE1A" w14:textId="6C7F3177"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-Impacto administrativo del ordenamiento jurídico, se propone se desprenderán nuevas estructuras y relaciones colaboración. Interinstitucionales para la implantación de la política Estatal de Educación Superior.</w:t>
      </w:r>
    </w:p>
    <w:p w14:paraId="66998DFA" w14:textId="77777777" w:rsidR="003172B8" w:rsidRPr="00366FFB" w:rsidRDefault="003172B8" w:rsidP="003172B8">
      <w:pPr>
        <w:autoSpaceDE w:val="0"/>
        <w:autoSpaceDN w:val="0"/>
        <w:adjustRightInd w:val="0"/>
        <w:jc w:val="both"/>
        <w:rPr>
          <w:rFonts w:ascii="Abadi" w:hAnsi="Abadi" w:cs="ArialMT"/>
          <w:sz w:val="21"/>
          <w:szCs w:val="21"/>
        </w:rPr>
      </w:pPr>
    </w:p>
    <w:p w14:paraId="320EA42B" w14:textId="27F0B758"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-Impacto presupuestario, de conformidad con el artículo quinto transitorio de la Ley General de Educación Superior, se establece el principio de progresividad en el tránsito a la obligatoriedad y por consecuencia la gratuidad de la educación superior, por lo que en el momento de fijar la metodología de análisis, se solicitara localizar loa lineamientos del fondo federal especial para la obligatoriedad y gratuidad de la educación superior. </w:t>
      </w:r>
    </w:p>
    <w:p w14:paraId="58B680FC" w14:textId="77777777" w:rsidR="003172B8" w:rsidRPr="00366FFB" w:rsidRDefault="003172B8" w:rsidP="003172B8">
      <w:pPr>
        <w:autoSpaceDE w:val="0"/>
        <w:autoSpaceDN w:val="0"/>
        <w:adjustRightInd w:val="0"/>
        <w:jc w:val="both"/>
        <w:rPr>
          <w:rFonts w:ascii="Abadi" w:hAnsi="Abadi" w:cs="ArialMT"/>
          <w:sz w:val="21"/>
          <w:szCs w:val="21"/>
        </w:rPr>
      </w:pPr>
    </w:p>
    <w:p w14:paraId="76BCCC5A" w14:textId="18609D79" w:rsidR="003172B8"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-Impacto social, con la iniciativa se pretende disminuir las desigualdades en cuanto a las posibilidades de acceso y calidad de la educación superior para todas las personas.</w:t>
      </w:r>
    </w:p>
    <w:p w14:paraId="4D85D750" w14:textId="77777777" w:rsidR="00366FFB" w:rsidRPr="00366FFB" w:rsidRDefault="00366FFB" w:rsidP="003172B8">
      <w:pPr>
        <w:autoSpaceDE w:val="0"/>
        <w:autoSpaceDN w:val="0"/>
        <w:adjustRightInd w:val="0"/>
        <w:jc w:val="both"/>
        <w:rPr>
          <w:rFonts w:ascii="Abadi" w:hAnsi="Abadi" w:cs="ArialMT"/>
          <w:sz w:val="21"/>
          <w:szCs w:val="21"/>
        </w:rPr>
      </w:pPr>
    </w:p>
    <w:p w14:paraId="43F88484" w14:textId="1C3F1AD5"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xml:space="preserve">-En lo que respecta a la alineación de la presente iniciativa con la Agenda 2030 de las Naciones Unidas, para el desarrollo sostenible, consideramos que la presente propuesta coadyuba con el objetivo Q4, que es educación de calidad, particular en la meta 4.3, que corresponde a asegurar el acceso en condiciones de igualdad la para todos los hombres y las mujeres, a la formación técnica. Profesional y superior de calidad incluida la enseñanza universitaria. </w:t>
      </w:r>
    </w:p>
    <w:p w14:paraId="3BF5284F" w14:textId="77777777" w:rsidR="003172B8" w:rsidRPr="00366FFB" w:rsidRDefault="003172B8" w:rsidP="003172B8">
      <w:pPr>
        <w:autoSpaceDE w:val="0"/>
        <w:autoSpaceDN w:val="0"/>
        <w:adjustRightInd w:val="0"/>
        <w:jc w:val="both"/>
        <w:rPr>
          <w:rFonts w:ascii="Abadi" w:hAnsi="Abadi" w:cs="ArialMT"/>
          <w:sz w:val="21"/>
          <w:szCs w:val="21"/>
        </w:rPr>
      </w:pPr>
    </w:p>
    <w:p w14:paraId="3000A47B" w14:textId="47182AC0" w:rsidR="003172B8" w:rsidRPr="00366FFB" w:rsidRDefault="003172B8" w:rsidP="003172B8">
      <w:pPr>
        <w:autoSpaceDE w:val="0"/>
        <w:autoSpaceDN w:val="0"/>
        <w:adjustRightInd w:val="0"/>
        <w:jc w:val="both"/>
        <w:rPr>
          <w:rFonts w:ascii="Abadi" w:hAnsi="Abadi" w:cs="ArialMT"/>
          <w:sz w:val="21"/>
          <w:szCs w:val="21"/>
        </w:rPr>
      </w:pPr>
      <w:r w:rsidRPr="00366FFB">
        <w:rPr>
          <w:rFonts w:ascii="Abadi" w:hAnsi="Abadi" w:cs="ArialMT"/>
          <w:sz w:val="21"/>
          <w:szCs w:val="21"/>
        </w:rPr>
        <w:t>- Por lo anterior, por lo anteriormente expuesto a nombre de mi Grupo Parlamentario del Partido Acción Nacional me permito someter a la consideración de esta Asamblea Legislativa, el siguiente proyecto de Decreto.</w:t>
      </w:r>
    </w:p>
    <w:p w14:paraId="052CEF9B" w14:textId="77777777" w:rsidR="003172B8" w:rsidRPr="00366FFB" w:rsidRDefault="003172B8" w:rsidP="003172B8">
      <w:pPr>
        <w:autoSpaceDE w:val="0"/>
        <w:autoSpaceDN w:val="0"/>
        <w:adjustRightInd w:val="0"/>
        <w:jc w:val="both"/>
        <w:rPr>
          <w:rFonts w:ascii="Abadi" w:hAnsi="Abadi" w:cs="ArialMT"/>
          <w:sz w:val="21"/>
          <w:szCs w:val="21"/>
        </w:rPr>
      </w:pPr>
    </w:p>
    <w:p w14:paraId="75F8CF26" w14:textId="6751EA9D" w:rsidR="003172B8" w:rsidRDefault="007F2B22" w:rsidP="003172B8">
      <w:pPr>
        <w:autoSpaceDE w:val="0"/>
        <w:autoSpaceDN w:val="0"/>
        <w:adjustRightInd w:val="0"/>
        <w:jc w:val="both"/>
        <w:rPr>
          <w:rFonts w:ascii="Abadi" w:hAnsi="Abadi" w:cs="ArialMT"/>
          <w:sz w:val="21"/>
          <w:szCs w:val="21"/>
        </w:rPr>
      </w:pPr>
      <w:r>
        <w:rPr>
          <w:rFonts w:ascii="Abadi" w:hAnsi="Abadi" w:cs="ArialMT"/>
          <w:sz w:val="21"/>
          <w:szCs w:val="21"/>
        </w:rPr>
        <w:t xml:space="preserve">- </w:t>
      </w:r>
      <w:r w:rsidR="003172B8" w:rsidRPr="007F2B22">
        <w:rPr>
          <w:rFonts w:ascii="Abadi" w:hAnsi="Abadi" w:cs="ArialMT"/>
          <w:sz w:val="21"/>
          <w:szCs w:val="21"/>
        </w:rPr>
        <w:t xml:space="preserve">Muchas </w:t>
      </w:r>
      <w:r w:rsidRPr="007F2B22">
        <w:rPr>
          <w:rFonts w:ascii="Abadi" w:hAnsi="Abadi" w:cs="ArialMT"/>
          <w:sz w:val="21"/>
          <w:szCs w:val="21"/>
        </w:rPr>
        <w:t>g</w:t>
      </w:r>
      <w:r w:rsidR="003172B8" w:rsidRPr="007F2B22">
        <w:rPr>
          <w:rFonts w:ascii="Abadi" w:hAnsi="Abadi" w:cs="ArialMT"/>
          <w:sz w:val="21"/>
          <w:szCs w:val="21"/>
        </w:rPr>
        <w:t>racias a todas y a todos.</w:t>
      </w:r>
    </w:p>
    <w:p w14:paraId="4CA279CD" w14:textId="1027957A" w:rsidR="009F5B18" w:rsidRPr="009F5B18" w:rsidRDefault="009F5B18" w:rsidP="003172B8">
      <w:pPr>
        <w:autoSpaceDE w:val="0"/>
        <w:autoSpaceDN w:val="0"/>
        <w:adjustRightInd w:val="0"/>
        <w:jc w:val="both"/>
        <w:rPr>
          <w:rFonts w:ascii="Abadi" w:hAnsi="Abadi" w:cs="ArialMT"/>
          <w:sz w:val="21"/>
          <w:szCs w:val="21"/>
        </w:rPr>
      </w:pPr>
    </w:p>
    <w:p w14:paraId="22700806" w14:textId="02A5E934" w:rsidR="009F5B18" w:rsidRPr="009F5B18" w:rsidRDefault="00DF385D" w:rsidP="00792978">
      <w:pPr>
        <w:ind w:firstLine="708"/>
        <w:jc w:val="both"/>
        <w:rPr>
          <w:rFonts w:ascii="Abadi" w:hAnsi="Abadi"/>
          <w:sz w:val="21"/>
          <w:szCs w:val="21"/>
        </w:rPr>
      </w:pPr>
      <w:r>
        <w:rPr>
          <w:rFonts w:ascii="Abadi" w:hAnsi="Abadi"/>
          <w:b/>
          <w:bCs/>
          <w:sz w:val="21"/>
          <w:szCs w:val="21"/>
        </w:rPr>
        <w:t xml:space="preserve">- </w:t>
      </w:r>
      <w:r w:rsidR="009F5B18" w:rsidRPr="009F5B18">
        <w:rPr>
          <w:rFonts w:ascii="Abadi" w:hAnsi="Abadi"/>
          <w:b/>
          <w:bCs/>
          <w:sz w:val="21"/>
          <w:szCs w:val="21"/>
        </w:rPr>
        <w:t>La Presidencia.-</w:t>
      </w:r>
      <w:r w:rsidR="009F5B18" w:rsidRPr="009F5B18">
        <w:rPr>
          <w:rFonts w:ascii="Abadi" w:hAnsi="Abadi"/>
          <w:sz w:val="21"/>
          <w:szCs w:val="21"/>
        </w:rPr>
        <w:t xml:space="preserve"> Muchas gracias diputado.</w:t>
      </w:r>
    </w:p>
    <w:p w14:paraId="5D9AB7F1" w14:textId="77777777" w:rsidR="00DF385D" w:rsidRDefault="009F5B18" w:rsidP="009F5B18">
      <w:pPr>
        <w:ind w:left="284" w:right="758"/>
        <w:jc w:val="both"/>
        <w:rPr>
          <w:rFonts w:ascii="Abadi" w:hAnsi="Abadi"/>
          <w:b/>
          <w:bCs/>
          <w:i/>
          <w:iCs/>
          <w:sz w:val="21"/>
          <w:szCs w:val="21"/>
          <w:u w:val="single"/>
        </w:rPr>
      </w:pPr>
      <w:r w:rsidRPr="009F5B18">
        <w:rPr>
          <w:rFonts w:ascii="Abadi" w:hAnsi="Abadi"/>
          <w:b/>
          <w:bCs/>
          <w:i/>
          <w:iCs/>
          <w:sz w:val="21"/>
          <w:szCs w:val="21"/>
          <w:u w:val="single"/>
        </w:rPr>
        <w:t xml:space="preserve"> </w:t>
      </w:r>
    </w:p>
    <w:p w14:paraId="3EF0967C" w14:textId="14DC2C43" w:rsidR="009F5B18" w:rsidRPr="009F5B18" w:rsidRDefault="009F5B18" w:rsidP="00DF385D">
      <w:pPr>
        <w:ind w:left="284" w:right="283"/>
        <w:jc w:val="both"/>
        <w:rPr>
          <w:rFonts w:ascii="Abadi" w:hAnsi="Abadi"/>
          <w:b/>
          <w:bCs/>
          <w:i/>
          <w:iCs/>
          <w:sz w:val="21"/>
          <w:szCs w:val="21"/>
          <w:u w:val="single"/>
        </w:rPr>
      </w:pPr>
      <w:r w:rsidRPr="009F5B18">
        <w:rPr>
          <w:rFonts w:ascii="Abadi" w:hAnsi="Abadi"/>
          <w:b/>
          <w:bCs/>
          <w:i/>
          <w:iCs/>
          <w:sz w:val="21"/>
          <w:szCs w:val="21"/>
          <w:u w:val="single"/>
        </w:rPr>
        <w:t xml:space="preserve">Con fundamento en el artículo 109, fracción I de nuestra Ley Orgánica se turna a la Comisión de Educación, Ciencia, Tecnología y Cultura para su estudio y dictamen. </w:t>
      </w:r>
    </w:p>
    <w:p w14:paraId="57B6C566" w14:textId="77777777" w:rsidR="009F5B18" w:rsidRPr="007F2B22" w:rsidRDefault="009F5B18" w:rsidP="003172B8">
      <w:pPr>
        <w:autoSpaceDE w:val="0"/>
        <w:autoSpaceDN w:val="0"/>
        <w:adjustRightInd w:val="0"/>
        <w:jc w:val="both"/>
        <w:rPr>
          <w:rFonts w:ascii="Abadi" w:hAnsi="Abadi" w:cs="ArialMT"/>
          <w:sz w:val="21"/>
          <w:szCs w:val="21"/>
        </w:rPr>
      </w:pPr>
    </w:p>
    <w:p w14:paraId="58B517F4" w14:textId="77777777" w:rsidR="007F2B22" w:rsidRDefault="007F2B22" w:rsidP="007F2B22">
      <w:pPr>
        <w:jc w:val="both"/>
        <w:rPr>
          <w:rFonts w:ascii="Abadi" w:hAnsi="Abadi" w:cs="ArialMT"/>
          <w:sz w:val="21"/>
          <w:szCs w:val="21"/>
        </w:rPr>
      </w:pPr>
    </w:p>
    <w:p w14:paraId="247ACE68" w14:textId="5537B77D" w:rsidR="007F2B22" w:rsidRDefault="007F2B22" w:rsidP="007F2B22">
      <w:pPr>
        <w:ind w:firstLine="708"/>
        <w:jc w:val="both"/>
        <w:rPr>
          <w:rFonts w:ascii="Abadi" w:hAnsi="Abadi"/>
          <w:sz w:val="21"/>
          <w:szCs w:val="21"/>
        </w:rPr>
      </w:pPr>
      <w:r>
        <w:rPr>
          <w:rFonts w:ascii="Abadi" w:hAnsi="Abadi" w:cs="ArialMT"/>
          <w:b/>
          <w:bCs/>
          <w:sz w:val="21"/>
          <w:szCs w:val="21"/>
        </w:rPr>
        <w:t xml:space="preserve">- </w:t>
      </w:r>
      <w:r w:rsidRPr="007F2B22">
        <w:rPr>
          <w:rFonts w:ascii="Abadi" w:hAnsi="Abadi" w:cs="ArialMT"/>
          <w:b/>
          <w:bCs/>
          <w:sz w:val="21"/>
          <w:szCs w:val="21"/>
        </w:rPr>
        <w:t>La Presidencia.-</w:t>
      </w:r>
      <w:r>
        <w:rPr>
          <w:rFonts w:ascii="Abadi" w:hAnsi="Abadi" w:cs="ArialMT"/>
          <w:sz w:val="21"/>
          <w:szCs w:val="21"/>
        </w:rPr>
        <w:t xml:space="preserve"> </w:t>
      </w:r>
      <w:r w:rsidRPr="007F2B22">
        <w:rPr>
          <w:rFonts w:ascii="Abadi" w:hAnsi="Abadi"/>
          <w:sz w:val="21"/>
          <w:szCs w:val="21"/>
        </w:rPr>
        <w:t>Quiero dar la bienvenida a la diputada Lilia Margarita Ronda Salas que se incorpora aquí al Pleno,  diputada bienvenida.</w:t>
      </w:r>
    </w:p>
    <w:p w14:paraId="2C49C3E3" w14:textId="77777777" w:rsidR="007F2B22" w:rsidRDefault="007F2B22" w:rsidP="007F2B22">
      <w:pPr>
        <w:jc w:val="both"/>
        <w:rPr>
          <w:rFonts w:ascii="Abadi" w:hAnsi="Abadi"/>
          <w:sz w:val="21"/>
          <w:szCs w:val="21"/>
        </w:rPr>
      </w:pPr>
    </w:p>
    <w:p w14:paraId="24297495" w14:textId="5B9E37D3" w:rsidR="007F2B22" w:rsidRPr="007F2B22" w:rsidRDefault="007F2B22" w:rsidP="007F2B22">
      <w:pPr>
        <w:ind w:firstLine="708"/>
        <w:jc w:val="both"/>
        <w:rPr>
          <w:rFonts w:ascii="Abadi" w:hAnsi="Abadi"/>
          <w:sz w:val="21"/>
          <w:szCs w:val="21"/>
        </w:rPr>
      </w:pPr>
      <w:r>
        <w:rPr>
          <w:rFonts w:ascii="Abadi" w:hAnsi="Abadi"/>
          <w:sz w:val="21"/>
          <w:szCs w:val="21"/>
        </w:rPr>
        <w:t xml:space="preserve">- </w:t>
      </w:r>
      <w:r w:rsidRPr="007F2B22">
        <w:rPr>
          <w:rFonts w:ascii="Abadi" w:hAnsi="Abadi"/>
          <w:sz w:val="21"/>
          <w:szCs w:val="21"/>
        </w:rPr>
        <w:t>También le doy la bienvenida a la diputada Alma Edwviges Alcaraz Hernández, quien también se incorpora aquí a este Pleno, muchas gracias bienvenida.</w:t>
      </w:r>
    </w:p>
    <w:p w14:paraId="656A4168" w14:textId="77777777" w:rsidR="007F2B22" w:rsidRPr="007F2B22" w:rsidRDefault="007F2B22" w:rsidP="007F2B22">
      <w:pPr>
        <w:jc w:val="both"/>
        <w:rPr>
          <w:rFonts w:ascii="Abadi" w:hAnsi="Abadi"/>
          <w:sz w:val="21"/>
          <w:szCs w:val="21"/>
        </w:rPr>
      </w:pPr>
    </w:p>
    <w:p w14:paraId="385C2559" w14:textId="1D853877" w:rsidR="007F2B22" w:rsidRPr="007F2B22" w:rsidRDefault="007F2B22" w:rsidP="00792978">
      <w:pPr>
        <w:ind w:firstLine="708"/>
        <w:jc w:val="both"/>
        <w:rPr>
          <w:rFonts w:ascii="Abadi" w:hAnsi="Abadi"/>
          <w:sz w:val="21"/>
          <w:szCs w:val="21"/>
        </w:rPr>
      </w:pPr>
      <w:r>
        <w:rPr>
          <w:rFonts w:ascii="Abadi" w:hAnsi="Abadi"/>
          <w:sz w:val="21"/>
          <w:szCs w:val="21"/>
        </w:rPr>
        <w:t xml:space="preserve">- </w:t>
      </w:r>
      <w:r w:rsidRPr="007F2B22">
        <w:rPr>
          <w:rFonts w:ascii="Abadi" w:hAnsi="Abadi"/>
          <w:sz w:val="21"/>
          <w:szCs w:val="21"/>
        </w:rPr>
        <w:t>Y aprovecho también aprovecho también que esa presidencia le damos la más cordial bienvenida a la Unión de Comerciantes de la Línea Fuego de León, Guanajuato, invitados por la diputada Laura Cristina Márquez Alcalá, bienvenidos.</w:t>
      </w:r>
    </w:p>
    <w:p w14:paraId="77200632" w14:textId="77777777" w:rsidR="007F2B22" w:rsidRPr="007F2B22" w:rsidRDefault="007F2B22" w:rsidP="003172B8">
      <w:pPr>
        <w:autoSpaceDE w:val="0"/>
        <w:autoSpaceDN w:val="0"/>
        <w:adjustRightInd w:val="0"/>
        <w:jc w:val="both"/>
        <w:rPr>
          <w:rFonts w:ascii="Abadi" w:hAnsi="Abadi" w:cs="ArialMT"/>
          <w:sz w:val="21"/>
          <w:szCs w:val="21"/>
        </w:rPr>
      </w:pPr>
    </w:p>
    <w:p w14:paraId="4C26C111" w14:textId="711EB00E" w:rsidR="00F2201D" w:rsidRDefault="00F2201D" w:rsidP="00F2201D">
      <w:pPr>
        <w:autoSpaceDE w:val="0"/>
        <w:autoSpaceDN w:val="0"/>
        <w:adjustRightInd w:val="0"/>
        <w:jc w:val="both"/>
        <w:rPr>
          <w:rFonts w:ascii="Abadi" w:hAnsi="Abadi" w:cs="ArialMT"/>
          <w:b/>
          <w:bCs/>
          <w:sz w:val="20"/>
          <w:szCs w:val="21"/>
        </w:rPr>
      </w:pPr>
    </w:p>
    <w:p w14:paraId="422EFF05" w14:textId="5A0EA5C1"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PRESENTACIÓN DE LA INICIATIVA FORMULADA POR DIPUTADA Y DIPUTADOS INTEGRANTES DEL GRUPO PARLAMENTARIO DEL PARTIDO REVOLUCIONARIO INSTITUCIONAL POR LA QUE SE ADICIONA UN PÁRRAFO AL ARTÍCULO 1 DE LA CONSTITUCIÓN POLÍTICA PARA EL ESTADO DE GUANAJUATO.</w:t>
      </w:r>
    </w:p>
    <w:p w14:paraId="7EF9B41A" w14:textId="2E8BA035" w:rsidR="001C6F96" w:rsidRDefault="001C6F96" w:rsidP="001C6F96">
      <w:pPr>
        <w:autoSpaceDE w:val="0"/>
        <w:autoSpaceDN w:val="0"/>
        <w:adjustRightInd w:val="0"/>
        <w:jc w:val="both"/>
        <w:rPr>
          <w:rFonts w:ascii="Abadi" w:hAnsi="Abadi" w:cs="ArialMT"/>
          <w:b/>
          <w:bCs/>
          <w:sz w:val="20"/>
          <w:szCs w:val="21"/>
        </w:rPr>
      </w:pPr>
    </w:p>
    <w:p w14:paraId="33158DFA" w14:textId="73A1E34B" w:rsidR="001C6F96"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INICIATIVA CON PROYECTO DE DECRETO POR EL QUE SE ADICIONA UN PARRAFO AL ARTICULO 1 DE LA CONSTITUCION POLITICA DEL ESTADO LIBRE Y SOBERANO DE GUANAJUATO, EN MATERIA DEL DERECHO HUMANO A LA SEGURIDAD ALIMENTARIA.</w:t>
      </w:r>
    </w:p>
    <w:p w14:paraId="2499B653" w14:textId="77777777" w:rsidR="003B3767" w:rsidRPr="008A2A2A" w:rsidRDefault="003B3767" w:rsidP="001C6F96">
      <w:pPr>
        <w:autoSpaceDE w:val="0"/>
        <w:autoSpaceDN w:val="0"/>
        <w:adjustRightInd w:val="0"/>
        <w:jc w:val="both"/>
        <w:rPr>
          <w:rFonts w:ascii="Abadi" w:hAnsi="Abadi" w:cs="TrebuchetMS-Bold"/>
          <w:b/>
          <w:bCs/>
          <w:sz w:val="21"/>
          <w:szCs w:val="21"/>
        </w:rPr>
      </w:pPr>
    </w:p>
    <w:p w14:paraId="5CF47B7F"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DIPUTADA IRMA LETICIA GONZÁLEZ SÁNCHEZ</w:t>
      </w:r>
    </w:p>
    <w:p w14:paraId="2A32A283"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PRESIDENTA DE LA MESA DIRECTIVA DE LA</w:t>
      </w:r>
    </w:p>
    <w:p w14:paraId="73913A3A"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LXV LEGISLATURA DEL ESTADO DE GUANAJUATO</w:t>
      </w:r>
    </w:p>
    <w:p w14:paraId="2573BD94"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P R E S E N T E.</w:t>
      </w:r>
    </w:p>
    <w:p w14:paraId="643CB001" w14:textId="77777777" w:rsidR="001C6F96" w:rsidRPr="008A2A2A" w:rsidRDefault="001C6F96" w:rsidP="001C6F96">
      <w:pPr>
        <w:autoSpaceDE w:val="0"/>
        <w:autoSpaceDN w:val="0"/>
        <w:adjustRightInd w:val="0"/>
        <w:jc w:val="both"/>
        <w:rPr>
          <w:rFonts w:ascii="Abadi" w:hAnsi="Abadi" w:cs="TrebuchetMS-Bold"/>
          <w:b/>
          <w:bCs/>
          <w:sz w:val="21"/>
          <w:szCs w:val="21"/>
        </w:rPr>
      </w:pPr>
    </w:p>
    <w:p w14:paraId="0738FD05"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 xml:space="preserve">La suscrita proponente Ruth Noemí Tiscareño Agoitia, Diputada Local a la LXV Legislatura del Estado de Guanajuato y quienes con ella suscriben acompañando la presente, Diputadas y Diputados integrantes del Grupo Parlamentario del Partido Revolucionario Institucional en este Congreso Local, con fundamento en lo dispuesto por la fracción II del artículo 56 de la Constitución Política para el Estado de Guanajuato, así como en el artículo 167, fracción II de la Ley Orgánica del Poder Legislativo del Estado de Guanajuato, someto a su consideración la </w:t>
      </w:r>
      <w:r w:rsidRPr="008A2A2A">
        <w:rPr>
          <w:rFonts w:ascii="Abadi" w:hAnsi="Abadi" w:cs="TrebuchetMS-Bold"/>
          <w:b/>
          <w:bCs/>
          <w:sz w:val="21"/>
          <w:szCs w:val="21"/>
        </w:rPr>
        <w:t xml:space="preserve">Iniciativa por la que se adiciona un párrafo al artículo 1º de la Constitución Política del Estado Libre y Soberano de Guanajuato, </w:t>
      </w:r>
      <w:r w:rsidRPr="008A2A2A">
        <w:rPr>
          <w:rFonts w:ascii="Abadi" w:hAnsi="Abadi" w:cs="TrebuchetMS"/>
          <w:sz w:val="21"/>
          <w:szCs w:val="21"/>
        </w:rPr>
        <w:t>conforme a la siguiente</w:t>
      </w:r>
    </w:p>
    <w:p w14:paraId="304F5673" w14:textId="77777777" w:rsidR="001C6F96" w:rsidRPr="008A2A2A" w:rsidRDefault="001C6F96" w:rsidP="001C6F96">
      <w:pPr>
        <w:autoSpaceDE w:val="0"/>
        <w:autoSpaceDN w:val="0"/>
        <w:adjustRightInd w:val="0"/>
        <w:jc w:val="both"/>
        <w:rPr>
          <w:rFonts w:ascii="Abadi" w:hAnsi="Abadi" w:cs="TrebuchetMS-Bold"/>
          <w:b/>
          <w:bCs/>
          <w:sz w:val="21"/>
          <w:szCs w:val="21"/>
        </w:rPr>
      </w:pPr>
    </w:p>
    <w:p w14:paraId="6EB44501" w14:textId="77777777" w:rsidR="001C6F96" w:rsidRPr="008A2A2A" w:rsidRDefault="001C6F96" w:rsidP="003B3767">
      <w:pPr>
        <w:autoSpaceDE w:val="0"/>
        <w:autoSpaceDN w:val="0"/>
        <w:adjustRightInd w:val="0"/>
        <w:jc w:val="center"/>
        <w:rPr>
          <w:rFonts w:ascii="Abadi" w:hAnsi="Abadi" w:cs="TrebuchetMS-Bold"/>
          <w:b/>
          <w:bCs/>
          <w:sz w:val="21"/>
          <w:szCs w:val="21"/>
        </w:rPr>
      </w:pPr>
      <w:r w:rsidRPr="008A2A2A">
        <w:rPr>
          <w:rFonts w:ascii="Abadi" w:hAnsi="Abadi" w:cs="TrebuchetMS-Bold"/>
          <w:b/>
          <w:bCs/>
          <w:sz w:val="21"/>
          <w:szCs w:val="21"/>
        </w:rPr>
        <w:t>EXPOSICIÓN DE MOTIVOS:</w:t>
      </w:r>
    </w:p>
    <w:p w14:paraId="14C81F4B" w14:textId="77777777" w:rsidR="001C6F96" w:rsidRPr="008A2A2A" w:rsidRDefault="001C6F96" w:rsidP="003B3767">
      <w:pPr>
        <w:autoSpaceDE w:val="0"/>
        <w:autoSpaceDN w:val="0"/>
        <w:adjustRightInd w:val="0"/>
        <w:jc w:val="center"/>
        <w:rPr>
          <w:rFonts w:ascii="Abadi" w:hAnsi="Abadi" w:cs="TrebuchetMS-Bold"/>
          <w:b/>
          <w:bCs/>
          <w:sz w:val="21"/>
          <w:szCs w:val="21"/>
        </w:rPr>
      </w:pPr>
    </w:p>
    <w:p w14:paraId="5C653153" w14:textId="51572A6B"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 xml:space="preserve">Kofi Annan, otrora </w:t>
      </w:r>
      <w:r w:rsidR="00F72934">
        <w:rPr>
          <w:rFonts w:ascii="Abadi" w:hAnsi="Abadi" w:cs="TrebuchetMS"/>
          <w:sz w:val="21"/>
          <w:szCs w:val="21"/>
        </w:rPr>
        <w:t>S</w:t>
      </w:r>
      <w:r w:rsidR="00F72934" w:rsidRPr="008A2A2A">
        <w:rPr>
          <w:rFonts w:ascii="Abadi" w:hAnsi="Abadi" w:cs="TrebuchetMS"/>
          <w:sz w:val="21"/>
          <w:szCs w:val="21"/>
        </w:rPr>
        <w:t xml:space="preserve">ecretario </w:t>
      </w:r>
      <w:r w:rsidR="00F72934">
        <w:rPr>
          <w:rFonts w:ascii="Abadi" w:hAnsi="Abadi" w:cs="TrebuchetMS"/>
          <w:sz w:val="21"/>
          <w:szCs w:val="21"/>
        </w:rPr>
        <w:t>G</w:t>
      </w:r>
      <w:r w:rsidR="00F72934" w:rsidRPr="008A2A2A">
        <w:rPr>
          <w:rFonts w:ascii="Abadi" w:hAnsi="Abadi" w:cs="TrebuchetMS"/>
          <w:sz w:val="21"/>
          <w:szCs w:val="21"/>
        </w:rPr>
        <w:t>eneral</w:t>
      </w:r>
      <w:r w:rsidRPr="008A2A2A">
        <w:rPr>
          <w:rFonts w:ascii="Abadi" w:hAnsi="Abadi" w:cs="TrebuchetMS"/>
          <w:sz w:val="21"/>
          <w:szCs w:val="21"/>
        </w:rPr>
        <w:t xml:space="preserve"> de las Organizaciones Unidas, refirió que “el hambre perpetúa la pobreza al impedir que las personas desarrollen sus potencialidades y contribuyan al progreso de sus sociedades”. </w:t>
      </w:r>
    </w:p>
    <w:p w14:paraId="31221605" w14:textId="77777777" w:rsidR="001C6F96" w:rsidRPr="008A2A2A" w:rsidRDefault="001C6F96" w:rsidP="001C6F96">
      <w:pPr>
        <w:autoSpaceDE w:val="0"/>
        <w:autoSpaceDN w:val="0"/>
        <w:adjustRightInd w:val="0"/>
        <w:jc w:val="both"/>
        <w:rPr>
          <w:rFonts w:ascii="Abadi" w:hAnsi="Abadi" w:cs="TrebuchetMS"/>
          <w:sz w:val="21"/>
          <w:szCs w:val="21"/>
        </w:rPr>
      </w:pPr>
    </w:p>
    <w:p w14:paraId="03B381A1"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Según estimaciones de 2016, 1 de cada 9 personas sufre de hambre crónica, y en 2014 el 12,9 % de la población de los países en desarrollo padecía desnutrición.</w:t>
      </w:r>
    </w:p>
    <w:p w14:paraId="1880BFBA" w14:textId="77777777" w:rsidR="001C6F96" w:rsidRPr="008A2A2A" w:rsidRDefault="001C6F96" w:rsidP="001C6F96">
      <w:pPr>
        <w:jc w:val="both"/>
        <w:rPr>
          <w:rFonts w:ascii="Abadi" w:hAnsi="Abadi" w:cs="TrebuchetMS"/>
          <w:sz w:val="21"/>
          <w:szCs w:val="21"/>
        </w:rPr>
      </w:pPr>
    </w:p>
    <w:p w14:paraId="1E480BED"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Se espera que la demanda de alimentos en el mundo aumente como mínimo en 20 %</w:t>
      </w:r>
    </w:p>
    <w:p w14:paraId="4CFE5645"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durante los próximos 15 años.</w:t>
      </w:r>
    </w:p>
    <w:p w14:paraId="5440605E" w14:textId="77777777" w:rsidR="001C6F96" w:rsidRPr="008A2A2A" w:rsidRDefault="001C6F96" w:rsidP="001C6F96">
      <w:pPr>
        <w:autoSpaceDE w:val="0"/>
        <w:autoSpaceDN w:val="0"/>
        <w:adjustRightInd w:val="0"/>
        <w:jc w:val="both"/>
        <w:rPr>
          <w:rFonts w:ascii="Abadi" w:hAnsi="Abadi" w:cs="TrebuchetMS"/>
          <w:sz w:val="21"/>
          <w:szCs w:val="21"/>
        </w:rPr>
      </w:pPr>
    </w:p>
    <w:p w14:paraId="44BDE50B"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El capital natural se está agotando a tasas sin precedentes y el cambio climático podría provocar una disminución considerable en la producción de alimentos, especialmente en las regiones con mayor inseguridad alimentaria.</w:t>
      </w:r>
    </w:p>
    <w:p w14:paraId="4408AA3E" w14:textId="77777777" w:rsidR="001C6F96" w:rsidRPr="008A2A2A" w:rsidRDefault="001C6F96" w:rsidP="001C6F96">
      <w:pPr>
        <w:autoSpaceDE w:val="0"/>
        <w:autoSpaceDN w:val="0"/>
        <w:adjustRightInd w:val="0"/>
        <w:jc w:val="both"/>
        <w:rPr>
          <w:rFonts w:ascii="Abadi" w:hAnsi="Abadi" w:cs="TrebuchetMS"/>
          <w:sz w:val="21"/>
          <w:szCs w:val="21"/>
        </w:rPr>
      </w:pPr>
    </w:p>
    <w:p w14:paraId="1B77DECC" w14:textId="0A19C244"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La fragilidad y los conflictos permanentes, la inseguridad ciudadana, el desplazamiento de gran cantidad de personas, el cambio climático y la degradación de los recursos naturales —todos factores que se vinculan de manera compleja— continúan intensificando la inseguridad alimentaria de millones de personas. Actualmente, crisis alimentarias, que ocurrieron periódicamente entre 2007 y 2012, están empezando a resurgir.</w:t>
      </w:r>
      <w:r w:rsidR="00106724">
        <w:rPr>
          <w:rStyle w:val="Refdenotaalpie"/>
          <w:rFonts w:ascii="Abadi" w:hAnsi="Abadi" w:cs="TrebuchetMS"/>
          <w:sz w:val="21"/>
          <w:szCs w:val="21"/>
        </w:rPr>
        <w:footnoteReference w:id="5"/>
      </w:r>
    </w:p>
    <w:p w14:paraId="60AAFC84" w14:textId="77777777" w:rsidR="001C6F96" w:rsidRPr="008A2A2A" w:rsidRDefault="001C6F96" w:rsidP="001C6F96">
      <w:pPr>
        <w:autoSpaceDE w:val="0"/>
        <w:autoSpaceDN w:val="0"/>
        <w:adjustRightInd w:val="0"/>
        <w:jc w:val="both"/>
        <w:rPr>
          <w:rFonts w:ascii="Abadi" w:hAnsi="Abadi" w:cs="TrebuchetMS"/>
          <w:sz w:val="21"/>
          <w:szCs w:val="21"/>
        </w:rPr>
      </w:pPr>
    </w:p>
    <w:p w14:paraId="1AA64DF0"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Dichos factores deben ser vistos de suma preocupación para quienes, desde el ejercicio del Poder y representación de los ciudadanos podemos tomar decisiones que impacten, a corto, mediano y largo plazo en las políticas públicas que garanticen la seguridad alimentaria para todas las personas en el Estado de Guanajuato.</w:t>
      </w:r>
    </w:p>
    <w:p w14:paraId="7908BEEF" w14:textId="77777777" w:rsidR="001C6F96" w:rsidRPr="008A2A2A" w:rsidRDefault="001C6F96" w:rsidP="001C6F96">
      <w:pPr>
        <w:autoSpaceDE w:val="0"/>
        <w:autoSpaceDN w:val="0"/>
        <w:adjustRightInd w:val="0"/>
        <w:jc w:val="both"/>
        <w:rPr>
          <w:rFonts w:ascii="Abadi" w:hAnsi="Abadi" w:cs="TrebuchetMS"/>
          <w:sz w:val="21"/>
          <w:szCs w:val="21"/>
        </w:rPr>
      </w:pPr>
    </w:p>
    <w:p w14:paraId="5F91D35A" w14:textId="56A40B3D"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El concepto de Seguridad Alimentaria surge en la década del 70, basado en la producción y disponibilidad alimentaria a nivel global y nacional. En los años 80, se añadió la idea del acceso, tanto económico como físico. Y en la década del 90, se llegó al concepto actual que incorpora la inocuidad y las preferencias culturales, y se reafirma la Seguridad Alimentaria como un derecho humano.</w:t>
      </w:r>
    </w:p>
    <w:p w14:paraId="78661FB3" w14:textId="77777777" w:rsidR="001C6F96" w:rsidRPr="008A2A2A" w:rsidRDefault="001C6F96" w:rsidP="001C6F96">
      <w:pPr>
        <w:autoSpaceDE w:val="0"/>
        <w:autoSpaceDN w:val="0"/>
        <w:adjustRightInd w:val="0"/>
        <w:jc w:val="both"/>
        <w:rPr>
          <w:rFonts w:ascii="Abadi" w:hAnsi="Abadi" w:cs="TrebuchetMS"/>
          <w:sz w:val="21"/>
          <w:szCs w:val="21"/>
        </w:rPr>
      </w:pPr>
    </w:p>
    <w:p w14:paraId="00DB0779" w14:textId="4229CC35"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Según la Organización de las Naciones Unidas para la Agricultura y la Alimentación (FAO), desde la Cumbre Mundial de la Alimentación (CMA) de 1996, la Seguridad Alimentaria ¨a nivel de individuo, hogar, nación y global, se consigue cuando todas las personas, en todo momento, tienen acceso físico y económico a suficiente alimento, seguro y nutritivo, para satisfacer sus necesidades alimenticias y sus preferencias, con el objeto de llevar una vida activa y sana”.</w:t>
      </w:r>
      <w:r w:rsidR="00106724">
        <w:rPr>
          <w:rStyle w:val="Refdenotaalpie"/>
          <w:rFonts w:ascii="Abadi" w:hAnsi="Abadi" w:cs="TrebuchetMS"/>
          <w:sz w:val="21"/>
          <w:szCs w:val="21"/>
        </w:rPr>
        <w:footnoteReference w:id="6"/>
      </w:r>
    </w:p>
    <w:p w14:paraId="6DBA60BB" w14:textId="77777777" w:rsidR="001C6F96" w:rsidRPr="008A2A2A" w:rsidRDefault="001C6F96" w:rsidP="001C6F96">
      <w:pPr>
        <w:autoSpaceDE w:val="0"/>
        <w:autoSpaceDN w:val="0"/>
        <w:adjustRightInd w:val="0"/>
        <w:jc w:val="both"/>
        <w:rPr>
          <w:rFonts w:ascii="Abadi" w:hAnsi="Abadi" w:cs="TrebuchetMS"/>
          <w:sz w:val="21"/>
          <w:szCs w:val="21"/>
        </w:rPr>
      </w:pPr>
    </w:p>
    <w:p w14:paraId="221DD37B" w14:textId="3EA4D042"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En esa misma Cumbre, dirigentes de 185 países y de la Comunidad Europea reafirmaron, en la Declaración de Roma sobre la Seguridad Alimentaria Mundial, "el derecho de toda persona a tener acceso a alimentos sanos y nutritivos, en consonancia con el derecho a una alimentación apropiada y con el derecho fundamental de toda persona a no padecer hambre."</w:t>
      </w:r>
      <w:r w:rsidR="00106724">
        <w:rPr>
          <w:rStyle w:val="Refdenotaalpie"/>
          <w:rFonts w:ascii="Abadi" w:hAnsi="Abadi" w:cs="TrebuchetMS"/>
          <w:sz w:val="21"/>
          <w:szCs w:val="21"/>
        </w:rPr>
        <w:footnoteReference w:id="7"/>
      </w:r>
    </w:p>
    <w:p w14:paraId="6D46EA20" w14:textId="77777777" w:rsidR="001C6F96" w:rsidRPr="008A2A2A" w:rsidRDefault="001C6F96" w:rsidP="001C6F96">
      <w:pPr>
        <w:autoSpaceDE w:val="0"/>
        <w:autoSpaceDN w:val="0"/>
        <w:adjustRightInd w:val="0"/>
        <w:jc w:val="both"/>
        <w:rPr>
          <w:rFonts w:ascii="Abadi" w:hAnsi="Abadi" w:cs="TrebuchetMS"/>
          <w:sz w:val="21"/>
          <w:szCs w:val="21"/>
        </w:rPr>
      </w:pPr>
    </w:p>
    <w:p w14:paraId="24AD0650" w14:textId="40632A34"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La ONU ha establecido el acceso a una alimentación adecuada como derecho individual</w:t>
      </w:r>
      <w:r w:rsidR="00F72934">
        <w:rPr>
          <w:rFonts w:ascii="Abadi" w:hAnsi="Abadi" w:cs="TrebuchetMS"/>
          <w:sz w:val="21"/>
          <w:szCs w:val="21"/>
        </w:rPr>
        <w:t xml:space="preserve"> </w:t>
      </w:r>
      <w:r w:rsidRPr="008A2A2A">
        <w:rPr>
          <w:rFonts w:ascii="Abadi" w:hAnsi="Abadi" w:cs="TrebuchetMS"/>
          <w:sz w:val="21"/>
          <w:szCs w:val="21"/>
        </w:rPr>
        <w:t>y responsabilidad colectiva. En el mismo sentido, la Declaración Universal de Derechos</w:t>
      </w:r>
      <w:r w:rsidR="00F72934">
        <w:rPr>
          <w:rFonts w:ascii="Abadi" w:hAnsi="Abadi" w:cs="TrebuchetMS"/>
          <w:sz w:val="21"/>
          <w:szCs w:val="21"/>
        </w:rPr>
        <w:t xml:space="preserve"> </w:t>
      </w:r>
      <w:r w:rsidRPr="008A2A2A">
        <w:rPr>
          <w:rFonts w:ascii="Abadi" w:hAnsi="Abadi" w:cs="TrebuchetMS"/>
          <w:sz w:val="21"/>
          <w:szCs w:val="21"/>
        </w:rPr>
        <w:t>Humanos proclamó que "Toda persona tiene derecho a un nivel de vida adecuado que</w:t>
      </w:r>
      <w:r w:rsidR="00F72934">
        <w:rPr>
          <w:rFonts w:ascii="Abadi" w:hAnsi="Abadi" w:cs="TrebuchetMS"/>
          <w:sz w:val="21"/>
          <w:szCs w:val="21"/>
        </w:rPr>
        <w:t xml:space="preserve"> </w:t>
      </w:r>
      <w:r w:rsidRPr="008A2A2A">
        <w:rPr>
          <w:rFonts w:ascii="Abadi" w:hAnsi="Abadi" w:cs="TrebuchetMS"/>
          <w:sz w:val="21"/>
          <w:szCs w:val="21"/>
        </w:rPr>
        <w:t>le asegure, así como a su familia, la salud y el bienestar, y en especial la alimentación..."</w:t>
      </w:r>
    </w:p>
    <w:p w14:paraId="1CD7EB34" w14:textId="77777777" w:rsidR="001C6F96" w:rsidRPr="008A2A2A" w:rsidRDefault="001C6F96" w:rsidP="001C6F96">
      <w:pPr>
        <w:autoSpaceDE w:val="0"/>
        <w:autoSpaceDN w:val="0"/>
        <w:adjustRightInd w:val="0"/>
        <w:jc w:val="both"/>
        <w:rPr>
          <w:rFonts w:ascii="Abadi" w:hAnsi="Abadi" w:cs="TrebuchetMS"/>
          <w:sz w:val="21"/>
          <w:szCs w:val="21"/>
        </w:rPr>
      </w:pPr>
    </w:p>
    <w:p w14:paraId="2266EFF3"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Por su parte, el Pacto Internacional de Derechos Económicos, Sociales y Culturales elaboró estos conceptos más plenamente, haciendo hincapié en "el derecho de toda persona a un nivel de vida adecuado para sí y su familia, incluso la alimentación...", y especificando "el derecho fundamental de toda persona a estar protegida contra el hambre".</w:t>
      </w:r>
    </w:p>
    <w:p w14:paraId="621010BF" w14:textId="77777777" w:rsidR="001C6F96" w:rsidRPr="008A2A2A" w:rsidRDefault="001C6F96" w:rsidP="001C6F96">
      <w:pPr>
        <w:autoSpaceDE w:val="0"/>
        <w:autoSpaceDN w:val="0"/>
        <w:adjustRightInd w:val="0"/>
        <w:jc w:val="both"/>
        <w:rPr>
          <w:rFonts w:ascii="Abadi" w:hAnsi="Abadi" w:cs="TrebuchetMS"/>
          <w:sz w:val="21"/>
          <w:szCs w:val="21"/>
        </w:rPr>
      </w:pPr>
    </w:p>
    <w:p w14:paraId="1D5F5691"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De acuerdo con el Instituto de Nutrición para Centroamérica y Panamá (INCAP), la</w:t>
      </w:r>
    </w:p>
    <w:p w14:paraId="6D88B0B8" w14:textId="77777777" w:rsidR="001C6F96" w:rsidRPr="008A2A2A" w:rsidRDefault="001C6F96" w:rsidP="001C6F96">
      <w:pPr>
        <w:autoSpaceDE w:val="0"/>
        <w:autoSpaceDN w:val="0"/>
        <w:adjustRightInd w:val="0"/>
        <w:jc w:val="both"/>
        <w:rPr>
          <w:rFonts w:ascii="Abadi" w:hAnsi="Abadi" w:cs="TrebuchetMS"/>
          <w:sz w:val="21"/>
          <w:szCs w:val="21"/>
        </w:rPr>
      </w:pPr>
    </w:p>
    <w:p w14:paraId="2FF07DF4" w14:textId="77777777" w:rsidR="001C6F96" w:rsidRPr="008A2A2A" w:rsidRDefault="001C6F96" w:rsidP="001C6F96">
      <w:pPr>
        <w:autoSpaceDE w:val="0"/>
        <w:autoSpaceDN w:val="0"/>
        <w:adjustRightInd w:val="0"/>
        <w:jc w:val="both"/>
        <w:rPr>
          <w:rFonts w:ascii="Abadi" w:hAnsi="Abadi" w:cs="TrebuchetMS"/>
          <w:sz w:val="21"/>
          <w:szCs w:val="21"/>
        </w:rPr>
      </w:pPr>
    </w:p>
    <w:p w14:paraId="381CBDE7" w14:textId="77777777" w:rsidR="001C6F96" w:rsidRPr="008A2A2A" w:rsidRDefault="001C6F96" w:rsidP="001C6F96">
      <w:pPr>
        <w:spacing w:after="160" w:line="259" w:lineRule="auto"/>
        <w:jc w:val="both"/>
        <w:rPr>
          <w:rFonts w:ascii="Abadi" w:hAnsi="Abadi" w:cs="TrebuchetMS"/>
          <w:sz w:val="21"/>
          <w:szCs w:val="21"/>
        </w:rPr>
      </w:pPr>
      <w:r w:rsidRPr="008A2A2A">
        <w:rPr>
          <w:rFonts w:ascii="Abadi" w:hAnsi="Abadi" w:cs="TrebuchetMS"/>
          <w:sz w:val="21"/>
          <w:szCs w:val="21"/>
        </w:rPr>
        <w:t>Seguridad Alimentaria Nutricional ¨es un estado en el cual todas las personas gozan, en forma oportuna y permanente, de acceso físico, económico y social a los alimentos que necesitan, en cantidad y calidad, para su adecuado consumo y utilización biológica,</w:t>
      </w:r>
    </w:p>
    <w:p w14:paraId="41AE0C9A" w14:textId="77777777" w:rsidR="001C6F96" w:rsidRPr="008A2A2A" w:rsidRDefault="001C6F96" w:rsidP="001C6F96">
      <w:pPr>
        <w:autoSpaceDE w:val="0"/>
        <w:autoSpaceDN w:val="0"/>
        <w:adjustRightInd w:val="0"/>
        <w:jc w:val="both"/>
        <w:rPr>
          <w:rFonts w:ascii="Abadi" w:hAnsi="Abadi" w:cs="TrebuchetMS"/>
          <w:sz w:val="21"/>
          <w:szCs w:val="21"/>
        </w:rPr>
      </w:pPr>
    </w:p>
    <w:p w14:paraId="4D2646F0" w14:textId="787869C4" w:rsidR="001C6F96"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 xml:space="preserve"> garantizándoles un estado de bienestar general que coadyuve al logro de su desarrollo”.</w:t>
      </w:r>
    </w:p>
    <w:p w14:paraId="3E7E7E7D" w14:textId="77777777" w:rsidR="00F72934" w:rsidRPr="008A2A2A" w:rsidRDefault="00F72934" w:rsidP="001C6F96">
      <w:pPr>
        <w:autoSpaceDE w:val="0"/>
        <w:autoSpaceDN w:val="0"/>
        <w:adjustRightInd w:val="0"/>
        <w:jc w:val="both"/>
        <w:rPr>
          <w:rFonts w:ascii="Abadi" w:hAnsi="Abadi" w:cs="TrebuchetMS"/>
          <w:sz w:val="21"/>
          <w:szCs w:val="21"/>
        </w:rPr>
      </w:pPr>
    </w:p>
    <w:p w14:paraId="507C3A9B"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Así pues ¿qué diferencia hay entre el derecho a estar protegidos contra el hambre y el derecho a tener una alimentación adecuada? El primero de estos derechos es fundamental. Significa que el Estado tiene la obligación de asegurar, por lo menos, que las personas no mueran de hambre. Como tal, está intrínsecamente asociado al derecho a la vida. Además, no obstante, los Estados deberían hacer todo lo posible por promover un disfrute pleno del derecho de todos a tener alimentos adecuados en su territorio, en otras palabras, las personas deberían tener acceso físico y económico en todo momento a los alimentos en cantidad y de calidad adecuadas para llevar una vida saludable y activa. Para considerar adecuados los alimentos se requiere que además sean culturalmente aceptables y que se produzcan en forma sostenible para el medio ambiente y la sociedad.</w:t>
      </w:r>
    </w:p>
    <w:p w14:paraId="48E128D8" w14:textId="77777777" w:rsidR="001C6F96" w:rsidRPr="008A2A2A" w:rsidRDefault="001C6F96" w:rsidP="001C6F96">
      <w:pPr>
        <w:autoSpaceDE w:val="0"/>
        <w:autoSpaceDN w:val="0"/>
        <w:adjustRightInd w:val="0"/>
        <w:jc w:val="both"/>
        <w:rPr>
          <w:rFonts w:ascii="Abadi" w:hAnsi="Abadi" w:cs="TrebuchetMS"/>
          <w:sz w:val="21"/>
          <w:szCs w:val="21"/>
        </w:rPr>
      </w:pPr>
    </w:p>
    <w:p w14:paraId="00E8CCD3"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De la misma manera, su suministro no debe interferir con el disfrute de otros derechos humanos, por ejemplo, no debe costar tanto adquirir suficientes alimentos para tener una alimentación adecuada, que se pongan en peligro otros derechos socioeconómicos, o satisfacerse en detrimento de los derechos civiles o políticos.</w:t>
      </w:r>
    </w:p>
    <w:p w14:paraId="7E0672C5" w14:textId="77777777" w:rsidR="001C6F96" w:rsidRPr="008A2A2A" w:rsidRDefault="001C6F96" w:rsidP="001C6F96">
      <w:pPr>
        <w:autoSpaceDE w:val="0"/>
        <w:autoSpaceDN w:val="0"/>
        <w:adjustRightInd w:val="0"/>
        <w:jc w:val="both"/>
        <w:rPr>
          <w:rFonts w:ascii="Abadi" w:hAnsi="Abadi" w:cs="TrebuchetMS"/>
          <w:sz w:val="21"/>
          <w:szCs w:val="21"/>
        </w:rPr>
      </w:pPr>
    </w:p>
    <w:p w14:paraId="586DF1A4"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Existen diferentes dimensiones para medir la seguridad alimentaria; se describen las más usadas. Debe señalarse que cada dimensión es condición necesaria, pero no suficiente para la siguiente:</w:t>
      </w:r>
    </w:p>
    <w:p w14:paraId="0CDC128C" w14:textId="77777777" w:rsidR="001C6F96" w:rsidRPr="008A2A2A" w:rsidRDefault="001C6F96" w:rsidP="001C6F96">
      <w:pPr>
        <w:jc w:val="both"/>
        <w:rPr>
          <w:rFonts w:ascii="Abadi" w:hAnsi="Abadi" w:cs="TrebuchetMS"/>
          <w:sz w:val="21"/>
          <w:szCs w:val="21"/>
        </w:rPr>
      </w:pPr>
    </w:p>
    <w:p w14:paraId="71C042E6"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 xml:space="preserve">Disponibilidad de alimentos. </w:t>
      </w:r>
      <w:r w:rsidRPr="008A2A2A">
        <w:rPr>
          <w:rFonts w:ascii="Abadi" w:hAnsi="Abadi" w:cs="TrebuchetMS"/>
          <w:sz w:val="21"/>
          <w:szCs w:val="21"/>
        </w:rPr>
        <w:t>Esta es la primera etapa de la seguridad alimentaria. La disponibilidad de alimentos es resultado de la producción interna tanto de productos primarios como industrializados, del nivel de las reservas, las importaciones y exportaciones, las ayudas alimentarias y la capacidad de almacenamiento y movilización. Esta disponibilidad debe ser estable de forma que existan alimentos suficientes durante todo el año. También debe ser adecuada a las condiciones sociales y culturales, y con productos inocuos, es decir, sin sustancias dañinas para la salud.</w:t>
      </w:r>
      <w:r w:rsidRPr="008A2A2A">
        <w:rPr>
          <w:rFonts w:ascii="Abadi" w:hAnsi="Abadi" w:cs="TrebuchetMS-Bold"/>
          <w:b/>
          <w:bCs/>
          <w:sz w:val="21"/>
          <w:szCs w:val="21"/>
        </w:rPr>
        <w:t xml:space="preserve"> Acceso o capacidad para adquirir los alimentos. </w:t>
      </w:r>
      <w:r w:rsidRPr="008A2A2A">
        <w:rPr>
          <w:rFonts w:ascii="Abadi" w:hAnsi="Abadi" w:cs="TrebuchetMS"/>
          <w:sz w:val="21"/>
          <w:szCs w:val="21"/>
        </w:rPr>
        <w:t>Los alimentos deben estar disponibles, física y económicamente, a toda la población. El acceso físico a alimentos saludables y nutritivos (así como su precio) depende tanto de la oferta (disponibilidad) como de la demanda de los consumidores. La conducta del consumidor, sus preferencias y otros factores relacionados con la demanda pueden explicar las diferencias en los tipos de alimentos ofrecidos en diversas áreas. Por otro lado, conductas de los vendedores de alimentos y de la estructura de la oferta (es decir, costos de apertura e instalaciones, regulaciones locales, entre otros) también explican variaciones entre regiones respecto a qué alimentos hay y qué clase de establecimientos los ofrecen. El acceso económico de los hogares, a su vez, depende de su ingreso y del precio de los alimentos.</w:t>
      </w:r>
    </w:p>
    <w:p w14:paraId="77D35AAD" w14:textId="77777777" w:rsidR="001C6F96" w:rsidRPr="008A2A2A" w:rsidRDefault="001C6F96" w:rsidP="001C6F96">
      <w:pPr>
        <w:autoSpaceDE w:val="0"/>
        <w:autoSpaceDN w:val="0"/>
        <w:adjustRightInd w:val="0"/>
        <w:jc w:val="both"/>
        <w:rPr>
          <w:rFonts w:ascii="Abadi" w:hAnsi="Abadi" w:cs="TrebuchetMS"/>
          <w:sz w:val="21"/>
          <w:szCs w:val="21"/>
        </w:rPr>
      </w:pPr>
    </w:p>
    <w:p w14:paraId="024A990F"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 xml:space="preserve">Consumo de alimentos. </w:t>
      </w:r>
      <w:r w:rsidRPr="008A2A2A">
        <w:rPr>
          <w:rFonts w:ascii="Abadi" w:hAnsi="Abadi" w:cs="TrebuchetMS"/>
          <w:sz w:val="21"/>
          <w:szCs w:val="21"/>
        </w:rPr>
        <w:t>El consumo de alimentos se refiere a lo que, efectivamente, consumen los miembros de cada hogar, ya sea proveniente de su autoproducción o del intercambio, ayudas o adquisición en los mercados, así como a su preparación y su distribución intrafamiliar. El consumo no sólo es resultado del poder de compra de los hogares, sino también de quién realiza las compras y preparación de los alimentos, además de los hábitos y la cultura, los cuales se ven influidos, en forma creciente, por la publicidad y los medios de comunicación. También las elecciones de consumo de tipo de alimentos y de su estado (frescos, congelados, enlatados y preparados) dependen del tiempo potencial de obtener los ingredientes y preparar los alimentos; las limitaciones de tiempo pueden ser mayores en hogares con niños y cuando las mujeres participan en el mercado laboral. Asimismo, los individuos necesitan tener información sobre los méritos relativos a sus diferentes elecciones de comida. Existen dos elementos que deben ser considerados al analizar la seguridad alimentaria. El primero es el aprovechamiento biológico de los alimentos y el segundo, el estado nutricional de los individuos.</w:t>
      </w:r>
    </w:p>
    <w:p w14:paraId="02DE91D2" w14:textId="77777777" w:rsidR="001C6F96" w:rsidRPr="008A2A2A" w:rsidRDefault="001C6F96" w:rsidP="001C6F96">
      <w:pPr>
        <w:autoSpaceDE w:val="0"/>
        <w:autoSpaceDN w:val="0"/>
        <w:adjustRightInd w:val="0"/>
        <w:jc w:val="both"/>
        <w:rPr>
          <w:rFonts w:ascii="Abadi" w:hAnsi="Abadi" w:cs="TrebuchetMS"/>
          <w:sz w:val="21"/>
          <w:szCs w:val="21"/>
        </w:rPr>
      </w:pPr>
    </w:p>
    <w:p w14:paraId="2F8CCFB4"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 xml:space="preserve">Aprovechamiento biológico de los alimentos consumidos. </w:t>
      </w:r>
      <w:r w:rsidRPr="008A2A2A">
        <w:rPr>
          <w:rFonts w:ascii="Abadi" w:hAnsi="Abadi" w:cs="TrebuchetMS"/>
          <w:sz w:val="21"/>
          <w:szCs w:val="21"/>
        </w:rPr>
        <w:t>Depende de las condiciones de salud del individuo, en particular de la prevalencia de enfermedades infecciosas, así como también de aspectos de saneamiento del medio, como el acceso a agua potable, y de las condiciones del lugar, forma de preparación, consumo y almacenaje de los alimentos, que, en caso de ser inadecuados, pueden contaminar los alimentos que se ingieran.</w:t>
      </w:r>
    </w:p>
    <w:p w14:paraId="4808EF86" w14:textId="77777777" w:rsidR="001C6F96" w:rsidRPr="008A2A2A" w:rsidRDefault="001C6F96" w:rsidP="001C6F96">
      <w:pPr>
        <w:autoSpaceDE w:val="0"/>
        <w:autoSpaceDN w:val="0"/>
        <w:adjustRightInd w:val="0"/>
        <w:jc w:val="both"/>
        <w:rPr>
          <w:rFonts w:ascii="Abadi" w:hAnsi="Abadi" w:cs="TrebuchetMS"/>
          <w:sz w:val="21"/>
          <w:szCs w:val="21"/>
        </w:rPr>
      </w:pPr>
    </w:p>
    <w:p w14:paraId="19D9B04A" w14:textId="0AEA8AB0"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 xml:space="preserve">Estado nutricional de cada persona. </w:t>
      </w:r>
      <w:r w:rsidRPr="008A2A2A">
        <w:rPr>
          <w:rFonts w:ascii="Abadi" w:hAnsi="Abadi" w:cs="TrebuchetMS"/>
          <w:sz w:val="21"/>
          <w:szCs w:val="21"/>
        </w:rPr>
        <w:t>Como ya se mencionó, la seguridad nutricional requiere que los miembros del hogar tengan acceso no sólo a alimentos, sino también a otras condiciones para una vida saludable, como servicios de salud, un ambiente higiénico y prácticas adecuadas de higiene personal que permitan un estado nutricional óptimo de acuerdo con la edad y condición fisiológica.</w:t>
      </w:r>
      <w:r w:rsidR="00106724">
        <w:rPr>
          <w:rStyle w:val="Refdenotaalpie"/>
          <w:rFonts w:ascii="Abadi" w:hAnsi="Abadi" w:cs="TrebuchetMS"/>
          <w:sz w:val="21"/>
          <w:szCs w:val="21"/>
        </w:rPr>
        <w:footnoteReference w:id="8"/>
      </w:r>
    </w:p>
    <w:p w14:paraId="4F4CBABC" w14:textId="77777777" w:rsidR="001C6F96" w:rsidRPr="008A2A2A" w:rsidRDefault="001C6F96" w:rsidP="001C6F96">
      <w:pPr>
        <w:autoSpaceDE w:val="0"/>
        <w:autoSpaceDN w:val="0"/>
        <w:adjustRightInd w:val="0"/>
        <w:jc w:val="both"/>
        <w:rPr>
          <w:rFonts w:ascii="Abadi" w:hAnsi="Abadi" w:cs="TrebuchetMS"/>
          <w:sz w:val="21"/>
          <w:szCs w:val="21"/>
        </w:rPr>
      </w:pPr>
    </w:p>
    <w:p w14:paraId="4DA48C72"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Para atender un problema público primero es necesario reconocerlo y considerarlo dentro de las actividades gubernamentales, como es el caso, la primera acción de reconocimiento y garantía del derecho a la Seguridad Alimentaria es reconocerlo en la Constitución Política del Estado Libre y Soberano de Guanajuato.</w:t>
      </w:r>
    </w:p>
    <w:p w14:paraId="3CACDC90" w14:textId="77777777" w:rsidR="001C6F96" w:rsidRPr="008A2A2A" w:rsidRDefault="001C6F96" w:rsidP="001C6F96">
      <w:pPr>
        <w:autoSpaceDE w:val="0"/>
        <w:autoSpaceDN w:val="0"/>
        <w:adjustRightInd w:val="0"/>
        <w:jc w:val="both"/>
        <w:rPr>
          <w:rFonts w:ascii="Abadi" w:hAnsi="Abadi" w:cs="TrebuchetMS"/>
          <w:sz w:val="21"/>
          <w:szCs w:val="21"/>
        </w:rPr>
      </w:pPr>
    </w:p>
    <w:p w14:paraId="4E965069"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De esta forma, al asegurar la Seguridad Alimentaria de los Guanajuatenses, de manera interdependiente es reconocer el derecho a la salud y, así, el mantenimiento de la existencia humana y su correcto funcionamiento físico y mental. En este sentido, la reforma que se propone se convierte en la base de concertar esfuerzos y acciones de todos los sectores y dependencias estatales involucradas en las dimensiones propias del concepto de seguridad alimentaria. Las acciones y esfuerzos que se deban realizar a partir del reconocimiento en la Constitución Local del derecho a la Seguridad Alimentaria deben contribuir a la solución de los problemas de disponibilidad, acceso, consumo y aprovechamiento adecuado de alimentos, y sumarse a las acciones de prevención y tratamiento de los problemas de nutrición. Estas acciones han de ser aplicadas sobre el conjunto de la población más afectada por estos problemas en todas las etapas de su vida. En este sentido, es necesaria la participación conjunta de diversos sectores gubernamentales, principalmente las secretarías de Salud, Educación Pública, Desarrollo Social, Finanzas, Economía, y Agricultura, Ganadería y Desarrollo Rural, así como de los gobiernos municipales, de la industria de alimentos, la academia, la sociedad civil.</w:t>
      </w:r>
    </w:p>
    <w:p w14:paraId="7797ACA6" w14:textId="77777777" w:rsidR="001C6F96" w:rsidRPr="008A2A2A" w:rsidRDefault="001C6F96" w:rsidP="001C6F96">
      <w:pPr>
        <w:autoSpaceDE w:val="0"/>
        <w:autoSpaceDN w:val="0"/>
        <w:adjustRightInd w:val="0"/>
        <w:jc w:val="both"/>
        <w:rPr>
          <w:rFonts w:ascii="Abadi" w:hAnsi="Abadi" w:cs="TrebuchetMS"/>
          <w:sz w:val="21"/>
          <w:szCs w:val="21"/>
        </w:rPr>
      </w:pPr>
    </w:p>
    <w:p w14:paraId="10C75AB6"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Es por lo que, la primera acción afirmativa de cumplimiento al mandato constitucional de reconocimiento, respeto, protección y garantía del derecho fundamental a la Seguridad Alimentaria, por parte de este Poder Legislativo, es llevar a cabo su implementación en nuestra Constitución Local, la cual, tiene la posibilidad de establecer un parámetro de constitucionalidad local que incluye no solo los derechos humanos reconocidos en la Constitución Federal y en los Tratados Internacionales, sino establecer el reconocimiento de nuevos derechos, como en el presente caso el acceso a la Seguridad Alimentaria , pues dicho reconocimiento se realiza bajo el respeto del contenido de los artículos 1 y 133 de la Constitución Federal.</w:t>
      </w:r>
    </w:p>
    <w:p w14:paraId="4AEFBC14" w14:textId="77777777" w:rsidR="001C6F96" w:rsidRPr="008A2A2A" w:rsidRDefault="001C6F96" w:rsidP="001C6F96">
      <w:pPr>
        <w:autoSpaceDE w:val="0"/>
        <w:autoSpaceDN w:val="0"/>
        <w:adjustRightInd w:val="0"/>
        <w:jc w:val="both"/>
        <w:rPr>
          <w:rFonts w:ascii="Abadi" w:hAnsi="Abadi" w:cs="TrebuchetMS"/>
          <w:sz w:val="21"/>
          <w:szCs w:val="21"/>
        </w:rPr>
      </w:pPr>
    </w:p>
    <w:p w14:paraId="6A0F1B70"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Conforme a todo lo anterior, se puede afirmar que merced a los argumentos aquí expuestos, resulta incontestable la pertinencia de la propuesta de reforma que se presenta, a efecto de reconocer el derecho fundamental a la Seguridad Alimentaria.</w:t>
      </w:r>
    </w:p>
    <w:p w14:paraId="609C7F29" w14:textId="77777777" w:rsidR="001C6F96" w:rsidRPr="008A2A2A" w:rsidRDefault="001C6F96" w:rsidP="001C6F96">
      <w:pPr>
        <w:autoSpaceDE w:val="0"/>
        <w:autoSpaceDN w:val="0"/>
        <w:adjustRightInd w:val="0"/>
        <w:jc w:val="both"/>
        <w:rPr>
          <w:rFonts w:ascii="Abadi" w:hAnsi="Abadi" w:cs="TrebuchetMS"/>
          <w:sz w:val="21"/>
          <w:szCs w:val="21"/>
        </w:rPr>
      </w:pPr>
    </w:p>
    <w:p w14:paraId="6EC7422D"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 xml:space="preserve">Así, la propuesta es insertar en nuestro texto constitucional local, adicionando un párrafo al artículo primero de la referida, lo anterior, por ser en ese precepto constitucional donde se encuentran reconocidos por nuestro Estado, de manera interdependiente, los derechos civiles, políticos económicos, sociales y culturales. </w:t>
      </w:r>
    </w:p>
    <w:p w14:paraId="6D42A2F8" w14:textId="77777777" w:rsidR="001C6F96" w:rsidRPr="008A2A2A" w:rsidRDefault="001C6F96" w:rsidP="001C6F96">
      <w:pPr>
        <w:autoSpaceDE w:val="0"/>
        <w:autoSpaceDN w:val="0"/>
        <w:adjustRightInd w:val="0"/>
        <w:jc w:val="both"/>
        <w:rPr>
          <w:rFonts w:ascii="Abadi" w:hAnsi="Abadi" w:cs="TrebuchetMS"/>
          <w:sz w:val="21"/>
          <w:szCs w:val="21"/>
        </w:rPr>
      </w:pPr>
    </w:p>
    <w:p w14:paraId="3072F037"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 xml:space="preserve">Por último, es preciso resaltar que, evidentemente, el reconocer un nuevo derecho, implica la obligación para el Estado de hacerlo efectivo, es decir, cuesta y cuesta mucho, sin embargo, al tratarse de un derecho de vital importancia para la sociedad guanajuatense, el derecho fundamental de la Seguridad Alimentaria podrá ser cumplido a la luz del principio de progresividad de los derechos, es decir, de conformidad con los recursos disponibles del Estado de Guanajuato. </w:t>
      </w:r>
    </w:p>
    <w:p w14:paraId="44764C04" w14:textId="77777777" w:rsidR="001C6F96" w:rsidRPr="008A2A2A" w:rsidRDefault="001C6F96" w:rsidP="001C6F96">
      <w:pPr>
        <w:autoSpaceDE w:val="0"/>
        <w:autoSpaceDN w:val="0"/>
        <w:adjustRightInd w:val="0"/>
        <w:jc w:val="both"/>
        <w:rPr>
          <w:rFonts w:ascii="Abadi" w:hAnsi="Abadi" w:cs="TrebuchetMS"/>
          <w:sz w:val="21"/>
          <w:szCs w:val="21"/>
        </w:rPr>
      </w:pPr>
    </w:p>
    <w:p w14:paraId="094F0DB9"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De ser aprobada, la presente iniciativa tendrá los siguientes impactos de conformidad con el artículo 209 de la Ley Orgánica del Poder Legislativo del Estado de Guanajuato:</w:t>
      </w:r>
    </w:p>
    <w:p w14:paraId="38CE24A2" w14:textId="77777777" w:rsidR="001C6F96" w:rsidRPr="008A2A2A" w:rsidRDefault="001C6F96" w:rsidP="001C6F96">
      <w:pPr>
        <w:autoSpaceDE w:val="0"/>
        <w:autoSpaceDN w:val="0"/>
        <w:adjustRightInd w:val="0"/>
        <w:jc w:val="both"/>
        <w:rPr>
          <w:rFonts w:ascii="Abadi" w:hAnsi="Abadi" w:cs="TrebuchetMS"/>
          <w:sz w:val="21"/>
          <w:szCs w:val="21"/>
        </w:rPr>
      </w:pPr>
    </w:p>
    <w:p w14:paraId="57603E0E"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 xml:space="preserve">I. Impacto jurídico: </w:t>
      </w:r>
      <w:r w:rsidRPr="008A2A2A">
        <w:rPr>
          <w:rFonts w:ascii="Abadi" w:hAnsi="Abadi" w:cs="TrebuchetMS"/>
          <w:sz w:val="21"/>
          <w:szCs w:val="21"/>
        </w:rPr>
        <w:t>Se adiciona un párrafo al artículo 1 de la Constitución Política del Estado Libre y Soberano de Guanajuato, en materia del reconocimiento del derecho fundamental de acceso al internet.</w:t>
      </w:r>
    </w:p>
    <w:p w14:paraId="22398BCF" w14:textId="77777777" w:rsidR="001C6F96" w:rsidRPr="008A2A2A" w:rsidRDefault="001C6F96" w:rsidP="001C6F96">
      <w:pPr>
        <w:autoSpaceDE w:val="0"/>
        <w:autoSpaceDN w:val="0"/>
        <w:adjustRightInd w:val="0"/>
        <w:jc w:val="both"/>
        <w:rPr>
          <w:rFonts w:ascii="Abadi" w:hAnsi="Abadi" w:cs="TrebuchetMS"/>
          <w:sz w:val="21"/>
          <w:szCs w:val="21"/>
        </w:rPr>
      </w:pPr>
    </w:p>
    <w:p w14:paraId="14B54D2F"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 xml:space="preserve">II. Impacto administrativo: </w:t>
      </w:r>
      <w:r w:rsidRPr="008A2A2A">
        <w:rPr>
          <w:rFonts w:ascii="Abadi" w:hAnsi="Abadi" w:cs="TrebuchetMS"/>
          <w:sz w:val="21"/>
          <w:szCs w:val="21"/>
        </w:rPr>
        <w:t>Tocante a este aspecto, el impacto administrativo que se observa habrá de impactar en las políticas públicas que una vez que se reconozca el derecho fundamental de la Seguridad Alimentaria en la Constitución Local del Estado de Guanajuato, se tengan que implementar por parte de todas las autoridades de este Estado.</w:t>
      </w:r>
    </w:p>
    <w:p w14:paraId="0A5EB468" w14:textId="77777777" w:rsidR="001C6F96" w:rsidRPr="008A2A2A" w:rsidRDefault="001C6F96" w:rsidP="001C6F96">
      <w:pPr>
        <w:autoSpaceDE w:val="0"/>
        <w:autoSpaceDN w:val="0"/>
        <w:adjustRightInd w:val="0"/>
        <w:jc w:val="both"/>
        <w:rPr>
          <w:rFonts w:ascii="Abadi" w:hAnsi="Abadi" w:cs="TrebuchetMS"/>
          <w:sz w:val="21"/>
          <w:szCs w:val="21"/>
        </w:rPr>
      </w:pPr>
    </w:p>
    <w:p w14:paraId="6E3BB353"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 xml:space="preserve">III. Impacto presupuestario: </w:t>
      </w:r>
      <w:r w:rsidRPr="008A2A2A">
        <w:rPr>
          <w:rFonts w:ascii="Abadi" w:hAnsi="Abadi" w:cs="TrebuchetMS"/>
          <w:sz w:val="21"/>
          <w:szCs w:val="21"/>
        </w:rPr>
        <w:t>A primera vista, el reconocimiento del derecho fundamental de la Seguridad Alimentaria no tiene un impacto presupuestario, sin embargo, una vez que se lleve a cabo el referido reconocimiento habrá de impactar en las políticas públicas que al efecto las autoridades estatales deban establecer para garantizar su efectividad, todo ello a la luz del principio de progresividad de los derechos, es decir, bajo la utilización del máximo de los recursos disponibles.</w:t>
      </w:r>
    </w:p>
    <w:p w14:paraId="035B642D" w14:textId="77777777" w:rsidR="001C6F96" w:rsidRPr="008A2A2A" w:rsidRDefault="001C6F96" w:rsidP="001C6F96">
      <w:pPr>
        <w:autoSpaceDE w:val="0"/>
        <w:autoSpaceDN w:val="0"/>
        <w:adjustRightInd w:val="0"/>
        <w:jc w:val="both"/>
        <w:rPr>
          <w:rFonts w:ascii="Abadi" w:hAnsi="Abadi" w:cs="TrebuchetMS"/>
          <w:sz w:val="21"/>
          <w:szCs w:val="21"/>
        </w:rPr>
      </w:pPr>
    </w:p>
    <w:p w14:paraId="641ED0E9"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 xml:space="preserve">IV. Impacto social: </w:t>
      </w:r>
      <w:r w:rsidRPr="008A2A2A">
        <w:rPr>
          <w:rFonts w:ascii="Abadi" w:hAnsi="Abadi" w:cs="TrebuchetMS"/>
          <w:sz w:val="21"/>
          <w:szCs w:val="21"/>
        </w:rPr>
        <w:t xml:space="preserve">Se contribuye a dar acceso a toda la población del Estado de Guanajuato a una alimentación adecuada, en cantidad y calidad que impacta en su derecho de acceso a la salud y demás interdependientes. </w:t>
      </w:r>
    </w:p>
    <w:p w14:paraId="0D416E30" w14:textId="77777777" w:rsidR="001C6F96" w:rsidRPr="008A2A2A" w:rsidRDefault="001C6F96" w:rsidP="001C6F96">
      <w:pPr>
        <w:autoSpaceDE w:val="0"/>
        <w:autoSpaceDN w:val="0"/>
        <w:adjustRightInd w:val="0"/>
        <w:jc w:val="both"/>
        <w:rPr>
          <w:rFonts w:ascii="Abadi" w:hAnsi="Abadi" w:cs="TrebuchetMS"/>
          <w:sz w:val="21"/>
          <w:szCs w:val="21"/>
        </w:rPr>
      </w:pPr>
    </w:p>
    <w:p w14:paraId="222CDE5D"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Por lo anteriormente expuesto, someto a la consideración de este H. Congreso del Estado de Guanajuato el siguiente:</w:t>
      </w:r>
    </w:p>
    <w:p w14:paraId="2E5B4EBB" w14:textId="77777777" w:rsidR="001C6F96" w:rsidRPr="008A2A2A" w:rsidRDefault="001C6F96" w:rsidP="001C6F96">
      <w:pPr>
        <w:autoSpaceDE w:val="0"/>
        <w:autoSpaceDN w:val="0"/>
        <w:adjustRightInd w:val="0"/>
        <w:jc w:val="both"/>
        <w:rPr>
          <w:rFonts w:ascii="Abadi" w:hAnsi="Abadi" w:cs="TrebuchetMS-Bold"/>
          <w:b/>
          <w:bCs/>
          <w:sz w:val="21"/>
          <w:szCs w:val="21"/>
        </w:rPr>
      </w:pPr>
    </w:p>
    <w:p w14:paraId="7FE83791" w14:textId="77777777" w:rsidR="001C6F96" w:rsidRPr="008A2A2A" w:rsidRDefault="001C6F96" w:rsidP="001C6F96">
      <w:pPr>
        <w:autoSpaceDE w:val="0"/>
        <w:autoSpaceDN w:val="0"/>
        <w:adjustRightInd w:val="0"/>
        <w:jc w:val="center"/>
        <w:rPr>
          <w:rFonts w:ascii="Abadi" w:hAnsi="Abadi" w:cs="TrebuchetMS-Bold"/>
          <w:b/>
          <w:bCs/>
          <w:sz w:val="21"/>
          <w:szCs w:val="21"/>
        </w:rPr>
      </w:pPr>
      <w:r w:rsidRPr="008A2A2A">
        <w:rPr>
          <w:rFonts w:ascii="Abadi" w:hAnsi="Abadi" w:cs="TrebuchetMS-Bold"/>
          <w:b/>
          <w:bCs/>
          <w:sz w:val="21"/>
          <w:szCs w:val="21"/>
        </w:rPr>
        <w:t>DECRETO.</w:t>
      </w:r>
    </w:p>
    <w:p w14:paraId="0AA8BB80" w14:textId="77777777" w:rsidR="001C6F96" w:rsidRPr="008A2A2A" w:rsidRDefault="001C6F96" w:rsidP="001C6F96">
      <w:pPr>
        <w:autoSpaceDE w:val="0"/>
        <w:autoSpaceDN w:val="0"/>
        <w:adjustRightInd w:val="0"/>
        <w:jc w:val="both"/>
        <w:rPr>
          <w:rFonts w:ascii="Abadi" w:hAnsi="Abadi" w:cs="TrebuchetMS-Bold"/>
          <w:b/>
          <w:bCs/>
          <w:sz w:val="21"/>
          <w:szCs w:val="21"/>
        </w:rPr>
      </w:pPr>
    </w:p>
    <w:p w14:paraId="062DE0DD"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 xml:space="preserve">ARTÍCULO ÚNICO. </w:t>
      </w:r>
      <w:r w:rsidRPr="008A2A2A">
        <w:rPr>
          <w:rFonts w:ascii="Abadi" w:hAnsi="Abadi" w:cs="TrebuchetMS"/>
          <w:sz w:val="21"/>
          <w:szCs w:val="21"/>
        </w:rPr>
        <w:t xml:space="preserve">- Se adiciona un párrafo al artículo 1 de la Constitución Política del Estado Libre y Soberano de Guanajuato, para quedar de la siguiente manera: </w:t>
      </w:r>
    </w:p>
    <w:p w14:paraId="29183D14" w14:textId="77777777" w:rsidR="001C6F96" w:rsidRPr="008A2A2A" w:rsidRDefault="001C6F96" w:rsidP="001C6F96">
      <w:pPr>
        <w:autoSpaceDE w:val="0"/>
        <w:autoSpaceDN w:val="0"/>
        <w:adjustRightInd w:val="0"/>
        <w:jc w:val="both"/>
        <w:rPr>
          <w:rFonts w:ascii="Abadi" w:hAnsi="Abadi" w:cs="TrebuchetMS"/>
          <w:sz w:val="21"/>
          <w:szCs w:val="21"/>
        </w:rPr>
      </w:pPr>
    </w:p>
    <w:p w14:paraId="21EBE3FC"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TÍTULO PRIMERO DE LOS DERECHOS HUMANOS Y SUS GARANTÍAS CAPÍTULO PRIMERO DERECHOS CIVILES, POLÍTICOS, ECONÓMICOS, SOCIALES Y CULTURALES</w:t>
      </w:r>
    </w:p>
    <w:p w14:paraId="71960B77" w14:textId="77777777" w:rsidR="001C6F96" w:rsidRPr="008A2A2A" w:rsidRDefault="001C6F96" w:rsidP="001C6F96">
      <w:pPr>
        <w:autoSpaceDE w:val="0"/>
        <w:autoSpaceDN w:val="0"/>
        <w:adjustRightInd w:val="0"/>
        <w:jc w:val="both"/>
        <w:rPr>
          <w:rFonts w:ascii="Abadi" w:hAnsi="Abadi" w:cs="TrebuchetMS-Bold"/>
          <w:b/>
          <w:bCs/>
          <w:sz w:val="21"/>
          <w:szCs w:val="21"/>
        </w:rPr>
      </w:pPr>
    </w:p>
    <w:p w14:paraId="2442DB07" w14:textId="77777777" w:rsidR="001C6F96" w:rsidRPr="008A2A2A" w:rsidRDefault="001C6F96" w:rsidP="001C6F96">
      <w:pPr>
        <w:autoSpaceDE w:val="0"/>
        <w:autoSpaceDN w:val="0"/>
        <w:adjustRightInd w:val="0"/>
        <w:jc w:val="both"/>
        <w:rPr>
          <w:rFonts w:ascii="Abadi" w:hAnsi="Abadi" w:cs="TrebuchetMS-Italic"/>
          <w:i/>
          <w:iCs/>
          <w:sz w:val="21"/>
          <w:szCs w:val="21"/>
        </w:rPr>
      </w:pPr>
      <w:r w:rsidRPr="008A2A2A">
        <w:rPr>
          <w:rFonts w:ascii="Abadi" w:hAnsi="Abadi" w:cs="TrebuchetMS-Bold"/>
          <w:b/>
          <w:bCs/>
          <w:sz w:val="21"/>
          <w:szCs w:val="21"/>
        </w:rPr>
        <w:t xml:space="preserve">Artículo 1. </w:t>
      </w:r>
      <w:r w:rsidRPr="008A2A2A">
        <w:rPr>
          <w:rFonts w:ascii="Abadi" w:hAnsi="Abadi" w:cs="TrebuchetMS-Italic"/>
          <w:i/>
          <w:iCs/>
          <w:sz w:val="21"/>
          <w:szCs w:val="21"/>
        </w:rPr>
        <w:t>En el Estado de Guanajuato todas las personas gozan de los derechos humanos y de las garantías para su protección reconocidos en la Constitución Política de los Estados Unidos Mexicanos y en los Tratados Internacionales de los que el Estado Mexicano sea parte, así como en los consagrados por esta Constitución y sus Leyes Reglamentarias, cuyo ejercicio no podrá restringirse ni suspenderse, salvo en los casos y bajo las condiciones que la Constitución Política de los Estados Unidos Mexicanos establece…</w:t>
      </w:r>
    </w:p>
    <w:p w14:paraId="33D96CB1" w14:textId="77777777" w:rsidR="001C6F96" w:rsidRPr="008A2A2A" w:rsidRDefault="001C6F96" w:rsidP="001C6F96">
      <w:pPr>
        <w:autoSpaceDE w:val="0"/>
        <w:autoSpaceDN w:val="0"/>
        <w:adjustRightInd w:val="0"/>
        <w:jc w:val="both"/>
        <w:rPr>
          <w:rFonts w:ascii="Abadi" w:hAnsi="Abadi" w:cs="TrebuchetMS-Italic"/>
          <w:i/>
          <w:iCs/>
          <w:sz w:val="21"/>
          <w:szCs w:val="21"/>
        </w:rPr>
      </w:pPr>
      <w:r w:rsidRPr="008A2A2A">
        <w:rPr>
          <w:rFonts w:ascii="Abadi" w:hAnsi="Abadi" w:cs="TrebuchetMS-Italic"/>
          <w:i/>
          <w:iCs/>
          <w:sz w:val="21"/>
          <w:szCs w:val="21"/>
        </w:rPr>
        <w:t>…</w:t>
      </w:r>
    </w:p>
    <w:p w14:paraId="372B9147" w14:textId="77777777" w:rsidR="001C6F96" w:rsidRPr="008A2A2A" w:rsidRDefault="001C6F96" w:rsidP="001C6F96">
      <w:pPr>
        <w:jc w:val="both"/>
        <w:rPr>
          <w:rFonts w:ascii="Abadi" w:hAnsi="Abadi" w:cs="TrebuchetMS-Italic"/>
          <w:i/>
          <w:iCs/>
          <w:sz w:val="21"/>
          <w:szCs w:val="21"/>
        </w:rPr>
      </w:pPr>
      <w:r w:rsidRPr="008A2A2A">
        <w:rPr>
          <w:rFonts w:ascii="Abadi" w:hAnsi="Abadi" w:cs="TrebuchetMS-Italic"/>
          <w:i/>
          <w:iCs/>
          <w:sz w:val="21"/>
          <w:szCs w:val="21"/>
        </w:rPr>
        <w:t>…</w:t>
      </w:r>
    </w:p>
    <w:p w14:paraId="1D711581" w14:textId="77777777" w:rsidR="001C6F96" w:rsidRPr="008A2A2A" w:rsidRDefault="001C6F96" w:rsidP="001C6F96">
      <w:pPr>
        <w:jc w:val="both"/>
        <w:rPr>
          <w:rFonts w:ascii="Abadi" w:hAnsi="Abadi" w:cs="TrebuchetMS-Italic"/>
          <w:i/>
          <w:iCs/>
          <w:sz w:val="21"/>
          <w:szCs w:val="21"/>
        </w:rPr>
      </w:pPr>
    </w:p>
    <w:p w14:paraId="1652BEFF"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Toda persona tiene derecho a una alimentación adecuada, nutritiva, diaria, suficiente y de calidad con alimentos inocuos, saludables, accesibles, asequibles y culturalmente aceptables que le permitan gozar del más alto nivel de desarrollo humano posible y la protejan contra el hambre, la malnutrición y la desnutrición.</w:t>
      </w:r>
    </w:p>
    <w:p w14:paraId="7F75FAE6" w14:textId="77777777" w:rsidR="001C6F96" w:rsidRPr="008A2A2A" w:rsidRDefault="001C6F96" w:rsidP="001C6F96">
      <w:pPr>
        <w:autoSpaceDE w:val="0"/>
        <w:autoSpaceDN w:val="0"/>
        <w:adjustRightInd w:val="0"/>
        <w:jc w:val="both"/>
        <w:rPr>
          <w:rFonts w:ascii="Abadi" w:hAnsi="Abadi" w:cs="TrebuchetMS"/>
          <w:sz w:val="21"/>
          <w:szCs w:val="21"/>
        </w:rPr>
      </w:pPr>
    </w:p>
    <w:p w14:paraId="6C274795"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 xml:space="preserve">Las autoridades, de manera progresiva, fomentarán la disponibilidad, distribución, abastecimiento equitativo y oportuno de alimentos nutritivos y de calidad; promoverán la seguridad y sustentabilidad alimentarias; y garantizarán el acceso a este derecho dando prioridad a las personas en pobreza y a las demás que determine la ley.  </w:t>
      </w:r>
    </w:p>
    <w:p w14:paraId="39F20D0D" w14:textId="77777777" w:rsidR="001C6F96" w:rsidRPr="008A2A2A" w:rsidRDefault="001C6F96" w:rsidP="001C6F96">
      <w:pPr>
        <w:autoSpaceDE w:val="0"/>
        <w:autoSpaceDN w:val="0"/>
        <w:adjustRightInd w:val="0"/>
        <w:jc w:val="both"/>
        <w:rPr>
          <w:rFonts w:ascii="Abadi" w:hAnsi="Abadi" w:cs="TrebuchetMS-Bold"/>
          <w:b/>
          <w:bCs/>
          <w:sz w:val="21"/>
          <w:szCs w:val="21"/>
        </w:rPr>
      </w:pPr>
    </w:p>
    <w:p w14:paraId="15EB712F" w14:textId="77777777" w:rsidR="001C6F96" w:rsidRPr="008A2A2A" w:rsidRDefault="001C6F96" w:rsidP="001C6F96">
      <w:pPr>
        <w:autoSpaceDE w:val="0"/>
        <w:autoSpaceDN w:val="0"/>
        <w:adjustRightInd w:val="0"/>
        <w:jc w:val="center"/>
        <w:rPr>
          <w:rFonts w:ascii="Abadi" w:hAnsi="Abadi" w:cs="TrebuchetMS-Bold"/>
          <w:b/>
          <w:bCs/>
          <w:sz w:val="21"/>
          <w:szCs w:val="21"/>
        </w:rPr>
      </w:pPr>
      <w:r w:rsidRPr="008A2A2A">
        <w:rPr>
          <w:rFonts w:ascii="Abadi" w:hAnsi="Abadi" w:cs="TrebuchetMS-Bold"/>
          <w:b/>
          <w:bCs/>
          <w:sz w:val="21"/>
          <w:szCs w:val="21"/>
        </w:rPr>
        <w:t>TRANSITORIOS</w:t>
      </w:r>
    </w:p>
    <w:p w14:paraId="0461DA2A" w14:textId="77777777" w:rsidR="001C6F96" w:rsidRPr="008A2A2A" w:rsidRDefault="001C6F96" w:rsidP="001C6F96">
      <w:pPr>
        <w:autoSpaceDE w:val="0"/>
        <w:autoSpaceDN w:val="0"/>
        <w:adjustRightInd w:val="0"/>
        <w:jc w:val="both"/>
        <w:rPr>
          <w:rFonts w:ascii="Abadi" w:hAnsi="Abadi" w:cs="TrebuchetMS-Bold"/>
          <w:b/>
          <w:bCs/>
          <w:sz w:val="21"/>
          <w:szCs w:val="21"/>
        </w:rPr>
      </w:pPr>
    </w:p>
    <w:p w14:paraId="38FB38AD"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Bold"/>
          <w:b/>
          <w:bCs/>
          <w:sz w:val="21"/>
          <w:szCs w:val="21"/>
        </w:rPr>
        <w:t>Artículo Único.</w:t>
      </w:r>
      <w:r w:rsidRPr="008A2A2A">
        <w:rPr>
          <w:rFonts w:ascii="Abadi" w:hAnsi="Abadi" w:cs="TrebuchetMS"/>
          <w:sz w:val="21"/>
          <w:szCs w:val="21"/>
        </w:rPr>
        <w:t>- El presente Decreto entrará en vigor al día siguiente, al de su publicación en</w:t>
      </w:r>
    </w:p>
    <w:p w14:paraId="18BA2043" w14:textId="77777777" w:rsidR="001C6F96" w:rsidRPr="008A2A2A" w:rsidRDefault="001C6F96" w:rsidP="001C6F96">
      <w:pPr>
        <w:autoSpaceDE w:val="0"/>
        <w:autoSpaceDN w:val="0"/>
        <w:adjustRightInd w:val="0"/>
        <w:jc w:val="both"/>
        <w:rPr>
          <w:rFonts w:ascii="Abadi" w:hAnsi="Abadi" w:cs="TrebuchetMS"/>
          <w:sz w:val="21"/>
          <w:szCs w:val="21"/>
        </w:rPr>
      </w:pPr>
      <w:r w:rsidRPr="008A2A2A">
        <w:rPr>
          <w:rFonts w:ascii="Abadi" w:hAnsi="Abadi" w:cs="TrebuchetMS"/>
          <w:sz w:val="21"/>
          <w:szCs w:val="21"/>
        </w:rPr>
        <w:t>el periódico oficial del Gobierno del Estado.</w:t>
      </w:r>
    </w:p>
    <w:p w14:paraId="377474E5" w14:textId="77777777" w:rsidR="001C6F96" w:rsidRPr="008A2A2A" w:rsidRDefault="001C6F96" w:rsidP="001C6F96">
      <w:pPr>
        <w:autoSpaceDE w:val="0"/>
        <w:autoSpaceDN w:val="0"/>
        <w:adjustRightInd w:val="0"/>
        <w:jc w:val="both"/>
        <w:rPr>
          <w:rFonts w:ascii="Abadi" w:hAnsi="Abadi" w:cs="TrebuchetMS"/>
          <w:sz w:val="21"/>
          <w:szCs w:val="21"/>
        </w:rPr>
      </w:pPr>
    </w:p>
    <w:p w14:paraId="09B544C5"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ATENTAMENTE.</w:t>
      </w:r>
    </w:p>
    <w:p w14:paraId="0A1BE94D"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GUANAJUATO, GTO., A 12 DE MAYO DE 2022.</w:t>
      </w:r>
    </w:p>
    <w:p w14:paraId="6BD1D722" w14:textId="12211471"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RUTH NOEMI TISCARE</w:t>
      </w:r>
      <w:r w:rsidR="00600557">
        <w:rPr>
          <w:rFonts w:ascii="Abadi" w:hAnsi="Abadi" w:cs="TrebuchetMS-Bold"/>
          <w:b/>
          <w:bCs/>
          <w:sz w:val="21"/>
          <w:szCs w:val="21"/>
        </w:rPr>
        <w:t xml:space="preserve"> </w:t>
      </w:r>
      <w:r w:rsidRPr="008A2A2A">
        <w:rPr>
          <w:rFonts w:ascii="Abadi" w:hAnsi="Abadi" w:cs="TrebuchetMS-Bold"/>
          <w:b/>
          <w:bCs/>
          <w:sz w:val="21"/>
          <w:szCs w:val="21"/>
        </w:rPr>
        <w:t>ÑO AGOITIA.</w:t>
      </w:r>
    </w:p>
    <w:p w14:paraId="6C371AFA"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DIP. INTEGRANTE DEL GRUPO PARLAMETARIO DEL PRI.</w:t>
      </w:r>
    </w:p>
    <w:p w14:paraId="1912CAC1"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ALEJANDRO ARIAS AVILA.</w:t>
      </w:r>
    </w:p>
    <w:p w14:paraId="00F9112E"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DIP. INTEGRANTE DEL GRUPO PARLAMENTARIO DEL PRI.</w:t>
      </w:r>
    </w:p>
    <w:p w14:paraId="6E14B4A0"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YULMA ROCHA AGUILAR.</w:t>
      </w:r>
    </w:p>
    <w:p w14:paraId="2B6250B1"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DIP. INTEGRANTE DEL GRUPO PARLAMENTARIO DEL PRI.</w:t>
      </w:r>
    </w:p>
    <w:p w14:paraId="75BE7156" w14:textId="77777777" w:rsidR="001C6F96" w:rsidRPr="008A2A2A" w:rsidRDefault="001C6F96" w:rsidP="001C6F96">
      <w:pPr>
        <w:autoSpaceDE w:val="0"/>
        <w:autoSpaceDN w:val="0"/>
        <w:adjustRightInd w:val="0"/>
        <w:jc w:val="both"/>
        <w:rPr>
          <w:rFonts w:ascii="Abadi" w:hAnsi="Abadi" w:cs="TrebuchetMS-Bold"/>
          <w:b/>
          <w:bCs/>
          <w:sz w:val="21"/>
          <w:szCs w:val="21"/>
        </w:rPr>
      </w:pPr>
      <w:r w:rsidRPr="008A2A2A">
        <w:rPr>
          <w:rFonts w:ascii="Abadi" w:hAnsi="Abadi" w:cs="TrebuchetMS-Bold"/>
          <w:b/>
          <w:bCs/>
          <w:sz w:val="21"/>
          <w:szCs w:val="21"/>
        </w:rPr>
        <w:t>GUSTAVO ADOLFO ALFARO REYES.</w:t>
      </w:r>
    </w:p>
    <w:p w14:paraId="260EE4AF" w14:textId="664563D4" w:rsidR="001C6F96" w:rsidRDefault="001C6F96" w:rsidP="001C6F96">
      <w:pPr>
        <w:jc w:val="both"/>
        <w:rPr>
          <w:rFonts w:ascii="Abadi" w:hAnsi="Abadi" w:cs="TrebuchetMS-Bold"/>
          <w:b/>
          <w:bCs/>
          <w:sz w:val="21"/>
          <w:szCs w:val="21"/>
        </w:rPr>
      </w:pPr>
      <w:r w:rsidRPr="008A2A2A">
        <w:rPr>
          <w:rFonts w:ascii="Abadi" w:hAnsi="Abadi" w:cs="TrebuchetMS-Bold"/>
          <w:b/>
          <w:bCs/>
          <w:sz w:val="21"/>
          <w:szCs w:val="21"/>
        </w:rPr>
        <w:t>DIP. INTEGRANTE DEL GRUPO PARLAMENTARIO DEL PRI.</w:t>
      </w:r>
    </w:p>
    <w:p w14:paraId="0F13A020" w14:textId="7EF29282" w:rsidR="00DA502D" w:rsidRDefault="00DA502D" w:rsidP="001C6F96">
      <w:pPr>
        <w:jc w:val="both"/>
        <w:rPr>
          <w:rFonts w:ascii="Abadi" w:hAnsi="Abadi" w:cs="TrebuchetMS-Bold"/>
          <w:b/>
          <w:bCs/>
          <w:sz w:val="21"/>
          <w:szCs w:val="21"/>
        </w:rPr>
      </w:pPr>
    </w:p>
    <w:p w14:paraId="5459426B" w14:textId="098AC6EA" w:rsidR="00962F7F" w:rsidRPr="00962F7F" w:rsidRDefault="00106724" w:rsidP="00106724">
      <w:pPr>
        <w:ind w:firstLine="708"/>
        <w:jc w:val="both"/>
        <w:rPr>
          <w:rFonts w:ascii="Abadi" w:hAnsi="Abadi"/>
          <w:sz w:val="21"/>
          <w:szCs w:val="21"/>
        </w:rPr>
      </w:pPr>
      <w:r>
        <w:rPr>
          <w:rFonts w:ascii="Abadi" w:hAnsi="Abadi"/>
          <w:b/>
          <w:bCs/>
          <w:sz w:val="21"/>
          <w:szCs w:val="21"/>
        </w:rPr>
        <w:t xml:space="preserve">- </w:t>
      </w:r>
      <w:r w:rsidR="00962F7F" w:rsidRPr="00962F7F">
        <w:rPr>
          <w:rFonts w:ascii="Abadi" w:hAnsi="Abadi"/>
          <w:b/>
          <w:bCs/>
          <w:sz w:val="21"/>
          <w:szCs w:val="21"/>
        </w:rPr>
        <w:t>La Presidencia.-</w:t>
      </w:r>
      <w:r w:rsidR="00962F7F" w:rsidRPr="00962F7F">
        <w:rPr>
          <w:rFonts w:ascii="Abadi" w:hAnsi="Abadi"/>
          <w:sz w:val="21"/>
          <w:szCs w:val="21"/>
        </w:rPr>
        <w:t xml:space="preserve"> Y es turno de la diputada Ruth Noemí Tiscareño Agoitia,  para dar lectura a la exposición de motivos, de la iniciativa formulada por ella y por los diputados integrantes del Grupo Parlamentario del Partido Revolucionario Institucional por la que se adiciona un párrafo al artículo 1 de la Constitución Política para el Estado de Guanajuato.</w:t>
      </w:r>
      <w:r w:rsidR="00962F7F" w:rsidRPr="00962F7F">
        <w:rPr>
          <w:rFonts w:ascii="Abadi" w:hAnsi="Abadi"/>
          <w:sz w:val="21"/>
          <w:szCs w:val="21"/>
        </w:rPr>
        <w:tab/>
      </w:r>
    </w:p>
    <w:p w14:paraId="7F55E15A" w14:textId="77777777" w:rsidR="00962F7F" w:rsidRPr="00962F7F" w:rsidRDefault="00962F7F" w:rsidP="00962F7F">
      <w:pPr>
        <w:jc w:val="both"/>
        <w:rPr>
          <w:rFonts w:ascii="Abadi" w:hAnsi="Abadi"/>
          <w:sz w:val="21"/>
          <w:szCs w:val="21"/>
        </w:rPr>
      </w:pPr>
    </w:p>
    <w:p w14:paraId="1CB33BC6" w14:textId="6C7E0975" w:rsidR="00962F7F" w:rsidRPr="00962F7F" w:rsidRDefault="00106724" w:rsidP="00106724">
      <w:pPr>
        <w:ind w:firstLine="708"/>
        <w:jc w:val="both"/>
        <w:rPr>
          <w:rFonts w:ascii="Abadi" w:hAnsi="Abadi"/>
          <w:sz w:val="21"/>
          <w:szCs w:val="21"/>
        </w:rPr>
      </w:pPr>
      <w:r>
        <w:rPr>
          <w:rFonts w:ascii="Abadi" w:hAnsi="Abadi"/>
          <w:sz w:val="21"/>
          <w:szCs w:val="21"/>
        </w:rPr>
        <w:t xml:space="preserve">- </w:t>
      </w:r>
      <w:r w:rsidR="00962F7F" w:rsidRPr="00962F7F">
        <w:rPr>
          <w:rFonts w:ascii="Abadi" w:hAnsi="Abadi"/>
          <w:sz w:val="21"/>
          <w:szCs w:val="21"/>
        </w:rPr>
        <w:t>Adelante diputada.</w:t>
      </w:r>
    </w:p>
    <w:p w14:paraId="2308DAFF" w14:textId="743CDBF8" w:rsidR="00962F7F" w:rsidRPr="00962F7F" w:rsidRDefault="00962F7F" w:rsidP="00962F7F">
      <w:pPr>
        <w:jc w:val="both"/>
        <w:rPr>
          <w:rFonts w:ascii="Abadi" w:hAnsi="Abadi"/>
          <w:sz w:val="21"/>
          <w:szCs w:val="21"/>
        </w:rPr>
      </w:pPr>
      <w:r w:rsidRPr="00962F7F">
        <w:rPr>
          <w:rFonts w:ascii="Abadi" w:hAnsi="Abadi"/>
          <w:noProof/>
          <w:sz w:val="21"/>
          <w:szCs w:val="21"/>
        </w:rPr>
        <w:drawing>
          <wp:anchor distT="0" distB="0" distL="114300" distR="114300" simplePos="0" relativeHeight="251666432" behindDoc="1" locked="0" layoutInCell="1" allowOverlap="1" wp14:anchorId="106725B3" wp14:editId="74914787">
            <wp:simplePos x="0" y="0"/>
            <wp:positionH relativeFrom="column">
              <wp:align>right</wp:align>
            </wp:positionH>
            <wp:positionV relativeFrom="paragraph">
              <wp:posOffset>338455</wp:posOffset>
            </wp:positionV>
            <wp:extent cx="2152650" cy="1106805"/>
            <wp:effectExtent l="19050" t="114300" r="0" b="855345"/>
            <wp:wrapTight wrapText="bothSides">
              <wp:wrapPolygon edited="0">
                <wp:start x="191" y="-2231"/>
                <wp:lineTo x="-191" y="4461"/>
                <wp:lineTo x="382" y="37921"/>
                <wp:lineTo x="1529" y="37921"/>
                <wp:lineTo x="1720" y="37177"/>
                <wp:lineTo x="19688" y="34203"/>
                <wp:lineTo x="20071" y="28255"/>
                <wp:lineTo x="20071" y="-2231"/>
                <wp:lineTo x="191" y="-2231"/>
              </wp:wrapPolygon>
            </wp:wrapTight>
            <wp:docPr id="20" name="Imagen 20"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que contiene Aplicación&#10;&#10;Descripción generada automáticamente"/>
                    <pic:cNvPicPr/>
                  </pic:nvPicPr>
                  <pic:blipFill rotWithShape="1">
                    <a:blip r:embed="rId25" cstate="print">
                      <a:extLst>
                        <a:ext uri="{28A0092B-C50C-407E-A947-70E740481C1C}">
                          <a14:useLocalDpi xmlns:a14="http://schemas.microsoft.com/office/drawing/2010/main" val="0"/>
                        </a:ext>
                      </a:extLst>
                    </a:blip>
                    <a:srcRect b="8533"/>
                    <a:stretch/>
                  </pic:blipFill>
                  <pic:spPr bwMode="auto">
                    <a:xfrm>
                      <a:off x="0" y="0"/>
                      <a:ext cx="2152650" cy="110680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C627BA" w14:textId="05BE6532" w:rsidR="00962F7F" w:rsidRPr="00962F7F" w:rsidRDefault="00962F7F" w:rsidP="00962F7F">
      <w:pPr>
        <w:jc w:val="both"/>
        <w:rPr>
          <w:rFonts w:ascii="Abadi" w:hAnsi="Abadi"/>
          <w:sz w:val="21"/>
          <w:szCs w:val="21"/>
        </w:rPr>
      </w:pPr>
    </w:p>
    <w:p w14:paraId="0414C6A2" w14:textId="77777777" w:rsidR="00962F7F" w:rsidRDefault="00962F7F" w:rsidP="00962F7F">
      <w:pPr>
        <w:pStyle w:val="Prrafodelista"/>
        <w:spacing w:after="160" w:line="259" w:lineRule="auto"/>
        <w:ind w:left="1065"/>
        <w:contextualSpacing/>
        <w:jc w:val="both"/>
        <w:rPr>
          <w:rFonts w:ascii="Abadi" w:hAnsi="Abadi"/>
          <w:b/>
          <w:bCs/>
          <w:sz w:val="21"/>
          <w:szCs w:val="21"/>
        </w:rPr>
      </w:pPr>
    </w:p>
    <w:p w14:paraId="237B10D4" w14:textId="77777777" w:rsidR="00962F7F" w:rsidRPr="00962F7F" w:rsidRDefault="00962F7F" w:rsidP="00962F7F">
      <w:pPr>
        <w:spacing w:after="160" w:line="259" w:lineRule="auto"/>
        <w:contextualSpacing/>
        <w:jc w:val="both"/>
        <w:rPr>
          <w:rFonts w:ascii="Abadi" w:hAnsi="Abadi"/>
          <w:b/>
          <w:bCs/>
          <w:sz w:val="21"/>
          <w:szCs w:val="21"/>
        </w:rPr>
      </w:pPr>
    </w:p>
    <w:p w14:paraId="3DEEE229" w14:textId="01D85066" w:rsidR="00962F7F" w:rsidRPr="00962F7F" w:rsidRDefault="00962F7F" w:rsidP="00962F7F">
      <w:pPr>
        <w:spacing w:after="160" w:line="259" w:lineRule="auto"/>
        <w:contextualSpacing/>
        <w:jc w:val="center"/>
        <w:rPr>
          <w:rFonts w:ascii="Abadi" w:hAnsi="Abadi"/>
          <w:b/>
          <w:bCs/>
          <w:sz w:val="21"/>
          <w:szCs w:val="21"/>
        </w:rPr>
      </w:pPr>
      <w:r>
        <w:rPr>
          <w:rFonts w:ascii="Abadi" w:hAnsi="Abadi"/>
          <w:b/>
          <w:bCs/>
          <w:sz w:val="21"/>
          <w:szCs w:val="21"/>
        </w:rPr>
        <w:t>-</w:t>
      </w:r>
      <w:r w:rsidRPr="00962F7F">
        <w:rPr>
          <w:rFonts w:ascii="Abadi" w:hAnsi="Abadi"/>
          <w:b/>
          <w:bCs/>
          <w:sz w:val="21"/>
          <w:szCs w:val="21"/>
        </w:rPr>
        <w:t>Diputada Ruth Noemí Tiscareño Agoitia</w:t>
      </w:r>
      <w:r>
        <w:rPr>
          <w:rFonts w:ascii="Abadi" w:hAnsi="Abadi"/>
          <w:b/>
          <w:bCs/>
          <w:sz w:val="21"/>
          <w:szCs w:val="21"/>
        </w:rPr>
        <w:t>-</w:t>
      </w:r>
    </w:p>
    <w:p w14:paraId="11DFBBF2" w14:textId="4F39F84C" w:rsidR="003172B8" w:rsidRDefault="003172B8" w:rsidP="001C6F96">
      <w:pPr>
        <w:jc w:val="both"/>
        <w:rPr>
          <w:rFonts w:ascii="Abadi" w:hAnsi="Abadi" w:cs="TrebuchetMS-Bold"/>
          <w:b/>
          <w:bCs/>
          <w:sz w:val="21"/>
          <w:szCs w:val="21"/>
        </w:rPr>
      </w:pPr>
    </w:p>
    <w:p w14:paraId="7DF75D16" w14:textId="15BB2143" w:rsidR="003172B8" w:rsidRDefault="003172B8" w:rsidP="001C6F96">
      <w:pPr>
        <w:jc w:val="both"/>
        <w:rPr>
          <w:rFonts w:ascii="Abadi" w:hAnsi="Abadi" w:cs="TrebuchetMS-Bold"/>
          <w:b/>
          <w:bCs/>
          <w:sz w:val="21"/>
          <w:szCs w:val="21"/>
        </w:rPr>
      </w:pPr>
    </w:p>
    <w:p w14:paraId="39E87BF3" w14:textId="33BFABA2" w:rsidR="003172B8" w:rsidRDefault="003172B8" w:rsidP="003172B8">
      <w:pPr>
        <w:jc w:val="both"/>
        <w:rPr>
          <w:rFonts w:ascii="Abadi" w:hAnsi="Abadi"/>
          <w:sz w:val="21"/>
          <w:szCs w:val="21"/>
        </w:rPr>
      </w:pPr>
      <w:r w:rsidRPr="003172B8">
        <w:rPr>
          <w:rFonts w:ascii="Abadi" w:hAnsi="Abadi"/>
          <w:sz w:val="21"/>
          <w:szCs w:val="21"/>
        </w:rPr>
        <w:t xml:space="preserve">-Muy Buenos días. Todos, compañeras y compañeros diputados, con el permiso de la Presidencia, me permito exponer la presente iniciativa conforme a las siguientes consideraciones. </w:t>
      </w:r>
    </w:p>
    <w:p w14:paraId="5B282C5C" w14:textId="77777777" w:rsidR="003172B8" w:rsidRPr="003172B8" w:rsidRDefault="003172B8" w:rsidP="003172B8">
      <w:pPr>
        <w:jc w:val="both"/>
        <w:rPr>
          <w:rFonts w:ascii="Abadi" w:hAnsi="Abadi"/>
          <w:sz w:val="21"/>
          <w:szCs w:val="21"/>
        </w:rPr>
      </w:pPr>
    </w:p>
    <w:p w14:paraId="768C840D" w14:textId="03BC86D1" w:rsidR="003172B8" w:rsidRDefault="003172B8" w:rsidP="003172B8">
      <w:pPr>
        <w:jc w:val="both"/>
        <w:rPr>
          <w:rFonts w:ascii="Abadi" w:hAnsi="Abadi"/>
          <w:sz w:val="21"/>
          <w:szCs w:val="21"/>
        </w:rPr>
      </w:pPr>
      <w:r w:rsidRPr="003172B8">
        <w:rPr>
          <w:rFonts w:ascii="Abadi" w:hAnsi="Abadi"/>
          <w:sz w:val="21"/>
          <w:szCs w:val="21"/>
        </w:rPr>
        <w:t>- El hambre perpetúa la pobreza al impedir que las personas desarrollen sus potencialidades, y contribuyan al progreso de sus sociedades, Kofi Annan, según estimaciones de 2016. Una de cada 9 personas sufre hambre crónica. Se espera que la demanda de alimentos en el mundo aumente como mínimo en un 20% durante los próximos 15 años. El capital natural se, está agotando a tazas sin precedentes y el cambio climático podría provocar una disminución considerable en la producción</w:t>
      </w:r>
    </w:p>
    <w:p w14:paraId="194CF94B" w14:textId="2B9308BD" w:rsidR="003172B8" w:rsidRDefault="003172B8" w:rsidP="003172B8">
      <w:pPr>
        <w:jc w:val="both"/>
        <w:rPr>
          <w:rFonts w:ascii="Abadi" w:hAnsi="Abadi"/>
          <w:sz w:val="21"/>
          <w:szCs w:val="21"/>
        </w:rPr>
      </w:pPr>
      <w:r w:rsidRPr="003172B8">
        <w:rPr>
          <w:rFonts w:ascii="Abadi" w:hAnsi="Abadi"/>
          <w:sz w:val="21"/>
          <w:szCs w:val="21"/>
        </w:rPr>
        <w:t xml:space="preserve">de alimentos, especialmente en las regiones con mayor inseguridad alimentaria, la fragilidad y los conflictos permanentes, conflictos permanentes, la inseguridad ciudadana, el desplazamiento de gran cantidad de personas. El cambio climático y la degradación de los recursos naturales continúan intensificando la inseguridad alimentaria de millones de personas, dichos factores son de suma preocupación para quienes, desde el ejercicio del poder y representación de los ciudadanos. podemos tomar produzcan en forma sostenible para el medio ambiente y la sociedad. Para entender un problema público primero es necesario reconocerlo. Y considerarlo dentro de las actividades gubernamentales, como es el caso. </w:t>
      </w:r>
    </w:p>
    <w:p w14:paraId="42C3158C" w14:textId="77777777" w:rsidR="003172B8" w:rsidRDefault="003172B8" w:rsidP="003172B8">
      <w:pPr>
        <w:jc w:val="both"/>
        <w:rPr>
          <w:rFonts w:ascii="Abadi" w:hAnsi="Abadi"/>
          <w:sz w:val="21"/>
          <w:szCs w:val="21"/>
        </w:rPr>
      </w:pPr>
    </w:p>
    <w:p w14:paraId="26E7F4EB" w14:textId="1FAD04F1" w:rsid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 xml:space="preserve">La primera acción de reconocimiento y garantía del derecho a la seguridad alimentaria es reconocerlo en nuestra Constitución de esa forma, al asegurar la seguridad alimentaria de los guanajuatenses, según la organización de las naciones unidas para la agricultura y la alimentación, la seguridad alimentaria  a nivel de individuo, hogar nación  y global se consigue cuando todas las personas en todo momento, tienen acceso físico y económico a suficiente alimento seguro y nutritivo, para satisfacer sus necesidades  alimenticias y sus preferencias  con el objetivo de llevar una vida activa y sana. </w:t>
      </w:r>
    </w:p>
    <w:p w14:paraId="4BA3525D" w14:textId="77777777" w:rsidR="003172B8" w:rsidRPr="003172B8" w:rsidRDefault="003172B8" w:rsidP="003172B8">
      <w:pPr>
        <w:jc w:val="both"/>
        <w:rPr>
          <w:rFonts w:ascii="Abadi" w:hAnsi="Abadi"/>
          <w:sz w:val="21"/>
          <w:szCs w:val="21"/>
        </w:rPr>
      </w:pPr>
    </w:p>
    <w:p w14:paraId="2BAB9478" w14:textId="7F501396" w:rsid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 xml:space="preserve">En ese sentido el Estado tiene la obligación de asegurar por lo menos que las personas no mueran de hambre, además los Estados deben de hacer todo lo posible por promover un disfrute pleno de los derechos a todos de tener alimentos, adecuados en su territorio. </w:t>
      </w:r>
    </w:p>
    <w:p w14:paraId="6DBDA9D4" w14:textId="77777777" w:rsidR="003172B8" w:rsidRPr="003172B8" w:rsidRDefault="003172B8" w:rsidP="003172B8">
      <w:pPr>
        <w:jc w:val="both"/>
        <w:rPr>
          <w:rFonts w:ascii="Abadi" w:hAnsi="Abadi"/>
          <w:sz w:val="21"/>
          <w:szCs w:val="21"/>
        </w:rPr>
      </w:pPr>
    </w:p>
    <w:p w14:paraId="706B82CD" w14:textId="5F2F7588" w:rsid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 xml:space="preserve">En otras palabras las personas deben de tener acceso </w:t>
      </w:r>
      <w:r w:rsidR="00962F7F" w:rsidRPr="003172B8">
        <w:rPr>
          <w:rFonts w:ascii="Abadi" w:hAnsi="Abadi"/>
          <w:sz w:val="21"/>
          <w:szCs w:val="21"/>
        </w:rPr>
        <w:t>físico y</w:t>
      </w:r>
      <w:r w:rsidRPr="003172B8">
        <w:rPr>
          <w:rFonts w:ascii="Abadi" w:hAnsi="Abadi"/>
          <w:sz w:val="21"/>
          <w:szCs w:val="21"/>
        </w:rPr>
        <w:t xml:space="preserve"> económico en todo momento a os alimentos en cantidad y calidad y adecuada para para llevar una vida saludable y activa y, así mismo para </w:t>
      </w:r>
      <w:r w:rsidR="00DF385D" w:rsidRPr="003172B8">
        <w:rPr>
          <w:rFonts w:ascii="Abadi" w:hAnsi="Abadi"/>
          <w:sz w:val="21"/>
          <w:szCs w:val="21"/>
        </w:rPr>
        <w:t xml:space="preserve">considerar </w:t>
      </w:r>
      <w:r w:rsidR="000D634C" w:rsidRPr="003172B8">
        <w:rPr>
          <w:rFonts w:ascii="Abadi" w:hAnsi="Abadi"/>
          <w:sz w:val="21"/>
          <w:szCs w:val="21"/>
        </w:rPr>
        <w:t>adecuados los</w:t>
      </w:r>
      <w:r w:rsidRPr="003172B8">
        <w:rPr>
          <w:rFonts w:ascii="Abadi" w:hAnsi="Abadi"/>
          <w:sz w:val="21"/>
          <w:szCs w:val="21"/>
        </w:rPr>
        <w:t xml:space="preserve"> </w:t>
      </w:r>
      <w:r w:rsidR="00416CE1" w:rsidRPr="003172B8">
        <w:rPr>
          <w:rFonts w:ascii="Abadi" w:hAnsi="Abadi"/>
          <w:sz w:val="21"/>
          <w:szCs w:val="21"/>
        </w:rPr>
        <w:t>alimentos, se</w:t>
      </w:r>
      <w:r w:rsidRPr="003172B8">
        <w:rPr>
          <w:rFonts w:ascii="Abadi" w:hAnsi="Abadi"/>
          <w:sz w:val="21"/>
          <w:szCs w:val="21"/>
        </w:rPr>
        <w:t xml:space="preserve"> requiere que además sea </w:t>
      </w:r>
      <w:r w:rsidR="006924DE" w:rsidRPr="003172B8">
        <w:rPr>
          <w:rFonts w:ascii="Abadi" w:hAnsi="Abadi"/>
          <w:sz w:val="21"/>
          <w:szCs w:val="21"/>
        </w:rPr>
        <w:t>culturalmente aceptables</w:t>
      </w:r>
      <w:r w:rsidRPr="003172B8">
        <w:rPr>
          <w:rFonts w:ascii="Abadi" w:hAnsi="Abadi"/>
          <w:sz w:val="21"/>
          <w:szCs w:val="21"/>
        </w:rPr>
        <w:t>, y que se produzcan en forma sostenible para el medo ambiente y la sociedad.</w:t>
      </w:r>
    </w:p>
    <w:p w14:paraId="1A7BEFD9" w14:textId="77777777" w:rsidR="003172B8" w:rsidRPr="003172B8" w:rsidRDefault="003172B8" w:rsidP="003172B8">
      <w:pPr>
        <w:jc w:val="both"/>
        <w:rPr>
          <w:rFonts w:ascii="Abadi" w:hAnsi="Abadi"/>
          <w:sz w:val="21"/>
          <w:szCs w:val="21"/>
        </w:rPr>
      </w:pPr>
    </w:p>
    <w:p w14:paraId="6785F00D" w14:textId="295CF69A" w:rsid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 xml:space="preserve">Para atender un problema público, primer es necesario reconocer y considerarlo dentro de las actividades gubernamentales, como es el caso, la primera acción  de reconocimiento y garantía del derecho a la seguridad alimentaria es reconocerlo en nuestra Constitución, de esa forma al asegurar la seguridad alimentaria de los guanajuatenses de manera interdependiente, es reconocer diversos derechos fundamentales como a salud y así el mantenimiento de la existencia humana y su correcto funcionamiento físico y mental  Lo cual tiene la posibilidad de establecer un parámetro de constitucionalidad local, que incluye no sólo los derechos humanos reconocidos en la Constitución federal y en los tratados internacionales, sino establecer el derecho de nuevo de nuevos derechos. </w:t>
      </w:r>
    </w:p>
    <w:p w14:paraId="6E6D2C03" w14:textId="77777777" w:rsidR="003172B8" w:rsidRPr="003172B8" w:rsidRDefault="003172B8" w:rsidP="003172B8">
      <w:pPr>
        <w:jc w:val="both"/>
        <w:rPr>
          <w:rFonts w:ascii="Abadi" w:hAnsi="Abadi"/>
          <w:sz w:val="21"/>
          <w:szCs w:val="21"/>
        </w:rPr>
      </w:pPr>
    </w:p>
    <w:p w14:paraId="18570D0C" w14:textId="5EE3B292" w:rsid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 xml:space="preserve">El reconocimiento de nuevos derechos así, la propuesta es insertar en nuestro texto constitucional local, adicionando un párrafo al artículo primero de la referida, lo anterior, por ser ese precepto constitucional, donde se encuentran reconocidos por nuestro Estado. De manera interdependiente, los derechos fundamentales. </w:t>
      </w:r>
    </w:p>
    <w:p w14:paraId="60466181" w14:textId="77777777" w:rsidR="003172B8" w:rsidRPr="003172B8" w:rsidRDefault="003172B8" w:rsidP="003172B8">
      <w:pPr>
        <w:jc w:val="both"/>
        <w:rPr>
          <w:rFonts w:ascii="Abadi" w:hAnsi="Abadi"/>
          <w:sz w:val="21"/>
          <w:szCs w:val="21"/>
        </w:rPr>
      </w:pPr>
    </w:p>
    <w:p w14:paraId="5E9C5588" w14:textId="2C124175" w:rsid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 xml:space="preserve">En este sentido la reforma que se propone, se propone en la base de concretar esfuerzos y acciones de todos los sectores y dependencias, estatales involucradas en las dimensiones propias del concepto de seguridad alimentaria, las acciones y esfuerzos que se deben realizar del reconocimiento en la constitución, e derecho a la seguridad alimentaria deben de contribuir a la solución de los problemas de disponibilidad, acceso, consumo y aprovechamiento adecuado de alimentos y sumarse a las acciones de prevención y tratamiento en los problemas de nutrición. </w:t>
      </w:r>
    </w:p>
    <w:p w14:paraId="1B18F534" w14:textId="77777777" w:rsidR="003172B8" w:rsidRPr="003172B8" w:rsidRDefault="003172B8" w:rsidP="003172B8">
      <w:pPr>
        <w:jc w:val="both"/>
        <w:rPr>
          <w:rFonts w:ascii="Abadi" w:hAnsi="Abadi"/>
          <w:sz w:val="21"/>
          <w:szCs w:val="21"/>
        </w:rPr>
      </w:pPr>
    </w:p>
    <w:p w14:paraId="2E8A29E2" w14:textId="34557F98" w:rsidR="003172B8" w:rsidRP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Es por lo que en la primer acción afirmativa de cumplimiento al mandato constitucional, reconocer el respecto, protección y garantía del derecho fundamental a la seguridad alimentaria por parte de este poder legislativo es llevar a cabo su implementación en nuestra Constitución Local, lo cual tiene la posibilidad de establecer un parámetro de Constitucional Local, que incluye no sólo los derechos humanos reconocidos en la Constitución Federal, y en los tratados internacionales, sino establecer el derecho de nuevos derechos, el reconocimiento de nuevos derechos , así la propuesta es insertar en nuestro texto constitucional  local adicionando un párrafo al artículo primero de la referida, lo anterior, es ese precepto, constitucional, donde se encuentran reconocidos, por nuestro Estado de manera interdependiente los derechos fundamentales</w:t>
      </w:r>
      <w:r>
        <w:rPr>
          <w:rFonts w:ascii="Abadi" w:hAnsi="Abadi"/>
          <w:sz w:val="21"/>
          <w:szCs w:val="21"/>
        </w:rPr>
        <w:t>.</w:t>
      </w:r>
    </w:p>
    <w:p w14:paraId="36E16F99" w14:textId="77777777" w:rsidR="003172B8" w:rsidRDefault="003172B8" w:rsidP="003172B8">
      <w:pPr>
        <w:jc w:val="both"/>
        <w:rPr>
          <w:rFonts w:ascii="Abadi" w:hAnsi="Abadi"/>
          <w:sz w:val="21"/>
          <w:szCs w:val="21"/>
        </w:rPr>
      </w:pPr>
    </w:p>
    <w:p w14:paraId="05759706" w14:textId="01830E83" w:rsidR="003172B8" w:rsidRDefault="003172B8" w:rsidP="003172B8">
      <w:pPr>
        <w:jc w:val="both"/>
        <w:rPr>
          <w:rFonts w:ascii="Abadi" w:hAnsi="Abadi"/>
          <w:sz w:val="21"/>
          <w:szCs w:val="21"/>
        </w:rPr>
      </w:pPr>
      <w:r w:rsidRPr="003172B8">
        <w:rPr>
          <w:rFonts w:ascii="Abadi" w:hAnsi="Abadi"/>
          <w:sz w:val="21"/>
          <w:szCs w:val="21"/>
        </w:rPr>
        <w:t xml:space="preserve">- Por último. Es preciso resaltar que evidentemente el reconocer un nuevo derecho implica la obligación para el estado de hacerlo efectivo, es decir, cuesta y cuesta mucho. Sin embargo, al tratarse de un derecho de vital importancia para la sociedad guanajuatense, el derecho fundamental de la seguridad alimentaria podrá ser cumplido a la luz del principio de progresividad de los derechos, es decir. </w:t>
      </w:r>
    </w:p>
    <w:p w14:paraId="1BD06779" w14:textId="77777777" w:rsidR="003172B8" w:rsidRPr="003172B8" w:rsidRDefault="003172B8" w:rsidP="003172B8">
      <w:pPr>
        <w:jc w:val="both"/>
        <w:rPr>
          <w:rFonts w:ascii="Abadi" w:hAnsi="Abadi"/>
          <w:sz w:val="21"/>
          <w:szCs w:val="21"/>
        </w:rPr>
      </w:pPr>
    </w:p>
    <w:p w14:paraId="0B2F8571" w14:textId="3F37F28D" w:rsidR="003172B8" w:rsidRDefault="003172B8" w:rsidP="003172B8">
      <w:pPr>
        <w:jc w:val="both"/>
        <w:rPr>
          <w:rFonts w:ascii="Abadi" w:hAnsi="Abadi"/>
          <w:sz w:val="21"/>
          <w:szCs w:val="21"/>
        </w:rPr>
      </w:pPr>
      <w:r w:rsidRPr="003172B8">
        <w:rPr>
          <w:rFonts w:ascii="Abadi" w:hAnsi="Abadi"/>
          <w:sz w:val="21"/>
          <w:szCs w:val="21"/>
        </w:rPr>
        <w:t xml:space="preserve">- De conformidad con los recursos disponibles del Estado de Guanajuato, la presente iniciativa cumple con los impactos a lo que a los que hace referencia el artículo 209 de la Ley Orgánica de Poder Legislativo del Estado de Guanajuato. </w:t>
      </w:r>
    </w:p>
    <w:p w14:paraId="6060D0AE" w14:textId="77777777" w:rsidR="00C827D5" w:rsidRPr="003172B8" w:rsidRDefault="00C827D5" w:rsidP="003172B8">
      <w:pPr>
        <w:jc w:val="both"/>
        <w:rPr>
          <w:rFonts w:ascii="Abadi" w:hAnsi="Abadi"/>
          <w:sz w:val="21"/>
          <w:szCs w:val="21"/>
        </w:rPr>
      </w:pPr>
    </w:p>
    <w:p w14:paraId="391F05BC" w14:textId="1724B42E" w:rsidR="003172B8" w:rsidRPr="003172B8" w:rsidRDefault="00C827D5" w:rsidP="003172B8">
      <w:pPr>
        <w:jc w:val="both"/>
        <w:rPr>
          <w:rFonts w:ascii="Abadi" w:hAnsi="Abadi"/>
          <w:sz w:val="21"/>
          <w:szCs w:val="21"/>
        </w:rPr>
      </w:pPr>
      <w:r>
        <w:rPr>
          <w:rFonts w:ascii="Abadi" w:hAnsi="Abadi"/>
          <w:sz w:val="21"/>
          <w:szCs w:val="21"/>
        </w:rPr>
        <w:t xml:space="preserve">- </w:t>
      </w:r>
      <w:r w:rsidR="003172B8" w:rsidRPr="003172B8">
        <w:rPr>
          <w:rFonts w:ascii="Abadi" w:hAnsi="Abadi"/>
          <w:sz w:val="21"/>
          <w:szCs w:val="21"/>
        </w:rPr>
        <w:t xml:space="preserve">Por lo anteriormente expuesto, someto a la consideración de esta Honorable Asamblea, el siguiente: </w:t>
      </w:r>
    </w:p>
    <w:p w14:paraId="762BD449" w14:textId="23CBD0DB" w:rsidR="003172B8" w:rsidRDefault="00C827D5" w:rsidP="003172B8">
      <w:pPr>
        <w:jc w:val="both"/>
        <w:rPr>
          <w:rFonts w:ascii="Abadi" w:hAnsi="Abadi"/>
          <w:sz w:val="21"/>
          <w:szCs w:val="21"/>
        </w:rPr>
      </w:pPr>
      <w:r>
        <w:rPr>
          <w:rFonts w:ascii="Abadi" w:hAnsi="Abadi"/>
          <w:sz w:val="21"/>
          <w:szCs w:val="21"/>
        </w:rPr>
        <w:t xml:space="preserve">- </w:t>
      </w:r>
      <w:r w:rsidR="003172B8" w:rsidRPr="003172B8">
        <w:rPr>
          <w:rFonts w:ascii="Abadi" w:hAnsi="Abadi"/>
          <w:sz w:val="21"/>
          <w:szCs w:val="21"/>
        </w:rPr>
        <w:t>Decreto</w:t>
      </w:r>
    </w:p>
    <w:p w14:paraId="5A2F830F" w14:textId="77777777" w:rsidR="003172B8" w:rsidRPr="003172B8" w:rsidRDefault="003172B8" w:rsidP="003172B8">
      <w:pPr>
        <w:jc w:val="both"/>
        <w:rPr>
          <w:rFonts w:ascii="Abadi" w:hAnsi="Abadi"/>
          <w:sz w:val="21"/>
          <w:szCs w:val="21"/>
        </w:rPr>
      </w:pPr>
    </w:p>
    <w:p w14:paraId="0A7BF04E" w14:textId="76B61815" w:rsidR="003172B8" w:rsidRDefault="003172B8" w:rsidP="003172B8">
      <w:pPr>
        <w:jc w:val="both"/>
        <w:rPr>
          <w:rFonts w:ascii="Abadi" w:hAnsi="Abadi"/>
          <w:sz w:val="21"/>
          <w:szCs w:val="21"/>
        </w:rPr>
      </w:pPr>
      <w:r w:rsidRPr="003172B8">
        <w:rPr>
          <w:rFonts w:ascii="Abadi" w:hAnsi="Abadi"/>
          <w:sz w:val="21"/>
          <w:szCs w:val="21"/>
        </w:rPr>
        <w:t xml:space="preserve">- Artículo único, se adiciona un párrafo al artículo primero de la Constitución Política del Estado libre y soberano de Guanajuato, para quedar de la siguiente manera: </w:t>
      </w:r>
    </w:p>
    <w:p w14:paraId="42C6E519" w14:textId="77777777" w:rsidR="003172B8" w:rsidRPr="003172B8" w:rsidRDefault="003172B8" w:rsidP="003172B8">
      <w:pPr>
        <w:jc w:val="both"/>
        <w:rPr>
          <w:rFonts w:ascii="Abadi" w:hAnsi="Abadi"/>
          <w:sz w:val="21"/>
          <w:szCs w:val="21"/>
        </w:rPr>
      </w:pPr>
    </w:p>
    <w:p w14:paraId="4FBE9682" w14:textId="09581983" w:rsid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 xml:space="preserve">Artículo primero, toda persona tiene derecho a una alimentación adecuada, nutritiva, diaria, suficiente y de calidad, con alimentos inocuos, saludables, accesibles, asequibles y culturalmente aceptables que le permitan gozar del más alto nivel, de desarrollo humano posible y lo proteja contra el hambre, la malnutrición y la desnutrición. </w:t>
      </w:r>
    </w:p>
    <w:p w14:paraId="16942E44" w14:textId="77777777" w:rsidR="003172B8" w:rsidRPr="003172B8" w:rsidRDefault="003172B8" w:rsidP="003172B8">
      <w:pPr>
        <w:jc w:val="both"/>
        <w:rPr>
          <w:rFonts w:ascii="Abadi" w:hAnsi="Abadi"/>
          <w:sz w:val="21"/>
          <w:szCs w:val="21"/>
        </w:rPr>
      </w:pPr>
    </w:p>
    <w:p w14:paraId="5DA0DF94" w14:textId="4EE5F634" w:rsidR="003172B8" w:rsidRP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Las autoridades de manera progresiva fomentaran la disponibilidad, distribución abastecimiento equitativo y oportuno de alimentos nutritivos y de calidad, promoverán la seguridad justa, sustentabilidad alimentaria y garantizara este derecho dando prioridad a las personas en extrema pobreza y a las demás que determine la Ley.</w:t>
      </w:r>
    </w:p>
    <w:p w14:paraId="7FAE0F3F" w14:textId="77777777" w:rsidR="003172B8" w:rsidRPr="003172B8" w:rsidRDefault="003172B8" w:rsidP="003172B8">
      <w:pPr>
        <w:jc w:val="both"/>
        <w:rPr>
          <w:rFonts w:ascii="Abadi" w:hAnsi="Abadi"/>
          <w:sz w:val="21"/>
          <w:szCs w:val="21"/>
        </w:rPr>
      </w:pPr>
    </w:p>
    <w:p w14:paraId="4E982639" w14:textId="0FEBDB36" w:rsidR="003172B8" w:rsidRDefault="003172B8" w:rsidP="003172B8">
      <w:pPr>
        <w:jc w:val="both"/>
        <w:rPr>
          <w:rFonts w:ascii="Abadi" w:hAnsi="Abadi"/>
          <w:sz w:val="21"/>
          <w:szCs w:val="21"/>
        </w:rPr>
      </w:pPr>
      <w:r>
        <w:rPr>
          <w:rFonts w:ascii="Abadi" w:hAnsi="Abadi"/>
          <w:sz w:val="21"/>
          <w:szCs w:val="21"/>
        </w:rPr>
        <w:t xml:space="preserve">- </w:t>
      </w:r>
      <w:r w:rsidRPr="003172B8">
        <w:rPr>
          <w:rFonts w:ascii="Abadi" w:hAnsi="Abadi"/>
          <w:sz w:val="21"/>
          <w:szCs w:val="21"/>
        </w:rPr>
        <w:t>Es cuanto presidenta.</w:t>
      </w:r>
    </w:p>
    <w:p w14:paraId="664550F3" w14:textId="0C3F6C2C" w:rsidR="00F75ACE" w:rsidRDefault="00F75ACE" w:rsidP="003172B8">
      <w:pPr>
        <w:jc w:val="both"/>
        <w:rPr>
          <w:rFonts w:ascii="Abadi" w:hAnsi="Abadi"/>
          <w:sz w:val="21"/>
          <w:szCs w:val="21"/>
        </w:rPr>
      </w:pPr>
    </w:p>
    <w:p w14:paraId="53548555" w14:textId="6CABA2D3" w:rsidR="00F75ACE" w:rsidRPr="00F75ACE" w:rsidRDefault="00F75ACE" w:rsidP="00F75ACE">
      <w:pPr>
        <w:ind w:firstLine="708"/>
        <w:jc w:val="both"/>
        <w:rPr>
          <w:rFonts w:ascii="Abadi" w:hAnsi="Abadi"/>
          <w:sz w:val="21"/>
          <w:szCs w:val="21"/>
        </w:rPr>
      </w:pPr>
      <w:r>
        <w:rPr>
          <w:rFonts w:ascii="Abadi" w:hAnsi="Abadi"/>
          <w:b/>
          <w:bCs/>
          <w:sz w:val="21"/>
          <w:szCs w:val="21"/>
        </w:rPr>
        <w:t xml:space="preserve">- </w:t>
      </w:r>
      <w:r w:rsidRPr="00F75ACE">
        <w:rPr>
          <w:rFonts w:ascii="Abadi" w:hAnsi="Abadi"/>
          <w:b/>
          <w:bCs/>
          <w:sz w:val="21"/>
          <w:szCs w:val="21"/>
        </w:rPr>
        <w:t>La Presidencia.-</w:t>
      </w:r>
      <w:r w:rsidRPr="00F75ACE">
        <w:rPr>
          <w:rFonts w:ascii="Abadi" w:hAnsi="Abadi"/>
          <w:sz w:val="21"/>
          <w:szCs w:val="21"/>
        </w:rPr>
        <w:t xml:space="preserve"> Muchas gracias, diputada. </w:t>
      </w:r>
    </w:p>
    <w:p w14:paraId="6C8BE16C" w14:textId="77777777" w:rsidR="00F75ACE" w:rsidRPr="00F75ACE" w:rsidRDefault="00F75ACE" w:rsidP="00F75ACE">
      <w:pPr>
        <w:jc w:val="both"/>
        <w:rPr>
          <w:rFonts w:ascii="Abadi" w:hAnsi="Abadi"/>
          <w:sz w:val="21"/>
          <w:szCs w:val="21"/>
        </w:rPr>
      </w:pPr>
    </w:p>
    <w:p w14:paraId="4D53DA61" w14:textId="188DE6FC" w:rsidR="00F75ACE" w:rsidRPr="00D81986" w:rsidRDefault="00F75ACE" w:rsidP="0049336B">
      <w:pPr>
        <w:ind w:left="284" w:right="283"/>
        <w:jc w:val="both"/>
        <w:rPr>
          <w:rFonts w:ascii="Abadi" w:hAnsi="Abadi"/>
          <w:b/>
          <w:bCs/>
          <w:i/>
          <w:iCs/>
          <w:sz w:val="21"/>
          <w:szCs w:val="21"/>
          <w:u w:val="single"/>
        </w:rPr>
      </w:pPr>
      <w:r w:rsidRPr="00D81986">
        <w:rPr>
          <w:rFonts w:ascii="Abadi" w:hAnsi="Abadi"/>
          <w:b/>
          <w:bCs/>
          <w:i/>
          <w:iCs/>
          <w:sz w:val="21"/>
          <w:szCs w:val="21"/>
          <w:u w:val="single"/>
        </w:rPr>
        <w:t>Con fundamento en el artículo 111, fracción I de nuestra Ley Orgánica</w:t>
      </w:r>
      <w:r w:rsidR="00DF385D" w:rsidRPr="00D81986">
        <w:rPr>
          <w:rFonts w:ascii="Abadi" w:hAnsi="Abadi"/>
          <w:b/>
          <w:bCs/>
          <w:i/>
          <w:iCs/>
          <w:sz w:val="21"/>
          <w:szCs w:val="21"/>
          <w:u w:val="single"/>
        </w:rPr>
        <w:t>, s</w:t>
      </w:r>
      <w:r w:rsidRPr="00D81986">
        <w:rPr>
          <w:rFonts w:ascii="Abadi" w:hAnsi="Abadi"/>
          <w:b/>
          <w:bCs/>
          <w:i/>
          <w:iCs/>
          <w:sz w:val="21"/>
          <w:szCs w:val="21"/>
          <w:u w:val="single"/>
        </w:rPr>
        <w:t xml:space="preserve">e turna a la Comisión de Gobernación y Puntos Constitucionales para su estudio y dictamen. </w:t>
      </w:r>
    </w:p>
    <w:p w14:paraId="24ED95AE" w14:textId="77777777" w:rsidR="00F75ACE" w:rsidRPr="00F75ACE" w:rsidRDefault="00F75ACE" w:rsidP="00F75ACE">
      <w:pPr>
        <w:jc w:val="both"/>
        <w:rPr>
          <w:rFonts w:ascii="Abadi" w:hAnsi="Abadi"/>
          <w:sz w:val="21"/>
          <w:szCs w:val="21"/>
        </w:rPr>
      </w:pPr>
    </w:p>
    <w:p w14:paraId="4993F0E7" w14:textId="32ED3BB6" w:rsidR="00F75ACE" w:rsidRPr="00F75ACE" w:rsidRDefault="00F75ACE" w:rsidP="00F75ACE">
      <w:pPr>
        <w:ind w:firstLine="708"/>
        <w:jc w:val="both"/>
        <w:rPr>
          <w:rFonts w:ascii="Abadi" w:hAnsi="Abadi"/>
          <w:sz w:val="21"/>
          <w:szCs w:val="21"/>
        </w:rPr>
      </w:pPr>
      <w:r>
        <w:rPr>
          <w:rFonts w:ascii="Abadi" w:hAnsi="Abadi"/>
          <w:sz w:val="21"/>
          <w:szCs w:val="21"/>
        </w:rPr>
        <w:t xml:space="preserve">- </w:t>
      </w:r>
      <w:r w:rsidRPr="00F75ACE">
        <w:rPr>
          <w:rFonts w:ascii="Abadi" w:hAnsi="Abadi"/>
          <w:sz w:val="21"/>
          <w:szCs w:val="21"/>
        </w:rPr>
        <w:t xml:space="preserve">Esta Presidencia da la más cordial bienvenida a estudiantes de Gobernanza y Políticas Públicas de la Universidad de Lasalle Bajío Campos, León, invitados por la diputada Martha Guadalupe Hernández Camarena, muy buenos días y bienvenidos. </w:t>
      </w:r>
    </w:p>
    <w:p w14:paraId="59108A6F" w14:textId="77777777" w:rsidR="00F75ACE" w:rsidRDefault="00F75ACE" w:rsidP="00F75ACE">
      <w:pPr>
        <w:jc w:val="both"/>
        <w:rPr>
          <w:rFonts w:ascii="Abadi" w:hAnsi="Abadi"/>
          <w:sz w:val="21"/>
          <w:szCs w:val="21"/>
        </w:rPr>
      </w:pPr>
    </w:p>
    <w:p w14:paraId="4B8DACB4" w14:textId="70DB6E3C" w:rsidR="00F75ACE" w:rsidRPr="00F75ACE" w:rsidRDefault="00F75ACE" w:rsidP="00E15BE0">
      <w:pPr>
        <w:ind w:firstLine="708"/>
        <w:jc w:val="both"/>
        <w:rPr>
          <w:rFonts w:ascii="Abadi" w:hAnsi="Abadi"/>
          <w:sz w:val="21"/>
          <w:szCs w:val="21"/>
        </w:rPr>
      </w:pPr>
      <w:r>
        <w:rPr>
          <w:rFonts w:ascii="Abadi" w:hAnsi="Abadi"/>
          <w:sz w:val="21"/>
          <w:szCs w:val="21"/>
        </w:rPr>
        <w:t xml:space="preserve">- </w:t>
      </w:r>
      <w:r w:rsidRPr="00F75ACE">
        <w:rPr>
          <w:rFonts w:ascii="Abadi" w:hAnsi="Abadi"/>
          <w:sz w:val="21"/>
          <w:szCs w:val="21"/>
        </w:rPr>
        <w:t xml:space="preserve">De igual forma, esa Presidencia da también la más cordial bienvenida a estudiantes de la Escuela Secundaria Técnica Número 35 del municipio de Jaral del Progreso, invitados por el diputado José Alfonso Borja Pimentel. Bienvenidos chicos. </w:t>
      </w:r>
    </w:p>
    <w:p w14:paraId="78258B0E" w14:textId="77777777" w:rsidR="00F75ACE" w:rsidRPr="008A2A2A" w:rsidRDefault="00F75ACE" w:rsidP="003172B8">
      <w:pPr>
        <w:jc w:val="both"/>
        <w:rPr>
          <w:rFonts w:ascii="Abadi" w:hAnsi="Abadi"/>
          <w:sz w:val="21"/>
          <w:szCs w:val="21"/>
        </w:rPr>
      </w:pPr>
    </w:p>
    <w:p w14:paraId="1FFA3FA8" w14:textId="74D0FEF5" w:rsidR="006F3002" w:rsidRDefault="006F3002" w:rsidP="006F3002">
      <w:pPr>
        <w:autoSpaceDE w:val="0"/>
        <w:autoSpaceDN w:val="0"/>
        <w:adjustRightInd w:val="0"/>
        <w:ind w:left="426"/>
        <w:jc w:val="both"/>
        <w:rPr>
          <w:rFonts w:ascii="Abadi" w:hAnsi="Abadi" w:cs="Arial-BoldMT"/>
          <w:b/>
          <w:bCs/>
          <w:sz w:val="20"/>
          <w:szCs w:val="21"/>
        </w:rPr>
      </w:pPr>
    </w:p>
    <w:p w14:paraId="5E68C587" w14:textId="6F6F4BAF"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PRESENTACIÓN DE LA INICIATIVA SIGNADA POR DIPUTADA Y DIPUTADOS INTEGRANTES DEL GRUPO PARLAMENTARIO DEL PARTIDO REVOLUCIONARIO INSTITUCIONAL A EFECTO DE REFORMAR EL ARTÍCULO 2890 DEL CÓDIGO CIVIL PARA EL ESTADO DE GUANAJUATO.</w:t>
      </w:r>
    </w:p>
    <w:p w14:paraId="1BB77123" w14:textId="046436D6" w:rsidR="003B3767" w:rsidRDefault="003B3767" w:rsidP="003B3767">
      <w:pPr>
        <w:autoSpaceDE w:val="0"/>
        <w:autoSpaceDN w:val="0"/>
        <w:adjustRightInd w:val="0"/>
        <w:jc w:val="both"/>
        <w:rPr>
          <w:rFonts w:ascii="Abadi" w:hAnsi="Abadi" w:cs="ArialMT"/>
          <w:b/>
          <w:bCs/>
          <w:sz w:val="20"/>
          <w:szCs w:val="21"/>
        </w:rPr>
      </w:pPr>
    </w:p>
    <w:p w14:paraId="0A00E327" w14:textId="6F48FEB4" w:rsidR="003B3767" w:rsidRPr="00A71292" w:rsidRDefault="003B3767" w:rsidP="003B3767">
      <w:pPr>
        <w:autoSpaceDE w:val="0"/>
        <w:autoSpaceDN w:val="0"/>
        <w:adjustRightInd w:val="0"/>
        <w:jc w:val="both"/>
        <w:rPr>
          <w:rFonts w:ascii="Abadi" w:hAnsi="Abadi" w:cs="Arial-BoldMT"/>
          <w:b/>
          <w:bCs/>
          <w:sz w:val="21"/>
          <w:szCs w:val="21"/>
        </w:rPr>
      </w:pPr>
      <w:r w:rsidRPr="00A71292">
        <w:rPr>
          <w:rFonts w:ascii="Abadi" w:hAnsi="Abadi" w:cs="Arial-BoldMT"/>
          <w:b/>
          <w:bCs/>
          <w:sz w:val="21"/>
          <w:szCs w:val="21"/>
        </w:rPr>
        <w:t>INICIATIVA CON PROYECTO DE DECRETO POR EL QUE SE REFORMA</w:t>
      </w:r>
      <w:r>
        <w:rPr>
          <w:rFonts w:ascii="Abadi" w:hAnsi="Abadi" w:cs="Arial-BoldMT"/>
          <w:b/>
          <w:bCs/>
          <w:sz w:val="21"/>
          <w:szCs w:val="21"/>
        </w:rPr>
        <w:t xml:space="preserve"> </w:t>
      </w:r>
      <w:r w:rsidRPr="00A71292">
        <w:rPr>
          <w:rFonts w:ascii="Abadi" w:hAnsi="Abadi" w:cs="Arial-BoldMT"/>
          <w:b/>
          <w:bCs/>
          <w:sz w:val="21"/>
          <w:szCs w:val="21"/>
        </w:rPr>
        <w:t>EL ARTÍCULO 2890 DEL CÓDIGO CIVIL PARA EL ESTADO DE</w:t>
      </w:r>
      <w:r>
        <w:rPr>
          <w:rFonts w:ascii="Abadi" w:hAnsi="Abadi" w:cs="Arial-BoldMT"/>
          <w:b/>
          <w:bCs/>
          <w:sz w:val="21"/>
          <w:szCs w:val="21"/>
        </w:rPr>
        <w:t xml:space="preserve"> </w:t>
      </w:r>
      <w:r w:rsidRPr="00A71292">
        <w:rPr>
          <w:rFonts w:ascii="Abadi" w:hAnsi="Abadi" w:cs="Arial-BoldMT"/>
          <w:b/>
          <w:bCs/>
          <w:sz w:val="21"/>
          <w:szCs w:val="21"/>
        </w:rPr>
        <w:t>GUANAJUATO, CON LA FINALIDAD DE QUE EN LOS CASOS DE</w:t>
      </w:r>
      <w:r w:rsidR="006924DE">
        <w:rPr>
          <w:rFonts w:ascii="Abadi" w:hAnsi="Abadi" w:cs="Arial-BoldMT"/>
          <w:b/>
          <w:bCs/>
          <w:sz w:val="21"/>
          <w:szCs w:val="21"/>
        </w:rPr>
        <w:t xml:space="preserve"> </w:t>
      </w:r>
      <w:r w:rsidRPr="00A71292">
        <w:rPr>
          <w:rFonts w:ascii="Abadi" w:hAnsi="Abadi" w:cs="Arial-BoldMT"/>
          <w:b/>
          <w:bCs/>
          <w:sz w:val="21"/>
          <w:szCs w:val="21"/>
        </w:rPr>
        <w:t>INEXISTENCIA O INCOMPARECENCIA DE HEREDEROS EN JUICIO</w:t>
      </w:r>
      <w:r>
        <w:rPr>
          <w:rFonts w:ascii="Abadi" w:hAnsi="Abadi" w:cs="Arial-BoldMT"/>
          <w:b/>
          <w:bCs/>
          <w:sz w:val="21"/>
          <w:szCs w:val="21"/>
        </w:rPr>
        <w:t xml:space="preserve"> </w:t>
      </w:r>
      <w:r w:rsidRPr="00A71292">
        <w:rPr>
          <w:rFonts w:ascii="Abadi" w:hAnsi="Abadi" w:cs="Arial-BoldMT"/>
          <w:b/>
          <w:bCs/>
          <w:sz w:val="21"/>
          <w:szCs w:val="21"/>
        </w:rPr>
        <w:t>SUCESORIO, SE AMPLIÉ EL TÉRMINO DE DOS A CINCO AÑOS PARA</w:t>
      </w:r>
      <w:r>
        <w:rPr>
          <w:rFonts w:ascii="Abadi" w:hAnsi="Abadi" w:cs="Arial-BoldMT"/>
          <w:b/>
          <w:bCs/>
          <w:sz w:val="21"/>
          <w:szCs w:val="21"/>
        </w:rPr>
        <w:t xml:space="preserve"> </w:t>
      </w:r>
      <w:r w:rsidRPr="00A71292">
        <w:rPr>
          <w:rFonts w:ascii="Abadi" w:hAnsi="Abadi" w:cs="Arial-BoldMT"/>
          <w:b/>
          <w:bCs/>
          <w:sz w:val="21"/>
          <w:szCs w:val="21"/>
        </w:rPr>
        <w:t>QUE PUEDAN RECLAMAR LA HERENCIA A PARTIR DE QUE LA</w:t>
      </w:r>
      <w:r>
        <w:rPr>
          <w:rFonts w:ascii="Abadi" w:hAnsi="Abadi" w:cs="Arial-BoldMT"/>
          <w:b/>
          <w:bCs/>
          <w:sz w:val="21"/>
          <w:szCs w:val="21"/>
        </w:rPr>
        <w:t xml:space="preserve"> </w:t>
      </w:r>
      <w:r w:rsidRPr="00A71292">
        <w:rPr>
          <w:rFonts w:ascii="Abadi" w:hAnsi="Abadi" w:cs="Arial-BoldMT"/>
          <w:b/>
          <w:bCs/>
          <w:sz w:val="21"/>
          <w:szCs w:val="21"/>
        </w:rPr>
        <w:t>UNIVERSIDAD DE GUANAJUATO SEA DECLARADA HEREDERA Y, QUE</w:t>
      </w:r>
      <w:r>
        <w:rPr>
          <w:rFonts w:ascii="Abadi" w:hAnsi="Abadi" w:cs="Arial-BoldMT"/>
          <w:b/>
          <w:bCs/>
          <w:sz w:val="21"/>
          <w:szCs w:val="21"/>
        </w:rPr>
        <w:t xml:space="preserve"> </w:t>
      </w:r>
      <w:r w:rsidRPr="00A71292">
        <w:rPr>
          <w:rFonts w:ascii="Abadi" w:hAnsi="Abadi" w:cs="Arial-BoldMT"/>
          <w:b/>
          <w:bCs/>
          <w:sz w:val="21"/>
          <w:szCs w:val="21"/>
        </w:rPr>
        <w:t>EN EL CASO DE MENORES DE 18 AÑOS, EL TÉRMINO PARA</w:t>
      </w:r>
      <w:r>
        <w:rPr>
          <w:rFonts w:ascii="Abadi" w:hAnsi="Abadi" w:cs="Arial-BoldMT"/>
          <w:b/>
          <w:bCs/>
          <w:sz w:val="21"/>
          <w:szCs w:val="21"/>
        </w:rPr>
        <w:t xml:space="preserve"> </w:t>
      </w:r>
      <w:r w:rsidRPr="00A71292">
        <w:rPr>
          <w:rFonts w:ascii="Abadi" w:hAnsi="Abadi" w:cs="Arial-BoldMT"/>
          <w:b/>
          <w:bCs/>
          <w:sz w:val="21"/>
          <w:szCs w:val="21"/>
        </w:rPr>
        <w:t>RECLAMAR HERENCIA SEA DE DIEZ AÑOS, EN ESTA MISMA</w:t>
      </w:r>
    </w:p>
    <w:p w14:paraId="5F170F4E" w14:textId="77777777" w:rsidR="003B3767" w:rsidRDefault="003B3767" w:rsidP="003B3767">
      <w:pPr>
        <w:autoSpaceDE w:val="0"/>
        <w:autoSpaceDN w:val="0"/>
        <w:adjustRightInd w:val="0"/>
        <w:jc w:val="both"/>
        <w:rPr>
          <w:rFonts w:ascii="Abadi" w:hAnsi="Abadi" w:cs="Arial-BoldMT"/>
          <w:b/>
          <w:bCs/>
          <w:sz w:val="21"/>
          <w:szCs w:val="21"/>
        </w:rPr>
      </w:pPr>
      <w:r w:rsidRPr="00A71292">
        <w:rPr>
          <w:rFonts w:ascii="Abadi" w:hAnsi="Abadi" w:cs="Arial-BoldMT"/>
          <w:b/>
          <w:bCs/>
          <w:sz w:val="21"/>
          <w:szCs w:val="21"/>
        </w:rPr>
        <w:t>HIPÓTESIS.</w:t>
      </w:r>
      <w:r>
        <w:rPr>
          <w:rFonts w:ascii="Abadi" w:hAnsi="Abadi" w:cs="Arial-BoldMT"/>
          <w:b/>
          <w:bCs/>
          <w:sz w:val="21"/>
          <w:szCs w:val="21"/>
        </w:rPr>
        <w:t xml:space="preserve"> </w:t>
      </w:r>
    </w:p>
    <w:p w14:paraId="12B30FC3" w14:textId="77777777" w:rsidR="003B3767" w:rsidRDefault="003B3767" w:rsidP="003B3767">
      <w:pPr>
        <w:autoSpaceDE w:val="0"/>
        <w:autoSpaceDN w:val="0"/>
        <w:adjustRightInd w:val="0"/>
        <w:jc w:val="both"/>
        <w:rPr>
          <w:rFonts w:ascii="Abadi" w:hAnsi="Abadi" w:cs="Arial-BoldMT"/>
          <w:b/>
          <w:bCs/>
          <w:sz w:val="21"/>
          <w:szCs w:val="21"/>
        </w:rPr>
      </w:pPr>
    </w:p>
    <w:p w14:paraId="7A7058F2" w14:textId="77777777" w:rsidR="003B3767" w:rsidRPr="00A71292" w:rsidRDefault="003B3767" w:rsidP="003B3767">
      <w:pPr>
        <w:autoSpaceDE w:val="0"/>
        <w:autoSpaceDN w:val="0"/>
        <w:adjustRightInd w:val="0"/>
        <w:jc w:val="both"/>
        <w:rPr>
          <w:rFonts w:ascii="Abadi" w:hAnsi="Abadi" w:cs="Arial-BoldMT"/>
          <w:b/>
          <w:bCs/>
          <w:sz w:val="21"/>
          <w:szCs w:val="21"/>
        </w:rPr>
      </w:pPr>
      <w:r w:rsidRPr="00A71292">
        <w:rPr>
          <w:rFonts w:ascii="Abadi" w:hAnsi="Abadi" w:cs="Arial-BoldMT"/>
          <w:b/>
          <w:bCs/>
          <w:sz w:val="21"/>
          <w:szCs w:val="21"/>
        </w:rPr>
        <w:t>DIPUTADA IRMA LETICIA GONZÁLEZ SÁNCHEZ</w:t>
      </w:r>
    </w:p>
    <w:p w14:paraId="43112317" w14:textId="77777777" w:rsidR="003B3767" w:rsidRPr="00A71292" w:rsidRDefault="003B3767" w:rsidP="003B3767">
      <w:pPr>
        <w:autoSpaceDE w:val="0"/>
        <w:autoSpaceDN w:val="0"/>
        <w:adjustRightInd w:val="0"/>
        <w:jc w:val="both"/>
        <w:rPr>
          <w:rFonts w:ascii="Abadi" w:hAnsi="Abadi" w:cs="Arial-BoldMT"/>
          <w:b/>
          <w:bCs/>
          <w:sz w:val="21"/>
          <w:szCs w:val="21"/>
        </w:rPr>
      </w:pPr>
      <w:r w:rsidRPr="00A71292">
        <w:rPr>
          <w:rFonts w:ascii="Abadi" w:hAnsi="Abadi" w:cs="Arial-BoldMT"/>
          <w:b/>
          <w:bCs/>
          <w:sz w:val="21"/>
          <w:szCs w:val="21"/>
        </w:rPr>
        <w:t>PRESIDENTA DEL CONGRESO DEL ESTADO LIBRE Y</w:t>
      </w:r>
    </w:p>
    <w:p w14:paraId="037C07D8" w14:textId="77777777" w:rsidR="003B3767" w:rsidRPr="00A71292" w:rsidRDefault="003B3767" w:rsidP="003B3767">
      <w:pPr>
        <w:autoSpaceDE w:val="0"/>
        <w:autoSpaceDN w:val="0"/>
        <w:adjustRightInd w:val="0"/>
        <w:jc w:val="both"/>
        <w:rPr>
          <w:rFonts w:ascii="Abadi" w:hAnsi="Abadi" w:cs="Arial-BoldMT"/>
          <w:b/>
          <w:bCs/>
          <w:sz w:val="21"/>
          <w:szCs w:val="21"/>
        </w:rPr>
      </w:pPr>
      <w:r w:rsidRPr="00A71292">
        <w:rPr>
          <w:rFonts w:ascii="Abadi" w:hAnsi="Abadi" w:cs="Arial-BoldMT"/>
          <w:b/>
          <w:bCs/>
          <w:sz w:val="21"/>
          <w:szCs w:val="21"/>
        </w:rPr>
        <w:t>SOBERANO DE GUANAJUATO SEXAGÉSIMA QUINTA LEGISLATURA</w:t>
      </w:r>
    </w:p>
    <w:p w14:paraId="48459ED1" w14:textId="77777777" w:rsidR="003B3767" w:rsidRPr="00A71292" w:rsidRDefault="003B3767" w:rsidP="003B3767">
      <w:pPr>
        <w:autoSpaceDE w:val="0"/>
        <w:autoSpaceDN w:val="0"/>
        <w:adjustRightInd w:val="0"/>
        <w:jc w:val="both"/>
        <w:rPr>
          <w:rFonts w:ascii="Abadi" w:hAnsi="Abadi" w:cs="Arial-BoldMT"/>
          <w:b/>
          <w:bCs/>
          <w:sz w:val="21"/>
          <w:szCs w:val="21"/>
        </w:rPr>
      </w:pPr>
      <w:r w:rsidRPr="00A71292">
        <w:rPr>
          <w:rFonts w:ascii="Abadi" w:hAnsi="Abadi" w:cs="Arial-BoldMT"/>
          <w:b/>
          <w:bCs/>
          <w:sz w:val="21"/>
          <w:szCs w:val="21"/>
        </w:rPr>
        <w:t>PRESENTE</w:t>
      </w:r>
    </w:p>
    <w:p w14:paraId="31EA9E5B" w14:textId="77777777" w:rsidR="003B3767" w:rsidRDefault="003B3767" w:rsidP="003B3767">
      <w:pPr>
        <w:autoSpaceDE w:val="0"/>
        <w:autoSpaceDN w:val="0"/>
        <w:adjustRightInd w:val="0"/>
        <w:jc w:val="both"/>
        <w:rPr>
          <w:rFonts w:ascii="Abadi" w:hAnsi="Abadi" w:cs="Arial-BoldMT"/>
          <w:b/>
          <w:bCs/>
          <w:sz w:val="21"/>
          <w:szCs w:val="21"/>
        </w:rPr>
      </w:pPr>
    </w:p>
    <w:p w14:paraId="28103166" w14:textId="0EFFEDD0" w:rsidR="003B3767" w:rsidRDefault="003B3767" w:rsidP="003B3767">
      <w:pPr>
        <w:autoSpaceDE w:val="0"/>
        <w:autoSpaceDN w:val="0"/>
        <w:adjustRightInd w:val="0"/>
        <w:jc w:val="both"/>
        <w:rPr>
          <w:rFonts w:ascii="Abadi" w:hAnsi="Abadi" w:cs="ArialMT"/>
          <w:sz w:val="21"/>
          <w:szCs w:val="21"/>
        </w:rPr>
      </w:pPr>
      <w:r w:rsidRPr="00A71292">
        <w:rPr>
          <w:rFonts w:ascii="Abadi" w:hAnsi="Abadi" w:cs="Arial-BoldMT"/>
          <w:b/>
          <w:bCs/>
          <w:sz w:val="21"/>
          <w:szCs w:val="21"/>
        </w:rPr>
        <w:t xml:space="preserve">GUSTAVO ADOLFO ALFARO REYES, </w:t>
      </w:r>
      <w:r w:rsidRPr="00A71292">
        <w:rPr>
          <w:rFonts w:ascii="Abadi" w:hAnsi="Abadi" w:cs="ArialMT"/>
          <w:sz w:val="21"/>
          <w:szCs w:val="21"/>
        </w:rPr>
        <w:t>proponente y quienes suscriben</w:t>
      </w:r>
      <w:r w:rsidRPr="00A71292">
        <w:rPr>
          <w:rFonts w:ascii="Abadi" w:hAnsi="Abadi" w:cs="Arial-BoldMT"/>
          <w:b/>
          <w:bCs/>
          <w:sz w:val="21"/>
          <w:szCs w:val="21"/>
        </w:rPr>
        <w:t>,</w:t>
      </w:r>
      <w:r>
        <w:rPr>
          <w:rFonts w:ascii="Abadi" w:hAnsi="Abadi" w:cs="Arial-BoldMT"/>
          <w:b/>
          <w:bCs/>
          <w:sz w:val="21"/>
          <w:szCs w:val="21"/>
        </w:rPr>
        <w:t xml:space="preserve"> </w:t>
      </w:r>
      <w:r w:rsidRPr="00A71292">
        <w:rPr>
          <w:rFonts w:ascii="Abadi" w:hAnsi="Abadi" w:cs="ArialMT"/>
          <w:sz w:val="21"/>
          <w:szCs w:val="21"/>
        </w:rPr>
        <w:t>Diputadas y Diputados integrantes de la LXV Legislatura del H. Congreso del</w:t>
      </w:r>
      <w:r>
        <w:rPr>
          <w:rFonts w:ascii="Abadi" w:hAnsi="Abadi" w:cs="ArialMT"/>
          <w:sz w:val="21"/>
          <w:szCs w:val="21"/>
        </w:rPr>
        <w:t xml:space="preserve"> </w:t>
      </w:r>
      <w:r w:rsidRPr="00A71292">
        <w:rPr>
          <w:rFonts w:ascii="Abadi" w:hAnsi="Abadi" w:cs="ArialMT"/>
          <w:sz w:val="21"/>
          <w:szCs w:val="21"/>
        </w:rPr>
        <w:t>Estado de Guanajuato y del Grupo Parlamentario del Partido Revolucionario</w:t>
      </w:r>
      <w:r>
        <w:rPr>
          <w:rFonts w:ascii="Abadi" w:hAnsi="Abadi" w:cs="ArialMT"/>
          <w:sz w:val="21"/>
          <w:szCs w:val="21"/>
        </w:rPr>
        <w:t xml:space="preserve"> </w:t>
      </w:r>
      <w:r w:rsidRPr="00A71292">
        <w:rPr>
          <w:rFonts w:ascii="Abadi" w:hAnsi="Abadi" w:cs="ArialMT"/>
          <w:sz w:val="21"/>
          <w:szCs w:val="21"/>
        </w:rPr>
        <w:t>Institucional l, con fundamento en lo dispuesto en la fracción II del artículo 56</w:t>
      </w:r>
      <w:r>
        <w:rPr>
          <w:rFonts w:ascii="Abadi" w:hAnsi="Abadi" w:cs="ArialMT"/>
          <w:sz w:val="21"/>
          <w:szCs w:val="21"/>
        </w:rPr>
        <w:t xml:space="preserve"> </w:t>
      </w:r>
      <w:r w:rsidRPr="00A71292">
        <w:rPr>
          <w:rFonts w:ascii="Abadi" w:hAnsi="Abadi" w:cs="ArialMT"/>
          <w:sz w:val="21"/>
          <w:szCs w:val="21"/>
        </w:rPr>
        <w:t>de la Constitución Política para el Estado de Guanajuato, así como en el</w:t>
      </w:r>
      <w:r>
        <w:rPr>
          <w:rFonts w:ascii="Abadi" w:hAnsi="Abadi" w:cs="ArialMT"/>
          <w:sz w:val="21"/>
          <w:szCs w:val="21"/>
        </w:rPr>
        <w:t xml:space="preserve"> </w:t>
      </w:r>
      <w:r w:rsidRPr="00A71292">
        <w:rPr>
          <w:rFonts w:ascii="Abadi" w:hAnsi="Abadi" w:cs="ArialMT"/>
          <w:sz w:val="21"/>
          <w:szCs w:val="21"/>
        </w:rPr>
        <w:t>artículo 167, fracción II de la Ley Orgánica del Poder Legislativo del Estado</w:t>
      </w:r>
      <w:r>
        <w:rPr>
          <w:rFonts w:ascii="Abadi" w:hAnsi="Abadi" w:cs="ArialMT"/>
          <w:sz w:val="21"/>
          <w:szCs w:val="21"/>
        </w:rPr>
        <w:t xml:space="preserve"> </w:t>
      </w:r>
      <w:r w:rsidRPr="00A71292">
        <w:rPr>
          <w:rFonts w:ascii="Abadi" w:hAnsi="Abadi" w:cs="ArialMT"/>
          <w:sz w:val="21"/>
          <w:szCs w:val="21"/>
        </w:rPr>
        <w:t>de Guanajuato, someto a consideración del Pleno para su aprobación, la</w:t>
      </w:r>
      <w:r>
        <w:rPr>
          <w:rFonts w:ascii="Abadi" w:hAnsi="Abadi" w:cs="ArialMT"/>
          <w:sz w:val="21"/>
          <w:szCs w:val="21"/>
        </w:rPr>
        <w:t xml:space="preserve"> </w:t>
      </w:r>
      <w:r w:rsidRPr="00A71292">
        <w:rPr>
          <w:rFonts w:ascii="Abadi" w:hAnsi="Abadi" w:cs="ArialMT"/>
          <w:sz w:val="21"/>
          <w:szCs w:val="21"/>
        </w:rPr>
        <w:t xml:space="preserve">presente iniciativa con proyecto de Decreto que </w:t>
      </w:r>
      <w:r w:rsidRPr="00A71292">
        <w:rPr>
          <w:rFonts w:ascii="Abadi" w:hAnsi="Abadi" w:cs="Arial-BoldItalicMT"/>
          <w:b/>
          <w:bCs/>
          <w:i/>
          <w:iCs/>
          <w:sz w:val="21"/>
          <w:szCs w:val="21"/>
        </w:rPr>
        <w:t>reforma el artículo 2890 del</w:t>
      </w:r>
      <w:r>
        <w:rPr>
          <w:rFonts w:ascii="Abadi" w:hAnsi="Abadi" w:cs="Arial-BoldItalicMT"/>
          <w:b/>
          <w:bCs/>
          <w:i/>
          <w:iCs/>
          <w:sz w:val="21"/>
          <w:szCs w:val="21"/>
        </w:rPr>
        <w:t xml:space="preserve"> </w:t>
      </w:r>
      <w:r w:rsidRPr="00A71292">
        <w:rPr>
          <w:rFonts w:ascii="Abadi" w:hAnsi="Abadi" w:cs="Arial-BoldItalicMT"/>
          <w:b/>
          <w:bCs/>
          <w:i/>
          <w:iCs/>
          <w:sz w:val="21"/>
          <w:szCs w:val="21"/>
        </w:rPr>
        <w:t>Código Civil para el Estado de Guanajuato, con la finalidad de que en los</w:t>
      </w:r>
      <w:r>
        <w:rPr>
          <w:rFonts w:ascii="Abadi" w:hAnsi="Abadi" w:cs="Arial-BoldItalicMT"/>
          <w:b/>
          <w:bCs/>
          <w:i/>
          <w:iCs/>
          <w:sz w:val="21"/>
          <w:szCs w:val="21"/>
        </w:rPr>
        <w:t xml:space="preserve"> </w:t>
      </w:r>
      <w:r w:rsidRPr="00A71292">
        <w:rPr>
          <w:rFonts w:ascii="Abadi" w:hAnsi="Abadi" w:cs="Arial-BoldItalicMT"/>
          <w:b/>
          <w:bCs/>
          <w:i/>
          <w:iCs/>
          <w:sz w:val="21"/>
          <w:szCs w:val="21"/>
        </w:rPr>
        <w:t>casos de incomparecencia de herederos en juicio, se amplié el término</w:t>
      </w:r>
      <w:r>
        <w:rPr>
          <w:rFonts w:ascii="Abadi" w:hAnsi="Abadi" w:cs="Arial-BoldItalicMT"/>
          <w:b/>
          <w:bCs/>
          <w:i/>
          <w:iCs/>
          <w:sz w:val="21"/>
          <w:szCs w:val="21"/>
        </w:rPr>
        <w:t xml:space="preserve"> </w:t>
      </w:r>
      <w:r w:rsidRPr="00A71292">
        <w:rPr>
          <w:rFonts w:ascii="Abadi" w:hAnsi="Abadi" w:cs="Arial-BoldItalicMT"/>
          <w:b/>
          <w:bCs/>
          <w:i/>
          <w:iCs/>
          <w:sz w:val="21"/>
          <w:szCs w:val="21"/>
        </w:rPr>
        <w:t>de dos a cinco años para que puedan reclamar la herencia a partir de</w:t>
      </w:r>
      <w:r>
        <w:rPr>
          <w:rFonts w:ascii="Abadi" w:hAnsi="Abadi" w:cs="Arial-BoldItalicMT"/>
          <w:b/>
          <w:bCs/>
          <w:i/>
          <w:iCs/>
          <w:sz w:val="21"/>
          <w:szCs w:val="21"/>
        </w:rPr>
        <w:t xml:space="preserve"> </w:t>
      </w:r>
      <w:r w:rsidRPr="00A71292">
        <w:rPr>
          <w:rFonts w:ascii="Abadi" w:hAnsi="Abadi" w:cs="Arial-BoldItalicMT"/>
          <w:b/>
          <w:bCs/>
          <w:i/>
          <w:iCs/>
          <w:sz w:val="21"/>
          <w:szCs w:val="21"/>
        </w:rPr>
        <w:t>que la Universidad de Guanajuato promueva y sea declarada heredera</w:t>
      </w:r>
      <w:r>
        <w:rPr>
          <w:rFonts w:ascii="Abadi" w:hAnsi="Abadi" w:cs="Arial-BoldItalicMT"/>
          <w:b/>
          <w:bCs/>
          <w:i/>
          <w:iCs/>
          <w:sz w:val="21"/>
          <w:szCs w:val="21"/>
        </w:rPr>
        <w:t xml:space="preserve"> </w:t>
      </w:r>
      <w:r w:rsidRPr="00A71292">
        <w:rPr>
          <w:rFonts w:ascii="Abadi" w:hAnsi="Abadi" w:cs="Arial-BoldItalicMT"/>
          <w:b/>
          <w:bCs/>
          <w:i/>
          <w:iCs/>
          <w:sz w:val="21"/>
          <w:szCs w:val="21"/>
        </w:rPr>
        <w:t>y, que en el caso de menores de 18 años, el término para reclamar sea</w:t>
      </w:r>
      <w:r>
        <w:rPr>
          <w:rFonts w:ascii="Abadi" w:hAnsi="Abadi" w:cs="Arial-BoldItalicMT"/>
          <w:b/>
          <w:bCs/>
          <w:i/>
          <w:iCs/>
          <w:sz w:val="21"/>
          <w:szCs w:val="21"/>
        </w:rPr>
        <w:t xml:space="preserve"> </w:t>
      </w:r>
      <w:r w:rsidRPr="00A71292">
        <w:rPr>
          <w:rFonts w:ascii="Abadi" w:hAnsi="Abadi" w:cs="Arial-BoldItalicMT"/>
          <w:b/>
          <w:bCs/>
          <w:i/>
          <w:iCs/>
          <w:sz w:val="21"/>
          <w:szCs w:val="21"/>
        </w:rPr>
        <w:t>de diez años en esta hipótesis</w:t>
      </w:r>
      <w:r w:rsidRPr="00A71292">
        <w:rPr>
          <w:rFonts w:ascii="Abadi" w:hAnsi="Abadi" w:cs="Arial-BoldMT"/>
          <w:b/>
          <w:bCs/>
          <w:sz w:val="21"/>
          <w:szCs w:val="21"/>
        </w:rPr>
        <w:t xml:space="preserve">, </w:t>
      </w:r>
      <w:r w:rsidRPr="00A71292">
        <w:rPr>
          <w:rFonts w:ascii="Abadi" w:hAnsi="Abadi" w:cs="ArialMT"/>
          <w:sz w:val="21"/>
          <w:szCs w:val="21"/>
        </w:rPr>
        <w:t>conforme a la siguiente:</w:t>
      </w:r>
    </w:p>
    <w:p w14:paraId="1043D67F" w14:textId="77777777" w:rsidR="003B3767" w:rsidRPr="00A71292" w:rsidRDefault="003B3767" w:rsidP="003B3767">
      <w:pPr>
        <w:autoSpaceDE w:val="0"/>
        <w:autoSpaceDN w:val="0"/>
        <w:adjustRightInd w:val="0"/>
        <w:jc w:val="both"/>
        <w:rPr>
          <w:rFonts w:ascii="Abadi" w:hAnsi="Abadi" w:cs="ArialMT"/>
          <w:sz w:val="21"/>
          <w:szCs w:val="21"/>
        </w:rPr>
      </w:pPr>
    </w:p>
    <w:p w14:paraId="158881B5" w14:textId="77777777" w:rsidR="003B3767" w:rsidRPr="00A71292" w:rsidRDefault="003B3767" w:rsidP="003B3767">
      <w:pPr>
        <w:jc w:val="center"/>
        <w:rPr>
          <w:rFonts w:ascii="Abadi" w:hAnsi="Abadi" w:cs="Arial-BoldMT"/>
          <w:b/>
          <w:bCs/>
          <w:sz w:val="21"/>
          <w:szCs w:val="21"/>
        </w:rPr>
      </w:pPr>
      <w:r w:rsidRPr="00A71292">
        <w:rPr>
          <w:rFonts w:ascii="Abadi" w:hAnsi="Abadi" w:cs="Arial-BoldMT"/>
          <w:b/>
          <w:bCs/>
          <w:sz w:val="21"/>
          <w:szCs w:val="21"/>
        </w:rPr>
        <w:t>EXPOSICION DE MOTIVOS</w:t>
      </w:r>
    </w:p>
    <w:p w14:paraId="30E4BFBE" w14:textId="77777777" w:rsidR="003B3767" w:rsidRPr="00A71292" w:rsidRDefault="003B3767" w:rsidP="003B3767">
      <w:pPr>
        <w:jc w:val="both"/>
        <w:rPr>
          <w:rFonts w:ascii="Abadi" w:hAnsi="Abadi" w:cs="Arial-BoldMT"/>
          <w:b/>
          <w:bCs/>
          <w:sz w:val="21"/>
          <w:szCs w:val="21"/>
        </w:rPr>
      </w:pPr>
    </w:p>
    <w:p w14:paraId="529C9E56" w14:textId="31A65505" w:rsidR="003B3767" w:rsidRDefault="003B3767" w:rsidP="003B3767">
      <w:pPr>
        <w:autoSpaceDE w:val="0"/>
        <w:autoSpaceDN w:val="0"/>
        <w:adjustRightInd w:val="0"/>
        <w:jc w:val="both"/>
        <w:rPr>
          <w:rFonts w:ascii="Abadi" w:hAnsi="Abadi" w:cs="ArialMT"/>
          <w:sz w:val="21"/>
          <w:szCs w:val="21"/>
        </w:rPr>
      </w:pPr>
      <w:r>
        <w:rPr>
          <w:rFonts w:ascii="Abadi" w:hAnsi="Abadi" w:cs="ArialMT"/>
          <w:sz w:val="21"/>
          <w:szCs w:val="21"/>
        </w:rPr>
        <w:t>E</w:t>
      </w:r>
      <w:r w:rsidRPr="00A71292">
        <w:rPr>
          <w:rFonts w:ascii="Abadi" w:hAnsi="Abadi" w:cs="ArialMT"/>
          <w:sz w:val="21"/>
          <w:szCs w:val="21"/>
        </w:rPr>
        <w:t>l derecho hereditario o sucesorio siempre ha sido un tema de gran interés</w:t>
      </w:r>
      <w:r>
        <w:rPr>
          <w:rFonts w:ascii="Abadi" w:hAnsi="Abadi" w:cs="ArialMT"/>
          <w:sz w:val="21"/>
          <w:szCs w:val="21"/>
        </w:rPr>
        <w:t xml:space="preserve"> </w:t>
      </w:r>
      <w:r w:rsidRPr="00A71292">
        <w:rPr>
          <w:rFonts w:ascii="Abadi" w:hAnsi="Abadi" w:cs="ArialMT"/>
          <w:sz w:val="21"/>
          <w:szCs w:val="21"/>
        </w:rPr>
        <w:t>científico y técnico porque el punto central en torno al que se desenvuelve la</w:t>
      </w:r>
      <w:r>
        <w:rPr>
          <w:rFonts w:ascii="Abadi" w:hAnsi="Abadi" w:cs="ArialMT"/>
          <w:sz w:val="21"/>
          <w:szCs w:val="21"/>
        </w:rPr>
        <w:t xml:space="preserve"> </w:t>
      </w:r>
      <w:r w:rsidRPr="00A71292">
        <w:rPr>
          <w:rFonts w:ascii="Abadi" w:hAnsi="Abadi" w:cs="ArialMT"/>
          <w:sz w:val="21"/>
          <w:szCs w:val="21"/>
        </w:rPr>
        <w:t>doctrina de este derecho es el concepto de herencia, que se define en</w:t>
      </w:r>
      <w:r>
        <w:rPr>
          <w:rFonts w:ascii="Abadi" w:hAnsi="Abadi" w:cs="ArialMT"/>
          <w:sz w:val="21"/>
          <w:szCs w:val="21"/>
        </w:rPr>
        <w:t xml:space="preserve"> </w:t>
      </w:r>
      <w:r w:rsidRPr="00A71292">
        <w:rPr>
          <w:rFonts w:ascii="Abadi" w:hAnsi="Abadi" w:cs="ArialMT"/>
          <w:sz w:val="21"/>
          <w:szCs w:val="21"/>
        </w:rPr>
        <w:t>sentido objetivo, como todo el patrimonio de un fallecido, considerado como</w:t>
      </w:r>
      <w:r>
        <w:rPr>
          <w:rFonts w:ascii="Abadi" w:hAnsi="Abadi" w:cs="ArialMT"/>
          <w:sz w:val="21"/>
          <w:szCs w:val="21"/>
        </w:rPr>
        <w:t xml:space="preserve"> </w:t>
      </w:r>
      <w:r w:rsidRPr="00A71292">
        <w:rPr>
          <w:rFonts w:ascii="Abadi" w:hAnsi="Abadi" w:cs="ArialMT"/>
          <w:sz w:val="21"/>
          <w:szCs w:val="21"/>
        </w:rPr>
        <w:t>una unidad que abarca y comprende toda relación jurídica del causante</w:t>
      </w:r>
      <w:r>
        <w:rPr>
          <w:rFonts w:ascii="Abadi" w:hAnsi="Abadi" w:cs="ArialMT"/>
          <w:sz w:val="21"/>
          <w:szCs w:val="21"/>
        </w:rPr>
        <w:t xml:space="preserve"> </w:t>
      </w:r>
      <w:r w:rsidRPr="00A71292">
        <w:rPr>
          <w:rFonts w:ascii="Abadi" w:hAnsi="Abadi" w:cs="ArialMT"/>
          <w:sz w:val="21"/>
          <w:szCs w:val="21"/>
        </w:rPr>
        <w:t>independientemente de los elementos singulares que lo integran. Es la</w:t>
      </w:r>
      <w:r>
        <w:rPr>
          <w:rFonts w:ascii="Abadi" w:hAnsi="Abadi" w:cs="ArialMT"/>
          <w:sz w:val="21"/>
          <w:szCs w:val="21"/>
        </w:rPr>
        <w:t xml:space="preserve"> </w:t>
      </w:r>
      <w:r w:rsidRPr="00A71292">
        <w:rPr>
          <w:rFonts w:ascii="Abadi" w:hAnsi="Abadi" w:cs="ArialMT"/>
          <w:sz w:val="21"/>
          <w:szCs w:val="21"/>
        </w:rPr>
        <w:t>totalidad de las relaciones patrimoniales unida por un vínculo, que da al</w:t>
      </w:r>
      <w:r>
        <w:rPr>
          <w:rFonts w:ascii="Abadi" w:hAnsi="Abadi" w:cs="ArialMT"/>
          <w:sz w:val="21"/>
          <w:szCs w:val="21"/>
        </w:rPr>
        <w:t xml:space="preserve"> </w:t>
      </w:r>
      <w:r w:rsidRPr="00A71292">
        <w:rPr>
          <w:rFonts w:ascii="Abadi" w:hAnsi="Abadi" w:cs="ArialMT"/>
          <w:sz w:val="21"/>
          <w:szCs w:val="21"/>
        </w:rPr>
        <w:t>conjunto de tales relaciones carácter unitario, haciéndolo independiente en</w:t>
      </w:r>
      <w:r>
        <w:rPr>
          <w:rFonts w:ascii="Abadi" w:hAnsi="Abadi" w:cs="ArialMT"/>
          <w:sz w:val="21"/>
          <w:szCs w:val="21"/>
        </w:rPr>
        <w:t xml:space="preserve"> </w:t>
      </w:r>
      <w:r w:rsidRPr="00A71292">
        <w:rPr>
          <w:rFonts w:ascii="Abadi" w:hAnsi="Abadi" w:cs="ArialMT"/>
          <w:sz w:val="21"/>
          <w:szCs w:val="21"/>
        </w:rPr>
        <w:t xml:space="preserve">su conjunto efectivo. Es en suma, una </w:t>
      </w:r>
      <w:r w:rsidRPr="00A71292">
        <w:rPr>
          <w:rFonts w:ascii="Abadi" w:hAnsi="Abadi" w:cs="Arial-ItalicMT"/>
          <w:i/>
          <w:iCs/>
          <w:sz w:val="21"/>
          <w:szCs w:val="21"/>
        </w:rPr>
        <w:t>universita</w:t>
      </w:r>
      <w:r>
        <w:rPr>
          <w:rFonts w:ascii="Abadi" w:hAnsi="Abadi" w:cs="Arial-ItalicMT"/>
          <w:i/>
          <w:iCs/>
          <w:sz w:val="21"/>
          <w:szCs w:val="21"/>
        </w:rPr>
        <w:t>s</w:t>
      </w:r>
      <w:r w:rsidRPr="00A71292">
        <w:rPr>
          <w:rFonts w:ascii="Abadi" w:hAnsi="Abadi" w:cs="Arial-ItalicMT"/>
          <w:i/>
          <w:iCs/>
          <w:sz w:val="21"/>
          <w:szCs w:val="21"/>
        </w:rPr>
        <w:t xml:space="preserve"> </w:t>
      </w:r>
      <w:r w:rsidRPr="00A71292">
        <w:rPr>
          <w:rFonts w:ascii="Abadi" w:hAnsi="Abadi" w:cs="ArialMT"/>
          <w:sz w:val="21"/>
          <w:szCs w:val="21"/>
        </w:rPr>
        <w:t>que comprende cosas y</w:t>
      </w:r>
      <w:r>
        <w:rPr>
          <w:rFonts w:ascii="Abadi" w:hAnsi="Abadi" w:cs="ArialMT"/>
          <w:sz w:val="21"/>
          <w:szCs w:val="21"/>
        </w:rPr>
        <w:t xml:space="preserve"> </w:t>
      </w:r>
      <w:r w:rsidRPr="00A71292">
        <w:rPr>
          <w:rFonts w:ascii="Abadi" w:hAnsi="Abadi" w:cs="ArialMT"/>
          <w:sz w:val="21"/>
          <w:szCs w:val="21"/>
        </w:rPr>
        <w:t>derechos, créditos y deudas, que pueden ser un patrimonio activo, caso en</w:t>
      </w:r>
      <w:r>
        <w:rPr>
          <w:rFonts w:ascii="Abadi" w:hAnsi="Abadi" w:cs="ArialMT"/>
          <w:sz w:val="21"/>
          <w:szCs w:val="21"/>
        </w:rPr>
        <w:t xml:space="preserve"> </w:t>
      </w:r>
      <w:r w:rsidRPr="00A71292">
        <w:rPr>
          <w:rFonts w:ascii="Abadi" w:hAnsi="Abadi" w:cs="ArialMT"/>
          <w:sz w:val="21"/>
          <w:szCs w:val="21"/>
        </w:rPr>
        <w:t xml:space="preserve">que si los elementos activos superan los pasivos se denomina </w:t>
      </w:r>
      <w:r w:rsidRPr="00A71292">
        <w:rPr>
          <w:rFonts w:ascii="Abadi" w:hAnsi="Abadi" w:cs="Arial-ItalicMT"/>
          <w:i/>
          <w:iCs/>
          <w:sz w:val="21"/>
          <w:szCs w:val="21"/>
        </w:rPr>
        <w:t>lucrativa</w:t>
      </w:r>
      <w:r>
        <w:rPr>
          <w:rFonts w:ascii="Abadi" w:hAnsi="Abadi" w:cs="Arial-ItalicMT"/>
          <w:i/>
          <w:iCs/>
          <w:sz w:val="21"/>
          <w:szCs w:val="21"/>
        </w:rPr>
        <w:t xml:space="preserve"> </w:t>
      </w:r>
      <w:r w:rsidRPr="00A71292">
        <w:rPr>
          <w:rFonts w:ascii="Abadi" w:hAnsi="Abadi" w:cs="Arial-ItalicMT"/>
          <w:i/>
          <w:iCs/>
          <w:sz w:val="21"/>
          <w:szCs w:val="21"/>
        </w:rPr>
        <w:t>heredita</w:t>
      </w:r>
      <w:r>
        <w:rPr>
          <w:rFonts w:ascii="Abadi" w:hAnsi="Abadi" w:cs="Arial-ItalicMT"/>
          <w:i/>
          <w:iCs/>
          <w:sz w:val="21"/>
          <w:szCs w:val="21"/>
        </w:rPr>
        <w:t>rias</w:t>
      </w:r>
      <w:r w:rsidRPr="00A71292">
        <w:rPr>
          <w:rFonts w:ascii="Abadi" w:hAnsi="Abadi" w:cs="ArialMT"/>
          <w:sz w:val="21"/>
          <w:szCs w:val="21"/>
        </w:rPr>
        <w:t xml:space="preserve">, o un patrimonio pasivo en el caso inverso, se denomina </w:t>
      </w:r>
      <w:r w:rsidRPr="00A71292">
        <w:rPr>
          <w:rFonts w:ascii="Abadi" w:hAnsi="Abadi" w:cs="Arial-ItalicMT"/>
          <w:i/>
          <w:iCs/>
          <w:sz w:val="21"/>
          <w:szCs w:val="21"/>
        </w:rPr>
        <w:t>damnosa</w:t>
      </w:r>
      <w:r>
        <w:rPr>
          <w:rFonts w:ascii="Abadi" w:hAnsi="Abadi" w:cs="Arial-ItalicMT"/>
          <w:i/>
          <w:iCs/>
          <w:sz w:val="21"/>
          <w:szCs w:val="21"/>
        </w:rPr>
        <w:t xml:space="preserve"> </w:t>
      </w:r>
      <w:r w:rsidRPr="00A71292">
        <w:rPr>
          <w:rFonts w:ascii="Abadi" w:hAnsi="Abadi" w:cs="Arial-ItalicMT"/>
          <w:i/>
          <w:iCs/>
          <w:sz w:val="21"/>
          <w:szCs w:val="21"/>
        </w:rPr>
        <w:t>hereditas</w:t>
      </w:r>
      <w:r>
        <w:rPr>
          <w:rStyle w:val="Refdenotaalpie"/>
          <w:rFonts w:ascii="Abadi" w:hAnsi="Abadi" w:cs="Arial-ItalicMT"/>
          <w:i/>
          <w:iCs/>
          <w:sz w:val="21"/>
          <w:szCs w:val="21"/>
        </w:rPr>
        <w:footnoteReference w:id="9"/>
      </w:r>
      <w:r w:rsidRPr="00A71292">
        <w:rPr>
          <w:rFonts w:ascii="Abadi" w:hAnsi="Abadi" w:cs="ArialMT"/>
          <w:sz w:val="21"/>
          <w:szCs w:val="21"/>
        </w:rPr>
        <w:t>.</w:t>
      </w:r>
    </w:p>
    <w:p w14:paraId="5D731990" w14:textId="77777777" w:rsidR="003B3767" w:rsidRDefault="003B3767" w:rsidP="003B3767">
      <w:pPr>
        <w:autoSpaceDE w:val="0"/>
        <w:autoSpaceDN w:val="0"/>
        <w:adjustRightInd w:val="0"/>
        <w:jc w:val="both"/>
        <w:rPr>
          <w:rFonts w:ascii="Abadi" w:hAnsi="Abadi" w:cs="ArialMT"/>
          <w:sz w:val="21"/>
          <w:szCs w:val="21"/>
        </w:rPr>
      </w:pPr>
    </w:p>
    <w:p w14:paraId="23A89EBA" w14:textId="3FE85176"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La sucesión significa, acción de suceder y, en sentido jurídico, sustitución de</w:t>
      </w:r>
      <w:r>
        <w:rPr>
          <w:rFonts w:ascii="Abadi" w:hAnsi="Abadi" w:cs="ArialMT"/>
          <w:sz w:val="21"/>
          <w:szCs w:val="21"/>
        </w:rPr>
        <w:t xml:space="preserve"> </w:t>
      </w:r>
      <w:r w:rsidRPr="00A71292">
        <w:rPr>
          <w:rFonts w:ascii="Abadi" w:hAnsi="Abadi" w:cs="ArialMT"/>
          <w:sz w:val="21"/>
          <w:szCs w:val="21"/>
        </w:rPr>
        <w:t>la titularidad en los derechos y relaciones que admiten sustitución, o sea,</w:t>
      </w:r>
      <w:r>
        <w:rPr>
          <w:rFonts w:ascii="Abadi" w:hAnsi="Abadi" w:cs="ArialMT"/>
          <w:sz w:val="21"/>
          <w:szCs w:val="21"/>
        </w:rPr>
        <w:t xml:space="preserve"> </w:t>
      </w:r>
      <w:r w:rsidRPr="00A71292">
        <w:rPr>
          <w:rFonts w:ascii="Abadi" w:hAnsi="Abadi" w:cs="ArialMT"/>
          <w:sz w:val="21"/>
          <w:szCs w:val="21"/>
        </w:rPr>
        <w:t>cambio de sujeto e identidad en la relación de derecho. En la teoría de las</w:t>
      </w:r>
      <w:r>
        <w:rPr>
          <w:rFonts w:ascii="Abadi" w:hAnsi="Abadi" w:cs="ArialMT"/>
          <w:sz w:val="21"/>
          <w:szCs w:val="21"/>
        </w:rPr>
        <w:t xml:space="preserve"> </w:t>
      </w:r>
      <w:r w:rsidRPr="00A71292">
        <w:rPr>
          <w:rFonts w:ascii="Abadi" w:hAnsi="Abadi" w:cs="ArialMT"/>
          <w:sz w:val="21"/>
          <w:szCs w:val="21"/>
        </w:rPr>
        <w:t>sucesiones, Savigny dice, que es el cambio meramente subjetivo, pero no del</w:t>
      </w:r>
      <w:r>
        <w:rPr>
          <w:rFonts w:ascii="Abadi" w:hAnsi="Abadi" w:cs="ArialMT"/>
          <w:sz w:val="21"/>
          <w:szCs w:val="21"/>
        </w:rPr>
        <w:t xml:space="preserve"> </w:t>
      </w:r>
      <w:r w:rsidRPr="00A71292">
        <w:rPr>
          <w:rFonts w:ascii="Abadi" w:hAnsi="Abadi" w:cs="ArialMT"/>
          <w:sz w:val="21"/>
          <w:szCs w:val="21"/>
        </w:rPr>
        <w:t>bien objeto de la relación, sino de todo el conjunto a título universal</w:t>
      </w:r>
      <w:r>
        <w:rPr>
          <w:rFonts w:ascii="Abadi" w:hAnsi="Abadi" w:cs="ArialMT"/>
          <w:sz w:val="21"/>
          <w:szCs w:val="21"/>
        </w:rPr>
        <w:t xml:space="preserve"> </w:t>
      </w:r>
      <w:r w:rsidRPr="00A71292">
        <w:rPr>
          <w:rFonts w:ascii="Abadi" w:hAnsi="Abadi" w:cs="ArialMT"/>
          <w:sz w:val="21"/>
          <w:szCs w:val="21"/>
        </w:rPr>
        <w:t>denominado herencia, o a título particular, llamado legado</w:t>
      </w:r>
      <w:r>
        <w:rPr>
          <w:rStyle w:val="Refdenotaalpie"/>
          <w:rFonts w:ascii="Abadi" w:hAnsi="Abadi" w:cs="ArialMT"/>
          <w:sz w:val="21"/>
          <w:szCs w:val="21"/>
        </w:rPr>
        <w:footnoteReference w:id="10"/>
      </w:r>
      <w:r w:rsidRPr="00A71292">
        <w:rPr>
          <w:rFonts w:ascii="Abadi" w:hAnsi="Abadi" w:cs="ArialMT"/>
          <w:sz w:val="21"/>
          <w:szCs w:val="21"/>
        </w:rPr>
        <w:t>.</w:t>
      </w:r>
      <w:r>
        <w:rPr>
          <w:rFonts w:ascii="Abadi" w:hAnsi="Abadi" w:cs="ArialMT"/>
          <w:sz w:val="21"/>
          <w:szCs w:val="21"/>
        </w:rPr>
        <w:t xml:space="preserve"> </w:t>
      </w:r>
    </w:p>
    <w:p w14:paraId="16DE1140" w14:textId="77777777" w:rsidR="003B3767" w:rsidRPr="00A71292" w:rsidRDefault="003B3767" w:rsidP="003B3767">
      <w:pPr>
        <w:autoSpaceDE w:val="0"/>
        <w:autoSpaceDN w:val="0"/>
        <w:adjustRightInd w:val="0"/>
        <w:jc w:val="both"/>
        <w:rPr>
          <w:rFonts w:ascii="Abadi" w:hAnsi="Abadi" w:cs="ArialMT"/>
          <w:sz w:val="21"/>
          <w:szCs w:val="21"/>
        </w:rPr>
      </w:pPr>
    </w:p>
    <w:p w14:paraId="60488942" w14:textId="689B7CC7" w:rsidR="003B3767" w:rsidRDefault="003B3767" w:rsidP="003B3767">
      <w:pPr>
        <w:autoSpaceDE w:val="0"/>
        <w:autoSpaceDN w:val="0"/>
        <w:adjustRightInd w:val="0"/>
        <w:jc w:val="both"/>
        <w:rPr>
          <w:rFonts w:ascii="Abadi" w:hAnsi="Abadi" w:cs="Arial-ItalicMT"/>
          <w:i/>
          <w:iCs/>
          <w:sz w:val="21"/>
          <w:szCs w:val="21"/>
        </w:rPr>
      </w:pPr>
      <w:r w:rsidRPr="00A71292">
        <w:rPr>
          <w:rFonts w:ascii="Abadi" w:hAnsi="Abadi" w:cs="ArialMT"/>
          <w:sz w:val="21"/>
          <w:szCs w:val="21"/>
        </w:rPr>
        <w:t>Por su parte el Código Civil para el Estado de Guanajuato, en su artículo</w:t>
      </w:r>
      <w:r>
        <w:rPr>
          <w:rFonts w:ascii="Abadi" w:hAnsi="Abadi" w:cs="ArialMT"/>
          <w:sz w:val="21"/>
          <w:szCs w:val="21"/>
        </w:rPr>
        <w:t xml:space="preserve"> </w:t>
      </w:r>
      <w:r w:rsidRPr="00A71292">
        <w:rPr>
          <w:rFonts w:ascii="Abadi" w:hAnsi="Abadi" w:cs="ArialMT"/>
          <w:sz w:val="21"/>
          <w:szCs w:val="21"/>
        </w:rPr>
        <w:t>2537, define a la herencia como: “…</w:t>
      </w:r>
      <w:r w:rsidRPr="00A71292">
        <w:rPr>
          <w:rFonts w:ascii="Abadi" w:hAnsi="Abadi" w:cs="Arial-ItalicMT"/>
          <w:i/>
          <w:iCs/>
          <w:sz w:val="21"/>
          <w:szCs w:val="21"/>
        </w:rPr>
        <w:t>la sucesión en todos los bienes del</w:t>
      </w:r>
      <w:r>
        <w:rPr>
          <w:rFonts w:ascii="Abadi" w:hAnsi="Abadi" w:cs="Arial-ItalicMT"/>
          <w:i/>
          <w:iCs/>
          <w:sz w:val="21"/>
          <w:szCs w:val="21"/>
        </w:rPr>
        <w:t xml:space="preserve"> </w:t>
      </w:r>
      <w:r w:rsidRPr="00A71292">
        <w:rPr>
          <w:rFonts w:ascii="Abadi" w:hAnsi="Abadi" w:cs="Arial-ItalicMT"/>
          <w:i/>
          <w:iCs/>
          <w:sz w:val="21"/>
          <w:szCs w:val="21"/>
        </w:rPr>
        <w:t>difunto y en todos sus derechos y obligaciones que no se extinguen por la</w:t>
      </w:r>
      <w:r>
        <w:rPr>
          <w:rFonts w:ascii="Abadi" w:hAnsi="Abadi" w:cs="Arial-ItalicMT"/>
          <w:i/>
          <w:iCs/>
          <w:sz w:val="21"/>
          <w:szCs w:val="21"/>
        </w:rPr>
        <w:t xml:space="preserve"> </w:t>
      </w:r>
      <w:r w:rsidRPr="00A71292">
        <w:rPr>
          <w:rFonts w:ascii="Abadi" w:hAnsi="Abadi" w:cs="Arial-ItalicMT"/>
          <w:i/>
          <w:iCs/>
          <w:sz w:val="21"/>
          <w:szCs w:val="21"/>
        </w:rPr>
        <w:t>muerte”</w:t>
      </w:r>
      <w:r>
        <w:rPr>
          <w:rStyle w:val="Refdenotaalpie"/>
          <w:rFonts w:ascii="Abadi" w:hAnsi="Abadi" w:cs="Arial-ItalicMT"/>
          <w:i/>
          <w:iCs/>
          <w:sz w:val="21"/>
          <w:szCs w:val="21"/>
        </w:rPr>
        <w:footnoteReference w:id="11"/>
      </w:r>
    </w:p>
    <w:p w14:paraId="59C68DFB" w14:textId="77777777" w:rsidR="003B3767" w:rsidRPr="00A71292" w:rsidRDefault="003B3767" w:rsidP="003B3767">
      <w:pPr>
        <w:autoSpaceDE w:val="0"/>
        <w:autoSpaceDN w:val="0"/>
        <w:adjustRightInd w:val="0"/>
        <w:jc w:val="both"/>
        <w:rPr>
          <w:rFonts w:ascii="Abadi" w:hAnsi="Abadi" w:cs="Arial-ItalicMT"/>
          <w:i/>
          <w:iCs/>
          <w:sz w:val="21"/>
          <w:szCs w:val="21"/>
        </w:rPr>
      </w:pPr>
    </w:p>
    <w:p w14:paraId="3141AA54" w14:textId="41B7F2A2"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La sucesión o derecho hereditario se finca en los principios siguientes: El</w:t>
      </w:r>
      <w:r>
        <w:rPr>
          <w:rFonts w:ascii="Abadi" w:hAnsi="Abadi" w:cs="ArialMT"/>
          <w:sz w:val="21"/>
          <w:szCs w:val="21"/>
        </w:rPr>
        <w:t xml:space="preserve"> </w:t>
      </w:r>
      <w:r w:rsidRPr="00A71292">
        <w:rPr>
          <w:rFonts w:ascii="Abadi" w:hAnsi="Abadi" w:cs="ArialMT"/>
          <w:sz w:val="21"/>
          <w:szCs w:val="21"/>
        </w:rPr>
        <w:t>heredero sucede al titular fallecido, o sub entra en el lugar de éste, debido a</w:t>
      </w:r>
      <w:r>
        <w:rPr>
          <w:rFonts w:ascii="Abadi" w:hAnsi="Abadi" w:cs="ArialMT"/>
          <w:sz w:val="21"/>
          <w:szCs w:val="21"/>
        </w:rPr>
        <w:t xml:space="preserve"> </w:t>
      </w:r>
      <w:r w:rsidRPr="00A71292">
        <w:rPr>
          <w:rFonts w:ascii="Abadi" w:hAnsi="Abadi" w:cs="ArialMT"/>
          <w:sz w:val="21"/>
          <w:szCs w:val="21"/>
        </w:rPr>
        <w:t>que no puede quedar patrimonio sin titular; la calidad de heredero del sucesor</w:t>
      </w:r>
      <w:r>
        <w:rPr>
          <w:rFonts w:ascii="Abadi" w:hAnsi="Abadi" w:cs="ArialMT"/>
          <w:sz w:val="21"/>
          <w:szCs w:val="21"/>
        </w:rPr>
        <w:t xml:space="preserve"> </w:t>
      </w:r>
      <w:r w:rsidRPr="00A71292">
        <w:rPr>
          <w:rFonts w:ascii="Abadi" w:hAnsi="Abadi" w:cs="ArialMT"/>
          <w:sz w:val="21"/>
          <w:szCs w:val="21"/>
        </w:rPr>
        <w:t>no puede ser condicionada, ni siquiera en forma temporal; la unidad o</w:t>
      </w:r>
      <w:r>
        <w:rPr>
          <w:rFonts w:ascii="Abadi" w:hAnsi="Abadi" w:cs="ArialMT"/>
          <w:sz w:val="21"/>
          <w:szCs w:val="21"/>
        </w:rPr>
        <w:t xml:space="preserve"> </w:t>
      </w:r>
      <w:r w:rsidRPr="00A71292">
        <w:rPr>
          <w:rFonts w:ascii="Abadi" w:hAnsi="Abadi" w:cs="ArialMT"/>
          <w:sz w:val="21"/>
          <w:szCs w:val="21"/>
        </w:rPr>
        <w:t>cohesión que tiene el patrimonio hereditario entre los elementos entre sí, no</w:t>
      </w:r>
      <w:r>
        <w:rPr>
          <w:rFonts w:ascii="Abadi" w:hAnsi="Abadi" w:cs="ArialMT"/>
          <w:sz w:val="21"/>
          <w:szCs w:val="21"/>
        </w:rPr>
        <w:t xml:space="preserve"> </w:t>
      </w:r>
      <w:r w:rsidRPr="00A71292">
        <w:rPr>
          <w:rFonts w:ascii="Abadi" w:hAnsi="Abadi" w:cs="ArialMT"/>
          <w:sz w:val="21"/>
          <w:szCs w:val="21"/>
        </w:rPr>
        <w:t>se disgrega aunque haya varios herederos; en principio, todos los derechos</w:t>
      </w:r>
      <w:r>
        <w:rPr>
          <w:rFonts w:ascii="Abadi" w:hAnsi="Abadi" w:cs="ArialMT"/>
          <w:sz w:val="21"/>
          <w:szCs w:val="21"/>
        </w:rPr>
        <w:t xml:space="preserve"> </w:t>
      </w:r>
      <w:r w:rsidRPr="00A71292">
        <w:rPr>
          <w:rFonts w:ascii="Abadi" w:hAnsi="Abadi" w:cs="ArialMT"/>
          <w:sz w:val="21"/>
          <w:szCs w:val="21"/>
        </w:rPr>
        <w:t>y obligaciones, así como la posesión se trasmiten tal como los tenía el autor</w:t>
      </w:r>
      <w:r>
        <w:rPr>
          <w:rFonts w:ascii="Abadi" w:hAnsi="Abadi" w:cs="ArialMT"/>
          <w:sz w:val="21"/>
          <w:szCs w:val="21"/>
        </w:rPr>
        <w:t xml:space="preserve"> </w:t>
      </w:r>
      <w:r w:rsidRPr="00A71292">
        <w:rPr>
          <w:rFonts w:ascii="Abadi" w:hAnsi="Abadi" w:cs="ArialMT"/>
          <w:sz w:val="21"/>
          <w:szCs w:val="21"/>
        </w:rPr>
        <w:t>de la sucesión, sin modificaciones, porque se busca que las relaciones no se</w:t>
      </w:r>
      <w:r>
        <w:rPr>
          <w:rFonts w:ascii="Abadi" w:hAnsi="Abadi" w:cs="ArialMT"/>
          <w:sz w:val="21"/>
          <w:szCs w:val="21"/>
        </w:rPr>
        <w:t xml:space="preserve"> </w:t>
      </w:r>
      <w:r w:rsidRPr="00A71292">
        <w:rPr>
          <w:rFonts w:ascii="Abadi" w:hAnsi="Abadi" w:cs="ArialMT"/>
          <w:sz w:val="21"/>
          <w:szCs w:val="21"/>
        </w:rPr>
        <w:t>interrumpan ni modifiquen por el hecho de la muerte; así como el autor de la</w:t>
      </w:r>
      <w:r>
        <w:rPr>
          <w:rFonts w:ascii="Abadi" w:hAnsi="Abadi" w:cs="ArialMT"/>
          <w:sz w:val="21"/>
          <w:szCs w:val="21"/>
        </w:rPr>
        <w:t xml:space="preserve"> </w:t>
      </w:r>
      <w:r w:rsidRPr="00A71292">
        <w:rPr>
          <w:rFonts w:ascii="Abadi" w:hAnsi="Abadi" w:cs="ArialMT"/>
          <w:sz w:val="21"/>
          <w:szCs w:val="21"/>
        </w:rPr>
        <w:t>sucesión responde con todos sus bienes, su patrimonio hereditario sigue</w:t>
      </w:r>
      <w:r>
        <w:rPr>
          <w:rFonts w:ascii="Abadi" w:hAnsi="Abadi" w:cs="ArialMT"/>
          <w:sz w:val="21"/>
          <w:szCs w:val="21"/>
        </w:rPr>
        <w:t xml:space="preserve"> </w:t>
      </w:r>
      <w:r w:rsidRPr="00A71292">
        <w:rPr>
          <w:rFonts w:ascii="Abadi" w:hAnsi="Abadi" w:cs="ArialMT"/>
          <w:sz w:val="21"/>
          <w:szCs w:val="21"/>
        </w:rPr>
        <w:t>afectado a la responsabilidad de las mismas obligaciones o deudas, por lo</w:t>
      </w:r>
      <w:r>
        <w:rPr>
          <w:rFonts w:ascii="Abadi" w:hAnsi="Abadi" w:cs="ArialMT"/>
          <w:sz w:val="21"/>
          <w:szCs w:val="21"/>
        </w:rPr>
        <w:t xml:space="preserve"> </w:t>
      </w:r>
      <w:r w:rsidRPr="00A71292">
        <w:rPr>
          <w:rFonts w:ascii="Abadi" w:hAnsi="Abadi" w:cs="ArialMT"/>
          <w:sz w:val="21"/>
          <w:szCs w:val="21"/>
        </w:rPr>
        <w:t xml:space="preserve">que la sucesión del </w:t>
      </w:r>
      <w:r w:rsidRPr="00A71292">
        <w:rPr>
          <w:rFonts w:ascii="Abadi" w:hAnsi="Abadi" w:cs="Arial-ItalicMT"/>
          <w:i/>
          <w:iCs/>
          <w:sz w:val="21"/>
          <w:szCs w:val="21"/>
        </w:rPr>
        <w:t xml:space="preserve">de cujus </w:t>
      </w:r>
      <w:r w:rsidRPr="00A71292">
        <w:rPr>
          <w:rFonts w:ascii="Abadi" w:hAnsi="Abadi" w:cs="ArialMT"/>
          <w:sz w:val="21"/>
          <w:szCs w:val="21"/>
        </w:rPr>
        <w:t>en cuanto representa ese patrimonio, puede</w:t>
      </w:r>
      <w:r>
        <w:rPr>
          <w:rFonts w:ascii="Abadi" w:hAnsi="Abadi" w:cs="ArialMT"/>
          <w:sz w:val="21"/>
          <w:szCs w:val="21"/>
        </w:rPr>
        <w:t xml:space="preserve"> </w:t>
      </w:r>
      <w:r w:rsidRPr="00A71292">
        <w:rPr>
          <w:rFonts w:ascii="Abadi" w:hAnsi="Abadi" w:cs="ArialMT"/>
          <w:sz w:val="21"/>
          <w:szCs w:val="21"/>
        </w:rPr>
        <w:t>entrar en concurso o ser declarado en quiebra y; la sucesión va a producir la</w:t>
      </w:r>
      <w:r>
        <w:rPr>
          <w:rFonts w:ascii="Abadi" w:hAnsi="Abadi" w:cs="ArialMT"/>
          <w:sz w:val="21"/>
          <w:szCs w:val="21"/>
        </w:rPr>
        <w:t xml:space="preserve"> </w:t>
      </w:r>
      <w:r w:rsidRPr="00A71292">
        <w:rPr>
          <w:rFonts w:ascii="Abadi" w:hAnsi="Abadi" w:cs="ArialMT"/>
          <w:sz w:val="21"/>
          <w:szCs w:val="21"/>
        </w:rPr>
        <w:t>fusión del patrimonio neto que dejó el autor de la sucesión, con el patrimonio</w:t>
      </w:r>
      <w:r>
        <w:rPr>
          <w:rFonts w:ascii="Abadi" w:hAnsi="Abadi" w:cs="ArialMT"/>
          <w:sz w:val="21"/>
          <w:szCs w:val="21"/>
        </w:rPr>
        <w:t xml:space="preserve"> </w:t>
      </w:r>
      <w:r w:rsidRPr="00A71292">
        <w:rPr>
          <w:rFonts w:ascii="Abadi" w:hAnsi="Abadi" w:cs="ArialMT"/>
          <w:sz w:val="21"/>
          <w:szCs w:val="21"/>
        </w:rPr>
        <w:t>del heredero</w:t>
      </w:r>
      <w:r w:rsidR="00733A9E">
        <w:rPr>
          <w:rStyle w:val="Refdenotaalpie"/>
          <w:rFonts w:ascii="Abadi" w:hAnsi="Abadi" w:cs="ArialMT"/>
          <w:sz w:val="21"/>
          <w:szCs w:val="21"/>
        </w:rPr>
        <w:footnoteReference w:id="12"/>
      </w:r>
      <w:r w:rsidRPr="00A71292">
        <w:rPr>
          <w:rFonts w:ascii="Abadi" w:hAnsi="Abadi" w:cs="ArialMT"/>
          <w:sz w:val="21"/>
          <w:szCs w:val="21"/>
        </w:rPr>
        <w:t>.</w:t>
      </w:r>
    </w:p>
    <w:p w14:paraId="3F3031AE" w14:textId="77777777" w:rsidR="003B3767" w:rsidRDefault="003B3767" w:rsidP="003B3767">
      <w:pPr>
        <w:autoSpaceDE w:val="0"/>
        <w:autoSpaceDN w:val="0"/>
        <w:adjustRightInd w:val="0"/>
        <w:jc w:val="both"/>
        <w:rPr>
          <w:rFonts w:ascii="Abadi" w:hAnsi="Abadi" w:cs="ArialMT"/>
          <w:sz w:val="21"/>
          <w:szCs w:val="21"/>
        </w:rPr>
      </w:pPr>
    </w:p>
    <w:p w14:paraId="36EEBFE5"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Ahora bien, los objetos directos del derecho hereditario se referirán, a los</w:t>
      </w:r>
      <w:r>
        <w:rPr>
          <w:rFonts w:ascii="Abadi" w:hAnsi="Abadi" w:cs="ArialMT"/>
          <w:sz w:val="21"/>
          <w:szCs w:val="21"/>
        </w:rPr>
        <w:t xml:space="preserve"> </w:t>
      </w:r>
      <w:r w:rsidRPr="00A71292">
        <w:rPr>
          <w:rFonts w:ascii="Abadi" w:hAnsi="Abadi" w:cs="ArialMT"/>
          <w:sz w:val="21"/>
          <w:szCs w:val="21"/>
        </w:rPr>
        <w:t>derechos, obligaciones y sanciones relacionadas con la herencia, por cuanto</w:t>
      </w:r>
      <w:r>
        <w:rPr>
          <w:rFonts w:ascii="Abadi" w:hAnsi="Abadi" w:cs="ArialMT"/>
          <w:sz w:val="21"/>
          <w:szCs w:val="21"/>
        </w:rPr>
        <w:t xml:space="preserve"> </w:t>
      </w:r>
      <w:r w:rsidRPr="00A71292">
        <w:rPr>
          <w:rFonts w:ascii="Abadi" w:hAnsi="Abadi" w:cs="ArialMT"/>
          <w:sz w:val="21"/>
          <w:szCs w:val="21"/>
        </w:rPr>
        <w:t>se manifiestan en conductas jurídicamente reguladas. Por su parte, los</w:t>
      </w:r>
      <w:r>
        <w:rPr>
          <w:rFonts w:ascii="Abadi" w:hAnsi="Abadi" w:cs="ArialMT"/>
          <w:sz w:val="21"/>
          <w:szCs w:val="21"/>
        </w:rPr>
        <w:t xml:space="preserve"> </w:t>
      </w:r>
      <w:r w:rsidRPr="00A71292">
        <w:rPr>
          <w:rFonts w:ascii="Abadi" w:hAnsi="Abadi" w:cs="ArialMT"/>
          <w:sz w:val="21"/>
          <w:szCs w:val="21"/>
        </w:rPr>
        <w:t>objetos del derecho hereditario lo serán sobre los que recaerá o se relaciona</w:t>
      </w:r>
      <w:r>
        <w:rPr>
          <w:rFonts w:ascii="Abadi" w:hAnsi="Abadi" w:cs="ArialMT"/>
          <w:sz w:val="21"/>
          <w:szCs w:val="21"/>
        </w:rPr>
        <w:t xml:space="preserve"> </w:t>
      </w:r>
      <w:r w:rsidRPr="00A71292">
        <w:rPr>
          <w:rFonts w:ascii="Abadi" w:hAnsi="Abadi" w:cs="ArialMT"/>
          <w:sz w:val="21"/>
          <w:szCs w:val="21"/>
        </w:rPr>
        <w:t>o se relaciona la conducta humana de forma intersubjetiva que se manifiesta</w:t>
      </w:r>
      <w:r>
        <w:rPr>
          <w:rFonts w:ascii="Abadi" w:hAnsi="Abadi" w:cs="ArialMT"/>
          <w:sz w:val="21"/>
          <w:szCs w:val="21"/>
        </w:rPr>
        <w:t xml:space="preserve"> </w:t>
      </w:r>
      <w:r w:rsidRPr="00A71292">
        <w:rPr>
          <w:rFonts w:ascii="Abadi" w:hAnsi="Abadi" w:cs="ArialMT"/>
          <w:sz w:val="21"/>
          <w:szCs w:val="21"/>
        </w:rPr>
        <w:t>en facultades, deberes y sanciones.</w:t>
      </w:r>
      <w:r>
        <w:rPr>
          <w:rFonts w:ascii="Abadi" w:hAnsi="Abadi" w:cs="ArialMT"/>
          <w:sz w:val="21"/>
          <w:szCs w:val="21"/>
        </w:rPr>
        <w:t xml:space="preserve"> </w:t>
      </w:r>
    </w:p>
    <w:p w14:paraId="00448C50" w14:textId="77777777" w:rsidR="003B3767" w:rsidRDefault="003B3767" w:rsidP="003B3767">
      <w:pPr>
        <w:autoSpaceDE w:val="0"/>
        <w:autoSpaceDN w:val="0"/>
        <w:adjustRightInd w:val="0"/>
        <w:jc w:val="both"/>
        <w:rPr>
          <w:rFonts w:ascii="Abadi" w:hAnsi="Abadi" w:cs="ArialMT"/>
          <w:sz w:val="21"/>
          <w:szCs w:val="21"/>
        </w:rPr>
      </w:pPr>
    </w:p>
    <w:p w14:paraId="60C77D8D"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El fallecimiento de una persona puede dar lugar a diversas consecuencias,</w:t>
      </w:r>
      <w:r>
        <w:rPr>
          <w:rFonts w:ascii="Abadi" w:hAnsi="Abadi" w:cs="ArialMT"/>
          <w:sz w:val="21"/>
          <w:szCs w:val="21"/>
        </w:rPr>
        <w:t xml:space="preserve"> </w:t>
      </w:r>
      <w:r w:rsidRPr="00A71292">
        <w:rPr>
          <w:rFonts w:ascii="Abadi" w:hAnsi="Abadi" w:cs="ArialMT"/>
          <w:sz w:val="21"/>
          <w:szCs w:val="21"/>
        </w:rPr>
        <w:t>según el negocio de que se trate, cuya hipótesis son diversas, que no son</w:t>
      </w:r>
      <w:r>
        <w:rPr>
          <w:rFonts w:ascii="Abadi" w:hAnsi="Abadi" w:cs="ArialMT"/>
          <w:sz w:val="21"/>
          <w:szCs w:val="21"/>
        </w:rPr>
        <w:t xml:space="preserve"> </w:t>
      </w:r>
      <w:r w:rsidRPr="00A71292">
        <w:rPr>
          <w:rFonts w:ascii="Abadi" w:hAnsi="Abadi" w:cs="ArialMT"/>
          <w:sz w:val="21"/>
          <w:szCs w:val="21"/>
        </w:rPr>
        <w:t xml:space="preserve">objeto de la presente propuesta. La sucesión </w:t>
      </w:r>
      <w:r w:rsidRPr="00A71292">
        <w:rPr>
          <w:rFonts w:ascii="Abadi" w:hAnsi="Abadi" w:cs="Arial-ItalicMT"/>
          <w:i/>
          <w:iCs/>
          <w:sz w:val="21"/>
          <w:szCs w:val="21"/>
        </w:rPr>
        <w:t xml:space="preserve">mortis causa </w:t>
      </w:r>
      <w:r w:rsidRPr="00A71292">
        <w:rPr>
          <w:rFonts w:ascii="Abadi" w:hAnsi="Abadi" w:cs="ArialMT"/>
          <w:sz w:val="21"/>
          <w:szCs w:val="21"/>
        </w:rPr>
        <w:t>sólo se da por la</w:t>
      </w:r>
      <w:r>
        <w:rPr>
          <w:rFonts w:ascii="Abadi" w:hAnsi="Abadi" w:cs="ArialMT"/>
          <w:sz w:val="21"/>
          <w:szCs w:val="21"/>
        </w:rPr>
        <w:t xml:space="preserve"> </w:t>
      </w:r>
      <w:r w:rsidRPr="00A71292">
        <w:rPr>
          <w:rFonts w:ascii="Abadi" w:hAnsi="Abadi" w:cs="ArialMT"/>
          <w:sz w:val="21"/>
          <w:szCs w:val="21"/>
        </w:rPr>
        <w:t>muerte de una persona física, es decir, de una persona humana.</w:t>
      </w:r>
    </w:p>
    <w:p w14:paraId="602875AB" w14:textId="77777777" w:rsidR="003B3767" w:rsidRPr="00A71292" w:rsidRDefault="003B3767" w:rsidP="003B3767">
      <w:pPr>
        <w:autoSpaceDE w:val="0"/>
        <w:autoSpaceDN w:val="0"/>
        <w:adjustRightInd w:val="0"/>
        <w:jc w:val="both"/>
        <w:rPr>
          <w:rFonts w:ascii="Abadi" w:hAnsi="Abadi" w:cs="ArialMT"/>
          <w:sz w:val="21"/>
          <w:szCs w:val="21"/>
        </w:rPr>
      </w:pPr>
    </w:p>
    <w:p w14:paraId="0B371B7C" w14:textId="45F12663" w:rsidR="003B3767" w:rsidRDefault="003B3767" w:rsidP="003B3767">
      <w:pPr>
        <w:autoSpaceDE w:val="0"/>
        <w:autoSpaceDN w:val="0"/>
        <w:adjustRightInd w:val="0"/>
        <w:jc w:val="both"/>
        <w:rPr>
          <w:rFonts w:ascii="Abadi" w:hAnsi="Abadi" w:cs="Arial-ItalicMT"/>
          <w:i/>
          <w:iCs/>
          <w:sz w:val="21"/>
          <w:szCs w:val="21"/>
        </w:rPr>
      </w:pPr>
      <w:r w:rsidRPr="00A71292">
        <w:rPr>
          <w:rFonts w:ascii="Abadi" w:hAnsi="Abadi" w:cs="ArialMT"/>
          <w:sz w:val="21"/>
          <w:szCs w:val="21"/>
        </w:rPr>
        <w:t>Por ello, el código civil de esta</w:t>
      </w:r>
      <w:r>
        <w:rPr>
          <w:rFonts w:ascii="Abadi" w:hAnsi="Abadi" w:cs="ArialMT"/>
          <w:sz w:val="21"/>
          <w:szCs w:val="21"/>
        </w:rPr>
        <w:t xml:space="preserve"> </w:t>
      </w:r>
      <w:r w:rsidRPr="00A71292">
        <w:rPr>
          <w:rFonts w:ascii="Abadi" w:hAnsi="Abadi" w:cs="ArialMT"/>
          <w:sz w:val="21"/>
          <w:szCs w:val="21"/>
        </w:rPr>
        <w:t>entidad, en su artículo 2538</w:t>
      </w:r>
      <w:r w:rsidR="00733A9E">
        <w:rPr>
          <w:rStyle w:val="Refdenotaalpie"/>
          <w:rFonts w:ascii="Abadi" w:hAnsi="Abadi" w:cs="ArialMT"/>
          <w:sz w:val="21"/>
          <w:szCs w:val="21"/>
        </w:rPr>
        <w:footnoteReference w:id="13"/>
      </w:r>
      <w:r w:rsidRPr="00A71292">
        <w:rPr>
          <w:rFonts w:ascii="Abadi" w:hAnsi="Abadi" w:cs="ArialMT"/>
          <w:sz w:val="21"/>
          <w:szCs w:val="21"/>
        </w:rPr>
        <w:t xml:space="preserve"> señala que la</w:t>
      </w:r>
      <w:r>
        <w:rPr>
          <w:rFonts w:ascii="Abadi" w:hAnsi="Abadi" w:cs="ArialMT"/>
          <w:sz w:val="21"/>
          <w:szCs w:val="21"/>
        </w:rPr>
        <w:t xml:space="preserve"> </w:t>
      </w:r>
      <w:r w:rsidRPr="00A71292">
        <w:rPr>
          <w:rFonts w:ascii="Abadi" w:hAnsi="Abadi" w:cs="ArialMT"/>
          <w:sz w:val="21"/>
          <w:szCs w:val="21"/>
        </w:rPr>
        <w:t>herencia se defiere por la voluntad del testador, es decir, se direcciona a</w:t>
      </w:r>
      <w:r>
        <w:rPr>
          <w:rFonts w:ascii="Abadi" w:hAnsi="Abadi" w:cs="ArialMT"/>
          <w:sz w:val="21"/>
          <w:szCs w:val="21"/>
        </w:rPr>
        <w:t xml:space="preserve"> </w:t>
      </w:r>
      <w:r w:rsidRPr="00A71292">
        <w:rPr>
          <w:rFonts w:ascii="Abadi" w:hAnsi="Abadi" w:cs="ArialMT"/>
          <w:sz w:val="21"/>
          <w:szCs w:val="21"/>
        </w:rPr>
        <w:t>donde el testador expresó su voluntad, a la que se le denomina sucesión</w:t>
      </w:r>
      <w:r>
        <w:rPr>
          <w:rFonts w:ascii="Abadi" w:hAnsi="Abadi" w:cs="ArialMT"/>
          <w:sz w:val="21"/>
          <w:szCs w:val="21"/>
        </w:rPr>
        <w:t xml:space="preserve"> </w:t>
      </w:r>
      <w:r w:rsidRPr="00A71292">
        <w:rPr>
          <w:rFonts w:ascii="Abadi" w:hAnsi="Abadi" w:cs="ArialMT"/>
          <w:sz w:val="21"/>
          <w:szCs w:val="21"/>
        </w:rPr>
        <w:t>testamentaria, o bien, a lo que dispone la ley, denominada sucesión legítima</w:t>
      </w:r>
      <w:r>
        <w:rPr>
          <w:rFonts w:ascii="Abadi" w:hAnsi="Abadi" w:cs="ArialMT"/>
          <w:sz w:val="21"/>
          <w:szCs w:val="21"/>
        </w:rPr>
        <w:t xml:space="preserve"> </w:t>
      </w:r>
      <w:r w:rsidRPr="00A71292">
        <w:rPr>
          <w:rFonts w:ascii="Abadi" w:hAnsi="Abadi" w:cs="ArialMT"/>
          <w:sz w:val="21"/>
          <w:szCs w:val="21"/>
        </w:rPr>
        <w:t>Es conocido que la función del autor de la herencia como sujeto del derecho</w:t>
      </w:r>
      <w:r>
        <w:rPr>
          <w:rFonts w:ascii="Abadi" w:hAnsi="Abadi" w:cs="ArialMT"/>
          <w:sz w:val="21"/>
          <w:szCs w:val="21"/>
        </w:rPr>
        <w:t xml:space="preserve"> </w:t>
      </w:r>
      <w:r w:rsidRPr="00A71292">
        <w:rPr>
          <w:rFonts w:ascii="Abadi" w:hAnsi="Abadi" w:cs="ArialMT"/>
          <w:sz w:val="21"/>
          <w:szCs w:val="21"/>
        </w:rPr>
        <w:t>hereditario es radicalmente distinta en ambas sucesiones: la legítima y la</w:t>
      </w:r>
      <w:r>
        <w:rPr>
          <w:rFonts w:ascii="Abadi" w:hAnsi="Abadi" w:cs="ArialMT"/>
          <w:sz w:val="21"/>
          <w:szCs w:val="21"/>
        </w:rPr>
        <w:t xml:space="preserve"> </w:t>
      </w:r>
      <w:r w:rsidRPr="00A71292">
        <w:rPr>
          <w:rFonts w:ascii="Abadi" w:hAnsi="Abadi" w:cs="ArialMT"/>
          <w:sz w:val="21"/>
          <w:szCs w:val="21"/>
        </w:rPr>
        <w:t>testamentaria. En la primera se desempeña como un simple punto de</w:t>
      </w:r>
      <w:r>
        <w:rPr>
          <w:rFonts w:ascii="Abadi" w:hAnsi="Abadi" w:cs="ArialMT"/>
          <w:sz w:val="21"/>
          <w:szCs w:val="21"/>
        </w:rPr>
        <w:t xml:space="preserve"> </w:t>
      </w:r>
      <w:r w:rsidRPr="00A71292">
        <w:rPr>
          <w:rFonts w:ascii="Abadi" w:hAnsi="Abadi" w:cs="ArialMT"/>
          <w:sz w:val="21"/>
          <w:szCs w:val="21"/>
        </w:rPr>
        <w:t>referencia para que se opere la transmisión a título universal, extinguiéndose</w:t>
      </w:r>
      <w:r>
        <w:rPr>
          <w:rFonts w:ascii="Abadi" w:hAnsi="Abadi" w:cs="ArialMT"/>
          <w:sz w:val="21"/>
          <w:szCs w:val="21"/>
        </w:rPr>
        <w:t xml:space="preserve"> </w:t>
      </w:r>
      <w:r w:rsidRPr="00A71292">
        <w:rPr>
          <w:rFonts w:ascii="Abadi" w:hAnsi="Abadi" w:cs="ArialMT"/>
          <w:sz w:val="21"/>
          <w:szCs w:val="21"/>
        </w:rPr>
        <w:t>su personalidad con motivo de su muerte, sin que sean admisibles las</w:t>
      </w:r>
      <w:r>
        <w:rPr>
          <w:rFonts w:ascii="Abadi" w:hAnsi="Abadi" w:cs="ArialMT"/>
          <w:sz w:val="21"/>
          <w:szCs w:val="21"/>
        </w:rPr>
        <w:t xml:space="preserve"> </w:t>
      </w:r>
      <w:r w:rsidRPr="00A71292">
        <w:rPr>
          <w:rFonts w:ascii="Abadi" w:hAnsi="Abadi" w:cs="ArialMT"/>
          <w:sz w:val="21"/>
          <w:szCs w:val="21"/>
        </w:rPr>
        <w:t>ficciones de continuidad o supervivencia de dicha personalidad del heredero,</w:t>
      </w:r>
      <w:r>
        <w:rPr>
          <w:rFonts w:ascii="Abadi" w:hAnsi="Abadi" w:cs="ArialMT"/>
          <w:sz w:val="21"/>
          <w:szCs w:val="21"/>
        </w:rPr>
        <w:t xml:space="preserve"> </w:t>
      </w:r>
      <w:r w:rsidRPr="00A71292">
        <w:rPr>
          <w:rFonts w:ascii="Abadi" w:hAnsi="Abadi" w:cs="ArialMT"/>
          <w:sz w:val="21"/>
          <w:szCs w:val="21"/>
        </w:rPr>
        <w:t xml:space="preserve">o de representación jurídica de éste, respecto del </w:t>
      </w:r>
      <w:r w:rsidRPr="00A71292">
        <w:rPr>
          <w:rFonts w:ascii="Abadi" w:hAnsi="Abadi" w:cs="Arial-ItalicMT"/>
          <w:i/>
          <w:iCs/>
          <w:sz w:val="21"/>
          <w:szCs w:val="21"/>
        </w:rPr>
        <w:t>de cujus.</w:t>
      </w:r>
      <w:r>
        <w:rPr>
          <w:rFonts w:ascii="Abadi" w:hAnsi="Abadi" w:cs="Arial-ItalicMT"/>
          <w:i/>
          <w:iCs/>
          <w:sz w:val="21"/>
          <w:szCs w:val="21"/>
        </w:rPr>
        <w:t xml:space="preserve"> </w:t>
      </w:r>
    </w:p>
    <w:p w14:paraId="5C2608E9" w14:textId="77777777" w:rsidR="003B3767" w:rsidRPr="00A71292" w:rsidRDefault="003B3767" w:rsidP="003B3767">
      <w:pPr>
        <w:autoSpaceDE w:val="0"/>
        <w:autoSpaceDN w:val="0"/>
        <w:adjustRightInd w:val="0"/>
        <w:jc w:val="both"/>
        <w:rPr>
          <w:rFonts w:ascii="Abadi" w:hAnsi="Abadi" w:cs="Arial-ItalicMT"/>
          <w:i/>
          <w:iCs/>
          <w:sz w:val="21"/>
          <w:szCs w:val="21"/>
        </w:rPr>
      </w:pPr>
    </w:p>
    <w:p w14:paraId="3A30BA92"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En cambio, en la sucesión testamentaria, el testador sí es un sujeto del</w:t>
      </w:r>
      <w:r>
        <w:rPr>
          <w:rFonts w:ascii="Abadi" w:hAnsi="Abadi" w:cs="ArialMT"/>
          <w:sz w:val="21"/>
          <w:szCs w:val="21"/>
        </w:rPr>
        <w:t xml:space="preserve"> </w:t>
      </w:r>
      <w:r w:rsidRPr="00A71292">
        <w:rPr>
          <w:rFonts w:ascii="Abadi" w:hAnsi="Abadi" w:cs="ArialMT"/>
          <w:sz w:val="21"/>
          <w:szCs w:val="21"/>
        </w:rPr>
        <w:t>derecho hereditario cuya conducta jurídica se encuentra regulada no sólo</w:t>
      </w:r>
      <w:r>
        <w:rPr>
          <w:rFonts w:ascii="Abadi" w:hAnsi="Abadi" w:cs="ArialMT"/>
          <w:sz w:val="21"/>
          <w:szCs w:val="21"/>
        </w:rPr>
        <w:t xml:space="preserve"> </w:t>
      </w:r>
      <w:r w:rsidRPr="00A71292">
        <w:rPr>
          <w:rFonts w:ascii="Abadi" w:hAnsi="Abadi" w:cs="ArialMT"/>
          <w:sz w:val="21"/>
          <w:szCs w:val="21"/>
        </w:rPr>
        <w:t>para dictar válidamente su testamento, sino también para definir hasta donde</w:t>
      </w:r>
      <w:r>
        <w:rPr>
          <w:rFonts w:ascii="Abadi" w:hAnsi="Abadi" w:cs="ArialMT"/>
          <w:sz w:val="21"/>
          <w:szCs w:val="21"/>
        </w:rPr>
        <w:t xml:space="preserve"> </w:t>
      </w:r>
      <w:r w:rsidRPr="00A71292">
        <w:rPr>
          <w:rFonts w:ascii="Abadi" w:hAnsi="Abadi" w:cs="ArialMT"/>
          <w:sz w:val="21"/>
          <w:szCs w:val="21"/>
        </w:rPr>
        <w:t>le alcanza el poder de su voluntad por reconocimiento de la norma y</w:t>
      </w:r>
      <w:r>
        <w:rPr>
          <w:rFonts w:ascii="Abadi" w:hAnsi="Abadi" w:cs="ArialMT"/>
          <w:sz w:val="21"/>
          <w:szCs w:val="21"/>
        </w:rPr>
        <w:t xml:space="preserve"> </w:t>
      </w:r>
      <w:r w:rsidRPr="00A71292">
        <w:rPr>
          <w:rFonts w:ascii="Abadi" w:hAnsi="Abadi" w:cs="ArialMT"/>
          <w:sz w:val="21"/>
          <w:szCs w:val="21"/>
        </w:rPr>
        <w:t>determina en qué aspectos debe subordinarse a disposiciones prohibitivas o</w:t>
      </w:r>
      <w:r>
        <w:rPr>
          <w:rFonts w:ascii="Abadi" w:hAnsi="Abadi" w:cs="ArialMT"/>
          <w:sz w:val="21"/>
          <w:szCs w:val="21"/>
        </w:rPr>
        <w:t xml:space="preserve"> </w:t>
      </w:r>
      <w:r w:rsidRPr="00A71292">
        <w:rPr>
          <w:rFonts w:ascii="Abadi" w:hAnsi="Abadi" w:cs="ArialMT"/>
          <w:sz w:val="21"/>
          <w:szCs w:val="21"/>
        </w:rPr>
        <w:t>imperativas que lo obligan a disponer en cierta forma de sus bienes, según</w:t>
      </w:r>
      <w:r>
        <w:rPr>
          <w:rFonts w:ascii="Abadi" w:hAnsi="Abadi" w:cs="ArialMT"/>
          <w:sz w:val="21"/>
          <w:szCs w:val="21"/>
        </w:rPr>
        <w:t xml:space="preserve"> </w:t>
      </w:r>
      <w:r w:rsidRPr="00A71292">
        <w:rPr>
          <w:rFonts w:ascii="Abadi" w:hAnsi="Abadi" w:cs="ArialMT"/>
          <w:sz w:val="21"/>
          <w:szCs w:val="21"/>
        </w:rPr>
        <w:t>diversas legislaciones, cuando no admiten plenamente la libertad de testar, o</w:t>
      </w:r>
      <w:r>
        <w:rPr>
          <w:rFonts w:ascii="Abadi" w:hAnsi="Abadi" w:cs="ArialMT"/>
          <w:sz w:val="21"/>
          <w:szCs w:val="21"/>
        </w:rPr>
        <w:t xml:space="preserve"> </w:t>
      </w:r>
      <w:r w:rsidRPr="00A71292">
        <w:rPr>
          <w:rFonts w:ascii="Abadi" w:hAnsi="Abadi" w:cs="ArialMT"/>
          <w:sz w:val="21"/>
          <w:szCs w:val="21"/>
        </w:rPr>
        <w:t>que, como ejemplo, los someten a la necesidad jurídica de asegurar</w:t>
      </w:r>
      <w:r>
        <w:rPr>
          <w:rFonts w:ascii="Abadi" w:hAnsi="Abadi" w:cs="ArialMT"/>
          <w:sz w:val="21"/>
          <w:szCs w:val="21"/>
        </w:rPr>
        <w:t xml:space="preserve">  </w:t>
      </w:r>
      <w:r w:rsidRPr="00A71292">
        <w:rPr>
          <w:rFonts w:ascii="Abadi" w:hAnsi="Abadi" w:cs="ArialMT"/>
          <w:sz w:val="21"/>
          <w:szCs w:val="21"/>
        </w:rPr>
        <w:t xml:space="preserve">alimentos a </w:t>
      </w:r>
      <w:r>
        <w:rPr>
          <w:rFonts w:ascii="Abadi" w:hAnsi="Abadi" w:cs="ArialMT"/>
          <w:sz w:val="21"/>
          <w:szCs w:val="21"/>
        </w:rPr>
        <w:t xml:space="preserve">  c</w:t>
      </w:r>
      <w:r w:rsidRPr="00A71292">
        <w:rPr>
          <w:rFonts w:ascii="Abadi" w:hAnsi="Abadi" w:cs="ArialMT"/>
          <w:sz w:val="21"/>
          <w:szCs w:val="21"/>
        </w:rPr>
        <w:t>iertas personas bajo la sanción de que el testamento sea</w:t>
      </w:r>
      <w:r>
        <w:rPr>
          <w:rFonts w:ascii="Abadi" w:hAnsi="Abadi" w:cs="ArialMT"/>
          <w:sz w:val="21"/>
          <w:szCs w:val="21"/>
        </w:rPr>
        <w:t xml:space="preserve"> </w:t>
      </w:r>
      <w:r w:rsidRPr="00A71292">
        <w:rPr>
          <w:rFonts w:ascii="Abadi" w:hAnsi="Abadi" w:cs="ArialMT"/>
          <w:sz w:val="21"/>
          <w:szCs w:val="21"/>
        </w:rPr>
        <w:t>inoficioso en caso contrario, reduciéndose así en la medida conducente para</w:t>
      </w:r>
      <w:r>
        <w:rPr>
          <w:rFonts w:ascii="Abadi" w:hAnsi="Abadi" w:cs="ArialMT"/>
          <w:sz w:val="21"/>
          <w:szCs w:val="21"/>
        </w:rPr>
        <w:t xml:space="preserve"> </w:t>
      </w:r>
      <w:r w:rsidRPr="00A71292">
        <w:rPr>
          <w:rFonts w:ascii="Abadi" w:hAnsi="Abadi" w:cs="ArialMT"/>
          <w:sz w:val="21"/>
          <w:szCs w:val="21"/>
        </w:rPr>
        <w:t>cumplir con esa obligación.</w:t>
      </w:r>
    </w:p>
    <w:p w14:paraId="7A724A67" w14:textId="77777777" w:rsidR="003B3767" w:rsidRDefault="003B3767" w:rsidP="003B3767">
      <w:pPr>
        <w:autoSpaceDE w:val="0"/>
        <w:autoSpaceDN w:val="0"/>
        <w:adjustRightInd w:val="0"/>
        <w:jc w:val="both"/>
        <w:rPr>
          <w:rFonts w:ascii="Abadi" w:hAnsi="Abadi" w:cs="ArialMT"/>
          <w:sz w:val="21"/>
          <w:szCs w:val="21"/>
        </w:rPr>
      </w:pPr>
    </w:p>
    <w:p w14:paraId="66206037" w14:textId="6CFCF595"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El código civil en esta entidad en su artículo 2539, establece que el testador</w:t>
      </w:r>
      <w:r>
        <w:rPr>
          <w:rFonts w:ascii="Abadi" w:hAnsi="Abadi" w:cs="ArialMT"/>
          <w:sz w:val="21"/>
          <w:szCs w:val="21"/>
        </w:rPr>
        <w:t xml:space="preserve"> </w:t>
      </w:r>
      <w:r w:rsidRPr="00A71292">
        <w:rPr>
          <w:rFonts w:ascii="Abadi" w:hAnsi="Abadi" w:cs="ArialMT"/>
          <w:sz w:val="21"/>
          <w:szCs w:val="21"/>
        </w:rPr>
        <w:t>puede disponer de todo, o en parte, de sus bienes y que la parte de la que no</w:t>
      </w:r>
      <w:r>
        <w:rPr>
          <w:rFonts w:ascii="Abadi" w:hAnsi="Abadi" w:cs="ArialMT"/>
          <w:sz w:val="21"/>
          <w:szCs w:val="21"/>
        </w:rPr>
        <w:t xml:space="preserve"> </w:t>
      </w:r>
      <w:r w:rsidRPr="00A71292">
        <w:rPr>
          <w:rFonts w:ascii="Abadi" w:hAnsi="Abadi" w:cs="ArialMT"/>
          <w:sz w:val="21"/>
          <w:szCs w:val="21"/>
        </w:rPr>
        <w:t>disponga quedará regida por la sucesión legítima, que es el caso, de que</w:t>
      </w:r>
      <w:r>
        <w:rPr>
          <w:rFonts w:ascii="Abadi" w:hAnsi="Abadi" w:cs="ArialMT"/>
          <w:sz w:val="21"/>
          <w:szCs w:val="21"/>
        </w:rPr>
        <w:t xml:space="preserve"> </w:t>
      </w:r>
      <w:r w:rsidRPr="00A71292">
        <w:rPr>
          <w:rFonts w:ascii="Abadi" w:hAnsi="Abadi" w:cs="ArialMT"/>
          <w:sz w:val="21"/>
          <w:szCs w:val="21"/>
        </w:rPr>
        <w:t>cuando en apariencia, o en la realidad, no comparecen o no existen</w:t>
      </w:r>
      <w:r w:rsidR="00733A9E">
        <w:rPr>
          <w:rFonts w:ascii="Abadi" w:hAnsi="Abadi" w:cs="ArialMT"/>
          <w:sz w:val="21"/>
          <w:szCs w:val="21"/>
        </w:rPr>
        <w:t xml:space="preserve"> </w:t>
      </w:r>
      <w:r w:rsidRPr="00A71292">
        <w:rPr>
          <w:rFonts w:ascii="Abadi" w:hAnsi="Abadi" w:cs="ArialMT"/>
          <w:sz w:val="21"/>
          <w:szCs w:val="21"/>
        </w:rPr>
        <w:t>herederos, en esta entidad Federativa, es la Universidad de Guanajuato, quien</w:t>
      </w:r>
      <w:r>
        <w:rPr>
          <w:rFonts w:ascii="Abadi" w:hAnsi="Abadi" w:cs="ArialMT"/>
          <w:sz w:val="21"/>
          <w:szCs w:val="21"/>
        </w:rPr>
        <w:t xml:space="preserve"> </w:t>
      </w:r>
      <w:r w:rsidRPr="00A71292">
        <w:rPr>
          <w:rFonts w:ascii="Abadi" w:hAnsi="Abadi" w:cs="ArialMT"/>
          <w:sz w:val="21"/>
          <w:szCs w:val="21"/>
        </w:rPr>
        <w:t>comparece a denunciar la sucesión y pretender ser declarada heredera de</w:t>
      </w:r>
      <w:r>
        <w:rPr>
          <w:rFonts w:ascii="Abadi" w:hAnsi="Abadi" w:cs="ArialMT"/>
          <w:sz w:val="21"/>
          <w:szCs w:val="21"/>
        </w:rPr>
        <w:t xml:space="preserve"> </w:t>
      </w:r>
      <w:r w:rsidRPr="00A71292">
        <w:rPr>
          <w:rFonts w:ascii="Abadi" w:hAnsi="Abadi" w:cs="ArialMT"/>
          <w:sz w:val="21"/>
          <w:szCs w:val="21"/>
        </w:rPr>
        <w:t>los bienes en este caso.</w:t>
      </w:r>
    </w:p>
    <w:p w14:paraId="03180D2E" w14:textId="77777777" w:rsidR="003B3767" w:rsidRPr="00A71292" w:rsidRDefault="003B3767" w:rsidP="003B3767">
      <w:pPr>
        <w:autoSpaceDE w:val="0"/>
        <w:autoSpaceDN w:val="0"/>
        <w:adjustRightInd w:val="0"/>
        <w:jc w:val="both"/>
        <w:rPr>
          <w:rFonts w:ascii="Abadi" w:hAnsi="Abadi" w:cs="ArialMT"/>
          <w:sz w:val="21"/>
          <w:szCs w:val="21"/>
        </w:rPr>
      </w:pPr>
    </w:p>
    <w:p w14:paraId="4CBE401A"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Por otro lado, es el código civil referido el que en su numeral 2540, indica que</w:t>
      </w:r>
      <w:r>
        <w:rPr>
          <w:rFonts w:ascii="Abadi" w:hAnsi="Abadi" w:cs="ArialMT"/>
          <w:sz w:val="21"/>
          <w:szCs w:val="21"/>
        </w:rPr>
        <w:t xml:space="preserve"> </w:t>
      </w:r>
      <w:r w:rsidRPr="00A71292">
        <w:rPr>
          <w:rFonts w:ascii="Abadi" w:hAnsi="Abadi" w:cs="ArialMT"/>
          <w:sz w:val="21"/>
          <w:szCs w:val="21"/>
        </w:rPr>
        <w:t>el heredero es aquél que adquiere a título universal y responde de las cargas</w:t>
      </w:r>
      <w:r>
        <w:rPr>
          <w:rFonts w:ascii="Abadi" w:hAnsi="Abadi" w:cs="ArialMT"/>
          <w:sz w:val="21"/>
          <w:szCs w:val="21"/>
        </w:rPr>
        <w:t xml:space="preserve"> </w:t>
      </w:r>
      <w:r w:rsidRPr="00A71292">
        <w:rPr>
          <w:rFonts w:ascii="Abadi" w:hAnsi="Abadi" w:cs="ArialMT"/>
          <w:sz w:val="21"/>
          <w:szCs w:val="21"/>
        </w:rPr>
        <w:t>de la herencia hasta donde alcance la cuantía de los bienes que hereda. El</w:t>
      </w:r>
      <w:r>
        <w:rPr>
          <w:rFonts w:ascii="Abadi" w:hAnsi="Abadi" w:cs="ArialMT"/>
          <w:sz w:val="21"/>
          <w:szCs w:val="21"/>
        </w:rPr>
        <w:t xml:space="preserve"> </w:t>
      </w:r>
      <w:r w:rsidRPr="00A71292">
        <w:rPr>
          <w:rFonts w:ascii="Abadi" w:hAnsi="Abadi" w:cs="ArialMT"/>
          <w:sz w:val="21"/>
          <w:szCs w:val="21"/>
        </w:rPr>
        <w:t xml:space="preserve">heredero es un continuador del patrimonio del </w:t>
      </w:r>
      <w:r w:rsidRPr="00A71292">
        <w:rPr>
          <w:rFonts w:ascii="Abadi" w:hAnsi="Abadi" w:cs="Arial-ItalicMT"/>
          <w:i/>
          <w:iCs/>
          <w:sz w:val="21"/>
          <w:szCs w:val="21"/>
        </w:rPr>
        <w:t xml:space="preserve">de cujus </w:t>
      </w:r>
      <w:r w:rsidRPr="00A71292">
        <w:rPr>
          <w:rFonts w:ascii="Abadi" w:hAnsi="Abadi" w:cs="ArialMT"/>
          <w:sz w:val="21"/>
          <w:szCs w:val="21"/>
        </w:rPr>
        <w:t>y representa todas</w:t>
      </w:r>
      <w:r>
        <w:rPr>
          <w:rFonts w:ascii="Abadi" w:hAnsi="Abadi" w:cs="ArialMT"/>
          <w:sz w:val="21"/>
          <w:szCs w:val="21"/>
        </w:rPr>
        <w:t xml:space="preserve"> </w:t>
      </w:r>
      <w:r w:rsidRPr="00A71292">
        <w:rPr>
          <w:rFonts w:ascii="Abadi" w:hAnsi="Abadi" w:cs="ArialMT"/>
          <w:sz w:val="21"/>
          <w:szCs w:val="21"/>
        </w:rPr>
        <w:t>sus relaciones activas y pasivas de carácter pecuniario, pero con el límite que</w:t>
      </w:r>
      <w:r>
        <w:rPr>
          <w:rFonts w:ascii="Abadi" w:hAnsi="Abadi" w:cs="ArialMT"/>
          <w:sz w:val="21"/>
          <w:szCs w:val="21"/>
        </w:rPr>
        <w:t xml:space="preserve"> </w:t>
      </w:r>
      <w:r w:rsidRPr="00A71292">
        <w:rPr>
          <w:rFonts w:ascii="Abadi" w:hAnsi="Abadi" w:cs="ArialMT"/>
          <w:sz w:val="21"/>
          <w:szCs w:val="21"/>
        </w:rPr>
        <w:t>establece el beneficio de inventario, es decir, sólo responde de las cargas de</w:t>
      </w:r>
      <w:r>
        <w:rPr>
          <w:rFonts w:ascii="Abadi" w:hAnsi="Abadi" w:cs="ArialMT"/>
          <w:sz w:val="21"/>
          <w:szCs w:val="21"/>
        </w:rPr>
        <w:t xml:space="preserve"> </w:t>
      </w:r>
      <w:r w:rsidRPr="00A71292">
        <w:rPr>
          <w:rFonts w:ascii="Abadi" w:hAnsi="Abadi" w:cs="ArialMT"/>
          <w:sz w:val="21"/>
          <w:szCs w:val="21"/>
        </w:rPr>
        <w:t>la herencia hasta donde lo permita el activo.</w:t>
      </w:r>
      <w:r>
        <w:rPr>
          <w:rFonts w:ascii="Abadi" w:hAnsi="Abadi" w:cs="ArialMT"/>
          <w:sz w:val="21"/>
          <w:szCs w:val="21"/>
        </w:rPr>
        <w:t xml:space="preserve"> </w:t>
      </w:r>
    </w:p>
    <w:p w14:paraId="39AE0D99" w14:textId="77777777" w:rsidR="003B3767" w:rsidRPr="00A71292" w:rsidRDefault="003B3767" w:rsidP="003B3767">
      <w:pPr>
        <w:autoSpaceDE w:val="0"/>
        <w:autoSpaceDN w:val="0"/>
        <w:adjustRightInd w:val="0"/>
        <w:jc w:val="both"/>
        <w:rPr>
          <w:rFonts w:ascii="Abadi" w:hAnsi="Abadi" w:cs="ArialMT"/>
          <w:sz w:val="21"/>
          <w:szCs w:val="21"/>
        </w:rPr>
      </w:pPr>
    </w:p>
    <w:p w14:paraId="654C837E"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Según la doctrina dominante en esta materia, el heredero es aquél a quien</w:t>
      </w:r>
      <w:r>
        <w:rPr>
          <w:rFonts w:ascii="Abadi" w:hAnsi="Abadi" w:cs="ArialMT"/>
          <w:sz w:val="21"/>
          <w:szCs w:val="21"/>
        </w:rPr>
        <w:t xml:space="preserve"> </w:t>
      </w:r>
      <w:r w:rsidRPr="00A71292">
        <w:rPr>
          <w:rFonts w:ascii="Abadi" w:hAnsi="Abadi" w:cs="ArialMT"/>
          <w:sz w:val="21"/>
          <w:szCs w:val="21"/>
        </w:rPr>
        <w:t>se le atribuye la universalidad del patrimonio o una parte alícuota del mismo.</w:t>
      </w:r>
      <w:r>
        <w:rPr>
          <w:rFonts w:ascii="Abadi" w:hAnsi="Abadi" w:cs="ArialMT"/>
          <w:sz w:val="21"/>
          <w:szCs w:val="21"/>
        </w:rPr>
        <w:t xml:space="preserve"> </w:t>
      </w:r>
      <w:r w:rsidRPr="00A71292">
        <w:rPr>
          <w:rFonts w:ascii="Abadi" w:hAnsi="Abadi" w:cs="ArialMT"/>
          <w:sz w:val="21"/>
          <w:szCs w:val="21"/>
        </w:rPr>
        <w:t xml:space="preserve">Es propiamente sucesor del </w:t>
      </w:r>
      <w:r w:rsidRPr="00A71292">
        <w:rPr>
          <w:rFonts w:ascii="Abadi" w:hAnsi="Abadi" w:cs="Arial-ItalicMT"/>
          <w:i/>
          <w:iCs/>
          <w:sz w:val="21"/>
          <w:szCs w:val="21"/>
        </w:rPr>
        <w:t>de cujus</w:t>
      </w:r>
      <w:r w:rsidRPr="00A71292">
        <w:rPr>
          <w:rFonts w:ascii="Abadi" w:hAnsi="Abadi" w:cs="ArialMT"/>
          <w:sz w:val="21"/>
          <w:szCs w:val="21"/>
        </w:rPr>
        <w:t>, es decir, sustituto en la titularidad de</w:t>
      </w:r>
      <w:r>
        <w:rPr>
          <w:rFonts w:ascii="Abadi" w:hAnsi="Abadi" w:cs="ArialMT"/>
          <w:sz w:val="21"/>
          <w:szCs w:val="21"/>
        </w:rPr>
        <w:t xml:space="preserve"> </w:t>
      </w:r>
      <w:r w:rsidRPr="00A71292">
        <w:rPr>
          <w:rFonts w:ascii="Abadi" w:hAnsi="Abadi" w:cs="ArialMT"/>
          <w:sz w:val="21"/>
          <w:szCs w:val="21"/>
        </w:rPr>
        <w:t>su patrimonio. El heredero es el que responde de las cargas de la herencia.</w:t>
      </w:r>
      <w:r>
        <w:rPr>
          <w:rFonts w:ascii="Abadi" w:hAnsi="Abadi" w:cs="ArialMT"/>
          <w:sz w:val="21"/>
          <w:szCs w:val="21"/>
        </w:rPr>
        <w:t xml:space="preserve"> </w:t>
      </w:r>
    </w:p>
    <w:p w14:paraId="2EF9C0AD" w14:textId="2CBC9F6D" w:rsidR="00733A9E"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En consecuencia, su carácter no nace de la calificación que haga el testador,</w:t>
      </w:r>
      <w:r>
        <w:rPr>
          <w:rFonts w:ascii="Abadi" w:hAnsi="Abadi" w:cs="ArialMT"/>
          <w:sz w:val="21"/>
          <w:szCs w:val="21"/>
        </w:rPr>
        <w:t xml:space="preserve"> </w:t>
      </w:r>
      <w:r w:rsidRPr="00A71292">
        <w:rPr>
          <w:rFonts w:ascii="Abadi" w:hAnsi="Abadi" w:cs="ArialMT"/>
          <w:sz w:val="21"/>
          <w:szCs w:val="21"/>
        </w:rPr>
        <w:t>sino del papel que tenga con relación a la herencia, independientemente del</w:t>
      </w:r>
      <w:r>
        <w:rPr>
          <w:rFonts w:ascii="Abadi" w:hAnsi="Abadi" w:cs="ArialMT"/>
          <w:sz w:val="21"/>
          <w:szCs w:val="21"/>
        </w:rPr>
        <w:t xml:space="preserve"> </w:t>
      </w:r>
      <w:r w:rsidRPr="00A71292">
        <w:rPr>
          <w:rFonts w:ascii="Abadi" w:hAnsi="Abadi" w:cs="ArialMT"/>
          <w:sz w:val="21"/>
          <w:szCs w:val="21"/>
        </w:rPr>
        <w:t>calificativo con el que se designe. Así, se es heredero de una o varias cosas</w:t>
      </w:r>
      <w:r w:rsidR="00733A9E">
        <w:rPr>
          <w:rStyle w:val="Refdenotaalpie"/>
          <w:rFonts w:ascii="Abadi" w:hAnsi="Abadi" w:cs="ArialMT"/>
          <w:sz w:val="21"/>
          <w:szCs w:val="21"/>
        </w:rPr>
        <w:footnoteReference w:id="14"/>
      </w:r>
      <w:r w:rsidRPr="00A71292">
        <w:rPr>
          <w:rFonts w:ascii="Abadi" w:hAnsi="Abadi" w:cs="ArialMT"/>
          <w:sz w:val="21"/>
          <w:szCs w:val="21"/>
        </w:rPr>
        <w:t>.</w:t>
      </w:r>
      <w:r>
        <w:rPr>
          <w:rFonts w:ascii="Abadi" w:hAnsi="Abadi" w:cs="ArialMT"/>
          <w:sz w:val="21"/>
          <w:szCs w:val="21"/>
        </w:rPr>
        <w:t xml:space="preserve"> </w:t>
      </w:r>
    </w:p>
    <w:p w14:paraId="3DC0E7E3" w14:textId="77777777" w:rsidR="00733A9E" w:rsidRDefault="00733A9E" w:rsidP="003B3767">
      <w:pPr>
        <w:autoSpaceDE w:val="0"/>
        <w:autoSpaceDN w:val="0"/>
        <w:adjustRightInd w:val="0"/>
        <w:jc w:val="both"/>
        <w:rPr>
          <w:rFonts w:ascii="Abadi" w:hAnsi="Abadi" w:cs="ArialMT"/>
          <w:sz w:val="21"/>
          <w:szCs w:val="21"/>
        </w:rPr>
      </w:pPr>
    </w:p>
    <w:p w14:paraId="435D5B9B" w14:textId="0D6B82C1"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Ahora bien, toda persona de cualquier edad puede heredar, es decir, los</w:t>
      </w:r>
      <w:r>
        <w:rPr>
          <w:rFonts w:ascii="Abadi" w:hAnsi="Abadi" w:cs="ArialMT"/>
          <w:sz w:val="21"/>
          <w:szCs w:val="21"/>
        </w:rPr>
        <w:t xml:space="preserve"> </w:t>
      </w:r>
      <w:r w:rsidRPr="00A71292">
        <w:rPr>
          <w:rFonts w:ascii="Abadi" w:hAnsi="Abadi" w:cs="ArialMT"/>
          <w:sz w:val="21"/>
          <w:szCs w:val="21"/>
        </w:rPr>
        <w:t>menores o recién nacidos cuentan con esta capacidad, sobre todo a efecto</w:t>
      </w:r>
      <w:r>
        <w:rPr>
          <w:rFonts w:ascii="Abadi" w:hAnsi="Abadi" w:cs="ArialMT"/>
          <w:sz w:val="21"/>
          <w:szCs w:val="21"/>
        </w:rPr>
        <w:t xml:space="preserve"> </w:t>
      </w:r>
      <w:r w:rsidRPr="00A71292">
        <w:rPr>
          <w:rFonts w:ascii="Abadi" w:hAnsi="Abadi" w:cs="ArialMT"/>
          <w:sz w:val="21"/>
          <w:szCs w:val="21"/>
        </w:rPr>
        <w:t xml:space="preserve">de </w:t>
      </w:r>
      <w:r w:rsidR="006924DE" w:rsidRPr="00A71292">
        <w:rPr>
          <w:rFonts w:ascii="Abadi" w:hAnsi="Abadi" w:cs="ArialMT"/>
          <w:sz w:val="21"/>
          <w:szCs w:val="21"/>
        </w:rPr>
        <w:t xml:space="preserve">proteger </w:t>
      </w:r>
      <w:r w:rsidR="006924DE">
        <w:rPr>
          <w:rFonts w:ascii="Abadi" w:hAnsi="Abadi" w:cs="ArialMT"/>
          <w:sz w:val="21"/>
          <w:szCs w:val="21"/>
        </w:rPr>
        <w:t>su</w:t>
      </w:r>
      <w:r w:rsidRPr="00A71292">
        <w:rPr>
          <w:rFonts w:ascii="Abadi" w:hAnsi="Abadi" w:cs="ArialMT"/>
          <w:sz w:val="21"/>
          <w:szCs w:val="21"/>
        </w:rPr>
        <w:t xml:space="preserve"> derecho a alimentos, conforme a lo que dispone el artículo</w:t>
      </w:r>
      <w:r>
        <w:rPr>
          <w:rFonts w:ascii="Abadi" w:hAnsi="Abadi" w:cs="ArialMT"/>
          <w:sz w:val="21"/>
          <w:szCs w:val="21"/>
        </w:rPr>
        <w:t xml:space="preserve"> </w:t>
      </w:r>
      <w:r w:rsidRPr="00A71292">
        <w:rPr>
          <w:rFonts w:ascii="Abadi" w:hAnsi="Abadi" w:cs="ArialMT"/>
          <w:sz w:val="21"/>
          <w:szCs w:val="21"/>
        </w:rPr>
        <w:t>2569 del Código Civil para el Estado de Guanajuato, que señala:</w:t>
      </w:r>
    </w:p>
    <w:p w14:paraId="6F90132F" w14:textId="77777777" w:rsidR="003B3767" w:rsidRPr="00A71292" w:rsidRDefault="003B3767" w:rsidP="003B3767">
      <w:pPr>
        <w:autoSpaceDE w:val="0"/>
        <w:autoSpaceDN w:val="0"/>
        <w:adjustRightInd w:val="0"/>
        <w:jc w:val="both"/>
        <w:rPr>
          <w:rFonts w:ascii="Abadi" w:hAnsi="Abadi" w:cs="ArialMT"/>
          <w:sz w:val="21"/>
          <w:szCs w:val="21"/>
        </w:rPr>
      </w:pPr>
    </w:p>
    <w:p w14:paraId="053CF607"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ItalicMT"/>
          <w:i/>
          <w:iCs/>
          <w:sz w:val="21"/>
          <w:szCs w:val="21"/>
        </w:rPr>
        <w:t>“</w:t>
      </w:r>
      <w:r w:rsidRPr="00A71292">
        <w:rPr>
          <w:rFonts w:ascii="Abadi" w:hAnsi="Abadi" w:cs="Arial-BoldItalicMT"/>
          <w:b/>
          <w:bCs/>
          <w:i/>
          <w:iCs/>
          <w:sz w:val="21"/>
          <w:szCs w:val="21"/>
        </w:rPr>
        <w:t>Art. 2569</w:t>
      </w:r>
      <w:r w:rsidRPr="00A71292">
        <w:rPr>
          <w:rFonts w:ascii="Abadi" w:hAnsi="Abadi" w:cs="Arial-ItalicMT"/>
          <w:i/>
          <w:iCs/>
          <w:sz w:val="21"/>
          <w:szCs w:val="21"/>
        </w:rPr>
        <w:t xml:space="preserve">. </w:t>
      </w:r>
      <w:r w:rsidRPr="00DF0705">
        <w:rPr>
          <w:rFonts w:ascii="Abadi" w:hAnsi="Abadi" w:cs="Arial-BoldItalicMT"/>
          <w:b/>
          <w:bCs/>
          <w:i/>
          <w:iCs/>
          <w:sz w:val="21"/>
          <w:szCs w:val="21"/>
          <w:u w:val="single"/>
        </w:rPr>
        <w:t>Toda persona de cualquier edad que sea tiene capacidad para heredar</w:t>
      </w:r>
      <w:r w:rsidRPr="00DF0705">
        <w:rPr>
          <w:rFonts w:ascii="Abadi" w:hAnsi="Abadi" w:cs="Arial-ItalicMT"/>
          <w:i/>
          <w:iCs/>
          <w:sz w:val="21"/>
          <w:szCs w:val="21"/>
          <w:u w:val="single"/>
        </w:rPr>
        <w:t>,</w:t>
      </w:r>
      <w:r w:rsidRPr="00A71292">
        <w:rPr>
          <w:rFonts w:ascii="Abadi" w:hAnsi="Abadi" w:cs="Arial-ItalicMT"/>
          <w:i/>
          <w:iCs/>
          <w:sz w:val="21"/>
          <w:szCs w:val="21"/>
        </w:rPr>
        <w:t xml:space="preserve"> y no puede ser privada de ella de un modo absoluto; pero con</w:t>
      </w:r>
      <w:r>
        <w:rPr>
          <w:rFonts w:ascii="Abadi" w:hAnsi="Abadi" w:cs="Arial-ItalicMT"/>
          <w:i/>
          <w:iCs/>
          <w:sz w:val="21"/>
          <w:szCs w:val="21"/>
        </w:rPr>
        <w:t xml:space="preserve"> </w:t>
      </w:r>
      <w:r w:rsidRPr="00A71292">
        <w:rPr>
          <w:rFonts w:ascii="Abadi" w:hAnsi="Abadi" w:cs="Arial-ItalicMT"/>
          <w:i/>
          <w:iCs/>
          <w:sz w:val="21"/>
          <w:szCs w:val="21"/>
        </w:rPr>
        <w:t xml:space="preserve">relación a ciertas personas, y a determinados bienes…” </w:t>
      </w:r>
      <w:r w:rsidRPr="00A71292">
        <w:rPr>
          <w:rFonts w:ascii="Abadi" w:hAnsi="Abadi" w:cs="ArialMT"/>
          <w:sz w:val="21"/>
          <w:szCs w:val="21"/>
        </w:rPr>
        <w:t>(Las negritas y</w:t>
      </w:r>
      <w:r>
        <w:rPr>
          <w:rFonts w:ascii="Abadi" w:hAnsi="Abadi" w:cs="ArialMT"/>
          <w:sz w:val="21"/>
          <w:szCs w:val="21"/>
        </w:rPr>
        <w:t xml:space="preserve"> </w:t>
      </w:r>
      <w:r w:rsidRPr="00A71292">
        <w:rPr>
          <w:rFonts w:ascii="Abadi" w:hAnsi="Abadi" w:cs="ArialMT"/>
          <w:sz w:val="21"/>
          <w:szCs w:val="21"/>
        </w:rPr>
        <w:t>subrayado es nuestro</w:t>
      </w:r>
      <w:r>
        <w:rPr>
          <w:rFonts w:ascii="Abadi" w:hAnsi="Abadi" w:cs="ArialMT"/>
          <w:sz w:val="21"/>
          <w:szCs w:val="21"/>
        </w:rPr>
        <w:t xml:space="preserve">. </w:t>
      </w:r>
    </w:p>
    <w:p w14:paraId="0EB71914" w14:textId="77777777" w:rsidR="003B3767" w:rsidRDefault="003B3767" w:rsidP="003B3767">
      <w:pPr>
        <w:autoSpaceDE w:val="0"/>
        <w:autoSpaceDN w:val="0"/>
        <w:adjustRightInd w:val="0"/>
        <w:jc w:val="both"/>
        <w:rPr>
          <w:rFonts w:ascii="Abadi" w:hAnsi="Abadi" w:cs="ArialMT"/>
          <w:sz w:val="21"/>
          <w:szCs w:val="21"/>
        </w:rPr>
      </w:pPr>
    </w:p>
    <w:p w14:paraId="2149C007"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En tal sentido, cuando existe sucesión testamentaria, el tratamiento a</w:t>
      </w:r>
      <w:r>
        <w:rPr>
          <w:rFonts w:ascii="Abadi" w:hAnsi="Abadi" w:cs="ArialMT"/>
          <w:sz w:val="21"/>
          <w:szCs w:val="21"/>
        </w:rPr>
        <w:t xml:space="preserve"> </w:t>
      </w:r>
      <w:r w:rsidRPr="00A71292">
        <w:rPr>
          <w:rFonts w:ascii="Abadi" w:hAnsi="Abadi" w:cs="ArialMT"/>
          <w:sz w:val="21"/>
          <w:szCs w:val="21"/>
        </w:rPr>
        <w:t>menores de edad, la ley civil sustantiva le establece con precisión.</w:t>
      </w:r>
    </w:p>
    <w:p w14:paraId="25588305" w14:textId="77777777" w:rsidR="003B3767" w:rsidRPr="00A71292" w:rsidRDefault="003B3767" w:rsidP="003B3767">
      <w:pPr>
        <w:jc w:val="both"/>
        <w:rPr>
          <w:rFonts w:ascii="Abadi" w:hAnsi="Abadi" w:cs="ArialMT"/>
          <w:sz w:val="21"/>
          <w:szCs w:val="21"/>
        </w:rPr>
      </w:pPr>
    </w:p>
    <w:p w14:paraId="4FA70C51" w14:textId="402AFDE5"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A efecto de centrar la finalidad de la presente iniciativa, es menester comentar</w:t>
      </w:r>
      <w:r>
        <w:rPr>
          <w:rFonts w:ascii="Abadi" w:hAnsi="Abadi" w:cs="ArialMT"/>
          <w:sz w:val="21"/>
          <w:szCs w:val="21"/>
        </w:rPr>
        <w:t xml:space="preserve"> </w:t>
      </w:r>
      <w:r w:rsidRPr="00A71292">
        <w:rPr>
          <w:rFonts w:ascii="Abadi" w:hAnsi="Abadi" w:cs="ArialMT"/>
          <w:sz w:val="21"/>
          <w:szCs w:val="21"/>
        </w:rPr>
        <w:t>que el tema es referido a la sucesión legítima y, en concreto interesa abordar</w:t>
      </w:r>
      <w:r>
        <w:rPr>
          <w:rFonts w:ascii="Abadi" w:hAnsi="Abadi" w:cs="ArialMT"/>
          <w:sz w:val="21"/>
          <w:szCs w:val="21"/>
        </w:rPr>
        <w:t xml:space="preserve"> </w:t>
      </w:r>
      <w:r w:rsidRPr="00A71292">
        <w:rPr>
          <w:rFonts w:ascii="Abadi" w:hAnsi="Abadi" w:cs="ArialMT"/>
          <w:sz w:val="21"/>
          <w:szCs w:val="21"/>
        </w:rPr>
        <w:t>el tema de la sucesión en la que no hay herederos o existiendo no concurren</w:t>
      </w:r>
      <w:r>
        <w:rPr>
          <w:rFonts w:ascii="Abadi" w:hAnsi="Abadi" w:cs="ArialMT"/>
          <w:sz w:val="21"/>
          <w:szCs w:val="21"/>
        </w:rPr>
        <w:t xml:space="preserve"> </w:t>
      </w:r>
      <w:r w:rsidRPr="00A71292">
        <w:rPr>
          <w:rFonts w:ascii="Abadi" w:hAnsi="Abadi" w:cs="ArialMT"/>
          <w:sz w:val="21"/>
          <w:szCs w:val="21"/>
        </w:rPr>
        <w:t>a reclamar su derecho a heredar donde interviene oficiosamente la</w:t>
      </w:r>
      <w:r>
        <w:rPr>
          <w:rFonts w:ascii="Abadi" w:hAnsi="Abadi" w:cs="ArialMT"/>
          <w:sz w:val="21"/>
          <w:szCs w:val="21"/>
        </w:rPr>
        <w:t xml:space="preserve"> </w:t>
      </w:r>
      <w:r w:rsidRPr="00A71292">
        <w:rPr>
          <w:rFonts w:ascii="Abadi" w:hAnsi="Abadi" w:cs="ArialMT"/>
          <w:sz w:val="21"/>
          <w:szCs w:val="21"/>
        </w:rPr>
        <w:t>Universidad de Guanajuato, por mandato de la ley sustantiva civil. Lo anterior,</w:t>
      </w:r>
      <w:r>
        <w:rPr>
          <w:rFonts w:ascii="Abadi" w:hAnsi="Abadi" w:cs="ArialMT"/>
          <w:sz w:val="21"/>
          <w:szCs w:val="21"/>
        </w:rPr>
        <w:t xml:space="preserve"> </w:t>
      </w:r>
      <w:r w:rsidRPr="00A71292">
        <w:rPr>
          <w:rFonts w:ascii="Abadi" w:hAnsi="Abadi" w:cs="ArialMT"/>
          <w:sz w:val="21"/>
          <w:szCs w:val="21"/>
        </w:rPr>
        <w:t>conforme al Libro Cuarto, referido a las sucesiones, Título Cuarto, destinado</w:t>
      </w:r>
      <w:r>
        <w:rPr>
          <w:rFonts w:ascii="Abadi" w:hAnsi="Abadi" w:cs="ArialMT"/>
          <w:sz w:val="21"/>
          <w:szCs w:val="21"/>
        </w:rPr>
        <w:t xml:space="preserve"> </w:t>
      </w:r>
      <w:r w:rsidRPr="00A71292">
        <w:rPr>
          <w:rFonts w:ascii="Abadi" w:hAnsi="Abadi" w:cs="ArialMT"/>
          <w:sz w:val="21"/>
          <w:szCs w:val="21"/>
        </w:rPr>
        <w:t>a la sucesión legítima y Capítulo VII, innominado “De la Sucesión de la</w:t>
      </w:r>
      <w:r>
        <w:rPr>
          <w:rFonts w:ascii="Abadi" w:hAnsi="Abadi" w:cs="ArialMT"/>
          <w:sz w:val="21"/>
          <w:szCs w:val="21"/>
        </w:rPr>
        <w:t xml:space="preserve"> </w:t>
      </w:r>
      <w:r w:rsidRPr="00A71292">
        <w:rPr>
          <w:rFonts w:ascii="Abadi" w:hAnsi="Abadi" w:cs="ArialMT"/>
          <w:sz w:val="21"/>
          <w:szCs w:val="21"/>
        </w:rPr>
        <w:t>Universidad de Guanajuato, del Código Civil para el Estado de Guanajuato,</w:t>
      </w:r>
      <w:r>
        <w:rPr>
          <w:rFonts w:ascii="Abadi" w:hAnsi="Abadi" w:cs="ArialMT"/>
          <w:sz w:val="21"/>
          <w:szCs w:val="21"/>
        </w:rPr>
        <w:t xml:space="preserve"> </w:t>
      </w:r>
      <w:r w:rsidRPr="00A71292">
        <w:rPr>
          <w:rFonts w:ascii="Abadi" w:hAnsi="Abadi" w:cs="ArialMT"/>
          <w:sz w:val="21"/>
          <w:szCs w:val="21"/>
        </w:rPr>
        <w:t>en los artículos 2874 y 2875</w:t>
      </w:r>
      <w:r w:rsidR="00733A9E">
        <w:rPr>
          <w:rStyle w:val="Refdenotaalpie"/>
          <w:rFonts w:ascii="Abadi" w:hAnsi="Abadi" w:cs="ArialMT"/>
          <w:sz w:val="21"/>
          <w:szCs w:val="21"/>
        </w:rPr>
        <w:footnoteReference w:id="15"/>
      </w:r>
      <w:r w:rsidRPr="00A71292">
        <w:rPr>
          <w:rFonts w:ascii="Abadi" w:hAnsi="Abadi" w:cs="ArialMT"/>
          <w:sz w:val="21"/>
          <w:szCs w:val="21"/>
        </w:rPr>
        <w:t>, que disponen:</w:t>
      </w:r>
    </w:p>
    <w:p w14:paraId="56904D6D" w14:textId="77777777" w:rsidR="003B3767" w:rsidRPr="00A71292" w:rsidRDefault="003B3767" w:rsidP="003B3767">
      <w:pPr>
        <w:autoSpaceDE w:val="0"/>
        <w:autoSpaceDN w:val="0"/>
        <w:adjustRightInd w:val="0"/>
        <w:jc w:val="both"/>
        <w:rPr>
          <w:rFonts w:ascii="Abadi" w:hAnsi="Abadi" w:cs="ArialMT"/>
          <w:sz w:val="21"/>
          <w:szCs w:val="21"/>
        </w:rPr>
      </w:pPr>
    </w:p>
    <w:p w14:paraId="78F72BCE"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BoldItalicMT"/>
          <w:b/>
          <w:bCs/>
          <w:i/>
          <w:iCs/>
          <w:sz w:val="21"/>
          <w:szCs w:val="21"/>
        </w:rPr>
        <w:t>“Art. 2874</w:t>
      </w:r>
      <w:r w:rsidRPr="00A71292">
        <w:rPr>
          <w:rFonts w:ascii="Abadi" w:hAnsi="Abadi" w:cs="Arial-ItalicMT"/>
          <w:i/>
          <w:iCs/>
          <w:sz w:val="21"/>
          <w:szCs w:val="21"/>
        </w:rPr>
        <w:t xml:space="preserve">. </w:t>
      </w:r>
      <w:r w:rsidRPr="00DF0705">
        <w:rPr>
          <w:rFonts w:ascii="Abadi" w:hAnsi="Abadi" w:cs="Arial-ItalicMT"/>
          <w:i/>
          <w:iCs/>
          <w:sz w:val="21"/>
          <w:szCs w:val="21"/>
          <w:u w:val="single"/>
        </w:rPr>
        <w:t xml:space="preserve">A </w:t>
      </w:r>
      <w:r w:rsidRPr="00DF0705">
        <w:rPr>
          <w:rFonts w:ascii="Abadi" w:hAnsi="Abadi" w:cs="Arial-BoldItalicMT"/>
          <w:b/>
          <w:bCs/>
          <w:i/>
          <w:iCs/>
          <w:sz w:val="21"/>
          <w:szCs w:val="21"/>
          <w:u w:val="single"/>
        </w:rPr>
        <w:t>falta de todos los herederos llamados en los capítulos anteriores sucederá la Universidad de Guanajuato</w:t>
      </w:r>
      <w:r w:rsidRPr="00DF0705">
        <w:rPr>
          <w:rFonts w:ascii="Abadi" w:hAnsi="Abadi" w:cs="Arial-ItalicMT"/>
          <w:i/>
          <w:iCs/>
          <w:sz w:val="21"/>
          <w:szCs w:val="21"/>
          <w:u w:val="single"/>
        </w:rPr>
        <w:t>,</w:t>
      </w:r>
      <w:r w:rsidRPr="00A71292">
        <w:rPr>
          <w:rFonts w:ascii="Abadi" w:hAnsi="Abadi" w:cs="Arial-ItalicMT"/>
          <w:i/>
          <w:iCs/>
          <w:sz w:val="21"/>
          <w:szCs w:val="21"/>
        </w:rPr>
        <w:t xml:space="preserve"> que estará</w:t>
      </w:r>
      <w:r>
        <w:rPr>
          <w:rFonts w:ascii="Abadi" w:hAnsi="Abadi" w:cs="Arial-ItalicMT"/>
          <w:i/>
          <w:iCs/>
          <w:sz w:val="21"/>
          <w:szCs w:val="21"/>
        </w:rPr>
        <w:t xml:space="preserve"> </w:t>
      </w:r>
      <w:r w:rsidRPr="00A71292">
        <w:rPr>
          <w:rFonts w:ascii="Abadi" w:hAnsi="Abadi" w:cs="Arial-ItalicMT"/>
          <w:i/>
          <w:iCs/>
          <w:sz w:val="21"/>
          <w:szCs w:val="21"/>
        </w:rPr>
        <w:t>representada hasta la adjudicación de los bienes por el Rector de la propia</w:t>
      </w:r>
      <w:r>
        <w:rPr>
          <w:rFonts w:ascii="Abadi" w:hAnsi="Abadi" w:cs="Arial-ItalicMT"/>
          <w:i/>
          <w:iCs/>
          <w:sz w:val="21"/>
          <w:szCs w:val="21"/>
        </w:rPr>
        <w:t xml:space="preserve"> </w:t>
      </w:r>
      <w:r w:rsidRPr="00A71292">
        <w:rPr>
          <w:rFonts w:ascii="Abadi" w:hAnsi="Abadi" w:cs="Arial-ItalicMT"/>
          <w:i/>
          <w:iCs/>
          <w:sz w:val="21"/>
          <w:szCs w:val="21"/>
        </w:rPr>
        <w:t>Universidad o por la persona que éste designe, bastando para ello, simple</w:t>
      </w:r>
      <w:r>
        <w:rPr>
          <w:rFonts w:ascii="Abadi" w:hAnsi="Abadi" w:cs="Arial-ItalicMT"/>
          <w:i/>
          <w:iCs/>
          <w:sz w:val="21"/>
          <w:szCs w:val="21"/>
        </w:rPr>
        <w:t xml:space="preserve"> </w:t>
      </w:r>
      <w:r w:rsidRPr="00A71292">
        <w:rPr>
          <w:rFonts w:ascii="Abadi" w:hAnsi="Abadi" w:cs="Arial-ItalicMT"/>
          <w:i/>
          <w:iCs/>
          <w:sz w:val="21"/>
          <w:szCs w:val="21"/>
        </w:rPr>
        <w:t>oficio (sic) comisión</w:t>
      </w:r>
      <w:r w:rsidRPr="00A71292">
        <w:rPr>
          <w:rFonts w:ascii="Abadi" w:hAnsi="Abadi" w:cs="ArialMT"/>
          <w:sz w:val="21"/>
          <w:szCs w:val="21"/>
        </w:rPr>
        <w:t>”. (Las negritas y subrayado es nuestro).</w:t>
      </w:r>
    </w:p>
    <w:p w14:paraId="3D587C8A" w14:textId="77777777" w:rsidR="003B3767" w:rsidRPr="00A71292" w:rsidRDefault="003B3767" w:rsidP="003B3767">
      <w:pPr>
        <w:autoSpaceDE w:val="0"/>
        <w:autoSpaceDN w:val="0"/>
        <w:adjustRightInd w:val="0"/>
        <w:jc w:val="both"/>
        <w:rPr>
          <w:rFonts w:ascii="Abadi" w:hAnsi="Abadi" w:cs="ArialMT"/>
          <w:sz w:val="21"/>
          <w:szCs w:val="21"/>
        </w:rPr>
      </w:pPr>
    </w:p>
    <w:p w14:paraId="06AE99F8"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BoldItalicMT"/>
          <w:b/>
          <w:bCs/>
          <w:i/>
          <w:iCs/>
          <w:sz w:val="21"/>
          <w:szCs w:val="21"/>
        </w:rPr>
        <w:t>“Art. 2875</w:t>
      </w:r>
      <w:r w:rsidRPr="00A71292">
        <w:rPr>
          <w:rFonts w:ascii="Abadi" w:hAnsi="Abadi" w:cs="Arial-ItalicMT"/>
          <w:i/>
          <w:iCs/>
          <w:sz w:val="21"/>
          <w:szCs w:val="21"/>
        </w:rPr>
        <w:t>. En las sucesiones en que la Universidad de Guanajuato sea</w:t>
      </w:r>
      <w:r>
        <w:rPr>
          <w:rFonts w:ascii="Abadi" w:hAnsi="Abadi" w:cs="Arial-ItalicMT"/>
          <w:i/>
          <w:iCs/>
          <w:sz w:val="21"/>
          <w:szCs w:val="21"/>
        </w:rPr>
        <w:t xml:space="preserve"> </w:t>
      </w:r>
      <w:r w:rsidRPr="00A71292">
        <w:rPr>
          <w:rFonts w:ascii="Abadi" w:hAnsi="Abadi" w:cs="Arial-ItalicMT"/>
          <w:i/>
          <w:iCs/>
          <w:sz w:val="21"/>
          <w:szCs w:val="21"/>
        </w:rPr>
        <w:t xml:space="preserve">heredera </w:t>
      </w:r>
      <w:r w:rsidRPr="006253AE">
        <w:rPr>
          <w:rFonts w:ascii="Abadi" w:hAnsi="Abadi" w:cs="Arial-BoldItalicMT"/>
          <w:b/>
          <w:bCs/>
          <w:i/>
          <w:iCs/>
          <w:sz w:val="21"/>
          <w:szCs w:val="21"/>
          <w:u w:val="single"/>
        </w:rPr>
        <w:t>se le adjudicarán íntegramente los bienes que forman el acervo hereditario</w:t>
      </w:r>
      <w:r w:rsidRPr="00A71292">
        <w:rPr>
          <w:rFonts w:ascii="Abadi" w:hAnsi="Abadi" w:cs="Arial-ItalicMT"/>
          <w:i/>
          <w:iCs/>
          <w:sz w:val="21"/>
          <w:szCs w:val="21"/>
        </w:rPr>
        <w:t>; y si dentro de éstos existieren bienes raíces que no se puedan</w:t>
      </w:r>
      <w:r>
        <w:rPr>
          <w:rFonts w:ascii="Abadi" w:hAnsi="Abadi" w:cs="Arial-ItalicMT"/>
          <w:i/>
          <w:iCs/>
          <w:sz w:val="21"/>
          <w:szCs w:val="21"/>
        </w:rPr>
        <w:t xml:space="preserve"> </w:t>
      </w:r>
      <w:r w:rsidRPr="00A71292">
        <w:rPr>
          <w:rFonts w:ascii="Abadi" w:hAnsi="Abadi" w:cs="Arial-ItalicMT"/>
          <w:i/>
          <w:iCs/>
          <w:sz w:val="21"/>
          <w:szCs w:val="21"/>
        </w:rPr>
        <w:t>destinar inmediata y directamente al objeto de la Institución, se procederá a</w:t>
      </w:r>
      <w:r>
        <w:rPr>
          <w:rFonts w:ascii="Abadi" w:hAnsi="Abadi" w:cs="Arial-ItalicMT"/>
          <w:i/>
          <w:iCs/>
          <w:sz w:val="21"/>
          <w:szCs w:val="21"/>
        </w:rPr>
        <w:t xml:space="preserve"> </w:t>
      </w:r>
      <w:r w:rsidRPr="00A71292">
        <w:rPr>
          <w:rFonts w:ascii="Abadi" w:hAnsi="Abadi" w:cs="Arial-ItalicMT"/>
          <w:i/>
          <w:iCs/>
          <w:sz w:val="21"/>
          <w:szCs w:val="21"/>
        </w:rPr>
        <w:t>su venta en la forma y condiciones que en cada caso fije el Consejo</w:t>
      </w:r>
      <w:r>
        <w:rPr>
          <w:rFonts w:ascii="Abadi" w:hAnsi="Abadi" w:cs="Arial-ItalicMT"/>
          <w:i/>
          <w:iCs/>
          <w:sz w:val="21"/>
          <w:szCs w:val="21"/>
        </w:rPr>
        <w:t xml:space="preserve"> </w:t>
      </w:r>
      <w:r w:rsidRPr="00A71292">
        <w:rPr>
          <w:rFonts w:ascii="Abadi" w:hAnsi="Abadi" w:cs="Arial-ItalicMT"/>
          <w:i/>
          <w:iCs/>
          <w:sz w:val="21"/>
          <w:szCs w:val="21"/>
        </w:rPr>
        <w:t>Universitario, atribuciones que el Consejo podrá delegar en el Rector de la</w:t>
      </w:r>
      <w:r>
        <w:rPr>
          <w:rFonts w:ascii="Abadi" w:hAnsi="Abadi" w:cs="Arial-ItalicMT"/>
          <w:i/>
          <w:iCs/>
          <w:sz w:val="21"/>
          <w:szCs w:val="21"/>
        </w:rPr>
        <w:t xml:space="preserve"> </w:t>
      </w:r>
      <w:r w:rsidRPr="00A71292">
        <w:rPr>
          <w:rFonts w:ascii="Abadi" w:hAnsi="Abadi" w:cs="Arial-ItalicMT"/>
          <w:i/>
          <w:iCs/>
          <w:sz w:val="21"/>
          <w:szCs w:val="21"/>
        </w:rPr>
        <w:t xml:space="preserve">Universidad”. </w:t>
      </w:r>
      <w:r w:rsidRPr="00A71292">
        <w:rPr>
          <w:rFonts w:ascii="Abadi" w:hAnsi="Abadi" w:cs="ArialMT"/>
          <w:sz w:val="21"/>
          <w:szCs w:val="21"/>
        </w:rPr>
        <w:t>(Las negritas y subrayado es nuestro).</w:t>
      </w:r>
    </w:p>
    <w:p w14:paraId="73557EC8" w14:textId="77777777" w:rsidR="003B3767" w:rsidRPr="00A71292" w:rsidRDefault="003B3767" w:rsidP="003B3767">
      <w:pPr>
        <w:autoSpaceDE w:val="0"/>
        <w:autoSpaceDN w:val="0"/>
        <w:adjustRightInd w:val="0"/>
        <w:jc w:val="both"/>
        <w:rPr>
          <w:rFonts w:ascii="Abadi" w:hAnsi="Abadi" w:cs="ArialMT"/>
          <w:sz w:val="21"/>
          <w:szCs w:val="21"/>
        </w:rPr>
      </w:pPr>
    </w:p>
    <w:p w14:paraId="31EDA7A2"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De estos dos artículos transcritos, es claro que habrá casos en que no existan</w:t>
      </w:r>
      <w:r>
        <w:rPr>
          <w:rFonts w:ascii="Abadi" w:hAnsi="Abadi" w:cs="ArialMT"/>
          <w:sz w:val="21"/>
          <w:szCs w:val="21"/>
        </w:rPr>
        <w:t xml:space="preserve"> </w:t>
      </w:r>
      <w:r w:rsidRPr="00A71292">
        <w:rPr>
          <w:rFonts w:ascii="Abadi" w:hAnsi="Abadi" w:cs="ArialMT"/>
          <w:sz w:val="21"/>
          <w:szCs w:val="21"/>
        </w:rPr>
        <w:t>herederos, o habiéndolos no concurran, sobre todo en los casos de personas</w:t>
      </w:r>
      <w:r>
        <w:rPr>
          <w:rFonts w:ascii="Abadi" w:hAnsi="Abadi" w:cs="ArialMT"/>
          <w:sz w:val="21"/>
          <w:szCs w:val="21"/>
        </w:rPr>
        <w:t xml:space="preserve"> </w:t>
      </w:r>
      <w:r w:rsidRPr="00A71292">
        <w:rPr>
          <w:rFonts w:ascii="Abadi" w:hAnsi="Abadi" w:cs="ArialMT"/>
          <w:sz w:val="21"/>
          <w:szCs w:val="21"/>
        </w:rPr>
        <w:t>de la tercera edad y que en origen son de otros países, es decir, extranjeros,</w:t>
      </w:r>
      <w:r>
        <w:rPr>
          <w:rFonts w:ascii="Abadi" w:hAnsi="Abadi" w:cs="ArialMT"/>
          <w:sz w:val="21"/>
          <w:szCs w:val="21"/>
        </w:rPr>
        <w:t xml:space="preserve"> </w:t>
      </w:r>
      <w:r w:rsidRPr="00A71292">
        <w:rPr>
          <w:rFonts w:ascii="Abadi" w:hAnsi="Abadi" w:cs="ArialMT"/>
          <w:sz w:val="21"/>
          <w:szCs w:val="21"/>
        </w:rPr>
        <w:t>que establecen su residencia en alguna ciudad de esta entidad federativa a</w:t>
      </w:r>
      <w:r>
        <w:rPr>
          <w:rFonts w:ascii="Abadi" w:hAnsi="Abadi" w:cs="ArialMT"/>
          <w:sz w:val="21"/>
          <w:szCs w:val="21"/>
        </w:rPr>
        <w:t xml:space="preserve"> </w:t>
      </w:r>
      <w:r w:rsidRPr="00A71292">
        <w:rPr>
          <w:rFonts w:ascii="Abadi" w:hAnsi="Abadi" w:cs="ArialMT"/>
          <w:sz w:val="21"/>
          <w:szCs w:val="21"/>
        </w:rPr>
        <w:t>efecto pasar su vejez, razón por la que en ocasiones al fallecer tienen</w:t>
      </w:r>
      <w:r>
        <w:rPr>
          <w:rFonts w:ascii="Abadi" w:hAnsi="Abadi" w:cs="ArialMT"/>
          <w:sz w:val="21"/>
          <w:szCs w:val="21"/>
        </w:rPr>
        <w:t xml:space="preserve">   </w:t>
      </w:r>
      <w:r w:rsidRPr="00A71292">
        <w:rPr>
          <w:rFonts w:ascii="Abadi" w:hAnsi="Abadi" w:cs="ArialMT"/>
          <w:sz w:val="21"/>
          <w:szCs w:val="21"/>
        </w:rPr>
        <w:t>determinados años radicando en esta entidad en la que, no en pocas</w:t>
      </w:r>
      <w:r>
        <w:rPr>
          <w:rFonts w:ascii="Abadi" w:hAnsi="Abadi" w:cs="ArialMT"/>
          <w:sz w:val="21"/>
          <w:szCs w:val="21"/>
        </w:rPr>
        <w:t xml:space="preserve"> </w:t>
      </w:r>
      <w:r w:rsidRPr="00A71292">
        <w:rPr>
          <w:rFonts w:ascii="Abadi" w:hAnsi="Abadi" w:cs="ArialMT"/>
          <w:sz w:val="21"/>
          <w:szCs w:val="21"/>
        </w:rPr>
        <w:t>ocasiones, han construido patrimonio, sobre todo inmobiliario sin contar con</w:t>
      </w:r>
      <w:r>
        <w:rPr>
          <w:rFonts w:ascii="Abadi" w:hAnsi="Abadi" w:cs="ArialMT"/>
          <w:sz w:val="21"/>
          <w:szCs w:val="21"/>
        </w:rPr>
        <w:t xml:space="preserve"> </w:t>
      </w:r>
      <w:r w:rsidRPr="00A71292">
        <w:rPr>
          <w:rFonts w:ascii="Abadi" w:hAnsi="Abadi" w:cs="ArialMT"/>
          <w:sz w:val="21"/>
          <w:szCs w:val="21"/>
        </w:rPr>
        <w:t>familiares en este país. Pero no se debe olvidar que la no concurrencia a</w:t>
      </w:r>
      <w:r>
        <w:rPr>
          <w:rFonts w:ascii="Abadi" w:hAnsi="Abadi" w:cs="ArialMT"/>
          <w:sz w:val="21"/>
          <w:szCs w:val="21"/>
        </w:rPr>
        <w:t xml:space="preserve"> </w:t>
      </w:r>
      <w:r w:rsidRPr="00A71292">
        <w:rPr>
          <w:rFonts w:ascii="Abadi" w:hAnsi="Abadi" w:cs="ArialMT"/>
          <w:sz w:val="21"/>
          <w:szCs w:val="21"/>
        </w:rPr>
        <w:t>reclamar un derecho a heredar de las personas que al momento de fallecer</w:t>
      </w:r>
    </w:p>
    <w:p w14:paraId="0544B7C3"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el autor de la sucesión, sean adultas o mayores de edad o que en apariencia</w:t>
      </w:r>
      <w:r>
        <w:rPr>
          <w:rFonts w:ascii="Abadi" w:hAnsi="Abadi" w:cs="ArialMT"/>
          <w:sz w:val="21"/>
          <w:szCs w:val="21"/>
        </w:rPr>
        <w:t xml:space="preserve"> </w:t>
      </w:r>
      <w:r w:rsidRPr="00A71292">
        <w:rPr>
          <w:rFonts w:ascii="Abadi" w:hAnsi="Abadi" w:cs="ArialMT"/>
          <w:sz w:val="21"/>
          <w:szCs w:val="21"/>
        </w:rPr>
        <w:t>no existan herederos, no siempre es real, porque habrá casos en los que las</w:t>
      </w:r>
      <w:r>
        <w:rPr>
          <w:rFonts w:ascii="Abadi" w:hAnsi="Abadi" w:cs="ArialMT"/>
          <w:sz w:val="21"/>
          <w:szCs w:val="21"/>
        </w:rPr>
        <w:t xml:space="preserve"> </w:t>
      </w:r>
      <w:r w:rsidRPr="00A71292">
        <w:rPr>
          <w:rFonts w:ascii="Abadi" w:hAnsi="Abadi" w:cs="ArialMT"/>
          <w:sz w:val="21"/>
          <w:szCs w:val="21"/>
        </w:rPr>
        <w:t>personas que no comparecen a reclamar herencia, es posible que sea por</w:t>
      </w:r>
      <w:r>
        <w:rPr>
          <w:rFonts w:ascii="Abadi" w:hAnsi="Abadi" w:cs="ArialMT"/>
          <w:sz w:val="21"/>
          <w:szCs w:val="21"/>
        </w:rPr>
        <w:t xml:space="preserve"> </w:t>
      </w:r>
      <w:r w:rsidRPr="00A71292">
        <w:rPr>
          <w:rFonts w:ascii="Abadi" w:hAnsi="Abadi" w:cs="ArialMT"/>
          <w:sz w:val="21"/>
          <w:szCs w:val="21"/>
        </w:rPr>
        <w:t>diversas razones, más no porque no existan herederos, como puede ser</w:t>
      </w:r>
      <w:r>
        <w:rPr>
          <w:rFonts w:ascii="Abadi" w:hAnsi="Abadi" w:cs="ArialMT"/>
          <w:sz w:val="21"/>
          <w:szCs w:val="21"/>
        </w:rPr>
        <w:t xml:space="preserve"> </w:t>
      </w:r>
      <w:r w:rsidRPr="00A71292">
        <w:rPr>
          <w:rFonts w:ascii="Abadi" w:hAnsi="Abadi" w:cs="ArialMT"/>
          <w:sz w:val="21"/>
          <w:szCs w:val="21"/>
        </w:rPr>
        <w:t>porque hayan existido problemas de distanciamiento familiar con el autor de</w:t>
      </w:r>
      <w:r>
        <w:rPr>
          <w:rFonts w:ascii="Abadi" w:hAnsi="Abadi" w:cs="ArialMT"/>
          <w:sz w:val="21"/>
          <w:szCs w:val="21"/>
        </w:rPr>
        <w:t xml:space="preserve">  </w:t>
      </w:r>
      <w:r w:rsidRPr="00A71292">
        <w:rPr>
          <w:rFonts w:ascii="Abadi" w:hAnsi="Abadi" w:cs="ArialMT"/>
          <w:sz w:val="21"/>
          <w:szCs w:val="21"/>
        </w:rPr>
        <w:t>capacidad de heredar, en otros casos suele ocurrir que, por vivir en lugar</w:t>
      </w:r>
      <w:r>
        <w:rPr>
          <w:rFonts w:ascii="Abadi" w:hAnsi="Abadi" w:cs="ArialMT"/>
          <w:sz w:val="21"/>
          <w:szCs w:val="21"/>
        </w:rPr>
        <w:t xml:space="preserve"> </w:t>
      </w:r>
      <w:r w:rsidRPr="00A71292">
        <w:rPr>
          <w:rFonts w:ascii="Abadi" w:hAnsi="Abadi" w:cs="ArialMT"/>
          <w:sz w:val="21"/>
          <w:szCs w:val="21"/>
        </w:rPr>
        <w:t xml:space="preserve">distinto al de domicilio del </w:t>
      </w:r>
      <w:r w:rsidRPr="00A71292">
        <w:rPr>
          <w:rFonts w:ascii="Abadi" w:hAnsi="Abadi" w:cs="Arial-ItalicMT"/>
          <w:i/>
          <w:iCs/>
          <w:sz w:val="21"/>
          <w:szCs w:val="21"/>
        </w:rPr>
        <w:t xml:space="preserve">de cujus, </w:t>
      </w:r>
      <w:r w:rsidRPr="00A71292">
        <w:rPr>
          <w:rFonts w:ascii="Abadi" w:hAnsi="Abadi" w:cs="ArialMT"/>
          <w:sz w:val="21"/>
          <w:szCs w:val="21"/>
        </w:rPr>
        <w:t>ignoran que ha fallecido e ignoran dónde</w:t>
      </w:r>
      <w:r>
        <w:rPr>
          <w:rFonts w:ascii="Abadi" w:hAnsi="Abadi" w:cs="ArialMT"/>
          <w:sz w:val="21"/>
          <w:szCs w:val="21"/>
        </w:rPr>
        <w:t xml:space="preserve"> </w:t>
      </w:r>
      <w:r w:rsidRPr="00A71292">
        <w:rPr>
          <w:rFonts w:ascii="Abadi" w:hAnsi="Abadi" w:cs="ArialMT"/>
          <w:sz w:val="21"/>
          <w:szCs w:val="21"/>
        </w:rPr>
        <w:t>se ubican sus bienes, que no necesariamente siempre serán inmuebles, que</w:t>
      </w:r>
      <w:r>
        <w:rPr>
          <w:rFonts w:ascii="Abadi" w:hAnsi="Abadi" w:cs="ArialMT"/>
          <w:sz w:val="21"/>
          <w:szCs w:val="21"/>
        </w:rPr>
        <w:t xml:space="preserve"> </w:t>
      </w:r>
      <w:r w:rsidRPr="00A71292">
        <w:rPr>
          <w:rFonts w:ascii="Abadi" w:hAnsi="Abadi" w:cs="ArialMT"/>
          <w:sz w:val="21"/>
          <w:szCs w:val="21"/>
        </w:rPr>
        <w:t>son de más fácil detección, contrario a otros como numerario u objetos</w:t>
      </w:r>
    </w:p>
    <w:p w14:paraId="384A7960"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muebles.</w:t>
      </w:r>
    </w:p>
    <w:p w14:paraId="1C1F20EF" w14:textId="77777777" w:rsidR="003B3767" w:rsidRPr="00A71292" w:rsidRDefault="003B3767" w:rsidP="003B3767">
      <w:pPr>
        <w:autoSpaceDE w:val="0"/>
        <w:autoSpaceDN w:val="0"/>
        <w:adjustRightInd w:val="0"/>
        <w:jc w:val="both"/>
        <w:rPr>
          <w:rFonts w:ascii="Abadi" w:hAnsi="Abadi" w:cs="ArialMT"/>
          <w:sz w:val="21"/>
          <w:szCs w:val="21"/>
        </w:rPr>
      </w:pPr>
    </w:p>
    <w:p w14:paraId="713F281E"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Asimismo, en ocasiones, hasta pasado cierto tiempo, los herederos se</w:t>
      </w:r>
      <w:r>
        <w:rPr>
          <w:rFonts w:ascii="Abadi" w:hAnsi="Abadi" w:cs="ArialMT"/>
          <w:sz w:val="21"/>
          <w:szCs w:val="21"/>
        </w:rPr>
        <w:t xml:space="preserve"> </w:t>
      </w:r>
      <w:r w:rsidRPr="00A71292">
        <w:rPr>
          <w:rFonts w:ascii="Abadi" w:hAnsi="Abadi" w:cs="ArialMT"/>
          <w:sz w:val="21"/>
          <w:szCs w:val="21"/>
        </w:rPr>
        <w:t>enteran que tienen derecho a heredar, lo anterior se cita a guisa de ejemplo,</w:t>
      </w:r>
      <w:r>
        <w:rPr>
          <w:rFonts w:ascii="Abadi" w:hAnsi="Abadi" w:cs="ArialMT"/>
          <w:sz w:val="21"/>
          <w:szCs w:val="21"/>
        </w:rPr>
        <w:t xml:space="preserve"> </w:t>
      </w:r>
      <w:r w:rsidRPr="00A71292">
        <w:rPr>
          <w:rFonts w:ascii="Abadi" w:hAnsi="Abadi" w:cs="ArialMT"/>
          <w:sz w:val="21"/>
          <w:szCs w:val="21"/>
        </w:rPr>
        <w:t>porque las posibilidades en que las personas tardan en reclamar herencias</w:t>
      </w:r>
      <w:r>
        <w:rPr>
          <w:rFonts w:ascii="Abadi" w:hAnsi="Abadi" w:cs="ArialMT"/>
          <w:sz w:val="21"/>
          <w:szCs w:val="21"/>
        </w:rPr>
        <w:t xml:space="preserve"> </w:t>
      </w:r>
      <w:r w:rsidRPr="00A71292">
        <w:rPr>
          <w:rFonts w:ascii="Abadi" w:hAnsi="Abadi" w:cs="ArialMT"/>
          <w:sz w:val="21"/>
          <w:szCs w:val="21"/>
        </w:rPr>
        <w:t>son muy variadas en tiempo, así como circunstancias y, precisamente, es en</w:t>
      </w:r>
      <w:r>
        <w:rPr>
          <w:rFonts w:ascii="Abadi" w:hAnsi="Abadi" w:cs="ArialMT"/>
          <w:sz w:val="21"/>
          <w:szCs w:val="21"/>
        </w:rPr>
        <w:t xml:space="preserve"> </w:t>
      </w:r>
      <w:r w:rsidRPr="00A71292">
        <w:rPr>
          <w:rFonts w:ascii="Abadi" w:hAnsi="Abadi" w:cs="ArialMT"/>
          <w:sz w:val="21"/>
          <w:szCs w:val="21"/>
        </w:rPr>
        <w:t>estos supuestos en que la Universidad de Guanajuato, por disposición legal</w:t>
      </w:r>
      <w:r>
        <w:rPr>
          <w:rFonts w:ascii="Abadi" w:hAnsi="Abadi" w:cs="ArialMT"/>
          <w:sz w:val="21"/>
          <w:szCs w:val="21"/>
        </w:rPr>
        <w:t xml:space="preserve"> </w:t>
      </w:r>
      <w:r w:rsidRPr="00A71292">
        <w:rPr>
          <w:rFonts w:ascii="Abadi" w:hAnsi="Abadi" w:cs="ArialMT"/>
          <w:sz w:val="21"/>
          <w:szCs w:val="21"/>
        </w:rPr>
        <w:t xml:space="preserve">y de forma oficiosa inicia la sucesión para heredar los bienes del </w:t>
      </w:r>
      <w:r w:rsidRPr="00A71292">
        <w:rPr>
          <w:rFonts w:ascii="Abadi" w:hAnsi="Abadi" w:cs="Arial-ItalicMT"/>
          <w:i/>
          <w:iCs/>
          <w:sz w:val="21"/>
          <w:szCs w:val="21"/>
        </w:rPr>
        <w:t>de cujus</w:t>
      </w:r>
      <w:r w:rsidRPr="00A71292">
        <w:rPr>
          <w:rFonts w:ascii="Abadi" w:hAnsi="Abadi" w:cs="ArialMT"/>
          <w:sz w:val="21"/>
          <w:szCs w:val="21"/>
        </w:rPr>
        <w:t>, en</w:t>
      </w:r>
      <w:r>
        <w:rPr>
          <w:rFonts w:ascii="Abadi" w:hAnsi="Abadi" w:cs="ArialMT"/>
          <w:sz w:val="21"/>
          <w:szCs w:val="21"/>
        </w:rPr>
        <w:t xml:space="preserve"> </w:t>
      </w:r>
      <w:r w:rsidRPr="00A71292">
        <w:rPr>
          <w:rFonts w:ascii="Abadi" w:hAnsi="Abadi" w:cs="ArialMT"/>
          <w:sz w:val="21"/>
          <w:szCs w:val="21"/>
        </w:rPr>
        <w:t>razón de carecer de herederos o por no comparecencia de éstos al llamado,</w:t>
      </w:r>
      <w:r>
        <w:rPr>
          <w:rFonts w:ascii="Abadi" w:hAnsi="Abadi" w:cs="ArialMT"/>
          <w:sz w:val="21"/>
          <w:szCs w:val="21"/>
        </w:rPr>
        <w:t xml:space="preserve"> </w:t>
      </w:r>
      <w:r w:rsidRPr="00A71292">
        <w:rPr>
          <w:rFonts w:ascii="Abadi" w:hAnsi="Abadi" w:cs="ArialMT"/>
          <w:sz w:val="21"/>
          <w:szCs w:val="21"/>
        </w:rPr>
        <w:t>que se realiza mediante publicaciones en el Periódico Oficial del Estado de</w:t>
      </w:r>
      <w:r>
        <w:rPr>
          <w:rFonts w:ascii="Abadi" w:hAnsi="Abadi" w:cs="ArialMT"/>
          <w:sz w:val="21"/>
          <w:szCs w:val="21"/>
        </w:rPr>
        <w:t xml:space="preserve"> </w:t>
      </w:r>
      <w:r w:rsidRPr="00A71292">
        <w:rPr>
          <w:rFonts w:ascii="Abadi" w:hAnsi="Abadi" w:cs="ArialMT"/>
          <w:sz w:val="21"/>
          <w:szCs w:val="21"/>
        </w:rPr>
        <w:t>Guanajuato, que con independencia de la validez de sus publicaciones, las</w:t>
      </w:r>
      <w:r>
        <w:rPr>
          <w:rFonts w:ascii="Abadi" w:hAnsi="Abadi" w:cs="ArialMT"/>
          <w:sz w:val="21"/>
          <w:szCs w:val="21"/>
        </w:rPr>
        <w:t xml:space="preserve"> </w:t>
      </w:r>
      <w:r w:rsidRPr="00A71292">
        <w:rPr>
          <w:rFonts w:ascii="Abadi" w:hAnsi="Abadi" w:cs="ArialMT"/>
          <w:sz w:val="21"/>
          <w:szCs w:val="21"/>
        </w:rPr>
        <w:t>que no se cuestionan, lo cierto es que, la población común, jamás consulta</w:t>
      </w:r>
      <w:r>
        <w:rPr>
          <w:rFonts w:ascii="Abadi" w:hAnsi="Abadi" w:cs="ArialMT"/>
          <w:sz w:val="21"/>
          <w:szCs w:val="21"/>
        </w:rPr>
        <w:t xml:space="preserve"> </w:t>
      </w:r>
      <w:r w:rsidRPr="00A71292">
        <w:rPr>
          <w:rFonts w:ascii="Abadi" w:hAnsi="Abadi" w:cs="ArialMT"/>
          <w:sz w:val="21"/>
          <w:szCs w:val="21"/>
        </w:rPr>
        <w:t>dicho periódico, por lo que no se entera del inicio del juicio sucesorio</w:t>
      </w:r>
      <w:r>
        <w:rPr>
          <w:rFonts w:ascii="Abadi" w:hAnsi="Abadi" w:cs="ArialMT"/>
          <w:sz w:val="21"/>
          <w:szCs w:val="21"/>
        </w:rPr>
        <w:t xml:space="preserve"> </w:t>
      </w:r>
      <w:r w:rsidRPr="00A71292">
        <w:rPr>
          <w:rFonts w:ascii="Abadi" w:hAnsi="Abadi" w:cs="ArialMT"/>
          <w:sz w:val="21"/>
          <w:szCs w:val="21"/>
        </w:rPr>
        <w:t>promovido por la Universidad a bienes de determinada persona fallecida sin</w:t>
      </w:r>
      <w:r>
        <w:rPr>
          <w:rFonts w:ascii="Abadi" w:hAnsi="Abadi" w:cs="ArialMT"/>
          <w:sz w:val="21"/>
          <w:szCs w:val="21"/>
        </w:rPr>
        <w:t xml:space="preserve"> </w:t>
      </w:r>
      <w:r w:rsidRPr="00A71292">
        <w:rPr>
          <w:rFonts w:ascii="Abadi" w:hAnsi="Abadi" w:cs="ArialMT"/>
          <w:sz w:val="21"/>
          <w:szCs w:val="21"/>
        </w:rPr>
        <w:t>testar.</w:t>
      </w:r>
    </w:p>
    <w:p w14:paraId="1EF3090D" w14:textId="77777777" w:rsidR="003B3767" w:rsidRPr="00A71292" w:rsidRDefault="003B3767" w:rsidP="003B3767">
      <w:pPr>
        <w:autoSpaceDE w:val="0"/>
        <w:autoSpaceDN w:val="0"/>
        <w:adjustRightInd w:val="0"/>
        <w:jc w:val="both"/>
        <w:rPr>
          <w:rFonts w:ascii="Abadi" w:hAnsi="Abadi" w:cs="ArialMT"/>
          <w:sz w:val="21"/>
          <w:szCs w:val="21"/>
        </w:rPr>
      </w:pPr>
    </w:p>
    <w:p w14:paraId="6CAEFED4"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Por lo que, una vez desahogado el procedimiento sucesorio ante</w:t>
      </w:r>
      <w:r>
        <w:rPr>
          <w:rFonts w:ascii="Abadi" w:hAnsi="Abadi" w:cs="ArialMT"/>
          <w:sz w:val="21"/>
          <w:szCs w:val="21"/>
        </w:rPr>
        <w:t xml:space="preserve"> </w:t>
      </w:r>
      <w:r w:rsidRPr="00A71292">
        <w:rPr>
          <w:rFonts w:ascii="Abadi" w:hAnsi="Abadi" w:cs="ArialMT"/>
          <w:sz w:val="21"/>
          <w:szCs w:val="21"/>
        </w:rPr>
        <w:t>incomparecencia de herederos, es a la Universidad de Guanajuato a la que</w:t>
      </w:r>
      <w:r>
        <w:rPr>
          <w:rFonts w:ascii="Abadi" w:hAnsi="Abadi" w:cs="ArialMT"/>
          <w:sz w:val="21"/>
          <w:szCs w:val="21"/>
        </w:rPr>
        <w:t xml:space="preserve"> </w:t>
      </w:r>
      <w:r w:rsidRPr="00A71292">
        <w:rPr>
          <w:rFonts w:ascii="Abadi" w:hAnsi="Abadi" w:cs="ArialMT"/>
          <w:sz w:val="21"/>
          <w:szCs w:val="21"/>
        </w:rPr>
        <w:t>se le adjudicarán los bienes que no fueron objeto de testamento y se</w:t>
      </w:r>
      <w:r>
        <w:rPr>
          <w:rFonts w:ascii="Abadi" w:hAnsi="Abadi" w:cs="ArialMT"/>
          <w:sz w:val="21"/>
          <w:szCs w:val="21"/>
        </w:rPr>
        <w:t xml:space="preserve"> </w:t>
      </w:r>
      <w:r w:rsidRPr="00A71292">
        <w:rPr>
          <w:rFonts w:ascii="Abadi" w:hAnsi="Abadi" w:cs="ArialMT"/>
          <w:sz w:val="21"/>
          <w:szCs w:val="21"/>
        </w:rPr>
        <w:t>integrarán a su patrimonio institucional, y conforme a sus disposiciones</w:t>
      </w:r>
      <w:r>
        <w:rPr>
          <w:rFonts w:ascii="Abadi" w:hAnsi="Abadi" w:cs="ArialMT"/>
          <w:sz w:val="21"/>
          <w:szCs w:val="21"/>
        </w:rPr>
        <w:t xml:space="preserve"> </w:t>
      </w:r>
      <w:r w:rsidRPr="00A71292">
        <w:rPr>
          <w:rFonts w:ascii="Abadi" w:hAnsi="Abadi" w:cs="ArialMT"/>
          <w:sz w:val="21"/>
          <w:szCs w:val="21"/>
        </w:rPr>
        <w:t>normativas internas, en caso de existir inmuebles que no se adapten a la</w:t>
      </w:r>
      <w:r>
        <w:rPr>
          <w:rFonts w:ascii="Abadi" w:hAnsi="Abadi" w:cs="ArialMT"/>
          <w:sz w:val="21"/>
          <w:szCs w:val="21"/>
        </w:rPr>
        <w:t xml:space="preserve"> </w:t>
      </w:r>
      <w:r w:rsidRPr="00A71292">
        <w:rPr>
          <w:rFonts w:ascii="Abadi" w:hAnsi="Abadi" w:cs="ArialMT"/>
          <w:sz w:val="21"/>
          <w:szCs w:val="21"/>
        </w:rPr>
        <w:t>finalidad de su función, podrá enajenarlos cubriendo requisitos que establece</w:t>
      </w:r>
      <w:r>
        <w:rPr>
          <w:rFonts w:ascii="Abadi" w:hAnsi="Abadi" w:cs="ArialMT"/>
          <w:sz w:val="21"/>
          <w:szCs w:val="21"/>
        </w:rPr>
        <w:t xml:space="preserve"> </w:t>
      </w:r>
      <w:r w:rsidRPr="00A71292">
        <w:rPr>
          <w:rFonts w:ascii="Abadi" w:hAnsi="Abadi" w:cs="ArialMT"/>
          <w:sz w:val="21"/>
          <w:szCs w:val="21"/>
        </w:rPr>
        <w:t>este mismo dispositivo, disponiendo del numerario producto de la venta.</w:t>
      </w:r>
      <w:r>
        <w:rPr>
          <w:rFonts w:ascii="Abadi" w:hAnsi="Abadi" w:cs="ArialMT"/>
          <w:sz w:val="21"/>
          <w:szCs w:val="21"/>
        </w:rPr>
        <w:t xml:space="preserve"> </w:t>
      </w:r>
    </w:p>
    <w:p w14:paraId="1072F352" w14:textId="77777777" w:rsidR="003B3767" w:rsidRPr="00A71292" w:rsidRDefault="003B3767" w:rsidP="003B3767">
      <w:pPr>
        <w:autoSpaceDE w:val="0"/>
        <w:autoSpaceDN w:val="0"/>
        <w:adjustRightInd w:val="0"/>
        <w:jc w:val="both"/>
        <w:rPr>
          <w:rFonts w:ascii="Abadi" w:hAnsi="Abadi" w:cs="ArialMT"/>
          <w:sz w:val="21"/>
          <w:szCs w:val="21"/>
        </w:rPr>
      </w:pPr>
    </w:p>
    <w:p w14:paraId="24ED3E46"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Debe destacarse que hay casos en que la problemática estriba cuando los</w:t>
      </w:r>
      <w:r>
        <w:rPr>
          <w:rFonts w:ascii="Abadi" w:hAnsi="Abadi" w:cs="ArialMT"/>
          <w:sz w:val="21"/>
          <w:szCs w:val="21"/>
        </w:rPr>
        <w:t xml:space="preserve"> </w:t>
      </w:r>
      <w:r w:rsidRPr="00A71292">
        <w:rPr>
          <w:rFonts w:ascii="Abadi" w:hAnsi="Abadi" w:cs="ArialMT"/>
          <w:sz w:val="21"/>
          <w:szCs w:val="21"/>
        </w:rPr>
        <w:t xml:space="preserve">herederos son menores edad al momento de fallecer del </w:t>
      </w:r>
      <w:r w:rsidRPr="00A71292">
        <w:rPr>
          <w:rFonts w:ascii="Abadi" w:hAnsi="Abadi" w:cs="Arial-ItalicMT"/>
          <w:i/>
          <w:iCs/>
          <w:sz w:val="21"/>
          <w:szCs w:val="21"/>
        </w:rPr>
        <w:t xml:space="preserve">de cujus </w:t>
      </w:r>
      <w:r w:rsidRPr="00A71292">
        <w:rPr>
          <w:rFonts w:ascii="Abadi" w:hAnsi="Abadi" w:cs="ArialMT"/>
          <w:sz w:val="21"/>
          <w:szCs w:val="21"/>
        </w:rPr>
        <w:t>, que son</w:t>
      </w:r>
      <w:r>
        <w:rPr>
          <w:rFonts w:ascii="Abadi" w:hAnsi="Abadi" w:cs="ArialMT"/>
          <w:sz w:val="21"/>
          <w:szCs w:val="21"/>
        </w:rPr>
        <w:t xml:space="preserve"> </w:t>
      </w:r>
      <w:r w:rsidRPr="00A71292">
        <w:rPr>
          <w:rFonts w:ascii="Abadi" w:hAnsi="Abadi" w:cs="ArialMT"/>
          <w:sz w:val="21"/>
          <w:szCs w:val="21"/>
        </w:rPr>
        <w:t>quienes por su corta edad, no tienen posibilidad de ejercer el derecho a</w:t>
      </w:r>
      <w:r>
        <w:rPr>
          <w:rFonts w:ascii="Abadi" w:hAnsi="Abadi" w:cs="ArialMT"/>
          <w:sz w:val="21"/>
          <w:szCs w:val="21"/>
        </w:rPr>
        <w:t xml:space="preserve"> </w:t>
      </w:r>
      <w:r w:rsidRPr="00A71292">
        <w:rPr>
          <w:rFonts w:ascii="Abadi" w:hAnsi="Abadi" w:cs="ArialMT"/>
          <w:sz w:val="21"/>
          <w:szCs w:val="21"/>
        </w:rPr>
        <w:t>reclamar por sí mismos y no en pocas ocasiones sus padres o tutores no lo</w:t>
      </w:r>
    </w:p>
    <w:p w14:paraId="3C7AC0B9"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hacen por miedo, problemas familiares, desconocimiento, ignorando o apatía</w:t>
      </w:r>
      <w:r>
        <w:rPr>
          <w:rFonts w:ascii="Abadi" w:hAnsi="Abadi" w:cs="ArialMT"/>
          <w:sz w:val="21"/>
          <w:szCs w:val="21"/>
        </w:rPr>
        <w:t xml:space="preserve"> </w:t>
      </w:r>
      <w:r w:rsidRPr="00A71292">
        <w:rPr>
          <w:rFonts w:ascii="Abadi" w:hAnsi="Abadi" w:cs="ArialMT"/>
          <w:sz w:val="21"/>
          <w:szCs w:val="21"/>
        </w:rPr>
        <w:t>entre otras causas, afectando al menor en estos casos, violentándose con</w:t>
      </w:r>
      <w:r>
        <w:rPr>
          <w:rFonts w:ascii="Abadi" w:hAnsi="Abadi" w:cs="ArialMT"/>
          <w:sz w:val="21"/>
          <w:szCs w:val="21"/>
        </w:rPr>
        <w:t xml:space="preserve"> </w:t>
      </w:r>
      <w:r w:rsidRPr="00A71292">
        <w:rPr>
          <w:rFonts w:ascii="Abadi" w:hAnsi="Abadi" w:cs="ArialMT"/>
          <w:sz w:val="21"/>
          <w:szCs w:val="21"/>
        </w:rPr>
        <w:t>ello el principio de mayor protección del menor o interés superior del niño,</w:t>
      </w:r>
      <w:r>
        <w:rPr>
          <w:rFonts w:ascii="Abadi" w:hAnsi="Abadi" w:cs="ArialMT"/>
          <w:sz w:val="21"/>
          <w:szCs w:val="21"/>
        </w:rPr>
        <w:t xml:space="preserve"> </w:t>
      </w:r>
      <w:r w:rsidRPr="00A71292">
        <w:rPr>
          <w:rFonts w:ascii="Abadi" w:hAnsi="Abadi" w:cs="ArialMT"/>
          <w:sz w:val="21"/>
          <w:szCs w:val="21"/>
        </w:rPr>
        <w:t>niña o adolescente, que es precisamente lo que también se aborda en la</w:t>
      </w:r>
      <w:r>
        <w:rPr>
          <w:rFonts w:ascii="Abadi" w:hAnsi="Abadi" w:cs="ArialMT"/>
          <w:sz w:val="21"/>
          <w:szCs w:val="21"/>
        </w:rPr>
        <w:t xml:space="preserve"> </w:t>
      </w:r>
      <w:r w:rsidRPr="00A71292">
        <w:rPr>
          <w:rFonts w:ascii="Abadi" w:hAnsi="Abadi" w:cs="ArialMT"/>
          <w:sz w:val="21"/>
          <w:szCs w:val="21"/>
        </w:rPr>
        <w:t>presente propuesta.</w:t>
      </w:r>
    </w:p>
    <w:p w14:paraId="4C404303" w14:textId="77777777" w:rsidR="003B3767" w:rsidRPr="00A71292" w:rsidRDefault="003B3767" w:rsidP="003B3767">
      <w:pPr>
        <w:autoSpaceDE w:val="0"/>
        <w:autoSpaceDN w:val="0"/>
        <w:adjustRightInd w:val="0"/>
        <w:jc w:val="both"/>
        <w:rPr>
          <w:rFonts w:ascii="Abadi" w:hAnsi="Abadi" w:cs="ArialMT"/>
          <w:sz w:val="21"/>
          <w:szCs w:val="21"/>
        </w:rPr>
      </w:pPr>
    </w:p>
    <w:p w14:paraId="750BFB7B" w14:textId="77777777" w:rsidR="00360765"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Es así como la Universidad de Guanajuato, como ente autónomo, se adjudica</w:t>
      </w:r>
      <w:r>
        <w:rPr>
          <w:rFonts w:ascii="Abadi" w:hAnsi="Abadi" w:cs="ArialMT"/>
          <w:sz w:val="21"/>
          <w:szCs w:val="21"/>
        </w:rPr>
        <w:t xml:space="preserve"> </w:t>
      </w:r>
      <w:r w:rsidRPr="00A71292">
        <w:rPr>
          <w:rFonts w:ascii="Abadi" w:hAnsi="Abadi" w:cs="ArialMT"/>
          <w:sz w:val="21"/>
          <w:szCs w:val="21"/>
        </w:rPr>
        <w:t>el producto de una herencia, conforme a estos dispositivos y supuestos,</w:t>
      </w:r>
      <w:r>
        <w:rPr>
          <w:rFonts w:ascii="Abadi" w:hAnsi="Abadi" w:cs="ArialMT"/>
          <w:sz w:val="21"/>
          <w:szCs w:val="21"/>
        </w:rPr>
        <w:t xml:space="preserve"> </w:t>
      </w:r>
      <w:r w:rsidRPr="00A71292">
        <w:rPr>
          <w:rFonts w:ascii="Abadi" w:hAnsi="Abadi" w:cs="ArialMT"/>
          <w:sz w:val="21"/>
          <w:szCs w:val="21"/>
        </w:rPr>
        <w:t>integrándolo a su patrimonio, tal como lo instruye su ley orgánica.</w:t>
      </w:r>
      <w:r w:rsidR="00733A9E">
        <w:rPr>
          <w:rFonts w:ascii="Abadi" w:hAnsi="Abadi" w:cs="ArialMT"/>
          <w:sz w:val="21"/>
          <w:szCs w:val="21"/>
        </w:rPr>
        <w:t xml:space="preserve"> </w:t>
      </w:r>
    </w:p>
    <w:p w14:paraId="245CD6F0" w14:textId="77777777" w:rsidR="00360765" w:rsidRDefault="00360765" w:rsidP="003B3767">
      <w:pPr>
        <w:autoSpaceDE w:val="0"/>
        <w:autoSpaceDN w:val="0"/>
        <w:adjustRightInd w:val="0"/>
        <w:jc w:val="both"/>
        <w:rPr>
          <w:rFonts w:ascii="Abadi" w:hAnsi="Abadi" w:cs="ArialMT"/>
          <w:sz w:val="21"/>
          <w:szCs w:val="21"/>
        </w:rPr>
      </w:pPr>
    </w:p>
    <w:p w14:paraId="55692F71" w14:textId="61F569CA" w:rsidR="003B3767" w:rsidRDefault="00360765" w:rsidP="003B3767">
      <w:pPr>
        <w:autoSpaceDE w:val="0"/>
        <w:autoSpaceDN w:val="0"/>
        <w:adjustRightInd w:val="0"/>
        <w:jc w:val="both"/>
        <w:rPr>
          <w:rFonts w:ascii="Abadi" w:hAnsi="Abadi" w:cs="ArialMT"/>
          <w:sz w:val="21"/>
          <w:szCs w:val="21"/>
        </w:rPr>
      </w:pPr>
      <w:r>
        <w:rPr>
          <w:rFonts w:ascii="Abadi" w:hAnsi="Abadi" w:cs="ArialMT"/>
          <w:sz w:val="21"/>
          <w:szCs w:val="21"/>
        </w:rPr>
        <w:t>Puesto que la Ley Orgánica de la Universidad de Guanajuato</w:t>
      </w:r>
      <w:r>
        <w:rPr>
          <w:rStyle w:val="Refdenotaalpie"/>
          <w:rFonts w:ascii="Abadi" w:hAnsi="Abadi" w:cs="ArialMT"/>
          <w:sz w:val="21"/>
          <w:szCs w:val="21"/>
        </w:rPr>
        <w:footnoteReference w:id="16"/>
      </w:r>
      <w:r>
        <w:rPr>
          <w:rFonts w:ascii="Abadi" w:hAnsi="Abadi" w:cs="ArialMT"/>
          <w:sz w:val="21"/>
          <w:szCs w:val="21"/>
        </w:rPr>
        <w:t>,  publicada m</w:t>
      </w:r>
      <w:r w:rsidR="003B3767" w:rsidRPr="00A71292">
        <w:rPr>
          <w:rFonts w:ascii="Abadi" w:hAnsi="Abadi" w:cs="ArialMT"/>
          <w:sz w:val="21"/>
          <w:szCs w:val="21"/>
        </w:rPr>
        <w:t>ediante Decreto 96, en fecha 15 de junio de 2007, en el Periódico Oficial</w:t>
      </w:r>
      <w:r w:rsidR="003B3767">
        <w:rPr>
          <w:rFonts w:ascii="Abadi" w:hAnsi="Abadi" w:cs="ArialMT"/>
          <w:sz w:val="21"/>
          <w:szCs w:val="21"/>
        </w:rPr>
        <w:t xml:space="preserve"> </w:t>
      </w:r>
      <w:r w:rsidR="003B3767" w:rsidRPr="00A71292">
        <w:rPr>
          <w:rFonts w:ascii="Abadi" w:hAnsi="Abadi" w:cs="ArialMT"/>
          <w:sz w:val="21"/>
          <w:szCs w:val="21"/>
        </w:rPr>
        <w:t>del Gobierno del Estado de Guanajuato, en cuyo artículo 3 señala en forma</w:t>
      </w:r>
      <w:r w:rsidR="003B3767">
        <w:rPr>
          <w:rFonts w:ascii="Abadi" w:hAnsi="Abadi" w:cs="ArialMT"/>
          <w:sz w:val="21"/>
          <w:szCs w:val="21"/>
        </w:rPr>
        <w:t xml:space="preserve"> </w:t>
      </w:r>
      <w:r w:rsidR="003B3767" w:rsidRPr="00A71292">
        <w:rPr>
          <w:rFonts w:ascii="Abadi" w:hAnsi="Abadi" w:cs="ArialMT"/>
          <w:sz w:val="21"/>
          <w:szCs w:val="21"/>
        </w:rPr>
        <w:t>textual:</w:t>
      </w:r>
    </w:p>
    <w:p w14:paraId="3F4DE688" w14:textId="77777777" w:rsidR="003B3767" w:rsidRPr="00A71292" w:rsidRDefault="003B3767" w:rsidP="003B3767">
      <w:pPr>
        <w:autoSpaceDE w:val="0"/>
        <w:autoSpaceDN w:val="0"/>
        <w:adjustRightInd w:val="0"/>
        <w:jc w:val="both"/>
        <w:rPr>
          <w:rFonts w:ascii="Abadi" w:hAnsi="Abadi" w:cs="ArialMT"/>
          <w:sz w:val="21"/>
          <w:szCs w:val="21"/>
        </w:rPr>
      </w:pPr>
    </w:p>
    <w:p w14:paraId="2A91B923"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w:t>
      </w:r>
      <w:r w:rsidRPr="00A71292">
        <w:rPr>
          <w:rFonts w:ascii="Abadi" w:hAnsi="Abadi" w:cs="Arial-BoldItalicMT"/>
          <w:b/>
          <w:bCs/>
          <w:i/>
          <w:iCs/>
          <w:sz w:val="21"/>
          <w:szCs w:val="21"/>
        </w:rPr>
        <w:t xml:space="preserve">Artículo 3. </w:t>
      </w:r>
      <w:r w:rsidRPr="00A71292">
        <w:rPr>
          <w:rFonts w:ascii="Abadi" w:hAnsi="Abadi" w:cs="Arial-ItalicMT"/>
          <w:i/>
          <w:iCs/>
          <w:sz w:val="21"/>
          <w:szCs w:val="21"/>
        </w:rPr>
        <w:t>La Universidad de Guanajuato es un organismo público</w:t>
      </w:r>
      <w:r>
        <w:rPr>
          <w:rFonts w:ascii="Abadi" w:hAnsi="Abadi" w:cs="Arial-ItalicMT"/>
          <w:i/>
          <w:iCs/>
          <w:sz w:val="21"/>
          <w:szCs w:val="21"/>
        </w:rPr>
        <w:t xml:space="preserve"> </w:t>
      </w:r>
      <w:r w:rsidRPr="00A71292">
        <w:rPr>
          <w:rFonts w:ascii="Abadi" w:hAnsi="Abadi" w:cs="Arial-ItalicMT"/>
          <w:i/>
          <w:iCs/>
          <w:sz w:val="21"/>
          <w:szCs w:val="21"/>
        </w:rPr>
        <w:t>autónomo, con personalidad jurídica y patrimonio propio. Por ello, tiene la</w:t>
      </w:r>
      <w:r>
        <w:rPr>
          <w:rFonts w:ascii="Abadi" w:hAnsi="Abadi" w:cs="Arial-ItalicMT"/>
          <w:i/>
          <w:iCs/>
          <w:sz w:val="21"/>
          <w:szCs w:val="21"/>
        </w:rPr>
        <w:t xml:space="preserve"> </w:t>
      </w:r>
      <w:r w:rsidRPr="00A71292">
        <w:rPr>
          <w:rFonts w:ascii="Abadi" w:hAnsi="Abadi" w:cs="Arial-ItalicMT"/>
          <w:i/>
          <w:iCs/>
          <w:sz w:val="21"/>
          <w:szCs w:val="21"/>
        </w:rPr>
        <w:t>facultad y la responsabilidad de gobernarse a sí misma; realizar sus fines de</w:t>
      </w:r>
      <w:r>
        <w:rPr>
          <w:rFonts w:ascii="Abadi" w:hAnsi="Abadi" w:cs="Arial-ItalicMT"/>
          <w:i/>
          <w:iCs/>
          <w:sz w:val="21"/>
          <w:szCs w:val="21"/>
        </w:rPr>
        <w:t xml:space="preserve"> </w:t>
      </w:r>
      <w:r w:rsidRPr="00A71292">
        <w:rPr>
          <w:rFonts w:ascii="Abadi" w:hAnsi="Abadi" w:cs="Arial-ItalicMT"/>
          <w:i/>
          <w:iCs/>
          <w:sz w:val="21"/>
          <w:szCs w:val="21"/>
        </w:rPr>
        <w:t>educar, investigar y difundir la cultura; determinar sus planes y programas;</w:t>
      </w:r>
      <w:r>
        <w:rPr>
          <w:rFonts w:ascii="Abadi" w:hAnsi="Abadi" w:cs="Arial-ItalicMT"/>
          <w:i/>
          <w:iCs/>
          <w:sz w:val="21"/>
          <w:szCs w:val="21"/>
        </w:rPr>
        <w:t xml:space="preserve"> </w:t>
      </w:r>
      <w:r w:rsidRPr="00A71292">
        <w:rPr>
          <w:rFonts w:ascii="Abadi" w:hAnsi="Abadi" w:cs="Arial-ItalicMT"/>
          <w:i/>
          <w:iCs/>
          <w:sz w:val="21"/>
          <w:szCs w:val="21"/>
        </w:rPr>
        <w:t>así como fijar los términos de ingreso, promoción y permanencia de su</w:t>
      </w:r>
      <w:r>
        <w:rPr>
          <w:rFonts w:ascii="Abadi" w:hAnsi="Abadi" w:cs="Arial-ItalicMT"/>
          <w:i/>
          <w:iCs/>
          <w:sz w:val="21"/>
          <w:szCs w:val="21"/>
        </w:rPr>
        <w:t xml:space="preserve"> </w:t>
      </w:r>
      <w:r w:rsidRPr="00A71292">
        <w:rPr>
          <w:rFonts w:ascii="Abadi" w:hAnsi="Abadi" w:cs="Arial-ItalicMT"/>
          <w:i/>
          <w:iCs/>
          <w:sz w:val="21"/>
          <w:szCs w:val="21"/>
        </w:rPr>
        <w:t>personal y administrar su patrimonio</w:t>
      </w:r>
      <w:r w:rsidRPr="00A71292">
        <w:rPr>
          <w:rFonts w:ascii="Abadi" w:hAnsi="Abadi" w:cs="ArialMT"/>
          <w:sz w:val="21"/>
          <w:szCs w:val="21"/>
        </w:rPr>
        <w:t>…”.</w:t>
      </w:r>
    </w:p>
    <w:p w14:paraId="3378435D" w14:textId="77777777" w:rsidR="003B3767" w:rsidRPr="00A71292" w:rsidRDefault="003B3767" w:rsidP="003B3767">
      <w:pPr>
        <w:autoSpaceDE w:val="0"/>
        <w:autoSpaceDN w:val="0"/>
        <w:adjustRightInd w:val="0"/>
        <w:jc w:val="both"/>
        <w:rPr>
          <w:rFonts w:ascii="Abadi" w:hAnsi="Abadi" w:cs="ArialMT"/>
          <w:sz w:val="21"/>
          <w:szCs w:val="21"/>
        </w:rPr>
      </w:pPr>
    </w:p>
    <w:p w14:paraId="27BD23D9"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Y en su artículo 47, fracción IV, se lee:</w:t>
      </w:r>
    </w:p>
    <w:p w14:paraId="1E15063D" w14:textId="77777777" w:rsidR="003B3767" w:rsidRDefault="003B3767" w:rsidP="003B3767">
      <w:pPr>
        <w:autoSpaceDE w:val="0"/>
        <w:autoSpaceDN w:val="0"/>
        <w:adjustRightInd w:val="0"/>
        <w:jc w:val="both"/>
        <w:rPr>
          <w:rFonts w:ascii="Abadi" w:hAnsi="Abadi" w:cs="Arial-ItalicMT"/>
          <w:i/>
          <w:iCs/>
          <w:sz w:val="21"/>
          <w:szCs w:val="21"/>
        </w:rPr>
      </w:pPr>
    </w:p>
    <w:p w14:paraId="279D13CD" w14:textId="77777777" w:rsidR="003B3767" w:rsidRPr="00A71292" w:rsidRDefault="003B3767" w:rsidP="003B3767">
      <w:pPr>
        <w:autoSpaceDE w:val="0"/>
        <w:autoSpaceDN w:val="0"/>
        <w:adjustRightInd w:val="0"/>
        <w:jc w:val="both"/>
        <w:rPr>
          <w:rFonts w:ascii="Abadi" w:hAnsi="Abadi" w:cs="Arial-ItalicMT"/>
          <w:i/>
          <w:iCs/>
          <w:sz w:val="21"/>
          <w:szCs w:val="21"/>
        </w:rPr>
      </w:pPr>
      <w:r w:rsidRPr="00A71292">
        <w:rPr>
          <w:rFonts w:ascii="Abadi" w:hAnsi="Abadi" w:cs="Arial-ItalicMT"/>
          <w:i/>
          <w:iCs/>
          <w:sz w:val="21"/>
          <w:szCs w:val="21"/>
        </w:rPr>
        <w:t>“</w:t>
      </w:r>
      <w:r w:rsidRPr="00A71292">
        <w:rPr>
          <w:rFonts w:ascii="Abadi" w:hAnsi="Abadi" w:cs="Arial-BoldItalicMT"/>
          <w:b/>
          <w:bCs/>
          <w:i/>
          <w:iCs/>
          <w:sz w:val="21"/>
          <w:szCs w:val="21"/>
        </w:rPr>
        <w:t>Artículo 47</w:t>
      </w:r>
      <w:r w:rsidRPr="00A71292">
        <w:rPr>
          <w:rFonts w:ascii="Abadi" w:hAnsi="Abadi" w:cs="Arial-ItalicMT"/>
          <w:i/>
          <w:iCs/>
          <w:sz w:val="21"/>
          <w:szCs w:val="21"/>
        </w:rPr>
        <w:t>. El patrimonio de la Universidad estará constituido por:</w:t>
      </w:r>
    </w:p>
    <w:p w14:paraId="500D5772" w14:textId="77777777" w:rsidR="003B3767" w:rsidRPr="00A71292" w:rsidRDefault="003B3767" w:rsidP="003B3767">
      <w:pPr>
        <w:autoSpaceDE w:val="0"/>
        <w:autoSpaceDN w:val="0"/>
        <w:adjustRightInd w:val="0"/>
        <w:jc w:val="both"/>
        <w:rPr>
          <w:rFonts w:ascii="Abadi" w:hAnsi="Abadi" w:cs="Arial-ItalicMT"/>
          <w:i/>
          <w:iCs/>
          <w:sz w:val="21"/>
          <w:szCs w:val="21"/>
        </w:rPr>
      </w:pPr>
      <w:r w:rsidRPr="00A71292">
        <w:rPr>
          <w:rFonts w:ascii="Abadi" w:hAnsi="Abadi" w:cs="Arial-ItalicMT"/>
          <w:i/>
          <w:iCs/>
          <w:sz w:val="21"/>
          <w:szCs w:val="21"/>
        </w:rPr>
        <w:t>I a III…</w:t>
      </w:r>
    </w:p>
    <w:p w14:paraId="2AE07E31" w14:textId="77777777" w:rsidR="003B3767" w:rsidRDefault="003B3767" w:rsidP="003B3767">
      <w:pPr>
        <w:autoSpaceDE w:val="0"/>
        <w:autoSpaceDN w:val="0"/>
        <w:adjustRightInd w:val="0"/>
        <w:jc w:val="both"/>
        <w:rPr>
          <w:rFonts w:ascii="Abadi" w:hAnsi="Abadi" w:cs="Arial-ItalicMT"/>
          <w:i/>
          <w:iCs/>
          <w:sz w:val="21"/>
          <w:szCs w:val="21"/>
        </w:rPr>
      </w:pPr>
    </w:p>
    <w:p w14:paraId="17F3E355" w14:textId="77777777" w:rsidR="00360765" w:rsidRDefault="003B3767" w:rsidP="003B3767">
      <w:pPr>
        <w:autoSpaceDE w:val="0"/>
        <w:autoSpaceDN w:val="0"/>
        <w:adjustRightInd w:val="0"/>
        <w:jc w:val="both"/>
        <w:rPr>
          <w:rFonts w:ascii="Abadi" w:hAnsi="Abadi" w:cs="ArialMT"/>
          <w:sz w:val="21"/>
          <w:szCs w:val="21"/>
        </w:rPr>
      </w:pPr>
      <w:r w:rsidRPr="00A71292">
        <w:rPr>
          <w:rFonts w:ascii="Abadi" w:hAnsi="Abadi" w:cs="Arial-ItalicMT"/>
          <w:i/>
          <w:iCs/>
          <w:sz w:val="21"/>
          <w:szCs w:val="21"/>
        </w:rPr>
        <w:t>IV. Las donaciones, legados</w:t>
      </w:r>
      <w:r w:rsidRPr="00A71292">
        <w:rPr>
          <w:rFonts w:ascii="Abadi" w:hAnsi="Abadi" w:cs="Arial-BoldItalicMT"/>
          <w:b/>
          <w:bCs/>
          <w:i/>
          <w:iCs/>
          <w:sz w:val="21"/>
          <w:szCs w:val="21"/>
        </w:rPr>
        <w:t xml:space="preserve">, herencias </w:t>
      </w:r>
      <w:r w:rsidRPr="00A71292">
        <w:rPr>
          <w:rFonts w:ascii="Abadi" w:hAnsi="Abadi" w:cs="Arial-ItalicMT"/>
          <w:i/>
          <w:iCs/>
          <w:sz w:val="21"/>
          <w:szCs w:val="21"/>
        </w:rPr>
        <w:t>y cualquier otro tipo de aportación</w:t>
      </w:r>
      <w:r>
        <w:rPr>
          <w:rFonts w:ascii="Abadi" w:hAnsi="Abadi" w:cs="Arial-ItalicMT"/>
          <w:i/>
          <w:iCs/>
          <w:sz w:val="21"/>
          <w:szCs w:val="21"/>
        </w:rPr>
        <w:t xml:space="preserve"> </w:t>
      </w:r>
      <w:r w:rsidRPr="00A71292">
        <w:rPr>
          <w:rFonts w:ascii="Abadi" w:hAnsi="Abadi" w:cs="Arial-ItalicMT"/>
          <w:i/>
          <w:iCs/>
          <w:sz w:val="21"/>
          <w:szCs w:val="21"/>
        </w:rPr>
        <w:t>de dinero o especie, así como los fideicomisos que en su favor se</w:t>
      </w:r>
      <w:r>
        <w:rPr>
          <w:rFonts w:ascii="Abadi" w:hAnsi="Abadi" w:cs="Arial-ItalicMT"/>
          <w:i/>
          <w:iCs/>
          <w:sz w:val="21"/>
          <w:szCs w:val="21"/>
        </w:rPr>
        <w:t xml:space="preserve"> </w:t>
      </w:r>
      <w:r w:rsidRPr="00A71292">
        <w:rPr>
          <w:rFonts w:ascii="Abadi" w:hAnsi="Abadi" w:cs="Arial-ItalicMT"/>
          <w:i/>
          <w:iCs/>
          <w:sz w:val="21"/>
          <w:szCs w:val="21"/>
        </w:rPr>
        <w:t xml:space="preserve">constituyan;…”. </w:t>
      </w:r>
      <w:r w:rsidRPr="00A71292">
        <w:rPr>
          <w:rFonts w:ascii="Abadi" w:hAnsi="Abadi" w:cs="ArialMT"/>
          <w:sz w:val="21"/>
          <w:szCs w:val="21"/>
        </w:rPr>
        <w:t>(Las negritas y subrayado es nuestro)</w:t>
      </w:r>
    </w:p>
    <w:p w14:paraId="74069FFC" w14:textId="77777777" w:rsidR="00360765" w:rsidRDefault="00360765" w:rsidP="003B3767">
      <w:pPr>
        <w:autoSpaceDE w:val="0"/>
        <w:autoSpaceDN w:val="0"/>
        <w:adjustRightInd w:val="0"/>
        <w:jc w:val="both"/>
        <w:rPr>
          <w:rFonts w:ascii="Abadi" w:hAnsi="Abadi" w:cs="ArialMT"/>
          <w:sz w:val="21"/>
          <w:szCs w:val="21"/>
        </w:rPr>
      </w:pPr>
    </w:p>
    <w:p w14:paraId="57697E83" w14:textId="0264E735"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No obstante lo anterior, se estima que estos preceptos legales invocados y</w:t>
      </w:r>
      <w:r>
        <w:rPr>
          <w:rFonts w:ascii="Abadi" w:hAnsi="Abadi" w:cs="ArialMT"/>
          <w:sz w:val="21"/>
          <w:szCs w:val="21"/>
        </w:rPr>
        <w:t xml:space="preserve"> </w:t>
      </w:r>
      <w:r w:rsidRPr="00A71292">
        <w:rPr>
          <w:rFonts w:ascii="Abadi" w:hAnsi="Abadi" w:cs="ArialMT"/>
          <w:sz w:val="21"/>
          <w:szCs w:val="21"/>
        </w:rPr>
        <w:t>transcritos, no requieren modificación alguna, sin embargo, es ineludible su</w:t>
      </w:r>
      <w:r>
        <w:rPr>
          <w:rFonts w:ascii="Abadi" w:hAnsi="Abadi" w:cs="ArialMT"/>
          <w:sz w:val="21"/>
          <w:szCs w:val="21"/>
        </w:rPr>
        <w:t xml:space="preserve"> </w:t>
      </w:r>
      <w:r w:rsidRPr="00A71292">
        <w:rPr>
          <w:rFonts w:ascii="Abadi" w:hAnsi="Abadi" w:cs="ArialMT"/>
          <w:sz w:val="21"/>
          <w:szCs w:val="21"/>
        </w:rPr>
        <w:t>cita debido al objeto de la presente propuesta.</w:t>
      </w:r>
    </w:p>
    <w:p w14:paraId="4EBDEDD2" w14:textId="244D4EFA"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Cuestión distinta merece la disposición legal complementaria a lo ante</w:t>
      </w:r>
      <w:r>
        <w:rPr>
          <w:rFonts w:ascii="Abadi" w:hAnsi="Abadi" w:cs="ArialMT"/>
          <w:sz w:val="21"/>
          <w:szCs w:val="21"/>
        </w:rPr>
        <w:t xml:space="preserve"> </w:t>
      </w:r>
      <w:r w:rsidRPr="00A71292">
        <w:rPr>
          <w:rFonts w:ascii="Abadi" w:hAnsi="Abadi" w:cs="ArialMT"/>
          <w:sz w:val="21"/>
          <w:szCs w:val="21"/>
        </w:rPr>
        <w:t>señalado, contemplada en el último párrafo del artículo 2890, de la ley civil</w:t>
      </w:r>
      <w:r w:rsidR="00360765">
        <w:rPr>
          <w:rFonts w:ascii="Abadi" w:hAnsi="Abadi" w:cs="ArialMT"/>
          <w:sz w:val="21"/>
          <w:szCs w:val="21"/>
        </w:rPr>
        <w:t xml:space="preserve"> </w:t>
      </w:r>
      <w:r w:rsidRPr="00A71292">
        <w:rPr>
          <w:rFonts w:ascii="Abadi" w:hAnsi="Abadi" w:cs="ArialMT"/>
          <w:sz w:val="21"/>
          <w:szCs w:val="21"/>
        </w:rPr>
        <w:t>sustantiva, que dice:</w:t>
      </w:r>
    </w:p>
    <w:p w14:paraId="67596774" w14:textId="77777777" w:rsidR="003B3767" w:rsidRDefault="003B3767" w:rsidP="003B3767">
      <w:pPr>
        <w:autoSpaceDE w:val="0"/>
        <w:autoSpaceDN w:val="0"/>
        <w:adjustRightInd w:val="0"/>
        <w:jc w:val="both"/>
        <w:rPr>
          <w:rFonts w:ascii="Abadi" w:hAnsi="Abadi" w:cs="Arial-ItalicMT"/>
          <w:i/>
          <w:iCs/>
          <w:sz w:val="21"/>
          <w:szCs w:val="21"/>
        </w:rPr>
      </w:pPr>
    </w:p>
    <w:p w14:paraId="6BE2C8FF" w14:textId="77777777" w:rsidR="003B3767" w:rsidRPr="00A71292" w:rsidRDefault="003B3767" w:rsidP="003B3767">
      <w:pPr>
        <w:autoSpaceDE w:val="0"/>
        <w:autoSpaceDN w:val="0"/>
        <w:adjustRightInd w:val="0"/>
        <w:jc w:val="both"/>
        <w:rPr>
          <w:rFonts w:ascii="Abadi" w:hAnsi="Abadi" w:cs="Arial-ItalicMT"/>
          <w:i/>
          <w:iCs/>
          <w:sz w:val="21"/>
          <w:szCs w:val="21"/>
        </w:rPr>
      </w:pPr>
      <w:r w:rsidRPr="00A71292">
        <w:rPr>
          <w:rFonts w:ascii="Abadi" w:hAnsi="Abadi" w:cs="Arial-ItalicMT"/>
          <w:i/>
          <w:iCs/>
          <w:sz w:val="21"/>
          <w:szCs w:val="21"/>
        </w:rPr>
        <w:t>“</w:t>
      </w:r>
      <w:r w:rsidRPr="00A71292">
        <w:rPr>
          <w:rFonts w:ascii="Abadi" w:hAnsi="Abadi" w:cs="Arial-BoldItalicMT"/>
          <w:b/>
          <w:bCs/>
          <w:i/>
          <w:iCs/>
          <w:sz w:val="21"/>
          <w:szCs w:val="21"/>
        </w:rPr>
        <w:t>Art. 2890</w:t>
      </w:r>
      <w:r w:rsidRPr="00A71292">
        <w:rPr>
          <w:rFonts w:ascii="Abadi" w:hAnsi="Abadi" w:cs="Arial-ItalicMT"/>
          <w:i/>
          <w:iCs/>
          <w:sz w:val="21"/>
          <w:szCs w:val="21"/>
        </w:rPr>
        <w:t>. El derecho de…….</w:t>
      </w:r>
    </w:p>
    <w:p w14:paraId="7645C223" w14:textId="77777777" w:rsidR="003B3767" w:rsidRDefault="003B3767" w:rsidP="003B3767">
      <w:pPr>
        <w:autoSpaceDE w:val="0"/>
        <w:autoSpaceDN w:val="0"/>
        <w:adjustRightInd w:val="0"/>
        <w:jc w:val="both"/>
        <w:rPr>
          <w:rFonts w:ascii="Abadi" w:hAnsi="Abadi" w:cs="Arial-ItalicMT"/>
          <w:i/>
          <w:iCs/>
          <w:sz w:val="21"/>
          <w:szCs w:val="21"/>
        </w:rPr>
      </w:pPr>
    </w:p>
    <w:p w14:paraId="6D35C14F" w14:textId="77777777" w:rsidR="003B3767" w:rsidRPr="00A71292" w:rsidRDefault="003B3767" w:rsidP="003B3767">
      <w:pPr>
        <w:autoSpaceDE w:val="0"/>
        <w:autoSpaceDN w:val="0"/>
        <w:adjustRightInd w:val="0"/>
        <w:jc w:val="both"/>
        <w:rPr>
          <w:rFonts w:ascii="Abadi" w:hAnsi="Abadi" w:cs="Arial-ItalicMT"/>
          <w:i/>
          <w:iCs/>
          <w:sz w:val="21"/>
          <w:szCs w:val="21"/>
        </w:rPr>
      </w:pPr>
      <w:r w:rsidRPr="00A71292">
        <w:rPr>
          <w:rFonts w:ascii="Abadi" w:hAnsi="Abadi" w:cs="Arial-ItalicMT"/>
          <w:i/>
          <w:iCs/>
          <w:sz w:val="21"/>
          <w:szCs w:val="21"/>
        </w:rPr>
        <w:t>La aceptación….</w:t>
      </w:r>
    </w:p>
    <w:p w14:paraId="4245D2A2" w14:textId="77777777" w:rsidR="003B3767" w:rsidRDefault="003B3767" w:rsidP="003B3767">
      <w:pPr>
        <w:autoSpaceDE w:val="0"/>
        <w:autoSpaceDN w:val="0"/>
        <w:adjustRightInd w:val="0"/>
        <w:jc w:val="both"/>
        <w:rPr>
          <w:rFonts w:ascii="Abadi" w:hAnsi="Abadi" w:cs="Arial-ItalicMT"/>
          <w:i/>
          <w:iCs/>
          <w:sz w:val="21"/>
          <w:szCs w:val="21"/>
        </w:rPr>
      </w:pPr>
    </w:p>
    <w:p w14:paraId="0BAE7017" w14:textId="77777777" w:rsidR="003B3767" w:rsidRPr="00A71292" w:rsidRDefault="003B3767" w:rsidP="003B3767">
      <w:pPr>
        <w:autoSpaceDE w:val="0"/>
        <w:autoSpaceDN w:val="0"/>
        <w:adjustRightInd w:val="0"/>
        <w:jc w:val="both"/>
        <w:rPr>
          <w:rFonts w:ascii="Abadi" w:hAnsi="Abadi" w:cs="Arial-ItalicMT"/>
          <w:i/>
          <w:iCs/>
          <w:sz w:val="21"/>
          <w:szCs w:val="21"/>
        </w:rPr>
      </w:pPr>
      <w:r w:rsidRPr="00A71292">
        <w:rPr>
          <w:rFonts w:ascii="Abadi" w:hAnsi="Abadi" w:cs="Arial-ItalicMT"/>
          <w:i/>
          <w:iCs/>
          <w:sz w:val="21"/>
          <w:szCs w:val="21"/>
        </w:rPr>
        <w:t xml:space="preserve">El </w:t>
      </w:r>
      <w:r w:rsidRPr="00A71292">
        <w:rPr>
          <w:rFonts w:ascii="Abadi" w:hAnsi="Abadi" w:cs="Arial-BoldItalicMT"/>
          <w:b/>
          <w:bCs/>
          <w:i/>
          <w:iCs/>
          <w:sz w:val="21"/>
          <w:szCs w:val="21"/>
        </w:rPr>
        <w:t xml:space="preserve">derecho de reclamar la herencia </w:t>
      </w:r>
      <w:r w:rsidRPr="00A71292">
        <w:rPr>
          <w:rFonts w:ascii="Abadi" w:hAnsi="Abadi" w:cs="Arial-ItalicMT"/>
          <w:i/>
          <w:iCs/>
          <w:sz w:val="21"/>
          <w:szCs w:val="21"/>
        </w:rPr>
        <w:t>en los casos en que suceda la</w:t>
      </w:r>
    </w:p>
    <w:p w14:paraId="3E0ED0A9" w14:textId="77777777" w:rsidR="003B3767" w:rsidRDefault="003B3767" w:rsidP="003B3767">
      <w:pPr>
        <w:autoSpaceDE w:val="0"/>
        <w:autoSpaceDN w:val="0"/>
        <w:adjustRightInd w:val="0"/>
        <w:jc w:val="both"/>
        <w:rPr>
          <w:rFonts w:ascii="Abadi" w:hAnsi="Abadi" w:cs="Arial-ItalicMT"/>
          <w:i/>
          <w:iCs/>
          <w:sz w:val="21"/>
          <w:szCs w:val="21"/>
        </w:rPr>
      </w:pPr>
    </w:p>
    <w:p w14:paraId="5967C6F9" w14:textId="19DEAB5A"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ItalicMT"/>
          <w:i/>
          <w:iCs/>
          <w:sz w:val="21"/>
          <w:szCs w:val="21"/>
        </w:rPr>
        <w:t xml:space="preserve">Universidad de Guanajuato, </w:t>
      </w:r>
      <w:r w:rsidRPr="00A71292">
        <w:rPr>
          <w:rFonts w:ascii="Abadi" w:hAnsi="Abadi" w:cs="Arial-BoldItalicMT"/>
          <w:b/>
          <w:bCs/>
          <w:i/>
          <w:iCs/>
          <w:sz w:val="21"/>
          <w:szCs w:val="21"/>
        </w:rPr>
        <w:t>prescribe en el término de dos años</w:t>
      </w:r>
      <w:r w:rsidRPr="00A71292">
        <w:rPr>
          <w:rFonts w:ascii="Abadi" w:hAnsi="Abadi" w:cs="Arial-ItalicMT"/>
          <w:i/>
          <w:iCs/>
          <w:sz w:val="21"/>
          <w:szCs w:val="21"/>
        </w:rPr>
        <w:t>, contados</w:t>
      </w:r>
      <w:r>
        <w:rPr>
          <w:rFonts w:ascii="Abadi" w:hAnsi="Abadi" w:cs="Arial-ItalicMT"/>
          <w:i/>
          <w:iCs/>
          <w:sz w:val="21"/>
          <w:szCs w:val="21"/>
        </w:rPr>
        <w:t xml:space="preserve"> </w:t>
      </w:r>
      <w:r w:rsidRPr="00A71292">
        <w:rPr>
          <w:rFonts w:ascii="Abadi" w:hAnsi="Abadi" w:cs="Arial-BoldItalicMT"/>
          <w:b/>
          <w:bCs/>
          <w:i/>
          <w:iCs/>
          <w:sz w:val="21"/>
          <w:szCs w:val="21"/>
        </w:rPr>
        <w:t>a partir del momento de la muerte del autor de la sucesión</w:t>
      </w:r>
      <w:r w:rsidRPr="00A71292">
        <w:rPr>
          <w:rFonts w:ascii="Abadi" w:hAnsi="Abadi" w:cs="Arial-ItalicMT"/>
          <w:i/>
          <w:iCs/>
          <w:sz w:val="21"/>
          <w:szCs w:val="21"/>
        </w:rPr>
        <w:t>”</w:t>
      </w:r>
      <w:r w:rsidR="00360765">
        <w:rPr>
          <w:rStyle w:val="Refdenotaalpie"/>
          <w:rFonts w:ascii="Abadi" w:hAnsi="Abadi" w:cs="Arial-ItalicMT"/>
          <w:i/>
          <w:iCs/>
          <w:sz w:val="21"/>
          <w:szCs w:val="21"/>
        </w:rPr>
        <w:footnoteReference w:id="17"/>
      </w:r>
      <w:r w:rsidRPr="00A71292">
        <w:rPr>
          <w:rFonts w:ascii="Abadi" w:hAnsi="Abadi" w:cs="Arial-ItalicMT"/>
          <w:i/>
          <w:iCs/>
          <w:sz w:val="21"/>
          <w:szCs w:val="21"/>
        </w:rPr>
        <w:t xml:space="preserve">. </w:t>
      </w:r>
      <w:r w:rsidRPr="00A71292">
        <w:rPr>
          <w:rFonts w:ascii="Abadi" w:hAnsi="Abadi" w:cs="ArialMT"/>
          <w:sz w:val="21"/>
          <w:szCs w:val="21"/>
        </w:rPr>
        <w:t>(Las negritas</w:t>
      </w:r>
      <w:r>
        <w:rPr>
          <w:rFonts w:ascii="Abadi" w:hAnsi="Abadi" w:cs="ArialMT"/>
          <w:sz w:val="21"/>
          <w:szCs w:val="21"/>
        </w:rPr>
        <w:t xml:space="preserve"> </w:t>
      </w:r>
      <w:r w:rsidRPr="00A71292">
        <w:rPr>
          <w:rFonts w:ascii="Abadi" w:hAnsi="Abadi" w:cs="ArialMT"/>
          <w:sz w:val="21"/>
          <w:szCs w:val="21"/>
        </w:rPr>
        <w:t>y subrayado es nuestro).</w:t>
      </w:r>
    </w:p>
    <w:p w14:paraId="7D4927A7" w14:textId="77777777" w:rsidR="003B3767" w:rsidRPr="00A71292" w:rsidRDefault="003B3767" w:rsidP="003B3767">
      <w:pPr>
        <w:jc w:val="both"/>
        <w:rPr>
          <w:rFonts w:ascii="Abadi" w:hAnsi="Abadi" w:cs="ArialMT"/>
          <w:sz w:val="21"/>
          <w:szCs w:val="21"/>
        </w:rPr>
      </w:pPr>
    </w:p>
    <w:p w14:paraId="7A8332C4" w14:textId="14A77476"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Esta disposición otorga dos años para la prescripción del derecho a reclamar</w:t>
      </w:r>
      <w:r>
        <w:rPr>
          <w:rFonts w:ascii="Abadi" w:hAnsi="Abadi" w:cs="ArialMT"/>
          <w:sz w:val="21"/>
          <w:szCs w:val="21"/>
        </w:rPr>
        <w:t xml:space="preserve"> </w:t>
      </w:r>
      <w:r w:rsidRPr="00A71292">
        <w:rPr>
          <w:rFonts w:ascii="Abadi" w:hAnsi="Abadi" w:cs="ArialMT"/>
          <w:sz w:val="21"/>
          <w:szCs w:val="21"/>
        </w:rPr>
        <w:t>herencia cuando es la Universidad la que sucede, por lo que en los actuales</w:t>
      </w:r>
      <w:r>
        <w:rPr>
          <w:rFonts w:ascii="Abadi" w:hAnsi="Abadi" w:cs="ArialMT"/>
          <w:sz w:val="21"/>
          <w:szCs w:val="21"/>
        </w:rPr>
        <w:t xml:space="preserve"> </w:t>
      </w:r>
      <w:r w:rsidRPr="00A71292">
        <w:rPr>
          <w:rFonts w:ascii="Abadi" w:hAnsi="Abadi" w:cs="ArialMT"/>
          <w:sz w:val="21"/>
          <w:szCs w:val="21"/>
        </w:rPr>
        <w:t>tiempos se considera que dicho término es demasiado corto y</w:t>
      </w:r>
      <w:r>
        <w:rPr>
          <w:rFonts w:ascii="Abadi" w:hAnsi="Abadi" w:cs="ArialMT"/>
          <w:sz w:val="21"/>
          <w:szCs w:val="21"/>
        </w:rPr>
        <w:t xml:space="preserve"> </w:t>
      </w:r>
      <w:r w:rsidRPr="00A71292">
        <w:rPr>
          <w:rFonts w:ascii="Abadi" w:hAnsi="Abadi" w:cs="ArialMT"/>
          <w:sz w:val="21"/>
          <w:szCs w:val="21"/>
        </w:rPr>
        <w:t>desproporcional al ejercicio de un derecho de tanta trascendencia como es el</w:t>
      </w:r>
      <w:r>
        <w:rPr>
          <w:rFonts w:ascii="Abadi" w:hAnsi="Abadi" w:cs="ArialMT"/>
          <w:sz w:val="21"/>
          <w:szCs w:val="21"/>
        </w:rPr>
        <w:t xml:space="preserve"> </w:t>
      </w:r>
      <w:r w:rsidRPr="00A71292">
        <w:rPr>
          <w:rFonts w:ascii="Abadi" w:hAnsi="Abadi" w:cs="ArialMT"/>
          <w:sz w:val="21"/>
          <w:szCs w:val="21"/>
        </w:rPr>
        <w:t xml:space="preserve">de heredar, sobre todo para el caso de niñas niños y adolescentes. </w:t>
      </w:r>
      <w:r w:rsidR="00F72934" w:rsidRPr="00A71292">
        <w:rPr>
          <w:rFonts w:ascii="Abadi" w:hAnsi="Abadi" w:cs="ArialMT"/>
          <w:sz w:val="21"/>
          <w:szCs w:val="21"/>
        </w:rPr>
        <w:t>Las</w:t>
      </w:r>
      <w:r w:rsidR="00F72934">
        <w:rPr>
          <w:rFonts w:ascii="Abadi" w:hAnsi="Abadi" w:cs="ArialMT"/>
          <w:sz w:val="21"/>
          <w:szCs w:val="21"/>
        </w:rPr>
        <w:t xml:space="preserve"> </w:t>
      </w:r>
      <w:r w:rsidR="00F72934" w:rsidRPr="00A71292">
        <w:rPr>
          <w:rFonts w:ascii="Abadi" w:hAnsi="Abadi" w:cs="ArialMT"/>
          <w:sz w:val="21"/>
          <w:szCs w:val="21"/>
        </w:rPr>
        <w:t>razones</w:t>
      </w:r>
      <w:r>
        <w:rPr>
          <w:rFonts w:ascii="Abadi" w:hAnsi="Abadi" w:cs="ArialMT"/>
          <w:sz w:val="21"/>
          <w:szCs w:val="21"/>
        </w:rPr>
        <w:t xml:space="preserve"> </w:t>
      </w:r>
      <w:r w:rsidRPr="00A71292">
        <w:rPr>
          <w:rFonts w:ascii="Abadi" w:hAnsi="Abadi" w:cs="ArialMT"/>
          <w:sz w:val="21"/>
          <w:szCs w:val="21"/>
        </w:rPr>
        <w:t>pueden ser variadas en que esto ocurra, citándose como ejemplo, que</w:t>
      </w:r>
      <w:r>
        <w:rPr>
          <w:rFonts w:ascii="Abadi" w:hAnsi="Abadi" w:cs="ArialMT"/>
          <w:sz w:val="21"/>
          <w:szCs w:val="21"/>
        </w:rPr>
        <w:t xml:space="preserve"> </w:t>
      </w:r>
      <w:r w:rsidRPr="00A71292">
        <w:rPr>
          <w:rFonts w:ascii="Abadi" w:hAnsi="Abadi" w:cs="ArialMT"/>
          <w:sz w:val="21"/>
          <w:szCs w:val="21"/>
        </w:rPr>
        <w:t>radiquen en ciudades diversas al mismo estado de Guanajuato, y por ello,</w:t>
      </w:r>
      <w:r>
        <w:rPr>
          <w:rFonts w:ascii="Abadi" w:hAnsi="Abadi" w:cs="ArialMT"/>
          <w:sz w:val="21"/>
          <w:szCs w:val="21"/>
        </w:rPr>
        <w:t xml:space="preserve"> </w:t>
      </w:r>
      <w:r w:rsidRPr="00A71292">
        <w:rPr>
          <w:rFonts w:ascii="Abadi" w:hAnsi="Abadi" w:cs="ArialMT"/>
          <w:sz w:val="21"/>
          <w:szCs w:val="21"/>
        </w:rPr>
        <w:t xml:space="preserve">ignoran la situación patrimonial concreta del </w:t>
      </w:r>
      <w:r w:rsidRPr="00A71292">
        <w:rPr>
          <w:rFonts w:ascii="Abadi" w:hAnsi="Abadi" w:cs="Arial-ItalicMT"/>
          <w:i/>
          <w:iCs/>
          <w:sz w:val="21"/>
          <w:szCs w:val="21"/>
        </w:rPr>
        <w:t>de cujus</w:t>
      </w:r>
      <w:r w:rsidRPr="00A71292">
        <w:rPr>
          <w:rFonts w:ascii="Abadi" w:hAnsi="Abadi" w:cs="ArialMT"/>
          <w:sz w:val="21"/>
          <w:szCs w:val="21"/>
        </w:rPr>
        <w:t>, e incluso que ha</w:t>
      </w:r>
      <w:r>
        <w:rPr>
          <w:rFonts w:ascii="Abadi" w:hAnsi="Abadi" w:cs="ArialMT"/>
          <w:sz w:val="21"/>
          <w:szCs w:val="21"/>
        </w:rPr>
        <w:t xml:space="preserve"> </w:t>
      </w:r>
      <w:r w:rsidRPr="00A71292">
        <w:rPr>
          <w:rFonts w:ascii="Abadi" w:hAnsi="Abadi" w:cs="ArialMT"/>
          <w:sz w:val="21"/>
          <w:szCs w:val="21"/>
        </w:rPr>
        <w:t>fallecido. Lo que también suele ocurrir en el supuesto de posibles herederos</w:t>
      </w:r>
      <w:r>
        <w:rPr>
          <w:rFonts w:ascii="Abadi" w:hAnsi="Abadi" w:cs="ArialMT"/>
          <w:sz w:val="21"/>
          <w:szCs w:val="21"/>
        </w:rPr>
        <w:t xml:space="preserve"> </w:t>
      </w:r>
      <w:r w:rsidRPr="00A71292">
        <w:rPr>
          <w:rFonts w:ascii="Abadi" w:hAnsi="Abadi" w:cs="ArialMT"/>
          <w:sz w:val="21"/>
          <w:szCs w:val="21"/>
        </w:rPr>
        <w:t>mayores de 18 años, por ello, la presente propuesta de reforma.</w:t>
      </w:r>
    </w:p>
    <w:p w14:paraId="163F8836" w14:textId="77777777" w:rsidR="003B3767" w:rsidRPr="00A71292" w:rsidRDefault="003B3767" w:rsidP="003B3767">
      <w:pPr>
        <w:autoSpaceDE w:val="0"/>
        <w:autoSpaceDN w:val="0"/>
        <w:adjustRightInd w:val="0"/>
        <w:jc w:val="both"/>
        <w:rPr>
          <w:rFonts w:ascii="Abadi" w:hAnsi="Abadi" w:cs="ArialMT"/>
          <w:sz w:val="21"/>
          <w:szCs w:val="21"/>
        </w:rPr>
      </w:pPr>
    </w:p>
    <w:p w14:paraId="5E5D7926" w14:textId="3687C038"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Además, se considera no idóneo el hecho de que la ley civil sustantiva señale</w:t>
      </w:r>
      <w:r>
        <w:rPr>
          <w:rFonts w:ascii="Abadi" w:hAnsi="Abadi" w:cs="ArialMT"/>
          <w:sz w:val="21"/>
          <w:szCs w:val="21"/>
        </w:rPr>
        <w:t xml:space="preserve"> </w:t>
      </w:r>
      <w:r w:rsidRPr="00A71292">
        <w:rPr>
          <w:rFonts w:ascii="Abadi" w:hAnsi="Abadi" w:cs="ArialMT"/>
          <w:sz w:val="21"/>
          <w:szCs w:val="21"/>
        </w:rPr>
        <w:t>que la prescripción del derecho a reclamar herencia, se comience a</w:t>
      </w:r>
      <w:r>
        <w:rPr>
          <w:rFonts w:ascii="Abadi" w:hAnsi="Abadi" w:cs="ArialMT"/>
          <w:sz w:val="21"/>
          <w:szCs w:val="21"/>
        </w:rPr>
        <w:t xml:space="preserve"> </w:t>
      </w:r>
      <w:r w:rsidRPr="00A71292">
        <w:rPr>
          <w:rFonts w:ascii="Abadi" w:hAnsi="Abadi" w:cs="ArialMT"/>
          <w:sz w:val="21"/>
          <w:szCs w:val="21"/>
        </w:rPr>
        <w:t>contabilizar a partir del momento de la muerte del autor de la sucesión, lo que</w:t>
      </w:r>
      <w:r>
        <w:rPr>
          <w:rFonts w:ascii="Abadi" w:hAnsi="Abadi" w:cs="ArialMT"/>
          <w:sz w:val="21"/>
          <w:szCs w:val="21"/>
        </w:rPr>
        <w:t xml:space="preserve"> </w:t>
      </w:r>
      <w:r w:rsidRPr="00A71292">
        <w:rPr>
          <w:rFonts w:ascii="Abadi" w:hAnsi="Abadi" w:cs="ArialMT"/>
          <w:sz w:val="21"/>
          <w:szCs w:val="21"/>
        </w:rPr>
        <w:t>debe ser modificado, considerando los comentarios realizados en forma</w:t>
      </w:r>
      <w:r w:rsidR="00733A9E">
        <w:rPr>
          <w:rFonts w:ascii="Abadi" w:hAnsi="Abadi" w:cs="ArialMT"/>
          <w:sz w:val="21"/>
          <w:szCs w:val="21"/>
        </w:rPr>
        <w:t xml:space="preserve"> </w:t>
      </w:r>
      <w:r w:rsidRPr="00A71292">
        <w:rPr>
          <w:rFonts w:ascii="Abadi" w:hAnsi="Abadi" w:cs="ArialMT"/>
          <w:sz w:val="21"/>
          <w:szCs w:val="21"/>
        </w:rPr>
        <w:t>anterior, por lo que lo más idóneo es proponer que la ley establezca que el</w:t>
      </w:r>
      <w:r>
        <w:rPr>
          <w:rFonts w:ascii="Abadi" w:hAnsi="Abadi" w:cs="ArialMT"/>
          <w:sz w:val="21"/>
          <w:szCs w:val="21"/>
        </w:rPr>
        <w:t xml:space="preserve"> </w:t>
      </w:r>
      <w:r w:rsidRPr="00A71292">
        <w:rPr>
          <w:rFonts w:ascii="Abadi" w:hAnsi="Abadi" w:cs="ArialMT"/>
          <w:sz w:val="21"/>
          <w:szCs w:val="21"/>
        </w:rPr>
        <w:t>término comience a correr a partir de la declaratoria de herederos, que es el</w:t>
      </w:r>
      <w:r>
        <w:rPr>
          <w:rFonts w:ascii="Abadi" w:hAnsi="Abadi" w:cs="ArialMT"/>
          <w:sz w:val="21"/>
          <w:szCs w:val="21"/>
        </w:rPr>
        <w:t xml:space="preserve"> </w:t>
      </w:r>
      <w:r w:rsidRPr="00A71292">
        <w:rPr>
          <w:rFonts w:ascii="Abadi" w:hAnsi="Abadi" w:cs="ArialMT"/>
          <w:sz w:val="21"/>
          <w:szCs w:val="21"/>
        </w:rPr>
        <w:t>momento procesal en que la Universidad es designada como heredera y</w:t>
      </w:r>
      <w:r>
        <w:rPr>
          <w:rFonts w:ascii="Abadi" w:hAnsi="Abadi" w:cs="ArialMT"/>
          <w:sz w:val="21"/>
          <w:szCs w:val="21"/>
        </w:rPr>
        <w:t xml:space="preserve"> </w:t>
      </w:r>
      <w:r w:rsidRPr="00A71292">
        <w:rPr>
          <w:rFonts w:ascii="Abadi" w:hAnsi="Abadi" w:cs="ArialMT"/>
          <w:sz w:val="21"/>
          <w:szCs w:val="21"/>
        </w:rPr>
        <w:t>cuando inicia el conflicto de contraposición del derecho que diga tener el</w:t>
      </w:r>
      <w:r>
        <w:rPr>
          <w:rFonts w:ascii="Abadi" w:hAnsi="Abadi" w:cs="ArialMT"/>
          <w:sz w:val="21"/>
          <w:szCs w:val="21"/>
        </w:rPr>
        <w:t xml:space="preserve"> </w:t>
      </w:r>
      <w:r w:rsidRPr="00A71292">
        <w:rPr>
          <w:rFonts w:ascii="Abadi" w:hAnsi="Abadi" w:cs="ArialMT"/>
          <w:sz w:val="21"/>
          <w:szCs w:val="21"/>
        </w:rPr>
        <w:t>posible heredero, con el derecho que la ley le otorga a la Universidad de</w:t>
      </w:r>
      <w:r>
        <w:rPr>
          <w:rFonts w:ascii="Abadi" w:hAnsi="Abadi" w:cs="ArialMT"/>
          <w:sz w:val="21"/>
          <w:szCs w:val="21"/>
        </w:rPr>
        <w:t xml:space="preserve"> </w:t>
      </w:r>
      <w:r w:rsidRPr="00A71292">
        <w:rPr>
          <w:rFonts w:ascii="Abadi" w:hAnsi="Abadi" w:cs="ArialMT"/>
          <w:sz w:val="21"/>
          <w:szCs w:val="21"/>
        </w:rPr>
        <w:t>Guanajuato para heredar. Ante esto, consideramos que el término se debe</w:t>
      </w:r>
      <w:r>
        <w:rPr>
          <w:rFonts w:ascii="Abadi" w:hAnsi="Abadi" w:cs="ArialMT"/>
          <w:sz w:val="21"/>
          <w:szCs w:val="21"/>
        </w:rPr>
        <w:t xml:space="preserve"> </w:t>
      </w:r>
      <w:r w:rsidRPr="00A71292">
        <w:rPr>
          <w:rFonts w:ascii="Abadi" w:hAnsi="Abadi" w:cs="ArialMT"/>
          <w:sz w:val="21"/>
          <w:szCs w:val="21"/>
        </w:rPr>
        <w:t>aumentar de dos a cinco años, en razón de que los dos años que actualmente</w:t>
      </w:r>
      <w:r>
        <w:rPr>
          <w:rFonts w:ascii="Abadi" w:hAnsi="Abadi" w:cs="ArialMT"/>
          <w:sz w:val="21"/>
          <w:szCs w:val="21"/>
        </w:rPr>
        <w:t xml:space="preserve"> </w:t>
      </w:r>
      <w:r w:rsidRPr="00A71292">
        <w:rPr>
          <w:rFonts w:ascii="Abadi" w:hAnsi="Abadi" w:cs="ArialMT"/>
          <w:sz w:val="21"/>
          <w:szCs w:val="21"/>
        </w:rPr>
        <w:t>establece el código civil son precarios, por considerar razonable dicho</w:t>
      </w:r>
      <w:r>
        <w:rPr>
          <w:rFonts w:ascii="Abadi" w:hAnsi="Abadi" w:cs="ArialMT"/>
          <w:sz w:val="21"/>
          <w:szCs w:val="21"/>
        </w:rPr>
        <w:t xml:space="preserve"> </w:t>
      </w:r>
      <w:r w:rsidRPr="00A71292">
        <w:rPr>
          <w:rFonts w:ascii="Abadi" w:hAnsi="Abadi" w:cs="ArialMT"/>
          <w:sz w:val="21"/>
          <w:szCs w:val="21"/>
        </w:rPr>
        <w:t>incremento, esto, en los casos ordinarios de personas mayores de 18 años o</w:t>
      </w:r>
    </w:p>
    <w:p w14:paraId="42FD9147"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adultas.</w:t>
      </w:r>
    </w:p>
    <w:p w14:paraId="14BB2EE8" w14:textId="77777777" w:rsidR="003B3767" w:rsidRDefault="003B3767" w:rsidP="003B3767">
      <w:pPr>
        <w:autoSpaceDE w:val="0"/>
        <w:autoSpaceDN w:val="0"/>
        <w:adjustRightInd w:val="0"/>
        <w:jc w:val="both"/>
        <w:rPr>
          <w:rFonts w:ascii="Abadi" w:hAnsi="Abadi" w:cs="ArialMT"/>
          <w:sz w:val="21"/>
          <w:szCs w:val="21"/>
        </w:rPr>
      </w:pPr>
    </w:p>
    <w:p w14:paraId="6C033326"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Sin embargo, esta misma cuestión cobra especial trascendencia, cuando</w:t>
      </w:r>
      <w:r>
        <w:rPr>
          <w:rFonts w:ascii="Abadi" w:hAnsi="Abadi" w:cs="ArialMT"/>
          <w:sz w:val="21"/>
          <w:szCs w:val="21"/>
        </w:rPr>
        <w:t xml:space="preserve"> </w:t>
      </w:r>
      <w:r w:rsidRPr="00A71292">
        <w:rPr>
          <w:rFonts w:ascii="Abadi" w:hAnsi="Abadi" w:cs="ArialMT"/>
          <w:sz w:val="21"/>
          <w:szCs w:val="21"/>
        </w:rPr>
        <w:t>quienes tienen la posibilidad a heredar son menores de edad, es decir,</w:t>
      </w:r>
      <w:r>
        <w:rPr>
          <w:rFonts w:ascii="Abadi" w:hAnsi="Abadi" w:cs="ArialMT"/>
          <w:sz w:val="21"/>
          <w:szCs w:val="21"/>
        </w:rPr>
        <w:t xml:space="preserve"> </w:t>
      </w:r>
      <w:r w:rsidRPr="00A71292">
        <w:rPr>
          <w:rFonts w:ascii="Abadi" w:hAnsi="Abadi" w:cs="ArialMT"/>
          <w:sz w:val="21"/>
          <w:szCs w:val="21"/>
        </w:rPr>
        <w:t>menores de 18 años, que son considerados niños o niñas, en el momento del</w:t>
      </w:r>
      <w:r>
        <w:rPr>
          <w:rFonts w:ascii="Abadi" w:hAnsi="Abadi" w:cs="ArialMT"/>
          <w:sz w:val="21"/>
          <w:szCs w:val="21"/>
        </w:rPr>
        <w:t xml:space="preserve"> </w:t>
      </w:r>
      <w:r w:rsidRPr="00A71292">
        <w:rPr>
          <w:rFonts w:ascii="Abadi" w:hAnsi="Abadi" w:cs="ArialMT"/>
          <w:sz w:val="21"/>
          <w:szCs w:val="21"/>
        </w:rPr>
        <w:t>fallecimiento del autor de la sucesión y que determinadas circunstancias no</w:t>
      </w:r>
      <w:r>
        <w:rPr>
          <w:rFonts w:ascii="Abadi" w:hAnsi="Abadi" w:cs="ArialMT"/>
          <w:sz w:val="21"/>
          <w:szCs w:val="21"/>
        </w:rPr>
        <w:t xml:space="preserve"> </w:t>
      </w:r>
      <w:r w:rsidRPr="00A71292">
        <w:rPr>
          <w:rFonts w:ascii="Abadi" w:hAnsi="Abadi" w:cs="ArialMT"/>
          <w:sz w:val="21"/>
          <w:szCs w:val="21"/>
        </w:rPr>
        <w:t>están en posibilidad de ejercer sus derecho por sí mismos o de sus</w:t>
      </w:r>
      <w:r>
        <w:rPr>
          <w:rFonts w:ascii="Abadi" w:hAnsi="Abadi" w:cs="ArialMT"/>
          <w:sz w:val="21"/>
          <w:szCs w:val="21"/>
        </w:rPr>
        <w:t xml:space="preserve"> </w:t>
      </w:r>
      <w:r w:rsidRPr="00A71292">
        <w:rPr>
          <w:rFonts w:ascii="Abadi" w:hAnsi="Abadi" w:cs="ArialMT"/>
          <w:sz w:val="21"/>
          <w:szCs w:val="21"/>
        </w:rPr>
        <w:t>representantes legales o por mandato, como ya se mencionó, lo cual implica</w:t>
      </w:r>
      <w:r>
        <w:rPr>
          <w:rFonts w:ascii="Abadi" w:hAnsi="Abadi" w:cs="ArialMT"/>
          <w:sz w:val="21"/>
          <w:szCs w:val="21"/>
        </w:rPr>
        <w:t xml:space="preserve"> </w:t>
      </w:r>
      <w:r w:rsidRPr="00A71292">
        <w:rPr>
          <w:rFonts w:ascii="Abadi" w:hAnsi="Abadi" w:cs="ArialMT"/>
          <w:sz w:val="21"/>
          <w:szCs w:val="21"/>
        </w:rPr>
        <w:t>que al no comparecer la juicio sucesorio su derecho a reclamar la herencia</w:t>
      </w:r>
      <w:r>
        <w:rPr>
          <w:rFonts w:ascii="Abadi" w:hAnsi="Abadi" w:cs="ArialMT"/>
          <w:sz w:val="21"/>
          <w:szCs w:val="21"/>
        </w:rPr>
        <w:t xml:space="preserve"> </w:t>
      </w:r>
      <w:r w:rsidRPr="00A71292">
        <w:rPr>
          <w:rFonts w:ascii="Abadi" w:hAnsi="Abadi" w:cs="ArialMT"/>
          <w:sz w:val="21"/>
          <w:szCs w:val="21"/>
        </w:rPr>
        <w:t>prescribirá en dos años, lo que en este supuesto en concreto conforme a</w:t>
      </w:r>
      <w:r>
        <w:rPr>
          <w:rFonts w:ascii="Abadi" w:hAnsi="Abadi" w:cs="ArialMT"/>
          <w:sz w:val="21"/>
          <w:szCs w:val="21"/>
        </w:rPr>
        <w:t xml:space="preserve"> </w:t>
      </w:r>
      <w:r w:rsidRPr="00A71292">
        <w:rPr>
          <w:rFonts w:ascii="Abadi" w:hAnsi="Abadi" w:cs="ArialMT"/>
          <w:sz w:val="21"/>
          <w:szCs w:val="21"/>
        </w:rPr>
        <w:t>criterios internacionales de protección al interés superior de la niñez, este</w:t>
      </w:r>
      <w:r>
        <w:rPr>
          <w:rFonts w:ascii="Abadi" w:hAnsi="Abadi" w:cs="ArialMT"/>
          <w:sz w:val="21"/>
          <w:szCs w:val="21"/>
        </w:rPr>
        <w:t xml:space="preserve"> </w:t>
      </w:r>
      <w:r w:rsidRPr="00A71292">
        <w:rPr>
          <w:rFonts w:ascii="Abadi" w:hAnsi="Abadi" w:cs="ArialMT"/>
          <w:sz w:val="21"/>
          <w:szCs w:val="21"/>
        </w:rPr>
        <w:t>precepto resulta por demás no actualizado en insuficiente para tutelar de</w:t>
      </w:r>
      <w:r>
        <w:rPr>
          <w:rFonts w:ascii="Abadi" w:hAnsi="Abadi" w:cs="ArialMT"/>
          <w:sz w:val="21"/>
          <w:szCs w:val="21"/>
        </w:rPr>
        <w:t xml:space="preserve"> </w:t>
      </w:r>
      <w:r w:rsidRPr="00A71292">
        <w:rPr>
          <w:rFonts w:ascii="Abadi" w:hAnsi="Abadi" w:cs="ArialMT"/>
          <w:sz w:val="21"/>
          <w:szCs w:val="21"/>
        </w:rPr>
        <w:t>manera efectiva y amplia el derecho a heredar de los menores, en las</w:t>
      </w:r>
      <w:r>
        <w:rPr>
          <w:rFonts w:ascii="Abadi" w:hAnsi="Abadi" w:cs="ArialMT"/>
          <w:sz w:val="21"/>
          <w:szCs w:val="21"/>
        </w:rPr>
        <w:t xml:space="preserve"> </w:t>
      </w:r>
      <w:r w:rsidRPr="00A71292">
        <w:rPr>
          <w:rFonts w:ascii="Abadi" w:hAnsi="Abadi" w:cs="ArialMT"/>
          <w:sz w:val="21"/>
          <w:szCs w:val="21"/>
        </w:rPr>
        <w:t>condiciones actuales.</w:t>
      </w:r>
    </w:p>
    <w:p w14:paraId="51CE33D6" w14:textId="77777777" w:rsidR="003B3767" w:rsidRPr="00A71292" w:rsidRDefault="003B3767" w:rsidP="003B3767">
      <w:pPr>
        <w:jc w:val="both"/>
        <w:rPr>
          <w:rFonts w:ascii="Abadi" w:hAnsi="Abadi" w:cs="ArialMT"/>
          <w:sz w:val="21"/>
          <w:szCs w:val="21"/>
        </w:rPr>
      </w:pPr>
    </w:p>
    <w:p w14:paraId="2A5EFEBB" w14:textId="41298263"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Para nadie es desconocido que en la última década, a partir de junio de</w:t>
      </w:r>
      <w:r>
        <w:rPr>
          <w:rFonts w:ascii="Abadi" w:hAnsi="Abadi" w:cs="ArialMT"/>
          <w:sz w:val="21"/>
          <w:szCs w:val="21"/>
        </w:rPr>
        <w:t xml:space="preserve"> </w:t>
      </w:r>
      <w:r w:rsidRPr="00A71292">
        <w:rPr>
          <w:rFonts w:ascii="Abadi" w:hAnsi="Abadi" w:cs="ArialMT"/>
          <w:sz w:val="21"/>
          <w:szCs w:val="21"/>
        </w:rPr>
        <w:t>2011</w:t>
      </w:r>
      <w:r w:rsidR="00360765">
        <w:rPr>
          <w:rStyle w:val="Refdenotaalpie"/>
          <w:rFonts w:ascii="Abadi" w:hAnsi="Abadi" w:cs="ArialMT"/>
          <w:sz w:val="21"/>
          <w:szCs w:val="21"/>
        </w:rPr>
        <w:footnoteReference w:id="18"/>
      </w:r>
      <w:r w:rsidRPr="00A71292">
        <w:rPr>
          <w:rFonts w:ascii="Abadi" w:hAnsi="Abadi" w:cs="ArialMT"/>
          <w:sz w:val="21"/>
          <w:szCs w:val="21"/>
        </w:rPr>
        <w:t>, el Estado Mexicano se ha visto forzado a tomar acciones</w:t>
      </w:r>
      <w:r>
        <w:rPr>
          <w:rFonts w:ascii="Abadi" w:hAnsi="Abadi" w:cs="ArialMT"/>
          <w:sz w:val="21"/>
          <w:szCs w:val="21"/>
        </w:rPr>
        <w:t xml:space="preserve"> </w:t>
      </w:r>
      <w:r w:rsidRPr="00A71292">
        <w:rPr>
          <w:rFonts w:ascii="Abadi" w:hAnsi="Abadi" w:cs="ArialMT"/>
          <w:sz w:val="21"/>
          <w:szCs w:val="21"/>
        </w:rPr>
        <w:t>preponderantes en materia de derechos humanos, en donde cobra enorme</w:t>
      </w:r>
      <w:r>
        <w:rPr>
          <w:rFonts w:ascii="Abadi" w:hAnsi="Abadi" w:cs="ArialMT"/>
          <w:sz w:val="21"/>
          <w:szCs w:val="21"/>
        </w:rPr>
        <w:t xml:space="preserve"> </w:t>
      </w:r>
      <w:r w:rsidRPr="00A71292">
        <w:rPr>
          <w:rFonts w:ascii="Abadi" w:hAnsi="Abadi" w:cs="ArialMT"/>
          <w:sz w:val="21"/>
          <w:szCs w:val="21"/>
        </w:rPr>
        <w:t>relevancia las tendientes a proteger los derechos de los grupos que se</w:t>
      </w:r>
      <w:r>
        <w:rPr>
          <w:rFonts w:ascii="Abadi" w:hAnsi="Abadi" w:cs="ArialMT"/>
          <w:sz w:val="21"/>
          <w:szCs w:val="21"/>
        </w:rPr>
        <w:t xml:space="preserve"> </w:t>
      </w:r>
      <w:r w:rsidRPr="00A71292">
        <w:rPr>
          <w:rFonts w:ascii="Abadi" w:hAnsi="Abadi" w:cs="ArialMT"/>
          <w:sz w:val="21"/>
          <w:szCs w:val="21"/>
        </w:rPr>
        <w:t>encuentran en situación de vulnerabilidad, de los que, en mayor medida es</w:t>
      </w:r>
      <w:r>
        <w:rPr>
          <w:rFonts w:ascii="Abadi" w:hAnsi="Abadi" w:cs="ArialMT"/>
          <w:sz w:val="21"/>
          <w:szCs w:val="21"/>
        </w:rPr>
        <w:t xml:space="preserve"> </w:t>
      </w:r>
      <w:r w:rsidRPr="00A71292">
        <w:rPr>
          <w:rFonts w:ascii="Abadi" w:hAnsi="Abadi" w:cs="ArialMT"/>
          <w:sz w:val="21"/>
          <w:szCs w:val="21"/>
        </w:rPr>
        <w:t>significativo destacar las de protección de los derechos de las niñas, niños y</w:t>
      </w:r>
      <w:r>
        <w:rPr>
          <w:rFonts w:ascii="Abadi" w:hAnsi="Abadi" w:cs="ArialMT"/>
          <w:sz w:val="21"/>
          <w:szCs w:val="21"/>
        </w:rPr>
        <w:t xml:space="preserve"> </w:t>
      </w:r>
      <w:r w:rsidRPr="00A71292">
        <w:rPr>
          <w:rFonts w:ascii="Abadi" w:hAnsi="Abadi" w:cs="ArialMT"/>
          <w:sz w:val="21"/>
          <w:szCs w:val="21"/>
        </w:rPr>
        <w:t>adolescentes, que por su condiciones particulares, merecen especial</w:t>
      </w:r>
      <w:r>
        <w:rPr>
          <w:rFonts w:ascii="Abadi" w:hAnsi="Abadi" w:cs="ArialMT"/>
          <w:sz w:val="21"/>
          <w:szCs w:val="21"/>
        </w:rPr>
        <w:t xml:space="preserve"> </w:t>
      </w:r>
      <w:r w:rsidRPr="00A71292">
        <w:rPr>
          <w:rFonts w:ascii="Abadi" w:hAnsi="Abadi" w:cs="ArialMT"/>
          <w:sz w:val="21"/>
          <w:szCs w:val="21"/>
        </w:rPr>
        <w:t>atención y cuidado con el fin de garantizarles en todo momento el máximo de</w:t>
      </w:r>
      <w:r w:rsidR="00F75ACE">
        <w:rPr>
          <w:rFonts w:ascii="Abadi" w:hAnsi="Abadi" w:cs="ArialMT"/>
          <w:sz w:val="21"/>
          <w:szCs w:val="21"/>
        </w:rPr>
        <w:t xml:space="preserve">  </w:t>
      </w:r>
      <w:r w:rsidRPr="00A71292">
        <w:rPr>
          <w:rFonts w:ascii="Abadi" w:hAnsi="Abadi" w:cs="ArialMT"/>
          <w:sz w:val="21"/>
          <w:szCs w:val="21"/>
        </w:rPr>
        <w:t>protección a la esfera de sus derechos humanos, como es la posibilidad a</w:t>
      </w:r>
      <w:r>
        <w:rPr>
          <w:rFonts w:ascii="Abadi" w:hAnsi="Abadi" w:cs="ArialMT"/>
          <w:sz w:val="21"/>
          <w:szCs w:val="21"/>
        </w:rPr>
        <w:t xml:space="preserve"> </w:t>
      </w:r>
      <w:r w:rsidRPr="00A71292">
        <w:rPr>
          <w:rFonts w:ascii="Abadi" w:hAnsi="Abadi" w:cs="ArialMT"/>
          <w:sz w:val="21"/>
          <w:szCs w:val="21"/>
        </w:rPr>
        <w:t>adquirir patrimonio mediante la sucesión a efecto de garantizar alimentos y</w:t>
      </w:r>
      <w:r>
        <w:rPr>
          <w:rFonts w:ascii="Abadi" w:hAnsi="Abadi" w:cs="ArialMT"/>
          <w:sz w:val="21"/>
          <w:szCs w:val="21"/>
        </w:rPr>
        <w:t xml:space="preserve"> </w:t>
      </w:r>
      <w:r w:rsidRPr="00A71292">
        <w:rPr>
          <w:rFonts w:ascii="Abadi" w:hAnsi="Abadi" w:cs="ArialMT"/>
          <w:sz w:val="21"/>
          <w:szCs w:val="21"/>
        </w:rPr>
        <w:t>su supervivencia.</w:t>
      </w:r>
    </w:p>
    <w:p w14:paraId="195F1E95" w14:textId="77777777" w:rsidR="003B3767" w:rsidRPr="00A71292" w:rsidRDefault="003B3767" w:rsidP="003B3767">
      <w:pPr>
        <w:autoSpaceDE w:val="0"/>
        <w:autoSpaceDN w:val="0"/>
        <w:adjustRightInd w:val="0"/>
        <w:jc w:val="both"/>
        <w:rPr>
          <w:rFonts w:ascii="Abadi" w:hAnsi="Abadi" w:cs="ArialMT"/>
          <w:sz w:val="21"/>
          <w:szCs w:val="21"/>
        </w:rPr>
      </w:pPr>
    </w:p>
    <w:p w14:paraId="7124FB04"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Conforme a lo anterior, de acuerdo con la Convención de los Derecho del</w:t>
      </w:r>
      <w:r>
        <w:rPr>
          <w:rFonts w:ascii="Abadi" w:hAnsi="Abadi" w:cs="ArialMT"/>
          <w:sz w:val="21"/>
          <w:szCs w:val="21"/>
        </w:rPr>
        <w:t xml:space="preserve"> </w:t>
      </w:r>
      <w:r w:rsidRPr="00A71292">
        <w:rPr>
          <w:rFonts w:ascii="Abadi" w:hAnsi="Abadi" w:cs="ArialMT"/>
          <w:sz w:val="21"/>
          <w:szCs w:val="21"/>
        </w:rPr>
        <w:t>Niño, son niños, todos los seres humanos menores de 18 años y se reconoce</w:t>
      </w:r>
      <w:r>
        <w:rPr>
          <w:rFonts w:ascii="Abadi" w:hAnsi="Abadi" w:cs="ArialMT"/>
          <w:sz w:val="21"/>
          <w:szCs w:val="21"/>
        </w:rPr>
        <w:t xml:space="preserve"> </w:t>
      </w:r>
      <w:r w:rsidRPr="00A71292">
        <w:rPr>
          <w:rFonts w:ascii="Abadi" w:hAnsi="Abadi" w:cs="ArialMT"/>
          <w:sz w:val="21"/>
          <w:szCs w:val="21"/>
        </w:rPr>
        <w:t>su calidad de individuos con derecho pleno a su desarrollo físico, mental y</w:t>
      </w:r>
      <w:r>
        <w:rPr>
          <w:rFonts w:ascii="Abadi" w:hAnsi="Abadi" w:cs="ArialMT"/>
          <w:sz w:val="21"/>
          <w:szCs w:val="21"/>
        </w:rPr>
        <w:t xml:space="preserve"> </w:t>
      </w:r>
      <w:r w:rsidRPr="00A71292">
        <w:rPr>
          <w:rFonts w:ascii="Abadi" w:hAnsi="Abadi" w:cs="ArialMT"/>
          <w:sz w:val="21"/>
          <w:szCs w:val="21"/>
        </w:rPr>
        <w:t>social, derecho a expresar libremente sus opiniones y en general a vivir en</w:t>
      </w:r>
      <w:r>
        <w:rPr>
          <w:rFonts w:ascii="Abadi" w:hAnsi="Abadi" w:cs="ArialMT"/>
          <w:sz w:val="21"/>
          <w:szCs w:val="21"/>
        </w:rPr>
        <w:t xml:space="preserve"> </w:t>
      </w:r>
      <w:r w:rsidRPr="00A71292">
        <w:rPr>
          <w:rFonts w:ascii="Abadi" w:hAnsi="Abadi" w:cs="ArialMT"/>
          <w:sz w:val="21"/>
          <w:szCs w:val="21"/>
        </w:rPr>
        <w:t>condiciones que les permitan un sano desarrollo, en paz y armonía.</w:t>
      </w:r>
      <w:r>
        <w:rPr>
          <w:rFonts w:ascii="Abadi" w:hAnsi="Abadi" w:cs="ArialMT"/>
          <w:sz w:val="21"/>
          <w:szCs w:val="21"/>
        </w:rPr>
        <w:t xml:space="preserve"> </w:t>
      </w:r>
    </w:p>
    <w:p w14:paraId="32BEADD5" w14:textId="77777777" w:rsidR="003B3767" w:rsidRDefault="003B3767" w:rsidP="003B3767">
      <w:pPr>
        <w:autoSpaceDE w:val="0"/>
        <w:autoSpaceDN w:val="0"/>
        <w:adjustRightInd w:val="0"/>
        <w:jc w:val="both"/>
        <w:rPr>
          <w:rFonts w:ascii="Abadi" w:hAnsi="Abadi" w:cs="ArialMT"/>
          <w:sz w:val="21"/>
          <w:szCs w:val="21"/>
        </w:rPr>
      </w:pPr>
    </w:p>
    <w:p w14:paraId="581F9513"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 xml:space="preserve">En esa tesitura, dicho instrumento también señala que: </w:t>
      </w:r>
      <w:r w:rsidRPr="00C83EDB">
        <w:rPr>
          <w:rFonts w:ascii="Abadi" w:hAnsi="Abadi" w:cs="Arial-ItalicMT"/>
          <w:i/>
          <w:iCs/>
          <w:sz w:val="21"/>
          <w:szCs w:val="21"/>
          <w:u w:val="single"/>
        </w:rPr>
        <w:t>“el niño, por su falta de madurez física y mental, necesita protección y cuidado especiales, incluso la debida protección legal, tanto antes como después del nacimiento"</w:t>
      </w:r>
      <w:r w:rsidRPr="00C83EDB">
        <w:rPr>
          <w:rFonts w:ascii="Abadi" w:hAnsi="Abadi" w:cs="ArialMT"/>
          <w:sz w:val="21"/>
          <w:szCs w:val="21"/>
          <w:u w:val="single"/>
        </w:rPr>
        <w:t>,</w:t>
      </w:r>
      <w:r w:rsidRPr="00A71292">
        <w:rPr>
          <w:rFonts w:ascii="Abadi" w:hAnsi="Abadi" w:cs="ArialMT"/>
          <w:sz w:val="21"/>
          <w:szCs w:val="21"/>
        </w:rPr>
        <w:t xml:space="preserve"> y esto</w:t>
      </w:r>
      <w:r>
        <w:rPr>
          <w:rFonts w:ascii="Abadi" w:hAnsi="Abadi" w:cs="ArialMT"/>
          <w:sz w:val="21"/>
          <w:szCs w:val="21"/>
        </w:rPr>
        <w:t xml:space="preserve"> </w:t>
      </w:r>
      <w:r w:rsidRPr="00A71292">
        <w:rPr>
          <w:rFonts w:ascii="Abadi" w:hAnsi="Abadi" w:cs="ArialMT"/>
          <w:sz w:val="21"/>
          <w:szCs w:val="21"/>
        </w:rPr>
        <w:t>es así porque las niñas y niños dada su autonomía progresiva, atraviesan por</w:t>
      </w:r>
      <w:r>
        <w:rPr>
          <w:rFonts w:ascii="Abadi" w:hAnsi="Abadi" w:cs="ArialMT"/>
          <w:sz w:val="21"/>
          <w:szCs w:val="21"/>
        </w:rPr>
        <w:t xml:space="preserve"> </w:t>
      </w:r>
      <w:r w:rsidRPr="00A71292">
        <w:rPr>
          <w:rFonts w:ascii="Abadi" w:hAnsi="Abadi" w:cs="ArialMT"/>
          <w:sz w:val="21"/>
          <w:szCs w:val="21"/>
        </w:rPr>
        <w:t>diversas situaciones y etapas que, en determinados casos los ponen en</w:t>
      </w:r>
      <w:r>
        <w:rPr>
          <w:rFonts w:ascii="Abadi" w:hAnsi="Abadi" w:cs="ArialMT"/>
          <w:sz w:val="21"/>
          <w:szCs w:val="21"/>
        </w:rPr>
        <w:t xml:space="preserve">  </w:t>
      </w:r>
      <w:r w:rsidRPr="00A71292">
        <w:rPr>
          <w:rFonts w:ascii="Abadi" w:hAnsi="Abadi" w:cs="ArialMT"/>
          <w:sz w:val="21"/>
          <w:szCs w:val="21"/>
        </w:rPr>
        <w:t>especial peligro de enfrentarse a condiciones de vulnerabilidad que les</w:t>
      </w:r>
      <w:r>
        <w:rPr>
          <w:rFonts w:ascii="Abadi" w:hAnsi="Abadi" w:cs="ArialMT"/>
          <w:sz w:val="21"/>
          <w:szCs w:val="21"/>
        </w:rPr>
        <w:t xml:space="preserve"> </w:t>
      </w:r>
      <w:r w:rsidRPr="00A71292">
        <w:rPr>
          <w:rFonts w:ascii="Abadi" w:hAnsi="Abadi" w:cs="ArialMT"/>
          <w:sz w:val="21"/>
          <w:szCs w:val="21"/>
        </w:rPr>
        <w:t>generan un especial grado de indefensión, con respecto de los mayores de</w:t>
      </w:r>
      <w:r>
        <w:rPr>
          <w:rFonts w:ascii="Abadi" w:hAnsi="Abadi" w:cs="ArialMT"/>
          <w:sz w:val="21"/>
          <w:szCs w:val="21"/>
        </w:rPr>
        <w:t xml:space="preserve"> </w:t>
      </w:r>
      <w:r w:rsidRPr="00A71292">
        <w:rPr>
          <w:rFonts w:ascii="Abadi" w:hAnsi="Abadi" w:cs="ArialMT"/>
          <w:sz w:val="21"/>
          <w:szCs w:val="21"/>
        </w:rPr>
        <w:t>edad o de las instituciones públicas, si no se establecen los mecanismos</w:t>
      </w:r>
      <w:r>
        <w:rPr>
          <w:rFonts w:ascii="Abadi" w:hAnsi="Abadi" w:cs="ArialMT"/>
          <w:sz w:val="21"/>
          <w:szCs w:val="21"/>
        </w:rPr>
        <w:t xml:space="preserve"> </w:t>
      </w:r>
      <w:r w:rsidRPr="00A71292">
        <w:rPr>
          <w:rFonts w:ascii="Abadi" w:hAnsi="Abadi" w:cs="ArialMT"/>
          <w:sz w:val="21"/>
          <w:szCs w:val="21"/>
        </w:rPr>
        <w:t>adecuados para prevenir que sean víctimas de violaciones a sus derechos</w:t>
      </w:r>
      <w:r>
        <w:rPr>
          <w:rFonts w:ascii="Abadi" w:hAnsi="Abadi" w:cs="ArialMT"/>
          <w:sz w:val="21"/>
          <w:szCs w:val="21"/>
        </w:rPr>
        <w:t xml:space="preserve">  </w:t>
      </w:r>
      <w:r w:rsidRPr="00A71292">
        <w:rPr>
          <w:rFonts w:ascii="Abadi" w:hAnsi="Abadi" w:cs="ArialMT"/>
          <w:sz w:val="21"/>
          <w:szCs w:val="21"/>
        </w:rPr>
        <w:t>humanos.</w:t>
      </w:r>
    </w:p>
    <w:p w14:paraId="4EA6EBCB" w14:textId="77777777" w:rsidR="003B3767" w:rsidRPr="00A71292" w:rsidRDefault="003B3767" w:rsidP="003B3767">
      <w:pPr>
        <w:autoSpaceDE w:val="0"/>
        <w:autoSpaceDN w:val="0"/>
        <w:adjustRightInd w:val="0"/>
        <w:jc w:val="both"/>
        <w:rPr>
          <w:rFonts w:ascii="Abadi" w:hAnsi="Abadi" w:cs="ArialMT"/>
          <w:sz w:val="21"/>
          <w:szCs w:val="21"/>
        </w:rPr>
      </w:pPr>
    </w:p>
    <w:p w14:paraId="74B0A82E"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Es así como una de las más graves expresiones y lacerantes formas en que</w:t>
      </w:r>
      <w:r>
        <w:rPr>
          <w:rFonts w:ascii="Abadi" w:hAnsi="Abadi" w:cs="ArialMT"/>
          <w:sz w:val="21"/>
          <w:szCs w:val="21"/>
        </w:rPr>
        <w:t xml:space="preserve"> </w:t>
      </w:r>
      <w:r w:rsidRPr="00A71292">
        <w:rPr>
          <w:rFonts w:ascii="Abadi" w:hAnsi="Abadi" w:cs="ArialMT"/>
          <w:sz w:val="21"/>
          <w:szCs w:val="21"/>
        </w:rPr>
        <w:t>son víctimas las niñas, niños y adolescentes, en el mundo y en nuestro país,</w:t>
      </w:r>
      <w:r>
        <w:rPr>
          <w:rFonts w:ascii="Abadi" w:hAnsi="Abadi" w:cs="ArialMT"/>
          <w:sz w:val="21"/>
          <w:szCs w:val="21"/>
        </w:rPr>
        <w:t xml:space="preserve"> </w:t>
      </w:r>
      <w:r w:rsidRPr="00A71292">
        <w:rPr>
          <w:rFonts w:ascii="Abadi" w:hAnsi="Abadi" w:cs="ArialMT"/>
          <w:sz w:val="21"/>
          <w:szCs w:val="21"/>
        </w:rPr>
        <w:t>son las relacionadas con posible perjuicio a su patrimonio o en este caso, la</w:t>
      </w:r>
      <w:r>
        <w:rPr>
          <w:rFonts w:ascii="Abadi" w:hAnsi="Abadi" w:cs="ArialMT"/>
          <w:sz w:val="21"/>
          <w:szCs w:val="21"/>
        </w:rPr>
        <w:t xml:space="preserve"> </w:t>
      </w:r>
      <w:r w:rsidRPr="00A71292">
        <w:rPr>
          <w:rFonts w:ascii="Abadi" w:hAnsi="Abadi" w:cs="ArialMT"/>
          <w:sz w:val="21"/>
          <w:szCs w:val="21"/>
        </w:rPr>
        <w:t>prescripción tan corte de su derecho a heredar. En ese tenor, la Convención</w:t>
      </w:r>
      <w:r>
        <w:rPr>
          <w:rFonts w:ascii="Abadi" w:hAnsi="Abadi" w:cs="ArialMT"/>
          <w:sz w:val="21"/>
          <w:szCs w:val="21"/>
        </w:rPr>
        <w:t xml:space="preserve"> </w:t>
      </w:r>
      <w:r w:rsidRPr="00A71292">
        <w:rPr>
          <w:rFonts w:ascii="Abadi" w:hAnsi="Abadi" w:cs="ArialMT"/>
          <w:sz w:val="21"/>
          <w:szCs w:val="21"/>
        </w:rPr>
        <w:t>ya referida, señala que, entre otros compromisos, en favor de la niñez, los</w:t>
      </w:r>
    </w:p>
    <w:p w14:paraId="3830D9F5"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estados parte se comprometen a:</w:t>
      </w:r>
    </w:p>
    <w:p w14:paraId="45265F8D" w14:textId="77777777" w:rsidR="003B3767" w:rsidRPr="00A71292" w:rsidRDefault="003B3767" w:rsidP="003B3767">
      <w:pPr>
        <w:autoSpaceDE w:val="0"/>
        <w:autoSpaceDN w:val="0"/>
        <w:adjustRightInd w:val="0"/>
        <w:jc w:val="both"/>
        <w:rPr>
          <w:rFonts w:ascii="Abadi" w:hAnsi="Abadi" w:cs="ArialMT"/>
          <w:sz w:val="21"/>
          <w:szCs w:val="21"/>
        </w:rPr>
      </w:pPr>
    </w:p>
    <w:p w14:paraId="6C2C6C00" w14:textId="77777777" w:rsidR="003B3767" w:rsidRPr="00A71292" w:rsidRDefault="003B3767" w:rsidP="003B3767">
      <w:pPr>
        <w:jc w:val="both"/>
        <w:rPr>
          <w:rFonts w:ascii="Abadi" w:hAnsi="Abadi" w:cs="Arial-ItalicMT"/>
          <w:i/>
          <w:iCs/>
          <w:sz w:val="21"/>
          <w:szCs w:val="21"/>
        </w:rPr>
      </w:pPr>
      <w:r w:rsidRPr="00A71292">
        <w:rPr>
          <w:rFonts w:ascii="Abadi" w:hAnsi="Abadi" w:cs="Arial-BoldItalicMT"/>
          <w:b/>
          <w:bCs/>
          <w:i/>
          <w:iCs/>
          <w:sz w:val="21"/>
          <w:szCs w:val="21"/>
        </w:rPr>
        <w:t>Artículo 3</w:t>
      </w:r>
      <w:r w:rsidRPr="00A71292">
        <w:rPr>
          <w:rFonts w:ascii="Abadi" w:hAnsi="Abadi" w:cs="Arial-ItalicMT"/>
          <w:i/>
          <w:iCs/>
          <w:sz w:val="21"/>
          <w:szCs w:val="21"/>
        </w:rPr>
        <w:t>.</w:t>
      </w:r>
    </w:p>
    <w:p w14:paraId="7F383CA6" w14:textId="77777777" w:rsidR="003B3767" w:rsidRPr="00A71292" w:rsidRDefault="003B3767" w:rsidP="003B3767">
      <w:pPr>
        <w:autoSpaceDE w:val="0"/>
        <w:autoSpaceDN w:val="0"/>
        <w:adjustRightInd w:val="0"/>
        <w:jc w:val="both"/>
        <w:rPr>
          <w:rFonts w:ascii="Abadi" w:hAnsi="Abadi" w:cs="Arial-ItalicMT"/>
          <w:i/>
          <w:iCs/>
          <w:sz w:val="21"/>
          <w:szCs w:val="21"/>
        </w:rPr>
      </w:pPr>
      <w:r w:rsidRPr="00A71292">
        <w:rPr>
          <w:rFonts w:ascii="Abadi" w:hAnsi="Abadi" w:cs="Arial-ItalicMT"/>
          <w:i/>
          <w:iCs/>
          <w:sz w:val="21"/>
          <w:szCs w:val="21"/>
        </w:rPr>
        <w:t>Que en todas las medidas concernientes a los niños que tomen</w:t>
      </w:r>
      <w:r>
        <w:rPr>
          <w:rFonts w:ascii="Abadi" w:hAnsi="Abadi" w:cs="Arial-ItalicMT"/>
          <w:i/>
          <w:iCs/>
          <w:sz w:val="21"/>
          <w:szCs w:val="21"/>
        </w:rPr>
        <w:t xml:space="preserve"> </w:t>
      </w:r>
      <w:r w:rsidRPr="00A71292">
        <w:rPr>
          <w:rFonts w:ascii="Abadi" w:hAnsi="Abadi" w:cs="Arial-ItalicMT"/>
          <w:i/>
          <w:iCs/>
          <w:sz w:val="21"/>
          <w:szCs w:val="21"/>
        </w:rPr>
        <w:t>las instituciones públicas o privadas de bienestar social, los</w:t>
      </w:r>
      <w:r>
        <w:rPr>
          <w:rFonts w:ascii="Abadi" w:hAnsi="Abadi" w:cs="Arial-ItalicMT"/>
          <w:i/>
          <w:iCs/>
          <w:sz w:val="21"/>
          <w:szCs w:val="21"/>
        </w:rPr>
        <w:t xml:space="preserve"> </w:t>
      </w:r>
      <w:r w:rsidRPr="00A71292">
        <w:rPr>
          <w:rFonts w:ascii="Abadi" w:hAnsi="Abadi" w:cs="Arial-ItalicMT"/>
          <w:i/>
          <w:iCs/>
          <w:sz w:val="21"/>
          <w:szCs w:val="21"/>
        </w:rPr>
        <w:t>tribunales, autoridades administrativas o los órganos</w:t>
      </w:r>
      <w:r>
        <w:rPr>
          <w:rFonts w:ascii="Abadi" w:hAnsi="Abadi" w:cs="Arial-ItalicMT"/>
          <w:i/>
          <w:iCs/>
          <w:sz w:val="21"/>
          <w:szCs w:val="21"/>
        </w:rPr>
        <w:t xml:space="preserve"> </w:t>
      </w:r>
      <w:r w:rsidRPr="00A71292">
        <w:rPr>
          <w:rFonts w:ascii="Abadi" w:hAnsi="Abadi" w:cs="Arial-ItalicMT"/>
          <w:i/>
          <w:iCs/>
          <w:sz w:val="21"/>
          <w:szCs w:val="21"/>
        </w:rPr>
        <w:t>legislativos, una consideración primordial que se atenderá el</w:t>
      </w:r>
      <w:r>
        <w:rPr>
          <w:rFonts w:ascii="Abadi" w:hAnsi="Abadi" w:cs="Arial-ItalicMT"/>
          <w:i/>
          <w:iCs/>
          <w:sz w:val="21"/>
          <w:szCs w:val="21"/>
        </w:rPr>
        <w:t xml:space="preserve"> </w:t>
      </w:r>
      <w:r w:rsidRPr="00A71292">
        <w:rPr>
          <w:rFonts w:ascii="Abadi" w:hAnsi="Abadi" w:cs="Arial-ItalicMT"/>
          <w:i/>
          <w:iCs/>
          <w:sz w:val="21"/>
          <w:szCs w:val="21"/>
        </w:rPr>
        <w:t>interés superior del niño; y</w:t>
      </w:r>
    </w:p>
    <w:p w14:paraId="2B7BA7DD" w14:textId="77777777" w:rsidR="003B3767" w:rsidRDefault="003B3767" w:rsidP="003B3767">
      <w:pPr>
        <w:autoSpaceDE w:val="0"/>
        <w:autoSpaceDN w:val="0"/>
        <w:adjustRightInd w:val="0"/>
        <w:jc w:val="both"/>
        <w:rPr>
          <w:rFonts w:ascii="Abadi" w:hAnsi="Abadi" w:cs="Arial-BoldItalicMT"/>
          <w:b/>
          <w:bCs/>
          <w:i/>
          <w:iCs/>
          <w:sz w:val="21"/>
          <w:szCs w:val="21"/>
        </w:rPr>
      </w:pPr>
    </w:p>
    <w:p w14:paraId="41E390FE" w14:textId="77777777" w:rsidR="003B3767" w:rsidRDefault="003B3767" w:rsidP="003B3767">
      <w:pPr>
        <w:autoSpaceDE w:val="0"/>
        <w:autoSpaceDN w:val="0"/>
        <w:adjustRightInd w:val="0"/>
        <w:jc w:val="both"/>
        <w:rPr>
          <w:rFonts w:ascii="Abadi" w:hAnsi="Abadi" w:cs="Arial-BoldItalicMT"/>
          <w:b/>
          <w:bCs/>
          <w:i/>
          <w:iCs/>
          <w:sz w:val="21"/>
          <w:szCs w:val="21"/>
        </w:rPr>
      </w:pPr>
      <w:r w:rsidRPr="00A71292">
        <w:rPr>
          <w:rFonts w:ascii="Abadi" w:hAnsi="Abadi" w:cs="Arial-BoldItalicMT"/>
          <w:b/>
          <w:bCs/>
          <w:i/>
          <w:iCs/>
          <w:sz w:val="21"/>
          <w:szCs w:val="21"/>
        </w:rPr>
        <w:t>Articulo 19</w:t>
      </w:r>
    </w:p>
    <w:p w14:paraId="523E3398" w14:textId="77777777" w:rsidR="003B3767" w:rsidRPr="00A71292" w:rsidRDefault="003B3767" w:rsidP="003B3767">
      <w:pPr>
        <w:autoSpaceDE w:val="0"/>
        <w:autoSpaceDN w:val="0"/>
        <w:adjustRightInd w:val="0"/>
        <w:jc w:val="both"/>
        <w:rPr>
          <w:rFonts w:ascii="Abadi" w:hAnsi="Abadi" w:cs="Arial-BoldItalicMT"/>
          <w:b/>
          <w:bCs/>
          <w:i/>
          <w:iCs/>
          <w:sz w:val="21"/>
          <w:szCs w:val="21"/>
        </w:rPr>
      </w:pPr>
    </w:p>
    <w:p w14:paraId="374E2776" w14:textId="33CC8941" w:rsidR="003B3767" w:rsidRPr="00C83EDB" w:rsidRDefault="003B3767" w:rsidP="005C6EBB">
      <w:pPr>
        <w:pStyle w:val="Prrafodelista"/>
        <w:numPr>
          <w:ilvl w:val="0"/>
          <w:numId w:val="10"/>
        </w:numPr>
        <w:autoSpaceDE w:val="0"/>
        <w:autoSpaceDN w:val="0"/>
        <w:adjustRightInd w:val="0"/>
        <w:contextualSpacing/>
        <w:jc w:val="both"/>
        <w:rPr>
          <w:rFonts w:ascii="Abadi" w:hAnsi="Abadi" w:cs="Arial-ItalicMT"/>
          <w:i/>
          <w:iCs/>
          <w:sz w:val="21"/>
          <w:szCs w:val="21"/>
        </w:rPr>
      </w:pPr>
      <w:r w:rsidRPr="00C83EDB">
        <w:rPr>
          <w:rFonts w:ascii="Abadi" w:hAnsi="Abadi" w:cs="Arial-ItalicMT"/>
          <w:i/>
          <w:iCs/>
          <w:sz w:val="21"/>
          <w:szCs w:val="21"/>
        </w:rPr>
        <w:t xml:space="preserve">Los </w:t>
      </w:r>
      <w:r w:rsidR="00F72934" w:rsidRPr="00C83EDB">
        <w:rPr>
          <w:rFonts w:ascii="Abadi" w:hAnsi="Abadi" w:cs="Arial-ItalicMT"/>
          <w:i/>
          <w:iCs/>
          <w:sz w:val="21"/>
          <w:szCs w:val="21"/>
        </w:rPr>
        <w:t>Estados Parte</w:t>
      </w:r>
      <w:r w:rsidRPr="00C83EDB">
        <w:rPr>
          <w:rFonts w:ascii="Abadi" w:hAnsi="Abadi" w:cs="Arial-ItalicMT"/>
          <w:i/>
          <w:iCs/>
          <w:sz w:val="21"/>
          <w:szCs w:val="21"/>
        </w:rPr>
        <w:t xml:space="preserve"> adoptarán todas las medidas legislativas, administrativas, sociales y educativas apropiadas para proteger al niño </w:t>
      </w:r>
      <w:r w:rsidRPr="00C83EDB">
        <w:rPr>
          <w:rFonts w:ascii="Abadi" w:hAnsi="Abadi" w:cs="Arial-BoldItalicMT"/>
          <w:b/>
          <w:bCs/>
          <w:i/>
          <w:iCs/>
          <w:sz w:val="21"/>
          <w:szCs w:val="21"/>
        </w:rPr>
        <w:t xml:space="preserve">contra toda forma de perjuicio </w:t>
      </w:r>
      <w:r w:rsidRPr="00C83EDB">
        <w:rPr>
          <w:rFonts w:ascii="Abadi" w:hAnsi="Abadi" w:cs="Arial-ItalicMT"/>
          <w:i/>
          <w:iCs/>
          <w:sz w:val="21"/>
          <w:szCs w:val="21"/>
        </w:rPr>
        <w:t>o abuso físico o mental, descuido o trato negligente, malos tratos o explotación, incluido el abuso sexual, mientras el niño se encuentre bajo la custodiade los padres, de un representante legal o de cualquier otra persona que lo tenga a su cargo.</w:t>
      </w:r>
    </w:p>
    <w:p w14:paraId="4C4C9A28" w14:textId="77777777" w:rsidR="003B3767" w:rsidRPr="00A71292" w:rsidRDefault="003B3767" w:rsidP="003B3767">
      <w:pPr>
        <w:autoSpaceDE w:val="0"/>
        <w:autoSpaceDN w:val="0"/>
        <w:adjustRightInd w:val="0"/>
        <w:ind w:left="284"/>
        <w:jc w:val="both"/>
        <w:rPr>
          <w:rFonts w:ascii="Abadi" w:hAnsi="Abadi" w:cs="Arial-ItalicMT"/>
          <w:i/>
          <w:iCs/>
          <w:sz w:val="21"/>
          <w:szCs w:val="21"/>
        </w:rPr>
      </w:pPr>
    </w:p>
    <w:p w14:paraId="31C2C487" w14:textId="77777777" w:rsidR="003B3767" w:rsidRPr="00C83EDB" w:rsidRDefault="003B3767" w:rsidP="005C6EBB">
      <w:pPr>
        <w:pStyle w:val="Prrafodelista"/>
        <w:numPr>
          <w:ilvl w:val="0"/>
          <w:numId w:val="10"/>
        </w:numPr>
        <w:autoSpaceDE w:val="0"/>
        <w:autoSpaceDN w:val="0"/>
        <w:adjustRightInd w:val="0"/>
        <w:contextualSpacing/>
        <w:jc w:val="both"/>
        <w:rPr>
          <w:rFonts w:ascii="Abadi" w:hAnsi="Abadi" w:cs="Arial-ItalicMT"/>
          <w:i/>
          <w:iCs/>
          <w:sz w:val="21"/>
          <w:szCs w:val="21"/>
        </w:rPr>
      </w:pPr>
      <w:r w:rsidRPr="00C83EDB">
        <w:rPr>
          <w:rFonts w:ascii="Abadi" w:hAnsi="Abadi" w:cs="Arial-ItalicMT"/>
          <w:i/>
          <w:iCs/>
          <w:sz w:val="21"/>
          <w:szCs w:val="21"/>
        </w:rPr>
        <w:t>Esas medidas de protección deberían comprender, según corresponda, procedimientos eficaces para el establecimiento de programas sociales con objeto de proporcionar la asistencia necesaria al niño y a quienes cuidan de él, así como para otras formas de prevención y para la identificación, notificación, remisión a una institución, investigación, tratamiento y observación ulterior de los casos antes descritos de malos tratos al niño y, según corresponda, la intervención judicial.</w:t>
      </w:r>
    </w:p>
    <w:p w14:paraId="17FA3A46" w14:textId="77777777" w:rsidR="003B3767" w:rsidRPr="00A71292" w:rsidRDefault="003B3767" w:rsidP="003B3767">
      <w:pPr>
        <w:autoSpaceDE w:val="0"/>
        <w:autoSpaceDN w:val="0"/>
        <w:adjustRightInd w:val="0"/>
        <w:jc w:val="both"/>
        <w:rPr>
          <w:rFonts w:ascii="Abadi" w:hAnsi="Abadi" w:cs="Arial-ItalicMT"/>
          <w:i/>
          <w:iCs/>
          <w:sz w:val="21"/>
          <w:szCs w:val="21"/>
        </w:rPr>
      </w:pPr>
    </w:p>
    <w:p w14:paraId="759A50FD"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El interés superior de la niñez obliga a que esta disposición sea modificada</w:t>
      </w:r>
      <w:r>
        <w:rPr>
          <w:rFonts w:ascii="Abadi" w:hAnsi="Abadi" w:cs="ArialMT"/>
          <w:sz w:val="21"/>
          <w:szCs w:val="21"/>
        </w:rPr>
        <w:t xml:space="preserve"> </w:t>
      </w:r>
      <w:r w:rsidRPr="00A71292">
        <w:rPr>
          <w:rFonts w:ascii="Abadi" w:hAnsi="Abadi" w:cs="ArialMT"/>
          <w:sz w:val="21"/>
          <w:szCs w:val="21"/>
        </w:rPr>
        <w:t>en su beneficio a afecto de garantizar su derecho humano a heredar, a efecto</w:t>
      </w:r>
      <w:r>
        <w:rPr>
          <w:rFonts w:ascii="Abadi" w:hAnsi="Abadi" w:cs="ArialMT"/>
          <w:sz w:val="21"/>
          <w:szCs w:val="21"/>
        </w:rPr>
        <w:t xml:space="preserve"> </w:t>
      </w:r>
      <w:r w:rsidRPr="00A71292">
        <w:rPr>
          <w:rFonts w:ascii="Abadi" w:hAnsi="Abadi" w:cs="ArialMT"/>
          <w:sz w:val="21"/>
          <w:szCs w:val="21"/>
        </w:rPr>
        <w:t>de que en tratándose de menores de 18 años, a los que se considera niños,</w:t>
      </w:r>
      <w:r>
        <w:rPr>
          <w:rFonts w:ascii="Abadi" w:hAnsi="Abadi" w:cs="ArialMT"/>
          <w:sz w:val="21"/>
          <w:szCs w:val="21"/>
        </w:rPr>
        <w:t xml:space="preserve"> </w:t>
      </w:r>
      <w:r w:rsidRPr="00A71292">
        <w:rPr>
          <w:rFonts w:ascii="Abadi" w:hAnsi="Abadi" w:cs="ArialMT"/>
          <w:sz w:val="21"/>
          <w:szCs w:val="21"/>
        </w:rPr>
        <w:t>niñas y adolescentes conforme a los instrumentos internacionales, su</w:t>
      </w:r>
    </w:p>
    <w:p w14:paraId="3C21F7A4"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derecho a reclamar herencia se sujeta al término de prescripción del derecho</w:t>
      </w:r>
      <w:r>
        <w:rPr>
          <w:rFonts w:ascii="Abadi" w:hAnsi="Abadi" w:cs="ArialMT"/>
          <w:sz w:val="21"/>
          <w:szCs w:val="21"/>
        </w:rPr>
        <w:t xml:space="preserve"> </w:t>
      </w:r>
      <w:r w:rsidRPr="00A71292">
        <w:rPr>
          <w:rFonts w:ascii="Abadi" w:hAnsi="Abadi" w:cs="ArialMT"/>
          <w:sz w:val="21"/>
          <w:szCs w:val="21"/>
        </w:rPr>
        <w:t>de petición de herencia normal, que es de diez años, a partir de la declaración</w:t>
      </w:r>
      <w:r>
        <w:rPr>
          <w:rFonts w:ascii="Abadi" w:hAnsi="Abadi" w:cs="ArialMT"/>
          <w:sz w:val="21"/>
          <w:szCs w:val="21"/>
        </w:rPr>
        <w:t xml:space="preserve"> </w:t>
      </w:r>
      <w:r w:rsidRPr="00A71292">
        <w:rPr>
          <w:rFonts w:ascii="Abadi" w:hAnsi="Abadi" w:cs="ArialMT"/>
          <w:sz w:val="21"/>
          <w:szCs w:val="21"/>
        </w:rPr>
        <w:t>de herederos y que el hecho de cumplir la mayoría de edad, sin que haya</w:t>
      </w:r>
      <w:r>
        <w:rPr>
          <w:rFonts w:ascii="Abadi" w:hAnsi="Abadi" w:cs="ArialMT"/>
          <w:sz w:val="21"/>
          <w:szCs w:val="21"/>
        </w:rPr>
        <w:t xml:space="preserve"> </w:t>
      </w:r>
      <w:r w:rsidRPr="00A71292">
        <w:rPr>
          <w:rFonts w:ascii="Abadi" w:hAnsi="Abadi" w:cs="ArialMT"/>
          <w:sz w:val="21"/>
          <w:szCs w:val="21"/>
        </w:rPr>
        <w:t>transcurrido el término de la prescripción la puedan hacer valer.</w:t>
      </w:r>
    </w:p>
    <w:p w14:paraId="7E26209F" w14:textId="77777777" w:rsidR="003B3767" w:rsidRPr="00A71292" w:rsidRDefault="003B3767" w:rsidP="003B3767">
      <w:pPr>
        <w:autoSpaceDE w:val="0"/>
        <w:autoSpaceDN w:val="0"/>
        <w:adjustRightInd w:val="0"/>
        <w:jc w:val="both"/>
        <w:rPr>
          <w:rFonts w:ascii="Abadi" w:hAnsi="Abadi" w:cs="ArialMT"/>
          <w:sz w:val="21"/>
          <w:szCs w:val="21"/>
        </w:rPr>
      </w:pPr>
    </w:p>
    <w:p w14:paraId="17BE6FFF"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Es por anterior que se propone la reforma al artículo 2890 del Código Civil</w:t>
      </w:r>
      <w:r>
        <w:rPr>
          <w:rFonts w:ascii="Abadi" w:hAnsi="Abadi" w:cs="ArialMT"/>
          <w:sz w:val="21"/>
          <w:szCs w:val="21"/>
        </w:rPr>
        <w:t xml:space="preserve"> </w:t>
      </w:r>
      <w:r w:rsidRPr="00A71292">
        <w:rPr>
          <w:rFonts w:ascii="Abadi" w:hAnsi="Abadi" w:cs="ArialMT"/>
          <w:sz w:val="21"/>
          <w:szCs w:val="21"/>
        </w:rPr>
        <w:t>para el Estado de Guanajuato, para quedar como sigue:</w:t>
      </w:r>
    </w:p>
    <w:p w14:paraId="7FDB4367" w14:textId="77777777" w:rsidR="003B3767" w:rsidRDefault="003B3767" w:rsidP="003B3767">
      <w:pPr>
        <w:autoSpaceDE w:val="0"/>
        <w:autoSpaceDN w:val="0"/>
        <w:adjustRightInd w:val="0"/>
        <w:jc w:val="both"/>
        <w:rPr>
          <w:rFonts w:ascii="Abadi" w:hAnsi="Abadi" w:cs="Arial-ItalicMT"/>
          <w:i/>
          <w:iCs/>
          <w:sz w:val="21"/>
          <w:szCs w:val="21"/>
        </w:rPr>
      </w:pPr>
    </w:p>
    <w:p w14:paraId="19B5C859" w14:textId="77777777" w:rsidR="003B3767" w:rsidRPr="00A71292" w:rsidRDefault="003B3767" w:rsidP="003B3767">
      <w:pPr>
        <w:autoSpaceDE w:val="0"/>
        <w:autoSpaceDN w:val="0"/>
        <w:adjustRightInd w:val="0"/>
        <w:jc w:val="both"/>
        <w:rPr>
          <w:rFonts w:ascii="Abadi" w:hAnsi="Abadi" w:cs="Arial-ItalicMT"/>
          <w:i/>
          <w:iCs/>
          <w:sz w:val="21"/>
          <w:szCs w:val="21"/>
        </w:rPr>
      </w:pPr>
      <w:r w:rsidRPr="00A71292">
        <w:rPr>
          <w:rFonts w:ascii="Abadi" w:hAnsi="Abadi" w:cs="Arial-ItalicMT"/>
          <w:i/>
          <w:iCs/>
          <w:sz w:val="21"/>
          <w:szCs w:val="21"/>
        </w:rPr>
        <w:t>“</w:t>
      </w:r>
      <w:r w:rsidRPr="00A71292">
        <w:rPr>
          <w:rFonts w:ascii="Abadi" w:hAnsi="Abadi" w:cs="Arial-BoldItalicMT"/>
          <w:b/>
          <w:bCs/>
          <w:i/>
          <w:iCs/>
          <w:sz w:val="21"/>
          <w:szCs w:val="21"/>
        </w:rPr>
        <w:t>Art. 2890</w:t>
      </w:r>
      <w:r w:rsidRPr="00A71292">
        <w:rPr>
          <w:rFonts w:ascii="Abadi" w:hAnsi="Abadi" w:cs="Arial-ItalicMT"/>
          <w:i/>
          <w:iCs/>
          <w:sz w:val="21"/>
          <w:szCs w:val="21"/>
        </w:rPr>
        <w:t>. El derecho de…….</w:t>
      </w:r>
    </w:p>
    <w:p w14:paraId="6DD3B09B" w14:textId="77777777" w:rsidR="003B3767" w:rsidRPr="00A71292" w:rsidRDefault="003B3767" w:rsidP="003B3767">
      <w:pPr>
        <w:jc w:val="both"/>
        <w:rPr>
          <w:rFonts w:ascii="Abadi" w:hAnsi="Abadi" w:cs="Arial-ItalicMT"/>
          <w:i/>
          <w:iCs/>
          <w:sz w:val="21"/>
          <w:szCs w:val="21"/>
        </w:rPr>
      </w:pPr>
      <w:r w:rsidRPr="00A71292">
        <w:rPr>
          <w:rFonts w:ascii="Abadi" w:hAnsi="Abadi" w:cs="Arial-ItalicMT"/>
          <w:i/>
          <w:iCs/>
          <w:sz w:val="21"/>
          <w:szCs w:val="21"/>
        </w:rPr>
        <w:t>La aceptación….</w:t>
      </w:r>
    </w:p>
    <w:p w14:paraId="6D2B25F0" w14:textId="77777777" w:rsidR="003B3767" w:rsidRPr="00A71292" w:rsidRDefault="003B3767" w:rsidP="003B3767">
      <w:pPr>
        <w:jc w:val="both"/>
        <w:rPr>
          <w:rFonts w:ascii="Abadi" w:hAnsi="Abadi" w:cs="Arial-ItalicMT"/>
          <w:i/>
          <w:iCs/>
          <w:sz w:val="21"/>
          <w:szCs w:val="21"/>
        </w:rPr>
      </w:pPr>
    </w:p>
    <w:p w14:paraId="2B5B5D4D" w14:textId="77777777" w:rsidR="003B3767" w:rsidRPr="00A71292" w:rsidRDefault="003B3767" w:rsidP="003B3767">
      <w:pPr>
        <w:autoSpaceDE w:val="0"/>
        <w:autoSpaceDN w:val="0"/>
        <w:adjustRightInd w:val="0"/>
        <w:jc w:val="both"/>
        <w:rPr>
          <w:rFonts w:ascii="Abadi" w:hAnsi="Abadi" w:cs="Arial-BoldItalicMT"/>
          <w:b/>
          <w:bCs/>
          <w:i/>
          <w:iCs/>
          <w:sz w:val="21"/>
          <w:szCs w:val="21"/>
        </w:rPr>
      </w:pPr>
      <w:r w:rsidRPr="00A71292">
        <w:rPr>
          <w:rFonts w:ascii="Abadi" w:hAnsi="Abadi" w:cs="Arial-BoldItalicMT"/>
          <w:b/>
          <w:bCs/>
          <w:i/>
          <w:iCs/>
          <w:sz w:val="21"/>
          <w:szCs w:val="21"/>
        </w:rPr>
        <w:t>El derecho de reclamar la herencia en los casos en que suceda la</w:t>
      </w:r>
      <w:r>
        <w:rPr>
          <w:rFonts w:ascii="Abadi" w:hAnsi="Abadi" w:cs="Arial-BoldItalicMT"/>
          <w:b/>
          <w:bCs/>
          <w:i/>
          <w:iCs/>
          <w:sz w:val="21"/>
          <w:szCs w:val="21"/>
        </w:rPr>
        <w:t xml:space="preserve"> </w:t>
      </w:r>
      <w:r w:rsidRPr="00A71292">
        <w:rPr>
          <w:rFonts w:ascii="Abadi" w:hAnsi="Abadi" w:cs="Arial-BoldItalicMT"/>
          <w:b/>
          <w:bCs/>
          <w:i/>
          <w:iCs/>
          <w:sz w:val="21"/>
          <w:szCs w:val="21"/>
        </w:rPr>
        <w:t>Universidad de Guanajuato prescribe en el término de cinco años,</w:t>
      </w:r>
      <w:r>
        <w:rPr>
          <w:rFonts w:ascii="Abadi" w:hAnsi="Abadi" w:cs="Arial-BoldItalicMT"/>
          <w:b/>
          <w:bCs/>
          <w:i/>
          <w:iCs/>
          <w:sz w:val="21"/>
          <w:szCs w:val="21"/>
        </w:rPr>
        <w:t xml:space="preserve"> </w:t>
      </w:r>
      <w:r w:rsidRPr="00A71292">
        <w:rPr>
          <w:rFonts w:ascii="Abadi" w:hAnsi="Abadi" w:cs="Arial-BoldItalicMT"/>
          <w:b/>
          <w:bCs/>
          <w:i/>
          <w:iCs/>
          <w:sz w:val="21"/>
          <w:szCs w:val="21"/>
        </w:rPr>
        <w:t>contados a partir de la declaración de herederos.</w:t>
      </w:r>
    </w:p>
    <w:p w14:paraId="6B172936" w14:textId="77777777" w:rsidR="003B3767" w:rsidRDefault="003B3767" w:rsidP="003B3767">
      <w:pPr>
        <w:autoSpaceDE w:val="0"/>
        <w:autoSpaceDN w:val="0"/>
        <w:adjustRightInd w:val="0"/>
        <w:jc w:val="both"/>
        <w:rPr>
          <w:rFonts w:ascii="Abadi" w:hAnsi="Abadi" w:cs="Arial-BoldItalicMT"/>
          <w:b/>
          <w:bCs/>
          <w:i/>
          <w:iCs/>
          <w:sz w:val="21"/>
          <w:szCs w:val="21"/>
        </w:rPr>
      </w:pPr>
    </w:p>
    <w:p w14:paraId="7294FF70" w14:textId="77777777" w:rsidR="003B3767" w:rsidRDefault="003B3767" w:rsidP="003B3767">
      <w:pPr>
        <w:autoSpaceDE w:val="0"/>
        <w:autoSpaceDN w:val="0"/>
        <w:adjustRightInd w:val="0"/>
        <w:jc w:val="both"/>
        <w:rPr>
          <w:rFonts w:ascii="Abadi" w:hAnsi="Abadi" w:cs="Arial-BoldItalicMT"/>
          <w:b/>
          <w:bCs/>
          <w:i/>
          <w:iCs/>
          <w:sz w:val="21"/>
          <w:szCs w:val="21"/>
        </w:rPr>
      </w:pPr>
      <w:r w:rsidRPr="00A71292">
        <w:rPr>
          <w:rFonts w:ascii="Abadi" w:hAnsi="Abadi" w:cs="Arial-BoldItalicMT"/>
          <w:b/>
          <w:bCs/>
          <w:i/>
          <w:iCs/>
          <w:sz w:val="21"/>
          <w:szCs w:val="21"/>
        </w:rPr>
        <w:t>En el caso del párrafo anterior, cuando</w:t>
      </w:r>
      <w:r>
        <w:rPr>
          <w:rFonts w:ascii="Abadi" w:hAnsi="Abadi" w:cs="Arial-BoldItalicMT"/>
          <w:b/>
          <w:bCs/>
          <w:i/>
          <w:iCs/>
          <w:sz w:val="21"/>
          <w:szCs w:val="21"/>
        </w:rPr>
        <w:t xml:space="preserve"> </w:t>
      </w:r>
      <w:r w:rsidRPr="00A71292">
        <w:rPr>
          <w:rFonts w:ascii="Abadi" w:hAnsi="Abadi" w:cs="Arial-BoldItalicMT"/>
          <w:b/>
          <w:bCs/>
          <w:i/>
          <w:iCs/>
          <w:sz w:val="21"/>
          <w:szCs w:val="21"/>
        </w:rPr>
        <w:t>se trate de menores de 18 años</w:t>
      </w:r>
      <w:r>
        <w:rPr>
          <w:rFonts w:ascii="Abadi" w:hAnsi="Abadi" w:cs="Arial-BoldItalicMT"/>
          <w:b/>
          <w:bCs/>
          <w:i/>
          <w:iCs/>
          <w:sz w:val="21"/>
          <w:szCs w:val="21"/>
        </w:rPr>
        <w:t xml:space="preserve"> </w:t>
      </w:r>
      <w:r w:rsidRPr="00A71292">
        <w:rPr>
          <w:rFonts w:ascii="Abadi" w:hAnsi="Abadi" w:cs="Arial-BoldItalicMT"/>
          <w:b/>
          <w:bCs/>
          <w:i/>
          <w:iCs/>
          <w:sz w:val="21"/>
          <w:szCs w:val="21"/>
        </w:rPr>
        <w:t>en el momento de la muerte del autor de la sucesión, prescribe en el</w:t>
      </w:r>
      <w:r>
        <w:rPr>
          <w:rFonts w:ascii="Abadi" w:hAnsi="Abadi" w:cs="Arial-BoldItalicMT"/>
          <w:b/>
          <w:bCs/>
          <w:i/>
          <w:iCs/>
          <w:sz w:val="21"/>
          <w:szCs w:val="21"/>
        </w:rPr>
        <w:t xml:space="preserve"> </w:t>
      </w:r>
      <w:r w:rsidRPr="00A71292">
        <w:rPr>
          <w:rFonts w:ascii="Abadi" w:hAnsi="Abadi" w:cs="Arial-BoldItalicMT"/>
          <w:b/>
          <w:bCs/>
          <w:i/>
          <w:iCs/>
          <w:sz w:val="21"/>
          <w:szCs w:val="21"/>
        </w:rPr>
        <w:t>término de diez años a partir de la declaración de herederos, con</w:t>
      </w:r>
      <w:r>
        <w:rPr>
          <w:rFonts w:ascii="Abadi" w:hAnsi="Abadi" w:cs="Arial-BoldItalicMT"/>
          <w:b/>
          <w:bCs/>
          <w:i/>
          <w:iCs/>
          <w:sz w:val="21"/>
          <w:szCs w:val="21"/>
        </w:rPr>
        <w:t xml:space="preserve"> </w:t>
      </w:r>
      <w:r w:rsidRPr="00A71292">
        <w:rPr>
          <w:rFonts w:ascii="Abadi" w:hAnsi="Abadi" w:cs="Arial-BoldItalicMT"/>
          <w:b/>
          <w:bCs/>
          <w:i/>
          <w:iCs/>
          <w:sz w:val="21"/>
          <w:szCs w:val="21"/>
        </w:rPr>
        <w:t>independencia de que adquieran la mayoría de edad”.</w:t>
      </w:r>
    </w:p>
    <w:p w14:paraId="59187195" w14:textId="77777777" w:rsidR="003B3767" w:rsidRPr="00A71292" w:rsidRDefault="003B3767" w:rsidP="003B3767">
      <w:pPr>
        <w:autoSpaceDE w:val="0"/>
        <w:autoSpaceDN w:val="0"/>
        <w:adjustRightInd w:val="0"/>
        <w:jc w:val="both"/>
        <w:rPr>
          <w:rFonts w:ascii="Abadi" w:hAnsi="Abadi" w:cs="Arial-BoldItalicMT"/>
          <w:b/>
          <w:bCs/>
          <w:i/>
          <w:iCs/>
          <w:sz w:val="21"/>
          <w:szCs w:val="21"/>
        </w:rPr>
      </w:pPr>
    </w:p>
    <w:p w14:paraId="19CA51C0"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De ser aprobada, la presente iniciativa, tendrá los siguientes impactos, de</w:t>
      </w:r>
      <w:r>
        <w:rPr>
          <w:rFonts w:ascii="Abadi" w:hAnsi="Abadi" w:cs="ArialMT"/>
          <w:sz w:val="21"/>
          <w:szCs w:val="21"/>
        </w:rPr>
        <w:t xml:space="preserve"> </w:t>
      </w:r>
      <w:r w:rsidRPr="00A71292">
        <w:rPr>
          <w:rFonts w:ascii="Abadi" w:hAnsi="Abadi" w:cs="ArialMT"/>
          <w:sz w:val="21"/>
          <w:szCs w:val="21"/>
        </w:rPr>
        <w:t>conformidad con el artículo 209 de la Ley Orgánica del Poder Legislativo del</w:t>
      </w:r>
      <w:r>
        <w:rPr>
          <w:rFonts w:ascii="Abadi" w:hAnsi="Abadi" w:cs="ArialMT"/>
          <w:sz w:val="21"/>
          <w:szCs w:val="21"/>
        </w:rPr>
        <w:t xml:space="preserve"> </w:t>
      </w:r>
      <w:r w:rsidRPr="00A71292">
        <w:rPr>
          <w:rFonts w:ascii="Abadi" w:hAnsi="Abadi" w:cs="ArialMT"/>
          <w:sz w:val="21"/>
          <w:szCs w:val="21"/>
        </w:rPr>
        <w:t>Estado de Guanajuato:</w:t>
      </w:r>
    </w:p>
    <w:p w14:paraId="01AEE674" w14:textId="77777777" w:rsidR="003B3767" w:rsidRPr="00A71292" w:rsidRDefault="003B3767" w:rsidP="003B3767">
      <w:pPr>
        <w:autoSpaceDE w:val="0"/>
        <w:autoSpaceDN w:val="0"/>
        <w:adjustRightInd w:val="0"/>
        <w:jc w:val="both"/>
        <w:rPr>
          <w:rFonts w:ascii="Abadi" w:hAnsi="Abadi" w:cs="ArialMT"/>
          <w:sz w:val="21"/>
          <w:szCs w:val="21"/>
        </w:rPr>
      </w:pPr>
    </w:p>
    <w:p w14:paraId="2DCBB05B"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BoldMT"/>
          <w:b/>
          <w:bCs/>
          <w:sz w:val="21"/>
          <w:szCs w:val="21"/>
        </w:rPr>
        <w:t xml:space="preserve">I. Impacto jurídico: </w:t>
      </w:r>
      <w:r w:rsidRPr="00A71292">
        <w:rPr>
          <w:rFonts w:ascii="Abadi" w:hAnsi="Abadi" w:cs="ArialMT"/>
          <w:sz w:val="21"/>
          <w:szCs w:val="21"/>
        </w:rPr>
        <w:t>Se armoniza el Código Civil para el Estado de</w:t>
      </w:r>
      <w:r>
        <w:rPr>
          <w:rFonts w:ascii="Abadi" w:hAnsi="Abadi" w:cs="ArialMT"/>
          <w:sz w:val="21"/>
          <w:szCs w:val="21"/>
        </w:rPr>
        <w:t xml:space="preserve"> Guanajuato</w:t>
      </w:r>
      <w:r w:rsidRPr="00A71292">
        <w:rPr>
          <w:rFonts w:ascii="Abadi" w:hAnsi="Abadi" w:cs="ArialMT"/>
          <w:sz w:val="21"/>
          <w:szCs w:val="21"/>
        </w:rPr>
        <w:t>, con los instrumentos internacionales que hacen viable la</w:t>
      </w:r>
      <w:r>
        <w:rPr>
          <w:rFonts w:ascii="Abadi" w:hAnsi="Abadi" w:cs="ArialMT"/>
          <w:sz w:val="21"/>
          <w:szCs w:val="21"/>
        </w:rPr>
        <w:t xml:space="preserve"> </w:t>
      </w:r>
      <w:r w:rsidRPr="00A71292">
        <w:rPr>
          <w:rFonts w:ascii="Abadi" w:hAnsi="Abadi" w:cs="ArialMT"/>
          <w:sz w:val="21"/>
          <w:szCs w:val="21"/>
        </w:rPr>
        <w:t>protección de los derechos del niño a heredar conforme al principio del</w:t>
      </w:r>
      <w:r>
        <w:rPr>
          <w:rFonts w:ascii="Abadi" w:hAnsi="Abadi" w:cs="ArialMT"/>
          <w:sz w:val="21"/>
          <w:szCs w:val="21"/>
        </w:rPr>
        <w:t xml:space="preserve"> </w:t>
      </w:r>
      <w:r w:rsidRPr="00A71292">
        <w:rPr>
          <w:rFonts w:ascii="Abadi" w:hAnsi="Abadi" w:cs="ArialMT"/>
          <w:sz w:val="21"/>
          <w:szCs w:val="21"/>
        </w:rPr>
        <w:t>interés superior de la niñez.</w:t>
      </w:r>
    </w:p>
    <w:p w14:paraId="7A396016" w14:textId="77777777" w:rsidR="003B3767" w:rsidRPr="00A71292" w:rsidRDefault="003B3767" w:rsidP="003B3767">
      <w:pPr>
        <w:autoSpaceDE w:val="0"/>
        <w:autoSpaceDN w:val="0"/>
        <w:adjustRightInd w:val="0"/>
        <w:jc w:val="both"/>
        <w:rPr>
          <w:rFonts w:ascii="Abadi" w:hAnsi="Abadi" w:cs="ArialMT"/>
          <w:sz w:val="21"/>
          <w:szCs w:val="21"/>
        </w:rPr>
      </w:pPr>
    </w:p>
    <w:p w14:paraId="06281259"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Se conserva el derecho legal que la Universidad de Guanajuato tiene</w:t>
      </w:r>
      <w:r>
        <w:rPr>
          <w:rFonts w:ascii="Abadi" w:hAnsi="Abadi" w:cs="ArialMT"/>
          <w:sz w:val="21"/>
          <w:szCs w:val="21"/>
        </w:rPr>
        <w:t xml:space="preserve"> </w:t>
      </w:r>
      <w:r w:rsidRPr="00A71292">
        <w:rPr>
          <w:rFonts w:ascii="Abadi" w:hAnsi="Abadi" w:cs="ArialMT"/>
          <w:sz w:val="21"/>
          <w:szCs w:val="21"/>
        </w:rPr>
        <w:t>a heredar cuando no comparecen herederos o bien hay carencia de</w:t>
      </w:r>
      <w:r>
        <w:rPr>
          <w:rFonts w:ascii="Abadi" w:hAnsi="Abadi" w:cs="ArialMT"/>
          <w:sz w:val="21"/>
          <w:szCs w:val="21"/>
        </w:rPr>
        <w:t xml:space="preserve"> </w:t>
      </w:r>
      <w:r w:rsidRPr="00A71292">
        <w:rPr>
          <w:rFonts w:ascii="Abadi" w:hAnsi="Abadi" w:cs="ArialMT"/>
          <w:sz w:val="21"/>
          <w:szCs w:val="21"/>
        </w:rPr>
        <w:t>ellos, pero incrementando los términos por seguridad jurídica de los</w:t>
      </w:r>
      <w:r>
        <w:rPr>
          <w:rFonts w:ascii="Abadi" w:hAnsi="Abadi" w:cs="ArialMT"/>
          <w:sz w:val="21"/>
          <w:szCs w:val="21"/>
        </w:rPr>
        <w:t xml:space="preserve"> </w:t>
      </w:r>
      <w:r w:rsidRPr="00A71292">
        <w:rPr>
          <w:rFonts w:ascii="Abadi" w:hAnsi="Abadi" w:cs="ArialMT"/>
          <w:sz w:val="21"/>
          <w:szCs w:val="21"/>
        </w:rPr>
        <w:t>posibles herederos y sobre todo cuando se trata de menores de 18</w:t>
      </w:r>
      <w:r>
        <w:rPr>
          <w:rFonts w:ascii="Abadi" w:hAnsi="Abadi" w:cs="ArialMT"/>
          <w:sz w:val="21"/>
          <w:szCs w:val="21"/>
        </w:rPr>
        <w:t xml:space="preserve"> </w:t>
      </w:r>
      <w:r w:rsidRPr="00A71292">
        <w:rPr>
          <w:rFonts w:ascii="Abadi" w:hAnsi="Abadi" w:cs="ArialMT"/>
          <w:sz w:val="21"/>
          <w:szCs w:val="21"/>
        </w:rPr>
        <w:t>años.</w:t>
      </w:r>
    </w:p>
    <w:p w14:paraId="4A54989A" w14:textId="77777777" w:rsidR="003B3767" w:rsidRDefault="003B3767" w:rsidP="003B3767">
      <w:pPr>
        <w:autoSpaceDE w:val="0"/>
        <w:autoSpaceDN w:val="0"/>
        <w:adjustRightInd w:val="0"/>
        <w:jc w:val="both"/>
        <w:rPr>
          <w:rFonts w:ascii="Abadi" w:hAnsi="Abadi" w:cs="Arial-BoldMT"/>
          <w:b/>
          <w:bCs/>
          <w:sz w:val="21"/>
          <w:szCs w:val="21"/>
        </w:rPr>
      </w:pPr>
    </w:p>
    <w:p w14:paraId="2A6F3599"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BoldMT"/>
          <w:b/>
          <w:bCs/>
          <w:sz w:val="21"/>
          <w:szCs w:val="21"/>
        </w:rPr>
        <w:t xml:space="preserve">II. Impacto administrativo: </w:t>
      </w:r>
      <w:r w:rsidRPr="00A71292">
        <w:rPr>
          <w:rFonts w:ascii="Abadi" w:hAnsi="Abadi" w:cs="ArialMT"/>
          <w:sz w:val="21"/>
          <w:szCs w:val="21"/>
        </w:rPr>
        <w:t>No se aprecia.</w:t>
      </w:r>
    </w:p>
    <w:p w14:paraId="0767E668" w14:textId="77777777" w:rsidR="003B3767" w:rsidRDefault="003B3767" w:rsidP="003B3767">
      <w:pPr>
        <w:autoSpaceDE w:val="0"/>
        <w:autoSpaceDN w:val="0"/>
        <w:adjustRightInd w:val="0"/>
        <w:jc w:val="both"/>
        <w:rPr>
          <w:rFonts w:ascii="Abadi" w:hAnsi="Abadi" w:cs="Arial-BoldMT"/>
          <w:b/>
          <w:bCs/>
          <w:sz w:val="21"/>
          <w:szCs w:val="21"/>
        </w:rPr>
      </w:pPr>
    </w:p>
    <w:p w14:paraId="37FEE39F"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BoldMT"/>
          <w:b/>
          <w:bCs/>
          <w:sz w:val="21"/>
          <w:szCs w:val="21"/>
        </w:rPr>
        <w:t xml:space="preserve">III. Impacto presupuestario: </w:t>
      </w:r>
      <w:r w:rsidRPr="00A71292">
        <w:rPr>
          <w:rFonts w:ascii="Abadi" w:hAnsi="Abadi" w:cs="ArialMT"/>
          <w:sz w:val="21"/>
          <w:szCs w:val="21"/>
        </w:rPr>
        <w:t>No se percibe.</w:t>
      </w:r>
    </w:p>
    <w:p w14:paraId="486F1B4F" w14:textId="77777777" w:rsidR="003B3767" w:rsidRDefault="003B3767" w:rsidP="003B3767">
      <w:pPr>
        <w:autoSpaceDE w:val="0"/>
        <w:autoSpaceDN w:val="0"/>
        <w:adjustRightInd w:val="0"/>
        <w:jc w:val="both"/>
        <w:rPr>
          <w:rFonts w:ascii="Abadi" w:hAnsi="Abadi" w:cs="Arial-BoldMT"/>
          <w:b/>
          <w:bCs/>
          <w:sz w:val="21"/>
          <w:szCs w:val="21"/>
        </w:rPr>
      </w:pPr>
    </w:p>
    <w:p w14:paraId="697789A7"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BoldMT"/>
          <w:b/>
          <w:bCs/>
          <w:sz w:val="21"/>
          <w:szCs w:val="21"/>
        </w:rPr>
        <w:t xml:space="preserve">IV. Impacto social: </w:t>
      </w:r>
      <w:r w:rsidRPr="00A71292">
        <w:rPr>
          <w:rFonts w:ascii="Abadi" w:hAnsi="Abadi" w:cs="ArialMT"/>
          <w:sz w:val="21"/>
          <w:szCs w:val="21"/>
        </w:rPr>
        <w:t>Se protege con mayor eficacia el derecho a heredar</w:t>
      </w:r>
      <w:r>
        <w:rPr>
          <w:rFonts w:ascii="Abadi" w:hAnsi="Abadi" w:cs="ArialMT"/>
          <w:sz w:val="21"/>
          <w:szCs w:val="21"/>
        </w:rPr>
        <w:t xml:space="preserve"> </w:t>
      </w:r>
      <w:r w:rsidRPr="00A71292">
        <w:rPr>
          <w:rFonts w:ascii="Abadi" w:hAnsi="Abadi" w:cs="ArialMT"/>
          <w:sz w:val="21"/>
          <w:szCs w:val="21"/>
        </w:rPr>
        <w:t>de los niños, niñas y adolescentes, incrementando el término de la</w:t>
      </w:r>
      <w:r>
        <w:rPr>
          <w:rFonts w:ascii="Abadi" w:hAnsi="Abadi" w:cs="ArialMT"/>
          <w:sz w:val="21"/>
          <w:szCs w:val="21"/>
        </w:rPr>
        <w:t xml:space="preserve"> </w:t>
      </w:r>
      <w:r w:rsidRPr="00A71292">
        <w:rPr>
          <w:rFonts w:ascii="Abadi" w:hAnsi="Abadi" w:cs="ArialMT"/>
          <w:sz w:val="21"/>
          <w:szCs w:val="21"/>
        </w:rPr>
        <w:t>prescripción del derecho para reclamar herencia cuando por la minoría</w:t>
      </w:r>
      <w:r>
        <w:rPr>
          <w:rFonts w:ascii="Abadi" w:hAnsi="Abadi" w:cs="ArialMT"/>
          <w:sz w:val="21"/>
          <w:szCs w:val="21"/>
        </w:rPr>
        <w:t xml:space="preserve"> </w:t>
      </w:r>
      <w:r w:rsidRPr="00A71292">
        <w:rPr>
          <w:rFonts w:ascii="Abadi" w:hAnsi="Abadi" w:cs="ArialMT"/>
          <w:sz w:val="21"/>
          <w:szCs w:val="21"/>
        </w:rPr>
        <w:t>de edad, no pudiesen hacerlo por si mimos o a través de</w:t>
      </w:r>
      <w:r>
        <w:rPr>
          <w:rFonts w:ascii="Abadi" w:hAnsi="Abadi" w:cs="ArialMT"/>
          <w:sz w:val="21"/>
          <w:szCs w:val="21"/>
        </w:rPr>
        <w:t xml:space="preserve"> </w:t>
      </w:r>
      <w:r w:rsidRPr="00A71292">
        <w:rPr>
          <w:rFonts w:ascii="Abadi" w:hAnsi="Abadi" w:cs="ArialMT"/>
          <w:sz w:val="21"/>
          <w:szCs w:val="21"/>
        </w:rPr>
        <w:t>representantes legales o dativos.</w:t>
      </w:r>
    </w:p>
    <w:p w14:paraId="29E8B159" w14:textId="77777777" w:rsidR="003B3767" w:rsidRPr="00A71292" w:rsidRDefault="003B3767" w:rsidP="003B3767">
      <w:pPr>
        <w:autoSpaceDE w:val="0"/>
        <w:autoSpaceDN w:val="0"/>
        <w:adjustRightInd w:val="0"/>
        <w:jc w:val="both"/>
        <w:rPr>
          <w:rFonts w:ascii="Abadi" w:hAnsi="Abadi" w:cs="ArialMT"/>
          <w:sz w:val="21"/>
          <w:szCs w:val="21"/>
        </w:rPr>
      </w:pPr>
    </w:p>
    <w:p w14:paraId="5EE86977"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MT"/>
          <w:sz w:val="21"/>
          <w:szCs w:val="21"/>
        </w:rPr>
        <w:t>Por lo anteriormente expuesto, someto a la consideración de este H.</w:t>
      </w:r>
      <w:r>
        <w:rPr>
          <w:rFonts w:ascii="Abadi" w:hAnsi="Abadi" w:cs="ArialMT"/>
          <w:sz w:val="21"/>
          <w:szCs w:val="21"/>
        </w:rPr>
        <w:t xml:space="preserve"> </w:t>
      </w:r>
      <w:r w:rsidRPr="00A71292">
        <w:rPr>
          <w:rFonts w:ascii="Abadi" w:hAnsi="Abadi" w:cs="ArialMT"/>
          <w:sz w:val="21"/>
          <w:szCs w:val="21"/>
        </w:rPr>
        <w:t>Congreso del Estado de Guanajuato el siguiente:</w:t>
      </w:r>
    </w:p>
    <w:p w14:paraId="1522D4AC" w14:textId="77777777" w:rsidR="003B3767" w:rsidRPr="00A71292" w:rsidRDefault="003B3767" w:rsidP="003B3767">
      <w:pPr>
        <w:jc w:val="both"/>
        <w:rPr>
          <w:rFonts w:ascii="Abadi" w:hAnsi="Abadi" w:cs="ArialMT"/>
          <w:sz w:val="21"/>
          <w:szCs w:val="21"/>
        </w:rPr>
      </w:pPr>
    </w:p>
    <w:p w14:paraId="7445872C" w14:textId="5D595428" w:rsidR="003B3767" w:rsidRDefault="003B3767" w:rsidP="00BB7A57">
      <w:pPr>
        <w:autoSpaceDE w:val="0"/>
        <w:autoSpaceDN w:val="0"/>
        <w:adjustRightInd w:val="0"/>
        <w:jc w:val="center"/>
        <w:rPr>
          <w:rFonts w:ascii="Abadi" w:hAnsi="Abadi" w:cs="Arial-BoldMT"/>
          <w:b/>
          <w:bCs/>
          <w:sz w:val="21"/>
          <w:szCs w:val="21"/>
        </w:rPr>
      </w:pPr>
      <w:r w:rsidRPr="00A71292">
        <w:rPr>
          <w:rFonts w:ascii="Abadi" w:hAnsi="Abadi" w:cs="Arial-BoldMT"/>
          <w:b/>
          <w:bCs/>
          <w:sz w:val="21"/>
          <w:szCs w:val="21"/>
        </w:rPr>
        <w:t>DECRETO</w:t>
      </w:r>
    </w:p>
    <w:p w14:paraId="2A5FA822" w14:textId="77777777" w:rsidR="003B3767" w:rsidRPr="00A71292" w:rsidRDefault="003B3767" w:rsidP="003B3767">
      <w:pPr>
        <w:autoSpaceDE w:val="0"/>
        <w:autoSpaceDN w:val="0"/>
        <w:adjustRightInd w:val="0"/>
        <w:jc w:val="both"/>
        <w:rPr>
          <w:rFonts w:ascii="Abadi" w:hAnsi="Abadi" w:cs="Arial-BoldMT"/>
          <w:b/>
          <w:bCs/>
          <w:sz w:val="21"/>
          <w:szCs w:val="21"/>
        </w:rPr>
      </w:pPr>
    </w:p>
    <w:p w14:paraId="32C1F1A6" w14:textId="77777777" w:rsidR="003B3767" w:rsidRPr="00A71292" w:rsidRDefault="003B3767" w:rsidP="003B3767">
      <w:pPr>
        <w:autoSpaceDE w:val="0"/>
        <w:autoSpaceDN w:val="0"/>
        <w:adjustRightInd w:val="0"/>
        <w:jc w:val="both"/>
        <w:rPr>
          <w:rFonts w:ascii="Abadi" w:hAnsi="Abadi" w:cs="ArialMT"/>
          <w:sz w:val="21"/>
          <w:szCs w:val="21"/>
        </w:rPr>
      </w:pPr>
      <w:r w:rsidRPr="00A71292">
        <w:rPr>
          <w:rFonts w:ascii="Abadi" w:hAnsi="Abadi" w:cs="Arial-BoldMT"/>
          <w:b/>
          <w:bCs/>
          <w:sz w:val="21"/>
          <w:szCs w:val="21"/>
        </w:rPr>
        <w:t xml:space="preserve">ÚNICO. </w:t>
      </w:r>
      <w:r w:rsidRPr="00A71292">
        <w:rPr>
          <w:rFonts w:ascii="Abadi" w:hAnsi="Abadi" w:cs="ArialMT"/>
          <w:sz w:val="21"/>
          <w:szCs w:val="21"/>
        </w:rPr>
        <w:t>Se reforma al artículo 2890 del Código Civil para el Estado de</w:t>
      </w:r>
      <w:r>
        <w:rPr>
          <w:rFonts w:ascii="Abadi" w:hAnsi="Abadi" w:cs="ArialMT"/>
          <w:sz w:val="21"/>
          <w:szCs w:val="21"/>
        </w:rPr>
        <w:t xml:space="preserve"> </w:t>
      </w:r>
      <w:r w:rsidRPr="00A71292">
        <w:rPr>
          <w:rFonts w:ascii="Abadi" w:hAnsi="Abadi" w:cs="ArialMT"/>
          <w:sz w:val="21"/>
          <w:szCs w:val="21"/>
        </w:rPr>
        <w:t>Guanajuato, para quedar como sigue:</w:t>
      </w:r>
    </w:p>
    <w:p w14:paraId="55604A37" w14:textId="77777777" w:rsidR="003B3767" w:rsidRDefault="003B3767" w:rsidP="003B3767">
      <w:pPr>
        <w:autoSpaceDE w:val="0"/>
        <w:autoSpaceDN w:val="0"/>
        <w:adjustRightInd w:val="0"/>
        <w:jc w:val="both"/>
        <w:rPr>
          <w:rFonts w:ascii="Abadi" w:hAnsi="Abadi" w:cs="Arial-ItalicMT"/>
          <w:i/>
          <w:iCs/>
          <w:sz w:val="21"/>
          <w:szCs w:val="21"/>
        </w:rPr>
      </w:pPr>
    </w:p>
    <w:p w14:paraId="6A0C02CF" w14:textId="77777777" w:rsidR="003B3767" w:rsidRPr="00A71292" w:rsidRDefault="003B3767" w:rsidP="003B3767">
      <w:pPr>
        <w:autoSpaceDE w:val="0"/>
        <w:autoSpaceDN w:val="0"/>
        <w:adjustRightInd w:val="0"/>
        <w:jc w:val="both"/>
        <w:rPr>
          <w:rFonts w:ascii="Abadi" w:hAnsi="Abadi" w:cs="Arial-ItalicMT"/>
          <w:i/>
          <w:iCs/>
          <w:sz w:val="21"/>
          <w:szCs w:val="21"/>
        </w:rPr>
      </w:pPr>
      <w:r w:rsidRPr="00A71292">
        <w:rPr>
          <w:rFonts w:ascii="Abadi" w:hAnsi="Abadi" w:cs="Arial-ItalicMT"/>
          <w:i/>
          <w:iCs/>
          <w:sz w:val="21"/>
          <w:szCs w:val="21"/>
        </w:rPr>
        <w:t>“</w:t>
      </w:r>
      <w:r w:rsidRPr="00A71292">
        <w:rPr>
          <w:rFonts w:ascii="Abadi" w:hAnsi="Abadi" w:cs="Arial-BoldItalicMT"/>
          <w:b/>
          <w:bCs/>
          <w:i/>
          <w:iCs/>
          <w:sz w:val="21"/>
          <w:szCs w:val="21"/>
        </w:rPr>
        <w:t>Art. 2890</w:t>
      </w:r>
      <w:r w:rsidRPr="00A71292">
        <w:rPr>
          <w:rFonts w:ascii="Abadi" w:hAnsi="Abadi" w:cs="Arial-ItalicMT"/>
          <w:i/>
          <w:iCs/>
          <w:sz w:val="21"/>
          <w:szCs w:val="21"/>
        </w:rPr>
        <w:t>. El derecho de…….</w:t>
      </w:r>
    </w:p>
    <w:p w14:paraId="69D4AF71" w14:textId="77777777" w:rsidR="003B3767" w:rsidRPr="00A71292" w:rsidRDefault="003B3767" w:rsidP="003B3767">
      <w:pPr>
        <w:autoSpaceDE w:val="0"/>
        <w:autoSpaceDN w:val="0"/>
        <w:adjustRightInd w:val="0"/>
        <w:jc w:val="both"/>
        <w:rPr>
          <w:rFonts w:ascii="Abadi" w:hAnsi="Abadi" w:cs="Arial-ItalicMT"/>
          <w:i/>
          <w:iCs/>
          <w:sz w:val="21"/>
          <w:szCs w:val="21"/>
        </w:rPr>
      </w:pPr>
      <w:r w:rsidRPr="00A71292">
        <w:rPr>
          <w:rFonts w:ascii="Abadi" w:hAnsi="Abadi" w:cs="Arial-ItalicMT"/>
          <w:i/>
          <w:iCs/>
          <w:sz w:val="21"/>
          <w:szCs w:val="21"/>
        </w:rPr>
        <w:t>La aceptación….</w:t>
      </w:r>
    </w:p>
    <w:p w14:paraId="1F5B5FA3" w14:textId="77777777" w:rsidR="003B3767" w:rsidRDefault="003B3767" w:rsidP="003B3767">
      <w:pPr>
        <w:autoSpaceDE w:val="0"/>
        <w:autoSpaceDN w:val="0"/>
        <w:adjustRightInd w:val="0"/>
        <w:jc w:val="both"/>
        <w:rPr>
          <w:rFonts w:ascii="Abadi" w:hAnsi="Abadi" w:cs="Arial-BoldItalicMT"/>
          <w:b/>
          <w:bCs/>
          <w:i/>
          <w:iCs/>
          <w:sz w:val="21"/>
          <w:szCs w:val="21"/>
        </w:rPr>
      </w:pPr>
    </w:p>
    <w:p w14:paraId="0F70C509" w14:textId="5917F45F" w:rsidR="003B3767" w:rsidRDefault="003B3767" w:rsidP="003B3767">
      <w:pPr>
        <w:autoSpaceDE w:val="0"/>
        <w:autoSpaceDN w:val="0"/>
        <w:adjustRightInd w:val="0"/>
        <w:jc w:val="both"/>
        <w:rPr>
          <w:rFonts w:ascii="Abadi" w:hAnsi="Abadi" w:cs="Arial-BoldItalicMT"/>
          <w:b/>
          <w:bCs/>
          <w:i/>
          <w:iCs/>
          <w:sz w:val="21"/>
          <w:szCs w:val="21"/>
        </w:rPr>
      </w:pPr>
      <w:r w:rsidRPr="00A71292">
        <w:rPr>
          <w:rFonts w:ascii="Abadi" w:hAnsi="Abadi" w:cs="Arial-BoldItalicMT"/>
          <w:b/>
          <w:bCs/>
          <w:i/>
          <w:iCs/>
          <w:sz w:val="21"/>
          <w:szCs w:val="21"/>
        </w:rPr>
        <w:t>El derecho de reclamar la herencia en los casos en que suceda la</w:t>
      </w:r>
      <w:r>
        <w:rPr>
          <w:rFonts w:ascii="Abadi" w:hAnsi="Abadi" w:cs="Arial-BoldItalicMT"/>
          <w:b/>
          <w:bCs/>
          <w:i/>
          <w:iCs/>
          <w:sz w:val="21"/>
          <w:szCs w:val="21"/>
        </w:rPr>
        <w:t xml:space="preserve"> </w:t>
      </w:r>
      <w:r w:rsidRPr="00A71292">
        <w:rPr>
          <w:rFonts w:ascii="Abadi" w:hAnsi="Abadi" w:cs="Arial-BoldItalicMT"/>
          <w:b/>
          <w:bCs/>
          <w:i/>
          <w:iCs/>
          <w:sz w:val="21"/>
          <w:szCs w:val="21"/>
        </w:rPr>
        <w:t xml:space="preserve">Universidad de </w:t>
      </w:r>
      <w:r w:rsidR="00097B2E" w:rsidRPr="00A71292">
        <w:rPr>
          <w:rFonts w:ascii="Abadi" w:hAnsi="Abadi" w:cs="Arial-BoldItalicMT"/>
          <w:b/>
          <w:bCs/>
          <w:i/>
          <w:iCs/>
          <w:sz w:val="21"/>
          <w:szCs w:val="21"/>
        </w:rPr>
        <w:t xml:space="preserve">Guanajuato </w:t>
      </w:r>
      <w:r w:rsidR="00097B2E">
        <w:rPr>
          <w:rFonts w:ascii="Abadi" w:hAnsi="Abadi" w:cs="Arial-BoldItalicMT"/>
          <w:b/>
          <w:bCs/>
          <w:i/>
          <w:iCs/>
          <w:sz w:val="21"/>
          <w:szCs w:val="21"/>
        </w:rPr>
        <w:t>prescribe</w:t>
      </w:r>
      <w:r w:rsidRPr="00A71292">
        <w:rPr>
          <w:rFonts w:ascii="Abadi" w:hAnsi="Abadi" w:cs="Arial-BoldItalicMT"/>
          <w:b/>
          <w:bCs/>
          <w:i/>
          <w:iCs/>
          <w:sz w:val="21"/>
          <w:szCs w:val="21"/>
        </w:rPr>
        <w:t xml:space="preserve"> en el término de cinco años,</w:t>
      </w:r>
      <w:r>
        <w:rPr>
          <w:rFonts w:ascii="Abadi" w:hAnsi="Abadi" w:cs="Arial-BoldItalicMT"/>
          <w:b/>
          <w:bCs/>
          <w:i/>
          <w:iCs/>
          <w:sz w:val="21"/>
          <w:szCs w:val="21"/>
        </w:rPr>
        <w:t xml:space="preserve"> </w:t>
      </w:r>
      <w:r w:rsidRPr="00A71292">
        <w:rPr>
          <w:rFonts w:ascii="Abadi" w:hAnsi="Abadi" w:cs="Arial-BoldItalicMT"/>
          <w:b/>
          <w:bCs/>
          <w:i/>
          <w:iCs/>
          <w:sz w:val="21"/>
          <w:szCs w:val="21"/>
        </w:rPr>
        <w:t>contados a partir de la declaración de herederos.</w:t>
      </w:r>
    </w:p>
    <w:p w14:paraId="7443B56B" w14:textId="77777777" w:rsidR="003B3767" w:rsidRPr="00A71292" w:rsidRDefault="003B3767" w:rsidP="003B3767">
      <w:pPr>
        <w:autoSpaceDE w:val="0"/>
        <w:autoSpaceDN w:val="0"/>
        <w:adjustRightInd w:val="0"/>
        <w:jc w:val="both"/>
        <w:rPr>
          <w:rFonts w:ascii="Abadi" w:hAnsi="Abadi" w:cs="Arial-BoldItalicMT"/>
          <w:b/>
          <w:bCs/>
          <w:i/>
          <w:iCs/>
          <w:sz w:val="21"/>
          <w:szCs w:val="21"/>
        </w:rPr>
      </w:pPr>
    </w:p>
    <w:p w14:paraId="6493D131" w14:textId="77777777" w:rsidR="003B3767" w:rsidRPr="00A71292" w:rsidRDefault="003B3767" w:rsidP="003B3767">
      <w:pPr>
        <w:autoSpaceDE w:val="0"/>
        <w:autoSpaceDN w:val="0"/>
        <w:adjustRightInd w:val="0"/>
        <w:jc w:val="both"/>
        <w:rPr>
          <w:rFonts w:ascii="Abadi" w:hAnsi="Abadi" w:cs="Arial-BoldItalicMT"/>
          <w:b/>
          <w:bCs/>
          <w:i/>
          <w:iCs/>
          <w:sz w:val="21"/>
          <w:szCs w:val="21"/>
        </w:rPr>
      </w:pPr>
      <w:r w:rsidRPr="00A71292">
        <w:rPr>
          <w:rFonts w:ascii="Abadi" w:hAnsi="Abadi" w:cs="Arial-BoldItalicMT"/>
          <w:b/>
          <w:bCs/>
          <w:i/>
          <w:iCs/>
          <w:sz w:val="21"/>
          <w:szCs w:val="21"/>
        </w:rPr>
        <w:t>En el caso del párrafo anterior, cuando se trate de menores de 18 años</w:t>
      </w:r>
      <w:r>
        <w:rPr>
          <w:rFonts w:ascii="Abadi" w:hAnsi="Abadi" w:cs="Arial-BoldItalicMT"/>
          <w:b/>
          <w:bCs/>
          <w:i/>
          <w:iCs/>
          <w:sz w:val="21"/>
          <w:szCs w:val="21"/>
        </w:rPr>
        <w:t xml:space="preserve"> </w:t>
      </w:r>
      <w:r w:rsidRPr="00A71292">
        <w:rPr>
          <w:rFonts w:ascii="Abadi" w:hAnsi="Abadi" w:cs="Arial-BoldItalicMT"/>
          <w:b/>
          <w:bCs/>
          <w:i/>
          <w:iCs/>
          <w:sz w:val="21"/>
          <w:szCs w:val="21"/>
        </w:rPr>
        <w:t>en el momento de la muerte del autor de la sucesión, prescribe en el</w:t>
      </w:r>
      <w:r>
        <w:rPr>
          <w:rFonts w:ascii="Abadi" w:hAnsi="Abadi" w:cs="Arial-BoldItalicMT"/>
          <w:b/>
          <w:bCs/>
          <w:i/>
          <w:iCs/>
          <w:sz w:val="21"/>
          <w:szCs w:val="21"/>
        </w:rPr>
        <w:t xml:space="preserve"> </w:t>
      </w:r>
      <w:r w:rsidRPr="00A71292">
        <w:rPr>
          <w:rFonts w:ascii="Abadi" w:hAnsi="Abadi" w:cs="Arial-BoldItalicMT"/>
          <w:b/>
          <w:bCs/>
          <w:i/>
          <w:iCs/>
          <w:sz w:val="21"/>
          <w:szCs w:val="21"/>
        </w:rPr>
        <w:t>término de diez años a partir de la declaración de herederos, con</w:t>
      </w:r>
      <w:r>
        <w:rPr>
          <w:rFonts w:ascii="Abadi" w:hAnsi="Abadi" w:cs="Arial-BoldItalicMT"/>
          <w:b/>
          <w:bCs/>
          <w:i/>
          <w:iCs/>
          <w:sz w:val="21"/>
          <w:szCs w:val="21"/>
        </w:rPr>
        <w:t xml:space="preserve"> independencia</w:t>
      </w:r>
      <w:r w:rsidRPr="00A71292">
        <w:rPr>
          <w:rFonts w:ascii="Abadi" w:hAnsi="Abadi" w:cs="Arial-BoldItalicMT"/>
          <w:b/>
          <w:bCs/>
          <w:i/>
          <w:iCs/>
          <w:sz w:val="21"/>
          <w:szCs w:val="21"/>
        </w:rPr>
        <w:t xml:space="preserve"> de que adquieran la mayoría de edad”.</w:t>
      </w:r>
    </w:p>
    <w:p w14:paraId="15CD2071" w14:textId="77777777" w:rsidR="003B3767" w:rsidRDefault="003B3767" w:rsidP="003B3767">
      <w:pPr>
        <w:autoSpaceDE w:val="0"/>
        <w:autoSpaceDN w:val="0"/>
        <w:adjustRightInd w:val="0"/>
        <w:jc w:val="center"/>
        <w:rPr>
          <w:rFonts w:ascii="Abadi" w:hAnsi="Abadi" w:cs="Arial-BoldMT"/>
          <w:b/>
          <w:bCs/>
          <w:sz w:val="21"/>
          <w:szCs w:val="21"/>
        </w:rPr>
      </w:pPr>
    </w:p>
    <w:p w14:paraId="79624825" w14:textId="42B0E02E" w:rsidR="003B3767" w:rsidRDefault="003B3767" w:rsidP="003B3767">
      <w:pPr>
        <w:autoSpaceDE w:val="0"/>
        <w:autoSpaceDN w:val="0"/>
        <w:adjustRightInd w:val="0"/>
        <w:jc w:val="center"/>
        <w:rPr>
          <w:rFonts w:ascii="Abadi" w:hAnsi="Abadi" w:cs="Arial-BoldMT"/>
          <w:b/>
          <w:bCs/>
          <w:sz w:val="21"/>
          <w:szCs w:val="21"/>
        </w:rPr>
      </w:pPr>
      <w:r w:rsidRPr="00A71292">
        <w:rPr>
          <w:rFonts w:ascii="Abadi" w:hAnsi="Abadi" w:cs="Arial-BoldMT"/>
          <w:b/>
          <w:bCs/>
          <w:sz w:val="21"/>
          <w:szCs w:val="21"/>
        </w:rPr>
        <w:t>TRANSITORIO.</w:t>
      </w:r>
    </w:p>
    <w:p w14:paraId="16952B11" w14:textId="77777777" w:rsidR="003B3767" w:rsidRPr="00A71292" w:rsidRDefault="003B3767" w:rsidP="003B3767">
      <w:pPr>
        <w:autoSpaceDE w:val="0"/>
        <w:autoSpaceDN w:val="0"/>
        <w:adjustRightInd w:val="0"/>
        <w:jc w:val="center"/>
        <w:rPr>
          <w:rFonts w:ascii="Abadi" w:hAnsi="Abadi" w:cs="Arial-BoldMT"/>
          <w:b/>
          <w:bCs/>
          <w:sz w:val="21"/>
          <w:szCs w:val="21"/>
        </w:rPr>
      </w:pPr>
    </w:p>
    <w:p w14:paraId="4A769D04" w14:textId="77777777" w:rsidR="003B3767" w:rsidRDefault="003B3767" w:rsidP="003B3767">
      <w:pPr>
        <w:autoSpaceDE w:val="0"/>
        <w:autoSpaceDN w:val="0"/>
        <w:adjustRightInd w:val="0"/>
        <w:jc w:val="both"/>
        <w:rPr>
          <w:rFonts w:ascii="Abadi" w:hAnsi="Abadi" w:cs="ArialMT"/>
          <w:sz w:val="21"/>
          <w:szCs w:val="21"/>
        </w:rPr>
      </w:pPr>
      <w:r w:rsidRPr="00A71292">
        <w:rPr>
          <w:rFonts w:ascii="Abadi" w:hAnsi="Abadi" w:cs="Arial-BoldMT"/>
          <w:b/>
          <w:bCs/>
          <w:sz w:val="21"/>
          <w:szCs w:val="21"/>
        </w:rPr>
        <w:t xml:space="preserve">Artículo Único. </w:t>
      </w:r>
      <w:r w:rsidRPr="00A71292">
        <w:rPr>
          <w:rFonts w:ascii="Abadi" w:hAnsi="Abadi" w:cs="ArialMT"/>
          <w:sz w:val="21"/>
          <w:szCs w:val="21"/>
        </w:rPr>
        <w:t>El presente Decreto entrará en vigor al día siguiente de su</w:t>
      </w:r>
      <w:r>
        <w:rPr>
          <w:rFonts w:ascii="Abadi" w:hAnsi="Abadi" w:cs="ArialMT"/>
          <w:sz w:val="21"/>
          <w:szCs w:val="21"/>
        </w:rPr>
        <w:t xml:space="preserve"> </w:t>
      </w:r>
      <w:r w:rsidRPr="00A71292">
        <w:rPr>
          <w:rFonts w:ascii="Abadi" w:hAnsi="Abadi" w:cs="ArialMT"/>
          <w:sz w:val="21"/>
          <w:szCs w:val="21"/>
        </w:rPr>
        <w:t>publicación en el Periódico Oficial del Estado de Guanajuato.</w:t>
      </w:r>
    </w:p>
    <w:p w14:paraId="437279BF" w14:textId="77777777" w:rsidR="003B3767" w:rsidRPr="00A71292" w:rsidRDefault="003B3767" w:rsidP="003B3767">
      <w:pPr>
        <w:autoSpaceDE w:val="0"/>
        <w:autoSpaceDN w:val="0"/>
        <w:adjustRightInd w:val="0"/>
        <w:jc w:val="both"/>
        <w:rPr>
          <w:rFonts w:ascii="Abadi" w:hAnsi="Abadi" w:cs="ArialMT"/>
          <w:sz w:val="21"/>
          <w:szCs w:val="21"/>
        </w:rPr>
      </w:pPr>
    </w:p>
    <w:p w14:paraId="19B55F51" w14:textId="77777777" w:rsidR="003B3767" w:rsidRPr="00A71292" w:rsidRDefault="003B3767" w:rsidP="003B3767">
      <w:pPr>
        <w:autoSpaceDE w:val="0"/>
        <w:autoSpaceDN w:val="0"/>
        <w:adjustRightInd w:val="0"/>
        <w:jc w:val="center"/>
        <w:rPr>
          <w:rFonts w:ascii="Abadi" w:hAnsi="Abadi" w:cs="ArialMT"/>
          <w:sz w:val="21"/>
          <w:szCs w:val="21"/>
        </w:rPr>
      </w:pPr>
      <w:r w:rsidRPr="00A71292">
        <w:rPr>
          <w:rFonts w:ascii="Abadi" w:hAnsi="Abadi" w:cs="ArialMT"/>
          <w:sz w:val="21"/>
          <w:szCs w:val="21"/>
        </w:rPr>
        <w:t>Guanajuato, Gto., a 10 de mayo de 2022</w:t>
      </w:r>
    </w:p>
    <w:p w14:paraId="5E16727A" w14:textId="77777777" w:rsidR="003B3767" w:rsidRPr="00A71292" w:rsidRDefault="003B3767" w:rsidP="003B3767">
      <w:pPr>
        <w:autoSpaceDE w:val="0"/>
        <w:autoSpaceDN w:val="0"/>
        <w:adjustRightInd w:val="0"/>
        <w:jc w:val="center"/>
        <w:rPr>
          <w:rFonts w:ascii="Abadi" w:hAnsi="Abadi" w:cs="ArialMT"/>
          <w:sz w:val="21"/>
          <w:szCs w:val="21"/>
        </w:rPr>
      </w:pPr>
      <w:r w:rsidRPr="00A71292">
        <w:rPr>
          <w:rFonts w:ascii="Abadi" w:hAnsi="Abadi" w:cs="ArialMT"/>
          <w:sz w:val="21"/>
          <w:szCs w:val="21"/>
        </w:rPr>
        <w:t>Diputadas y Diputados integrantes del Grupo</w:t>
      </w:r>
    </w:p>
    <w:p w14:paraId="1E329A2C" w14:textId="77777777" w:rsidR="003B3767" w:rsidRPr="00A71292" w:rsidRDefault="003B3767" w:rsidP="003B3767">
      <w:pPr>
        <w:autoSpaceDE w:val="0"/>
        <w:autoSpaceDN w:val="0"/>
        <w:adjustRightInd w:val="0"/>
        <w:jc w:val="center"/>
        <w:rPr>
          <w:rFonts w:ascii="Abadi" w:hAnsi="Abadi" w:cs="ArialMT"/>
          <w:sz w:val="21"/>
          <w:szCs w:val="21"/>
        </w:rPr>
      </w:pPr>
      <w:r w:rsidRPr="00A71292">
        <w:rPr>
          <w:rFonts w:ascii="Abadi" w:hAnsi="Abadi" w:cs="ArialMT"/>
          <w:sz w:val="21"/>
          <w:szCs w:val="21"/>
        </w:rPr>
        <w:t>Parlamentario del Partido Revolucionario Institucional.</w:t>
      </w:r>
    </w:p>
    <w:p w14:paraId="16515A63" w14:textId="77777777" w:rsidR="003B3767" w:rsidRDefault="003B3767" w:rsidP="003B3767">
      <w:pPr>
        <w:autoSpaceDE w:val="0"/>
        <w:autoSpaceDN w:val="0"/>
        <w:adjustRightInd w:val="0"/>
        <w:jc w:val="both"/>
        <w:rPr>
          <w:rFonts w:ascii="Abadi" w:hAnsi="Abadi" w:cs="Arial-BoldMT"/>
          <w:b/>
          <w:bCs/>
          <w:sz w:val="21"/>
          <w:szCs w:val="21"/>
        </w:rPr>
      </w:pPr>
    </w:p>
    <w:p w14:paraId="4A05379E" w14:textId="77777777" w:rsidR="003B3767" w:rsidRPr="00A71292" w:rsidRDefault="003B3767" w:rsidP="003B3767">
      <w:pPr>
        <w:autoSpaceDE w:val="0"/>
        <w:autoSpaceDN w:val="0"/>
        <w:adjustRightInd w:val="0"/>
        <w:jc w:val="both"/>
        <w:rPr>
          <w:rFonts w:ascii="Abadi" w:hAnsi="Abadi" w:cs="Arial-BoldMT"/>
          <w:b/>
          <w:bCs/>
          <w:sz w:val="21"/>
          <w:szCs w:val="21"/>
        </w:rPr>
      </w:pPr>
      <w:r w:rsidRPr="00A71292">
        <w:rPr>
          <w:rFonts w:ascii="Abadi" w:hAnsi="Abadi" w:cs="Arial-BoldMT"/>
          <w:b/>
          <w:bCs/>
          <w:sz w:val="21"/>
          <w:szCs w:val="21"/>
        </w:rPr>
        <w:t>DIP. GUSTAVO ADOLFO ALFARO REYES</w:t>
      </w:r>
    </w:p>
    <w:p w14:paraId="45339651" w14:textId="77777777" w:rsidR="003B3767" w:rsidRPr="00A71292" w:rsidRDefault="003B3767" w:rsidP="003B3767">
      <w:pPr>
        <w:autoSpaceDE w:val="0"/>
        <w:autoSpaceDN w:val="0"/>
        <w:adjustRightInd w:val="0"/>
        <w:jc w:val="both"/>
        <w:rPr>
          <w:rFonts w:ascii="Abadi" w:hAnsi="Abadi" w:cs="Arial-BoldMT"/>
          <w:b/>
          <w:bCs/>
          <w:sz w:val="21"/>
          <w:szCs w:val="21"/>
        </w:rPr>
      </w:pPr>
      <w:r w:rsidRPr="00A71292">
        <w:rPr>
          <w:rFonts w:ascii="Abadi" w:hAnsi="Abadi" w:cs="Arial-BoldMT"/>
          <w:b/>
          <w:bCs/>
          <w:sz w:val="21"/>
          <w:szCs w:val="21"/>
        </w:rPr>
        <w:t>DIP. RUTH NOEMI TISCAREÑO AGOITIA.</w:t>
      </w:r>
    </w:p>
    <w:p w14:paraId="671A8D2C" w14:textId="77777777" w:rsidR="003B3767" w:rsidRPr="00A71292" w:rsidRDefault="003B3767" w:rsidP="003B3767">
      <w:pPr>
        <w:autoSpaceDE w:val="0"/>
        <w:autoSpaceDN w:val="0"/>
        <w:adjustRightInd w:val="0"/>
        <w:jc w:val="both"/>
        <w:rPr>
          <w:rFonts w:ascii="Abadi" w:hAnsi="Abadi" w:cs="Arial-BoldMT"/>
          <w:b/>
          <w:bCs/>
          <w:sz w:val="21"/>
          <w:szCs w:val="21"/>
        </w:rPr>
      </w:pPr>
      <w:r w:rsidRPr="00A71292">
        <w:rPr>
          <w:rFonts w:ascii="Abadi" w:hAnsi="Abadi" w:cs="Arial-BoldMT"/>
          <w:b/>
          <w:bCs/>
          <w:sz w:val="21"/>
          <w:szCs w:val="21"/>
        </w:rPr>
        <w:t>DIP. YULMA ROCHA AGUILAR.</w:t>
      </w:r>
    </w:p>
    <w:p w14:paraId="00A6B278" w14:textId="618C8B9A" w:rsidR="003B3767" w:rsidRDefault="003B3767" w:rsidP="003B3767">
      <w:pPr>
        <w:jc w:val="both"/>
        <w:rPr>
          <w:rFonts w:ascii="Abadi" w:hAnsi="Abadi" w:cs="Arial-BoldMT"/>
          <w:b/>
          <w:bCs/>
          <w:sz w:val="21"/>
          <w:szCs w:val="21"/>
        </w:rPr>
      </w:pPr>
      <w:r w:rsidRPr="00A71292">
        <w:rPr>
          <w:rFonts w:ascii="Abadi" w:hAnsi="Abadi" w:cs="Arial-BoldMT"/>
          <w:b/>
          <w:bCs/>
          <w:sz w:val="21"/>
          <w:szCs w:val="21"/>
        </w:rPr>
        <w:t>DIP. ALEJANDRO ÁRIAS ÁVILA.</w:t>
      </w:r>
    </w:p>
    <w:p w14:paraId="67D47D1E" w14:textId="5DD0D07F" w:rsidR="00D81986" w:rsidRDefault="00D81986" w:rsidP="003B3767">
      <w:pPr>
        <w:jc w:val="both"/>
        <w:rPr>
          <w:rFonts w:ascii="Abadi" w:hAnsi="Abadi" w:cs="Arial-BoldMT"/>
          <w:b/>
          <w:bCs/>
          <w:sz w:val="21"/>
          <w:szCs w:val="21"/>
        </w:rPr>
      </w:pPr>
    </w:p>
    <w:p w14:paraId="36F7AFBB" w14:textId="76836BCF" w:rsidR="00D81986" w:rsidRPr="00D81986" w:rsidRDefault="00D81986" w:rsidP="00D81986">
      <w:pPr>
        <w:ind w:firstLine="708"/>
        <w:jc w:val="both"/>
        <w:rPr>
          <w:rFonts w:ascii="Abadi" w:hAnsi="Abadi"/>
          <w:sz w:val="21"/>
          <w:szCs w:val="21"/>
        </w:rPr>
      </w:pPr>
      <w:r>
        <w:rPr>
          <w:rFonts w:ascii="Abadi" w:hAnsi="Abadi"/>
          <w:b/>
          <w:bCs/>
          <w:sz w:val="21"/>
          <w:szCs w:val="21"/>
        </w:rPr>
        <w:t xml:space="preserve">- </w:t>
      </w:r>
      <w:r w:rsidRPr="00D81986">
        <w:rPr>
          <w:rFonts w:ascii="Abadi" w:hAnsi="Abadi"/>
          <w:b/>
          <w:bCs/>
          <w:sz w:val="21"/>
          <w:szCs w:val="21"/>
        </w:rPr>
        <w:t>La Presidencia.-</w:t>
      </w:r>
      <w:r w:rsidRPr="00D81986">
        <w:rPr>
          <w:rFonts w:ascii="Abadi" w:hAnsi="Abadi"/>
          <w:sz w:val="21"/>
          <w:szCs w:val="21"/>
        </w:rPr>
        <w:t xml:space="preserve"> Se pide al diputado Gustavo Adolfo Alfaro Reyes, a dar lectura la exposición de motivos de la iniciativa signada por diputada y diputados integrantes del Grupo Parlamentario del Partido Revolucionario Institucional a efecto de reformar el artículo 2890 del Código Civil para el Estado de Guanajuato.</w:t>
      </w:r>
    </w:p>
    <w:p w14:paraId="45A5A9FC" w14:textId="77777777" w:rsidR="00D81986" w:rsidRDefault="00D81986" w:rsidP="00D81986">
      <w:pPr>
        <w:jc w:val="both"/>
        <w:rPr>
          <w:rFonts w:ascii="Abadi" w:hAnsi="Abadi"/>
          <w:sz w:val="21"/>
          <w:szCs w:val="21"/>
        </w:rPr>
      </w:pPr>
    </w:p>
    <w:p w14:paraId="571D643C" w14:textId="316F6B65" w:rsidR="00D81986" w:rsidRPr="005B51F6" w:rsidRDefault="00D81986" w:rsidP="005B51F6">
      <w:pPr>
        <w:pStyle w:val="Prrafodelista"/>
        <w:numPr>
          <w:ilvl w:val="0"/>
          <w:numId w:val="4"/>
        </w:numPr>
        <w:jc w:val="both"/>
        <w:rPr>
          <w:rFonts w:ascii="Abadi" w:hAnsi="Abadi"/>
          <w:sz w:val="21"/>
          <w:szCs w:val="21"/>
        </w:rPr>
      </w:pPr>
      <w:r w:rsidRPr="005B51F6">
        <w:rPr>
          <w:rFonts w:ascii="Abadi" w:hAnsi="Abadi"/>
          <w:sz w:val="21"/>
          <w:szCs w:val="21"/>
        </w:rPr>
        <w:t>Adelante diputado.</w:t>
      </w:r>
    </w:p>
    <w:p w14:paraId="2B3C87CC" w14:textId="77777777" w:rsidR="00D81986" w:rsidRDefault="00D81986" w:rsidP="00D81986">
      <w:pPr>
        <w:jc w:val="both"/>
        <w:rPr>
          <w:rFonts w:ascii="Abadi" w:hAnsi="Abadi"/>
          <w:b/>
          <w:bCs/>
          <w:sz w:val="21"/>
          <w:szCs w:val="21"/>
        </w:rPr>
      </w:pPr>
    </w:p>
    <w:p w14:paraId="17C7AF02" w14:textId="77777777" w:rsidR="00146DFB" w:rsidRDefault="00146DFB" w:rsidP="00146DFB">
      <w:pPr>
        <w:jc w:val="both"/>
        <w:rPr>
          <w:rFonts w:ascii="Abadi" w:hAnsi="Abadi"/>
          <w:sz w:val="21"/>
          <w:szCs w:val="21"/>
        </w:rPr>
      </w:pPr>
    </w:p>
    <w:p w14:paraId="1F95FF3A" w14:textId="147D6E21" w:rsidR="00146DFB" w:rsidRDefault="00146DFB" w:rsidP="00146DFB">
      <w:pPr>
        <w:jc w:val="center"/>
        <w:rPr>
          <w:rFonts w:ascii="Abadi" w:hAnsi="Abadi"/>
          <w:b/>
          <w:bCs/>
          <w:sz w:val="21"/>
          <w:szCs w:val="21"/>
        </w:rPr>
      </w:pPr>
      <w:r w:rsidRPr="00146DFB">
        <w:rPr>
          <w:rFonts w:ascii="Abadi" w:hAnsi="Abadi"/>
          <w:b/>
          <w:bCs/>
          <w:sz w:val="21"/>
          <w:szCs w:val="21"/>
        </w:rPr>
        <w:t>(Posicionamiento)</w:t>
      </w:r>
    </w:p>
    <w:p w14:paraId="2AF696BF" w14:textId="5101DE0D" w:rsidR="00844A37" w:rsidRDefault="00844A37" w:rsidP="00146DFB">
      <w:pPr>
        <w:jc w:val="center"/>
        <w:rPr>
          <w:rFonts w:ascii="Abadi" w:hAnsi="Abadi"/>
          <w:b/>
          <w:bCs/>
          <w:sz w:val="21"/>
          <w:szCs w:val="21"/>
        </w:rPr>
      </w:pPr>
    </w:p>
    <w:p w14:paraId="4FB06932" w14:textId="3DC08027" w:rsidR="00844A37" w:rsidRPr="00146DFB" w:rsidRDefault="00844A37" w:rsidP="00146DFB">
      <w:pPr>
        <w:jc w:val="center"/>
        <w:rPr>
          <w:rFonts w:ascii="Abadi" w:hAnsi="Abadi"/>
          <w:b/>
          <w:bCs/>
          <w:sz w:val="21"/>
          <w:szCs w:val="21"/>
        </w:rPr>
      </w:pPr>
      <w:r>
        <w:rPr>
          <w:noProof/>
        </w:rPr>
        <w:drawing>
          <wp:inline distT="0" distB="0" distL="0" distR="0" wp14:anchorId="1D011B9B" wp14:editId="4E8CCF11">
            <wp:extent cx="2248508" cy="1171575"/>
            <wp:effectExtent l="19050" t="133350" r="0" b="885825"/>
            <wp:docPr id="21" name="Imagen 2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 Sitio web&#10;&#10;Descripción generada automáticamente"/>
                    <pic:cNvPicPr/>
                  </pic:nvPicPr>
                  <pic:blipFill rotWithShape="1">
                    <a:blip r:embed="rId26"/>
                    <a:srcRect b="7363"/>
                    <a:stretch/>
                  </pic:blipFill>
                  <pic:spPr bwMode="auto">
                    <a:xfrm>
                      <a:off x="0" y="0"/>
                      <a:ext cx="2264003" cy="1179649"/>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4EACBB10" w14:textId="53913E76" w:rsidR="00146DFB" w:rsidRDefault="00146DFB" w:rsidP="00097B2E">
      <w:pPr>
        <w:jc w:val="both"/>
        <w:rPr>
          <w:rFonts w:ascii="Abadi" w:hAnsi="Abadi"/>
          <w:sz w:val="21"/>
          <w:szCs w:val="21"/>
        </w:rPr>
      </w:pPr>
    </w:p>
    <w:p w14:paraId="1136CBD5" w14:textId="77777777" w:rsidR="00844A37" w:rsidRPr="00C351F7" w:rsidRDefault="00844A37" w:rsidP="00844A37">
      <w:pPr>
        <w:jc w:val="both"/>
        <w:rPr>
          <w:rFonts w:ascii="Abadi" w:hAnsi="Abadi"/>
          <w:b/>
          <w:bCs/>
          <w:sz w:val="21"/>
          <w:szCs w:val="21"/>
        </w:rPr>
      </w:pPr>
      <w:r w:rsidRPr="00C351F7">
        <w:rPr>
          <w:rFonts w:ascii="Abadi" w:hAnsi="Abadi"/>
          <w:b/>
          <w:bCs/>
          <w:sz w:val="21"/>
          <w:szCs w:val="21"/>
        </w:rPr>
        <w:t xml:space="preserve">- Diputado Gustavo </w:t>
      </w:r>
      <w:bookmarkStart w:id="3" w:name="_Hlk106276726"/>
      <w:r w:rsidRPr="00C351F7">
        <w:rPr>
          <w:rFonts w:ascii="Abadi" w:hAnsi="Abadi"/>
          <w:b/>
          <w:bCs/>
          <w:sz w:val="21"/>
          <w:szCs w:val="21"/>
        </w:rPr>
        <w:t xml:space="preserve">Adolfo Alfaro Reyes </w:t>
      </w:r>
      <w:bookmarkEnd w:id="3"/>
      <w:r w:rsidRPr="00C351F7">
        <w:rPr>
          <w:rFonts w:ascii="Abadi" w:hAnsi="Abadi"/>
          <w:b/>
          <w:bCs/>
          <w:sz w:val="21"/>
          <w:szCs w:val="21"/>
        </w:rPr>
        <w:t>-</w:t>
      </w:r>
    </w:p>
    <w:p w14:paraId="7E367275" w14:textId="77777777" w:rsidR="00844A37" w:rsidRPr="00C351F7" w:rsidRDefault="00844A37" w:rsidP="00844A37">
      <w:pPr>
        <w:jc w:val="both"/>
        <w:rPr>
          <w:rFonts w:ascii="Abadi" w:hAnsi="Abadi"/>
          <w:sz w:val="21"/>
          <w:szCs w:val="21"/>
        </w:rPr>
      </w:pPr>
    </w:p>
    <w:p w14:paraId="09D1E8AB" w14:textId="77777777" w:rsidR="00844A37" w:rsidRPr="00C351F7" w:rsidRDefault="00844A37" w:rsidP="00844A37">
      <w:pPr>
        <w:jc w:val="both"/>
        <w:rPr>
          <w:rFonts w:ascii="Abadi" w:hAnsi="Abadi"/>
          <w:sz w:val="21"/>
          <w:szCs w:val="21"/>
        </w:rPr>
      </w:pPr>
      <w:r w:rsidRPr="00C351F7">
        <w:rPr>
          <w:rFonts w:ascii="Abadi" w:hAnsi="Abadi"/>
          <w:sz w:val="21"/>
          <w:szCs w:val="21"/>
        </w:rPr>
        <w:t>- Muchas gracias, presidenta, con su permiso, muy buenos días tengan todas y todos ustedes, compañeras, compañeros, diputados a los que nos acompañan en este recinto, muy bienvenidos sean a los que nos ven por los distintos, medios virtuales, medios de comunicación, acudo a esta soberanía a presentar la siguiente iniciativa con proyecto de decreto. Por el que se reforma el artículo 2890 del Código Civil para el Estado de Guanajuato, con la finalidad. De que, en los casos de inexistencia o incomparecencia de herederos en juicio sucesorio, se amplíe el término de 2 a 5 años para que puedan reclamar la herencia a partir de que la Universidad de Guanajuato promueva y sea declarada heredera. Y que en el caso de menores de 18 años el término para reclamar herencia sea de 10 años conforme a la siguiente.</w:t>
      </w:r>
    </w:p>
    <w:p w14:paraId="233ED901" w14:textId="77777777" w:rsidR="00C351F7" w:rsidRDefault="00C351F7" w:rsidP="00844A37">
      <w:pPr>
        <w:jc w:val="both"/>
        <w:rPr>
          <w:rFonts w:ascii="Abadi" w:hAnsi="Abadi"/>
          <w:sz w:val="21"/>
          <w:szCs w:val="21"/>
        </w:rPr>
      </w:pPr>
    </w:p>
    <w:p w14:paraId="54D7ACD4" w14:textId="459293DA" w:rsidR="00844A37" w:rsidRDefault="00844A37" w:rsidP="00844A37">
      <w:pPr>
        <w:jc w:val="both"/>
        <w:rPr>
          <w:rFonts w:ascii="Abadi" w:hAnsi="Abadi"/>
          <w:sz w:val="21"/>
          <w:szCs w:val="21"/>
        </w:rPr>
      </w:pPr>
      <w:r w:rsidRPr="00C351F7">
        <w:rPr>
          <w:rFonts w:ascii="Abadi" w:hAnsi="Abadi"/>
          <w:sz w:val="21"/>
          <w:szCs w:val="21"/>
        </w:rPr>
        <w:t xml:space="preserve">- Exposición de motivos. </w:t>
      </w:r>
    </w:p>
    <w:p w14:paraId="2E712483" w14:textId="77777777" w:rsidR="00C351F7" w:rsidRPr="00C351F7" w:rsidRDefault="00C351F7" w:rsidP="00844A37">
      <w:pPr>
        <w:jc w:val="both"/>
        <w:rPr>
          <w:rFonts w:ascii="Abadi" w:hAnsi="Abadi"/>
          <w:sz w:val="21"/>
          <w:szCs w:val="21"/>
        </w:rPr>
      </w:pPr>
    </w:p>
    <w:p w14:paraId="710E3082" w14:textId="5BD78619" w:rsidR="00844A37" w:rsidRDefault="00844A37" w:rsidP="00844A37">
      <w:pPr>
        <w:jc w:val="both"/>
        <w:rPr>
          <w:rFonts w:ascii="Abadi" w:hAnsi="Abadi"/>
          <w:sz w:val="21"/>
          <w:szCs w:val="21"/>
        </w:rPr>
      </w:pPr>
      <w:r w:rsidRPr="00C351F7">
        <w:rPr>
          <w:rFonts w:ascii="Abadi" w:hAnsi="Abadi"/>
          <w:sz w:val="21"/>
          <w:szCs w:val="21"/>
        </w:rPr>
        <w:t xml:space="preserve">- El derecho hereditario sucesorios siempre ha sido un tema de gran interés científico y técnico porque el punto central en torno al que se desenvuelve la doctrina de este derecho es el concepto de herencia que se define en sentido objetivo, como todo el patrimonio de un fallecido considerado como una unidad que abarca y comprende toda relación jurídica del causante, independientemente de los elementos singulares que lo integran, el Código Civil, para el Estado de Guanajuato en su artículo 2537 define a la herencia como la sucesión en todos los bienes del difunto y en todos sus derechos obligaciones. Que no se extinguen por la muerte. el Código Civil en esta entidad, en su artículo 2539, establece que en el caso de Testamento el testador puede disponer de todo o en parte de sus bienes, y que la parte de la que no disponga quedará regida por la sucesión legítima, es decir. La que regula la ley, que es el caso en que, si no existen herederos, es la Universidad de Guanajuato la que comparece a denunciar la sucesión en forma oficiosa y pretender ser declarada heredera de los bienes. </w:t>
      </w:r>
    </w:p>
    <w:p w14:paraId="76404F03" w14:textId="77777777" w:rsidR="00C351F7" w:rsidRPr="00C351F7" w:rsidRDefault="00C351F7" w:rsidP="00844A37">
      <w:pPr>
        <w:jc w:val="both"/>
        <w:rPr>
          <w:rFonts w:ascii="Abadi" w:hAnsi="Abadi"/>
          <w:sz w:val="21"/>
          <w:szCs w:val="21"/>
        </w:rPr>
      </w:pPr>
    </w:p>
    <w:p w14:paraId="4867CFDB" w14:textId="3D17C7CA" w:rsidR="00844A37" w:rsidRDefault="00844A37" w:rsidP="00844A37">
      <w:pPr>
        <w:jc w:val="both"/>
        <w:rPr>
          <w:rFonts w:ascii="Abadi" w:hAnsi="Abadi"/>
          <w:sz w:val="21"/>
          <w:szCs w:val="21"/>
        </w:rPr>
      </w:pPr>
      <w:r w:rsidRPr="00C351F7">
        <w:rPr>
          <w:rFonts w:ascii="Abadi" w:hAnsi="Abadi"/>
          <w:sz w:val="21"/>
          <w:szCs w:val="21"/>
        </w:rPr>
        <w:t>- La ley civil referida en su numeral 2540, indica que el heredero es aquel que adquiere a título universal. Y responde de las cargas de la herencia hasta donde alcance la cuantía de los bienes que hereda.</w:t>
      </w:r>
    </w:p>
    <w:p w14:paraId="545874B6" w14:textId="77777777" w:rsidR="00C351F7" w:rsidRPr="00C351F7" w:rsidRDefault="00C351F7" w:rsidP="00844A37">
      <w:pPr>
        <w:jc w:val="both"/>
        <w:rPr>
          <w:rFonts w:ascii="Abadi" w:hAnsi="Abadi"/>
          <w:sz w:val="21"/>
          <w:szCs w:val="21"/>
        </w:rPr>
      </w:pPr>
    </w:p>
    <w:p w14:paraId="519DDC4D" w14:textId="60824C46" w:rsidR="00844A37" w:rsidRDefault="00844A37" w:rsidP="00844A37">
      <w:pPr>
        <w:jc w:val="both"/>
        <w:rPr>
          <w:rFonts w:ascii="Abadi" w:hAnsi="Abadi"/>
          <w:sz w:val="21"/>
          <w:szCs w:val="21"/>
        </w:rPr>
      </w:pPr>
      <w:r w:rsidRPr="00C351F7">
        <w:rPr>
          <w:rFonts w:ascii="Abadi" w:hAnsi="Abadi"/>
          <w:sz w:val="21"/>
          <w:szCs w:val="21"/>
        </w:rPr>
        <w:t xml:space="preserve">-  Según la doctrina dominante en esta materia. El heredero es aquel a quien se le atribuye la universalidad del patrimonio o una parte alícuota del mismo. Así se es heredero de una o varias cosas. </w:t>
      </w:r>
    </w:p>
    <w:p w14:paraId="01B4F153" w14:textId="77777777" w:rsidR="00C351F7" w:rsidRPr="00C351F7" w:rsidRDefault="00C351F7" w:rsidP="00844A37">
      <w:pPr>
        <w:jc w:val="both"/>
        <w:rPr>
          <w:rFonts w:ascii="Abadi" w:hAnsi="Abadi"/>
          <w:sz w:val="21"/>
          <w:szCs w:val="21"/>
        </w:rPr>
      </w:pPr>
    </w:p>
    <w:p w14:paraId="30194459" w14:textId="159AB31B" w:rsidR="00844A37" w:rsidRDefault="00844A37" w:rsidP="00844A37">
      <w:pPr>
        <w:jc w:val="both"/>
        <w:rPr>
          <w:rFonts w:ascii="Abadi" w:hAnsi="Abadi"/>
          <w:sz w:val="21"/>
          <w:szCs w:val="21"/>
        </w:rPr>
      </w:pPr>
      <w:r w:rsidRPr="00C351F7">
        <w:rPr>
          <w:rFonts w:ascii="Abadi" w:hAnsi="Abadi"/>
          <w:sz w:val="21"/>
          <w:szCs w:val="21"/>
        </w:rPr>
        <w:t xml:space="preserve">- Ahora bien, toda persona de cualquier edad puede heredar. Es decir, los menores o recién nacidos cuentan con esta capacidad, sobre todo a efecto de proteger su derecho a alimentos conforme a lo que dispone el artículo 2569 del Código Civil para el Estado de Guanajuato. </w:t>
      </w:r>
    </w:p>
    <w:p w14:paraId="6AD5BDE4" w14:textId="77777777" w:rsidR="00C351F7" w:rsidRPr="00C351F7" w:rsidRDefault="00C351F7" w:rsidP="00844A37">
      <w:pPr>
        <w:jc w:val="both"/>
        <w:rPr>
          <w:rFonts w:ascii="Abadi" w:hAnsi="Abadi"/>
          <w:sz w:val="21"/>
          <w:szCs w:val="21"/>
        </w:rPr>
      </w:pPr>
    </w:p>
    <w:p w14:paraId="545FE405" w14:textId="24E2D5AE" w:rsidR="00844A37" w:rsidRDefault="00844A37" w:rsidP="00844A37">
      <w:pPr>
        <w:jc w:val="both"/>
        <w:rPr>
          <w:rFonts w:ascii="Abadi" w:hAnsi="Abadi"/>
          <w:sz w:val="21"/>
          <w:szCs w:val="21"/>
        </w:rPr>
      </w:pPr>
      <w:r w:rsidRPr="00C351F7">
        <w:rPr>
          <w:rFonts w:ascii="Abadi" w:hAnsi="Abadi"/>
          <w:sz w:val="21"/>
          <w:szCs w:val="21"/>
        </w:rPr>
        <w:t xml:space="preserve">- En la sucesión legítima, en la que no hay testamento, en la que interviene oficiosamente la Universidad de Guanajuato, Regulado en el capítulo denominado de la sucesión de la Universidad de Guanajuato, por el Código Civil para el Estado de Guanajuato, en los artículos 2874 y 2875. así, habrá casos en que la sucesión legítima no existan herederos, o habiéndolos no concurran a reclamar, citándose como ejemplo el caso de personas de la tercera edad que son extranjeros y que establecen su residencia en alguna ciudad de esta entidad federativa, a efecto de pasar su vejez y que al fallecer, han construido su patrimonio en el Estado de Guanajuato, sobre todo inmobiliario, sin contar con familiares en este país para heredar, por qué no, por ello, y por no comparecer a reclamar herencia en los 2 años que actualmente dice la ley civil sea la Universidad la que se apropien de este patrimonio porque la comparecencia a reclamar herencia, puede ser por diversas razones, más no porque no existan herederos, es decir, porque ignoran que han fallecido el familiar e ignoran donde se ubican sus bienes, incluso hasta por problemas familiares. </w:t>
      </w:r>
    </w:p>
    <w:p w14:paraId="2D2C45CF" w14:textId="77777777" w:rsidR="00C351F7" w:rsidRPr="00C351F7" w:rsidRDefault="00C351F7" w:rsidP="00844A37">
      <w:pPr>
        <w:jc w:val="both"/>
        <w:rPr>
          <w:rFonts w:ascii="Abadi" w:hAnsi="Abadi"/>
          <w:sz w:val="21"/>
          <w:szCs w:val="21"/>
        </w:rPr>
      </w:pPr>
    </w:p>
    <w:p w14:paraId="7DBB7DE9" w14:textId="7ED4A4D2" w:rsidR="00844A37" w:rsidRDefault="00844A37" w:rsidP="00844A37">
      <w:pPr>
        <w:jc w:val="both"/>
        <w:rPr>
          <w:rFonts w:ascii="Abadi" w:hAnsi="Abadi"/>
          <w:sz w:val="21"/>
          <w:szCs w:val="21"/>
        </w:rPr>
      </w:pPr>
      <w:r w:rsidRPr="00C351F7">
        <w:rPr>
          <w:rFonts w:ascii="Abadi" w:hAnsi="Abadi"/>
          <w:sz w:val="21"/>
          <w:szCs w:val="21"/>
        </w:rPr>
        <w:t xml:space="preserve">- Es común que estos supuestos, en los que la Universidad de Guanajuato, por disposición legal y de forma oficiosa, inician la sucesión para heredar los bienes del fallecido en forma legítima, se queda con el caudal hereditario. Una vez desahogado el procedimiento sucesorio, ante la incomparecencia de herederos y se integran al patrimonio institucional de la Universidad. Que, conforme a sus disposiciones normativas internas, sobre todo en caso de existir. Inmuebles si éstos no se adaptan a la finalidad de su función, podrán ser enajenados o vendidos, cubriendo ciertos requisitos de normas internas, disponiendo del producto de la venta. Así también el artículo 2890 de la ley sustantiva civil establece que el derecho de reclamar la herencia. En los casos en que suceda la Universidad de Guanajuato prescribe en el término de 2 años, por estas razones nuestra fracción parlamentaria. Considera que debe ser actualizada la norma del Código Civil porque es a partir de junio del 2011. </w:t>
      </w:r>
    </w:p>
    <w:p w14:paraId="3EC407C5" w14:textId="77777777" w:rsidR="00C351F7" w:rsidRPr="00C351F7" w:rsidRDefault="00C351F7" w:rsidP="00844A37">
      <w:pPr>
        <w:jc w:val="both"/>
        <w:rPr>
          <w:rFonts w:ascii="Abadi" w:hAnsi="Abadi"/>
          <w:sz w:val="21"/>
          <w:szCs w:val="21"/>
        </w:rPr>
      </w:pPr>
    </w:p>
    <w:p w14:paraId="1CDA5BA4" w14:textId="6B6A3B69" w:rsidR="00844A37" w:rsidRDefault="00844A37" w:rsidP="00844A37">
      <w:pPr>
        <w:jc w:val="both"/>
        <w:rPr>
          <w:rFonts w:ascii="Abadi" w:hAnsi="Abadi"/>
          <w:sz w:val="21"/>
          <w:szCs w:val="21"/>
        </w:rPr>
      </w:pPr>
      <w:r w:rsidRPr="00C351F7">
        <w:rPr>
          <w:rFonts w:ascii="Abadi" w:hAnsi="Abadi"/>
          <w:sz w:val="21"/>
          <w:szCs w:val="21"/>
        </w:rPr>
        <w:t xml:space="preserve">- En que el Estado mexicano se ha visto forzado a tomar acciones preponderantemente en materia de Derechos Humanos, en donde cobra enorme relevancia las tendientes a proteger los derechos de las niñas, niños y adolescentes que por sus condiciones particulares merecen especial atención y cuidado. Con el fin de garantizarles en todo momento el máximo de protección a la esfera de sus derechos humanos, como es la posibilidad de adquirir patrimonio mediante la sucesión aún a efecto de garantizar alimentos y su supervivencia futura. </w:t>
      </w:r>
    </w:p>
    <w:p w14:paraId="65761A1D" w14:textId="77777777" w:rsidR="00C351F7" w:rsidRPr="00C351F7" w:rsidRDefault="00C351F7" w:rsidP="00844A37">
      <w:pPr>
        <w:jc w:val="both"/>
        <w:rPr>
          <w:rFonts w:ascii="Abadi" w:hAnsi="Abadi"/>
          <w:sz w:val="21"/>
          <w:szCs w:val="21"/>
        </w:rPr>
      </w:pPr>
    </w:p>
    <w:p w14:paraId="7FFA7020" w14:textId="0B804597" w:rsidR="00844A37" w:rsidRDefault="00844A37" w:rsidP="00844A37">
      <w:pPr>
        <w:jc w:val="both"/>
        <w:rPr>
          <w:rFonts w:ascii="Abadi" w:hAnsi="Abadi"/>
          <w:sz w:val="21"/>
          <w:szCs w:val="21"/>
        </w:rPr>
      </w:pPr>
      <w:r w:rsidRPr="00C351F7">
        <w:rPr>
          <w:rFonts w:ascii="Abadi" w:hAnsi="Abadi"/>
          <w:sz w:val="21"/>
          <w:szCs w:val="21"/>
        </w:rPr>
        <w:t xml:space="preserve">- Es así como una de las más graves expresiones y lacerantes formas en que son víctimas las niñas, niños y adolescentes en el mundo y en nuestro país, son las relacionadas con posible perjuicio a su patrimonio por no comparecer a reclamar su derecho en forma directa o a través de representante o tutor, o bien le corra en su perjuicio el término de prescripción de su derecho a reclamar que, como puede verse, es demasiado corto. </w:t>
      </w:r>
    </w:p>
    <w:p w14:paraId="52FA67BA" w14:textId="77777777" w:rsidR="00C351F7" w:rsidRPr="00C351F7" w:rsidRDefault="00C351F7" w:rsidP="00844A37">
      <w:pPr>
        <w:jc w:val="both"/>
        <w:rPr>
          <w:rFonts w:ascii="Abadi" w:hAnsi="Abadi"/>
          <w:sz w:val="21"/>
          <w:szCs w:val="21"/>
        </w:rPr>
      </w:pPr>
    </w:p>
    <w:p w14:paraId="45AC7BC1" w14:textId="39A66B64" w:rsidR="00844A37" w:rsidRDefault="00844A37" w:rsidP="00844A37">
      <w:pPr>
        <w:jc w:val="both"/>
        <w:rPr>
          <w:rFonts w:ascii="Abadi" w:hAnsi="Abadi"/>
          <w:sz w:val="21"/>
          <w:szCs w:val="21"/>
        </w:rPr>
      </w:pPr>
      <w:r w:rsidRPr="00C351F7">
        <w:rPr>
          <w:rFonts w:ascii="Abadi" w:hAnsi="Abadi"/>
          <w:sz w:val="21"/>
          <w:szCs w:val="21"/>
        </w:rPr>
        <w:t xml:space="preserve">- Es así que el interés superior de la niñez obliga a que esta disposición sea modificada en su beneficio, a efecto de garantizar su derecho humano a heredar para que su derecho a reclamar herencia se sujete al término de prescripción del derecho de petición de herencia establecido en la misma ley civil para cualquier ciudadano, es decir, de 10 años. </w:t>
      </w:r>
    </w:p>
    <w:p w14:paraId="4072B46B" w14:textId="77777777" w:rsidR="00C351F7" w:rsidRPr="00C351F7" w:rsidRDefault="00C351F7" w:rsidP="00844A37">
      <w:pPr>
        <w:jc w:val="both"/>
        <w:rPr>
          <w:rFonts w:ascii="Abadi" w:hAnsi="Abadi"/>
          <w:sz w:val="21"/>
          <w:szCs w:val="21"/>
        </w:rPr>
      </w:pPr>
    </w:p>
    <w:p w14:paraId="051465F8" w14:textId="765FF4B5" w:rsidR="00844A37" w:rsidRDefault="00844A37" w:rsidP="00844A37">
      <w:pPr>
        <w:jc w:val="both"/>
        <w:rPr>
          <w:rFonts w:ascii="Abadi" w:hAnsi="Abadi"/>
          <w:sz w:val="21"/>
          <w:szCs w:val="21"/>
        </w:rPr>
      </w:pPr>
      <w:r w:rsidRPr="00C351F7">
        <w:rPr>
          <w:rFonts w:ascii="Abadi" w:hAnsi="Abadi"/>
          <w:sz w:val="21"/>
          <w:szCs w:val="21"/>
        </w:rPr>
        <w:t>- A partir de la declaratoria, como era heredera la Universidad, y no a partir del fallecimiento del propietario de los bienes, en el supuesto de menores de 18 años a los que se consideran niñas y niños y adolescentes conforme a los instrumentos internacionales y que el hecho de cumplir la mayoría de edad no sea obstáculo para hacer válida esta reclamación dentro del término de los 10 años.</w:t>
      </w:r>
    </w:p>
    <w:p w14:paraId="5A3BB69E" w14:textId="77777777" w:rsidR="00C351F7" w:rsidRPr="00C351F7" w:rsidRDefault="00C351F7" w:rsidP="00844A37">
      <w:pPr>
        <w:jc w:val="both"/>
        <w:rPr>
          <w:rFonts w:ascii="Abadi" w:hAnsi="Abadi"/>
          <w:sz w:val="21"/>
          <w:szCs w:val="21"/>
        </w:rPr>
      </w:pPr>
    </w:p>
    <w:p w14:paraId="7A98A02D" w14:textId="77777777" w:rsidR="00844A37" w:rsidRPr="00C351F7" w:rsidRDefault="00844A37" w:rsidP="00844A37">
      <w:pPr>
        <w:jc w:val="both"/>
        <w:rPr>
          <w:rFonts w:ascii="Abadi" w:hAnsi="Abadi"/>
          <w:sz w:val="21"/>
          <w:szCs w:val="21"/>
        </w:rPr>
      </w:pPr>
      <w:r w:rsidRPr="00C351F7">
        <w:rPr>
          <w:rFonts w:ascii="Abadi" w:hAnsi="Abadi"/>
          <w:sz w:val="21"/>
          <w:szCs w:val="21"/>
        </w:rPr>
        <w:t>-  La presente iniciativa cumple con los requisitos establecidos por el artículo 209 de la Ley Orgánica del poder legislativo del Estado de Guanajuato, por lo anteriormente expuesto, someto a la consideración de este Honorable Congreso el siguiente:</w:t>
      </w:r>
    </w:p>
    <w:p w14:paraId="156C4A02" w14:textId="77777777" w:rsidR="00C351F7" w:rsidRDefault="00C351F7" w:rsidP="00844A37">
      <w:pPr>
        <w:jc w:val="both"/>
        <w:rPr>
          <w:rFonts w:ascii="Abadi" w:hAnsi="Abadi"/>
          <w:sz w:val="21"/>
          <w:szCs w:val="21"/>
        </w:rPr>
      </w:pPr>
    </w:p>
    <w:p w14:paraId="4C45CA52" w14:textId="1C638CC9" w:rsidR="00844A37" w:rsidRDefault="00844A37" w:rsidP="00844A37">
      <w:pPr>
        <w:jc w:val="both"/>
        <w:rPr>
          <w:rFonts w:ascii="Abadi" w:hAnsi="Abadi"/>
          <w:sz w:val="21"/>
          <w:szCs w:val="21"/>
        </w:rPr>
      </w:pPr>
      <w:r w:rsidRPr="00C351F7">
        <w:rPr>
          <w:rFonts w:ascii="Abadi" w:hAnsi="Abadi"/>
          <w:sz w:val="21"/>
          <w:szCs w:val="21"/>
        </w:rPr>
        <w:t xml:space="preserve">- Decreto </w:t>
      </w:r>
    </w:p>
    <w:p w14:paraId="321CAB33" w14:textId="77777777" w:rsidR="005C106B" w:rsidRPr="00C351F7" w:rsidRDefault="005C106B" w:rsidP="00844A37">
      <w:pPr>
        <w:jc w:val="both"/>
        <w:rPr>
          <w:rFonts w:ascii="Abadi" w:hAnsi="Abadi"/>
          <w:sz w:val="21"/>
          <w:szCs w:val="21"/>
        </w:rPr>
      </w:pPr>
    </w:p>
    <w:p w14:paraId="2C6F7BE4" w14:textId="6C951D2E" w:rsidR="00844A37" w:rsidRDefault="00844A37" w:rsidP="00844A37">
      <w:pPr>
        <w:jc w:val="both"/>
        <w:rPr>
          <w:rFonts w:ascii="Abadi" w:hAnsi="Abadi"/>
          <w:sz w:val="21"/>
          <w:szCs w:val="21"/>
        </w:rPr>
      </w:pPr>
      <w:r w:rsidRPr="00C351F7">
        <w:rPr>
          <w:rFonts w:ascii="Abadi" w:hAnsi="Abadi"/>
          <w:sz w:val="21"/>
          <w:szCs w:val="21"/>
        </w:rPr>
        <w:t>- Único, se reforma el artículo 2890 del Código Civil para el Estado de Guanajuato, para quedar como sigue, artículo 2890. Párrafo tercero y cuarto, el derecho de reclamar la herencia en los casos en que suceda la Universidad de Guanajuato prescribe en el término de 5 años, contados a partir de la declaración de herederos en el caso del párrafo anterior, cuando se trate de menores de 18 años en el momento de la muerte del autor de la sucesión prescribe en el término de 10 años a partir de la declaración de herederos, con independencia de que adquieran la mayoría de edad.</w:t>
      </w:r>
    </w:p>
    <w:p w14:paraId="2F8D6D3D" w14:textId="77777777" w:rsidR="00C351F7" w:rsidRPr="00C351F7" w:rsidRDefault="00C351F7" w:rsidP="00844A37">
      <w:pPr>
        <w:jc w:val="both"/>
        <w:rPr>
          <w:rFonts w:ascii="Abadi" w:hAnsi="Abadi"/>
          <w:sz w:val="21"/>
          <w:szCs w:val="21"/>
        </w:rPr>
      </w:pPr>
    </w:p>
    <w:p w14:paraId="4BF093F9" w14:textId="77777777" w:rsidR="00844A37" w:rsidRPr="00C351F7" w:rsidRDefault="00844A37" w:rsidP="00844A37">
      <w:pPr>
        <w:jc w:val="both"/>
        <w:rPr>
          <w:rFonts w:ascii="Abadi" w:hAnsi="Abadi"/>
          <w:sz w:val="21"/>
          <w:szCs w:val="21"/>
        </w:rPr>
      </w:pPr>
      <w:r w:rsidRPr="00C351F7">
        <w:rPr>
          <w:rFonts w:ascii="Abadi" w:hAnsi="Abadi"/>
          <w:sz w:val="21"/>
          <w:szCs w:val="21"/>
        </w:rPr>
        <w:t xml:space="preserve">- Transitorio, artículo único. El presente decreto entrará en vigor al siguiente día de su publicación en el periódico oficial del Estado de Guanajuato. </w:t>
      </w:r>
    </w:p>
    <w:p w14:paraId="1E458892" w14:textId="77777777" w:rsidR="00C351F7" w:rsidRDefault="00C351F7" w:rsidP="00844A37">
      <w:pPr>
        <w:jc w:val="both"/>
        <w:rPr>
          <w:rFonts w:ascii="Abadi" w:hAnsi="Abadi"/>
          <w:sz w:val="21"/>
          <w:szCs w:val="21"/>
        </w:rPr>
      </w:pPr>
    </w:p>
    <w:p w14:paraId="67698F7F" w14:textId="4B7BE72A" w:rsidR="00844A37" w:rsidRDefault="00844A37" w:rsidP="00844A37">
      <w:pPr>
        <w:jc w:val="both"/>
        <w:rPr>
          <w:rFonts w:ascii="Abadi" w:hAnsi="Abadi"/>
          <w:sz w:val="21"/>
          <w:szCs w:val="21"/>
        </w:rPr>
      </w:pPr>
      <w:r w:rsidRPr="00C351F7">
        <w:rPr>
          <w:rFonts w:ascii="Abadi" w:hAnsi="Abadi"/>
          <w:sz w:val="21"/>
          <w:szCs w:val="21"/>
        </w:rPr>
        <w:t>- Es cuanto</w:t>
      </w:r>
      <w:r w:rsidR="00BD55A7">
        <w:rPr>
          <w:rFonts w:ascii="Abadi" w:hAnsi="Abadi"/>
          <w:sz w:val="21"/>
          <w:szCs w:val="21"/>
        </w:rPr>
        <w:t>,</w:t>
      </w:r>
      <w:r w:rsidRPr="00C351F7">
        <w:rPr>
          <w:rFonts w:ascii="Abadi" w:hAnsi="Abadi"/>
          <w:sz w:val="21"/>
          <w:szCs w:val="21"/>
        </w:rPr>
        <w:t xml:space="preserve"> Presidenta.</w:t>
      </w:r>
    </w:p>
    <w:p w14:paraId="4927A253" w14:textId="77777777" w:rsidR="00C351F7" w:rsidRPr="00C351F7" w:rsidRDefault="00C351F7" w:rsidP="00844A37">
      <w:pPr>
        <w:jc w:val="both"/>
        <w:rPr>
          <w:rFonts w:ascii="Abadi" w:hAnsi="Abadi"/>
          <w:sz w:val="21"/>
          <w:szCs w:val="21"/>
        </w:rPr>
      </w:pPr>
    </w:p>
    <w:p w14:paraId="57B2E562" w14:textId="47353ED2" w:rsidR="00844A37" w:rsidRPr="00C351F7" w:rsidRDefault="00C351F7" w:rsidP="00C351F7">
      <w:pPr>
        <w:ind w:firstLine="567"/>
        <w:jc w:val="both"/>
        <w:rPr>
          <w:rFonts w:ascii="Abadi" w:hAnsi="Abadi"/>
          <w:sz w:val="21"/>
          <w:szCs w:val="21"/>
        </w:rPr>
      </w:pPr>
      <w:r>
        <w:rPr>
          <w:rFonts w:ascii="Abadi" w:hAnsi="Abadi"/>
          <w:b/>
          <w:bCs/>
          <w:sz w:val="21"/>
          <w:szCs w:val="21"/>
        </w:rPr>
        <w:t xml:space="preserve">- </w:t>
      </w:r>
      <w:r w:rsidR="00844A37" w:rsidRPr="00C351F7">
        <w:rPr>
          <w:rFonts w:ascii="Abadi" w:hAnsi="Abadi"/>
          <w:b/>
          <w:bCs/>
          <w:sz w:val="21"/>
          <w:szCs w:val="21"/>
        </w:rPr>
        <w:t>La Presidencia.-</w:t>
      </w:r>
      <w:r w:rsidR="00844A37" w:rsidRPr="00C351F7">
        <w:rPr>
          <w:rFonts w:ascii="Abadi" w:hAnsi="Abadi"/>
          <w:sz w:val="21"/>
          <w:szCs w:val="21"/>
        </w:rPr>
        <w:t xml:space="preserve"> Muchas gracias, diputado.</w:t>
      </w:r>
    </w:p>
    <w:p w14:paraId="0516D02C" w14:textId="77777777" w:rsidR="00844A37" w:rsidRPr="00C351F7" w:rsidRDefault="00844A37" w:rsidP="00844A37">
      <w:pPr>
        <w:jc w:val="both"/>
        <w:rPr>
          <w:rFonts w:ascii="Abadi" w:hAnsi="Abadi"/>
          <w:sz w:val="21"/>
          <w:szCs w:val="21"/>
        </w:rPr>
      </w:pPr>
    </w:p>
    <w:p w14:paraId="573CED38" w14:textId="77777777" w:rsidR="00844A37" w:rsidRPr="00C351F7" w:rsidRDefault="00844A37" w:rsidP="00844A37">
      <w:pPr>
        <w:ind w:left="567" w:right="333"/>
        <w:jc w:val="both"/>
        <w:rPr>
          <w:rFonts w:ascii="Abadi" w:hAnsi="Abadi"/>
          <w:b/>
          <w:bCs/>
          <w:i/>
          <w:iCs/>
          <w:sz w:val="21"/>
          <w:szCs w:val="21"/>
          <w:u w:val="single"/>
        </w:rPr>
      </w:pPr>
      <w:r w:rsidRPr="00C351F7">
        <w:rPr>
          <w:rFonts w:ascii="Abadi" w:hAnsi="Abadi"/>
          <w:b/>
          <w:bCs/>
          <w:i/>
          <w:iCs/>
          <w:sz w:val="21"/>
          <w:szCs w:val="21"/>
          <w:u w:val="single"/>
        </w:rPr>
        <w:t>Con fundamento en el artículo 113, fracción II de nuestra Ley orgánica se turna a la Comisión de Justicia, para su estudio y dictamen.</w:t>
      </w:r>
    </w:p>
    <w:p w14:paraId="0616130E" w14:textId="77777777" w:rsidR="00146DFB" w:rsidRPr="00A71292" w:rsidRDefault="00146DFB" w:rsidP="00097B2E">
      <w:pPr>
        <w:jc w:val="both"/>
        <w:rPr>
          <w:rFonts w:ascii="Abadi" w:hAnsi="Abadi"/>
          <w:sz w:val="21"/>
          <w:szCs w:val="21"/>
        </w:rPr>
      </w:pPr>
    </w:p>
    <w:p w14:paraId="746EC067" w14:textId="77777777" w:rsidR="006F3002" w:rsidRPr="00293312" w:rsidRDefault="006F3002" w:rsidP="006F3002">
      <w:pPr>
        <w:autoSpaceDE w:val="0"/>
        <w:autoSpaceDN w:val="0"/>
        <w:adjustRightInd w:val="0"/>
        <w:jc w:val="both"/>
        <w:rPr>
          <w:rFonts w:ascii="Abadi" w:hAnsi="Abadi" w:cs="Arial-BoldMT"/>
          <w:b/>
          <w:bCs/>
          <w:sz w:val="20"/>
          <w:szCs w:val="21"/>
        </w:rPr>
      </w:pPr>
    </w:p>
    <w:p w14:paraId="57D832FE" w14:textId="4D5ED763"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PRESENTACIÓN DE LA INICIATIVA EMITIDA POR EL DIPUTADO CUAUHTÉMOC BECERRA GONZÁLEZ INTEGRANTE DEL GRUPO PARLAMENTARIO DEL PARTIDO MORENA A EFECTO DE ADICIONAR UN SEGUNDO PÁRRAFO AL ARTÍCULO 56 DE LA LEY DE PROPIEDAD EN CONDOMINIO DE INMUEBLES PARA EL ESTADO DE GUANAJUATO.</w:t>
      </w:r>
    </w:p>
    <w:p w14:paraId="4A79C735" w14:textId="57A12EF3" w:rsidR="00181642" w:rsidRDefault="00181642" w:rsidP="00181642">
      <w:pPr>
        <w:autoSpaceDE w:val="0"/>
        <w:autoSpaceDN w:val="0"/>
        <w:adjustRightInd w:val="0"/>
        <w:jc w:val="both"/>
        <w:rPr>
          <w:rFonts w:ascii="Abadi" w:hAnsi="Abadi" w:cs="ArialMT"/>
          <w:b/>
          <w:bCs/>
          <w:sz w:val="20"/>
          <w:szCs w:val="21"/>
        </w:rPr>
      </w:pPr>
    </w:p>
    <w:p w14:paraId="51926A1B" w14:textId="77777777" w:rsidR="00181642" w:rsidRPr="00440CCF" w:rsidRDefault="00181642" w:rsidP="00181642">
      <w:pPr>
        <w:autoSpaceDE w:val="0"/>
        <w:autoSpaceDN w:val="0"/>
        <w:adjustRightInd w:val="0"/>
        <w:jc w:val="both"/>
        <w:rPr>
          <w:rFonts w:ascii="Abadi" w:hAnsi="Abadi" w:cs="Arial"/>
          <w:sz w:val="21"/>
          <w:szCs w:val="21"/>
        </w:rPr>
      </w:pPr>
      <w:bookmarkStart w:id="4" w:name="_Hlk105922204"/>
      <w:r w:rsidRPr="00440CCF">
        <w:rPr>
          <w:rFonts w:ascii="Abadi" w:hAnsi="Abadi" w:cs="Arial"/>
          <w:sz w:val="21"/>
          <w:szCs w:val="21"/>
        </w:rPr>
        <w:t>Diputada Irma Leticia González Sánchez</w:t>
      </w:r>
    </w:p>
    <w:p w14:paraId="78FD647F"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Presidenta de la Mesa Directiva</w:t>
      </w:r>
    </w:p>
    <w:p w14:paraId="2C056269"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Congreso del Estado de Guanajuato</w:t>
      </w:r>
    </w:p>
    <w:p w14:paraId="659D1CCD"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Sexagésima Quinta Legislatura</w:t>
      </w:r>
    </w:p>
    <w:p w14:paraId="5766C953"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P r e s e n t e</w:t>
      </w:r>
    </w:p>
    <w:p w14:paraId="1D4661BA" w14:textId="77777777" w:rsidR="00181642" w:rsidRPr="00440CCF" w:rsidRDefault="00181642" w:rsidP="00181642">
      <w:pPr>
        <w:autoSpaceDE w:val="0"/>
        <w:autoSpaceDN w:val="0"/>
        <w:adjustRightInd w:val="0"/>
        <w:jc w:val="both"/>
        <w:rPr>
          <w:rFonts w:ascii="Abadi" w:hAnsi="Abadi" w:cs="Arial"/>
          <w:sz w:val="21"/>
          <w:szCs w:val="21"/>
        </w:rPr>
      </w:pPr>
    </w:p>
    <w:p w14:paraId="301FD79D" w14:textId="77777777" w:rsidR="00181642" w:rsidRPr="00440CCF" w:rsidRDefault="00181642" w:rsidP="00181642">
      <w:pPr>
        <w:spacing w:after="160" w:line="259" w:lineRule="auto"/>
        <w:jc w:val="both"/>
        <w:rPr>
          <w:rFonts w:ascii="Abadi" w:hAnsi="Abadi" w:cs="Arial"/>
          <w:sz w:val="21"/>
          <w:szCs w:val="21"/>
        </w:rPr>
      </w:pPr>
      <w:r w:rsidRPr="00440CCF">
        <w:rPr>
          <w:rFonts w:ascii="Abadi" w:hAnsi="Abadi" w:cs="Arial"/>
          <w:sz w:val="21"/>
          <w:szCs w:val="21"/>
        </w:rPr>
        <w:t xml:space="preserve">Quien suscribe, </w:t>
      </w:r>
      <w:r w:rsidRPr="00440CCF">
        <w:rPr>
          <w:rFonts w:ascii="Abadi" w:hAnsi="Abadi" w:cs="Arial"/>
          <w:b/>
          <w:bCs/>
          <w:sz w:val="21"/>
          <w:szCs w:val="21"/>
        </w:rPr>
        <w:t xml:space="preserve">Diputado Cuauhtémoc Becerra González, integrante del Grupo Parlamentario de Morena </w:t>
      </w:r>
      <w:r w:rsidRPr="00440CCF">
        <w:rPr>
          <w:rFonts w:ascii="Abadi" w:hAnsi="Abadi" w:cs="Arial"/>
          <w:sz w:val="21"/>
          <w:szCs w:val="21"/>
        </w:rPr>
        <w:t xml:space="preserve">en la Sexagésima Quinta Legislatura del Congreso del Estado de Guanajuato, con fundamento en lo dispuesto por los artículos 56, fracción II, de la Constitución Política para el Estado de Guanajuato; y en el artículo 167 fracción II de la Ley Orgánica del Poder Legislativo del Estado de Guanajuato, someto a consideración de esta Honorable Asamblea, la siguiente iniciativa con proyecto de Decreto por el que se adiciona un segundo párrafo al </w:t>
      </w:r>
      <w:r w:rsidRPr="00440CCF">
        <w:rPr>
          <w:rFonts w:ascii="Abadi" w:hAnsi="Abadi" w:cs="Arial"/>
          <w:b/>
          <w:bCs/>
          <w:sz w:val="21"/>
          <w:szCs w:val="21"/>
        </w:rPr>
        <w:t xml:space="preserve">artículo 56 </w:t>
      </w:r>
      <w:r w:rsidRPr="00440CCF">
        <w:rPr>
          <w:rFonts w:ascii="Abadi" w:hAnsi="Abadi" w:cs="Arial"/>
          <w:sz w:val="21"/>
          <w:szCs w:val="21"/>
        </w:rPr>
        <w:t xml:space="preserve">de la </w:t>
      </w:r>
      <w:r w:rsidRPr="00440CCF">
        <w:rPr>
          <w:rFonts w:ascii="Abadi" w:hAnsi="Abadi" w:cs="Arial"/>
          <w:b/>
          <w:bCs/>
          <w:sz w:val="21"/>
          <w:szCs w:val="21"/>
        </w:rPr>
        <w:t>Ley de Propiedad en Condominio de Inmuebles para el Estado de Guanajuato</w:t>
      </w:r>
      <w:r w:rsidRPr="00440CCF">
        <w:rPr>
          <w:rFonts w:ascii="Abadi" w:hAnsi="Abadi" w:cs="Arial"/>
          <w:sz w:val="21"/>
          <w:szCs w:val="21"/>
        </w:rPr>
        <w:t>, conforme a la siguiente:</w:t>
      </w:r>
    </w:p>
    <w:p w14:paraId="509F80F8" w14:textId="77777777" w:rsidR="00181642" w:rsidRPr="00440CCF" w:rsidRDefault="00181642" w:rsidP="00181642">
      <w:pPr>
        <w:autoSpaceDE w:val="0"/>
        <w:autoSpaceDN w:val="0"/>
        <w:adjustRightInd w:val="0"/>
        <w:jc w:val="both"/>
        <w:rPr>
          <w:rFonts w:ascii="Abadi" w:hAnsi="Abadi" w:cs="Arial"/>
          <w:b/>
          <w:bCs/>
          <w:sz w:val="21"/>
          <w:szCs w:val="21"/>
        </w:rPr>
      </w:pPr>
    </w:p>
    <w:p w14:paraId="12238941" w14:textId="77777777" w:rsidR="00181642" w:rsidRPr="00440CCF" w:rsidRDefault="00181642" w:rsidP="00181642">
      <w:pPr>
        <w:autoSpaceDE w:val="0"/>
        <w:autoSpaceDN w:val="0"/>
        <w:adjustRightInd w:val="0"/>
        <w:jc w:val="center"/>
        <w:rPr>
          <w:rFonts w:ascii="Abadi" w:hAnsi="Abadi" w:cs="Arial"/>
          <w:b/>
          <w:bCs/>
          <w:sz w:val="21"/>
          <w:szCs w:val="21"/>
        </w:rPr>
      </w:pPr>
      <w:r w:rsidRPr="00440CCF">
        <w:rPr>
          <w:rFonts w:ascii="Abadi" w:hAnsi="Abadi" w:cs="Arial"/>
          <w:b/>
          <w:bCs/>
          <w:sz w:val="21"/>
          <w:szCs w:val="21"/>
        </w:rPr>
        <w:t>EXPOSICIÓN DE MOTIVOS</w:t>
      </w:r>
    </w:p>
    <w:p w14:paraId="78555050" w14:textId="77777777" w:rsidR="00181642" w:rsidRPr="00440CCF" w:rsidRDefault="00181642" w:rsidP="00181642">
      <w:pPr>
        <w:autoSpaceDE w:val="0"/>
        <w:autoSpaceDN w:val="0"/>
        <w:adjustRightInd w:val="0"/>
        <w:jc w:val="both"/>
        <w:rPr>
          <w:rFonts w:ascii="Abadi" w:hAnsi="Abadi" w:cs="Arial"/>
          <w:b/>
          <w:bCs/>
          <w:sz w:val="21"/>
          <w:szCs w:val="21"/>
        </w:rPr>
      </w:pPr>
    </w:p>
    <w:p w14:paraId="7BF6F4C3"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La gestión de la vida condominal es un tema muy importante para el presente y el futuro de las ciudades. La falta de espacio para continuar construyendo de manera</w:t>
      </w:r>
    </w:p>
    <w:p w14:paraId="4C18C5AA"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horizontal y el constante incremento en los precios de los terrenos ha provocado que el desarrollo urbano se de con mayor frecuencia de forma vertical. Tanto por parte de los organismos constructores de la vivienda popular como de las constructoras privadas.</w:t>
      </w:r>
    </w:p>
    <w:p w14:paraId="6D63E917" w14:textId="77777777" w:rsidR="00181642" w:rsidRPr="00440CCF" w:rsidRDefault="00181642" w:rsidP="00181642">
      <w:pPr>
        <w:autoSpaceDE w:val="0"/>
        <w:autoSpaceDN w:val="0"/>
        <w:adjustRightInd w:val="0"/>
        <w:jc w:val="both"/>
        <w:rPr>
          <w:rFonts w:ascii="Abadi" w:hAnsi="Abadi" w:cs="Arial"/>
          <w:sz w:val="21"/>
          <w:szCs w:val="21"/>
        </w:rPr>
      </w:pPr>
    </w:p>
    <w:p w14:paraId="2CF20B7F" w14:textId="17778F26"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 xml:space="preserve">n ese sentido, se ha hablado de un proceso de </w:t>
      </w:r>
      <w:r w:rsidRPr="00440CCF">
        <w:rPr>
          <w:rFonts w:ascii="Abadi" w:hAnsi="Abadi" w:cs="ArialMT"/>
          <w:sz w:val="21"/>
          <w:szCs w:val="21"/>
        </w:rPr>
        <w:t xml:space="preserve">“condominización” que implica </w:t>
      </w:r>
      <w:r w:rsidRPr="00440CCF">
        <w:rPr>
          <w:rFonts w:ascii="Abadi" w:hAnsi="Abadi" w:cs="Arial"/>
          <w:sz w:val="21"/>
          <w:szCs w:val="21"/>
        </w:rPr>
        <w:t>cambios importantes en la forma de administrar el territorio urbano, y que plantea nuevos retos para los ciudadanos-condóminos, que se ven impulsados a solucionar autónomamente sus problemas, sin poder dejar de relacionarse con las instituciones del gobierno local y estatal</w:t>
      </w:r>
      <w:r w:rsidR="0016179A">
        <w:rPr>
          <w:rStyle w:val="Refdenotaalpie"/>
          <w:rFonts w:ascii="Abadi" w:hAnsi="Abadi" w:cs="Arial"/>
          <w:sz w:val="21"/>
          <w:szCs w:val="21"/>
        </w:rPr>
        <w:footnoteReference w:id="19"/>
      </w:r>
      <w:r w:rsidRPr="00440CCF">
        <w:rPr>
          <w:rFonts w:ascii="Abadi" w:hAnsi="Abadi" w:cs="Arial"/>
          <w:sz w:val="21"/>
          <w:szCs w:val="21"/>
        </w:rPr>
        <w:t>.</w:t>
      </w:r>
    </w:p>
    <w:p w14:paraId="5CAFCF97" w14:textId="77777777" w:rsidR="00181642" w:rsidRPr="00440CCF" w:rsidRDefault="00181642" w:rsidP="00181642">
      <w:pPr>
        <w:autoSpaceDE w:val="0"/>
        <w:autoSpaceDN w:val="0"/>
        <w:adjustRightInd w:val="0"/>
        <w:jc w:val="both"/>
        <w:rPr>
          <w:rFonts w:ascii="Abadi" w:hAnsi="Abadi" w:cs="Arial"/>
          <w:sz w:val="21"/>
          <w:szCs w:val="21"/>
        </w:rPr>
      </w:pPr>
    </w:p>
    <w:p w14:paraId="41BACC87" w14:textId="0F9D42B3"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Así, los condóminos, es decir, las personas físicas o jurídicas que son propietarias</w:t>
      </w:r>
      <w:r w:rsidR="00FC3A31">
        <w:rPr>
          <w:rFonts w:ascii="Abadi" w:hAnsi="Abadi" w:cs="Arial"/>
          <w:sz w:val="21"/>
          <w:szCs w:val="21"/>
        </w:rPr>
        <w:t xml:space="preserve"> </w:t>
      </w:r>
      <w:r w:rsidRPr="00440CCF">
        <w:rPr>
          <w:rFonts w:ascii="Abadi" w:hAnsi="Abadi" w:cs="Arial"/>
          <w:sz w:val="21"/>
          <w:szCs w:val="21"/>
        </w:rPr>
        <w:t>de una o más unidades de propiedad privada</w:t>
      </w:r>
      <w:r w:rsidR="0016179A">
        <w:rPr>
          <w:rStyle w:val="Refdenotaalpie"/>
          <w:rFonts w:ascii="Abadi" w:hAnsi="Abadi" w:cs="Arial"/>
          <w:sz w:val="21"/>
          <w:szCs w:val="21"/>
        </w:rPr>
        <w:footnoteReference w:id="20"/>
      </w:r>
      <w:r w:rsidRPr="00440CCF">
        <w:rPr>
          <w:rFonts w:ascii="Abadi" w:hAnsi="Abadi" w:cs="Arial"/>
          <w:sz w:val="21"/>
          <w:szCs w:val="21"/>
        </w:rPr>
        <w:t>, Tienen un derecho singular y exclusivo de propiedad sobre una unidad privativa, y, además, un derecho de copropiedad sobre los elementos y partes comunes del inmueble necesarios para</w:t>
      </w:r>
    </w:p>
    <w:p w14:paraId="36454171"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un adecuado uso y disfrute.</w:t>
      </w:r>
    </w:p>
    <w:p w14:paraId="19EC6332" w14:textId="77777777" w:rsidR="00181642" w:rsidRPr="00440CCF" w:rsidRDefault="00181642" w:rsidP="00181642">
      <w:pPr>
        <w:autoSpaceDE w:val="0"/>
        <w:autoSpaceDN w:val="0"/>
        <w:adjustRightInd w:val="0"/>
        <w:jc w:val="both"/>
        <w:rPr>
          <w:rFonts w:ascii="Abadi" w:hAnsi="Abadi" w:cs="Arial"/>
          <w:sz w:val="21"/>
          <w:szCs w:val="21"/>
        </w:rPr>
      </w:pPr>
    </w:p>
    <w:p w14:paraId="1CA63228"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La gestión de estos espacios requiere del uso de mecanismos democráticos que permitan lograr consensos entre los condóminos para lograr una convivencia harmónica.</w:t>
      </w:r>
    </w:p>
    <w:p w14:paraId="2EDEFCD4" w14:textId="77777777" w:rsidR="00181642" w:rsidRPr="00440CCF" w:rsidRDefault="00181642" w:rsidP="00181642">
      <w:pPr>
        <w:autoSpaceDE w:val="0"/>
        <w:autoSpaceDN w:val="0"/>
        <w:adjustRightInd w:val="0"/>
        <w:jc w:val="both"/>
        <w:rPr>
          <w:rFonts w:ascii="Abadi" w:hAnsi="Abadi" w:cs="Arial"/>
          <w:sz w:val="21"/>
          <w:szCs w:val="21"/>
        </w:rPr>
      </w:pPr>
    </w:p>
    <w:p w14:paraId="0733F08F" w14:textId="72AF0E38"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Por tal razón, los condóminos tienen la facultad de organizar y convocar a la Asamblea General, que representa el órgano máximo de gobierno del condominio</w:t>
      </w:r>
      <w:r w:rsidR="00FC3A31">
        <w:rPr>
          <w:rFonts w:ascii="Abadi" w:hAnsi="Abadi" w:cs="Arial"/>
          <w:sz w:val="21"/>
          <w:szCs w:val="21"/>
        </w:rPr>
        <w:t xml:space="preserve"> </w:t>
      </w:r>
      <w:r w:rsidRPr="00440CCF">
        <w:rPr>
          <w:rFonts w:ascii="Abadi" w:hAnsi="Abadi" w:cs="Arial"/>
          <w:sz w:val="21"/>
          <w:szCs w:val="21"/>
        </w:rPr>
        <w:t>integrado por todos los condóminos y donde se discuten los temas propios del régimen de propiedad en condominio. Siendo sus resoluciones de carácter obligatorio.</w:t>
      </w:r>
    </w:p>
    <w:p w14:paraId="6EA05073" w14:textId="77777777" w:rsidR="00181642" w:rsidRPr="00440CCF" w:rsidRDefault="00181642" w:rsidP="00181642">
      <w:pPr>
        <w:autoSpaceDE w:val="0"/>
        <w:autoSpaceDN w:val="0"/>
        <w:adjustRightInd w:val="0"/>
        <w:jc w:val="both"/>
        <w:rPr>
          <w:rFonts w:ascii="Abadi" w:hAnsi="Abadi" w:cs="Arial"/>
          <w:sz w:val="21"/>
          <w:szCs w:val="21"/>
        </w:rPr>
      </w:pPr>
    </w:p>
    <w:p w14:paraId="559193F4" w14:textId="77379531"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Los asuntos relacionados a los condominios son de diversa índole. Estos van desde</w:t>
      </w:r>
      <w:r w:rsidR="00FC3A31">
        <w:rPr>
          <w:rFonts w:ascii="Abadi" w:hAnsi="Abadi" w:cs="Arial"/>
          <w:sz w:val="21"/>
          <w:szCs w:val="21"/>
        </w:rPr>
        <w:t xml:space="preserve"> </w:t>
      </w:r>
      <w:r w:rsidRPr="00440CCF">
        <w:rPr>
          <w:rFonts w:ascii="Abadi" w:hAnsi="Abadi" w:cs="Arial"/>
          <w:sz w:val="21"/>
          <w:szCs w:val="21"/>
        </w:rPr>
        <w:t>las cuotas para el mantenimiento de la unidad, el uso de las cuotas, la seguridad, los reglamentos internos para la sana convivencia. Es decir, asuntos que generalmente surgen y se resuelven de manera interna.</w:t>
      </w:r>
    </w:p>
    <w:p w14:paraId="4CE5C7F7" w14:textId="77777777" w:rsidR="00181642" w:rsidRPr="00440CCF" w:rsidRDefault="00181642" w:rsidP="00181642">
      <w:pPr>
        <w:jc w:val="both"/>
        <w:rPr>
          <w:rFonts w:ascii="Abadi" w:hAnsi="Abadi" w:cs="Arial"/>
          <w:sz w:val="21"/>
          <w:szCs w:val="21"/>
        </w:rPr>
      </w:pPr>
    </w:p>
    <w:p w14:paraId="5EC44D55" w14:textId="2D3B2EBE"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Sin embargo, en tiempos recientes, la vida condominal enfrenta un nuevo desafío. Ante la falta de regulación en torno al arrendamiento a corto plazo, surge un espacio</w:t>
      </w:r>
      <w:r w:rsidR="00FC3A31">
        <w:rPr>
          <w:rFonts w:ascii="Abadi" w:hAnsi="Abadi" w:cs="Arial"/>
          <w:sz w:val="21"/>
          <w:szCs w:val="21"/>
        </w:rPr>
        <w:t xml:space="preserve"> </w:t>
      </w:r>
      <w:r w:rsidRPr="00440CCF">
        <w:rPr>
          <w:rFonts w:ascii="Abadi" w:hAnsi="Abadi" w:cs="Arial"/>
          <w:sz w:val="21"/>
          <w:szCs w:val="21"/>
        </w:rPr>
        <w:t>en el que se antepone el interés privado sobre el bien común de los condóminos.</w:t>
      </w:r>
    </w:p>
    <w:p w14:paraId="2BD7A141" w14:textId="77777777" w:rsidR="00181642" w:rsidRPr="00440CCF" w:rsidRDefault="00181642" w:rsidP="00181642">
      <w:pPr>
        <w:autoSpaceDE w:val="0"/>
        <w:autoSpaceDN w:val="0"/>
        <w:adjustRightInd w:val="0"/>
        <w:jc w:val="both"/>
        <w:rPr>
          <w:rFonts w:ascii="Abadi" w:hAnsi="Abadi" w:cs="Arial"/>
          <w:sz w:val="21"/>
          <w:szCs w:val="21"/>
        </w:rPr>
      </w:pPr>
    </w:p>
    <w:p w14:paraId="0A51F942"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Actividades como el arrendamiento a corto plazo, están dentro de los derechos de</w:t>
      </w:r>
    </w:p>
    <w:p w14:paraId="05D406C3"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los propietarios. Recordemos que, dentro de la normatividad condominal, existen inmuebles de servicios y uso comercial que son perfectamente legales.</w:t>
      </w:r>
    </w:p>
    <w:p w14:paraId="321419A4" w14:textId="77777777" w:rsidR="00181642" w:rsidRPr="00440CCF" w:rsidRDefault="00181642" w:rsidP="00181642">
      <w:pPr>
        <w:autoSpaceDE w:val="0"/>
        <w:autoSpaceDN w:val="0"/>
        <w:adjustRightInd w:val="0"/>
        <w:jc w:val="both"/>
        <w:rPr>
          <w:rFonts w:ascii="Abadi" w:hAnsi="Abadi" w:cs="Arial"/>
          <w:sz w:val="21"/>
          <w:szCs w:val="21"/>
        </w:rPr>
      </w:pPr>
    </w:p>
    <w:p w14:paraId="56004A74" w14:textId="0C9B89C0"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Igualmente, el condómino puede usar, gozar y disponer de su unidad de propiedad</w:t>
      </w:r>
      <w:r w:rsidR="00FC3A31">
        <w:rPr>
          <w:rFonts w:ascii="Abadi" w:hAnsi="Abadi" w:cs="Arial"/>
          <w:sz w:val="21"/>
          <w:szCs w:val="21"/>
        </w:rPr>
        <w:t xml:space="preserve"> </w:t>
      </w:r>
      <w:r w:rsidRPr="00440CCF">
        <w:rPr>
          <w:rFonts w:ascii="Abadi" w:hAnsi="Abadi" w:cs="Arial"/>
          <w:sz w:val="21"/>
          <w:szCs w:val="21"/>
        </w:rPr>
        <w:t>privativa con las limitaciones y prohibiciones de esta Ley y con las demás que se establezcan en la escritura constitutiva del régimen y en el reglamento interno</w:t>
      </w:r>
      <w:r w:rsidR="00FC3A31">
        <w:rPr>
          <w:rStyle w:val="Refdenotaalpie"/>
          <w:rFonts w:ascii="Abadi" w:hAnsi="Abadi" w:cs="Arial"/>
          <w:sz w:val="21"/>
          <w:szCs w:val="21"/>
        </w:rPr>
        <w:footnoteReference w:id="21"/>
      </w:r>
      <w:r w:rsidRPr="00440CCF">
        <w:rPr>
          <w:rFonts w:ascii="Abadi" w:hAnsi="Abadi" w:cs="Arial"/>
          <w:sz w:val="21"/>
          <w:szCs w:val="21"/>
        </w:rPr>
        <w:t>.</w:t>
      </w:r>
    </w:p>
    <w:p w14:paraId="6435355B" w14:textId="77777777" w:rsidR="00181642" w:rsidRPr="00440CCF" w:rsidRDefault="00181642" w:rsidP="00181642">
      <w:pPr>
        <w:autoSpaceDE w:val="0"/>
        <w:autoSpaceDN w:val="0"/>
        <w:adjustRightInd w:val="0"/>
        <w:jc w:val="both"/>
        <w:rPr>
          <w:rFonts w:ascii="Abadi" w:hAnsi="Abadi" w:cs="Arial"/>
          <w:sz w:val="21"/>
          <w:szCs w:val="21"/>
        </w:rPr>
      </w:pPr>
    </w:p>
    <w:p w14:paraId="684CCF81"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Por lo tanto, los condóminos están en su derecho de arrendar sus propiedades a</w:t>
      </w:r>
    </w:p>
    <w:p w14:paraId="65C173D5"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través de plataformas digitales, las cuales se han convertido en el instrumento idóneo que muchos particulares utilizan para rentar sus viviendas y obtener un ingreso.</w:t>
      </w:r>
    </w:p>
    <w:p w14:paraId="4985A8C4" w14:textId="77777777" w:rsidR="00181642" w:rsidRPr="00440CCF" w:rsidRDefault="00181642" w:rsidP="00181642">
      <w:pPr>
        <w:autoSpaceDE w:val="0"/>
        <w:autoSpaceDN w:val="0"/>
        <w:adjustRightInd w:val="0"/>
        <w:jc w:val="both"/>
        <w:rPr>
          <w:rFonts w:ascii="Abadi" w:hAnsi="Abadi" w:cs="Arial"/>
          <w:sz w:val="21"/>
          <w:szCs w:val="21"/>
        </w:rPr>
      </w:pPr>
    </w:p>
    <w:p w14:paraId="27A840BF" w14:textId="135AF68C"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Sin embargo, es necesario que dicha actividad se regule porque en algunas unidades habitacionales está causando problemas al violar el reglamento y alterar la convivencia</w:t>
      </w:r>
      <w:r w:rsidR="00FC3A31">
        <w:rPr>
          <w:rStyle w:val="Refdenotaalpie"/>
          <w:rFonts w:ascii="Abadi" w:hAnsi="Abadi" w:cs="Arial"/>
          <w:sz w:val="21"/>
          <w:szCs w:val="21"/>
        </w:rPr>
        <w:footnoteReference w:id="22"/>
      </w:r>
      <w:r w:rsidRPr="00440CCF">
        <w:rPr>
          <w:rFonts w:ascii="Abadi" w:hAnsi="Abadi" w:cs="Arial"/>
          <w:sz w:val="21"/>
          <w:szCs w:val="21"/>
        </w:rPr>
        <w:t>.</w:t>
      </w:r>
    </w:p>
    <w:p w14:paraId="7CC8952F" w14:textId="77777777" w:rsidR="00181642" w:rsidRPr="00440CCF" w:rsidRDefault="00181642" w:rsidP="00181642">
      <w:pPr>
        <w:autoSpaceDE w:val="0"/>
        <w:autoSpaceDN w:val="0"/>
        <w:adjustRightInd w:val="0"/>
        <w:jc w:val="both"/>
        <w:rPr>
          <w:rFonts w:ascii="Abadi" w:hAnsi="Abadi" w:cs="Arial"/>
          <w:sz w:val="21"/>
          <w:szCs w:val="21"/>
        </w:rPr>
      </w:pPr>
    </w:p>
    <w:p w14:paraId="473C5813" w14:textId="49EA5BE6" w:rsidR="00181642" w:rsidRPr="00440CCF" w:rsidRDefault="00181642" w:rsidP="00FC3A31">
      <w:pPr>
        <w:autoSpaceDE w:val="0"/>
        <w:autoSpaceDN w:val="0"/>
        <w:adjustRightInd w:val="0"/>
        <w:jc w:val="both"/>
        <w:rPr>
          <w:rFonts w:ascii="Abadi" w:hAnsi="Abadi" w:cs="Arial"/>
          <w:sz w:val="21"/>
          <w:szCs w:val="21"/>
        </w:rPr>
      </w:pPr>
      <w:r w:rsidRPr="00440CCF">
        <w:rPr>
          <w:rFonts w:ascii="Abadi" w:hAnsi="Abadi" w:cs="Arial"/>
          <w:sz w:val="21"/>
          <w:szCs w:val="21"/>
        </w:rPr>
        <w:t>Quienes lo rentan no entiende que las áreas comunes son propiedad de todos y desconocen que tienen que ajustarse a las reglas del condominio. Cada vez es mayor el número de quejas e inconformidades de este tipo debido al desgaste y mal</w:t>
      </w:r>
      <w:r w:rsidR="00FC3A31">
        <w:rPr>
          <w:rFonts w:ascii="Abadi" w:hAnsi="Abadi" w:cs="Arial"/>
          <w:sz w:val="21"/>
          <w:szCs w:val="21"/>
        </w:rPr>
        <w:t xml:space="preserve"> </w:t>
      </w:r>
      <w:r w:rsidRPr="00440CCF">
        <w:rPr>
          <w:rFonts w:ascii="Abadi" w:hAnsi="Abadi" w:cs="Arial"/>
          <w:sz w:val="21"/>
          <w:szCs w:val="21"/>
        </w:rPr>
        <w:t>uso de las áreas comunes, o ante el ruido excesivo que altera la tranquilidad de los</w:t>
      </w:r>
      <w:r w:rsidR="00FC3A31">
        <w:rPr>
          <w:rFonts w:ascii="Abadi" w:hAnsi="Abadi" w:cs="Arial"/>
          <w:sz w:val="21"/>
          <w:szCs w:val="21"/>
        </w:rPr>
        <w:t xml:space="preserve"> </w:t>
      </w:r>
      <w:r w:rsidRPr="00440CCF">
        <w:rPr>
          <w:rFonts w:ascii="Abadi" w:hAnsi="Abadi" w:cs="Arial"/>
          <w:sz w:val="21"/>
          <w:szCs w:val="21"/>
        </w:rPr>
        <w:t>vecinos.</w:t>
      </w:r>
    </w:p>
    <w:p w14:paraId="63C334BB" w14:textId="77777777" w:rsidR="00FC3A31" w:rsidRDefault="00FC3A31" w:rsidP="00181642">
      <w:pPr>
        <w:autoSpaceDE w:val="0"/>
        <w:autoSpaceDN w:val="0"/>
        <w:adjustRightInd w:val="0"/>
        <w:jc w:val="both"/>
        <w:rPr>
          <w:rFonts w:ascii="Abadi" w:hAnsi="Abadi" w:cs="Arial"/>
          <w:sz w:val="21"/>
          <w:szCs w:val="21"/>
        </w:rPr>
      </w:pPr>
    </w:p>
    <w:p w14:paraId="65CAA1E7" w14:textId="45B8869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Es, por tanto, que tenemos que brindar a la ciudadanía con las herramientas necesarias para fomentar una sana convivencia en los condominios a través de la</w:t>
      </w:r>
      <w:r w:rsidR="00FC3A31">
        <w:rPr>
          <w:rFonts w:ascii="Abadi" w:hAnsi="Abadi" w:cs="Arial"/>
          <w:sz w:val="21"/>
          <w:szCs w:val="21"/>
        </w:rPr>
        <w:t xml:space="preserve"> </w:t>
      </w:r>
      <w:r w:rsidRPr="00440CCF">
        <w:rPr>
          <w:rFonts w:ascii="Abadi" w:hAnsi="Abadi" w:cs="Arial"/>
          <w:sz w:val="21"/>
          <w:szCs w:val="21"/>
        </w:rPr>
        <w:t>actualización de la Ley de Propiedad en Condominio de Inmuebles para el Estado</w:t>
      </w:r>
    </w:p>
    <w:p w14:paraId="29B20C23"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de Guanajuato y el fomento de los derechos ciudadanos.</w:t>
      </w:r>
    </w:p>
    <w:p w14:paraId="2E885FCD" w14:textId="77777777" w:rsidR="00181642" w:rsidRPr="00440CCF" w:rsidRDefault="00181642" w:rsidP="00181642">
      <w:pPr>
        <w:autoSpaceDE w:val="0"/>
        <w:autoSpaceDN w:val="0"/>
        <w:adjustRightInd w:val="0"/>
        <w:jc w:val="both"/>
        <w:rPr>
          <w:rFonts w:ascii="Abadi" w:hAnsi="Abadi" w:cs="Arial"/>
          <w:sz w:val="21"/>
          <w:szCs w:val="21"/>
        </w:rPr>
      </w:pPr>
    </w:p>
    <w:p w14:paraId="40D00115" w14:textId="41AE594D"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Pues la gestión de los espacios condominales es un campo importante para entender la manera en que los habitantes conciben e interpretan su relación no solamente con la intervención urbanística y los poderes locales sino con la producción de un significado colectivo acerca de la residencia y la vivienda.</w:t>
      </w:r>
      <w:r w:rsidR="00FC3A31">
        <w:rPr>
          <w:rStyle w:val="Refdenotaalpie"/>
          <w:rFonts w:ascii="Abadi" w:hAnsi="Abadi" w:cs="Arial"/>
          <w:sz w:val="21"/>
          <w:szCs w:val="21"/>
        </w:rPr>
        <w:footnoteReference w:id="23"/>
      </w:r>
    </w:p>
    <w:p w14:paraId="72D78A01" w14:textId="77777777" w:rsidR="00FC3A31" w:rsidRDefault="00FC3A31" w:rsidP="00181642">
      <w:pPr>
        <w:autoSpaceDE w:val="0"/>
        <w:autoSpaceDN w:val="0"/>
        <w:adjustRightInd w:val="0"/>
        <w:jc w:val="both"/>
        <w:rPr>
          <w:rFonts w:ascii="Abadi" w:hAnsi="Abadi" w:cs="Arial"/>
          <w:sz w:val="21"/>
          <w:szCs w:val="21"/>
        </w:rPr>
      </w:pPr>
    </w:p>
    <w:p w14:paraId="06C652A8" w14:textId="25ACD79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Usar y disfrutar en igualdad de circunstancias y en forma ordenada, las áreas y bienes de uso común del condominio, sin restringir el derecho de los demás.</w:t>
      </w:r>
    </w:p>
    <w:p w14:paraId="015DAA36" w14:textId="77777777" w:rsidR="00181642" w:rsidRPr="00440CCF" w:rsidRDefault="00181642" w:rsidP="00181642">
      <w:pPr>
        <w:autoSpaceDE w:val="0"/>
        <w:autoSpaceDN w:val="0"/>
        <w:adjustRightInd w:val="0"/>
        <w:jc w:val="both"/>
        <w:rPr>
          <w:rFonts w:ascii="Abadi" w:hAnsi="Abadi" w:cs="Arial"/>
          <w:sz w:val="21"/>
          <w:szCs w:val="21"/>
        </w:rPr>
      </w:pPr>
    </w:p>
    <w:p w14:paraId="01578F6B"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Por otra parte, de acuerdo con el artículo 209 de la Ley Orgánica del Poder Legislativo del Estado de Guanajuato, manifestamos que la iniciativa que aquí presentamos tendrá, de ser aprobada, los siguientes impactos:</w:t>
      </w:r>
    </w:p>
    <w:p w14:paraId="1725BF63" w14:textId="77777777" w:rsidR="00181642" w:rsidRPr="00440CCF" w:rsidRDefault="00181642" w:rsidP="00181642">
      <w:pPr>
        <w:autoSpaceDE w:val="0"/>
        <w:autoSpaceDN w:val="0"/>
        <w:adjustRightInd w:val="0"/>
        <w:jc w:val="both"/>
        <w:rPr>
          <w:rFonts w:ascii="Abadi" w:hAnsi="Abadi" w:cs="Arial"/>
          <w:b/>
          <w:bCs/>
          <w:sz w:val="21"/>
          <w:szCs w:val="21"/>
        </w:rPr>
      </w:pPr>
    </w:p>
    <w:p w14:paraId="1E2BEAD4"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b/>
          <w:bCs/>
          <w:sz w:val="21"/>
          <w:szCs w:val="21"/>
        </w:rPr>
        <w:t>I. Impacto jurídico</w:t>
      </w:r>
      <w:r w:rsidRPr="00440CCF">
        <w:rPr>
          <w:rFonts w:ascii="Abadi" w:hAnsi="Abadi" w:cs="Arial"/>
          <w:sz w:val="21"/>
          <w:szCs w:val="21"/>
        </w:rPr>
        <w:t>: Se adiciona un segundo párrafo al artículo 56 de la Ley de Propiedad en Condominio de Inmuebles para el Estado de Guanajuato.</w:t>
      </w:r>
    </w:p>
    <w:p w14:paraId="15DC9881" w14:textId="77777777" w:rsidR="00181642" w:rsidRPr="00440CCF" w:rsidRDefault="00181642" w:rsidP="00181642">
      <w:pPr>
        <w:autoSpaceDE w:val="0"/>
        <w:autoSpaceDN w:val="0"/>
        <w:adjustRightInd w:val="0"/>
        <w:jc w:val="both"/>
        <w:rPr>
          <w:rFonts w:ascii="Abadi" w:hAnsi="Abadi" w:cs="Arial"/>
          <w:b/>
          <w:bCs/>
          <w:sz w:val="21"/>
          <w:szCs w:val="21"/>
        </w:rPr>
      </w:pPr>
    </w:p>
    <w:p w14:paraId="4AD341A6"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b/>
          <w:bCs/>
          <w:sz w:val="21"/>
          <w:szCs w:val="21"/>
        </w:rPr>
        <w:t xml:space="preserve">II. Impacto administrativo: </w:t>
      </w:r>
      <w:r w:rsidRPr="00440CCF">
        <w:rPr>
          <w:rFonts w:ascii="Abadi" w:hAnsi="Abadi" w:cs="Arial"/>
          <w:sz w:val="21"/>
          <w:szCs w:val="21"/>
        </w:rPr>
        <w:t>No existe impacto administrativo</w:t>
      </w:r>
    </w:p>
    <w:p w14:paraId="258A6904" w14:textId="77777777" w:rsidR="00181642" w:rsidRPr="00440CCF" w:rsidRDefault="00181642" w:rsidP="00181642">
      <w:pPr>
        <w:autoSpaceDE w:val="0"/>
        <w:autoSpaceDN w:val="0"/>
        <w:adjustRightInd w:val="0"/>
        <w:jc w:val="both"/>
        <w:rPr>
          <w:rFonts w:ascii="Abadi" w:hAnsi="Abadi" w:cs="Arial"/>
          <w:b/>
          <w:bCs/>
          <w:sz w:val="21"/>
          <w:szCs w:val="21"/>
        </w:rPr>
      </w:pPr>
    </w:p>
    <w:p w14:paraId="49EB893B"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b/>
          <w:bCs/>
          <w:sz w:val="21"/>
          <w:szCs w:val="21"/>
        </w:rPr>
        <w:t xml:space="preserve">III. Impacto presupuestario: </w:t>
      </w:r>
      <w:r w:rsidRPr="00440CCF">
        <w:rPr>
          <w:rFonts w:ascii="Abadi" w:hAnsi="Abadi" w:cs="Arial"/>
          <w:sz w:val="21"/>
          <w:szCs w:val="21"/>
        </w:rPr>
        <w:t>Se hará una actualización respecto a las cuotas correspondientes conforme lo establezca la Asamblea General.</w:t>
      </w:r>
    </w:p>
    <w:p w14:paraId="6BFC80E9" w14:textId="77777777" w:rsidR="00181642" w:rsidRPr="00440CCF" w:rsidRDefault="00181642" w:rsidP="00181642">
      <w:pPr>
        <w:autoSpaceDE w:val="0"/>
        <w:autoSpaceDN w:val="0"/>
        <w:adjustRightInd w:val="0"/>
        <w:jc w:val="both"/>
        <w:rPr>
          <w:rFonts w:ascii="Abadi" w:hAnsi="Abadi" w:cs="Arial"/>
          <w:b/>
          <w:bCs/>
          <w:sz w:val="21"/>
          <w:szCs w:val="21"/>
        </w:rPr>
      </w:pPr>
    </w:p>
    <w:p w14:paraId="49A7D44F" w14:textId="1A395CE1"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b/>
          <w:bCs/>
          <w:sz w:val="21"/>
          <w:szCs w:val="21"/>
        </w:rPr>
        <w:t xml:space="preserve">IV. Impacto social: </w:t>
      </w:r>
      <w:r w:rsidRPr="00440CCF">
        <w:rPr>
          <w:rFonts w:ascii="Abadi" w:hAnsi="Abadi" w:cs="Arial"/>
          <w:sz w:val="21"/>
          <w:szCs w:val="21"/>
        </w:rPr>
        <w:t>La adición de este segundo parrado dotará de una herramienta</w:t>
      </w:r>
      <w:r w:rsidR="00FC3A31">
        <w:rPr>
          <w:rFonts w:ascii="Abadi" w:hAnsi="Abadi" w:cs="Arial"/>
          <w:sz w:val="21"/>
          <w:szCs w:val="21"/>
        </w:rPr>
        <w:t xml:space="preserve"> </w:t>
      </w:r>
      <w:r w:rsidRPr="00440CCF">
        <w:rPr>
          <w:rFonts w:ascii="Abadi" w:hAnsi="Abadi" w:cs="Arial"/>
          <w:sz w:val="21"/>
          <w:szCs w:val="21"/>
        </w:rPr>
        <w:t>para conciliar las problemáticas surgidas a partir del arrendamiento temporal en los</w:t>
      </w:r>
    </w:p>
    <w:p w14:paraId="4688B7C3" w14:textId="77777777" w:rsidR="00181642" w:rsidRPr="00440CCF" w:rsidRDefault="00181642" w:rsidP="00181642">
      <w:pPr>
        <w:jc w:val="both"/>
        <w:rPr>
          <w:rFonts w:ascii="Abadi" w:hAnsi="Abadi" w:cs="Arial"/>
          <w:sz w:val="21"/>
          <w:szCs w:val="21"/>
        </w:rPr>
      </w:pPr>
      <w:r w:rsidRPr="00440CCF">
        <w:rPr>
          <w:rFonts w:ascii="Abadi" w:hAnsi="Abadi" w:cs="Arial"/>
          <w:sz w:val="21"/>
          <w:szCs w:val="21"/>
        </w:rPr>
        <w:t>condominios.</w:t>
      </w:r>
    </w:p>
    <w:p w14:paraId="05FE7E3F" w14:textId="77777777" w:rsidR="00181642" w:rsidRPr="00440CCF" w:rsidRDefault="00181642" w:rsidP="00181642">
      <w:pPr>
        <w:jc w:val="both"/>
        <w:rPr>
          <w:rFonts w:ascii="Abadi" w:hAnsi="Abadi" w:cs="Arial"/>
          <w:sz w:val="21"/>
          <w:szCs w:val="21"/>
        </w:rPr>
      </w:pPr>
    </w:p>
    <w:p w14:paraId="0F3DF887"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Por lo anteriormente expuesto, me permito poner a consideración de esta Honorable</w:t>
      </w:r>
    </w:p>
    <w:p w14:paraId="57740B03"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sz w:val="21"/>
          <w:szCs w:val="21"/>
        </w:rPr>
        <w:t>Asamblea, el siguiente:</w:t>
      </w:r>
    </w:p>
    <w:p w14:paraId="19D7663B" w14:textId="77777777" w:rsidR="00181642" w:rsidRPr="00440CCF" w:rsidRDefault="00181642" w:rsidP="00181642">
      <w:pPr>
        <w:autoSpaceDE w:val="0"/>
        <w:autoSpaceDN w:val="0"/>
        <w:adjustRightInd w:val="0"/>
        <w:jc w:val="both"/>
        <w:rPr>
          <w:rFonts w:ascii="Abadi" w:hAnsi="Abadi" w:cs="Arial"/>
          <w:b/>
          <w:bCs/>
          <w:sz w:val="21"/>
          <w:szCs w:val="21"/>
        </w:rPr>
      </w:pPr>
    </w:p>
    <w:p w14:paraId="7779ADBD" w14:textId="77777777" w:rsidR="00181642" w:rsidRPr="00440CCF" w:rsidRDefault="00181642" w:rsidP="00181642">
      <w:pPr>
        <w:autoSpaceDE w:val="0"/>
        <w:autoSpaceDN w:val="0"/>
        <w:adjustRightInd w:val="0"/>
        <w:jc w:val="center"/>
        <w:rPr>
          <w:rFonts w:ascii="Abadi" w:hAnsi="Abadi" w:cs="Arial"/>
          <w:b/>
          <w:bCs/>
          <w:sz w:val="21"/>
          <w:szCs w:val="21"/>
        </w:rPr>
      </w:pPr>
      <w:r w:rsidRPr="00440CCF">
        <w:rPr>
          <w:rFonts w:ascii="Abadi" w:hAnsi="Abadi" w:cs="Arial"/>
          <w:b/>
          <w:bCs/>
          <w:sz w:val="21"/>
          <w:szCs w:val="21"/>
        </w:rPr>
        <w:t>DECRETO</w:t>
      </w:r>
    </w:p>
    <w:p w14:paraId="120B105E" w14:textId="77777777" w:rsidR="00181642" w:rsidRPr="00440CCF" w:rsidRDefault="00181642" w:rsidP="00181642">
      <w:pPr>
        <w:autoSpaceDE w:val="0"/>
        <w:autoSpaceDN w:val="0"/>
        <w:adjustRightInd w:val="0"/>
        <w:jc w:val="both"/>
        <w:rPr>
          <w:rFonts w:ascii="Abadi" w:hAnsi="Abadi" w:cs="Arial"/>
          <w:b/>
          <w:bCs/>
          <w:sz w:val="21"/>
          <w:szCs w:val="21"/>
        </w:rPr>
      </w:pPr>
    </w:p>
    <w:p w14:paraId="4D7F9E6B" w14:textId="77777777" w:rsidR="00181642" w:rsidRPr="00440CCF" w:rsidRDefault="00181642" w:rsidP="00181642">
      <w:pPr>
        <w:autoSpaceDE w:val="0"/>
        <w:autoSpaceDN w:val="0"/>
        <w:adjustRightInd w:val="0"/>
        <w:jc w:val="both"/>
        <w:rPr>
          <w:rFonts w:ascii="Abadi" w:hAnsi="Abadi" w:cs="Arial"/>
          <w:b/>
          <w:bCs/>
          <w:sz w:val="21"/>
          <w:szCs w:val="21"/>
        </w:rPr>
      </w:pPr>
      <w:r w:rsidRPr="00440CCF">
        <w:rPr>
          <w:rFonts w:ascii="Abadi" w:hAnsi="Abadi" w:cs="Arial"/>
          <w:b/>
          <w:bCs/>
          <w:sz w:val="21"/>
          <w:szCs w:val="21"/>
        </w:rPr>
        <w:t xml:space="preserve">ÚNICO. </w:t>
      </w:r>
      <w:r w:rsidRPr="00440CCF">
        <w:rPr>
          <w:rFonts w:ascii="Abadi" w:hAnsi="Abadi" w:cs="Arial"/>
          <w:sz w:val="21"/>
          <w:szCs w:val="21"/>
        </w:rPr>
        <w:t xml:space="preserve">Se adiciona un segundo párrafo al </w:t>
      </w:r>
      <w:r w:rsidRPr="00440CCF">
        <w:rPr>
          <w:rFonts w:ascii="Abadi" w:hAnsi="Abadi" w:cs="Arial"/>
          <w:b/>
          <w:bCs/>
          <w:sz w:val="21"/>
          <w:szCs w:val="21"/>
        </w:rPr>
        <w:t xml:space="preserve">artículo 56 </w:t>
      </w:r>
      <w:r w:rsidRPr="00440CCF">
        <w:rPr>
          <w:rFonts w:ascii="Abadi" w:hAnsi="Abadi" w:cs="Arial"/>
          <w:sz w:val="21"/>
          <w:szCs w:val="21"/>
        </w:rPr>
        <w:t xml:space="preserve">de la </w:t>
      </w:r>
      <w:r w:rsidRPr="00440CCF">
        <w:rPr>
          <w:rFonts w:ascii="Abadi" w:hAnsi="Abadi" w:cs="Arial"/>
          <w:b/>
          <w:bCs/>
          <w:sz w:val="21"/>
          <w:szCs w:val="21"/>
        </w:rPr>
        <w:t>Ley de Propiedad en</w:t>
      </w:r>
    </w:p>
    <w:p w14:paraId="33ED5885"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b/>
          <w:bCs/>
          <w:sz w:val="21"/>
          <w:szCs w:val="21"/>
        </w:rPr>
        <w:t xml:space="preserve">Condominio de Inmuebles para el Estado de Guanajuato, </w:t>
      </w:r>
      <w:r w:rsidRPr="00440CCF">
        <w:rPr>
          <w:rFonts w:ascii="Abadi" w:hAnsi="Abadi" w:cs="Arial"/>
          <w:sz w:val="21"/>
          <w:szCs w:val="21"/>
        </w:rPr>
        <w:t>para quedar como sigue:</w:t>
      </w:r>
    </w:p>
    <w:p w14:paraId="3369C481" w14:textId="77777777" w:rsidR="00181642" w:rsidRPr="00440CCF" w:rsidRDefault="00181642" w:rsidP="00181642">
      <w:pPr>
        <w:autoSpaceDE w:val="0"/>
        <w:autoSpaceDN w:val="0"/>
        <w:adjustRightInd w:val="0"/>
        <w:jc w:val="both"/>
        <w:rPr>
          <w:rFonts w:ascii="Abadi" w:hAnsi="Abadi" w:cs="Arial"/>
          <w:b/>
          <w:bCs/>
          <w:sz w:val="21"/>
          <w:szCs w:val="21"/>
        </w:rPr>
      </w:pPr>
    </w:p>
    <w:p w14:paraId="7BA448B3" w14:textId="77777777" w:rsidR="00181642" w:rsidRPr="00440CCF" w:rsidRDefault="00181642" w:rsidP="00181642">
      <w:pPr>
        <w:autoSpaceDE w:val="0"/>
        <w:autoSpaceDN w:val="0"/>
        <w:adjustRightInd w:val="0"/>
        <w:jc w:val="both"/>
        <w:rPr>
          <w:rFonts w:ascii="Abadi" w:hAnsi="Abadi" w:cs="Arial"/>
          <w:b/>
          <w:bCs/>
          <w:sz w:val="21"/>
          <w:szCs w:val="21"/>
        </w:rPr>
      </w:pPr>
      <w:r w:rsidRPr="00440CCF">
        <w:rPr>
          <w:rFonts w:ascii="Abadi" w:hAnsi="Abadi" w:cs="Arial"/>
          <w:b/>
          <w:bCs/>
          <w:sz w:val="21"/>
          <w:szCs w:val="21"/>
        </w:rPr>
        <w:t>Gastos especiales a cargo de los condóminos beneficiados</w:t>
      </w:r>
    </w:p>
    <w:p w14:paraId="6885F1F0" w14:textId="77777777" w:rsidR="00181642" w:rsidRPr="00440CCF" w:rsidRDefault="00181642" w:rsidP="00181642">
      <w:pPr>
        <w:autoSpaceDE w:val="0"/>
        <w:autoSpaceDN w:val="0"/>
        <w:adjustRightInd w:val="0"/>
        <w:jc w:val="both"/>
        <w:rPr>
          <w:rFonts w:ascii="Abadi" w:hAnsi="Abadi" w:cs="ArialMT"/>
          <w:sz w:val="21"/>
          <w:szCs w:val="21"/>
        </w:rPr>
      </w:pPr>
      <w:r w:rsidRPr="00440CCF">
        <w:rPr>
          <w:rFonts w:ascii="Abadi" w:hAnsi="Abadi" w:cs="Arial"/>
          <w:sz w:val="21"/>
          <w:szCs w:val="21"/>
        </w:rPr>
        <w:t>Artículo 56. Cuando una construcción</w:t>
      </w:r>
      <w:r w:rsidRPr="00440CCF">
        <w:rPr>
          <w:rFonts w:ascii="Abadi" w:hAnsi="Abadi" w:cs="ArialMT"/>
          <w:sz w:val="21"/>
          <w:szCs w:val="21"/>
        </w:rPr>
        <w:t>…</w:t>
      </w:r>
    </w:p>
    <w:p w14:paraId="759F6837" w14:textId="77777777" w:rsidR="00181642" w:rsidRPr="00440CCF" w:rsidRDefault="00181642" w:rsidP="00181642">
      <w:pPr>
        <w:autoSpaceDE w:val="0"/>
        <w:autoSpaceDN w:val="0"/>
        <w:adjustRightInd w:val="0"/>
        <w:jc w:val="both"/>
        <w:rPr>
          <w:rFonts w:ascii="Abadi" w:hAnsi="Abadi" w:cs="Arial"/>
          <w:b/>
          <w:bCs/>
          <w:sz w:val="21"/>
          <w:szCs w:val="21"/>
        </w:rPr>
      </w:pPr>
    </w:p>
    <w:p w14:paraId="7F6DF29F" w14:textId="77777777" w:rsidR="00181642" w:rsidRPr="00440CCF" w:rsidRDefault="00181642" w:rsidP="00181642">
      <w:pPr>
        <w:autoSpaceDE w:val="0"/>
        <w:autoSpaceDN w:val="0"/>
        <w:adjustRightInd w:val="0"/>
        <w:jc w:val="both"/>
        <w:rPr>
          <w:rFonts w:ascii="Abadi" w:hAnsi="Abadi" w:cs="Arial"/>
          <w:b/>
          <w:bCs/>
          <w:sz w:val="21"/>
          <w:szCs w:val="21"/>
        </w:rPr>
      </w:pPr>
      <w:r w:rsidRPr="00440CCF">
        <w:rPr>
          <w:rFonts w:ascii="Abadi" w:hAnsi="Abadi" w:cs="Arial"/>
          <w:b/>
          <w:bCs/>
          <w:sz w:val="21"/>
          <w:szCs w:val="21"/>
        </w:rPr>
        <w:t>Para los casos en los que exista un beneficio particular a partir de la realización de actividades mercantiles o arrendamiento a corto plazo, y que esto signifique para la administración el destinar mayores recursos para el mantenimiento general de los espacios de áreas comunes, se establecerá un</w:t>
      </w:r>
    </w:p>
    <w:p w14:paraId="3801CCA7" w14:textId="77777777" w:rsidR="00181642" w:rsidRPr="00440CCF" w:rsidRDefault="00181642" w:rsidP="00181642">
      <w:pPr>
        <w:autoSpaceDE w:val="0"/>
        <w:autoSpaceDN w:val="0"/>
        <w:adjustRightInd w:val="0"/>
        <w:jc w:val="both"/>
        <w:rPr>
          <w:rFonts w:ascii="Abadi" w:hAnsi="Abadi" w:cs="Arial"/>
          <w:b/>
          <w:bCs/>
          <w:sz w:val="21"/>
          <w:szCs w:val="21"/>
        </w:rPr>
      </w:pPr>
      <w:r w:rsidRPr="00440CCF">
        <w:rPr>
          <w:rFonts w:ascii="Abadi" w:hAnsi="Abadi" w:cs="Arial"/>
          <w:b/>
          <w:bCs/>
          <w:sz w:val="21"/>
          <w:szCs w:val="21"/>
        </w:rPr>
        <w:t>ajuste proporcional según lo convenga la Asamblea General.</w:t>
      </w:r>
    </w:p>
    <w:p w14:paraId="3814E521" w14:textId="77777777" w:rsidR="00181642" w:rsidRPr="00440CCF" w:rsidRDefault="00181642" w:rsidP="00181642">
      <w:pPr>
        <w:autoSpaceDE w:val="0"/>
        <w:autoSpaceDN w:val="0"/>
        <w:adjustRightInd w:val="0"/>
        <w:jc w:val="both"/>
        <w:rPr>
          <w:rFonts w:ascii="Abadi" w:hAnsi="Abadi" w:cs="Arial"/>
          <w:b/>
          <w:bCs/>
          <w:sz w:val="21"/>
          <w:szCs w:val="21"/>
        </w:rPr>
      </w:pPr>
    </w:p>
    <w:p w14:paraId="14A70140" w14:textId="77777777" w:rsidR="00181642" w:rsidRPr="00440CCF" w:rsidRDefault="00181642" w:rsidP="005C106B">
      <w:pPr>
        <w:autoSpaceDE w:val="0"/>
        <w:autoSpaceDN w:val="0"/>
        <w:adjustRightInd w:val="0"/>
        <w:jc w:val="center"/>
        <w:rPr>
          <w:rFonts w:ascii="Abadi" w:hAnsi="Abadi" w:cs="Arial"/>
          <w:b/>
          <w:bCs/>
          <w:sz w:val="21"/>
          <w:szCs w:val="21"/>
        </w:rPr>
      </w:pPr>
      <w:r w:rsidRPr="00440CCF">
        <w:rPr>
          <w:rFonts w:ascii="Abadi" w:hAnsi="Abadi" w:cs="Arial"/>
          <w:b/>
          <w:bCs/>
          <w:sz w:val="21"/>
          <w:szCs w:val="21"/>
        </w:rPr>
        <w:t>ARTÍCULO TRANSITORIO</w:t>
      </w:r>
    </w:p>
    <w:p w14:paraId="65E7BB0E" w14:textId="77777777" w:rsidR="00181642" w:rsidRPr="00440CCF" w:rsidRDefault="00181642" w:rsidP="00181642">
      <w:pPr>
        <w:autoSpaceDE w:val="0"/>
        <w:autoSpaceDN w:val="0"/>
        <w:adjustRightInd w:val="0"/>
        <w:jc w:val="both"/>
        <w:rPr>
          <w:rFonts w:ascii="Abadi" w:hAnsi="Abadi" w:cs="Arial"/>
          <w:b/>
          <w:bCs/>
          <w:sz w:val="21"/>
          <w:szCs w:val="21"/>
        </w:rPr>
      </w:pPr>
    </w:p>
    <w:p w14:paraId="05FFFAE1" w14:textId="77777777" w:rsidR="00181642" w:rsidRPr="00440CCF" w:rsidRDefault="00181642" w:rsidP="00181642">
      <w:pPr>
        <w:autoSpaceDE w:val="0"/>
        <w:autoSpaceDN w:val="0"/>
        <w:adjustRightInd w:val="0"/>
        <w:jc w:val="both"/>
        <w:rPr>
          <w:rFonts w:ascii="Abadi" w:hAnsi="Abadi" w:cs="Arial"/>
          <w:sz w:val="21"/>
          <w:szCs w:val="21"/>
        </w:rPr>
      </w:pPr>
      <w:r w:rsidRPr="00440CCF">
        <w:rPr>
          <w:rFonts w:ascii="Abadi" w:hAnsi="Abadi" w:cs="Arial"/>
          <w:b/>
          <w:bCs/>
          <w:sz w:val="21"/>
          <w:szCs w:val="21"/>
        </w:rPr>
        <w:t xml:space="preserve">ÚNICO: </w:t>
      </w:r>
      <w:r w:rsidRPr="00440CCF">
        <w:rPr>
          <w:rFonts w:ascii="Abadi" w:hAnsi="Abadi" w:cs="Arial"/>
          <w:sz w:val="21"/>
          <w:szCs w:val="21"/>
        </w:rPr>
        <w:t>El presente Decreto entrará en vigor al día siguiente al de su publicación en el Periódico Oficial del Gobierno del Estado de Guanajuato.</w:t>
      </w:r>
    </w:p>
    <w:p w14:paraId="48B297CC" w14:textId="77777777" w:rsidR="00181642" w:rsidRDefault="00181642" w:rsidP="00181642">
      <w:pPr>
        <w:autoSpaceDE w:val="0"/>
        <w:autoSpaceDN w:val="0"/>
        <w:adjustRightInd w:val="0"/>
        <w:jc w:val="both"/>
        <w:rPr>
          <w:rFonts w:ascii="Abadi" w:hAnsi="Abadi" w:cs="Arial"/>
          <w:sz w:val="21"/>
          <w:szCs w:val="21"/>
        </w:rPr>
      </w:pPr>
    </w:p>
    <w:p w14:paraId="484847B4" w14:textId="3E150D78" w:rsidR="00181642" w:rsidRPr="00440CCF" w:rsidRDefault="00181642" w:rsidP="004913C1">
      <w:pPr>
        <w:autoSpaceDE w:val="0"/>
        <w:autoSpaceDN w:val="0"/>
        <w:adjustRightInd w:val="0"/>
        <w:jc w:val="center"/>
        <w:rPr>
          <w:rFonts w:ascii="Abadi" w:hAnsi="Abadi" w:cs="Arial"/>
          <w:sz w:val="21"/>
          <w:szCs w:val="21"/>
        </w:rPr>
      </w:pPr>
      <w:r w:rsidRPr="00440CCF">
        <w:rPr>
          <w:rFonts w:ascii="Abadi" w:hAnsi="Abadi" w:cs="Arial"/>
          <w:sz w:val="21"/>
          <w:szCs w:val="21"/>
        </w:rPr>
        <w:t>Guanajuato, GTO., a 10 de mayo de 2022</w:t>
      </w:r>
    </w:p>
    <w:p w14:paraId="17F3A68D" w14:textId="77777777" w:rsidR="00181642" w:rsidRPr="00440CCF" w:rsidRDefault="00181642" w:rsidP="004913C1">
      <w:pPr>
        <w:autoSpaceDE w:val="0"/>
        <w:autoSpaceDN w:val="0"/>
        <w:adjustRightInd w:val="0"/>
        <w:jc w:val="center"/>
        <w:rPr>
          <w:rFonts w:ascii="Abadi" w:hAnsi="Abadi" w:cs="Arial"/>
          <w:b/>
          <w:bCs/>
          <w:sz w:val="21"/>
          <w:szCs w:val="21"/>
        </w:rPr>
      </w:pPr>
    </w:p>
    <w:p w14:paraId="794920BF" w14:textId="77777777" w:rsidR="00181642" w:rsidRPr="00440CCF" w:rsidRDefault="00181642" w:rsidP="004913C1">
      <w:pPr>
        <w:autoSpaceDE w:val="0"/>
        <w:autoSpaceDN w:val="0"/>
        <w:adjustRightInd w:val="0"/>
        <w:jc w:val="center"/>
        <w:rPr>
          <w:rFonts w:ascii="Abadi" w:hAnsi="Abadi" w:cs="Arial"/>
          <w:b/>
          <w:bCs/>
          <w:sz w:val="21"/>
          <w:szCs w:val="21"/>
        </w:rPr>
      </w:pPr>
      <w:r w:rsidRPr="00440CCF">
        <w:rPr>
          <w:rFonts w:ascii="Abadi" w:hAnsi="Abadi" w:cs="Arial"/>
          <w:b/>
          <w:bCs/>
          <w:sz w:val="21"/>
          <w:szCs w:val="21"/>
        </w:rPr>
        <w:t>CUAUHTÉMOC BECERRA GONZÁLEZ</w:t>
      </w:r>
    </w:p>
    <w:p w14:paraId="057A4211" w14:textId="3A1F72E6" w:rsidR="00181642" w:rsidRDefault="00181642" w:rsidP="004913C1">
      <w:pPr>
        <w:jc w:val="center"/>
        <w:rPr>
          <w:rFonts w:ascii="Abadi" w:hAnsi="Abadi" w:cs="Arial"/>
          <w:b/>
          <w:bCs/>
          <w:sz w:val="21"/>
          <w:szCs w:val="21"/>
        </w:rPr>
      </w:pPr>
      <w:r w:rsidRPr="00440CCF">
        <w:rPr>
          <w:rFonts w:ascii="Abadi" w:hAnsi="Abadi" w:cs="Arial"/>
          <w:b/>
          <w:bCs/>
          <w:sz w:val="21"/>
          <w:szCs w:val="21"/>
        </w:rPr>
        <w:t>DIPUTADO DE LA LXV LEGISLATURA DEL ESTADO DE GUANAJUATO</w:t>
      </w:r>
      <w:bookmarkEnd w:id="4"/>
    </w:p>
    <w:p w14:paraId="6387A37D" w14:textId="6597EC9E" w:rsidR="00C351F7" w:rsidRDefault="00C351F7" w:rsidP="00181642">
      <w:pPr>
        <w:jc w:val="both"/>
        <w:rPr>
          <w:rFonts w:ascii="Abadi" w:hAnsi="Abadi" w:cs="Arial"/>
          <w:b/>
          <w:bCs/>
          <w:sz w:val="21"/>
          <w:szCs w:val="21"/>
        </w:rPr>
      </w:pPr>
    </w:p>
    <w:p w14:paraId="523FE165" w14:textId="7013F127" w:rsidR="00C351F7" w:rsidRPr="00C351F7" w:rsidRDefault="00C351F7" w:rsidP="00C351F7">
      <w:pPr>
        <w:ind w:firstLine="708"/>
        <w:jc w:val="both"/>
        <w:rPr>
          <w:rFonts w:ascii="Abadi" w:hAnsi="Abadi"/>
          <w:sz w:val="21"/>
          <w:szCs w:val="21"/>
        </w:rPr>
      </w:pPr>
      <w:r>
        <w:rPr>
          <w:rFonts w:ascii="Abadi" w:hAnsi="Abadi"/>
          <w:b/>
          <w:bCs/>
          <w:sz w:val="21"/>
          <w:szCs w:val="21"/>
        </w:rPr>
        <w:t xml:space="preserve">- </w:t>
      </w:r>
      <w:r w:rsidRPr="00C351F7">
        <w:rPr>
          <w:rFonts w:ascii="Abadi" w:hAnsi="Abadi"/>
          <w:b/>
          <w:bCs/>
          <w:sz w:val="21"/>
          <w:szCs w:val="21"/>
        </w:rPr>
        <w:t>La Presidencia.-</w:t>
      </w:r>
      <w:r w:rsidRPr="00C351F7">
        <w:rPr>
          <w:rFonts w:ascii="Abadi" w:hAnsi="Abadi"/>
          <w:sz w:val="21"/>
          <w:szCs w:val="21"/>
        </w:rPr>
        <w:t xml:space="preserve"> Se </w:t>
      </w:r>
      <w:r>
        <w:rPr>
          <w:rFonts w:ascii="Abadi" w:hAnsi="Abadi"/>
          <w:sz w:val="21"/>
          <w:szCs w:val="21"/>
        </w:rPr>
        <w:t>pide a</w:t>
      </w:r>
      <w:r w:rsidRPr="00C351F7">
        <w:rPr>
          <w:rFonts w:ascii="Abadi" w:hAnsi="Abadi"/>
          <w:sz w:val="21"/>
          <w:szCs w:val="21"/>
        </w:rPr>
        <w:t>l diputado Cuauhtémoc Becerra González,  dar lectura a su exposición de motivos,  de su iniciativa a efecto de adicionar  un segundo párrafo, al artículo 56 de la Ley de Propiedad en Condominio de Inmuebles para el Estado de Guanajuato.</w:t>
      </w:r>
    </w:p>
    <w:p w14:paraId="3AE3C674" w14:textId="48174AD8" w:rsidR="00C351F7" w:rsidRDefault="00C351F7" w:rsidP="00C351F7">
      <w:pPr>
        <w:jc w:val="both"/>
      </w:pPr>
      <w:r w:rsidRPr="00C351F7">
        <w:rPr>
          <w:rFonts w:ascii="Abadi" w:hAnsi="Abadi"/>
          <w:sz w:val="21"/>
          <w:szCs w:val="21"/>
        </w:rPr>
        <w:t xml:space="preserve"> Adelante, diputado.</w:t>
      </w:r>
      <w:r>
        <w:t xml:space="preserve"> </w:t>
      </w:r>
    </w:p>
    <w:p w14:paraId="409F2D0A" w14:textId="358FBA0A" w:rsidR="00C351F7" w:rsidRDefault="00C351F7" w:rsidP="00C351F7">
      <w:pPr>
        <w:jc w:val="both"/>
      </w:pPr>
    </w:p>
    <w:p w14:paraId="65E0F091" w14:textId="36D02477" w:rsidR="00C351F7" w:rsidRDefault="00C351F7" w:rsidP="006328A0">
      <w:pPr>
        <w:jc w:val="center"/>
        <w:rPr>
          <w:rFonts w:ascii="Abadi" w:hAnsi="Abadi"/>
          <w:b/>
          <w:bCs/>
          <w:sz w:val="21"/>
          <w:szCs w:val="21"/>
        </w:rPr>
      </w:pPr>
      <w:r w:rsidRPr="00C351F7">
        <w:rPr>
          <w:rFonts w:ascii="Abadi" w:hAnsi="Abadi"/>
          <w:b/>
          <w:bCs/>
          <w:sz w:val="21"/>
          <w:szCs w:val="21"/>
        </w:rPr>
        <w:t>(Posicionamiento)</w:t>
      </w:r>
    </w:p>
    <w:p w14:paraId="6A13A8EB" w14:textId="0F442859" w:rsidR="006328A0" w:rsidRDefault="006328A0" w:rsidP="00C351F7">
      <w:pPr>
        <w:jc w:val="both"/>
        <w:rPr>
          <w:rFonts w:ascii="Abadi" w:hAnsi="Abadi"/>
          <w:b/>
          <w:bCs/>
          <w:sz w:val="21"/>
          <w:szCs w:val="21"/>
        </w:rPr>
      </w:pPr>
    </w:p>
    <w:p w14:paraId="44CCA42A" w14:textId="79C2C42F" w:rsidR="006328A0" w:rsidRPr="00C351F7" w:rsidRDefault="006328A0" w:rsidP="00C351F7">
      <w:pPr>
        <w:jc w:val="both"/>
        <w:rPr>
          <w:rFonts w:ascii="Abadi" w:hAnsi="Abadi"/>
          <w:b/>
          <w:bCs/>
          <w:sz w:val="21"/>
          <w:szCs w:val="21"/>
        </w:rPr>
      </w:pPr>
      <w:r>
        <w:rPr>
          <w:noProof/>
        </w:rPr>
        <w:drawing>
          <wp:inline distT="0" distB="0" distL="0" distR="0" wp14:anchorId="3FED329D" wp14:editId="58923859">
            <wp:extent cx="2430145" cy="1273928"/>
            <wp:effectExtent l="0" t="152400" r="0" b="935990"/>
            <wp:docPr id="22" name="Imagen 22"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Aplicación, Sitio web&#10;&#10;Descripción generada automáticamente"/>
                    <pic:cNvPicPr/>
                  </pic:nvPicPr>
                  <pic:blipFill rotWithShape="1">
                    <a:blip r:embed="rId27"/>
                    <a:srcRect b="6760"/>
                    <a:stretch/>
                  </pic:blipFill>
                  <pic:spPr bwMode="auto">
                    <a:xfrm>
                      <a:off x="0" y="0"/>
                      <a:ext cx="2430145" cy="1273928"/>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105D4D0E" w14:textId="77777777" w:rsidR="00C351F7" w:rsidRDefault="00C351F7" w:rsidP="00181642">
      <w:pPr>
        <w:jc w:val="both"/>
        <w:rPr>
          <w:rFonts w:ascii="Abadi" w:hAnsi="Abadi" w:cs="Arial"/>
          <w:b/>
          <w:bCs/>
          <w:sz w:val="21"/>
          <w:szCs w:val="21"/>
        </w:rPr>
      </w:pPr>
    </w:p>
    <w:p w14:paraId="704851EC" w14:textId="217BC0E6" w:rsidR="00AD320D" w:rsidRDefault="00AD320D" w:rsidP="00181642">
      <w:pPr>
        <w:jc w:val="both"/>
        <w:rPr>
          <w:rFonts w:ascii="Abadi" w:hAnsi="Abadi" w:cs="Arial"/>
          <w:b/>
          <w:bCs/>
          <w:sz w:val="21"/>
          <w:szCs w:val="21"/>
        </w:rPr>
      </w:pPr>
    </w:p>
    <w:p w14:paraId="2EEA4BB8" w14:textId="566A4C0C" w:rsidR="00AD320D" w:rsidRPr="00AD320D" w:rsidRDefault="00AD320D" w:rsidP="00AD320D">
      <w:pPr>
        <w:jc w:val="both"/>
        <w:rPr>
          <w:rFonts w:ascii="Abadi" w:hAnsi="Abadi"/>
          <w:b/>
          <w:bCs/>
          <w:sz w:val="21"/>
          <w:szCs w:val="21"/>
        </w:rPr>
      </w:pPr>
      <w:r w:rsidRPr="00AD320D">
        <w:rPr>
          <w:rFonts w:ascii="Abadi" w:hAnsi="Abadi"/>
          <w:b/>
          <w:bCs/>
          <w:sz w:val="21"/>
          <w:szCs w:val="21"/>
        </w:rPr>
        <w:t>-Diputado Cuauhtémoc Becerra González-</w:t>
      </w:r>
    </w:p>
    <w:p w14:paraId="6D679ECB" w14:textId="77777777" w:rsidR="00AD320D" w:rsidRPr="00AD320D" w:rsidRDefault="00AD320D" w:rsidP="00AD320D">
      <w:pPr>
        <w:jc w:val="both"/>
        <w:rPr>
          <w:rFonts w:ascii="Abadi" w:hAnsi="Abadi"/>
          <w:sz w:val="21"/>
          <w:szCs w:val="21"/>
        </w:rPr>
      </w:pPr>
    </w:p>
    <w:p w14:paraId="3B43C07E" w14:textId="52A5D740" w:rsidR="00AD320D" w:rsidRDefault="00AD320D" w:rsidP="00AD320D">
      <w:pPr>
        <w:jc w:val="both"/>
        <w:rPr>
          <w:rFonts w:ascii="Abadi" w:hAnsi="Abadi"/>
          <w:sz w:val="21"/>
          <w:szCs w:val="21"/>
        </w:rPr>
      </w:pPr>
      <w:r w:rsidRPr="00AD320D">
        <w:rPr>
          <w:rFonts w:ascii="Abadi" w:hAnsi="Abadi"/>
          <w:sz w:val="21"/>
          <w:szCs w:val="21"/>
        </w:rPr>
        <w:t xml:space="preserve">- Buenos días a todos con el permiso de la presidenta y de la Mesa Directiva, saludó con mucho gusto a mis compañeros diputados, a mis compañeras, a las personas, quienes nos acompañan en el Pleno, los asesores a quienes nos visitan el día de hoy. A los medios de comunicación y a quienes amablemente nos siguen a distancia por los medios remotos. </w:t>
      </w:r>
    </w:p>
    <w:p w14:paraId="3F3F8FE9" w14:textId="77777777" w:rsidR="00C351F7" w:rsidRDefault="00C351F7" w:rsidP="00AD320D">
      <w:pPr>
        <w:jc w:val="both"/>
        <w:rPr>
          <w:rFonts w:ascii="Abadi" w:hAnsi="Abadi"/>
          <w:sz w:val="21"/>
          <w:szCs w:val="21"/>
        </w:rPr>
      </w:pPr>
    </w:p>
    <w:p w14:paraId="313C673C" w14:textId="6B05EA63" w:rsidR="00AD320D" w:rsidRPr="00AD320D" w:rsidRDefault="00AD320D" w:rsidP="00AD320D">
      <w:pPr>
        <w:jc w:val="both"/>
        <w:rPr>
          <w:rFonts w:ascii="Abadi" w:hAnsi="Abadi"/>
          <w:sz w:val="21"/>
          <w:szCs w:val="21"/>
        </w:rPr>
      </w:pPr>
      <w:r w:rsidRPr="00AD320D">
        <w:rPr>
          <w:rFonts w:ascii="Abadi" w:hAnsi="Abadi"/>
          <w:sz w:val="21"/>
          <w:szCs w:val="21"/>
        </w:rPr>
        <w:t xml:space="preserve">- </w:t>
      </w:r>
      <w:r w:rsidR="00C351F7" w:rsidRPr="00C351F7">
        <w:rPr>
          <w:rFonts w:ascii="Abadi" w:hAnsi="Abadi"/>
          <w:sz w:val="21"/>
          <w:szCs w:val="21"/>
        </w:rPr>
        <w:t xml:space="preserve">¡Bien! </w:t>
      </w:r>
      <w:r w:rsidRPr="00AD320D">
        <w:rPr>
          <w:rFonts w:ascii="Abadi" w:hAnsi="Abadi"/>
          <w:sz w:val="21"/>
          <w:szCs w:val="21"/>
        </w:rPr>
        <w:t xml:space="preserve">con la venia de la Mesa Directiva, quien suscribe, diputado Cuauhtémoc Becerra González, integrante del Grupo Parlamentario de Morena de la Sexagésima Quinta Legislatura del Congreso del Estado de Guanajuato, someto a consideración de esta Honorable Asamblea la siguiente iniciativa con proyecto de decreto. </w:t>
      </w:r>
    </w:p>
    <w:p w14:paraId="237FB17F" w14:textId="77777777" w:rsidR="00AD320D" w:rsidRDefault="00AD320D" w:rsidP="00AD320D">
      <w:pPr>
        <w:jc w:val="both"/>
        <w:rPr>
          <w:rFonts w:ascii="Abadi" w:hAnsi="Abadi"/>
          <w:sz w:val="21"/>
          <w:szCs w:val="21"/>
        </w:rPr>
      </w:pPr>
    </w:p>
    <w:p w14:paraId="75512AE1" w14:textId="46F44173" w:rsidR="00AD320D" w:rsidRDefault="00AD320D" w:rsidP="00AD320D">
      <w:pPr>
        <w:jc w:val="both"/>
        <w:rPr>
          <w:rFonts w:ascii="Abadi" w:hAnsi="Abadi"/>
          <w:sz w:val="21"/>
          <w:szCs w:val="21"/>
        </w:rPr>
      </w:pPr>
      <w:r w:rsidRPr="00AD320D">
        <w:rPr>
          <w:rFonts w:ascii="Abadi" w:hAnsi="Abadi"/>
          <w:sz w:val="21"/>
          <w:szCs w:val="21"/>
        </w:rPr>
        <w:t>- Exposición de motivos:</w:t>
      </w:r>
    </w:p>
    <w:p w14:paraId="5CBC4866" w14:textId="77777777" w:rsidR="00AD320D" w:rsidRPr="00AD320D" w:rsidRDefault="00AD320D" w:rsidP="00AD320D">
      <w:pPr>
        <w:jc w:val="both"/>
        <w:rPr>
          <w:rFonts w:ascii="Abadi" w:hAnsi="Abadi"/>
          <w:sz w:val="21"/>
          <w:szCs w:val="21"/>
        </w:rPr>
      </w:pPr>
    </w:p>
    <w:p w14:paraId="45E701E2" w14:textId="6E9F1328" w:rsidR="00AD320D" w:rsidRDefault="00AD320D" w:rsidP="00AD320D">
      <w:pPr>
        <w:jc w:val="both"/>
        <w:rPr>
          <w:rFonts w:ascii="Abadi" w:hAnsi="Abadi"/>
          <w:sz w:val="21"/>
          <w:szCs w:val="21"/>
        </w:rPr>
      </w:pPr>
      <w:r w:rsidRPr="00AD320D">
        <w:rPr>
          <w:rFonts w:ascii="Abadi" w:hAnsi="Abadi"/>
          <w:sz w:val="21"/>
          <w:szCs w:val="21"/>
        </w:rPr>
        <w:t xml:space="preserve">-  La gestión de la vida condominal es un tema muy importante para el presente y el futuro de las ciudades. La falta de espacios para continuar construyendo de manera horizontal y el constante incremento en los precios de los terrenos ha provocado que el desarrollo urbano se dé con mayor frecuencia de forma vertical. Tanto por parte de los organismos constructores de la vivienda popular como de las constructoras privadas, y no sólo por la necesidad de espacios, también es una especie de moda, sobre todo en las principales ciudades que tenemos acá en Guanajuato aún no tenemos el problema como tal, pero ya en ciudades. Como la capital, la Ciudad de México Monterrey ya se han presentado algunos problemas de este tipo y yo siempre queriendo seguir un paso adelante, quiero evitar que cuando en Guanajuato lleguemos a ese punto, ya tengamos algún, alguna ley, algún artículo que defienda, sobre todo a los condóminos, </w:t>
      </w:r>
      <w:r>
        <w:rPr>
          <w:rFonts w:ascii="Abadi" w:hAnsi="Abadi"/>
          <w:sz w:val="21"/>
          <w:szCs w:val="21"/>
        </w:rPr>
        <w:t>¿</w:t>
      </w:r>
      <w:r w:rsidRPr="00AD320D">
        <w:rPr>
          <w:rFonts w:ascii="Abadi" w:hAnsi="Abadi"/>
          <w:sz w:val="21"/>
          <w:szCs w:val="21"/>
        </w:rPr>
        <w:t>verdad?</w:t>
      </w:r>
    </w:p>
    <w:p w14:paraId="5E9FB9F4" w14:textId="77777777" w:rsidR="00AD320D" w:rsidRPr="00AD320D" w:rsidRDefault="00AD320D" w:rsidP="00AD320D">
      <w:pPr>
        <w:jc w:val="both"/>
        <w:rPr>
          <w:rFonts w:ascii="Abadi" w:hAnsi="Abadi"/>
          <w:sz w:val="21"/>
          <w:szCs w:val="21"/>
        </w:rPr>
      </w:pPr>
    </w:p>
    <w:p w14:paraId="4A401697" w14:textId="19AD6E21" w:rsidR="00AD320D" w:rsidRDefault="00AD320D" w:rsidP="00AD320D">
      <w:pPr>
        <w:jc w:val="both"/>
        <w:rPr>
          <w:rFonts w:ascii="Abadi" w:hAnsi="Abadi"/>
          <w:sz w:val="21"/>
          <w:szCs w:val="21"/>
        </w:rPr>
      </w:pPr>
      <w:r w:rsidRPr="00AD320D">
        <w:rPr>
          <w:rFonts w:ascii="Abadi" w:hAnsi="Abadi"/>
          <w:sz w:val="21"/>
          <w:szCs w:val="21"/>
        </w:rPr>
        <w:t xml:space="preserve">- En este sentido, se ha hablado de un proceso de condominización que implica que implica cambios importantes en la forma de administrar el territorio urbano y que plantea nuevos retos para los ciudadanos condóminos que se ven impulsados a solucionar autónoma mente sus problemas sin poder desde luego de relacionarse con las instituciones de Gobierno Local y Estatal. </w:t>
      </w:r>
    </w:p>
    <w:p w14:paraId="17AF7061" w14:textId="1DFBA8D9" w:rsidR="00AD320D" w:rsidRDefault="00AD320D" w:rsidP="00AD320D">
      <w:pPr>
        <w:jc w:val="both"/>
        <w:rPr>
          <w:rFonts w:ascii="Abadi" w:hAnsi="Abadi"/>
          <w:sz w:val="21"/>
          <w:szCs w:val="21"/>
        </w:rPr>
      </w:pPr>
      <w:r w:rsidRPr="00AD320D">
        <w:rPr>
          <w:rFonts w:ascii="Abadi" w:hAnsi="Abadi"/>
          <w:sz w:val="21"/>
          <w:szCs w:val="21"/>
        </w:rPr>
        <w:t>- Así los condóminos, es decir, las personas físicas o jurídicas que son propietarias de una o más unidades de propiedad privada. Tienen un derecho singular y exclusivo de propiedad sobre una unidad privativa y además un derecho de copropiedad sobre los elementos y partes comunes de los inmuebles necesarios para un adecuado uso y disfrute.</w:t>
      </w:r>
    </w:p>
    <w:p w14:paraId="5A8950F1" w14:textId="77777777" w:rsidR="005B51F6" w:rsidRDefault="005B51F6" w:rsidP="00AD320D">
      <w:pPr>
        <w:jc w:val="both"/>
        <w:rPr>
          <w:rFonts w:ascii="Abadi" w:hAnsi="Abadi"/>
          <w:sz w:val="21"/>
          <w:szCs w:val="21"/>
        </w:rPr>
      </w:pPr>
    </w:p>
    <w:p w14:paraId="407704B1" w14:textId="0DC69A68" w:rsidR="00AD320D" w:rsidRDefault="00AD320D" w:rsidP="00AD320D">
      <w:pPr>
        <w:jc w:val="both"/>
        <w:rPr>
          <w:rFonts w:ascii="Abadi" w:hAnsi="Abadi"/>
          <w:sz w:val="21"/>
          <w:szCs w:val="21"/>
        </w:rPr>
      </w:pPr>
      <w:r w:rsidRPr="00AD320D">
        <w:rPr>
          <w:rFonts w:ascii="Abadi" w:hAnsi="Abadi"/>
          <w:sz w:val="21"/>
          <w:szCs w:val="21"/>
        </w:rPr>
        <w:t xml:space="preserve">-  La gestión de estos espacios requiere del uso de mecanismos democráticos que permitan lograr consensos entre los condóminos para lograr una convivencia armónica. Por tal razón los condóminos tienen la Facultad de organizar y convocar a la Asamblea General, que es digamos el cuerpo máximo a la Asamblea General que representa el órgano máximo del Gobierno del condominio integrado por todos los condóminos. Y donde se discuten los temas propios del régimen de propiedad de condominio, siendo sus resoluciones de carácter obligatorio. </w:t>
      </w:r>
    </w:p>
    <w:p w14:paraId="171E2EBF" w14:textId="77777777" w:rsidR="00AD320D" w:rsidRPr="00AD320D" w:rsidRDefault="00AD320D" w:rsidP="00AD320D">
      <w:pPr>
        <w:jc w:val="both"/>
        <w:rPr>
          <w:rFonts w:ascii="Abadi" w:hAnsi="Abadi"/>
          <w:sz w:val="21"/>
          <w:szCs w:val="21"/>
        </w:rPr>
      </w:pPr>
    </w:p>
    <w:p w14:paraId="30FBD0C5" w14:textId="41EC3744" w:rsidR="00AD320D" w:rsidRDefault="00AD320D" w:rsidP="00AD320D">
      <w:pPr>
        <w:jc w:val="both"/>
        <w:rPr>
          <w:rFonts w:ascii="Abadi" w:hAnsi="Abadi"/>
          <w:sz w:val="21"/>
          <w:szCs w:val="21"/>
        </w:rPr>
      </w:pPr>
      <w:r w:rsidRPr="00AD320D">
        <w:rPr>
          <w:rFonts w:ascii="Abadi" w:hAnsi="Abadi"/>
          <w:sz w:val="21"/>
          <w:szCs w:val="21"/>
        </w:rPr>
        <w:t xml:space="preserve">- Y además, aquí hago un paréntesis para decir que también la Asamblea General. Se compone de los condominios, pero que también estén al corriente de sus cuotas, porque también ahí hay unos condominios que quieren exigir derechos pero no quieren cumplir sus obligaciones, entonces condóminos que estén al corriente con sus cuotas podrán formar parte de la Asamblea General, y así formar parte de las decisiones necesarias en ese momento, bien. </w:t>
      </w:r>
    </w:p>
    <w:p w14:paraId="1E1103AC" w14:textId="77777777" w:rsidR="00AD320D" w:rsidRPr="00AD320D" w:rsidRDefault="00AD320D" w:rsidP="00AD320D">
      <w:pPr>
        <w:jc w:val="both"/>
        <w:rPr>
          <w:rFonts w:ascii="Abadi" w:hAnsi="Abadi"/>
          <w:sz w:val="21"/>
          <w:szCs w:val="21"/>
        </w:rPr>
      </w:pPr>
    </w:p>
    <w:p w14:paraId="4784E092" w14:textId="54F98F4E" w:rsidR="00AD320D" w:rsidRDefault="00AD320D" w:rsidP="00AD320D">
      <w:pPr>
        <w:jc w:val="both"/>
        <w:rPr>
          <w:rFonts w:ascii="Abadi" w:hAnsi="Abadi"/>
          <w:sz w:val="21"/>
          <w:szCs w:val="21"/>
        </w:rPr>
      </w:pPr>
      <w:r w:rsidRPr="00AD320D">
        <w:rPr>
          <w:rFonts w:ascii="Abadi" w:hAnsi="Abadi"/>
          <w:sz w:val="21"/>
          <w:szCs w:val="21"/>
        </w:rPr>
        <w:t xml:space="preserve">Los asuntos relacionados a los condóminos son de diversa índole, estos van desde las cuotas para el mantenimiento de la unidad. El uso de las cuotas. El pago a los guardias y elementos de seguridad. Los reglamentos internos para la sana convivencia, es decir, asuntos que generalmente surgen y se resuelven de una manera interna. Sin embargo, en tiempos recientes la vida condominal enfrenta un nuevo desafío. Ante la falta de regulación en torno al arrendamiento a corto plazo surge un espacio en el que se antepone el interés privado sobre el bien común de los condóminos. </w:t>
      </w:r>
    </w:p>
    <w:p w14:paraId="04FB90BC" w14:textId="77777777" w:rsidR="00AD320D" w:rsidRPr="00AD320D" w:rsidRDefault="00AD320D" w:rsidP="00AD320D">
      <w:pPr>
        <w:jc w:val="both"/>
        <w:rPr>
          <w:rFonts w:ascii="Abadi" w:hAnsi="Abadi"/>
          <w:sz w:val="21"/>
          <w:szCs w:val="21"/>
        </w:rPr>
      </w:pPr>
    </w:p>
    <w:p w14:paraId="4FA8140F" w14:textId="5993A9D1" w:rsidR="00AD320D" w:rsidRDefault="00AD320D" w:rsidP="00AD320D">
      <w:pPr>
        <w:jc w:val="both"/>
        <w:rPr>
          <w:rFonts w:ascii="Abadi" w:hAnsi="Abadi"/>
          <w:sz w:val="21"/>
          <w:szCs w:val="21"/>
        </w:rPr>
      </w:pPr>
      <w:r w:rsidRPr="00AD320D">
        <w:rPr>
          <w:rFonts w:ascii="Abadi" w:hAnsi="Abadi"/>
          <w:sz w:val="21"/>
          <w:szCs w:val="21"/>
        </w:rPr>
        <w:t>-Actividades como el arrendamiento a corto plazo están dentro, obviamente dentro de los derechos de los propietarios, cada propietario tiene la facultad y la decisión de utilizar su unidad, bien. corresponda, pero recordemos que. Dentro de la normatividad, con dominar existen inmuebles de servicio y uso comercial que son perfectamente legales.</w:t>
      </w:r>
    </w:p>
    <w:p w14:paraId="10E6A5C0" w14:textId="77777777" w:rsidR="00AD320D" w:rsidRPr="00AD320D" w:rsidRDefault="00AD320D" w:rsidP="00AD320D">
      <w:pPr>
        <w:jc w:val="both"/>
        <w:rPr>
          <w:rFonts w:ascii="Abadi" w:hAnsi="Abadi"/>
          <w:sz w:val="21"/>
          <w:szCs w:val="21"/>
        </w:rPr>
      </w:pPr>
    </w:p>
    <w:p w14:paraId="7E16672D" w14:textId="2CA639D2" w:rsidR="00AD320D" w:rsidRDefault="00AD320D" w:rsidP="00AD320D">
      <w:pPr>
        <w:jc w:val="both"/>
        <w:rPr>
          <w:rFonts w:ascii="Abadi" w:hAnsi="Abadi"/>
          <w:sz w:val="21"/>
          <w:szCs w:val="21"/>
        </w:rPr>
      </w:pPr>
      <w:r w:rsidRPr="00AD320D">
        <w:rPr>
          <w:rFonts w:ascii="Abadi" w:hAnsi="Abadi"/>
          <w:sz w:val="21"/>
          <w:szCs w:val="21"/>
        </w:rPr>
        <w:t xml:space="preserve">-  Igualmente, el condominio puede usar, gozar y disponer de su unidad de propiedad privada, con las limitaciones y prohibiciones de esta ley y con las demás que se establezcan en la escritura constitutiva del régimen y en el Reglamento interno determinado de cada unidad. Por lo tanto, los condóminos están en su derecho de arrendar su propiedad a través de plataformas digitales, las cuales se han convertido en él, instrumento idóneo que muchos particulares utilizan para rentar sus viviendas y obtener un ingreso, y un muy buen ingreso ahora con estas aplicaciones y modas por ahí se obtienen unas rentas estratosféricas, pero generado por ahí problemas por ahí a los demás condóminos. </w:t>
      </w:r>
    </w:p>
    <w:p w14:paraId="0004F766" w14:textId="77777777" w:rsidR="00AD320D" w:rsidRPr="00AD320D" w:rsidRDefault="00AD320D" w:rsidP="00AD320D">
      <w:pPr>
        <w:jc w:val="both"/>
        <w:rPr>
          <w:rFonts w:ascii="Abadi" w:hAnsi="Abadi"/>
          <w:sz w:val="21"/>
          <w:szCs w:val="21"/>
        </w:rPr>
      </w:pPr>
    </w:p>
    <w:p w14:paraId="3C81207C" w14:textId="6C36CAC2" w:rsidR="00AD320D" w:rsidRDefault="00AD320D" w:rsidP="00AD320D">
      <w:pPr>
        <w:jc w:val="both"/>
        <w:rPr>
          <w:rFonts w:ascii="Abadi" w:hAnsi="Abadi"/>
          <w:sz w:val="21"/>
          <w:szCs w:val="21"/>
        </w:rPr>
      </w:pPr>
      <w:r w:rsidRPr="00AD320D">
        <w:rPr>
          <w:rFonts w:ascii="Abadi" w:hAnsi="Abadi"/>
          <w:sz w:val="21"/>
          <w:szCs w:val="21"/>
        </w:rPr>
        <w:t xml:space="preserve">- Sin embargo, es necesario que dicha actividad se regule porque en algunas unidades habitacionales se están causando problemas al violar el reglamento y alterar la sana convivencia. Quienes así deciden y los rentan, no entienden que las áreas comunes son propiedad de todos y desconocen que tienen que ajustarse a las reglas del condominio. Cada vez crece el número de quejas e inconformidades de este tipo debido al desgaste y mal uso de las áreas comunes o ante el ruido excesivo que altera la tranquilidad de quienes ahí moran. </w:t>
      </w:r>
    </w:p>
    <w:p w14:paraId="79898AFE" w14:textId="77777777" w:rsidR="00AD320D" w:rsidRPr="00AD320D" w:rsidRDefault="00AD320D" w:rsidP="00AD320D">
      <w:pPr>
        <w:jc w:val="both"/>
        <w:rPr>
          <w:rFonts w:ascii="Abadi" w:hAnsi="Abadi"/>
          <w:sz w:val="21"/>
          <w:szCs w:val="21"/>
        </w:rPr>
      </w:pPr>
    </w:p>
    <w:p w14:paraId="40C807B1" w14:textId="5B200CA5" w:rsidR="00AD320D" w:rsidRDefault="00AD320D" w:rsidP="00AD320D">
      <w:pPr>
        <w:jc w:val="both"/>
        <w:rPr>
          <w:rFonts w:ascii="Abadi" w:hAnsi="Abadi"/>
          <w:sz w:val="21"/>
          <w:szCs w:val="21"/>
        </w:rPr>
      </w:pPr>
      <w:r w:rsidRPr="00AD320D">
        <w:rPr>
          <w:rFonts w:ascii="Abadi" w:hAnsi="Abadi"/>
          <w:sz w:val="21"/>
          <w:szCs w:val="21"/>
        </w:rPr>
        <w:t>- Es, por tanto, que tenemos que brindar a la ciudadanía con las herramientas necesarias para fomentar una sana convivencia en los condominios a través de la actualización de la Ley de Propiedad en condominio de inmuebles para el Estado de Guanajuato y el Fomento</w:t>
      </w:r>
      <w:r w:rsidR="009618A3">
        <w:rPr>
          <w:rFonts w:ascii="Abadi" w:hAnsi="Abadi"/>
          <w:sz w:val="21"/>
          <w:szCs w:val="21"/>
        </w:rPr>
        <w:t xml:space="preserve"> d</w:t>
      </w:r>
      <w:r w:rsidRPr="00AD320D">
        <w:rPr>
          <w:rFonts w:ascii="Abadi" w:hAnsi="Abadi"/>
          <w:sz w:val="21"/>
          <w:szCs w:val="21"/>
        </w:rPr>
        <w:t xml:space="preserve">e los derechos ciudadanos. </w:t>
      </w:r>
    </w:p>
    <w:p w14:paraId="3D597E81" w14:textId="77777777" w:rsidR="00AD320D" w:rsidRPr="00AD320D" w:rsidRDefault="00AD320D" w:rsidP="00AD320D">
      <w:pPr>
        <w:jc w:val="both"/>
        <w:rPr>
          <w:rFonts w:ascii="Abadi" w:hAnsi="Abadi"/>
          <w:sz w:val="21"/>
          <w:szCs w:val="21"/>
        </w:rPr>
      </w:pPr>
    </w:p>
    <w:p w14:paraId="54DBF88D" w14:textId="5C715A23" w:rsidR="00AD320D" w:rsidRDefault="00AD320D" w:rsidP="00AD320D">
      <w:pPr>
        <w:jc w:val="both"/>
        <w:rPr>
          <w:rFonts w:ascii="Abadi" w:hAnsi="Abadi"/>
          <w:sz w:val="21"/>
          <w:szCs w:val="21"/>
        </w:rPr>
      </w:pPr>
      <w:r w:rsidRPr="00AD320D">
        <w:rPr>
          <w:rFonts w:ascii="Abadi" w:hAnsi="Abadi"/>
          <w:sz w:val="21"/>
          <w:szCs w:val="21"/>
        </w:rPr>
        <w:t xml:space="preserve">- Pues la gestión de los espacios con domínales es un campo importante para entender la manera en que los habitantes conciben e interpretan su relación, no solamente la intervención urbanística y los poderes locales, sino con la producción de un significado colectivo. Acerca de la residencia y la vivienda. </w:t>
      </w:r>
    </w:p>
    <w:p w14:paraId="039BDD97" w14:textId="77777777" w:rsidR="00AD320D" w:rsidRPr="00AD320D" w:rsidRDefault="00AD320D" w:rsidP="00AD320D">
      <w:pPr>
        <w:jc w:val="both"/>
        <w:rPr>
          <w:rFonts w:ascii="Abadi" w:hAnsi="Abadi"/>
          <w:sz w:val="21"/>
          <w:szCs w:val="21"/>
        </w:rPr>
      </w:pPr>
    </w:p>
    <w:p w14:paraId="15DB1E9B" w14:textId="0D909A6A" w:rsidR="00AD320D" w:rsidRDefault="00AD320D" w:rsidP="00AD320D">
      <w:pPr>
        <w:jc w:val="both"/>
        <w:rPr>
          <w:rFonts w:ascii="Abadi" w:hAnsi="Abadi"/>
          <w:sz w:val="21"/>
          <w:szCs w:val="21"/>
        </w:rPr>
      </w:pPr>
      <w:r w:rsidRPr="00AD320D">
        <w:rPr>
          <w:rFonts w:ascii="Abadi" w:hAnsi="Abadi"/>
          <w:sz w:val="21"/>
          <w:szCs w:val="21"/>
        </w:rPr>
        <w:t xml:space="preserve">- Usar y disfrutar en igualdad de circunstancias y en forma ordenada. Las áreas y bienes de uso común del condominio sin restringir el derecho de los demás. </w:t>
      </w:r>
    </w:p>
    <w:p w14:paraId="7F807C97" w14:textId="77777777" w:rsidR="00AD320D" w:rsidRPr="00AD320D" w:rsidRDefault="00AD320D" w:rsidP="00AD320D">
      <w:pPr>
        <w:jc w:val="both"/>
        <w:rPr>
          <w:rFonts w:ascii="Abadi" w:hAnsi="Abadi"/>
          <w:sz w:val="21"/>
          <w:szCs w:val="21"/>
        </w:rPr>
      </w:pPr>
    </w:p>
    <w:p w14:paraId="1231CA92" w14:textId="60F7C8FF" w:rsidR="00AD320D" w:rsidRDefault="00AD320D" w:rsidP="00AD320D">
      <w:pPr>
        <w:jc w:val="both"/>
        <w:rPr>
          <w:rFonts w:ascii="Abadi" w:hAnsi="Abadi"/>
          <w:sz w:val="21"/>
          <w:szCs w:val="21"/>
        </w:rPr>
      </w:pPr>
      <w:r w:rsidRPr="00AD320D">
        <w:rPr>
          <w:rFonts w:ascii="Abadi" w:hAnsi="Abadi"/>
          <w:sz w:val="21"/>
          <w:szCs w:val="21"/>
        </w:rPr>
        <w:t>- En mérito de lo anteriormente expuesto, nos permitimos someter a la consideración de esta honorable Asamblea este punto de decreto.</w:t>
      </w:r>
    </w:p>
    <w:p w14:paraId="1CE6C24B" w14:textId="77777777" w:rsidR="00A3260D" w:rsidRPr="00AD320D" w:rsidRDefault="00A3260D" w:rsidP="00AD320D">
      <w:pPr>
        <w:jc w:val="both"/>
        <w:rPr>
          <w:rFonts w:ascii="Abadi" w:hAnsi="Abadi"/>
          <w:sz w:val="21"/>
          <w:szCs w:val="21"/>
        </w:rPr>
      </w:pPr>
    </w:p>
    <w:p w14:paraId="23A3FC44" w14:textId="32F2059C" w:rsidR="00AD320D" w:rsidRDefault="00A3260D" w:rsidP="00AD320D">
      <w:pPr>
        <w:jc w:val="both"/>
        <w:rPr>
          <w:rFonts w:ascii="Abadi" w:hAnsi="Abadi"/>
          <w:sz w:val="21"/>
          <w:szCs w:val="21"/>
        </w:rPr>
      </w:pPr>
      <w:r>
        <w:rPr>
          <w:rFonts w:ascii="Abadi" w:hAnsi="Abadi"/>
          <w:sz w:val="21"/>
          <w:szCs w:val="21"/>
        </w:rPr>
        <w:t xml:space="preserve">- </w:t>
      </w:r>
      <w:r w:rsidR="00AD320D" w:rsidRPr="00AD320D">
        <w:rPr>
          <w:rFonts w:ascii="Abadi" w:hAnsi="Abadi"/>
          <w:sz w:val="21"/>
          <w:szCs w:val="21"/>
        </w:rPr>
        <w:t xml:space="preserve">Es </w:t>
      </w:r>
      <w:r w:rsidR="003009B6" w:rsidRPr="00AD320D">
        <w:rPr>
          <w:rFonts w:ascii="Abadi" w:hAnsi="Abadi"/>
          <w:sz w:val="21"/>
          <w:szCs w:val="21"/>
        </w:rPr>
        <w:t>cuánto</w:t>
      </w:r>
      <w:r w:rsidR="00AD320D" w:rsidRPr="00AD320D">
        <w:rPr>
          <w:rFonts w:ascii="Abadi" w:hAnsi="Abadi"/>
          <w:sz w:val="21"/>
          <w:szCs w:val="21"/>
        </w:rPr>
        <w:t>.</w:t>
      </w:r>
    </w:p>
    <w:p w14:paraId="57610433" w14:textId="3FEB0BFE" w:rsidR="009618A3" w:rsidRDefault="009618A3" w:rsidP="00AD320D">
      <w:pPr>
        <w:jc w:val="both"/>
        <w:rPr>
          <w:rFonts w:ascii="Abadi" w:hAnsi="Abadi"/>
          <w:sz w:val="21"/>
          <w:szCs w:val="21"/>
        </w:rPr>
      </w:pPr>
    </w:p>
    <w:p w14:paraId="766FB548" w14:textId="2E0195BA" w:rsidR="009618A3" w:rsidRPr="009618A3" w:rsidRDefault="00B5436B" w:rsidP="00B5436B">
      <w:pPr>
        <w:ind w:firstLine="284"/>
        <w:jc w:val="both"/>
        <w:rPr>
          <w:rFonts w:ascii="Abadi" w:hAnsi="Abadi"/>
          <w:sz w:val="21"/>
          <w:szCs w:val="21"/>
        </w:rPr>
      </w:pPr>
      <w:r>
        <w:rPr>
          <w:rFonts w:ascii="Abadi" w:hAnsi="Abadi"/>
          <w:b/>
          <w:bCs/>
          <w:sz w:val="21"/>
          <w:szCs w:val="21"/>
        </w:rPr>
        <w:t xml:space="preserve">- </w:t>
      </w:r>
      <w:r w:rsidR="009618A3" w:rsidRPr="009618A3">
        <w:rPr>
          <w:rFonts w:ascii="Abadi" w:hAnsi="Abadi"/>
          <w:b/>
          <w:bCs/>
          <w:sz w:val="21"/>
          <w:szCs w:val="21"/>
        </w:rPr>
        <w:t>La Presidencia.-</w:t>
      </w:r>
      <w:r w:rsidR="009618A3" w:rsidRPr="009618A3">
        <w:rPr>
          <w:rFonts w:ascii="Abadi" w:hAnsi="Abadi"/>
          <w:sz w:val="21"/>
          <w:szCs w:val="21"/>
        </w:rPr>
        <w:t xml:space="preserve"> Muchas gracias, diputado.</w:t>
      </w:r>
    </w:p>
    <w:p w14:paraId="1536533F" w14:textId="77777777" w:rsidR="009618A3" w:rsidRPr="009618A3" w:rsidRDefault="009618A3" w:rsidP="009618A3">
      <w:pPr>
        <w:jc w:val="both"/>
        <w:rPr>
          <w:rFonts w:ascii="Abadi" w:hAnsi="Abadi"/>
          <w:sz w:val="21"/>
          <w:szCs w:val="21"/>
        </w:rPr>
      </w:pPr>
    </w:p>
    <w:p w14:paraId="368A8CC8" w14:textId="77777777" w:rsidR="009618A3" w:rsidRPr="009618A3" w:rsidRDefault="009618A3" w:rsidP="009618A3">
      <w:pPr>
        <w:ind w:left="284" w:right="425"/>
        <w:jc w:val="both"/>
        <w:rPr>
          <w:rFonts w:ascii="Abadi" w:hAnsi="Abadi"/>
          <w:b/>
          <w:bCs/>
          <w:i/>
          <w:iCs/>
          <w:sz w:val="21"/>
          <w:szCs w:val="21"/>
          <w:u w:val="single"/>
        </w:rPr>
      </w:pPr>
      <w:r w:rsidRPr="009618A3">
        <w:rPr>
          <w:rFonts w:ascii="Abadi" w:hAnsi="Abadi"/>
          <w:b/>
          <w:bCs/>
          <w:i/>
          <w:iCs/>
          <w:sz w:val="21"/>
          <w:szCs w:val="21"/>
          <w:u w:val="single"/>
        </w:rPr>
        <w:t xml:space="preserve">Con fundamento en el artículo 113, fracción I de nuestra Ley Orgánica, se turna a la Comisión de Justicia para su estudio y dictamen. </w:t>
      </w:r>
    </w:p>
    <w:p w14:paraId="3737E597" w14:textId="77777777" w:rsidR="009618A3" w:rsidRPr="009618A3" w:rsidRDefault="009618A3" w:rsidP="009618A3">
      <w:pPr>
        <w:ind w:left="284" w:right="425"/>
        <w:jc w:val="both"/>
        <w:rPr>
          <w:rFonts w:ascii="Abadi" w:hAnsi="Abadi"/>
          <w:sz w:val="21"/>
          <w:szCs w:val="21"/>
        </w:rPr>
      </w:pPr>
    </w:p>
    <w:p w14:paraId="67A0ED7A" w14:textId="23C349D9" w:rsidR="00844A37" w:rsidRPr="009618A3" w:rsidRDefault="00844A37" w:rsidP="00AD320D">
      <w:pPr>
        <w:jc w:val="both"/>
        <w:rPr>
          <w:rFonts w:ascii="Abadi" w:hAnsi="Abadi"/>
          <w:sz w:val="21"/>
          <w:szCs w:val="21"/>
        </w:rPr>
      </w:pPr>
    </w:p>
    <w:p w14:paraId="6EBBF0CA" w14:textId="32E359E3"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 xml:space="preserve">PRESENTACIÓN DE LA INICIATIVA FORMULADA POR EL DIPUTADO PABLO ALONSO RIPOLL INTEGRANTE DEL GRUPO PARLAMENTARIO DEL PARTIDO MORENA A EFECTO DE REFORMAR EL ARTÍCULO 341 DEL CÓDIGO CIVIL PARA EL ESTADO DE GUANAJUATO. </w:t>
      </w:r>
    </w:p>
    <w:p w14:paraId="56FC2A03" w14:textId="459C57B6" w:rsidR="008F41A0" w:rsidRDefault="008F41A0" w:rsidP="008F41A0">
      <w:pPr>
        <w:autoSpaceDE w:val="0"/>
        <w:autoSpaceDN w:val="0"/>
        <w:adjustRightInd w:val="0"/>
        <w:jc w:val="both"/>
        <w:rPr>
          <w:rFonts w:ascii="Abadi" w:hAnsi="Abadi" w:cs="ArialMT"/>
          <w:b/>
          <w:bCs/>
          <w:sz w:val="20"/>
          <w:szCs w:val="21"/>
        </w:rPr>
      </w:pPr>
    </w:p>
    <w:p w14:paraId="690F898C" w14:textId="77777777" w:rsidR="008F41A0" w:rsidRPr="00E22D3F" w:rsidRDefault="008F41A0" w:rsidP="008F41A0">
      <w:pPr>
        <w:autoSpaceDE w:val="0"/>
        <w:autoSpaceDN w:val="0"/>
        <w:adjustRightInd w:val="0"/>
        <w:jc w:val="both"/>
        <w:rPr>
          <w:rFonts w:ascii="Abadi" w:hAnsi="Abadi" w:cs="Calibri-Bold"/>
          <w:b/>
          <w:bCs/>
          <w:sz w:val="21"/>
          <w:szCs w:val="21"/>
        </w:rPr>
      </w:pPr>
      <w:r w:rsidRPr="00E22D3F">
        <w:rPr>
          <w:rFonts w:ascii="Abadi" w:hAnsi="Abadi" w:cs="Calibri-Bold"/>
          <w:b/>
          <w:bCs/>
          <w:sz w:val="21"/>
          <w:szCs w:val="21"/>
        </w:rPr>
        <w:t>Diputada Irma Leticia González Sánchez</w:t>
      </w:r>
    </w:p>
    <w:p w14:paraId="141CA6D0"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Presidenta de la Mesa Directiva de la</w:t>
      </w:r>
    </w:p>
    <w:p w14:paraId="2A384312"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LXV Legislatura del Estado de Guanajuato.</w:t>
      </w:r>
    </w:p>
    <w:p w14:paraId="4B71C448" w14:textId="77777777" w:rsidR="008F41A0" w:rsidRPr="00E22D3F" w:rsidRDefault="008F41A0" w:rsidP="008F41A0">
      <w:pPr>
        <w:autoSpaceDE w:val="0"/>
        <w:autoSpaceDN w:val="0"/>
        <w:adjustRightInd w:val="0"/>
        <w:jc w:val="both"/>
        <w:rPr>
          <w:rFonts w:ascii="Abadi" w:hAnsi="Abadi" w:cs="Calibri-Italic"/>
          <w:i/>
          <w:iCs/>
          <w:sz w:val="21"/>
          <w:szCs w:val="21"/>
        </w:rPr>
      </w:pPr>
      <w:r w:rsidRPr="00E22D3F">
        <w:rPr>
          <w:rFonts w:ascii="Abadi" w:hAnsi="Abadi" w:cs="Calibri-Italic"/>
          <w:i/>
          <w:iCs/>
          <w:sz w:val="21"/>
          <w:szCs w:val="21"/>
        </w:rPr>
        <w:t>P r e s e n t e</w:t>
      </w:r>
    </w:p>
    <w:p w14:paraId="6683E794" w14:textId="77777777" w:rsidR="008F41A0" w:rsidRPr="00E22D3F" w:rsidRDefault="008F41A0" w:rsidP="008F41A0">
      <w:pPr>
        <w:autoSpaceDE w:val="0"/>
        <w:autoSpaceDN w:val="0"/>
        <w:adjustRightInd w:val="0"/>
        <w:jc w:val="both"/>
        <w:rPr>
          <w:rFonts w:ascii="Abadi" w:hAnsi="Abadi" w:cs="Calibri-Italic"/>
          <w:i/>
          <w:iCs/>
          <w:sz w:val="21"/>
          <w:szCs w:val="21"/>
        </w:rPr>
      </w:pPr>
    </w:p>
    <w:p w14:paraId="27F11B81" w14:textId="3C380DB0"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 xml:space="preserve">El que suscribe, </w:t>
      </w:r>
      <w:r w:rsidRPr="00E22D3F">
        <w:rPr>
          <w:rFonts w:ascii="Abadi" w:hAnsi="Abadi" w:cs="Calibri-Italic"/>
          <w:i/>
          <w:iCs/>
          <w:sz w:val="21"/>
          <w:szCs w:val="21"/>
        </w:rPr>
        <w:t xml:space="preserve">Diputado </w:t>
      </w:r>
      <w:r w:rsidRPr="00E22D3F">
        <w:rPr>
          <w:rFonts w:ascii="Abadi" w:hAnsi="Abadi" w:cs="Calibri-Bold"/>
          <w:b/>
          <w:bCs/>
          <w:sz w:val="21"/>
          <w:szCs w:val="21"/>
        </w:rPr>
        <w:t xml:space="preserve">PABLO ALONSO RIPOLL, </w:t>
      </w:r>
      <w:r w:rsidRPr="00E22D3F">
        <w:rPr>
          <w:rFonts w:ascii="Abadi" w:hAnsi="Abadi" w:cs="Calibri"/>
          <w:sz w:val="21"/>
          <w:szCs w:val="21"/>
        </w:rPr>
        <w:t xml:space="preserve">del Grupo Parlamentario de </w:t>
      </w:r>
      <w:r w:rsidRPr="00E22D3F">
        <w:rPr>
          <w:rFonts w:ascii="Abadi" w:hAnsi="Abadi" w:cs="Calibri-BoldItalic"/>
          <w:b/>
          <w:bCs/>
          <w:i/>
          <w:iCs/>
          <w:sz w:val="21"/>
          <w:szCs w:val="21"/>
        </w:rPr>
        <w:t>morena</w:t>
      </w:r>
      <w:r w:rsidRPr="00E22D3F">
        <w:rPr>
          <w:rFonts w:ascii="Abadi" w:hAnsi="Abadi" w:cs="Calibri"/>
          <w:sz w:val="21"/>
          <w:szCs w:val="21"/>
        </w:rPr>
        <w:t>, de esta</w:t>
      </w:r>
      <w:r>
        <w:rPr>
          <w:rFonts w:ascii="Abadi" w:hAnsi="Abadi" w:cs="Calibri"/>
          <w:sz w:val="21"/>
          <w:szCs w:val="21"/>
        </w:rPr>
        <w:t xml:space="preserve"> </w:t>
      </w:r>
      <w:r w:rsidRPr="00E22D3F">
        <w:rPr>
          <w:rFonts w:ascii="Abadi" w:hAnsi="Abadi" w:cs="Calibri"/>
          <w:sz w:val="21"/>
          <w:szCs w:val="21"/>
        </w:rPr>
        <w:t>Sexagésima Quinta Legislatura del Congreso del Estado de Guanajuato, con fundamento en lo</w:t>
      </w:r>
      <w:r>
        <w:rPr>
          <w:rFonts w:ascii="Abadi" w:hAnsi="Abadi" w:cs="Calibri"/>
          <w:sz w:val="21"/>
          <w:szCs w:val="21"/>
        </w:rPr>
        <w:t xml:space="preserve"> </w:t>
      </w:r>
      <w:r w:rsidRPr="00E22D3F">
        <w:rPr>
          <w:rFonts w:ascii="Abadi" w:hAnsi="Abadi" w:cs="Calibri"/>
          <w:sz w:val="21"/>
          <w:szCs w:val="21"/>
        </w:rPr>
        <w:t xml:space="preserve">dispuesto en la fracción II del artículo 56, de la </w:t>
      </w:r>
      <w:r w:rsidRPr="00E22D3F">
        <w:rPr>
          <w:rFonts w:ascii="Abadi" w:hAnsi="Abadi" w:cs="Calibri-Italic"/>
          <w:i/>
          <w:iCs/>
          <w:sz w:val="21"/>
          <w:szCs w:val="21"/>
        </w:rPr>
        <w:t>Constitución Política para el Estado de Guanajuato</w:t>
      </w:r>
      <w:r w:rsidRPr="00E22D3F">
        <w:rPr>
          <w:rFonts w:ascii="Abadi" w:hAnsi="Abadi" w:cs="Calibri"/>
          <w:sz w:val="21"/>
          <w:szCs w:val="21"/>
        </w:rPr>
        <w:t>;</w:t>
      </w:r>
      <w:r>
        <w:rPr>
          <w:rFonts w:ascii="Abadi" w:hAnsi="Abadi" w:cs="Calibri"/>
          <w:sz w:val="21"/>
          <w:szCs w:val="21"/>
        </w:rPr>
        <w:t xml:space="preserve"> </w:t>
      </w:r>
      <w:r w:rsidRPr="00E22D3F">
        <w:rPr>
          <w:rFonts w:ascii="Abadi" w:hAnsi="Abadi" w:cs="Calibri"/>
          <w:sz w:val="21"/>
          <w:szCs w:val="21"/>
        </w:rPr>
        <w:t xml:space="preserve">y en el artículo 167, fracción II de la </w:t>
      </w:r>
      <w:r w:rsidRPr="00E22D3F">
        <w:rPr>
          <w:rFonts w:ascii="Abadi" w:hAnsi="Abadi" w:cs="Calibri-Italic"/>
          <w:i/>
          <w:iCs/>
          <w:sz w:val="21"/>
          <w:szCs w:val="21"/>
        </w:rPr>
        <w:t>Ley Orgánica del Poder Legislativo del Estado de Guanajuato</w:t>
      </w:r>
      <w:r w:rsidRPr="00E22D3F">
        <w:rPr>
          <w:rFonts w:ascii="Abadi" w:hAnsi="Abadi" w:cs="Calibri"/>
          <w:sz w:val="21"/>
          <w:szCs w:val="21"/>
        </w:rPr>
        <w:t>,</w:t>
      </w:r>
      <w:r>
        <w:rPr>
          <w:rFonts w:ascii="Abadi" w:hAnsi="Abadi" w:cs="Calibri"/>
          <w:sz w:val="21"/>
          <w:szCs w:val="21"/>
        </w:rPr>
        <w:t xml:space="preserve"> </w:t>
      </w:r>
      <w:r w:rsidRPr="00E22D3F">
        <w:rPr>
          <w:rFonts w:ascii="Abadi" w:hAnsi="Abadi" w:cs="Calibri"/>
          <w:sz w:val="21"/>
          <w:szCs w:val="21"/>
        </w:rPr>
        <w:t xml:space="preserve">me permito someter a la consideración de esta Asamblea para su aprobación, la presente </w:t>
      </w:r>
      <w:r w:rsidRPr="00E22D3F">
        <w:rPr>
          <w:rFonts w:ascii="Abadi" w:hAnsi="Abadi" w:cs="Calibri-Bold"/>
          <w:b/>
          <w:bCs/>
          <w:sz w:val="21"/>
          <w:szCs w:val="21"/>
        </w:rPr>
        <w:t>iniciativa</w:t>
      </w:r>
      <w:r>
        <w:rPr>
          <w:rFonts w:ascii="Abadi" w:hAnsi="Abadi" w:cs="Calibri-Bold"/>
          <w:b/>
          <w:bCs/>
          <w:sz w:val="21"/>
          <w:szCs w:val="21"/>
        </w:rPr>
        <w:t xml:space="preserve"> </w:t>
      </w:r>
      <w:r w:rsidRPr="00E22D3F">
        <w:rPr>
          <w:rFonts w:ascii="Abadi" w:hAnsi="Abadi" w:cs="Calibri-Bold"/>
          <w:b/>
          <w:bCs/>
          <w:sz w:val="21"/>
          <w:szCs w:val="21"/>
        </w:rPr>
        <w:t>por la que se reforma el artículo 341 del Código Civil para el Estado de Guanajuato</w:t>
      </w:r>
      <w:r w:rsidRPr="00E22D3F">
        <w:rPr>
          <w:rFonts w:ascii="Abadi" w:hAnsi="Abadi" w:cs="Calibri"/>
          <w:sz w:val="21"/>
          <w:szCs w:val="21"/>
        </w:rPr>
        <w:t>, de</w:t>
      </w:r>
      <w:r>
        <w:rPr>
          <w:rFonts w:ascii="Abadi" w:hAnsi="Abadi" w:cs="Calibri"/>
          <w:sz w:val="21"/>
          <w:szCs w:val="21"/>
        </w:rPr>
        <w:t xml:space="preserve"> </w:t>
      </w:r>
      <w:r w:rsidRPr="00E22D3F">
        <w:rPr>
          <w:rFonts w:ascii="Abadi" w:hAnsi="Abadi" w:cs="Calibri"/>
          <w:sz w:val="21"/>
          <w:szCs w:val="21"/>
        </w:rPr>
        <w:t>conformidad con la siguiente:</w:t>
      </w:r>
    </w:p>
    <w:p w14:paraId="67B8F682" w14:textId="77777777" w:rsidR="008F41A0" w:rsidRDefault="008F41A0" w:rsidP="008F41A0">
      <w:pPr>
        <w:autoSpaceDE w:val="0"/>
        <w:autoSpaceDN w:val="0"/>
        <w:adjustRightInd w:val="0"/>
        <w:jc w:val="both"/>
        <w:rPr>
          <w:rFonts w:ascii="Abadi" w:hAnsi="Abadi" w:cs="Calibri-Bold"/>
          <w:b/>
          <w:bCs/>
          <w:sz w:val="21"/>
          <w:szCs w:val="21"/>
        </w:rPr>
      </w:pPr>
    </w:p>
    <w:p w14:paraId="3DD5CBFB" w14:textId="77777777" w:rsidR="008F41A0" w:rsidRPr="00E22D3F" w:rsidRDefault="008F41A0" w:rsidP="008F41A0">
      <w:pPr>
        <w:autoSpaceDE w:val="0"/>
        <w:autoSpaceDN w:val="0"/>
        <w:adjustRightInd w:val="0"/>
        <w:jc w:val="center"/>
        <w:rPr>
          <w:rFonts w:ascii="Abadi" w:hAnsi="Abadi" w:cs="Calibri-Bold"/>
          <w:b/>
          <w:bCs/>
          <w:sz w:val="21"/>
          <w:szCs w:val="21"/>
        </w:rPr>
      </w:pPr>
      <w:r w:rsidRPr="00E22D3F">
        <w:rPr>
          <w:rFonts w:ascii="Abadi" w:hAnsi="Abadi" w:cs="Calibri-Bold"/>
          <w:b/>
          <w:bCs/>
          <w:sz w:val="21"/>
          <w:szCs w:val="21"/>
        </w:rPr>
        <w:t>EXPOSICIÓN DE MOTIVOS:</w:t>
      </w:r>
    </w:p>
    <w:p w14:paraId="4DFF29CF" w14:textId="77777777" w:rsidR="008F41A0" w:rsidRDefault="008F41A0" w:rsidP="008F41A0">
      <w:pPr>
        <w:autoSpaceDE w:val="0"/>
        <w:autoSpaceDN w:val="0"/>
        <w:adjustRightInd w:val="0"/>
        <w:jc w:val="both"/>
        <w:rPr>
          <w:rFonts w:ascii="Abadi" w:hAnsi="Abadi" w:cs="Calibri"/>
          <w:sz w:val="21"/>
          <w:szCs w:val="21"/>
        </w:rPr>
      </w:pPr>
    </w:p>
    <w:p w14:paraId="73B8E8AA" w14:textId="5B37FDA0"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 xml:space="preserve">El pasado 10 de mayo de este año 2022 la </w:t>
      </w:r>
      <w:r w:rsidRPr="00E22D3F">
        <w:rPr>
          <w:rFonts w:ascii="Abadi" w:hAnsi="Abadi" w:cs="Calibri-Italic"/>
          <w:i/>
          <w:iCs/>
          <w:sz w:val="21"/>
          <w:szCs w:val="21"/>
        </w:rPr>
        <w:t xml:space="preserve">Comisión Interamericana de Derechos Humanos </w:t>
      </w:r>
      <w:r w:rsidRPr="00E22D3F">
        <w:rPr>
          <w:rFonts w:ascii="Abadi" w:hAnsi="Abadi" w:cs="Calibri"/>
          <w:sz w:val="21"/>
          <w:szCs w:val="21"/>
        </w:rPr>
        <w:t>(CIDH)</w:t>
      </w:r>
      <w:r>
        <w:rPr>
          <w:rFonts w:ascii="Abadi" w:hAnsi="Abadi" w:cs="Calibri"/>
          <w:sz w:val="21"/>
          <w:szCs w:val="21"/>
        </w:rPr>
        <w:t xml:space="preserve"> </w:t>
      </w:r>
      <w:r w:rsidRPr="00E22D3F">
        <w:rPr>
          <w:rFonts w:ascii="Abadi" w:hAnsi="Abadi" w:cs="Calibri"/>
          <w:sz w:val="21"/>
          <w:szCs w:val="21"/>
        </w:rPr>
        <w:t>emitió un comunicado</w:t>
      </w:r>
      <w:r w:rsidR="002356D6">
        <w:rPr>
          <w:rStyle w:val="Refdenotaalpie"/>
          <w:rFonts w:ascii="Abadi" w:hAnsi="Abadi" w:cs="Calibri"/>
          <w:sz w:val="21"/>
          <w:szCs w:val="21"/>
        </w:rPr>
        <w:footnoteReference w:id="24"/>
      </w:r>
      <w:r w:rsidRPr="00E22D3F">
        <w:rPr>
          <w:rFonts w:ascii="Abadi" w:hAnsi="Abadi" w:cs="Calibri"/>
          <w:sz w:val="21"/>
          <w:szCs w:val="21"/>
        </w:rPr>
        <w:t xml:space="preserve"> llamando a México a adoptar medidas urgentes para erradicar la violencia</w:t>
      </w:r>
      <w:r>
        <w:rPr>
          <w:rFonts w:ascii="Abadi" w:hAnsi="Abadi" w:cs="Calibri"/>
          <w:sz w:val="21"/>
          <w:szCs w:val="21"/>
        </w:rPr>
        <w:t xml:space="preserve"> </w:t>
      </w:r>
      <w:r w:rsidRPr="00E22D3F">
        <w:rPr>
          <w:rFonts w:ascii="Abadi" w:hAnsi="Abadi" w:cs="Calibri"/>
          <w:sz w:val="21"/>
          <w:szCs w:val="21"/>
        </w:rPr>
        <w:t>contra las mujeres.</w:t>
      </w:r>
    </w:p>
    <w:p w14:paraId="17C2B274" w14:textId="77777777" w:rsidR="008F41A0" w:rsidRPr="00E22D3F" w:rsidRDefault="008F41A0" w:rsidP="008F41A0">
      <w:pPr>
        <w:autoSpaceDE w:val="0"/>
        <w:autoSpaceDN w:val="0"/>
        <w:adjustRightInd w:val="0"/>
        <w:jc w:val="both"/>
        <w:rPr>
          <w:rFonts w:ascii="Abadi" w:hAnsi="Abadi" w:cs="Calibri"/>
          <w:sz w:val="21"/>
          <w:szCs w:val="21"/>
        </w:rPr>
      </w:pPr>
    </w:p>
    <w:p w14:paraId="208BD5A8" w14:textId="6F35F262"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 xml:space="preserve">Informa la </w:t>
      </w:r>
      <w:r w:rsidRPr="00E22D3F">
        <w:rPr>
          <w:rFonts w:ascii="Abadi" w:hAnsi="Abadi" w:cs="Calibri-Italic"/>
          <w:i/>
          <w:iCs/>
          <w:sz w:val="21"/>
          <w:szCs w:val="21"/>
        </w:rPr>
        <w:t xml:space="preserve">Comisión </w:t>
      </w:r>
      <w:r w:rsidRPr="00E22D3F">
        <w:rPr>
          <w:rFonts w:ascii="Abadi" w:hAnsi="Abadi" w:cs="Calibri"/>
          <w:sz w:val="21"/>
          <w:szCs w:val="21"/>
        </w:rPr>
        <w:t>que está atenta de los reportes de feminicidios y desapariciones de mujeres</w:t>
      </w:r>
      <w:r>
        <w:rPr>
          <w:rFonts w:ascii="Abadi" w:hAnsi="Abadi" w:cs="Calibri"/>
          <w:sz w:val="21"/>
          <w:szCs w:val="21"/>
        </w:rPr>
        <w:t xml:space="preserve"> </w:t>
      </w:r>
      <w:r w:rsidRPr="00E22D3F">
        <w:rPr>
          <w:rFonts w:ascii="Abadi" w:hAnsi="Abadi" w:cs="Calibri"/>
          <w:sz w:val="21"/>
          <w:szCs w:val="21"/>
        </w:rPr>
        <w:t>en México, ante el alza creciente de casos y su gravedad.</w:t>
      </w:r>
    </w:p>
    <w:p w14:paraId="2F905B6F" w14:textId="77777777" w:rsidR="008F41A0" w:rsidRPr="00E22D3F" w:rsidRDefault="008F41A0" w:rsidP="008F41A0">
      <w:pPr>
        <w:autoSpaceDE w:val="0"/>
        <w:autoSpaceDN w:val="0"/>
        <w:adjustRightInd w:val="0"/>
        <w:jc w:val="both"/>
        <w:rPr>
          <w:rFonts w:ascii="Abadi" w:hAnsi="Abadi" w:cs="Calibri"/>
          <w:sz w:val="21"/>
          <w:szCs w:val="21"/>
        </w:rPr>
      </w:pPr>
    </w:p>
    <w:p w14:paraId="50107D27" w14:textId="77777777"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Se recomienda que los casos reportados no deben analizarse de manera aislada, sino en un</w:t>
      </w:r>
      <w:r>
        <w:rPr>
          <w:rFonts w:ascii="Abadi" w:hAnsi="Abadi" w:cs="Calibri"/>
          <w:sz w:val="21"/>
          <w:szCs w:val="21"/>
        </w:rPr>
        <w:t xml:space="preserve"> </w:t>
      </w:r>
      <w:r w:rsidRPr="00E22D3F">
        <w:rPr>
          <w:rFonts w:ascii="Abadi" w:hAnsi="Abadi" w:cs="Calibri"/>
          <w:sz w:val="21"/>
          <w:szCs w:val="21"/>
        </w:rPr>
        <w:t>contexto de violencia de género, y en este sentido se señala:</w:t>
      </w:r>
    </w:p>
    <w:p w14:paraId="239E141E" w14:textId="77777777" w:rsidR="008F41A0" w:rsidRPr="00E22D3F" w:rsidRDefault="008F41A0" w:rsidP="008F41A0">
      <w:pPr>
        <w:autoSpaceDE w:val="0"/>
        <w:autoSpaceDN w:val="0"/>
        <w:adjustRightInd w:val="0"/>
        <w:jc w:val="both"/>
        <w:rPr>
          <w:rFonts w:ascii="Abadi" w:hAnsi="Abadi" w:cs="Calibri"/>
          <w:sz w:val="21"/>
          <w:szCs w:val="21"/>
        </w:rPr>
      </w:pPr>
    </w:p>
    <w:p w14:paraId="16182D82" w14:textId="42D1CA3D" w:rsidR="008F41A0" w:rsidRDefault="008F41A0" w:rsidP="008F41A0">
      <w:pPr>
        <w:autoSpaceDE w:val="0"/>
        <w:autoSpaceDN w:val="0"/>
        <w:adjustRightInd w:val="0"/>
        <w:jc w:val="both"/>
        <w:rPr>
          <w:rFonts w:ascii="Abadi" w:hAnsi="Abadi" w:cs="Calibri-Italic"/>
          <w:i/>
          <w:iCs/>
          <w:sz w:val="21"/>
          <w:szCs w:val="21"/>
        </w:rPr>
      </w:pPr>
      <w:r w:rsidRPr="00E22D3F">
        <w:rPr>
          <w:rFonts w:ascii="Abadi" w:hAnsi="Abadi" w:cs="Calibri-Italic"/>
          <w:i/>
          <w:iCs/>
          <w:sz w:val="21"/>
          <w:szCs w:val="21"/>
        </w:rPr>
        <w:t>“La Comisión reafirma que la violencia basada en género es parte de un patrón continuo que deriva</w:t>
      </w:r>
      <w:r>
        <w:rPr>
          <w:rFonts w:ascii="Abadi" w:hAnsi="Abadi" w:cs="Calibri-Italic"/>
          <w:i/>
          <w:iCs/>
          <w:sz w:val="21"/>
          <w:szCs w:val="21"/>
        </w:rPr>
        <w:t xml:space="preserve"> </w:t>
      </w:r>
      <w:r w:rsidRPr="00E22D3F">
        <w:rPr>
          <w:rFonts w:ascii="Abadi" w:hAnsi="Abadi" w:cs="Calibri-Italic"/>
          <w:i/>
          <w:iCs/>
          <w:sz w:val="21"/>
          <w:szCs w:val="21"/>
        </w:rPr>
        <w:t>de la discriminación histórica y estructural, enraizada en la cultura patriarcal y machista de las</w:t>
      </w:r>
      <w:r>
        <w:rPr>
          <w:rFonts w:ascii="Abadi" w:hAnsi="Abadi" w:cs="Calibri-Italic"/>
          <w:i/>
          <w:iCs/>
          <w:sz w:val="21"/>
          <w:szCs w:val="21"/>
        </w:rPr>
        <w:t xml:space="preserve"> </w:t>
      </w:r>
      <w:r w:rsidRPr="00E22D3F">
        <w:rPr>
          <w:rFonts w:ascii="Abadi" w:hAnsi="Abadi" w:cs="Calibri-Italic"/>
          <w:i/>
          <w:iCs/>
          <w:sz w:val="21"/>
          <w:szCs w:val="21"/>
        </w:rPr>
        <w:t>sociedades de la región que condiciona a las mujeres, niñas y adolescentes bajo nociones</w:t>
      </w:r>
      <w:r>
        <w:rPr>
          <w:rFonts w:ascii="Abadi" w:hAnsi="Abadi" w:cs="Calibri-Italic"/>
          <w:i/>
          <w:iCs/>
          <w:sz w:val="21"/>
          <w:szCs w:val="21"/>
        </w:rPr>
        <w:t xml:space="preserve"> </w:t>
      </w:r>
      <w:r w:rsidRPr="00E22D3F">
        <w:rPr>
          <w:rFonts w:ascii="Abadi" w:hAnsi="Abadi" w:cs="Calibri-Italic"/>
          <w:i/>
          <w:iCs/>
          <w:sz w:val="21"/>
          <w:szCs w:val="21"/>
        </w:rPr>
        <w:t>estereotipadas de inferioridad.”</w:t>
      </w:r>
    </w:p>
    <w:p w14:paraId="38967FFD" w14:textId="77777777" w:rsidR="008F41A0" w:rsidRPr="00E22D3F" w:rsidRDefault="008F41A0" w:rsidP="008F41A0">
      <w:pPr>
        <w:autoSpaceDE w:val="0"/>
        <w:autoSpaceDN w:val="0"/>
        <w:adjustRightInd w:val="0"/>
        <w:jc w:val="both"/>
        <w:rPr>
          <w:rFonts w:ascii="Abadi" w:hAnsi="Abadi" w:cs="Calibri-Italic"/>
          <w:i/>
          <w:iCs/>
          <w:sz w:val="21"/>
          <w:szCs w:val="21"/>
        </w:rPr>
      </w:pPr>
    </w:p>
    <w:p w14:paraId="102CEDC8" w14:textId="528CCCB1"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Ese patrón de discriminación histórica, estructural, de cultura patriarcal y machista, que ha</w:t>
      </w:r>
      <w:r>
        <w:rPr>
          <w:rFonts w:ascii="Abadi" w:hAnsi="Abadi" w:cs="Calibri"/>
          <w:sz w:val="21"/>
          <w:szCs w:val="21"/>
        </w:rPr>
        <w:t xml:space="preserve"> </w:t>
      </w:r>
      <w:r w:rsidRPr="00E22D3F">
        <w:rPr>
          <w:rFonts w:ascii="Abadi" w:hAnsi="Abadi" w:cs="Calibri"/>
          <w:sz w:val="21"/>
          <w:szCs w:val="21"/>
        </w:rPr>
        <w:t>condicionado bajo nociones estereotipadas de inferioridad a las mujeres, lamentablemente fue</w:t>
      </w:r>
      <w:r>
        <w:rPr>
          <w:rFonts w:ascii="Abadi" w:hAnsi="Abadi" w:cs="Calibri"/>
          <w:sz w:val="21"/>
          <w:szCs w:val="21"/>
        </w:rPr>
        <w:t xml:space="preserve"> </w:t>
      </w:r>
      <w:r w:rsidRPr="00E22D3F">
        <w:rPr>
          <w:rFonts w:ascii="Abadi" w:hAnsi="Abadi" w:cs="Calibri"/>
          <w:sz w:val="21"/>
          <w:szCs w:val="21"/>
        </w:rPr>
        <w:t>una cuestión normalizada en el siglo XIX (diecinueve), en el que surgieron las primeras</w:t>
      </w:r>
      <w:r>
        <w:rPr>
          <w:rFonts w:ascii="Abadi" w:hAnsi="Abadi" w:cs="Calibri"/>
          <w:sz w:val="21"/>
          <w:szCs w:val="21"/>
        </w:rPr>
        <w:t xml:space="preserve"> </w:t>
      </w:r>
      <w:r w:rsidRPr="00E22D3F">
        <w:rPr>
          <w:rFonts w:ascii="Abadi" w:hAnsi="Abadi" w:cs="Calibri"/>
          <w:sz w:val="21"/>
          <w:szCs w:val="21"/>
        </w:rPr>
        <w:t>codificaciones civiles, en las que se reflejó normativamente una concepción social que dio un trato</w:t>
      </w:r>
      <w:r>
        <w:rPr>
          <w:rFonts w:ascii="Abadi" w:hAnsi="Abadi" w:cs="Calibri"/>
          <w:sz w:val="21"/>
          <w:szCs w:val="21"/>
        </w:rPr>
        <w:t xml:space="preserve"> </w:t>
      </w:r>
      <w:r w:rsidRPr="00E22D3F">
        <w:rPr>
          <w:rFonts w:ascii="Abadi" w:hAnsi="Abadi" w:cs="Calibri"/>
          <w:sz w:val="21"/>
          <w:szCs w:val="21"/>
        </w:rPr>
        <w:t>diferenciado a hombre y mujer, reflejando para ellas menos derechos y más exigencias de carácter</w:t>
      </w:r>
      <w:r>
        <w:rPr>
          <w:rFonts w:ascii="Abadi" w:hAnsi="Abadi" w:cs="Calibri"/>
          <w:sz w:val="21"/>
          <w:szCs w:val="21"/>
        </w:rPr>
        <w:t xml:space="preserve"> </w:t>
      </w:r>
      <w:r w:rsidRPr="00E22D3F">
        <w:rPr>
          <w:rFonts w:ascii="Abadi" w:hAnsi="Abadi" w:cs="Calibri"/>
          <w:sz w:val="21"/>
          <w:szCs w:val="21"/>
        </w:rPr>
        <w:t>moral, que en la actualidad no es sostenible en forma alguna, en esta era en que los derechos</w:t>
      </w:r>
      <w:r>
        <w:rPr>
          <w:rFonts w:ascii="Abadi" w:hAnsi="Abadi" w:cs="Calibri"/>
          <w:sz w:val="21"/>
          <w:szCs w:val="21"/>
        </w:rPr>
        <w:t xml:space="preserve"> </w:t>
      </w:r>
      <w:r w:rsidRPr="00E22D3F">
        <w:rPr>
          <w:rFonts w:ascii="Abadi" w:hAnsi="Abadi" w:cs="Calibri"/>
          <w:sz w:val="21"/>
          <w:szCs w:val="21"/>
        </w:rPr>
        <w:t>humanos y la dignidad humana son piedra angular en cualquier Estado Constitucional de Derecho.</w:t>
      </w:r>
    </w:p>
    <w:p w14:paraId="07814C1D" w14:textId="77777777" w:rsidR="008F41A0" w:rsidRPr="00E22D3F" w:rsidRDefault="008F41A0" w:rsidP="008F41A0">
      <w:pPr>
        <w:autoSpaceDE w:val="0"/>
        <w:autoSpaceDN w:val="0"/>
        <w:adjustRightInd w:val="0"/>
        <w:jc w:val="both"/>
        <w:rPr>
          <w:rFonts w:ascii="Abadi" w:hAnsi="Abadi" w:cs="Calibri"/>
          <w:sz w:val="21"/>
          <w:szCs w:val="21"/>
        </w:rPr>
      </w:pPr>
    </w:p>
    <w:p w14:paraId="7F59A688" w14:textId="030F4AA4"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 xml:space="preserve">En este sentido, parte del contenido del artículo 341 del </w:t>
      </w:r>
      <w:r w:rsidRPr="00E22D3F">
        <w:rPr>
          <w:rFonts w:ascii="Abadi" w:hAnsi="Abadi" w:cs="Calibri-Italic"/>
          <w:i/>
          <w:iCs/>
          <w:sz w:val="21"/>
          <w:szCs w:val="21"/>
        </w:rPr>
        <w:t>Código Civil para el Estado de Guanajuato</w:t>
      </w:r>
      <w:r>
        <w:rPr>
          <w:rFonts w:ascii="Abadi" w:hAnsi="Abadi" w:cs="Calibri-Italic"/>
          <w:i/>
          <w:iCs/>
          <w:sz w:val="21"/>
          <w:szCs w:val="21"/>
        </w:rPr>
        <w:t xml:space="preserve"> </w:t>
      </w:r>
      <w:r w:rsidRPr="00E22D3F">
        <w:rPr>
          <w:rFonts w:ascii="Abadi" w:hAnsi="Abadi" w:cs="Calibri"/>
          <w:sz w:val="21"/>
          <w:szCs w:val="21"/>
        </w:rPr>
        <w:t>es un ejemplo claro de discriminación y violencia de género contra las mujeres, al distinguir y</w:t>
      </w:r>
      <w:r>
        <w:rPr>
          <w:rFonts w:ascii="Abadi" w:hAnsi="Abadi" w:cs="Calibri"/>
          <w:sz w:val="21"/>
          <w:szCs w:val="21"/>
        </w:rPr>
        <w:t xml:space="preserve"> </w:t>
      </w:r>
      <w:r w:rsidRPr="00E22D3F">
        <w:rPr>
          <w:rFonts w:ascii="Abadi" w:hAnsi="Abadi" w:cs="Calibri"/>
          <w:sz w:val="21"/>
          <w:szCs w:val="21"/>
        </w:rPr>
        <w:t>diferenciar entre las condiciones y características de los hijos varones y las hijas mujeres, para</w:t>
      </w:r>
      <w:r>
        <w:rPr>
          <w:rFonts w:ascii="Abadi" w:hAnsi="Abadi" w:cs="Calibri"/>
          <w:sz w:val="21"/>
          <w:szCs w:val="21"/>
        </w:rPr>
        <w:t xml:space="preserve"> </w:t>
      </w:r>
      <w:r w:rsidRPr="00E22D3F">
        <w:rPr>
          <w:rFonts w:ascii="Abadi" w:hAnsi="Abadi" w:cs="Calibri"/>
          <w:sz w:val="21"/>
          <w:szCs w:val="21"/>
        </w:rPr>
        <w:t>tener derecho a recibir alimentos por parte de sus progenitores.</w:t>
      </w:r>
    </w:p>
    <w:p w14:paraId="2D569E4D" w14:textId="77777777" w:rsidR="008F41A0" w:rsidRPr="00E22D3F" w:rsidRDefault="008F41A0" w:rsidP="008F41A0">
      <w:pPr>
        <w:autoSpaceDE w:val="0"/>
        <w:autoSpaceDN w:val="0"/>
        <w:adjustRightInd w:val="0"/>
        <w:jc w:val="both"/>
        <w:rPr>
          <w:rFonts w:ascii="Abadi" w:hAnsi="Abadi" w:cs="Calibri"/>
          <w:sz w:val="21"/>
          <w:szCs w:val="21"/>
        </w:rPr>
      </w:pPr>
    </w:p>
    <w:p w14:paraId="6B24DAA2" w14:textId="0773CC3B"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Establece un estereotipo a la mujer, planteando que el plan de vida de ellas debiera estar enfocado</w:t>
      </w:r>
      <w:r>
        <w:rPr>
          <w:rFonts w:ascii="Abadi" w:hAnsi="Abadi" w:cs="Calibri"/>
          <w:sz w:val="21"/>
          <w:szCs w:val="21"/>
        </w:rPr>
        <w:t xml:space="preserve"> </w:t>
      </w:r>
      <w:r w:rsidRPr="00E22D3F">
        <w:rPr>
          <w:rFonts w:ascii="Abadi" w:hAnsi="Abadi" w:cs="Calibri"/>
          <w:sz w:val="21"/>
          <w:szCs w:val="21"/>
        </w:rPr>
        <w:t>a contraer matrimonio, imponiéndole además una obligación de índole moral, al señalar “siempre</w:t>
      </w:r>
      <w:r>
        <w:rPr>
          <w:rFonts w:ascii="Abadi" w:hAnsi="Abadi" w:cs="Calibri"/>
          <w:sz w:val="21"/>
          <w:szCs w:val="21"/>
        </w:rPr>
        <w:t xml:space="preserve"> </w:t>
      </w:r>
      <w:r w:rsidRPr="00E22D3F">
        <w:rPr>
          <w:rFonts w:ascii="Abadi" w:hAnsi="Abadi" w:cs="Calibri"/>
          <w:sz w:val="21"/>
          <w:szCs w:val="21"/>
        </w:rPr>
        <w:t>que viva honestamente”, lo que es un aspecto de valoración subjetiva, que por el contenido de</w:t>
      </w:r>
      <w:r>
        <w:rPr>
          <w:rFonts w:ascii="Abadi" w:hAnsi="Abadi" w:cs="Calibri"/>
          <w:sz w:val="21"/>
          <w:szCs w:val="21"/>
        </w:rPr>
        <w:t xml:space="preserve"> </w:t>
      </w:r>
      <w:r w:rsidRPr="00E22D3F">
        <w:rPr>
          <w:rFonts w:ascii="Abadi" w:hAnsi="Abadi" w:cs="Calibri"/>
          <w:sz w:val="21"/>
          <w:szCs w:val="21"/>
        </w:rPr>
        <w:t>normas y resoluciones del siglo XIX (diecinueve) y XX (veinte), se ha afirmado en diversos estudios</w:t>
      </w:r>
      <w:r>
        <w:rPr>
          <w:rFonts w:ascii="Abadi" w:hAnsi="Abadi" w:cs="Calibri"/>
          <w:sz w:val="21"/>
          <w:szCs w:val="21"/>
        </w:rPr>
        <w:t xml:space="preserve"> </w:t>
      </w:r>
      <w:r w:rsidRPr="00E22D3F">
        <w:rPr>
          <w:rFonts w:ascii="Abadi" w:hAnsi="Abadi" w:cs="Calibri"/>
          <w:sz w:val="21"/>
          <w:szCs w:val="21"/>
        </w:rPr>
        <w:t>de género y justicia, es una fórmula normativa para referirse al comportamiento sexual de las</w:t>
      </w:r>
      <w:r>
        <w:rPr>
          <w:rFonts w:ascii="Abadi" w:hAnsi="Abadi" w:cs="Calibri"/>
          <w:sz w:val="21"/>
          <w:szCs w:val="21"/>
        </w:rPr>
        <w:t xml:space="preserve"> </w:t>
      </w:r>
      <w:r w:rsidRPr="00E22D3F">
        <w:rPr>
          <w:rFonts w:ascii="Abadi" w:hAnsi="Abadi" w:cs="Calibri"/>
          <w:sz w:val="21"/>
          <w:szCs w:val="21"/>
        </w:rPr>
        <w:t>mujeres, de acuerdo a lo que la costumbre social juzga correcto, enfocándose en la comprobación</w:t>
      </w:r>
    </w:p>
    <w:p w14:paraId="7FE46CB0" w14:textId="77777777"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de una reputación de castidad.</w:t>
      </w:r>
      <w:r>
        <w:rPr>
          <w:rFonts w:ascii="Abadi" w:hAnsi="Abadi" w:cs="Calibri"/>
          <w:sz w:val="21"/>
          <w:szCs w:val="21"/>
        </w:rPr>
        <w:t xml:space="preserve"> </w:t>
      </w:r>
    </w:p>
    <w:p w14:paraId="792A953E" w14:textId="77777777" w:rsidR="008F41A0" w:rsidRPr="00E22D3F" w:rsidRDefault="008F41A0" w:rsidP="008F41A0">
      <w:pPr>
        <w:autoSpaceDE w:val="0"/>
        <w:autoSpaceDN w:val="0"/>
        <w:adjustRightInd w:val="0"/>
        <w:jc w:val="both"/>
        <w:rPr>
          <w:rFonts w:ascii="Abadi" w:hAnsi="Abadi" w:cs="Calibri"/>
          <w:sz w:val="21"/>
          <w:szCs w:val="21"/>
        </w:rPr>
      </w:pPr>
    </w:p>
    <w:p w14:paraId="3738782E" w14:textId="6A5410F0"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Puede afirmarse que esa porción normativa viola los derechos de igualdad y no discriminación</w:t>
      </w:r>
      <w:r>
        <w:rPr>
          <w:rFonts w:ascii="Abadi" w:hAnsi="Abadi" w:cs="Calibri"/>
          <w:sz w:val="21"/>
          <w:szCs w:val="21"/>
        </w:rPr>
        <w:t xml:space="preserve"> </w:t>
      </w:r>
      <w:r w:rsidRPr="00E22D3F">
        <w:rPr>
          <w:rFonts w:ascii="Abadi" w:hAnsi="Abadi" w:cs="Calibri"/>
          <w:sz w:val="21"/>
          <w:szCs w:val="21"/>
        </w:rPr>
        <w:t xml:space="preserve">reconocidos en los artículos 1º (primero) y 4º (cuarto) de la </w:t>
      </w:r>
      <w:r w:rsidRPr="00E22D3F">
        <w:rPr>
          <w:rFonts w:ascii="Abadi" w:hAnsi="Abadi" w:cs="Calibri-Italic"/>
          <w:i/>
          <w:iCs/>
          <w:sz w:val="21"/>
          <w:szCs w:val="21"/>
        </w:rPr>
        <w:t>Constitución Federal</w:t>
      </w:r>
      <w:r w:rsidRPr="00E22D3F">
        <w:rPr>
          <w:rFonts w:ascii="Abadi" w:hAnsi="Abadi" w:cs="Calibri"/>
          <w:sz w:val="21"/>
          <w:szCs w:val="21"/>
        </w:rPr>
        <w:t>, además de ser</w:t>
      </w:r>
      <w:r>
        <w:rPr>
          <w:rFonts w:ascii="Abadi" w:hAnsi="Abadi" w:cs="Calibri"/>
          <w:sz w:val="21"/>
          <w:szCs w:val="21"/>
        </w:rPr>
        <w:t xml:space="preserve"> </w:t>
      </w:r>
      <w:r w:rsidRPr="00E22D3F">
        <w:rPr>
          <w:rFonts w:ascii="Abadi" w:hAnsi="Abadi" w:cs="Calibri"/>
          <w:sz w:val="21"/>
          <w:szCs w:val="21"/>
        </w:rPr>
        <w:t xml:space="preserve">incompatible con el artículo 17, numeral 4, de la </w:t>
      </w:r>
      <w:r w:rsidRPr="00E22D3F">
        <w:rPr>
          <w:rFonts w:ascii="Abadi" w:hAnsi="Abadi" w:cs="Calibri-Italic"/>
          <w:i/>
          <w:iCs/>
          <w:sz w:val="21"/>
          <w:szCs w:val="21"/>
        </w:rPr>
        <w:t>Convención Americana sobre Derechos Humanos</w:t>
      </w:r>
      <w:r w:rsidRPr="00E22D3F">
        <w:rPr>
          <w:rFonts w:ascii="Abadi" w:hAnsi="Abadi" w:cs="Calibri"/>
          <w:sz w:val="21"/>
          <w:szCs w:val="21"/>
        </w:rPr>
        <w:t>,</w:t>
      </w:r>
      <w:r>
        <w:rPr>
          <w:rFonts w:ascii="Abadi" w:hAnsi="Abadi" w:cs="Calibri"/>
          <w:sz w:val="21"/>
          <w:szCs w:val="21"/>
        </w:rPr>
        <w:t xml:space="preserve"> </w:t>
      </w:r>
      <w:r w:rsidRPr="00E22D3F">
        <w:rPr>
          <w:rFonts w:ascii="Abadi" w:hAnsi="Abadi" w:cs="Calibri"/>
          <w:sz w:val="21"/>
          <w:szCs w:val="21"/>
        </w:rPr>
        <w:t>que establece que en todo caso de disolución del matrimonio, deben adoptarse disposiciones que</w:t>
      </w:r>
      <w:r>
        <w:rPr>
          <w:rFonts w:ascii="Abadi" w:hAnsi="Abadi" w:cs="Calibri"/>
          <w:sz w:val="21"/>
          <w:szCs w:val="21"/>
        </w:rPr>
        <w:t xml:space="preserve"> </w:t>
      </w:r>
      <w:r w:rsidRPr="00E22D3F">
        <w:rPr>
          <w:rFonts w:ascii="Abadi" w:hAnsi="Abadi" w:cs="Calibri"/>
          <w:sz w:val="21"/>
          <w:szCs w:val="21"/>
        </w:rPr>
        <w:t>aseguren la protección de los hijos, sobre la base única del interés y conveniencia, sin que se</w:t>
      </w:r>
      <w:r>
        <w:rPr>
          <w:rFonts w:ascii="Abadi" w:hAnsi="Abadi" w:cs="Calibri"/>
          <w:sz w:val="21"/>
          <w:szCs w:val="21"/>
        </w:rPr>
        <w:t xml:space="preserve"> </w:t>
      </w:r>
      <w:r w:rsidRPr="00E22D3F">
        <w:rPr>
          <w:rFonts w:ascii="Abadi" w:hAnsi="Abadi" w:cs="Calibri"/>
          <w:sz w:val="21"/>
          <w:szCs w:val="21"/>
        </w:rPr>
        <w:t>distinga entre hijos varones y las hijas mujeres.</w:t>
      </w:r>
    </w:p>
    <w:p w14:paraId="361AC3F2" w14:textId="77777777" w:rsidR="008F41A0" w:rsidRPr="00E22D3F" w:rsidRDefault="008F41A0" w:rsidP="008F41A0">
      <w:pPr>
        <w:autoSpaceDE w:val="0"/>
        <w:autoSpaceDN w:val="0"/>
        <w:adjustRightInd w:val="0"/>
        <w:jc w:val="both"/>
        <w:rPr>
          <w:rFonts w:ascii="Abadi" w:hAnsi="Abadi" w:cs="Calibri"/>
          <w:sz w:val="21"/>
          <w:szCs w:val="21"/>
        </w:rPr>
      </w:pPr>
    </w:p>
    <w:p w14:paraId="73B24DEB" w14:textId="30A9E2F2"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 xml:space="preserve">Por lo que se propone eliminar la parte que en el artículo 341 del </w:t>
      </w:r>
      <w:r w:rsidRPr="00E22D3F">
        <w:rPr>
          <w:rFonts w:ascii="Abadi" w:hAnsi="Abadi" w:cs="Calibri-Italic"/>
          <w:i/>
          <w:iCs/>
          <w:sz w:val="21"/>
          <w:szCs w:val="21"/>
        </w:rPr>
        <w:t>Código Civil para el Estado de</w:t>
      </w:r>
      <w:r>
        <w:rPr>
          <w:rFonts w:ascii="Abadi" w:hAnsi="Abadi" w:cs="Calibri-Italic"/>
          <w:i/>
          <w:iCs/>
          <w:sz w:val="21"/>
          <w:szCs w:val="21"/>
        </w:rPr>
        <w:t xml:space="preserve"> </w:t>
      </w:r>
      <w:r w:rsidRPr="00E22D3F">
        <w:rPr>
          <w:rFonts w:ascii="Abadi" w:hAnsi="Abadi" w:cs="Calibri-Italic"/>
          <w:i/>
          <w:iCs/>
          <w:sz w:val="21"/>
          <w:szCs w:val="21"/>
        </w:rPr>
        <w:t xml:space="preserve">Guanajuato, </w:t>
      </w:r>
      <w:r w:rsidRPr="00E22D3F">
        <w:rPr>
          <w:rFonts w:ascii="Abadi" w:hAnsi="Abadi" w:cs="Calibri"/>
          <w:sz w:val="21"/>
          <w:szCs w:val="21"/>
        </w:rPr>
        <w:t>textualmente dice:</w:t>
      </w:r>
    </w:p>
    <w:p w14:paraId="1A641E12" w14:textId="77777777" w:rsidR="008F41A0" w:rsidRPr="00E22D3F" w:rsidRDefault="008F41A0" w:rsidP="008F41A0">
      <w:pPr>
        <w:autoSpaceDE w:val="0"/>
        <w:autoSpaceDN w:val="0"/>
        <w:adjustRightInd w:val="0"/>
        <w:jc w:val="both"/>
        <w:rPr>
          <w:rFonts w:ascii="Abadi" w:hAnsi="Abadi" w:cs="Calibri"/>
          <w:sz w:val="21"/>
          <w:szCs w:val="21"/>
        </w:rPr>
      </w:pPr>
    </w:p>
    <w:p w14:paraId="5E9CA463" w14:textId="194B1079" w:rsidR="008F41A0" w:rsidRPr="00E22D3F" w:rsidRDefault="008F41A0" w:rsidP="008F41A0">
      <w:pPr>
        <w:autoSpaceDE w:val="0"/>
        <w:autoSpaceDN w:val="0"/>
        <w:adjustRightInd w:val="0"/>
        <w:jc w:val="both"/>
        <w:rPr>
          <w:rFonts w:ascii="Abadi" w:hAnsi="Abadi" w:cs="Calibri-Italic"/>
          <w:i/>
          <w:iCs/>
          <w:sz w:val="21"/>
          <w:szCs w:val="21"/>
        </w:rPr>
      </w:pPr>
      <w:r w:rsidRPr="00E22D3F">
        <w:rPr>
          <w:rFonts w:ascii="Abadi" w:hAnsi="Abadi" w:cs="Calibri-Italic"/>
          <w:i/>
          <w:iCs/>
          <w:sz w:val="21"/>
          <w:szCs w:val="21"/>
        </w:rPr>
        <w:t>“…varones hasta que lleguen a la mayor edad, o después de ésta si se encuentran imposibilitados</w:t>
      </w:r>
      <w:r>
        <w:rPr>
          <w:rFonts w:ascii="Abadi" w:hAnsi="Abadi" w:cs="Calibri-Italic"/>
          <w:i/>
          <w:iCs/>
          <w:sz w:val="21"/>
          <w:szCs w:val="21"/>
        </w:rPr>
        <w:t xml:space="preserve"> </w:t>
      </w:r>
      <w:r w:rsidRPr="00E22D3F">
        <w:rPr>
          <w:rFonts w:ascii="Abadi" w:hAnsi="Abadi" w:cs="Calibri-Italic"/>
          <w:i/>
          <w:iCs/>
          <w:sz w:val="21"/>
          <w:szCs w:val="21"/>
        </w:rPr>
        <w:t>para trabajar y carecen de bienes propios suficientes, y de las hijas aunque sean mayores de edad,</w:t>
      </w:r>
      <w:r>
        <w:rPr>
          <w:rFonts w:ascii="Abadi" w:hAnsi="Abadi" w:cs="Calibri-Italic"/>
          <w:i/>
          <w:iCs/>
          <w:sz w:val="21"/>
          <w:szCs w:val="21"/>
        </w:rPr>
        <w:t xml:space="preserve"> </w:t>
      </w:r>
      <w:r w:rsidRPr="00E22D3F">
        <w:rPr>
          <w:rFonts w:ascii="Abadi" w:hAnsi="Abadi" w:cs="Calibri-Italic"/>
          <w:i/>
          <w:iCs/>
          <w:sz w:val="21"/>
          <w:szCs w:val="21"/>
        </w:rPr>
        <w:t>hasta que contraigan matrimonio, siempre que vivan honestamente.”</w:t>
      </w:r>
    </w:p>
    <w:p w14:paraId="5C085334" w14:textId="04C56D37"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A efecto de satisfacer lo establecido en el artículo 209 de la Ley Orgánica del Poder Legislativo del</w:t>
      </w:r>
      <w:r>
        <w:rPr>
          <w:rFonts w:ascii="Abadi" w:hAnsi="Abadi" w:cs="Calibri"/>
          <w:sz w:val="21"/>
          <w:szCs w:val="21"/>
        </w:rPr>
        <w:t xml:space="preserve"> </w:t>
      </w:r>
      <w:r w:rsidRPr="00E22D3F">
        <w:rPr>
          <w:rFonts w:ascii="Abadi" w:hAnsi="Abadi" w:cs="Calibri"/>
          <w:sz w:val="21"/>
          <w:szCs w:val="21"/>
        </w:rPr>
        <w:t>Estrado de Guanajuato, por lo que hace a:</w:t>
      </w:r>
    </w:p>
    <w:p w14:paraId="466CD073" w14:textId="77777777" w:rsidR="008F41A0" w:rsidRPr="00E22D3F" w:rsidRDefault="008F41A0" w:rsidP="008F41A0">
      <w:pPr>
        <w:autoSpaceDE w:val="0"/>
        <w:autoSpaceDN w:val="0"/>
        <w:adjustRightInd w:val="0"/>
        <w:jc w:val="both"/>
        <w:rPr>
          <w:rFonts w:ascii="Abadi" w:hAnsi="Abadi" w:cs="Calibri"/>
          <w:sz w:val="21"/>
          <w:szCs w:val="21"/>
        </w:rPr>
      </w:pPr>
    </w:p>
    <w:p w14:paraId="3E82A0CF" w14:textId="41E1617C"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Bold"/>
          <w:b/>
          <w:bCs/>
          <w:sz w:val="21"/>
          <w:szCs w:val="21"/>
        </w:rPr>
        <w:t xml:space="preserve">IMPACTO JURÍDICO: </w:t>
      </w:r>
      <w:r w:rsidRPr="00E22D3F">
        <w:rPr>
          <w:rFonts w:ascii="Abadi" w:hAnsi="Abadi" w:cs="Calibri"/>
          <w:sz w:val="21"/>
          <w:szCs w:val="21"/>
        </w:rPr>
        <w:t xml:space="preserve">se reforma el artículo 341 del </w:t>
      </w:r>
      <w:r w:rsidRPr="00E22D3F">
        <w:rPr>
          <w:rFonts w:ascii="Abadi" w:hAnsi="Abadi" w:cs="Calibri-Italic"/>
          <w:i/>
          <w:iCs/>
          <w:sz w:val="21"/>
          <w:szCs w:val="21"/>
        </w:rPr>
        <w:t xml:space="preserve">Código Civil para el Estado de Guanajuato, </w:t>
      </w:r>
      <w:r w:rsidRPr="00E22D3F">
        <w:rPr>
          <w:rFonts w:ascii="Abadi" w:hAnsi="Abadi" w:cs="Calibri"/>
          <w:sz w:val="21"/>
          <w:szCs w:val="21"/>
        </w:rPr>
        <w:t>para</w:t>
      </w:r>
      <w:r>
        <w:rPr>
          <w:rFonts w:ascii="Abadi" w:hAnsi="Abadi" w:cs="Calibri"/>
          <w:sz w:val="21"/>
          <w:szCs w:val="21"/>
        </w:rPr>
        <w:t xml:space="preserve"> </w:t>
      </w:r>
      <w:r w:rsidRPr="00E22D3F">
        <w:rPr>
          <w:rFonts w:ascii="Abadi" w:hAnsi="Abadi" w:cs="Calibri"/>
          <w:sz w:val="21"/>
          <w:szCs w:val="21"/>
        </w:rPr>
        <w:t>dotarlo de congruencia con los derechos humanos reconocidos en la Constitución Federal y</w:t>
      </w:r>
      <w:r>
        <w:rPr>
          <w:rFonts w:ascii="Abadi" w:hAnsi="Abadi" w:cs="Calibri"/>
          <w:sz w:val="21"/>
          <w:szCs w:val="21"/>
        </w:rPr>
        <w:t xml:space="preserve"> </w:t>
      </w:r>
      <w:r w:rsidRPr="00E22D3F">
        <w:rPr>
          <w:rFonts w:ascii="Abadi" w:hAnsi="Abadi" w:cs="Calibri"/>
          <w:sz w:val="21"/>
          <w:szCs w:val="21"/>
        </w:rPr>
        <w:t>tratados internacionales firmados por México, para expulsar del sistema jurídico las normas con</w:t>
      </w:r>
      <w:r>
        <w:rPr>
          <w:rFonts w:ascii="Abadi" w:hAnsi="Abadi" w:cs="Calibri"/>
          <w:sz w:val="21"/>
          <w:szCs w:val="21"/>
        </w:rPr>
        <w:t xml:space="preserve"> </w:t>
      </w:r>
      <w:r w:rsidRPr="00E22D3F">
        <w:rPr>
          <w:rFonts w:ascii="Abadi" w:hAnsi="Abadi" w:cs="Calibri"/>
          <w:sz w:val="21"/>
          <w:szCs w:val="21"/>
        </w:rPr>
        <w:t>contenido discriminatorio, desigual y que constituyen violencia de género contra las mujeres.</w:t>
      </w:r>
    </w:p>
    <w:p w14:paraId="34600B07" w14:textId="77777777" w:rsidR="008F41A0" w:rsidRDefault="008F41A0" w:rsidP="008F41A0">
      <w:pPr>
        <w:autoSpaceDE w:val="0"/>
        <w:autoSpaceDN w:val="0"/>
        <w:adjustRightInd w:val="0"/>
        <w:jc w:val="both"/>
        <w:rPr>
          <w:rFonts w:ascii="Abadi" w:hAnsi="Abadi" w:cs="Calibri-Bold"/>
          <w:b/>
          <w:bCs/>
          <w:sz w:val="21"/>
          <w:szCs w:val="21"/>
        </w:rPr>
      </w:pPr>
    </w:p>
    <w:p w14:paraId="6393DF9C"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Bold"/>
          <w:b/>
          <w:bCs/>
          <w:sz w:val="21"/>
          <w:szCs w:val="21"/>
        </w:rPr>
        <w:t xml:space="preserve">IMPACTO ADMINISTRATIVO: </w:t>
      </w:r>
      <w:r w:rsidRPr="00E22D3F">
        <w:rPr>
          <w:rFonts w:ascii="Abadi" w:hAnsi="Abadi" w:cs="Calibri"/>
          <w:sz w:val="21"/>
          <w:szCs w:val="21"/>
        </w:rPr>
        <w:t>dada la naturaleza de la presente iniciativa, no existe impacto</w:t>
      </w:r>
    </w:p>
    <w:p w14:paraId="3AF65C3B"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administrativo alguno.</w:t>
      </w:r>
    </w:p>
    <w:p w14:paraId="183D273E" w14:textId="77777777" w:rsidR="008F41A0" w:rsidRDefault="008F41A0" w:rsidP="008F41A0">
      <w:pPr>
        <w:autoSpaceDE w:val="0"/>
        <w:autoSpaceDN w:val="0"/>
        <w:adjustRightInd w:val="0"/>
        <w:jc w:val="both"/>
        <w:rPr>
          <w:rFonts w:ascii="Abadi" w:hAnsi="Abadi" w:cs="Calibri-Bold"/>
          <w:b/>
          <w:bCs/>
          <w:sz w:val="21"/>
          <w:szCs w:val="21"/>
        </w:rPr>
      </w:pPr>
    </w:p>
    <w:p w14:paraId="7D1726E6"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Bold"/>
          <w:b/>
          <w:bCs/>
          <w:sz w:val="21"/>
          <w:szCs w:val="21"/>
        </w:rPr>
        <w:t xml:space="preserve">IMPACTO PRESUPUESTARIO: </w:t>
      </w:r>
      <w:r w:rsidRPr="00E22D3F">
        <w:rPr>
          <w:rFonts w:ascii="Abadi" w:hAnsi="Abadi" w:cs="Calibri"/>
          <w:sz w:val="21"/>
          <w:szCs w:val="21"/>
        </w:rPr>
        <w:t>no existe impacto presupuestal con esta iniciativa.</w:t>
      </w:r>
    </w:p>
    <w:p w14:paraId="7C3C3A4A" w14:textId="77777777" w:rsidR="008F41A0" w:rsidRDefault="008F41A0" w:rsidP="008F41A0">
      <w:pPr>
        <w:autoSpaceDE w:val="0"/>
        <w:autoSpaceDN w:val="0"/>
        <w:adjustRightInd w:val="0"/>
        <w:jc w:val="both"/>
        <w:rPr>
          <w:rFonts w:ascii="Abadi" w:hAnsi="Abadi" w:cs="Calibri-Bold"/>
          <w:b/>
          <w:bCs/>
          <w:sz w:val="21"/>
          <w:szCs w:val="21"/>
        </w:rPr>
      </w:pPr>
    </w:p>
    <w:p w14:paraId="4E5602BD" w14:textId="3521698F" w:rsidR="008F41A0" w:rsidRDefault="008F41A0" w:rsidP="008F41A0">
      <w:pPr>
        <w:autoSpaceDE w:val="0"/>
        <w:autoSpaceDN w:val="0"/>
        <w:adjustRightInd w:val="0"/>
        <w:jc w:val="both"/>
        <w:rPr>
          <w:rFonts w:ascii="Abadi" w:hAnsi="Abadi" w:cs="Calibri"/>
          <w:sz w:val="21"/>
          <w:szCs w:val="21"/>
        </w:rPr>
      </w:pPr>
      <w:r w:rsidRPr="00E22D3F">
        <w:rPr>
          <w:rFonts w:ascii="Abadi" w:hAnsi="Abadi" w:cs="Calibri-Bold"/>
          <w:b/>
          <w:bCs/>
          <w:sz w:val="21"/>
          <w:szCs w:val="21"/>
        </w:rPr>
        <w:t xml:space="preserve">IMPACTO SOCIAL: </w:t>
      </w:r>
      <w:r w:rsidRPr="00E22D3F">
        <w:rPr>
          <w:rFonts w:ascii="Abadi" w:hAnsi="Abadi" w:cs="Calibri"/>
          <w:sz w:val="21"/>
          <w:szCs w:val="21"/>
        </w:rPr>
        <w:t>se contribuye a evitar la violencia de género instaurada legalmente, y corregir la</w:t>
      </w:r>
      <w:r>
        <w:rPr>
          <w:rFonts w:ascii="Abadi" w:hAnsi="Abadi" w:cs="Calibri"/>
          <w:sz w:val="21"/>
          <w:szCs w:val="21"/>
        </w:rPr>
        <w:t xml:space="preserve"> </w:t>
      </w:r>
      <w:r w:rsidRPr="00E22D3F">
        <w:rPr>
          <w:rFonts w:ascii="Abadi" w:hAnsi="Abadi" w:cs="Calibri"/>
          <w:sz w:val="21"/>
          <w:szCs w:val="21"/>
        </w:rPr>
        <w:t>discriminación histórica y estructural que han padecido las mujeres.</w:t>
      </w:r>
    </w:p>
    <w:p w14:paraId="54B3ED04" w14:textId="77777777" w:rsidR="008F41A0" w:rsidRPr="00E22D3F" w:rsidRDefault="008F41A0" w:rsidP="008F41A0">
      <w:pPr>
        <w:autoSpaceDE w:val="0"/>
        <w:autoSpaceDN w:val="0"/>
        <w:adjustRightInd w:val="0"/>
        <w:jc w:val="both"/>
        <w:rPr>
          <w:rFonts w:ascii="Abadi" w:hAnsi="Abadi" w:cs="Calibri"/>
          <w:sz w:val="21"/>
          <w:szCs w:val="21"/>
        </w:rPr>
      </w:pPr>
    </w:p>
    <w:p w14:paraId="1598A2EC"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Por lo anteriormente expuesto y fundado, me permito someter a consideración de este pleno, para</w:t>
      </w:r>
    </w:p>
    <w:p w14:paraId="1BAF03DD"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su aprobación, el siguiente:</w:t>
      </w:r>
    </w:p>
    <w:p w14:paraId="2433FDBE" w14:textId="77777777" w:rsidR="008F41A0" w:rsidRDefault="008F41A0" w:rsidP="008F41A0">
      <w:pPr>
        <w:autoSpaceDE w:val="0"/>
        <w:autoSpaceDN w:val="0"/>
        <w:adjustRightInd w:val="0"/>
        <w:jc w:val="both"/>
        <w:rPr>
          <w:rFonts w:ascii="Abadi" w:hAnsi="Abadi" w:cs="Calibri-Bold"/>
          <w:b/>
          <w:bCs/>
          <w:sz w:val="21"/>
          <w:szCs w:val="21"/>
        </w:rPr>
      </w:pPr>
    </w:p>
    <w:p w14:paraId="799A2E4C" w14:textId="77777777" w:rsidR="008F41A0" w:rsidRPr="00E22D3F" w:rsidRDefault="008F41A0" w:rsidP="008F41A0">
      <w:pPr>
        <w:autoSpaceDE w:val="0"/>
        <w:autoSpaceDN w:val="0"/>
        <w:adjustRightInd w:val="0"/>
        <w:jc w:val="center"/>
        <w:rPr>
          <w:rFonts w:ascii="Abadi" w:hAnsi="Abadi" w:cs="Calibri-Bold"/>
          <w:b/>
          <w:bCs/>
          <w:sz w:val="21"/>
          <w:szCs w:val="21"/>
        </w:rPr>
      </w:pPr>
      <w:r w:rsidRPr="00E22D3F">
        <w:rPr>
          <w:rFonts w:ascii="Abadi" w:hAnsi="Abadi" w:cs="Calibri-Bold"/>
          <w:b/>
          <w:bCs/>
          <w:sz w:val="21"/>
          <w:szCs w:val="21"/>
        </w:rPr>
        <w:t>D E C R E T O:</w:t>
      </w:r>
    </w:p>
    <w:p w14:paraId="2AEF165E" w14:textId="77777777" w:rsidR="008F41A0" w:rsidRDefault="008F41A0" w:rsidP="008F41A0">
      <w:pPr>
        <w:autoSpaceDE w:val="0"/>
        <w:autoSpaceDN w:val="0"/>
        <w:adjustRightInd w:val="0"/>
        <w:jc w:val="both"/>
        <w:rPr>
          <w:rFonts w:ascii="Abadi" w:hAnsi="Abadi" w:cs="Calibri-Bold"/>
          <w:b/>
          <w:bCs/>
          <w:sz w:val="21"/>
          <w:szCs w:val="21"/>
        </w:rPr>
      </w:pPr>
    </w:p>
    <w:p w14:paraId="3139D842"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Bold"/>
          <w:b/>
          <w:bCs/>
          <w:sz w:val="21"/>
          <w:szCs w:val="21"/>
        </w:rPr>
        <w:t xml:space="preserve">Artículo único.- </w:t>
      </w:r>
      <w:r w:rsidRPr="00E22D3F">
        <w:rPr>
          <w:rFonts w:ascii="Abadi" w:hAnsi="Abadi" w:cs="Calibri"/>
          <w:sz w:val="21"/>
          <w:szCs w:val="21"/>
        </w:rPr>
        <w:t xml:space="preserve">Se reforma el artículo 341 del </w:t>
      </w:r>
      <w:r w:rsidRPr="00E22D3F">
        <w:rPr>
          <w:rFonts w:ascii="Abadi" w:hAnsi="Abadi" w:cs="Calibri-Italic"/>
          <w:i/>
          <w:iCs/>
          <w:sz w:val="21"/>
          <w:szCs w:val="21"/>
        </w:rPr>
        <w:t>Código Civil para el Estado de Guanajuato,</w:t>
      </w:r>
      <w:r>
        <w:rPr>
          <w:rFonts w:ascii="Abadi" w:hAnsi="Abadi" w:cs="Calibri-Italic"/>
          <w:i/>
          <w:iCs/>
          <w:sz w:val="21"/>
          <w:szCs w:val="21"/>
        </w:rPr>
        <w:t xml:space="preserve"> </w:t>
      </w:r>
      <w:r w:rsidRPr="00E22D3F">
        <w:rPr>
          <w:rFonts w:ascii="Abadi" w:hAnsi="Abadi" w:cs="Calibri"/>
          <w:sz w:val="21"/>
          <w:szCs w:val="21"/>
        </w:rPr>
        <w:t>eliminando la porción normativa que se considera viola los derechos humanos de igualdad y no</w:t>
      </w:r>
      <w:r>
        <w:rPr>
          <w:rFonts w:ascii="Abadi" w:hAnsi="Abadi" w:cs="Calibri"/>
          <w:sz w:val="21"/>
          <w:szCs w:val="21"/>
        </w:rPr>
        <w:t xml:space="preserve"> </w:t>
      </w:r>
      <w:r w:rsidRPr="00E22D3F">
        <w:rPr>
          <w:rFonts w:ascii="Abadi" w:hAnsi="Abadi" w:cs="Calibri"/>
          <w:sz w:val="21"/>
          <w:szCs w:val="21"/>
        </w:rPr>
        <w:t>discriminación, además de constituir violencia de género contra la mujer, para quedar como sigue:</w:t>
      </w:r>
    </w:p>
    <w:p w14:paraId="132A3A17" w14:textId="77777777" w:rsidR="008F41A0" w:rsidRDefault="008F41A0" w:rsidP="008F41A0">
      <w:pPr>
        <w:autoSpaceDE w:val="0"/>
        <w:autoSpaceDN w:val="0"/>
        <w:adjustRightInd w:val="0"/>
        <w:jc w:val="both"/>
        <w:rPr>
          <w:rFonts w:ascii="Abadi" w:hAnsi="Abadi" w:cs="ArialNarrow-BoldItalic"/>
          <w:b/>
          <w:bCs/>
          <w:i/>
          <w:iCs/>
          <w:sz w:val="21"/>
          <w:szCs w:val="21"/>
        </w:rPr>
      </w:pPr>
    </w:p>
    <w:p w14:paraId="56033D3A" w14:textId="77777777" w:rsidR="008F41A0" w:rsidRPr="00E22D3F" w:rsidRDefault="008F41A0" w:rsidP="008F41A0">
      <w:pPr>
        <w:autoSpaceDE w:val="0"/>
        <w:autoSpaceDN w:val="0"/>
        <w:adjustRightInd w:val="0"/>
        <w:jc w:val="both"/>
        <w:rPr>
          <w:rFonts w:ascii="Abadi" w:hAnsi="Abadi" w:cs="ArialNarrow-BoldItalic"/>
          <w:b/>
          <w:bCs/>
          <w:i/>
          <w:iCs/>
          <w:sz w:val="21"/>
          <w:szCs w:val="21"/>
        </w:rPr>
      </w:pPr>
      <w:r w:rsidRPr="00E22D3F">
        <w:rPr>
          <w:rFonts w:ascii="Abadi" w:hAnsi="Abadi" w:cs="ArialNarrow-BoldItalic"/>
          <w:b/>
          <w:bCs/>
          <w:i/>
          <w:iCs/>
          <w:sz w:val="21"/>
          <w:szCs w:val="21"/>
        </w:rPr>
        <w:t xml:space="preserve">“Artículo 341. </w:t>
      </w:r>
      <w:r w:rsidRPr="00E22D3F">
        <w:rPr>
          <w:rFonts w:ascii="Abadi" w:hAnsi="Abadi" w:cs="ArialNarrow-Italic"/>
          <w:i/>
          <w:iCs/>
          <w:sz w:val="21"/>
          <w:szCs w:val="21"/>
        </w:rPr>
        <w:t>Ejecutoriado el divorcio, se procederá desde luego a la división de los bienes comunes</w:t>
      </w:r>
      <w:r>
        <w:rPr>
          <w:rFonts w:ascii="Abadi" w:hAnsi="Abadi" w:cs="ArialNarrow-Italic"/>
          <w:i/>
          <w:iCs/>
          <w:sz w:val="21"/>
          <w:szCs w:val="21"/>
        </w:rPr>
        <w:t xml:space="preserve"> </w:t>
      </w:r>
      <w:r w:rsidRPr="00E22D3F">
        <w:rPr>
          <w:rFonts w:ascii="Abadi" w:hAnsi="Abadi" w:cs="ArialNarrow-Italic"/>
          <w:i/>
          <w:iCs/>
          <w:sz w:val="21"/>
          <w:szCs w:val="21"/>
        </w:rPr>
        <w:t>y se tomarán las precauciones necesarias para asegurar las obligaciones que queden pendientes</w:t>
      </w:r>
      <w:r>
        <w:rPr>
          <w:rFonts w:ascii="Abadi" w:hAnsi="Abadi" w:cs="ArialNarrow-Italic"/>
          <w:i/>
          <w:iCs/>
          <w:sz w:val="21"/>
          <w:szCs w:val="21"/>
        </w:rPr>
        <w:t xml:space="preserve"> </w:t>
      </w:r>
      <w:r w:rsidRPr="00E22D3F">
        <w:rPr>
          <w:rFonts w:ascii="Abadi" w:hAnsi="Abadi" w:cs="ArialNarrow-Italic"/>
          <w:i/>
          <w:iCs/>
          <w:sz w:val="21"/>
          <w:szCs w:val="21"/>
        </w:rPr>
        <w:t>entre los cónyuges o con relación a los hijos. Los consortes divorciados tendrán obligación de</w:t>
      </w:r>
      <w:r>
        <w:rPr>
          <w:rFonts w:ascii="Abadi" w:hAnsi="Abadi" w:cs="ArialNarrow-Italic"/>
          <w:i/>
          <w:iCs/>
          <w:sz w:val="21"/>
          <w:szCs w:val="21"/>
        </w:rPr>
        <w:t xml:space="preserve"> </w:t>
      </w:r>
      <w:r w:rsidRPr="00E22D3F">
        <w:rPr>
          <w:rFonts w:ascii="Abadi" w:hAnsi="Abadi" w:cs="ArialNarrow-Italic"/>
          <w:i/>
          <w:iCs/>
          <w:sz w:val="21"/>
          <w:szCs w:val="21"/>
        </w:rPr>
        <w:t xml:space="preserve">contribuir, en proporción a sus bienes, a la subsistencia y educación de </w:t>
      </w:r>
      <w:r w:rsidRPr="00E22D3F">
        <w:rPr>
          <w:rFonts w:ascii="Abadi" w:hAnsi="Abadi" w:cs="ArialNarrow-BoldItalic"/>
          <w:b/>
          <w:bCs/>
          <w:i/>
          <w:iCs/>
          <w:sz w:val="21"/>
          <w:szCs w:val="21"/>
        </w:rPr>
        <w:t xml:space="preserve">sus </w:t>
      </w:r>
      <w:r w:rsidRPr="00E22D3F">
        <w:rPr>
          <w:rFonts w:ascii="Abadi" w:hAnsi="Abadi" w:cs="ArialNarrow-Italic"/>
          <w:i/>
          <w:iCs/>
          <w:sz w:val="21"/>
          <w:szCs w:val="21"/>
        </w:rPr>
        <w:t>hijos.</w:t>
      </w:r>
      <w:r w:rsidRPr="00E22D3F">
        <w:rPr>
          <w:rFonts w:ascii="Abadi" w:hAnsi="Abadi" w:cs="ArialNarrow-BoldItalic"/>
          <w:b/>
          <w:bCs/>
          <w:i/>
          <w:iCs/>
          <w:sz w:val="21"/>
          <w:szCs w:val="21"/>
        </w:rPr>
        <w:t>”</w:t>
      </w:r>
    </w:p>
    <w:p w14:paraId="5550AEBD" w14:textId="77777777" w:rsidR="008F41A0" w:rsidRDefault="008F41A0" w:rsidP="008F41A0">
      <w:pPr>
        <w:autoSpaceDE w:val="0"/>
        <w:autoSpaceDN w:val="0"/>
        <w:adjustRightInd w:val="0"/>
        <w:jc w:val="both"/>
        <w:rPr>
          <w:rFonts w:ascii="Abadi" w:hAnsi="Abadi" w:cs="Calibri-Bold"/>
          <w:b/>
          <w:bCs/>
          <w:sz w:val="21"/>
          <w:szCs w:val="21"/>
        </w:rPr>
      </w:pPr>
    </w:p>
    <w:p w14:paraId="134C6C3E" w14:textId="77777777" w:rsidR="008F41A0" w:rsidRPr="00E22D3F" w:rsidRDefault="008F41A0" w:rsidP="008F41A0">
      <w:pPr>
        <w:autoSpaceDE w:val="0"/>
        <w:autoSpaceDN w:val="0"/>
        <w:adjustRightInd w:val="0"/>
        <w:jc w:val="center"/>
        <w:rPr>
          <w:rFonts w:ascii="Abadi" w:hAnsi="Abadi" w:cs="Calibri-Bold"/>
          <w:b/>
          <w:bCs/>
          <w:sz w:val="21"/>
          <w:szCs w:val="21"/>
        </w:rPr>
      </w:pPr>
      <w:r w:rsidRPr="00E22D3F">
        <w:rPr>
          <w:rFonts w:ascii="Abadi" w:hAnsi="Abadi" w:cs="Calibri-Bold"/>
          <w:b/>
          <w:bCs/>
          <w:sz w:val="21"/>
          <w:szCs w:val="21"/>
        </w:rPr>
        <w:t>Artículo transitorio:</w:t>
      </w:r>
    </w:p>
    <w:p w14:paraId="75E1495B" w14:textId="77777777" w:rsidR="008F41A0" w:rsidRDefault="008F41A0" w:rsidP="008F41A0">
      <w:pPr>
        <w:autoSpaceDE w:val="0"/>
        <w:autoSpaceDN w:val="0"/>
        <w:adjustRightInd w:val="0"/>
        <w:jc w:val="both"/>
        <w:rPr>
          <w:rFonts w:ascii="Abadi" w:hAnsi="Abadi" w:cs="Calibri-Bold"/>
          <w:b/>
          <w:bCs/>
          <w:sz w:val="21"/>
          <w:szCs w:val="21"/>
        </w:rPr>
      </w:pPr>
    </w:p>
    <w:p w14:paraId="5EC82929"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Bold"/>
          <w:b/>
          <w:bCs/>
          <w:sz w:val="21"/>
          <w:szCs w:val="21"/>
        </w:rPr>
        <w:t xml:space="preserve">ÚNICO. </w:t>
      </w:r>
      <w:r w:rsidRPr="00E22D3F">
        <w:rPr>
          <w:rFonts w:ascii="Abadi" w:hAnsi="Abadi" w:cs="Calibri"/>
          <w:sz w:val="21"/>
          <w:szCs w:val="21"/>
        </w:rPr>
        <w:t>El presente Decreto entrará en vigor al día siguiente al de su publicación en el Periódico</w:t>
      </w:r>
    </w:p>
    <w:p w14:paraId="3FDFE289"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Oficial del Gobierno del Estado de Guanajuato.</w:t>
      </w:r>
    </w:p>
    <w:p w14:paraId="0B02770B" w14:textId="77777777" w:rsidR="008F41A0" w:rsidRDefault="008F41A0" w:rsidP="008F41A0">
      <w:pPr>
        <w:autoSpaceDE w:val="0"/>
        <w:autoSpaceDN w:val="0"/>
        <w:adjustRightInd w:val="0"/>
        <w:jc w:val="both"/>
        <w:rPr>
          <w:rFonts w:ascii="Abadi" w:hAnsi="Abadi" w:cs="Calibri"/>
          <w:sz w:val="21"/>
          <w:szCs w:val="21"/>
        </w:rPr>
      </w:pPr>
    </w:p>
    <w:p w14:paraId="789D893B" w14:textId="77777777" w:rsidR="008F41A0" w:rsidRPr="00E22D3F" w:rsidRDefault="008F41A0" w:rsidP="008F41A0">
      <w:pPr>
        <w:autoSpaceDE w:val="0"/>
        <w:autoSpaceDN w:val="0"/>
        <w:adjustRightInd w:val="0"/>
        <w:jc w:val="both"/>
        <w:rPr>
          <w:rFonts w:ascii="Abadi" w:hAnsi="Abadi" w:cs="Calibri"/>
          <w:sz w:val="21"/>
          <w:szCs w:val="21"/>
        </w:rPr>
      </w:pPr>
      <w:r w:rsidRPr="00E22D3F">
        <w:rPr>
          <w:rFonts w:ascii="Abadi" w:hAnsi="Abadi" w:cs="Calibri"/>
          <w:sz w:val="21"/>
          <w:szCs w:val="21"/>
        </w:rPr>
        <w:t>En Guanajuato, Gto., al día de su presentación.</w:t>
      </w:r>
    </w:p>
    <w:p w14:paraId="4EA68B07" w14:textId="77777777" w:rsidR="008F41A0" w:rsidRDefault="008F41A0" w:rsidP="008F41A0">
      <w:pPr>
        <w:autoSpaceDE w:val="0"/>
        <w:autoSpaceDN w:val="0"/>
        <w:adjustRightInd w:val="0"/>
        <w:jc w:val="both"/>
        <w:rPr>
          <w:rFonts w:ascii="Abadi" w:hAnsi="Abadi" w:cs="Calibri-Bold"/>
          <w:b/>
          <w:bCs/>
          <w:sz w:val="21"/>
          <w:szCs w:val="21"/>
        </w:rPr>
      </w:pPr>
    </w:p>
    <w:p w14:paraId="66306947" w14:textId="77777777" w:rsidR="008F41A0" w:rsidRPr="00E22D3F" w:rsidRDefault="008F41A0" w:rsidP="008F41A0">
      <w:pPr>
        <w:autoSpaceDE w:val="0"/>
        <w:autoSpaceDN w:val="0"/>
        <w:adjustRightInd w:val="0"/>
        <w:jc w:val="both"/>
        <w:rPr>
          <w:rFonts w:ascii="Abadi" w:hAnsi="Abadi" w:cs="Calibri-Bold"/>
          <w:b/>
          <w:bCs/>
          <w:sz w:val="21"/>
          <w:szCs w:val="21"/>
        </w:rPr>
      </w:pPr>
      <w:r w:rsidRPr="00E22D3F">
        <w:rPr>
          <w:rFonts w:ascii="Abadi" w:hAnsi="Abadi" w:cs="Calibri-Bold"/>
          <w:b/>
          <w:bCs/>
          <w:sz w:val="21"/>
          <w:szCs w:val="21"/>
        </w:rPr>
        <w:t>Pablo Alonso Ripoll</w:t>
      </w:r>
    </w:p>
    <w:p w14:paraId="6A43AB8C" w14:textId="58432CDC" w:rsidR="008F41A0" w:rsidRDefault="008F41A0" w:rsidP="008F41A0">
      <w:pPr>
        <w:jc w:val="both"/>
        <w:rPr>
          <w:rFonts w:ascii="Abadi" w:hAnsi="Abadi" w:cs="Calibri-Italic"/>
          <w:i/>
          <w:iCs/>
          <w:sz w:val="21"/>
          <w:szCs w:val="21"/>
        </w:rPr>
      </w:pPr>
      <w:r w:rsidRPr="00E22D3F">
        <w:rPr>
          <w:rFonts w:ascii="Abadi" w:hAnsi="Abadi" w:cs="Calibri-Italic"/>
          <w:i/>
          <w:iCs/>
          <w:sz w:val="21"/>
          <w:szCs w:val="21"/>
        </w:rPr>
        <w:t>Diputado</w:t>
      </w:r>
    </w:p>
    <w:p w14:paraId="241CDC99" w14:textId="0247A9E9" w:rsidR="00B5436B" w:rsidRDefault="00B5436B" w:rsidP="008F41A0">
      <w:pPr>
        <w:jc w:val="both"/>
        <w:rPr>
          <w:rFonts w:ascii="Abadi" w:hAnsi="Abadi" w:cs="Calibri-Italic"/>
          <w:i/>
          <w:iCs/>
          <w:sz w:val="21"/>
          <w:szCs w:val="21"/>
        </w:rPr>
      </w:pPr>
    </w:p>
    <w:p w14:paraId="124DF855" w14:textId="77777777" w:rsidR="00B5436B" w:rsidRDefault="00B5436B" w:rsidP="008F41A0">
      <w:pPr>
        <w:jc w:val="both"/>
        <w:rPr>
          <w:rFonts w:ascii="Abadi" w:hAnsi="Abadi" w:cs="Calibri-Italic"/>
          <w:i/>
          <w:iCs/>
          <w:sz w:val="21"/>
          <w:szCs w:val="21"/>
        </w:rPr>
      </w:pPr>
    </w:p>
    <w:p w14:paraId="624BB650" w14:textId="3114993B" w:rsidR="00B5436B" w:rsidRPr="00B5436B" w:rsidRDefault="00B5436B" w:rsidP="00B5436B">
      <w:pPr>
        <w:ind w:firstLine="708"/>
        <w:jc w:val="both"/>
        <w:rPr>
          <w:rFonts w:ascii="Abadi" w:hAnsi="Abadi"/>
          <w:sz w:val="21"/>
          <w:szCs w:val="21"/>
        </w:rPr>
      </w:pPr>
      <w:r>
        <w:rPr>
          <w:rFonts w:ascii="Abadi" w:hAnsi="Abadi"/>
          <w:b/>
          <w:bCs/>
          <w:sz w:val="21"/>
          <w:szCs w:val="21"/>
        </w:rPr>
        <w:t xml:space="preserve">- </w:t>
      </w:r>
      <w:r w:rsidRPr="00B5436B">
        <w:rPr>
          <w:rFonts w:ascii="Abadi" w:hAnsi="Abadi"/>
          <w:b/>
          <w:bCs/>
          <w:sz w:val="21"/>
          <w:szCs w:val="21"/>
        </w:rPr>
        <w:t>La Presidencia.-</w:t>
      </w:r>
      <w:r w:rsidRPr="00B5436B">
        <w:rPr>
          <w:rFonts w:ascii="Abadi" w:hAnsi="Abadi"/>
          <w:sz w:val="21"/>
          <w:szCs w:val="21"/>
        </w:rPr>
        <w:t xml:space="preserve"> Se solicita al diputado </w:t>
      </w:r>
      <w:bookmarkStart w:id="5" w:name="_Hlk106279609"/>
      <w:r w:rsidRPr="00B5436B">
        <w:rPr>
          <w:rFonts w:ascii="Abadi" w:hAnsi="Abadi"/>
          <w:sz w:val="21"/>
          <w:szCs w:val="21"/>
        </w:rPr>
        <w:t>Pablo Alonso Ripoll</w:t>
      </w:r>
      <w:bookmarkEnd w:id="5"/>
      <w:r w:rsidRPr="00B5436B">
        <w:rPr>
          <w:rFonts w:ascii="Abadi" w:hAnsi="Abadi"/>
          <w:sz w:val="21"/>
          <w:szCs w:val="21"/>
        </w:rPr>
        <w:t xml:space="preserve">, para dar lectura  la exposición de motivos de su iniciativa a efecto de reformar el artículo 341 del Código Civil para el Estado de Guanajuato. </w:t>
      </w:r>
    </w:p>
    <w:p w14:paraId="0D9DF74D" w14:textId="77777777" w:rsidR="00B5436B" w:rsidRPr="00B5436B" w:rsidRDefault="00B5436B" w:rsidP="00B5436B">
      <w:pPr>
        <w:jc w:val="both"/>
        <w:rPr>
          <w:rFonts w:ascii="Abadi" w:hAnsi="Abadi"/>
          <w:sz w:val="21"/>
          <w:szCs w:val="21"/>
        </w:rPr>
      </w:pPr>
    </w:p>
    <w:p w14:paraId="00250F75" w14:textId="03F5F488" w:rsidR="00B5436B" w:rsidRPr="00B5436B" w:rsidRDefault="00B5436B" w:rsidP="005B51F6">
      <w:pPr>
        <w:ind w:firstLine="708"/>
        <w:jc w:val="both"/>
        <w:rPr>
          <w:rFonts w:ascii="Abadi" w:hAnsi="Abadi"/>
          <w:sz w:val="21"/>
          <w:szCs w:val="21"/>
        </w:rPr>
      </w:pPr>
      <w:r>
        <w:rPr>
          <w:rFonts w:ascii="Abadi" w:hAnsi="Abadi"/>
          <w:sz w:val="21"/>
          <w:szCs w:val="21"/>
        </w:rPr>
        <w:t xml:space="preserve">- </w:t>
      </w:r>
      <w:r w:rsidRPr="00B5436B">
        <w:rPr>
          <w:rFonts w:ascii="Abadi" w:hAnsi="Abadi"/>
          <w:sz w:val="21"/>
          <w:szCs w:val="21"/>
        </w:rPr>
        <w:t xml:space="preserve">Adelante, diputado. </w:t>
      </w:r>
    </w:p>
    <w:p w14:paraId="28CE9DBF" w14:textId="77777777" w:rsidR="00B5436B" w:rsidRPr="00B5436B" w:rsidRDefault="00B5436B" w:rsidP="00B5436B">
      <w:pPr>
        <w:jc w:val="both"/>
        <w:rPr>
          <w:rFonts w:ascii="Abadi" w:hAnsi="Abadi"/>
          <w:sz w:val="21"/>
          <w:szCs w:val="21"/>
        </w:rPr>
      </w:pPr>
    </w:p>
    <w:p w14:paraId="1986829B" w14:textId="6E090A4A" w:rsidR="00B5436B" w:rsidRDefault="004913C1" w:rsidP="00B5436B">
      <w:pPr>
        <w:jc w:val="center"/>
        <w:rPr>
          <w:rFonts w:ascii="Abadi" w:hAnsi="Abadi"/>
          <w:b/>
          <w:bCs/>
          <w:sz w:val="21"/>
          <w:szCs w:val="21"/>
        </w:rPr>
      </w:pPr>
      <w:r>
        <w:rPr>
          <w:noProof/>
        </w:rPr>
        <w:drawing>
          <wp:anchor distT="0" distB="0" distL="114300" distR="114300" simplePos="0" relativeHeight="251670528" behindDoc="1" locked="0" layoutInCell="1" allowOverlap="1" wp14:anchorId="196361D3" wp14:editId="0164FC9B">
            <wp:simplePos x="0" y="0"/>
            <wp:positionH relativeFrom="column">
              <wp:align>right</wp:align>
            </wp:positionH>
            <wp:positionV relativeFrom="paragraph">
              <wp:posOffset>359410</wp:posOffset>
            </wp:positionV>
            <wp:extent cx="2247900" cy="1170940"/>
            <wp:effectExtent l="19050" t="133350" r="0" b="886460"/>
            <wp:wrapTight wrapText="bothSides">
              <wp:wrapPolygon edited="0">
                <wp:start x="366" y="-2460"/>
                <wp:lineTo x="-183" y="-1757"/>
                <wp:lineTo x="366" y="37601"/>
                <wp:lineTo x="2563" y="37601"/>
                <wp:lineTo x="2746" y="36898"/>
                <wp:lineTo x="19953" y="31978"/>
                <wp:lineTo x="20319" y="-1406"/>
                <wp:lineTo x="19953" y="-1757"/>
                <wp:lineTo x="9336" y="-2460"/>
                <wp:lineTo x="366" y="-2460"/>
              </wp:wrapPolygon>
            </wp:wrapTight>
            <wp:docPr id="23" name="Imagen 23" descr="Una persona sentado con u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Una persona sentado con un traje de color negro&#10;&#10;Descripción generada automáticamente con confianza baja"/>
                    <pic:cNvPicPr/>
                  </pic:nvPicPr>
                  <pic:blipFill rotWithShape="1">
                    <a:blip r:embed="rId28" cstate="print">
                      <a:extLst>
                        <a:ext uri="{28A0092B-C50C-407E-A947-70E740481C1C}">
                          <a14:useLocalDpi xmlns:a14="http://schemas.microsoft.com/office/drawing/2010/main" val="0"/>
                        </a:ext>
                      </a:extLst>
                    </a:blip>
                    <a:srcRect b="7363"/>
                    <a:stretch/>
                  </pic:blipFill>
                  <pic:spPr bwMode="auto">
                    <a:xfrm>
                      <a:off x="0" y="0"/>
                      <a:ext cx="2247900" cy="117094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r w:rsidR="00B5436B" w:rsidRPr="00B5436B">
        <w:rPr>
          <w:rFonts w:ascii="Abadi" w:hAnsi="Abadi"/>
          <w:b/>
          <w:bCs/>
          <w:sz w:val="21"/>
          <w:szCs w:val="21"/>
        </w:rPr>
        <w:t>(Posicionamiento)</w:t>
      </w:r>
    </w:p>
    <w:p w14:paraId="0667657E" w14:textId="047DED66" w:rsidR="00B5436B" w:rsidRPr="00B5436B" w:rsidRDefault="00B5436B" w:rsidP="00B5436B">
      <w:pPr>
        <w:jc w:val="center"/>
        <w:rPr>
          <w:rFonts w:ascii="Abadi" w:hAnsi="Abadi"/>
          <w:b/>
          <w:bCs/>
          <w:sz w:val="21"/>
          <w:szCs w:val="21"/>
        </w:rPr>
      </w:pPr>
    </w:p>
    <w:p w14:paraId="5C6201C0" w14:textId="766A0C91" w:rsidR="00A3260D" w:rsidRPr="00213965" w:rsidRDefault="00A3260D" w:rsidP="00A3260D">
      <w:pPr>
        <w:jc w:val="both"/>
        <w:rPr>
          <w:rFonts w:ascii="Abadi" w:hAnsi="Abadi"/>
          <w:b/>
          <w:bCs/>
          <w:sz w:val="21"/>
          <w:szCs w:val="21"/>
        </w:rPr>
      </w:pPr>
      <w:r w:rsidRPr="00213965">
        <w:rPr>
          <w:rFonts w:ascii="Abadi" w:hAnsi="Abadi"/>
          <w:b/>
          <w:bCs/>
          <w:sz w:val="21"/>
          <w:szCs w:val="21"/>
        </w:rPr>
        <w:t>-</w:t>
      </w:r>
      <w:r w:rsidR="004913C1">
        <w:rPr>
          <w:rFonts w:ascii="Abadi" w:hAnsi="Abadi"/>
          <w:b/>
          <w:bCs/>
          <w:sz w:val="21"/>
          <w:szCs w:val="21"/>
        </w:rPr>
        <w:t xml:space="preserve"> </w:t>
      </w:r>
      <w:r w:rsidRPr="00213965">
        <w:rPr>
          <w:rFonts w:ascii="Abadi" w:hAnsi="Abadi"/>
          <w:b/>
          <w:bCs/>
          <w:sz w:val="21"/>
          <w:szCs w:val="21"/>
        </w:rPr>
        <w:t>Diputado Pablo Alonso Ripol</w:t>
      </w:r>
      <w:r w:rsidR="00213965">
        <w:rPr>
          <w:rFonts w:ascii="Abadi" w:hAnsi="Abadi"/>
          <w:b/>
          <w:bCs/>
          <w:sz w:val="21"/>
          <w:szCs w:val="21"/>
        </w:rPr>
        <w:t>l</w:t>
      </w:r>
      <w:r w:rsidRPr="00213965">
        <w:rPr>
          <w:rFonts w:ascii="Abadi" w:hAnsi="Abadi"/>
          <w:b/>
          <w:bCs/>
          <w:sz w:val="21"/>
          <w:szCs w:val="21"/>
        </w:rPr>
        <w:t xml:space="preserve"> -</w:t>
      </w:r>
    </w:p>
    <w:p w14:paraId="36EA1491" w14:textId="77777777" w:rsidR="00A3260D" w:rsidRPr="00213965" w:rsidRDefault="00A3260D" w:rsidP="00A3260D">
      <w:pPr>
        <w:jc w:val="both"/>
        <w:rPr>
          <w:rFonts w:ascii="Abadi" w:hAnsi="Abadi"/>
          <w:sz w:val="21"/>
          <w:szCs w:val="21"/>
        </w:rPr>
      </w:pPr>
    </w:p>
    <w:p w14:paraId="0AF6069C" w14:textId="6E620CF0" w:rsidR="00213965" w:rsidRDefault="00213965" w:rsidP="00213965">
      <w:pPr>
        <w:jc w:val="both"/>
        <w:rPr>
          <w:rFonts w:ascii="Abadi" w:hAnsi="Abadi"/>
          <w:sz w:val="21"/>
          <w:szCs w:val="21"/>
        </w:rPr>
      </w:pPr>
      <w:r w:rsidRPr="00213965">
        <w:rPr>
          <w:rFonts w:ascii="Abadi" w:hAnsi="Abadi"/>
          <w:sz w:val="21"/>
          <w:szCs w:val="21"/>
        </w:rPr>
        <w:t xml:space="preserve">-Buenos días a todos, diputada Irma Leticia González Sánchez, Presidenta de la Mesa Directiva, de la Sexta Quinta Legislatura y a todos los que nos acompañan aquí en ese recinto, diputados. compañeros, medios todos. </w:t>
      </w:r>
    </w:p>
    <w:p w14:paraId="4297327F" w14:textId="77777777" w:rsidR="00213965" w:rsidRPr="00213965" w:rsidRDefault="00213965" w:rsidP="00213965">
      <w:pPr>
        <w:jc w:val="both"/>
        <w:rPr>
          <w:rFonts w:ascii="Abadi" w:hAnsi="Abadi"/>
          <w:sz w:val="21"/>
          <w:szCs w:val="21"/>
        </w:rPr>
      </w:pPr>
    </w:p>
    <w:p w14:paraId="1B6834F6" w14:textId="77777777" w:rsidR="00213965" w:rsidRPr="00213965" w:rsidRDefault="00213965" w:rsidP="00213965">
      <w:pPr>
        <w:jc w:val="both"/>
        <w:rPr>
          <w:rFonts w:ascii="Abadi" w:hAnsi="Abadi"/>
          <w:sz w:val="21"/>
          <w:szCs w:val="21"/>
        </w:rPr>
      </w:pPr>
      <w:r w:rsidRPr="00213965">
        <w:rPr>
          <w:rFonts w:ascii="Abadi" w:hAnsi="Abadi"/>
          <w:sz w:val="21"/>
          <w:szCs w:val="21"/>
        </w:rPr>
        <w:t xml:space="preserve">- El que se suscribe diputado, Pablo Alonso Ripoll, del Grupo Parlamentario de Morena, de sesión de la Sexagésima Quinta Legislatura del Congreso del Estado de Guanajuato, presento una iniciativa por la que reforma el artículo 341 del Código Civil para el Estado de Guanajuato, de conformidad con lo siguiente: </w:t>
      </w:r>
    </w:p>
    <w:p w14:paraId="5170C5D3" w14:textId="77777777" w:rsidR="00213965" w:rsidRDefault="00213965" w:rsidP="00213965">
      <w:pPr>
        <w:jc w:val="both"/>
        <w:rPr>
          <w:rFonts w:ascii="Abadi" w:hAnsi="Abadi"/>
          <w:sz w:val="21"/>
          <w:szCs w:val="21"/>
        </w:rPr>
      </w:pPr>
    </w:p>
    <w:p w14:paraId="07C4943E" w14:textId="6CD5642B" w:rsidR="00213965" w:rsidRDefault="00213965" w:rsidP="00213965">
      <w:pPr>
        <w:jc w:val="both"/>
        <w:rPr>
          <w:rFonts w:ascii="Abadi" w:hAnsi="Abadi"/>
          <w:sz w:val="21"/>
          <w:szCs w:val="21"/>
        </w:rPr>
      </w:pPr>
      <w:r w:rsidRPr="00213965">
        <w:rPr>
          <w:rFonts w:ascii="Abadi" w:hAnsi="Abadi"/>
          <w:sz w:val="21"/>
          <w:szCs w:val="21"/>
        </w:rPr>
        <w:t xml:space="preserve">- Exposición de motivos: </w:t>
      </w:r>
    </w:p>
    <w:p w14:paraId="00E85A1B" w14:textId="77777777" w:rsidR="00213965" w:rsidRPr="00213965" w:rsidRDefault="00213965" w:rsidP="00213965">
      <w:pPr>
        <w:jc w:val="both"/>
        <w:rPr>
          <w:rFonts w:ascii="Abadi" w:hAnsi="Abadi"/>
          <w:sz w:val="21"/>
          <w:szCs w:val="21"/>
        </w:rPr>
      </w:pPr>
    </w:p>
    <w:p w14:paraId="1B77BDF5" w14:textId="011B4C5A" w:rsidR="00213965" w:rsidRDefault="00213965" w:rsidP="00213965">
      <w:pPr>
        <w:jc w:val="both"/>
        <w:rPr>
          <w:rFonts w:ascii="Abadi" w:hAnsi="Abadi"/>
          <w:sz w:val="21"/>
          <w:szCs w:val="21"/>
        </w:rPr>
      </w:pPr>
      <w:r w:rsidRPr="00213965">
        <w:rPr>
          <w:rFonts w:ascii="Abadi" w:hAnsi="Abadi"/>
          <w:sz w:val="21"/>
          <w:szCs w:val="21"/>
        </w:rPr>
        <w:t xml:space="preserve">-  El pasado 10 de mayo de este año, del 20 al 22, la Comisión Interamericana de Derechos Humanos. Emitió un comunicado primer llamado a México a adoptar medidas urgentes para erradicar la violencia contra la mujer. Informó la Comisión que está atenta a los reportes de feminicidios y desapariciones de mujeres en México, ante el alza crecimiento de casos y su gravedad. </w:t>
      </w:r>
    </w:p>
    <w:p w14:paraId="0F4CDCA9" w14:textId="77777777" w:rsidR="00213965" w:rsidRPr="00213965" w:rsidRDefault="00213965" w:rsidP="00213965">
      <w:pPr>
        <w:jc w:val="both"/>
        <w:rPr>
          <w:rFonts w:ascii="Abadi" w:hAnsi="Abadi"/>
          <w:sz w:val="21"/>
          <w:szCs w:val="21"/>
        </w:rPr>
      </w:pPr>
    </w:p>
    <w:p w14:paraId="5BBF12A7" w14:textId="77777777" w:rsidR="00213965" w:rsidRPr="00213965" w:rsidRDefault="00213965" w:rsidP="00213965">
      <w:pPr>
        <w:jc w:val="both"/>
        <w:rPr>
          <w:rFonts w:ascii="Abadi" w:hAnsi="Abadi"/>
          <w:sz w:val="21"/>
          <w:szCs w:val="21"/>
        </w:rPr>
      </w:pPr>
      <w:r w:rsidRPr="00213965">
        <w:rPr>
          <w:rFonts w:ascii="Abadi" w:hAnsi="Abadi"/>
          <w:sz w:val="21"/>
          <w:szCs w:val="21"/>
        </w:rPr>
        <w:t xml:space="preserve">- Se recomienda que los casos reportados no deben analizarse de manera aislada, sino en un contexto de violencia de género. </w:t>
      </w:r>
    </w:p>
    <w:p w14:paraId="4C3B88C7" w14:textId="68124463" w:rsidR="00213965" w:rsidRDefault="00213965" w:rsidP="00213965">
      <w:pPr>
        <w:jc w:val="both"/>
        <w:rPr>
          <w:rFonts w:ascii="Abadi" w:hAnsi="Abadi"/>
          <w:sz w:val="21"/>
          <w:szCs w:val="21"/>
        </w:rPr>
      </w:pPr>
      <w:r w:rsidRPr="00213965">
        <w:rPr>
          <w:rFonts w:ascii="Abadi" w:hAnsi="Abadi"/>
          <w:sz w:val="21"/>
          <w:szCs w:val="21"/>
        </w:rPr>
        <w:t xml:space="preserve">- En este sentido, parte del contenido del artículo 341 del Código Civil para el Estado de Guanajuato, es un ejemplo claro de discriminación y vuelve y violencia de género contra las mujeres, al que al distinguir y diferenciar entre las condiciones y características de los hijos varones y las hijas mujeres. Para tener derecho a recibir alimentos por parte de sus protegidos, de sus progenitores, establece estereotipo a la mujer planteado de la planteado que el plan de vida de ellos deriva estar enfocado al contraer matrimonio, imponiéndole además una obligación. De índole moral, al señalar siempre que viva honestamente, lo que es un aspecto de valoración subjetiva, que por el contenido de normas y resoluciones del siglo 19 y 20. Se han afirmado diversos estudios de género y justicia, es una forma normativa para referirse al comportamiento sexual de las mujeres. </w:t>
      </w:r>
    </w:p>
    <w:p w14:paraId="1FD6738B" w14:textId="77777777" w:rsidR="00213965" w:rsidRPr="00213965" w:rsidRDefault="00213965" w:rsidP="00213965">
      <w:pPr>
        <w:jc w:val="both"/>
        <w:rPr>
          <w:rFonts w:ascii="Abadi" w:hAnsi="Abadi"/>
          <w:sz w:val="21"/>
          <w:szCs w:val="21"/>
        </w:rPr>
      </w:pPr>
    </w:p>
    <w:p w14:paraId="22FB1AA7" w14:textId="1A3B7FB5" w:rsidR="00213965" w:rsidRDefault="00213965" w:rsidP="00213965">
      <w:pPr>
        <w:jc w:val="both"/>
        <w:rPr>
          <w:rFonts w:ascii="Abadi" w:hAnsi="Abadi"/>
          <w:sz w:val="21"/>
          <w:szCs w:val="21"/>
        </w:rPr>
      </w:pPr>
      <w:r w:rsidRPr="00213965">
        <w:rPr>
          <w:rFonts w:ascii="Abadi" w:hAnsi="Abadi"/>
          <w:sz w:val="21"/>
          <w:szCs w:val="21"/>
        </w:rPr>
        <w:t xml:space="preserve">- De acuerdo a lo que la costumbre social juzga correcto enfocándose a la comprobación de una reputación de castidad. Puede afirmarse que esta porción normativa, viola los derechos de igualdad y no discriminación. Reconociendo los artículos primero y cuarto de la Constitución Federal además de ser incompatibles con el artículo 17, numeral cuatro, de la Convención Americana sobre Derechos Humanos, que establece que, en todo caso, de disolución del matrimonio. Deben adoptarse disposiciones que aseguren la protección de los hijos, sobre la base única del interés y conveniencia sin que se, distinga entre hijos varones y las hijas mujeres. </w:t>
      </w:r>
    </w:p>
    <w:p w14:paraId="779EFB79" w14:textId="77777777" w:rsidR="004913C1" w:rsidRPr="00213965" w:rsidRDefault="004913C1" w:rsidP="00213965">
      <w:pPr>
        <w:jc w:val="both"/>
        <w:rPr>
          <w:rFonts w:ascii="Abadi" w:hAnsi="Abadi"/>
          <w:sz w:val="21"/>
          <w:szCs w:val="21"/>
        </w:rPr>
      </w:pPr>
    </w:p>
    <w:p w14:paraId="163A42C6" w14:textId="2922498E" w:rsidR="00213965" w:rsidRDefault="00213965" w:rsidP="00213965">
      <w:pPr>
        <w:jc w:val="both"/>
        <w:rPr>
          <w:rFonts w:ascii="Abadi" w:hAnsi="Abadi"/>
          <w:sz w:val="21"/>
          <w:szCs w:val="21"/>
        </w:rPr>
      </w:pPr>
      <w:r w:rsidRPr="00213965">
        <w:rPr>
          <w:rFonts w:ascii="Abadi" w:hAnsi="Abadi"/>
          <w:sz w:val="21"/>
          <w:szCs w:val="21"/>
        </w:rPr>
        <w:t>- Por lo que se propone eliminar la parte que en el artículo 341 del Código Civil para el Estado de Guanajuato textualmente dice:</w:t>
      </w:r>
    </w:p>
    <w:p w14:paraId="236CA0BC" w14:textId="77777777" w:rsidR="004913C1" w:rsidRPr="00213965" w:rsidRDefault="004913C1" w:rsidP="00213965">
      <w:pPr>
        <w:jc w:val="both"/>
        <w:rPr>
          <w:rFonts w:ascii="Abadi" w:hAnsi="Abadi"/>
          <w:sz w:val="21"/>
          <w:szCs w:val="21"/>
        </w:rPr>
      </w:pPr>
    </w:p>
    <w:p w14:paraId="5420720E" w14:textId="1D3730E9" w:rsidR="00213965" w:rsidRDefault="00213965" w:rsidP="00213965">
      <w:pPr>
        <w:jc w:val="both"/>
        <w:rPr>
          <w:rFonts w:ascii="Abadi" w:hAnsi="Abadi"/>
          <w:sz w:val="21"/>
          <w:szCs w:val="21"/>
        </w:rPr>
      </w:pPr>
      <w:r w:rsidRPr="00213965">
        <w:rPr>
          <w:rFonts w:ascii="Abadi" w:hAnsi="Abadi"/>
          <w:sz w:val="21"/>
          <w:szCs w:val="21"/>
        </w:rPr>
        <w:t>- Varones hasta que lleguen a la mayoría de edad, después de esa, si se encuentra imposibilitado. Para trabajar. Y carece de bienes propios suficientes. Y de las hijas, aunque sean mayores de edad, hasta que contraigan matrimonio siempre y vivan honestamente.</w:t>
      </w:r>
    </w:p>
    <w:p w14:paraId="695C21D3" w14:textId="77777777" w:rsidR="00213965" w:rsidRPr="00213965" w:rsidRDefault="00213965" w:rsidP="00213965">
      <w:pPr>
        <w:jc w:val="both"/>
        <w:rPr>
          <w:rFonts w:ascii="Abadi" w:hAnsi="Abadi"/>
          <w:sz w:val="21"/>
          <w:szCs w:val="21"/>
        </w:rPr>
      </w:pPr>
    </w:p>
    <w:p w14:paraId="7BC471E7" w14:textId="77777777" w:rsidR="00213965" w:rsidRPr="00213965" w:rsidRDefault="00213965" w:rsidP="00213965">
      <w:pPr>
        <w:jc w:val="both"/>
        <w:rPr>
          <w:rFonts w:ascii="Abadi" w:hAnsi="Abadi"/>
          <w:sz w:val="21"/>
          <w:szCs w:val="21"/>
        </w:rPr>
      </w:pPr>
      <w:r w:rsidRPr="00213965">
        <w:rPr>
          <w:rFonts w:ascii="Abadi" w:hAnsi="Abadi"/>
          <w:sz w:val="21"/>
          <w:szCs w:val="21"/>
        </w:rPr>
        <w:t xml:space="preserve">- Por lo anterior, expuesto y fundado, me permito someter a consideración de este Pleno. Para su aprobación, el siguiente decreto. En Guanajuato, Gto., el día de su presentación, Pablo Alonso. </w:t>
      </w:r>
    </w:p>
    <w:p w14:paraId="74004F75" w14:textId="77777777" w:rsidR="00213965" w:rsidRDefault="00213965" w:rsidP="00213965">
      <w:pPr>
        <w:jc w:val="both"/>
        <w:rPr>
          <w:rFonts w:ascii="Abadi" w:hAnsi="Abadi"/>
          <w:sz w:val="21"/>
          <w:szCs w:val="21"/>
        </w:rPr>
      </w:pPr>
    </w:p>
    <w:p w14:paraId="3A529D8F" w14:textId="0E8A8AED" w:rsidR="00213965" w:rsidRDefault="00213965" w:rsidP="00213965">
      <w:pPr>
        <w:jc w:val="both"/>
        <w:rPr>
          <w:rFonts w:ascii="Abadi" w:hAnsi="Abadi"/>
          <w:sz w:val="21"/>
          <w:szCs w:val="21"/>
        </w:rPr>
      </w:pPr>
      <w:r w:rsidRPr="00213965">
        <w:rPr>
          <w:rFonts w:ascii="Abadi" w:hAnsi="Abadi"/>
          <w:sz w:val="21"/>
          <w:szCs w:val="21"/>
        </w:rPr>
        <w:t xml:space="preserve">- Es cuánto. </w:t>
      </w:r>
    </w:p>
    <w:p w14:paraId="41921B89" w14:textId="77777777" w:rsidR="00213965" w:rsidRPr="00213965" w:rsidRDefault="00213965" w:rsidP="00213965">
      <w:pPr>
        <w:jc w:val="both"/>
        <w:rPr>
          <w:rFonts w:ascii="Abadi" w:hAnsi="Abadi"/>
          <w:sz w:val="21"/>
          <w:szCs w:val="21"/>
        </w:rPr>
      </w:pPr>
    </w:p>
    <w:p w14:paraId="0E734D7F" w14:textId="4B867574" w:rsidR="00213965" w:rsidRDefault="00213965" w:rsidP="00213965">
      <w:pPr>
        <w:ind w:firstLine="567"/>
        <w:jc w:val="both"/>
        <w:rPr>
          <w:rFonts w:ascii="Abadi" w:hAnsi="Abadi"/>
          <w:sz w:val="21"/>
          <w:szCs w:val="21"/>
        </w:rPr>
      </w:pPr>
      <w:r>
        <w:rPr>
          <w:rFonts w:ascii="Abadi" w:hAnsi="Abadi"/>
          <w:b/>
          <w:bCs/>
          <w:sz w:val="21"/>
          <w:szCs w:val="21"/>
        </w:rPr>
        <w:t xml:space="preserve">- </w:t>
      </w:r>
      <w:r w:rsidRPr="00213965">
        <w:rPr>
          <w:rFonts w:ascii="Abadi" w:hAnsi="Abadi"/>
          <w:b/>
          <w:bCs/>
          <w:sz w:val="21"/>
          <w:szCs w:val="21"/>
        </w:rPr>
        <w:t xml:space="preserve">La Presidencia.- </w:t>
      </w:r>
      <w:r w:rsidRPr="00213965">
        <w:rPr>
          <w:rFonts w:ascii="Abadi" w:hAnsi="Abadi"/>
          <w:sz w:val="21"/>
          <w:szCs w:val="21"/>
        </w:rPr>
        <w:t>Muchas gracias, diputado.</w:t>
      </w:r>
    </w:p>
    <w:p w14:paraId="0054C693" w14:textId="77777777" w:rsidR="00213965" w:rsidRPr="00213965" w:rsidRDefault="00213965" w:rsidP="00213965">
      <w:pPr>
        <w:ind w:firstLine="567"/>
        <w:jc w:val="both"/>
        <w:rPr>
          <w:rFonts w:ascii="Abadi" w:hAnsi="Abadi"/>
          <w:sz w:val="21"/>
          <w:szCs w:val="21"/>
        </w:rPr>
      </w:pPr>
    </w:p>
    <w:p w14:paraId="7870ACBE" w14:textId="7FF88D63" w:rsidR="00213965" w:rsidRDefault="00213965" w:rsidP="00213965">
      <w:pPr>
        <w:ind w:left="284" w:right="283"/>
        <w:jc w:val="both"/>
        <w:rPr>
          <w:rFonts w:ascii="Abadi" w:hAnsi="Abadi"/>
          <w:b/>
          <w:bCs/>
          <w:i/>
          <w:iCs/>
          <w:sz w:val="21"/>
          <w:szCs w:val="21"/>
          <w:u w:val="single"/>
        </w:rPr>
      </w:pPr>
      <w:r w:rsidRPr="00213965">
        <w:rPr>
          <w:rFonts w:ascii="Abadi" w:hAnsi="Abadi"/>
          <w:b/>
          <w:bCs/>
          <w:i/>
          <w:iCs/>
          <w:sz w:val="21"/>
          <w:szCs w:val="21"/>
          <w:u w:val="single"/>
        </w:rPr>
        <w:t xml:space="preserve">Con fundamento en el artículo 113, fracción II de nuestra Ley Orgánica, se turna a la Comisión de Justicia para su estudio y dictamen. </w:t>
      </w:r>
    </w:p>
    <w:p w14:paraId="7D550340" w14:textId="416AAADB" w:rsidR="000A60B3" w:rsidRDefault="000A60B3" w:rsidP="00213965">
      <w:pPr>
        <w:ind w:left="284" w:right="283"/>
        <w:jc w:val="both"/>
        <w:rPr>
          <w:rFonts w:ascii="Abadi" w:hAnsi="Abadi"/>
          <w:b/>
          <w:bCs/>
          <w:i/>
          <w:iCs/>
          <w:sz w:val="21"/>
          <w:szCs w:val="21"/>
          <w:u w:val="single"/>
        </w:rPr>
      </w:pPr>
    </w:p>
    <w:p w14:paraId="34BE2F12" w14:textId="77777777" w:rsidR="000A60B3" w:rsidRPr="000A60B3" w:rsidRDefault="000A60B3" w:rsidP="000A60B3">
      <w:pPr>
        <w:ind w:firstLine="426"/>
        <w:jc w:val="both"/>
        <w:rPr>
          <w:rFonts w:ascii="Abadi" w:hAnsi="Abadi"/>
          <w:sz w:val="21"/>
          <w:szCs w:val="21"/>
        </w:rPr>
      </w:pPr>
      <w:r w:rsidRPr="000A60B3">
        <w:rPr>
          <w:rFonts w:ascii="Abadi" w:hAnsi="Abadi"/>
          <w:sz w:val="21"/>
          <w:szCs w:val="21"/>
        </w:rPr>
        <w:t xml:space="preserve">- Esta Presidencia da la más cordial bienvenida del municipio de León, Gto., invitados por la diputada Martha Lourdes Ortega Roque y el diputado Gerardo Fernández González, sean ustedes bienvenidos, muchas gracias. </w:t>
      </w:r>
    </w:p>
    <w:p w14:paraId="34297019" w14:textId="77777777" w:rsidR="000A60B3" w:rsidRPr="00213965" w:rsidRDefault="000A60B3" w:rsidP="00213965">
      <w:pPr>
        <w:ind w:left="284" w:right="283"/>
        <w:jc w:val="both"/>
        <w:rPr>
          <w:rFonts w:ascii="Abadi" w:hAnsi="Abadi"/>
          <w:b/>
          <w:bCs/>
          <w:i/>
          <w:iCs/>
          <w:sz w:val="21"/>
          <w:szCs w:val="21"/>
          <w:u w:val="single"/>
        </w:rPr>
      </w:pPr>
    </w:p>
    <w:p w14:paraId="10AD3B16" w14:textId="60C07A15" w:rsidR="00B5436B" w:rsidRPr="00213965" w:rsidRDefault="00B5436B" w:rsidP="00A3260D">
      <w:pPr>
        <w:jc w:val="both"/>
        <w:rPr>
          <w:rFonts w:ascii="Abadi" w:hAnsi="Abadi"/>
          <w:sz w:val="21"/>
          <w:szCs w:val="21"/>
        </w:rPr>
      </w:pPr>
    </w:p>
    <w:p w14:paraId="28A20430" w14:textId="76D8089A"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PRESENTACIÓN DE LA PROPUESTA DE PUNTO DE ACUERDO SUSCRITA POR LA DIPUTADA HADES BERENICE AGUILAR CASTILLO INTEGRANTE DEL GRUPO PARLAMENTARIO DEL PARTIDO MORENA A EFECTO DE EXHORTAR AL GOBERNADOR DEL ESTADO DE GUANAJUATO, DIEGO SINHUE RODRÍGUEZ VALLEJO, PARA QUE INICIE UN PROCESO DE REVISIÓN Y REDISEÑO DE LA POLÍTICA ESTATAL DE SEGURIDAD PÚBLICA, INCORPORANDO LAS MEJORES PRÁCTICAS EN LA MATERIA.</w:t>
      </w:r>
    </w:p>
    <w:p w14:paraId="58CEE5F8" w14:textId="450EA89C" w:rsidR="00BC2F10" w:rsidRDefault="00BC2F10" w:rsidP="00BC2F10">
      <w:pPr>
        <w:autoSpaceDE w:val="0"/>
        <w:autoSpaceDN w:val="0"/>
        <w:adjustRightInd w:val="0"/>
        <w:jc w:val="both"/>
        <w:rPr>
          <w:rFonts w:ascii="Abadi" w:hAnsi="Abadi" w:cs="ArialMT"/>
          <w:b/>
          <w:bCs/>
          <w:sz w:val="20"/>
          <w:szCs w:val="21"/>
        </w:rPr>
      </w:pPr>
    </w:p>
    <w:p w14:paraId="37EB8A3B" w14:textId="77777777" w:rsidR="00BC2F10" w:rsidRPr="005406FD" w:rsidRDefault="00BC2F10" w:rsidP="00BC2F10">
      <w:pPr>
        <w:autoSpaceDE w:val="0"/>
        <w:autoSpaceDN w:val="0"/>
        <w:adjustRightInd w:val="0"/>
        <w:jc w:val="both"/>
        <w:rPr>
          <w:rFonts w:ascii="Abadi" w:hAnsi="Abadi" w:cs="Arial"/>
          <w:b/>
          <w:bCs/>
          <w:color w:val="000000"/>
          <w:sz w:val="21"/>
          <w:szCs w:val="21"/>
        </w:rPr>
      </w:pPr>
      <w:r w:rsidRPr="005406FD">
        <w:rPr>
          <w:rFonts w:ascii="Abadi" w:hAnsi="Abadi" w:cs="Arial"/>
          <w:b/>
          <w:bCs/>
          <w:color w:val="000000"/>
          <w:sz w:val="21"/>
          <w:szCs w:val="21"/>
        </w:rPr>
        <w:t>DIPUTADA IRMA LETICIA GONZÁLEZ SÁNCHEZ</w:t>
      </w:r>
    </w:p>
    <w:p w14:paraId="6222D538" w14:textId="77777777" w:rsidR="00BC2F10" w:rsidRPr="005406FD" w:rsidRDefault="00BC2F10" w:rsidP="00BC2F10">
      <w:pPr>
        <w:autoSpaceDE w:val="0"/>
        <w:autoSpaceDN w:val="0"/>
        <w:adjustRightInd w:val="0"/>
        <w:jc w:val="both"/>
        <w:rPr>
          <w:rFonts w:ascii="Abadi" w:hAnsi="Abadi" w:cs="Arial"/>
          <w:b/>
          <w:bCs/>
          <w:color w:val="000000"/>
          <w:sz w:val="21"/>
          <w:szCs w:val="21"/>
        </w:rPr>
      </w:pPr>
      <w:r w:rsidRPr="005406FD">
        <w:rPr>
          <w:rFonts w:ascii="Abadi" w:hAnsi="Abadi" w:cs="Arial"/>
          <w:b/>
          <w:bCs/>
          <w:color w:val="000000"/>
          <w:sz w:val="21"/>
          <w:szCs w:val="21"/>
        </w:rPr>
        <w:t>PRESIDENTA DE LA MESA DIRECTIVA</w:t>
      </w:r>
    </w:p>
    <w:p w14:paraId="6D5AB2BD" w14:textId="77777777" w:rsidR="00BC2F10" w:rsidRPr="005406FD" w:rsidRDefault="00BC2F10" w:rsidP="00BC2F10">
      <w:pPr>
        <w:autoSpaceDE w:val="0"/>
        <w:autoSpaceDN w:val="0"/>
        <w:adjustRightInd w:val="0"/>
        <w:jc w:val="both"/>
        <w:rPr>
          <w:rFonts w:ascii="Abadi" w:hAnsi="Abadi" w:cs="Arial"/>
          <w:b/>
          <w:bCs/>
          <w:color w:val="000000"/>
          <w:sz w:val="21"/>
          <w:szCs w:val="21"/>
        </w:rPr>
      </w:pPr>
      <w:r w:rsidRPr="005406FD">
        <w:rPr>
          <w:rFonts w:ascii="Abadi" w:hAnsi="Abadi" w:cs="Arial"/>
          <w:b/>
          <w:bCs/>
          <w:color w:val="000000"/>
          <w:sz w:val="21"/>
          <w:szCs w:val="21"/>
        </w:rPr>
        <w:t>CONGRESO DEL ESTADO DE GUANAJUATO</w:t>
      </w:r>
    </w:p>
    <w:p w14:paraId="4B87DDFE" w14:textId="77777777" w:rsidR="00BC2F10" w:rsidRPr="005406FD" w:rsidRDefault="00BC2F10" w:rsidP="00BC2F10">
      <w:pPr>
        <w:autoSpaceDE w:val="0"/>
        <w:autoSpaceDN w:val="0"/>
        <w:adjustRightInd w:val="0"/>
        <w:jc w:val="both"/>
        <w:rPr>
          <w:rFonts w:ascii="Abadi" w:hAnsi="Abadi" w:cs="Arial"/>
          <w:b/>
          <w:bCs/>
          <w:color w:val="000000"/>
          <w:sz w:val="21"/>
          <w:szCs w:val="21"/>
        </w:rPr>
      </w:pPr>
      <w:r w:rsidRPr="005406FD">
        <w:rPr>
          <w:rFonts w:ascii="Abadi" w:hAnsi="Abadi" w:cs="Arial"/>
          <w:b/>
          <w:bCs/>
          <w:color w:val="000000"/>
          <w:sz w:val="21"/>
          <w:szCs w:val="21"/>
        </w:rPr>
        <w:t>LXV LEGISLATURA</w:t>
      </w:r>
    </w:p>
    <w:p w14:paraId="365C3151" w14:textId="77777777" w:rsidR="00BC2F10" w:rsidRPr="005406FD" w:rsidRDefault="00BC2F10" w:rsidP="00BC2F10">
      <w:pPr>
        <w:autoSpaceDE w:val="0"/>
        <w:autoSpaceDN w:val="0"/>
        <w:adjustRightInd w:val="0"/>
        <w:jc w:val="both"/>
        <w:rPr>
          <w:rFonts w:ascii="Abadi" w:hAnsi="Abadi" w:cs="Arial"/>
          <w:b/>
          <w:bCs/>
          <w:color w:val="000000"/>
          <w:sz w:val="21"/>
          <w:szCs w:val="21"/>
        </w:rPr>
      </w:pPr>
      <w:r w:rsidRPr="005406FD">
        <w:rPr>
          <w:rFonts w:ascii="Abadi" w:hAnsi="Abadi" w:cs="Arial"/>
          <w:b/>
          <w:bCs/>
          <w:color w:val="000000"/>
          <w:sz w:val="21"/>
          <w:szCs w:val="21"/>
        </w:rPr>
        <w:t>PRESENTE</w:t>
      </w:r>
    </w:p>
    <w:p w14:paraId="09DCB450" w14:textId="77777777" w:rsidR="00BC2F10" w:rsidRPr="005406FD" w:rsidRDefault="00BC2F10" w:rsidP="00BC2F10">
      <w:pPr>
        <w:autoSpaceDE w:val="0"/>
        <w:autoSpaceDN w:val="0"/>
        <w:adjustRightInd w:val="0"/>
        <w:jc w:val="both"/>
        <w:rPr>
          <w:rFonts w:ascii="Abadi" w:hAnsi="Abadi" w:cs="Arial"/>
          <w:b/>
          <w:bCs/>
          <w:color w:val="000000"/>
          <w:sz w:val="21"/>
          <w:szCs w:val="21"/>
        </w:rPr>
      </w:pPr>
    </w:p>
    <w:p w14:paraId="72FE2A44"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b/>
          <w:bCs/>
          <w:color w:val="000000"/>
          <w:sz w:val="21"/>
          <w:szCs w:val="21"/>
        </w:rPr>
        <w:t xml:space="preserve">Hades Berenice Aguilar Castillo, </w:t>
      </w:r>
      <w:r w:rsidRPr="005406FD">
        <w:rPr>
          <w:rFonts w:ascii="Abadi" w:hAnsi="Abadi" w:cs="Arial"/>
          <w:color w:val="000000"/>
          <w:sz w:val="21"/>
          <w:szCs w:val="21"/>
        </w:rPr>
        <w:t xml:space="preserve">diputada del Grupo Parlamentario de </w:t>
      </w:r>
      <w:r w:rsidRPr="005406FD">
        <w:rPr>
          <w:rFonts w:ascii="Abadi" w:hAnsi="Abadi" w:cs="Arial"/>
          <w:b/>
          <w:bCs/>
          <w:color w:val="000000"/>
          <w:sz w:val="21"/>
          <w:szCs w:val="21"/>
        </w:rPr>
        <w:t>morena</w:t>
      </w:r>
      <w:r>
        <w:rPr>
          <w:rFonts w:ascii="Abadi" w:hAnsi="Abadi" w:cs="Arial"/>
          <w:b/>
          <w:bCs/>
          <w:color w:val="000000"/>
          <w:sz w:val="21"/>
          <w:szCs w:val="21"/>
        </w:rPr>
        <w:t xml:space="preserve"> </w:t>
      </w:r>
      <w:r w:rsidRPr="005406FD">
        <w:rPr>
          <w:rFonts w:ascii="Abadi" w:hAnsi="Abadi" w:cs="Arial"/>
          <w:color w:val="000000"/>
          <w:sz w:val="21"/>
          <w:szCs w:val="21"/>
        </w:rPr>
        <w:t>en esta LXV Legislatura, en ejercicio de mis atribuciones, comparezco para exponer</w:t>
      </w:r>
      <w:r>
        <w:rPr>
          <w:rFonts w:ascii="Abadi" w:hAnsi="Abadi" w:cs="Arial"/>
          <w:color w:val="000000"/>
          <w:sz w:val="21"/>
          <w:szCs w:val="21"/>
        </w:rPr>
        <w:t xml:space="preserve"> </w:t>
      </w:r>
      <w:r w:rsidRPr="005406FD">
        <w:rPr>
          <w:rFonts w:ascii="Abadi" w:hAnsi="Abadi" w:cs="Arial"/>
          <w:color w:val="000000"/>
          <w:sz w:val="21"/>
          <w:szCs w:val="21"/>
        </w:rPr>
        <w:t xml:space="preserve">el siguiente </w:t>
      </w:r>
      <w:r w:rsidRPr="005406FD">
        <w:rPr>
          <w:rFonts w:ascii="Abadi" w:hAnsi="Abadi" w:cs="Arial"/>
          <w:b/>
          <w:bCs/>
          <w:color w:val="000000"/>
          <w:sz w:val="21"/>
          <w:szCs w:val="21"/>
        </w:rPr>
        <w:t>punto de acuerdo</w:t>
      </w:r>
      <w:r w:rsidRPr="005406FD">
        <w:rPr>
          <w:rFonts w:ascii="Abadi" w:hAnsi="Abadi" w:cs="Arial"/>
          <w:color w:val="000000"/>
          <w:sz w:val="21"/>
          <w:szCs w:val="21"/>
        </w:rPr>
        <w:t>, para ser sometido a la honorable consideración de</w:t>
      </w:r>
      <w:r>
        <w:rPr>
          <w:rFonts w:ascii="Abadi" w:hAnsi="Abadi" w:cs="Arial"/>
          <w:color w:val="000000"/>
          <w:sz w:val="21"/>
          <w:szCs w:val="21"/>
        </w:rPr>
        <w:t xml:space="preserve"> </w:t>
      </w:r>
      <w:r w:rsidRPr="005406FD">
        <w:rPr>
          <w:rFonts w:ascii="Abadi" w:hAnsi="Abadi" w:cs="Arial"/>
          <w:color w:val="000000"/>
          <w:sz w:val="21"/>
          <w:szCs w:val="21"/>
        </w:rPr>
        <w:t>esta asamblea.</w:t>
      </w:r>
    </w:p>
    <w:p w14:paraId="1BA85E4D" w14:textId="77777777" w:rsidR="00BC2F10" w:rsidRPr="005406FD" w:rsidRDefault="00BC2F10" w:rsidP="00BC2F10">
      <w:pPr>
        <w:autoSpaceDE w:val="0"/>
        <w:autoSpaceDN w:val="0"/>
        <w:adjustRightInd w:val="0"/>
        <w:jc w:val="both"/>
        <w:rPr>
          <w:rFonts w:ascii="Abadi" w:hAnsi="Abadi" w:cs="Arial"/>
          <w:color w:val="000000"/>
          <w:sz w:val="21"/>
          <w:szCs w:val="21"/>
        </w:rPr>
      </w:pPr>
    </w:p>
    <w:p w14:paraId="25368385" w14:textId="72DB1421" w:rsidR="00BC2F10" w:rsidRPr="005406FD"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Lo anterior con fundamento en los artículos 57 de la Constitución Política para el</w:t>
      </w:r>
      <w:r>
        <w:rPr>
          <w:rFonts w:ascii="Abadi" w:hAnsi="Abadi" w:cs="Arial"/>
          <w:color w:val="000000"/>
          <w:sz w:val="21"/>
          <w:szCs w:val="21"/>
        </w:rPr>
        <w:t xml:space="preserve"> </w:t>
      </w:r>
      <w:r w:rsidRPr="005406FD">
        <w:rPr>
          <w:rFonts w:ascii="Abadi" w:hAnsi="Abadi" w:cs="Arial"/>
          <w:color w:val="000000"/>
          <w:sz w:val="21"/>
          <w:szCs w:val="21"/>
        </w:rPr>
        <w:t>Estado de Guanajuato y 204, fracción III de la Ley Orgánica del Poder Legislativo,</w:t>
      </w:r>
      <w:r>
        <w:rPr>
          <w:rFonts w:ascii="Abadi" w:hAnsi="Abadi" w:cs="Arial"/>
          <w:color w:val="000000"/>
          <w:sz w:val="21"/>
          <w:szCs w:val="21"/>
        </w:rPr>
        <w:t xml:space="preserve"> </w:t>
      </w:r>
      <w:r w:rsidRPr="005406FD">
        <w:rPr>
          <w:rFonts w:ascii="Abadi" w:hAnsi="Abadi" w:cs="Arial"/>
          <w:color w:val="000000"/>
          <w:sz w:val="21"/>
          <w:szCs w:val="21"/>
        </w:rPr>
        <w:t>así como en la siguiente</w:t>
      </w:r>
      <w:r w:rsidR="000A60B3">
        <w:rPr>
          <w:rFonts w:ascii="Abadi" w:hAnsi="Abadi" w:cs="Arial"/>
          <w:color w:val="000000"/>
          <w:sz w:val="21"/>
          <w:szCs w:val="21"/>
        </w:rPr>
        <w:t>:</w:t>
      </w:r>
    </w:p>
    <w:p w14:paraId="37604D19" w14:textId="77777777" w:rsidR="00BC2F10" w:rsidRPr="005406FD" w:rsidRDefault="00BC2F10" w:rsidP="00BC2F10">
      <w:pPr>
        <w:autoSpaceDE w:val="0"/>
        <w:autoSpaceDN w:val="0"/>
        <w:adjustRightInd w:val="0"/>
        <w:jc w:val="both"/>
        <w:rPr>
          <w:rFonts w:ascii="Abadi" w:hAnsi="Abadi" w:cs="Arial"/>
          <w:b/>
          <w:bCs/>
          <w:color w:val="000000"/>
          <w:sz w:val="21"/>
          <w:szCs w:val="21"/>
        </w:rPr>
      </w:pPr>
    </w:p>
    <w:p w14:paraId="047A9260" w14:textId="77777777" w:rsidR="00BC2F10" w:rsidRDefault="00BC2F10" w:rsidP="00BC2F10">
      <w:pPr>
        <w:autoSpaceDE w:val="0"/>
        <w:autoSpaceDN w:val="0"/>
        <w:adjustRightInd w:val="0"/>
        <w:jc w:val="center"/>
        <w:rPr>
          <w:rFonts w:ascii="Abadi" w:hAnsi="Abadi" w:cs="Arial"/>
          <w:b/>
          <w:bCs/>
          <w:color w:val="000000"/>
          <w:sz w:val="21"/>
          <w:szCs w:val="21"/>
        </w:rPr>
      </w:pPr>
      <w:r w:rsidRPr="005406FD">
        <w:rPr>
          <w:rFonts w:ascii="Abadi" w:hAnsi="Abadi" w:cs="Arial"/>
          <w:b/>
          <w:bCs/>
          <w:color w:val="000000"/>
          <w:sz w:val="21"/>
          <w:szCs w:val="21"/>
        </w:rPr>
        <w:t>EXPOSICIÓN DE MOTIVOS</w:t>
      </w:r>
    </w:p>
    <w:p w14:paraId="6D4E1BA1" w14:textId="77777777" w:rsidR="00BC2F10" w:rsidRPr="005406FD" w:rsidRDefault="00BC2F10" w:rsidP="00BC2F10">
      <w:pPr>
        <w:autoSpaceDE w:val="0"/>
        <w:autoSpaceDN w:val="0"/>
        <w:adjustRightInd w:val="0"/>
        <w:jc w:val="both"/>
        <w:rPr>
          <w:rFonts w:ascii="Abadi" w:hAnsi="Abadi" w:cs="Arial"/>
          <w:b/>
          <w:bCs/>
          <w:color w:val="000000"/>
          <w:sz w:val="21"/>
          <w:szCs w:val="21"/>
        </w:rPr>
      </w:pPr>
    </w:p>
    <w:p w14:paraId="6886D683" w14:textId="77777777" w:rsidR="00BC2F10" w:rsidRPr="005406FD"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En Guanajuato se vive una crisis de violencia y delincuencia que todos y todas las</w:t>
      </w:r>
      <w:r>
        <w:rPr>
          <w:rFonts w:ascii="Abadi" w:hAnsi="Abadi" w:cs="Arial"/>
          <w:color w:val="000000"/>
          <w:sz w:val="21"/>
          <w:szCs w:val="21"/>
        </w:rPr>
        <w:t xml:space="preserve"> </w:t>
      </w:r>
      <w:r w:rsidRPr="005406FD">
        <w:rPr>
          <w:rFonts w:ascii="Abadi" w:hAnsi="Abadi" w:cs="Arial"/>
          <w:color w:val="000000"/>
          <w:sz w:val="21"/>
          <w:szCs w:val="21"/>
        </w:rPr>
        <w:t>ciudadanas hemos visto y padecido. Al igual que en muchas entidades, esa crisis</w:t>
      </w:r>
      <w:r>
        <w:rPr>
          <w:rFonts w:ascii="Abadi" w:hAnsi="Abadi" w:cs="Arial"/>
          <w:color w:val="000000"/>
          <w:sz w:val="21"/>
          <w:szCs w:val="21"/>
        </w:rPr>
        <w:t xml:space="preserve"> </w:t>
      </w:r>
      <w:r w:rsidRPr="005406FD">
        <w:rPr>
          <w:rFonts w:ascii="Abadi" w:hAnsi="Abadi" w:cs="Arial"/>
          <w:color w:val="000000"/>
          <w:sz w:val="21"/>
          <w:szCs w:val="21"/>
        </w:rPr>
        <w:t>nació y se afianzó con la política de seguridad pública del gobierno de Felipe</w:t>
      </w:r>
      <w:r>
        <w:rPr>
          <w:rFonts w:ascii="Abadi" w:hAnsi="Abadi" w:cs="Arial"/>
          <w:color w:val="000000"/>
          <w:sz w:val="21"/>
          <w:szCs w:val="21"/>
        </w:rPr>
        <w:t xml:space="preserve"> </w:t>
      </w:r>
      <w:r w:rsidRPr="005406FD">
        <w:rPr>
          <w:rFonts w:ascii="Abadi" w:hAnsi="Abadi" w:cs="Arial"/>
          <w:color w:val="000000"/>
          <w:sz w:val="21"/>
          <w:szCs w:val="21"/>
        </w:rPr>
        <w:t>Calderón.</w:t>
      </w:r>
    </w:p>
    <w:p w14:paraId="17E05681" w14:textId="77777777" w:rsidR="00BC2F10" w:rsidRPr="005406FD" w:rsidRDefault="00BC2F10" w:rsidP="00BC2F10">
      <w:pPr>
        <w:autoSpaceDE w:val="0"/>
        <w:autoSpaceDN w:val="0"/>
        <w:adjustRightInd w:val="0"/>
        <w:jc w:val="both"/>
        <w:rPr>
          <w:rFonts w:ascii="Abadi" w:hAnsi="Abadi" w:cs="Arial"/>
          <w:color w:val="000000"/>
          <w:sz w:val="21"/>
          <w:szCs w:val="21"/>
        </w:rPr>
      </w:pPr>
    </w:p>
    <w:p w14:paraId="14635075"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MT"/>
          <w:color w:val="000000"/>
          <w:sz w:val="21"/>
          <w:szCs w:val="21"/>
        </w:rPr>
        <w:t>Esa política de seguridad pública, que pretendió “hacerle la guerra al narcotráfico”,</w:t>
      </w:r>
      <w:r>
        <w:rPr>
          <w:rFonts w:ascii="Abadi" w:hAnsi="Abadi" w:cs="ArialMT"/>
          <w:color w:val="000000"/>
          <w:sz w:val="21"/>
          <w:szCs w:val="21"/>
        </w:rPr>
        <w:t xml:space="preserve"> </w:t>
      </w:r>
      <w:r w:rsidRPr="005406FD">
        <w:rPr>
          <w:rFonts w:ascii="Abadi" w:hAnsi="Abadi" w:cs="Arial"/>
          <w:color w:val="000000"/>
          <w:sz w:val="21"/>
          <w:szCs w:val="21"/>
        </w:rPr>
        <w:t>solo sirvió para generar violencia y redes delincuenciales que se asentaron de</w:t>
      </w:r>
      <w:r>
        <w:rPr>
          <w:rFonts w:ascii="Abadi" w:hAnsi="Abadi" w:cs="Arial"/>
          <w:color w:val="000000"/>
          <w:sz w:val="21"/>
          <w:szCs w:val="21"/>
        </w:rPr>
        <w:t xml:space="preserve"> </w:t>
      </w:r>
      <w:r w:rsidRPr="005406FD">
        <w:rPr>
          <w:rFonts w:ascii="Abadi" w:hAnsi="Abadi" w:cs="Arial"/>
          <w:color w:val="000000"/>
          <w:sz w:val="21"/>
          <w:szCs w:val="21"/>
        </w:rPr>
        <w:t>manera estable en entidades como Guanajuato.</w:t>
      </w:r>
    </w:p>
    <w:p w14:paraId="411257D2" w14:textId="77777777" w:rsidR="00BC2F10" w:rsidRPr="005406FD" w:rsidRDefault="00BC2F10" w:rsidP="00BC2F10">
      <w:pPr>
        <w:autoSpaceDE w:val="0"/>
        <w:autoSpaceDN w:val="0"/>
        <w:adjustRightInd w:val="0"/>
        <w:jc w:val="both"/>
        <w:rPr>
          <w:rFonts w:ascii="Abadi" w:hAnsi="Abadi" w:cs="Arial"/>
          <w:color w:val="000000"/>
          <w:sz w:val="21"/>
          <w:szCs w:val="21"/>
        </w:rPr>
      </w:pPr>
    </w:p>
    <w:p w14:paraId="77BFD96B"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Los datos duros no mienten. Al comenzar el gobierno de Calderón, nuestra entidad registró 219 defunciones por homicidio anuales, aproximadamente 0.4 homicidios por cada 10,000 habitantes (INEGI).</w:t>
      </w:r>
    </w:p>
    <w:p w14:paraId="1604DEAD" w14:textId="77777777" w:rsidR="00BC2F10" w:rsidRPr="005406FD" w:rsidRDefault="00BC2F10" w:rsidP="00BC2F10">
      <w:pPr>
        <w:autoSpaceDE w:val="0"/>
        <w:autoSpaceDN w:val="0"/>
        <w:adjustRightInd w:val="0"/>
        <w:jc w:val="both"/>
        <w:rPr>
          <w:rFonts w:ascii="Abadi" w:hAnsi="Abadi" w:cs="Arial"/>
          <w:color w:val="000000"/>
          <w:sz w:val="21"/>
          <w:szCs w:val="21"/>
        </w:rPr>
      </w:pPr>
    </w:p>
    <w:p w14:paraId="38FE1FCA" w14:textId="0FC4DEA5" w:rsidR="00BC2F10" w:rsidRDefault="00BC2F10" w:rsidP="00BC2F10">
      <w:pPr>
        <w:autoSpaceDE w:val="0"/>
        <w:autoSpaceDN w:val="0"/>
        <w:adjustRightInd w:val="0"/>
        <w:jc w:val="both"/>
        <w:rPr>
          <w:rFonts w:ascii="Abadi" w:hAnsi="Abadi" w:cs="Arial"/>
          <w:color w:val="000000"/>
          <w:sz w:val="21"/>
          <w:szCs w:val="21"/>
        </w:rPr>
      </w:pPr>
      <w:r>
        <w:rPr>
          <w:rFonts w:ascii="Abadi" w:hAnsi="Abadi" w:cs="Calibri"/>
          <w:color w:val="000000"/>
          <w:sz w:val="21"/>
          <w:szCs w:val="21"/>
        </w:rPr>
        <w:t xml:space="preserve"> </w:t>
      </w:r>
      <w:r w:rsidRPr="005406FD">
        <w:rPr>
          <w:rFonts w:ascii="Abadi" w:hAnsi="Abadi" w:cs="Arial"/>
          <w:color w:val="000000"/>
          <w:sz w:val="21"/>
          <w:szCs w:val="21"/>
        </w:rPr>
        <w:t>Para el año 2010, ya se registraban 446 defunciones por homicidios, lo que se</w:t>
      </w:r>
      <w:r>
        <w:rPr>
          <w:rFonts w:ascii="Abadi" w:hAnsi="Abadi" w:cs="Arial"/>
          <w:color w:val="000000"/>
          <w:sz w:val="21"/>
          <w:szCs w:val="21"/>
        </w:rPr>
        <w:t xml:space="preserve"> </w:t>
      </w:r>
      <w:r w:rsidRPr="005406FD">
        <w:rPr>
          <w:rFonts w:ascii="Abadi" w:hAnsi="Abadi" w:cs="Arial"/>
          <w:color w:val="000000"/>
          <w:sz w:val="21"/>
          <w:szCs w:val="21"/>
        </w:rPr>
        <w:t>traducía en 0.8 homicidios por cada 10,000 habitantes, es decir, se duplicaron los</w:t>
      </w:r>
      <w:r>
        <w:rPr>
          <w:rFonts w:ascii="Abadi" w:hAnsi="Abadi" w:cs="Arial"/>
          <w:color w:val="000000"/>
          <w:sz w:val="21"/>
          <w:szCs w:val="21"/>
        </w:rPr>
        <w:t xml:space="preserve"> </w:t>
      </w:r>
      <w:r w:rsidRPr="005406FD">
        <w:rPr>
          <w:rFonts w:ascii="Abadi" w:hAnsi="Abadi" w:cs="Arial"/>
          <w:color w:val="000000"/>
          <w:sz w:val="21"/>
          <w:szCs w:val="21"/>
        </w:rPr>
        <w:t>homicidios en tan solo 3 años (INEGI). A partir de ahí, la situación de nuestro estado</w:t>
      </w:r>
      <w:r>
        <w:rPr>
          <w:rFonts w:ascii="Abadi" w:hAnsi="Abadi" w:cs="Arial"/>
          <w:color w:val="000000"/>
          <w:sz w:val="21"/>
          <w:szCs w:val="21"/>
        </w:rPr>
        <w:t xml:space="preserve"> </w:t>
      </w:r>
      <w:r w:rsidRPr="005406FD">
        <w:rPr>
          <w:rFonts w:ascii="Abadi" w:hAnsi="Abadi" w:cs="Arial"/>
          <w:color w:val="000000"/>
          <w:sz w:val="21"/>
          <w:szCs w:val="21"/>
        </w:rPr>
        <w:t>empeoró cada día más, sin que ninguno de los gobiernos estatales fuera capaz de</w:t>
      </w:r>
      <w:r>
        <w:rPr>
          <w:rFonts w:ascii="Abadi" w:hAnsi="Abadi" w:cs="Arial"/>
          <w:color w:val="000000"/>
          <w:sz w:val="21"/>
          <w:szCs w:val="21"/>
        </w:rPr>
        <w:t xml:space="preserve"> </w:t>
      </w:r>
      <w:r w:rsidRPr="005406FD">
        <w:rPr>
          <w:rFonts w:ascii="Abadi" w:hAnsi="Abadi" w:cs="Arial"/>
          <w:color w:val="000000"/>
          <w:sz w:val="21"/>
          <w:szCs w:val="21"/>
        </w:rPr>
        <w:t>ponerle un alto a la violencia y a la delincuencia.</w:t>
      </w:r>
    </w:p>
    <w:p w14:paraId="0816557D" w14:textId="77777777" w:rsidR="00BC2F10" w:rsidRPr="005406FD" w:rsidRDefault="00BC2F10" w:rsidP="00BC2F10">
      <w:pPr>
        <w:autoSpaceDE w:val="0"/>
        <w:autoSpaceDN w:val="0"/>
        <w:adjustRightInd w:val="0"/>
        <w:jc w:val="both"/>
        <w:rPr>
          <w:rFonts w:ascii="Abadi" w:hAnsi="Abadi" w:cs="Arial"/>
          <w:color w:val="000000"/>
          <w:sz w:val="21"/>
          <w:szCs w:val="21"/>
        </w:rPr>
      </w:pPr>
    </w:p>
    <w:p w14:paraId="5BDA4C5D"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Pese a que la estrategia de seguridad pública de la Cuarta Transformación ha</w:t>
      </w:r>
      <w:r>
        <w:rPr>
          <w:rFonts w:ascii="Abadi" w:hAnsi="Abadi" w:cs="Arial"/>
          <w:color w:val="000000"/>
          <w:sz w:val="21"/>
          <w:szCs w:val="21"/>
        </w:rPr>
        <w:t xml:space="preserve"> </w:t>
      </w:r>
      <w:r w:rsidRPr="005406FD">
        <w:rPr>
          <w:rFonts w:ascii="Abadi" w:hAnsi="Abadi" w:cs="Arial"/>
          <w:color w:val="000000"/>
          <w:sz w:val="21"/>
          <w:szCs w:val="21"/>
        </w:rPr>
        <w:t>logrado detener la escalada de violencia en muchos lugares, en Guanajuato la</w:t>
      </w:r>
      <w:r>
        <w:rPr>
          <w:rFonts w:ascii="Abadi" w:hAnsi="Abadi" w:cs="Arial"/>
          <w:color w:val="000000"/>
          <w:sz w:val="21"/>
          <w:szCs w:val="21"/>
        </w:rPr>
        <w:t xml:space="preserve"> </w:t>
      </w:r>
      <w:r w:rsidRPr="005406FD">
        <w:rPr>
          <w:rFonts w:ascii="Abadi" w:hAnsi="Abadi" w:cs="Arial"/>
          <w:color w:val="000000"/>
          <w:sz w:val="21"/>
          <w:szCs w:val="21"/>
        </w:rPr>
        <w:t>situación se ha vuelto insostenible. El ejemplo es 2020, cuando el estado registró</w:t>
      </w:r>
      <w:r>
        <w:rPr>
          <w:rFonts w:ascii="Abadi" w:hAnsi="Abadi" w:cs="Arial"/>
          <w:color w:val="000000"/>
          <w:sz w:val="21"/>
          <w:szCs w:val="21"/>
        </w:rPr>
        <w:t xml:space="preserve"> </w:t>
      </w:r>
      <w:r w:rsidRPr="005406FD">
        <w:rPr>
          <w:rFonts w:ascii="Abadi" w:hAnsi="Abadi" w:cs="Arial"/>
          <w:color w:val="000000"/>
          <w:sz w:val="21"/>
          <w:szCs w:val="21"/>
        </w:rPr>
        <w:t>5,083 defunciones por homicidios, o lo que es lo mismo, 8.2 homicidios por cada</w:t>
      </w:r>
      <w:r>
        <w:rPr>
          <w:rFonts w:ascii="Abadi" w:hAnsi="Abadi" w:cs="Arial"/>
          <w:color w:val="000000"/>
          <w:sz w:val="21"/>
          <w:szCs w:val="21"/>
        </w:rPr>
        <w:t xml:space="preserve"> </w:t>
      </w:r>
      <w:r w:rsidRPr="005406FD">
        <w:rPr>
          <w:rFonts w:ascii="Abadi" w:hAnsi="Abadi" w:cs="Arial"/>
          <w:color w:val="000000"/>
          <w:sz w:val="21"/>
          <w:szCs w:val="21"/>
        </w:rPr>
        <w:t>10,000 habitantes (INEGI).</w:t>
      </w:r>
    </w:p>
    <w:p w14:paraId="60B06F37" w14:textId="77777777" w:rsidR="00BC2F10" w:rsidRPr="005406FD" w:rsidRDefault="00BC2F10" w:rsidP="00BC2F10">
      <w:pPr>
        <w:autoSpaceDE w:val="0"/>
        <w:autoSpaceDN w:val="0"/>
        <w:adjustRightInd w:val="0"/>
        <w:jc w:val="both"/>
        <w:rPr>
          <w:rFonts w:ascii="Abadi" w:hAnsi="Abadi" w:cs="Arial"/>
          <w:color w:val="000000"/>
          <w:sz w:val="21"/>
          <w:szCs w:val="21"/>
        </w:rPr>
      </w:pPr>
    </w:p>
    <w:p w14:paraId="6BA76C3E"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Esta violencia daña con mayor profundidad a las mujeres. Tan sólo volteemos a ver</w:t>
      </w:r>
      <w:r>
        <w:rPr>
          <w:rFonts w:ascii="Abadi" w:hAnsi="Abadi" w:cs="Arial"/>
          <w:color w:val="000000"/>
          <w:sz w:val="21"/>
          <w:szCs w:val="21"/>
        </w:rPr>
        <w:t xml:space="preserve"> </w:t>
      </w:r>
      <w:r w:rsidRPr="005406FD">
        <w:rPr>
          <w:rFonts w:ascii="Abadi" w:hAnsi="Abadi" w:cs="Arial"/>
          <w:color w:val="000000"/>
          <w:sz w:val="21"/>
          <w:szCs w:val="21"/>
        </w:rPr>
        <w:t>los 721 homicidios de mujeres que registró Guanajuato durante 2021 (SESNSP):</w:t>
      </w:r>
      <w:r>
        <w:rPr>
          <w:rFonts w:ascii="Abadi" w:hAnsi="Abadi" w:cs="Arial"/>
          <w:color w:val="000000"/>
          <w:sz w:val="21"/>
          <w:szCs w:val="21"/>
        </w:rPr>
        <w:t xml:space="preserve"> </w:t>
      </w:r>
      <w:r w:rsidRPr="005406FD">
        <w:rPr>
          <w:rFonts w:ascii="Abadi" w:hAnsi="Abadi" w:cs="Arial"/>
          <w:color w:val="000000"/>
          <w:sz w:val="21"/>
          <w:szCs w:val="21"/>
        </w:rPr>
        <w:t>1.1 homicidios de mujeres por cada 10,000 habitantes, casi 2 mujeres asesinadas</w:t>
      </w:r>
      <w:r>
        <w:rPr>
          <w:rFonts w:ascii="Abadi" w:hAnsi="Abadi" w:cs="Arial"/>
          <w:color w:val="000000"/>
          <w:sz w:val="21"/>
          <w:szCs w:val="21"/>
        </w:rPr>
        <w:t xml:space="preserve"> </w:t>
      </w:r>
      <w:r w:rsidRPr="005406FD">
        <w:rPr>
          <w:rFonts w:ascii="Abadi" w:hAnsi="Abadi" w:cs="Arial"/>
          <w:color w:val="000000"/>
          <w:sz w:val="21"/>
          <w:szCs w:val="21"/>
        </w:rPr>
        <w:t>por día (1.9). Esto sin contar los problemas de acoso, violaciones, desapariciones y</w:t>
      </w:r>
      <w:r>
        <w:rPr>
          <w:rFonts w:ascii="Abadi" w:hAnsi="Abadi" w:cs="Arial"/>
          <w:color w:val="000000"/>
          <w:sz w:val="21"/>
          <w:szCs w:val="21"/>
        </w:rPr>
        <w:t xml:space="preserve"> </w:t>
      </w:r>
      <w:r w:rsidRPr="005406FD">
        <w:rPr>
          <w:rFonts w:ascii="Abadi" w:hAnsi="Abadi" w:cs="Arial"/>
          <w:color w:val="000000"/>
          <w:sz w:val="21"/>
          <w:szCs w:val="21"/>
        </w:rPr>
        <w:t>demás expresiones de violencia contra las mujeres.</w:t>
      </w:r>
    </w:p>
    <w:p w14:paraId="10F06982" w14:textId="77777777" w:rsidR="00BC2F10" w:rsidRPr="005406FD" w:rsidRDefault="00BC2F10" w:rsidP="00BC2F10">
      <w:pPr>
        <w:autoSpaceDE w:val="0"/>
        <w:autoSpaceDN w:val="0"/>
        <w:adjustRightInd w:val="0"/>
        <w:jc w:val="both"/>
        <w:rPr>
          <w:rFonts w:ascii="Abadi" w:hAnsi="Abadi" w:cs="Arial"/>
          <w:color w:val="000000"/>
          <w:sz w:val="21"/>
          <w:szCs w:val="21"/>
        </w:rPr>
      </w:pPr>
    </w:p>
    <w:p w14:paraId="720C51C0"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Ante esto, la ciudadanía de Guanajuato ha denunciado una y otra vez la ineficacia</w:t>
      </w:r>
      <w:r>
        <w:rPr>
          <w:rFonts w:ascii="Abadi" w:hAnsi="Abadi" w:cs="Arial"/>
          <w:color w:val="000000"/>
          <w:sz w:val="21"/>
          <w:szCs w:val="21"/>
        </w:rPr>
        <w:t xml:space="preserve"> </w:t>
      </w:r>
      <w:r w:rsidRPr="005406FD">
        <w:rPr>
          <w:rFonts w:ascii="Abadi" w:hAnsi="Abadi" w:cs="Arial"/>
          <w:color w:val="000000"/>
          <w:sz w:val="21"/>
          <w:szCs w:val="21"/>
        </w:rPr>
        <w:t>del gobierno estatal para atender la crisis de violencia y delincuencia. Y es que la</w:t>
      </w:r>
      <w:r>
        <w:rPr>
          <w:rFonts w:ascii="Abadi" w:hAnsi="Abadi" w:cs="Arial"/>
          <w:color w:val="000000"/>
          <w:sz w:val="21"/>
          <w:szCs w:val="21"/>
        </w:rPr>
        <w:t xml:space="preserve"> </w:t>
      </w:r>
      <w:r w:rsidRPr="005406FD">
        <w:rPr>
          <w:rFonts w:ascii="Abadi" w:hAnsi="Abadi" w:cs="Arial"/>
          <w:color w:val="000000"/>
          <w:sz w:val="21"/>
          <w:szCs w:val="21"/>
        </w:rPr>
        <w:t>situación se vuelve más grave cuando se trata de garantizar los derechos de las</w:t>
      </w:r>
      <w:r>
        <w:rPr>
          <w:rFonts w:ascii="Abadi" w:hAnsi="Abadi" w:cs="Arial"/>
          <w:color w:val="000000"/>
          <w:sz w:val="21"/>
          <w:szCs w:val="21"/>
        </w:rPr>
        <w:t xml:space="preserve"> </w:t>
      </w:r>
      <w:r w:rsidRPr="005406FD">
        <w:rPr>
          <w:rFonts w:ascii="Abadi" w:hAnsi="Abadi" w:cs="Arial"/>
          <w:color w:val="000000"/>
          <w:sz w:val="21"/>
          <w:szCs w:val="21"/>
        </w:rPr>
        <w:t>mujeres guanajuatenses.</w:t>
      </w:r>
    </w:p>
    <w:p w14:paraId="5DA9356C" w14:textId="77777777" w:rsidR="00BC2F10" w:rsidRPr="005406FD" w:rsidRDefault="00BC2F10" w:rsidP="00BC2F10">
      <w:pPr>
        <w:autoSpaceDE w:val="0"/>
        <w:autoSpaceDN w:val="0"/>
        <w:adjustRightInd w:val="0"/>
        <w:jc w:val="both"/>
        <w:rPr>
          <w:rFonts w:ascii="Abadi" w:hAnsi="Abadi" w:cs="Arial"/>
          <w:color w:val="000000"/>
          <w:sz w:val="21"/>
          <w:szCs w:val="21"/>
        </w:rPr>
      </w:pPr>
    </w:p>
    <w:p w14:paraId="3F73680C" w14:textId="77777777" w:rsidR="00BC2F10" w:rsidRDefault="00BC2F10" w:rsidP="00BC2F10">
      <w:pPr>
        <w:autoSpaceDE w:val="0"/>
        <w:autoSpaceDN w:val="0"/>
        <w:adjustRightInd w:val="0"/>
        <w:jc w:val="both"/>
        <w:rPr>
          <w:rFonts w:ascii="Abadi" w:hAnsi="Abadi" w:cs="ArialMT"/>
          <w:color w:val="000000"/>
          <w:sz w:val="21"/>
          <w:szCs w:val="21"/>
        </w:rPr>
      </w:pPr>
      <w:r w:rsidRPr="005406FD">
        <w:rPr>
          <w:rFonts w:ascii="Abadi" w:hAnsi="Abadi" w:cs="Arial"/>
          <w:color w:val="000000"/>
          <w:sz w:val="21"/>
          <w:szCs w:val="21"/>
        </w:rPr>
        <w:t>A pesar de que este contexto de violencia y delincuencia fue causado por las</w:t>
      </w:r>
      <w:r>
        <w:rPr>
          <w:rFonts w:ascii="Abadi" w:hAnsi="Abadi" w:cs="Arial"/>
          <w:color w:val="000000"/>
          <w:sz w:val="21"/>
          <w:szCs w:val="21"/>
        </w:rPr>
        <w:t xml:space="preserve"> </w:t>
      </w:r>
      <w:r w:rsidRPr="005406FD">
        <w:rPr>
          <w:rFonts w:ascii="Abadi" w:hAnsi="Abadi" w:cs="Arial"/>
          <w:color w:val="000000"/>
          <w:sz w:val="21"/>
          <w:szCs w:val="21"/>
        </w:rPr>
        <w:t>políticas de seguridad del PAN, y se desarrolla en un estado gobernado por el propio</w:t>
      </w:r>
      <w:r>
        <w:rPr>
          <w:rFonts w:ascii="Abadi" w:hAnsi="Abadi" w:cs="Arial"/>
          <w:color w:val="000000"/>
          <w:sz w:val="21"/>
          <w:szCs w:val="21"/>
        </w:rPr>
        <w:t xml:space="preserve"> </w:t>
      </w:r>
      <w:r w:rsidRPr="005406FD">
        <w:rPr>
          <w:rFonts w:ascii="Abadi" w:hAnsi="Abadi" w:cs="Arial"/>
          <w:color w:val="000000"/>
          <w:sz w:val="21"/>
          <w:szCs w:val="21"/>
        </w:rPr>
        <w:t>PAN, los líderes y cabecillas nacionales de ese partido han usado todas las</w:t>
      </w:r>
      <w:r>
        <w:rPr>
          <w:rFonts w:ascii="Abadi" w:hAnsi="Abadi" w:cs="Arial"/>
          <w:color w:val="000000"/>
          <w:sz w:val="21"/>
          <w:szCs w:val="21"/>
        </w:rPr>
        <w:t xml:space="preserve"> </w:t>
      </w:r>
      <w:r w:rsidRPr="005406FD">
        <w:rPr>
          <w:rFonts w:ascii="Abadi" w:hAnsi="Abadi" w:cs="ArialMT"/>
          <w:color w:val="000000"/>
          <w:sz w:val="21"/>
          <w:szCs w:val="21"/>
        </w:rPr>
        <w:t>oportunidades posibles para decir que “el PAN sí pod</w:t>
      </w:r>
      <w:r w:rsidRPr="005406FD">
        <w:rPr>
          <w:rFonts w:ascii="Abadi" w:hAnsi="Abadi" w:cs="Arial"/>
          <w:color w:val="000000"/>
          <w:sz w:val="21"/>
          <w:szCs w:val="21"/>
        </w:rPr>
        <w:t>ría construir la paz que merece</w:t>
      </w:r>
      <w:r>
        <w:rPr>
          <w:rFonts w:ascii="Abadi" w:hAnsi="Abadi" w:cs="Arial"/>
          <w:color w:val="000000"/>
          <w:sz w:val="21"/>
          <w:szCs w:val="21"/>
        </w:rPr>
        <w:t xml:space="preserve"> </w:t>
      </w:r>
      <w:r w:rsidRPr="005406FD">
        <w:rPr>
          <w:rFonts w:ascii="Abadi" w:hAnsi="Abadi" w:cs="ArialMT"/>
          <w:color w:val="000000"/>
          <w:sz w:val="21"/>
          <w:szCs w:val="21"/>
        </w:rPr>
        <w:t>México”.</w:t>
      </w:r>
    </w:p>
    <w:p w14:paraId="496B58D8" w14:textId="77777777" w:rsidR="00BC2F10" w:rsidRPr="005406FD" w:rsidRDefault="00BC2F10" w:rsidP="00BC2F10">
      <w:pPr>
        <w:autoSpaceDE w:val="0"/>
        <w:autoSpaceDN w:val="0"/>
        <w:adjustRightInd w:val="0"/>
        <w:jc w:val="both"/>
        <w:rPr>
          <w:rFonts w:ascii="Abadi" w:hAnsi="Abadi" w:cs="ArialMT"/>
          <w:color w:val="000000"/>
          <w:sz w:val="21"/>
          <w:szCs w:val="21"/>
        </w:rPr>
      </w:pPr>
    </w:p>
    <w:p w14:paraId="363C310F" w14:textId="77777777" w:rsidR="00BC2F10" w:rsidRPr="005406FD"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Lo anterior, sin importarles colgarse y usar los reclamos legítimos de la sociedad</w:t>
      </w:r>
      <w:r>
        <w:rPr>
          <w:rFonts w:ascii="Abadi" w:hAnsi="Abadi" w:cs="Arial"/>
          <w:color w:val="000000"/>
          <w:sz w:val="21"/>
          <w:szCs w:val="21"/>
        </w:rPr>
        <w:t xml:space="preserve"> </w:t>
      </w:r>
      <w:r w:rsidRPr="005406FD">
        <w:rPr>
          <w:rFonts w:ascii="Abadi" w:hAnsi="Abadi" w:cs="Arial"/>
          <w:color w:val="000000"/>
          <w:sz w:val="21"/>
          <w:szCs w:val="21"/>
        </w:rPr>
        <w:t>por los derechos de las mujeres y de las víctimas, así como por las válidas</w:t>
      </w:r>
    </w:p>
    <w:p w14:paraId="3E32D714" w14:textId="77777777" w:rsidR="00BC2F10" w:rsidRPr="005406FD"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exigencias sociales de que no quede impune ninguna violación a los Derechos</w:t>
      </w:r>
      <w:r>
        <w:rPr>
          <w:rFonts w:ascii="Abadi" w:hAnsi="Abadi" w:cs="Arial"/>
          <w:color w:val="000000"/>
          <w:sz w:val="21"/>
          <w:szCs w:val="21"/>
        </w:rPr>
        <w:t xml:space="preserve"> </w:t>
      </w:r>
      <w:r w:rsidRPr="005406FD">
        <w:rPr>
          <w:rFonts w:ascii="Abadi" w:hAnsi="Abadi" w:cs="Arial"/>
          <w:color w:val="000000"/>
          <w:sz w:val="21"/>
          <w:szCs w:val="21"/>
        </w:rPr>
        <w:t>Humanos.</w:t>
      </w:r>
      <w:r>
        <w:rPr>
          <w:rFonts w:ascii="Abadi" w:hAnsi="Abadi" w:cs="Arial"/>
          <w:color w:val="000000"/>
          <w:sz w:val="21"/>
          <w:szCs w:val="21"/>
        </w:rPr>
        <w:t xml:space="preserve"> </w:t>
      </w:r>
      <w:r w:rsidRPr="005406FD">
        <w:rPr>
          <w:rFonts w:ascii="Abadi" w:hAnsi="Abadi" w:cs="Arial"/>
          <w:color w:val="000000"/>
          <w:sz w:val="21"/>
          <w:szCs w:val="21"/>
        </w:rPr>
        <w:t>Guanajuato merece que el partido que gobierna se tome en serio su papel en el</w:t>
      </w:r>
      <w:r>
        <w:rPr>
          <w:rFonts w:ascii="Abadi" w:hAnsi="Abadi" w:cs="Arial"/>
          <w:color w:val="000000"/>
          <w:sz w:val="21"/>
          <w:szCs w:val="21"/>
        </w:rPr>
        <w:t xml:space="preserve"> </w:t>
      </w:r>
      <w:r w:rsidRPr="005406FD">
        <w:rPr>
          <w:rFonts w:ascii="Abadi" w:hAnsi="Abadi" w:cs="Arial"/>
          <w:color w:val="000000"/>
          <w:sz w:val="21"/>
          <w:szCs w:val="21"/>
        </w:rPr>
        <w:t>combate a la violencia y la delincuencia. Hay mucho que hacer para mejorar la</w:t>
      </w:r>
      <w:r>
        <w:rPr>
          <w:rFonts w:ascii="Abadi" w:hAnsi="Abadi" w:cs="Arial"/>
          <w:color w:val="000000"/>
          <w:sz w:val="21"/>
          <w:szCs w:val="21"/>
        </w:rPr>
        <w:t xml:space="preserve"> </w:t>
      </w:r>
      <w:r w:rsidRPr="005406FD">
        <w:rPr>
          <w:rFonts w:ascii="Abadi" w:hAnsi="Abadi" w:cs="Arial"/>
          <w:color w:val="000000"/>
          <w:sz w:val="21"/>
          <w:szCs w:val="21"/>
        </w:rPr>
        <w:t>política de seguridad pública estatal, y mucho de eso se puede aprender de la</w:t>
      </w:r>
      <w:r>
        <w:rPr>
          <w:rFonts w:ascii="Abadi" w:hAnsi="Abadi" w:cs="Arial"/>
          <w:color w:val="000000"/>
          <w:sz w:val="21"/>
          <w:szCs w:val="21"/>
        </w:rPr>
        <w:t xml:space="preserve"> </w:t>
      </w:r>
      <w:r w:rsidRPr="005406FD">
        <w:rPr>
          <w:rFonts w:ascii="Abadi" w:hAnsi="Abadi" w:cs="Arial"/>
          <w:color w:val="000000"/>
          <w:sz w:val="21"/>
          <w:szCs w:val="21"/>
        </w:rPr>
        <w:t>política nacional en la materia, así como de la política de otras entidades como la</w:t>
      </w:r>
      <w:r>
        <w:rPr>
          <w:rFonts w:ascii="Abadi" w:hAnsi="Abadi" w:cs="Arial"/>
          <w:color w:val="000000"/>
          <w:sz w:val="21"/>
          <w:szCs w:val="21"/>
        </w:rPr>
        <w:t xml:space="preserve"> </w:t>
      </w:r>
      <w:r w:rsidRPr="005406FD">
        <w:rPr>
          <w:rFonts w:ascii="Abadi" w:hAnsi="Abadi" w:cs="Arial"/>
          <w:color w:val="000000"/>
          <w:sz w:val="21"/>
          <w:szCs w:val="21"/>
        </w:rPr>
        <w:t>Ciudad de México, en donde sí se ha combatido la violencia y la delincuencia a</w:t>
      </w:r>
      <w:r>
        <w:rPr>
          <w:rFonts w:ascii="Abadi" w:hAnsi="Abadi" w:cs="Arial"/>
          <w:color w:val="000000"/>
          <w:sz w:val="21"/>
          <w:szCs w:val="21"/>
        </w:rPr>
        <w:t xml:space="preserve"> </w:t>
      </w:r>
      <w:r w:rsidRPr="005406FD">
        <w:rPr>
          <w:rFonts w:ascii="Abadi" w:hAnsi="Abadi" w:cs="Arial"/>
          <w:color w:val="000000"/>
          <w:sz w:val="21"/>
          <w:szCs w:val="21"/>
        </w:rPr>
        <w:t>través de una política de seguridad pública que se ha traducido en reducciones</w:t>
      </w:r>
    </w:p>
    <w:p w14:paraId="3F71F0CF"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significativas de la incidencia delictiva.</w:t>
      </w:r>
    </w:p>
    <w:p w14:paraId="1130072D" w14:textId="77777777" w:rsidR="00BC2F10" w:rsidRPr="005406FD" w:rsidRDefault="00BC2F10" w:rsidP="00BC2F10">
      <w:pPr>
        <w:autoSpaceDE w:val="0"/>
        <w:autoSpaceDN w:val="0"/>
        <w:adjustRightInd w:val="0"/>
        <w:jc w:val="both"/>
        <w:rPr>
          <w:rFonts w:ascii="Abadi" w:hAnsi="Abadi" w:cs="Arial"/>
          <w:color w:val="000000"/>
          <w:sz w:val="21"/>
          <w:szCs w:val="21"/>
        </w:rPr>
      </w:pPr>
    </w:p>
    <w:p w14:paraId="7A8FF1E1"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A nivel nacional, se ha atendido la violencia desde sus causas, combatiendo la</w:t>
      </w:r>
      <w:r>
        <w:rPr>
          <w:rFonts w:ascii="Abadi" w:hAnsi="Abadi" w:cs="Arial"/>
          <w:color w:val="000000"/>
          <w:sz w:val="21"/>
          <w:szCs w:val="21"/>
        </w:rPr>
        <w:t xml:space="preserve"> </w:t>
      </w:r>
      <w:r w:rsidRPr="005406FD">
        <w:rPr>
          <w:rFonts w:ascii="Abadi" w:hAnsi="Abadi" w:cs="Arial"/>
          <w:color w:val="000000"/>
          <w:sz w:val="21"/>
          <w:szCs w:val="21"/>
        </w:rPr>
        <w:t>pobreza. A la par, se ha construido y fortalecido la fuerza pública a través de la</w:t>
      </w:r>
      <w:r>
        <w:rPr>
          <w:rFonts w:ascii="Abadi" w:hAnsi="Abadi" w:cs="Arial"/>
          <w:color w:val="000000"/>
          <w:sz w:val="21"/>
          <w:szCs w:val="21"/>
        </w:rPr>
        <w:t xml:space="preserve"> </w:t>
      </w:r>
      <w:r w:rsidRPr="005406FD">
        <w:rPr>
          <w:rFonts w:ascii="Abadi" w:hAnsi="Abadi" w:cs="Arial"/>
          <w:color w:val="000000"/>
          <w:sz w:val="21"/>
          <w:szCs w:val="21"/>
        </w:rPr>
        <w:t>guardia nacional. Y todo ello sin dejar de lado las estrategias focalizadas en</w:t>
      </w:r>
      <w:r>
        <w:rPr>
          <w:rFonts w:ascii="Abadi" w:hAnsi="Abadi" w:cs="Arial"/>
          <w:color w:val="000000"/>
          <w:sz w:val="21"/>
          <w:szCs w:val="21"/>
        </w:rPr>
        <w:t xml:space="preserve"> </w:t>
      </w:r>
      <w:r w:rsidRPr="005406FD">
        <w:rPr>
          <w:rFonts w:ascii="Abadi" w:hAnsi="Abadi" w:cs="Arial"/>
          <w:color w:val="000000"/>
          <w:sz w:val="21"/>
          <w:szCs w:val="21"/>
        </w:rPr>
        <w:t>entidades que presentaban situaciones más preocupantes.</w:t>
      </w:r>
    </w:p>
    <w:p w14:paraId="7F3F4F34" w14:textId="77777777" w:rsidR="00BC2F10" w:rsidRPr="005406FD" w:rsidRDefault="00BC2F10" w:rsidP="00BC2F10">
      <w:pPr>
        <w:autoSpaceDE w:val="0"/>
        <w:autoSpaceDN w:val="0"/>
        <w:adjustRightInd w:val="0"/>
        <w:jc w:val="both"/>
        <w:rPr>
          <w:rFonts w:ascii="Abadi" w:hAnsi="Abadi" w:cs="Arial"/>
          <w:color w:val="000000"/>
          <w:sz w:val="21"/>
          <w:szCs w:val="21"/>
        </w:rPr>
      </w:pPr>
    </w:p>
    <w:p w14:paraId="3ACE7181" w14:textId="581B4D03"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Como recientemente informó Rosa Icela Rodríguez Velázquez, Secretaria de</w:t>
      </w:r>
      <w:r>
        <w:rPr>
          <w:rFonts w:ascii="Abadi" w:hAnsi="Abadi" w:cs="Arial"/>
          <w:color w:val="000000"/>
          <w:sz w:val="21"/>
          <w:szCs w:val="21"/>
        </w:rPr>
        <w:t xml:space="preserve"> </w:t>
      </w:r>
      <w:r w:rsidRPr="005406FD">
        <w:rPr>
          <w:rFonts w:ascii="Abadi" w:hAnsi="Abadi" w:cs="Arial"/>
          <w:color w:val="000000"/>
          <w:sz w:val="21"/>
          <w:szCs w:val="21"/>
        </w:rPr>
        <w:t>Seguridad y Protección Ciudadana Federal, se ha logrado que la incidencia delictiva</w:t>
      </w:r>
      <w:r>
        <w:rPr>
          <w:rFonts w:ascii="Abadi" w:hAnsi="Abadi" w:cs="Calibri"/>
          <w:color w:val="000000"/>
          <w:sz w:val="21"/>
          <w:szCs w:val="21"/>
        </w:rPr>
        <w:t xml:space="preserve"> </w:t>
      </w:r>
      <w:r w:rsidRPr="005406FD">
        <w:rPr>
          <w:rFonts w:ascii="Abadi" w:hAnsi="Abadi" w:cs="Arial"/>
          <w:color w:val="000000"/>
          <w:sz w:val="21"/>
          <w:szCs w:val="21"/>
        </w:rPr>
        <w:t>en el país se reduzca en 32.2%: se pasó de 9,062 delitos del fuero federal en</w:t>
      </w:r>
      <w:r>
        <w:rPr>
          <w:rFonts w:ascii="Abadi" w:hAnsi="Abadi" w:cs="Arial"/>
          <w:color w:val="000000"/>
          <w:sz w:val="21"/>
          <w:szCs w:val="21"/>
        </w:rPr>
        <w:t xml:space="preserve"> </w:t>
      </w:r>
      <w:r w:rsidRPr="005406FD">
        <w:rPr>
          <w:rFonts w:ascii="Abadi" w:hAnsi="Abadi" w:cs="Arial"/>
          <w:color w:val="000000"/>
          <w:sz w:val="21"/>
          <w:szCs w:val="21"/>
        </w:rPr>
        <w:t>diciembre de 2018, a 6,135 en diciembre de 2021</w:t>
      </w:r>
      <w:r>
        <w:rPr>
          <w:rStyle w:val="Refdenotaalpie"/>
          <w:rFonts w:ascii="Abadi" w:hAnsi="Abadi" w:cs="Arial"/>
          <w:color w:val="000000"/>
          <w:sz w:val="21"/>
          <w:szCs w:val="21"/>
        </w:rPr>
        <w:footnoteReference w:id="25"/>
      </w:r>
      <w:r w:rsidRPr="005406FD">
        <w:rPr>
          <w:rFonts w:ascii="Abadi" w:hAnsi="Abadi" w:cs="Arial"/>
          <w:color w:val="000000"/>
          <w:sz w:val="21"/>
          <w:szCs w:val="21"/>
        </w:rPr>
        <w:t>.</w:t>
      </w:r>
    </w:p>
    <w:p w14:paraId="3F573624" w14:textId="77777777" w:rsidR="00BC2F10" w:rsidRPr="005406FD" w:rsidRDefault="00BC2F10" w:rsidP="00BC2F10">
      <w:pPr>
        <w:autoSpaceDE w:val="0"/>
        <w:autoSpaceDN w:val="0"/>
        <w:adjustRightInd w:val="0"/>
        <w:jc w:val="both"/>
        <w:rPr>
          <w:rFonts w:ascii="Abadi" w:hAnsi="Abadi" w:cs="Arial"/>
          <w:color w:val="000000"/>
          <w:sz w:val="21"/>
          <w:szCs w:val="21"/>
        </w:rPr>
      </w:pPr>
    </w:p>
    <w:p w14:paraId="1CE54632"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En lo que atañe al homicidio doloso, la Secretaria Rosa Icela informó que tenemos</w:t>
      </w:r>
      <w:r>
        <w:rPr>
          <w:rFonts w:ascii="Abadi" w:hAnsi="Abadi" w:cs="Arial"/>
          <w:color w:val="000000"/>
          <w:sz w:val="21"/>
          <w:szCs w:val="21"/>
        </w:rPr>
        <w:t xml:space="preserve"> </w:t>
      </w:r>
      <w:r w:rsidRPr="005406FD">
        <w:rPr>
          <w:rFonts w:ascii="Abadi" w:hAnsi="Abadi" w:cs="Arial"/>
          <w:color w:val="000000"/>
          <w:sz w:val="21"/>
          <w:szCs w:val="21"/>
        </w:rPr>
        <w:t>una tendencia a la baja de 4% en comparación con el inicio del gobierno de la Cuarta</w:t>
      </w:r>
      <w:r>
        <w:rPr>
          <w:rFonts w:ascii="Abadi" w:hAnsi="Abadi" w:cs="Arial"/>
          <w:color w:val="000000"/>
          <w:sz w:val="21"/>
          <w:szCs w:val="21"/>
        </w:rPr>
        <w:t xml:space="preserve"> </w:t>
      </w:r>
      <w:r w:rsidRPr="005406FD">
        <w:rPr>
          <w:rFonts w:ascii="Abadi" w:hAnsi="Abadi" w:cs="Arial"/>
          <w:color w:val="000000"/>
          <w:sz w:val="21"/>
          <w:szCs w:val="21"/>
        </w:rPr>
        <w:t>Transformación.</w:t>
      </w:r>
    </w:p>
    <w:p w14:paraId="22C2A7F5" w14:textId="77777777" w:rsidR="00BC2F10" w:rsidRPr="005406FD" w:rsidRDefault="00BC2F10" w:rsidP="00BC2F10">
      <w:pPr>
        <w:autoSpaceDE w:val="0"/>
        <w:autoSpaceDN w:val="0"/>
        <w:adjustRightInd w:val="0"/>
        <w:jc w:val="both"/>
        <w:rPr>
          <w:rFonts w:ascii="Abadi" w:hAnsi="Abadi" w:cs="Arial"/>
          <w:color w:val="000000"/>
          <w:sz w:val="21"/>
          <w:szCs w:val="21"/>
        </w:rPr>
      </w:pPr>
    </w:p>
    <w:p w14:paraId="20B239E6"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Por su parte, entidades como la Ciudad de México también han logrado atender el</w:t>
      </w:r>
      <w:r>
        <w:rPr>
          <w:rFonts w:ascii="Abadi" w:hAnsi="Abadi" w:cs="Arial"/>
          <w:color w:val="000000"/>
          <w:sz w:val="21"/>
          <w:szCs w:val="21"/>
        </w:rPr>
        <w:t xml:space="preserve"> </w:t>
      </w:r>
      <w:r w:rsidRPr="005406FD">
        <w:rPr>
          <w:rFonts w:ascii="Abadi" w:hAnsi="Abadi" w:cs="Arial"/>
          <w:color w:val="000000"/>
          <w:sz w:val="21"/>
          <w:szCs w:val="21"/>
        </w:rPr>
        <w:t>problema de mejor forma que Guanajuato. Esto se ha hecho gracias a la política</w:t>
      </w:r>
      <w:r>
        <w:rPr>
          <w:rFonts w:ascii="Abadi" w:hAnsi="Abadi" w:cs="Arial"/>
          <w:color w:val="000000"/>
          <w:sz w:val="21"/>
          <w:szCs w:val="21"/>
        </w:rPr>
        <w:t xml:space="preserve"> </w:t>
      </w:r>
      <w:r w:rsidRPr="005406FD">
        <w:rPr>
          <w:rFonts w:ascii="Abadi" w:hAnsi="Abadi" w:cs="Arial"/>
          <w:color w:val="000000"/>
          <w:sz w:val="21"/>
          <w:szCs w:val="21"/>
        </w:rPr>
        <w:t>social que caracteriza los gobiernos de Morena, a las labores de inteligencia y</w:t>
      </w:r>
      <w:r>
        <w:rPr>
          <w:rFonts w:ascii="Abadi" w:hAnsi="Abadi" w:cs="Arial"/>
          <w:color w:val="000000"/>
          <w:sz w:val="21"/>
          <w:szCs w:val="21"/>
        </w:rPr>
        <w:t xml:space="preserve"> </w:t>
      </w:r>
      <w:r w:rsidRPr="005406FD">
        <w:rPr>
          <w:rFonts w:ascii="Abadi" w:hAnsi="Abadi" w:cs="Arial"/>
          <w:color w:val="000000"/>
          <w:sz w:val="21"/>
          <w:szCs w:val="21"/>
        </w:rPr>
        <w:t>fortalecimiento de la fuerza pública, así como a la colaboración con el gobierno</w:t>
      </w:r>
      <w:r>
        <w:rPr>
          <w:rFonts w:ascii="Abadi" w:hAnsi="Abadi" w:cs="Arial"/>
          <w:color w:val="000000"/>
          <w:sz w:val="21"/>
          <w:szCs w:val="21"/>
        </w:rPr>
        <w:t xml:space="preserve"> </w:t>
      </w:r>
      <w:r w:rsidRPr="005406FD">
        <w:rPr>
          <w:rFonts w:ascii="Abadi" w:hAnsi="Abadi" w:cs="Arial"/>
          <w:color w:val="000000"/>
          <w:sz w:val="21"/>
          <w:szCs w:val="21"/>
        </w:rPr>
        <w:t>federal.</w:t>
      </w:r>
    </w:p>
    <w:p w14:paraId="7063E280" w14:textId="77777777" w:rsidR="00BC2F10" w:rsidRPr="005406FD" w:rsidRDefault="00BC2F10" w:rsidP="00BC2F10">
      <w:pPr>
        <w:autoSpaceDE w:val="0"/>
        <w:autoSpaceDN w:val="0"/>
        <w:adjustRightInd w:val="0"/>
        <w:jc w:val="both"/>
        <w:rPr>
          <w:rFonts w:ascii="Abadi" w:hAnsi="Abadi" w:cs="Arial"/>
          <w:color w:val="000000"/>
          <w:sz w:val="21"/>
          <w:szCs w:val="21"/>
        </w:rPr>
      </w:pPr>
    </w:p>
    <w:p w14:paraId="42F5404F" w14:textId="3CC58EBC"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Así fue como se logró reducir 58% de los homicidios dolosos de enero 2019 a</w:t>
      </w:r>
      <w:r>
        <w:rPr>
          <w:rFonts w:ascii="Abadi" w:hAnsi="Abadi" w:cs="Arial"/>
          <w:color w:val="000000"/>
          <w:sz w:val="21"/>
          <w:szCs w:val="21"/>
        </w:rPr>
        <w:t xml:space="preserve"> </w:t>
      </w:r>
      <w:r w:rsidRPr="005406FD">
        <w:rPr>
          <w:rFonts w:ascii="Abadi" w:hAnsi="Abadi" w:cs="Arial"/>
          <w:color w:val="000000"/>
          <w:sz w:val="21"/>
          <w:szCs w:val="21"/>
        </w:rPr>
        <w:t>febrero de 2022. Al iniciar la administración de Morena, había 4.3 asesinatos diarios,</w:t>
      </w:r>
      <w:r>
        <w:rPr>
          <w:rFonts w:ascii="Abadi" w:hAnsi="Abadi" w:cs="Arial"/>
          <w:color w:val="000000"/>
          <w:sz w:val="21"/>
          <w:szCs w:val="21"/>
        </w:rPr>
        <w:t xml:space="preserve"> </w:t>
      </w:r>
      <w:r w:rsidRPr="005406FD">
        <w:rPr>
          <w:rFonts w:ascii="Abadi" w:hAnsi="Abadi" w:cs="Arial"/>
          <w:color w:val="000000"/>
          <w:sz w:val="21"/>
          <w:szCs w:val="21"/>
        </w:rPr>
        <w:t>pero para inicios de 2022, ya sólo había 1.8 homicidios. Esa misma lógica se dio en</w:t>
      </w:r>
      <w:r>
        <w:rPr>
          <w:rFonts w:ascii="Abadi" w:hAnsi="Abadi" w:cs="Arial"/>
          <w:color w:val="000000"/>
          <w:sz w:val="21"/>
          <w:szCs w:val="21"/>
        </w:rPr>
        <w:t xml:space="preserve"> </w:t>
      </w:r>
      <w:r w:rsidRPr="005406FD">
        <w:rPr>
          <w:rFonts w:ascii="Abadi" w:hAnsi="Abadi" w:cs="Arial"/>
          <w:color w:val="000000"/>
          <w:sz w:val="21"/>
          <w:szCs w:val="21"/>
        </w:rPr>
        <w:t>el resto de delitos de alto impacto y en la percepción de seguridad de quienes</w:t>
      </w:r>
      <w:r>
        <w:rPr>
          <w:rFonts w:ascii="Abadi" w:hAnsi="Abadi" w:cs="Arial"/>
          <w:color w:val="000000"/>
          <w:sz w:val="21"/>
          <w:szCs w:val="21"/>
        </w:rPr>
        <w:t xml:space="preserve"> </w:t>
      </w:r>
      <w:r w:rsidRPr="005406FD">
        <w:rPr>
          <w:rFonts w:ascii="Abadi" w:hAnsi="Abadi" w:cs="Arial"/>
          <w:color w:val="000000"/>
          <w:sz w:val="21"/>
          <w:szCs w:val="21"/>
        </w:rPr>
        <w:t>habitan esa entidad</w:t>
      </w:r>
      <w:r>
        <w:rPr>
          <w:rStyle w:val="Refdenotaalpie"/>
          <w:rFonts w:ascii="Abadi" w:hAnsi="Abadi" w:cs="Arial"/>
          <w:color w:val="000000"/>
          <w:sz w:val="21"/>
          <w:szCs w:val="21"/>
        </w:rPr>
        <w:footnoteReference w:id="26"/>
      </w:r>
    </w:p>
    <w:p w14:paraId="55B1019F" w14:textId="77777777" w:rsidR="00BC2F10" w:rsidRPr="005406FD" w:rsidRDefault="00BC2F10" w:rsidP="00BC2F10">
      <w:pPr>
        <w:autoSpaceDE w:val="0"/>
        <w:autoSpaceDN w:val="0"/>
        <w:adjustRightInd w:val="0"/>
        <w:jc w:val="both"/>
        <w:rPr>
          <w:rFonts w:ascii="Abadi" w:hAnsi="Abadi" w:cs="Arial"/>
          <w:color w:val="000000"/>
          <w:sz w:val="21"/>
          <w:szCs w:val="21"/>
        </w:rPr>
      </w:pPr>
    </w:p>
    <w:p w14:paraId="02981253"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La política federal y la de entidades como CDMX, demuestra que las políticas de</w:t>
      </w:r>
      <w:r>
        <w:rPr>
          <w:rFonts w:ascii="Abadi" w:hAnsi="Abadi" w:cs="Arial"/>
          <w:color w:val="000000"/>
          <w:sz w:val="21"/>
          <w:szCs w:val="21"/>
        </w:rPr>
        <w:t xml:space="preserve"> </w:t>
      </w:r>
      <w:r w:rsidRPr="005406FD">
        <w:rPr>
          <w:rFonts w:ascii="Abadi" w:hAnsi="Abadi" w:cs="Arial"/>
          <w:color w:val="000000"/>
          <w:sz w:val="21"/>
          <w:szCs w:val="21"/>
        </w:rPr>
        <w:t>colaboración entre la Federación y las Entidades, la atención a las causas de la</w:t>
      </w:r>
      <w:r>
        <w:rPr>
          <w:rFonts w:ascii="Abadi" w:hAnsi="Abadi" w:cs="Arial"/>
          <w:color w:val="000000"/>
          <w:sz w:val="21"/>
          <w:szCs w:val="21"/>
        </w:rPr>
        <w:t xml:space="preserve"> </w:t>
      </w:r>
      <w:r w:rsidRPr="005406FD">
        <w:rPr>
          <w:rFonts w:ascii="Abadi" w:hAnsi="Abadi" w:cs="Arial"/>
          <w:color w:val="000000"/>
          <w:sz w:val="21"/>
          <w:szCs w:val="21"/>
        </w:rPr>
        <w:t>violencia, y el uso de las mejores prácticas, permiten combatir la violencia y la</w:t>
      </w:r>
      <w:r>
        <w:rPr>
          <w:rFonts w:ascii="Abadi" w:hAnsi="Abadi" w:cs="Arial"/>
          <w:color w:val="000000"/>
          <w:sz w:val="21"/>
          <w:szCs w:val="21"/>
        </w:rPr>
        <w:t xml:space="preserve"> </w:t>
      </w:r>
      <w:r w:rsidRPr="005406FD">
        <w:rPr>
          <w:rFonts w:ascii="Abadi" w:hAnsi="Abadi" w:cs="Arial"/>
          <w:color w:val="000000"/>
          <w:sz w:val="21"/>
          <w:szCs w:val="21"/>
        </w:rPr>
        <w:t>delincuencia con eficacia. Eso necesitamos en Guanajuato, aunque lo que tenemos</w:t>
      </w:r>
      <w:r>
        <w:rPr>
          <w:rFonts w:ascii="Abadi" w:hAnsi="Abadi" w:cs="Arial"/>
          <w:color w:val="000000"/>
          <w:sz w:val="21"/>
          <w:szCs w:val="21"/>
        </w:rPr>
        <w:t xml:space="preserve"> </w:t>
      </w:r>
      <w:r w:rsidRPr="005406FD">
        <w:rPr>
          <w:rFonts w:ascii="Abadi" w:hAnsi="Abadi" w:cs="Arial"/>
          <w:color w:val="000000"/>
          <w:sz w:val="21"/>
          <w:szCs w:val="21"/>
        </w:rPr>
        <w:t>es algo muy distinto, por lo cual, no tenemos resultados exitosos.</w:t>
      </w:r>
    </w:p>
    <w:p w14:paraId="1F039A4D" w14:textId="77777777" w:rsidR="00BC2F10" w:rsidRPr="005406FD" w:rsidRDefault="00BC2F10" w:rsidP="00BC2F10">
      <w:pPr>
        <w:autoSpaceDE w:val="0"/>
        <w:autoSpaceDN w:val="0"/>
        <w:adjustRightInd w:val="0"/>
        <w:jc w:val="both"/>
        <w:rPr>
          <w:rFonts w:ascii="Abadi" w:hAnsi="Abadi" w:cs="Arial"/>
          <w:color w:val="000000"/>
          <w:sz w:val="21"/>
          <w:szCs w:val="21"/>
        </w:rPr>
      </w:pPr>
    </w:p>
    <w:p w14:paraId="68432C87"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La política de seguridad pública de Guanajuato es ruidosa, pero poco efectiva. Se</w:t>
      </w:r>
      <w:r>
        <w:rPr>
          <w:rFonts w:ascii="Abadi" w:hAnsi="Abadi" w:cs="Arial"/>
          <w:color w:val="000000"/>
          <w:sz w:val="21"/>
          <w:szCs w:val="21"/>
        </w:rPr>
        <w:t xml:space="preserve"> </w:t>
      </w:r>
      <w:r w:rsidRPr="005406FD">
        <w:rPr>
          <w:rFonts w:ascii="Abadi" w:hAnsi="Abadi" w:cs="Arial"/>
          <w:color w:val="000000"/>
          <w:sz w:val="21"/>
          <w:szCs w:val="21"/>
        </w:rPr>
        <w:t>caracteriza por anuncios espectaculares de golpes de timón, autos de lujo y viajes</w:t>
      </w:r>
      <w:r>
        <w:rPr>
          <w:rFonts w:ascii="Abadi" w:hAnsi="Abadi" w:cs="Arial"/>
          <w:color w:val="000000"/>
          <w:sz w:val="21"/>
          <w:szCs w:val="21"/>
        </w:rPr>
        <w:t xml:space="preserve"> </w:t>
      </w:r>
      <w:r w:rsidRPr="005406FD">
        <w:rPr>
          <w:rFonts w:ascii="Abadi" w:hAnsi="Abadi" w:cs="Arial"/>
          <w:color w:val="000000"/>
          <w:sz w:val="21"/>
          <w:szCs w:val="21"/>
        </w:rPr>
        <w:t>al extranjero, pero nada de estrategia ni de responsabilidad sistemática.</w:t>
      </w:r>
    </w:p>
    <w:p w14:paraId="74101C7E" w14:textId="77777777" w:rsidR="00BC2F10" w:rsidRPr="005406FD" w:rsidRDefault="00BC2F10" w:rsidP="00BC2F10">
      <w:pPr>
        <w:autoSpaceDE w:val="0"/>
        <w:autoSpaceDN w:val="0"/>
        <w:adjustRightInd w:val="0"/>
        <w:jc w:val="both"/>
        <w:rPr>
          <w:rFonts w:ascii="Abadi" w:hAnsi="Abadi" w:cs="Arial"/>
          <w:color w:val="000000"/>
          <w:sz w:val="21"/>
          <w:szCs w:val="21"/>
        </w:rPr>
      </w:pPr>
    </w:p>
    <w:p w14:paraId="29220BBB" w14:textId="67DC8240"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Hay dos episodios recientes que merece la pena recordar para clarificar esto. El</w:t>
      </w:r>
      <w:r>
        <w:rPr>
          <w:rFonts w:ascii="Abadi" w:hAnsi="Abadi" w:cs="Arial"/>
          <w:color w:val="000000"/>
          <w:sz w:val="21"/>
          <w:szCs w:val="21"/>
        </w:rPr>
        <w:t xml:space="preserve"> </w:t>
      </w:r>
      <w:r w:rsidRPr="005406FD">
        <w:rPr>
          <w:rFonts w:ascii="Abadi" w:hAnsi="Abadi" w:cs="Arial"/>
          <w:color w:val="000000"/>
          <w:sz w:val="21"/>
          <w:szCs w:val="21"/>
        </w:rPr>
        <w:t>primero es el anuncio de 2019, cuando el gobernador presumió que usarían como</w:t>
      </w:r>
      <w:r>
        <w:rPr>
          <w:rFonts w:ascii="Abadi" w:hAnsi="Abadi" w:cs="Arial"/>
          <w:color w:val="000000"/>
          <w:sz w:val="21"/>
          <w:szCs w:val="21"/>
        </w:rPr>
        <w:t xml:space="preserve"> </w:t>
      </w:r>
      <w:r w:rsidRPr="005406FD">
        <w:rPr>
          <w:rFonts w:ascii="Abadi" w:hAnsi="Abadi" w:cs="Arial"/>
          <w:color w:val="000000"/>
          <w:sz w:val="21"/>
          <w:szCs w:val="21"/>
        </w:rPr>
        <w:t>patrullas los vehículos de lujo incautados. Incluso contrataron al piloto Benito Guerra</w:t>
      </w:r>
      <w:r>
        <w:rPr>
          <w:rFonts w:ascii="Abadi" w:hAnsi="Abadi" w:cs="Arial"/>
          <w:color w:val="000000"/>
          <w:sz w:val="21"/>
          <w:szCs w:val="21"/>
        </w:rPr>
        <w:t xml:space="preserve"> </w:t>
      </w:r>
      <w:r w:rsidRPr="005406FD">
        <w:rPr>
          <w:rFonts w:ascii="Abadi" w:hAnsi="Abadi" w:cs="Arial"/>
          <w:color w:val="000000"/>
          <w:sz w:val="21"/>
          <w:szCs w:val="21"/>
        </w:rPr>
        <w:t>para capacitar a los elementos policiacos que supuestamente utilizarían esos</w:t>
      </w:r>
      <w:r>
        <w:rPr>
          <w:rFonts w:ascii="Abadi" w:hAnsi="Abadi" w:cs="Arial"/>
          <w:color w:val="000000"/>
          <w:sz w:val="21"/>
          <w:szCs w:val="21"/>
        </w:rPr>
        <w:t xml:space="preserve"> </w:t>
      </w:r>
      <w:r w:rsidRPr="005406FD">
        <w:rPr>
          <w:rFonts w:ascii="Abadi" w:hAnsi="Abadi" w:cs="Arial"/>
          <w:color w:val="000000"/>
          <w:sz w:val="21"/>
          <w:szCs w:val="21"/>
        </w:rPr>
        <w:t>vehículos. Sin embargo, las patrullas de lujo se utilizaron únicamente para tomar</w:t>
      </w:r>
      <w:r>
        <w:rPr>
          <w:rFonts w:ascii="Abadi" w:hAnsi="Abadi" w:cs="Arial"/>
          <w:color w:val="000000"/>
          <w:sz w:val="21"/>
          <w:szCs w:val="21"/>
        </w:rPr>
        <w:t xml:space="preserve"> </w:t>
      </w:r>
      <w:r w:rsidRPr="005406FD">
        <w:rPr>
          <w:rFonts w:ascii="Abadi" w:hAnsi="Abadi" w:cs="Arial"/>
          <w:color w:val="000000"/>
          <w:sz w:val="21"/>
          <w:szCs w:val="21"/>
        </w:rPr>
        <w:t>fotos, quedando ahora en completo desuso</w:t>
      </w:r>
      <w:r>
        <w:rPr>
          <w:rStyle w:val="Refdenotaalpie"/>
          <w:rFonts w:ascii="Abadi" w:hAnsi="Abadi" w:cs="Arial"/>
          <w:color w:val="000000"/>
          <w:sz w:val="21"/>
          <w:szCs w:val="21"/>
        </w:rPr>
        <w:footnoteReference w:id="27"/>
      </w:r>
      <w:r w:rsidRPr="005406FD">
        <w:rPr>
          <w:rFonts w:ascii="Abadi" w:hAnsi="Abadi" w:cs="Arial"/>
          <w:color w:val="000000"/>
          <w:sz w:val="21"/>
          <w:szCs w:val="21"/>
        </w:rPr>
        <w:t>.</w:t>
      </w:r>
    </w:p>
    <w:p w14:paraId="1A28C573" w14:textId="77777777" w:rsidR="00BC2F10" w:rsidRPr="005406FD" w:rsidRDefault="00BC2F10" w:rsidP="00BC2F10">
      <w:pPr>
        <w:autoSpaceDE w:val="0"/>
        <w:autoSpaceDN w:val="0"/>
        <w:adjustRightInd w:val="0"/>
        <w:jc w:val="both"/>
        <w:rPr>
          <w:rFonts w:ascii="Abadi" w:hAnsi="Abadi" w:cs="Arial"/>
          <w:color w:val="000000"/>
          <w:sz w:val="21"/>
          <w:szCs w:val="21"/>
        </w:rPr>
      </w:pPr>
    </w:p>
    <w:p w14:paraId="292B8F51" w14:textId="639287C0"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El segundo, que también forma parte de la misma lógica propagandística, es que</w:t>
      </w:r>
      <w:r>
        <w:rPr>
          <w:rFonts w:ascii="Abadi" w:hAnsi="Abadi" w:cs="Arial"/>
          <w:color w:val="000000"/>
          <w:sz w:val="21"/>
          <w:szCs w:val="21"/>
        </w:rPr>
        <w:t xml:space="preserve"> </w:t>
      </w:r>
      <w:r w:rsidRPr="005406FD">
        <w:rPr>
          <w:rFonts w:ascii="Abadi" w:hAnsi="Abadi" w:cs="Arial"/>
          <w:color w:val="000000"/>
          <w:sz w:val="21"/>
          <w:szCs w:val="21"/>
        </w:rPr>
        <w:t>hace unas semanas, el gobernador Sinhue y el fiscal Zamarripa, se tomaron fotos</w:t>
      </w:r>
      <w:r>
        <w:rPr>
          <w:rFonts w:ascii="Abadi" w:hAnsi="Abadi" w:cs="Arial"/>
          <w:color w:val="000000"/>
          <w:sz w:val="21"/>
          <w:szCs w:val="21"/>
        </w:rPr>
        <w:t xml:space="preserve"> </w:t>
      </w:r>
      <w:r w:rsidRPr="005406FD">
        <w:rPr>
          <w:rFonts w:ascii="Abadi" w:hAnsi="Abadi" w:cs="Arial"/>
          <w:color w:val="000000"/>
          <w:sz w:val="21"/>
          <w:szCs w:val="21"/>
        </w:rPr>
        <w:t>en las instalaciones de la agencia de Armas de Fuego y Explosivos de los Estados</w:t>
      </w:r>
      <w:r>
        <w:rPr>
          <w:rFonts w:ascii="Abadi" w:hAnsi="Abadi" w:cs="Arial"/>
          <w:color w:val="000000"/>
          <w:sz w:val="21"/>
          <w:szCs w:val="21"/>
        </w:rPr>
        <w:t xml:space="preserve"> </w:t>
      </w:r>
      <w:r w:rsidRPr="005406FD">
        <w:rPr>
          <w:rFonts w:ascii="Abadi" w:hAnsi="Abadi" w:cs="Arial"/>
          <w:color w:val="000000"/>
          <w:sz w:val="21"/>
          <w:szCs w:val="21"/>
        </w:rPr>
        <w:t>Unidos para simular que estaban haciendo algo por la política de seguridad estatal.</w:t>
      </w:r>
      <w:r>
        <w:rPr>
          <w:rFonts w:ascii="Abadi" w:hAnsi="Abadi" w:cs="Arial"/>
          <w:color w:val="000000"/>
          <w:sz w:val="21"/>
          <w:szCs w:val="21"/>
        </w:rPr>
        <w:t xml:space="preserve"> </w:t>
      </w:r>
      <w:r w:rsidRPr="005406FD">
        <w:rPr>
          <w:rFonts w:ascii="Abadi" w:hAnsi="Abadi" w:cs="Arial"/>
          <w:color w:val="000000"/>
          <w:sz w:val="21"/>
          <w:szCs w:val="21"/>
        </w:rPr>
        <w:t xml:space="preserve">Pero como dijeron los medios de comunicación: mientras ellos se tomaban </w:t>
      </w:r>
      <w:r w:rsidRPr="005406FD">
        <w:rPr>
          <w:rFonts w:ascii="Abadi" w:hAnsi="Abadi" w:cs="Arial"/>
          <w:i/>
          <w:iCs/>
          <w:color w:val="000000"/>
          <w:sz w:val="21"/>
          <w:szCs w:val="21"/>
        </w:rPr>
        <w:t>selfies</w:t>
      </w:r>
      <w:r w:rsidRPr="005406FD">
        <w:rPr>
          <w:rFonts w:ascii="Abadi" w:hAnsi="Abadi" w:cs="Arial"/>
          <w:color w:val="000000"/>
          <w:sz w:val="21"/>
          <w:szCs w:val="21"/>
        </w:rPr>
        <w:t>,</w:t>
      </w:r>
      <w:r>
        <w:rPr>
          <w:rFonts w:ascii="Abadi" w:hAnsi="Abadi" w:cs="Arial"/>
          <w:color w:val="000000"/>
          <w:sz w:val="21"/>
          <w:szCs w:val="21"/>
        </w:rPr>
        <w:t xml:space="preserve"> </w:t>
      </w:r>
      <w:r w:rsidRPr="005406FD">
        <w:rPr>
          <w:rFonts w:ascii="Abadi" w:hAnsi="Abadi" w:cs="Arial"/>
          <w:color w:val="000000"/>
          <w:sz w:val="21"/>
          <w:szCs w:val="21"/>
        </w:rPr>
        <w:t>en nuestro estado asesinaron a cuatro policías en León</w:t>
      </w:r>
      <w:r>
        <w:rPr>
          <w:rStyle w:val="Refdenotaalpie"/>
          <w:rFonts w:ascii="Abadi" w:hAnsi="Abadi" w:cs="Arial"/>
          <w:color w:val="000000"/>
          <w:sz w:val="21"/>
          <w:szCs w:val="21"/>
        </w:rPr>
        <w:footnoteReference w:id="28"/>
      </w:r>
      <w:r w:rsidRPr="005406FD">
        <w:rPr>
          <w:rFonts w:ascii="Abadi" w:hAnsi="Abadi" w:cs="Arial"/>
          <w:color w:val="000000"/>
          <w:sz w:val="21"/>
          <w:szCs w:val="21"/>
        </w:rPr>
        <w:t>.</w:t>
      </w:r>
    </w:p>
    <w:p w14:paraId="0725D54B" w14:textId="77777777" w:rsidR="00BC2F10" w:rsidRPr="005406FD" w:rsidRDefault="00BC2F10" w:rsidP="00BC2F10">
      <w:pPr>
        <w:autoSpaceDE w:val="0"/>
        <w:autoSpaceDN w:val="0"/>
        <w:adjustRightInd w:val="0"/>
        <w:jc w:val="both"/>
        <w:rPr>
          <w:rFonts w:ascii="Abadi" w:hAnsi="Abadi" w:cs="Arial"/>
          <w:color w:val="000000"/>
          <w:sz w:val="21"/>
          <w:szCs w:val="21"/>
        </w:rPr>
      </w:pPr>
    </w:p>
    <w:p w14:paraId="517460EE"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Los resultados de esta política de seguridad propagandística que tenemos hablan</w:t>
      </w:r>
      <w:r>
        <w:rPr>
          <w:rFonts w:ascii="Abadi" w:hAnsi="Abadi" w:cs="Arial"/>
          <w:color w:val="000000"/>
          <w:sz w:val="21"/>
          <w:szCs w:val="21"/>
        </w:rPr>
        <w:t xml:space="preserve"> </w:t>
      </w:r>
      <w:r w:rsidRPr="005406FD">
        <w:rPr>
          <w:rFonts w:ascii="Abadi" w:hAnsi="Abadi" w:cs="Arial"/>
          <w:color w:val="000000"/>
          <w:sz w:val="21"/>
          <w:szCs w:val="21"/>
        </w:rPr>
        <w:t>por sí solos. En marzo Guanajuato fue el estado número 1 en homicidios dolosos</w:t>
      </w:r>
      <w:r>
        <w:rPr>
          <w:rFonts w:ascii="Abadi" w:hAnsi="Abadi" w:cs="Arial"/>
          <w:color w:val="000000"/>
          <w:sz w:val="21"/>
          <w:szCs w:val="21"/>
        </w:rPr>
        <w:t xml:space="preserve"> </w:t>
      </w:r>
      <w:r w:rsidRPr="005406FD">
        <w:rPr>
          <w:rFonts w:ascii="Abadi" w:hAnsi="Abadi" w:cs="Arial"/>
          <w:color w:val="000000"/>
          <w:sz w:val="21"/>
          <w:szCs w:val="21"/>
        </w:rPr>
        <w:t>(10.8% de todos los homicidios dolosos cometidos en el país se han dado en</w:t>
      </w:r>
      <w:r>
        <w:rPr>
          <w:rFonts w:ascii="Abadi" w:hAnsi="Abadi" w:cs="Arial"/>
          <w:color w:val="000000"/>
          <w:sz w:val="21"/>
          <w:szCs w:val="21"/>
        </w:rPr>
        <w:t xml:space="preserve"> </w:t>
      </w:r>
      <w:r w:rsidRPr="005406FD">
        <w:rPr>
          <w:rFonts w:ascii="Abadi" w:hAnsi="Abadi" w:cs="Arial"/>
          <w:color w:val="000000"/>
          <w:sz w:val="21"/>
          <w:szCs w:val="21"/>
        </w:rPr>
        <w:t>Guanajuato). Por 3 años consecutivos Guanajuato ha sido una de las entidades con</w:t>
      </w:r>
      <w:r>
        <w:rPr>
          <w:rFonts w:ascii="Abadi" w:hAnsi="Abadi" w:cs="Arial"/>
          <w:color w:val="000000"/>
          <w:sz w:val="21"/>
          <w:szCs w:val="21"/>
        </w:rPr>
        <w:t xml:space="preserve"> </w:t>
      </w:r>
      <w:r w:rsidRPr="005406FD">
        <w:rPr>
          <w:rFonts w:ascii="Abadi" w:hAnsi="Abadi" w:cs="Arial"/>
          <w:color w:val="000000"/>
          <w:sz w:val="21"/>
          <w:szCs w:val="21"/>
        </w:rPr>
        <w:t>más homicidios dolosos en todo el país.</w:t>
      </w:r>
    </w:p>
    <w:p w14:paraId="78B77D9F" w14:textId="77777777" w:rsidR="00BC2F10" w:rsidRPr="005406FD" w:rsidRDefault="00BC2F10" w:rsidP="00BC2F10">
      <w:pPr>
        <w:autoSpaceDE w:val="0"/>
        <w:autoSpaceDN w:val="0"/>
        <w:adjustRightInd w:val="0"/>
        <w:jc w:val="both"/>
        <w:rPr>
          <w:rFonts w:ascii="Abadi" w:hAnsi="Abadi" w:cs="Arial"/>
          <w:color w:val="000000"/>
          <w:sz w:val="21"/>
          <w:szCs w:val="21"/>
        </w:rPr>
      </w:pPr>
    </w:p>
    <w:p w14:paraId="325B43EF" w14:textId="77777777" w:rsidR="00BC2F10" w:rsidRPr="005406FD" w:rsidRDefault="00BC2F10" w:rsidP="00BC2F10">
      <w:pPr>
        <w:autoSpaceDE w:val="0"/>
        <w:autoSpaceDN w:val="0"/>
        <w:adjustRightInd w:val="0"/>
        <w:jc w:val="both"/>
        <w:rPr>
          <w:rFonts w:ascii="Abadi" w:hAnsi="Abadi" w:cs="Calibri"/>
          <w:color w:val="000000"/>
          <w:sz w:val="21"/>
          <w:szCs w:val="21"/>
        </w:rPr>
      </w:pPr>
    </w:p>
    <w:p w14:paraId="7249F55F"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Por eso es necesario que en Guanajuato se revise la política estatal de seguridad</w:t>
      </w:r>
      <w:r>
        <w:rPr>
          <w:rFonts w:ascii="Abadi" w:hAnsi="Abadi" w:cs="Arial"/>
          <w:color w:val="000000"/>
          <w:sz w:val="21"/>
          <w:szCs w:val="21"/>
        </w:rPr>
        <w:t xml:space="preserve"> </w:t>
      </w:r>
      <w:r w:rsidRPr="005406FD">
        <w:rPr>
          <w:rFonts w:ascii="Abadi" w:hAnsi="Abadi" w:cs="Arial"/>
          <w:color w:val="000000"/>
          <w:sz w:val="21"/>
          <w:szCs w:val="21"/>
        </w:rPr>
        <w:t>pública y, con base en las acciones que se implementan de forma exitosa en otros</w:t>
      </w:r>
      <w:r>
        <w:rPr>
          <w:rFonts w:ascii="Abadi" w:hAnsi="Abadi" w:cs="Arial"/>
          <w:color w:val="000000"/>
          <w:sz w:val="21"/>
          <w:szCs w:val="21"/>
        </w:rPr>
        <w:t xml:space="preserve"> </w:t>
      </w:r>
      <w:r w:rsidRPr="005406FD">
        <w:rPr>
          <w:rFonts w:ascii="Abadi" w:hAnsi="Abadi" w:cs="Arial"/>
          <w:color w:val="000000"/>
          <w:sz w:val="21"/>
          <w:szCs w:val="21"/>
        </w:rPr>
        <w:t>ámbitos o lugares, se incorporen las mejores prácticas en la materia.</w:t>
      </w:r>
      <w:r>
        <w:rPr>
          <w:rFonts w:ascii="Abadi" w:hAnsi="Abadi" w:cs="Arial"/>
          <w:color w:val="000000"/>
          <w:sz w:val="21"/>
          <w:szCs w:val="21"/>
        </w:rPr>
        <w:t xml:space="preserve"> </w:t>
      </w:r>
    </w:p>
    <w:p w14:paraId="1A573DA4" w14:textId="77777777" w:rsidR="00BC2F10" w:rsidRDefault="00BC2F10" w:rsidP="00BC2F10">
      <w:pPr>
        <w:autoSpaceDE w:val="0"/>
        <w:autoSpaceDN w:val="0"/>
        <w:adjustRightInd w:val="0"/>
        <w:jc w:val="both"/>
        <w:rPr>
          <w:rFonts w:ascii="Abadi" w:hAnsi="Abadi" w:cs="Arial"/>
          <w:color w:val="000000"/>
          <w:sz w:val="21"/>
          <w:szCs w:val="21"/>
        </w:rPr>
      </w:pPr>
    </w:p>
    <w:p w14:paraId="1FE4876F" w14:textId="77777777" w:rsidR="00BC2F10" w:rsidRPr="005406FD"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Por todo lo anterior, solicito la aprobación del siguiente:</w:t>
      </w:r>
    </w:p>
    <w:p w14:paraId="1D2C7269" w14:textId="77777777" w:rsidR="00BC2F10" w:rsidRDefault="00BC2F10" w:rsidP="00BC2F10">
      <w:pPr>
        <w:autoSpaceDE w:val="0"/>
        <w:autoSpaceDN w:val="0"/>
        <w:adjustRightInd w:val="0"/>
        <w:jc w:val="both"/>
        <w:rPr>
          <w:rFonts w:ascii="Abadi" w:hAnsi="Abadi" w:cs="Arial"/>
          <w:b/>
          <w:bCs/>
          <w:color w:val="000000"/>
          <w:sz w:val="21"/>
          <w:szCs w:val="21"/>
        </w:rPr>
      </w:pPr>
    </w:p>
    <w:p w14:paraId="4D2DEBC1" w14:textId="77777777" w:rsidR="00BC2F10" w:rsidRDefault="00BC2F10" w:rsidP="00BC2F10">
      <w:pPr>
        <w:autoSpaceDE w:val="0"/>
        <w:autoSpaceDN w:val="0"/>
        <w:adjustRightInd w:val="0"/>
        <w:jc w:val="center"/>
        <w:rPr>
          <w:rFonts w:ascii="Abadi" w:hAnsi="Abadi" w:cs="Arial"/>
          <w:b/>
          <w:bCs/>
          <w:color w:val="000000"/>
          <w:sz w:val="21"/>
          <w:szCs w:val="21"/>
        </w:rPr>
      </w:pPr>
      <w:r w:rsidRPr="005406FD">
        <w:rPr>
          <w:rFonts w:ascii="Abadi" w:hAnsi="Abadi" w:cs="Arial"/>
          <w:b/>
          <w:bCs/>
          <w:color w:val="000000"/>
          <w:sz w:val="21"/>
          <w:szCs w:val="21"/>
        </w:rPr>
        <w:t>ACUERDO</w:t>
      </w:r>
    </w:p>
    <w:p w14:paraId="75BA1B22" w14:textId="77777777" w:rsidR="00BC2F10" w:rsidRPr="005406FD" w:rsidRDefault="00BC2F10" w:rsidP="00BC2F10">
      <w:pPr>
        <w:autoSpaceDE w:val="0"/>
        <w:autoSpaceDN w:val="0"/>
        <w:adjustRightInd w:val="0"/>
        <w:jc w:val="both"/>
        <w:rPr>
          <w:rFonts w:ascii="Abadi" w:hAnsi="Abadi" w:cs="Arial"/>
          <w:b/>
          <w:bCs/>
          <w:color w:val="000000"/>
          <w:sz w:val="21"/>
          <w:szCs w:val="21"/>
        </w:rPr>
      </w:pPr>
    </w:p>
    <w:p w14:paraId="7FAFE740" w14:textId="77777777" w:rsidR="00BC2F10"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b/>
          <w:bCs/>
          <w:color w:val="000000"/>
          <w:sz w:val="21"/>
          <w:szCs w:val="21"/>
        </w:rPr>
        <w:t xml:space="preserve">ÚNICO.- </w:t>
      </w:r>
      <w:r w:rsidRPr="005406FD">
        <w:rPr>
          <w:rFonts w:ascii="Abadi" w:hAnsi="Abadi" w:cs="Arial"/>
          <w:color w:val="000000"/>
          <w:sz w:val="21"/>
          <w:szCs w:val="21"/>
        </w:rPr>
        <w:t>La LXV Legislatura del Congreso del Estado de Guanajuato acuerda girar</w:t>
      </w:r>
      <w:r>
        <w:rPr>
          <w:rFonts w:ascii="Abadi" w:hAnsi="Abadi" w:cs="Arial"/>
          <w:color w:val="000000"/>
          <w:sz w:val="21"/>
          <w:szCs w:val="21"/>
        </w:rPr>
        <w:t xml:space="preserve"> </w:t>
      </w:r>
      <w:r w:rsidRPr="005406FD">
        <w:rPr>
          <w:rFonts w:ascii="Abadi" w:hAnsi="Abadi" w:cs="Arial"/>
          <w:color w:val="000000"/>
          <w:sz w:val="21"/>
          <w:szCs w:val="21"/>
        </w:rPr>
        <w:t>atento exhorto al Gobernador del Estado de Guanajuato, Diego Sinhue Rodríguez</w:t>
      </w:r>
      <w:r>
        <w:rPr>
          <w:rFonts w:ascii="Abadi" w:hAnsi="Abadi" w:cs="Arial"/>
          <w:color w:val="000000"/>
          <w:sz w:val="21"/>
          <w:szCs w:val="21"/>
        </w:rPr>
        <w:t xml:space="preserve"> </w:t>
      </w:r>
      <w:r w:rsidRPr="005406FD">
        <w:rPr>
          <w:rFonts w:ascii="Abadi" w:hAnsi="Abadi" w:cs="Arial"/>
          <w:color w:val="000000"/>
          <w:sz w:val="21"/>
          <w:szCs w:val="21"/>
        </w:rPr>
        <w:t>Vallejo, para que inicie un proceso de revisión y rediseño de la política estatal de</w:t>
      </w:r>
      <w:r>
        <w:rPr>
          <w:rFonts w:ascii="Abadi" w:hAnsi="Abadi" w:cs="Arial"/>
          <w:color w:val="000000"/>
          <w:sz w:val="21"/>
          <w:szCs w:val="21"/>
        </w:rPr>
        <w:t xml:space="preserve"> </w:t>
      </w:r>
      <w:r w:rsidRPr="005406FD">
        <w:rPr>
          <w:rFonts w:ascii="Abadi" w:hAnsi="Abadi" w:cs="Arial"/>
          <w:color w:val="000000"/>
          <w:sz w:val="21"/>
          <w:szCs w:val="21"/>
        </w:rPr>
        <w:t>seguridad pública, incorporando las mejores prácticas en la materia.</w:t>
      </w:r>
    </w:p>
    <w:p w14:paraId="1A4784DA" w14:textId="77777777" w:rsidR="00BC2F10" w:rsidRPr="005406FD" w:rsidRDefault="00BC2F10" w:rsidP="00BC2F10">
      <w:pPr>
        <w:autoSpaceDE w:val="0"/>
        <w:autoSpaceDN w:val="0"/>
        <w:adjustRightInd w:val="0"/>
        <w:jc w:val="both"/>
        <w:rPr>
          <w:rFonts w:ascii="Abadi" w:hAnsi="Abadi" w:cs="Arial"/>
          <w:color w:val="000000"/>
          <w:sz w:val="21"/>
          <w:szCs w:val="21"/>
        </w:rPr>
      </w:pPr>
    </w:p>
    <w:p w14:paraId="24A5BA53" w14:textId="0BC3B140" w:rsidR="00BC2F10" w:rsidRPr="005406FD"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Lo anterior con la finalidad de atender decididamente el problema de la inseguridad,</w:t>
      </w:r>
      <w:r w:rsidR="00097670">
        <w:rPr>
          <w:rFonts w:ascii="Abadi" w:hAnsi="Abadi" w:cs="Arial"/>
          <w:color w:val="000000"/>
          <w:sz w:val="21"/>
          <w:szCs w:val="21"/>
        </w:rPr>
        <w:t xml:space="preserve"> </w:t>
      </w:r>
      <w:r w:rsidRPr="005406FD">
        <w:rPr>
          <w:rFonts w:ascii="Abadi" w:hAnsi="Abadi" w:cs="Arial"/>
          <w:color w:val="000000"/>
          <w:sz w:val="21"/>
          <w:szCs w:val="21"/>
        </w:rPr>
        <w:t>la violencia y la delincuencia.</w:t>
      </w:r>
    </w:p>
    <w:p w14:paraId="04E9D840" w14:textId="77777777" w:rsidR="00BC2F10" w:rsidRDefault="00BC2F10" w:rsidP="00BC2F10">
      <w:pPr>
        <w:autoSpaceDE w:val="0"/>
        <w:autoSpaceDN w:val="0"/>
        <w:adjustRightInd w:val="0"/>
        <w:jc w:val="both"/>
        <w:rPr>
          <w:rFonts w:ascii="Abadi" w:hAnsi="Abadi" w:cs="Arial"/>
          <w:color w:val="000000"/>
          <w:sz w:val="21"/>
          <w:szCs w:val="21"/>
        </w:rPr>
      </w:pPr>
    </w:p>
    <w:p w14:paraId="1A19B76A" w14:textId="77777777" w:rsidR="00BC2F10" w:rsidRPr="005406FD" w:rsidRDefault="00BC2F10" w:rsidP="00BC2F10">
      <w:pPr>
        <w:autoSpaceDE w:val="0"/>
        <w:autoSpaceDN w:val="0"/>
        <w:adjustRightInd w:val="0"/>
        <w:jc w:val="both"/>
        <w:rPr>
          <w:rFonts w:ascii="Abadi" w:hAnsi="Abadi" w:cs="Arial"/>
          <w:color w:val="000000"/>
          <w:sz w:val="21"/>
          <w:szCs w:val="21"/>
        </w:rPr>
      </w:pPr>
      <w:r w:rsidRPr="005406FD">
        <w:rPr>
          <w:rFonts w:ascii="Abadi" w:hAnsi="Abadi" w:cs="Arial"/>
          <w:color w:val="000000"/>
          <w:sz w:val="21"/>
          <w:szCs w:val="21"/>
        </w:rPr>
        <w:t>A t e n t a m e n t e.</w:t>
      </w:r>
    </w:p>
    <w:p w14:paraId="679E1EC5" w14:textId="77777777" w:rsidR="00BC2F10" w:rsidRPr="005406FD" w:rsidRDefault="00BC2F10" w:rsidP="00BC2F10">
      <w:pPr>
        <w:autoSpaceDE w:val="0"/>
        <w:autoSpaceDN w:val="0"/>
        <w:adjustRightInd w:val="0"/>
        <w:jc w:val="both"/>
        <w:rPr>
          <w:rFonts w:ascii="Abadi" w:hAnsi="Abadi" w:cs="Arial"/>
          <w:b/>
          <w:bCs/>
          <w:color w:val="000000"/>
          <w:sz w:val="21"/>
          <w:szCs w:val="21"/>
        </w:rPr>
      </w:pPr>
      <w:r w:rsidRPr="005406FD">
        <w:rPr>
          <w:rFonts w:ascii="Abadi" w:hAnsi="Abadi" w:cs="Arial"/>
          <w:b/>
          <w:bCs/>
          <w:color w:val="000000"/>
          <w:sz w:val="21"/>
          <w:szCs w:val="21"/>
        </w:rPr>
        <w:t>Diputada Hades Berenice Aguilar Castillo</w:t>
      </w:r>
    </w:p>
    <w:p w14:paraId="380F4D6C" w14:textId="3921B130" w:rsidR="00BC2F10" w:rsidRDefault="00BC2F10" w:rsidP="00BC2F10">
      <w:pPr>
        <w:jc w:val="both"/>
        <w:rPr>
          <w:rFonts w:ascii="Abadi" w:hAnsi="Abadi" w:cs="Arial"/>
          <w:color w:val="000000"/>
          <w:sz w:val="21"/>
          <w:szCs w:val="21"/>
        </w:rPr>
      </w:pPr>
      <w:r w:rsidRPr="005406FD">
        <w:rPr>
          <w:rFonts w:ascii="Abadi" w:hAnsi="Abadi" w:cs="Arial"/>
          <w:color w:val="000000"/>
          <w:sz w:val="21"/>
          <w:szCs w:val="21"/>
        </w:rPr>
        <w:t>Guanajuato, Guanajuato, a 25 de Abril del 2022</w:t>
      </w:r>
    </w:p>
    <w:p w14:paraId="5C974EE9" w14:textId="33BB1DA2" w:rsidR="00A85262" w:rsidRDefault="00A85262" w:rsidP="00BC2F10">
      <w:pPr>
        <w:jc w:val="both"/>
        <w:rPr>
          <w:rFonts w:ascii="Abadi" w:hAnsi="Abadi" w:cs="Arial"/>
          <w:color w:val="000000"/>
          <w:sz w:val="21"/>
          <w:szCs w:val="21"/>
        </w:rPr>
      </w:pPr>
    </w:p>
    <w:p w14:paraId="57884456" w14:textId="77777777" w:rsidR="00A85262" w:rsidRDefault="00A85262" w:rsidP="00A85262">
      <w:pPr>
        <w:ind w:firstLine="708"/>
        <w:jc w:val="both"/>
        <w:rPr>
          <w:rFonts w:ascii="Abadi" w:hAnsi="Abadi"/>
          <w:b/>
          <w:bCs/>
          <w:sz w:val="21"/>
          <w:szCs w:val="21"/>
        </w:rPr>
      </w:pPr>
    </w:p>
    <w:p w14:paraId="5C5B43A4" w14:textId="7CB56FA0" w:rsidR="00A85262" w:rsidRPr="00A85262" w:rsidRDefault="00A85262" w:rsidP="00A85262">
      <w:pPr>
        <w:ind w:firstLine="708"/>
        <w:jc w:val="both"/>
        <w:rPr>
          <w:rFonts w:ascii="Abadi" w:hAnsi="Abadi"/>
          <w:sz w:val="21"/>
          <w:szCs w:val="21"/>
        </w:rPr>
      </w:pPr>
      <w:r w:rsidRPr="00A85262">
        <w:rPr>
          <w:rFonts w:ascii="Abadi" w:hAnsi="Abadi"/>
          <w:b/>
          <w:bCs/>
          <w:sz w:val="21"/>
          <w:szCs w:val="21"/>
        </w:rPr>
        <w:t xml:space="preserve">- La Presidencia.- </w:t>
      </w:r>
      <w:r w:rsidRPr="00A85262">
        <w:rPr>
          <w:rFonts w:ascii="Abadi" w:hAnsi="Abadi"/>
          <w:sz w:val="21"/>
          <w:szCs w:val="21"/>
        </w:rPr>
        <w:t>Se pide a la diputada Hades Berenice Aguilar Castillo, dar lectura a su propuesta de Punto Acuerdo, a efecto de exhortar al Gobernador del Estado de Guanajuato, Diego Sinhue Rodríguez Vallejo, para que inicie un proceso de revisión y rediseño de la política estatal de seguridad pública, incorporando las mejores prácticas en la materia.</w:t>
      </w:r>
    </w:p>
    <w:p w14:paraId="343EC88A" w14:textId="77777777" w:rsidR="00A85262" w:rsidRPr="00A85262" w:rsidRDefault="00A85262" w:rsidP="00A85262">
      <w:pPr>
        <w:ind w:firstLine="708"/>
        <w:jc w:val="both"/>
        <w:rPr>
          <w:rFonts w:ascii="Abadi" w:hAnsi="Abadi"/>
          <w:sz w:val="21"/>
          <w:szCs w:val="21"/>
        </w:rPr>
      </w:pPr>
    </w:p>
    <w:p w14:paraId="67A0276E" w14:textId="77777777" w:rsidR="00A85262" w:rsidRPr="00A85262" w:rsidRDefault="00A85262" w:rsidP="00097670">
      <w:pPr>
        <w:ind w:firstLine="708"/>
        <w:jc w:val="both"/>
        <w:rPr>
          <w:rFonts w:ascii="Abadi" w:hAnsi="Abadi"/>
          <w:sz w:val="21"/>
          <w:szCs w:val="21"/>
        </w:rPr>
      </w:pPr>
      <w:r w:rsidRPr="00A85262">
        <w:rPr>
          <w:rFonts w:ascii="Abadi" w:hAnsi="Abadi"/>
          <w:sz w:val="21"/>
          <w:szCs w:val="21"/>
        </w:rPr>
        <w:t xml:space="preserve">- Adelante, Diputada. </w:t>
      </w:r>
    </w:p>
    <w:p w14:paraId="469653E0" w14:textId="77777777" w:rsidR="00A85262" w:rsidRPr="00A85262" w:rsidRDefault="00A85262" w:rsidP="00A85262">
      <w:pPr>
        <w:jc w:val="both"/>
        <w:rPr>
          <w:rFonts w:ascii="Abadi" w:hAnsi="Abadi"/>
          <w:sz w:val="21"/>
          <w:szCs w:val="21"/>
        </w:rPr>
      </w:pPr>
    </w:p>
    <w:p w14:paraId="559D84D1" w14:textId="77777777" w:rsidR="00A85262" w:rsidRDefault="00A85262" w:rsidP="00A85262">
      <w:pPr>
        <w:jc w:val="center"/>
        <w:rPr>
          <w:rFonts w:ascii="Abadi" w:hAnsi="Abadi"/>
          <w:b/>
          <w:bCs/>
          <w:sz w:val="21"/>
          <w:szCs w:val="21"/>
        </w:rPr>
      </w:pPr>
    </w:p>
    <w:p w14:paraId="061583E0" w14:textId="16FD2FCD" w:rsidR="00A85262" w:rsidRPr="00A85262" w:rsidRDefault="00A85262" w:rsidP="00A85262">
      <w:pPr>
        <w:jc w:val="center"/>
        <w:rPr>
          <w:rFonts w:ascii="Abadi" w:hAnsi="Abadi"/>
          <w:b/>
          <w:bCs/>
          <w:sz w:val="21"/>
          <w:szCs w:val="21"/>
        </w:rPr>
      </w:pPr>
      <w:r w:rsidRPr="00A85262">
        <w:rPr>
          <w:rFonts w:ascii="Abadi" w:hAnsi="Abadi"/>
          <w:b/>
          <w:bCs/>
          <w:sz w:val="21"/>
          <w:szCs w:val="21"/>
        </w:rPr>
        <w:t>(Posicionamiento)</w:t>
      </w:r>
    </w:p>
    <w:p w14:paraId="0270E4D9" w14:textId="74F26AC0" w:rsidR="00A85262" w:rsidRDefault="00097670" w:rsidP="00A85262">
      <w:pPr>
        <w:jc w:val="both"/>
        <w:rPr>
          <w:b/>
          <w:bCs/>
        </w:rPr>
      </w:pPr>
      <w:r>
        <w:rPr>
          <w:noProof/>
        </w:rPr>
        <w:drawing>
          <wp:anchor distT="0" distB="0" distL="114300" distR="114300" simplePos="0" relativeHeight="251707392" behindDoc="1" locked="0" layoutInCell="1" allowOverlap="1" wp14:anchorId="12F642EF" wp14:editId="41A765FF">
            <wp:simplePos x="0" y="0"/>
            <wp:positionH relativeFrom="column">
              <wp:posOffset>409575</wp:posOffset>
            </wp:positionH>
            <wp:positionV relativeFrom="paragraph">
              <wp:posOffset>125730</wp:posOffset>
            </wp:positionV>
            <wp:extent cx="1905000" cy="1071245"/>
            <wp:effectExtent l="0" t="114300" r="0" b="814705"/>
            <wp:wrapTight wrapText="bothSides">
              <wp:wrapPolygon edited="0">
                <wp:start x="216" y="-2305"/>
                <wp:lineTo x="0" y="23047"/>
                <wp:lineTo x="432" y="37643"/>
                <wp:lineTo x="2160" y="37643"/>
                <wp:lineTo x="2376" y="36875"/>
                <wp:lineTo x="13176" y="35338"/>
                <wp:lineTo x="14904" y="35338"/>
                <wp:lineTo x="19872" y="30729"/>
                <wp:lineTo x="19872" y="-2305"/>
                <wp:lineTo x="216" y="-2305"/>
              </wp:wrapPolygon>
            </wp:wrapTight>
            <wp:docPr id="24" name="Imagen 2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con confianza media"/>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05000" cy="107124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14:paraId="4007FC59" w14:textId="56559175" w:rsidR="00A85262" w:rsidRPr="00D81E15" w:rsidRDefault="00A85262" w:rsidP="00A85262">
      <w:pPr>
        <w:jc w:val="both"/>
        <w:rPr>
          <w:b/>
          <w:bCs/>
        </w:rPr>
      </w:pPr>
    </w:p>
    <w:p w14:paraId="6357B88A" w14:textId="1E0C7642" w:rsidR="000A60B3" w:rsidRDefault="000A60B3" w:rsidP="00BC2F10">
      <w:pPr>
        <w:jc w:val="both"/>
        <w:rPr>
          <w:rFonts w:ascii="Abadi" w:hAnsi="Abadi" w:cs="Arial"/>
          <w:color w:val="000000"/>
          <w:sz w:val="21"/>
          <w:szCs w:val="21"/>
        </w:rPr>
      </w:pPr>
    </w:p>
    <w:p w14:paraId="17A3AC82" w14:textId="37593927" w:rsidR="00C51A49" w:rsidRDefault="00C51A49" w:rsidP="00BC2F10">
      <w:pPr>
        <w:jc w:val="both"/>
        <w:rPr>
          <w:rFonts w:ascii="Abadi" w:hAnsi="Abadi" w:cs="Arial"/>
          <w:color w:val="000000"/>
          <w:sz w:val="21"/>
          <w:szCs w:val="21"/>
        </w:rPr>
      </w:pPr>
    </w:p>
    <w:p w14:paraId="72303A50" w14:textId="3F39FF88" w:rsidR="003B5849" w:rsidRDefault="003B5849" w:rsidP="00BC2F10">
      <w:pPr>
        <w:jc w:val="both"/>
        <w:rPr>
          <w:rFonts w:ascii="Abadi" w:hAnsi="Abadi" w:cs="Arial"/>
          <w:color w:val="000000"/>
          <w:sz w:val="21"/>
          <w:szCs w:val="21"/>
        </w:rPr>
      </w:pPr>
    </w:p>
    <w:p w14:paraId="2F0CD09C" w14:textId="19ABC019" w:rsidR="003B5849" w:rsidRDefault="003B5849" w:rsidP="00BC2F10">
      <w:pPr>
        <w:jc w:val="both"/>
        <w:rPr>
          <w:rFonts w:ascii="Abadi" w:hAnsi="Abadi" w:cs="Arial"/>
          <w:color w:val="000000"/>
          <w:sz w:val="21"/>
          <w:szCs w:val="21"/>
        </w:rPr>
      </w:pPr>
    </w:p>
    <w:p w14:paraId="6C30AFF8" w14:textId="77777777" w:rsidR="00097670" w:rsidRDefault="00097670" w:rsidP="003B5849">
      <w:pPr>
        <w:jc w:val="both"/>
        <w:rPr>
          <w:rFonts w:ascii="Abadi" w:hAnsi="Abadi"/>
          <w:b/>
          <w:bCs/>
          <w:sz w:val="21"/>
          <w:szCs w:val="21"/>
        </w:rPr>
      </w:pPr>
    </w:p>
    <w:p w14:paraId="61FCE9BC" w14:textId="77777777" w:rsidR="00097670" w:rsidRDefault="00097670" w:rsidP="003B5849">
      <w:pPr>
        <w:jc w:val="both"/>
        <w:rPr>
          <w:rFonts w:ascii="Abadi" w:hAnsi="Abadi"/>
          <w:b/>
          <w:bCs/>
          <w:sz w:val="21"/>
          <w:szCs w:val="21"/>
        </w:rPr>
      </w:pPr>
    </w:p>
    <w:p w14:paraId="120A2623" w14:textId="77777777" w:rsidR="00097670" w:rsidRDefault="00097670" w:rsidP="003B5849">
      <w:pPr>
        <w:jc w:val="both"/>
        <w:rPr>
          <w:rFonts w:ascii="Abadi" w:hAnsi="Abadi"/>
          <w:b/>
          <w:bCs/>
          <w:sz w:val="21"/>
          <w:szCs w:val="21"/>
        </w:rPr>
      </w:pPr>
    </w:p>
    <w:p w14:paraId="1AEFDBF8" w14:textId="77777777" w:rsidR="00097670" w:rsidRDefault="00097670" w:rsidP="003B5849">
      <w:pPr>
        <w:jc w:val="both"/>
        <w:rPr>
          <w:rFonts w:ascii="Abadi" w:hAnsi="Abadi"/>
          <w:b/>
          <w:bCs/>
          <w:sz w:val="21"/>
          <w:szCs w:val="21"/>
        </w:rPr>
      </w:pPr>
    </w:p>
    <w:p w14:paraId="05127791" w14:textId="77777777" w:rsidR="00097670" w:rsidRDefault="00097670" w:rsidP="003B5849">
      <w:pPr>
        <w:jc w:val="both"/>
        <w:rPr>
          <w:rFonts w:ascii="Abadi" w:hAnsi="Abadi"/>
          <w:b/>
          <w:bCs/>
          <w:sz w:val="21"/>
          <w:szCs w:val="21"/>
        </w:rPr>
      </w:pPr>
    </w:p>
    <w:p w14:paraId="77E45E9D" w14:textId="77777777" w:rsidR="00097670" w:rsidRDefault="00097670" w:rsidP="003B5849">
      <w:pPr>
        <w:jc w:val="both"/>
        <w:rPr>
          <w:rFonts w:ascii="Abadi" w:hAnsi="Abadi"/>
          <w:b/>
          <w:bCs/>
          <w:sz w:val="21"/>
          <w:szCs w:val="21"/>
        </w:rPr>
      </w:pPr>
    </w:p>
    <w:p w14:paraId="41A2C8B3" w14:textId="77777777" w:rsidR="00097670" w:rsidRDefault="00097670" w:rsidP="003B5849">
      <w:pPr>
        <w:jc w:val="both"/>
        <w:rPr>
          <w:rFonts w:ascii="Abadi" w:hAnsi="Abadi"/>
          <w:b/>
          <w:bCs/>
          <w:sz w:val="21"/>
          <w:szCs w:val="21"/>
        </w:rPr>
      </w:pPr>
    </w:p>
    <w:p w14:paraId="369F34EB" w14:textId="606CA7EA" w:rsidR="003B5849" w:rsidRPr="003B5849" w:rsidRDefault="003B5849" w:rsidP="003B5849">
      <w:pPr>
        <w:jc w:val="both"/>
        <w:rPr>
          <w:rFonts w:ascii="Abadi" w:hAnsi="Abadi"/>
          <w:b/>
          <w:bCs/>
          <w:sz w:val="21"/>
          <w:szCs w:val="21"/>
        </w:rPr>
      </w:pPr>
      <w:r w:rsidRPr="003B5849">
        <w:rPr>
          <w:rFonts w:ascii="Abadi" w:hAnsi="Abadi"/>
          <w:b/>
          <w:bCs/>
          <w:sz w:val="21"/>
          <w:szCs w:val="21"/>
        </w:rPr>
        <w:t>-Diputada Hades Berenice Aguilar Castillo-</w:t>
      </w:r>
    </w:p>
    <w:p w14:paraId="57C53B28" w14:textId="37544932" w:rsidR="003B5849" w:rsidRDefault="003B5849" w:rsidP="003B5849">
      <w:pPr>
        <w:jc w:val="both"/>
        <w:rPr>
          <w:rFonts w:ascii="Abadi" w:hAnsi="Abadi"/>
          <w:sz w:val="21"/>
          <w:szCs w:val="21"/>
        </w:rPr>
      </w:pPr>
      <w:r>
        <w:rPr>
          <w:rFonts w:ascii="Abadi" w:hAnsi="Abadi"/>
          <w:sz w:val="21"/>
          <w:szCs w:val="21"/>
        </w:rPr>
        <w:t xml:space="preserve">- </w:t>
      </w:r>
      <w:r w:rsidRPr="003B5849">
        <w:rPr>
          <w:rFonts w:ascii="Abadi" w:hAnsi="Abadi"/>
          <w:sz w:val="21"/>
          <w:szCs w:val="21"/>
        </w:rPr>
        <w:t xml:space="preserve">Buenas tardes nuevamente compañeros, los saludo con mucho cariño, con su venia, diputada presidenta. Hades Aguilar Castillo, del Grupo Parlamentario de Morena en la Sexagésima Quinta Legislatura, en ejercicio de mis atribuciones, comparezco para exponer el siguiente punto de acuerdo. Sustentado en los siguientes. </w:t>
      </w:r>
    </w:p>
    <w:p w14:paraId="3788E22D" w14:textId="77777777" w:rsidR="003B5849" w:rsidRPr="003B5849" w:rsidRDefault="003B5849" w:rsidP="003B5849">
      <w:pPr>
        <w:jc w:val="both"/>
        <w:rPr>
          <w:rFonts w:ascii="Abadi" w:hAnsi="Abadi"/>
          <w:sz w:val="21"/>
          <w:szCs w:val="21"/>
        </w:rPr>
      </w:pPr>
    </w:p>
    <w:p w14:paraId="447B577B" w14:textId="4D7B9DC5" w:rsidR="003B5849" w:rsidRDefault="003B5849" w:rsidP="003B5849">
      <w:pPr>
        <w:jc w:val="both"/>
        <w:rPr>
          <w:rFonts w:ascii="Abadi" w:hAnsi="Abadi"/>
          <w:sz w:val="21"/>
          <w:szCs w:val="21"/>
        </w:rPr>
      </w:pPr>
      <w:r>
        <w:rPr>
          <w:rFonts w:ascii="Abadi" w:hAnsi="Abadi"/>
          <w:sz w:val="21"/>
          <w:szCs w:val="21"/>
        </w:rPr>
        <w:t xml:space="preserve">- </w:t>
      </w:r>
      <w:r w:rsidRPr="003B5849">
        <w:rPr>
          <w:rFonts w:ascii="Abadi" w:hAnsi="Abadi"/>
          <w:sz w:val="21"/>
          <w:szCs w:val="21"/>
        </w:rPr>
        <w:t>Exposición de motivos:</w:t>
      </w:r>
    </w:p>
    <w:p w14:paraId="3E3A2561" w14:textId="77777777" w:rsidR="003B5849" w:rsidRPr="003B5849" w:rsidRDefault="003B5849" w:rsidP="003B5849">
      <w:pPr>
        <w:jc w:val="both"/>
        <w:rPr>
          <w:rFonts w:ascii="Abadi" w:hAnsi="Abadi"/>
          <w:sz w:val="21"/>
          <w:szCs w:val="21"/>
        </w:rPr>
      </w:pPr>
    </w:p>
    <w:p w14:paraId="4AD7DD61" w14:textId="57426381" w:rsidR="003B5849" w:rsidRDefault="003B5849" w:rsidP="003B5849">
      <w:pPr>
        <w:jc w:val="both"/>
        <w:rPr>
          <w:rFonts w:ascii="Abadi" w:hAnsi="Abadi"/>
          <w:sz w:val="21"/>
          <w:szCs w:val="21"/>
        </w:rPr>
      </w:pPr>
      <w:r>
        <w:rPr>
          <w:rFonts w:ascii="Abadi" w:hAnsi="Abadi"/>
          <w:sz w:val="21"/>
          <w:szCs w:val="21"/>
        </w:rPr>
        <w:t xml:space="preserve">- </w:t>
      </w:r>
      <w:r w:rsidRPr="003B5849">
        <w:rPr>
          <w:rFonts w:ascii="Abadi" w:hAnsi="Abadi"/>
          <w:sz w:val="21"/>
          <w:szCs w:val="21"/>
        </w:rPr>
        <w:t>En Guanajuato se vive una crisis de violencia y delincuencia, que todos y todas los ciudadanos hemos visto y padecido. Al igual que en muchas identidades, esa crisis nació y se afianzado con la política de inseguridad pública del Gobierno de Felipe Calderón.</w:t>
      </w:r>
    </w:p>
    <w:p w14:paraId="3943F263" w14:textId="77777777" w:rsidR="003B5849" w:rsidRPr="003B5849" w:rsidRDefault="003B5849" w:rsidP="003B5849">
      <w:pPr>
        <w:jc w:val="both"/>
        <w:rPr>
          <w:rFonts w:ascii="Abadi" w:hAnsi="Abadi"/>
          <w:sz w:val="21"/>
          <w:szCs w:val="21"/>
        </w:rPr>
      </w:pPr>
    </w:p>
    <w:p w14:paraId="5654A7F5" w14:textId="57B8CF95" w:rsidR="003B5849" w:rsidRDefault="003B5849" w:rsidP="003B5849">
      <w:pPr>
        <w:jc w:val="both"/>
        <w:rPr>
          <w:rFonts w:ascii="Abadi" w:hAnsi="Abadi"/>
          <w:sz w:val="21"/>
          <w:szCs w:val="21"/>
        </w:rPr>
      </w:pPr>
      <w:r w:rsidRPr="003B5849">
        <w:rPr>
          <w:rFonts w:ascii="Abadi" w:hAnsi="Abadi"/>
          <w:sz w:val="21"/>
          <w:szCs w:val="21"/>
        </w:rPr>
        <w:t xml:space="preserve">- Esa política pretendió, hacer la guerra del narcotráfico pero sólo sirvió para generalizar la violencia y la delincuencia en todo el país, incluyendo al Estado de Guanajuato, los datos duros no mienten, al comenzar el Gobierno de Calderón, nuestra entidad registró un poco más de 200 homicidios por año. Pero para el 2010 ya se registraban más de 400 homicidios anuales. En sólo 3 años se duplicaron los homicidios en Guanajuato. Y a partir de ahí, la situación de nuestro Estado empeoró cada día más sin que ninguno de los Gobiernos panistas fuera capaz de ponerle un alto a la violencia y a la delincuencia. </w:t>
      </w:r>
    </w:p>
    <w:p w14:paraId="68005CB2" w14:textId="77777777" w:rsidR="003B5849" w:rsidRPr="003B5849" w:rsidRDefault="003B5849" w:rsidP="003B5849">
      <w:pPr>
        <w:jc w:val="both"/>
        <w:rPr>
          <w:rFonts w:ascii="Abadi" w:hAnsi="Abadi"/>
          <w:sz w:val="21"/>
          <w:szCs w:val="21"/>
        </w:rPr>
      </w:pPr>
    </w:p>
    <w:p w14:paraId="08BC340E" w14:textId="70F10322" w:rsidR="003B5849" w:rsidRDefault="003B5849" w:rsidP="003B5849">
      <w:pPr>
        <w:jc w:val="both"/>
        <w:rPr>
          <w:rFonts w:ascii="Abadi" w:hAnsi="Abadi"/>
          <w:sz w:val="21"/>
          <w:szCs w:val="21"/>
        </w:rPr>
      </w:pPr>
      <w:r w:rsidRPr="003B5849">
        <w:rPr>
          <w:rFonts w:ascii="Abadi" w:hAnsi="Abadi"/>
          <w:sz w:val="21"/>
          <w:szCs w:val="21"/>
        </w:rPr>
        <w:t xml:space="preserve">- Pese a que la estrategia de Seguridad Pública de la cuarta transformación ha logrado detener la escalada de violencia en muchos lugares. En Guanajuato la situación sigue siendo insostenible. Para el 2020 ya teníamos más de 5000 homicidios. Esta violencia también nos afecta a las mujeres, como muchas veces lo hemos escuchado. El año pasado tuvimos casi 2 mujeres asesinadas. A lo cual hay que sumarle los problemas de acoso, violaciones, desapariciones que es muy común y demás expresiones de violencia contra las mujeres que hay en el Estado. </w:t>
      </w:r>
    </w:p>
    <w:p w14:paraId="691233D3" w14:textId="77777777" w:rsidR="003B5849" w:rsidRPr="003B5849" w:rsidRDefault="003B5849" w:rsidP="003B5849">
      <w:pPr>
        <w:jc w:val="both"/>
        <w:rPr>
          <w:rFonts w:ascii="Abadi" w:hAnsi="Abadi"/>
          <w:sz w:val="21"/>
          <w:szCs w:val="21"/>
        </w:rPr>
      </w:pPr>
    </w:p>
    <w:p w14:paraId="3725AC97" w14:textId="7A5B04E2" w:rsidR="003B5849" w:rsidRDefault="003B5849" w:rsidP="003B5849">
      <w:pPr>
        <w:jc w:val="both"/>
        <w:rPr>
          <w:rFonts w:ascii="Abadi" w:hAnsi="Abadi"/>
          <w:sz w:val="21"/>
          <w:szCs w:val="21"/>
        </w:rPr>
      </w:pPr>
      <w:r w:rsidRPr="003B5849">
        <w:rPr>
          <w:rFonts w:ascii="Abadi" w:hAnsi="Abadi"/>
          <w:sz w:val="21"/>
          <w:szCs w:val="21"/>
        </w:rPr>
        <w:t xml:space="preserve">- Toda esta violencia la causaron las políticas de Seguridad Pública del PAN a nivel federal. Pero también la incapacidad de los Gobiernos estatales del PAN, llevan 30 años, gobernando el Estado. Y sin interrupciones, y no han hecho nada, para mejorar la situación de violencia. Y no han hecho nada compañeros, lo vuelvo a repetir. Sí, así es, sólo han logrado construir un Estado con miles de homicidios. Yo creo que no estamos mintiendo, basta platicar con los ciudadanos de a pie, con los de abajo para que nos informen lo que está sucediendo en las colonias, en los municipios, si nosotros estamos en una esferita hay que salir con los ciudadanos. </w:t>
      </w:r>
    </w:p>
    <w:p w14:paraId="10D74D23" w14:textId="77777777" w:rsidR="003B5849" w:rsidRPr="003B5849" w:rsidRDefault="003B5849" w:rsidP="003B5849">
      <w:pPr>
        <w:jc w:val="both"/>
        <w:rPr>
          <w:rFonts w:ascii="Abadi" w:hAnsi="Abadi"/>
          <w:sz w:val="21"/>
          <w:szCs w:val="21"/>
        </w:rPr>
      </w:pPr>
    </w:p>
    <w:p w14:paraId="3B5AFCD7" w14:textId="77777777" w:rsidR="003B5849" w:rsidRPr="003B5849" w:rsidRDefault="003B5849" w:rsidP="003B5849">
      <w:pPr>
        <w:jc w:val="both"/>
        <w:rPr>
          <w:rFonts w:ascii="Abadi" w:hAnsi="Abadi"/>
          <w:sz w:val="21"/>
          <w:szCs w:val="21"/>
        </w:rPr>
      </w:pPr>
      <w:r w:rsidRPr="003B5849">
        <w:rPr>
          <w:rFonts w:ascii="Abadi" w:hAnsi="Abadi"/>
          <w:sz w:val="21"/>
          <w:szCs w:val="21"/>
        </w:rPr>
        <w:t>- Miles de homicidios, miles de desapariciones y cientos de fosas clandestinas. A poco sí? ahí está la grandeza, por esto, la gente de Guanajuato ha denunciado una y otra vez, la crisis de violencia y delincuencia que vivimos. Sin embargo, los líderes y cabecillas nacionales, han usado todas las oportunidades posibles para decir, que ellos sí podrían construir la paz que merece México ahora resulta no? y lo hacen colgándose de los reclamos legítimos de la sociedad por los derechos de las mujeres y de las víctimas. Así como por las legítimas exigencias sociales de que no quede impune ninguna violación a los derechos humanos, bien lo dijo el Presidente Andrés Manuel López Obrador. “uno, de los principios del panismo es la doble moral”</w:t>
      </w:r>
    </w:p>
    <w:p w14:paraId="2CA291BC" w14:textId="2EB6F515" w:rsidR="003B5849" w:rsidRDefault="003B5849" w:rsidP="003B5849">
      <w:pPr>
        <w:jc w:val="both"/>
        <w:rPr>
          <w:rFonts w:ascii="Abadi" w:hAnsi="Abadi"/>
          <w:sz w:val="21"/>
          <w:szCs w:val="21"/>
        </w:rPr>
      </w:pPr>
      <w:r w:rsidRPr="003B5849">
        <w:rPr>
          <w:rFonts w:ascii="Abadi" w:hAnsi="Abadi"/>
          <w:sz w:val="21"/>
          <w:szCs w:val="21"/>
        </w:rPr>
        <w:t xml:space="preserve">Un día ahorita me ahorita me dice, compañero, porque Minecraft. Pero otro día, un día se cuelgan de las exigencias de la ciudadanía. Pero otro día las reprimen. Un día votan en contra de exhortar al Gobernador a contratar más policías estatales porque ya se tiene a la Guardia Nacional en el Estado, pero para el otro día se suben a tribuna a despotricar contra la Guardia Nacional, que sus Gobiernos pidieron utilizando lamentablemente el asesinato de Ángel Yael, solo para golpear políticamente, y no se confunden, aquí no estamos solapando a nadie. </w:t>
      </w:r>
    </w:p>
    <w:p w14:paraId="3BE4F767" w14:textId="77777777" w:rsidR="003B5849" w:rsidRPr="003B5849" w:rsidRDefault="003B5849" w:rsidP="003B5849">
      <w:pPr>
        <w:jc w:val="both"/>
        <w:rPr>
          <w:rFonts w:ascii="Abadi" w:hAnsi="Abadi"/>
          <w:sz w:val="21"/>
          <w:szCs w:val="21"/>
        </w:rPr>
      </w:pPr>
    </w:p>
    <w:p w14:paraId="73BD93AA" w14:textId="5DDA1568" w:rsidR="003B5849" w:rsidRDefault="003B5849" w:rsidP="003B5849">
      <w:pPr>
        <w:jc w:val="both"/>
        <w:rPr>
          <w:rFonts w:ascii="Abadi" w:hAnsi="Abadi"/>
          <w:sz w:val="21"/>
          <w:szCs w:val="21"/>
        </w:rPr>
      </w:pPr>
      <w:r w:rsidRPr="003B5849">
        <w:rPr>
          <w:rFonts w:ascii="Abadi" w:hAnsi="Abadi"/>
          <w:sz w:val="21"/>
          <w:szCs w:val="21"/>
        </w:rPr>
        <w:t xml:space="preserve">- El agente de la Guardia Nacional presuntamente responsable ya fue vinculado a proceso penal y la investigación sigue su curso. Aquí no nos tiembla la mano para señalar que ningún caso de esta naturaleza debe de quedar impune, debe investigarse impartirse justicia y buscar la forma de que no se repita. En cambio, el PAN, a callado en casos como el de Leonardo Reyes, asesinado por las fuerzas de Seguridad Pública del Estado en el 2018. Aquel caso de la Fiscalía de Zamarripa tuvo 2 años el caso, para terminar liberado a los probables responsables, liberando a los probables responsables en el 2020. </w:t>
      </w:r>
    </w:p>
    <w:p w14:paraId="12742D06" w14:textId="77777777" w:rsidR="003B5849" w:rsidRPr="003B5849" w:rsidRDefault="003B5849" w:rsidP="003B5849">
      <w:pPr>
        <w:jc w:val="both"/>
        <w:rPr>
          <w:rFonts w:ascii="Abadi" w:hAnsi="Abadi"/>
          <w:sz w:val="21"/>
          <w:szCs w:val="21"/>
        </w:rPr>
      </w:pPr>
    </w:p>
    <w:p w14:paraId="4AD6CDB4" w14:textId="67B20AFF" w:rsidR="003B5849" w:rsidRDefault="003B5849" w:rsidP="003B5849">
      <w:pPr>
        <w:jc w:val="both"/>
        <w:rPr>
          <w:rFonts w:ascii="Abadi" w:hAnsi="Abadi"/>
          <w:sz w:val="21"/>
          <w:szCs w:val="21"/>
        </w:rPr>
      </w:pPr>
      <w:r>
        <w:rPr>
          <w:rFonts w:ascii="Abadi" w:hAnsi="Abadi"/>
          <w:sz w:val="21"/>
          <w:szCs w:val="21"/>
        </w:rPr>
        <w:t xml:space="preserve">- </w:t>
      </w:r>
      <w:r w:rsidRPr="003B5849">
        <w:rPr>
          <w:rFonts w:ascii="Abadi" w:hAnsi="Abadi"/>
          <w:sz w:val="21"/>
          <w:szCs w:val="21"/>
        </w:rPr>
        <w:t xml:space="preserve">En aquel entonces, la Procuraduría de Derechos Humanos dictaminó, que la Policía Estatal dejó morir a Leonardo y violaron el protocolo aplicable. En este caso, como en muchos otros, fueron omisos y orillaron a las víctimas a ampararse y hacer hasta lo imposible por buscar justicia. </w:t>
      </w:r>
    </w:p>
    <w:p w14:paraId="003A7654" w14:textId="77777777" w:rsidR="003B5849" w:rsidRPr="003B5849" w:rsidRDefault="003B5849" w:rsidP="003B5849">
      <w:pPr>
        <w:jc w:val="both"/>
        <w:rPr>
          <w:rFonts w:ascii="Abadi" w:hAnsi="Abadi"/>
          <w:sz w:val="21"/>
          <w:szCs w:val="21"/>
        </w:rPr>
      </w:pPr>
    </w:p>
    <w:p w14:paraId="2D9E506D" w14:textId="7A6F8B10" w:rsidR="003B5849" w:rsidRDefault="003B5849" w:rsidP="003B5849">
      <w:pPr>
        <w:jc w:val="both"/>
        <w:rPr>
          <w:rFonts w:ascii="Abadi" w:hAnsi="Abadi"/>
          <w:sz w:val="21"/>
          <w:szCs w:val="21"/>
        </w:rPr>
      </w:pPr>
      <w:r w:rsidRPr="003B5849">
        <w:rPr>
          <w:rFonts w:ascii="Abadi" w:hAnsi="Abadi"/>
          <w:sz w:val="21"/>
          <w:szCs w:val="21"/>
        </w:rPr>
        <w:t xml:space="preserve">- Guanajuato merece que el partido que gobierna se tome en serio su responsabilidad para combatir la violencia. Y la delincuencia hay mucho que hacer para mejorar la política de Seguridad Pública estatal. Y algunas de esas cosas pueden aprender de la política nacional en materia. Así. Como de la política de otras entidades como Ciudad de México. En donde sí se ha combatido la violencia y la delincuencia con resultados, a nivel nacional la violencia se ha combatido atendiendo sus causas, combatiendo la pobreza, dando oportunidades a las Juventudes al mismo tiempo se han llevado a cabo estrategias focalizadas en entidades que tenían las situaciones más preocupantes, como recientemente informó Rosa Isela Secretaria de Seguridad y Protección Ciudadana Federal. Se ha logrado que la incidencia delictiva en el país se reduzca más del 30% desde que la cuarta transformación asumió el Gobierno federal, se pasó de 9000 delitos del fuero federal en diciembre, a 6000 en diciembre del 2021, en lo que corresponde a los homicidios dolosos, la Secretaria Rosa Isela, informó que tenemos una tendencia a la baja del 4% en comparación con el inicio del Gobierno de la cuarta transformación. Por su parte, entidades como la Ciudad de México también han lo han logrado atender el problema mucho mejor que Guanajuato. Esto se ha hecho gracias a la política social que caracteriza a los Gobiernos de morena. A las labores de inteligencia, al fortalecimiento de la fuerza pública local, así como a la colaboración con el Gobierno federal. Así fue como Ciudad de México logró reducir 58% de los homicidios dolosos de enero del 2019 a febrero del 2022, al iniciar la administración de morena había más de cuatro asesinatos diarios. </w:t>
      </w:r>
    </w:p>
    <w:p w14:paraId="4942A872" w14:textId="77777777" w:rsidR="003B5849" w:rsidRPr="003B5849" w:rsidRDefault="003B5849" w:rsidP="003B5849">
      <w:pPr>
        <w:jc w:val="both"/>
        <w:rPr>
          <w:rFonts w:ascii="Abadi" w:hAnsi="Abadi"/>
          <w:sz w:val="21"/>
          <w:szCs w:val="21"/>
        </w:rPr>
      </w:pPr>
    </w:p>
    <w:p w14:paraId="2D803DDD" w14:textId="08BE494F" w:rsidR="003B5849" w:rsidRDefault="00C51A49" w:rsidP="003B5849">
      <w:pPr>
        <w:jc w:val="both"/>
        <w:rPr>
          <w:rFonts w:ascii="Abadi" w:hAnsi="Abadi"/>
          <w:sz w:val="21"/>
          <w:szCs w:val="21"/>
        </w:rPr>
      </w:pPr>
      <w:r>
        <w:rPr>
          <w:rFonts w:ascii="Abadi" w:hAnsi="Abadi"/>
          <w:sz w:val="21"/>
          <w:szCs w:val="21"/>
        </w:rPr>
        <w:t xml:space="preserve">- </w:t>
      </w:r>
      <w:r w:rsidR="003B5849" w:rsidRPr="003B5849">
        <w:rPr>
          <w:rFonts w:ascii="Abadi" w:hAnsi="Abadi"/>
          <w:sz w:val="21"/>
          <w:szCs w:val="21"/>
        </w:rPr>
        <w:t xml:space="preserve">Pero para inicios de este año ya había menos de </w:t>
      </w:r>
      <w:r w:rsidR="005249AB">
        <w:rPr>
          <w:rFonts w:ascii="Abadi" w:hAnsi="Abadi"/>
          <w:sz w:val="21"/>
          <w:szCs w:val="21"/>
        </w:rPr>
        <w:t>dos</w:t>
      </w:r>
      <w:r w:rsidR="003B5849" w:rsidRPr="003B5849">
        <w:rPr>
          <w:rFonts w:ascii="Abadi" w:hAnsi="Abadi"/>
          <w:sz w:val="21"/>
          <w:szCs w:val="21"/>
        </w:rPr>
        <w:t xml:space="preserve"> homicidios, la policía federal y las entidades como Ciudad de México demuestra que las policías de colaboración. Entre la Federación y las entidades, la atención de las causas de la violencia y el uso de las mejores prácticas permiten combatir la violencia y la delincuencia con eficacia eso también es lo que necesitamos aquí en Guanajuato. </w:t>
      </w:r>
    </w:p>
    <w:p w14:paraId="7880D949" w14:textId="77777777" w:rsidR="003B5849" w:rsidRPr="003B5849" w:rsidRDefault="003B5849" w:rsidP="003B5849">
      <w:pPr>
        <w:jc w:val="both"/>
        <w:rPr>
          <w:rFonts w:ascii="Abadi" w:hAnsi="Abadi"/>
          <w:sz w:val="21"/>
          <w:szCs w:val="21"/>
        </w:rPr>
      </w:pPr>
    </w:p>
    <w:p w14:paraId="2BD22014" w14:textId="2464D2FC" w:rsidR="003B5849" w:rsidRDefault="003B5849" w:rsidP="003B5849">
      <w:pPr>
        <w:jc w:val="both"/>
        <w:rPr>
          <w:rFonts w:ascii="Abadi" w:hAnsi="Abadi"/>
          <w:sz w:val="21"/>
          <w:szCs w:val="21"/>
        </w:rPr>
      </w:pPr>
      <w:r w:rsidRPr="003B5849">
        <w:rPr>
          <w:rFonts w:ascii="Abadi" w:hAnsi="Abadi"/>
          <w:sz w:val="21"/>
          <w:szCs w:val="21"/>
        </w:rPr>
        <w:t>- La política de Seguridad Pública de Guanajuato es ruidosa pero poco efectiva. Blog, se dice acá no? se caracteriza por anuncios espectaculares, de golpes de timón, autos de lujo viajes al extranjero, pero nada de estrategia ni de responsabilidades sistemáticas.</w:t>
      </w:r>
    </w:p>
    <w:p w14:paraId="4AFEC49E" w14:textId="77777777" w:rsidR="00C51A49" w:rsidRPr="003B5849" w:rsidRDefault="00C51A49" w:rsidP="003B5849">
      <w:pPr>
        <w:jc w:val="both"/>
        <w:rPr>
          <w:rFonts w:ascii="Abadi" w:hAnsi="Abadi"/>
          <w:sz w:val="21"/>
          <w:szCs w:val="21"/>
        </w:rPr>
      </w:pPr>
    </w:p>
    <w:p w14:paraId="37255C1C" w14:textId="671F6BA2" w:rsidR="003B5849" w:rsidRDefault="003B5849" w:rsidP="003B5849">
      <w:pPr>
        <w:jc w:val="both"/>
        <w:rPr>
          <w:rFonts w:ascii="Abadi" w:hAnsi="Abadi"/>
          <w:sz w:val="21"/>
          <w:szCs w:val="21"/>
        </w:rPr>
      </w:pPr>
      <w:r w:rsidRPr="003B5849">
        <w:rPr>
          <w:rFonts w:ascii="Abadi" w:hAnsi="Abadi"/>
          <w:sz w:val="21"/>
          <w:szCs w:val="21"/>
        </w:rPr>
        <w:t xml:space="preserve">- El Gobernador y el fiscal esperan que la federación les resuelva todo para luego colgarse la medalla de todos los logros que puedan obtener. Tan sólo hay que voltear a ver como hace unas semanas el Gobernador y el Fiscal se tomaban fotos en las instalaciones de la agencia de armas de fuego y explosivos de los Estados Unidos. Para simular que estaban haciendo algo por la policía de seguridad estatal. Pero no lo dije yo, lo dijeron los medios de comunicación, no yo, los medios de comunicación; mientras ellos se tomaban selfis, en nuestro estado asesinaron a cuatro policías en León, los resultados de esta política de seguridad hablan por sí sola. </w:t>
      </w:r>
    </w:p>
    <w:p w14:paraId="74A4FBFB" w14:textId="77777777" w:rsidR="003B5849" w:rsidRPr="003B5849" w:rsidRDefault="003B5849" w:rsidP="003B5849">
      <w:pPr>
        <w:jc w:val="both"/>
        <w:rPr>
          <w:rFonts w:ascii="Abadi" w:hAnsi="Abadi"/>
          <w:sz w:val="21"/>
          <w:szCs w:val="21"/>
        </w:rPr>
      </w:pPr>
    </w:p>
    <w:p w14:paraId="2F4B6488" w14:textId="021CB099" w:rsidR="003B5849" w:rsidRDefault="003B5849" w:rsidP="003B5849">
      <w:pPr>
        <w:jc w:val="both"/>
        <w:rPr>
          <w:rFonts w:ascii="Abadi" w:hAnsi="Abadi"/>
          <w:sz w:val="21"/>
          <w:szCs w:val="21"/>
        </w:rPr>
      </w:pPr>
      <w:r w:rsidRPr="003B5849">
        <w:rPr>
          <w:rFonts w:ascii="Abadi" w:hAnsi="Abadi"/>
          <w:sz w:val="21"/>
          <w:szCs w:val="21"/>
        </w:rPr>
        <w:t xml:space="preserve">- En marzo, Guanajuato fue el Estado número uno en homicidios, casi el 11% de todos los homicidios dolosos cometidos en el país, se dieron aquí en Guanajuato, por 3 años consecutivos. Hemos sido una de las entidades con más homicidios dolosos en todo el país. Y no lo digo yo. Y esto no para compañeros en los primeros cuatro días de mayo, tuvimos 43 víctimas de homicidios más en el Estado. Por eso es necesario que Guanajuato se Revise la Política Estatal de Seguridad Pública. </w:t>
      </w:r>
    </w:p>
    <w:p w14:paraId="21AF806D" w14:textId="77777777" w:rsidR="003B5849" w:rsidRPr="003B5849" w:rsidRDefault="003B5849" w:rsidP="003B5849">
      <w:pPr>
        <w:jc w:val="both"/>
        <w:rPr>
          <w:rFonts w:ascii="Abadi" w:hAnsi="Abadi"/>
          <w:sz w:val="21"/>
          <w:szCs w:val="21"/>
        </w:rPr>
      </w:pPr>
    </w:p>
    <w:p w14:paraId="07EE93B3" w14:textId="4857A4E9" w:rsidR="007640BB" w:rsidRDefault="007640BB" w:rsidP="007640BB">
      <w:pPr>
        <w:jc w:val="both"/>
        <w:rPr>
          <w:rFonts w:ascii="Abadi" w:hAnsi="Abadi"/>
          <w:sz w:val="21"/>
          <w:szCs w:val="21"/>
        </w:rPr>
      </w:pPr>
      <w:r w:rsidRPr="007640BB">
        <w:rPr>
          <w:rFonts w:ascii="Abadi" w:hAnsi="Abadi"/>
          <w:sz w:val="21"/>
          <w:szCs w:val="21"/>
        </w:rPr>
        <w:t>- Necesitamos ver qué es lo que se está haciendo bien en otros niveles de Gobierno o en otros lugares para incorporar esas acciones en nuestro Estado. Por lo anterior, solicito la aprobación del siguiente acuerdo.</w:t>
      </w:r>
    </w:p>
    <w:p w14:paraId="655E5689" w14:textId="77777777" w:rsidR="007640BB" w:rsidRPr="007640BB" w:rsidRDefault="007640BB" w:rsidP="007640BB">
      <w:pPr>
        <w:jc w:val="both"/>
        <w:rPr>
          <w:rFonts w:ascii="Abadi" w:hAnsi="Abadi"/>
          <w:sz w:val="21"/>
          <w:szCs w:val="21"/>
        </w:rPr>
      </w:pPr>
    </w:p>
    <w:p w14:paraId="66A4EE7A" w14:textId="77777777" w:rsidR="007640BB" w:rsidRPr="007640BB" w:rsidRDefault="007640BB" w:rsidP="007640BB">
      <w:pPr>
        <w:jc w:val="both"/>
        <w:rPr>
          <w:rFonts w:ascii="Abadi" w:hAnsi="Abadi"/>
          <w:sz w:val="21"/>
          <w:szCs w:val="21"/>
        </w:rPr>
      </w:pPr>
      <w:r w:rsidRPr="007640BB">
        <w:rPr>
          <w:rFonts w:ascii="Abadi" w:hAnsi="Abadi"/>
          <w:sz w:val="21"/>
          <w:szCs w:val="21"/>
        </w:rPr>
        <w:t xml:space="preserve">La Sexagésima Quinta Legislatura del Congreso del Estado de Guanajuato, acuerda girar atento exhorto al Gobernador del Estado de Guanajuato, Diego Sinhue Vallejo, para que inicie un proceso de revisión y rediseño de la Política Estatal de Seguridad Pública, incorporando las mejores prácticas en la materia. Con lo anterior, con la finalidad de atender decididamente el problema de la inseguridad, la violencia, y la delincuencia. </w:t>
      </w:r>
    </w:p>
    <w:p w14:paraId="2F220531" w14:textId="77777777" w:rsidR="000B438A" w:rsidRPr="007640BB" w:rsidRDefault="000B438A" w:rsidP="003B5849">
      <w:pPr>
        <w:jc w:val="both"/>
        <w:rPr>
          <w:rFonts w:ascii="Abadi" w:hAnsi="Abadi"/>
          <w:sz w:val="21"/>
          <w:szCs w:val="21"/>
        </w:rPr>
      </w:pPr>
    </w:p>
    <w:p w14:paraId="6CF5473C" w14:textId="6D738FDB" w:rsidR="003B5849" w:rsidRDefault="000B438A" w:rsidP="003B5849">
      <w:pPr>
        <w:jc w:val="both"/>
        <w:rPr>
          <w:rFonts w:ascii="Abadi" w:hAnsi="Abadi"/>
          <w:sz w:val="21"/>
          <w:szCs w:val="21"/>
        </w:rPr>
      </w:pPr>
      <w:r>
        <w:rPr>
          <w:rFonts w:ascii="Abadi" w:hAnsi="Abadi"/>
          <w:sz w:val="21"/>
          <w:szCs w:val="21"/>
        </w:rPr>
        <w:t xml:space="preserve">- </w:t>
      </w:r>
      <w:r w:rsidR="003B5849" w:rsidRPr="003B5849">
        <w:rPr>
          <w:rFonts w:ascii="Abadi" w:hAnsi="Abadi"/>
          <w:sz w:val="21"/>
          <w:szCs w:val="21"/>
        </w:rPr>
        <w:t xml:space="preserve">Es cuanto diputada </w:t>
      </w:r>
      <w:r w:rsidR="007640BB">
        <w:rPr>
          <w:rFonts w:ascii="Abadi" w:hAnsi="Abadi"/>
          <w:sz w:val="21"/>
          <w:szCs w:val="21"/>
        </w:rPr>
        <w:t>P</w:t>
      </w:r>
      <w:r w:rsidR="003B5849" w:rsidRPr="003B5849">
        <w:rPr>
          <w:rFonts w:ascii="Abadi" w:hAnsi="Abadi"/>
          <w:sz w:val="21"/>
          <w:szCs w:val="21"/>
        </w:rPr>
        <w:t>residenta.</w:t>
      </w:r>
    </w:p>
    <w:p w14:paraId="0562B9D3" w14:textId="377F9178" w:rsidR="00097670" w:rsidRDefault="00097670" w:rsidP="003B5849">
      <w:pPr>
        <w:jc w:val="both"/>
        <w:rPr>
          <w:rFonts w:ascii="Abadi" w:hAnsi="Abadi"/>
          <w:sz w:val="21"/>
          <w:szCs w:val="21"/>
        </w:rPr>
      </w:pPr>
    </w:p>
    <w:p w14:paraId="5131CA91" w14:textId="605AA89C" w:rsidR="0031334A" w:rsidRPr="0031334A" w:rsidRDefault="0031334A" w:rsidP="0031334A">
      <w:pPr>
        <w:ind w:firstLine="426"/>
        <w:jc w:val="both"/>
        <w:rPr>
          <w:rFonts w:ascii="Abadi" w:hAnsi="Abadi"/>
          <w:sz w:val="21"/>
          <w:szCs w:val="21"/>
        </w:rPr>
      </w:pPr>
      <w:r w:rsidRPr="0031334A">
        <w:rPr>
          <w:rFonts w:ascii="Abadi" w:hAnsi="Abadi"/>
          <w:sz w:val="21"/>
          <w:szCs w:val="21"/>
        </w:rPr>
        <w:t xml:space="preserve">- </w:t>
      </w:r>
      <w:r w:rsidRPr="0031334A">
        <w:rPr>
          <w:rFonts w:ascii="Abadi" w:hAnsi="Abadi"/>
          <w:b/>
          <w:bCs/>
          <w:sz w:val="21"/>
          <w:szCs w:val="21"/>
        </w:rPr>
        <w:t>La Presidencia.-</w:t>
      </w:r>
      <w:r w:rsidRPr="0031334A">
        <w:rPr>
          <w:rFonts w:ascii="Abadi" w:hAnsi="Abadi"/>
          <w:sz w:val="21"/>
          <w:szCs w:val="21"/>
        </w:rPr>
        <w:t xml:space="preserve"> Gracias, diputada. </w:t>
      </w:r>
    </w:p>
    <w:p w14:paraId="1103418A" w14:textId="44F60EF1" w:rsidR="0031334A" w:rsidRPr="0031334A" w:rsidRDefault="0031334A" w:rsidP="0031334A">
      <w:pPr>
        <w:ind w:firstLine="426"/>
        <w:jc w:val="both"/>
        <w:rPr>
          <w:rFonts w:ascii="Abadi" w:hAnsi="Abadi"/>
          <w:sz w:val="21"/>
          <w:szCs w:val="21"/>
        </w:rPr>
      </w:pPr>
    </w:p>
    <w:p w14:paraId="024CCD87" w14:textId="77777777" w:rsidR="0031334A" w:rsidRPr="007640BB" w:rsidRDefault="0031334A" w:rsidP="0031334A">
      <w:pPr>
        <w:ind w:left="142" w:right="283"/>
        <w:jc w:val="both"/>
        <w:rPr>
          <w:rFonts w:ascii="Abadi" w:hAnsi="Abadi"/>
          <w:b/>
          <w:bCs/>
          <w:i/>
          <w:iCs/>
          <w:sz w:val="21"/>
          <w:szCs w:val="21"/>
          <w:u w:val="single"/>
        </w:rPr>
      </w:pPr>
      <w:r w:rsidRPr="007640BB">
        <w:rPr>
          <w:rFonts w:ascii="Abadi" w:hAnsi="Abadi"/>
          <w:b/>
          <w:bCs/>
          <w:i/>
          <w:iCs/>
          <w:sz w:val="21"/>
          <w:szCs w:val="21"/>
          <w:u w:val="single"/>
        </w:rPr>
        <w:t xml:space="preserve">Con fundamento en el artículo 109, fracción IV de nuestra Ley Orgánica, se turna a la Comisión de Seguridad Pública y Comunicaciones para su estudio dictamen. </w:t>
      </w:r>
    </w:p>
    <w:p w14:paraId="2EA81C27" w14:textId="77777777" w:rsidR="0031334A" w:rsidRPr="0031334A" w:rsidRDefault="0031334A" w:rsidP="0031334A">
      <w:pPr>
        <w:ind w:left="142" w:right="283" w:firstLine="426"/>
        <w:jc w:val="both"/>
        <w:rPr>
          <w:rFonts w:ascii="Abadi" w:hAnsi="Abadi"/>
          <w:sz w:val="21"/>
          <w:szCs w:val="21"/>
        </w:rPr>
      </w:pPr>
    </w:p>
    <w:p w14:paraId="6A8771DD" w14:textId="77777777" w:rsidR="006F3002" w:rsidRPr="00293312" w:rsidRDefault="006F3002" w:rsidP="006F3002">
      <w:pPr>
        <w:autoSpaceDE w:val="0"/>
        <w:autoSpaceDN w:val="0"/>
        <w:adjustRightInd w:val="0"/>
        <w:ind w:left="426"/>
        <w:jc w:val="both"/>
        <w:rPr>
          <w:rFonts w:ascii="Abadi" w:hAnsi="Abadi" w:cs="ArialMT"/>
          <w:b/>
          <w:bCs/>
          <w:sz w:val="20"/>
          <w:szCs w:val="21"/>
        </w:rPr>
      </w:pPr>
    </w:p>
    <w:p w14:paraId="69280F9D" w14:textId="00B0FD72"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PRESENTACIÓN DE LA PROPUESTA DE PUNTO DE ACUERDO FORMULADA POR LA DIPUTADA ALMA EDWVIGES ALCARAZ HERNÁNDEZ INTEGRANTE DEL GRUPO PARLAMENTARIO DEL PARTIDO MORENA A EFECTO DE EXHORTAR A LA FISCALÍA GENERAL DEL ESTADO, PARA QUE DÉ A CONOCER A ESTA SOBERANÍA CUÁLES SON LAS CAUSAS POR LAS QUE NO SE HAN PODIDO IDENTIFICAR LA TOTALIDAD DE LOS RESTOS HUMANOS HASTA AHORA ENCONTRADOS EN FOSAS CLANDESTINAS; ASÍ COMO AL TITULAR DEL EJECUTIVO ESTATAL PARA QUE, A TRAVÉS DE LA SECRETARÍA DE SEGURIDAD PÚBLICA, SE BRINDE PROTECCIÓN Y APOYO TÉCNICO A LOS COLECTIVOS DE FAMILIARES DE PERSONAS DESAPARECIDAS QUE REALIZAN EL TRABAJO QUE DEBERÍA HACER EL PROPIO ESTADO.</w:t>
      </w:r>
    </w:p>
    <w:p w14:paraId="20F7B03E" w14:textId="2D59EFA2" w:rsidR="007640BB" w:rsidRDefault="007640BB" w:rsidP="007640BB">
      <w:pPr>
        <w:autoSpaceDE w:val="0"/>
        <w:autoSpaceDN w:val="0"/>
        <w:adjustRightInd w:val="0"/>
        <w:jc w:val="both"/>
        <w:rPr>
          <w:rFonts w:ascii="Abadi" w:hAnsi="Abadi" w:cs="ArialMT"/>
          <w:b/>
          <w:bCs/>
          <w:sz w:val="20"/>
          <w:szCs w:val="21"/>
        </w:rPr>
      </w:pPr>
    </w:p>
    <w:p w14:paraId="6E4ADB56" w14:textId="030A5408" w:rsidR="000210A8" w:rsidRDefault="000210A8" w:rsidP="007640BB">
      <w:pPr>
        <w:autoSpaceDE w:val="0"/>
        <w:autoSpaceDN w:val="0"/>
        <w:adjustRightInd w:val="0"/>
        <w:jc w:val="both"/>
        <w:rPr>
          <w:rFonts w:ascii="Abadi" w:hAnsi="Abadi" w:cs="ArialMT"/>
          <w:b/>
          <w:bCs/>
          <w:sz w:val="20"/>
          <w:szCs w:val="21"/>
        </w:rPr>
      </w:pPr>
    </w:p>
    <w:p w14:paraId="307CEB7B" w14:textId="77777777" w:rsidR="000210A8" w:rsidRPr="00423A6B" w:rsidRDefault="000210A8" w:rsidP="000210A8">
      <w:pPr>
        <w:autoSpaceDE w:val="0"/>
        <w:autoSpaceDN w:val="0"/>
        <w:adjustRightInd w:val="0"/>
        <w:jc w:val="both"/>
        <w:rPr>
          <w:rFonts w:ascii="Abadi" w:hAnsi="Abadi" w:cs="Arial"/>
          <w:b/>
          <w:bCs/>
          <w:sz w:val="21"/>
          <w:szCs w:val="21"/>
        </w:rPr>
      </w:pPr>
      <w:r w:rsidRPr="00423A6B">
        <w:rPr>
          <w:rFonts w:ascii="Abadi" w:hAnsi="Abadi" w:cs="Arial"/>
          <w:b/>
          <w:bCs/>
          <w:sz w:val="21"/>
          <w:szCs w:val="21"/>
        </w:rPr>
        <w:t>Diputada Irma Leticia González Sánchez</w:t>
      </w:r>
    </w:p>
    <w:p w14:paraId="4362A0B4" w14:textId="77777777" w:rsidR="000210A8" w:rsidRPr="00423A6B"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Presidenta de la Mesa Directiva</w:t>
      </w:r>
    </w:p>
    <w:p w14:paraId="39BBFD1F" w14:textId="77777777" w:rsidR="000210A8" w:rsidRPr="00423A6B"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Congreso del Estado de Guanajuato</w:t>
      </w:r>
    </w:p>
    <w:p w14:paraId="7BEA5F08" w14:textId="77777777" w:rsidR="000210A8" w:rsidRPr="00423A6B"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Sexagésima Quinta Legislatura</w:t>
      </w:r>
    </w:p>
    <w:p w14:paraId="694CAEC3" w14:textId="77777777" w:rsidR="000210A8"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P r e s e n t e</w:t>
      </w:r>
    </w:p>
    <w:p w14:paraId="3DD96E98" w14:textId="77777777" w:rsidR="000210A8" w:rsidRPr="00423A6B" w:rsidRDefault="000210A8" w:rsidP="000210A8">
      <w:pPr>
        <w:autoSpaceDE w:val="0"/>
        <w:autoSpaceDN w:val="0"/>
        <w:adjustRightInd w:val="0"/>
        <w:jc w:val="both"/>
        <w:rPr>
          <w:rFonts w:ascii="Abadi" w:hAnsi="Abadi" w:cs="Arial"/>
          <w:sz w:val="21"/>
          <w:szCs w:val="21"/>
        </w:rPr>
      </w:pPr>
    </w:p>
    <w:p w14:paraId="59748B71" w14:textId="77777777" w:rsidR="000210A8" w:rsidRPr="00423A6B" w:rsidRDefault="000210A8" w:rsidP="000210A8">
      <w:pPr>
        <w:autoSpaceDE w:val="0"/>
        <w:autoSpaceDN w:val="0"/>
        <w:adjustRightInd w:val="0"/>
        <w:jc w:val="both"/>
        <w:rPr>
          <w:rFonts w:ascii="Abadi" w:hAnsi="Abadi" w:cs="Arial"/>
          <w:sz w:val="21"/>
          <w:szCs w:val="21"/>
        </w:rPr>
      </w:pPr>
      <w:r w:rsidRPr="00423A6B">
        <w:rPr>
          <w:rFonts w:ascii="Abadi" w:hAnsi="Abadi" w:cs="Arial"/>
          <w:b/>
          <w:bCs/>
          <w:sz w:val="21"/>
          <w:szCs w:val="21"/>
        </w:rPr>
        <w:t xml:space="preserve">Diputada Alma Edwviges Alcaraz Hernández, </w:t>
      </w:r>
      <w:r w:rsidRPr="00423A6B">
        <w:rPr>
          <w:rFonts w:ascii="Abadi" w:hAnsi="Abadi" w:cs="Arial"/>
          <w:sz w:val="21"/>
          <w:szCs w:val="21"/>
        </w:rPr>
        <w:t>integrante del Grupo Parlamentario</w:t>
      </w:r>
      <w:r>
        <w:rPr>
          <w:rFonts w:ascii="Abadi" w:hAnsi="Abadi" w:cs="Arial"/>
          <w:sz w:val="21"/>
          <w:szCs w:val="21"/>
        </w:rPr>
        <w:t xml:space="preserve"> </w:t>
      </w:r>
      <w:r w:rsidRPr="00423A6B">
        <w:rPr>
          <w:rFonts w:ascii="Abadi" w:hAnsi="Abadi" w:cs="Arial"/>
          <w:sz w:val="21"/>
          <w:szCs w:val="21"/>
        </w:rPr>
        <w:t>de MORENA en la LXV Legislatura del Congreso del Estado de Guanajuato, con</w:t>
      </w:r>
      <w:r>
        <w:rPr>
          <w:rFonts w:ascii="Abadi" w:hAnsi="Abadi" w:cs="Arial"/>
          <w:sz w:val="21"/>
          <w:szCs w:val="21"/>
        </w:rPr>
        <w:t xml:space="preserve"> </w:t>
      </w:r>
      <w:r w:rsidRPr="00423A6B">
        <w:rPr>
          <w:rFonts w:ascii="Abadi" w:hAnsi="Abadi" w:cs="Arial"/>
          <w:sz w:val="21"/>
          <w:szCs w:val="21"/>
        </w:rPr>
        <w:t xml:space="preserve">fundamento en el primer párrafo del artículo 57, de la </w:t>
      </w:r>
      <w:r w:rsidRPr="00423A6B">
        <w:rPr>
          <w:rFonts w:ascii="Abadi" w:hAnsi="Abadi" w:cs="Arial"/>
          <w:i/>
          <w:iCs/>
          <w:sz w:val="21"/>
          <w:szCs w:val="21"/>
        </w:rPr>
        <w:t>Constitución Política para el</w:t>
      </w:r>
      <w:r>
        <w:rPr>
          <w:rFonts w:ascii="Abadi" w:hAnsi="Abadi" w:cs="Arial"/>
          <w:i/>
          <w:iCs/>
          <w:sz w:val="21"/>
          <w:szCs w:val="21"/>
        </w:rPr>
        <w:t xml:space="preserve"> </w:t>
      </w:r>
      <w:r w:rsidRPr="00423A6B">
        <w:rPr>
          <w:rFonts w:ascii="Abadi" w:hAnsi="Abadi" w:cs="Arial"/>
          <w:i/>
          <w:iCs/>
          <w:sz w:val="21"/>
          <w:szCs w:val="21"/>
        </w:rPr>
        <w:t>Estado de Guanajuato</w:t>
      </w:r>
      <w:r w:rsidRPr="00423A6B">
        <w:rPr>
          <w:rFonts w:ascii="Abadi" w:hAnsi="Abadi" w:cs="Arial"/>
          <w:sz w:val="21"/>
          <w:szCs w:val="21"/>
        </w:rPr>
        <w:t xml:space="preserve">; y en el artículo 204 fracción III de la </w:t>
      </w:r>
      <w:r w:rsidRPr="00423A6B">
        <w:rPr>
          <w:rFonts w:ascii="Abadi" w:hAnsi="Abadi" w:cs="Arial"/>
          <w:i/>
          <w:iCs/>
          <w:sz w:val="21"/>
          <w:szCs w:val="21"/>
        </w:rPr>
        <w:t>Ley Orgánica del Poder</w:t>
      </w:r>
      <w:r>
        <w:rPr>
          <w:rFonts w:ascii="Abadi" w:hAnsi="Abadi" w:cs="Arial"/>
          <w:i/>
          <w:iCs/>
          <w:sz w:val="21"/>
          <w:szCs w:val="21"/>
        </w:rPr>
        <w:t xml:space="preserve"> </w:t>
      </w:r>
      <w:r w:rsidRPr="00423A6B">
        <w:rPr>
          <w:rFonts w:ascii="Abadi" w:hAnsi="Abadi" w:cs="Arial"/>
          <w:i/>
          <w:iCs/>
          <w:sz w:val="21"/>
          <w:szCs w:val="21"/>
        </w:rPr>
        <w:t>Legislativo del Estado de Guanajuato</w:t>
      </w:r>
      <w:r w:rsidRPr="00423A6B">
        <w:rPr>
          <w:rFonts w:ascii="Abadi" w:hAnsi="Abadi" w:cs="Arial"/>
          <w:sz w:val="21"/>
          <w:szCs w:val="21"/>
        </w:rPr>
        <w:t>, me permito someter a la consideración de</w:t>
      </w:r>
      <w:r>
        <w:rPr>
          <w:rFonts w:ascii="Abadi" w:hAnsi="Abadi" w:cs="Arial"/>
          <w:sz w:val="21"/>
          <w:szCs w:val="21"/>
        </w:rPr>
        <w:t xml:space="preserve"> </w:t>
      </w:r>
      <w:r w:rsidRPr="00423A6B">
        <w:rPr>
          <w:rFonts w:ascii="Abadi" w:hAnsi="Abadi" w:cs="Arial"/>
          <w:sz w:val="21"/>
          <w:szCs w:val="21"/>
        </w:rPr>
        <w:t xml:space="preserve">esta Asamblea para su aprobación, el siguiente </w:t>
      </w:r>
      <w:r w:rsidRPr="00423A6B">
        <w:rPr>
          <w:rFonts w:ascii="Abadi" w:hAnsi="Abadi" w:cs="Arial"/>
          <w:b/>
          <w:bCs/>
          <w:sz w:val="21"/>
          <w:szCs w:val="21"/>
        </w:rPr>
        <w:t xml:space="preserve">Punto de Acuerdo </w:t>
      </w:r>
      <w:r w:rsidRPr="00423A6B">
        <w:rPr>
          <w:rFonts w:ascii="Abadi" w:hAnsi="Abadi" w:cs="Arial"/>
          <w:sz w:val="21"/>
          <w:szCs w:val="21"/>
        </w:rPr>
        <w:t>de conformidad</w:t>
      </w:r>
    </w:p>
    <w:p w14:paraId="6716602A" w14:textId="77777777" w:rsidR="000210A8" w:rsidRPr="00423A6B"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con la siguiente:</w:t>
      </w:r>
    </w:p>
    <w:p w14:paraId="60741D99" w14:textId="77777777" w:rsidR="000210A8" w:rsidRDefault="000210A8" w:rsidP="000210A8">
      <w:pPr>
        <w:autoSpaceDE w:val="0"/>
        <w:autoSpaceDN w:val="0"/>
        <w:adjustRightInd w:val="0"/>
        <w:jc w:val="both"/>
        <w:rPr>
          <w:rFonts w:ascii="Abadi" w:hAnsi="Abadi" w:cs="Arial"/>
          <w:b/>
          <w:bCs/>
          <w:sz w:val="21"/>
          <w:szCs w:val="21"/>
        </w:rPr>
      </w:pPr>
    </w:p>
    <w:p w14:paraId="61A05776" w14:textId="77777777" w:rsidR="000210A8" w:rsidRPr="00423A6B" w:rsidRDefault="000210A8" w:rsidP="000210A8">
      <w:pPr>
        <w:autoSpaceDE w:val="0"/>
        <w:autoSpaceDN w:val="0"/>
        <w:adjustRightInd w:val="0"/>
        <w:jc w:val="center"/>
        <w:rPr>
          <w:rFonts w:ascii="Abadi" w:hAnsi="Abadi" w:cs="Arial"/>
          <w:b/>
          <w:bCs/>
          <w:sz w:val="21"/>
          <w:szCs w:val="21"/>
        </w:rPr>
      </w:pPr>
      <w:r w:rsidRPr="00423A6B">
        <w:rPr>
          <w:rFonts w:ascii="Abadi" w:hAnsi="Abadi" w:cs="Arial"/>
          <w:b/>
          <w:bCs/>
          <w:sz w:val="21"/>
          <w:szCs w:val="21"/>
        </w:rPr>
        <w:t>EXPOSICIÓN DE MOTIVOS</w:t>
      </w:r>
    </w:p>
    <w:p w14:paraId="5F4844BF" w14:textId="77777777" w:rsidR="000210A8" w:rsidRDefault="000210A8" w:rsidP="000210A8">
      <w:pPr>
        <w:autoSpaceDE w:val="0"/>
        <w:autoSpaceDN w:val="0"/>
        <w:adjustRightInd w:val="0"/>
        <w:jc w:val="both"/>
        <w:rPr>
          <w:rFonts w:ascii="Abadi" w:hAnsi="Abadi" w:cs="Arial"/>
          <w:sz w:val="21"/>
          <w:szCs w:val="21"/>
        </w:rPr>
      </w:pPr>
    </w:p>
    <w:p w14:paraId="72824F64" w14:textId="77777777" w:rsidR="000210A8"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Las cifras de desapariciones en Guanajuato han ido en aumento en la presente</w:t>
      </w:r>
      <w:r>
        <w:rPr>
          <w:rFonts w:ascii="Abadi" w:hAnsi="Abadi" w:cs="Arial"/>
          <w:sz w:val="21"/>
          <w:szCs w:val="21"/>
        </w:rPr>
        <w:t xml:space="preserve"> </w:t>
      </w:r>
      <w:r w:rsidRPr="00423A6B">
        <w:rPr>
          <w:rFonts w:ascii="Abadi" w:hAnsi="Abadi" w:cs="Arial"/>
          <w:sz w:val="21"/>
          <w:szCs w:val="21"/>
        </w:rPr>
        <w:t>administración y parece ser un tema que no preocupa ni ocupa a alguien en la</w:t>
      </w:r>
      <w:r>
        <w:rPr>
          <w:rFonts w:ascii="Abadi" w:hAnsi="Abadi" w:cs="Arial"/>
          <w:sz w:val="21"/>
          <w:szCs w:val="21"/>
        </w:rPr>
        <w:t xml:space="preserve"> </w:t>
      </w:r>
      <w:r w:rsidRPr="00423A6B">
        <w:rPr>
          <w:rFonts w:ascii="Abadi" w:hAnsi="Abadi" w:cs="Arial"/>
          <w:sz w:val="21"/>
          <w:szCs w:val="21"/>
        </w:rPr>
        <w:t>Fiscalía General del Estado o al propio Gobernador.</w:t>
      </w:r>
      <w:r>
        <w:rPr>
          <w:rFonts w:ascii="Abadi" w:hAnsi="Abadi" w:cs="Arial"/>
          <w:sz w:val="21"/>
          <w:szCs w:val="21"/>
        </w:rPr>
        <w:t xml:space="preserve"> </w:t>
      </w:r>
      <w:r w:rsidRPr="00423A6B">
        <w:rPr>
          <w:rFonts w:ascii="Abadi" w:hAnsi="Abadi" w:cs="Arial"/>
          <w:sz w:val="21"/>
          <w:szCs w:val="21"/>
        </w:rPr>
        <w:t>En el mes de febrero de este año, 9 Colectivos de Búsqueda Para Personas</w:t>
      </w:r>
      <w:r>
        <w:rPr>
          <w:rFonts w:ascii="Abadi" w:hAnsi="Abadi" w:cs="Arial"/>
          <w:sz w:val="21"/>
          <w:szCs w:val="21"/>
        </w:rPr>
        <w:t xml:space="preserve"> </w:t>
      </w:r>
      <w:r w:rsidRPr="00423A6B">
        <w:rPr>
          <w:rFonts w:ascii="Abadi" w:hAnsi="Abadi" w:cs="Arial"/>
          <w:sz w:val="21"/>
          <w:szCs w:val="21"/>
        </w:rPr>
        <w:t>Desaparecidas e integrantes de la Plataforma por La Paz y Justicia en Guanajuato</w:t>
      </w:r>
      <w:r>
        <w:rPr>
          <w:rFonts w:ascii="Abadi" w:hAnsi="Abadi" w:cs="Arial"/>
          <w:sz w:val="21"/>
          <w:szCs w:val="21"/>
        </w:rPr>
        <w:t xml:space="preserve"> </w:t>
      </w:r>
      <w:r w:rsidRPr="00423A6B">
        <w:rPr>
          <w:rFonts w:ascii="Abadi" w:hAnsi="Abadi" w:cs="Arial"/>
          <w:sz w:val="21"/>
          <w:szCs w:val="21"/>
        </w:rPr>
        <w:t>denunciaron que para ese mes había 2,610 personas que se tienen reportadas</w:t>
      </w:r>
      <w:r>
        <w:rPr>
          <w:rFonts w:ascii="Abadi" w:hAnsi="Abadi" w:cs="Arial"/>
          <w:sz w:val="21"/>
          <w:szCs w:val="21"/>
        </w:rPr>
        <w:t xml:space="preserve"> </w:t>
      </w:r>
      <w:r w:rsidRPr="00423A6B">
        <w:rPr>
          <w:rFonts w:ascii="Abadi" w:hAnsi="Abadi" w:cs="Arial"/>
          <w:sz w:val="21"/>
          <w:szCs w:val="21"/>
        </w:rPr>
        <w:t>como desaparecidas. Estos colectivos denunciaron aquí en el propio Congreso del</w:t>
      </w:r>
      <w:r>
        <w:rPr>
          <w:rFonts w:ascii="Abadi" w:hAnsi="Abadi" w:cs="Arial"/>
          <w:sz w:val="21"/>
          <w:szCs w:val="21"/>
        </w:rPr>
        <w:t xml:space="preserve"> </w:t>
      </w:r>
      <w:r w:rsidRPr="00423A6B">
        <w:rPr>
          <w:rFonts w:ascii="Abadi" w:hAnsi="Abadi" w:cs="Arial"/>
          <w:sz w:val="21"/>
          <w:szCs w:val="21"/>
        </w:rPr>
        <w:t>Estado la ineficiencia de la Comisión Estatal de Búsqueda y de la Comisión Estatal</w:t>
      </w:r>
      <w:r>
        <w:rPr>
          <w:rFonts w:ascii="Abadi" w:hAnsi="Abadi" w:cs="Arial"/>
          <w:sz w:val="21"/>
          <w:szCs w:val="21"/>
        </w:rPr>
        <w:t xml:space="preserve"> </w:t>
      </w:r>
      <w:r w:rsidRPr="00423A6B">
        <w:rPr>
          <w:rFonts w:ascii="Abadi" w:hAnsi="Abadi" w:cs="Arial"/>
          <w:sz w:val="21"/>
          <w:szCs w:val="21"/>
        </w:rPr>
        <w:t>de Atención a Víctimas.</w:t>
      </w:r>
    </w:p>
    <w:p w14:paraId="0C2CA0C6" w14:textId="77777777" w:rsidR="000210A8" w:rsidRPr="00423A6B" w:rsidRDefault="000210A8" w:rsidP="000210A8">
      <w:pPr>
        <w:autoSpaceDE w:val="0"/>
        <w:autoSpaceDN w:val="0"/>
        <w:adjustRightInd w:val="0"/>
        <w:jc w:val="both"/>
        <w:rPr>
          <w:rFonts w:ascii="Abadi" w:hAnsi="Abadi" w:cs="Arial"/>
          <w:sz w:val="21"/>
          <w:szCs w:val="21"/>
        </w:rPr>
      </w:pPr>
    </w:p>
    <w:p w14:paraId="27207FB5" w14:textId="77777777" w:rsidR="000210A8"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Los colectivos advierten que las autoridades antes mencionadas no cuentan con los</w:t>
      </w:r>
      <w:r>
        <w:rPr>
          <w:rFonts w:ascii="Abadi" w:hAnsi="Abadi" w:cs="Arial"/>
          <w:sz w:val="21"/>
          <w:szCs w:val="21"/>
        </w:rPr>
        <w:t xml:space="preserve"> </w:t>
      </w:r>
      <w:r w:rsidRPr="00423A6B">
        <w:rPr>
          <w:rFonts w:ascii="Abadi" w:hAnsi="Abadi" w:cs="Arial"/>
          <w:sz w:val="21"/>
          <w:szCs w:val="21"/>
        </w:rPr>
        <w:t>recursos suficientes para realizar sus actividades, ya que su presupuesto para este</w:t>
      </w:r>
      <w:r>
        <w:rPr>
          <w:rFonts w:ascii="Abadi" w:hAnsi="Abadi" w:cs="Arial"/>
          <w:sz w:val="21"/>
          <w:szCs w:val="21"/>
        </w:rPr>
        <w:t xml:space="preserve"> </w:t>
      </w:r>
      <w:r w:rsidRPr="00423A6B">
        <w:rPr>
          <w:rFonts w:ascii="Abadi" w:hAnsi="Abadi" w:cs="Arial"/>
          <w:sz w:val="21"/>
          <w:szCs w:val="21"/>
        </w:rPr>
        <w:t>año asciende a 2,679 millones de pesos. Eso indicaría un millón de pesos para</w:t>
      </w:r>
      <w:r>
        <w:rPr>
          <w:rFonts w:ascii="Abadi" w:hAnsi="Abadi" w:cs="Arial"/>
          <w:sz w:val="21"/>
          <w:szCs w:val="21"/>
        </w:rPr>
        <w:t xml:space="preserve"> </w:t>
      </w:r>
      <w:r w:rsidRPr="00423A6B">
        <w:rPr>
          <w:rFonts w:ascii="Abadi" w:hAnsi="Abadi" w:cs="Arial"/>
          <w:sz w:val="21"/>
          <w:szCs w:val="21"/>
        </w:rPr>
        <w:t>buscar a cada persona desaparecida; sin embargo, ese presupuesto es sumamente</w:t>
      </w:r>
      <w:r>
        <w:rPr>
          <w:rFonts w:ascii="Abadi" w:hAnsi="Abadi" w:cs="Arial"/>
          <w:sz w:val="21"/>
          <w:szCs w:val="21"/>
        </w:rPr>
        <w:t xml:space="preserve"> </w:t>
      </w:r>
      <w:r w:rsidRPr="00423A6B">
        <w:rPr>
          <w:rFonts w:ascii="Abadi" w:hAnsi="Abadi" w:cs="Arial"/>
          <w:sz w:val="21"/>
          <w:szCs w:val="21"/>
        </w:rPr>
        <w:t>limitado si consideramos que la cifra aumenta día con día.</w:t>
      </w:r>
    </w:p>
    <w:p w14:paraId="24D009F0" w14:textId="77777777" w:rsidR="000210A8" w:rsidRPr="00423A6B" w:rsidRDefault="000210A8" w:rsidP="000210A8">
      <w:pPr>
        <w:autoSpaceDE w:val="0"/>
        <w:autoSpaceDN w:val="0"/>
        <w:adjustRightInd w:val="0"/>
        <w:jc w:val="both"/>
        <w:rPr>
          <w:rFonts w:ascii="Abadi" w:hAnsi="Abadi" w:cs="Arial"/>
          <w:sz w:val="21"/>
          <w:szCs w:val="21"/>
        </w:rPr>
      </w:pPr>
    </w:p>
    <w:p w14:paraId="5C1A0517" w14:textId="77777777" w:rsidR="000210A8"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El problema de la eficacia de la autoridad se agudiza cada vez más, ya que, aun</w:t>
      </w:r>
      <w:r>
        <w:rPr>
          <w:rFonts w:ascii="Abadi" w:hAnsi="Abadi" w:cs="Arial"/>
          <w:sz w:val="21"/>
          <w:szCs w:val="21"/>
        </w:rPr>
        <w:t xml:space="preserve"> </w:t>
      </w:r>
      <w:r w:rsidRPr="00423A6B">
        <w:rPr>
          <w:rFonts w:ascii="Abadi" w:hAnsi="Abadi" w:cs="Arial"/>
          <w:sz w:val="21"/>
          <w:szCs w:val="21"/>
        </w:rPr>
        <w:t>teniendo cuerpos en su poder, no son lo suficiente capaces de identificar los restos</w:t>
      </w:r>
      <w:r>
        <w:rPr>
          <w:rFonts w:ascii="Abadi" w:hAnsi="Abadi" w:cs="Arial"/>
          <w:sz w:val="21"/>
          <w:szCs w:val="21"/>
        </w:rPr>
        <w:t xml:space="preserve"> </w:t>
      </w:r>
      <w:r w:rsidRPr="00423A6B">
        <w:rPr>
          <w:rFonts w:ascii="Abadi" w:hAnsi="Abadi" w:cs="Arial"/>
          <w:sz w:val="21"/>
          <w:szCs w:val="21"/>
        </w:rPr>
        <w:t xml:space="preserve">humanos. </w:t>
      </w:r>
    </w:p>
    <w:p w14:paraId="6D423971" w14:textId="77777777" w:rsidR="000210A8" w:rsidRDefault="000210A8" w:rsidP="000210A8">
      <w:pPr>
        <w:autoSpaceDE w:val="0"/>
        <w:autoSpaceDN w:val="0"/>
        <w:adjustRightInd w:val="0"/>
        <w:jc w:val="both"/>
        <w:rPr>
          <w:rFonts w:ascii="Abadi" w:hAnsi="Abadi" w:cs="Arial"/>
          <w:sz w:val="21"/>
          <w:szCs w:val="21"/>
        </w:rPr>
      </w:pPr>
    </w:p>
    <w:p w14:paraId="20A28815" w14:textId="77777777" w:rsidR="000210A8"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Tan solo en el</w:t>
      </w:r>
      <w:r>
        <w:rPr>
          <w:rFonts w:ascii="Abadi" w:hAnsi="Abadi" w:cs="Arial"/>
          <w:sz w:val="21"/>
          <w:szCs w:val="21"/>
        </w:rPr>
        <w:t xml:space="preserve"> d</w:t>
      </w:r>
      <w:r w:rsidRPr="00423A6B">
        <w:rPr>
          <w:rFonts w:ascii="Abadi" w:hAnsi="Abadi" w:cs="Arial"/>
          <w:sz w:val="21"/>
          <w:szCs w:val="21"/>
        </w:rPr>
        <w:t>e acuerdo con la información publicada por el periódico AM, en el periodo</w:t>
      </w:r>
      <w:r>
        <w:rPr>
          <w:rFonts w:ascii="Abadi" w:hAnsi="Abadi" w:cs="Arial"/>
          <w:sz w:val="21"/>
          <w:szCs w:val="21"/>
        </w:rPr>
        <w:t xml:space="preserve"> </w:t>
      </w:r>
      <w:r w:rsidRPr="00423A6B">
        <w:rPr>
          <w:rFonts w:ascii="Abadi" w:hAnsi="Abadi" w:cs="Arial"/>
          <w:sz w:val="21"/>
          <w:szCs w:val="21"/>
        </w:rPr>
        <w:t>comprendido del 9 de abril al 8 de mayo; es decir en un mes, sólo se identificó un</w:t>
      </w:r>
      <w:r>
        <w:rPr>
          <w:rFonts w:ascii="Abadi" w:hAnsi="Abadi" w:cs="Arial"/>
          <w:sz w:val="21"/>
          <w:szCs w:val="21"/>
        </w:rPr>
        <w:t xml:space="preserve"> </w:t>
      </w:r>
      <w:r w:rsidRPr="00423A6B">
        <w:rPr>
          <w:rFonts w:ascii="Abadi" w:hAnsi="Abadi" w:cs="Arial"/>
          <w:sz w:val="21"/>
          <w:szCs w:val="21"/>
        </w:rPr>
        <w:t>cuerpo de los 94 encontrados en 10 fosas clandestinas reconocidas por la Fiscalía</w:t>
      </w:r>
      <w:r>
        <w:rPr>
          <w:rFonts w:ascii="Abadi" w:hAnsi="Abadi" w:cs="Arial"/>
          <w:sz w:val="21"/>
          <w:szCs w:val="21"/>
        </w:rPr>
        <w:t xml:space="preserve"> </w:t>
      </w:r>
      <w:r w:rsidRPr="00423A6B">
        <w:rPr>
          <w:rFonts w:ascii="Abadi" w:hAnsi="Abadi" w:cs="Arial"/>
          <w:sz w:val="21"/>
          <w:szCs w:val="21"/>
        </w:rPr>
        <w:t>y el promedio de personas reconocidas por parte de la Fiscalía es de 2 al mes, y</w:t>
      </w:r>
      <w:r>
        <w:rPr>
          <w:rFonts w:ascii="Abadi" w:hAnsi="Abadi" w:cs="Arial"/>
          <w:sz w:val="21"/>
          <w:szCs w:val="21"/>
        </w:rPr>
        <w:t xml:space="preserve"> </w:t>
      </w:r>
      <w:r w:rsidRPr="00423A6B">
        <w:rPr>
          <w:rFonts w:ascii="Abadi" w:hAnsi="Abadi" w:cs="Arial"/>
          <w:sz w:val="21"/>
          <w:szCs w:val="21"/>
        </w:rPr>
        <w:t>sólo en el mes de febrero se pudieron reconocer 18 restos humanos.</w:t>
      </w:r>
    </w:p>
    <w:p w14:paraId="164B53FD" w14:textId="77777777" w:rsidR="000210A8" w:rsidRPr="00423A6B" w:rsidRDefault="000210A8" w:rsidP="000210A8">
      <w:pPr>
        <w:autoSpaceDE w:val="0"/>
        <w:autoSpaceDN w:val="0"/>
        <w:adjustRightInd w:val="0"/>
        <w:jc w:val="both"/>
        <w:rPr>
          <w:rFonts w:ascii="Abadi" w:hAnsi="Abadi" w:cs="Arial"/>
          <w:sz w:val="21"/>
          <w:szCs w:val="21"/>
        </w:rPr>
      </w:pPr>
    </w:p>
    <w:p w14:paraId="62E1D9E3" w14:textId="77777777" w:rsidR="000210A8"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Según los informes de la propia Comisión Estatal de Búsqueda, las desapariciones</w:t>
      </w:r>
      <w:r>
        <w:rPr>
          <w:rFonts w:ascii="Abadi" w:hAnsi="Abadi" w:cs="Arial"/>
          <w:sz w:val="21"/>
          <w:szCs w:val="21"/>
        </w:rPr>
        <w:t xml:space="preserve"> </w:t>
      </w:r>
      <w:r w:rsidRPr="00423A6B">
        <w:rPr>
          <w:rFonts w:ascii="Abadi" w:hAnsi="Abadi" w:cs="Arial"/>
          <w:sz w:val="21"/>
          <w:szCs w:val="21"/>
        </w:rPr>
        <w:t>en el primer trimestre de este año aumentaron en 16, respecto del trimestre del</w:t>
      </w:r>
      <w:r>
        <w:rPr>
          <w:rFonts w:ascii="Abadi" w:hAnsi="Abadi" w:cs="Arial"/>
          <w:sz w:val="21"/>
          <w:szCs w:val="21"/>
        </w:rPr>
        <w:t xml:space="preserve"> </w:t>
      </w:r>
      <w:r w:rsidRPr="00423A6B">
        <w:rPr>
          <w:rFonts w:ascii="Abadi" w:hAnsi="Abadi" w:cs="Arial"/>
          <w:sz w:val="21"/>
          <w:szCs w:val="21"/>
        </w:rPr>
        <w:t>2021, al pasar de 215 a 231 personas desaparecidas.</w:t>
      </w:r>
    </w:p>
    <w:p w14:paraId="0D70D686" w14:textId="77777777" w:rsidR="000210A8" w:rsidRPr="00423A6B" w:rsidRDefault="000210A8" w:rsidP="000210A8">
      <w:pPr>
        <w:autoSpaceDE w:val="0"/>
        <w:autoSpaceDN w:val="0"/>
        <w:adjustRightInd w:val="0"/>
        <w:jc w:val="both"/>
        <w:rPr>
          <w:rFonts w:ascii="Abadi" w:hAnsi="Abadi" w:cs="Arial"/>
          <w:sz w:val="21"/>
          <w:szCs w:val="21"/>
        </w:rPr>
      </w:pPr>
    </w:p>
    <w:p w14:paraId="3CE28C3A" w14:textId="77777777" w:rsidR="000210A8"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Cabe mencionar que los Colectivos de Búsqueda han denunciado en repetidas</w:t>
      </w:r>
      <w:r>
        <w:rPr>
          <w:rFonts w:ascii="Abadi" w:hAnsi="Abadi" w:cs="Arial"/>
          <w:sz w:val="21"/>
          <w:szCs w:val="21"/>
        </w:rPr>
        <w:t xml:space="preserve"> </w:t>
      </w:r>
      <w:r w:rsidRPr="00423A6B">
        <w:rPr>
          <w:rFonts w:ascii="Abadi" w:hAnsi="Abadi" w:cs="Arial"/>
          <w:sz w:val="21"/>
          <w:szCs w:val="21"/>
        </w:rPr>
        <w:t>ocasiones la falta de apoyo por parte de los cuerpos de seguridad pública del Estado</w:t>
      </w:r>
      <w:r>
        <w:rPr>
          <w:rFonts w:ascii="Abadi" w:hAnsi="Abadi" w:cs="Arial"/>
          <w:sz w:val="21"/>
          <w:szCs w:val="21"/>
        </w:rPr>
        <w:t xml:space="preserve"> </w:t>
      </w:r>
      <w:r w:rsidRPr="00423A6B">
        <w:rPr>
          <w:rFonts w:ascii="Abadi" w:hAnsi="Abadi" w:cs="Arial"/>
          <w:sz w:val="21"/>
          <w:szCs w:val="21"/>
        </w:rPr>
        <w:t>al momento de realizar las acciones de búsqueda de sus familiares y conocidos.</w:t>
      </w:r>
    </w:p>
    <w:p w14:paraId="5A2A53BA" w14:textId="77777777" w:rsidR="000210A8" w:rsidRPr="00423A6B" w:rsidRDefault="000210A8" w:rsidP="000210A8">
      <w:pPr>
        <w:autoSpaceDE w:val="0"/>
        <w:autoSpaceDN w:val="0"/>
        <w:adjustRightInd w:val="0"/>
        <w:jc w:val="both"/>
        <w:rPr>
          <w:rFonts w:ascii="Abadi" w:hAnsi="Abadi" w:cs="Arial"/>
          <w:sz w:val="21"/>
          <w:szCs w:val="21"/>
        </w:rPr>
      </w:pPr>
    </w:p>
    <w:p w14:paraId="24DAEB6D" w14:textId="77777777" w:rsidR="000210A8"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Esto debe ser preocupante para todos nosotros, ya que los guanajuatenses que han</w:t>
      </w:r>
      <w:r>
        <w:rPr>
          <w:rFonts w:ascii="Abadi" w:hAnsi="Abadi" w:cs="Arial"/>
          <w:sz w:val="21"/>
          <w:szCs w:val="21"/>
        </w:rPr>
        <w:t xml:space="preserve"> </w:t>
      </w:r>
      <w:r w:rsidRPr="00423A6B">
        <w:rPr>
          <w:rFonts w:ascii="Abadi" w:hAnsi="Abadi" w:cs="Arial"/>
          <w:sz w:val="21"/>
          <w:szCs w:val="21"/>
        </w:rPr>
        <w:t>sufrido la desaparición de algún ser querido deberían de por lo menos contar con el</w:t>
      </w:r>
      <w:r>
        <w:rPr>
          <w:rFonts w:ascii="Abadi" w:hAnsi="Abadi" w:cs="Arial"/>
          <w:sz w:val="21"/>
          <w:szCs w:val="21"/>
        </w:rPr>
        <w:t xml:space="preserve"> </w:t>
      </w:r>
      <w:r w:rsidRPr="00423A6B">
        <w:rPr>
          <w:rFonts w:ascii="Abadi" w:hAnsi="Abadi" w:cs="Arial"/>
          <w:sz w:val="21"/>
          <w:szCs w:val="21"/>
        </w:rPr>
        <w:t>máximo apoyo que el gobierno pueda proporcionarles.</w:t>
      </w:r>
    </w:p>
    <w:p w14:paraId="7D867ACD" w14:textId="77777777" w:rsidR="000210A8" w:rsidRPr="00423A6B" w:rsidRDefault="000210A8" w:rsidP="000210A8">
      <w:pPr>
        <w:autoSpaceDE w:val="0"/>
        <w:autoSpaceDN w:val="0"/>
        <w:adjustRightInd w:val="0"/>
        <w:jc w:val="both"/>
        <w:rPr>
          <w:rFonts w:ascii="Abadi" w:hAnsi="Abadi" w:cs="Arial"/>
          <w:sz w:val="21"/>
          <w:szCs w:val="21"/>
        </w:rPr>
      </w:pPr>
    </w:p>
    <w:p w14:paraId="2B22123F" w14:textId="77777777" w:rsidR="000210A8" w:rsidRPr="00423A6B" w:rsidRDefault="000210A8" w:rsidP="000210A8">
      <w:pPr>
        <w:autoSpaceDE w:val="0"/>
        <w:autoSpaceDN w:val="0"/>
        <w:adjustRightInd w:val="0"/>
        <w:jc w:val="both"/>
        <w:rPr>
          <w:rFonts w:ascii="Abadi" w:hAnsi="Abadi" w:cs="Arial"/>
          <w:sz w:val="21"/>
          <w:szCs w:val="21"/>
        </w:rPr>
      </w:pPr>
      <w:r w:rsidRPr="00423A6B">
        <w:rPr>
          <w:rFonts w:ascii="Abadi" w:hAnsi="Abadi" w:cs="Arial"/>
          <w:sz w:val="21"/>
          <w:szCs w:val="21"/>
        </w:rPr>
        <w:t>Por lo anteriormente expuesto me permito someter a consideración de este pleno,</w:t>
      </w:r>
      <w:r>
        <w:rPr>
          <w:rFonts w:ascii="Abadi" w:hAnsi="Abadi" w:cs="Arial"/>
          <w:sz w:val="21"/>
          <w:szCs w:val="21"/>
        </w:rPr>
        <w:t xml:space="preserve"> </w:t>
      </w:r>
      <w:r w:rsidRPr="00423A6B">
        <w:rPr>
          <w:rFonts w:ascii="Abadi" w:hAnsi="Abadi" w:cs="Arial"/>
          <w:sz w:val="21"/>
          <w:szCs w:val="21"/>
        </w:rPr>
        <w:t>para su aprobación, el siguiente:</w:t>
      </w:r>
    </w:p>
    <w:p w14:paraId="5522B375" w14:textId="77777777" w:rsidR="000210A8" w:rsidRPr="00423A6B" w:rsidRDefault="000210A8" w:rsidP="000210A8">
      <w:pPr>
        <w:jc w:val="both"/>
        <w:rPr>
          <w:rFonts w:ascii="Abadi" w:hAnsi="Abadi" w:cs="Arial"/>
          <w:sz w:val="21"/>
          <w:szCs w:val="21"/>
        </w:rPr>
      </w:pPr>
    </w:p>
    <w:p w14:paraId="2F4B6EAA" w14:textId="77777777" w:rsidR="000210A8" w:rsidRPr="00423A6B" w:rsidRDefault="000210A8" w:rsidP="000210A8">
      <w:pPr>
        <w:jc w:val="center"/>
        <w:rPr>
          <w:rFonts w:ascii="Abadi" w:hAnsi="Abadi" w:cs="Arial"/>
          <w:b/>
          <w:bCs/>
          <w:sz w:val="21"/>
          <w:szCs w:val="21"/>
        </w:rPr>
      </w:pPr>
      <w:r w:rsidRPr="00423A6B">
        <w:rPr>
          <w:rFonts w:ascii="Abadi" w:hAnsi="Abadi" w:cs="Arial"/>
          <w:b/>
          <w:bCs/>
          <w:sz w:val="21"/>
          <w:szCs w:val="21"/>
        </w:rPr>
        <w:t>P U N T O D E A C U E R D O:</w:t>
      </w:r>
    </w:p>
    <w:p w14:paraId="7BE13D75" w14:textId="77777777" w:rsidR="000210A8" w:rsidRPr="00423A6B" w:rsidRDefault="000210A8" w:rsidP="000210A8">
      <w:pPr>
        <w:jc w:val="both"/>
        <w:rPr>
          <w:rFonts w:ascii="Abadi" w:hAnsi="Abadi" w:cs="Arial"/>
          <w:b/>
          <w:bCs/>
          <w:sz w:val="21"/>
          <w:szCs w:val="21"/>
        </w:rPr>
      </w:pPr>
    </w:p>
    <w:p w14:paraId="0AFF9935" w14:textId="77777777" w:rsidR="000210A8" w:rsidRDefault="000210A8" w:rsidP="000210A8">
      <w:pPr>
        <w:autoSpaceDE w:val="0"/>
        <w:autoSpaceDN w:val="0"/>
        <w:adjustRightInd w:val="0"/>
        <w:jc w:val="both"/>
        <w:rPr>
          <w:rFonts w:ascii="Abadi" w:hAnsi="Abadi" w:cs="Arial"/>
          <w:sz w:val="21"/>
          <w:szCs w:val="21"/>
        </w:rPr>
      </w:pPr>
      <w:r w:rsidRPr="00423A6B">
        <w:rPr>
          <w:rFonts w:ascii="Abadi" w:hAnsi="Abadi" w:cs="Arial"/>
          <w:b/>
          <w:bCs/>
          <w:sz w:val="21"/>
          <w:szCs w:val="21"/>
        </w:rPr>
        <w:t xml:space="preserve">Primero.- </w:t>
      </w:r>
      <w:r w:rsidRPr="00423A6B">
        <w:rPr>
          <w:rFonts w:ascii="Abadi" w:hAnsi="Abadi" w:cs="Arial"/>
          <w:sz w:val="21"/>
          <w:szCs w:val="21"/>
        </w:rPr>
        <w:t>Esta Sexagésima Quinta Legislatura del Congreso del Estado de</w:t>
      </w:r>
      <w:r>
        <w:rPr>
          <w:rFonts w:ascii="Abadi" w:hAnsi="Abadi" w:cs="Arial"/>
          <w:sz w:val="21"/>
          <w:szCs w:val="21"/>
        </w:rPr>
        <w:t xml:space="preserve"> </w:t>
      </w:r>
      <w:r w:rsidRPr="00423A6B">
        <w:rPr>
          <w:rFonts w:ascii="Abadi" w:hAnsi="Abadi" w:cs="Arial"/>
          <w:sz w:val="21"/>
          <w:szCs w:val="21"/>
        </w:rPr>
        <w:t>Guanajuato, gira atento exhorto a la Fiscalía General del Estado, para que de a</w:t>
      </w:r>
      <w:r>
        <w:rPr>
          <w:rFonts w:ascii="Abadi" w:hAnsi="Abadi" w:cs="Arial"/>
          <w:sz w:val="21"/>
          <w:szCs w:val="21"/>
        </w:rPr>
        <w:t xml:space="preserve"> </w:t>
      </w:r>
      <w:r w:rsidRPr="00423A6B">
        <w:rPr>
          <w:rFonts w:ascii="Abadi" w:hAnsi="Abadi" w:cs="Arial"/>
          <w:sz w:val="21"/>
          <w:szCs w:val="21"/>
        </w:rPr>
        <w:t>conocer a esta Soberanía cuales son las causas por las cuales no se han podido</w:t>
      </w:r>
      <w:r>
        <w:rPr>
          <w:rFonts w:ascii="Abadi" w:hAnsi="Abadi" w:cs="Arial"/>
          <w:sz w:val="21"/>
          <w:szCs w:val="21"/>
        </w:rPr>
        <w:t xml:space="preserve"> </w:t>
      </w:r>
      <w:r w:rsidRPr="00423A6B">
        <w:rPr>
          <w:rFonts w:ascii="Abadi" w:hAnsi="Abadi" w:cs="Arial"/>
          <w:sz w:val="21"/>
          <w:szCs w:val="21"/>
        </w:rPr>
        <w:t>identificar la totalidad de los restos humanos hasta ahora encontrados en fosas</w:t>
      </w:r>
      <w:r>
        <w:rPr>
          <w:rFonts w:ascii="Abadi" w:hAnsi="Abadi" w:cs="Arial"/>
          <w:sz w:val="21"/>
          <w:szCs w:val="21"/>
        </w:rPr>
        <w:t xml:space="preserve"> </w:t>
      </w:r>
      <w:r w:rsidRPr="00423A6B">
        <w:rPr>
          <w:rFonts w:ascii="Abadi" w:hAnsi="Abadi" w:cs="Arial"/>
          <w:sz w:val="21"/>
          <w:szCs w:val="21"/>
        </w:rPr>
        <w:t>clandestinas.</w:t>
      </w:r>
      <w:r>
        <w:rPr>
          <w:rFonts w:ascii="Abadi" w:hAnsi="Abadi" w:cs="Arial"/>
          <w:sz w:val="21"/>
          <w:szCs w:val="21"/>
        </w:rPr>
        <w:t xml:space="preserve"> </w:t>
      </w:r>
    </w:p>
    <w:p w14:paraId="0AA548B8" w14:textId="77777777" w:rsidR="000210A8" w:rsidRPr="00423A6B" w:rsidRDefault="000210A8" w:rsidP="000210A8">
      <w:pPr>
        <w:autoSpaceDE w:val="0"/>
        <w:autoSpaceDN w:val="0"/>
        <w:adjustRightInd w:val="0"/>
        <w:jc w:val="both"/>
        <w:rPr>
          <w:rFonts w:ascii="Abadi" w:hAnsi="Abadi" w:cs="Arial"/>
          <w:sz w:val="21"/>
          <w:szCs w:val="21"/>
        </w:rPr>
      </w:pPr>
    </w:p>
    <w:p w14:paraId="01E372BF" w14:textId="77777777" w:rsidR="000210A8" w:rsidRPr="00423A6B" w:rsidRDefault="000210A8" w:rsidP="000210A8">
      <w:pPr>
        <w:autoSpaceDE w:val="0"/>
        <w:autoSpaceDN w:val="0"/>
        <w:adjustRightInd w:val="0"/>
        <w:jc w:val="both"/>
        <w:rPr>
          <w:rFonts w:ascii="Abadi" w:hAnsi="Abadi" w:cs="Arial"/>
          <w:sz w:val="21"/>
          <w:szCs w:val="21"/>
        </w:rPr>
      </w:pPr>
      <w:r w:rsidRPr="00423A6B">
        <w:rPr>
          <w:rFonts w:ascii="Abadi" w:hAnsi="Abadi" w:cs="Arial"/>
          <w:b/>
          <w:bCs/>
          <w:sz w:val="21"/>
          <w:szCs w:val="21"/>
        </w:rPr>
        <w:t xml:space="preserve">Segundo.- </w:t>
      </w:r>
      <w:r w:rsidRPr="00423A6B">
        <w:rPr>
          <w:rFonts w:ascii="Abadi" w:hAnsi="Abadi" w:cs="Arial"/>
          <w:sz w:val="21"/>
          <w:szCs w:val="21"/>
        </w:rPr>
        <w:t>Esta Sexagésima Quinta Legislatura del Congreso del Estado de</w:t>
      </w:r>
      <w:r>
        <w:rPr>
          <w:rFonts w:ascii="Abadi" w:hAnsi="Abadi" w:cs="Arial"/>
          <w:sz w:val="21"/>
          <w:szCs w:val="21"/>
        </w:rPr>
        <w:t xml:space="preserve"> </w:t>
      </w:r>
      <w:r w:rsidRPr="00423A6B">
        <w:rPr>
          <w:rFonts w:ascii="Abadi" w:hAnsi="Abadi" w:cs="Arial"/>
          <w:sz w:val="21"/>
          <w:szCs w:val="21"/>
        </w:rPr>
        <w:t>Guanajuato, gira atento exhorto al Titular del Ejecutivo Estatal para que, a través de</w:t>
      </w:r>
      <w:r>
        <w:rPr>
          <w:rFonts w:ascii="Abadi" w:hAnsi="Abadi" w:cs="Arial"/>
          <w:sz w:val="21"/>
          <w:szCs w:val="21"/>
        </w:rPr>
        <w:t xml:space="preserve"> </w:t>
      </w:r>
      <w:r w:rsidRPr="00423A6B">
        <w:rPr>
          <w:rFonts w:ascii="Abadi" w:hAnsi="Abadi" w:cs="Arial"/>
          <w:sz w:val="21"/>
          <w:szCs w:val="21"/>
        </w:rPr>
        <w:t>la Secretaría de Seguridad Pública, se brinde protección y apoyo técnico a los</w:t>
      </w:r>
      <w:r>
        <w:rPr>
          <w:rFonts w:ascii="Abadi" w:hAnsi="Abadi" w:cs="Arial"/>
          <w:sz w:val="21"/>
          <w:szCs w:val="21"/>
        </w:rPr>
        <w:t xml:space="preserve"> </w:t>
      </w:r>
      <w:r w:rsidRPr="00423A6B">
        <w:rPr>
          <w:rFonts w:ascii="Abadi" w:hAnsi="Abadi" w:cs="Arial"/>
          <w:sz w:val="21"/>
          <w:szCs w:val="21"/>
        </w:rPr>
        <w:t>Colectivos de familiares de personas desaparecidas que realizan el trabajo que</w:t>
      </w:r>
      <w:r>
        <w:rPr>
          <w:rFonts w:ascii="Abadi" w:hAnsi="Abadi" w:cs="Arial"/>
          <w:sz w:val="21"/>
          <w:szCs w:val="21"/>
        </w:rPr>
        <w:t xml:space="preserve"> </w:t>
      </w:r>
      <w:r w:rsidRPr="00423A6B">
        <w:rPr>
          <w:rFonts w:ascii="Abadi" w:hAnsi="Abadi" w:cs="Arial"/>
          <w:sz w:val="21"/>
          <w:szCs w:val="21"/>
        </w:rPr>
        <w:t>debería hacer el propio Estado.</w:t>
      </w:r>
    </w:p>
    <w:p w14:paraId="0DB5A9D6" w14:textId="77777777" w:rsidR="000210A8" w:rsidRDefault="000210A8" w:rsidP="000210A8">
      <w:pPr>
        <w:autoSpaceDE w:val="0"/>
        <w:autoSpaceDN w:val="0"/>
        <w:adjustRightInd w:val="0"/>
        <w:jc w:val="both"/>
        <w:rPr>
          <w:rFonts w:ascii="Abadi" w:hAnsi="Abadi" w:cs="Arial"/>
          <w:b/>
          <w:bCs/>
          <w:sz w:val="21"/>
          <w:szCs w:val="21"/>
        </w:rPr>
      </w:pPr>
    </w:p>
    <w:p w14:paraId="0D411CD0" w14:textId="0822F454" w:rsidR="000210A8" w:rsidRDefault="000210A8" w:rsidP="000210A8">
      <w:pPr>
        <w:autoSpaceDE w:val="0"/>
        <w:autoSpaceDN w:val="0"/>
        <w:adjustRightInd w:val="0"/>
        <w:jc w:val="center"/>
        <w:rPr>
          <w:rFonts w:ascii="Abadi" w:hAnsi="Abadi" w:cs="Arial"/>
          <w:b/>
          <w:bCs/>
          <w:sz w:val="21"/>
          <w:szCs w:val="21"/>
        </w:rPr>
      </w:pPr>
      <w:r w:rsidRPr="00423A6B">
        <w:rPr>
          <w:rFonts w:ascii="Abadi" w:hAnsi="Abadi" w:cs="Arial"/>
          <w:b/>
          <w:bCs/>
          <w:sz w:val="21"/>
          <w:szCs w:val="21"/>
        </w:rPr>
        <w:t>Protesto lo necesario</w:t>
      </w:r>
    </w:p>
    <w:p w14:paraId="4003ED9E" w14:textId="77777777" w:rsidR="000210A8" w:rsidRPr="00423A6B" w:rsidRDefault="000210A8" w:rsidP="000210A8">
      <w:pPr>
        <w:autoSpaceDE w:val="0"/>
        <w:autoSpaceDN w:val="0"/>
        <w:adjustRightInd w:val="0"/>
        <w:jc w:val="center"/>
        <w:rPr>
          <w:rFonts w:ascii="Abadi" w:hAnsi="Abadi" w:cs="Arial"/>
          <w:b/>
          <w:bCs/>
          <w:sz w:val="21"/>
          <w:szCs w:val="21"/>
        </w:rPr>
      </w:pPr>
    </w:p>
    <w:p w14:paraId="15FB062C" w14:textId="77777777" w:rsidR="000210A8" w:rsidRPr="00423A6B" w:rsidRDefault="000210A8" w:rsidP="000210A8">
      <w:pPr>
        <w:autoSpaceDE w:val="0"/>
        <w:autoSpaceDN w:val="0"/>
        <w:adjustRightInd w:val="0"/>
        <w:jc w:val="center"/>
        <w:rPr>
          <w:rFonts w:ascii="Abadi" w:hAnsi="Abadi" w:cs="Arial"/>
          <w:sz w:val="21"/>
          <w:szCs w:val="21"/>
        </w:rPr>
      </w:pPr>
      <w:r w:rsidRPr="00423A6B">
        <w:rPr>
          <w:rFonts w:ascii="Abadi" w:hAnsi="Abadi" w:cs="Arial"/>
          <w:sz w:val="21"/>
          <w:szCs w:val="21"/>
        </w:rPr>
        <w:t>Guanajuato, Gto. a 10 de mayo de 2022.</w:t>
      </w:r>
    </w:p>
    <w:p w14:paraId="3F0A45C2" w14:textId="77777777" w:rsidR="000210A8" w:rsidRDefault="000210A8" w:rsidP="000210A8">
      <w:pPr>
        <w:autoSpaceDE w:val="0"/>
        <w:autoSpaceDN w:val="0"/>
        <w:adjustRightInd w:val="0"/>
        <w:jc w:val="center"/>
        <w:rPr>
          <w:rFonts w:ascii="Abadi" w:hAnsi="Abadi" w:cs="Arial"/>
          <w:b/>
          <w:bCs/>
          <w:sz w:val="21"/>
          <w:szCs w:val="21"/>
        </w:rPr>
      </w:pPr>
    </w:p>
    <w:p w14:paraId="5A2878B6" w14:textId="791BEAC3" w:rsidR="000210A8" w:rsidRPr="00423A6B" w:rsidRDefault="000210A8" w:rsidP="000210A8">
      <w:pPr>
        <w:autoSpaceDE w:val="0"/>
        <w:autoSpaceDN w:val="0"/>
        <w:adjustRightInd w:val="0"/>
        <w:jc w:val="center"/>
        <w:rPr>
          <w:rFonts w:ascii="Abadi" w:hAnsi="Abadi" w:cs="Arial"/>
          <w:b/>
          <w:bCs/>
          <w:sz w:val="21"/>
          <w:szCs w:val="21"/>
        </w:rPr>
      </w:pPr>
      <w:r w:rsidRPr="00423A6B">
        <w:rPr>
          <w:rFonts w:ascii="Abadi" w:hAnsi="Abadi" w:cs="Arial"/>
          <w:b/>
          <w:bCs/>
          <w:sz w:val="21"/>
          <w:szCs w:val="21"/>
        </w:rPr>
        <w:t>Dip. Alma Edwviges Alcaraz Hernández</w:t>
      </w:r>
    </w:p>
    <w:p w14:paraId="5DABB6D5" w14:textId="77777777" w:rsidR="000210A8" w:rsidRPr="00423A6B" w:rsidRDefault="000210A8" w:rsidP="000210A8">
      <w:pPr>
        <w:jc w:val="center"/>
        <w:rPr>
          <w:rFonts w:ascii="Abadi" w:hAnsi="Abadi"/>
          <w:sz w:val="21"/>
          <w:szCs w:val="21"/>
        </w:rPr>
      </w:pPr>
      <w:r w:rsidRPr="00423A6B">
        <w:rPr>
          <w:rFonts w:ascii="Abadi" w:hAnsi="Abadi" w:cs="Arial"/>
          <w:sz w:val="21"/>
          <w:szCs w:val="21"/>
        </w:rPr>
        <w:t>Grupo Parlamentario de MORENA</w:t>
      </w:r>
    </w:p>
    <w:p w14:paraId="3E46782B" w14:textId="77777777" w:rsidR="000210A8" w:rsidRDefault="000210A8" w:rsidP="007640BB">
      <w:pPr>
        <w:autoSpaceDE w:val="0"/>
        <w:autoSpaceDN w:val="0"/>
        <w:adjustRightInd w:val="0"/>
        <w:jc w:val="both"/>
        <w:rPr>
          <w:rFonts w:ascii="Abadi" w:hAnsi="Abadi" w:cs="ArialMT"/>
          <w:b/>
          <w:bCs/>
          <w:sz w:val="20"/>
          <w:szCs w:val="21"/>
        </w:rPr>
      </w:pPr>
    </w:p>
    <w:p w14:paraId="512EE46F" w14:textId="0EFE6107" w:rsidR="007640BB" w:rsidRDefault="007640BB" w:rsidP="007640BB">
      <w:pPr>
        <w:autoSpaceDE w:val="0"/>
        <w:autoSpaceDN w:val="0"/>
        <w:adjustRightInd w:val="0"/>
        <w:jc w:val="both"/>
        <w:rPr>
          <w:rFonts w:ascii="Abadi" w:hAnsi="Abadi" w:cs="ArialMT"/>
          <w:b/>
          <w:bCs/>
          <w:sz w:val="20"/>
          <w:szCs w:val="21"/>
        </w:rPr>
      </w:pPr>
    </w:p>
    <w:p w14:paraId="69E9913F" w14:textId="685FF91B" w:rsidR="007640BB" w:rsidRPr="007640BB" w:rsidRDefault="007640BB" w:rsidP="007640BB">
      <w:pPr>
        <w:ind w:firstLine="426"/>
        <w:jc w:val="both"/>
        <w:rPr>
          <w:rFonts w:ascii="Abadi" w:hAnsi="Abadi"/>
          <w:sz w:val="21"/>
          <w:szCs w:val="21"/>
        </w:rPr>
      </w:pPr>
      <w:r>
        <w:rPr>
          <w:b/>
          <w:bCs/>
        </w:rPr>
        <w:t xml:space="preserve">- </w:t>
      </w:r>
      <w:bookmarkStart w:id="6" w:name="_Hlk106791124"/>
      <w:r w:rsidRPr="007640BB">
        <w:rPr>
          <w:rFonts w:ascii="Abadi" w:hAnsi="Abadi"/>
          <w:b/>
          <w:bCs/>
          <w:sz w:val="21"/>
          <w:szCs w:val="21"/>
        </w:rPr>
        <w:t>La Presidenta.-</w:t>
      </w:r>
      <w:r w:rsidRPr="007640BB">
        <w:rPr>
          <w:rFonts w:ascii="Abadi" w:hAnsi="Abadi"/>
          <w:sz w:val="21"/>
          <w:szCs w:val="21"/>
        </w:rPr>
        <w:t xml:space="preserve"> Enseguida se solicita la diputada Alma Edwviges  Alcaraz Hernández, dar lectura a su propuesta de punto de acuerdo  a efecto de exhortar a la Fiscalía General del Estado para que de a conocer a esta soberanía cuales son las causas por las que no se ha podido identificar la totalidad de los restos humanos hasta ahora encontrados en fosas clandestinas, así como el titular del Ejecutivo Estatal para que, a través de la Secretaría de Seguridad Pública, se brinde protección y apoyo técnico a los colectivos que familiares de personas desaparecidas realizan el trabajo que debería hacer el propio Estado. </w:t>
      </w:r>
    </w:p>
    <w:bookmarkEnd w:id="6"/>
    <w:p w14:paraId="4FDCEFD5" w14:textId="5F08D628" w:rsidR="007640BB" w:rsidRDefault="007640BB" w:rsidP="007640BB">
      <w:pPr>
        <w:autoSpaceDE w:val="0"/>
        <w:autoSpaceDN w:val="0"/>
        <w:adjustRightInd w:val="0"/>
        <w:jc w:val="both"/>
        <w:rPr>
          <w:rFonts w:ascii="Abadi" w:hAnsi="Abadi" w:cs="ArialMT"/>
          <w:b/>
          <w:bCs/>
          <w:sz w:val="20"/>
          <w:szCs w:val="21"/>
        </w:rPr>
      </w:pPr>
    </w:p>
    <w:p w14:paraId="710C9791" w14:textId="72E4483D" w:rsidR="00393506" w:rsidRDefault="00393506" w:rsidP="00393506">
      <w:pPr>
        <w:autoSpaceDE w:val="0"/>
        <w:autoSpaceDN w:val="0"/>
        <w:adjustRightInd w:val="0"/>
        <w:jc w:val="center"/>
        <w:rPr>
          <w:rFonts w:ascii="Abadi" w:hAnsi="Abadi" w:cs="ArialMT"/>
          <w:b/>
          <w:bCs/>
          <w:sz w:val="20"/>
          <w:szCs w:val="21"/>
        </w:rPr>
      </w:pPr>
      <w:r>
        <w:rPr>
          <w:rFonts w:ascii="Abadi" w:hAnsi="Abadi" w:cs="ArialMT"/>
          <w:b/>
          <w:bCs/>
          <w:sz w:val="20"/>
          <w:szCs w:val="21"/>
        </w:rPr>
        <w:t>(Posicionamiento)</w:t>
      </w:r>
    </w:p>
    <w:p w14:paraId="3AB4434C" w14:textId="30868D42" w:rsidR="00393506" w:rsidRDefault="00393506" w:rsidP="007640BB">
      <w:pPr>
        <w:autoSpaceDE w:val="0"/>
        <w:autoSpaceDN w:val="0"/>
        <w:adjustRightInd w:val="0"/>
        <w:jc w:val="both"/>
        <w:rPr>
          <w:rFonts w:ascii="Abadi" w:hAnsi="Abadi" w:cs="ArialMT"/>
          <w:b/>
          <w:bCs/>
          <w:sz w:val="20"/>
          <w:szCs w:val="21"/>
        </w:rPr>
      </w:pPr>
    </w:p>
    <w:p w14:paraId="34E5DDDE" w14:textId="6B8492B5" w:rsidR="00393506" w:rsidRDefault="00393506" w:rsidP="007640BB">
      <w:pPr>
        <w:autoSpaceDE w:val="0"/>
        <w:autoSpaceDN w:val="0"/>
        <w:adjustRightInd w:val="0"/>
        <w:jc w:val="both"/>
        <w:rPr>
          <w:rFonts w:ascii="Abadi" w:hAnsi="Abadi" w:cs="ArialMT"/>
          <w:b/>
          <w:bCs/>
          <w:sz w:val="20"/>
          <w:szCs w:val="21"/>
        </w:rPr>
      </w:pPr>
      <w:r>
        <w:rPr>
          <w:noProof/>
        </w:rPr>
        <w:drawing>
          <wp:anchor distT="0" distB="0" distL="114300" distR="114300" simplePos="0" relativeHeight="251671552" behindDoc="1" locked="0" layoutInCell="1" allowOverlap="1" wp14:anchorId="6EF2E661" wp14:editId="2481597B">
            <wp:simplePos x="0" y="0"/>
            <wp:positionH relativeFrom="column">
              <wp:posOffset>261770</wp:posOffset>
            </wp:positionH>
            <wp:positionV relativeFrom="paragraph">
              <wp:posOffset>82662</wp:posOffset>
            </wp:positionV>
            <wp:extent cx="1987246" cy="1028700"/>
            <wp:effectExtent l="0" t="57150" r="0" b="400050"/>
            <wp:wrapTight wrapText="bothSides">
              <wp:wrapPolygon edited="0">
                <wp:start x="10976" y="-1200"/>
                <wp:lineTo x="621" y="-800"/>
                <wp:lineTo x="207" y="-400"/>
                <wp:lineTo x="414" y="29600"/>
                <wp:lineTo x="1243" y="29600"/>
                <wp:lineTo x="4142" y="28800"/>
                <wp:lineTo x="19881" y="25600"/>
                <wp:lineTo x="19881" y="-1200"/>
                <wp:lineTo x="10976" y="-1200"/>
              </wp:wrapPolygon>
            </wp:wrapTight>
            <wp:docPr id="26" name="Imagen 2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magen que contiene Interfaz de usuario gráfica&#10;&#10;Descripción generada automáticamente"/>
                    <pic:cNvPicPr/>
                  </pic:nvPicPr>
                  <pic:blipFill rotWithShape="1">
                    <a:blip r:embed="rId30" cstate="print">
                      <a:extLst>
                        <a:ext uri="{28A0092B-C50C-407E-A947-70E740481C1C}">
                          <a14:useLocalDpi xmlns:a14="http://schemas.microsoft.com/office/drawing/2010/main" val="0"/>
                        </a:ext>
                      </a:extLst>
                    </a:blip>
                    <a:srcRect b="7966"/>
                    <a:stretch/>
                  </pic:blipFill>
                  <pic:spPr bwMode="auto">
                    <a:xfrm>
                      <a:off x="0" y="0"/>
                      <a:ext cx="1987246" cy="10287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006A1443" w14:textId="698BF9BE" w:rsidR="00CE7D31" w:rsidRPr="00CE7D31" w:rsidRDefault="00CE7D31" w:rsidP="00CE7D31">
      <w:pPr>
        <w:autoSpaceDE w:val="0"/>
        <w:autoSpaceDN w:val="0"/>
        <w:adjustRightInd w:val="0"/>
        <w:jc w:val="both"/>
        <w:rPr>
          <w:rFonts w:ascii="Abadi" w:hAnsi="Abadi" w:cs="ArialMT"/>
          <w:b/>
          <w:bCs/>
          <w:sz w:val="20"/>
          <w:szCs w:val="21"/>
        </w:rPr>
      </w:pPr>
      <w:r w:rsidRPr="00CE7D31">
        <w:rPr>
          <w:rFonts w:ascii="Abadi" w:hAnsi="Abadi" w:cs="ArialMT"/>
          <w:b/>
          <w:bCs/>
          <w:sz w:val="20"/>
          <w:szCs w:val="21"/>
        </w:rPr>
        <w:t>-Diputada Alma Edwviges Alcaraz Hernández</w:t>
      </w:r>
      <w:r>
        <w:rPr>
          <w:rFonts w:ascii="Abadi" w:hAnsi="Abadi" w:cs="ArialMT"/>
          <w:b/>
          <w:bCs/>
          <w:sz w:val="20"/>
          <w:szCs w:val="21"/>
        </w:rPr>
        <w:t xml:space="preserve"> </w:t>
      </w:r>
    </w:p>
    <w:p w14:paraId="00980AA9" w14:textId="77777777" w:rsidR="00CE7D31" w:rsidRPr="00CE7D31" w:rsidRDefault="00CE7D31" w:rsidP="00CE7D31">
      <w:pPr>
        <w:autoSpaceDE w:val="0"/>
        <w:autoSpaceDN w:val="0"/>
        <w:adjustRightInd w:val="0"/>
        <w:jc w:val="both"/>
        <w:rPr>
          <w:rFonts w:ascii="Abadi" w:hAnsi="Abadi" w:cs="ArialMT"/>
          <w:b/>
          <w:bCs/>
          <w:sz w:val="20"/>
          <w:szCs w:val="21"/>
        </w:rPr>
      </w:pPr>
    </w:p>
    <w:p w14:paraId="63DDB156" w14:textId="7D8744B8" w:rsidR="00CE7D31" w:rsidRDefault="0031334A" w:rsidP="00CE7D31">
      <w:pPr>
        <w:autoSpaceDE w:val="0"/>
        <w:autoSpaceDN w:val="0"/>
        <w:adjustRightInd w:val="0"/>
        <w:jc w:val="both"/>
        <w:rPr>
          <w:rFonts w:ascii="Abadi" w:hAnsi="Abadi" w:cs="ArialMT"/>
          <w:sz w:val="20"/>
          <w:szCs w:val="21"/>
        </w:rPr>
      </w:pPr>
      <w:r>
        <w:rPr>
          <w:rFonts w:ascii="Abadi" w:hAnsi="Abadi" w:cs="ArialMT"/>
          <w:sz w:val="20"/>
          <w:szCs w:val="21"/>
        </w:rPr>
        <w:t xml:space="preserve">- </w:t>
      </w:r>
      <w:r w:rsidR="00CE7D31" w:rsidRPr="00CE7D31">
        <w:rPr>
          <w:rFonts w:ascii="Abadi" w:hAnsi="Abadi" w:cs="ArialMT"/>
          <w:sz w:val="20"/>
          <w:szCs w:val="21"/>
        </w:rPr>
        <w:t xml:space="preserve">Muchas gracias con su venia, diputada presidenta, buen día, compañeros, compañeros, diputados, amigos de los medios de comunicación, quienes nos siguen por las redes sociales. En este momento, pues hago uso del de esta tribuna para presentarles un punto de acuerdo en relación con la identificación de los cuerpos encontrados en nuestro Estado y la falta de recursos financieros para este grave problema. </w:t>
      </w:r>
    </w:p>
    <w:p w14:paraId="19432D83" w14:textId="77777777" w:rsidR="00CE7D31" w:rsidRPr="00CE7D31" w:rsidRDefault="00CE7D31" w:rsidP="00CE7D31">
      <w:pPr>
        <w:autoSpaceDE w:val="0"/>
        <w:autoSpaceDN w:val="0"/>
        <w:adjustRightInd w:val="0"/>
        <w:jc w:val="both"/>
        <w:rPr>
          <w:rFonts w:ascii="Abadi" w:hAnsi="Abadi" w:cs="ArialMT"/>
          <w:sz w:val="20"/>
          <w:szCs w:val="21"/>
        </w:rPr>
      </w:pPr>
    </w:p>
    <w:p w14:paraId="42556001" w14:textId="77777777" w:rsidR="00CE7D31" w:rsidRDefault="00CE7D31" w:rsidP="00CE7D31">
      <w:pPr>
        <w:autoSpaceDE w:val="0"/>
        <w:autoSpaceDN w:val="0"/>
        <w:adjustRightInd w:val="0"/>
        <w:jc w:val="both"/>
        <w:rPr>
          <w:rFonts w:ascii="Abadi" w:hAnsi="Abadi" w:cs="ArialMT"/>
          <w:sz w:val="20"/>
          <w:szCs w:val="21"/>
        </w:rPr>
      </w:pPr>
      <w:r w:rsidRPr="00CE7D31">
        <w:rPr>
          <w:rFonts w:ascii="Abadi" w:hAnsi="Abadi" w:cs="ArialMT"/>
          <w:sz w:val="20"/>
          <w:szCs w:val="21"/>
        </w:rPr>
        <w:t xml:space="preserve">- Resulta innegable que las cifras de desapariciones en Guanajuato han ido en aumento constante. Ya lo refería mi compañera Hades Berenice, la situación de la violencia en la presente administración parece ser un tema que pues no ocupa ni preocupa mucho en el Fiscal General del del Estado, ni el propio Gobernador a diario los medios de comunicación y las redes sociales, dan cuenta del dolor y la frustración que enfrentan las familias cuando se dan cuenta de la ausencia de alguno de sus miembros, tan sólo en el mes de febrero de este año, 9 colectivos de búsqueda de personas desaparecidas e integrantes de la plataforma por la paz y la justicia en Guanajuato denunciaron que para ese mes había 2610 personas que se tenían reportadas. </w:t>
      </w:r>
    </w:p>
    <w:p w14:paraId="1A3476E0" w14:textId="77777777" w:rsidR="00CE7D31" w:rsidRDefault="00CE7D31" w:rsidP="00CE7D31">
      <w:pPr>
        <w:autoSpaceDE w:val="0"/>
        <w:autoSpaceDN w:val="0"/>
        <w:adjustRightInd w:val="0"/>
        <w:jc w:val="both"/>
        <w:rPr>
          <w:rFonts w:ascii="Abadi" w:hAnsi="Abadi" w:cs="ArialMT"/>
          <w:sz w:val="20"/>
          <w:szCs w:val="21"/>
        </w:rPr>
      </w:pPr>
    </w:p>
    <w:p w14:paraId="4AE92192" w14:textId="5C783445" w:rsidR="00CE7D31" w:rsidRDefault="00CE7D31" w:rsidP="00CE7D31">
      <w:pPr>
        <w:autoSpaceDE w:val="0"/>
        <w:autoSpaceDN w:val="0"/>
        <w:adjustRightInd w:val="0"/>
        <w:jc w:val="both"/>
        <w:rPr>
          <w:rFonts w:ascii="Abadi" w:hAnsi="Abadi" w:cs="ArialMT"/>
          <w:sz w:val="20"/>
          <w:szCs w:val="21"/>
        </w:rPr>
      </w:pPr>
      <w:r>
        <w:rPr>
          <w:rFonts w:ascii="Abadi" w:hAnsi="Abadi" w:cs="ArialMT"/>
          <w:sz w:val="20"/>
          <w:szCs w:val="21"/>
        </w:rPr>
        <w:t xml:space="preserve">- </w:t>
      </w:r>
      <w:r w:rsidRPr="00CE7D31">
        <w:rPr>
          <w:rFonts w:ascii="Abadi" w:hAnsi="Abadi" w:cs="ArialMT"/>
          <w:sz w:val="20"/>
          <w:szCs w:val="21"/>
        </w:rPr>
        <w:t xml:space="preserve">Como desaparecidas y fue aquí mismo, en este Congreso, que esos colectivos denunciaron la ineficiencia de la Comisión Estatal de búsqueda y de la Comisión Estatal de atención a víctimas, esos colectivos que en muchas ocasiones han hecho el trabajo que correspondía a las autoridades y que han suplido las deficiencias del actuar del gobierno. Son también quienes han advertido y quienes han denunciado que las autoridades encargadas de la búsqueda y atención de víctimas no cuenta con los recursos económicos suficientes para realizar estas actividades. </w:t>
      </w:r>
    </w:p>
    <w:p w14:paraId="0A7A161C" w14:textId="77777777" w:rsidR="00CE7D31" w:rsidRPr="00CE7D31" w:rsidRDefault="00CE7D31" w:rsidP="00CE7D31">
      <w:pPr>
        <w:autoSpaceDE w:val="0"/>
        <w:autoSpaceDN w:val="0"/>
        <w:adjustRightInd w:val="0"/>
        <w:jc w:val="both"/>
        <w:rPr>
          <w:rFonts w:ascii="Abadi" w:hAnsi="Abadi" w:cs="ArialMT"/>
          <w:sz w:val="20"/>
          <w:szCs w:val="21"/>
        </w:rPr>
      </w:pPr>
    </w:p>
    <w:p w14:paraId="6CB9A9CA" w14:textId="70B54962" w:rsidR="00CE7D31" w:rsidRDefault="00CE7D31" w:rsidP="00CE7D31">
      <w:pPr>
        <w:autoSpaceDE w:val="0"/>
        <w:autoSpaceDN w:val="0"/>
        <w:adjustRightInd w:val="0"/>
        <w:jc w:val="both"/>
        <w:rPr>
          <w:rFonts w:ascii="Abadi" w:hAnsi="Abadi" w:cs="ArialMT"/>
          <w:sz w:val="20"/>
          <w:szCs w:val="21"/>
        </w:rPr>
      </w:pPr>
      <w:r w:rsidRPr="00CE7D31">
        <w:rPr>
          <w:rFonts w:ascii="Abadi" w:hAnsi="Abadi" w:cs="ArialMT"/>
          <w:sz w:val="20"/>
          <w:szCs w:val="21"/>
        </w:rPr>
        <w:t xml:space="preserve">- El problema de la eficacia de la autoridad se agudiza cada vez más, ya que cuando se encuentran cuerpos de las fosas clandestinas. No se identifican todos los restos humanos encontrados, por ejemplo, de acuerdo con la información que publica el periódico Am, que es muy interesante en el periodo comprendido del 9 de abril al 8 de mayo, es decir, en un mes, únicamente se identificaron un cuerpo de los 94 cuerpos encontrados.  O sea uno logró ser identificado el resto de los otros 93 no se supo, quienes eran esas personas en las 10, fosas clandestinas reconocidas por la Fiscalía y el promedio de personas reconocidas por parte de la Fiscalía es de tan sólo 2 al mes, siendo que al mes de febrero se pudieron reconocer 18 restos humanos, o sea, es muy poco el nivel de identificación de los restos humanos que son encontrados en las fosas clandestinas, según los informes de la propia Comisión Estatal de búsqueda, las desapariciones en el primer trimestre de este año. Aumentaron en 16 personas respecto del trimestre del 2021, al pasar del 215 o 261 personas desaparecidas. Se trata de 261 personas que al cierre del primer trimestre de este año no han sido localizadas. Familias que el día de hoy se encuentran incompletas se encuentran desesperadas, se encuentran, llorando por esas personas que no están a sus lados. </w:t>
      </w:r>
    </w:p>
    <w:p w14:paraId="75CD3507" w14:textId="77777777" w:rsidR="00CE7D31" w:rsidRPr="00CE7D31" w:rsidRDefault="00CE7D31" w:rsidP="00CE7D31">
      <w:pPr>
        <w:autoSpaceDE w:val="0"/>
        <w:autoSpaceDN w:val="0"/>
        <w:adjustRightInd w:val="0"/>
        <w:jc w:val="both"/>
        <w:rPr>
          <w:rFonts w:ascii="Abadi" w:hAnsi="Abadi" w:cs="ArialMT"/>
          <w:sz w:val="20"/>
          <w:szCs w:val="21"/>
        </w:rPr>
      </w:pPr>
    </w:p>
    <w:p w14:paraId="29B39CBA" w14:textId="08AED7E3" w:rsidR="00CE7D31" w:rsidRDefault="00CE7D31" w:rsidP="00CE7D31">
      <w:pPr>
        <w:autoSpaceDE w:val="0"/>
        <w:autoSpaceDN w:val="0"/>
        <w:adjustRightInd w:val="0"/>
        <w:jc w:val="both"/>
        <w:rPr>
          <w:rFonts w:ascii="Abadi" w:hAnsi="Abadi" w:cs="ArialMT"/>
          <w:sz w:val="20"/>
          <w:szCs w:val="21"/>
        </w:rPr>
      </w:pPr>
      <w:r w:rsidRPr="00CE7D31">
        <w:rPr>
          <w:rFonts w:ascii="Abadi" w:hAnsi="Abadi" w:cs="ArialMT"/>
          <w:sz w:val="20"/>
          <w:szCs w:val="21"/>
        </w:rPr>
        <w:t xml:space="preserve">- Quienes integramos este Congreso no podemos olvidar las denuncias de los colectivos de búsqueda que en repetidas ocasiones han manifestado la falta de apoyo, la falta de cuidado y diligencia por parte de los cuerpos de la propia seguridad pública del Estado el momento de realizar las acciones de búsqueda de sus familiares de las personas desaparecidas. Esto debe de ser preocupante para todos nosotros considero ya que las y los guanajuatenses han sufrido, la desaparición de algún ser querido. </w:t>
      </w:r>
    </w:p>
    <w:p w14:paraId="369CDD48" w14:textId="77777777" w:rsidR="00CE7D31" w:rsidRPr="00CE7D31" w:rsidRDefault="00CE7D31" w:rsidP="00CE7D31">
      <w:pPr>
        <w:autoSpaceDE w:val="0"/>
        <w:autoSpaceDN w:val="0"/>
        <w:adjustRightInd w:val="0"/>
        <w:jc w:val="both"/>
        <w:rPr>
          <w:rFonts w:ascii="Abadi" w:hAnsi="Abadi" w:cs="ArialMT"/>
          <w:sz w:val="20"/>
          <w:szCs w:val="21"/>
        </w:rPr>
      </w:pPr>
    </w:p>
    <w:p w14:paraId="6A90463D" w14:textId="4B1D7602" w:rsidR="00CE7D31" w:rsidRPr="00CE7D31" w:rsidRDefault="00CE7D31" w:rsidP="00CE7D31">
      <w:pPr>
        <w:autoSpaceDE w:val="0"/>
        <w:autoSpaceDN w:val="0"/>
        <w:adjustRightInd w:val="0"/>
        <w:jc w:val="both"/>
        <w:rPr>
          <w:rFonts w:ascii="Abadi" w:hAnsi="Abadi" w:cs="ArialMT"/>
          <w:sz w:val="20"/>
          <w:szCs w:val="21"/>
        </w:rPr>
      </w:pPr>
      <w:r w:rsidRPr="00CE7D31">
        <w:rPr>
          <w:rFonts w:ascii="Abadi" w:hAnsi="Abadi" w:cs="ArialMT"/>
          <w:sz w:val="20"/>
          <w:szCs w:val="21"/>
        </w:rPr>
        <w:t xml:space="preserve">-Estas personas deberían, por lo menos de contar con el apoyo mínimo que el Gobierno pueda proporcionarles, deberían de sentirse protegidos acompañados al buscar a sus familiares, deberían de tener la tranquilidad de que al encontrar restos humanos las autoridades tendrán cuando menos la capacidad o la posibilidad de identificar y de saber. Si esas personas que están en esas fosas pertenecen a sus familias o no, los colectivos de búsqueda y las familias deberían sentirse. No deberían de sentirse tan inseguros o tan amenazados cada vez que encuentran fosas clandestinas o cadáveres cada vez que realizan las labores que el Gobierno no logra realizar por todo lo anteriormente expuesto, es que someto a su consideración el siguiente punto de acuerdo que esta Sexagésima Quinta Legislatura del Congreso del Estado de Guanajuato, giré atento exhorto a la Fiscalía General del Estado para que dé a conocer a esta soberanía cuáles son las causas por las cuales no se han podido identificar la totalidad de los restos humanos hasta ahora encontrados en fosas clandestinas y para que el titular del Ejecutivo estatal, a través de la Secretaría de Seguridad Pública brinde, protección y apoyo financiero y técnico suficiente a los colectivos de familiares de personas desaparecidas que realizan el trabajo que debería de hacer el propio Gobierno del Estado. </w:t>
      </w:r>
    </w:p>
    <w:p w14:paraId="3BE3749E" w14:textId="77777777" w:rsidR="00CE7D31" w:rsidRPr="00CE7D31" w:rsidRDefault="00CE7D31" w:rsidP="00CE7D31">
      <w:pPr>
        <w:autoSpaceDE w:val="0"/>
        <w:autoSpaceDN w:val="0"/>
        <w:adjustRightInd w:val="0"/>
        <w:jc w:val="both"/>
        <w:rPr>
          <w:rFonts w:ascii="Abadi" w:hAnsi="Abadi" w:cs="ArialMT"/>
          <w:sz w:val="20"/>
          <w:szCs w:val="21"/>
        </w:rPr>
      </w:pPr>
    </w:p>
    <w:p w14:paraId="648CF3BD" w14:textId="27C9F4F8" w:rsidR="00CE7D31" w:rsidRDefault="00CE7D31" w:rsidP="00CE7D31">
      <w:pPr>
        <w:autoSpaceDE w:val="0"/>
        <w:autoSpaceDN w:val="0"/>
        <w:adjustRightInd w:val="0"/>
        <w:jc w:val="both"/>
        <w:rPr>
          <w:rFonts w:ascii="Abadi" w:hAnsi="Abadi" w:cs="ArialMT"/>
          <w:sz w:val="20"/>
          <w:szCs w:val="21"/>
        </w:rPr>
      </w:pPr>
      <w:r>
        <w:rPr>
          <w:rFonts w:ascii="Abadi" w:hAnsi="Abadi" w:cs="ArialMT"/>
          <w:sz w:val="20"/>
          <w:szCs w:val="21"/>
        </w:rPr>
        <w:t xml:space="preserve">- </w:t>
      </w:r>
      <w:r w:rsidRPr="00CE7D31">
        <w:rPr>
          <w:rFonts w:ascii="Abadi" w:hAnsi="Abadi" w:cs="ArialMT"/>
          <w:sz w:val="20"/>
          <w:szCs w:val="21"/>
        </w:rPr>
        <w:t xml:space="preserve">Es cuanto diputada </w:t>
      </w:r>
      <w:r w:rsidR="005318C7">
        <w:rPr>
          <w:rFonts w:ascii="Abadi" w:hAnsi="Abadi" w:cs="ArialMT"/>
          <w:sz w:val="20"/>
          <w:szCs w:val="21"/>
        </w:rPr>
        <w:t>P</w:t>
      </w:r>
      <w:r w:rsidRPr="00CE7D31">
        <w:rPr>
          <w:rFonts w:ascii="Abadi" w:hAnsi="Abadi" w:cs="ArialMT"/>
          <w:sz w:val="20"/>
          <w:szCs w:val="21"/>
        </w:rPr>
        <w:t>residenta.</w:t>
      </w:r>
    </w:p>
    <w:p w14:paraId="7DA93F35" w14:textId="60EAD0EF" w:rsidR="00393506" w:rsidRDefault="00393506" w:rsidP="00CE7D31">
      <w:pPr>
        <w:autoSpaceDE w:val="0"/>
        <w:autoSpaceDN w:val="0"/>
        <w:adjustRightInd w:val="0"/>
        <w:jc w:val="both"/>
        <w:rPr>
          <w:rFonts w:ascii="Abadi" w:hAnsi="Abadi" w:cs="ArialMT"/>
          <w:sz w:val="20"/>
          <w:szCs w:val="21"/>
        </w:rPr>
      </w:pPr>
    </w:p>
    <w:p w14:paraId="5A6D4CE0" w14:textId="639C318C" w:rsidR="00393506" w:rsidRPr="00393506" w:rsidRDefault="00393506" w:rsidP="00393506">
      <w:pPr>
        <w:ind w:firstLine="284"/>
        <w:jc w:val="both"/>
        <w:rPr>
          <w:rFonts w:ascii="Abadi" w:hAnsi="Abadi"/>
          <w:sz w:val="21"/>
          <w:szCs w:val="21"/>
        </w:rPr>
      </w:pPr>
      <w:bookmarkStart w:id="7" w:name="_Hlk106792656"/>
      <w:r w:rsidRPr="00393506">
        <w:rPr>
          <w:rFonts w:ascii="Abadi" w:hAnsi="Abadi"/>
          <w:b/>
          <w:bCs/>
          <w:sz w:val="21"/>
          <w:szCs w:val="21"/>
        </w:rPr>
        <w:t>- La Presidencia.-</w:t>
      </w:r>
      <w:r w:rsidRPr="00393506">
        <w:rPr>
          <w:rFonts w:ascii="Abadi" w:hAnsi="Abadi"/>
          <w:sz w:val="21"/>
          <w:szCs w:val="21"/>
        </w:rPr>
        <w:t xml:space="preserve"> Gracias diputada. </w:t>
      </w:r>
    </w:p>
    <w:p w14:paraId="2E2B105B" w14:textId="77777777" w:rsidR="00393506" w:rsidRPr="00393506" w:rsidRDefault="00393506" w:rsidP="00393506">
      <w:pPr>
        <w:jc w:val="both"/>
        <w:rPr>
          <w:rFonts w:ascii="Abadi" w:hAnsi="Abadi"/>
          <w:sz w:val="21"/>
          <w:szCs w:val="21"/>
        </w:rPr>
      </w:pPr>
    </w:p>
    <w:p w14:paraId="451F4AE0" w14:textId="0B0D0868" w:rsidR="00393506" w:rsidRPr="00393506" w:rsidRDefault="00393506" w:rsidP="00097670">
      <w:pPr>
        <w:ind w:left="567" w:right="425"/>
        <w:jc w:val="both"/>
        <w:rPr>
          <w:rFonts w:ascii="Abadi" w:hAnsi="Abadi"/>
          <w:b/>
          <w:bCs/>
          <w:i/>
          <w:iCs/>
          <w:sz w:val="21"/>
          <w:szCs w:val="21"/>
          <w:u w:val="single"/>
        </w:rPr>
      </w:pPr>
      <w:r w:rsidRPr="00393506">
        <w:rPr>
          <w:rFonts w:ascii="Abadi" w:hAnsi="Abadi"/>
          <w:b/>
          <w:bCs/>
          <w:i/>
          <w:iCs/>
          <w:sz w:val="21"/>
          <w:szCs w:val="21"/>
          <w:u w:val="single"/>
        </w:rPr>
        <w:t>Con fundamento en el artículo 111 fracción IX de nuestra Ley Orgánica, Se turna a la Comisión de Gobernación</w:t>
      </w:r>
      <w:r>
        <w:rPr>
          <w:rFonts w:ascii="Abadi" w:hAnsi="Abadi"/>
          <w:b/>
          <w:bCs/>
          <w:i/>
          <w:iCs/>
          <w:sz w:val="21"/>
          <w:szCs w:val="21"/>
          <w:u w:val="single"/>
        </w:rPr>
        <w:t xml:space="preserve"> </w:t>
      </w:r>
      <w:r w:rsidRPr="00393506">
        <w:rPr>
          <w:rFonts w:ascii="Abadi" w:hAnsi="Abadi"/>
          <w:b/>
          <w:bCs/>
          <w:i/>
          <w:iCs/>
          <w:sz w:val="21"/>
          <w:szCs w:val="21"/>
          <w:u w:val="single"/>
        </w:rPr>
        <w:t xml:space="preserve">y Puntos Constitucionales, para su estudio y dictamen. </w:t>
      </w:r>
    </w:p>
    <w:bookmarkEnd w:id="7"/>
    <w:p w14:paraId="2B5E4441" w14:textId="77777777" w:rsidR="00393506" w:rsidRPr="00393506" w:rsidRDefault="00393506" w:rsidP="00CE7D31">
      <w:pPr>
        <w:autoSpaceDE w:val="0"/>
        <w:autoSpaceDN w:val="0"/>
        <w:adjustRightInd w:val="0"/>
        <w:jc w:val="both"/>
        <w:rPr>
          <w:rFonts w:ascii="Abadi" w:hAnsi="Abadi" w:cs="ArialMT"/>
          <w:sz w:val="21"/>
          <w:szCs w:val="21"/>
        </w:rPr>
      </w:pPr>
    </w:p>
    <w:p w14:paraId="40EBDC31" w14:textId="77777777" w:rsidR="006F3002" w:rsidRPr="00293312" w:rsidRDefault="006F3002" w:rsidP="006F3002">
      <w:pPr>
        <w:autoSpaceDE w:val="0"/>
        <w:autoSpaceDN w:val="0"/>
        <w:adjustRightInd w:val="0"/>
        <w:ind w:left="426"/>
        <w:jc w:val="both"/>
        <w:rPr>
          <w:rFonts w:ascii="Abadi" w:hAnsi="Abadi" w:cs="Arial-BoldMT"/>
          <w:b/>
          <w:bCs/>
          <w:sz w:val="20"/>
          <w:szCs w:val="21"/>
        </w:rPr>
      </w:pPr>
    </w:p>
    <w:p w14:paraId="336B1BB1" w14:textId="41C46B8C"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PRESENTACIÓN DE LA PROPUESTA DE PUNTO DE ACUERDO SIGNADA POR LA DIPUTADA ALMA EDWVIGES ALCARAZ HERNÁNDEZ INTEGRANTE DEL GRUPO PARLAMENTARIO DEL PARTIDO MORENA A EFECTO DE EXHORTAR A LOS TITULARES DE LOS PODERES EJECUTIVOS DE LOS MUNICIPIOS DEL ESTADO A CONSIDERAR LA CAPACIDAD REAL DE PAGO DE SUS MUNICIPIOS Y EL ESTADO DE SUS FINANZAS PÚBLICAS ANTES DE SOLICITAR A ESTE CONGRESO LA AUTORIZACIÓN PARA CONTRATAR DEUDA PÚBLICA; ASÍ COMO A ESTABLECER MEDIDAS QUE LES PERMITAN AUMENTAR LA RECAUDACIÓN DE SUS INGRESOS PROPIOS PARA DISMINUIR SU DEPENDENCIA DE LOS INGRESOS FEDERALES Y LOCALES.</w:t>
      </w:r>
    </w:p>
    <w:p w14:paraId="275EAC36" w14:textId="349A318F" w:rsidR="00D27CAC" w:rsidRDefault="00D27CAC" w:rsidP="00D27CAC">
      <w:pPr>
        <w:autoSpaceDE w:val="0"/>
        <w:autoSpaceDN w:val="0"/>
        <w:adjustRightInd w:val="0"/>
        <w:jc w:val="both"/>
        <w:rPr>
          <w:rFonts w:ascii="Abadi" w:hAnsi="Abadi" w:cs="ArialMT"/>
          <w:b/>
          <w:bCs/>
          <w:sz w:val="20"/>
          <w:szCs w:val="21"/>
        </w:rPr>
      </w:pPr>
    </w:p>
    <w:p w14:paraId="3DF66B9C" w14:textId="77777777" w:rsidR="00D27CAC" w:rsidRPr="00276FC4" w:rsidRDefault="00D27CAC" w:rsidP="00D27CAC">
      <w:pPr>
        <w:autoSpaceDE w:val="0"/>
        <w:autoSpaceDN w:val="0"/>
        <w:adjustRightInd w:val="0"/>
        <w:jc w:val="both"/>
        <w:rPr>
          <w:rFonts w:ascii="Abadi" w:hAnsi="Abadi" w:cs="Tahoma-Bold"/>
          <w:b/>
          <w:bCs/>
          <w:sz w:val="21"/>
          <w:szCs w:val="21"/>
        </w:rPr>
      </w:pPr>
      <w:r w:rsidRPr="00276FC4">
        <w:rPr>
          <w:rFonts w:ascii="Abadi" w:hAnsi="Abadi" w:cs="Tahoma-Bold"/>
          <w:b/>
          <w:bCs/>
          <w:sz w:val="21"/>
          <w:szCs w:val="21"/>
        </w:rPr>
        <w:t>Diputada Irma Leticia González Sánchez</w:t>
      </w:r>
    </w:p>
    <w:p w14:paraId="318B0F79"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Presidenta de la Mesa Directiva</w:t>
      </w:r>
    </w:p>
    <w:p w14:paraId="3EDD5997"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Congreso del Estado de Guanajuato</w:t>
      </w:r>
    </w:p>
    <w:p w14:paraId="4CC2DE61"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Sexagésima Quinta Legislatura</w:t>
      </w:r>
    </w:p>
    <w:p w14:paraId="6ADA17FC" w14:textId="77777777" w:rsidR="00D27CAC"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P r e s e n t e</w:t>
      </w:r>
    </w:p>
    <w:p w14:paraId="4BD71C34" w14:textId="77777777" w:rsidR="00D27CAC" w:rsidRDefault="00D27CAC" w:rsidP="00D27CAC">
      <w:pPr>
        <w:autoSpaceDE w:val="0"/>
        <w:autoSpaceDN w:val="0"/>
        <w:adjustRightInd w:val="0"/>
        <w:jc w:val="both"/>
        <w:rPr>
          <w:rFonts w:ascii="Abadi" w:hAnsi="Abadi" w:cs="Tahoma"/>
          <w:sz w:val="21"/>
          <w:szCs w:val="21"/>
        </w:rPr>
      </w:pPr>
    </w:p>
    <w:p w14:paraId="1661C1E6" w14:textId="77777777" w:rsidR="00D27CAC" w:rsidRPr="00276FC4" w:rsidRDefault="00D27CAC" w:rsidP="00D27CAC">
      <w:pPr>
        <w:autoSpaceDE w:val="0"/>
        <w:autoSpaceDN w:val="0"/>
        <w:adjustRightInd w:val="0"/>
        <w:jc w:val="both"/>
        <w:rPr>
          <w:rFonts w:ascii="Abadi" w:hAnsi="Abadi" w:cs="Tahoma"/>
          <w:sz w:val="21"/>
          <w:szCs w:val="21"/>
        </w:rPr>
      </w:pPr>
    </w:p>
    <w:p w14:paraId="3F584136"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Bold"/>
          <w:b/>
          <w:bCs/>
          <w:sz w:val="21"/>
          <w:szCs w:val="21"/>
        </w:rPr>
        <w:t>Diputada Alma Edwviges Alcaraz Hernández</w:t>
      </w:r>
      <w:r w:rsidRPr="00276FC4">
        <w:rPr>
          <w:rFonts w:ascii="Abadi" w:hAnsi="Abadi" w:cs="Tahoma"/>
          <w:sz w:val="21"/>
          <w:szCs w:val="21"/>
        </w:rPr>
        <w:t>, integrante del Grupo</w:t>
      </w:r>
      <w:r>
        <w:rPr>
          <w:rFonts w:ascii="Abadi" w:hAnsi="Abadi" w:cs="Tahoma"/>
          <w:sz w:val="21"/>
          <w:szCs w:val="21"/>
        </w:rPr>
        <w:t xml:space="preserve"> </w:t>
      </w:r>
      <w:r w:rsidRPr="00276FC4">
        <w:rPr>
          <w:rFonts w:ascii="Abadi" w:hAnsi="Abadi" w:cs="Tahoma"/>
          <w:sz w:val="21"/>
          <w:szCs w:val="21"/>
        </w:rPr>
        <w:t>Parlamentario de Morena en la Sexagésima Quinta Legislatura del Congreso del</w:t>
      </w:r>
      <w:r>
        <w:rPr>
          <w:rFonts w:ascii="Abadi" w:hAnsi="Abadi" w:cs="Tahoma"/>
          <w:sz w:val="21"/>
          <w:szCs w:val="21"/>
        </w:rPr>
        <w:t xml:space="preserve"> </w:t>
      </w:r>
      <w:r w:rsidRPr="00276FC4">
        <w:rPr>
          <w:rFonts w:ascii="Abadi" w:hAnsi="Abadi" w:cs="Tahoma"/>
          <w:sz w:val="21"/>
          <w:szCs w:val="21"/>
        </w:rPr>
        <w:t xml:space="preserve">Estado de Guanajuato, con fundamento en lo </w:t>
      </w:r>
      <w:r>
        <w:rPr>
          <w:rFonts w:ascii="Abadi" w:hAnsi="Abadi" w:cs="Tahoma"/>
          <w:sz w:val="21"/>
          <w:szCs w:val="21"/>
        </w:rPr>
        <w:t xml:space="preserve">  </w:t>
      </w:r>
      <w:r w:rsidRPr="00276FC4">
        <w:rPr>
          <w:rFonts w:ascii="Abadi" w:hAnsi="Abadi" w:cs="Tahoma"/>
          <w:sz w:val="21"/>
          <w:szCs w:val="21"/>
        </w:rPr>
        <w:t>dispuesto por el primer párrafo del</w:t>
      </w:r>
      <w:r>
        <w:rPr>
          <w:rFonts w:ascii="Abadi" w:hAnsi="Abadi" w:cs="Tahoma"/>
          <w:sz w:val="21"/>
          <w:szCs w:val="21"/>
        </w:rPr>
        <w:t xml:space="preserve"> </w:t>
      </w:r>
      <w:r w:rsidRPr="00276FC4">
        <w:rPr>
          <w:rFonts w:ascii="Abadi" w:hAnsi="Abadi" w:cs="Tahoma"/>
          <w:sz w:val="21"/>
          <w:szCs w:val="21"/>
        </w:rPr>
        <w:t xml:space="preserve">artículo 57 de la Constitución Política para el Estado de </w:t>
      </w:r>
      <w:r>
        <w:rPr>
          <w:rFonts w:ascii="Abadi" w:hAnsi="Abadi" w:cs="Tahoma"/>
          <w:sz w:val="21"/>
          <w:szCs w:val="21"/>
        </w:rPr>
        <w:t xml:space="preserve">  Gu</w:t>
      </w:r>
      <w:r w:rsidRPr="00276FC4">
        <w:rPr>
          <w:rFonts w:ascii="Abadi" w:hAnsi="Abadi" w:cs="Tahoma"/>
          <w:sz w:val="21"/>
          <w:szCs w:val="21"/>
        </w:rPr>
        <w:t>anajuato, así como por lo</w:t>
      </w:r>
      <w:r>
        <w:rPr>
          <w:rFonts w:ascii="Abadi" w:hAnsi="Abadi" w:cs="Tahoma"/>
          <w:sz w:val="21"/>
          <w:szCs w:val="21"/>
        </w:rPr>
        <w:t xml:space="preserve"> </w:t>
      </w:r>
      <w:r w:rsidRPr="00276FC4">
        <w:rPr>
          <w:rFonts w:ascii="Abadi" w:hAnsi="Abadi" w:cs="Tahoma"/>
          <w:sz w:val="21"/>
          <w:szCs w:val="21"/>
        </w:rPr>
        <w:t>establecido en el artículo 204 fracción III de la Ley Orgánica del Poder Legislativo</w:t>
      </w:r>
      <w:r>
        <w:rPr>
          <w:rFonts w:ascii="Abadi" w:hAnsi="Abadi" w:cs="Tahoma"/>
          <w:sz w:val="21"/>
          <w:szCs w:val="21"/>
        </w:rPr>
        <w:t xml:space="preserve"> </w:t>
      </w:r>
      <w:r w:rsidRPr="00276FC4">
        <w:rPr>
          <w:rFonts w:ascii="Abadi" w:hAnsi="Abadi" w:cs="Tahoma"/>
          <w:sz w:val="21"/>
          <w:szCs w:val="21"/>
        </w:rPr>
        <w:t>del Estado de Guanajuato, someto a consideración de esta Asamblea, la siguiente</w:t>
      </w:r>
      <w:r>
        <w:rPr>
          <w:rFonts w:ascii="Abadi" w:hAnsi="Abadi" w:cs="Tahoma"/>
          <w:sz w:val="21"/>
          <w:szCs w:val="21"/>
        </w:rPr>
        <w:t xml:space="preserve"> </w:t>
      </w:r>
      <w:r w:rsidRPr="00276FC4">
        <w:rPr>
          <w:rFonts w:ascii="Abadi" w:hAnsi="Abadi" w:cs="Tahoma"/>
          <w:sz w:val="21"/>
          <w:szCs w:val="21"/>
        </w:rPr>
        <w:t xml:space="preserve">propuesta de </w:t>
      </w:r>
      <w:r w:rsidRPr="00276FC4">
        <w:rPr>
          <w:rFonts w:ascii="Abadi" w:hAnsi="Abadi" w:cs="Tahoma-Bold"/>
          <w:b/>
          <w:bCs/>
          <w:sz w:val="21"/>
          <w:szCs w:val="21"/>
        </w:rPr>
        <w:t xml:space="preserve">Punto de Acuerdo, </w:t>
      </w:r>
      <w:r w:rsidRPr="00276FC4">
        <w:rPr>
          <w:rFonts w:ascii="Abadi" w:hAnsi="Abadi" w:cs="Tahoma"/>
          <w:sz w:val="21"/>
          <w:szCs w:val="21"/>
        </w:rPr>
        <w:t>en atención a las siguientes:</w:t>
      </w:r>
    </w:p>
    <w:p w14:paraId="37CA9859" w14:textId="77777777" w:rsidR="00D27CAC" w:rsidRDefault="00D27CAC" w:rsidP="00D27CAC">
      <w:pPr>
        <w:autoSpaceDE w:val="0"/>
        <w:autoSpaceDN w:val="0"/>
        <w:adjustRightInd w:val="0"/>
        <w:jc w:val="both"/>
        <w:rPr>
          <w:rFonts w:ascii="Abadi" w:hAnsi="Abadi" w:cs="Tahoma-Bold"/>
          <w:b/>
          <w:bCs/>
          <w:sz w:val="21"/>
          <w:szCs w:val="21"/>
        </w:rPr>
      </w:pPr>
    </w:p>
    <w:p w14:paraId="72435F1A" w14:textId="77777777" w:rsidR="00D27CAC" w:rsidRDefault="00D27CAC" w:rsidP="00D27CAC">
      <w:pPr>
        <w:autoSpaceDE w:val="0"/>
        <w:autoSpaceDN w:val="0"/>
        <w:adjustRightInd w:val="0"/>
        <w:jc w:val="both"/>
        <w:rPr>
          <w:rFonts w:ascii="Abadi" w:hAnsi="Abadi" w:cs="Tahoma-Bold"/>
          <w:b/>
          <w:bCs/>
          <w:sz w:val="21"/>
          <w:szCs w:val="21"/>
        </w:rPr>
      </w:pPr>
    </w:p>
    <w:p w14:paraId="1DA4614F" w14:textId="77777777" w:rsidR="00D27CAC" w:rsidRDefault="00D27CAC" w:rsidP="00D27CAC">
      <w:pPr>
        <w:autoSpaceDE w:val="0"/>
        <w:autoSpaceDN w:val="0"/>
        <w:adjustRightInd w:val="0"/>
        <w:jc w:val="center"/>
        <w:rPr>
          <w:rFonts w:ascii="Abadi" w:hAnsi="Abadi" w:cs="Tahoma-Bold"/>
          <w:b/>
          <w:bCs/>
          <w:sz w:val="21"/>
          <w:szCs w:val="21"/>
        </w:rPr>
      </w:pPr>
      <w:r w:rsidRPr="00276FC4">
        <w:rPr>
          <w:rFonts w:ascii="Abadi" w:hAnsi="Abadi" w:cs="Tahoma-Bold"/>
          <w:b/>
          <w:bCs/>
          <w:sz w:val="21"/>
          <w:szCs w:val="21"/>
        </w:rPr>
        <w:t>CONSIDERACIONES</w:t>
      </w:r>
    </w:p>
    <w:p w14:paraId="4635C6BA" w14:textId="77777777" w:rsidR="00D27CAC" w:rsidRPr="00276FC4" w:rsidRDefault="00D27CAC" w:rsidP="00D27CAC">
      <w:pPr>
        <w:autoSpaceDE w:val="0"/>
        <w:autoSpaceDN w:val="0"/>
        <w:adjustRightInd w:val="0"/>
        <w:jc w:val="both"/>
        <w:rPr>
          <w:rFonts w:ascii="Abadi" w:hAnsi="Abadi" w:cs="Tahoma-Bold"/>
          <w:b/>
          <w:bCs/>
          <w:sz w:val="21"/>
          <w:szCs w:val="21"/>
        </w:rPr>
      </w:pPr>
    </w:p>
    <w:p w14:paraId="18159BCC"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La contratación de deuda pública es uno de los mecanismos con que cuentan los</w:t>
      </w:r>
      <w:r>
        <w:rPr>
          <w:rFonts w:ascii="Abadi" w:hAnsi="Abadi" w:cs="Tahoma"/>
          <w:sz w:val="21"/>
          <w:szCs w:val="21"/>
        </w:rPr>
        <w:t xml:space="preserve"> </w:t>
      </w:r>
      <w:r w:rsidRPr="00276FC4">
        <w:rPr>
          <w:rFonts w:ascii="Abadi" w:hAnsi="Abadi" w:cs="Tahoma"/>
          <w:sz w:val="21"/>
          <w:szCs w:val="21"/>
        </w:rPr>
        <w:t>gobiernos para allegarse de los recursos que necesitan para llevar a cabo sus</w:t>
      </w:r>
      <w:r>
        <w:rPr>
          <w:rFonts w:ascii="Abadi" w:hAnsi="Abadi" w:cs="Tahoma"/>
          <w:sz w:val="21"/>
          <w:szCs w:val="21"/>
        </w:rPr>
        <w:t xml:space="preserve"> </w:t>
      </w:r>
      <w:r w:rsidRPr="00276FC4">
        <w:rPr>
          <w:rFonts w:ascii="Abadi" w:hAnsi="Abadi" w:cs="Tahoma"/>
          <w:sz w:val="21"/>
          <w:szCs w:val="21"/>
        </w:rPr>
        <w:t>actividades principales, como la prestación de servicios, la construcción de obras e</w:t>
      </w:r>
      <w:r>
        <w:rPr>
          <w:rFonts w:ascii="Abadi" w:hAnsi="Abadi" w:cs="Tahoma"/>
          <w:sz w:val="21"/>
          <w:szCs w:val="21"/>
        </w:rPr>
        <w:t xml:space="preserve"> </w:t>
      </w:r>
      <w:r w:rsidRPr="00276FC4">
        <w:rPr>
          <w:rFonts w:ascii="Abadi" w:hAnsi="Abadi" w:cs="Tahoma"/>
          <w:sz w:val="21"/>
          <w:szCs w:val="21"/>
        </w:rPr>
        <w:t>infraestructura pública, Sin embargo, los recursos provenientes de ella deben</w:t>
      </w:r>
      <w:r>
        <w:rPr>
          <w:rFonts w:ascii="Abadi" w:hAnsi="Abadi" w:cs="Tahoma"/>
          <w:sz w:val="21"/>
          <w:szCs w:val="21"/>
        </w:rPr>
        <w:t xml:space="preserve"> </w:t>
      </w:r>
      <w:r w:rsidRPr="00276FC4">
        <w:rPr>
          <w:rFonts w:ascii="Abadi" w:hAnsi="Abadi" w:cs="Tahoma"/>
          <w:sz w:val="21"/>
          <w:szCs w:val="21"/>
        </w:rPr>
        <w:t>considerarse como ingresos extraordinarios pues su mal manejo puede generar un</w:t>
      </w:r>
      <w:r>
        <w:rPr>
          <w:rFonts w:ascii="Abadi" w:hAnsi="Abadi" w:cs="Tahoma"/>
          <w:sz w:val="21"/>
          <w:szCs w:val="21"/>
        </w:rPr>
        <w:t xml:space="preserve"> </w:t>
      </w:r>
      <w:r w:rsidRPr="00276FC4">
        <w:rPr>
          <w:rFonts w:ascii="Abadi" w:hAnsi="Abadi" w:cs="Tahoma"/>
          <w:sz w:val="21"/>
          <w:szCs w:val="21"/>
        </w:rPr>
        <w:t>desequilibrio en las finanzas públicas; lo anterior sumado a que el obtener este tipo</w:t>
      </w:r>
      <w:r>
        <w:rPr>
          <w:rFonts w:ascii="Abadi" w:hAnsi="Abadi" w:cs="Tahoma"/>
          <w:sz w:val="21"/>
          <w:szCs w:val="21"/>
        </w:rPr>
        <w:t xml:space="preserve"> </w:t>
      </w:r>
      <w:r w:rsidRPr="00276FC4">
        <w:rPr>
          <w:rFonts w:ascii="Abadi" w:hAnsi="Abadi" w:cs="Tahoma"/>
          <w:sz w:val="21"/>
          <w:szCs w:val="21"/>
        </w:rPr>
        <w:t>de ingresos conlleva un costo adicional. Para evitar la contratación excesiva de</w:t>
      </w:r>
      <w:r>
        <w:rPr>
          <w:rFonts w:ascii="Abadi" w:hAnsi="Abadi" w:cs="Tahoma"/>
          <w:sz w:val="21"/>
          <w:szCs w:val="21"/>
        </w:rPr>
        <w:t xml:space="preserve"> </w:t>
      </w:r>
      <w:r w:rsidRPr="00276FC4">
        <w:rPr>
          <w:rFonts w:ascii="Abadi" w:hAnsi="Abadi" w:cs="Tahoma"/>
          <w:sz w:val="21"/>
          <w:szCs w:val="21"/>
        </w:rPr>
        <w:t>deuda es necesario que cada nivel de gobierno posea los ingresos suficientes para</w:t>
      </w:r>
      <w:r>
        <w:rPr>
          <w:rFonts w:ascii="Abadi" w:hAnsi="Abadi" w:cs="Tahoma"/>
          <w:sz w:val="21"/>
          <w:szCs w:val="21"/>
        </w:rPr>
        <w:t xml:space="preserve"> </w:t>
      </w:r>
      <w:r w:rsidRPr="00276FC4">
        <w:rPr>
          <w:rFonts w:ascii="Abadi" w:hAnsi="Abadi" w:cs="Tahoma"/>
          <w:sz w:val="21"/>
          <w:szCs w:val="21"/>
        </w:rPr>
        <w:t>atender las necesidades o problemáticas de su territorio respectivo, pero sin dejar</w:t>
      </w:r>
      <w:r>
        <w:rPr>
          <w:rFonts w:ascii="Abadi" w:hAnsi="Abadi" w:cs="Tahoma"/>
          <w:sz w:val="21"/>
          <w:szCs w:val="21"/>
        </w:rPr>
        <w:t xml:space="preserve"> </w:t>
      </w:r>
      <w:r w:rsidRPr="00276FC4">
        <w:rPr>
          <w:rFonts w:ascii="Abadi" w:hAnsi="Abadi" w:cs="Tahoma"/>
          <w:sz w:val="21"/>
          <w:szCs w:val="21"/>
        </w:rPr>
        <w:t>de lado la colaboración y coordinación que todos los niveles de gobierno deben de</w:t>
      </w:r>
      <w:r>
        <w:rPr>
          <w:rFonts w:ascii="Abadi" w:hAnsi="Abadi" w:cs="Tahoma"/>
          <w:sz w:val="21"/>
          <w:szCs w:val="21"/>
        </w:rPr>
        <w:t xml:space="preserve"> </w:t>
      </w:r>
      <w:r w:rsidRPr="00276FC4">
        <w:rPr>
          <w:rFonts w:ascii="Abadi" w:hAnsi="Abadi" w:cs="Tahoma"/>
          <w:sz w:val="21"/>
          <w:szCs w:val="21"/>
        </w:rPr>
        <w:t>tener para lograr que el sistema tributario y fiscal resulte eficiente.</w:t>
      </w:r>
    </w:p>
    <w:p w14:paraId="6B226643"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En nuestro país, la dependencia de los gobiernos estatales y municipales de los</w:t>
      </w:r>
      <w:r>
        <w:rPr>
          <w:rFonts w:ascii="Abadi" w:hAnsi="Abadi" w:cs="Tahoma"/>
          <w:sz w:val="21"/>
          <w:szCs w:val="21"/>
        </w:rPr>
        <w:t xml:space="preserve"> </w:t>
      </w:r>
      <w:r w:rsidRPr="00276FC4">
        <w:rPr>
          <w:rFonts w:ascii="Abadi" w:hAnsi="Abadi" w:cs="Tahoma"/>
          <w:sz w:val="21"/>
          <w:szCs w:val="21"/>
        </w:rPr>
        <w:t>recursos del gobierno federal y la baja recaudación de ingresos propios han</w:t>
      </w:r>
      <w:r>
        <w:rPr>
          <w:rFonts w:ascii="Abadi" w:hAnsi="Abadi" w:cs="Tahoma"/>
          <w:sz w:val="21"/>
          <w:szCs w:val="21"/>
        </w:rPr>
        <w:t xml:space="preserve"> </w:t>
      </w:r>
      <w:r w:rsidRPr="00276FC4">
        <w:rPr>
          <w:rFonts w:ascii="Abadi" w:hAnsi="Abadi" w:cs="Tahoma"/>
          <w:sz w:val="21"/>
          <w:szCs w:val="21"/>
        </w:rPr>
        <w:t>generado una debilidad de los gobiernos locales, que cada vez más reducen sus</w:t>
      </w:r>
      <w:r>
        <w:rPr>
          <w:rFonts w:ascii="Abadi" w:hAnsi="Abadi" w:cs="Tahoma"/>
          <w:sz w:val="21"/>
          <w:szCs w:val="21"/>
        </w:rPr>
        <w:t xml:space="preserve"> </w:t>
      </w:r>
      <w:r w:rsidRPr="00276FC4">
        <w:rPr>
          <w:rFonts w:ascii="Abadi" w:hAnsi="Abadi" w:cs="Tahoma"/>
          <w:sz w:val="21"/>
          <w:szCs w:val="21"/>
        </w:rPr>
        <w:t>obras o inversiones públicas y recurren a fuentes de financiamiento como la</w:t>
      </w:r>
      <w:r>
        <w:rPr>
          <w:rFonts w:ascii="Abadi" w:hAnsi="Abadi" w:cs="Tahoma"/>
          <w:sz w:val="21"/>
          <w:szCs w:val="21"/>
        </w:rPr>
        <w:t xml:space="preserve"> </w:t>
      </w:r>
      <w:r w:rsidRPr="00276FC4">
        <w:rPr>
          <w:rFonts w:ascii="Abadi" w:hAnsi="Abadi" w:cs="Tahoma"/>
          <w:sz w:val="21"/>
          <w:szCs w:val="21"/>
        </w:rPr>
        <w:t>contratación de deuda, muchas veces sin considerar su capacidad real de pago, ni</w:t>
      </w:r>
      <w:r>
        <w:rPr>
          <w:rFonts w:ascii="Abadi" w:hAnsi="Abadi" w:cs="Tahoma"/>
          <w:sz w:val="21"/>
          <w:szCs w:val="21"/>
        </w:rPr>
        <w:t xml:space="preserve"> </w:t>
      </w:r>
      <w:r w:rsidRPr="00276FC4">
        <w:rPr>
          <w:rFonts w:ascii="Abadi" w:hAnsi="Abadi" w:cs="Tahoma"/>
          <w:sz w:val="21"/>
          <w:szCs w:val="21"/>
        </w:rPr>
        <w:t>el debilitamiento que tendrán sus ingresos en los años futuros en los que deberán</w:t>
      </w:r>
      <w:r>
        <w:rPr>
          <w:rFonts w:ascii="Abadi" w:hAnsi="Abadi" w:cs="Tahoma"/>
          <w:sz w:val="21"/>
          <w:szCs w:val="21"/>
        </w:rPr>
        <w:t xml:space="preserve"> </w:t>
      </w:r>
      <w:r w:rsidRPr="00276FC4">
        <w:rPr>
          <w:rFonts w:ascii="Abadi" w:hAnsi="Abadi" w:cs="Tahoma"/>
          <w:sz w:val="21"/>
          <w:szCs w:val="21"/>
        </w:rPr>
        <w:t>afrontar sus obligaciones.</w:t>
      </w:r>
    </w:p>
    <w:p w14:paraId="21B9F939" w14:textId="77777777" w:rsidR="00D27CAC"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Ante este escenario resulta importante que los gobiernos estatales promuevan</w:t>
      </w:r>
      <w:r>
        <w:rPr>
          <w:rFonts w:ascii="Abadi" w:hAnsi="Abadi" w:cs="Tahoma"/>
          <w:sz w:val="21"/>
          <w:szCs w:val="21"/>
        </w:rPr>
        <w:t xml:space="preserve"> </w:t>
      </w:r>
      <w:r w:rsidRPr="00276FC4">
        <w:rPr>
          <w:rFonts w:ascii="Abadi" w:hAnsi="Abadi" w:cs="Tahoma"/>
          <w:sz w:val="21"/>
          <w:szCs w:val="21"/>
        </w:rPr>
        <w:t>esquemas que coadyuven a fortalecer las fuentes de ingresos tanto de los estados</w:t>
      </w:r>
      <w:r>
        <w:rPr>
          <w:rFonts w:ascii="Abadi" w:hAnsi="Abadi" w:cs="Tahoma"/>
          <w:sz w:val="21"/>
          <w:szCs w:val="21"/>
        </w:rPr>
        <w:t xml:space="preserve"> </w:t>
      </w:r>
      <w:r w:rsidRPr="00276FC4">
        <w:rPr>
          <w:rFonts w:ascii="Abadi" w:hAnsi="Abadi" w:cs="Tahoma"/>
          <w:sz w:val="21"/>
          <w:szCs w:val="21"/>
        </w:rPr>
        <w:t>como de los municipios y que se presenten presupuestos públicos que racionalicen</w:t>
      </w:r>
      <w:r>
        <w:rPr>
          <w:rFonts w:ascii="Abadi" w:hAnsi="Abadi" w:cs="Tahoma"/>
          <w:sz w:val="21"/>
          <w:szCs w:val="21"/>
        </w:rPr>
        <w:t xml:space="preserve"> </w:t>
      </w:r>
      <w:r w:rsidRPr="00276FC4">
        <w:rPr>
          <w:rFonts w:ascii="Abadi" w:hAnsi="Abadi" w:cs="Tahoma"/>
          <w:sz w:val="21"/>
          <w:szCs w:val="21"/>
        </w:rPr>
        <w:t>eficazmente el gasto y destinen mayores recursos públicos a la inversión en</w:t>
      </w:r>
      <w:r>
        <w:rPr>
          <w:rFonts w:ascii="Abadi" w:hAnsi="Abadi" w:cs="Tahoma"/>
          <w:sz w:val="21"/>
          <w:szCs w:val="21"/>
        </w:rPr>
        <w:t xml:space="preserve"> </w:t>
      </w:r>
      <w:r w:rsidRPr="00276FC4">
        <w:rPr>
          <w:rFonts w:ascii="Abadi" w:hAnsi="Abadi" w:cs="Tahoma"/>
          <w:sz w:val="21"/>
          <w:szCs w:val="21"/>
        </w:rPr>
        <w:t>proyectos productivos que generen un valor agregado.</w:t>
      </w:r>
    </w:p>
    <w:p w14:paraId="769AD44C" w14:textId="461B7A96" w:rsidR="00D27CAC"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La obtención de recursos a través de la contratación de deuda pública no es un</w:t>
      </w:r>
      <w:r>
        <w:rPr>
          <w:rFonts w:ascii="Abadi" w:hAnsi="Abadi" w:cs="Tahoma"/>
          <w:sz w:val="21"/>
          <w:szCs w:val="21"/>
        </w:rPr>
        <w:t xml:space="preserve"> </w:t>
      </w:r>
      <w:r w:rsidRPr="00276FC4">
        <w:rPr>
          <w:rFonts w:ascii="Abadi" w:hAnsi="Abadi" w:cs="Tahoma"/>
          <w:sz w:val="21"/>
          <w:szCs w:val="21"/>
        </w:rPr>
        <w:t>mecanismo de financiamiento malo en sí mismo; sin embargo se debe ser muy</w:t>
      </w:r>
      <w:r>
        <w:rPr>
          <w:rFonts w:ascii="Abadi" w:hAnsi="Abadi" w:cs="Tahoma"/>
          <w:sz w:val="21"/>
          <w:szCs w:val="21"/>
        </w:rPr>
        <w:t xml:space="preserve"> </w:t>
      </w:r>
      <w:r w:rsidRPr="00276FC4">
        <w:rPr>
          <w:rFonts w:ascii="Abadi" w:hAnsi="Abadi" w:cs="Tahoma"/>
          <w:sz w:val="21"/>
          <w:szCs w:val="21"/>
        </w:rPr>
        <w:t>cuidadoso con los términos en que se realizan dichas contrataciones y sobre todo,</w:t>
      </w:r>
      <w:r>
        <w:rPr>
          <w:rFonts w:ascii="Abadi" w:hAnsi="Abadi" w:cs="Tahoma"/>
          <w:sz w:val="21"/>
          <w:szCs w:val="21"/>
        </w:rPr>
        <w:t xml:space="preserve"> </w:t>
      </w:r>
      <w:r w:rsidRPr="00276FC4">
        <w:rPr>
          <w:rFonts w:ascii="Abadi" w:hAnsi="Abadi" w:cs="Tahoma"/>
          <w:sz w:val="21"/>
          <w:szCs w:val="21"/>
        </w:rPr>
        <w:t xml:space="preserve">con el destino final que se </w:t>
      </w:r>
      <w:r w:rsidR="00097670" w:rsidRPr="00276FC4">
        <w:rPr>
          <w:rFonts w:ascii="Abadi" w:hAnsi="Abadi" w:cs="Tahoma"/>
          <w:sz w:val="21"/>
          <w:szCs w:val="21"/>
        </w:rPr>
        <w:t>les</w:t>
      </w:r>
      <w:r w:rsidRPr="00276FC4">
        <w:rPr>
          <w:rFonts w:ascii="Abadi" w:hAnsi="Abadi" w:cs="Tahoma"/>
          <w:sz w:val="21"/>
          <w:szCs w:val="21"/>
        </w:rPr>
        <w:t xml:space="preserve"> dará a dichos recursos.</w:t>
      </w:r>
    </w:p>
    <w:p w14:paraId="2CCF6A96" w14:textId="77777777" w:rsidR="00D27CAC"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En este sentido el día 03 de mayo del presente año, el gobernador Diego Sinhue</w:t>
      </w:r>
      <w:r>
        <w:rPr>
          <w:rFonts w:ascii="Abadi" w:hAnsi="Abadi" w:cs="Tahoma"/>
          <w:sz w:val="21"/>
          <w:szCs w:val="21"/>
        </w:rPr>
        <w:t xml:space="preserve"> </w:t>
      </w:r>
      <w:r w:rsidRPr="00276FC4">
        <w:rPr>
          <w:rFonts w:ascii="Abadi" w:hAnsi="Abadi" w:cs="Tahoma"/>
          <w:sz w:val="21"/>
          <w:szCs w:val="21"/>
        </w:rPr>
        <w:t>Rodríguez Vallejo mencionó que “Es necesario. Cuando no hay dinero y hay una</w:t>
      </w:r>
      <w:r>
        <w:rPr>
          <w:rFonts w:ascii="Abadi" w:hAnsi="Abadi" w:cs="Tahoma"/>
          <w:sz w:val="21"/>
          <w:szCs w:val="21"/>
        </w:rPr>
        <w:t xml:space="preserve"> </w:t>
      </w:r>
      <w:r w:rsidRPr="00276FC4">
        <w:rPr>
          <w:rFonts w:ascii="Abadi" w:hAnsi="Abadi" w:cs="Tahoma"/>
          <w:sz w:val="21"/>
          <w:szCs w:val="21"/>
        </w:rPr>
        <w:t>pandemia (Covid-19) hay que gastar. Cuando hay una crisis económica, una de las</w:t>
      </w:r>
      <w:r>
        <w:rPr>
          <w:rFonts w:ascii="Abadi" w:hAnsi="Abadi" w:cs="Tahoma"/>
          <w:sz w:val="21"/>
          <w:szCs w:val="21"/>
        </w:rPr>
        <w:t xml:space="preserve"> </w:t>
      </w:r>
      <w:r w:rsidRPr="00276FC4">
        <w:rPr>
          <w:rFonts w:ascii="Abadi" w:hAnsi="Abadi" w:cs="Tahoma"/>
          <w:sz w:val="21"/>
          <w:szCs w:val="21"/>
        </w:rPr>
        <w:t>mejores medidas contra cíclicas es inversión en obra pública, y si no hay recurso</w:t>
      </w:r>
      <w:r>
        <w:rPr>
          <w:rFonts w:ascii="Abadi" w:hAnsi="Abadi" w:cs="Tahoma"/>
          <w:sz w:val="21"/>
          <w:szCs w:val="21"/>
        </w:rPr>
        <w:t xml:space="preserve"> </w:t>
      </w:r>
      <w:r w:rsidRPr="00276FC4">
        <w:rPr>
          <w:rFonts w:ascii="Abadi" w:hAnsi="Abadi" w:cs="Tahoma"/>
          <w:sz w:val="21"/>
          <w:szCs w:val="21"/>
        </w:rPr>
        <w:t>federal hay que buscar la deuda”. Asimismo, instó a los presidentes municipales a</w:t>
      </w:r>
      <w:r>
        <w:rPr>
          <w:rFonts w:ascii="Abadi" w:hAnsi="Abadi" w:cs="Tahoma"/>
          <w:sz w:val="21"/>
          <w:szCs w:val="21"/>
        </w:rPr>
        <w:t xml:space="preserve"> </w:t>
      </w:r>
      <w:r w:rsidRPr="00276FC4">
        <w:rPr>
          <w:rFonts w:ascii="Abadi" w:hAnsi="Abadi" w:cs="Tahoma"/>
          <w:sz w:val="21"/>
          <w:szCs w:val="21"/>
        </w:rPr>
        <w:t>solicitar al Congreso la autorización correspondiente para contratar deuda.</w:t>
      </w:r>
    </w:p>
    <w:p w14:paraId="2C38C373"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Resulta innegable que a fin de solventar la crisis económica es justificable recurrir a</w:t>
      </w:r>
      <w:r>
        <w:rPr>
          <w:rFonts w:ascii="Abadi" w:hAnsi="Abadi" w:cs="Tahoma"/>
          <w:sz w:val="21"/>
          <w:szCs w:val="21"/>
        </w:rPr>
        <w:t xml:space="preserve"> </w:t>
      </w:r>
      <w:r w:rsidRPr="00276FC4">
        <w:rPr>
          <w:rFonts w:ascii="Abadi" w:hAnsi="Abadi" w:cs="Tahoma"/>
          <w:sz w:val="21"/>
          <w:szCs w:val="21"/>
        </w:rPr>
        <w:t>la obtención de ingresos extraordinarios; sin embargo, también es innegable que</w:t>
      </w:r>
      <w:r>
        <w:rPr>
          <w:rFonts w:ascii="Abadi" w:hAnsi="Abadi" w:cs="Tahoma"/>
          <w:sz w:val="21"/>
          <w:szCs w:val="21"/>
        </w:rPr>
        <w:t xml:space="preserve"> </w:t>
      </w:r>
      <w:r w:rsidRPr="00276FC4">
        <w:rPr>
          <w:rFonts w:ascii="Abadi" w:hAnsi="Abadi" w:cs="Tahoma"/>
          <w:sz w:val="21"/>
          <w:szCs w:val="21"/>
        </w:rPr>
        <w:t>tanto el gobernador, como los presidentes municipales deben ser sumamente</w:t>
      </w:r>
      <w:r>
        <w:rPr>
          <w:rFonts w:ascii="Abadi" w:hAnsi="Abadi" w:cs="Tahoma"/>
          <w:sz w:val="21"/>
          <w:szCs w:val="21"/>
        </w:rPr>
        <w:t xml:space="preserve"> </w:t>
      </w:r>
      <w:r w:rsidRPr="00276FC4">
        <w:rPr>
          <w:rFonts w:ascii="Abadi" w:hAnsi="Abadi" w:cs="Tahoma"/>
          <w:sz w:val="21"/>
          <w:szCs w:val="21"/>
        </w:rPr>
        <w:t>responsables y evitar contraer obligaciones que puedan poner en riesgo las finanzas</w:t>
      </w:r>
      <w:r>
        <w:rPr>
          <w:rFonts w:ascii="Abadi" w:hAnsi="Abadi" w:cs="Tahoma"/>
          <w:sz w:val="21"/>
          <w:szCs w:val="21"/>
        </w:rPr>
        <w:t xml:space="preserve"> </w:t>
      </w:r>
      <w:r w:rsidRPr="00276FC4">
        <w:rPr>
          <w:rFonts w:ascii="Abadi" w:hAnsi="Abadi" w:cs="Tahoma"/>
          <w:sz w:val="21"/>
          <w:szCs w:val="21"/>
        </w:rPr>
        <w:t>públicas del estado.</w:t>
      </w:r>
    </w:p>
    <w:p w14:paraId="18AEED25" w14:textId="77777777" w:rsidR="00D27CAC"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En este sentido, es necesario evaluar efectivamente la capacidad de pago de cada</w:t>
      </w:r>
      <w:r>
        <w:rPr>
          <w:rFonts w:ascii="Abadi" w:hAnsi="Abadi" w:cs="Tahoma"/>
          <w:sz w:val="21"/>
          <w:szCs w:val="21"/>
        </w:rPr>
        <w:t xml:space="preserve"> </w:t>
      </w:r>
      <w:r w:rsidRPr="00276FC4">
        <w:rPr>
          <w:rFonts w:ascii="Abadi" w:hAnsi="Abadi" w:cs="Tahoma"/>
          <w:sz w:val="21"/>
          <w:szCs w:val="21"/>
        </w:rPr>
        <w:t>uno de los municipios y proponer financiamientos que no pongan en riesgo el</w:t>
      </w:r>
      <w:r>
        <w:rPr>
          <w:rFonts w:ascii="Abadi" w:hAnsi="Abadi" w:cs="Tahoma"/>
          <w:sz w:val="21"/>
          <w:szCs w:val="21"/>
        </w:rPr>
        <w:t xml:space="preserve"> </w:t>
      </w:r>
      <w:r w:rsidRPr="00276FC4">
        <w:rPr>
          <w:rFonts w:ascii="Abadi" w:hAnsi="Abadi" w:cs="Tahoma"/>
          <w:sz w:val="21"/>
          <w:szCs w:val="21"/>
        </w:rPr>
        <w:t>funcionamiento normal del municipio ni el gasto corriente que ya tienen</w:t>
      </w:r>
      <w:r>
        <w:rPr>
          <w:rFonts w:ascii="Abadi" w:hAnsi="Abadi" w:cs="Tahoma"/>
          <w:sz w:val="21"/>
          <w:szCs w:val="21"/>
        </w:rPr>
        <w:t xml:space="preserve"> </w:t>
      </w:r>
      <w:r w:rsidRPr="00276FC4">
        <w:rPr>
          <w:rFonts w:ascii="Abadi" w:hAnsi="Abadi" w:cs="Tahoma"/>
          <w:sz w:val="21"/>
          <w:szCs w:val="21"/>
        </w:rPr>
        <w:t>comprometido.</w:t>
      </w:r>
    </w:p>
    <w:p w14:paraId="09CC5A2B" w14:textId="77777777" w:rsidR="00D27CAC" w:rsidRPr="00276FC4" w:rsidRDefault="00D27CAC" w:rsidP="00D27CAC">
      <w:pPr>
        <w:autoSpaceDE w:val="0"/>
        <w:autoSpaceDN w:val="0"/>
        <w:adjustRightInd w:val="0"/>
        <w:jc w:val="both"/>
        <w:rPr>
          <w:rFonts w:ascii="Abadi" w:hAnsi="Abadi" w:cs="Tahoma"/>
          <w:sz w:val="21"/>
          <w:szCs w:val="21"/>
        </w:rPr>
      </w:pPr>
    </w:p>
    <w:p w14:paraId="7FABE029"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Asimismo, es necesario tener en cuenta que nuestro estado ya tiene importantes</w:t>
      </w:r>
      <w:r>
        <w:rPr>
          <w:rFonts w:ascii="Abadi" w:hAnsi="Abadi" w:cs="Tahoma"/>
          <w:sz w:val="21"/>
          <w:szCs w:val="21"/>
        </w:rPr>
        <w:t xml:space="preserve"> </w:t>
      </w:r>
      <w:r w:rsidRPr="00276FC4">
        <w:rPr>
          <w:rFonts w:ascii="Abadi" w:hAnsi="Abadi" w:cs="Tahoma"/>
          <w:sz w:val="21"/>
          <w:szCs w:val="21"/>
        </w:rPr>
        <w:t>compromisos de deuda contratados; pues de acuerdo con el Boletín de Deuda</w:t>
      </w:r>
      <w:r>
        <w:rPr>
          <w:rFonts w:ascii="Abadi" w:hAnsi="Abadi" w:cs="Tahoma"/>
          <w:sz w:val="21"/>
          <w:szCs w:val="21"/>
        </w:rPr>
        <w:t xml:space="preserve"> </w:t>
      </w:r>
      <w:r w:rsidRPr="00276FC4">
        <w:rPr>
          <w:rFonts w:ascii="Abadi" w:hAnsi="Abadi" w:cs="Tahoma"/>
          <w:sz w:val="21"/>
          <w:szCs w:val="21"/>
        </w:rPr>
        <w:t>Pública de marzo de 2022 la deuda directa del Estado asciende a 9,880.04 millones</w:t>
      </w:r>
      <w:r>
        <w:rPr>
          <w:rFonts w:ascii="Abadi" w:hAnsi="Abadi" w:cs="Tahoma"/>
          <w:sz w:val="21"/>
          <w:szCs w:val="21"/>
        </w:rPr>
        <w:t xml:space="preserve"> </w:t>
      </w:r>
      <w:r w:rsidRPr="00276FC4">
        <w:rPr>
          <w:rFonts w:ascii="Abadi" w:hAnsi="Abadi" w:cs="Tahoma"/>
          <w:sz w:val="21"/>
          <w:szCs w:val="21"/>
        </w:rPr>
        <w:t>de pesos; cantidad a la que deben sumarse los 2 mil millones de pesos que se</w:t>
      </w:r>
      <w:r>
        <w:rPr>
          <w:rFonts w:ascii="Abadi" w:hAnsi="Abadi" w:cs="Tahoma"/>
          <w:sz w:val="21"/>
          <w:szCs w:val="21"/>
        </w:rPr>
        <w:t xml:space="preserve"> </w:t>
      </w:r>
      <w:r w:rsidRPr="00276FC4">
        <w:rPr>
          <w:rFonts w:ascii="Abadi" w:hAnsi="Abadi" w:cs="Tahoma"/>
          <w:sz w:val="21"/>
          <w:szCs w:val="21"/>
        </w:rPr>
        <w:t>subastaron a inicios del mes pasado y que corresponden al restante de la deuda</w:t>
      </w:r>
      <w:r>
        <w:rPr>
          <w:rFonts w:ascii="Abadi" w:hAnsi="Abadi" w:cs="Tahoma"/>
          <w:sz w:val="21"/>
          <w:szCs w:val="21"/>
        </w:rPr>
        <w:t xml:space="preserve"> </w:t>
      </w:r>
      <w:r w:rsidRPr="00276FC4">
        <w:rPr>
          <w:rFonts w:ascii="Abadi" w:hAnsi="Abadi" w:cs="Tahoma"/>
          <w:sz w:val="21"/>
          <w:szCs w:val="21"/>
        </w:rPr>
        <w:t>pública por 5 mil millones de pesos aprobada por el Congreso del Estado a finales</w:t>
      </w:r>
      <w:r>
        <w:rPr>
          <w:rFonts w:ascii="Abadi" w:hAnsi="Abadi" w:cs="Tahoma"/>
          <w:sz w:val="21"/>
          <w:szCs w:val="21"/>
        </w:rPr>
        <w:t xml:space="preserve"> </w:t>
      </w:r>
      <w:r w:rsidRPr="00276FC4">
        <w:rPr>
          <w:rFonts w:ascii="Abadi" w:hAnsi="Abadi" w:cs="Tahoma"/>
          <w:sz w:val="21"/>
          <w:szCs w:val="21"/>
        </w:rPr>
        <w:t>del ejercicio 2021.</w:t>
      </w:r>
    </w:p>
    <w:p w14:paraId="7FC37C1A" w14:textId="77777777" w:rsidR="00D27CAC" w:rsidRPr="00276FC4" w:rsidRDefault="00D27CAC" w:rsidP="00D27CAC">
      <w:pPr>
        <w:jc w:val="both"/>
        <w:rPr>
          <w:rFonts w:ascii="Abadi" w:hAnsi="Abadi" w:cs="Tahoma"/>
          <w:sz w:val="21"/>
          <w:szCs w:val="21"/>
        </w:rPr>
      </w:pPr>
    </w:p>
    <w:p w14:paraId="1943BF92" w14:textId="1784A117" w:rsidR="00D27CAC" w:rsidRPr="00276FC4" w:rsidRDefault="00D27CAC" w:rsidP="00D27CAC">
      <w:pPr>
        <w:autoSpaceDE w:val="0"/>
        <w:autoSpaceDN w:val="0"/>
        <w:adjustRightInd w:val="0"/>
        <w:jc w:val="both"/>
        <w:rPr>
          <w:rFonts w:ascii="Abadi" w:hAnsi="Abadi" w:cs="Tahoma"/>
          <w:sz w:val="21"/>
          <w:szCs w:val="21"/>
        </w:rPr>
      </w:pPr>
      <w:r w:rsidRPr="00D27CAC">
        <w:rPr>
          <w:rFonts w:ascii="Abadi" w:hAnsi="Abadi" w:cs="Tahoma"/>
          <w:noProof/>
          <w:sz w:val="21"/>
          <w:szCs w:val="21"/>
        </w:rPr>
        <w:drawing>
          <wp:inline distT="0" distB="0" distL="0" distR="0" wp14:anchorId="5624A680" wp14:editId="06A8BC5C">
            <wp:extent cx="2430145" cy="1877060"/>
            <wp:effectExtent l="0" t="0" r="8255" b="8890"/>
            <wp:docPr id="27" name="Imagen 4" descr="Interfaz de usuario gráfica, Texto&#10;&#10;Descripción generada automáticamente">
              <a:extLst xmlns:a="http://schemas.openxmlformats.org/drawingml/2006/main">
                <a:ext uri="{FF2B5EF4-FFF2-40B4-BE49-F238E27FC236}">
                  <a16:creationId xmlns:a16="http://schemas.microsoft.com/office/drawing/2014/main" id="{EEA4B579-FCFE-AE76-B1ED-8FC47870E0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4" descr="Interfaz de usuario gráfica, Texto&#10;&#10;Descripción generada automáticamente">
                      <a:extLst>
                        <a:ext uri="{FF2B5EF4-FFF2-40B4-BE49-F238E27FC236}">
                          <a16:creationId xmlns:a16="http://schemas.microsoft.com/office/drawing/2014/main" id="{EEA4B579-FCFE-AE76-B1ED-8FC47870E037}"/>
                        </a:ext>
                      </a:extLst>
                    </pic:cNvPr>
                    <pic:cNvPicPr>
                      <a:picLocks noChangeAspect="1"/>
                    </pic:cNvPicPr>
                  </pic:nvPicPr>
                  <pic:blipFill rotWithShape="1">
                    <a:blip r:embed="rId31"/>
                    <a:srcRect l="26539" t="30965" r="33423" b="14034"/>
                    <a:stretch/>
                  </pic:blipFill>
                  <pic:spPr>
                    <a:xfrm>
                      <a:off x="0" y="0"/>
                      <a:ext cx="2430145" cy="1877060"/>
                    </a:xfrm>
                    <a:prstGeom prst="rect">
                      <a:avLst/>
                    </a:prstGeom>
                  </pic:spPr>
                </pic:pic>
              </a:graphicData>
            </a:graphic>
          </wp:inline>
        </w:drawing>
      </w:r>
    </w:p>
    <w:p w14:paraId="57190E84" w14:textId="77777777" w:rsidR="00D27CAC" w:rsidRPr="00276FC4" w:rsidRDefault="00D27CAC" w:rsidP="00D27CAC">
      <w:pPr>
        <w:autoSpaceDE w:val="0"/>
        <w:autoSpaceDN w:val="0"/>
        <w:adjustRightInd w:val="0"/>
        <w:jc w:val="both"/>
        <w:rPr>
          <w:rFonts w:ascii="Abadi" w:hAnsi="Abadi" w:cs="Tahoma"/>
          <w:sz w:val="21"/>
          <w:szCs w:val="21"/>
        </w:rPr>
      </w:pPr>
    </w:p>
    <w:p w14:paraId="774ECCEB"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Si bien, de acuerdo con el resultado del sistema de alertas al cuarto trimestre de</w:t>
      </w:r>
      <w:r>
        <w:rPr>
          <w:rFonts w:ascii="Abadi" w:hAnsi="Abadi" w:cs="Tahoma"/>
          <w:sz w:val="21"/>
          <w:szCs w:val="21"/>
        </w:rPr>
        <w:t xml:space="preserve"> </w:t>
      </w:r>
      <w:r w:rsidRPr="00276FC4">
        <w:rPr>
          <w:rFonts w:ascii="Abadi" w:hAnsi="Abadi" w:cs="Tahoma"/>
          <w:sz w:val="21"/>
          <w:szCs w:val="21"/>
        </w:rPr>
        <w:t>2021, Guanajuato tenía un nivel de endeudamiento sostenible, no se debe dejar de</w:t>
      </w:r>
      <w:r>
        <w:rPr>
          <w:rFonts w:ascii="Abadi" w:hAnsi="Abadi" w:cs="Tahoma"/>
          <w:sz w:val="21"/>
          <w:szCs w:val="21"/>
        </w:rPr>
        <w:t xml:space="preserve"> poner</w:t>
      </w:r>
      <w:r w:rsidRPr="00276FC4">
        <w:rPr>
          <w:rFonts w:ascii="Abadi" w:hAnsi="Abadi" w:cs="Tahoma"/>
          <w:sz w:val="21"/>
          <w:szCs w:val="21"/>
        </w:rPr>
        <w:t xml:space="preserve"> atención al crecimiento de dicha deuda y al destino final que se le dé a los</w:t>
      </w:r>
      <w:r>
        <w:rPr>
          <w:rFonts w:ascii="Abadi" w:hAnsi="Abadi" w:cs="Tahoma"/>
          <w:sz w:val="21"/>
          <w:szCs w:val="21"/>
        </w:rPr>
        <w:t xml:space="preserve"> </w:t>
      </w:r>
      <w:r w:rsidRPr="00276FC4">
        <w:rPr>
          <w:rFonts w:ascii="Abadi" w:hAnsi="Abadi" w:cs="Tahoma"/>
          <w:sz w:val="21"/>
          <w:szCs w:val="21"/>
        </w:rPr>
        <w:t>recursos que de ella provengan. Asimismo, se debe tener en cuenta que la mejor</w:t>
      </w:r>
      <w:r>
        <w:rPr>
          <w:rFonts w:ascii="Abadi" w:hAnsi="Abadi" w:cs="Tahoma"/>
          <w:sz w:val="21"/>
          <w:szCs w:val="21"/>
        </w:rPr>
        <w:t xml:space="preserve"> </w:t>
      </w:r>
      <w:r w:rsidRPr="00276FC4">
        <w:rPr>
          <w:rFonts w:ascii="Abadi" w:hAnsi="Abadi" w:cs="Tahoma"/>
          <w:sz w:val="21"/>
          <w:szCs w:val="21"/>
        </w:rPr>
        <w:t>forma de financiamiento de los gobiernos locales debe provenir de la obtención de</w:t>
      </w:r>
    </w:p>
    <w:p w14:paraId="251853F3" w14:textId="77777777" w:rsidR="00D27CAC" w:rsidRPr="00276FC4" w:rsidRDefault="00D27CAC" w:rsidP="00D27CAC">
      <w:pPr>
        <w:jc w:val="both"/>
        <w:rPr>
          <w:rFonts w:ascii="Abadi" w:hAnsi="Abadi" w:cs="Tahoma"/>
          <w:sz w:val="21"/>
          <w:szCs w:val="21"/>
        </w:rPr>
      </w:pPr>
    </w:p>
    <w:p w14:paraId="31595F6E" w14:textId="77777777" w:rsidR="00D27CAC" w:rsidRPr="00276FC4" w:rsidRDefault="00D27CAC" w:rsidP="00D27CAC">
      <w:pPr>
        <w:autoSpaceDE w:val="0"/>
        <w:autoSpaceDN w:val="0"/>
        <w:adjustRightInd w:val="0"/>
        <w:jc w:val="both"/>
        <w:rPr>
          <w:rFonts w:ascii="Abadi" w:hAnsi="Abadi" w:cs="Tahoma"/>
          <w:sz w:val="21"/>
          <w:szCs w:val="21"/>
        </w:rPr>
      </w:pPr>
      <w:r w:rsidRPr="00276FC4">
        <w:rPr>
          <w:rFonts w:ascii="Abadi" w:hAnsi="Abadi" w:cs="Tahoma"/>
          <w:sz w:val="21"/>
          <w:szCs w:val="21"/>
        </w:rPr>
        <w:t>recursos propios mediante el fortalecimiento de sus finanzas, el aumento de su</w:t>
      </w:r>
      <w:r>
        <w:rPr>
          <w:rFonts w:ascii="Abadi" w:hAnsi="Abadi" w:cs="Tahoma"/>
          <w:sz w:val="21"/>
          <w:szCs w:val="21"/>
        </w:rPr>
        <w:t xml:space="preserve"> </w:t>
      </w:r>
      <w:r w:rsidRPr="00276FC4">
        <w:rPr>
          <w:rFonts w:ascii="Abadi" w:hAnsi="Abadi" w:cs="Tahoma"/>
          <w:sz w:val="21"/>
          <w:szCs w:val="21"/>
        </w:rPr>
        <w:t>recaudación y de la buena administración de los recursos obtenidos por la prestación</w:t>
      </w:r>
      <w:r>
        <w:rPr>
          <w:rFonts w:ascii="Abadi" w:hAnsi="Abadi" w:cs="Tahoma"/>
          <w:sz w:val="21"/>
          <w:szCs w:val="21"/>
        </w:rPr>
        <w:t xml:space="preserve"> </w:t>
      </w:r>
      <w:r w:rsidRPr="00276FC4">
        <w:rPr>
          <w:rFonts w:ascii="Abadi" w:hAnsi="Abadi" w:cs="Tahoma"/>
          <w:sz w:val="21"/>
          <w:szCs w:val="21"/>
        </w:rPr>
        <w:t>de los servicios públicos que tiene permitido realizar.</w:t>
      </w:r>
      <w:r>
        <w:rPr>
          <w:rFonts w:ascii="Abadi" w:hAnsi="Abadi" w:cs="Tahoma"/>
          <w:sz w:val="21"/>
          <w:szCs w:val="21"/>
        </w:rPr>
        <w:t xml:space="preserve"> </w:t>
      </w:r>
      <w:r w:rsidRPr="00276FC4">
        <w:rPr>
          <w:rFonts w:ascii="Abadi" w:hAnsi="Abadi" w:cs="Tahoma"/>
          <w:sz w:val="21"/>
          <w:szCs w:val="21"/>
        </w:rPr>
        <w:t>Por los argumentos anteriormente expuestos, propongo a esta honorable Asamblea</w:t>
      </w:r>
      <w:r>
        <w:rPr>
          <w:rFonts w:ascii="Abadi" w:hAnsi="Abadi" w:cs="Tahoma"/>
          <w:sz w:val="21"/>
          <w:szCs w:val="21"/>
        </w:rPr>
        <w:t xml:space="preserve"> </w:t>
      </w:r>
      <w:r w:rsidRPr="00276FC4">
        <w:rPr>
          <w:rFonts w:ascii="Abadi" w:hAnsi="Abadi" w:cs="Tahoma"/>
          <w:sz w:val="21"/>
          <w:szCs w:val="21"/>
        </w:rPr>
        <w:t>el siguiente Punto de</w:t>
      </w:r>
    </w:p>
    <w:p w14:paraId="4CAEC3BF" w14:textId="77777777" w:rsidR="00D27CAC" w:rsidRDefault="00D27CAC" w:rsidP="00D27CAC">
      <w:pPr>
        <w:autoSpaceDE w:val="0"/>
        <w:autoSpaceDN w:val="0"/>
        <w:adjustRightInd w:val="0"/>
        <w:jc w:val="both"/>
        <w:rPr>
          <w:rFonts w:ascii="Abadi" w:hAnsi="Abadi" w:cs="Tahoma-Bold"/>
          <w:b/>
          <w:bCs/>
          <w:sz w:val="21"/>
          <w:szCs w:val="21"/>
        </w:rPr>
      </w:pPr>
    </w:p>
    <w:p w14:paraId="6798467C" w14:textId="77777777" w:rsidR="00D27CAC" w:rsidRDefault="00D27CAC" w:rsidP="00D27CAC">
      <w:pPr>
        <w:autoSpaceDE w:val="0"/>
        <w:autoSpaceDN w:val="0"/>
        <w:adjustRightInd w:val="0"/>
        <w:jc w:val="center"/>
        <w:rPr>
          <w:rFonts w:ascii="Abadi" w:hAnsi="Abadi" w:cs="Tahoma-Bold"/>
          <w:b/>
          <w:bCs/>
          <w:sz w:val="21"/>
          <w:szCs w:val="21"/>
        </w:rPr>
      </w:pPr>
      <w:r w:rsidRPr="00276FC4">
        <w:rPr>
          <w:rFonts w:ascii="Abadi" w:hAnsi="Abadi" w:cs="Tahoma-Bold"/>
          <w:b/>
          <w:bCs/>
          <w:sz w:val="21"/>
          <w:szCs w:val="21"/>
        </w:rPr>
        <w:t>ACUERDO:</w:t>
      </w:r>
    </w:p>
    <w:p w14:paraId="57D4E38E" w14:textId="77777777" w:rsidR="00D27CAC" w:rsidRPr="00276FC4" w:rsidRDefault="00D27CAC" w:rsidP="00D27CAC">
      <w:pPr>
        <w:autoSpaceDE w:val="0"/>
        <w:autoSpaceDN w:val="0"/>
        <w:adjustRightInd w:val="0"/>
        <w:jc w:val="both"/>
        <w:rPr>
          <w:rFonts w:ascii="Abadi" w:hAnsi="Abadi" w:cs="Tahoma-Bold"/>
          <w:b/>
          <w:bCs/>
          <w:sz w:val="21"/>
          <w:szCs w:val="21"/>
        </w:rPr>
      </w:pPr>
    </w:p>
    <w:p w14:paraId="1D2A96A1" w14:textId="77777777" w:rsidR="00D27CAC" w:rsidRDefault="00D27CAC" w:rsidP="00D27CAC">
      <w:pPr>
        <w:autoSpaceDE w:val="0"/>
        <w:autoSpaceDN w:val="0"/>
        <w:adjustRightInd w:val="0"/>
        <w:jc w:val="both"/>
        <w:rPr>
          <w:rFonts w:ascii="Abadi" w:hAnsi="Abadi" w:cs="Tahoma"/>
          <w:sz w:val="21"/>
          <w:szCs w:val="21"/>
        </w:rPr>
      </w:pPr>
      <w:r w:rsidRPr="00276FC4">
        <w:rPr>
          <w:rFonts w:ascii="Abadi" w:hAnsi="Abadi" w:cs="Tahoma-Bold"/>
          <w:b/>
          <w:bCs/>
          <w:sz w:val="21"/>
          <w:szCs w:val="21"/>
        </w:rPr>
        <w:t xml:space="preserve">Primero: </w:t>
      </w:r>
      <w:r w:rsidRPr="00276FC4">
        <w:rPr>
          <w:rFonts w:ascii="Abadi" w:hAnsi="Abadi" w:cs="Tahoma"/>
          <w:sz w:val="21"/>
          <w:szCs w:val="21"/>
        </w:rPr>
        <w:t>Esta Sexagésima Quinta Legislatura del Congreso del Estado de</w:t>
      </w:r>
      <w:r>
        <w:rPr>
          <w:rFonts w:ascii="Abadi" w:hAnsi="Abadi" w:cs="Tahoma"/>
          <w:sz w:val="21"/>
          <w:szCs w:val="21"/>
        </w:rPr>
        <w:t xml:space="preserve"> </w:t>
      </w:r>
      <w:r w:rsidRPr="00276FC4">
        <w:rPr>
          <w:rFonts w:ascii="Abadi" w:hAnsi="Abadi" w:cs="Tahoma"/>
          <w:sz w:val="21"/>
          <w:szCs w:val="21"/>
        </w:rPr>
        <w:t>Guanajuato exhorta a los Titulares de los Poderes Ejecutivos de los Municipios del</w:t>
      </w:r>
      <w:r>
        <w:rPr>
          <w:rFonts w:ascii="Abadi" w:hAnsi="Abadi" w:cs="Tahoma"/>
          <w:sz w:val="21"/>
          <w:szCs w:val="21"/>
        </w:rPr>
        <w:t xml:space="preserve"> </w:t>
      </w:r>
      <w:r w:rsidRPr="00276FC4">
        <w:rPr>
          <w:rFonts w:ascii="Abadi" w:hAnsi="Abadi" w:cs="Tahoma"/>
          <w:sz w:val="21"/>
          <w:szCs w:val="21"/>
        </w:rPr>
        <w:t>Estado a considerar la capacidad real de pago de sus municipios y el estado de sus</w:t>
      </w:r>
      <w:r>
        <w:rPr>
          <w:rFonts w:ascii="Abadi" w:hAnsi="Abadi" w:cs="Tahoma"/>
          <w:sz w:val="21"/>
          <w:szCs w:val="21"/>
        </w:rPr>
        <w:t xml:space="preserve"> </w:t>
      </w:r>
      <w:r w:rsidRPr="00276FC4">
        <w:rPr>
          <w:rFonts w:ascii="Abadi" w:hAnsi="Abadi" w:cs="Tahoma"/>
          <w:sz w:val="21"/>
          <w:szCs w:val="21"/>
        </w:rPr>
        <w:t>finanzas públicas antes de solicitar a este Congreso la autorización para contratar</w:t>
      </w:r>
      <w:r>
        <w:rPr>
          <w:rFonts w:ascii="Abadi" w:hAnsi="Abadi" w:cs="Tahoma"/>
          <w:sz w:val="21"/>
          <w:szCs w:val="21"/>
        </w:rPr>
        <w:t xml:space="preserve"> </w:t>
      </w:r>
      <w:r w:rsidRPr="00276FC4">
        <w:rPr>
          <w:rFonts w:ascii="Abadi" w:hAnsi="Abadi" w:cs="Tahoma"/>
          <w:sz w:val="21"/>
          <w:szCs w:val="21"/>
        </w:rPr>
        <w:t>deuda pública; así como a establecer medidas que les permitan aumentar la</w:t>
      </w:r>
      <w:r>
        <w:rPr>
          <w:rFonts w:ascii="Abadi" w:hAnsi="Abadi" w:cs="Tahoma"/>
          <w:sz w:val="21"/>
          <w:szCs w:val="21"/>
        </w:rPr>
        <w:t xml:space="preserve"> </w:t>
      </w:r>
      <w:r w:rsidRPr="00276FC4">
        <w:rPr>
          <w:rFonts w:ascii="Abadi" w:hAnsi="Abadi" w:cs="Tahoma"/>
          <w:sz w:val="21"/>
          <w:szCs w:val="21"/>
        </w:rPr>
        <w:t>recaudación de sus ingresos propios para disminuir su dependencia de los ingresos</w:t>
      </w:r>
      <w:r>
        <w:rPr>
          <w:rFonts w:ascii="Abadi" w:hAnsi="Abadi" w:cs="Tahoma"/>
          <w:sz w:val="21"/>
          <w:szCs w:val="21"/>
        </w:rPr>
        <w:t xml:space="preserve"> </w:t>
      </w:r>
      <w:r w:rsidRPr="00276FC4">
        <w:rPr>
          <w:rFonts w:ascii="Abadi" w:hAnsi="Abadi" w:cs="Tahoma"/>
          <w:sz w:val="21"/>
          <w:szCs w:val="21"/>
        </w:rPr>
        <w:t>federales y locales.</w:t>
      </w:r>
    </w:p>
    <w:p w14:paraId="05E16261" w14:textId="77777777" w:rsidR="00D27CAC" w:rsidRPr="00276FC4" w:rsidRDefault="00D27CAC" w:rsidP="00D27CAC">
      <w:pPr>
        <w:autoSpaceDE w:val="0"/>
        <w:autoSpaceDN w:val="0"/>
        <w:adjustRightInd w:val="0"/>
        <w:jc w:val="both"/>
        <w:rPr>
          <w:rFonts w:ascii="Abadi" w:hAnsi="Abadi" w:cs="Tahoma"/>
          <w:sz w:val="21"/>
          <w:szCs w:val="21"/>
        </w:rPr>
      </w:pPr>
    </w:p>
    <w:p w14:paraId="1DC6D8DD" w14:textId="77777777" w:rsidR="00D27CAC" w:rsidRDefault="00D27CAC" w:rsidP="00D27CAC">
      <w:pPr>
        <w:autoSpaceDE w:val="0"/>
        <w:autoSpaceDN w:val="0"/>
        <w:adjustRightInd w:val="0"/>
        <w:jc w:val="both"/>
        <w:rPr>
          <w:rFonts w:ascii="Abadi" w:hAnsi="Abadi" w:cs="Tahoma"/>
          <w:sz w:val="21"/>
          <w:szCs w:val="21"/>
        </w:rPr>
      </w:pPr>
    </w:p>
    <w:p w14:paraId="707A69D4" w14:textId="77777777" w:rsidR="00D27CAC" w:rsidRPr="00276FC4" w:rsidRDefault="00D27CAC" w:rsidP="00D27CAC">
      <w:pPr>
        <w:autoSpaceDE w:val="0"/>
        <w:autoSpaceDN w:val="0"/>
        <w:adjustRightInd w:val="0"/>
        <w:jc w:val="center"/>
        <w:rPr>
          <w:rFonts w:ascii="Abadi" w:hAnsi="Abadi" w:cs="Tahoma"/>
          <w:sz w:val="21"/>
          <w:szCs w:val="21"/>
        </w:rPr>
      </w:pPr>
      <w:r w:rsidRPr="00276FC4">
        <w:rPr>
          <w:rFonts w:ascii="Abadi" w:hAnsi="Abadi" w:cs="Tahoma"/>
          <w:sz w:val="21"/>
          <w:szCs w:val="21"/>
        </w:rPr>
        <w:t>Diputada Alma Edwviges Alcaraz Hernández</w:t>
      </w:r>
    </w:p>
    <w:p w14:paraId="233AD82A" w14:textId="77777777" w:rsidR="00D27CAC" w:rsidRPr="00276FC4" w:rsidRDefault="00D27CAC" w:rsidP="00D27CAC">
      <w:pPr>
        <w:autoSpaceDE w:val="0"/>
        <w:autoSpaceDN w:val="0"/>
        <w:adjustRightInd w:val="0"/>
        <w:jc w:val="center"/>
        <w:rPr>
          <w:rFonts w:ascii="Abadi" w:hAnsi="Abadi" w:cs="Tahoma"/>
          <w:sz w:val="21"/>
          <w:szCs w:val="21"/>
        </w:rPr>
      </w:pPr>
      <w:r w:rsidRPr="00276FC4">
        <w:rPr>
          <w:rFonts w:ascii="Abadi" w:hAnsi="Abadi" w:cs="Tahoma"/>
          <w:sz w:val="21"/>
          <w:szCs w:val="21"/>
        </w:rPr>
        <w:t>Grupo Parlamentario de Morena</w:t>
      </w:r>
    </w:p>
    <w:p w14:paraId="23837756" w14:textId="77777777" w:rsidR="00D27CAC" w:rsidRDefault="00D27CAC" w:rsidP="00D27CAC">
      <w:pPr>
        <w:jc w:val="center"/>
        <w:rPr>
          <w:rFonts w:ascii="Abadi" w:hAnsi="Abadi" w:cs="Tahoma"/>
          <w:sz w:val="21"/>
          <w:szCs w:val="21"/>
        </w:rPr>
      </w:pPr>
    </w:p>
    <w:p w14:paraId="0585DAF0" w14:textId="2CF6E409" w:rsidR="00D27CAC" w:rsidRDefault="00D27CAC" w:rsidP="00D27CAC">
      <w:pPr>
        <w:jc w:val="center"/>
        <w:rPr>
          <w:rFonts w:ascii="Abadi" w:hAnsi="Abadi" w:cs="Tahoma"/>
          <w:sz w:val="21"/>
          <w:szCs w:val="21"/>
        </w:rPr>
      </w:pPr>
      <w:r w:rsidRPr="00276FC4">
        <w:rPr>
          <w:rFonts w:ascii="Abadi" w:hAnsi="Abadi" w:cs="Tahoma"/>
          <w:sz w:val="21"/>
          <w:szCs w:val="21"/>
        </w:rPr>
        <w:t>Guanajuato, Gto. a 05 de mayo de 2022.</w:t>
      </w:r>
    </w:p>
    <w:p w14:paraId="1696FCEC" w14:textId="3971A06F" w:rsidR="008D10CB" w:rsidRDefault="008D10CB" w:rsidP="00D27CAC">
      <w:pPr>
        <w:jc w:val="center"/>
        <w:rPr>
          <w:rFonts w:ascii="Abadi" w:hAnsi="Abadi" w:cs="Tahoma"/>
          <w:sz w:val="21"/>
          <w:szCs w:val="21"/>
        </w:rPr>
      </w:pPr>
    </w:p>
    <w:p w14:paraId="3037A392" w14:textId="011A4968" w:rsidR="008D10CB" w:rsidRPr="008D10CB" w:rsidRDefault="005318C7" w:rsidP="005318C7">
      <w:pPr>
        <w:ind w:firstLine="708"/>
        <w:jc w:val="both"/>
        <w:rPr>
          <w:rFonts w:ascii="Abadi" w:hAnsi="Abadi"/>
          <w:sz w:val="21"/>
          <w:szCs w:val="21"/>
        </w:rPr>
      </w:pPr>
      <w:r>
        <w:rPr>
          <w:rFonts w:ascii="Abadi" w:hAnsi="Abadi"/>
          <w:b/>
          <w:bCs/>
          <w:color w:val="333333"/>
          <w:sz w:val="21"/>
          <w:szCs w:val="21"/>
          <w:shd w:val="clear" w:color="auto" w:fill="FFFFFF"/>
        </w:rPr>
        <w:t xml:space="preserve">- </w:t>
      </w:r>
      <w:r w:rsidR="008D10CB" w:rsidRPr="008D10CB">
        <w:rPr>
          <w:rFonts w:ascii="Abadi" w:hAnsi="Abadi"/>
          <w:b/>
          <w:bCs/>
          <w:color w:val="333333"/>
          <w:sz w:val="21"/>
          <w:szCs w:val="21"/>
          <w:shd w:val="clear" w:color="auto" w:fill="FFFFFF"/>
        </w:rPr>
        <w:t>Presidencia.-</w:t>
      </w:r>
      <w:r w:rsidR="008D10CB" w:rsidRPr="008D10CB">
        <w:rPr>
          <w:rFonts w:ascii="Abadi" w:hAnsi="Abadi"/>
          <w:color w:val="333333"/>
          <w:sz w:val="21"/>
          <w:szCs w:val="21"/>
          <w:shd w:val="clear" w:color="auto" w:fill="FFFFFF"/>
        </w:rPr>
        <w:t xml:space="preserve">  </w:t>
      </w:r>
      <w:r w:rsidR="008D10CB" w:rsidRPr="008D10CB">
        <w:rPr>
          <w:rFonts w:ascii="Abadi" w:hAnsi="Abadi"/>
          <w:sz w:val="21"/>
          <w:szCs w:val="21"/>
        </w:rPr>
        <w:t>Se solicita nuevamente a la diputada Alma Edwviges Alcaraz Hernández dar lectura a su propuesta de Punto de Acuerdo, a efecto de exhortar a los titulares de los Poderes Ejecutivos de los Municipios del Estado a considerar la capacidad real de pago de sus municipios y el estado de sus finanzas públicas antes de solicitar a este Congreso la autorización para contratar deuda pública; así como a establecer medidas que les permitan aumentar la recaudación de sus ingresos propios para disminuir su dependencia de los ingresos federales y locales.</w:t>
      </w:r>
    </w:p>
    <w:p w14:paraId="618AF65F" w14:textId="77777777" w:rsidR="008D10CB" w:rsidRPr="008D10CB" w:rsidRDefault="008D10CB" w:rsidP="008D10CB">
      <w:pPr>
        <w:jc w:val="both"/>
        <w:rPr>
          <w:rFonts w:ascii="Abadi" w:hAnsi="Abadi"/>
          <w:sz w:val="21"/>
          <w:szCs w:val="21"/>
        </w:rPr>
      </w:pPr>
    </w:p>
    <w:p w14:paraId="2B1A8EA7" w14:textId="1AEA0473" w:rsidR="008D10CB" w:rsidRDefault="008D10CB" w:rsidP="008D10CB">
      <w:pPr>
        <w:pStyle w:val="Prrafodelista"/>
        <w:numPr>
          <w:ilvl w:val="0"/>
          <w:numId w:val="4"/>
        </w:numPr>
        <w:jc w:val="both"/>
        <w:rPr>
          <w:rFonts w:ascii="Abadi" w:hAnsi="Abadi"/>
          <w:sz w:val="21"/>
          <w:szCs w:val="21"/>
        </w:rPr>
      </w:pPr>
      <w:r w:rsidRPr="008D10CB">
        <w:rPr>
          <w:rFonts w:ascii="Abadi" w:hAnsi="Abadi"/>
          <w:sz w:val="21"/>
          <w:szCs w:val="21"/>
        </w:rPr>
        <w:t>Adelante diputada.</w:t>
      </w:r>
    </w:p>
    <w:p w14:paraId="6C216798" w14:textId="77777777" w:rsidR="008D10CB" w:rsidRDefault="008D10CB" w:rsidP="008D10CB">
      <w:pPr>
        <w:jc w:val="both"/>
        <w:rPr>
          <w:rFonts w:ascii="Abadi" w:hAnsi="Abadi"/>
          <w:sz w:val="21"/>
          <w:szCs w:val="21"/>
        </w:rPr>
      </w:pPr>
    </w:p>
    <w:p w14:paraId="2B44F517" w14:textId="77777777" w:rsidR="008D10CB" w:rsidRDefault="008D10CB" w:rsidP="008D10CB">
      <w:pPr>
        <w:jc w:val="both"/>
        <w:rPr>
          <w:rFonts w:ascii="Abadi" w:hAnsi="Abadi"/>
          <w:sz w:val="21"/>
          <w:szCs w:val="21"/>
        </w:rPr>
      </w:pPr>
    </w:p>
    <w:p w14:paraId="1EB96308" w14:textId="0F7B30F3" w:rsidR="008D10CB" w:rsidRDefault="008D10CB" w:rsidP="008D10CB">
      <w:pPr>
        <w:jc w:val="center"/>
        <w:rPr>
          <w:rFonts w:ascii="Abadi" w:hAnsi="Abadi"/>
          <w:b/>
          <w:bCs/>
          <w:sz w:val="21"/>
          <w:szCs w:val="21"/>
        </w:rPr>
      </w:pPr>
      <w:r w:rsidRPr="008D10CB">
        <w:rPr>
          <w:rFonts w:ascii="Abadi" w:hAnsi="Abadi"/>
          <w:b/>
          <w:bCs/>
          <w:sz w:val="21"/>
          <w:szCs w:val="21"/>
        </w:rPr>
        <w:t>(Posicionamiento)</w:t>
      </w:r>
    </w:p>
    <w:p w14:paraId="04119999" w14:textId="7CD7F642" w:rsidR="008D10CB" w:rsidRDefault="008D10CB" w:rsidP="008D10CB">
      <w:pPr>
        <w:jc w:val="both"/>
        <w:rPr>
          <w:rFonts w:ascii="Abadi" w:hAnsi="Abadi"/>
          <w:b/>
          <w:bCs/>
          <w:sz w:val="21"/>
          <w:szCs w:val="21"/>
        </w:rPr>
      </w:pPr>
      <w:r>
        <w:rPr>
          <w:noProof/>
        </w:rPr>
        <w:drawing>
          <wp:anchor distT="0" distB="0" distL="114300" distR="114300" simplePos="0" relativeHeight="251672576" behindDoc="1" locked="0" layoutInCell="1" allowOverlap="1" wp14:anchorId="4A969C91" wp14:editId="040F2EED">
            <wp:simplePos x="0" y="0"/>
            <wp:positionH relativeFrom="column">
              <wp:align>right</wp:align>
            </wp:positionH>
            <wp:positionV relativeFrom="paragraph">
              <wp:posOffset>206375</wp:posOffset>
            </wp:positionV>
            <wp:extent cx="2106295" cy="1076325"/>
            <wp:effectExtent l="0" t="57150" r="0" b="409575"/>
            <wp:wrapTight wrapText="bothSides">
              <wp:wrapPolygon edited="0">
                <wp:start x="10940" y="-1147"/>
                <wp:lineTo x="586" y="-765"/>
                <wp:lineTo x="195" y="-382"/>
                <wp:lineTo x="391" y="29437"/>
                <wp:lineTo x="3907" y="29437"/>
                <wp:lineTo x="9573" y="28673"/>
                <wp:lineTo x="19926" y="25614"/>
                <wp:lineTo x="19926" y="-1147"/>
                <wp:lineTo x="10940" y="-1147"/>
              </wp:wrapPolygon>
            </wp:wrapTight>
            <wp:docPr id="28" name="Imagen 2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Interfaz de usuario gráfica&#10;&#10;Descripción generada automáticamente"/>
                    <pic:cNvPicPr/>
                  </pic:nvPicPr>
                  <pic:blipFill rotWithShape="1">
                    <a:blip r:embed="rId32" cstate="print">
                      <a:extLst>
                        <a:ext uri="{28A0092B-C50C-407E-A947-70E740481C1C}">
                          <a14:useLocalDpi xmlns:a14="http://schemas.microsoft.com/office/drawing/2010/main" val="0"/>
                        </a:ext>
                      </a:extLst>
                    </a:blip>
                    <a:srcRect l="1527" t="2113" r="-1527" b="7061"/>
                    <a:stretch/>
                  </pic:blipFill>
                  <pic:spPr bwMode="auto">
                    <a:xfrm>
                      <a:off x="0" y="0"/>
                      <a:ext cx="2106295" cy="107632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14B8B123" w14:textId="19982534" w:rsidR="008D10CB" w:rsidRPr="008D10CB" w:rsidRDefault="008D10CB" w:rsidP="008D10CB">
      <w:pPr>
        <w:jc w:val="both"/>
        <w:rPr>
          <w:rFonts w:ascii="Abadi" w:hAnsi="Abadi"/>
          <w:b/>
          <w:bCs/>
          <w:sz w:val="21"/>
          <w:szCs w:val="21"/>
        </w:rPr>
      </w:pPr>
    </w:p>
    <w:p w14:paraId="57248CBA" w14:textId="77777777" w:rsidR="008D10CB" w:rsidRPr="008D10CB" w:rsidRDefault="008D10CB" w:rsidP="00D27CAC">
      <w:pPr>
        <w:jc w:val="center"/>
        <w:rPr>
          <w:rFonts w:ascii="Abadi" w:hAnsi="Abadi"/>
          <w:sz w:val="21"/>
          <w:szCs w:val="21"/>
        </w:rPr>
      </w:pPr>
    </w:p>
    <w:p w14:paraId="1A6C0B33" w14:textId="5587F1C5" w:rsidR="00D27CAC" w:rsidRDefault="00D27CAC" w:rsidP="00D27CAC">
      <w:pPr>
        <w:autoSpaceDE w:val="0"/>
        <w:autoSpaceDN w:val="0"/>
        <w:adjustRightInd w:val="0"/>
        <w:jc w:val="center"/>
        <w:rPr>
          <w:rFonts w:ascii="Abadi" w:hAnsi="Abadi" w:cs="ArialMT"/>
          <w:b/>
          <w:bCs/>
          <w:sz w:val="20"/>
          <w:szCs w:val="21"/>
        </w:rPr>
      </w:pPr>
    </w:p>
    <w:p w14:paraId="5B52EAD5" w14:textId="01F37CDC" w:rsidR="008D10CB" w:rsidRDefault="008D10CB" w:rsidP="00D27CAC">
      <w:pPr>
        <w:autoSpaceDE w:val="0"/>
        <w:autoSpaceDN w:val="0"/>
        <w:adjustRightInd w:val="0"/>
        <w:jc w:val="center"/>
        <w:rPr>
          <w:rFonts w:ascii="Abadi" w:hAnsi="Abadi" w:cs="ArialMT"/>
          <w:b/>
          <w:bCs/>
          <w:sz w:val="20"/>
          <w:szCs w:val="21"/>
        </w:rPr>
      </w:pPr>
    </w:p>
    <w:p w14:paraId="7509B43F" w14:textId="1054DB2A" w:rsidR="008D10CB" w:rsidRDefault="008D10CB" w:rsidP="00D27CAC">
      <w:pPr>
        <w:autoSpaceDE w:val="0"/>
        <w:autoSpaceDN w:val="0"/>
        <w:adjustRightInd w:val="0"/>
        <w:jc w:val="center"/>
        <w:rPr>
          <w:rFonts w:ascii="Abadi" w:hAnsi="Abadi" w:cs="ArialMT"/>
          <w:b/>
          <w:bCs/>
          <w:sz w:val="20"/>
          <w:szCs w:val="21"/>
        </w:rPr>
      </w:pPr>
    </w:p>
    <w:p w14:paraId="226891A2" w14:textId="20A7B03F" w:rsidR="008D10CB" w:rsidRDefault="008D10CB" w:rsidP="00D27CAC">
      <w:pPr>
        <w:autoSpaceDE w:val="0"/>
        <w:autoSpaceDN w:val="0"/>
        <w:adjustRightInd w:val="0"/>
        <w:jc w:val="center"/>
        <w:rPr>
          <w:rFonts w:ascii="Abadi" w:hAnsi="Abadi" w:cs="ArialMT"/>
          <w:b/>
          <w:bCs/>
          <w:sz w:val="20"/>
          <w:szCs w:val="21"/>
        </w:rPr>
      </w:pPr>
    </w:p>
    <w:p w14:paraId="5C2123CC" w14:textId="7E672AD0" w:rsidR="008D10CB" w:rsidRDefault="008D10CB" w:rsidP="00D27CAC">
      <w:pPr>
        <w:autoSpaceDE w:val="0"/>
        <w:autoSpaceDN w:val="0"/>
        <w:adjustRightInd w:val="0"/>
        <w:jc w:val="center"/>
        <w:rPr>
          <w:rFonts w:ascii="Abadi" w:hAnsi="Abadi" w:cs="ArialMT"/>
          <w:b/>
          <w:bCs/>
          <w:sz w:val="20"/>
          <w:szCs w:val="21"/>
        </w:rPr>
      </w:pPr>
    </w:p>
    <w:p w14:paraId="56E2685E" w14:textId="46CAD343" w:rsidR="008D10CB" w:rsidRDefault="008D10CB" w:rsidP="00D27CAC">
      <w:pPr>
        <w:autoSpaceDE w:val="0"/>
        <w:autoSpaceDN w:val="0"/>
        <w:adjustRightInd w:val="0"/>
        <w:jc w:val="center"/>
        <w:rPr>
          <w:rFonts w:ascii="Abadi" w:hAnsi="Abadi" w:cs="ArialMT"/>
          <w:b/>
          <w:bCs/>
          <w:sz w:val="20"/>
          <w:szCs w:val="21"/>
        </w:rPr>
      </w:pPr>
    </w:p>
    <w:p w14:paraId="6E178781" w14:textId="77777777" w:rsidR="008D10CB" w:rsidRPr="00D27CAC" w:rsidRDefault="008D10CB" w:rsidP="00D27CAC">
      <w:pPr>
        <w:autoSpaceDE w:val="0"/>
        <w:autoSpaceDN w:val="0"/>
        <w:adjustRightInd w:val="0"/>
        <w:jc w:val="center"/>
        <w:rPr>
          <w:rFonts w:ascii="Abadi" w:hAnsi="Abadi" w:cs="ArialMT"/>
          <w:b/>
          <w:bCs/>
          <w:sz w:val="20"/>
          <w:szCs w:val="21"/>
        </w:rPr>
      </w:pPr>
    </w:p>
    <w:p w14:paraId="75D62509" w14:textId="02AC77DF" w:rsidR="00593F92" w:rsidRDefault="00593F92" w:rsidP="00593F92">
      <w:pPr>
        <w:autoSpaceDE w:val="0"/>
        <w:autoSpaceDN w:val="0"/>
        <w:adjustRightInd w:val="0"/>
        <w:jc w:val="both"/>
        <w:rPr>
          <w:rFonts w:ascii="Abadi" w:hAnsi="Abadi" w:cs="ArialMT"/>
          <w:b/>
          <w:bCs/>
          <w:sz w:val="20"/>
          <w:szCs w:val="21"/>
        </w:rPr>
      </w:pPr>
    </w:p>
    <w:p w14:paraId="57B55BF1" w14:textId="3FEA75D9" w:rsidR="00593F92" w:rsidRPr="00593F92" w:rsidRDefault="00593F92" w:rsidP="00593F92">
      <w:pPr>
        <w:autoSpaceDE w:val="0"/>
        <w:autoSpaceDN w:val="0"/>
        <w:adjustRightInd w:val="0"/>
        <w:jc w:val="both"/>
        <w:rPr>
          <w:rFonts w:ascii="Abadi" w:hAnsi="Abadi" w:cs="ArialMT"/>
          <w:b/>
          <w:bCs/>
          <w:sz w:val="20"/>
          <w:szCs w:val="21"/>
        </w:rPr>
      </w:pPr>
      <w:r w:rsidRPr="00593F92">
        <w:rPr>
          <w:rFonts w:ascii="Abadi" w:hAnsi="Abadi" w:cs="ArialMT"/>
          <w:b/>
          <w:bCs/>
          <w:sz w:val="20"/>
          <w:szCs w:val="21"/>
        </w:rPr>
        <w:t>-Diputada Alma Edwviges Alcaraz Hernández</w:t>
      </w:r>
      <w:r>
        <w:rPr>
          <w:rFonts w:ascii="Abadi" w:hAnsi="Abadi" w:cs="ArialMT"/>
          <w:b/>
          <w:bCs/>
          <w:sz w:val="20"/>
          <w:szCs w:val="21"/>
        </w:rPr>
        <w:t>-</w:t>
      </w:r>
      <w:r w:rsidRPr="00593F92">
        <w:rPr>
          <w:rFonts w:ascii="Abadi" w:hAnsi="Abadi" w:cs="ArialMT"/>
          <w:b/>
          <w:bCs/>
          <w:sz w:val="20"/>
          <w:szCs w:val="21"/>
        </w:rPr>
        <w:t xml:space="preserve"> </w:t>
      </w:r>
    </w:p>
    <w:p w14:paraId="63950005" w14:textId="77777777" w:rsidR="00593F92" w:rsidRPr="00593F92" w:rsidRDefault="00593F92" w:rsidP="00593F92">
      <w:pPr>
        <w:autoSpaceDE w:val="0"/>
        <w:autoSpaceDN w:val="0"/>
        <w:adjustRightInd w:val="0"/>
        <w:jc w:val="both"/>
        <w:rPr>
          <w:rFonts w:ascii="Abadi" w:hAnsi="Abadi" w:cs="ArialMT"/>
          <w:b/>
          <w:bCs/>
          <w:sz w:val="20"/>
          <w:szCs w:val="21"/>
        </w:rPr>
      </w:pPr>
    </w:p>
    <w:p w14:paraId="662EA6FE" w14:textId="118D44C9" w:rsidR="00593F92" w:rsidRDefault="00593F92" w:rsidP="00593F92">
      <w:pPr>
        <w:autoSpaceDE w:val="0"/>
        <w:autoSpaceDN w:val="0"/>
        <w:adjustRightInd w:val="0"/>
        <w:jc w:val="both"/>
        <w:rPr>
          <w:rFonts w:ascii="Abadi" w:hAnsi="Abadi" w:cs="ArialMT"/>
          <w:sz w:val="20"/>
          <w:szCs w:val="21"/>
        </w:rPr>
      </w:pPr>
      <w:r w:rsidRPr="00593F92">
        <w:rPr>
          <w:rFonts w:ascii="Abadi" w:hAnsi="Abadi" w:cs="ArialMT"/>
          <w:sz w:val="20"/>
          <w:szCs w:val="21"/>
        </w:rPr>
        <w:t xml:space="preserve">- Sí, gracias con su venia, (voz) diputada presidenta, para qué efecto, pregunta al diputado Víctor Manuel Zanella, (voz) diputado Zanella, muchas gracias, diputada, Presidenta, en términos de la fracción primera del artículo 177 de esta Ley Orgánica del Poder Legislativo del Estado de Guanajuato, solicitarles sea incorporada  a la declaratoria de obvia resolución del presente punto y se le dé trámite parlamentario correspondiente (voz) muy bien en diputado, una vez que concluyan, la diputada entonces se someterá a votación, si es de que declare de obvia resolución. </w:t>
      </w:r>
    </w:p>
    <w:p w14:paraId="739492B5" w14:textId="77777777" w:rsidR="00593F92" w:rsidRPr="00593F92" w:rsidRDefault="00593F92" w:rsidP="00593F92">
      <w:pPr>
        <w:autoSpaceDE w:val="0"/>
        <w:autoSpaceDN w:val="0"/>
        <w:adjustRightInd w:val="0"/>
        <w:jc w:val="both"/>
        <w:rPr>
          <w:rFonts w:ascii="Abadi" w:hAnsi="Abadi" w:cs="ArialMT"/>
          <w:sz w:val="20"/>
          <w:szCs w:val="21"/>
        </w:rPr>
      </w:pPr>
    </w:p>
    <w:p w14:paraId="2E78D33E" w14:textId="77777777" w:rsidR="008D10CB" w:rsidRDefault="008D10CB" w:rsidP="00593F92">
      <w:pPr>
        <w:autoSpaceDE w:val="0"/>
        <w:autoSpaceDN w:val="0"/>
        <w:adjustRightInd w:val="0"/>
        <w:jc w:val="both"/>
        <w:rPr>
          <w:rFonts w:ascii="Abadi" w:hAnsi="Abadi" w:cs="ArialMT"/>
          <w:sz w:val="20"/>
          <w:szCs w:val="21"/>
        </w:rPr>
      </w:pPr>
      <w:r>
        <w:rPr>
          <w:rFonts w:ascii="Abadi" w:hAnsi="Abadi" w:cs="ArialMT"/>
          <w:sz w:val="20"/>
          <w:szCs w:val="21"/>
        </w:rPr>
        <w:t xml:space="preserve">- </w:t>
      </w:r>
      <w:r w:rsidR="00593F92" w:rsidRPr="00593F92">
        <w:rPr>
          <w:rFonts w:ascii="Abadi" w:hAnsi="Abadi" w:cs="ArialMT"/>
          <w:sz w:val="20"/>
          <w:szCs w:val="21"/>
        </w:rPr>
        <w:t xml:space="preserve">Adelante diputada, continúe, por favor, (voz) diputada Alma, sí, gracias, con su venia, diputada presidenta. La contratación de deuda pública es uno de los mecanismos más recurridos por los gobiernos para obtener recursos y llevar a cabo sus actividades principales, como la prestación de servicios y la construcción de obras e infraestructura pública. Sin embargo, los recursos provenientes de la deuda deben considerarse como ingresos extraordinarios y su mal manejo. Pueden ocasiones, generar un desequilibrio en las finanzas públicas y obtener este tipo de ingresos conlleva siempre un costo adicional, además que es. </w:t>
      </w:r>
    </w:p>
    <w:p w14:paraId="59A6BA82" w14:textId="77777777" w:rsidR="008D10CB" w:rsidRDefault="008D10CB" w:rsidP="00593F92">
      <w:pPr>
        <w:autoSpaceDE w:val="0"/>
        <w:autoSpaceDN w:val="0"/>
        <w:adjustRightInd w:val="0"/>
        <w:jc w:val="both"/>
        <w:rPr>
          <w:rFonts w:ascii="Abadi" w:hAnsi="Abadi" w:cs="ArialMT"/>
          <w:sz w:val="20"/>
          <w:szCs w:val="21"/>
        </w:rPr>
      </w:pPr>
    </w:p>
    <w:p w14:paraId="26C93CAF" w14:textId="03EB45BF" w:rsidR="00593F92" w:rsidRDefault="008D10CB" w:rsidP="00593F92">
      <w:pPr>
        <w:autoSpaceDE w:val="0"/>
        <w:autoSpaceDN w:val="0"/>
        <w:adjustRightInd w:val="0"/>
        <w:jc w:val="both"/>
        <w:rPr>
          <w:rFonts w:ascii="Abadi" w:hAnsi="Abadi" w:cs="ArialMT"/>
          <w:sz w:val="20"/>
          <w:szCs w:val="21"/>
        </w:rPr>
      </w:pPr>
      <w:r>
        <w:rPr>
          <w:rFonts w:ascii="Abadi" w:hAnsi="Abadi" w:cs="ArialMT"/>
          <w:sz w:val="20"/>
          <w:szCs w:val="21"/>
        </w:rPr>
        <w:t xml:space="preserve">- </w:t>
      </w:r>
      <w:r w:rsidR="00593F92" w:rsidRPr="00593F92">
        <w:rPr>
          <w:rFonts w:ascii="Abadi" w:hAnsi="Abadi" w:cs="ArialMT"/>
          <w:sz w:val="20"/>
          <w:szCs w:val="21"/>
        </w:rPr>
        <w:t xml:space="preserve">A través de estudios nos hemos dado cuenta a través de estudios de como el Instituto Mexicano de la Competitividad De Lincoln y otras organizaciones que se han dedicado a estudiar la deuda pública que los municipios o los Estados. Que adquieren deuda, la terminan gastando en todo menos para lo que se suponía que era contratada. Y es que, aunque se busquen las mejores condiciones del mercado, los bancos cobran comisiones, cobran intereses, además que termina pagando obviamente la ciudadanía. Un ejemplo está en el costo de la deuda estatal de los últimos años desde que llegó el actual Gobernador, el Gobierno del Estado ha pagado casi 1306 millones de pesos en intereses de la deuda, en 2019 se pagaron 443 millones de pesos, en el 2020. 283 millones de pesos, en el 2021. 410 millones de pesos y en lo que va del 2022. 168 millones de pesos, todo esto sólo por intereses de la deuda que podría haberse hecho con 1306 millones de pesos, todo esto que se pagó por intereses. Que se perdieron, digo que se pagaron en la deuda, se pudieron haber financiado programas, se pudieron haber financiado becas, se pudieron haber refinanciado apoyos, obras que pudieron haberse realizado en lugar de haber pagado el interés de la deuda pública. En nuestro país, la dependencia de los Gobiernos estatales y de los gobiernos municipales, de los recursos del Gobierno federal y la baja recaudación de los ingresos propios han generado una debilidad de los gobiernos locales que cada vez más van reduciendo sus obras o inversiones públicas y recurren a otras fuentes de financiamiento como la contratación de deuda. </w:t>
      </w:r>
    </w:p>
    <w:p w14:paraId="4299638F" w14:textId="77777777" w:rsidR="00593F92" w:rsidRPr="00593F92" w:rsidRDefault="00593F92" w:rsidP="00593F92">
      <w:pPr>
        <w:autoSpaceDE w:val="0"/>
        <w:autoSpaceDN w:val="0"/>
        <w:adjustRightInd w:val="0"/>
        <w:jc w:val="both"/>
        <w:rPr>
          <w:rFonts w:ascii="Abadi" w:hAnsi="Abadi" w:cs="ArialMT"/>
          <w:sz w:val="20"/>
          <w:szCs w:val="21"/>
        </w:rPr>
      </w:pPr>
    </w:p>
    <w:p w14:paraId="1129DA52" w14:textId="058B9201" w:rsidR="00593F92" w:rsidRDefault="00593F92" w:rsidP="00593F92">
      <w:pPr>
        <w:autoSpaceDE w:val="0"/>
        <w:autoSpaceDN w:val="0"/>
        <w:adjustRightInd w:val="0"/>
        <w:jc w:val="both"/>
        <w:rPr>
          <w:rFonts w:ascii="Abadi" w:hAnsi="Abadi" w:cs="ArialMT"/>
          <w:sz w:val="20"/>
          <w:szCs w:val="21"/>
        </w:rPr>
      </w:pPr>
      <w:r w:rsidRPr="00593F92">
        <w:rPr>
          <w:rFonts w:ascii="Abadi" w:hAnsi="Abadi" w:cs="ArialMT"/>
          <w:sz w:val="20"/>
          <w:szCs w:val="21"/>
        </w:rPr>
        <w:t xml:space="preserve">- Muchas veces sin considerar su capacidad real de pago, ni el debilitamiento que tendrán sus ingresos en los años venideros, en los que se deberían de afrontar obligaciones, veamos el ejemplo de nuestro Estado, por ejemplo, en Guanajuato de cada MXN$ 100 MXN$ 100 que ingresó el Estado durante el año pasado. 84 fueron enviados por la Federación, se recibieron de la Federación MXN$ 84 MXN$ 6 provinieron de la deuda pública y sólo MXN$ 10 fueron ingresos propios recaudados por el Estado. La capacidad recaudatoria del Estado, pues no es. Lo mejor, gobiernos por desgracia, como los que existen en Guanajuato, prefieren endeudarse 101520 años antes de llevar a cabo esfuerzos por vivir en austeridad o por tener. Una recaudación progresiva, que les permiten solventar todos los servicios que tienen quedar como recolección de basura, agua potable, servicios, panteones, alumbrado público, construcción de obra, etcétera. </w:t>
      </w:r>
    </w:p>
    <w:p w14:paraId="0DA93FFA" w14:textId="475455D7" w:rsidR="00593F92" w:rsidRDefault="00593F92" w:rsidP="00593F92">
      <w:pPr>
        <w:autoSpaceDE w:val="0"/>
        <w:autoSpaceDN w:val="0"/>
        <w:adjustRightInd w:val="0"/>
        <w:jc w:val="both"/>
        <w:rPr>
          <w:rFonts w:ascii="Abadi" w:hAnsi="Abadi" w:cs="ArialMT"/>
          <w:sz w:val="20"/>
          <w:szCs w:val="21"/>
        </w:rPr>
      </w:pPr>
      <w:r w:rsidRPr="00593F92">
        <w:rPr>
          <w:rFonts w:ascii="Abadi" w:hAnsi="Abadi" w:cs="ArialMT"/>
          <w:sz w:val="20"/>
          <w:szCs w:val="21"/>
        </w:rPr>
        <w:t xml:space="preserve">- Y en vez de poder administrar correctamente, pues se prefiere por desgracia hipotecar el futuro de las y los guanajuatenses, la obtención de recursos a través de la deuda pública no pueden seguir siendo el colchón, de los Gobiernos Estatales y Municipales. Qué se rehúsan a implementar medidas de austeridad republicana ya gestionar adecuadamente sus recursos. </w:t>
      </w:r>
    </w:p>
    <w:p w14:paraId="0F568727" w14:textId="77777777" w:rsidR="00593F92" w:rsidRPr="00593F92" w:rsidRDefault="00593F92" w:rsidP="00593F92">
      <w:pPr>
        <w:autoSpaceDE w:val="0"/>
        <w:autoSpaceDN w:val="0"/>
        <w:adjustRightInd w:val="0"/>
        <w:jc w:val="both"/>
        <w:rPr>
          <w:rFonts w:ascii="Abadi" w:hAnsi="Abadi" w:cs="ArialMT"/>
          <w:sz w:val="20"/>
          <w:szCs w:val="21"/>
        </w:rPr>
      </w:pPr>
    </w:p>
    <w:p w14:paraId="31081889" w14:textId="5DA8DE8A" w:rsidR="00593F92" w:rsidRDefault="00593F92" w:rsidP="00593F92">
      <w:pPr>
        <w:autoSpaceDE w:val="0"/>
        <w:autoSpaceDN w:val="0"/>
        <w:adjustRightInd w:val="0"/>
        <w:jc w:val="both"/>
        <w:rPr>
          <w:rFonts w:ascii="Abadi" w:hAnsi="Abadi" w:cs="ArialMT"/>
          <w:sz w:val="20"/>
          <w:szCs w:val="21"/>
        </w:rPr>
      </w:pPr>
      <w:r w:rsidRPr="00593F92">
        <w:rPr>
          <w:rFonts w:ascii="Abadi" w:hAnsi="Abadi" w:cs="ArialMT"/>
          <w:sz w:val="20"/>
          <w:szCs w:val="21"/>
        </w:rPr>
        <w:t xml:space="preserve">- Por lo anterior es que se debe ser muy cuidadoso en los términos en que se realizan las contrataciones de la deuda pública y sobre todo, con el destino final que se le va a dar. A ese dinero porque, repito, terminan gastándolo en todo menos en lo que dijeron que lo iban a gastar. </w:t>
      </w:r>
    </w:p>
    <w:p w14:paraId="326E370A" w14:textId="77777777" w:rsidR="00593F92" w:rsidRPr="00593F92" w:rsidRDefault="00593F92" w:rsidP="00593F92">
      <w:pPr>
        <w:autoSpaceDE w:val="0"/>
        <w:autoSpaceDN w:val="0"/>
        <w:adjustRightInd w:val="0"/>
        <w:jc w:val="both"/>
        <w:rPr>
          <w:rFonts w:ascii="Abadi" w:hAnsi="Abadi" w:cs="ArialMT"/>
          <w:sz w:val="20"/>
          <w:szCs w:val="21"/>
        </w:rPr>
      </w:pPr>
    </w:p>
    <w:p w14:paraId="1EA21AE2" w14:textId="67B7D802" w:rsidR="00593F92" w:rsidRDefault="00593F92" w:rsidP="00593F92">
      <w:pPr>
        <w:autoSpaceDE w:val="0"/>
        <w:autoSpaceDN w:val="0"/>
        <w:adjustRightInd w:val="0"/>
        <w:jc w:val="both"/>
        <w:rPr>
          <w:rFonts w:ascii="Abadi" w:hAnsi="Abadi" w:cs="ArialMT"/>
          <w:sz w:val="20"/>
          <w:szCs w:val="21"/>
        </w:rPr>
      </w:pPr>
      <w:r w:rsidRPr="00593F92">
        <w:rPr>
          <w:rFonts w:ascii="Abadi" w:hAnsi="Abadi" w:cs="ArialMT"/>
          <w:sz w:val="20"/>
          <w:szCs w:val="21"/>
        </w:rPr>
        <w:t>-Y por eso nos preocupa la declaración del Gobernador del Estado, Diego sino Rodríguez Vallejo, quien mencionó que era necesario cuando no hay dinero y hay una pandemia que teníamos que gastar, que el Gobierno tenía que gastar cuando hay una crisis económica, dijo. Una de las mejores medidas contra cíclicas en la inversión en obra pública y si no hay recurso federal, pues hay que buscar la deuda. Palabras textuales.</w:t>
      </w:r>
    </w:p>
    <w:p w14:paraId="12E6BDF7" w14:textId="77777777" w:rsidR="008D10CB" w:rsidRPr="00593F92" w:rsidRDefault="008D10CB" w:rsidP="00593F92">
      <w:pPr>
        <w:autoSpaceDE w:val="0"/>
        <w:autoSpaceDN w:val="0"/>
        <w:adjustRightInd w:val="0"/>
        <w:jc w:val="both"/>
        <w:rPr>
          <w:rFonts w:ascii="Abadi" w:hAnsi="Abadi" w:cs="ArialMT"/>
          <w:sz w:val="20"/>
          <w:szCs w:val="21"/>
        </w:rPr>
      </w:pPr>
    </w:p>
    <w:p w14:paraId="4BEE2525" w14:textId="27B30035" w:rsidR="00593F92" w:rsidRDefault="00593F92" w:rsidP="00593F92">
      <w:pPr>
        <w:autoSpaceDE w:val="0"/>
        <w:autoSpaceDN w:val="0"/>
        <w:adjustRightInd w:val="0"/>
        <w:jc w:val="both"/>
        <w:rPr>
          <w:rFonts w:ascii="Abadi" w:hAnsi="Abadi" w:cs="ArialMT"/>
          <w:sz w:val="20"/>
          <w:szCs w:val="21"/>
        </w:rPr>
      </w:pPr>
      <w:r w:rsidRPr="00593F92">
        <w:rPr>
          <w:rFonts w:ascii="Abadi" w:hAnsi="Abadi" w:cs="ArialMT"/>
          <w:sz w:val="20"/>
          <w:szCs w:val="21"/>
        </w:rPr>
        <w:t xml:space="preserve">- En el mismo sentido, el gobernador invitó a los presidentes municipales a solicitar al Congreso la autorización correspondiente para contratar deuda, tanto el Gobernador como los Presidentes Municipales, consideramos, deben de ser sumamente responsables y evitar contraer obligaciones que puedan poner en riesgo las finanzas públicas del Estado. No se puede cogobernar con dinero con dinero prestado eternamente como el caso, por ejemplo, de Alejandro Navarro aquí en Guanajuato solicitó más de 70 millones de pesos para la construcción de un museo. Y en este momento sigue sin contar con la licencia del Instituto del INAH, del Instituto Nacional de Antropología. </w:t>
      </w:r>
    </w:p>
    <w:p w14:paraId="191BA841" w14:textId="77777777" w:rsidR="00593F92" w:rsidRPr="00593F92" w:rsidRDefault="00593F92" w:rsidP="00593F92">
      <w:pPr>
        <w:autoSpaceDE w:val="0"/>
        <w:autoSpaceDN w:val="0"/>
        <w:adjustRightInd w:val="0"/>
        <w:jc w:val="both"/>
        <w:rPr>
          <w:rFonts w:ascii="Abadi" w:hAnsi="Abadi" w:cs="ArialMT"/>
          <w:sz w:val="20"/>
          <w:szCs w:val="21"/>
        </w:rPr>
      </w:pPr>
    </w:p>
    <w:p w14:paraId="0A13DC81" w14:textId="39125C29" w:rsidR="00593F92" w:rsidRDefault="00593F92" w:rsidP="00593F92">
      <w:pPr>
        <w:autoSpaceDE w:val="0"/>
        <w:autoSpaceDN w:val="0"/>
        <w:adjustRightInd w:val="0"/>
        <w:jc w:val="both"/>
        <w:rPr>
          <w:rFonts w:ascii="Abadi" w:hAnsi="Abadi" w:cs="ArialMT"/>
          <w:sz w:val="20"/>
          <w:szCs w:val="21"/>
        </w:rPr>
      </w:pPr>
      <w:r w:rsidRPr="00593F92">
        <w:rPr>
          <w:rFonts w:ascii="Abadi" w:hAnsi="Abadi" w:cs="ArialMT"/>
          <w:sz w:val="20"/>
          <w:szCs w:val="21"/>
        </w:rPr>
        <w:t xml:space="preserve">- Además, si se pretende tener más dinero proveniente de los créditos bancarios, se necesitan establecer mecanismos efectivos de vigilancia, transparencia, rendición de cuentas que permita a todos las y los guanajuatenses conocer a qué obras se está dedicando ese dinero, en qué se está gastando ese dinero y que no se maneje de una manera, tan discrecional como se ha venido manejando, también es necesario evaluar claramente la capacidad de pago de cada uno de los municipios y proponer financiamientos que no pongan en riesgo el financiamiento normal del municipio ni el gasto corriente que ya tienen comprometido. </w:t>
      </w:r>
    </w:p>
    <w:p w14:paraId="106669EA" w14:textId="77777777" w:rsidR="008D10CB" w:rsidRPr="00593F92" w:rsidRDefault="008D10CB" w:rsidP="00593F92">
      <w:pPr>
        <w:autoSpaceDE w:val="0"/>
        <w:autoSpaceDN w:val="0"/>
        <w:adjustRightInd w:val="0"/>
        <w:jc w:val="both"/>
        <w:rPr>
          <w:rFonts w:ascii="Abadi" w:hAnsi="Abadi" w:cs="ArialMT"/>
          <w:sz w:val="20"/>
          <w:szCs w:val="21"/>
        </w:rPr>
      </w:pPr>
    </w:p>
    <w:p w14:paraId="36FEEF18" w14:textId="77777777" w:rsidR="00593F92" w:rsidRPr="00593F92" w:rsidRDefault="00593F92" w:rsidP="00593F92">
      <w:pPr>
        <w:autoSpaceDE w:val="0"/>
        <w:autoSpaceDN w:val="0"/>
        <w:adjustRightInd w:val="0"/>
        <w:jc w:val="both"/>
        <w:rPr>
          <w:rFonts w:ascii="Abadi" w:hAnsi="Abadi" w:cs="ArialMT"/>
          <w:sz w:val="20"/>
          <w:szCs w:val="21"/>
        </w:rPr>
      </w:pPr>
      <w:r w:rsidRPr="00593F92">
        <w:rPr>
          <w:rFonts w:ascii="Abadi" w:hAnsi="Abadi" w:cs="ArialMT"/>
          <w:sz w:val="20"/>
          <w:szCs w:val="21"/>
        </w:rPr>
        <w:t>- Debemos recordar que nuestro Estado ya tiene. Importantes compromisos de deuda contratados, pues de acuerdo con el boletín de la deuda pública de la deuda pública en marzo del 2022 la deuda directa del Estado ascendía a 9880 millones de pesos. Cantidad a la que debe sumarse los 2000 millones de pesos que se acaban de subastar a inicios del del mes pasado y que corresponden al restante de la deuda pública por 5000 millones de pesos aprobados por el Congreso del Estado a finales del año 2021, si bien de acuerdo con el resultado del sistema de alertas al cuarto trimestre del 2021, Guanajuato tenía un nivel de endeudamiento sostenible, no se debe dejar de poner atención al crecimiento de dicha deuda y al destino final que se le dé a los recursos que de ella provenga. No debemos olvidar que la mejor forma de financiamiento de los gobiernos locales debe provenir de la obtención de recursos propios mediante el fortalecimiento de las finanzas el aumento de la recaudación, los mecanismos de austeridad republicana y de la buena administración de los recursos obtenidos por la prestación de los servicios públicos que tiene permitido realizar por todos estos argumentos es que propongo a esta honorable asamblea el siguiente:</w:t>
      </w:r>
    </w:p>
    <w:p w14:paraId="7A652BD1" w14:textId="77777777" w:rsidR="00593F92" w:rsidRDefault="00593F92" w:rsidP="00593F92">
      <w:pPr>
        <w:autoSpaceDE w:val="0"/>
        <w:autoSpaceDN w:val="0"/>
        <w:adjustRightInd w:val="0"/>
        <w:jc w:val="both"/>
        <w:rPr>
          <w:rFonts w:ascii="Abadi" w:hAnsi="Abadi" w:cs="ArialMT"/>
          <w:sz w:val="20"/>
          <w:szCs w:val="21"/>
        </w:rPr>
      </w:pPr>
    </w:p>
    <w:p w14:paraId="6D274854" w14:textId="326C6C43" w:rsidR="00593F92" w:rsidRPr="00593F92" w:rsidRDefault="00593F92" w:rsidP="00593F92">
      <w:pPr>
        <w:autoSpaceDE w:val="0"/>
        <w:autoSpaceDN w:val="0"/>
        <w:adjustRightInd w:val="0"/>
        <w:jc w:val="both"/>
        <w:rPr>
          <w:rFonts w:ascii="Abadi" w:hAnsi="Abadi" w:cs="ArialMT"/>
          <w:sz w:val="20"/>
          <w:szCs w:val="21"/>
        </w:rPr>
      </w:pPr>
      <w:r>
        <w:rPr>
          <w:rFonts w:ascii="Abadi" w:hAnsi="Abadi" w:cs="ArialMT"/>
          <w:sz w:val="20"/>
          <w:szCs w:val="21"/>
        </w:rPr>
        <w:t xml:space="preserve">- </w:t>
      </w:r>
      <w:r w:rsidRPr="00593F92">
        <w:rPr>
          <w:rFonts w:ascii="Abadi" w:hAnsi="Abadi" w:cs="ArialMT"/>
          <w:sz w:val="20"/>
          <w:szCs w:val="21"/>
        </w:rPr>
        <w:t xml:space="preserve">Punto de acuerdo. </w:t>
      </w:r>
    </w:p>
    <w:p w14:paraId="0021998A" w14:textId="77777777" w:rsidR="00593F92" w:rsidRPr="00593F92" w:rsidRDefault="00593F92" w:rsidP="00593F92">
      <w:pPr>
        <w:autoSpaceDE w:val="0"/>
        <w:autoSpaceDN w:val="0"/>
        <w:adjustRightInd w:val="0"/>
        <w:jc w:val="both"/>
        <w:rPr>
          <w:rFonts w:ascii="Abadi" w:hAnsi="Abadi" w:cs="ArialMT"/>
          <w:sz w:val="20"/>
          <w:szCs w:val="21"/>
        </w:rPr>
      </w:pPr>
    </w:p>
    <w:p w14:paraId="170EABD7" w14:textId="06E1E58A" w:rsidR="00593F92" w:rsidRDefault="00593F92" w:rsidP="00593F92">
      <w:pPr>
        <w:autoSpaceDE w:val="0"/>
        <w:autoSpaceDN w:val="0"/>
        <w:adjustRightInd w:val="0"/>
        <w:jc w:val="both"/>
        <w:rPr>
          <w:rFonts w:ascii="Abadi" w:hAnsi="Abadi" w:cs="ArialMT"/>
          <w:sz w:val="20"/>
          <w:szCs w:val="21"/>
        </w:rPr>
      </w:pPr>
      <w:r>
        <w:rPr>
          <w:rFonts w:ascii="Abadi" w:hAnsi="Abadi" w:cs="ArialMT"/>
          <w:sz w:val="20"/>
          <w:szCs w:val="21"/>
        </w:rPr>
        <w:t xml:space="preserve">- </w:t>
      </w:r>
      <w:r w:rsidRPr="00593F92">
        <w:rPr>
          <w:rFonts w:ascii="Abadi" w:hAnsi="Abadi" w:cs="ArialMT"/>
          <w:sz w:val="20"/>
          <w:szCs w:val="21"/>
        </w:rPr>
        <w:t xml:space="preserve">Que esta legislatura del Congreso del Estado exhorte a los 46 ayuntamientos del Estado, a evitar el endeudamiento, que consideren, la capacidad real de pago con la que cuenta y el estado de sus finanzas públicas antes. De tener que recurrir al Congreso del Estado para solicitar la autorización de la deuda pública de deuda pública, establecer medidas que les permitan aumentar la recaudación de sus ingresos propios y que disminuyan la dependencia de los ingresos federales y estatales y considerar sobre todo, implementar la austeridad republicana en el uso de los recursos con los que se cuente. </w:t>
      </w:r>
    </w:p>
    <w:p w14:paraId="4823C5A2" w14:textId="77777777" w:rsidR="00593F92" w:rsidRPr="00593F92" w:rsidRDefault="00593F92" w:rsidP="00593F92">
      <w:pPr>
        <w:autoSpaceDE w:val="0"/>
        <w:autoSpaceDN w:val="0"/>
        <w:adjustRightInd w:val="0"/>
        <w:jc w:val="both"/>
        <w:rPr>
          <w:rFonts w:ascii="Abadi" w:hAnsi="Abadi" w:cs="ArialMT"/>
          <w:sz w:val="20"/>
          <w:szCs w:val="21"/>
        </w:rPr>
      </w:pPr>
    </w:p>
    <w:p w14:paraId="2D7F4ABA" w14:textId="536CCA54" w:rsidR="00593F92" w:rsidRDefault="00593F92" w:rsidP="00593F92">
      <w:pPr>
        <w:autoSpaceDE w:val="0"/>
        <w:autoSpaceDN w:val="0"/>
        <w:adjustRightInd w:val="0"/>
        <w:jc w:val="both"/>
        <w:rPr>
          <w:rFonts w:ascii="Abadi" w:hAnsi="Abadi" w:cs="ArialMT"/>
          <w:sz w:val="20"/>
          <w:szCs w:val="21"/>
        </w:rPr>
      </w:pPr>
      <w:r>
        <w:rPr>
          <w:rFonts w:ascii="Abadi" w:hAnsi="Abadi" w:cs="ArialMT"/>
          <w:sz w:val="20"/>
          <w:szCs w:val="21"/>
        </w:rPr>
        <w:t xml:space="preserve">- </w:t>
      </w:r>
      <w:r w:rsidRPr="00593F92">
        <w:rPr>
          <w:rFonts w:ascii="Abadi" w:hAnsi="Abadi" w:cs="ArialMT"/>
          <w:sz w:val="20"/>
          <w:szCs w:val="21"/>
        </w:rPr>
        <w:t>Es cuánto diputada</w:t>
      </w:r>
      <w:r w:rsidR="00B754B7">
        <w:rPr>
          <w:rFonts w:ascii="Abadi" w:hAnsi="Abadi" w:cs="ArialMT"/>
          <w:sz w:val="20"/>
          <w:szCs w:val="21"/>
        </w:rPr>
        <w:t>,</w:t>
      </w:r>
      <w:r w:rsidRPr="00593F92">
        <w:rPr>
          <w:rFonts w:ascii="Abadi" w:hAnsi="Abadi" w:cs="ArialMT"/>
          <w:sz w:val="20"/>
          <w:szCs w:val="21"/>
        </w:rPr>
        <w:t xml:space="preserve"> </w:t>
      </w:r>
      <w:r>
        <w:rPr>
          <w:rFonts w:ascii="Abadi" w:hAnsi="Abadi" w:cs="ArialMT"/>
          <w:sz w:val="20"/>
          <w:szCs w:val="21"/>
        </w:rPr>
        <w:t>P</w:t>
      </w:r>
      <w:r w:rsidRPr="00593F92">
        <w:rPr>
          <w:rFonts w:ascii="Abadi" w:hAnsi="Abadi" w:cs="ArialMT"/>
          <w:sz w:val="20"/>
          <w:szCs w:val="21"/>
        </w:rPr>
        <w:t>residenta.</w:t>
      </w:r>
    </w:p>
    <w:p w14:paraId="0F9AEADC" w14:textId="4530B471" w:rsidR="00A61F6A" w:rsidRDefault="00A61F6A" w:rsidP="00593F92">
      <w:pPr>
        <w:autoSpaceDE w:val="0"/>
        <w:autoSpaceDN w:val="0"/>
        <w:adjustRightInd w:val="0"/>
        <w:jc w:val="both"/>
        <w:rPr>
          <w:rFonts w:ascii="Abadi" w:hAnsi="Abadi" w:cs="ArialMT"/>
          <w:sz w:val="20"/>
          <w:szCs w:val="21"/>
        </w:rPr>
      </w:pPr>
    </w:p>
    <w:p w14:paraId="7405E1AE" w14:textId="4D6209AD" w:rsidR="00A61F6A" w:rsidRDefault="00A61F6A" w:rsidP="00A61F6A">
      <w:pPr>
        <w:ind w:firstLine="708"/>
        <w:jc w:val="both"/>
        <w:rPr>
          <w:rFonts w:ascii="Abadi" w:hAnsi="Abadi"/>
          <w:sz w:val="21"/>
          <w:szCs w:val="21"/>
        </w:rPr>
      </w:pPr>
      <w:r>
        <w:rPr>
          <w:rFonts w:ascii="Abadi" w:hAnsi="Abadi"/>
          <w:b/>
          <w:bCs/>
          <w:sz w:val="21"/>
          <w:szCs w:val="21"/>
        </w:rPr>
        <w:t xml:space="preserve">- </w:t>
      </w:r>
      <w:r w:rsidRPr="00A61F6A">
        <w:rPr>
          <w:rFonts w:ascii="Abadi" w:hAnsi="Abadi"/>
          <w:b/>
          <w:bCs/>
          <w:sz w:val="21"/>
          <w:szCs w:val="21"/>
        </w:rPr>
        <w:t>La Presidencia. -</w:t>
      </w:r>
      <w:r w:rsidRPr="00A61F6A">
        <w:rPr>
          <w:rFonts w:ascii="Abadi" w:hAnsi="Abadi"/>
          <w:sz w:val="21"/>
          <w:szCs w:val="21"/>
        </w:rPr>
        <w:t xml:space="preserve"> Muchas gracias, diputada. </w:t>
      </w:r>
    </w:p>
    <w:p w14:paraId="451A19B3" w14:textId="77777777" w:rsidR="00A61F6A" w:rsidRPr="00A61F6A" w:rsidRDefault="00A61F6A" w:rsidP="00A61F6A">
      <w:pPr>
        <w:ind w:firstLine="708"/>
        <w:jc w:val="both"/>
        <w:rPr>
          <w:rFonts w:ascii="Abadi" w:hAnsi="Abadi"/>
          <w:sz w:val="21"/>
          <w:szCs w:val="21"/>
        </w:rPr>
      </w:pPr>
    </w:p>
    <w:p w14:paraId="20AFC1BB" w14:textId="46B80335" w:rsidR="00A61F6A" w:rsidRDefault="00A61F6A" w:rsidP="00A61F6A">
      <w:pPr>
        <w:ind w:firstLine="708"/>
        <w:jc w:val="both"/>
        <w:rPr>
          <w:rFonts w:ascii="Abadi" w:hAnsi="Abadi"/>
          <w:sz w:val="21"/>
          <w:szCs w:val="21"/>
        </w:rPr>
      </w:pPr>
      <w:r>
        <w:rPr>
          <w:rFonts w:ascii="Abadi" w:hAnsi="Abadi"/>
          <w:sz w:val="21"/>
          <w:szCs w:val="21"/>
        </w:rPr>
        <w:t xml:space="preserve">- </w:t>
      </w:r>
      <w:r w:rsidRPr="00A61F6A">
        <w:rPr>
          <w:rFonts w:ascii="Abadi" w:hAnsi="Abadi"/>
          <w:sz w:val="21"/>
          <w:szCs w:val="21"/>
        </w:rPr>
        <w:t>Esta presidencia da la más cordial bienvenida a estudiantes de la</w:t>
      </w:r>
      <w:r>
        <w:rPr>
          <w:rFonts w:ascii="Abadi" w:hAnsi="Abadi"/>
          <w:sz w:val="21"/>
          <w:szCs w:val="21"/>
        </w:rPr>
        <w:t xml:space="preserve"> L</w:t>
      </w:r>
      <w:r w:rsidRPr="00A61F6A">
        <w:rPr>
          <w:rFonts w:ascii="Abadi" w:hAnsi="Abadi"/>
          <w:sz w:val="21"/>
          <w:szCs w:val="21"/>
        </w:rPr>
        <w:t>icenciatura en Ciencia Política y Administración Pública de la Universidad de Guanajuato y de la licenciatura en Gestión y Administración Pública, de la Universidad de la Ciénega del Estado de Michoacán de Ocampo, invitados por el diputado Víctor Manuel Zanella Huerta, sean ustedes bienvenidos.</w:t>
      </w:r>
    </w:p>
    <w:p w14:paraId="1C5FDEA6" w14:textId="24ED4A57" w:rsidR="00AA17FE" w:rsidRDefault="00AA17FE" w:rsidP="00A61F6A">
      <w:pPr>
        <w:ind w:firstLine="708"/>
        <w:jc w:val="both"/>
        <w:rPr>
          <w:rFonts w:ascii="Abadi" w:hAnsi="Abadi"/>
          <w:sz w:val="21"/>
          <w:szCs w:val="21"/>
        </w:rPr>
      </w:pPr>
    </w:p>
    <w:p w14:paraId="5E99D065" w14:textId="1B916B40" w:rsidR="00AA17FE" w:rsidRPr="007A1C6A" w:rsidRDefault="00CE7B5C" w:rsidP="00CE7B5C">
      <w:pPr>
        <w:ind w:firstLine="708"/>
        <w:jc w:val="both"/>
        <w:rPr>
          <w:rFonts w:ascii="Abadi" w:hAnsi="Abadi"/>
          <w:sz w:val="21"/>
          <w:szCs w:val="21"/>
        </w:rPr>
      </w:pPr>
      <w:bookmarkStart w:id="8" w:name="_Hlk106804974"/>
      <w:r>
        <w:rPr>
          <w:rFonts w:ascii="Abadi" w:hAnsi="Abadi"/>
          <w:b/>
          <w:bCs/>
          <w:sz w:val="21"/>
          <w:szCs w:val="21"/>
        </w:rPr>
        <w:t xml:space="preserve">- </w:t>
      </w:r>
      <w:r w:rsidR="00AA17FE" w:rsidRPr="007A1C6A">
        <w:rPr>
          <w:rFonts w:ascii="Abadi" w:hAnsi="Abadi"/>
          <w:b/>
          <w:bCs/>
          <w:sz w:val="21"/>
          <w:szCs w:val="21"/>
        </w:rPr>
        <w:t>La Presidencia</w:t>
      </w:r>
      <w:r>
        <w:rPr>
          <w:rFonts w:ascii="Abadi" w:hAnsi="Abadi"/>
          <w:b/>
          <w:bCs/>
          <w:sz w:val="21"/>
          <w:szCs w:val="21"/>
        </w:rPr>
        <w:t xml:space="preserve">.- </w:t>
      </w:r>
      <w:r w:rsidR="00AA17FE" w:rsidRPr="007A1C6A">
        <w:rPr>
          <w:rFonts w:ascii="Abadi" w:hAnsi="Abadi"/>
          <w:sz w:val="21"/>
          <w:szCs w:val="21"/>
        </w:rPr>
        <w:t xml:space="preserve">En los términos solicitados por el diputado Víctor Manuel Zanella Huerta, se somete a la Asamblea se declare de Obvia Resolución la propuesta de punto de acuerdo con fundamento en lo dispuesto por el artículo 117 de la Ley Orgánica del Poder Legislativo del Estado. </w:t>
      </w:r>
    </w:p>
    <w:p w14:paraId="4DDCAC39" w14:textId="77777777" w:rsidR="00AA17FE" w:rsidRPr="007A1C6A" w:rsidRDefault="00AA17FE" w:rsidP="00AA17FE">
      <w:pPr>
        <w:jc w:val="both"/>
        <w:rPr>
          <w:rFonts w:ascii="Abadi" w:hAnsi="Abadi"/>
          <w:sz w:val="21"/>
          <w:szCs w:val="21"/>
        </w:rPr>
      </w:pPr>
    </w:p>
    <w:p w14:paraId="25C7F860" w14:textId="202B5127" w:rsidR="00AA17FE" w:rsidRPr="007A1C6A" w:rsidRDefault="00CE7B5C" w:rsidP="00CE7B5C">
      <w:pPr>
        <w:ind w:firstLine="708"/>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Se informa a la Asamblea, qué efecto de que la propuesta de punto de acuerdo se declare de obvia resolución, debe ser aprobada por las dos terceras partes de los integrantes, del Pleno </w:t>
      </w:r>
    </w:p>
    <w:p w14:paraId="03904369" w14:textId="77777777" w:rsidR="00AA17FE" w:rsidRPr="007A1C6A" w:rsidRDefault="00AA17FE" w:rsidP="00AA17FE">
      <w:pPr>
        <w:jc w:val="both"/>
        <w:rPr>
          <w:rFonts w:ascii="Abadi" w:hAnsi="Abadi"/>
          <w:sz w:val="21"/>
          <w:szCs w:val="21"/>
        </w:rPr>
      </w:pPr>
    </w:p>
    <w:p w14:paraId="5076C007" w14:textId="5D7AF55F" w:rsidR="00AA17FE" w:rsidRPr="007A1C6A" w:rsidRDefault="00CE7B5C" w:rsidP="00CE7B5C">
      <w:pPr>
        <w:ind w:firstLine="708"/>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Si alguna diputada o algún diputado desea hacer uso de la palabra en relación a la obvia la resolución, sírvase manifestarlo, indicando el sentido de su participación. </w:t>
      </w:r>
    </w:p>
    <w:p w14:paraId="76B19ED0" w14:textId="77777777" w:rsidR="00AA17FE" w:rsidRPr="007A1C6A" w:rsidRDefault="00AA17FE" w:rsidP="00AA17FE">
      <w:pPr>
        <w:jc w:val="both"/>
        <w:rPr>
          <w:rFonts w:ascii="Abadi" w:hAnsi="Abadi"/>
          <w:sz w:val="21"/>
          <w:szCs w:val="21"/>
        </w:rPr>
      </w:pPr>
    </w:p>
    <w:p w14:paraId="17267C57" w14:textId="30A3D2DA" w:rsidR="00AA17FE" w:rsidRPr="007A1C6A" w:rsidRDefault="00CE7B5C" w:rsidP="00CE7B5C">
      <w:pPr>
        <w:ind w:firstLine="708"/>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En virtud de que ninguna diputada o ningún diputado desea hacer uso de la palabra, se ruega a la Secretaría que, en votación económica, ¡perdón! </w:t>
      </w:r>
      <w:r w:rsidRPr="007A1C6A">
        <w:rPr>
          <w:rFonts w:ascii="Abadi" w:hAnsi="Abadi"/>
          <w:sz w:val="21"/>
          <w:szCs w:val="21"/>
        </w:rPr>
        <w:t>Que,</w:t>
      </w:r>
      <w:r w:rsidR="00AA17FE" w:rsidRPr="007A1C6A">
        <w:rPr>
          <w:rFonts w:ascii="Abadi" w:hAnsi="Abadi"/>
          <w:sz w:val="21"/>
          <w:szCs w:val="21"/>
        </w:rPr>
        <w:t xml:space="preserve"> en votación económica a través del sistema electrónico, pregunte a la Asamblea si es de aprobarse la obvia resolución sometida su consideración.</w:t>
      </w:r>
    </w:p>
    <w:p w14:paraId="3A7CC2F0" w14:textId="31CC964E" w:rsidR="00AA17FE" w:rsidRDefault="00AA17FE" w:rsidP="00AA17FE">
      <w:pPr>
        <w:jc w:val="both"/>
        <w:rPr>
          <w:rFonts w:ascii="Abadi" w:hAnsi="Abadi"/>
          <w:sz w:val="21"/>
          <w:szCs w:val="21"/>
        </w:rPr>
      </w:pPr>
    </w:p>
    <w:p w14:paraId="10AEEBA1" w14:textId="77777777" w:rsidR="00097670" w:rsidRPr="007A1C6A" w:rsidRDefault="00097670" w:rsidP="00AA17FE">
      <w:pPr>
        <w:jc w:val="both"/>
        <w:rPr>
          <w:rFonts w:ascii="Abadi" w:hAnsi="Abadi"/>
          <w:sz w:val="21"/>
          <w:szCs w:val="21"/>
        </w:rPr>
      </w:pPr>
    </w:p>
    <w:p w14:paraId="5F4F46E7" w14:textId="17DCB111" w:rsidR="00AA17FE" w:rsidRPr="007A1C6A" w:rsidRDefault="00AA17FE" w:rsidP="00CE7B5C">
      <w:pPr>
        <w:jc w:val="center"/>
        <w:rPr>
          <w:rFonts w:ascii="Abadi" w:hAnsi="Abadi"/>
          <w:b/>
          <w:bCs/>
          <w:sz w:val="21"/>
          <w:szCs w:val="21"/>
        </w:rPr>
      </w:pPr>
      <w:r w:rsidRPr="007A1C6A">
        <w:rPr>
          <w:rFonts w:ascii="Abadi" w:hAnsi="Abadi"/>
          <w:b/>
          <w:bCs/>
          <w:sz w:val="21"/>
          <w:szCs w:val="21"/>
        </w:rPr>
        <w:t>(Se abre el sistema electrónico)</w:t>
      </w:r>
    </w:p>
    <w:p w14:paraId="7F600453" w14:textId="77777777" w:rsidR="00AA17FE" w:rsidRPr="007A1C6A" w:rsidRDefault="00AA17FE" w:rsidP="00AA17FE">
      <w:pPr>
        <w:jc w:val="both"/>
        <w:rPr>
          <w:rFonts w:ascii="Abadi" w:hAnsi="Abadi"/>
          <w:b/>
          <w:bCs/>
          <w:sz w:val="21"/>
          <w:szCs w:val="21"/>
        </w:rPr>
      </w:pPr>
    </w:p>
    <w:p w14:paraId="2192E063" w14:textId="273AA775" w:rsidR="00AA17FE" w:rsidRPr="007A1C6A" w:rsidRDefault="00CE7B5C" w:rsidP="00CE7B5C">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Presidencia.-</w:t>
      </w:r>
      <w:r w:rsidR="00AA17FE" w:rsidRPr="007A1C6A">
        <w:rPr>
          <w:rFonts w:ascii="Abadi" w:hAnsi="Abadi"/>
          <w:sz w:val="21"/>
          <w:szCs w:val="21"/>
        </w:rPr>
        <w:t xml:space="preserve"> Por instrucciones de la Presidencia en votación económica, se pregunta a las diputadas y a los diputados si se aprueba la Obvia Resolución mediante el sistema electrónico. </w:t>
      </w:r>
    </w:p>
    <w:p w14:paraId="1AB6EFBD" w14:textId="77777777" w:rsidR="00AA17FE" w:rsidRPr="007A1C6A" w:rsidRDefault="00AA17FE" w:rsidP="00AA17FE">
      <w:pPr>
        <w:jc w:val="both"/>
        <w:rPr>
          <w:rFonts w:ascii="Abadi" w:hAnsi="Abadi"/>
          <w:sz w:val="21"/>
          <w:szCs w:val="21"/>
        </w:rPr>
      </w:pPr>
    </w:p>
    <w:p w14:paraId="69340269" w14:textId="77777777" w:rsidR="00AA17FE" w:rsidRPr="007A1C6A" w:rsidRDefault="00AA17FE" w:rsidP="00AA17FE">
      <w:pPr>
        <w:jc w:val="both"/>
        <w:rPr>
          <w:rFonts w:ascii="Abadi" w:hAnsi="Abadi"/>
          <w:sz w:val="21"/>
          <w:szCs w:val="21"/>
        </w:rPr>
      </w:pPr>
    </w:p>
    <w:p w14:paraId="0B4D63EB" w14:textId="73B2A5C3" w:rsidR="00AA17FE" w:rsidRDefault="00AA17FE" w:rsidP="00AA17FE">
      <w:pPr>
        <w:jc w:val="both"/>
        <w:rPr>
          <w:rFonts w:ascii="Abadi" w:hAnsi="Abadi"/>
          <w:sz w:val="21"/>
          <w:szCs w:val="21"/>
        </w:rPr>
      </w:pPr>
      <w:r w:rsidRPr="007A1C6A">
        <w:rPr>
          <w:rFonts w:ascii="Abadi" w:hAnsi="Abadi"/>
          <w:sz w:val="21"/>
          <w:szCs w:val="21"/>
        </w:rPr>
        <w:t>¿Falta alguna diputada o algún diputado de emitir su voto?</w:t>
      </w:r>
    </w:p>
    <w:p w14:paraId="278E15F7" w14:textId="77777777" w:rsidR="00CE7B5C" w:rsidRPr="007A1C6A" w:rsidRDefault="00CE7B5C" w:rsidP="00AA17FE">
      <w:pPr>
        <w:jc w:val="both"/>
        <w:rPr>
          <w:rFonts w:ascii="Abadi" w:hAnsi="Abadi"/>
          <w:sz w:val="21"/>
          <w:szCs w:val="21"/>
        </w:rPr>
      </w:pPr>
    </w:p>
    <w:p w14:paraId="32FEE5D2" w14:textId="77777777" w:rsidR="00AA17FE" w:rsidRPr="007A1C6A" w:rsidRDefault="00AA17FE" w:rsidP="00AA17FE">
      <w:pPr>
        <w:jc w:val="both"/>
        <w:rPr>
          <w:rFonts w:ascii="Abadi" w:hAnsi="Abadi"/>
          <w:sz w:val="21"/>
          <w:szCs w:val="21"/>
        </w:rPr>
      </w:pPr>
    </w:p>
    <w:p w14:paraId="28391AF9" w14:textId="77777777" w:rsidR="00097670" w:rsidRDefault="00097670" w:rsidP="00CE7B5C">
      <w:pPr>
        <w:jc w:val="center"/>
        <w:rPr>
          <w:rFonts w:ascii="Abadi" w:hAnsi="Abadi"/>
          <w:b/>
          <w:bCs/>
          <w:sz w:val="21"/>
          <w:szCs w:val="21"/>
        </w:rPr>
      </w:pPr>
    </w:p>
    <w:p w14:paraId="77C36CA6" w14:textId="1036FA9D" w:rsidR="00AA17FE" w:rsidRPr="007A1C6A" w:rsidRDefault="00AA17FE" w:rsidP="00CE7B5C">
      <w:pPr>
        <w:jc w:val="center"/>
        <w:rPr>
          <w:rFonts w:ascii="Abadi" w:hAnsi="Abadi"/>
          <w:b/>
          <w:bCs/>
          <w:sz w:val="21"/>
          <w:szCs w:val="21"/>
        </w:rPr>
      </w:pPr>
      <w:r w:rsidRPr="007A1C6A">
        <w:rPr>
          <w:rFonts w:ascii="Abadi" w:hAnsi="Abadi"/>
          <w:b/>
          <w:bCs/>
          <w:sz w:val="21"/>
          <w:szCs w:val="21"/>
        </w:rPr>
        <w:t>(Se cierra el sistema electrónico)</w:t>
      </w:r>
    </w:p>
    <w:p w14:paraId="1F2C0176" w14:textId="6F48A3D7" w:rsidR="00AA17FE" w:rsidRPr="007A1C6A" w:rsidRDefault="00CE7B5C" w:rsidP="00AA17FE">
      <w:pPr>
        <w:jc w:val="both"/>
        <w:rPr>
          <w:rFonts w:ascii="Abadi" w:hAnsi="Abadi"/>
          <w:b/>
          <w:bCs/>
          <w:sz w:val="21"/>
          <w:szCs w:val="21"/>
        </w:rPr>
      </w:pPr>
      <w:r w:rsidRPr="007A1C6A">
        <w:rPr>
          <w:rFonts w:ascii="Abadi" w:hAnsi="Abadi"/>
          <w:noProof/>
          <w:sz w:val="21"/>
          <w:szCs w:val="21"/>
        </w:rPr>
        <w:drawing>
          <wp:inline distT="0" distB="0" distL="0" distR="0" wp14:anchorId="50C25DB3" wp14:editId="2962932F">
            <wp:extent cx="2081842" cy="1084735"/>
            <wp:effectExtent l="152400" t="152400" r="356870" b="363220"/>
            <wp:docPr id="29" name="Imagen 2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Tabla&#10;&#10;Descripción generada automáticamente"/>
                    <pic:cNvPicPr/>
                  </pic:nvPicPr>
                  <pic:blipFill rotWithShape="1">
                    <a:blip r:embed="rId33"/>
                    <a:srcRect b="7363"/>
                    <a:stretch/>
                  </pic:blipFill>
                  <pic:spPr bwMode="auto">
                    <a:xfrm>
                      <a:off x="0" y="0"/>
                      <a:ext cx="2104428" cy="10965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56514DF" w14:textId="794647B8" w:rsidR="00AA17FE" w:rsidRPr="007A1C6A" w:rsidRDefault="00CE7B5C" w:rsidP="00CE7B5C">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 xml:space="preserve">La Secretaria.- </w:t>
      </w:r>
      <w:r w:rsidR="00AA17FE" w:rsidRPr="007A1C6A">
        <w:rPr>
          <w:rFonts w:ascii="Abadi" w:hAnsi="Abadi"/>
          <w:sz w:val="21"/>
          <w:szCs w:val="21"/>
        </w:rPr>
        <w:t xml:space="preserve">Se registraron 34 votos a favor. </w:t>
      </w:r>
    </w:p>
    <w:p w14:paraId="01DE8EC6" w14:textId="77777777" w:rsidR="00AA17FE" w:rsidRPr="007A1C6A" w:rsidRDefault="00AA17FE" w:rsidP="00AA17FE">
      <w:pPr>
        <w:jc w:val="both"/>
        <w:rPr>
          <w:rFonts w:ascii="Abadi" w:hAnsi="Abadi"/>
          <w:sz w:val="21"/>
          <w:szCs w:val="21"/>
        </w:rPr>
      </w:pPr>
    </w:p>
    <w:p w14:paraId="5217FAA6" w14:textId="3268CB26" w:rsidR="00AA17FE" w:rsidRPr="007A1C6A" w:rsidRDefault="00CE7B5C" w:rsidP="00CE7B5C">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Presidencia.</w:t>
      </w:r>
      <w:r>
        <w:rPr>
          <w:rFonts w:ascii="Abadi" w:hAnsi="Abadi"/>
          <w:b/>
          <w:bCs/>
          <w:sz w:val="21"/>
          <w:szCs w:val="21"/>
        </w:rPr>
        <w:t xml:space="preserve">- </w:t>
      </w:r>
      <w:r w:rsidR="00AA17FE" w:rsidRPr="007A1C6A">
        <w:rPr>
          <w:rFonts w:ascii="Abadi" w:hAnsi="Abadi"/>
          <w:sz w:val="21"/>
          <w:szCs w:val="21"/>
        </w:rPr>
        <w:t xml:space="preserve"> La obvia resolución ha sido aprobada por unanimidad de votos. </w:t>
      </w:r>
    </w:p>
    <w:p w14:paraId="7CF79F66" w14:textId="77777777" w:rsidR="00AA17FE" w:rsidRPr="007A1C6A" w:rsidRDefault="00AA17FE" w:rsidP="00AA17FE">
      <w:pPr>
        <w:jc w:val="both"/>
        <w:rPr>
          <w:rFonts w:ascii="Abadi" w:hAnsi="Abadi"/>
          <w:sz w:val="21"/>
          <w:szCs w:val="21"/>
        </w:rPr>
      </w:pPr>
    </w:p>
    <w:p w14:paraId="3601D945" w14:textId="200AB365" w:rsidR="00CE7B5C" w:rsidRDefault="00CE7B5C" w:rsidP="00CE7B5C">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Presidencia.</w:t>
      </w:r>
      <w:r w:rsidR="00AA17FE" w:rsidRPr="007A1C6A">
        <w:rPr>
          <w:rFonts w:ascii="Abadi" w:hAnsi="Abadi"/>
          <w:sz w:val="21"/>
          <w:szCs w:val="21"/>
        </w:rPr>
        <w:t xml:space="preserve"> En consecuencia, se somete a discusión del Punto de Acuerdo</w:t>
      </w:r>
      <w:r>
        <w:rPr>
          <w:rFonts w:ascii="Abadi" w:hAnsi="Abadi"/>
          <w:sz w:val="21"/>
          <w:szCs w:val="21"/>
        </w:rPr>
        <w:t>.</w:t>
      </w:r>
      <w:r w:rsidR="00AA17FE" w:rsidRPr="007A1C6A">
        <w:rPr>
          <w:rFonts w:ascii="Abadi" w:hAnsi="Abadi"/>
          <w:sz w:val="21"/>
          <w:szCs w:val="21"/>
        </w:rPr>
        <w:t xml:space="preserve"> </w:t>
      </w:r>
      <w:r>
        <w:rPr>
          <w:rFonts w:ascii="Abadi" w:hAnsi="Abadi"/>
          <w:sz w:val="21"/>
          <w:szCs w:val="21"/>
        </w:rPr>
        <w:t xml:space="preserve"> </w:t>
      </w:r>
    </w:p>
    <w:p w14:paraId="5590E7F5" w14:textId="77777777" w:rsidR="00CE7B5C" w:rsidRDefault="00CE7B5C" w:rsidP="00CE7B5C">
      <w:pPr>
        <w:ind w:firstLine="708"/>
        <w:jc w:val="both"/>
        <w:rPr>
          <w:rFonts w:ascii="Abadi" w:hAnsi="Abadi"/>
          <w:sz w:val="21"/>
          <w:szCs w:val="21"/>
        </w:rPr>
      </w:pPr>
    </w:p>
    <w:p w14:paraId="3766AD46" w14:textId="74F6182F" w:rsidR="00AA17FE" w:rsidRDefault="00CE7B5C" w:rsidP="00CE7B5C">
      <w:pPr>
        <w:ind w:firstLine="708"/>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Si alguna diputada o algún diputado desea hacer uso de la palabra en pro o en contra, sírvase manifestarlo indicando el sentido de su participación. ¿Diputado Víctor Manuel? ¿Para qué efecto? (Voz) gracias Presidenta, para hablar en contra. </w:t>
      </w:r>
    </w:p>
    <w:p w14:paraId="4BA17125" w14:textId="77777777" w:rsidR="00CE7B5C" w:rsidRPr="007A1C6A" w:rsidRDefault="00CE7B5C" w:rsidP="00CE7B5C">
      <w:pPr>
        <w:ind w:firstLine="708"/>
        <w:jc w:val="both"/>
        <w:rPr>
          <w:rFonts w:ascii="Abadi" w:hAnsi="Abadi"/>
          <w:sz w:val="21"/>
          <w:szCs w:val="21"/>
        </w:rPr>
      </w:pPr>
    </w:p>
    <w:p w14:paraId="7912209B" w14:textId="598B82E4" w:rsidR="00AA17FE" w:rsidRPr="007A1C6A" w:rsidRDefault="00CE7B5C" w:rsidP="00CE7B5C">
      <w:pPr>
        <w:ind w:firstLine="708"/>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Adelante, diputado, tiene el uso de la voz hasta por diez minutos, ¿diputada Ruth Noemí Tiscareño, Agoitia? ¿Para qué efecto? (Voz) diputa Ruth Noemí, para hablar en contra.</w:t>
      </w:r>
    </w:p>
    <w:p w14:paraId="4779D3C4" w14:textId="77777777" w:rsidR="00AA17FE" w:rsidRPr="007A1C6A" w:rsidRDefault="00AA17FE" w:rsidP="00AA17FE">
      <w:pPr>
        <w:jc w:val="both"/>
        <w:rPr>
          <w:rFonts w:ascii="Abadi" w:hAnsi="Abadi"/>
          <w:sz w:val="21"/>
          <w:szCs w:val="21"/>
        </w:rPr>
      </w:pPr>
    </w:p>
    <w:p w14:paraId="27BDF0FA" w14:textId="6856295A" w:rsidR="00AA17FE" w:rsidRDefault="00CE7B5C" w:rsidP="00CE7B5C">
      <w:pPr>
        <w:ind w:firstLine="708"/>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Adelante, diputado, y en seguida la diputada Ruth Noemí. </w:t>
      </w:r>
    </w:p>
    <w:p w14:paraId="4C7D6186" w14:textId="011326E1" w:rsidR="00CE7B5C" w:rsidRDefault="00CE7B5C" w:rsidP="00CE7B5C">
      <w:pPr>
        <w:ind w:firstLine="708"/>
        <w:jc w:val="both"/>
        <w:rPr>
          <w:rFonts w:ascii="Abadi" w:hAnsi="Abadi"/>
          <w:sz w:val="21"/>
          <w:szCs w:val="21"/>
        </w:rPr>
      </w:pPr>
    </w:p>
    <w:p w14:paraId="1BBCBDAF" w14:textId="77777777" w:rsidR="00CE7B5C" w:rsidRDefault="00CE7B5C" w:rsidP="00CE7B5C">
      <w:pPr>
        <w:jc w:val="both"/>
        <w:rPr>
          <w:rFonts w:ascii="Abadi" w:hAnsi="Abadi"/>
          <w:b/>
          <w:bCs/>
          <w:sz w:val="21"/>
          <w:szCs w:val="21"/>
        </w:rPr>
      </w:pPr>
    </w:p>
    <w:p w14:paraId="31304415" w14:textId="0B1A4E97" w:rsidR="00CE7B5C" w:rsidRDefault="00CE7B5C" w:rsidP="00CE7B5C">
      <w:pPr>
        <w:jc w:val="both"/>
        <w:rPr>
          <w:rFonts w:ascii="Abadi" w:hAnsi="Abadi"/>
          <w:b/>
          <w:bCs/>
          <w:sz w:val="21"/>
          <w:szCs w:val="21"/>
        </w:rPr>
      </w:pPr>
      <w:r w:rsidRPr="007A1C6A">
        <w:rPr>
          <w:rFonts w:ascii="Abadi" w:hAnsi="Abadi"/>
          <w:b/>
          <w:bCs/>
          <w:sz w:val="21"/>
          <w:szCs w:val="21"/>
        </w:rPr>
        <w:t>(</w:t>
      </w:r>
      <w:r w:rsidR="00166258">
        <w:rPr>
          <w:rFonts w:ascii="Abadi" w:hAnsi="Abadi"/>
          <w:b/>
          <w:bCs/>
          <w:sz w:val="21"/>
          <w:szCs w:val="21"/>
        </w:rPr>
        <w:t>Sube</w:t>
      </w:r>
      <w:r w:rsidRPr="007A1C6A">
        <w:rPr>
          <w:rFonts w:ascii="Abadi" w:hAnsi="Abadi"/>
          <w:b/>
          <w:bCs/>
          <w:sz w:val="21"/>
          <w:szCs w:val="21"/>
        </w:rPr>
        <w:t xml:space="preserve"> </w:t>
      </w:r>
      <w:r w:rsidR="00166258">
        <w:rPr>
          <w:rFonts w:ascii="Abadi" w:hAnsi="Abadi"/>
          <w:b/>
          <w:bCs/>
          <w:sz w:val="21"/>
          <w:szCs w:val="21"/>
        </w:rPr>
        <w:t>e</w:t>
      </w:r>
      <w:r w:rsidRPr="007A1C6A">
        <w:rPr>
          <w:rFonts w:ascii="Abadi" w:hAnsi="Abadi"/>
          <w:b/>
          <w:bCs/>
          <w:sz w:val="21"/>
          <w:szCs w:val="21"/>
        </w:rPr>
        <w:t>l diputado Víctor Manuel Zanella, para hablar en conta del Punto de Acuerdo)</w:t>
      </w:r>
    </w:p>
    <w:p w14:paraId="487A7ECB" w14:textId="27AEB510" w:rsidR="00097670" w:rsidRDefault="00097670" w:rsidP="00CE7B5C">
      <w:pPr>
        <w:jc w:val="both"/>
        <w:rPr>
          <w:rFonts w:ascii="Abadi" w:hAnsi="Abadi"/>
          <w:b/>
          <w:bCs/>
          <w:sz w:val="21"/>
          <w:szCs w:val="21"/>
        </w:rPr>
      </w:pPr>
    </w:p>
    <w:p w14:paraId="7464E7FF" w14:textId="7286643E" w:rsidR="00097670" w:rsidRDefault="00097670" w:rsidP="00CE7B5C">
      <w:pPr>
        <w:jc w:val="both"/>
        <w:rPr>
          <w:rFonts w:ascii="Abadi" w:hAnsi="Abadi"/>
          <w:b/>
          <w:bCs/>
          <w:sz w:val="21"/>
          <w:szCs w:val="21"/>
        </w:rPr>
      </w:pPr>
      <w:r w:rsidRPr="007A1C6A">
        <w:rPr>
          <w:rFonts w:ascii="Abadi" w:hAnsi="Abadi"/>
          <w:noProof/>
          <w:sz w:val="21"/>
          <w:szCs w:val="21"/>
        </w:rPr>
        <w:drawing>
          <wp:anchor distT="0" distB="0" distL="114300" distR="114300" simplePos="0" relativeHeight="251709440" behindDoc="1" locked="0" layoutInCell="1" allowOverlap="1" wp14:anchorId="51B8450A" wp14:editId="3E74D201">
            <wp:simplePos x="0" y="0"/>
            <wp:positionH relativeFrom="column">
              <wp:posOffset>295275</wp:posOffset>
            </wp:positionH>
            <wp:positionV relativeFrom="paragraph">
              <wp:posOffset>35560</wp:posOffset>
            </wp:positionV>
            <wp:extent cx="1924050" cy="1005783"/>
            <wp:effectExtent l="0" t="114300" r="0" b="766445"/>
            <wp:wrapTight wrapText="bothSides">
              <wp:wrapPolygon edited="0">
                <wp:start x="214" y="-2456"/>
                <wp:lineTo x="0" y="24561"/>
                <wp:lineTo x="428" y="37660"/>
                <wp:lineTo x="3850" y="37660"/>
                <wp:lineTo x="4063" y="36841"/>
                <wp:lineTo x="19889" y="31111"/>
                <wp:lineTo x="20103" y="-2456"/>
                <wp:lineTo x="214" y="-2456"/>
              </wp:wrapPolygon>
            </wp:wrapTight>
            <wp:docPr id="31" name="Imagen 31" descr="Imagen que contiene hombre, televisión, frente,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hombre, televisión, frente, grande&#10;&#10;Descripción generada automáticamente"/>
                    <pic:cNvPicPr/>
                  </pic:nvPicPr>
                  <pic:blipFill rotWithShape="1">
                    <a:blip r:embed="rId34" cstate="print">
                      <a:extLst>
                        <a:ext uri="{28A0092B-C50C-407E-A947-70E740481C1C}">
                          <a14:useLocalDpi xmlns:a14="http://schemas.microsoft.com/office/drawing/2010/main" val="0"/>
                        </a:ext>
                      </a:extLst>
                    </a:blip>
                    <a:srcRect b="7061"/>
                    <a:stretch/>
                  </pic:blipFill>
                  <pic:spPr bwMode="auto">
                    <a:xfrm>
                      <a:off x="0" y="0"/>
                      <a:ext cx="1924050" cy="1005783"/>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56C72701" w14:textId="77777777" w:rsidR="00CE7B5C" w:rsidRDefault="00CE7B5C" w:rsidP="00CE7B5C">
      <w:pPr>
        <w:ind w:firstLine="708"/>
        <w:jc w:val="both"/>
        <w:rPr>
          <w:rFonts w:ascii="Abadi" w:hAnsi="Abadi"/>
          <w:sz w:val="21"/>
          <w:szCs w:val="21"/>
        </w:rPr>
      </w:pPr>
    </w:p>
    <w:bookmarkEnd w:id="8"/>
    <w:p w14:paraId="605AC638" w14:textId="32C5A08B" w:rsidR="00AA17FE" w:rsidRDefault="00AA17FE" w:rsidP="00AA17FE">
      <w:pPr>
        <w:jc w:val="both"/>
        <w:rPr>
          <w:rFonts w:ascii="Abadi" w:hAnsi="Abadi"/>
          <w:sz w:val="21"/>
          <w:szCs w:val="21"/>
        </w:rPr>
      </w:pPr>
      <w:r w:rsidRPr="007A1C6A">
        <w:rPr>
          <w:rFonts w:ascii="Abadi" w:hAnsi="Abadi"/>
          <w:sz w:val="21"/>
          <w:szCs w:val="21"/>
        </w:rPr>
        <w:t xml:space="preserve">- Pues bien, ¿qué dijeron, verdad? !no! ¡eh!  muy buenas tardes, a todos, un gusto saludarles a mis compañeros de las universidades que hoy nos acompañan, que están aquí presentes. </w:t>
      </w:r>
    </w:p>
    <w:p w14:paraId="62ACB049" w14:textId="77777777" w:rsidR="00CE7B5C" w:rsidRPr="007A1C6A" w:rsidRDefault="00CE7B5C" w:rsidP="00AA17FE">
      <w:pPr>
        <w:jc w:val="both"/>
        <w:rPr>
          <w:rFonts w:ascii="Abadi" w:hAnsi="Abadi"/>
          <w:sz w:val="21"/>
          <w:szCs w:val="21"/>
        </w:rPr>
      </w:pPr>
    </w:p>
    <w:p w14:paraId="157343CA" w14:textId="5A3C01F1" w:rsidR="00AA17FE" w:rsidRDefault="00CE7B5C"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Cuando leí el punto que ha puesto a consideración la diputada Alma Alcaraz, de entrada, me pareció interesante, razonable este llamado este pronunciamiento, ¡eh! porque creo que es una de las razones de ser por las que debemos y estamos trabajando en este Congreso del Estado. </w:t>
      </w:r>
    </w:p>
    <w:p w14:paraId="47B62E3E" w14:textId="77777777" w:rsidR="00CE7B5C" w:rsidRPr="007A1C6A" w:rsidRDefault="00CE7B5C" w:rsidP="00AA17FE">
      <w:pPr>
        <w:jc w:val="both"/>
        <w:rPr>
          <w:rFonts w:ascii="Abadi" w:hAnsi="Abadi"/>
          <w:sz w:val="21"/>
          <w:szCs w:val="21"/>
        </w:rPr>
      </w:pPr>
    </w:p>
    <w:p w14:paraId="01FC5003" w14:textId="64DF1129" w:rsidR="00AA17FE" w:rsidRDefault="00AA17FE" w:rsidP="00AA17FE">
      <w:pPr>
        <w:jc w:val="both"/>
        <w:rPr>
          <w:rFonts w:ascii="Abadi" w:hAnsi="Abadi"/>
          <w:sz w:val="21"/>
          <w:szCs w:val="21"/>
        </w:rPr>
      </w:pPr>
      <w:r w:rsidRPr="007A1C6A">
        <w:rPr>
          <w:rFonts w:ascii="Abadi" w:hAnsi="Abadi"/>
          <w:sz w:val="21"/>
          <w:szCs w:val="21"/>
        </w:rPr>
        <w:t xml:space="preserve">- Nosotros no nos gusta nada más, los dichos nos gustan los hechos y la mejor forma de legislar no sólo es aquí en la tribuna, sí, no es trabajar en nuestras comisiones, trabajar de la mano de las autoridades municipales y déjeme decirle que el planteamiento que hoy se está haciendo aquí pudiera haber sido muy oportuno hace tres o cuatro meses. </w:t>
      </w:r>
    </w:p>
    <w:p w14:paraId="5CA25026" w14:textId="77777777" w:rsidR="00CE7B5C" w:rsidRPr="007A1C6A" w:rsidRDefault="00CE7B5C" w:rsidP="00AA17FE">
      <w:pPr>
        <w:jc w:val="both"/>
        <w:rPr>
          <w:rFonts w:ascii="Abadi" w:hAnsi="Abadi"/>
          <w:sz w:val="21"/>
          <w:szCs w:val="21"/>
        </w:rPr>
      </w:pPr>
    </w:p>
    <w:p w14:paraId="47963C56" w14:textId="09D28C54" w:rsidR="00AA17FE" w:rsidRDefault="00AA17FE" w:rsidP="00AA17FE">
      <w:pPr>
        <w:jc w:val="both"/>
        <w:rPr>
          <w:rFonts w:ascii="Abadi" w:hAnsi="Abadi"/>
          <w:sz w:val="21"/>
          <w:szCs w:val="21"/>
        </w:rPr>
      </w:pPr>
      <w:r w:rsidRPr="007A1C6A">
        <w:rPr>
          <w:rFonts w:ascii="Abadi" w:hAnsi="Abadi"/>
          <w:sz w:val="21"/>
          <w:szCs w:val="21"/>
        </w:rPr>
        <w:t xml:space="preserve">- Pero hoy estamos haciendo algo nunca hecho en la historia política de este país, no solo de este Estado de este país. Hemos visto la problemática. Hemos debatido en esta tribuna sobre los recortes presupuestales, la situación económica, pero no voy a entrar al debate de ese punto porque los ciudadanos, cuando estamos en nuestros territorios, cuando estamos nuestras colonias, en nuestras comunidades, en nuestros barrios, lo que nos piden a nosotros, los servidores públicos son tres </w:t>
      </w:r>
      <w:r w:rsidR="00CE7B5C" w:rsidRPr="007A1C6A">
        <w:rPr>
          <w:rFonts w:ascii="Abadi" w:hAnsi="Abadi"/>
          <w:sz w:val="21"/>
          <w:szCs w:val="21"/>
        </w:rPr>
        <w:t>cosas resultadas</w:t>
      </w:r>
      <w:r w:rsidRPr="007A1C6A">
        <w:rPr>
          <w:rFonts w:ascii="Abadi" w:hAnsi="Abadi"/>
          <w:sz w:val="21"/>
          <w:szCs w:val="21"/>
        </w:rPr>
        <w:t>, resultados y más resultados.</w:t>
      </w:r>
    </w:p>
    <w:p w14:paraId="7263B658" w14:textId="77777777" w:rsidR="00CE7B5C" w:rsidRPr="007A1C6A" w:rsidRDefault="00CE7B5C" w:rsidP="00AA17FE">
      <w:pPr>
        <w:jc w:val="both"/>
        <w:rPr>
          <w:rFonts w:ascii="Abadi" w:hAnsi="Abadi"/>
          <w:sz w:val="21"/>
          <w:szCs w:val="21"/>
        </w:rPr>
      </w:pPr>
    </w:p>
    <w:p w14:paraId="69958064" w14:textId="6D5E1AC0" w:rsidR="00AA17FE" w:rsidRDefault="00AA17FE" w:rsidP="00AA17FE">
      <w:pPr>
        <w:jc w:val="both"/>
        <w:rPr>
          <w:rFonts w:ascii="Abadi" w:hAnsi="Abadi"/>
          <w:sz w:val="21"/>
          <w:szCs w:val="21"/>
        </w:rPr>
      </w:pPr>
      <w:r w:rsidRPr="007A1C6A">
        <w:rPr>
          <w:rFonts w:ascii="Abadi" w:hAnsi="Abadi"/>
          <w:sz w:val="21"/>
          <w:szCs w:val="21"/>
        </w:rPr>
        <w:t>- No quieren vernos a los políticos, echarnos la bolita. ¿y quién es el culpable? el ama de casa quiere que haya agua, corriente y drenaje en su colonia, que su calle está electrificada, que cuando usé el 911 pueda llegar la patrulla o la ambulancia, atender su emergencia y antes el problema, decidimos hacer algo desde la Comisión de Hacienda, que tengo el honor y el privilegio de presidir, en poder cambiar la forma de hacer política, de pasar del discurso a la acción. Y decidimos emprender una gira de trabajo en los cuarenta y seis municipios, justamente con los siguientes objetivos, por un lado, cómo poder ampliar los ingresos propios de los municipios y doy unos datos:</w:t>
      </w:r>
    </w:p>
    <w:p w14:paraId="276B624F" w14:textId="680CDBB4" w:rsidR="00AA17FE" w:rsidRDefault="00AA17FE" w:rsidP="00AA17FE">
      <w:pPr>
        <w:jc w:val="both"/>
        <w:rPr>
          <w:rFonts w:ascii="Abadi" w:hAnsi="Abadi"/>
          <w:sz w:val="21"/>
          <w:szCs w:val="21"/>
        </w:rPr>
      </w:pPr>
      <w:r w:rsidRPr="007A1C6A">
        <w:rPr>
          <w:rFonts w:ascii="Abadi" w:hAnsi="Abadi"/>
          <w:sz w:val="21"/>
          <w:szCs w:val="21"/>
        </w:rPr>
        <w:t xml:space="preserve">- El promedio estatal de los cuarenta y seis municipios, el 84% dependen de las transferencias federales y, por tanto, el dieciséis por ciento vienen de sus ingresos fiscales propios, ese es el gran reto que tenemos, en Guanajuato y en todo el país y que nosotros no estamos de las manos cruzadas. Por eso estamos yendo municipio por municipio, más de doce mil kilómetros recorridos desde el día 22 de marzo del presente año, que empezamos en el municipio de Ocampo y donde hemos girado las invitaciones a cada uno de los integrantes de la Comisión de Hacienda. Pero no solo eso, hemos invitado al diputado del distrito y a los coordinadores parlamentarios, el diputado Millán, el diputado Gerardo, nuestros otros Coordinadores Parlamentarios han estado acompañándonos ahí porque entendemos que es un tema de un bien mayor, sin colores partidistas, buscando soluciones en cómo fortalecer esos ingresos que permita cumplir las demandas sociales que tienen los gobiernos municipales. </w:t>
      </w:r>
    </w:p>
    <w:p w14:paraId="50556B25" w14:textId="77777777" w:rsidR="00CE7B5C" w:rsidRPr="007A1C6A" w:rsidRDefault="00CE7B5C" w:rsidP="00AA17FE">
      <w:pPr>
        <w:jc w:val="both"/>
        <w:rPr>
          <w:rFonts w:ascii="Abadi" w:hAnsi="Abadi"/>
          <w:sz w:val="21"/>
          <w:szCs w:val="21"/>
        </w:rPr>
      </w:pPr>
    </w:p>
    <w:p w14:paraId="5DA72C57" w14:textId="77FC53B6" w:rsidR="00AA17FE" w:rsidRDefault="00AA17FE" w:rsidP="00AA17FE">
      <w:pPr>
        <w:jc w:val="both"/>
        <w:rPr>
          <w:rFonts w:ascii="Abadi" w:hAnsi="Abadi"/>
          <w:sz w:val="21"/>
          <w:szCs w:val="21"/>
        </w:rPr>
      </w:pPr>
      <w:r w:rsidRPr="007A1C6A">
        <w:rPr>
          <w:rFonts w:ascii="Abadi" w:hAnsi="Abadi"/>
          <w:sz w:val="21"/>
          <w:szCs w:val="21"/>
        </w:rPr>
        <w:t>- Hemos visto, naturalmente estrategias municipio por municipio, porque cada uno de nuestros municipios tienen realidades distintas, pero para nosotros son igual de valiosos, un guanajuatense que vive en el norte o en el noreste del Estado, a uno que vive en el sur o en el corredor industrial.</w:t>
      </w:r>
    </w:p>
    <w:p w14:paraId="26247530" w14:textId="77777777" w:rsidR="00CE7B5C" w:rsidRPr="007A1C6A" w:rsidRDefault="00CE7B5C" w:rsidP="00AA17FE">
      <w:pPr>
        <w:jc w:val="both"/>
        <w:rPr>
          <w:rFonts w:ascii="Abadi" w:hAnsi="Abadi"/>
          <w:sz w:val="21"/>
          <w:szCs w:val="21"/>
        </w:rPr>
      </w:pPr>
    </w:p>
    <w:p w14:paraId="715CF5EC" w14:textId="5FB086E1" w:rsidR="00AA17FE" w:rsidRDefault="00AA17FE" w:rsidP="00AA17FE">
      <w:pPr>
        <w:jc w:val="both"/>
        <w:rPr>
          <w:rFonts w:ascii="Abadi" w:hAnsi="Abadi"/>
          <w:sz w:val="21"/>
          <w:szCs w:val="21"/>
        </w:rPr>
      </w:pPr>
      <w:r w:rsidRPr="007A1C6A">
        <w:rPr>
          <w:rFonts w:ascii="Abadi" w:hAnsi="Abadi"/>
          <w:sz w:val="21"/>
          <w:szCs w:val="21"/>
        </w:rPr>
        <w:t xml:space="preserve"> - Y es por eso que hemos estado haciendo un trabajo nunca antes visto donde hemos tenido participación de gran parte de los compañeros, al día de hoy van veintiocho municipios recorridos. Mañana van a estar dos municipios más. Estimamos para la primera semana de junio estar terminando esta gira y que se vea reflejado justamente en lo que el exhorto plantea, pero no en el dicho, sino en el hecho. Con trabajo en el escritorio, con los tesoreros, con los directores del agua, por los directores de ingreso con los presidentes y presidentas municipales y que esa es la forma que estamos haciendo, un trabajo por los guanajuatenses. </w:t>
      </w:r>
    </w:p>
    <w:p w14:paraId="12335AC8" w14:textId="77777777" w:rsidR="00CE7B5C" w:rsidRPr="007A1C6A" w:rsidRDefault="00CE7B5C" w:rsidP="00AA17FE">
      <w:pPr>
        <w:jc w:val="both"/>
        <w:rPr>
          <w:rFonts w:ascii="Abadi" w:hAnsi="Abadi"/>
          <w:sz w:val="21"/>
          <w:szCs w:val="21"/>
        </w:rPr>
      </w:pPr>
    </w:p>
    <w:p w14:paraId="1653434B" w14:textId="572E537E" w:rsidR="00AA17FE" w:rsidRDefault="00AA17FE" w:rsidP="00AA17FE">
      <w:pPr>
        <w:jc w:val="both"/>
        <w:rPr>
          <w:rFonts w:ascii="Abadi" w:hAnsi="Abadi"/>
          <w:sz w:val="21"/>
          <w:szCs w:val="21"/>
        </w:rPr>
      </w:pPr>
      <w:r w:rsidRPr="007A1C6A">
        <w:rPr>
          <w:rFonts w:ascii="Abadi" w:hAnsi="Abadi"/>
          <w:sz w:val="21"/>
          <w:szCs w:val="21"/>
        </w:rPr>
        <w:t xml:space="preserve">- En el tema de la deuda, los cuarenta y seis municipios tienen finanzas y una posibilidad de solicitar el crédito. ¿por qué razón? porque aquí, aunque quieran hacer pensar que Guanajuato en el entorno nacional está mal, no señores, no nos equivoquemos y no son mis números o sus números, son los números reales que la propia Secretaría de Hacienda Federal exhibe en sus informes que presenta con cada periodicidad. En esos vemos que Guanajuato ha tenido que recurrir a un financiamiento por la carencia de los recursos, que al día de hoy van más de treinta mil millones de pesos que no han llegado en estos últimos cuatro años, desde que el Gobierno Federal actual está treinta mil millones de pesos que podrían ser clínica, centros de salud, escuelas, electrificaciones, pavimentaciones y que por eso el Gobierno del Estado y hoy los municipios están buscando posibilidades financieras para buscar cumplirle a la gente. Pero en esta petición que se están haciendo al día de hoy van seis municipios que han solicitado un crédito a esta legislatura y lo están haciendo también con mucha responsabilidad, con mucha honestidad y que nosotros hemos estado pidiendo en estas visitas a los municipios de Guanajuato acompañar con planes de ahorro y austeridad como los que ya ha hecho el Gobierno del Estado que el día de hoy van más de mil millones de pesos. Dentro de este plan, que el Gobernador Diego Sinhue y la secretaria de Finanzas ha estado implementan el tema de la austeridad, de la rendición de cuentas. No es un tema que llego con el Gobierno Federal actual es una forma de vida que tiene años en el estado de Guanajuato. </w:t>
      </w:r>
    </w:p>
    <w:p w14:paraId="2745E264" w14:textId="77777777" w:rsidR="00CE7B5C" w:rsidRPr="007A1C6A" w:rsidRDefault="00CE7B5C" w:rsidP="00AA17FE">
      <w:pPr>
        <w:jc w:val="both"/>
        <w:rPr>
          <w:rFonts w:ascii="Abadi" w:hAnsi="Abadi"/>
          <w:sz w:val="21"/>
          <w:szCs w:val="21"/>
        </w:rPr>
      </w:pPr>
    </w:p>
    <w:p w14:paraId="13493EBC" w14:textId="3F0AD318" w:rsidR="00AA17FE" w:rsidRDefault="00AA17FE" w:rsidP="00AA17FE">
      <w:pPr>
        <w:jc w:val="both"/>
        <w:rPr>
          <w:rFonts w:ascii="Abadi" w:hAnsi="Abadi"/>
          <w:sz w:val="21"/>
          <w:szCs w:val="21"/>
        </w:rPr>
      </w:pPr>
      <w:r w:rsidRPr="007A1C6A">
        <w:rPr>
          <w:rFonts w:ascii="Abadi" w:hAnsi="Abadi"/>
          <w:sz w:val="21"/>
          <w:szCs w:val="21"/>
        </w:rPr>
        <w:t xml:space="preserve">- Años, porque aquí se creó antes que a nivel federal la Ley de Manos Limpias. Aquí, en Guanajuato, creemos que el dinero público es dinero sagrado, porque emana del sacrificio que cada uno de nosotros y cada uno de los más de seis millones de guanajuatense pagamos en el impuesto predial, en esas contribuciones, en nuestros servicios. Y lo que esperan de nosotros los servidores públicos es honestidad, transparencia y rendición de cuentas. </w:t>
      </w:r>
    </w:p>
    <w:p w14:paraId="1D512579" w14:textId="77777777" w:rsidR="00CE7B5C" w:rsidRPr="007A1C6A" w:rsidRDefault="00CE7B5C" w:rsidP="00AA17FE">
      <w:pPr>
        <w:jc w:val="both"/>
        <w:rPr>
          <w:rFonts w:ascii="Abadi" w:hAnsi="Abadi"/>
          <w:sz w:val="21"/>
          <w:szCs w:val="21"/>
        </w:rPr>
      </w:pPr>
    </w:p>
    <w:p w14:paraId="7BF86565" w14:textId="4D17600F" w:rsidR="00AA17FE" w:rsidRDefault="00AA17FE" w:rsidP="00AA17FE">
      <w:pPr>
        <w:jc w:val="both"/>
        <w:rPr>
          <w:rFonts w:ascii="Abadi" w:hAnsi="Abadi"/>
          <w:sz w:val="21"/>
          <w:szCs w:val="21"/>
        </w:rPr>
      </w:pPr>
      <w:r w:rsidRPr="007A1C6A">
        <w:rPr>
          <w:rFonts w:ascii="Abadi" w:hAnsi="Abadi"/>
          <w:sz w:val="21"/>
          <w:szCs w:val="21"/>
        </w:rPr>
        <w:t xml:space="preserve">- Y es por eso que vamos a seguir, no, en el discurso de la tribuna, si no en la realidad del territorio, porque creemos que hay un bien mayor allá afuera. (Voz) diputada Presidenta, ¿diputado Poncho, para que efecto? (Voz) diputado Alfonso, gracias con el objetivo de consultar al diputado, si me permite una pregunta (Voz) diputada presidenta, ¿Diputado Zanella, le permite una pregunta al diputado Poncho Borja?  Adelante diputado, por favor. </w:t>
      </w:r>
    </w:p>
    <w:p w14:paraId="14CCF5C5" w14:textId="77777777" w:rsidR="00CE7B5C" w:rsidRPr="007A1C6A" w:rsidRDefault="00CE7B5C" w:rsidP="00AA17FE">
      <w:pPr>
        <w:jc w:val="both"/>
        <w:rPr>
          <w:rFonts w:ascii="Abadi" w:hAnsi="Abadi"/>
          <w:sz w:val="21"/>
          <w:szCs w:val="21"/>
        </w:rPr>
      </w:pPr>
    </w:p>
    <w:p w14:paraId="0356CF41" w14:textId="15FD43A3" w:rsidR="00AA17FE" w:rsidRDefault="00AA17FE" w:rsidP="00AA17FE">
      <w:pPr>
        <w:jc w:val="both"/>
        <w:rPr>
          <w:rFonts w:ascii="Abadi" w:hAnsi="Abadi"/>
          <w:sz w:val="21"/>
          <w:szCs w:val="21"/>
        </w:rPr>
      </w:pPr>
      <w:r w:rsidRPr="007A1C6A">
        <w:rPr>
          <w:rFonts w:ascii="Abadi" w:hAnsi="Abadi"/>
          <w:sz w:val="21"/>
          <w:szCs w:val="21"/>
        </w:rPr>
        <w:t>- (Voz) diputado Alfonso, gracias, diputado, nos compartida que efectivamente, el día de hoy quienes integramos la Comisión de Hacienda hemos tenido la oportunidad de visitar ya veintiocho municipios y me gustaría si preguntar ¿cuál es la percepción que ha rescatado usted de parte de las autoridades en los municipios?, también mencionada que han estado presentes los funcionarios públicos que directamente operan los temas tesorería, obra pública, planeación y otros más y finalmente complementando esta pregunta ¿cómo se han quedado los municipios? ¿Qué reacción han tenido? y también ¿Qué acompañamiento ha tenido, de quienes integramos esta Comisión? (Voz) diputada presidenta, adelante, diputado Zanella.</w:t>
      </w:r>
    </w:p>
    <w:p w14:paraId="3018791E" w14:textId="77777777" w:rsidR="00CE7B5C" w:rsidRPr="007A1C6A" w:rsidRDefault="00CE7B5C" w:rsidP="00AA17FE">
      <w:pPr>
        <w:jc w:val="both"/>
        <w:rPr>
          <w:rFonts w:ascii="Abadi" w:hAnsi="Abadi"/>
          <w:sz w:val="21"/>
          <w:szCs w:val="21"/>
        </w:rPr>
      </w:pPr>
    </w:p>
    <w:p w14:paraId="345991F5" w14:textId="35EB3084" w:rsidR="00AA17FE" w:rsidRDefault="00AA17FE" w:rsidP="00AA17FE">
      <w:pPr>
        <w:jc w:val="both"/>
        <w:rPr>
          <w:rFonts w:ascii="Abadi" w:hAnsi="Abadi"/>
          <w:sz w:val="21"/>
          <w:szCs w:val="21"/>
        </w:rPr>
      </w:pPr>
      <w:r w:rsidRPr="007A1C6A">
        <w:rPr>
          <w:rFonts w:ascii="Abadi" w:hAnsi="Abadi"/>
          <w:sz w:val="21"/>
          <w:szCs w:val="21"/>
        </w:rPr>
        <w:t xml:space="preserve">- (Voz) diputado Zanella, gracias Presidenta, con mucho gusto, diputado Borja, como usted lo sabe, usted es integrante de la propia Comisión de Hacienda y Fiscalización del Congreso, en algunas reuniones a estado usted presente, y creo un trabajo realmente útil, nunca antes hecho en la historia de este Poder Legislativo, ¿Por qué?, porque se pide al Presidente Municipal que esté acompañado de su Secretario del Ayuntamiento, de su tesorero, de sus directores de ingresos u oficial mayor, depende como se le denomine el jurídico, el del agua potable, el de planeación, porque en estas visitas hay un objetivo muy claro por un lado, la parte de cómo fortalecer la Hacienda Municipal, cómo poder romper o disminuir la dependencia de los recursos federales. Y por eso al final hacemos un diagnóstico, un planteamiento de manera respetuosa, porque al final, el 115 constitucional en esa autonomía que tienen los municipios de administrar su Hacienda Municipal como mejor les convenga. </w:t>
      </w:r>
    </w:p>
    <w:p w14:paraId="1AB10FC6" w14:textId="77777777" w:rsidR="00CE7B5C" w:rsidRPr="007A1C6A" w:rsidRDefault="00CE7B5C" w:rsidP="00AA17FE">
      <w:pPr>
        <w:jc w:val="both"/>
        <w:rPr>
          <w:rFonts w:ascii="Abadi" w:hAnsi="Abadi"/>
          <w:sz w:val="21"/>
          <w:szCs w:val="21"/>
        </w:rPr>
      </w:pPr>
    </w:p>
    <w:p w14:paraId="6B413752" w14:textId="15B6CDEA" w:rsidR="00AA17FE" w:rsidRDefault="00AA17FE" w:rsidP="00AA17FE">
      <w:pPr>
        <w:jc w:val="both"/>
        <w:rPr>
          <w:rFonts w:ascii="Abadi" w:hAnsi="Abadi"/>
          <w:sz w:val="21"/>
          <w:szCs w:val="21"/>
        </w:rPr>
      </w:pPr>
      <w:r w:rsidRPr="007A1C6A">
        <w:rPr>
          <w:rFonts w:ascii="Abadi" w:hAnsi="Abadi"/>
          <w:sz w:val="21"/>
          <w:szCs w:val="21"/>
        </w:rPr>
        <w:t>- Pero hacemos planteamientos de cómo mejorar sus ingresos propios. El impuesto predial, el tema del DAP que es un tema que en algunos municipios se vuelve un gran conflicto. Cómo poder transitar, hacer superavitarios el tema del agua potable. Y aunado a esto, a los convenios federales y estatales que necesitan firmar el tema de la deuda pública, su capacidad financiera, los procesos y los alcances. Y que por eso pedimos no solo que este el Presidente, también en algunos nos hemos topado que pareciera Sesión del Pleno del Ayuntamiento porque algunos se hacen llegar de todo el Ayuntamiento, algunos de los integrantes de la Comisión de Hacienda y que es fundamental este trabajo. ¿Por qué razón?, porque hay que cumplir le a la gente y que no sólo es la reunión que servidor y los integrantes de la Comisión encabezamos, a la par que hace una reunión con el Secretario del Ayuntamiento y la unidad de análisis de aquí encabeza la doctora Carolina, dónde se ve cuáles son los rezagos en los reglamentos municipales y que se necesitan actualizar para poder dar certeza y poder tener la recaudación a la par, también en el segundo bloque nos acompaña la Auditoría Superior del Estado, porque el ciclo presupuestal inicia, cuando se aprueba de dónde van a salir los recursos y concluye cuando en este Congreso se fiscaliza esos mismos recursos y que por eso hacemos un nuevo esquema de trabajo.</w:t>
      </w:r>
    </w:p>
    <w:p w14:paraId="21063937" w14:textId="77777777" w:rsidR="00CE7B5C" w:rsidRPr="007A1C6A" w:rsidRDefault="00CE7B5C" w:rsidP="00AA17FE">
      <w:pPr>
        <w:jc w:val="both"/>
        <w:rPr>
          <w:rFonts w:ascii="Abadi" w:hAnsi="Abadi"/>
          <w:sz w:val="21"/>
          <w:szCs w:val="21"/>
        </w:rPr>
      </w:pPr>
    </w:p>
    <w:p w14:paraId="3FF44464" w14:textId="06CDB718" w:rsidR="00AA17FE" w:rsidRDefault="00AA17FE" w:rsidP="00AA17FE">
      <w:pPr>
        <w:jc w:val="both"/>
        <w:rPr>
          <w:rFonts w:ascii="Abadi" w:hAnsi="Abadi"/>
          <w:sz w:val="21"/>
          <w:szCs w:val="21"/>
        </w:rPr>
      </w:pPr>
      <w:r w:rsidRPr="007A1C6A">
        <w:rPr>
          <w:rFonts w:ascii="Abadi" w:hAnsi="Abadi"/>
          <w:sz w:val="21"/>
          <w:szCs w:val="21"/>
        </w:rPr>
        <w:t>-  Trabajamos con datos abiertos y transparencia proactiva y que, pues creo que no lo digo yo, si se meten a la página del propio Congreso del Estado pueden constatar a cada uno de los Presidentes Municipales en sus testimonios que están dando y que ahí no vemos los colores políticos en los que emanaron. Vemos que al final ellos representan un municipio donde viven guanajuatenses, donde hay gente con rostro y apellido que merece mejorar su calidad de vida y creo que es la responsabilidad de este Congreso y del acompañamiento de los integrantes de la Comisión.</w:t>
      </w:r>
    </w:p>
    <w:p w14:paraId="1CF5CB78" w14:textId="77777777" w:rsidR="00CE7B5C" w:rsidRPr="007A1C6A" w:rsidRDefault="00CE7B5C" w:rsidP="00AA17FE">
      <w:pPr>
        <w:jc w:val="both"/>
        <w:rPr>
          <w:rFonts w:ascii="Abadi" w:hAnsi="Abadi"/>
          <w:sz w:val="21"/>
          <w:szCs w:val="21"/>
        </w:rPr>
      </w:pPr>
    </w:p>
    <w:p w14:paraId="18F0970F" w14:textId="1C8B7378" w:rsidR="00AA17FE" w:rsidRDefault="00AA17FE" w:rsidP="00AA17FE">
      <w:pPr>
        <w:jc w:val="both"/>
        <w:rPr>
          <w:rFonts w:ascii="Abadi" w:hAnsi="Abadi"/>
          <w:sz w:val="21"/>
          <w:szCs w:val="21"/>
        </w:rPr>
      </w:pPr>
      <w:r w:rsidRPr="007A1C6A">
        <w:rPr>
          <w:rFonts w:ascii="Abadi" w:hAnsi="Abadi"/>
          <w:sz w:val="21"/>
          <w:szCs w:val="21"/>
        </w:rPr>
        <w:t>-  Bueno, pues tuvimos y hemos girado y aquí tenemos, pues, todas las invitaciones que se han estado girando a cada uno de los correos de los integrantes de la comisión, de los coordinadores parlamentarios y de los diputados del distrito.</w:t>
      </w:r>
    </w:p>
    <w:p w14:paraId="60DFCF0C" w14:textId="2CCD0B23" w:rsidR="00AA17FE" w:rsidRDefault="00AA17FE" w:rsidP="00AA17FE">
      <w:pPr>
        <w:jc w:val="both"/>
        <w:rPr>
          <w:rFonts w:ascii="Abadi" w:hAnsi="Abadi"/>
          <w:sz w:val="21"/>
          <w:szCs w:val="21"/>
        </w:rPr>
      </w:pPr>
      <w:r w:rsidRPr="007A1C6A">
        <w:rPr>
          <w:rFonts w:ascii="Abadi" w:hAnsi="Abadi"/>
          <w:sz w:val="21"/>
          <w:szCs w:val="21"/>
        </w:rPr>
        <w:t xml:space="preserve">-  Y que eso es lo que a veces molesta, que vengan a querer plantear un hilo negro desde la retórica, cuando estamos haciendo un trabajo real y efectivo desde la Comisión de Hacienda, no en el discurso de ese exhorto, sino en la realidad de solucionar esa problemática. </w:t>
      </w:r>
    </w:p>
    <w:p w14:paraId="5131008D" w14:textId="77777777" w:rsidR="00CE7B5C" w:rsidRPr="007A1C6A" w:rsidRDefault="00CE7B5C" w:rsidP="00AA17FE">
      <w:pPr>
        <w:jc w:val="both"/>
        <w:rPr>
          <w:rFonts w:ascii="Abadi" w:hAnsi="Abadi"/>
          <w:sz w:val="21"/>
          <w:szCs w:val="21"/>
        </w:rPr>
      </w:pPr>
    </w:p>
    <w:p w14:paraId="0516ECD5" w14:textId="5FEEFBF6" w:rsidR="00AA17FE" w:rsidRDefault="00AA17FE" w:rsidP="00AA17FE">
      <w:pPr>
        <w:jc w:val="both"/>
        <w:rPr>
          <w:rFonts w:ascii="Abadi" w:hAnsi="Abadi"/>
          <w:sz w:val="21"/>
          <w:szCs w:val="21"/>
        </w:rPr>
      </w:pPr>
      <w:r w:rsidRPr="007A1C6A">
        <w:rPr>
          <w:rFonts w:ascii="Abadi" w:hAnsi="Abadi"/>
          <w:sz w:val="21"/>
          <w:szCs w:val="21"/>
        </w:rPr>
        <w:t xml:space="preserve">- Afortunadamente, he encontrado que la agenda, la agenda de algunos de mis compañeros han permitido acompañarnos y aprovecho para hacer la invitación, ah que ojalá se puedan dar el tiempo de acompañarnos a estas giras. </w:t>
      </w:r>
    </w:p>
    <w:p w14:paraId="6E44E4EE" w14:textId="77777777" w:rsidR="00CE7B5C" w:rsidRPr="007A1C6A" w:rsidRDefault="00CE7B5C" w:rsidP="00AA17FE">
      <w:pPr>
        <w:jc w:val="both"/>
        <w:rPr>
          <w:rFonts w:ascii="Abadi" w:hAnsi="Abadi"/>
          <w:sz w:val="21"/>
          <w:szCs w:val="21"/>
        </w:rPr>
      </w:pPr>
    </w:p>
    <w:p w14:paraId="5B886950" w14:textId="640F731F" w:rsidR="00AA17FE" w:rsidRDefault="00AA17FE" w:rsidP="00AA17FE">
      <w:pPr>
        <w:jc w:val="both"/>
        <w:rPr>
          <w:rFonts w:ascii="Abadi" w:hAnsi="Abadi"/>
          <w:sz w:val="21"/>
          <w:szCs w:val="21"/>
        </w:rPr>
      </w:pPr>
      <w:r w:rsidRPr="007A1C6A">
        <w:rPr>
          <w:rFonts w:ascii="Abadi" w:hAnsi="Abadi"/>
          <w:sz w:val="21"/>
          <w:szCs w:val="21"/>
        </w:rPr>
        <w:t>- Quedan dieciocho municipios; diez de la mañana, mañana Yuriria una de la tarde, Valle de Santiago. Y qué (Voz) diputado Zanella ¿me permite tantito por favor?  ¿diputado Poncho ya fue contestada su pregunta? (Voz) diputado Poncho, ¡todavía no!, diputados Zanella, continue contestando la pregunta al diputado Alfonso, (Voz) diputada Zanella, se la respondo con mucho gusto, y que la invitación es eso, a que, (Voz) diputada presidenta, ¿diputado Zanella, me perite? (Voz) diputado Zanella con mucho gusto (Voz) diputada presidenta, diputado David Martinez Mendizábal ¿Para qué efecto? (Voz) diputado Mendizábal, para una moción de orden, yo quería dejar que terminar el diputado porque aquí estamos para dialogar y escuchar, pero otras veces que hemos hecho lo mismo el Morena, se levantan los diputados a reclamar, les pido coherencia cuando se lanza una pregunta, del mismo Grupo Parlamentario, como es esta ocasión, y está clarísimo, porque se lanza.</w:t>
      </w:r>
    </w:p>
    <w:p w14:paraId="3FC0656C" w14:textId="77777777" w:rsidR="00CE7B5C" w:rsidRPr="007A1C6A" w:rsidRDefault="00CE7B5C" w:rsidP="00AA17FE">
      <w:pPr>
        <w:jc w:val="both"/>
        <w:rPr>
          <w:rFonts w:ascii="Abadi" w:hAnsi="Abadi"/>
          <w:sz w:val="21"/>
          <w:szCs w:val="21"/>
        </w:rPr>
      </w:pPr>
    </w:p>
    <w:p w14:paraId="1B3D1C46" w14:textId="52FFAF0F" w:rsidR="00AA17FE" w:rsidRDefault="00AA17FE" w:rsidP="00AA17FE">
      <w:pPr>
        <w:jc w:val="both"/>
        <w:rPr>
          <w:rFonts w:ascii="Abadi" w:hAnsi="Abadi"/>
          <w:sz w:val="21"/>
          <w:szCs w:val="21"/>
        </w:rPr>
      </w:pPr>
      <w:r w:rsidRPr="007A1C6A">
        <w:rPr>
          <w:rFonts w:ascii="Abadi" w:hAnsi="Abadi"/>
          <w:sz w:val="21"/>
          <w:szCs w:val="21"/>
        </w:rPr>
        <w:t>- Se Solicita solamente tiempo para que extienda las ideas y eso ha sido censurado antes, censuren todo, no nada más cuando venga de Morena, moción de orden gracias.</w:t>
      </w:r>
    </w:p>
    <w:p w14:paraId="35EBAF96" w14:textId="77777777" w:rsidR="00CE7B5C" w:rsidRPr="007A1C6A" w:rsidRDefault="00CE7B5C" w:rsidP="00AA17FE">
      <w:pPr>
        <w:jc w:val="both"/>
        <w:rPr>
          <w:rFonts w:ascii="Abadi" w:hAnsi="Abadi"/>
          <w:sz w:val="21"/>
          <w:szCs w:val="21"/>
        </w:rPr>
      </w:pPr>
    </w:p>
    <w:p w14:paraId="127266B9" w14:textId="2DBBDEDE" w:rsidR="00AA17FE" w:rsidRDefault="00AA17FE" w:rsidP="00AA17FE">
      <w:pPr>
        <w:jc w:val="both"/>
        <w:rPr>
          <w:rFonts w:ascii="Abadi" w:hAnsi="Abadi"/>
          <w:sz w:val="21"/>
          <w:szCs w:val="21"/>
        </w:rPr>
      </w:pPr>
      <w:r w:rsidRPr="007A1C6A">
        <w:rPr>
          <w:rFonts w:ascii="Abadi" w:hAnsi="Abadi"/>
          <w:sz w:val="21"/>
          <w:szCs w:val="21"/>
        </w:rPr>
        <w:t>- (Voz) diputada Presidenta, gracias diputado, ¿diputado Armando Rangel? ¿para qué efecto? moción de orden también diputada y moción de orden con la alusión. ¡No! creo que ha sido muy claro en esta ocasión cuando hemos hablado de eso, y yo también lo lamento, he dicho que cuando uno está en tribuna y le hacen una pregunta, lamentablemente no hay límite de tiempo ni se puede uno a pegar al tema. Es cierto que a lo mejor se ve mal que sea un mismo partido quien te pregunté, lo han hecho ustedes, lo han hecho todos los Grupos Parlamentarios y habrá que tomarlo en cuenta, pero no hay ese antecedente diputado, ¡bueno! revísenlo, por favor.</w:t>
      </w:r>
    </w:p>
    <w:p w14:paraId="1B61A82B" w14:textId="77777777" w:rsidR="00CE7B5C" w:rsidRPr="007A1C6A" w:rsidRDefault="00CE7B5C" w:rsidP="00AA17FE">
      <w:pPr>
        <w:jc w:val="both"/>
        <w:rPr>
          <w:rFonts w:ascii="Abadi" w:hAnsi="Abadi"/>
          <w:sz w:val="21"/>
          <w:szCs w:val="21"/>
        </w:rPr>
      </w:pPr>
    </w:p>
    <w:p w14:paraId="49DB9103" w14:textId="0C7D31F8" w:rsidR="00AA17FE" w:rsidRDefault="00AA17FE" w:rsidP="00AA17FE">
      <w:pPr>
        <w:jc w:val="both"/>
        <w:rPr>
          <w:rFonts w:ascii="Abadi" w:hAnsi="Abadi"/>
          <w:sz w:val="21"/>
          <w:szCs w:val="21"/>
        </w:rPr>
      </w:pPr>
      <w:r w:rsidRPr="007A1C6A">
        <w:rPr>
          <w:rFonts w:ascii="Abadi" w:hAnsi="Abadi"/>
          <w:sz w:val="21"/>
          <w:szCs w:val="21"/>
        </w:rPr>
        <w:t>- (Voz) diputada Presidenta, gracias diputado, continue por favor, diputado Zanella. (Voz) diputado Zanella) gracias diputada, Presidenta y que en la respuesta de que quien ha ido a las comisiones. lamentablemente, pues la agenda de una de las compañeras no ha sido posible para acompañarnos en las veintiocho reuniones de trabajo que hemos tenido y que yo espero. Quedan dieciocho por delante, ojalá nos podamos sumar porque es un trabajo que estamos haciendo por el bien común de los guanajuatenses, eso espero que haya quedado atendido.</w:t>
      </w:r>
    </w:p>
    <w:p w14:paraId="39F2C159" w14:textId="77777777" w:rsidR="00CE7B5C" w:rsidRPr="007A1C6A" w:rsidRDefault="00CE7B5C" w:rsidP="00AA17FE">
      <w:pPr>
        <w:jc w:val="both"/>
        <w:rPr>
          <w:rFonts w:ascii="Abadi" w:hAnsi="Abadi"/>
          <w:sz w:val="21"/>
          <w:szCs w:val="21"/>
        </w:rPr>
      </w:pPr>
    </w:p>
    <w:p w14:paraId="0756F6B6" w14:textId="22F57E14" w:rsidR="00AA17FE" w:rsidRDefault="00AA17FE" w:rsidP="00AA17FE">
      <w:pPr>
        <w:jc w:val="both"/>
        <w:rPr>
          <w:rFonts w:ascii="Abadi" w:hAnsi="Abadi"/>
          <w:sz w:val="21"/>
          <w:szCs w:val="21"/>
        </w:rPr>
      </w:pPr>
      <w:r w:rsidRPr="007A1C6A">
        <w:rPr>
          <w:rFonts w:ascii="Abadi" w:hAnsi="Abadi"/>
          <w:sz w:val="21"/>
          <w:szCs w:val="21"/>
        </w:rPr>
        <w:t xml:space="preserve">- (Voz) diputada Presidenta ¿Ahora sí está contestada su pregunta diputado? (Voz) diputado Alfonso, ahora sí, gracias Presidenta. (Voz) diputada Presidenta, muchas gracias, continue por favor, diputado Zanella. </w:t>
      </w:r>
    </w:p>
    <w:p w14:paraId="0DD60246" w14:textId="77777777" w:rsidR="00CE7B5C" w:rsidRPr="007A1C6A" w:rsidRDefault="00CE7B5C" w:rsidP="00AA17FE">
      <w:pPr>
        <w:jc w:val="both"/>
        <w:rPr>
          <w:rFonts w:ascii="Abadi" w:hAnsi="Abadi"/>
          <w:sz w:val="21"/>
          <w:szCs w:val="21"/>
        </w:rPr>
      </w:pPr>
    </w:p>
    <w:p w14:paraId="2E4356B2" w14:textId="3E96B12C" w:rsidR="00AA17FE" w:rsidRDefault="00AA17FE" w:rsidP="00AA17FE">
      <w:pPr>
        <w:jc w:val="both"/>
        <w:rPr>
          <w:rFonts w:ascii="Abadi" w:hAnsi="Abadi"/>
          <w:sz w:val="21"/>
          <w:szCs w:val="21"/>
        </w:rPr>
      </w:pPr>
      <w:r w:rsidRPr="007A1C6A">
        <w:rPr>
          <w:rFonts w:ascii="Abadi" w:hAnsi="Abadi"/>
          <w:sz w:val="21"/>
          <w:szCs w:val="21"/>
        </w:rPr>
        <w:t xml:space="preserve">- (Voz) diputado Zanella muchas gracias, Presidenta. Y que el llamado justamente es a que sigamos trabajando, a que cambiemos la forma de hacer política del discurso a la acción. Te queda en dieciocho municipios, queda mucho trabajo por hacer y que la mejor forma de ayudar realmente a los municipios no es con un exhorto como este. Es trabajando en el municipio con la autoridad municipal, como lo estamos haciendo. </w:t>
      </w:r>
    </w:p>
    <w:p w14:paraId="3617BDA0" w14:textId="77777777" w:rsidR="009A7596" w:rsidRPr="007A1C6A" w:rsidRDefault="009A7596" w:rsidP="00AA17FE">
      <w:pPr>
        <w:jc w:val="both"/>
        <w:rPr>
          <w:rFonts w:ascii="Abadi" w:hAnsi="Abadi"/>
          <w:sz w:val="21"/>
          <w:szCs w:val="21"/>
        </w:rPr>
      </w:pPr>
    </w:p>
    <w:p w14:paraId="6861B571" w14:textId="1BCF5196" w:rsidR="00AA17FE" w:rsidRDefault="009A7596" w:rsidP="009A7596">
      <w:pPr>
        <w:ind w:firstLine="708"/>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Es cuánto.</w:t>
      </w:r>
    </w:p>
    <w:p w14:paraId="7B79A801" w14:textId="77777777" w:rsidR="009A7596" w:rsidRPr="007A1C6A" w:rsidRDefault="009A7596" w:rsidP="009A7596">
      <w:pPr>
        <w:ind w:firstLine="708"/>
        <w:jc w:val="both"/>
        <w:rPr>
          <w:rFonts w:ascii="Abadi" w:hAnsi="Abadi"/>
          <w:sz w:val="21"/>
          <w:szCs w:val="21"/>
        </w:rPr>
      </w:pPr>
    </w:p>
    <w:p w14:paraId="50FCC436" w14:textId="77777777" w:rsidR="009A7596" w:rsidRDefault="009A7596" w:rsidP="009A7596">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Presidenta.-</w:t>
      </w:r>
      <w:r w:rsidR="00AA17FE" w:rsidRPr="007A1C6A">
        <w:rPr>
          <w:rFonts w:ascii="Abadi" w:hAnsi="Abadi"/>
          <w:sz w:val="21"/>
          <w:szCs w:val="21"/>
        </w:rPr>
        <w:t xml:space="preserve"> Muchas gracias, diputado. </w:t>
      </w:r>
      <w:r>
        <w:rPr>
          <w:rFonts w:ascii="Abadi" w:hAnsi="Abadi"/>
          <w:sz w:val="21"/>
          <w:szCs w:val="21"/>
        </w:rPr>
        <w:t xml:space="preserve"> </w:t>
      </w:r>
    </w:p>
    <w:p w14:paraId="7EDA51F4" w14:textId="77777777" w:rsidR="009A7596" w:rsidRDefault="009A7596" w:rsidP="009A7596">
      <w:pPr>
        <w:ind w:firstLine="708"/>
        <w:jc w:val="both"/>
        <w:rPr>
          <w:rFonts w:ascii="Abadi" w:hAnsi="Abadi"/>
          <w:sz w:val="21"/>
          <w:szCs w:val="21"/>
        </w:rPr>
      </w:pPr>
    </w:p>
    <w:p w14:paraId="04A0EF24" w14:textId="412B518D" w:rsidR="00AA17FE" w:rsidRPr="007A1C6A" w:rsidRDefault="009A7596" w:rsidP="009A7596">
      <w:pPr>
        <w:ind w:firstLine="708"/>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Y es turno de que pase la diputada Ruth Noemí Tiscareño Agoitia, ¿Diputada Alma para qué efecto? (Voz) diputada Alma, para rectificación de hechos (Voz) </w:t>
      </w:r>
      <w:r w:rsidR="00CB749B">
        <w:rPr>
          <w:rFonts w:ascii="Abadi" w:hAnsi="Abadi"/>
          <w:sz w:val="21"/>
          <w:szCs w:val="21"/>
        </w:rPr>
        <w:t>diputada Pr</w:t>
      </w:r>
      <w:r w:rsidR="00AA17FE" w:rsidRPr="007A1C6A">
        <w:rPr>
          <w:rFonts w:ascii="Abadi" w:hAnsi="Abadi"/>
          <w:sz w:val="21"/>
          <w:szCs w:val="21"/>
        </w:rPr>
        <w:t>esidenta ¿Que hechos diputada? (Voz) diputada Alma</w:t>
      </w:r>
      <w:r w:rsidR="00CB749B">
        <w:rPr>
          <w:rFonts w:ascii="Abadi" w:hAnsi="Abadi"/>
          <w:sz w:val="21"/>
          <w:szCs w:val="21"/>
        </w:rPr>
        <w:t>,</w:t>
      </w:r>
      <w:r w:rsidR="00AA17FE" w:rsidRPr="007A1C6A">
        <w:rPr>
          <w:rFonts w:ascii="Abadi" w:hAnsi="Abadi"/>
          <w:sz w:val="21"/>
          <w:szCs w:val="21"/>
        </w:rPr>
        <w:t xml:space="preserve"> Austeridad. Sí.  (Voz) </w:t>
      </w:r>
      <w:r w:rsidR="00CB749B">
        <w:rPr>
          <w:rFonts w:ascii="Abadi" w:hAnsi="Abadi"/>
          <w:sz w:val="21"/>
          <w:szCs w:val="21"/>
        </w:rPr>
        <w:t xml:space="preserve">diputada </w:t>
      </w:r>
      <w:r w:rsidR="00AA17FE" w:rsidRPr="007A1C6A">
        <w:rPr>
          <w:rFonts w:ascii="Abadi" w:hAnsi="Abadi"/>
          <w:sz w:val="21"/>
          <w:szCs w:val="21"/>
        </w:rPr>
        <w:t>Presidenta</w:t>
      </w:r>
      <w:r w:rsidR="00CB749B">
        <w:rPr>
          <w:rFonts w:ascii="Abadi" w:hAnsi="Abadi"/>
          <w:sz w:val="21"/>
          <w:szCs w:val="21"/>
        </w:rPr>
        <w:t>, ¿</w:t>
      </w:r>
      <w:r w:rsidR="00AA17FE" w:rsidRPr="007A1C6A">
        <w:rPr>
          <w:rFonts w:ascii="Abadi" w:hAnsi="Abadi"/>
          <w:sz w:val="21"/>
          <w:szCs w:val="21"/>
        </w:rPr>
        <w:t>Sobre qué he hecho</w:t>
      </w:r>
      <w:r w:rsidR="00CB749B">
        <w:rPr>
          <w:rFonts w:ascii="Abadi" w:hAnsi="Abadi"/>
          <w:sz w:val="21"/>
          <w:szCs w:val="21"/>
        </w:rPr>
        <w:t>s?</w:t>
      </w:r>
      <w:r w:rsidR="00AA17FE" w:rsidRPr="007A1C6A">
        <w:rPr>
          <w:rFonts w:ascii="Abadi" w:hAnsi="Abadi"/>
          <w:sz w:val="21"/>
          <w:szCs w:val="21"/>
        </w:rPr>
        <w:t xml:space="preserve"> sobre el tema diputada (Voz) diputada Alma, la palabra austeridad. (Voz) </w:t>
      </w:r>
      <w:r w:rsidR="00CB749B">
        <w:rPr>
          <w:rFonts w:ascii="Abadi" w:hAnsi="Abadi"/>
          <w:sz w:val="21"/>
          <w:szCs w:val="21"/>
        </w:rPr>
        <w:t xml:space="preserve">diputada </w:t>
      </w:r>
      <w:r w:rsidR="00AA17FE" w:rsidRPr="007A1C6A">
        <w:rPr>
          <w:rFonts w:ascii="Abadi" w:hAnsi="Abadi"/>
          <w:sz w:val="21"/>
          <w:szCs w:val="21"/>
        </w:rPr>
        <w:t>Presidenta</w:t>
      </w:r>
      <w:r w:rsidR="00CB749B">
        <w:rPr>
          <w:rFonts w:ascii="Abadi" w:hAnsi="Abadi"/>
          <w:sz w:val="21"/>
          <w:szCs w:val="21"/>
        </w:rPr>
        <w:t>,</w:t>
      </w:r>
      <w:r w:rsidR="00AA17FE" w:rsidRPr="007A1C6A">
        <w:rPr>
          <w:rFonts w:ascii="Abadi" w:hAnsi="Abadi"/>
          <w:sz w:val="21"/>
          <w:szCs w:val="21"/>
        </w:rPr>
        <w:t xml:space="preserve"> </w:t>
      </w:r>
      <w:r w:rsidR="00CB749B">
        <w:rPr>
          <w:rFonts w:ascii="Abadi" w:hAnsi="Abadi"/>
          <w:sz w:val="21"/>
          <w:szCs w:val="21"/>
        </w:rPr>
        <w:t>a</w:t>
      </w:r>
      <w:r w:rsidR="00AA17FE" w:rsidRPr="007A1C6A">
        <w:rPr>
          <w:rFonts w:ascii="Abadi" w:hAnsi="Abadi"/>
          <w:sz w:val="21"/>
          <w:szCs w:val="21"/>
        </w:rPr>
        <w:t xml:space="preserve">delante, pase diputada (Voz) diputada Alma, gracias (Voz) </w:t>
      </w:r>
      <w:r w:rsidR="00CB749B">
        <w:rPr>
          <w:rFonts w:ascii="Abadi" w:hAnsi="Abadi"/>
          <w:sz w:val="21"/>
          <w:szCs w:val="21"/>
        </w:rPr>
        <w:t>diputada P</w:t>
      </w:r>
      <w:r w:rsidR="00AA17FE" w:rsidRPr="007A1C6A">
        <w:rPr>
          <w:rFonts w:ascii="Abadi" w:hAnsi="Abadi"/>
          <w:sz w:val="21"/>
          <w:szCs w:val="21"/>
        </w:rPr>
        <w:t>residenta, tiene la voz hasta por cinco minutos.</w:t>
      </w:r>
    </w:p>
    <w:p w14:paraId="2D02E15D" w14:textId="77777777" w:rsidR="00AA17FE" w:rsidRPr="007A1C6A" w:rsidRDefault="00AA17FE" w:rsidP="00AA17FE">
      <w:pPr>
        <w:jc w:val="both"/>
        <w:rPr>
          <w:rFonts w:ascii="Abadi" w:hAnsi="Abadi"/>
          <w:sz w:val="21"/>
          <w:szCs w:val="21"/>
        </w:rPr>
      </w:pPr>
    </w:p>
    <w:p w14:paraId="628C89D8" w14:textId="3056D147" w:rsidR="00AA17FE" w:rsidRPr="007A1C6A" w:rsidRDefault="00AA17FE" w:rsidP="00AA17FE">
      <w:pPr>
        <w:jc w:val="both"/>
        <w:rPr>
          <w:rFonts w:ascii="Abadi" w:hAnsi="Abadi"/>
          <w:b/>
          <w:bCs/>
          <w:sz w:val="21"/>
          <w:szCs w:val="21"/>
        </w:rPr>
      </w:pPr>
      <w:r w:rsidRPr="007A1C6A">
        <w:rPr>
          <w:rFonts w:ascii="Abadi" w:hAnsi="Abadi"/>
          <w:b/>
          <w:bCs/>
          <w:sz w:val="21"/>
          <w:szCs w:val="21"/>
        </w:rPr>
        <w:t>(</w:t>
      </w:r>
      <w:bookmarkStart w:id="9" w:name="_Hlk108515385"/>
      <w:r w:rsidRPr="007A1C6A">
        <w:rPr>
          <w:rFonts w:ascii="Abadi" w:hAnsi="Abadi"/>
          <w:b/>
          <w:bCs/>
          <w:sz w:val="21"/>
          <w:szCs w:val="21"/>
        </w:rPr>
        <w:t>Sube a tribuna la diputada Alma Edwviges Alcaraz, a tribuna para rectificación de hechos, con la palabra austeridad</w:t>
      </w:r>
      <w:bookmarkEnd w:id="9"/>
      <w:r w:rsidRPr="007A1C6A">
        <w:rPr>
          <w:rFonts w:ascii="Abadi" w:hAnsi="Abadi"/>
          <w:b/>
          <w:bCs/>
          <w:sz w:val="21"/>
          <w:szCs w:val="21"/>
        </w:rPr>
        <w:t>)</w:t>
      </w:r>
    </w:p>
    <w:p w14:paraId="4491143C" w14:textId="40EDD4B0" w:rsidR="00AA17FE" w:rsidRPr="007A1C6A" w:rsidRDefault="00AA17FE" w:rsidP="00AA17FE">
      <w:pPr>
        <w:jc w:val="both"/>
        <w:rPr>
          <w:rFonts w:ascii="Abadi" w:hAnsi="Abadi"/>
          <w:b/>
          <w:bCs/>
          <w:sz w:val="21"/>
          <w:szCs w:val="21"/>
        </w:rPr>
      </w:pPr>
    </w:p>
    <w:p w14:paraId="0CC229CD" w14:textId="4536AA89" w:rsidR="00AA17FE" w:rsidRPr="007A1C6A" w:rsidRDefault="00E666E1" w:rsidP="00AA17FE">
      <w:pPr>
        <w:jc w:val="both"/>
        <w:rPr>
          <w:rFonts w:ascii="Abadi" w:hAnsi="Abadi"/>
          <w:b/>
          <w:bCs/>
          <w:sz w:val="21"/>
          <w:szCs w:val="21"/>
        </w:rPr>
      </w:pPr>
      <w:r w:rsidRPr="007A1C6A">
        <w:rPr>
          <w:rFonts w:ascii="Abadi" w:hAnsi="Abadi"/>
          <w:noProof/>
          <w:sz w:val="21"/>
          <w:szCs w:val="21"/>
        </w:rPr>
        <w:drawing>
          <wp:anchor distT="0" distB="0" distL="114300" distR="114300" simplePos="0" relativeHeight="251710464" behindDoc="1" locked="0" layoutInCell="1" allowOverlap="1" wp14:anchorId="17B617C5" wp14:editId="3F978D9B">
            <wp:simplePos x="0" y="0"/>
            <wp:positionH relativeFrom="column">
              <wp:posOffset>221615</wp:posOffset>
            </wp:positionH>
            <wp:positionV relativeFrom="paragraph">
              <wp:posOffset>124460</wp:posOffset>
            </wp:positionV>
            <wp:extent cx="1949450" cy="1009650"/>
            <wp:effectExtent l="0" t="114300" r="0" b="781050"/>
            <wp:wrapTight wrapText="bothSides">
              <wp:wrapPolygon edited="0">
                <wp:start x="211" y="-2445"/>
                <wp:lineTo x="0" y="24453"/>
                <wp:lineTo x="422" y="37902"/>
                <wp:lineTo x="3166" y="37902"/>
                <wp:lineTo x="3799" y="37087"/>
                <wp:lineTo x="19841" y="31381"/>
                <wp:lineTo x="20052" y="-2445"/>
                <wp:lineTo x="211" y="-2445"/>
              </wp:wrapPolygon>
            </wp:wrapTight>
            <wp:docPr id="33" name="Imagen 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magen que contiene Texto&#10;&#10;Descripción generada automáticamente"/>
                    <pic:cNvPicPr/>
                  </pic:nvPicPr>
                  <pic:blipFill rotWithShape="1">
                    <a:blip r:embed="rId35" cstate="print">
                      <a:extLst>
                        <a:ext uri="{28A0092B-C50C-407E-A947-70E740481C1C}">
                          <a14:useLocalDpi xmlns:a14="http://schemas.microsoft.com/office/drawing/2010/main" val="0"/>
                        </a:ext>
                      </a:extLst>
                    </a:blip>
                    <a:srcRect b="7909"/>
                    <a:stretch/>
                  </pic:blipFill>
                  <pic:spPr bwMode="auto">
                    <a:xfrm>
                      <a:off x="0" y="0"/>
                      <a:ext cx="1949450" cy="100965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452497" w14:textId="77777777" w:rsidR="00E666E1" w:rsidRDefault="00E666E1" w:rsidP="00AA17FE">
      <w:pPr>
        <w:jc w:val="both"/>
        <w:rPr>
          <w:rFonts w:ascii="Abadi" w:hAnsi="Abadi"/>
          <w:b/>
          <w:bCs/>
          <w:sz w:val="21"/>
          <w:szCs w:val="21"/>
        </w:rPr>
      </w:pPr>
    </w:p>
    <w:p w14:paraId="1B3A865F" w14:textId="77777777" w:rsidR="00E666E1" w:rsidRDefault="00E666E1" w:rsidP="00AA17FE">
      <w:pPr>
        <w:jc w:val="both"/>
        <w:rPr>
          <w:rFonts w:ascii="Abadi" w:hAnsi="Abadi"/>
          <w:b/>
          <w:bCs/>
          <w:sz w:val="21"/>
          <w:szCs w:val="21"/>
        </w:rPr>
      </w:pPr>
    </w:p>
    <w:p w14:paraId="058FEAFB" w14:textId="77777777" w:rsidR="00E666E1" w:rsidRDefault="00E666E1" w:rsidP="00AA17FE">
      <w:pPr>
        <w:jc w:val="both"/>
        <w:rPr>
          <w:rFonts w:ascii="Abadi" w:hAnsi="Abadi"/>
          <w:b/>
          <w:bCs/>
          <w:sz w:val="21"/>
          <w:szCs w:val="21"/>
        </w:rPr>
      </w:pPr>
    </w:p>
    <w:p w14:paraId="267001B1" w14:textId="6289FF94" w:rsidR="00E666E1" w:rsidRDefault="00E666E1" w:rsidP="00AA17FE">
      <w:pPr>
        <w:jc w:val="both"/>
        <w:rPr>
          <w:rFonts w:ascii="Abadi" w:hAnsi="Abadi"/>
          <w:b/>
          <w:bCs/>
          <w:sz w:val="21"/>
          <w:szCs w:val="21"/>
        </w:rPr>
      </w:pPr>
    </w:p>
    <w:p w14:paraId="6B348371" w14:textId="77777777" w:rsidR="00E666E1" w:rsidRDefault="00E666E1" w:rsidP="00AA17FE">
      <w:pPr>
        <w:jc w:val="both"/>
        <w:rPr>
          <w:rFonts w:ascii="Abadi" w:hAnsi="Abadi"/>
          <w:b/>
          <w:bCs/>
          <w:sz w:val="21"/>
          <w:szCs w:val="21"/>
        </w:rPr>
      </w:pPr>
    </w:p>
    <w:p w14:paraId="78AFE31D" w14:textId="0317DAEF" w:rsidR="00E666E1" w:rsidRDefault="00E666E1" w:rsidP="00AA17FE">
      <w:pPr>
        <w:jc w:val="both"/>
        <w:rPr>
          <w:rFonts w:ascii="Abadi" w:hAnsi="Abadi"/>
          <w:sz w:val="21"/>
          <w:szCs w:val="21"/>
        </w:rPr>
      </w:pPr>
    </w:p>
    <w:p w14:paraId="7BE8E668" w14:textId="77777777" w:rsidR="00E666E1" w:rsidRDefault="00E666E1" w:rsidP="00AA17FE">
      <w:pPr>
        <w:jc w:val="both"/>
        <w:rPr>
          <w:rFonts w:ascii="Abadi" w:hAnsi="Abadi"/>
          <w:sz w:val="21"/>
          <w:szCs w:val="21"/>
        </w:rPr>
      </w:pPr>
    </w:p>
    <w:p w14:paraId="063E04D1" w14:textId="77777777" w:rsidR="00E666E1" w:rsidRDefault="00E666E1" w:rsidP="00AA17FE">
      <w:pPr>
        <w:jc w:val="both"/>
        <w:rPr>
          <w:rFonts w:ascii="Abadi" w:hAnsi="Abadi"/>
          <w:sz w:val="21"/>
          <w:szCs w:val="21"/>
        </w:rPr>
      </w:pPr>
    </w:p>
    <w:p w14:paraId="75A4AE7F" w14:textId="77777777" w:rsidR="00E666E1" w:rsidRDefault="00E666E1" w:rsidP="00AA17FE">
      <w:pPr>
        <w:jc w:val="both"/>
        <w:rPr>
          <w:rFonts w:ascii="Abadi" w:hAnsi="Abadi"/>
          <w:sz w:val="21"/>
          <w:szCs w:val="21"/>
        </w:rPr>
      </w:pPr>
    </w:p>
    <w:p w14:paraId="7B450635" w14:textId="77777777" w:rsidR="00E666E1" w:rsidRDefault="00E666E1" w:rsidP="00AA17FE">
      <w:pPr>
        <w:jc w:val="both"/>
        <w:rPr>
          <w:rFonts w:ascii="Abadi" w:hAnsi="Abadi"/>
          <w:sz w:val="21"/>
          <w:szCs w:val="21"/>
        </w:rPr>
      </w:pPr>
    </w:p>
    <w:p w14:paraId="47FFA7BA" w14:textId="77777777" w:rsidR="00E666E1" w:rsidRDefault="00E666E1" w:rsidP="00AA17FE">
      <w:pPr>
        <w:jc w:val="both"/>
        <w:rPr>
          <w:rFonts w:ascii="Abadi" w:hAnsi="Abadi"/>
          <w:sz w:val="21"/>
          <w:szCs w:val="21"/>
        </w:rPr>
      </w:pPr>
    </w:p>
    <w:p w14:paraId="65C16687" w14:textId="77777777" w:rsidR="00E666E1" w:rsidRDefault="00E666E1" w:rsidP="00AA17FE">
      <w:pPr>
        <w:jc w:val="both"/>
        <w:rPr>
          <w:rFonts w:ascii="Abadi" w:hAnsi="Abadi"/>
          <w:sz w:val="21"/>
          <w:szCs w:val="21"/>
        </w:rPr>
      </w:pPr>
    </w:p>
    <w:p w14:paraId="603CC430" w14:textId="35D27438" w:rsidR="00AA17FE" w:rsidRDefault="00AA17FE" w:rsidP="00AA17FE">
      <w:pPr>
        <w:jc w:val="both"/>
        <w:rPr>
          <w:rFonts w:ascii="Abadi" w:hAnsi="Abadi"/>
          <w:sz w:val="21"/>
          <w:szCs w:val="21"/>
        </w:rPr>
      </w:pPr>
      <w:r w:rsidRPr="007A1C6A">
        <w:rPr>
          <w:rFonts w:ascii="Abadi" w:hAnsi="Abadi"/>
          <w:sz w:val="21"/>
          <w:szCs w:val="21"/>
        </w:rPr>
        <w:t>- (Voz) diputada Alma. ¡Sí! con su venia, presidenta diputada, para la rectificación de hechos, en ese sentido, el tema me parece muy interesante que ahora que están aquí los estudiantes, este así es y me parece muy, muy interesante, porque ciertamente se ha hecho un trabajo interesante por parte de la Comisión de Hacienda. Es importante comentarlo y también es importante comentar que se han presentado diversas iniciativas muy importantes que pudieran desde el Congreso, no precisamente de los ayuntamientos. Estarse discutiendo, estarse analizando y mejorar en temas que tienen que ver con el gasto público. ¿Cómo se gasta?, ¿cómo gastan los gobiernos guanajuatenses el dinero? ¡sí! y en el tema que tiene que ver justamente en el tema de la austeridad, se gasta en este Estado y se ha dicho constantemente en esta tribuna por parte del Grupo Parlamentario de Morena, un millón de pesos diarios en el tema de comunicación social. Sí. Es importante entonces meterle ajustes a estos temas y esos ajustes, pues no, precisamente se hacen en algunas giras y ese tipo de cosas no, se hacen aquí desde un trabajo legislativo y desde una revisión de una cuenta pública.</w:t>
      </w:r>
    </w:p>
    <w:p w14:paraId="4E53F73B" w14:textId="77777777" w:rsidR="009A7596" w:rsidRPr="007A1C6A" w:rsidRDefault="009A7596" w:rsidP="00AA17FE">
      <w:pPr>
        <w:jc w:val="both"/>
        <w:rPr>
          <w:rFonts w:ascii="Abadi" w:hAnsi="Abadi"/>
          <w:sz w:val="21"/>
          <w:szCs w:val="21"/>
        </w:rPr>
      </w:pPr>
    </w:p>
    <w:p w14:paraId="163F541C" w14:textId="06407BF0" w:rsidR="00AA17FE" w:rsidRDefault="00AA17FE" w:rsidP="00AA17FE">
      <w:pPr>
        <w:jc w:val="both"/>
        <w:rPr>
          <w:rFonts w:ascii="Abadi" w:hAnsi="Abadi"/>
          <w:sz w:val="21"/>
          <w:szCs w:val="21"/>
        </w:rPr>
      </w:pPr>
      <w:r w:rsidRPr="007A1C6A">
        <w:rPr>
          <w:rFonts w:ascii="Abadi" w:hAnsi="Abadi"/>
          <w:sz w:val="21"/>
          <w:szCs w:val="21"/>
        </w:rPr>
        <w:t xml:space="preserve">- (Voz) diputada Presidenta, diputada Alma, ¿me permite tantito por favor? (Voz) Diputada Alma, ¡sí! claro. (Voz) presidenta. ¿Diputada Katya para qué efecto? (Voz) diputada Katya, sólo para saber si me puede contestar una pregunta la diputada (Voz) presidenta. ¿Diputada Alma, le puede contestar una pregunta a la diputada Katya? (Voz) diputada Alma. ¡Sí! por supuesto. (Voz) Presidenta, adelante diputada Katya. (Voz) diputada Katya, solo preguntarle diputada, usted como parte de la Comisión de Hacienda, ha asistido alguna de estas reuniones visitando a los alcaldes de los ayuntamientos, de los cuales nos ha compartido el diputado Víctor Zanella, ¿usted ha estado presente? (Voz) diputada Presidenta, ¿diputada Alma? ¿le puede contestar diputada? (Voz) diputada Alma ¡Sí! ¡claro!, mira nosotros estamos presentes normalmente, yo y nuestro equipo en los cuarenta y seis municipios, nosotros viajamos mucho, pero no precisamente en la Comisión. Nosotros estamos viajando constantemente y escuchando las necesidades del pueblo, escuchando las necesidades de la gente y eso es algo que hacemos constantemente. Justamente esta semana estuvimos en Irapuato y la siguiente semana vamos a estar en Celaya y posteriormente en Salamanca. Y, finalmente la parte más importante, que es importante tener claro algo. </w:t>
      </w:r>
    </w:p>
    <w:p w14:paraId="72DF5012" w14:textId="77777777" w:rsidR="009A7596" w:rsidRPr="007A1C6A" w:rsidRDefault="009A7596" w:rsidP="00AA17FE">
      <w:pPr>
        <w:jc w:val="both"/>
        <w:rPr>
          <w:rFonts w:ascii="Abadi" w:hAnsi="Abadi"/>
          <w:sz w:val="21"/>
          <w:szCs w:val="21"/>
        </w:rPr>
      </w:pPr>
    </w:p>
    <w:p w14:paraId="168A7484" w14:textId="1360D8AB" w:rsidR="00AA17FE" w:rsidRPr="007A1C6A" w:rsidRDefault="00D21FCA"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El Congreso del Estado y cualquier Congreso tiene como principal función. </w:t>
      </w:r>
    </w:p>
    <w:p w14:paraId="58A4A439" w14:textId="696BD212" w:rsidR="00AA17FE" w:rsidRDefault="00AA17FE" w:rsidP="00AA17FE">
      <w:pPr>
        <w:jc w:val="both"/>
        <w:rPr>
          <w:rFonts w:ascii="Abadi" w:hAnsi="Abadi"/>
          <w:sz w:val="21"/>
          <w:szCs w:val="21"/>
        </w:rPr>
      </w:pPr>
      <w:r w:rsidRPr="007A1C6A">
        <w:rPr>
          <w:rFonts w:ascii="Abadi" w:hAnsi="Abadi"/>
          <w:sz w:val="21"/>
          <w:szCs w:val="21"/>
        </w:rPr>
        <w:t xml:space="preserve">Número 1.- Legislar. Esa es la principal función, ser contrapeso y legislar. </w:t>
      </w:r>
    </w:p>
    <w:p w14:paraId="6866D913" w14:textId="77777777" w:rsidR="00D21FCA" w:rsidRPr="007A1C6A" w:rsidRDefault="00D21FCA" w:rsidP="00AA17FE">
      <w:pPr>
        <w:jc w:val="both"/>
        <w:rPr>
          <w:rFonts w:ascii="Abadi" w:hAnsi="Abadi"/>
          <w:sz w:val="21"/>
          <w:szCs w:val="21"/>
        </w:rPr>
      </w:pPr>
    </w:p>
    <w:p w14:paraId="3F3D085B" w14:textId="0A8A21F3" w:rsidR="00AA17FE" w:rsidRDefault="00D21FCA"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Número 2.- La fiscalización de los recursos públicos, esto es importantísimo; y </w:t>
      </w:r>
    </w:p>
    <w:p w14:paraId="704524B7" w14:textId="77777777" w:rsidR="00D21FCA" w:rsidRPr="007A1C6A" w:rsidRDefault="00D21FCA" w:rsidP="00AA17FE">
      <w:pPr>
        <w:jc w:val="both"/>
        <w:rPr>
          <w:rFonts w:ascii="Abadi" w:hAnsi="Abadi"/>
          <w:sz w:val="21"/>
          <w:szCs w:val="21"/>
        </w:rPr>
      </w:pPr>
    </w:p>
    <w:p w14:paraId="2376693F" w14:textId="27849338" w:rsidR="00AA17FE" w:rsidRDefault="00D21FCA"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Número 3.- Gestionar. </w:t>
      </w:r>
    </w:p>
    <w:p w14:paraId="46F91B3B" w14:textId="77777777" w:rsidR="00D21FCA" w:rsidRPr="007A1C6A" w:rsidRDefault="00D21FCA" w:rsidP="00AA17FE">
      <w:pPr>
        <w:jc w:val="both"/>
        <w:rPr>
          <w:rFonts w:ascii="Abadi" w:hAnsi="Abadi"/>
          <w:sz w:val="21"/>
          <w:szCs w:val="21"/>
        </w:rPr>
      </w:pPr>
    </w:p>
    <w:p w14:paraId="10B055BB" w14:textId="64C5B7CA" w:rsidR="00AA17FE" w:rsidRDefault="00AA17FE" w:rsidP="00AA17FE">
      <w:pPr>
        <w:jc w:val="both"/>
        <w:rPr>
          <w:rFonts w:ascii="Abadi" w:hAnsi="Abadi"/>
          <w:sz w:val="21"/>
          <w:szCs w:val="21"/>
        </w:rPr>
      </w:pPr>
      <w:r w:rsidRPr="007A1C6A">
        <w:rPr>
          <w:rFonts w:ascii="Abadi" w:hAnsi="Abadi"/>
          <w:sz w:val="21"/>
          <w:szCs w:val="21"/>
        </w:rPr>
        <w:t xml:space="preserve">¿Sí? entonces, en este sentido las giras son importantes, son interesantes, pero no son vitales para la vida del Congreso Local, la vida del Congreso está justamente en legislar, en fiscalizar y esto no lo digo yo, lo dice la Constitución Política del Estado de Guanajuato. Sí, se hace otra actividad que bueno, es muy bueno es este interesante, pero no es lo vital. </w:t>
      </w:r>
    </w:p>
    <w:p w14:paraId="1028B2BA" w14:textId="77777777" w:rsidR="00D21FCA" w:rsidRPr="007A1C6A" w:rsidRDefault="00D21FCA" w:rsidP="00AA17FE">
      <w:pPr>
        <w:jc w:val="both"/>
        <w:rPr>
          <w:rFonts w:ascii="Abadi" w:hAnsi="Abadi"/>
          <w:sz w:val="21"/>
          <w:szCs w:val="21"/>
        </w:rPr>
      </w:pPr>
    </w:p>
    <w:p w14:paraId="57D5911E" w14:textId="5974D3BE" w:rsidR="00AA17FE" w:rsidRDefault="00AA17FE" w:rsidP="00AA17FE">
      <w:pPr>
        <w:jc w:val="both"/>
        <w:rPr>
          <w:rFonts w:ascii="Abadi" w:hAnsi="Abadi"/>
          <w:sz w:val="21"/>
          <w:szCs w:val="21"/>
        </w:rPr>
      </w:pPr>
      <w:r w:rsidRPr="007A1C6A">
        <w:rPr>
          <w:rFonts w:ascii="Abadi" w:hAnsi="Abadi"/>
          <w:sz w:val="21"/>
          <w:szCs w:val="21"/>
        </w:rPr>
        <w:t>- Nosotros hemos presentado justamente en este sentido, muchas iniciativas que tienen que ver con mejorar la fiscalización, que tiene que ver con el recurso, con el dinero, con el dinero que se tiene través de los préstamos que se obtiene a través de lo que llega del este de la Federación. Y ahí, por ejemplo, nosotros hemos presentado iniciativas que tiene que ver con la separación de la Comisión de Hacienda y Fiscalización de este Congreso y hemos propuesto la creación de una Comisión Exclusiva de Vigilancia y de Fiscalización, (Voz) diputada Presidenta, diputada Alma ¿me permite poquito por favor? (Voz) diputada Alma. ¡Sí! Presidenta. (Voz) diputada Presidenta,  diputado Jorge Ortiz, ¿para qué efecto?, ah perdón diputado Bricio ¿Para qué efecto?, diputado Bricio sí, es que se tardó en (Voz) diputado Bricio, gracias ¿Sí, para solicitar por su conducto, si la diputada en tribuna me acepta una pregunta? (Voz) diputada Presidenta, ¿diputada le acepta una pregunta al diputado Bricio? (Voz) diputada Alma, ¡no! porque no me va a dejar terminar (Voz) diputada Presidenta, diputado Bricio, no le acepta su pregunta (Voz) diputada Alma una disculpa, (Voz) diputada Presidenta. Perdón diputado, pero hay más preguntas y participaciones (Voz) ¿diputado Jorge para que efecto? (Voz) diputado Jorge. ¡Sí! si la diputada por su conducto, ¿me permite una pregunta? (Voz) diputada Presidenta, ¿diputada, le permite una pregunta al diputado Jorge? (Voz) diputada Alma. ¡no! porque necesito terminar la idea (Voz) diputada Presidenta. ¿diputada me permite tantito? ¿Diputada Katya, para qué efecto? (Voz) diputada Katya, nada más para decirle a la diputada que no me ha contestado mi pregunta y que si se puede ceñir a la pregunta concreta, a la respuesta concreta de la pregunta que yo le hice diputada, si fuera tan amable (Voz) diputada Alma, estoy desarrollando la respuesta. (Voz) diputada Presidenta, diputada, Alma le puede contestar nuevamente la pregunta, porque al parecer, creo que ya había sido contestada, pero si gusta volverle a contestar (Voz) diputada Alma. En eso estoy diputada Presidenta, si me permite. Así es, ese es el tema, gracias diputado nos ponen atención entonces no le entienden. (Voz) diputada Presidenta, entonces ya ha concluido su respuesta, continué diputada con su intervención.</w:t>
      </w:r>
    </w:p>
    <w:p w14:paraId="372D0FDB" w14:textId="08331E8D" w:rsidR="00AA17FE" w:rsidRDefault="00AA17FE" w:rsidP="00AA17FE">
      <w:pPr>
        <w:jc w:val="both"/>
        <w:rPr>
          <w:rFonts w:ascii="Abadi" w:hAnsi="Abadi"/>
          <w:sz w:val="21"/>
          <w:szCs w:val="21"/>
        </w:rPr>
      </w:pPr>
      <w:r w:rsidRPr="007A1C6A">
        <w:rPr>
          <w:rFonts w:ascii="Abadi" w:hAnsi="Abadi"/>
          <w:sz w:val="21"/>
          <w:szCs w:val="21"/>
        </w:rPr>
        <w:t xml:space="preserve">(Voz) diputada Alma, muchas gracias diputada Presidenta, después de tanta lluvia de preguntas, ¡muy bien! entonces, por ejemplo, hemos presentado esta, esta iniciativa, esta iniciativa, la esencia lo importante es la separación de las comisiones que tiene que ver la Comisión de Fiscalización y Hacienda, separarlas y proponer la creación exclusiva de la Comisión de Vigilancia. Esa es la esencia del Congreso Local, fiscalizar y hacer modificaciones a las leyes, esa es la parte más importante ¿sí? </w:t>
      </w:r>
    </w:p>
    <w:p w14:paraId="2C27BDFF" w14:textId="77777777" w:rsidR="006749C9" w:rsidRPr="007A1C6A" w:rsidRDefault="006749C9" w:rsidP="00AA17FE">
      <w:pPr>
        <w:jc w:val="both"/>
        <w:rPr>
          <w:rFonts w:ascii="Abadi" w:hAnsi="Abadi"/>
          <w:sz w:val="21"/>
          <w:szCs w:val="21"/>
        </w:rPr>
      </w:pPr>
    </w:p>
    <w:p w14:paraId="56C603DF" w14:textId="0BB0B103" w:rsidR="00AA17FE" w:rsidRDefault="00AA17FE" w:rsidP="00AA17FE">
      <w:pPr>
        <w:jc w:val="both"/>
        <w:rPr>
          <w:rFonts w:ascii="Abadi" w:hAnsi="Abadi"/>
          <w:sz w:val="21"/>
          <w:szCs w:val="21"/>
        </w:rPr>
      </w:pPr>
      <w:r w:rsidRPr="007A1C6A">
        <w:rPr>
          <w:rFonts w:ascii="Abadi" w:hAnsi="Abadi"/>
          <w:sz w:val="21"/>
          <w:szCs w:val="21"/>
        </w:rPr>
        <w:t xml:space="preserve">-Veinticinco de las treinta y dos entidades federativas, tienen estas entidades separadas en sus Congresos Locales. </w:t>
      </w:r>
    </w:p>
    <w:p w14:paraId="14837D9C" w14:textId="77777777" w:rsidR="006749C9" w:rsidRPr="007A1C6A" w:rsidRDefault="006749C9" w:rsidP="00AA17FE">
      <w:pPr>
        <w:jc w:val="both"/>
        <w:rPr>
          <w:rFonts w:ascii="Abadi" w:hAnsi="Abadi"/>
          <w:sz w:val="21"/>
          <w:szCs w:val="21"/>
        </w:rPr>
      </w:pPr>
    </w:p>
    <w:p w14:paraId="058F6E83" w14:textId="357CC09B" w:rsidR="00AA17FE" w:rsidRDefault="006749C9"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También hemos propuesto la creación de la Unidad de Vigilancia y Evaluación de la Auditoría Superior del Estado de Guanajuato, que está ya hay casi la mitad de los Estados tienen esta unidad de vigilancia para vigilar a la Auditoría Superior del Estado de Guanajuato. Y tampoco, bueno, pues tampoco hemos entrado la discusión de este tema. También hemos propuesto la auditoría, las auditorias de tipo forense; dónde la auditoria no, nada más se quede en la parte de auditoría de lo que entró, salió, sino que se van (Voz) diputada Presidenta, diputada Alma (Voz) diputada Alma, ¡Sí! (Voz) diputada Presidenta ¿Me permite tanto por favor? ¿Diputado César Larrondo, para qué efecto? es que no tiene nada que ver con la pregunta por favor ya que le conteste. (Voz) diputada Presidenta, es que la pregunta ya se contestó, ya está ella en su exposición (Voz) diputado César Larrondo, no, dice que la estaba desarrollando (Voz al fondo). Está corriendo el reloj (Voz) diputada Presidenta, está corriendo su reloj y ya sabe lo que es su tiempo. (Voz) diputado Alma, el reloj corriendo, gracias. </w:t>
      </w:r>
    </w:p>
    <w:p w14:paraId="0DF5BA87" w14:textId="77777777" w:rsidR="006749C9" w:rsidRPr="007A1C6A" w:rsidRDefault="006749C9" w:rsidP="00AA17FE">
      <w:pPr>
        <w:jc w:val="both"/>
        <w:rPr>
          <w:rFonts w:ascii="Abadi" w:hAnsi="Abadi"/>
          <w:sz w:val="21"/>
          <w:szCs w:val="21"/>
        </w:rPr>
      </w:pPr>
    </w:p>
    <w:p w14:paraId="6A8F4BAA" w14:textId="48DD5E7C" w:rsidR="00AA17FE" w:rsidRDefault="00AA17FE" w:rsidP="00AA17FE">
      <w:pPr>
        <w:jc w:val="both"/>
        <w:rPr>
          <w:rFonts w:ascii="Abadi" w:hAnsi="Abadi"/>
          <w:sz w:val="21"/>
          <w:szCs w:val="21"/>
        </w:rPr>
      </w:pPr>
      <w:r w:rsidRPr="007A1C6A">
        <w:rPr>
          <w:rFonts w:ascii="Abadi" w:hAnsi="Abadi"/>
          <w:sz w:val="21"/>
          <w:szCs w:val="21"/>
        </w:rPr>
        <w:t xml:space="preserve">- </w:t>
      </w:r>
      <w:r w:rsidR="00B544C9">
        <w:rPr>
          <w:rFonts w:ascii="Abadi" w:hAnsi="Abadi"/>
          <w:sz w:val="21"/>
          <w:szCs w:val="21"/>
        </w:rPr>
        <w:t>Moción</w:t>
      </w:r>
      <w:r w:rsidRPr="007A1C6A">
        <w:rPr>
          <w:rFonts w:ascii="Abadi" w:hAnsi="Abadi"/>
          <w:sz w:val="21"/>
          <w:szCs w:val="21"/>
        </w:rPr>
        <w:t xml:space="preserve"> de orden</w:t>
      </w:r>
      <w:r w:rsidR="00B544C9">
        <w:rPr>
          <w:rFonts w:ascii="Abadi" w:hAnsi="Abadi"/>
          <w:sz w:val="21"/>
          <w:szCs w:val="21"/>
        </w:rPr>
        <w:t>,</w:t>
      </w:r>
      <w:r w:rsidRPr="007A1C6A">
        <w:rPr>
          <w:rFonts w:ascii="Abadi" w:hAnsi="Abadi"/>
          <w:sz w:val="21"/>
          <w:szCs w:val="21"/>
        </w:rPr>
        <w:t xml:space="preserve"> (Voz) diputado César Larrondo</w:t>
      </w:r>
      <w:r w:rsidR="00B544C9">
        <w:rPr>
          <w:rFonts w:ascii="Abadi" w:hAnsi="Abadi"/>
          <w:sz w:val="21"/>
          <w:szCs w:val="21"/>
        </w:rPr>
        <w:t>, u</w:t>
      </w:r>
      <w:r w:rsidRPr="007A1C6A">
        <w:rPr>
          <w:rFonts w:ascii="Abadi" w:hAnsi="Abadi"/>
          <w:sz w:val="21"/>
          <w:szCs w:val="21"/>
        </w:rPr>
        <w:t xml:space="preserve">na disculpa (Voz) </w:t>
      </w:r>
      <w:r w:rsidR="00B544C9">
        <w:rPr>
          <w:rFonts w:ascii="Abadi" w:hAnsi="Abadi"/>
          <w:sz w:val="21"/>
          <w:szCs w:val="21"/>
        </w:rPr>
        <w:t>diputada P</w:t>
      </w:r>
      <w:r w:rsidRPr="007A1C6A">
        <w:rPr>
          <w:rFonts w:ascii="Abadi" w:hAnsi="Abadi"/>
          <w:sz w:val="21"/>
          <w:szCs w:val="21"/>
        </w:rPr>
        <w:t>residenta</w:t>
      </w:r>
      <w:r w:rsidR="00B544C9">
        <w:rPr>
          <w:rFonts w:ascii="Abadi" w:hAnsi="Abadi"/>
          <w:sz w:val="21"/>
          <w:szCs w:val="21"/>
        </w:rPr>
        <w:t>, c</w:t>
      </w:r>
      <w:r w:rsidRPr="007A1C6A">
        <w:rPr>
          <w:rFonts w:ascii="Abadi" w:hAnsi="Abadi"/>
          <w:sz w:val="21"/>
          <w:szCs w:val="21"/>
        </w:rPr>
        <w:t>ontinue por favor diputada (Voz) diputada Alma</w:t>
      </w:r>
      <w:r w:rsidR="00B544C9">
        <w:rPr>
          <w:rFonts w:ascii="Abadi" w:hAnsi="Abadi"/>
          <w:sz w:val="21"/>
          <w:szCs w:val="21"/>
        </w:rPr>
        <w:t xml:space="preserve">, y </w:t>
      </w:r>
      <w:r w:rsidRPr="007A1C6A">
        <w:rPr>
          <w:rFonts w:ascii="Abadi" w:hAnsi="Abadi"/>
          <w:sz w:val="21"/>
          <w:szCs w:val="21"/>
        </w:rPr>
        <w:t xml:space="preserve"> esas auditorías de tipo forense sirven en la detección y en la investigación de actos de omisiones que impliquen la comisión de un delito, pueden entrevistar, pueden sacar, por ejemplo, hay aparatos perfectamente que se utilizan ya a nivel federal para saber en qué momento, en qué año se hizo, alguna obra pública, si está de buena calidad, si no está de buena calidad y no nada más se quedan con qué, lo que entro salió con el ingreso y con el gasto, sino que van más allá. Entonces sí es importante darnos cuenta para qué estamos aquí. Queridos compañeras y compañeros, estamos aquí principalmente para legislar. Eso lo dice la Constitución, número dos estamos aquí para fiscalizar y número tres también. Gestionar sí, y toda otra actividad que se realice es buena. Por ejemplo, nosotros hicimos un foro, que lástima que no pudieron tampoco por ahí acompañarnos., entiendo que estaba ya la agenda apretada, donde se habló también del importancia, pues, de todos estos mecanismos legislativos en los que podríamos estar trabajando, generarle al Estado un mejor marco normativo que nos permita revisar el dinero desde que entra hasta que sale.</w:t>
      </w:r>
    </w:p>
    <w:p w14:paraId="7DC0B619" w14:textId="77777777" w:rsidR="006749C9" w:rsidRPr="007A1C6A" w:rsidRDefault="006749C9" w:rsidP="00AA17FE">
      <w:pPr>
        <w:jc w:val="both"/>
        <w:rPr>
          <w:rFonts w:ascii="Abadi" w:hAnsi="Abadi"/>
          <w:sz w:val="21"/>
          <w:szCs w:val="21"/>
        </w:rPr>
      </w:pPr>
    </w:p>
    <w:p w14:paraId="16569BD1" w14:textId="3CE8BD8E" w:rsidR="00AA17FE" w:rsidRDefault="005E2151"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Es cuanto diputada presidenta. </w:t>
      </w:r>
    </w:p>
    <w:p w14:paraId="3B4213AD" w14:textId="77777777" w:rsidR="006749C9" w:rsidRPr="007A1C6A" w:rsidRDefault="006749C9" w:rsidP="00AA17FE">
      <w:pPr>
        <w:jc w:val="both"/>
        <w:rPr>
          <w:rFonts w:ascii="Abadi" w:hAnsi="Abadi"/>
          <w:sz w:val="21"/>
          <w:szCs w:val="21"/>
        </w:rPr>
      </w:pPr>
    </w:p>
    <w:p w14:paraId="23047C8E" w14:textId="36E2F1E8" w:rsidR="00AA17FE" w:rsidRPr="007A1C6A" w:rsidRDefault="006749C9" w:rsidP="006749C9">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Presidencia.-</w:t>
      </w:r>
      <w:r w:rsidR="00AA17FE" w:rsidRPr="007A1C6A">
        <w:rPr>
          <w:rFonts w:ascii="Abadi" w:hAnsi="Abadi"/>
          <w:sz w:val="21"/>
          <w:szCs w:val="21"/>
        </w:rPr>
        <w:t xml:space="preserve"> Muchas gracias.</w:t>
      </w:r>
      <w:r>
        <w:rPr>
          <w:rFonts w:ascii="Abadi" w:hAnsi="Abadi"/>
          <w:sz w:val="21"/>
          <w:szCs w:val="21"/>
        </w:rPr>
        <w:t xml:space="preserve"> </w:t>
      </w:r>
      <w:r w:rsidR="00AA17FE" w:rsidRPr="007A1C6A">
        <w:rPr>
          <w:rFonts w:ascii="Abadi" w:hAnsi="Abadi"/>
          <w:sz w:val="21"/>
          <w:szCs w:val="21"/>
        </w:rPr>
        <w:t>(Voz) diputada Presidenta ¿diputado Bricio Balderas? ¿para qué efecto? (Voz) diputado Bricio Balderas, para rectificación de hechos (Voz) diputada Presidenta, ¿Qué hechos diputado? (Voz) diputado Bricio Balderas, en relación a la alusión de la ponente al exhortar a los municipios sobre este esquema de deuda que se ha referido hace momento. (Voz) diputada Presidenta.</w:t>
      </w:r>
    </w:p>
    <w:p w14:paraId="7E2B2986" w14:textId="77777777" w:rsidR="00AA17FE" w:rsidRPr="007A1C6A" w:rsidRDefault="00AA17FE" w:rsidP="00AA17FE">
      <w:pPr>
        <w:jc w:val="both"/>
        <w:rPr>
          <w:rFonts w:ascii="Abadi" w:hAnsi="Abadi"/>
          <w:sz w:val="21"/>
          <w:szCs w:val="21"/>
        </w:rPr>
      </w:pPr>
      <w:r w:rsidRPr="007A1C6A">
        <w:rPr>
          <w:rFonts w:ascii="Abadi" w:hAnsi="Abadi"/>
          <w:sz w:val="21"/>
          <w:szCs w:val="21"/>
        </w:rPr>
        <w:t xml:space="preserve"> Adelante diputado, tiene la voz hasta por cinco minutos.</w:t>
      </w:r>
    </w:p>
    <w:p w14:paraId="58E506FE" w14:textId="77777777" w:rsidR="00AA17FE" w:rsidRPr="007A1C6A" w:rsidRDefault="00AA17FE" w:rsidP="00AA17FE">
      <w:pPr>
        <w:jc w:val="both"/>
        <w:rPr>
          <w:rFonts w:ascii="Abadi" w:hAnsi="Abadi"/>
          <w:sz w:val="21"/>
          <w:szCs w:val="21"/>
        </w:rPr>
      </w:pPr>
    </w:p>
    <w:p w14:paraId="654A2E4A" w14:textId="77777777" w:rsidR="00AA17FE" w:rsidRPr="007A1C6A" w:rsidRDefault="00AA17FE" w:rsidP="00AA17FE">
      <w:pPr>
        <w:jc w:val="both"/>
        <w:rPr>
          <w:rFonts w:ascii="Abadi" w:hAnsi="Abadi"/>
          <w:b/>
          <w:bCs/>
          <w:sz w:val="21"/>
          <w:szCs w:val="21"/>
        </w:rPr>
      </w:pPr>
      <w:r w:rsidRPr="007A1C6A">
        <w:rPr>
          <w:rFonts w:ascii="Abadi" w:hAnsi="Abadi"/>
          <w:b/>
          <w:bCs/>
          <w:sz w:val="21"/>
          <w:szCs w:val="21"/>
        </w:rPr>
        <w:t>(Sube a tribuna el diputado Bricio en rectificación de hechos de la diputada que le antecedió referente en relación a la alusión de la ponente al exhortar a los municipios sobre este esquema de deuda que se ha referido hace momento.)</w:t>
      </w:r>
    </w:p>
    <w:p w14:paraId="69DEBBED" w14:textId="0839D52D" w:rsidR="00AA17FE" w:rsidRPr="007A1C6A" w:rsidRDefault="00947723" w:rsidP="00AA17FE">
      <w:pPr>
        <w:jc w:val="both"/>
        <w:rPr>
          <w:rFonts w:ascii="Abadi" w:hAnsi="Abadi"/>
          <w:b/>
          <w:bCs/>
          <w:sz w:val="21"/>
          <w:szCs w:val="21"/>
        </w:rPr>
      </w:pPr>
      <w:r w:rsidRPr="007A1C6A">
        <w:rPr>
          <w:rFonts w:ascii="Abadi" w:hAnsi="Abadi"/>
          <w:noProof/>
          <w:sz w:val="21"/>
          <w:szCs w:val="21"/>
        </w:rPr>
        <w:drawing>
          <wp:anchor distT="0" distB="0" distL="114300" distR="114300" simplePos="0" relativeHeight="251673600" behindDoc="1" locked="0" layoutInCell="1" allowOverlap="1" wp14:anchorId="73E25AC3" wp14:editId="0D279B31">
            <wp:simplePos x="0" y="0"/>
            <wp:positionH relativeFrom="column">
              <wp:posOffset>294845</wp:posOffset>
            </wp:positionH>
            <wp:positionV relativeFrom="paragraph">
              <wp:posOffset>327057</wp:posOffset>
            </wp:positionV>
            <wp:extent cx="2038027" cy="1050876"/>
            <wp:effectExtent l="19050" t="57150" r="0" b="740410"/>
            <wp:wrapTight wrapText="bothSides">
              <wp:wrapPolygon edited="0">
                <wp:start x="202" y="-1175"/>
                <wp:lineTo x="-202" y="5877"/>
                <wp:lineTo x="404" y="36435"/>
                <wp:lineTo x="3029" y="36435"/>
                <wp:lineTo x="5250" y="35652"/>
                <wp:lineTo x="19789" y="31734"/>
                <wp:lineTo x="20193" y="5877"/>
                <wp:lineTo x="19789" y="-1175"/>
                <wp:lineTo x="202" y="-1175"/>
              </wp:wrapPolygon>
            </wp:wrapTight>
            <wp:docPr id="34" name="Imagen 34" descr="Un hombre sentado frente a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Un hombre sentado frente a una pantalla&#10;&#10;Descripción generada automáticamente con confianza media"/>
                    <pic:cNvPicPr/>
                  </pic:nvPicPr>
                  <pic:blipFill rotWithShape="1">
                    <a:blip r:embed="rId36" cstate="print">
                      <a:extLst>
                        <a:ext uri="{28A0092B-C50C-407E-A947-70E740481C1C}">
                          <a14:useLocalDpi xmlns:a14="http://schemas.microsoft.com/office/drawing/2010/main" val="0"/>
                        </a:ext>
                      </a:extLst>
                    </a:blip>
                    <a:srcRect b="8288"/>
                    <a:stretch/>
                  </pic:blipFill>
                  <pic:spPr bwMode="auto">
                    <a:xfrm>
                      <a:off x="0" y="0"/>
                      <a:ext cx="2038027" cy="1050876"/>
                    </a:xfrm>
                    <a:prstGeom prst="rect">
                      <a:avLst/>
                    </a:prstGeom>
                    <a:ln>
                      <a:noFill/>
                    </a:ln>
                    <a:effectLst>
                      <a:outerShdw blurRad="50800" dist="38100" dir="5400000" algn="t"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20DC5448" w14:textId="0C0DCB38" w:rsidR="00AA17FE" w:rsidRPr="007A1C6A" w:rsidRDefault="00AA17FE" w:rsidP="00AA17FE">
      <w:pPr>
        <w:jc w:val="both"/>
        <w:rPr>
          <w:rFonts w:ascii="Abadi" w:hAnsi="Abadi"/>
          <w:b/>
          <w:bCs/>
          <w:sz w:val="21"/>
          <w:szCs w:val="21"/>
        </w:rPr>
      </w:pPr>
    </w:p>
    <w:p w14:paraId="3F9A1830" w14:textId="4DA9993E" w:rsidR="00AA17FE" w:rsidRPr="007A1C6A" w:rsidRDefault="00947723"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(Voz) Diputado Ernesto Millán, ¿presidenta? (Voz) diputada Presidenta, ¡Sí! diputado, ¿para qué efecto? (Voz) de diputado Ernesto Millán, una moción de orden en su exposición, la compañera que estuvo en tribuna no se refirió a esos hechos, solamente su tema fue a austeridad. (Voz) diputada Presidenta, gracias diputado por su intervención, adelante, diputado Bricio, por favor.</w:t>
      </w:r>
    </w:p>
    <w:p w14:paraId="159EAE99" w14:textId="77777777" w:rsidR="00AA17FE" w:rsidRPr="007A1C6A" w:rsidRDefault="00AA17FE" w:rsidP="00AA17FE">
      <w:pPr>
        <w:jc w:val="both"/>
        <w:rPr>
          <w:rFonts w:ascii="Abadi" w:hAnsi="Abadi"/>
          <w:sz w:val="21"/>
          <w:szCs w:val="21"/>
        </w:rPr>
      </w:pPr>
    </w:p>
    <w:p w14:paraId="039CF02A" w14:textId="3C409B5F" w:rsidR="00AA17FE" w:rsidRDefault="00AA17FE" w:rsidP="00AA17FE">
      <w:pPr>
        <w:jc w:val="both"/>
        <w:rPr>
          <w:rFonts w:ascii="Abadi" w:hAnsi="Abadi"/>
          <w:sz w:val="21"/>
          <w:szCs w:val="21"/>
        </w:rPr>
      </w:pPr>
      <w:r w:rsidRPr="007A1C6A">
        <w:rPr>
          <w:rFonts w:ascii="Abadi" w:hAnsi="Abadi"/>
          <w:sz w:val="21"/>
          <w:szCs w:val="21"/>
        </w:rPr>
        <w:t xml:space="preserve">- (Voz) diputado Bricio. Gracias, fíjense bien, hablan de la necesidad de un debate parlamentario, hablan de la necesidad de debatir y al momento de precisar no quieren debatir. La pregunta fue muy textual, muy muy concisa. La diputada que me antecedió y qué viene con su necesidad de exhortar a los cuarenta y seis municipios para efecto de que puedan, bien resolver un esquema de solicitud de deuda, previamente, en la Comisión de Hacienda, a la que pertenece, con fecha 4 de abril, tengo entendido, aprobaron una metodología para poder estar cercana o cercano toda la comisión a los 46 municipios y sus ayuntamientos. </w:t>
      </w:r>
    </w:p>
    <w:p w14:paraId="15955578" w14:textId="77777777" w:rsidR="00874A2A" w:rsidRPr="007A1C6A" w:rsidRDefault="00874A2A" w:rsidP="00AA17FE">
      <w:pPr>
        <w:jc w:val="both"/>
        <w:rPr>
          <w:rFonts w:ascii="Abadi" w:hAnsi="Abadi"/>
          <w:sz w:val="21"/>
          <w:szCs w:val="21"/>
        </w:rPr>
      </w:pPr>
    </w:p>
    <w:p w14:paraId="36B620CC" w14:textId="7F421B5E" w:rsidR="00AA17FE" w:rsidRDefault="00874A2A"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Al día de hoy han visitado veintiocho municipios, tengo dos pendientes, Juventino y Villagrán, de acompañarlos (Voz) diputada Presidenta ¿Diputado Bricio, me permite tantito por favor? diputado Millán ¿Para qué efecto? (Voz) diputado Millán, rectificación nuevamente y moción de orden, diputada Presidenta. (Voz) diputada Presidenta ¿Qué rectificación? (Voz) diputado Millán. No ésta, es una emoción; no se está abocando a lo que la compañera que estuvo en tribuna tocó el tema, él está hablando en contra del exhorto, yo creo que ya no ya no cabe. </w:t>
      </w:r>
    </w:p>
    <w:p w14:paraId="2620E8F3" w14:textId="77777777" w:rsidR="00874A2A" w:rsidRPr="007A1C6A" w:rsidRDefault="00874A2A" w:rsidP="00AA17FE">
      <w:pPr>
        <w:jc w:val="both"/>
        <w:rPr>
          <w:rFonts w:ascii="Abadi" w:hAnsi="Abadi"/>
          <w:sz w:val="21"/>
          <w:szCs w:val="21"/>
        </w:rPr>
      </w:pPr>
    </w:p>
    <w:p w14:paraId="04150C07" w14:textId="5795793C" w:rsidR="00AA17FE" w:rsidRDefault="00AA17FE" w:rsidP="00AA17FE">
      <w:pPr>
        <w:jc w:val="both"/>
        <w:rPr>
          <w:rFonts w:ascii="Abadi" w:hAnsi="Abadi"/>
          <w:sz w:val="21"/>
          <w:szCs w:val="21"/>
        </w:rPr>
      </w:pPr>
      <w:r w:rsidRPr="007A1C6A">
        <w:rPr>
          <w:rFonts w:ascii="Abadi" w:hAnsi="Abadi"/>
          <w:sz w:val="21"/>
          <w:szCs w:val="21"/>
        </w:rPr>
        <w:t xml:space="preserve">- (Voz) diputada Presidenta, gracias diputado, ¿diputado Bricio, se podría este someter a lo del tema que usted solicito? ¿por favor? (Voz) diputado Bricio, por supuesto (Voz) diputada Presidenta, muchas gracias (Voz) diputado Bricio, yo no estoy hablando del tema en contra del exhorto. Estoy hablando en rectificación de hechos de lo que vino a hablar quién me antecedió. Eso es lo importante. Hoy veintiocho municipios han sido visitados por la comisión, menos por la diputada que solicita esto. </w:t>
      </w:r>
    </w:p>
    <w:p w14:paraId="1C58CD2A" w14:textId="77777777" w:rsidR="00874A2A" w:rsidRPr="007A1C6A" w:rsidRDefault="00874A2A" w:rsidP="00AA17FE">
      <w:pPr>
        <w:jc w:val="both"/>
        <w:rPr>
          <w:rFonts w:ascii="Abadi" w:hAnsi="Abadi"/>
          <w:sz w:val="21"/>
          <w:szCs w:val="21"/>
        </w:rPr>
      </w:pPr>
    </w:p>
    <w:p w14:paraId="367B1AD2" w14:textId="15C379FC" w:rsidR="00AA17FE" w:rsidRDefault="00AA17FE" w:rsidP="00AA17FE">
      <w:pPr>
        <w:jc w:val="both"/>
        <w:rPr>
          <w:rFonts w:ascii="Abadi" w:hAnsi="Abadi"/>
          <w:sz w:val="21"/>
          <w:szCs w:val="21"/>
        </w:rPr>
      </w:pPr>
      <w:r w:rsidRPr="007A1C6A">
        <w:rPr>
          <w:rFonts w:ascii="Abadi" w:hAnsi="Abadi"/>
          <w:sz w:val="21"/>
          <w:szCs w:val="21"/>
        </w:rPr>
        <w:t xml:space="preserve">- Al menos me doy cuenta que la gran mayoría de mis compañeras y compañeros han acudido a los municipios de sus distritos. Ustedes no tienen distrito, discúlpeme, ¡eh! son Pluris, entonces mínimo sino van a los cuarenta y seis, vayan a uno, dense cuenta estén cercanos a sus municipios. (Voz) diputada Presidenta. Diputado Bricio, ¿me permite tantito favor? ¿Diputado Millán, para qué efecto? (Voz) diputado Millán, diputada, yo creo que la emoción de orden no se ha tomado en cuenta, él se debe de abocar solamente a la rectificación de hechos, ¿qué hechos?, el tema austeridad que sube hablar la imputada Alma en su momento, es solamente no puede estar tocando otros temas. </w:t>
      </w:r>
    </w:p>
    <w:p w14:paraId="072B7518" w14:textId="77777777" w:rsidR="00874A2A" w:rsidRPr="007A1C6A" w:rsidRDefault="00874A2A" w:rsidP="00AA17FE">
      <w:pPr>
        <w:jc w:val="both"/>
        <w:rPr>
          <w:rFonts w:ascii="Abadi" w:hAnsi="Abadi"/>
          <w:sz w:val="21"/>
          <w:szCs w:val="21"/>
        </w:rPr>
      </w:pPr>
    </w:p>
    <w:p w14:paraId="2BC0BF8F" w14:textId="2937C434" w:rsidR="00AA17FE" w:rsidRDefault="00AA17FE" w:rsidP="00AA17FE">
      <w:pPr>
        <w:jc w:val="both"/>
        <w:rPr>
          <w:rFonts w:ascii="Abadi" w:hAnsi="Abadi"/>
          <w:sz w:val="21"/>
          <w:szCs w:val="21"/>
        </w:rPr>
      </w:pPr>
      <w:r w:rsidRPr="007A1C6A">
        <w:rPr>
          <w:rFonts w:ascii="Abadi" w:hAnsi="Abadi"/>
          <w:sz w:val="21"/>
          <w:szCs w:val="21"/>
        </w:rPr>
        <w:t xml:space="preserve">- (Voz) diputada Presidenta, diputado, Bricio se puede concentrar en el tema que fue solicitado y les quiero recomendar, quiero decir a todos también que en esta Presidencia se ha sido laxos en cuestión de que cuando suben a tribuna este se les ha permitido el hablar sobre alusivo al tema, pero también alguien, casi todos se salen de del tema un poco, pero adelante, diputado. Y por favor, abóquese lo más posible a su tema. (Voz) diputado Bricio, ya para que no les dé comezón, vamos a concluir. </w:t>
      </w:r>
    </w:p>
    <w:p w14:paraId="5B6ED85B" w14:textId="77777777" w:rsidR="00874A2A" w:rsidRPr="007A1C6A" w:rsidRDefault="00874A2A" w:rsidP="00AA17FE">
      <w:pPr>
        <w:jc w:val="both"/>
        <w:rPr>
          <w:rFonts w:ascii="Abadi" w:hAnsi="Abadi"/>
          <w:sz w:val="21"/>
          <w:szCs w:val="21"/>
        </w:rPr>
      </w:pPr>
    </w:p>
    <w:p w14:paraId="1C819F8D" w14:textId="466EF041" w:rsidR="00AA17FE" w:rsidRDefault="00AA17FE" w:rsidP="00AA17FE">
      <w:pPr>
        <w:jc w:val="both"/>
        <w:rPr>
          <w:rFonts w:ascii="Abadi" w:hAnsi="Abadi"/>
          <w:sz w:val="21"/>
          <w:szCs w:val="21"/>
        </w:rPr>
      </w:pPr>
      <w:r w:rsidRPr="007A1C6A">
        <w:rPr>
          <w:rFonts w:ascii="Abadi" w:hAnsi="Abadi"/>
          <w:sz w:val="21"/>
          <w:szCs w:val="21"/>
        </w:rPr>
        <w:t xml:space="preserve">- Finalmente sobran prácticamente dieciocho municipios por visitar, esperemos vernos ahí y que de viva voz escuchen las necesidades de los ayuntamientos, los municipios, porque es una realidad (Voz) diputada Presidenta, diputado Bricio. </w:t>
      </w:r>
    </w:p>
    <w:p w14:paraId="2903B53F" w14:textId="77777777" w:rsidR="00874A2A" w:rsidRPr="007A1C6A" w:rsidRDefault="00874A2A" w:rsidP="00AA17FE">
      <w:pPr>
        <w:jc w:val="both"/>
        <w:rPr>
          <w:rFonts w:ascii="Abadi" w:hAnsi="Abadi"/>
          <w:sz w:val="21"/>
          <w:szCs w:val="21"/>
        </w:rPr>
      </w:pPr>
    </w:p>
    <w:p w14:paraId="33D2AC74" w14:textId="47BCC238" w:rsidR="00AA17FE" w:rsidRPr="007A1C6A" w:rsidRDefault="00874A2A"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(Voz) diputado Bricio, es cuanto no se preocupe gracias.</w:t>
      </w:r>
    </w:p>
    <w:p w14:paraId="342EBBE1" w14:textId="77777777" w:rsidR="00AA17FE" w:rsidRPr="007A1C6A" w:rsidRDefault="00AA17FE" w:rsidP="00AA17FE">
      <w:pPr>
        <w:jc w:val="both"/>
        <w:rPr>
          <w:rFonts w:ascii="Abadi" w:hAnsi="Abadi"/>
          <w:sz w:val="21"/>
          <w:szCs w:val="21"/>
        </w:rPr>
      </w:pPr>
    </w:p>
    <w:p w14:paraId="7FEA6320" w14:textId="680F6F89" w:rsidR="00AA17FE" w:rsidRDefault="00AA17FE" w:rsidP="00AA17FE">
      <w:pPr>
        <w:jc w:val="both"/>
        <w:rPr>
          <w:rFonts w:ascii="Abadi" w:hAnsi="Abadi"/>
          <w:sz w:val="21"/>
          <w:szCs w:val="21"/>
        </w:rPr>
      </w:pPr>
      <w:r w:rsidRPr="007A1C6A">
        <w:rPr>
          <w:rFonts w:ascii="Abadi" w:hAnsi="Abadi"/>
          <w:sz w:val="21"/>
          <w:szCs w:val="21"/>
        </w:rPr>
        <w:t>-</w:t>
      </w:r>
      <w:r w:rsidR="00874A2A">
        <w:rPr>
          <w:rFonts w:ascii="Abadi" w:hAnsi="Abadi"/>
          <w:sz w:val="21"/>
          <w:szCs w:val="21"/>
        </w:rPr>
        <w:t xml:space="preserve"> </w:t>
      </w:r>
      <w:r w:rsidRPr="007A1C6A">
        <w:rPr>
          <w:rFonts w:ascii="Abadi" w:hAnsi="Abadi"/>
          <w:sz w:val="21"/>
          <w:szCs w:val="21"/>
        </w:rPr>
        <w:t xml:space="preserve">(Voz) diputada Presidenta, ¿Diputado David, para qué efecto? (Voz) diputado David, rectificación de hechos (Voz) presidenta ¿Qué hechos diputado? (Voz) diputado David, visita a los municipios de la compañera Alma, (Voz) diputada Presidenta. </w:t>
      </w:r>
    </w:p>
    <w:p w14:paraId="3AC24785" w14:textId="77777777" w:rsidR="00874A2A" w:rsidRPr="007A1C6A" w:rsidRDefault="00874A2A" w:rsidP="00AA17FE">
      <w:pPr>
        <w:jc w:val="both"/>
        <w:rPr>
          <w:rFonts w:ascii="Abadi" w:hAnsi="Abadi"/>
          <w:sz w:val="21"/>
          <w:szCs w:val="21"/>
        </w:rPr>
      </w:pPr>
    </w:p>
    <w:p w14:paraId="5DE9D243" w14:textId="76F91D89" w:rsidR="00AA17FE" w:rsidRPr="007A1C6A" w:rsidRDefault="00874A2A"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Adelante, diputado, tiene el uso de la voz hasta por 5 minutos.</w:t>
      </w:r>
    </w:p>
    <w:p w14:paraId="6E34361E" w14:textId="77777777" w:rsidR="00AA17FE" w:rsidRPr="007A1C6A" w:rsidRDefault="00AA17FE" w:rsidP="00AA17FE">
      <w:pPr>
        <w:jc w:val="both"/>
        <w:rPr>
          <w:rFonts w:ascii="Abadi" w:hAnsi="Abadi"/>
          <w:sz w:val="21"/>
          <w:szCs w:val="21"/>
        </w:rPr>
      </w:pPr>
    </w:p>
    <w:p w14:paraId="7DBA3E4B" w14:textId="77777777" w:rsidR="00AA17FE" w:rsidRPr="007A1C6A" w:rsidRDefault="00AA17FE" w:rsidP="00AA17FE">
      <w:pPr>
        <w:jc w:val="both"/>
        <w:rPr>
          <w:rFonts w:ascii="Abadi" w:hAnsi="Abadi"/>
          <w:b/>
          <w:bCs/>
          <w:sz w:val="21"/>
          <w:szCs w:val="21"/>
        </w:rPr>
      </w:pPr>
    </w:p>
    <w:p w14:paraId="6CF4B7D5" w14:textId="77777777" w:rsidR="00AA17FE" w:rsidRPr="007A1C6A" w:rsidRDefault="00AA17FE" w:rsidP="00AA17FE">
      <w:pPr>
        <w:jc w:val="both"/>
        <w:rPr>
          <w:rFonts w:ascii="Abadi" w:hAnsi="Abadi"/>
          <w:noProof/>
          <w:sz w:val="21"/>
          <w:szCs w:val="21"/>
        </w:rPr>
      </w:pPr>
      <w:r w:rsidRPr="007A1C6A">
        <w:rPr>
          <w:rFonts w:ascii="Abadi" w:hAnsi="Abadi"/>
          <w:b/>
          <w:bCs/>
          <w:sz w:val="21"/>
          <w:szCs w:val="21"/>
        </w:rPr>
        <w:t>(Sube a tribuna el diputado David Martinez Mendizabal, en rectificación de hechos, referente a la visita a los municipios de la diputada Alma Edwviges Alcaraz)</w:t>
      </w:r>
      <w:r w:rsidRPr="007A1C6A">
        <w:rPr>
          <w:rFonts w:ascii="Abadi" w:hAnsi="Abadi"/>
          <w:noProof/>
          <w:sz w:val="21"/>
          <w:szCs w:val="21"/>
        </w:rPr>
        <w:t xml:space="preserve"> </w:t>
      </w:r>
    </w:p>
    <w:p w14:paraId="033D5880" w14:textId="7F01AC54" w:rsidR="00AA17FE" w:rsidRPr="007A1C6A" w:rsidRDefault="00AA17FE" w:rsidP="00AA17FE">
      <w:pPr>
        <w:jc w:val="both"/>
        <w:rPr>
          <w:rFonts w:ascii="Abadi" w:hAnsi="Abadi"/>
          <w:b/>
          <w:bCs/>
          <w:sz w:val="21"/>
          <w:szCs w:val="21"/>
        </w:rPr>
      </w:pPr>
    </w:p>
    <w:p w14:paraId="6378CC30" w14:textId="32674B79" w:rsidR="00AA17FE" w:rsidRDefault="00874A2A" w:rsidP="00AA17FE">
      <w:pPr>
        <w:jc w:val="both"/>
        <w:rPr>
          <w:rFonts w:ascii="Abadi" w:hAnsi="Abadi"/>
          <w:b/>
          <w:bCs/>
          <w:sz w:val="21"/>
          <w:szCs w:val="21"/>
        </w:rPr>
      </w:pPr>
      <w:r w:rsidRPr="007A1C6A">
        <w:rPr>
          <w:rFonts w:ascii="Abadi" w:hAnsi="Abadi"/>
          <w:noProof/>
          <w:sz w:val="21"/>
          <w:szCs w:val="21"/>
        </w:rPr>
        <w:drawing>
          <wp:anchor distT="0" distB="0" distL="114300" distR="114300" simplePos="0" relativeHeight="251674624" behindDoc="1" locked="0" layoutInCell="1" allowOverlap="1" wp14:anchorId="78A1E93B" wp14:editId="58634BBC">
            <wp:simplePos x="0" y="0"/>
            <wp:positionH relativeFrom="column">
              <wp:posOffset>388620</wp:posOffset>
            </wp:positionH>
            <wp:positionV relativeFrom="paragraph">
              <wp:posOffset>147320</wp:posOffset>
            </wp:positionV>
            <wp:extent cx="1851660" cy="962025"/>
            <wp:effectExtent l="0" t="133350" r="0" b="752475"/>
            <wp:wrapTight wrapText="bothSides">
              <wp:wrapPolygon edited="0">
                <wp:start x="13556" y="-2994"/>
                <wp:lineTo x="0" y="-2139"/>
                <wp:lineTo x="444" y="38067"/>
                <wp:lineTo x="3778" y="38067"/>
                <wp:lineTo x="4000" y="37212"/>
                <wp:lineTo x="20000" y="32079"/>
                <wp:lineTo x="20222" y="4705"/>
                <wp:lineTo x="19778" y="-1711"/>
                <wp:lineTo x="19778" y="-2994"/>
                <wp:lineTo x="13556" y="-2994"/>
              </wp:wrapPolygon>
            </wp:wrapTight>
            <wp:docPr id="35" name="Imagen 35" descr="Imagen que contiene hombre, firmar, fot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magen que contiene hombre, firmar, foto, sostener&#10;&#10;Descripción generada automáticamente"/>
                    <pic:cNvPicPr/>
                  </pic:nvPicPr>
                  <pic:blipFill rotWithShape="1">
                    <a:blip r:embed="rId37" cstate="print">
                      <a:extLst>
                        <a:ext uri="{28A0092B-C50C-407E-A947-70E740481C1C}">
                          <a14:useLocalDpi xmlns:a14="http://schemas.microsoft.com/office/drawing/2010/main" val="0"/>
                        </a:ext>
                      </a:extLst>
                    </a:blip>
                    <a:srcRect b="7606"/>
                    <a:stretch/>
                  </pic:blipFill>
                  <pic:spPr bwMode="auto">
                    <a:xfrm>
                      <a:off x="0" y="0"/>
                      <a:ext cx="1851660" cy="96202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3D16A" w14:textId="6504AF52" w:rsidR="00874A2A" w:rsidRDefault="00874A2A" w:rsidP="00AA17FE">
      <w:pPr>
        <w:jc w:val="both"/>
        <w:rPr>
          <w:rFonts w:ascii="Abadi" w:hAnsi="Abadi"/>
          <w:b/>
          <w:bCs/>
          <w:sz w:val="21"/>
          <w:szCs w:val="21"/>
        </w:rPr>
      </w:pPr>
    </w:p>
    <w:p w14:paraId="3DB85AB3" w14:textId="020959CC" w:rsidR="00874A2A" w:rsidRDefault="00874A2A" w:rsidP="00AA17FE">
      <w:pPr>
        <w:jc w:val="both"/>
        <w:rPr>
          <w:rFonts w:ascii="Abadi" w:hAnsi="Abadi"/>
          <w:b/>
          <w:bCs/>
          <w:sz w:val="21"/>
          <w:szCs w:val="21"/>
        </w:rPr>
      </w:pPr>
    </w:p>
    <w:p w14:paraId="10D1ED86" w14:textId="29BA6FDA" w:rsidR="00874A2A" w:rsidRDefault="00874A2A" w:rsidP="00AA17FE">
      <w:pPr>
        <w:jc w:val="both"/>
        <w:rPr>
          <w:rFonts w:ascii="Abadi" w:hAnsi="Abadi"/>
          <w:b/>
          <w:bCs/>
          <w:sz w:val="21"/>
          <w:szCs w:val="21"/>
        </w:rPr>
      </w:pPr>
    </w:p>
    <w:p w14:paraId="590CDAF8" w14:textId="23F43166" w:rsidR="00874A2A" w:rsidRDefault="00874A2A" w:rsidP="00AA17FE">
      <w:pPr>
        <w:jc w:val="both"/>
        <w:rPr>
          <w:rFonts w:ascii="Abadi" w:hAnsi="Abadi"/>
          <w:b/>
          <w:bCs/>
          <w:sz w:val="21"/>
          <w:szCs w:val="21"/>
        </w:rPr>
      </w:pPr>
    </w:p>
    <w:p w14:paraId="75EE0DF8" w14:textId="3FC71DA6" w:rsidR="00874A2A" w:rsidRDefault="00874A2A" w:rsidP="00AA17FE">
      <w:pPr>
        <w:jc w:val="both"/>
        <w:rPr>
          <w:rFonts w:ascii="Abadi" w:hAnsi="Abadi"/>
          <w:b/>
          <w:bCs/>
          <w:sz w:val="21"/>
          <w:szCs w:val="21"/>
        </w:rPr>
      </w:pPr>
    </w:p>
    <w:p w14:paraId="54C94817" w14:textId="773F8941" w:rsidR="00874A2A" w:rsidRDefault="00874A2A" w:rsidP="00AA17FE">
      <w:pPr>
        <w:jc w:val="both"/>
        <w:rPr>
          <w:rFonts w:ascii="Abadi" w:hAnsi="Abadi"/>
          <w:b/>
          <w:bCs/>
          <w:sz w:val="21"/>
          <w:szCs w:val="21"/>
        </w:rPr>
      </w:pPr>
    </w:p>
    <w:p w14:paraId="5B818A15" w14:textId="139B310E" w:rsidR="00874A2A" w:rsidRDefault="00874A2A" w:rsidP="00AA17FE">
      <w:pPr>
        <w:jc w:val="both"/>
        <w:rPr>
          <w:rFonts w:ascii="Abadi" w:hAnsi="Abadi"/>
          <w:b/>
          <w:bCs/>
          <w:sz w:val="21"/>
          <w:szCs w:val="21"/>
        </w:rPr>
      </w:pPr>
    </w:p>
    <w:p w14:paraId="43B5AF5E" w14:textId="2C15755A" w:rsidR="00874A2A" w:rsidRDefault="00874A2A" w:rsidP="00AA17FE">
      <w:pPr>
        <w:jc w:val="both"/>
        <w:rPr>
          <w:rFonts w:ascii="Abadi" w:hAnsi="Abadi"/>
          <w:b/>
          <w:bCs/>
          <w:sz w:val="21"/>
          <w:szCs w:val="21"/>
        </w:rPr>
      </w:pPr>
    </w:p>
    <w:p w14:paraId="4E43CD1E" w14:textId="1A20E66C" w:rsidR="00874A2A" w:rsidRDefault="00874A2A" w:rsidP="00AA17FE">
      <w:pPr>
        <w:jc w:val="both"/>
        <w:rPr>
          <w:rFonts w:ascii="Abadi" w:hAnsi="Abadi"/>
          <w:b/>
          <w:bCs/>
          <w:sz w:val="21"/>
          <w:szCs w:val="21"/>
        </w:rPr>
      </w:pPr>
    </w:p>
    <w:p w14:paraId="7B346DA3" w14:textId="255EED18" w:rsidR="00874A2A" w:rsidRDefault="00874A2A" w:rsidP="00AA17FE">
      <w:pPr>
        <w:jc w:val="both"/>
        <w:rPr>
          <w:rFonts w:ascii="Abadi" w:hAnsi="Abadi"/>
          <w:b/>
          <w:bCs/>
          <w:sz w:val="21"/>
          <w:szCs w:val="21"/>
        </w:rPr>
      </w:pPr>
    </w:p>
    <w:p w14:paraId="45BA7454" w14:textId="1D0DA6B7" w:rsidR="00874A2A" w:rsidRDefault="00874A2A" w:rsidP="00AA17FE">
      <w:pPr>
        <w:jc w:val="both"/>
        <w:rPr>
          <w:rFonts w:ascii="Abadi" w:hAnsi="Abadi"/>
          <w:b/>
          <w:bCs/>
          <w:sz w:val="21"/>
          <w:szCs w:val="21"/>
        </w:rPr>
      </w:pPr>
    </w:p>
    <w:p w14:paraId="2FC1790C" w14:textId="2C4D8E89" w:rsidR="00874A2A" w:rsidRDefault="00874A2A" w:rsidP="00AA17FE">
      <w:pPr>
        <w:jc w:val="both"/>
        <w:rPr>
          <w:rFonts w:ascii="Abadi" w:hAnsi="Abadi"/>
          <w:b/>
          <w:bCs/>
          <w:sz w:val="21"/>
          <w:szCs w:val="21"/>
        </w:rPr>
      </w:pPr>
    </w:p>
    <w:p w14:paraId="3661FB0E" w14:textId="77777777" w:rsidR="00874A2A" w:rsidRDefault="00874A2A" w:rsidP="00AA17FE">
      <w:pPr>
        <w:jc w:val="both"/>
        <w:rPr>
          <w:rFonts w:ascii="Abadi" w:hAnsi="Abadi"/>
          <w:b/>
          <w:bCs/>
          <w:sz w:val="21"/>
          <w:szCs w:val="21"/>
        </w:rPr>
      </w:pPr>
    </w:p>
    <w:p w14:paraId="0A27C9E8" w14:textId="3E2EBB9E" w:rsidR="007525F6" w:rsidRDefault="007525F6" w:rsidP="00AA17FE">
      <w:pPr>
        <w:jc w:val="both"/>
        <w:rPr>
          <w:rFonts w:ascii="Abadi" w:hAnsi="Abadi"/>
          <w:b/>
          <w:bCs/>
          <w:sz w:val="21"/>
          <w:szCs w:val="21"/>
        </w:rPr>
      </w:pPr>
      <w:r>
        <w:rPr>
          <w:rFonts w:ascii="Abadi" w:hAnsi="Abadi"/>
          <w:b/>
          <w:bCs/>
          <w:sz w:val="21"/>
          <w:szCs w:val="21"/>
        </w:rPr>
        <w:t>- Diputado David Martínez Mendizabal –</w:t>
      </w:r>
    </w:p>
    <w:p w14:paraId="78CAC596" w14:textId="77777777" w:rsidR="007525F6" w:rsidRDefault="007525F6" w:rsidP="00AA17FE">
      <w:pPr>
        <w:jc w:val="both"/>
        <w:rPr>
          <w:rFonts w:ascii="Abadi" w:hAnsi="Abadi"/>
          <w:sz w:val="21"/>
          <w:szCs w:val="21"/>
        </w:rPr>
      </w:pPr>
    </w:p>
    <w:p w14:paraId="698F3F48" w14:textId="2CF0A35E" w:rsidR="00AA17FE" w:rsidRPr="007A1C6A" w:rsidRDefault="007525F6" w:rsidP="00AA17FE">
      <w:pPr>
        <w:jc w:val="both"/>
        <w:rPr>
          <w:rFonts w:ascii="Abadi" w:hAnsi="Abadi"/>
          <w:sz w:val="21"/>
          <w:szCs w:val="21"/>
        </w:rPr>
      </w:pPr>
      <w:r>
        <w:rPr>
          <w:rFonts w:ascii="Abadi" w:hAnsi="Abadi"/>
          <w:sz w:val="21"/>
          <w:szCs w:val="21"/>
        </w:rPr>
        <w:t>- B</w:t>
      </w:r>
      <w:r w:rsidR="00AA17FE" w:rsidRPr="007A1C6A">
        <w:rPr>
          <w:rFonts w:ascii="Abadi" w:hAnsi="Abadi"/>
          <w:sz w:val="21"/>
          <w:szCs w:val="21"/>
        </w:rPr>
        <w:t xml:space="preserve">uenas tardes, austeridad, ¡eh! es el tema fundamental aquí desde la </w:t>
      </w:r>
      <w:r w:rsidRPr="007A1C6A">
        <w:rPr>
          <w:rFonts w:ascii="Abadi" w:hAnsi="Abadi"/>
          <w:sz w:val="21"/>
          <w:szCs w:val="21"/>
        </w:rPr>
        <w:t>primera sesión</w:t>
      </w:r>
      <w:r w:rsidR="00AA17FE" w:rsidRPr="007A1C6A">
        <w:rPr>
          <w:rFonts w:ascii="Abadi" w:hAnsi="Abadi"/>
          <w:sz w:val="21"/>
          <w:szCs w:val="21"/>
        </w:rPr>
        <w:t xml:space="preserve"> propusimos bajar los salarios de nosotros, de nosotras como diputados, como disputadas. Propusimos quitar a cargo de ese dinero que tanto le preocupa y que viene de la compra de los impuestos, de los servicios ¿no? Propusimos quitarnos los seguros de vida, propusimos que no hubiera autos disfrutado a los Grupos Parlamentarios (Voz) diputada Susana, Presidenta. (Voz) diputada Presidenta, diputado, David (Voz) diputado David, les voy a ahorrar el tiempo, no acepto ninguna pregunta (Voz) diputada Susana ¡no!, ¡no! es pregunta (Voz) diputada Presidenta, diputado David, ¿me permite tantito por favor? ¿diputada Susana, para qué efecto? </w:t>
      </w:r>
    </w:p>
    <w:p w14:paraId="377BA079" w14:textId="48F4CCFB" w:rsidR="00AA17FE" w:rsidRDefault="00AA17FE" w:rsidP="00AA17FE">
      <w:pPr>
        <w:jc w:val="both"/>
        <w:rPr>
          <w:rFonts w:ascii="Abadi" w:hAnsi="Abadi"/>
          <w:sz w:val="21"/>
          <w:szCs w:val="21"/>
        </w:rPr>
      </w:pPr>
      <w:r w:rsidRPr="007A1C6A">
        <w:rPr>
          <w:rFonts w:ascii="Abadi" w:hAnsi="Abadi"/>
          <w:sz w:val="21"/>
          <w:szCs w:val="21"/>
        </w:rPr>
        <w:t xml:space="preserve">(Voz) diputada Susana, es que es moción de orden, porque dijo que iba a hablar acerca de la diputada Alma y las visitas y está hablando de su informe de iniciativas que él ha presentado supuestamente (Voz) diputada Presidenta, diputada le vuelvo a reiterar que a todos se les ha permitido el uso de la voz y el diputado está hablando sobre Austeridad y precisamente está haciendo alusión a ello con anterioridad, adelante diputado. </w:t>
      </w:r>
    </w:p>
    <w:p w14:paraId="42CB6E74" w14:textId="77777777" w:rsidR="007525F6" w:rsidRPr="007A1C6A" w:rsidRDefault="007525F6" w:rsidP="00AA17FE">
      <w:pPr>
        <w:jc w:val="both"/>
        <w:rPr>
          <w:rFonts w:ascii="Abadi" w:hAnsi="Abadi"/>
          <w:sz w:val="21"/>
          <w:szCs w:val="21"/>
        </w:rPr>
      </w:pPr>
    </w:p>
    <w:p w14:paraId="1CC80A57" w14:textId="52931455" w:rsidR="00AA17FE" w:rsidRDefault="007525F6"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(Voz) diputado David. Y le corrijo ¡eh!, no las presente yo ¡eh!, no las presente yo, le corrijo. Entonces se han hecho bastantes propuestas a este Congreso para de veras ahorrar dinero y ser austeros. Sin embargo, el concepto de austeridad en el Partido Acción Nacional y en sus aliados es distinto al concepto de austeridad que tiene el Gobierno Federal y el Gobierno de Morena. Y el argumento de que la compañera no ha ido a las visitas que, bueno que le están haciendo, </w:t>
      </w:r>
      <w:r w:rsidR="005E2151">
        <w:rPr>
          <w:rFonts w:ascii="Abadi" w:hAnsi="Abadi"/>
          <w:sz w:val="21"/>
          <w:szCs w:val="21"/>
        </w:rPr>
        <w:t>¡</w:t>
      </w:r>
      <w:r w:rsidR="00AA17FE" w:rsidRPr="007A1C6A">
        <w:rPr>
          <w:rFonts w:ascii="Abadi" w:hAnsi="Abadi"/>
          <w:sz w:val="21"/>
          <w:szCs w:val="21"/>
        </w:rPr>
        <w:t>eh</w:t>
      </w:r>
      <w:r w:rsidR="005E2151">
        <w:rPr>
          <w:rFonts w:ascii="Abadi" w:hAnsi="Abadi"/>
          <w:sz w:val="21"/>
          <w:szCs w:val="21"/>
        </w:rPr>
        <w:t>!</w:t>
      </w:r>
      <w:r w:rsidR="00AA17FE" w:rsidRPr="007A1C6A">
        <w:rPr>
          <w:rFonts w:ascii="Abadi" w:hAnsi="Abadi"/>
          <w:sz w:val="21"/>
          <w:szCs w:val="21"/>
        </w:rPr>
        <w:t xml:space="preserve"> en serio yo, yo creo que es un asunto muy importante, el argumento que están haciendo o diciendo que la compañera no ha ido. Me parece que es infantil, porque el argumento de fondo es lo que la compañera ha planteado aquí, que tenemos tres funciones fundamentales, como diputados y diputadas. Sí, va o viene a las visitas que ustedes hacen, eso no es ningún argumento para descalificar la propuesta que la compañera ha presentado y han caído en el argumento ad hominem.</w:t>
      </w:r>
    </w:p>
    <w:p w14:paraId="254F8253" w14:textId="77777777" w:rsidR="007525F6" w:rsidRPr="007A1C6A" w:rsidRDefault="007525F6" w:rsidP="00AA17FE">
      <w:pPr>
        <w:jc w:val="both"/>
        <w:rPr>
          <w:rFonts w:ascii="Abadi" w:hAnsi="Abadi"/>
          <w:sz w:val="21"/>
          <w:szCs w:val="21"/>
        </w:rPr>
      </w:pPr>
    </w:p>
    <w:p w14:paraId="414170EA" w14:textId="392F6EF7" w:rsidR="00AA17FE" w:rsidRDefault="00AA17FE" w:rsidP="00AA17FE">
      <w:pPr>
        <w:jc w:val="both"/>
        <w:rPr>
          <w:rFonts w:ascii="Abadi" w:hAnsi="Abadi"/>
          <w:sz w:val="21"/>
          <w:szCs w:val="21"/>
        </w:rPr>
      </w:pPr>
      <w:r w:rsidRPr="007A1C6A">
        <w:rPr>
          <w:rFonts w:ascii="Abadi" w:hAnsi="Abadi"/>
          <w:sz w:val="21"/>
          <w:szCs w:val="21"/>
        </w:rPr>
        <w:t>- Que quiere decir, cuando el fundamento y el argumento está agotado, ataque a la persona. Y eso no está a la altura de este Congreso. Entonces le solicito revisar su concepto de austeridad y después vienen a darnos lecciones. Gracias.</w:t>
      </w:r>
    </w:p>
    <w:p w14:paraId="6BC0BE4A" w14:textId="77777777" w:rsidR="007525F6" w:rsidRPr="007A1C6A" w:rsidRDefault="007525F6" w:rsidP="00AA17FE">
      <w:pPr>
        <w:jc w:val="both"/>
        <w:rPr>
          <w:rFonts w:ascii="Abadi" w:hAnsi="Abadi"/>
          <w:sz w:val="21"/>
          <w:szCs w:val="21"/>
        </w:rPr>
      </w:pPr>
    </w:p>
    <w:p w14:paraId="06959B86" w14:textId="5C50FE70" w:rsidR="00AA17FE" w:rsidRDefault="00AA17FE" w:rsidP="00AA17FE">
      <w:pPr>
        <w:jc w:val="both"/>
        <w:rPr>
          <w:rFonts w:ascii="Abadi" w:hAnsi="Abadi"/>
          <w:sz w:val="21"/>
          <w:szCs w:val="21"/>
        </w:rPr>
      </w:pPr>
      <w:r w:rsidRPr="007A1C6A">
        <w:rPr>
          <w:rFonts w:ascii="Abadi" w:hAnsi="Abadi"/>
          <w:sz w:val="21"/>
          <w:szCs w:val="21"/>
        </w:rPr>
        <w:t xml:space="preserve">- (Voz) diputada Presidenta muchas gracias, diputado. ¿Diputado Armando Rangel? ¿para qué efecto? (Voz) diputado Armando Rangel, quisiera clarificar los hechos respecto al concepto de austeridad del diputado (Voz) diputada Presidenta ¿Diputado Alejandro Arias? ¿para qué efecto? (Voz) diputado Alejandro Arias, Presidenta para que preguntar si está suficientemente discutido el tema (Voz) diputada Presidenta, tenemos que agotar a los que se van inscribiendo diputado. Entonces, ya, una vez que concluyan, entonces ya se puede pedir. Si ya está agotado el tema y es momento de que pase el diputado Rangel. </w:t>
      </w:r>
    </w:p>
    <w:p w14:paraId="2A3DFBB6" w14:textId="77777777" w:rsidR="007525F6" w:rsidRPr="007A1C6A" w:rsidRDefault="007525F6" w:rsidP="00AA17FE">
      <w:pPr>
        <w:jc w:val="both"/>
        <w:rPr>
          <w:rFonts w:ascii="Abadi" w:hAnsi="Abadi"/>
          <w:sz w:val="21"/>
          <w:szCs w:val="21"/>
        </w:rPr>
      </w:pPr>
    </w:p>
    <w:p w14:paraId="347C2757" w14:textId="1B3EADE2" w:rsidR="00AA17FE" w:rsidRPr="007A1C6A" w:rsidRDefault="007525F6"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Adelante, Diputado, tiene la voz hasta por 5 minutos.</w:t>
      </w:r>
    </w:p>
    <w:p w14:paraId="4D9E92F5" w14:textId="77777777" w:rsidR="007525F6" w:rsidRDefault="007525F6" w:rsidP="007525F6">
      <w:pPr>
        <w:jc w:val="both"/>
        <w:rPr>
          <w:rFonts w:ascii="Abadi" w:hAnsi="Abadi"/>
          <w:b/>
          <w:bCs/>
          <w:sz w:val="21"/>
          <w:szCs w:val="21"/>
        </w:rPr>
      </w:pPr>
    </w:p>
    <w:p w14:paraId="4B06C90D" w14:textId="77777777" w:rsidR="007525F6" w:rsidRDefault="007525F6" w:rsidP="007525F6">
      <w:pPr>
        <w:jc w:val="both"/>
        <w:rPr>
          <w:rFonts w:ascii="Abadi" w:hAnsi="Abadi"/>
          <w:b/>
          <w:bCs/>
          <w:sz w:val="21"/>
          <w:szCs w:val="21"/>
        </w:rPr>
      </w:pPr>
    </w:p>
    <w:p w14:paraId="71C0CFD5" w14:textId="5778A961" w:rsidR="007525F6" w:rsidRPr="007A1C6A" w:rsidRDefault="007525F6" w:rsidP="007525F6">
      <w:pPr>
        <w:jc w:val="both"/>
        <w:rPr>
          <w:rFonts w:ascii="Abadi" w:hAnsi="Abadi"/>
          <w:b/>
          <w:bCs/>
          <w:sz w:val="21"/>
          <w:szCs w:val="21"/>
        </w:rPr>
      </w:pPr>
      <w:r w:rsidRPr="007A1C6A">
        <w:rPr>
          <w:rFonts w:ascii="Abadi" w:hAnsi="Abadi"/>
          <w:b/>
          <w:bCs/>
          <w:sz w:val="21"/>
          <w:szCs w:val="21"/>
        </w:rPr>
        <w:t>(Sube a tribuna, el diputado Armando Rangel Hernández, para clarificar los hechos respecto al concepto de austeridad del diputado que le antecedió)</w:t>
      </w:r>
    </w:p>
    <w:p w14:paraId="19FE0F45" w14:textId="130B2803" w:rsidR="00AA17FE" w:rsidRPr="007A1C6A" w:rsidRDefault="007525F6" w:rsidP="00AA17FE">
      <w:pPr>
        <w:jc w:val="both"/>
        <w:rPr>
          <w:rFonts w:ascii="Abadi" w:hAnsi="Abadi"/>
          <w:sz w:val="21"/>
          <w:szCs w:val="21"/>
        </w:rPr>
      </w:pPr>
      <w:r w:rsidRPr="007A1C6A">
        <w:rPr>
          <w:rFonts w:ascii="Abadi" w:hAnsi="Abadi"/>
          <w:noProof/>
          <w:sz w:val="21"/>
          <w:szCs w:val="21"/>
        </w:rPr>
        <w:drawing>
          <wp:anchor distT="0" distB="0" distL="114300" distR="114300" simplePos="0" relativeHeight="251675648" behindDoc="1" locked="0" layoutInCell="1" allowOverlap="1" wp14:anchorId="4714EBAF" wp14:editId="7B2AB0BB">
            <wp:simplePos x="0" y="0"/>
            <wp:positionH relativeFrom="column">
              <wp:posOffset>240600</wp:posOffset>
            </wp:positionH>
            <wp:positionV relativeFrom="paragraph">
              <wp:posOffset>259328</wp:posOffset>
            </wp:positionV>
            <wp:extent cx="2131017" cy="1202454"/>
            <wp:effectExtent l="19050" t="133350" r="0" b="893445"/>
            <wp:wrapTight wrapText="bothSides">
              <wp:wrapPolygon edited="0">
                <wp:start x="193" y="-2396"/>
                <wp:lineTo x="-193" y="-685"/>
                <wp:lineTo x="386" y="37312"/>
                <wp:lineTo x="3477" y="37312"/>
                <wp:lineTo x="4056" y="36628"/>
                <wp:lineTo x="20087" y="31493"/>
                <wp:lineTo x="20280" y="-1369"/>
                <wp:lineTo x="19894" y="-1712"/>
                <wp:lineTo x="15452" y="-2396"/>
                <wp:lineTo x="193" y="-2396"/>
              </wp:wrapPolygon>
            </wp:wrapTight>
            <wp:docPr id="36" name="Imagen 3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Sitio web&#10;&#10;Descripción generada automáticamente"/>
                    <pic:cNvPicPr/>
                  </pic:nvPicPr>
                  <pic:blipFill rotWithShape="1">
                    <a:blip r:embed="rId38" cstate="print">
                      <a:extLst>
                        <a:ext uri="{28A0092B-C50C-407E-A947-70E740481C1C}">
                          <a14:useLocalDpi xmlns:a14="http://schemas.microsoft.com/office/drawing/2010/main" val="0"/>
                        </a:ext>
                      </a:extLst>
                    </a:blip>
                    <a:srcRect l="12049" t="35922" r="33809" b="9741"/>
                    <a:stretch/>
                  </pic:blipFill>
                  <pic:spPr bwMode="auto">
                    <a:xfrm>
                      <a:off x="0" y="0"/>
                      <a:ext cx="2131017" cy="1202454"/>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429C9BAA" w14:textId="1108A0BD" w:rsidR="00AA17FE" w:rsidRPr="007A1C6A" w:rsidRDefault="00AA17FE" w:rsidP="00AA17FE">
      <w:pPr>
        <w:jc w:val="both"/>
        <w:rPr>
          <w:rFonts w:ascii="Abadi" w:hAnsi="Abadi"/>
          <w:sz w:val="21"/>
          <w:szCs w:val="21"/>
        </w:rPr>
      </w:pPr>
    </w:p>
    <w:p w14:paraId="6CBAAC9E" w14:textId="77777777" w:rsidR="007525F6" w:rsidRDefault="007525F6" w:rsidP="00AA17FE">
      <w:pPr>
        <w:jc w:val="both"/>
        <w:rPr>
          <w:rFonts w:ascii="Abadi" w:hAnsi="Abadi"/>
          <w:b/>
          <w:bCs/>
          <w:sz w:val="21"/>
          <w:szCs w:val="21"/>
        </w:rPr>
      </w:pPr>
    </w:p>
    <w:p w14:paraId="10B738D5" w14:textId="77777777" w:rsidR="00AA17FE" w:rsidRPr="007A1C6A" w:rsidRDefault="00AA17FE" w:rsidP="00AA17FE">
      <w:pPr>
        <w:jc w:val="both"/>
        <w:rPr>
          <w:rFonts w:ascii="Abadi" w:hAnsi="Abadi"/>
          <w:sz w:val="21"/>
          <w:szCs w:val="21"/>
        </w:rPr>
      </w:pPr>
    </w:p>
    <w:p w14:paraId="600BEC83" w14:textId="0C5B454F" w:rsidR="00AA17FE" w:rsidRDefault="00AA17FE" w:rsidP="00AA17FE">
      <w:pPr>
        <w:jc w:val="both"/>
        <w:rPr>
          <w:rFonts w:ascii="Abadi" w:hAnsi="Abadi"/>
          <w:sz w:val="21"/>
          <w:szCs w:val="21"/>
        </w:rPr>
      </w:pPr>
      <w:r w:rsidRPr="007A1C6A">
        <w:rPr>
          <w:rFonts w:ascii="Abadi" w:hAnsi="Abadi"/>
          <w:sz w:val="21"/>
          <w:szCs w:val="21"/>
        </w:rPr>
        <w:t xml:space="preserve">- (Voz) diputado Armando Rangel, muchísimas gracias diputada Presidente, saludo a la Mesa Directiva, las compañeras y los compañeros diputados y a los medios de comunicación, así como los ciudadanos que nos ven a través de los mismos. </w:t>
      </w:r>
    </w:p>
    <w:p w14:paraId="247E9435" w14:textId="77777777" w:rsidR="007525F6" w:rsidRPr="007A1C6A" w:rsidRDefault="007525F6" w:rsidP="00AA17FE">
      <w:pPr>
        <w:jc w:val="both"/>
        <w:rPr>
          <w:rFonts w:ascii="Abadi" w:hAnsi="Abadi"/>
          <w:sz w:val="21"/>
          <w:szCs w:val="21"/>
        </w:rPr>
      </w:pPr>
    </w:p>
    <w:p w14:paraId="447D5314" w14:textId="6F7FECB3" w:rsidR="00AA17FE" w:rsidRDefault="00AA17FE" w:rsidP="00AA17FE">
      <w:pPr>
        <w:jc w:val="both"/>
        <w:rPr>
          <w:rFonts w:ascii="Abadi" w:hAnsi="Abadi"/>
          <w:sz w:val="21"/>
          <w:szCs w:val="21"/>
        </w:rPr>
      </w:pPr>
      <w:r w:rsidRPr="007A1C6A">
        <w:rPr>
          <w:rFonts w:ascii="Abadi" w:hAnsi="Abadi"/>
          <w:sz w:val="21"/>
          <w:szCs w:val="21"/>
        </w:rPr>
        <w:t xml:space="preserve">- Cuando hablamos de austeridad creo que hay dos maneras de atenderla. La primera es </w:t>
      </w:r>
      <w:r w:rsidR="007525F6" w:rsidRPr="007A1C6A">
        <w:rPr>
          <w:rFonts w:ascii="Abadi" w:hAnsi="Abadi"/>
          <w:sz w:val="21"/>
          <w:szCs w:val="21"/>
        </w:rPr>
        <w:t>exigiéndola</w:t>
      </w:r>
      <w:r w:rsidRPr="007A1C6A">
        <w:rPr>
          <w:rFonts w:ascii="Abadi" w:hAnsi="Abadi"/>
          <w:sz w:val="21"/>
          <w:szCs w:val="21"/>
        </w:rPr>
        <w:t xml:space="preserve"> d</w:t>
      </w:r>
      <w:r w:rsidR="007525F6">
        <w:rPr>
          <w:rFonts w:ascii="Abadi" w:hAnsi="Abadi"/>
          <w:sz w:val="21"/>
          <w:szCs w:val="21"/>
        </w:rPr>
        <w:t>e</w:t>
      </w:r>
      <w:r w:rsidRPr="007A1C6A">
        <w:rPr>
          <w:rFonts w:ascii="Abadi" w:hAnsi="Abadi"/>
          <w:sz w:val="21"/>
          <w:szCs w:val="21"/>
        </w:rPr>
        <w:t xml:space="preserve"> frente y la otra es demostrando también cómo se ejerce.</w:t>
      </w:r>
    </w:p>
    <w:p w14:paraId="19A8777B" w14:textId="77777777" w:rsidR="005E2151" w:rsidRPr="007A1C6A" w:rsidRDefault="005E2151" w:rsidP="00AA17FE">
      <w:pPr>
        <w:jc w:val="both"/>
        <w:rPr>
          <w:rFonts w:ascii="Abadi" w:hAnsi="Abadi"/>
          <w:sz w:val="21"/>
          <w:szCs w:val="21"/>
        </w:rPr>
      </w:pPr>
    </w:p>
    <w:p w14:paraId="16E8F8EA" w14:textId="407DD887" w:rsidR="00AA17FE" w:rsidRDefault="00AA17FE" w:rsidP="00AA17FE">
      <w:pPr>
        <w:jc w:val="both"/>
        <w:rPr>
          <w:rFonts w:ascii="Abadi" w:hAnsi="Abadi"/>
          <w:sz w:val="21"/>
          <w:szCs w:val="21"/>
        </w:rPr>
      </w:pPr>
      <w:r w:rsidRPr="007A1C6A">
        <w:rPr>
          <w:rFonts w:ascii="Abadi" w:hAnsi="Abadi"/>
          <w:sz w:val="21"/>
          <w:szCs w:val="21"/>
        </w:rPr>
        <w:t xml:space="preserve">-  Y creo que de entrada, pues si podemos quejarnos de que no se recorta donde quisiéramos que se recorte, que no se deja de gastar en donde quisiéramos que no se gaste. </w:t>
      </w:r>
    </w:p>
    <w:p w14:paraId="36E88996" w14:textId="77777777" w:rsidR="007525F6" w:rsidRPr="007A1C6A" w:rsidRDefault="007525F6" w:rsidP="00AA17FE">
      <w:pPr>
        <w:jc w:val="both"/>
        <w:rPr>
          <w:rFonts w:ascii="Abadi" w:hAnsi="Abadi"/>
          <w:sz w:val="21"/>
          <w:szCs w:val="21"/>
        </w:rPr>
      </w:pPr>
    </w:p>
    <w:p w14:paraId="02A1E9E6" w14:textId="1F0CA369" w:rsidR="00AA17FE" w:rsidRDefault="00AA17FE" w:rsidP="00AA17FE">
      <w:pPr>
        <w:jc w:val="both"/>
        <w:rPr>
          <w:rFonts w:ascii="Abadi" w:hAnsi="Abadi"/>
          <w:sz w:val="21"/>
          <w:szCs w:val="21"/>
        </w:rPr>
      </w:pPr>
      <w:r w:rsidRPr="007A1C6A">
        <w:rPr>
          <w:rFonts w:ascii="Abadi" w:hAnsi="Abadi"/>
          <w:sz w:val="21"/>
          <w:szCs w:val="21"/>
        </w:rPr>
        <w:t xml:space="preserve">- Pero también yo creo que hay que poner el ejemplo propio, hace tres años, cuando se tocaba este mismo tema, yo decía que el principal fundamento para quitar la austeridad es acreditar que estamos haciendo nosotros abajo. Es lamentable cobrar por un sueldo que no devengamos, no se trata de quien va haciendo va la juntas, estamos hablando de la Secretaria de la Comisión de Hacienda, que hoy viene a pretender que se exhorte a los municipios para quedar un trabajo, que la comisión de la cual es de secretaria está siendo prácticamente se hace tres meses. </w:t>
      </w:r>
    </w:p>
    <w:p w14:paraId="42E5AB0B" w14:textId="77777777" w:rsidR="005E2151" w:rsidRPr="007A1C6A" w:rsidRDefault="005E2151" w:rsidP="00AA17FE">
      <w:pPr>
        <w:jc w:val="both"/>
        <w:rPr>
          <w:rFonts w:ascii="Abadi" w:hAnsi="Abadi"/>
          <w:sz w:val="21"/>
          <w:szCs w:val="21"/>
        </w:rPr>
      </w:pPr>
    </w:p>
    <w:p w14:paraId="1896DB92" w14:textId="11F31178" w:rsidR="00AA17FE" w:rsidRDefault="00AA17FE" w:rsidP="00AA17FE">
      <w:pPr>
        <w:jc w:val="both"/>
        <w:rPr>
          <w:rFonts w:ascii="Abadi" w:hAnsi="Abadi"/>
          <w:sz w:val="21"/>
          <w:szCs w:val="21"/>
        </w:rPr>
      </w:pPr>
      <w:r w:rsidRPr="007A1C6A">
        <w:rPr>
          <w:rFonts w:ascii="Abadi" w:hAnsi="Abadi"/>
          <w:sz w:val="21"/>
          <w:szCs w:val="21"/>
        </w:rPr>
        <w:t>- Se trata realmente de esos diputados, David, y se trata también de conocer siquiera los fundamentos las leyes que rigen nuestro trabajo diputado David, no se vale de verdad aquí, venir a decir una cosa que no tiene sustento en la ley diputado. Yo creo que, si cobramos, dediquémosle siquiera el tiempo suficiente para conocer los reglamentos, las leyes que rigen nuestra labor y por ahí podemos empezar realmente empezar a ser austeros, y a ser congruentes y a no malgastar los recursos de las ciudades después exijamos todo lo que quieran pero empecemos con el ejemplo.</w:t>
      </w:r>
    </w:p>
    <w:p w14:paraId="34F1D122" w14:textId="77777777" w:rsidR="007525F6" w:rsidRPr="007A1C6A" w:rsidRDefault="007525F6" w:rsidP="00AA17FE">
      <w:pPr>
        <w:jc w:val="both"/>
        <w:rPr>
          <w:rFonts w:ascii="Abadi" w:hAnsi="Abadi"/>
          <w:sz w:val="21"/>
          <w:szCs w:val="21"/>
        </w:rPr>
      </w:pPr>
    </w:p>
    <w:p w14:paraId="6E7240A9" w14:textId="6E04C6E2" w:rsidR="00AA17FE" w:rsidRDefault="00AA17FE" w:rsidP="00AA17FE">
      <w:pPr>
        <w:jc w:val="both"/>
        <w:rPr>
          <w:rFonts w:ascii="Abadi" w:hAnsi="Abadi"/>
          <w:sz w:val="21"/>
          <w:szCs w:val="21"/>
        </w:rPr>
      </w:pPr>
      <w:r w:rsidRPr="007A1C6A">
        <w:rPr>
          <w:rFonts w:ascii="Abadi" w:hAnsi="Abadi"/>
          <w:sz w:val="21"/>
          <w:szCs w:val="21"/>
        </w:rPr>
        <w:t>- (Voz) diputada Presidenta, ¿Diputado Rangel, me permite tantito? ¿por favor? (Voz) diputado Armando, Sí diputada, (Voz) diputada Presidenta, diputada Alma ¿para qué efecto? (Voz) diputada Alma, rectificación de hechos, pero ya que termine (Voz) diputada Presidenta, ¿Qué hechos diputada? (Voz) diputada Alma, ¡no</w:t>
      </w:r>
      <w:r w:rsidR="005E2151">
        <w:rPr>
          <w:rFonts w:ascii="Abadi" w:hAnsi="Abadi"/>
          <w:sz w:val="21"/>
          <w:szCs w:val="21"/>
        </w:rPr>
        <w:t>!</w:t>
      </w:r>
      <w:r w:rsidRPr="007A1C6A">
        <w:rPr>
          <w:rFonts w:ascii="Abadi" w:hAnsi="Abadi"/>
          <w:sz w:val="21"/>
          <w:szCs w:val="21"/>
        </w:rPr>
        <w:t xml:space="preserve"> </w:t>
      </w:r>
      <w:r w:rsidR="005E2151">
        <w:rPr>
          <w:rFonts w:ascii="Abadi" w:hAnsi="Abadi"/>
          <w:sz w:val="21"/>
          <w:szCs w:val="21"/>
        </w:rPr>
        <w:t>¡</w:t>
      </w:r>
      <w:r w:rsidRPr="007A1C6A">
        <w:rPr>
          <w:rFonts w:ascii="Abadi" w:hAnsi="Abadi"/>
          <w:sz w:val="21"/>
          <w:szCs w:val="21"/>
        </w:rPr>
        <w:t>ya que termine</w:t>
      </w:r>
      <w:r w:rsidR="005E2151">
        <w:rPr>
          <w:rFonts w:ascii="Abadi" w:hAnsi="Abadi"/>
          <w:sz w:val="21"/>
          <w:szCs w:val="21"/>
        </w:rPr>
        <w:t>!</w:t>
      </w:r>
      <w:r w:rsidRPr="007A1C6A">
        <w:rPr>
          <w:rFonts w:ascii="Abadi" w:hAnsi="Abadi"/>
          <w:sz w:val="21"/>
          <w:szCs w:val="21"/>
        </w:rPr>
        <w:t xml:space="preserve"> (Voz) diputada Presidenta, no ha terminado diputada.</w:t>
      </w:r>
    </w:p>
    <w:p w14:paraId="1E793CF9" w14:textId="77777777" w:rsidR="007525F6" w:rsidRPr="007A1C6A" w:rsidRDefault="007525F6" w:rsidP="00AA17FE">
      <w:pPr>
        <w:jc w:val="both"/>
        <w:rPr>
          <w:rFonts w:ascii="Abadi" w:hAnsi="Abadi"/>
          <w:sz w:val="21"/>
          <w:szCs w:val="21"/>
        </w:rPr>
      </w:pPr>
    </w:p>
    <w:p w14:paraId="30279552" w14:textId="3142D2EF" w:rsidR="00AA17FE" w:rsidRDefault="00AA17FE" w:rsidP="00AA17FE">
      <w:pPr>
        <w:jc w:val="both"/>
        <w:rPr>
          <w:rFonts w:ascii="Abadi" w:hAnsi="Abadi"/>
          <w:sz w:val="21"/>
          <w:szCs w:val="21"/>
        </w:rPr>
      </w:pPr>
      <w:r w:rsidRPr="007A1C6A">
        <w:rPr>
          <w:rFonts w:ascii="Abadi" w:hAnsi="Abadi"/>
          <w:sz w:val="21"/>
          <w:szCs w:val="21"/>
        </w:rPr>
        <w:t>- (Voz) diputado Armando Rangel</w:t>
      </w:r>
      <w:r w:rsidR="005E2151">
        <w:rPr>
          <w:rFonts w:ascii="Abadi" w:hAnsi="Abadi"/>
          <w:sz w:val="21"/>
          <w:szCs w:val="21"/>
        </w:rPr>
        <w:t>, y</w:t>
      </w:r>
      <w:r w:rsidRPr="007A1C6A">
        <w:rPr>
          <w:rFonts w:ascii="Abadi" w:hAnsi="Abadi"/>
          <w:sz w:val="21"/>
          <w:szCs w:val="21"/>
        </w:rPr>
        <w:t xml:space="preserve"> es lo que me refería hace un momento, después de tantos meses de tantas legislaturas, no tener la disposición de estudiar nuestros reglamentos para saber que se pide rectificación de hechos cuando el orador concluye pues están bien estar faltando a nuestra congruencia y está faltando a nuestro compromiso ciudadano. </w:t>
      </w:r>
    </w:p>
    <w:p w14:paraId="63C53199" w14:textId="77777777" w:rsidR="005E2151" w:rsidRPr="007A1C6A" w:rsidRDefault="005E2151" w:rsidP="00AA17FE">
      <w:pPr>
        <w:jc w:val="both"/>
        <w:rPr>
          <w:rFonts w:ascii="Abadi" w:hAnsi="Abadi"/>
          <w:sz w:val="21"/>
          <w:szCs w:val="21"/>
        </w:rPr>
      </w:pPr>
    </w:p>
    <w:p w14:paraId="7998436D" w14:textId="2C24DA59" w:rsidR="00AA17FE" w:rsidRDefault="00AA17FE" w:rsidP="00AA17FE">
      <w:pPr>
        <w:jc w:val="both"/>
        <w:rPr>
          <w:rFonts w:ascii="Abadi" w:hAnsi="Abadi"/>
          <w:sz w:val="21"/>
          <w:szCs w:val="21"/>
        </w:rPr>
      </w:pPr>
      <w:r w:rsidRPr="007A1C6A">
        <w:rPr>
          <w:rFonts w:ascii="Abadi" w:hAnsi="Abadi"/>
          <w:sz w:val="21"/>
          <w:szCs w:val="21"/>
        </w:rPr>
        <w:t xml:space="preserve">- Decir les adelanto que no les voy a responder es también desconocer una ley para cual nos pagan, ejercerla y usarla diputado. </w:t>
      </w:r>
    </w:p>
    <w:p w14:paraId="1CD96386" w14:textId="77777777" w:rsidR="007525F6" w:rsidRPr="007A1C6A" w:rsidRDefault="007525F6" w:rsidP="00AA17FE">
      <w:pPr>
        <w:jc w:val="both"/>
        <w:rPr>
          <w:rFonts w:ascii="Abadi" w:hAnsi="Abadi"/>
          <w:sz w:val="21"/>
          <w:szCs w:val="21"/>
        </w:rPr>
      </w:pPr>
    </w:p>
    <w:p w14:paraId="615FA83A" w14:textId="5ACBC154" w:rsidR="00AA17FE" w:rsidRDefault="00AA17FE" w:rsidP="00AA17FE">
      <w:pPr>
        <w:jc w:val="both"/>
        <w:rPr>
          <w:rFonts w:ascii="Abadi" w:hAnsi="Abadi"/>
          <w:sz w:val="21"/>
          <w:szCs w:val="21"/>
        </w:rPr>
      </w:pPr>
      <w:r w:rsidRPr="007A1C6A">
        <w:rPr>
          <w:rFonts w:ascii="Abadi" w:hAnsi="Abadi"/>
          <w:sz w:val="21"/>
          <w:szCs w:val="21"/>
        </w:rPr>
        <w:t xml:space="preserve">- Ahora si concluyó diputada con su permiso. </w:t>
      </w:r>
    </w:p>
    <w:p w14:paraId="55C48F74" w14:textId="77777777" w:rsidR="007525F6" w:rsidRPr="007A1C6A" w:rsidRDefault="007525F6" w:rsidP="00AA17FE">
      <w:pPr>
        <w:jc w:val="both"/>
        <w:rPr>
          <w:rFonts w:ascii="Abadi" w:hAnsi="Abadi"/>
          <w:sz w:val="21"/>
          <w:szCs w:val="21"/>
        </w:rPr>
      </w:pPr>
    </w:p>
    <w:p w14:paraId="2DC5AE2F" w14:textId="171C4D44" w:rsidR="00AA17FE" w:rsidRPr="007A1C6A" w:rsidRDefault="007525F6" w:rsidP="00FE3D77">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Presidencia.-</w:t>
      </w:r>
      <w:r w:rsidR="00AA17FE" w:rsidRPr="007A1C6A">
        <w:rPr>
          <w:rFonts w:ascii="Abadi" w:hAnsi="Abadi"/>
          <w:sz w:val="21"/>
          <w:szCs w:val="21"/>
        </w:rPr>
        <w:t xml:space="preserve"> Muchas gracias, diputado.</w:t>
      </w:r>
    </w:p>
    <w:p w14:paraId="18607B05" w14:textId="7E6A1D2E" w:rsidR="00AA17FE" w:rsidRDefault="00AA17FE" w:rsidP="00AA17FE">
      <w:pPr>
        <w:jc w:val="both"/>
        <w:rPr>
          <w:rFonts w:ascii="Abadi" w:hAnsi="Abadi"/>
          <w:sz w:val="21"/>
          <w:szCs w:val="21"/>
        </w:rPr>
      </w:pPr>
      <w:r w:rsidRPr="007A1C6A">
        <w:rPr>
          <w:rFonts w:ascii="Abadi" w:hAnsi="Abadi"/>
          <w:sz w:val="21"/>
          <w:szCs w:val="21"/>
        </w:rPr>
        <w:t xml:space="preserve">-  Es el turno de darle la voz a la diputada Ruth Noemí, (Voz) diputada Alma Edwviges, rectificación de hechos diputada, (Voz) diputada Presidenta si diputada la tengo en la lista, nada más que previamente ya se había anotado la diputada Ruth y una vez que concluya la diputada Ruth, entonces, (Voz) diputada Alma,  ¡no!, ¡no!, para rectificación de hechos del diputado, (Voz) diputada Presidenta una vez que concluya la diputada Ruth entonces se preguntará al Pleno (Voz) diputada Alma, ¡no!, ¡no! es del diputado que me antecedió el uso de la voz (Voz) diputada Presidenta, sí, es que ahorita ya es el turno de la diputada Ruth, y una vez que ella termine, se preguntará al Pleno sí, ya está discutido y si todavía no, entonces ya la tengo anotado a usted, se le dará el uso de la voz a usted. </w:t>
      </w:r>
    </w:p>
    <w:p w14:paraId="47EE757B" w14:textId="77777777" w:rsidR="007525F6" w:rsidRPr="007A1C6A" w:rsidRDefault="007525F6" w:rsidP="00AA17FE">
      <w:pPr>
        <w:jc w:val="both"/>
        <w:rPr>
          <w:rFonts w:ascii="Abadi" w:hAnsi="Abadi"/>
          <w:sz w:val="21"/>
          <w:szCs w:val="21"/>
        </w:rPr>
      </w:pPr>
    </w:p>
    <w:p w14:paraId="485C2BF5" w14:textId="77777777" w:rsidR="00AA17FE" w:rsidRPr="007A1C6A" w:rsidRDefault="00AA17FE" w:rsidP="00AA17FE">
      <w:pPr>
        <w:jc w:val="both"/>
        <w:rPr>
          <w:rFonts w:ascii="Abadi" w:hAnsi="Abadi"/>
          <w:sz w:val="21"/>
          <w:szCs w:val="21"/>
        </w:rPr>
      </w:pPr>
      <w:r w:rsidRPr="007A1C6A">
        <w:rPr>
          <w:rFonts w:ascii="Abadi" w:hAnsi="Abadi"/>
          <w:sz w:val="21"/>
          <w:szCs w:val="21"/>
        </w:rPr>
        <w:t>- Adelante diputada Noemí.</w:t>
      </w:r>
    </w:p>
    <w:p w14:paraId="130F383D" w14:textId="77777777" w:rsidR="00AA17FE" w:rsidRPr="007A1C6A" w:rsidRDefault="00AA17FE" w:rsidP="00AA17FE">
      <w:pPr>
        <w:jc w:val="both"/>
        <w:rPr>
          <w:rFonts w:ascii="Abadi" w:hAnsi="Abadi"/>
          <w:sz w:val="21"/>
          <w:szCs w:val="21"/>
        </w:rPr>
      </w:pPr>
    </w:p>
    <w:p w14:paraId="49ED34A8" w14:textId="77777777" w:rsidR="00AA17FE" w:rsidRPr="007A1C6A" w:rsidRDefault="00AA17FE" w:rsidP="00AA17FE">
      <w:pPr>
        <w:jc w:val="both"/>
        <w:rPr>
          <w:rFonts w:ascii="Abadi" w:hAnsi="Abadi"/>
          <w:sz w:val="21"/>
          <w:szCs w:val="21"/>
        </w:rPr>
      </w:pPr>
    </w:p>
    <w:p w14:paraId="2C09E939" w14:textId="77777777" w:rsidR="00AA17FE" w:rsidRPr="007A1C6A" w:rsidRDefault="00AA17FE" w:rsidP="00AA17FE">
      <w:pPr>
        <w:jc w:val="both"/>
        <w:rPr>
          <w:rFonts w:ascii="Abadi" w:hAnsi="Abadi"/>
          <w:b/>
          <w:bCs/>
          <w:sz w:val="21"/>
          <w:szCs w:val="21"/>
        </w:rPr>
      </w:pPr>
      <w:r w:rsidRPr="007A1C6A">
        <w:rPr>
          <w:rFonts w:ascii="Abadi" w:hAnsi="Abadi"/>
          <w:b/>
          <w:bCs/>
          <w:sz w:val="21"/>
          <w:szCs w:val="21"/>
        </w:rPr>
        <w:t>(Sube a tribuna la diputada Ruth Noemí Tiscareño, para hablar en contra)</w:t>
      </w:r>
    </w:p>
    <w:p w14:paraId="13450188" w14:textId="1A56BE75" w:rsidR="00AA17FE" w:rsidRPr="007A1C6A" w:rsidRDefault="007525F6" w:rsidP="00AA17FE">
      <w:pPr>
        <w:jc w:val="both"/>
        <w:rPr>
          <w:rFonts w:ascii="Abadi" w:hAnsi="Abadi"/>
          <w:b/>
          <w:bCs/>
          <w:sz w:val="21"/>
          <w:szCs w:val="21"/>
        </w:rPr>
      </w:pPr>
      <w:r w:rsidRPr="007A1C6A">
        <w:rPr>
          <w:rFonts w:ascii="Abadi" w:hAnsi="Abadi"/>
          <w:noProof/>
          <w:sz w:val="21"/>
          <w:szCs w:val="21"/>
        </w:rPr>
        <w:drawing>
          <wp:anchor distT="0" distB="0" distL="114300" distR="114300" simplePos="0" relativeHeight="251676672" behindDoc="1" locked="0" layoutInCell="1" allowOverlap="1" wp14:anchorId="5A6B256C" wp14:editId="65E4F824">
            <wp:simplePos x="0" y="0"/>
            <wp:positionH relativeFrom="column">
              <wp:posOffset>155575</wp:posOffset>
            </wp:positionH>
            <wp:positionV relativeFrom="paragraph">
              <wp:posOffset>287020</wp:posOffset>
            </wp:positionV>
            <wp:extent cx="2103755" cy="1139190"/>
            <wp:effectExtent l="19050" t="114300" r="0" b="861060"/>
            <wp:wrapTight wrapText="bothSides">
              <wp:wrapPolygon edited="0">
                <wp:start x="196" y="-2167"/>
                <wp:lineTo x="-196" y="-361"/>
                <wp:lineTo x="391" y="37565"/>
                <wp:lineTo x="2543" y="37565"/>
                <wp:lineTo x="2738" y="36843"/>
                <wp:lineTo x="19950" y="33231"/>
                <wp:lineTo x="20342" y="4334"/>
                <wp:lineTo x="19950" y="-1084"/>
                <wp:lineTo x="19950" y="-2167"/>
                <wp:lineTo x="196" y="-2167"/>
              </wp:wrapPolygon>
            </wp:wrapTight>
            <wp:docPr id="25" name="Imagen 25"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a captura de pantalla de una computadora&#10;&#10;Descripción generada automáticamente"/>
                    <pic:cNvPicPr/>
                  </pic:nvPicPr>
                  <pic:blipFill rotWithShape="1">
                    <a:blip r:embed="rId39" cstate="print">
                      <a:extLst>
                        <a:ext uri="{28A0092B-C50C-407E-A947-70E740481C1C}">
                          <a14:useLocalDpi xmlns:a14="http://schemas.microsoft.com/office/drawing/2010/main" val="0"/>
                        </a:ext>
                      </a:extLst>
                    </a:blip>
                    <a:srcRect l="11710" t="33206" r="33470" b="13966"/>
                    <a:stretch/>
                  </pic:blipFill>
                  <pic:spPr bwMode="auto">
                    <a:xfrm>
                      <a:off x="0" y="0"/>
                      <a:ext cx="2103755" cy="113919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0A0F2F" w14:textId="77777777" w:rsidR="00E80FC6" w:rsidRDefault="00E80FC6" w:rsidP="00AA17FE">
      <w:pPr>
        <w:jc w:val="both"/>
        <w:rPr>
          <w:rFonts w:ascii="Abadi" w:hAnsi="Abadi"/>
          <w:b/>
          <w:bCs/>
          <w:sz w:val="21"/>
          <w:szCs w:val="21"/>
        </w:rPr>
      </w:pPr>
    </w:p>
    <w:p w14:paraId="4F5D27A3" w14:textId="77777777" w:rsidR="00E80FC6" w:rsidRDefault="00E80FC6" w:rsidP="00AA17FE">
      <w:pPr>
        <w:jc w:val="both"/>
        <w:rPr>
          <w:rFonts w:ascii="Abadi" w:hAnsi="Abadi"/>
          <w:b/>
          <w:bCs/>
          <w:sz w:val="21"/>
          <w:szCs w:val="21"/>
        </w:rPr>
      </w:pPr>
    </w:p>
    <w:p w14:paraId="59587F5E" w14:textId="29D5463B" w:rsidR="00AA17FE" w:rsidRPr="007A1C6A" w:rsidRDefault="00E80FC6" w:rsidP="00E80FC6">
      <w:pPr>
        <w:jc w:val="center"/>
        <w:rPr>
          <w:rFonts w:ascii="Abadi" w:hAnsi="Abadi"/>
          <w:b/>
          <w:bCs/>
          <w:sz w:val="21"/>
          <w:szCs w:val="21"/>
        </w:rPr>
      </w:pPr>
      <w:r>
        <w:rPr>
          <w:rFonts w:ascii="Abadi" w:hAnsi="Abadi"/>
          <w:b/>
          <w:bCs/>
          <w:sz w:val="21"/>
          <w:szCs w:val="21"/>
        </w:rPr>
        <w:t xml:space="preserve">- </w:t>
      </w:r>
      <w:r w:rsidR="007525F6">
        <w:rPr>
          <w:rFonts w:ascii="Abadi" w:hAnsi="Abadi"/>
          <w:b/>
          <w:bCs/>
          <w:sz w:val="21"/>
          <w:szCs w:val="21"/>
        </w:rPr>
        <w:t xml:space="preserve">Diputada </w:t>
      </w:r>
      <w:r w:rsidR="007525F6" w:rsidRPr="007A1C6A">
        <w:rPr>
          <w:rFonts w:ascii="Abadi" w:hAnsi="Abadi"/>
          <w:b/>
          <w:bCs/>
          <w:sz w:val="21"/>
          <w:szCs w:val="21"/>
        </w:rPr>
        <w:t>Ruth Noemí Tiscareño</w:t>
      </w:r>
      <w:r>
        <w:rPr>
          <w:rFonts w:ascii="Abadi" w:hAnsi="Abadi"/>
          <w:b/>
          <w:bCs/>
          <w:sz w:val="21"/>
          <w:szCs w:val="21"/>
        </w:rPr>
        <w:t xml:space="preserve"> -</w:t>
      </w:r>
    </w:p>
    <w:p w14:paraId="3A929F28" w14:textId="77777777" w:rsidR="007525F6" w:rsidRDefault="007525F6" w:rsidP="00E80FC6">
      <w:pPr>
        <w:jc w:val="center"/>
        <w:rPr>
          <w:rFonts w:ascii="Abadi" w:hAnsi="Abadi"/>
          <w:sz w:val="21"/>
          <w:szCs w:val="21"/>
        </w:rPr>
      </w:pPr>
    </w:p>
    <w:p w14:paraId="331B257F" w14:textId="48873E86" w:rsidR="00AA17FE" w:rsidRDefault="00E80FC6"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Gracias Presidenta, qué bueno que aquí siguen los estudiantes porque yo creo que ya están hechos bolas, no sabe ni quién tiene la razón, pero les voy a comentar y entiendo el espíritu del punto de acuerdo de la diputada. Hemos compartido muchas cosas, pero en esta ocasión quiero decirles exactamente porque no vamos con este punto de acuerdo. </w:t>
      </w:r>
    </w:p>
    <w:p w14:paraId="2C41711A" w14:textId="77777777" w:rsidR="00E80FC6" w:rsidRPr="007A1C6A" w:rsidRDefault="00E80FC6" w:rsidP="00AA17FE">
      <w:pPr>
        <w:jc w:val="both"/>
        <w:rPr>
          <w:rFonts w:ascii="Abadi" w:hAnsi="Abadi"/>
          <w:sz w:val="21"/>
          <w:szCs w:val="21"/>
        </w:rPr>
      </w:pPr>
    </w:p>
    <w:p w14:paraId="337A45A4" w14:textId="120F743F" w:rsidR="00AA17FE" w:rsidRDefault="00AA17FE" w:rsidP="00AA17FE">
      <w:pPr>
        <w:jc w:val="both"/>
        <w:rPr>
          <w:rFonts w:ascii="Abadi" w:hAnsi="Abadi"/>
          <w:sz w:val="21"/>
          <w:szCs w:val="21"/>
        </w:rPr>
      </w:pPr>
      <w:r w:rsidRPr="007A1C6A">
        <w:rPr>
          <w:rFonts w:ascii="Abadi" w:hAnsi="Abadi"/>
          <w:sz w:val="21"/>
          <w:szCs w:val="21"/>
        </w:rPr>
        <w:t xml:space="preserve">- Lo anterior, porque no es factible que este poder legislativo se inmiscuya en las facultades exclusivas de los ayuntamientos. Lo dijo bien el diputado Víctor, pues de conformidad con el artículo 115 Constitucional, los municipios administrarán libremente su hacienda, lo cual se formará de los rendimientos de los bienes que les pertenezca, así como las contribuciones y otros ingresos. Dicha facultad, como se desprende, es propia del municipio, por lo que en caso de que se emita un exhorto por parte de este órgano legislativo, estaríamos trastocando la referida autonomía. Ese es uno de los puntos muy importantes. </w:t>
      </w:r>
    </w:p>
    <w:p w14:paraId="75EB4B95" w14:textId="77777777" w:rsidR="00E80FC6" w:rsidRPr="007A1C6A" w:rsidRDefault="00E80FC6" w:rsidP="00AA17FE">
      <w:pPr>
        <w:jc w:val="both"/>
        <w:rPr>
          <w:rFonts w:ascii="Abadi" w:hAnsi="Abadi"/>
          <w:sz w:val="21"/>
          <w:szCs w:val="21"/>
        </w:rPr>
      </w:pPr>
    </w:p>
    <w:p w14:paraId="74CE6982" w14:textId="5EBF83E5" w:rsidR="00AA17FE" w:rsidRDefault="00AA17FE" w:rsidP="00AA17FE">
      <w:pPr>
        <w:jc w:val="both"/>
        <w:rPr>
          <w:rFonts w:ascii="Abadi" w:hAnsi="Abadi"/>
          <w:sz w:val="21"/>
          <w:szCs w:val="21"/>
        </w:rPr>
      </w:pPr>
      <w:r w:rsidRPr="007A1C6A">
        <w:rPr>
          <w:rFonts w:ascii="Abadi" w:hAnsi="Abadi"/>
          <w:sz w:val="21"/>
          <w:szCs w:val="21"/>
        </w:rPr>
        <w:t xml:space="preserve">-También quiero comentarles que formó parte de la Comisión de Hacienda y precisamente porque no podemos hacer este tipo de exhortos, se diseñó, aunque si quiero quejarme de que esas giras han sido muy cansadas y que precisamente esas giras nos dan el conocimiento como en Atarjea que llegue tarde aparte y que es tan, tan lejanas y con tanta escasez de infraestructura que vivimos en carne propia y para eso son esos préstamos para resolver en aquellas comunidades. </w:t>
      </w:r>
    </w:p>
    <w:p w14:paraId="7433D044" w14:textId="77777777" w:rsidR="00E80FC6" w:rsidRPr="007A1C6A" w:rsidRDefault="00E80FC6" w:rsidP="00AA17FE">
      <w:pPr>
        <w:jc w:val="both"/>
        <w:rPr>
          <w:rFonts w:ascii="Abadi" w:hAnsi="Abadi"/>
          <w:sz w:val="21"/>
          <w:szCs w:val="21"/>
        </w:rPr>
      </w:pPr>
    </w:p>
    <w:p w14:paraId="2DB2A4A0" w14:textId="02C9A603" w:rsidR="00AA17FE" w:rsidRDefault="00AA17FE" w:rsidP="00AA17FE">
      <w:pPr>
        <w:jc w:val="both"/>
        <w:rPr>
          <w:rFonts w:ascii="Abadi" w:hAnsi="Abadi"/>
          <w:sz w:val="21"/>
          <w:szCs w:val="21"/>
        </w:rPr>
      </w:pPr>
      <w:r w:rsidRPr="007A1C6A">
        <w:rPr>
          <w:rFonts w:ascii="Abadi" w:hAnsi="Abadi"/>
          <w:sz w:val="21"/>
          <w:szCs w:val="21"/>
        </w:rPr>
        <w:t xml:space="preserve">- Y yo creo que no es gestionar, es representar y representar las necesidades de esas comunidades que también son importantes. No solo becas van a resolver para esas familias sus necesidades, han perdido el seguro médico que se ha transformado ya en algo que no funciona. A cambio se les han dado becas que no les alcanza para comprar los medicamentos. </w:t>
      </w:r>
    </w:p>
    <w:p w14:paraId="0CF26462" w14:textId="77777777" w:rsidR="00E80FC6" w:rsidRPr="007A1C6A" w:rsidRDefault="00E80FC6" w:rsidP="00AA17FE">
      <w:pPr>
        <w:jc w:val="both"/>
        <w:rPr>
          <w:rFonts w:ascii="Abadi" w:hAnsi="Abadi"/>
          <w:sz w:val="21"/>
          <w:szCs w:val="21"/>
        </w:rPr>
      </w:pPr>
    </w:p>
    <w:p w14:paraId="39626677" w14:textId="2D4A5CA6" w:rsidR="00AA17FE" w:rsidRDefault="00E80FC6"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Yo quiero felicitar a la Comisión la verdad fue titánico recorrer el noroeste en una gira muy cansada de todo el día, pero que servía para eso, para platicar con los presidentes municipales y acompañarlos no solo para que puedan tener mejor recaudación, sino también para que sean acompañados por la auditoría en la fiscalización, diseñando una estrategia muy innovadora que también tengo que reconocer que es la primera en el país. </w:t>
      </w:r>
    </w:p>
    <w:p w14:paraId="18D11969" w14:textId="77777777" w:rsidR="00E80FC6" w:rsidRPr="007A1C6A" w:rsidRDefault="00E80FC6" w:rsidP="00AA17FE">
      <w:pPr>
        <w:jc w:val="both"/>
        <w:rPr>
          <w:rFonts w:ascii="Abadi" w:hAnsi="Abadi"/>
          <w:sz w:val="21"/>
          <w:szCs w:val="21"/>
        </w:rPr>
      </w:pPr>
    </w:p>
    <w:p w14:paraId="0F01C2FE" w14:textId="71BE512C" w:rsidR="00AA17FE" w:rsidRDefault="00E80FC6"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Y otra a los jóvenes por lo que este Poder Legislativo tendría que hacer sería analizar y dictaminar las solicitudes para tal efecto puedan presentar los municipios ha llegado a esta soberanía que quiero decir bien lo dijo la diputada, una de las principales funciones, yo creo que a la par de legislar es fiscalizar y no podemos pedirles que hagan lo que nosotros tenemos que hacer, eso es una facultad nuestra. Y a la hora que llega una auditoría tenemos que autorizarla y después fiscalizarla si en realidad se utilizó para lo que pidieron el préstamo.</w:t>
      </w:r>
    </w:p>
    <w:p w14:paraId="2F0D7F83" w14:textId="77777777" w:rsidR="00E80FC6" w:rsidRPr="007A1C6A" w:rsidRDefault="00E80FC6" w:rsidP="00AA17FE">
      <w:pPr>
        <w:jc w:val="both"/>
        <w:rPr>
          <w:rFonts w:ascii="Abadi" w:hAnsi="Abadi"/>
          <w:sz w:val="21"/>
          <w:szCs w:val="21"/>
        </w:rPr>
      </w:pPr>
    </w:p>
    <w:p w14:paraId="51A242FE" w14:textId="69AF4B11" w:rsidR="00AA17FE" w:rsidRDefault="00AA17FE" w:rsidP="00AA17FE">
      <w:pPr>
        <w:jc w:val="both"/>
        <w:rPr>
          <w:rFonts w:ascii="Abadi" w:hAnsi="Abadi"/>
          <w:sz w:val="21"/>
          <w:szCs w:val="21"/>
        </w:rPr>
      </w:pPr>
      <w:r w:rsidRPr="007A1C6A">
        <w:rPr>
          <w:rFonts w:ascii="Abadi" w:hAnsi="Abadi"/>
          <w:sz w:val="21"/>
          <w:szCs w:val="21"/>
        </w:rPr>
        <w:t xml:space="preserve">- Asimismo, contrario a lo que expresa en el punto de acuerdo, el diseño de política fiscal es lo que provoca la debilidad de las finanzas de los municipios y las entidades federativas y no se trata de una dependencia de recursos, por lo que, más allá de lo que se pudiera exhortar, valdría la pena valorar los distintos llamados que se han hecho a una nueva convención hacendaria para tener un diseño fiscal más equitativo para los tres órdenes de gobierno. Esto, porque se los digo, la mayoría de los impuestos de los guanajuatenses se van a la Federación y no se regresan. </w:t>
      </w:r>
    </w:p>
    <w:p w14:paraId="04DFCC48" w14:textId="77777777" w:rsidR="00E80FC6" w:rsidRPr="007A1C6A" w:rsidRDefault="00E80FC6" w:rsidP="00AA17FE">
      <w:pPr>
        <w:jc w:val="both"/>
        <w:rPr>
          <w:rFonts w:ascii="Abadi" w:hAnsi="Abadi"/>
          <w:sz w:val="21"/>
          <w:szCs w:val="21"/>
        </w:rPr>
      </w:pPr>
    </w:p>
    <w:p w14:paraId="58F0F75E" w14:textId="6BA53AA2" w:rsidR="00AA17FE" w:rsidRDefault="00AA17FE" w:rsidP="00E80FC6">
      <w:pPr>
        <w:pStyle w:val="Prrafodelista"/>
        <w:numPr>
          <w:ilvl w:val="0"/>
          <w:numId w:val="4"/>
        </w:numPr>
        <w:jc w:val="both"/>
        <w:rPr>
          <w:rFonts w:ascii="Abadi" w:hAnsi="Abadi"/>
          <w:sz w:val="21"/>
          <w:szCs w:val="21"/>
        </w:rPr>
      </w:pPr>
      <w:r w:rsidRPr="00E80FC6">
        <w:rPr>
          <w:rFonts w:ascii="Abadi" w:hAnsi="Abadi"/>
          <w:sz w:val="21"/>
          <w:szCs w:val="21"/>
        </w:rPr>
        <w:t xml:space="preserve">Es cuánto. </w:t>
      </w:r>
    </w:p>
    <w:p w14:paraId="3CC744E6" w14:textId="77777777" w:rsidR="00E80FC6" w:rsidRPr="00E80FC6" w:rsidRDefault="00E80FC6" w:rsidP="00E80FC6">
      <w:pPr>
        <w:pStyle w:val="Prrafodelista"/>
        <w:ind w:left="1069"/>
        <w:jc w:val="both"/>
        <w:rPr>
          <w:rFonts w:ascii="Abadi" w:hAnsi="Abadi"/>
          <w:sz w:val="21"/>
          <w:szCs w:val="21"/>
        </w:rPr>
      </w:pPr>
    </w:p>
    <w:p w14:paraId="2F4EBCF9" w14:textId="570004C1" w:rsidR="00AA17FE" w:rsidRDefault="00E80FC6" w:rsidP="00FE3D77">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Presidencia.-</w:t>
      </w:r>
      <w:r w:rsidR="00AA17FE" w:rsidRPr="007A1C6A">
        <w:rPr>
          <w:rFonts w:ascii="Abadi" w:hAnsi="Abadi"/>
          <w:sz w:val="21"/>
          <w:szCs w:val="21"/>
        </w:rPr>
        <w:t xml:space="preserve"> Muchas gracias, diputada. </w:t>
      </w:r>
    </w:p>
    <w:p w14:paraId="36C341F8" w14:textId="77777777" w:rsidR="00E80FC6" w:rsidRPr="007A1C6A" w:rsidRDefault="00E80FC6" w:rsidP="00AA17FE">
      <w:pPr>
        <w:jc w:val="both"/>
        <w:rPr>
          <w:rFonts w:ascii="Abadi" w:hAnsi="Abadi"/>
          <w:sz w:val="21"/>
          <w:szCs w:val="21"/>
        </w:rPr>
      </w:pPr>
    </w:p>
    <w:p w14:paraId="7AB45E8A" w14:textId="32FFB4AC" w:rsidR="00AA17FE" w:rsidRDefault="00E80FC6" w:rsidP="00AA17FE">
      <w:pPr>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Y toda vez que han hecho uso de la voz diversos diputados con fundamento en el artículo 178, fracción VI de nuestra Ley Orgánica, solicito </w:t>
      </w:r>
      <w:r>
        <w:rPr>
          <w:rFonts w:ascii="Abadi" w:hAnsi="Abadi"/>
          <w:sz w:val="21"/>
          <w:szCs w:val="21"/>
        </w:rPr>
        <w:t xml:space="preserve">a </w:t>
      </w:r>
      <w:r w:rsidR="00AA17FE" w:rsidRPr="007A1C6A">
        <w:rPr>
          <w:rFonts w:ascii="Abadi" w:hAnsi="Abadi"/>
          <w:sz w:val="21"/>
          <w:szCs w:val="21"/>
        </w:rPr>
        <w:t xml:space="preserve">la Secretaria recabar votación nominal de la Asamblea a través del sistema electrónico, a efecto de establecer si el asunto está suficientemente discutido; y </w:t>
      </w:r>
    </w:p>
    <w:p w14:paraId="4BCE087B" w14:textId="77777777" w:rsidR="00E80FC6" w:rsidRPr="007A1C6A" w:rsidRDefault="00E80FC6" w:rsidP="00AA17FE">
      <w:pPr>
        <w:jc w:val="both"/>
        <w:rPr>
          <w:rFonts w:ascii="Abadi" w:hAnsi="Abadi"/>
          <w:sz w:val="21"/>
          <w:szCs w:val="21"/>
        </w:rPr>
      </w:pPr>
    </w:p>
    <w:p w14:paraId="749BDC46" w14:textId="77777777" w:rsidR="00AA17FE" w:rsidRPr="007A1C6A" w:rsidRDefault="00AA17FE" w:rsidP="00E80FC6">
      <w:pPr>
        <w:jc w:val="center"/>
        <w:rPr>
          <w:rFonts w:ascii="Abadi" w:hAnsi="Abadi"/>
          <w:b/>
          <w:bCs/>
          <w:sz w:val="21"/>
          <w:szCs w:val="21"/>
        </w:rPr>
      </w:pPr>
      <w:r w:rsidRPr="007A1C6A">
        <w:rPr>
          <w:rFonts w:ascii="Abadi" w:hAnsi="Abadi"/>
          <w:b/>
          <w:bCs/>
          <w:sz w:val="21"/>
          <w:szCs w:val="21"/>
        </w:rPr>
        <w:t>(Se abre el sistema electrónico)</w:t>
      </w:r>
    </w:p>
    <w:p w14:paraId="1A5E6B48" w14:textId="77777777" w:rsidR="00AA17FE" w:rsidRPr="007A1C6A" w:rsidRDefault="00AA17FE" w:rsidP="00E80FC6">
      <w:pPr>
        <w:jc w:val="center"/>
        <w:rPr>
          <w:rFonts w:ascii="Abadi" w:hAnsi="Abadi"/>
          <w:sz w:val="21"/>
          <w:szCs w:val="21"/>
        </w:rPr>
      </w:pPr>
    </w:p>
    <w:p w14:paraId="33467AC1" w14:textId="6678AED7" w:rsidR="00AA17FE" w:rsidRPr="007A1C6A" w:rsidRDefault="00E80FC6" w:rsidP="00E80FC6">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Secretaria.-</w:t>
      </w:r>
      <w:r w:rsidR="00AA17FE" w:rsidRPr="007A1C6A">
        <w:rPr>
          <w:rFonts w:ascii="Abadi" w:hAnsi="Abadi"/>
          <w:sz w:val="21"/>
          <w:szCs w:val="21"/>
        </w:rPr>
        <w:t xml:space="preserve"> En votación nominal por el sistema electrónico se pregunta a las diputadas y a los  diputados, si se aprueba la propuesta puesta a su consideración. ¿Diputada Martha Lourdes Ortega? Gracias diputada. </w:t>
      </w:r>
    </w:p>
    <w:p w14:paraId="31E01089" w14:textId="77777777" w:rsidR="00AA17FE" w:rsidRPr="007A1C6A" w:rsidRDefault="00AA17FE" w:rsidP="00AA17FE">
      <w:pPr>
        <w:jc w:val="both"/>
        <w:rPr>
          <w:rFonts w:ascii="Abadi" w:hAnsi="Abadi"/>
          <w:sz w:val="21"/>
          <w:szCs w:val="21"/>
        </w:rPr>
      </w:pPr>
    </w:p>
    <w:p w14:paraId="7BE72A1D" w14:textId="0D8FB449" w:rsidR="00AA17FE" w:rsidRDefault="00AA17FE" w:rsidP="00AA17FE">
      <w:pPr>
        <w:jc w:val="both"/>
        <w:rPr>
          <w:rFonts w:ascii="Abadi" w:hAnsi="Abadi"/>
          <w:sz w:val="21"/>
          <w:szCs w:val="21"/>
        </w:rPr>
      </w:pPr>
      <w:r w:rsidRPr="007A1C6A">
        <w:rPr>
          <w:rFonts w:ascii="Abadi" w:hAnsi="Abadi"/>
          <w:sz w:val="21"/>
          <w:szCs w:val="21"/>
        </w:rPr>
        <w:t xml:space="preserve">¿Falta alguna diputada o algún diputado de emitir su voto? </w:t>
      </w:r>
    </w:p>
    <w:p w14:paraId="5D041601" w14:textId="77777777" w:rsidR="00E80FC6" w:rsidRPr="007A1C6A" w:rsidRDefault="00E80FC6" w:rsidP="00AA17FE">
      <w:pPr>
        <w:jc w:val="both"/>
        <w:rPr>
          <w:rFonts w:ascii="Abadi" w:hAnsi="Abadi"/>
          <w:sz w:val="21"/>
          <w:szCs w:val="21"/>
        </w:rPr>
      </w:pPr>
    </w:p>
    <w:p w14:paraId="6E478C46" w14:textId="77777777" w:rsidR="00AA17FE" w:rsidRPr="007A1C6A" w:rsidRDefault="00AA17FE" w:rsidP="00E80FC6">
      <w:pPr>
        <w:jc w:val="center"/>
        <w:rPr>
          <w:rFonts w:ascii="Abadi" w:hAnsi="Abadi"/>
          <w:b/>
          <w:bCs/>
          <w:sz w:val="21"/>
          <w:szCs w:val="21"/>
        </w:rPr>
      </w:pPr>
      <w:r w:rsidRPr="007A1C6A">
        <w:rPr>
          <w:rFonts w:ascii="Abadi" w:hAnsi="Abadi"/>
          <w:b/>
          <w:bCs/>
          <w:sz w:val="21"/>
          <w:szCs w:val="21"/>
        </w:rPr>
        <w:t>(Se cierra el sistema electrónico)</w:t>
      </w:r>
    </w:p>
    <w:p w14:paraId="49DD4F71" w14:textId="77777777" w:rsidR="00AA17FE" w:rsidRPr="007A1C6A" w:rsidRDefault="00AA17FE" w:rsidP="00AA17FE">
      <w:pPr>
        <w:jc w:val="both"/>
        <w:rPr>
          <w:rFonts w:ascii="Abadi" w:hAnsi="Abadi"/>
          <w:b/>
          <w:bCs/>
          <w:sz w:val="21"/>
          <w:szCs w:val="21"/>
        </w:rPr>
      </w:pPr>
    </w:p>
    <w:p w14:paraId="4A3D7F30" w14:textId="77777777" w:rsidR="00AA17FE" w:rsidRPr="007A1C6A" w:rsidRDefault="00AA17FE" w:rsidP="00AA17FE">
      <w:pPr>
        <w:jc w:val="both"/>
        <w:rPr>
          <w:rFonts w:ascii="Abadi" w:hAnsi="Abadi"/>
          <w:b/>
          <w:bCs/>
          <w:sz w:val="21"/>
          <w:szCs w:val="21"/>
        </w:rPr>
      </w:pPr>
      <w:r w:rsidRPr="007A1C6A">
        <w:rPr>
          <w:rFonts w:ascii="Abadi" w:hAnsi="Abadi"/>
          <w:noProof/>
          <w:sz w:val="21"/>
          <w:szCs w:val="21"/>
        </w:rPr>
        <w:drawing>
          <wp:inline distT="0" distB="0" distL="0" distR="0" wp14:anchorId="7768BC50" wp14:editId="34F0243F">
            <wp:extent cx="2110533" cy="1162050"/>
            <wp:effectExtent l="171450" t="171450" r="366395" b="361950"/>
            <wp:docPr id="37" name="Imagen 3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Sitio web&#10;&#10;Descripción generada automáticamente"/>
                    <pic:cNvPicPr/>
                  </pic:nvPicPr>
                  <pic:blipFill rotWithShape="1">
                    <a:blip r:embed="rId40"/>
                    <a:srcRect l="10183" t="34413" r="32790" b="9741"/>
                    <a:stretch/>
                  </pic:blipFill>
                  <pic:spPr bwMode="auto">
                    <a:xfrm>
                      <a:off x="0" y="0"/>
                      <a:ext cx="2133158" cy="11745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44525D0" w14:textId="77777777" w:rsidR="00AA17FE" w:rsidRPr="007A1C6A" w:rsidRDefault="00AA17FE" w:rsidP="00AA17FE">
      <w:pPr>
        <w:jc w:val="both"/>
        <w:rPr>
          <w:rFonts w:ascii="Abadi" w:hAnsi="Abadi"/>
          <w:b/>
          <w:bCs/>
          <w:sz w:val="21"/>
          <w:szCs w:val="21"/>
        </w:rPr>
      </w:pPr>
    </w:p>
    <w:p w14:paraId="5BC85A14" w14:textId="5DFE2BD5" w:rsidR="00AA17FE" w:rsidRDefault="00E80FC6" w:rsidP="00E80FC6">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Secretaria.-</w:t>
      </w:r>
      <w:r w:rsidR="00AA17FE" w:rsidRPr="007A1C6A">
        <w:rPr>
          <w:rFonts w:ascii="Abadi" w:hAnsi="Abadi"/>
          <w:sz w:val="21"/>
          <w:szCs w:val="21"/>
        </w:rPr>
        <w:t xml:space="preserve">  Se registraron 25 votos a favor y 8 votos en contra, Señora Presidenta, el asunto se ha agotado como suficientemente discutido. </w:t>
      </w:r>
    </w:p>
    <w:p w14:paraId="7AE466FD" w14:textId="77777777" w:rsidR="00E80FC6" w:rsidRPr="007A1C6A" w:rsidRDefault="00E80FC6" w:rsidP="00AA17FE">
      <w:pPr>
        <w:jc w:val="both"/>
        <w:rPr>
          <w:rFonts w:ascii="Abadi" w:hAnsi="Abadi"/>
          <w:sz w:val="21"/>
          <w:szCs w:val="21"/>
        </w:rPr>
      </w:pPr>
    </w:p>
    <w:p w14:paraId="30348FFA" w14:textId="0B77E416" w:rsidR="00AA17FE" w:rsidRDefault="00E80FC6" w:rsidP="00E80FC6">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Presidencia.-</w:t>
      </w:r>
      <w:r w:rsidR="00AA17FE" w:rsidRPr="007A1C6A">
        <w:rPr>
          <w:rFonts w:ascii="Abadi" w:hAnsi="Abadi"/>
          <w:sz w:val="21"/>
          <w:szCs w:val="21"/>
        </w:rPr>
        <w:t xml:space="preserve"> En consecuencia, ya una vez discutido y votado ya no se puede dar más participaciones y procedemos a recabar la votación, para que en votación nominal a través del sistema electrónico, preguntase a la Asamblea, si es  de aprobase o no el punto de acuerdo</w:t>
      </w:r>
      <w:r>
        <w:rPr>
          <w:rFonts w:ascii="Abadi" w:hAnsi="Abadi"/>
          <w:sz w:val="21"/>
          <w:szCs w:val="21"/>
        </w:rPr>
        <w:t>.</w:t>
      </w:r>
    </w:p>
    <w:p w14:paraId="1175C8D5" w14:textId="77777777" w:rsidR="00E80FC6" w:rsidRPr="007A1C6A" w:rsidRDefault="00E80FC6" w:rsidP="00E80FC6">
      <w:pPr>
        <w:ind w:firstLine="708"/>
        <w:jc w:val="both"/>
        <w:rPr>
          <w:rFonts w:ascii="Abadi" w:hAnsi="Abadi"/>
          <w:sz w:val="21"/>
          <w:szCs w:val="21"/>
        </w:rPr>
      </w:pPr>
    </w:p>
    <w:p w14:paraId="6B843412" w14:textId="68C32FA1" w:rsidR="00AA17FE" w:rsidRDefault="00AA17FE" w:rsidP="00E80FC6">
      <w:pPr>
        <w:jc w:val="center"/>
        <w:rPr>
          <w:rFonts w:ascii="Abadi" w:hAnsi="Abadi"/>
          <w:b/>
          <w:bCs/>
          <w:sz w:val="21"/>
          <w:szCs w:val="21"/>
        </w:rPr>
      </w:pPr>
      <w:r w:rsidRPr="007A1C6A">
        <w:rPr>
          <w:rFonts w:ascii="Abadi" w:hAnsi="Abadi"/>
          <w:b/>
          <w:bCs/>
          <w:sz w:val="21"/>
          <w:szCs w:val="21"/>
        </w:rPr>
        <w:t>(Se abre el sistema electrónico)</w:t>
      </w:r>
    </w:p>
    <w:p w14:paraId="23071379" w14:textId="77777777" w:rsidR="007A1C6A" w:rsidRPr="007A1C6A" w:rsidRDefault="007A1C6A" w:rsidP="00AA17FE">
      <w:pPr>
        <w:jc w:val="both"/>
        <w:rPr>
          <w:rFonts w:ascii="Abadi" w:hAnsi="Abadi"/>
          <w:b/>
          <w:bCs/>
          <w:sz w:val="21"/>
          <w:szCs w:val="21"/>
        </w:rPr>
      </w:pPr>
    </w:p>
    <w:p w14:paraId="49CE96F7" w14:textId="7BF0719D" w:rsidR="00AA17FE" w:rsidRPr="007A1C6A" w:rsidRDefault="00E80FC6" w:rsidP="00E80FC6">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Secretaria.-</w:t>
      </w:r>
      <w:r w:rsidR="00AA17FE" w:rsidRPr="007A1C6A">
        <w:rPr>
          <w:rFonts w:ascii="Abadi" w:hAnsi="Abadi"/>
          <w:sz w:val="21"/>
          <w:szCs w:val="21"/>
        </w:rPr>
        <w:t xml:space="preserve"> En votación nominal por el sistema electrónico, se pregunta a las diputadas y a los diputados si se aprueba el punto de acuerdo puesto a su consideración, ¿Diputada Martha Lourdes? </w:t>
      </w:r>
    </w:p>
    <w:p w14:paraId="2D111EB1" w14:textId="77777777" w:rsidR="00E80FC6" w:rsidRDefault="00E80FC6" w:rsidP="00AA17FE">
      <w:pPr>
        <w:jc w:val="both"/>
        <w:rPr>
          <w:rFonts w:ascii="Abadi" w:hAnsi="Abadi"/>
          <w:sz w:val="21"/>
          <w:szCs w:val="21"/>
        </w:rPr>
      </w:pPr>
    </w:p>
    <w:p w14:paraId="15826876" w14:textId="3F7CAD4C" w:rsidR="00AA17FE" w:rsidRDefault="00AA17FE" w:rsidP="00AA17FE">
      <w:pPr>
        <w:jc w:val="both"/>
        <w:rPr>
          <w:rFonts w:ascii="Abadi" w:hAnsi="Abadi"/>
          <w:sz w:val="21"/>
          <w:szCs w:val="21"/>
        </w:rPr>
      </w:pPr>
      <w:r w:rsidRPr="007A1C6A">
        <w:rPr>
          <w:rFonts w:ascii="Abadi" w:hAnsi="Abadi"/>
          <w:sz w:val="21"/>
          <w:szCs w:val="21"/>
        </w:rPr>
        <w:t xml:space="preserve">¿Falta alguna diputada o algún diputado de emitir su voto? </w:t>
      </w:r>
    </w:p>
    <w:p w14:paraId="46477C69" w14:textId="77777777" w:rsidR="00E80FC6" w:rsidRPr="007A1C6A" w:rsidRDefault="00E80FC6" w:rsidP="00AA17FE">
      <w:pPr>
        <w:jc w:val="both"/>
        <w:rPr>
          <w:rFonts w:ascii="Abadi" w:hAnsi="Abadi"/>
          <w:sz w:val="21"/>
          <w:szCs w:val="21"/>
        </w:rPr>
      </w:pPr>
    </w:p>
    <w:p w14:paraId="46EE2B77" w14:textId="072C0CCF" w:rsidR="00AA17FE" w:rsidRDefault="00AA17FE" w:rsidP="00E80FC6">
      <w:pPr>
        <w:jc w:val="center"/>
        <w:rPr>
          <w:rFonts w:ascii="Abadi" w:hAnsi="Abadi"/>
          <w:b/>
          <w:bCs/>
          <w:sz w:val="21"/>
          <w:szCs w:val="21"/>
        </w:rPr>
      </w:pPr>
      <w:r w:rsidRPr="007A1C6A">
        <w:rPr>
          <w:rFonts w:ascii="Abadi" w:hAnsi="Abadi"/>
          <w:b/>
          <w:bCs/>
          <w:sz w:val="21"/>
          <w:szCs w:val="21"/>
        </w:rPr>
        <w:t>(Se cierra el sistema electrónico)</w:t>
      </w:r>
    </w:p>
    <w:p w14:paraId="3FF4029E" w14:textId="1AF22080" w:rsidR="0001791A" w:rsidRDefault="0001791A" w:rsidP="00E80FC6">
      <w:pPr>
        <w:jc w:val="center"/>
        <w:rPr>
          <w:rFonts w:ascii="Abadi" w:hAnsi="Abadi"/>
          <w:b/>
          <w:bCs/>
          <w:sz w:val="21"/>
          <w:szCs w:val="21"/>
        </w:rPr>
      </w:pPr>
      <w:r w:rsidRPr="007A1C6A">
        <w:rPr>
          <w:rFonts w:ascii="Abadi" w:hAnsi="Abadi"/>
          <w:noProof/>
          <w:sz w:val="21"/>
          <w:szCs w:val="21"/>
        </w:rPr>
        <w:drawing>
          <wp:anchor distT="0" distB="0" distL="114300" distR="114300" simplePos="0" relativeHeight="251712512" behindDoc="1" locked="0" layoutInCell="1" allowOverlap="1" wp14:anchorId="76CDB7FD" wp14:editId="3767DCE9">
            <wp:simplePos x="0" y="0"/>
            <wp:positionH relativeFrom="column">
              <wp:posOffset>163830</wp:posOffset>
            </wp:positionH>
            <wp:positionV relativeFrom="paragraph">
              <wp:posOffset>344170</wp:posOffset>
            </wp:positionV>
            <wp:extent cx="2085975" cy="1072515"/>
            <wp:effectExtent l="152400" t="171450" r="352425" b="356235"/>
            <wp:wrapTight wrapText="bothSides">
              <wp:wrapPolygon edited="0">
                <wp:start x="1775" y="-3453"/>
                <wp:lineTo x="-1578" y="-2686"/>
                <wp:lineTo x="-1578" y="23020"/>
                <wp:lineTo x="1775" y="28391"/>
                <wp:lineTo x="21699" y="28391"/>
                <wp:lineTo x="21896" y="27623"/>
                <wp:lineTo x="25052" y="22252"/>
                <wp:lineTo x="25052" y="2302"/>
                <wp:lineTo x="22488" y="-2686"/>
                <wp:lineTo x="21699" y="-3453"/>
                <wp:lineTo x="1775" y="-3453"/>
              </wp:wrapPolygon>
            </wp:wrapTight>
            <wp:docPr id="38" name="Imagen 3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Sitio web&#10;&#10;Descripción generada automáticamente"/>
                    <pic:cNvPicPr/>
                  </pic:nvPicPr>
                  <pic:blipFill rotWithShape="1">
                    <a:blip r:embed="rId41" cstate="print">
                      <a:extLst>
                        <a:ext uri="{28A0092B-C50C-407E-A947-70E740481C1C}">
                          <a14:useLocalDpi xmlns:a14="http://schemas.microsoft.com/office/drawing/2010/main" val="0"/>
                        </a:ext>
                      </a:extLst>
                    </a:blip>
                    <a:srcRect l="9335" t="28978" r="32960" b="17020"/>
                    <a:stretch/>
                  </pic:blipFill>
                  <pic:spPr bwMode="auto">
                    <a:xfrm>
                      <a:off x="0" y="0"/>
                      <a:ext cx="2085975" cy="10725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A00B01" w14:textId="00BE2DDD" w:rsidR="0001791A" w:rsidRPr="007A1C6A" w:rsidRDefault="0001791A" w:rsidP="00E80FC6">
      <w:pPr>
        <w:jc w:val="center"/>
        <w:rPr>
          <w:rFonts w:ascii="Abadi" w:hAnsi="Abadi"/>
          <w:b/>
          <w:bCs/>
          <w:sz w:val="21"/>
          <w:szCs w:val="21"/>
        </w:rPr>
      </w:pPr>
    </w:p>
    <w:p w14:paraId="3A0661B4" w14:textId="77777777" w:rsidR="00AA17FE" w:rsidRPr="007A1C6A" w:rsidRDefault="00AA17FE" w:rsidP="00E80FC6">
      <w:pPr>
        <w:jc w:val="center"/>
        <w:rPr>
          <w:rFonts w:ascii="Abadi" w:hAnsi="Abadi"/>
          <w:b/>
          <w:bCs/>
          <w:sz w:val="21"/>
          <w:szCs w:val="21"/>
        </w:rPr>
      </w:pPr>
    </w:p>
    <w:p w14:paraId="21DEF854" w14:textId="4780508B" w:rsidR="00AA17FE" w:rsidRPr="007A1C6A" w:rsidRDefault="00AA17FE" w:rsidP="00AA17FE">
      <w:pPr>
        <w:jc w:val="both"/>
        <w:rPr>
          <w:rFonts w:ascii="Abadi" w:hAnsi="Abadi"/>
          <w:b/>
          <w:bCs/>
          <w:sz w:val="21"/>
          <w:szCs w:val="21"/>
        </w:rPr>
      </w:pPr>
    </w:p>
    <w:p w14:paraId="01E9825D" w14:textId="2E098386" w:rsidR="00AA17FE" w:rsidRDefault="00E80FC6" w:rsidP="00E80FC6">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secretaría.-</w:t>
      </w:r>
      <w:r w:rsidR="00AA17FE" w:rsidRPr="007A1C6A">
        <w:rPr>
          <w:rFonts w:ascii="Abadi" w:hAnsi="Abadi"/>
          <w:sz w:val="21"/>
          <w:szCs w:val="21"/>
        </w:rPr>
        <w:t xml:space="preserve"> Se registraron 26 votos en contra y 8 votos a favor. </w:t>
      </w:r>
    </w:p>
    <w:p w14:paraId="5539466A" w14:textId="77777777" w:rsidR="00E80FC6" w:rsidRPr="007A1C6A" w:rsidRDefault="00E80FC6" w:rsidP="00AA17FE">
      <w:pPr>
        <w:jc w:val="both"/>
        <w:rPr>
          <w:rFonts w:ascii="Abadi" w:hAnsi="Abadi"/>
          <w:sz w:val="21"/>
          <w:szCs w:val="21"/>
        </w:rPr>
      </w:pPr>
    </w:p>
    <w:p w14:paraId="763AE713" w14:textId="21E7D84B" w:rsidR="00AA17FE" w:rsidRDefault="00E80FC6" w:rsidP="00E80FC6">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Presidencia.-</w:t>
      </w:r>
      <w:r w:rsidR="00AA17FE" w:rsidRPr="007A1C6A">
        <w:rPr>
          <w:rFonts w:ascii="Abadi" w:hAnsi="Abadi"/>
          <w:sz w:val="21"/>
          <w:szCs w:val="21"/>
        </w:rPr>
        <w:t xml:space="preserve"> El punto de acuerdo no ha sido aprobado. </w:t>
      </w:r>
    </w:p>
    <w:p w14:paraId="263D9CD1" w14:textId="3227F29A" w:rsidR="00E80FC6" w:rsidRPr="007A1C6A" w:rsidRDefault="00E80FC6" w:rsidP="00AA17FE">
      <w:pPr>
        <w:jc w:val="both"/>
        <w:rPr>
          <w:rFonts w:ascii="Abadi" w:hAnsi="Abadi"/>
          <w:sz w:val="21"/>
          <w:szCs w:val="21"/>
        </w:rPr>
      </w:pPr>
    </w:p>
    <w:p w14:paraId="4CBFB412" w14:textId="703587A4" w:rsidR="00AA17FE" w:rsidRDefault="00E80FC6" w:rsidP="00E80FC6">
      <w:pPr>
        <w:ind w:firstLine="708"/>
        <w:jc w:val="both"/>
        <w:rPr>
          <w:rFonts w:ascii="Abadi" w:hAnsi="Abadi"/>
          <w:b/>
          <w:bCs/>
          <w:i/>
          <w:iCs/>
          <w:sz w:val="21"/>
          <w:szCs w:val="21"/>
          <w:u w:val="single"/>
        </w:rPr>
      </w:pPr>
      <w:r>
        <w:rPr>
          <w:rFonts w:ascii="Abadi" w:hAnsi="Abadi"/>
          <w:sz w:val="21"/>
          <w:szCs w:val="21"/>
        </w:rPr>
        <w:t xml:space="preserve">- </w:t>
      </w:r>
      <w:r w:rsidR="00AA17FE" w:rsidRPr="007A1C6A">
        <w:rPr>
          <w:rFonts w:ascii="Abadi" w:hAnsi="Abadi"/>
          <w:sz w:val="21"/>
          <w:szCs w:val="21"/>
        </w:rPr>
        <w:t xml:space="preserve">En virtud de no aprobarse el punto de acuerdo, </w:t>
      </w:r>
      <w:r w:rsidR="00AA17FE" w:rsidRPr="007A1C6A">
        <w:rPr>
          <w:rFonts w:ascii="Abadi" w:hAnsi="Abadi"/>
          <w:b/>
          <w:bCs/>
          <w:i/>
          <w:iCs/>
          <w:sz w:val="21"/>
          <w:szCs w:val="21"/>
          <w:u w:val="single"/>
        </w:rPr>
        <w:t xml:space="preserve">se procede a su archivo definitivo y subiéndose para tal efecto a la Secretaría General. </w:t>
      </w:r>
    </w:p>
    <w:p w14:paraId="50A18275" w14:textId="77777777" w:rsidR="00E80FC6" w:rsidRPr="007A1C6A" w:rsidRDefault="00E80FC6" w:rsidP="00E80FC6">
      <w:pPr>
        <w:ind w:firstLine="708"/>
        <w:jc w:val="both"/>
        <w:rPr>
          <w:rFonts w:ascii="Abadi" w:hAnsi="Abadi"/>
          <w:b/>
          <w:bCs/>
          <w:i/>
          <w:iCs/>
          <w:sz w:val="21"/>
          <w:szCs w:val="21"/>
          <w:u w:val="single"/>
        </w:rPr>
      </w:pPr>
    </w:p>
    <w:p w14:paraId="716C0428" w14:textId="7AC3E005" w:rsidR="00AA17FE" w:rsidRDefault="008B1CC6" w:rsidP="008B1CC6">
      <w:pPr>
        <w:ind w:firstLine="708"/>
        <w:jc w:val="both"/>
        <w:rPr>
          <w:rFonts w:ascii="Abadi" w:hAnsi="Abadi"/>
          <w:sz w:val="21"/>
          <w:szCs w:val="21"/>
        </w:rPr>
      </w:pPr>
      <w:r>
        <w:rPr>
          <w:rFonts w:ascii="Abadi" w:hAnsi="Abadi"/>
          <w:b/>
          <w:bCs/>
          <w:sz w:val="21"/>
          <w:szCs w:val="21"/>
        </w:rPr>
        <w:t xml:space="preserve">- </w:t>
      </w:r>
      <w:r w:rsidR="00AA17FE" w:rsidRPr="007A1C6A">
        <w:rPr>
          <w:rFonts w:ascii="Abadi" w:hAnsi="Abadi"/>
          <w:b/>
          <w:bCs/>
          <w:sz w:val="21"/>
          <w:szCs w:val="21"/>
        </w:rPr>
        <w:t>La Presidencia.-</w:t>
      </w:r>
      <w:r w:rsidR="00AA17FE" w:rsidRPr="007A1C6A">
        <w:rPr>
          <w:rFonts w:ascii="Abadi" w:hAnsi="Abadi"/>
          <w:sz w:val="21"/>
          <w:szCs w:val="21"/>
        </w:rPr>
        <w:t xml:space="preserve"> Corresponde tomar votación de los siguientes puntos del orden del día, por lo que esta Mesa Directiva procede a cerciorarse de la presencia de las diputadas y los diputados asistentes a la presente sesión. </w:t>
      </w:r>
    </w:p>
    <w:p w14:paraId="4776275D" w14:textId="77777777" w:rsidR="008B1CC6" w:rsidRPr="007A1C6A" w:rsidRDefault="008B1CC6" w:rsidP="008B1CC6">
      <w:pPr>
        <w:ind w:firstLine="708"/>
        <w:jc w:val="both"/>
        <w:rPr>
          <w:rFonts w:ascii="Abadi" w:hAnsi="Abadi"/>
          <w:sz w:val="21"/>
          <w:szCs w:val="21"/>
        </w:rPr>
      </w:pPr>
    </w:p>
    <w:p w14:paraId="57E868C4" w14:textId="2C0422D0" w:rsidR="00AA17FE" w:rsidRDefault="00AA17FE" w:rsidP="008B1CC6">
      <w:pPr>
        <w:ind w:firstLine="708"/>
        <w:jc w:val="both"/>
        <w:rPr>
          <w:rFonts w:ascii="Abadi" w:hAnsi="Abadi"/>
          <w:sz w:val="21"/>
          <w:szCs w:val="21"/>
        </w:rPr>
      </w:pPr>
      <w:r w:rsidRPr="007A1C6A">
        <w:rPr>
          <w:rFonts w:ascii="Abadi" w:hAnsi="Abadi"/>
          <w:sz w:val="21"/>
          <w:szCs w:val="21"/>
        </w:rPr>
        <w:t xml:space="preserve">- Así mismo se pide a las diputadas y a los diputados abstenerse de abandonar ese salón durante las votaciones. </w:t>
      </w:r>
    </w:p>
    <w:p w14:paraId="35B84F38" w14:textId="77777777" w:rsidR="008B1CC6" w:rsidRPr="007A1C6A" w:rsidRDefault="008B1CC6" w:rsidP="00AA17FE">
      <w:pPr>
        <w:jc w:val="both"/>
        <w:rPr>
          <w:rFonts w:ascii="Abadi" w:hAnsi="Abadi"/>
          <w:sz w:val="21"/>
          <w:szCs w:val="21"/>
        </w:rPr>
      </w:pPr>
    </w:p>
    <w:p w14:paraId="6954F3B3" w14:textId="77777777" w:rsidR="00307D01" w:rsidRDefault="008B1CC6" w:rsidP="00307D01">
      <w:pPr>
        <w:ind w:firstLine="426"/>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Esta Presidencia da la más cordial bienvenida </w:t>
      </w:r>
      <w:r>
        <w:rPr>
          <w:rFonts w:ascii="Abadi" w:hAnsi="Abadi"/>
          <w:sz w:val="21"/>
          <w:szCs w:val="21"/>
        </w:rPr>
        <w:t>a i</w:t>
      </w:r>
      <w:r w:rsidR="00AA17FE" w:rsidRPr="007A1C6A">
        <w:rPr>
          <w:rFonts w:ascii="Abadi" w:hAnsi="Abadi"/>
          <w:sz w:val="21"/>
          <w:szCs w:val="21"/>
        </w:rPr>
        <w:t xml:space="preserve">ntegrantes de la Sociedad Civil Chispitas </w:t>
      </w:r>
      <w:r w:rsidR="00307D01">
        <w:rPr>
          <w:rFonts w:ascii="Abadi" w:hAnsi="Abadi"/>
          <w:sz w:val="21"/>
          <w:szCs w:val="21"/>
        </w:rPr>
        <w:t>d</w:t>
      </w:r>
      <w:r w:rsidR="00AA17FE" w:rsidRPr="007A1C6A">
        <w:rPr>
          <w:rFonts w:ascii="Abadi" w:hAnsi="Abadi"/>
          <w:sz w:val="21"/>
          <w:szCs w:val="21"/>
        </w:rPr>
        <w:t xml:space="preserve">e Felicidad de Celaya Guanajuato, pertenecientes al distrito XV, invitados por la diputada María de la Luz Hernández Martínez. </w:t>
      </w:r>
    </w:p>
    <w:p w14:paraId="18EAC2BE" w14:textId="77777777" w:rsidR="00307D01" w:rsidRDefault="00307D01" w:rsidP="00AA17FE">
      <w:pPr>
        <w:jc w:val="both"/>
        <w:rPr>
          <w:rFonts w:ascii="Abadi" w:hAnsi="Abadi"/>
          <w:sz w:val="21"/>
          <w:szCs w:val="21"/>
        </w:rPr>
      </w:pPr>
    </w:p>
    <w:p w14:paraId="0A081953" w14:textId="42CEF71C" w:rsidR="00AA17FE" w:rsidRPr="007A1C6A" w:rsidRDefault="00307D01" w:rsidP="00307D01">
      <w:pPr>
        <w:ind w:firstLine="426"/>
        <w:jc w:val="both"/>
        <w:rPr>
          <w:rFonts w:ascii="Abadi" w:hAnsi="Abadi"/>
          <w:sz w:val="21"/>
          <w:szCs w:val="21"/>
        </w:rPr>
      </w:pPr>
      <w:r>
        <w:rPr>
          <w:rFonts w:ascii="Abadi" w:hAnsi="Abadi"/>
          <w:sz w:val="21"/>
          <w:szCs w:val="21"/>
        </w:rPr>
        <w:t xml:space="preserve">- </w:t>
      </w:r>
      <w:r w:rsidR="00AA17FE" w:rsidRPr="007A1C6A">
        <w:rPr>
          <w:rFonts w:ascii="Abadi" w:hAnsi="Abadi"/>
          <w:sz w:val="21"/>
          <w:szCs w:val="21"/>
        </w:rPr>
        <w:t xml:space="preserve">Bienvenidos. </w:t>
      </w:r>
    </w:p>
    <w:p w14:paraId="51A1157C" w14:textId="77777777" w:rsidR="00AA17FE" w:rsidRPr="007A1C6A" w:rsidRDefault="00AA17FE" w:rsidP="00A61F6A">
      <w:pPr>
        <w:ind w:firstLine="708"/>
        <w:jc w:val="both"/>
        <w:rPr>
          <w:rFonts w:ascii="Abadi" w:hAnsi="Abadi"/>
          <w:sz w:val="21"/>
          <w:szCs w:val="21"/>
        </w:rPr>
      </w:pPr>
    </w:p>
    <w:p w14:paraId="2F12319D" w14:textId="77777777" w:rsidR="006F3002" w:rsidRPr="00293312" w:rsidRDefault="006F3002" w:rsidP="006F3002">
      <w:pPr>
        <w:autoSpaceDE w:val="0"/>
        <w:autoSpaceDN w:val="0"/>
        <w:adjustRightInd w:val="0"/>
        <w:jc w:val="both"/>
        <w:rPr>
          <w:rFonts w:ascii="Abadi" w:hAnsi="Abadi" w:cs="ArialMT"/>
          <w:b/>
          <w:bCs/>
          <w:sz w:val="20"/>
          <w:szCs w:val="21"/>
        </w:rPr>
      </w:pPr>
    </w:p>
    <w:p w14:paraId="6806257B" w14:textId="28D1B2E3"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PRESENTACIÓN DE LA PROPUESTA DE PUNTO DE ACUERDO DE OBVIA RESOLUCIÓN SUSCRITA POR LAS DIPUTADAS Y LOS DIPUTADOS INTEGRANTES DEL GRUPO PARLAMENTARIO DEL PARTIDO MORENA A EFECTO DE CREAR LA COMISIÓN ESPECIAL DE SEGUIMIENTO A LOS HECHOS DEL 1 DE MAYO EN EL MUNICIPIO DE IRAPUATO, GUANAJUATO Y, EN SU CASO, APROBACIÓN DE LA MISMA.</w:t>
      </w:r>
    </w:p>
    <w:p w14:paraId="0FC880D1" w14:textId="440E4A85" w:rsidR="00C95E69" w:rsidRDefault="00C95E69" w:rsidP="00C95E69">
      <w:pPr>
        <w:pStyle w:val="Prrafodelista"/>
        <w:autoSpaceDE w:val="0"/>
        <w:autoSpaceDN w:val="0"/>
        <w:adjustRightInd w:val="0"/>
        <w:ind w:left="426"/>
        <w:jc w:val="both"/>
        <w:rPr>
          <w:rFonts w:ascii="Abadi" w:hAnsi="Abadi" w:cs="ArialMT"/>
          <w:b/>
          <w:bCs/>
          <w:sz w:val="20"/>
          <w:szCs w:val="21"/>
        </w:rPr>
      </w:pPr>
    </w:p>
    <w:p w14:paraId="3D3C2ED9" w14:textId="56E5912A" w:rsidR="00C95E69" w:rsidRPr="00C95E69" w:rsidRDefault="00C95E69" w:rsidP="00C95E69">
      <w:pPr>
        <w:kinsoku w:val="0"/>
        <w:overflowPunct w:val="0"/>
        <w:autoSpaceDE w:val="0"/>
        <w:autoSpaceDN w:val="0"/>
        <w:adjustRightInd w:val="0"/>
        <w:ind w:right="201"/>
        <w:jc w:val="both"/>
        <w:rPr>
          <w:rFonts w:ascii="Abadi" w:hAnsi="Abadi" w:cs="Arial"/>
          <w:b/>
          <w:bCs/>
          <w:color w:val="14121E"/>
          <w:sz w:val="21"/>
          <w:szCs w:val="21"/>
        </w:rPr>
      </w:pPr>
      <w:r w:rsidRPr="00C95E69">
        <w:rPr>
          <w:rFonts w:ascii="Abadi" w:hAnsi="Abadi" w:cs="Arial"/>
          <w:b/>
          <w:bCs/>
          <w:color w:val="14121E"/>
          <w:sz w:val="21"/>
          <w:szCs w:val="21"/>
        </w:rPr>
        <w:t>Diputada</w:t>
      </w:r>
      <w:r w:rsidRPr="00C95E69">
        <w:rPr>
          <w:rFonts w:ascii="Abadi" w:hAnsi="Abadi" w:cs="Arial"/>
          <w:b/>
          <w:bCs/>
          <w:color w:val="14121E"/>
          <w:spacing w:val="15"/>
          <w:sz w:val="21"/>
          <w:szCs w:val="21"/>
        </w:rPr>
        <w:t xml:space="preserve"> </w:t>
      </w:r>
      <w:r w:rsidRPr="00C95E69">
        <w:rPr>
          <w:rFonts w:ascii="Abadi" w:hAnsi="Abadi" w:cs="Arial"/>
          <w:b/>
          <w:bCs/>
          <w:color w:val="14121E"/>
          <w:sz w:val="21"/>
          <w:szCs w:val="21"/>
        </w:rPr>
        <w:t>lrma</w:t>
      </w:r>
      <w:r w:rsidRPr="00C95E69">
        <w:rPr>
          <w:rFonts w:ascii="Abadi" w:hAnsi="Abadi" w:cs="Arial"/>
          <w:b/>
          <w:bCs/>
          <w:color w:val="14121E"/>
          <w:spacing w:val="11"/>
          <w:sz w:val="21"/>
          <w:szCs w:val="21"/>
        </w:rPr>
        <w:t xml:space="preserve"> </w:t>
      </w:r>
      <w:r w:rsidRPr="00C95E69">
        <w:rPr>
          <w:rFonts w:ascii="Abadi" w:hAnsi="Abadi" w:cs="Arial"/>
          <w:b/>
          <w:bCs/>
          <w:color w:val="14121E"/>
          <w:sz w:val="21"/>
          <w:szCs w:val="21"/>
        </w:rPr>
        <w:t>Leticia</w:t>
      </w:r>
      <w:r w:rsidRPr="00C95E69">
        <w:rPr>
          <w:rFonts w:ascii="Abadi" w:hAnsi="Abadi" w:cs="Arial"/>
          <w:b/>
          <w:bCs/>
          <w:color w:val="14121E"/>
          <w:spacing w:val="6"/>
          <w:sz w:val="21"/>
          <w:szCs w:val="21"/>
        </w:rPr>
        <w:t xml:space="preserve"> </w:t>
      </w:r>
      <w:r w:rsidRPr="00C95E69">
        <w:rPr>
          <w:rFonts w:ascii="Abadi" w:hAnsi="Abadi" w:cs="Arial"/>
          <w:b/>
          <w:bCs/>
          <w:color w:val="14121E"/>
          <w:sz w:val="21"/>
          <w:szCs w:val="21"/>
        </w:rPr>
        <w:t>González</w:t>
      </w:r>
      <w:r w:rsidRPr="00C95E69">
        <w:rPr>
          <w:rFonts w:ascii="Abadi" w:hAnsi="Abadi" w:cs="Arial"/>
          <w:b/>
          <w:bCs/>
          <w:color w:val="14121E"/>
          <w:spacing w:val="5"/>
          <w:sz w:val="21"/>
          <w:szCs w:val="21"/>
        </w:rPr>
        <w:t xml:space="preserve"> </w:t>
      </w:r>
      <w:r w:rsidRPr="00C95E69">
        <w:rPr>
          <w:rFonts w:ascii="Abadi" w:hAnsi="Abadi" w:cs="Arial"/>
          <w:b/>
          <w:bCs/>
          <w:color w:val="14121E"/>
          <w:sz w:val="21"/>
          <w:szCs w:val="21"/>
        </w:rPr>
        <w:t>Sánchez</w:t>
      </w:r>
    </w:p>
    <w:p w14:paraId="48DE0F20" w14:textId="77777777" w:rsidR="00C95E69" w:rsidRPr="00C95E69" w:rsidRDefault="00C95E69" w:rsidP="00C95E69">
      <w:pPr>
        <w:kinsoku w:val="0"/>
        <w:overflowPunct w:val="0"/>
        <w:autoSpaceDE w:val="0"/>
        <w:autoSpaceDN w:val="0"/>
        <w:adjustRightInd w:val="0"/>
        <w:ind w:right="201"/>
        <w:jc w:val="both"/>
        <w:rPr>
          <w:rFonts w:ascii="Abadi" w:hAnsi="Abadi" w:cs="Arial"/>
          <w:color w:val="14121E"/>
          <w:sz w:val="21"/>
          <w:szCs w:val="21"/>
        </w:rPr>
      </w:pPr>
      <w:r w:rsidRPr="00C95E69">
        <w:rPr>
          <w:rFonts w:ascii="Abadi" w:hAnsi="Abadi" w:cs="Arial"/>
          <w:color w:val="14121E"/>
          <w:sz w:val="21"/>
          <w:szCs w:val="21"/>
        </w:rPr>
        <w:t>Presidenta</w:t>
      </w:r>
      <w:r w:rsidRPr="00C95E69">
        <w:rPr>
          <w:rFonts w:ascii="Abadi" w:hAnsi="Abadi" w:cs="Arial"/>
          <w:color w:val="14121E"/>
          <w:spacing w:val="-4"/>
          <w:sz w:val="21"/>
          <w:szCs w:val="21"/>
        </w:rPr>
        <w:t xml:space="preserve"> </w:t>
      </w:r>
      <w:r w:rsidRPr="00C95E69">
        <w:rPr>
          <w:rFonts w:ascii="Abadi" w:hAnsi="Abadi" w:cs="Arial"/>
          <w:color w:val="14121E"/>
          <w:sz w:val="21"/>
          <w:szCs w:val="21"/>
        </w:rPr>
        <w:t>de</w:t>
      </w:r>
      <w:r w:rsidRPr="00C95E69">
        <w:rPr>
          <w:rFonts w:ascii="Abadi" w:hAnsi="Abadi" w:cs="Arial"/>
          <w:color w:val="14121E"/>
          <w:spacing w:val="-5"/>
          <w:sz w:val="21"/>
          <w:szCs w:val="21"/>
        </w:rPr>
        <w:t xml:space="preserve"> </w:t>
      </w:r>
      <w:r w:rsidRPr="00C95E69">
        <w:rPr>
          <w:rFonts w:ascii="Abadi" w:hAnsi="Abadi" w:cs="Arial"/>
          <w:color w:val="14121E"/>
          <w:sz w:val="21"/>
          <w:szCs w:val="21"/>
        </w:rPr>
        <w:t>la</w:t>
      </w:r>
      <w:r w:rsidRPr="00C95E69">
        <w:rPr>
          <w:rFonts w:ascii="Abadi" w:hAnsi="Abadi" w:cs="Arial"/>
          <w:color w:val="14121E"/>
          <w:spacing w:val="7"/>
          <w:sz w:val="21"/>
          <w:szCs w:val="21"/>
        </w:rPr>
        <w:t xml:space="preserve"> </w:t>
      </w:r>
      <w:r w:rsidRPr="00C95E69">
        <w:rPr>
          <w:rFonts w:ascii="Abadi" w:hAnsi="Abadi" w:cs="Arial"/>
          <w:color w:val="14121E"/>
          <w:sz w:val="21"/>
          <w:szCs w:val="21"/>
        </w:rPr>
        <w:t>Mesa</w:t>
      </w:r>
      <w:r w:rsidRPr="00C95E69">
        <w:rPr>
          <w:rFonts w:ascii="Abadi" w:hAnsi="Abadi" w:cs="Arial"/>
          <w:color w:val="14121E"/>
          <w:spacing w:val="6"/>
          <w:sz w:val="21"/>
          <w:szCs w:val="21"/>
        </w:rPr>
        <w:t xml:space="preserve"> </w:t>
      </w:r>
      <w:r w:rsidRPr="00C95E69">
        <w:rPr>
          <w:rFonts w:ascii="Abadi" w:hAnsi="Abadi" w:cs="Arial"/>
          <w:color w:val="14121E"/>
          <w:sz w:val="21"/>
          <w:szCs w:val="21"/>
        </w:rPr>
        <w:t>Directiva de</w:t>
      </w:r>
      <w:r w:rsidRPr="00C95E69">
        <w:rPr>
          <w:rFonts w:ascii="Abadi" w:hAnsi="Abadi" w:cs="Arial"/>
          <w:color w:val="14121E"/>
          <w:spacing w:val="-4"/>
          <w:sz w:val="21"/>
          <w:szCs w:val="21"/>
        </w:rPr>
        <w:t xml:space="preserve"> </w:t>
      </w:r>
      <w:r w:rsidRPr="00C95E69">
        <w:rPr>
          <w:rFonts w:ascii="Abadi" w:hAnsi="Abadi" w:cs="Arial"/>
          <w:color w:val="14121E"/>
          <w:sz w:val="21"/>
          <w:szCs w:val="21"/>
        </w:rPr>
        <w:t>la</w:t>
      </w:r>
    </w:p>
    <w:p w14:paraId="09F725BB" w14:textId="6FB41277" w:rsidR="00C95E69" w:rsidRPr="00C95E69" w:rsidRDefault="00C95E69" w:rsidP="00C95E69">
      <w:pPr>
        <w:kinsoku w:val="0"/>
        <w:overflowPunct w:val="0"/>
        <w:autoSpaceDE w:val="0"/>
        <w:autoSpaceDN w:val="0"/>
        <w:adjustRightInd w:val="0"/>
        <w:spacing w:before="8"/>
        <w:ind w:right="201"/>
        <w:jc w:val="both"/>
        <w:rPr>
          <w:rFonts w:ascii="Abadi" w:hAnsi="Abadi" w:cs="Arial"/>
          <w:color w:val="14131C"/>
          <w:spacing w:val="-2"/>
          <w:sz w:val="21"/>
          <w:szCs w:val="21"/>
        </w:rPr>
      </w:pPr>
      <w:r w:rsidRPr="00C95E69">
        <w:rPr>
          <w:rFonts w:ascii="Abadi" w:hAnsi="Abadi" w:cs="Arial"/>
          <w:color w:val="14131C"/>
          <w:sz w:val="21"/>
          <w:szCs w:val="21"/>
        </w:rPr>
        <w:t>LXV</w:t>
      </w:r>
      <w:r w:rsidRPr="00C95E69">
        <w:rPr>
          <w:rFonts w:ascii="Abadi" w:hAnsi="Abadi" w:cs="Arial"/>
          <w:color w:val="14131C"/>
          <w:spacing w:val="18"/>
          <w:sz w:val="21"/>
          <w:szCs w:val="21"/>
        </w:rPr>
        <w:t xml:space="preserve"> </w:t>
      </w:r>
      <w:r w:rsidRPr="00C95E69">
        <w:rPr>
          <w:rFonts w:ascii="Abadi" w:hAnsi="Abadi" w:cs="Arial"/>
          <w:color w:val="14131C"/>
          <w:sz w:val="21"/>
          <w:szCs w:val="21"/>
        </w:rPr>
        <w:t>Legislatura</w:t>
      </w:r>
      <w:r w:rsidRPr="00C95E69">
        <w:rPr>
          <w:rFonts w:ascii="Abadi" w:hAnsi="Abadi" w:cs="Arial"/>
          <w:color w:val="14131C"/>
          <w:spacing w:val="1"/>
          <w:sz w:val="21"/>
          <w:szCs w:val="21"/>
        </w:rPr>
        <w:t xml:space="preserve"> </w:t>
      </w:r>
      <w:r w:rsidRPr="00C95E69">
        <w:rPr>
          <w:rFonts w:ascii="Abadi" w:hAnsi="Abadi" w:cs="Arial"/>
          <w:color w:val="14131C"/>
          <w:sz w:val="21"/>
          <w:szCs w:val="21"/>
        </w:rPr>
        <w:t>del</w:t>
      </w:r>
      <w:r w:rsidRPr="00C95E69">
        <w:rPr>
          <w:rFonts w:ascii="Abadi" w:hAnsi="Abadi" w:cs="Arial"/>
          <w:color w:val="14131C"/>
          <w:spacing w:val="12"/>
          <w:sz w:val="21"/>
          <w:szCs w:val="21"/>
        </w:rPr>
        <w:t xml:space="preserve"> </w:t>
      </w:r>
      <w:r w:rsidRPr="00C95E69">
        <w:rPr>
          <w:rFonts w:ascii="Abadi" w:hAnsi="Abadi" w:cs="Arial"/>
          <w:color w:val="14131C"/>
          <w:sz w:val="21"/>
          <w:szCs w:val="21"/>
        </w:rPr>
        <w:t>Estado</w:t>
      </w:r>
      <w:r w:rsidRPr="00C95E69">
        <w:rPr>
          <w:rFonts w:ascii="Abadi" w:hAnsi="Abadi" w:cs="Arial"/>
          <w:color w:val="14131C"/>
          <w:spacing w:val="1"/>
          <w:sz w:val="21"/>
          <w:szCs w:val="21"/>
        </w:rPr>
        <w:t xml:space="preserve"> </w:t>
      </w:r>
      <w:r w:rsidRPr="00C95E69">
        <w:rPr>
          <w:rFonts w:ascii="Abadi" w:hAnsi="Abadi" w:cs="Arial"/>
          <w:color w:val="14131C"/>
          <w:sz w:val="21"/>
          <w:szCs w:val="21"/>
        </w:rPr>
        <w:t>de Guanajuato</w:t>
      </w:r>
    </w:p>
    <w:p w14:paraId="696F2802" w14:textId="6DA8C9C9" w:rsidR="00C95E69" w:rsidRDefault="00C95E69" w:rsidP="00C95E69">
      <w:pPr>
        <w:kinsoku w:val="0"/>
        <w:overflowPunct w:val="0"/>
        <w:autoSpaceDE w:val="0"/>
        <w:autoSpaceDN w:val="0"/>
        <w:adjustRightInd w:val="0"/>
        <w:spacing w:before="8"/>
        <w:ind w:right="201"/>
        <w:jc w:val="both"/>
        <w:rPr>
          <w:rFonts w:ascii="Abadi" w:hAnsi="Abadi" w:cs="Arial"/>
          <w:color w:val="14131C"/>
          <w:sz w:val="21"/>
          <w:szCs w:val="21"/>
        </w:rPr>
      </w:pPr>
      <w:r w:rsidRPr="00C95E69">
        <w:rPr>
          <w:rFonts w:ascii="Abadi" w:hAnsi="Abadi" w:cs="Arial"/>
          <w:color w:val="14131C"/>
          <w:sz w:val="21"/>
          <w:szCs w:val="21"/>
        </w:rPr>
        <w:t>Presente.</w:t>
      </w:r>
    </w:p>
    <w:p w14:paraId="7F5209D8" w14:textId="77777777" w:rsidR="0001791A" w:rsidRPr="00C95E69" w:rsidRDefault="0001791A" w:rsidP="00C95E69">
      <w:pPr>
        <w:kinsoku w:val="0"/>
        <w:overflowPunct w:val="0"/>
        <w:autoSpaceDE w:val="0"/>
        <w:autoSpaceDN w:val="0"/>
        <w:adjustRightInd w:val="0"/>
        <w:spacing w:before="8"/>
        <w:ind w:right="201"/>
        <w:jc w:val="both"/>
        <w:rPr>
          <w:rFonts w:ascii="Abadi" w:hAnsi="Abadi" w:cs="Arial"/>
          <w:color w:val="14131C"/>
          <w:sz w:val="21"/>
          <w:szCs w:val="21"/>
        </w:rPr>
      </w:pPr>
    </w:p>
    <w:p w14:paraId="357C112A" w14:textId="2751C62A" w:rsidR="00C95E69" w:rsidRPr="00C95E69" w:rsidRDefault="00C95E69" w:rsidP="00BF631B">
      <w:pPr>
        <w:kinsoku w:val="0"/>
        <w:overflowPunct w:val="0"/>
        <w:autoSpaceDE w:val="0"/>
        <w:autoSpaceDN w:val="0"/>
        <w:adjustRightInd w:val="0"/>
        <w:ind w:left="40" w:right="201" w:firstLine="23"/>
        <w:jc w:val="both"/>
        <w:rPr>
          <w:rFonts w:ascii="Abadi" w:hAnsi="Abadi" w:cs="Arial"/>
          <w:color w:val="14121D"/>
          <w:sz w:val="21"/>
          <w:szCs w:val="21"/>
        </w:rPr>
      </w:pPr>
      <w:r w:rsidRPr="00C95E69">
        <w:rPr>
          <w:rFonts w:ascii="Abadi" w:hAnsi="Abadi" w:cs="Arial"/>
          <w:color w:val="14121D"/>
          <w:sz w:val="21"/>
          <w:szCs w:val="21"/>
        </w:rPr>
        <w:t>Diputadas</w:t>
      </w:r>
      <w:r w:rsidRPr="00C95E69">
        <w:rPr>
          <w:rFonts w:ascii="Abadi" w:hAnsi="Abadi" w:cs="Arial"/>
          <w:color w:val="14121D"/>
          <w:spacing w:val="15"/>
          <w:sz w:val="21"/>
          <w:szCs w:val="21"/>
        </w:rPr>
        <w:t xml:space="preserve"> </w:t>
      </w:r>
      <w:r w:rsidRPr="00C95E69">
        <w:rPr>
          <w:rFonts w:ascii="Abadi" w:hAnsi="Abadi" w:cs="Arial"/>
          <w:color w:val="14121D"/>
          <w:sz w:val="21"/>
          <w:szCs w:val="21"/>
        </w:rPr>
        <w:t>y</w:t>
      </w:r>
      <w:r w:rsidRPr="00C95E69">
        <w:rPr>
          <w:rFonts w:ascii="Abadi" w:hAnsi="Abadi" w:cs="Arial"/>
          <w:color w:val="14121D"/>
          <w:spacing w:val="7"/>
          <w:sz w:val="21"/>
          <w:szCs w:val="21"/>
        </w:rPr>
        <w:t xml:space="preserve"> </w:t>
      </w:r>
      <w:r w:rsidRPr="00C95E69">
        <w:rPr>
          <w:rFonts w:ascii="Abadi" w:hAnsi="Abadi" w:cs="Arial"/>
          <w:color w:val="14121D"/>
          <w:sz w:val="21"/>
          <w:szCs w:val="21"/>
        </w:rPr>
        <w:t>diputados</w:t>
      </w:r>
      <w:r w:rsidRPr="00C95E69">
        <w:rPr>
          <w:rFonts w:ascii="Abadi" w:hAnsi="Abadi" w:cs="Arial"/>
          <w:color w:val="14121D"/>
          <w:spacing w:val="5"/>
          <w:sz w:val="21"/>
          <w:szCs w:val="21"/>
        </w:rPr>
        <w:t xml:space="preserve"> </w:t>
      </w:r>
      <w:r w:rsidRPr="00C95E69">
        <w:rPr>
          <w:rFonts w:ascii="Abadi" w:hAnsi="Abadi" w:cs="Arial"/>
          <w:color w:val="14121D"/>
          <w:sz w:val="21"/>
          <w:szCs w:val="21"/>
        </w:rPr>
        <w:t>integrantes</w:t>
      </w:r>
      <w:r w:rsidRPr="00C95E69">
        <w:rPr>
          <w:rFonts w:ascii="Abadi" w:hAnsi="Abadi" w:cs="Arial"/>
          <w:color w:val="14121D"/>
          <w:spacing w:val="9"/>
          <w:sz w:val="21"/>
          <w:szCs w:val="21"/>
        </w:rPr>
        <w:t xml:space="preserve"> </w:t>
      </w:r>
      <w:r w:rsidRPr="00C95E69">
        <w:rPr>
          <w:rFonts w:ascii="Abadi" w:hAnsi="Abadi" w:cs="Arial"/>
          <w:color w:val="14121D"/>
          <w:sz w:val="21"/>
          <w:szCs w:val="21"/>
        </w:rPr>
        <w:t>del</w:t>
      </w:r>
      <w:r w:rsidRPr="00C95E69">
        <w:rPr>
          <w:rFonts w:ascii="Abadi" w:hAnsi="Abadi" w:cs="Arial"/>
          <w:color w:val="14121D"/>
          <w:spacing w:val="17"/>
          <w:sz w:val="21"/>
          <w:szCs w:val="21"/>
        </w:rPr>
        <w:t xml:space="preserve"> </w:t>
      </w:r>
      <w:r w:rsidRPr="00C95E69">
        <w:rPr>
          <w:rFonts w:ascii="Abadi" w:hAnsi="Abadi" w:cs="Arial"/>
          <w:b/>
          <w:bCs/>
          <w:color w:val="14121D"/>
          <w:sz w:val="21"/>
          <w:szCs w:val="21"/>
        </w:rPr>
        <w:t>Grupo</w:t>
      </w:r>
      <w:r w:rsidRPr="00C95E69">
        <w:rPr>
          <w:rFonts w:ascii="Abadi" w:hAnsi="Abadi" w:cs="Arial"/>
          <w:b/>
          <w:bCs/>
          <w:color w:val="14121D"/>
          <w:spacing w:val="24"/>
          <w:sz w:val="21"/>
          <w:szCs w:val="21"/>
        </w:rPr>
        <w:t xml:space="preserve"> </w:t>
      </w:r>
      <w:r w:rsidRPr="00C95E69">
        <w:rPr>
          <w:rFonts w:ascii="Abadi" w:hAnsi="Abadi" w:cs="Arial"/>
          <w:b/>
          <w:bCs/>
          <w:color w:val="14121D"/>
          <w:sz w:val="21"/>
          <w:szCs w:val="21"/>
        </w:rPr>
        <w:t>Parlamentario</w:t>
      </w:r>
      <w:r w:rsidRPr="00C95E69">
        <w:rPr>
          <w:rFonts w:ascii="Abadi" w:hAnsi="Abadi" w:cs="Arial"/>
          <w:b/>
          <w:bCs/>
          <w:color w:val="14121D"/>
          <w:spacing w:val="17"/>
          <w:sz w:val="21"/>
          <w:szCs w:val="21"/>
        </w:rPr>
        <w:t xml:space="preserve"> </w:t>
      </w:r>
      <w:r w:rsidRPr="00C95E69">
        <w:rPr>
          <w:rFonts w:ascii="Abadi" w:hAnsi="Abadi" w:cs="Arial"/>
          <w:b/>
          <w:bCs/>
          <w:color w:val="14121D"/>
          <w:sz w:val="21"/>
          <w:szCs w:val="21"/>
        </w:rPr>
        <w:t>de</w:t>
      </w:r>
      <w:r w:rsidRPr="00C95E69">
        <w:rPr>
          <w:rFonts w:ascii="Abadi" w:hAnsi="Abadi" w:cs="Arial"/>
          <w:b/>
          <w:bCs/>
          <w:color w:val="14121D"/>
          <w:spacing w:val="21"/>
          <w:sz w:val="21"/>
          <w:szCs w:val="21"/>
        </w:rPr>
        <w:t xml:space="preserve"> </w:t>
      </w:r>
      <w:r w:rsidRPr="00C95E69">
        <w:rPr>
          <w:rFonts w:ascii="Abadi" w:hAnsi="Abadi" w:cs="Arial"/>
          <w:b/>
          <w:bCs/>
          <w:color w:val="14121D"/>
          <w:sz w:val="21"/>
          <w:szCs w:val="21"/>
        </w:rPr>
        <w:t>Morena</w:t>
      </w:r>
      <w:r w:rsidRPr="00C95E69">
        <w:rPr>
          <w:rFonts w:ascii="Abadi" w:hAnsi="Abadi" w:cs="Arial"/>
          <w:b/>
          <w:bCs/>
          <w:color w:val="14121D"/>
          <w:spacing w:val="11"/>
          <w:sz w:val="21"/>
          <w:szCs w:val="21"/>
        </w:rPr>
        <w:t xml:space="preserve"> </w:t>
      </w:r>
      <w:r w:rsidRPr="00C95E69">
        <w:rPr>
          <w:rFonts w:ascii="Abadi" w:hAnsi="Abadi" w:cs="Arial"/>
          <w:color w:val="14121D"/>
          <w:sz w:val="21"/>
          <w:szCs w:val="21"/>
        </w:rPr>
        <w:t>en</w:t>
      </w:r>
      <w:r w:rsidRPr="00C95E69">
        <w:rPr>
          <w:rFonts w:ascii="Abadi" w:hAnsi="Abadi" w:cs="Arial"/>
          <w:color w:val="14121D"/>
          <w:spacing w:val="-7"/>
          <w:sz w:val="21"/>
          <w:szCs w:val="21"/>
        </w:rPr>
        <w:t xml:space="preserve"> </w:t>
      </w:r>
      <w:r w:rsidRPr="00C95E69">
        <w:rPr>
          <w:rFonts w:ascii="Abadi" w:hAnsi="Abadi" w:cs="Arial"/>
          <w:color w:val="14121D"/>
          <w:sz w:val="21"/>
          <w:szCs w:val="21"/>
        </w:rPr>
        <w:t>la</w:t>
      </w:r>
      <w:r w:rsidRPr="00C95E69">
        <w:rPr>
          <w:rFonts w:ascii="Abadi" w:hAnsi="Abadi" w:cs="Arial"/>
          <w:color w:val="14121D"/>
          <w:spacing w:val="16"/>
          <w:sz w:val="21"/>
          <w:szCs w:val="21"/>
        </w:rPr>
        <w:t xml:space="preserve"> </w:t>
      </w:r>
      <w:r w:rsidRPr="00C95E69">
        <w:rPr>
          <w:rFonts w:ascii="Abadi" w:hAnsi="Abadi" w:cs="Arial"/>
          <w:color w:val="14121D"/>
          <w:sz w:val="21"/>
          <w:szCs w:val="21"/>
        </w:rPr>
        <w:t>LXV</w:t>
      </w:r>
      <w:r w:rsidRPr="00C95E69">
        <w:rPr>
          <w:rFonts w:ascii="Abadi" w:hAnsi="Abadi" w:cs="Arial"/>
          <w:color w:val="14121D"/>
          <w:spacing w:val="9"/>
          <w:sz w:val="21"/>
          <w:szCs w:val="21"/>
        </w:rPr>
        <w:t xml:space="preserve"> </w:t>
      </w:r>
      <w:r w:rsidRPr="00C95E69">
        <w:rPr>
          <w:rFonts w:ascii="Abadi" w:hAnsi="Abadi" w:cs="Arial"/>
          <w:color w:val="14121D"/>
          <w:sz w:val="21"/>
          <w:szCs w:val="21"/>
        </w:rPr>
        <w:t>Legislatura</w:t>
      </w:r>
      <w:r w:rsidRPr="00C95E69">
        <w:rPr>
          <w:rFonts w:ascii="Abadi" w:hAnsi="Abadi" w:cs="Arial"/>
          <w:color w:val="14121D"/>
          <w:spacing w:val="-4"/>
          <w:sz w:val="21"/>
          <w:szCs w:val="21"/>
        </w:rPr>
        <w:t xml:space="preserve"> </w:t>
      </w:r>
      <w:r w:rsidRPr="00C95E69">
        <w:rPr>
          <w:rFonts w:ascii="Abadi" w:hAnsi="Abadi" w:cs="Arial"/>
          <w:color w:val="14121D"/>
          <w:sz w:val="21"/>
          <w:szCs w:val="21"/>
        </w:rPr>
        <w:t>del</w:t>
      </w:r>
      <w:r w:rsidRPr="00C95E69">
        <w:rPr>
          <w:rFonts w:ascii="Abadi" w:hAnsi="Abadi" w:cs="Arial"/>
          <w:color w:val="14121D"/>
          <w:spacing w:val="12"/>
          <w:sz w:val="21"/>
          <w:szCs w:val="21"/>
        </w:rPr>
        <w:t xml:space="preserve"> </w:t>
      </w:r>
      <w:r w:rsidRPr="00C95E69">
        <w:rPr>
          <w:rFonts w:ascii="Abadi" w:hAnsi="Abadi" w:cs="Arial"/>
          <w:color w:val="14121D"/>
          <w:sz w:val="21"/>
          <w:szCs w:val="21"/>
        </w:rPr>
        <w:t>Congreso</w:t>
      </w:r>
      <w:r w:rsidRPr="00C95E69">
        <w:rPr>
          <w:rFonts w:ascii="Abadi" w:hAnsi="Abadi" w:cs="Arial"/>
          <w:color w:val="14121D"/>
          <w:spacing w:val="2"/>
          <w:sz w:val="21"/>
          <w:szCs w:val="21"/>
        </w:rPr>
        <w:t xml:space="preserve"> </w:t>
      </w:r>
      <w:r w:rsidRPr="00C95E69">
        <w:rPr>
          <w:rFonts w:ascii="Abadi" w:hAnsi="Abadi" w:cs="Arial"/>
          <w:color w:val="14121D"/>
          <w:sz w:val="21"/>
          <w:szCs w:val="21"/>
        </w:rPr>
        <w:t>del</w:t>
      </w:r>
      <w:r w:rsidRPr="00C95E69">
        <w:rPr>
          <w:rFonts w:ascii="Abadi" w:hAnsi="Abadi" w:cs="Arial"/>
          <w:color w:val="14121D"/>
          <w:spacing w:val="19"/>
          <w:sz w:val="21"/>
          <w:szCs w:val="21"/>
        </w:rPr>
        <w:t xml:space="preserve"> </w:t>
      </w:r>
      <w:r w:rsidRPr="00C95E69">
        <w:rPr>
          <w:rFonts w:ascii="Abadi" w:hAnsi="Abadi" w:cs="Arial"/>
          <w:color w:val="14121D"/>
          <w:sz w:val="21"/>
          <w:szCs w:val="21"/>
        </w:rPr>
        <w:t>Estado de</w:t>
      </w:r>
      <w:r w:rsidRPr="00C95E69">
        <w:rPr>
          <w:rFonts w:ascii="Abadi" w:hAnsi="Abadi" w:cs="Arial"/>
          <w:color w:val="14121D"/>
          <w:spacing w:val="7"/>
          <w:sz w:val="21"/>
          <w:szCs w:val="21"/>
        </w:rPr>
        <w:t xml:space="preserve"> </w:t>
      </w:r>
      <w:r w:rsidRPr="00C95E69">
        <w:rPr>
          <w:rFonts w:ascii="Abadi" w:hAnsi="Abadi" w:cs="Arial"/>
          <w:color w:val="14121D"/>
          <w:sz w:val="21"/>
          <w:szCs w:val="21"/>
        </w:rPr>
        <w:t>Guanajuato,</w:t>
      </w:r>
      <w:r w:rsidRPr="00C95E69">
        <w:rPr>
          <w:rFonts w:ascii="Abadi" w:hAnsi="Abadi" w:cs="Arial"/>
          <w:color w:val="14121D"/>
          <w:spacing w:val="18"/>
          <w:sz w:val="21"/>
          <w:szCs w:val="21"/>
        </w:rPr>
        <w:t xml:space="preserve"> </w:t>
      </w:r>
      <w:r w:rsidRPr="00C95E69">
        <w:rPr>
          <w:rFonts w:ascii="Abadi" w:hAnsi="Abadi" w:cs="Arial"/>
          <w:color w:val="14121D"/>
          <w:sz w:val="21"/>
          <w:szCs w:val="21"/>
        </w:rPr>
        <w:t>con</w:t>
      </w:r>
      <w:r w:rsidRPr="00C95E69">
        <w:rPr>
          <w:rFonts w:ascii="Abadi" w:hAnsi="Abadi" w:cs="Arial"/>
          <w:color w:val="14121D"/>
          <w:spacing w:val="4"/>
          <w:sz w:val="21"/>
          <w:szCs w:val="21"/>
        </w:rPr>
        <w:t xml:space="preserve"> </w:t>
      </w:r>
      <w:r w:rsidRPr="00C95E69">
        <w:rPr>
          <w:rFonts w:ascii="Abadi" w:hAnsi="Abadi" w:cs="Arial"/>
          <w:color w:val="14121D"/>
          <w:sz w:val="21"/>
          <w:szCs w:val="21"/>
        </w:rPr>
        <w:t>fundamento</w:t>
      </w:r>
      <w:r w:rsidRPr="00C95E69">
        <w:rPr>
          <w:rFonts w:ascii="Abadi" w:hAnsi="Abadi" w:cs="Arial"/>
          <w:color w:val="14121D"/>
          <w:spacing w:val="-4"/>
          <w:sz w:val="21"/>
          <w:szCs w:val="21"/>
        </w:rPr>
        <w:t xml:space="preserve"> </w:t>
      </w:r>
      <w:r w:rsidRPr="00C95E69">
        <w:rPr>
          <w:rFonts w:ascii="Abadi" w:hAnsi="Abadi" w:cs="Arial"/>
          <w:color w:val="14121D"/>
          <w:sz w:val="21"/>
          <w:szCs w:val="21"/>
        </w:rPr>
        <w:t>en</w:t>
      </w:r>
      <w:r w:rsidRPr="00C95E69">
        <w:rPr>
          <w:rFonts w:ascii="Abadi" w:hAnsi="Abadi" w:cs="Arial"/>
          <w:color w:val="14121D"/>
          <w:spacing w:val="6"/>
          <w:sz w:val="21"/>
          <w:szCs w:val="21"/>
        </w:rPr>
        <w:t xml:space="preserve"> </w:t>
      </w:r>
      <w:r w:rsidRPr="00C95E69">
        <w:rPr>
          <w:rFonts w:ascii="Abadi" w:hAnsi="Abadi" w:cs="Arial"/>
          <w:color w:val="14121D"/>
          <w:sz w:val="21"/>
          <w:szCs w:val="21"/>
        </w:rPr>
        <w:t>lo</w:t>
      </w:r>
      <w:r w:rsidRPr="00C95E69">
        <w:rPr>
          <w:rFonts w:ascii="Abadi" w:hAnsi="Abadi" w:cs="Arial"/>
          <w:color w:val="14121D"/>
          <w:spacing w:val="10"/>
          <w:sz w:val="21"/>
          <w:szCs w:val="21"/>
        </w:rPr>
        <w:t xml:space="preserve"> </w:t>
      </w:r>
      <w:r w:rsidRPr="00C95E69">
        <w:rPr>
          <w:rFonts w:ascii="Abadi" w:hAnsi="Abadi" w:cs="Arial"/>
          <w:color w:val="14121D"/>
          <w:sz w:val="21"/>
          <w:szCs w:val="21"/>
        </w:rPr>
        <w:t>dispuesto</w:t>
      </w:r>
      <w:r w:rsidRPr="00C95E69">
        <w:rPr>
          <w:rFonts w:ascii="Abadi" w:hAnsi="Abadi" w:cs="Arial"/>
          <w:color w:val="14121D"/>
          <w:spacing w:val="9"/>
          <w:sz w:val="21"/>
          <w:szCs w:val="21"/>
        </w:rPr>
        <w:t xml:space="preserve"> </w:t>
      </w:r>
      <w:r w:rsidRPr="00C95E69">
        <w:rPr>
          <w:rFonts w:ascii="Abadi" w:hAnsi="Abadi" w:cs="Arial"/>
          <w:color w:val="14121D"/>
          <w:sz w:val="21"/>
          <w:szCs w:val="21"/>
        </w:rPr>
        <w:t>por</w:t>
      </w:r>
      <w:r w:rsidRPr="00C95E69">
        <w:rPr>
          <w:rFonts w:ascii="Abadi" w:hAnsi="Abadi" w:cs="Arial"/>
          <w:color w:val="14121D"/>
          <w:spacing w:val="-1"/>
          <w:sz w:val="21"/>
          <w:szCs w:val="21"/>
        </w:rPr>
        <w:t xml:space="preserve"> </w:t>
      </w:r>
      <w:r w:rsidRPr="00C95E69">
        <w:rPr>
          <w:rFonts w:ascii="Abadi" w:hAnsi="Abadi" w:cs="Arial"/>
          <w:color w:val="14121D"/>
          <w:sz w:val="21"/>
          <w:szCs w:val="21"/>
        </w:rPr>
        <w:t>los</w:t>
      </w:r>
      <w:r w:rsidRPr="00C95E69">
        <w:rPr>
          <w:rFonts w:ascii="Abadi" w:hAnsi="Abadi" w:cs="Arial"/>
          <w:color w:val="14121D"/>
          <w:spacing w:val="5"/>
          <w:sz w:val="21"/>
          <w:szCs w:val="21"/>
        </w:rPr>
        <w:t xml:space="preserve"> </w:t>
      </w:r>
      <w:r w:rsidRPr="00C95E69">
        <w:rPr>
          <w:rFonts w:ascii="Abadi" w:hAnsi="Abadi" w:cs="Arial"/>
          <w:color w:val="14121D"/>
          <w:sz w:val="21"/>
          <w:szCs w:val="21"/>
        </w:rPr>
        <w:t>artículos</w:t>
      </w:r>
      <w:r w:rsidRPr="00C95E69">
        <w:rPr>
          <w:rFonts w:ascii="Abadi" w:hAnsi="Abadi" w:cs="Arial"/>
          <w:color w:val="14121D"/>
          <w:spacing w:val="10"/>
          <w:sz w:val="21"/>
          <w:szCs w:val="21"/>
        </w:rPr>
        <w:t xml:space="preserve"> </w:t>
      </w:r>
      <w:r w:rsidRPr="00C95E69">
        <w:rPr>
          <w:rFonts w:ascii="Abadi" w:hAnsi="Abadi" w:cs="Arial"/>
          <w:color w:val="14121D"/>
          <w:sz w:val="21"/>
          <w:szCs w:val="21"/>
        </w:rPr>
        <w:t>57</w:t>
      </w:r>
      <w:r w:rsidRPr="00C95E69">
        <w:rPr>
          <w:rFonts w:ascii="Abadi" w:hAnsi="Abadi" w:cs="Arial"/>
          <w:color w:val="14121D"/>
          <w:spacing w:val="15"/>
          <w:sz w:val="21"/>
          <w:szCs w:val="21"/>
        </w:rPr>
        <w:t xml:space="preserve"> </w:t>
      </w:r>
      <w:r w:rsidRPr="00C95E69">
        <w:rPr>
          <w:rFonts w:ascii="Abadi" w:hAnsi="Abadi" w:cs="Arial"/>
          <w:color w:val="14121D"/>
          <w:sz w:val="21"/>
          <w:szCs w:val="21"/>
        </w:rPr>
        <w:t>primer</w:t>
      </w:r>
      <w:r w:rsidRPr="00C95E69">
        <w:rPr>
          <w:rFonts w:ascii="Abadi" w:hAnsi="Abadi" w:cs="Arial"/>
          <w:color w:val="14121D"/>
          <w:spacing w:val="12"/>
          <w:sz w:val="21"/>
          <w:szCs w:val="21"/>
        </w:rPr>
        <w:t xml:space="preserve"> </w:t>
      </w:r>
      <w:r w:rsidRPr="00C95E69">
        <w:rPr>
          <w:rFonts w:ascii="Abadi" w:hAnsi="Abadi" w:cs="Arial"/>
          <w:color w:val="14121D"/>
          <w:sz w:val="21"/>
          <w:szCs w:val="21"/>
        </w:rPr>
        <w:t>párrafo</w:t>
      </w:r>
      <w:r w:rsidRPr="00C95E69">
        <w:rPr>
          <w:rFonts w:ascii="Abadi" w:hAnsi="Abadi" w:cs="Arial"/>
          <w:color w:val="14121D"/>
          <w:spacing w:val="10"/>
          <w:sz w:val="21"/>
          <w:szCs w:val="21"/>
        </w:rPr>
        <w:t xml:space="preserve"> </w:t>
      </w:r>
      <w:r w:rsidRPr="00C95E69">
        <w:rPr>
          <w:rFonts w:ascii="Abadi" w:hAnsi="Abadi" w:cs="Arial"/>
          <w:color w:val="14121D"/>
          <w:sz w:val="21"/>
          <w:szCs w:val="21"/>
        </w:rPr>
        <w:t>de</w:t>
      </w:r>
      <w:r w:rsidRPr="00C95E69">
        <w:rPr>
          <w:rFonts w:ascii="Abadi" w:hAnsi="Abadi" w:cs="Arial"/>
          <w:color w:val="14121D"/>
          <w:spacing w:val="1"/>
          <w:sz w:val="21"/>
          <w:szCs w:val="21"/>
        </w:rPr>
        <w:t xml:space="preserve"> </w:t>
      </w:r>
      <w:r w:rsidRPr="00C95E69">
        <w:rPr>
          <w:rFonts w:ascii="Abadi" w:hAnsi="Abadi" w:cs="Arial"/>
          <w:color w:val="14121D"/>
          <w:sz w:val="21"/>
          <w:szCs w:val="21"/>
        </w:rPr>
        <w:t>la</w:t>
      </w:r>
      <w:r w:rsidRPr="00C95E69">
        <w:rPr>
          <w:rFonts w:ascii="Abadi" w:hAnsi="Abadi" w:cs="Arial"/>
          <w:color w:val="14121D"/>
          <w:spacing w:val="12"/>
          <w:sz w:val="21"/>
          <w:szCs w:val="21"/>
        </w:rPr>
        <w:t xml:space="preserve"> </w:t>
      </w:r>
      <w:r w:rsidRPr="00C95E69">
        <w:rPr>
          <w:rFonts w:ascii="Abadi" w:hAnsi="Abadi" w:cs="Arial"/>
          <w:color w:val="14121D"/>
          <w:sz w:val="21"/>
          <w:szCs w:val="21"/>
        </w:rPr>
        <w:t>Constitución</w:t>
      </w:r>
      <w:r w:rsidRPr="00C95E69">
        <w:rPr>
          <w:rFonts w:ascii="Abadi" w:hAnsi="Abadi" w:cs="Arial"/>
          <w:color w:val="14121D"/>
          <w:spacing w:val="16"/>
          <w:sz w:val="21"/>
          <w:szCs w:val="21"/>
        </w:rPr>
        <w:t xml:space="preserve"> </w:t>
      </w:r>
      <w:r w:rsidRPr="00C95E69">
        <w:rPr>
          <w:rFonts w:ascii="Abadi" w:hAnsi="Abadi" w:cs="Arial"/>
          <w:color w:val="14121D"/>
          <w:sz w:val="21"/>
          <w:szCs w:val="21"/>
        </w:rPr>
        <w:t>Política</w:t>
      </w:r>
      <w:r w:rsidRPr="00C95E69">
        <w:rPr>
          <w:rFonts w:ascii="Abadi" w:hAnsi="Abadi" w:cs="Arial"/>
          <w:color w:val="14121D"/>
          <w:spacing w:val="-5"/>
          <w:sz w:val="21"/>
          <w:szCs w:val="21"/>
        </w:rPr>
        <w:t xml:space="preserve"> </w:t>
      </w:r>
      <w:r w:rsidRPr="00C95E69">
        <w:rPr>
          <w:rFonts w:ascii="Abadi" w:hAnsi="Abadi" w:cs="Arial"/>
          <w:color w:val="14121D"/>
          <w:sz w:val="21"/>
          <w:szCs w:val="21"/>
        </w:rPr>
        <w:t>para</w:t>
      </w:r>
      <w:r w:rsidRPr="00C95E69">
        <w:rPr>
          <w:rFonts w:ascii="Abadi" w:hAnsi="Abadi" w:cs="Arial"/>
          <w:color w:val="14121D"/>
          <w:spacing w:val="15"/>
          <w:sz w:val="21"/>
          <w:szCs w:val="21"/>
        </w:rPr>
        <w:t xml:space="preserve"> </w:t>
      </w:r>
      <w:r w:rsidRPr="00C95E69">
        <w:rPr>
          <w:rFonts w:ascii="Abadi" w:hAnsi="Abadi" w:cs="Arial"/>
          <w:color w:val="14121D"/>
          <w:sz w:val="21"/>
          <w:szCs w:val="21"/>
        </w:rPr>
        <w:t>el</w:t>
      </w:r>
      <w:r w:rsidRPr="00C95E69">
        <w:rPr>
          <w:rFonts w:ascii="Abadi" w:hAnsi="Abadi" w:cs="Arial"/>
          <w:color w:val="14121D"/>
          <w:spacing w:val="26"/>
          <w:sz w:val="21"/>
          <w:szCs w:val="21"/>
        </w:rPr>
        <w:t xml:space="preserve"> </w:t>
      </w:r>
      <w:r w:rsidRPr="00C95E69">
        <w:rPr>
          <w:rFonts w:ascii="Abadi" w:hAnsi="Abadi" w:cs="Arial"/>
          <w:color w:val="14121D"/>
          <w:sz w:val="21"/>
          <w:szCs w:val="21"/>
        </w:rPr>
        <w:t>Estado</w:t>
      </w:r>
      <w:r w:rsidRPr="00C95E69">
        <w:rPr>
          <w:rFonts w:ascii="Abadi" w:hAnsi="Abadi" w:cs="Arial"/>
          <w:color w:val="14121D"/>
          <w:spacing w:val="5"/>
          <w:sz w:val="21"/>
          <w:szCs w:val="21"/>
        </w:rPr>
        <w:t xml:space="preserve"> </w:t>
      </w:r>
      <w:r w:rsidRPr="00C95E69">
        <w:rPr>
          <w:rFonts w:ascii="Abadi" w:hAnsi="Abadi" w:cs="Arial"/>
          <w:color w:val="14121D"/>
          <w:sz w:val="21"/>
          <w:szCs w:val="21"/>
        </w:rPr>
        <w:t>de</w:t>
      </w:r>
      <w:r w:rsidRPr="00C95E69">
        <w:rPr>
          <w:rFonts w:ascii="Abadi" w:hAnsi="Abadi" w:cs="Arial"/>
          <w:color w:val="14121D"/>
          <w:spacing w:val="17"/>
          <w:sz w:val="21"/>
          <w:szCs w:val="21"/>
        </w:rPr>
        <w:t xml:space="preserve"> </w:t>
      </w:r>
      <w:r w:rsidRPr="00C95E69">
        <w:rPr>
          <w:rFonts w:ascii="Abadi" w:hAnsi="Abadi" w:cs="Arial"/>
          <w:color w:val="14121D"/>
          <w:sz w:val="21"/>
          <w:szCs w:val="21"/>
        </w:rPr>
        <w:t>Guanajuato,</w:t>
      </w:r>
      <w:r w:rsidRPr="00C95E69">
        <w:rPr>
          <w:rFonts w:ascii="Abadi" w:hAnsi="Abadi" w:cs="Arial"/>
          <w:color w:val="14121D"/>
          <w:spacing w:val="33"/>
          <w:sz w:val="21"/>
          <w:szCs w:val="21"/>
        </w:rPr>
        <w:t xml:space="preserve"> </w:t>
      </w:r>
      <w:r w:rsidRPr="00C95E69">
        <w:rPr>
          <w:rFonts w:ascii="Abadi" w:hAnsi="Abadi" w:cs="Arial"/>
          <w:color w:val="14121D"/>
          <w:sz w:val="21"/>
          <w:szCs w:val="21"/>
        </w:rPr>
        <w:t>204</w:t>
      </w:r>
      <w:r w:rsidRPr="00C95E69">
        <w:rPr>
          <w:rFonts w:ascii="Abadi" w:hAnsi="Abadi" w:cs="Arial"/>
          <w:color w:val="14121D"/>
          <w:spacing w:val="20"/>
          <w:sz w:val="21"/>
          <w:szCs w:val="21"/>
        </w:rPr>
        <w:t xml:space="preserve"> </w:t>
      </w:r>
      <w:r w:rsidRPr="00C95E69">
        <w:rPr>
          <w:rFonts w:ascii="Abadi" w:hAnsi="Abadi" w:cs="Arial"/>
          <w:color w:val="14121D"/>
          <w:sz w:val="21"/>
          <w:szCs w:val="21"/>
        </w:rPr>
        <w:t>fracción</w:t>
      </w:r>
      <w:r w:rsidRPr="00C95E69">
        <w:rPr>
          <w:rFonts w:ascii="Abadi" w:hAnsi="Abadi" w:cs="Arial"/>
          <w:color w:val="14121D"/>
          <w:spacing w:val="13"/>
          <w:sz w:val="21"/>
          <w:szCs w:val="21"/>
        </w:rPr>
        <w:t xml:space="preserve"> </w:t>
      </w:r>
      <w:r w:rsidRPr="00C95E69">
        <w:rPr>
          <w:rFonts w:ascii="Abadi" w:hAnsi="Abadi" w:cs="Arial"/>
          <w:color w:val="14121D"/>
          <w:w w:val="85"/>
          <w:sz w:val="21"/>
          <w:szCs w:val="21"/>
        </w:rPr>
        <w:t>111</w:t>
      </w:r>
      <w:r w:rsidRPr="00C95E69">
        <w:rPr>
          <w:rFonts w:ascii="Abadi" w:hAnsi="Abadi" w:cs="Arial"/>
          <w:color w:val="14121D"/>
          <w:spacing w:val="38"/>
          <w:w w:val="85"/>
          <w:sz w:val="21"/>
          <w:szCs w:val="21"/>
        </w:rPr>
        <w:t xml:space="preserve"> </w:t>
      </w:r>
      <w:r w:rsidRPr="00C95E69">
        <w:rPr>
          <w:rFonts w:ascii="Abadi" w:hAnsi="Abadi" w:cs="Arial"/>
          <w:color w:val="14121D"/>
          <w:sz w:val="21"/>
          <w:szCs w:val="21"/>
        </w:rPr>
        <w:t>y</w:t>
      </w:r>
      <w:r w:rsidRPr="00C95E69">
        <w:rPr>
          <w:rFonts w:ascii="Abadi" w:hAnsi="Abadi" w:cs="Arial"/>
          <w:color w:val="14121D"/>
          <w:spacing w:val="27"/>
          <w:sz w:val="21"/>
          <w:szCs w:val="21"/>
        </w:rPr>
        <w:t xml:space="preserve"> </w:t>
      </w:r>
      <w:r w:rsidRPr="00C95E69">
        <w:rPr>
          <w:rFonts w:ascii="Abadi" w:hAnsi="Abadi" w:cs="Arial"/>
          <w:color w:val="14121D"/>
          <w:sz w:val="21"/>
          <w:szCs w:val="21"/>
        </w:rPr>
        <w:t>177</w:t>
      </w:r>
      <w:r w:rsidRPr="00C95E69">
        <w:rPr>
          <w:rFonts w:ascii="Abadi" w:hAnsi="Abadi" w:cs="Arial"/>
          <w:color w:val="14121D"/>
          <w:spacing w:val="14"/>
          <w:sz w:val="21"/>
          <w:szCs w:val="21"/>
        </w:rPr>
        <w:t xml:space="preserve"> </w:t>
      </w:r>
      <w:r w:rsidRPr="00C95E69">
        <w:rPr>
          <w:rFonts w:ascii="Abadi" w:hAnsi="Abadi" w:cs="Arial"/>
          <w:color w:val="14121D"/>
          <w:sz w:val="21"/>
          <w:szCs w:val="21"/>
        </w:rPr>
        <w:t>de</w:t>
      </w:r>
      <w:r w:rsidRPr="00C95E69">
        <w:rPr>
          <w:rFonts w:ascii="Abadi" w:hAnsi="Abadi" w:cs="Arial"/>
          <w:color w:val="14121D"/>
          <w:spacing w:val="10"/>
          <w:sz w:val="21"/>
          <w:szCs w:val="21"/>
        </w:rPr>
        <w:t xml:space="preserve"> </w:t>
      </w:r>
      <w:r w:rsidRPr="00C95E69">
        <w:rPr>
          <w:rFonts w:ascii="Abadi" w:hAnsi="Abadi" w:cs="Arial"/>
          <w:color w:val="14121D"/>
          <w:sz w:val="21"/>
          <w:szCs w:val="21"/>
        </w:rPr>
        <w:t>la</w:t>
      </w:r>
      <w:r w:rsidRPr="00C95E69">
        <w:rPr>
          <w:rFonts w:ascii="Abadi" w:hAnsi="Abadi" w:cs="Arial"/>
          <w:color w:val="14121D"/>
          <w:spacing w:val="26"/>
          <w:sz w:val="21"/>
          <w:szCs w:val="21"/>
        </w:rPr>
        <w:t xml:space="preserve"> </w:t>
      </w:r>
      <w:r w:rsidRPr="00C95E69">
        <w:rPr>
          <w:rFonts w:ascii="Abadi" w:hAnsi="Abadi" w:cs="Arial"/>
          <w:color w:val="14121D"/>
          <w:sz w:val="21"/>
          <w:szCs w:val="21"/>
        </w:rPr>
        <w:t>Ley</w:t>
      </w:r>
      <w:r w:rsidRPr="00C95E69">
        <w:rPr>
          <w:rFonts w:ascii="Abadi" w:hAnsi="Abadi" w:cs="Arial"/>
          <w:color w:val="14121D"/>
          <w:spacing w:val="-11"/>
          <w:sz w:val="21"/>
          <w:szCs w:val="21"/>
        </w:rPr>
        <w:t xml:space="preserve"> </w:t>
      </w:r>
      <w:r w:rsidRPr="00C95E69">
        <w:rPr>
          <w:rFonts w:ascii="Abadi" w:hAnsi="Abadi" w:cs="Arial"/>
          <w:color w:val="14121D"/>
          <w:sz w:val="21"/>
          <w:szCs w:val="21"/>
        </w:rPr>
        <w:t>Orgánica</w:t>
      </w:r>
      <w:r w:rsidRPr="00C95E69">
        <w:rPr>
          <w:rFonts w:ascii="Abadi" w:hAnsi="Abadi" w:cs="Arial"/>
          <w:color w:val="14121D"/>
          <w:spacing w:val="5"/>
          <w:sz w:val="21"/>
          <w:szCs w:val="21"/>
        </w:rPr>
        <w:t xml:space="preserve"> </w:t>
      </w:r>
      <w:r w:rsidRPr="00C95E69">
        <w:rPr>
          <w:rFonts w:ascii="Abadi" w:hAnsi="Abadi" w:cs="Arial"/>
          <w:color w:val="14121D"/>
          <w:sz w:val="21"/>
          <w:szCs w:val="21"/>
        </w:rPr>
        <w:t>del</w:t>
      </w:r>
      <w:r w:rsidRPr="00C95E69">
        <w:rPr>
          <w:rFonts w:ascii="Abadi" w:hAnsi="Abadi" w:cs="Arial"/>
          <w:color w:val="14121D"/>
          <w:spacing w:val="-2"/>
          <w:sz w:val="21"/>
          <w:szCs w:val="21"/>
        </w:rPr>
        <w:t xml:space="preserve"> </w:t>
      </w:r>
      <w:r w:rsidRPr="00C95E69">
        <w:rPr>
          <w:rFonts w:ascii="Abadi" w:hAnsi="Abadi" w:cs="Arial"/>
          <w:color w:val="14121D"/>
          <w:sz w:val="21"/>
          <w:szCs w:val="21"/>
        </w:rPr>
        <w:t>Poder</w:t>
      </w:r>
      <w:r w:rsidRPr="00C95E69">
        <w:rPr>
          <w:rFonts w:ascii="Abadi" w:hAnsi="Abadi" w:cs="Arial"/>
          <w:color w:val="14121D"/>
          <w:spacing w:val="49"/>
          <w:sz w:val="21"/>
          <w:szCs w:val="21"/>
        </w:rPr>
        <w:t xml:space="preserve"> </w:t>
      </w:r>
      <w:r w:rsidRPr="00C95E69">
        <w:rPr>
          <w:rFonts w:ascii="Abadi" w:hAnsi="Abadi" w:cs="Arial"/>
          <w:color w:val="14121D"/>
          <w:sz w:val="21"/>
          <w:szCs w:val="21"/>
        </w:rPr>
        <w:t>Legislativo</w:t>
      </w:r>
      <w:r w:rsidRPr="00C95E69">
        <w:rPr>
          <w:rFonts w:ascii="Abadi" w:hAnsi="Abadi" w:cs="Arial"/>
          <w:color w:val="14121D"/>
          <w:spacing w:val="29"/>
          <w:sz w:val="21"/>
          <w:szCs w:val="21"/>
        </w:rPr>
        <w:t xml:space="preserve"> </w:t>
      </w:r>
      <w:r w:rsidRPr="00C95E69">
        <w:rPr>
          <w:rFonts w:ascii="Abadi" w:hAnsi="Abadi" w:cs="Arial"/>
          <w:color w:val="14121D"/>
          <w:sz w:val="21"/>
          <w:szCs w:val="21"/>
        </w:rPr>
        <w:t>del</w:t>
      </w:r>
      <w:r w:rsidRPr="00C95E69">
        <w:rPr>
          <w:rFonts w:ascii="Abadi" w:hAnsi="Abadi" w:cs="Arial"/>
          <w:color w:val="14121D"/>
          <w:spacing w:val="45"/>
          <w:sz w:val="21"/>
          <w:szCs w:val="21"/>
        </w:rPr>
        <w:t xml:space="preserve"> </w:t>
      </w:r>
      <w:r w:rsidRPr="00C95E69">
        <w:rPr>
          <w:rFonts w:ascii="Abadi" w:hAnsi="Abadi" w:cs="Arial"/>
          <w:color w:val="14121D"/>
          <w:sz w:val="21"/>
          <w:szCs w:val="21"/>
        </w:rPr>
        <w:t>Estado</w:t>
      </w:r>
      <w:r w:rsidRPr="00C95E69">
        <w:rPr>
          <w:rFonts w:ascii="Abadi" w:hAnsi="Abadi" w:cs="Arial"/>
          <w:color w:val="14121D"/>
          <w:spacing w:val="34"/>
          <w:sz w:val="21"/>
          <w:szCs w:val="21"/>
        </w:rPr>
        <w:t xml:space="preserve"> </w:t>
      </w:r>
      <w:r w:rsidRPr="00C95E69">
        <w:rPr>
          <w:rFonts w:ascii="Abadi" w:hAnsi="Abadi" w:cs="Arial"/>
          <w:color w:val="14121D"/>
          <w:sz w:val="21"/>
          <w:szCs w:val="21"/>
        </w:rPr>
        <w:t>de</w:t>
      </w:r>
      <w:r w:rsidRPr="00C95E69">
        <w:rPr>
          <w:rFonts w:ascii="Abadi" w:hAnsi="Abadi" w:cs="Arial"/>
          <w:color w:val="14121D"/>
          <w:spacing w:val="36"/>
          <w:sz w:val="21"/>
          <w:szCs w:val="21"/>
        </w:rPr>
        <w:t xml:space="preserve"> </w:t>
      </w:r>
      <w:r w:rsidRPr="00C95E69">
        <w:rPr>
          <w:rFonts w:ascii="Abadi" w:hAnsi="Abadi" w:cs="Arial"/>
          <w:color w:val="14121D"/>
          <w:sz w:val="21"/>
          <w:szCs w:val="21"/>
        </w:rPr>
        <w:t>Guanajuato,</w:t>
      </w:r>
      <w:r w:rsidRPr="00C95E69">
        <w:rPr>
          <w:rFonts w:ascii="Abadi" w:hAnsi="Abadi" w:cs="Arial"/>
          <w:color w:val="14121D"/>
          <w:spacing w:val="53"/>
          <w:sz w:val="21"/>
          <w:szCs w:val="21"/>
        </w:rPr>
        <w:t xml:space="preserve"> </w:t>
      </w:r>
      <w:r w:rsidRPr="00C95E69">
        <w:rPr>
          <w:rFonts w:ascii="Abadi" w:hAnsi="Abadi" w:cs="Arial"/>
          <w:color w:val="14121D"/>
          <w:sz w:val="21"/>
          <w:szCs w:val="21"/>
        </w:rPr>
        <w:t>me</w:t>
      </w:r>
      <w:r w:rsidRPr="00C95E69">
        <w:rPr>
          <w:rFonts w:ascii="Abadi" w:hAnsi="Abadi" w:cs="Arial"/>
          <w:color w:val="14121D"/>
          <w:spacing w:val="28"/>
          <w:sz w:val="21"/>
          <w:szCs w:val="21"/>
        </w:rPr>
        <w:t xml:space="preserve"> </w:t>
      </w:r>
      <w:r w:rsidRPr="00C95E69">
        <w:rPr>
          <w:rFonts w:ascii="Abadi" w:hAnsi="Abadi" w:cs="Arial"/>
          <w:color w:val="14121D"/>
          <w:sz w:val="21"/>
          <w:szCs w:val="21"/>
        </w:rPr>
        <w:t>permito</w:t>
      </w:r>
      <w:r w:rsidRPr="00C95E69">
        <w:rPr>
          <w:rFonts w:ascii="Abadi" w:hAnsi="Abadi" w:cs="Arial"/>
          <w:color w:val="14121D"/>
          <w:spacing w:val="28"/>
          <w:sz w:val="21"/>
          <w:szCs w:val="21"/>
        </w:rPr>
        <w:t xml:space="preserve"> </w:t>
      </w:r>
      <w:r w:rsidRPr="00C95E69">
        <w:rPr>
          <w:rFonts w:ascii="Abadi" w:hAnsi="Abadi" w:cs="Arial"/>
          <w:color w:val="14121D"/>
          <w:sz w:val="21"/>
          <w:szCs w:val="21"/>
        </w:rPr>
        <w:t>poner</w:t>
      </w:r>
      <w:r w:rsidRPr="00C95E69">
        <w:rPr>
          <w:rFonts w:ascii="Abadi" w:hAnsi="Abadi" w:cs="Arial"/>
          <w:color w:val="14121D"/>
          <w:spacing w:val="33"/>
          <w:sz w:val="21"/>
          <w:szCs w:val="21"/>
        </w:rPr>
        <w:t xml:space="preserve"> </w:t>
      </w:r>
      <w:r w:rsidRPr="00C95E69">
        <w:rPr>
          <w:rFonts w:ascii="Abadi" w:hAnsi="Abadi" w:cs="Arial"/>
          <w:color w:val="14121D"/>
          <w:sz w:val="21"/>
          <w:szCs w:val="21"/>
        </w:rPr>
        <w:t>a</w:t>
      </w:r>
      <w:r w:rsidRPr="00C95E69">
        <w:rPr>
          <w:rFonts w:ascii="Abadi" w:hAnsi="Abadi" w:cs="Arial"/>
          <w:color w:val="14121D"/>
          <w:spacing w:val="26"/>
          <w:sz w:val="21"/>
          <w:szCs w:val="21"/>
        </w:rPr>
        <w:t xml:space="preserve"> </w:t>
      </w:r>
      <w:r w:rsidRPr="00C95E69">
        <w:rPr>
          <w:rFonts w:ascii="Abadi" w:hAnsi="Abadi" w:cs="Arial"/>
          <w:color w:val="14121D"/>
          <w:sz w:val="21"/>
          <w:szCs w:val="21"/>
        </w:rPr>
        <w:t>la</w:t>
      </w:r>
      <w:r w:rsidRPr="00C95E69">
        <w:rPr>
          <w:rFonts w:ascii="Abadi" w:hAnsi="Abadi" w:cs="Arial"/>
          <w:color w:val="14121D"/>
          <w:spacing w:val="-4"/>
          <w:sz w:val="21"/>
          <w:szCs w:val="21"/>
        </w:rPr>
        <w:t xml:space="preserve"> </w:t>
      </w:r>
      <w:r w:rsidRPr="00C95E69">
        <w:rPr>
          <w:rFonts w:ascii="Abadi" w:hAnsi="Abadi" w:cs="Arial"/>
          <w:color w:val="14121D"/>
          <w:sz w:val="21"/>
          <w:szCs w:val="21"/>
        </w:rPr>
        <w:t>consideración</w:t>
      </w:r>
      <w:r w:rsidRPr="00C95E69">
        <w:rPr>
          <w:rFonts w:ascii="Abadi" w:hAnsi="Abadi" w:cs="Arial"/>
          <w:color w:val="14121D"/>
          <w:spacing w:val="1"/>
          <w:sz w:val="21"/>
          <w:szCs w:val="21"/>
        </w:rPr>
        <w:t xml:space="preserve"> </w:t>
      </w:r>
      <w:r w:rsidRPr="00C95E69">
        <w:rPr>
          <w:rFonts w:ascii="Abadi" w:hAnsi="Abadi" w:cs="Arial"/>
          <w:color w:val="14121D"/>
          <w:sz w:val="21"/>
          <w:szCs w:val="21"/>
        </w:rPr>
        <w:t>de</w:t>
      </w:r>
      <w:r w:rsidRPr="00C95E69">
        <w:rPr>
          <w:rFonts w:ascii="Abadi" w:hAnsi="Abadi" w:cs="Arial"/>
          <w:color w:val="14121D"/>
          <w:spacing w:val="5"/>
          <w:sz w:val="21"/>
          <w:szCs w:val="21"/>
        </w:rPr>
        <w:t xml:space="preserve"> </w:t>
      </w:r>
      <w:r w:rsidRPr="00C95E69">
        <w:rPr>
          <w:rFonts w:ascii="Abadi" w:hAnsi="Abadi" w:cs="Arial"/>
          <w:color w:val="14121D"/>
          <w:sz w:val="21"/>
          <w:szCs w:val="21"/>
        </w:rPr>
        <w:t>la</w:t>
      </w:r>
      <w:r w:rsidRPr="00C95E69">
        <w:rPr>
          <w:rFonts w:ascii="Abadi" w:hAnsi="Abadi" w:cs="Arial"/>
          <w:color w:val="14121D"/>
          <w:spacing w:val="2"/>
          <w:sz w:val="21"/>
          <w:szCs w:val="21"/>
        </w:rPr>
        <w:t xml:space="preserve"> </w:t>
      </w:r>
      <w:r w:rsidRPr="00C95E69">
        <w:rPr>
          <w:rFonts w:ascii="Abadi" w:hAnsi="Abadi" w:cs="Arial"/>
          <w:color w:val="14121D"/>
          <w:sz w:val="21"/>
          <w:szCs w:val="21"/>
        </w:rPr>
        <w:t>Asamblea</w:t>
      </w:r>
      <w:r w:rsidRPr="00C95E69">
        <w:rPr>
          <w:rFonts w:ascii="Abadi" w:hAnsi="Abadi" w:cs="Arial"/>
          <w:color w:val="14121D"/>
          <w:spacing w:val="5"/>
          <w:sz w:val="21"/>
          <w:szCs w:val="21"/>
        </w:rPr>
        <w:t xml:space="preserve"> </w:t>
      </w:r>
      <w:r w:rsidRPr="00C95E69">
        <w:rPr>
          <w:rFonts w:ascii="Abadi" w:hAnsi="Abadi" w:cs="Arial"/>
          <w:color w:val="14121D"/>
          <w:sz w:val="21"/>
          <w:szCs w:val="21"/>
        </w:rPr>
        <w:t>la</w:t>
      </w:r>
      <w:r w:rsidRPr="00C95E69">
        <w:rPr>
          <w:rFonts w:ascii="Abadi" w:hAnsi="Abadi" w:cs="Arial"/>
          <w:color w:val="14121D"/>
          <w:spacing w:val="10"/>
          <w:sz w:val="21"/>
          <w:szCs w:val="21"/>
        </w:rPr>
        <w:t xml:space="preserve"> </w:t>
      </w:r>
      <w:r w:rsidRPr="00C95E69">
        <w:rPr>
          <w:rFonts w:ascii="Abadi" w:hAnsi="Abadi" w:cs="Arial"/>
          <w:color w:val="14121D"/>
          <w:sz w:val="21"/>
          <w:szCs w:val="21"/>
        </w:rPr>
        <w:t>siguiente</w:t>
      </w:r>
      <w:r w:rsidRPr="00C95E69">
        <w:rPr>
          <w:rFonts w:ascii="Abadi" w:hAnsi="Abadi" w:cs="Arial"/>
          <w:color w:val="14121D"/>
          <w:spacing w:val="10"/>
          <w:sz w:val="21"/>
          <w:szCs w:val="21"/>
        </w:rPr>
        <w:t xml:space="preserve"> </w:t>
      </w:r>
      <w:r w:rsidRPr="00C95E69">
        <w:rPr>
          <w:rFonts w:ascii="Abadi" w:hAnsi="Abadi" w:cs="Arial"/>
          <w:color w:val="14121D"/>
          <w:sz w:val="21"/>
          <w:szCs w:val="21"/>
        </w:rPr>
        <w:t>propuesta</w:t>
      </w:r>
      <w:r w:rsidRPr="00C95E69">
        <w:rPr>
          <w:rFonts w:ascii="Abadi" w:hAnsi="Abadi" w:cs="Arial"/>
          <w:color w:val="14121D"/>
          <w:spacing w:val="10"/>
          <w:sz w:val="21"/>
          <w:szCs w:val="21"/>
        </w:rPr>
        <w:t xml:space="preserve"> </w:t>
      </w:r>
      <w:r w:rsidRPr="00C95E69">
        <w:rPr>
          <w:rFonts w:ascii="Abadi" w:hAnsi="Abadi" w:cs="Arial"/>
          <w:color w:val="14121D"/>
          <w:sz w:val="21"/>
          <w:szCs w:val="21"/>
        </w:rPr>
        <w:t>de</w:t>
      </w:r>
      <w:r w:rsidRPr="00C95E69">
        <w:rPr>
          <w:rFonts w:ascii="Abadi" w:hAnsi="Abadi" w:cs="Arial"/>
          <w:color w:val="14121D"/>
          <w:spacing w:val="17"/>
          <w:sz w:val="21"/>
          <w:szCs w:val="21"/>
        </w:rPr>
        <w:t xml:space="preserve"> </w:t>
      </w:r>
      <w:r w:rsidRPr="00C95E69">
        <w:rPr>
          <w:rFonts w:ascii="Abadi" w:hAnsi="Abadi" w:cs="Arial"/>
          <w:b/>
          <w:bCs/>
          <w:color w:val="14121D"/>
          <w:sz w:val="21"/>
          <w:szCs w:val="21"/>
        </w:rPr>
        <w:t>Punto</w:t>
      </w:r>
      <w:r w:rsidRPr="00C95E69">
        <w:rPr>
          <w:rFonts w:ascii="Abadi" w:hAnsi="Abadi" w:cs="Arial"/>
          <w:b/>
          <w:bCs/>
          <w:color w:val="14121D"/>
          <w:spacing w:val="13"/>
          <w:sz w:val="21"/>
          <w:szCs w:val="21"/>
        </w:rPr>
        <w:t xml:space="preserve"> </w:t>
      </w:r>
      <w:r w:rsidRPr="00C95E69">
        <w:rPr>
          <w:rFonts w:ascii="Abadi" w:hAnsi="Abadi" w:cs="Arial"/>
          <w:b/>
          <w:bCs/>
          <w:color w:val="14121D"/>
          <w:sz w:val="21"/>
          <w:szCs w:val="21"/>
        </w:rPr>
        <w:t>de</w:t>
      </w:r>
      <w:r w:rsidRPr="00C95E69">
        <w:rPr>
          <w:rFonts w:ascii="Abadi" w:hAnsi="Abadi" w:cs="Arial"/>
          <w:b/>
          <w:bCs/>
          <w:color w:val="14121D"/>
          <w:spacing w:val="11"/>
          <w:sz w:val="21"/>
          <w:szCs w:val="21"/>
        </w:rPr>
        <w:t xml:space="preserve"> </w:t>
      </w:r>
      <w:r w:rsidRPr="00C95E69">
        <w:rPr>
          <w:rFonts w:ascii="Abadi" w:hAnsi="Abadi" w:cs="Arial"/>
          <w:b/>
          <w:bCs/>
          <w:color w:val="14121D"/>
          <w:sz w:val="21"/>
          <w:szCs w:val="21"/>
        </w:rPr>
        <w:t>Acuerdo</w:t>
      </w:r>
      <w:r w:rsidRPr="00C95E69">
        <w:rPr>
          <w:rFonts w:ascii="Abadi" w:hAnsi="Abadi" w:cs="Arial"/>
          <w:b/>
          <w:bCs/>
          <w:color w:val="14121D"/>
          <w:spacing w:val="-2"/>
          <w:sz w:val="21"/>
          <w:szCs w:val="21"/>
        </w:rPr>
        <w:t xml:space="preserve"> </w:t>
      </w:r>
      <w:r w:rsidRPr="00C95E69">
        <w:rPr>
          <w:rFonts w:ascii="Abadi" w:hAnsi="Abadi" w:cs="Arial"/>
          <w:b/>
          <w:bCs/>
          <w:color w:val="14121D"/>
          <w:sz w:val="21"/>
          <w:szCs w:val="21"/>
        </w:rPr>
        <w:t>DE</w:t>
      </w:r>
      <w:r w:rsidRPr="00C95E69">
        <w:rPr>
          <w:rFonts w:ascii="Abadi" w:hAnsi="Abadi" w:cs="Arial"/>
          <w:b/>
          <w:bCs/>
          <w:color w:val="14121D"/>
          <w:spacing w:val="27"/>
          <w:sz w:val="21"/>
          <w:szCs w:val="21"/>
        </w:rPr>
        <w:t xml:space="preserve"> </w:t>
      </w:r>
      <w:r w:rsidRPr="00C95E69">
        <w:rPr>
          <w:rFonts w:ascii="Abadi" w:hAnsi="Abadi" w:cs="Arial"/>
          <w:b/>
          <w:bCs/>
          <w:color w:val="14121D"/>
          <w:sz w:val="21"/>
          <w:szCs w:val="21"/>
        </w:rPr>
        <w:t>Obvia</w:t>
      </w:r>
      <w:r w:rsidRPr="00C95E69">
        <w:rPr>
          <w:rFonts w:ascii="Abadi" w:hAnsi="Abadi" w:cs="Arial"/>
          <w:b/>
          <w:bCs/>
          <w:color w:val="14121D"/>
          <w:spacing w:val="6"/>
          <w:sz w:val="21"/>
          <w:szCs w:val="21"/>
        </w:rPr>
        <w:t xml:space="preserve"> </w:t>
      </w:r>
      <w:r w:rsidRPr="00C95E69">
        <w:rPr>
          <w:rFonts w:ascii="Abadi" w:hAnsi="Abadi" w:cs="Arial"/>
          <w:b/>
          <w:bCs/>
          <w:color w:val="14121D"/>
          <w:sz w:val="21"/>
          <w:szCs w:val="21"/>
        </w:rPr>
        <w:t>resolución,</w:t>
      </w:r>
      <w:r w:rsidRPr="00C95E69">
        <w:rPr>
          <w:rFonts w:ascii="Abadi" w:hAnsi="Abadi" w:cs="Arial"/>
          <w:b/>
          <w:bCs/>
          <w:color w:val="14121D"/>
          <w:spacing w:val="16"/>
          <w:sz w:val="21"/>
          <w:szCs w:val="21"/>
        </w:rPr>
        <w:t xml:space="preserve"> </w:t>
      </w:r>
      <w:r w:rsidRPr="00C95E69">
        <w:rPr>
          <w:rFonts w:ascii="Abadi" w:hAnsi="Abadi" w:cs="Arial"/>
          <w:color w:val="14121D"/>
          <w:sz w:val="21"/>
          <w:szCs w:val="21"/>
        </w:rPr>
        <w:t>según</w:t>
      </w:r>
      <w:r w:rsidRPr="00C95E69">
        <w:rPr>
          <w:rFonts w:ascii="Abadi" w:hAnsi="Abadi" w:cs="Arial"/>
          <w:color w:val="14121D"/>
          <w:spacing w:val="-4"/>
          <w:sz w:val="21"/>
          <w:szCs w:val="21"/>
        </w:rPr>
        <w:t xml:space="preserve"> </w:t>
      </w:r>
      <w:r w:rsidRPr="00C95E69">
        <w:rPr>
          <w:rFonts w:ascii="Abadi" w:hAnsi="Abadi" w:cs="Arial"/>
          <w:color w:val="14121D"/>
          <w:sz w:val="21"/>
          <w:szCs w:val="21"/>
        </w:rPr>
        <w:t>las siguientes</w:t>
      </w:r>
    </w:p>
    <w:p w14:paraId="73AB419C" w14:textId="77777777" w:rsidR="00C95E69" w:rsidRPr="00C95E69" w:rsidRDefault="00C95E69" w:rsidP="00C95E69">
      <w:pPr>
        <w:kinsoku w:val="0"/>
        <w:overflowPunct w:val="0"/>
        <w:autoSpaceDE w:val="0"/>
        <w:autoSpaceDN w:val="0"/>
        <w:adjustRightInd w:val="0"/>
        <w:ind w:right="201"/>
        <w:jc w:val="both"/>
        <w:rPr>
          <w:rFonts w:ascii="Abadi" w:hAnsi="Abadi" w:cs="Arial"/>
          <w:color w:val="14121D"/>
          <w:sz w:val="21"/>
          <w:szCs w:val="21"/>
        </w:rPr>
      </w:pPr>
    </w:p>
    <w:p w14:paraId="0C00F736" w14:textId="77777777" w:rsidR="00C95E69" w:rsidRPr="00C95E69" w:rsidRDefault="00C95E69" w:rsidP="00C95E69">
      <w:pPr>
        <w:kinsoku w:val="0"/>
        <w:overflowPunct w:val="0"/>
        <w:autoSpaceDE w:val="0"/>
        <w:autoSpaceDN w:val="0"/>
        <w:adjustRightInd w:val="0"/>
        <w:spacing w:before="285"/>
        <w:ind w:right="201"/>
        <w:jc w:val="center"/>
        <w:rPr>
          <w:rFonts w:ascii="Abadi" w:hAnsi="Abadi" w:cs="Arial"/>
          <w:color w:val="16151F"/>
          <w:w w:val="130"/>
          <w:sz w:val="21"/>
          <w:szCs w:val="21"/>
        </w:rPr>
      </w:pPr>
      <w:r w:rsidRPr="00C95E69">
        <w:rPr>
          <w:rFonts w:ascii="Abadi" w:hAnsi="Abadi" w:cs="Arial"/>
          <w:color w:val="16151F"/>
          <w:w w:val="130"/>
          <w:sz w:val="21"/>
          <w:szCs w:val="21"/>
        </w:rPr>
        <w:t>CONSIDERACIONES</w:t>
      </w:r>
    </w:p>
    <w:p w14:paraId="1C1877B6" w14:textId="77777777" w:rsidR="00C95E69" w:rsidRPr="00C95E69" w:rsidRDefault="00C95E69" w:rsidP="00C95E69">
      <w:pPr>
        <w:kinsoku w:val="0"/>
        <w:overflowPunct w:val="0"/>
        <w:autoSpaceDE w:val="0"/>
        <w:autoSpaceDN w:val="0"/>
        <w:adjustRightInd w:val="0"/>
        <w:ind w:right="201"/>
        <w:jc w:val="center"/>
        <w:rPr>
          <w:rFonts w:ascii="Abadi" w:hAnsi="Abadi" w:cs="Arial"/>
          <w:color w:val="14131C"/>
          <w:sz w:val="21"/>
          <w:szCs w:val="21"/>
        </w:rPr>
      </w:pPr>
    </w:p>
    <w:p w14:paraId="71B53138" w14:textId="140AE290" w:rsidR="00C95E69" w:rsidRDefault="00C95E69" w:rsidP="00C95E69">
      <w:pPr>
        <w:kinsoku w:val="0"/>
        <w:overflowPunct w:val="0"/>
        <w:autoSpaceDE w:val="0"/>
        <w:autoSpaceDN w:val="0"/>
        <w:adjustRightInd w:val="0"/>
        <w:ind w:right="201"/>
        <w:jc w:val="both"/>
        <w:rPr>
          <w:rFonts w:ascii="Abadi" w:hAnsi="Abadi" w:cs="Arial"/>
          <w:color w:val="14131C"/>
          <w:sz w:val="21"/>
          <w:szCs w:val="21"/>
        </w:rPr>
      </w:pPr>
      <w:r w:rsidRPr="00C95E69">
        <w:rPr>
          <w:rFonts w:ascii="Abadi" w:hAnsi="Abadi" w:cs="Arial"/>
          <w:color w:val="14131C"/>
          <w:sz w:val="21"/>
          <w:szCs w:val="21"/>
        </w:rPr>
        <w:t>El</w:t>
      </w:r>
      <w:r w:rsidRPr="00C95E69">
        <w:rPr>
          <w:rFonts w:ascii="Abadi" w:hAnsi="Abadi" w:cs="Arial"/>
          <w:color w:val="14131C"/>
          <w:spacing w:val="2"/>
          <w:sz w:val="21"/>
          <w:szCs w:val="21"/>
        </w:rPr>
        <w:t xml:space="preserve"> </w:t>
      </w:r>
      <w:r w:rsidRPr="00C95E69">
        <w:rPr>
          <w:rFonts w:ascii="Abadi" w:hAnsi="Abadi" w:cs="Arial"/>
          <w:color w:val="14131C"/>
          <w:sz w:val="21"/>
          <w:szCs w:val="21"/>
        </w:rPr>
        <w:t>día</w:t>
      </w:r>
      <w:r w:rsidRPr="00C95E69">
        <w:rPr>
          <w:rFonts w:ascii="Abadi" w:hAnsi="Abadi" w:cs="Arial"/>
          <w:color w:val="14131C"/>
          <w:spacing w:val="72"/>
          <w:sz w:val="21"/>
          <w:szCs w:val="21"/>
        </w:rPr>
        <w:t xml:space="preserve"> </w:t>
      </w:r>
      <w:r w:rsidRPr="00C95E69">
        <w:rPr>
          <w:rFonts w:ascii="Abadi" w:hAnsi="Abadi" w:cs="Arial"/>
          <w:color w:val="14131C"/>
          <w:sz w:val="21"/>
          <w:szCs w:val="21"/>
        </w:rPr>
        <w:t>de</w:t>
      </w:r>
      <w:r w:rsidRPr="00C95E69">
        <w:rPr>
          <w:rFonts w:ascii="Abadi" w:hAnsi="Abadi" w:cs="Arial"/>
          <w:color w:val="14131C"/>
          <w:spacing w:val="70"/>
          <w:sz w:val="21"/>
          <w:szCs w:val="21"/>
        </w:rPr>
        <w:t xml:space="preserve"> </w:t>
      </w:r>
      <w:r w:rsidRPr="00C95E69">
        <w:rPr>
          <w:rFonts w:ascii="Abadi" w:hAnsi="Abadi" w:cs="Arial"/>
          <w:color w:val="14131C"/>
          <w:sz w:val="21"/>
          <w:szCs w:val="21"/>
        </w:rPr>
        <w:t>hoy</w:t>
      </w:r>
      <w:r w:rsidRPr="00C95E69">
        <w:rPr>
          <w:rFonts w:ascii="Abadi" w:hAnsi="Abadi" w:cs="Arial"/>
          <w:color w:val="14131C"/>
          <w:spacing w:val="63"/>
          <w:sz w:val="21"/>
          <w:szCs w:val="21"/>
        </w:rPr>
        <w:t xml:space="preserve"> </w:t>
      </w:r>
      <w:r w:rsidRPr="00C95E69">
        <w:rPr>
          <w:rFonts w:ascii="Abadi" w:hAnsi="Abadi" w:cs="Arial"/>
          <w:color w:val="14131C"/>
          <w:sz w:val="21"/>
          <w:szCs w:val="21"/>
        </w:rPr>
        <w:t>hemos</w:t>
      </w:r>
      <w:r w:rsidRPr="00C95E69">
        <w:rPr>
          <w:rFonts w:ascii="Abadi" w:hAnsi="Abadi" w:cs="Arial"/>
          <w:color w:val="14131C"/>
          <w:spacing w:val="67"/>
          <w:sz w:val="21"/>
          <w:szCs w:val="21"/>
        </w:rPr>
        <w:t xml:space="preserve"> </w:t>
      </w:r>
      <w:r w:rsidRPr="00C95E69">
        <w:rPr>
          <w:rFonts w:ascii="Abadi" w:hAnsi="Abadi" w:cs="Arial"/>
          <w:color w:val="14131C"/>
          <w:sz w:val="21"/>
          <w:szCs w:val="21"/>
        </w:rPr>
        <w:t>escuchado</w:t>
      </w:r>
      <w:r w:rsidRPr="00C95E69">
        <w:rPr>
          <w:rFonts w:ascii="Abadi" w:hAnsi="Abadi" w:cs="Arial"/>
          <w:color w:val="14131C"/>
          <w:spacing w:val="5"/>
          <w:sz w:val="21"/>
          <w:szCs w:val="21"/>
        </w:rPr>
        <w:t xml:space="preserve"> </w:t>
      </w:r>
      <w:r w:rsidRPr="00C95E69">
        <w:rPr>
          <w:rFonts w:ascii="Abadi" w:hAnsi="Abadi" w:cs="Arial"/>
          <w:color w:val="14131C"/>
          <w:sz w:val="21"/>
          <w:szCs w:val="21"/>
        </w:rPr>
        <w:t>varios</w:t>
      </w:r>
      <w:r w:rsidRPr="00C95E69">
        <w:rPr>
          <w:rFonts w:ascii="Abadi" w:hAnsi="Abadi" w:cs="Arial"/>
          <w:color w:val="14131C"/>
          <w:spacing w:val="69"/>
          <w:sz w:val="21"/>
          <w:szCs w:val="21"/>
        </w:rPr>
        <w:t xml:space="preserve"> </w:t>
      </w:r>
      <w:r w:rsidRPr="00C95E69">
        <w:rPr>
          <w:rFonts w:ascii="Abadi" w:hAnsi="Abadi" w:cs="Arial"/>
          <w:color w:val="14131C"/>
          <w:sz w:val="21"/>
          <w:szCs w:val="21"/>
        </w:rPr>
        <w:t>posicionamientos</w:t>
      </w:r>
      <w:r w:rsidRPr="00C95E69">
        <w:rPr>
          <w:rFonts w:ascii="Abadi" w:hAnsi="Abadi" w:cs="Arial"/>
          <w:color w:val="14131C"/>
          <w:spacing w:val="71"/>
          <w:sz w:val="21"/>
          <w:szCs w:val="21"/>
        </w:rPr>
        <w:t xml:space="preserve"> </w:t>
      </w:r>
      <w:r w:rsidRPr="00C95E69">
        <w:rPr>
          <w:rFonts w:ascii="Abadi" w:hAnsi="Abadi" w:cs="Arial"/>
          <w:color w:val="14131C"/>
          <w:sz w:val="21"/>
          <w:szCs w:val="21"/>
        </w:rPr>
        <w:t>respecto</w:t>
      </w:r>
      <w:r w:rsidRPr="00C95E69">
        <w:rPr>
          <w:rFonts w:ascii="Abadi" w:hAnsi="Abadi" w:cs="Arial"/>
          <w:color w:val="14131C"/>
          <w:spacing w:val="65"/>
          <w:sz w:val="21"/>
          <w:szCs w:val="21"/>
        </w:rPr>
        <w:t xml:space="preserve"> </w:t>
      </w:r>
      <w:r w:rsidRPr="00C95E69">
        <w:rPr>
          <w:rFonts w:ascii="Abadi" w:hAnsi="Abadi" w:cs="Arial"/>
          <w:color w:val="14131C"/>
          <w:sz w:val="21"/>
          <w:szCs w:val="21"/>
        </w:rPr>
        <w:t>a</w:t>
      </w:r>
      <w:r w:rsidRPr="00C95E69">
        <w:rPr>
          <w:rFonts w:ascii="Abadi" w:hAnsi="Abadi" w:cs="Arial"/>
          <w:color w:val="14131C"/>
          <w:spacing w:val="65"/>
          <w:sz w:val="21"/>
          <w:szCs w:val="21"/>
        </w:rPr>
        <w:t xml:space="preserve"> </w:t>
      </w:r>
      <w:r w:rsidRPr="00C95E69">
        <w:rPr>
          <w:rFonts w:ascii="Abadi" w:hAnsi="Abadi" w:cs="Arial"/>
          <w:color w:val="14131C"/>
          <w:sz w:val="21"/>
          <w:szCs w:val="21"/>
        </w:rPr>
        <w:t>lo</w:t>
      </w:r>
      <w:r w:rsidRPr="00C95E69">
        <w:rPr>
          <w:rFonts w:ascii="Abadi" w:hAnsi="Abadi" w:cs="Arial"/>
          <w:color w:val="14131C"/>
          <w:spacing w:val="-4"/>
          <w:sz w:val="21"/>
          <w:szCs w:val="21"/>
        </w:rPr>
        <w:t xml:space="preserve"> </w:t>
      </w:r>
      <w:r w:rsidRPr="00C95E69">
        <w:rPr>
          <w:rFonts w:ascii="Abadi" w:hAnsi="Abadi" w:cs="Arial"/>
          <w:color w:val="14131C"/>
          <w:sz w:val="21"/>
          <w:szCs w:val="21"/>
        </w:rPr>
        <w:t>acontecido</w:t>
      </w:r>
      <w:r w:rsidRPr="00C95E69">
        <w:rPr>
          <w:rFonts w:ascii="Abadi" w:hAnsi="Abadi" w:cs="Arial"/>
          <w:color w:val="14131C"/>
          <w:spacing w:val="-5"/>
          <w:sz w:val="21"/>
          <w:szCs w:val="21"/>
        </w:rPr>
        <w:t xml:space="preserve"> </w:t>
      </w:r>
      <w:r w:rsidRPr="00C95E69">
        <w:rPr>
          <w:rFonts w:ascii="Abadi" w:hAnsi="Abadi" w:cs="Arial"/>
          <w:color w:val="14131C"/>
          <w:sz w:val="21"/>
          <w:szCs w:val="21"/>
        </w:rPr>
        <w:t>en</w:t>
      </w:r>
      <w:r w:rsidRPr="00C95E69">
        <w:rPr>
          <w:rFonts w:ascii="Abadi" w:hAnsi="Abadi" w:cs="Arial"/>
          <w:color w:val="14131C"/>
          <w:spacing w:val="-12"/>
          <w:sz w:val="21"/>
          <w:szCs w:val="21"/>
        </w:rPr>
        <w:t xml:space="preserve"> </w:t>
      </w:r>
      <w:r w:rsidRPr="00C95E69">
        <w:rPr>
          <w:rFonts w:ascii="Abadi" w:hAnsi="Abadi" w:cs="Arial"/>
          <w:color w:val="14131C"/>
          <w:sz w:val="21"/>
          <w:szCs w:val="21"/>
        </w:rPr>
        <w:t>el</w:t>
      </w:r>
      <w:r w:rsidRPr="00C95E69">
        <w:rPr>
          <w:rFonts w:ascii="Abadi" w:hAnsi="Abadi" w:cs="Arial"/>
          <w:color w:val="14131C"/>
          <w:spacing w:val="-15"/>
          <w:sz w:val="21"/>
          <w:szCs w:val="21"/>
        </w:rPr>
        <w:t xml:space="preserve"> </w:t>
      </w:r>
      <w:r w:rsidRPr="00C95E69">
        <w:rPr>
          <w:rFonts w:ascii="Abadi" w:hAnsi="Abadi" w:cs="Arial"/>
          <w:color w:val="14131C"/>
          <w:sz w:val="21"/>
          <w:szCs w:val="21"/>
        </w:rPr>
        <w:t>municipio</w:t>
      </w:r>
      <w:r w:rsidRPr="00C95E69">
        <w:rPr>
          <w:rFonts w:ascii="Abadi" w:hAnsi="Abadi" w:cs="Arial"/>
          <w:color w:val="14131C"/>
          <w:spacing w:val="-13"/>
          <w:sz w:val="21"/>
          <w:szCs w:val="21"/>
        </w:rPr>
        <w:t xml:space="preserve"> </w:t>
      </w:r>
      <w:r w:rsidRPr="00C95E69">
        <w:rPr>
          <w:rFonts w:ascii="Abadi" w:hAnsi="Abadi" w:cs="Arial"/>
          <w:color w:val="14131C"/>
          <w:sz w:val="21"/>
          <w:szCs w:val="21"/>
        </w:rPr>
        <w:t>de</w:t>
      </w:r>
      <w:r w:rsidRPr="00C95E69">
        <w:rPr>
          <w:rFonts w:ascii="Abadi" w:hAnsi="Abadi" w:cs="Arial"/>
          <w:color w:val="14131C"/>
          <w:spacing w:val="4"/>
          <w:sz w:val="21"/>
          <w:szCs w:val="21"/>
        </w:rPr>
        <w:t xml:space="preserve"> </w:t>
      </w:r>
      <w:r w:rsidRPr="00C95E69">
        <w:rPr>
          <w:rFonts w:ascii="Abadi" w:hAnsi="Abadi" w:cs="Arial"/>
          <w:color w:val="14131C"/>
          <w:sz w:val="21"/>
          <w:szCs w:val="21"/>
        </w:rPr>
        <w:t>lrapuato</w:t>
      </w:r>
      <w:r w:rsidRPr="00C95E69">
        <w:rPr>
          <w:rFonts w:ascii="Abadi" w:hAnsi="Abadi" w:cs="Arial"/>
          <w:color w:val="14131C"/>
          <w:spacing w:val="-4"/>
          <w:sz w:val="21"/>
          <w:szCs w:val="21"/>
        </w:rPr>
        <w:t xml:space="preserve"> </w:t>
      </w:r>
      <w:r w:rsidRPr="00C95E69">
        <w:rPr>
          <w:rFonts w:ascii="Abadi" w:hAnsi="Abadi" w:cs="Arial"/>
          <w:color w:val="14131C"/>
          <w:sz w:val="21"/>
          <w:szCs w:val="21"/>
        </w:rPr>
        <w:t>el</w:t>
      </w:r>
      <w:r w:rsidRPr="00C95E69">
        <w:rPr>
          <w:rFonts w:ascii="Abadi" w:hAnsi="Abadi" w:cs="Arial"/>
          <w:color w:val="14131C"/>
          <w:spacing w:val="-10"/>
          <w:sz w:val="21"/>
          <w:szCs w:val="21"/>
        </w:rPr>
        <w:t xml:space="preserve"> </w:t>
      </w:r>
      <w:r w:rsidRPr="00C95E69">
        <w:rPr>
          <w:rFonts w:ascii="Abadi" w:hAnsi="Abadi" w:cs="Arial"/>
          <w:color w:val="14131C"/>
          <w:sz w:val="21"/>
          <w:szCs w:val="21"/>
        </w:rPr>
        <w:t>pasado</w:t>
      </w:r>
      <w:r w:rsidRPr="00C95E69">
        <w:rPr>
          <w:rFonts w:ascii="Abadi" w:hAnsi="Abadi" w:cs="Arial"/>
          <w:color w:val="14131C"/>
          <w:spacing w:val="-14"/>
          <w:sz w:val="21"/>
          <w:szCs w:val="21"/>
        </w:rPr>
        <w:t xml:space="preserve"> </w:t>
      </w:r>
      <w:r w:rsidRPr="00C95E69">
        <w:rPr>
          <w:rFonts w:ascii="Abadi" w:hAnsi="Abadi" w:cs="Arial"/>
          <w:color w:val="14131C"/>
          <w:sz w:val="21"/>
          <w:szCs w:val="21"/>
        </w:rPr>
        <w:t>domingo</w:t>
      </w:r>
      <w:r w:rsidRPr="00C95E69">
        <w:rPr>
          <w:rFonts w:ascii="Abadi" w:hAnsi="Abadi" w:cs="Arial"/>
          <w:color w:val="14131C"/>
          <w:spacing w:val="7"/>
          <w:sz w:val="21"/>
          <w:szCs w:val="21"/>
        </w:rPr>
        <w:t xml:space="preserve"> </w:t>
      </w:r>
      <w:r w:rsidRPr="00C95E69">
        <w:rPr>
          <w:rFonts w:ascii="Abadi" w:hAnsi="Abadi" w:cs="Arial"/>
          <w:color w:val="14131C"/>
          <w:w w:val="95"/>
          <w:sz w:val="21"/>
          <w:szCs w:val="21"/>
        </w:rPr>
        <w:t>1</w:t>
      </w:r>
      <w:r w:rsidRPr="00C95E69">
        <w:rPr>
          <w:rFonts w:ascii="Abadi" w:hAnsi="Abadi" w:cs="Arial"/>
          <w:color w:val="14131C"/>
          <w:spacing w:val="35"/>
          <w:w w:val="95"/>
          <w:sz w:val="21"/>
          <w:szCs w:val="21"/>
        </w:rPr>
        <w:t xml:space="preserve"> </w:t>
      </w:r>
      <w:r w:rsidRPr="00C95E69">
        <w:rPr>
          <w:rFonts w:ascii="Abadi" w:hAnsi="Abadi" w:cs="Arial"/>
          <w:color w:val="14131C"/>
          <w:sz w:val="21"/>
          <w:szCs w:val="21"/>
        </w:rPr>
        <w:t>de</w:t>
      </w:r>
      <w:r w:rsidRPr="00C95E69">
        <w:rPr>
          <w:rFonts w:ascii="Abadi" w:hAnsi="Abadi" w:cs="Arial"/>
          <w:color w:val="14131C"/>
          <w:spacing w:val="-11"/>
          <w:sz w:val="21"/>
          <w:szCs w:val="21"/>
        </w:rPr>
        <w:t xml:space="preserve"> </w:t>
      </w:r>
      <w:r w:rsidRPr="00C95E69">
        <w:rPr>
          <w:rFonts w:ascii="Abadi" w:hAnsi="Abadi" w:cs="Arial"/>
          <w:color w:val="14131C"/>
          <w:sz w:val="21"/>
          <w:szCs w:val="21"/>
        </w:rPr>
        <w:t>mayo</w:t>
      </w:r>
      <w:r w:rsidRPr="00C95E69">
        <w:rPr>
          <w:rFonts w:ascii="Abadi" w:hAnsi="Abadi" w:cs="Arial"/>
          <w:color w:val="14131C"/>
          <w:spacing w:val="-18"/>
          <w:sz w:val="21"/>
          <w:szCs w:val="21"/>
        </w:rPr>
        <w:t xml:space="preserve"> </w:t>
      </w:r>
      <w:r w:rsidRPr="00C95E69">
        <w:rPr>
          <w:rFonts w:ascii="Abadi" w:hAnsi="Abadi" w:cs="Arial"/>
          <w:color w:val="14131C"/>
          <w:sz w:val="21"/>
          <w:szCs w:val="21"/>
        </w:rPr>
        <w:t>durante</w:t>
      </w:r>
      <w:r w:rsidRPr="00C95E69">
        <w:rPr>
          <w:rFonts w:ascii="Abadi" w:hAnsi="Abadi" w:cs="Arial"/>
          <w:color w:val="14131C"/>
          <w:spacing w:val="-3"/>
          <w:sz w:val="21"/>
          <w:szCs w:val="21"/>
        </w:rPr>
        <w:t xml:space="preserve"> </w:t>
      </w:r>
      <w:r w:rsidRPr="00C95E69">
        <w:rPr>
          <w:rFonts w:ascii="Abadi" w:hAnsi="Abadi" w:cs="Arial"/>
          <w:color w:val="14131C"/>
          <w:sz w:val="21"/>
          <w:szCs w:val="21"/>
        </w:rPr>
        <w:t>una</w:t>
      </w:r>
      <w:r w:rsidRPr="00C95E69">
        <w:rPr>
          <w:rFonts w:ascii="Abadi" w:hAnsi="Abadi" w:cs="Arial"/>
          <w:color w:val="14131C"/>
          <w:spacing w:val="-2"/>
          <w:sz w:val="21"/>
          <w:szCs w:val="21"/>
        </w:rPr>
        <w:t xml:space="preserve"> </w:t>
      </w:r>
      <w:r w:rsidRPr="00C95E69">
        <w:rPr>
          <w:rFonts w:ascii="Abadi" w:hAnsi="Abadi" w:cs="Arial"/>
          <w:color w:val="14131C"/>
          <w:sz w:val="21"/>
          <w:szCs w:val="21"/>
        </w:rPr>
        <w:t>manifestación</w:t>
      </w:r>
      <w:r w:rsidRPr="00C95E69">
        <w:rPr>
          <w:rFonts w:ascii="Abadi" w:hAnsi="Abadi" w:cs="Arial"/>
          <w:color w:val="14131C"/>
          <w:spacing w:val="4"/>
          <w:sz w:val="21"/>
          <w:szCs w:val="21"/>
        </w:rPr>
        <w:t xml:space="preserve"> </w:t>
      </w:r>
      <w:r w:rsidRPr="00C95E69">
        <w:rPr>
          <w:rFonts w:ascii="Abadi" w:hAnsi="Abadi" w:cs="Arial"/>
          <w:color w:val="14131C"/>
          <w:sz w:val="21"/>
          <w:szCs w:val="21"/>
        </w:rPr>
        <w:t>feminista.</w:t>
      </w:r>
    </w:p>
    <w:p w14:paraId="00A25E0C" w14:textId="77777777" w:rsidR="00C95E69" w:rsidRPr="00C95E69" w:rsidRDefault="00C95E69" w:rsidP="00C95E69">
      <w:pPr>
        <w:kinsoku w:val="0"/>
        <w:overflowPunct w:val="0"/>
        <w:autoSpaceDE w:val="0"/>
        <w:autoSpaceDN w:val="0"/>
        <w:adjustRightInd w:val="0"/>
        <w:ind w:right="201"/>
        <w:jc w:val="both"/>
        <w:rPr>
          <w:rFonts w:ascii="Abadi" w:hAnsi="Abadi" w:cs="Arial"/>
          <w:color w:val="14131C"/>
          <w:sz w:val="21"/>
          <w:szCs w:val="21"/>
        </w:rPr>
      </w:pPr>
    </w:p>
    <w:p w14:paraId="4F2E22B6" w14:textId="77777777" w:rsidR="00C95E69" w:rsidRPr="00C95E69" w:rsidRDefault="00C95E69" w:rsidP="00C95E69">
      <w:pPr>
        <w:kinsoku w:val="0"/>
        <w:overflowPunct w:val="0"/>
        <w:autoSpaceDE w:val="0"/>
        <w:autoSpaceDN w:val="0"/>
        <w:adjustRightInd w:val="0"/>
        <w:ind w:right="201"/>
        <w:jc w:val="both"/>
        <w:rPr>
          <w:rFonts w:ascii="Abadi" w:hAnsi="Abadi" w:cs="Arial"/>
          <w:color w:val="13131D"/>
          <w:sz w:val="21"/>
          <w:szCs w:val="21"/>
        </w:rPr>
      </w:pPr>
      <w:r w:rsidRPr="00C95E69">
        <w:rPr>
          <w:rFonts w:ascii="Abadi" w:hAnsi="Abadi" w:cs="Arial"/>
          <w:color w:val="13131D"/>
          <w:sz w:val="21"/>
          <w:szCs w:val="21"/>
        </w:rPr>
        <w:t>Ya</w:t>
      </w:r>
      <w:r w:rsidRPr="00C95E69">
        <w:rPr>
          <w:rFonts w:ascii="Abadi" w:hAnsi="Abadi" w:cs="Arial"/>
          <w:color w:val="13131D"/>
          <w:spacing w:val="13"/>
          <w:sz w:val="21"/>
          <w:szCs w:val="21"/>
        </w:rPr>
        <w:t xml:space="preserve"> </w:t>
      </w:r>
      <w:r w:rsidRPr="00C95E69">
        <w:rPr>
          <w:rFonts w:ascii="Abadi" w:hAnsi="Abadi" w:cs="Arial"/>
          <w:color w:val="13131D"/>
          <w:sz w:val="21"/>
          <w:szCs w:val="21"/>
        </w:rPr>
        <w:t>hablamos</w:t>
      </w:r>
      <w:r w:rsidRPr="00C95E69">
        <w:rPr>
          <w:rFonts w:ascii="Abadi" w:hAnsi="Abadi" w:cs="Arial"/>
          <w:color w:val="13131D"/>
          <w:spacing w:val="20"/>
          <w:sz w:val="21"/>
          <w:szCs w:val="21"/>
        </w:rPr>
        <w:t xml:space="preserve"> </w:t>
      </w:r>
      <w:r w:rsidRPr="00C95E69">
        <w:rPr>
          <w:rFonts w:ascii="Abadi" w:hAnsi="Abadi" w:cs="Arial"/>
          <w:color w:val="13131D"/>
          <w:sz w:val="21"/>
          <w:szCs w:val="21"/>
        </w:rPr>
        <w:t>los</w:t>
      </w:r>
      <w:r w:rsidRPr="00C95E69">
        <w:rPr>
          <w:rFonts w:ascii="Abadi" w:hAnsi="Abadi" w:cs="Arial"/>
          <w:color w:val="13131D"/>
          <w:spacing w:val="6"/>
          <w:sz w:val="21"/>
          <w:szCs w:val="21"/>
        </w:rPr>
        <w:t xml:space="preserve"> </w:t>
      </w:r>
      <w:r w:rsidRPr="00C95E69">
        <w:rPr>
          <w:rFonts w:ascii="Abadi" w:hAnsi="Abadi" w:cs="Arial"/>
          <w:color w:val="13131D"/>
          <w:sz w:val="21"/>
          <w:szCs w:val="21"/>
        </w:rPr>
        <w:t>grupos</w:t>
      </w:r>
      <w:r w:rsidRPr="00C95E69">
        <w:rPr>
          <w:rFonts w:ascii="Abadi" w:hAnsi="Abadi" w:cs="Arial"/>
          <w:color w:val="13131D"/>
          <w:spacing w:val="10"/>
          <w:sz w:val="21"/>
          <w:szCs w:val="21"/>
        </w:rPr>
        <w:t xml:space="preserve"> </w:t>
      </w:r>
      <w:r w:rsidRPr="00C95E69">
        <w:rPr>
          <w:rFonts w:ascii="Abadi" w:hAnsi="Abadi" w:cs="Arial"/>
          <w:color w:val="13131D"/>
          <w:sz w:val="21"/>
          <w:szCs w:val="21"/>
        </w:rPr>
        <w:t>parlamentarios</w:t>
      </w:r>
      <w:r w:rsidRPr="00C95E69">
        <w:rPr>
          <w:rFonts w:ascii="Abadi" w:hAnsi="Abadi" w:cs="Arial"/>
          <w:color w:val="13131D"/>
          <w:spacing w:val="12"/>
          <w:sz w:val="21"/>
          <w:szCs w:val="21"/>
        </w:rPr>
        <w:t xml:space="preserve"> </w:t>
      </w:r>
      <w:r w:rsidRPr="00C95E69">
        <w:rPr>
          <w:rFonts w:ascii="Abadi" w:hAnsi="Abadi" w:cs="Arial"/>
          <w:color w:val="13131D"/>
          <w:sz w:val="21"/>
          <w:szCs w:val="21"/>
        </w:rPr>
        <w:t>y</w:t>
      </w:r>
      <w:r w:rsidRPr="00C95E69">
        <w:rPr>
          <w:rFonts w:ascii="Abadi" w:hAnsi="Abadi" w:cs="Arial"/>
          <w:color w:val="13131D"/>
          <w:spacing w:val="13"/>
          <w:sz w:val="21"/>
          <w:szCs w:val="21"/>
        </w:rPr>
        <w:t xml:space="preserve"> </w:t>
      </w:r>
      <w:r w:rsidRPr="00C95E69">
        <w:rPr>
          <w:rFonts w:ascii="Abadi" w:hAnsi="Abadi" w:cs="Arial"/>
          <w:color w:val="13131D"/>
          <w:sz w:val="21"/>
          <w:szCs w:val="21"/>
        </w:rPr>
        <w:t>todos</w:t>
      </w:r>
      <w:r w:rsidRPr="00C95E69">
        <w:rPr>
          <w:rFonts w:ascii="Abadi" w:hAnsi="Abadi" w:cs="Arial"/>
          <w:color w:val="13131D"/>
          <w:spacing w:val="10"/>
          <w:sz w:val="21"/>
          <w:szCs w:val="21"/>
        </w:rPr>
        <w:t xml:space="preserve"> </w:t>
      </w:r>
      <w:r w:rsidRPr="00C95E69">
        <w:rPr>
          <w:rFonts w:ascii="Abadi" w:hAnsi="Abadi" w:cs="Arial"/>
          <w:color w:val="13131D"/>
          <w:sz w:val="21"/>
          <w:szCs w:val="21"/>
        </w:rPr>
        <w:t>coincidimos</w:t>
      </w:r>
      <w:r w:rsidRPr="00C95E69">
        <w:rPr>
          <w:rFonts w:ascii="Abadi" w:hAnsi="Abadi" w:cs="Arial"/>
          <w:color w:val="13131D"/>
          <w:spacing w:val="14"/>
          <w:sz w:val="21"/>
          <w:szCs w:val="21"/>
        </w:rPr>
        <w:t xml:space="preserve"> </w:t>
      </w:r>
      <w:r w:rsidRPr="00C95E69">
        <w:rPr>
          <w:rFonts w:ascii="Abadi" w:hAnsi="Abadi" w:cs="Arial"/>
          <w:color w:val="13131D"/>
          <w:sz w:val="21"/>
          <w:szCs w:val="21"/>
        </w:rPr>
        <w:t>en</w:t>
      </w:r>
      <w:r w:rsidRPr="00C95E69">
        <w:rPr>
          <w:rFonts w:ascii="Abadi" w:hAnsi="Abadi" w:cs="Arial"/>
          <w:color w:val="13131D"/>
          <w:spacing w:val="12"/>
          <w:sz w:val="21"/>
          <w:szCs w:val="21"/>
        </w:rPr>
        <w:t xml:space="preserve"> </w:t>
      </w:r>
      <w:r w:rsidRPr="00C95E69">
        <w:rPr>
          <w:rFonts w:ascii="Abadi" w:hAnsi="Abadi" w:cs="Arial"/>
          <w:color w:val="13131D"/>
          <w:sz w:val="21"/>
          <w:szCs w:val="21"/>
        </w:rPr>
        <w:t>condenar</w:t>
      </w:r>
      <w:r w:rsidRPr="00C95E69">
        <w:rPr>
          <w:rFonts w:ascii="Abadi" w:hAnsi="Abadi" w:cs="Arial"/>
          <w:color w:val="13131D"/>
          <w:spacing w:val="8"/>
          <w:sz w:val="21"/>
          <w:szCs w:val="21"/>
        </w:rPr>
        <w:t xml:space="preserve"> </w:t>
      </w:r>
      <w:r w:rsidRPr="00C95E69">
        <w:rPr>
          <w:rFonts w:ascii="Abadi" w:hAnsi="Abadi" w:cs="Arial"/>
          <w:color w:val="13131D"/>
          <w:sz w:val="21"/>
          <w:szCs w:val="21"/>
        </w:rPr>
        <w:t>lo</w:t>
      </w:r>
      <w:r w:rsidRPr="00C95E69">
        <w:rPr>
          <w:rFonts w:ascii="Abadi" w:hAnsi="Abadi" w:cs="Arial"/>
          <w:color w:val="13131D"/>
          <w:spacing w:val="-4"/>
          <w:sz w:val="21"/>
          <w:szCs w:val="21"/>
        </w:rPr>
        <w:t xml:space="preserve"> </w:t>
      </w:r>
      <w:r w:rsidRPr="00C95E69">
        <w:rPr>
          <w:rFonts w:ascii="Abadi" w:hAnsi="Abadi" w:cs="Arial"/>
          <w:color w:val="13131D"/>
          <w:sz w:val="21"/>
          <w:szCs w:val="21"/>
        </w:rPr>
        <w:t>acontecido,</w:t>
      </w:r>
      <w:r w:rsidRPr="00C95E69">
        <w:rPr>
          <w:rFonts w:ascii="Abadi" w:hAnsi="Abadi" w:cs="Arial"/>
          <w:color w:val="13131D"/>
          <w:spacing w:val="17"/>
          <w:sz w:val="21"/>
          <w:szCs w:val="21"/>
        </w:rPr>
        <w:t xml:space="preserve"> </w:t>
      </w:r>
      <w:r w:rsidRPr="00C95E69">
        <w:rPr>
          <w:rFonts w:ascii="Abadi" w:hAnsi="Abadi" w:cs="Arial"/>
          <w:color w:val="13131D"/>
          <w:sz w:val="21"/>
          <w:szCs w:val="21"/>
        </w:rPr>
        <w:t>en</w:t>
      </w:r>
      <w:r w:rsidRPr="00C95E69">
        <w:rPr>
          <w:rFonts w:ascii="Abadi" w:hAnsi="Abadi" w:cs="Arial"/>
          <w:color w:val="13131D"/>
          <w:spacing w:val="56"/>
          <w:sz w:val="21"/>
          <w:szCs w:val="21"/>
        </w:rPr>
        <w:t xml:space="preserve"> </w:t>
      </w:r>
      <w:r w:rsidRPr="00C95E69">
        <w:rPr>
          <w:rFonts w:ascii="Abadi" w:hAnsi="Abadi" w:cs="Arial"/>
          <w:color w:val="13131D"/>
          <w:sz w:val="21"/>
          <w:szCs w:val="21"/>
        </w:rPr>
        <w:t>condenar</w:t>
      </w:r>
      <w:r w:rsidRPr="00C95E69">
        <w:rPr>
          <w:rFonts w:ascii="Abadi" w:hAnsi="Abadi" w:cs="Arial"/>
          <w:color w:val="13131D"/>
          <w:spacing w:val="56"/>
          <w:sz w:val="21"/>
          <w:szCs w:val="21"/>
        </w:rPr>
        <w:t xml:space="preserve"> </w:t>
      </w:r>
      <w:r w:rsidRPr="00C95E69">
        <w:rPr>
          <w:rFonts w:ascii="Abadi" w:hAnsi="Abadi" w:cs="Arial"/>
          <w:color w:val="13131D"/>
          <w:sz w:val="21"/>
          <w:szCs w:val="21"/>
        </w:rPr>
        <w:t>la</w:t>
      </w:r>
      <w:r w:rsidRPr="00C95E69">
        <w:rPr>
          <w:rFonts w:ascii="Abadi" w:hAnsi="Abadi" w:cs="Arial"/>
          <w:color w:val="13131D"/>
          <w:spacing w:val="67"/>
          <w:sz w:val="21"/>
          <w:szCs w:val="21"/>
        </w:rPr>
        <w:t xml:space="preserve"> </w:t>
      </w:r>
      <w:r w:rsidRPr="00C95E69">
        <w:rPr>
          <w:rFonts w:ascii="Abadi" w:hAnsi="Abadi" w:cs="Arial"/>
          <w:color w:val="13131D"/>
          <w:sz w:val="21"/>
          <w:szCs w:val="21"/>
        </w:rPr>
        <w:t>criminalización</w:t>
      </w:r>
      <w:r w:rsidRPr="00C95E69">
        <w:rPr>
          <w:rFonts w:ascii="Abadi" w:hAnsi="Abadi" w:cs="Arial"/>
          <w:color w:val="13131D"/>
          <w:spacing w:val="62"/>
          <w:sz w:val="21"/>
          <w:szCs w:val="21"/>
        </w:rPr>
        <w:t xml:space="preserve"> </w:t>
      </w:r>
      <w:r w:rsidRPr="00C95E69">
        <w:rPr>
          <w:rFonts w:ascii="Abadi" w:hAnsi="Abadi" w:cs="Arial"/>
          <w:color w:val="13131D"/>
          <w:sz w:val="21"/>
          <w:szCs w:val="21"/>
        </w:rPr>
        <w:t>de</w:t>
      </w:r>
      <w:r w:rsidRPr="00C95E69">
        <w:rPr>
          <w:rFonts w:ascii="Abadi" w:hAnsi="Abadi" w:cs="Arial"/>
          <w:color w:val="13131D"/>
          <w:spacing w:val="48"/>
          <w:sz w:val="21"/>
          <w:szCs w:val="21"/>
        </w:rPr>
        <w:t xml:space="preserve"> </w:t>
      </w:r>
      <w:r w:rsidRPr="00C95E69">
        <w:rPr>
          <w:rFonts w:ascii="Abadi" w:hAnsi="Abadi" w:cs="Arial"/>
          <w:color w:val="13131D"/>
          <w:sz w:val="21"/>
          <w:szCs w:val="21"/>
        </w:rPr>
        <w:t>las</w:t>
      </w:r>
      <w:r w:rsidRPr="00C95E69">
        <w:rPr>
          <w:rFonts w:ascii="Abadi" w:hAnsi="Abadi" w:cs="Arial"/>
          <w:color w:val="13131D"/>
          <w:spacing w:val="55"/>
          <w:sz w:val="21"/>
          <w:szCs w:val="21"/>
        </w:rPr>
        <w:t xml:space="preserve"> </w:t>
      </w:r>
      <w:r w:rsidRPr="00C95E69">
        <w:rPr>
          <w:rFonts w:ascii="Abadi" w:hAnsi="Abadi" w:cs="Arial"/>
          <w:color w:val="13131D"/>
          <w:sz w:val="21"/>
          <w:szCs w:val="21"/>
        </w:rPr>
        <w:t>mujeres</w:t>
      </w:r>
      <w:r w:rsidRPr="00C95E69">
        <w:rPr>
          <w:rFonts w:ascii="Abadi" w:hAnsi="Abadi" w:cs="Arial"/>
          <w:color w:val="13131D"/>
          <w:spacing w:val="61"/>
          <w:sz w:val="21"/>
          <w:szCs w:val="21"/>
        </w:rPr>
        <w:t xml:space="preserve"> </w:t>
      </w:r>
      <w:r w:rsidRPr="00C95E69">
        <w:rPr>
          <w:rFonts w:ascii="Abadi" w:hAnsi="Abadi" w:cs="Arial"/>
          <w:color w:val="13131D"/>
          <w:sz w:val="21"/>
          <w:szCs w:val="21"/>
        </w:rPr>
        <w:t>detenidas,</w:t>
      </w:r>
      <w:r w:rsidRPr="00C95E69">
        <w:rPr>
          <w:rFonts w:ascii="Abadi" w:hAnsi="Abadi" w:cs="Arial"/>
          <w:color w:val="13131D"/>
          <w:spacing w:val="3"/>
          <w:sz w:val="21"/>
          <w:szCs w:val="21"/>
        </w:rPr>
        <w:t xml:space="preserve"> </w:t>
      </w:r>
      <w:r w:rsidRPr="00C95E69">
        <w:rPr>
          <w:rFonts w:ascii="Abadi" w:hAnsi="Abadi" w:cs="Arial"/>
          <w:color w:val="13131D"/>
          <w:sz w:val="21"/>
          <w:szCs w:val="21"/>
        </w:rPr>
        <w:t>en</w:t>
      </w:r>
      <w:r w:rsidRPr="00C95E69">
        <w:rPr>
          <w:rFonts w:ascii="Abadi" w:hAnsi="Abadi" w:cs="Arial"/>
          <w:color w:val="13131D"/>
          <w:spacing w:val="-6"/>
          <w:sz w:val="21"/>
          <w:szCs w:val="21"/>
        </w:rPr>
        <w:t xml:space="preserve"> </w:t>
      </w:r>
      <w:r w:rsidRPr="00C95E69">
        <w:rPr>
          <w:rFonts w:ascii="Abadi" w:hAnsi="Abadi" w:cs="Arial"/>
          <w:color w:val="13131D"/>
          <w:sz w:val="21"/>
          <w:szCs w:val="21"/>
        </w:rPr>
        <w:t>condenar</w:t>
      </w:r>
      <w:r w:rsidRPr="00C95E69">
        <w:rPr>
          <w:rFonts w:ascii="Abadi" w:hAnsi="Abadi" w:cs="Arial"/>
          <w:color w:val="13131D"/>
          <w:spacing w:val="19"/>
          <w:sz w:val="21"/>
          <w:szCs w:val="21"/>
        </w:rPr>
        <w:t xml:space="preserve"> </w:t>
      </w:r>
      <w:r w:rsidRPr="00C95E69">
        <w:rPr>
          <w:rFonts w:ascii="Abadi" w:hAnsi="Abadi" w:cs="Arial"/>
          <w:color w:val="13131D"/>
          <w:sz w:val="21"/>
          <w:szCs w:val="21"/>
        </w:rPr>
        <w:t>la</w:t>
      </w:r>
      <w:r w:rsidRPr="00C95E69">
        <w:rPr>
          <w:rFonts w:ascii="Abadi" w:hAnsi="Abadi" w:cs="Arial"/>
          <w:color w:val="13131D"/>
          <w:spacing w:val="18"/>
          <w:sz w:val="21"/>
          <w:szCs w:val="21"/>
        </w:rPr>
        <w:t xml:space="preserve"> </w:t>
      </w:r>
      <w:r w:rsidRPr="00C95E69">
        <w:rPr>
          <w:rFonts w:ascii="Abadi" w:hAnsi="Abadi" w:cs="Arial"/>
          <w:color w:val="13131D"/>
          <w:sz w:val="21"/>
          <w:szCs w:val="21"/>
        </w:rPr>
        <w:t>violencia,</w:t>
      </w:r>
      <w:r w:rsidRPr="00C95E69">
        <w:rPr>
          <w:rFonts w:ascii="Abadi" w:hAnsi="Abadi" w:cs="Arial"/>
          <w:color w:val="13131D"/>
          <w:spacing w:val="38"/>
          <w:sz w:val="21"/>
          <w:szCs w:val="21"/>
        </w:rPr>
        <w:t xml:space="preserve"> </w:t>
      </w:r>
      <w:r w:rsidRPr="00C95E69">
        <w:rPr>
          <w:rFonts w:ascii="Abadi" w:hAnsi="Abadi" w:cs="Arial"/>
          <w:color w:val="13131D"/>
          <w:sz w:val="21"/>
          <w:szCs w:val="21"/>
        </w:rPr>
        <w:t>en</w:t>
      </w:r>
      <w:r w:rsidRPr="00C95E69">
        <w:rPr>
          <w:rFonts w:ascii="Abadi" w:hAnsi="Abadi" w:cs="Arial"/>
          <w:color w:val="13131D"/>
          <w:spacing w:val="22"/>
          <w:sz w:val="21"/>
          <w:szCs w:val="21"/>
        </w:rPr>
        <w:t xml:space="preserve"> </w:t>
      </w:r>
      <w:r w:rsidRPr="00C95E69">
        <w:rPr>
          <w:rFonts w:ascii="Abadi" w:hAnsi="Abadi" w:cs="Arial"/>
          <w:color w:val="13131D"/>
          <w:sz w:val="21"/>
          <w:szCs w:val="21"/>
        </w:rPr>
        <w:t>condenar</w:t>
      </w:r>
      <w:r w:rsidRPr="00C95E69">
        <w:rPr>
          <w:rFonts w:ascii="Abadi" w:hAnsi="Abadi" w:cs="Arial"/>
          <w:color w:val="13131D"/>
          <w:spacing w:val="24"/>
          <w:sz w:val="21"/>
          <w:szCs w:val="21"/>
        </w:rPr>
        <w:t xml:space="preserve"> </w:t>
      </w:r>
      <w:r w:rsidRPr="00C95E69">
        <w:rPr>
          <w:rFonts w:ascii="Abadi" w:hAnsi="Abadi" w:cs="Arial"/>
          <w:color w:val="13131D"/>
          <w:sz w:val="21"/>
          <w:szCs w:val="21"/>
        </w:rPr>
        <w:t>los</w:t>
      </w:r>
      <w:r w:rsidRPr="00C95E69">
        <w:rPr>
          <w:rFonts w:ascii="Abadi" w:hAnsi="Abadi" w:cs="Arial"/>
          <w:color w:val="13131D"/>
          <w:spacing w:val="21"/>
          <w:sz w:val="21"/>
          <w:szCs w:val="21"/>
        </w:rPr>
        <w:t xml:space="preserve"> </w:t>
      </w:r>
      <w:r w:rsidRPr="00C95E69">
        <w:rPr>
          <w:rFonts w:ascii="Abadi" w:hAnsi="Abadi" w:cs="Arial"/>
          <w:color w:val="13131D"/>
          <w:sz w:val="21"/>
          <w:szCs w:val="21"/>
        </w:rPr>
        <w:t>abusos</w:t>
      </w:r>
      <w:r w:rsidRPr="00C95E69">
        <w:rPr>
          <w:rFonts w:ascii="Abadi" w:hAnsi="Abadi" w:cs="Arial"/>
          <w:color w:val="13131D"/>
          <w:spacing w:val="23"/>
          <w:sz w:val="21"/>
          <w:szCs w:val="21"/>
        </w:rPr>
        <w:t xml:space="preserve"> </w:t>
      </w:r>
      <w:r w:rsidRPr="00C95E69">
        <w:rPr>
          <w:rFonts w:ascii="Abadi" w:hAnsi="Abadi" w:cs="Arial"/>
          <w:color w:val="13131D"/>
          <w:sz w:val="21"/>
          <w:szCs w:val="21"/>
        </w:rPr>
        <w:t>de</w:t>
      </w:r>
      <w:r w:rsidRPr="00C95E69">
        <w:rPr>
          <w:rFonts w:ascii="Abadi" w:hAnsi="Abadi" w:cs="Arial"/>
          <w:color w:val="13131D"/>
          <w:spacing w:val="20"/>
          <w:sz w:val="21"/>
          <w:szCs w:val="21"/>
        </w:rPr>
        <w:t xml:space="preserve"> </w:t>
      </w:r>
      <w:r w:rsidRPr="00C95E69">
        <w:rPr>
          <w:rFonts w:ascii="Abadi" w:hAnsi="Abadi" w:cs="Arial"/>
          <w:color w:val="13131D"/>
          <w:sz w:val="21"/>
          <w:szCs w:val="21"/>
        </w:rPr>
        <w:t>las</w:t>
      </w:r>
      <w:r w:rsidRPr="00C95E69">
        <w:rPr>
          <w:rFonts w:ascii="Abadi" w:hAnsi="Abadi" w:cs="Arial"/>
          <w:color w:val="13131D"/>
          <w:spacing w:val="17"/>
          <w:sz w:val="21"/>
          <w:szCs w:val="21"/>
        </w:rPr>
        <w:t xml:space="preserve"> </w:t>
      </w:r>
      <w:r w:rsidRPr="00C95E69">
        <w:rPr>
          <w:rFonts w:ascii="Abadi" w:hAnsi="Abadi" w:cs="Arial"/>
          <w:color w:val="13131D"/>
          <w:sz w:val="21"/>
          <w:szCs w:val="21"/>
        </w:rPr>
        <w:t>policías</w:t>
      </w:r>
      <w:r w:rsidRPr="00C95E69">
        <w:rPr>
          <w:rFonts w:ascii="Abadi" w:hAnsi="Abadi" w:cs="Arial"/>
          <w:color w:val="13131D"/>
          <w:spacing w:val="14"/>
          <w:sz w:val="21"/>
          <w:szCs w:val="21"/>
        </w:rPr>
        <w:t xml:space="preserve"> </w:t>
      </w:r>
      <w:r w:rsidRPr="00C95E69">
        <w:rPr>
          <w:rFonts w:ascii="Abadi" w:hAnsi="Abadi" w:cs="Arial"/>
          <w:color w:val="13131D"/>
          <w:sz w:val="21"/>
          <w:szCs w:val="21"/>
        </w:rPr>
        <w:t>en</w:t>
      </w:r>
      <w:r w:rsidRPr="00C95E69">
        <w:rPr>
          <w:rFonts w:ascii="Abadi" w:hAnsi="Abadi" w:cs="Arial"/>
          <w:color w:val="13131D"/>
          <w:spacing w:val="27"/>
          <w:sz w:val="21"/>
          <w:szCs w:val="21"/>
        </w:rPr>
        <w:t xml:space="preserve"> </w:t>
      </w:r>
      <w:r w:rsidRPr="00C95E69">
        <w:rPr>
          <w:rFonts w:ascii="Abadi" w:hAnsi="Abadi" w:cs="Arial"/>
          <w:color w:val="13131D"/>
          <w:sz w:val="21"/>
          <w:szCs w:val="21"/>
        </w:rPr>
        <w:t>contra</w:t>
      </w:r>
      <w:r w:rsidRPr="00C95E69">
        <w:rPr>
          <w:rFonts w:ascii="Abadi" w:hAnsi="Abadi" w:cs="Arial"/>
          <w:color w:val="13131D"/>
          <w:spacing w:val="24"/>
          <w:sz w:val="21"/>
          <w:szCs w:val="21"/>
        </w:rPr>
        <w:t xml:space="preserve"> </w:t>
      </w:r>
      <w:r w:rsidRPr="00C95E69">
        <w:rPr>
          <w:rFonts w:ascii="Abadi" w:hAnsi="Abadi" w:cs="Arial"/>
          <w:color w:val="13131D"/>
          <w:sz w:val="21"/>
          <w:szCs w:val="21"/>
        </w:rPr>
        <w:t>de las</w:t>
      </w:r>
      <w:r w:rsidRPr="00C95E69">
        <w:rPr>
          <w:rFonts w:ascii="Abadi" w:hAnsi="Abadi" w:cs="Arial"/>
          <w:color w:val="13131D"/>
          <w:spacing w:val="7"/>
          <w:sz w:val="21"/>
          <w:szCs w:val="21"/>
        </w:rPr>
        <w:t xml:space="preserve"> </w:t>
      </w:r>
      <w:r w:rsidRPr="00C95E69">
        <w:rPr>
          <w:rFonts w:ascii="Abadi" w:hAnsi="Abadi" w:cs="Arial"/>
          <w:color w:val="13131D"/>
          <w:sz w:val="21"/>
          <w:szCs w:val="21"/>
        </w:rPr>
        <w:t>detenidas.</w:t>
      </w:r>
    </w:p>
    <w:p w14:paraId="37F67337" w14:textId="77777777" w:rsidR="00C95E69" w:rsidRPr="00C95E69" w:rsidRDefault="00C95E69" w:rsidP="00C95E69">
      <w:pPr>
        <w:kinsoku w:val="0"/>
        <w:overflowPunct w:val="0"/>
        <w:autoSpaceDE w:val="0"/>
        <w:autoSpaceDN w:val="0"/>
        <w:adjustRightInd w:val="0"/>
        <w:ind w:right="201"/>
        <w:jc w:val="both"/>
        <w:rPr>
          <w:rFonts w:ascii="Abadi" w:hAnsi="Abadi" w:cs="Arial"/>
          <w:color w:val="14131C"/>
          <w:sz w:val="21"/>
          <w:szCs w:val="21"/>
        </w:rPr>
      </w:pPr>
      <w:r w:rsidRPr="00C95E69">
        <w:rPr>
          <w:rFonts w:ascii="Abadi" w:hAnsi="Abadi" w:cs="Arial"/>
          <w:color w:val="14131C"/>
          <w:sz w:val="21"/>
          <w:szCs w:val="21"/>
        </w:rPr>
        <w:t>Es</w:t>
      </w:r>
      <w:r w:rsidRPr="00C95E69">
        <w:rPr>
          <w:rFonts w:ascii="Abadi" w:hAnsi="Abadi" w:cs="Arial"/>
          <w:color w:val="14131C"/>
          <w:spacing w:val="-8"/>
          <w:sz w:val="21"/>
          <w:szCs w:val="21"/>
        </w:rPr>
        <w:t xml:space="preserve"> </w:t>
      </w:r>
      <w:r w:rsidRPr="00C95E69">
        <w:rPr>
          <w:rFonts w:ascii="Abadi" w:hAnsi="Abadi" w:cs="Arial"/>
          <w:color w:val="14131C"/>
          <w:sz w:val="21"/>
          <w:szCs w:val="21"/>
        </w:rPr>
        <w:t>por</w:t>
      </w:r>
      <w:r w:rsidRPr="00C95E69">
        <w:rPr>
          <w:rFonts w:ascii="Abadi" w:hAnsi="Abadi" w:cs="Arial"/>
          <w:color w:val="14131C"/>
          <w:spacing w:val="-8"/>
          <w:sz w:val="21"/>
          <w:szCs w:val="21"/>
        </w:rPr>
        <w:t xml:space="preserve"> </w:t>
      </w:r>
      <w:r w:rsidRPr="00C95E69">
        <w:rPr>
          <w:rFonts w:ascii="Abadi" w:hAnsi="Abadi" w:cs="Arial"/>
          <w:color w:val="14131C"/>
          <w:sz w:val="21"/>
          <w:szCs w:val="21"/>
        </w:rPr>
        <w:t>eso,</w:t>
      </w:r>
      <w:r w:rsidRPr="00C95E69">
        <w:rPr>
          <w:rFonts w:ascii="Abadi" w:hAnsi="Abadi" w:cs="Arial"/>
          <w:color w:val="14131C"/>
          <w:spacing w:val="18"/>
          <w:sz w:val="21"/>
          <w:szCs w:val="21"/>
        </w:rPr>
        <w:t xml:space="preserve"> </w:t>
      </w:r>
      <w:r w:rsidRPr="00C95E69">
        <w:rPr>
          <w:rFonts w:ascii="Abadi" w:hAnsi="Abadi" w:cs="Arial"/>
          <w:color w:val="14131C"/>
          <w:sz w:val="21"/>
          <w:szCs w:val="21"/>
        </w:rPr>
        <w:t>que</w:t>
      </w:r>
      <w:r w:rsidRPr="00C95E69">
        <w:rPr>
          <w:rFonts w:ascii="Abadi" w:hAnsi="Abadi" w:cs="Arial"/>
          <w:color w:val="14131C"/>
          <w:spacing w:val="-8"/>
          <w:sz w:val="21"/>
          <w:szCs w:val="21"/>
        </w:rPr>
        <w:t xml:space="preserve"> </w:t>
      </w:r>
      <w:r w:rsidRPr="00C95E69">
        <w:rPr>
          <w:rFonts w:ascii="Abadi" w:hAnsi="Abadi" w:cs="Arial"/>
          <w:color w:val="14131C"/>
          <w:sz w:val="21"/>
          <w:szCs w:val="21"/>
        </w:rPr>
        <w:t>en</w:t>
      </w:r>
      <w:r w:rsidRPr="00C95E69">
        <w:rPr>
          <w:rFonts w:ascii="Abadi" w:hAnsi="Abadi" w:cs="Arial"/>
          <w:color w:val="14131C"/>
          <w:spacing w:val="-4"/>
          <w:sz w:val="21"/>
          <w:szCs w:val="21"/>
        </w:rPr>
        <w:t xml:space="preserve"> </w:t>
      </w:r>
      <w:r w:rsidRPr="00C95E69">
        <w:rPr>
          <w:rFonts w:ascii="Abadi" w:hAnsi="Abadi" w:cs="Arial"/>
          <w:color w:val="14131C"/>
          <w:sz w:val="21"/>
          <w:szCs w:val="21"/>
        </w:rPr>
        <w:t>virtud</w:t>
      </w:r>
      <w:r w:rsidRPr="00C95E69">
        <w:rPr>
          <w:rFonts w:ascii="Abadi" w:hAnsi="Abadi" w:cs="Arial"/>
          <w:color w:val="14131C"/>
          <w:spacing w:val="-10"/>
          <w:sz w:val="21"/>
          <w:szCs w:val="21"/>
        </w:rPr>
        <w:t xml:space="preserve"> </w:t>
      </w:r>
      <w:r w:rsidRPr="00C95E69">
        <w:rPr>
          <w:rFonts w:ascii="Abadi" w:hAnsi="Abadi" w:cs="Arial"/>
          <w:color w:val="14131C"/>
          <w:sz w:val="21"/>
          <w:szCs w:val="21"/>
        </w:rPr>
        <w:t>y</w:t>
      </w:r>
      <w:r w:rsidRPr="00C95E69">
        <w:rPr>
          <w:rFonts w:ascii="Abadi" w:hAnsi="Abadi" w:cs="Arial"/>
          <w:color w:val="14131C"/>
          <w:spacing w:val="-6"/>
          <w:sz w:val="21"/>
          <w:szCs w:val="21"/>
        </w:rPr>
        <w:t xml:space="preserve"> </w:t>
      </w:r>
      <w:r w:rsidRPr="00C95E69">
        <w:rPr>
          <w:rFonts w:ascii="Abadi" w:hAnsi="Abadi" w:cs="Arial"/>
          <w:color w:val="14131C"/>
          <w:sz w:val="21"/>
          <w:szCs w:val="21"/>
        </w:rPr>
        <w:t>con</w:t>
      </w:r>
      <w:r w:rsidRPr="00C95E69">
        <w:rPr>
          <w:rFonts w:ascii="Abadi" w:hAnsi="Abadi" w:cs="Arial"/>
          <w:color w:val="14131C"/>
          <w:spacing w:val="-4"/>
          <w:sz w:val="21"/>
          <w:szCs w:val="21"/>
        </w:rPr>
        <w:t xml:space="preserve"> </w:t>
      </w:r>
      <w:r w:rsidRPr="00C95E69">
        <w:rPr>
          <w:rFonts w:ascii="Abadi" w:hAnsi="Abadi" w:cs="Arial"/>
          <w:color w:val="14131C"/>
          <w:sz w:val="21"/>
          <w:szCs w:val="21"/>
        </w:rPr>
        <w:t>la</w:t>
      </w:r>
      <w:r w:rsidRPr="00C95E69">
        <w:rPr>
          <w:rFonts w:ascii="Abadi" w:hAnsi="Abadi" w:cs="Arial"/>
          <w:color w:val="14131C"/>
          <w:spacing w:val="-4"/>
          <w:sz w:val="21"/>
          <w:szCs w:val="21"/>
        </w:rPr>
        <w:t xml:space="preserve"> </w:t>
      </w:r>
      <w:r w:rsidRPr="00C95E69">
        <w:rPr>
          <w:rFonts w:ascii="Abadi" w:hAnsi="Abadi" w:cs="Arial"/>
          <w:color w:val="14131C"/>
          <w:sz w:val="21"/>
          <w:szCs w:val="21"/>
        </w:rPr>
        <w:t>intención</w:t>
      </w:r>
      <w:r w:rsidRPr="00C95E69">
        <w:rPr>
          <w:rFonts w:ascii="Abadi" w:hAnsi="Abadi" w:cs="Arial"/>
          <w:color w:val="14131C"/>
          <w:spacing w:val="-8"/>
          <w:sz w:val="21"/>
          <w:szCs w:val="21"/>
        </w:rPr>
        <w:t xml:space="preserve"> </w:t>
      </w:r>
      <w:r w:rsidRPr="00C95E69">
        <w:rPr>
          <w:rFonts w:ascii="Abadi" w:hAnsi="Abadi" w:cs="Arial"/>
          <w:color w:val="14131C"/>
          <w:sz w:val="21"/>
          <w:szCs w:val="21"/>
        </w:rPr>
        <w:t>de</w:t>
      </w:r>
      <w:r w:rsidRPr="00C95E69">
        <w:rPr>
          <w:rFonts w:ascii="Abadi" w:hAnsi="Abadi" w:cs="Arial"/>
          <w:color w:val="14131C"/>
          <w:spacing w:val="-11"/>
          <w:sz w:val="21"/>
          <w:szCs w:val="21"/>
        </w:rPr>
        <w:t xml:space="preserve"> </w:t>
      </w:r>
      <w:r w:rsidRPr="00C95E69">
        <w:rPr>
          <w:rFonts w:ascii="Abadi" w:hAnsi="Abadi" w:cs="Arial"/>
          <w:color w:val="14131C"/>
          <w:sz w:val="21"/>
          <w:szCs w:val="21"/>
        </w:rPr>
        <w:t>hacer</w:t>
      </w:r>
      <w:r w:rsidRPr="00C95E69">
        <w:rPr>
          <w:rFonts w:ascii="Abadi" w:hAnsi="Abadi" w:cs="Arial"/>
          <w:color w:val="14131C"/>
          <w:spacing w:val="-4"/>
          <w:sz w:val="21"/>
          <w:szCs w:val="21"/>
        </w:rPr>
        <w:t xml:space="preserve"> </w:t>
      </w:r>
      <w:r w:rsidRPr="00C95E69">
        <w:rPr>
          <w:rFonts w:ascii="Abadi" w:hAnsi="Abadi" w:cs="Arial"/>
          <w:color w:val="14131C"/>
          <w:sz w:val="21"/>
          <w:szCs w:val="21"/>
        </w:rPr>
        <w:t>coincidir</w:t>
      </w:r>
      <w:r w:rsidRPr="00C95E69">
        <w:rPr>
          <w:rFonts w:ascii="Abadi" w:hAnsi="Abadi" w:cs="Arial"/>
          <w:color w:val="14131C"/>
          <w:spacing w:val="-11"/>
          <w:sz w:val="21"/>
          <w:szCs w:val="21"/>
        </w:rPr>
        <w:t xml:space="preserve"> </w:t>
      </w:r>
      <w:r w:rsidRPr="00C95E69">
        <w:rPr>
          <w:rFonts w:ascii="Abadi" w:hAnsi="Abadi" w:cs="Arial"/>
          <w:color w:val="14131C"/>
          <w:sz w:val="21"/>
          <w:szCs w:val="21"/>
        </w:rPr>
        <w:t>la</w:t>
      </w:r>
      <w:r w:rsidRPr="00C95E69">
        <w:rPr>
          <w:rFonts w:ascii="Abadi" w:hAnsi="Abadi" w:cs="Arial"/>
          <w:color w:val="14131C"/>
          <w:spacing w:val="-12"/>
          <w:sz w:val="21"/>
          <w:szCs w:val="21"/>
        </w:rPr>
        <w:t xml:space="preserve"> </w:t>
      </w:r>
      <w:r w:rsidRPr="00C95E69">
        <w:rPr>
          <w:rFonts w:ascii="Abadi" w:hAnsi="Abadi" w:cs="Arial"/>
          <w:color w:val="14131C"/>
          <w:sz w:val="21"/>
          <w:szCs w:val="21"/>
        </w:rPr>
        <w:t>pluralidad</w:t>
      </w:r>
      <w:r w:rsidRPr="00C95E69">
        <w:rPr>
          <w:rFonts w:ascii="Abadi" w:hAnsi="Abadi" w:cs="Arial"/>
          <w:color w:val="14131C"/>
          <w:spacing w:val="-14"/>
          <w:sz w:val="21"/>
          <w:szCs w:val="21"/>
        </w:rPr>
        <w:t xml:space="preserve"> </w:t>
      </w:r>
      <w:r w:rsidRPr="00C95E69">
        <w:rPr>
          <w:rFonts w:ascii="Abadi" w:hAnsi="Abadi" w:cs="Arial"/>
          <w:color w:val="14131C"/>
          <w:sz w:val="21"/>
          <w:szCs w:val="21"/>
        </w:rPr>
        <w:t>de</w:t>
      </w:r>
      <w:r w:rsidRPr="00C95E69">
        <w:rPr>
          <w:rFonts w:ascii="Abadi" w:hAnsi="Abadi" w:cs="Arial"/>
          <w:color w:val="14131C"/>
          <w:spacing w:val="-7"/>
          <w:sz w:val="21"/>
          <w:szCs w:val="21"/>
        </w:rPr>
        <w:t xml:space="preserve"> </w:t>
      </w:r>
      <w:r w:rsidRPr="00C95E69">
        <w:rPr>
          <w:rFonts w:ascii="Abadi" w:hAnsi="Abadi" w:cs="Arial"/>
          <w:color w:val="14131C"/>
          <w:sz w:val="21"/>
          <w:szCs w:val="21"/>
        </w:rPr>
        <w:t>opiniones</w:t>
      </w:r>
      <w:r w:rsidRPr="00C95E69">
        <w:rPr>
          <w:rFonts w:ascii="Abadi" w:hAnsi="Abadi" w:cs="Arial"/>
          <w:color w:val="14131C"/>
          <w:spacing w:val="23"/>
          <w:sz w:val="21"/>
          <w:szCs w:val="21"/>
        </w:rPr>
        <w:t xml:space="preserve"> </w:t>
      </w:r>
      <w:r w:rsidRPr="00C95E69">
        <w:rPr>
          <w:rFonts w:ascii="Abadi" w:hAnsi="Abadi" w:cs="Arial"/>
          <w:color w:val="14131C"/>
          <w:sz w:val="21"/>
          <w:szCs w:val="21"/>
        </w:rPr>
        <w:t>y</w:t>
      </w:r>
      <w:r w:rsidRPr="00C95E69">
        <w:rPr>
          <w:rFonts w:ascii="Abadi" w:hAnsi="Abadi" w:cs="Arial"/>
          <w:color w:val="14131C"/>
          <w:spacing w:val="27"/>
          <w:sz w:val="21"/>
          <w:szCs w:val="21"/>
        </w:rPr>
        <w:t xml:space="preserve"> </w:t>
      </w:r>
      <w:r w:rsidRPr="00C95E69">
        <w:rPr>
          <w:rFonts w:ascii="Abadi" w:hAnsi="Abadi" w:cs="Arial"/>
          <w:color w:val="14131C"/>
          <w:sz w:val="21"/>
          <w:szCs w:val="21"/>
        </w:rPr>
        <w:t>llegar</w:t>
      </w:r>
      <w:r w:rsidRPr="00C95E69">
        <w:rPr>
          <w:rFonts w:ascii="Abadi" w:hAnsi="Abadi" w:cs="Arial"/>
          <w:color w:val="14131C"/>
          <w:spacing w:val="24"/>
          <w:sz w:val="21"/>
          <w:szCs w:val="21"/>
        </w:rPr>
        <w:t xml:space="preserve"> </w:t>
      </w:r>
      <w:r w:rsidRPr="00C95E69">
        <w:rPr>
          <w:rFonts w:ascii="Abadi" w:hAnsi="Abadi" w:cs="Arial"/>
          <w:color w:val="14131C"/>
          <w:sz w:val="21"/>
          <w:szCs w:val="21"/>
        </w:rPr>
        <w:t>a</w:t>
      </w:r>
      <w:r w:rsidRPr="00C95E69">
        <w:rPr>
          <w:rFonts w:ascii="Abadi" w:hAnsi="Abadi" w:cs="Arial"/>
          <w:color w:val="14131C"/>
          <w:spacing w:val="18"/>
          <w:sz w:val="21"/>
          <w:szCs w:val="21"/>
        </w:rPr>
        <w:t xml:space="preserve"> </w:t>
      </w:r>
      <w:r w:rsidRPr="00C95E69">
        <w:rPr>
          <w:rFonts w:ascii="Abadi" w:hAnsi="Abadi" w:cs="Arial"/>
          <w:color w:val="14131C"/>
          <w:sz w:val="21"/>
          <w:szCs w:val="21"/>
        </w:rPr>
        <w:t>acuerdos</w:t>
      </w:r>
      <w:r w:rsidRPr="00C95E69">
        <w:rPr>
          <w:rFonts w:ascii="Abadi" w:hAnsi="Abadi" w:cs="Arial"/>
          <w:color w:val="14131C"/>
          <w:spacing w:val="13"/>
          <w:sz w:val="21"/>
          <w:szCs w:val="21"/>
        </w:rPr>
        <w:t xml:space="preserve"> </w:t>
      </w:r>
      <w:r w:rsidRPr="00C95E69">
        <w:rPr>
          <w:rFonts w:ascii="Abadi" w:hAnsi="Abadi" w:cs="Arial"/>
          <w:color w:val="14131C"/>
          <w:sz w:val="21"/>
          <w:szCs w:val="21"/>
        </w:rPr>
        <w:t>dentro</w:t>
      </w:r>
      <w:r w:rsidRPr="00C95E69">
        <w:rPr>
          <w:rFonts w:ascii="Abadi" w:hAnsi="Abadi" w:cs="Arial"/>
          <w:color w:val="14131C"/>
          <w:spacing w:val="15"/>
          <w:sz w:val="21"/>
          <w:szCs w:val="21"/>
        </w:rPr>
        <w:t xml:space="preserve"> </w:t>
      </w:r>
      <w:r w:rsidRPr="00C95E69">
        <w:rPr>
          <w:rFonts w:ascii="Abadi" w:hAnsi="Abadi" w:cs="Arial"/>
          <w:color w:val="14131C"/>
          <w:sz w:val="21"/>
          <w:szCs w:val="21"/>
        </w:rPr>
        <w:t>de</w:t>
      </w:r>
      <w:r w:rsidRPr="00C95E69">
        <w:rPr>
          <w:rFonts w:ascii="Abadi" w:hAnsi="Abadi" w:cs="Arial"/>
          <w:color w:val="14131C"/>
          <w:spacing w:val="24"/>
          <w:sz w:val="21"/>
          <w:szCs w:val="21"/>
        </w:rPr>
        <w:t xml:space="preserve"> </w:t>
      </w:r>
      <w:r w:rsidRPr="00C95E69">
        <w:rPr>
          <w:rFonts w:ascii="Abadi" w:hAnsi="Abadi" w:cs="Arial"/>
          <w:color w:val="14131C"/>
          <w:sz w:val="21"/>
          <w:szCs w:val="21"/>
        </w:rPr>
        <w:t>este</w:t>
      </w:r>
      <w:r w:rsidRPr="00C95E69">
        <w:rPr>
          <w:rFonts w:ascii="Abadi" w:hAnsi="Abadi" w:cs="Arial"/>
          <w:color w:val="14131C"/>
          <w:spacing w:val="29"/>
          <w:sz w:val="21"/>
          <w:szCs w:val="21"/>
        </w:rPr>
        <w:t xml:space="preserve"> </w:t>
      </w:r>
      <w:r w:rsidRPr="00C95E69">
        <w:rPr>
          <w:rFonts w:ascii="Abadi" w:hAnsi="Abadi" w:cs="Arial"/>
          <w:color w:val="14131C"/>
          <w:sz w:val="21"/>
          <w:szCs w:val="21"/>
        </w:rPr>
        <w:t>Congreso,</w:t>
      </w:r>
      <w:r w:rsidRPr="00C95E69">
        <w:rPr>
          <w:rFonts w:ascii="Abadi" w:hAnsi="Abadi" w:cs="Arial"/>
          <w:color w:val="14131C"/>
          <w:spacing w:val="37"/>
          <w:sz w:val="21"/>
          <w:szCs w:val="21"/>
        </w:rPr>
        <w:t xml:space="preserve"> </w:t>
      </w:r>
      <w:r w:rsidRPr="00C95E69">
        <w:rPr>
          <w:rFonts w:ascii="Abadi" w:hAnsi="Abadi" w:cs="Arial"/>
          <w:color w:val="14131C"/>
          <w:sz w:val="21"/>
          <w:szCs w:val="21"/>
        </w:rPr>
        <w:t>se</w:t>
      </w:r>
      <w:r w:rsidRPr="00C95E69">
        <w:rPr>
          <w:rFonts w:ascii="Abadi" w:hAnsi="Abadi" w:cs="Arial"/>
          <w:color w:val="14131C"/>
          <w:spacing w:val="14"/>
          <w:sz w:val="21"/>
          <w:szCs w:val="21"/>
        </w:rPr>
        <w:t xml:space="preserve"> </w:t>
      </w:r>
      <w:r w:rsidRPr="00C95E69">
        <w:rPr>
          <w:rFonts w:ascii="Abadi" w:hAnsi="Abadi" w:cs="Arial"/>
          <w:color w:val="14131C"/>
          <w:sz w:val="21"/>
          <w:szCs w:val="21"/>
        </w:rPr>
        <w:t>propone</w:t>
      </w:r>
      <w:r w:rsidRPr="00C95E69">
        <w:rPr>
          <w:rFonts w:ascii="Abadi" w:hAnsi="Abadi" w:cs="Arial"/>
          <w:color w:val="14131C"/>
          <w:spacing w:val="27"/>
          <w:sz w:val="21"/>
          <w:szCs w:val="21"/>
        </w:rPr>
        <w:t xml:space="preserve"> </w:t>
      </w:r>
      <w:r w:rsidRPr="00C95E69">
        <w:rPr>
          <w:rFonts w:ascii="Abadi" w:hAnsi="Abadi" w:cs="Arial"/>
          <w:color w:val="14131C"/>
          <w:sz w:val="21"/>
          <w:szCs w:val="21"/>
        </w:rPr>
        <w:t>que</w:t>
      </w:r>
      <w:r w:rsidRPr="00C95E69">
        <w:rPr>
          <w:rFonts w:ascii="Abadi" w:hAnsi="Abadi" w:cs="Arial"/>
          <w:color w:val="14131C"/>
          <w:spacing w:val="21"/>
          <w:sz w:val="21"/>
          <w:szCs w:val="21"/>
        </w:rPr>
        <w:t xml:space="preserve"> </w:t>
      </w:r>
      <w:r w:rsidRPr="00C95E69">
        <w:rPr>
          <w:rFonts w:ascii="Abadi" w:hAnsi="Abadi" w:cs="Arial"/>
          <w:color w:val="14131C"/>
          <w:sz w:val="21"/>
          <w:szCs w:val="21"/>
        </w:rPr>
        <w:t>se</w:t>
      </w:r>
      <w:r w:rsidRPr="00C95E69">
        <w:rPr>
          <w:rFonts w:ascii="Abadi" w:hAnsi="Abadi" w:cs="Arial"/>
          <w:color w:val="14131C"/>
          <w:spacing w:val="-5"/>
          <w:sz w:val="21"/>
          <w:szCs w:val="21"/>
        </w:rPr>
        <w:t xml:space="preserve"> </w:t>
      </w:r>
      <w:r w:rsidRPr="00C95E69">
        <w:rPr>
          <w:rFonts w:ascii="Abadi" w:hAnsi="Abadi" w:cs="Arial"/>
          <w:color w:val="14131C"/>
          <w:sz w:val="21"/>
          <w:szCs w:val="21"/>
        </w:rPr>
        <w:t>apruebe</w:t>
      </w:r>
      <w:r w:rsidRPr="00C95E69">
        <w:rPr>
          <w:rFonts w:ascii="Abadi" w:hAnsi="Abadi" w:cs="Arial"/>
          <w:color w:val="14131C"/>
          <w:spacing w:val="10"/>
          <w:sz w:val="21"/>
          <w:szCs w:val="21"/>
        </w:rPr>
        <w:t xml:space="preserve"> </w:t>
      </w:r>
      <w:r w:rsidRPr="00C95E69">
        <w:rPr>
          <w:rFonts w:ascii="Abadi" w:hAnsi="Abadi" w:cs="Arial"/>
          <w:color w:val="14131C"/>
          <w:sz w:val="21"/>
          <w:szCs w:val="21"/>
        </w:rPr>
        <w:t>por</w:t>
      </w:r>
      <w:r w:rsidRPr="00C95E69">
        <w:rPr>
          <w:rFonts w:ascii="Abadi" w:hAnsi="Abadi" w:cs="Arial"/>
          <w:color w:val="14131C"/>
          <w:spacing w:val="9"/>
          <w:sz w:val="21"/>
          <w:szCs w:val="21"/>
        </w:rPr>
        <w:t xml:space="preserve"> </w:t>
      </w:r>
      <w:r w:rsidRPr="00C95E69">
        <w:rPr>
          <w:rFonts w:ascii="Abadi" w:hAnsi="Abadi" w:cs="Arial"/>
          <w:color w:val="14131C"/>
          <w:sz w:val="21"/>
          <w:szCs w:val="21"/>
        </w:rPr>
        <w:t>este</w:t>
      </w:r>
      <w:r w:rsidRPr="00C95E69">
        <w:rPr>
          <w:rFonts w:ascii="Abadi" w:hAnsi="Abadi" w:cs="Arial"/>
          <w:color w:val="14131C"/>
          <w:spacing w:val="23"/>
          <w:sz w:val="21"/>
          <w:szCs w:val="21"/>
        </w:rPr>
        <w:t xml:space="preserve"> </w:t>
      </w:r>
      <w:r w:rsidRPr="00C95E69">
        <w:rPr>
          <w:rFonts w:ascii="Abadi" w:hAnsi="Abadi" w:cs="Arial"/>
          <w:color w:val="14131C"/>
          <w:sz w:val="21"/>
          <w:szCs w:val="21"/>
        </w:rPr>
        <w:t>Congreso</w:t>
      </w:r>
      <w:r w:rsidRPr="00C95E69">
        <w:rPr>
          <w:rFonts w:ascii="Abadi" w:hAnsi="Abadi" w:cs="Arial"/>
          <w:color w:val="14131C"/>
          <w:spacing w:val="17"/>
          <w:sz w:val="21"/>
          <w:szCs w:val="21"/>
        </w:rPr>
        <w:t xml:space="preserve"> </w:t>
      </w:r>
      <w:r w:rsidRPr="00C95E69">
        <w:rPr>
          <w:rFonts w:ascii="Abadi" w:hAnsi="Abadi" w:cs="Arial"/>
          <w:color w:val="14131C"/>
          <w:sz w:val="21"/>
          <w:szCs w:val="21"/>
        </w:rPr>
        <w:t>la</w:t>
      </w:r>
      <w:r w:rsidRPr="00C95E69">
        <w:rPr>
          <w:rFonts w:ascii="Abadi" w:hAnsi="Abadi" w:cs="Arial"/>
          <w:color w:val="14131C"/>
          <w:spacing w:val="19"/>
          <w:sz w:val="21"/>
          <w:szCs w:val="21"/>
        </w:rPr>
        <w:t xml:space="preserve"> </w:t>
      </w:r>
      <w:r w:rsidRPr="00C95E69">
        <w:rPr>
          <w:rFonts w:ascii="Abadi" w:hAnsi="Abadi" w:cs="Arial"/>
          <w:color w:val="14131C"/>
          <w:sz w:val="21"/>
          <w:szCs w:val="21"/>
        </w:rPr>
        <w:t>creación</w:t>
      </w:r>
      <w:r w:rsidRPr="00C95E69">
        <w:rPr>
          <w:rFonts w:ascii="Abadi" w:hAnsi="Abadi" w:cs="Arial"/>
          <w:color w:val="14131C"/>
          <w:spacing w:val="19"/>
          <w:sz w:val="21"/>
          <w:szCs w:val="21"/>
        </w:rPr>
        <w:t xml:space="preserve"> </w:t>
      </w:r>
      <w:r w:rsidRPr="00C95E69">
        <w:rPr>
          <w:rFonts w:ascii="Abadi" w:hAnsi="Abadi" w:cs="Arial"/>
          <w:color w:val="14131C"/>
          <w:sz w:val="21"/>
          <w:szCs w:val="21"/>
        </w:rPr>
        <w:t>de</w:t>
      </w:r>
      <w:r w:rsidRPr="00C95E69">
        <w:rPr>
          <w:rFonts w:ascii="Abadi" w:hAnsi="Abadi" w:cs="Arial"/>
          <w:color w:val="14131C"/>
          <w:spacing w:val="11"/>
          <w:sz w:val="21"/>
          <w:szCs w:val="21"/>
        </w:rPr>
        <w:t xml:space="preserve"> </w:t>
      </w:r>
      <w:r w:rsidRPr="00C95E69">
        <w:rPr>
          <w:rFonts w:ascii="Abadi" w:hAnsi="Abadi" w:cs="Arial"/>
          <w:color w:val="14131C"/>
          <w:sz w:val="21"/>
          <w:szCs w:val="21"/>
        </w:rPr>
        <w:t>una</w:t>
      </w:r>
      <w:r w:rsidRPr="00C95E69">
        <w:rPr>
          <w:rFonts w:ascii="Abadi" w:hAnsi="Abadi" w:cs="Arial"/>
          <w:color w:val="14131C"/>
          <w:spacing w:val="17"/>
          <w:sz w:val="21"/>
          <w:szCs w:val="21"/>
        </w:rPr>
        <w:t xml:space="preserve"> </w:t>
      </w:r>
      <w:r w:rsidRPr="00C95E69">
        <w:rPr>
          <w:rFonts w:ascii="Abadi" w:hAnsi="Abadi" w:cs="Arial"/>
          <w:color w:val="14131C"/>
          <w:sz w:val="21"/>
          <w:szCs w:val="21"/>
        </w:rPr>
        <w:t>comisión</w:t>
      </w:r>
      <w:r w:rsidRPr="00C95E69">
        <w:rPr>
          <w:rFonts w:ascii="Abadi" w:hAnsi="Abadi" w:cs="Arial"/>
          <w:color w:val="14131C"/>
          <w:spacing w:val="20"/>
          <w:sz w:val="21"/>
          <w:szCs w:val="21"/>
        </w:rPr>
        <w:t xml:space="preserve"> </w:t>
      </w:r>
      <w:r w:rsidRPr="00C95E69">
        <w:rPr>
          <w:rFonts w:ascii="Abadi" w:hAnsi="Abadi" w:cs="Arial"/>
          <w:color w:val="14131C"/>
          <w:sz w:val="21"/>
          <w:szCs w:val="21"/>
        </w:rPr>
        <w:t>especial</w:t>
      </w:r>
      <w:r w:rsidRPr="00C95E69">
        <w:rPr>
          <w:rFonts w:ascii="Abadi" w:hAnsi="Abadi" w:cs="Arial"/>
          <w:color w:val="14131C"/>
          <w:spacing w:val="10"/>
          <w:sz w:val="21"/>
          <w:szCs w:val="21"/>
        </w:rPr>
        <w:t xml:space="preserve"> </w:t>
      </w:r>
      <w:r w:rsidRPr="00C95E69">
        <w:rPr>
          <w:rFonts w:ascii="Abadi" w:hAnsi="Abadi" w:cs="Arial"/>
          <w:color w:val="14131C"/>
          <w:sz w:val="21"/>
          <w:szCs w:val="21"/>
        </w:rPr>
        <w:t>con</w:t>
      </w:r>
      <w:r w:rsidRPr="00C95E69">
        <w:rPr>
          <w:rFonts w:ascii="Abadi" w:hAnsi="Abadi" w:cs="Arial"/>
          <w:color w:val="14131C"/>
          <w:spacing w:val="-4"/>
          <w:sz w:val="21"/>
          <w:szCs w:val="21"/>
        </w:rPr>
        <w:t xml:space="preserve"> </w:t>
      </w:r>
      <w:r w:rsidRPr="00C95E69">
        <w:rPr>
          <w:rFonts w:ascii="Abadi" w:hAnsi="Abadi" w:cs="Arial"/>
          <w:color w:val="14131C"/>
          <w:sz w:val="21"/>
          <w:szCs w:val="21"/>
        </w:rPr>
        <w:t>fundamento</w:t>
      </w:r>
      <w:r w:rsidRPr="00C95E69">
        <w:rPr>
          <w:rFonts w:ascii="Abadi" w:hAnsi="Abadi" w:cs="Arial"/>
          <w:color w:val="14131C"/>
          <w:spacing w:val="-3"/>
          <w:sz w:val="21"/>
          <w:szCs w:val="21"/>
        </w:rPr>
        <w:t xml:space="preserve"> </w:t>
      </w:r>
      <w:r w:rsidRPr="00C95E69">
        <w:rPr>
          <w:rFonts w:ascii="Abadi" w:hAnsi="Abadi" w:cs="Arial"/>
          <w:color w:val="14131C"/>
          <w:sz w:val="21"/>
          <w:szCs w:val="21"/>
        </w:rPr>
        <w:t>en</w:t>
      </w:r>
      <w:r w:rsidRPr="00C95E69">
        <w:rPr>
          <w:rFonts w:ascii="Abadi" w:hAnsi="Abadi" w:cs="Arial"/>
          <w:color w:val="14131C"/>
          <w:spacing w:val="2"/>
          <w:sz w:val="21"/>
          <w:szCs w:val="21"/>
        </w:rPr>
        <w:t xml:space="preserve"> </w:t>
      </w:r>
      <w:r w:rsidRPr="00C95E69">
        <w:rPr>
          <w:rFonts w:ascii="Abadi" w:hAnsi="Abadi" w:cs="Arial"/>
          <w:color w:val="14131C"/>
          <w:sz w:val="21"/>
          <w:szCs w:val="21"/>
        </w:rPr>
        <w:t>el</w:t>
      </w:r>
      <w:r w:rsidRPr="00C95E69">
        <w:rPr>
          <w:rFonts w:ascii="Abadi" w:hAnsi="Abadi" w:cs="Arial"/>
          <w:color w:val="14131C"/>
          <w:spacing w:val="2"/>
          <w:sz w:val="21"/>
          <w:szCs w:val="21"/>
        </w:rPr>
        <w:t xml:space="preserve"> </w:t>
      </w:r>
      <w:r w:rsidRPr="00C95E69">
        <w:rPr>
          <w:rFonts w:ascii="Abadi" w:hAnsi="Abadi" w:cs="Arial"/>
          <w:color w:val="14131C"/>
          <w:sz w:val="21"/>
          <w:szCs w:val="21"/>
        </w:rPr>
        <w:t>artículo</w:t>
      </w:r>
      <w:r w:rsidRPr="00C95E69">
        <w:rPr>
          <w:rFonts w:ascii="Abadi" w:hAnsi="Abadi" w:cs="Arial"/>
          <w:color w:val="14131C"/>
          <w:spacing w:val="7"/>
          <w:sz w:val="21"/>
          <w:szCs w:val="21"/>
        </w:rPr>
        <w:t xml:space="preserve"> </w:t>
      </w:r>
      <w:r w:rsidRPr="00C95E69">
        <w:rPr>
          <w:rFonts w:ascii="Abadi" w:hAnsi="Abadi" w:cs="Arial"/>
          <w:color w:val="14131C"/>
          <w:sz w:val="21"/>
          <w:szCs w:val="21"/>
        </w:rPr>
        <w:t>50</w:t>
      </w:r>
      <w:r w:rsidRPr="00C95E69">
        <w:rPr>
          <w:rFonts w:ascii="Abadi" w:hAnsi="Abadi" w:cs="Arial"/>
          <w:color w:val="14131C"/>
          <w:spacing w:val="12"/>
          <w:sz w:val="21"/>
          <w:szCs w:val="21"/>
        </w:rPr>
        <w:t xml:space="preserve"> </w:t>
      </w:r>
      <w:r w:rsidRPr="00C95E69">
        <w:rPr>
          <w:rFonts w:ascii="Abadi" w:hAnsi="Abadi" w:cs="Arial"/>
          <w:color w:val="14131C"/>
          <w:sz w:val="21"/>
          <w:szCs w:val="21"/>
        </w:rPr>
        <w:t>fracción</w:t>
      </w:r>
      <w:r w:rsidRPr="00C95E69">
        <w:rPr>
          <w:rFonts w:ascii="Abadi" w:hAnsi="Abadi" w:cs="Arial"/>
          <w:color w:val="14131C"/>
          <w:spacing w:val="6"/>
          <w:sz w:val="21"/>
          <w:szCs w:val="21"/>
        </w:rPr>
        <w:t xml:space="preserve"> </w:t>
      </w:r>
      <w:r w:rsidRPr="00C95E69">
        <w:rPr>
          <w:rFonts w:ascii="Abadi" w:hAnsi="Abadi" w:cs="Arial"/>
          <w:color w:val="14131C"/>
          <w:sz w:val="21"/>
          <w:szCs w:val="21"/>
        </w:rPr>
        <w:t>V</w:t>
      </w:r>
      <w:r w:rsidRPr="00C95E69">
        <w:rPr>
          <w:rFonts w:ascii="Abadi" w:hAnsi="Abadi" w:cs="Arial"/>
          <w:color w:val="14131C"/>
          <w:spacing w:val="-2"/>
          <w:sz w:val="21"/>
          <w:szCs w:val="21"/>
        </w:rPr>
        <w:t xml:space="preserve"> </w:t>
      </w:r>
      <w:r w:rsidRPr="00C95E69">
        <w:rPr>
          <w:rFonts w:ascii="Abadi" w:hAnsi="Abadi" w:cs="Arial"/>
          <w:color w:val="14131C"/>
          <w:sz w:val="21"/>
          <w:szCs w:val="21"/>
        </w:rPr>
        <w:t>de</w:t>
      </w:r>
      <w:r w:rsidRPr="00C95E69">
        <w:rPr>
          <w:rFonts w:ascii="Abadi" w:hAnsi="Abadi" w:cs="Arial"/>
          <w:color w:val="14131C"/>
          <w:spacing w:val="1"/>
          <w:sz w:val="21"/>
          <w:szCs w:val="21"/>
        </w:rPr>
        <w:t xml:space="preserve"> </w:t>
      </w:r>
      <w:r w:rsidRPr="00C95E69">
        <w:rPr>
          <w:rFonts w:ascii="Abadi" w:hAnsi="Abadi" w:cs="Arial"/>
          <w:color w:val="14131C"/>
          <w:sz w:val="21"/>
          <w:szCs w:val="21"/>
        </w:rPr>
        <w:t>la</w:t>
      </w:r>
      <w:r w:rsidRPr="00C95E69">
        <w:rPr>
          <w:rFonts w:ascii="Abadi" w:hAnsi="Abadi" w:cs="Arial"/>
          <w:color w:val="14131C"/>
          <w:spacing w:val="16"/>
          <w:sz w:val="21"/>
          <w:szCs w:val="21"/>
        </w:rPr>
        <w:t xml:space="preserve"> </w:t>
      </w:r>
      <w:r w:rsidRPr="00C95E69">
        <w:rPr>
          <w:rFonts w:ascii="Abadi" w:hAnsi="Abadi" w:cs="Arial"/>
          <w:color w:val="14131C"/>
          <w:sz w:val="21"/>
          <w:szCs w:val="21"/>
        </w:rPr>
        <w:t>Ley</w:t>
      </w:r>
      <w:r w:rsidRPr="00C95E69">
        <w:rPr>
          <w:rFonts w:ascii="Abadi" w:hAnsi="Abadi" w:cs="Arial"/>
          <w:color w:val="14131C"/>
          <w:spacing w:val="-17"/>
          <w:sz w:val="21"/>
          <w:szCs w:val="21"/>
        </w:rPr>
        <w:t xml:space="preserve"> </w:t>
      </w:r>
      <w:r w:rsidRPr="00C95E69">
        <w:rPr>
          <w:rFonts w:ascii="Abadi" w:hAnsi="Abadi" w:cs="Arial"/>
          <w:color w:val="14131C"/>
          <w:sz w:val="21"/>
          <w:szCs w:val="21"/>
        </w:rPr>
        <w:t>Orgánica</w:t>
      </w:r>
      <w:r w:rsidRPr="00C95E69">
        <w:rPr>
          <w:rFonts w:ascii="Abadi" w:hAnsi="Abadi" w:cs="Arial"/>
          <w:color w:val="14131C"/>
          <w:spacing w:val="9"/>
          <w:sz w:val="21"/>
          <w:szCs w:val="21"/>
        </w:rPr>
        <w:t xml:space="preserve"> </w:t>
      </w:r>
      <w:r w:rsidRPr="00C95E69">
        <w:rPr>
          <w:rFonts w:ascii="Abadi" w:hAnsi="Abadi" w:cs="Arial"/>
          <w:color w:val="14131C"/>
          <w:sz w:val="21"/>
          <w:szCs w:val="21"/>
        </w:rPr>
        <w:t>del</w:t>
      </w:r>
      <w:r w:rsidRPr="00C95E69">
        <w:rPr>
          <w:rFonts w:ascii="Abadi" w:hAnsi="Abadi" w:cs="Arial"/>
          <w:color w:val="14131C"/>
          <w:spacing w:val="14"/>
          <w:sz w:val="21"/>
          <w:szCs w:val="21"/>
        </w:rPr>
        <w:t xml:space="preserve"> </w:t>
      </w:r>
      <w:r w:rsidRPr="00C95E69">
        <w:rPr>
          <w:rFonts w:ascii="Abadi" w:hAnsi="Abadi" w:cs="Arial"/>
          <w:color w:val="14131C"/>
          <w:sz w:val="21"/>
          <w:szCs w:val="21"/>
        </w:rPr>
        <w:t>Congreso</w:t>
      </w:r>
      <w:r w:rsidRPr="00C95E69">
        <w:rPr>
          <w:rFonts w:ascii="Abadi" w:hAnsi="Abadi" w:cs="Arial"/>
          <w:color w:val="14131C"/>
          <w:spacing w:val="2"/>
          <w:sz w:val="21"/>
          <w:szCs w:val="21"/>
        </w:rPr>
        <w:t xml:space="preserve"> </w:t>
      </w:r>
      <w:r w:rsidRPr="00C95E69">
        <w:rPr>
          <w:rFonts w:ascii="Abadi" w:hAnsi="Abadi" w:cs="Arial"/>
          <w:color w:val="14131C"/>
          <w:sz w:val="21"/>
          <w:szCs w:val="21"/>
        </w:rPr>
        <w:t>del Estado</w:t>
      </w:r>
      <w:r w:rsidRPr="00C95E69">
        <w:rPr>
          <w:rFonts w:ascii="Abadi" w:hAnsi="Abadi" w:cs="Arial"/>
          <w:color w:val="14131C"/>
          <w:spacing w:val="6"/>
          <w:sz w:val="21"/>
          <w:szCs w:val="21"/>
        </w:rPr>
        <w:t xml:space="preserve"> </w:t>
      </w:r>
      <w:r w:rsidRPr="00C95E69">
        <w:rPr>
          <w:rFonts w:ascii="Abadi" w:hAnsi="Abadi" w:cs="Arial"/>
          <w:color w:val="14131C"/>
          <w:sz w:val="21"/>
          <w:szCs w:val="21"/>
        </w:rPr>
        <w:t>de</w:t>
      </w:r>
      <w:r w:rsidRPr="00C95E69">
        <w:rPr>
          <w:rFonts w:ascii="Abadi" w:hAnsi="Abadi" w:cs="Arial"/>
          <w:color w:val="14131C"/>
          <w:spacing w:val="6"/>
          <w:sz w:val="21"/>
          <w:szCs w:val="21"/>
        </w:rPr>
        <w:t xml:space="preserve"> </w:t>
      </w:r>
      <w:r w:rsidRPr="00C95E69">
        <w:rPr>
          <w:rFonts w:ascii="Abadi" w:hAnsi="Abadi" w:cs="Arial"/>
          <w:color w:val="14131C"/>
          <w:sz w:val="21"/>
          <w:szCs w:val="21"/>
        </w:rPr>
        <w:t>Guanajuato.</w:t>
      </w:r>
    </w:p>
    <w:p w14:paraId="04AEC952" w14:textId="77777777" w:rsidR="00C95E69" w:rsidRPr="00C95E69" w:rsidRDefault="00C95E69" w:rsidP="00C95E69">
      <w:pPr>
        <w:kinsoku w:val="0"/>
        <w:overflowPunct w:val="0"/>
        <w:autoSpaceDE w:val="0"/>
        <w:autoSpaceDN w:val="0"/>
        <w:adjustRightInd w:val="0"/>
        <w:ind w:right="201"/>
        <w:jc w:val="both"/>
        <w:rPr>
          <w:rFonts w:ascii="Abadi" w:hAnsi="Abadi" w:cs="Arial"/>
          <w:color w:val="14131D"/>
          <w:sz w:val="21"/>
          <w:szCs w:val="21"/>
        </w:rPr>
      </w:pPr>
      <w:r w:rsidRPr="00C95E69">
        <w:rPr>
          <w:rFonts w:ascii="Abadi" w:hAnsi="Abadi" w:cs="Arial"/>
          <w:color w:val="14131D"/>
          <w:sz w:val="21"/>
          <w:szCs w:val="21"/>
        </w:rPr>
        <w:t>Esta</w:t>
      </w:r>
      <w:r w:rsidRPr="00C95E69">
        <w:rPr>
          <w:rFonts w:ascii="Abadi" w:hAnsi="Abadi" w:cs="Arial"/>
          <w:color w:val="14131D"/>
          <w:spacing w:val="4"/>
          <w:sz w:val="21"/>
          <w:szCs w:val="21"/>
        </w:rPr>
        <w:t xml:space="preserve"> </w:t>
      </w:r>
      <w:r w:rsidRPr="00C95E69">
        <w:rPr>
          <w:rFonts w:ascii="Abadi" w:hAnsi="Abadi" w:cs="Arial"/>
          <w:color w:val="14131D"/>
          <w:sz w:val="21"/>
          <w:szCs w:val="21"/>
        </w:rPr>
        <w:t>comisión</w:t>
      </w:r>
      <w:r w:rsidRPr="00C95E69">
        <w:rPr>
          <w:rFonts w:ascii="Abadi" w:hAnsi="Abadi" w:cs="Arial"/>
          <w:color w:val="14131D"/>
          <w:spacing w:val="10"/>
          <w:sz w:val="21"/>
          <w:szCs w:val="21"/>
        </w:rPr>
        <w:t xml:space="preserve"> </w:t>
      </w:r>
      <w:r w:rsidRPr="00C95E69">
        <w:rPr>
          <w:rFonts w:ascii="Abadi" w:hAnsi="Abadi" w:cs="Arial"/>
          <w:color w:val="14131D"/>
          <w:sz w:val="21"/>
          <w:szCs w:val="21"/>
        </w:rPr>
        <w:t>llevará</w:t>
      </w:r>
      <w:r w:rsidRPr="00C95E69">
        <w:rPr>
          <w:rFonts w:ascii="Abadi" w:hAnsi="Abadi" w:cs="Arial"/>
          <w:color w:val="14131D"/>
          <w:spacing w:val="-2"/>
          <w:sz w:val="21"/>
          <w:szCs w:val="21"/>
        </w:rPr>
        <w:t xml:space="preserve"> </w:t>
      </w:r>
      <w:r w:rsidRPr="00C95E69">
        <w:rPr>
          <w:rFonts w:ascii="Abadi" w:hAnsi="Abadi" w:cs="Arial"/>
          <w:color w:val="14131D"/>
          <w:sz w:val="21"/>
          <w:szCs w:val="21"/>
        </w:rPr>
        <w:t>el</w:t>
      </w:r>
      <w:r w:rsidRPr="00C95E69">
        <w:rPr>
          <w:rFonts w:ascii="Abadi" w:hAnsi="Abadi" w:cs="Arial"/>
          <w:color w:val="14131D"/>
          <w:spacing w:val="1"/>
          <w:sz w:val="21"/>
          <w:szCs w:val="21"/>
        </w:rPr>
        <w:t xml:space="preserve"> </w:t>
      </w:r>
      <w:r w:rsidRPr="00C95E69">
        <w:rPr>
          <w:rFonts w:ascii="Abadi" w:hAnsi="Abadi" w:cs="Arial"/>
          <w:color w:val="14131D"/>
          <w:sz w:val="21"/>
          <w:szCs w:val="21"/>
        </w:rPr>
        <w:t>nombre</w:t>
      </w:r>
      <w:r w:rsidRPr="00C95E69">
        <w:rPr>
          <w:rFonts w:ascii="Abadi" w:hAnsi="Abadi" w:cs="Arial"/>
          <w:color w:val="14131D"/>
          <w:spacing w:val="6"/>
          <w:sz w:val="21"/>
          <w:szCs w:val="21"/>
        </w:rPr>
        <w:t xml:space="preserve"> </w:t>
      </w:r>
      <w:r w:rsidRPr="00C95E69">
        <w:rPr>
          <w:rFonts w:ascii="Abadi" w:hAnsi="Abadi" w:cs="Arial"/>
          <w:color w:val="14131D"/>
          <w:sz w:val="21"/>
          <w:szCs w:val="21"/>
        </w:rPr>
        <w:t>de</w:t>
      </w:r>
      <w:r w:rsidRPr="00C95E69">
        <w:rPr>
          <w:rFonts w:ascii="Abadi" w:hAnsi="Abadi" w:cs="Arial"/>
          <w:color w:val="14131D"/>
          <w:spacing w:val="18"/>
          <w:sz w:val="21"/>
          <w:szCs w:val="21"/>
        </w:rPr>
        <w:t xml:space="preserve"> </w:t>
      </w:r>
      <w:r w:rsidRPr="00C95E69">
        <w:rPr>
          <w:rFonts w:ascii="Abadi" w:hAnsi="Abadi" w:cs="Arial"/>
          <w:color w:val="14131D"/>
          <w:sz w:val="21"/>
          <w:szCs w:val="21"/>
        </w:rPr>
        <w:t>Comisión</w:t>
      </w:r>
      <w:r w:rsidRPr="00C95E69">
        <w:rPr>
          <w:rFonts w:ascii="Abadi" w:hAnsi="Abadi" w:cs="Arial"/>
          <w:color w:val="14131D"/>
          <w:spacing w:val="28"/>
          <w:sz w:val="21"/>
          <w:szCs w:val="21"/>
        </w:rPr>
        <w:t xml:space="preserve"> </w:t>
      </w:r>
      <w:r w:rsidRPr="00C95E69">
        <w:rPr>
          <w:rFonts w:ascii="Abadi" w:hAnsi="Abadi" w:cs="Arial"/>
          <w:color w:val="14131D"/>
          <w:sz w:val="21"/>
          <w:szCs w:val="21"/>
        </w:rPr>
        <w:t>Especial</w:t>
      </w:r>
      <w:r w:rsidRPr="00C95E69">
        <w:rPr>
          <w:rFonts w:ascii="Abadi" w:hAnsi="Abadi" w:cs="Arial"/>
          <w:color w:val="14131D"/>
          <w:spacing w:val="5"/>
          <w:sz w:val="21"/>
          <w:szCs w:val="21"/>
        </w:rPr>
        <w:t xml:space="preserve"> </w:t>
      </w:r>
      <w:r w:rsidRPr="00C95E69">
        <w:rPr>
          <w:rFonts w:ascii="Abadi" w:hAnsi="Abadi" w:cs="Arial"/>
          <w:color w:val="14131D"/>
          <w:sz w:val="21"/>
          <w:szCs w:val="21"/>
        </w:rPr>
        <w:t>de</w:t>
      </w:r>
      <w:r w:rsidRPr="00C95E69">
        <w:rPr>
          <w:rFonts w:ascii="Abadi" w:hAnsi="Abadi" w:cs="Arial"/>
          <w:color w:val="14131D"/>
          <w:spacing w:val="11"/>
          <w:sz w:val="21"/>
          <w:szCs w:val="21"/>
        </w:rPr>
        <w:t xml:space="preserve"> </w:t>
      </w:r>
      <w:r w:rsidRPr="00C95E69">
        <w:rPr>
          <w:rFonts w:ascii="Abadi" w:hAnsi="Abadi" w:cs="Arial"/>
          <w:color w:val="14131D"/>
          <w:sz w:val="21"/>
          <w:szCs w:val="21"/>
        </w:rPr>
        <w:t>Seguimiento</w:t>
      </w:r>
      <w:r w:rsidRPr="00C95E69">
        <w:rPr>
          <w:rFonts w:ascii="Abadi" w:hAnsi="Abadi" w:cs="Arial"/>
          <w:color w:val="14131D"/>
          <w:spacing w:val="-1"/>
          <w:sz w:val="21"/>
          <w:szCs w:val="21"/>
        </w:rPr>
        <w:t xml:space="preserve"> </w:t>
      </w:r>
      <w:r w:rsidRPr="00C95E69">
        <w:rPr>
          <w:rFonts w:ascii="Abadi" w:hAnsi="Abadi" w:cs="Arial"/>
          <w:color w:val="14131D"/>
          <w:sz w:val="21"/>
          <w:szCs w:val="21"/>
        </w:rPr>
        <w:t>a</w:t>
      </w:r>
      <w:r w:rsidRPr="00C95E69">
        <w:rPr>
          <w:rFonts w:ascii="Abadi" w:hAnsi="Abadi" w:cs="Arial"/>
          <w:color w:val="14131D"/>
          <w:spacing w:val="7"/>
          <w:sz w:val="21"/>
          <w:szCs w:val="21"/>
        </w:rPr>
        <w:t xml:space="preserve"> </w:t>
      </w:r>
      <w:r w:rsidRPr="00C95E69">
        <w:rPr>
          <w:rFonts w:ascii="Abadi" w:hAnsi="Abadi" w:cs="Arial"/>
          <w:color w:val="14131D"/>
          <w:sz w:val="21"/>
          <w:szCs w:val="21"/>
        </w:rPr>
        <w:t>los</w:t>
      </w:r>
      <w:r w:rsidRPr="00C95E69">
        <w:rPr>
          <w:rFonts w:ascii="Abadi" w:hAnsi="Abadi" w:cs="Arial"/>
          <w:color w:val="14131D"/>
          <w:spacing w:val="-2"/>
          <w:sz w:val="21"/>
          <w:szCs w:val="21"/>
        </w:rPr>
        <w:t xml:space="preserve"> </w:t>
      </w:r>
      <w:r w:rsidRPr="00C95E69">
        <w:rPr>
          <w:rFonts w:ascii="Abadi" w:hAnsi="Abadi" w:cs="Arial"/>
          <w:color w:val="14131D"/>
          <w:sz w:val="21"/>
          <w:szCs w:val="21"/>
        </w:rPr>
        <w:t>hechos del</w:t>
      </w:r>
      <w:r w:rsidRPr="00C95E69">
        <w:rPr>
          <w:rFonts w:ascii="Abadi" w:hAnsi="Abadi" w:cs="Arial"/>
          <w:color w:val="14131D"/>
          <w:spacing w:val="14"/>
          <w:sz w:val="21"/>
          <w:szCs w:val="21"/>
        </w:rPr>
        <w:t xml:space="preserve"> </w:t>
      </w:r>
      <w:r w:rsidRPr="00C95E69">
        <w:rPr>
          <w:rFonts w:ascii="Abadi" w:hAnsi="Abadi" w:cs="Arial"/>
          <w:color w:val="14131D"/>
          <w:sz w:val="21"/>
          <w:szCs w:val="21"/>
        </w:rPr>
        <w:t>1</w:t>
      </w:r>
      <w:r w:rsidRPr="00C95E69">
        <w:rPr>
          <w:rFonts w:ascii="Abadi" w:hAnsi="Abadi" w:cs="Arial"/>
          <w:color w:val="14131D"/>
          <w:spacing w:val="4"/>
          <w:sz w:val="21"/>
          <w:szCs w:val="21"/>
        </w:rPr>
        <w:t xml:space="preserve"> </w:t>
      </w:r>
      <w:r w:rsidRPr="00C95E69">
        <w:rPr>
          <w:rFonts w:ascii="Abadi" w:hAnsi="Abadi" w:cs="Arial"/>
          <w:color w:val="14131D"/>
          <w:sz w:val="21"/>
          <w:szCs w:val="21"/>
        </w:rPr>
        <w:t>de</w:t>
      </w:r>
      <w:r w:rsidRPr="00C95E69">
        <w:rPr>
          <w:rFonts w:ascii="Abadi" w:hAnsi="Abadi" w:cs="Arial"/>
          <w:color w:val="14131D"/>
          <w:spacing w:val="-9"/>
          <w:sz w:val="21"/>
          <w:szCs w:val="21"/>
        </w:rPr>
        <w:t xml:space="preserve"> </w:t>
      </w:r>
      <w:r w:rsidRPr="00C95E69">
        <w:rPr>
          <w:rFonts w:ascii="Abadi" w:hAnsi="Abadi" w:cs="Arial"/>
          <w:color w:val="14131D"/>
          <w:sz w:val="21"/>
          <w:szCs w:val="21"/>
        </w:rPr>
        <w:t>mayo</w:t>
      </w:r>
      <w:r w:rsidRPr="00C95E69">
        <w:rPr>
          <w:rFonts w:ascii="Abadi" w:hAnsi="Abadi" w:cs="Arial"/>
          <w:color w:val="14131D"/>
          <w:spacing w:val="-7"/>
          <w:sz w:val="21"/>
          <w:szCs w:val="21"/>
        </w:rPr>
        <w:t xml:space="preserve"> </w:t>
      </w:r>
      <w:r w:rsidRPr="00C95E69">
        <w:rPr>
          <w:rFonts w:ascii="Abadi" w:hAnsi="Abadi" w:cs="Arial"/>
          <w:color w:val="14131D"/>
          <w:sz w:val="21"/>
          <w:szCs w:val="21"/>
        </w:rPr>
        <w:t>en</w:t>
      </w:r>
      <w:r w:rsidRPr="00C95E69">
        <w:rPr>
          <w:rFonts w:ascii="Abadi" w:hAnsi="Abadi" w:cs="Arial"/>
          <w:color w:val="14131D"/>
          <w:spacing w:val="-7"/>
          <w:sz w:val="21"/>
          <w:szCs w:val="21"/>
        </w:rPr>
        <w:t xml:space="preserve"> </w:t>
      </w:r>
      <w:r w:rsidRPr="00C95E69">
        <w:rPr>
          <w:rFonts w:ascii="Abadi" w:hAnsi="Abadi" w:cs="Arial"/>
          <w:color w:val="14131D"/>
          <w:sz w:val="21"/>
          <w:szCs w:val="21"/>
        </w:rPr>
        <w:t>el</w:t>
      </w:r>
      <w:r w:rsidRPr="00C95E69">
        <w:rPr>
          <w:rFonts w:ascii="Abadi" w:hAnsi="Abadi" w:cs="Arial"/>
          <w:color w:val="14131D"/>
          <w:spacing w:val="-1"/>
          <w:sz w:val="21"/>
          <w:szCs w:val="21"/>
        </w:rPr>
        <w:t xml:space="preserve"> </w:t>
      </w:r>
      <w:r w:rsidRPr="00C95E69">
        <w:rPr>
          <w:rFonts w:ascii="Abadi" w:hAnsi="Abadi" w:cs="Arial"/>
          <w:color w:val="14131D"/>
          <w:sz w:val="21"/>
          <w:szCs w:val="21"/>
        </w:rPr>
        <w:t>municipio</w:t>
      </w:r>
      <w:r w:rsidRPr="00C95E69">
        <w:rPr>
          <w:rFonts w:ascii="Abadi" w:hAnsi="Abadi" w:cs="Arial"/>
          <w:color w:val="14131D"/>
          <w:spacing w:val="-5"/>
          <w:sz w:val="21"/>
          <w:szCs w:val="21"/>
        </w:rPr>
        <w:t xml:space="preserve"> </w:t>
      </w:r>
      <w:r w:rsidRPr="00C95E69">
        <w:rPr>
          <w:rFonts w:ascii="Abadi" w:hAnsi="Abadi" w:cs="Arial"/>
          <w:color w:val="14131D"/>
          <w:sz w:val="21"/>
          <w:szCs w:val="21"/>
        </w:rPr>
        <w:t>de</w:t>
      </w:r>
      <w:r w:rsidRPr="00C95E69">
        <w:rPr>
          <w:rFonts w:ascii="Abadi" w:hAnsi="Abadi" w:cs="Arial"/>
          <w:color w:val="14131D"/>
          <w:spacing w:val="14"/>
          <w:sz w:val="21"/>
          <w:szCs w:val="21"/>
        </w:rPr>
        <w:t xml:space="preserve"> </w:t>
      </w:r>
      <w:r w:rsidRPr="00C95E69">
        <w:rPr>
          <w:rFonts w:ascii="Abadi" w:hAnsi="Abadi" w:cs="Arial"/>
          <w:color w:val="14131D"/>
          <w:sz w:val="21"/>
          <w:szCs w:val="21"/>
        </w:rPr>
        <w:t>lrapuato,</w:t>
      </w:r>
      <w:r w:rsidRPr="00C95E69">
        <w:rPr>
          <w:rFonts w:ascii="Abadi" w:hAnsi="Abadi" w:cs="Arial"/>
          <w:color w:val="14131D"/>
          <w:spacing w:val="30"/>
          <w:sz w:val="21"/>
          <w:szCs w:val="21"/>
        </w:rPr>
        <w:t xml:space="preserve"> </w:t>
      </w:r>
      <w:r w:rsidRPr="00C95E69">
        <w:rPr>
          <w:rFonts w:ascii="Abadi" w:hAnsi="Abadi" w:cs="Arial"/>
          <w:color w:val="14131D"/>
          <w:sz w:val="21"/>
          <w:szCs w:val="21"/>
        </w:rPr>
        <w:t>Guanajuato.</w:t>
      </w:r>
    </w:p>
    <w:p w14:paraId="406DF514" w14:textId="77777777" w:rsidR="00C95E69" w:rsidRPr="00C95E69" w:rsidRDefault="00C95E69" w:rsidP="00C95E69">
      <w:pPr>
        <w:kinsoku w:val="0"/>
        <w:overflowPunct w:val="0"/>
        <w:autoSpaceDE w:val="0"/>
        <w:autoSpaceDN w:val="0"/>
        <w:adjustRightInd w:val="0"/>
        <w:ind w:left="42" w:right="201" w:firstLine="7"/>
        <w:jc w:val="both"/>
        <w:rPr>
          <w:rFonts w:ascii="Abadi" w:hAnsi="Abadi" w:cs="Arial"/>
          <w:color w:val="14131C"/>
          <w:sz w:val="21"/>
          <w:szCs w:val="21"/>
        </w:rPr>
      </w:pPr>
      <w:r w:rsidRPr="00C95E69">
        <w:rPr>
          <w:rFonts w:ascii="Abadi" w:hAnsi="Abadi" w:cs="Arial"/>
          <w:color w:val="14131C"/>
          <w:sz w:val="21"/>
          <w:szCs w:val="21"/>
        </w:rPr>
        <w:t>Se</w:t>
      </w:r>
      <w:r w:rsidRPr="00C95E69">
        <w:rPr>
          <w:rFonts w:ascii="Abadi" w:hAnsi="Abadi" w:cs="Arial"/>
          <w:color w:val="14131C"/>
          <w:spacing w:val="44"/>
          <w:sz w:val="21"/>
          <w:szCs w:val="21"/>
        </w:rPr>
        <w:t xml:space="preserve"> </w:t>
      </w:r>
      <w:r w:rsidRPr="00C95E69">
        <w:rPr>
          <w:rFonts w:ascii="Abadi" w:hAnsi="Abadi" w:cs="Arial"/>
          <w:color w:val="14131C"/>
          <w:sz w:val="21"/>
          <w:szCs w:val="21"/>
        </w:rPr>
        <w:t>propone</w:t>
      </w:r>
      <w:r w:rsidRPr="00C95E69">
        <w:rPr>
          <w:rFonts w:ascii="Abadi" w:hAnsi="Abadi" w:cs="Arial"/>
          <w:color w:val="14131C"/>
          <w:spacing w:val="43"/>
          <w:sz w:val="21"/>
          <w:szCs w:val="21"/>
        </w:rPr>
        <w:t xml:space="preserve"> </w:t>
      </w:r>
      <w:r w:rsidRPr="00C95E69">
        <w:rPr>
          <w:rFonts w:ascii="Abadi" w:hAnsi="Abadi" w:cs="Arial"/>
          <w:color w:val="14131C"/>
          <w:sz w:val="21"/>
          <w:szCs w:val="21"/>
        </w:rPr>
        <w:t>esté</w:t>
      </w:r>
      <w:r w:rsidRPr="00C95E69">
        <w:rPr>
          <w:rFonts w:ascii="Abadi" w:hAnsi="Abadi" w:cs="Arial"/>
          <w:color w:val="14131C"/>
          <w:spacing w:val="48"/>
          <w:sz w:val="21"/>
          <w:szCs w:val="21"/>
        </w:rPr>
        <w:t xml:space="preserve"> </w:t>
      </w:r>
      <w:r w:rsidRPr="00C95E69">
        <w:rPr>
          <w:rFonts w:ascii="Abadi" w:hAnsi="Abadi" w:cs="Arial"/>
          <w:color w:val="14131C"/>
          <w:sz w:val="21"/>
          <w:szCs w:val="21"/>
        </w:rPr>
        <w:t>conformada</w:t>
      </w:r>
      <w:r w:rsidRPr="00C95E69">
        <w:rPr>
          <w:rFonts w:ascii="Abadi" w:hAnsi="Abadi" w:cs="Arial"/>
          <w:color w:val="14131C"/>
          <w:spacing w:val="42"/>
          <w:sz w:val="21"/>
          <w:szCs w:val="21"/>
        </w:rPr>
        <w:t xml:space="preserve"> </w:t>
      </w:r>
      <w:r w:rsidRPr="00C95E69">
        <w:rPr>
          <w:rFonts w:ascii="Abadi" w:hAnsi="Abadi" w:cs="Arial"/>
          <w:color w:val="14131C"/>
          <w:sz w:val="21"/>
          <w:szCs w:val="21"/>
        </w:rPr>
        <w:t>por</w:t>
      </w:r>
      <w:r w:rsidRPr="00C95E69">
        <w:rPr>
          <w:rFonts w:ascii="Abadi" w:hAnsi="Abadi" w:cs="Arial"/>
          <w:color w:val="14131C"/>
          <w:spacing w:val="43"/>
          <w:sz w:val="21"/>
          <w:szCs w:val="21"/>
        </w:rPr>
        <w:t xml:space="preserve"> </w:t>
      </w:r>
      <w:r w:rsidRPr="00C95E69">
        <w:rPr>
          <w:rFonts w:ascii="Abadi" w:hAnsi="Abadi" w:cs="Arial"/>
          <w:color w:val="14131C"/>
          <w:sz w:val="21"/>
          <w:szCs w:val="21"/>
        </w:rPr>
        <w:t>uno</w:t>
      </w:r>
      <w:r w:rsidRPr="00C95E69">
        <w:rPr>
          <w:rFonts w:ascii="Abadi" w:hAnsi="Abadi" w:cs="Arial"/>
          <w:color w:val="14131C"/>
          <w:spacing w:val="43"/>
          <w:sz w:val="21"/>
          <w:szCs w:val="21"/>
        </w:rPr>
        <w:t xml:space="preserve"> </w:t>
      </w:r>
      <w:r w:rsidRPr="00C95E69">
        <w:rPr>
          <w:rFonts w:ascii="Abadi" w:hAnsi="Abadi" w:cs="Arial"/>
          <w:color w:val="14131C"/>
          <w:sz w:val="21"/>
          <w:szCs w:val="21"/>
        </w:rPr>
        <w:t>y</w:t>
      </w:r>
      <w:r w:rsidRPr="00C95E69">
        <w:rPr>
          <w:rFonts w:ascii="Abadi" w:hAnsi="Abadi" w:cs="Arial"/>
          <w:color w:val="14131C"/>
          <w:spacing w:val="46"/>
          <w:sz w:val="21"/>
          <w:szCs w:val="21"/>
        </w:rPr>
        <w:t xml:space="preserve"> </w:t>
      </w:r>
      <w:r w:rsidRPr="00C95E69">
        <w:rPr>
          <w:rFonts w:ascii="Abadi" w:hAnsi="Abadi" w:cs="Arial"/>
          <w:color w:val="14131C"/>
          <w:sz w:val="21"/>
          <w:szCs w:val="21"/>
        </w:rPr>
        <w:t>máximo</w:t>
      </w:r>
      <w:r w:rsidRPr="00C95E69">
        <w:rPr>
          <w:rFonts w:ascii="Abadi" w:hAnsi="Abadi" w:cs="Arial"/>
          <w:color w:val="14131C"/>
          <w:spacing w:val="38"/>
          <w:sz w:val="21"/>
          <w:szCs w:val="21"/>
        </w:rPr>
        <w:t xml:space="preserve"> </w:t>
      </w:r>
      <w:r w:rsidRPr="00C95E69">
        <w:rPr>
          <w:rFonts w:ascii="Abadi" w:hAnsi="Abadi" w:cs="Arial"/>
          <w:color w:val="14131C"/>
          <w:sz w:val="21"/>
          <w:szCs w:val="21"/>
        </w:rPr>
        <w:t>dos</w:t>
      </w:r>
      <w:r w:rsidRPr="00C95E69">
        <w:rPr>
          <w:rFonts w:ascii="Abadi" w:hAnsi="Abadi" w:cs="Arial"/>
          <w:color w:val="14131C"/>
          <w:spacing w:val="37"/>
          <w:sz w:val="21"/>
          <w:szCs w:val="21"/>
        </w:rPr>
        <w:t xml:space="preserve"> </w:t>
      </w:r>
      <w:r w:rsidRPr="00C95E69">
        <w:rPr>
          <w:rFonts w:ascii="Abadi" w:hAnsi="Abadi" w:cs="Arial"/>
          <w:color w:val="14131C"/>
          <w:sz w:val="21"/>
          <w:szCs w:val="21"/>
        </w:rPr>
        <w:t>integrantes</w:t>
      </w:r>
      <w:r w:rsidRPr="00C95E69">
        <w:rPr>
          <w:rFonts w:ascii="Abadi" w:hAnsi="Abadi" w:cs="Arial"/>
          <w:color w:val="14131C"/>
          <w:spacing w:val="43"/>
          <w:sz w:val="21"/>
          <w:szCs w:val="21"/>
        </w:rPr>
        <w:t xml:space="preserve"> </w:t>
      </w:r>
      <w:r w:rsidRPr="00C95E69">
        <w:rPr>
          <w:rFonts w:ascii="Abadi" w:hAnsi="Abadi" w:cs="Arial"/>
          <w:color w:val="14131C"/>
          <w:sz w:val="21"/>
          <w:szCs w:val="21"/>
        </w:rPr>
        <w:t>de</w:t>
      </w:r>
      <w:r w:rsidRPr="00C95E69">
        <w:rPr>
          <w:rFonts w:ascii="Abadi" w:hAnsi="Abadi" w:cs="Arial"/>
          <w:color w:val="14131C"/>
          <w:spacing w:val="39"/>
          <w:sz w:val="21"/>
          <w:szCs w:val="21"/>
        </w:rPr>
        <w:t xml:space="preserve"> </w:t>
      </w:r>
      <w:r w:rsidRPr="00C95E69">
        <w:rPr>
          <w:rFonts w:ascii="Abadi" w:hAnsi="Abadi" w:cs="Arial"/>
          <w:color w:val="14131C"/>
          <w:sz w:val="21"/>
          <w:szCs w:val="21"/>
        </w:rPr>
        <w:t>cada</w:t>
      </w:r>
      <w:r w:rsidRPr="00C95E69">
        <w:rPr>
          <w:rFonts w:ascii="Abadi" w:hAnsi="Abadi" w:cs="Arial"/>
          <w:color w:val="14131C"/>
          <w:spacing w:val="-3"/>
          <w:sz w:val="21"/>
          <w:szCs w:val="21"/>
        </w:rPr>
        <w:t xml:space="preserve"> </w:t>
      </w:r>
      <w:r w:rsidRPr="00C95E69">
        <w:rPr>
          <w:rFonts w:ascii="Abadi" w:hAnsi="Abadi" w:cs="Arial"/>
          <w:color w:val="14131C"/>
          <w:sz w:val="21"/>
          <w:szCs w:val="21"/>
        </w:rPr>
        <w:t>fuerza</w:t>
      </w:r>
      <w:r w:rsidRPr="00C95E69">
        <w:rPr>
          <w:rFonts w:ascii="Abadi" w:hAnsi="Abadi" w:cs="Arial"/>
          <w:color w:val="14131C"/>
          <w:spacing w:val="38"/>
          <w:sz w:val="21"/>
          <w:szCs w:val="21"/>
        </w:rPr>
        <w:t xml:space="preserve"> </w:t>
      </w:r>
      <w:r w:rsidRPr="00C95E69">
        <w:rPr>
          <w:rFonts w:ascii="Abadi" w:hAnsi="Abadi" w:cs="Arial"/>
          <w:color w:val="14131C"/>
          <w:sz w:val="21"/>
          <w:szCs w:val="21"/>
        </w:rPr>
        <w:t>política</w:t>
      </w:r>
      <w:r w:rsidRPr="00C95E69">
        <w:rPr>
          <w:rFonts w:ascii="Abadi" w:hAnsi="Abadi" w:cs="Arial"/>
          <w:color w:val="14131C"/>
          <w:spacing w:val="41"/>
          <w:sz w:val="21"/>
          <w:szCs w:val="21"/>
        </w:rPr>
        <w:t xml:space="preserve"> </w:t>
      </w:r>
      <w:r w:rsidRPr="00C95E69">
        <w:rPr>
          <w:rFonts w:ascii="Abadi" w:hAnsi="Abadi" w:cs="Arial"/>
          <w:color w:val="14131C"/>
          <w:sz w:val="21"/>
          <w:szCs w:val="21"/>
        </w:rPr>
        <w:t>que</w:t>
      </w:r>
      <w:r w:rsidRPr="00C95E69">
        <w:rPr>
          <w:rFonts w:ascii="Abadi" w:hAnsi="Abadi" w:cs="Arial"/>
          <w:color w:val="14131C"/>
          <w:spacing w:val="25"/>
          <w:sz w:val="21"/>
          <w:szCs w:val="21"/>
        </w:rPr>
        <w:t xml:space="preserve"> </w:t>
      </w:r>
      <w:r w:rsidRPr="00C95E69">
        <w:rPr>
          <w:rFonts w:ascii="Abadi" w:hAnsi="Abadi" w:cs="Arial"/>
          <w:color w:val="14131C"/>
          <w:sz w:val="21"/>
          <w:szCs w:val="21"/>
        </w:rPr>
        <w:t>se</w:t>
      </w:r>
      <w:r w:rsidRPr="00C95E69">
        <w:rPr>
          <w:rFonts w:ascii="Abadi" w:hAnsi="Abadi" w:cs="Arial"/>
          <w:color w:val="14131C"/>
          <w:spacing w:val="22"/>
          <w:sz w:val="21"/>
          <w:szCs w:val="21"/>
        </w:rPr>
        <w:t xml:space="preserve"> </w:t>
      </w:r>
      <w:r w:rsidRPr="00C95E69">
        <w:rPr>
          <w:rFonts w:ascii="Abadi" w:hAnsi="Abadi" w:cs="Arial"/>
          <w:color w:val="14131C"/>
          <w:sz w:val="21"/>
          <w:szCs w:val="21"/>
        </w:rPr>
        <w:t>encuentra</w:t>
      </w:r>
      <w:r w:rsidRPr="00C95E69">
        <w:rPr>
          <w:rFonts w:ascii="Abadi" w:hAnsi="Abadi" w:cs="Arial"/>
          <w:color w:val="14131C"/>
          <w:spacing w:val="32"/>
          <w:sz w:val="21"/>
          <w:szCs w:val="21"/>
        </w:rPr>
        <w:t xml:space="preserve"> </w:t>
      </w:r>
      <w:r w:rsidRPr="00C95E69">
        <w:rPr>
          <w:rFonts w:ascii="Abadi" w:hAnsi="Abadi" w:cs="Arial"/>
          <w:color w:val="14131C"/>
          <w:sz w:val="21"/>
          <w:szCs w:val="21"/>
        </w:rPr>
        <w:t>en</w:t>
      </w:r>
      <w:r w:rsidRPr="00C95E69">
        <w:rPr>
          <w:rFonts w:ascii="Abadi" w:hAnsi="Abadi" w:cs="Arial"/>
          <w:color w:val="14131C"/>
          <w:spacing w:val="33"/>
          <w:sz w:val="21"/>
          <w:szCs w:val="21"/>
        </w:rPr>
        <w:t xml:space="preserve"> </w:t>
      </w:r>
      <w:r w:rsidRPr="00C95E69">
        <w:rPr>
          <w:rFonts w:ascii="Abadi" w:hAnsi="Abadi" w:cs="Arial"/>
          <w:color w:val="14131C"/>
          <w:sz w:val="21"/>
          <w:szCs w:val="21"/>
        </w:rPr>
        <w:t>este</w:t>
      </w:r>
      <w:r w:rsidRPr="00C95E69">
        <w:rPr>
          <w:rFonts w:ascii="Abadi" w:hAnsi="Abadi" w:cs="Arial"/>
          <w:color w:val="14131C"/>
          <w:spacing w:val="40"/>
          <w:sz w:val="21"/>
          <w:szCs w:val="21"/>
        </w:rPr>
        <w:t xml:space="preserve"> </w:t>
      </w:r>
      <w:r w:rsidRPr="00C95E69">
        <w:rPr>
          <w:rFonts w:ascii="Abadi" w:hAnsi="Abadi" w:cs="Arial"/>
          <w:color w:val="14131C"/>
          <w:sz w:val="21"/>
          <w:szCs w:val="21"/>
        </w:rPr>
        <w:t>Congreso,</w:t>
      </w:r>
      <w:r w:rsidRPr="00C95E69">
        <w:rPr>
          <w:rFonts w:ascii="Abadi" w:hAnsi="Abadi" w:cs="Arial"/>
          <w:color w:val="14131C"/>
          <w:spacing w:val="50"/>
          <w:sz w:val="21"/>
          <w:szCs w:val="21"/>
        </w:rPr>
        <w:t xml:space="preserve"> </w:t>
      </w:r>
      <w:r w:rsidRPr="00C95E69">
        <w:rPr>
          <w:rFonts w:ascii="Abadi" w:hAnsi="Abadi" w:cs="Arial"/>
          <w:color w:val="14131C"/>
          <w:sz w:val="21"/>
          <w:szCs w:val="21"/>
        </w:rPr>
        <w:t>y</w:t>
      </w:r>
      <w:r w:rsidRPr="00C95E69">
        <w:rPr>
          <w:rFonts w:ascii="Abadi" w:hAnsi="Abadi" w:cs="Arial"/>
          <w:color w:val="14131C"/>
          <w:spacing w:val="30"/>
          <w:sz w:val="21"/>
          <w:szCs w:val="21"/>
        </w:rPr>
        <w:t xml:space="preserve"> </w:t>
      </w:r>
      <w:r w:rsidRPr="00C95E69">
        <w:rPr>
          <w:rFonts w:ascii="Abadi" w:hAnsi="Abadi" w:cs="Arial"/>
          <w:color w:val="14131C"/>
          <w:sz w:val="21"/>
          <w:szCs w:val="21"/>
        </w:rPr>
        <w:t>tenga</w:t>
      </w:r>
      <w:r w:rsidRPr="00C95E69">
        <w:rPr>
          <w:rFonts w:ascii="Abadi" w:hAnsi="Abadi" w:cs="Arial"/>
          <w:color w:val="14131C"/>
          <w:spacing w:val="28"/>
          <w:sz w:val="21"/>
          <w:szCs w:val="21"/>
        </w:rPr>
        <w:t xml:space="preserve"> </w:t>
      </w:r>
      <w:r w:rsidRPr="00C95E69">
        <w:rPr>
          <w:rFonts w:ascii="Abadi" w:hAnsi="Abadi" w:cs="Arial"/>
          <w:color w:val="14131C"/>
          <w:sz w:val="21"/>
          <w:szCs w:val="21"/>
        </w:rPr>
        <w:t>las</w:t>
      </w:r>
      <w:r w:rsidRPr="00C95E69">
        <w:rPr>
          <w:rFonts w:ascii="Abadi" w:hAnsi="Abadi" w:cs="Arial"/>
          <w:color w:val="14131C"/>
          <w:spacing w:val="33"/>
          <w:sz w:val="21"/>
          <w:szCs w:val="21"/>
        </w:rPr>
        <w:t xml:space="preserve"> </w:t>
      </w:r>
      <w:r w:rsidRPr="00C95E69">
        <w:rPr>
          <w:rFonts w:ascii="Abadi" w:hAnsi="Abadi" w:cs="Arial"/>
          <w:color w:val="14131C"/>
          <w:sz w:val="21"/>
          <w:szCs w:val="21"/>
        </w:rPr>
        <w:t>siguientes</w:t>
      </w:r>
      <w:r w:rsidRPr="00C95E69">
        <w:rPr>
          <w:rFonts w:ascii="Abadi" w:hAnsi="Abadi" w:cs="Arial"/>
          <w:color w:val="14131C"/>
          <w:spacing w:val="-4"/>
          <w:sz w:val="21"/>
          <w:szCs w:val="21"/>
        </w:rPr>
        <w:t xml:space="preserve"> </w:t>
      </w:r>
      <w:r w:rsidRPr="00C95E69">
        <w:rPr>
          <w:rFonts w:ascii="Abadi" w:hAnsi="Abadi" w:cs="Arial"/>
          <w:color w:val="14131C"/>
          <w:sz w:val="21"/>
          <w:szCs w:val="21"/>
        </w:rPr>
        <w:t>funciones</w:t>
      </w:r>
      <w:r w:rsidRPr="00C95E69">
        <w:rPr>
          <w:rFonts w:ascii="Abadi" w:hAnsi="Abadi" w:cs="Arial"/>
          <w:color w:val="14131C"/>
          <w:spacing w:val="8"/>
          <w:sz w:val="21"/>
          <w:szCs w:val="21"/>
        </w:rPr>
        <w:t xml:space="preserve"> </w:t>
      </w:r>
      <w:r w:rsidRPr="00C95E69">
        <w:rPr>
          <w:rFonts w:ascii="Abadi" w:hAnsi="Abadi" w:cs="Arial"/>
          <w:color w:val="14131C"/>
          <w:sz w:val="21"/>
          <w:szCs w:val="21"/>
        </w:rPr>
        <w:t>no</w:t>
      </w:r>
      <w:r w:rsidRPr="00C95E69">
        <w:rPr>
          <w:rFonts w:ascii="Abadi" w:hAnsi="Abadi" w:cs="Arial"/>
          <w:color w:val="14131C"/>
          <w:spacing w:val="2"/>
          <w:sz w:val="21"/>
          <w:szCs w:val="21"/>
        </w:rPr>
        <w:t xml:space="preserve"> </w:t>
      </w:r>
      <w:r w:rsidRPr="00C95E69">
        <w:rPr>
          <w:rFonts w:ascii="Abadi" w:hAnsi="Abadi" w:cs="Arial"/>
          <w:color w:val="14131C"/>
          <w:sz w:val="21"/>
          <w:szCs w:val="21"/>
        </w:rPr>
        <w:t>limitativas:</w:t>
      </w:r>
    </w:p>
    <w:p w14:paraId="555FD323" w14:textId="77777777" w:rsidR="00C95E69" w:rsidRPr="00C95E69" w:rsidRDefault="00C95E69" w:rsidP="00C95E69">
      <w:pPr>
        <w:pStyle w:val="Prrafodelista"/>
        <w:numPr>
          <w:ilvl w:val="0"/>
          <w:numId w:val="73"/>
        </w:numPr>
        <w:kinsoku w:val="0"/>
        <w:overflowPunct w:val="0"/>
        <w:autoSpaceDE w:val="0"/>
        <w:autoSpaceDN w:val="0"/>
        <w:adjustRightInd w:val="0"/>
        <w:ind w:left="709" w:right="201"/>
        <w:contextualSpacing/>
        <w:jc w:val="both"/>
        <w:rPr>
          <w:rFonts w:ascii="Abadi" w:hAnsi="Abadi" w:cs="Arial"/>
          <w:color w:val="14131C"/>
          <w:sz w:val="21"/>
          <w:szCs w:val="21"/>
        </w:rPr>
      </w:pPr>
      <w:r w:rsidRPr="00C95E69">
        <w:rPr>
          <w:rFonts w:ascii="Abadi" w:hAnsi="Abadi" w:cs="Arial"/>
          <w:color w:val="14131C"/>
          <w:sz w:val="21"/>
          <w:szCs w:val="21"/>
        </w:rPr>
        <w:t>Dar</w:t>
      </w:r>
      <w:r w:rsidRPr="00C95E69">
        <w:rPr>
          <w:rFonts w:ascii="Abadi" w:hAnsi="Abadi" w:cs="Arial"/>
          <w:color w:val="14131C"/>
          <w:spacing w:val="-10"/>
          <w:sz w:val="21"/>
          <w:szCs w:val="21"/>
        </w:rPr>
        <w:t xml:space="preserve"> </w:t>
      </w:r>
      <w:r w:rsidRPr="00C95E69">
        <w:rPr>
          <w:rFonts w:ascii="Abadi" w:hAnsi="Abadi" w:cs="Arial"/>
          <w:color w:val="14131C"/>
          <w:sz w:val="21"/>
          <w:szCs w:val="21"/>
        </w:rPr>
        <w:t>seguimiento</w:t>
      </w:r>
      <w:r w:rsidRPr="00C95E69">
        <w:rPr>
          <w:rFonts w:ascii="Abadi" w:hAnsi="Abadi" w:cs="Arial"/>
          <w:color w:val="14131C"/>
          <w:spacing w:val="-11"/>
          <w:sz w:val="21"/>
          <w:szCs w:val="21"/>
        </w:rPr>
        <w:t xml:space="preserve"> </w:t>
      </w:r>
      <w:r w:rsidRPr="00C95E69">
        <w:rPr>
          <w:rFonts w:ascii="Abadi" w:hAnsi="Abadi" w:cs="Arial"/>
          <w:color w:val="14131C"/>
          <w:sz w:val="21"/>
          <w:szCs w:val="21"/>
        </w:rPr>
        <w:t>a</w:t>
      </w:r>
      <w:r w:rsidRPr="00C95E69">
        <w:rPr>
          <w:rFonts w:ascii="Abadi" w:hAnsi="Abadi" w:cs="Arial"/>
          <w:color w:val="14131C"/>
          <w:spacing w:val="-8"/>
          <w:sz w:val="21"/>
          <w:szCs w:val="21"/>
        </w:rPr>
        <w:t xml:space="preserve"> </w:t>
      </w:r>
      <w:r w:rsidRPr="00C95E69">
        <w:rPr>
          <w:rFonts w:ascii="Abadi" w:hAnsi="Abadi" w:cs="Arial"/>
          <w:color w:val="14131C"/>
          <w:sz w:val="21"/>
          <w:szCs w:val="21"/>
        </w:rPr>
        <w:t>los</w:t>
      </w:r>
      <w:r w:rsidRPr="00C95E69">
        <w:rPr>
          <w:rFonts w:ascii="Abadi" w:hAnsi="Abadi" w:cs="Arial"/>
          <w:color w:val="14131C"/>
          <w:spacing w:val="-4"/>
          <w:sz w:val="21"/>
          <w:szCs w:val="21"/>
        </w:rPr>
        <w:t xml:space="preserve"> </w:t>
      </w:r>
      <w:r w:rsidRPr="00C95E69">
        <w:rPr>
          <w:rFonts w:ascii="Abadi" w:hAnsi="Abadi" w:cs="Arial"/>
          <w:color w:val="14131C"/>
          <w:sz w:val="21"/>
          <w:szCs w:val="21"/>
        </w:rPr>
        <w:t>trámites</w:t>
      </w:r>
      <w:r w:rsidRPr="00C95E69">
        <w:rPr>
          <w:rFonts w:ascii="Abadi" w:hAnsi="Abadi" w:cs="Arial"/>
          <w:color w:val="14131C"/>
          <w:spacing w:val="-2"/>
          <w:sz w:val="21"/>
          <w:szCs w:val="21"/>
        </w:rPr>
        <w:t xml:space="preserve"> </w:t>
      </w:r>
      <w:r w:rsidRPr="00C95E69">
        <w:rPr>
          <w:rFonts w:ascii="Abadi" w:hAnsi="Abadi" w:cs="Arial"/>
          <w:color w:val="14131C"/>
          <w:sz w:val="21"/>
          <w:szCs w:val="21"/>
        </w:rPr>
        <w:t>y</w:t>
      </w:r>
      <w:r w:rsidRPr="00C95E69">
        <w:rPr>
          <w:rFonts w:ascii="Abadi" w:hAnsi="Abadi" w:cs="Arial"/>
          <w:color w:val="14131C"/>
          <w:spacing w:val="-7"/>
          <w:sz w:val="21"/>
          <w:szCs w:val="21"/>
        </w:rPr>
        <w:t xml:space="preserve"> </w:t>
      </w:r>
      <w:r w:rsidRPr="00C95E69">
        <w:rPr>
          <w:rFonts w:ascii="Abadi" w:hAnsi="Abadi" w:cs="Arial"/>
          <w:color w:val="14131C"/>
          <w:sz w:val="21"/>
          <w:szCs w:val="21"/>
        </w:rPr>
        <w:t>acciones que</w:t>
      </w:r>
      <w:r w:rsidRPr="00C95E69">
        <w:rPr>
          <w:rFonts w:ascii="Abadi" w:hAnsi="Abadi" w:cs="Arial"/>
          <w:color w:val="14131C"/>
          <w:spacing w:val="-9"/>
          <w:sz w:val="21"/>
          <w:szCs w:val="21"/>
        </w:rPr>
        <w:t xml:space="preserve"> </w:t>
      </w:r>
      <w:r w:rsidRPr="00C95E69">
        <w:rPr>
          <w:rFonts w:ascii="Abadi" w:hAnsi="Abadi" w:cs="Arial"/>
          <w:color w:val="14131C"/>
          <w:sz w:val="21"/>
          <w:szCs w:val="21"/>
        </w:rPr>
        <w:t>se</w:t>
      </w:r>
      <w:r w:rsidRPr="00C95E69">
        <w:rPr>
          <w:rFonts w:ascii="Abadi" w:hAnsi="Abadi" w:cs="Arial"/>
          <w:color w:val="14131C"/>
          <w:spacing w:val="-15"/>
          <w:sz w:val="21"/>
          <w:szCs w:val="21"/>
        </w:rPr>
        <w:t xml:space="preserve"> </w:t>
      </w:r>
      <w:r w:rsidRPr="00C95E69">
        <w:rPr>
          <w:rFonts w:ascii="Abadi" w:hAnsi="Abadi" w:cs="Arial"/>
          <w:color w:val="14131C"/>
          <w:sz w:val="21"/>
          <w:szCs w:val="21"/>
        </w:rPr>
        <w:t>realizan</w:t>
      </w:r>
      <w:r w:rsidRPr="00C95E69">
        <w:rPr>
          <w:rFonts w:ascii="Abadi" w:hAnsi="Abadi" w:cs="Arial"/>
          <w:color w:val="14131C"/>
          <w:spacing w:val="-10"/>
          <w:sz w:val="21"/>
          <w:szCs w:val="21"/>
        </w:rPr>
        <w:t xml:space="preserve"> </w:t>
      </w:r>
      <w:r w:rsidRPr="00C95E69">
        <w:rPr>
          <w:rFonts w:ascii="Abadi" w:hAnsi="Abadi" w:cs="Arial"/>
          <w:color w:val="14131C"/>
          <w:sz w:val="21"/>
          <w:szCs w:val="21"/>
        </w:rPr>
        <w:t>por</w:t>
      </w:r>
      <w:r w:rsidRPr="00C95E69">
        <w:rPr>
          <w:rFonts w:ascii="Abadi" w:hAnsi="Abadi" w:cs="Arial"/>
          <w:color w:val="14131C"/>
          <w:spacing w:val="-5"/>
          <w:sz w:val="21"/>
          <w:szCs w:val="21"/>
        </w:rPr>
        <w:t xml:space="preserve"> </w:t>
      </w:r>
      <w:r w:rsidRPr="00C95E69">
        <w:rPr>
          <w:rFonts w:ascii="Abadi" w:hAnsi="Abadi" w:cs="Arial"/>
          <w:color w:val="14131C"/>
          <w:sz w:val="21"/>
          <w:szCs w:val="21"/>
        </w:rPr>
        <w:t>parte</w:t>
      </w:r>
      <w:r w:rsidRPr="00C95E69">
        <w:rPr>
          <w:rFonts w:ascii="Abadi" w:hAnsi="Abadi" w:cs="Arial"/>
          <w:color w:val="14131C"/>
          <w:spacing w:val="-13"/>
          <w:sz w:val="21"/>
          <w:szCs w:val="21"/>
        </w:rPr>
        <w:t xml:space="preserve"> </w:t>
      </w:r>
      <w:r w:rsidRPr="00C95E69">
        <w:rPr>
          <w:rFonts w:ascii="Abadi" w:hAnsi="Abadi" w:cs="Arial"/>
          <w:color w:val="14131C"/>
          <w:sz w:val="21"/>
          <w:szCs w:val="21"/>
        </w:rPr>
        <w:t>del</w:t>
      </w:r>
      <w:r w:rsidRPr="00C95E69">
        <w:rPr>
          <w:rFonts w:ascii="Abadi" w:hAnsi="Abadi" w:cs="Arial"/>
          <w:color w:val="14131C"/>
          <w:spacing w:val="-3"/>
          <w:sz w:val="21"/>
          <w:szCs w:val="21"/>
        </w:rPr>
        <w:t xml:space="preserve"> </w:t>
      </w:r>
      <w:r w:rsidRPr="00C95E69">
        <w:rPr>
          <w:rFonts w:ascii="Abadi" w:hAnsi="Abadi" w:cs="Arial"/>
          <w:color w:val="14131C"/>
          <w:sz w:val="21"/>
          <w:szCs w:val="21"/>
        </w:rPr>
        <w:t>municipio</w:t>
      </w:r>
      <w:r w:rsidRPr="00C95E69">
        <w:rPr>
          <w:rFonts w:ascii="Abadi" w:hAnsi="Abadi" w:cs="Arial"/>
          <w:color w:val="14131C"/>
          <w:spacing w:val="59"/>
          <w:sz w:val="21"/>
          <w:szCs w:val="21"/>
        </w:rPr>
        <w:t xml:space="preserve"> </w:t>
      </w:r>
      <w:r w:rsidRPr="00C95E69">
        <w:rPr>
          <w:rFonts w:ascii="Abadi" w:hAnsi="Abadi" w:cs="Arial"/>
          <w:color w:val="14131C"/>
          <w:sz w:val="21"/>
          <w:szCs w:val="21"/>
        </w:rPr>
        <w:t>de</w:t>
      </w:r>
      <w:r w:rsidRPr="00C95E69">
        <w:rPr>
          <w:rFonts w:ascii="Abadi" w:hAnsi="Abadi" w:cs="Arial"/>
          <w:color w:val="14131C"/>
          <w:spacing w:val="65"/>
          <w:sz w:val="21"/>
          <w:szCs w:val="21"/>
        </w:rPr>
        <w:t xml:space="preserve"> </w:t>
      </w:r>
      <w:r w:rsidRPr="00C95E69">
        <w:rPr>
          <w:rFonts w:ascii="Abadi" w:hAnsi="Abadi" w:cs="Arial"/>
          <w:color w:val="14131C"/>
          <w:sz w:val="21"/>
          <w:szCs w:val="21"/>
        </w:rPr>
        <w:t>lrapuato</w:t>
      </w:r>
      <w:r w:rsidRPr="00C95E69">
        <w:rPr>
          <w:rFonts w:ascii="Abadi" w:hAnsi="Abadi" w:cs="Arial"/>
          <w:color w:val="14131C"/>
          <w:spacing w:val="58"/>
          <w:sz w:val="21"/>
          <w:szCs w:val="21"/>
        </w:rPr>
        <w:t xml:space="preserve"> </w:t>
      </w:r>
      <w:r w:rsidRPr="00C95E69">
        <w:rPr>
          <w:rFonts w:ascii="Abadi" w:hAnsi="Abadi" w:cs="Arial"/>
          <w:color w:val="14131C"/>
          <w:sz w:val="21"/>
          <w:szCs w:val="21"/>
        </w:rPr>
        <w:t>respecto</w:t>
      </w:r>
      <w:r w:rsidRPr="00C95E69">
        <w:rPr>
          <w:rFonts w:ascii="Abadi" w:hAnsi="Abadi" w:cs="Arial"/>
          <w:color w:val="14131C"/>
          <w:spacing w:val="58"/>
          <w:sz w:val="21"/>
          <w:szCs w:val="21"/>
        </w:rPr>
        <w:t xml:space="preserve"> </w:t>
      </w:r>
      <w:r w:rsidRPr="00C95E69">
        <w:rPr>
          <w:rFonts w:ascii="Abadi" w:hAnsi="Abadi" w:cs="Arial"/>
          <w:color w:val="14131C"/>
          <w:sz w:val="21"/>
          <w:szCs w:val="21"/>
        </w:rPr>
        <w:t>de</w:t>
      </w:r>
      <w:r w:rsidRPr="00C95E69">
        <w:rPr>
          <w:rFonts w:ascii="Abadi" w:hAnsi="Abadi" w:cs="Arial"/>
          <w:color w:val="14131C"/>
          <w:spacing w:val="60"/>
          <w:sz w:val="21"/>
          <w:szCs w:val="21"/>
        </w:rPr>
        <w:t xml:space="preserve"> </w:t>
      </w:r>
      <w:r w:rsidRPr="00C95E69">
        <w:rPr>
          <w:rFonts w:ascii="Abadi" w:hAnsi="Abadi" w:cs="Arial"/>
          <w:color w:val="14131C"/>
          <w:sz w:val="21"/>
          <w:szCs w:val="21"/>
        </w:rPr>
        <w:t>los</w:t>
      </w:r>
      <w:r w:rsidRPr="00C95E69">
        <w:rPr>
          <w:rFonts w:ascii="Abadi" w:hAnsi="Abadi" w:cs="Arial"/>
          <w:color w:val="14131C"/>
          <w:spacing w:val="55"/>
          <w:sz w:val="21"/>
          <w:szCs w:val="21"/>
        </w:rPr>
        <w:t xml:space="preserve"> </w:t>
      </w:r>
      <w:r w:rsidRPr="00C95E69">
        <w:rPr>
          <w:rFonts w:ascii="Abadi" w:hAnsi="Abadi" w:cs="Arial"/>
          <w:color w:val="14131C"/>
          <w:sz w:val="21"/>
          <w:szCs w:val="21"/>
        </w:rPr>
        <w:t>hechos</w:t>
      </w:r>
      <w:r w:rsidRPr="00C95E69">
        <w:rPr>
          <w:rFonts w:ascii="Abadi" w:hAnsi="Abadi" w:cs="Arial"/>
          <w:color w:val="14131C"/>
          <w:spacing w:val="58"/>
          <w:sz w:val="21"/>
          <w:szCs w:val="21"/>
        </w:rPr>
        <w:t xml:space="preserve"> </w:t>
      </w:r>
      <w:r w:rsidRPr="00C95E69">
        <w:rPr>
          <w:rFonts w:ascii="Abadi" w:hAnsi="Abadi" w:cs="Arial"/>
          <w:color w:val="14131C"/>
          <w:sz w:val="21"/>
          <w:szCs w:val="21"/>
        </w:rPr>
        <w:t>ocurrido</w:t>
      </w:r>
      <w:r w:rsidRPr="00C95E69">
        <w:rPr>
          <w:rFonts w:ascii="Abadi" w:hAnsi="Abadi" w:cs="Arial"/>
          <w:color w:val="14131C"/>
          <w:spacing w:val="51"/>
          <w:sz w:val="21"/>
          <w:szCs w:val="21"/>
        </w:rPr>
        <w:t xml:space="preserve"> </w:t>
      </w:r>
      <w:r w:rsidRPr="00C95E69">
        <w:rPr>
          <w:rFonts w:ascii="Abadi" w:hAnsi="Abadi" w:cs="Arial"/>
          <w:color w:val="14131C"/>
          <w:sz w:val="21"/>
          <w:szCs w:val="21"/>
        </w:rPr>
        <w:t>en</w:t>
      </w:r>
      <w:r w:rsidRPr="00C95E69">
        <w:rPr>
          <w:rFonts w:ascii="Abadi" w:hAnsi="Abadi" w:cs="Arial"/>
          <w:color w:val="14131C"/>
          <w:spacing w:val="60"/>
          <w:sz w:val="21"/>
          <w:szCs w:val="21"/>
        </w:rPr>
        <w:t xml:space="preserve"> </w:t>
      </w:r>
      <w:r w:rsidRPr="00C95E69">
        <w:rPr>
          <w:rFonts w:ascii="Abadi" w:hAnsi="Abadi" w:cs="Arial"/>
          <w:color w:val="14131C"/>
          <w:sz w:val="21"/>
          <w:szCs w:val="21"/>
        </w:rPr>
        <w:t>la</w:t>
      </w:r>
      <w:r w:rsidRPr="00C95E69">
        <w:rPr>
          <w:rFonts w:ascii="Abadi" w:hAnsi="Abadi" w:cs="Arial"/>
          <w:color w:val="14131C"/>
          <w:spacing w:val="-5"/>
          <w:sz w:val="21"/>
          <w:szCs w:val="21"/>
        </w:rPr>
        <w:t xml:space="preserve"> </w:t>
      </w:r>
      <w:r w:rsidRPr="00C95E69">
        <w:rPr>
          <w:rFonts w:ascii="Abadi" w:hAnsi="Abadi" w:cs="Arial"/>
          <w:color w:val="14131C"/>
          <w:sz w:val="21"/>
          <w:szCs w:val="21"/>
        </w:rPr>
        <w:t>manifestación</w:t>
      </w:r>
      <w:r w:rsidRPr="00C95E69">
        <w:rPr>
          <w:rFonts w:ascii="Abadi" w:hAnsi="Abadi" w:cs="Arial"/>
          <w:color w:val="14131C"/>
          <w:spacing w:val="-3"/>
          <w:sz w:val="21"/>
          <w:szCs w:val="21"/>
        </w:rPr>
        <w:t xml:space="preserve"> </w:t>
      </w:r>
      <w:r w:rsidRPr="00C95E69">
        <w:rPr>
          <w:rFonts w:ascii="Abadi" w:hAnsi="Abadi" w:cs="Arial"/>
          <w:color w:val="14131C"/>
          <w:sz w:val="21"/>
          <w:szCs w:val="21"/>
        </w:rPr>
        <w:t>del</w:t>
      </w:r>
      <w:r w:rsidRPr="00C95E69">
        <w:rPr>
          <w:rFonts w:ascii="Abadi" w:hAnsi="Abadi" w:cs="Arial"/>
          <w:color w:val="14131C"/>
          <w:spacing w:val="-5"/>
          <w:sz w:val="21"/>
          <w:szCs w:val="21"/>
        </w:rPr>
        <w:t xml:space="preserve"> </w:t>
      </w:r>
      <w:r w:rsidRPr="00C95E69">
        <w:rPr>
          <w:rFonts w:ascii="Abadi" w:hAnsi="Abadi" w:cs="Arial"/>
          <w:color w:val="14131C"/>
          <w:sz w:val="21"/>
          <w:szCs w:val="21"/>
        </w:rPr>
        <w:t>pasado</w:t>
      </w:r>
      <w:r w:rsidRPr="00C95E69">
        <w:rPr>
          <w:rFonts w:ascii="Abadi" w:hAnsi="Abadi" w:cs="Arial"/>
          <w:color w:val="14131C"/>
          <w:spacing w:val="21"/>
          <w:sz w:val="21"/>
          <w:szCs w:val="21"/>
        </w:rPr>
        <w:t xml:space="preserve"> </w:t>
      </w:r>
      <w:r w:rsidRPr="00C95E69">
        <w:rPr>
          <w:rFonts w:ascii="Abadi" w:hAnsi="Abadi" w:cs="Arial"/>
          <w:color w:val="14131C"/>
          <w:sz w:val="21"/>
          <w:szCs w:val="21"/>
        </w:rPr>
        <w:t>1</w:t>
      </w:r>
      <w:r w:rsidRPr="00C95E69">
        <w:rPr>
          <w:rFonts w:ascii="Abadi" w:hAnsi="Abadi" w:cs="Arial"/>
          <w:color w:val="14131C"/>
          <w:spacing w:val="-1"/>
          <w:sz w:val="21"/>
          <w:szCs w:val="21"/>
        </w:rPr>
        <w:t xml:space="preserve"> </w:t>
      </w:r>
      <w:r w:rsidRPr="00C95E69">
        <w:rPr>
          <w:rFonts w:ascii="Abadi" w:hAnsi="Abadi" w:cs="Arial"/>
          <w:color w:val="14131C"/>
          <w:sz w:val="21"/>
          <w:szCs w:val="21"/>
        </w:rPr>
        <w:t>de</w:t>
      </w:r>
      <w:r w:rsidRPr="00C95E69">
        <w:rPr>
          <w:rFonts w:ascii="Abadi" w:hAnsi="Abadi" w:cs="Arial"/>
          <w:color w:val="14131C"/>
          <w:spacing w:val="-4"/>
          <w:sz w:val="21"/>
          <w:szCs w:val="21"/>
        </w:rPr>
        <w:t xml:space="preserve"> </w:t>
      </w:r>
      <w:r w:rsidRPr="00C95E69">
        <w:rPr>
          <w:rFonts w:ascii="Abadi" w:hAnsi="Abadi" w:cs="Arial"/>
          <w:color w:val="14131C"/>
          <w:sz w:val="21"/>
          <w:szCs w:val="21"/>
        </w:rPr>
        <w:t>mayo</w:t>
      </w:r>
      <w:r w:rsidRPr="00C95E69">
        <w:rPr>
          <w:rFonts w:ascii="Abadi" w:hAnsi="Abadi" w:cs="Arial"/>
          <w:color w:val="14131C"/>
          <w:spacing w:val="-2"/>
          <w:sz w:val="21"/>
          <w:szCs w:val="21"/>
        </w:rPr>
        <w:t xml:space="preserve"> </w:t>
      </w:r>
      <w:r w:rsidRPr="00C95E69">
        <w:rPr>
          <w:rFonts w:ascii="Abadi" w:hAnsi="Abadi" w:cs="Arial"/>
          <w:color w:val="14131C"/>
          <w:sz w:val="21"/>
          <w:szCs w:val="21"/>
        </w:rPr>
        <w:t>en</w:t>
      </w:r>
      <w:r w:rsidRPr="00C95E69">
        <w:rPr>
          <w:rFonts w:ascii="Abadi" w:hAnsi="Abadi" w:cs="Arial"/>
          <w:color w:val="14131C"/>
          <w:spacing w:val="7"/>
          <w:sz w:val="21"/>
          <w:szCs w:val="21"/>
        </w:rPr>
        <w:t xml:space="preserve"> </w:t>
      </w:r>
      <w:r w:rsidRPr="00C95E69">
        <w:rPr>
          <w:rFonts w:ascii="Abadi" w:hAnsi="Abadi" w:cs="Arial"/>
          <w:color w:val="14131C"/>
          <w:sz w:val="21"/>
          <w:szCs w:val="21"/>
        </w:rPr>
        <w:t>lrapuato,</w:t>
      </w:r>
      <w:r w:rsidRPr="00C95E69">
        <w:rPr>
          <w:rFonts w:ascii="Abadi" w:hAnsi="Abadi" w:cs="Arial"/>
          <w:color w:val="14131C"/>
          <w:spacing w:val="33"/>
          <w:sz w:val="21"/>
          <w:szCs w:val="21"/>
        </w:rPr>
        <w:t xml:space="preserve"> </w:t>
      </w:r>
      <w:r w:rsidRPr="00C95E69">
        <w:rPr>
          <w:rFonts w:ascii="Abadi" w:hAnsi="Abadi" w:cs="Arial"/>
          <w:color w:val="14131C"/>
          <w:sz w:val="21"/>
          <w:szCs w:val="21"/>
        </w:rPr>
        <w:t>Guanajuato.</w:t>
      </w:r>
    </w:p>
    <w:p w14:paraId="5833BB82" w14:textId="77777777" w:rsidR="00C95E69" w:rsidRPr="00C95E69" w:rsidRDefault="00C95E69" w:rsidP="00C95E69">
      <w:pPr>
        <w:numPr>
          <w:ilvl w:val="0"/>
          <w:numId w:val="73"/>
        </w:numPr>
        <w:tabs>
          <w:tab w:val="left" w:pos="863"/>
        </w:tabs>
        <w:kinsoku w:val="0"/>
        <w:overflowPunct w:val="0"/>
        <w:autoSpaceDE w:val="0"/>
        <w:autoSpaceDN w:val="0"/>
        <w:adjustRightInd w:val="0"/>
        <w:ind w:left="759" w:right="201" w:hanging="360"/>
        <w:jc w:val="both"/>
        <w:rPr>
          <w:rFonts w:ascii="Abadi" w:hAnsi="Abadi" w:cs="Arial"/>
          <w:color w:val="14131C"/>
          <w:sz w:val="21"/>
          <w:szCs w:val="21"/>
        </w:rPr>
      </w:pPr>
      <w:r w:rsidRPr="00C95E69">
        <w:rPr>
          <w:rFonts w:ascii="Abadi" w:hAnsi="Abadi" w:cs="Arial"/>
          <w:color w:val="14131C"/>
          <w:sz w:val="21"/>
          <w:szCs w:val="21"/>
        </w:rPr>
        <w:t>Realizar</w:t>
      </w:r>
      <w:r w:rsidRPr="00C95E69">
        <w:rPr>
          <w:rFonts w:ascii="Abadi" w:hAnsi="Abadi" w:cs="Arial"/>
          <w:color w:val="14131C"/>
          <w:spacing w:val="-7"/>
          <w:sz w:val="21"/>
          <w:szCs w:val="21"/>
        </w:rPr>
        <w:t xml:space="preserve"> </w:t>
      </w:r>
      <w:r w:rsidRPr="00C95E69">
        <w:rPr>
          <w:rFonts w:ascii="Abadi" w:hAnsi="Abadi" w:cs="Arial"/>
          <w:color w:val="14131C"/>
          <w:sz w:val="21"/>
          <w:szCs w:val="21"/>
        </w:rPr>
        <w:t>reuniones</w:t>
      </w:r>
      <w:r w:rsidRPr="00C95E69">
        <w:rPr>
          <w:rFonts w:ascii="Abadi" w:hAnsi="Abadi" w:cs="Arial"/>
          <w:color w:val="14131C"/>
          <w:spacing w:val="-6"/>
          <w:sz w:val="21"/>
          <w:szCs w:val="21"/>
        </w:rPr>
        <w:t xml:space="preserve"> </w:t>
      </w:r>
      <w:r w:rsidRPr="00C95E69">
        <w:rPr>
          <w:rFonts w:ascii="Abadi" w:hAnsi="Abadi" w:cs="Arial"/>
          <w:color w:val="14131C"/>
          <w:sz w:val="21"/>
          <w:szCs w:val="21"/>
        </w:rPr>
        <w:t>y</w:t>
      </w:r>
      <w:r w:rsidRPr="00C95E69">
        <w:rPr>
          <w:rFonts w:ascii="Abadi" w:hAnsi="Abadi" w:cs="Arial"/>
          <w:color w:val="14131C"/>
          <w:spacing w:val="3"/>
          <w:sz w:val="21"/>
          <w:szCs w:val="21"/>
        </w:rPr>
        <w:t xml:space="preserve"> </w:t>
      </w:r>
      <w:r w:rsidRPr="00C95E69">
        <w:rPr>
          <w:rFonts w:ascii="Abadi" w:hAnsi="Abadi" w:cs="Arial"/>
          <w:color w:val="14131C"/>
          <w:sz w:val="21"/>
          <w:szCs w:val="21"/>
        </w:rPr>
        <w:t>mesas</w:t>
      </w:r>
      <w:r w:rsidRPr="00C95E69">
        <w:rPr>
          <w:rFonts w:ascii="Abadi" w:hAnsi="Abadi" w:cs="Arial"/>
          <w:color w:val="14131C"/>
          <w:spacing w:val="-5"/>
          <w:sz w:val="21"/>
          <w:szCs w:val="21"/>
        </w:rPr>
        <w:t xml:space="preserve"> </w:t>
      </w:r>
      <w:r w:rsidRPr="00C95E69">
        <w:rPr>
          <w:rFonts w:ascii="Abadi" w:hAnsi="Abadi" w:cs="Arial"/>
          <w:color w:val="14131C"/>
          <w:sz w:val="21"/>
          <w:szCs w:val="21"/>
        </w:rPr>
        <w:t>de</w:t>
      </w:r>
      <w:r w:rsidRPr="00C95E69">
        <w:rPr>
          <w:rFonts w:ascii="Abadi" w:hAnsi="Abadi" w:cs="Arial"/>
          <w:color w:val="14131C"/>
          <w:spacing w:val="-2"/>
          <w:sz w:val="21"/>
          <w:szCs w:val="21"/>
        </w:rPr>
        <w:t xml:space="preserve"> </w:t>
      </w:r>
      <w:r w:rsidRPr="00C95E69">
        <w:rPr>
          <w:rFonts w:ascii="Abadi" w:hAnsi="Abadi" w:cs="Arial"/>
          <w:color w:val="14131C"/>
          <w:sz w:val="21"/>
          <w:szCs w:val="21"/>
        </w:rPr>
        <w:t>trabajo,</w:t>
      </w:r>
      <w:r w:rsidRPr="00C95E69">
        <w:rPr>
          <w:rFonts w:ascii="Abadi" w:hAnsi="Abadi" w:cs="Arial"/>
          <w:color w:val="14131C"/>
          <w:spacing w:val="18"/>
          <w:sz w:val="21"/>
          <w:szCs w:val="21"/>
        </w:rPr>
        <w:t xml:space="preserve"> </w:t>
      </w:r>
      <w:r w:rsidRPr="00C95E69">
        <w:rPr>
          <w:rFonts w:ascii="Abadi" w:hAnsi="Abadi" w:cs="Arial"/>
          <w:color w:val="14131C"/>
          <w:sz w:val="21"/>
          <w:szCs w:val="21"/>
        </w:rPr>
        <w:t>con</w:t>
      </w:r>
      <w:r w:rsidRPr="00C95E69">
        <w:rPr>
          <w:rFonts w:ascii="Abadi" w:hAnsi="Abadi" w:cs="Arial"/>
          <w:color w:val="14131C"/>
          <w:spacing w:val="-4"/>
          <w:sz w:val="21"/>
          <w:szCs w:val="21"/>
        </w:rPr>
        <w:t xml:space="preserve"> </w:t>
      </w:r>
      <w:r w:rsidRPr="00C95E69">
        <w:rPr>
          <w:rFonts w:ascii="Abadi" w:hAnsi="Abadi" w:cs="Arial"/>
          <w:color w:val="14131C"/>
          <w:sz w:val="21"/>
          <w:szCs w:val="21"/>
        </w:rPr>
        <w:t>la</w:t>
      </w:r>
      <w:r w:rsidRPr="00C95E69">
        <w:rPr>
          <w:rFonts w:ascii="Abadi" w:hAnsi="Abadi" w:cs="Arial"/>
          <w:color w:val="14131C"/>
          <w:spacing w:val="-11"/>
          <w:sz w:val="21"/>
          <w:szCs w:val="21"/>
        </w:rPr>
        <w:t xml:space="preserve"> </w:t>
      </w:r>
      <w:r w:rsidRPr="00C95E69">
        <w:rPr>
          <w:rFonts w:ascii="Abadi" w:hAnsi="Abadi" w:cs="Arial"/>
          <w:color w:val="14131C"/>
          <w:sz w:val="21"/>
          <w:szCs w:val="21"/>
        </w:rPr>
        <w:t>Secretaría</w:t>
      </w:r>
      <w:r w:rsidRPr="00C95E69">
        <w:rPr>
          <w:rFonts w:ascii="Abadi" w:hAnsi="Abadi" w:cs="Arial"/>
          <w:color w:val="14131C"/>
          <w:spacing w:val="-10"/>
          <w:sz w:val="21"/>
          <w:szCs w:val="21"/>
        </w:rPr>
        <w:t xml:space="preserve"> </w:t>
      </w:r>
      <w:r w:rsidRPr="00C95E69">
        <w:rPr>
          <w:rFonts w:ascii="Abadi" w:hAnsi="Abadi" w:cs="Arial"/>
          <w:color w:val="14131C"/>
          <w:sz w:val="21"/>
          <w:szCs w:val="21"/>
        </w:rPr>
        <w:t>de</w:t>
      </w:r>
      <w:r w:rsidRPr="00C95E69">
        <w:rPr>
          <w:rFonts w:ascii="Abadi" w:hAnsi="Abadi" w:cs="Arial"/>
          <w:color w:val="14131C"/>
          <w:spacing w:val="-3"/>
          <w:sz w:val="21"/>
          <w:szCs w:val="21"/>
        </w:rPr>
        <w:t xml:space="preserve"> </w:t>
      </w:r>
      <w:r w:rsidRPr="00C95E69">
        <w:rPr>
          <w:rFonts w:ascii="Abadi" w:hAnsi="Abadi" w:cs="Arial"/>
          <w:color w:val="14131C"/>
          <w:sz w:val="21"/>
          <w:szCs w:val="21"/>
        </w:rPr>
        <w:t>Seguridad</w:t>
      </w:r>
      <w:r w:rsidRPr="00C95E69">
        <w:rPr>
          <w:rFonts w:ascii="Abadi" w:hAnsi="Abadi" w:cs="Arial"/>
          <w:color w:val="14131C"/>
          <w:spacing w:val="-3"/>
          <w:sz w:val="21"/>
          <w:szCs w:val="21"/>
        </w:rPr>
        <w:t xml:space="preserve"> </w:t>
      </w:r>
      <w:r w:rsidRPr="00C95E69">
        <w:rPr>
          <w:rFonts w:ascii="Abadi" w:hAnsi="Abadi" w:cs="Arial"/>
          <w:color w:val="14131C"/>
          <w:sz w:val="21"/>
          <w:szCs w:val="21"/>
        </w:rPr>
        <w:t>Ciudadana</w:t>
      </w:r>
      <w:r w:rsidRPr="00C95E69">
        <w:rPr>
          <w:rFonts w:ascii="Abadi" w:hAnsi="Abadi" w:cs="Arial"/>
          <w:color w:val="14131C"/>
          <w:spacing w:val="-4"/>
          <w:sz w:val="21"/>
          <w:szCs w:val="21"/>
        </w:rPr>
        <w:t xml:space="preserve"> </w:t>
      </w:r>
      <w:r w:rsidRPr="00C95E69">
        <w:rPr>
          <w:rFonts w:ascii="Abadi" w:hAnsi="Abadi" w:cs="Arial"/>
          <w:color w:val="14131C"/>
          <w:sz w:val="21"/>
          <w:szCs w:val="21"/>
        </w:rPr>
        <w:t>de</w:t>
      </w:r>
      <w:r w:rsidRPr="00C95E69">
        <w:rPr>
          <w:rFonts w:ascii="Abadi" w:hAnsi="Abadi" w:cs="Arial"/>
          <w:color w:val="14131C"/>
          <w:spacing w:val="5"/>
          <w:sz w:val="21"/>
          <w:szCs w:val="21"/>
        </w:rPr>
        <w:t xml:space="preserve"> </w:t>
      </w:r>
      <w:r w:rsidRPr="00C95E69">
        <w:rPr>
          <w:rFonts w:ascii="Abadi" w:hAnsi="Abadi" w:cs="Arial"/>
          <w:color w:val="14131C"/>
          <w:sz w:val="21"/>
          <w:szCs w:val="21"/>
        </w:rPr>
        <w:t>lrapuato,</w:t>
      </w:r>
      <w:r w:rsidRPr="00C95E69">
        <w:rPr>
          <w:rFonts w:ascii="Abadi" w:hAnsi="Abadi" w:cs="Arial"/>
          <w:color w:val="14131C"/>
          <w:spacing w:val="28"/>
          <w:sz w:val="21"/>
          <w:szCs w:val="21"/>
        </w:rPr>
        <w:t xml:space="preserve"> </w:t>
      </w:r>
      <w:r w:rsidRPr="00C95E69">
        <w:rPr>
          <w:rFonts w:ascii="Abadi" w:hAnsi="Abadi" w:cs="Arial"/>
          <w:color w:val="14131C"/>
          <w:sz w:val="21"/>
          <w:szCs w:val="21"/>
        </w:rPr>
        <w:t>Guanajuato.</w:t>
      </w:r>
    </w:p>
    <w:p w14:paraId="53AD433E" w14:textId="77777777" w:rsidR="00C95E69" w:rsidRPr="00C95E69" w:rsidRDefault="00C95E69" w:rsidP="00C95E69">
      <w:pPr>
        <w:numPr>
          <w:ilvl w:val="0"/>
          <w:numId w:val="73"/>
        </w:numPr>
        <w:tabs>
          <w:tab w:val="left" w:pos="864"/>
        </w:tabs>
        <w:kinsoku w:val="0"/>
        <w:overflowPunct w:val="0"/>
        <w:autoSpaceDE w:val="0"/>
        <w:autoSpaceDN w:val="0"/>
        <w:adjustRightInd w:val="0"/>
        <w:ind w:left="755" w:right="201" w:hanging="352"/>
        <w:jc w:val="both"/>
        <w:rPr>
          <w:rFonts w:ascii="Abadi" w:hAnsi="Abadi" w:cs="Arial"/>
          <w:color w:val="14131B"/>
          <w:sz w:val="21"/>
          <w:szCs w:val="21"/>
        </w:rPr>
      </w:pPr>
      <w:r w:rsidRPr="00C95E69">
        <w:rPr>
          <w:rFonts w:ascii="Abadi" w:hAnsi="Abadi" w:cs="Arial"/>
          <w:color w:val="14131B"/>
          <w:sz w:val="21"/>
          <w:szCs w:val="21"/>
        </w:rPr>
        <w:t>Realizar</w:t>
      </w:r>
      <w:r w:rsidRPr="00C95E69">
        <w:rPr>
          <w:rFonts w:ascii="Abadi" w:hAnsi="Abadi" w:cs="Arial"/>
          <w:color w:val="14131B"/>
          <w:spacing w:val="-1"/>
          <w:sz w:val="21"/>
          <w:szCs w:val="21"/>
        </w:rPr>
        <w:t xml:space="preserve"> </w:t>
      </w:r>
      <w:r w:rsidRPr="00C95E69">
        <w:rPr>
          <w:rFonts w:ascii="Abadi" w:hAnsi="Abadi" w:cs="Arial"/>
          <w:color w:val="14131B"/>
          <w:sz w:val="21"/>
          <w:szCs w:val="21"/>
        </w:rPr>
        <w:t>reuniones</w:t>
      </w:r>
      <w:r w:rsidRPr="00C95E69">
        <w:rPr>
          <w:rFonts w:ascii="Abadi" w:hAnsi="Abadi" w:cs="Arial"/>
          <w:color w:val="14131B"/>
          <w:spacing w:val="3"/>
          <w:sz w:val="21"/>
          <w:szCs w:val="21"/>
        </w:rPr>
        <w:t xml:space="preserve"> </w:t>
      </w:r>
      <w:r w:rsidRPr="00C95E69">
        <w:rPr>
          <w:rFonts w:ascii="Abadi" w:hAnsi="Abadi" w:cs="Arial"/>
          <w:color w:val="14131B"/>
          <w:sz w:val="21"/>
          <w:szCs w:val="21"/>
        </w:rPr>
        <w:t>y</w:t>
      </w:r>
      <w:r w:rsidRPr="00C95E69">
        <w:rPr>
          <w:rFonts w:ascii="Abadi" w:hAnsi="Abadi" w:cs="Arial"/>
          <w:color w:val="14131B"/>
          <w:spacing w:val="3"/>
          <w:sz w:val="21"/>
          <w:szCs w:val="21"/>
        </w:rPr>
        <w:t xml:space="preserve"> </w:t>
      </w:r>
      <w:r w:rsidRPr="00C95E69">
        <w:rPr>
          <w:rFonts w:ascii="Abadi" w:hAnsi="Abadi" w:cs="Arial"/>
          <w:color w:val="14131B"/>
          <w:sz w:val="21"/>
          <w:szCs w:val="21"/>
        </w:rPr>
        <w:t>mesas</w:t>
      </w:r>
      <w:r w:rsidRPr="00C95E69">
        <w:rPr>
          <w:rFonts w:ascii="Abadi" w:hAnsi="Abadi" w:cs="Arial"/>
          <w:color w:val="14131B"/>
          <w:spacing w:val="4"/>
          <w:sz w:val="21"/>
          <w:szCs w:val="21"/>
        </w:rPr>
        <w:t xml:space="preserve"> </w:t>
      </w:r>
      <w:r w:rsidRPr="00C95E69">
        <w:rPr>
          <w:rFonts w:ascii="Abadi" w:hAnsi="Abadi" w:cs="Arial"/>
          <w:color w:val="14131B"/>
          <w:sz w:val="21"/>
          <w:szCs w:val="21"/>
        </w:rPr>
        <w:t>de</w:t>
      </w:r>
      <w:r w:rsidRPr="00C95E69">
        <w:rPr>
          <w:rFonts w:ascii="Abadi" w:hAnsi="Abadi" w:cs="Arial"/>
          <w:color w:val="14131B"/>
          <w:spacing w:val="8"/>
          <w:sz w:val="21"/>
          <w:szCs w:val="21"/>
        </w:rPr>
        <w:t xml:space="preserve"> </w:t>
      </w:r>
      <w:r w:rsidRPr="00C95E69">
        <w:rPr>
          <w:rFonts w:ascii="Abadi" w:hAnsi="Abadi" w:cs="Arial"/>
          <w:color w:val="14131B"/>
          <w:sz w:val="21"/>
          <w:szCs w:val="21"/>
        </w:rPr>
        <w:t>trabajo con</w:t>
      </w:r>
      <w:r w:rsidRPr="00C95E69">
        <w:rPr>
          <w:rFonts w:ascii="Abadi" w:hAnsi="Abadi" w:cs="Arial"/>
          <w:color w:val="14131B"/>
          <w:spacing w:val="10"/>
          <w:sz w:val="21"/>
          <w:szCs w:val="21"/>
        </w:rPr>
        <w:t xml:space="preserve"> </w:t>
      </w:r>
      <w:r w:rsidRPr="00C95E69">
        <w:rPr>
          <w:rFonts w:ascii="Abadi" w:hAnsi="Abadi" w:cs="Arial"/>
          <w:color w:val="14131B"/>
          <w:sz w:val="21"/>
          <w:szCs w:val="21"/>
        </w:rPr>
        <w:t>la</w:t>
      </w:r>
      <w:r w:rsidRPr="00C95E69">
        <w:rPr>
          <w:rFonts w:ascii="Abadi" w:hAnsi="Abadi" w:cs="Arial"/>
          <w:color w:val="14131B"/>
          <w:spacing w:val="11"/>
          <w:sz w:val="21"/>
          <w:szCs w:val="21"/>
        </w:rPr>
        <w:t xml:space="preserve"> </w:t>
      </w:r>
      <w:r w:rsidRPr="00C95E69">
        <w:rPr>
          <w:rFonts w:ascii="Abadi" w:hAnsi="Abadi" w:cs="Arial"/>
          <w:color w:val="14131B"/>
          <w:sz w:val="21"/>
          <w:szCs w:val="21"/>
        </w:rPr>
        <w:t>Presidenta</w:t>
      </w:r>
      <w:r w:rsidRPr="00C95E69">
        <w:rPr>
          <w:rFonts w:ascii="Abadi" w:hAnsi="Abadi" w:cs="Arial"/>
          <w:color w:val="14131B"/>
          <w:spacing w:val="11"/>
          <w:sz w:val="21"/>
          <w:szCs w:val="21"/>
        </w:rPr>
        <w:t xml:space="preserve"> </w:t>
      </w:r>
      <w:r w:rsidRPr="00C95E69">
        <w:rPr>
          <w:rFonts w:ascii="Abadi" w:hAnsi="Abadi" w:cs="Arial"/>
          <w:color w:val="14131B"/>
          <w:sz w:val="21"/>
          <w:szCs w:val="21"/>
        </w:rPr>
        <w:t>Municipal</w:t>
      </w:r>
      <w:r w:rsidRPr="00C95E69">
        <w:rPr>
          <w:rFonts w:ascii="Abadi" w:hAnsi="Abadi" w:cs="Arial"/>
          <w:color w:val="14131B"/>
          <w:spacing w:val="5"/>
          <w:sz w:val="21"/>
          <w:szCs w:val="21"/>
        </w:rPr>
        <w:t xml:space="preserve"> </w:t>
      </w:r>
      <w:r w:rsidRPr="00C95E69">
        <w:rPr>
          <w:rFonts w:ascii="Abadi" w:hAnsi="Abadi" w:cs="Arial"/>
          <w:color w:val="14131B"/>
          <w:sz w:val="21"/>
          <w:szCs w:val="21"/>
        </w:rPr>
        <w:t>de</w:t>
      </w:r>
      <w:r w:rsidRPr="00C95E69">
        <w:rPr>
          <w:rFonts w:ascii="Abadi" w:hAnsi="Abadi" w:cs="Arial"/>
          <w:color w:val="14131B"/>
          <w:spacing w:val="-1"/>
          <w:sz w:val="21"/>
          <w:szCs w:val="21"/>
        </w:rPr>
        <w:t xml:space="preserve"> </w:t>
      </w:r>
      <w:r w:rsidRPr="00C95E69">
        <w:rPr>
          <w:rFonts w:ascii="Abadi" w:hAnsi="Abadi" w:cs="Arial"/>
          <w:color w:val="14131B"/>
          <w:sz w:val="21"/>
          <w:szCs w:val="21"/>
        </w:rPr>
        <w:t>lrapuato,</w:t>
      </w:r>
      <w:r w:rsidRPr="00C95E69">
        <w:rPr>
          <w:rFonts w:ascii="Abadi" w:hAnsi="Abadi" w:cs="Arial"/>
          <w:color w:val="14131B"/>
          <w:spacing w:val="28"/>
          <w:sz w:val="21"/>
          <w:szCs w:val="21"/>
        </w:rPr>
        <w:t xml:space="preserve"> </w:t>
      </w:r>
      <w:r w:rsidRPr="00C95E69">
        <w:rPr>
          <w:rFonts w:ascii="Abadi" w:hAnsi="Abadi" w:cs="Arial"/>
          <w:color w:val="14131B"/>
          <w:sz w:val="21"/>
          <w:szCs w:val="21"/>
        </w:rPr>
        <w:t>Guanajuato,</w:t>
      </w:r>
      <w:r w:rsidRPr="00C95E69">
        <w:rPr>
          <w:rFonts w:ascii="Abadi" w:hAnsi="Abadi" w:cs="Arial"/>
          <w:color w:val="14131B"/>
          <w:spacing w:val="33"/>
          <w:sz w:val="21"/>
          <w:szCs w:val="21"/>
        </w:rPr>
        <w:t xml:space="preserve"> </w:t>
      </w:r>
      <w:r w:rsidRPr="00C95E69">
        <w:rPr>
          <w:rFonts w:ascii="Abadi" w:hAnsi="Abadi" w:cs="Arial"/>
          <w:color w:val="14131B"/>
          <w:sz w:val="21"/>
          <w:szCs w:val="21"/>
        </w:rPr>
        <w:t>Lorena</w:t>
      </w:r>
      <w:r w:rsidRPr="00C95E69">
        <w:rPr>
          <w:rFonts w:ascii="Abadi" w:hAnsi="Abadi" w:cs="Arial"/>
          <w:color w:val="14131B"/>
          <w:spacing w:val="-11"/>
          <w:sz w:val="21"/>
          <w:szCs w:val="21"/>
        </w:rPr>
        <w:t xml:space="preserve"> </w:t>
      </w:r>
      <w:r w:rsidRPr="00C95E69">
        <w:rPr>
          <w:rFonts w:ascii="Abadi" w:hAnsi="Abadi" w:cs="Arial"/>
          <w:color w:val="14131B"/>
          <w:sz w:val="21"/>
          <w:szCs w:val="21"/>
        </w:rPr>
        <w:t>Alfaro.</w:t>
      </w:r>
    </w:p>
    <w:p w14:paraId="38F97345" w14:textId="77777777" w:rsidR="00C95E69" w:rsidRPr="00C95E69" w:rsidRDefault="00C95E69" w:rsidP="00C95E69">
      <w:pPr>
        <w:numPr>
          <w:ilvl w:val="0"/>
          <w:numId w:val="73"/>
        </w:numPr>
        <w:tabs>
          <w:tab w:val="left" w:pos="861"/>
        </w:tabs>
        <w:kinsoku w:val="0"/>
        <w:overflowPunct w:val="0"/>
        <w:autoSpaceDE w:val="0"/>
        <w:autoSpaceDN w:val="0"/>
        <w:adjustRightInd w:val="0"/>
        <w:ind w:left="750" w:right="201" w:hanging="360"/>
        <w:jc w:val="both"/>
        <w:rPr>
          <w:rFonts w:ascii="Abadi" w:hAnsi="Abadi" w:cs="Arial"/>
          <w:color w:val="14131B"/>
          <w:sz w:val="21"/>
          <w:szCs w:val="21"/>
        </w:rPr>
      </w:pPr>
      <w:r w:rsidRPr="00C95E69">
        <w:rPr>
          <w:rFonts w:ascii="Abadi" w:hAnsi="Abadi" w:cs="Arial"/>
          <w:color w:val="14131B"/>
          <w:sz w:val="21"/>
          <w:szCs w:val="21"/>
        </w:rPr>
        <w:t>Realizar</w:t>
      </w:r>
      <w:r w:rsidRPr="00C95E69">
        <w:rPr>
          <w:rFonts w:ascii="Abadi" w:hAnsi="Abadi" w:cs="Arial"/>
          <w:color w:val="14131B"/>
          <w:spacing w:val="11"/>
          <w:sz w:val="21"/>
          <w:szCs w:val="21"/>
        </w:rPr>
        <w:t xml:space="preserve"> </w:t>
      </w:r>
      <w:r w:rsidRPr="00C95E69">
        <w:rPr>
          <w:rFonts w:ascii="Abadi" w:hAnsi="Abadi" w:cs="Arial"/>
          <w:color w:val="14131B"/>
          <w:sz w:val="21"/>
          <w:szCs w:val="21"/>
        </w:rPr>
        <w:t>reuniones</w:t>
      </w:r>
      <w:r w:rsidRPr="00C95E69">
        <w:rPr>
          <w:rFonts w:ascii="Abadi" w:hAnsi="Abadi" w:cs="Arial"/>
          <w:color w:val="14131B"/>
          <w:spacing w:val="17"/>
          <w:sz w:val="21"/>
          <w:szCs w:val="21"/>
        </w:rPr>
        <w:t xml:space="preserve"> </w:t>
      </w:r>
      <w:r w:rsidRPr="00C95E69">
        <w:rPr>
          <w:rFonts w:ascii="Abadi" w:hAnsi="Abadi" w:cs="Arial"/>
          <w:color w:val="14131B"/>
          <w:sz w:val="21"/>
          <w:szCs w:val="21"/>
        </w:rPr>
        <w:t>y</w:t>
      </w:r>
      <w:r w:rsidRPr="00C95E69">
        <w:rPr>
          <w:rFonts w:ascii="Abadi" w:hAnsi="Abadi" w:cs="Arial"/>
          <w:color w:val="14131B"/>
          <w:spacing w:val="22"/>
          <w:sz w:val="21"/>
          <w:szCs w:val="21"/>
        </w:rPr>
        <w:t xml:space="preserve"> </w:t>
      </w:r>
      <w:r w:rsidRPr="00C95E69">
        <w:rPr>
          <w:rFonts w:ascii="Abadi" w:hAnsi="Abadi" w:cs="Arial"/>
          <w:color w:val="14131B"/>
          <w:sz w:val="21"/>
          <w:szCs w:val="21"/>
        </w:rPr>
        <w:t>mesas</w:t>
      </w:r>
      <w:r w:rsidRPr="00C95E69">
        <w:rPr>
          <w:rFonts w:ascii="Abadi" w:hAnsi="Abadi" w:cs="Arial"/>
          <w:color w:val="14131B"/>
          <w:spacing w:val="24"/>
          <w:sz w:val="21"/>
          <w:szCs w:val="21"/>
        </w:rPr>
        <w:t xml:space="preserve"> </w:t>
      </w:r>
      <w:r w:rsidRPr="00C95E69">
        <w:rPr>
          <w:rFonts w:ascii="Abadi" w:hAnsi="Abadi" w:cs="Arial"/>
          <w:color w:val="14131B"/>
          <w:sz w:val="21"/>
          <w:szCs w:val="21"/>
        </w:rPr>
        <w:t>de</w:t>
      </w:r>
      <w:r w:rsidRPr="00C95E69">
        <w:rPr>
          <w:rFonts w:ascii="Abadi" w:hAnsi="Abadi" w:cs="Arial"/>
          <w:color w:val="14131B"/>
          <w:spacing w:val="17"/>
          <w:sz w:val="21"/>
          <w:szCs w:val="21"/>
        </w:rPr>
        <w:t xml:space="preserve"> </w:t>
      </w:r>
      <w:r w:rsidRPr="00C95E69">
        <w:rPr>
          <w:rFonts w:ascii="Abadi" w:hAnsi="Abadi" w:cs="Arial"/>
          <w:color w:val="14131B"/>
          <w:sz w:val="21"/>
          <w:szCs w:val="21"/>
        </w:rPr>
        <w:t>trabajo</w:t>
      </w:r>
      <w:r w:rsidRPr="00C95E69">
        <w:rPr>
          <w:rFonts w:ascii="Abadi" w:hAnsi="Abadi" w:cs="Arial"/>
          <w:color w:val="14131B"/>
          <w:spacing w:val="19"/>
          <w:sz w:val="21"/>
          <w:szCs w:val="21"/>
        </w:rPr>
        <w:t xml:space="preserve"> </w:t>
      </w:r>
      <w:r w:rsidRPr="00C95E69">
        <w:rPr>
          <w:rFonts w:ascii="Abadi" w:hAnsi="Abadi" w:cs="Arial"/>
          <w:color w:val="14131B"/>
          <w:sz w:val="21"/>
          <w:szCs w:val="21"/>
        </w:rPr>
        <w:t>con</w:t>
      </w:r>
      <w:r w:rsidRPr="00C95E69">
        <w:rPr>
          <w:rFonts w:ascii="Abadi" w:hAnsi="Abadi" w:cs="Arial"/>
          <w:color w:val="14131B"/>
          <w:spacing w:val="21"/>
          <w:sz w:val="21"/>
          <w:szCs w:val="21"/>
        </w:rPr>
        <w:t xml:space="preserve"> </w:t>
      </w:r>
      <w:r w:rsidRPr="00C95E69">
        <w:rPr>
          <w:rFonts w:ascii="Abadi" w:hAnsi="Abadi" w:cs="Arial"/>
          <w:color w:val="14131B"/>
          <w:sz w:val="21"/>
          <w:szCs w:val="21"/>
        </w:rPr>
        <w:t>las</w:t>
      </w:r>
      <w:r w:rsidRPr="00C95E69">
        <w:rPr>
          <w:rFonts w:ascii="Abadi" w:hAnsi="Abadi" w:cs="Arial"/>
          <w:color w:val="14131B"/>
          <w:spacing w:val="14"/>
          <w:sz w:val="21"/>
          <w:szCs w:val="21"/>
        </w:rPr>
        <w:t xml:space="preserve"> </w:t>
      </w:r>
      <w:r w:rsidRPr="00C95E69">
        <w:rPr>
          <w:rFonts w:ascii="Abadi" w:hAnsi="Abadi" w:cs="Arial"/>
          <w:color w:val="14131B"/>
          <w:sz w:val="21"/>
          <w:szCs w:val="21"/>
        </w:rPr>
        <w:t>personas</w:t>
      </w:r>
      <w:r w:rsidRPr="00C95E69">
        <w:rPr>
          <w:rFonts w:ascii="Abadi" w:hAnsi="Abadi" w:cs="Arial"/>
          <w:color w:val="14131B"/>
          <w:spacing w:val="11"/>
          <w:sz w:val="21"/>
          <w:szCs w:val="21"/>
        </w:rPr>
        <w:t xml:space="preserve"> </w:t>
      </w:r>
      <w:r w:rsidRPr="00C95E69">
        <w:rPr>
          <w:rFonts w:ascii="Abadi" w:hAnsi="Abadi" w:cs="Arial"/>
          <w:color w:val="14131B"/>
          <w:sz w:val="21"/>
          <w:szCs w:val="21"/>
        </w:rPr>
        <w:t>detenidas</w:t>
      </w:r>
      <w:r w:rsidRPr="00C95E69">
        <w:rPr>
          <w:rFonts w:ascii="Abadi" w:hAnsi="Abadi" w:cs="Arial"/>
          <w:color w:val="14131B"/>
          <w:spacing w:val="18"/>
          <w:sz w:val="21"/>
          <w:szCs w:val="21"/>
        </w:rPr>
        <w:t xml:space="preserve"> </w:t>
      </w:r>
      <w:r w:rsidRPr="00C95E69">
        <w:rPr>
          <w:rFonts w:ascii="Abadi" w:hAnsi="Abadi" w:cs="Arial"/>
          <w:color w:val="14131B"/>
          <w:sz w:val="21"/>
          <w:szCs w:val="21"/>
        </w:rPr>
        <w:t>y</w:t>
      </w:r>
      <w:r w:rsidRPr="00C95E69">
        <w:rPr>
          <w:rFonts w:ascii="Abadi" w:hAnsi="Abadi" w:cs="Arial"/>
          <w:color w:val="14131B"/>
          <w:spacing w:val="-2"/>
          <w:sz w:val="21"/>
          <w:szCs w:val="21"/>
        </w:rPr>
        <w:t xml:space="preserve"> </w:t>
      </w:r>
      <w:r w:rsidRPr="00C95E69">
        <w:rPr>
          <w:rFonts w:ascii="Abadi" w:hAnsi="Abadi" w:cs="Arial"/>
          <w:color w:val="14131B"/>
          <w:sz w:val="21"/>
          <w:szCs w:val="21"/>
        </w:rPr>
        <w:t>sus</w:t>
      </w:r>
      <w:r w:rsidRPr="00C95E69">
        <w:rPr>
          <w:rFonts w:ascii="Abadi" w:hAnsi="Abadi" w:cs="Arial"/>
          <w:color w:val="14131B"/>
          <w:spacing w:val="26"/>
          <w:sz w:val="21"/>
          <w:szCs w:val="21"/>
        </w:rPr>
        <w:t xml:space="preserve"> </w:t>
      </w:r>
      <w:r w:rsidRPr="00C95E69">
        <w:rPr>
          <w:rFonts w:ascii="Abadi" w:hAnsi="Abadi" w:cs="Arial"/>
          <w:color w:val="14131B"/>
          <w:sz w:val="21"/>
          <w:szCs w:val="21"/>
        </w:rPr>
        <w:t>familiares,</w:t>
      </w:r>
      <w:r w:rsidRPr="00C95E69">
        <w:rPr>
          <w:rFonts w:ascii="Abadi" w:hAnsi="Abadi" w:cs="Arial"/>
          <w:color w:val="14131B"/>
          <w:spacing w:val="46"/>
          <w:sz w:val="21"/>
          <w:szCs w:val="21"/>
        </w:rPr>
        <w:t xml:space="preserve"> </w:t>
      </w:r>
      <w:r w:rsidRPr="00C95E69">
        <w:rPr>
          <w:rFonts w:ascii="Abadi" w:hAnsi="Abadi" w:cs="Arial"/>
          <w:color w:val="14131B"/>
          <w:sz w:val="21"/>
          <w:szCs w:val="21"/>
        </w:rPr>
        <w:t>así</w:t>
      </w:r>
      <w:r w:rsidRPr="00C95E69">
        <w:rPr>
          <w:rFonts w:ascii="Abadi" w:hAnsi="Abadi" w:cs="Arial"/>
          <w:color w:val="14131B"/>
          <w:spacing w:val="28"/>
          <w:sz w:val="21"/>
          <w:szCs w:val="21"/>
        </w:rPr>
        <w:t xml:space="preserve"> </w:t>
      </w:r>
      <w:r w:rsidRPr="00C95E69">
        <w:rPr>
          <w:rFonts w:ascii="Abadi" w:hAnsi="Abadi" w:cs="Arial"/>
          <w:color w:val="14131B"/>
          <w:sz w:val="21"/>
          <w:szCs w:val="21"/>
        </w:rPr>
        <w:t>como</w:t>
      </w:r>
      <w:r w:rsidRPr="00C95E69">
        <w:rPr>
          <w:rFonts w:ascii="Abadi" w:hAnsi="Abadi" w:cs="Arial"/>
          <w:color w:val="14131B"/>
          <w:spacing w:val="24"/>
          <w:sz w:val="21"/>
          <w:szCs w:val="21"/>
        </w:rPr>
        <w:t xml:space="preserve"> </w:t>
      </w:r>
      <w:r w:rsidRPr="00C95E69">
        <w:rPr>
          <w:rFonts w:ascii="Abadi" w:hAnsi="Abadi" w:cs="Arial"/>
          <w:color w:val="14131B"/>
          <w:sz w:val="21"/>
          <w:szCs w:val="21"/>
        </w:rPr>
        <w:t>con</w:t>
      </w:r>
      <w:r w:rsidRPr="00C95E69">
        <w:rPr>
          <w:rFonts w:ascii="Abadi" w:hAnsi="Abadi" w:cs="Arial"/>
          <w:color w:val="14131B"/>
          <w:spacing w:val="26"/>
          <w:sz w:val="21"/>
          <w:szCs w:val="21"/>
        </w:rPr>
        <w:t xml:space="preserve"> </w:t>
      </w:r>
      <w:r w:rsidRPr="00C95E69">
        <w:rPr>
          <w:rFonts w:ascii="Abadi" w:hAnsi="Abadi" w:cs="Arial"/>
          <w:color w:val="14131B"/>
          <w:sz w:val="21"/>
          <w:szCs w:val="21"/>
        </w:rPr>
        <w:t>la</w:t>
      </w:r>
      <w:r w:rsidRPr="00C95E69">
        <w:rPr>
          <w:rFonts w:ascii="Abadi" w:hAnsi="Abadi" w:cs="Arial"/>
          <w:color w:val="14131B"/>
          <w:spacing w:val="44"/>
          <w:sz w:val="21"/>
          <w:szCs w:val="21"/>
        </w:rPr>
        <w:t xml:space="preserve"> </w:t>
      </w:r>
      <w:r w:rsidRPr="00C95E69">
        <w:rPr>
          <w:rFonts w:ascii="Abadi" w:hAnsi="Abadi" w:cs="Arial"/>
          <w:color w:val="14131B"/>
          <w:sz w:val="21"/>
          <w:szCs w:val="21"/>
        </w:rPr>
        <w:t>Procuraduría</w:t>
      </w:r>
      <w:r w:rsidRPr="00C95E69">
        <w:rPr>
          <w:rFonts w:ascii="Abadi" w:hAnsi="Abadi" w:cs="Arial"/>
          <w:color w:val="14131B"/>
          <w:spacing w:val="25"/>
          <w:sz w:val="21"/>
          <w:szCs w:val="21"/>
        </w:rPr>
        <w:t xml:space="preserve"> </w:t>
      </w:r>
      <w:r w:rsidRPr="00C95E69">
        <w:rPr>
          <w:rFonts w:ascii="Abadi" w:hAnsi="Abadi" w:cs="Arial"/>
          <w:color w:val="14131B"/>
          <w:sz w:val="21"/>
          <w:szCs w:val="21"/>
        </w:rPr>
        <w:t>de</w:t>
      </w:r>
      <w:r w:rsidRPr="00C95E69">
        <w:rPr>
          <w:rFonts w:ascii="Abadi" w:hAnsi="Abadi" w:cs="Arial"/>
          <w:color w:val="14131B"/>
          <w:spacing w:val="35"/>
          <w:sz w:val="21"/>
          <w:szCs w:val="21"/>
        </w:rPr>
        <w:t xml:space="preserve"> </w:t>
      </w:r>
      <w:r w:rsidRPr="00C95E69">
        <w:rPr>
          <w:rFonts w:ascii="Abadi" w:hAnsi="Abadi" w:cs="Arial"/>
          <w:color w:val="14131B"/>
          <w:sz w:val="21"/>
          <w:szCs w:val="21"/>
        </w:rPr>
        <w:t>Derechos</w:t>
      </w:r>
      <w:r w:rsidRPr="00C95E69">
        <w:rPr>
          <w:rFonts w:ascii="Abadi" w:hAnsi="Abadi" w:cs="Arial"/>
          <w:color w:val="14131B"/>
          <w:spacing w:val="38"/>
          <w:sz w:val="21"/>
          <w:szCs w:val="21"/>
        </w:rPr>
        <w:t xml:space="preserve"> </w:t>
      </w:r>
      <w:r w:rsidRPr="00C95E69">
        <w:rPr>
          <w:rFonts w:ascii="Abadi" w:hAnsi="Abadi" w:cs="Arial"/>
          <w:color w:val="14131B"/>
          <w:sz w:val="21"/>
          <w:szCs w:val="21"/>
        </w:rPr>
        <w:t>Humanos</w:t>
      </w:r>
      <w:r w:rsidRPr="00C95E69">
        <w:rPr>
          <w:rFonts w:ascii="Abadi" w:hAnsi="Abadi" w:cs="Arial"/>
          <w:color w:val="14131B"/>
          <w:spacing w:val="-4"/>
          <w:sz w:val="21"/>
          <w:szCs w:val="21"/>
        </w:rPr>
        <w:t xml:space="preserve"> </w:t>
      </w:r>
      <w:r w:rsidRPr="00C95E69">
        <w:rPr>
          <w:rFonts w:ascii="Abadi" w:hAnsi="Abadi" w:cs="Arial"/>
          <w:color w:val="14131B"/>
          <w:sz w:val="21"/>
          <w:szCs w:val="21"/>
        </w:rPr>
        <w:t>del</w:t>
      </w:r>
      <w:r w:rsidRPr="00C95E69">
        <w:rPr>
          <w:rFonts w:ascii="Abadi" w:hAnsi="Abadi" w:cs="Arial"/>
          <w:color w:val="14131B"/>
          <w:spacing w:val="10"/>
          <w:sz w:val="21"/>
          <w:szCs w:val="21"/>
        </w:rPr>
        <w:t xml:space="preserve"> </w:t>
      </w:r>
      <w:r w:rsidRPr="00C95E69">
        <w:rPr>
          <w:rFonts w:ascii="Abadi" w:hAnsi="Abadi" w:cs="Arial"/>
          <w:color w:val="14131B"/>
          <w:sz w:val="21"/>
          <w:szCs w:val="21"/>
        </w:rPr>
        <w:t>Estado</w:t>
      </w:r>
      <w:r w:rsidRPr="00C95E69">
        <w:rPr>
          <w:rFonts w:ascii="Abadi" w:hAnsi="Abadi" w:cs="Arial"/>
          <w:color w:val="14131B"/>
          <w:spacing w:val="-4"/>
          <w:sz w:val="21"/>
          <w:szCs w:val="21"/>
        </w:rPr>
        <w:t xml:space="preserve"> </w:t>
      </w:r>
      <w:r w:rsidRPr="00C95E69">
        <w:rPr>
          <w:rFonts w:ascii="Abadi" w:hAnsi="Abadi" w:cs="Arial"/>
          <w:color w:val="14131B"/>
          <w:sz w:val="21"/>
          <w:szCs w:val="21"/>
        </w:rPr>
        <w:t>de</w:t>
      </w:r>
      <w:r w:rsidRPr="00C95E69">
        <w:rPr>
          <w:rFonts w:ascii="Abadi" w:hAnsi="Abadi" w:cs="Arial"/>
          <w:color w:val="14131B"/>
          <w:spacing w:val="5"/>
          <w:sz w:val="21"/>
          <w:szCs w:val="21"/>
        </w:rPr>
        <w:t xml:space="preserve"> </w:t>
      </w:r>
      <w:r w:rsidRPr="00C95E69">
        <w:rPr>
          <w:rFonts w:ascii="Abadi" w:hAnsi="Abadi" w:cs="Arial"/>
          <w:color w:val="14131B"/>
          <w:sz w:val="21"/>
          <w:szCs w:val="21"/>
        </w:rPr>
        <w:t>Guanajuato.</w:t>
      </w:r>
    </w:p>
    <w:p w14:paraId="54C7FE6C" w14:textId="77777777" w:rsidR="00C95E69" w:rsidRPr="00C95E69" w:rsidRDefault="00C95E69" w:rsidP="00C95E69">
      <w:pPr>
        <w:numPr>
          <w:ilvl w:val="0"/>
          <w:numId w:val="73"/>
        </w:numPr>
        <w:tabs>
          <w:tab w:val="left" w:pos="868"/>
        </w:tabs>
        <w:kinsoku w:val="0"/>
        <w:overflowPunct w:val="0"/>
        <w:autoSpaceDE w:val="0"/>
        <w:autoSpaceDN w:val="0"/>
        <w:adjustRightInd w:val="0"/>
        <w:ind w:left="750" w:right="201"/>
        <w:jc w:val="both"/>
        <w:rPr>
          <w:rFonts w:ascii="Abadi" w:hAnsi="Abadi" w:cs="Arial"/>
          <w:color w:val="14131C"/>
          <w:sz w:val="21"/>
          <w:szCs w:val="21"/>
        </w:rPr>
      </w:pPr>
      <w:r w:rsidRPr="00C95E69">
        <w:rPr>
          <w:rFonts w:ascii="Abadi" w:hAnsi="Abadi" w:cs="Arial"/>
          <w:color w:val="14131C"/>
          <w:sz w:val="21"/>
          <w:szCs w:val="21"/>
        </w:rPr>
        <w:t>Dar</w:t>
      </w:r>
      <w:r w:rsidRPr="00C95E69">
        <w:rPr>
          <w:rFonts w:ascii="Abadi" w:hAnsi="Abadi" w:cs="Arial"/>
          <w:color w:val="14131C"/>
          <w:spacing w:val="-10"/>
          <w:sz w:val="21"/>
          <w:szCs w:val="21"/>
        </w:rPr>
        <w:t xml:space="preserve"> </w:t>
      </w:r>
      <w:r w:rsidRPr="00C95E69">
        <w:rPr>
          <w:rFonts w:ascii="Abadi" w:hAnsi="Abadi" w:cs="Arial"/>
          <w:color w:val="14131C"/>
          <w:sz w:val="21"/>
          <w:szCs w:val="21"/>
        </w:rPr>
        <w:t>seguimiento</w:t>
      </w:r>
      <w:r w:rsidRPr="00C95E69">
        <w:rPr>
          <w:rFonts w:ascii="Abadi" w:hAnsi="Abadi" w:cs="Arial"/>
          <w:color w:val="14131C"/>
          <w:spacing w:val="-16"/>
          <w:sz w:val="21"/>
          <w:szCs w:val="21"/>
        </w:rPr>
        <w:t xml:space="preserve"> </w:t>
      </w:r>
      <w:r w:rsidRPr="00C95E69">
        <w:rPr>
          <w:rFonts w:ascii="Abadi" w:hAnsi="Abadi" w:cs="Arial"/>
          <w:color w:val="14131C"/>
          <w:sz w:val="21"/>
          <w:szCs w:val="21"/>
        </w:rPr>
        <w:t>a</w:t>
      </w:r>
      <w:r w:rsidRPr="00C95E69">
        <w:rPr>
          <w:rFonts w:ascii="Abadi" w:hAnsi="Abadi" w:cs="Arial"/>
          <w:color w:val="14131C"/>
          <w:spacing w:val="-12"/>
          <w:sz w:val="21"/>
          <w:szCs w:val="21"/>
        </w:rPr>
        <w:t xml:space="preserve"> </w:t>
      </w:r>
      <w:r w:rsidRPr="00C95E69">
        <w:rPr>
          <w:rFonts w:ascii="Abadi" w:hAnsi="Abadi" w:cs="Arial"/>
          <w:color w:val="14131C"/>
          <w:sz w:val="21"/>
          <w:szCs w:val="21"/>
        </w:rPr>
        <w:t>las</w:t>
      </w:r>
      <w:r w:rsidRPr="00C95E69">
        <w:rPr>
          <w:rFonts w:ascii="Abadi" w:hAnsi="Abadi" w:cs="Arial"/>
          <w:color w:val="14131C"/>
          <w:spacing w:val="-11"/>
          <w:sz w:val="21"/>
          <w:szCs w:val="21"/>
        </w:rPr>
        <w:t xml:space="preserve"> </w:t>
      </w:r>
      <w:r w:rsidRPr="00C95E69">
        <w:rPr>
          <w:rFonts w:ascii="Abadi" w:hAnsi="Abadi" w:cs="Arial"/>
          <w:color w:val="14131C"/>
          <w:sz w:val="21"/>
          <w:szCs w:val="21"/>
        </w:rPr>
        <w:t>recomendaciones</w:t>
      </w:r>
      <w:r w:rsidRPr="00C95E69">
        <w:rPr>
          <w:rFonts w:ascii="Abadi" w:hAnsi="Abadi" w:cs="Arial"/>
          <w:color w:val="14131C"/>
          <w:spacing w:val="-6"/>
          <w:sz w:val="21"/>
          <w:szCs w:val="21"/>
        </w:rPr>
        <w:t xml:space="preserve"> </w:t>
      </w:r>
      <w:r w:rsidRPr="00C95E69">
        <w:rPr>
          <w:rFonts w:ascii="Abadi" w:hAnsi="Abadi" w:cs="Arial"/>
          <w:color w:val="14131C"/>
          <w:sz w:val="21"/>
          <w:szCs w:val="21"/>
        </w:rPr>
        <w:t>realizadas</w:t>
      </w:r>
      <w:r w:rsidRPr="00C95E69">
        <w:rPr>
          <w:rFonts w:ascii="Abadi" w:hAnsi="Abadi" w:cs="Arial"/>
          <w:color w:val="14131C"/>
          <w:spacing w:val="-12"/>
          <w:sz w:val="21"/>
          <w:szCs w:val="21"/>
        </w:rPr>
        <w:t xml:space="preserve"> </w:t>
      </w:r>
      <w:r w:rsidRPr="00C95E69">
        <w:rPr>
          <w:rFonts w:ascii="Abadi" w:hAnsi="Abadi" w:cs="Arial"/>
          <w:color w:val="14131C"/>
          <w:sz w:val="21"/>
          <w:szCs w:val="21"/>
        </w:rPr>
        <w:t>por</w:t>
      </w:r>
      <w:r w:rsidRPr="00C95E69">
        <w:rPr>
          <w:rFonts w:ascii="Abadi" w:hAnsi="Abadi" w:cs="Arial"/>
          <w:color w:val="14131C"/>
          <w:spacing w:val="-10"/>
          <w:sz w:val="21"/>
          <w:szCs w:val="21"/>
        </w:rPr>
        <w:t xml:space="preserve"> </w:t>
      </w:r>
      <w:r w:rsidRPr="00C95E69">
        <w:rPr>
          <w:rFonts w:ascii="Abadi" w:hAnsi="Abadi" w:cs="Arial"/>
          <w:color w:val="14131C"/>
          <w:sz w:val="21"/>
          <w:szCs w:val="21"/>
        </w:rPr>
        <w:t>la</w:t>
      </w:r>
      <w:r w:rsidRPr="00C95E69">
        <w:rPr>
          <w:rFonts w:ascii="Abadi" w:hAnsi="Abadi" w:cs="Arial"/>
          <w:color w:val="14131C"/>
          <w:spacing w:val="1"/>
          <w:sz w:val="21"/>
          <w:szCs w:val="21"/>
        </w:rPr>
        <w:t xml:space="preserve"> </w:t>
      </w:r>
      <w:r w:rsidRPr="00C95E69">
        <w:rPr>
          <w:rFonts w:ascii="Abadi" w:hAnsi="Abadi" w:cs="Arial"/>
          <w:color w:val="14131C"/>
          <w:sz w:val="21"/>
          <w:szCs w:val="21"/>
        </w:rPr>
        <w:t>Procuraduría</w:t>
      </w:r>
      <w:r w:rsidRPr="00C95E69">
        <w:rPr>
          <w:rFonts w:ascii="Abadi" w:hAnsi="Abadi" w:cs="Arial"/>
          <w:color w:val="14131C"/>
          <w:spacing w:val="-3"/>
          <w:sz w:val="21"/>
          <w:szCs w:val="21"/>
        </w:rPr>
        <w:t xml:space="preserve"> </w:t>
      </w:r>
      <w:r w:rsidRPr="00C95E69">
        <w:rPr>
          <w:rFonts w:ascii="Abadi" w:hAnsi="Abadi" w:cs="Arial"/>
          <w:color w:val="14131C"/>
          <w:sz w:val="21"/>
          <w:szCs w:val="21"/>
        </w:rPr>
        <w:t>de los</w:t>
      </w:r>
      <w:r w:rsidRPr="00C95E69">
        <w:rPr>
          <w:rFonts w:ascii="Abadi" w:hAnsi="Abadi" w:cs="Arial"/>
          <w:color w:val="14131C"/>
          <w:spacing w:val="9"/>
          <w:sz w:val="21"/>
          <w:szCs w:val="21"/>
        </w:rPr>
        <w:t xml:space="preserve"> </w:t>
      </w:r>
      <w:r w:rsidRPr="00C95E69">
        <w:rPr>
          <w:rFonts w:ascii="Abadi" w:hAnsi="Abadi" w:cs="Arial"/>
          <w:color w:val="14131C"/>
          <w:sz w:val="21"/>
          <w:szCs w:val="21"/>
        </w:rPr>
        <w:t>Derechos</w:t>
      </w:r>
      <w:r w:rsidRPr="00C95E69">
        <w:rPr>
          <w:rFonts w:ascii="Abadi" w:hAnsi="Abadi" w:cs="Arial"/>
          <w:color w:val="14131C"/>
          <w:spacing w:val="14"/>
          <w:sz w:val="21"/>
          <w:szCs w:val="21"/>
        </w:rPr>
        <w:t xml:space="preserve"> </w:t>
      </w:r>
      <w:r w:rsidRPr="00C95E69">
        <w:rPr>
          <w:rFonts w:ascii="Abadi" w:hAnsi="Abadi" w:cs="Arial"/>
          <w:color w:val="14131C"/>
          <w:sz w:val="21"/>
          <w:szCs w:val="21"/>
        </w:rPr>
        <w:t>Humanos del</w:t>
      </w:r>
      <w:r w:rsidRPr="00C95E69">
        <w:rPr>
          <w:rFonts w:ascii="Abadi" w:hAnsi="Abadi" w:cs="Arial"/>
          <w:color w:val="14131C"/>
          <w:spacing w:val="10"/>
          <w:sz w:val="21"/>
          <w:szCs w:val="21"/>
        </w:rPr>
        <w:t xml:space="preserve"> </w:t>
      </w:r>
      <w:r w:rsidRPr="00C95E69">
        <w:rPr>
          <w:rFonts w:ascii="Abadi" w:hAnsi="Abadi" w:cs="Arial"/>
          <w:color w:val="14131C"/>
          <w:sz w:val="21"/>
          <w:szCs w:val="21"/>
        </w:rPr>
        <w:t>Estado de</w:t>
      </w:r>
      <w:r w:rsidRPr="00C95E69">
        <w:rPr>
          <w:rFonts w:ascii="Abadi" w:hAnsi="Abadi" w:cs="Arial"/>
          <w:color w:val="14131C"/>
          <w:spacing w:val="6"/>
          <w:sz w:val="21"/>
          <w:szCs w:val="21"/>
        </w:rPr>
        <w:t xml:space="preserve"> </w:t>
      </w:r>
      <w:r w:rsidRPr="00C95E69">
        <w:rPr>
          <w:rFonts w:ascii="Abadi" w:hAnsi="Abadi" w:cs="Arial"/>
          <w:color w:val="14131C"/>
          <w:sz w:val="21"/>
          <w:szCs w:val="21"/>
        </w:rPr>
        <w:t>Guanajuato.</w:t>
      </w:r>
    </w:p>
    <w:p w14:paraId="177865B4" w14:textId="77777777" w:rsidR="00C95E69" w:rsidRPr="00C95E69" w:rsidRDefault="00C95E69" w:rsidP="00C95E69">
      <w:pPr>
        <w:kinsoku w:val="0"/>
        <w:overflowPunct w:val="0"/>
        <w:autoSpaceDE w:val="0"/>
        <w:autoSpaceDN w:val="0"/>
        <w:adjustRightInd w:val="0"/>
        <w:spacing w:before="4"/>
        <w:ind w:right="201"/>
        <w:jc w:val="both"/>
        <w:rPr>
          <w:rFonts w:ascii="Abadi" w:hAnsi="Abadi" w:cs="Arial"/>
          <w:sz w:val="21"/>
          <w:szCs w:val="21"/>
        </w:rPr>
      </w:pPr>
    </w:p>
    <w:p w14:paraId="00E27686" w14:textId="77777777" w:rsidR="00C95E69" w:rsidRPr="00C95E69" w:rsidRDefault="00C95E69" w:rsidP="00C95E69">
      <w:pPr>
        <w:kinsoku w:val="0"/>
        <w:overflowPunct w:val="0"/>
        <w:autoSpaceDE w:val="0"/>
        <w:autoSpaceDN w:val="0"/>
        <w:adjustRightInd w:val="0"/>
        <w:ind w:right="201"/>
        <w:jc w:val="both"/>
        <w:rPr>
          <w:rFonts w:ascii="Abadi" w:hAnsi="Abadi" w:cs="Arial"/>
          <w:color w:val="13131D"/>
          <w:sz w:val="21"/>
          <w:szCs w:val="21"/>
        </w:rPr>
      </w:pPr>
      <w:r w:rsidRPr="00C95E69">
        <w:rPr>
          <w:rFonts w:ascii="Abadi" w:hAnsi="Abadi" w:cs="Arial"/>
          <w:color w:val="13131D"/>
          <w:sz w:val="21"/>
          <w:szCs w:val="21"/>
        </w:rPr>
        <w:t>Esto</w:t>
      </w:r>
      <w:r w:rsidRPr="00C95E69">
        <w:rPr>
          <w:rFonts w:ascii="Abadi" w:hAnsi="Abadi" w:cs="Arial"/>
          <w:color w:val="13131D"/>
          <w:spacing w:val="-21"/>
          <w:sz w:val="21"/>
          <w:szCs w:val="21"/>
        </w:rPr>
        <w:t xml:space="preserve"> </w:t>
      </w:r>
      <w:r w:rsidRPr="00C95E69">
        <w:rPr>
          <w:rFonts w:ascii="Abadi" w:hAnsi="Abadi" w:cs="Arial"/>
          <w:color w:val="13131D"/>
          <w:sz w:val="21"/>
          <w:szCs w:val="21"/>
        </w:rPr>
        <w:t>con</w:t>
      </w:r>
      <w:r w:rsidRPr="00C95E69">
        <w:rPr>
          <w:rFonts w:ascii="Abadi" w:hAnsi="Abadi" w:cs="Arial"/>
          <w:color w:val="13131D"/>
          <w:spacing w:val="-9"/>
          <w:sz w:val="21"/>
          <w:szCs w:val="21"/>
        </w:rPr>
        <w:t xml:space="preserve"> </w:t>
      </w:r>
      <w:r w:rsidRPr="00C95E69">
        <w:rPr>
          <w:rFonts w:ascii="Abadi" w:hAnsi="Abadi" w:cs="Arial"/>
          <w:color w:val="13131D"/>
          <w:sz w:val="21"/>
          <w:szCs w:val="21"/>
        </w:rPr>
        <w:t>la</w:t>
      </w:r>
      <w:r w:rsidRPr="00C95E69">
        <w:rPr>
          <w:rFonts w:ascii="Abadi" w:hAnsi="Abadi" w:cs="Arial"/>
          <w:color w:val="13131D"/>
          <w:spacing w:val="-16"/>
          <w:sz w:val="21"/>
          <w:szCs w:val="21"/>
        </w:rPr>
        <w:t xml:space="preserve"> </w:t>
      </w:r>
      <w:r w:rsidRPr="00C95E69">
        <w:rPr>
          <w:rFonts w:ascii="Abadi" w:hAnsi="Abadi" w:cs="Arial"/>
          <w:color w:val="13131D"/>
          <w:sz w:val="21"/>
          <w:szCs w:val="21"/>
        </w:rPr>
        <w:t>finalidad</w:t>
      </w:r>
      <w:r w:rsidRPr="00C95E69">
        <w:rPr>
          <w:rFonts w:ascii="Abadi" w:hAnsi="Abadi" w:cs="Arial"/>
          <w:color w:val="13131D"/>
          <w:spacing w:val="-6"/>
          <w:sz w:val="21"/>
          <w:szCs w:val="21"/>
        </w:rPr>
        <w:t xml:space="preserve"> </w:t>
      </w:r>
      <w:r w:rsidRPr="00C95E69">
        <w:rPr>
          <w:rFonts w:ascii="Abadi" w:hAnsi="Abadi" w:cs="Arial"/>
          <w:color w:val="13131D"/>
          <w:sz w:val="21"/>
          <w:szCs w:val="21"/>
        </w:rPr>
        <w:t>de</w:t>
      </w:r>
      <w:r w:rsidRPr="00C95E69">
        <w:rPr>
          <w:rFonts w:ascii="Abadi" w:hAnsi="Abadi" w:cs="Arial"/>
          <w:color w:val="13131D"/>
          <w:spacing w:val="-13"/>
          <w:sz w:val="21"/>
          <w:szCs w:val="21"/>
        </w:rPr>
        <w:t xml:space="preserve"> </w:t>
      </w:r>
      <w:r w:rsidRPr="00C95E69">
        <w:rPr>
          <w:rFonts w:ascii="Abadi" w:hAnsi="Abadi" w:cs="Arial"/>
          <w:color w:val="13131D"/>
          <w:sz w:val="21"/>
          <w:szCs w:val="21"/>
        </w:rPr>
        <w:t>dar</w:t>
      </w:r>
      <w:r w:rsidRPr="00C95E69">
        <w:rPr>
          <w:rFonts w:ascii="Abadi" w:hAnsi="Abadi" w:cs="Arial"/>
          <w:color w:val="13131D"/>
          <w:spacing w:val="-18"/>
          <w:sz w:val="21"/>
          <w:szCs w:val="21"/>
        </w:rPr>
        <w:t xml:space="preserve"> </w:t>
      </w:r>
      <w:r w:rsidRPr="00C95E69">
        <w:rPr>
          <w:rFonts w:ascii="Abadi" w:hAnsi="Abadi" w:cs="Arial"/>
          <w:color w:val="13131D"/>
          <w:sz w:val="21"/>
          <w:szCs w:val="21"/>
        </w:rPr>
        <w:t>seguimiento</w:t>
      </w:r>
      <w:r w:rsidRPr="00C95E69">
        <w:rPr>
          <w:rFonts w:ascii="Abadi" w:hAnsi="Abadi" w:cs="Arial"/>
          <w:color w:val="13131D"/>
          <w:spacing w:val="-16"/>
          <w:sz w:val="21"/>
          <w:szCs w:val="21"/>
        </w:rPr>
        <w:t xml:space="preserve"> </w:t>
      </w:r>
      <w:r w:rsidRPr="00C95E69">
        <w:rPr>
          <w:rFonts w:ascii="Abadi" w:hAnsi="Abadi" w:cs="Arial"/>
          <w:color w:val="13131D"/>
          <w:sz w:val="21"/>
          <w:szCs w:val="21"/>
        </w:rPr>
        <w:t>y</w:t>
      </w:r>
      <w:r w:rsidRPr="00C95E69">
        <w:rPr>
          <w:rFonts w:ascii="Abadi" w:hAnsi="Abadi" w:cs="Arial"/>
          <w:color w:val="13131D"/>
          <w:spacing w:val="-11"/>
          <w:sz w:val="21"/>
          <w:szCs w:val="21"/>
        </w:rPr>
        <w:t xml:space="preserve"> </w:t>
      </w:r>
      <w:r w:rsidRPr="00C95E69">
        <w:rPr>
          <w:rFonts w:ascii="Abadi" w:hAnsi="Abadi" w:cs="Arial"/>
          <w:color w:val="13131D"/>
          <w:sz w:val="21"/>
          <w:szCs w:val="21"/>
        </w:rPr>
        <w:t>un</w:t>
      </w:r>
      <w:r w:rsidRPr="00C95E69">
        <w:rPr>
          <w:rFonts w:ascii="Abadi" w:hAnsi="Abadi" w:cs="Arial"/>
          <w:color w:val="13131D"/>
          <w:spacing w:val="-15"/>
          <w:sz w:val="21"/>
          <w:szCs w:val="21"/>
        </w:rPr>
        <w:t xml:space="preserve"> </w:t>
      </w:r>
      <w:r w:rsidRPr="00C95E69">
        <w:rPr>
          <w:rFonts w:ascii="Abadi" w:hAnsi="Abadi" w:cs="Arial"/>
          <w:color w:val="13131D"/>
          <w:sz w:val="21"/>
          <w:szCs w:val="21"/>
        </w:rPr>
        <w:t>puntual</w:t>
      </w:r>
      <w:r w:rsidRPr="00C95E69">
        <w:rPr>
          <w:rFonts w:ascii="Abadi" w:hAnsi="Abadi" w:cs="Arial"/>
          <w:color w:val="13131D"/>
          <w:spacing w:val="-25"/>
          <w:sz w:val="21"/>
          <w:szCs w:val="21"/>
        </w:rPr>
        <w:t xml:space="preserve"> </w:t>
      </w:r>
      <w:r w:rsidRPr="00C95E69">
        <w:rPr>
          <w:rFonts w:ascii="Abadi" w:hAnsi="Abadi" w:cs="Arial"/>
          <w:color w:val="13131D"/>
          <w:sz w:val="21"/>
          <w:szCs w:val="21"/>
        </w:rPr>
        <w:t>acompañamiento</w:t>
      </w:r>
      <w:r w:rsidRPr="00C95E69">
        <w:rPr>
          <w:rFonts w:ascii="Abadi" w:hAnsi="Abadi" w:cs="Arial"/>
          <w:color w:val="13131D"/>
          <w:spacing w:val="-18"/>
          <w:sz w:val="21"/>
          <w:szCs w:val="21"/>
        </w:rPr>
        <w:t xml:space="preserve"> </w:t>
      </w:r>
      <w:r w:rsidRPr="00C95E69">
        <w:rPr>
          <w:rFonts w:ascii="Abadi" w:hAnsi="Abadi" w:cs="Arial"/>
          <w:color w:val="13131D"/>
          <w:sz w:val="21"/>
          <w:szCs w:val="21"/>
        </w:rPr>
        <w:t>dentro</w:t>
      </w:r>
      <w:r w:rsidRPr="00C95E69">
        <w:rPr>
          <w:rFonts w:ascii="Abadi" w:hAnsi="Abadi" w:cs="Arial"/>
          <w:color w:val="13131D"/>
          <w:spacing w:val="-2"/>
          <w:sz w:val="21"/>
          <w:szCs w:val="21"/>
        </w:rPr>
        <w:t xml:space="preserve"> </w:t>
      </w:r>
      <w:r w:rsidRPr="00C95E69">
        <w:rPr>
          <w:rFonts w:ascii="Abadi" w:hAnsi="Abadi" w:cs="Arial"/>
          <w:color w:val="13131D"/>
          <w:sz w:val="21"/>
          <w:szCs w:val="21"/>
        </w:rPr>
        <w:t>de nuestras</w:t>
      </w:r>
      <w:r w:rsidRPr="00C95E69">
        <w:rPr>
          <w:rFonts w:ascii="Abadi" w:hAnsi="Abadi" w:cs="Arial"/>
          <w:color w:val="13131D"/>
          <w:spacing w:val="-1"/>
          <w:sz w:val="21"/>
          <w:szCs w:val="21"/>
        </w:rPr>
        <w:t xml:space="preserve"> </w:t>
      </w:r>
      <w:r w:rsidRPr="00C95E69">
        <w:rPr>
          <w:rFonts w:ascii="Abadi" w:hAnsi="Abadi" w:cs="Arial"/>
          <w:color w:val="13131D"/>
          <w:sz w:val="21"/>
          <w:szCs w:val="21"/>
        </w:rPr>
        <w:t>responsabilidades</w:t>
      </w:r>
      <w:r w:rsidRPr="00C95E69">
        <w:rPr>
          <w:rFonts w:ascii="Abadi" w:hAnsi="Abadi" w:cs="Arial"/>
          <w:color w:val="13131D"/>
          <w:spacing w:val="-6"/>
          <w:sz w:val="21"/>
          <w:szCs w:val="21"/>
        </w:rPr>
        <w:t xml:space="preserve"> </w:t>
      </w:r>
      <w:r w:rsidRPr="00C95E69">
        <w:rPr>
          <w:rFonts w:ascii="Abadi" w:hAnsi="Abadi" w:cs="Arial"/>
          <w:color w:val="13131D"/>
          <w:sz w:val="21"/>
          <w:szCs w:val="21"/>
        </w:rPr>
        <w:t>a</w:t>
      </w:r>
      <w:r w:rsidRPr="00C95E69">
        <w:rPr>
          <w:rFonts w:ascii="Abadi" w:hAnsi="Abadi" w:cs="Arial"/>
          <w:color w:val="13131D"/>
          <w:spacing w:val="-11"/>
          <w:sz w:val="21"/>
          <w:szCs w:val="21"/>
        </w:rPr>
        <w:t xml:space="preserve"> </w:t>
      </w:r>
      <w:r w:rsidRPr="00C95E69">
        <w:rPr>
          <w:rFonts w:ascii="Abadi" w:hAnsi="Abadi" w:cs="Arial"/>
          <w:color w:val="13131D"/>
          <w:sz w:val="21"/>
          <w:szCs w:val="21"/>
        </w:rPr>
        <w:t>los</w:t>
      </w:r>
      <w:r w:rsidRPr="00C95E69">
        <w:rPr>
          <w:rFonts w:ascii="Abadi" w:hAnsi="Abadi" w:cs="Arial"/>
          <w:color w:val="13131D"/>
          <w:spacing w:val="-6"/>
          <w:sz w:val="21"/>
          <w:szCs w:val="21"/>
        </w:rPr>
        <w:t xml:space="preserve"> </w:t>
      </w:r>
      <w:r w:rsidRPr="00C95E69">
        <w:rPr>
          <w:rFonts w:ascii="Abadi" w:hAnsi="Abadi" w:cs="Arial"/>
          <w:color w:val="13131D"/>
          <w:sz w:val="21"/>
          <w:szCs w:val="21"/>
        </w:rPr>
        <w:t>actos que</w:t>
      </w:r>
      <w:r w:rsidRPr="00C95E69">
        <w:rPr>
          <w:rFonts w:ascii="Abadi" w:hAnsi="Abadi" w:cs="Arial"/>
          <w:color w:val="13131D"/>
          <w:spacing w:val="-6"/>
          <w:sz w:val="21"/>
          <w:szCs w:val="21"/>
        </w:rPr>
        <w:t xml:space="preserve"> </w:t>
      </w:r>
      <w:r w:rsidRPr="00C95E69">
        <w:rPr>
          <w:rFonts w:ascii="Abadi" w:hAnsi="Abadi" w:cs="Arial"/>
          <w:color w:val="13131D"/>
          <w:sz w:val="21"/>
          <w:szCs w:val="21"/>
        </w:rPr>
        <w:t>fueron</w:t>
      </w:r>
      <w:r w:rsidRPr="00C95E69">
        <w:rPr>
          <w:rFonts w:ascii="Abadi" w:hAnsi="Abadi" w:cs="Arial"/>
          <w:color w:val="13131D"/>
          <w:spacing w:val="-8"/>
          <w:sz w:val="21"/>
          <w:szCs w:val="21"/>
        </w:rPr>
        <w:t xml:space="preserve"> </w:t>
      </w:r>
      <w:r w:rsidRPr="00C95E69">
        <w:rPr>
          <w:rFonts w:ascii="Abadi" w:hAnsi="Abadi" w:cs="Arial"/>
          <w:color w:val="13131D"/>
          <w:sz w:val="21"/>
          <w:szCs w:val="21"/>
        </w:rPr>
        <w:t>violatorios</w:t>
      </w:r>
      <w:r w:rsidRPr="00C95E69">
        <w:rPr>
          <w:rFonts w:ascii="Abadi" w:hAnsi="Abadi" w:cs="Arial"/>
          <w:color w:val="13131D"/>
          <w:spacing w:val="-10"/>
          <w:sz w:val="21"/>
          <w:szCs w:val="21"/>
        </w:rPr>
        <w:t xml:space="preserve"> </w:t>
      </w:r>
      <w:r w:rsidRPr="00C95E69">
        <w:rPr>
          <w:rFonts w:ascii="Abadi" w:hAnsi="Abadi" w:cs="Arial"/>
          <w:color w:val="13131D"/>
          <w:sz w:val="21"/>
          <w:szCs w:val="21"/>
        </w:rPr>
        <w:t>de</w:t>
      </w:r>
      <w:r w:rsidRPr="00C95E69">
        <w:rPr>
          <w:rFonts w:ascii="Abadi" w:hAnsi="Abadi" w:cs="Arial"/>
          <w:color w:val="13131D"/>
          <w:spacing w:val="-13"/>
          <w:sz w:val="21"/>
          <w:szCs w:val="21"/>
        </w:rPr>
        <w:t xml:space="preserve"> </w:t>
      </w:r>
      <w:r w:rsidRPr="00C95E69">
        <w:rPr>
          <w:rFonts w:ascii="Abadi" w:hAnsi="Abadi" w:cs="Arial"/>
          <w:color w:val="13131D"/>
          <w:sz w:val="21"/>
          <w:szCs w:val="21"/>
        </w:rPr>
        <w:t>derechos humanos.</w:t>
      </w:r>
    </w:p>
    <w:p w14:paraId="0AE994C7" w14:textId="77777777" w:rsidR="00C95E69" w:rsidRPr="00C95E69" w:rsidRDefault="00C95E69" w:rsidP="00C95E69">
      <w:pPr>
        <w:kinsoku w:val="0"/>
        <w:overflowPunct w:val="0"/>
        <w:autoSpaceDE w:val="0"/>
        <w:autoSpaceDN w:val="0"/>
        <w:adjustRightInd w:val="0"/>
        <w:ind w:right="201"/>
        <w:jc w:val="both"/>
        <w:rPr>
          <w:rFonts w:ascii="Abadi" w:hAnsi="Abadi" w:cs="Arial"/>
          <w:color w:val="14131C"/>
          <w:sz w:val="21"/>
          <w:szCs w:val="21"/>
        </w:rPr>
      </w:pPr>
      <w:r w:rsidRPr="00C95E69">
        <w:rPr>
          <w:rFonts w:ascii="Abadi" w:hAnsi="Abadi" w:cs="Arial"/>
          <w:color w:val="14131C"/>
          <w:sz w:val="21"/>
          <w:szCs w:val="21"/>
        </w:rPr>
        <w:t>Sentando</w:t>
      </w:r>
      <w:r w:rsidRPr="00C95E69">
        <w:rPr>
          <w:rFonts w:ascii="Abadi" w:hAnsi="Abadi" w:cs="Arial"/>
          <w:color w:val="14131C"/>
          <w:spacing w:val="27"/>
          <w:sz w:val="21"/>
          <w:szCs w:val="21"/>
        </w:rPr>
        <w:t xml:space="preserve"> </w:t>
      </w:r>
      <w:r w:rsidRPr="00C95E69">
        <w:rPr>
          <w:rFonts w:ascii="Abadi" w:hAnsi="Abadi" w:cs="Arial"/>
          <w:color w:val="14131C"/>
          <w:sz w:val="21"/>
          <w:szCs w:val="21"/>
        </w:rPr>
        <w:t>así</w:t>
      </w:r>
      <w:r w:rsidRPr="00C95E69">
        <w:rPr>
          <w:rFonts w:ascii="Abadi" w:hAnsi="Abadi" w:cs="Arial"/>
          <w:color w:val="14131C"/>
          <w:spacing w:val="24"/>
          <w:sz w:val="21"/>
          <w:szCs w:val="21"/>
        </w:rPr>
        <w:t xml:space="preserve"> </w:t>
      </w:r>
      <w:r w:rsidRPr="00C95E69">
        <w:rPr>
          <w:rFonts w:ascii="Abadi" w:hAnsi="Abadi" w:cs="Arial"/>
          <w:color w:val="14131C"/>
          <w:sz w:val="21"/>
          <w:szCs w:val="21"/>
        </w:rPr>
        <w:t>un</w:t>
      </w:r>
      <w:r w:rsidRPr="00C95E69">
        <w:rPr>
          <w:rFonts w:ascii="Abadi" w:hAnsi="Abadi" w:cs="Arial"/>
          <w:color w:val="14131C"/>
          <w:spacing w:val="14"/>
          <w:sz w:val="21"/>
          <w:szCs w:val="21"/>
        </w:rPr>
        <w:t xml:space="preserve"> </w:t>
      </w:r>
      <w:r w:rsidRPr="00C95E69">
        <w:rPr>
          <w:rFonts w:ascii="Abadi" w:hAnsi="Abadi" w:cs="Arial"/>
          <w:color w:val="14131C"/>
          <w:sz w:val="21"/>
          <w:szCs w:val="21"/>
        </w:rPr>
        <w:t>precedente</w:t>
      </w:r>
      <w:r w:rsidRPr="00C95E69">
        <w:rPr>
          <w:rFonts w:ascii="Abadi" w:hAnsi="Abadi" w:cs="Arial"/>
          <w:color w:val="14131C"/>
          <w:spacing w:val="9"/>
          <w:sz w:val="21"/>
          <w:szCs w:val="21"/>
        </w:rPr>
        <w:t xml:space="preserve"> </w:t>
      </w:r>
      <w:r w:rsidRPr="00C95E69">
        <w:rPr>
          <w:rFonts w:ascii="Abadi" w:hAnsi="Abadi" w:cs="Arial"/>
          <w:color w:val="14131C"/>
          <w:sz w:val="21"/>
          <w:szCs w:val="21"/>
        </w:rPr>
        <w:t>a</w:t>
      </w:r>
      <w:r w:rsidRPr="00C95E69">
        <w:rPr>
          <w:rFonts w:ascii="Abadi" w:hAnsi="Abadi" w:cs="Arial"/>
          <w:color w:val="14131C"/>
          <w:spacing w:val="24"/>
          <w:sz w:val="21"/>
          <w:szCs w:val="21"/>
        </w:rPr>
        <w:t xml:space="preserve"> </w:t>
      </w:r>
      <w:r w:rsidRPr="00C95E69">
        <w:rPr>
          <w:rFonts w:ascii="Abadi" w:hAnsi="Abadi" w:cs="Arial"/>
          <w:color w:val="14131C"/>
          <w:sz w:val="21"/>
          <w:szCs w:val="21"/>
        </w:rPr>
        <w:t>todas</w:t>
      </w:r>
      <w:r w:rsidRPr="00C95E69">
        <w:rPr>
          <w:rFonts w:ascii="Abadi" w:hAnsi="Abadi" w:cs="Arial"/>
          <w:color w:val="14131C"/>
          <w:spacing w:val="23"/>
          <w:sz w:val="21"/>
          <w:szCs w:val="21"/>
        </w:rPr>
        <w:t xml:space="preserve"> </w:t>
      </w:r>
      <w:r w:rsidRPr="00C95E69">
        <w:rPr>
          <w:rFonts w:ascii="Abadi" w:hAnsi="Abadi" w:cs="Arial"/>
          <w:color w:val="14131C"/>
          <w:sz w:val="21"/>
          <w:szCs w:val="21"/>
        </w:rPr>
        <w:t>las</w:t>
      </w:r>
      <w:r w:rsidRPr="00C95E69">
        <w:rPr>
          <w:rFonts w:ascii="Abadi" w:hAnsi="Abadi" w:cs="Arial"/>
          <w:color w:val="14131C"/>
          <w:spacing w:val="27"/>
          <w:sz w:val="21"/>
          <w:szCs w:val="21"/>
        </w:rPr>
        <w:t xml:space="preserve"> </w:t>
      </w:r>
      <w:r w:rsidRPr="00C95E69">
        <w:rPr>
          <w:rFonts w:ascii="Abadi" w:hAnsi="Abadi" w:cs="Arial"/>
          <w:color w:val="14131C"/>
          <w:sz w:val="21"/>
          <w:szCs w:val="21"/>
        </w:rPr>
        <w:t>autoridades</w:t>
      </w:r>
      <w:r w:rsidRPr="00C95E69">
        <w:rPr>
          <w:rFonts w:ascii="Abadi" w:hAnsi="Abadi" w:cs="Arial"/>
          <w:color w:val="14131C"/>
          <w:spacing w:val="29"/>
          <w:sz w:val="21"/>
          <w:szCs w:val="21"/>
        </w:rPr>
        <w:t xml:space="preserve"> </w:t>
      </w:r>
      <w:r w:rsidRPr="00C95E69">
        <w:rPr>
          <w:rFonts w:ascii="Abadi" w:hAnsi="Abadi" w:cs="Arial"/>
          <w:color w:val="14131C"/>
          <w:sz w:val="21"/>
          <w:szCs w:val="21"/>
        </w:rPr>
        <w:t>de</w:t>
      </w:r>
      <w:r w:rsidRPr="00C95E69">
        <w:rPr>
          <w:rFonts w:ascii="Abadi" w:hAnsi="Abadi" w:cs="Arial"/>
          <w:color w:val="14131C"/>
          <w:spacing w:val="18"/>
          <w:sz w:val="21"/>
          <w:szCs w:val="21"/>
        </w:rPr>
        <w:t xml:space="preserve"> </w:t>
      </w:r>
      <w:r w:rsidRPr="00C95E69">
        <w:rPr>
          <w:rFonts w:ascii="Abadi" w:hAnsi="Abadi" w:cs="Arial"/>
          <w:color w:val="14131C"/>
          <w:sz w:val="21"/>
          <w:szCs w:val="21"/>
        </w:rPr>
        <w:t>los</w:t>
      </w:r>
      <w:r w:rsidRPr="00C95E69">
        <w:rPr>
          <w:rFonts w:ascii="Abadi" w:hAnsi="Abadi" w:cs="Arial"/>
          <w:color w:val="14131C"/>
          <w:spacing w:val="12"/>
          <w:sz w:val="21"/>
          <w:szCs w:val="21"/>
        </w:rPr>
        <w:t xml:space="preserve"> </w:t>
      </w:r>
      <w:r w:rsidRPr="00C95E69">
        <w:rPr>
          <w:rFonts w:ascii="Abadi" w:hAnsi="Abadi" w:cs="Arial"/>
          <w:color w:val="14131C"/>
          <w:sz w:val="21"/>
          <w:szCs w:val="21"/>
        </w:rPr>
        <w:t>tres</w:t>
      </w:r>
      <w:r w:rsidRPr="00C95E69">
        <w:rPr>
          <w:rFonts w:ascii="Abadi" w:hAnsi="Abadi" w:cs="Arial"/>
          <w:color w:val="14131C"/>
          <w:spacing w:val="8"/>
          <w:sz w:val="21"/>
          <w:szCs w:val="21"/>
        </w:rPr>
        <w:t xml:space="preserve"> </w:t>
      </w:r>
      <w:r w:rsidRPr="00C95E69">
        <w:rPr>
          <w:rFonts w:ascii="Abadi" w:hAnsi="Abadi" w:cs="Arial"/>
          <w:color w:val="14131C"/>
          <w:sz w:val="21"/>
          <w:szCs w:val="21"/>
        </w:rPr>
        <w:t>niveles</w:t>
      </w:r>
      <w:r w:rsidRPr="00C95E69">
        <w:rPr>
          <w:rFonts w:ascii="Abadi" w:hAnsi="Abadi" w:cs="Arial"/>
          <w:color w:val="14131C"/>
          <w:spacing w:val="12"/>
          <w:sz w:val="21"/>
          <w:szCs w:val="21"/>
        </w:rPr>
        <w:t xml:space="preserve"> </w:t>
      </w:r>
      <w:r w:rsidRPr="00C95E69">
        <w:rPr>
          <w:rFonts w:ascii="Abadi" w:hAnsi="Abadi" w:cs="Arial"/>
          <w:color w:val="14131C"/>
          <w:sz w:val="21"/>
          <w:szCs w:val="21"/>
        </w:rPr>
        <w:t>de</w:t>
      </w:r>
      <w:r w:rsidRPr="00C95E69">
        <w:rPr>
          <w:rFonts w:ascii="Abadi" w:hAnsi="Abadi" w:cs="Arial"/>
          <w:color w:val="14131C"/>
          <w:spacing w:val="-1"/>
          <w:sz w:val="21"/>
          <w:szCs w:val="21"/>
        </w:rPr>
        <w:t xml:space="preserve"> </w:t>
      </w:r>
      <w:r w:rsidRPr="00C95E69">
        <w:rPr>
          <w:rFonts w:ascii="Abadi" w:hAnsi="Abadi" w:cs="Arial"/>
          <w:color w:val="14131C"/>
          <w:sz w:val="21"/>
          <w:szCs w:val="21"/>
        </w:rPr>
        <w:t>gobierno,</w:t>
      </w:r>
      <w:r w:rsidRPr="00C95E69">
        <w:rPr>
          <w:rFonts w:ascii="Abadi" w:hAnsi="Abadi" w:cs="Arial"/>
          <w:color w:val="14131C"/>
          <w:spacing w:val="19"/>
          <w:sz w:val="21"/>
          <w:szCs w:val="21"/>
        </w:rPr>
        <w:t xml:space="preserve"> </w:t>
      </w:r>
      <w:r w:rsidRPr="00C95E69">
        <w:rPr>
          <w:rFonts w:ascii="Abadi" w:hAnsi="Abadi" w:cs="Arial"/>
          <w:color w:val="14131C"/>
          <w:sz w:val="21"/>
          <w:szCs w:val="21"/>
        </w:rPr>
        <w:t>diciéndoles</w:t>
      </w:r>
      <w:r w:rsidRPr="00C95E69">
        <w:rPr>
          <w:rFonts w:ascii="Abadi" w:hAnsi="Abadi" w:cs="Arial"/>
          <w:color w:val="14131C"/>
          <w:spacing w:val="4"/>
          <w:sz w:val="21"/>
          <w:szCs w:val="21"/>
        </w:rPr>
        <w:t xml:space="preserve"> </w:t>
      </w:r>
      <w:r w:rsidRPr="00C95E69">
        <w:rPr>
          <w:rFonts w:ascii="Abadi" w:hAnsi="Abadi" w:cs="Arial"/>
          <w:color w:val="14131C"/>
          <w:sz w:val="21"/>
          <w:szCs w:val="21"/>
        </w:rPr>
        <w:t>que</w:t>
      </w:r>
      <w:r w:rsidRPr="00C95E69">
        <w:rPr>
          <w:rFonts w:ascii="Abadi" w:hAnsi="Abadi" w:cs="Arial"/>
          <w:color w:val="14131C"/>
          <w:spacing w:val="-1"/>
          <w:sz w:val="21"/>
          <w:szCs w:val="21"/>
        </w:rPr>
        <w:t xml:space="preserve"> </w:t>
      </w:r>
      <w:r w:rsidRPr="00C95E69">
        <w:rPr>
          <w:rFonts w:ascii="Abadi" w:hAnsi="Abadi" w:cs="Arial"/>
          <w:color w:val="14131C"/>
          <w:sz w:val="21"/>
          <w:szCs w:val="21"/>
        </w:rPr>
        <w:t>el</w:t>
      </w:r>
      <w:r w:rsidRPr="00C95E69">
        <w:rPr>
          <w:rFonts w:ascii="Abadi" w:hAnsi="Abadi" w:cs="Arial"/>
          <w:color w:val="14131C"/>
          <w:spacing w:val="-1"/>
          <w:sz w:val="21"/>
          <w:szCs w:val="21"/>
        </w:rPr>
        <w:t xml:space="preserve"> </w:t>
      </w:r>
      <w:r w:rsidRPr="00C95E69">
        <w:rPr>
          <w:rFonts w:ascii="Abadi" w:hAnsi="Abadi" w:cs="Arial"/>
          <w:color w:val="14131C"/>
          <w:sz w:val="21"/>
          <w:szCs w:val="21"/>
        </w:rPr>
        <w:t>Congreso</w:t>
      </w:r>
      <w:r w:rsidRPr="00C95E69">
        <w:rPr>
          <w:rFonts w:ascii="Abadi" w:hAnsi="Abadi" w:cs="Arial"/>
          <w:color w:val="14131C"/>
          <w:spacing w:val="-6"/>
          <w:sz w:val="21"/>
          <w:szCs w:val="21"/>
        </w:rPr>
        <w:t xml:space="preserve"> </w:t>
      </w:r>
      <w:r w:rsidRPr="00C95E69">
        <w:rPr>
          <w:rFonts w:ascii="Abadi" w:hAnsi="Abadi" w:cs="Arial"/>
          <w:color w:val="14131C"/>
          <w:sz w:val="21"/>
          <w:szCs w:val="21"/>
        </w:rPr>
        <w:t>del</w:t>
      </w:r>
      <w:r w:rsidRPr="00C95E69">
        <w:rPr>
          <w:rFonts w:ascii="Abadi" w:hAnsi="Abadi" w:cs="Arial"/>
          <w:color w:val="14131C"/>
          <w:spacing w:val="11"/>
          <w:sz w:val="21"/>
          <w:szCs w:val="21"/>
        </w:rPr>
        <w:t xml:space="preserve"> </w:t>
      </w:r>
      <w:r w:rsidRPr="00C95E69">
        <w:rPr>
          <w:rFonts w:ascii="Abadi" w:hAnsi="Abadi" w:cs="Arial"/>
          <w:color w:val="14131C"/>
          <w:sz w:val="21"/>
          <w:szCs w:val="21"/>
        </w:rPr>
        <w:t>Estado</w:t>
      </w:r>
      <w:r w:rsidRPr="00C95E69">
        <w:rPr>
          <w:rFonts w:ascii="Abadi" w:hAnsi="Abadi" w:cs="Arial"/>
          <w:color w:val="14131C"/>
          <w:spacing w:val="-2"/>
          <w:sz w:val="21"/>
          <w:szCs w:val="21"/>
        </w:rPr>
        <w:t xml:space="preserve"> </w:t>
      </w:r>
      <w:r w:rsidRPr="00C95E69">
        <w:rPr>
          <w:rFonts w:ascii="Abadi" w:hAnsi="Abadi" w:cs="Arial"/>
          <w:color w:val="14131C"/>
          <w:sz w:val="21"/>
          <w:szCs w:val="21"/>
        </w:rPr>
        <w:t>estará</w:t>
      </w:r>
      <w:r w:rsidRPr="00C95E69">
        <w:rPr>
          <w:rFonts w:ascii="Abadi" w:hAnsi="Abadi" w:cs="Arial"/>
          <w:color w:val="14131C"/>
          <w:spacing w:val="-15"/>
          <w:sz w:val="21"/>
          <w:szCs w:val="21"/>
        </w:rPr>
        <w:t xml:space="preserve"> </w:t>
      </w:r>
      <w:r w:rsidRPr="00C95E69">
        <w:rPr>
          <w:rFonts w:ascii="Abadi" w:hAnsi="Abadi" w:cs="Arial"/>
          <w:color w:val="14131C"/>
          <w:sz w:val="21"/>
          <w:szCs w:val="21"/>
        </w:rPr>
        <w:t>atento</w:t>
      </w:r>
      <w:r w:rsidRPr="00C95E69">
        <w:rPr>
          <w:rFonts w:ascii="Abadi" w:hAnsi="Abadi" w:cs="Arial"/>
          <w:color w:val="14131C"/>
          <w:spacing w:val="-9"/>
          <w:sz w:val="21"/>
          <w:szCs w:val="21"/>
        </w:rPr>
        <w:t xml:space="preserve"> </w:t>
      </w:r>
      <w:r w:rsidRPr="00C95E69">
        <w:rPr>
          <w:rFonts w:ascii="Abadi" w:hAnsi="Abadi" w:cs="Arial"/>
          <w:color w:val="14131C"/>
          <w:sz w:val="21"/>
          <w:szCs w:val="21"/>
        </w:rPr>
        <w:t>y</w:t>
      </w:r>
      <w:r w:rsidRPr="00C95E69">
        <w:rPr>
          <w:rFonts w:ascii="Abadi" w:hAnsi="Abadi" w:cs="Arial"/>
          <w:color w:val="14131C"/>
          <w:spacing w:val="-4"/>
          <w:sz w:val="21"/>
          <w:szCs w:val="21"/>
        </w:rPr>
        <w:t xml:space="preserve"> </w:t>
      </w:r>
      <w:r w:rsidRPr="00C95E69">
        <w:rPr>
          <w:rFonts w:ascii="Abadi" w:hAnsi="Abadi" w:cs="Arial"/>
          <w:color w:val="14131C"/>
          <w:sz w:val="21"/>
          <w:szCs w:val="21"/>
        </w:rPr>
        <w:t>trabajando no</w:t>
      </w:r>
      <w:r w:rsidRPr="00C95E69">
        <w:rPr>
          <w:rFonts w:ascii="Abadi" w:hAnsi="Abadi" w:cs="Arial"/>
          <w:color w:val="14131C"/>
          <w:spacing w:val="-5"/>
          <w:sz w:val="21"/>
          <w:szCs w:val="21"/>
        </w:rPr>
        <w:t xml:space="preserve"> </w:t>
      </w:r>
      <w:r w:rsidRPr="00C95E69">
        <w:rPr>
          <w:rFonts w:ascii="Abadi" w:hAnsi="Abadi" w:cs="Arial"/>
          <w:color w:val="14131C"/>
          <w:sz w:val="21"/>
          <w:szCs w:val="21"/>
        </w:rPr>
        <w:t>solo</w:t>
      </w:r>
      <w:r w:rsidRPr="00C95E69">
        <w:rPr>
          <w:rFonts w:ascii="Abadi" w:hAnsi="Abadi" w:cs="Arial"/>
          <w:color w:val="14131C"/>
          <w:spacing w:val="-3"/>
          <w:sz w:val="21"/>
          <w:szCs w:val="21"/>
        </w:rPr>
        <w:t xml:space="preserve"> </w:t>
      </w:r>
      <w:r w:rsidRPr="00C95E69">
        <w:rPr>
          <w:rFonts w:ascii="Abadi" w:hAnsi="Abadi" w:cs="Arial"/>
          <w:color w:val="14131C"/>
          <w:sz w:val="21"/>
          <w:szCs w:val="21"/>
        </w:rPr>
        <w:t>en</w:t>
      </w:r>
      <w:r w:rsidRPr="00C95E69">
        <w:rPr>
          <w:rFonts w:ascii="Abadi" w:hAnsi="Abadi" w:cs="Arial"/>
          <w:color w:val="14131C"/>
          <w:spacing w:val="9"/>
          <w:sz w:val="21"/>
          <w:szCs w:val="21"/>
        </w:rPr>
        <w:t xml:space="preserve"> </w:t>
      </w:r>
      <w:r w:rsidRPr="00C95E69">
        <w:rPr>
          <w:rFonts w:ascii="Abadi" w:hAnsi="Abadi" w:cs="Arial"/>
          <w:color w:val="14131C"/>
          <w:sz w:val="21"/>
          <w:szCs w:val="21"/>
        </w:rPr>
        <w:t>discurso</w:t>
      </w:r>
      <w:r w:rsidRPr="00C95E69">
        <w:rPr>
          <w:rFonts w:ascii="Abadi" w:hAnsi="Abadi" w:cs="Arial"/>
          <w:color w:val="14131C"/>
          <w:spacing w:val="2"/>
          <w:sz w:val="21"/>
          <w:szCs w:val="21"/>
        </w:rPr>
        <w:t xml:space="preserve"> </w:t>
      </w:r>
      <w:r w:rsidRPr="00C95E69">
        <w:rPr>
          <w:rFonts w:ascii="Abadi" w:hAnsi="Abadi" w:cs="Arial"/>
          <w:color w:val="14131C"/>
          <w:sz w:val="21"/>
          <w:szCs w:val="21"/>
        </w:rPr>
        <w:t>si</w:t>
      </w:r>
      <w:r w:rsidRPr="00C95E69">
        <w:rPr>
          <w:rFonts w:ascii="Abadi" w:hAnsi="Abadi" w:cs="Arial"/>
          <w:color w:val="14131C"/>
          <w:spacing w:val="-3"/>
          <w:sz w:val="21"/>
          <w:szCs w:val="21"/>
        </w:rPr>
        <w:t xml:space="preserve"> </w:t>
      </w:r>
      <w:r w:rsidRPr="00C95E69">
        <w:rPr>
          <w:rFonts w:ascii="Abadi" w:hAnsi="Abadi" w:cs="Arial"/>
          <w:color w:val="14131C"/>
          <w:sz w:val="21"/>
          <w:szCs w:val="21"/>
        </w:rPr>
        <w:t>no</w:t>
      </w:r>
      <w:r w:rsidRPr="00C95E69">
        <w:rPr>
          <w:rFonts w:ascii="Abadi" w:hAnsi="Abadi" w:cs="Arial"/>
          <w:color w:val="14131C"/>
          <w:spacing w:val="-12"/>
          <w:sz w:val="21"/>
          <w:szCs w:val="21"/>
        </w:rPr>
        <w:t xml:space="preserve"> </w:t>
      </w:r>
      <w:r w:rsidRPr="00C95E69">
        <w:rPr>
          <w:rFonts w:ascii="Abadi" w:hAnsi="Abadi" w:cs="Arial"/>
          <w:color w:val="14131C"/>
          <w:sz w:val="21"/>
          <w:szCs w:val="21"/>
        </w:rPr>
        <w:t>en</w:t>
      </w:r>
      <w:r w:rsidRPr="00C95E69">
        <w:rPr>
          <w:rFonts w:ascii="Abadi" w:hAnsi="Abadi" w:cs="Arial"/>
          <w:color w:val="14131C"/>
          <w:spacing w:val="-4"/>
          <w:sz w:val="21"/>
          <w:szCs w:val="21"/>
        </w:rPr>
        <w:t xml:space="preserve"> </w:t>
      </w:r>
      <w:r w:rsidRPr="00C95E69">
        <w:rPr>
          <w:rFonts w:ascii="Abadi" w:hAnsi="Abadi" w:cs="Arial"/>
          <w:color w:val="14131C"/>
          <w:sz w:val="21"/>
          <w:szCs w:val="21"/>
        </w:rPr>
        <w:t>acciones.</w:t>
      </w:r>
    </w:p>
    <w:p w14:paraId="3DFD3C35" w14:textId="77777777" w:rsidR="00C95E69" w:rsidRPr="00C95E69" w:rsidRDefault="00C95E69" w:rsidP="00C95E69">
      <w:pPr>
        <w:kinsoku w:val="0"/>
        <w:overflowPunct w:val="0"/>
        <w:autoSpaceDE w:val="0"/>
        <w:autoSpaceDN w:val="0"/>
        <w:adjustRightInd w:val="0"/>
        <w:ind w:right="201"/>
        <w:jc w:val="both"/>
        <w:rPr>
          <w:rFonts w:ascii="Abadi" w:hAnsi="Abadi" w:cs="Arial"/>
          <w:color w:val="14131C"/>
          <w:sz w:val="21"/>
          <w:szCs w:val="21"/>
        </w:rPr>
      </w:pPr>
    </w:p>
    <w:p w14:paraId="6E154786" w14:textId="77777777" w:rsidR="00C95E69" w:rsidRPr="00C95E69" w:rsidRDefault="00C95E69" w:rsidP="002655F8">
      <w:pPr>
        <w:kinsoku w:val="0"/>
        <w:overflowPunct w:val="0"/>
        <w:autoSpaceDE w:val="0"/>
        <w:autoSpaceDN w:val="0"/>
        <w:adjustRightInd w:val="0"/>
        <w:spacing w:before="16"/>
        <w:ind w:right="201"/>
        <w:jc w:val="center"/>
        <w:rPr>
          <w:rFonts w:ascii="Abadi" w:hAnsi="Abadi"/>
          <w:color w:val="15131C"/>
          <w:w w:val="120"/>
          <w:sz w:val="21"/>
          <w:szCs w:val="21"/>
        </w:rPr>
      </w:pPr>
      <w:r w:rsidRPr="00C95E69">
        <w:rPr>
          <w:rFonts w:ascii="Abadi" w:hAnsi="Abadi"/>
          <w:color w:val="15131C"/>
          <w:w w:val="120"/>
          <w:sz w:val="21"/>
          <w:szCs w:val="21"/>
        </w:rPr>
        <w:t>ACUERDO</w:t>
      </w:r>
    </w:p>
    <w:p w14:paraId="4165CDE6" w14:textId="77777777" w:rsidR="00C95E69" w:rsidRPr="00C95E69" w:rsidRDefault="00C95E69" w:rsidP="00C95E69">
      <w:pPr>
        <w:kinsoku w:val="0"/>
        <w:overflowPunct w:val="0"/>
        <w:autoSpaceDE w:val="0"/>
        <w:autoSpaceDN w:val="0"/>
        <w:adjustRightInd w:val="0"/>
        <w:spacing w:before="16"/>
        <w:ind w:left="40" w:right="201"/>
        <w:jc w:val="both"/>
        <w:outlineLvl w:val="0"/>
        <w:rPr>
          <w:rFonts w:ascii="Abadi" w:hAnsi="Abadi"/>
          <w:color w:val="15141D"/>
          <w:sz w:val="21"/>
          <w:szCs w:val="21"/>
        </w:rPr>
      </w:pPr>
    </w:p>
    <w:p w14:paraId="7998D1E2" w14:textId="77777777" w:rsidR="00C95E69" w:rsidRPr="00C95E69" w:rsidRDefault="00C95E69" w:rsidP="00C95E69">
      <w:pPr>
        <w:kinsoku w:val="0"/>
        <w:overflowPunct w:val="0"/>
        <w:autoSpaceDE w:val="0"/>
        <w:autoSpaceDN w:val="0"/>
        <w:adjustRightInd w:val="0"/>
        <w:spacing w:before="16"/>
        <w:ind w:right="201"/>
        <w:jc w:val="both"/>
        <w:outlineLvl w:val="0"/>
        <w:rPr>
          <w:rFonts w:ascii="Abadi" w:hAnsi="Abadi"/>
          <w:color w:val="15141D"/>
          <w:sz w:val="21"/>
          <w:szCs w:val="21"/>
        </w:rPr>
      </w:pPr>
      <w:r w:rsidRPr="00C95E69">
        <w:rPr>
          <w:rFonts w:ascii="Abadi" w:hAnsi="Abadi"/>
          <w:color w:val="15141D"/>
          <w:sz w:val="21"/>
          <w:szCs w:val="21"/>
        </w:rPr>
        <w:t>ÚNICO-</w:t>
      </w:r>
      <w:r w:rsidRPr="00C95E69">
        <w:rPr>
          <w:rFonts w:ascii="Abadi" w:hAnsi="Abadi"/>
          <w:color w:val="15141D"/>
          <w:spacing w:val="-26"/>
          <w:sz w:val="21"/>
          <w:szCs w:val="21"/>
        </w:rPr>
        <w:t xml:space="preserve"> </w:t>
      </w:r>
      <w:r w:rsidRPr="00C95E69">
        <w:rPr>
          <w:rFonts w:ascii="Abadi" w:hAnsi="Abadi"/>
          <w:color w:val="15141D"/>
          <w:sz w:val="21"/>
          <w:szCs w:val="21"/>
        </w:rPr>
        <w:t>Esta</w:t>
      </w:r>
      <w:r w:rsidRPr="00C95E69">
        <w:rPr>
          <w:rFonts w:ascii="Abadi" w:hAnsi="Abadi"/>
          <w:color w:val="15141D"/>
          <w:spacing w:val="-12"/>
          <w:sz w:val="21"/>
          <w:szCs w:val="21"/>
        </w:rPr>
        <w:t xml:space="preserve"> </w:t>
      </w:r>
      <w:r w:rsidRPr="00C95E69">
        <w:rPr>
          <w:rFonts w:ascii="Abadi" w:hAnsi="Abadi"/>
          <w:color w:val="15141D"/>
          <w:sz w:val="21"/>
          <w:szCs w:val="21"/>
        </w:rPr>
        <w:t>LXV</w:t>
      </w:r>
      <w:r w:rsidRPr="00C95E69">
        <w:rPr>
          <w:rFonts w:ascii="Abadi" w:hAnsi="Abadi"/>
          <w:color w:val="15141D"/>
          <w:spacing w:val="-10"/>
          <w:sz w:val="21"/>
          <w:szCs w:val="21"/>
        </w:rPr>
        <w:t xml:space="preserve"> </w:t>
      </w:r>
      <w:r w:rsidRPr="00C95E69">
        <w:rPr>
          <w:rFonts w:ascii="Abadi" w:hAnsi="Abadi"/>
          <w:color w:val="15141D"/>
          <w:sz w:val="21"/>
          <w:szCs w:val="21"/>
        </w:rPr>
        <w:t>Legislatura</w:t>
      </w:r>
      <w:r w:rsidRPr="00C95E69">
        <w:rPr>
          <w:rFonts w:ascii="Abadi" w:hAnsi="Abadi"/>
          <w:color w:val="15141D"/>
          <w:spacing w:val="-7"/>
          <w:sz w:val="21"/>
          <w:szCs w:val="21"/>
        </w:rPr>
        <w:t xml:space="preserve"> </w:t>
      </w:r>
      <w:r w:rsidRPr="00C95E69">
        <w:rPr>
          <w:rFonts w:ascii="Abadi" w:hAnsi="Abadi"/>
          <w:color w:val="15141D"/>
          <w:sz w:val="21"/>
          <w:szCs w:val="21"/>
        </w:rPr>
        <w:t>del</w:t>
      </w:r>
      <w:r w:rsidRPr="00C95E69">
        <w:rPr>
          <w:rFonts w:ascii="Abadi" w:hAnsi="Abadi"/>
          <w:color w:val="15141D"/>
          <w:spacing w:val="-30"/>
          <w:sz w:val="21"/>
          <w:szCs w:val="21"/>
        </w:rPr>
        <w:t xml:space="preserve"> </w:t>
      </w:r>
      <w:r w:rsidRPr="00C95E69">
        <w:rPr>
          <w:rFonts w:ascii="Abadi" w:hAnsi="Abadi"/>
          <w:color w:val="15141D"/>
          <w:sz w:val="21"/>
          <w:szCs w:val="21"/>
        </w:rPr>
        <w:t>Estado</w:t>
      </w:r>
      <w:r w:rsidRPr="00C95E69">
        <w:rPr>
          <w:rFonts w:ascii="Abadi" w:hAnsi="Abadi"/>
          <w:color w:val="15141D"/>
          <w:spacing w:val="9"/>
          <w:sz w:val="21"/>
          <w:szCs w:val="21"/>
        </w:rPr>
        <w:t xml:space="preserve"> </w:t>
      </w:r>
      <w:r w:rsidRPr="00C95E69">
        <w:rPr>
          <w:rFonts w:ascii="Abadi" w:hAnsi="Abadi"/>
          <w:color w:val="15141D"/>
          <w:sz w:val="21"/>
          <w:szCs w:val="21"/>
        </w:rPr>
        <w:t>de</w:t>
      </w:r>
      <w:r w:rsidRPr="00C95E69">
        <w:rPr>
          <w:rFonts w:ascii="Abadi" w:hAnsi="Abadi"/>
          <w:color w:val="15141D"/>
          <w:spacing w:val="5"/>
          <w:sz w:val="21"/>
          <w:szCs w:val="21"/>
        </w:rPr>
        <w:t xml:space="preserve"> </w:t>
      </w:r>
      <w:r w:rsidRPr="00C95E69">
        <w:rPr>
          <w:rFonts w:ascii="Abadi" w:hAnsi="Abadi"/>
          <w:color w:val="15141D"/>
          <w:sz w:val="21"/>
          <w:szCs w:val="21"/>
        </w:rPr>
        <w:t>Guanajuato</w:t>
      </w:r>
      <w:r w:rsidRPr="00C95E69">
        <w:rPr>
          <w:rFonts w:ascii="Abadi" w:hAnsi="Abadi"/>
          <w:color w:val="15141D"/>
          <w:spacing w:val="-7"/>
          <w:sz w:val="21"/>
          <w:szCs w:val="21"/>
        </w:rPr>
        <w:t xml:space="preserve"> </w:t>
      </w:r>
      <w:r w:rsidRPr="00C95E69">
        <w:rPr>
          <w:rFonts w:ascii="Abadi" w:hAnsi="Abadi"/>
          <w:color w:val="15141D"/>
          <w:sz w:val="21"/>
          <w:szCs w:val="21"/>
        </w:rPr>
        <w:t>acuerda:</w:t>
      </w:r>
    </w:p>
    <w:p w14:paraId="76B8C96D" w14:textId="77777777" w:rsidR="00C95E69" w:rsidRPr="00C95E69" w:rsidRDefault="00C95E69" w:rsidP="00C95E69">
      <w:pPr>
        <w:kinsoku w:val="0"/>
        <w:overflowPunct w:val="0"/>
        <w:autoSpaceDE w:val="0"/>
        <w:autoSpaceDN w:val="0"/>
        <w:adjustRightInd w:val="0"/>
        <w:ind w:right="201"/>
        <w:jc w:val="both"/>
        <w:rPr>
          <w:rFonts w:ascii="Abadi" w:hAnsi="Abadi"/>
          <w:sz w:val="21"/>
          <w:szCs w:val="21"/>
        </w:rPr>
      </w:pPr>
    </w:p>
    <w:p w14:paraId="2A146464" w14:textId="77777777" w:rsidR="00C95E69" w:rsidRPr="00C95E69" w:rsidRDefault="00C95E69" w:rsidP="00C95E69">
      <w:pPr>
        <w:kinsoku w:val="0"/>
        <w:overflowPunct w:val="0"/>
        <w:autoSpaceDE w:val="0"/>
        <w:autoSpaceDN w:val="0"/>
        <w:adjustRightInd w:val="0"/>
        <w:ind w:right="201"/>
        <w:jc w:val="both"/>
        <w:rPr>
          <w:rFonts w:ascii="Abadi" w:hAnsi="Abadi" w:cs="Arial"/>
          <w:b/>
          <w:bCs/>
          <w:color w:val="13121E"/>
          <w:sz w:val="21"/>
          <w:szCs w:val="21"/>
        </w:rPr>
      </w:pPr>
      <w:r w:rsidRPr="00C95E69">
        <w:rPr>
          <w:rFonts w:ascii="Abadi" w:hAnsi="Abadi" w:cs="Arial"/>
          <w:b/>
          <w:bCs/>
          <w:color w:val="13121E"/>
          <w:sz w:val="21"/>
          <w:szCs w:val="21"/>
        </w:rPr>
        <w:t>Crear</w:t>
      </w:r>
      <w:r w:rsidRPr="00C95E69">
        <w:rPr>
          <w:rFonts w:ascii="Abadi" w:hAnsi="Abadi" w:cs="Arial"/>
          <w:b/>
          <w:bCs/>
          <w:color w:val="13121E"/>
          <w:spacing w:val="6"/>
          <w:sz w:val="21"/>
          <w:szCs w:val="21"/>
        </w:rPr>
        <w:t xml:space="preserve"> </w:t>
      </w:r>
      <w:r w:rsidRPr="00C95E69">
        <w:rPr>
          <w:rFonts w:ascii="Abadi" w:hAnsi="Abadi" w:cs="Arial"/>
          <w:b/>
          <w:bCs/>
          <w:color w:val="13121E"/>
          <w:sz w:val="21"/>
          <w:szCs w:val="21"/>
        </w:rPr>
        <w:t>la</w:t>
      </w:r>
      <w:r w:rsidRPr="00C95E69">
        <w:rPr>
          <w:rFonts w:ascii="Abadi" w:hAnsi="Abadi" w:cs="Arial"/>
          <w:b/>
          <w:bCs/>
          <w:color w:val="13121E"/>
          <w:spacing w:val="13"/>
          <w:sz w:val="21"/>
          <w:szCs w:val="21"/>
        </w:rPr>
        <w:t xml:space="preserve"> </w:t>
      </w:r>
      <w:r w:rsidRPr="00C95E69">
        <w:rPr>
          <w:rFonts w:ascii="Abadi" w:hAnsi="Abadi" w:cs="Arial"/>
          <w:b/>
          <w:bCs/>
          <w:color w:val="13121E"/>
          <w:sz w:val="21"/>
          <w:szCs w:val="21"/>
        </w:rPr>
        <w:t>Comisión</w:t>
      </w:r>
      <w:r w:rsidRPr="00C95E69">
        <w:rPr>
          <w:rFonts w:ascii="Abadi" w:hAnsi="Abadi" w:cs="Arial"/>
          <w:b/>
          <w:bCs/>
          <w:color w:val="13121E"/>
          <w:spacing w:val="21"/>
          <w:sz w:val="21"/>
          <w:szCs w:val="21"/>
        </w:rPr>
        <w:t xml:space="preserve"> </w:t>
      </w:r>
      <w:r w:rsidRPr="00C95E69">
        <w:rPr>
          <w:rFonts w:ascii="Abadi" w:hAnsi="Abadi" w:cs="Arial"/>
          <w:b/>
          <w:bCs/>
          <w:color w:val="13121E"/>
          <w:sz w:val="21"/>
          <w:szCs w:val="21"/>
        </w:rPr>
        <w:t>Especial</w:t>
      </w:r>
      <w:r w:rsidRPr="00C95E69">
        <w:rPr>
          <w:rFonts w:ascii="Abadi" w:hAnsi="Abadi" w:cs="Arial"/>
          <w:b/>
          <w:bCs/>
          <w:color w:val="13121E"/>
          <w:spacing w:val="13"/>
          <w:sz w:val="21"/>
          <w:szCs w:val="21"/>
        </w:rPr>
        <w:t xml:space="preserve"> </w:t>
      </w:r>
      <w:r w:rsidRPr="00C95E69">
        <w:rPr>
          <w:rFonts w:ascii="Abadi" w:hAnsi="Abadi" w:cs="Arial"/>
          <w:b/>
          <w:bCs/>
          <w:color w:val="13121E"/>
          <w:sz w:val="21"/>
          <w:szCs w:val="21"/>
        </w:rPr>
        <w:t>de</w:t>
      </w:r>
      <w:r w:rsidRPr="00C95E69">
        <w:rPr>
          <w:rFonts w:ascii="Abadi" w:hAnsi="Abadi" w:cs="Arial"/>
          <w:b/>
          <w:bCs/>
          <w:color w:val="13121E"/>
          <w:spacing w:val="7"/>
          <w:sz w:val="21"/>
          <w:szCs w:val="21"/>
        </w:rPr>
        <w:t xml:space="preserve"> </w:t>
      </w:r>
      <w:r w:rsidRPr="00C95E69">
        <w:rPr>
          <w:rFonts w:ascii="Abadi" w:hAnsi="Abadi" w:cs="Arial"/>
          <w:b/>
          <w:bCs/>
          <w:color w:val="13121E"/>
          <w:sz w:val="21"/>
          <w:szCs w:val="21"/>
        </w:rPr>
        <w:t>Seguimiento</w:t>
      </w:r>
      <w:r w:rsidRPr="00C95E69">
        <w:rPr>
          <w:rFonts w:ascii="Abadi" w:hAnsi="Abadi" w:cs="Arial"/>
          <w:b/>
          <w:bCs/>
          <w:color w:val="13121E"/>
          <w:spacing w:val="8"/>
          <w:sz w:val="21"/>
          <w:szCs w:val="21"/>
        </w:rPr>
        <w:t xml:space="preserve"> </w:t>
      </w:r>
      <w:r w:rsidRPr="00C95E69">
        <w:rPr>
          <w:rFonts w:ascii="Abadi" w:hAnsi="Abadi" w:cs="Arial"/>
          <w:b/>
          <w:bCs/>
          <w:color w:val="13121E"/>
          <w:sz w:val="21"/>
          <w:szCs w:val="21"/>
        </w:rPr>
        <w:t>a</w:t>
      </w:r>
      <w:r w:rsidRPr="00C95E69">
        <w:rPr>
          <w:rFonts w:ascii="Abadi" w:hAnsi="Abadi" w:cs="Arial"/>
          <w:b/>
          <w:bCs/>
          <w:color w:val="13121E"/>
          <w:spacing w:val="5"/>
          <w:sz w:val="21"/>
          <w:szCs w:val="21"/>
        </w:rPr>
        <w:t xml:space="preserve"> </w:t>
      </w:r>
      <w:r w:rsidRPr="00C95E69">
        <w:rPr>
          <w:rFonts w:ascii="Abadi" w:hAnsi="Abadi" w:cs="Arial"/>
          <w:b/>
          <w:bCs/>
          <w:color w:val="13121E"/>
          <w:sz w:val="21"/>
          <w:szCs w:val="21"/>
        </w:rPr>
        <w:t>los</w:t>
      </w:r>
      <w:r w:rsidRPr="00C95E69">
        <w:rPr>
          <w:rFonts w:ascii="Abadi" w:hAnsi="Abadi" w:cs="Arial"/>
          <w:b/>
          <w:bCs/>
          <w:color w:val="13121E"/>
          <w:spacing w:val="8"/>
          <w:sz w:val="21"/>
          <w:szCs w:val="21"/>
        </w:rPr>
        <w:t xml:space="preserve"> </w:t>
      </w:r>
      <w:r w:rsidRPr="00C95E69">
        <w:rPr>
          <w:rFonts w:ascii="Abadi" w:hAnsi="Abadi" w:cs="Arial"/>
          <w:b/>
          <w:bCs/>
          <w:color w:val="13121E"/>
          <w:sz w:val="21"/>
          <w:szCs w:val="21"/>
        </w:rPr>
        <w:t>hechos</w:t>
      </w:r>
      <w:r w:rsidRPr="00C95E69">
        <w:rPr>
          <w:rFonts w:ascii="Abadi" w:hAnsi="Abadi" w:cs="Arial"/>
          <w:b/>
          <w:bCs/>
          <w:color w:val="13121E"/>
          <w:spacing w:val="16"/>
          <w:sz w:val="21"/>
          <w:szCs w:val="21"/>
        </w:rPr>
        <w:t xml:space="preserve"> </w:t>
      </w:r>
      <w:r w:rsidRPr="00C95E69">
        <w:rPr>
          <w:rFonts w:ascii="Abadi" w:hAnsi="Abadi" w:cs="Arial"/>
          <w:b/>
          <w:bCs/>
          <w:color w:val="13121E"/>
          <w:sz w:val="21"/>
          <w:szCs w:val="21"/>
        </w:rPr>
        <w:t>del</w:t>
      </w:r>
      <w:r w:rsidRPr="00C95E69">
        <w:rPr>
          <w:rFonts w:ascii="Abadi" w:hAnsi="Abadi" w:cs="Arial"/>
          <w:b/>
          <w:bCs/>
          <w:color w:val="13121E"/>
          <w:spacing w:val="21"/>
          <w:sz w:val="21"/>
          <w:szCs w:val="21"/>
        </w:rPr>
        <w:t xml:space="preserve"> </w:t>
      </w:r>
      <w:r w:rsidRPr="00C95E69">
        <w:rPr>
          <w:rFonts w:ascii="Abadi" w:hAnsi="Abadi" w:cs="Arial"/>
          <w:b/>
          <w:bCs/>
          <w:color w:val="13121E"/>
          <w:sz w:val="21"/>
          <w:szCs w:val="21"/>
        </w:rPr>
        <w:t>1</w:t>
      </w:r>
      <w:r w:rsidRPr="00C95E69">
        <w:rPr>
          <w:rFonts w:ascii="Abadi" w:hAnsi="Abadi" w:cs="Arial"/>
          <w:b/>
          <w:bCs/>
          <w:color w:val="13121E"/>
          <w:spacing w:val="38"/>
          <w:sz w:val="21"/>
          <w:szCs w:val="21"/>
        </w:rPr>
        <w:t xml:space="preserve"> </w:t>
      </w:r>
      <w:r w:rsidRPr="00C95E69">
        <w:rPr>
          <w:rFonts w:ascii="Abadi" w:hAnsi="Abadi" w:cs="Arial"/>
          <w:b/>
          <w:bCs/>
          <w:color w:val="13121E"/>
          <w:sz w:val="21"/>
          <w:szCs w:val="21"/>
        </w:rPr>
        <w:t>de mayo en</w:t>
      </w:r>
      <w:r w:rsidRPr="00C95E69">
        <w:rPr>
          <w:rFonts w:ascii="Abadi" w:hAnsi="Abadi" w:cs="Arial"/>
          <w:b/>
          <w:bCs/>
          <w:color w:val="13121E"/>
          <w:spacing w:val="4"/>
          <w:sz w:val="21"/>
          <w:szCs w:val="21"/>
        </w:rPr>
        <w:t xml:space="preserve"> </w:t>
      </w:r>
      <w:r w:rsidRPr="00C95E69">
        <w:rPr>
          <w:rFonts w:ascii="Abadi" w:hAnsi="Abadi" w:cs="Arial"/>
          <w:b/>
          <w:bCs/>
          <w:color w:val="13121E"/>
          <w:sz w:val="21"/>
          <w:szCs w:val="21"/>
        </w:rPr>
        <w:t>el municipio</w:t>
      </w:r>
      <w:r w:rsidRPr="00C95E69">
        <w:rPr>
          <w:rFonts w:ascii="Abadi" w:hAnsi="Abadi" w:cs="Arial"/>
          <w:b/>
          <w:bCs/>
          <w:color w:val="13121E"/>
          <w:spacing w:val="5"/>
          <w:sz w:val="21"/>
          <w:szCs w:val="21"/>
        </w:rPr>
        <w:t xml:space="preserve"> </w:t>
      </w:r>
      <w:r w:rsidRPr="00C95E69">
        <w:rPr>
          <w:rFonts w:ascii="Abadi" w:hAnsi="Abadi" w:cs="Arial"/>
          <w:b/>
          <w:bCs/>
          <w:color w:val="13121E"/>
          <w:sz w:val="21"/>
          <w:szCs w:val="21"/>
        </w:rPr>
        <w:t>de</w:t>
      </w:r>
      <w:r w:rsidRPr="00C95E69">
        <w:rPr>
          <w:rFonts w:ascii="Abadi" w:hAnsi="Abadi" w:cs="Arial"/>
          <w:b/>
          <w:bCs/>
          <w:color w:val="13121E"/>
          <w:spacing w:val="-1"/>
          <w:sz w:val="21"/>
          <w:szCs w:val="21"/>
        </w:rPr>
        <w:t xml:space="preserve"> </w:t>
      </w:r>
      <w:r w:rsidRPr="00C95E69">
        <w:rPr>
          <w:rFonts w:ascii="Abadi" w:hAnsi="Abadi" w:cs="Arial"/>
          <w:b/>
          <w:bCs/>
          <w:color w:val="13121E"/>
          <w:sz w:val="21"/>
          <w:szCs w:val="21"/>
        </w:rPr>
        <w:t>Irapuato,</w:t>
      </w:r>
      <w:r w:rsidRPr="00C95E69">
        <w:rPr>
          <w:rFonts w:ascii="Abadi" w:hAnsi="Abadi" w:cs="Arial"/>
          <w:b/>
          <w:bCs/>
          <w:color w:val="13121E"/>
          <w:spacing w:val="27"/>
          <w:sz w:val="21"/>
          <w:szCs w:val="21"/>
        </w:rPr>
        <w:t xml:space="preserve"> </w:t>
      </w:r>
      <w:r w:rsidRPr="00C95E69">
        <w:rPr>
          <w:rFonts w:ascii="Abadi" w:hAnsi="Abadi" w:cs="Arial"/>
          <w:b/>
          <w:bCs/>
          <w:color w:val="13121E"/>
          <w:sz w:val="21"/>
          <w:szCs w:val="21"/>
        </w:rPr>
        <w:t>Guanajuato.</w:t>
      </w:r>
    </w:p>
    <w:p w14:paraId="6B5C2BAA" w14:textId="77777777" w:rsidR="00C95E69" w:rsidRPr="00C95E69" w:rsidRDefault="00C95E69" w:rsidP="00C95E69">
      <w:pPr>
        <w:kinsoku w:val="0"/>
        <w:overflowPunct w:val="0"/>
        <w:autoSpaceDE w:val="0"/>
        <w:autoSpaceDN w:val="0"/>
        <w:adjustRightInd w:val="0"/>
        <w:ind w:left="39" w:right="201"/>
        <w:jc w:val="both"/>
        <w:rPr>
          <w:rFonts w:ascii="Abadi" w:hAnsi="Abadi" w:cs="Arial"/>
          <w:b/>
          <w:bCs/>
          <w:color w:val="13121E"/>
          <w:sz w:val="21"/>
          <w:szCs w:val="21"/>
        </w:rPr>
      </w:pPr>
    </w:p>
    <w:p w14:paraId="4A0402B5" w14:textId="77777777" w:rsidR="00C95E69" w:rsidRPr="00C95E69" w:rsidRDefault="00C95E69" w:rsidP="00C95E69">
      <w:pPr>
        <w:kinsoku w:val="0"/>
        <w:overflowPunct w:val="0"/>
        <w:autoSpaceDE w:val="0"/>
        <w:autoSpaceDN w:val="0"/>
        <w:adjustRightInd w:val="0"/>
        <w:ind w:left="39" w:right="201"/>
        <w:jc w:val="both"/>
        <w:rPr>
          <w:rFonts w:ascii="Abadi" w:hAnsi="Abadi" w:cs="Arial"/>
          <w:b/>
          <w:bCs/>
          <w:color w:val="13121E"/>
          <w:sz w:val="21"/>
          <w:szCs w:val="21"/>
        </w:rPr>
      </w:pPr>
    </w:p>
    <w:p w14:paraId="16E8AD9A" w14:textId="77777777" w:rsidR="00C95E69" w:rsidRPr="00C95E69" w:rsidRDefault="00C95E69" w:rsidP="002655F8">
      <w:pPr>
        <w:kinsoku w:val="0"/>
        <w:overflowPunct w:val="0"/>
        <w:autoSpaceDE w:val="0"/>
        <w:autoSpaceDN w:val="0"/>
        <w:adjustRightInd w:val="0"/>
        <w:ind w:right="-1"/>
        <w:jc w:val="both"/>
        <w:rPr>
          <w:rFonts w:ascii="Abadi" w:hAnsi="Abadi" w:cs="Cambria"/>
          <w:color w:val="16151D"/>
          <w:sz w:val="21"/>
          <w:szCs w:val="21"/>
        </w:rPr>
      </w:pPr>
      <w:r w:rsidRPr="00C95E69">
        <w:rPr>
          <w:rFonts w:ascii="Abadi" w:hAnsi="Abadi" w:cs="Cambria"/>
          <w:color w:val="16151D"/>
          <w:sz w:val="21"/>
          <w:szCs w:val="21"/>
        </w:rPr>
        <w:t>GRUPO</w:t>
      </w:r>
      <w:r w:rsidRPr="00C95E69">
        <w:rPr>
          <w:rFonts w:ascii="Abadi" w:hAnsi="Abadi" w:cs="Cambria"/>
          <w:color w:val="16151D"/>
          <w:spacing w:val="2"/>
          <w:sz w:val="21"/>
          <w:szCs w:val="21"/>
        </w:rPr>
        <w:t xml:space="preserve"> </w:t>
      </w:r>
      <w:r w:rsidRPr="00C95E69">
        <w:rPr>
          <w:rFonts w:ascii="Abadi" w:hAnsi="Abadi" w:cs="Cambria"/>
          <w:color w:val="16151D"/>
          <w:sz w:val="21"/>
          <w:szCs w:val="21"/>
        </w:rPr>
        <w:t>PARLAMENTARIO</w:t>
      </w:r>
      <w:r w:rsidRPr="00C95E69">
        <w:rPr>
          <w:rFonts w:ascii="Abadi" w:hAnsi="Abadi" w:cs="Cambria"/>
          <w:color w:val="16151D"/>
          <w:spacing w:val="-5"/>
          <w:sz w:val="21"/>
          <w:szCs w:val="21"/>
        </w:rPr>
        <w:t xml:space="preserve"> </w:t>
      </w:r>
      <w:r w:rsidRPr="00C95E69">
        <w:rPr>
          <w:rFonts w:ascii="Abadi" w:hAnsi="Abadi" w:cs="Cambria"/>
          <w:color w:val="16151D"/>
          <w:sz w:val="21"/>
          <w:szCs w:val="21"/>
        </w:rPr>
        <w:t>DE</w:t>
      </w:r>
      <w:r w:rsidRPr="00C95E69">
        <w:rPr>
          <w:rFonts w:ascii="Abadi" w:hAnsi="Abadi" w:cs="Cambria"/>
          <w:color w:val="16151D"/>
          <w:spacing w:val="5"/>
          <w:sz w:val="21"/>
          <w:szCs w:val="21"/>
        </w:rPr>
        <w:t xml:space="preserve"> </w:t>
      </w:r>
      <w:r w:rsidRPr="00C95E69">
        <w:rPr>
          <w:rFonts w:ascii="Abadi" w:hAnsi="Abadi" w:cs="Cambria"/>
          <w:color w:val="16151D"/>
          <w:sz w:val="21"/>
          <w:szCs w:val="21"/>
        </w:rPr>
        <w:t>MORENA</w:t>
      </w:r>
    </w:p>
    <w:p w14:paraId="7758AA3C" w14:textId="77777777" w:rsidR="00C95E69" w:rsidRPr="00C95E69" w:rsidRDefault="00C95E69" w:rsidP="002655F8">
      <w:pPr>
        <w:kinsoku w:val="0"/>
        <w:overflowPunct w:val="0"/>
        <w:autoSpaceDE w:val="0"/>
        <w:autoSpaceDN w:val="0"/>
        <w:adjustRightInd w:val="0"/>
        <w:ind w:right="-1"/>
        <w:jc w:val="both"/>
        <w:rPr>
          <w:rFonts w:ascii="Abadi" w:hAnsi="Abadi" w:cs="Cambria"/>
          <w:color w:val="16151D"/>
          <w:sz w:val="21"/>
          <w:szCs w:val="21"/>
        </w:rPr>
      </w:pPr>
    </w:p>
    <w:p w14:paraId="1F87AFF8" w14:textId="77777777" w:rsidR="00C95E69" w:rsidRPr="00C95E69" w:rsidRDefault="00C95E69" w:rsidP="002655F8">
      <w:pPr>
        <w:kinsoku w:val="0"/>
        <w:overflowPunct w:val="0"/>
        <w:autoSpaceDE w:val="0"/>
        <w:autoSpaceDN w:val="0"/>
        <w:adjustRightInd w:val="0"/>
        <w:ind w:right="-1"/>
        <w:jc w:val="both"/>
        <w:rPr>
          <w:rFonts w:ascii="Abadi" w:hAnsi="Abadi" w:cs="Cambria"/>
          <w:color w:val="16151D"/>
          <w:sz w:val="21"/>
          <w:szCs w:val="21"/>
        </w:rPr>
      </w:pPr>
      <w:r w:rsidRPr="00C95E69">
        <w:rPr>
          <w:rFonts w:ascii="Abadi" w:hAnsi="Abadi" w:cs="Cambria"/>
          <w:color w:val="16151D"/>
          <w:sz w:val="21"/>
          <w:szCs w:val="21"/>
        </w:rPr>
        <w:t>ALMA EDWVIGES ALCARAZ HERNÁNDEZ</w:t>
      </w:r>
    </w:p>
    <w:p w14:paraId="33766D6C" w14:textId="77777777" w:rsidR="00C95E69" w:rsidRPr="00C95E69" w:rsidRDefault="00C95E69" w:rsidP="002655F8">
      <w:pPr>
        <w:kinsoku w:val="0"/>
        <w:overflowPunct w:val="0"/>
        <w:autoSpaceDE w:val="0"/>
        <w:autoSpaceDN w:val="0"/>
        <w:adjustRightInd w:val="0"/>
        <w:ind w:right="-1"/>
        <w:jc w:val="both"/>
        <w:rPr>
          <w:rFonts w:ascii="Abadi" w:hAnsi="Abadi" w:cs="Cambria"/>
          <w:color w:val="16151D"/>
          <w:sz w:val="21"/>
          <w:szCs w:val="21"/>
        </w:rPr>
      </w:pPr>
      <w:r w:rsidRPr="00C95E69">
        <w:rPr>
          <w:rFonts w:ascii="Abadi" w:hAnsi="Abadi" w:cs="Cambria"/>
          <w:color w:val="16151D"/>
          <w:sz w:val="21"/>
          <w:szCs w:val="21"/>
        </w:rPr>
        <w:t>HADES BERENICE AGUILAR CASTILLO</w:t>
      </w:r>
    </w:p>
    <w:p w14:paraId="6150A824" w14:textId="77777777" w:rsidR="00C95E69" w:rsidRPr="00C95E69" w:rsidRDefault="00C95E69" w:rsidP="002655F8">
      <w:pPr>
        <w:kinsoku w:val="0"/>
        <w:overflowPunct w:val="0"/>
        <w:autoSpaceDE w:val="0"/>
        <w:autoSpaceDN w:val="0"/>
        <w:adjustRightInd w:val="0"/>
        <w:ind w:right="-1"/>
        <w:jc w:val="both"/>
        <w:rPr>
          <w:rFonts w:ascii="Abadi" w:hAnsi="Abadi" w:cs="Cambria"/>
          <w:color w:val="16151D"/>
          <w:sz w:val="21"/>
          <w:szCs w:val="21"/>
        </w:rPr>
      </w:pPr>
      <w:r w:rsidRPr="00C95E69">
        <w:rPr>
          <w:rFonts w:ascii="Abadi" w:hAnsi="Abadi" w:cs="Cambria"/>
          <w:color w:val="16151D"/>
          <w:sz w:val="21"/>
          <w:szCs w:val="21"/>
        </w:rPr>
        <w:t>IRMA LETICIA GONZÁLEZ SÁNCHEZ</w:t>
      </w:r>
    </w:p>
    <w:p w14:paraId="6E4F5A19" w14:textId="77777777" w:rsidR="00C95E69" w:rsidRPr="00C95E69" w:rsidRDefault="00C95E69" w:rsidP="002655F8">
      <w:pPr>
        <w:kinsoku w:val="0"/>
        <w:overflowPunct w:val="0"/>
        <w:autoSpaceDE w:val="0"/>
        <w:autoSpaceDN w:val="0"/>
        <w:adjustRightInd w:val="0"/>
        <w:ind w:right="-1"/>
        <w:jc w:val="both"/>
        <w:rPr>
          <w:rFonts w:ascii="Abadi" w:hAnsi="Abadi" w:cs="Cambria"/>
          <w:color w:val="16151D"/>
          <w:sz w:val="21"/>
          <w:szCs w:val="21"/>
        </w:rPr>
      </w:pPr>
      <w:r w:rsidRPr="00C95E69">
        <w:rPr>
          <w:rFonts w:ascii="Abadi" w:hAnsi="Abadi" w:cs="Cambria"/>
          <w:color w:val="16151D"/>
          <w:sz w:val="21"/>
          <w:szCs w:val="21"/>
        </w:rPr>
        <w:t>MARTHA EDITH MORENO VALENCIA</w:t>
      </w:r>
    </w:p>
    <w:p w14:paraId="754055EF" w14:textId="77777777" w:rsidR="00C95E69" w:rsidRPr="00C95E69" w:rsidRDefault="00C95E69" w:rsidP="002655F8">
      <w:pPr>
        <w:kinsoku w:val="0"/>
        <w:overflowPunct w:val="0"/>
        <w:autoSpaceDE w:val="0"/>
        <w:autoSpaceDN w:val="0"/>
        <w:adjustRightInd w:val="0"/>
        <w:ind w:right="-1"/>
        <w:jc w:val="both"/>
        <w:rPr>
          <w:rFonts w:ascii="Abadi" w:hAnsi="Abadi" w:cs="Cambria"/>
          <w:color w:val="16151D"/>
          <w:sz w:val="21"/>
          <w:szCs w:val="21"/>
        </w:rPr>
      </w:pPr>
      <w:r w:rsidRPr="00C95E69">
        <w:rPr>
          <w:rFonts w:ascii="Abadi" w:hAnsi="Abadi" w:cs="Cambria"/>
          <w:color w:val="16151D"/>
          <w:sz w:val="21"/>
          <w:szCs w:val="21"/>
        </w:rPr>
        <w:t>CUAHUCTÉMOC BECERRA GONZÁLEZ</w:t>
      </w:r>
    </w:p>
    <w:p w14:paraId="402D9E8C" w14:textId="77777777" w:rsidR="00C95E69" w:rsidRPr="00C95E69" w:rsidRDefault="00C95E69" w:rsidP="002655F8">
      <w:pPr>
        <w:kinsoku w:val="0"/>
        <w:overflowPunct w:val="0"/>
        <w:autoSpaceDE w:val="0"/>
        <w:autoSpaceDN w:val="0"/>
        <w:adjustRightInd w:val="0"/>
        <w:ind w:right="-1"/>
        <w:jc w:val="both"/>
        <w:rPr>
          <w:rFonts w:ascii="Abadi" w:hAnsi="Abadi" w:cs="Cambria"/>
          <w:color w:val="16151D"/>
          <w:sz w:val="21"/>
          <w:szCs w:val="21"/>
        </w:rPr>
      </w:pPr>
      <w:r w:rsidRPr="00C95E69">
        <w:rPr>
          <w:rFonts w:ascii="Abadi" w:hAnsi="Abadi" w:cs="Cambria"/>
          <w:color w:val="16151D"/>
          <w:sz w:val="21"/>
          <w:szCs w:val="21"/>
        </w:rPr>
        <w:t>DAVID MARTÍNEZ MENDIZÁBAL</w:t>
      </w:r>
    </w:p>
    <w:p w14:paraId="312829EA" w14:textId="77777777" w:rsidR="00C95E69" w:rsidRPr="00C95E69" w:rsidRDefault="00C95E69" w:rsidP="002655F8">
      <w:pPr>
        <w:kinsoku w:val="0"/>
        <w:overflowPunct w:val="0"/>
        <w:autoSpaceDE w:val="0"/>
        <w:autoSpaceDN w:val="0"/>
        <w:adjustRightInd w:val="0"/>
        <w:ind w:right="-1"/>
        <w:jc w:val="both"/>
        <w:rPr>
          <w:rFonts w:ascii="Abadi" w:hAnsi="Abadi" w:cs="Cambria"/>
          <w:color w:val="16151D"/>
          <w:sz w:val="21"/>
          <w:szCs w:val="21"/>
        </w:rPr>
      </w:pPr>
      <w:r w:rsidRPr="00C95E69">
        <w:rPr>
          <w:rFonts w:ascii="Abadi" w:hAnsi="Abadi" w:cs="Cambria"/>
          <w:color w:val="16151D"/>
          <w:sz w:val="21"/>
          <w:szCs w:val="21"/>
        </w:rPr>
        <w:t>ERNESTO MILLAN SOBERANES</w:t>
      </w:r>
    </w:p>
    <w:p w14:paraId="6CDCD3AA" w14:textId="1C6B192D" w:rsidR="00C95E69" w:rsidRDefault="00C95E69" w:rsidP="002655F8">
      <w:pPr>
        <w:kinsoku w:val="0"/>
        <w:overflowPunct w:val="0"/>
        <w:autoSpaceDE w:val="0"/>
        <w:autoSpaceDN w:val="0"/>
        <w:adjustRightInd w:val="0"/>
        <w:ind w:right="-1"/>
        <w:jc w:val="both"/>
        <w:rPr>
          <w:rFonts w:ascii="Abadi" w:hAnsi="Abadi" w:cs="Cambria"/>
          <w:color w:val="16151D"/>
          <w:sz w:val="21"/>
          <w:szCs w:val="21"/>
        </w:rPr>
      </w:pPr>
      <w:r w:rsidRPr="00C95E69">
        <w:rPr>
          <w:rFonts w:ascii="Abadi" w:hAnsi="Abadi" w:cs="Cambria"/>
          <w:color w:val="16151D"/>
          <w:sz w:val="21"/>
          <w:szCs w:val="21"/>
        </w:rPr>
        <w:t>PABLO ALONSO RIPOLL</w:t>
      </w:r>
    </w:p>
    <w:p w14:paraId="53B199EE" w14:textId="5F6B1D58" w:rsidR="001B66EE" w:rsidRDefault="001B66EE" w:rsidP="002655F8">
      <w:pPr>
        <w:kinsoku w:val="0"/>
        <w:overflowPunct w:val="0"/>
        <w:autoSpaceDE w:val="0"/>
        <w:autoSpaceDN w:val="0"/>
        <w:adjustRightInd w:val="0"/>
        <w:ind w:right="-1"/>
        <w:jc w:val="both"/>
        <w:rPr>
          <w:rFonts w:ascii="Abadi" w:hAnsi="Abadi" w:cs="Cambria"/>
          <w:color w:val="16151D"/>
          <w:sz w:val="21"/>
          <w:szCs w:val="21"/>
        </w:rPr>
      </w:pPr>
    </w:p>
    <w:p w14:paraId="2B51A9AA" w14:textId="76E6996C" w:rsidR="001B66EE" w:rsidRDefault="001B66EE" w:rsidP="002655F8">
      <w:pPr>
        <w:kinsoku w:val="0"/>
        <w:overflowPunct w:val="0"/>
        <w:autoSpaceDE w:val="0"/>
        <w:autoSpaceDN w:val="0"/>
        <w:adjustRightInd w:val="0"/>
        <w:ind w:right="-1"/>
        <w:jc w:val="both"/>
        <w:rPr>
          <w:rFonts w:ascii="Abadi" w:hAnsi="Abadi" w:cs="Cambria"/>
          <w:color w:val="16151D"/>
          <w:sz w:val="21"/>
          <w:szCs w:val="21"/>
        </w:rPr>
      </w:pPr>
    </w:p>
    <w:p w14:paraId="3AA467A4" w14:textId="52FB4F79" w:rsid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Pr="00E160AE">
        <w:rPr>
          <w:rFonts w:ascii="Abadi" w:hAnsi="Abadi" w:cs="Cambria"/>
          <w:b/>
          <w:bCs/>
          <w:color w:val="16151D"/>
          <w:sz w:val="21"/>
          <w:szCs w:val="21"/>
          <w:lang w:val="es-MX"/>
        </w:rPr>
        <w:t>La Presidencia.-</w:t>
      </w:r>
      <w:r w:rsidRPr="00E160AE">
        <w:rPr>
          <w:rFonts w:ascii="Abadi" w:hAnsi="Abadi" w:cs="Cambria"/>
          <w:color w:val="16151D"/>
          <w:sz w:val="21"/>
          <w:szCs w:val="21"/>
          <w:lang w:val="es-MX"/>
        </w:rPr>
        <w:t xml:space="preserve"> Se da cuenta con la propuesta de punto de acuerdo de obvia resolución suscrita por las diputadas y los diputados integrantes del Grupo Parlamentario del Partido MORENA a efecto de crear la Comisión Especial de Seguimiento a los hechos del 1 de mayo en el municipio de Irapuato, Guanajuato. </w:t>
      </w:r>
    </w:p>
    <w:p w14:paraId="0E24C02F" w14:textId="77777777" w:rsidR="00E160AE" w:rsidRP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p>
    <w:p w14:paraId="5028C1A3" w14:textId="6F016896" w:rsidR="00E160AE" w:rsidRDefault="0001791A" w:rsidP="0001791A">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En los términos solicitados por las y los proponentes se somete a la Asamblea se declare de obvia resolución la propuesta de punto de acuerdo con fundamento en lo dispuesto en el artículo, Diputado Ernesto Millán, ¿Para qué efecto? </w:t>
      </w:r>
    </w:p>
    <w:p w14:paraId="5BB25DAE"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469979DC" w14:textId="64C0B4A0" w:rsid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r w:rsidRPr="00E160AE">
        <w:rPr>
          <w:rFonts w:ascii="Abadi" w:hAnsi="Abadi" w:cs="Cambria"/>
          <w:color w:val="16151D"/>
          <w:sz w:val="21"/>
          <w:szCs w:val="21"/>
          <w:lang w:val="es-MX"/>
        </w:rPr>
        <w:t>(Voz) Diputado Ernesto Millán, para solicitar Presidenta, que se retire la obvia (Voz) diputada Susana, Presidenta (Voz) diputada Presidenta, diputada Susana, ¿para qué efecto? (Voz) Diputada Susana, si Presidenta, en términos de la fracción I del artículo 177 de la Ley Orgánica del Poder Legislativo y en mi carácter de diputada le solicitó sea incorporada la declaratoria de obvia resolución para el presente punto y se le dé el trámite parlamentario correspondiente.</w:t>
      </w:r>
    </w:p>
    <w:p w14:paraId="4FDE44DA"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08E4B921" w14:textId="58F131C6" w:rsid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Pr="00E160AE">
        <w:rPr>
          <w:rFonts w:ascii="Abadi" w:hAnsi="Abadi" w:cs="Cambria"/>
          <w:b/>
          <w:bCs/>
          <w:color w:val="16151D"/>
          <w:sz w:val="21"/>
          <w:szCs w:val="21"/>
          <w:lang w:val="es-MX"/>
        </w:rPr>
        <w:t>La Presidencia.-</w:t>
      </w:r>
      <w:r w:rsidRPr="00E160AE">
        <w:rPr>
          <w:rFonts w:ascii="Abadi" w:hAnsi="Abadi" w:cs="Cambria"/>
          <w:color w:val="16151D"/>
          <w:sz w:val="21"/>
          <w:szCs w:val="21"/>
          <w:lang w:val="es-MX"/>
        </w:rPr>
        <w:t xml:space="preserve"> Muy bien, en los términos solicitados por la diputada Susana Bermúdez Cano, se somete a la Asamblea se declare de obvia resolución la propuesta de punto de acuerdo con fundamento lo dispuesto por el artículo 177 de la Ley Orgánica del Poder Legislativo del Estado. </w:t>
      </w:r>
    </w:p>
    <w:p w14:paraId="380F5D69" w14:textId="77777777" w:rsidR="00E160AE" w:rsidRP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p>
    <w:p w14:paraId="499ED00C" w14:textId="6F01B705" w:rsidR="00E160AE" w:rsidRP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Pr="00E160AE">
        <w:rPr>
          <w:rFonts w:ascii="Abadi" w:hAnsi="Abadi" w:cs="Cambria"/>
          <w:color w:val="16151D"/>
          <w:sz w:val="21"/>
          <w:szCs w:val="21"/>
          <w:lang w:val="es-MX"/>
        </w:rPr>
        <w:t xml:space="preserve">Se informa la Asamblea que a efecto de que la propuesta de punto de acuerdo se declare de obvia resolución, debe ser aprobada por las dos terceras partes de los integrantes del Pleno. </w:t>
      </w:r>
    </w:p>
    <w:p w14:paraId="346D055F" w14:textId="77777777" w:rsid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532BF671" w14:textId="0FB2AFA7" w:rsid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Pr="00E160AE">
        <w:rPr>
          <w:rFonts w:ascii="Abadi" w:hAnsi="Abadi" w:cs="Cambria"/>
          <w:color w:val="16151D"/>
          <w:sz w:val="21"/>
          <w:szCs w:val="21"/>
          <w:lang w:val="es-MX"/>
        </w:rPr>
        <w:t xml:space="preserve">Si alguna diputada o algún diputado desea hacer uso de la palabra en relación a la obvia resolución, sírvase manifestarlo indicando sentido de su participación. </w:t>
      </w:r>
    </w:p>
    <w:p w14:paraId="55094EB7" w14:textId="77777777" w:rsid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p>
    <w:p w14:paraId="5C657081" w14:textId="611DB365" w:rsid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Pr="00E160AE">
        <w:rPr>
          <w:rFonts w:ascii="Abadi" w:hAnsi="Abadi" w:cs="Cambria"/>
          <w:color w:val="16151D"/>
          <w:sz w:val="21"/>
          <w:szCs w:val="21"/>
          <w:lang w:val="es-MX"/>
        </w:rPr>
        <w:t>En virtud de que ninguna diputada o ningún diputado desea hacer uso de la palabra, se ruega a la Secretaria que en votación económica, a través del sistema electrónico, pregunte a la Asamblea si se aprobase la obvia Resolución sometida su consideración.</w:t>
      </w:r>
    </w:p>
    <w:p w14:paraId="4B781FA1" w14:textId="77777777" w:rsidR="00E160AE" w:rsidRP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p>
    <w:p w14:paraId="3A99EBE4" w14:textId="4913DA35" w:rsidR="00E160AE" w:rsidRPr="00E160AE" w:rsidRDefault="00E160AE" w:rsidP="00E160AE">
      <w:pPr>
        <w:kinsoku w:val="0"/>
        <w:overflowPunct w:val="0"/>
        <w:autoSpaceDE w:val="0"/>
        <w:autoSpaceDN w:val="0"/>
        <w:adjustRightInd w:val="0"/>
        <w:ind w:right="-1"/>
        <w:jc w:val="center"/>
        <w:rPr>
          <w:rFonts w:ascii="Abadi" w:hAnsi="Abadi" w:cs="Cambria"/>
          <w:b/>
          <w:bCs/>
          <w:color w:val="16151D"/>
          <w:sz w:val="21"/>
          <w:szCs w:val="21"/>
          <w:lang w:val="es-MX"/>
        </w:rPr>
      </w:pPr>
      <w:r w:rsidRPr="00E160AE">
        <w:rPr>
          <w:rFonts w:ascii="Abadi" w:hAnsi="Abadi" w:cs="Cambria"/>
          <w:b/>
          <w:bCs/>
          <w:color w:val="16151D"/>
          <w:sz w:val="21"/>
          <w:szCs w:val="21"/>
          <w:lang w:val="es-MX"/>
        </w:rPr>
        <w:t>(Se abre el sistema electrónico)</w:t>
      </w:r>
    </w:p>
    <w:p w14:paraId="681D8B5E" w14:textId="77777777" w:rsidR="00E160AE" w:rsidRDefault="00E160AE" w:rsidP="00E160AE">
      <w:pPr>
        <w:kinsoku w:val="0"/>
        <w:overflowPunct w:val="0"/>
        <w:autoSpaceDE w:val="0"/>
        <w:autoSpaceDN w:val="0"/>
        <w:adjustRightInd w:val="0"/>
        <w:ind w:right="-1"/>
        <w:jc w:val="center"/>
        <w:rPr>
          <w:rFonts w:ascii="Abadi" w:hAnsi="Abadi" w:cs="Cambria"/>
          <w:b/>
          <w:bCs/>
          <w:color w:val="16151D"/>
          <w:sz w:val="21"/>
          <w:szCs w:val="21"/>
          <w:lang w:val="es-MX"/>
        </w:rPr>
      </w:pPr>
    </w:p>
    <w:p w14:paraId="5C85D785" w14:textId="77777777" w:rsidR="00E160AE" w:rsidRDefault="00E160AE" w:rsidP="00E160AE">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Pr="00E160AE">
        <w:rPr>
          <w:rFonts w:ascii="Abadi" w:hAnsi="Abadi" w:cs="Cambria"/>
          <w:b/>
          <w:bCs/>
          <w:color w:val="16151D"/>
          <w:sz w:val="21"/>
          <w:szCs w:val="21"/>
          <w:lang w:val="es-MX"/>
        </w:rPr>
        <w:t>La Secretaria.-</w:t>
      </w:r>
      <w:r w:rsidRPr="00E160AE">
        <w:rPr>
          <w:rFonts w:ascii="Abadi" w:hAnsi="Abadi" w:cs="Cambria"/>
          <w:color w:val="16151D"/>
          <w:sz w:val="21"/>
          <w:szCs w:val="21"/>
          <w:lang w:val="es-MX"/>
        </w:rPr>
        <w:t xml:space="preserve"> Por instrucciones de la Presidencia, en votación económica, se pregunta a las diputadas y los diputados si se aprueba la obvia resolución mediante el sistema electrónico. </w:t>
      </w:r>
    </w:p>
    <w:p w14:paraId="33BE0D36" w14:textId="77777777" w:rsid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6EC418F5" w14:textId="15A9F238"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r w:rsidRPr="00E160AE">
        <w:rPr>
          <w:rFonts w:ascii="Abadi" w:hAnsi="Abadi" w:cs="Cambria"/>
          <w:color w:val="16151D"/>
          <w:sz w:val="21"/>
          <w:szCs w:val="21"/>
          <w:lang w:val="es-MX"/>
        </w:rPr>
        <w:t>¿Falta alguna diputada o algún diputado de emitir su voto?</w:t>
      </w:r>
    </w:p>
    <w:p w14:paraId="3D777D26" w14:textId="77777777" w:rsid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738717B3" w14:textId="7CF5D188" w:rsidR="00E160AE" w:rsidRDefault="00E160AE" w:rsidP="00E160AE">
      <w:pPr>
        <w:kinsoku w:val="0"/>
        <w:overflowPunct w:val="0"/>
        <w:autoSpaceDE w:val="0"/>
        <w:autoSpaceDN w:val="0"/>
        <w:adjustRightInd w:val="0"/>
        <w:ind w:right="-1"/>
        <w:jc w:val="center"/>
        <w:rPr>
          <w:rFonts w:ascii="Abadi" w:hAnsi="Abadi" w:cs="Cambria"/>
          <w:color w:val="16151D"/>
          <w:sz w:val="21"/>
          <w:szCs w:val="21"/>
          <w:lang w:val="es-MX"/>
        </w:rPr>
      </w:pPr>
      <w:r w:rsidRPr="00E160AE">
        <w:rPr>
          <w:rFonts w:ascii="Abadi" w:hAnsi="Abadi" w:cs="Cambria"/>
          <w:noProof/>
          <w:color w:val="16151D"/>
          <w:sz w:val="21"/>
          <w:szCs w:val="21"/>
          <w:lang w:val="es-MX"/>
        </w:rPr>
        <w:drawing>
          <wp:anchor distT="0" distB="0" distL="114300" distR="114300" simplePos="0" relativeHeight="251679744" behindDoc="1" locked="0" layoutInCell="1" allowOverlap="1" wp14:anchorId="093FFDA5" wp14:editId="2C0132A8">
            <wp:simplePos x="0" y="0"/>
            <wp:positionH relativeFrom="column">
              <wp:posOffset>293550</wp:posOffset>
            </wp:positionH>
            <wp:positionV relativeFrom="paragraph">
              <wp:posOffset>352078</wp:posOffset>
            </wp:positionV>
            <wp:extent cx="1843405" cy="977900"/>
            <wp:effectExtent l="152400" t="152400" r="366395" b="355600"/>
            <wp:wrapTight wrapText="bothSides">
              <wp:wrapPolygon edited="0">
                <wp:start x="893" y="-3366"/>
                <wp:lineTo x="-1786" y="-2525"/>
                <wp:lineTo x="-1786" y="23143"/>
                <wp:lineTo x="-1339" y="24826"/>
                <wp:lineTo x="2009" y="28192"/>
                <wp:lineTo x="2232" y="29034"/>
                <wp:lineTo x="21652" y="29034"/>
                <wp:lineTo x="21875" y="28192"/>
                <wp:lineTo x="25000" y="24826"/>
                <wp:lineTo x="25670" y="17673"/>
                <wp:lineTo x="25670" y="4208"/>
                <wp:lineTo x="22991" y="-2104"/>
                <wp:lineTo x="22768" y="-3366"/>
                <wp:lineTo x="893" y="-3366"/>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b="5685"/>
                    <a:stretch/>
                  </pic:blipFill>
                  <pic:spPr bwMode="auto">
                    <a:xfrm>
                      <a:off x="0" y="0"/>
                      <a:ext cx="1843405" cy="9779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E160AE">
        <w:rPr>
          <w:rFonts w:ascii="Abadi" w:hAnsi="Abadi" w:cs="Cambria"/>
          <w:b/>
          <w:bCs/>
          <w:color w:val="16151D"/>
          <w:sz w:val="21"/>
          <w:szCs w:val="21"/>
          <w:lang w:val="es-MX"/>
        </w:rPr>
        <w:t>(Se cierra el sistema electrónico)</w:t>
      </w:r>
    </w:p>
    <w:p w14:paraId="7D7456B3" w14:textId="77777777" w:rsidR="007509C8" w:rsidRPr="00E160AE" w:rsidRDefault="007509C8" w:rsidP="00E160AE">
      <w:pPr>
        <w:kinsoku w:val="0"/>
        <w:overflowPunct w:val="0"/>
        <w:autoSpaceDE w:val="0"/>
        <w:autoSpaceDN w:val="0"/>
        <w:adjustRightInd w:val="0"/>
        <w:ind w:right="-1"/>
        <w:jc w:val="center"/>
        <w:rPr>
          <w:rFonts w:ascii="Abadi" w:hAnsi="Abadi" w:cs="Cambria"/>
          <w:color w:val="16151D"/>
          <w:sz w:val="21"/>
          <w:szCs w:val="21"/>
          <w:lang w:val="es-MX"/>
        </w:rPr>
      </w:pPr>
    </w:p>
    <w:p w14:paraId="2DD9F9F5" w14:textId="77777777" w:rsidR="007509C8" w:rsidRDefault="007509C8" w:rsidP="007509C8">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00E160AE" w:rsidRPr="00E160AE">
        <w:rPr>
          <w:rFonts w:ascii="Abadi" w:hAnsi="Abadi" w:cs="Cambria"/>
          <w:b/>
          <w:bCs/>
          <w:color w:val="16151D"/>
          <w:sz w:val="21"/>
          <w:szCs w:val="21"/>
          <w:lang w:val="es-MX"/>
        </w:rPr>
        <w:t>La Secretaria.-</w:t>
      </w:r>
      <w:r w:rsidR="00E160AE" w:rsidRPr="00E160AE">
        <w:rPr>
          <w:rFonts w:ascii="Abadi" w:hAnsi="Abadi" w:cs="Cambria"/>
          <w:color w:val="16151D"/>
          <w:sz w:val="21"/>
          <w:szCs w:val="21"/>
          <w:lang w:val="es-MX"/>
        </w:rPr>
        <w:t xml:space="preserve"> Se registraron 26 votos a favor y 7 votos en contra. </w:t>
      </w:r>
    </w:p>
    <w:p w14:paraId="0AB34AB7" w14:textId="77777777" w:rsidR="007509C8" w:rsidRDefault="007509C8" w:rsidP="007509C8">
      <w:pPr>
        <w:kinsoku w:val="0"/>
        <w:overflowPunct w:val="0"/>
        <w:autoSpaceDE w:val="0"/>
        <w:autoSpaceDN w:val="0"/>
        <w:adjustRightInd w:val="0"/>
        <w:ind w:right="-1" w:firstLine="708"/>
        <w:jc w:val="both"/>
        <w:rPr>
          <w:rFonts w:ascii="Abadi" w:hAnsi="Abadi" w:cs="Cambria"/>
          <w:color w:val="16151D"/>
          <w:sz w:val="21"/>
          <w:szCs w:val="21"/>
          <w:lang w:val="es-MX"/>
        </w:rPr>
      </w:pPr>
    </w:p>
    <w:p w14:paraId="2C7CC617" w14:textId="5FF89F3C" w:rsidR="007509C8" w:rsidRDefault="007509C8" w:rsidP="007509C8">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b/>
          <w:bCs/>
          <w:color w:val="16151D"/>
          <w:sz w:val="21"/>
          <w:szCs w:val="21"/>
          <w:lang w:val="es-MX"/>
        </w:rPr>
        <w:t>La Presidencia.-</w:t>
      </w:r>
      <w:r w:rsidR="00E160AE" w:rsidRPr="00E160AE">
        <w:rPr>
          <w:rFonts w:ascii="Abadi" w:hAnsi="Abadi" w:cs="Cambria"/>
          <w:color w:val="16151D"/>
          <w:sz w:val="21"/>
          <w:szCs w:val="21"/>
          <w:lang w:val="es-MX"/>
        </w:rPr>
        <w:t xml:space="preserve"> La obvia resolución ha sido aprobada por mayoría de votos. </w:t>
      </w:r>
    </w:p>
    <w:p w14:paraId="60019996" w14:textId="77777777" w:rsidR="007509C8" w:rsidRDefault="007509C8" w:rsidP="007509C8">
      <w:pPr>
        <w:kinsoku w:val="0"/>
        <w:overflowPunct w:val="0"/>
        <w:autoSpaceDE w:val="0"/>
        <w:autoSpaceDN w:val="0"/>
        <w:adjustRightInd w:val="0"/>
        <w:ind w:right="-1" w:firstLine="708"/>
        <w:jc w:val="both"/>
        <w:rPr>
          <w:rFonts w:ascii="Abadi" w:hAnsi="Abadi" w:cs="Cambria"/>
          <w:color w:val="16151D"/>
          <w:sz w:val="21"/>
          <w:szCs w:val="21"/>
          <w:lang w:val="es-MX"/>
        </w:rPr>
      </w:pPr>
    </w:p>
    <w:p w14:paraId="7A4767A7" w14:textId="5C26679B" w:rsidR="007509C8" w:rsidRDefault="007509C8" w:rsidP="007509C8">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En consecuencia, se somete a discusión del punto de acuerdo.</w:t>
      </w:r>
    </w:p>
    <w:p w14:paraId="48618358" w14:textId="77777777" w:rsidR="007509C8" w:rsidRDefault="007509C8" w:rsidP="007509C8">
      <w:pPr>
        <w:kinsoku w:val="0"/>
        <w:overflowPunct w:val="0"/>
        <w:autoSpaceDE w:val="0"/>
        <w:autoSpaceDN w:val="0"/>
        <w:adjustRightInd w:val="0"/>
        <w:ind w:right="-1" w:firstLine="708"/>
        <w:jc w:val="both"/>
        <w:rPr>
          <w:rFonts w:ascii="Abadi" w:hAnsi="Abadi" w:cs="Cambria"/>
          <w:color w:val="16151D"/>
          <w:sz w:val="21"/>
          <w:szCs w:val="21"/>
          <w:lang w:val="es-MX"/>
        </w:rPr>
      </w:pPr>
    </w:p>
    <w:p w14:paraId="749FE8F5" w14:textId="77777777" w:rsidR="007509C8" w:rsidRDefault="007509C8" w:rsidP="007509C8">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Si alguna diputada o algún diputado desea hacer uso de la palabra, en pro o en contra, sírvase manifestarlo, indicando el sentido de su participación, diputada Susana Bermúdez ¿Para qué efecto? (Voz) diputada Susana Bermúdez, ¡sí! Presidenta para hablar en contra (Voz) diputada presidenta, diputado Alejandro Arias ¿Para qué efecto? (Voz) diputado Alejandro, para hablar en contra Presidenta, (Voz) diputada Presidenta, tiene la palabra la diputada Susana Bermúdez, hasta por 5 minutos, por 10 minutos ¡perdón! </w:t>
      </w:r>
    </w:p>
    <w:p w14:paraId="76065F4F" w14:textId="77777777" w:rsidR="007509C8" w:rsidRDefault="007509C8" w:rsidP="007509C8">
      <w:pPr>
        <w:kinsoku w:val="0"/>
        <w:overflowPunct w:val="0"/>
        <w:autoSpaceDE w:val="0"/>
        <w:autoSpaceDN w:val="0"/>
        <w:adjustRightInd w:val="0"/>
        <w:ind w:right="-1" w:firstLine="708"/>
        <w:jc w:val="both"/>
        <w:rPr>
          <w:rFonts w:ascii="Abadi" w:hAnsi="Abadi" w:cs="Cambria"/>
          <w:color w:val="16151D"/>
          <w:sz w:val="21"/>
          <w:szCs w:val="21"/>
          <w:lang w:val="es-MX"/>
        </w:rPr>
      </w:pPr>
    </w:p>
    <w:p w14:paraId="3FEDEA16" w14:textId="61618A60" w:rsidR="00E160AE" w:rsidRPr="00E160AE" w:rsidRDefault="007509C8" w:rsidP="007509C8">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Adelante diputada. </w:t>
      </w:r>
    </w:p>
    <w:p w14:paraId="647E54D5" w14:textId="77777777" w:rsidR="007509C8" w:rsidRDefault="007509C8"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253A218A" w14:textId="6D83631E" w:rsidR="00E160AE" w:rsidRP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r w:rsidRPr="00E160AE">
        <w:rPr>
          <w:rFonts w:ascii="Abadi" w:hAnsi="Abadi" w:cs="Cambria"/>
          <w:b/>
          <w:bCs/>
          <w:color w:val="16151D"/>
          <w:sz w:val="21"/>
          <w:szCs w:val="21"/>
          <w:lang w:val="es-MX"/>
        </w:rPr>
        <w:t>(Sube a tribuna la diputada Susana Bermúdez, para hablar en contra del punto de acuerdo de obvia resolución)</w:t>
      </w:r>
    </w:p>
    <w:p w14:paraId="422572EA" w14:textId="59ABB38B" w:rsidR="00E160AE" w:rsidRP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19B7EF13" w14:textId="6E34CA7F" w:rsidR="00E160AE" w:rsidRPr="00E160AE" w:rsidRDefault="007509C8" w:rsidP="00E160AE">
      <w:pPr>
        <w:kinsoku w:val="0"/>
        <w:overflowPunct w:val="0"/>
        <w:autoSpaceDE w:val="0"/>
        <w:autoSpaceDN w:val="0"/>
        <w:adjustRightInd w:val="0"/>
        <w:ind w:right="-1"/>
        <w:jc w:val="both"/>
        <w:rPr>
          <w:rFonts w:ascii="Abadi" w:hAnsi="Abadi" w:cs="Cambria"/>
          <w:b/>
          <w:bCs/>
          <w:color w:val="16151D"/>
          <w:sz w:val="21"/>
          <w:szCs w:val="21"/>
          <w:lang w:val="es-MX"/>
        </w:rPr>
      </w:pPr>
      <w:r w:rsidRPr="00E160AE">
        <w:rPr>
          <w:rFonts w:ascii="Abadi" w:hAnsi="Abadi" w:cs="Cambria"/>
          <w:noProof/>
          <w:color w:val="16151D"/>
          <w:sz w:val="21"/>
          <w:szCs w:val="21"/>
          <w:lang w:val="es-MX"/>
        </w:rPr>
        <w:drawing>
          <wp:anchor distT="0" distB="0" distL="114300" distR="114300" simplePos="0" relativeHeight="251680768" behindDoc="1" locked="0" layoutInCell="1" allowOverlap="1" wp14:anchorId="4AEFACC6" wp14:editId="43A32DA3">
            <wp:simplePos x="0" y="0"/>
            <wp:positionH relativeFrom="column">
              <wp:posOffset>336082</wp:posOffset>
            </wp:positionH>
            <wp:positionV relativeFrom="paragraph">
              <wp:posOffset>92866</wp:posOffset>
            </wp:positionV>
            <wp:extent cx="1766618" cy="932382"/>
            <wp:effectExtent l="0" t="133350" r="0" b="725170"/>
            <wp:wrapTight wrapText="bothSides">
              <wp:wrapPolygon edited="0">
                <wp:start x="11180" y="-3090"/>
                <wp:lineTo x="0" y="-2207"/>
                <wp:lineTo x="0" y="22071"/>
                <wp:lineTo x="466" y="37962"/>
                <wp:lineTo x="3727" y="37962"/>
                <wp:lineTo x="3960" y="37079"/>
                <wp:lineTo x="20032" y="33106"/>
                <wp:lineTo x="20265" y="4856"/>
                <wp:lineTo x="19799" y="-1766"/>
                <wp:lineTo x="19799" y="-3090"/>
                <wp:lineTo x="11180" y="-309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b="6135"/>
                    <a:stretch/>
                  </pic:blipFill>
                  <pic:spPr bwMode="auto">
                    <a:xfrm>
                      <a:off x="0" y="0"/>
                      <a:ext cx="1766618" cy="932382"/>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72E2A7"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0B011BFC"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16DF6311"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720C9042"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1A107E65"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3DC17A37"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6A3AF17D"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64BBB690"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59959F5E" w14:textId="4FB6FC70"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39FF448E"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0E55BE06" w14:textId="77777777" w:rsidR="007509C8"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p>
    <w:p w14:paraId="318EE293" w14:textId="71A4E622" w:rsidR="00E84D71" w:rsidRDefault="007509C8"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¡Buenas tardes! a todos y todas, les saludo, así como a quienes no siguen por los medios electrónicos. Saludo a los representantes de los medios de comunicación y a todos ustedes, público presente, diputadas y diputados, con su permiso presidenta y de la mesa directiva. Sin duda, en este punto es importante reflexionar acerca del respeto a la legalidad, resulta criticable su transgresión en cualquier ámbito, pero resulta relevante quien cuando comete esta conducta es el órgano que crea las normas. La reflexión gira en torno al, porque la persistencia de traer a este Pleno, propuestas contrarias al marco legal que rigen a este Congreso, que además conllevan conductas contrarias a la lógica. </w:t>
      </w:r>
    </w:p>
    <w:p w14:paraId="5E1DA581" w14:textId="77777777" w:rsidR="00E84D71"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p>
    <w:p w14:paraId="07638376" w14:textId="32632925" w:rsidR="00E84D71"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Me explico, constitucionalmente todo acto legislativo se debe ceñir al principio de legalidad y, dentro de este, el del debido proceso legislativo, el punto de acuerdo en análisis, violenta de manera flagrante este principio, pues para la creación de comisiones especiales es necesario ceñirse a la Ley Orgánica de este Poder Legislativo, a saber, en los términos del artículo 72, corresponde de manera exclusiva a la Junta de Gobierno y Coordinación Política, entre otras, la de proponer al Pleno la integración de las Comisiones Legislativas Permanentes y Especiales. </w:t>
      </w:r>
    </w:p>
    <w:p w14:paraId="212E3DC5" w14:textId="77777777" w:rsidR="00E84D71"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p>
    <w:p w14:paraId="103891A4" w14:textId="26742ED9" w:rsid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De tal suerte, si bien cualquier diputado, diputada puede presentar puntos de acuerdo, también lo es que debe cuidar las competencias de los órganos creados por nosotros mismos en la Ley Orgánica de este Poder. </w:t>
      </w:r>
    </w:p>
    <w:p w14:paraId="5236016A" w14:textId="77777777" w:rsidR="003926C9" w:rsidRPr="00E160AE" w:rsidRDefault="003926C9" w:rsidP="00E160AE">
      <w:pPr>
        <w:kinsoku w:val="0"/>
        <w:overflowPunct w:val="0"/>
        <w:autoSpaceDE w:val="0"/>
        <w:autoSpaceDN w:val="0"/>
        <w:adjustRightInd w:val="0"/>
        <w:ind w:right="-1"/>
        <w:jc w:val="both"/>
        <w:rPr>
          <w:rFonts w:ascii="Abadi" w:hAnsi="Abadi" w:cs="Cambria"/>
          <w:color w:val="16151D"/>
          <w:sz w:val="21"/>
          <w:szCs w:val="21"/>
          <w:lang w:val="es-MX"/>
        </w:rPr>
      </w:pPr>
    </w:p>
    <w:p w14:paraId="6537EBE2" w14:textId="04970044" w:rsid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En este orden de ideas, la propuesta en comentó presenta defectos en la construcción normativa, al proponer de obvia resolución, un acto legislativo que sí y sólo si, corresponde su presentación a este Pleno a la Junta de Gobierno y Coordinación Política. Pensar lo contrario puede afectar gravemente la emisión del acto formal y material legislativo por no respetar el debido proceso. A mayor abundamiento, tenemos que en los términos del artículo 76 refiere el proceso a seguir cuando señala, que el Pleno elegirá los integrantes de las comisiones legislativas a propuesta de la Junta de Gobierno y Coordinación Política, en votación por cédula para la integración de las Comisiones Legislativas, la Junta de Gobierno con relación política, tomar en cuenta la popularidad y una serie de requisitos de </w:t>
      </w:r>
      <w:r w:rsidR="001E2A4A" w:rsidRPr="00E160AE">
        <w:rPr>
          <w:rFonts w:ascii="Abadi" w:hAnsi="Abadi" w:cs="Cambria"/>
          <w:color w:val="16151D"/>
          <w:sz w:val="21"/>
          <w:szCs w:val="21"/>
          <w:lang w:val="es-MX"/>
        </w:rPr>
        <w:t>una elemental lectura</w:t>
      </w:r>
      <w:r w:rsidR="00E160AE" w:rsidRPr="00E160AE">
        <w:rPr>
          <w:rFonts w:ascii="Abadi" w:hAnsi="Abadi" w:cs="Cambria"/>
          <w:color w:val="16151D"/>
          <w:sz w:val="21"/>
          <w:szCs w:val="21"/>
          <w:lang w:val="es-MX"/>
        </w:rPr>
        <w:t xml:space="preserve">. El punto de acuerdo solo señala su creación. Sin embargo, entre otras cosas, carece de quienes la integrará, quienes deban presidirla, fungir como secretario, cuáles serían sus atribuciones, su temporalidad, qué productos obtendrá, una serie de cuestiones. </w:t>
      </w:r>
    </w:p>
    <w:p w14:paraId="31156CEF" w14:textId="77777777" w:rsidR="00E84D71" w:rsidRP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p>
    <w:p w14:paraId="2D613CDB" w14:textId="57B21564" w:rsid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Continuo con este análisis, tenemos que resulta innecesario la constitución de la multicitada Comisión, además, por ciertas acciones que ya se han realizado y que se han comentado aquí en este Pleno y también en los diferentes medios, como lo es que en cierto momento las personas afectadas han contado con el acompañamiento del (IMIDA), también en congruencia con una política municipal en contra del mal uso de la fuerza pública, los actos de autoridad fuera del marco de la ley han sido reconocidos y sometidos a un escrutinio que deriva, según cada caso, en sanciones. En relación con lo anterior, se removió también, y lo conocimos, al Director General de la Policía Municipal, estrategia de la propia Presidenta Municipal por su autonomía y una serie de cuestiones. </w:t>
      </w:r>
    </w:p>
    <w:p w14:paraId="65EB7511" w14:textId="77777777" w:rsidR="00E84D71" w:rsidRP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p>
    <w:p w14:paraId="06686BCA" w14:textId="5CBCF28E" w:rsidR="00E160AE" w:rsidRP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También se ha suspendido sus labores operativas a las personas involucradas en los hechos identificados como mal uso de la fuerza, y también se ha solicitado que toda sanción que resulta aplicables impuestas cuidando el debido proceso acorde a la normativa aplicable. </w:t>
      </w:r>
    </w:p>
    <w:p w14:paraId="631147B2" w14:textId="77777777" w:rsidR="00E84D71"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p>
    <w:p w14:paraId="6EFBC9C5" w14:textId="5BCB5778" w:rsidR="00E160AE" w:rsidRP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También se está realizando una revisión al reglamento propuesto por Procuraduría de Derechos Humanos de Guanajuato, para garantizar la libre expresión y el buen desarrollo de las futuras manifestaciones. También lo sabemos, también se ha comentado. Estamos colaborando también con las autoridades competentes, es decir, la Fiscalía General, la Procuraduría; hemos estado viendo todos estos hechos. También se ha ordenado la realización de una un diagnóstico relativo a la capacitación recibida los servidores públicos que participaron en los hechos de este 1 de mayo pasado. </w:t>
      </w:r>
    </w:p>
    <w:p w14:paraId="08C1597D" w14:textId="77777777" w:rsidR="00E84D71"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p>
    <w:p w14:paraId="4C787CE8" w14:textId="1ACB6A7F" w:rsidR="00E160AE" w:rsidRP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También se han realizado diversas reuniones con mujeres, policías, organizaciones, las libres, por ejemplo, también lo mencionaron. En varias de las acciones ya realizadas se ha contado con el acompañamiento de los institutos de la mujer, tanto estatal como municipal, luego hemos visto también que el Procurador Estatal Derechos Humanos también ha manifestado y atendido los puntos en diversos momentos. </w:t>
      </w:r>
    </w:p>
    <w:p w14:paraId="61BD9C02" w14:textId="77777777" w:rsidR="00E84D71"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p>
    <w:p w14:paraId="455CB150" w14:textId="6961A32B" w:rsidR="00E160AE" w:rsidRP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Por lo cual considero importante que después de todo este peregrino argumento se justifica que este punto de acuerdo, pues se cae por su propio peso. </w:t>
      </w:r>
    </w:p>
    <w:p w14:paraId="19882BDD" w14:textId="77777777" w:rsidR="00E84D71"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p>
    <w:p w14:paraId="100B2C86" w14:textId="40B5CD0C" w:rsidR="00E160AE" w:rsidRPr="00E160AE" w:rsidRDefault="00E84D71"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Es cuanto Señora Presidenta. </w:t>
      </w:r>
    </w:p>
    <w:p w14:paraId="73469A70" w14:textId="7CE11D64" w:rsidR="00E84D71" w:rsidRDefault="00E84D71"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63317605" w14:textId="77777777" w:rsidR="003926C9" w:rsidRDefault="003926C9"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3C91AB1F" w14:textId="77777777" w:rsidR="00E40B75" w:rsidRDefault="00E84D71" w:rsidP="00E40B75">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00E160AE" w:rsidRPr="00E160AE">
        <w:rPr>
          <w:rFonts w:ascii="Abadi" w:hAnsi="Abadi" w:cs="Cambria"/>
          <w:b/>
          <w:bCs/>
          <w:color w:val="16151D"/>
          <w:sz w:val="21"/>
          <w:szCs w:val="21"/>
          <w:lang w:val="es-MX"/>
        </w:rPr>
        <w:t>La Presidencia.-</w:t>
      </w:r>
      <w:r w:rsidR="00E160AE" w:rsidRPr="00E160AE">
        <w:rPr>
          <w:rFonts w:ascii="Abadi" w:hAnsi="Abadi" w:cs="Cambria"/>
          <w:color w:val="16151D"/>
          <w:sz w:val="21"/>
          <w:szCs w:val="21"/>
          <w:lang w:val="es-MX"/>
        </w:rPr>
        <w:t xml:space="preserve"> Muchas gracias diputada. </w:t>
      </w:r>
    </w:p>
    <w:p w14:paraId="6BE4AAF2" w14:textId="77777777" w:rsidR="007B6DA8" w:rsidRDefault="007B6DA8" w:rsidP="00E40B75">
      <w:pPr>
        <w:kinsoku w:val="0"/>
        <w:overflowPunct w:val="0"/>
        <w:autoSpaceDE w:val="0"/>
        <w:autoSpaceDN w:val="0"/>
        <w:adjustRightInd w:val="0"/>
        <w:ind w:right="-1" w:firstLine="708"/>
        <w:jc w:val="both"/>
        <w:rPr>
          <w:rFonts w:ascii="Abadi" w:hAnsi="Abadi" w:cs="Cambria"/>
          <w:color w:val="16151D"/>
          <w:sz w:val="21"/>
          <w:szCs w:val="21"/>
          <w:lang w:val="es-MX"/>
        </w:rPr>
      </w:pPr>
    </w:p>
    <w:p w14:paraId="7E0FD9AB" w14:textId="2389789B" w:rsidR="00E160AE" w:rsidRPr="00E160AE" w:rsidRDefault="00E40B75" w:rsidP="00E40B75">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Diputado Ernesto Millán. ¿Para qué efecto? (Voz) diputado Ernesto Millán, rectificación de hechos. (Voz) diputada Presidenta. ¿Qué hechos diputado? (Voz) diputado Ernesto, legalidad. (Voz) diputada Presidenta.</w:t>
      </w:r>
    </w:p>
    <w:p w14:paraId="51878199" w14:textId="3ADA3D6F"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6173A516" w14:textId="77777777" w:rsidR="003926C9" w:rsidRDefault="003926C9" w:rsidP="00E160AE">
      <w:pPr>
        <w:kinsoku w:val="0"/>
        <w:overflowPunct w:val="0"/>
        <w:autoSpaceDE w:val="0"/>
        <w:autoSpaceDN w:val="0"/>
        <w:adjustRightInd w:val="0"/>
        <w:ind w:right="-1"/>
        <w:jc w:val="both"/>
        <w:rPr>
          <w:rFonts w:ascii="Abadi" w:hAnsi="Abadi" w:cs="Cambria"/>
          <w:color w:val="16151D"/>
          <w:sz w:val="21"/>
          <w:szCs w:val="21"/>
          <w:lang w:val="es-MX"/>
        </w:rPr>
      </w:pPr>
    </w:p>
    <w:p w14:paraId="411E6E6E" w14:textId="0EB504D8" w:rsidR="00E160AE" w:rsidRPr="00E160AE" w:rsidRDefault="007B6DA8" w:rsidP="007B6DA8">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Adelante, diputado.</w:t>
      </w:r>
    </w:p>
    <w:p w14:paraId="1DAC3BDE" w14:textId="7B897ED8"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64D42D49" w14:textId="77777777" w:rsidR="003926C9" w:rsidRDefault="003926C9" w:rsidP="00E160AE">
      <w:pPr>
        <w:kinsoku w:val="0"/>
        <w:overflowPunct w:val="0"/>
        <w:autoSpaceDE w:val="0"/>
        <w:autoSpaceDN w:val="0"/>
        <w:adjustRightInd w:val="0"/>
        <w:ind w:right="-1"/>
        <w:jc w:val="both"/>
        <w:rPr>
          <w:rFonts w:ascii="Abadi" w:hAnsi="Abadi" w:cs="Cambria"/>
          <w:color w:val="16151D"/>
          <w:sz w:val="21"/>
          <w:szCs w:val="21"/>
          <w:lang w:val="es-MX"/>
        </w:rPr>
      </w:pPr>
    </w:p>
    <w:p w14:paraId="477F4ECC" w14:textId="73818578" w:rsidR="00E160AE" w:rsidRDefault="007B6DA8" w:rsidP="007B6DA8">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Tiene la voz hasta por 5 minutos. Sí, sí, por 5 minutos. </w:t>
      </w:r>
    </w:p>
    <w:p w14:paraId="4AEA33EB" w14:textId="77777777" w:rsidR="007B6DA8" w:rsidRPr="00E160AE" w:rsidRDefault="007B6DA8" w:rsidP="007B6DA8">
      <w:pPr>
        <w:kinsoku w:val="0"/>
        <w:overflowPunct w:val="0"/>
        <w:autoSpaceDE w:val="0"/>
        <w:autoSpaceDN w:val="0"/>
        <w:adjustRightInd w:val="0"/>
        <w:ind w:right="-1" w:firstLine="708"/>
        <w:jc w:val="both"/>
        <w:rPr>
          <w:rFonts w:ascii="Abadi" w:hAnsi="Abadi" w:cs="Cambria"/>
          <w:color w:val="16151D"/>
          <w:sz w:val="21"/>
          <w:szCs w:val="21"/>
          <w:lang w:val="es-MX"/>
        </w:rPr>
      </w:pPr>
    </w:p>
    <w:p w14:paraId="79FEC3F8" w14:textId="77777777" w:rsidR="00E160AE" w:rsidRP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r w:rsidRPr="00E160AE">
        <w:rPr>
          <w:rFonts w:ascii="Abadi" w:hAnsi="Abadi" w:cs="Cambria"/>
          <w:b/>
          <w:bCs/>
          <w:color w:val="16151D"/>
          <w:sz w:val="21"/>
          <w:szCs w:val="21"/>
          <w:lang w:val="es-MX"/>
        </w:rPr>
        <w:t xml:space="preserve">(Sube a tribuna el diputado Ernesto Millán Soberanes, para rectificación de hechos de la persona que le antecedió respecto a «legalidad») </w:t>
      </w:r>
    </w:p>
    <w:p w14:paraId="3DB0F575" w14:textId="5433A197" w:rsidR="00E160AE" w:rsidRP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48C566CA" w14:textId="5BCAF7C5" w:rsidR="00E160AE" w:rsidRPr="00E160AE"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r w:rsidRPr="00E160AE">
        <w:rPr>
          <w:rFonts w:ascii="Abadi" w:hAnsi="Abadi" w:cs="Cambria"/>
          <w:noProof/>
          <w:color w:val="16151D"/>
          <w:sz w:val="21"/>
          <w:szCs w:val="21"/>
          <w:lang w:val="es-MX"/>
        </w:rPr>
        <w:drawing>
          <wp:anchor distT="0" distB="0" distL="114300" distR="114300" simplePos="0" relativeHeight="251681792" behindDoc="0" locked="0" layoutInCell="1" allowOverlap="1" wp14:anchorId="66C0E603" wp14:editId="0062AC53">
            <wp:simplePos x="0" y="0"/>
            <wp:positionH relativeFrom="column">
              <wp:posOffset>486410</wp:posOffset>
            </wp:positionH>
            <wp:positionV relativeFrom="paragraph">
              <wp:posOffset>145751</wp:posOffset>
            </wp:positionV>
            <wp:extent cx="1604010" cy="901700"/>
            <wp:effectExtent l="19050" t="133350" r="0" b="71755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4010" cy="90170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14:paraId="580532B1"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5A768BF0"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10E355A6"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7C598483"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113D932C"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7C081DF0"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405D906C"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4FACAB9A"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6A17AE1D"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18CE114C"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7723DB85"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7D070249"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¡Muy buenas tardes! compañeras, compañeros, medios de comunicación, que nos acompañan el día de hoy en esta tribuna, con la venia de la Presidenta y de la Mesa Directiva. </w:t>
      </w:r>
    </w:p>
    <w:p w14:paraId="595A2AD5"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7C9A8E15" w14:textId="5C94F3CF" w:rsidR="00E160AE" w:rsidRPr="00E160AE"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Bueno, es claro y obvio que si se retiraba la obvia por obviedad era que obviamente se le diera seguimiento en Junta de Gobierno, de la cual me honro de formar parte, que se le diera un seguimiento puntual para que se pudiera hacer la creación de esta Comisión Especial. Y hablan de legalidad, yo les pregunto ¿es en serio que se habla de legalidad en esta tribuna cuando violamos la Constitución del Estado para darle lugar y el cambio a la fecha del informe al Gobernador? ¿Es neta? </w:t>
      </w:r>
    </w:p>
    <w:p w14:paraId="28373950"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5049C978" w14:textId="3663A82B" w:rsidR="00E160AE" w:rsidRPr="00E160AE"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Dejémonos de oportunismos, esto es por los policías, esto es por las ciudadanas, ciudadanos, que estuvieron en los hechos del 1 de mayo, porque si no vamos a la interpretación del artículo 86, de que el Pleno también puede crear la Comisión. Ya ha habido antecedentes sobre la creación de comisiones especiales mediante acuerdos. Por eso propusimos, insisto, retirar la obvia resolución, para el efecto que se turnarán a la Junta de Gobierno. Pero todo parece indicar que seguimos o se pretende, se quiere, llegar al punto final de este punto de acuerdo, en que no pase de esta Comisión, que no se haga la creación de esta comisión, independientemente del seguimiento, que por obligación se le está dando el caso por parte supuestamente las autoridades municipales, pero todo parece indicar que el objetivo final es seguir protegiendo a la Presidenta Lorena Alfaro. </w:t>
      </w:r>
    </w:p>
    <w:p w14:paraId="7EEED6AD"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39C2EB84" w14:textId="688E5054" w:rsidR="00E160AE" w:rsidRPr="00E160AE"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Es cuánto gracias. </w:t>
      </w:r>
    </w:p>
    <w:p w14:paraId="597E589A" w14:textId="77777777" w:rsidR="007B6DA8" w:rsidRDefault="007B6DA8"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05D20883" w14:textId="022923D2" w:rsidR="00E160AE" w:rsidRPr="00E160AE" w:rsidRDefault="007B6DA8" w:rsidP="007B6DA8">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00E160AE" w:rsidRPr="00E160AE">
        <w:rPr>
          <w:rFonts w:ascii="Abadi" w:hAnsi="Abadi" w:cs="Cambria"/>
          <w:b/>
          <w:bCs/>
          <w:color w:val="16151D"/>
          <w:sz w:val="21"/>
          <w:szCs w:val="21"/>
          <w:lang w:val="es-MX"/>
        </w:rPr>
        <w:t>La Presidencia.-</w:t>
      </w:r>
      <w:r w:rsidR="00E160AE" w:rsidRPr="00E160AE">
        <w:rPr>
          <w:rFonts w:ascii="Abadi" w:hAnsi="Abadi" w:cs="Cambria"/>
          <w:color w:val="16151D"/>
          <w:sz w:val="21"/>
          <w:szCs w:val="21"/>
          <w:lang w:val="es-MX"/>
        </w:rPr>
        <w:t xml:space="preserve"> Gracias diputado. </w:t>
      </w:r>
    </w:p>
    <w:p w14:paraId="659D5018" w14:textId="70A5C970" w:rsid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r w:rsidRPr="00E160AE">
        <w:rPr>
          <w:rFonts w:ascii="Abadi" w:hAnsi="Abadi" w:cs="Cambria"/>
          <w:color w:val="16151D"/>
          <w:sz w:val="21"/>
          <w:szCs w:val="21"/>
          <w:lang w:val="es-MX"/>
        </w:rPr>
        <w:t xml:space="preserve">Diputada Susana Bermúdez ¿Para qué efecto? (Voz) diputada Bermúdez, rectificación de hechos (Voz) diputada Presidenta. ¿Qué hecho diputada? (Voz) diputada Bermúdez, respecto de los antecedentes de otras Comisiones Especiales (Voz) diputada Presidenta, tiene hasta 5 minutos en su participación. </w:t>
      </w:r>
    </w:p>
    <w:p w14:paraId="232DD216" w14:textId="77777777" w:rsidR="007B6DA8" w:rsidRPr="00E160AE"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5F16A5FF" w14:textId="2FE16E55" w:rsidR="00E160AE" w:rsidRDefault="00E160AE" w:rsidP="007B6DA8">
      <w:pPr>
        <w:pStyle w:val="Prrafodelista"/>
        <w:numPr>
          <w:ilvl w:val="0"/>
          <w:numId w:val="4"/>
        </w:numPr>
        <w:kinsoku w:val="0"/>
        <w:overflowPunct w:val="0"/>
        <w:autoSpaceDE w:val="0"/>
        <w:autoSpaceDN w:val="0"/>
        <w:adjustRightInd w:val="0"/>
        <w:ind w:right="-1"/>
        <w:jc w:val="both"/>
        <w:rPr>
          <w:rFonts w:ascii="Abadi" w:hAnsi="Abadi" w:cs="Cambria"/>
          <w:color w:val="16151D"/>
          <w:sz w:val="21"/>
          <w:szCs w:val="21"/>
          <w:lang w:val="es-MX"/>
        </w:rPr>
      </w:pPr>
      <w:r w:rsidRPr="007B6DA8">
        <w:rPr>
          <w:rFonts w:ascii="Abadi" w:hAnsi="Abadi" w:cs="Cambria"/>
          <w:color w:val="16151D"/>
          <w:sz w:val="21"/>
          <w:szCs w:val="21"/>
          <w:lang w:val="es-MX"/>
        </w:rPr>
        <w:t xml:space="preserve">Adelante. </w:t>
      </w:r>
    </w:p>
    <w:p w14:paraId="765292A2" w14:textId="77777777" w:rsidR="007B6DA8" w:rsidRPr="007B6DA8" w:rsidRDefault="007B6DA8" w:rsidP="007B6DA8">
      <w:pPr>
        <w:kinsoku w:val="0"/>
        <w:overflowPunct w:val="0"/>
        <w:autoSpaceDE w:val="0"/>
        <w:autoSpaceDN w:val="0"/>
        <w:adjustRightInd w:val="0"/>
        <w:ind w:right="-1"/>
        <w:jc w:val="both"/>
        <w:rPr>
          <w:rFonts w:ascii="Abadi" w:hAnsi="Abadi" w:cs="Cambria"/>
          <w:color w:val="16151D"/>
          <w:sz w:val="21"/>
          <w:szCs w:val="21"/>
          <w:lang w:val="es-MX"/>
        </w:rPr>
      </w:pPr>
    </w:p>
    <w:p w14:paraId="02EB1C74" w14:textId="7FA3A457" w:rsidR="00E160AE" w:rsidRP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r w:rsidRPr="00E160AE">
        <w:rPr>
          <w:rFonts w:ascii="Abadi" w:hAnsi="Abadi" w:cs="Cambria"/>
          <w:b/>
          <w:bCs/>
          <w:color w:val="16151D"/>
          <w:sz w:val="21"/>
          <w:szCs w:val="21"/>
          <w:lang w:val="es-MX"/>
        </w:rPr>
        <w:t>(Sube a tribuna la diputada Susana Bermúdez Cano para rectificación de hechos, de la persona quien le antecedió «respecto de los antecedentes de otras Comisiones Especiales»)</w:t>
      </w:r>
    </w:p>
    <w:p w14:paraId="10AF4870" w14:textId="1E9C92FE" w:rsidR="00E160AE" w:rsidRP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2F7AB04E" w14:textId="64F3CF5C" w:rsidR="00E160AE" w:rsidRP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10CA72FC" w14:textId="7866EE29" w:rsidR="00E160AE" w:rsidRPr="00E160AE" w:rsidRDefault="002D24DF" w:rsidP="00E160AE">
      <w:pPr>
        <w:kinsoku w:val="0"/>
        <w:overflowPunct w:val="0"/>
        <w:autoSpaceDE w:val="0"/>
        <w:autoSpaceDN w:val="0"/>
        <w:adjustRightInd w:val="0"/>
        <w:ind w:right="-1"/>
        <w:jc w:val="both"/>
        <w:rPr>
          <w:rFonts w:ascii="Abadi" w:hAnsi="Abadi" w:cs="Cambria"/>
          <w:color w:val="16151D"/>
          <w:sz w:val="21"/>
          <w:szCs w:val="21"/>
          <w:lang w:val="es-MX"/>
        </w:rPr>
      </w:pPr>
      <w:r w:rsidRPr="00E160AE">
        <w:rPr>
          <w:rFonts w:ascii="Abadi" w:hAnsi="Abadi" w:cs="Cambria"/>
          <w:noProof/>
          <w:color w:val="16151D"/>
          <w:sz w:val="21"/>
          <w:szCs w:val="21"/>
          <w:lang w:val="es-MX"/>
        </w:rPr>
        <w:drawing>
          <wp:anchor distT="0" distB="0" distL="114300" distR="114300" simplePos="0" relativeHeight="251682816" behindDoc="1" locked="0" layoutInCell="1" allowOverlap="1" wp14:anchorId="1A8CA2C1" wp14:editId="06827008">
            <wp:simplePos x="0" y="0"/>
            <wp:positionH relativeFrom="margin">
              <wp:posOffset>112802</wp:posOffset>
            </wp:positionH>
            <wp:positionV relativeFrom="paragraph">
              <wp:posOffset>76320</wp:posOffset>
            </wp:positionV>
            <wp:extent cx="1771650" cy="996315"/>
            <wp:effectExtent l="19050" t="133350" r="0" b="775335"/>
            <wp:wrapTight wrapText="bothSides">
              <wp:wrapPolygon edited="0">
                <wp:start x="9987" y="-2891"/>
                <wp:lineTo x="-232" y="-2065"/>
                <wp:lineTo x="232" y="37996"/>
                <wp:lineTo x="1626" y="37996"/>
                <wp:lineTo x="2323" y="37170"/>
                <wp:lineTo x="19974" y="31388"/>
                <wp:lineTo x="20206" y="4543"/>
                <wp:lineTo x="19510" y="-1652"/>
                <wp:lineTo x="19510" y="-2891"/>
                <wp:lineTo x="9987" y="-2891"/>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71650" cy="99631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14:paraId="41A9EE6F"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2F2CFDB4" w14:textId="6A66148B"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6C0DB303" w14:textId="629C01C5"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64996503"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58EFE874"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7ED9ABBA"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6CED3089"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5EE78D50"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4DA079ED"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5BB3E091"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076B24CC"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6BC505B8" w14:textId="30E3491C" w:rsidR="00E160AE" w:rsidRPr="00E160AE"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Únicamente para señalar que es falso que se hayan creado de esta manera aquí en Pleno y en la propuesta, ¡falso de toda falsedad! Pero suponiendo, sin conceder, que se le diera la atención a ese punto que solicita el diputado, pues sólo solicita la creación. De hecho, yo lo comenté que le hacía falta otras cuestiones. Entonces lo que sí pasa es que no pidan que se les corrija o que porque pues luego se suele hacer costumbre también que presentemos cualquier cosa aquí en Pleno pidiendo que se les corrigen el camino, ¿no? o sea, desde aquí hemos señalado cuál es el proceso y pues ya hasta parece cansado, como que se le dice que no se dice el fundamento, lo reconocen y luego dicen, pero si era posible, pues no. </w:t>
      </w:r>
    </w:p>
    <w:p w14:paraId="71391484"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007957B0" w14:textId="362CD6CC" w:rsidR="00E160AE" w:rsidRPr="00E160AE"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Entonces les pido de favor que votemos en contra de este punto. Gracias. </w:t>
      </w:r>
    </w:p>
    <w:p w14:paraId="485196F0" w14:textId="77777777" w:rsidR="007B6DA8" w:rsidRDefault="007B6DA8"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4A25A785" w14:textId="2C912E0F" w:rsidR="00E160AE" w:rsidRDefault="007B6DA8" w:rsidP="003926C9">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00E160AE" w:rsidRPr="00E160AE">
        <w:rPr>
          <w:rFonts w:ascii="Abadi" w:hAnsi="Abadi" w:cs="Cambria"/>
          <w:b/>
          <w:bCs/>
          <w:color w:val="16151D"/>
          <w:sz w:val="21"/>
          <w:szCs w:val="21"/>
          <w:lang w:val="es-MX"/>
        </w:rPr>
        <w:t>La Presidencia.-</w:t>
      </w:r>
      <w:r w:rsidR="00E160AE" w:rsidRPr="00E160AE">
        <w:rPr>
          <w:rFonts w:ascii="Abadi" w:hAnsi="Abadi" w:cs="Cambria"/>
          <w:color w:val="16151D"/>
          <w:sz w:val="21"/>
          <w:szCs w:val="21"/>
          <w:lang w:val="es-MX"/>
        </w:rPr>
        <w:t xml:space="preserve"> Gracias, diputada. </w:t>
      </w:r>
    </w:p>
    <w:p w14:paraId="58A0D2F5" w14:textId="77777777" w:rsidR="003926C9" w:rsidRPr="00E160AE" w:rsidRDefault="003926C9" w:rsidP="003926C9">
      <w:pPr>
        <w:kinsoku w:val="0"/>
        <w:overflowPunct w:val="0"/>
        <w:autoSpaceDE w:val="0"/>
        <w:autoSpaceDN w:val="0"/>
        <w:adjustRightInd w:val="0"/>
        <w:ind w:right="-1" w:firstLine="708"/>
        <w:jc w:val="both"/>
        <w:rPr>
          <w:rFonts w:ascii="Abadi" w:hAnsi="Abadi" w:cs="Cambria"/>
          <w:color w:val="16151D"/>
          <w:sz w:val="21"/>
          <w:szCs w:val="21"/>
          <w:lang w:val="es-MX"/>
        </w:rPr>
      </w:pPr>
    </w:p>
    <w:p w14:paraId="21987615" w14:textId="5AD1349E" w:rsidR="00E160AE" w:rsidRDefault="003926C9" w:rsidP="003926C9">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Es el turno del diputado Alejandro Arias, hasta por 10 minutos diputado. </w:t>
      </w:r>
    </w:p>
    <w:p w14:paraId="5004BD98" w14:textId="77777777" w:rsidR="007B6DA8" w:rsidRPr="00E160AE"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70F6BD9F" w14:textId="5FE11A32" w:rsidR="00E160AE" w:rsidRPr="007B6DA8" w:rsidRDefault="00E160AE" w:rsidP="007B6DA8">
      <w:pPr>
        <w:pStyle w:val="Prrafodelista"/>
        <w:numPr>
          <w:ilvl w:val="0"/>
          <w:numId w:val="4"/>
        </w:numPr>
        <w:kinsoku w:val="0"/>
        <w:overflowPunct w:val="0"/>
        <w:autoSpaceDE w:val="0"/>
        <w:autoSpaceDN w:val="0"/>
        <w:adjustRightInd w:val="0"/>
        <w:ind w:right="-1"/>
        <w:jc w:val="both"/>
        <w:rPr>
          <w:rFonts w:ascii="Abadi" w:hAnsi="Abadi" w:cs="Cambria"/>
          <w:color w:val="16151D"/>
          <w:sz w:val="21"/>
          <w:szCs w:val="21"/>
          <w:lang w:val="es-MX"/>
        </w:rPr>
      </w:pPr>
      <w:r w:rsidRPr="007B6DA8">
        <w:rPr>
          <w:rFonts w:ascii="Abadi" w:hAnsi="Abadi" w:cs="Cambria"/>
          <w:color w:val="16151D"/>
          <w:sz w:val="21"/>
          <w:szCs w:val="21"/>
          <w:lang w:val="es-MX"/>
        </w:rPr>
        <w:t xml:space="preserve">Adelante. </w:t>
      </w:r>
    </w:p>
    <w:p w14:paraId="16D776BF" w14:textId="77777777" w:rsidR="007B6DA8" w:rsidRDefault="007B6DA8"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44D56D3B" w14:textId="60EA47F5" w:rsidR="00E160AE" w:rsidRP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r w:rsidRPr="00E160AE">
        <w:rPr>
          <w:rFonts w:ascii="Abadi" w:hAnsi="Abadi" w:cs="Cambria"/>
          <w:b/>
          <w:bCs/>
          <w:color w:val="16151D"/>
          <w:sz w:val="21"/>
          <w:szCs w:val="21"/>
          <w:lang w:val="es-MX"/>
        </w:rPr>
        <w:t>(Sube a tribuna el diputado Alejandro Arias Ávila</w:t>
      </w:r>
      <w:r w:rsidRPr="00E160AE">
        <w:rPr>
          <w:rFonts w:ascii="Abadi" w:hAnsi="Abadi" w:cs="Cambria"/>
          <w:color w:val="16151D"/>
          <w:sz w:val="21"/>
          <w:szCs w:val="21"/>
          <w:lang w:val="es-MX"/>
        </w:rPr>
        <w:t xml:space="preserve"> </w:t>
      </w:r>
      <w:r w:rsidRPr="00E160AE">
        <w:rPr>
          <w:rFonts w:ascii="Abadi" w:hAnsi="Abadi" w:cs="Cambria"/>
          <w:b/>
          <w:bCs/>
          <w:color w:val="16151D"/>
          <w:sz w:val="21"/>
          <w:szCs w:val="21"/>
          <w:lang w:val="es-MX"/>
        </w:rPr>
        <w:t>para hablar en contra del punto de acuerdo de obvia resolución)</w:t>
      </w:r>
    </w:p>
    <w:p w14:paraId="4ACC3CA3" w14:textId="28CE6F8E" w:rsidR="00E160AE" w:rsidRPr="00E160AE" w:rsidRDefault="00E160AE"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183F08A4" w14:textId="77B4E301"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453B43BC" w14:textId="129A59C1" w:rsidR="00E160AE" w:rsidRPr="00E160AE" w:rsidRDefault="002D24DF" w:rsidP="00E160AE">
      <w:pPr>
        <w:kinsoku w:val="0"/>
        <w:overflowPunct w:val="0"/>
        <w:autoSpaceDE w:val="0"/>
        <w:autoSpaceDN w:val="0"/>
        <w:adjustRightInd w:val="0"/>
        <w:ind w:right="-1"/>
        <w:jc w:val="both"/>
        <w:rPr>
          <w:rFonts w:ascii="Abadi" w:hAnsi="Abadi" w:cs="Cambria"/>
          <w:b/>
          <w:bCs/>
          <w:color w:val="16151D"/>
          <w:sz w:val="21"/>
          <w:szCs w:val="21"/>
          <w:lang w:val="es-MX"/>
        </w:rPr>
      </w:pPr>
      <w:r w:rsidRPr="00E160AE">
        <w:rPr>
          <w:rFonts w:ascii="Abadi" w:hAnsi="Abadi" w:cs="Cambria"/>
          <w:noProof/>
          <w:color w:val="16151D"/>
          <w:sz w:val="21"/>
          <w:szCs w:val="21"/>
          <w:lang w:val="es-MX"/>
        </w:rPr>
        <w:drawing>
          <wp:anchor distT="0" distB="0" distL="114300" distR="114300" simplePos="0" relativeHeight="251683840" behindDoc="1" locked="0" layoutInCell="1" allowOverlap="1" wp14:anchorId="33F50418" wp14:editId="3335D3C8">
            <wp:simplePos x="0" y="0"/>
            <wp:positionH relativeFrom="column">
              <wp:posOffset>227534</wp:posOffset>
            </wp:positionH>
            <wp:positionV relativeFrom="paragraph">
              <wp:posOffset>121476</wp:posOffset>
            </wp:positionV>
            <wp:extent cx="1890375" cy="1063256"/>
            <wp:effectExtent l="0" t="114300" r="0" b="822960"/>
            <wp:wrapTight wrapText="bothSides">
              <wp:wrapPolygon edited="0">
                <wp:start x="218" y="-2323"/>
                <wp:lineTo x="0" y="23226"/>
                <wp:lineTo x="435" y="37935"/>
                <wp:lineTo x="1960" y="37935"/>
                <wp:lineTo x="2177" y="37161"/>
                <wp:lineTo x="13282" y="35613"/>
                <wp:lineTo x="15024" y="35613"/>
                <wp:lineTo x="20032" y="30968"/>
                <wp:lineTo x="20032" y="-2323"/>
                <wp:lineTo x="218" y="-2323"/>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90375" cy="1063256"/>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14:paraId="0DA25A11"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2865FEB1"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6BE88ED6"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53BC8CF8"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0378EF39"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p>
    <w:p w14:paraId="26A0A038" w14:textId="1A87DED2"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5EA83782"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52D1B788"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1B0E3752" w14:textId="356A5A9C"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4C22F487"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6ED9163C" w14:textId="77777777" w:rsidR="007B6DA8"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p>
    <w:p w14:paraId="517E0B1D" w14:textId="02083909" w:rsidR="00E160AE" w:rsidRPr="00E160AE" w:rsidRDefault="007B6DA8"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¡Buenas tardes! Compañeras compañeros, con la venia de la Presidenta, a los medios de comunicación. He solicitado el uso de la tribuna a efecto de hablar en contra del punto de acuerdo en base a las siguientes consideraciones: el desconocimiento de la ley no nos exime de su cumplimiento, en los procesos legislativos no existe la suplencia de la queja, desde la Sesión pasada que se abordó aquí el tema de los lamentables hechos ocurridos en la ciudad de Irapuato, el 1° de mayo del año actual, me pronuncié porque no sé partirizara, el tema de los hechos ocurridos en el municipio de Irapuato, ni los que acontecieron con el elemento de la Guardia Nacional, ni los de las manifestaciones y las agresiones que sufrieron algunas de las manifestantes. ¡Eh! Vuelvo a reiterar lo que en aquel entonces expuse. Es mejor encontrar puntos de coincidencia que de divergencia, no tratar de aprovechar los acontecimientos lamentables para obtener ventajas políticas. </w:t>
      </w:r>
    </w:p>
    <w:p w14:paraId="094812C9" w14:textId="77777777" w:rsidR="00A6435F" w:rsidRDefault="00A6435F" w:rsidP="00E160AE">
      <w:pPr>
        <w:kinsoku w:val="0"/>
        <w:overflowPunct w:val="0"/>
        <w:autoSpaceDE w:val="0"/>
        <w:autoSpaceDN w:val="0"/>
        <w:adjustRightInd w:val="0"/>
        <w:ind w:right="-1"/>
        <w:jc w:val="both"/>
        <w:rPr>
          <w:rFonts w:ascii="Abadi" w:hAnsi="Abadi" w:cs="Cambria"/>
          <w:color w:val="16151D"/>
          <w:sz w:val="21"/>
          <w:szCs w:val="21"/>
          <w:lang w:val="es-MX"/>
        </w:rPr>
      </w:pPr>
    </w:p>
    <w:p w14:paraId="3C248C67" w14:textId="7FBAF195" w:rsidR="003926C9" w:rsidRDefault="00A6435F"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En el caso en concreto, no es factible acompañar el punto porque es del dominio público, un hecho público y notorio, que en el caso de la manifestación ya se han iniciado acciones legales y administrativas para sancionar, para sancionar por los hechos a los presuntos responsables. Luego entonces no existe materia de sustento de la propuesta, por otro y es el más relevante, que es inviable jurídicamente y es el mismo dispositivo legal de la Ley Orgánica del Poder Legislativo, el que nos da la razón en el numeral 50, en el supuesto genérico que establece con meridiana claridad la competencia de los distintos órganos del Congreso del Estado, señala textualmente y determina “para el conocimiento, análisis y resolución y seguimiento de los asuntos de su competencia”, competencia, es decir, del Congreso del Estado. </w:t>
      </w:r>
    </w:p>
    <w:p w14:paraId="41D2D618" w14:textId="77777777" w:rsidR="003926C9" w:rsidRDefault="003926C9" w:rsidP="00E160AE">
      <w:pPr>
        <w:kinsoku w:val="0"/>
        <w:overflowPunct w:val="0"/>
        <w:autoSpaceDE w:val="0"/>
        <w:autoSpaceDN w:val="0"/>
        <w:adjustRightInd w:val="0"/>
        <w:ind w:right="-1"/>
        <w:jc w:val="both"/>
        <w:rPr>
          <w:rFonts w:ascii="Abadi" w:hAnsi="Abadi" w:cs="Cambria"/>
          <w:color w:val="16151D"/>
          <w:sz w:val="21"/>
          <w:szCs w:val="21"/>
          <w:lang w:val="es-MX"/>
        </w:rPr>
      </w:pPr>
    </w:p>
    <w:p w14:paraId="6B7D3438" w14:textId="4F440685" w:rsidR="00E160AE" w:rsidRPr="00E160AE" w:rsidRDefault="003926C9"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El Congreso funciona mediante el Pleno, la Mesa Directiva, Diputación Permanente, la Junta de Gobierno y Coordinación Política y las Comisiones Legislativas Permanentes, Unidas o Especiales. No se puede aplicar la norma de manera parcial y fuera de contexto, como se pretende en la propuesta, al señalar la fracción V del número al 50 ya invocado, porque él mismo no autoriza la creación de comisiones especiales, sino que señala la forma de su funcionamiento en temas de nuestra competencia y el de la propuesta, pues no lo es. Así se ratifica en lo dispuesto por el artículo 75 de la ley en la materia. No obstante, lo aquí expuesto, seguiremos desde nuestra actividad de representantes populares dando seguimiento a los hechos de los que deriva la propuesta. </w:t>
      </w:r>
    </w:p>
    <w:p w14:paraId="3F41E243" w14:textId="77777777" w:rsidR="00A6435F" w:rsidRDefault="00A6435F" w:rsidP="00E160AE">
      <w:pPr>
        <w:kinsoku w:val="0"/>
        <w:overflowPunct w:val="0"/>
        <w:autoSpaceDE w:val="0"/>
        <w:autoSpaceDN w:val="0"/>
        <w:adjustRightInd w:val="0"/>
        <w:ind w:right="-1"/>
        <w:jc w:val="both"/>
        <w:rPr>
          <w:rFonts w:ascii="Abadi" w:hAnsi="Abadi" w:cs="Cambria"/>
          <w:color w:val="16151D"/>
          <w:sz w:val="21"/>
          <w:szCs w:val="21"/>
          <w:lang w:val="es-MX"/>
        </w:rPr>
      </w:pPr>
    </w:p>
    <w:p w14:paraId="3D493CA2" w14:textId="42A35579" w:rsidR="00E160AE" w:rsidRPr="00E160AE" w:rsidRDefault="00A6435F"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Por estas razones es que nuestro voto será en contra del punto de acuerdo. </w:t>
      </w:r>
    </w:p>
    <w:p w14:paraId="47792CFE" w14:textId="77777777" w:rsidR="00A6435F" w:rsidRDefault="00A6435F" w:rsidP="00E160AE">
      <w:pPr>
        <w:kinsoku w:val="0"/>
        <w:overflowPunct w:val="0"/>
        <w:autoSpaceDE w:val="0"/>
        <w:autoSpaceDN w:val="0"/>
        <w:adjustRightInd w:val="0"/>
        <w:ind w:right="-1"/>
        <w:jc w:val="both"/>
        <w:rPr>
          <w:rFonts w:ascii="Abadi" w:hAnsi="Abadi" w:cs="Cambria"/>
          <w:color w:val="16151D"/>
          <w:sz w:val="21"/>
          <w:szCs w:val="21"/>
          <w:lang w:val="es-MX"/>
        </w:rPr>
      </w:pPr>
    </w:p>
    <w:p w14:paraId="3DA7E918" w14:textId="666EE5F7" w:rsidR="00E160AE" w:rsidRPr="00E160AE" w:rsidRDefault="00A6435F" w:rsidP="00E160AE">
      <w:pPr>
        <w:kinsoku w:val="0"/>
        <w:overflowPunct w:val="0"/>
        <w:autoSpaceDE w:val="0"/>
        <w:autoSpaceDN w:val="0"/>
        <w:adjustRightInd w:val="0"/>
        <w:ind w:right="-1"/>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Es cuánto, Presidenta.</w:t>
      </w:r>
    </w:p>
    <w:p w14:paraId="703CB71D" w14:textId="77777777" w:rsidR="00A6435F" w:rsidRDefault="00A6435F"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6DA61A2E" w14:textId="455646CC" w:rsidR="00E160AE" w:rsidRDefault="00A6435F" w:rsidP="00A6435F">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00E160AE" w:rsidRPr="00E160AE">
        <w:rPr>
          <w:rFonts w:ascii="Abadi" w:hAnsi="Abadi" w:cs="Cambria"/>
          <w:b/>
          <w:bCs/>
          <w:color w:val="16151D"/>
          <w:sz w:val="21"/>
          <w:szCs w:val="21"/>
          <w:lang w:val="es-MX"/>
        </w:rPr>
        <w:t>La Presidencia.-</w:t>
      </w:r>
      <w:r w:rsidR="00E160AE" w:rsidRPr="00E160AE">
        <w:rPr>
          <w:rFonts w:ascii="Abadi" w:hAnsi="Abadi" w:cs="Cambria"/>
          <w:color w:val="16151D"/>
          <w:sz w:val="21"/>
          <w:szCs w:val="21"/>
          <w:lang w:val="es-MX"/>
        </w:rPr>
        <w:t xml:space="preserve"> Agotadas las participaciones, se instruye a la secretaria para que en votación nominal, a través del sistema electrónico, pregunte a la asamblea sí es de aprobarse o no el punto de acuerdo. </w:t>
      </w:r>
    </w:p>
    <w:p w14:paraId="19E6CA84" w14:textId="77777777" w:rsidR="00A6435F" w:rsidRPr="00E160AE" w:rsidRDefault="00A6435F" w:rsidP="00A6435F">
      <w:pPr>
        <w:kinsoku w:val="0"/>
        <w:overflowPunct w:val="0"/>
        <w:autoSpaceDE w:val="0"/>
        <w:autoSpaceDN w:val="0"/>
        <w:adjustRightInd w:val="0"/>
        <w:ind w:right="-1" w:firstLine="708"/>
        <w:jc w:val="both"/>
        <w:rPr>
          <w:rFonts w:ascii="Abadi" w:hAnsi="Abadi" w:cs="Cambria"/>
          <w:color w:val="16151D"/>
          <w:sz w:val="21"/>
          <w:szCs w:val="21"/>
          <w:lang w:val="es-MX"/>
        </w:rPr>
      </w:pPr>
    </w:p>
    <w:p w14:paraId="18473619" w14:textId="45F3EB97" w:rsidR="00E160AE" w:rsidRPr="00E160AE" w:rsidRDefault="00E160AE" w:rsidP="00A6435F">
      <w:pPr>
        <w:kinsoku w:val="0"/>
        <w:overflowPunct w:val="0"/>
        <w:autoSpaceDE w:val="0"/>
        <w:autoSpaceDN w:val="0"/>
        <w:adjustRightInd w:val="0"/>
        <w:ind w:right="-1"/>
        <w:jc w:val="center"/>
        <w:rPr>
          <w:rFonts w:ascii="Abadi" w:hAnsi="Abadi" w:cs="Cambria"/>
          <w:b/>
          <w:bCs/>
          <w:color w:val="16151D"/>
          <w:sz w:val="21"/>
          <w:szCs w:val="21"/>
          <w:lang w:val="es-MX"/>
        </w:rPr>
      </w:pPr>
      <w:r w:rsidRPr="00E160AE">
        <w:rPr>
          <w:rFonts w:ascii="Abadi" w:hAnsi="Abadi" w:cs="Cambria"/>
          <w:b/>
          <w:bCs/>
          <w:color w:val="16151D"/>
          <w:sz w:val="21"/>
          <w:szCs w:val="21"/>
          <w:lang w:val="es-MX"/>
        </w:rPr>
        <w:t>(Se abre el sistema electrónico)</w:t>
      </w:r>
    </w:p>
    <w:p w14:paraId="11D5CB94" w14:textId="77777777" w:rsidR="00A6435F" w:rsidRDefault="00A6435F"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7EF31965" w14:textId="506C1F06" w:rsidR="00E160AE" w:rsidRDefault="00A6435F" w:rsidP="00A6435F">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00E160AE" w:rsidRPr="00E160AE">
        <w:rPr>
          <w:rFonts w:ascii="Abadi" w:hAnsi="Abadi" w:cs="Cambria"/>
          <w:b/>
          <w:bCs/>
          <w:color w:val="16151D"/>
          <w:sz w:val="21"/>
          <w:szCs w:val="21"/>
          <w:lang w:val="es-MX"/>
        </w:rPr>
        <w:t>La Secretaria.-</w:t>
      </w:r>
      <w:r w:rsidR="00E160AE" w:rsidRPr="00E160AE">
        <w:rPr>
          <w:rFonts w:ascii="Abadi" w:hAnsi="Abadi" w:cs="Cambria"/>
          <w:color w:val="16151D"/>
          <w:sz w:val="21"/>
          <w:szCs w:val="21"/>
          <w:lang w:val="es-MX"/>
        </w:rPr>
        <w:t xml:space="preserve"> En votación nominal por el sistema electrónico, se pregunta a las diputadas y los diputados si se aprueba el punto de acuerdo puesto a su consideración.</w:t>
      </w:r>
    </w:p>
    <w:p w14:paraId="5EEF0DE2" w14:textId="77777777" w:rsidR="003926C9" w:rsidRPr="00E160AE" w:rsidRDefault="003926C9" w:rsidP="00A6435F">
      <w:pPr>
        <w:kinsoku w:val="0"/>
        <w:overflowPunct w:val="0"/>
        <w:autoSpaceDE w:val="0"/>
        <w:autoSpaceDN w:val="0"/>
        <w:adjustRightInd w:val="0"/>
        <w:ind w:right="-1" w:firstLine="708"/>
        <w:jc w:val="both"/>
        <w:rPr>
          <w:rFonts w:ascii="Abadi" w:hAnsi="Abadi" w:cs="Cambria"/>
          <w:color w:val="16151D"/>
          <w:sz w:val="21"/>
          <w:szCs w:val="21"/>
          <w:lang w:val="es-MX"/>
        </w:rPr>
      </w:pPr>
    </w:p>
    <w:p w14:paraId="4F22405C" w14:textId="77777777" w:rsidR="00E160AE" w:rsidRPr="00E160AE" w:rsidRDefault="00E160AE" w:rsidP="00E160AE">
      <w:pPr>
        <w:kinsoku w:val="0"/>
        <w:overflowPunct w:val="0"/>
        <w:autoSpaceDE w:val="0"/>
        <w:autoSpaceDN w:val="0"/>
        <w:adjustRightInd w:val="0"/>
        <w:ind w:right="-1"/>
        <w:jc w:val="both"/>
        <w:rPr>
          <w:rFonts w:ascii="Abadi" w:hAnsi="Abadi" w:cs="Cambria"/>
          <w:color w:val="16151D"/>
          <w:sz w:val="21"/>
          <w:szCs w:val="21"/>
          <w:lang w:val="es-MX"/>
        </w:rPr>
      </w:pPr>
      <w:r w:rsidRPr="00E160AE">
        <w:rPr>
          <w:rFonts w:ascii="Abadi" w:hAnsi="Abadi" w:cs="Cambria"/>
          <w:color w:val="16151D"/>
          <w:sz w:val="21"/>
          <w:szCs w:val="21"/>
          <w:lang w:val="es-MX"/>
        </w:rPr>
        <w:t xml:space="preserve">¿Falta alguna diputada o algún diputado de emitir su voto? </w:t>
      </w:r>
    </w:p>
    <w:p w14:paraId="36126A50" w14:textId="739CA967" w:rsidR="00A6435F" w:rsidRDefault="00A6435F" w:rsidP="00E160AE">
      <w:pPr>
        <w:kinsoku w:val="0"/>
        <w:overflowPunct w:val="0"/>
        <w:autoSpaceDE w:val="0"/>
        <w:autoSpaceDN w:val="0"/>
        <w:adjustRightInd w:val="0"/>
        <w:ind w:right="-1"/>
        <w:jc w:val="both"/>
        <w:rPr>
          <w:rFonts w:ascii="Abadi" w:hAnsi="Abadi" w:cs="Cambria"/>
          <w:b/>
          <w:bCs/>
          <w:color w:val="16151D"/>
          <w:sz w:val="21"/>
          <w:szCs w:val="21"/>
          <w:lang w:val="es-MX"/>
        </w:rPr>
      </w:pPr>
    </w:p>
    <w:p w14:paraId="1FD586E6" w14:textId="79A400C9" w:rsidR="00E160AE" w:rsidRPr="00E160AE" w:rsidRDefault="00A6435F" w:rsidP="007354A2">
      <w:pPr>
        <w:kinsoku w:val="0"/>
        <w:overflowPunct w:val="0"/>
        <w:autoSpaceDE w:val="0"/>
        <w:autoSpaceDN w:val="0"/>
        <w:adjustRightInd w:val="0"/>
        <w:ind w:right="-1"/>
        <w:jc w:val="center"/>
        <w:rPr>
          <w:rFonts w:ascii="Abadi" w:hAnsi="Abadi" w:cs="Cambria"/>
          <w:b/>
          <w:bCs/>
          <w:color w:val="16151D"/>
          <w:sz w:val="21"/>
          <w:szCs w:val="21"/>
          <w:lang w:val="es-MX"/>
        </w:rPr>
      </w:pPr>
      <w:r w:rsidRPr="00E160AE">
        <w:rPr>
          <w:rFonts w:ascii="Abadi" w:hAnsi="Abadi" w:cs="Cambria"/>
          <w:noProof/>
          <w:color w:val="16151D"/>
          <w:sz w:val="21"/>
          <w:szCs w:val="21"/>
          <w:lang w:val="es-MX"/>
        </w:rPr>
        <w:drawing>
          <wp:anchor distT="0" distB="0" distL="114300" distR="114300" simplePos="0" relativeHeight="251684864" behindDoc="1" locked="0" layoutInCell="1" allowOverlap="1" wp14:anchorId="09CC6B1C" wp14:editId="01E6ED17">
            <wp:simplePos x="0" y="0"/>
            <wp:positionH relativeFrom="margin">
              <wp:align>left</wp:align>
            </wp:positionH>
            <wp:positionV relativeFrom="paragraph">
              <wp:posOffset>307340</wp:posOffset>
            </wp:positionV>
            <wp:extent cx="2098675" cy="1179830"/>
            <wp:effectExtent l="152400" t="152400" r="358775" b="363220"/>
            <wp:wrapTight wrapText="bothSides">
              <wp:wrapPolygon edited="0">
                <wp:start x="784" y="-2790"/>
                <wp:lineTo x="-1569" y="-2093"/>
                <wp:lineTo x="-1569" y="23018"/>
                <wp:lineTo x="-392" y="25808"/>
                <wp:lineTo x="1765" y="27203"/>
                <wp:lineTo x="1961" y="27901"/>
                <wp:lineTo x="21567" y="27901"/>
                <wp:lineTo x="21763" y="27203"/>
                <wp:lineTo x="23920" y="25808"/>
                <wp:lineTo x="25097" y="20577"/>
                <wp:lineTo x="25097" y="3488"/>
                <wp:lineTo x="22744" y="-1744"/>
                <wp:lineTo x="22548" y="-2790"/>
                <wp:lineTo x="784" y="-279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02025" cy="118206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160AE" w:rsidRPr="00E160AE">
        <w:rPr>
          <w:rFonts w:ascii="Abadi" w:hAnsi="Abadi" w:cs="Cambria"/>
          <w:b/>
          <w:bCs/>
          <w:color w:val="16151D"/>
          <w:sz w:val="21"/>
          <w:szCs w:val="21"/>
          <w:lang w:val="es-MX"/>
        </w:rPr>
        <w:t>(Se cierra el sistema electrónico)</w:t>
      </w:r>
    </w:p>
    <w:p w14:paraId="04FA6C05" w14:textId="77777777" w:rsidR="007354A2" w:rsidRDefault="007354A2" w:rsidP="007354A2">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b/>
          <w:bCs/>
          <w:color w:val="16151D"/>
          <w:sz w:val="21"/>
          <w:szCs w:val="21"/>
          <w:lang w:val="es-MX"/>
        </w:rPr>
        <w:t xml:space="preserve">- </w:t>
      </w:r>
      <w:r w:rsidR="00E160AE" w:rsidRPr="00E160AE">
        <w:rPr>
          <w:rFonts w:ascii="Abadi" w:hAnsi="Abadi" w:cs="Cambria"/>
          <w:b/>
          <w:bCs/>
          <w:color w:val="16151D"/>
          <w:sz w:val="21"/>
          <w:szCs w:val="21"/>
          <w:lang w:val="es-MX"/>
        </w:rPr>
        <w:t>La Secretaria.-</w:t>
      </w:r>
      <w:r w:rsidR="00E160AE" w:rsidRPr="00E160AE">
        <w:rPr>
          <w:rFonts w:ascii="Abadi" w:hAnsi="Abadi" w:cs="Cambria"/>
          <w:color w:val="16151D"/>
          <w:sz w:val="21"/>
          <w:szCs w:val="21"/>
          <w:lang w:val="es-MX"/>
        </w:rPr>
        <w:t xml:space="preserve"> Se registraron 24 votos en contra, 10 votos a favor. </w:t>
      </w:r>
    </w:p>
    <w:p w14:paraId="0F7985B5" w14:textId="77777777" w:rsidR="007354A2" w:rsidRDefault="007354A2" w:rsidP="007354A2">
      <w:pPr>
        <w:kinsoku w:val="0"/>
        <w:overflowPunct w:val="0"/>
        <w:autoSpaceDE w:val="0"/>
        <w:autoSpaceDN w:val="0"/>
        <w:adjustRightInd w:val="0"/>
        <w:ind w:right="-1" w:firstLine="708"/>
        <w:jc w:val="both"/>
        <w:rPr>
          <w:rFonts w:ascii="Abadi" w:hAnsi="Abadi" w:cs="Cambria"/>
          <w:color w:val="16151D"/>
          <w:sz w:val="21"/>
          <w:szCs w:val="21"/>
          <w:lang w:val="es-MX"/>
        </w:rPr>
      </w:pPr>
    </w:p>
    <w:p w14:paraId="581778BE" w14:textId="77777777" w:rsidR="007354A2" w:rsidRDefault="007354A2" w:rsidP="007354A2">
      <w:pPr>
        <w:kinsoku w:val="0"/>
        <w:overflowPunct w:val="0"/>
        <w:autoSpaceDE w:val="0"/>
        <w:autoSpaceDN w:val="0"/>
        <w:adjustRightInd w:val="0"/>
        <w:ind w:right="-1" w:firstLine="708"/>
        <w:jc w:val="both"/>
        <w:rPr>
          <w:rFonts w:ascii="Abadi" w:hAnsi="Abadi" w:cs="Cambria"/>
          <w:color w:val="16151D"/>
          <w:sz w:val="21"/>
          <w:szCs w:val="21"/>
          <w:lang w:val="es-MX"/>
        </w:rPr>
      </w:pPr>
      <w:r>
        <w:rPr>
          <w:rFonts w:ascii="Abadi" w:hAnsi="Abadi" w:cs="Cambria"/>
          <w:color w:val="16151D"/>
          <w:sz w:val="21"/>
          <w:szCs w:val="21"/>
          <w:lang w:val="es-MX"/>
        </w:rPr>
        <w:t xml:space="preserve">- </w:t>
      </w:r>
      <w:r w:rsidR="00E160AE" w:rsidRPr="00E160AE">
        <w:rPr>
          <w:rFonts w:ascii="Abadi" w:hAnsi="Abadi" w:cs="Cambria"/>
          <w:b/>
          <w:bCs/>
          <w:color w:val="16151D"/>
          <w:sz w:val="21"/>
          <w:szCs w:val="21"/>
          <w:lang w:val="es-MX"/>
        </w:rPr>
        <w:t>La presidencia.-</w:t>
      </w:r>
      <w:r w:rsidR="00E160AE" w:rsidRPr="00E160AE">
        <w:rPr>
          <w:rFonts w:ascii="Abadi" w:hAnsi="Abadi" w:cs="Cambria"/>
          <w:color w:val="16151D"/>
          <w:sz w:val="21"/>
          <w:szCs w:val="21"/>
          <w:lang w:val="es-MX"/>
        </w:rPr>
        <w:t xml:space="preserve"> El punto de acuerdo no ha sido aprobado por mayoría de votos. </w:t>
      </w:r>
    </w:p>
    <w:p w14:paraId="3EC3E9CF" w14:textId="77777777" w:rsidR="007354A2" w:rsidRDefault="007354A2" w:rsidP="007354A2">
      <w:pPr>
        <w:kinsoku w:val="0"/>
        <w:overflowPunct w:val="0"/>
        <w:autoSpaceDE w:val="0"/>
        <w:autoSpaceDN w:val="0"/>
        <w:adjustRightInd w:val="0"/>
        <w:ind w:right="-1" w:firstLine="708"/>
        <w:jc w:val="both"/>
        <w:rPr>
          <w:rFonts w:ascii="Abadi" w:hAnsi="Abadi" w:cs="Cambria"/>
          <w:color w:val="16151D"/>
          <w:sz w:val="21"/>
          <w:szCs w:val="21"/>
          <w:lang w:val="es-MX"/>
        </w:rPr>
      </w:pPr>
    </w:p>
    <w:p w14:paraId="03CA76E6" w14:textId="74461F68" w:rsidR="00E160AE" w:rsidRDefault="007354A2" w:rsidP="007354A2">
      <w:pPr>
        <w:kinsoku w:val="0"/>
        <w:overflowPunct w:val="0"/>
        <w:autoSpaceDE w:val="0"/>
        <w:autoSpaceDN w:val="0"/>
        <w:adjustRightInd w:val="0"/>
        <w:ind w:right="-1" w:firstLine="708"/>
        <w:jc w:val="both"/>
        <w:rPr>
          <w:rFonts w:ascii="Abadi" w:hAnsi="Abadi" w:cs="Cambria"/>
          <w:b/>
          <w:bCs/>
          <w:color w:val="16151D"/>
          <w:sz w:val="21"/>
          <w:szCs w:val="21"/>
          <w:u w:val="single"/>
          <w:lang w:val="es-MX"/>
        </w:rPr>
      </w:pPr>
      <w:r>
        <w:rPr>
          <w:rFonts w:ascii="Abadi" w:hAnsi="Abadi" w:cs="Cambria"/>
          <w:color w:val="16151D"/>
          <w:sz w:val="21"/>
          <w:szCs w:val="21"/>
          <w:lang w:val="es-MX"/>
        </w:rPr>
        <w:t xml:space="preserve">- </w:t>
      </w:r>
      <w:r w:rsidR="00E160AE" w:rsidRPr="00E160AE">
        <w:rPr>
          <w:rFonts w:ascii="Abadi" w:hAnsi="Abadi" w:cs="Cambria"/>
          <w:color w:val="16151D"/>
          <w:sz w:val="21"/>
          <w:szCs w:val="21"/>
          <w:lang w:val="es-MX"/>
        </w:rPr>
        <w:t xml:space="preserve">En virtud de no haberse aprobado la propuesta, </w:t>
      </w:r>
      <w:r w:rsidR="00E160AE" w:rsidRPr="00E160AE">
        <w:rPr>
          <w:rFonts w:ascii="Abadi" w:hAnsi="Abadi" w:cs="Cambria"/>
          <w:b/>
          <w:bCs/>
          <w:color w:val="16151D"/>
          <w:sz w:val="21"/>
          <w:szCs w:val="21"/>
          <w:u w:val="single"/>
          <w:lang w:val="es-MX"/>
        </w:rPr>
        <w:t xml:space="preserve">procede el archivo de la misma, instruyendo para tal efecto a la Secretaría General. </w:t>
      </w:r>
    </w:p>
    <w:p w14:paraId="412FBD2F" w14:textId="5F799D32" w:rsidR="00AE5343" w:rsidRDefault="00AE5343" w:rsidP="007354A2">
      <w:pPr>
        <w:kinsoku w:val="0"/>
        <w:overflowPunct w:val="0"/>
        <w:autoSpaceDE w:val="0"/>
        <w:autoSpaceDN w:val="0"/>
        <w:adjustRightInd w:val="0"/>
        <w:ind w:right="-1" w:firstLine="708"/>
        <w:jc w:val="both"/>
        <w:rPr>
          <w:rFonts w:ascii="Abadi" w:hAnsi="Abadi" w:cs="Cambria"/>
          <w:b/>
          <w:bCs/>
          <w:color w:val="16151D"/>
          <w:sz w:val="21"/>
          <w:szCs w:val="21"/>
          <w:u w:val="single"/>
          <w:lang w:val="es-MX"/>
        </w:rPr>
      </w:pPr>
    </w:p>
    <w:p w14:paraId="5790814C" w14:textId="5DBD1D4B" w:rsidR="00AE5343" w:rsidRDefault="00AE5343" w:rsidP="007354A2">
      <w:pPr>
        <w:kinsoku w:val="0"/>
        <w:overflowPunct w:val="0"/>
        <w:autoSpaceDE w:val="0"/>
        <w:autoSpaceDN w:val="0"/>
        <w:adjustRightInd w:val="0"/>
        <w:ind w:right="-1" w:firstLine="708"/>
        <w:jc w:val="both"/>
        <w:rPr>
          <w:rFonts w:ascii="Abadi" w:hAnsi="Abadi" w:cs="Cambria"/>
          <w:b/>
          <w:bCs/>
          <w:color w:val="16151D"/>
          <w:sz w:val="21"/>
          <w:szCs w:val="21"/>
          <w:u w:val="single"/>
          <w:lang w:val="es-MX"/>
        </w:rPr>
      </w:pPr>
    </w:p>
    <w:p w14:paraId="4AF6398B" w14:textId="77777777" w:rsidR="00AE5343" w:rsidRDefault="00AE5343" w:rsidP="00AE5343">
      <w:pPr>
        <w:ind w:firstLine="708"/>
        <w:jc w:val="both"/>
        <w:rPr>
          <w:rFonts w:ascii="Abadi" w:hAnsi="Abadi"/>
          <w:sz w:val="21"/>
          <w:szCs w:val="21"/>
        </w:rPr>
      </w:pPr>
      <w:r>
        <w:rPr>
          <w:b/>
          <w:bCs/>
        </w:rPr>
        <w:t xml:space="preserve">- </w:t>
      </w:r>
      <w:r w:rsidRPr="00550996">
        <w:rPr>
          <w:rFonts w:ascii="Abadi" w:hAnsi="Abadi"/>
          <w:b/>
          <w:bCs/>
          <w:sz w:val="21"/>
          <w:szCs w:val="21"/>
        </w:rPr>
        <w:t>La Presidencia.-</w:t>
      </w:r>
      <w:r w:rsidRPr="00550996">
        <w:rPr>
          <w:rFonts w:ascii="Abadi" w:hAnsi="Abadi"/>
          <w:sz w:val="21"/>
          <w:szCs w:val="21"/>
        </w:rPr>
        <w:t xml:space="preserve"> Con el objeto de agilizar el trámite parlamentario de los asuntos agendados en los puntos de 14 al 30 del orden del día y en virtud de haberse proporcionado con anticipación, así como encontrarse en la Gaceta Parlamentaria. </w:t>
      </w:r>
    </w:p>
    <w:p w14:paraId="630A6AFA" w14:textId="77777777" w:rsidR="00AE5343" w:rsidRPr="00550996" w:rsidRDefault="00AE5343" w:rsidP="00AE5343">
      <w:pPr>
        <w:ind w:firstLine="708"/>
        <w:jc w:val="both"/>
        <w:rPr>
          <w:rFonts w:ascii="Abadi" w:hAnsi="Abadi"/>
          <w:sz w:val="21"/>
          <w:szCs w:val="21"/>
        </w:rPr>
      </w:pPr>
    </w:p>
    <w:p w14:paraId="21B6DEBA" w14:textId="77777777" w:rsidR="00AE5343" w:rsidRDefault="00AE5343" w:rsidP="00AE5343">
      <w:pPr>
        <w:ind w:firstLine="708"/>
        <w:jc w:val="both"/>
        <w:rPr>
          <w:rFonts w:ascii="Abadi" w:hAnsi="Abadi"/>
          <w:sz w:val="21"/>
          <w:szCs w:val="21"/>
        </w:rPr>
      </w:pPr>
      <w:r>
        <w:rPr>
          <w:rFonts w:ascii="Abadi" w:hAnsi="Abadi"/>
          <w:sz w:val="21"/>
          <w:szCs w:val="21"/>
        </w:rPr>
        <w:t xml:space="preserve">- </w:t>
      </w:r>
      <w:r w:rsidRPr="00550996">
        <w:rPr>
          <w:rFonts w:ascii="Abadi" w:hAnsi="Abadi"/>
          <w:sz w:val="21"/>
          <w:szCs w:val="21"/>
        </w:rPr>
        <w:t xml:space="preserve">Esta presidencia propone se dispense la lectura de los mismos, de igual forma, se propone que los dictámenes emitidos por la Comisión de Hacienda y Fiscalización agendados de los puntos del 23 al 30 del orden del día sean sometidos y posterior votación a un solo acto. </w:t>
      </w:r>
    </w:p>
    <w:p w14:paraId="7F8B3A3E" w14:textId="77777777" w:rsidR="00AE5343" w:rsidRPr="00550996" w:rsidRDefault="00AE5343" w:rsidP="00AE5343">
      <w:pPr>
        <w:jc w:val="both"/>
        <w:rPr>
          <w:rFonts w:ascii="Abadi" w:hAnsi="Abadi"/>
          <w:sz w:val="21"/>
          <w:szCs w:val="21"/>
        </w:rPr>
      </w:pPr>
    </w:p>
    <w:p w14:paraId="1B4650F7" w14:textId="77777777" w:rsidR="00AE5343" w:rsidRPr="007B6DFF" w:rsidRDefault="00AE5343" w:rsidP="00AE5343">
      <w:pPr>
        <w:pStyle w:val="Prrafodelista"/>
        <w:numPr>
          <w:ilvl w:val="0"/>
          <w:numId w:val="4"/>
        </w:numPr>
        <w:ind w:left="0" w:firstLine="633"/>
        <w:jc w:val="both"/>
        <w:rPr>
          <w:rFonts w:ascii="Abadi" w:hAnsi="Abadi"/>
          <w:sz w:val="21"/>
          <w:szCs w:val="21"/>
        </w:rPr>
      </w:pPr>
      <w:r w:rsidRPr="007B6DFF">
        <w:rPr>
          <w:rFonts w:ascii="Abadi" w:hAnsi="Abadi"/>
          <w:sz w:val="21"/>
          <w:szCs w:val="21"/>
        </w:rPr>
        <w:t xml:space="preserve">La propuesta está a consideración de la Asamblea. </w:t>
      </w:r>
    </w:p>
    <w:p w14:paraId="739CD1B1" w14:textId="77777777" w:rsidR="00AE5343" w:rsidRDefault="00AE5343" w:rsidP="00AE5343">
      <w:pPr>
        <w:jc w:val="both"/>
        <w:rPr>
          <w:rFonts w:ascii="Abadi" w:hAnsi="Abadi"/>
          <w:sz w:val="21"/>
          <w:szCs w:val="21"/>
        </w:rPr>
      </w:pPr>
    </w:p>
    <w:p w14:paraId="62257BD2" w14:textId="77777777" w:rsidR="00AE5343" w:rsidRPr="007B6DFF" w:rsidRDefault="00AE5343" w:rsidP="00AE5343">
      <w:pPr>
        <w:pStyle w:val="Prrafodelista"/>
        <w:ind w:left="0" w:firstLine="633"/>
        <w:jc w:val="both"/>
        <w:rPr>
          <w:rFonts w:ascii="Abadi" w:hAnsi="Abadi"/>
          <w:sz w:val="21"/>
          <w:szCs w:val="21"/>
        </w:rPr>
      </w:pPr>
      <w:r>
        <w:rPr>
          <w:rFonts w:ascii="Abadi" w:hAnsi="Abadi"/>
          <w:sz w:val="21"/>
          <w:szCs w:val="21"/>
        </w:rPr>
        <w:t xml:space="preserve">- </w:t>
      </w:r>
      <w:r w:rsidRPr="007B6DFF">
        <w:rPr>
          <w:rFonts w:ascii="Abadi" w:hAnsi="Abadi"/>
          <w:sz w:val="21"/>
          <w:szCs w:val="21"/>
        </w:rPr>
        <w:t xml:space="preserve">Si alguna diputada o algún diputado desea hacer uso de la palabra, manifiesten lo ha esta Presidencia. </w:t>
      </w:r>
    </w:p>
    <w:p w14:paraId="530BFF54" w14:textId="77777777" w:rsidR="00AE5343" w:rsidRPr="00550996" w:rsidRDefault="00AE5343" w:rsidP="00AE5343">
      <w:pPr>
        <w:pStyle w:val="Prrafodelista"/>
        <w:ind w:left="1069" w:hanging="502"/>
        <w:jc w:val="both"/>
        <w:rPr>
          <w:rFonts w:ascii="Abadi" w:hAnsi="Abadi"/>
          <w:sz w:val="21"/>
          <w:szCs w:val="21"/>
        </w:rPr>
      </w:pPr>
    </w:p>
    <w:p w14:paraId="0E4F23C4" w14:textId="77777777" w:rsidR="00AE5343" w:rsidRDefault="00AE5343" w:rsidP="00AE5343">
      <w:pPr>
        <w:ind w:firstLine="708"/>
        <w:jc w:val="both"/>
        <w:rPr>
          <w:rFonts w:ascii="Abadi" w:hAnsi="Abadi"/>
          <w:sz w:val="21"/>
          <w:szCs w:val="21"/>
        </w:rPr>
      </w:pPr>
      <w:r>
        <w:rPr>
          <w:rFonts w:ascii="Abadi" w:hAnsi="Abadi"/>
          <w:sz w:val="21"/>
          <w:szCs w:val="21"/>
        </w:rPr>
        <w:t xml:space="preserve">- </w:t>
      </w:r>
      <w:r w:rsidRPr="00550996">
        <w:rPr>
          <w:rFonts w:ascii="Abadi" w:hAnsi="Abadi"/>
          <w:sz w:val="21"/>
          <w:szCs w:val="21"/>
        </w:rPr>
        <w:t>No habiendo intervenciones se pide a la Secretaria que, en votación económica, a través del sistema electrónico, pregunte a la Asamblea si se aprueba la propuesta; y</w:t>
      </w:r>
    </w:p>
    <w:p w14:paraId="0D1BDF69" w14:textId="77777777" w:rsidR="00AE5343" w:rsidRPr="00550996" w:rsidRDefault="00AE5343" w:rsidP="00AE5343">
      <w:pPr>
        <w:jc w:val="both"/>
        <w:rPr>
          <w:rFonts w:ascii="Abadi" w:hAnsi="Abadi"/>
          <w:sz w:val="21"/>
          <w:szCs w:val="21"/>
        </w:rPr>
      </w:pPr>
    </w:p>
    <w:p w14:paraId="01568462" w14:textId="77777777" w:rsidR="00AE5343" w:rsidRPr="00550996" w:rsidRDefault="00AE5343" w:rsidP="00AE5343">
      <w:pPr>
        <w:jc w:val="center"/>
        <w:rPr>
          <w:rFonts w:ascii="Abadi" w:hAnsi="Abadi"/>
          <w:sz w:val="21"/>
          <w:szCs w:val="21"/>
        </w:rPr>
      </w:pPr>
      <w:r w:rsidRPr="00550996">
        <w:rPr>
          <w:rFonts w:ascii="Abadi" w:hAnsi="Abadi"/>
          <w:b/>
          <w:bCs/>
          <w:sz w:val="21"/>
          <w:szCs w:val="21"/>
        </w:rPr>
        <w:t>(Se abre el sistema electrónico)</w:t>
      </w:r>
    </w:p>
    <w:p w14:paraId="6F2150C8" w14:textId="77777777" w:rsidR="00AE5343" w:rsidRDefault="00AE5343" w:rsidP="00AE5343">
      <w:pPr>
        <w:jc w:val="both"/>
        <w:rPr>
          <w:rFonts w:ascii="Abadi" w:hAnsi="Abadi"/>
          <w:b/>
          <w:bCs/>
          <w:sz w:val="21"/>
          <w:szCs w:val="21"/>
        </w:rPr>
      </w:pPr>
    </w:p>
    <w:p w14:paraId="6C24F6CD" w14:textId="77777777" w:rsidR="00AE5343" w:rsidRDefault="00AE5343" w:rsidP="00AE5343">
      <w:pPr>
        <w:ind w:firstLine="708"/>
        <w:jc w:val="both"/>
        <w:rPr>
          <w:rFonts w:ascii="Abadi" w:hAnsi="Abadi"/>
          <w:sz w:val="21"/>
          <w:szCs w:val="21"/>
        </w:rPr>
      </w:pPr>
      <w:r>
        <w:rPr>
          <w:rFonts w:ascii="Abadi" w:hAnsi="Abadi"/>
          <w:b/>
          <w:bCs/>
          <w:sz w:val="21"/>
          <w:szCs w:val="21"/>
        </w:rPr>
        <w:t xml:space="preserve">- </w:t>
      </w:r>
      <w:r w:rsidRPr="00550996">
        <w:rPr>
          <w:rFonts w:ascii="Abadi" w:hAnsi="Abadi"/>
          <w:b/>
          <w:bCs/>
          <w:sz w:val="21"/>
          <w:szCs w:val="21"/>
        </w:rPr>
        <w:t>La Secretaria.</w:t>
      </w:r>
      <w:r w:rsidRPr="00550996">
        <w:rPr>
          <w:rFonts w:ascii="Abadi" w:hAnsi="Abadi"/>
          <w:sz w:val="21"/>
          <w:szCs w:val="21"/>
        </w:rPr>
        <w:t>- Por instrucciones de la Presidencia se pregunta al Pleno, en votación económica, por el sistema electrónico, si se aprueba la propuesta que nos ocupa.</w:t>
      </w:r>
    </w:p>
    <w:p w14:paraId="611CFC4C" w14:textId="77777777" w:rsidR="00AE5343" w:rsidRPr="00550996" w:rsidRDefault="00AE5343" w:rsidP="00AE5343">
      <w:pPr>
        <w:jc w:val="both"/>
        <w:rPr>
          <w:rFonts w:ascii="Abadi" w:hAnsi="Abadi"/>
          <w:sz w:val="21"/>
          <w:szCs w:val="21"/>
        </w:rPr>
      </w:pPr>
    </w:p>
    <w:p w14:paraId="3007EA1E" w14:textId="77777777" w:rsidR="00AE5343" w:rsidRDefault="00AE5343" w:rsidP="00AE5343">
      <w:pPr>
        <w:jc w:val="both"/>
        <w:rPr>
          <w:rFonts w:ascii="Abadi" w:hAnsi="Abadi"/>
          <w:sz w:val="21"/>
          <w:szCs w:val="21"/>
        </w:rPr>
      </w:pPr>
      <w:r w:rsidRPr="00550996">
        <w:rPr>
          <w:rFonts w:ascii="Abadi" w:hAnsi="Abadi"/>
          <w:sz w:val="21"/>
          <w:szCs w:val="21"/>
        </w:rPr>
        <w:t>¿Falta alguna diputada o algún diputado de emitir su voto?</w:t>
      </w:r>
    </w:p>
    <w:p w14:paraId="3AAD5A10" w14:textId="77777777" w:rsidR="00AE5343" w:rsidRDefault="00AE5343" w:rsidP="00AE5343">
      <w:pPr>
        <w:jc w:val="both"/>
        <w:rPr>
          <w:rFonts w:ascii="Abadi" w:hAnsi="Abadi"/>
          <w:sz w:val="21"/>
          <w:szCs w:val="21"/>
        </w:rPr>
      </w:pPr>
    </w:p>
    <w:p w14:paraId="2764F77F" w14:textId="77777777" w:rsidR="00AE5343" w:rsidRDefault="00AE5343" w:rsidP="00AE5343">
      <w:pPr>
        <w:jc w:val="both"/>
        <w:rPr>
          <w:rFonts w:ascii="Abadi" w:hAnsi="Abadi"/>
          <w:sz w:val="21"/>
          <w:szCs w:val="21"/>
        </w:rPr>
      </w:pPr>
    </w:p>
    <w:p w14:paraId="2CF67321" w14:textId="77777777" w:rsidR="00AE5343" w:rsidRPr="00550996" w:rsidRDefault="00AE5343" w:rsidP="00AE5343">
      <w:pPr>
        <w:jc w:val="center"/>
        <w:rPr>
          <w:rFonts w:ascii="Abadi" w:hAnsi="Abadi"/>
          <w:b/>
          <w:bCs/>
          <w:sz w:val="21"/>
          <w:szCs w:val="21"/>
        </w:rPr>
      </w:pPr>
      <w:r w:rsidRPr="00550996">
        <w:rPr>
          <w:rFonts w:ascii="Abadi" w:hAnsi="Abadi"/>
          <w:b/>
          <w:bCs/>
          <w:sz w:val="21"/>
          <w:szCs w:val="21"/>
        </w:rPr>
        <w:t>(Se cierra el sistema electrónico)</w:t>
      </w:r>
    </w:p>
    <w:p w14:paraId="05AB9142" w14:textId="77777777" w:rsidR="00AE5343" w:rsidRPr="00550996" w:rsidRDefault="00AE5343" w:rsidP="00AE5343">
      <w:pPr>
        <w:jc w:val="center"/>
        <w:rPr>
          <w:rFonts w:ascii="Abadi" w:hAnsi="Abadi"/>
          <w:b/>
          <w:bCs/>
          <w:sz w:val="21"/>
          <w:szCs w:val="21"/>
        </w:rPr>
      </w:pPr>
    </w:p>
    <w:p w14:paraId="21F04368" w14:textId="77777777" w:rsidR="00AE5343" w:rsidRPr="00550996" w:rsidRDefault="00AE5343" w:rsidP="00AE5343">
      <w:pPr>
        <w:jc w:val="both"/>
        <w:rPr>
          <w:rFonts w:ascii="Abadi" w:hAnsi="Abadi"/>
          <w:sz w:val="21"/>
          <w:szCs w:val="21"/>
        </w:rPr>
      </w:pPr>
      <w:r w:rsidRPr="00550996">
        <w:rPr>
          <w:rFonts w:ascii="Abadi" w:hAnsi="Abadi"/>
          <w:noProof/>
          <w:sz w:val="21"/>
          <w:szCs w:val="21"/>
        </w:rPr>
        <w:drawing>
          <wp:inline distT="0" distB="0" distL="0" distR="0" wp14:anchorId="79097568" wp14:editId="7AEA21FF">
            <wp:extent cx="2097946" cy="1064226"/>
            <wp:effectExtent l="152400" t="171450" r="340995" b="365125"/>
            <wp:docPr id="57" name="Imagen 57"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Interfaz de usuario gráfica, Texto, Sitio web&#10;&#10;Descripción generada automáticamente"/>
                    <pic:cNvPicPr/>
                  </pic:nvPicPr>
                  <pic:blipFill rotWithShape="1">
                    <a:blip r:embed="rId48"/>
                    <a:srcRect l="21441" t="24535" r="36562" b="37589"/>
                    <a:stretch/>
                  </pic:blipFill>
                  <pic:spPr bwMode="auto">
                    <a:xfrm>
                      <a:off x="0" y="0"/>
                      <a:ext cx="2111560" cy="107113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956A9A0" w14:textId="77777777" w:rsidR="00AE5343" w:rsidRDefault="00AE5343" w:rsidP="00AE5343">
      <w:pPr>
        <w:ind w:firstLine="708"/>
        <w:jc w:val="both"/>
        <w:rPr>
          <w:rFonts w:ascii="Abadi" w:hAnsi="Abadi"/>
          <w:sz w:val="21"/>
          <w:szCs w:val="21"/>
        </w:rPr>
      </w:pPr>
      <w:r>
        <w:rPr>
          <w:rFonts w:ascii="Abadi" w:hAnsi="Abadi"/>
          <w:b/>
          <w:bCs/>
          <w:sz w:val="21"/>
          <w:szCs w:val="21"/>
        </w:rPr>
        <w:t xml:space="preserve">- </w:t>
      </w:r>
      <w:r w:rsidRPr="00550996">
        <w:rPr>
          <w:rFonts w:ascii="Abadi" w:hAnsi="Abadi"/>
          <w:b/>
          <w:bCs/>
          <w:sz w:val="21"/>
          <w:szCs w:val="21"/>
        </w:rPr>
        <w:t>La Secretaría.</w:t>
      </w:r>
      <w:r w:rsidRPr="00550996">
        <w:rPr>
          <w:rFonts w:ascii="Abadi" w:hAnsi="Abadi"/>
          <w:sz w:val="21"/>
          <w:szCs w:val="21"/>
        </w:rPr>
        <w:t xml:space="preserve"> - Se registraron 34 votos a favor. </w:t>
      </w:r>
    </w:p>
    <w:p w14:paraId="2CB6257C" w14:textId="77777777" w:rsidR="00AE5343" w:rsidRPr="00550996" w:rsidRDefault="00AE5343" w:rsidP="00AE5343">
      <w:pPr>
        <w:jc w:val="both"/>
        <w:rPr>
          <w:rFonts w:ascii="Abadi" w:hAnsi="Abadi"/>
          <w:sz w:val="21"/>
          <w:szCs w:val="21"/>
        </w:rPr>
      </w:pPr>
    </w:p>
    <w:p w14:paraId="62C8CF06" w14:textId="77777777" w:rsidR="00AE5343" w:rsidRPr="00550996" w:rsidRDefault="00AE5343" w:rsidP="00AE5343">
      <w:pPr>
        <w:ind w:firstLine="708"/>
        <w:jc w:val="both"/>
        <w:rPr>
          <w:rFonts w:ascii="Abadi" w:hAnsi="Abadi"/>
          <w:sz w:val="21"/>
          <w:szCs w:val="21"/>
        </w:rPr>
      </w:pPr>
      <w:r>
        <w:rPr>
          <w:rFonts w:ascii="Abadi" w:hAnsi="Abadi"/>
          <w:b/>
          <w:bCs/>
          <w:sz w:val="21"/>
          <w:szCs w:val="21"/>
        </w:rPr>
        <w:t xml:space="preserve">- </w:t>
      </w:r>
      <w:r w:rsidRPr="00550996">
        <w:rPr>
          <w:rFonts w:ascii="Abadi" w:hAnsi="Abadi"/>
          <w:b/>
          <w:bCs/>
          <w:sz w:val="21"/>
          <w:szCs w:val="21"/>
        </w:rPr>
        <w:t>La Presidencia. -</w:t>
      </w:r>
      <w:r w:rsidRPr="00550996">
        <w:rPr>
          <w:rFonts w:ascii="Abadi" w:hAnsi="Abadi"/>
          <w:sz w:val="21"/>
          <w:szCs w:val="21"/>
        </w:rPr>
        <w:t xml:space="preserve"> La propuesta ha sido aprobada por unanimidad de votos.</w:t>
      </w:r>
    </w:p>
    <w:p w14:paraId="4CBB163C" w14:textId="77777777" w:rsidR="00AE5343" w:rsidRPr="00550996" w:rsidRDefault="00AE5343" w:rsidP="00AE5343">
      <w:pPr>
        <w:jc w:val="both"/>
        <w:rPr>
          <w:rFonts w:ascii="Abadi" w:hAnsi="Abadi"/>
          <w:sz w:val="21"/>
          <w:szCs w:val="21"/>
        </w:rPr>
      </w:pPr>
    </w:p>
    <w:p w14:paraId="4050DBB5" w14:textId="77777777" w:rsidR="00AE5343" w:rsidRPr="00550996" w:rsidRDefault="00AE5343" w:rsidP="00AE5343">
      <w:pPr>
        <w:ind w:firstLine="426"/>
        <w:jc w:val="both"/>
        <w:rPr>
          <w:rFonts w:ascii="Abadi" w:hAnsi="Abadi"/>
          <w:sz w:val="21"/>
          <w:szCs w:val="21"/>
        </w:rPr>
      </w:pPr>
      <w:r>
        <w:rPr>
          <w:rFonts w:ascii="Abadi" w:hAnsi="Abadi"/>
          <w:sz w:val="21"/>
          <w:szCs w:val="21"/>
        </w:rPr>
        <w:t xml:space="preserve">- </w:t>
      </w:r>
      <w:r w:rsidRPr="00550996">
        <w:rPr>
          <w:rFonts w:ascii="Abadi" w:hAnsi="Abadi"/>
          <w:sz w:val="21"/>
          <w:szCs w:val="21"/>
        </w:rPr>
        <w:t>Bajo estos términos, continuaremos con el desahogo del orden del día.</w:t>
      </w:r>
    </w:p>
    <w:p w14:paraId="46F14606" w14:textId="77777777" w:rsidR="00F31084" w:rsidRPr="0087430C" w:rsidRDefault="00F31084" w:rsidP="0087430C">
      <w:pPr>
        <w:autoSpaceDE w:val="0"/>
        <w:autoSpaceDN w:val="0"/>
        <w:adjustRightInd w:val="0"/>
        <w:jc w:val="both"/>
        <w:rPr>
          <w:rFonts w:ascii="Abadi" w:hAnsi="Abadi" w:cs="ArialMT"/>
          <w:b/>
          <w:bCs/>
          <w:sz w:val="20"/>
          <w:szCs w:val="21"/>
        </w:rPr>
      </w:pPr>
    </w:p>
    <w:p w14:paraId="4ED8CA88" w14:textId="6A84C75F" w:rsidR="006F3002" w:rsidRPr="00293312" w:rsidRDefault="006F3002" w:rsidP="006F3002">
      <w:pPr>
        <w:autoSpaceDE w:val="0"/>
        <w:autoSpaceDN w:val="0"/>
        <w:adjustRightInd w:val="0"/>
        <w:ind w:left="426" w:firstLine="60"/>
        <w:jc w:val="both"/>
        <w:rPr>
          <w:rFonts w:ascii="Abadi" w:hAnsi="Abadi" w:cs="Arial-BoldMT"/>
          <w:b/>
          <w:bCs/>
          <w:sz w:val="20"/>
          <w:szCs w:val="21"/>
        </w:rPr>
      </w:pPr>
    </w:p>
    <w:p w14:paraId="6DDE9DFE" w14:textId="6750E564"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PRESENTACIÓN DEL INFORME DE LOS CONCEPTOS GENERALES DE LOS ESTADOS FINANCIEROS DE LOS RECURSOS PRESUPUESTALES Y LAS TRANSFERENCIAS Y AJUSTES PRESUPUESTALES, CORRESPONDIENTE AL PERIODO COMPRENDIDO DEL 1 AL 31 DE MARZO DEL AÑO EN CURSO, FORMULADO POR LA COMISIÓN DE ADMINISTRACIÓN Y, EN SU CASO, APROBACIÓN DEL MISMO.</w:t>
      </w:r>
    </w:p>
    <w:p w14:paraId="4B79EC69" w14:textId="77777777" w:rsidR="00013F88" w:rsidRPr="00013F88" w:rsidRDefault="00013F88" w:rsidP="00013F88">
      <w:pPr>
        <w:pStyle w:val="Prrafodelista"/>
        <w:rPr>
          <w:rFonts w:ascii="Abadi" w:hAnsi="Abadi" w:cs="ArialMT"/>
          <w:b/>
          <w:bCs/>
          <w:sz w:val="20"/>
          <w:szCs w:val="21"/>
        </w:rPr>
      </w:pPr>
    </w:p>
    <w:p w14:paraId="257D1ACD" w14:textId="7DB24EB3" w:rsidR="00013F88" w:rsidRDefault="00013F88" w:rsidP="00013F88">
      <w:pPr>
        <w:autoSpaceDE w:val="0"/>
        <w:autoSpaceDN w:val="0"/>
        <w:adjustRightInd w:val="0"/>
        <w:jc w:val="both"/>
        <w:rPr>
          <w:rFonts w:ascii="Abadi" w:hAnsi="Abadi" w:cs="ArialMT"/>
          <w:b/>
          <w:bCs/>
          <w:sz w:val="20"/>
          <w:szCs w:val="21"/>
        </w:rPr>
      </w:pPr>
    </w:p>
    <w:p w14:paraId="6A93D5A9" w14:textId="34C215B1" w:rsidR="00013F88"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«2022 Año del Festival Internacional Cervantino, 50 años de diálogo cultural»</w:t>
      </w:r>
    </w:p>
    <w:p w14:paraId="14C6FED2" w14:textId="77777777" w:rsidR="00013F88" w:rsidRPr="008E5343" w:rsidRDefault="00013F88" w:rsidP="00013F88">
      <w:pPr>
        <w:autoSpaceDE w:val="0"/>
        <w:autoSpaceDN w:val="0"/>
        <w:adjustRightInd w:val="0"/>
        <w:jc w:val="both"/>
        <w:rPr>
          <w:rFonts w:ascii="Abadi" w:hAnsi="Abadi" w:cs="Arial"/>
          <w:b/>
          <w:bCs/>
          <w:sz w:val="21"/>
          <w:szCs w:val="21"/>
        </w:rPr>
      </w:pPr>
    </w:p>
    <w:p w14:paraId="4478A889" w14:textId="77777777" w:rsidR="00013F88" w:rsidRPr="008E5343" w:rsidRDefault="00013F88" w:rsidP="00013F88">
      <w:pPr>
        <w:autoSpaceDE w:val="0"/>
        <w:autoSpaceDN w:val="0"/>
        <w:adjustRightInd w:val="0"/>
        <w:jc w:val="both"/>
        <w:rPr>
          <w:rFonts w:ascii="Abadi" w:hAnsi="Abadi" w:cs="Arial"/>
          <w:b/>
          <w:bCs/>
          <w:sz w:val="21"/>
          <w:szCs w:val="21"/>
        </w:rPr>
      </w:pPr>
      <w:r>
        <w:rPr>
          <w:rFonts w:ascii="Abadi" w:hAnsi="Abadi" w:cs="Arial"/>
          <w:b/>
          <w:bCs/>
          <w:sz w:val="21"/>
          <w:szCs w:val="21"/>
        </w:rPr>
        <w:t>«</w:t>
      </w:r>
      <w:r w:rsidRPr="008E5343">
        <w:rPr>
          <w:rFonts w:ascii="Abadi" w:hAnsi="Abadi" w:cs="Arial"/>
          <w:b/>
          <w:bCs/>
          <w:sz w:val="21"/>
          <w:szCs w:val="21"/>
        </w:rPr>
        <w:t xml:space="preserve">Bicentenario de la instalación de la excelentísima Diputación Provincial de Guanajuato, </w:t>
      </w:r>
      <w:r>
        <w:rPr>
          <w:rFonts w:ascii="Abadi" w:hAnsi="Abadi" w:cs="Arial"/>
          <w:b/>
          <w:bCs/>
          <w:sz w:val="21"/>
          <w:szCs w:val="21"/>
        </w:rPr>
        <w:t>1</w:t>
      </w:r>
      <w:r w:rsidRPr="008E5343">
        <w:rPr>
          <w:rFonts w:ascii="Abadi" w:hAnsi="Abadi" w:cs="Arial"/>
          <w:b/>
          <w:bCs/>
          <w:sz w:val="21"/>
          <w:szCs w:val="21"/>
        </w:rPr>
        <w:t>822-1824»</w:t>
      </w:r>
    </w:p>
    <w:p w14:paraId="63E65813" w14:textId="77777777" w:rsidR="00013F88" w:rsidRPr="008E5343" w:rsidRDefault="00013F88" w:rsidP="00013F88">
      <w:pPr>
        <w:autoSpaceDE w:val="0"/>
        <w:autoSpaceDN w:val="0"/>
        <w:adjustRightInd w:val="0"/>
        <w:jc w:val="both"/>
        <w:rPr>
          <w:rFonts w:ascii="Abadi" w:hAnsi="Abadi" w:cs="Arial"/>
          <w:b/>
          <w:bCs/>
          <w:sz w:val="21"/>
          <w:szCs w:val="21"/>
        </w:rPr>
      </w:pPr>
    </w:p>
    <w:p w14:paraId="16CDB59C" w14:textId="77777777" w:rsidR="00013F88" w:rsidRPr="008E5343" w:rsidRDefault="00013F88" w:rsidP="00013F88">
      <w:pPr>
        <w:autoSpaceDE w:val="0"/>
        <w:autoSpaceDN w:val="0"/>
        <w:adjustRightInd w:val="0"/>
        <w:jc w:val="right"/>
        <w:rPr>
          <w:rFonts w:ascii="Abadi" w:hAnsi="Abadi" w:cs="Arial"/>
          <w:b/>
          <w:bCs/>
          <w:sz w:val="21"/>
          <w:szCs w:val="21"/>
        </w:rPr>
      </w:pPr>
      <w:r w:rsidRPr="008E5343">
        <w:rPr>
          <w:rFonts w:ascii="Abadi" w:hAnsi="Abadi" w:cs="Arial"/>
          <w:b/>
          <w:bCs/>
          <w:sz w:val="21"/>
          <w:szCs w:val="21"/>
        </w:rPr>
        <w:t>OFICIO: LXV/CA09/124/2022.</w:t>
      </w:r>
    </w:p>
    <w:p w14:paraId="6CBCD9F1" w14:textId="77777777" w:rsidR="00013F88" w:rsidRPr="008E5343" w:rsidRDefault="00013F88" w:rsidP="00013F88">
      <w:pPr>
        <w:autoSpaceDE w:val="0"/>
        <w:autoSpaceDN w:val="0"/>
        <w:adjustRightInd w:val="0"/>
        <w:jc w:val="right"/>
        <w:rPr>
          <w:rFonts w:ascii="Abadi" w:hAnsi="Abadi" w:cs="Arial"/>
          <w:b/>
          <w:bCs/>
          <w:sz w:val="21"/>
          <w:szCs w:val="21"/>
        </w:rPr>
      </w:pPr>
      <w:r w:rsidRPr="008E5343">
        <w:rPr>
          <w:rFonts w:ascii="Abadi" w:hAnsi="Abadi" w:cs="Arial"/>
          <w:sz w:val="21"/>
          <w:szCs w:val="21"/>
        </w:rPr>
        <w:t>Guanajuato, Gto., a 3 de mayo de 2022.</w:t>
      </w:r>
    </w:p>
    <w:p w14:paraId="2401DC34" w14:textId="77777777" w:rsidR="00013F88" w:rsidRPr="008E5343" w:rsidRDefault="00013F88" w:rsidP="00013F88">
      <w:pPr>
        <w:autoSpaceDE w:val="0"/>
        <w:autoSpaceDN w:val="0"/>
        <w:adjustRightInd w:val="0"/>
        <w:jc w:val="right"/>
        <w:rPr>
          <w:rFonts w:ascii="Abadi" w:hAnsi="Abadi" w:cs="Arial"/>
          <w:b/>
          <w:bCs/>
          <w:sz w:val="21"/>
          <w:szCs w:val="21"/>
        </w:rPr>
      </w:pPr>
    </w:p>
    <w:p w14:paraId="76696EDC"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Diputada</w:t>
      </w:r>
    </w:p>
    <w:p w14:paraId="45CEE210"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Irma Leticia González Sánchez</w:t>
      </w:r>
    </w:p>
    <w:p w14:paraId="2CC34845"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Presidenta del Honorable Congreso</w:t>
      </w:r>
    </w:p>
    <w:p w14:paraId="5AB84B58"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del Estado de Guanajuato</w:t>
      </w:r>
    </w:p>
    <w:p w14:paraId="6B2F455C"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Presente.</w:t>
      </w:r>
    </w:p>
    <w:p w14:paraId="0F84C4D3" w14:textId="77777777" w:rsidR="00013F88" w:rsidRDefault="00013F88" w:rsidP="00013F88">
      <w:pPr>
        <w:autoSpaceDE w:val="0"/>
        <w:autoSpaceDN w:val="0"/>
        <w:adjustRightInd w:val="0"/>
        <w:jc w:val="both"/>
        <w:rPr>
          <w:rFonts w:ascii="Abadi" w:hAnsi="Abadi" w:cs="Arial"/>
          <w:sz w:val="21"/>
          <w:szCs w:val="21"/>
        </w:rPr>
      </w:pPr>
    </w:p>
    <w:p w14:paraId="737F836E" w14:textId="374B953D" w:rsidR="00013F88" w:rsidRDefault="00013F88" w:rsidP="00013F88">
      <w:pPr>
        <w:autoSpaceDE w:val="0"/>
        <w:autoSpaceDN w:val="0"/>
        <w:adjustRightInd w:val="0"/>
        <w:jc w:val="both"/>
        <w:rPr>
          <w:rFonts w:ascii="Abadi" w:hAnsi="Abadi" w:cs="Arial"/>
          <w:sz w:val="21"/>
          <w:szCs w:val="21"/>
        </w:rPr>
      </w:pPr>
      <w:r w:rsidRPr="008E5343">
        <w:rPr>
          <w:rFonts w:ascii="Abadi" w:hAnsi="Abadi" w:cs="Arial"/>
          <w:sz w:val="21"/>
          <w:szCs w:val="21"/>
        </w:rPr>
        <w:t>En cumplimiento a lo dispuesto en el artículo 102, fracción II de la Ley Orgánica del Poder</w:t>
      </w:r>
      <w:r>
        <w:rPr>
          <w:rFonts w:ascii="Abadi" w:hAnsi="Abadi" w:cs="Arial"/>
          <w:sz w:val="21"/>
          <w:szCs w:val="21"/>
        </w:rPr>
        <w:t xml:space="preserve"> </w:t>
      </w:r>
      <w:r w:rsidRPr="008E5343">
        <w:rPr>
          <w:rFonts w:ascii="Abadi" w:hAnsi="Abadi" w:cs="Arial"/>
          <w:sz w:val="21"/>
          <w:szCs w:val="21"/>
        </w:rPr>
        <w:t>Legislativo del Estado de Guanajuato, la Comisión de Administración de esta Sexagésima</w:t>
      </w:r>
      <w:r>
        <w:rPr>
          <w:rFonts w:ascii="Abadi" w:hAnsi="Abadi" w:cs="Arial"/>
          <w:sz w:val="21"/>
          <w:szCs w:val="21"/>
        </w:rPr>
        <w:t xml:space="preserve"> Quinta</w:t>
      </w:r>
      <w:r w:rsidRPr="008E5343">
        <w:rPr>
          <w:rFonts w:ascii="Abadi" w:hAnsi="Abadi" w:cs="Arial"/>
          <w:sz w:val="21"/>
          <w:szCs w:val="21"/>
        </w:rPr>
        <w:t xml:space="preserve"> Legislatura, presenta a consideración del Pleno de la Asamblea en sesión Ordinaria</w:t>
      </w:r>
      <w:r>
        <w:rPr>
          <w:rFonts w:ascii="Abadi" w:hAnsi="Abadi" w:cs="Arial"/>
          <w:sz w:val="21"/>
          <w:szCs w:val="21"/>
        </w:rPr>
        <w:t xml:space="preserve"> </w:t>
      </w:r>
      <w:r w:rsidRPr="008E5343">
        <w:rPr>
          <w:rFonts w:ascii="Abadi" w:hAnsi="Abadi" w:cs="Arial"/>
          <w:sz w:val="21"/>
          <w:szCs w:val="21"/>
        </w:rPr>
        <w:t>Pública, el Informe de los conceptos generales de los Estados Financieros de los recursos</w:t>
      </w:r>
      <w:r>
        <w:rPr>
          <w:rFonts w:ascii="Abadi" w:hAnsi="Abadi" w:cs="Arial"/>
          <w:sz w:val="21"/>
          <w:szCs w:val="21"/>
        </w:rPr>
        <w:t xml:space="preserve"> </w:t>
      </w:r>
      <w:r w:rsidRPr="008E5343">
        <w:rPr>
          <w:rFonts w:ascii="Abadi" w:hAnsi="Abadi" w:cs="Arial"/>
          <w:sz w:val="21"/>
          <w:szCs w:val="21"/>
        </w:rPr>
        <w:t>presupuestales y las transferencias y ajustes presupuestales, correspondiente al período</w:t>
      </w:r>
      <w:r>
        <w:rPr>
          <w:rFonts w:ascii="Abadi" w:hAnsi="Abadi" w:cs="Arial"/>
          <w:sz w:val="21"/>
          <w:szCs w:val="21"/>
        </w:rPr>
        <w:t xml:space="preserve"> </w:t>
      </w:r>
      <w:r w:rsidRPr="008E5343">
        <w:rPr>
          <w:rFonts w:ascii="Abadi" w:hAnsi="Abadi" w:cs="Arial"/>
          <w:sz w:val="21"/>
          <w:szCs w:val="21"/>
        </w:rPr>
        <w:t xml:space="preserve">del </w:t>
      </w:r>
      <w:r w:rsidR="00C64084">
        <w:rPr>
          <w:rFonts w:ascii="Abadi" w:hAnsi="Abadi" w:cs="Arial"/>
          <w:sz w:val="21"/>
          <w:szCs w:val="21"/>
        </w:rPr>
        <w:t>01</w:t>
      </w:r>
      <w:r w:rsidRPr="008E5343">
        <w:rPr>
          <w:rFonts w:ascii="Abadi" w:hAnsi="Abadi" w:cs="Arial"/>
          <w:sz w:val="21"/>
          <w:szCs w:val="21"/>
        </w:rPr>
        <w:t xml:space="preserve"> al 31 de marzo de 2022. (anexo 1).</w:t>
      </w:r>
    </w:p>
    <w:p w14:paraId="7DE1F650" w14:textId="77777777" w:rsidR="00013F88" w:rsidRPr="008E5343" w:rsidRDefault="00013F88" w:rsidP="00013F88">
      <w:pPr>
        <w:autoSpaceDE w:val="0"/>
        <w:autoSpaceDN w:val="0"/>
        <w:adjustRightInd w:val="0"/>
        <w:jc w:val="both"/>
        <w:rPr>
          <w:rFonts w:ascii="Abadi" w:hAnsi="Abadi" w:cs="Arial"/>
          <w:sz w:val="21"/>
          <w:szCs w:val="21"/>
        </w:rPr>
      </w:pPr>
    </w:p>
    <w:p w14:paraId="60B355DE" w14:textId="77777777" w:rsidR="00013F88" w:rsidRDefault="00013F88" w:rsidP="00013F88">
      <w:pPr>
        <w:autoSpaceDE w:val="0"/>
        <w:autoSpaceDN w:val="0"/>
        <w:adjustRightInd w:val="0"/>
        <w:jc w:val="both"/>
        <w:rPr>
          <w:rFonts w:ascii="Abadi" w:hAnsi="Abadi" w:cs="Arial"/>
          <w:sz w:val="21"/>
          <w:szCs w:val="21"/>
        </w:rPr>
      </w:pPr>
      <w:r w:rsidRPr="008E5343">
        <w:rPr>
          <w:rFonts w:ascii="Abadi" w:hAnsi="Abadi" w:cs="Arial"/>
          <w:sz w:val="21"/>
          <w:szCs w:val="21"/>
        </w:rPr>
        <w:t>Por lo expuesto, solicitamos de la Presidencia del Honorable Congreso del Estado, se</w:t>
      </w:r>
      <w:r>
        <w:rPr>
          <w:rFonts w:ascii="Abadi" w:hAnsi="Abadi" w:cs="Arial"/>
          <w:sz w:val="21"/>
          <w:szCs w:val="21"/>
        </w:rPr>
        <w:t xml:space="preserve"> </w:t>
      </w:r>
      <w:r w:rsidRPr="008E5343">
        <w:rPr>
          <w:rFonts w:ascii="Abadi" w:hAnsi="Abadi" w:cs="Arial"/>
          <w:sz w:val="21"/>
          <w:szCs w:val="21"/>
        </w:rPr>
        <w:t>exponga a consideración del Pleno el Informe de la Comisión de Administración, en los</w:t>
      </w:r>
      <w:r>
        <w:rPr>
          <w:rFonts w:ascii="Abadi" w:hAnsi="Abadi" w:cs="Arial"/>
          <w:sz w:val="21"/>
          <w:szCs w:val="21"/>
        </w:rPr>
        <w:t xml:space="preserve"> </w:t>
      </w:r>
      <w:r w:rsidRPr="008E5343">
        <w:rPr>
          <w:rFonts w:ascii="Abadi" w:hAnsi="Abadi" w:cs="Arial"/>
          <w:sz w:val="21"/>
          <w:szCs w:val="21"/>
        </w:rPr>
        <w:t>términos de la Ley Orgánica del Poder Legislativo del Estado de Guanajuato.</w:t>
      </w:r>
      <w:r>
        <w:rPr>
          <w:rFonts w:ascii="Abadi" w:hAnsi="Abadi" w:cs="Arial"/>
          <w:sz w:val="21"/>
          <w:szCs w:val="21"/>
        </w:rPr>
        <w:t xml:space="preserve"> </w:t>
      </w:r>
    </w:p>
    <w:p w14:paraId="5AF21AC3" w14:textId="77777777" w:rsidR="00013F88" w:rsidRDefault="00013F88" w:rsidP="00013F88">
      <w:pPr>
        <w:autoSpaceDE w:val="0"/>
        <w:autoSpaceDN w:val="0"/>
        <w:adjustRightInd w:val="0"/>
        <w:jc w:val="both"/>
        <w:rPr>
          <w:rFonts w:ascii="Abadi" w:hAnsi="Abadi" w:cs="Arial"/>
          <w:sz w:val="21"/>
          <w:szCs w:val="21"/>
        </w:rPr>
      </w:pPr>
    </w:p>
    <w:p w14:paraId="42D6FF38" w14:textId="3CBD1A32" w:rsidR="00013F88" w:rsidRPr="008E5343" w:rsidRDefault="00013F88" w:rsidP="00013F88">
      <w:pPr>
        <w:autoSpaceDE w:val="0"/>
        <w:autoSpaceDN w:val="0"/>
        <w:adjustRightInd w:val="0"/>
        <w:jc w:val="both"/>
        <w:rPr>
          <w:rFonts w:ascii="Abadi" w:hAnsi="Abadi" w:cs="Arial"/>
          <w:sz w:val="21"/>
          <w:szCs w:val="21"/>
        </w:rPr>
      </w:pPr>
      <w:r w:rsidRPr="008E5343">
        <w:rPr>
          <w:rFonts w:ascii="Abadi" w:hAnsi="Abadi" w:cs="Arial"/>
          <w:sz w:val="21"/>
          <w:szCs w:val="21"/>
        </w:rPr>
        <w:t>Sin otro particular por el momento, aprovecho la ocasión para reiterarle las seguridades de</w:t>
      </w:r>
      <w:r w:rsidR="00F8101A">
        <w:rPr>
          <w:rFonts w:ascii="Abadi" w:hAnsi="Abadi" w:cs="Arial"/>
          <w:sz w:val="21"/>
          <w:szCs w:val="21"/>
        </w:rPr>
        <w:t xml:space="preserve"> </w:t>
      </w:r>
      <w:r w:rsidRPr="008E5343">
        <w:rPr>
          <w:rFonts w:ascii="Abadi" w:hAnsi="Abadi" w:cs="Arial"/>
          <w:sz w:val="21"/>
          <w:szCs w:val="21"/>
        </w:rPr>
        <w:t>mi distinguida consideración.</w:t>
      </w:r>
    </w:p>
    <w:p w14:paraId="4D09EAD9" w14:textId="77777777" w:rsidR="00013F88" w:rsidRDefault="00013F88" w:rsidP="00013F88">
      <w:pPr>
        <w:autoSpaceDE w:val="0"/>
        <w:autoSpaceDN w:val="0"/>
        <w:adjustRightInd w:val="0"/>
        <w:jc w:val="both"/>
        <w:rPr>
          <w:rFonts w:ascii="Abadi" w:hAnsi="Abadi" w:cs="Arial"/>
          <w:b/>
          <w:bCs/>
          <w:sz w:val="21"/>
          <w:szCs w:val="21"/>
        </w:rPr>
      </w:pPr>
    </w:p>
    <w:p w14:paraId="10836911"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DIP. LUIS ERNESTO AYALA TORRES</w:t>
      </w:r>
    </w:p>
    <w:p w14:paraId="1C6269AD"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PRESIDENTE</w:t>
      </w:r>
    </w:p>
    <w:p w14:paraId="067CC3AE" w14:textId="77777777" w:rsidR="00013F88"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 xml:space="preserve">DIP. IRMA LETICIA GONZÁLEZ SÁNCHEZ </w:t>
      </w:r>
    </w:p>
    <w:p w14:paraId="7B6B95AB" w14:textId="77777777" w:rsidR="00013F88"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SECRETARIA</w:t>
      </w:r>
    </w:p>
    <w:p w14:paraId="6959A872"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DIP. ANGÉLICA CASILLAS MARTÍNEZ</w:t>
      </w:r>
    </w:p>
    <w:p w14:paraId="2FA009D6"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VOCAL</w:t>
      </w:r>
    </w:p>
    <w:p w14:paraId="29A62A37" w14:textId="77777777" w:rsidR="00013F88"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DIP. ALDO IVÁN MÁRQUEZ BECERRA</w:t>
      </w:r>
    </w:p>
    <w:p w14:paraId="66AE40CB" w14:textId="77777777" w:rsidR="00013F88"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VOCAL</w:t>
      </w:r>
    </w:p>
    <w:p w14:paraId="45F88A28"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DIP. ALEJANDRO ARIAS ÁVILA</w:t>
      </w:r>
    </w:p>
    <w:p w14:paraId="6AD8F546" w14:textId="77777777" w:rsidR="00013F88" w:rsidRPr="008E5343"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VOCAL</w:t>
      </w:r>
    </w:p>
    <w:p w14:paraId="204668FB" w14:textId="77777777" w:rsidR="00013F88" w:rsidRDefault="00013F88" w:rsidP="00013F88">
      <w:pPr>
        <w:autoSpaceDE w:val="0"/>
        <w:autoSpaceDN w:val="0"/>
        <w:adjustRightInd w:val="0"/>
        <w:jc w:val="both"/>
        <w:rPr>
          <w:rFonts w:ascii="Abadi" w:hAnsi="Abadi" w:cs="Arial"/>
          <w:b/>
          <w:bCs/>
          <w:sz w:val="21"/>
          <w:szCs w:val="21"/>
        </w:rPr>
      </w:pPr>
    </w:p>
    <w:p w14:paraId="4836240C" w14:textId="349EE3AC" w:rsidR="00013F88" w:rsidRDefault="00013F88" w:rsidP="00013F88">
      <w:pPr>
        <w:autoSpaceDE w:val="0"/>
        <w:autoSpaceDN w:val="0"/>
        <w:adjustRightInd w:val="0"/>
        <w:jc w:val="both"/>
        <w:rPr>
          <w:rFonts w:ascii="Abadi" w:hAnsi="Abadi" w:cs="Arial"/>
          <w:b/>
          <w:bCs/>
          <w:sz w:val="21"/>
          <w:szCs w:val="21"/>
        </w:rPr>
      </w:pPr>
      <w:r w:rsidRPr="008E5343">
        <w:rPr>
          <w:rFonts w:ascii="Abadi" w:hAnsi="Abadi" w:cs="Arial"/>
          <w:b/>
          <w:bCs/>
          <w:sz w:val="21"/>
          <w:szCs w:val="21"/>
        </w:rPr>
        <w:t>Con copia:</w:t>
      </w:r>
    </w:p>
    <w:p w14:paraId="4E910C62" w14:textId="77777777" w:rsidR="00C64084" w:rsidRDefault="00C64084" w:rsidP="00013F88">
      <w:pPr>
        <w:autoSpaceDE w:val="0"/>
        <w:autoSpaceDN w:val="0"/>
        <w:adjustRightInd w:val="0"/>
        <w:jc w:val="both"/>
        <w:rPr>
          <w:rFonts w:ascii="Abadi" w:hAnsi="Abadi" w:cs="Arial"/>
          <w:b/>
          <w:bCs/>
          <w:sz w:val="21"/>
          <w:szCs w:val="21"/>
        </w:rPr>
      </w:pPr>
    </w:p>
    <w:p w14:paraId="6011C968" w14:textId="77777777" w:rsidR="00013F88" w:rsidRPr="008E5343" w:rsidRDefault="00013F88" w:rsidP="00013F88">
      <w:pPr>
        <w:autoSpaceDE w:val="0"/>
        <w:autoSpaceDN w:val="0"/>
        <w:adjustRightInd w:val="0"/>
        <w:jc w:val="both"/>
        <w:rPr>
          <w:rFonts w:ascii="Abadi" w:hAnsi="Abadi" w:cs="Arial"/>
          <w:b/>
          <w:bCs/>
          <w:sz w:val="21"/>
          <w:szCs w:val="21"/>
        </w:rPr>
      </w:pPr>
    </w:p>
    <w:p w14:paraId="25688DF3" w14:textId="77777777" w:rsidR="00013F88" w:rsidRPr="00C64084" w:rsidRDefault="00013F88" w:rsidP="00013F88">
      <w:pPr>
        <w:pStyle w:val="Prrafodelista"/>
        <w:numPr>
          <w:ilvl w:val="0"/>
          <w:numId w:val="53"/>
        </w:numPr>
        <w:autoSpaceDE w:val="0"/>
        <w:autoSpaceDN w:val="0"/>
        <w:adjustRightInd w:val="0"/>
        <w:ind w:left="426"/>
        <w:contextualSpacing/>
        <w:jc w:val="both"/>
        <w:rPr>
          <w:rFonts w:ascii="Abadi" w:hAnsi="Abadi" w:cs="Arial"/>
          <w:sz w:val="16"/>
          <w:szCs w:val="16"/>
        </w:rPr>
      </w:pPr>
      <w:r w:rsidRPr="00C64084">
        <w:rPr>
          <w:rFonts w:ascii="Abadi" w:hAnsi="Abadi" w:cs="Arial"/>
          <w:sz w:val="16"/>
          <w:szCs w:val="16"/>
        </w:rPr>
        <w:t>Lic. Christian Javier Cruz Villegas. Secretario General del Poder Legislativo. Para su atención.</w:t>
      </w:r>
    </w:p>
    <w:p w14:paraId="371A5DB9" w14:textId="77777777" w:rsidR="00013F88" w:rsidRPr="00C64084" w:rsidRDefault="00013F88" w:rsidP="00013F88">
      <w:pPr>
        <w:pStyle w:val="Prrafodelista"/>
        <w:numPr>
          <w:ilvl w:val="0"/>
          <w:numId w:val="53"/>
        </w:numPr>
        <w:autoSpaceDE w:val="0"/>
        <w:autoSpaceDN w:val="0"/>
        <w:adjustRightInd w:val="0"/>
        <w:ind w:left="426"/>
        <w:contextualSpacing/>
        <w:jc w:val="both"/>
        <w:rPr>
          <w:rFonts w:ascii="Abadi" w:hAnsi="Abadi" w:cs="Arial"/>
          <w:sz w:val="16"/>
          <w:szCs w:val="16"/>
        </w:rPr>
      </w:pPr>
      <w:r w:rsidRPr="00C64084">
        <w:rPr>
          <w:rFonts w:ascii="Abadi" w:hAnsi="Abadi" w:cs="Arial"/>
          <w:sz w:val="16"/>
          <w:szCs w:val="16"/>
        </w:rPr>
        <w:t>C.P. Ángel Isidro Macías Barrón. Contralor Interno del Poder Legislativo. Para conocimiento. Presente.</w:t>
      </w:r>
    </w:p>
    <w:p w14:paraId="098A4FC3" w14:textId="77777777" w:rsidR="00013F88" w:rsidRPr="00C64084" w:rsidRDefault="00013F88" w:rsidP="00013F88">
      <w:pPr>
        <w:pStyle w:val="Prrafodelista"/>
        <w:numPr>
          <w:ilvl w:val="0"/>
          <w:numId w:val="53"/>
        </w:numPr>
        <w:autoSpaceDE w:val="0"/>
        <w:autoSpaceDN w:val="0"/>
        <w:adjustRightInd w:val="0"/>
        <w:ind w:left="426"/>
        <w:contextualSpacing/>
        <w:jc w:val="both"/>
        <w:rPr>
          <w:rFonts w:ascii="Abadi" w:hAnsi="Abadi" w:cs="Arial"/>
          <w:sz w:val="16"/>
          <w:szCs w:val="16"/>
        </w:rPr>
      </w:pPr>
      <w:r w:rsidRPr="00C64084">
        <w:rPr>
          <w:rFonts w:ascii="Abadi" w:hAnsi="Abadi" w:cs="Arial"/>
          <w:sz w:val="16"/>
          <w:szCs w:val="16"/>
        </w:rPr>
        <w:t>C.P. Alejandra Zamarripa Aguirre. Directora de Contabilidad. Mismo fin.</w:t>
      </w:r>
    </w:p>
    <w:p w14:paraId="1A229F3E" w14:textId="0C976A92" w:rsidR="00013F88" w:rsidRDefault="00013F88" w:rsidP="00013F88">
      <w:pPr>
        <w:pStyle w:val="Prrafodelista"/>
        <w:numPr>
          <w:ilvl w:val="0"/>
          <w:numId w:val="53"/>
        </w:numPr>
        <w:spacing w:after="160" w:line="259" w:lineRule="auto"/>
        <w:ind w:left="426"/>
        <w:contextualSpacing/>
        <w:jc w:val="both"/>
        <w:rPr>
          <w:rFonts w:ascii="Abadi" w:hAnsi="Abadi" w:cs="Arial"/>
          <w:sz w:val="16"/>
          <w:szCs w:val="16"/>
        </w:rPr>
      </w:pPr>
      <w:r w:rsidRPr="00C64084">
        <w:rPr>
          <w:rFonts w:ascii="Abadi" w:hAnsi="Abadi" w:cs="Arial"/>
          <w:sz w:val="16"/>
          <w:szCs w:val="16"/>
        </w:rPr>
        <w:t>Minutario.</w:t>
      </w:r>
    </w:p>
    <w:p w14:paraId="27E01A43" w14:textId="77777777" w:rsidR="00FB26AE" w:rsidRPr="00FB26AE" w:rsidRDefault="00FB26AE" w:rsidP="00FB26AE">
      <w:pPr>
        <w:spacing w:after="160" w:line="259" w:lineRule="auto"/>
        <w:contextualSpacing/>
        <w:jc w:val="both"/>
        <w:rPr>
          <w:rFonts w:ascii="Abadi" w:hAnsi="Abadi" w:cs="Arial"/>
          <w:sz w:val="16"/>
          <w:szCs w:val="16"/>
        </w:rPr>
      </w:pPr>
    </w:p>
    <w:p w14:paraId="3D43D83A" w14:textId="77777777" w:rsidR="00013F88" w:rsidRPr="00C64084" w:rsidRDefault="00013F88" w:rsidP="00013F88">
      <w:pPr>
        <w:ind w:left="426"/>
        <w:jc w:val="both"/>
        <w:rPr>
          <w:rFonts w:ascii="Arial" w:hAnsi="Arial" w:cs="Arial"/>
          <w:sz w:val="16"/>
          <w:szCs w:val="16"/>
        </w:rPr>
      </w:pPr>
    </w:p>
    <w:p w14:paraId="5F9CB476" w14:textId="4B5C3F3C" w:rsidR="00FB26AE" w:rsidRDefault="00E04BE1" w:rsidP="00E04BE1">
      <w:pPr>
        <w:ind w:firstLine="708"/>
        <w:jc w:val="both"/>
        <w:rPr>
          <w:rFonts w:ascii="Abadi" w:hAnsi="Abadi"/>
          <w:sz w:val="21"/>
          <w:szCs w:val="21"/>
        </w:rPr>
      </w:pPr>
      <w:r>
        <w:rPr>
          <w:rFonts w:ascii="Abadi" w:hAnsi="Abadi"/>
          <w:b/>
          <w:bCs/>
          <w:sz w:val="21"/>
          <w:szCs w:val="21"/>
        </w:rPr>
        <w:t xml:space="preserve">- </w:t>
      </w:r>
      <w:r w:rsidR="00FB26AE" w:rsidRPr="00FB26AE">
        <w:rPr>
          <w:rFonts w:ascii="Abadi" w:hAnsi="Abadi"/>
          <w:b/>
          <w:bCs/>
          <w:sz w:val="21"/>
          <w:szCs w:val="21"/>
        </w:rPr>
        <w:t>La Presidencia.-</w:t>
      </w:r>
      <w:r w:rsidR="00FB26AE" w:rsidRPr="00FB26AE">
        <w:rPr>
          <w:rFonts w:ascii="Abadi" w:hAnsi="Abadi"/>
          <w:sz w:val="21"/>
          <w:szCs w:val="21"/>
        </w:rPr>
        <w:t xml:space="preserve">  Está a consideración de la Asamblea, el informe de los conceptos generales de los estados financieros de los recursos presupuestales y las transferencias y ajustes presupuestales correspondientes al periodo comprendido del 1 al 31 de marzo del 2022, formulado por la Comisión de Administración. </w:t>
      </w:r>
    </w:p>
    <w:p w14:paraId="2A3DE607" w14:textId="77777777" w:rsidR="00E04BE1" w:rsidRPr="00FB26AE" w:rsidRDefault="00E04BE1" w:rsidP="00FB26AE">
      <w:pPr>
        <w:jc w:val="both"/>
        <w:rPr>
          <w:rFonts w:ascii="Abadi" w:hAnsi="Abadi"/>
          <w:sz w:val="21"/>
          <w:szCs w:val="21"/>
        </w:rPr>
      </w:pPr>
    </w:p>
    <w:p w14:paraId="19C40CDA" w14:textId="3E90F144" w:rsidR="00FB26AE" w:rsidRDefault="00E04BE1" w:rsidP="00E04BE1">
      <w:pPr>
        <w:ind w:firstLine="708"/>
        <w:jc w:val="both"/>
        <w:rPr>
          <w:rFonts w:ascii="Abadi" w:hAnsi="Abadi"/>
          <w:sz w:val="21"/>
          <w:szCs w:val="21"/>
        </w:rPr>
      </w:pPr>
      <w:r>
        <w:rPr>
          <w:rFonts w:ascii="Abadi" w:hAnsi="Abadi"/>
          <w:sz w:val="21"/>
          <w:szCs w:val="21"/>
        </w:rPr>
        <w:t xml:space="preserve">- </w:t>
      </w:r>
      <w:r w:rsidR="00FB26AE" w:rsidRPr="00FB26AE">
        <w:rPr>
          <w:rFonts w:ascii="Abadi" w:hAnsi="Abadi"/>
          <w:sz w:val="21"/>
          <w:szCs w:val="21"/>
        </w:rPr>
        <w:t>Si alguna diputada o algún diputado de</w:t>
      </w:r>
      <w:r>
        <w:rPr>
          <w:rFonts w:ascii="Abadi" w:hAnsi="Abadi"/>
          <w:sz w:val="21"/>
          <w:szCs w:val="21"/>
        </w:rPr>
        <w:t>sea</w:t>
      </w:r>
      <w:r w:rsidR="00FB26AE" w:rsidRPr="00FB26AE">
        <w:rPr>
          <w:rFonts w:ascii="Abadi" w:hAnsi="Abadi"/>
          <w:sz w:val="21"/>
          <w:szCs w:val="21"/>
        </w:rPr>
        <w:t xml:space="preserve"> hacer uso de la palabra manifiéstenlo ha esta Presidencia. </w:t>
      </w:r>
    </w:p>
    <w:p w14:paraId="498DE9C7" w14:textId="77777777" w:rsidR="00E04BE1" w:rsidRPr="00FB26AE" w:rsidRDefault="00E04BE1" w:rsidP="00FB26AE">
      <w:pPr>
        <w:jc w:val="both"/>
        <w:rPr>
          <w:rFonts w:ascii="Abadi" w:hAnsi="Abadi"/>
          <w:sz w:val="21"/>
          <w:szCs w:val="21"/>
        </w:rPr>
      </w:pPr>
    </w:p>
    <w:p w14:paraId="112DD5F3" w14:textId="428D4AC4" w:rsidR="00FB26AE" w:rsidRDefault="00E04BE1" w:rsidP="00E04BE1">
      <w:pPr>
        <w:ind w:firstLine="708"/>
        <w:jc w:val="both"/>
        <w:rPr>
          <w:rFonts w:ascii="Abadi" w:hAnsi="Abadi"/>
          <w:sz w:val="21"/>
          <w:szCs w:val="21"/>
        </w:rPr>
      </w:pPr>
      <w:r>
        <w:rPr>
          <w:rFonts w:ascii="Abadi" w:hAnsi="Abadi"/>
          <w:sz w:val="21"/>
          <w:szCs w:val="21"/>
        </w:rPr>
        <w:t xml:space="preserve">- </w:t>
      </w:r>
      <w:r w:rsidR="00FB26AE" w:rsidRPr="00FB26AE">
        <w:rPr>
          <w:rFonts w:ascii="Abadi" w:hAnsi="Abadi"/>
          <w:sz w:val="21"/>
          <w:szCs w:val="21"/>
        </w:rPr>
        <w:t>En virtud de que no se ha registrado participaciones, se pide a la Secretaria que proceda a recabar votación nominal de la Asamblea a través del sistema electrónico, a efecto de aprobar o no el informe puesto su consideración.</w:t>
      </w:r>
    </w:p>
    <w:p w14:paraId="6FEF7B12" w14:textId="77777777" w:rsidR="00FB26AE" w:rsidRPr="00FB26AE" w:rsidRDefault="00FB26AE" w:rsidP="00FB26AE">
      <w:pPr>
        <w:jc w:val="both"/>
        <w:rPr>
          <w:rFonts w:ascii="Abadi" w:hAnsi="Abadi"/>
          <w:sz w:val="21"/>
          <w:szCs w:val="21"/>
        </w:rPr>
      </w:pPr>
    </w:p>
    <w:p w14:paraId="26757B15" w14:textId="515143D6" w:rsidR="00FB26AE" w:rsidRDefault="00FB26AE" w:rsidP="00E04BE1">
      <w:pPr>
        <w:jc w:val="center"/>
        <w:rPr>
          <w:rFonts w:ascii="Abadi" w:hAnsi="Abadi"/>
          <w:b/>
          <w:bCs/>
          <w:sz w:val="21"/>
          <w:szCs w:val="21"/>
        </w:rPr>
      </w:pPr>
      <w:r w:rsidRPr="00FB26AE">
        <w:rPr>
          <w:rFonts w:ascii="Abadi" w:hAnsi="Abadi"/>
          <w:b/>
          <w:bCs/>
          <w:sz w:val="21"/>
          <w:szCs w:val="21"/>
        </w:rPr>
        <w:t>(Se abre el sistema electrónico)</w:t>
      </w:r>
    </w:p>
    <w:p w14:paraId="35A43F6F" w14:textId="77777777" w:rsidR="00FB26AE" w:rsidRPr="00FB26AE" w:rsidRDefault="00FB26AE" w:rsidP="00FB26AE">
      <w:pPr>
        <w:jc w:val="both"/>
        <w:rPr>
          <w:rFonts w:ascii="Abadi" w:hAnsi="Abadi"/>
          <w:b/>
          <w:bCs/>
          <w:sz w:val="21"/>
          <w:szCs w:val="21"/>
        </w:rPr>
      </w:pPr>
    </w:p>
    <w:p w14:paraId="03FFAA20" w14:textId="1AD8D648" w:rsidR="00FB26AE" w:rsidRDefault="00FB26AE" w:rsidP="00FB26AE">
      <w:pPr>
        <w:ind w:firstLine="708"/>
        <w:jc w:val="both"/>
        <w:rPr>
          <w:rFonts w:ascii="Abadi" w:hAnsi="Abadi"/>
          <w:sz w:val="21"/>
          <w:szCs w:val="21"/>
        </w:rPr>
      </w:pPr>
      <w:r>
        <w:rPr>
          <w:rFonts w:ascii="Abadi" w:hAnsi="Abadi"/>
          <w:b/>
          <w:bCs/>
          <w:sz w:val="21"/>
          <w:szCs w:val="21"/>
        </w:rPr>
        <w:t xml:space="preserve">- </w:t>
      </w:r>
      <w:r w:rsidRPr="00FB26AE">
        <w:rPr>
          <w:rFonts w:ascii="Abadi" w:hAnsi="Abadi"/>
          <w:b/>
          <w:bCs/>
          <w:sz w:val="21"/>
          <w:szCs w:val="21"/>
        </w:rPr>
        <w:t>La Secretaria.-</w:t>
      </w:r>
      <w:r w:rsidRPr="00FB26AE">
        <w:rPr>
          <w:rFonts w:ascii="Abadi" w:hAnsi="Abadi"/>
          <w:sz w:val="21"/>
          <w:szCs w:val="21"/>
        </w:rPr>
        <w:t xml:space="preserve">  En votación nominal por el sistema electrónico, se pregunta a las diputadas y a los diputados si, se aprueba el informe puesto a su consideración. ¿Diputado Ernesto Millán? Gracias Diputado. ¿Diputada Hades? Gracias. </w:t>
      </w:r>
    </w:p>
    <w:p w14:paraId="0BA15B55" w14:textId="77777777" w:rsidR="00FB26AE" w:rsidRPr="00FB26AE" w:rsidRDefault="00FB26AE" w:rsidP="00FB26AE">
      <w:pPr>
        <w:ind w:firstLine="708"/>
        <w:jc w:val="both"/>
        <w:rPr>
          <w:rFonts w:ascii="Abadi" w:hAnsi="Abadi"/>
          <w:sz w:val="21"/>
          <w:szCs w:val="21"/>
        </w:rPr>
      </w:pPr>
    </w:p>
    <w:p w14:paraId="022E4AC5" w14:textId="7FDDFCD9" w:rsidR="00FB26AE" w:rsidRDefault="00FB26AE" w:rsidP="00FB26AE">
      <w:pPr>
        <w:jc w:val="both"/>
        <w:rPr>
          <w:rFonts w:ascii="Abadi" w:hAnsi="Abadi"/>
          <w:sz w:val="21"/>
          <w:szCs w:val="21"/>
        </w:rPr>
      </w:pPr>
      <w:r w:rsidRPr="00FB26AE">
        <w:rPr>
          <w:rFonts w:ascii="Abadi" w:hAnsi="Abadi"/>
          <w:sz w:val="21"/>
          <w:szCs w:val="21"/>
        </w:rPr>
        <w:t xml:space="preserve">¿Falta alguna diputada, algún diputado de emitir su voto? </w:t>
      </w:r>
    </w:p>
    <w:p w14:paraId="023A20A0" w14:textId="77777777" w:rsidR="00FB26AE" w:rsidRPr="00FB26AE" w:rsidRDefault="00FB26AE" w:rsidP="00FB26AE">
      <w:pPr>
        <w:jc w:val="both"/>
        <w:rPr>
          <w:rFonts w:ascii="Abadi" w:hAnsi="Abadi"/>
          <w:sz w:val="21"/>
          <w:szCs w:val="21"/>
        </w:rPr>
      </w:pPr>
    </w:p>
    <w:p w14:paraId="44F7236F" w14:textId="77777777" w:rsidR="00FB26AE" w:rsidRPr="00FB26AE" w:rsidRDefault="00FB26AE" w:rsidP="00FB26AE">
      <w:pPr>
        <w:jc w:val="center"/>
        <w:rPr>
          <w:rFonts w:ascii="Abadi" w:hAnsi="Abadi"/>
          <w:b/>
          <w:bCs/>
          <w:sz w:val="21"/>
          <w:szCs w:val="21"/>
        </w:rPr>
      </w:pPr>
      <w:r w:rsidRPr="00FB26AE">
        <w:rPr>
          <w:rFonts w:ascii="Abadi" w:hAnsi="Abadi"/>
          <w:b/>
          <w:bCs/>
          <w:sz w:val="21"/>
          <w:szCs w:val="21"/>
        </w:rPr>
        <w:t>(Se cierra el sistema electrónico)</w:t>
      </w:r>
    </w:p>
    <w:p w14:paraId="5817382F" w14:textId="25766B39" w:rsidR="00FB26AE" w:rsidRPr="00FB26AE" w:rsidRDefault="00E04BE1" w:rsidP="00FB26AE">
      <w:pPr>
        <w:jc w:val="both"/>
        <w:rPr>
          <w:rFonts w:ascii="Abadi" w:hAnsi="Abadi"/>
          <w:b/>
          <w:bCs/>
          <w:sz w:val="21"/>
          <w:szCs w:val="21"/>
        </w:rPr>
      </w:pPr>
      <w:r w:rsidRPr="00FB26AE">
        <w:rPr>
          <w:rFonts w:ascii="Abadi" w:hAnsi="Abadi"/>
          <w:noProof/>
          <w:sz w:val="21"/>
          <w:szCs w:val="21"/>
        </w:rPr>
        <w:drawing>
          <wp:anchor distT="0" distB="0" distL="114300" distR="114300" simplePos="0" relativeHeight="251700224" behindDoc="1" locked="0" layoutInCell="1" allowOverlap="1" wp14:anchorId="7BB7861B" wp14:editId="32C04C1E">
            <wp:simplePos x="0" y="0"/>
            <wp:positionH relativeFrom="column">
              <wp:posOffset>364490</wp:posOffset>
            </wp:positionH>
            <wp:positionV relativeFrom="paragraph">
              <wp:posOffset>305435</wp:posOffset>
            </wp:positionV>
            <wp:extent cx="1657350" cy="931814"/>
            <wp:effectExtent l="152400" t="152400" r="361950" b="363855"/>
            <wp:wrapTight wrapText="bothSides">
              <wp:wrapPolygon edited="0">
                <wp:start x="993" y="-3534"/>
                <wp:lineTo x="-1986" y="-2650"/>
                <wp:lineTo x="-1986" y="23411"/>
                <wp:lineTo x="-1241" y="25620"/>
                <wp:lineTo x="2234" y="28712"/>
                <wp:lineTo x="2483" y="29595"/>
                <wp:lineTo x="21600" y="29595"/>
                <wp:lineTo x="21848" y="28712"/>
                <wp:lineTo x="25076" y="25620"/>
                <wp:lineTo x="26069" y="18994"/>
                <wp:lineTo x="26069" y="4417"/>
                <wp:lineTo x="23090" y="-2209"/>
                <wp:lineTo x="22841" y="-3534"/>
                <wp:lineTo x="993" y="-3534"/>
              </wp:wrapPolygon>
            </wp:wrapTight>
            <wp:docPr id="130" name="Imagen 130"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Tabla&#10;&#10;Descripción generada automáticamen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657350" cy="931814"/>
                    </a:xfrm>
                    <a:prstGeom prst="rect">
                      <a:avLst/>
                    </a:prstGeom>
                    <a:ln>
                      <a:noFill/>
                    </a:ln>
                    <a:effectLst>
                      <a:outerShdw blurRad="292100" dist="139700" dir="2700000" algn="tl" rotWithShape="0">
                        <a:srgbClr val="333333">
                          <a:alpha val="65000"/>
                        </a:srgbClr>
                      </a:outerShdw>
                    </a:effectLst>
                  </pic:spPr>
                </pic:pic>
              </a:graphicData>
            </a:graphic>
          </wp:anchor>
        </w:drawing>
      </w:r>
    </w:p>
    <w:p w14:paraId="0DD35245" w14:textId="7CBACDCF" w:rsidR="00FB26AE" w:rsidRPr="00FB26AE" w:rsidRDefault="00FB26AE" w:rsidP="00FB26AE">
      <w:pPr>
        <w:jc w:val="both"/>
        <w:rPr>
          <w:rFonts w:ascii="Abadi" w:hAnsi="Abadi"/>
          <w:b/>
          <w:bCs/>
          <w:sz w:val="21"/>
          <w:szCs w:val="21"/>
        </w:rPr>
      </w:pPr>
    </w:p>
    <w:p w14:paraId="7F07E9D1" w14:textId="46A1D29B" w:rsidR="00FB26AE" w:rsidRDefault="00FB26AE" w:rsidP="00FB26AE">
      <w:pPr>
        <w:ind w:firstLine="708"/>
        <w:jc w:val="both"/>
        <w:rPr>
          <w:rFonts w:ascii="Abadi" w:hAnsi="Abadi"/>
          <w:sz w:val="21"/>
          <w:szCs w:val="21"/>
        </w:rPr>
      </w:pPr>
      <w:r>
        <w:rPr>
          <w:rFonts w:ascii="Abadi" w:hAnsi="Abadi"/>
          <w:b/>
          <w:bCs/>
          <w:sz w:val="21"/>
          <w:szCs w:val="21"/>
        </w:rPr>
        <w:t xml:space="preserve">- </w:t>
      </w:r>
      <w:r w:rsidRPr="00FB26AE">
        <w:rPr>
          <w:rFonts w:ascii="Abadi" w:hAnsi="Abadi"/>
          <w:b/>
          <w:bCs/>
          <w:sz w:val="21"/>
          <w:szCs w:val="21"/>
        </w:rPr>
        <w:t>La Secretaria.</w:t>
      </w:r>
      <w:r w:rsidRPr="00FB26AE">
        <w:rPr>
          <w:rFonts w:ascii="Abadi" w:hAnsi="Abadi"/>
          <w:sz w:val="21"/>
          <w:szCs w:val="21"/>
        </w:rPr>
        <w:t xml:space="preserve">- Se registraron 32 votos a favor, 2 votos en contra. </w:t>
      </w:r>
    </w:p>
    <w:p w14:paraId="6DA20570" w14:textId="4AFC2846" w:rsidR="00FB26AE" w:rsidRDefault="00FB26AE" w:rsidP="00FB26AE">
      <w:pPr>
        <w:ind w:firstLine="708"/>
        <w:jc w:val="both"/>
      </w:pPr>
      <w:r>
        <w:rPr>
          <w:rFonts w:ascii="Abadi" w:hAnsi="Abadi"/>
          <w:b/>
          <w:bCs/>
          <w:sz w:val="21"/>
          <w:szCs w:val="21"/>
        </w:rPr>
        <w:t xml:space="preserve">- </w:t>
      </w:r>
      <w:r w:rsidRPr="00FB26AE">
        <w:rPr>
          <w:rFonts w:ascii="Abadi" w:hAnsi="Abadi"/>
          <w:b/>
          <w:bCs/>
          <w:sz w:val="21"/>
          <w:szCs w:val="21"/>
        </w:rPr>
        <w:t>La Presidencia.-</w:t>
      </w:r>
      <w:r w:rsidRPr="00FB26AE">
        <w:rPr>
          <w:rFonts w:ascii="Abadi" w:hAnsi="Abadi"/>
          <w:sz w:val="21"/>
          <w:szCs w:val="21"/>
        </w:rPr>
        <w:t xml:space="preserve"> El informe ha sido aprobado por mayoría de votos.</w:t>
      </w:r>
      <w:r>
        <w:t xml:space="preserve"> </w:t>
      </w:r>
    </w:p>
    <w:p w14:paraId="664AD365" w14:textId="77777777" w:rsidR="00FB26AE" w:rsidRDefault="00FB26AE" w:rsidP="006F3002">
      <w:pPr>
        <w:autoSpaceDE w:val="0"/>
        <w:autoSpaceDN w:val="0"/>
        <w:adjustRightInd w:val="0"/>
        <w:ind w:left="426"/>
        <w:jc w:val="both"/>
        <w:rPr>
          <w:rFonts w:ascii="Abadi" w:hAnsi="Abadi" w:cs="Arial-BoldMT"/>
          <w:b/>
          <w:bCs/>
          <w:sz w:val="16"/>
          <w:szCs w:val="16"/>
        </w:rPr>
      </w:pPr>
    </w:p>
    <w:p w14:paraId="7354C38E" w14:textId="49196198" w:rsidR="00C64084" w:rsidRDefault="00C64084" w:rsidP="006F3002">
      <w:pPr>
        <w:autoSpaceDE w:val="0"/>
        <w:autoSpaceDN w:val="0"/>
        <w:adjustRightInd w:val="0"/>
        <w:ind w:left="426"/>
        <w:jc w:val="both"/>
        <w:rPr>
          <w:rFonts w:ascii="Abadi" w:hAnsi="Abadi" w:cs="Arial-BoldMT"/>
          <w:b/>
          <w:bCs/>
          <w:sz w:val="16"/>
          <w:szCs w:val="16"/>
        </w:rPr>
      </w:pPr>
    </w:p>
    <w:p w14:paraId="2965774F" w14:textId="77777777" w:rsidR="00C64084" w:rsidRPr="00C64084" w:rsidRDefault="00C64084" w:rsidP="006F3002">
      <w:pPr>
        <w:autoSpaceDE w:val="0"/>
        <w:autoSpaceDN w:val="0"/>
        <w:adjustRightInd w:val="0"/>
        <w:ind w:left="426"/>
        <w:jc w:val="both"/>
        <w:rPr>
          <w:rFonts w:ascii="Abadi" w:hAnsi="Abadi" w:cs="Arial-BoldMT"/>
          <w:b/>
          <w:bCs/>
          <w:sz w:val="16"/>
          <w:szCs w:val="16"/>
        </w:rPr>
      </w:pPr>
    </w:p>
    <w:p w14:paraId="4F76A93F" w14:textId="640387F2"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PRESENTADO POR LA COMISIÓN DE SEGURIDAD PÚBLICA Y COMUNICACIONES RELATIVO A LA PROPUESTA DE PUNTO DE ACUERDO SUSCRITA POR DIPUTADA Y DIPUTADO INTEGRANTES DEL GRUPO PARLAMENTARIO DEL PARTIDO REVOLUCIONARIO INSTITUCIONAL MEDIANTE EL CUAL SE EFECTÚA UN RESPETUOSO EXHORTO A LOS TITULARES DEL EJECUTIVO FEDERAL Y DE LA FISCALÍA GENERAL DE LA REPÚBLICA PARA QUE, REALICEN MEDIDAS URGENTES Y CONTUNDENTES PARA IMPEDIR QUE, EN LAS FRONTERAS, LITORALES Y ADUANAS SE INTRODUZCAN ARMAS DE FUEGO Y PROYECTILES, Y SE PERSIGA Y SANCIONE CON EFICACIA A QUIENES INTRODUZCAN, ACOPIEN, TRAFIQUEN Y/O PORTEN ESTOS INSTRUMENTOS EN NUESTRO PAÍS.</w:t>
      </w:r>
    </w:p>
    <w:p w14:paraId="76833A6F" w14:textId="4C66A648" w:rsidR="00DB2AFC" w:rsidRDefault="00DB2AFC" w:rsidP="00DB2AFC">
      <w:pPr>
        <w:autoSpaceDE w:val="0"/>
        <w:autoSpaceDN w:val="0"/>
        <w:adjustRightInd w:val="0"/>
        <w:jc w:val="both"/>
        <w:rPr>
          <w:rFonts w:ascii="Abadi" w:hAnsi="Abadi" w:cs="ArialMT"/>
          <w:b/>
          <w:bCs/>
          <w:sz w:val="20"/>
          <w:szCs w:val="21"/>
        </w:rPr>
      </w:pPr>
    </w:p>
    <w:p w14:paraId="16D09667" w14:textId="77777777" w:rsidR="00DB2AFC" w:rsidRPr="00D639CD" w:rsidRDefault="00DB2AFC" w:rsidP="00DB2AFC">
      <w:pPr>
        <w:autoSpaceDE w:val="0"/>
        <w:autoSpaceDN w:val="0"/>
        <w:adjustRightInd w:val="0"/>
        <w:jc w:val="both"/>
        <w:rPr>
          <w:rFonts w:ascii="Abadi" w:hAnsi="Abadi" w:cs="*Arial-Bold-6549-Identity-H"/>
          <w:b/>
          <w:bCs/>
          <w:color w:val="14131D"/>
          <w:sz w:val="21"/>
          <w:szCs w:val="21"/>
        </w:rPr>
      </w:pPr>
      <w:r w:rsidRPr="00D639CD">
        <w:rPr>
          <w:rFonts w:ascii="Abadi" w:hAnsi="Abadi" w:cs="*Arial-Bold-6549-Identity-H"/>
          <w:b/>
          <w:bCs/>
          <w:color w:val="14131D"/>
          <w:sz w:val="21"/>
          <w:szCs w:val="21"/>
        </w:rPr>
        <w:t>Presidencia de la Mesa Directiva</w:t>
      </w:r>
    </w:p>
    <w:p w14:paraId="5B26ACF5" w14:textId="77777777" w:rsidR="00DB2AFC" w:rsidRPr="00D639CD" w:rsidRDefault="00DB2AFC" w:rsidP="00DB2AFC">
      <w:pPr>
        <w:autoSpaceDE w:val="0"/>
        <w:autoSpaceDN w:val="0"/>
        <w:adjustRightInd w:val="0"/>
        <w:jc w:val="both"/>
        <w:rPr>
          <w:rFonts w:ascii="Abadi" w:hAnsi="Abadi" w:cs="*Arial-Bold-6549-Identity-H"/>
          <w:b/>
          <w:bCs/>
          <w:color w:val="14131D"/>
          <w:sz w:val="21"/>
          <w:szCs w:val="21"/>
        </w:rPr>
      </w:pPr>
      <w:r w:rsidRPr="00D639CD">
        <w:rPr>
          <w:rFonts w:ascii="Abadi" w:hAnsi="Abadi" w:cs="*Arial-Bold-6549-Identity-H"/>
          <w:b/>
          <w:bCs/>
          <w:color w:val="14131D"/>
          <w:sz w:val="21"/>
          <w:szCs w:val="21"/>
        </w:rPr>
        <w:t>Congreso del Estado</w:t>
      </w:r>
    </w:p>
    <w:p w14:paraId="75C60E0A" w14:textId="77777777" w:rsidR="00DB2AFC" w:rsidRDefault="00DB2AFC" w:rsidP="00DB2AFC">
      <w:pPr>
        <w:autoSpaceDE w:val="0"/>
        <w:autoSpaceDN w:val="0"/>
        <w:adjustRightInd w:val="0"/>
        <w:jc w:val="both"/>
        <w:rPr>
          <w:rFonts w:ascii="Abadi" w:hAnsi="Abadi" w:cs="*Arial-Bold-6549-Identity-H"/>
          <w:b/>
          <w:bCs/>
          <w:color w:val="141320"/>
          <w:sz w:val="21"/>
          <w:szCs w:val="21"/>
        </w:rPr>
      </w:pPr>
      <w:r w:rsidRPr="00D639CD">
        <w:rPr>
          <w:rFonts w:ascii="Abadi" w:hAnsi="Abadi" w:cs="*Arial-Bold-6549-Identity-H"/>
          <w:b/>
          <w:bCs/>
          <w:color w:val="141320"/>
          <w:sz w:val="21"/>
          <w:szCs w:val="21"/>
        </w:rPr>
        <w:t>Presente</w:t>
      </w:r>
    </w:p>
    <w:p w14:paraId="4A158A12" w14:textId="77777777" w:rsidR="00DB2AFC" w:rsidRPr="00D639CD" w:rsidRDefault="00DB2AFC" w:rsidP="00DB2AFC">
      <w:pPr>
        <w:autoSpaceDE w:val="0"/>
        <w:autoSpaceDN w:val="0"/>
        <w:adjustRightInd w:val="0"/>
        <w:jc w:val="both"/>
        <w:rPr>
          <w:rFonts w:ascii="Abadi" w:hAnsi="Abadi" w:cs="*Arial-Bold-6549-Identity-H"/>
          <w:b/>
          <w:bCs/>
          <w:color w:val="141320"/>
          <w:sz w:val="21"/>
          <w:szCs w:val="21"/>
        </w:rPr>
      </w:pPr>
    </w:p>
    <w:p w14:paraId="47E6FECE" w14:textId="246DAFA9" w:rsidR="00DB2AFC" w:rsidRDefault="00DB2AFC" w:rsidP="00DB2AFC">
      <w:pPr>
        <w:autoSpaceDE w:val="0"/>
        <w:autoSpaceDN w:val="0"/>
        <w:adjustRightInd w:val="0"/>
        <w:jc w:val="both"/>
        <w:rPr>
          <w:rFonts w:ascii="Abadi" w:hAnsi="Abadi" w:cs="*Arial-6548-Identity-H"/>
          <w:color w:val="14131B"/>
          <w:sz w:val="21"/>
          <w:szCs w:val="21"/>
        </w:rPr>
      </w:pPr>
      <w:r w:rsidRPr="00D639CD">
        <w:rPr>
          <w:rFonts w:ascii="Abadi" w:hAnsi="Abadi" w:cs="*Arial-6548-Identity-H"/>
          <w:color w:val="14131B"/>
          <w:sz w:val="21"/>
          <w:szCs w:val="21"/>
        </w:rPr>
        <w:t>Correspondió a esta Comisión de Seguridad Pública y Comunicaciones analizar y</w:t>
      </w:r>
      <w:r>
        <w:rPr>
          <w:rFonts w:ascii="Abadi" w:hAnsi="Abadi" w:cs="*Arial-6548-Identity-H"/>
          <w:color w:val="14131B"/>
          <w:sz w:val="21"/>
          <w:szCs w:val="21"/>
        </w:rPr>
        <w:t xml:space="preserve"> </w:t>
      </w:r>
      <w:r w:rsidRPr="00D639CD">
        <w:rPr>
          <w:rFonts w:ascii="Abadi" w:hAnsi="Abadi" w:cs="*Arial-6548-Identity-H"/>
          <w:color w:val="14131B"/>
          <w:sz w:val="21"/>
          <w:szCs w:val="21"/>
        </w:rPr>
        <w:t>dictaminar la propuesta de punto de acuerdo suscrita por la diputada y el diputado</w:t>
      </w:r>
      <w:r>
        <w:rPr>
          <w:rFonts w:ascii="Abadi" w:hAnsi="Abadi" w:cs="*Arial-6548-Identity-H"/>
          <w:color w:val="14131B"/>
          <w:sz w:val="21"/>
          <w:szCs w:val="21"/>
        </w:rPr>
        <w:t xml:space="preserve"> </w:t>
      </w:r>
      <w:r w:rsidRPr="00D639CD">
        <w:rPr>
          <w:rFonts w:ascii="Abadi" w:hAnsi="Abadi" w:cs="*Arial-6548-Identity-H"/>
          <w:color w:val="14131B"/>
          <w:sz w:val="21"/>
          <w:szCs w:val="21"/>
        </w:rPr>
        <w:t>integrantes del Grupo Parlamentario del Partido Revolucionario Institucional</w:t>
      </w:r>
      <w:r>
        <w:rPr>
          <w:rFonts w:ascii="Abadi" w:hAnsi="Abadi" w:cs="*Arial-6548-Identity-H"/>
          <w:color w:val="14131B"/>
          <w:sz w:val="21"/>
          <w:szCs w:val="21"/>
        </w:rPr>
        <w:t xml:space="preserve"> </w:t>
      </w:r>
      <w:r w:rsidRPr="00D639CD">
        <w:rPr>
          <w:rFonts w:ascii="Abadi" w:hAnsi="Abadi" w:cs="*Arial-6548-Identity-H"/>
          <w:color w:val="14131B"/>
          <w:sz w:val="21"/>
          <w:szCs w:val="21"/>
        </w:rPr>
        <w:t>mediante el cual se efectúa un respetuoso exhorto a los titulares del Ejecutivo</w:t>
      </w:r>
      <w:r>
        <w:rPr>
          <w:rFonts w:ascii="Abadi" w:hAnsi="Abadi" w:cs="*Arial-6548-Identity-H"/>
          <w:color w:val="14131B"/>
          <w:sz w:val="21"/>
          <w:szCs w:val="21"/>
        </w:rPr>
        <w:t xml:space="preserve"> </w:t>
      </w:r>
      <w:r w:rsidRPr="00D639CD">
        <w:rPr>
          <w:rFonts w:ascii="Abadi" w:hAnsi="Abadi" w:cs="*Arial-6548-Identity-H"/>
          <w:color w:val="14131B"/>
          <w:sz w:val="21"/>
          <w:szCs w:val="21"/>
        </w:rPr>
        <w:t>Federal y de la Fiscalía General de la República para que, realicen medidas</w:t>
      </w:r>
      <w:r>
        <w:rPr>
          <w:rFonts w:ascii="Abadi" w:hAnsi="Abadi" w:cs="*Arial-6548-Identity-H"/>
          <w:color w:val="14131B"/>
          <w:sz w:val="21"/>
          <w:szCs w:val="21"/>
        </w:rPr>
        <w:t xml:space="preserve"> </w:t>
      </w:r>
      <w:r w:rsidRPr="00D639CD">
        <w:rPr>
          <w:rFonts w:ascii="Abadi" w:hAnsi="Abadi" w:cs="*Arial-6548-Identity-H"/>
          <w:color w:val="14131B"/>
          <w:sz w:val="21"/>
          <w:szCs w:val="21"/>
        </w:rPr>
        <w:t>urgentes y contundentes para impedir que, en las fronteras, litorales y aduanas se</w:t>
      </w:r>
      <w:r w:rsidR="00B754B7">
        <w:rPr>
          <w:rFonts w:ascii="Abadi" w:hAnsi="Abadi" w:cs="*Arial-6548-Identity-H"/>
          <w:color w:val="14131B"/>
          <w:sz w:val="21"/>
          <w:szCs w:val="21"/>
        </w:rPr>
        <w:t xml:space="preserve"> </w:t>
      </w:r>
      <w:r w:rsidRPr="00D639CD">
        <w:rPr>
          <w:rFonts w:ascii="Abadi" w:hAnsi="Abadi" w:cs="*Arial-6548-Identity-H"/>
          <w:color w:val="14131B"/>
          <w:sz w:val="21"/>
          <w:szCs w:val="21"/>
        </w:rPr>
        <w:t>introduzcan armas de fuego y proyectiles, y se persiga y sancione con eficacia a</w:t>
      </w:r>
      <w:r>
        <w:rPr>
          <w:rFonts w:ascii="Abadi" w:hAnsi="Abadi" w:cs="*Arial-6548-Identity-H"/>
          <w:color w:val="14131B"/>
          <w:sz w:val="21"/>
          <w:szCs w:val="21"/>
        </w:rPr>
        <w:t xml:space="preserve"> </w:t>
      </w:r>
      <w:r w:rsidRPr="00D639CD">
        <w:rPr>
          <w:rFonts w:ascii="Abadi" w:hAnsi="Abadi" w:cs="*Arial-6548-Identity-H"/>
          <w:color w:val="14131B"/>
          <w:sz w:val="21"/>
          <w:szCs w:val="21"/>
        </w:rPr>
        <w:t>quienes introduzcan, acopien, trafiquen y/o porten estos instrumentos en nuestro</w:t>
      </w:r>
      <w:r>
        <w:rPr>
          <w:rFonts w:ascii="Abadi" w:hAnsi="Abadi" w:cs="*Arial-6548-Identity-H"/>
          <w:color w:val="14131B"/>
          <w:sz w:val="21"/>
          <w:szCs w:val="21"/>
        </w:rPr>
        <w:t xml:space="preserve"> </w:t>
      </w:r>
      <w:r w:rsidRPr="00D639CD">
        <w:rPr>
          <w:rFonts w:ascii="Abadi" w:hAnsi="Abadi" w:cs="*Arial-6548-Identity-H"/>
          <w:color w:val="14131B"/>
          <w:sz w:val="21"/>
          <w:szCs w:val="21"/>
        </w:rPr>
        <w:t>país.</w:t>
      </w:r>
    </w:p>
    <w:p w14:paraId="03C9FCBB" w14:textId="77777777" w:rsidR="00DB2AFC" w:rsidRPr="00D639CD" w:rsidRDefault="00DB2AFC" w:rsidP="00DB2AFC">
      <w:pPr>
        <w:autoSpaceDE w:val="0"/>
        <w:autoSpaceDN w:val="0"/>
        <w:adjustRightInd w:val="0"/>
        <w:jc w:val="both"/>
        <w:rPr>
          <w:rFonts w:ascii="Abadi" w:hAnsi="Abadi" w:cs="*Arial-6548-Identity-H"/>
          <w:color w:val="14131B"/>
          <w:sz w:val="21"/>
          <w:szCs w:val="21"/>
        </w:rPr>
      </w:pPr>
    </w:p>
    <w:p w14:paraId="76F147E1" w14:textId="77777777" w:rsidR="00DB2AFC" w:rsidRPr="00D639CD" w:rsidRDefault="00DB2AFC" w:rsidP="00DB2AFC">
      <w:pPr>
        <w:autoSpaceDE w:val="0"/>
        <w:autoSpaceDN w:val="0"/>
        <w:adjustRightInd w:val="0"/>
        <w:jc w:val="both"/>
        <w:rPr>
          <w:rFonts w:ascii="Abadi" w:hAnsi="Abadi" w:cs="*Arial-6548-Identity-H"/>
          <w:color w:val="15141C"/>
          <w:sz w:val="21"/>
          <w:szCs w:val="21"/>
        </w:rPr>
      </w:pPr>
      <w:r w:rsidRPr="00D639CD">
        <w:rPr>
          <w:rFonts w:ascii="Abadi" w:hAnsi="Abadi" w:cs="*Arial-6548-Identity-H"/>
          <w:color w:val="15141C"/>
          <w:sz w:val="21"/>
          <w:szCs w:val="21"/>
        </w:rPr>
        <w:t xml:space="preserve">Agotado su estudio y discusión, con fundamento en el artículo 119 fracción </w:t>
      </w:r>
      <w:r>
        <w:rPr>
          <w:rFonts w:ascii="Abadi" w:hAnsi="Abadi" w:cs="*Arial-6548-Identity-H"/>
          <w:color w:val="15141C"/>
          <w:sz w:val="21"/>
          <w:szCs w:val="21"/>
        </w:rPr>
        <w:t xml:space="preserve">II </w:t>
      </w:r>
      <w:r w:rsidRPr="00D639CD">
        <w:rPr>
          <w:rFonts w:ascii="Abadi" w:hAnsi="Abadi" w:cs="*Arial-6548-Identity-H"/>
          <w:color w:val="15141C"/>
          <w:sz w:val="21"/>
          <w:szCs w:val="21"/>
        </w:rPr>
        <w:t>y 180</w:t>
      </w:r>
      <w:r>
        <w:rPr>
          <w:rFonts w:ascii="Abadi" w:hAnsi="Abadi" w:cs="*Arial-6548-Identity-H"/>
          <w:color w:val="15141C"/>
          <w:sz w:val="21"/>
          <w:szCs w:val="21"/>
        </w:rPr>
        <w:t xml:space="preserve"> </w:t>
      </w:r>
      <w:r w:rsidRPr="00D639CD">
        <w:rPr>
          <w:rFonts w:ascii="Abadi" w:hAnsi="Abadi" w:cs="*Arial-6548-Identity-H"/>
          <w:color w:val="15141C"/>
          <w:sz w:val="21"/>
          <w:szCs w:val="21"/>
        </w:rPr>
        <w:t>de la Ley Orgánica del Poder Legislativo del Estado de Guanajuato, se procede</w:t>
      </w:r>
      <w:r w:rsidRPr="00D639CD">
        <w:rPr>
          <w:rFonts w:ascii="Abadi" w:hAnsi="Abadi" w:cs="*Arial-6548-Identity-H"/>
          <w:color w:val="A1A1A1"/>
          <w:sz w:val="21"/>
          <w:szCs w:val="21"/>
        </w:rPr>
        <w:t xml:space="preserve">· </w:t>
      </w:r>
      <w:r w:rsidRPr="00D639CD">
        <w:rPr>
          <w:rFonts w:ascii="Abadi" w:hAnsi="Abadi" w:cs="*Arial-6548-Identity-H"/>
          <w:color w:val="15141C"/>
          <w:sz w:val="21"/>
          <w:szCs w:val="21"/>
        </w:rPr>
        <w:t>a</w:t>
      </w:r>
      <w:r>
        <w:rPr>
          <w:rFonts w:ascii="Abadi" w:hAnsi="Abadi" w:cs="*Arial-6548-Identity-H"/>
          <w:color w:val="15141C"/>
          <w:sz w:val="21"/>
          <w:szCs w:val="21"/>
        </w:rPr>
        <w:t xml:space="preserve"> </w:t>
      </w:r>
      <w:r w:rsidRPr="00D639CD">
        <w:rPr>
          <w:rFonts w:ascii="Abadi" w:hAnsi="Abadi" w:cs="*Arial-6548-Identity-H"/>
          <w:color w:val="15141C"/>
          <w:sz w:val="21"/>
          <w:szCs w:val="21"/>
        </w:rPr>
        <w:t>realizar el siguiente:</w:t>
      </w:r>
    </w:p>
    <w:p w14:paraId="215F7A8D" w14:textId="77777777" w:rsidR="00DB2AFC" w:rsidRDefault="00DB2AFC" w:rsidP="00DB2AFC">
      <w:pPr>
        <w:autoSpaceDE w:val="0"/>
        <w:autoSpaceDN w:val="0"/>
        <w:adjustRightInd w:val="0"/>
        <w:jc w:val="both"/>
        <w:rPr>
          <w:rFonts w:ascii="Abadi" w:hAnsi="Abadi" w:cs="*Arial-Bold-6549-Identity-H"/>
          <w:b/>
          <w:bCs/>
          <w:color w:val="14131E"/>
          <w:sz w:val="21"/>
          <w:szCs w:val="21"/>
        </w:rPr>
      </w:pPr>
    </w:p>
    <w:p w14:paraId="3581D537" w14:textId="77777777" w:rsidR="00DB2AFC" w:rsidRDefault="00DB2AFC" w:rsidP="00DB2AFC">
      <w:pPr>
        <w:autoSpaceDE w:val="0"/>
        <w:autoSpaceDN w:val="0"/>
        <w:adjustRightInd w:val="0"/>
        <w:ind w:firstLine="708"/>
        <w:jc w:val="center"/>
        <w:rPr>
          <w:rFonts w:ascii="Abadi" w:hAnsi="Abadi" w:cs="*Arial-Bold-6549-Identity-H"/>
          <w:b/>
          <w:bCs/>
          <w:color w:val="14111E"/>
          <w:sz w:val="21"/>
          <w:szCs w:val="21"/>
        </w:rPr>
      </w:pPr>
      <w:r w:rsidRPr="00D639CD">
        <w:rPr>
          <w:rFonts w:ascii="Abadi" w:hAnsi="Abadi" w:cs="*Arial-Bold-6549-Identity-H"/>
          <w:b/>
          <w:bCs/>
          <w:color w:val="14111E"/>
          <w:sz w:val="21"/>
          <w:szCs w:val="21"/>
        </w:rPr>
        <w:t>D i c t a</w:t>
      </w:r>
      <w:r>
        <w:rPr>
          <w:rFonts w:ascii="Abadi" w:hAnsi="Abadi" w:cs="*Arial-Bold-6549-Identity-H"/>
          <w:b/>
          <w:bCs/>
          <w:color w:val="14111E"/>
          <w:sz w:val="21"/>
          <w:szCs w:val="21"/>
        </w:rPr>
        <w:t xml:space="preserve"> </w:t>
      </w:r>
      <w:r w:rsidRPr="00D639CD">
        <w:rPr>
          <w:rFonts w:ascii="Abadi" w:hAnsi="Abadi" w:cs="*Arial-Bold-6549-Identity-H"/>
          <w:b/>
          <w:bCs/>
          <w:color w:val="14111E"/>
          <w:sz w:val="21"/>
          <w:szCs w:val="21"/>
        </w:rPr>
        <w:t>m</w:t>
      </w:r>
      <w:r>
        <w:rPr>
          <w:rFonts w:ascii="Abadi" w:hAnsi="Abadi" w:cs="*Arial-Bold-6549-Identity-H"/>
          <w:b/>
          <w:bCs/>
          <w:color w:val="14111E"/>
          <w:sz w:val="21"/>
          <w:szCs w:val="21"/>
        </w:rPr>
        <w:t xml:space="preserve"> </w:t>
      </w:r>
      <w:r w:rsidRPr="00D639CD">
        <w:rPr>
          <w:rFonts w:ascii="Abadi" w:hAnsi="Abadi" w:cs="*Arial-Bold-6549-Identity-H"/>
          <w:b/>
          <w:bCs/>
          <w:color w:val="14111E"/>
          <w:sz w:val="21"/>
          <w:szCs w:val="21"/>
        </w:rPr>
        <w:t>e n</w:t>
      </w:r>
    </w:p>
    <w:p w14:paraId="50DD657D" w14:textId="77777777" w:rsidR="00DB2AFC" w:rsidRDefault="00DB2AFC" w:rsidP="00DB2AFC">
      <w:pPr>
        <w:autoSpaceDE w:val="0"/>
        <w:autoSpaceDN w:val="0"/>
        <w:adjustRightInd w:val="0"/>
        <w:ind w:firstLine="708"/>
        <w:jc w:val="both"/>
        <w:rPr>
          <w:rFonts w:ascii="Abadi" w:hAnsi="Abadi" w:cs="*Arial-Bold-6549-Identity-H"/>
          <w:b/>
          <w:bCs/>
          <w:color w:val="14111E"/>
          <w:sz w:val="21"/>
          <w:szCs w:val="21"/>
        </w:rPr>
      </w:pPr>
    </w:p>
    <w:p w14:paraId="588B4353" w14:textId="77777777" w:rsidR="00DB2AFC" w:rsidRPr="00D639CD" w:rsidRDefault="00DB2AFC" w:rsidP="00DB2AFC">
      <w:pPr>
        <w:autoSpaceDE w:val="0"/>
        <w:autoSpaceDN w:val="0"/>
        <w:adjustRightInd w:val="0"/>
        <w:ind w:firstLine="708"/>
        <w:jc w:val="both"/>
        <w:rPr>
          <w:rFonts w:ascii="Abadi" w:hAnsi="Abadi" w:cs="*Arial-Bold-6549-Identity-H"/>
          <w:b/>
          <w:bCs/>
          <w:color w:val="14131E"/>
          <w:sz w:val="21"/>
          <w:szCs w:val="21"/>
        </w:rPr>
      </w:pPr>
      <w:r w:rsidRPr="00AF152B">
        <w:rPr>
          <w:rFonts w:ascii="Abadi" w:hAnsi="Abadi" w:cs="*Arial-Bold-6549-Identity-H"/>
          <w:b/>
          <w:bCs/>
          <w:color w:val="14131E"/>
          <w:sz w:val="21"/>
          <w:szCs w:val="21"/>
        </w:rPr>
        <w:t xml:space="preserve"> </w:t>
      </w:r>
      <w:r w:rsidRPr="00D639CD">
        <w:rPr>
          <w:rFonts w:ascii="Abadi" w:hAnsi="Abadi" w:cs="*Arial-Bold-6549-Identity-H"/>
          <w:b/>
          <w:bCs/>
          <w:color w:val="14131E"/>
          <w:sz w:val="21"/>
          <w:szCs w:val="21"/>
        </w:rPr>
        <w:t>l. Antecedentes.</w:t>
      </w:r>
    </w:p>
    <w:p w14:paraId="71A2BBF6" w14:textId="77777777" w:rsidR="00DB2AFC" w:rsidRDefault="00DB2AFC" w:rsidP="00DB2AFC">
      <w:pPr>
        <w:autoSpaceDE w:val="0"/>
        <w:autoSpaceDN w:val="0"/>
        <w:adjustRightInd w:val="0"/>
        <w:jc w:val="center"/>
        <w:rPr>
          <w:rFonts w:ascii="Abadi" w:hAnsi="Abadi" w:cs="*Arial-Bold-6549-Identity-H"/>
          <w:b/>
          <w:bCs/>
          <w:color w:val="14111E"/>
          <w:sz w:val="21"/>
          <w:szCs w:val="21"/>
        </w:rPr>
      </w:pPr>
    </w:p>
    <w:p w14:paraId="45E76318" w14:textId="77777777" w:rsidR="00DB2AFC" w:rsidRPr="00D639CD" w:rsidRDefault="00DB2AFC" w:rsidP="00DB2AFC">
      <w:pPr>
        <w:autoSpaceDE w:val="0"/>
        <w:autoSpaceDN w:val="0"/>
        <w:adjustRightInd w:val="0"/>
        <w:jc w:val="both"/>
        <w:rPr>
          <w:rFonts w:ascii="Abadi" w:hAnsi="Abadi" w:cs="*Arial-6548-Identity-H"/>
          <w:color w:val="14131C"/>
          <w:sz w:val="21"/>
          <w:szCs w:val="21"/>
        </w:rPr>
      </w:pPr>
      <w:r w:rsidRPr="00D639CD">
        <w:rPr>
          <w:rFonts w:ascii="Abadi" w:hAnsi="Abadi" w:cs="*Arial-6548-Identity-H"/>
          <w:color w:val="14131C"/>
          <w:sz w:val="21"/>
          <w:szCs w:val="21"/>
        </w:rPr>
        <w:t>La propuesta de acuerdo fue presentada en la sesión ordinaria celebrada en fecha</w:t>
      </w:r>
      <w:r>
        <w:rPr>
          <w:rFonts w:ascii="Abadi" w:hAnsi="Abadi" w:cs="*Arial-6548-Identity-H"/>
          <w:color w:val="14131C"/>
          <w:sz w:val="21"/>
          <w:szCs w:val="21"/>
        </w:rPr>
        <w:t xml:space="preserve"> </w:t>
      </w:r>
      <w:r w:rsidRPr="00D639CD">
        <w:rPr>
          <w:rFonts w:ascii="Abadi" w:hAnsi="Abadi" w:cs="*Arial-6548-Identity-H"/>
          <w:color w:val="14131C"/>
          <w:sz w:val="21"/>
          <w:szCs w:val="21"/>
        </w:rPr>
        <w:t>21 de abril de 2022. Su radicación en la Comisión de Seguridad Pública y</w:t>
      </w:r>
      <w:r>
        <w:rPr>
          <w:rFonts w:ascii="Abadi" w:hAnsi="Abadi" w:cs="*Arial-6548-Identity-H"/>
          <w:color w:val="14131C"/>
          <w:sz w:val="21"/>
          <w:szCs w:val="21"/>
        </w:rPr>
        <w:t xml:space="preserve"> </w:t>
      </w:r>
      <w:r w:rsidRPr="00D639CD">
        <w:rPr>
          <w:rFonts w:ascii="Abadi" w:hAnsi="Abadi" w:cs="*Arial-6548-Identity-H"/>
          <w:color w:val="14131C"/>
          <w:sz w:val="21"/>
          <w:szCs w:val="21"/>
        </w:rPr>
        <w:t>Comunicaciones se realizó en reunión de la misma fecha del presente dictamen.</w:t>
      </w:r>
    </w:p>
    <w:p w14:paraId="58D1594C" w14:textId="77777777" w:rsidR="00DB2AFC" w:rsidRPr="00D639CD" w:rsidRDefault="00DB2AFC" w:rsidP="00DB2AFC">
      <w:pPr>
        <w:jc w:val="both"/>
        <w:rPr>
          <w:rFonts w:ascii="Abadi" w:hAnsi="Abadi" w:cs="*Arial-6548-Identity-H"/>
          <w:color w:val="14131C"/>
          <w:sz w:val="21"/>
          <w:szCs w:val="21"/>
        </w:rPr>
      </w:pPr>
    </w:p>
    <w:p w14:paraId="725BA0AF" w14:textId="77777777" w:rsidR="00DB2AFC" w:rsidRDefault="00DB2AFC" w:rsidP="00DB2AFC">
      <w:pPr>
        <w:autoSpaceDE w:val="0"/>
        <w:autoSpaceDN w:val="0"/>
        <w:adjustRightInd w:val="0"/>
        <w:ind w:firstLine="708"/>
        <w:jc w:val="both"/>
        <w:rPr>
          <w:rFonts w:ascii="Abadi" w:hAnsi="Abadi" w:cs="*Arial-Bold-7200-Identity-H"/>
          <w:b/>
          <w:bCs/>
          <w:color w:val="14131F"/>
          <w:sz w:val="21"/>
          <w:szCs w:val="21"/>
        </w:rPr>
      </w:pPr>
      <w:r>
        <w:rPr>
          <w:rFonts w:ascii="Abadi" w:hAnsi="Abadi" w:cs="*Arial-Bold-7200-Identity-H"/>
          <w:b/>
          <w:bCs/>
          <w:color w:val="14131F"/>
          <w:sz w:val="21"/>
          <w:szCs w:val="21"/>
        </w:rPr>
        <w:t>II</w:t>
      </w:r>
      <w:r w:rsidRPr="00D639CD">
        <w:rPr>
          <w:rFonts w:ascii="Abadi" w:hAnsi="Abadi" w:cs="*Arial-Bold-7200-Identity-H"/>
          <w:b/>
          <w:bCs/>
          <w:color w:val="14131F"/>
          <w:sz w:val="21"/>
          <w:szCs w:val="21"/>
        </w:rPr>
        <w:t>. Consideraciones de quien propone.</w:t>
      </w:r>
    </w:p>
    <w:p w14:paraId="40303EE1" w14:textId="77777777" w:rsidR="00DB2AFC" w:rsidRPr="00D639CD" w:rsidRDefault="00DB2AFC" w:rsidP="00DB2AFC">
      <w:pPr>
        <w:autoSpaceDE w:val="0"/>
        <w:autoSpaceDN w:val="0"/>
        <w:adjustRightInd w:val="0"/>
        <w:jc w:val="both"/>
        <w:rPr>
          <w:rFonts w:ascii="Abadi" w:hAnsi="Abadi" w:cs="*Arial-Bold-7200-Identity-H"/>
          <w:b/>
          <w:bCs/>
          <w:color w:val="14131F"/>
          <w:sz w:val="21"/>
          <w:szCs w:val="21"/>
        </w:rPr>
      </w:pPr>
    </w:p>
    <w:p w14:paraId="27CD7660" w14:textId="3624AC12" w:rsidR="00DB2AFC" w:rsidRDefault="00DB2AFC" w:rsidP="00DB2AFC">
      <w:pPr>
        <w:autoSpaceDE w:val="0"/>
        <w:autoSpaceDN w:val="0"/>
        <w:adjustRightInd w:val="0"/>
        <w:jc w:val="both"/>
        <w:rPr>
          <w:rFonts w:ascii="Abadi" w:hAnsi="Abadi" w:cs="*Arial-7199-Identity-H"/>
          <w:color w:val="14131B"/>
          <w:sz w:val="21"/>
          <w:szCs w:val="21"/>
        </w:rPr>
      </w:pPr>
      <w:r w:rsidRPr="00D639CD">
        <w:rPr>
          <w:rFonts w:ascii="Abadi" w:hAnsi="Abadi" w:cs="*Arial-7199-Identity-H"/>
          <w:color w:val="14131B"/>
          <w:sz w:val="21"/>
          <w:szCs w:val="21"/>
        </w:rPr>
        <w:t xml:space="preserve">Si bien, la inseguridad </w:t>
      </w:r>
      <w:r w:rsidRPr="00D639CD">
        <w:rPr>
          <w:rFonts w:ascii="Abadi" w:hAnsi="Abadi" w:cs="*Microsoft Sans Serif-7201-Iden"/>
          <w:color w:val="14131B"/>
          <w:sz w:val="21"/>
          <w:szCs w:val="21"/>
        </w:rPr>
        <w:t xml:space="preserve">y </w:t>
      </w:r>
      <w:r w:rsidRPr="00D639CD">
        <w:rPr>
          <w:rFonts w:ascii="Abadi" w:hAnsi="Abadi" w:cs="*Arial-7199-Identity-H"/>
          <w:color w:val="14131B"/>
          <w:sz w:val="21"/>
          <w:szCs w:val="21"/>
        </w:rPr>
        <w:t xml:space="preserve">la violencia que impera en nuestro país </w:t>
      </w:r>
      <w:r w:rsidRPr="00D639CD">
        <w:rPr>
          <w:rFonts w:ascii="Abadi" w:hAnsi="Abadi" w:cs="*Microsoft Sans Serif-7201-Iden"/>
          <w:color w:val="14131B"/>
          <w:sz w:val="21"/>
          <w:szCs w:val="21"/>
        </w:rPr>
        <w:t xml:space="preserve">y </w:t>
      </w:r>
      <w:r w:rsidRPr="00D639CD">
        <w:rPr>
          <w:rFonts w:ascii="Abadi" w:hAnsi="Abadi" w:cs="*Arial-7199-Identity-H"/>
          <w:color w:val="14131B"/>
          <w:sz w:val="21"/>
          <w:szCs w:val="21"/>
        </w:rPr>
        <w:t>nuestra entidad</w:t>
      </w:r>
      <w:r>
        <w:rPr>
          <w:rFonts w:ascii="Abadi" w:hAnsi="Abadi" w:cs="*Arial-7199-Identity-H"/>
          <w:color w:val="14131B"/>
          <w:sz w:val="21"/>
          <w:szCs w:val="21"/>
        </w:rPr>
        <w:t xml:space="preserve"> </w:t>
      </w:r>
      <w:r w:rsidRPr="00D639CD">
        <w:rPr>
          <w:rFonts w:ascii="Abadi" w:hAnsi="Abadi" w:cs="*Arial-7199-Identity-H"/>
          <w:color w:val="14131B"/>
          <w:sz w:val="21"/>
          <w:szCs w:val="21"/>
        </w:rPr>
        <w:t>poseen orígenes multifactoriales, en las que todas las causas deben ser atendidas</w:t>
      </w:r>
      <w:r>
        <w:rPr>
          <w:rFonts w:ascii="Abadi" w:hAnsi="Abadi" w:cs="*Arial-7199-Identity-H"/>
          <w:color w:val="14131B"/>
          <w:sz w:val="21"/>
          <w:szCs w:val="21"/>
        </w:rPr>
        <w:t xml:space="preserve"> </w:t>
      </w:r>
      <w:r w:rsidRPr="00D639CD">
        <w:rPr>
          <w:rFonts w:ascii="Abadi" w:hAnsi="Abadi" w:cs="*Arial-7199-Identity-H"/>
          <w:color w:val="14131B"/>
          <w:sz w:val="21"/>
          <w:szCs w:val="21"/>
        </w:rPr>
        <w:t xml:space="preserve">con el rigor que exige nuestra Constitución, </w:t>
      </w:r>
      <w:r w:rsidRPr="00D639CD">
        <w:rPr>
          <w:rFonts w:ascii="Abadi" w:hAnsi="Abadi" w:cs="*Microsoft Sans Serif-7201-Iden"/>
          <w:color w:val="14131B"/>
          <w:sz w:val="21"/>
          <w:szCs w:val="21"/>
        </w:rPr>
        <w:t xml:space="preserve">y </w:t>
      </w:r>
      <w:r w:rsidRPr="00D639CD">
        <w:rPr>
          <w:rFonts w:ascii="Abadi" w:hAnsi="Abadi" w:cs="*Arial-7199-Identity-H"/>
          <w:color w:val="14131B"/>
          <w:sz w:val="21"/>
          <w:szCs w:val="21"/>
        </w:rPr>
        <w:t>los más altos principios sobre los</w:t>
      </w:r>
      <w:r>
        <w:rPr>
          <w:rFonts w:ascii="Abadi" w:hAnsi="Abadi" w:cs="*Arial-7199-Identity-H"/>
          <w:color w:val="14131B"/>
          <w:sz w:val="21"/>
          <w:szCs w:val="21"/>
        </w:rPr>
        <w:t xml:space="preserve"> </w:t>
      </w:r>
      <w:r w:rsidRPr="00D639CD">
        <w:rPr>
          <w:rFonts w:ascii="Abadi" w:hAnsi="Abadi" w:cs="*Arial-7199-Identity-H"/>
          <w:color w:val="14131B"/>
          <w:sz w:val="21"/>
          <w:szCs w:val="21"/>
        </w:rPr>
        <w:t>que se rige el Estado de Derecho, existen factores que tienden al complejizar la</w:t>
      </w:r>
      <w:r>
        <w:rPr>
          <w:rFonts w:ascii="Abadi" w:hAnsi="Abadi" w:cs="*Arial-7199-Identity-H"/>
          <w:color w:val="14131B"/>
          <w:sz w:val="21"/>
          <w:szCs w:val="21"/>
        </w:rPr>
        <w:t xml:space="preserve"> </w:t>
      </w:r>
      <w:r w:rsidRPr="00D639CD">
        <w:rPr>
          <w:rFonts w:ascii="Abadi" w:hAnsi="Abadi" w:cs="*Arial-7199-Identity-H"/>
          <w:color w:val="14131B"/>
          <w:sz w:val="21"/>
          <w:szCs w:val="21"/>
        </w:rPr>
        <w:t xml:space="preserve">labor de todas las autoridades para combatir estos fenómenos, su gradualidad </w:t>
      </w:r>
      <w:r w:rsidRPr="00D639CD">
        <w:rPr>
          <w:rFonts w:ascii="Abadi" w:hAnsi="Abadi" w:cs="*Microsoft Sans Serif-7201-Iden"/>
          <w:color w:val="14131B"/>
          <w:sz w:val="21"/>
          <w:szCs w:val="21"/>
        </w:rPr>
        <w:t>y</w:t>
      </w:r>
      <w:r>
        <w:rPr>
          <w:rFonts w:ascii="Abadi" w:hAnsi="Abadi" w:cs="*Microsoft Sans Serif-7201-Iden"/>
          <w:color w:val="14131B"/>
          <w:sz w:val="21"/>
          <w:szCs w:val="21"/>
        </w:rPr>
        <w:t xml:space="preserve"> </w:t>
      </w:r>
      <w:r w:rsidRPr="00D639CD">
        <w:rPr>
          <w:rFonts w:ascii="Abadi" w:hAnsi="Abadi" w:cs="*Arial-7199-Identity-H"/>
          <w:color w:val="14131B"/>
          <w:sz w:val="21"/>
          <w:szCs w:val="21"/>
        </w:rPr>
        <w:t xml:space="preserve">escalamiento, </w:t>
      </w:r>
      <w:r w:rsidRPr="00D639CD">
        <w:rPr>
          <w:rFonts w:ascii="Abadi" w:hAnsi="Abadi" w:cs="*Microsoft Sans Serif-7201-Iden"/>
          <w:color w:val="14131B"/>
          <w:sz w:val="21"/>
          <w:szCs w:val="21"/>
        </w:rPr>
        <w:t xml:space="preserve">y </w:t>
      </w:r>
      <w:r w:rsidRPr="00D639CD">
        <w:rPr>
          <w:rFonts w:ascii="Abadi" w:hAnsi="Abadi" w:cs="*Arial-7199-Identity-H"/>
          <w:color w:val="14131B"/>
          <w:sz w:val="21"/>
          <w:szCs w:val="21"/>
        </w:rPr>
        <w:t xml:space="preserve">que se reflejan en el alto grado de impunidad </w:t>
      </w:r>
      <w:r w:rsidRPr="00D639CD">
        <w:rPr>
          <w:rFonts w:ascii="Abadi" w:hAnsi="Abadi" w:cs="*Microsoft Sans Serif-7201-Iden"/>
          <w:color w:val="14131B"/>
          <w:sz w:val="21"/>
          <w:szCs w:val="21"/>
        </w:rPr>
        <w:t xml:space="preserve">y </w:t>
      </w:r>
      <w:r w:rsidRPr="00D639CD">
        <w:rPr>
          <w:rFonts w:ascii="Abadi" w:hAnsi="Abadi" w:cs="*Arial-7199-Identity-H"/>
          <w:color w:val="14131B"/>
          <w:sz w:val="21"/>
          <w:szCs w:val="21"/>
        </w:rPr>
        <w:t>diversidad de</w:t>
      </w:r>
      <w:r w:rsidR="00B754B7">
        <w:rPr>
          <w:rFonts w:ascii="Abadi" w:hAnsi="Abadi" w:cs="*Arial-7199-Identity-H"/>
          <w:color w:val="14131B"/>
          <w:sz w:val="21"/>
          <w:szCs w:val="21"/>
        </w:rPr>
        <w:t xml:space="preserve"> </w:t>
      </w:r>
      <w:r w:rsidRPr="00D639CD">
        <w:rPr>
          <w:rFonts w:ascii="Abadi" w:hAnsi="Abadi" w:cs="*Arial-7199-Identity-H"/>
          <w:color w:val="14131B"/>
          <w:sz w:val="21"/>
          <w:szCs w:val="21"/>
        </w:rPr>
        <w:t>crímenes que se cometen en México.</w:t>
      </w:r>
    </w:p>
    <w:p w14:paraId="1042FBB2" w14:textId="77777777" w:rsidR="00DB2AFC" w:rsidRPr="00D639CD" w:rsidRDefault="00DB2AFC" w:rsidP="00DB2AFC">
      <w:pPr>
        <w:autoSpaceDE w:val="0"/>
        <w:autoSpaceDN w:val="0"/>
        <w:adjustRightInd w:val="0"/>
        <w:jc w:val="both"/>
        <w:rPr>
          <w:rFonts w:ascii="Abadi" w:hAnsi="Abadi" w:cs="*Arial-7199-Identity-H"/>
          <w:color w:val="14131B"/>
          <w:sz w:val="21"/>
          <w:szCs w:val="21"/>
        </w:rPr>
      </w:pPr>
    </w:p>
    <w:p w14:paraId="74BEA5B1" w14:textId="77777777" w:rsidR="00DB2AFC" w:rsidRDefault="00DB2AFC" w:rsidP="00DB2AFC">
      <w:pPr>
        <w:autoSpaceDE w:val="0"/>
        <w:autoSpaceDN w:val="0"/>
        <w:adjustRightInd w:val="0"/>
        <w:jc w:val="both"/>
        <w:rPr>
          <w:rFonts w:ascii="Abadi" w:hAnsi="Abadi" w:cs="*Arial-7199-Identity-H"/>
          <w:color w:val="14131B"/>
          <w:sz w:val="21"/>
          <w:szCs w:val="21"/>
        </w:rPr>
      </w:pPr>
      <w:r w:rsidRPr="00D639CD">
        <w:rPr>
          <w:rFonts w:ascii="Abadi" w:hAnsi="Abadi" w:cs="*Arial-7199-Identity-H"/>
          <w:color w:val="14131B"/>
          <w:sz w:val="21"/>
          <w:szCs w:val="21"/>
        </w:rPr>
        <w:t>Uno de estos principales factores que agrava esta problemática, es la innegable</w:t>
      </w:r>
      <w:r>
        <w:rPr>
          <w:rFonts w:ascii="Abadi" w:hAnsi="Abadi" w:cs="*Arial-7199-Identity-H"/>
          <w:color w:val="14131B"/>
          <w:sz w:val="21"/>
          <w:szCs w:val="21"/>
        </w:rPr>
        <w:t xml:space="preserve"> </w:t>
      </w:r>
      <w:r w:rsidRPr="00D639CD">
        <w:rPr>
          <w:rFonts w:ascii="Abadi" w:hAnsi="Abadi" w:cs="*Arial-7199-Identity-H"/>
          <w:color w:val="14131B"/>
          <w:sz w:val="21"/>
          <w:szCs w:val="21"/>
        </w:rPr>
        <w:t>realidad del poder de fuego que tienen los criminales en México que,</w:t>
      </w:r>
      <w:r>
        <w:rPr>
          <w:rFonts w:ascii="Abadi" w:hAnsi="Abadi" w:cs="*Arial-7199-Identity-H"/>
          <w:color w:val="14131B"/>
          <w:sz w:val="21"/>
          <w:szCs w:val="21"/>
        </w:rPr>
        <w:t xml:space="preserve"> </w:t>
      </w:r>
      <w:r w:rsidRPr="00D639CD">
        <w:rPr>
          <w:rFonts w:ascii="Abadi" w:hAnsi="Abadi" w:cs="*Arial-7199-Identity-H"/>
          <w:color w:val="14131B"/>
          <w:sz w:val="21"/>
          <w:szCs w:val="21"/>
        </w:rPr>
        <w:t>independientemente del fuero con el que se les persiga, poseen una capacidad</w:t>
      </w:r>
      <w:r>
        <w:rPr>
          <w:rFonts w:ascii="Abadi" w:hAnsi="Abadi" w:cs="*Arial-7199-Identity-H"/>
          <w:color w:val="14131B"/>
          <w:sz w:val="21"/>
          <w:szCs w:val="21"/>
        </w:rPr>
        <w:t xml:space="preserve"> </w:t>
      </w:r>
      <w:r w:rsidRPr="00D639CD">
        <w:rPr>
          <w:rFonts w:ascii="Abadi" w:hAnsi="Abadi" w:cs="*Arial-7199-Identity-H"/>
          <w:color w:val="14131B"/>
          <w:sz w:val="21"/>
          <w:szCs w:val="21"/>
        </w:rPr>
        <w:t>armamentista envidiable, incluso, para grupos beligerantes.</w:t>
      </w:r>
    </w:p>
    <w:p w14:paraId="50E762D2" w14:textId="77777777" w:rsidR="00DB2AFC" w:rsidRPr="00D639CD" w:rsidRDefault="00DB2AFC" w:rsidP="00DB2AFC">
      <w:pPr>
        <w:autoSpaceDE w:val="0"/>
        <w:autoSpaceDN w:val="0"/>
        <w:adjustRightInd w:val="0"/>
        <w:jc w:val="both"/>
        <w:rPr>
          <w:rFonts w:ascii="Abadi" w:hAnsi="Abadi" w:cs="*Arial-7199-Identity-H"/>
          <w:color w:val="14131B"/>
          <w:sz w:val="21"/>
          <w:szCs w:val="21"/>
        </w:rPr>
      </w:pPr>
    </w:p>
    <w:p w14:paraId="57C7054E" w14:textId="77777777" w:rsidR="00DB2AFC" w:rsidRDefault="00DB2AFC" w:rsidP="00DB2AFC">
      <w:pPr>
        <w:autoSpaceDE w:val="0"/>
        <w:autoSpaceDN w:val="0"/>
        <w:adjustRightInd w:val="0"/>
        <w:jc w:val="both"/>
        <w:rPr>
          <w:rFonts w:ascii="Abadi" w:hAnsi="Abadi" w:cs="*Arial-7199-Identity-H"/>
          <w:color w:val="14131B"/>
          <w:sz w:val="21"/>
          <w:szCs w:val="21"/>
        </w:rPr>
      </w:pPr>
      <w:r w:rsidRPr="00D639CD">
        <w:rPr>
          <w:rFonts w:ascii="Abadi" w:hAnsi="Abadi" w:cs="*Arial-7199-Identity-H"/>
          <w:color w:val="14131B"/>
          <w:sz w:val="21"/>
          <w:szCs w:val="21"/>
        </w:rPr>
        <w:t>Dicha situación se ha visto agravada por la ineficacia que ha tenido el Estado</w:t>
      </w:r>
      <w:r>
        <w:rPr>
          <w:rFonts w:ascii="Abadi" w:hAnsi="Abadi" w:cs="*Arial-7199-Identity-H"/>
          <w:color w:val="14131B"/>
          <w:sz w:val="21"/>
          <w:szCs w:val="21"/>
        </w:rPr>
        <w:t xml:space="preserve"> </w:t>
      </w:r>
      <w:r w:rsidRPr="00D639CD">
        <w:rPr>
          <w:rFonts w:ascii="Abadi" w:hAnsi="Abadi" w:cs="*Arial-7199-Identity-H"/>
          <w:color w:val="14131B"/>
          <w:sz w:val="21"/>
          <w:szCs w:val="21"/>
        </w:rPr>
        <w:t xml:space="preserve">Mexicano en impedir, perseguir </w:t>
      </w:r>
      <w:r w:rsidRPr="00D639CD">
        <w:rPr>
          <w:rFonts w:ascii="Abadi" w:hAnsi="Abadi" w:cs="*Microsoft Sans Serif-7201-Iden"/>
          <w:color w:val="14131B"/>
          <w:sz w:val="21"/>
          <w:szCs w:val="21"/>
        </w:rPr>
        <w:t xml:space="preserve">y </w:t>
      </w:r>
      <w:r w:rsidRPr="00D639CD">
        <w:rPr>
          <w:rFonts w:ascii="Abadi" w:hAnsi="Abadi" w:cs="*Arial-7199-Identity-H"/>
          <w:color w:val="14131B"/>
          <w:sz w:val="21"/>
          <w:szCs w:val="21"/>
        </w:rPr>
        <w:t xml:space="preserve">castigar, la introducción, tráfico, acopio </w:t>
      </w:r>
      <w:r w:rsidRPr="00D639CD">
        <w:rPr>
          <w:rFonts w:ascii="Abadi" w:hAnsi="Abadi" w:cs="*Microsoft Sans Serif-7201-Iden"/>
          <w:color w:val="14131B"/>
          <w:sz w:val="21"/>
          <w:szCs w:val="21"/>
        </w:rPr>
        <w:t>y</w:t>
      </w:r>
      <w:r>
        <w:rPr>
          <w:rFonts w:ascii="Abadi" w:hAnsi="Abadi" w:cs="*Microsoft Sans Serif-7201-Iden"/>
          <w:color w:val="14131B"/>
          <w:sz w:val="21"/>
          <w:szCs w:val="21"/>
        </w:rPr>
        <w:t xml:space="preserve"> </w:t>
      </w:r>
      <w:r w:rsidRPr="00D639CD">
        <w:rPr>
          <w:rFonts w:ascii="Abadi" w:hAnsi="Abadi" w:cs="*Arial-7199-Identity-H"/>
          <w:color w:val="14131B"/>
          <w:sz w:val="21"/>
          <w:szCs w:val="21"/>
        </w:rPr>
        <w:t>posesión de armas de fuego, ilícitos que, aunque, a algunos no les guste</w:t>
      </w:r>
      <w:r>
        <w:rPr>
          <w:rFonts w:ascii="Abadi" w:hAnsi="Abadi" w:cs="*Arial-7199-Identity-H"/>
          <w:color w:val="14131B"/>
          <w:sz w:val="21"/>
          <w:szCs w:val="21"/>
        </w:rPr>
        <w:t xml:space="preserve"> </w:t>
      </w:r>
      <w:r w:rsidRPr="00D639CD">
        <w:rPr>
          <w:rFonts w:ascii="Abadi" w:hAnsi="Abadi" w:cs="*Arial-7199-Identity-H"/>
          <w:color w:val="14131B"/>
          <w:sz w:val="21"/>
          <w:szCs w:val="21"/>
        </w:rPr>
        <w:t xml:space="preserve">reconocer, se encuentran dentro del monopolio de seguridad </w:t>
      </w:r>
      <w:r w:rsidRPr="00D639CD">
        <w:rPr>
          <w:rFonts w:ascii="Abadi" w:hAnsi="Abadi" w:cs="*Microsoft Sans Serif-7201-Iden"/>
          <w:color w:val="14131B"/>
          <w:sz w:val="21"/>
          <w:szCs w:val="21"/>
        </w:rPr>
        <w:t xml:space="preserve">y </w:t>
      </w:r>
      <w:r w:rsidRPr="00D639CD">
        <w:rPr>
          <w:rFonts w:ascii="Abadi" w:hAnsi="Abadi" w:cs="*Arial-7199-Identity-H"/>
          <w:color w:val="14131B"/>
          <w:sz w:val="21"/>
          <w:szCs w:val="21"/>
        </w:rPr>
        <w:t>procuración de</w:t>
      </w:r>
      <w:r>
        <w:rPr>
          <w:rFonts w:ascii="Abadi" w:hAnsi="Abadi" w:cs="*Arial-7199-Identity-H"/>
          <w:color w:val="14131B"/>
          <w:sz w:val="21"/>
          <w:szCs w:val="21"/>
        </w:rPr>
        <w:t xml:space="preserve"> </w:t>
      </w:r>
      <w:r w:rsidRPr="00D639CD">
        <w:rPr>
          <w:rFonts w:ascii="Abadi" w:hAnsi="Abadi" w:cs="*Arial-7199-Identity-H"/>
          <w:color w:val="14131B"/>
          <w:sz w:val="21"/>
          <w:szCs w:val="21"/>
        </w:rPr>
        <w:t xml:space="preserve">justicia del fuero federal, pues dicho armamento </w:t>
      </w:r>
      <w:r w:rsidRPr="00D639CD">
        <w:rPr>
          <w:rFonts w:ascii="Abadi" w:hAnsi="Abadi" w:cs="*Microsoft Sans Serif-7201-Iden"/>
          <w:color w:val="14131B"/>
          <w:sz w:val="21"/>
          <w:szCs w:val="21"/>
        </w:rPr>
        <w:t xml:space="preserve">y </w:t>
      </w:r>
      <w:r w:rsidRPr="00D639CD">
        <w:rPr>
          <w:rFonts w:ascii="Abadi" w:hAnsi="Abadi" w:cs="*Arial-7199-Identity-H"/>
          <w:color w:val="14131B"/>
          <w:sz w:val="21"/>
          <w:szCs w:val="21"/>
        </w:rPr>
        <w:t>cartuchos no llegan solos, se</w:t>
      </w:r>
      <w:r>
        <w:rPr>
          <w:rFonts w:ascii="Abadi" w:hAnsi="Abadi" w:cs="*Arial-7199-Identity-H"/>
          <w:color w:val="14131B"/>
          <w:sz w:val="21"/>
          <w:szCs w:val="21"/>
        </w:rPr>
        <w:t xml:space="preserve"> </w:t>
      </w:r>
      <w:r w:rsidRPr="00D639CD">
        <w:rPr>
          <w:rFonts w:ascii="Abadi" w:hAnsi="Abadi" w:cs="*Arial-7199-Identity-H"/>
          <w:color w:val="14131B"/>
          <w:sz w:val="21"/>
          <w:szCs w:val="21"/>
        </w:rPr>
        <w:t>introducen por donde los fabrican, comercializan y son terceros los que los</w:t>
      </w:r>
      <w:r>
        <w:rPr>
          <w:rFonts w:ascii="Abadi" w:hAnsi="Abadi" w:cs="*Arial-7199-Identity-H"/>
          <w:color w:val="14131B"/>
          <w:sz w:val="21"/>
          <w:szCs w:val="21"/>
        </w:rPr>
        <w:t xml:space="preserve"> </w:t>
      </w:r>
      <w:r w:rsidRPr="00D639CD">
        <w:rPr>
          <w:rFonts w:ascii="Abadi" w:hAnsi="Abadi" w:cs="*Arial-7199-Identity-H"/>
          <w:color w:val="14131B"/>
          <w:sz w:val="21"/>
          <w:szCs w:val="21"/>
        </w:rPr>
        <w:t xml:space="preserve">introducen al país por su fronteras, litorales </w:t>
      </w:r>
      <w:r w:rsidRPr="00D639CD">
        <w:rPr>
          <w:rFonts w:ascii="Abadi" w:hAnsi="Abadi" w:cs="*Microsoft Sans Serif-7201-Iden"/>
          <w:color w:val="14131B"/>
          <w:sz w:val="21"/>
          <w:szCs w:val="21"/>
        </w:rPr>
        <w:t xml:space="preserve">y </w:t>
      </w:r>
      <w:r w:rsidRPr="00D639CD">
        <w:rPr>
          <w:rFonts w:ascii="Abadi" w:hAnsi="Abadi" w:cs="*Arial-7199-Identity-H"/>
          <w:color w:val="14131B"/>
          <w:sz w:val="21"/>
          <w:szCs w:val="21"/>
        </w:rPr>
        <w:t>aduanas.</w:t>
      </w:r>
      <w:r>
        <w:rPr>
          <w:rFonts w:ascii="Abadi" w:hAnsi="Abadi" w:cs="*Arial-7199-Identity-H"/>
          <w:color w:val="14131B"/>
          <w:sz w:val="21"/>
          <w:szCs w:val="21"/>
        </w:rPr>
        <w:t xml:space="preserve"> </w:t>
      </w:r>
    </w:p>
    <w:p w14:paraId="09235436" w14:textId="77777777" w:rsidR="00DB2AFC" w:rsidRDefault="00DB2AFC" w:rsidP="00DB2AFC">
      <w:pPr>
        <w:autoSpaceDE w:val="0"/>
        <w:autoSpaceDN w:val="0"/>
        <w:adjustRightInd w:val="0"/>
        <w:jc w:val="both"/>
        <w:rPr>
          <w:rFonts w:ascii="Abadi" w:hAnsi="Abadi" w:cs="*Arial-7199-Identity-H"/>
          <w:color w:val="14131B"/>
          <w:sz w:val="21"/>
          <w:szCs w:val="21"/>
        </w:rPr>
      </w:pPr>
    </w:p>
    <w:p w14:paraId="2B624B0C" w14:textId="77777777" w:rsidR="00DB2AFC" w:rsidRPr="00D639CD" w:rsidRDefault="00DB2AFC" w:rsidP="00DB2AFC">
      <w:pPr>
        <w:autoSpaceDE w:val="0"/>
        <w:autoSpaceDN w:val="0"/>
        <w:adjustRightInd w:val="0"/>
        <w:jc w:val="both"/>
        <w:rPr>
          <w:rFonts w:ascii="Abadi" w:hAnsi="Abadi" w:cs="*Arial-7199-Identity-H"/>
          <w:color w:val="14131B"/>
          <w:sz w:val="21"/>
          <w:szCs w:val="21"/>
        </w:rPr>
      </w:pPr>
    </w:p>
    <w:p w14:paraId="74E5E45F" w14:textId="77777777" w:rsidR="00DB2AFC" w:rsidRPr="00D639CD" w:rsidRDefault="00DB2AFC" w:rsidP="00DB2AFC">
      <w:pPr>
        <w:autoSpaceDE w:val="0"/>
        <w:autoSpaceDN w:val="0"/>
        <w:adjustRightInd w:val="0"/>
        <w:jc w:val="both"/>
        <w:rPr>
          <w:rFonts w:ascii="Abadi" w:hAnsi="Abadi" w:cs="*Arial-7199-Identity-H"/>
          <w:color w:val="14131C"/>
          <w:sz w:val="21"/>
          <w:szCs w:val="21"/>
        </w:rPr>
      </w:pPr>
      <w:r w:rsidRPr="00D639CD">
        <w:rPr>
          <w:rFonts w:ascii="Abadi" w:hAnsi="Abadi" w:cs="*Arial-7199-Identity-H"/>
          <w:color w:val="14131C"/>
          <w:sz w:val="21"/>
          <w:szCs w:val="21"/>
        </w:rPr>
        <w:t>Y lo anterior es así porque, en materia de control fronterizo y tráfico de</w:t>
      </w:r>
      <w:r>
        <w:rPr>
          <w:rFonts w:ascii="Abadi" w:hAnsi="Abadi" w:cs="*Arial-7199-Identity-H"/>
          <w:color w:val="14131C"/>
          <w:sz w:val="21"/>
          <w:szCs w:val="21"/>
        </w:rPr>
        <w:t xml:space="preserve"> </w:t>
      </w:r>
      <w:r w:rsidRPr="00D639CD">
        <w:rPr>
          <w:rFonts w:ascii="Abadi" w:hAnsi="Abadi" w:cs="*Arial-7199-Identity-H"/>
          <w:color w:val="14131C"/>
          <w:sz w:val="21"/>
          <w:szCs w:val="21"/>
        </w:rPr>
        <w:t>mercancías, las únicas autoridades que tienen injerencia directa son las federales,</w:t>
      </w:r>
      <w:r>
        <w:rPr>
          <w:rFonts w:ascii="Abadi" w:hAnsi="Abadi" w:cs="*Arial-7199-Identity-H"/>
          <w:color w:val="14131C"/>
          <w:sz w:val="21"/>
          <w:szCs w:val="21"/>
        </w:rPr>
        <w:t xml:space="preserve"> </w:t>
      </w:r>
      <w:r w:rsidRPr="00D639CD">
        <w:rPr>
          <w:rFonts w:ascii="Abadi" w:hAnsi="Abadi" w:cs="*Arial-7199-Identity-H"/>
          <w:color w:val="14131C"/>
          <w:sz w:val="21"/>
          <w:szCs w:val="21"/>
        </w:rPr>
        <w:t>es decir, si bien las consecuencias del contrabando de estos instrumentos de la</w:t>
      </w:r>
      <w:r>
        <w:rPr>
          <w:rFonts w:ascii="Abadi" w:hAnsi="Abadi" w:cs="*Arial-7199-Identity-H"/>
          <w:color w:val="14131C"/>
          <w:sz w:val="21"/>
          <w:szCs w:val="21"/>
        </w:rPr>
        <w:t xml:space="preserve"> </w:t>
      </w:r>
      <w:r w:rsidRPr="00D639CD">
        <w:rPr>
          <w:rFonts w:ascii="Abadi" w:hAnsi="Abadi" w:cs="*Arial-7199-Identity-H"/>
          <w:color w:val="14131C"/>
          <w:sz w:val="21"/>
          <w:szCs w:val="21"/>
        </w:rPr>
        <w:t>muerte afectan a todas las Entidades, sólo la Federación es la responsable de</w:t>
      </w:r>
      <w:r>
        <w:rPr>
          <w:rFonts w:ascii="Abadi" w:hAnsi="Abadi" w:cs="*Arial-7199-Identity-H"/>
          <w:color w:val="14131C"/>
          <w:sz w:val="21"/>
          <w:szCs w:val="21"/>
        </w:rPr>
        <w:t xml:space="preserve"> </w:t>
      </w:r>
      <w:r w:rsidRPr="00D639CD">
        <w:rPr>
          <w:rFonts w:ascii="Abadi" w:hAnsi="Abadi" w:cs="*Arial-7199-Identity-H"/>
          <w:color w:val="14131C"/>
          <w:sz w:val="21"/>
          <w:szCs w:val="21"/>
        </w:rPr>
        <w:t>evitar que las mismas ingresen a nuestros territorios, lo que nos deja en un</w:t>
      </w:r>
    </w:p>
    <w:p w14:paraId="3277089F" w14:textId="77777777" w:rsidR="00DB2AFC" w:rsidRPr="00D639CD" w:rsidRDefault="00DB2AFC" w:rsidP="00DB2AFC">
      <w:pPr>
        <w:jc w:val="both"/>
        <w:rPr>
          <w:rFonts w:ascii="Abadi" w:hAnsi="Abadi" w:cs="*Arial-7199-Identity-H"/>
          <w:color w:val="14131C"/>
          <w:sz w:val="21"/>
          <w:szCs w:val="21"/>
        </w:rPr>
      </w:pPr>
      <w:r w:rsidRPr="00D639CD">
        <w:rPr>
          <w:rFonts w:ascii="Abadi" w:hAnsi="Abadi" w:cs="*Arial-7199-Identity-H"/>
          <w:color w:val="14131C"/>
          <w:sz w:val="21"/>
          <w:szCs w:val="21"/>
        </w:rPr>
        <w:t>verdadero estado de indefensión.</w:t>
      </w:r>
    </w:p>
    <w:p w14:paraId="1B929C32" w14:textId="77777777" w:rsidR="00DB2AFC" w:rsidRPr="00D639CD" w:rsidRDefault="00DB2AFC" w:rsidP="00DB2AFC">
      <w:pPr>
        <w:jc w:val="both"/>
        <w:rPr>
          <w:rFonts w:ascii="Abadi" w:hAnsi="Abadi" w:cs="*Arial-7199-Identity-H"/>
          <w:color w:val="14131C"/>
          <w:sz w:val="21"/>
          <w:szCs w:val="21"/>
        </w:rPr>
      </w:pPr>
    </w:p>
    <w:p w14:paraId="627EFB3C" w14:textId="77777777" w:rsidR="00DB2AFC" w:rsidRDefault="00DB2AFC" w:rsidP="00DB2AFC">
      <w:pPr>
        <w:autoSpaceDE w:val="0"/>
        <w:autoSpaceDN w:val="0"/>
        <w:adjustRightInd w:val="0"/>
        <w:jc w:val="both"/>
        <w:rPr>
          <w:rFonts w:ascii="Abadi" w:hAnsi="Abadi" w:cs="*Arial-7378-Identity-H"/>
          <w:color w:val="15141D"/>
          <w:sz w:val="21"/>
          <w:szCs w:val="21"/>
        </w:rPr>
      </w:pPr>
      <w:r w:rsidRPr="00D639CD">
        <w:rPr>
          <w:rFonts w:ascii="Abadi" w:hAnsi="Abadi" w:cs="*Arial-7378-Identity-H"/>
          <w:color w:val="15141D"/>
          <w:sz w:val="21"/>
          <w:szCs w:val="21"/>
        </w:rPr>
        <w:t>Si bien, es común recurrir al infundado debate de ¿a qué orden de gobierno se</w:t>
      </w:r>
      <w:r>
        <w:rPr>
          <w:rFonts w:ascii="Abadi" w:hAnsi="Abadi" w:cs="*Arial-7378-Identity-H"/>
          <w:color w:val="15141D"/>
          <w:sz w:val="21"/>
          <w:szCs w:val="21"/>
        </w:rPr>
        <w:t xml:space="preserve"> </w:t>
      </w:r>
      <w:r w:rsidRPr="00D639CD">
        <w:rPr>
          <w:rFonts w:ascii="Abadi" w:hAnsi="Abadi" w:cs="*Arial-7378-Identity-H"/>
          <w:color w:val="15141D"/>
          <w:sz w:val="21"/>
          <w:szCs w:val="21"/>
        </w:rPr>
        <w:t>debe responsabilizar por la inseguridad?, la realidad es que, por cada delito en el</w:t>
      </w:r>
      <w:r>
        <w:rPr>
          <w:rFonts w:ascii="Abadi" w:hAnsi="Abadi" w:cs="*Arial-7378-Identity-H"/>
          <w:color w:val="15141D"/>
          <w:sz w:val="21"/>
          <w:szCs w:val="21"/>
        </w:rPr>
        <w:t xml:space="preserve"> </w:t>
      </w:r>
      <w:r w:rsidRPr="00D639CD">
        <w:rPr>
          <w:rFonts w:ascii="Abadi" w:hAnsi="Abadi" w:cs="*Arial-7378-Identity-H"/>
          <w:color w:val="15141D"/>
          <w:sz w:val="21"/>
          <w:szCs w:val="21"/>
        </w:rPr>
        <w:t>que se involucra un arma de fuego, existen cuando menos otros cuatro que le</w:t>
      </w:r>
      <w:r>
        <w:rPr>
          <w:rFonts w:ascii="Abadi" w:hAnsi="Abadi" w:cs="*Arial-7378-Identity-H"/>
          <w:color w:val="15141D"/>
          <w:sz w:val="21"/>
          <w:szCs w:val="21"/>
        </w:rPr>
        <w:t xml:space="preserve"> </w:t>
      </w:r>
      <w:r w:rsidRPr="00D639CD">
        <w:rPr>
          <w:rFonts w:ascii="Abadi" w:hAnsi="Abadi" w:cs="*Arial-7378-Identity-H"/>
          <w:color w:val="15141D"/>
          <w:sz w:val="21"/>
          <w:szCs w:val="21"/>
        </w:rPr>
        <w:t>precedieron con impunidad, los de contrabando; acopio; tráfico; y portación de</w:t>
      </w:r>
      <w:r>
        <w:rPr>
          <w:rFonts w:ascii="Abadi" w:hAnsi="Abadi" w:cs="*Arial-7378-Identity-H"/>
          <w:color w:val="15141D"/>
          <w:sz w:val="21"/>
          <w:szCs w:val="21"/>
        </w:rPr>
        <w:t xml:space="preserve"> </w:t>
      </w:r>
      <w:r w:rsidRPr="00D639CD">
        <w:rPr>
          <w:rFonts w:ascii="Abadi" w:hAnsi="Abadi" w:cs="*Arial-7378-Identity-H"/>
          <w:color w:val="15141D"/>
          <w:sz w:val="21"/>
          <w:szCs w:val="21"/>
        </w:rPr>
        <w:t>armas.</w:t>
      </w:r>
    </w:p>
    <w:p w14:paraId="3C791B2B" w14:textId="77777777" w:rsidR="00DB2AFC" w:rsidRPr="00D639CD" w:rsidRDefault="00DB2AFC" w:rsidP="00DB2AFC">
      <w:pPr>
        <w:autoSpaceDE w:val="0"/>
        <w:autoSpaceDN w:val="0"/>
        <w:adjustRightInd w:val="0"/>
        <w:jc w:val="both"/>
        <w:rPr>
          <w:rFonts w:ascii="Abadi" w:hAnsi="Abadi" w:cs="*Arial-7378-Identity-H"/>
          <w:color w:val="15141D"/>
          <w:sz w:val="21"/>
          <w:szCs w:val="21"/>
        </w:rPr>
      </w:pPr>
    </w:p>
    <w:p w14:paraId="0D140974" w14:textId="77777777" w:rsidR="00DB2AFC" w:rsidRDefault="00DB2AFC" w:rsidP="00DB2AFC">
      <w:pPr>
        <w:autoSpaceDE w:val="0"/>
        <w:autoSpaceDN w:val="0"/>
        <w:adjustRightInd w:val="0"/>
        <w:jc w:val="both"/>
        <w:rPr>
          <w:rFonts w:ascii="Abadi" w:hAnsi="Abadi" w:cs="*Arial-7378-Identity-H"/>
          <w:color w:val="15141D"/>
          <w:sz w:val="21"/>
          <w:szCs w:val="21"/>
        </w:rPr>
      </w:pPr>
      <w:r w:rsidRPr="00D639CD">
        <w:rPr>
          <w:rFonts w:ascii="Abadi" w:hAnsi="Abadi" w:cs="*Arial-7378-Identity-H"/>
          <w:color w:val="15141D"/>
          <w:sz w:val="21"/>
          <w:szCs w:val="21"/>
        </w:rPr>
        <w:t>Parece broma, pero es verdad que, un país en donde el tráfico de armamento y su</w:t>
      </w:r>
      <w:r>
        <w:rPr>
          <w:rFonts w:ascii="Abadi" w:hAnsi="Abadi" w:cs="*Arial-7378-Identity-H"/>
          <w:color w:val="15141D"/>
          <w:sz w:val="21"/>
          <w:szCs w:val="21"/>
        </w:rPr>
        <w:t xml:space="preserve"> </w:t>
      </w:r>
      <w:r w:rsidRPr="00D639CD">
        <w:rPr>
          <w:rFonts w:ascii="Abadi" w:hAnsi="Abadi" w:cs="*Arial-7378-Identity-H"/>
          <w:color w:val="15141D"/>
          <w:sz w:val="21"/>
          <w:szCs w:val="21"/>
        </w:rPr>
        <w:t>portación sin permiso están prohibidos, sea uno de los más ca</w:t>
      </w:r>
      <w:r>
        <w:rPr>
          <w:rFonts w:ascii="Abadi" w:eastAsia="Abadi" w:hAnsi="Abadi" w:cs="Abadi"/>
          <w:color w:val="15141D"/>
          <w:sz w:val="21"/>
          <w:szCs w:val="21"/>
        </w:rPr>
        <w:t>s</w:t>
      </w:r>
      <w:r w:rsidRPr="00D639CD">
        <w:rPr>
          <w:rFonts w:ascii="Abadi" w:hAnsi="Abadi" w:cs="*Arial-7378-Identity-H"/>
          <w:color w:val="15141D"/>
          <w:sz w:val="21"/>
          <w:szCs w:val="21"/>
        </w:rPr>
        <w:t>tigados por los</w:t>
      </w:r>
      <w:r>
        <w:rPr>
          <w:rFonts w:ascii="Abadi" w:hAnsi="Abadi" w:cs="*Arial-7378-Identity-H"/>
          <w:color w:val="15141D"/>
          <w:sz w:val="21"/>
          <w:szCs w:val="21"/>
        </w:rPr>
        <w:t xml:space="preserve"> </w:t>
      </w:r>
      <w:r w:rsidRPr="00D639CD">
        <w:rPr>
          <w:rFonts w:ascii="Abadi" w:hAnsi="Abadi" w:cs="*Arial-7378-Identity-H"/>
          <w:color w:val="15141D"/>
          <w:sz w:val="21"/>
          <w:szCs w:val="21"/>
        </w:rPr>
        <w:t>crímenes que involucran estos instrumentos, pues basta con ver las cifras</w:t>
      </w:r>
      <w:r>
        <w:rPr>
          <w:rFonts w:ascii="Abadi" w:hAnsi="Abadi" w:cs="*Arial-7378-Identity-H"/>
          <w:color w:val="15141D"/>
          <w:sz w:val="21"/>
          <w:szCs w:val="21"/>
        </w:rPr>
        <w:t xml:space="preserve"> </w:t>
      </w:r>
      <w:r w:rsidRPr="00D639CD">
        <w:rPr>
          <w:rFonts w:ascii="Abadi" w:hAnsi="Abadi" w:cs="*Arial-7378-Identity-H"/>
          <w:color w:val="15141D"/>
          <w:sz w:val="21"/>
          <w:szCs w:val="21"/>
        </w:rPr>
        <w:t>oficiales, así:</w:t>
      </w:r>
    </w:p>
    <w:p w14:paraId="54BB6FE5" w14:textId="77777777" w:rsidR="00DB2AFC" w:rsidRPr="00D639CD" w:rsidRDefault="00DB2AFC" w:rsidP="00DB2AFC">
      <w:pPr>
        <w:autoSpaceDE w:val="0"/>
        <w:autoSpaceDN w:val="0"/>
        <w:adjustRightInd w:val="0"/>
        <w:jc w:val="both"/>
        <w:rPr>
          <w:rFonts w:ascii="Abadi" w:hAnsi="Abadi" w:cs="*Arial-7378-Identity-H"/>
          <w:color w:val="15141D"/>
          <w:sz w:val="21"/>
          <w:szCs w:val="21"/>
        </w:rPr>
      </w:pPr>
    </w:p>
    <w:p w14:paraId="35C08C58" w14:textId="77777777" w:rsidR="00DB2AFC" w:rsidRDefault="00DB2AFC" w:rsidP="00DB2AFC">
      <w:pPr>
        <w:autoSpaceDE w:val="0"/>
        <w:autoSpaceDN w:val="0"/>
        <w:adjustRightInd w:val="0"/>
        <w:jc w:val="both"/>
        <w:rPr>
          <w:rFonts w:ascii="Abadi" w:hAnsi="Abadi" w:cs="*Arial-7378-Identity-H"/>
          <w:color w:val="15141C"/>
          <w:sz w:val="21"/>
          <w:szCs w:val="21"/>
        </w:rPr>
      </w:pPr>
      <w:r w:rsidRPr="00D639CD">
        <w:rPr>
          <w:rFonts w:ascii="Abadi" w:hAnsi="Abadi" w:cs="*Arial-7378-Identity-H"/>
          <w:color w:val="15141C"/>
          <w:sz w:val="21"/>
          <w:szCs w:val="21"/>
        </w:rPr>
        <w:t>• En el año 2020, cerca del 30% de los delitos se cometieron con la</w:t>
      </w:r>
      <w:r>
        <w:rPr>
          <w:rFonts w:ascii="Abadi" w:hAnsi="Abadi" w:cs="*Arial-7378-Identity-H"/>
          <w:color w:val="15141C"/>
          <w:sz w:val="21"/>
          <w:szCs w:val="21"/>
        </w:rPr>
        <w:t xml:space="preserve"> </w:t>
      </w:r>
      <w:r w:rsidRPr="00D639CD">
        <w:rPr>
          <w:rFonts w:ascii="Abadi" w:hAnsi="Abadi" w:cs="*Arial-7378-Identity-H"/>
          <w:color w:val="15141C"/>
          <w:sz w:val="21"/>
          <w:szCs w:val="21"/>
        </w:rPr>
        <w:t>portación de algún tipo de arma de fuego, de acuerdo con la Encuesta</w:t>
      </w:r>
      <w:r>
        <w:rPr>
          <w:rFonts w:ascii="Abadi" w:hAnsi="Abadi" w:cs="*Arial-7378-Identity-H"/>
          <w:color w:val="15141C"/>
          <w:sz w:val="21"/>
          <w:szCs w:val="21"/>
        </w:rPr>
        <w:t xml:space="preserve"> </w:t>
      </w:r>
      <w:r w:rsidRPr="00D639CD">
        <w:rPr>
          <w:rFonts w:ascii="Abadi" w:hAnsi="Abadi" w:cs="*Arial-7378-Identity-H"/>
          <w:color w:val="15141C"/>
          <w:sz w:val="21"/>
          <w:szCs w:val="21"/>
        </w:rPr>
        <w:t>Nacional de Victimización y Percepción sobre Seguridad Pública</w:t>
      </w:r>
      <w:r>
        <w:rPr>
          <w:rFonts w:ascii="Abadi" w:hAnsi="Abadi" w:cs="*Arial-7378-Identity-H"/>
          <w:color w:val="15141C"/>
          <w:sz w:val="21"/>
          <w:szCs w:val="21"/>
        </w:rPr>
        <w:t xml:space="preserve"> </w:t>
      </w:r>
      <w:r w:rsidRPr="00D639CD">
        <w:rPr>
          <w:rFonts w:ascii="Abadi" w:hAnsi="Abadi" w:cs="*Arial-7378-Identity-H"/>
          <w:color w:val="15141C"/>
          <w:sz w:val="21"/>
          <w:szCs w:val="21"/>
        </w:rPr>
        <w:t>(ENVIPE 2021); y</w:t>
      </w:r>
    </w:p>
    <w:p w14:paraId="36D4D1E1" w14:textId="77777777" w:rsidR="00DB2AFC" w:rsidRPr="00D639CD" w:rsidRDefault="00DB2AFC" w:rsidP="00DB2AFC">
      <w:pPr>
        <w:autoSpaceDE w:val="0"/>
        <w:autoSpaceDN w:val="0"/>
        <w:adjustRightInd w:val="0"/>
        <w:jc w:val="both"/>
        <w:rPr>
          <w:rFonts w:ascii="Abadi" w:hAnsi="Abadi" w:cs="*Arial-7378-Identity-H"/>
          <w:color w:val="15141C"/>
          <w:sz w:val="21"/>
          <w:szCs w:val="21"/>
        </w:rPr>
      </w:pPr>
    </w:p>
    <w:p w14:paraId="1D846A46" w14:textId="77777777" w:rsidR="00DB2AFC" w:rsidRDefault="00DB2AFC" w:rsidP="00DB2AFC">
      <w:pPr>
        <w:autoSpaceDE w:val="0"/>
        <w:autoSpaceDN w:val="0"/>
        <w:adjustRightInd w:val="0"/>
        <w:jc w:val="both"/>
        <w:rPr>
          <w:rFonts w:ascii="Abadi" w:hAnsi="Abadi" w:cs="*Arial-7378-Identity-H"/>
          <w:color w:val="15141C"/>
          <w:sz w:val="21"/>
          <w:szCs w:val="21"/>
        </w:rPr>
      </w:pPr>
      <w:r w:rsidRPr="00D639CD">
        <w:rPr>
          <w:rFonts w:ascii="Abadi" w:hAnsi="Abadi" w:cs="*Arial-7378-Identity-H"/>
          <w:color w:val="15141C"/>
          <w:sz w:val="21"/>
          <w:szCs w:val="21"/>
        </w:rPr>
        <w:t>• En el año 2021, casi el 70% de los homicidios dolosos se cometieron</w:t>
      </w:r>
      <w:r>
        <w:rPr>
          <w:rFonts w:ascii="Abadi" w:hAnsi="Abadi" w:cs="*Arial-7378-Identity-H"/>
          <w:color w:val="15141C"/>
          <w:sz w:val="21"/>
          <w:szCs w:val="21"/>
        </w:rPr>
        <w:t xml:space="preserve"> </w:t>
      </w:r>
      <w:r w:rsidRPr="00D639CD">
        <w:rPr>
          <w:rFonts w:ascii="Abadi" w:hAnsi="Abadi" w:cs="*Arial-7378-Identity-H"/>
          <w:color w:val="15141C"/>
          <w:sz w:val="21"/>
          <w:szCs w:val="21"/>
        </w:rPr>
        <w:t>con arma de fuego, conforme lo señalan indicadores de incidencia</w:t>
      </w:r>
      <w:r>
        <w:rPr>
          <w:rFonts w:ascii="Abadi" w:hAnsi="Abadi" w:cs="*Arial-7378-Identity-H"/>
          <w:color w:val="15141C"/>
          <w:sz w:val="21"/>
          <w:szCs w:val="21"/>
        </w:rPr>
        <w:t xml:space="preserve"> </w:t>
      </w:r>
      <w:r w:rsidRPr="00D639CD">
        <w:rPr>
          <w:rFonts w:ascii="Abadi" w:hAnsi="Abadi" w:cs="*Arial-7378-Identity-H"/>
          <w:color w:val="15141C"/>
          <w:sz w:val="21"/>
          <w:szCs w:val="21"/>
        </w:rPr>
        <w:t>delictiva del fuero común, del Secretariado Ejecutivo del Sistema</w:t>
      </w:r>
      <w:r>
        <w:rPr>
          <w:rFonts w:ascii="Abadi" w:hAnsi="Abadi" w:cs="*Arial-7378-Identity-H"/>
          <w:color w:val="15141C"/>
          <w:sz w:val="21"/>
          <w:szCs w:val="21"/>
        </w:rPr>
        <w:t xml:space="preserve"> </w:t>
      </w:r>
      <w:r w:rsidRPr="00D639CD">
        <w:rPr>
          <w:rFonts w:ascii="Abadi" w:hAnsi="Abadi" w:cs="*Arial-7378-Identity-H"/>
          <w:color w:val="15141C"/>
          <w:sz w:val="21"/>
          <w:szCs w:val="21"/>
        </w:rPr>
        <w:t>Nacional de Seguridad Pública, lo que refleja una realidad alarmante.</w:t>
      </w:r>
    </w:p>
    <w:p w14:paraId="7BEDC87B" w14:textId="77777777" w:rsidR="00DB2AFC" w:rsidRPr="00D639CD" w:rsidRDefault="00DB2AFC" w:rsidP="00DB2AFC">
      <w:pPr>
        <w:autoSpaceDE w:val="0"/>
        <w:autoSpaceDN w:val="0"/>
        <w:adjustRightInd w:val="0"/>
        <w:jc w:val="both"/>
        <w:rPr>
          <w:rFonts w:ascii="Abadi" w:hAnsi="Abadi" w:cs="*Arial-7378-Identity-H"/>
          <w:color w:val="15141C"/>
          <w:sz w:val="21"/>
          <w:szCs w:val="21"/>
        </w:rPr>
      </w:pPr>
    </w:p>
    <w:p w14:paraId="6C311AB4" w14:textId="77777777" w:rsidR="00DB2AFC" w:rsidRDefault="00DB2AFC" w:rsidP="00DB2AFC">
      <w:pPr>
        <w:autoSpaceDE w:val="0"/>
        <w:autoSpaceDN w:val="0"/>
        <w:adjustRightInd w:val="0"/>
        <w:jc w:val="both"/>
        <w:rPr>
          <w:rFonts w:ascii="Abadi" w:hAnsi="Abadi" w:cs="*Arial-7378-Identity-H"/>
          <w:color w:val="15141C"/>
          <w:sz w:val="21"/>
          <w:szCs w:val="21"/>
        </w:rPr>
      </w:pPr>
      <w:r w:rsidRPr="00D639CD">
        <w:rPr>
          <w:rFonts w:ascii="Abadi" w:hAnsi="Abadi" w:cs="*Arial-7378-Identity-H"/>
          <w:color w:val="15141C"/>
          <w:sz w:val="21"/>
          <w:szCs w:val="21"/>
        </w:rPr>
        <w:t>En resumen, en nuestro país, la gran mayoría de los homicidios dolosos se</w:t>
      </w:r>
      <w:r>
        <w:rPr>
          <w:rFonts w:ascii="Abadi" w:hAnsi="Abadi" w:cs="*Arial-7378-Identity-H"/>
          <w:color w:val="15141C"/>
          <w:sz w:val="21"/>
          <w:szCs w:val="21"/>
        </w:rPr>
        <w:t xml:space="preserve"> </w:t>
      </w:r>
      <w:r w:rsidRPr="00D639CD">
        <w:rPr>
          <w:rFonts w:ascii="Abadi" w:hAnsi="Abadi" w:cs="*Arial-7378-Identity-H"/>
          <w:color w:val="15141C"/>
          <w:sz w:val="21"/>
          <w:szCs w:val="21"/>
        </w:rPr>
        <w:t>realizan con armas de fuego y casi un tercio de todos los delitos, las involucran, lo</w:t>
      </w:r>
      <w:r>
        <w:rPr>
          <w:rFonts w:ascii="Abadi" w:hAnsi="Abadi" w:cs="*Arial-7378-Identity-H"/>
          <w:color w:val="15141C"/>
          <w:sz w:val="21"/>
          <w:szCs w:val="21"/>
        </w:rPr>
        <w:t xml:space="preserve"> </w:t>
      </w:r>
      <w:r w:rsidRPr="00D639CD">
        <w:rPr>
          <w:rFonts w:ascii="Abadi" w:hAnsi="Abadi" w:cs="*Arial-7378-Identity-H"/>
          <w:color w:val="15141C"/>
          <w:sz w:val="21"/>
          <w:szCs w:val="21"/>
        </w:rPr>
        <w:t>que, sin lugar a duda evidencia la relación directa entre el tráfico, acopio y</w:t>
      </w:r>
      <w:r>
        <w:rPr>
          <w:rFonts w:ascii="Abadi" w:hAnsi="Abadi" w:cs="*Arial-7378-Identity-H"/>
          <w:color w:val="15141C"/>
          <w:sz w:val="21"/>
          <w:szCs w:val="21"/>
        </w:rPr>
        <w:t xml:space="preserve"> </w:t>
      </w:r>
      <w:r w:rsidRPr="00D639CD">
        <w:rPr>
          <w:rFonts w:ascii="Abadi" w:hAnsi="Abadi" w:cs="*Arial-7378-Identity-H"/>
          <w:color w:val="15141C"/>
          <w:sz w:val="21"/>
          <w:szCs w:val="21"/>
        </w:rPr>
        <w:t>portación de estas y la violencia que impera en el país y que castiga con especial</w:t>
      </w:r>
      <w:r>
        <w:rPr>
          <w:rFonts w:ascii="Abadi" w:hAnsi="Abadi" w:cs="*Arial-7378-Identity-H"/>
          <w:color w:val="15141C"/>
          <w:sz w:val="21"/>
          <w:szCs w:val="21"/>
        </w:rPr>
        <w:t xml:space="preserve"> </w:t>
      </w:r>
      <w:r w:rsidRPr="00D639CD">
        <w:rPr>
          <w:rFonts w:ascii="Abadi" w:hAnsi="Abadi" w:cs="*Arial-7378-Identity-H"/>
          <w:color w:val="15141C"/>
          <w:sz w:val="21"/>
          <w:szCs w:val="21"/>
        </w:rPr>
        <w:t>énfasis a algunas Entidades más que a otras, como en el caso de Guanaj</w:t>
      </w:r>
      <w:r>
        <w:rPr>
          <w:rFonts w:ascii="Abadi" w:hAnsi="Abadi" w:cs="*Arial-7378-Identity-H"/>
          <w:color w:val="15141C"/>
          <w:sz w:val="21"/>
          <w:szCs w:val="21"/>
        </w:rPr>
        <w:t>u</w:t>
      </w:r>
      <w:r w:rsidRPr="00D639CD">
        <w:rPr>
          <w:rFonts w:ascii="Abadi" w:hAnsi="Abadi" w:cs="*Arial-7378-Identity-H"/>
          <w:color w:val="15141C"/>
          <w:sz w:val="21"/>
          <w:szCs w:val="21"/>
        </w:rPr>
        <w:t>ato.</w:t>
      </w:r>
    </w:p>
    <w:p w14:paraId="32DA6DB1" w14:textId="77777777" w:rsidR="00DB2AFC" w:rsidRPr="00D639CD" w:rsidRDefault="00DB2AFC" w:rsidP="00DB2AFC">
      <w:pPr>
        <w:autoSpaceDE w:val="0"/>
        <w:autoSpaceDN w:val="0"/>
        <w:adjustRightInd w:val="0"/>
        <w:jc w:val="both"/>
        <w:rPr>
          <w:rFonts w:ascii="Abadi" w:hAnsi="Abadi" w:cs="*Arial-7378-Identity-H"/>
          <w:color w:val="15141C"/>
          <w:sz w:val="21"/>
          <w:szCs w:val="21"/>
        </w:rPr>
      </w:pPr>
    </w:p>
    <w:p w14:paraId="00AEF459" w14:textId="77777777" w:rsidR="00DB2AFC" w:rsidRDefault="00DB2AFC" w:rsidP="00DB2AFC">
      <w:pPr>
        <w:autoSpaceDE w:val="0"/>
        <w:autoSpaceDN w:val="0"/>
        <w:adjustRightInd w:val="0"/>
        <w:jc w:val="both"/>
        <w:rPr>
          <w:rFonts w:ascii="Abadi" w:hAnsi="Abadi" w:cs="*Arial-7150-Identity-H"/>
          <w:color w:val="14131C"/>
          <w:sz w:val="21"/>
          <w:szCs w:val="21"/>
        </w:rPr>
      </w:pPr>
      <w:r w:rsidRPr="00D639CD">
        <w:rPr>
          <w:rFonts w:ascii="Abadi" w:hAnsi="Abadi" w:cs="*Arial-7378-Identity-H"/>
          <w:color w:val="15141B"/>
          <w:sz w:val="21"/>
          <w:szCs w:val="21"/>
        </w:rPr>
        <w:t>Si bien, este posicionamiento no pretende exculpar ni justificar, la ineficacia que</w:t>
      </w:r>
      <w:r>
        <w:rPr>
          <w:rFonts w:ascii="Abadi" w:hAnsi="Abadi" w:cs="*Arial-7378-Identity-H"/>
          <w:color w:val="15141B"/>
          <w:sz w:val="21"/>
          <w:szCs w:val="21"/>
        </w:rPr>
        <w:t xml:space="preserve"> </w:t>
      </w:r>
      <w:r w:rsidRPr="00D639CD">
        <w:rPr>
          <w:rFonts w:ascii="Abadi" w:hAnsi="Abadi" w:cs="*Arial-7378-Identity-H"/>
          <w:color w:val="15141B"/>
          <w:sz w:val="21"/>
          <w:szCs w:val="21"/>
        </w:rPr>
        <w:t xml:space="preserve">hasta el momento han tenido los tres órdenes </w:t>
      </w:r>
      <w:r w:rsidRPr="00D639CD">
        <w:rPr>
          <w:rFonts w:ascii="Abadi" w:hAnsi="Abadi" w:cs="*Arial-7378-Identity-H"/>
          <w:color w:val="A1A1A1"/>
          <w:sz w:val="21"/>
          <w:szCs w:val="21"/>
        </w:rPr>
        <w:t>·</w:t>
      </w:r>
      <w:r w:rsidRPr="00D639CD">
        <w:rPr>
          <w:rFonts w:ascii="Abadi" w:hAnsi="Abadi" w:cs="*Arial-7378-Identity-H"/>
          <w:color w:val="15141B"/>
          <w:sz w:val="21"/>
          <w:szCs w:val="21"/>
        </w:rPr>
        <w:t>de gobierno para disminuir los</w:t>
      </w:r>
      <w:r>
        <w:rPr>
          <w:rFonts w:ascii="Abadi" w:hAnsi="Abadi" w:cs="*Arial-7378-Identity-H"/>
          <w:color w:val="15141B"/>
          <w:sz w:val="21"/>
          <w:szCs w:val="21"/>
        </w:rPr>
        <w:t xml:space="preserve"> </w:t>
      </w:r>
      <w:r w:rsidRPr="00D639CD">
        <w:rPr>
          <w:rFonts w:ascii="Abadi" w:hAnsi="Abadi" w:cs="*Arial-7378-Identity-H"/>
          <w:color w:val="15141B"/>
          <w:sz w:val="21"/>
          <w:szCs w:val="21"/>
        </w:rPr>
        <w:t>índices de inseguridad y violencia, si es indispensable visibilizar, que la tarea de</w:t>
      </w:r>
      <w:r>
        <w:rPr>
          <w:rFonts w:ascii="Abadi" w:hAnsi="Abadi" w:cs="*Arial-7378-Identity-H"/>
          <w:color w:val="15141B"/>
          <w:sz w:val="21"/>
          <w:szCs w:val="21"/>
        </w:rPr>
        <w:t xml:space="preserve"> </w:t>
      </w:r>
      <w:r w:rsidRPr="00D639CD">
        <w:rPr>
          <w:rFonts w:ascii="Abadi" w:hAnsi="Abadi" w:cs="*Arial-7150-Identity-H"/>
          <w:color w:val="14131C"/>
          <w:sz w:val="21"/>
          <w:szCs w:val="21"/>
        </w:rPr>
        <w:t>los cuerpos de seguridad locales se dificulta, ante la ineficacia del Gobierno</w:t>
      </w:r>
      <w:r>
        <w:rPr>
          <w:rFonts w:ascii="Abadi" w:hAnsi="Abadi" w:cs="*Arial-7150-Identity-H"/>
          <w:color w:val="14131C"/>
          <w:sz w:val="21"/>
          <w:szCs w:val="21"/>
        </w:rPr>
        <w:t xml:space="preserve"> </w:t>
      </w:r>
      <w:r w:rsidRPr="00D639CD">
        <w:rPr>
          <w:rFonts w:ascii="Abadi" w:hAnsi="Abadi" w:cs="*Arial-7150-Identity-H"/>
          <w:color w:val="14131C"/>
          <w:sz w:val="21"/>
          <w:szCs w:val="21"/>
        </w:rPr>
        <w:t>Federal de cumplir con su deber.</w:t>
      </w:r>
    </w:p>
    <w:p w14:paraId="52E0B407" w14:textId="77777777" w:rsidR="00DB2AFC" w:rsidRPr="00D639CD" w:rsidRDefault="00DB2AFC" w:rsidP="00DB2AFC">
      <w:pPr>
        <w:autoSpaceDE w:val="0"/>
        <w:autoSpaceDN w:val="0"/>
        <w:adjustRightInd w:val="0"/>
        <w:jc w:val="both"/>
        <w:rPr>
          <w:rFonts w:ascii="Abadi" w:hAnsi="Abadi" w:cs="*Arial-7150-Identity-H"/>
          <w:color w:val="14131C"/>
          <w:sz w:val="21"/>
          <w:szCs w:val="21"/>
        </w:rPr>
      </w:pPr>
    </w:p>
    <w:p w14:paraId="11674524" w14:textId="77777777" w:rsidR="00DB2AFC" w:rsidRDefault="00DB2AFC" w:rsidP="00DB2AFC">
      <w:pPr>
        <w:autoSpaceDE w:val="0"/>
        <w:autoSpaceDN w:val="0"/>
        <w:adjustRightInd w:val="0"/>
        <w:jc w:val="both"/>
        <w:rPr>
          <w:rFonts w:ascii="Abadi" w:hAnsi="Abadi" w:cs="*Arial-7150-Identity-H"/>
          <w:color w:val="14131B"/>
          <w:sz w:val="21"/>
          <w:szCs w:val="21"/>
        </w:rPr>
      </w:pPr>
      <w:r w:rsidRPr="00D639CD">
        <w:rPr>
          <w:rFonts w:ascii="Abadi" w:hAnsi="Abadi" w:cs="*Arial-7150-Identity-H"/>
          <w:color w:val="14131B"/>
          <w:sz w:val="21"/>
          <w:szCs w:val="21"/>
        </w:rPr>
        <w:t>Innumerables son los casos en donde la facilidad con que los criminales se</w:t>
      </w:r>
      <w:r>
        <w:rPr>
          <w:rFonts w:ascii="Abadi" w:hAnsi="Abadi" w:cs="*Arial-7150-Identity-H"/>
          <w:color w:val="14131B"/>
          <w:sz w:val="21"/>
          <w:szCs w:val="21"/>
        </w:rPr>
        <w:t xml:space="preserve"> </w:t>
      </w:r>
      <w:r w:rsidRPr="00D639CD">
        <w:rPr>
          <w:rFonts w:ascii="Abadi" w:hAnsi="Abadi" w:cs="*Arial-7150-Identity-H"/>
          <w:color w:val="14131B"/>
          <w:sz w:val="21"/>
          <w:szCs w:val="21"/>
        </w:rPr>
        <w:t>allegan de armamento asegura el incremento de la violencia, la crueldad y el</w:t>
      </w:r>
      <w:r>
        <w:rPr>
          <w:rFonts w:ascii="Abadi" w:hAnsi="Abadi" w:cs="*Arial-7150-Identity-H"/>
          <w:color w:val="14131B"/>
          <w:sz w:val="21"/>
          <w:szCs w:val="21"/>
        </w:rPr>
        <w:t xml:space="preserve"> </w:t>
      </w:r>
      <w:r w:rsidRPr="00D639CD">
        <w:rPr>
          <w:rFonts w:ascii="Abadi" w:hAnsi="Abadi" w:cs="*Arial-7150-Identity-H"/>
          <w:color w:val="14131B"/>
          <w:sz w:val="21"/>
          <w:szCs w:val="21"/>
        </w:rPr>
        <w:t>número de homicidios que se cuentan por millares cada año, sin que a la fecha se</w:t>
      </w:r>
      <w:r>
        <w:rPr>
          <w:rFonts w:ascii="Abadi" w:hAnsi="Abadi" w:cs="*Arial-7150-Identity-H"/>
          <w:color w:val="14131B"/>
          <w:sz w:val="21"/>
          <w:szCs w:val="21"/>
        </w:rPr>
        <w:t xml:space="preserve"> </w:t>
      </w:r>
      <w:r w:rsidRPr="00D639CD">
        <w:rPr>
          <w:rFonts w:ascii="Abadi" w:hAnsi="Abadi" w:cs="*Arial-7150-Identity-H"/>
          <w:color w:val="14131B"/>
          <w:sz w:val="21"/>
          <w:szCs w:val="21"/>
        </w:rPr>
        <w:t>tengan medidas contundentes para blindar nuestras fronteras y aduanas del</w:t>
      </w:r>
      <w:r>
        <w:rPr>
          <w:rFonts w:ascii="Abadi" w:hAnsi="Abadi" w:cs="*Arial-7150-Identity-H"/>
          <w:color w:val="14131B"/>
          <w:sz w:val="21"/>
          <w:szCs w:val="21"/>
        </w:rPr>
        <w:t xml:space="preserve"> </w:t>
      </w:r>
      <w:r w:rsidRPr="00D639CD">
        <w:rPr>
          <w:rFonts w:ascii="Abadi" w:hAnsi="Abadi" w:cs="*Arial-7150-Identity-H"/>
          <w:color w:val="14131B"/>
          <w:sz w:val="21"/>
          <w:szCs w:val="21"/>
        </w:rPr>
        <w:t>trasiego de armas.</w:t>
      </w:r>
    </w:p>
    <w:p w14:paraId="41D437CA" w14:textId="77777777" w:rsidR="00DB2AFC" w:rsidRPr="00D639CD" w:rsidRDefault="00DB2AFC" w:rsidP="00DB2AFC">
      <w:pPr>
        <w:autoSpaceDE w:val="0"/>
        <w:autoSpaceDN w:val="0"/>
        <w:adjustRightInd w:val="0"/>
        <w:jc w:val="both"/>
        <w:rPr>
          <w:rFonts w:ascii="Abadi" w:hAnsi="Abadi" w:cs="*Arial-7150-Identity-H"/>
          <w:color w:val="14131B"/>
          <w:sz w:val="21"/>
          <w:szCs w:val="21"/>
        </w:rPr>
      </w:pPr>
    </w:p>
    <w:p w14:paraId="056D25B1" w14:textId="77777777" w:rsidR="00DB2AFC" w:rsidRPr="00D639CD" w:rsidRDefault="00DB2AFC" w:rsidP="00DB2AFC">
      <w:pPr>
        <w:autoSpaceDE w:val="0"/>
        <w:autoSpaceDN w:val="0"/>
        <w:adjustRightInd w:val="0"/>
        <w:jc w:val="both"/>
        <w:rPr>
          <w:rFonts w:ascii="Abadi" w:hAnsi="Abadi" w:cs="*Arial-7150-Identity-H"/>
          <w:color w:val="15131B"/>
          <w:sz w:val="21"/>
          <w:szCs w:val="21"/>
        </w:rPr>
      </w:pPr>
      <w:r w:rsidRPr="00D639CD">
        <w:rPr>
          <w:rFonts w:ascii="Abadi" w:hAnsi="Abadi" w:cs="*Arial-7150-Identity-H"/>
          <w:color w:val="15131B"/>
          <w:sz w:val="21"/>
          <w:szCs w:val="21"/>
        </w:rPr>
        <w:t>Estamos conscientes de las acciones en la materia que actualmente realiza la</w:t>
      </w:r>
    </w:p>
    <w:p w14:paraId="474B9A98" w14:textId="77777777" w:rsidR="00DB2AFC" w:rsidRDefault="00DB2AFC" w:rsidP="00DB2AFC">
      <w:pPr>
        <w:autoSpaceDE w:val="0"/>
        <w:autoSpaceDN w:val="0"/>
        <w:adjustRightInd w:val="0"/>
        <w:jc w:val="both"/>
        <w:rPr>
          <w:rFonts w:ascii="Abadi" w:hAnsi="Abadi" w:cs="*Arial-7150-Identity-H"/>
          <w:color w:val="15131B"/>
          <w:sz w:val="21"/>
          <w:szCs w:val="21"/>
        </w:rPr>
      </w:pPr>
      <w:r w:rsidRPr="00D639CD">
        <w:rPr>
          <w:rFonts w:ascii="Abadi" w:hAnsi="Abadi" w:cs="*Arial-7150-Identity-H"/>
          <w:color w:val="15131B"/>
          <w:sz w:val="21"/>
          <w:szCs w:val="21"/>
        </w:rPr>
        <w:t>Secretaría de Relaciones Exteriores, como:</w:t>
      </w:r>
    </w:p>
    <w:p w14:paraId="3A7681E6" w14:textId="77777777" w:rsidR="00DB2AFC" w:rsidRPr="00D639CD" w:rsidRDefault="00DB2AFC" w:rsidP="00DB2AFC">
      <w:pPr>
        <w:autoSpaceDE w:val="0"/>
        <w:autoSpaceDN w:val="0"/>
        <w:adjustRightInd w:val="0"/>
        <w:jc w:val="both"/>
        <w:rPr>
          <w:rFonts w:ascii="Abadi" w:hAnsi="Abadi" w:cs="*Arial-7150-Identity-H"/>
          <w:color w:val="15131B"/>
          <w:sz w:val="21"/>
          <w:szCs w:val="21"/>
        </w:rPr>
      </w:pPr>
    </w:p>
    <w:p w14:paraId="6F6235BC" w14:textId="77777777" w:rsidR="00DB2AFC" w:rsidRPr="00D639CD" w:rsidRDefault="00DB2AFC" w:rsidP="00DB2AFC">
      <w:pPr>
        <w:autoSpaceDE w:val="0"/>
        <w:autoSpaceDN w:val="0"/>
        <w:adjustRightInd w:val="0"/>
        <w:jc w:val="both"/>
        <w:rPr>
          <w:rFonts w:ascii="Abadi" w:hAnsi="Abadi" w:cs="*Arial-7150-Identity-H"/>
          <w:color w:val="14131B"/>
          <w:sz w:val="21"/>
          <w:szCs w:val="21"/>
        </w:rPr>
      </w:pPr>
      <w:r w:rsidRPr="00D639CD">
        <w:rPr>
          <w:rFonts w:ascii="Abadi" w:hAnsi="Abadi" w:cs="*Arial-7150-Identity-H"/>
          <w:color w:val="14131B"/>
          <w:sz w:val="21"/>
          <w:szCs w:val="21"/>
        </w:rPr>
        <w:t>• Demandar civilmente a los fabricantes de Armas en Estados Unidos; o</w:t>
      </w:r>
    </w:p>
    <w:p w14:paraId="25B45DB1" w14:textId="77777777" w:rsidR="00DB2AFC" w:rsidRDefault="00DB2AFC" w:rsidP="00DB2AFC">
      <w:pPr>
        <w:autoSpaceDE w:val="0"/>
        <w:autoSpaceDN w:val="0"/>
        <w:adjustRightInd w:val="0"/>
        <w:jc w:val="both"/>
        <w:rPr>
          <w:rFonts w:ascii="Abadi" w:hAnsi="Abadi" w:cs="*Arial-7150-Identity-H"/>
          <w:color w:val="14141C"/>
          <w:sz w:val="21"/>
          <w:szCs w:val="21"/>
        </w:rPr>
      </w:pPr>
    </w:p>
    <w:p w14:paraId="137B1476" w14:textId="77777777" w:rsidR="00DB2AFC" w:rsidRDefault="00DB2AFC" w:rsidP="00DB2AFC">
      <w:pPr>
        <w:autoSpaceDE w:val="0"/>
        <w:autoSpaceDN w:val="0"/>
        <w:adjustRightInd w:val="0"/>
        <w:jc w:val="both"/>
        <w:rPr>
          <w:rFonts w:ascii="Abadi" w:hAnsi="Abadi" w:cs="*Arial-7150-Identity-H"/>
          <w:color w:val="14141C"/>
          <w:sz w:val="21"/>
          <w:szCs w:val="21"/>
        </w:rPr>
      </w:pPr>
      <w:r w:rsidRPr="00D639CD">
        <w:rPr>
          <w:rFonts w:ascii="Abadi" w:hAnsi="Abadi" w:cs="*Arial-7150-Identity-H"/>
          <w:color w:val="14141C"/>
          <w:sz w:val="21"/>
          <w:szCs w:val="21"/>
        </w:rPr>
        <w:t>• Los pronunciamientos realizados en algunos foros internacionales.</w:t>
      </w:r>
    </w:p>
    <w:p w14:paraId="73CCBF71" w14:textId="77777777" w:rsidR="00DB2AFC" w:rsidRPr="00D639CD" w:rsidRDefault="00DB2AFC" w:rsidP="00DB2AFC">
      <w:pPr>
        <w:autoSpaceDE w:val="0"/>
        <w:autoSpaceDN w:val="0"/>
        <w:adjustRightInd w:val="0"/>
        <w:jc w:val="both"/>
        <w:rPr>
          <w:rFonts w:ascii="Abadi" w:hAnsi="Abadi" w:cs="*Arial-7150-Identity-H"/>
          <w:color w:val="14141C"/>
          <w:sz w:val="21"/>
          <w:szCs w:val="21"/>
        </w:rPr>
      </w:pPr>
    </w:p>
    <w:p w14:paraId="10D94452" w14:textId="77777777" w:rsidR="00DB2AFC" w:rsidRDefault="00DB2AFC" w:rsidP="00DB2AFC">
      <w:pPr>
        <w:autoSpaceDE w:val="0"/>
        <w:autoSpaceDN w:val="0"/>
        <w:adjustRightInd w:val="0"/>
        <w:jc w:val="both"/>
        <w:rPr>
          <w:rFonts w:ascii="Abadi" w:hAnsi="Abadi" w:cs="*Arial-7150-Identity-H"/>
          <w:color w:val="14131B"/>
          <w:sz w:val="21"/>
          <w:szCs w:val="21"/>
        </w:rPr>
      </w:pPr>
      <w:r w:rsidRPr="00D639CD">
        <w:rPr>
          <w:rFonts w:ascii="Abadi" w:hAnsi="Abadi" w:cs="*Arial-7150-Identity-H"/>
          <w:color w:val="14131B"/>
          <w:sz w:val="21"/>
          <w:szCs w:val="21"/>
        </w:rPr>
        <w:t>No obstante, las mismas, aunque pudiesen en todo caso prosperar, resultan</w:t>
      </w:r>
      <w:r>
        <w:rPr>
          <w:rFonts w:ascii="Abadi" w:hAnsi="Abadi" w:cs="*Arial-7150-Identity-H"/>
          <w:color w:val="14131B"/>
          <w:sz w:val="21"/>
          <w:szCs w:val="21"/>
        </w:rPr>
        <w:t xml:space="preserve"> </w:t>
      </w:r>
      <w:r w:rsidRPr="00D639CD">
        <w:rPr>
          <w:rFonts w:ascii="Abadi" w:hAnsi="Abadi" w:cs="*Arial-7150-Identity-H"/>
          <w:color w:val="14131B"/>
          <w:sz w:val="21"/>
          <w:szCs w:val="21"/>
        </w:rPr>
        <w:t>insuficientes, pues la estrategia de responsabilizar a los demás o al pasado, de las</w:t>
      </w:r>
      <w:r>
        <w:rPr>
          <w:rFonts w:ascii="Abadi" w:hAnsi="Abadi" w:cs="*Arial-7150-Identity-H"/>
          <w:color w:val="14131B"/>
          <w:sz w:val="21"/>
          <w:szCs w:val="21"/>
        </w:rPr>
        <w:t xml:space="preserve"> </w:t>
      </w:r>
      <w:r w:rsidRPr="00D639CD">
        <w:rPr>
          <w:rFonts w:ascii="Abadi" w:hAnsi="Abadi" w:cs="*Arial-7150-Identity-H"/>
          <w:color w:val="14131B"/>
          <w:sz w:val="21"/>
          <w:szCs w:val="21"/>
        </w:rPr>
        <w:t>deficiencias institucionales y de gobierno que hoy tenemos, no son más que</w:t>
      </w:r>
      <w:r>
        <w:rPr>
          <w:rFonts w:ascii="Abadi" w:hAnsi="Abadi" w:cs="*Arial-7150-Identity-H"/>
          <w:color w:val="14131B"/>
          <w:sz w:val="21"/>
          <w:szCs w:val="21"/>
        </w:rPr>
        <w:t xml:space="preserve"> </w:t>
      </w:r>
      <w:r w:rsidRPr="00D639CD">
        <w:rPr>
          <w:rFonts w:ascii="Abadi" w:hAnsi="Abadi" w:cs="*Arial-7150-Identity-H"/>
          <w:color w:val="14131B"/>
          <w:sz w:val="21"/>
          <w:szCs w:val="21"/>
        </w:rPr>
        <w:t>intentos de desviar la atención y evadir las obligaciones que Constitucionalmente</w:t>
      </w:r>
      <w:r>
        <w:rPr>
          <w:rFonts w:ascii="Abadi" w:hAnsi="Abadi" w:cs="*Arial-7150-Identity-H"/>
          <w:color w:val="14131B"/>
          <w:sz w:val="21"/>
          <w:szCs w:val="21"/>
        </w:rPr>
        <w:t xml:space="preserve"> </w:t>
      </w:r>
      <w:r w:rsidRPr="00D639CD">
        <w:rPr>
          <w:rFonts w:ascii="Abadi" w:hAnsi="Abadi" w:cs="*Arial-7150-Identity-H"/>
          <w:color w:val="14131B"/>
          <w:sz w:val="21"/>
          <w:szCs w:val="21"/>
        </w:rPr>
        <w:t>le devienen al Poder Ejecutivo Federal, poder en el que todas las Entidades de la</w:t>
      </w:r>
      <w:r>
        <w:rPr>
          <w:rFonts w:ascii="Abadi" w:hAnsi="Abadi" w:cs="*Arial-7150-Identity-H"/>
          <w:color w:val="14131B"/>
          <w:sz w:val="21"/>
          <w:szCs w:val="21"/>
        </w:rPr>
        <w:t xml:space="preserve"> </w:t>
      </w:r>
      <w:r w:rsidRPr="00D639CD">
        <w:rPr>
          <w:rFonts w:ascii="Abadi" w:hAnsi="Abadi" w:cs="*Arial-7150-Identity-H"/>
          <w:color w:val="14131B"/>
          <w:sz w:val="21"/>
          <w:szCs w:val="21"/>
        </w:rPr>
        <w:t>Nación han cedido una parte de su soberanía, para que este fuese quién</w:t>
      </w:r>
      <w:r>
        <w:rPr>
          <w:rFonts w:ascii="Abadi" w:hAnsi="Abadi" w:cs="*Arial-7150-Identity-H"/>
          <w:color w:val="14131B"/>
          <w:sz w:val="21"/>
          <w:szCs w:val="21"/>
        </w:rPr>
        <w:t xml:space="preserve"> </w:t>
      </w:r>
      <w:r w:rsidRPr="00D639CD">
        <w:rPr>
          <w:rFonts w:ascii="Abadi" w:hAnsi="Abadi" w:cs="*Arial-7150-Identity-H"/>
          <w:color w:val="14131B"/>
          <w:sz w:val="21"/>
          <w:szCs w:val="21"/>
        </w:rPr>
        <w:t>protegiera a la Federación que conformamos todos, una tarea que no ha cumplido</w:t>
      </w:r>
      <w:r>
        <w:rPr>
          <w:rFonts w:ascii="Abadi" w:hAnsi="Abadi" w:cs="*Arial-7150-Identity-H"/>
          <w:color w:val="14131B"/>
          <w:sz w:val="21"/>
          <w:szCs w:val="21"/>
        </w:rPr>
        <w:t xml:space="preserve"> </w:t>
      </w:r>
      <w:r w:rsidRPr="00D639CD">
        <w:rPr>
          <w:rFonts w:ascii="Abadi" w:hAnsi="Abadi" w:cs="*Arial-7150-Identity-H"/>
          <w:color w:val="14131B"/>
          <w:sz w:val="21"/>
          <w:szCs w:val="21"/>
        </w:rPr>
        <w:t>y de la cual constantemente culpa a quienes debe proteger.</w:t>
      </w:r>
    </w:p>
    <w:p w14:paraId="7A1EB169" w14:textId="77777777" w:rsidR="00DB2AFC" w:rsidRPr="00D639CD" w:rsidRDefault="00DB2AFC" w:rsidP="00DB2AFC">
      <w:pPr>
        <w:autoSpaceDE w:val="0"/>
        <w:autoSpaceDN w:val="0"/>
        <w:adjustRightInd w:val="0"/>
        <w:jc w:val="both"/>
        <w:rPr>
          <w:rFonts w:ascii="Abadi" w:hAnsi="Abadi" w:cs="*Arial-7150-Identity-H"/>
          <w:color w:val="14131B"/>
          <w:sz w:val="21"/>
          <w:szCs w:val="21"/>
        </w:rPr>
      </w:pPr>
    </w:p>
    <w:p w14:paraId="06890F1F" w14:textId="77777777" w:rsidR="00DB2AFC" w:rsidRDefault="00DB2AFC" w:rsidP="00DB2AFC">
      <w:pPr>
        <w:autoSpaceDE w:val="0"/>
        <w:autoSpaceDN w:val="0"/>
        <w:adjustRightInd w:val="0"/>
        <w:jc w:val="both"/>
        <w:rPr>
          <w:rFonts w:ascii="Abadi" w:hAnsi="Abadi" w:cs="*Arial-6865-Identity-H"/>
          <w:color w:val="14141B"/>
          <w:sz w:val="21"/>
          <w:szCs w:val="21"/>
        </w:rPr>
      </w:pPr>
      <w:r w:rsidRPr="00D639CD">
        <w:rPr>
          <w:rFonts w:ascii="Abadi" w:hAnsi="Abadi" w:cs="*Arial-7150-Identity-H"/>
          <w:color w:val="14131C"/>
          <w:sz w:val="21"/>
          <w:szCs w:val="21"/>
        </w:rPr>
        <w:t>Estamos de acuerdo que las Entidades y los municipios tienen un papel</w:t>
      </w:r>
      <w:r>
        <w:rPr>
          <w:rFonts w:ascii="Abadi" w:hAnsi="Abadi" w:cs="*Arial-7150-Identity-H"/>
          <w:color w:val="14131C"/>
          <w:sz w:val="21"/>
          <w:szCs w:val="21"/>
        </w:rPr>
        <w:t xml:space="preserve"> </w:t>
      </w:r>
      <w:r w:rsidRPr="00D639CD">
        <w:rPr>
          <w:rFonts w:ascii="Abadi" w:hAnsi="Abadi" w:cs="*Arial-7150-Identity-H"/>
          <w:color w:val="14131C"/>
          <w:sz w:val="21"/>
          <w:szCs w:val="21"/>
        </w:rPr>
        <w:t>preponderante respecto a la segurida9 en cada región de nuestro país, sin</w:t>
      </w:r>
      <w:r>
        <w:rPr>
          <w:rFonts w:ascii="Abadi" w:hAnsi="Abadi" w:cs="*Arial-7150-Identity-H"/>
          <w:color w:val="14131C"/>
          <w:sz w:val="21"/>
          <w:szCs w:val="21"/>
        </w:rPr>
        <w:t xml:space="preserve"> </w:t>
      </w:r>
      <w:r w:rsidRPr="00D639CD">
        <w:rPr>
          <w:rFonts w:ascii="Abadi" w:hAnsi="Abadi" w:cs="*Arial-7150-Identity-H"/>
          <w:color w:val="14131C"/>
          <w:sz w:val="21"/>
          <w:szCs w:val="21"/>
        </w:rPr>
        <w:t>embargo, la misma se ve dificultada por el poder de fuego que concentran no sólo</w:t>
      </w:r>
      <w:r>
        <w:rPr>
          <w:rFonts w:ascii="Abadi" w:hAnsi="Abadi" w:cs="*Arial-7150-Identity-H"/>
          <w:color w:val="14131C"/>
          <w:sz w:val="21"/>
          <w:szCs w:val="21"/>
        </w:rPr>
        <w:t xml:space="preserve"> </w:t>
      </w:r>
      <w:r w:rsidRPr="00D639CD">
        <w:rPr>
          <w:rFonts w:ascii="Abadi" w:hAnsi="Abadi" w:cs="*Arial-7150-Identity-H"/>
          <w:color w:val="14131C"/>
          <w:sz w:val="21"/>
          <w:szCs w:val="21"/>
        </w:rPr>
        <w:t>quienes pertenecen al crimen organizado, también, los delincuentes del fuero</w:t>
      </w:r>
      <w:r>
        <w:rPr>
          <w:rFonts w:ascii="Abadi" w:hAnsi="Abadi" w:cs="*Arial-7150-Identity-H"/>
          <w:color w:val="14131C"/>
          <w:sz w:val="21"/>
          <w:szCs w:val="21"/>
        </w:rPr>
        <w:t xml:space="preserve"> </w:t>
      </w:r>
      <w:r w:rsidRPr="00D639CD">
        <w:rPr>
          <w:rFonts w:ascii="Abadi" w:hAnsi="Abadi" w:cs="*Arial-7150-Identity-H"/>
          <w:color w:val="14131C"/>
          <w:sz w:val="21"/>
          <w:szCs w:val="21"/>
        </w:rPr>
        <w:t>común, pues, difícilmente nuestros policías, a pesar de la preparación que puedan</w:t>
      </w:r>
      <w:r>
        <w:rPr>
          <w:rFonts w:ascii="Abadi" w:hAnsi="Abadi" w:cs="*Arial-7150-Identity-H"/>
          <w:color w:val="14131C"/>
          <w:sz w:val="21"/>
          <w:szCs w:val="21"/>
        </w:rPr>
        <w:t xml:space="preserve">  </w:t>
      </w:r>
      <w:r w:rsidRPr="00D639CD">
        <w:rPr>
          <w:rFonts w:ascii="Abadi" w:hAnsi="Abadi" w:cs="*Arial-6865-Identity-H"/>
          <w:color w:val="14141B"/>
          <w:sz w:val="21"/>
          <w:szCs w:val="21"/>
        </w:rPr>
        <w:t>tener y su enorme valentía, pueden, en</w:t>
      </w:r>
      <w:r w:rsidRPr="00D639CD">
        <w:rPr>
          <w:rFonts w:ascii="Abadi" w:hAnsi="Abadi" w:cs="*Arial-6865-Identity-H"/>
          <w:color w:val="C1C1C1"/>
          <w:sz w:val="21"/>
          <w:szCs w:val="21"/>
        </w:rPr>
        <w:t xml:space="preserve">· </w:t>
      </w:r>
      <w:r w:rsidRPr="00D639CD">
        <w:rPr>
          <w:rFonts w:ascii="Abadi" w:hAnsi="Abadi" w:cs="*Arial-6865-Identity-H"/>
          <w:color w:val="14141B"/>
          <w:sz w:val="21"/>
          <w:szCs w:val="21"/>
        </w:rPr>
        <w:t>muchos casos, contrarrestar a quienes</w:t>
      </w:r>
      <w:r>
        <w:rPr>
          <w:rFonts w:ascii="Abadi" w:hAnsi="Abadi" w:cs="*Arial-6865-Identity-H"/>
          <w:color w:val="14141B"/>
          <w:sz w:val="21"/>
          <w:szCs w:val="21"/>
        </w:rPr>
        <w:t xml:space="preserve"> </w:t>
      </w:r>
      <w:r w:rsidRPr="00D639CD">
        <w:rPr>
          <w:rFonts w:ascii="Abadi" w:hAnsi="Abadi" w:cs="*Arial-6865-Identity-H"/>
          <w:color w:val="14141B"/>
          <w:sz w:val="21"/>
          <w:szCs w:val="21"/>
        </w:rPr>
        <w:t>utilizan instrumentos equiparables al de las fuerzas militares y que, además,</w:t>
      </w:r>
      <w:r>
        <w:rPr>
          <w:rFonts w:ascii="Abadi" w:hAnsi="Abadi" w:cs="*Arial-6865-Identity-H"/>
          <w:color w:val="14141B"/>
          <w:sz w:val="21"/>
          <w:szCs w:val="21"/>
        </w:rPr>
        <w:t xml:space="preserve"> </w:t>
      </w:r>
      <w:r w:rsidRPr="00D639CD">
        <w:rPr>
          <w:rFonts w:ascii="Abadi" w:hAnsi="Abadi" w:cs="*Arial-6865-Identity-H"/>
          <w:color w:val="14141B"/>
          <w:sz w:val="21"/>
          <w:szCs w:val="21"/>
        </w:rPr>
        <w:t>atacan arteramente desde su camuflaje civil.</w:t>
      </w:r>
      <w:r>
        <w:rPr>
          <w:rFonts w:ascii="Abadi" w:hAnsi="Abadi" w:cs="*Arial-6865-Identity-H"/>
          <w:color w:val="14141B"/>
          <w:sz w:val="21"/>
          <w:szCs w:val="21"/>
        </w:rPr>
        <w:t xml:space="preserve"> </w:t>
      </w:r>
    </w:p>
    <w:p w14:paraId="5315C30C" w14:textId="77777777" w:rsidR="00DB2AFC" w:rsidRDefault="00DB2AFC" w:rsidP="00DB2AFC">
      <w:pPr>
        <w:autoSpaceDE w:val="0"/>
        <w:autoSpaceDN w:val="0"/>
        <w:adjustRightInd w:val="0"/>
        <w:jc w:val="both"/>
        <w:rPr>
          <w:rFonts w:ascii="Abadi" w:hAnsi="Abadi" w:cs="*Arial-6865-Identity-H"/>
          <w:color w:val="14141B"/>
          <w:sz w:val="21"/>
          <w:szCs w:val="21"/>
        </w:rPr>
      </w:pPr>
    </w:p>
    <w:p w14:paraId="04E87256" w14:textId="77777777" w:rsidR="00DB2AFC" w:rsidRDefault="00DB2AFC" w:rsidP="00DB2AFC">
      <w:pPr>
        <w:autoSpaceDE w:val="0"/>
        <w:autoSpaceDN w:val="0"/>
        <w:adjustRightInd w:val="0"/>
        <w:jc w:val="both"/>
        <w:rPr>
          <w:rFonts w:ascii="Abadi" w:hAnsi="Abadi" w:cs="*Arial-6865-Identity-H"/>
          <w:color w:val="14131C"/>
          <w:sz w:val="21"/>
          <w:szCs w:val="21"/>
        </w:rPr>
      </w:pPr>
      <w:r w:rsidRPr="00D639CD">
        <w:rPr>
          <w:rFonts w:ascii="Abadi" w:hAnsi="Abadi" w:cs="*Arial-6865-Identity-H"/>
          <w:color w:val="14131C"/>
          <w:sz w:val="21"/>
          <w:szCs w:val="21"/>
        </w:rPr>
        <w:t>La tarea preventiva y disuasoria, de los cuerpos de seguridad se ve imposible,</w:t>
      </w:r>
      <w:r>
        <w:rPr>
          <w:rFonts w:ascii="Abadi" w:hAnsi="Abadi" w:cs="*Arial-6865-Identity-H"/>
          <w:color w:val="14131C"/>
          <w:sz w:val="21"/>
          <w:szCs w:val="21"/>
        </w:rPr>
        <w:t xml:space="preserve"> </w:t>
      </w:r>
      <w:r w:rsidRPr="00D639CD">
        <w:rPr>
          <w:rFonts w:ascii="Abadi" w:hAnsi="Abadi" w:cs="*Arial-6865-Identity-H"/>
          <w:color w:val="14131C"/>
          <w:sz w:val="21"/>
          <w:szCs w:val="21"/>
        </w:rPr>
        <w:t>cuando a quien se pretende disuadir de cometer ilícitos, posee bajo el amparo de</w:t>
      </w:r>
      <w:r>
        <w:rPr>
          <w:rFonts w:ascii="Abadi" w:hAnsi="Abadi" w:cs="*Arial-6865-Identity-H"/>
          <w:color w:val="14131C"/>
          <w:sz w:val="21"/>
          <w:szCs w:val="21"/>
        </w:rPr>
        <w:t xml:space="preserve"> </w:t>
      </w:r>
      <w:r w:rsidRPr="00D639CD">
        <w:rPr>
          <w:rFonts w:ascii="Abadi" w:hAnsi="Abadi" w:cs="*Arial-6865-Identity-H"/>
          <w:color w:val="14131C"/>
          <w:sz w:val="21"/>
          <w:szCs w:val="21"/>
        </w:rPr>
        <w:t>la impunidad, mayor fuerza armamentista que nuestros cuerpos de seguridad, que</w:t>
      </w:r>
      <w:r>
        <w:rPr>
          <w:rFonts w:ascii="Abadi" w:hAnsi="Abadi" w:cs="*Arial-6865-Identity-H"/>
          <w:color w:val="14131C"/>
          <w:sz w:val="21"/>
          <w:szCs w:val="21"/>
        </w:rPr>
        <w:t xml:space="preserve"> </w:t>
      </w:r>
      <w:r w:rsidRPr="00D639CD">
        <w:rPr>
          <w:rFonts w:ascii="Abadi" w:hAnsi="Abadi" w:cs="*Arial-6865-Identity-H"/>
          <w:color w:val="14131C"/>
          <w:sz w:val="21"/>
          <w:szCs w:val="21"/>
        </w:rPr>
        <w:t>si están limitados respecto al tipo y manejo de las armas que pueden usar como</w:t>
      </w:r>
      <w:r>
        <w:rPr>
          <w:rFonts w:ascii="Abadi" w:hAnsi="Abadi" w:cs="*Arial-6865-Identity-H"/>
          <w:color w:val="14131C"/>
          <w:sz w:val="21"/>
          <w:szCs w:val="21"/>
        </w:rPr>
        <w:t xml:space="preserve"> </w:t>
      </w:r>
      <w:r w:rsidRPr="00D639CD">
        <w:rPr>
          <w:rFonts w:ascii="Abadi" w:hAnsi="Abadi" w:cs="*Arial-6865-Identity-H"/>
          <w:color w:val="14131C"/>
          <w:sz w:val="21"/>
          <w:szCs w:val="21"/>
        </w:rPr>
        <w:t>instrumentos de trabajo.</w:t>
      </w:r>
    </w:p>
    <w:p w14:paraId="647711F3" w14:textId="77777777" w:rsidR="00DB2AFC" w:rsidRPr="00D639CD" w:rsidRDefault="00DB2AFC" w:rsidP="00DB2AFC">
      <w:pPr>
        <w:autoSpaceDE w:val="0"/>
        <w:autoSpaceDN w:val="0"/>
        <w:adjustRightInd w:val="0"/>
        <w:jc w:val="both"/>
        <w:rPr>
          <w:rFonts w:ascii="Abadi" w:hAnsi="Abadi" w:cs="*Arial-6865-Identity-H"/>
          <w:color w:val="14131C"/>
          <w:sz w:val="21"/>
          <w:szCs w:val="21"/>
        </w:rPr>
      </w:pPr>
    </w:p>
    <w:p w14:paraId="46F886C5" w14:textId="77777777" w:rsidR="00DB2AFC" w:rsidRDefault="00DB2AFC" w:rsidP="00DB2AFC">
      <w:pPr>
        <w:autoSpaceDE w:val="0"/>
        <w:autoSpaceDN w:val="0"/>
        <w:adjustRightInd w:val="0"/>
        <w:jc w:val="both"/>
        <w:rPr>
          <w:rFonts w:ascii="Abadi" w:hAnsi="Abadi" w:cs="*Arial-6865-Identity-H"/>
          <w:color w:val="14131B"/>
          <w:sz w:val="21"/>
          <w:szCs w:val="21"/>
        </w:rPr>
      </w:pPr>
      <w:r w:rsidRPr="00D639CD">
        <w:rPr>
          <w:rFonts w:ascii="Abadi" w:hAnsi="Abadi" w:cs="*Arial-6865-Identity-H"/>
          <w:color w:val="14131B"/>
          <w:sz w:val="21"/>
          <w:szCs w:val="21"/>
        </w:rPr>
        <w:t>En tal tesitura, la indefensión con que se deja a las entidades para contrarrestar el</w:t>
      </w:r>
      <w:r>
        <w:rPr>
          <w:rFonts w:ascii="Abadi" w:hAnsi="Abadi" w:cs="*Arial-6865-Identity-H"/>
          <w:color w:val="14131B"/>
          <w:sz w:val="21"/>
          <w:szCs w:val="21"/>
        </w:rPr>
        <w:t xml:space="preserve"> </w:t>
      </w:r>
      <w:r w:rsidRPr="00D639CD">
        <w:rPr>
          <w:rFonts w:ascii="Abadi" w:hAnsi="Abadi" w:cs="*Arial-6865-Identity-H"/>
          <w:color w:val="14131B"/>
          <w:sz w:val="21"/>
          <w:szCs w:val="21"/>
        </w:rPr>
        <w:t>número de crímenes que involucran armas de fuego, de los cuales son víctimas</w:t>
      </w:r>
      <w:r>
        <w:rPr>
          <w:rFonts w:ascii="Abadi" w:hAnsi="Abadi" w:cs="*Arial-6865-Identity-H"/>
          <w:color w:val="14131B"/>
          <w:sz w:val="21"/>
          <w:szCs w:val="21"/>
        </w:rPr>
        <w:t xml:space="preserve"> </w:t>
      </w:r>
      <w:r w:rsidRPr="00D639CD">
        <w:rPr>
          <w:rFonts w:ascii="Abadi" w:hAnsi="Abadi" w:cs="*Arial-6865-Identity-H"/>
          <w:color w:val="14131B"/>
          <w:sz w:val="21"/>
          <w:szCs w:val="21"/>
        </w:rPr>
        <w:t>también nuestros cuerpos de seguridad, es una agravante que, en gran medida</w:t>
      </w:r>
      <w:r>
        <w:rPr>
          <w:rFonts w:ascii="Abadi" w:hAnsi="Abadi" w:cs="*Arial-6865-Identity-H"/>
          <w:color w:val="14131B"/>
          <w:sz w:val="21"/>
          <w:szCs w:val="21"/>
        </w:rPr>
        <w:t xml:space="preserve"> </w:t>
      </w:r>
      <w:r w:rsidRPr="00D639CD">
        <w:rPr>
          <w:rFonts w:ascii="Abadi" w:hAnsi="Abadi" w:cs="*Arial-6865-Identity-H"/>
          <w:color w:val="14131B"/>
          <w:sz w:val="21"/>
          <w:szCs w:val="21"/>
        </w:rPr>
        <w:t>impide una efectiva labor por parte de las autoridades estatales y municipales, por</w:t>
      </w:r>
      <w:r>
        <w:rPr>
          <w:rFonts w:ascii="Abadi" w:hAnsi="Abadi" w:cs="*Arial-6865-Identity-H"/>
          <w:color w:val="14131B"/>
          <w:sz w:val="21"/>
          <w:szCs w:val="21"/>
        </w:rPr>
        <w:t xml:space="preserve"> </w:t>
      </w:r>
      <w:r w:rsidRPr="00D639CD">
        <w:rPr>
          <w:rFonts w:ascii="Abadi" w:hAnsi="Abadi" w:cs="*Arial-6865-Identity-H"/>
          <w:color w:val="14131B"/>
          <w:sz w:val="21"/>
          <w:szCs w:val="21"/>
        </w:rPr>
        <w:t>la imposibilidad jurídica y material para contener este tipo de ilícitos, pues,</w:t>
      </w:r>
      <w:r>
        <w:rPr>
          <w:rFonts w:ascii="Abadi" w:hAnsi="Abadi" w:cs="*Arial-6865-Identity-H"/>
          <w:color w:val="14131B"/>
          <w:sz w:val="21"/>
          <w:szCs w:val="21"/>
        </w:rPr>
        <w:t xml:space="preserve"> </w:t>
      </w:r>
      <w:r w:rsidRPr="00D639CD">
        <w:rPr>
          <w:rFonts w:ascii="Abadi" w:hAnsi="Abadi" w:cs="*Arial-6865-Identity-H"/>
          <w:color w:val="14131B"/>
          <w:sz w:val="21"/>
          <w:szCs w:val="21"/>
        </w:rPr>
        <w:t>mientras la federación no cumpla con su labor de impedir la entrada de armas a</w:t>
      </w:r>
      <w:r>
        <w:rPr>
          <w:rFonts w:ascii="Abadi" w:hAnsi="Abadi" w:cs="*Arial-6865-Identity-H"/>
          <w:color w:val="14131B"/>
          <w:sz w:val="21"/>
          <w:szCs w:val="21"/>
        </w:rPr>
        <w:t xml:space="preserve"> </w:t>
      </w:r>
      <w:r w:rsidRPr="00D639CD">
        <w:rPr>
          <w:rFonts w:ascii="Abadi" w:hAnsi="Abadi" w:cs="*Arial-6865-Identity-H"/>
          <w:color w:val="14131B"/>
          <w:sz w:val="21"/>
          <w:szCs w:val="21"/>
        </w:rPr>
        <w:t>nuestro país y controlar el contrabando de las mismas, nuestras fuerzas de</w:t>
      </w:r>
      <w:r>
        <w:rPr>
          <w:rFonts w:ascii="Abadi" w:hAnsi="Abadi" w:cs="*Arial-6865-Identity-H"/>
          <w:color w:val="14131B"/>
          <w:sz w:val="21"/>
          <w:szCs w:val="21"/>
        </w:rPr>
        <w:t xml:space="preserve"> </w:t>
      </w:r>
      <w:r w:rsidRPr="00D639CD">
        <w:rPr>
          <w:rFonts w:ascii="Abadi" w:hAnsi="Abadi" w:cs="*Arial-6865-Identity-H"/>
          <w:color w:val="14131B"/>
          <w:sz w:val="21"/>
          <w:szCs w:val="21"/>
        </w:rPr>
        <w:t>seguridad están sujetas al interminable y recurrente golpeteo del poder de fuego</w:t>
      </w:r>
      <w:r>
        <w:rPr>
          <w:rFonts w:ascii="Abadi" w:hAnsi="Abadi" w:cs="*Arial-6865-Identity-H"/>
          <w:color w:val="14131B"/>
          <w:sz w:val="21"/>
          <w:szCs w:val="21"/>
        </w:rPr>
        <w:t xml:space="preserve"> </w:t>
      </w:r>
      <w:r w:rsidRPr="00D639CD">
        <w:rPr>
          <w:rFonts w:ascii="Abadi" w:hAnsi="Abadi" w:cs="*Arial-6865-Identity-H"/>
          <w:color w:val="14131B"/>
          <w:sz w:val="21"/>
          <w:szCs w:val="21"/>
        </w:rPr>
        <w:t>de los criminales, que día con día parece ir en aumento.</w:t>
      </w:r>
    </w:p>
    <w:p w14:paraId="47571832" w14:textId="77777777" w:rsidR="00DB2AFC" w:rsidRPr="00D639CD" w:rsidRDefault="00DB2AFC" w:rsidP="00DB2AFC">
      <w:pPr>
        <w:autoSpaceDE w:val="0"/>
        <w:autoSpaceDN w:val="0"/>
        <w:adjustRightInd w:val="0"/>
        <w:jc w:val="both"/>
        <w:rPr>
          <w:rFonts w:ascii="Abadi" w:hAnsi="Abadi" w:cs="*Arial-6865-Identity-H"/>
          <w:color w:val="14131B"/>
          <w:sz w:val="21"/>
          <w:szCs w:val="21"/>
        </w:rPr>
      </w:pPr>
    </w:p>
    <w:p w14:paraId="73480DD4" w14:textId="77777777" w:rsidR="00DB2AFC" w:rsidRDefault="00DB2AFC" w:rsidP="00DB2AFC">
      <w:pPr>
        <w:autoSpaceDE w:val="0"/>
        <w:autoSpaceDN w:val="0"/>
        <w:adjustRightInd w:val="0"/>
        <w:jc w:val="both"/>
        <w:rPr>
          <w:rFonts w:ascii="Abadi" w:hAnsi="Abadi" w:cs="*Arial-6865-Identity-H"/>
          <w:color w:val="14131B"/>
          <w:sz w:val="21"/>
          <w:szCs w:val="21"/>
        </w:rPr>
      </w:pPr>
      <w:r w:rsidRPr="00D639CD">
        <w:rPr>
          <w:rFonts w:ascii="Abadi" w:hAnsi="Abadi" w:cs="*Arial-6865-Identity-H"/>
          <w:color w:val="14131B"/>
          <w:sz w:val="21"/>
          <w:szCs w:val="21"/>
        </w:rPr>
        <w:t>Y es que la función del Estado en su conjunto no es la de competir con los</w:t>
      </w:r>
      <w:r>
        <w:rPr>
          <w:rFonts w:ascii="Abadi" w:hAnsi="Abadi" w:cs="*Arial-6865-Identity-H"/>
          <w:color w:val="14131B"/>
          <w:sz w:val="21"/>
          <w:szCs w:val="21"/>
        </w:rPr>
        <w:t xml:space="preserve"> </w:t>
      </w:r>
      <w:r w:rsidRPr="00D639CD">
        <w:rPr>
          <w:rFonts w:ascii="Abadi" w:hAnsi="Abadi" w:cs="*Arial-6865-Identity-H"/>
          <w:color w:val="14131B"/>
          <w:sz w:val="21"/>
          <w:szCs w:val="21"/>
        </w:rPr>
        <w:t>criminales, es la de brindar seguridad a todos los ciudadanos, y si un gobierno es</w:t>
      </w:r>
      <w:r>
        <w:rPr>
          <w:rFonts w:ascii="Abadi" w:hAnsi="Abadi" w:cs="*Arial-6865-Identity-H"/>
          <w:color w:val="14131B"/>
          <w:sz w:val="21"/>
          <w:szCs w:val="21"/>
        </w:rPr>
        <w:t xml:space="preserve"> </w:t>
      </w:r>
      <w:r w:rsidRPr="00D639CD">
        <w:rPr>
          <w:rFonts w:ascii="Abadi" w:hAnsi="Abadi" w:cs="*Arial-6865-Identity-H"/>
          <w:color w:val="14131B"/>
          <w:sz w:val="21"/>
          <w:szCs w:val="21"/>
        </w:rPr>
        <w:t>ineficaz con el cumplimiento de su deber, entonces es un mal gobierno, pues</w:t>
      </w:r>
      <w:r>
        <w:rPr>
          <w:rFonts w:ascii="Abadi" w:hAnsi="Abadi" w:cs="*Arial-6865-Identity-H"/>
          <w:color w:val="14131B"/>
          <w:sz w:val="21"/>
          <w:szCs w:val="21"/>
        </w:rPr>
        <w:t xml:space="preserve"> </w:t>
      </w:r>
      <w:r w:rsidRPr="00D639CD">
        <w:rPr>
          <w:rFonts w:ascii="Abadi" w:hAnsi="Abadi" w:cs="*Arial-6865-Identity-H"/>
          <w:color w:val="14131B"/>
          <w:sz w:val="21"/>
          <w:szCs w:val="21"/>
        </w:rPr>
        <w:t>como lo dijo Rousseau, "en un pueblo bien gobernado hay pocos castigos, no</w:t>
      </w:r>
      <w:r>
        <w:rPr>
          <w:rFonts w:ascii="Abadi" w:hAnsi="Abadi" w:cs="*Arial-6865-Identity-H"/>
          <w:color w:val="14131B"/>
          <w:sz w:val="21"/>
          <w:szCs w:val="21"/>
        </w:rPr>
        <w:t xml:space="preserve"> </w:t>
      </w:r>
      <w:r w:rsidRPr="00D639CD">
        <w:rPr>
          <w:rFonts w:ascii="Abadi" w:hAnsi="Abadi" w:cs="*Arial-6865-Identity-H"/>
          <w:color w:val="14131B"/>
          <w:sz w:val="21"/>
          <w:szCs w:val="21"/>
        </w:rPr>
        <w:t>porque se concedan muchos perdones, sino porque hay pocos criminales", y en la</w:t>
      </w:r>
      <w:r>
        <w:rPr>
          <w:rFonts w:ascii="Abadi" w:hAnsi="Abadi" w:cs="*Arial-6865-Identity-H"/>
          <w:color w:val="14131B"/>
          <w:sz w:val="21"/>
          <w:szCs w:val="21"/>
        </w:rPr>
        <w:t xml:space="preserve"> </w:t>
      </w:r>
      <w:r w:rsidRPr="00D639CD">
        <w:rPr>
          <w:rFonts w:ascii="Abadi" w:hAnsi="Abadi" w:cs="*Arial-6865-Identity-H"/>
          <w:color w:val="14131B"/>
          <w:sz w:val="21"/>
          <w:szCs w:val="21"/>
        </w:rPr>
        <w:t>actualidad, en México, crimen e impunidad es lo que impera.</w:t>
      </w:r>
    </w:p>
    <w:p w14:paraId="2E476BC9" w14:textId="77777777" w:rsidR="00DB2AFC" w:rsidRPr="00D639CD" w:rsidRDefault="00DB2AFC" w:rsidP="00DB2AFC">
      <w:pPr>
        <w:autoSpaceDE w:val="0"/>
        <w:autoSpaceDN w:val="0"/>
        <w:adjustRightInd w:val="0"/>
        <w:jc w:val="both"/>
        <w:rPr>
          <w:rFonts w:ascii="Abadi" w:hAnsi="Abadi" w:cs="*Arial-6865-Identity-H"/>
          <w:color w:val="14131B"/>
          <w:sz w:val="21"/>
          <w:szCs w:val="21"/>
        </w:rPr>
      </w:pPr>
    </w:p>
    <w:p w14:paraId="04FEDBE9" w14:textId="77777777" w:rsidR="00DB2AFC" w:rsidRDefault="00DB2AFC" w:rsidP="00DB2AFC">
      <w:pPr>
        <w:autoSpaceDE w:val="0"/>
        <w:autoSpaceDN w:val="0"/>
        <w:adjustRightInd w:val="0"/>
        <w:jc w:val="both"/>
        <w:rPr>
          <w:rFonts w:ascii="Abadi" w:hAnsi="Abadi" w:cs="*Arial-6824-Identity-H"/>
          <w:color w:val="14141B"/>
          <w:sz w:val="21"/>
          <w:szCs w:val="21"/>
        </w:rPr>
      </w:pPr>
      <w:r w:rsidRPr="00D639CD">
        <w:rPr>
          <w:rFonts w:ascii="Abadi" w:hAnsi="Abadi" w:cs="*Arial-6865-Identity-H"/>
          <w:color w:val="15131C"/>
          <w:sz w:val="21"/>
          <w:szCs w:val="21"/>
        </w:rPr>
        <w:t>De qué sirve, que los legislativos de las Entidades o la Federación, agraven</w:t>
      </w:r>
      <w:r>
        <w:rPr>
          <w:rFonts w:ascii="Abadi" w:hAnsi="Abadi" w:cs="*Arial-6865-Identity-H"/>
          <w:color w:val="15131C"/>
          <w:sz w:val="21"/>
          <w:szCs w:val="21"/>
        </w:rPr>
        <w:t xml:space="preserve"> </w:t>
      </w:r>
      <w:r w:rsidRPr="00D639CD">
        <w:rPr>
          <w:rFonts w:ascii="Abadi" w:hAnsi="Abadi" w:cs="*Arial-6865-Identity-H"/>
          <w:color w:val="15131C"/>
          <w:sz w:val="21"/>
          <w:szCs w:val="21"/>
        </w:rPr>
        <w:t>penas, modifiquen los sistemas penales, o creen nuevas figuras jurídicas, si quien</w:t>
      </w:r>
      <w:r>
        <w:rPr>
          <w:rFonts w:ascii="Abadi" w:hAnsi="Abadi" w:cs="*Arial-6865-Identity-H"/>
          <w:color w:val="15131C"/>
          <w:sz w:val="21"/>
          <w:szCs w:val="21"/>
        </w:rPr>
        <w:t xml:space="preserve"> </w:t>
      </w:r>
      <w:r w:rsidRPr="00D639CD">
        <w:rPr>
          <w:rFonts w:ascii="Abadi" w:hAnsi="Abadi" w:cs="*Arial-6824-Identity-H"/>
          <w:color w:val="14141B"/>
          <w:sz w:val="21"/>
          <w:szCs w:val="21"/>
        </w:rPr>
        <w:t>debe ser el brazo ejecutor de la ley, prefiere la política de los abrazos, contrario a</w:t>
      </w:r>
      <w:r>
        <w:rPr>
          <w:rFonts w:ascii="Abadi" w:hAnsi="Abadi" w:cs="*Arial-6824-Identity-H"/>
          <w:color w:val="14141B"/>
          <w:sz w:val="21"/>
          <w:szCs w:val="21"/>
        </w:rPr>
        <w:t xml:space="preserve"> </w:t>
      </w:r>
      <w:r w:rsidRPr="00D639CD">
        <w:rPr>
          <w:rFonts w:ascii="Abadi" w:hAnsi="Abadi" w:cs="*Arial-6824-Identity-H"/>
          <w:color w:val="14141B"/>
          <w:sz w:val="21"/>
          <w:szCs w:val="21"/>
        </w:rPr>
        <w:t>lo que profesara el primer Jefe del Ejecito Constitucionalista, Venustiano Carranza</w:t>
      </w:r>
      <w:r>
        <w:rPr>
          <w:rFonts w:ascii="Abadi" w:hAnsi="Abadi" w:cs="*Arial-6824-Identity-H"/>
          <w:color w:val="14141B"/>
          <w:sz w:val="21"/>
          <w:szCs w:val="21"/>
        </w:rPr>
        <w:t xml:space="preserve"> </w:t>
      </w:r>
      <w:r w:rsidRPr="00D639CD">
        <w:rPr>
          <w:rFonts w:ascii="Abadi" w:hAnsi="Abadi" w:cs="*Arial-6824-Identity-H"/>
          <w:color w:val="14141B"/>
          <w:sz w:val="21"/>
          <w:szCs w:val="21"/>
        </w:rPr>
        <w:t>"que no hay arreglo posible entre el crimen y la ley".</w:t>
      </w:r>
    </w:p>
    <w:p w14:paraId="40471D9C" w14:textId="77777777" w:rsidR="00DB2AFC" w:rsidRPr="00D639CD" w:rsidRDefault="00DB2AFC" w:rsidP="00DB2AFC">
      <w:pPr>
        <w:autoSpaceDE w:val="0"/>
        <w:autoSpaceDN w:val="0"/>
        <w:adjustRightInd w:val="0"/>
        <w:jc w:val="both"/>
        <w:rPr>
          <w:rFonts w:ascii="Abadi" w:hAnsi="Abadi" w:cs="*Arial-6824-Identity-H"/>
          <w:color w:val="14141B"/>
          <w:sz w:val="21"/>
          <w:szCs w:val="21"/>
        </w:rPr>
      </w:pPr>
    </w:p>
    <w:p w14:paraId="0347CAB5" w14:textId="77777777" w:rsidR="00DB2AFC" w:rsidRDefault="00DB2AFC" w:rsidP="00DB2AFC">
      <w:pPr>
        <w:autoSpaceDE w:val="0"/>
        <w:autoSpaceDN w:val="0"/>
        <w:adjustRightInd w:val="0"/>
        <w:ind w:firstLine="708"/>
        <w:jc w:val="both"/>
        <w:rPr>
          <w:rFonts w:ascii="Abadi" w:hAnsi="Abadi" w:cs="*Arial-Bold-6825-Identity-H"/>
          <w:b/>
          <w:bCs/>
          <w:color w:val="14131F"/>
          <w:sz w:val="21"/>
          <w:szCs w:val="21"/>
        </w:rPr>
      </w:pPr>
      <w:r>
        <w:rPr>
          <w:rFonts w:ascii="Abadi" w:hAnsi="Abadi" w:cs="*Arial-Bold-6825-Identity-H"/>
          <w:b/>
          <w:bCs/>
          <w:color w:val="14131F"/>
          <w:sz w:val="21"/>
          <w:szCs w:val="21"/>
        </w:rPr>
        <w:t>III</w:t>
      </w:r>
      <w:r w:rsidRPr="00D639CD">
        <w:rPr>
          <w:rFonts w:ascii="Abadi" w:hAnsi="Abadi" w:cs="*Arial-Bold-6825-Identity-H"/>
          <w:b/>
          <w:bCs/>
          <w:color w:val="14131F"/>
          <w:sz w:val="21"/>
          <w:szCs w:val="21"/>
        </w:rPr>
        <w:t>. Consideraciones de quienes integran la comisión.</w:t>
      </w:r>
    </w:p>
    <w:p w14:paraId="74383DD8" w14:textId="77777777" w:rsidR="00DB2AFC" w:rsidRPr="00D639CD" w:rsidRDefault="00DB2AFC" w:rsidP="00DB2AFC">
      <w:pPr>
        <w:autoSpaceDE w:val="0"/>
        <w:autoSpaceDN w:val="0"/>
        <w:adjustRightInd w:val="0"/>
        <w:jc w:val="both"/>
        <w:rPr>
          <w:rFonts w:ascii="Abadi" w:hAnsi="Abadi" w:cs="*Arial-Bold-6825-Identity-H"/>
          <w:b/>
          <w:bCs/>
          <w:color w:val="14131F"/>
          <w:sz w:val="21"/>
          <w:szCs w:val="21"/>
        </w:rPr>
      </w:pPr>
    </w:p>
    <w:p w14:paraId="2CA97B3D" w14:textId="77777777" w:rsidR="00DB2AFC" w:rsidRDefault="00DB2AFC" w:rsidP="00DB2AFC">
      <w:pPr>
        <w:autoSpaceDE w:val="0"/>
        <w:autoSpaceDN w:val="0"/>
        <w:adjustRightInd w:val="0"/>
        <w:jc w:val="both"/>
        <w:rPr>
          <w:rFonts w:ascii="Abadi" w:hAnsi="Abadi" w:cs="*Arial-6824-Identity-H"/>
          <w:color w:val="14131B"/>
          <w:sz w:val="21"/>
          <w:szCs w:val="21"/>
        </w:rPr>
      </w:pPr>
      <w:r w:rsidRPr="00D639CD">
        <w:rPr>
          <w:rFonts w:ascii="Abadi" w:hAnsi="Abadi" w:cs="*Arial-6824-Identity-H"/>
          <w:color w:val="14131B"/>
          <w:sz w:val="21"/>
          <w:szCs w:val="21"/>
        </w:rPr>
        <w:t>La Secretaría de la Defensa Nacional afirma que cada año ingresan al país más</w:t>
      </w:r>
      <w:r>
        <w:rPr>
          <w:rFonts w:ascii="Abadi" w:hAnsi="Abadi" w:cs="*Arial-6824-Identity-H"/>
          <w:color w:val="14131B"/>
          <w:sz w:val="21"/>
          <w:szCs w:val="21"/>
        </w:rPr>
        <w:t xml:space="preserve"> </w:t>
      </w:r>
      <w:r w:rsidRPr="00D639CD">
        <w:rPr>
          <w:rFonts w:ascii="Abadi" w:hAnsi="Abadi" w:cs="*Arial-6824-Identity-H"/>
          <w:color w:val="14131B"/>
          <w:sz w:val="21"/>
          <w:szCs w:val="21"/>
        </w:rPr>
        <w:t>de 200.000 armas de todo tipo.</w:t>
      </w:r>
    </w:p>
    <w:p w14:paraId="7CE98FA0" w14:textId="77777777" w:rsidR="00DB2AFC" w:rsidRPr="00D639CD" w:rsidRDefault="00DB2AFC" w:rsidP="00DB2AFC">
      <w:pPr>
        <w:autoSpaceDE w:val="0"/>
        <w:autoSpaceDN w:val="0"/>
        <w:adjustRightInd w:val="0"/>
        <w:jc w:val="both"/>
        <w:rPr>
          <w:rFonts w:ascii="Abadi" w:hAnsi="Abadi" w:cs="*Arial-6824-Identity-H"/>
          <w:color w:val="14131B"/>
          <w:sz w:val="21"/>
          <w:szCs w:val="21"/>
        </w:rPr>
      </w:pPr>
    </w:p>
    <w:p w14:paraId="2737DD5F" w14:textId="77777777" w:rsidR="00DB2AFC" w:rsidRDefault="00DB2AFC" w:rsidP="00DB2AFC">
      <w:pPr>
        <w:autoSpaceDE w:val="0"/>
        <w:autoSpaceDN w:val="0"/>
        <w:adjustRightInd w:val="0"/>
        <w:jc w:val="both"/>
        <w:rPr>
          <w:rFonts w:ascii="Abadi" w:hAnsi="Abadi" w:cs="*Arial-6824-Identity-H"/>
          <w:color w:val="14131B"/>
          <w:sz w:val="21"/>
          <w:szCs w:val="21"/>
        </w:rPr>
      </w:pPr>
      <w:r w:rsidRPr="00D639CD">
        <w:rPr>
          <w:rFonts w:ascii="Abadi" w:hAnsi="Abadi" w:cs="*Arial-6824-Identity-H"/>
          <w:color w:val="14131B"/>
          <w:sz w:val="21"/>
          <w:szCs w:val="21"/>
        </w:rPr>
        <w:t>Es un promedio de 567 al día, unas 22 cada hora. El 70% de ellas provienen de</w:t>
      </w:r>
      <w:r>
        <w:rPr>
          <w:rFonts w:ascii="Abadi" w:hAnsi="Abadi" w:cs="*Arial-6824-Identity-H"/>
          <w:color w:val="14131B"/>
          <w:sz w:val="21"/>
          <w:szCs w:val="21"/>
        </w:rPr>
        <w:t xml:space="preserve"> </w:t>
      </w:r>
      <w:r w:rsidRPr="00D639CD">
        <w:rPr>
          <w:rFonts w:ascii="Abadi" w:hAnsi="Abadi" w:cs="*Arial-6824-Identity-H"/>
          <w:color w:val="14131B"/>
          <w:sz w:val="21"/>
          <w:szCs w:val="21"/>
        </w:rPr>
        <w:t>armerías estadounidenses y entran al territorio mexicano por su frontera norte.</w:t>
      </w:r>
      <w:r>
        <w:rPr>
          <w:rFonts w:ascii="Abadi" w:hAnsi="Abadi" w:cs="*Arial-6824-Identity-H"/>
          <w:color w:val="14131B"/>
          <w:sz w:val="21"/>
          <w:szCs w:val="21"/>
        </w:rPr>
        <w:t xml:space="preserve"> </w:t>
      </w:r>
    </w:p>
    <w:p w14:paraId="25343CE3" w14:textId="77777777" w:rsidR="00DB2AFC" w:rsidRDefault="00DB2AFC" w:rsidP="00DB2AFC">
      <w:pPr>
        <w:autoSpaceDE w:val="0"/>
        <w:autoSpaceDN w:val="0"/>
        <w:adjustRightInd w:val="0"/>
        <w:jc w:val="both"/>
        <w:rPr>
          <w:rFonts w:ascii="Abadi" w:hAnsi="Abadi" w:cs="*Arial-6824-Identity-H"/>
          <w:color w:val="14131B"/>
          <w:sz w:val="21"/>
          <w:szCs w:val="21"/>
        </w:rPr>
      </w:pPr>
    </w:p>
    <w:p w14:paraId="60108CDB" w14:textId="77777777" w:rsidR="00DB2AFC" w:rsidRDefault="00DB2AFC" w:rsidP="00DB2AFC">
      <w:pPr>
        <w:autoSpaceDE w:val="0"/>
        <w:autoSpaceDN w:val="0"/>
        <w:adjustRightInd w:val="0"/>
        <w:jc w:val="both"/>
        <w:rPr>
          <w:rFonts w:ascii="Abadi" w:hAnsi="Abadi" w:cs="*Arial-6824-Identity-H"/>
          <w:color w:val="14131B"/>
          <w:sz w:val="21"/>
          <w:szCs w:val="21"/>
        </w:rPr>
      </w:pPr>
      <w:r w:rsidRPr="00D639CD">
        <w:rPr>
          <w:rFonts w:ascii="Abadi" w:hAnsi="Abadi" w:cs="*Arial-6824-Identity-H"/>
          <w:color w:val="14131B"/>
          <w:sz w:val="21"/>
          <w:szCs w:val="21"/>
        </w:rPr>
        <w:t>Puntualmente, siete de cada diez armas utilizadas por los criminales son de</w:t>
      </w:r>
      <w:r>
        <w:rPr>
          <w:rFonts w:ascii="Abadi" w:hAnsi="Abadi" w:cs="*Arial-6824-Identity-H"/>
          <w:color w:val="14131B"/>
          <w:sz w:val="21"/>
          <w:szCs w:val="21"/>
        </w:rPr>
        <w:t xml:space="preserve"> </w:t>
      </w:r>
      <w:r w:rsidRPr="00D639CD">
        <w:rPr>
          <w:rFonts w:ascii="Abadi" w:hAnsi="Abadi" w:cs="*Arial-6824-Identity-H"/>
          <w:color w:val="14131B"/>
          <w:sz w:val="21"/>
          <w:szCs w:val="21"/>
        </w:rPr>
        <w:t>origen y procedencia estadounidense.</w:t>
      </w:r>
    </w:p>
    <w:p w14:paraId="75F896D4" w14:textId="77777777" w:rsidR="00DB2AFC" w:rsidRPr="00D639CD" w:rsidRDefault="00DB2AFC" w:rsidP="00DB2AFC">
      <w:pPr>
        <w:autoSpaceDE w:val="0"/>
        <w:autoSpaceDN w:val="0"/>
        <w:adjustRightInd w:val="0"/>
        <w:jc w:val="both"/>
        <w:rPr>
          <w:rFonts w:ascii="Abadi" w:hAnsi="Abadi" w:cs="*Arial-6824-Identity-H"/>
          <w:color w:val="14131B"/>
          <w:sz w:val="21"/>
          <w:szCs w:val="21"/>
        </w:rPr>
      </w:pPr>
    </w:p>
    <w:p w14:paraId="5CBF4B15" w14:textId="77777777" w:rsidR="00DB2AFC" w:rsidRDefault="00DB2AFC" w:rsidP="00DB2AFC">
      <w:pPr>
        <w:autoSpaceDE w:val="0"/>
        <w:autoSpaceDN w:val="0"/>
        <w:adjustRightInd w:val="0"/>
        <w:jc w:val="both"/>
        <w:rPr>
          <w:rFonts w:ascii="Abadi" w:hAnsi="Abadi" w:cs="*Arial-6824-Identity-H"/>
          <w:color w:val="14131B"/>
          <w:sz w:val="21"/>
          <w:szCs w:val="21"/>
        </w:rPr>
      </w:pPr>
      <w:r w:rsidRPr="00D639CD">
        <w:rPr>
          <w:rFonts w:ascii="Abadi" w:hAnsi="Abadi" w:cs="*Arial-6824-Identity-H"/>
          <w:color w:val="14131B"/>
          <w:sz w:val="21"/>
          <w:szCs w:val="21"/>
        </w:rPr>
        <w:t>El tráfico es parte de la ola de violencia en el país. De acuerdo con la Secretaría</w:t>
      </w:r>
      <w:r>
        <w:rPr>
          <w:rFonts w:ascii="Abadi" w:hAnsi="Abadi" w:cs="*Arial-6824-Identity-H"/>
          <w:color w:val="14131B"/>
          <w:sz w:val="21"/>
          <w:szCs w:val="21"/>
        </w:rPr>
        <w:t xml:space="preserve"> </w:t>
      </w:r>
      <w:r w:rsidRPr="00D639CD">
        <w:rPr>
          <w:rFonts w:ascii="Abadi" w:hAnsi="Abadi" w:cs="*Arial-6824-Identity-H"/>
          <w:color w:val="14131B"/>
          <w:sz w:val="21"/>
          <w:szCs w:val="21"/>
        </w:rPr>
        <w:t>de Relaciones Exteriores, cerca del 70% de los asesinatos en México se cometen</w:t>
      </w:r>
      <w:r>
        <w:rPr>
          <w:rFonts w:ascii="Abadi" w:hAnsi="Abadi" w:cs="*Arial-6824-Identity-H"/>
          <w:color w:val="14131B"/>
          <w:sz w:val="21"/>
          <w:szCs w:val="21"/>
        </w:rPr>
        <w:t xml:space="preserve"> </w:t>
      </w:r>
      <w:r w:rsidRPr="00D639CD">
        <w:rPr>
          <w:rFonts w:ascii="Abadi" w:hAnsi="Abadi" w:cs="*Arial-6824-Identity-H"/>
          <w:color w:val="14131B"/>
          <w:sz w:val="21"/>
          <w:szCs w:val="21"/>
        </w:rPr>
        <w:t>con armas de fuego. Y de éstas, la mayoría son estadounidenses. En 1997 sólo</w:t>
      </w:r>
      <w:r>
        <w:rPr>
          <w:rFonts w:ascii="Abadi" w:hAnsi="Abadi" w:cs="*Arial-6824-Identity-H"/>
          <w:color w:val="14131B"/>
          <w:sz w:val="21"/>
          <w:szCs w:val="21"/>
        </w:rPr>
        <w:t xml:space="preserve"> </w:t>
      </w:r>
      <w:r w:rsidRPr="00D639CD">
        <w:rPr>
          <w:rFonts w:ascii="Abadi" w:hAnsi="Abadi" w:cs="*Arial-6824-Identity-H"/>
          <w:color w:val="14131B"/>
          <w:sz w:val="21"/>
          <w:szCs w:val="21"/>
        </w:rPr>
        <w:t>15 de cada 100 homicidios se cometían con armas de fuego.</w:t>
      </w:r>
    </w:p>
    <w:p w14:paraId="31B05F70" w14:textId="77777777" w:rsidR="00DB2AFC" w:rsidRPr="00D639CD" w:rsidRDefault="00DB2AFC" w:rsidP="00DB2AFC">
      <w:pPr>
        <w:autoSpaceDE w:val="0"/>
        <w:autoSpaceDN w:val="0"/>
        <w:adjustRightInd w:val="0"/>
        <w:jc w:val="both"/>
        <w:rPr>
          <w:rFonts w:ascii="Abadi" w:hAnsi="Abadi" w:cs="*Arial-6824-Identity-H"/>
          <w:color w:val="14131B"/>
          <w:sz w:val="21"/>
          <w:szCs w:val="21"/>
        </w:rPr>
      </w:pPr>
    </w:p>
    <w:p w14:paraId="564A1A5C" w14:textId="77777777" w:rsidR="00DB2AFC" w:rsidRDefault="00DB2AFC" w:rsidP="00DB2AFC">
      <w:pPr>
        <w:autoSpaceDE w:val="0"/>
        <w:autoSpaceDN w:val="0"/>
        <w:adjustRightInd w:val="0"/>
        <w:jc w:val="both"/>
        <w:rPr>
          <w:rFonts w:ascii="Abadi" w:hAnsi="Abadi" w:cs="*Arial-6824-Identity-H"/>
          <w:color w:val="14131B"/>
          <w:sz w:val="21"/>
          <w:szCs w:val="21"/>
        </w:rPr>
      </w:pPr>
      <w:r w:rsidRPr="00D639CD">
        <w:rPr>
          <w:rFonts w:ascii="Abadi" w:hAnsi="Abadi" w:cs="*Arial-6824-Identity-H"/>
          <w:color w:val="14131B"/>
          <w:sz w:val="21"/>
          <w:szCs w:val="21"/>
        </w:rPr>
        <w:t>Deben atenderse de manera inmediata las obligaciones que tiene a su cargo el</w:t>
      </w:r>
      <w:r>
        <w:rPr>
          <w:rFonts w:ascii="Abadi" w:hAnsi="Abadi" w:cs="*Arial-6824-Identity-H"/>
          <w:color w:val="14131B"/>
          <w:sz w:val="21"/>
          <w:szCs w:val="21"/>
        </w:rPr>
        <w:t xml:space="preserve"> </w:t>
      </w:r>
      <w:r w:rsidRPr="00D639CD">
        <w:rPr>
          <w:rFonts w:ascii="Abadi" w:hAnsi="Abadi" w:cs="*Arial-6824-Identity-H"/>
          <w:color w:val="14131B"/>
          <w:sz w:val="21"/>
          <w:szCs w:val="21"/>
        </w:rPr>
        <w:t>Ejecutivo Federal para realizar acciones de prevención y combate a la amenaza y</w:t>
      </w:r>
      <w:r>
        <w:rPr>
          <w:rFonts w:ascii="Abadi" w:hAnsi="Abadi" w:cs="*Arial-6824-Identity-H"/>
          <w:color w:val="14131B"/>
          <w:sz w:val="21"/>
          <w:szCs w:val="21"/>
        </w:rPr>
        <w:t xml:space="preserve"> </w:t>
      </w:r>
      <w:r w:rsidRPr="00D639CD">
        <w:rPr>
          <w:rFonts w:ascii="Abadi" w:hAnsi="Abadi" w:cs="*Arial-6824-Identity-H"/>
          <w:color w:val="14131B"/>
          <w:sz w:val="21"/>
          <w:szCs w:val="21"/>
        </w:rPr>
        <w:t>actos ilícitos a los que nos hemos referido y que afecta la vida de las personas,</w:t>
      </w:r>
      <w:r>
        <w:rPr>
          <w:rFonts w:ascii="Abadi" w:hAnsi="Abadi" w:cs="*Arial-6824-Identity-H"/>
          <w:color w:val="14131B"/>
          <w:sz w:val="21"/>
          <w:szCs w:val="21"/>
        </w:rPr>
        <w:t xml:space="preserve"> </w:t>
      </w:r>
      <w:r w:rsidRPr="00D639CD">
        <w:rPr>
          <w:rFonts w:ascii="Abadi" w:hAnsi="Abadi" w:cs="*Arial-6824-Identity-H"/>
          <w:color w:val="14131B"/>
          <w:sz w:val="21"/>
          <w:szCs w:val="21"/>
        </w:rPr>
        <w:t>su bienestar y su libertad.</w:t>
      </w:r>
    </w:p>
    <w:p w14:paraId="73E230FB" w14:textId="77777777" w:rsidR="00DB2AFC" w:rsidRPr="00D639CD" w:rsidRDefault="00DB2AFC" w:rsidP="00DB2AFC">
      <w:pPr>
        <w:autoSpaceDE w:val="0"/>
        <w:autoSpaceDN w:val="0"/>
        <w:adjustRightInd w:val="0"/>
        <w:jc w:val="both"/>
        <w:rPr>
          <w:rFonts w:ascii="Abadi" w:hAnsi="Abadi" w:cs="*Arial-6824-Identity-H"/>
          <w:color w:val="14131B"/>
          <w:sz w:val="21"/>
          <w:szCs w:val="21"/>
        </w:rPr>
      </w:pPr>
    </w:p>
    <w:p w14:paraId="49CBC106" w14:textId="3C35DB30" w:rsidR="00DB2AFC" w:rsidRDefault="00DB2AFC" w:rsidP="00DB2AFC">
      <w:pPr>
        <w:autoSpaceDE w:val="0"/>
        <w:autoSpaceDN w:val="0"/>
        <w:adjustRightInd w:val="0"/>
        <w:jc w:val="both"/>
        <w:rPr>
          <w:rFonts w:ascii="Abadi" w:hAnsi="Abadi" w:cs="*Arial-7712-Identity-H"/>
          <w:color w:val="14131B"/>
          <w:sz w:val="21"/>
          <w:szCs w:val="21"/>
        </w:rPr>
      </w:pPr>
      <w:r w:rsidRPr="00D639CD">
        <w:rPr>
          <w:rFonts w:ascii="Abadi" w:hAnsi="Abadi" w:cs="*Arial-6824-Identity-H"/>
          <w:color w:val="15141C"/>
          <w:sz w:val="21"/>
          <w:szCs w:val="21"/>
        </w:rPr>
        <w:t>No debe olvidarse que se encuentran vigentes instrumentos jurídicamente</w:t>
      </w:r>
      <w:r>
        <w:rPr>
          <w:rFonts w:ascii="Abadi" w:hAnsi="Abadi" w:cs="*Arial-6824-Identity-H"/>
          <w:color w:val="15141C"/>
          <w:sz w:val="21"/>
          <w:szCs w:val="21"/>
        </w:rPr>
        <w:t xml:space="preserve"> </w:t>
      </w:r>
      <w:r w:rsidRPr="00D639CD">
        <w:rPr>
          <w:rFonts w:ascii="Abadi" w:hAnsi="Abadi" w:cs="*Arial-6824-Identity-H"/>
          <w:color w:val="15141C"/>
          <w:sz w:val="21"/>
          <w:szCs w:val="21"/>
        </w:rPr>
        <w:t>vinculantes a nivel mundial, tales como el Protocolo contra la Fabricación y el</w:t>
      </w:r>
      <w:r>
        <w:rPr>
          <w:rFonts w:ascii="Abadi" w:hAnsi="Abadi" w:cs="*Arial-6824-Identity-H"/>
          <w:color w:val="15141C"/>
          <w:sz w:val="21"/>
          <w:szCs w:val="21"/>
        </w:rPr>
        <w:t xml:space="preserve">  </w:t>
      </w:r>
      <w:r w:rsidRPr="00D639CD">
        <w:rPr>
          <w:rFonts w:ascii="Abadi" w:hAnsi="Abadi" w:cs="*Arial-7712-Identity-H"/>
          <w:color w:val="14131B"/>
          <w:sz w:val="21"/>
          <w:szCs w:val="21"/>
        </w:rPr>
        <w:t>Tráfico Ilícitos de Armas de Fuego, sus Piezas y Componentes y Municiones de</w:t>
      </w:r>
      <w:r>
        <w:rPr>
          <w:rFonts w:ascii="Abadi" w:hAnsi="Abadi" w:cs="*Arial-7712-Identity-H"/>
          <w:color w:val="14131B"/>
          <w:sz w:val="21"/>
          <w:szCs w:val="21"/>
        </w:rPr>
        <w:t xml:space="preserve"> </w:t>
      </w:r>
      <w:r w:rsidRPr="00D639CD">
        <w:rPr>
          <w:rFonts w:ascii="Abadi" w:hAnsi="Abadi" w:cs="*Arial-7712-Identity-H"/>
          <w:color w:val="14131B"/>
          <w:sz w:val="21"/>
          <w:szCs w:val="21"/>
        </w:rPr>
        <w:t>la Convención de las Naciones Unidas contra la Delincuencia Organizada</w:t>
      </w:r>
      <w:r>
        <w:rPr>
          <w:rFonts w:ascii="Abadi" w:hAnsi="Abadi" w:cs="*Arial-7712-Identity-H"/>
          <w:color w:val="14131B"/>
          <w:sz w:val="21"/>
          <w:szCs w:val="21"/>
        </w:rPr>
        <w:t xml:space="preserve"> </w:t>
      </w:r>
      <w:r w:rsidRPr="00D639CD">
        <w:rPr>
          <w:rFonts w:ascii="Abadi" w:hAnsi="Abadi" w:cs="*Arial-7712-Identity-H"/>
          <w:color w:val="14131B"/>
          <w:sz w:val="21"/>
          <w:szCs w:val="21"/>
        </w:rPr>
        <w:t>Trasnacional, así como el Tratado sobre el Comercio de Armas de las Naciones</w:t>
      </w:r>
      <w:r>
        <w:rPr>
          <w:rFonts w:ascii="Abadi" w:hAnsi="Abadi" w:cs="*Arial-7712-Identity-H"/>
          <w:color w:val="14131B"/>
          <w:sz w:val="21"/>
          <w:szCs w:val="21"/>
        </w:rPr>
        <w:t xml:space="preserve"> </w:t>
      </w:r>
      <w:r w:rsidRPr="00D639CD">
        <w:rPr>
          <w:rFonts w:ascii="Abadi" w:hAnsi="Abadi" w:cs="*Arial-7712-Identity-H"/>
          <w:color w:val="14131B"/>
          <w:sz w:val="21"/>
          <w:szCs w:val="21"/>
        </w:rPr>
        <w:t>Unidas cuyo propósito es fortalecer la cooperación entre los Estados Miembro en</w:t>
      </w:r>
      <w:r>
        <w:rPr>
          <w:rFonts w:ascii="Abadi" w:hAnsi="Abadi" w:cs="*Arial-7712-Identity-H"/>
          <w:color w:val="14131B"/>
          <w:sz w:val="21"/>
          <w:szCs w:val="21"/>
        </w:rPr>
        <w:t xml:space="preserve"> </w:t>
      </w:r>
      <w:r w:rsidRPr="00D639CD">
        <w:rPr>
          <w:rFonts w:ascii="Abadi" w:hAnsi="Abadi" w:cs="*Arial-7712-Identity-H"/>
          <w:color w:val="14131B"/>
          <w:sz w:val="21"/>
          <w:szCs w:val="21"/>
        </w:rPr>
        <w:t>la lucha contra la fabricación, el uso y el tráfico ilícitos de armas y definir</w:t>
      </w:r>
      <w:r>
        <w:rPr>
          <w:rFonts w:ascii="Abadi" w:hAnsi="Abadi" w:cs="*Arial-7712-Identity-H"/>
          <w:color w:val="14131B"/>
          <w:sz w:val="21"/>
          <w:szCs w:val="21"/>
        </w:rPr>
        <w:t xml:space="preserve"> </w:t>
      </w:r>
      <w:r w:rsidRPr="00D639CD">
        <w:rPr>
          <w:rFonts w:ascii="Abadi" w:hAnsi="Abadi" w:cs="*Arial-7712-Identity-H"/>
          <w:color w:val="14131B"/>
          <w:sz w:val="21"/>
          <w:szCs w:val="21"/>
        </w:rPr>
        <w:t>conjuntamente las necesidades, desafíos y prioridades en la materia. Ambos de</w:t>
      </w:r>
      <w:r>
        <w:rPr>
          <w:rFonts w:ascii="Abadi" w:hAnsi="Abadi" w:cs="*Arial-7712-Identity-H"/>
          <w:color w:val="14131B"/>
          <w:sz w:val="21"/>
          <w:szCs w:val="21"/>
        </w:rPr>
        <w:t xml:space="preserve"> </w:t>
      </w:r>
      <w:r w:rsidRPr="00D639CD">
        <w:rPr>
          <w:rFonts w:ascii="Abadi" w:hAnsi="Abadi" w:cs="*Arial-7712-Identity-H"/>
          <w:color w:val="14131B"/>
          <w:sz w:val="21"/>
          <w:szCs w:val="21"/>
        </w:rPr>
        <w:t>aplicación complementaria y armonizada pueden considerarse atienden uno de</w:t>
      </w:r>
      <w:r>
        <w:rPr>
          <w:rFonts w:ascii="Abadi" w:hAnsi="Abadi" w:cs="*Arial-7712-Identity-H"/>
          <w:color w:val="14131B"/>
          <w:sz w:val="21"/>
          <w:szCs w:val="21"/>
        </w:rPr>
        <w:t xml:space="preserve"> </w:t>
      </w:r>
      <w:r w:rsidRPr="00D639CD">
        <w:rPr>
          <w:rFonts w:ascii="Abadi" w:hAnsi="Abadi" w:cs="*Arial-7712-Identity-H"/>
          <w:color w:val="14131B"/>
          <w:sz w:val="21"/>
          <w:szCs w:val="21"/>
        </w:rPr>
        <w:t>los Objetivos de Desarrollo Sostenible, en específico la meta 16.4, que establece</w:t>
      </w:r>
      <w:r w:rsidR="00540EA5">
        <w:rPr>
          <w:rFonts w:ascii="Abadi" w:hAnsi="Abadi" w:cs="*Arial-7712-Identity-H"/>
          <w:color w:val="14131B"/>
          <w:sz w:val="21"/>
          <w:szCs w:val="21"/>
        </w:rPr>
        <w:t xml:space="preserve"> </w:t>
      </w:r>
      <w:r w:rsidRPr="00D639CD">
        <w:rPr>
          <w:rFonts w:ascii="Abadi" w:hAnsi="Abadi" w:cs="*Arial-7712-Identity-H"/>
          <w:color w:val="14131B"/>
          <w:sz w:val="21"/>
          <w:szCs w:val="21"/>
        </w:rPr>
        <w:t>la reducción de las corrientes financieras y de armas ilícitas.</w:t>
      </w:r>
    </w:p>
    <w:p w14:paraId="1FDD3A0D" w14:textId="77777777" w:rsidR="00540EA5" w:rsidRPr="00D639CD" w:rsidRDefault="00540EA5" w:rsidP="00DB2AFC">
      <w:pPr>
        <w:autoSpaceDE w:val="0"/>
        <w:autoSpaceDN w:val="0"/>
        <w:adjustRightInd w:val="0"/>
        <w:jc w:val="both"/>
        <w:rPr>
          <w:rFonts w:ascii="Abadi" w:hAnsi="Abadi" w:cs="*Arial-7712-Identity-H"/>
          <w:color w:val="14131B"/>
          <w:sz w:val="21"/>
          <w:szCs w:val="21"/>
        </w:rPr>
      </w:pPr>
    </w:p>
    <w:p w14:paraId="28B8E8EF" w14:textId="77777777" w:rsidR="00DB2AFC" w:rsidRDefault="00DB2AFC" w:rsidP="00DB2AFC">
      <w:pPr>
        <w:autoSpaceDE w:val="0"/>
        <w:autoSpaceDN w:val="0"/>
        <w:adjustRightInd w:val="0"/>
        <w:jc w:val="both"/>
        <w:rPr>
          <w:rFonts w:ascii="Abadi" w:hAnsi="Abadi" w:cs="*Arial-7712-Identity-H"/>
          <w:color w:val="14131B"/>
          <w:sz w:val="21"/>
          <w:szCs w:val="21"/>
        </w:rPr>
      </w:pPr>
      <w:r w:rsidRPr="00D639CD">
        <w:rPr>
          <w:rFonts w:ascii="Abadi" w:hAnsi="Abadi" w:cs="*Arial-7712-Identity-H"/>
          <w:color w:val="14131B"/>
          <w:sz w:val="21"/>
          <w:szCs w:val="21"/>
        </w:rPr>
        <w:t xml:space="preserve">En este orden, y acorde a lo que indica el Tratado referido, en su artículo </w:t>
      </w:r>
      <w:r>
        <w:rPr>
          <w:rFonts w:ascii="Abadi" w:hAnsi="Abadi" w:cs="*Arial-7712-Identity-H"/>
          <w:color w:val="14131B"/>
          <w:sz w:val="21"/>
          <w:szCs w:val="21"/>
        </w:rPr>
        <w:t xml:space="preserve">11 </w:t>
      </w:r>
      <w:r w:rsidRPr="00D639CD">
        <w:rPr>
          <w:rFonts w:ascii="Abadi" w:hAnsi="Abadi" w:cs="*Arial-7712-Identity-H"/>
          <w:color w:val="14131B"/>
          <w:sz w:val="21"/>
          <w:szCs w:val="21"/>
        </w:rPr>
        <w:t>establece que cada Estado que participe tiene la obligación de tomar las medidas</w:t>
      </w:r>
      <w:r>
        <w:rPr>
          <w:rFonts w:ascii="Abadi" w:hAnsi="Abadi" w:cs="*Arial-7712-Identity-H"/>
          <w:color w:val="14131B"/>
          <w:sz w:val="21"/>
          <w:szCs w:val="21"/>
        </w:rPr>
        <w:t xml:space="preserve"> </w:t>
      </w:r>
      <w:r w:rsidRPr="00D639CD">
        <w:rPr>
          <w:rFonts w:ascii="Abadi" w:hAnsi="Abadi" w:cs="*Arial-7712-Identity-H"/>
          <w:color w:val="14131B"/>
          <w:sz w:val="21"/>
          <w:szCs w:val="21"/>
        </w:rPr>
        <w:t>necesarias para evitar y hacer frente a su desvío, adoptando medidas de</w:t>
      </w:r>
      <w:r>
        <w:rPr>
          <w:rFonts w:ascii="Abadi" w:hAnsi="Abadi" w:cs="*Arial-7712-Identity-H"/>
          <w:color w:val="14131B"/>
          <w:sz w:val="21"/>
          <w:szCs w:val="21"/>
        </w:rPr>
        <w:t xml:space="preserve"> </w:t>
      </w:r>
      <w:r w:rsidRPr="00D639CD">
        <w:rPr>
          <w:rFonts w:ascii="Abadi" w:hAnsi="Abadi" w:cs="*Arial-7712-Identity-H"/>
          <w:color w:val="14131B"/>
          <w:sz w:val="21"/>
          <w:szCs w:val="21"/>
        </w:rPr>
        <w:t>seguimiento e investigación, lo que indica puntualmente el establecimiento,</w:t>
      </w:r>
      <w:r>
        <w:rPr>
          <w:rFonts w:ascii="Abadi" w:hAnsi="Abadi" w:cs="*Arial-7712-Identity-H"/>
          <w:color w:val="14131B"/>
          <w:sz w:val="21"/>
          <w:szCs w:val="21"/>
        </w:rPr>
        <w:t xml:space="preserve"> </w:t>
      </w:r>
      <w:r w:rsidRPr="00D639CD">
        <w:rPr>
          <w:rFonts w:ascii="Abadi" w:hAnsi="Abadi" w:cs="*Arial-7712-Identity-H"/>
          <w:color w:val="14131B"/>
          <w:sz w:val="21"/>
          <w:szCs w:val="21"/>
        </w:rPr>
        <w:t>cumplimiento y exigencia de medidas nacionales que comprende a todas las</w:t>
      </w:r>
      <w:r>
        <w:rPr>
          <w:rFonts w:ascii="Abadi" w:hAnsi="Abadi" w:cs="*Arial-7712-Identity-H"/>
          <w:color w:val="14131B"/>
          <w:sz w:val="21"/>
          <w:szCs w:val="21"/>
        </w:rPr>
        <w:t xml:space="preserve"> </w:t>
      </w:r>
      <w:r w:rsidRPr="00D639CD">
        <w:rPr>
          <w:rFonts w:ascii="Abadi" w:hAnsi="Abadi" w:cs="*Arial-7712-Identity-H"/>
          <w:color w:val="14131B"/>
          <w:sz w:val="21"/>
          <w:szCs w:val="21"/>
        </w:rPr>
        <w:t>autoridades y organismos encargados de hacer cumplir la Ley como</w:t>
      </w:r>
      <w:r>
        <w:rPr>
          <w:rFonts w:ascii="Abadi" w:hAnsi="Abadi" w:cs="*Arial-7712-Identity-H"/>
          <w:color w:val="14131B"/>
          <w:sz w:val="21"/>
          <w:szCs w:val="21"/>
        </w:rPr>
        <w:t xml:space="preserve"> </w:t>
      </w:r>
      <w:r w:rsidRPr="00D639CD">
        <w:rPr>
          <w:rFonts w:ascii="Abadi" w:hAnsi="Abadi" w:cs="*Arial-7712-Identity-H"/>
          <w:color w:val="14131B"/>
          <w:sz w:val="21"/>
          <w:szCs w:val="21"/>
        </w:rPr>
        <w:t>herramientas de implementación de los instrumentos internacionales citados.</w:t>
      </w:r>
    </w:p>
    <w:p w14:paraId="58CCE5ED" w14:textId="77777777" w:rsidR="00DB2AFC" w:rsidRPr="00D639CD" w:rsidRDefault="00DB2AFC" w:rsidP="00DB2AFC">
      <w:pPr>
        <w:autoSpaceDE w:val="0"/>
        <w:autoSpaceDN w:val="0"/>
        <w:adjustRightInd w:val="0"/>
        <w:jc w:val="both"/>
        <w:rPr>
          <w:rFonts w:ascii="Abadi" w:hAnsi="Abadi" w:cs="*Arial-7712-Identity-H"/>
          <w:color w:val="14131B"/>
          <w:sz w:val="21"/>
          <w:szCs w:val="21"/>
        </w:rPr>
      </w:pPr>
    </w:p>
    <w:p w14:paraId="479D8B6A" w14:textId="77777777" w:rsidR="00DB2AFC" w:rsidRDefault="00DB2AFC" w:rsidP="00DB2AFC">
      <w:pPr>
        <w:autoSpaceDE w:val="0"/>
        <w:autoSpaceDN w:val="0"/>
        <w:adjustRightInd w:val="0"/>
        <w:jc w:val="both"/>
        <w:rPr>
          <w:rFonts w:ascii="Abadi" w:hAnsi="Abadi" w:cs="*Arial-7712-Identity-H"/>
          <w:color w:val="14131B"/>
          <w:sz w:val="21"/>
          <w:szCs w:val="21"/>
        </w:rPr>
      </w:pPr>
      <w:r w:rsidRPr="00D639CD">
        <w:rPr>
          <w:rFonts w:ascii="Abadi" w:hAnsi="Abadi" w:cs="*Arial-7712-Identity-H"/>
          <w:color w:val="14131B"/>
          <w:sz w:val="21"/>
          <w:szCs w:val="21"/>
        </w:rPr>
        <w:t>Conforme dichos instrumentos, particularmente en el Protocolo, se identifican</w:t>
      </w:r>
      <w:r>
        <w:rPr>
          <w:rFonts w:ascii="Abadi" w:hAnsi="Abadi" w:cs="*Arial-7712-Identity-H"/>
          <w:color w:val="14131B"/>
          <w:sz w:val="21"/>
          <w:szCs w:val="21"/>
        </w:rPr>
        <w:t xml:space="preserve"> </w:t>
      </w:r>
      <w:r w:rsidRPr="00D639CD">
        <w:rPr>
          <w:rFonts w:ascii="Abadi" w:hAnsi="Abadi" w:cs="*Arial-7712-Identity-H"/>
          <w:color w:val="14131B"/>
          <w:sz w:val="21"/>
          <w:szCs w:val="21"/>
        </w:rPr>
        <w:t>medidas que pueden aplicarse para prevenir el tráfico de armas de fuego, tales</w:t>
      </w:r>
      <w:r>
        <w:rPr>
          <w:rFonts w:ascii="Abadi" w:hAnsi="Abadi" w:cs="*Arial-7712-Identity-H"/>
          <w:color w:val="14131B"/>
          <w:sz w:val="21"/>
          <w:szCs w:val="21"/>
        </w:rPr>
        <w:t xml:space="preserve"> </w:t>
      </w:r>
      <w:r w:rsidRPr="00D639CD">
        <w:rPr>
          <w:rFonts w:ascii="Abadi" w:hAnsi="Abadi" w:cs="*Arial-7712-Identity-H"/>
          <w:color w:val="14131B"/>
          <w:sz w:val="21"/>
          <w:szCs w:val="21"/>
        </w:rPr>
        <w:t>como controles fronterizos, intercambio de información entre jurisdicciones,</w:t>
      </w:r>
      <w:r>
        <w:rPr>
          <w:rFonts w:ascii="Abadi" w:hAnsi="Abadi" w:cs="*Arial-7712-Identity-H"/>
          <w:color w:val="14131B"/>
          <w:sz w:val="21"/>
          <w:szCs w:val="21"/>
        </w:rPr>
        <w:t xml:space="preserve"> </w:t>
      </w:r>
      <w:r w:rsidRPr="00D639CD">
        <w:rPr>
          <w:rFonts w:ascii="Abadi" w:hAnsi="Abadi" w:cs="*Arial-7712-Identity-H"/>
          <w:color w:val="14131B"/>
          <w:sz w:val="21"/>
          <w:szCs w:val="21"/>
        </w:rPr>
        <w:t>medidas para garantizar la seguridad y control de documentos, así como</w:t>
      </w:r>
      <w:r>
        <w:rPr>
          <w:rFonts w:ascii="Abadi" w:hAnsi="Abadi" w:cs="*Arial-7712-Identity-H"/>
          <w:color w:val="14131B"/>
          <w:sz w:val="21"/>
          <w:szCs w:val="21"/>
        </w:rPr>
        <w:t xml:space="preserve"> </w:t>
      </w:r>
      <w:r w:rsidRPr="00D639CD">
        <w:rPr>
          <w:rFonts w:ascii="Abadi" w:hAnsi="Abadi" w:cs="*Arial-7712-Identity-H"/>
          <w:color w:val="14131B"/>
          <w:sz w:val="21"/>
          <w:szCs w:val="21"/>
        </w:rPr>
        <w:t>programas de sensibilización pública.</w:t>
      </w:r>
    </w:p>
    <w:p w14:paraId="01FA44F1" w14:textId="77777777" w:rsidR="00DB2AFC" w:rsidRPr="00D639CD" w:rsidRDefault="00DB2AFC" w:rsidP="00DB2AFC">
      <w:pPr>
        <w:autoSpaceDE w:val="0"/>
        <w:autoSpaceDN w:val="0"/>
        <w:adjustRightInd w:val="0"/>
        <w:jc w:val="both"/>
        <w:rPr>
          <w:rFonts w:ascii="Abadi" w:hAnsi="Abadi" w:cs="*Arial-7712-Identity-H"/>
          <w:color w:val="14131B"/>
          <w:sz w:val="21"/>
          <w:szCs w:val="21"/>
        </w:rPr>
      </w:pPr>
    </w:p>
    <w:p w14:paraId="79338672" w14:textId="77777777" w:rsidR="00DB2AFC" w:rsidRPr="00D639CD" w:rsidRDefault="00DB2AFC" w:rsidP="00DB2AFC">
      <w:pPr>
        <w:autoSpaceDE w:val="0"/>
        <w:autoSpaceDN w:val="0"/>
        <w:adjustRightInd w:val="0"/>
        <w:jc w:val="both"/>
        <w:rPr>
          <w:rFonts w:ascii="Abadi" w:hAnsi="Abadi" w:cs="*Arial-7712-Identity-H"/>
          <w:color w:val="14131B"/>
          <w:sz w:val="21"/>
          <w:szCs w:val="21"/>
        </w:rPr>
      </w:pPr>
      <w:r w:rsidRPr="00D639CD">
        <w:rPr>
          <w:rFonts w:ascii="Abadi" w:hAnsi="Abadi" w:cs="*Arial-7712-Identity-H"/>
          <w:color w:val="14131B"/>
          <w:sz w:val="21"/>
          <w:szCs w:val="21"/>
        </w:rPr>
        <w:t>Específicamente es conforme sus artículos 12 al 14 de este Protocolo que se</w:t>
      </w:r>
      <w:r>
        <w:rPr>
          <w:rFonts w:ascii="Abadi" w:hAnsi="Abadi" w:cs="*Arial-7712-Identity-H"/>
          <w:color w:val="14131B"/>
          <w:sz w:val="21"/>
          <w:szCs w:val="21"/>
        </w:rPr>
        <w:t xml:space="preserve"> </w:t>
      </w:r>
      <w:r w:rsidRPr="00D639CD">
        <w:rPr>
          <w:rFonts w:ascii="Abadi" w:hAnsi="Abadi" w:cs="*Arial-7712-Identity-H"/>
          <w:color w:val="14131B"/>
          <w:sz w:val="21"/>
          <w:szCs w:val="21"/>
        </w:rPr>
        <w:t>denota que existe omisión y acciones deficientes en el cumplimiento del deber de</w:t>
      </w:r>
      <w:r>
        <w:rPr>
          <w:rFonts w:ascii="Abadi" w:hAnsi="Abadi" w:cs="*Arial-7712-Identity-H"/>
          <w:color w:val="14131B"/>
          <w:sz w:val="21"/>
          <w:szCs w:val="21"/>
        </w:rPr>
        <w:t xml:space="preserve"> </w:t>
      </w:r>
      <w:r w:rsidRPr="00D639CD">
        <w:rPr>
          <w:rFonts w:ascii="Abadi" w:hAnsi="Abadi" w:cs="*Arial-7712-Identity-H"/>
          <w:color w:val="14131B"/>
          <w:sz w:val="21"/>
          <w:szCs w:val="21"/>
        </w:rPr>
        <w:t>cooperar en cuestiones de intercambio de información sobre personas</w:t>
      </w:r>
      <w:r>
        <w:rPr>
          <w:rFonts w:ascii="Abadi" w:hAnsi="Abadi" w:cs="*Arial-7712-Identity-H"/>
          <w:color w:val="14131B"/>
          <w:sz w:val="21"/>
          <w:szCs w:val="21"/>
        </w:rPr>
        <w:t xml:space="preserve"> </w:t>
      </w:r>
      <w:r w:rsidRPr="00D639CD">
        <w:rPr>
          <w:rFonts w:ascii="Abadi" w:hAnsi="Abadi" w:cs="*Arial-7712-Identity-H"/>
          <w:color w:val="14131B"/>
          <w:sz w:val="21"/>
          <w:szCs w:val="21"/>
        </w:rPr>
        <w:t>involucradas en el comercio de armas, delincuentes organizados; esto</w:t>
      </w:r>
      <w:r>
        <w:rPr>
          <w:rFonts w:ascii="Abadi" w:hAnsi="Abadi" w:cs="*Arial-7712-Identity-H"/>
          <w:color w:val="14131B"/>
          <w:sz w:val="21"/>
          <w:szCs w:val="21"/>
        </w:rPr>
        <w:t xml:space="preserve"> </w:t>
      </w:r>
      <w:r w:rsidRPr="00D639CD">
        <w:rPr>
          <w:rFonts w:ascii="Abadi" w:hAnsi="Abadi" w:cs="*Arial-7712-Identity-H"/>
          <w:color w:val="14131B"/>
          <w:sz w:val="21"/>
          <w:szCs w:val="21"/>
        </w:rPr>
        <w:t>complementado con lo que se señala en el párrafo 5 del artículo 11 del Tratado</w:t>
      </w:r>
    </w:p>
    <w:p w14:paraId="48B9CCC2" w14:textId="77777777" w:rsidR="00DB2AFC" w:rsidRPr="00D639CD" w:rsidRDefault="00DB2AFC" w:rsidP="00DB2AFC">
      <w:pPr>
        <w:jc w:val="both"/>
        <w:rPr>
          <w:rFonts w:ascii="Abadi" w:hAnsi="Abadi" w:cs="*Arial-7712-Identity-H"/>
          <w:color w:val="14131B"/>
          <w:sz w:val="21"/>
          <w:szCs w:val="21"/>
        </w:rPr>
      </w:pPr>
    </w:p>
    <w:p w14:paraId="1AF11D4C" w14:textId="77777777" w:rsidR="00DB2AFC" w:rsidRDefault="00DB2AFC" w:rsidP="00DB2AFC">
      <w:pPr>
        <w:autoSpaceDE w:val="0"/>
        <w:autoSpaceDN w:val="0"/>
        <w:adjustRightInd w:val="0"/>
        <w:jc w:val="both"/>
        <w:rPr>
          <w:rFonts w:ascii="Abadi" w:hAnsi="Abadi" w:cs="*Arial-6741-Identity-H"/>
          <w:color w:val="14131B"/>
          <w:sz w:val="21"/>
          <w:szCs w:val="21"/>
        </w:rPr>
      </w:pPr>
      <w:r w:rsidRPr="00D639CD">
        <w:rPr>
          <w:rFonts w:ascii="Abadi" w:hAnsi="Abadi" w:cs="*Arial-6741-Identity-H"/>
          <w:color w:val="14131B"/>
          <w:sz w:val="21"/>
          <w:szCs w:val="21"/>
        </w:rPr>
        <w:t>en el que para mejor comprensión y prevención del desvío de armas las medidas</w:t>
      </w:r>
      <w:r>
        <w:rPr>
          <w:rFonts w:ascii="Abadi" w:hAnsi="Abadi" w:cs="*Arial-6741-Identity-H"/>
          <w:color w:val="14131B"/>
          <w:sz w:val="21"/>
          <w:szCs w:val="21"/>
        </w:rPr>
        <w:t xml:space="preserve"> </w:t>
      </w:r>
      <w:r w:rsidRPr="00D639CD">
        <w:rPr>
          <w:rFonts w:ascii="Abadi" w:hAnsi="Abadi" w:cs="*Arial-6741-Identity-H"/>
          <w:color w:val="14131B"/>
          <w:sz w:val="21"/>
          <w:szCs w:val="21"/>
        </w:rPr>
        <w:t>eficaces también se establece medidas eficaces que han dejado de</w:t>
      </w:r>
      <w:r>
        <w:rPr>
          <w:rFonts w:ascii="Abadi" w:hAnsi="Abadi" w:cs="*Arial-6741-Identity-H"/>
          <w:color w:val="14131B"/>
          <w:sz w:val="21"/>
          <w:szCs w:val="21"/>
        </w:rPr>
        <w:t xml:space="preserve"> </w:t>
      </w:r>
      <w:r w:rsidRPr="00D639CD">
        <w:rPr>
          <w:rFonts w:ascii="Abadi" w:hAnsi="Abadi" w:cs="*Arial-6741-Identity-H"/>
          <w:color w:val="14131B"/>
          <w:sz w:val="21"/>
          <w:szCs w:val="21"/>
        </w:rPr>
        <w:t>implementarse tales como incluir datos sobre las rutas de tráfico, intermediario,</w:t>
      </w:r>
      <w:r>
        <w:rPr>
          <w:rFonts w:ascii="Abadi" w:hAnsi="Abadi" w:cs="*Arial-6741-Identity-H"/>
          <w:color w:val="14131B"/>
          <w:sz w:val="21"/>
          <w:szCs w:val="21"/>
        </w:rPr>
        <w:t xml:space="preserve"> </w:t>
      </w:r>
      <w:r w:rsidRPr="00D639CD">
        <w:rPr>
          <w:rFonts w:ascii="Abadi" w:hAnsi="Abadi" w:cs="*Arial-6741-Identity-H"/>
          <w:color w:val="14131B"/>
          <w:sz w:val="21"/>
          <w:szCs w:val="21"/>
        </w:rPr>
        <w:t>fuente de suministro, métodos de ocultación, puntos comunes de envío o</w:t>
      </w:r>
      <w:r>
        <w:rPr>
          <w:rFonts w:ascii="Abadi" w:hAnsi="Abadi" w:cs="*Arial-6741-Identity-H"/>
          <w:color w:val="14131B"/>
          <w:sz w:val="21"/>
          <w:szCs w:val="21"/>
        </w:rPr>
        <w:t xml:space="preserve"> </w:t>
      </w:r>
      <w:r w:rsidRPr="00D639CD">
        <w:rPr>
          <w:rFonts w:ascii="Abadi" w:hAnsi="Abadi" w:cs="*Arial-6741-Identity-H"/>
          <w:color w:val="14131B"/>
          <w:sz w:val="21"/>
          <w:szCs w:val="21"/>
        </w:rPr>
        <w:t>destinos utilizados por las organizaciones dedicadas a dichos ilícitos.</w:t>
      </w:r>
    </w:p>
    <w:p w14:paraId="2EFDB8E3" w14:textId="77777777" w:rsidR="00DB2AFC" w:rsidRPr="00D639CD" w:rsidRDefault="00DB2AFC" w:rsidP="00DB2AFC">
      <w:pPr>
        <w:autoSpaceDE w:val="0"/>
        <w:autoSpaceDN w:val="0"/>
        <w:adjustRightInd w:val="0"/>
        <w:jc w:val="both"/>
        <w:rPr>
          <w:rFonts w:ascii="Abadi" w:hAnsi="Abadi" w:cs="*Arial-6741-Identity-H"/>
          <w:color w:val="14131B"/>
          <w:sz w:val="21"/>
          <w:szCs w:val="21"/>
        </w:rPr>
      </w:pPr>
    </w:p>
    <w:p w14:paraId="56AAB2DB" w14:textId="77777777" w:rsidR="00DB2AFC" w:rsidRDefault="00DB2AFC" w:rsidP="00DB2AFC">
      <w:pPr>
        <w:autoSpaceDE w:val="0"/>
        <w:autoSpaceDN w:val="0"/>
        <w:adjustRightInd w:val="0"/>
        <w:jc w:val="both"/>
        <w:rPr>
          <w:rFonts w:ascii="Abadi" w:hAnsi="Abadi" w:cs="*Arial-6741-Identity-H"/>
          <w:color w:val="14131B"/>
          <w:sz w:val="21"/>
          <w:szCs w:val="21"/>
        </w:rPr>
      </w:pPr>
      <w:r w:rsidRPr="00D639CD">
        <w:rPr>
          <w:rFonts w:ascii="Abadi" w:hAnsi="Abadi" w:cs="*Arial-6741-Identity-H"/>
          <w:color w:val="14131B"/>
          <w:sz w:val="21"/>
          <w:szCs w:val="21"/>
        </w:rPr>
        <w:t>Por tanto, es necesario que se generen respuestas eficaces del Ejecutivo Federal</w:t>
      </w:r>
      <w:r>
        <w:rPr>
          <w:rFonts w:ascii="Abadi" w:hAnsi="Abadi" w:cs="*Arial-6741-Identity-H"/>
          <w:color w:val="14131B"/>
          <w:sz w:val="21"/>
          <w:szCs w:val="21"/>
        </w:rPr>
        <w:t xml:space="preserve"> </w:t>
      </w:r>
      <w:r w:rsidRPr="00D639CD">
        <w:rPr>
          <w:rFonts w:ascii="Abadi" w:hAnsi="Abadi" w:cs="*Arial-6741-Identity-H"/>
          <w:color w:val="14131B"/>
          <w:sz w:val="21"/>
          <w:szCs w:val="21"/>
        </w:rPr>
        <w:t>y sus autoridades para atender con urgencia este azote, con el que cada vez más</w:t>
      </w:r>
      <w:r>
        <w:rPr>
          <w:rFonts w:ascii="Abadi" w:hAnsi="Abadi" w:cs="*Arial-6741-Identity-H"/>
          <w:color w:val="14131B"/>
          <w:sz w:val="21"/>
          <w:szCs w:val="21"/>
        </w:rPr>
        <w:t xml:space="preserve"> </w:t>
      </w:r>
      <w:r w:rsidRPr="00D639CD">
        <w:rPr>
          <w:rFonts w:ascii="Abadi" w:hAnsi="Abadi" w:cs="*Arial-6741-Identity-H"/>
          <w:color w:val="14131B"/>
          <w:sz w:val="21"/>
          <w:szCs w:val="21"/>
        </w:rPr>
        <w:t>se incrementa la violencia y las muertes por armas de fuego, afectando</w:t>
      </w:r>
      <w:r>
        <w:rPr>
          <w:rFonts w:ascii="Abadi" w:hAnsi="Abadi" w:cs="*Arial-6741-Identity-H"/>
          <w:color w:val="14131B"/>
          <w:sz w:val="21"/>
          <w:szCs w:val="21"/>
        </w:rPr>
        <w:t xml:space="preserve"> </w:t>
      </w:r>
      <w:r w:rsidRPr="00D639CD">
        <w:rPr>
          <w:rFonts w:ascii="Abadi" w:hAnsi="Abadi" w:cs="*Arial-6741-Identity-H"/>
          <w:color w:val="14131B"/>
          <w:sz w:val="21"/>
          <w:szCs w:val="21"/>
        </w:rPr>
        <w:t>especialmente a mujeres y niñas, y a los sectores más vulnerables.</w:t>
      </w:r>
      <w:r>
        <w:rPr>
          <w:rFonts w:ascii="Abadi" w:hAnsi="Abadi" w:cs="*Arial-6741-Identity-H"/>
          <w:color w:val="14131B"/>
          <w:sz w:val="21"/>
          <w:szCs w:val="21"/>
        </w:rPr>
        <w:t xml:space="preserve"> </w:t>
      </w:r>
    </w:p>
    <w:p w14:paraId="6D9C65F4" w14:textId="77777777" w:rsidR="00DB2AFC" w:rsidRDefault="00DB2AFC" w:rsidP="00DB2AFC">
      <w:pPr>
        <w:autoSpaceDE w:val="0"/>
        <w:autoSpaceDN w:val="0"/>
        <w:adjustRightInd w:val="0"/>
        <w:jc w:val="both"/>
        <w:rPr>
          <w:rFonts w:ascii="Abadi" w:hAnsi="Abadi" w:cs="*Arial-6741-Identity-H"/>
          <w:color w:val="14131B"/>
          <w:sz w:val="21"/>
          <w:szCs w:val="21"/>
        </w:rPr>
      </w:pPr>
    </w:p>
    <w:p w14:paraId="24003F26" w14:textId="77777777" w:rsidR="00DB2AFC" w:rsidRPr="00D639CD" w:rsidRDefault="00DB2AFC" w:rsidP="00DB2AFC">
      <w:pPr>
        <w:autoSpaceDE w:val="0"/>
        <w:autoSpaceDN w:val="0"/>
        <w:adjustRightInd w:val="0"/>
        <w:jc w:val="both"/>
        <w:rPr>
          <w:rFonts w:ascii="Abadi" w:hAnsi="Abadi" w:cs="*Arial-6741-Identity-H"/>
          <w:color w:val="14131C"/>
          <w:sz w:val="21"/>
          <w:szCs w:val="21"/>
        </w:rPr>
      </w:pPr>
      <w:r w:rsidRPr="00D639CD">
        <w:rPr>
          <w:rFonts w:ascii="Abadi" w:hAnsi="Abadi" w:cs="*Arial-6741-Identity-H"/>
          <w:color w:val="14131C"/>
          <w:sz w:val="21"/>
          <w:szCs w:val="21"/>
        </w:rPr>
        <w:t>Por lo expuesto y con fundamento en el artículo 204 de la Ley Orgánica del Poder</w:t>
      </w:r>
      <w:r>
        <w:rPr>
          <w:rFonts w:ascii="Abadi" w:hAnsi="Abadi" w:cs="*Arial-6741-Identity-H"/>
          <w:color w:val="14131C"/>
          <w:sz w:val="21"/>
          <w:szCs w:val="21"/>
        </w:rPr>
        <w:t xml:space="preserve"> </w:t>
      </w:r>
      <w:r w:rsidRPr="00D639CD">
        <w:rPr>
          <w:rFonts w:ascii="Abadi" w:hAnsi="Abadi" w:cs="*Arial-6741-Identity-H"/>
          <w:color w:val="14131C"/>
          <w:sz w:val="21"/>
          <w:szCs w:val="21"/>
        </w:rPr>
        <w:t>Ejecutivo del Estado, sometemos a consideración de esta Asamblea, la</w:t>
      </w:r>
      <w:r>
        <w:rPr>
          <w:rFonts w:ascii="Abadi" w:hAnsi="Abadi" w:cs="*Arial-6741-Identity-H"/>
          <w:color w:val="14131C"/>
          <w:sz w:val="21"/>
          <w:szCs w:val="21"/>
        </w:rPr>
        <w:t xml:space="preserve"> </w:t>
      </w:r>
      <w:r w:rsidRPr="00D639CD">
        <w:rPr>
          <w:rFonts w:ascii="Abadi" w:hAnsi="Abadi" w:cs="*Arial-6741-Identity-H"/>
          <w:color w:val="14131C"/>
          <w:sz w:val="21"/>
          <w:szCs w:val="21"/>
        </w:rPr>
        <w:t>aprobación del siguiente:</w:t>
      </w:r>
    </w:p>
    <w:p w14:paraId="388351DF" w14:textId="77777777" w:rsidR="00DB2AFC" w:rsidRDefault="00DB2AFC" w:rsidP="00DB2AFC">
      <w:pPr>
        <w:autoSpaceDE w:val="0"/>
        <w:autoSpaceDN w:val="0"/>
        <w:adjustRightInd w:val="0"/>
        <w:jc w:val="both"/>
        <w:rPr>
          <w:rFonts w:ascii="Abadi" w:hAnsi="Abadi" w:cs="*Arial-Bold-6742-Identity-H"/>
          <w:b/>
          <w:bCs/>
          <w:color w:val="14141D"/>
          <w:sz w:val="21"/>
          <w:szCs w:val="21"/>
        </w:rPr>
      </w:pPr>
    </w:p>
    <w:p w14:paraId="20E8B347" w14:textId="77777777" w:rsidR="00DB2AFC" w:rsidRDefault="00DB2AFC" w:rsidP="00DB2AFC">
      <w:pPr>
        <w:autoSpaceDE w:val="0"/>
        <w:autoSpaceDN w:val="0"/>
        <w:adjustRightInd w:val="0"/>
        <w:jc w:val="center"/>
        <w:rPr>
          <w:rFonts w:ascii="Abadi" w:hAnsi="Abadi" w:cs="*Arial-Bold-6742-Identity-H"/>
          <w:b/>
          <w:bCs/>
          <w:color w:val="14141D"/>
          <w:sz w:val="21"/>
          <w:szCs w:val="21"/>
        </w:rPr>
      </w:pPr>
      <w:r w:rsidRPr="00D639CD">
        <w:rPr>
          <w:rFonts w:ascii="Abadi" w:hAnsi="Abadi" w:cs="*Arial-Bold-6742-Identity-H"/>
          <w:b/>
          <w:bCs/>
          <w:color w:val="14141D"/>
          <w:sz w:val="21"/>
          <w:szCs w:val="21"/>
        </w:rPr>
        <w:t>Acuerdo</w:t>
      </w:r>
    </w:p>
    <w:p w14:paraId="1A32676A" w14:textId="77777777" w:rsidR="00DB2AFC" w:rsidRPr="00D639CD" w:rsidRDefault="00DB2AFC" w:rsidP="00DB2AFC">
      <w:pPr>
        <w:autoSpaceDE w:val="0"/>
        <w:autoSpaceDN w:val="0"/>
        <w:adjustRightInd w:val="0"/>
        <w:jc w:val="both"/>
        <w:rPr>
          <w:rFonts w:ascii="Abadi" w:hAnsi="Abadi" w:cs="*Arial-Bold-6742-Identity-H"/>
          <w:b/>
          <w:bCs/>
          <w:color w:val="14141D"/>
          <w:sz w:val="21"/>
          <w:szCs w:val="21"/>
        </w:rPr>
      </w:pPr>
    </w:p>
    <w:p w14:paraId="1AB5FEF7" w14:textId="77777777" w:rsidR="00DB2AFC" w:rsidRPr="00D639CD" w:rsidRDefault="00DB2AFC" w:rsidP="00DB2AFC">
      <w:pPr>
        <w:autoSpaceDE w:val="0"/>
        <w:autoSpaceDN w:val="0"/>
        <w:adjustRightInd w:val="0"/>
        <w:jc w:val="both"/>
        <w:rPr>
          <w:rFonts w:ascii="Abadi" w:hAnsi="Abadi" w:cs="*Arial-6741-Identity-H"/>
          <w:color w:val="14131C"/>
          <w:sz w:val="21"/>
          <w:szCs w:val="21"/>
        </w:rPr>
      </w:pPr>
      <w:r w:rsidRPr="00D639CD">
        <w:rPr>
          <w:rFonts w:ascii="Abadi" w:hAnsi="Abadi" w:cs="*Arial-Bold-6742-Identity-H"/>
          <w:b/>
          <w:bCs/>
          <w:color w:val="14131C"/>
          <w:sz w:val="21"/>
          <w:szCs w:val="21"/>
        </w:rPr>
        <w:t xml:space="preserve">Único.- </w:t>
      </w:r>
      <w:r w:rsidRPr="00D639CD">
        <w:rPr>
          <w:rFonts w:ascii="Abadi" w:hAnsi="Abadi" w:cs="*Arial-6741-Identity-H"/>
          <w:color w:val="14131C"/>
          <w:sz w:val="21"/>
          <w:szCs w:val="21"/>
        </w:rPr>
        <w:t>La Sexagésima Quinta Legislatura del Estado de Guanajuato formula un</w:t>
      </w:r>
      <w:r>
        <w:rPr>
          <w:rFonts w:ascii="Abadi" w:hAnsi="Abadi" w:cs="*Arial-6741-Identity-H"/>
          <w:color w:val="14131C"/>
          <w:sz w:val="21"/>
          <w:szCs w:val="21"/>
        </w:rPr>
        <w:t xml:space="preserve"> </w:t>
      </w:r>
      <w:r w:rsidRPr="00D639CD">
        <w:rPr>
          <w:rFonts w:ascii="Abadi" w:hAnsi="Abadi" w:cs="*Arial-6741-Identity-H"/>
          <w:color w:val="14131C"/>
          <w:sz w:val="21"/>
          <w:szCs w:val="21"/>
        </w:rPr>
        <w:t>respetuoso exhorto a los titulares del Ejecutivo Federal, a través de la Secretaría</w:t>
      </w:r>
      <w:r>
        <w:rPr>
          <w:rFonts w:ascii="Abadi" w:hAnsi="Abadi" w:cs="*Arial-6741-Identity-H"/>
          <w:color w:val="14131C"/>
          <w:sz w:val="21"/>
          <w:szCs w:val="21"/>
        </w:rPr>
        <w:t xml:space="preserve"> </w:t>
      </w:r>
      <w:r w:rsidRPr="00D639CD">
        <w:rPr>
          <w:rFonts w:ascii="Abadi" w:hAnsi="Abadi" w:cs="*Arial-6741-Identity-H"/>
          <w:color w:val="14131C"/>
          <w:sz w:val="21"/>
          <w:szCs w:val="21"/>
        </w:rPr>
        <w:t>de Relaciones Exteriores, la Secretaría de la Defensa Nacional y el Servicio de</w:t>
      </w:r>
      <w:r>
        <w:rPr>
          <w:rFonts w:ascii="Abadi" w:hAnsi="Abadi" w:cs="*Arial-6741-Identity-H"/>
          <w:color w:val="14131C"/>
          <w:sz w:val="21"/>
          <w:szCs w:val="21"/>
        </w:rPr>
        <w:t xml:space="preserve"> </w:t>
      </w:r>
      <w:r w:rsidRPr="00D639CD">
        <w:rPr>
          <w:rFonts w:ascii="Abadi" w:hAnsi="Abadi" w:cs="*Arial-6741-Identity-H"/>
          <w:color w:val="14131C"/>
          <w:sz w:val="21"/>
          <w:szCs w:val="21"/>
        </w:rPr>
        <w:t>Administración Tributaria, así como de la Fiscalía General de la República para</w:t>
      </w:r>
      <w:r>
        <w:rPr>
          <w:rFonts w:ascii="Abadi" w:hAnsi="Abadi" w:cs="*Arial-6741-Identity-H"/>
          <w:color w:val="14131C"/>
          <w:sz w:val="21"/>
          <w:szCs w:val="21"/>
        </w:rPr>
        <w:t xml:space="preserve"> </w:t>
      </w:r>
      <w:r w:rsidRPr="00D639CD">
        <w:rPr>
          <w:rFonts w:ascii="Abadi" w:hAnsi="Abadi" w:cs="*Arial-6741-Identity-H"/>
          <w:color w:val="14131C"/>
          <w:sz w:val="21"/>
          <w:szCs w:val="21"/>
        </w:rPr>
        <w:t>que, realicen medidas urgentes y contundentes para impedir que, en las fronteras,</w:t>
      </w:r>
      <w:r>
        <w:rPr>
          <w:rFonts w:ascii="Abadi" w:hAnsi="Abadi" w:cs="*Arial-6741-Identity-H"/>
          <w:color w:val="14131C"/>
          <w:sz w:val="21"/>
          <w:szCs w:val="21"/>
        </w:rPr>
        <w:t xml:space="preserve"> </w:t>
      </w:r>
      <w:r w:rsidRPr="00D639CD">
        <w:rPr>
          <w:rFonts w:ascii="Abadi" w:hAnsi="Abadi" w:cs="*Arial-6741-Identity-H"/>
          <w:color w:val="14131C"/>
          <w:sz w:val="21"/>
          <w:szCs w:val="21"/>
        </w:rPr>
        <w:t>litorales y aduanas se introduzcan de manera ilícita armas de fuego y proyectiles,</w:t>
      </w:r>
      <w:r>
        <w:rPr>
          <w:rFonts w:ascii="Abadi" w:hAnsi="Abadi" w:cs="*Arial-6741-Identity-H"/>
          <w:color w:val="14131C"/>
          <w:sz w:val="21"/>
          <w:szCs w:val="21"/>
        </w:rPr>
        <w:t xml:space="preserve"> </w:t>
      </w:r>
      <w:r w:rsidRPr="00D639CD">
        <w:rPr>
          <w:rFonts w:ascii="Abadi" w:hAnsi="Abadi" w:cs="*Arial-6741-Identity-H"/>
          <w:color w:val="14131C"/>
          <w:sz w:val="21"/>
          <w:szCs w:val="21"/>
        </w:rPr>
        <w:t>y se persiga y sancione con eficacia a quienes introduzcan, acopien, trafiquen y/o</w:t>
      </w:r>
      <w:r>
        <w:rPr>
          <w:rFonts w:ascii="Abadi" w:hAnsi="Abadi" w:cs="*Arial-6741-Identity-H"/>
          <w:color w:val="14131C"/>
          <w:sz w:val="21"/>
          <w:szCs w:val="21"/>
        </w:rPr>
        <w:t xml:space="preserve"> </w:t>
      </w:r>
      <w:r w:rsidRPr="00D639CD">
        <w:rPr>
          <w:rFonts w:ascii="Abadi" w:hAnsi="Abadi" w:cs="*Arial-6741-Identity-H"/>
          <w:color w:val="14131C"/>
          <w:sz w:val="21"/>
          <w:szCs w:val="21"/>
        </w:rPr>
        <w:t>porten de manera ilícita estos instrumentos en nuestro país.</w:t>
      </w:r>
    </w:p>
    <w:p w14:paraId="5302F8B6" w14:textId="77777777" w:rsidR="00DB2AFC" w:rsidRPr="00D639CD" w:rsidRDefault="00DB2AFC" w:rsidP="00DB2AFC">
      <w:pPr>
        <w:jc w:val="both"/>
        <w:rPr>
          <w:rFonts w:ascii="Abadi" w:hAnsi="Abadi" w:cs="*Arial-6741-Identity-H"/>
          <w:color w:val="14131C"/>
          <w:sz w:val="21"/>
          <w:szCs w:val="21"/>
        </w:rPr>
      </w:pPr>
    </w:p>
    <w:p w14:paraId="340C33B0" w14:textId="77777777" w:rsidR="00DB2AFC" w:rsidRPr="00AF152B" w:rsidRDefault="00DB2AFC" w:rsidP="00DB2AFC">
      <w:pPr>
        <w:autoSpaceDE w:val="0"/>
        <w:autoSpaceDN w:val="0"/>
        <w:adjustRightInd w:val="0"/>
        <w:jc w:val="both"/>
        <w:rPr>
          <w:rFonts w:ascii="Abadi" w:hAnsi="Abadi" w:cs="*Arial-6741-Identity-H"/>
          <w:color w:val="14131C"/>
          <w:sz w:val="21"/>
          <w:szCs w:val="21"/>
        </w:rPr>
      </w:pPr>
      <w:r w:rsidRPr="00AF152B">
        <w:rPr>
          <w:rFonts w:ascii="Abadi" w:hAnsi="Abadi" w:cs="*Arial-6741-Identity-H"/>
          <w:color w:val="14131C"/>
          <w:sz w:val="21"/>
          <w:szCs w:val="21"/>
        </w:rPr>
        <w:t>Comuníquese el presente acuerdo con su dictamen al titular del Poder Ejecutivo de la Federación, así como de la Fiscalía General de la República, para los efectos conducentes.</w:t>
      </w:r>
    </w:p>
    <w:p w14:paraId="5327AB0C" w14:textId="77777777" w:rsidR="00DB2AFC" w:rsidRDefault="00DB2AFC" w:rsidP="00DB2AFC">
      <w:pPr>
        <w:jc w:val="both"/>
        <w:rPr>
          <w:rFonts w:ascii="Abadi" w:hAnsi="Abadi" w:cs="*Microsoft Sans Serif-Bold-4374"/>
          <w:b/>
          <w:bCs/>
          <w:color w:val="15141B"/>
          <w:sz w:val="21"/>
          <w:szCs w:val="21"/>
        </w:rPr>
      </w:pPr>
    </w:p>
    <w:p w14:paraId="33D9C978" w14:textId="59BC7ABB" w:rsidR="00DB2AFC" w:rsidRDefault="00DB2AFC" w:rsidP="005C0E00">
      <w:pPr>
        <w:jc w:val="center"/>
        <w:rPr>
          <w:rFonts w:ascii="Abadi" w:hAnsi="Abadi"/>
          <w:b/>
          <w:bCs/>
          <w:sz w:val="21"/>
          <w:szCs w:val="21"/>
        </w:rPr>
      </w:pPr>
      <w:r w:rsidRPr="004462B9">
        <w:rPr>
          <w:rFonts w:ascii="Abadi" w:hAnsi="Abadi"/>
          <w:b/>
          <w:bCs/>
          <w:sz w:val="21"/>
          <w:szCs w:val="21"/>
        </w:rPr>
        <w:t>La Comisión de Seguridad Pública y Comunicaciones</w:t>
      </w:r>
    </w:p>
    <w:p w14:paraId="2EBD4F39" w14:textId="77777777" w:rsidR="005C0E00" w:rsidRPr="004462B9" w:rsidRDefault="005C0E00" w:rsidP="00DB2AFC">
      <w:pPr>
        <w:jc w:val="both"/>
        <w:rPr>
          <w:rFonts w:ascii="Abadi" w:hAnsi="Abadi"/>
          <w:b/>
          <w:bCs/>
          <w:sz w:val="21"/>
          <w:szCs w:val="21"/>
        </w:rPr>
      </w:pPr>
    </w:p>
    <w:p w14:paraId="4512DFD4" w14:textId="77777777" w:rsidR="00DB2AFC" w:rsidRPr="004462B9" w:rsidRDefault="00DB2AFC" w:rsidP="00DB2AFC">
      <w:pPr>
        <w:jc w:val="both"/>
        <w:rPr>
          <w:rFonts w:ascii="Abadi" w:hAnsi="Abadi"/>
          <w:b/>
          <w:bCs/>
          <w:sz w:val="21"/>
          <w:szCs w:val="21"/>
        </w:rPr>
      </w:pPr>
      <w:r w:rsidRPr="004462B9">
        <w:rPr>
          <w:rFonts w:ascii="Abadi" w:hAnsi="Abadi"/>
          <w:b/>
          <w:bCs/>
          <w:sz w:val="21"/>
          <w:szCs w:val="21"/>
        </w:rPr>
        <w:t>D</w:t>
      </w:r>
      <w:r>
        <w:rPr>
          <w:rFonts w:ascii="Abadi" w:hAnsi="Abadi"/>
          <w:b/>
          <w:bCs/>
          <w:sz w:val="21"/>
          <w:szCs w:val="21"/>
        </w:rPr>
        <w:t>ip</w:t>
      </w:r>
      <w:r w:rsidRPr="004462B9">
        <w:rPr>
          <w:rFonts w:ascii="Abadi" w:hAnsi="Abadi"/>
          <w:b/>
          <w:bCs/>
          <w:sz w:val="21"/>
          <w:szCs w:val="21"/>
        </w:rPr>
        <w:t>. Martín López Camacho</w:t>
      </w:r>
    </w:p>
    <w:p w14:paraId="00219CB0" w14:textId="77777777" w:rsidR="00DB2AFC" w:rsidRPr="004462B9" w:rsidRDefault="00DB2AFC" w:rsidP="00DB2AFC">
      <w:pPr>
        <w:jc w:val="both"/>
        <w:rPr>
          <w:rFonts w:ascii="Abadi" w:hAnsi="Abadi"/>
          <w:b/>
          <w:bCs/>
          <w:sz w:val="21"/>
          <w:szCs w:val="21"/>
        </w:rPr>
      </w:pPr>
      <w:r w:rsidRPr="004462B9">
        <w:rPr>
          <w:rFonts w:ascii="Abadi" w:hAnsi="Abadi"/>
          <w:b/>
          <w:bCs/>
          <w:sz w:val="21"/>
          <w:szCs w:val="21"/>
        </w:rPr>
        <w:t>D</w:t>
      </w:r>
      <w:r>
        <w:rPr>
          <w:rFonts w:ascii="Abadi" w:hAnsi="Abadi"/>
          <w:b/>
          <w:bCs/>
          <w:sz w:val="21"/>
          <w:szCs w:val="21"/>
        </w:rPr>
        <w:t>ip</w:t>
      </w:r>
      <w:r w:rsidRPr="004462B9">
        <w:rPr>
          <w:rFonts w:ascii="Abadi" w:hAnsi="Abadi"/>
          <w:b/>
          <w:bCs/>
          <w:sz w:val="21"/>
          <w:szCs w:val="21"/>
        </w:rPr>
        <w:t>. Rolando Fortino Alcántar Rojas</w:t>
      </w:r>
    </w:p>
    <w:p w14:paraId="2484C928" w14:textId="77777777" w:rsidR="00DB2AFC" w:rsidRPr="004462B9" w:rsidRDefault="00DB2AFC" w:rsidP="00DB2AFC">
      <w:pPr>
        <w:jc w:val="both"/>
        <w:rPr>
          <w:rFonts w:ascii="Abadi" w:hAnsi="Abadi"/>
          <w:b/>
          <w:bCs/>
          <w:sz w:val="21"/>
          <w:szCs w:val="21"/>
        </w:rPr>
      </w:pPr>
      <w:r w:rsidRPr="004462B9">
        <w:rPr>
          <w:rFonts w:ascii="Abadi" w:hAnsi="Abadi"/>
          <w:b/>
          <w:bCs/>
          <w:sz w:val="21"/>
          <w:szCs w:val="21"/>
        </w:rPr>
        <w:t>Dip. Alma Edwviges Alcaraz Hernández</w:t>
      </w:r>
    </w:p>
    <w:p w14:paraId="1525C65F" w14:textId="77777777" w:rsidR="00DB2AFC" w:rsidRPr="004462B9" w:rsidRDefault="00DB2AFC" w:rsidP="00DB2AFC">
      <w:pPr>
        <w:jc w:val="both"/>
        <w:rPr>
          <w:rFonts w:ascii="Abadi" w:hAnsi="Abadi"/>
          <w:b/>
          <w:bCs/>
          <w:sz w:val="21"/>
          <w:szCs w:val="21"/>
        </w:rPr>
      </w:pPr>
      <w:r w:rsidRPr="004462B9">
        <w:rPr>
          <w:rFonts w:ascii="Abadi" w:hAnsi="Abadi"/>
          <w:b/>
          <w:bCs/>
          <w:sz w:val="21"/>
          <w:szCs w:val="21"/>
        </w:rPr>
        <w:t>Dip. Bricio Balderas Álvarez</w:t>
      </w:r>
    </w:p>
    <w:p w14:paraId="53965FEC" w14:textId="20D1F475" w:rsidR="00357D15" w:rsidRDefault="00DB2AFC" w:rsidP="00357D15">
      <w:pPr>
        <w:jc w:val="both"/>
        <w:rPr>
          <w:rFonts w:ascii="Abadi" w:hAnsi="Abadi"/>
          <w:b/>
          <w:bCs/>
          <w:sz w:val="21"/>
          <w:szCs w:val="21"/>
        </w:rPr>
      </w:pPr>
      <w:r w:rsidRPr="004462B9">
        <w:rPr>
          <w:rFonts w:ascii="Abadi" w:hAnsi="Abadi"/>
          <w:b/>
          <w:bCs/>
          <w:sz w:val="21"/>
          <w:szCs w:val="21"/>
        </w:rPr>
        <w:t>Dip. Gerardo Fernández González</w:t>
      </w:r>
    </w:p>
    <w:p w14:paraId="319BDEC8" w14:textId="43BE73ED" w:rsidR="00357D15" w:rsidRDefault="00357D15" w:rsidP="00357D15">
      <w:pPr>
        <w:jc w:val="both"/>
        <w:rPr>
          <w:rFonts w:ascii="Abadi" w:hAnsi="Abadi"/>
          <w:b/>
          <w:bCs/>
          <w:sz w:val="21"/>
          <w:szCs w:val="21"/>
        </w:rPr>
      </w:pPr>
    </w:p>
    <w:p w14:paraId="7C7219B2" w14:textId="4050B042" w:rsidR="00357D15" w:rsidRDefault="00357D15" w:rsidP="00357D15">
      <w:pPr>
        <w:jc w:val="both"/>
        <w:rPr>
          <w:rFonts w:ascii="Abadi" w:hAnsi="Abadi"/>
          <w:b/>
          <w:bCs/>
          <w:sz w:val="21"/>
          <w:szCs w:val="21"/>
        </w:rPr>
      </w:pPr>
    </w:p>
    <w:p w14:paraId="4E919067" w14:textId="35AE41D4" w:rsidR="00562091" w:rsidRDefault="00562091" w:rsidP="00562091">
      <w:pPr>
        <w:ind w:firstLine="708"/>
        <w:jc w:val="both"/>
        <w:rPr>
          <w:rFonts w:ascii="Abadi" w:hAnsi="Abadi"/>
          <w:sz w:val="21"/>
          <w:szCs w:val="21"/>
        </w:rPr>
      </w:pPr>
      <w:r>
        <w:rPr>
          <w:rFonts w:ascii="Abadi" w:hAnsi="Abadi"/>
          <w:b/>
          <w:bCs/>
          <w:sz w:val="21"/>
          <w:szCs w:val="21"/>
        </w:rPr>
        <w:t xml:space="preserve">- </w:t>
      </w:r>
      <w:r w:rsidRPr="00562091">
        <w:rPr>
          <w:rFonts w:ascii="Abadi" w:hAnsi="Abadi"/>
          <w:b/>
          <w:bCs/>
          <w:sz w:val="21"/>
          <w:szCs w:val="21"/>
        </w:rPr>
        <w:t>La Presidencia.-</w:t>
      </w:r>
      <w:r w:rsidRPr="00562091">
        <w:rPr>
          <w:rFonts w:ascii="Abadi" w:hAnsi="Abadi"/>
          <w:sz w:val="21"/>
          <w:szCs w:val="21"/>
        </w:rPr>
        <w:t xml:space="preserve"> Enseguida se somete a discusión el dictamen presentado por la Comisión de Seguridad Pública y Comunicaciones relativo la propuesta de punto de acuerdo suscrita por diputadas y diputados integrantes del Grupo  Parlamentario del Partido Revolucionario Institucional, mediante el cual se efectúa un respetuoso exhortó a los titulares del Ejecutivo federal y de la Fiscalía General de la República para que realicen medidas urgentes y contundentes para impedir que en las fronteras litorales y aduanas se introduzcan armas de fuego, proyectiles y se persiga y sancione con eficacia a quienes introduzcan, acopien, trafiquen y/o porten esos instrumentos de nuestro país. </w:t>
      </w:r>
    </w:p>
    <w:p w14:paraId="79203F13" w14:textId="77777777" w:rsidR="007E2081" w:rsidRPr="00562091" w:rsidRDefault="007E2081" w:rsidP="00562091">
      <w:pPr>
        <w:ind w:firstLine="708"/>
        <w:jc w:val="both"/>
        <w:rPr>
          <w:rFonts w:ascii="Abadi" w:hAnsi="Abadi"/>
          <w:sz w:val="21"/>
          <w:szCs w:val="21"/>
        </w:rPr>
      </w:pPr>
    </w:p>
    <w:p w14:paraId="415DB129" w14:textId="0EF392B4" w:rsidR="00562091" w:rsidRDefault="00562091" w:rsidP="00562091">
      <w:pPr>
        <w:ind w:firstLine="708"/>
        <w:jc w:val="both"/>
        <w:rPr>
          <w:rFonts w:ascii="Abadi" w:hAnsi="Abadi"/>
          <w:sz w:val="21"/>
          <w:szCs w:val="21"/>
        </w:rPr>
      </w:pPr>
      <w:r>
        <w:rPr>
          <w:rFonts w:ascii="Abadi" w:hAnsi="Abadi"/>
          <w:sz w:val="21"/>
          <w:szCs w:val="21"/>
        </w:rPr>
        <w:t xml:space="preserve">- </w:t>
      </w:r>
      <w:r w:rsidRPr="00562091">
        <w:rPr>
          <w:rFonts w:ascii="Abadi" w:hAnsi="Abadi"/>
          <w:sz w:val="21"/>
          <w:szCs w:val="21"/>
        </w:rPr>
        <w:t xml:space="preserve">Me permito informar que previamente se ha inscrito el diputado Martín López Camacho, para hablar a favor del dictamen. </w:t>
      </w:r>
    </w:p>
    <w:p w14:paraId="314FB299" w14:textId="77777777" w:rsidR="00562091" w:rsidRPr="00562091" w:rsidRDefault="00562091" w:rsidP="00562091">
      <w:pPr>
        <w:ind w:firstLine="708"/>
        <w:jc w:val="both"/>
        <w:rPr>
          <w:rFonts w:ascii="Abadi" w:hAnsi="Abadi"/>
          <w:sz w:val="21"/>
          <w:szCs w:val="21"/>
        </w:rPr>
      </w:pPr>
    </w:p>
    <w:p w14:paraId="42624165" w14:textId="1F61736A" w:rsidR="00562091" w:rsidRDefault="00562091" w:rsidP="00562091">
      <w:pPr>
        <w:ind w:firstLine="708"/>
        <w:jc w:val="both"/>
        <w:rPr>
          <w:rFonts w:ascii="Abadi" w:hAnsi="Abadi"/>
          <w:sz w:val="21"/>
          <w:szCs w:val="21"/>
        </w:rPr>
      </w:pPr>
      <w:r>
        <w:rPr>
          <w:rFonts w:ascii="Abadi" w:hAnsi="Abadi"/>
          <w:sz w:val="21"/>
          <w:szCs w:val="21"/>
        </w:rPr>
        <w:t xml:space="preserve">- </w:t>
      </w:r>
      <w:r w:rsidRPr="00562091">
        <w:rPr>
          <w:rFonts w:ascii="Abadi" w:hAnsi="Abadi"/>
          <w:sz w:val="21"/>
          <w:szCs w:val="21"/>
        </w:rPr>
        <w:t xml:space="preserve">Si alguna diputada o algún diputado desea hacer uso de la palabra, en pro o en contra, manifiéstenlo indicando el sentido de su participación, se concede, ¿Diputada Nohemí, para qué efecto? </w:t>
      </w:r>
    </w:p>
    <w:p w14:paraId="5BB6B6DF" w14:textId="77777777" w:rsidR="00562091" w:rsidRPr="00562091" w:rsidRDefault="00562091" w:rsidP="00562091">
      <w:pPr>
        <w:jc w:val="both"/>
        <w:rPr>
          <w:rFonts w:ascii="Abadi" w:hAnsi="Abadi"/>
          <w:sz w:val="21"/>
          <w:szCs w:val="21"/>
        </w:rPr>
      </w:pPr>
    </w:p>
    <w:p w14:paraId="4E738ED1" w14:textId="7779FFB5" w:rsidR="00562091" w:rsidRDefault="00562091" w:rsidP="00562091">
      <w:pPr>
        <w:jc w:val="both"/>
        <w:rPr>
          <w:rFonts w:ascii="Abadi" w:hAnsi="Abadi"/>
          <w:sz w:val="21"/>
          <w:szCs w:val="21"/>
        </w:rPr>
      </w:pPr>
      <w:r w:rsidRPr="00562091">
        <w:rPr>
          <w:rFonts w:ascii="Abadi" w:hAnsi="Abadi"/>
          <w:sz w:val="21"/>
          <w:szCs w:val="21"/>
        </w:rPr>
        <w:t>(Voz) diputada Nohemí, para hablar a favor del dictamen. (Voz) diputada Presidenta, muy bien, se concede el uso de la voz al diputado Martín López Camacho</w:t>
      </w:r>
      <w:r>
        <w:rPr>
          <w:rFonts w:ascii="Abadi" w:hAnsi="Abadi"/>
          <w:sz w:val="21"/>
          <w:szCs w:val="21"/>
        </w:rPr>
        <w:t>, h</w:t>
      </w:r>
      <w:r w:rsidRPr="00562091">
        <w:rPr>
          <w:rFonts w:ascii="Abadi" w:hAnsi="Abadi"/>
          <w:sz w:val="21"/>
          <w:szCs w:val="21"/>
        </w:rPr>
        <w:t xml:space="preserve">asta por 10 minutos. </w:t>
      </w:r>
    </w:p>
    <w:p w14:paraId="24961FA0" w14:textId="77777777" w:rsidR="00562091" w:rsidRPr="00562091" w:rsidRDefault="00562091" w:rsidP="00562091">
      <w:pPr>
        <w:jc w:val="both"/>
        <w:rPr>
          <w:rFonts w:ascii="Abadi" w:hAnsi="Abadi"/>
          <w:sz w:val="21"/>
          <w:szCs w:val="21"/>
        </w:rPr>
      </w:pPr>
    </w:p>
    <w:p w14:paraId="423ABA92" w14:textId="09E6D779" w:rsidR="00562091" w:rsidRPr="007E2081" w:rsidRDefault="00562091" w:rsidP="007E2081">
      <w:pPr>
        <w:pStyle w:val="Prrafodelista"/>
        <w:numPr>
          <w:ilvl w:val="0"/>
          <w:numId w:val="4"/>
        </w:numPr>
        <w:jc w:val="both"/>
        <w:rPr>
          <w:rFonts w:ascii="Abadi" w:hAnsi="Abadi"/>
          <w:sz w:val="21"/>
          <w:szCs w:val="21"/>
        </w:rPr>
      </w:pPr>
      <w:r w:rsidRPr="007E2081">
        <w:rPr>
          <w:rFonts w:ascii="Abadi" w:hAnsi="Abadi"/>
          <w:sz w:val="21"/>
          <w:szCs w:val="21"/>
        </w:rPr>
        <w:t xml:space="preserve">Adelante, diputado. </w:t>
      </w:r>
    </w:p>
    <w:p w14:paraId="3CD18E3B" w14:textId="77777777" w:rsidR="00357D15" w:rsidRPr="00562091" w:rsidRDefault="00357D15" w:rsidP="00357D15">
      <w:pPr>
        <w:jc w:val="both"/>
        <w:rPr>
          <w:rFonts w:ascii="Abadi" w:hAnsi="Abadi"/>
          <w:sz w:val="21"/>
          <w:szCs w:val="21"/>
          <w:lang w:val="es-MX"/>
        </w:rPr>
      </w:pPr>
    </w:p>
    <w:p w14:paraId="0D0F4005" w14:textId="44AC088E" w:rsidR="00357D15" w:rsidRDefault="00357D15" w:rsidP="00357D15">
      <w:pPr>
        <w:jc w:val="both"/>
        <w:rPr>
          <w:rFonts w:ascii="Abadi" w:hAnsi="Abadi"/>
          <w:b/>
          <w:bCs/>
          <w:sz w:val="21"/>
          <w:szCs w:val="21"/>
          <w:lang w:val="es-MX"/>
        </w:rPr>
      </w:pPr>
      <w:r w:rsidRPr="00357D15">
        <w:rPr>
          <w:rFonts w:ascii="Abadi" w:hAnsi="Abadi"/>
          <w:b/>
          <w:bCs/>
          <w:sz w:val="21"/>
          <w:szCs w:val="21"/>
          <w:lang w:val="es-MX"/>
        </w:rPr>
        <w:t xml:space="preserve">(Sube a tribuna el diputado Martín López Camacho para hablar a favor del dictamen) </w:t>
      </w:r>
    </w:p>
    <w:p w14:paraId="16D10934" w14:textId="77777777" w:rsidR="00A533E0" w:rsidRPr="00357D15" w:rsidRDefault="00A533E0" w:rsidP="00357D15">
      <w:pPr>
        <w:jc w:val="both"/>
        <w:rPr>
          <w:rFonts w:ascii="Abadi" w:hAnsi="Abadi"/>
          <w:b/>
          <w:bCs/>
          <w:sz w:val="21"/>
          <w:szCs w:val="21"/>
          <w:lang w:val="es-MX"/>
        </w:rPr>
      </w:pPr>
    </w:p>
    <w:p w14:paraId="1D17AD60" w14:textId="6BD3D662" w:rsidR="00357D15" w:rsidRPr="00357D15" w:rsidRDefault="001861B8" w:rsidP="00357D15">
      <w:pPr>
        <w:jc w:val="both"/>
        <w:rPr>
          <w:rFonts w:ascii="Abadi" w:hAnsi="Abadi"/>
          <w:b/>
          <w:bCs/>
          <w:sz w:val="21"/>
          <w:szCs w:val="21"/>
          <w:lang w:val="es-MX"/>
        </w:rPr>
      </w:pPr>
      <w:r w:rsidRPr="00357D15">
        <w:rPr>
          <w:rFonts w:ascii="Abadi" w:hAnsi="Abadi"/>
          <w:noProof/>
          <w:sz w:val="21"/>
          <w:szCs w:val="21"/>
          <w:lang w:val="es-MX"/>
        </w:rPr>
        <w:drawing>
          <wp:anchor distT="0" distB="0" distL="114300" distR="114300" simplePos="0" relativeHeight="251686912" behindDoc="1" locked="0" layoutInCell="1" allowOverlap="1" wp14:anchorId="535878F8" wp14:editId="4824920F">
            <wp:simplePos x="0" y="0"/>
            <wp:positionH relativeFrom="column">
              <wp:posOffset>301290</wp:posOffset>
            </wp:positionH>
            <wp:positionV relativeFrom="paragraph">
              <wp:posOffset>139964</wp:posOffset>
            </wp:positionV>
            <wp:extent cx="1902940" cy="1070323"/>
            <wp:effectExtent l="0" t="114300" r="0" b="815975"/>
            <wp:wrapTight wrapText="bothSides">
              <wp:wrapPolygon edited="0">
                <wp:start x="216" y="-2307"/>
                <wp:lineTo x="0" y="23074"/>
                <wp:lineTo x="433" y="37688"/>
                <wp:lineTo x="2163" y="37688"/>
                <wp:lineTo x="2379" y="36919"/>
                <wp:lineTo x="13194" y="35380"/>
                <wp:lineTo x="14924" y="35380"/>
                <wp:lineTo x="19899" y="30766"/>
                <wp:lineTo x="19899" y="-2307"/>
                <wp:lineTo x="216" y="-2307"/>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02940" cy="1070323"/>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14:paraId="30630023" w14:textId="053560EB" w:rsidR="00357D15" w:rsidRPr="00357D15" w:rsidRDefault="00357D15" w:rsidP="00357D15">
      <w:pPr>
        <w:jc w:val="both"/>
        <w:rPr>
          <w:rFonts w:ascii="Abadi" w:hAnsi="Abadi"/>
          <w:b/>
          <w:bCs/>
          <w:sz w:val="21"/>
          <w:szCs w:val="21"/>
          <w:lang w:val="es-MX"/>
        </w:rPr>
      </w:pPr>
    </w:p>
    <w:p w14:paraId="61090465" w14:textId="77777777" w:rsidR="00357D15" w:rsidRPr="00357D15" w:rsidRDefault="00357D15" w:rsidP="00357D15">
      <w:pPr>
        <w:jc w:val="both"/>
        <w:rPr>
          <w:rFonts w:ascii="Abadi" w:hAnsi="Abadi"/>
          <w:b/>
          <w:bCs/>
          <w:sz w:val="21"/>
          <w:szCs w:val="21"/>
          <w:lang w:val="es-MX"/>
        </w:rPr>
      </w:pPr>
    </w:p>
    <w:p w14:paraId="31FA940C" w14:textId="77777777" w:rsidR="00357D15" w:rsidRPr="00357D15" w:rsidRDefault="00357D15" w:rsidP="00357D15">
      <w:pPr>
        <w:jc w:val="both"/>
        <w:rPr>
          <w:rFonts w:ascii="Abadi" w:hAnsi="Abadi"/>
          <w:sz w:val="21"/>
          <w:szCs w:val="21"/>
          <w:lang w:val="es-MX"/>
        </w:rPr>
      </w:pPr>
    </w:p>
    <w:p w14:paraId="750E65C6" w14:textId="77777777" w:rsidR="00357D15" w:rsidRPr="00357D15" w:rsidRDefault="00357D15" w:rsidP="00357D15">
      <w:pPr>
        <w:jc w:val="both"/>
        <w:rPr>
          <w:rFonts w:ascii="Abadi" w:hAnsi="Abadi"/>
          <w:sz w:val="21"/>
          <w:szCs w:val="21"/>
          <w:lang w:val="es-MX"/>
        </w:rPr>
      </w:pPr>
    </w:p>
    <w:p w14:paraId="44635FD4" w14:textId="77777777" w:rsidR="00357D15" w:rsidRPr="00357D15" w:rsidRDefault="00357D15" w:rsidP="00357D15">
      <w:pPr>
        <w:jc w:val="both"/>
        <w:rPr>
          <w:rFonts w:ascii="Abadi" w:hAnsi="Abadi"/>
          <w:sz w:val="21"/>
          <w:szCs w:val="21"/>
          <w:lang w:val="es-MX"/>
        </w:rPr>
      </w:pPr>
    </w:p>
    <w:p w14:paraId="33602E72" w14:textId="77777777" w:rsidR="00357D15" w:rsidRPr="00357D15" w:rsidRDefault="00357D15" w:rsidP="00357D15">
      <w:pPr>
        <w:jc w:val="both"/>
        <w:rPr>
          <w:rFonts w:ascii="Abadi" w:hAnsi="Abadi"/>
          <w:sz w:val="21"/>
          <w:szCs w:val="21"/>
          <w:lang w:val="es-MX"/>
        </w:rPr>
      </w:pPr>
    </w:p>
    <w:p w14:paraId="0BE28A82" w14:textId="77777777" w:rsidR="00357D15" w:rsidRPr="00357D15" w:rsidRDefault="00357D15" w:rsidP="00357D15">
      <w:pPr>
        <w:jc w:val="both"/>
        <w:rPr>
          <w:rFonts w:ascii="Abadi" w:hAnsi="Abadi"/>
          <w:sz w:val="21"/>
          <w:szCs w:val="21"/>
          <w:lang w:val="es-MX"/>
        </w:rPr>
      </w:pPr>
    </w:p>
    <w:p w14:paraId="4723B96A" w14:textId="77777777" w:rsidR="001861B8" w:rsidRDefault="001861B8" w:rsidP="00357D15">
      <w:pPr>
        <w:jc w:val="both"/>
        <w:rPr>
          <w:rFonts w:ascii="Abadi" w:hAnsi="Abadi"/>
          <w:sz w:val="21"/>
          <w:szCs w:val="21"/>
          <w:lang w:val="es-MX"/>
        </w:rPr>
      </w:pPr>
    </w:p>
    <w:p w14:paraId="7B3BC7AE" w14:textId="77777777" w:rsidR="001861B8" w:rsidRDefault="001861B8" w:rsidP="00357D15">
      <w:pPr>
        <w:jc w:val="both"/>
        <w:rPr>
          <w:rFonts w:ascii="Abadi" w:hAnsi="Abadi"/>
          <w:sz w:val="21"/>
          <w:szCs w:val="21"/>
          <w:lang w:val="es-MX"/>
        </w:rPr>
      </w:pPr>
    </w:p>
    <w:p w14:paraId="218ABF3A" w14:textId="77777777" w:rsidR="001861B8" w:rsidRDefault="001861B8" w:rsidP="00357D15">
      <w:pPr>
        <w:jc w:val="both"/>
        <w:rPr>
          <w:rFonts w:ascii="Abadi" w:hAnsi="Abadi"/>
          <w:sz w:val="21"/>
          <w:szCs w:val="21"/>
          <w:lang w:val="es-MX"/>
        </w:rPr>
      </w:pPr>
    </w:p>
    <w:p w14:paraId="65B7ABC3" w14:textId="77777777" w:rsidR="001861B8" w:rsidRDefault="001861B8" w:rsidP="00357D15">
      <w:pPr>
        <w:jc w:val="both"/>
        <w:rPr>
          <w:rFonts w:ascii="Abadi" w:hAnsi="Abadi"/>
          <w:sz w:val="21"/>
          <w:szCs w:val="21"/>
          <w:lang w:val="es-MX"/>
        </w:rPr>
      </w:pPr>
    </w:p>
    <w:p w14:paraId="44C903C9" w14:textId="77777777" w:rsidR="001861B8" w:rsidRDefault="001861B8" w:rsidP="00357D15">
      <w:pPr>
        <w:jc w:val="both"/>
        <w:rPr>
          <w:rFonts w:ascii="Abadi" w:hAnsi="Abadi"/>
          <w:sz w:val="21"/>
          <w:szCs w:val="21"/>
          <w:lang w:val="es-MX"/>
        </w:rPr>
      </w:pPr>
    </w:p>
    <w:p w14:paraId="023F4A1B" w14:textId="77777777" w:rsidR="001861B8" w:rsidRDefault="001861B8" w:rsidP="00357D15">
      <w:pPr>
        <w:jc w:val="both"/>
        <w:rPr>
          <w:rFonts w:ascii="Abadi" w:hAnsi="Abadi"/>
          <w:sz w:val="21"/>
          <w:szCs w:val="21"/>
          <w:lang w:val="es-MX"/>
        </w:rPr>
      </w:pPr>
    </w:p>
    <w:p w14:paraId="6642E0FD" w14:textId="77777777" w:rsidR="001861B8" w:rsidRDefault="001861B8"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 xml:space="preserve">Sí, muchas gracias diputada Presidenta, saludo con aprecio a mis compañeras, diputadas y diputados, público que nos acompaña en medio de comunicación, personas que nos pueden ver a través de las distintas plataformas. </w:t>
      </w:r>
    </w:p>
    <w:p w14:paraId="13EEE248" w14:textId="77777777" w:rsidR="001861B8" w:rsidRDefault="001861B8" w:rsidP="00357D15">
      <w:pPr>
        <w:jc w:val="both"/>
        <w:rPr>
          <w:rFonts w:ascii="Abadi" w:hAnsi="Abadi"/>
          <w:sz w:val="21"/>
          <w:szCs w:val="21"/>
          <w:lang w:val="es-MX"/>
        </w:rPr>
      </w:pPr>
    </w:p>
    <w:p w14:paraId="4AC0ADA5" w14:textId="07A247E3" w:rsidR="001861B8" w:rsidRDefault="001861B8"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 xml:space="preserve">Será una participación muy breve para hablar, como bien lo decía, nuestra Presienta de la mesa para hablar a favor de este dictamen en función de qué trata de una iniciativa para generar un exhorto al Gobierno Federal con un tema con el que todos, todas y todos, debemos estar a favor y más habiendo este tema de cómo están los índices de violencia en todo el territorio nacional. Esa violencia que principalmente se genera a través de personas que usan armas de fuego y que esas armas muy seguramente se introdujeron ilegalmente al país. </w:t>
      </w:r>
    </w:p>
    <w:p w14:paraId="77AC7C9B" w14:textId="77777777" w:rsidR="007E2081" w:rsidRDefault="007E2081" w:rsidP="00357D15">
      <w:pPr>
        <w:jc w:val="both"/>
        <w:rPr>
          <w:rFonts w:ascii="Abadi" w:hAnsi="Abadi"/>
          <w:sz w:val="21"/>
          <w:szCs w:val="21"/>
          <w:lang w:val="es-MX"/>
        </w:rPr>
      </w:pPr>
    </w:p>
    <w:p w14:paraId="7AD41CCD" w14:textId="77777777" w:rsidR="001861B8" w:rsidRDefault="001861B8"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 xml:space="preserve">Hoy sería difícil hablar de estrategias de una cultura de paz, de políticas públicas encaminadas a erradicar la violencia, a fomentar estrategias de prevención del delito, de prevención social. Si no le quitamos al delincuente esa arma de fuego, si no evitamos que el delincuente acceda a esa arma de fuego, de eso se trata, ya lo que se quiera partirizar y si se quieren asumir posturas ideológicas, lo dejaremos al compromiso y responsabilidad que tenemos derivado también de la gran responsabilidad que los ciudadanos nos han dado para estar aquí representando. Yo creo que México necesita que hagamos algo, que el Gobierno Federal emprenda políticas y estrategias para evitar el tráfico legal de armas de fuego es un compromiso grande. Por supuesto que sí, pero va a ser bien visto que en estos podamos sumarnos. Y lo comento porque cuando se somete a votación este dictamen, la Comisión de Seguridad Pública y Comunicaciones sí estuvimos un voto en contra. </w:t>
      </w:r>
    </w:p>
    <w:p w14:paraId="1E513AF3" w14:textId="77777777" w:rsidR="001861B8" w:rsidRDefault="001861B8" w:rsidP="00357D15">
      <w:pPr>
        <w:jc w:val="both"/>
        <w:rPr>
          <w:rFonts w:ascii="Abadi" w:hAnsi="Abadi"/>
          <w:sz w:val="21"/>
          <w:szCs w:val="21"/>
          <w:lang w:val="es-MX"/>
        </w:rPr>
      </w:pPr>
    </w:p>
    <w:p w14:paraId="7E42ACF7" w14:textId="77777777" w:rsidR="001861B8" w:rsidRDefault="001861B8"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 xml:space="preserve">Yo quisiera llamar a la reflexión porque es precisamente este tráfico ilegal el que permite esta generación de violencia. El que permite que hombres, mujeres, niños, niños, pierdan la vida con alguien que accedió ilegalmente a un arma de fuego y se siente con el derecho y el valor de lesionar les o quitarles la vida. Pero también porque la introducción ilegal de armas de fuego tiene también que ver con esa ruta de trasiego de drogas, sobre todo con nuestro vecino país del norte, nuestro vecino fronterizo. El derecho a la vida está amenazado por este tráfico ilegal y uso ilegal de armas de fuego. </w:t>
      </w:r>
    </w:p>
    <w:p w14:paraId="688CAFD0" w14:textId="77777777" w:rsidR="001861B8" w:rsidRDefault="001861B8" w:rsidP="00357D15">
      <w:pPr>
        <w:jc w:val="both"/>
        <w:rPr>
          <w:rFonts w:ascii="Abadi" w:hAnsi="Abadi"/>
          <w:sz w:val="21"/>
          <w:szCs w:val="21"/>
          <w:lang w:val="es-MX"/>
        </w:rPr>
      </w:pPr>
    </w:p>
    <w:p w14:paraId="264E8DF3" w14:textId="77777777" w:rsidR="001861B8" w:rsidRDefault="001861B8"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 xml:space="preserve">Hoy los grupos criminales no solo trafican armas de fuego para su uso, sino que lo suministran al mercado negro que hay en nuestro país y que posteriormente es con el que se genera violencia y homicidios dolosos. Urge que el Gobierno Federal estables que esas medidas para combatir de manera eficaz y eficiente el tráfico ilícito de armas de fuego. Por supuesto que ya existen protocolos, instrumentos jurídicos vinculantes entre estados, entre países, pero nunca está demás fortalecerlos, perfeccionar los y ponernos del lado de las víctimas, ponernos de lado de ese clamor que no queremos violencia en ningún rincón del territorio nacional y que si evitamos que esas armas de fuego entren y se usen seguramente esa cultura de paz y es erradicar la violencia, serán pasos más grandes. </w:t>
      </w:r>
    </w:p>
    <w:p w14:paraId="746CEEEF" w14:textId="77777777" w:rsidR="001861B8" w:rsidRDefault="001861B8" w:rsidP="00357D15">
      <w:pPr>
        <w:jc w:val="both"/>
        <w:rPr>
          <w:rFonts w:ascii="Abadi" w:hAnsi="Abadi"/>
          <w:sz w:val="21"/>
          <w:szCs w:val="21"/>
          <w:lang w:val="es-MX"/>
        </w:rPr>
      </w:pPr>
    </w:p>
    <w:p w14:paraId="7E0F0473" w14:textId="0D6EF300" w:rsidR="00357D15" w:rsidRPr="00357D15" w:rsidRDefault="001861B8"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 xml:space="preserve">Es necesario que se generen respuesta eficaces del Ejecutivo Federal y sus autoridades para atender con urgencia este azote con el que cada vez más incrementa la violencia y las muertes por armas de fuego, afectando a mujeres, niñas, niños, hombres, así como los sectores más vulnerables. Por lo cual en este dictamen se hace un respetuoso exhorto a los titulares del Poder Ejecutivo Federal, a través de la Secretaría de Relaciones Exteriores, la Secretaría de la Defensa Nacional y el Servicio de Administración Tributaria, así como de la propia Fiscalía General de la República, para que realice medidas urgentes y contundentes para impedir que en las fronteras litorales y aduanas se introduzcan de manera ilícita armas de fuego y proyectiles y se persigue y sanciones con eficacia a quienes introduzcan, acopien, trafiquen y/o porten de manera ilícita estos instrumentos en nuestro país. Pido, por tanto, su voto a favor del dictamen que nos ocupa. </w:t>
      </w:r>
    </w:p>
    <w:p w14:paraId="20FB9581" w14:textId="77777777" w:rsidR="001861B8" w:rsidRDefault="001861B8" w:rsidP="00357D15">
      <w:pPr>
        <w:jc w:val="both"/>
        <w:rPr>
          <w:rFonts w:ascii="Abadi" w:hAnsi="Abadi"/>
          <w:sz w:val="21"/>
          <w:szCs w:val="21"/>
          <w:lang w:val="es-MX"/>
        </w:rPr>
      </w:pPr>
    </w:p>
    <w:p w14:paraId="212AA531" w14:textId="7C3BA069" w:rsidR="00357D15" w:rsidRPr="00357D15" w:rsidRDefault="001861B8"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Es cuánto presidenta</w:t>
      </w:r>
      <w:r w:rsidR="007E2081">
        <w:rPr>
          <w:rFonts w:ascii="Abadi" w:hAnsi="Abadi"/>
          <w:sz w:val="21"/>
          <w:szCs w:val="21"/>
          <w:lang w:val="es-MX"/>
        </w:rPr>
        <w:t>, m</w:t>
      </w:r>
      <w:r w:rsidR="00357D15" w:rsidRPr="00357D15">
        <w:rPr>
          <w:rFonts w:ascii="Abadi" w:hAnsi="Abadi"/>
          <w:sz w:val="21"/>
          <w:szCs w:val="21"/>
          <w:lang w:val="es-MX"/>
        </w:rPr>
        <w:t>uchas gracias.</w:t>
      </w:r>
    </w:p>
    <w:p w14:paraId="5C9A908D" w14:textId="77777777" w:rsidR="001861B8" w:rsidRDefault="001861B8" w:rsidP="00357D15">
      <w:pPr>
        <w:jc w:val="both"/>
        <w:rPr>
          <w:rFonts w:ascii="Abadi" w:hAnsi="Abadi"/>
          <w:b/>
          <w:bCs/>
          <w:sz w:val="21"/>
          <w:szCs w:val="21"/>
          <w:lang w:val="es-MX"/>
        </w:rPr>
      </w:pPr>
    </w:p>
    <w:p w14:paraId="7C10148D" w14:textId="43FB2EFC" w:rsidR="00357D15" w:rsidRPr="00357D15" w:rsidRDefault="001861B8" w:rsidP="001861B8">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La Presidencia.-</w:t>
      </w:r>
      <w:r w:rsidR="00357D15" w:rsidRPr="00357D15">
        <w:rPr>
          <w:rFonts w:ascii="Abadi" w:hAnsi="Abadi"/>
          <w:sz w:val="21"/>
          <w:szCs w:val="21"/>
          <w:lang w:val="es-MX"/>
        </w:rPr>
        <w:t xml:space="preserve"> Muchas gracias, diputado. </w:t>
      </w:r>
    </w:p>
    <w:p w14:paraId="22A2A070" w14:textId="77777777" w:rsidR="001861B8" w:rsidRDefault="001861B8" w:rsidP="00357D15">
      <w:pPr>
        <w:jc w:val="both"/>
        <w:rPr>
          <w:rFonts w:ascii="Abadi" w:hAnsi="Abadi"/>
          <w:sz w:val="21"/>
          <w:szCs w:val="21"/>
          <w:lang w:val="es-MX"/>
        </w:rPr>
      </w:pPr>
    </w:p>
    <w:p w14:paraId="0FF15791" w14:textId="28629BC7" w:rsidR="00357D15" w:rsidRPr="00357D15" w:rsidRDefault="001861B8" w:rsidP="001861B8">
      <w:pPr>
        <w:ind w:firstLine="708"/>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 xml:space="preserve">Y es el turno de darle la voz a la diputada Noemí Tiscareño Agoitia, hasta por 10 minutos. </w:t>
      </w:r>
    </w:p>
    <w:p w14:paraId="64548FBB" w14:textId="77777777" w:rsidR="001861B8" w:rsidRDefault="001861B8" w:rsidP="00357D15">
      <w:pPr>
        <w:jc w:val="both"/>
        <w:rPr>
          <w:rFonts w:ascii="Abadi" w:hAnsi="Abadi"/>
          <w:sz w:val="21"/>
          <w:szCs w:val="21"/>
          <w:lang w:val="es-MX"/>
        </w:rPr>
      </w:pPr>
    </w:p>
    <w:p w14:paraId="38B91058" w14:textId="5C9F3F84" w:rsidR="00357D15" w:rsidRPr="00357D15" w:rsidRDefault="001861B8" w:rsidP="001861B8">
      <w:pPr>
        <w:ind w:firstLine="708"/>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Adelante diputada.</w:t>
      </w:r>
    </w:p>
    <w:p w14:paraId="78F4F26C" w14:textId="77777777" w:rsidR="001861B8" w:rsidRDefault="001861B8" w:rsidP="00357D15">
      <w:pPr>
        <w:jc w:val="both"/>
        <w:rPr>
          <w:rFonts w:ascii="Abadi" w:hAnsi="Abadi"/>
          <w:b/>
          <w:bCs/>
          <w:sz w:val="21"/>
          <w:szCs w:val="21"/>
          <w:lang w:val="es-MX"/>
        </w:rPr>
      </w:pPr>
    </w:p>
    <w:p w14:paraId="2EB4E26D" w14:textId="53F1A933" w:rsidR="00357D15" w:rsidRPr="00357D15" w:rsidRDefault="00357D15" w:rsidP="00357D15">
      <w:pPr>
        <w:jc w:val="both"/>
        <w:rPr>
          <w:rFonts w:ascii="Abadi" w:hAnsi="Abadi"/>
          <w:b/>
          <w:bCs/>
          <w:sz w:val="21"/>
          <w:szCs w:val="21"/>
          <w:lang w:val="es-MX"/>
        </w:rPr>
      </w:pPr>
      <w:r w:rsidRPr="00357D15">
        <w:rPr>
          <w:rFonts w:ascii="Abadi" w:hAnsi="Abadi"/>
          <w:b/>
          <w:bCs/>
          <w:sz w:val="21"/>
          <w:szCs w:val="21"/>
          <w:lang w:val="es-MX"/>
        </w:rPr>
        <w:t>(Sube a tribuna diputada Noemí Tiscareño Agoitia para hablar a favor del dictamen)</w:t>
      </w:r>
    </w:p>
    <w:p w14:paraId="6C5F3CFF" w14:textId="0E2037E7" w:rsidR="00357D15" w:rsidRPr="00357D15" w:rsidRDefault="00357D15" w:rsidP="00357D15">
      <w:pPr>
        <w:jc w:val="both"/>
        <w:rPr>
          <w:rFonts w:ascii="Abadi" w:hAnsi="Abadi"/>
          <w:b/>
          <w:bCs/>
          <w:sz w:val="21"/>
          <w:szCs w:val="21"/>
          <w:lang w:val="es-MX"/>
        </w:rPr>
      </w:pPr>
    </w:p>
    <w:p w14:paraId="1CB3F4D4" w14:textId="77777777" w:rsidR="00357D15" w:rsidRPr="00357D15" w:rsidRDefault="00357D15" w:rsidP="00357D15">
      <w:pPr>
        <w:jc w:val="both"/>
        <w:rPr>
          <w:rFonts w:ascii="Abadi" w:hAnsi="Abadi"/>
          <w:b/>
          <w:bCs/>
          <w:sz w:val="21"/>
          <w:szCs w:val="21"/>
          <w:lang w:val="es-MX"/>
        </w:rPr>
      </w:pPr>
    </w:p>
    <w:p w14:paraId="3EC43BF6" w14:textId="77777777" w:rsidR="00357D15" w:rsidRPr="00357D15" w:rsidRDefault="00357D15" w:rsidP="00357D15">
      <w:pPr>
        <w:jc w:val="both"/>
        <w:rPr>
          <w:rFonts w:ascii="Abadi" w:hAnsi="Abadi"/>
          <w:sz w:val="21"/>
          <w:szCs w:val="21"/>
          <w:lang w:val="es-MX"/>
        </w:rPr>
      </w:pPr>
    </w:p>
    <w:p w14:paraId="093D2922" w14:textId="77777777" w:rsidR="00357D15" w:rsidRPr="00357D15" w:rsidRDefault="00357D15" w:rsidP="00357D15">
      <w:pPr>
        <w:jc w:val="both"/>
        <w:rPr>
          <w:rFonts w:ascii="Abadi" w:hAnsi="Abadi"/>
          <w:sz w:val="21"/>
          <w:szCs w:val="21"/>
          <w:lang w:val="es-MX"/>
        </w:rPr>
      </w:pPr>
    </w:p>
    <w:p w14:paraId="73D25A66" w14:textId="050D5637" w:rsidR="001861B8" w:rsidRDefault="001861B8" w:rsidP="00357D15">
      <w:pPr>
        <w:jc w:val="both"/>
        <w:rPr>
          <w:rFonts w:ascii="Abadi" w:hAnsi="Abadi"/>
          <w:sz w:val="21"/>
          <w:szCs w:val="21"/>
          <w:lang w:val="es-MX"/>
        </w:rPr>
      </w:pPr>
      <w:r w:rsidRPr="00357D15">
        <w:rPr>
          <w:rFonts w:ascii="Abadi" w:hAnsi="Abadi"/>
          <w:noProof/>
          <w:sz w:val="21"/>
          <w:szCs w:val="21"/>
          <w:lang w:val="es-MX"/>
        </w:rPr>
        <w:drawing>
          <wp:anchor distT="0" distB="0" distL="114300" distR="114300" simplePos="0" relativeHeight="251687936" behindDoc="1" locked="0" layoutInCell="1" allowOverlap="1" wp14:anchorId="31325921" wp14:editId="19552240">
            <wp:simplePos x="0" y="0"/>
            <wp:positionH relativeFrom="column">
              <wp:posOffset>223651</wp:posOffset>
            </wp:positionH>
            <wp:positionV relativeFrom="paragraph">
              <wp:posOffset>122926</wp:posOffset>
            </wp:positionV>
            <wp:extent cx="1933292" cy="1087395"/>
            <wp:effectExtent l="0" t="114300" r="0" b="817880"/>
            <wp:wrapTight wrapText="bothSides">
              <wp:wrapPolygon edited="0">
                <wp:start x="213" y="-2271"/>
                <wp:lineTo x="0" y="22710"/>
                <wp:lineTo x="426" y="37472"/>
                <wp:lineTo x="3619" y="37472"/>
                <wp:lineTo x="3832" y="36715"/>
                <wp:lineTo x="17456" y="34822"/>
                <wp:lineTo x="17882" y="34822"/>
                <wp:lineTo x="20011" y="29523"/>
                <wp:lineTo x="20011" y="-2271"/>
                <wp:lineTo x="213" y="-2271"/>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33292" cy="108739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14:paraId="090D4D51" w14:textId="77777777" w:rsidR="001861B8" w:rsidRDefault="001861B8" w:rsidP="00357D15">
      <w:pPr>
        <w:jc w:val="both"/>
        <w:rPr>
          <w:rFonts w:ascii="Abadi" w:hAnsi="Abadi"/>
          <w:sz w:val="21"/>
          <w:szCs w:val="21"/>
          <w:lang w:val="es-MX"/>
        </w:rPr>
      </w:pPr>
    </w:p>
    <w:p w14:paraId="0454B64F" w14:textId="77777777" w:rsidR="001861B8" w:rsidRDefault="001861B8" w:rsidP="00357D15">
      <w:pPr>
        <w:jc w:val="both"/>
        <w:rPr>
          <w:rFonts w:ascii="Abadi" w:hAnsi="Abadi"/>
          <w:sz w:val="21"/>
          <w:szCs w:val="21"/>
          <w:lang w:val="es-MX"/>
        </w:rPr>
      </w:pPr>
    </w:p>
    <w:p w14:paraId="511B8660" w14:textId="77777777" w:rsidR="001861B8" w:rsidRDefault="001861B8" w:rsidP="00357D15">
      <w:pPr>
        <w:jc w:val="both"/>
        <w:rPr>
          <w:rFonts w:ascii="Abadi" w:hAnsi="Abadi"/>
          <w:sz w:val="21"/>
          <w:szCs w:val="21"/>
          <w:lang w:val="es-MX"/>
        </w:rPr>
      </w:pPr>
    </w:p>
    <w:p w14:paraId="050F48DB" w14:textId="77777777" w:rsidR="001861B8" w:rsidRDefault="001861B8" w:rsidP="00357D15">
      <w:pPr>
        <w:jc w:val="both"/>
        <w:rPr>
          <w:rFonts w:ascii="Abadi" w:hAnsi="Abadi"/>
          <w:sz w:val="21"/>
          <w:szCs w:val="21"/>
          <w:lang w:val="es-MX"/>
        </w:rPr>
      </w:pPr>
    </w:p>
    <w:p w14:paraId="355A857F" w14:textId="77777777" w:rsidR="001861B8" w:rsidRDefault="001861B8" w:rsidP="00357D15">
      <w:pPr>
        <w:jc w:val="both"/>
        <w:rPr>
          <w:rFonts w:ascii="Abadi" w:hAnsi="Abadi"/>
          <w:sz w:val="21"/>
          <w:szCs w:val="21"/>
          <w:lang w:val="es-MX"/>
        </w:rPr>
      </w:pPr>
    </w:p>
    <w:p w14:paraId="2048E258" w14:textId="77777777" w:rsidR="001861B8" w:rsidRDefault="001861B8" w:rsidP="00357D15">
      <w:pPr>
        <w:jc w:val="both"/>
        <w:rPr>
          <w:rFonts w:ascii="Abadi" w:hAnsi="Abadi"/>
          <w:sz w:val="21"/>
          <w:szCs w:val="21"/>
          <w:lang w:val="es-MX"/>
        </w:rPr>
      </w:pPr>
    </w:p>
    <w:p w14:paraId="15839F76" w14:textId="77777777" w:rsidR="001861B8" w:rsidRDefault="001861B8" w:rsidP="00357D15">
      <w:pPr>
        <w:jc w:val="both"/>
        <w:rPr>
          <w:rFonts w:ascii="Abadi" w:hAnsi="Abadi"/>
          <w:sz w:val="21"/>
          <w:szCs w:val="21"/>
          <w:lang w:val="es-MX"/>
        </w:rPr>
      </w:pPr>
    </w:p>
    <w:p w14:paraId="2CDA0B12" w14:textId="77777777" w:rsidR="001861B8" w:rsidRDefault="001861B8" w:rsidP="00357D15">
      <w:pPr>
        <w:jc w:val="both"/>
        <w:rPr>
          <w:rFonts w:ascii="Abadi" w:hAnsi="Abadi"/>
          <w:sz w:val="21"/>
          <w:szCs w:val="21"/>
          <w:lang w:val="es-MX"/>
        </w:rPr>
      </w:pPr>
    </w:p>
    <w:p w14:paraId="1FC7945E" w14:textId="77777777" w:rsidR="001861B8" w:rsidRDefault="001861B8" w:rsidP="00357D15">
      <w:pPr>
        <w:jc w:val="both"/>
        <w:rPr>
          <w:rFonts w:ascii="Abadi" w:hAnsi="Abadi"/>
          <w:sz w:val="21"/>
          <w:szCs w:val="21"/>
          <w:lang w:val="es-MX"/>
        </w:rPr>
      </w:pPr>
    </w:p>
    <w:p w14:paraId="28CC20D9" w14:textId="77777777" w:rsidR="001861B8" w:rsidRDefault="001861B8" w:rsidP="00357D15">
      <w:pPr>
        <w:jc w:val="both"/>
        <w:rPr>
          <w:rFonts w:ascii="Abadi" w:hAnsi="Abadi"/>
          <w:sz w:val="21"/>
          <w:szCs w:val="21"/>
          <w:lang w:val="es-MX"/>
        </w:rPr>
      </w:pPr>
    </w:p>
    <w:p w14:paraId="4D731818" w14:textId="77777777" w:rsidR="001861B8" w:rsidRDefault="001861B8" w:rsidP="00357D15">
      <w:pPr>
        <w:jc w:val="both"/>
        <w:rPr>
          <w:rFonts w:ascii="Abadi" w:hAnsi="Abadi"/>
          <w:sz w:val="21"/>
          <w:szCs w:val="21"/>
          <w:lang w:val="es-MX"/>
        </w:rPr>
      </w:pPr>
    </w:p>
    <w:p w14:paraId="11C43A20" w14:textId="77777777" w:rsidR="001861B8" w:rsidRDefault="001861B8" w:rsidP="00357D15">
      <w:pPr>
        <w:jc w:val="both"/>
        <w:rPr>
          <w:rFonts w:ascii="Abadi" w:hAnsi="Abadi"/>
          <w:sz w:val="21"/>
          <w:szCs w:val="21"/>
          <w:lang w:val="es-MX"/>
        </w:rPr>
      </w:pPr>
    </w:p>
    <w:p w14:paraId="1FC4F428" w14:textId="77777777" w:rsidR="001861B8" w:rsidRDefault="001861B8" w:rsidP="00357D15">
      <w:pPr>
        <w:jc w:val="both"/>
        <w:rPr>
          <w:rFonts w:ascii="Abadi" w:hAnsi="Abadi"/>
          <w:sz w:val="21"/>
          <w:szCs w:val="21"/>
          <w:lang w:val="es-MX"/>
        </w:rPr>
      </w:pPr>
    </w:p>
    <w:p w14:paraId="722A8963" w14:textId="77777777" w:rsidR="001F3A8E" w:rsidRDefault="001861B8"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 xml:space="preserve">Con su venia Presidenta. En primer instancia quiero agradecer el sentido favorable del dictamen de un punto de acuerdo que presentó una servidora a la Comisión de Seguridad Pública y Comunicaciones, que preside el Diputado Martín López Camacho. Hago uso de la voz para solicitar el voto a favor del presente dictamen, que se pone a consideración de esta Asamblea, lo anterior, dada la urgencia y necesidad de su emisión, como se planteó en su momento, el propósito es exhortar al Gobierno Federal, en el ámbito de sus atribuciones, realice medidas urgentes y contundentes para impedir que en las fronteras litorales y aduanas se introduzca de manera ilícita armas de fuego; y proyectiles y se persiga y sanciones con eficacia a quiénes  introduzcan, acopien, trafiquen y/o porten de manera ilícita estos instrumentos de nuestro país. Dicho fin es resguardar la paz y la seguridad de las personas ante el tráfico de armas y proyectiles de manera ilícita ingresan a nuestro país, situación que hasta ahora se ha pasado por alto. </w:t>
      </w:r>
    </w:p>
    <w:p w14:paraId="5094D245" w14:textId="77777777" w:rsidR="001F3A8E" w:rsidRDefault="001F3A8E" w:rsidP="00357D15">
      <w:pPr>
        <w:jc w:val="both"/>
        <w:rPr>
          <w:rFonts w:ascii="Abadi" w:hAnsi="Abadi"/>
          <w:sz w:val="21"/>
          <w:szCs w:val="21"/>
          <w:lang w:val="es-MX"/>
        </w:rPr>
      </w:pPr>
    </w:p>
    <w:p w14:paraId="0B8A584A" w14:textId="249F66BA" w:rsidR="001F3A8E" w:rsidRDefault="001F3A8E"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Quisiera resaltar las consideraciones que el Presidente de la Comisión de Seguridad ha vertido al momento de hacer el análisis de la propuesta, en el sentido de ampliar el exhorto a diversas secretarías del orden federal que son competentes en la materia y precisar que se trata del ingreso de manera ilícita del equipamiento armamental.</w:t>
      </w:r>
      <w:r w:rsidR="006E16A1">
        <w:rPr>
          <w:rFonts w:ascii="Abadi" w:hAnsi="Abadi"/>
          <w:sz w:val="21"/>
          <w:szCs w:val="21"/>
          <w:lang w:val="es-MX"/>
        </w:rPr>
        <w:t xml:space="preserve"> </w:t>
      </w:r>
      <w:r w:rsidR="00357D15" w:rsidRPr="00357D15">
        <w:rPr>
          <w:rFonts w:ascii="Abadi" w:hAnsi="Abadi"/>
          <w:sz w:val="21"/>
          <w:szCs w:val="21"/>
          <w:lang w:val="es-MX"/>
        </w:rPr>
        <w:t xml:space="preserve">Quienes estamos comprometidos con la seguridad de los guanajuatenses estamos cierto en lo necesario que resulta combatir, por los medios disponibles, el ingreso de manera ilícita de armas de fuego, que como refieren las consideraciones de la Comisión y el punto presentado: 7 de cada 10 armas utilizadas por los criminales son de origen y procedencia extranjera, y cerca del 70% de los asesinatos en nuestro país se cometen con armas de fuego. </w:t>
      </w:r>
    </w:p>
    <w:p w14:paraId="126C5663" w14:textId="77777777" w:rsidR="001F3A8E" w:rsidRDefault="001F3A8E" w:rsidP="00357D15">
      <w:pPr>
        <w:jc w:val="both"/>
        <w:rPr>
          <w:rFonts w:ascii="Abadi" w:hAnsi="Abadi"/>
          <w:sz w:val="21"/>
          <w:szCs w:val="21"/>
          <w:lang w:val="es-MX"/>
        </w:rPr>
      </w:pPr>
    </w:p>
    <w:p w14:paraId="01A202C2" w14:textId="21A001A8" w:rsidR="00357D15" w:rsidRPr="00357D15" w:rsidRDefault="001F3A8E"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 xml:space="preserve">Es por todo lo anterior que me permito solicitar a este Pleno el voto a favor del dictamen que se pone a su consideración. </w:t>
      </w:r>
    </w:p>
    <w:p w14:paraId="278925A5" w14:textId="77777777" w:rsidR="001F3A8E" w:rsidRDefault="001F3A8E" w:rsidP="00357D15">
      <w:pPr>
        <w:jc w:val="both"/>
        <w:rPr>
          <w:rFonts w:ascii="Abadi" w:hAnsi="Abadi"/>
          <w:sz w:val="21"/>
          <w:szCs w:val="21"/>
          <w:lang w:val="es-MX"/>
        </w:rPr>
      </w:pPr>
    </w:p>
    <w:p w14:paraId="3F5085DF" w14:textId="443CB723" w:rsidR="00357D15" w:rsidRDefault="001F3A8E" w:rsidP="00357D15">
      <w:pPr>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Es cuánto, Presidenta.</w:t>
      </w:r>
    </w:p>
    <w:p w14:paraId="684A9B0B" w14:textId="77777777" w:rsidR="001F3A8E" w:rsidRPr="00357D15" w:rsidRDefault="001F3A8E" w:rsidP="00357D15">
      <w:pPr>
        <w:jc w:val="both"/>
        <w:rPr>
          <w:rFonts w:ascii="Abadi" w:hAnsi="Abadi"/>
          <w:sz w:val="21"/>
          <w:szCs w:val="21"/>
          <w:lang w:val="es-MX"/>
        </w:rPr>
      </w:pPr>
    </w:p>
    <w:p w14:paraId="0F2C9B1A" w14:textId="37C59A6F" w:rsidR="00357D15" w:rsidRPr="00357D15" w:rsidRDefault="001F3A8E" w:rsidP="001F3A8E">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La Presidencia.-</w:t>
      </w:r>
      <w:r w:rsidR="00357D15" w:rsidRPr="00357D15">
        <w:rPr>
          <w:rFonts w:ascii="Abadi" w:hAnsi="Abadi"/>
          <w:sz w:val="21"/>
          <w:szCs w:val="21"/>
          <w:lang w:val="es-MX"/>
        </w:rPr>
        <w:t xml:space="preserve"> Muchas gracias, diputada. </w:t>
      </w:r>
    </w:p>
    <w:p w14:paraId="15EF7F93" w14:textId="77777777" w:rsidR="001F3A8E" w:rsidRDefault="001F3A8E" w:rsidP="00357D15">
      <w:pPr>
        <w:jc w:val="both"/>
        <w:rPr>
          <w:rFonts w:ascii="Abadi" w:hAnsi="Abadi"/>
          <w:b/>
          <w:bCs/>
          <w:sz w:val="21"/>
          <w:szCs w:val="21"/>
          <w:lang w:val="es-MX"/>
        </w:rPr>
      </w:pPr>
    </w:p>
    <w:p w14:paraId="3D46E047" w14:textId="38DDF23B" w:rsidR="00357D15" w:rsidRDefault="001F3A8E" w:rsidP="001F3A8E">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La Presidencia.-</w:t>
      </w:r>
      <w:r w:rsidR="00357D15" w:rsidRPr="00357D15">
        <w:rPr>
          <w:rFonts w:ascii="Abadi" w:hAnsi="Abadi"/>
          <w:sz w:val="21"/>
          <w:szCs w:val="21"/>
          <w:lang w:val="es-MX"/>
        </w:rPr>
        <w:t xml:space="preserve"> Agotadas las participaciones se pide a la Secretar</w:t>
      </w:r>
      <w:r w:rsidR="00364390">
        <w:rPr>
          <w:rFonts w:ascii="Abadi" w:hAnsi="Abadi"/>
          <w:sz w:val="21"/>
          <w:szCs w:val="21"/>
          <w:lang w:val="es-MX"/>
        </w:rPr>
        <w:t>i</w:t>
      </w:r>
      <w:r w:rsidR="00357D15" w:rsidRPr="00357D15">
        <w:rPr>
          <w:rFonts w:ascii="Abadi" w:hAnsi="Abadi"/>
          <w:sz w:val="21"/>
          <w:szCs w:val="21"/>
          <w:lang w:val="es-MX"/>
        </w:rPr>
        <w:t xml:space="preserve">a que procede recabar votación nominal de la Asamblea, a través del sistema electrónico a efecto de aprobar o no el dictamen puesto a su consideración. </w:t>
      </w:r>
    </w:p>
    <w:p w14:paraId="5F46AD67" w14:textId="77777777" w:rsidR="001F3A8E" w:rsidRPr="00357D15" w:rsidRDefault="001F3A8E" w:rsidP="001F3A8E">
      <w:pPr>
        <w:ind w:firstLine="708"/>
        <w:jc w:val="both"/>
        <w:rPr>
          <w:rFonts w:ascii="Abadi" w:hAnsi="Abadi"/>
          <w:sz w:val="21"/>
          <w:szCs w:val="21"/>
          <w:lang w:val="es-MX"/>
        </w:rPr>
      </w:pPr>
    </w:p>
    <w:p w14:paraId="6316E798" w14:textId="77777777" w:rsidR="00357D15" w:rsidRPr="00357D15" w:rsidRDefault="00357D15" w:rsidP="001F3A8E">
      <w:pPr>
        <w:jc w:val="center"/>
        <w:rPr>
          <w:rFonts w:ascii="Abadi" w:hAnsi="Abadi"/>
          <w:b/>
          <w:bCs/>
          <w:sz w:val="21"/>
          <w:szCs w:val="21"/>
          <w:lang w:val="es-MX"/>
        </w:rPr>
      </w:pPr>
      <w:r w:rsidRPr="00357D15">
        <w:rPr>
          <w:rFonts w:ascii="Abadi" w:hAnsi="Abadi"/>
          <w:b/>
          <w:bCs/>
          <w:sz w:val="21"/>
          <w:szCs w:val="21"/>
          <w:lang w:val="es-MX"/>
        </w:rPr>
        <w:t>(Se abre el sistema electrónico)</w:t>
      </w:r>
    </w:p>
    <w:p w14:paraId="38137C82" w14:textId="77777777" w:rsidR="001F3A8E" w:rsidRDefault="001F3A8E" w:rsidP="00357D15">
      <w:pPr>
        <w:jc w:val="both"/>
        <w:rPr>
          <w:rFonts w:ascii="Abadi" w:hAnsi="Abadi"/>
          <w:b/>
          <w:bCs/>
          <w:sz w:val="21"/>
          <w:szCs w:val="21"/>
          <w:lang w:val="es-MX"/>
        </w:rPr>
      </w:pPr>
    </w:p>
    <w:p w14:paraId="00BFB054" w14:textId="6F3C3C17" w:rsidR="00357D15" w:rsidRDefault="001F3A8E" w:rsidP="001F3A8E">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La Secretaria.-</w:t>
      </w:r>
      <w:r w:rsidR="00357D15" w:rsidRPr="00357D15">
        <w:rPr>
          <w:rFonts w:ascii="Abadi" w:hAnsi="Abadi"/>
          <w:sz w:val="21"/>
          <w:szCs w:val="21"/>
          <w:lang w:val="es-MX"/>
        </w:rPr>
        <w:t xml:space="preserve"> En votación nominal por el sistema electrónico, se pregunta a las diputadas y a los diputados, si se aprueba el dictamen puesto a su consideración.</w:t>
      </w:r>
    </w:p>
    <w:p w14:paraId="74DA2A79" w14:textId="77777777" w:rsidR="001F3A8E" w:rsidRPr="00357D15" w:rsidRDefault="001F3A8E" w:rsidP="001F3A8E">
      <w:pPr>
        <w:ind w:firstLine="708"/>
        <w:jc w:val="both"/>
        <w:rPr>
          <w:rFonts w:ascii="Abadi" w:hAnsi="Abadi"/>
          <w:sz w:val="21"/>
          <w:szCs w:val="21"/>
          <w:lang w:val="es-MX"/>
        </w:rPr>
      </w:pPr>
    </w:p>
    <w:p w14:paraId="54DC2E87" w14:textId="16A77546" w:rsidR="00357D15" w:rsidRDefault="001F3A8E" w:rsidP="001F3A8E">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Diputado David Martinez.</w:t>
      </w:r>
      <w:r w:rsidR="00357D15" w:rsidRPr="00357D15">
        <w:rPr>
          <w:rFonts w:ascii="Abadi" w:hAnsi="Abadi"/>
          <w:sz w:val="21"/>
          <w:szCs w:val="21"/>
          <w:lang w:val="es-MX"/>
        </w:rPr>
        <w:t xml:space="preserve"> Me permite razonar el voto. </w:t>
      </w:r>
    </w:p>
    <w:p w14:paraId="314AB787" w14:textId="77777777" w:rsidR="001F3A8E" w:rsidRPr="00357D15" w:rsidRDefault="001F3A8E" w:rsidP="001F3A8E">
      <w:pPr>
        <w:ind w:firstLine="708"/>
        <w:jc w:val="both"/>
        <w:rPr>
          <w:rFonts w:ascii="Abadi" w:hAnsi="Abadi"/>
          <w:sz w:val="21"/>
          <w:szCs w:val="21"/>
          <w:lang w:val="es-MX"/>
        </w:rPr>
      </w:pPr>
    </w:p>
    <w:p w14:paraId="1DF1CABC" w14:textId="15DBA14A" w:rsidR="00357D15" w:rsidRPr="00357D15" w:rsidRDefault="001F3A8E" w:rsidP="001F3A8E">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 xml:space="preserve">La </w:t>
      </w:r>
      <w:r w:rsidR="00506EB1" w:rsidRPr="00357D15">
        <w:rPr>
          <w:rFonts w:ascii="Abadi" w:hAnsi="Abadi"/>
          <w:b/>
          <w:bCs/>
          <w:sz w:val="21"/>
          <w:szCs w:val="21"/>
          <w:lang w:val="es-MX"/>
        </w:rPr>
        <w:t>Presidencia.</w:t>
      </w:r>
      <w:r w:rsidR="00506EB1">
        <w:rPr>
          <w:rFonts w:ascii="Abadi" w:hAnsi="Abadi"/>
          <w:b/>
          <w:bCs/>
          <w:sz w:val="21"/>
          <w:szCs w:val="21"/>
          <w:lang w:val="es-MX"/>
        </w:rPr>
        <w:t>-</w:t>
      </w:r>
      <w:r w:rsidR="00357D15" w:rsidRPr="00357D15">
        <w:rPr>
          <w:rFonts w:ascii="Abadi" w:hAnsi="Abadi"/>
          <w:sz w:val="21"/>
          <w:szCs w:val="21"/>
          <w:lang w:val="es-MX"/>
        </w:rPr>
        <w:t xml:space="preserve"> Con mucho gusto.</w:t>
      </w:r>
    </w:p>
    <w:p w14:paraId="53091EB1" w14:textId="77777777" w:rsidR="001F3A8E" w:rsidRDefault="001F3A8E" w:rsidP="001F3A8E">
      <w:pPr>
        <w:ind w:firstLine="708"/>
        <w:jc w:val="both"/>
        <w:rPr>
          <w:rFonts w:ascii="Abadi" w:hAnsi="Abadi"/>
          <w:b/>
          <w:bCs/>
          <w:sz w:val="21"/>
          <w:szCs w:val="21"/>
          <w:lang w:val="es-MX"/>
        </w:rPr>
      </w:pPr>
    </w:p>
    <w:p w14:paraId="5FFB5D7F" w14:textId="67ADFB8C" w:rsidR="00357D15" w:rsidRDefault="00357D15" w:rsidP="00364390">
      <w:pPr>
        <w:jc w:val="both"/>
        <w:rPr>
          <w:rFonts w:ascii="Abadi" w:hAnsi="Abadi"/>
          <w:sz w:val="21"/>
          <w:szCs w:val="21"/>
          <w:lang w:val="es-MX"/>
        </w:rPr>
      </w:pPr>
      <w:r w:rsidRPr="00357D15">
        <w:rPr>
          <w:rFonts w:ascii="Abadi" w:hAnsi="Abadi"/>
          <w:b/>
          <w:bCs/>
          <w:sz w:val="21"/>
          <w:szCs w:val="21"/>
          <w:lang w:val="es-MX"/>
        </w:rPr>
        <w:t xml:space="preserve">Diputado David </w:t>
      </w:r>
      <w:r w:rsidR="00506EB1" w:rsidRPr="00357D15">
        <w:rPr>
          <w:rFonts w:ascii="Abadi" w:hAnsi="Abadi"/>
          <w:b/>
          <w:bCs/>
          <w:sz w:val="21"/>
          <w:szCs w:val="21"/>
          <w:lang w:val="es-MX"/>
        </w:rPr>
        <w:t>Martinez</w:t>
      </w:r>
      <w:r w:rsidR="00506EB1" w:rsidRPr="00357D15">
        <w:rPr>
          <w:rFonts w:ascii="Abadi" w:hAnsi="Abadi"/>
          <w:sz w:val="21"/>
          <w:szCs w:val="21"/>
          <w:lang w:val="es-MX"/>
        </w:rPr>
        <w:t>. -</w:t>
      </w:r>
      <w:r w:rsidRPr="00357D15">
        <w:rPr>
          <w:rFonts w:ascii="Abadi" w:hAnsi="Abadi"/>
          <w:sz w:val="21"/>
          <w:szCs w:val="21"/>
          <w:lang w:val="es-MX"/>
        </w:rPr>
        <w:t xml:space="preserve"> Si voy a votar en contra, porque es obvio que el Gobierno Federal ya lo está haciendo, a diferencia de lo que fue el Plan Mérida, el Plan Rápido y Furioso en el límite de los gobiernos de Felipe Calderón y de Peña Nieto, donde realmente no se hizo lo adecuado. Y hay que recordar que por primera vez en la historia, el Canciller Marcelo Ebrard demando a 11 fábricas de fabricantes de armas en Estados Unidos para que no siguieran traficando armas hacia acá. Entonces me parece que es inútil el exhorto porque ya se hace, muchas gracias. </w:t>
      </w:r>
    </w:p>
    <w:p w14:paraId="21DFEE61" w14:textId="77777777" w:rsidR="001F3A8E" w:rsidRPr="00357D15" w:rsidRDefault="001F3A8E" w:rsidP="001F3A8E">
      <w:pPr>
        <w:ind w:firstLine="708"/>
        <w:jc w:val="both"/>
        <w:rPr>
          <w:rFonts w:ascii="Abadi" w:hAnsi="Abadi"/>
          <w:sz w:val="21"/>
          <w:szCs w:val="21"/>
          <w:lang w:val="es-MX"/>
        </w:rPr>
      </w:pPr>
    </w:p>
    <w:p w14:paraId="493EAAC0" w14:textId="7ECFED61" w:rsidR="00357D15" w:rsidRPr="00357D15" w:rsidRDefault="001F3A8E" w:rsidP="001F3A8E">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La Presidencia.-</w:t>
      </w:r>
      <w:r w:rsidR="00357D15" w:rsidRPr="00357D15">
        <w:rPr>
          <w:rFonts w:ascii="Abadi" w:hAnsi="Abadi"/>
          <w:sz w:val="21"/>
          <w:szCs w:val="21"/>
          <w:lang w:val="es-MX"/>
        </w:rPr>
        <w:t xml:space="preserve"> Gracias a usted, diputado. Diputado Cuauhtémoc ¿Para que efecto?</w:t>
      </w:r>
    </w:p>
    <w:p w14:paraId="04296AE2" w14:textId="2F24CDC9" w:rsidR="00357D15" w:rsidRPr="00357D15" w:rsidRDefault="001F3A8E" w:rsidP="001F3A8E">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Diputado Cuauhtémoc.-</w:t>
      </w:r>
      <w:r w:rsidR="00357D15" w:rsidRPr="00357D15">
        <w:rPr>
          <w:rFonts w:ascii="Abadi" w:hAnsi="Abadi"/>
          <w:sz w:val="21"/>
          <w:szCs w:val="21"/>
          <w:lang w:val="es-MX"/>
        </w:rPr>
        <w:t xml:space="preserve"> También para razonar mi voto Presidenta. </w:t>
      </w:r>
    </w:p>
    <w:p w14:paraId="57632F75" w14:textId="77777777" w:rsidR="001F3A8E" w:rsidRDefault="001F3A8E" w:rsidP="00357D15">
      <w:pPr>
        <w:jc w:val="both"/>
        <w:rPr>
          <w:rFonts w:ascii="Abadi" w:hAnsi="Abadi"/>
          <w:b/>
          <w:bCs/>
          <w:sz w:val="21"/>
          <w:szCs w:val="21"/>
          <w:lang w:val="es-MX"/>
        </w:rPr>
      </w:pPr>
    </w:p>
    <w:p w14:paraId="43F61F7E" w14:textId="34A5CAD5" w:rsidR="00357D15" w:rsidRPr="00357D15" w:rsidRDefault="001F3A8E" w:rsidP="001F3A8E">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La Presidencia.-</w:t>
      </w:r>
      <w:r w:rsidR="00357D15" w:rsidRPr="00357D15">
        <w:rPr>
          <w:rFonts w:ascii="Abadi" w:hAnsi="Abadi"/>
          <w:sz w:val="21"/>
          <w:szCs w:val="21"/>
          <w:lang w:val="es-MX"/>
        </w:rPr>
        <w:t xml:space="preserve"> Adelante, diputado.  </w:t>
      </w:r>
    </w:p>
    <w:p w14:paraId="6A3ABD6B" w14:textId="77777777" w:rsidR="00364390" w:rsidRDefault="00364390" w:rsidP="00364390">
      <w:pPr>
        <w:jc w:val="both"/>
        <w:rPr>
          <w:rFonts w:ascii="Abadi" w:hAnsi="Abadi"/>
          <w:b/>
          <w:bCs/>
          <w:sz w:val="21"/>
          <w:szCs w:val="21"/>
          <w:lang w:val="es-MX"/>
        </w:rPr>
      </w:pPr>
    </w:p>
    <w:p w14:paraId="5422F1E0" w14:textId="6051A73E" w:rsidR="00357D15" w:rsidRPr="00357D15" w:rsidRDefault="00357D15" w:rsidP="00364390">
      <w:pPr>
        <w:jc w:val="both"/>
        <w:rPr>
          <w:rFonts w:ascii="Abadi" w:hAnsi="Abadi"/>
          <w:sz w:val="21"/>
          <w:szCs w:val="21"/>
          <w:lang w:val="es-MX"/>
        </w:rPr>
      </w:pPr>
      <w:r w:rsidRPr="00357D15">
        <w:rPr>
          <w:rFonts w:ascii="Abadi" w:hAnsi="Abadi"/>
          <w:b/>
          <w:bCs/>
          <w:sz w:val="21"/>
          <w:szCs w:val="21"/>
          <w:lang w:val="es-MX"/>
        </w:rPr>
        <w:t xml:space="preserve">Diputado </w:t>
      </w:r>
      <w:r w:rsidR="00A21A4F" w:rsidRPr="00357D15">
        <w:rPr>
          <w:rFonts w:ascii="Abadi" w:hAnsi="Abadi"/>
          <w:b/>
          <w:bCs/>
          <w:sz w:val="21"/>
          <w:szCs w:val="21"/>
          <w:lang w:val="es-MX"/>
        </w:rPr>
        <w:t>Cuauhtémoc. -</w:t>
      </w:r>
      <w:r w:rsidRPr="00357D15">
        <w:rPr>
          <w:rFonts w:ascii="Abadi" w:hAnsi="Abadi"/>
          <w:sz w:val="21"/>
          <w:szCs w:val="21"/>
          <w:lang w:val="es-MX"/>
        </w:rPr>
        <w:t xml:space="preserve"> Pues yo también voy a votar en contra porque son claras las acciones que ha emprendido el Gobierno Federal en tal materia. Por ejemplo, se introdujo la resolución en las Naciones Unidas aprobadas en enero por el Consejo de Seguridad con carácter vinculante para asegurar el monitoreo de armas, así como un mayor control fronterizo. Esto, entre otras acciones que ha emprendido el Gobierno federal </w:t>
      </w:r>
    </w:p>
    <w:p w14:paraId="64C179F1" w14:textId="77777777" w:rsidR="008A4731" w:rsidRDefault="008A4731" w:rsidP="00357D15">
      <w:pPr>
        <w:jc w:val="both"/>
        <w:rPr>
          <w:rFonts w:ascii="Abadi" w:hAnsi="Abadi"/>
          <w:sz w:val="21"/>
          <w:szCs w:val="21"/>
          <w:lang w:val="es-MX"/>
        </w:rPr>
      </w:pPr>
    </w:p>
    <w:p w14:paraId="5BA5F4B1" w14:textId="111827BD" w:rsidR="00357D15" w:rsidRPr="00357D15" w:rsidRDefault="008A4731" w:rsidP="008A4731">
      <w:pPr>
        <w:ind w:firstLine="708"/>
        <w:jc w:val="both"/>
        <w:rPr>
          <w:rFonts w:ascii="Abadi" w:hAnsi="Abadi"/>
          <w:sz w:val="21"/>
          <w:szCs w:val="21"/>
          <w:lang w:val="es-MX"/>
        </w:rPr>
      </w:pPr>
      <w:r>
        <w:rPr>
          <w:rFonts w:ascii="Abadi" w:hAnsi="Abadi"/>
          <w:sz w:val="21"/>
          <w:szCs w:val="21"/>
          <w:lang w:val="es-MX"/>
        </w:rPr>
        <w:t xml:space="preserve">- </w:t>
      </w:r>
      <w:r w:rsidR="00357D15" w:rsidRPr="00357D15">
        <w:rPr>
          <w:rFonts w:ascii="Abadi" w:hAnsi="Abadi"/>
          <w:sz w:val="21"/>
          <w:szCs w:val="21"/>
          <w:lang w:val="es-MX"/>
        </w:rPr>
        <w:t>Es cuánto, por lo tanto, mi voto es ¡</w:t>
      </w:r>
      <w:r w:rsidR="001E2A4A">
        <w:rPr>
          <w:rFonts w:ascii="Abadi" w:hAnsi="Abadi"/>
          <w:sz w:val="21"/>
          <w:szCs w:val="21"/>
          <w:lang w:val="es-MX"/>
        </w:rPr>
        <w:t>N</w:t>
      </w:r>
      <w:r w:rsidR="00357D15" w:rsidRPr="00357D15">
        <w:rPr>
          <w:rFonts w:ascii="Abadi" w:hAnsi="Abadi"/>
          <w:sz w:val="21"/>
          <w:szCs w:val="21"/>
          <w:lang w:val="es-MX"/>
        </w:rPr>
        <w:t>o!</w:t>
      </w:r>
    </w:p>
    <w:p w14:paraId="60A36777" w14:textId="77777777" w:rsidR="008A4731" w:rsidRDefault="008A4731" w:rsidP="008A4731">
      <w:pPr>
        <w:ind w:firstLine="708"/>
        <w:jc w:val="both"/>
        <w:rPr>
          <w:rFonts w:ascii="Abadi" w:hAnsi="Abadi"/>
          <w:b/>
          <w:bCs/>
          <w:sz w:val="21"/>
          <w:szCs w:val="21"/>
          <w:lang w:val="es-MX"/>
        </w:rPr>
      </w:pPr>
    </w:p>
    <w:p w14:paraId="08A90DBC" w14:textId="31FDE7F4" w:rsidR="00357D15" w:rsidRPr="00357D15" w:rsidRDefault="00364390" w:rsidP="00364390">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La Presidencia.-</w:t>
      </w:r>
      <w:r w:rsidR="00357D15" w:rsidRPr="00357D15">
        <w:rPr>
          <w:rFonts w:ascii="Abadi" w:hAnsi="Abadi"/>
          <w:sz w:val="21"/>
          <w:szCs w:val="21"/>
          <w:lang w:val="es-MX"/>
        </w:rPr>
        <w:t xml:space="preserve"> </w:t>
      </w:r>
      <w:r>
        <w:rPr>
          <w:rFonts w:ascii="Abadi" w:hAnsi="Abadi"/>
          <w:sz w:val="21"/>
          <w:szCs w:val="21"/>
          <w:lang w:val="es-MX"/>
        </w:rPr>
        <w:t>G</w:t>
      </w:r>
      <w:r w:rsidR="00357D15" w:rsidRPr="00357D15">
        <w:rPr>
          <w:rFonts w:ascii="Abadi" w:hAnsi="Abadi"/>
          <w:sz w:val="21"/>
          <w:szCs w:val="21"/>
          <w:lang w:val="es-MX"/>
        </w:rPr>
        <w:t xml:space="preserve">racias, diputado. </w:t>
      </w:r>
    </w:p>
    <w:p w14:paraId="568809D2" w14:textId="77777777" w:rsidR="008A4731" w:rsidRDefault="008A4731" w:rsidP="00357D15">
      <w:pPr>
        <w:jc w:val="both"/>
        <w:rPr>
          <w:rFonts w:ascii="Abadi" w:hAnsi="Abadi"/>
          <w:sz w:val="21"/>
          <w:szCs w:val="21"/>
          <w:lang w:val="es-MX"/>
        </w:rPr>
      </w:pPr>
    </w:p>
    <w:p w14:paraId="58809A32" w14:textId="7FAB359D" w:rsidR="00357D15" w:rsidRPr="00357D15" w:rsidRDefault="00357D15" w:rsidP="00357D15">
      <w:pPr>
        <w:jc w:val="both"/>
        <w:rPr>
          <w:rFonts w:ascii="Abadi" w:hAnsi="Abadi"/>
          <w:sz w:val="21"/>
          <w:szCs w:val="21"/>
          <w:lang w:val="es-MX"/>
        </w:rPr>
      </w:pPr>
      <w:r w:rsidRPr="00357D15">
        <w:rPr>
          <w:rFonts w:ascii="Abadi" w:hAnsi="Abadi"/>
          <w:sz w:val="21"/>
          <w:szCs w:val="21"/>
          <w:lang w:val="es-MX"/>
        </w:rPr>
        <w:t>¿Falta alguna diputad</w:t>
      </w:r>
      <w:r w:rsidR="001E2A4A">
        <w:rPr>
          <w:rFonts w:ascii="Abadi" w:hAnsi="Abadi"/>
          <w:sz w:val="21"/>
          <w:szCs w:val="21"/>
          <w:lang w:val="es-MX"/>
        </w:rPr>
        <w:t>a</w:t>
      </w:r>
      <w:r w:rsidRPr="00357D15">
        <w:rPr>
          <w:rFonts w:ascii="Abadi" w:hAnsi="Abadi"/>
          <w:sz w:val="21"/>
          <w:szCs w:val="21"/>
          <w:lang w:val="es-MX"/>
        </w:rPr>
        <w:t xml:space="preserve">, algún diputado de emitir su voto? </w:t>
      </w:r>
    </w:p>
    <w:p w14:paraId="268C0A7D" w14:textId="51869C19" w:rsidR="008A4731" w:rsidRDefault="008A4731" w:rsidP="00357D15">
      <w:pPr>
        <w:jc w:val="both"/>
        <w:rPr>
          <w:rFonts w:ascii="Abadi" w:hAnsi="Abadi"/>
          <w:b/>
          <w:bCs/>
          <w:sz w:val="21"/>
          <w:szCs w:val="21"/>
          <w:lang w:val="es-MX"/>
        </w:rPr>
      </w:pPr>
    </w:p>
    <w:p w14:paraId="58A85325" w14:textId="4B52C99F" w:rsidR="00357D15" w:rsidRPr="00357D15" w:rsidRDefault="008A4731" w:rsidP="008A4731">
      <w:pPr>
        <w:jc w:val="center"/>
        <w:rPr>
          <w:rFonts w:ascii="Abadi" w:hAnsi="Abadi"/>
          <w:b/>
          <w:bCs/>
          <w:sz w:val="21"/>
          <w:szCs w:val="21"/>
          <w:lang w:val="es-MX"/>
        </w:rPr>
      </w:pPr>
      <w:r w:rsidRPr="00357D15">
        <w:rPr>
          <w:rFonts w:ascii="Abadi" w:hAnsi="Abadi"/>
          <w:noProof/>
          <w:sz w:val="21"/>
          <w:szCs w:val="21"/>
          <w:lang w:val="es-MX"/>
        </w:rPr>
        <w:drawing>
          <wp:anchor distT="0" distB="0" distL="114300" distR="114300" simplePos="0" relativeHeight="251688960" behindDoc="1" locked="0" layoutInCell="1" allowOverlap="1" wp14:anchorId="4422834E" wp14:editId="5DB5562E">
            <wp:simplePos x="0" y="0"/>
            <wp:positionH relativeFrom="column">
              <wp:posOffset>316865</wp:posOffset>
            </wp:positionH>
            <wp:positionV relativeFrom="paragraph">
              <wp:posOffset>426085</wp:posOffset>
            </wp:positionV>
            <wp:extent cx="2057400" cy="1156970"/>
            <wp:effectExtent l="152400" t="152400" r="361950" b="367030"/>
            <wp:wrapTight wrapText="bothSides">
              <wp:wrapPolygon edited="0">
                <wp:start x="800" y="-2845"/>
                <wp:lineTo x="-1600" y="-2134"/>
                <wp:lineTo x="-1600" y="23117"/>
                <wp:lineTo x="-200" y="26318"/>
                <wp:lineTo x="2000" y="28097"/>
                <wp:lineTo x="21600" y="28097"/>
                <wp:lineTo x="23800" y="26318"/>
                <wp:lineTo x="25200" y="20984"/>
                <wp:lineTo x="25200" y="3557"/>
                <wp:lineTo x="22800" y="-1778"/>
                <wp:lineTo x="22600" y="-2845"/>
                <wp:lineTo x="800" y="-2845"/>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57400" cy="11569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57D15" w:rsidRPr="00357D15">
        <w:rPr>
          <w:rFonts w:ascii="Abadi" w:hAnsi="Abadi"/>
          <w:b/>
          <w:bCs/>
          <w:sz w:val="21"/>
          <w:szCs w:val="21"/>
          <w:lang w:val="es-MX"/>
        </w:rPr>
        <w:t>(Se cierra el sistema electrónico)</w:t>
      </w:r>
    </w:p>
    <w:p w14:paraId="4C8A8A42" w14:textId="00C2C6D7" w:rsidR="00357D15" w:rsidRPr="00357D15" w:rsidRDefault="00357D15" w:rsidP="00357D15">
      <w:pPr>
        <w:jc w:val="both"/>
        <w:rPr>
          <w:rFonts w:ascii="Abadi" w:hAnsi="Abadi"/>
          <w:b/>
          <w:bCs/>
          <w:sz w:val="21"/>
          <w:szCs w:val="21"/>
          <w:lang w:val="es-MX"/>
        </w:rPr>
      </w:pPr>
    </w:p>
    <w:p w14:paraId="79E6DB51" w14:textId="77777777" w:rsidR="00357D15" w:rsidRPr="00357D15" w:rsidRDefault="00357D15" w:rsidP="00357D15">
      <w:pPr>
        <w:jc w:val="both"/>
        <w:rPr>
          <w:rFonts w:ascii="Abadi" w:hAnsi="Abadi"/>
          <w:b/>
          <w:bCs/>
          <w:sz w:val="21"/>
          <w:szCs w:val="21"/>
          <w:lang w:val="es-MX"/>
        </w:rPr>
      </w:pPr>
    </w:p>
    <w:p w14:paraId="2878AE5C" w14:textId="50980569" w:rsidR="00357D15" w:rsidRPr="00357D15" w:rsidRDefault="008A4731" w:rsidP="008A4731">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 xml:space="preserve">La </w:t>
      </w:r>
      <w:r w:rsidRPr="00357D15">
        <w:rPr>
          <w:rFonts w:ascii="Abadi" w:hAnsi="Abadi"/>
          <w:b/>
          <w:bCs/>
          <w:sz w:val="21"/>
          <w:szCs w:val="21"/>
          <w:lang w:val="es-MX"/>
        </w:rPr>
        <w:t>Secretar</w:t>
      </w:r>
      <w:r>
        <w:rPr>
          <w:rFonts w:ascii="Abadi" w:hAnsi="Abadi"/>
          <w:b/>
          <w:bCs/>
          <w:sz w:val="21"/>
          <w:szCs w:val="21"/>
          <w:lang w:val="es-MX"/>
        </w:rPr>
        <w:t>i</w:t>
      </w:r>
      <w:r w:rsidRPr="00357D15">
        <w:rPr>
          <w:rFonts w:ascii="Abadi" w:hAnsi="Abadi"/>
          <w:b/>
          <w:bCs/>
          <w:sz w:val="21"/>
          <w:szCs w:val="21"/>
          <w:lang w:val="es-MX"/>
        </w:rPr>
        <w:t>a.-</w:t>
      </w:r>
      <w:r>
        <w:rPr>
          <w:rFonts w:ascii="Abadi" w:hAnsi="Abadi"/>
          <w:b/>
          <w:bCs/>
          <w:sz w:val="21"/>
          <w:szCs w:val="21"/>
          <w:lang w:val="es-MX"/>
        </w:rPr>
        <w:t xml:space="preserve"> </w:t>
      </w:r>
      <w:r w:rsidR="00357D15" w:rsidRPr="00357D15">
        <w:rPr>
          <w:rFonts w:ascii="Abadi" w:hAnsi="Abadi"/>
          <w:sz w:val="21"/>
          <w:szCs w:val="21"/>
          <w:lang w:val="es-MX"/>
        </w:rPr>
        <w:t xml:space="preserve">Se registraron 26 votos a favor y 8 votos en contra. </w:t>
      </w:r>
    </w:p>
    <w:p w14:paraId="7DEE9FE2" w14:textId="77777777" w:rsidR="008A4731" w:rsidRDefault="008A4731" w:rsidP="008A4731">
      <w:pPr>
        <w:ind w:firstLine="708"/>
        <w:jc w:val="both"/>
        <w:rPr>
          <w:rFonts w:ascii="Abadi" w:hAnsi="Abadi"/>
          <w:b/>
          <w:bCs/>
          <w:sz w:val="21"/>
          <w:szCs w:val="21"/>
          <w:lang w:val="es-MX"/>
        </w:rPr>
      </w:pPr>
    </w:p>
    <w:p w14:paraId="38C5C3AF" w14:textId="1D987C8B" w:rsidR="00357D15" w:rsidRPr="00357D15" w:rsidRDefault="008A4731" w:rsidP="008A4731">
      <w:pPr>
        <w:ind w:firstLine="708"/>
        <w:jc w:val="both"/>
        <w:rPr>
          <w:rFonts w:ascii="Abadi" w:hAnsi="Abadi"/>
          <w:sz w:val="21"/>
          <w:szCs w:val="21"/>
          <w:lang w:val="es-MX"/>
        </w:rPr>
      </w:pPr>
      <w:r>
        <w:rPr>
          <w:rFonts w:ascii="Abadi" w:hAnsi="Abadi"/>
          <w:b/>
          <w:bCs/>
          <w:sz w:val="21"/>
          <w:szCs w:val="21"/>
          <w:lang w:val="es-MX"/>
        </w:rPr>
        <w:t xml:space="preserve">- </w:t>
      </w:r>
      <w:r w:rsidR="00357D15" w:rsidRPr="00357D15">
        <w:rPr>
          <w:rFonts w:ascii="Abadi" w:hAnsi="Abadi"/>
          <w:b/>
          <w:bCs/>
          <w:sz w:val="21"/>
          <w:szCs w:val="21"/>
          <w:lang w:val="es-MX"/>
        </w:rPr>
        <w:t>La Presidencia.-</w:t>
      </w:r>
      <w:r w:rsidR="00357D15" w:rsidRPr="00357D15">
        <w:rPr>
          <w:rFonts w:ascii="Abadi" w:hAnsi="Abadi"/>
          <w:sz w:val="21"/>
          <w:szCs w:val="21"/>
          <w:lang w:val="es-MX"/>
        </w:rPr>
        <w:t xml:space="preserve"> El dictamen ha sido aprobado por mayoría de votos. </w:t>
      </w:r>
    </w:p>
    <w:p w14:paraId="1AE85512" w14:textId="77777777" w:rsidR="008A4731" w:rsidRDefault="008A4731" w:rsidP="00357D15">
      <w:pPr>
        <w:jc w:val="both"/>
        <w:rPr>
          <w:rFonts w:ascii="Abadi" w:hAnsi="Abadi"/>
          <w:sz w:val="21"/>
          <w:szCs w:val="21"/>
          <w:lang w:val="es-MX"/>
        </w:rPr>
      </w:pPr>
    </w:p>
    <w:p w14:paraId="75F68C83" w14:textId="5479F080" w:rsidR="00B66F49" w:rsidRDefault="00357D15" w:rsidP="00B66F49">
      <w:pPr>
        <w:pStyle w:val="Prrafodelista"/>
        <w:numPr>
          <w:ilvl w:val="0"/>
          <w:numId w:val="4"/>
        </w:numPr>
        <w:jc w:val="both"/>
        <w:rPr>
          <w:rFonts w:ascii="Abadi" w:hAnsi="Abadi"/>
          <w:sz w:val="21"/>
          <w:szCs w:val="21"/>
          <w:lang w:val="es-MX"/>
        </w:rPr>
      </w:pPr>
      <w:r w:rsidRPr="00B66F49">
        <w:rPr>
          <w:rFonts w:ascii="Abadi" w:hAnsi="Abadi"/>
          <w:sz w:val="21"/>
          <w:szCs w:val="21"/>
          <w:lang w:val="es-MX"/>
        </w:rPr>
        <w:t>En consecuencia</w:t>
      </w:r>
      <w:r w:rsidR="00B66F49">
        <w:rPr>
          <w:rFonts w:ascii="Abadi" w:hAnsi="Abadi"/>
          <w:sz w:val="21"/>
          <w:szCs w:val="21"/>
          <w:lang w:val="es-MX"/>
        </w:rPr>
        <w:t xml:space="preserve">. </w:t>
      </w:r>
    </w:p>
    <w:p w14:paraId="650C3DA8" w14:textId="77777777" w:rsidR="00B66F49" w:rsidRPr="00B66F49" w:rsidRDefault="00B66F49" w:rsidP="00B66F49">
      <w:pPr>
        <w:pStyle w:val="Prrafodelista"/>
        <w:ind w:left="1069"/>
        <w:jc w:val="both"/>
        <w:rPr>
          <w:rFonts w:ascii="Abadi" w:hAnsi="Abadi"/>
          <w:sz w:val="21"/>
          <w:szCs w:val="21"/>
          <w:lang w:val="es-MX"/>
        </w:rPr>
      </w:pPr>
    </w:p>
    <w:p w14:paraId="15F0D643" w14:textId="0375626C" w:rsidR="00357D15" w:rsidRPr="00357D15" w:rsidRDefault="00B66F49" w:rsidP="00B66F49">
      <w:pPr>
        <w:ind w:left="284" w:right="283"/>
        <w:jc w:val="both"/>
        <w:rPr>
          <w:rFonts w:ascii="Abadi" w:hAnsi="Abadi"/>
          <w:sz w:val="21"/>
          <w:szCs w:val="21"/>
          <w:lang w:val="es-MX"/>
        </w:rPr>
      </w:pPr>
      <w:r>
        <w:rPr>
          <w:rFonts w:ascii="Abadi" w:hAnsi="Abadi"/>
          <w:b/>
          <w:bCs/>
          <w:i/>
          <w:iCs/>
          <w:sz w:val="21"/>
          <w:szCs w:val="21"/>
          <w:u w:val="single"/>
          <w:lang w:val="es-MX"/>
        </w:rPr>
        <w:t>R</w:t>
      </w:r>
      <w:r w:rsidR="00357D15" w:rsidRPr="00357D15">
        <w:rPr>
          <w:rFonts w:ascii="Abadi" w:hAnsi="Abadi"/>
          <w:b/>
          <w:bCs/>
          <w:i/>
          <w:iCs/>
          <w:sz w:val="21"/>
          <w:szCs w:val="21"/>
          <w:u w:val="single"/>
          <w:lang w:val="es-MX"/>
        </w:rPr>
        <w:t>emítase el acuerdo aprobado, junto con su dictamen a los titulares del Poder Ejecutivo de la Federación y de la Fiscalía General de la República para los efectos conducentes.</w:t>
      </w:r>
      <w:r w:rsidR="00357D15" w:rsidRPr="00357D15">
        <w:rPr>
          <w:rFonts w:ascii="Abadi" w:hAnsi="Abadi"/>
          <w:i/>
          <w:iCs/>
          <w:sz w:val="21"/>
          <w:szCs w:val="21"/>
          <w:lang w:val="es-MX"/>
        </w:rPr>
        <w:t xml:space="preserve"> </w:t>
      </w:r>
    </w:p>
    <w:p w14:paraId="7286B1B6" w14:textId="77777777" w:rsidR="00357D15" w:rsidRPr="00357D15" w:rsidRDefault="00357D15" w:rsidP="00B66F49">
      <w:pPr>
        <w:ind w:left="284" w:right="283"/>
        <w:jc w:val="both"/>
        <w:rPr>
          <w:rFonts w:ascii="Abadi" w:hAnsi="Abadi"/>
          <w:sz w:val="21"/>
          <w:szCs w:val="21"/>
        </w:rPr>
      </w:pPr>
    </w:p>
    <w:p w14:paraId="58E4945E" w14:textId="541CC9A4" w:rsidR="00357D15" w:rsidRDefault="00357D15" w:rsidP="006F3002">
      <w:pPr>
        <w:autoSpaceDE w:val="0"/>
        <w:autoSpaceDN w:val="0"/>
        <w:adjustRightInd w:val="0"/>
        <w:jc w:val="both"/>
        <w:rPr>
          <w:rFonts w:ascii="Abadi" w:hAnsi="Abadi"/>
          <w:sz w:val="21"/>
          <w:szCs w:val="21"/>
        </w:rPr>
      </w:pPr>
    </w:p>
    <w:p w14:paraId="6F707D34" w14:textId="77777777" w:rsidR="00357D15" w:rsidRPr="00293312" w:rsidRDefault="00357D15" w:rsidP="006F3002">
      <w:pPr>
        <w:autoSpaceDE w:val="0"/>
        <w:autoSpaceDN w:val="0"/>
        <w:adjustRightInd w:val="0"/>
        <w:jc w:val="both"/>
        <w:rPr>
          <w:rFonts w:ascii="Abadi" w:hAnsi="Abadi" w:cs="Arial-BoldMT"/>
          <w:b/>
          <w:bCs/>
          <w:sz w:val="20"/>
          <w:szCs w:val="21"/>
        </w:rPr>
      </w:pPr>
    </w:p>
    <w:p w14:paraId="1B40CB2D" w14:textId="40FF873B" w:rsidR="006F3002" w:rsidRPr="007E09D1" w:rsidRDefault="006F3002" w:rsidP="008A5E86">
      <w:pPr>
        <w:pStyle w:val="Prrafodelista"/>
        <w:numPr>
          <w:ilvl w:val="0"/>
          <w:numId w:val="8"/>
        </w:numPr>
        <w:autoSpaceDE w:val="0"/>
        <w:autoSpaceDN w:val="0"/>
        <w:adjustRightInd w:val="0"/>
        <w:ind w:left="284"/>
        <w:jc w:val="both"/>
        <w:rPr>
          <w:rFonts w:ascii="Abadi" w:hAnsi="Abadi" w:cs="Arial-BoldMT"/>
          <w:b/>
          <w:bCs/>
          <w:sz w:val="20"/>
          <w:szCs w:val="21"/>
        </w:rPr>
      </w:pPr>
      <w:r w:rsidRPr="007E09D1">
        <w:rPr>
          <w:rFonts w:ascii="Abadi" w:hAnsi="Abadi" w:cs="ArialMT"/>
          <w:b/>
          <w:bCs/>
          <w:sz w:val="20"/>
          <w:szCs w:val="21"/>
        </w:rPr>
        <w:t>DISCUSIÓN Y, EN SU CASO, APROBACIÓN DEL DICTAMEN SUSCRITO POR LA COMISIÓN DE SEGURIDAD PÚBLICA Y COMUNICACIONES RELATIVO A LA PROPUESTA DE PUNTO DE ACUERDO SUSCRITA POR LA DIPUTADA IRMA LETICIA GONZÁLEZ SÁNCHEZ INTEGRANTE DEL GRUPO PARLAMENTARIO DEL PARTIDO MORENA A EFECTO DE EXHORTAR A LOS 46 AYUNTAMIENTOS PARA QUE REVISEN Y ACTUALICEN LOS PROTOCOLOS, REGLAMENTOS Y MANUALES DE PROTECCIÓN CIVIL Y BOMBEROS EN DONDE INCLUYAN APARTADOS DE ANÁLISIS DE RIESGOS PREVENTIVOS, DE LA MISMA FORMA, REEXAMINAR LAS DISPOSICIONES ADMINISTRATIVAS EN LA REALIZACIÓN DE ESPECTÁCULOS PÚBLICOS MASIVOS; AL TITULAR DEL PODER EJECUTIVO A TRAVÉS DE LA SECRETARÍA DE SEGURIDAD PÚBLICA PARA QUE REVISE LOS PERMISOS Y CERTIFICACIONES DE LAS EMPRESAS Y PERSONAL QUE PRESTAN SUS SERVICIOS COMO SEGURIDAD PRIVADA EN EL ESTADO DE GUANAJUATO; Y AL TITULAR DEL PODER EJECUTIVO A TRAVÉS DE LA COMISIÓN DE DEPORTE DEL ESTADO DE GUANAJUATO, PARA QUE INFORME DETALLADAMENTE LAS MEDIDAS ENCAMINADAS A PREVENIR LA VIOLENCIA EN EVENTOS DEPORTIVOS, ASÍ COMO LAS ACCIONES PARA GARANTIZAR EL DESARROLLO PACÍFICO EN LOS RECINTOS DONDE SE CELEBRAN EVENTOS PÚBLICOS MASIVOS.</w:t>
      </w:r>
    </w:p>
    <w:p w14:paraId="25F3B1A2" w14:textId="3C74B526" w:rsidR="007E09D1" w:rsidRDefault="007E09D1" w:rsidP="007E09D1">
      <w:pPr>
        <w:autoSpaceDE w:val="0"/>
        <w:autoSpaceDN w:val="0"/>
        <w:adjustRightInd w:val="0"/>
        <w:jc w:val="both"/>
        <w:rPr>
          <w:rFonts w:ascii="Abadi" w:hAnsi="Abadi" w:cs="Arial-BoldMT"/>
          <w:b/>
          <w:bCs/>
          <w:sz w:val="20"/>
          <w:szCs w:val="21"/>
        </w:rPr>
      </w:pPr>
    </w:p>
    <w:p w14:paraId="64564E11" w14:textId="5DFDC528" w:rsidR="007E09D1" w:rsidRDefault="007E09D1" w:rsidP="007E09D1">
      <w:pPr>
        <w:autoSpaceDE w:val="0"/>
        <w:autoSpaceDN w:val="0"/>
        <w:adjustRightInd w:val="0"/>
        <w:jc w:val="both"/>
        <w:rPr>
          <w:rFonts w:ascii="Abadi" w:hAnsi="Abadi" w:cs="Arial-BoldMT"/>
          <w:b/>
          <w:bCs/>
          <w:sz w:val="20"/>
          <w:szCs w:val="21"/>
        </w:rPr>
      </w:pPr>
    </w:p>
    <w:p w14:paraId="6B816758" w14:textId="5E6696AD" w:rsidR="007E09D1" w:rsidRDefault="007E09D1" w:rsidP="007E09D1">
      <w:pPr>
        <w:autoSpaceDE w:val="0"/>
        <w:autoSpaceDN w:val="0"/>
        <w:adjustRightInd w:val="0"/>
        <w:jc w:val="both"/>
        <w:rPr>
          <w:rFonts w:ascii="Abadi" w:hAnsi="Abadi" w:cs="Arial-BoldMT"/>
          <w:b/>
          <w:bCs/>
          <w:sz w:val="20"/>
          <w:szCs w:val="21"/>
        </w:rPr>
      </w:pPr>
    </w:p>
    <w:p w14:paraId="1D2EB1BD" w14:textId="6FD5681C" w:rsidR="005C0E00" w:rsidRPr="004F6FF5" w:rsidRDefault="005C0E00" w:rsidP="005C0E00">
      <w:pPr>
        <w:autoSpaceDE w:val="0"/>
        <w:autoSpaceDN w:val="0"/>
        <w:adjustRightInd w:val="0"/>
        <w:jc w:val="both"/>
        <w:rPr>
          <w:rFonts w:ascii="Abadi" w:hAnsi="Abadi" w:cs="*Arial-Bold-8139-Identity-H"/>
          <w:b/>
          <w:bCs/>
          <w:color w:val="14131F"/>
          <w:sz w:val="21"/>
          <w:szCs w:val="21"/>
        </w:rPr>
      </w:pPr>
      <w:r w:rsidRPr="004F6FF5">
        <w:rPr>
          <w:rFonts w:ascii="Abadi" w:hAnsi="Abadi" w:cs="*Arial-Bold-8139-Identity-H"/>
          <w:b/>
          <w:bCs/>
          <w:color w:val="14131F"/>
          <w:sz w:val="21"/>
          <w:szCs w:val="21"/>
        </w:rPr>
        <w:t>Presidencia de la Mesa Directiva</w:t>
      </w:r>
      <w:r w:rsidR="00C638C0">
        <w:rPr>
          <w:rFonts w:ascii="Abadi" w:hAnsi="Abadi" w:cs="*Arial-Bold-8139-Identity-H"/>
          <w:b/>
          <w:bCs/>
          <w:color w:val="14131F"/>
          <w:sz w:val="21"/>
          <w:szCs w:val="21"/>
        </w:rPr>
        <w:t xml:space="preserve"> </w:t>
      </w:r>
    </w:p>
    <w:p w14:paraId="23656F3C" w14:textId="77777777" w:rsidR="005C0E00" w:rsidRPr="004F6FF5" w:rsidRDefault="005C0E00" w:rsidP="00C638C0">
      <w:pPr>
        <w:autoSpaceDE w:val="0"/>
        <w:autoSpaceDN w:val="0"/>
        <w:adjustRightInd w:val="0"/>
        <w:ind w:firstLine="426"/>
        <w:jc w:val="both"/>
        <w:rPr>
          <w:rFonts w:ascii="Abadi" w:hAnsi="Abadi" w:cs="*Arial-Bold-8139-Identity-H"/>
          <w:b/>
          <w:bCs/>
          <w:color w:val="14131F"/>
          <w:sz w:val="21"/>
          <w:szCs w:val="21"/>
        </w:rPr>
      </w:pPr>
      <w:r w:rsidRPr="004F6FF5">
        <w:rPr>
          <w:rFonts w:ascii="Abadi" w:hAnsi="Abadi" w:cs="*Arial-Bold-8139-Identity-H"/>
          <w:b/>
          <w:bCs/>
          <w:color w:val="14131F"/>
          <w:sz w:val="21"/>
          <w:szCs w:val="21"/>
        </w:rPr>
        <w:t>Congreso del Estado</w:t>
      </w:r>
    </w:p>
    <w:p w14:paraId="056926E5" w14:textId="77777777" w:rsidR="005C0E00" w:rsidRDefault="005C0E00" w:rsidP="00C638C0">
      <w:pPr>
        <w:autoSpaceDE w:val="0"/>
        <w:autoSpaceDN w:val="0"/>
        <w:adjustRightInd w:val="0"/>
        <w:ind w:firstLine="426"/>
        <w:jc w:val="both"/>
        <w:rPr>
          <w:rFonts w:ascii="Abadi" w:hAnsi="Abadi" w:cs="*Arial-Bold-8139-Identity-H"/>
          <w:b/>
          <w:bCs/>
          <w:color w:val="14141F"/>
          <w:sz w:val="21"/>
          <w:szCs w:val="21"/>
        </w:rPr>
      </w:pPr>
      <w:r w:rsidRPr="004F6FF5">
        <w:rPr>
          <w:rFonts w:ascii="Abadi" w:hAnsi="Abadi" w:cs="*Arial-Bold-8139-Identity-H"/>
          <w:b/>
          <w:bCs/>
          <w:color w:val="14141F"/>
          <w:sz w:val="21"/>
          <w:szCs w:val="21"/>
        </w:rPr>
        <w:t>Presente</w:t>
      </w:r>
    </w:p>
    <w:p w14:paraId="2E05C75B" w14:textId="77777777" w:rsidR="005C0E00" w:rsidRPr="004F6FF5" w:rsidRDefault="005C0E00" w:rsidP="005C0E00">
      <w:pPr>
        <w:autoSpaceDE w:val="0"/>
        <w:autoSpaceDN w:val="0"/>
        <w:adjustRightInd w:val="0"/>
        <w:jc w:val="both"/>
        <w:rPr>
          <w:rFonts w:ascii="Abadi" w:hAnsi="Abadi" w:cs="*Arial-Bold-8139-Identity-H"/>
          <w:b/>
          <w:bCs/>
          <w:color w:val="14141F"/>
          <w:sz w:val="21"/>
          <w:szCs w:val="21"/>
        </w:rPr>
      </w:pPr>
    </w:p>
    <w:p w14:paraId="2EBDAF53" w14:textId="77777777" w:rsidR="005C0E00" w:rsidRDefault="005C0E00" w:rsidP="005C0E00">
      <w:pPr>
        <w:autoSpaceDE w:val="0"/>
        <w:autoSpaceDN w:val="0"/>
        <w:adjustRightInd w:val="0"/>
        <w:jc w:val="both"/>
        <w:rPr>
          <w:rFonts w:ascii="Abadi" w:hAnsi="Abadi" w:cs="*Arial-8140-Identity-H"/>
          <w:color w:val="14141C"/>
          <w:sz w:val="21"/>
          <w:szCs w:val="21"/>
        </w:rPr>
      </w:pPr>
      <w:r w:rsidRPr="004F6FF5">
        <w:rPr>
          <w:rFonts w:ascii="Abadi" w:hAnsi="Abadi" w:cs="*Arial-8140-Identity-H"/>
          <w:color w:val="14141C"/>
          <w:sz w:val="21"/>
          <w:szCs w:val="21"/>
        </w:rPr>
        <w:t>Correspondió a esta Comisión de Seguridad Pública y Comunicaciones analizar y</w:t>
      </w:r>
      <w:r>
        <w:rPr>
          <w:rFonts w:ascii="Abadi" w:hAnsi="Abadi" w:cs="*Arial-8140-Identity-H"/>
          <w:color w:val="14141C"/>
          <w:sz w:val="21"/>
          <w:szCs w:val="21"/>
        </w:rPr>
        <w:t xml:space="preserve"> </w:t>
      </w:r>
      <w:r w:rsidRPr="004F6FF5">
        <w:rPr>
          <w:rFonts w:ascii="Abadi" w:hAnsi="Abadi" w:cs="*Arial-8140-Identity-H"/>
          <w:color w:val="14141C"/>
          <w:sz w:val="21"/>
          <w:szCs w:val="21"/>
        </w:rPr>
        <w:t>dictaminar la propuesta de punto de acuerdo suscrita por la diputada lrma Leticia</w:t>
      </w:r>
      <w:r>
        <w:rPr>
          <w:rFonts w:ascii="Abadi" w:hAnsi="Abadi" w:cs="*Arial-8140-Identity-H"/>
          <w:color w:val="14141C"/>
          <w:sz w:val="21"/>
          <w:szCs w:val="21"/>
        </w:rPr>
        <w:t xml:space="preserve"> </w:t>
      </w:r>
      <w:r w:rsidRPr="004F6FF5">
        <w:rPr>
          <w:rFonts w:ascii="Abadi" w:hAnsi="Abadi" w:cs="*Arial-8140-Identity-H"/>
          <w:color w:val="14141C"/>
          <w:sz w:val="21"/>
          <w:szCs w:val="21"/>
        </w:rPr>
        <w:t>González Sánchez integrante del Grupo Parlamentario del Partido MORENA a</w:t>
      </w:r>
      <w:r>
        <w:rPr>
          <w:rFonts w:ascii="Abadi" w:hAnsi="Abadi" w:cs="*Arial-8140-Identity-H"/>
          <w:color w:val="14141C"/>
          <w:sz w:val="21"/>
          <w:szCs w:val="21"/>
        </w:rPr>
        <w:t xml:space="preserve"> </w:t>
      </w:r>
      <w:r w:rsidRPr="004F6FF5">
        <w:rPr>
          <w:rFonts w:ascii="Abadi" w:hAnsi="Abadi" w:cs="*Arial-8140-Identity-H"/>
          <w:color w:val="14141C"/>
          <w:sz w:val="21"/>
          <w:szCs w:val="21"/>
        </w:rPr>
        <w:t>efecto de exhortar a los 46 Ayuntamientos para que revisen y actualicen los</w:t>
      </w:r>
      <w:r>
        <w:rPr>
          <w:rFonts w:ascii="Abadi" w:hAnsi="Abadi" w:cs="*Arial-8140-Identity-H"/>
          <w:color w:val="14141C"/>
          <w:sz w:val="21"/>
          <w:szCs w:val="21"/>
        </w:rPr>
        <w:t xml:space="preserve"> </w:t>
      </w:r>
      <w:r w:rsidRPr="004F6FF5">
        <w:rPr>
          <w:rFonts w:ascii="Abadi" w:hAnsi="Abadi" w:cs="*Arial-8140-Identity-H"/>
          <w:color w:val="14141C"/>
          <w:sz w:val="21"/>
          <w:szCs w:val="21"/>
        </w:rPr>
        <w:t>protocolos, reglamentos y manuales de Protección Civil y Bomberos en donde</w:t>
      </w:r>
      <w:r>
        <w:rPr>
          <w:rFonts w:ascii="Abadi" w:hAnsi="Abadi" w:cs="*Arial-8140-Identity-H"/>
          <w:color w:val="14141C"/>
          <w:sz w:val="21"/>
          <w:szCs w:val="21"/>
        </w:rPr>
        <w:t xml:space="preserve"> </w:t>
      </w:r>
      <w:r w:rsidRPr="004F6FF5">
        <w:rPr>
          <w:rFonts w:ascii="Abadi" w:hAnsi="Abadi" w:cs="*Arial-8140-Identity-H"/>
          <w:color w:val="14141C"/>
          <w:sz w:val="21"/>
          <w:szCs w:val="21"/>
        </w:rPr>
        <w:t>incluyan apartados de análisis de riesgos preventivos, de la misma forma,</w:t>
      </w:r>
      <w:r>
        <w:rPr>
          <w:rFonts w:ascii="Abadi" w:hAnsi="Abadi" w:cs="*Arial-8140-Identity-H"/>
          <w:color w:val="14141C"/>
          <w:sz w:val="21"/>
          <w:szCs w:val="21"/>
        </w:rPr>
        <w:t xml:space="preserve"> </w:t>
      </w:r>
      <w:r w:rsidRPr="004F6FF5">
        <w:rPr>
          <w:rFonts w:ascii="Abadi" w:hAnsi="Abadi" w:cs="*Arial-8140-Identity-H"/>
          <w:color w:val="14141C"/>
          <w:sz w:val="21"/>
          <w:szCs w:val="21"/>
        </w:rPr>
        <w:t>reexaminar las disposiciones administrativas en la realización de espectáculos</w:t>
      </w:r>
      <w:r>
        <w:rPr>
          <w:rFonts w:ascii="Abadi" w:hAnsi="Abadi" w:cs="*Arial-8140-Identity-H"/>
          <w:color w:val="14141C"/>
          <w:sz w:val="21"/>
          <w:szCs w:val="21"/>
        </w:rPr>
        <w:t xml:space="preserve"> </w:t>
      </w:r>
      <w:r w:rsidRPr="004F6FF5">
        <w:rPr>
          <w:rFonts w:ascii="Abadi" w:hAnsi="Abadi" w:cs="*Arial-8140-Identity-H"/>
          <w:color w:val="14141C"/>
          <w:sz w:val="21"/>
          <w:szCs w:val="21"/>
        </w:rPr>
        <w:t>públicos masivos; al titular del Poder Ejecutivo a través de la Secretaría de</w:t>
      </w:r>
      <w:r>
        <w:rPr>
          <w:rFonts w:ascii="Abadi" w:hAnsi="Abadi" w:cs="*Arial-8140-Identity-H"/>
          <w:color w:val="14141C"/>
          <w:sz w:val="21"/>
          <w:szCs w:val="21"/>
        </w:rPr>
        <w:t xml:space="preserve"> </w:t>
      </w:r>
      <w:r w:rsidRPr="004F6FF5">
        <w:rPr>
          <w:rFonts w:ascii="Abadi" w:hAnsi="Abadi" w:cs="*Arial-8140-Identity-H"/>
          <w:color w:val="14141C"/>
          <w:sz w:val="21"/>
          <w:szCs w:val="21"/>
        </w:rPr>
        <w:t>Seguridad Pública para que revise los permisos y certificaciones de las empresas y</w:t>
      </w:r>
      <w:r>
        <w:rPr>
          <w:rFonts w:ascii="Abadi" w:hAnsi="Abadi" w:cs="*Arial-8140-Identity-H"/>
          <w:color w:val="14141C"/>
          <w:sz w:val="21"/>
          <w:szCs w:val="21"/>
        </w:rPr>
        <w:t xml:space="preserve"> </w:t>
      </w:r>
      <w:r w:rsidRPr="004F6FF5">
        <w:rPr>
          <w:rFonts w:ascii="Abadi" w:hAnsi="Abadi" w:cs="*Arial-8140-Identity-H"/>
          <w:color w:val="14141C"/>
          <w:sz w:val="21"/>
          <w:szCs w:val="21"/>
        </w:rPr>
        <w:t>personal que prestan sus servicios como seguridad privada en el Estado de</w:t>
      </w:r>
      <w:r>
        <w:rPr>
          <w:rFonts w:ascii="Abadi" w:hAnsi="Abadi" w:cs="*Arial-8140-Identity-H"/>
          <w:color w:val="14141C"/>
          <w:sz w:val="21"/>
          <w:szCs w:val="21"/>
        </w:rPr>
        <w:t xml:space="preserve"> </w:t>
      </w:r>
      <w:r w:rsidRPr="004F6FF5">
        <w:rPr>
          <w:rFonts w:ascii="Abadi" w:hAnsi="Abadi" w:cs="*Arial-8140-Identity-H"/>
          <w:color w:val="14141C"/>
          <w:sz w:val="21"/>
          <w:szCs w:val="21"/>
        </w:rPr>
        <w:t>Guanajuato; y al titular del Poder Ejecutivo a través de la Comisión de Deporte del</w:t>
      </w:r>
      <w:r>
        <w:rPr>
          <w:rFonts w:ascii="Abadi" w:hAnsi="Abadi" w:cs="*Arial-8140-Identity-H"/>
          <w:color w:val="14141C"/>
          <w:sz w:val="21"/>
          <w:szCs w:val="21"/>
        </w:rPr>
        <w:t xml:space="preserve"> </w:t>
      </w:r>
      <w:r w:rsidRPr="004F6FF5">
        <w:rPr>
          <w:rFonts w:ascii="Abadi" w:hAnsi="Abadi" w:cs="*Arial-8140-Identity-H"/>
          <w:color w:val="14141C"/>
          <w:sz w:val="21"/>
          <w:szCs w:val="21"/>
        </w:rPr>
        <w:t>Estado de Guanajuato, para que informe detalladamente las medidas encaminadas</w:t>
      </w:r>
      <w:r>
        <w:rPr>
          <w:rFonts w:ascii="Abadi" w:hAnsi="Abadi" w:cs="*Arial-8140-Identity-H"/>
          <w:color w:val="14141C"/>
          <w:sz w:val="21"/>
          <w:szCs w:val="21"/>
        </w:rPr>
        <w:t xml:space="preserve"> </w:t>
      </w:r>
      <w:r w:rsidRPr="004F6FF5">
        <w:rPr>
          <w:rFonts w:ascii="Abadi" w:hAnsi="Abadi" w:cs="*Arial-8140-Identity-H"/>
          <w:color w:val="14141C"/>
          <w:sz w:val="21"/>
          <w:szCs w:val="21"/>
        </w:rPr>
        <w:t>a prevenir la violencia en eventos deportivos, así como las acciones para garantizar</w:t>
      </w:r>
      <w:r>
        <w:rPr>
          <w:rFonts w:ascii="Abadi" w:hAnsi="Abadi" w:cs="*Arial-8140-Identity-H"/>
          <w:color w:val="14141C"/>
          <w:sz w:val="21"/>
          <w:szCs w:val="21"/>
        </w:rPr>
        <w:t xml:space="preserve"> </w:t>
      </w:r>
      <w:r w:rsidRPr="004F6FF5">
        <w:rPr>
          <w:rFonts w:ascii="Abadi" w:hAnsi="Abadi" w:cs="*Arial-8140-Identity-H"/>
          <w:color w:val="14141C"/>
          <w:sz w:val="21"/>
          <w:szCs w:val="21"/>
        </w:rPr>
        <w:t>el desarrollo pacífico en los recintos donde se celebran eventos públicos masivos.</w:t>
      </w:r>
      <w:r>
        <w:rPr>
          <w:rFonts w:ascii="Abadi" w:hAnsi="Abadi" w:cs="*Arial-8140-Identity-H"/>
          <w:color w:val="14141C"/>
          <w:sz w:val="21"/>
          <w:szCs w:val="21"/>
        </w:rPr>
        <w:t xml:space="preserve"> </w:t>
      </w:r>
    </w:p>
    <w:p w14:paraId="3DFBBEA5" w14:textId="77777777" w:rsidR="005C0E00" w:rsidRPr="004F6FF5" w:rsidRDefault="005C0E00" w:rsidP="005C0E00">
      <w:pPr>
        <w:autoSpaceDE w:val="0"/>
        <w:autoSpaceDN w:val="0"/>
        <w:adjustRightInd w:val="0"/>
        <w:jc w:val="both"/>
        <w:rPr>
          <w:rFonts w:ascii="Abadi" w:hAnsi="Abadi" w:cs="*Arial-8140-Identity-H"/>
          <w:color w:val="14141C"/>
          <w:sz w:val="21"/>
          <w:szCs w:val="21"/>
        </w:rPr>
      </w:pPr>
    </w:p>
    <w:p w14:paraId="7DCDA252" w14:textId="77777777" w:rsidR="005C0E00" w:rsidRPr="004F6FF5" w:rsidRDefault="005C0E00" w:rsidP="005C0E00">
      <w:pPr>
        <w:autoSpaceDE w:val="0"/>
        <w:autoSpaceDN w:val="0"/>
        <w:adjustRightInd w:val="0"/>
        <w:jc w:val="both"/>
        <w:rPr>
          <w:rFonts w:ascii="Abadi" w:hAnsi="Abadi" w:cs="*Arial-8140-Identity-H"/>
          <w:color w:val="15141D"/>
          <w:sz w:val="21"/>
          <w:szCs w:val="21"/>
        </w:rPr>
      </w:pPr>
      <w:r w:rsidRPr="004F6FF5">
        <w:rPr>
          <w:rFonts w:ascii="Abadi" w:hAnsi="Abadi" w:cs="*Arial-8140-Identity-H"/>
          <w:color w:val="15141D"/>
          <w:sz w:val="21"/>
          <w:szCs w:val="21"/>
        </w:rPr>
        <w:t>Agotado su estudio y discusión, con fundamento en el artículo 119 fracción II y 180</w:t>
      </w:r>
      <w:r>
        <w:rPr>
          <w:rFonts w:ascii="Abadi" w:hAnsi="Abadi" w:cs="*Arial-8140-Identity-H"/>
          <w:color w:val="15141D"/>
          <w:sz w:val="21"/>
          <w:szCs w:val="21"/>
        </w:rPr>
        <w:t xml:space="preserve"> </w:t>
      </w:r>
      <w:r w:rsidRPr="004F6FF5">
        <w:rPr>
          <w:rFonts w:ascii="Abadi" w:hAnsi="Abadi" w:cs="*Arial-8140-Identity-H"/>
          <w:color w:val="15141D"/>
          <w:sz w:val="21"/>
          <w:szCs w:val="21"/>
        </w:rPr>
        <w:t>de la Ley Orgánica del Poder Legislativo del Estado de Guanajuato, se procede a</w:t>
      </w:r>
      <w:r>
        <w:rPr>
          <w:rFonts w:ascii="Abadi" w:hAnsi="Abadi" w:cs="*Arial-8140-Identity-H"/>
          <w:color w:val="15141D"/>
          <w:sz w:val="21"/>
          <w:szCs w:val="21"/>
        </w:rPr>
        <w:t xml:space="preserve"> </w:t>
      </w:r>
      <w:r w:rsidRPr="004F6FF5">
        <w:rPr>
          <w:rFonts w:ascii="Abadi" w:hAnsi="Abadi" w:cs="*Arial-8140-Identity-H"/>
          <w:color w:val="15141D"/>
          <w:sz w:val="21"/>
          <w:szCs w:val="21"/>
        </w:rPr>
        <w:t>realizar el siguiente:</w:t>
      </w:r>
    </w:p>
    <w:p w14:paraId="54D91096" w14:textId="77777777" w:rsidR="005C0E00" w:rsidRDefault="005C0E00" w:rsidP="005C0E00">
      <w:pPr>
        <w:jc w:val="both"/>
        <w:rPr>
          <w:rFonts w:ascii="Abadi" w:hAnsi="Abadi" w:cs="*Arial-Bold-8139-Identity-H"/>
          <w:b/>
          <w:bCs/>
          <w:color w:val="151420"/>
          <w:sz w:val="21"/>
          <w:szCs w:val="21"/>
        </w:rPr>
      </w:pPr>
    </w:p>
    <w:p w14:paraId="265E1A71" w14:textId="77777777" w:rsidR="005C0E00" w:rsidRDefault="005C0E00" w:rsidP="005C0E00">
      <w:pPr>
        <w:ind w:firstLine="708"/>
        <w:jc w:val="center"/>
        <w:rPr>
          <w:rFonts w:ascii="Abadi" w:hAnsi="Abadi" w:cs="*Arial-Bold-8139-Identity-H"/>
          <w:b/>
          <w:bCs/>
          <w:color w:val="151420"/>
          <w:sz w:val="21"/>
          <w:szCs w:val="21"/>
        </w:rPr>
      </w:pPr>
      <w:r>
        <w:rPr>
          <w:rFonts w:ascii="*Arial-Bold-8139-Identity-H" w:hAnsi="*Arial-Bold-8139-Identity-H" w:cs="*Arial-Bold-8139-Identity-H"/>
          <w:b/>
          <w:bCs/>
          <w:color w:val="15141F"/>
        </w:rPr>
        <w:t>D i c t a m e n</w:t>
      </w:r>
    </w:p>
    <w:p w14:paraId="032933A0" w14:textId="77777777" w:rsidR="005C0E00" w:rsidRDefault="005C0E00" w:rsidP="005C0E00">
      <w:pPr>
        <w:ind w:firstLine="708"/>
        <w:jc w:val="both"/>
        <w:rPr>
          <w:rFonts w:ascii="Abadi" w:hAnsi="Abadi" w:cs="*Arial-Bold-8139-Identity-H"/>
          <w:b/>
          <w:bCs/>
          <w:color w:val="151420"/>
          <w:sz w:val="21"/>
          <w:szCs w:val="21"/>
        </w:rPr>
      </w:pPr>
    </w:p>
    <w:p w14:paraId="5EAE3B0B" w14:textId="77777777" w:rsidR="005C0E00" w:rsidRPr="004F6FF5" w:rsidRDefault="005C0E00" w:rsidP="005C0E00">
      <w:pPr>
        <w:ind w:firstLine="708"/>
        <w:jc w:val="both"/>
        <w:rPr>
          <w:rFonts w:ascii="Abadi" w:hAnsi="Abadi" w:cs="*Arial-Bold-8139-Identity-H"/>
          <w:b/>
          <w:bCs/>
          <w:color w:val="151420"/>
          <w:sz w:val="21"/>
          <w:szCs w:val="21"/>
        </w:rPr>
      </w:pPr>
      <w:r w:rsidRPr="004F6FF5">
        <w:rPr>
          <w:rFonts w:ascii="Abadi" w:hAnsi="Abadi" w:cs="*Arial-Bold-8139-Identity-H"/>
          <w:b/>
          <w:bCs/>
          <w:color w:val="151420"/>
          <w:sz w:val="21"/>
          <w:szCs w:val="21"/>
        </w:rPr>
        <w:t>l. Antecedentes.</w:t>
      </w:r>
    </w:p>
    <w:p w14:paraId="5D1BFE7F" w14:textId="77777777" w:rsidR="005C0E00" w:rsidRPr="004F6FF5" w:rsidRDefault="005C0E00" w:rsidP="005C0E00">
      <w:pPr>
        <w:jc w:val="both"/>
        <w:rPr>
          <w:rFonts w:ascii="Abadi" w:hAnsi="Abadi" w:cs="*Arial-Bold-8139-Identity-H"/>
          <w:b/>
          <w:bCs/>
          <w:color w:val="151420"/>
          <w:sz w:val="21"/>
          <w:szCs w:val="21"/>
        </w:rPr>
      </w:pPr>
    </w:p>
    <w:p w14:paraId="15FF3564" w14:textId="77777777" w:rsidR="005C0E00" w:rsidRPr="004F6FF5" w:rsidRDefault="005C0E00" w:rsidP="005C0E00">
      <w:pPr>
        <w:autoSpaceDE w:val="0"/>
        <w:autoSpaceDN w:val="0"/>
        <w:adjustRightInd w:val="0"/>
        <w:jc w:val="both"/>
        <w:rPr>
          <w:rFonts w:ascii="Abadi" w:hAnsi="Abadi" w:cs="*Arial-8129-Identity-H"/>
          <w:color w:val="14131B"/>
          <w:sz w:val="21"/>
          <w:szCs w:val="21"/>
        </w:rPr>
      </w:pPr>
      <w:r w:rsidRPr="004F6FF5">
        <w:rPr>
          <w:rFonts w:ascii="Abadi" w:hAnsi="Abadi" w:cs="*Arial-8129-Identity-H"/>
          <w:color w:val="14131B"/>
          <w:sz w:val="21"/>
          <w:szCs w:val="21"/>
        </w:rPr>
        <w:t>La propuesta de acuerdo fue presentada en la sesión ordinaria celebrada en fecha</w:t>
      </w:r>
      <w:r>
        <w:rPr>
          <w:rFonts w:ascii="Abadi" w:hAnsi="Abadi" w:cs="*Arial-8129-Identity-H"/>
          <w:color w:val="14131B"/>
          <w:sz w:val="21"/>
          <w:szCs w:val="21"/>
        </w:rPr>
        <w:t xml:space="preserve"> 10</w:t>
      </w:r>
      <w:r w:rsidRPr="004F6FF5">
        <w:rPr>
          <w:rFonts w:ascii="Abadi" w:hAnsi="Abadi" w:cs="*Arial-8129-Identity-H"/>
          <w:color w:val="14131B"/>
          <w:sz w:val="21"/>
          <w:szCs w:val="21"/>
        </w:rPr>
        <w:t xml:space="preserve"> de marzo de 2022. Su radicación se realizó en reunión de la Comisión de</w:t>
      </w:r>
      <w:r>
        <w:rPr>
          <w:rFonts w:ascii="Abadi" w:hAnsi="Abadi" w:cs="*Arial-8129-Identity-H"/>
          <w:color w:val="14131B"/>
          <w:sz w:val="21"/>
          <w:szCs w:val="21"/>
        </w:rPr>
        <w:t xml:space="preserve"> </w:t>
      </w:r>
      <w:r w:rsidRPr="004F6FF5">
        <w:rPr>
          <w:rFonts w:ascii="Abadi" w:hAnsi="Abadi" w:cs="*Arial-8129-Identity-H"/>
          <w:color w:val="14131B"/>
          <w:sz w:val="21"/>
          <w:szCs w:val="21"/>
        </w:rPr>
        <w:t>Seguridad Pública y Comunicaciones el día 22 de marzo del 2022.</w:t>
      </w:r>
    </w:p>
    <w:p w14:paraId="7AAFFC57" w14:textId="77777777" w:rsidR="005C0E00" w:rsidRDefault="005C0E00" w:rsidP="005C0E00">
      <w:pPr>
        <w:autoSpaceDE w:val="0"/>
        <w:autoSpaceDN w:val="0"/>
        <w:adjustRightInd w:val="0"/>
        <w:jc w:val="both"/>
        <w:rPr>
          <w:rFonts w:ascii="Abadi" w:hAnsi="Abadi" w:cs="*Arial-Bold-8130-Identity-H"/>
          <w:b/>
          <w:bCs/>
          <w:color w:val="14131E"/>
          <w:sz w:val="21"/>
          <w:szCs w:val="21"/>
        </w:rPr>
      </w:pPr>
    </w:p>
    <w:p w14:paraId="4C708C97" w14:textId="77777777" w:rsidR="005C0E00" w:rsidRDefault="005C0E00" w:rsidP="005C0E00">
      <w:pPr>
        <w:autoSpaceDE w:val="0"/>
        <w:autoSpaceDN w:val="0"/>
        <w:adjustRightInd w:val="0"/>
        <w:ind w:firstLine="708"/>
        <w:jc w:val="both"/>
        <w:rPr>
          <w:rFonts w:ascii="Abadi" w:hAnsi="Abadi" w:cs="*Arial-Bold-8130-Identity-H"/>
          <w:b/>
          <w:bCs/>
          <w:color w:val="14131E"/>
          <w:sz w:val="21"/>
          <w:szCs w:val="21"/>
        </w:rPr>
      </w:pPr>
      <w:r>
        <w:rPr>
          <w:rFonts w:ascii="Abadi" w:hAnsi="Abadi" w:cs="*Arial-Bold-8130-Identity-H"/>
          <w:b/>
          <w:bCs/>
          <w:color w:val="14131E"/>
          <w:sz w:val="21"/>
          <w:szCs w:val="21"/>
        </w:rPr>
        <w:t>II</w:t>
      </w:r>
      <w:r w:rsidRPr="004F6FF5">
        <w:rPr>
          <w:rFonts w:ascii="Abadi" w:hAnsi="Abadi" w:cs="*Arial-Bold-8130-Identity-H"/>
          <w:b/>
          <w:bCs/>
          <w:color w:val="14131E"/>
          <w:sz w:val="21"/>
          <w:szCs w:val="21"/>
        </w:rPr>
        <w:t>. Consideraciones de quien propone.</w:t>
      </w:r>
    </w:p>
    <w:p w14:paraId="14CE67C8" w14:textId="77777777" w:rsidR="005C0E00" w:rsidRPr="004F6FF5" w:rsidRDefault="005C0E00" w:rsidP="005C0E00">
      <w:pPr>
        <w:autoSpaceDE w:val="0"/>
        <w:autoSpaceDN w:val="0"/>
        <w:adjustRightInd w:val="0"/>
        <w:jc w:val="both"/>
        <w:rPr>
          <w:rFonts w:ascii="Abadi" w:hAnsi="Abadi" w:cs="*Arial-Bold-8130-Identity-H"/>
          <w:b/>
          <w:bCs/>
          <w:color w:val="14131E"/>
          <w:sz w:val="21"/>
          <w:szCs w:val="21"/>
        </w:rPr>
      </w:pPr>
    </w:p>
    <w:p w14:paraId="4D701ED9" w14:textId="77777777" w:rsidR="005C0E00" w:rsidRDefault="005C0E00" w:rsidP="005C0E00">
      <w:pPr>
        <w:autoSpaceDE w:val="0"/>
        <w:autoSpaceDN w:val="0"/>
        <w:adjustRightInd w:val="0"/>
        <w:jc w:val="both"/>
        <w:rPr>
          <w:rFonts w:ascii="Abadi" w:hAnsi="Abadi" w:cs="*Arial-8129-Identity-H"/>
          <w:color w:val="14131B"/>
          <w:sz w:val="21"/>
          <w:szCs w:val="21"/>
        </w:rPr>
      </w:pPr>
      <w:r w:rsidRPr="004F6FF5">
        <w:rPr>
          <w:rFonts w:ascii="Abadi" w:hAnsi="Abadi" w:cs="*Arial-8129-Identity-H"/>
          <w:color w:val="14131B"/>
          <w:sz w:val="21"/>
          <w:szCs w:val="21"/>
        </w:rPr>
        <w:t>El deporte es considerado como un transformador de vidas, una herramienta clave</w:t>
      </w:r>
      <w:r>
        <w:rPr>
          <w:rFonts w:ascii="Abadi" w:hAnsi="Abadi" w:cs="*Arial-8129-Identity-H"/>
          <w:color w:val="14131B"/>
          <w:sz w:val="21"/>
          <w:szCs w:val="21"/>
        </w:rPr>
        <w:t xml:space="preserve"> </w:t>
      </w:r>
      <w:r w:rsidRPr="004F6FF5">
        <w:rPr>
          <w:rFonts w:ascii="Abadi" w:hAnsi="Abadi" w:cs="*Arial-8129-Identity-H"/>
          <w:color w:val="14131B"/>
          <w:sz w:val="21"/>
          <w:szCs w:val="21"/>
        </w:rPr>
        <w:t xml:space="preserve">para mejorar las condiciones y </w:t>
      </w:r>
      <w:r>
        <w:rPr>
          <w:rFonts w:ascii="Abadi" w:hAnsi="Abadi" w:cs="*Arial-8129-Identity-H"/>
          <w:color w:val="14131B"/>
          <w:sz w:val="21"/>
          <w:szCs w:val="21"/>
        </w:rPr>
        <w:t>la</w:t>
      </w:r>
      <w:r w:rsidRPr="004F6FF5">
        <w:rPr>
          <w:rFonts w:ascii="Abadi" w:hAnsi="Abadi" w:cs="*Arial-8129-Identity-H"/>
          <w:color w:val="14131B"/>
          <w:sz w:val="21"/>
          <w:szCs w:val="21"/>
        </w:rPr>
        <w:t xml:space="preserve"> calidad de vida de la población; promotor de la</w:t>
      </w:r>
      <w:r>
        <w:rPr>
          <w:rFonts w:ascii="Abadi" w:hAnsi="Abadi" w:cs="*Arial-8129-Identity-H"/>
          <w:color w:val="14131B"/>
          <w:sz w:val="21"/>
          <w:szCs w:val="21"/>
        </w:rPr>
        <w:t xml:space="preserve"> </w:t>
      </w:r>
      <w:r w:rsidRPr="004F6FF5">
        <w:rPr>
          <w:rFonts w:ascii="Abadi" w:hAnsi="Abadi" w:cs="*Arial-8129-Identity-H"/>
          <w:color w:val="14131B"/>
          <w:sz w:val="21"/>
          <w:szCs w:val="21"/>
        </w:rPr>
        <w:t>cultura de paz y derechos humanos; integrador social; una disciplina que enriquece</w:t>
      </w:r>
      <w:r>
        <w:rPr>
          <w:rFonts w:ascii="Abadi" w:hAnsi="Abadi" w:cs="*Arial-8129-Identity-H"/>
          <w:color w:val="14131B"/>
          <w:sz w:val="21"/>
          <w:szCs w:val="21"/>
        </w:rPr>
        <w:t xml:space="preserve"> </w:t>
      </w:r>
      <w:r w:rsidRPr="004F6FF5">
        <w:rPr>
          <w:rFonts w:ascii="Abadi" w:hAnsi="Abadi" w:cs="*Arial-8129-Identity-H"/>
          <w:color w:val="14131B"/>
          <w:sz w:val="21"/>
          <w:szCs w:val="21"/>
        </w:rPr>
        <w:t>y fortalece a las personas que lo practican, se educa al cuerpo y la mente a través</w:t>
      </w:r>
      <w:r>
        <w:rPr>
          <w:rFonts w:ascii="Abadi" w:hAnsi="Abadi" w:cs="*Arial-8129-Identity-H"/>
          <w:color w:val="14131B"/>
          <w:sz w:val="21"/>
          <w:szCs w:val="21"/>
        </w:rPr>
        <w:t xml:space="preserve"> </w:t>
      </w:r>
      <w:r w:rsidRPr="004F6FF5">
        <w:rPr>
          <w:rFonts w:ascii="Abadi" w:hAnsi="Abadi" w:cs="*Arial-8129-Identity-H"/>
          <w:color w:val="14131B"/>
          <w:sz w:val="21"/>
          <w:szCs w:val="21"/>
        </w:rPr>
        <w:t>del conocimiento y la perseverancia que forja el carácter, templa el espíritu y</w:t>
      </w:r>
      <w:r>
        <w:rPr>
          <w:rFonts w:ascii="Abadi" w:hAnsi="Abadi" w:cs="*Arial-8129-Identity-H"/>
          <w:color w:val="14131B"/>
          <w:sz w:val="21"/>
          <w:szCs w:val="21"/>
        </w:rPr>
        <w:t xml:space="preserve"> </w:t>
      </w:r>
      <w:r w:rsidRPr="004F6FF5">
        <w:rPr>
          <w:rFonts w:ascii="Abadi" w:hAnsi="Abadi" w:cs="*Arial-8129-Identity-H"/>
          <w:color w:val="14131B"/>
          <w:sz w:val="21"/>
          <w:szCs w:val="21"/>
        </w:rPr>
        <w:t>fomenta el respeto entre las personas; además, ayuda a desafiar estereotipos y a</w:t>
      </w:r>
      <w:r>
        <w:rPr>
          <w:rFonts w:ascii="Abadi" w:hAnsi="Abadi" w:cs="*Arial-8129-Identity-H"/>
          <w:color w:val="14131B"/>
          <w:sz w:val="21"/>
          <w:szCs w:val="21"/>
        </w:rPr>
        <w:t xml:space="preserve"> </w:t>
      </w:r>
      <w:r w:rsidRPr="004F6FF5">
        <w:rPr>
          <w:rFonts w:ascii="Abadi" w:hAnsi="Abadi" w:cs="*Arial-8129-Identity-H"/>
          <w:color w:val="14131B"/>
          <w:sz w:val="21"/>
          <w:szCs w:val="21"/>
        </w:rPr>
        <w:t>rescatar valor</w:t>
      </w:r>
      <w:r w:rsidRPr="004F6FF5">
        <w:rPr>
          <w:rFonts w:ascii="Abadi" w:eastAsia="Abadi" w:hAnsi="Abadi" w:cs="Abadi" w:hint="eastAsia"/>
          <w:color w:val="14131B"/>
          <w:sz w:val="21"/>
          <w:szCs w:val="21"/>
        </w:rPr>
        <w:t>􀀺</w:t>
      </w:r>
      <w:r w:rsidRPr="004F6FF5">
        <w:rPr>
          <w:rFonts w:ascii="Abadi" w:hAnsi="Abadi" w:cs="*Arial-8129-Identity-H"/>
          <w:color w:val="14131B"/>
          <w:sz w:val="21"/>
          <w:szCs w:val="21"/>
        </w:rPr>
        <w:t>s como la autodisciplina y la importancia de fijarse metas.</w:t>
      </w:r>
    </w:p>
    <w:p w14:paraId="615C57B3" w14:textId="77777777" w:rsidR="005C0E00" w:rsidRPr="004F6FF5" w:rsidRDefault="005C0E00" w:rsidP="005C0E00">
      <w:pPr>
        <w:autoSpaceDE w:val="0"/>
        <w:autoSpaceDN w:val="0"/>
        <w:adjustRightInd w:val="0"/>
        <w:jc w:val="both"/>
        <w:rPr>
          <w:rFonts w:ascii="Abadi" w:hAnsi="Abadi" w:cs="*Arial-8129-Identity-H"/>
          <w:color w:val="14131B"/>
          <w:sz w:val="21"/>
          <w:szCs w:val="21"/>
        </w:rPr>
      </w:pPr>
    </w:p>
    <w:p w14:paraId="2E9D6B4F" w14:textId="77777777" w:rsidR="005C0E00" w:rsidRDefault="005C0E00" w:rsidP="005C0E00">
      <w:pPr>
        <w:autoSpaceDE w:val="0"/>
        <w:autoSpaceDN w:val="0"/>
        <w:adjustRightInd w:val="0"/>
        <w:jc w:val="both"/>
        <w:rPr>
          <w:rFonts w:ascii="Abadi" w:hAnsi="Abadi" w:cs="*Arial-8129-Identity-H"/>
          <w:color w:val="14131B"/>
          <w:sz w:val="21"/>
          <w:szCs w:val="21"/>
        </w:rPr>
      </w:pPr>
      <w:r w:rsidRPr="004F6FF5">
        <w:rPr>
          <w:rFonts w:ascii="Abadi" w:hAnsi="Abadi" w:cs="*Arial-8129-Identity-H"/>
          <w:color w:val="14131B"/>
          <w:sz w:val="21"/>
          <w:szCs w:val="21"/>
        </w:rPr>
        <w:t>El pasado fin de semana, lamentablemente fuimos testigos que el nombre de un</w:t>
      </w:r>
      <w:r>
        <w:rPr>
          <w:rFonts w:ascii="Abadi" w:hAnsi="Abadi" w:cs="*Arial-8129-Identity-H"/>
          <w:color w:val="14131B"/>
          <w:sz w:val="21"/>
          <w:szCs w:val="21"/>
        </w:rPr>
        <w:t xml:space="preserve"> </w:t>
      </w:r>
      <w:r w:rsidRPr="004F6FF5">
        <w:rPr>
          <w:rFonts w:ascii="Abadi" w:hAnsi="Abadi" w:cs="*Arial-8129-Identity-H"/>
          <w:color w:val="14131B"/>
          <w:sz w:val="21"/>
          <w:szCs w:val="21"/>
        </w:rPr>
        <w:t>equipo de fútbol dio la vuelta al mundo en 24 horas y lo más triste de la situación es</w:t>
      </w:r>
      <w:r>
        <w:rPr>
          <w:rFonts w:ascii="Abadi" w:hAnsi="Abadi" w:cs="*Arial-8129-Identity-H"/>
          <w:color w:val="14131B"/>
          <w:sz w:val="21"/>
          <w:szCs w:val="21"/>
        </w:rPr>
        <w:t xml:space="preserve"> </w:t>
      </w:r>
      <w:r w:rsidRPr="004F6FF5">
        <w:rPr>
          <w:rFonts w:ascii="Abadi" w:hAnsi="Abadi" w:cs="*Arial-8129-Identity-H"/>
          <w:color w:val="14131B"/>
          <w:sz w:val="21"/>
          <w:szCs w:val="21"/>
        </w:rPr>
        <w:t>que no fue por algo meramente futbolístico, sino por la ola de violencia que se vivió</w:t>
      </w:r>
      <w:r>
        <w:rPr>
          <w:rFonts w:ascii="Abadi" w:hAnsi="Abadi" w:cs="*Arial-8129-Identity-H"/>
          <w:color w:val="14131B"/>
          <w:sz w:val="21"/>
          <w:szCs w:val="21"/>
        </w:rPr>
        <w:t xml:space="preserve"> </w:t>
      </w:r>
      <w:r w:rsidRPr="004F6FF5">
        <w:rPr>
          <w:rFonts w:ascii="Abadi" w:hAnsi="Abadi" w:cs="*Arial-8129-Identity-H"/>
          <w:color w:val="14131B"/>
          <w:sz w:val="21"/>
          <w:szCs w:val="21"/>
        </w:rPr>
        <w:t>en ese partido, donde aficiones de ambas escuadras se liaron a golpes y algunos</w:t>
      </w:r>
      <w:r>
        <w:rPr>
          <w:rFonts w:ascii="Abadi" w:hAnsi="Abadi" w:cs="*Arial-8129-Identity-H"/>
          <w:color w:val="14131B"/>
          <w:sz w:val="21"/>
          <w:szCs w:val="21"/>
        </w:rPr>
        <w:t xml:space="preserve"> </w:t>
      </w:r>
      <w:r w:rsidRPr="004F6FF5">
        <w:rPr>
          <w:rFonts w:ascii="Abadi" w:hAnsi="Abadi" w:cs="*Arial-8129-Identity-H"/>
          <w:color w:val="14131B"/>
          <w:sz w:val="21"/>
          <w:szCs w:val="21"/>
        </w:rPr>
        <w:t>quedaron heridos de gravedad.</w:t>
      </w:r>
    </w:p>
    <w:p w14:paraId="682A8426" w14:textId="77777777" w:rsidR="005C0E00" w:rsidRPr="004F6FF5" w:rsidRDefault="005C0E00" w:rsidP="005C0E00">
      <w:pPr>
        <w:autoSpaceDE w:val="0"/>
        <w:autoSpaceDN w:val="0"/>
        <w:adjustRightInd w:val="0"/>
        <w:jc w:val="both"/>
        <w:rPr>
          <w:rFonts w:ascii="Abadi" w:hAnsi="Abadi" w:cs="*Arial-8129-Identity-H"/>
          <w:color w:val="14131B"/>
          <w:sz w:val="21"/>
          <w:szCs w:val="21"/>
        </w:rPr>
      </w:pPr>
    </w:p>
    <w:p w14:paraId="421C8676" w14:textId="77777777" w:rsidR="005C0E00" w:rsidRDefault="005C0E00" w:rsidP="005C0E00">
      <w:pPr>
        <w:autoSpaceDE w:val="0"/>
        <w:autoSpaceDN w:val="0"/>
        <w:adjustRightInd w:val="0"/>
        <w:jc w:val="both"/>
        <w:rPr>
          <w:rFonts w:ascii="Abadi" w:hAnsi="Abadi" w:cs="*Arial-8129-Identity-H"/>
          <w:color w:val="15131C"/>
          <w:sz w:val="21"/>
          <w:szCs w:val="21"/>
        </w:rPr>
      </w:pPr>
      <w:r w:rsidRPr="004F6FF5">
        <w:rPr>
          <w:rFonts w:ascii="Abadi" w:hAnsi="Abadi" w:cs="*Arial-8129-Identity-H"/>
          <w:color w:val="15131C"/>
          <w:sz w:val="21"/>
          <w:szCs w:val="21"/>
        </w:rPr>
        <w:t>Si bien el rival es el actual campeón del fútbol mexicano, Querétaro acaparó más la</w:t>
      </w:r>
      <w:r>
        <w:rPr>
          <w:rFonts w:ascii="Abadi" w:hAnsi="Abadi" w:cs="*Arial-8129-Identity-H"/>
          <w:color w:val="15131C"/>
          <w:sz w:val="21"/>
          <w:szCs w:val="21"/>
        </w:rPr>
        <w:t xml:space="preserve"> </w:t>
      </w:r>
      <w:r w:rsidRPr="004F6FF5">
        <w:rPr>
          <w:rFonts w:ascii="Abadi" w:hAnsi="Abadi" w:cs="*Arial-8129-Identity-H"/>
          <w:color w:val="15131C"/>
          <w:sz w:val="21"/>
          <w:szCs w:val="21"/>
        </w:rPr>
        <w:t>atención toda vez que el estadio La Corregidora fue escenario</w:t>
      </w:r>
      <w:r w:rsidRPr="004F6FF5">
        <w:rPr>
          <w:rFonts w:ascii="Abadi" w:hAnsi="Abadi" w:cs="*Arial-8129-Identity-H"/>
          <w:color w:val="ADADAD"/>
          <w:sz w:val="21"/>
          <w:szCs w:val="21"/>
        </w:rPr>
        <w:t xml:space="preserve">· </w:t>
      </w:r>
      <w:r w:rsidRPr="004F6FF5">
        <w:rPr>
          <w:rFonts w:ascii="Abadi" w:hAnsi="Abadi" w:cs="*Arial-8129-Identity-H"/>
          <w:color w:val="15131C"/>
          <w:sz w:val="21"/>
          <w:szCs w:val="21"/>
        </w:rPr>
        <w:t>de tan vergonzoso</w:t>
      </w:r>
      <w:r>
        <w:rPr>
          <w:rFonts w:ascii="Abadi" w:hAnsi="Abadi" w:cs="*Arial-8129-Identity-H"/>
          <w:color w:val="15131C"/>
          <w:sz w:val="21"/>
          <w:szCs w:val="21"/>
        </w:rPr>
        <w:t xml:space="preserve"> </w:t>
      </w:r>
      <w:r w:rsidRPr="004F6FF5">
        <w:rPr>
          <w:rFonts w:ascii="Abadi" w:hAnsi="Abadi" w:cs="*Arial-8129-Identity-H"/>
          <w:color w:val="15131C"/>
          <w:sz w:val="21"/>
          <w:szCs w:val="21"/>
        </w:rPr>
        <w:t>hecho que mancho la historia del balompié nacional.</w:t>
      </w:r>
      <w:r>
        <w:rPr>
          <w:rFonts w:ascii="Abadi" w:hAnsi="Abadi" w:cs="*Arial-8129-Identity-H"/>
          <w:color w:val="15131C"/>
          <w:sz w:val="21"/>
          <w:szCs w:val="21"/>
        </w:rPr>
        <w:t xml:space="preserve"> </w:t>
      </w:r>
    </w:p>
    <w:p w14:paraId="5B5F42D8" w14:textId="77777777" w:rsidR="005C0E00" w:rsidRDefault="005C0E00" w:rsidP="005C0E00">
      <w:pPr>
        <w:autoSpaceDE w:val="0"/>
        <w:autoSpaceDN w:val="0"/>
        <w:adjustRightInd w:val="0"/>
        <w:jc w:val="both"/>
        <w:rPr>
          <w:rFonts w:ascii="Abadi" w:hAnsi="Abadi" w:cs="*Arial-8129-Identity-H"/>
          <w:color w:val="15131C"/>
          <w:sz w:val="21"/>
          <w:szCs w:val="21"/>
        </w:rPr>
      </w:pPr>
    </w:p>
    <w:p w14:paraId="70943A79" w14:textId="77777777" w:rsidR="005C0E00" w:rsidRPr="004F6FF5" w:rsidRDefault="005C0E00" w:rsidP="005C0E00">
      <w:pPr>
        <w:autoSpaceDE w:val="0"/>
        <w:autoSpaceDN w:val="0"/>
        <w:adjustRightInd w:val="0"/>
        <w:jc w:val="both"/>
        <w:rPr>
          <w:rFonts w:ascii="Abadi" w:hAnsi="Abadi" w:cs="*Arial-8129-Identity-H"/>
          <w:color w:val="14131B"/>
          <w:sz w:val="21"/>
          <w:szCs w:val="21"/>
        </w:rPr>
      </w:pPr>
      <w:r w:rsidRPr="004F6FF5">
        <w:rPr>
          <w:rFonts w:ascii="Abadi" w:hAnsi="Abadi" w:cs="*Arial-8129-Identity-H"/>
          <w:color w:val="14131B"/>
          <w:sz w:val="21"/>
          <w:szCs w:val="21"/>
        </w:rPr>
        <w:t>De acuerdo con reportes de la vecina entidad, el saldo son tres heridos graves, de</w:t>
      </w:r>
      <w:r>
        <w:rPr>
          <w:rFonts w:ascii="Abadi" w:hAnsi="Abadi" w:cs="*Arial-8129-Identity-H"/>
          <w:color w:val="14131B"/>
          <w:sz w:val="21"/>
          <w:szCs w:val="21"/>
        </w:rPr>
        <w:t xml:space="preserve"> </w:t>
      </w:r>
      <w:r w:rsidRPr="004F6FF5">
        <w:rPr>
          <w:rFonts w:ascii="Abadi" w:hAnsi="Abadi" w:cs="*Arial-8129-Identity-H"/>
          <w:color w:val="14131B"/>
          <w:sz w:val="21"/>
          <w:szCs w:val="21"/>
        </w:rPr>
        <w:t>un total de 25 personas hospitalizadas, afortunadamente ningún deceso.</w:t>
      </w:r>
    </w:p>
    <w:p w14:paraId="01942447" w14:textId="77777777" w:rsidR="005C0E00" w:rsidRPr="004F6FF5" w:rsidRDefault="005C0E00" w:rsidP="005C0E00">
      <w:pPr>
        <w:jc w:val="both"/>
        <w:rPr>
          <w:rFonts w:ascii="Abadi" w:hAnsi="Abadi" w:cs="*Arial-8129-Identity-H"/>
          <w:color w:val="14131B"/>
          <w:sz w:val="21"/>
          <w:szCs w:val="21"/>
        </w:rPr>
      </w:pPr>
    </w:p>
    <w:p w14:paraId="2B40760F" w14:textId="77777777" w:rsidR="005C0E00" w:rsidRDefault="005C0E00" w:rsidP="005C0E00">
      <w:pPr>
        <w:autoSpaceDE w:val="0"/>
        <w:autoSpaceDN w:val="0"/>
        <w:adjustRightInd w:val="0"/>
        <w:jc w:val="both"/>
        <w:rPr>
          <w:rFonts w:ascii="Abadi" w:hAnsi="Abadi" w:cs="*Arial-8130-Identity-H"/>
          <w:color w:val="14131B"/>
          <w:sz w:val="21"/>
          <w:szCs w:val="21"/>
        </w:rPr>
      </w:pPr>
      <w:r w:rsidRPr="004F6FF5">
        <w:rPr>
          <w:rFonts w:ascii="Abadi" w:hAnsi="Abadi" w:cs="*Arial-8130-Identity-H"/>
          <w:color w:val="14131B"/>
          <w:sz w:val="21"/>
          <w:szCs w:val="21"/>
        </w:rPr>
        <w:t>Hoy en día de forma lamentable se habla más del club y la ciudad por la violencia</w:t>
      </w:r>
      <w:r>
        <w:rPr>
          <w:rFonts w:ascii="Abadi" w:hAnsi="Abadi" w:cs="*Arial-8130-Identity-H"/>
          <w:color w:val="14131B"/>
          <w:sz w:val="21"/>
          <w:szCs w:val="21"/>
        </w:rPr>
        <w:t xml:space="preserve"> </w:t>
      </w:r>
      <w:r w:rsidRPr="004F6FF5">
        <w:rPr>
          <w:rFonts w:ascii="Abadi" w:hAnsi="Abadi" w:cs="*Arial-8130-Identity-H"/>
          <w:color w:val="14131B"/>
          <w:sz w:val="21"/>
          <w:szCs w:val="21"/>
        </w:rPr>
        <w:t>que azotó La Corregidora a la espera que en este mismo torneo algo extraordinario</w:t>
      </w:r>
      <w:r>
        <w:rPr>
          <w:rFonts w:ascii="Abadi" w:hAnsi="Abadi" w:cs="*Arial-8130-Identity-H"/>
          <w:color w:val="14131B"/>
          <w:sz w:val="21"/>
          <w:szCs w:val="21"/>
        </w:rPr>
        <w:t xml:space="preserve"> </w:t>
      </w:r>
      <w:r w:rsidRPr="004F6FF5">
        <w:rPr>
          <w:rFonts w:ascii="Abadi" w:hAnsi="Abadi" w:cs="*Arial-8130-Identity-H"/>
          <w:color w:val="14131B"/>
          <w:sz w:val="21"/>
          <w:szCs w:val="21"/>
        </w:rPr>
        <w:t>en lo deportivo pueda, no borrar, pero sí atenuar el escándalo suscitado.</w:t>
      </w:r>
      <w:r>
        <w:rPr>
          <w:rFonts w:ascii="Abadi" w:hAnsi="Abadi" w:cs="*Arial-8130-Identity-H"/>
          <w:color w:val="14131B"/>
          <w:sz w:val="21"/>
          <w:szCs w:val="21"/>
        </w:rPr>
        <w:t xml:space="preserve"> </w:t>
      </w:r>
    </w:p>
    <w:p w14:paraId="62FDF51D" w14:textId="77777777" w:rsidR="005C0E00" w:rsidRPr="004F6FF5" w:rsidRDefault="005C0E00" w:rsidP="005C0E00">
      <w:pPr>
        <w:autoSpaceDE w:val="0"/>
        <w:autoSpaceDN w:val="0"/>
        <w:adjustRightInd w:val="0"/>
        <w:jc w:val="both"/>
        <w:rPr>
          <w:rFonts w:ascii="Abadi" w:hAnsi="Abadi" w:cs="*Arial-8130-Identity-H"/>
          <w:color w:val="14131B"/>
          <w:sz w:val="21"/>
          <w:szCs w:val="21"/>
        </w:rPr>
      </w:pPr>
    </w:p>
    <w:p w14:paraId="43B152CF" w14:textId="77777777" w:rsidR="005C0E00" w:rsidRDefault="005C0E00" w:rsidP="005C0E00">
      <w:pPr>
        <w:autoSpaceDE w:val="0"/>
        <w:autoSpaceDN w:val="0"/>
        <w:adjustRightInd w:val="0"/>
        <w:jc w:val="both"/>
        <w:rPr>
          <w:rFonts w:ascii="Abadi" w:hAnsi="Abadi" w:cs="*Arial-8130-Identity-H"/>
          <w:color w:val="14131B"/>
          <w:sz w:val="21"/>
          <w:szCs w:val="21"/>
        </w:rPr>
      </w:pPr>
      <w:r w:rsidRPr="004F6FF5">
        <w:rPr>
          <w:rFonts w:ascii="Abadi" w:hAnsi="Abadi" w:cs="*Arial-8130-Identity-H"/>
          <w:color w:val="14131B"/>
          <w:sz w:val="21"/>
          <w:szCs w:val="21"/>
        </w:rPr>
        <w:t>Se informó que después del análisis realizado por las autoridades estatales, se</w:t>
      </w:r>
      <w:r>
        <w:rPr>
          <w:rFonts w:ascii="Abadi" w:hAnsi="Abadi" w:cs="*Arial-8130-Identity-H"/>
          <w:color w:val="14131B"/>
          <w:sz w:val="21"/>
          <w:szCs w:val="21"/>
        </w:rPr>
        <w:t xml:space="preserve"> </w:t>
      </w:r>
      <w:r w:rsidRPr="004F6FF5">
        <w:rPr>
          <w:rFonts w:ascii="Abadi" w:hAnsi="Abadi" w:cs="*Arial-8130-Identity-H"/>
          <w:color w:val="14131B"/>
          <w:sz w:val="21"/>
          <w:szCs w:val="21"/>
        </w:rPr>
        <w:t>tomaron algunas determinaciones. La primera de ellas la suspensión de cinco</w:t>
      </w:r>
      <w:r>
        <w:rPr>
          <w:rFonts w:ascii="Abadi" w:hAnsi="Abadi" w:cs="*Arial-8130-Identity-H"/>
          <w:color w:val="14131B"/>
          <w:sz w:val="21"/>
          <w:szCs w:val="21"/>
        </w:rPr>
        <w:t xml:space="preserve"> </w:t>
      </w:r>
      <w:r w:rsidRPr="004F6FF5">
        <w:rPr>
          <w:rFonts w:ascii="Abadi" w:hAnsi="Abadi" w:cs="*Arial-8130-Identity-H"/>
          <w:color w:val="14131B"/>
          <w:sz w:val="21"/>
          <w:szCs w:val="21"/>
        </w:rPr>
        <w:t>servidores públicos encargados del operativo del partido que incumplieron con los</w:t>
      </w:r>
      <w:r>
        <w:rPr>
          <w:rFonts w:ascii="Abadi" w:hAnsi="Abadi" w:cs="*Arial-8130-Identity-H"/>
          <w:color w:val="14131B"/>
          <w:sz w:val="21"/>
          <w:szCs w:val="21"/>
        </w:rPr>
        <w:t xml:space="preserve"> </w:t>
      </w:r>
      <w:r w:rsidRPr="004F6FF5">
        <w:rPr>
          <w:rFonts w:ascii="Abadi" w:hAnsi="Abadi" w:cs="*Arial-8130-Identity-H"/>
          <w:color w:val="14131B"/>
          <w:sz w:val="21"/>
          <w:szCs w:val="21"/>
        </w:rPr>
        <w:t>protocolos establecidos.</w:t>
      </w:r>
    </w:p>
    <w:p w14:paraId="04C29556" w14:textId="77777777" w:rsidR="005C0E00" w:rsidRPr="004F6FF5" w:rsidRDefault="005C0E00" w:rsidP="005C0E00">
      <w:pPr>
        <w:autoSpaceDE w:val="0"/>
        <w:autoSpaceDN w:val="0"/>
        <w:adjustRightInd w:val="0"/>
        <w:jc w:val="both"/>
        <w:rPr>
          <w:rFonts w:ascii="Abadi" w:hAnsi="Abadi" w:cs="*Arial-8130-Identity-H"/>
          <w:color w:val="14131B"/>
          <w:sz w:val="21"/>
          <w:szCs w:val="21"/>
        </w:rPr>
      </w:pPr>
    </w:p>
    <w:p w14:paraId="37E7B851" w14:textId="77777777" w:rsidR="005C0E00" w:rsidRDefault="005C0E00" w:rsidP="005C0E00">
      <w:pPr>
        <w:autoSpaceDE w:val="0"/>
        <w:autoSpaceDN w:val="0"/>
        <w:adjustRightInd w:val="0"/>
        <w:jc w:val="both"/>
        <w:rPr>
          <w:rFonts w:ascii="Abadi" w:hAnsi="Abadi" w:cs="*Arial-8130-Identity-H"/>
          <w:color w:val="14131B"/>
          <w:sz w:val="21"/>
          <w:szCs w:val="21"/>
        </w:rPr>
      </w:pPr>
      <w:r w:rsidRPr="004F6FF5">
        <w:rPr>
          <w:rFonts w:ascii="Abadi" w:hAnsi="Abadi" w:cs="*Arial-8130-Identity-H"/>
          <w:color w:val="14131B"/>
          <w:sz w:val="21"/>
          <w:szCs w:val="21"/>
        </w:rPr>
        <w:t>Así mismo se determinó cancelar registro a la empresa de seguridad G.E.S.K9.</w:t>
      </w:r>
      <w:r>
        <w:rPr>
          <w:rFonts w:ascii="Abadi" w:hAnsi="Abadi" w:cs="*Arial-8130-Identity-H"/>
          <w:color w:val="14131B"/>
          <w:sz w:val="21"/>
          <w:szCs w:val="21"/>
        </w:rPr>
        <w:t xml:space="preserve"> </w:t>
      </w:r>
      <w:r w:rsidRPr="004F6FF5">
        <w:rPr>
          <w:rFonts w:ascii="Abadi" w:hAnsi="Abadi" w:cs="*Arial-8130-Identity-H"/>
          <w:color w:val="14131B"/>
          <w:sz w:val="21"/>
          <w:szCs w:val="21"/>
        </w:rPr>
        <w:t>Lo anterior, si bien fue lo más sonado, no fue el único suceso vinculado al fútbol, ya</w:t>
      </w:r>
      <w:r>
        <w:rPr>
          <w:rFonts w:ascii="Abadi" w:hAnsi="Abadi" w:cs="*Arial-8130-Identity-H"/>
          <w:color w:val="14131B"/>
          <w:sz w:val="21"/>
          <w:szCs w:val="21"/>
        </w:rPr>
        <w:t xml:space="preserve"> </w:t>
      </w:r>
      <w:r w:rsidRPr="004F6FF5">
        <w:rPr>
          <w:rFonts w:ascii="Abadi" w:hAnsi="Abadi" w:cs="*Arial-8130-Identity-H"/>
          <w:color w:val="14131B"/>
          <w:sz w:val="21"/>
          <w:szCs w:val="21"/>
        </w:rPr>
        <w:t>que, en la frontera, tres aficionados de la Fiera fueron privados de su libertad por</w:t>
      </w:r>
      <w:r>
        <w:rPr>
          <w:rFonts w:ascii="Abadi" w:hAnsi="Abadi" w:cs="*Arial-8130-Identity-H"/>
          <w:color w:val="14131B"/>
          <w:sz w:val="21"/>
          <w:szCs w:val="21"/>
        </w:rPr>
        <w:t xml:space="preserve"> </w:t>
      </w:r>
      <w:r w:rsidRPr="004F6FF5">
        <w:rPr>
          <w:rFonts w:ascii="Abadi" w:hAnsi="Abadi" w:cs="*Arial-8130-Identity-H"/>
          <w:color w:val="14131B"/>
          <w:sz w:val="21"/>
          <w:szCs w:val="21"/>
        </w:rPr>
        <w:t>unas horas, afortunadamente los hinchas guanajuatenses fueron liberados,</w:t>
      </w:r>
      <w:r>
        <w:rPr>
          <w:rFonts w:ascii="Abadi" w:hAnsi="Abadi" w:cs="*Arial-8130-Identity-H"/>
          <w:color w:val="14131B"/>
          <w:sz w:val="21"/>
          <w:szCs w:val="21"/>
        </w:rPr>
        <w:t xml:space="preserve"> </w:t>
      </w:r>
      <w:r w:rsidRPr="004F6FF5">
        <w:rPr>
          <w:rFonts w:ascii="Abadi" w:hAnsi="Abadi" w:cs="*Arial-8130-Identity-H"/>
          <w:color w:val="14131B"/>
          <w:sz w:val="21"/>
          <w:szCs w:val="21"/>
        </w:rPr>
        <w:t>mostrando algunos golpes tras la humillación de ser desnudados para enviar fotos</w:t>
      </w:r>
      <w:r>
        <w:rPr>
          <w:rFonts w:ascii="Abadi" w:hAnsi="Abadi" w:cs="*Arial-8130-Identity-H"/>
          <w:color w:val="14131B"/>
          <w:sz w:val="21"/>
          <w:szCs w:val="21"/>
        </w:rPr>
        <w:t xml:space="preserve"> </w:t>
      </w:r>
      <w:r w:rsidRPr="004F6FF5">
        <w:rPr>
          <w:rFonts w:ascii="Abadi" w:hAnsi="Abadi" w:cs="*Arial-8130-Identity-H"/>
          <w:color w:val="14131B"/>
          <w:sz w:val="21"/>
          <w:szCs w:val="21"/>
        </w:rPr>
        <w:t>exigiendo un rescate.</w:t>
      </w:r>
    </w:p>
    <w:p w14:paraId="4F96DE7B" w14:textId="77777777" w:rsidR="005C0E00" w:rsidRPr="004F6FF5" w:rsidRDefault="005C0E00" w:rsidP="005C0E00">
      <w:pPr>
        <w:autoSpaceDE w:val="0"/>
        <w:autoSpaceDN w:val="0"/>
        <w:adjustRightInd w:val="0"/>
        <w:jc w:val="both"/>
        <w:rPr>
          <w:rFonts w:ascii="Abadi" w:hAnsi="Abadi" w:cs="*Arial-8130-Identity-H"/>
          <w:color w:val="14131B"/>
          <w:sz w:val="21"/>
          <w:szCs w:val="21"/>
        </w:rPr>
      </w:pPr>
    </w:p>
    <w:p w14:paraId="69E1F377" w14:textId="77777777" w:rsidR="005C0E00" w:rsidRDefault="005C0E00" w:rsidP="005C0E00">
      <w:pPr>
        <w:autoSpaceDE w:val="0"/>
        <w:autoSpaceDN w:val="0"/>
        <w:adjustRightInd w:val="0"/>
        <w:jc w:val="both"/>
        <w:rPr>
          <w:rFonts w:ascii="Abadi" w:hAnsi="Abadi" w:cs="*Arial-8130-Identity-H"/>
          <w:color w:val="13131B"/>
          <w:sz w:val="21"/>
          <w:szCs w:val="21"/>
        </w:rPr>
      </w:pPr>
      <w:r w:rsidRPr="004F6FF5">
        <w:rPr>
          <w:rFonts w:ascii="Abadi" w:hAnsi="Abadi" w:cs="*Arial-8130-Identity-H"/>
          <w:color w:val="13131B"/>
          <w:sz w:val="21"/>
          <w:szCs w:val="21"/>
        </w:rPr>
        <w:t>En consecuencia, en nuestro estado dos equipos son integrantes de la Federación</w:t>
      </w:r>
      <w:r>
        <w:rPr>
          <w:rFonts w:ascii="Abadi" w:hAnsi="Abadi" w:cs="*Arial-8130-Identity-H"/>
          <w:color w:val="13131B"/>
          <w:sz w:val="21"/>
          <w:szCs w:val="21"/>
        </w:rPr>
        <w:t xml:space="preserve"> </w:t>
      </w:r>
      <w:r w:rsidRPr="004F6FF5">
        <w:rPr>
          <w:rFonts w:ascii="Abadi" w:hAnsi="Abadi" w:cs="*Arial-8130-Identity-H"/>
          <w:color w:val="13131B"/>
          <w:sz w:val="21"/>
          <w:szCs w:val="21"/>
        </w:rPr>
        <w:t>Mexicana de Fútbol, uno participa en la Liga MX, equipo León, y el otro en la Liga</w:t>
      </w:r>
      <w:r>
        <w:rPr>
          <w:rFonts w:ascii="Abadi" w:hAnsi="Abadi" w:cs="*Arial-8130-Identity-H"/>
          <w:color w:val="13131B"/>
          <w:sz w:val="21"/>
          <w:szCs w:val="21"/>
        </w:rPr>
        <w:t xml:space="preserve"> </w:t>
      </w:r>
      <w:r w:rsidRPr="004F6FF5">
        <w:rPr>
          <w:rFonts w:ascii="Abadi" w:hAnsi="Abadi" w:cs="*Arial-8130-Identity-H"/>
          <w:color w:val="13131B"/>
          <w:sz w:val="21"/>
          <w:szCs w:val="21"/>
        </w:rPr>
        <w:t>de Expansión, Club Celaya. Así como equipos profesionales en otras disciplinas</w:t>
      </w:r>
      <w:r>
        <w:rPr>
          <w:rFonts w:ascii="Abadi" w:hAnsi="Abadi" w:cs="*Arial-8130-Identity-H"/>
          <w:color w:val="13131B"/>
          <w:sz w:val="21"/>
          <w:szCs w:val="21"/>
        </w:rPr>
        <w:t xml:space="preserve"> </w:t>
      </w:r>
      <w:r w:rsidRPr="004F6FF5">
        <w:rPr>
          <w:rFonts w:ascii="Abadi" w:hAnsi="Abadi" w:cs="*Arial-8130-Identity-H"/>
          <w:color w:val="13131B"/>
          <w:sz w:val="21"/>
          <w:szCs w:val="21"/>
        </w:rPr>
        <w:t>como el béisbol con los Bravos y básquetbol con las Abejas, no podemos dejar</w:t>
      </w:r>
      <w:r>
        <w:rPr>
          <w:rFonts w:ascii="Abadi" w:hAnsi="Abadi" w:cs="*Arial-8130-Identity-H"/>
          <w:color w:val="13131B"/>
          <w:sz w:val="21"/>
          <w:szCs w:val="21"/>
        </w:rPr>
        <w:t xml:space="preserve"> </w:t>
      </w:r>
      <w:r w:rsidRPr="004F6FF5">
        <w:rPr>
          <w:rFonts w:ascii="Abadi" w:hAnsi="Abadi" w:cs="*Arial-8130-Identity-H"/>
          <w:color w:val="13131B"/>
          <w:sz w:val="21"/>
          <w:szCs w:val="21"/>
        </w:rPr>
        <w:t>pasar desapercibidos los hechos ocurridos, como dice el refrán, "cuando las barbas</w:t>
      </w:r>
      <w:r>
        <w:rPr>
          <w:rFonts w:ascii="Abadi" w:hAnsi="Abadi" w:cs="*Arial-8130-Identity-H"/>
          <w:color w:val="13131B"/>
          <w:sz w:val="21"/>
          <w:szCs w:val="21"/>
        </w:rPr>
        <w:t xml:space="preserve"> </w:t>
      </w:r>
      <w:r w:rsidRPr="004F6FF5">
        <w:rPr>
          <w:rFonts w:ascii="Abadi" w:hAnsi="Abadi" w:cs="*Arial-8130-Identity-H"/>
          <w:color w:val="13131B"/>
          <w:sz w:val="21"/>
          <w:szCs w:val="21"/>
        </w:rPr>
        <w:t>de tu vecino veas afeitar, pon las tuyas a remojar".</w:t>
      </w:r>
    </w:p>
    <w:p w14:paraId="1C4613D2" w14:textId="77777777" w:rsidR="005C0E00" w:rsidRPr="004F6FF5" w:rsidRDefault="005C0E00" w:rsidP="005C0E00">
      <w:pPr>
        <w:autoSpaceDE w:val="0"/>
        <w:autoSpaceDN w:val="0"/>
        <w:adjustRightInd w:val="0"/>
        <w:jc w:val="both"/>
        <w:rPr>
          <w:rFonts w:ascii="Abadi" w:hAnsi="Abadi" w:cs="*Arial-8130-Identity-H"/>
          <w:color w:val="13131B"/>
          <w:sz w:val="21"/>
          <w:szCs w:val="21"/>
        </w:rPr>
      </w:pPr>
    </w:p>
    <w:p w14:paraId="47730EDE" w14:textId="77777777" w:rsidR="005C0E00" w:rsidRPr="004F6FF5" w:rsidRDefault="005C0E00" w:rsidP="005C0E00">
      <w:pPr>
        <w:autoSpaceDE w:val="0"/>
        <w:autoSpaceDN w:val="0"/>
        <w:adjustRightInd w:val="0"/>
        <w:jc w:val="both"/>
        <w:rPr>
          <w:rFonts w:ascii="Abadi" w:hAnsi="Abadi" w:cs="*Arial-8130-Identity-H"/>
          <w:color w:val="14131B"/>
          <w:sz w:val="21"/>
          <w:szCs w:val="21"/>
        </w:rPr>
      </w:pPr>
      <w:r w:rsidRPr="004F6FF5">
        <w:rPr>
          <w:rFonts w:ascii="Abadi" w:hAnsi="Abadi" w:cs="*Arial-8130-Identity-H"/>
          <w:color w:val="14131B"/>
          <w:sz w:val="21"/>
          <w:szCs w:val="21"/>
        </w:rPr>
        <w:t>Por ello, es importante y necesario, que los ayuntamientos realicen una revisión y</w:t>
      </w:r>
      <w:r>
        <w:rPr>
          <w:rFonts w:ascii="Abadi" w:hAnsi="Abadi" w:cs="*Arial-8130-Identity-H"/>
          <w:color w:val="14131B"/>
          <w:sz w:val="21"/>
          <w:szCs w:val="21"/>
        </w:rPr>
        <w:t xml:space="preserve"> </w:t>
      </w:r>
      <w:r w:rsidRPr="004F6FF5">
        <w:rPr>
          <w:rFonts w:ascii="Abadi" w:hAnsi="Abadi" w:cs="*Arial-8130-Identity-H"/>
          <w:color w:val="14131B"/>
          <w:sz w:val="21"/>
          <w:szCs w:val="21"/>
        </w:rPr>
        <w:t>actualización en los protocolos, reglamentos y manuales de Protección Civil y</w:t>
      </w:r>
      <w:r>
        <w:rPr>
          <w:rFonts w:ascii="Abadi" w:hAnsi="Abadi" w:cs="*Arial-8130-Identity-H"/>
          <w:color w:val="14131B"/>
          <w:sz w:val="21"/>
          <w:szCs w:val="21"/>
        </w:rPr>
        <w:t xml:space="preserve"> </w:t>
      </w:r>
      <w:r w:rsidRPr="004F6FF5">
        <w:rPr>
          <w:rFonts w:ascii="Abadi" w:hAnsi="Abadi" w:cs="*Arial-8130-Identity-H"/>
          <w:color w:val="14131B"/>
          <w:sz w:val="21"/>
          <w:szCs w:val="21"/>
        </w:rPr>
        <w:t>Bomberos en donde incluyan apartados de análisis de riesgos preventivos para</w:t>
      </w:r>
      <w:r>
        <w:rPr>
          <w:rFonts w:ascii="Abadi" w:hAnsi="Abadi" w:cs="*Arial-8130-Identity-H"/>
          <w:color w:val="14131B"/>
          <w:sz w:val="21"/>
          <w:szCs w:val="21"/>
        </w:rPr>
        <w:t xml:space="preserve"> </w:t>
      </w:r>
      <w:r w:rsidRPr="004F6FF5">
        <w:rPr>
          <w:rFonts w:ascii="Abadi" w:hAnsi="Abadi" w:cs="*Arial-8130-Identity-H"/>
          <w:color w:val="14131B"/>
          <w:sz w:val="21"/>
          <w:szCs w:val="21"/>
        </w:rPr>
        <w:t>garantizar la seguridad de las personas que asisten en los Espectáculos Públicos</w:t>
      </w:r>
      <w:r>
        <w:rPr>
          <w:rFonts w:ascii="Abadi" w:hAnsi="Abadi" w:cs="*Arial-8130-Identity-H"/>
          <w:color w:val="14131B"/>
          <w:sz w:val="21"/>
          <w:szCs w:val="21"/>
        </w:rPr>
        <w:t xml:space="preserve"> </w:t>
      </w:r>
      <w:r w:rsidRPr="004F6FF5">
        <w:rPr>
          <w:rFonts w:ascii="Abadi" w:hAnsi="Abadi" w:cs="*Arial-8130-Identity-H"/>
          <w:color w:val="14131B"/>
          <w:sz w:val="21"/>
          <w:szCs w:val="21"/>
        </w:rPr>
        <w:t>Masivos.</w:t>
      </w:r>
    </w:p>
    <w:p w14:paraId="240E419A" w14:textId="77777777" w:rsidR="005C0E00" w:rsidRPr="004F6FF5" w:rsidRDefault="005C0E00" w:rsidP="005C0E00">
      <w:pPr>
        <w:jc w:val="both"/>
        <w:rPr>
          <w:rFonts w:ascii="Abadi" w:hAnsi="Abadi" w:cs="*Arial-8130-Identity-H"/>
          <w:color w:val="14131B"/>
          <w:sz w:val="21"/>
          <w:szCs w:val="21"/>
        </w:rPr>
      </w:pPr>
    </w:p>
    <w:p w14:paraId="51F77A73" w14:textId="77777777" w:rsidR="005C0E00" w:rsidRDefault="005C0E00" w:rsidP="005C0E00">
      <w:pPr>
        <w:autoSpaceDE w:val="0"/>
        <w:autoSpaceDN w:val="0"/>
        <w:adjustRightInd w:val="0"/>
        <w:jc w:val="both"/>
        <w:rPr>
          <w:rFonts w:ascii="Abadi" w:hAnsi="Abadi" w:cs="*Arial-9157-Identity-H"/>
          <w:color w:val="16151C"/>
          <w:sz w:val="21"/>
          <w:szCs w:val="21"/>
        </w:rPr>
      </w:pPr>
      <w:r w:rsidRPr="004F6FF5">
        <w:rPr>
          <w:rFonts w:ascii="Abadi" w:hAnsi="Abadi" w:cs="*Arial-9157-Identity-H"/>
          <w:color w:val="16151C"/>
          <w:sz w:val="21"/>
          <w:szCs w:val="21"/>
        </w:rPr>
        <w:t>Además, el Gobierno del Estado tiene que revisar los permisos y las certificaciones</w:t>
      </w:r>
      <w:r>
        <w:rPr>
          <w:rFonts w:ascii="Abadi" w:hAnsi="Abadi" w:cs="*Arial-9157-Identity-H"/>
          <w:color w:val="16151C"/>
          <w:sz w:val="21"/>
          <w:szCs w:val="21"/>
        </w:rPr>
        <w:t xml:space="preserve"> </w:t>
      </w:r>
      <w:r w:rsidRPr="004F6FF5">
        <w:rPr>
          <w:rFonts w:ascii="Abadi" w:hAnsi="Abadi" w:cs="*Arial-9157-Identity-H"/>
          <w:color w:val="16151C"/>
          <w:sz w:val="21"/>
          <w:szCs w:val="21"/>
        </w:rPr>
        <w:t>de las empresas y elementos que prestan servicios de seguridad privada.</w:t>
      </w:r>
      <w:r>
        <w:rPr>
          <w:rFonts w:ascii="Abadi" w:hAnsi="Abadi" w:cs="*Arial-9157-Identity-H"/>
          <w:color w:val="16151C"/>
          <w:sz w:val="21"/>
          <w:szCs w:val="21"/>
        </w:rPr>
        <w:t xml:space="preserve"> </w:t>
      </w:r>
    </w:p>
    <w:p w14:paraId="1E216EE3" w14:textId="77777777" w:rsidR="005C0E00" w:rsidRDefault="005C0E00" w:rsidP="005C0E00">
      <w:pPr>
        <w:autoSpaceDE w:val="0"/>
        <w:autoSpaceDN w:val="0"/>
        <w:adjustRightInd w:val="0"/>
        <w:jc w:val="both"/>
        <w:rPr>
          <w:rFonts w:ascii="Abadi" w:hAnsi="Abadi" w:cs="*Arial-9157-Identity-H"/>
          <w:color w:val="16151C"/>
          <w:sz w:val="21"/>
          <w:szCs w:val="21"/>
        </w:rPr>
      </w:pPr>
    </w:p>
    <w:p w14:paraId="03A7BD88" w14:textId="77777777" w:rsidR="005C0E00" w:rsidRPr="004F6FF5" w:rsidRDefault="005C0E00" w:rsidP="005C0E00">
      <w:pPr>
        <w:autoSpaceDE w:val="0"/>
        <w:autoSpaceDN w:val="0"/>
        <w:adjustRightInd w:val="0"/>
        <w:jc w:val="both"/>
        <w:rPr>
          <w:rFonts w:ascii="Abadi" w:hAnsi="Abadi" w:cs="*Arial-Italic-9159-Identity-H"/>
          <w:i/>
          <w:iCs/>
          <w:color w:val="16151D"/>
          <w:sz w:val="21"/>
          <w:szCs w:val="21"/>
        </w:rPr>
      </w:pPr>
      <w:r w:rsidRPr="004F6FF5">
        <w:rPr>
          <w:rFonts w:ascii="Abadi" w:hAnsi="Abadi" w:cs="*Arial-9157-Identity-H"/>
          <w:color w:val="16151D"/>
          <w:sz w:val="21"/>
          <w:szCs w:val="21"/>
        </w:rPr>
        <w:t>Por otra parte, el artículo 48 de la Ley de Cultura Física y Deporte del Estado de</w:t>
      </w:r>
      <w:r>
        <w:rPr>
          <w:rFonts w:ascii="Abadi" w:hAnsi="Abadi" w:cs="*Arial-9157-Identity-H"/>
          <w:color w:val="16151D"/>
          <w:sz w:val="21"/>
          <w:szCs w:val="21"/>
        </w:rPr>
        <w:t xml:space="preserve"> </w:t>
      </w:r>
      <w:r w:rsidRPr="004F6FF5">
        <w:rPr>
          <w:rFonts w:ascii="Abadi" w:hAnsi="Abadi" w:cs="*Arial-9157-Identity-H"/>
          <w:color w:val="16151D"/>
          <w:sz w:val="21"/>
          <w:szCs w:val="21"/>
        </w:rPr>
        <w:t xml:space="preserve">Guanajuato es muy claro, </w:t>
      </w:r>
      <w:r w:rsidRPr="004F6FF5">
        <w:rPr>
          <w:rFonts w:ascii="Abadi" w:hAnsi="Abadi" w:cs="*Arial-Italic-9159-Identity-H"/>
          <w:i/>
          <w:iCs/>
          <w:color w:val="16151D"/>
          <w:sz w:val="21"/>
          <w:szCs w:val="21"/>
        </w:rPr>
        <w:t xml:space="preserve">"El Ejecutivo del estado, </w:t>
      </w:r>
      <w:r w:rsidRPr="004F6FF5">
        <w:rPr>
          <w:rFonts w:ascii="Abadi" w:hAnsi="Abadi" w:cs="*Arial-9157-Identity-H"/>
          <w:color w:val="16151D"/>
          <w:sz w:val="21"/>
          <w:szCs w:val="21"/>
        </w:rPr>
        <w:t xml:space="preserve">a </w:t>
      </w:r>
      <w:r w:rsidRPr="004F6FF5">
        <w:rPr>
          <w:rFonts w:ascii="Abadi" w:hAnsi="Abadi" w:cs="*Arial-Italic-9159-Identity-H"/>
          <w:i/>
          <w:iCs/>
          <w:color w:val="16151D"/>
          <w:sz w:val="21"/>
          <w:szCs w:val="21"/>
        </w:rPr>
        <w:t xml:space="preserve">través de la CODE </w:t>
      </w:r>
      <w:r w:rsidRPr="004F6FF5">
        <w:rPr>
          <w:rFonts w:ascii="Abadi" w:hAnsi="Abadi" w:cs="*Microsoft Sans Serif-Italic-91"/>
          <w:i/>
          <w:iCs/>
          <w:color w:val="16151D"/>
          <w:sz w:val="21"/>
          <w:szCs w:val="21"/>
        </w:rPr>
        <w:t xml:space="preserve">y </w:t>
      </w:r>
      <w:r w:rsidRPr="004F6FF5">
        <w:rPr>
          <w:rFonts w:ascii="Abadi" w:hAnsi="Abadi" w:cs="*Arial-Italic-9159-Identity-H"/>
          <w:i/>
          <w:iCs/>
          <w:color w:val="16151D"/>
          <w:sz w:val="21"/>
          <w:szCs w:val="21"/>
        </w:rPr>
        <w:t>los</w:t>
      </w:r>
      <w:r>
        <w:rPr>
          <w:rFonts w:ascii="Abadi" w:hAnsi="Abadi" w:cs="*Arial-Italic-9159-Identity-H"/>
          <w:i/>
          <w:iCs/>
          <w:color w:val="16151D"/>
          <w:sz w:val="21"/>
          <w:szCs w:val="21"/>
        </w:rPr>
        <w:t xml:space="preserve"> </w:t>
      </w:r>
      <w:r w:rsidRPr="004F6FF5">
        <w:rPr>
          <w:rFonts w:ascii="Abadi" w:hAnsi="Abadi" w:cs="*Arial-Italic-9159-Identity-H"/>
          <w:i/>
          <w:iCs/>
          <w:color w:val="16151D"/>
          <w:sz w:val="21"/>
          <w:szCs w:val="21"/>
        </w:rPr>
        <w:t>municipios promoverán con el sector social y privado, la participación y colaboración</w:t>
      </w:r>
      <w:r>
        <w:rPr>
          <w:rFonts w:ascii="Abadi" w:hAnsi="Abadi" w:cs="*Arial-Italic-9159-Identity-H"/>
          <w:i/>
          <w:iCs/>
          <w:color w:val="16151D"/>
          <w:sz w:val="21"/>
          <w:szCs w:val="21"/>
        </w:rPr>
        <w:t xml:space="preserve"> </w:t>
      </w:r>
      <w:r w:rsidRPr="004F6FF5">
        <w:rPr>
          <w:rFonts w:ascii="Abadi" w:hAnsi="Abadi" w:cs="*Arial-Italic-9159-Identity-H"/>
          <w:i/>
          <w:iCs/>
          <w:color w:val="16151D"/>
          <w:sz w:val="21"/>
          <w:szCs w:val="21"/>
        </w:rPr>
        <w:t xml:space="preserve">activa para: </w:t>
      </w:r>
      <w:r w:rsidRPr="004F6FF5">
        <w:rPr>
          <w:rFonts w:ascii="Abadi" w:hAnsi="Abadi" w:cs="*Arial-9157-Identity-H"/>
          <w:color w:val="16151D"/>
          <w:sz w:val="21"/>
          <w:szCs w:val="21"/>
        </w:rPr>
        <w:t xml:space="preserve">... </w:t>
      </w:r>
      <w:r w:rsidRPr="004F6FF5">
        <w:rPr>
          <w:rFonts w:ascii="Abadi" w:hAnsi="Abadi" w:cs="*Arial-Italic-9159-Identity-H"/>
          <w:i/>
          <w:iCs/>
          <w:color w:val="16151D"/>
          <w:sz w:val="21"/>
          <w:szCs w:val="21"/>
        </w:rPr>
        <w:t xml:space="preserve">VIII. promover los mecanismos y acciones encaminados </w:t>
      </w:r>
      <w:r w:rsidRPr="004F6FF5">
        <w:rPr>
          <w:rFonts w:ascii="Abadi" w:hAnsi="Abadi" w:cs="*Arial-9157-Identity-H"/>
          <w:color w:val="16151D"/>
          <w:sz w:val="21"/>
          <w:szCs w:val="21"/>
        </w:rPr>
        <w:t xml:space="preserve">a </w:t>
      </w:r>
      <w:r w:rsidRPr="004F6FF5">
        <w:rPr>
          <w:rFonts w:ascii="Abadi" w:hAnsi="Abadi" w:cs="*Arial-Italic-9159-Identity-H"/>
          <w:i/>
          <w:iCs/>
          <w:color w:val="16151D"/>
          <w:sz w:val="21"/>
          <w:szCs w:val="21"/>
        </w:rPr>
        <w:t>prevenir</w:t>
      </w:r>
      <w:r>
        <w:rPr>
          <w:rFonts w:ascii="Abadi" w:hAnsi="Abadi" w:cs="*Arial-Italic-9159-Identity-H"/>
          <w:i/>
          <w:iCs/>
          <w:color w:val="16151D"/>
          <w:sz w:val="21"/>
          <w:szCs w:val="21"/>
        </w:rPr>
        <w:t xml:space="preserve"> </w:t>
      </w:r>
      <w:r w:rsidRPr="004F6FF5">
        <w:rPr>
          <w:rFonts w:ascii="Abadi" w:hAnsi="Abadi" w:cs="*Arial-Italic-9159-Identity-H"/>
          <w:i/>
          <w:iCs/>
          <w:color w:val="16151D"/>
          <w:sz w:val="21"/>
          <w:szCs w:val="21"/>
        </w:rPr>
        <w:t>la violencia en eventos deportivos y garantizar el desarrollo pacífico en los recintos</w:t>
      </w:r>
      <w:r>
        <w:rPr>
          <w:rFonts w:ascii="Abadi" w:hAnsi="Abadi" w:cs="*Arial-Italic-9159-Identity-H"/>
          <w:i/>
          <w:iCs/>
          <w:color w:val="16151D"/>
          <w:sz w:val="21"/>
          <w:szCs w:val="21"/>
        </w:rPr>
        <w:t xml:space="preserve"> </w:t>
      </w:r>
      <w:r w:rsidRPr="004F6FF5">
        <w:rPr>
          <w:rFonts w:ascii="Abadi" w:hAnsi="Abadi" w:cs="*Arial-Italic-9159-Identity-H"/>
          <w:i/>
          <w:iCs/>
          <w:color w:val="16151D"/>
          <w:sz w:val="21"/>
          <w:szCs w:val="21"/>
        </w:rPr>
        <w:t>donde se celebren eventos deportivos masivos y con fines de espectáculo y en sus</w:t>
      </w:r>
      <w:r>
        <w:rPr>
          <w:rFonts w:ascii="Abadi" w:hAnsi="Abadi" w:cs="*Arial-Italic-9159-Identity-H"/>
          <w:i/>
          <w:iCs/>
          <w:color w:val="16151D"/>
          <w:sz w:val="21"/>
          <w:szCs w:val="21"/>
        </w:rPr>
        <w:t xml:space="preserve"> </w:t>
      </w:r>
      <w:r w:rsidRPr="004F6FF5">
        <w:rPr>
          <w:rFonts w:ascii="Abadi" w:hAnsi="Abadi" w:cs="*Arial-Italic-9159-Identity-H"/>
          <w:i/>
          <w:iCs/>
          <w:color w:val="16151D"/>
          <w:sz w:val="21"/>
          <w:szCs w:val="21"/>
        </w:rPr>
        <w:t>inmediaciones, así como la seguridad y patrimonio de las personas, en coordinación</w:t>
      </w:r>
      <w:r>
        <w:rPr>
          <w:rFonts w:ascii="Abadi" w:hAnsi="Abadi" w:cs="*Arial-Italic-9159-Identity-H"/>
          <w:i/>
          <w:iCs/>
          <w:color w:val="16151D"/>
          <w:sz w:val="21"/>
          <w:szCs w:val="21"/>
        </w:rPr>
        <w:t xml:space="preserve"> </w:t>
      </w:r>
      <w:r w:rsidRPr="004F6FF5">
        <w:rPr>
          <w:rFonts w:ascii="Abadi" w:hAnsi="Abadi" w:cs="*Arial-Italic-9159-Identity-H"/>
          <w:i/>
          <w:iCs/>
          <w:color w:val="16151D"/>
          <w:sz w:val="21"/>
          <w:szCs w:val="21"/>
        </w:rPr>
        <w:t>con las autoridades de Seguridad Pública, Privada y de Protección Civil</w:t>
      </w:r>
      <w:r>
        <w:rPr>
          <w:rFonts w:ascii="Abadi" w:hAnsi="Abadi" w:cs="*Arial-Italic-9159-Identity-H"/>
          <w:i/>
          <w:iCs/>
          <w:color w:val="16151D"/>
          <w:sz w:val="21"/>
          <w:szCs w:val="21"/>
        </w:rPr>
        <w:t xml:space="preserve"> </w:t>
      </w:r>
      <w:r w:rsidRPr="004F6FF5">
        <w:rPr>
          <w:rFonts w:ascii="Abadi" w:hAnsi="Abadi" w:cs="*Arial-Italic-9159-Identity-H"/>
          <w:i/>
          <w:iCs/>
          <w:color w:val="16151D"/>
          <w:sz w:val="21"/>
          <w:szCs w:val="21"/>
        </w:rPr>
        <w:t>correspondientes".</w:t>
      </w:r>
    </w:p>
    <w:p w14:paraId="551EAD52" w14:textId="77777777" w:rsidR="005C0E00" w:rsidRDefault="005C0E00" w:rsidP="005C0E00">
      <w:pPr>
        <w:autoSpaceDE w:val="0"/>
        <w:autoSpaceDN w:val="0"/>
        <w:adjustRightInd w:val="0"/>
        <w:jc w:val="both"/>
        <w:rPr>
          <w:rFonts w:ascii="Abadi" w:hAnsi="Abadi" w:cs="*Arial-Bold-9158-Identity-H"/>
          <w:b/>
          <w:bCs/>
          <w:color w:val="14131E"/>
          <w:sz w:val="21"/>
          <w:szCs w:val="21"/>
        </w:rPr>
      </w:pPr>
    </w:p>
    <w:p w14:paraId="14EC155B" w14:textId="77777777" w:rsidR="005C0E00" w:rsidRDefault="005C0E00" w:rsidP="005C0E00">
      <w:pPr>
        <w:autoSpaceDE w:val="0"/>
        <w:autoSpaceDN w:val="0"/>
        <w:adjustRightInd w:val="0"/>
        <w:jc w:val="both"/>
        <w:rPr>
          <w:rFonts w:ascii="Abadi" w:hAnsi="Abadi" w:cs="*Arial-Bold-9158-Identity-H"/>
          <w:b/>
          <w:bCs/>
          <w:color w:val="14131E"/>
          <w:sz w:val="21"/>
          <w:szCs w:val="21"/>
        </w:rPr>
      </w:pPr>
      <w:r>
        <w:rPr>
          <w:rFonts w:ascii="Abadi" w:hAnsi="Abadi" w:cs="*Arial-Bold-9158-Identity-H"/>
          <w:b/>
          <w:bCs/>
          <w:color w:val="14131E"/>
          <w:sz w:val="21"/>
          <w:szCs w:val="21"/>
        </w:rPr>
        <w:t>III</w:t>
      </w:r>
      <w:r w:rsidRPr="004F6FF5">
        <w:rPr>
          <w:rFonts w:ascii="Abadi" w:hAnsi="Abadi" w:cs="*Arial-Bold-9158-Identity-H"/>
          <w:b/>
          <w:bCs/>
          <w:color w:val="14131E"/>
          <w:sz w:val="21"/>
          <w:szCs w:val="21"/>
        </w:rPr>
        <w:t>. Consideraciones de quienes integran la comisión.</w:t>
      </w:r>
    </w:p>
    <w:p w14:paraId="3FFC137C" w14:textId="77777777" w:rsidR="005C0E00" w:rsidRPr="004F6FF5" w:rsidRDefault="005C0E00" w:rsidP="005C0E00">
      <w:pPr>
        <w:autoSpaceDE w:val="0"/>
        <w:autoSpaceDN w:val="0"/>
        <w:adjustRightInd w:val="0"/>
        <w:jc w:val="both"/>
        <w:rPr>
          <w:rFonts w:ascii="Abadi" w:hAnsi="Abadi" w:cs="*Arial-Bold-9158-Identity-H"/>
          <w:b/>
          <w:bCs/>
          <w:color w:val="14131E"/>
          <w:sz w:val="21"/>
          <w:szCs w:val="21"/>
        </w:rPr>
      </w:pPr>
    </w:p>
    <w:p w14:paraId="44844434" w14:textId="77777777" w:rsidR="005C0E00" w:rsidRDefault="005C0E00" w:rsidP="005C0E00">
      <w:pPr>
        <w:autoSpaceDE w:val="0"/>
        <w:autoSpaceDN w:val="0"/>
        <w:adjustRightInd w:val="0"/>
        <w:jc w:val="both"/>
        <w:rPr>
          <w:rFonts w:ascii="Abadi" w:hAnsi="Abadi" w:cs="*Arial-9157-Identity-H"/>
          <w:color w:val="14141C"/>
          <w:sz w:val="21"/>
          <w:szCs w:val="21"/>
        </w:rPr>
      </w:pPr>
      <w:r w:rsidRPr="004F6FF5">
        <w:rPr>
          <w:rFonts w:ascii="Abadi" w:hAnsi="Abadi" w:cs="*Arial-9157-Identity-H"/>
          <w:color w:val="14141C"/>
          <w:sz w:val="21"/>
          <w:szCs w:val="21"/>
        </w:rPr>
        <w:t>El Estado mexicano tiene la obligación de proteger y garantizar los derechos</w:t>
      </w:r>
      <w:r>
        <w:rPr>
          <w:rFonts w:ascii="Abadi" w:hAnsi="Abadi" w:cs="*Arial-9157-Identity-H"/>
          <w:color w:val="14141C"/>
          <w:sz w:val="21"/>
          <w:szCs w:val="21"/>
        </w:rPr>
        <w:t xml:space="preserve"> </w:t>
      </w:r>
      <w:r w:rsidRPr="004F6FF5">
        <w:rPr>
          <w:rFonts w:ascii="Abadi" w:hAnsi="Abadi" w:cs="*Arial-9157-Identity-H"/>
          <w:color w:val="14141C"/>
          <w:sz w:val="21"/>
          <w:szCs w:val="21"/>
        </w:rPr>
        <w:t>humanos reconocidos en la Constitución y en los tratados internacionales</w:t>
      </w:r>
      <w:r>
        <w:rPr>
          <w:rFonts w:ascii="Abadi" w:hAnsi="Abadi" w:cs="*Arial-9157-Identity-H"/>
          <w:color w:val="14141C"/>
          <w:sz w:val="21"/>
          <w:szCs w:val="21"/>
        </w:rPr>
        <w:t xml:space="preserve"> </w:t>
      </w:r>
      <w:r w:rsidRPr="004F6FF5">
        <w:rPr>
          <w:rFonts w:ascii="Abadi" w:hAnsi="Abadi" w:cs="*Arial-9157-Identity-H"/>
          <w:color w:val="14141C"/>
          <w:sz w:val="21"/>
          <w:szCs w:val="21"/>
        </w:rPr>
        <w:t>ratificados por éste, en este sentido, todas las autoridades del país deben hacer</w:t>
      </w:r>
      <w:r>
        <w:rPr>
          <w:rFonts w:ascii="Abadi" w:hAnsi="Abadi" w:cs="*Arial-9157-Identity-H"/>
          <w:color w:val="14141C"/>
          <w:sz w:val="21"/>
          <w:szCs w:val="21"/>
        </w:rPr>
        <w:t xml:space="preserve"> </w:t>
      </w:r>
      <w:r w:rsidRPr="004F6FF5">
        <w:rPr>
          <w:rFonts w:ascii="Abadi" w:hAnsi="Abadi" w:cs="*Arial-9157-Identity-H"/>
          <w:color w:val="14141C"/>
          <w:sz w:val="21"/>
          <w:szCs w:val="21"/>
        </w:rPr>
        <w:t>efectiva la aplicación de la totalidad de las obligaciones reconocidas</w:t>
      </w:r>
      <w:r>
        <w:rPr>
          <w:rFonts w:ascii="Abadi" w:hAnsi="Abadi" w:cs="*Arial-9157-Identity-H"/>
          <w:color w:val="14141C"/>
          <w:sz w:val="21"/>
          <w:szCs w:val="21"/>
        </w:rPr>
        <w:t xml:space="preserve"> </w:t>
      </w:r>
      <w:r w:rsidRPr="004F6FF5">
        <w:rPr>
          <w:rFonts w:ascii="Abadi" w:hAnsi="Abadi" w:cs="*Arial-9157-Identity-H"/>
          <w:color w:val="14141C"/>
          <w:sz w:val="21"/>
          <w:szCs w:val="21"/>
        </w:rPr>
        <w:t>constitucionalmente.</w:t>
      </w:r>
    </w:p>
    <w:p w14:paraId="213955A9" w14:textId="77777777" w:rsidR="005C0E00" w:rsidRPr="004F6FF5" w:rsidRDefault="005C0E00" w:rsidP="005C0E00">
      <w:pPr>
        <w:autoSpaceDE w:val="0"/>
        <w:autoSpaceDN w:val="0"/>
        <w:adjustRightInd w:val="0"/>
        <w:jc w:val="both"/>
        <w:rPr>
          <w:rFonts w:ascii="Abadi" w:hAnsi="Abadi" w:cs="*Arial-9157-Identity-H"/>
          <w:color w:val="14141C"/>
          <w:sz w:val="21"/>
          <w:szCs w:val="21"/>
        </w:rPr>
      </w:pPr>
    </w:p>
    <w:p w14:paraId="2F97F4E9" w14:textId="77777777" w:rsidR="005C0E00" w:rsidRPr="004F6FF5" w:rsidRDefault="005C0E00" w:rsidP="005C0E00">
      <w:pPr>
        <w:autoSpaceDE w:val="0"/>
        <w:autoSpaceDN w:val="0"/>
        <w:adjustRightInd w:val="0"/>
        <w:jc w:val="both"/>
        <w:rPr>
          <w:rFonts w:ascii="Abadi" w:hAnsi="Abadi" w:cs="*Arial-9157-Identity-H"/>
          <w:color w:val="14131C"/>
          <w:sz w:val="21"/>
          <w:szCs w:val="21"/>
        </w:rPr>
      </w:pPr>
      <w:r w:rsidRPr="004F6FF5">
        <w:rPr>
          <w:rFonts w:ascii="Abadi" w:hAnsi="Abadi" w:cs="*Arial-9157-Identity-H"/>
          <w:color w:val="14131C"/>
          <w:sz w:val="21"/>
          <w:szCs w:val="21"/>
        </w:rPr>
        <w:t>El derecho al deporte fue reconocido en el texto constitucional en octubre de 2011</w:t>
      </w:r>
      <w:r>
        <w:rPr>
          <w:rFonts w:ascii="Abadi" w:hAnsi="Abadi" w:cs="*Arial-9157-Identity-H"/>
          <w:color w:val="14131C"/>
          <w:sz w:val="21"/>
          <w:szCs w:val="21"/>
        </w:rPr>
        <w:t xml:space="preserve"> </w:t>
      </w:r>
      <w:r w:rsidRPr="004F6FF5">
        <w:rPr>
          <w:rFonts w:ascii="Abadi" w:hAnsi="Abadi" w:cs="*Arial-9157-Identity-H"/>
          <w:color w:val="14131C"/>
          <w:sz w:val="21"/>
          <w:szCs w:val="21"/>
        </w:rPr>
        <w:t>mediante una adición al artículo cuarto, en la que se establece que "Toda persona</w:t>
      </w:r>
      <w:r>
        <w:rPr>
          <w:rFonts w:ascii="Abadi" w:hAnsi="Abadi" w:cs="*Arial-9157-Identity-H"/>
          <w:color w:val="14131C"/>
          <w:sz w:val="21"/>
          <w:szCs w:val="21"/>
        </w:rPr>
        <w:t xml:space="preserve"> </w:t>
      </w:r>
      <w:r w:rsidRPr="004F6FF5">
        <w:rPr>
          <w:rFonts w:ascii="Abadi" w:hAnsi="Abadi" w:cs="*Arial-9157-Identity-H"/>
          <w:color w:val="14131C"/>
          <w:sz w:val="21"/>
          <w:szCs w:val="21"/>
        </w:rPr>
        <w:t>tiene derecho a la cultura física y a la práctica del deporte. Corresponde al Estado</w:t>
      </w:r>
      <w:r>
        <w:rPr>
          <w:rFonts w:ascii="Abadi" w:hAnsi="Abadi" w:cs="*Arial-9157-Identity-H"/>
          <w:color w:val="14131C"/>
          <w:sz w:val="21"/>
          <w:szCs w:val="21"/>
        </w:rPr>
        <w:t xml:space="preserve"> </w:t>
      </w:r>
      <w:r w:rsidRPr="004F6FF5">
        <w:rPr>
          <w:rFonts w:ascii="Abadi" w:hAnsi="Abadi" w:cs="*Arial-9157-Identity-H"/>
          <w:color w:val="14131C"/>
          <w:sz w:val="21"/>
          <w:szCs w:val="21"/>
        </w:rPr>
        <w:t>su promoción, fomento y estímulo conforme a las leyes en la materia".</w:t>
      </w:r>
    </w:p>
    <w:p w14:paraId="739B512E" w14:textId="77777777" w:rsidR="005C0E00" w:rsidRPr="004F6FF5" w:rsidRDefault="005C0E00" w:rsidP="005C0E00">
      <w:pPr>
        <w:jc w:val="both"/>
        <w:rPr>
          <w:rFonts w:ascii="Abadi" w:hAnsi="Abadi" w:cs="*Arial-9157-Identity-H"/>
          <w:color w:val="14131C"/>
          <w:sz w:val="21"/>
          <w:szCs w:val="21"/>
        </w:rPr>
      </w:pPr>
    </w:p>
    <w:p w14:paraId="288636F1" w14:textId="77777777" w:rsidR="005C0E00" w:rsidRDefault="005C0E00" w:rsidP="005C0E00">
      <w:pPr>
        <w:autoSpaceDE w:val="0"/>
        <w:autoSpaceDN w:val="0"/>
        <w:adjustRightInd w:val="0"/>
        <w:jc w:val="both"/>
        <w:rPr>
          <w:rFonts w:ascii="Abadi" w:hAnsi="Abadi" w:cs="*Arial-7819-Identity-H"/>
          <w:color w:val="14131B"/>
          <w:sz w:val="21"/>
          <w:szCs w:val="21"/>
        </w:rPr>
      </w:pPr>
      <w:r w:rsidRPr="004F6FF5">
        <w:rPr>
          <w:rFonts w:ascii="Abadi" w:hAnsi="Abadi" w:cs="*Arial-7819-Identity-H"/>
          <w:color w:val="14131B"/>
          <w:sz w:val="21"/>
          <w:szCs w:val="21"/>
        </w:rPr>
        <w:t>Esta disposición constitucional que por una parte reconoce el derecho a la práctica</w:t>
      </w:r>
      <w:r>
        <w:rPr>
          <w:rFonts w:ascii="Abadi" w:hAnsi="Abadi" w:cs="*Arial-7819-Identity-H"/>
          <w:color w:val="14131B"/>
          <w:sz w:val="21"/>
          <w:szCs w:val="21"/>
        </w:rPr>
        <w:t xml:space="preserve"> </w:t>
      </w:r>
      <w:r w:rsidRPr="004F6FF5">
        <w:rPr>
          <w:rFonts w:ascii="Abadi" w:hAnsi="Abadi" w:cs="*Arial-7819-Identity-H"/>
          <w:color w:val="14131B"/>
          <w:sz w:val="21"/>
          <w:szCs w:val="21"/>
        </w:rPr>
        <w:t>deportiva (libertad de practicar un deporte de acuerdo a los gustos, preferencias y</w:t>
      </w:r>
      <w:r>
        <w:rPr>
          <w:rFonts w:ascii="Abadi" w:hAnsi="Abadi" w:cs="*Arial-7819-Identity-H"/>
          <w:color w:val="14131B"/>
          <w:sz w:val="21"/>
          <w:szCs w:val="21"/>
        </w:rPr>
        <w:t xml:space="preserve"> </w:t>
      </w:r>
      <w:r w:rsidRPr="004F6FF5">
        <w:rPr>
          <w:rFonts w:ascii="Abadi" w:hAnsi="Abadi" w:cs="*Arial-7819-Identity-H"/>
          <w:color w:val="14131B"/>
          <w:sz w:val="21"/>
          <w:szCs w:val="21"/>
        </w:rPr>
        <w:t>aptitudes de cada persona), implica la obligación de respeto por parte del Estado</w:t>
      </w:r>
      <w:r>
        <w:rPr>
          <w:rFonts w:ascii="Abadi" w:hAnsi="Abadi" w:cs="*Arial-7819-Identity-H"/>
          <w:color w:val="14131B"/>
          <w:sz w:val="21"/>
          <w:szCs w:val="21"/>
        </w:rPr>
        <w:t xml:space="preserve"> </w:t>
      </w:r>
      <w:r w:rsidRPr="004F6FF5">
        <w:rPr>
          <w:rFonts w:ascii="Abadi" w:hAnsi="Abadi" w:cs="*Arial-7819-Identity-H"/>
          <w:color w:val="14131B"/>
          <w:sz w:val="21"/>
          <w:szCs w:val="21"/>
        </w:rPr>
        <w:t>de no interferir en el ejercicio libre de las prácticas deportivas, pero por otra parte,</w:t>
      </w:r>
      <w:r>
        <w:rPr>
          <w:rFonts w:ascii="Abadi" w:hAnsi="Abadi" w:cs="*Arial-7819-Identity-H"/>
          <w:color w:val="14131B"/>
          <w:sz w:val="21"/>
          <w:szCs w:val="21"/>
        </w:rPr>
        <w:t xml:space="preserve"> </w:t>
      </w:r>
      <w:r w:rsidRPr="004F6FF5">
        <w:rPr>
          <w:rFonts w:ascii="Abadi" w:hAnsi="Abadi" w:cs="*Arial-7819-Identity-H"/>
          <w:color w:val="14131B"/>
          <w:sz w:val="21"/>
          <w:szCs w:val="21"/>
        </w:rPr>
        <w:t>se le atribuye al Estado el papel de garante, de promotor eficaz del derecho para</w:t>
      </w:r>
      <w:r>
        <w:rPr>
          <w:rFonts w:ascii="Abadi" w:hAnsi="Abadi" w:cs="*Arial-7819-Identity-H"/>
          <w:color w:val="14131B"/>
          <w:sz w:val="21"/>
          <w:szCs w:val="21"/>
        </w:rPr>
        <w:t xml:space="preserve"> </w:t>
      </w:r>
      <w:r w:rsidRPr="004F6FF5">
        <w:rPr>
          <w:rFonts w:ascii="Abadi" w:hAnsi="Abadi" w:cs="*Arial-7819-Identity-H"/>
          <w:color w:val="14131B"/>
          <w:sz w:val="21"/>
          <w:szCs w:val="21"/>
        </w:rPr>
        <w:t>facilitar la incorporación de todas las personas a la cultura física, promoviendo la</w:t>
      </w:r>
      <w:r>
        <w:rPr>
          <w:rFonts w:ascii="Abadi" w:hAnsi="Abadi" w:cs="*Arial-7819-Identity-H"/>
          <w:color w:val="14131B"/>
          <w:sz w:val="21"/>
          <w:szCs w:val="21"/>
        </w:rPr>
        <w:t xml:space="preserve"> </w:t>
      </w:r>
      <w:r w:rsidRPr="004F6FF5">
        <w:rPr>
          <w:rFonts w:ascii="Abadi" w:hAnsi="Abadi" w:cs="*Arial-7819-Identity-H"/>
          <w:color w:val="14131B"/>
          <w:sz w:val="21"/>
          <w:szCs w:val="21"/>
        </w:rPr>
        <w:t>práctica del deporte en sus diferentes manifestaciones y asegurándose de</w:t>
      </w:r>
      <w:r>
        <w:rPr>
          <w:rFonts w:ascii="Abadi" w:hAnsi="Abadi" w:cs="*Arial-7819-Identity-H"/>
          <w:color w:val="14131B"/>
          <w:sz w:val="21"/>
          <w:szCs w:val="21"/>
        </w:rPr>
        <w:t xml:space="preserve"> </w:t>
      </w:r>
      <w:r w:rsidRPr="004F6FF5">
        <w:rPr>
          <w:rFonts w:ascii="Abadi" w:hAnsi="Abadi" w:cs="*Arial-7819-Identity-H"/>
          <w:color w:val="14131B"/>
          <w:sz w:val="21"/>
          <w:szCs w:val="21"/>
        </w:rPr>
        <w:t>que existen las condiciones previas para su ejercicio.</w:t>
      </w:r>
    </w:p>
    <w:p w14:paraId="3FF67E50" w14:textId="77777777" w:rsidR="005C0E00" w:rsidRDefault="005C0E00" w:rsidP="005C0E00">
      <w:pPr>
        <w:autoSpaceDE w:val="0"/>
        <w:autoSpaceDN w:val="0"/>
        <w:adjustRightInd w:val="0"/>
        <w:jc w:val="both"/>
        <w:rPr>
          <w:rFonts w:ascii="Abadi" w:hAnsi="Abadi" w:cs="*Arial-7819-Identity-H"/>
          <w:color w:val="14131B"/>
          <w:sz w:val="21"/>
          <w:szCs w:val="21"/>
        </w:rPr>
      </w:pPr>
    </w:p>
    <w:p w14:paraId="579F4610" w14:textId="77777777" w:rsidR="005C0E00" w:rsidRPr="004F6FF5" w:rsidRDefault="005C0E00" w:rsidP="005C0E00">
      <w:pPr>
        <w:autoSpaceDE w:val="0"/>
        <w:autoSpaceDN w:val="0"/>
        <w:adjustRightInd w:val="0"/>
        <w:jc w:val="both"/>
        <w:rPr>
          <w:rFonts w:ascii="Abadi" w:hAnsi="Abadi" w:cs="*Arial-7819-Identity-H"/>
          <w:color w:val="14131B"/>
          <w:sz w:val="21"/>
          <w:szCs w:val="21"/>
        </w:rPr>
      </w:pPr>
    </w:p>
    <w:p w14:paraId="144FC82E" w14:textId="77777777" w:rsidR="005C0E00" w:rsidRDefault="005C0E00" w:rsidP="005C0E00">
      <w:pPr>
        <w:autoSpaceDE w:val="0"/>
        <w:autoSpaceDN w:val="0"/>
        <w:adjustRightInd w:val="0"/>
        <w:jc w:val="both"/>
        <w:rPr>
          <w:rFonts w:ascii="Abadi" w:hAnsi="Abadi" w:cs="*Arial-7819-Identity-H"/>
          <w:color w:val="14131B"/>
          <w:sz w:val="21"/>
          <w:szCs w:val="21"/>
        </w:rPr>
      </w:pPr>
      <w:r w:rsidRPr="004F6FF5">
        <w:rPr>
          <w:rFonts w:ascii="Abadi" w:hAnsi="Abadi" w:cs="*Arial-7819-Identity-H"/>
          <w:color w:val="14131B"/>
          <w:sz w:val="21"/>
          <w:szCs w:val="21"/>
        </w:rPr>
        <w:t>Las obligaciones en materia de derechos humanos son el mapa que nos permite</w:t>
      </w:r>
      <w:r>
        <w:rPr>
          <w:rFonts w:ascii="Abadi" w:hAnsi="Abadi" w:cs="*Arial-7819-Identity-H"/>
          <w:color w:val="14131B"/>
          <w:sz w:val="21"/>
          <w:szCs w:val="21"/>
        </w:rPr>
        <w:t xml:space="preserve"> </w:t>
      </w:r>
      <w:r w:rsidRPr="004F6FF5">
        <w:rPr>
          <w:rFonts w:ascii="Abadi" w:hAnsi="Abadi" w:cs="*Arial-7819-Identity-H"/>
          <w:color w:val="14131B"/>
          <w:sz w:val="21"/>
          <w:szCs w:val="21"/>
        </w:rPr>
        <w:t>ubicar las conductas exigibles tanto respecto de casos particulares como en</w:t>
      </w:r>
      <w:r>
        <w:rPr>
          <w:rFonts w:ascii="Abadi" w:hAnsi="Abadi" w:cs="*Arial-7819-Identity-H"/>
          <w:color w:val="14131B"/>
          <w:sz w:val="21"/>
          <w:szCs w:val="21"/>
        </w:rPr>
        <w:t xml:space="preserve"> </w:t>
      </w:r>
      <w:r w:rsidRPr="004F6FF5">
        <w:rPr>
          <w:rFonts w:ascii="Abadi" w:hAnsi="Abadi" w:cs="*Arial-7819-Identity-H"/>
          <w:color w:val="14131B"/>
          <w:sz w:val="21"/>
          <w:szCs w:val="21"/>
        </w:rPr>
        <w:t>relación con la adopción de medidas y legislación, de lo que se trata es de hacer</w:t>
      </w:r>
      <w:r>
        <w:rPr>
          <w:rFonts w:ascii="Abadi" w:hAnsi="Abadi" w:cs="*Arial-7819-Identity-H"/>
          <w:color w:val="14131B"/>
          <w:sz w:val="21"/>
          <w:szCs w:val="21"/>
        </w:rPr>
        <w:t xml:space="preserve"> </w:t>
      </w:r>
      <w:r w:rsidRPr="004F6FF5">
        <w:rPr>
          <w:rFonts w:ascii="Abadi" w:hAnsi="Abadi" w:cs="*Arial-7819-Identity-H"/>
          <w:color w:val="14131B"/>
          <w:sz w:val="21"/>
          <w:szCs w:val="21"/>
        </w:rPr>
        <w:t>una lectura de los derechos a la luz de cada una de las obligaciones.</w:t>
      </w:r>
      <w:r>
        <w:rPr>
          <w:rFonts w:ascii="Abadi" w:hAnsi="Abadi" w:cs="*Arial-7819-Identity-H"/>
          <w:color w:val="14131B"/>
          <w:sz w:val="21"/>
          <w:szCs w:val="21"/>
        </w:rPr>
        <w:t xml:space="preserve"> </w:t>
      </w:r>
    </w:p>
    <w:p w14:paraId="53BF438F" w14:textId="77777777" w:rsidR="005C0E00" w:rsidRDefault="005C0E00" w:rsidP="005C0E00">
      <w:pPr>
        <w:autoSpaceDE w:val="0"/>
        <w:autoSpaceDN w:val="0"/>
        <w:adjustRightInd w:val="0"/>
        <w:jc w:val="both"/>
        <w:rPr>
          <w:rFonts w:ascii="Abadi" w:hAnsi="Abadi" w:cs="*Arial-7819-Identity-H"/>
          <w:color w:val="14131B"/>
          <w:sz w:val="21"/>
          <w:szCs w:val="21"/>
        </w:rPr>
      </w:pPr>
    </w:p>
    <w:p w14:paraId="6B8F9D4A" w14:textId="77777777" w:rsidR="005C0E00" w:rsidRDefault="005C0E00" w:rsidP="005C0E00">
      <w:pPr>
        <w:autoSpaceDE w:val="0"/>
        <w:autoSpaceDN w:val="0"/>
        <w:adjustRightInd w:val="0"/>
        <w:jc w:val="both"/>
        <w:rPr>
          <w:rFonts w:ascii="Abadi" w:hAnsi="Abadi" w:cs="*Arial-7819-Identity-H"/>
          <w:color w:val="10141C"/>
          <w:sz w:val="21"/>
          <w:szCs w:val="21"/>
        </w:rPr>
      </w:pPr>
      <w:r w:rsidRPr="004F6FF5">
        <w:rPr>
          <w:rFonts w:ascii="Abadi" w:hAnsi="Abadi" w:cs="*Arial-7819-Identity-H"/>
          <w:color w:val="10141C"/>
          <w:sz w:val="21"/>
          <w:szCs w:val="21"/>
        </w:rPr>
        <w:t>El deporte - espectáculo es una expresión que forma parte de la cultura física o</w:t>
      </w:r>
      <w:r>
        <w:rPr>
          <w:rFonts w:ascii="Abadi" w:hAnsi="Abadi" w:cs="*Arial-7819-Identity-H"/>
          <w:color w:val="10141C"/>
          <w:sz w:val="21"/>
          <w:szCs w:val="21"/>
        </w:rPr>
        <w:t xml:space="preserve"> </w:t>
      </w:r>
      <w:r w:rsidRPr="004F6FF5">
        <w:rPr>
          <w:rFonts w:ascii="Abadi" w:hAnsi="Abadi" w:cs="*Arial-7819-Identity-H"/>
          <w:color w:val="10141C"/>
          <w:sz w:val="21"/>
          <w:szCs w:val="21"/>
        </w:rPr>
        <w:t>cultura deportiva del país y que por lo tanto debe ser garantizado. Estamos de</w:t>
      </w:r>
      <w:r>
        <w:rPr>
          <w:rFonts w:ascii="Abadi" w:hAnsi="Abadi" w:cs="*Arial-7819-Identity-H"/>
          <w:color w:val="10141C"/>
          <w:sz w:val="21"/>
          <w:szCs w:val="21"/>
        </w:rPr>
        <w:t xml:space="preserve"> </w:t>
      </w:r>
      <w:r w:rsidRPr="004F6FF5">
        <w:rPr>
          <w:rFonts w:ascii="Abadi" w:hAnsi="Abadi" w:cs="*Arial-7819-Identity-H"/>
          <w:color w:val="10141C"/>
          <w:sz w:val="21"/>
          <w:szCs w:val="21"/>
        </w:rPr>
        <w:t>acuerdo en generar un marco seguro para que las familias mexicanas puedan</w:t>
      </w:r>
      <w:r>
        <w:rPr>
          <w:rFonts w:ascii="Abadi" w:hAnsi="Abadi" w:cs="*Arial-7819-Identity-H"/>
          <w:color w:val="10141C"/>
          <w:sz w:val="21"/>
          <w:szCs w:val="21"/>
        </w:rPr>
        <w:t xml:space="preserve"> </w:t>
      </w:r>
      <w:r w:rsidRPr="004F6FF5">
        <w:rPr>
          <w:rFonts w:ascii="Abadi" w:hAnsi="Abadi" w:cs="*Arial-7819-Identity-H"/>
          <w:color w:val="10141C"/>
          <w:sz w:val="21"/>
          <w:szCs w:val="21"/>
        </w:rPr>
        <w:t>disfrutar de los eventos deportivos, o de cualquier evento público masivo, de forma</w:t>
      </w:r>
      <w:r>
        <w:rPr>
          <w:rFonts w:ascii="Abadi" w:hAnsi="Abadi" w:cs="*Arial-7819-Identity-H"/>
          <w:color w:val="10141C"/>
          <w:sz w:val="21"/>
          <w:szCs w:val="21"/>
        </w:rPr>
        <w:t xml:space="preserve"> </w:t>
      </w:r>
      <w:r w:rsidRPr="004F6FF5">
        <w:rPr>
          <w:rFonts w:ascii="Abadi" w:hAnsi="Abadi" w:cs="*Arial-7819-Identity-H"/>
          <w:color w:val="10141C"/>
          <w:sz w:val="21"/>
          <w:szCs w:val="21"/>
        </w:rPr>
        <w:t>pacífica y segura.</w:t>
      </w:r>
    </w:p>
    <w:p w14:paraId="7F91FFA3" w14:textId="77777777" w:rsidR="005C0E00" w:rsidRPr="004F6FF5" w:rsidRDefault="005C0E00" w:rsidP="005C0E00">
      <w:pPr>
        <w:autoSpaceDE w:val="0"/>
        <w:autoSpaceDN w:val="0"/>
        <w:adjustRightInd w:val="0"/>
        <w:jc w:val="both"/>
        <w:rPr>
          <w:rFonts w:ascii="Abadi" w:hAnsi="Abadi" w:cs="*Arial-7819-Identity-H"/>
          <w:color w:val="10141C"/>
          <w:sz w:val="21"/>
          <w:szCs w:val="21"/>
        </w:rPr>
      </w:pPr>
    </w:p>
    <w:p w14:paraId="1F0915D0" w14:textId="77777777" w:rsidR="005C0E00" w:rsidRDefault="005C0E00" w:rsidP="005C0E00">
      <w:pPr>
        <w:autoSpaceDE w:val="0"/>
        <w:autoSpaceDN w:val="0"/>
        <w:adjustRightInd w:val="0"/>
        <w:jc w:val="both"/>
        <w:rPr>
          <w:rFonts w:ascii="Abadi" w:hAnsi="Abadi" w:cs="*Arial-7819-Identity-H"/>
          <w:color w:val="14131C"/>
          <w:sz w:val="21"/>
          <w:szCs w:val="21"/>
        </w:rPr>
      </w:pPr>
      <w:r w:rsidRPr="004F6FF5">
        <w:rPr>
          <w:rFonts w:ascii="Abadi" w:hAnsi="Abadi" w:cs="*Arial-7819-Identity-H"/>
          <w:color w:val="14131C"/>
          <w:sz w:val="21"/>
          <w:szCs w:val="21"/>
        </w:rPr>
        <w:t>En el momento que se realiza, y se permite que surja, un acto de violencia en un</w:t>
      </w:r>
      <w:r>
        <w:rPr>
          <w:rFonts w:ascii="Abadi" w:hAnsi="Abadi" w:cs="*Arial-7819-Identity-H"/>
          <w:color w:val="14131C"/>
          <w:sz w:val="21"/>
          <w:szCs w:val="21"/>
        </w:rPr>
        <w:t xml:space="preserve"> </w:t>
      </w:r>
      <w:r w:rsidRPr="004F6FF5">
        <w:rPr>
          <w:rFonts w:ascii="Abadi" w:hAnsi="Abadi" w:cs="*Arial-7819-Identity-H"/>
          <w:color w:val="14131C"/>
          <w:sz w:val="21"/>
          <w:szCs w:val="21"/>
        </w:rPr>
        <w:t>evento deportivo se atenta de además contra el disfrute y el pleno ejercicio de los</w:t>
      </w:r>
      <w:r>
        <w:rPr>
          <w:rFonts w:ascii="Abadi" w:hAnsi="Abadi" w:cs="*Arial-7819-Identity-H"/>
          <w:color w:val="14131C"/>
          <w:sz w:val="21"/>
          <w:szCs w:val="21"/>
        </w:rPr>
        <w:t xml:space="preserve"> </w:t>
      </w:r>
      <w:r w:rsidRPr="004F6FF5">
        <w:rPr>
          <w:rFonts w:ascii="Abadi" w:hAnsi="Abadi" w:cs="*Arial-7819-Identity-H"/>
          <w:color w:val="14131C"/>
          <w:sz w:val="21"/>
          <w:szCs w:val="21"/>
        </w:rPr>
        <w:t>derechos, como la seguridad, el desarrollo integral de la familia, entre otros</w:t>
      </w:r>
      <w:r>
        <w:rPr>
          <w:rFonts w:ascii="Abadi" w:hAnsi="Abadi" w:cs="*Arial-7819-Identity-H"/>
          <w:color w:val="14131C"/>
          <w:sz w:val="21"/>
          <w:szCs w:val="21"/>
        </w:rPr>
        <w:t xml:space="preserve"> </w:t>
      </w:r>
      <w:r w:rsidRPr="004F6FF5">
        <w:rPr>
          <w:rFonts w:ascii="Abadi" w:hAnsi="Abadi" w:cs="*Arial-7819-Identity-H"/>
          <w:color w:val="14131C"/>
          <w:sz w:val="21"/>
          <w:szCs w:val="21"/>
        </w:rPr>
        <w:t>derechos involucrados.</w:t>
      </w:r>
    </w:p>
    <w:p w14:paraId="3A96A14F" w14:textId="77777777" w:rsidR="005C0E00" w:rsidRPr="004F6FF5" w:rsidRDefault="005C0E00" w:rsidP="005C0E00">
      <w:pPr>
        <w:autoSpaceDE w:val="0"/>
        <w:autoSpaceDN w:val="0"/>
        <w:adjustRightInd w:val="0"/>
        <w:jc w:val="both"/>
        <w:rPr>
          <w:rFonts w:ascii="Abadi" w:hAnsi="Abadi" w:cs="*Arial-7819-Identity-H"/>
          <w:color w:val="14131C"/>
          <w:sz w:val="21"/>
          <w:szCs w:val="21"/>
        </w:rPr>
      </w:pPr>
    </w:p>
    <w:p w14:paraId="3FB717E2" w14:textId="77777777" w:rsidR="005C0E00" w:rsidRDefault="005C0E00" w:rsidP="005C0E00">
      <w:pPr>
        <w:autoSpaceDE w:val="0"/>
        <w:autoSpaceDN w:val="0"/>
        <w:adjustRightInd w:val="0"/>
        <w:jc w:val="both"/>
        <w:rPr>
          <w:rFonts w:ascii="Abadi" w:hAnsi="Abadi" w:cs="*Arial-8411-Identity-H"/>
          <w:color w:val="15141B"/>
          <w:sz w:val="21"/>
          <w:szCs w:val="21"/>
        </w:rPr>
      </w:pPr>
      <w:r w:rsidRPr="004F6FF5">
        <w:rPr>
          <w:rFonts w:ascii="Abadi" w:hAnsi="Abadi" w:cs="*Arial-7819-Identity-H"/>
          <w:color w:val="14131B"/>
          <w:sz w:val="21"/>
          <w:szCs w:val="21"/>
        </w:rPr>
        <w:t>Consideramos por tanto es necesario establecer acciones que preventivamente</w:t>
      </w:r>
      <w:r>
        <w:rPr>
          <w:rFonts w:ascii="Abadi" w:hAnsi="Abadi" w:cs="*Arial-7819-Identity-H"/>
          <w:color w:val="14131B"/>
          <w:sz w:val="21"/>
          <w:szCs w:val="21"/>
        </w:rPr>
        <w:t xml:space="preserve"> </w:t>
      </w:r>
      <w:r w:rsidRPr="004F6FF5">
        <w:rPr>
          <w:rFonts w:ascii="Abadi" w:hAnsi="Abadi" w:cs="*Arial-7819-Identity-H"/>
          <w:color w:val="14131B"/>
          <w:sz w:val="21"/>
          <w:szCs w:val="21"/>
        </w:rPr>
        <w:t>evalúen la existencia y suficiencia de los mecanismos de exigibilidad de los</w:t>
      </w:r>
      <w:r>
        <w:rPr>
          <w:rFonts w:ascii="Abadi" w:hAnsi="Abadi" w:cs="*Arial-7819-Identity-H"/>
          <w:color w:val="14131B"/>
          <w:sz w:val="21"/>
          <w:szCs w:val="21"/>
        </w:rPr>
        <w:t xml:space="preserve"> </w:t>
      </w:r>
      <w:r w:rsidRPr="004F6FF5">
        <w:rPr>
          <w:rFonts w:ascii="Abadi" w:hAnsi="Abadi" w:cs="*Arial-7819-Identity-H"/>
          <w:color w:val="14131B"/>
          <w:sz w:val="21"/>
          <w:szCs w:val="21"/>
        </w:rPr>
        <w:t>derechos, en la que se requiere de la participación de la ciudadanía en el diseño</w:t>
      </w:r>
      <w:r>
        <w:rPr>
          <w:rFonts w:ascii="Abadi" w:hAnsi="Abadi" w:cs="*Arial-7819-Identity-H"/>
          <w:color w:val="14131B"/>
          <w:sz w:val="21"/>
          <w:szCs w:val="21"/>
        </w:rPr>
        <w:t xml:space="preserve"> </w:t>
      </w:r>
      <w:r w:rsidRPr="004F6FF5">
        <w:rPr>
          <w:rFonts w:ascii="Abadi" w:hAnsi="Abadi" w:cs="*Arial-8411-Identity-H"/>
          <w:color w:val="15141B"/>
          <w:sz w:val="21"/>
          <w:szCs w:val="21"/>
        </w:rPr>
        <w:t>de políticas públicas, en la implementación y en la rendición de cuentas.</w:t>
      </w:r>
    </w:p>
    <w:p w14:paraId="47BEA5D3" w14:textId="77777777" w:rsidR="005C0E00" w:rsidRDefault="005C0E00" w:rsidP="005C0E00">
      <w:pPr>
        <w:autoSpaceDE w:val="0"/>
        <w:autoSpaceDN w:val="0"/>
        <w:adjustRightInd w:val="0"/>
        <w:jc w:val="both"/>
        <w:rPr>
          <w:rFonts w:ascii="Abadi" w:hAnsi="Abadi" w:cs="*Arial-8411-Identity-H"/>
          <w:color w:val="14131B"/>
          <w:sz w:val="21"/>
          <w:szCs w:val="21"/>
        </w:rPr>
      </w:pPr>
      <w:r w:rsidRPr="004F6FF5">
        <w:rPr>
          <w:rFonts w:ascii="Abadi" w:hAnsi="Abadi" w:cs="*Arial-8411-Identity-H"/>
          <w:color w:val="14131B"/>
          <w:sz w:val="21"/>
          <w:szCs w:val="21"/>
        </w:rPr>
        <w:t>Tanto las autoridades estatales como las instituciones del sector social y privado</w:t>
      </w:r>
      <w:r>
        <w:rPr>
          <w:rFonts w:ascii="Abadi" w:hAnsi="Abadi" w:cs="*Arial-8411-Identity-H"/>
          <w:color w:val="14131B"/>
          <w:sz w:val="21"/>
          <w:szCs w:val="21"/>
        </w:rPr>
        <w:t xml:space="preserve"> </w:t>
      </w:r>
      <w:r w:rsidRPr="004F6FF5">
        <w:rPr>
          <w:rFonts w:ascii="Abadi" w:hAnsi="Abadi" w:cs="*Arial-8411-Identity-H"/>
          <w:color w:val="14131B"/>
          <w:sz w:val="21"/>
          <w:szCs w:val="21"/>
        </w:rPr>
        <w:t>deben coordinarse para promover los mecanismos y acciones encaminados a</w:t>
      </w:r>
      <w:r>
        <w:rPr>
          <w:rFonts w:ascii="Abadi" w:hAnsi="Abadi" w:cs="*Arial-8411-Identity-H"/>
          <w:color w:val="14131B"/>
          <w:sz w:val="21"/>
          <w:szCs w:val="21"/>
        </w:rPr>
        <w:t xml:space="preserve"> </w:t>
      </w:r>
      <w:r w:rsidRPr="004F6FF5">
        <w:rPr>
          <w:rFonts w:ascii="Abadi" w:hAnsi="Abadi" w:cs="*Arial-8411-Identity-H"/>
          <w:color w:val="14131B"/>
          <w:sz w:val="21"/>
          <w:szCs w:val="21"/>
        </w:rPr>
        <w:t>prevenir la violencia en eventos deportivos con fines de espectáculos y garantizar</w:t>
      </w:r>
      <w:r>
        <w:rPr>
          <w:rFonts w:ascii="Abadi" w:hAnsi="Abadi" w:cs="*Arial-8411-Identity-H"/>
          <w:color w:val="14131B"/>
          <w:sz w:val="21"/>
          <w:szCs w:val="21"/>
        </w:rPr>
        <w:t xml:space="preserve"> </w:t>
      </w:r>
      <w:r w:rsidRPr="004F6FF5">
        <w:rPr>
          <w:rFonts w:ascii="Abadi" w:hAnsi="Abadi" w:cs="*Arial-8411-Identity-H"/>
          <w:color w:val="14131B"/>
          <w:sz w:val="21"/>
          <w:szCs w:val="21"/>
        </w:rPr>
        <w:t>el desarrollo pacífico de los mismos, así como la seguridad y patrimonio de las</w:t>
      </w:r>
      <w:r>
        <w:rPr>
          <w:rFonts w:ascii="Abadi" w:hAnsi="Abadi" w:cs="*Arial-8411-Identity-H"/>
          <w:color w:val="14131B"/>
          <w:sz w:val="21"/>
          <w:szCs w:val="21"/>
        </w:rPr>
        <w:t xml:space="preserve"> </w:t>
      </w:r>
      <w:r w:rsidRPr="004F6FF5">
        <w:rPr>
          <w:rFonts w:ascii="Abadi" w:hAnsi="Abadi" w:cs="*Arial-8411-Identity-H"/>
          <w:color w:val="14131B"/>
          <w:sz w:val="21"/>
          <w:szCs w:val="21"/>
        </w:rPr>
        <w:t>personas.</w:t>
      </w:r>
    </w:p>
    <w:p w14:paraId="77EC64B1" w14:textId="77777777" w:rsidR="005C0E00" w:rsidRPr="004F6FF5" w:rsidRDefault="005C0E00" w:rsidP="005C0E00">
      <w:pPr>
        <w:autoSpaceDE w:val="0"/>
        <w:autoSpaceDN w:val="0"/>
        <w:adjustRightInd w:val="0"/>
        <w:jc w:val="both"/>
        <w:rPr>
          <w:rFonts w:ascii="Abadi" w:hAnsi="Abadi" w:cs="*Arial-8411-Identity-H"/>
          <w:color w:val="14131B"/>
          <w:sz w:val="21"/>
          <w:szCs w:val="21"/>
        </w:rPr>
      </w:pPr>
    </w:p>
    <w:p w14:paraId="42DFE0B9" w14:textId="77777777" w:rsidR="005C0E00" w:rsidRPr="004F6FF5" w:rsidRDefault="005C0E00" w:rsidP="005C0E00">
      <w:pPr>
        <w:autoSpaceDE w:val="0"/>
        <w:autoSpaceDN w:val="0"/>
        <w:adjustRightInd w:val="0"/>
        <w:jc w:val="both"/>
        <w:rPr>
          <w:rFonts w:ascii="Abadi" w:hAnsi="Abadi" w:cs="*Arial-8411-Identity-H"/>
          <w:color w:val="14131C"/>
          <w:sz w:val="21"/>
          <w:szCs w:val="21"/>
        </w:rPr>
      </w:pPr>
      <w:r w:rsidRPr="004F6FF5">
        <w:rPr>
          <w:rFonts w:ascii="Abadi" w:hAnsi="Abadi" w:cs="*Arial-8411-Identity-H"/>
          <w:color w:val="14131C"/>
          <w:sz w:val="21"/>
          <w:szCs w:val="21"/>
        </w:rPr>
        <w:t>Por lo expuesto y con fundamento en el artículo 204 de la Ley Orgánica del Poder</w:t>
      </w:r>
      <w:r>
        <w:rPr>
          <w:rFonts w:ascii="Abadi" w:hAnsi="Abadi" w:cs="*Arial-8411-Identity-H"/>
          <w:color w:val="14131C"/>
          <w:sz w:val="21"/>
          <w:szCs w:val="21"/>
        </w:rPr>
        <w:t xml:space="preserve"> </w:t>
      </w:r>
      <w:r w:rsidRPr="004F6FF5">
        <w:rPr>
          <w:rFonts w:ascii="Abadi" w:hAnsi="Abadi" w:cs="*Arial-8411-Identity-H"/>
          <w:color w:val="14131C"/>
          <w:sz w:val="21"/>
          <w:szCs w:val="21"/>
        </w:rPr>
        <w:t>Ejecutivo del Estado, sometemos a consideración de esta Asamblea, la aprobación</w:t>
      </w:r>
      <w:r>
        <w:rPr>
          <w:rFonts w:ascii="Abadi" w:hAnsi="Abadi" w:cs="*Arial-8411-Identity-H"/>
          <w:color w:val="14131C"/>
          <w:sz w:val="21"/>
          <w:szCs w:val="21"/>
        </w:rPr>
        <w:t xml:space="preserve"> </w:t>
      </w:r>
      <w:r w:rsidRPr="004F6FF5">
        <w:rPr>
          <w:rFonts w:ascii="Abadi" w:hAnsi="Abadi" w:cs="*Arial-8411-Identity-H"/>
          <w:color w:val="14131C"/>
          <w:sz w:val="21"/>
          <w:szCs w:val="21"/>
        </w:rPr>
        <w:t>del siguiente:</w:t>
      </w:r>
    </w:p>
    <w:p w14:paraId="21BCEDF4" w14:textId="77777777" w:rsidR="005C0E00" w:rsidRDefault="005C0E00" w:rsidP="005C0E00">
      <w:pPr>
        <w:autoSpaceDE w:val="0"/>
        <w:autoSpaceDN w:val="0"/>
        <w:adjustRightInd w:val="0"/>
        <w:jc w:val="both"/>
        <w:rPr>
          <w:rFonts w:ascii="Abadi" w:hAnsi="Abadi" w:cs="*Arial-Bold-8412-Identity-H"/>
          <w:b/>
          <w:bCs/>
          <w:color w:val="14141D"/>
          <w:sz w:val="21"/>
          <w:szCs w:val="21"/>
        </w:rPr>
      </w:pPr>
    </w:p>
    <w:p w14:paraId="68016DD3" w14:textId="77777777" w:rsidR="005C0E00" w:rsidRDefault="005C0E00" w:rsidP="005C0E00">
      <w:pPr>
        <w:autoSpaceDE w:val="0"/>
        <w:autoSpaceDN w:val="0"/>
        <w:adjustRightInd w:val="0"/>
        <w:jc w:val="center"/>
        <w:rPr>
          <w:rFonts w:ascii="Abadi" w:hAnsi="Abadi" w:cs="*Arial-Bold-8412-Identity-H"/>
          <w:b/>
          <w:bCs/>
          <w:color w:val="14141D"/>
          <w:sz w:val="21"/>
          <w:szCs w:val="21"/>
        </w:rPr>
      </w:pPr>
      <w:r w:rsidRPr="004F6FF5">
        <w:rPr>
          <w:rFonts w:ascii="Abadi" w:hAnsi="Abadi" w:cs="*Arial-Bold-8412-Identity-H"/>
          <w:b/>
          <w:bCs/>
          <w:color w:val="14141D"/>
          <w:sz w:val="21"/>
          <w:szCs w:val="21"/>
        </w:rPr>
        <w:t>Acuerdo</w:t>
      </w:r>
    </w:p>
    <w:p w14:paraId="19DF1CBC" w14:textId="77777777" w:rsidR="005C0E00" w:rsidRPr="004F6FF5" w:rsidRDefault="005C0E00" w:rsidP="005C0E00">
      <w:pPr>
        <w:autoSpaceDE w:val="0"/>
        <w:autoSpaceDN w:val="0"/>
        <w:adjustRightInd w:val="0"/>
        <w:jc w:val="both"/>
        <w:rPr>
          <w:rFonts w:ascii="Abadi" w:hAnsi="Abadi" w:cs="*Arial-Bold-8412-Identity-H"/>
          <w:b/>
          <w:bCs/>
          <w:color w:val="14141D"/>
          <w:sz w:val="21"/>
          <w:szCs w:val="21"/>
        </w:rPr>
      </w:pPr>
      <w:r>
        <w:rPr>
          <w:rFonts w:ascii="Abadi" w:hAnsi="Abadi" w:cs="*Arial-Bold-8412-Identity-H"/>
          <w:b/>
          <w:bCs/>
          <w:color w:val="14141D"/>
          <w:sz w:val="21"/>
          <w:szCs w:val="21"/>
        </w:rPr>
        <w:t xml:space="preserve"> </w:t>
      </w:r>
    </w:p>
    <w:p w14:paraId="1F5E0D0C" w14:textId="77777777" w:rsidR="005C0E00" w:rsidRDefault="005C0E00" w:rsidP="005C0E00">
      <w:pPr>
        <w:autoSpaceDE w:val="0"/>
        <w:autoSpaceDN w:val="0"/>
        <w:adjustRightInd w:val="0"/>
        <w:jc w:val="both"/>
        <w:rPr>
          <w:rFonts w:ascii="Abadi" w:hAnsi="Abadi" w:cs="*Arial-8411-Identity-H"/>
          <w:color w:val="13121C"/>
          <w:sz w:val="21"/>
          <w:szCs w:val="21"/>
        </w:rPr>
      </w:pPr>
      <w:r w:rsidRPr="004F6FF5">
        <w:rPr>
          <w:rFonts w:ascii="Abadi" w:hAnsi="Abadi" w:cs="*Arial-Bold-8412-Identity-H"/>
          <w:b/>
          <w:bCs/>
          <w:color w:val="13121C"/>
          <w:sz w:val="21"/>
          <w:szCs w:val="21"/>
        </w:rPr>
        <w:t xml:space="preserve">Único.- </w:t>
      </w:r>
      <w:r w:rsidRPr="004F6FF5">
        <w:rPr>
          <w:rFonts w:ascii="Abadi" w:hAnsi="Abadi" w:cs="*Arial-8411-Identity-H"/>
          <w:color w:val="13121C"/>
          <w:sz w:val="21"/>
          <w:szCs w:val="21"/>
        </w:rPr>
        <w:t>La Sexagésima Quinta Legislatura del Estado de Guanajuato formula un</w:t>
      </w:r>
      <w:r>
        <w:rPr>
          <w:rFonts w:ascii="Abadi" w:hAnsi="Abadi" w:cs="*Arial-8411-Identity-H"/>
          <w:color w:val="13121C"/>
          <w:sz w:val="21"/>
          <w:szCs w:val="21"/>
        </w:rPr>
        <w:t xml:space="preserve"> </w:t>
      </w:r>
      <w:r w:rsidRPr="004F6FF5">
        <w:rPr>
          <w:rFonts w:ascii="Abadi" w:hAnsi="Abadi" w:cs="*Arial-8411-Identity-H"/>
          <w:color w:val="13121C"/>
          <w:sz w:val="21"/>
          <w:szCs w:val="21"/>
        </w:rPr>
        <w:t>respetuoso exhorto a los 46 Ayuntamientos para que revisen y actualicen los</w:t>
      </w:r>
      <w:r>
        <w:rPr>
          <w:rFonts w:ascii="Abadi" w:hAnsi="Abadi" w:cs="*Arial-8411-Identity-H"/>
          <w:color w:val="13121C"/>
          <w:sz w:val="21"/>
          <w:szCs w:val="21"/>
        </w:rPr>
        <w:t xml:space="preserve"> </w:t>
      </w:r>
      <w:r w:rsidRPr="004F6FF5">
        <w:rPr>
          <w:rFonts w:ascii="Abadi" w:hAnsi="Abadi" w:cs="*Arial-8411-Identity-H"/>
          <w:color w:val="13121C"/>
          <w:sz w:val="21"/>
          <w:szCs w:val="21"/>
        </w:rPr>
        <w:t>protocolos, reglamentos y manuales de Protección Civil y Bomberos en donde</w:t>
      </w:r>
      <w:r>
        <w:rPr>
          <w:rFonts w:ascii="Abadi" w:hAnsi="Abadi" w:cs="*Arial-8411-Identity-H"/>
          <w:color w:val="13121C"/>
          <w:sz w:val="21"/>
          <w:szCs w:val="21"/>
        </w:rPr>
        <w:t xml:space="preserve"> </w:t>
      </w:r>
      <w:r w:rsidRPr="004F6FF5">
        <w:rPr>
          <w:rFonts w:ascii="Abadi" w:hAnsi="Abadi" w:cs="*Arial-8411-Identity-H"/>
          <w:color w:val="13121C"/>
          <w:sz w:val="21"/>
          <w:szCs w:val="21"/>
        </w:rPr>
        <w:t>incluyan apartados de análisis de riesgos preventivos, de la misma forma,</w:t>
      </w:r>
      <w:r>
        <w:rPr>
          <w:rFonts w:ascii="Abadi" w:hAnsi="Abadi" w:cs="*Arial-8411-Identity-H"/>
          <w:color w:val="13121C"/>
          <w:sz w:val="21"/>
          <w:szCs w:val="21"/>
        </w:rPr>
        <w:t xml:space="preserve"> </w:t>
      </w:r>
      <w:r w:rsidRPr="004F6FF5">
        <w:rPr>
          <w:rFonts w:ascii="Abadi" w:hAnsi="Abadi" w:cs="*Arial-8411-Identity-H"/>
          <w:color w:val="13121C"/>
          <w:sz w:val="21"/>
          <w:szCs w:val="21"/>
        </w:rPr>
        <w:t>reexaminar las disposiciones administrativas en la realización de espectáculos</w:t>
      </w:r>
      <w:r>
        <w:rPr>
          <w:rFonts w:ascii="Abadi" w:hAnsi="Abadi" w:cs="*Arial-8411-Identity-H"/>
          <w:color w:val="13121C"/>
          <w:sz w:val="21"/>
          <w:szCs w:val="21"/>
        </w:rPr>
        <w:t xml:space="preserve"> </w:t>
      </w:r>
      <w:r w:rsidRPr="004F6FF5">
        <w:rPr>
          <w:rFonts w:ascii="Abadi" w:hAnsi="Abadi" w:cs="*Arial-8411-Identity-H"/>
          <w:color w:val="13121C"/>
          <w:sz w:val="21"/>
          <w:szCs w:val="21"/>
        </w:rPr>
        <w:t>públicos masivos; a la Secretaría de Seguridad Pública para que revise los permisos</w:t>
      </w:r>
      <w:r>
        <w:rPr>
          <w:rFonts w:ascii="Abadi" w:hAnsi="Abadi" w:cs="*Arial-8411-Identity-H"/>
          <w:color w:val="13121C"/>
          <w:sz w:val="21"/>
          <w:szCs w:val="21"/>
        </w:rPr>
        <w:t xml:space="preserve"> </w:t>
      </w:r>
      <w:r w:rsidRPr="004F6FF5">
        <w:rPr>
          <w:rFonts w:ascii="Abadi" w:hAnsi="Abadi" w:cs="*Arial-8411-Identity-H"/>
          <w:color w:val="13121C"/>
          <w:sz w:val="21"/>
          <w:szCs w:val="21"/>
        </w:rPr>
        <w:t>certificaciones de las empresas y personal que prestan sus servicios como</w:t>
      </w:r>
      <w:r>
        <w:rPr>
          <w:rFonts w:ascii="Abadi" w:hAnsi="Abadi" w:cs="*Arial-8411-Identity-H"/>
          <w:color w:val="13121C"/>
          <w:sz w:val="21"/>
          <w:szCs w:val="21"/>
        </w:rPr>
        <w:t xml:space="preserve"> </w:t>
      </w:r>
      <w:r w:rsidRPr="004F6FF5">
        <w:rPr>
          <w:rFonts w:ascii="Abadi" w:hAnsi="Abadi" w:cs="*Arial-8411-Identity-H"/>
          <w:color w:val="13121C"/>
          <w:sz w:val="21"/>
          <w:szCs w:val="21"/>
        </w:rPr>
        <w:t>seguridad privada en el Estado de Guanajuato; y a la Comisión de Deporte del</w:t>
      </w:r>
      <w:r>
        <w:rPr>
          <w:rFonts w:ascii="Abadi" w:hAnsi="Abadi" w:cs="*Arial-8411-Identity-H"/>
          <w:color w:val="13121C"/>
          <w:sz w:val="21"/>
          <w:szCs w:val="21"/>
        </w:rPr>
        <w:t xml:space="preserve"> </w:t>
      </w:r>
      <w:r w:rsidRPr="004F6FF5">
        <w:rPr>
          <w:rFonts w:ascii="Abadi" w:hAnsi="Abadi" w:cs="*Arial-8411-Identity-H"/>
          <w:color w:val="13121C"/>
          <w:sz w:val="21"/>
          <w:szCs w:val="21"/>
        </w:rPr>
        <w:t>Estado de Guanajuato, para que informe detalladamente las medidas encaminadas</w:t>
      </w:r>
      <w:r>
        <w:rPr>
          <w:rFonts w:ascii="Abadi" w:hAnsi="Abadi" w:cs="*Arial-8411-Identity-H"/>
          <w:color w:val="13121C"/>
          <w:sz w:val="21"/>
          <w:szCs w:val="21"/>
        </w:rPr>
        <w:t xml:space="preserve"> </w:t>
      </w:r>
      <w:r w:rsidRPr="004F6FF5">
        <w:rPr>
          <w:rFonts w:ascii="Abadi" w:hAnsi="Abadi" w:cs="*Arial-8411-Identity-H"/>
          <w:color w:val="13121C"/>
          <w:sz w:val="21"/>
          <w:szCs w:val="21"/>
        </w:rPr>
        <w:t>a prevenir la violencia en eventos deportivos, así como las acciones para garantizar</w:t>
      </w:r>
      <w:r>
        <w:rPr>
          <w:rFonts w:ascii="Abadi" w:hAnsi="Abadi" w:cs="*Arial-8411-Identity-H"/>
          <w:color w:val="13121C"/>
          <w:sz w:val="21"/>
          <w:szCs w:val="21"/>
        </w:rPr>
        <w:t xml:space="preserve"> </w:t>
      </w:r>
      <w:r w:rsidRPr="004F6FF5">
        <w:rPr>
          <w:rFonts w:ascii="Abadi" w:hAnsi="Abadi" w:cs="*Arial-8411-Identity-H"/>
          <w:color w:val="13121C"/>
          <w:sz w:val="21"/>
          <w:szCs w:val="21"/>
        </w:rPr>
        <w:t>el desarrollo pacífico en los recintos donde se celebran eventos públicos masivos.</w:t>
      </w:r>
    </w:p>
    <w:p w14:paraId="76275A66" w14:textId="77777777" w:rsidR="005C0E00" w:rsidRPr="004F6FF5" w:rsidRDefault="005C0E00" w:rsidP="005C0E00">
      <w:pPr>
        <w:autoSpaceDE w:val="0"/>
        <w:autoSpaceDN w:val="0"/>
        <w:adjustRightInd w:val="0"/>
        <w:jc w:val="both"/>
        <w:rPr>
          <w:rFonts w:ascii="Abadi" w:hAnsi="Abadi" w:cs="*Arial-8411-Identity-H"/>
          <w:color w:val="13121C"/>
          <w:sz w:val="21"/>
          <w:szCs w:val="21"/>
        </w:rPr>
      </w:pPr>
    </w:p>
    <w:p w14:paraId="5EC40179" w14:textId="2249983D" w:rsidR="005C0E00" w:rsidRDefault="005C0E00" w:rsidP="005C0E00">
      <w:pPr>
        <w:autoSpaceDE w:val="0"/>
        <w:autoSpaceDN w:val="0"/>
        <w:adjustRightInd w:val="0"/>
        <w:jc w:val="both"/>
        <w:rPr>
          <w:rFonts w:ascii="Abadi" w:hAnsi="Abadi" w:cs="*Arial-8411-Identity-H"/>
          <w:color w:val="14131B"/>
          <w:sz w:val="21"/>
          <w:szCs w:val="21"/>
        </w:rPr>
      </w:pPr>
      <w:r w:rsidRPr="004F6FF5">
        <w:rPr>
          <w:rFonts w:ascii="Abadi" w:hAnsi="Abadi" w:cs="*Arial-8411-Identity-H"/>
          <w:color w:val="14131B"/>
          <w:sz w:val="21"/>
          <w:szCs w:val="21"/>
        </w:rPr>
        <w:t>Comuníquese el presente acuerdo con su dictamen al titular del Poder Ejecutivo del</w:t>
      </w:r>
      <w:r>
        <w:rPr>
          <w:rFonts w:ascii="Abadi" w:hAnsi="Abadi" w:cs="*Arial-8411-Identity-H"/>
          <w:color w:val="14131B"/>
          <w:sz w:val="21"/>
          <w:szCs w:val="21"/>
        </w:rPr>
        <w:t xml:space="preserve"> </w:t>
      </w:r>
      <w:r w:rsidRPr="004F6FF5">
        <w:rPr>
          <w:rFonts w:ascii="Abadi" w:hAnsi="Abadi" w:cs="*Arial-8411-Identity-H"/>
          <w:color w:val="14131B"/>
          <w:sz w:val="21"/>
          <w:szCs w:val="21"/>
        </w:rPr>
        <w:t>Estado, así como a los 46 Ayuntamientos, para los efectos conducentes.</w:t>
      </w:r>
    </w:p>
    <w:p w14:paraId="7C622E34" w14:textId="5D937D1F" w:rsidR="005C0E00" w:rsidRDefault="005C0E00" w:rsidP="005C0E00">
      <w:pPr>
        <w:autoSpaceDE w:val="0"/>
        <w:autoSpaceDN w:val="0"/>
        <w:adjustRightInd w:val="0"/>
        <w:jc w:val="both"/>
        <w:rPr>
          <w:rFonts w:ascii="Abadi" w:hAnsi="Abadi" w:cs="*Arial-8411-Identity-H"/>
          <w:color w:val="14131B"/>
          <w:sz w:val="21"/>
          <w:szCs w:val="21"/>
        </w:rPr>
      </w:pPr>
    </w:p>
    <w:p w14:paraId="7E33EE64" w14:textId="294D7441" w:rsidR="005C0E00" w:rsidRDefault="005C0E00" w:rsidP="005C0E00">
      <w:pPr>
        <w:autoSpaceDE w:val="0"/>
        <w:autoSpaceDN w:val="0"/>
        <w:adjustRightInd w:val="0"/>
        <w:jc w:val="both"/>
        <w:rPr>
          <w:rFonts w:ascii="Abadi" w:hAnsi="Abadi" w:cs="*Arial-8411-Identity-H"/>
          <w:color w:val="14131B"/>
          <w:sz w:val="21"/>
          <w:szCs w:val="21"/>
        </w:rPr>
      </w:pPr>
    </w:p>
    <w:p w14:paraId="750324E1" w14:textId="77777777" w:rsidR="005C0E00" w:rsidRDefault="005C0E00" w:rsidP="005C0E00">
      <w:pPr>
        <w:jc w:val="center"/>
        <w:rPr>
          <w:rFonts w:ascii="Abadi" w:hAnsi="Abadi"/>
          <w:b/>
          <w:bCs/>
          <w:sz w:val="21"/>
          <w:szCs w:val="21"/>
        </w:rPr>
      </w:pPr>
      <w:r w:rsidRPr="004462B9">
        <w:rPr>
          <w:rFonts w:ascii="Abadi" w:hAnsi="Abadi"/>
          <w:b/>
          <w:bCs/>
          <w:sz w:val="21"/>
          <w:szCs w:val="21"/>
        </w:rPr>
        <w:t>La Comisión de Seguridad Pública y Comunicaciones</w:t>
      </w:r>
    </w:p>
    <w:p w14:paraId="14AAC0B4" w14:textId="77777777" w:rsidR="005C0E00" w:rsidRPr="004462B9" w:rsidRDefault="005C0E00" w:rsidP="005C0E00">
      <w:pPr>
        <w:jc w:val="both"/>
        <w:rPr>
          <w:rFonts w:ascii="Abadi" w:hAnsi="Abadi"/>
          <w:b/>
          <w:bCs/>
          <w:sz w:val="21"/>
          <w:szCs w:val="21"/>
        </w:rPr>
      </w:pPr>
    </w:p>
    <w:p w14:paraId="75AF81B2" w14:textId="77777777" w:rsidR="005C0E00" w:rsidRPr="004462B9" w:rsidRDefault="005C0E00" w:rsidP="005C0E00">
      <w:pPr>
        <w:jc w:val="both"/>
        <w:rPr>
          <w:rFonts w:ascii="Abadi" w:hAnsi="Abadi"/>
          <w:b/>
          <w:bCs/>
          <w:sz w:val="21"/>
          <w:szCs w:val="21"/>
        </w:rPr>
      </w:pPr>
      <w:r w:rsidRPr="004462B9">
        <w:rPr>
          <w:rFonts w:ascii="Abadi" w:hAnsi="Abadi"/>
          <w:b/>
          <w:bCs/>
          <w:sz w:val="21"/>
          <w:szCs w:val="21"/>
        </w:rPr>
        <w:t>D</w:t>
      </w:r>
      <w:r>
        <w:rPr>
          <w:rFonts w:ascii="Abadi" w:hAnsi="Abadi"/>
          <w:b/>
          <w:bCs/>
          <w:sz w:val="21"/>
          <w:szCs w:val="21"/>
        </w:rPr>
        <w:t>ip</w:t>
      </w:r>
      <w:r w:rsidRPr="004462B9">
        <w:rPr>
          <w:rFonts w:ascii="Abadi" w:hAnsi="Abadi"/>
          <w:b/>
          <w:bCs/>
          <w:sz w:val="21"/>
          <w:szCs w:val="21"/>
        </w:rPr>
        <w:t>. Martín López Camacho</w:t>
      </w:r>
    </w:p>
    <w:p w14:paraId="690F6E5E" w14:textId="77777777" w:rsidR="005C0E00" w:rsidRPr="004462B9" w:rsidRDefault="005C0E00" w:rsidP="005C0E00">
      <w:pPr>
        <w:jc w:val="both"/>
        <w:rPr>
          <w:rFonts w:ascii="Abadi" w:hAnsi="Abadi"/>
          <w:b/>
          <w:bCs/>
          <w:sz w:val="21"/>
          <w:szCs w:val="21"/>
        </w:rPr>
      </w:pPr>
      <w:r w:rsidRPr="004462B9">
        <w:rPr>
          <w:rFonts w:ascii="Abadi" w:hAnsi="Abadi"/>
          <w:b/>
          <w:bCs/>
          <w:sz w:val="21"/>
          <w:szCs w:val="21"/>
        </w:rPr>
        <w:t>D</w:t>
      </w:r>
      <w:r>
        <w:rPr>
          <w:rFonts w:ascii="Abadi" w:hAnsi="Abadi"/>
          <w:b/>
          <w:bCs/>
          <w:sz w:val="21"/>
          <w:szCs w:val="21"/>
        </w:rPr>
        <w:t>ip</w:t>
      </w:r>
      <w:r w:rsidRPr="004462B9">
        <w:rPr>
          <w:rFonts w:ascii="Abadi" w:hAnsi="Abadi"/>
          <w:b/>
          <w:bCs/>
          <w:sz w:val="21"/>
          <w:szCs w:val="21"/>
        </w:rPr>
        <w:t>. Rolando Fortino Alcántar Rojas</w:t>
      </w:r>
    </w:p>
    <w:p w14:paraId="1009EAC9" w14:textId="77777777" w:rsidR="005C0E00" w:rsidRPr="004462B9" w:rsidRDefault="005C0E00" w:rsidP="005C0E00">
      <w:pPr>
        <w:jc w:val="both"/>
        <w:rPr>
          <w:rFonts w:ascii="Abadi" w:hAnsi="Abadi"/>
          <w:b/>
          <w:bCs/>
          <w:sz w:val="21"/>
          <w:szCs w:val="21"/>
        </w:rPr>
      </w:pPr>
      <w:r w:rsidRPr="004462B9">
        <w:rPr>
          <w:rFonts w:ascii="Abadi" w:hAnsi="Abadi"/>
          <w:b/>
          <w:bCs/>
          <w:sz w:val="21"/>
          <w:szCs w:val="21"/>
        </w:rPr>
        <w:t>Dip. Alma Edwviges Alcaraz Hernández</w:t>
      </w:r>
    </w:p>
    <w:p w14:paraId="6780E44E" w14:textId="77777777" w:rsidR="005C0E00" w:rsidRPr="004462B9" w:rsidRDefault="005C0E00" w:rsidP="005C0E00">
      <w:pPr>
        <w:jc w:val="both"/>
        <w:rPr>
          <w:rFonts w:ascii="Abadi" w:hAnsi="Abadi"/>
          <w:b/>
          <w:bCs/>
          <w:sz w:val="21"/>
          <w:szCs w:val="21"/>
        </w:rPr>
      </w:pPr>
      <w:r w:rsidRPr="004462B9">
        <w:rPr>
          <w:rFonts w:ascii="Abadi" w:hAnsi="Abadi"/>
          <w:b/>
          <w:bCs/>
          <w:sz w:val="21"/>
          <w:szCs w:val="21"/>
        </w:rPr>
        <w:t>Dip. Bricio Balderas Álvarez</w:t>
      </w:r>
    </w:p>
    <w:p w14:paraId="56C36285" w14:textId="062F7AF2" w:rsidR="005C0E00" w:rsidRDefault="005C0E00" w:rsidP="005C0E00">
      <w:pPr>
        <w:jc w:val="both"/>
        <w:rPr>
          <w:rFonts w:ascii="Abadi" w:hAnsi="Abadi"/>
          <w:b/>
          <w:bCs/>
          <w:sz w:val="21"/>
          <w:szCs w:val="21"/>
        </w:rPr>
      </w:pPr>
      <w:r w:rsidRPr="004462B9">
        <w:rPr>
          <w:rFonts w:ascii="Abadi" w:hAnsi="Abadi"/>
          <w:b/>
          <w:bCs/>
          <w:sz w:val="21"/>
          <w:szCs w:val="21"/>
        </w:rPr>
        <w:t>Dip. Gerardo Fernández González</w:t>
      </w:r>
    </w:p>
    <w:p w14:paraId="1775337A" w14:textId="743A2ED9" w:rsidR="0012568F" w:rsidRDefault="0012568F" w:rsidP="00786573">
      <w:pPr>
        <w:ind w:firstLine="708"/>
        <w:jc w:val="both"/>
        <w:rPr>
          <w:rFonts w:ascii="Abadi" w:hAnsi="Abadi"/>
          <w:sz w:val="21"/>
          <w:szCs w:val="21"/>
        </w:rPr>
      </w:pPr>
      <w:r>
        <w:rPr>
          <w:rFonts w:ascii="Abadi" w:hAnsi="Abadi"/>
          <w:b/>
          <w:bCs/>
          <w:sz w:val="21"/>
          <w:szCs w:val="21"/>
        </w:rPr>
        <w:t xml:space="preserve">- </w:t>
      </w:r>
      <w:r w:rsidRPr="0012568F">
        <w:rPr>
          <w:rFonts w:ascii="Abadi" w:hAnsi="Abadi"/>
          <w:b/>
          <w:bCs/>
          <w:sz w:val="21"/>
          <w:szCs w:val="21"/>
        </w:rPr>
        <w:t>La Presidencia.-</w:t>
      </w:r>
      <w:r w:rsidRPr="0012568F">
        <w:rPr>
          <w:rFonts w:ascii="Abadi" w:hAnsi="Abadi"/>
          <w:sz w:val="21"/>
          <w:szCs w:val="21"/>
        </w:rPr>
        <w:t xml:space="preserve"> Se procede someter a discusión del dictamen suscitó por la Comisión de Seguridad Pública y Comunicaciones relativo la propuesta de punto de acuerdo su cita por una servidora, Irma Leticia González Sánchez, integrantes del Grupo Parlamentario del Partido Morena, a efecto de exhortar a los 46 ayuntamientos para que revisen y actualicen los protocolos, reglamentos y manuales de protección civil y bomberos en donde incluyan apartados de análisis de riesgos preventivos de la misma forma, examinar las disposiciones administrativas en la realización de espectáculos públicos masivos a titular del Poder Ejecutivo, a través de la Secretaría de Seguridad Pública, para que revise los permisos y certificaciones de las empresas y personal que presenta sus servicios como seguridad privada en el estado de Guanajuato y al titular del Poder Ejecutivo, a través de la Comisión de Deporte del Estado de Guanajuato, para que informe detalladamente las medidas encaminadas a prevenir la violencia en eventos deportivos, así como las acciones para garantizar el desarrollo pacífico en los recintos donde se celebran eventos públicos masivos. </w:t>
      </w:r>
    </w:p>
    <w:p w14:paraId="6D1A31C6" w14:textId="77777777" w:rsidR="00786573" w:rsidRPr="0012568F" w:rsidRDefault="00786573" w:rsidP="00786573">
      <w:pPr>
        <w:ind w:firstLine="708"/>
        <w:jc w:val="both"/>
        <w:rPr>
          <w:rFonts w:ascii="Abadi" w:hAnsi="Abadi"/>
          <w:sz w:val="21"/>
          <w:szCs w:val="21"/>
        </w:rPr>
      </w:pPr>
    </w:p>
    <w:p w14:paraId="6FA1E636" w14:textId="77777777" w:rsidR="001441B0" w:rsidRDefault="00786573" w:rsidP="00786573">
      <w:pPr>
        <w:ind w:firstLine="708"/>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Me permito informar que previamente se ha inscrito el diputado Bricio Balderas Álvarez y la de la Voz para hablar a favor del dictamen.</w:t>
      </w:r>
    </w:p>
    <w:p w14:paraId="2BD2A48A" w14:textId="77777777" w:rsidR="001441B0" w:rsidRDefault="001441B0" w:rsidP="00786573">
      <w:pPr>
        <w:ind w:firstLine="708"/>
        <w:jc w:val="both"/>
        <w:rPr>
          <w:rFonts w:ascii="Abadi" w:hAnsi="Abadi"/>
          <w:sz w:val="21"/>
          <w:szCs w:val="21"/>
        </w:rPr>
      </w:pPr>
    </w:p>
    <w:p w14:paraId="06447EC1" w14:textId="6B580C09" w:rsidR="0012568F" w:rsidRPr="0012568F" w:rsidRDefault="001441B0" w:rsidP="00786573">
      <w:pPr>
        <w:ind w:firstLine="708"/>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 Si alguna otra diputada o algún otro diputado desea hacer uso de la palabra en pro o en contra, manifiéstelo por favor, indicando el sentido de su participación, se concede el uso de la palabra al diputado Bricio Balderas Álvarez, hasta por 10 minutos. </w:t>
      </w:r>
    </w:p>
    <w:p w14:paraId="6F27EA93" w14:textId="77777777" w:rsidR="00786573" w:rsidRDefault="00786573" w:rsidP="0012568F">
      <w:pPr>
        <w:jc w:val="both"/>
        <w:rPr>
          <w:rFonts w:ascii="Abadi" w:hAnsi="Abadi"/>
          <w:sz w:val="21"/>
          <w:szCs w:val="21"/>
        </w:rPr>
      </w:pPr>
    </w:p>
    <w:p w14:paraId="0CBF7045" w14:textId="2D3CAE2A" w:rsidR="0012568F" w:rsidRDefault="0012568F" w:rsidP="00786573">
      <w:pPr>
        <w:pStyle w:val="Prrafodelista"/>
        <w:numPr>
          <w:ilvl w:val="0"/>
          <w:numId w:val="4"/>
        </w:numPr>
        <w:jc w:val="both"/>
        <w:rPr>
          <w:rFonts w:ascii="Abadi" w:hAnsi="Abadi"/>
          <w:sz w:val="21"/>
          <w:szCs w:val="21"/>
        </w:rPr>
      </w:pPr>
      <w:r w:rsidRPr="00786573">
        <w:rPr>
          <w:rFonts w:ascii="Abadi" w:hAnsi="Abadi"/>
          <w:sz w:val="21"/>
          <w:szCs w:val="21"/>
        </w:rPr>
        <w:t xml:space="preserve">Adelante diputado. </w:t>
      </w:r>
    </w:p>
    <w:p w14:paraId="0BF23CC1" w14:textId="77777777" w:rsidR="00562091" w:rsidRDefault="00562091" w:rsidP="00562091">
      <w:pPr>
        <w:pStyle w:val="Prrafodelista"/>
        <w:ind w:left="1069"/>
        <w:jc w:val="both"/>
        <w:rPr>
          <w:rFonts w:ascii="Abadi" w:hAnsi="Abadi"/>
          <w:sz w:val="21"/>
          <w:szCs w:val="21"/>
        </w:rPr>
      </w:pPr>
    </w:p>
    <w:p w14:paraId="6CF7092C" w14:textId="77777777" w:rsidR="00786573" w:rsidRPr="00786573" w:rsidRDefault="00786573" w:rsidP="00786573">
      <w:pPr>
        <w:pStyle w:val="Prrafodelista"/>
        <w:ind w:left="1069"/>
        <w:jc w:val="both"/>
        <w:rPr>
          <w:rFonts w:ascii="Abadi" w:hAnsi="Abadi"/>
          <w:sz w:val="21"/>
          <w:szCs w:val="21"/>
        </w:rPr>
      </w:pPr>
    </w:p>
    <w:p w14:paraId="2742C11A" w14:textId="77777777" w:rsidR="0012568F" w:rsidRPr="0012568F" w:rsidRDefault="0012568F" w:rsidP="0012568F">
      <w:pPr>
        <w:jc w:val="both"/>
        <w:rPr>
          <w:rFonts w:ascii="Abadi" w:hAnsi="Abadi"/>
          <w:b/>
          <w:bCs/>
          <w:sz w:val="21"/>
          <w:szCs w:val="21"/>
        </w:rPr>
      </w:pPr>
      <w:r w:rsidRPr="0012568F">
        <w:rPr>
          <w:rFonts w:ascii="Abadi" w:hAnsi="Abadi"/>
          <w:b/>
          <w:bCs/>
          <w:sz w:val="21"/>
          <w:szCs w:val="21"/>
        </w:rPr>
        <w:t xml:space="preserve">(Sube a tribuna el diputado Bricio Balderas Álvarez para hablar a favor del dictamen) </w:t>
      </w:r>
    </w:p>
    <w:p w14:paraId="7B5613AA" w14:textId="303D48C2" w:rsidR="00562091" w:rsidRDefault="00562091" w:rsidP="0012568F">
      <w:pPr>
        <w:jc w:val="both"/>
        <w:rPr>
          <w:rFonts w:ascii="Abadi" w:hAnsi="Abadi"/>
          <w:b/>
          <w:bCs/>
          <w:sz w:val="21"/>
          <w:szCs w:val="21"/>
        </w:rPr>
      </w:pPr>
    </w:p>
    <w:p w14:paraId="3A1D18D0" w14:textId="094DB157" w:rsidR="00562091" w:rsidRDefault="00562091" w:rsidP="0012568F">
      <w:pPr>
        <w:jc w:val="both"/>
        <w:rPr>
          <w:rFonts w:ascii="Abadi" w:hAnsi="Abadi"/>
          <w:b/>
          <w:bCs/>
          <w:sz w:val="21"/>
          <w:szCs w:val="21"/>
        </w:rPr>
      </w:pPr>
    </w:p>
    <w:p w14:paraId="04991EEA" w14:textId="77777777" w:rsidR="00562091" w:rsidRPr="0012568F" w:rsidRDefault="00562091" w:rsidP="0012568F">
      <w:pPr>
        <w:jc w:val="both"/>
        <w:rPr>
          <w:rFonts w:ascii="Abadi" w:hAnsi="Abadi"/>
          <w:b/>
          <w:bCs/>
          <w:sz w:val="21"/>
          <w:szCs w:val="21"/>
        </w:rPr>
      </w:pPr>
    </w:p>
    <w:p w14:paraId="3E11366D" w14:textId="55605097" w:rsidR="00562091" w:rsidRDefault="00562091" w:rsidP="0012568F">
      <w:pPr>
        <w:jc w:val="both"/>
        <w:rPr>
          <w:rFonts w:ascii="Abadi" w:hAnsi="Abadi"/>
          <w:sz w:val="21"/>
          <w:szCs w:val="21"/>
        </w:rPr>
      </w:pPr>
      <w:r w:rsidRPr="0012568F">
        <w:rPr>
          <w:rFonts w:ascii="Abadi" w:hAnsi="Abadi"/>
          <w:noProof/>
          <w:sz w:val="21"/>
          <w:szCs w:val="21"/>
        </w:rPr>
        <w:drawing>
          <wp:anchor distT="0" distB="0" distL="114300" distR="114300" simplePos="0" relativeHeight="251701248" behindDoc="1" locked="0" layoutInCell="1" allowOverlap="1" wp14:anchorId="441924F8" wp14:editId="3F9AE155">
            <wp:simplePos x="0" y="0"/>
            <wp:positionH relativeFrom="column">
              <wp:posOffset>200025</wp:posOffset>
            </wp:positionH>
            <wp:positionV relativeFrom="paragraph">
              <wp:posOffset>130175</wp:posOffset>
            </wp:positionV>
            <wp:extent cx="2001794" cy="1057809"/>
            <wp:effectExtent l="19050" t="114300" r="0" b="809625"/>
            <wp:wrapTight wrapText="bothSides">
              <wp:wrapPolygon edited="0">
                <wp:start x="206" y="-2335"/>
                <wp:lineTo x="-206" y="4670"/>
                <wp:lineTo x="411" y="37751"/>
                <wp:lineTo x="2673" y="37751"/>
                <wp:lineTo x="2878" y="36973"/>
                <wp:lineTo x="10690" y="35805"/>
                <wp:lineTo x="12952" y="35805"/>
                <wp:lineTo x="20147" y="31135"/>
                <wp:lineTo x="20147" y="-2335"/>
                <wp:lineTo x="206" y="-2335"/>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b="6050"/>
                    <a:stretch/>
                  </pic:blipFill>
                  <pic:spPr bwMode="auto">
                    <a:xfrm>
                      <a:off x="0" y="0"/>
                      <a:ext cx="2001794" cy="1057809"/>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04BCABBC" w14:textId="77777777" w:rsidR="00562091" w:rsidRDefault="00562091" w:rsidP="0012568F">
      <w:pPr>
        <w:jc w:val="both"/>
        <w:rPr>
          <w:rFonts w:ascii="Abadi" w:hAnsi="Abadi"/>
          <w:sz w:val="21"/>
          <w:szCs w:val="21"/>
        </w:rPr>
      </w:pPr>
    </w:p>
    <w:p w14:paraId="1F7C3AC1" w14:textId="77777777" w:rsidR="00562091" w:rsidRDefault="00562091" w:rsidP="0012568F">
      <w:pPr>
        <w:jc w:val="both"/>
        <w:rPr>
          <w:rFonts w:ascii="Abadi" w:hAnsi="Abadi"/>
          <w:sz w:val="21"/>
          <w:szCs w:val="21"/>
        </w:rPr>
      </w:pPr>
    </w:p>
    <w:p w14:paraId="5D76D12C" w14:textId="110EC6BC" w:rsidR="00562091" w:rsidRDefault="00562091" w:rsidP="0012568F">
      <w:pPr>
        <w:jc w:val="both"/>
        <w:rPr>
          <w:rFonts w:ascii="Abadi" w:hAnsi="Abadi"/>
          <w:sz w:val="21"/>
          <w:szCs w:val="21"/>
        </w:rPr>
      </w:pPr>
    </w:p>
    <w:p w14:paraId="7EEAC2FB" w14:textId="04A4A5FF" w:rsidR="00562091" w:rsidRDefault="00562091" w:rsidP="0012568F">
      <w:pPr>
        <w:jc w:val="both"/>
        <w:rPr>
          <w:rFonts w:ascii="Abadi" w:hAnsi="Abadi"/>
          <w:sz w:val="21"/>
          <w:szCs w:val="21"/>
        </w:rPr>
      </w:pPr>
    </w:p>
    <w:p w14:paraId="3B80DB30" w14:textId="59659914" w:rsidR="00562091" w:rsidRDefault="00562091" w:rsidP="0012568F">
      <w:pPr>
        <w:jc w:val="both"/>
        <w:rPr>
          <w:rFonts w:ascii="Abadi" w:hAnsi="Abadi"/>
          <w:sz w:val="21"/>
          <w:szCs w:val="21"/>
        </w:rPr>
      </w:pPr>
    </w:p>
    <w:p w14:paraId="29AE6989" w14:textId="23137B5F" w:rsidR="00562091" w:rsidRDefault="00562091" w:rsidP="0012568F">
      <w:pPr>
        <w:jc w:val="both"/>
        <w:rPr>
          <w:rFonts w:ascii="Abadi" w:hAnsi="Abadi"/>
          <w:sz w:val="21"/>
          <w:szCs w:val="21"/>
        </w:rPr>
      </w:pPr>
    </w:p>
    <w:p w14:paraId="3D70B3BE" w14:textId="27AC5DC3" w:rsidR="00562091" w:rsidRDefault="00562091" w:rsidP="0012568F">
      <w:pPr>
        <w:jc w:val="both"/>
        <w:rPr>
          <w:rFonts w:ascii="Abadi" w:hAnsi="Abadi"/>
          <w:sz w:val="21"/>
          <w:szCs w:val="21"/>
        </w:rPr>
      </w:pPr>
    </w:p>
    <w:p w14:paraId="1A95BE3C" w14:textId="7DAFC6B4" w:rsidR="00562091" w:rsidRDefault="00562091" w:rsidP="0012568F">
      <w:pPr>
        <w:jc w:val="both"/>
        <w:rPr>
          <w:rFonts w:ascii="Abadi" w:hAnsi="Abadi"/>
          <w:sz w:val="21"/>
          <w:szCs w:val="21"/>
        </w:rPr>
      </w:pPr>
    </w:p>
    <w:p w14:paraId="5B66EF76" w14:textId="16FD5650" w:rsidR="00562091" w:rsidRDefault="00562091" w:rsidP="0012568F">
      <w:pPr>
        <w:jc w:val="both"/>
        <w:rPr>
          <w:rFonts w:ascii="Abadi" w:hAnsi="Abadi"/>
          <w:sz w:val="21"/>
          <w:szCs w:val="21"/>
        </w:rPr>
      </w:pPr>
    </w:p>
    <w:p w14:paraId="0FE509BE" w14:textId="60B366DC" w:rsidR="00562091" w:rsidRDefault="00562091" w:rsidP="0012568F">
      <w:pPr>
        <w:jc w:val="both"/>
        <w:rPr>
          <w:rFonts w:ascii="Abadi" w:hAnsi="Abadi"/>
          <w:sz w:val="21"/>
          <w:szCs w:val="21"/>
        </w:rPr>
      </w:pPr>
    </w:p>
    <w:p w14:paraId="5D7DDF89" w14:textId="40F56DE6" w:rsidR="00562091" w:rsidRDefault="00562091" w:rsidP="0012568F">
      <w:pPr>
        <w:jc w:val="both"/>
        <w:rPr>
          <w:rFonts w:ascii="Abadi" w:hAnsi="Abadi"/>
          <w:sz w:val="21"/>
          <w:szCs w:val="21"/>
        </w:rPr>
      </w:pPr>
    </w:p>
    <w:p w14:paraId="2285F64F" w14:textId="084701CE" w:rsidR="00562091" w:rsidRDefault="00562091" w:rsidP="0012568F">
      <w:pPr>
        <w:jc w:val="both"/>
        <w:rPr>
          <w:rFonts w:ascii="Abadi" w:hAnsi="Abadi"/>
          <w:sz w:val="21"/>
          <w:szCs w:val="21"/>
        </w:rPr>
      </w:pPr>
    </w:p>
    <w:p w14:paraId="271CEBCB" w14:textId="77777777" w:rsidR="00562091" w:rsidRDefault="00562091" w:rsidP="0012568F">
      <w:pPr>
        <w:jc w:val="both"/>
        <w:rPr>
          <w:rFonts w:ascii="Abadi" w:hAnsi="Abadi"/>
          <w:sz w:val="21"/>
          <w:szCs w:val="21"/>
        </w:rPr>
      </w:pPr>
    </w:p>
    <w:p w14:paraId="615DE218" w14:textId="29705457"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¡Muy buenas tardes! muchísimas gracias, con el permiso de la Mesa Directiva, de la Presidenta en funciones, compañeras, compañeros diputados, al público que nos acompaña y a los medios de comunicación que muy amablemente hacen una labor extraordinaria en cubrir las actividades del Congreso. </w:t>
      </w:r>
    </w:p>
    <w:p w14:paraId="7B94C346" w14:textId="77777777" w:rsidR="00786573" w:rsidRPr="0012568F" w:rsidRDefault="00786573" w:rsidP="0012568F">
      <w:pPr>
        <w:jc w:val="both"/>
        <w:rPr>
          <w:rFonts w:ascii="Abadi" w:hAnsi="Abadi"/>
          <w:sz w:val="21"/>
          <w:szCs w:val="21"/>
        </w:rPr>
      </w:pPr>
    </w:p>
    <w:p w14:paraId="69B793E7" w14:textId="028B7C9E"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En Sesión Ordinaria celebrada el pasado 10 de marzo del presente, se presentó este punto de acuerdo, como exhortó y se radicó en reunión de la Comisión de Seguridad Pública y Comunicaciones el veintidós de marzo, una solicitud que nos presentó el Grupo Parlamentario de Morena por medio de la diputada Irma Leticia González Sánchez. </w:t>
      </w:r>
    </w:p>
    <w:p w14:paraId="597AF334" w14:textId="77777777" w:rsidR="00786573" w:rsidRPr="0012568F" w:rsidRDefault="00786573" w:rsidP="0012568F">
      <w:pPr>
        <w:jc w:val="both"/>
        <w:rPr>
          <w:rFonts w:ascii="Abadi" w:hAnsi="Abadi"/>
          <w:sz w:val="21"/>
          <w:szCs w:val="21"/>
        </w:rPr>
      </w:pPr>
    </w:p>
    <w:p w14:paraId="42B1E5F3" w14:textId="390A46F7"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Sabemos bien que el deporte es considerado como un transformador de vidas, una herramienta clave para mejorar las condiciones y la calidad de vida de la población, promotor de la cultura de paz, integrador, social, una disciplina que enriquecen fortalece a las personas que lo practican, se educa el cuerpo y la mente a través del conocimiento y la perseverancia que forja el carácter. </w:t>
      </w:r>
    </w:p>
    <w:p w14:paraId="5A5147D2" w14:textId="77777777" w:rsidR="00786573" w:rsidRPr="0012568F" w:rsidRDefault="00786573" w:rsidP="0012568F">
      <w:pPr>
        <w:jc w:val="both"/>
        <w:rPr>
          <w:rFonts w:ascii="Abadi" w:hAnsi="Abadi"/>
          <w:sz w:val="21"/>
          <w:szCs w:val="21"/>
        </w:rPr>
      </w:pPr>
    </w:p>
    <w:p w14:paraId="3DCF7DBC" w14:textId="78C7A64E"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Lamentablemente, fuimos testigos que el nombre de un equipo de fútbol de nuestro vecino Estado de Querétaro. Dio la vuelta al mundo en muy pocas horas y lo más triste de la situación lo fue, no por situaciones propiamente deportivas futbolísticas, sino por la ola de violencia que se vivió en ese partido, dónde aficiones de ambas escuelas se aliaron a golpes y algunos quedaron heridos de gravedad. En nuestro estado dos equipos son integrantes de la Federación Mexicana de Futbol.</w:t>
      </w:r>
    </w:p>
    <w:p w14:paraId="1E4409EE" w14:textId="77777777" w:rsidR="00786573" w:rsidRPr="0012568F" w:rsidRDefault="00786573" w:rsidP="0012568F">
      <w:pPr>
        <w:jc w:val="both"/>
        <w:rPr>
          <w:rFonts w:ascii="Abadi" w:hAnsi="Abadi"/>
          <w:sz w:val="21"/>
          <w:szCs w:val="21"/>
        </w:rPr>
      </w:pPr>
    </w:p>
    <w:p w14:paraId="5C1762B2" w14:textId="714C2CBA"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Uno participa en la Liga MX, el equipo León y el otro es la Liga de Expansión Club Celaya, así como equipos profesionales en otras disciplinas como el béisbol con los Bravos y el básquetbol con las Abejas, por lo que preventivamente se debe de poner punto a la atención a las medidas de seguridad de los participantes en estos eventos masivos deportivos.</w:t>
      </w:r>
    </w:p>
    <w:p w14:paraId="125CD448" w14:textId="1239CC24" w:rsidR="00786573" w:rsidRPr="0012568F" w:rsidRDefault="00786573" w:rsidP="0012568F">
      <w:pPr>
        <w:jc w:val="both"/>
        <w:rPr>
          <w:rFonts w:ascii="Abadi" w:hAnsi="Abadi"/>
          <w:sz w:val="21"/>
          <w:szCs w:val="21"/>
        </w:rPr>
      </w:pPr>
    </w:p>
    <w:p w14:paraId="083238DC" w14:textId="52C894A6" w:rsidR="0012568F" w:rsidRP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El derecho al deporte fue reconocido en el texto constitucional en octubre del 2011 mediante una adición al artículo cuarto, en la que se establece que toda persona tiene derecho a la cultura física y a la práctica del deporte, corresponde al Estado su promoción, fomento y estímulo conforme a las leyes de la materia. El deporte espectáculo es una expresión que forma parte de la cultura física, deportiva del país y que, por lo tanto, debe de ser garantizados. Aquí estamos de acuerdo en general, un marco seguro para que las familias mexicanas puedan disfrutar de los eventos deportivos o de cualquier evento público masivo. En el momento que se realiza y se permita que surja ahí, un acto de violencia en evento deportivos, pues atenta con esta situación contra el disfrute y el pleno ejercicio de los derechos como la seguridad, el desarrollo integral de la familia, entre otros derechos involucrados.</w:t>
      </w:r>
    </w:p>
    <w:p w14:paraId="4E16A48E" w14:textId="77777777" w:rsidR="00786573" w:rsidRDefault="0012568F" w:rsidP="0012568F">
      <w:pPr>
        <w:jc w:val="both"/>
        <w:rPr>
          <w:rFonts w:ascii="Abadi" w:hAnsi="Abadi"/>
          <w:sz w:val="21"/>
          <w:szCs w:val="21"/>
        </w:rPr>
      </w:pPr>
      <w:r w:rsidRPr="0012568F">
        <w:rPr>
          <w:rFonts w:ascii="Abadi" w:hAnsi="Abadi"/>
          <w:sz w:val="21"/>
          <w:szCs w:val="21"/>
        </w:rPr>
        <w:t>Debemos contar con lugares públicos libres de violencia y delincuencia. Es por ello y por lo mismo que el siguiente exhortó es a los 46 ayuntamientos del Estado, así como la Secretaría de Seguridad Pública, para que revisen y actualicen los protocolos, reglamentos y manuales de protección civil y bomberos, donde incluyan apartados de análisis de riesgos preventivos. De la misma forma, reexaminar las disposiciones administrativas en la realización de espectáculos públicos masivos, de manera puntual a la Secretaría de Seguridad Pública para que revise los permisos y certificaciones de las empresas y personal que presten sus servicios, como su seguridad privada aquí en nuestro estado de Guanajuato.</w:t>
      </w:r>
    </w:p>
    <w:p w14:paraId="09BBFC82" w14:textId="55B3B756" w:rsidR="0012568F" w:rsidRP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 </w:t>
      </w:r>
    </w:p>
    <w:p w14:paraId="0BD2BDA1" w14:textId="6DA3CE3F"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Y finalmente, a la Comisión del Deporte del Estado de Guanajuato, la CODE para que informe detalladamente las medidas encaminadas a prevenir la violencia en eventos deportivos, así como las acciones para garantizar el desarrollo pacífico en los recintos donde celebran actos públicos masivos. </w:t>
      </w:r>
    </w:p>
    <w:p w14:paraId="4637749A" w14:textId="77777777" w:rsidR="00786573" w:rsidRPr="0012568F" w:rsidRDefault="00786573" w:rsidP="0012568F">
      <w:pPr>
        <w:jc w:val="both"/>
        <w:rPr>
          <w:rFonts w:ascii="Abadi" w:hAnsi="Abadi"/>
          <w:sz w:val="21"/>
          <w:szCs w:val="21"/>
        </w:rPr>
      </w:pPr>
    </w:p>
    <w:p w14:paraId="2EC17805" w14:textId="122D956F" w:rsidR="0012568F" w:rsidRP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Por esa razón es que subo a esta tribuna para solicitar su voto a favor del presente dictamen. Muchísimas gracias. </w:t>
      </w:r>
    </w:p>
    <w:p w14:paraId="40D60DBB" w14:textId="77777777" w:rsidR="00786573" w:rsidRDefault="00786573" w:rsidP="0012568F">
      <w:pPr>
        <w:jc w:val="both"/>
        <w:rPr>
          <w:rFonts w:ascii="Abadi" w:hAnsi="Abadi"/>
          <w:b/>
          <w:bCs/>
          <w:sz w:val="21"/>
          <w:szCs w:val="21"/>
        </w:rPr>
      </w:pPr>
    </w:p>
    <w:p w14:paraId="4F2629F0" w14:textId="2DC36AB2" w:rsidR="0012568F" w:rsidRDefault="00786573" w:rsidP="00786573">
      <w:pPr>
        <w:ind w:firstLine="708"/>
        <w:jc w:val="both"/>
        <w:rPr>
          <w:rFonts w:ascii="Abadi" w:hAnsi="Abadi"/>
          <w:sz w:val="21"/>
          <w:szCs w:val="21"/>
        </w:rPr>
      </w:pPr>
      <w:r>
        <w:rPr>
          <w:rFonts w:ascii="Abadi" w:hAnsi="Abadi"/>
          <w:b/>
          <w:bCs/>
          <w:sz w:val="21"/>
          <w:szCs w:val="21"/>
        </w:rPr>
        <w:t xml:space="preserve">- </w:t>
      </w:r>
      <w:r w:rsidR="0012568F" w:rsidRPr="0012568F">
        <w:rPr>
          <w:rFonts w:ascii="Abadi" w:hAnsi="Abadi"/>
          <w:b/>
          <w:bCs/>
          <w:sz w:val="21"/>
          <w:szCs w:val="21"/>
        </w:rPr>
        <w:t>La Presidenta.-</w:t>
      </w:r>
      <w:r w:rsidR="0012568F" w:rsidRPr="0012568F">
        <w:rPr>
          <w:rFonts w:ascii="Abadi" w:hAnsi="Abadi"/>
          <w:sz w:val="21"/>
          <w:szCs w:val="21"/>
        </w:rPr>
        <w:t xml:space="preserve"> Muchas gracias, diputado. </w:t>
      </w:r>
    </w:p>
    <w:p w14:paraId="3CE0F925" w14:textId="77777777" w:rsidR="00786573" w:rsidRPr="0012568F" w:rsidRDefault="00786573" w:rsidP="00786573">
      <w:pPr>
        <w:ind w:firstLine="708"/>
        <w:jc w:val="both"/>
        <w:rPr>
          <w:rFonts w:ascii="Abadi" w:hAnsi="Abadi"/>
          <w:sz w:val="21"/>
          <w:szCs w:val="21"/>
        </w:rPr>
      </w:pPr>
    </w:p>
    <w:p w14:paraId="0623B907" w14:textId="31A85FDE" w:rsidR="0012568F" w:rsidRPr="0012568F" w:rsidRDefault="00786573" w:rsidP="00163DA6">
      <w:pPr>
        <w:ind w:firstLine="708"/>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Se concede el uso de la voz enseguida </w:t>
      </w:r>
      <w:r w:rsidR="00163DA6">
        <w:rPr>
          <w:rFonts w:ascii="Abadi" w:hAnsi="Abadi"/>
          <w:sz w:val="21"/>
          <w:szCs w:val="21"/>
        </w:rPr>
        <w:t xml:space="preserve">a </w:t>
      </w:r>
      <w:r w:rsidR="0012568F" w:rsidRPr="0012568F">
        <w:rPr>
          <w:rFonts w:ascii="Abadi" w:hAnsi="Abadi"/>
          <w:sz w:val="21"/>
          <w:szCs w:val="21"/>
        </w:rPr>
        <w:t>la diputada Irma González.</w:t>
      </w:r>
    </w:p>
    <w:p w14:paraId="174768F1" w14:textId="77777777" w:rsidR="00786573" w:rsidRDefault="0012568F" w:rsidP="0012568F">
      <w:pPr>
        <w:jc w:val="both"/>
        <w:rPr>
          <w:rFonts w:ascii="Abadi" w:hAnsi="Abadi"/>
          <w:sz w:val="21"/>
          <w:szCs w:val="21"/>
        </w:rPr>
      </w:pPr>
      <w:r w:rsidRPr="0012568F">
        <w:rPr>
          <w:rFonts w:ascii="Abadi" w:hAnsi="Abadi"/>
          <w:sz w:val="21"/>
          <w:szCs w:val="21"/>
        </w:rPr>
        <w:t xml:space="preserve"> </w:t>
      </w:r>
    </w:p>
    <w:p w14:paraId="237DF70B" w14:textId="54D5EE9D" w:rsidR="0012568F" w:rsidRPr="0012568F" w:rsidRDefault="00786573" w:rsidP="00163DA6">
      <w:pPr>
        <w:ind w:firstLine="708"/>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Adelante, diputada. </w:t>
      </w:r>
    </w:p>
    <w:p w14:paraId="327B2EFF" w14:textId="77777777" w:rsidR="0012568F" w:rsidRPr="0012568F" w:rsidRDefault="0012568F" w:rsidP="0012568F">
      <w:pPr>
        <w:jc w:val="both"/>
        <w:rPr>
          <w:rFonts w:ascii="Abadi" w:hAnsi="Abadi"/>
          <w:sz w:val="21"/>
          <w:szCs w:val="21"/>
        </w:rPr>
      </w:pPr>
    </w:p>
    <w:p w14:paraId="3AC6C9D9" w14:textId="0C99798A" w:rsidR="0012568F" w:rsidRDefault="0012568F" w:rsidP="0012568F">
      <w:pPr>
        <w:jc w:val="both"/>
        <w:rPr>
          <w:rFonts w:ascii="Abadi" w:hAnsi="Abadi"/>
          <w:b/>
          <w:bCs/>
          <w:sz w:val="21"/>
          <w:szCs w:val="21"/>
        </w:rPr>
      </w:pPr>
      <w:r w:rsidRPr="0012568F">
        <w:rPr>
          <w:rFonts w:ascii="Abadi" w:hAnsi="Abadi"/>
          <w:b/>
          <w:bCs/>
          <w:sz w:val="21"/>
          <w:szCs w:val="21"/>
        </w:rPr>
        <w:t xml:space="preserve">(Sube a tribuna la Diputada Irma González, para hablar a favor del dictamen) </w:t>
      </w:r>
    </w:p>
    <w:p w14:paraId="76D85974" w14:textId="64ECAB6D" w:rsidR="00786573" w:rsidRDefault="00786573" w:rsidP="0012568F">
      <w:pPr>
        <w:jc w:val="both"/>
        <w:rPr>
          <w:rFonts w:ascii="Abadi" w:hAnsi="Abadi"/>
          <w:b/>
          <w:bCs/>
          <w:sz w:val="21"/>
          <w:szCs w:val="21"/>
        </w:rPr>
      </w:pPr>
    </w:p>
    <w:p w14:paraId="66797134" w14:textId="0A0CD284" w:rsidR="00786573" w:rsidRPr="0012568F" w:rsidRDefault="00786573" w:rsidP="0012568F">
      <w:pPr>
        <w:jc w:val="both"/>
        <w:rPr>
          <w:rFonts w:ascii="Abadi" w:hAnsi="Abadi"/>
          <w:b/>
          <w:bCs/>
          <w:sz w:val="21"/>
          <w:szCs w:val="21"/>
        </w:rPr>
      </w:pPr>
    </w:p>
    <w:p w14:paraId="773A622B" w14:textId="431C8B7C" w:rsidR="0012568F" w:rsidRPr="0012568F" w:rsidRDefault="0012568F" w:rsidP="0012568F">
      <w:pPr>
        <w:jc w:val="both"/>
        <w:rPr>
          <w:rFonts w:ascii="Abadi" w:hAnsi="Abadi"/>
          <w:b/>
          <w:bCs/>
          <w:sz w:val="21"/>
          <w:szCs w:val="21"/>
        </w:rPr>
      </w:pPr>
    </w:p>
    <w:p w14:paraId="15D511BF" w14:textId="28F4B95E" w:rsidR="0012568F" w:rsidRPr="0012568F" w:rsidRDefault="00786573" w:rsidP="0012568F">
      <w:pPr>
        <w:jc w:val="both"/>
        <w:rPr>
          <w:rFonts w:ascii="Abadi" w:hAnsi="Abadi"/>
          <w:b/>
          <w:bCs/>
          <w:sz w:val="21"/>
          <w:szCs w:val="21"/>
        </w:rPr>
      </w:pPr>
      <w:r w:rsidRPr="0012568F">
        <w:rPr>
          <w:rFonts w:ascii="Abadi" w:hAnsi="Abadi"/>
          <w:noProof/>
          <w:sz w:val="21"/>
          <w:szCs w:val="21"/>
        </w:rPr>
        <w:drawing>
          <wp:anchor distT="0" distB="0" distL="114300" distR="114300" simplePos="0" relativeHeight="251689984" behindDoc="1" locked="0" layoutInCell="1" allowOverlap="1" wp14:anchorId="4EA2E087" wp14:editId="4ACD9052">
            <wp:simplePos x="0" y="0"/>
            <wp:positionH relativeFrom="column">
              <wp:posOffset>250190</wp:posOffset>
            </wp:positionH>
            <wp:positionV relativeFrom="paragraph">
              <wp:posOffset>141605</wp:posOffset>
            </wp:positionV>
            <wp:extent cx="1838325" cy="956945"/>
            <wp:effectExtent l="0" t="133350" r="0" b="738505"/>
            <wp:wrapTight wrapText="bothSides">
              <wp:wrapPolygon edited="0">
                <wp:start x="11863" y="-3010"/>
                <wp:lineTo x="0" y="-2150"/>
                <wp:lineTo x="0" y="22360"/>
                <wp:lineTo x="448" y="37839"/>
                <wp:lineTo x="4477" y="37839"/>
                <wp:lineTo x="4701" y="36979"/>
                <wp:lineTo x="19921" y="32250"/>
                <wp:lineTo x="20145" y="4730"/>
                <wp:lineTo x="19697" y="-1720"/>
                <wp:lineTo x="19697" y="-3010"/>
                <wp:lineTo x="11863" y="-3010"/>
              </wp:wrapPolygon>
            </wp:wrapTight>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b="7354"/>
                    <a:stretch/>
                  </pic:blipFill>
                  <pic:spPr bwMode="auto">
                    <a:xfrm>
                      <a:off x="0" y="0"/>
                      <a:ext cx="1838325" cy="95694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168542" w14:textId="7A5FE73D" w:rsidR="0012568F" w:rsidRPr="0012568F" w:rsidRDefault="0012568F" w:rsidP="0012568F">
      <w:pPr>
        <w:jc w:val="both"/>
        <w:rPr>
          <w:rFonts w:ascii="Abadi" w:hAnsi="Abadi"/>
          <w:sz w:val="21"/>
          <w:szCs w:val="21"/>
        </w:rPr>
      </w:pPr>
    </w:p>
    <w:p w14:paraId="1C4AEA4C" w14:textId="77777777" w:rsidR="00786573" w:rsidRDefault="00786573" w:rsidP="0012568F">
      <w:pPr>
        <w:jc w:val="both"/>
        <w:rPr>
          <w:rFonts w:ascii="Abadi" w:hAnsi="Abadi"/>
          <w:sz w:val="21"/>
          <w:szCs w:val="21"/>
        </w:rPr>
      </w:pPr>
    </w:p>
    <w:p w14:paraId="231E8389" w14:textId="77777777" w:rsidR="00786573" w:rsidRDefault="00786573" w:rsidP="0012568F">
      <w:pPr>
        <w:jc w:val="both"/>
        <w:rPr>
          <w:rFonts w:ascii="Abadi" w:hAnsi="Abadi"/>
          <w:sz w:val="21"/>
          <w:szCs w:val="21"/>
        </w:rPr>
      </w:pPr>
    </w:p>
    <w:p w14:paraId="3E009C41" w14:textId="77777777" w:rsidR="00786573" w:rsidRDefault="00786573" w:rsidP="0012568F">
      <w:pPr>
        <w:jc w:val="both"/>
        <w:rPr>
          <w:rFonts w:ascii="Abadi" w:hAnsi="Abadi"/>
          <w:sz w:val="21"/>
          <w:szCs w:val="21"/>
        </w:rPr>
      </w:pPr>
    </w:p>
    <w:p w14:paraId="53F8D894" w14:textId="77777777" w:rsidR="00786573" w:rsidRDefault="00786573" w:rsidP="0012568F">
      <w:pPr>
        <w:jc w:val="both"/>
        <w:rPr>
          <w:rFonts w:ascii="Abadi" w:hAnsi="Abadi"/>
          <w:sz w:val="21"/>
          <w:szCs w:val="21"/>
        </w:rPr>
      </w:pPr>
    </w:p>
    <w:p w14:paraId="0EC55BFB" w14:textId="77777777" w:rsidR="00786573" w:rsidRDefault="00786573" w:rsidP="0012568F">
      <w:pPr>
        <w:jc w:val="both"/>
        <w:rPr>
          <w:rFonts w:ascii="Abadi" w:hAnsi="Abadi"/>
          <w:sz w:val="21"/>
          <w:szCs w:val="21"/>
        </w:rPr>
      </w:pPr>
    </w:p>
    <w:p w14:paraId="2517B796" w14:textId="77777777" w:rsidR="00786573" w:rsidRDefault="00786573" w:rsidP="0012568F">
      <w:pPr>
        <w:jc w:val="both"/>
        <w:rPr>
          <w:rFonts w:ascii="Abadi" w:hAnsi="Abadi"/>
          <w:sz w:val="21"/>
          <w:szCs w:val="21"/>
        </w:rPr>
      </w:pPr>
    </w:p>
    <w:p w14:paraId="5F6E8991" w14:textId="77777777" w:rsidR="00786573" w:rsidRDefault="00786573" w:rsidP="0012568F">
      <w:pPr>
        <w:jc w:val="both"/>
        <w:rPr>
          <w:rFonts w:ascii="Abadi" w:hAnsi="Abadi"/>
          <w:sz w:val="21"/>
          <w:szCs w:val="21"/>
        </w:rPr>
      </w:pPr>
    </w:p>
    <w:p w14:paraId="3A270F3D" w14:textId="77777777" w:rsidR="00786573" w:rsidRDefault="00786573" w:rsidP="0012568F">
      <w:pPr>
        <w:jc w:val="both"/>
        <w:rPr>
          <w:rFonts w:ascii="Abadi" w:hAnsi="Abadi"/>
          <w:sz w:val="21"/>
          <w:szCs w:val="21"/>
        </w:rPr>
      </w:pPr>
    </w:p>
    <w:p w14:paraId="61D2C8D5" w14:textId="77777777" w:rsidR="00786573" w:rsidRDefault="00786573" w:rsidP="0012568F">
      <w:pPr>
        <w:jc w:val="both"/>
        <w:rPr>
          <w:rFonts w:ascii="Abadi" w:hAnsi="Abadi"/>
          <w:sz w:val="21"/>
          <w:szCs w:val="21"/>
        </w:rPr>
      </w:pPr>
    </w:p>
    <w:p w14:paraId="511B0789" w14:textId="77777777" w:rsidR="00A46D79" w:rsidRDefault="00A46D79" w:rsidP="0012568F">
      <w:pPr>
        <w:jc w:val="both"/>
        <w:rPr>
          <w:rFonts w:ascii="Abadi" w:hAnsi="Abadi"/>
          <w:sz w:val="21"/>
          <w:szCs w:val="21"/>
        </w:rPr>
      </w:pPr>
    </w:p>
    <w:p w14:paraId="45E89006" w14:textId="77777777" w:rsidR="00A46D79" w:rsidRDefault="00A46D79" w:rsidP="0012568F">
      <w:pPr>
        <w:jc w:val="both"/>
        <w:rPr>
          <w:rFonts w:ascii="Abadi" w:hAnsi="Abadi"/>
          <w:sz w:val="21"/>
          <w:szCs w:val="21"/>
        </w:rPr>
      </w:pPr>
    </w:p>
    <w:p w14:paraId="3D0309A5" w14:textId="14FCEBA3"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Nuevamente muy buenas tardes a todas mis compañeras compañeros a quienes nos ven a través de los medio, aquí en orden a través de los medios electrónicos y a quién se cuenta aquí presentes y, por supuesto, a los medios de comunicación. </w:t>
      </w:r>
    </w:p>
    <w:p w14:paraId="2F0B9A01" w14:textId="77777777" w:rsidR="00786573" w:rsidRPr="0012568F" w:rsidRDefault="00786573" w:rsidP="0012568F">
      <w:pPr>
        <w:jc w:val="both"/>
        <w:rPr>
          <w:rFonts w:ascii="Abadi" w:hAnsi="Abadi"/>
          <w:sz w:val="21"/>
          <w:szCs w:val="21"/>
        </w:rPr>
      </w:pPr>
    </w:p>
    <w:p w14:paraId="3895E286" w14:textId="03AFF0C5"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Y prácticamente pues mi compañero ya lo ha expuesto todo, lo ha comentado la, lo ha dicho y agradezco el que también, al igual que una servidora esté, esté pidiendo el voto a favor, porque yo creo que todas y todos deseamos ir a un espectáculo, disfrutar de él y más que son eventos familiares. </w:t>
      </w:r>
    </w:p>
    <w:p w14:paraId="0FB468BF" w14:textId="77777777" w:rsidR="00786573" w:rsidRPr="0012568F" w:rsidRDefault="00786573" w:rsidP="0012568F">
      <w:pPr>
        <w:jc w:val="both"/>
        <w:rPr>
          <w:rFonts w:ascii="Abadi" w:hAnsi="Abadi"/>
          <w:sz w:val="21"/>
          <w:szCs w:val="21"/>
        </w:rPr>
      </w:pPr>
    </w:p>
    <w:p w14:paraId="70406074" w14:textId="49A4C710" w:rsidR="00786573"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Entonces, si es muy importante el que trabajemos sobre estos aspectos y después de los lamentables hechos sucedidos el pasado mes de marzo y que ya lo comento mi compañero Bricio, este es importante que nosotros lo manifestemos y las diputadas y los diputados integrantes </w:t>
      </w:r>
      <w:r w:rsidR="00163DA6" w:rsidRPr="0012568F">
        <w:rPr>
          <w:rFonts w:ascii="Abadi" w:hAnsi="Abadi"/>
          <w:sz w:val="21"/>
          <w:szCs w:val="21"/>
        </w:rPr>
        <w:t xml:space="preserve">del </w:t>
      </w:r>
      <w:r w:rsidR="00163DA6">
        <w:rPr>
          <w:rFonts w:ascii="Abadi" w:hAnsi="Abadi"/>
          <w:sz w:val="21"/>
          <w:szCs w:val="21"/>
        </w:rPr>
        <w:t>Grupo</w:t>
      </w:r>
      <w:r w:rsidR="0012568F" w:rsidRPr="0012568F">
        <w:rPr>
          <w:rFonts w:ascii="Abadi" w:hAnsi="Abadi"/>
          <w:sz w:val="21"/>
          <w:szCs w:val="21"/>
        </w:rPr>
        <w:t xml:space="preserve"> Parlamentario de Morena.</w:t>
      </w:r>
    </w:p>
    <w:p w14:paraId="691FF183" w14:textId="742FFE6C" w:rsidR="0012568F" w:rsidRPr="0012568F" w:rsidRDefault="0012568F" w:rsidP="0012568F">
      <w:pPr>
        <w:jc w:val="both"/>
        <w:rPr>
          <w:rFonts w:ascii="Abadi" w:hAnsi="Abadi"/>
          <w:sz w:val="21"/>
          <w:szCs w:val="21"/>
        </w:rPr>
      </w:pPr>
      <w:r w:rsidRPr="0012568F">
        <w:rPr>
          <w:rFonts w:ascii="Abadi" w:hAnsi="Abadi"/>
          <w:sz w:val="21"/>
          <w:szCs w:val="21"/>
        </w:rPr>
        <w:t xml:space="preserve"> </w:t>
      </w:r>
    </w:p>
    <w:p w14:paraId="09812FB2" w14:textId="4BDE49C8"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Es por ello que presentamos un punto de acuerdo para exhortar a diferentes autoridades, tanto municipales como estatales, a realizar una revisión y actualización a los protocolos, reglamentos y manuales de protección civil y bomberos en donde consideramos importante la inclusión de un aparato de análisis de riesgos preventivos. </w:t>
      </w:r>
    </w:p>
    <w:p w14:paraId="40B3805F" w14:textId="77777777" w:rsidR="00786573" w:rsidRPr="0012568F" w:rsidRDefault="00786573" w:rsidP="0012568F">
      <w:pPr>
        <w:jc w:val="both"/>
        <w:rPr>
          <w:rFonts w:ascii="Abadi" w:hAnsi="Abadi"/>
          <w:sz w:val="21"/>
          <w:szCs w:val="21"/>
        </w:rPr>
      </w:pPr>
    </w:p>
    <w:p w14:paraId="3C0F71DE" w14:textId="13BD7DA9"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Es de suma importancia que en cualquier evento público masivo, ya sea deportivo o de espectáculo, nuestras autoridades estén capacitadas y sepan que hacer antes de los diferentes escenarios que se puedan presentar. Es importante hacer una revisión de los diferentes inmuebles y garantizar que sean óptimos para garantizar la seguridad de los asistentes. Como bien lo mencionamos en una de las sesiones pasadas del área de la Feria de León, ocurrieron eventos que se salieron de control por parte de los organizadores, estamos seguros de que cada organizador trabaja para traer mejor espectáculo, sabemos que la reactivación económica es muy importante, pero de ninguna manera esto debe de ser motivo para poner en riesgo la seguridad de los asistentes. </w:t>
      </w:r>
    </w:p>
    <w:p w14:paraId="678A84B3" w14:textId="77777777" w:rsidR="00786573" w:rsidRPr="0012568F" w:rsidRDefault="00786573" w:rsidP="0012568F">
      <w:pPr>
        <w:jc w:val="both"/>
        <w:rPr>
          <w:rFonts w:ascii="Abadi" w:hAnsi="Abadi"/>
          <w:sz w:val="21"/>
          <w:szCs w:val="21"/>
        </w:rPr>
      </w:pPr>
    </w:p>
    <w:p w14:paraId="37901FF3" w14:textId="35C3387A"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Son varios los municipios que están buscando esta reactivación económica. Por ejemplo, la próxima semana inicia la feria en el municipio de Valle de Santiago, se presentará </w:t>
      </w:r>
      <w:r w:rsidR="00A46D79" w:rsidRPr="0012568F">
        <w:rPr>
          <w:rFonts w:ascii="Abadi" w:hAnsi="Abadi"/>
          <w:sz w:val="21"/>
          <w:szCs w:val="21"/>
        </w:rPr>
        <w:t>un artista posicionado</w:t>
      </w:r>
      <w:r w:rsidR="0012568F" w:rsidRPr="0012568F">
        <w:rPr>
          <w:rFonts w:ascii="Abadi" w:hAnsi="Abadi"/>
          <w:sz w:val="21"/>
          <w:szCs w:val="21"/>
        </w:rPr>
        <w:t xml:space="preserve"> en la música regional mexicana, el señor Pancho Barraza, las y los Vallenses, podrán disfrutar de ese espectáculo únicamente por ciento cincuenta pesos. Y no es que esté haciendo promoción a que vayan, porque el costo es muy bajo. Sí, no, haciendo alusión a que hace una semana el mismo municipio en Irapuato para ver a el mismo artista. Las personas tuvieron que pagar hasta cerca de tres mil pesos y sé llenó, entonces al ser este precio, pues consideramos que todavía va a estar mucho más saturado. </w:t>
      </w:r>
    </w:p>
    <w:p w14:paraId="01ABA804" w14:textId="77777777" w:rsidR="00A46D79" w:rsidRPr="0012568F" w:rsidRDefault="00A46D79" w:rsidP="0012568F">
      <w:pPr>
        <w:jc w:val="both"/>
        <w:rPr>
          <w:rFonts w:ascii="Abadi" w:hAnsi="Abadi"/>
          <w:sz w:val="21"/>
          <w:szCs w:val="21"/>
        </w:rPr>
      </w:pPr>
    </w:p>
    <w:p w14:paraId="2F268000" w14:textId="2F28880F"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Por eso no estamos en contra de la reactivación económica. Que bien que a los organizadores les vaya muy bien que haya mucha gente y que también salgan a divertirse las familias. Queremos que le vaya bien a todos. Sin embargo, todos los eventos públicos masivos deben estar acompañados con un plan estratégico en donde lo primordial debe de ser salvaguardar la integridad y seguridad de los asistentes, más allá del beneficio económico y por lo anteriormente expuesto, es por ello que nuestro voto, por supuesto, será favor y les pedimos también todos ustedes puedan votar a favor. </w:t>
      </w:r>
    </w:p>
    <w:p w14:paraId="338DFCBC" w14:textId="77777777" w:rsidR="00786573" w:rsidRPr="0012568F" w:rsidRDefault="00786573" w:rsidP="0012568F">
      <w:pPr>
        <w:jc w:val="both"/>
        <w:rPr>
          <w:rFonts w:ascii="Abadi" w:hAnsi="Abadi"/>
          <w:sz w:val="21"/>
          <w:szCs w:val="21"/>
        </w:rPr>
      </w:pPr>
    </w:p>
    <w:p w14:paraId="730947DA" w14:textId="04C804BC" w:rsidR="0012568F" w:rsidRDefault="00786573" w:rsidP="0012568F">
      <w:pPr>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Es cuánto</w:t>
      </w:r>
      <w:r>
        <w:rPr>
          <w:rFonts w:ascii="Abadi" w:hAnsi="Abadi"/>
          <w:sz w:val="21"/>
          <w:szCs w:val="21"/>
        </w:rPr>
        <w:t>,</w:t>
      </w:r>
      <w:r w:rsidR="0012568F" w:rsidRPr="0012568F">
        <w:rPr>
          <w:rFonts w:ascii="Abadi" w:hAnsi="Abadi"/>
          <w:sz w:val="21"/>
          <w:szCs w:val="21"/>
        </w:rPr>
        <w:t xml:space="preserve"> </w:t>
      </w:r>
      <w:r>
        <w:rPr>
          <w:rFonts w:ascii="Abadi" w:hAnsi="Abadi"/>
          <w:sz w:val="21"/>
          <w:szCs w:val="21"/>
        </w:rPr>
        <w:t>m</w:t>
      </w:r>
      <w:r w:rsidR="0012568F" w:rsidRPr="0012568F">
        <w:rPr>
          <w:rFonts w:ascii="Abadi" w:hAnsi="Abadi"/>
          <w:sz w:val="21"/>
          <w:szCs w:val="21"/>
        </w:rPr>
        <w:t xml:space="preserve">uchísimas gracias. </w:t>
      </w:r>
    </w:p>
    <w:p w14:paraId="18D821CF" w14:textId="77777777" w:rsidR="00786573" w:rsidRPr="0012568F" w:rsidRDefault="00786573" w:rsidP="0012568F">
      <w:pPr>
        <w:jc w:val="both"/>
        <w:rPr>
          <w:rFonts w:ascii="Abadi" w:hAnsi="Abadi"/>
          <w:sz w:val="21"/>
          <w:szCs w:val="21"/>
        </w:rPr>
      </w:pPr>
    </w:p>
    <w:p w14:paraId="46167DD1" w14:textId="65B09AA4" w:rsidR="0012568F" w:rsidRDefault="00786573" w:rsidP="00786573">
      <w:pPr>
        <w:ind w:firstLine="708"/>
        <w:jc w:val="both"/>
        <w:rPr>
          <w:rFonts w:ascii="Abadi" w:hAnsi="Abadi"/>
          <w:sz w:val="21"/>
          <w:szCs w:val="21"/>
        </w:rPr>
      </w:pPr>
      <w:r>
        <w:rPr>
          <w:rFonts w:ascii="Abadi" w:hAnsi="Abadi"/>
          <w:b/>
          <w:bCs/>
          <w:sz w:val="21"/>
          <w:szCs w:val="21"/>
        </w:rPr>
        <w:t xml:space="preserve">- </w:t>
      </w:r>
      <w:r w:rsidR="0012568F" w:rsidRPr="0012568F">
        <w:rPr>
          <w:rFonts w:ascii="Abadi" w:hAnsi="Abadi"/>
          <w:b/>
          <w:bCs/>
          <w:sz w:val="21"/>
          <w:szCs w:val="21"/>
        </w:rPr>
        <w:t>La Presidencia.-</w:t>
      </w:r>
      <w:r w:rsidR="0012568F" w:rsidRPr="0012568F">
        <w:rPr>
          <w:rFonts w:ascii="Abadi" w:hAnsi="Abadi"/>
          <w:sz w:val="21"/>
          <w:szCs w:val="21"/>
        </w:rPr>
        <w:t xml:space="preserve"> Muchas gracias, diputada. </w:t>
      </w:r>
    </w:p>
    <w:p w14:paraId="43297D17" w14:textId="77777777" w:rsidR="00786573" w:rsidRPr="0012568F" w:rsidRDefault="00786573" w:rsidP="0012568F">
      <w:pPr>
        <w:jc w:val="both"/>
        <w:rPr>
          <w:rFonts w:ascii="Abadi" w:hAnsi="Abadi"/>
          <w:sz w:val="21"/>
          <w:szCs w:val="21"/>
        </w:rPr>
      </w:pPr>
    </w:p>
    <w:p w14:paraId="67E58C12" w14:textId="062C682E" w:rsidR="0012568F" w:rsidRPr="0012568F" w:rsidRDefault="00786573" w:rsidP="00163DA6">
      <w:pPr>
        <w:ind w:firstLine="708"/>
        <w:jc w:val="both"/>
        <w:rPr>
          <w:rFonts w:ascii="Abadi" w:hAnsi="Abadi"/>
          <w:sz w:val="21"/>
          <w:szCs w:val="21"/>
        </w:rPr>
      </w:pPr>
      <w:r>
        <w:rPr>
          <w:rFonts w:ascii="Abadi" w:hAnsi="Abadi"/>
          <w:sz w:val="21"/>
          <w:szCs w:val="21"/>
        </w:rPr>
        <w:t xml:space="preserve">- </w:t>
      </w:r>
      <w:r w:rsidR="0012568F" w:rsidRPr="0012568F">
        <w:rPr>
          <w:rFonts w:ascii="Abadi" w:hAnsi="Abadi"/>
          <w:sz w:val="21"/>
          <w:szCs w:val="21"/>
        </w:rPr>
        <w:t xml:space="preserve">Agotadas las participaciones, se pide la Secretaria que proceda recabar votación nominal de la asamblea a través del sistema electrónico a efecto de aprobar o no el dictamen puesto a su consideración. </w:t>
      </w:r>
    </w:p>
    <w:p w14:paraId="79834396" w14:textId="77777777" w:rsidR="00786573" w:rsidRDefault="00786573" w:rsidP="0012568F">
      <w:pPr>
        <w:jc w:val="both"/>
        <w:rPr>
          <w:rFonts w:ascii="Abadi" w:hAnsi="Abadi"/>
          <w:b/>
          <w:bCs/>
          <w:sz w:val="21"/>
          <w:szCs w:val="21"/>
        </w:rPr>
      </w:pPr>
    </w:p>
    <w:p w14:paraId="6C3B83E0" w14:textId="3A73A3BE" w:rsidR="0012568F" w:rsidRPr="0012568F" w:rsidRDefault="0012568F" w:rsidP="00786573">
      <w:pPr>
        <w:jc w:val="center"/>
        <w:rPr>
          <w:rFonts w:ascii="Abadi" w:hAnsi="Abadi"/>
          <w:b/>
          <w:bCs/>
          <w:sz w:val="21"/>
          <w:szCs w:val="21"/>
        </w:rPr>
      </w:pPr>
      <w:r w:rsidRPr="0012568F">
        <w:rPr>
          <w:rFonts w:ascii="Abadi" w:hAnsi="Abadi"/>
          <w:b/>
          <w:bCs/>
          <w:sz w:val="21"/>
          <w:szCs w:val="21"/>
        </w:rPr>
        <w:t>(Se abre el sistema electrónico)</w:t>
      </w:r>
    </w:p>
    <w:p w14:paraId="0613598D" w14:textId="77777777" w:rsidR="00786573" w:rsidRDefault="00786573" w:rsidP="0012568F">
      <w:pPr>
        <w:jc w:val="both"/>
        <w:rPr>
          <w:rFonts w:ascii="Abadi" w:hAnsi="Abadi"/>
          <w:b/>
          <w:bCs/>
          <w:sz w:val="21"/>
          <w:szCs w:val="21"/>
        </w:rPr>
      </w:pPr>
    </w:p>
    <w:p w14:paraId="423F1373" w14:textId="086A5AD2" w:rsidR="0012568F" w:rsidRDefault="00786573" w:rsidP="00163DA6">
      <w:pPr>
        <w:ind w:firstLine="708"/>
        <w:jc w:val="both"/>
        <w:rPr>
          <w:rFonts w:ascii="Abadi" w:hAnsi="Abadi"/>
          <w:sz w:val="21"/>
          <w:szCs w:val="21"/>
        </w:rPr>
      </w:pPr>
      <w:r>
        <w:rPr>
          <w:rFonts w:ascii="Abadi" w:hAnsi="Abadi"/>
          <w:b/>
          <w:bCs/>
          <w:sz w:val="21"/>
          <w:szCs w:val="21"/>
        </w:rPr>
        <w:t xml:space="preserve">- </w:t>
      </w:r>
      <w:r w:rsidR="0012568F" w:rsidRPr="0012568F">
        <w:rPr>
          <w:rFonts w:ascii="Abadi" w:hAnsi="Abadi"/>
          <w:b/>
          <w:bCs/>
          <w:sz w:val="21"/>
          <w:szCs w:val="21"/>
        </w:rPr>
        <w:t>La Secretaria.-</w:t>
      </w:r>
      <w:r w:rsidR="0012568F" w:rsidRPr="0012568F">
        <w:rPr>
          <w:rFonts w:ascii="Abadi" w:hAnsi="Abadi"/>
          <w:sz w:val="21"/>
          <w:szCs w:val="21"/>
        </w:rPr>
        <w:t xml:space="preserve"> En votación nominal por el sistema electrónico, se preguntan a las diputadas y los diputados si, se aprueba el dictamen puesto a su consideración. </w:t>
      </w:r>
    </w:p>
    <w:p w14:paraId="732AD871" w14:textId="77777777" w:rsidR="00786573" w:rsidRPr="0012568F" w:rsidRDefault="00786573" w:rsidP="0012568F">
      <w:pPr>
        <w:jc w:val="both"/>
        <w:rPr>
          <w:rFonts w:ascii="Abadi" w:hAnsi="Abadi"/>
          <w:sz w:val="21"/>
          <w:szCs w:val="21"/>
        </w:rPr>
      </w:pPr>
    </w:p>
    <w:p w14:paraId="08D9EBFC" w14:textId="28C4559D" w:rsidR="0012568F" w:rsidRDefault="0012568F" w:rsidP="0012568F">
      <w:pPr>
        <w:jc w:val="both"/>
        <w:rPr>
          <w:rFonts w:ascii="Abadi" w:hAnsi="Abadi"/>
          <w:sz w:val="21"/>
          <w:szCs w:val="21"/>
        </w:rPr>
      </w:pPr>
      <w:r w:rsidRPr="0012568F">
        <w:rPr>
          <w:rFonts w:ascii="Abadi" w:hAnsi="Abadi"/>
          <w:sz w:val="21"/>
          <w:szCs w:val="21"/>
        </w:rPr>
        <w:t xml:space="preserve">¿Falta alguna diputada, algún diputado de emitir su voto? </w:t>
      </w:r>
    </w:p>
    <w:p w14:paraId="0F152D33" w14:textId="77777777" w:rsidR="00786573" w:rsidRPr="0012568F" w:rsidRDefault="00786573" w:rsidP="0012568F">
      <w:pPr>
        <w:jc w:val="both"/>
        <w:rPr>
          <w:rFonts w:ascii="Abadi" w:hAnsi="Abadi"/>
          <w:sz w:val="21"/>
          <w:szCs w:val="21"/>
        </w:rPr>
      </w:pPr>
    </w:p>
    <w:p w14:paraId="2B3EE7C8" w14:textId="4DBE630E" w:rsidR="0012568F" w:rsidRPr="0012568F" w:rsidRDefault="0012568F" w:rsidP="00786573">
      <w:pPr>
        <w:jc w:val="center"/>
        <w:rPr>
          <w:rFonts w:ascii="Abadi" w:hAnsi="Abadi"/>
          <w:b/>
          <w:bCs/>
          <w:sz w:val="21"/>
          <w:szCs w:val="21"/>
        </w:rPr>
      </w:pPr>
      <w:r w:rsidRPr="0012568F">
        <w:rPr>
          <w:rFonts w:ascii="Abadi" w:hAnsi="Abadi"/>
          <w:b/>
          <w:bCs/>
          <w:sz w:val="21"/>
          <w:szCs w:val="21"/>
        </w:rPr>
        <w:t>(Se cierra el sistema electrónico)</w:t>
      </w:r>
    </w:p>
    <w:p w14:paraId="274EB734" w14:textId="77777777" w:rsidR="0012568F" w:rsidRPr="0012568F" w:rsidRDefault="0012568F" w:rsidP="00786573">
      <w:pPr>
        <w:jc w:val="center"/>
        <w:rPr>
          <w:rFonts w:ascii="Abadi" w:hAnsi="Abadi"/>
          <w:b/>
          <w:bCs/>
          <w:sz w:val="21"/>
          <w:szCs w:val="21"/>
        </w:rPr>
      </w:pPr>
    </w:p>
    <w:p w14:paraId="11D70DAD" w14:textId="77777777" w:rsidR="0012568F" w:rsidRPr="0012568F" w:rsidRDefault="0012568F" w:rsidP="0012568F">
      <w:pPr>
        <w:jc w:val="both"/>
        <w:rPr>
          <w:rFonts w:ascii="Abadi" w:hAnsi="Abadi"/>
          <w:b/>
          <w:bCs/>
          <w:sz w:val="21"/>
          <w:szCs w:val="21"/>
        </w:rPr>
      </w:pPr>
      <w:r w:rsidRPr="0012568F">
        <w:rPr>
          <w:rFonts w:ascii="Abadi" w:hAnsi="Abadi"/>
          <w:noProof/>
          <w:sz w:val="21"/>
          <w:szCs w:val="21"/>
        </w:rPr>
        <w:drawing>
          <wp:inline distT="0" distB="0" distL="0" distR="0" wp14:anchorId="7BFF98AF" wp14:editId="35D72437">
            <wp:extent cx="2038710" cy="1074325"/>
            <wp:effectExtent l="152400" t="152400" r="361950" b="35496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6311"/>
                    <a:stretch/>
                  </pic:blipFill>
                  <pic:spPr bwMode="auto">
                    <a:xfrm>
                      <a:off x="0" y="0"/>
                      <a:ext cx="2052136" cy="1081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23459C7" w14:textId="2867FC87" w:rsidR="0012568F" w:rsidRDefault="00786573" w:rsidP="00786573">
      <w:pPr>
        <w:ind w:firstLine="708"/>
        <w:jc w:val="both"/>
        <w:rPr>
          <w:rFonts w:ascii="Abadi" w:hAnsi="Abadi"/>
          <w:sz w:val="21"/>
          <w:szCs w:val="21"/>
        </w:rPr>
      </w:pPr>
      <w:r>
        <w:rPr>
          <w:rFonts w:ascii="Abadi" w:hAnsi="Abadi"/>
          <w:b/>
          <w:bCs/>
          <w:sz w:val="21"/>
          <w:szCs w:val="21"/>
        </w:rPr>
        <w:t xml:space="preserve">- </w:t>
      </w:r>
      <w:r w:rsidR="0012568F" w:rsidRPr="0012568F">
        <w:rPr>
          <w:rFonts w:ascii="Abadi" w:hAnsi="Abadi"/>
          <w:b/>
          <w:bCs/>
          <w:sz w:val="21"/>
          <w:szCs w:val="21"/>
        </w:rPr>
        <w:t>La Secretaria.-</w:t>
      </w:r>
      <w:r w:rsidR="0012568F" w:rsidRPr="0012568F">
        <w:rPr>
          <w:rFonts w:ascii="Abadi" w:hAnsi="Abadi"/>
          <w:sz w:val="21"/>
          <w:szCs w:val="21"/>
        </w:rPr>
        <w:t xml:space="preserve"> Se registraron 32 votos a favor. </w:t>
      </w:r>
    </w:p>
    <w:p w14:paraId="086903DD" w14:textId="77777777" w:rsidR="00786573" w:rsidRPr="0012568F" w:rsidRDefault="00786573" w:rsidP="0012568F">
      <w:pPr>
        <w:jc w:val="both"/>
        <w:rPr>
          <w:rFonts w:ascii="Abadi" w:hAnsi="Abadi"/>
          <w:sz w:val="21"/>
          <w:szCs w:val="21"/>
        </w:rPr>
      </w:pPr>
    </w:p>
    <w:p w14:paraId="2D64D60D" w14:textId="2F1E20AD" w:rsidR="0012568F" w:rsidRDefault="00786573" w:rsidP="00786573">
      <w:pPr>
        <w:ind w:firstLine="708"/>
        <w:jc w:val="both"/>
        <w:rPr>
          <w:rFonts w:ascii="Abadi" w:hAnsi="Abadi"/>
          <w:sz w:val="21"/>
          <w:szCs w:val="21"/>
        </w:rPr>
      </w:pPr>
      <w:r>
        <w:rPr>
          <w:rFonts w:ascii="Abadi" w:hAnsi="Abadi"/>
          <w:b/>
          <w:bCs/>
          <w:sz w:val="21"/>
          <w:szCs w:val="21"/>
        </w:rPr>
        <w:t xml:space="preserve">- </w:t>
      </w:r>
      <w:r w:rsidR="0012568F" w:rsidRPr="0012568F">
        <w:rPr>
          <w:rFonts w:ascii="Abadi" w:hAnsi="Abadi"/>
          <w:b/>
          <w:bCs/>
          <w:sz w:val="21"/>
          <w:szCs w:val="21"/>
        </w:rPr>
        <w:t>La Presidencia.-</w:t>
      </w:r>
      <w:r w:rsidR="0012568F" w:rsidRPr="0012568F">
        <w:rPr>
          <w:rFonts w:ascii="Abadi" w:hAnsi="Abadi"/>
          <w:sz w:val="21"/>
          <w:szCs w:val="21"/>
        </w:rPr>
        <w:t xml:space="preserve"> El dictamen ha sido aprobado por unanimidad de votos. </w:t>
      </w:r>
    </w:p>
    <w:p w14:paraId="31D84D10" w14:textId="77777777" w:rsidR="00786573" w:rsidRPr="0012568F" w:rsidRDefault="00786573" w:rsidP="00786573">
      <w:pPr>
        <w:ind w:firstLine="708"/>
        <w:jc w:val="both"/>
        <w:rPr>
          <w:rFonts w:ascii="Abadi" w:hAnsi="Abadi"/>
          <w:sz w:val="21"/>
          <w:szCs w:val="21"/>
        </w:rPr>
      </w:pPr>
    </w:p>
    <w:p w14:paraId="10747164" w14:textId="77777777" w:rsidR="0012568F" w:rsidRPr="0012568F" w:rsidRDefault="0012568F" w:rsidP="00A46D79">
      <w:pPr>
        <w:ind w:firstLine="567"/>
        <w:jc w:val="both"/>
        <w:rPr>
          <w:rFonts w:ascii="Abadi" w:hAnsi="Abadi"/>
          <w:sz w:val="21"/>
          <w:szCs w:val="21"/>
        </w:rPr>
      </w:pPr>
      <w:r w:rsidRPr="0012568F">
        <w:rPr>
          <w:rFonts w:ascii="Abadi" w:hAnsi="Abadi"/>
          <w:sz w:val="21"/>
          <w:szCs w:val="21"/>
        </w:rPr>
        <w:t xml:space="preserve">- En consecuencia. </w:t>
      </w:r>
    </w:p>
    <w:p w14:paraId="376CAC5C" w14:textId="77777777" w:rsidR="00404704" w:rsidRDefault="00404704" w:rsidP="0012568F">
      <w:pPr>
        <w:ind w:left="567" w:right="900"/>
        <w:jc w:val="both"/>
        <w:rPr>
          <w:rFonts w:ascii="Abadi" w:hAnsi="Abadi"/>
          <w:b/>
          <w:bCs/>
          <w:i/>
          <w:iCs/>
          <w:sz w:val="21"/>
          <w:szCs w:val="21"/>
          <w:u w:val="single"/>
        </w:rPr>
      </w:pPr>
    </w:p>
    <w:p w14:paraId="5E2ECA70" w14:textId="4B668798" w:rsidR="0012568F" w:rsidRPr="0012568F" w:rsidRDefault="0012568F" w:rsidP="00A46D79">
      <w:pPr>
        <w:ind w:left="567" w:right="283"/>
        <w:jc w:val="both"/>
        <w:rPr>
          <w:rFonts w:ascii="Abadi" w:hAnsi="Abadi"/>
          <w:b/>
          <w:bCs/>
          <w:i/>
          <w:iCs/>
          <w:sz w:val="21"/>
          <w:szCs w:val="21"/>
          <w:u w:val="single"/>
        </w:rPr>
      </w:pPr>
      <w:r w:rsidRPr="0012568F">
        <w:rPr>
          <w:rFonts w:ascii="Abadi" w:hAnsi="Abadi"/>
          <w:b/>
          <w:bCs/>
          <w:i/>
          <w:iCs/>
          <w:sz w:val="21"/>
          <w:szCs w:val="21"/>
          <w:u w:val="single"/>
        </w:rPr>
        <w:t>Remítase el acuerdo aprobado, junto con su dictamen al titular del Poder Ejecutivo del Estado y a los 46 municipios para los efectos conducentes.</w:t>
      </w:r>
    </w:p>
    <w:p w14:paraId="00A36563" w14:textId="77777777" w:rsidR="0012568F" w:rsidRPr="0012568F" w:rsidRDefault="0012568F" w:rsidP="005C0E00">
      <w:pPr>
        <w:jc w:val="both"/>
        <w:rPr>
          <w:rFonts w:ascii="Abadi" w:hAnsi="Abadi"/>
          <w:b/>
          <w:bCs/>
          <w:sz w:val="21"/>
          <w:szCs w:val="21"/>
        </w:rPr>
      </w:pPr>
    </w:p>
    <w:p w14:paraId="20AF407E" w14:textId="77777777" w:rsidR="007E09D1" w:rsidRPr="007E09D1" w:rsidRDefault="007E09D1" w:rsidP="007E09D1">
      <w:pPr>
        <w:autoSpaceDE w:val="0"/>
        <w:autoSpaceDN w:val="0"/>
        <w:adjustRightInd w:val="0"/>
        <w:jc w:val="both"/>
        <w:rPr>
          <w:rFonts w:ascii="Abadi" w:hAnsi="Abadi" w:cs="Arial-BoldMT"/>
          <w:b/>
          <w:bCs/>
          <w:sz w:val="20"/>
          <w:szCs w:val="21"/>
        </w:rPr>
      </w:pPr>
    </w:p>
    <w:p w14:paraId="072AE486" w14:textId="77973F70" w:rsidR="006F3002" w:rsidRDefault="006F3002" w:rsidP="00240D80">
      <w:pPr>
        <w:pStyle w:val="Prrafodelista"/>
        <w:numPr>
          <w:ilvl w:val="0"/>
          <w:numId w:val="8"/>
        </w:numPr>
        <w:autoSpaceDE w:val="0"/>
        <w:autoSpaceDN w:val="0"/>
        <w:adjustRightInd w:val="0"/>
        <w:ind w:left="426"/>
        <w:jc w:val="both"/>
        <w:rPr>
          <w:rFonts w:ascii="Abadi" w:hAnsi="Abadi" w:cs="ArialMT"/>
          <w:b/>
          <w:bCs/>
          <w:sz w:val="20"/>
          <w:szCs w:val="21"/>
        </w:rPr>
      </w:pPr>
      <w:r w:rsidRPr="005C0E00">
        <w:rPr>
          <w:rFonts w:ascii="Abadi" w:hAnsi="Abadi" w:cs="ArialMT"/>
          <w:b/>
          <w:bCs/>
          <w:sz w:val="20"/>
          <w:szCs w:val="21"/>
        </w:rPr>
        <w:t>DISCUSIÓN Y, EN SU CASO, APROBACIÓN DEL DICTAMEN EMITIDO POR LA COMISIÓN DE JUSTICIA RELATIVO A CINCO INICIATIVAS: LA PRIMERA, A EFECTO DE REFORMAR EL ARTÍCULO 153-A, FRACCIÓN VI; Y ADICIONAR UN TERCER PÁRRAFO AL ARTÍCULO 18, LA FRACCIÓN VIII BIS AL ARTÍCULO 38, LAS FRACCIONES VIII Y IX AL ARTÍCULO 153, LAS FRACCIONES VIII, IX, X Y XI AL ARTÍCULO 153-A Y EL ARTÍCULO 153-A-2 AL CÓDIGO PENAL DEL ESTADO DE GUANAJUATO, PRESENTADA POR EL AYUNTAMIENTO DE LEÓN, GUANAJUATO; LA SEGUNDA, A EFECTO DE REFORMAR EL ARTÍCULO 153-A DEL CÓDIGO PENAL DEL ESTADO DE GUANAJUATO, PRESENTADA POR DIPUTADA Y DIPUTADO</w:t>
      </w:r>
      <w:r w:rsidR="005C0E00" w:rsidRPr="005C0E00">
        <w:rPr>
          <w:rFonts w:ascii="Abadi" w:hAnsi="Abadi" w:cs="ArialMT"/>
          <w:b/>
          <w:bCs/>
          <w:sz w:val="20"/>
          <w:szCs w:val="21"/>
        </w:rPr>
        <w:t xml:space="preserve"> </w:t>
      </w:r>
      <w:r w:rsidRPr="005C0E00">
        <w:rPr>
          <w:rFonts w:ascii="Abadi" w:hAnsi="Abadi" w:cs="ArialMT"/>
          <w:b/>
          <w:bCs/>
          <w:sz w:val="20"/>
          <w:szCs w:val="21"/>
        </w:rPr>
        <w:t>INTEGRANTES DEL GRUPO PARLAMENTARIO DEL PARTIDO VERDE ECOLOGISTA DE MÉXICO DE LA SEXAGÉSIMA CUARTA LEGISLATURA; LA TERCERA, POR LA QUE SE ADICIONA UN CUARTO PÁRRAFO AL ARTÍCULO 153-A DEL CÓDIGO PENAL DEL ESTADO DE  GUANAJUATO, PRESENTADA POR DIPUTADAS Y DIPUTADOS INTEGRANTES DEL GRUPO PARLAMENTARIO DEL PARTIDO ACCIÓN NACIONAL; LA CUARTA, A EFECTO DE REFORMAR LA FRACCIÓN V DEL ARTÍCULO 153-A DEL CÓDIGO PENAL DEL ESTADO DE GUANAJUATO, PRESENTADA POR DIPUTADAS Y DIPUTADOS INTEGRANTES DEL GRUPO PARLAMENTARIO DEL PARTIDO ACCIÓN NACIONAL; Y LA QUINTA, A EFECTO DE REFORMAR LAS FRACCIONES I, II, V Y VI, Y ADICIONAR LAS FRACCIONES VIII, IX Y X Y UN TERCER PÁRRAFO AL ARTÍCULO 153-A Y, UN SEGUNDO PÁRRAFO AL ARTÍCULO 153-A-1 DEL CÓDIGO PENAL DEL ESTADO DE GUANAJUATO, PRESENTADA POR LA DIPUTADA ALMA EDWVIGES ALCARAZ HERNÁNDEZ INTEGRANTE DEL GRUPO PARLAMENTARIO DEL PARTIDO MORENA.</w:t>
      </w:r>
    </w:p>
    <w:p w14:paraId="0069AFCA" w14:textId="511B8361" w:rsidR="00E732AC" w:rsidRDefault="00E732AC" w:rsidP="00E732AC">
      <w:pPr>
        <w:autoSpaceDE w:val="0"/>
        <w:autoSpaceDN w:val="0"/>
        <w:adjustRightInd w:val="0"/>
        <w:jc w:val="both"/>
        <w:rPr>
          <w:rFonts w:ascii="Abadi" w:hAnsi="Abadi" w:cs="ArialMT"/>
          <w:b/>
          <w:bCs/>
          <w:sz w:val="20"/>
          <w:szCs w:val="21"/>
        </w:rPr>
      </w:pPr>
    </w:p>
    <w:p w14:paraId="278C0A1E" w14:textId="426CDE44" w:rsidR="00E732AC" w:rsidRDefault="00E732AC" w:rsidP="00E732AC">
      <w:pPr>
        <w:autoSpaceDE w:val="0"/>
        <w:autoSpaceDN w:val="0"/>
        <w:adjustRightInd w:val="0"/>
        <w:jc w:val="both"/>
        <w:rPr>
          <w:rFonts w:ascii="Abadi" w:hAnsi="Abadi" w:cs="ArialMT"/>
          <w:b/>
          <w:bCs/>
          <w:sz w:val="20"/>
          <w:szCs w:val="21"/>
        </w:rPr>
      </w:pPr>
    </w:p>
    <w:p w14:paraId="0600C5D2" w14:textId="77777777" w:rsidR="00E732AC" w:rsidRPr="00710AC5" w:rsidRDefault="00E732AC" w:rsidP="00E732AC">
      <w:pPr>
        <w:autoSpaceDE w:val="0"/>
        <w:autoSpaceDN w:val="0"/>
        <w:adjustRightInd w:val="0"/>
        <w:jc w:val="both"/>
        <w:rPr>
          <w:rFonts w:ascii="Abadi" w:hAnsi="Abadi" w:cs="*Verdana-Bold-8197-Identity-H"/>
          <w:b/>
          <w:bCs/>
          <w:color w:val="0D0D12"/>
          <w:sz w:val="21"/>
          <w:szCs w:val="21"/>
        </w:rPr>
      </w:pPr>
      <w:r w:rsidRPr="00710AC5">
        <w:rPr>
          <w:rFonts w:ascii="Abadi" w:hAnsi="Abadi" w:cs="*Verdana-Bold-8197-Identity-H"/>
          <w:b/>
          <w:bCs/>
          <w:color w:val="0D0D12"/>
          <w:sz w:val="21"/>
          <w:szCs w:val="21"/>
        </w:rPr>
        <w:t>DICTAMEN QUE PRESENTA LA COMISIÓN DE JUSTICIA RELATIVO A CINCO INICIATIVAS DE</w:t>
      </w:r>
    </w:p>
    <w:p w14:paraId="66B1BC3D" w14:textId="77777777" w:rsidR="00E732AC" w:rsidRPr="00710AC5" w:rsidRDefault="00E732AC" w:rsidP="00E732AC">
      <w:pPr>
        <w:autoSpaceDE w:val="0"/>
        <w:autoSpaceDN w:val="0"/>
        <w:adjustRightInd w:val="0"/>
        <w:jc w:val="both"/>
        <w:rPr>
          <w:rFonts w:ascii="Abadi" w:hAnsi="Abadi" w:cs="*Verdana-Bold-8197-Identity-H"/>
          <w:b/>
          <w:bCs/>
          <w:color w:val="0D0D12"/>
          <w:sz w:val="21"/>
          <w:szCs w:val="21"/>
        </w:rPr>
      </w:pPr>
      <w:r w:rsidRPr="00710AC5">
        <w:rPr>
          <w:rFonts w:ascii="Abadi" w:hAnsi="Abadi" w:cs="*Verdana-Bold-8197-Identity-H"/>
          <w:b/>
          <w:bCs/>
          <w:color w:val="0D0D12"/>
          <w:sz w:val="21"/>
          <w:szCs w:val="21"/>
        </w:rPr>
        <w:t>REFORMAS AL CÓDIGO PENAL DEL ESTADO DE GUANAJUATO, EN MATERIA DEL DELITO DE</w:t>
      </w:r>
    </w:p>
    <w:p w14:paraId="4B8F5DC8" w14:textId="77777777" w:rsidR="00E732AC" w:rsidRDefault="00E732AC" w:rsidP="00E732AC">
      <w:pPr>
        <w:autoSpaceDE w:val="0"/>
        <w:autoSpaceDN w:val="0"/>
        <w:adjustRightInd w:val="0"/>
        <w:jc w:val="both"/>
        <w:rPr>
          <w:rFonts w:ascii="Abadi" w:hAnsi="Abadi" w:cs="*Verdana-Bold-8197-Identity-H"/>
          <w:b/>
          <w:bCs/>
          <w:color w:val="0D0D12"/>
          <w:sz w:val="21"/>
          <w:szCs w:val="21"/>
        </w:rPr>
      </w:pPr>
      <w:r w:rsidRPr="00710AC5">
        <w:rPr>
          <w:rFonts w:ascii="Abadi" w:hAnsi="Abadi" w:cs="*Verdana-Bold-8197-Identity-H"/>
          <w:b/>
          <w:bCs/>
          <w:color w:val="0D0D12"/>
          <w:sz w:val="21"/>
          <w:szCs w:val="21"/>
        </w:rPr>
        <w:t>FEMINICIDIO.</w:t>
      </w:r>
    </w:p>
    <w:p w14:paraId="560D9187" w14:textId="77777777" w:rsidR="00E732AC" w:rsidRPr="00710AC5" w:rsidRDefault="00E732AC" w:rsidP="00E732AC">
      <w:pPr>
        <w:autoSpaceDE w:val="0"/>
        <w:autoSpaceDN w:val="0"/>
        <w:adjustRightInd w:val="0"/>
        <w:jc w:val="both"/>
        <w:rPr>
          <w:rFonts w:ascii="Abadi" w:hAnsi="Abadi" w:cs="*Verdana-Bold-8197-Identity-H"/>
          <w:b/>
          <w:bCs/>
          <w:color w:val="0D0D12"/>
          <w:sz w:val="21"/>
          <w:szCs w:val="21"/>
        </w:rPr>
      </w:pPr>
    </w:p>
    <w:p w14:paraId="267C6322" w14:textId="29A83874" w:rsidR="00E732AC" w:rsidRPr="00710AC5" w:rsidRDefault="00E732AC" w:rsidP="00E732AC">
      <w:pPr>
        <w:autoSpaceDE w:val="0"/>
        <w:autoSpaceDN w:val="0"/>
        <w:adjustRightInd w:val="0"/>
        <w:ind w:firstLine="708"/>
        <w:jc w:val="both"/>
        <w:rPr>
          <w:rFonts w:ascii="Abadi" w:hAnsi="Abadi" w:cs="*Tahoma-8198-Identity-H"/>
          <w:color w:val="101012"/>
          <w:sz w:val="21"/>
          <w:szCs w:val="21"/>
        </w:rPr>
      </w:pPr>
      <w:r w:rsidRPr="00710AC5">
        <w:rPr>
          <w:rFonts w:ascii="Abadi" w:hAnsi="Abadi" w:cs="*Tahoma-8198-Identity-H"/>
          <w:color w:val="101012"/>
          <w:sz w:val="21"/>
          <w:szCs w:val="21"/>
        </w:rPr>
        <w:t>A la Comisión de Justicia le fueron turnadas, en su oportunidad, para estudio y</w:t>
      </w:r>
      <w:r>
        <w:rPr>
          <w:rFonts w:ascii="Abadi" w:hAnsi="Abadi" w:cs="*Tahoma-8198-Identity-H"/>
          <w:color w:val="101012"/>
          <w:sz w:val="21"/>
          <w:szCs w:val="21"/>
        </w:rPr>
        <w:t xml:space="preserve"> </w:t>
      </w:r>
      <w:r w:rsidRPr="00710AC5">
        <w:rPr>
          <w:rFonts w:ascii="Abadi" w:hAnsi="Abadi" w:cs="*Tahoma-8198-Identity-H"/>
          <w:color w:val="101012"/>
          <w:sz w:val="21"/>
          <w:szCs w:val="21"/>
        </w:rPr>
        <w:t>dictamen cinco iniciativas: la primera, a efecto de reformar el artículo 153-a, fracción</w:t>
      </w:r>
      <w:r>
        <w:rPr>
          <w:rFonts w:ascii="Abadi" w:hAnsi="Abadi" w:cs="*Tahoma-8198-Identity-H"/>
          <w:color w:val="101012"/>
          <w:sz w:val="21"/>
          <w:szCs w:val="21"/>
        </w:rPr>
        <w:t xml:space="preserve"> </w:t>
      </w:r>
      <w:r w:rsidRPr="00710AC5">
        <w:rPr>
          <w:rFonts w:ascii="Abadi" w:hAnsi="Abadi" w:cs="*Tahoma-8198-Identity-H"/>
          <w:color w:val="101012"/>
          <w:sz w:val="21"/>
          <w:szCs w:val="21"/>
        </w:rPr>
        <w:t>VI; y adicionar un tercer párrafo al artículo 18, la fracción VIII bis al artículo 38, las</w:t>
      </w:r>
      <w:r>
        <w:rPr>
          <w:rFonts w:ascii="Abadi" w:hAnsi="Abadi" w:cs="*Tahoma-8198-Identity-H"/>
          <w:color w:val="101012"/>
          <w:sz w:val="21"/>
          <w:szCs w:val="21"/>
        </w:rPr>
        <w:t xml:space="preserve"> </w:t>
      </w:r>
      <w:r w:rsidRPr="00710AC5">
        <w:rPr>
          <w:rFonts w:ascii="Abadi" w:hAnsi="Abadi" w:cs="*Tahoma-8198-Identity-H"/>
          <w:color w:val="101012"/>
          <w:sz w:val="21"/>
          <w:szCs w:val="21"/>
        </w:rPr>
        <w:t>fracciones VIII y IX al artículo 153, las fracciones VIII, IX, X y XI al artículo 153-a y el</w:t>
      </w:r>
      <w:r>
        <w:rPr>
          <w:rFonts w:ascii="Abadi" w:hAnsi="Abadi" w:cs="*Tahoma-8198-Identity-H"/>
          <w:color w:val="101012"/>
          <w:sz w:val="21"/>
          <w:szCs w:val="21"/>
        </w:rPr>
        <w:t xml:space="preserve"> </w:t>
      </w:r>
      <w:r w:rsidRPr="00710AC5">
        <w:rPr>
          <w:rFonts w:ascii="Abadi" w:hAnsi="Abadi" w:cs="*Tahoma-8198-Identity-H"/>
          <w:color w:val="101012"/>
          <w:sz w:val="21"/>
          <w:szCs w:val="21"/>
        </w:rPr>
        <w:t>artículo 153-a-2 al Código Penal del Estado de Guanajuato, presentada por el</w:t>
      </w:r>
      <w:r>
        <w:rPr>
          <w:rFonts w:ascii="Abadi" w:hAnsi="Abadi" w:cs="*Tahoma-8198-Identity-H"/>
          <w:color w:val="101012"/>
          <w:sz w:val="21"/>
          <w:szCs w:val="21"/>
        </w:rPr>
        <w:t xml:space="preserve"> </w:t>
      </w:r>
      <w:r w:rsidRPr="00710AC5">
        <w:rPr>
          <w:rFonts w:ascii="Abadi" w:hAnsi="Abadi" w:cs="*Tahoma-8198-Identity-H"/>
          <w:color w:val="101012"/>
          <w:sz w:val="21"/>
          <w:szCs w:val="21"/>
        </w:rPr>
        <w:t>Ayuntamiento de León, Guanajuato; la segunda, a efecto de reformar el artículo 153-a</w:t>
      </w:r>
      <w:r>
        <w:rPr>
          <w:rFonts w:ascii="Abadi" w:hAnsi="Abadi" w:cs="*Tahoma-8198-Identity-H"/>
          <w:color w:val="101012"/>
          <w:sz w:val="21"/>
          <w:szCs w:val="21"/>
        </w:rPr>
        <w:t xml:space="preserve"> </w:t>
      </w:r>
      <w:r w:rsidRPr="00710AC5">
        <w:rPr>
          <w:rFonts w:ascii="Abadi" w:hAnsi="Abadi" w:cs="*Tahoma-8198-Identity-H"/>
          <w:color w:val="101012"/>
          <w:sz w:val="21"/>
          <w:szCs w:val="21"/>
        </w:rPr>
        <w:t>del Código Penal del Estado de Guanajuato, presentada por diputada y diputado</w:t>
      </w:r>
      <w:r>
        <w:rPr>
          <w:rFonts w:ascii="Abadi" w:hAnsi="Abadi" w:cs="*Tahoma-8198-Identity-H"/>
          <w:color w:val="101012"/>
          <w:sz w:val="21"/>
          <w:szCs w:val="21"/>
        </w:rPr>
        <w:t xml:space="preserve"> </w:t>
      </w:r>
      <w:r w:rsidRPr="00710AC5">
        <w:rPr>
          <w:rFonts w:ascii="Abadi" w:hAnsi="Abadi" w:cs="*Tahoma-8198-Identity-H"/>
          <w:color w:val="101012"/>
          <w:sz w:val="21"/>
          <w:szCs w:val="21"/>
        </w:rPr>
        <w:t>integrantes del Grupo Parlamentario del Partido Verde Ecologista de México de la</w:t>
      </w:r>
      <w:r>
        <w:rPr>
          <w:rFonts w:ascii="Abadi" w:hAnsi="Abadi" w:cs="*Tahoma-8198-Identity-H"/>
          <w:color w:val="101012"/>
          <w:sz w:val="21"/>
          <w:szCs w:val="21"/>
        </w:rPr>
        <w:t xml:space="preserve"> </w:t>
      </w:r>
      <w:r w:rsidRPr="00710AC5">
        <w:rPr>
          <w:rFonts w:ascii="Abadi" w:hAnsi="Abadi" w:cs="*Tahoma-8198-Identity-H"/>
          <w:color w:val="101012"/>
          <w:sz w:val="21"/>
          <w:szCs w:val="21"/>
        </w:rPr>
        <w:t>Sexagésima Cuarta Legislatura; la tercera, por la que se adiciona un cuarto párrafo al</w:t>
      </w:r>
      <w:r>
        <w:rPr>
          <w:rFonts w:ascii="Abadi" w:hAnsi="Abadi" w:cs="*Tahoma-8198-Identity-H"/>
          <w:color w:val="101012"/>
          <w:sz w:val="21"/>
          <w:szCs w:val="21"/>
        </w:rPr>
        <w:t xml:space="preserve"> </w:t>
      </w:r>
      <w:r w:rsidRPr="00710AC5">
        <w:rPr>
          <w:rFonts w:ascii="Abadi" w:hAnsi="Abadi" w:cs="*Tahoma-8198-Identity-H"/>
          <w:color w:val="101012"/>
          <w:sz w:val="21"/>
          <w:szCs w:val="21"/>
        </w:rPr>
        <w:t>artículo 153-a del Código Penal del Estado de Guanajuato, presentada por diputadas y</w:t>
      </w:r>
      <w:r>
        <w:rPr>
          <w:rFonts w:ascii="Abadi" w:hAnsi="Abadi" w:cs="*Tahoma-8198-Identity-H"/>
          <w:color w:val="101012"/>
          <w:sz w:val="21"/>
          <w:szCs w:val="21"/>
        </w:rPr>
        <w:t xml:space="preserve"> </w:t>
      </w:r>
      <w:r w:rsidRPr="00710AC5">
        <w:rPr>
          <w:rFonts w:ascii="Abadi" w:hAnsi="Abadi" w:cs="*Tahoma-8198-Identity-H"/>
          <w:color w:val="101012"/>
          <w:sz w:val="21"/>
          <w:szCs w:val="21"/>
        </w:rPr>
        <w:t>diputados integrantes del Grupo Parlamentario del Partido Acción Nacional; la cuarta, a</w:t>
      </w:r>
      <w:r>
        <w:rPr>
          <w:rFonts w:ascii="Abadi" w:hAnsi="Abadi" w:cs="*Tahoma-8198-Identity-H"/>
          <w:color w:val="101012"/>
          <w:sz w:val="21"/>
          <w:szCs w:val="21"/>
        </w:rPr>
        <w:t xml:space="preserve"> </w:t>
      </w:r>
      <w:r w:rsidRPr="00710AC5">
        <w:rPr>
          <w:rFonts w:ascii="Abadi" w:hAnsi="Abadi" w:cs="*Tahoma-8198-Identity-H"/>
          <w:color w:val="101012"/>
          <w:sz w:val="21"/>
          <w:szCs w:val="21"/>
        </w:rPr>
        <w:t>efecto de reformar la fracción V del artículo 153-a del Código Penal del Estado de</w:t>
      </w:r>
      <w:r>
        <w:rPr>
          <w:rFonts w:ascii="Abadi" w:hAnsi="Abadi" w:cs="*Tahoma-8198-Identity-H"/>
          <w:color w:val="101012"/>
          <w:sz w:val="21"/>
          <w:szCs w:val="21"/>
        </w:rPr>
        <w:t xml:space="preserve"> </w:t>
      </w:r>
      <w:r w:rsidRPr="00710AC5">
        <w:rPr>
          <w:rFonts w:ascii="Abadi" w:hAnsi="Abadi" w:cs="*Tahoma-8198-Identity-H"/>
          <w:color w:val="101012"/>
          <w:sz w:val="21"/>
          <w:szCs w:val="21"/>
        </w:rPr>
        <w:t>Guanajuato, presentada por diputadas y diputados integrantes del Grupo Parlamentario</w:t>
      </w:r>
      <w:r>
        <w:rPr>
          <w:rFonts w:ascii="Abadi" w:hAnsi="Abadi" w:cs="*Tahoma-8198-Identity-H"/>
          <w:color w:val="101012"/>
          <w:sz w:val="21"/>
          <w:szCs w:val="21"/>
        </w:rPr>
        <w:t xml:space="preserve"> </w:t>
      </w:r>
      <w:r w:rsidRPr="00710AC5">
        <w:rPr>
          <w:rFonts w:ascii="Abadi" w:hAnsi="Abadi" w:cs="*Tahoma-8198-Identity-H"/>
          <w:color w:val="101012"/>
          <w:sz w:val="21"/>
          <w:szCs w:val="21"/>
        </w:rPr>
        <w:t>del Partido Acción Nacional; y la quinta, a efecto de reformar las fracciones I, II, V y VI,</w:t>
      </w:r>
      <w:r>
        <w:rPr>
          <w:rFonts w:ascii="Abadi" w:hAnsi="Abadi" w:cs="*Tahoma-8198-Identity-H"/>
          <w:color w:val="101012"/>
          <w:sz w:val="21"/>
          <w:szCs w:val="21"/>
        </w:rPr>
        <w:t xml:space="preserve"> </w:t>
      </w:r>
      <w:r w:rsidRPr="00710AC5">
        <w:rPr>
          <w:rFonts w:ascii="Abadi" w:hAnsi="Abadi" w:cs="*Tahoma-8198-Identity-H"/>
          <w:color w:val="101012"/>
          <w:sz w:val="21"/>
          <w:szCs w:val="21"/>
        </w:rPr>
        <w:t>y adicionar las fracciones VIII, IX y X y un tercer párrafo al artículo 153-a y, un segundo</w:t>
      </w:r>
      <w:r>
        <w:rPr>
          <w:rFonts w:ascii="Abadi" w:hAnsi="Abadi" w:cs="*Tahoma-8198-Identity-H"/>
          <w:color w:val="101012"/>
          <w:sz w:val="21"/>
          <w:szCs w:val="21"/>
        </w:rPr>
        <w:t xml:space="preserve"> </w:t>
      </w:r>
      <w:r w:rsidRPr="00710AC5">
        <w:rPr>
          <w:rFonts w:ascii="Abadi" w:hAnsi="Abadi" w:cs="*Tahoma-8198-Identity-H"/>
          <w:color w:val="101012"/>
          <w:sz w:val="21"/>
          <w:szCs w:val="21"/>
        </w:rPr>
        <w:t>párrafo al artículo 153-a-1 del Código Penal del Estado de Guanajuato, presentada por</w:t>
      </w:r>
      <w:r>
        <w:rPr>
          <w:rFonts w:ascii="Abadi" w:hAnsi="Abadi" w:cs="*Tahoma-8198-Identity-H"/>
          <w:color w:val="101012"/>
          <w:sz w:val="21"/>
          <w:szCs w:val="21"/>
        </w:rPr>
        <w:t xml:space="preserve"> </w:t>
      </w:r>
      <w:r w:rsidRPr="00710AC5">
        <w:rPr>
          <w:rFonts w:ascii="Abadi" w:hAnsi="Abadi" w:cs="*Tahoma-8198-Identity-H"/>
          <w:color w:val="101012"/>
          <w:sz w:val="21"/>
          <w:szCs w:val="21"/>
        </w:rPr>
        <w:t>la diputada Alma Edwviges Alcaraz Hernández Integrante del Grupo Parlamentario del</w:t>
      </w:r>
    </w:p>
    <w:p w14:paraId="0CF3D21E" w14:textId="77777777" w:rsidR="00E732AC" w:rsidRDefault="00E732AC" w:rsidP="00E732AC">
      <w:pPr>
        <w:autoSpaceDE w:val="0"/>
        <w:autoSpaceDN w:val="0"/>
        <w:adjustRightInd w:val="0"/>
        <w:jc w:val="both"/>
        <w:rPr>
          <w:rFonts w:ascii="Abadi" w:hAnsi="Abadi" w:cs="*Tahoma-8198-Identity-H"/>
          <w:color w:val="101012"/>
          <w:sz w:val="21"/>
          <w:szCs w:val="21"/>
        </w:rPr>
      </w:pPr>
      <w:r w:rsidRPr="00710AC5">
        <w:rPr>
          <w:rFonts w:ascii="Abadi" w:hAnsi="Abadi" w:cs="*Tahoma-8198-Identity-H"/>
          <w:color w:val="101012"/>
          <w:sz w:val="21"/>
          <w:szCs w:val="21"/>
        </w:rPr>
        <w:t>Partido MORENA.</w:t>
      </w:r>
    </w:p>
    <w:p w14:paraId="00D0764F" w14:textId="77777777" w:rsidR="00E732AC" w:rsidRPr="00710AC5" w:rsidRDefault="00E732AC" w:rsidP="00E732AC">
      <w:pPr>
        <w:autoSpaceDE w:val="0"/>
        <w:autoSpaceDN w:val="0"/>
        <w:adjustRightInd w:val="0"/>
        <w:jc w:val="both"/>
        <w:rPr>
          <w:rFonts w:ascii="Abadi" w:hAnsi="Abadi" w:cs="*Tahoma-8198-Identity-H"/>
          <w:color w:val="101012"/>
          <w:sz w:val="21"/>
          <w:szCs w:val="21"/>
        </w:rPr>
      </w:pPr>
    </w:p>
    <w:p w14:paraId="58576B05" w14:textId="7F73C3A3" w:rsidR="00E732AC" w:rsidRDefault="00E732AC" w:rsidP="00E732AC">
      <w:pPr>
        <w:autoSpaceDE w:val="0"/>
        <w:autoSpaceDN w:val="0"/>
        <w:adjustRightInd w:val="0"/>
        <w:ind w:firstLine="708"/>
        <w:jc w:val="both"/>
        <w:rPr>
          <w:rFonts w:ascii="Abadi" w:hAnsi="Abadi" w:cs="*Tahoma-8198-Identity-H"/>
          <w:color w:val="111013"/>
          <w:sz w:val="21"/>
          <w:szCs w:val="21"/>
        </w:rPr>
      </w:pPr>
      <w:r w:rsidRPr="00710AC5">
        <w:rPr>
          <w:rFonts w:ascii="Abadi" w:hAnsi="Abadi" w:cs="*Tahoma-8198-Identity-H"/>
          <w:color w:val="111013"/>
          <w:sz w:val="21"/>
          <w:szCs w:val="21"/>
        </w:rPr>
        <w:t>Con fundamento en lo dispuesto por los artículos 113 fracción II y 171 de la Ley</w:t>
      </w:r>
      <w:r>
        <w:rPr>
          <w:rFonts w:ascii="Abadi" w:hAnsi="Abadi" w:cs="*Tahoma-8198-Identity-H"/>
          <w:color w:val="111013"/>
          <w:sz w:val="21"/>
          <w:szCs w:val="21"/>
        </w:rPr>
        <w:t xml:space="preserve"> </w:t>
      </w:r>
      <w:r w:rsidRPr="00710AC5">
        <w:rPr>
          <w:rFonts w:ascii="Abadi" w:hAnsi="Abadi" w:cs="*Tahoma-8198-Identity-H"/>
          <w:color w:val="111013"/>
          <w:sz w:val="21"/>
          <w:szCs w:val="21"/>
        </w:rPr>
        <w:t>Orgánica del Poder Legislativo del Estado de Guanajuato, se formula dictamen en</w:t>
      </w:r>
      <w:r>
        <w:rPr>
          <w:rFonts w:ascii="Abadi" w:hAnsi="Abadi" w:cs="*Tahoma-8198-Identity-H"/>
          <w:color w:val="111013"/>
          <w:sz w:val="21"/>
          <w:szCs w:val="21"/>
        </w:rPr>
        <w:t xml:space="preserve"> </w:t>
      </w:r>
      <w:r w:rsidRPr="00710AC5">
        <w:rPr>
          <w:rFonts w:ascii="Abadi" w:hAnsi="Abadi" w:cs="*Tahoma-8198-Identity-H"/>
          <w:color w:val="111013"/>
          <w:sz w:val="21"/>
          <w:szCs w:val="21"/>
        </w:rPr>
        <w:t>atención a las siguientes:</w:t>
      </w:r>
    </w:p>
    <w:p w14:paraId="17253C41" w14:textId="77777777" w:rsidR="00A46D79" w:rsidRPr="00710AC5" w:rsidRDefault="00A46D79" w:rsidP="00E732AC">
      <w:pPr>
        <w:autoSpaceDE w:val="0"/>
        <w:autoSpaceDN w:val="0"/>
        <w:adjustRightInd w:val="0"/>
        <w:ind w:firstLine="708"/>
        <w:jc w:val="both"/>
        <w:rPr>
          <w:rFonts w:ascii="Abadi" w:hAnsi="Abadi" w:cs="*Tahoma-8198-Identity-H"/>
          <w:color w:val="111013"/>
          <w:sz w:val="21"/>
          <w:szCs w:val="21"/>
        </w:rPr>
      </w:pPr>
    </w:p>
    <w:p w14:paraId="33655484" w14:textId="77777777" w:rsidR="00E732AC" w:rsidRDefault="00E732AC" w:rsidP="00E732AC">
      <w:pPr>
        <w:autoSpaceDE w:val="0"/>
        <w:autoSpaceDN w:val="0"/>
        <w:adjustRightInd w:val="0"/>
        <w:jc w:val="center"/>
        <w:rPr>
          <w:rFonts w:ascii="Abadi" w:hAnsi="Abadi" w:cs="*Verdana-Bold-8196-Identity-H"/>
          <w:b/>
          <w:bCs/>
          <w:color w:val="0F0E14"/>
          <w:sz w:val="21"/>
          <w:szCs w:val="21"/>
        </w:rPr>
      </w:pPr>
      <w:r w:rsidRPr="00710AC5">
        <w:rPr>
          <w:rFonts w:ascii="Abadi" w:hAnsi="Abadi" w:cs="*Verdana-Bold-8196-Identity-H"/>
          <w:b/>
          <w:bCs/>
          <w:color w:val="0F0E14"/>
          <w:sz w:val="21"/>
          <w:szCs w:val="21"/>
        </w:rPr>
        <w:t>CONSIDERACIONES</w:t>
      </w:r>
    </w:p>
    <w:p w14:paraId="51682066" w14:textId="77777777" w:rsidR="00E732AC" w:rsidRPr="00710AC5" w:rsidRDefault="00E732AC" w:rsidP="00E732AC">
      <w:pPr>
        <w:autoSpaceDE w:val="0"/>
        <w:autoSpaceDN w:val="0"/>
        <w:adjustRightInd w:val="0"/>
        <w:jc w:val="both"/>
        <w:rPr>
          <w:rFonts w:ascii="Abadi" w:hAnsi="Abadi" w:cs="*Verdana-Bold-8196-Identity-H"/>
          <w:b/>
          <w:bCs/>
          <w:color w:val="0F0E14"/>
          <w:sz w:val="21"/>
          <w:szCs w:val="21"/>
        </w:rPr>
      </w:pPr>
    </w:p>
    <w:p w14:paraId="22AFB7BB" w14:textId="77777777" w:rsidR="00E732AC" w:rsidRDefault="00E732AC" w:rsidP="00E732AC">
      <w:pPr>
        <w:autoSpaceDE w:val="0"/>
        <w:autoSpaceDN w:val="0"/>
        <w:adjustRightInd w:val="0"/>
        <w:ind w:firstLine="708"/>
        <w:jc w:val="both"/>
        <w:rPr>
          <w:rFonts w:ascii="Abadi" w:hAnsi="Abadi" w:cs="*Verdana-Bold-8196-Identity-H"/>
          <w:b/>
          <w:bCs/>
          <w:color w:val="0F0E15"/>
          <w:sz w:val="21"/>
          <w:szCs w:val="21"/>
        </w:rPr>
      </w:pPr>
      <w:r w:rsidRPr="00710AC5">
        <w:rPr>
          <w:rFonts w:ascii="Abadi" w:hAnsi="Abadi" w:cs="*Verdana-Bold-8196-Identity-H"/>
          <w:b/>
          <w:bCs/>
          <w:color w:val="0F0E15"/>
          <w:sz w:val="21"/>
          <w:szCs w:val="21"/>
        </w:rPr>
        <w:t>I. Presentación de las iniciativas.</w:t>
      </w:r>
    </w:p>
    <w:p w14:paraId="4A285022" w14:textId="77777777" w:rsidR="00E732AC" w:rsidRPr="00710AC5" w:rsidRDefault="00E732AC" w:rsidP="00E732AC">
      <w:pPr>
        <w:autoSpaceDE w:val="0"/>
        <w:autoSpaceDN w:val="0"/>
        <w:adjustRightInd w:val="0"/>
        <w:jc w:val="both"/>
        <w:rPr>
          <w:rFonts w:ascii="Abadi" w:hAnsi="Abadi" w:cs="*Verdana-Bold-8196-Identity-H"/>
          <w:b/>
          <w:bCs/>
          <w:color w:val="0F0E15"/>
          <w:sz w:val="21"/>
          <w:szCs w:val="21"/>
        </w:rPr>
      </w:pPr>
    </w:p>
    <w:p w14:paraId="079701F8" w14:textId="77777777" w:rsidR="00E732AC" w:rsidRDefault="00E732AC" w:rsidP="00E732AC">
      <w:pPr>
        <w:autoSpaceDE w:val="0"/>
        <w:autoSpaceDN w:val="0"/>
        <w:adjustRightInd w:val="0"/>
        <w:ind w:firstLine="708"/>
        <w:jc w:val="both"/>
        <w:rPr>
          <w:rFonts w:ascii="Abadi" w:hAnsi="Abadi" w:cs="*Verdana-Bold-8196-Identity-H"/>
          <w:b/>
          <w:bCs/>
          <w:color w:val="0F0E15"/>
          <w:sz w:val="21"/>
          <w:szCs w:val="21"/>
        </w:rPr>
      </w:pPr>
      <w:r w:rsidRPr="00710AC5">
        <w:rPr>
          <w:rFonts w:ascii="Abadi" w:hAnsi="Abadi" w:cs="*Verdana-Bold-8196-Identity-H"/>
          <w:b/>
          <w:bCs/>
          <w:color w:val="0F0E15"/>
          <w:sz w:val="21"/>
          <w:szCs w:val="21"/>
        </w:rPr>
        <w:t>I.1. Facultad para la presentación de iniciativas.</w:t>
      </w:r>
    </w:p>
    <w:p w14:paraId="473343DC" w14:textId="77777777" w:rsidR="00E732AC" w:rsidRPr="00710AC5" w:rsidRDefault="00E732AC" w:rsidP="00E732AC">
      <w:pPr>
        <w:autoSpaceDE w:val="0"/>
        <w:autoSpaceDN w:val="0"/>
        <w:adjustRightInd w:val="0"/>
        <w:ind w:firstLine="708"/>
        <w:jc w:val="both"/>
        <w:rPr>
          <w:rFonts w:ascii="Abadi" w:hAnsi="Abadi" w:cs="*Verdana-Bold-8196-Identity-H"/>
          <w:b/>
          <w:bCs/>
          <w:color w:val="0F0E15"/>
          <w:sz w:val="21"/>
          <w:szCs w:val="21"/>
        </w:rPr>
      </w:pPr>
    </w:p>
    <w:p w14:paraId="14BF34AD" w14:textId="77777777" w:rsidR="00E732AC" w:rsidRPr="00710AC5" w:rsidRDefault="00E732AC" w:rsidP="00E732AC">
      <w:pPr>
        <w:autoSpaceDE w:val="0"/>
        <w:autoSpaceDN w:val="0"/>
        <w:adjustRightInd w:val="0"/>
        <w:ind w:firstLine="708"/>
        <w:jc w:val="both"/>
        <w:rPr>
          <w:rFonts w:ascii="Abadi" w:hAnsi="Abadi" w:cs="*Verdana-6289-Identity-H"/>
          <w:color w:val="101013"/>
          <w:sz w:val="21"/>
          <w:szCs w:val="21"/>
        </w:rPr>
      </w:pPr>
      <w:r w:rsidRPr="00710AC5">
        <w:rPr>
          <w:rFonts w:ascii="Abadi" w:hAnsi="Abadi" w:cs="*Tahoma-8198-Identity-H"/>
          <w:color w:val="111113"/>
          <w:sz w:val="21"/>
          <w:szCs w:val="21"/>
        </w:rPr>
        <w:t>Las y los diputados iniciantes en ejercicio de la facultad establecida en los</w:t>
      </w:r>
      <w:r>
        <w:rPr>
          <w:rFonts w:ascii="Abadi" w:hAnsi="Abadi" w:cs="*Tahoma-8198-Identity-H"/>
          <w:color w:val="111113"/>
          <w:sz w:val="21"/>
          <w:szCs w:val="21"/>
        </w:rPr>
        <w:t xml:space="preserve"> </w:t>
      </w:r>
      <w:r w:rsidRPr="00710AC5">
        <w:rPr>
          <w:rFonts w:ascii="Abadi" w:hAnsi="Abadi" w:cs="*Tahoma-8198-Identity-H"/>
          <w:color w:val="111113"/>
          <w:sz w:val="21"/>
          <w:szCs w:val="21"/>
        </w:rPr>
        <w:t>artículos 56 fracción II de la Constitución Política para el Estado de Guanajuato y 167</w:t>
      </w:r>
      <w:r>
        <w:rPr>
          <w:rFonts w:ascii="Abadi" w:hAnsi="Abadi" w:cs="*Tahoma-8198-Identity-H"/>
          <w:color w:val="111113"/>
          <w:sz w:val="21"/>
          <w:szCs w:val="21"/>
        </w:rPr>
        <w:t xml:space="preserve"> </w:t>
      </w:r>
      <w:r w:rsidRPr="00710AC5">
        <w:rPr>
          <w:rFonts w:ascii="Abadi" w:hAnsi="Abadi" w:cs="*Verdana-6289-Identity-H"/>
          <w:color w:val="101013"/>
          <w:sz w:val="21"/>
          <w:szCs w:val="21"/>
        </w:rPr>
        <w:t>fracción II de la Ley Orgánica del Poder Legislativo del Estado de Guanajuato,</w:t>
      </w:r>
      <w:r>
        <w:rPr>
          <w:rFonts w:ascii="Abadi" w:hAnsi="Abadi" w:cs="*Verdana-6289-Identity-H"/>
          <w:color w:val="101013"/>
          <w:sz w:val="21"/>
          <w:szCs w:val="21"/>
        </w:rPr>
        <w:t xml:space="preserve"> </w:t>
      </w:r>
      <w:r w:rsidRPr="00710AC5">
        <w:rPr>
          <w:rFonts w:ascii="Abadi" w:hAnsi="Abadi" w:cs="*Verdana-6289-Identity-H"/>
          <w:color w:val="101013"/>
          <w:sz w:val="21"/>
          <w:szCs w:val="21"/>
        </w:rPr>
        <w:t>presentaron ante la Secretaría General de este Congreso del Estado, las iniciativas que</w:t>
      </w:r>
      <w:r>
        <w:rPr>
          <w:rFonts w:ascii="Abadi" w:hAnsi="Abadi" w:cs="*Verdana-6289-Identity-H"/>
          <w:color w:val="101013"/>
          <w:sz w:val="21"/>
          <w:szCs w:val="21"/>
        </w:rPr>
        <w:t xml:space="preserve"> </w:t>
      </w:r>
      <w:r w:rsidRPr="00710AC5">
        <w:rPr>
          <w:rFonts w:ascii="Abadi" w:hAnsi="Abadi" w:cs="*Verdana-6289-Identity-H"/>
          <w:color w:val="101013"/>
          <w:sz w:val="21"/>
          <w:szCs w:val="21"/>
        </w:rPr>
        <w:t>se describen en el preámbulo del presente dictamen.</w:t>
      </w:r>
    </w:p>
    <w:p w14:paraId="06549DF4" w14:textId="77777777" w:rsidR="00E732AC" w:rsidRDefault="00E732AC" w:rsidP="00E732AC">
      <w:pPr>
        <w:autoSpaceDE w:val="0"/>
        <w:autoSpaceDN w:val="0"/>
        <w:adjustRightInd w:val="0"/>
        <w:jc w:val="both"/>
        <w:rPr>
          <w:rFonts w:ascii="Abadi" w:hAnsi="Abadi" w:cs="*Verdana-Bold-6290-Identity-H"/>
          <w:b/>
          <w:bCs/>
          <w:color w:val="0D0C12"/>
          <w:sz w:val="21"/>
          <w:szCs w:val="21"/>
        </w:rPr>
      </w:pPr>
    </w:p>
    <w:p w14:paraId="773C4997" w14:textId="77777777" w:rsidR="00E732AC" w:rsidRDefault="00E732AC" w:rsidP="00E732AC">
      <w:pPr>
        <w:autoSpaceDE w:val="0"/>
        <w:autoSpaceDN w:val="0"/>
        <w:adjustRightInd w:val="0"/>
        <w:jc w:val="both"/>
        <w:rPr>
          <w:rFonts w:ascii="Abadi" w:hAnsi="Abadi" w:cs="*Verdana-Bold-6290-Identity-H"/>
          <w:b/>
          <w:bCs/>
          <w:color w:val="0D0C12"/>
          <w:sz w:val="21"/>
          <w:szCs w:val="21"/>
        </w:rPr>
      </w:pPr>
      <w:r w:rsidRPr="00710AC5">
        <w:rPr>
          <w:rFonts w:ascii="Abadi" w:hAnsi="Abadi" w:cs="*Verdana-Bold-6290-Identity-H"/>
          <w:b/>
          <w:bCs/>
          <w:color w:val="0D0C12"/>
          <w:sz w:val="21"/>
          <w:szCs w:val="21"/>
        </w:rPr>
        <w:t>1.2. Objeto de las iniciativas.</w:t>
      </w:r>
    </w:p>
    <w:p w14:paraId="5EE02FA6" w14:textId="77777777" w:rsidR="00E732AC" w:rsidRPr="00710AC5" w:rsidRDefault="00E732AC" w:rsidP="00E732AC">
      <w:pPr>
        <w:autoSpaceDE w:val="0"/>
        <w:autoSpaceDN w:val="0"/>
        <w:adjustRightInd w:val="0"/>
        <w:jc w:val="both"/>
        <w:rPr>
          <w:rFonts w:ascii="Abadi" w:hAnsi="Abadi" w:cs="*Verdana-Bold-6290-Identity-H"/>
          <w:b/>
          <w:bCs/>
          <w:color w:val="0D0C12"/>
          <w:sz w:val="21"/>
          <w:szCs w:val="21"/>
        </w:rPr>
      </w:pPr>
    </w:p>
    <w:p w14:paraId="5990CEA4" w14:textId="77777777" w:rsidR="00E732AC" w:rsidRDefault="00E732AC" w:rsidP="00E732AC">
      <w:pPr>
        <w:autoSpaceDE w:val="0"/>
        <w:autoSpaceDN w:val="0"/>
        <w:adjustRightInd w:val="0"/>
        <w:ind w:firstLine="708"/>
        <w:jc w:val="both"/>
        <w:rPr>
          <w:rFonts w:ascii="Abadi" w:hAnsi="Abadi" w:cs="*Verdana-6289-Identity-H"/>
          <w:color w:val="111012"/>
          <w:sz w:val="21"/>
          <w:szCs w:val="21"/>
        </w:rPr>
      </w:pPr>
      <w:r w:rsidRPr="00710AC5">
        <w:rPr>
          <w:rFonts w:ascii="Abadi" w:hAnsi="Abadi" w:cs="*Verdana-6289-Identity-H"/>
          <w:color w:val="111012"/>
          <w:sz w:val="21"/>
          <w:szCs w:val="21"/>
        </w:rPr>
        <w:t>En general, las iniciativas Inciden en el delito de feminicidio, con el objeto de</w:t>
      </w:r>
      <w:r>
        <w:rPr>
          <w:rFonts w:ascii="Abadi" w:hAnsi="Abadi" w:cs="*Verdana-6289-Identity-H"/>
          <w:color w:val="111012"/>
          <w:sz w:val="21"/>
          <w:szCs w:val="21"/>
        </w:rPr>
        <w:t xml:space="preserve"> </w:t>
      </w:r>
      <w:r w:rsidRPr="00710AC5">
        <w:rPr>
          <w:rFonts w:ascii="Abadi" w:hAnsi="Abadi" w:cs="*Verdana-6289-Identity-H"/>
          <w:color w:val="111012"/>
          <w:sz w:val="21"/>
          <w:szCs w:val="21"/>
        </w:rPr>
        <w:t>actualizar este tipo penal con nuevas conductas y perfeccionar los supuestos vigentes.</w:t>
      </w:r>
      <w:r>
        <w:rPr>
          <w:rFonts w:ascii="Abadi" w:hAnsi="Abadi" w:cs="*Verdana-6289-Identity-H"/>
          <w:color w:val="111012"/>
          <w:sz w:val="21"/>
          <w:szCs w:val="21"/>
        </w:rPr>
        <w:t xml:space="preserve"> </w:t>
      </w:r>
    </w:p>
    <w:p w14:paraId="23545387" w14:textId="77777777" w:rsidR="00E732AC" w:rsidRPr="00710AC5" w:rsidRDefault="00E732AC" w:rsidP="00E732AC">
      <w:pPr>
        <w:autoSpaceDE w:val="0"/>
        <w:autoSpaceDN w:val="0"/>
        <w:adjustRightInd w:val="0"/>
        <w:jc w:val="both"/>
        <w:rPr>
          <w:rFonts w:ascii="Abadi" w:hAnsi="Abadi" w:cs="*Verdana-6289-Identity-H"/>
          <w:color w:val="111012"/>
          <w:sz w:val="21"/>
          <w:szCs w:val="21"/>
        </w:rPr>
      </w:pPr>
    </w:p>
    <w:p w14:paraId="751535BC" w14:textId="77777777" w:rsidR="00E732AC" w:rsidRDefault="00E732AC" w:rsidP="00E732AC">
      <w:pPr>
        <w:autoSpaceDE w:val="0"/>
        <w:autoSpaceDN w:val="0"/>
        <w:adjustRightInd w:val="0"/>
        <w:jc w:val="both"/>
        <w:rPr>
          <w:rFonts w:ascii="Abadi" w:hAnsi="Abadi" w:cs="*Verdana-Bold-6290-Identity-H"/>
          <w:b/>
          <w:bCs/>
          <w:color w:val="0F0F15"/>
          <w:sz w:val="21"/>
          <w:szCs w:val="21"/>
        </w:rPr>
      </w:pPr>
    </w:p>
    <w:p w14:paraId="49BB6961" w14:textId="77777777" w:rsidR="00E732AC" w:rsidRDefault="00E732AC" w:rsidP="00E732AC">
      <w:pPr>
        <w:autoSpaceDE w:val="0"/>
        <w:autoSpaceDN w:val="0"/>
        <w:adjustRightInd w:val="0"/>
        <w:jc w:val="both"/>
        <w:rPr>
          <w:rFonts w:ascii="Abadi" w:hAnsi="Abadi" w:cs="*Verdana-Bold-6290-Identity-H"/>
          <w:b/>
          <w:bCs/>
          <w:color w:val="0F0F15"/>
          <w:sz w:val="21"/>
          <w:szCs w:val="21"/>
        </w:rPr>
      </w:pPr>
      <w:r w:rsidRPr="00710AC5">
        <w:rPr>
          <w:rFonts w:ascii="Abadi" w:hAnsi="Abadi" w:cs="*Verdana-Bold-6290-Identity-H"/>
          <w:b/>
          <w:bCs/>
          <w:color w:val="0F0F15"/>
          <w:sz w:val="21"/>
          <w:szCs w:val="21"/>
        </w:rPr>
        <w:t>II. Turno de las iniciativas.</w:t>
      </w:r>
    </w:p>
    <w:p w14:paraId="35C68049" w14:textId="77777777" w:rsidR="00E732AC" w:rsidRPr="00710AC5" w:rsidRDefault="00E732AC" w:rsidP="00E732AC">
      <w:pPr>
        <w:autoSpaceDE w:val="0"/>
        <w:autoSpaceDN w:val="0"/>
        <w:adjustRightInd w:val="0"/>
        <w:jc w:val="both"/>
        <w:rPr>
          <w:rFonts w:ascii="Abadi" w:hAnsi="Abadi" w:cs="*Verdana-Bold-6290-Identity-H"/>
          <w:b/>
          <w:bCs/>
          <w:color w:val="0F0F15"/>
          <w:sz w:val="21"/>
          <w:szCs w:val="21"/>
        </w:rPr>
      </w:pPr>
    </w:p>
    <w:p w14:paraId="1B344664" w14:textId="77777777" w:rsidR="00E732AC" w:rsidRDefault="00E732AC" w:rsidP="00E732AC">
      <w:pPr>
        <w:autoSpaceDE w:val="0"/>
        <w:autoSpaceDN w:val="0"/>
        <w:adjustRightInd w:val="0"/>
        <w:ind w:firstLine="708"/>
        <w:jc w:val="both"/>
        <w:rPr>
          <w:rFonts w:ascii="Abadi" w:hAnsi="Abadi" w:cs="*Verdana-6289-Identity-H"/>
          <w:color w:val="101012"/>
          <w:sz w:val="21"/>
          <w:szCs w:val="21"/>
        </w:rPr>
      </w:pPr>
      <w:r w:rsidRPr="00710AC5">
        <w:rPr>
          <w:rFonts w:ascii="Abadi" w:hAnsi="Abadi" w:cs="*Verdana-6289-Identity-H"/>
          <w:color w:val="101012"/>
          <w:sz w:val="21"/>
          <w:szCs w:val="21"/>
        </w:rPr>
        <w:t>De acuerdo con la materia de las propuestas, la presidencia de la mesa directiva</w:t>
      </w:r>
      <w:r>
        <w:rPr>
          <w:rFonts w:ascii="Abadi" w:hAnsi="Abadi" w:cs="*Verdana-6289-Identity-H"/>
          <w:color w:val="101012"/>
          <w:sz w:val="21"/>
          <w:szCs w:val="21"/>
        </w:rPr>
        <w:t xml:space="preserve"> </w:t>
      </w:r>
      <w:r w:rsidRPr="00710AC5">
        <w:rPr>
          <w:rFonts w:ascii="Abadi" w:hAnsi="Abadi" w:cs="*Verdana-6289-Identity-H"/>
          <w:color w:val="101012"/>
          <w:sz w:val="21"/>
          <w:szCs w:val="21"/>
        </w:rPr>
        <w:t>turnó a la Comisión de Justicia de la anterior Legislatura las dos primeras iniciativas,</w:t>
      </w:r>
      <w:r>
        <w:rPr>
          <w:rFonts w:ascii="Abadi" w:hAnsi="Abadi" w:cs="*Verdana-6289-Identity-H"/>
          <w:color w:val="101012"/>
          <w:sz w:val="21"/>
          <w:szCs w:val="21"/>
        </w:rPr>
        <w:t xml:space="preserve"> </w:t>
      </w:r>
      <w:r w:rsidRPr="00710AC5">
        <w:rPr>
          <w:rFonts w:ascii="Abadi" w:hAnsi="Abadi" w:cs="*Verdana-6289-Identity-H"/>
          <w:color w:val="101012"/>
          <w:sz w:val="21"/>
          <w:szCs w:val="21"/>
        </w:rPr>
        <w:t>respectivamente, en fechas 16 de julio y 15 de octubre, ambas de 2020, para su estudio</w:t>
      </w:r>
      <w:r>
        <w:rPr>
          <w:rFonts w:ascii="Abadi" w:hAnsi="Abadi" w:cs="*Verdana-6289-Identity-H"/>
          <w:color w:val="101012"/>
          <w:sz w:val="21"/>
          <w:szCs w:val="21"/>
        </w:rPr>
        <w:t xml:space="preserve"> </w:t>
      </w:r>
      <w:r w:rsidRPr="00710AC5">
        <w:rPr>
          <w:rFonts w:ascii="Abadi" w:hAnsi="Abadi" w:cs="*Verdana-6289-Identity-H"/>
          <w:color w:val="101012"/>
          <w:sz w:val="21"/>
          <w:szCs w:val="21"/>
        </w:rPr>
        <w:t>y dictamen.</w:t>
      </w:r>
    </w:p>
    <w:p w14:paraId="3F7D23F3" w14:textId="77777777" w:rsidR="00E732AC" w:rsidRPr="00710AC5" w:rsidRDefault="00E732AC" w:rsidP="00E732AC">
      <w:pPr>
        <w:autoSpaceDE w:val="0"/>
        <w:autoSpaceDN w:val="0"/>
        <w:adjustRightInd w:val="0"/>
        <w:jc w:val="both"/>
        <w:rPr>
          <w:rFonts w:ascii="Abadi" w:hAnsi="Abadi" w:cs="*Verdana-6289-Identity-H"/>
          <w:color w:val="101012"/>
          <w:sz w:val="21"/>
          <w:szCs w:val="21"/>
        </w:rPr>
      </w:pPr>
    </w:p>
    <w:p w14:paraId="3ED8EEE7" w14:textId="77777777" w:rsidR="00E732AC" w:rsidRDefault="00E732AC" w:rsidP="00E732AC">
      <w:pPr>
        <w:autoSpaceDE w:val="0"/>
        <w:autoSpaceDN w:val="0"/>
        <w:adjustRightInd w:val="0"/>
        <w:ind w:firstLine="708"/>
        <w:jc w:val="both"/>
        <w:rPr>
          <w:rFonts w:ascii="Abadi" w:hAnsi="Abadi" w:cs="*Verdana-6289-Identity-H"/>
          <w:color w:val="131215"/>
          <w:sz w:val="21"/>
          <w:szCs w:val="21"/>
        </w:rPr>
      </w:pPr>
      <w:r w:rsidRPr="00710AC5">
        <w:rPr>
          <w:rFonts w:ascii="Abadi" w:hAnsi="Abadi" w:cs="*Verdana-6289-Identity-H"/>
          <w:color w:val="131215"/>
          <w:sz w:val="21"/>
          <w:szCs w:val="21"/>
        </w:rPr>
        <w:t>Cabe precisar que la presidencia de la mesa directiva en funciones durante el</w:t>
      </w:r>
      <w:r>
        <w:rPr>
          <w:rFonts w:ascii="Abadi" w:hAnsi="Abadi" w:cs="*Verdana-6289-Identity-H"/>
          <w:color w:val="131215"/>
          <w:sz w:val="21"/>
          <w:szCs w:val="21"/>
        </w:rPr>
        <w:t xml:space="preserve"> </w:t>
      </w:r>
      <w:r w:rsidRPr="00710AC5">
        <w:rPr>
          <w:rFonts w:ascii="Abadi" w:hAnsi="Abadi" w:cs="*Verdana-6289-Identity-H"/>
          <w:color w:val="131215"/>
          <w:sz w:val="21"/>
          <w:szCs w:val="21"/>
        </w:rPr>
        <w:t>primer periodo ordinario de sesiones de esta Sexagésima Quinta Legislatura, en sesión</w:t>
      </w:r>
      <w:r>
        <w:rPr>
          <w:rFonts w:ascii="Abadi" w:hAnsi="Abadi" w:cs="*Verdana-6289-Identity-H"/>
          <w:color w:val="131215"/>
          <w:sz w:val="21"/>
          <w:szCs w:val="21"/>
        </w:rPr>
        <w:t xml:space="preserve"> </w:t>
      </w:r>
      <w:r w:rsidRPr="00710AC5">
        <w:rPr>
          <w:rFonts w:ascii="Abadi" w:hAnsi="Abadi" w:cs="*Verdana-6289-Identity-H"/>
          <w:color w:val="131215"/>
          <w:sz w:val="21"/>
          <w:szCs w:val="21"/>
        </w:rPr>
        <w:t>plenaria de fecha 7 de octubre de 2021, una vez declarada la Integración de las</w:t>
      </w:r>
      <w:r>
        <w:rPr>
          <w:rFonts w:ascii="Abadi" w:hAnsi="Abadi" w:cs="*Verdana-6289-Identity-H"/>
          <w:color w:val="131215"/>
          <w:sz w:val="21"/>
          <w:szCs w:val="21"/>
        </w:rPr>
        <w:t xml:space="preserve"> </w:t>
      </w:r>
      <w:r w:rsidRPr="00710AC5">
        <w:rPr>
          <w:rFonts w:ascii="Abadi" w:hAnsi="Abadi" w:cs="*Verdana-6289-Identity-H"/>
          <w:color w:val="131215"/>
          <w:sz w:val="21"/>
          <w:szCs w:val="21"/>
        </w:rPr>
        <w:t>comisiones permanentes, remitió las Iniciativas y asuntos en trámite de las comisiones</w:t>
      </w:r>
      <w:r>
        <w:rPr>
          <w:rFonts w:ascii="Abadi" w:hAnsi="Abadi" w:cs="*Verdana-6289-Identity-H"/>
          <w:color w:val="131215"/>
          <w:sz w:val="21"/>
          <w:szCs w:val="21"/>
        </w:rPr>
        <w:t xml:space="preserve"> </w:t>
      </w:r>
      <w:r w:rsidRPr="00710AC5">
        <w:rPr>
          <w:rFonts w:ascii="Abadi" w:hAnsi="Abadi" w:cs="*Verdana-6289-Identity-H"/>
          <w:color w:val="131215"/>
          <w:sz w:val="21"/>
          <w:szCs w:val="21"/>
        </w:rPr>
        <w:t>de la Sexagésima Cuarta Legislatura, a las presidencias designadas de cada Comisión,</w:t>
      </w:r>
      <w:r>
        <w:rPr>
          <w:rFonts w:ascii="Abadi" w:hAnsi="Abadi" w:cs="*Verdana-6289-Identity-H"/>
          <w:color w:val="131215"/>
          <w:sz w:val="21"/>
          <w:szCs w:val="21"/>
        </w:rPr>
        <w:t xml:space="preserve"> </w:t>
      </w:r>
      <w:r w:rsidRPr="00710AC5">
        <w:rPr>
          <w:rFonts w:ascii="Abadi" w:hAnsi="Abadi" w:cs="*Verdana-6289-Identity-H"/>
          <w:color w:val="131215"/>
          <w:sz w:val="21"/>
          <w:szCs w:val="21"/>
        </w:rPr>
        <w:t>para los efectos conducentes, entre ellos las iniciativas mencionadas en el párrafo que</w:t>
      </w:r>
      <w:r>
        <w:rPr>
          <w:rFonts w:ascii="Abadi" w:hAnsi="Abadi" w:cs="*Verdana-6289-Identity-H"/>
          <w:color w:val="131215"/>
          <w:sz w:val="21"/>
          <w:szCs w:val="21"/>
        </w:rPr>
        <w:t xml:space="preserve"> </w:t>
      </w:r>
      <w:r w:rsidRPr="00710AC5">
        <w:rPr>
          <w:rFonts w:ascii="Abadi" w:hAnsi="Abadi" w:cs="*Verdana-6289-Identity-H"/>
          <w:color w:val="131215"/>
          <w:sz w:val="21"/>
          <w:szCs w:val="21"/>
        </w:rPr>
        <w:t>antecede.</w:t>
      </w:r>
    </w:p>
    <w:p w14:paraId="1A237141" w14:textId="0A853CCB" w:rsidR="00E732AC" w:rsidRDefault="00E732AC" w:rsidP="00E732AC">
      <w:pPr>
        <w:autoSpaceDE w:val="0"/>
        <w:autoSpaceDN w:val="0"/>
        <w:adjustRightInd w:val="0"/>
        <w:ind w:firstLine="708"/>
        <w:jc w:val="both"/>
        <w:rPr>
          <w:rFonts w:ascii="Abadi" w:hAnsi="Abadi" w:cs="*Verdana-6289-Identity-H"/>
          <w:color w:val="101012"/>
          <w:sz w:val="21"/>
          <w:szCs w:val="21"/>
        </w:rPr>
      </w:pPr>
      <w:r w:rsidRPr="00710AC5">
        <w:rPr>
          <w:rFonts w:ascii="Abadi" w:hAnsi="Abadi" w:cs="*Verdana-6289-Identity-H"/>
          <w:color w:val="101012"/>
          <w:sz w:val="21"/>
          <w:szCs w:val="21"/>
        </w:rPr>
        <w:t>Las otras tres iniciativas fueron turnadas para los mismos efectos a esta Comisión</w:t>
      </w:r>
      <w:r>
        <w:rPr>
          <w:rFonts w:ascii="Abadi" w:hAnsi="Abadi" w:cs="*Verdana-6289-Identity-H"/>
          <w:color w:val="101012"/>
          <w:sz w:val="21"/>
          <w:szCs w:val="21"/>
        </w:rPr>
        <w:t xml:space="preserve"> </w:t>
      </w:r>
      <w:r w:rsidRPr="00710AC5">
        <w:rPr>
          <w:rFonts w:ascii="Abadi" w:hAnsi="Abadi" w:cs="*Verdana-6289-Identity-H"/>
          <w:color w:val="101012"/>
          <w:sz w:val="21"/>
          <w:szCs w:val="21"/>
        </w:rPr>
        <w:t>de Justicia, en fechas 11 de noviembre y 9 de diciembre, ambas de 2021 y 15 de febrero</w:t>
      </w:r>
      <w:r>
        <w:rPr>
          <w:rFonts w:ascii="Abadi" w:hAnsi="Abadi" w:cs="*Verdana-6289-Identity-H"/>
          <w:color w:val="101012"/>
          <w:sz w:val="21"/>
          <w:szCs w:val="21"/>
        </w:rPr>
        <w:t xml:space="preserve"> </w:t>
      </w:r>
      <w:r w:rsidRPr="00710AC5">
        <w:rPr>
          <w:rFonts w:ascii="Abadi" w:hAnsi="Abadi" w:cs="*Verdana-6289-Identity-H"/>
          <w:color w:val="101012"/>
          <w:sz w:val="21"/>
          <w:szCs w:val="21"/>
        </w:rPr>
        <w:t>de 2022.</w:t>
      </w:r>
    </w:p>
    <w:p w14:paraId="3479ED8C" w14:textId="77777777" w:rsidR="00A46D79" w:rsidRPr="00710AC5" w:rsidRDefault="00A46D79" w:rsidP="00E732AC">
      <w:pPr>
        <w:autoSpaceDE w:val="0"/>
        <w:autoSpaceDN w:val="0"/>
        <w:adjustRightInd w:val="0"/>
        <w:ind w:firstLine="708"/>
        <w:jc w:val="both"/>
        <w:rPr>
          <w:rFonts w:ascii="Abadi" w:hAnsi="Abadi" w:cs="*Verdana-6289-Identity-H"/>
          <w:color w:val="101012"/>
          <w:sz w:val="21"/>
          <w:szCs w:val="21"/>
        </w:rPr>
      </w:pPr>
    </w:p>
    <w:p w14:paraId="46D9430B" w14:textId="77777777" w:rsidR="00E732AC" w:rsidRDefault="00E732AC" w:rsidP="00E732AC">
      <w:pPr>
        <w:autoSpaceDE w:val="0"/>
        <w:autoSpaceDN w:val="0"/>
        <w:adjustRightInd w:val="0"/>
        <w:ind w:firstLine="708"/>
        <w:jc w:val="both"/>
        <w:rPr>
          <w:rFonts w:ascii="Abadi" w:hAnsi="Abadi" w:cs="*Verdana-Bold-6290-Identity-H"/>
          <w:b/>
          <w:bCs/>
          <w:color w:val="100E16"/>
          <w:sz w:val="21"/>
          <w:szCs w:val="21"/>
        </w:rPr>
      </w:pPr>
      <w:r>
        <w:rPr>
          <w:rFonts w:ascii="Abadi" w:hAnsi="Abadi" w:cs="*Verdana-Bold-6290-Identity-H"/>
          <w:b/>
          <w:bCs/>
          <w:color w:val="100E16"/>
          <w:sz w:val="21"/>
          <w:szCs w:val="21"/>
        </w:rPr>
        <w:t>III</w:t>
      </w:r>
      <w:r w:rsidRPr="00710AC5">
        <w:rPr>
          <w:rFonts w:ascii="Abadi" w:hAnsi="Abadi" w:cs="*Verdana-Bold-6290-Identity-H"/>
          <w:b/>
          <w:bCs/>
          <w:color w:val="100E16"/>
          <w:sz w:val="21"/>
          <w:szCs w:val="21"/>
        </w:rPr>
        <w:t>. Estudio de las iniciativas.</w:t>
      </w:r>
    </w:p>
    <w:p w14:paraId="17EDDE08" w14:textId="77777777" w:rsidR="00E732AC" w:rsidRPr="00710AC5" w:rsidRDefault="00E732AC" w:rsidP="00E732AC">
      <w:pPr>
        <w:autoSpaceDE w:val="0"/>
        <w:autoSpaceDN w:val="0"/>
        <w:adjustRightInd w:val="0"/>
        <w:jc w:val="both"/>
        <w:rPr>
          <w:rFonts w:ascii="Abadi" w:hAnsi="Abadi" w:cs="*Verdana-Bold-6290-Identity-H"/>
          <w:b/>
          <w:bCs/>
          <w:color w:val="100E16"/>
          <w:sz w:val="21"/>
          <w:szCs w:val="21"/>
        </w:rPr>
      </w:pPr>
    </w:p>
    <w:p w14:paraId="1B6B9500" w14:textId="77777777" w:rsidR="00E732AC" w:rsidRPr="00710AC5" w:rsidRDefault="00E732AC" w:rsidP="00E732AC">
      <w:pPr>
        <w:autoSpaceDE w:val="0"/>
        <w:autoSpaceDN w:val="0"/>
        <w:adjustRightInd w:val="0"/>
        <w:ind w:firstLine="708"/>
        <w:jc w:val="both"/>
        <w:rPr>
          <w:rFonts w:ascii="Abadi" w:hAnsi="Abadi" w:cs="*Verdana-6289-Identity-H"/>
          <w:color w:val="121214"/>
          <w:sz w:val="21"/>
          <w:szCs w:val="21"/>
        </w:rPr>
      </w:pPr>
      <w:r w:rsidRPr="00710AC5">
        <w:rPr>
          <w:rFonts w:ascii="Abadi" w:hAnsi="Abadi" w:cs="*Verdana-6289-Identity-H"/>
          <w:color w:val="121214"/>
          <w:sz w:val="21"/>
          <w:szCs w:val="21"/>
        </w:rPr>
        <w:t>Una vez radicadas las iniciativas, en su oportunidad, se acordaron sus respectivas</w:t>
      </w:r>
      <w:r>
        <w:rPr>
          <w:rFonts w:ascii="Abadi" w:hAnsi="Abadi" w:cs="*Verdana-6289-Identity-H"/>
          <w:color w:val="121214"/>
          <w:sz w:val="21"/>
          <w:szCs w:val="21"/>
        </w:rPr>
        <w:t xml:space="preserve"> </w:t>
      </w:r>
      <w:r w:rsidRPr="00710AC5">
        <w:rPr>
          <w:rFonts w:ascii="Abadi" w:hAnsi="Abadi" w:cs="*Verdana-6289-Identity-H"/>
          <w:color w:val="121214"/>
          <w:sz w:val="21"/>
          <w:szCs w:val="21"/>
        </w:rPr>
        <w:t>metodologías de trabajo para estudio y dictamen, las cuales se les dio puntual</w:t>
      </w:r>
      <w:r>
        <w:rPr>
          <w:rFonts w:ascii="Abadi" w:hAnsi="Abadi" w:cs="*Verdana-6289-Identity-H"/>
          <w:color w:val="121214"/>
          <w:sz w:val="21"/>
          <w:szCs w:val="21"/>
        </w:rPr>
        <w:t xml:space="preserve"> </w:t>
      </w:r>
      <w:r w:rsidRPr="00710AC5">
        <w:rPr>
          <w:rFonts w:ascii="Abadi" w:hAnsi="Abadi" w:cs="*Verdana-6289-Identity-H"/>
          <w:color w:val="121214"/>
          <w:sz w:val="21"/>
          <w:szCs w:val="21"/>
        </w:rPr>
        <w:t>seguimiento.</w:t>
      </w:r>
    </w:p>
    <w:p w14:paraId="093FEE68" w14:textId="77777777" w:rsidR="00E732AC" w:rsidRPr="00710AC5" w:rsidRDefault="00E732AC" w:rsidP="00E732AC">
      <w:pPr>
        <w:jc w:val="both"/>
        <w:rPr>
          <w:rFonts w:ascii="Abadi" w:hAnsi="Abadi" w:cs="*Verdana-6289-Identity-H"/>
          <w:color w:val="121214"/>
          <w:sz w:val="21"/>
          <w:szCs w:val="21"/>
        </w:rPr>
      </w:pPr>
    </w:p>
    <w:p w14:paraId="74A9B13E" w14:textId="77777777" w:rsidR="00E732AC" w:rsidRDefault="00E732AC" w:rsidP="00E732AC">
      <w:pPr>
        <w:autoSpaceDE w:val="0"/>
        <w:autoSpaceDN w:val="0"/>
        <w:adjustRightInd w:val="0"/>
        <w:ind w:firstLine="708"/>
        <w:jc w:val="both"/>
        <w:rPr>
          <w:rFonts w:ascii="Abadi" w:hAnsi="Abadi" w:cs="*Calibri-7455-Identity-H"/>
          <w:color w:val="111013"/>
          <w:sz w:val="21"/>
          <w:szCs w:val="21"/>
        </w:rPr>
      </w:pPr>
      <w:r w:rsidRPr="00710AC5">
        <w:rPr>
          <w:rFonts w:ascii="Abadi" w:hAnsi="Abadi" w:cs="*Calibri-7455-Identity-H"/>
          <w:color w:val="111013"/>
          <w:sz w:val="21"/>
          <w:szCs w:val="21"/>
        </w:rPr>
        <w:t>Las opiniones recibidas se incorporaron en un solo documento que concentrara</w:t>
      </w:r>
      <w:r>
        <w:rPr>
          <w:rFonts w:ascii="Abadi" w:hAnsi="Abadi" w:cs="*Calibri-7455-Identity-H"/>
          <w:color w:val="111013"/>
          <w:sz w:val="21"/>
          <w:szCs w:val="21"/>
        </w:rPr>
        <w:t xml:space="preserve"> </w:t>
      </w:r>
      <w:r w:rsidRPr="00710AC5">
        <w:rPr>
          <w:rFonts w:ascii="Abadi" w:hAnsi="Abadi" w:cs="*Calibri-7455-Identity-H"/>
          <w:color w:val="111013"/>
          <w:sz w:val="21"/>
          <w:szCs w:val="21"/>
        </w:rPr>
        <w:t>las cinco iniciativas, en el que además se incluyó el comparativo entre la legislación penal</w:t>
      </w:r>
      <w:r>
        <w:rPr>
          <w:rFonts w:ascii="Abadi" w:hAnsi="Abadi" w:cs="*Calibri-7455-Identity-H"/>
          <w:color w:val="111013"/>
          <w:sz w:val="21"/>
          <w:szCs w:val="21"/>
        </w:rPr>
        <w:t xml:space="preserve"> </w:t>
      </w:r>
      <w:r w:rsidRPr="00710AC5">
        <w:rPr>
          <w:rFonts w:ascii="Abadi" w:hAnsi="Abadi" w:cs="*Calibri-7455-Identity-H"/>
          <w:color w:val="111013"/>
          <w:sz w:val="21"/>
          <w:szCs w:val="21"/>
        </w:rPr>
        <w:t>vigente y todas las propuestas de los iniciantes, mismo que se remitió a los integrantes</w:t>
      </w:r>
      <w:r>
        <w:rPr>
          <w:rFonts w:ascii="Abadi" w:hAnsi="Abadi" w:cs="*Calibri-7455-Identity-H"/>
          <w:color w:val="111013"/>
          <w:sz w:val="21"/>
          <w:szCs w:val="21"/>
        </w:rPr>
        <w:t xml:space="preserve"> </w:t>
      </w:r>
      <w:r w:rsidRPr="00710AC5">
        <w:rPr>
          <w:rFonts w:ascii="Abadi" w:hAnsi="Abadi" w:cs="*Calibri-7455-Identity-H"/>
          <w:color w:val="111013"/>
          <w:sz w:val="21"/>
          <w:szCs w:val="21"/>
        </w:rPr>
        <w:t>de la Comisión de Justicia y a los invitados que participarían en el análisis.</w:t>
      </w:r>
      <w:r>
        <w:rPr>
          <w:rFonts w:ascii="Abadi" w:hAnsi="Abadi" w:cs="*Calibri-7455-Identity-H"/>
          <w:color w:val="111013"/>
          <w:sz w:val="21"/>
          <w:szCs w:val="21"/>
        </w:rPr>
        <w:t xml:space="preserve"> </w:t>
      </w:r>
    </w:p>
    <w:p w14:paraId="2D0190D5" w14:textId="77777777" w:rsidR="00E732AC" w:rsidRPr="00710AC5" w:rsidRDefault="00E732AC" w:rsidP="00E732AC">
      <w:pPr>
        <w:autoSpaceDE w:val="0"/>
        <w:autoSpaceDN w:val="0"/>
        <w:adjustRightInd w:val="0"/>
        <w:jc w:val="both"/>
        <w:rPr>
          <w:rFonts w:ascii="Abadi" w:hAnsi="Abadi" w:cs="*Calibri-7455-Identity-H"/>
          <w:color w:val="111013"/>
          <w:sz w:val="21"/>
          <w:szCs w:val="21"/>
        </w:rPr>
      </w:pPr>
    </w:p>
    <w:p w14:paraId="301E1837" w14:textId="77777777" w:rsidR="00E732AC" w:rsidRDefault="00E732AC" w:rsidP="00E732AC">
      <w:pPr>
        <w:autoSpaceDE w:val="0"/>
        <w:autoSpaceDN w:val="0"/>
        <w:adjustRightInd w:val="0"/>
        <w:ind w:firstLine="708"/>
        <w:jc w:val="both"/>
        <w:rPr>
          <w:rFonts w:ascii="Abadi" w:hAnsi="Abadi" w:cs="*Calibri-7455-Identity-H"/>
          <w:color w:val="111113"/>
          <w:sz w:val="21"/>
          <w:szCs w:val="21"/>
        </w:rPr>
      </w:pPr>
      <w:r w:rsidRPr="00710AC5">
        <w:rPr>
          <w:rFonts w:ascii="Abadi" w:hAnsi="Abadi" w:cs="*Calibri-7455-Identity-H"/>
          <w:color w:val="111113"/>
          <w:sz w:val="21"/>
          <w:szCs w:val="21"/>
        </w:rPr>
        <w:t>El pasado 26 de abril, la Comisión de Justicia de esta Legislatura, llevó a cabo el</w:t>
      </w:r>
      <w:r>
        <w:rPr>
          <w:rFonts w:ascii="Abadi" w:hAnsi="Abadi" w:cs="*Calibri-7455-Identity-H"/>
          <w:color w:val="111113"/>
          <w:sz w:val="21"/>
          <w:szCs w:val="21"/>
        </w:rPr>
        <w:t xml:space="preserve"> </w:t>
      </w:r>
      <w:r w:rsidRPr="00710AC5">
        <w:rPr>
          <w:rFonts w:ascii="Abadi" w:hAnsi="Abadi" w:cs="*Calibri-7455-Identity-H"/>
          <w:color w:val="111113"/>
          <w:sz w:val="21"/>
          <w:szCs w:val="21"/>
        </w:rPr>
        <w:t>análisis de las iniciativas en reunión de la dicha Comisión, en la que además estuvieron</w:t>
      </w:r>
      <w:r>
        <w:rPr>
          <w:rFonts w:ascii="Abadi" w:hAnsi="Abadi" w:cs="*Calibri-7455-Identity-H"/>
          <w:color w:val="111113"/>
          <w:sz w:val="21"/>
          <w:szCs w:val="21"/>
        </w:rPr>
        <w:t xml:space="preserve"> </w:t>
      </w:r>
      <w:r w:rsidRPr="00710AC5">
        <w:rPr>
          <w:rFonts w:ascii="Abadi" w:hAnsi="Abadi" w:cs="*Calibri-7455-Identity-H"/>
          <w:color w:val="111113"/>
          <w:sz w:val="21"/>
          <w:szCs w:val="21"/>
        </w:rPr>
        <w:t>presentes la diputada Alma Edwviges Alcaraz Hernández, y los diputados Rolando Fortino</w:t>
      </w:r>
      <w:r>
        <w:rPr>
          <w:rFonts w:ascii="Abadi" w:hAnsi="Abadi" w:cs="*Calibri-7455-Identity-H"/>
          <w:color w:val="111113"/>
          <w:sz w:val="21"/>
          <w:szCs w:val="21"/>
        </w:rPr>
        <w:t xml:space="preserve"> </w:t>
      </w:r>
      <w:r w:rsidRPr="00710AC5">
        <w:rPr>
          <w:rFonts w:ascii="Abadi" w:hAnsi="Abadi" w:cs="*Calibri-7455-Identity-H"/>
          <w:color w:val="111113"/>
          <w:sz w:val="21"/>
          <w:szCs w:val="21"/>
        </w:rPr>
        <w:t>Alcántar Rojas y Gerardo Fernández González. Asimismo, participaron: por parte de la</w:t>
      </w:r>
      <w:r>
        <w:rPr>
          <w:rFonts w:ascii="Abadi" w:hAnsi="Abadi" w:cs="*Calibri-7455-Identity-H"/>
          <w:color w:val="111113"/>
          <w:sz w:val="21"/>
          <w:szCs w:val="21"/>
        </w:rPr>
        <w:t xml:space="preserve"> </w:t>
      </w:r>
      <w:r w:rsidRPr="00710AC5">
        <w:rPr>
          <w:rFonts w:ascii="Abadi" w:hAnsi="Abadi" w:cs="*Calibri-7455-Identity-H"/>
          <w:color w:val="111113"/>
          <w:sz w:val="21"/>
          <w:szCs w:val="21"/>
        </w:rPr>
        <w:t>Fiscalía General, la Maestra Bernardina Elizabeth Duran Isais y el Maestro Jonathan</w:t>
      </w:r>
      <w:r>
        <w:rPr>
          <w:rFonts w:ascii="Abadi" w:hAnsi="Abadi" w:cs="*Calibri-7455-Identity-H"/>
          <w:color w:val="111113"/>
          <w:sz w:val="21"/>
          <w:szCs w:val="21"/>
        </w:rPr>
        <w:t xml:space="preserve"> </w:t>
      </w:r>
      <w:r w:rsidRPr="00710AC5">
        <w:rPr>
          <w:rFonts w:ascii="Abadi" w:hAnsi="Abadi" w:cs="*Calibri-7455-Identity-H"/>
          <w:color w:val="111113"/>
          <w:sz w:val="21"/>
          <w:szCs w:val="21"/>
        </w:rPr>
        <w:t>Hazael Moreno Becerra; de la Procuraduría de los Derechos Humanos, el Maestro Alberto</w:t>
      </w:r>
      <w:r>
        <w:rPr>
          <w:rFonts w:ascii="Abadi" w:hAnsi="Abadi" w:cs="*Calibri-7455-Identity-H"/>
          <w:color w:val="111113"/>
          <w:sz w:val="21"/>
          <w:szCs w:val="21"/>
        </w:rPr>
        <w:t xml:space="preserve"> </w:t>
      </w:r>
      <w:r w:rsidRPr="00710AC5">
        <w:rPr>
          <w:rFonts w:ascii="Abadi" w:hAnsi="Abadi" w:cs="*Calibri-7455-Identity-H"/>
          <w:color w:val="111113"/>
          <w:sz w:val="21"/>
          <w:szCs w:val="21"/>
        </w:rPr>
        <w:t>Estrella Ortega; de la Coordinación General Jurídica, los licenciados José Federico Ruiz</w:t>
      </w:r>
      <w:r>
        <w:rPr>
          <w:rFonts w:ascii="Abadi" w:hAnsi="Abadi" w:cs="*Calibri-7455-Identity-H"/>
          <w:color w:val="111113"/>
          <w:sz w:val="21"/>
          <w:szCs w:val="21"/>
        </w:rPr>
        <w:t xml:space="preserve"> </w:t>
      </w:r>
      <w:r w:rsidRPr="00710AC5">
        <w:rPr>
          <w:rFonts w:ascii="Abadi" w:hAnsi="Abadi" w:cs="*Calibri-7455-Identity-H"/>
          <w:color w:val="111113"/>
          <w:sz w:val="21"/>
          <w:szCs w:val="21"/>
        </w:rPr>
        <w:t>Chávez, Carlos Alejandro Rodríguez Pacheco y Carlos Manuel Torres Yáñez; del Instituto</w:t>
      </w:r>
      <w:r>
        <w:rPr>
          <w:rFonts w:ascii="Abadi" w:hAnsi="Abadi" w:cs="*Calibri-7455-Identity-H"/>
          <w:color w:val="111113"/>
          <w:sz w:val="21"/>
          <w:szCs w:val="21"/>
        </w:rPr>
        <w:t xml:space="preserve"> </w:t>
      </w:r>
      <w:r w:rsidRPr="00710AC5">
        <w:rPr>
          <w:rFonts w:ascii="Abadi" w:hAnsi="Abadi" w:cs="*Calibri-7455-Identity-H"/>
          <w:color w:val="111113"/>
          <w:sz w:val="21"/>
          <w:szCs w:val="21"/>
        </w:rPr>
        <w:t>de Investigaciones Legislativas, la Maestra Paola Isamar Gutiérrez Arellano. Cabe</w:t>
      </w:r>
      <w:r>
        <w:rPr>
          <w:rFonts w:ascii="Abadi" w:hAnsi="Abadi" w:cs="*Calibri-7455-Identity-H"/>
          <w:color w:val="111113"/>
          <w:sz w:val="21"/>
          <w:szCs w:val="21"/>
        </w:rPr>
        <w:t xml:space="preserve"> </w:t>
      </w:r>
      <w:r w:rsidRPr="00710AC5">
        <w:rPr>
          <w:rFonts w:ascii="Abadi" w:hAnsi="Abadi" w:cs="*Calibri-7455-Identity-H"/>
          <w:color w:val="111113"/>
          <w:sz w:val="21"/>
          <w:szCs w:val="21"/>
        </w:rPr>
        <w:t>mencionar que del Supremo Tribunal de Justicia no pudieron acudir a la reunión por</w:t>
      </w:r>
      <w:r>
        <w:rPr>
          <w:rFonts w:ascii="Abadi" w:hAnsi="Abadi" w:cs="*Calibri-7455-Identity-H"/>
          <w:color w:val="111113"/>
          <w:sz w:val="21"/>
          <w:szCs w:val="21"/>
        </w:rPr>
        <w:t xml:space="preserve"> </w:t>
      </w:r>
      <w:r w:rsidRPr="00710AC5">
        <w:rPr>
          <w:rFonts w:ascii="Abadi" w:hAnsi="Abadi" w:cs="*Calibri-7455-Identity-H"/>
          <w:color w:val="111113"/>
          <w:sz w:val="21"/>
          <w:szCs w:val="21"/>
        </w:rPr>
        <w:t>cuestiones de agenda, pero de igual forma se analizaron sus opiniones previamente</w:t>
      </w:r>
      <w:r>
        <w:rPr>
          <w:rFonts w:ascii="Abadi" w:hAnsi="Abadi" w:cs="*Calibri-7455-Identity-H"/>
          <w:color w:val="111113"/>
          <w:sz w:val="21"/>
          <w:szCs w:val="21"/>
        </w:rPr>
        <w:t xml:space="preserve"> </w:t>
      </w:r>
      <w:r w:rsidRPr="00710AC5">
        <w:rPr>
          <w:rFonts w:ascii="Abadi" w:hAnsi="Abadi" w:cs="*Calibri-7455-Identity-H"/>
          <w:color w:val="111113"/>
          <w:sz w:val="21"/>
          <w:szCs w:val="21"/>
        </w:rPr>
        <w:t>enviadas.</w:t>
      </w:r>
    </w:p>
    <w:p w14:paraId="0D93D1D9" w14:textId="77777777" w:rsidR="00E732AC" w:rsidRPr="00710AC5" w:rsidRDefault="00E732AC" w:rsidP="00E732AC">
      <w:pPr>
        <w:autoSpaceDE w:val="0"/>
        <w:autoSpaceDN w:val="0"/>
        <w:adjustRightInd w:val="0"/>
        <w:jc w:val="both"/>
        <w:rPr>
          <w:rFonts w:ascii="Abadi" w:hAnsi="Abadi" w:cs="*Calibri-7455-Identity-H"/>
          <w:color w:val="111113"/>
          <w:sz w:val="21"/>
          <w:szCs w:val="21"/>
        </w:rPr>
      </w:pPr>
    </w:p>
    <w:p w14:paraId="7AE61977" w14:textId="77777777" w:rsidR="00E732AC" w:rsidRDefault="00E732AC" w:rsidP="00E732AC">
      <w:pPr>
        <w:autoSpaceDE w:val="0"/>
        <w:autoSpaceDN w:val="0"/>
        <w:adjustRightInd w:val="0"/>
        <w:ind w:firstLine="708"/>
        <w:jc w:val="both"/>
        <w:rPr>
          <w:rFonts w:ascii="Abadi" w:hAnsi="Abadi" w:cs="*Calibri-7455-Identity-H"/>
          <w:color w:val="131314"/>
          <w:sz w:val="21"/>
          <w:szCs w:val="21"/>
        </w:rPr>
      </w:pPr>
      <w:r w:rsidRPr="00710AC5">
        <w:rPr>
          <w:rFonts w:ascii="Abadi" w:hAnsi="Abadi" w:cs="*Calibri-7455-Identity-H"/>
          <w:color w:val="131314"/>
          <w:sz w:val="21"/>
          <w:szCs w:val="21"/>
        </w:rPr>
        <w:t>Es importante resaltar que el análisis se llevó a cabo tanto de manera general,</w:t>
      </w:r>
      <w:r>
        <w:rPr>
          <w:rFonts w:ascii="Abadi" w:hAnsi="Abadi" w:cs="*Calibri-7455-Identity-H"/>
          <w:color w:val="131314"/>
          <w:sz w:val="21"/>
          <w:szCs w:val="21"/>
        </w:rPr>
        <w:t xml:space="preserve"> </w:t>
      </w:r>
      <w:r w:rsidRPr="00710AC5">
        <w:rPr>
          <w:rFonts w:ascii="Abadi" w:hAnsi="Abadi" w:cs="*Calibri-7455-Identity-H"/>
          <w:color w:val="131314"/>
          <w:sz w:val="21"/>
          <w:szCs w:val="21"/>
        </w:rPr>
        <w:t>como en lo particular de cada uno de los artículos contenidos en las Iniciativas, a la par</w:t>
      </w:r>
      <w:r>
        <w:rPr>
          <w:rFonts w:ascii="Abadi" w:hAnsi="Abadi" w:cs="*Calibri-7455-Identity-H"/>
          <w:color w:val="131314"/>
          <w:sz w:val="21"/>
          <w:szCs w:val="21"/>
        </w:rPr>
        <w:t xml:space="preserve"> </w:t>
      </w:r>
      <w:r w:rsidRPr="00710AC5">
        <w:rPr>
          <w:rFonts w:ascii="Abadi" w:hAnsi="Abadi" w:cs="*Calibri-7455-Identity-H"/>
          <w:color w:val="131314"/>
          <w:sz w:val="21"/>
          <w:szCs w:val="21"/>
        </w:rPr>
        <w:t>de las opiniones recibidas y las expuestas en dicha reunión.</w:t>
      </w:r>
      <w:r>
        <w:rPr>
          <w:rFonts w:ascii="Abadi" w:hAnsi="Abadi" w:cs="*Calibri-7455-Identity-H"/>
          <w:color w:val="131314"/>
          <w:sz w:val="21"/>
          <w:szCs w:val="21"/>
        </w:rPr>
        <w:t xml:space="preserve"> </w:t>
      </w:r>
    </w:p>
    <w:p w14:paraId="686BEDCD" w14:textId="77777777" w:rsidR="00E732AC" w:rsidRPr="00710AC5" w:rsidRDefault="00E732AC" w:rsidP="00E732AC">
      <w:pPr>
        <w:autoSpaceDE w:val="0"/>
        <w:autoSpaceDN w:val="0"/>
        <w:adjustRightInd w:val="0"/>
        <w:jc w:val="both"/>
        <w:rPr>
          <w:rFonts w:ascii="Abadi" w:hAnsi="Abadi" w:cs="*Calibri-7455-Identity-H"/>
          <w:color w:val="131314"/>
          <w:sz w:val="21"/>
          <w:szCs w:val="21"/>
        </w:rPr>
      </w:pPr>
    </w:p>
    <w:p w14:paraId="0F8ED02E" w14:textId="77777777" w:rsidR="00E732AC" w:rsidRPr="00710AC5" w:rsidRDefault="00E732AC" w:rsidP="00E732AC">
      <w:pPr>
        <w:autoSpaceDE w:val="0"/>
        <w:autoSpaceDN w:val="0"/>
        <w:adjustRightInd w:val="0"/>
        <w:ind w:firstLine="708"/>
        <w:jc w:val="both"/>
        <w:rPr>
          <w:rFonts w:ascii="Abadi" w:hAnsi="Abadi" w:cs="*Calibri-7455-Identity-H"/>
          <w:color w:val="111012"/>
          <w:sz w:val="21"/>
          <w:szCs w:val="21"/>
        </w:rPr>
      </w:pPr>
      <w:r w:rsidRPr="00710AC5">
        <w:rPr>
          <w:rFonts w:ascii="Abadi" w:hAnsi="Abadi" w:cs="*Calibri-7455-Identity-H"/>
          <w:color w:val="111012"/>
          <w:sz w:val="21"/>
          <w:szCs w:val="21"/>
        </w:rPr>
        <w:t>Al término de la reunión de análisis, la Comisión de Justicia acordó por</w:t>
      </w:r>
      <w:r>
        <w:rPr>
          <w:rFonts w:ascii="Abadi" w:hAnsi="Abadi" w:cs="*Calibri-7455-Identity-H"/>
          <w:color w:val="111012"/>
          <w:sz w:val="21"/>
          <w:szCs w:val="21"/>
        </w:rPr>
        <w:t xml:space="preserve"> </w:t>
      </w:r>
      <w:r w:rsidRPr="00710AC5">
        <w:rPr>
          <w:rFonts w:ascii="Abadi" w:hAnsi="Abadi" w:cs="*Calibri-7455-Identity-H"/>
          <w:color w:val="111012"/>
          <w:sz w:val="21"/>
          <w:szCs w:val="21"/>
        </w:rPr>
        <w:t>unanimidad de votos la elaboración de un dictamen en sentido positivo en los términos</w:t>
      </w:r>
      <w:r>
        <w:rPr>
          <w:rFonts w:ascii="Abadi" w:hAnsi="Abadi" w:cs="*Calibri-7455-Identity-H"/>
          <w:color w:val="111012"/>
          <w:sz w:val="21"/>
          <w:szCs w:val="21"/>
        </w:rPr>
        <w:t xml:space="preserve"> </w:t>
      </w:r>
      <w:r w:rsidRPr="00710AC5">
        <w:rPr>
          <w:rFonts w:ascii="Abadi" w:hAnsi="Abadi" w:cs="*Calibri-7455-Identity-H"/>
          <w:color w:val="111012"/>
          <w:sz w:val="21"/>
          <w:szCs w:val="21"/>
        </w:rPr>
        <w:t>de los planteamientos formulados por todos los que intervinieron con sus opiniones.</w:t>
      </w:r>
    </w:p>
    <w:p w14:paraId="74D52E1A" w14:textId="77777777" w:rsidR="00E732AC" w:rsidRDefault="00E732AC" w:rsidP="00E732AC">
      <w:pPr>
        <w:autoSpaceDE w:val="0"/>
        <w:autoSpaceDN w:val="0"/>
        <w:adjustRightInd w:val="0"/>
        <w:jc w:val="both"/>
        <w:rPr>
          <w:rFonts w:ascii="Abadi" w:hAnsi="Abadi" w:cs="*Verdana-Bold-7457-Identity-H"/>
          <w:b/>
          <w:bCs/>
          <w:color w:val="0C0C11"/>
          <w:sz w:val="21"/>
          <w:szCs w:val="21"/>
        </w:rPr>
      </w:pPr>
    </w:p>
    <w:p w14:paraId="3156A0E5" w14:textId="77777777" w:rsidR="00E732AC" w:rsidRDefault="00E732AC" w:rsidP="00E732AC">
      <w:pPr>
        <w:autoSpaceDE w:val="0"/>
        <w:autoSpaceDN w:val="0"/>
        <w:adjustRightInd w:val="0"/>
        <w:ind w:firstLine="708"/>
        <w:jc w:val="both"/>
        <w:rPr>
          <w:rFonts w:ascii="Abadi" w:hAnsi="Abadi" w:cs="*Verdana-Bold-7457-Identity-H"/>
          <w:b/>
          <w:bCs/>
          <w:color w:val="0C0C11"/>
          <w:sz w:val="21"/>
          <w:szCs w:val="21"/>
        </w:rPr>
      </w:pPr>
      <w:r w:rsidRPr="00710AC5">
        <w:rPr>
          <w:rFonts w:ascii="Abadi" w:hAnsi="Abadi" w:cs="*Verdana-Bold-7457-Identity-H"/>
          <w:b/>
          <w:bCs/>
          <w:color w:val="0C0C11"/>
          <w:sz w:val="21"/>
          <w:szCs w:val="21"/>
        </w:rPr>
        <w:t>IV. Consideraciones.</w:t>
      </w:r>
    </w:p>
    <w:p w14:paraId="636737FF" w14:textId="77777777" w:rsidR="00E732AC" w:rsidRPr="00710AC5" w:rsidRDefault="00E732AC" w:rsidP="00E732AC">
      <w:pPr>
        <w:autoSpaceDE w:val="0"/>
        <w:autoSpaceDN w:val="0"/>
        <w:adjustRightInd w:val="0"/>
        <w:jc w:val="both"/>
        <w:rPr>
          <w:rFonts w:ascii="Abadi" w:hAnsi="Abadi" w:cs="*Verdana-Bold-7457-Identity-H"/>
          <w:b/>
          <w:bCs/>
          <w:color w:val="0C0C11"/>
          <w:sz w:val="21"/>
          <w:szCs w:val="21"/>
        </w:rPr>
      </w:pPr>
    </w:p>
    <w:p w14:paraId="09DC246E" w14:textId="77777777" w:rsidR="00E732AC" w:rsidRDefault="00E732AC" w:rsidP="00E732AC">
      <w:pPr>
        <w:autoSpaceDE w:val="0"/>
        <w:autoSpaceDN w:val="0"/>
        <w:adjustRightInd w:val="0"/>
        <w:ind w:firstLine="708"/>
        <w:jc w:val="both"/>
        <w:rPr>
          <w:rFonts w:ascii="Abadi" w:hAnsi="Abadi" w:cs="*Verdana-Bold-7457-Identity-H"/>
          <w:b/>
          <w:bCs/>
          <w:color w:val="0E0E14"/>
          <w:sz w:val="21"/>
          <w:szCs w:val="21"/>
        </w:rPr>
      </w:pPr>
      <w:r w:rsidRPr="00710AC5">
        <w:rPr>
          <w:rFonts w:ascii="Abadi" w:hAnsi="Abadi" w:cs="*Verdana-Bold-7457-Identity-H"/>
          <w:b/>
          <w:bCs/>
          <w:color w:val="0E0E14"/>
          <w:sz w:val="21"/>
          <w:szCs w:val="21"/>
        </w:rPr>
        <w:t>IV.1. Consideraciones generales.</w:t>
      </w:r>
    </w:p>
    <w:p w14:paraId="5D6E4DED" w14:textId="77777777" w:rsidR="00E732AC" w:rsidRPr="00710AC5" w:rsidRDefault="00E732AC" w:rsidP="00E732AC">
      <w:pPr>
        <w:autoSpaceDE w:val="0"/>
        <w:autoSpaceDN w:val="0"/>
        <w:adjustRightInd w:val="0"/>
        <w:jc w:val="both"/>
        <w:rPr>
          <w:rFonts w:ascii="Abadi" w:hAnsi="Abadi" w:cs="*Verdana-Bold-7457-Identity-H"/>
          <w:b/>
          <w:bCs/>
          <w:color w:val="0E0E14"/>
          <w:sz w:val="21"/>
          <w:szCs w:val="21"/>
        </w:rPr>
      </w:pPr>
    </w:p>
    <w:p w14:paraId="6BB05F40" w14:textId="77777777" w:rsidR="00E732AC" w:rsidRPr="00710AC5" w:rsidRDefault="00E732AC" w:rsidP="00E732AC">
      <w:pPr>
        <w:autoSpaceDE w:val="0"/>
        <w:autoSpaceDN w:val="0"/>
        <w:adjustRightInd w:val="0"/>
        <w:ind w:firstLine="708"/>
        <w:jc w:val="both"/>
        <w:rPr>
          <w:rFonts w:ascii="Abadi" w:hAnsi="Abadi" w:cs="*Calibri-7455-Identity-H"/>
          <w:color w:val="111113"/>
          <w:sz w:val="21"/>
          <w:szCs w:val="21"/>
        </w:rPr>
      </w:pPr>
      <w:r w:rsidRPr="00710AC5">
        <w:rPr>
          <w:rFonts w:ascii="Abadi" w:hAnsi="Abadi" w:cs="*Calibri-7455-Identity-H"/>
          <w:color w:val="111113"/>
          <w:sz w:val="21"/>
          <w:szCs w:val="21"/>
        </w:rPr>
        <w:t>En el Estado de Guanajuato, el feminicidio ha tenido una constante evolución en</w:t>
      </w:r>
      <w:r>
        <w:rPr>
          <w:rFonts w:ascii="Abadi" w:hAnsi="Abadi" w:cs="*Calibri-7455-Identity-H"/>
          <w:color w:val="111113"/>
          <w:sz w:val="21"/>
          <w:szCs w:val="21"/>
        </w:rPr>
        <w:t xml:space="preserve"> </w:t>
      </w:r>
      <w:r w:rsidRPr="00710AC5">
        <w:rPr>
          <w:rFonts w:ascii="Abadi" w:hAnsi="Abadi" w:cs="*Calibri-7455-Identity-H"/>
          <w:color w:val="111113"/>
          <w:sz w:val="21"/>
          <w:szCs w:val="21"/>
        </w:rPr>
        <w:t>su perspectiva social, jurídica y legislativa, siempre en atención a las exigencias de la</w:t>
      </w:r>
      <w:r>
        <w:rPr>
          <w:rFonts w:ascii="Abadi" w:hAnsi="Abadi" w:cs="*Calibri-7455-Identity-H"/>
          <w:color w:val="111113"/>
          <w:sz w:val="21"/>
          <w:szCs w:val="21"/>
        </w:rPr>
        <w:t xml:space="preserve"> </w:t>
      </w:r>
      <w:r w:rsidRPr="00710AC5">
        <w:rPr>
          <w:rFonts w:ascii="Abadi" w:hAnsi="Abadi" w:cs="*Calibri-7455-Identity-H"/>
          <w:color w:val="111113"/>
          <w:sz w:val="21"/>
          <w:szCs w:val="21"/>
        </w:rPr>
        <w:t>sociedad para actualizar este tipo penal que atenta contra la vida de las mujeres.</w:t>
      </w:r>
    </w:p>
    <w:p w14:paraId="68431881" w14:textId="77777777" w:rsidR="00E732AC" w:rsidRPr="00710AC5" w:rsidRDefault="00E732AC" w:rsidP="00E732AC">
      <w:pPr>
        <w:jc w:val="both"/>
        <w:rPr>
          <w:rFonts w:ascii="Abadi" w:hAnsi="Abadi" w:cs="*Calibri-7455-Identity-H"/>
          <w:color w:val="111113"/>
          <w:sz w:val="21"/>
          <w:szCs w:val="21"/>
        </w:rPr>
      </w:pPr>
    </w:p>
    <w:p w14:paraId="710FE93F" w14:textId="77777777" w:rsidR="00E732AC" w:rsidRDefault="00E732AC" w:rsidP="00E732AC">
      <w:pPr>
        <w:autoSpaceDE w:val="0"/>
        <w:autoSpaceDN w:val="0"/>
        <w:adjustRightInd w:val="0"/>
        <w:ind w:firstLine="708"/>
        <w:jc w:val="both"/>
        <w:rPr>
          <w:rFonts w:ascii="Abadi" w:hAnsi="Abadi" w:cs="*Verdana-7520-Identity-H"/>
          <w:color w:val="111113"/>
          <w:sz w:val="21"/>
          <w:szCs w:val="21"/>
        </w:rPr>
      </w:pPr>
      <w:r w:rsidRPr="00710AC5">
        <w:rPr>
          <w:rFonts w:ascii="Abadi" w:hAnsi="Abadi" w:cs="*Verdana-7520-Identity-H"/>
          <w:color w:val="111113"/>
          <w:sz w:val="21"/>
          <w:szCs w:val="21"/>
        </w:rPr>
        <w:t>Las diversas reformas que ha sufrido el tipo penal de feminicidio dan muestras</w:t>
      </w:r>
      <w:r>
        <w:rPr>
          <w:rFonts w:ascii="Abadi" w:hAnsi="Abadi" w:cs="*Verdana-7520-Identity-H"/>
          <w:color w:val="111113"/>
          <w:sz w:val="21"/>
          <w:szCs w:val="21"/>
        </w:rPr>
        <w:t xml:space="preserve"> </w:t>
      </w:r>
      <w:r w:rsidRPr="00710AC5">
        <w:rPr>
          <w:rFonts w:ascii="Abadi" w:hAnsi="Abadi" w:cs="*Verdana-7520-Identity-H"/>
          <w:color w:val="111113"/>
          <w:sz w:val="21"/>
          <w:szCs w:val="21"/>
        </w:rPr>
        <w:t>de la respuesta de los legisladores para lograr permanentemente esa actualización, por</w:t>
      </w:r>
      <w:r>
        <w:rPr>
          <w:rFonts w:ascii="Abadi" w:hAnsi="Abadi" w:cs="*Verdana-7520-Identity-H"/>
          <w:color w:val="111113"/>
          <w:sz w:val="21"/>
          <w:szCs w:val="21"/>
        </w:rPr>
        <w:t xml:space="preserve"> </w:t>
      </w:r>
      <w:r w:rsidRPr="00710AC5">
        <w:rPr>
          <w:rFonts w:ascii="Abadi" w:hAnsi="Abadi" w:cs="*Verdana-7520-Identity-H"/>
          <w:color w:val="111113"/>
          <w:sz w:val="21"/>
          <w:szCs w:val="21"/>
        </w:rPr>
        <w:t>ello es importante relatar dichas modificaciones, como se ha venido haciendo con cada</w:t>
      </w:r>
      <w:r>
        <w:rPr>
          <w:rFonts w:ascii="Abadi" w:hAnsi="Abadi" w:cs="*Verdana-7520-Identity-H"/>
          <w:color w:val="111113"/>
          <w:sz w:val="21"/>
          <w:szCs w:val="21"/>
        </w:rPr>
        <w:t xml:space="preserve"> </w:t>
      </w:r>
      <w:r w:rsidRPr="00710AC5">
        <w:rPr>
          <w:rFonts w:ascii="Abadi" w:hAnsi="Abadi" w:cs="*Verdana-7520-Identity-H"/>
          <w:color w:val="111113"/>
          <w:sz w:val="21"/>
          <w:szCs w:val="21"/>
        </w:rPr>
        <w:t>una de las modificaciones desde el momento en que se incorporó el fem</w:t>
      </w:r>
      <w:r>
        <w:rPr>
          <w:rFonts w:ascii="Abadi" w:hAnsi="Abadi" w:cs="*Verdana-7520-Identity-H"/>
          <w:color w:val="111113"/>
          <w:sz w:val="21"/>
          <w:szCs w:val="21"/>
        </w:rPr>
        <w:t>i</w:t>
      </w:r>
      <w:r w:rsidRPr="00710AC5">
        <w:rPr>
          <w:rFonts w:ascii="Abadi" w:hAnsi="Abadi" w:cs="*Verdana-7520-Identity-H"/>
          <w:color w:val="111113"/>
          <w:sz w:val="21"/>
          <w:szCs w:val="21"/>
        </w:rPr>
        <w:t>nicidio como</w:t>
      </w:r>
      <w:r>
        <w:rPr>
          <w:rFonts w:ascii="Abadi" w:hAnsi="Abadi" w:cs="*Verdana-7520-Identity-H"/>
          <w:color w:val="111113"/>
          <w:sz w:val="21"/>
          <w:szCs w:val="21"/>
        </w:rPr>
        <w:t xml:space="preserve"> </w:t>
      </w:r>
      <w:r w:rsidRPr="00710AC5">
        <w:rPr>
          <w:rFonts w:ascii="Abadi" w:hAnsi="Abadi" w:cs="*Verdana-7520-Identity-H"/>
          <w:color w:val="111113"/>
          <w:sz w:val="21"/>
          <w:szCs w:val="21"/>
        </w:rPr>
        <w:t>tipo penal. Las propuestas presentadas en su momento y la determinación del Congreso</w:t>
      </w:r>
      <w:r>
        <w:rPr>
          <w:rFonts w:ascii="Abadi" w:hAnsi="Abadi" w:cs="*Verdana-7520-Identity-H"/>
          <w:color w:val="111113"/>
          <w:sz w:val="21"/>
          <w:szCs w:val="21"/>
        </w:rPr>
        <w:t xml:space="preserve"> </w:t>
      </w:r>
      <w:r w:rsidRPr="00710AC5">
        <w:rPr>
          <w:rFonts w:ascii="Abadi" w:hAnsi="Abadi" w:cs="*Verdana-7520-Identity-H"/>
          <w:color w:val="111113"/>
          <w:sz w:val="21"/>
          <w:szCs w:val="21"/>
        </w:rPr>
        <w:t>del Estado con cada una de ellas, nos acerca al entendimiento del contenido normativo</w:t>
      </w:r>
      <w:r>
        <w:rPr>
          <w:rFonts w:ascii="Abadi" w:hAnsi="Abadi" w:cs="*Verdana-7520-Identity-H"/>
          <w:color w:val="111113"/>
          <w:sz w:val="21"/>
          <w:szCs w:val="21"/>
        </w:rPr>
        <w:t xml:space="preserve"> </w:t>
      </w:r>
      <w:r w:rsidRPr="00710AC5">
        <w:rPr>
          <w:rFonts w:ascii="Abadi" w:hAnsi="Abadi" w:cs="*Verdana-7520-Identity-H"/>
          <w:color w:val="111113"/>
          <w:sz w:val="21"/>
          <w:szCs w:val="21"/>
        </w:rPr>
        <w:t>vigente, de acuerdo a lo que se relata enseguida.</w:t>
      </w:r>
    </w:p>
    <w:p w14:paraId="0A7414AB" w14:textId="77777777" w:rsidR="00E732AC" w:rsidRPr="00710AC5" w:rsidRDefault="00E732AC" w:rsidP="00E732AC">
      <w:pPr>
        <w:autoSpaceDE w:val="0"/>
        <w:autoSpaceDN w:val="0"/>
        <w:adjustRightInd w:val="0"/>
        <w:jc w:val="both"/>
        <w:rPr>
          <w:rFonts w:ascii="Abadi" w:hAnsi="Abadi" w:cs="*Verdana-7520-Identity-H"/>
          <w:color w:val="111113"/>
          <w:sz w:val="21"/>
          <w:szCs w:val="21"/>
        </w:rPr>
      </w:pPr>
      <w:r>
        <w:rPr>
          <w:rFonts w:ascii="Abadi" w:hAnsi="Abadi" w:cs="*Verdana-7520-Identity-H"/>
          <w:color w:val="111113"/>
          <w:sz w:val="21"/>
          <w:szCs w:val="21"/>
        </w:rPr>
        <w:tab/>
      </w:r>
    </w:p>
    <w:p w14:paraId="2249A47D" w14:textId="77777777" w:rsidR="00E732AC" w:rsidRDefault="00E732AC" w:rsidP="00E732AC">
      <w:pPr>
        <w:autoSpaceDE w:val="0"/>
        <w:autoSpaceDN w:val="0"/>
        <w:adjustRightInd w:val="0"/>
        <w:ind w:firstLine="708"/>
        <w:jc w:val="both"/>
        <w:rPr>
          <w:rFonts w:ascii="Abadi" w:hAnsi="Abadi" w:cs="*Verdana-7520-Identity-H"/>
          <w:color w:val="101011"/>
          <w:sz w:val="21"/>
          <w:szCs w:val="21"/>
        </w:rPr>
      </w:pPr>
      <w:r w:rsidRPr="00710AC5">
        <w:rPr>
          <w:rFonts w:ascii="Abadi" w:hAnsi="Abadi" w:cs="*Verdana-7520-Identity-H"/>
          <w:color w:val="101011"/>
          <w:sz w:val="21"/>
          <w:szCs w:val="21"/>
        </w:rPr>
        <w:t>A partir de la reforma al Código Penal del Estado de Guanajuato publicada en el</w:t>
      </w:r>
      <w:r>
        <w:rPr>
          <w:rFonts w:ascii="Abadi" w:hAnsi="Abadi" w:cs="*Verdana-7520-Identity-H"/>
          <w:color w:val="101011"/>
          <w:sz w:val="21"/>
          <w:szCs w:val="21"/>
        </w:rPr>
        <w:t xml:space="preserve"> </w:t>
      </w:r>
      <w:r w:rsidRPr="00710AC5">
        <w:rPr>
          <w:rFonts w:ascii="Abadi" w:hAnsi="Abadi" w:cs="*Verdana-7520-Identity-H"/>
          <w:color w:val="101011"/>
          <w:sz w:val="21"/>
          <w:szCs w:val="21"/>
        </w:rPr>
        <w:t>Periódico Oficial del Gobierno del Estado, número 88, Quinta Parte, de fecha 3 de junio</w:t>
      </w:r>
      <w:r>
        <w:rPr>
          <w:rFonts w:ascii="Abadi" w:hAnsi="Abadi" w:cs="*Verdana-7520-Identity-H"/>
          <w:color w:val="101011"/>
          <w:sz w:val="21"/>
          <w:szCs w:val="21"/>
        </w:rPr>
        <w:t xml:space="preserve"> </w:t>
      </w:r>
      <w:r w:rsidRPr="00710AC5">
        <w:rPr>
          <w:rFonts w:ascii="Abadi" w:hAnsi="Abadi" w:cs="*Verdana-7520-Identity-H"/>
          <w:color w:val="101011"/>
          <w:sz w:val="21"/>
          <w:szCs w:val="21"/>
        </w:rPr>
        <w:t>de 2011, emitida bajo el contexto de la implementación de la reforma Integral en materia</w:t>
      </w:r>
      <w:r>
        <w:rPr>
          <w:rFonts w:ascii="Abadi" w:hAnsi="Abadi" w:cs="*Verdana-7520-Identity-H"/>
          <w:color w:val="101011"/>
          <w:sz w:val="21"/>
          <w:szCs w:val="21"/>
        </w:rPr>
        <w:t xml:space="preserve"> </w:t>
      </w:r>
      <w:r w:rsidRPr="00710AC5">
        <w:rPr>
          <w:rFonts w:ascii="Abadi" w:hAnsi="Abadi" w:cs="*Verdana-7520-Identity-H"/>
          <w:color w:val="101011"/>
          <w:sz w:val="21"/>
          <w:szCs w:val="21"/>
        </w:rPr>
        <w:t>de justicia penal y seguridad pública en el Estado, se incorporó en nuestra entidad, el</w:t>
      </w:r>
      <w:r>
        <w:rPr>
          <w:rFonts w:ascii="Abadi" w:hAnsi="Abadi" w:cs="*Verdana-7520-Identity-H"/>
          <w:color w:val="101011"/>
          <w:sz w:val="21"/>
          <w:szCs w:val="21"/>
        </w:rPr>
        <w:t xml:space="preserve"> </w:t>
      </w:r>
      <w:r w:rsidRPr="00710AC5">
        <w:rPr>
          <w:rFonts w:ascii="Abadi" w:hAnsi="Abadi" w:cs="*Verdana-7520-Identity-H"/>
          <w:color w:val="101011"/>
          <w:sz w:val="21"/>
          <w:szCs w:val="21"/>
        </w:rPr>
        <w:t>feminicidio como delito.</w:t>
      </w:r>
    </w:p>
    <w:p w14:paraId="7E380402" w14:textId="77777777" w:rsidR="00E732AC" w:rsidRPr="00710AC5" w:rsidRDefault="00E732AC" w:rsidP="00E732AC">
      <w:pPr>
        <w:autoSpaceDE w:val="0"/>
        <w:autoSpaceDN w:val="0"/>
        <w:adjustRightInd w:val="0"/>
        <w:jc w:val="both"/>
        <w:rPr>
          <w:rFonts w:ascii="Abadi" w:hAnsi="Abadi" w:cs="*Verdana-7520-Identity-H"/>
          <w:color w:val="101011"/>
          <w:sz w:val="21"/>
          <w:szCs w:val="21"/>
        </w:rPr>
      </w:pPr>
    </w:p>
    <w:p w14:paraId="45FEAE32" w14:textId="77777777" w:rsidR="00E732AC" w:rsidRDefault="00E732AC" w:rsidP="00E732AC">
      <w:pPr>
        <w:autoSpaceDE w:val="0"/>
        <w:autoSpaceDN w:val="0"/>
        <w:adjustRightInd w:val="0"/>
        <w:ind w:firstLine="708"/>
        <w:jc w:val="both"/>
        <w:rPr>
          <w:rFonts w:ascii="Abadi" w:hAnsi="Abadi" w:cs="*Verdana-7520-Identity-H"/>
          <w:color w:val="121113"/>
          <w:sz w:val="21"/>
          <w:szCs w:val="21"/>
        </w:rPr>
      </w:pPr>
      <w:r w:rsidRPr="00710AC5">
        <w:rPr>
          <w:rFonts w:ascii="Abadi" w:hAnsi="Abadi" w:cs="*Verdana-7520-Identity-H"/>
          <w:color w:val="121113"/>
          <w:sz w:val="21"/>
          <w:szCs w:val="21"/>
        </w:rPr>
        <w:t>Con ello, se logró un mayor alcance y protección al derecho de vivir libres de</w:t>
      </w:r>
      <w:r>
        <w:rPr>
          <w:rFonts w:ascii="Abadi" w:hAnsi="Abadi" w:cs="*Verdana-7520-Identity-H"/>
          <w:color w:val="121113"/>
          <w:sz w:val="21"/>
          <w:szCs w:val="21"/>
        </w:rPr>
        <w:t xml:space="preserve"> </w:t>
      </w:r>
      <w:r w:rsidRPr="00710AC5">
        <w:rPr>
          <w:rFonts w:ascii="Abadi" w:hAnsi="Abadi" w:cs="*Verdana-7520-Identity-H"/>
          <w:color w:val="121113"/>
          <w:sz w:val="21"/>
          <w:szCs w:val="21"/>
        </w:rPr>
        <w:t>cualquier tipo de violencia, del abuso de poder, de la discriminación y de la intimidación</w:t>
      </w:r>
      <w:r>
        <w:rPr>
          <w:rFonts w:ascii="Abadi" w:hAnsi="Abadi" w:cs="*Verdana-7520-Identity-H"/>
          <w:color w:val="121113"/>
          <w:sz w:val="21"/>
          <w:szCs w:val="21"/>
        </w:rPr>
        <w:t xml:space="preserve"> </w:t>
      </w:r>
      <w:r w:rsidRPr="00710AC5">
        <w:rPr>
          <w:rFonts w:ascii="Abadi" w:hAnsi="Abadi" w:cs="*Verdana-7520-Identity-H"/>
          <w:color w:val="121113"/>
          <w:sz w:val="21"/>
          <w:szCs w:val="21"/>
        </w:rPr>
        <w:t>hacia las mujeres; adición en la que se tuvo como marco referencial al derecho</w:t>
      </w:r>
      <w:r>
        <w:rPr>
          <w:rFonts w:ascii="Abadi" w:hAnsi="Abadi" w:cs="*Verdana-7520-Identity-H"/>
          <w:color w:val="121113"/>
          <w:sz w:val="21"/>
          <w:szCs w:val="21"/>
        </w:rPr>
        <w:t xml:space="preserve"> </w:t>
      </w:r>
      <w:r w:rsidRPr="00710AC5">
        <w:rPr>
          <w:rFonts w:ascii="Abadi" w:hAnsi="Abadi" w:cs="*Verdana-7520-Identity-H"/>
          <w:color w:val="121113"/>
          <w:sz w:val="21"/>
          <w:szCs w:val="21"/>
        </w:rPr>
        <w:t>internacional vinculado con los derechos humanos, específicamente de las mujeres,</w:t>
      </w:r>
      <w:r>
        <w:rPr>
          <w:rFonts w:ascii="Abadi" w:hAnsi="Abadi" w:cs="*Verdana-7520-Identity-H"/>
          <w:color w:val="121113"/>
          <w:sz w:val="21"/>
          <w:szCs w:val="21"/>
        </w:rPr>
        <w:t xml:space="preserve"> </w:t>
      </w:r>
      <w:r w:rsidRPr="00710AC5">
        <w:rPr>
          <w:rFonts w:ascii="Abadi" w:hAnsi="Abadi" w:cs="*Verdana-7520-Identity-H"/>
          <w:color w:val="121113"/>
          <w:sz w:val="21"/>
          <w:szCs w:val="21"/>
        </w:rPr>
        <w:t>como el pronunciamiento de la Convención Interamericana para Prevenir, Sancionar y</w:t>
      </w:r>
      <w:r>
        <w:rPr>
          <w:rFonts w:ascii="Abadi" w:hAnsi="Abadi" w:cs="*Verdana-7520-Identity-H"/>
          <w:color w:val="121113"/>
          <w:sz w:val="21"/>
          <w:szCs w:val="21"/>
        </w:rPr>
        <w:t xml:space="preserve"> </w:t>
      </w:r>
      <w:r w:rsidRPr="00710AC5">
        <w:rPr>
          <w:rFonts w:ascii="Abadi" w:hAnsi="Abadi" w:cs="*Verdana-7520-Identity-H"/>
          <w:color w:val="121113"/>
          <w:sz w:val="21"/>
          <w:szCs w:val="21"/>
        </w:rPr>
        <w:t>Erradicar la Violencia contra la Mujer o «Convención de Belém do Pará».</w:t>
      </w:r>
    </w:p>
    <w:p w14:paraId="461B34F2" w14:textId="77777777" w:rsidR="00E732AC" w:rsidRDefault="00E732AC" w:rsidP="00E732AC">
      <w:pPr>
        <w:autoSpaceDE w:val="0"/>
        <w:autoSpaceDN w:val="0"/>
        <w:adjustRightInd w:val="0"/>
        <w:ind w:firstLine="708"/>
        <w:jc w:val="both"/>
        <w:rPr>
          <w:rFonts w:ascii="Abadi" w:hAnsi="Abadi" w:cs="*Verdana-7420-Identity-H"/>
          <w:color w:val="121214"/>
          <w:sz w:val="21"/>
          <w:szCs w:val="21"/>
        </w:rPr>
      </w:pPr>
      <w:r w:rsidRPr="00710AC5">
        <w:rPr>
          <w:rFonts w:ascii="Abadi" w:hAnsi="Abadi" w:cs="*Verdana-7520-Identity-H"/>
          <w:color w:val="111113"/>
          <w:sz w:val="21"/>
          <w:szCs w:val="21"/>
        </w:rPr>
        <w:t>A dos años de la tipificación del feminicidio, en el año 2013, el Congreso del</w:t>
      </w:r>
      <w:r>
        <w:rPr>
          <w:rFonts w:ascii="Abadi" w:hAnsi="Abadi" w:cs="*Verdana-7520-Identity-H"/>
          <w:color w:val="111113"/>
          <w:sz w:val="21"/>
          <w:szCs w:val="21"/>
        </w:rPr>
        <w:t xml:space="preserve"> </w:t>
      </w:r>
      <w:r w:rsidRPr="00710AC5">
        <w:rPr>
          <w:rFonts w:ascii="Abadi" w:hAnsi="Abadi" w:cs="*Verdana-7520-Identity-H"/>
          <w:color w:val="111113"/>
          <w:sz w:val="21"/>
          <w:szCs w:val="21"/>
        </w:rPr>
        <w:t>Estado de Guanajuato, enfrentó la necesidad de llevar a cabo la modificación de este</w:t>
      </w:r>
      <w:r>
        <w:rPr>
          <w:rFonts w:ascii="Abadi" w:hAnsi="Abadi" w:cs="*Verdana-7520-Identity-H"/>
          <w:color w:val="111113"/>
          <w:sz w:val="21"/>
          <w:szCs w:val="21"/>
        </w:rPr>
        <w:t xml:space="preserve"> </w:t>
      </w:r>
      <w:r w:rsidRPr="00710AC5">
        <w:rPr>
          <w:rFonts w:ascii="Abadi" w:hAnsi="Abadi" w:cs="*Verdana-7520-Identity-H"/>
          <w:color w:val="111113"/>
          <w:sz w:val="21"/>
          <w:szCs w:val="21"/>
        </w:rPr>
        <w:t xml:space="preserve">dispositivo </w:t>
      </w:r>
      <w:r w:rsidRPr="00710AC5">
        <w:rPr>
          <w:rFonts w:ascii="Abadi" w:hAnsi="Abadi" w:cs="*Verdana-7520-Identity-H"/>
          <w:color w:val="505050"/>
          <w:sz w:val="21"/>
          <w:szCs w:val="21"/>
        </w:rPr>
        <w:t>-</w:t>
      </w:r>
      <w:r w:rsidRPr="00710AC5">
        <w:rPr>
          <w:rFonts w:ascii="Abadi" w:hAnsi="Abadi" w:cs="*Verdana-7520-Identity-H"/>
          <w:color w:val="111113"/>
          <w:sz w:val="21"/>
          <w:szCs w:val="21"/>
        </w:rPr>
        <w:t>reforma publicada en el Periódico Oficial del Gobierno del Estado del 11 de</w:t>
      </w:r>
      <w:r>
        <w:rPr>
          <w:rFonts w:ascii="Abadi" w:hAnsi="Abadi" w:cs="*Verdana-7520-Identity-H"/>
          <w:color w:val="111113"/>
          <w:sz w:val="21"/>
          <w:szCs w:val="21"/>
        </w:rPr>
        <w:t xml:space="preserve"> </w:t>
      </w:r>
      <w:r w:rsidRPr="00710AC5">
        <w:rPr>
          <w:rFonts w:ascii="Abadi" w:hAnsi="Abadi" w:cs="*Verdana-7520-Identity-H"/>
          <w:color w:val="111113"/>
          <w:sz w:val="21"/>
          <w:szCs w:val="21"/>
        </w:rPr>
        <w:t>junio de 2013-, al reconocer que la principal causa para la realización y materialización</w:t>
      </w:r>
      <w:r>
        <w:rPr>
          <w:rFonts w:ascii="Abadi" w:hAnsi="Abadi" w:cs="*Verdana-7520-Identity-H"/>
          <w:color w:val="111113"/>
          <w:sz w:val="21"/>
          <w:szCs w:val="21"/>
        </w:rPr>
        <w:t xml:space="preserve"> </w:t>
      </w:r>
      <w:r w:rsidRPr="00710AC5">
        <w:rPr>
          <w:rFonts w:ascii="Abadi" w:hAnsi="Abadi" w:cs="*Verdana-7520-Identity-H"/>
          <w:color w:val="111113"/>
          <w:sz w:val="21"/>
          <w:szCs w:val="21"/>
        </w:rPr>
        <w:t>del mismo, lo constituían situaciones relacionadas con razones de género. De esta forma,</w:t>
      </w:r>
      <w:r>
        <w:rPr>
          <w:rFonts w:ascii="Abadi" w:hAnsi="Abadi" w:cs="*Verdana-7520-Identity-H"/>
          <w:color w:val="111113"/>
          <w:sz w:val="21"/>
          <w:szCs w:val="21"/>
        </w:rPr>
        <w:t xml:space="preserve"> </w:t>
      </w:r>
      <w:r w:rsidRPr="00710AC5">
        <w:rPr>
          <w:rFonts w:ascii="Abadi" w:hAnsi="Abadi" w:cs="*Verdana-7520-Identity-H"/>
          <w:color w:val="111113"/>
          <w:sz w:val="21"/>
          <w:szCs w:val="21"/>
        </w:rPr>
        <w:t>se incorporó como parte esencial para la definición del tipo penal de feminicidio, un</w:t>
      </w:r>
      <w:r>
        <w:rPr>
          <w:rFonts w:ascii="Abadi" w:hAnsi="Abadi" w:cs="*Verdana-7520-Identity-H"/>
          <w:color w:val="111113"/>
          <w:sz w:val="21"/>
          <w:szCs w:val="21"/>
        </w:rPr>
        <w:t xml:space="preserve"> </w:t>
      </w:r>
      <w:r w:rsidRPr="00710AC5">
        <w:rPr>
          <w:rFonts w:ascii="Abadi" w:hAnsi="Abadi" w:cs="*Verdana-7520-Identity-H"/>
          <w:color w:val="111113"/>
          <w:sz w:val="21"/>
          <w:szCs w:val="21"/>
        </w:rPr>
        <w:t xml:space="preserve">elemento importante que consiste precisamente en las </w:t>
      </w:r>
      <w:r w:rsidRPr="00710AC5">
        <w:rPr>
          <w:rFonts w:ascii="Abadi" w:hAnsi="Abadi" w:cs="*Verdana-Italic-7521-Identity-H"/>
          <w:i/>
          <w:iCs/>
          <w:color w:val="111113"/>
          <w:sz w:val="21"/>
          <w:szCs w:val="21"/>
        </w:rPr>
        <w:t xml:space="preserve">razones de género, </w:t>
      </w:r>
      <w:r w:rsidRPr="00710AC5">
        <w:rPr>
          <w:rFonts w:ascii="Abadi" w:hAnsi="Abadi" w:cs="*Verdana-7520-Identity-H"/>
          <w:color w:val="111113"/>
          <w:sz w:val="21"/>
          <w:szCs w:val="21"/>
        </w:rPr>
        <w:t>las que</w:t>
      </w:r>
      <w:r>
        <w:rPr>
          <w:rFonts w:ascii="Abadi" w:hAnsi="Abadi" w:cs="*Verdana-7520-Identity-H"/>
          <w:color w:val="111113"/>
          <w:sz w:val="21"/>
          <w:szCs w:val="21"/>
        </w:rPr>
        <w:t xml:space="preserve"> </w:t>
      </w:r>
      <w:r w:rsidRPr="00710AC5">
        <w:rPr>
          <w:rFonts w:ascii="Abadi" w:hAnsi="Abadi" w:cs="*Verdana-7520-Identity-H"/>
          <w:color w:val="111113"/>
          <w:sz w:val="21"/>
          <w:szCs w:val="21"/>
        </w:rPr>
        <w:t>caracterizan este ilícito, como son las manifestaciones de odio, de misoginia, de</w:t>
      </w:r>
      <w:r>
        <w:rPr>
          <w:rFonts w:ascii="Abadi" w:hAnsi="Abadi" w:cs="*Verdana-7520-Identity-H"/>
          <w:color w:val="111113"/>
          <w:sz w:val="21"/>
          <w:szCs w:val="21"/>
        </w:rPr>
        <w:t xml:space="preserve"> </w:t>
      </w:r>
      <w:r w:rsidRPr="00710AC5">
        <w:rPr>
          <w:rFonts w:ascii="Abadi" w:hAnsi="Abadi" w:cs="*Verdana-7520-Identity-H"/>
          <w:color w:val="111113"/>
          <w:sz w:val="21"/>
          <w:szCs w:val="21"/>
        </w:rPr>
        <w:t>desprecio y de crueldad hacia la mujer, que se patentizan por los métodos utilizados</w:t>
      </w:r>
      <w:r>
        <w:rPr>
          <w:rFonts w:ascii="Abadi" w:hAnsi="Abadi" w:cs="*Verdana-7520-Identity-H"/>
          <w:color w:val="111113"/>
          <w:sz w:val="21"/>
          <w:szCs w:val="21"/>
        </w:rPr>
        <w:t xml:space="preserve"> </w:t>
      </w:r>
      <w:r w:rsidRPr="00710AC5">
        <w:rPr>
          <w:rFonts w:ascii="Abadi" w:hAnsi="Abadi" w:cs="*Verdana-7520-Identity-H"/>
          <w:color w:val="111113"/>
          <w:sz w:val="21"/>
          <w:szCs w:val="21"/>
        </w:rPr>
        <w:t>para privarlas de la vida. De esta forma, se recogieron conductas que pueden cometerse</w:t>
      </w:r>
      <w:r>
        <w:rPr>
          <w:rFonts w:ascii="Abadi" w:hAnsi="Abadi" w:cs="*Verdana-7520-Identity-H"/>
          <w:color w:val="111113"/>
          <w:sz w:val="21"/>
          <w:szCs w:val="21"/>
        </w:rPr>
        <w:t xml:space="preserve"> sobre</w:t>
      </w:r>
      <w:r w:rsidRPr="00710AC5">
        <w:rPr>
          <w:rFonts w:ascii="Abadi" w:hAnsi="Abadi" w:cs="*Verdana-7420-Identity-H"/>
          <w:color w:val="121214"/>
          <w:sz w:val="21"/>
          <w:szCs w:val="21"/>
        </w:rPr>
        <w:t xml:space="preserve"> la mujer, incluso después de privarla de la vida, que se estimaron con la suficiente</w:t>
      </w:r>
      <w:r>
        <w:rPr>
          <w:rFonts w:ascii="Abadi" w:hAnsi="Abadi" w:cs="*Verdana-7420-Identity-H"/>
          <w:color w:val="121214"/>
          <w:sz w:val="21"/>
          <w:szCs w:val="21"/>
        </w:rPr>
        <w:t xml:space="preserve"> </w:t>
      </w:r>
      <w:r w:rsidRPr="00710AC5">
        <w:rPr>
          <w:rFonts w:ascii="Abadi" w:hAnsi="Abadi" w:cs="*Verdana-7420-Identity-H"/>
          <w:color w:val="121214"/>
          <w:sz w:val="21"/>
          <w:szCs w:val="21"/>
        </w:rPr>
        <w:t>antisocialidad como para estar Incluidas en este tipo penal por su alta calificación.</w:t>
      </w:r>
      <w:r>
        <w:rPr>
          <w:rFonts w:ascii="Abadi" w:hAnsi="Abadi" w:cs="*Verdana-7420-Identity-H"/>
          <w:color w:val="121214"/>
          <w:sz w:val="21"/>
          <w:szCs w:val="21"/>
        </w:rPr>
        <w:t xml:space="preserve"> </w:t>
      </w:r>
    </w:p>
    <w:p w14:paraId="1CCB0773" w14:textId="77777777" w:rsidR="00E732AC" w:rsidRDefault="00E732AC" w:rsidP="00E732AC">
      <w:pPr>
        <w:autoSpaceDE w:val="0"/>
        <w:autoSpaceDN w:val="0"/>
        <w:adjustRightInd w:val="0"/>
        <w:jc w:val="both"/>
        <w:rPr>
          <w:rFonts w:ascii="Abadi" w:hAnsi="Abadi" w:cs="*Verdana-7420-Identity-H"/>
          <w:color w:val="121214"/>
          <w:sz w:val="21"/>
          <w:szCs w:val="21"/>
        </w:rPr>
      </w:pPr>
    </w:p>
    <w:p w14:paraId="33E990F5" w14:textId="77777777" w:rsidR="00E732AC" w:rsidRDefault="00E732AC" w:rsidP="00E732AC">
      <w:pPr>
        <w:autoSpaceDE w:val="0"/>
        <w:autoSpaceDN w:val="0"/>
        <w:adjustRightInd w:val="0"/>
        <w:ind w:firstLine="708"/>
        <w:jc w:val="both"/>
        <w:rPr>
          <w:rFonts w:ascii="Abadi" w:hAnsi="Abadi" w:cs="*Calibri-Italic-7418-Identity-H"/>
          <w:i/>
          <w:iCs/>
          <w:color w:val="121113"/>
          <w:sz w:val="21"/>
          <w:szCs w:val="21"/>
        </w:rPr>
      </w:pPr>
      <w:r w:rsidRPr="00710AC5">
        <w:rPr>
          <w:rFonts w:ascii="Abadi" w:hAnsi="Abadi" w:cs="*Verdana-7420-Identity-H"/>
          <w:color w:val="121113"/>
          <w:sz w:val="21"/>
          <w:szCs w:val="21"/>
        </w:rPr>
        <w:t>Se consideró para ello, la sentencia emitida por la Corte Interamericana de</w:t>
      </w:r>
      <w:r>
        <w:rPr>
          <w:rFonts w:ascii="Abadi" w:hAnsi="Abadi" w:cs="*Verdana-7420-Identity-H"/>
          <w:color w:val="121113"/>
          <w:sz w:val="21"/>
          <w:szCs w:val="21"/>
        </w:rPr>
        <w:t xml:space="preserve"> </w:t>
      </w:r>
      <w:r w:rsidRPr="00710AC5">
        <w:rPr>
          <w:rFonts w:ascii="Abadi" w:hAnsi="Abadi" w:cs="*Verdana-7420-Identity-H"/>
          <w:color w:val="121113"/>
          <w:sz w:val="21"/>
          <w:szCs w:val="21"/>
        </w:rPr>
        <w:t>Derechos Humanos el 16 de noviembre del año 2009 en el caso González y otras,</w:t>
      </w:r>
      <w:r>
        <w:rPr>
          <w:rFonts w:ascii="Abadi" w:hAnsi="Abadi" w:cs="*Verdana-7420-Identity-H"/>
          <w:color w:val="121113"/>
          <w:sz w:val="21"/>
          <w:szCs w:val="21"/>
        </w:rPr>
        <w:t xml:space="preserve"> </w:t>
      </w:r>
      <w:r w:rsidRPr="00710AC5">
        <w:rPr>
          <w:rFonts w:ascii="Abadi" w:hAnsi="Abadi" w:cs="*Verdana-7420-Identity-H"/>
          <w:color w:val="121113"/>
          <w:sz w:val="21"/>
          <w:szCs w:val="21"/>
        </w:rPr>
        <w:t xml:space="preserve">conocido como </w:t>
      </w:r>
      <w:r w:rsidRPr="00710AC5">
        <w:rPr>
          <w:rFonts w:ascii="Abadi" w:hAnsi="Abadi" w:cs="*Calibri-Italic-7418-Identity-H"/>
          <w:i/>
          <w:iCs/>
          <w:color w:val="121113"/>
          <w:sz w:val="21"/>
          <w:szCs w:val="21"/>
        </w:rPr>
        <w:t xml:space="preserve">Campo Algodonero, </w:t>
      </w:r>
      <w:r w:rsidRPr="00710AC5">
        <w:rPr>
          <w:rFonts w:ascii="Abadi" w:hAnsi="Abadi" w:cs="*Verdana-7420-Identity-H"/>
          <w:color w:val="121113"/>
          <w:sz w:val="21"/>
          <w:szCs w:val="21"/>
        </w:rPr>
        <w:t xml:space="preserve">definiendo el feminicidio como el </w:t>
      </w:r>
      <w:r w:rsidRPr="00710AC5">
        <w:rPr>
          <w:rFonts w:ascii="Abadi" w:hAnsi="Abadi" w:cs="*Calibri-Italic-7418-Identity-H"/>
          <w:i/>
          <w:iCs/>
          <w:color w:val="121113"/>
          <w:sz w:val="21"/>
          <w:szCs w:val="21"/>
        </w:rPr>
        <w:t>homicidio de</w:t>
      </w:r>
      <w:r>
        <w:rPr>
          <w:rFonts w:ascii="Abadi" w:hAnsi="Abadi" w:cs="*Calibri-Italic-7418-Identity-H"/>
          <w:i/>
          <w:iCs/>
          <w:color w:val="121113"/>
          <w:sz w:val="21"/>
          <w:szCs w:val="21"/>
        </w:rPr>
        <w:t xml:space="preserve"> </w:t>
      </w:r>
      <w:r w:rsidRPr="00710AC5">
        <w:rPr>
          <w:rFonts w:ascii="Abadi" w:hAnsi="Abadi" w:cs="*Calibri-Italic-7418-Identity-H"/>
          <w:i/>
          <w:iCs/>
          <w:color w:val="121113"/>
          <w:sz w:val="21"/>
          <w:szCs w:val="21"/>
        </w:rPr>
        <w:t>mujeres por razones de género.</w:t>
      </w:r>
    </w:p>
    <w:p w14:paraId="226ADA1A" w14:textId="77777777" w:rsidR="00E732AC" w:rsidRPr="00710AC5" w:rsidRDefault="00E732AC" w:rsidP="00E732AC">
      <w:pPr>
        <w:autoSpaceDE w:val="0"/>
        <w:autoSpaceDN w:val="0"/>
        <w:adjustRightInd w:val="0"/>
        <w:jc w:val="both"/>
        <w:rPr>
          <w:rFonts w:ascii="Abadi" w:hAnsi="Abadi" w:cs="*Calibri-Italic-7418-Identity-H"/>
          <w:i/>
          <w:iCs/>
          <w:color w:val="121113"/>
          <w:sz w:val="21"/>
          <w:szCs w:val="21"/>
        </w:rPr>
      </w:pPr>
    </w:p>
    <w:p w14:paraId="783DDBC7" w14:textId="77777777" w:rsidR="00E732AC" w:rsidRDefault="00E732AC" w:rsidP="00E732AC">
      <w:pPr>
        <w:autoSpaceDE w:val="0"/>
        <w:autoSpaceDN w:val="0"/>
        <w:adjustRightInd w:val="0"/>
        <w:ind w:firstLine="708"/>
        <w:jc w:val="both"/>
        <w:rPr>
          <w:rFonts w:ascii="Abadi" w:hAnsi="Abadi" w:cs="*Verdana-7420-Identity-H"/>
          <w:color w:val="101012"/>
          <w:sz w:val="21"/>
          <w:szCs w:val="21"/>
        </w:rPr>
      </w:pPr>
      <w:r w:rsidRPr="00710AC5">
        <w:rPr>
          <w:rFonts w:ascii="Abadi" w:hAnsi="Abadi" w:cs="*Verdana-7420-Identity-H"/>
          <w:color w:val="101012"/>
          <w:sz w:val="21"/>
          <w:szCs w:val="21"/>
        </w:rPr>
        <w:t>Sin embargo, en cuanto a la punibilidad de este delito, en la reforma aludida, se</w:t>
      </w:r>
      <w:r>
        <w:rPr>
          <w:rFonts w:ascii="Abadi" w:hAnsi="Abadi" w:cs="*Verdana-7420-Identity-H"/>
          <w:color w:val="101012"/>
          <w:sz w:val="21"/>
          <w:szCs w:val="21"/>
        </w:rPr>
        <w:t xml:space="preserve"> </w:t>
      </w:r>
      <w:r w:rsidRPr="00710AC5">
        <w:rPr>
          <w:rFonts w:ascii="Abadi" w:hAnsi="Abadi" w:cs="*Verdana-7420-Identity-H"/>
          <w:color w:val="101012"/>
          <w:sz w:val="21"/>
          <w:szCs w:val="21"/>
        </w:rPr>
        <w:t>mantuvo en sus términos vigentes en ese momento, al ser considerado el feminicidio</w:t>
      </w:r>
      <w:r>
        <w:rPr>
          <w:rFonts w:ascii="Abadi" w:hAnsi="Abadi" w:cs="*Verdana-7420-Identity-H"/>
          <w:color w:val="101012"/>
          <w:sz w:val="21"/>
          <w:szCs w:val="21"/>
        </w:rPr>
        <w:t xml:space="preserve"> </w:t>
      </w:r>
      <w:r w:rsidRPr="00710AC5">
        <w:rPr>
          <w:rFonts w:ascii="Abadi" w:hAnsi="Abadi" w:cs="*Verdana-7420-Identity-H"/>
          <w:color w:val="101012"/>
          <w:sz w:val="21"/>
          <w:szCs w:val="21"/>
        </w:rPr>
        <w:t>como un homicidio calificado.</w:t>
      </w:r>
    </w:p>
    <w:p w14:paraId="7825544E" w14:textId="77777777" w:rsidR="00E732AC" w:rsidRPr="00710AC5" w:rsidRDefault="00E732AC" w:rsidP="00E732AC">
      <w:pPr>
        <w:autoSpaceDE w:val="0"/>
        <w:autoSpaceDN w:val="0"/>
        <w:adjustRightInd w:val="0"/>
        <w:jc w:val="both"/>
        <w:rPr>
          <w:rFonts w:ascii="Abadi" w:hAnsi="Abadi" w:cs="*Verdana-7420-Identity-H"/>
          <w:color w:val="101012"/>
          <w:sz w:val="21"/>
          <w:szCs w:val="21"/>
        </w:rPr>
      </w:pPr>
    </w:p>
    <w:p w14:paraId="4B202DA5" w14:textId="77777777" w:rsidR="00E732AC" w:rsidRDefault="00E732AC" w:rsidP="00E732AC">
      <w:pPr>
        <w:autoSpaceDE w:val="0"/>
        <w:autoSpaceDN w:val="0"/>
        <w:adjustRightInd w:val="0"/>
        <w:ind w:firstLine="708"/>
        <w:jc w:val="both"/>
        <w:rPr>
          <w:rFonts w:ascii="Abadi" w:hAnsi="Abadi" w:cs="*Verdana-7420-Identity-H"/>
          <w:color w:val="121114"/>
          <w:sz w:val="21"/>
          <w:szCs w:val="21"/>
        </w:rPr>
      </w:pPr>
      <w:r w:rsidRPr="00710AC5">
        <w:rPr>
          <w:rFonts w:ascii="Abadi" w:hAnsi="Abadi" w:cs="*Verdana-7420-Identity-H"/>
          <w:color w:val="121114"/>
          <w:sz w:val="21"/>
          <w:szCs w:val="21"/>
        </w:rPr>
        <w:t>Posteriormente, en mayo de 2014, se vio la necesidad de adecuar este delito en</w:t>
      </w:r>
      <w:r>
        <w:rPr>
          <w:rFonts w:ascii="Abadi" w:hAnsi="Abadi" w:cs="*Verdana-7420-Identity-H"/>
          <w:color w:val="121114"/>
          <w:sz w:val="21"/>
          <w:szCs w:val="21"/>
        </w:rPr>
        <w:t xml:space="preserve"> </w:t>
      </w:r>
      <w:r w:rsidRPr="00710AC5">
        <w:rPr>
          <w:rFonts w:ascii="Abadi" w:hAnsi="Abadi" w:cs="*Verdana-7420-Identity-H"/>
          <w:color w:val="121114"/>
          <w:sz w:val="21"/>
          <w:szCs w:val="21"/>
        </w:rPr>
        <w:t>su aspecto punitivo, para incrementar la penalidad de este tipo de actos, con el propósito</w:t>
      </w:r>
      <w:r>
        <w:rPr>
          <w:rFonts w:ascii="Abadi" w:hAnsi="Abadi" w:cs="*Verdana-7420-Identity-H"/>
          <w:color w:val="121114"/>
          <w:sz w:val="21"/>
          <w:szCs w:val="21"/>
        </w:rPr>
        <w:t xml:space="preserve"> </w:t>
      </w:r>
      <w:r w:rsidRPr="00710AC5">
        <w:rPr>
          <w:rFonts w:ascii="Abadi" w:hAnsi="Abadi" w:cs="*Verdana-7420-Identity-H"/>
          <w:color w:val="121114"/>
          <w:sz w:val="21"/>
          <w:szCs w:val="21"/>
        </w:rPr>
        <w:t>fundamental de erradicar las acciones orientadas a la violencia hacia las mujeres y,</w:t>
      </w:r>
      <w:r>
        <w:rPr>
          <w:rFonts w:ascii="Abadi" w:hAnsi="Abadi" w:cs="*Verdana-7420-Identity-H"/>
          <w:color w:val="121114"/>
          <w:sz w:val="21"/>
          <w:szCs w:val="21"/>
        </w:rPr>
        <w:t xml:space="preserve"> </w:t>
      </w:r>
      <w:r w:rsidRPr="00710AC5">
        <w:rPr>
          <w:rFonts w:ascii="Abadi" w:hAnsi="Abadi" w:cs="*Verdana-7420-Identity-H"/>
          <w:color w:val="121114"/>
          <w:sz w:val="21"/>
          <w:szCs w:val="21"/>
        </w:rPr>
        <w:t>desde luego, evitar la impunidad.</w:t>
      </w:r>
    </w:p>
    <w:p w14:paraId="2C83EFC7" w14:textId="77777777" w:rsidR="00E732AC" w:rsidRPr="00710AC5" w:rsidRDefault="00E732AC" w:rsidP="00E732AC">
      <w:pPr>
        <w:autoSpaceDE w:val="0"/>
        <w:autoSpaceDN w:val="0"/>
        <w:adjustRightInd w:val="0"/>
        <w:jc w:val="both"/>
        <w:rPr>
          <w:rFonts w:ascii="Abadi" w:hAnsi="Abadi" w:cs="*Verdana-7420-Identity-H"/>
          <w:color w:val="121114"/>
          <w:sz w:val="21"/>
          <w:szCs w:val="21"/>
        </w:rPr>
      </w:pPr>
    </w:p>
    <w:p w14:paraId="5C928127" w14:textId="77777777" w:rsidR="00E732AC" w:rsidRDefault="00E732AC" w:rsidP="00E732AC">
      <w:pPr>
        <w:autoSpaceDE w:val="0"/>
        <w:autoSpaceDN w:val="0"/>
        <w:adjustRightInd w:val="0"/>
        <w:ind w:firstLine="708"/>
        <w:jc w:val="both"/>
        <w:rPr>
          <w:rFonts w:ascii="Abadi" w:hAnsi="Abadi" w:cs="*Verdana-7420-Identity-H"/>
          <w:color w:val="121114"/>
          <w:sz w:val="21"/>
          <w:szCs w:val="21"/>
        </w:rPr>
      </w:pPr>
      <w:r w:rsidRPr="00710AC5">
        <w:rPr>
          <w:rFonts w:ascii="Abadi" w:hAnsi="Abadi" w:cs="*Verdana-7420-Identity-H"/>
          <w:color w:val="121114"/>
          <w:sz w:val="21"/>
          <w:szCs w:val="21"/>
        </w:rPr>
        <w:t>De esta forma, se vinculó el tipo penal de feminicidio con la punibilidad, es decir,</w:t>
      </w:r>
      <w:r>
        <w:rPr>
          <w:rFonts w:ascii="Abadi" w:hAnsi="Abadi" w:cs="*Verdana-7420-Identity-H"/>
          <w:color w:val="121114"/>
          <w:sz w:val="21"/>
          <w:szCs w:val="21"/>
        </w:rPr>
        <w:t xml:space="preserve"> </w:t>
      </w:r>
      <w:r w:rsidRPr="00710AC5">
        <w:rPr>
          <w:rFonts w:ascii="Abadi" w:hAnsi="Abadi" w:cs="*Verdana-7420-Identity-H"/>
          <w:color w:val="121114"/>
          <w:sz w:val="21"/>
          <w:szCs w:val="21"/>
        </w:rPr>
        <w:t>establecer una sanción propia para este delito entre los márgenes de treinta a sesenta</w:t>
      </w:r>
      <w:r>
        <w:rPr>
          <w:rFonts w:ascii="Abadi" w:hAnsi="Abadi" w:cs="*Verdana-7420-Identity-H"/>
          <w:color w:val="121114"/>
          <w:sz w:val="21"/>
          <w:szCs w:val="21"/>
        </w:rPr>
        <w:t xml:space="preserve"> </w:t>
      </w:r>
      <w:r w:rsidRPr="00710AC5">
        <w:rPr>
          <w:rFonts w:ascii="Abadi" w:hAnsi="Abadi" w:cs="*Verdana-7420-Identity-H"/>
          <w:color w:val="121114"/>
          <w:sz w:val="21"/>
          <w:szCs w:val="21"/>
        </w:rPr>
        <w:t>años de prisión y de trescientos a seiscientos días multa. Y se planteó la posibilidad que</w:t>
      </w:r>
      <w:r>
        <w:rPr>
          <w:rFonts w:ascii="Abadi" w:hAnsi="Abadi" w:cs="*Verdana-7420-Identity-H"/>
          <w:color w:val="121114"/>
          <w:sz w:val="21"/>
          <w:szCs w:val="21"/>
        </w:rPr>
        <w:t xml:space="preserve"> </w:t>
      </w:r>
      <w:r w:rsidRPr="00710AC5">
        <w:rPr>
          <w:rFonts w:ascii="Abadi" w:hAnsi="Abadi" w:cs="*Verdana-7420-Identity-H"/>
          <w:color w:val="121114"/>
          <w:sz w:val="21"/>
          <w:szCs w:val="21"/>
        </w:rPr>
        <w:t>si concurre con el delito de feminicidio otro delito, se acumulen las penas que por cada</w:t>
      </w:r>
      <w:r>
        <w:rPr>
          <w:rFonts w:ascii="Abadi" w:hAnsi="Abadi" w:cs="*Verdana-7420-Identity-H"/>
          <w:color w:val="121114"/>
          <w:sz w:val="21"/>
          <w:szCs w:val="21"/>
        </w:rPr>
        <w:t xml:space="preserve"> </w:t>
      </w:r>
      <w:r w:rsidRPr="00710AC5">
        <w:rPr>
          <w:rFonts w:ascii="Abadi" w:hAnsi="Abadi" w:cs="*Verdana-7420-Identity-H"/>
          <w:color w:val="121114"/>
          <w:sz w:val="21"/>
          <w:szCs w:val="21"/>
        </w:rPr>
        <w:t>uno se impongan, precisando que la de prisión no podría exceder de setenta años.</w:t>
      </w:r>
      <w:r>
        <w:rPr>
          <w:rFonts w:ascii="Abadi" w:hAnsi="Abadi" w:cs="*Verdana-7420-Identity-H"/>
          <w:color w:val="121114"/>
          <w:sz w:val="21"/>
          <w:szCs w:val="21"/>
        </w:rPr>
        <w:t xml:space="preserve"> </w:t>
      </w:r>
    </w:p>
    <w:p w14:paraId="7B71A987" w14:textId="77777777" w:rsidR="00E732AC" w:rsidRDefault="00E732AC" w:rsidP="00E732AC">
      <w:pPr>
        <w:autoSpaceDE w:val="0"/>
        <w:autoSpaceDN w:val="0"/>
        <w:adjustRightInd w:val="0"/>
        <w:jc w:val="both"/>
        <w:rPr>
          <w:rFonts w:ascii="Abadi" w:hAnsi="Abadi" w:cs="*Verdana-7420-Identity-H"/>
          <w:color w:val="121114"/>
          <w:sz w:val="21"/>
          <w:szCs w:val="21"/>
        </w:rPr>
      </w:pPr>
    </w:p>
    <w:p w14:paraId="5281A39E" w14:textId="77777777" w:rsidR="00E732AC" w:rsidRDefault="00E732AC" w:rsidP="00E732AC">
      <w:pPr>
        <w:autoSpaceDE w:val="0"/>
        <w:autoSpaceDN w:val="0"/>
        <w:adjustRightInd w:val="0"/>
        <w:ind w:firstLine="708"/>
        <w:jc w:val="both"/>
        <w:rPr>
          <w:rFonts w:ascii="Abadi" w:hAnsi="Abadi" w:cs="*Verdana-7420-Identity-H"/>
          <w:color w:val="121114"/>
          <w:sz w:val="21"/>
          <w:szCs w:val="21"/>
        </w:rPr>
      </w:pPr>
      <w:r w:rsidRPr="00710AC5">
        <w:rPr>
          <w:rFonts w:ascii="Abadi" w:hAnsi="Abadi" w:cs="*Verdana-7420-Identity-H"/>
          <w:color w:val="121114"/>
          <w:sz w:val="21"/>
          <w:szCs w:val="21"/>
        </w:rPr>
        <w:t>Asimismo, se previó que si no se llegaren a probar los supuestos antes descritos, y se</w:t>
      </w:r>
      <w:r>
        <w:rPr>
          <w:rFonts w:ascii="Abadi" w:hAnsi="Abadi" w:cs="*Verdana-7420-Identity-H"/>
          <w:color w:val="121114"/>
          <w:sz w:val="21"/>
          <w:szCs w:val="21"/>
        </w:rPr>
        <w:t xml:space="preserve"> </w:t>
      </w:r>
      <w:r w:rsidRPr="00710AC5">
        <w:rPr>
          <w:rFonts w:ascii="Abadi" w:hAnsi="Abadi" w:cs="*Verdana-7420-Identity-H"/>
          <w:color w:val="121114"/>
          <w:sz w:val="21"/>
          <w:szCs w:val="21"/>
        </w:rPr>
        <w:t>hubiere privado de la vida a una mujer, se aplicarían las sanciones del homicidio según</w:t>
      </w:r>
      <w:r>
        <w:rPr>
          <w:rFonts w:ascii="Abadi" w:hAnsi="Abadi" w:cs="*Verdana-7420-Identity-H"/>
          <w:color w:val="121114"/>
          <w:sz w:val="21"/>
          <w:szCs w:val="21"/>
        </w:rPr>
        <w:t xml:space="preserve"> </w:t>
      </w:r>
      <w:r w:rsidRPr="00710AC5">
        <w:rPr>
          <w:rFonts w:ascii="Abadi" w:hAnsi="Abadi" w:cs="*Verdana-7420-Identity-H"/>
          <w:color w:val="121114"/>
          <w:sz w:val="21"/>
          <w:szCs w:val="21"/>
        </w:rPr>
        <w:t>la clasificación que correspondiera -artículo 153-a-1-.</w:t>
      </w:r>
    </w:p>
    <w:p w14:paraId="526EBCBD" w14:textId="77777777" w:rsidR="00E732AC" w:rsidRPr="00710AC5" w:rsidRDefault="00E732AC" w:rsidP="00E732AC">
      <w:pPr>
        <w:autoSpaceDE w:val="0"/>
        <w:autoSpaceDN w:val="0"/>
        <w:adjustRightInd w:val="0"/>
        <w:jc w:val="both"/>
        <w:rPr>
          <w:rFonts w:ascii="Abadi" w:hAnsi="Abadi" w:cs="*Verdana-7420-Identity-H"/>
          <w:color w:val="121114"/>
          <w:sz w:val="21"/>
          <w:szCs w:val="21"/>
        </w:rPr>
      </w:pPr>
    </w:p>
    <w:p w14:paraId="7D4B7E6A" w14:textId="77777777" w:rsidR="00E732AC" w:rsidRDefault="00E732AC" w:rsidP="00E732AC">
      <w:pPr>
        <w:autoSpaceDE w:val="0"/>
        <w:autoSpaceDN w:val="0"/>
        <w:adjustRightInd w:val="0"/>
        <w:ind w:firstLine="708"/>
        <w:jc w:val="both"/>
        <w:rPr>
          <w:rFonts w:ascii="Abadi" w:hAnsi="Abadi" w:cs="*Verdana-7420-Identity-H"/>
          <w:color w:val="121113"/>
          <w:sz w:val="21"/>
          <w:szCs w:val="21"/>
        </w:rPr>
      </w:pPr>
      <w:r w:rsidRPr="00710AC5">
        <w:rPr>
          <w:rFonts w:ascii="Abadi" w:hAnsi="Abadi" w:cs="*Verdana-7420-Identity-H"/>
          <w:color w:val="121113"/>
          <w:sz w:val="21"/>
          <w:szCs w:val="21"/>
        </w:rPr>
        <w:t>Posteriormente se revisó de nueva cuenta el delito de feminicidio, a la luz de los</w:t>
      </w:r>
      <w:r>
        <w:rPr>
          <w:rFonts w:ascii="Abadi" w:hAnsi="Abadi" w:cs="*Verdana-7420-Identity-H"/>
          <w:color w:val="121113"/>
          <w:sz w:val="21"/>
          <w:szCs w:val="21"/>
        </w:rPr>
        <w:t xml:space="preserve"> </w:t>
      </w:r>
      <w:r w:rsidRPr="00710AC5">
        <w:rPr>
          <w:rFonts w:ascii="Abadi" w:hAnsi="Abadi" w:cs="*Verdana-7420-Identity-H"/>
          <w:color w:val="121113"/>
          <w:sz w:val="21"/>
          <w:szCs w:val="21"/>
        </w:rPr>
        <w:t>estándares internacionales y nacional en materia de derechos humanos y erradicación</w:t>
      </w:r>
      <w:r>
        <w:rPr>
          <w:rFonts w:ascii="Abadi" w:hAnsi="Abadi" w:cs="*Verdana-7420-Identity-H"/>
          <w:color w:val="121113"/>
          <w:sz w:val="21"/>
          <w:szCs w:val="21"/>
        </w:rPr>
        <w:t xml:space="preserve"> </w:t>
      </w:r>
      <w:r w:rsidRPr="00710AC5">
        <w:rPr>
          <w:rFonts w:ascii="Abadi" w:hAnsi="Abadi" w:cs="*Verdana-7420-Identity-H"/>
          <w:color w:val="121113"/>
          <w:sz w:val="21"/>
          <w:szCs w:val="21"/>
        </w:rPr>
        <w:t>de la violencia contra las mujeres, dando como resultado las reformas publicadas en el</w:t>
      </w:r>
      <w:r>
        <w:rPr>
          <w:rFonts w:ascii="Abadi" w:hAnsi="Abadi" w:cs="*Verdana-7420-Identity-H"/>
          <w:color w:val="121113"/>
          <w:sz w:val="21"/>
          <w:szCs w:val="21"/>
        </w:rPr>
        <w:t xml:space="preserve"> </w:t>
      </w:r>
      <w:r w:rsidRPr="00710AC5">
        <w:rPr>
          <w:rFonts w:ascii="Abadi" w:hAnsi="Abadi" w:cs="*Verdana-7420-Identity-H"/>
          <w:color w:val="121113"/>
          <w:sz w:val="21"/>
          <w:szCs w:val="21"/>
        </w:rPr>
        <w:t>Periódico Oficial del Gobierno del Estado de fecha 13 de julio de 2020.</w:t>
      </w:r>
    </w:p>
    <w:p w14:paraId="543DADF4" w14:textId="77777777" w:rsidR="00E732AC" w:rsidRPr="00710AC5" w:rsidRDefault="00E732AC" w:rsidP="00E732AC">
      <w:pPr>
        <w:autoSpaceDE w:val="0"/>
        <w:autoSpaceDN w:val="0"/>
        <w:adjustRightInd w:val="0"/>
        <w:jc w:val="both"/>
        <w:rPr>
          <w:rFonts w:ascii="Abadi" w:hAnsi="Abadi" w:cs="*Verdana-7420-Identity-H"/>
          <w:color w:val="121113"/>
          <w:sz w:val="21"/>
          <w:szCs w:val="21"/>
        </w:rPr>
      </w:pPr>
    </w:p>
    <w:p w14:paraId="5D4756CF" w14:textId="77777777" w:rsidR="00E732AC" w:rsidRPr="00710AC5" w:rsidRDefault="00E732AC" w:rsidP="00E732AC">
      <w:pPr>
        <w:spacing w:after="160" w:line="259" w:lineRule="auto"/>
        <w:ind w:firstLine="708"/>
        <w:jc w:val="both"/>
        <w:rPr>
          <w:rFonts w:ascii="Abadi" w:hAnsi="Abadi" w:cs="*Verdana-7067-Identity-H"/>
          <w:color w:val="0C0C0D"/>
          <w:sz w:val="21"/>
          <w:szCs w:val="21"/>
        </w:rPr>
      </w:pPr>
      <w:r w:rsidRPr="00710AC5">
        <w:rPr>
          <w:rFonts w:ascii="Abadi" w:hAnsi="Abadi" w:cs="*Verdana-7420-Identity-H"/>
          <w:color w:val="0F0F11"/>
          <w:sz w:val="21"/>
          <w:szCs w:val="21"/>
        </w:rPr>
        <w:t>Esta reforma implicó la modificación de las fracciones II, VI y VII del artículo que</w:t>
      </w:r>
      <w:r>
        <w:rPr>
          <w:rFonts w:ascii="Abadi" w:hAnsi="Abadi" w:cs="*Verdana-7420-Identity-H"/>
          <w:color w:val="0F0F11"/>
          <w:sz w:val="21"/>
          <w:szCs w:val="21"/>
        </w:rPr>
        <w:t xml:space="preserve"> </w:t>
      </w:r>
      <w:r w:rsidRPr="00710AC5">
        <w:rPr>
          <w:rFonts w:ascii="Abadi" w:hAnsi="Abadi" w:cs="*Verdana-7067-Identity-H"/>
          <w:color w:val="0C0C0D"/>
          <w:sz w:val="21"/>
          <w:szCs w:val="21"/>
        </w:rPr>
        <w:t>contiene el delito de feminicidio.</w:t>
      </w:r>
    </w:p>
    <w:p w14:paraId="14DA35FE" w14:textId="77777777" w:rsidR="00E732AC" w:rsidRDefault="00E732AC" w:rsidP="00E732AC">
      <w:pPr>
        <w:autoSpaceDE w:val="0"/>
        <w:autoSpaceDN w:val="0"/>
        <w:adjustRightInd w:val="0"/>
        <w:ind w:firstLine="708"/>
        <w:jc w:val="both"/>
        <w:rPr>
          <w:rFonts w:ascii="Abadi" w:hAnsi="Abadi" w:cs="*Verdana-7067-Identity-H"/>
          <w:color w:val="111013"/>
          <w:sz w:val="21"/>
          <w:szCs w:val="21"/>
        </w:rPr>
      </w:pPr>
      <w:r w:rsidRPr="00710AC5">
        <w:rPr>
          <w:rFonts w:ascii="Abadi" w:hAnsi="Abadi" w:cs="*Verdana-7067-Identity-H"/>
          <w:color w:val="111013"/>
          <w:sz w:val="21"/>
          <w:szCs w:val="21"/>
        </w:rPr>
        <w:t>Lo anterior evidencia que el fenómeno del feminicidio ha sido un tema de muchas</w:t>
      </w:r>
      <w:r>
        <w:rPr>
          <w:rFonts w:ascii="Abadi" w:hAnsi="Abadi" w:cs="*Verdana-7067-Identity-H"/>
          <w:color w:val="111013"/>
          <w:sz w:val="21"/>
          <w:szCs w:val="21"/>
        </w:rPr>
        <w:t xml:space="preserve"> </w:t>
      </w:r>
      <w:r w:rsidRPr="00710AC5">
        <w:rPr>
          <w:rFonts w:ascii="Abadi" w:hAnsi="Abadi" w:cs="*Verdana-7067-Identity-H"/>
          <w:color w:val="111013"/>
          <w:sz w:val="21"/>
          <w:szCs w:val="21"/>
        </w:rPr>
        <w:t>reflexiones durante un largo proceso, en el que este Congreso del Estado ha estado</w:t>
      </w:r>
      <w:r>
        <w:rPr>
          <w:rFonts w:ascii="Abadi" w:hAnsi="Abadi" w:cs="*Verdana-7067-Identity-H"/>
          <w:color w:val="111013"/>
          <w:sz w:val="21"/>
          <w:szCs w:val="21"/>
        </w:rPr>
        <w:t xml:space="preserve"> </w:t>
      </w:r>
      <w:r w:rsidRPr="00710AC5">
        <w:rPr>
          <w:rFonts w:ascii="Abadi" w:hAnsi="Abadi" w:cs="*Verdana-7067-Identity-H"/>
          <w:color w:val="111013"/>
          <w:sz w:val="21"/>
          <w:szCs w:val="21"/>
        </w:rPr>
        <w:t>atento y a través de la acción legislativa ha mandado mensajes de reproche por este</w:t>
      </w:r>
      <w:r>
        <w:rPr>
          <w:rFonts w:ascii="Abadi" w:hAnsi="Abadi" w:cs="*Verdana-7067-Identity-H"/>
          <w:color w:val="111013"/>
          <w:sz w:val="21"/>
          <w:szCs w:val="21"/>
        </w:rPr>
        <w:t xml:space="preserve"> </w:t>
      </w:r>
      <w:r w:rsidRPr="00710AC5">
        <w:rPr>
          <w:rFonts w:ascii="Abadi" w:hAnsi="Abadi" w:cs="*Verdana-7067-Identity-H"/>
          <w:color w:val="111013"/>
          <w:sz w:val="21"/>
          <w:szCs w:val="21"/>
        </w:rPr>
        <w:t>tipo de conductas.</w:t>
      </w:r>
    </w:p>
    <w:p w14:paraId="12560F3E" w14:textId="77777777" w:rsidR="00E732AC" w:rsidRPr="00710AC5" w:rsidRDefault="00E732AC" w:rsidP="00E732AC">
      <w:pPr>
        <w:autoSpaceDE w:val="0"/>
        <w:autoSpaceDN w:val="0"/>
        <w:adjustRightInd w:val="0"/>
        <w:jc w:val="both"/>
        <w:rPr>
          <w:rFonts w:ascii="Abadi" w:hAnsi="Abadi" w:cs="*Verdana-7067-Identity-H"/>
          <w:color w:val="111013"/>
          <w:sz w:val="21"/>
          <w:szCs w:val="21"/>
        </w:rPr>
      </w:pPr>
    </w:p>
    <w:p w14:paraId="0A937952" w14:textId="77777777" w:rsidR="00E732AC" w:rsidRPr="00710AC5" w:rsidRDefault="00E732AC" w:rsidP="00E732AC">
      <w:pPr>
        <w:autoSpaceDE w:val="0"/>
        <w:autoSpaceDN w:val="0"/>
        <w:adjustRightInd w:val="0"/>
        <w:ind w:firstLine="708"/>
        <w:jc w:val="both"/>
        <w:rPr>
          <w:rFonts w:ascii="Abadi" w:hAnsi="Abadi" w:cs="*Verdana-7067-Identity-H"/>
          <w:color w:val="111113"/>
          <w:sz w:val="21"/>
          <w:szCs w:val="21"/>
        </w:rPr>
      </w:pPr>
      <w:r w:rsidRPr="00710AC5">
        <w:rPr>
          <w:rFonts w:ascii="Abadi" w:hAnsi="Abadi" w:cs="*Verdana-7067-Identity-H"/>
          <w:color w:val="111113"/>
          <w:sz w:val="21"/>
          <w:szCs w:val="21"/>
        </w:rPr>
        <w:t>En esta ocasión tampoco somos omisos en revisar de nueva cuenta nuestra</w:t>
      </w:r>
      <w:r>
        <w:rPr>
          <w:rFonts w:ascii="Abadi" w:hAnsi="Abadi" w:cs="*Verdana-7067-Identity-H"/>
          <w:color w:val="111113"/>
          <w:sz w:val="21"/>
          <w:szCs w:val="21"/>
        </w:rPr>
        <w:t xml:space="preserve"> </w:t>
      </w:r>
      <w:r w:rsidRPr="00710AC5">
        <w:rPr>
          <w:rFonts w:ascii="Abadi" w:hAnsi="Abadi" w:cs="*Verdana-7067-Identity-H"/>
          <w:color w:val="111113"/>
          <w:sz w:val="21"/>
          <w:szCs w:val="21"/>
        </w:rPr>
        <w:t>legislación penal en este tema, con motivo de cinco propuestas que fueron presentadas</w:t>
      </w:r>
      <w:r>
        <w:rPr>
          <w:rFonts w:ascii="Abadi" w:hAnsi="Abadi" w:cs="*Verdana-7067-Identity-H"/>
          <w:color w:val="111113"/>
          <w:sz w:val="21"/>
          <w:szCs w:val="21"/>
        </w:rPr>
        <w:t xml:space="preserve"> </w:t>
      </w:r>
      <w:r w:rsidRPr="00710AC5">
        <w:rPr>
          <w:rFonts w:ascii="Abadi" w:hAnsi="Abadi" w:cs="*Verdana-7067-Identity-H"/>
          <w:color w:val="111113"/>
          <w:sz w:val="21"/>
          <w:szCs w:val="21"/>
        </w:rPr>
        <w:t>en distintos momentos y por diversos iniciantes y que son objeto del presente dictamen,</w:t>
      </w:r>
      <w:r>
        <w:rPr>
          <w:rFonts w:ascii="Abadi" w:hAnsi="Abadi" w:cs="*Verdana-7067-Identity-H"/>
          <w:color w:val="111113"/>
          <w:sz w:val="21"/>
          <w:szCs w:val="21"/>
        </w:rPr>
        <w:t xml:space="preserve"> </w:t>
      </w:r>
      <w:r w:rsidRPr="00710AC5">
        <w:rPr>
          <w:rFonts w:ascii="Abadi" w:hAnsi="Abadi" w:cs="*Verdana-7067-Identity-H"/>
          <w:color w:val="111113"/>
          <w:sz w:val="21"/>
          <w:szCs w:val="21"/>
        </w:rPr>
        <w:t>donde incluso se puso sobre la mesa de análisis dentro en la Comisión de Justicia,</w:t>
      </w:r>
      <w:r>
        <w:rPr>
          <w:rFonts w:ascii="Abadi" w:hAnsi="Abadi" w:cs="*Verdana-7067-Identity-H"/>
          <w:color w:val="111113"/>
          <w:sz w:val="21"/>
          <w:szCs w:val="21"/>
        </w:rPr>
        <w:t xml:space="preserve"> </w:t>
      </w:r>
      <w:r w:rsidRPr="00710AC5">
        <w:rPr>
          <w:rFonts w:ascii="Abadi" w:hAnsi="Abadi" w:cs="*Verdana-7067-Identity-H"/>
          <w:color w:val="111113"/>
          <w:sz w:val="21"/>
          <w:szCs w:val="21"/>
        </w:rPr>
        <w:t>porciones normativas no sólo revisadas con motivo de la última reforma, sino a lo largo</w:t>
      </w:r>
      <w:r>
        <w:rPr>
          <w:rFonts w:ascii="Abadi" w:hAnsi="Abadi" w:cs="*Verdana-7067-Identity-H"/>
          <w:color w:val="111113"/>
          <w:sz w:val="21"/>
          <w:szCs w:val="21"/>
        </w:rPr>
        <w:t xml:space="preserve"> </w:t>
      </w:r>
      <w:r w:rsidRPr="00710AC5">
        <w:rPr>
          <w:rFonts w:ascii="Abadi" w:hAnsi="Abadi" w:cs="*Verdana-7067-Identity-H"/>
          <w:color w:val="111113"/>
          <w:sz w:val="21"/>
          <w:szCs w:val="21"/>
        </w:rPr>
        <w:t>de este proceso de actualización del delito de feminicidio.</w:t>
      </w:r>
    </w:p>
    <w:p w14:paraId="56A1F051" w14:textId="77777777" w:rsidR="00E732AC" w:rsidRDefault="00E732AC" w:rsidP="00E732AC">
      <w:pPr>
        <w:autoSpaceDE w:val="0"/>
        <w:autoSpaceDN w:val="0"/>
        <w:adjustRightInd w:val="0"/>
        <w:jc w:val="both"/>
        <w:rPr>
          <w:rFonts w:ascii="Abadi" w:hAnsi="Abadi" w:cs="*Verdana-Bold-7069-Identity-H"/>
          <w:b/>
          <w:bCs/>
          <w:color w:val="0E0D13"/>
          <w:sz w:val="21"/>
          <w:szCs w:val="21"/>
        </w:rPr>
      </w:pPr>
    </w:p>
    <w:p w14:paraId="4C6D371B" w14:textId="77777777" w:rsidR="00E732AC" w:rsidRDefault="00E732AC" w:rsidP="00E732AC">
      <w:pPr>
        <w:autoSpaceDE w:val="0"/>
        <w:autoSpaceDN w:val="0"/>
        <w:adjustRightInd w:val="0"/>
        <w:jc w:val="both"/>
        <w:rPr>
          <w:rFonts w:ascii="Abadi" w:hAnsi="Abadi" w:cs="*Verdana-Bold-7069-Identity-H"/>
          <w:b/>
          <w:bCs/>
          <w:color w:val="0E0D13"/>
          <w:sz w:val="21"/>
          <w:szCs w:val="21"/>
        </w:rPr>
      </w:pPr>
    </w:p>
    <w:p w14:paraId="14E7F1A9" w14:textId="77777777" w:rsidR="00E732AC" w:rsidRDefault="00E732AC" w:rsidP="00E732AC">
      <w:pPr>
        <w:autoSpaceDE w:val="0"/>
        <w:autoSpaceDN w:val="0"/>
        <w:adjustRightInd w:val="0"/>
        <w:jc w:val="both"/>
        <w:rPr>
          <w:rFonts w:ascii="Abadi" w:hAnsi="Abadi" w:cs="*Verdana-Bold-7069-Identity-H"/>
          <w:b/>
          <w:bCs/>
          <w:color w:val="0E0D13"/>
          <w:sz w:val="21"/>
          <w:szCs w:val="21"/>
        </w:rPr>
      </w:pPr>
      <w:r w:rsidRPr="00710AC5">
        <w:rPr>
          <w:rFonts w:ascii="Abadi" w:hAnsi="Abadi" w:cs="*Verdana-Bold-7069-Identity-H"/>
          <w:b/>
          <w:bCs/>
          <w:color w:val="0E0D13"/>
          <w:sz w:val="21"/>
          <w:szCs w:val="21"/>
        </w:rPr>
        <w:t>IV.2. Consideraciones particulares.</w:t>
      </w:r>
    </w:p>
    <w:p w14:paraId="212E949F" w14:textId="77777777" w:rsidR="00E732AC" w:rsidRPr="00710AC5" w:rsidRDefault="00E732AC" w:rsidP="00E732AC">
      <w:pPr>
        <w:autoSpaceDE w:val="0"/>
        <w:autoSpaceDN w:val="0"/>
        <w:adjustRightInd w:val="0"/>
        <w:jc w:val="both"/>
        <w:rPr>
          <w:rFonts w:ascii="Abadi" w:hAnsi="Abadi" w:cs="*Verdana-Bold-7069-Identity-H"/>
          <w:b/>
          <w:bCs/>
          <w:color w:val="0E0D13"/>
          <w:sz w:val="21"/>
          <w:szCs w:val="21"/>
        </w:rPr>
      </w:pPr>
    </w:p>
    <w:p w14:paraId="13086265" w14:textId="77777777" w:rsidR="00E732AC" w:rsidRDefault="00E732AC" w:rsidP="00E732AC">
      <w:pPr>
        <w:autoSpaceDE w:val="0"/>
        <w:autoSpaceDN w:val="0"/>
        <w:adjustRightInd w:val="0"/>
        <w:ind w:firstLine="708"/>
        <w:jc w:val="both"/>
        <w:rPr>
          <w:rFonts w:ascii="Abadi" w:hAnsi="Abadi" w:cs="*Verdana-7067-Identity-H"/>
          <w:color w:val="111113"/>
          <w:sz w:val="21"/>
          <w:szCs w:val="21"/>
        </w:rPr>
      </w:pPr>
      <w:r w:rsidRPr="00710AC5">
        <w:rPr>
          <w:rFonts w:ascii="Abadi" w:hAnsi="Abadi" w:cs="*Verdana-7067-Identity-H"/>
          <w:color w:val="111113"/>
          <w:sz w:val="21"/>
          <w:szCs w:val="21"/>
        </w:rPr>
        <w:t>Del análisis de las cinco iniciativas que nos ocupan en el presente dictamen,</w:t>
      </w:r>
      <w:r>
        <w:rPr>
          <w:rFonts w:ascii="Abadi" w:hAnsi="Abadi" w:cs="*Verdana-7067-Identity-H"/>
          <w:color w:val="111113"/>
          <w:sz w:val="21"/>
          <w:szCs w:val="21"/>
        </w:rPr>
        <w:t xml:space="preserve"> </w:t>
      </w:r>
      <w:r w:rsidRPr="00710AC5">
        <w:rPr>
          <w:rFonts w:ascii="Abadi" w:hAnsi="Abadi" w:cs="*Verdana-7067-Identity-H"/>
          <w:color w:val="111113"/>
          <w:sz w:val="21"/>
          <w:szCs w:val="21"/>
        </w:rPr>
        <w:t>mismo que se llevó a cabo con el apoyo de los funcionarios a los que previamente se les</w:t>
      </w:r>
      <w:r>
        <w:rPr>
          <w:rFonts w:ascii="Abadi" w:hAnsi="Abadi" w:cs="*Verdana-7067-Identity-H"/>
          <w:color w:val="111113"/>
          <w:sz w:val="21"/>
          <w:szCs w:val="21"/>
        </w:rPr>
        <w:t xml:space="preserve"> </w:t>
      </w:r>
      <w:r w:rsidRPr="00710AC5">
        <w:rPr>
          <w:rFonts w:ascii="Abadi" w:hAnsi="Abadi" w:cs="*Verdana-7067-Identity-H"/>
          <w:color w:val="111113"/>
          <w:sz w:val="21"/>
          <w:szCs w:val="21"/>
        </w:rPr>
        <w:t>había solicitado su opinión, de manera particular destacamos lo siguiente:</w:t>
      </w:r>
    </w:p>
    <w:p w14:paraId="43B36CDF" w14:textId="77777777" w:rsidR="00E732AC" w:rsidRPr="00710AC5" w:rsidRDefault="00E732AC" w:rsidP="00E732AC">
      <w:pPr>
        <w:autoSpaceDE w:val="0"/>
        <w:autoSpaceDN w:val="0"/>
        <w:adjustRightInd w:val="0"/>
        <w:jc w:val="both"/>
        <w:rPr>
          <w:rFonts w:ascii="Abadi" w:hAnsi="Abadi" w:cs="*Verdana-7067-Identity-H"/>
          <w:color w:val="111113"/>
          <w:sz w:val="21"/>
          <w:szCs w:val="21"/>
        </w:rPr>
      </w:pPr>
    </w:p>
    <w:p w14:paraId="556478FB" w14:textId="77777777" w:rsidR="00E732AC" w:rsidRDefault="00E732AC" w:rsidP="00E732AC">
      <w:pPr>
        <w:autoSpaceDE w:val="0"/>
        <w:autoSpaceDN w:val="0"/>
        <w:adjustRightInd w:val="0"/>
        <w:ind w:firstLine="708"/>
        <w:jc w:val="both"/>
        <w:rPr>
          <w:rFonts w:ascii="Abadi" w:hAnsi="Abadi" w:cs="*Verdana-7067-Identity-H"/>
          <w:color w:val="101012"/>
          <w:sz w:val="21"/>
          <w:szCs w:val="21"/>
        </w:rPr>
      </w:pPr>
      <w:r w:rsidRPr="00710AC5">
        <w:rPr>
          <w:rFonts w:ascii="Abadi" w:hAnsi="Abadi" w:cs="*Verdana-7067-Identity-H"/>
          <w:color w:val="101013"/>
          <w:sz w:val="21"/>
          <w:szCs w:val="21"/>
        </w:rPr>
        <w:t xml:space="preserve">1. En relación con la propuesta de adición de un tercer párrafo al </w:t>
      </w:r>
      <w:r w:rsidRPr="00CD6EC9">
        <w:rPr>
          <w:rFonts w:ascii="Abadi" w:hAnsi="Abadi" w:cs="*Verdana-Bold-7069-Identity-H"/>
          <w:b/>
          <w:bCs/>
          <w:color w:val="101013"/>
          <w:sz w:val="21"/>
          <w:szCs w:val="21"/>
        </w:rPr>
        <w:t xml:space="preserve">artículo </w:t>
      </w:r>
      <w:r w:rsidRPr="00CD6EC9">
        <w:rPr>
          <w:rFonts w:ascii="Abadi" w:hAnsi="Abadi" w:cs="*Verdana-7067-Identity-H"/>
          <w:b/>
          <w:bCs/>
          <w:color w:val="101012"/>
          <w:sz w:val="21"/>
          <w:szCs w:val="21"/>
        </w:rPr>
        <w:t>18</w:t>
      </w:r>
      <w:r w:rsidRPr="00710AC5">
        <w:rPr>
          <w:rFonts w:ascii="Abadi" w:hAnsi="Abadi" w:cs="*Verdana-7067-Identity-H"/>
          <w:color w:val="101012"/>
          <w:sz w:val="21"/>
          <w:szCs w:val="21"/>
        </w:rPr>
        <w:t xml:space="preserve"> formulada por el Ayuntamiento de León, Guanajuato, a efecto de establecer una</w:t>
      </w:r>
      <w:r>
        <w:rPr>
          <w:rFonts w:ascii="Abadi" w:hAnsi="Abadi" w:cs="*Verdana-7067-Identity-H"/>
          <w:color w:val="101012"/>
          <w:sz w:val="21"/>
          <w:szCs w:val="21"/>
        </w:rPr>
        <w:t xml:space="preserve"> </w:t>
      </w:r>
      <w:r w:rsidRPr="00710AC5">
        <w:rPr>
          <w:rFonts w:ascii="Abadi" w:hAnsi="Abadi" w:cs="*Verdana-7067-Identity-H"/>
          <w:color w:val="101012"/>
          <w:sz w:val="21"/>
          <w:szCs w:val="21"/>
        </w:rPr>
        <w:t>punibilidad en la tentativa del delito de feminicidio, hubo coincidencia en que no</w:t>
      </w:r>
      <w:r>
        <w:rPr>
          <w:rFonts w:ascii="Abadi" w:hAnsi="Abadi" w:cs="*Verdana-7067-Identity-H"/>
          <w:color w:val="101012"/>
          <w:sz w:val="21"/>
          <w:szCs w:val="21"/>
        </w:rPr>
        <w:t xml:space="preserve"> </w:t>
      </w:r>
      <w:r w:rsidRPr="00710AC5">
        <w:rPr>
          <w:rFonts w:ascii="Abadi" w:hAnsi="Abadi" w:cs="*Verdana-7067-Identity-H"/>
          <w:color w:val="101012"/>
          <w:sz w:val="21"/>
          <w:szCs w:val="21"/>
        </w:rPr>
        <w:t>resultaba viable por las siguientes razones:</w:t>
      </w:r>
    </w:p>
    <w:p w14:paraId="0A822A73" w14:textId="77777777" w:rsidR="00E732AC" w:rsidRPr="00710AC5" w:rsidRDefault="00E732AC" w:rsidP="00E732AC">
      <w:pPr>
        <w:autoSpaceDE w:val="0"/>
        <w:autoSpaceDN w:val="0"/>
        <w:adjustRightInd w:val="0"/>
        <w:jc w:val="both"/>
        <w:rPr>
          <w:rFonts w:ascii="Abadi" w:hAnsi="Abadi" w:cs="*Verdana-7067-Identity-H"/>
          <w:color w:val="101012"/>
          <w:sz w:val="21"/>
          <w:szCs w:val="21"/>
        </w:rPr>
      </w:pPr>
    </w:p>
    <w:p w14:paraId="3EA33B85" w14:textId="77777777" w:rsidR="00E732AC" w:rsidRPr="00CD6EC9" w:rsidRDefault="00E732AC" w:rsidP="00E732AC">
      <w:pPr>
        <w:pStyle w:val="Prrafodelista"/>
        <w:numPr>
          <w:ilvl w:val="0"/>
          <w:numId w:val="54"/>
        </w:numPr>
        <w:autoSpaceDE w:val="0"/>
        <w:autoSpaceDN w:val="0"/>
        <w:adjustRightInd w:val="0"/>
        <w:contextualSpacing/>
        <w:jc w:val="both"/>
        <w:rPr>
          <w:rFonts w:ascii="Abadi" w:hAnsi="Abadi" w:cs="*Verdana-Italic-7068-Identity-H"/>
          <w:i/>
          <w:iCs/>
          <w:color w:val="121214"/>
          <w:sz w:val="21"/>
          <w:szCs w:val="21"/>
        </w:rPr>
      </w:pPr>
      <w:r w:rsidRPr="00CD6EC9">
        <w:rPr>
          <w:rFonts w:ascii="Abadi" w:hAnsi="Abadi" w:cs="*Verdana-7067-Identity-H"/>
          <w:color w:val="121214"/>
          <w:sz w:val="21"/>
          <w:szCs w:val="21"/>
        </w:rPr>
        <w:t xml:space="preserve">No es acorde con la sistemática de nuestro Código Penal intentar agregar un supuesto específico para la tentativa de un delito en particular -feminicidio- en la Parte General de este ordenamiento </w:t>
      </w:r>
      <w:r w:rsidRPr="00CD6EC9">
        <w:rPr>
          <w:rFonts w:ascii="Abadi" w:hAnsi="Abadi" w:cs="*Verdana-Italic-7068-Identity-H"/>
          <w:i/>
          <w:iCs/>
          <w:color w:val="121214"/>
          <w:sz w:val="21"/>
          <w:szCs w:val="21"/>
        </w:rPr>
        <w:t>donde se establece la dogmática jurídico penal (principios, fundamentos, conceptos, teoría de la pena).</w:t>
      </w:r>
    </w:p>
    <w:p w14:paraId="172F2A92" w14:textId="77777777" w:rsidR="00E732AC" w:rsidRPr="00710AC5" w:rsidRDefault="00E732AC" w:rsidP="00E732AC">
      <w:pPr>
        <w:autoSpaceDE w:val="0"/>
        <w:autoSpaceDN w:val="0"/>
        <w:adjustRightInd w:val="0"/>
        <w:jc w:val="both"/>
        <w:rPr>
          <w:rFonts w:ascii="Abadi" w:hAnsi="Abadi" w:cs="*Verdana-Italic-7068-Identity-H"/>
          <w:i/>
          <w:iCs/>
          <w:color w:val="121214"/>
          <w:sz w:val="21"/>
          <w:szCs w:val="21"/>
        </w:rPr>
      </w:pPr>
    </w:p>
    <w:p w14:paraId="0780E0EF" w14:textId="77777777" w:rsidR="00E732AC" w:rsidRPr="00CD6EC9" w:rsidRDefault="00E732AC" w:rsidP="00E732AC">
      <w:pPr>
        <w:pStyle w:val="Prrafodelista"/>
        <w:numPr>
          <w:ilvl w:val="0"/>
          <w:numId w:val="54"/>
        </w:numPr>
        <w:autoSpaceDE w:val="0"/>
        <w:autoSpaceDN w:val="0"/>
        <w:adjustRightInd w:val="0"/>
        <w:contextualSpacing/>
        <w:jc w:val="both"/>
        <w:rPr>
          <w:rFonts w:ascii="Abadi" w:hAnsi="Abadi" w:cs="*Verdana-7067-Identity-H"/>
          <w:color w:val="111113"/>
          <w:sz w:val="21"/>
          <w:szCs w:val="21"/>
        </w:rPr>
      </w:pPr>
      <w:r w:rsidRPr="00CD6EC9">
        <w:rPr>
          <w:rFonts w:ascii="Abadi" w:hAnsi="Abadi" w:cs="*Verdana-7067-Identity-H"/>
          <w:color w:val="111113"/>
          <w:sz w:val="21"/>
          <w:szCs w:val="21"/>
        </w:rPr>
        <w:t>En su caso, tampoco sería viable contemplar sanción específica para la tentativa en el propio delito de feminicidio por los márgenes de punibilidad del mismo, lo cual traería una violación al principio de proporcionalidad de las sanciones, ya que su sanción vigente es la más alta a diferencia de los demás tipos penales, y</w:t>
      </w:r>
    </w:p>
    <w:p w14:paraId="7641E5A5" w14:textId="77777777" w:rsidR="00E732AC" w:rsidRPr="00710AC5" w:rsidRDefault="00E732AC" w:rsidP="00E732AC">
      <w:pPr>
        <w:jc w:val="both"/>
        <w:rPr>
          <w:rFonts w:ascii="Abadi" w:hAnsi="Abadi" w:cs="*Verdana-7067-Identity-H"/>
          <w:color w:val="111113"/>
          <w:sz w:val="21"/>
          <w:szCs w:val="21"/>
        </w:rPr>
      </w:pPr>
    </w:p>
    <w:p w14:paraId="5913ED51" w14:textId="77777777" w:rsidR="00E732AC" w:rsidRDefault="00E732AC" w:rsidP="00E732AC">
      <w:pPr>
        <w:autoSpaceDE w:val="0"/>
        <w:autoSpaceDN w:val="0"/>
        <w:adjustRightInd w:val="0"/>
        <w:jc w:val="both"/>
        <w:rPr>
          <w:rFonts w:ascii="Abadi" w:hAnsi="Abadi" w:cs="*Verdana-7186-Identity-H"/>
          <w:color w:val="101012"/>
          <w:sz w:val="21"/>
          <w:szCs w:val="21"/>
        </w:rPr>
      </w:pPr>
      <w:r w:rsidRPr="00710AC5">
        <w:rPr>
          <w:rFonts w:ascii="Abadi" w:hAnsi="Abadi" w:cs="*Verdana-7186-Identity-H"/>
          <w:color w:val="101012"/>
          <w:sz w:val="21"/>
          <w:szCs w:val="21"/>
        </w:rPr>
        <w:t>tendría una sanción por encima de la del delito consumado de homicidio</w:t>
      </w:r>
      <w:r>
        <w:rPr>
          <w:rFonts w:ascii="Abadi" w:hAnsi="Abadi" w:cs="*Verdana-7186-Identity-H"/>
          <w:color w:val="101012"/>
          <w:sz w:val="21"/>
          <w:szCs w:val="21"/>
        </w:rPr>
        <w:t xml:space="preserve"> </w:t>
      </w:r>
      <w:r w:rsidRPr="00710AC5">
        <w:rPr>
          <w:rFonts w:ascii="Abadi" w:hAnsi="Abadi" w:cs="*Verdana-7186-Identity-H"/>
          <w:color w:val="101012"/>
          <w:sz w:val="21"/>
          <w:szCs w:val="21"/>
        </w:rPr>
        <w:t>calificado. Además de que el incremento de penas, se ha considerado, no es factor</w:t>
      </w:r>
      <w:r>
        <w:rPr>
          <w:rFonts w:ascii="Abadi" w:hAnsi="Abadi" w:cs="*Verdana-7186-Identity-H"/>
          <w:color w:val="101012"/>
          <w:sz w:val="21"/>
          <w:szCs w:val="21"/>
        </w:rPr>
        <w:t xml:space="preserve"> </w:t>
      </w:r>
      <w:r w:rsidRPr="00710AC5">
        <w:rPr>
          <w:rFonts w:ascii="Abadi" w:hAnsi="Abadi" w:cs="*Verdana-7186-Identity-H"/>
          <w:color w:val="101012"/>
          <w:sz w:val="21"/>
          <w:szCs w:val="21"/>
        </w:rPr>
        <w:t>para inhibir el delito.</w:t>
      </w:r>
    </w:p>
    <w:p w14:paraId="6C84185C" w14:textId="77777777" w:rsidR="00E732AC" w:rsidRPr="00710AC5" w:rsidRDefault="00E732AC" w:rsidP="00E732AC">
      <w:pPr>
        <w:autoSpaceDE w:val="0"/>
        <w:autoSpaceDN w:val="0"/>
        <w:adjustRightInd w:val="0"/>
        <w:jc w:val="both"/>
        <w:rPr>
          <w:rFonts w:ascii="Abadi" w:hAnsi="Abadi" w:cs="*Verdana-7186-Identity-H"/>
          <w:color w:val="101012"/>
          <w:sz w:val="21"/>
          <w:szCs w:val="21"/>
        </w:rPr>
      </w:pPr>
    </w:p>
    <w:p w14:paraId="22A77CC2" w14:textId="77777777" w:rsidR="00E732AC" w:rsidRDefault="00E732AC" w:rsidP="00E732AC">
      <w:pPr>
        <w:autoSpaceDE w:val="0"/>
        <w:autoSpaceDN w:val="0"/>
        <w:adjustRightInd w:val="0"/>
        <w:ind w:firstLine="708"/>
        <w:jc w:val="both"/>
        <w:rPr>
          <w:rFonts w:ascii="Abadi" w:hAnsi="Abadi" w:cs="*Verdana-7186-Identity-H"/>
          <w:color w:val="111114"/>
          <w:sz w:val="21"/>
          <w:szCs w:val="21"/>
        </w:rPr>
      </w:pPr>
      <w:r w:rsidRPr="00710AC5">
        <w:rPr>
          <w:rFonts w:ascii="Abadi" w:hAnsi="Abadi" w:cs="*Verdana-7186-Identity-H"/>
          <w:color w:val="121114"/>
          <w:sz w:val="21"/>
          <w:szCs w:val="21"/>
        </w:rPr>
        <w:t xml:space="preserve">2. En relación con la propuesta de adicionar una fracción VIII bis al </w:t>
      </w:r>
      <w:r w:rsidRPr="00710AC5">
        <w:rPr>
          <w:rFonts w:ascii="Abadi" w:hAnsi="Abadi" w:cs="*Verdana-Bold-7188-Identity-H"/>
          <w:b/>
          <w:bCs/>
          <w:color w:val="121114"/>
          <w:sz w:val="21"/>
          <w:szCs w:val="21"/>
        </w:rPr>
        <w:t>artículo</w:t>
      </w:r>
      <w:r>
        <w:rPr>
          <w:rFonts w:ascii="Abadi" w:hAnsi="Abadi" w:cs="*Verdana-Bold-7188-Identity-H"/>
          <w:b/>
          <w:bCs/>
          <w:color w:val="121114"/>
          <w:sz w:val="21"/>
          <w:szCs w:val="21"/>
        </w:rPr>
        <w:t xml:space="preserve"> </w:t>
      </w:r>
      <w:r w:rsidRPr="00710AC5">
        <w:rPr>
          <w:rFonts w:ascii="Abadi" w:hAnsi="Abadi" w:cs="*Verdana-7186-Identity-H"/>
          <w:color w:val="111114"/>
          <w:sz w:val="21"/>
          <w:szCs w:val="21"/>
        </w:rPr>
        <w:t xml:space="preserve">38, relativo al catálogo de penas, para contemplar como tal, </w:t>
      </w:r>
      <w:r w:rsidRPr="00710AC5">
        <w:rPr>
          <w:rFonts w:ascii="Abadi" w:hAnsi="Abadi" w:cs="*Verdana-Italic-7187-Identity-H"/>
          <w:i/>
          <w:iCs/>
          <w:color w:val="111114"/>
          <w:sz w:val="21"/>
          <w:szCs w:val="21"/>
        </w:rPr>
        <w:t>la perdida de los derechos</w:t>
      </w:r>
      <w:r>
        <w:rPr>
          <w:rFonts w:ascii="Abadi" w:hAnsi="Abadi" w:cs="*Verdana-Italic-7187-Identity-H"/>
          <w:i/>
          <w:iCs/>
          <w:color w:val="111114"/>
          <w:sz w:val="21"/>
          <w:szCs w:val="21"/>
        </w:rPr>
        <w:t xml:space="preserve"> </w:t>
      </w:r>
      <w:r w:rsidRPr="00710AC5">
        <w:rPr>
          <w:rFonts w:ascii="Abadi" w:hAnsi="Abadi" w:cs="*Verdana-Italic-7187-Identity-H"/>
          <w:i/>
          <w:iCs/>
          <w:color w:val="111114"/>
          <w:sz w:val="21"/>
          <w:szCs w:val="21"/>
        </w:rPr>
        <w:t>de carácter sucesorio que pudiera corresponderle al sujeto activo con relación a la</w:t>
      </w:r>
      <w:r>
        <w:rPr>
          <w:rFonts w:ascii="Abadi" w:hAnsi="Abadi" w:cs="*Verdana-Italic-7187-Identity-H"/>
          <w:i/>
          <w:iCs/>
          <w:color w:val="111114"/>
          <w:sz w:val="21"/>
          <w:szCs w:val="21"/>
        </w:rPr>
        <w:t xml:space="preserve"> </w:t>
      </w:r>
      <w:r w:rsidRPr="00710AC5">
        <w:rPr>
          <w:rFonts w:ascii="Abadi" w:hAnsi="Abadi" w:cs="*Verdana-Italic-7187-Identity-H"/>
          <w:i/>
          <w:iCs/>
          <w:color w:val="111114"/>
          <w:sz w:val="21"/>
          <w:szCs w:val="21"/>
        </w:rPr>
        <w:t xml:space="preserve">víctima, </w:t>
      </w:r>
      <w:r w:rsidRPr="00710AC5">
        <w:rPr>
          <w:rFonts w:ascii="Abadi" w:hAnsi="Abadi" w:cs="*Verdana-7186-Identity-H"/>
          <w:color w:val="111114"/>
          <w:sz w:val="21"/>
          <w:szCs w:val="21"/>
        </w:rPr>
        <w:t>igualmente propuesta por el Ayuntamiento de León, Guanajuato, se consideró</w:t>
      </w:r>
      <w:r>
        <w:rPr>
          <w:rFonts w:ascii="Abadi" w:hAnsi="Abadi" w:cs="*Verdana-7186-Identity-H"/>
          <w:color w:val="111114"/>
          <w:sz w:val="21"/>
          <w:szCs w:val="21"/>
        </w:rPr>
        <w:t xml:space="preserve"> </w:t>
      </w:r>
      <w:r w:rsidRPr="00710AC5">
        <w:rPr>
          <w:rFonts w:ascii="Abadi" w:hAnsi="Abadi" w:cs="*Verdana-7186-Identity-H"/>
          <w:color w:val="111114"/>
          <w:sz w:val="21"/>
          <w:szCs w:val="21"/>
        </w:rPr>
        <w:t>no viable de acuerdo con lo siguiente:</w:t>
      </w:r>
    </w:p>
    <w:p w14:paraId="0E69D15B" w14:textId="77777777" w:rsidR="00E732AC" w:rsidRPr="00710AC5" w:rsidRDefault="00E732AC" w:rsidP="00E732AC">
      <w:pPr>
        <w:autoSpaceDE w:val="0"/>
        <w:autoSpaceDN w:val="0"/>
        <w:adjustRightInd w:val="0"/>
        <w:jc w:val="both"/>
        <w:rPr>
          <w:rFonts w:ascii="Abadi" w:hAnsi="Abadi" w:cs="*Verdana-7186-Identity-H"/>
          <w:color w:val="111114"/>
          <w:sz w:val="21"/>
          <w:szCs w:val="21"/>
        </w:rPr>
      </w:pPr>
    </w:p>
    <w:p w14:paraId="0C91505A" w14:textId="77777777" w:rsidR="00E732AC" w:rsidRPr="00CD6EC9" w:rsidRDefault="00E732AC" w:rsidP="00E732AC">
      <w:pPr>
        <w:pStyle w:val="Prrafodelista"/>
        <w:numPr>
          <w:ilvl w:val="0"/>
          <w:numId w:val="55"/>
        </w:numPr>
        <w:autoSpaceDE w:val="0"/>
        <w:autoSpaceDN w:val="0"/>
        <w:adjustRightInd w:val="0"/>
        <w:contextualSpacing/>
        <w:jc w:val="both"/>
        <w:rPr>
          <w:rFonts w:ascii="Abadi" w:hAnsi="Abadi" w:cs="*Verdana-7186-Identity-H"/>
          <w:color w:val="111013"/>
          <w:sz w:val="21"/>
          <w:szCs w:val="21"/>
        </w:rPr>
      </w:pPr>
      <w:r w:rsidRPr="00CD6EC9">
        <w:rPr>
          <w:rFonts w:ascii="Abadi" w:hAnsi="Abadi" w:cs="*Verdana-7186-Identity-H"/>
          <w:color w:val="111013"/>
          <w:sz w:val="21"/>
          <w:szCs w:val="21"/>
        </w:rPr>
        <w:t>Aun cuando la propuesta normativa no refiere al feminicidio, la iniciativa, en atención a la exposición de motivos, se plantea en el marco del delito de feminicidio, por ello se estimó que no se puede establecer de manera específica para este tipo de delitos por encontrarse en la Parte General.</w:t>
      </w:r>
    </w:p>
    <w:p w14:paraId="3DC43A54" w14:textId="77777777" w:rsidR="00E732AC" w:rsidRPr="00710AC5" w:rsidRDefault="00E732AC" w:rsidP="00E732AC">
      <w:pPr>
        <w:autoSpaceDE w:val="0"/>
        <w:autoSpaceDN w:val="0"/>
        <w:adjustRightInd w:val="0"/>
        <w:jc w:val="both"/>
        <w:rPr>
          <w:rFonts w:ascii="Abadi" w:hAnsi="Abadi" w:cs="*Verdana-7186-Identity-H"/>
          <w:color w:val="111013"/>
          <w:sz w:val="21"/>
          <w:szCs w:val="21"/>
        </w:rPr>
      </w:pPr>
    </w:p>
    <w:p w14:paraId="2BFE73BF" w14:textId="77777777" w:rsidR="00E732AC" w:rsidRPr="00CD6EC9" w:rsidRDefault="00E732AC" w:rsidP="00E732AC">
      <w:pPr>
        <w:pStyle w:val="Prrafodelista"/>
        <w:numPr>
          <w:ilvl w:val="0"/>
          <w:numId w:val="55"/>
        </w:numPr>
        <w:autoSpaceDE w:val="0"/>
        <w:autoSpaceDN w:val="0"/>
        <w:adjustRightInd w:val="0"/>
        <w:contextualSpacing/>
        <w:jc w:val="both"/>
        <w:rPr>
          <w:rFonts w:ascii="Abadi" w:hAnsi="Abadi" w:cs="*Verdana-7186-Identity-H"/>
          <w:color w:val="131215"/>
          <w:sz w:val="21"/>
          <w:szCs w:val="21"/>
        </w:rPr>
      </w:pPr>
      <w:r w:rsidRPr="00CD6EC9">
        <w:rPr>
          <w:rFonts w:ascii="Abadi" w:hAnsi="Abadi" w:cs="*Verdana-7186-Identity-H"/>
          <w:color w:val="131215"/>
          <w:sz w:val="21"/>
          <w:szCs w:val="21"/>
        </w:rPr>
        <w:t>La pérdida de los derechos de carácter sucesorio es un tema de naturaleza civil, de esta forma el Código Civil para el Estado de Guanajuato ya contempla en sus artículos 2569 y 2572 estos supuestos.</w:t>
      </w:r>
    </w:p>
    <w:p w14:paraId="5BAB27F3" w14:textId="77777777" w:rsidR="00E732AC" w:rsidRPr="00710AC5" w:rsidRDefault="00E732AC" w:rsidP="00E732AC">
      <w:pPr>
        <w:autoSpaceDE w:val="0"/>
        <w:autoSpaceDN w:val="0"/>
        <w:adjustRightInd w:val="0"/>
        <w:jc w:val="both"/>
        <w:rPr>
          <w:rFonts w:ascii="Abadi" w:hAnsi="Abadi" w:cs="*Verdana-7186-Identity-H"/>
          <w:color w:val="131215"/>
          <w:sz w:val="21"/>
          <w:szCs w:val="21"/>
        </w:rPr>
      </w:pPr>
    </w:p>
    <w:p w14:paraId="50286CA5" w14:textId="77777777" w:rsidR="00E732AC" w:rsidRDefault="00E732AC" w:rsidP="00E732AC">
      <w:pPr>
        <w:autoSpaceDE w:val="0"/>
        <w:autoSpaceDN w:val="0"/>
        <w:adjustRightInd w:val="0"/>
        <w:ind w:firstLine="360"/>
        <w:jc w:val="both"/>
        <w:rPr>
          <w:rFonts w:ascii="Abadi" w:hAnsi="Abadi" w:cs="*Verdana-7186-Identity-H"/>
          <w:color w:val="121114"/>
          <w:sz w:val="21"/>
          <w:szCs w:val="21"/>
        </w:rPr>
      </w:pPr>
      <w:r w:rsidRPr="00710AC5">
        <w:rPr>
          <w:rFonts w:ascii="Abadi" w:hAnsi="Abadi" w:cs="*Verdana-7186-Identity-H"/>
          <w:color w:val="0E0E0F"/>
          <w:sz w:val="21"/>
          <w:szCs w:val="21"/>
        </w:rPr>
        <w:t>3. La propuesta, también del Ayuntamiento de León, Guanajuato, para</w:t>
      </w:r>
      <w:r>
        <w:rPr>
          <w:rFonts w:ascii="Abadi" w:hAnsi="Abadi" w:cs="*Verdana-7186-Identity-H"/>
          <w:color w:val="0E0E0F"/>
          <w:sz w:val="21"/>
          <w:szCs w:val="21"/>
        </w:rPr>
        <w:t xml:space="preserve"> </w:t>
      </w:r>
      <w:r w:rsidRPr="00710AC5">
        <w:rPr>
          <w:rFonts w:ascii="Abadi" w:hAnsi="Abadi" w:cs="*Verdana-7186-Identity-H"/>
          <w:color w:val="121114"/>
          <w:sz w:val="21"/>
          <w:szCs w:val="21"/>
        </w:rPr>
        <w:t xml:space="preserve">contemplar en el </w:t>
      </w:r>
      <w:r w:rsidRPr="00710AC5">
        <w:rPr>
          <w:rFonts w:ascii="Abadi" w:hAnsi="Abadi" w:cs="*Verdana-Bold-7188-Identity-H"/>
          <w:b/>
          <w:bCs/>
          <w:color w:val="121114"/>
          <w:sz w:val="21"/>
          <w:szCs w:val="21"/>
        </w:rPr>
        <w:t xml:space="preserve">artículo 153, </w:t>
      </w:r>
      <w:r w:rsidRPr="00710AC5">
        <w:rPr>
          <w:rFonts w:ascii="Abadi" w:hAnsi="Abadi" w:cs="*Verdana-7186-Identity-H"/>
          <w:color w:val="121114"/>
          <w:sz w:val="21"/>
          <w:szCs w:val="21"/>
        </w:rPr>
        <w:t>como calificados el homicidio y las lesiones cuando se</w:t>
      </w:r>
      <w:r>
        <w:rPr>
          <w:rFonts w:ascii="Abadi" w:hAnsi="Abadi" w:cs="*Verdana-7186-Identity-H"/>
          <w:color w:val="121114"/>
          <w:sz w:val="21"/>
          <w:szCs w:val="21"/>
        </w:rPr>
        <w:t xml:space="preserve"> </w:t>
      </w:r>
      <w:r w:rsidRPr="00710AC5">
        <w:rPr>
          <w:rFonts w:ascii="Abadi" w:hAnsi="Abadi" w:cs="*Verdana-7186-Identity-H"/>
          <w:color w:val="121114"/>
          <w:sz w:val="21"/>
          <w:szCs w:val="21"/>
        </w:rPr>
        <w:t xml:space="preserve">realicen </w:t>
      </w:r>
      <w:r w:rsidRPr="00710AC5">
        <w:rPr>
          <w:rFonts w:ascii="Abadi" w:hAnsi="Abadi" w:cs="*Verdana-Italic-7187-Identity-H"/>
          <w:i/>
          <w:iCs/>
          <w:color w:val="121114"/>
          <w:sz w:val="21"/>
          <w:szCs w:val="21"/>
        </w:rPr>
        <w:t xml:space="preserve">por cuestiones de odio, </w:t>
      </w:r>
      <w:r w:rsidRPr="00710AC5">
        <w:rPr>
          <w:rFonts w:ascii="Abadi" w:hAnsi="Abadi" w:cs="*Verdana-7186-Identity-H"/>
          <w:color w:val="121114"/>
          <w:sz w:val="21"/>
          <w:szCs w:val="21"/>
        </w:rPr>
        <w:t xml:space="preserve">así como conceptualizar el término </w:t>
      </w:r>
      <w:r w:rsidRPr="00710AC5">
        <w:rPr>
          <w:rFonts w:ascii="Abadi" w:hAnsi="Abadi" w:cs="*Verdana-Italic-7187-Identity-H"/>
          <w:i/>
          <w:iCs/>
          <w:color w:val="121114"/>
          <w:sz w:val="21"/>
          <w:szCs w:val="21"/>
        </w:rPr>
        <w:t xml:space="preserve">odio, </w:t>
      </w:r>
      <w:r w:rsidRPr="00710AC5">
        <w:rPr>
          <w:rFonts w:ascii="Abadi" w:hAnsi="Abadi" w:cs="*Verdana-7186-Identity-H"/>
          <w:color w:val="121114"/>
          <w:sz w:val="21"/>
          <w:szCs w:val="21"/>
        </w:rPr>
        <w:t>tampoco se</w:t>
      </w:r>
      <w:r>
        <w:rPr>
          <w:rFonts w:ascii="Abadi" w:hAnsi="Abadi" w:cs="*Verdana-7186-Identity-H"/>
          <w:color w:val="121114"/>
          <w:sz w:val="21"/>
          <w:szCs w:val="21"/>
        </w:rPr>
        <w:t xml:space="preserve"> </w:t>
      </w:r>
      <w:r w:rsidRPr="00710AC5">
        <w:rPr>
          <w:rFonts w:ascii="Abadi" w:hAnsi="Abadi" w:cs="*Verdana-7186-Identity-H"/>
          <w:color w:val="121114"/>
          <w:sz w:val="21"/>
          <w:szCs w:val="21"/>
        </w:rPr>
        <w:t>consideró viable:</w:t>
      </w:r>
    </w:p>
    <w:p w14:paraId="39DCC7D7" w14:textId="77777777" w:rsidR="00E732AC" w:rsidRPr="00710AC5" w:rsidRDefault="00E732AC" w:rsidP="00E732AC">
      <w:pPr>
        <w:autoSpaceDE w:val="0"/>
        <w:autoSpaceDN w:val="0"/>
        <w:adjustRightInd w:val="0"/>
        <w:jc w:val="both"/>
        <w:rPr>
          <w:rFonts w:ascii="Abadi" w:hAnsi="Abadi" w:cs="*Verdana-7186-Identity-H"/>
          <w:color w:val="121114"/>
          <w:sz w:val="21"/>
          <w:szCs w:val="21"/>
        </w:rPr>
      </w:pPr>
    </w:p>
    <w:p w14:paraId="65EB4B09" w14:textId="77777777" w:rsidR="00E732AC" w:rsidRPr="00CD6EC9" w:rsidRDefault="00E732AC" w:rsidP="00E732AC">
      <w:pPr>
        <w:pStyle w:val="Prrafodelista"/>
        <w:numPr>
          <w:ilvl w:val="0"/>
          <w:numId w:val="56"/>
        </w:numPr>
        <w:autoSpaceDE w:val="0"/>
        <w:autoSpaceDN w:val="0"/>
        <w:adjustRightInd w:val="0"/>
        <w:contextualSpacing/>
        <w:jc w:val="both"/>
        <w:rPr>
          <w:rFonts w:ascii="Abadi" w:hAnsi="Abadi" w:cs="*Verdana-7186-Identity-H"/>
          <w:color w:val="121214"/>
          <w:sz w:val="21"/>
          <w:szCs w:val="21"/>
        </w:rPr>
      </w:pPr>
      <w:r w:rsidRPr="00CD6EC9">
        <w:rPr>
          <w:rFonts w:ascii="Abadi" w:hAnsi="Abadi" w:cs="*Verdana-7186-Identity-H"/>
          <w:color w:val="121214"/>
          <w:sz w:val="21"/>
          <w:szCs w:val="21"/>
        </w:rPr>
        <w:t xml:space="preserve">Las razones expresadas por el iniciante resultan contradictorias, pues por una parte se señala que es necesaria esta adición para cuando el hecho no contenga sustento jurídico y probatorio para encuadrar la conducta como un feminicidio, sin embargo, definen las situaciones por las que se considerarían calificadas las lesiones y el homicidio, entre las que se Incluyen </w:t>
      </w:r>
      <w:r w:rsidRPr="00CD6EC9">
        <w:rPr>
          <w:rFonts w:ascii="Abadi" w:hAnsi="Abadi" w:cs="*Verdana-Italic-7187-Identity-H"/>
          <w:i/>
          <w:iCs/>
          <w:color w:val="121214"/>
          <w:sz w:val="21"/>
          <w:szCs w:val="21"/>
        </w:rPr>
        <w:t xml:space="preserve">características y condiciones de las personas </w:t>
      </w:r>
      <w:r w:rsidRPr="00CD6EC9">
        <w:rPr>
          <w:rFonts w:ascii="Abadi" w:hAnsi="Abadi" w:cs="*Verdana-7186-Identity-H"/>
          <w:color w:val="121214"/>
          <w:sz w:val="21"/>
          <w:szCs w:val="21"/>
        </w:rPr>
        <w:t>y, no todos los supuestos que propone el iniciante que sean considerados como tales, tienen esta connotación.</w:t>
      </w:r>
    </w:p>
    <w:p w14:paraId="0EAA8080" w14:textId="77777777" w:rsidR="00E732AC" w:rsidRPr="00710AC5" w:rsidRDefault="00E732AC" w:rsidP="00E732AC">
      <w:pPr>
        <w:autoSpaceDE w:val="0"/>
        <w:autoSpaceDN w:val="0"/>
        <w:adjustRightInd w:val="0"/>
        <w:jc w:val="both"/>
        <w:rPr>
          <w:rFonts w:ascii="Abadi" w:hAnsi="Abadi" w:cs="*Verdana-7186-Identity-H"/>
          <w:color w:val="121214"/>
          <w:sz w:val="21"/>
          <w:szCs w:val="21"/>
        </w:rPr>
      </w:pPr>
    </w:p>
    <w:p w14:paraId="3E105503" w14:textId="77777777" w:rsidR="00E732AC" w:rsidRPr="00710AC5" w:rsidRDefault="00E732AC" w:rsidP="00E732AC">
      <w:pPr>
        <w:spacing w:after="160" w:line="259" w:lineRule="auto"/>
        <w:ind w:firstLine="360"/>
        <w:jc w:val="both"/>
        <w:rPr>
          <w:rFonts w:ascii="Abadi" w:hAnsi="Abadi" w:cs="*Verdana-7131-Identity-H"/>
          <w:color w:val="0F0F12"/>
          <w:sz w:val="21"/>
          <w:szCs w:val="21"/>
        </w:rPr>
      </w:pPr>
      <w:r w:rsidRPr="00710AC5">
        <w:rPr>
          <w:rFonts w:ascii="Abadi" w:hAnsi="Abadi" w:cs="*Verdana-7186-Identity-H"/>
          <w:color w:val="0E0E10"/>
          <w:sz w:val="21"/>
          <w:szCs w:val="21"/>
        </w:rPr>
        <w:t>4. La propuesta del Ayuntamiento de León, Guanajuato, para incluir en el</w:t>
      </w:r>
      <w:r>
        <w:rPr>
          <w:rFonts w:ascii="Abadi" w:hAnsi="Abadi" w:cs="*Verdana-7186-Identity-H"/>
          <w:color w:val="0E0E10"/>
          <w:sz w:val="21"/>
          <w:szCs w:val="21"/>
        </w:rPr>
        <w:t xml:space="preserve"> </w:t>
      </w:r>
      <w:r w:rsidRPr="00710AC5">
        <w:rPr>
          <w:rFonts w:ascii="Abadi" w:hAnsi="Abadi" w:cs="*Verdana-Bold-7133-Identity-H"/>
          <w:b/>
          <w:bCs/>
          <w:color w:val="0F0F12"/>
          <w:sz w:val="21"/>
          <w:szCs w:val="21"/>
        </w:rPr>
        <w:t xml:space="preserve">artículo 153 </w:t>
      </w:r>
      <w:r w:rsidRPr="00710AC5">
        <w:rPr>
          <w:rFonts w:ascii="Abadi" w:hAnsi="Abadi" w:cs="*Verdana-7131-Identity-H"/>
          <w:color w:val="0F0F12"/>
          <w:sz w:val="21"/>
          <w:szCs w:val="21"/>
        </w:rPr>
        <w:t>del Código Penal las lesiones por razón de género causadas por un hombre</w:t>
      </w:r>
      <w:r>
        <w:rPr>
          <w:rFonts w:ascii="Abadi" w:hAnsi="Abadi" w:cs="*Verdana-7131-Identity-H"/>
          <w:color w:val="0F0F12"/>
          <w:sz w:val="21"/>
          <w:szCs w:val="21"/>
        </w:rPr>
        <w:t xml:space="preserve"> </w:t>
      </w:r>
      <w:r w:rsidRPr="00710AC5">
        <w:rPr>
          <w:rFonts w:ascii="Abadi" w:hAnsi="Abadi" w:cs="*Verdana-7131-Identity-H"/>
          <w:color w:val="0F0F12"/>
          <w:sz w:val="21"/>
          <w:szCs w:val="21"/>
        </w:rPr>
        <w:t>a una mujer, se estimó igualmente improcedente de acuerdo con lo siguiente:</w:t>
      </w:r>
    </w:p>
    <w:p w14:paraId="139A3BDE" w14:textId="77777777" w:rsidR="00E732AC" w:rsidRDefault="00E732AC" w:rsidP="00E732AC">
      <w:pPr>
        <w:autoSpaceDE w:val="0"/>
        <w:autoSpaceDN w:val="0"/>
        <w:adjustRightInd w:val="0"/>
        <w:jc w:val="both"/>
        <w:rPr>
          <w:rFonts w:ascii="Abadi" w:hAnsi="Abadi" w:cs="*Verdana-7131-Identity-H"/>
          <w:color w:val="111113"/>
          <w:sz w:val="21"/>
          <w:szCs w:val="21"/>
        </w:rPr>
      </w:pPr>
    </w:p>
    <w:p w14:paraId="1EF77D15" w14:textId="77777777" w:rsidR="00E732AC" w:rsidRPr="00E27CC7" w:rsidRDefault="00E732AC" w:rsidP="00E732AC">
      <w:pPr>
        <w:pStyle w:val="Prrafodelista"/>
        <w:numPr>
          <w:ilvl w:val="0"/>
          <w:numId w:val="57"/>
        </w:numPr>
        <w:autoSpaceDE w:val="0"/>
        <w:autoSpaceDN w:val="0"/>
        <w:adjustRightInd w:val="0"/>
        <w:contextualSpacing/>
        <w:jc w:val="both"/>
        <w:rPr>
          <w:rFonts w:ascii="Abadi" w:hAnsi="Abadi" w:cs="*Verdana-7131-Identity-H"/>
          <w:color w:val="111113"/>
          <w:sz w:val="21"/>
          <w:szCs w:val="21"/>
        </w:rPr>
      </w:pPr>
      <w:r w:rsidRPr="00E27CC7">
        <w:rPr>
          <w:rFonts w:ascii="Abadi" w:hAnsi="Abadi" w:cs="*Verdana-7131-Identity-H"/>
          <w:color w:val="111113"/>
          <w:sz w:val="21"/>
          <w:szCs w:val="21"/>
        </w:rPr>
        <w:t>•Se deja muy abierto el supuesto, ya que no establece qué debe entenderse por razones de género.</w:t>
      </w:r>
    </w:p>
    <w:p w14:paraId="17864268" w14:textId="77777777" w:rsidR="00E732AC" w:rsidRPr="00710AC5" w:rsidRDefault="00E732AC" w:rsidP="00E732AC">
      <w:pPr>
        <w:autoSpaceDE w:val="0"/>
        <w:autoSpaceDN w:val="0"/>
        <w:adjustRightInd w:val="0"/>
        <w:jc w:val="both"/>
        <w:rPr>
          <w:rFonts w:ascii="Abadi" w:hAnsi="Abadi" w:cs="*Verdana-7131-Identity-H"/>
          <w:color w:val="111113"/>
          <w:sz w:val="21"/>
          <w:szCs w:val="21"/>
        </w:rPr>
      </w:pPr>
    </w:p>
    <w:p w14:paraId="14AE56F7" w14:textId="77777777" w:rsidR="00E732AC" w:rsidRPr="00E27CC7" w:rsidRDefault="00E732AC" w:rsidP="00E732AC">
      <w:pPr>
        <w:pStyle w:val="Prrafodelista"/>
        <w:numPr>
          <w:ilvl w:val="0"/>
          <w:numId w:val="57"/>
        </w:numPr>
        <w:autoSpaceDE w:val="0"/>
        <w:autoSpaceDN w:val="0"/>
        <w:adjustRightInd w:val="0"/>
        <w:contextualSpacing/>
        <w:jc w:val="both"/>
        <w:rPr>
          <w:rFonts w:ascii="Abadi" w:hAnsi="Abadi" w:cs="*Verdana-7131-Identity-H"/>
          <w:color w:val="111113"/>
          <w:sz w:val="21"/>
          <w:szCs w:val="21"/>
        </w:rPr>
      </w:pPr>
      <w:r w:rsidRPr="00E27CC7">
        <w:rPr>
          <w:rFonts w:ascii="Abadi" w:hAnsi="Abadi" w:cs="*Verdana-7131-Identity-H"/>
          <w:color w:val="111113"/>
          <w:sz w:val="21"/>
          <w:szCs w:val="21"/>
        </w:rPr>
        <w:t>•Además de lo anterior no es correcto por técnica jurídico penal establecer un supuesto específico para el delito de lesiones en un artículo que refiere no sólo a las lesiones, sino también al homicidio.</w:t>
      </w:r>
    </w:p>
    <w:p w14:paraId="7F4B0AA2" w14:textId="77777777" w:rsidR="00E732AC" w:rsidRDefault="00E732AC" w:rsidP="00E732AC">
      <w:pPr>
        <w:autoSpaceDE w:val="0"/>
        <w:autoSpaceDN w:val="0"/>
        <w:adjustRightInd w:val="0"/>
        <w:jc w:val="both"/>
        <w:rPr>
          <w:rFonts w:ascii="Abadi" w:hAnsi="Abadi" w:cs="*Verdana-7131-Identity-H"/>
          <w:color w:val="0F0F12"/>
          <w:sz w:val="21"/>
          <w:szCs w:val="21"/>
        </w:rPr>
      </w:pPr>
    </w:p>
    <w:p w14:paraId="7CE3DEEF" w14:textId="77777777" w:rsidR="00E732AC" w:rsidRDefault="00E732AC" w:rsidP="00E732AC">
      <w:pPr>
        <w:autoSpaceDE w:val="0"/>
        <w:autoSpaceDN w:val="0"/>
        <w:adjustRightInd w:val="0"/>
        <w:ind w:firstLine="708"/>
        <w:jc w:val="both"/>
        <w:rPr>
          <w:rFonts w:ascii="Abadi" w:hAnsi="Abadi" w:cs="*Verdana-7131-Identity-H"/>
          <w:color w:val="0F0F12"/>
          <w:sz w:val="21"/>
          <w:szCs w:val="21"/>
        </w:rPr>
      </w:pPr>
      <w:r>
        <w:rPr>
          <w:rFonts w:ascii="Abadi" w:hAnsi="Abadi" w:cs="*Verdana-7131-Identity-H"/>
          <w:color w:val="0F0F12"/>
          <w:sz w:val="21"/>
          <w:szCs w:val="21"/>
        </w:rPr>
        <w:t>5</w:t>
      </w:r>
      <w:r w:rsidRPr="00710AC5">
        <w:rPr>
          <w:rFonts w:ascii="Abadi" w:hAnsi="Abadi" w:cs="*Verdana-7131-Identity-H"/>
          <w:color w:val="0F0F12"/>
          <w:sz w:val="21"/>
          <w:szCs w:val="21"/>
        </w:rPr>
        <w:t>. En relación con las distintas propuestas que se formularon al delito de</w:t>
      </w:r>
      <w:r>
        <w:rPr>
          <w:rFonts w:ascii="Abadi" w:hAnsi="Abadi" w:cs="*Verdana-7131-Identity-H"/>
          <w:color w:val="0F0F12"/>
          <w:sz w:val="21"/>
          <w:szCs w:val="21"/>
        </w:rPr>
        <w:t xml:space="preserve"> </w:t>
      </w:r>
      <w:r w:rsidRPr="00710AC5">
        <w:rPr>
          <w:rFonts w:ascii="Abadi" w:hAnsi="Abadi" w:cs="*Verdana-Bold-7133-Identity-H"/>
          <w:b/>
          <w:bCs/>
          <w:color w:val="0F0F12"/>
          <w:sz w:val="21"/>
          <w:szCs w:val="21"/>
        </w:rPr>
        <w:t xml:space="preserve">feminicidio contenido en el artículo 153-a </w:t>
      </w:r>
      <w:r w:rsidRPr="00710AC5">
        <w:rPr>
          <w:rFonts w:ascii="Abadi" w:hAnsi="Abadi" w:cs="*Verdana-7131-Identity-H"/>
          <w:color w:val="0F0F12"/>
          <w:sz w:val="21"/>
          <w:szCs w:val="21"/>
        </w:rPr>
        <w:t>del Código Penal del Estado de</w:t>
      </w:r>
      <w:r>
        <w:rPr>
          <w:rFonts w:ascii="Abadi" w:hAnsi="Abadi" w:cs="*Verdana-7131-Identity-H"/>
          <w:color w:val="0F0F12"/>
          <w:sz w:val="21"/>
          <w:szCs w:val="21"/>
        </w:rPr>
        <w:t xml:space="preserve"> </w:t>
      </w:r>
      <w:r w:rsidRPr="00710AC5">
        <w:rPr>
          <w:rFonts w:ascii="Abadi" w:hAnsi="Abadi" w:cs="*Verdana-7131-Identity-H"/>
          <w:color w:val="0F0F12"/>
          <w:sz w:val="21"/>
          <w:szCs w:val="21"/>
        </w:rPr>
        <w:t>Guanajuato, se argumentan enseguida, en orden sucesivo de las fracciones, indicando</w:t>
      </w:r>
      <w:r>
        <w:rPr>
          <w:rFonts w:ascii="Abadi" w:hAnsi="Abadi" w:cs="*Verdana-7131-Identity-H"/>
          <w:color w:val="0F0F12"/>
          <w:sz w:val="21"/>
          <w:szCs w:val="21"/>
        </w:rPr>
        <w:t xml:space="preserve"> </w:t>
      </w:r>
      <w:r w:rsidRPr="00710AC5">
        <w:rPr>
          <w:rFonts w:ascii="Abadi" w:hAnsi="Abadi" w:cs="*Verdana-7131-Identity-H"/>
          <w:color w:val="0F0F12"/>
          <w:sz w:val="21"/>
          <w:szCs w:val="21"/>
        </w:rPr>
        <w:t>el origen de la propuesta en concreto:</w:t>
      </w:r>
    </w:p>
    <w:p w14:paraId="4CEC8137" w14:textId="77777777" w:rsidR="00E732AC" w:rsidRPr="00710AC5" w:rsidRDefault="00E732AC" w:rsidP="00E732AC">
      <w:pPr>
        <w:autoSpaceDE w:val="0"/>
        <w:autoSpaceDN w:val="0"/>
        <w:adjustRightInd w:val="0"/>
        <w:jc w:val="both"/>
        <w:rPr>
          <w:rFonts w:ascii="Abadi" w:hAnsi="Abadi" w:cs="*Verdana-7131-Identity-H"/>
          <w:color w:val="0F0F12"/>
          <w:sz w:val="21"/>
          <w:szCs w:val="21"/>
        </w:rPr>
      </w:pPr>
    </w:p>
    <w:p w14:paraId="282607B4" w14:textId="77777777" w:rsidR="00E732AC" w:rsidRDefault="00E732AC" w:rsidP="00E732AC">
      <w:pPr>
        <w:autoSpaceDE w:val="0"/>
        <w:autoSpaceDN w:val="0"/>
        <w:adjustRightInd w:val="0"/>
        <w:ind w:firstLine="708"/>
        <w:jc w:val="both"/>
        <w:rPr>
          <w:rFonts w:ascii="Abadi" w:hAnsi="Abadi" w:cs="*Verdana-7131-Identity-H"/>
          <w:color w:val="111113"/>
          <w:sz w:val="21"/>
          <w:szCs w:val="21"/>
        </w:rPr>
      </w:pPr>
      <w:r w:rsidRPr="00710AC5">
        <w:rPr>
          <w:rFonts w:ascii="Abadi" w:hAnsi="Abadi" w:cs="*Verdana-7131-Identity-H"/>
          <w:color w:val="100F11"/>
          <w:sz w:val="21"/>
          <w:szCs w:val="21"/>
        </w:rPr>
        <w:t>5.1. La modificación propuesta por la diputada Alma Edwviges Alcaraz</w:t>
      </w:r>
      <w:r>
        <w:rPr>
          <w:rFonts w:ascii="Abadi" w:hAnsi="Abadi" w:cs="*Verdana-7131-Identity-H"/>
          <w:color w:val="100F11"/>
          <w:sz w:val="21"/>
          <w:szCs w:val="21"/>
        </w:rPr>
        <w:t xml:space="preserve"> </w:t>
      </w:r>
      <w:r w:rsidRPr="00710AC5">
        <w:rPr>
          <w:rFonts w:ascii="Abadi" w:hAnsi="Abadi" w:cs="*Verdana-7131-Identity-H"/>
          <w:color w:val="111113"/>
          <w:sz w:val="21"/>
          <w:szCs w:val="21"/>
        </w:rPr>
        <w:t xml:space="preserve">Hernández para incorporar en la </w:t>
      </w:r>
      <w:r w:rsidRPr="00710AC5">
        <w:rPr>
          <w:rFonts w:ascii="Abadi" w:hAnsi="Abadi" w:cs="*Verdana-Bold-7133-Identity-H"/>
          <w:b/>
          <w:bCs/>
          <w:color w:val="111113"/>
          <w:sz w:val="21"/>
          <w:szCs w:val="21"/>
        </w:rPr>
        <w:t xml:space="preserve">fracción </w:t>
      </w:r>
      <w:r w:rsidRPr="00710AC5">
        <w:rPr>
          <w:rFonts w:ascii="Abadi" w:hAnsi="Abadi" w:cs="*Verdana-7131-Identity-H"/>
          <w:color w:val="111113"/>
          <w:sz w:val="21"/>
          <w:szCs w:val="21"/>
        </w:rPr>
        <w:t xml:space="preserve">I, la expresión </w:t>
      </w:r>
      <w:r w:rsidRPr="00710AC5">
        <w:rPr>
          <w:rFonts w:ascii="Abadi" w:hAnsi="Abadi" w:cs="*Verdana-Italic-7132-Identity-H"/>
          <w:i/>
          <w:iCs/>
          <w:color w:val="111113"/>
          <w:sz w:val="21"/>
          <w:szCs w:val="21"/>
        </w:rPr>
        <w:t>durante cualquier tiempo</w:t>
      </w:r>
      <w:r>
        <w:rPr>
          <w:rFonts w:ascii="Abadi" w:hAnsi="Abadi" w:cs="*Verdana-Italic-7132-Identity-H"/>
          <w:i/>
          <w:iCs/>
          <w:color w:val="111113"/>
          <w:sz w:val="21"/>
          <w:szCs w:val="21"/>
        </w:rPr>
        <w:t xml:space="preserve"> </w:t>
      </w:r>
      <w:r w:rsidRPr="00710AC5">
        <w:rPr>
          <w:rFonts w:ascii="Abadi" w:hAnsi="Abadi" w:cs="*Verdana-Italic-7132-Identity-H"/>
          <w:i/>
          <w:iCs/>
          <w:color w:val="111113"/>
          <w:sz w:val="21"/>
          <w:szCs w:val="21"/>
        </w:rPr>
        <w:t xml:space="preserve">previo a la privación de la vida, </w:t>
      </w:r>
      <w:r w:rsidRPr="00710AC5">
        <w:rPr>
          <w:rFonts w:ascii="Abadi" w:hAnsi="Abadi" w:cs="*Verdana-7131-Identity-H"/>
          <w:color w:val="111113"/>
          <w:sz w:val="21"/>
          <w:szCs w:val="21"/>
        </w:rPr>
        <w:t>en el supuesto de haber sido incomunicada, no se</w:t>
      </w:r>
      <w:r>
        <w:rPr>
          <w:rFonts w:ascii="Abadi" w:hAnsi="Abadi" w:cs="*Verdana-7131-Identity-H"/>
          <w:color w:val="111113"/>
          <w:sz w:val="21"/>
          <w:szCs w:val="21"/>
        </w:rPr>
        <w:t xml:space="preserve"> </w:t>
      </w:r>
      <w:r w:rsidRPr="00710AC5">
        <w:rPr>
          <w:rFonts w:ascii="Abadi" w:hAnsi="Abadi" w:cs="*Verdana-7131-Identity-H"/>
          <w:color w:val="111113"/>
          <w:sz w:val="21"/>
          <w:szCs w:val="21"/>
        </w:rPr>
        <w:t>consideró necesario este agregado, ya que resultaría tautológico. Es obvio que, de</w:t>
      </w:r>
      <w:r>
        <w:rPr>
          <w:rFonts w:ascii="Abadi" w:hAnsi="Abadi" w:cs="*Verdana-7131-Identity-H"/>
          <w:color w:val="111113"/>
          <w:sz w:val="21"/>
          <w:szCs w:val="21"/>
        </w:rPr>
        <w:t xml:space="preserve"> </w:t>
      </w:r>
      <w:r w:rsidRPr="00710AC5">
        <w:rPr>
          <w:rFonts w:ascii="Abadi" w:hAnsi="Abadi" w:cs="*Verdana-7131-Identity-H"/>
          <w:color w:val="111113"/>
          <w:sz w:val="21"/>
          <w:szCs w:val="21"/>
        </w:rPr>
        <w:t>acuerdo con su redacción actual se entiende que la incomunicación de la que pudo haber</w:t>
      </w:r>
      <w:r>
        <w:rPr>
          <w:rFonts w:ascii="Abadi" w:hAnsi="Abadi" w:cs="*Verdana-7131-Identity-H"/>
          <w:color w:val="111113"/>
          <w:sz w:val="21"/>
          <w:szCs w:val="21"/>
        </w:rPr>
        <w:t xml:space="preserve"> </w:t>
      </w:r>
      <w:r w:rsidRPr="00710AC5">
        <w:rPr>
          <w:rFonts w:ascii="Abadi" w:hAnsi="Abadi" w:cs="*Verdana-7131-Identity-H"/>
          <w:color w:val="111113"/>
          <w:sz w:val="21"/>
          <w:szCs w:val="21"/>
        </w:rPr>
        <w:t>sido objeto la mujer fue previo a la privación de la vida.</w:t>
      </w:r>
    </w:p>
    <w:p w14:paraId="56024D5F" w14:textId="77777777" w:rsidR="00E732AC" w:rsidRPr="00710AC5" w:rsidRDefault="00E732AC" w:rsidP="00E732AC">
      <w:pPr>
        <w:autoSpaceDE w:val="0"/>
        <w:autoSpaceDN w:val="0"/>
        <w:adjustRightInd w:val="0"/>
        <w:jc w:val="both"/>
        <w:rPr>
          <w:rFonts w:ascii="Abadi" w:hAnsi="Abadi" w:cs="*Verdana-7131-Identity-H"/>
          <w:color w:val="111113"/>
          <w:sz w:val="21"/>
          <w:szCs w:val="21"/>
        </w:rPr>
      </w:pPr>
    </w:p>
    <w:p w14:paraId="315F0C34" w14:textId="77777777" w:rsidR="00E732AC" w:rsidRDefault="00E732AC" w:rsidP="00E732AC">
      <w:pPr>
        <w:autoSpaceDE w:val="0"/>
        <w:autoSpaceDN w:val="0"/>
        <w:adjustRightInd w:val="0"/>
        <w:ind w:firstLine="708"/>
        <w:jc w:val="both"/>
        <w:rPr>
          <w:rFonts w:ascii="Abadi" w:hAnsi="Abadi" w:cs="*Verdana-7131-Identity-H"/>
          <w:color w:val="131315"/>
          <w:sz w:val="21"/>
          <w:szCs w:val="21"/>
        </w:rPr>
      </w:pPr>
      <w:r w:rsidRPr="00710AC5">
        <w:rPr>
          <w:rFonts w:ascii="Abadi" w:hAnsi="Abadi" w:cs="*Verdana-7131-Identity-H"/>
          <w:color w:val="111114"/>
          <w:sz w:val="21"/>
          <w:szCs w:val="21"/>
        </w:rPr>
        <w:t>5.2. La modificación propuesta por la diputada Alma Edwviges Alcaraz</w:t>
      </w:r>
      <w:r>
        <w:rPr>
          <w:rFonts w:ascii="Abadi" w:hAnsi="Abadi" w:cs="*Verdana-7131-Identity-H"/>
          <w:color w:val="111114"/>
          <w:sz w:val="21"/>
          <w:szCs w:val="21"/>
        </w:rPr>
        <w:t xml:space="preserve"> </w:t>
      </w:r>
      <w:r w:rsidRPr="00710AC5">
        <w:rPr>
          <w:rFonts w:ascii="Abadi" w:hAnsi="Abadi" w:cs="*Verdana-7131-Identity-H"/>
          <w:color w:val="131315"/>
          <w:sz w:val="21"/>
          <w:szCs w:val="21"/>
        </w:rPr>
        <w:t xml:space="preserve">Hernández para incorporar en la </w:t>
      </w:r>
      <w:r w:rsidRPr="00710AC5">
        <w:rPr>
          <w:rFonts w:ascii="Abadi" w:hAnsi="Abadi" w:cs="*Verdana-Bold-7133-Identity-H"/>
          <w:b/>
          <w:bCs/>
          <w:color w:val="131315"/>
          <w:sz w:val="21"/>
          <w:szCs w:val="21"/>
        </w:rPr>
        <w:t xml:space="preserve">fracción </w:t>
      </w:r>
      <w:r w:rsidRPr="00710AC5">
        <w:rPr>
          <w:rFonts w:ascii="Abadi" w:hAnsi="Abadi" w:cs="*Verdana-7131-Identity-H"/>
          <w:color w:val="131315"/>
          <w:sz w:val="21"/>
          <w:szCs w:val="21"/>
        </w:rPr>
        <w:t xml:space="preserve">II, la expresión </w:t>
      </w:r>
      <w:r w:rsidRPr="00710AC5">
        <w:rPr>
          <w:rFonts w:ascii="Abadi" w:hAnsi="Abadi" w:cs="*Verdana-Italic-7132-Identity-H"/>
          <w:i/>
          <w:iCs/>
          <w:color w:val="131315"/>
          <w:sz w:val="21"/>
          <w:szCs w:val="21"/>
        </w:rPr>
        <w:t xml:space="preserve">cualquier tipo de, </w:t>
      </w:r>
      <w:r w:rsidRPr="00710AC5">
        <w:rPr>
          <w:rFonts w:ascii="Abadi" w:hAnsi="Abadi" w:cs="*Verdana-7131-Identity-H"/>
          <w:color w:val="131315"/>
          <w:sz w:val="21"/>
          <w:szCs w:val="21"/>
        </w:rPr>
        <w:t>al referir a</w:t>
      </w:r>
      <w:r>
        <w:rPr>
          <w:rFonts w:ascii="Abadi" w:hAnsi="Abadi" w:cs="*Verdana-7131-Identity-H"/>
          <w:color w:val="131315"/>
          <w:sz w:val="21"/>
          <w:szCs w:val="21"/>
        </w:rPr>
        <w:t xml:space="preserve"> </w:t>
      </w:r>
      <w:r w:rsidRPr="00710AC5">
        <w:rPr>
          <w:rFonts w:ascii="Abadi" w:hAnsi="Abadi" w:cs="*Verdana-7131-Identity-H"/>
          <w:color w:val="131315"/>
          <w:sz w:val="21"/>
          <w:szCs w:val="21"/>
        </w:rPr>
        <w:t>que la mujer víctima presente signos de violencia sexual, de igual forma se estimó</w:t>
      </w:r>
      <w:r>
        <w:rPr>
          <w:rFonts w:ascii="Abadi" w:hAnsi="Abadi" w:cs="*Verdana-7131-Identity-H"/>
          <w:color w:val="131315"/>
          <w:sz w:val="21"/>
          <w:szCs w:val="21"/>
        </w:rPr>
        <w:t xml:space="preserve"> </w:t>
      </w:r>
      <w:r w:rsidRPr="00710AC5">
        <w:rPr>
          <w:rFonts w:ascii="Abadi" w:hAnsi="Abadi" w:cs="*Verdana-7131-Identity-H"/>
          <w:color w:val="131315"/>
          <w:sz w:val="21"/>
          <w:szCs w:val="21"/>
        </w:rPr>
        <w:t>innecesaria de acuerdo a las siguientes consideraciones:</w:t>
      </w:r>
    </w:p>
    <w:p w14:paraId="266406CD" w14:textId="77777777" w:rsidR="00E732AC" w:rsidRPr="00710AC5" w:rsidRDefault="00E732AC" w:rsidP="00E732AC">
      <w:pPr>
        <w:autoSpaceDE w:val="0"/>
        <w:autoSpaceDN w:val="0"/>
        <w:adjustRightInd w:val="0"/>
        <w:jc w:val="both"/>
        <w:rPr>
          <w:rFonts w:ascii="Abadi" w:hAnsi="Abadi" w:cs="*Verdana-7131-Identity-H"/>
          <w:color w:val="131315"/>
          <w:sz w:val="21"/>
          <w:szCs w:val="21"/>
        </w:rPr>
      </w:pPr>
    </w:p>
    <w:p w14:paraId="6665AD21" w14:textId="77777777" w:rsidR="00E732AC" w:rsidRPr="00E27CC7" w:rsidRDefault="00E732AC" w:rsidP="00E732AC">
      <w:pPr>
        <w:pStyle w:val="Prrafodelista"/>
        <w:numPr>
          <w:ilvl w:val="0"/>
          <w:numId w:val="58"/>
        </w:numPr>
        <w:autoSpaceDE w:val="0"/>
        <w:autoSpaceDN w:val="0"/>
        <w:adjustRightInd w:val="0"/>
        <w:contextualSpacing/>
        <w:jc w:val="both"/>
        <w:rPr>
          <w:rFonts w:ascii="Abadi" w:hAnsi="Abadi" w:cs="*Verdana-7131-Identity-H"/>
          <w:color w:val="111013"/>
          <w:sz w:val="21"/>
          <w:szCs w:val="21"/>
        </w:rPr>
      </w:pPr>
      <w:r w:rsidRPr="00E27CC7">
        <w:rPr>
          <w:rFonts w:ascii="Abadi" w:hAnsi="Abadi" w:cs="*Verdana-7131-Identity-H"/>
          <w:color w:val="111013"/>
          <w:sz w:val="21"/>
          <w:szCs w:val="21"/>
        </w:rPr>
        <w:t>•Subsisten las mismas razones expuestas en la Legislatura anterior por las que no se estimó pertinente este agregado, esto es, porque habiendo violencia sexual, ya no es menester una tipología de ella, cualquier tipo de violencia cabe en el supuesto genérico.</w:t>
      </w:r>
    </w:p>
    <w:p w14:paraId="65AFAFD7" w14:textId="77777777" w:rsidR="00E732AC" w:rsidRPr="00710AC5" w:rsidRDefault="00E732AC" w:rsidP="00E732AC">
      <w:pPr>
        <w:autoSpaceDE w:val="0"/>
        <w:autoSpaceDN w:val="0"/>
        <w:adjustRightInd w:val="0"/>
        <w:jc w:val="both"/>
        <w:rPr>
          <w:rFonts w:ascii="Abadi" w:hAnsi="Abadi" w:cs="*Verdana-7131-Identity-H"/>
          <w:color w:val="111013"/>
          <w:sz w:val="21"/>
          <w:szCs w:val="21"/>
        </w:rPr>
      </w:pPr>
    </w:p>
    <w:p w14:paraId="1FF9B7AE" w14:textId="77777777" w:rsidR="00E732AC" w:rsidRPr="00E27CC7" w:rsidRDefault="00E732AC" w:rsidP="00E732AC">
      <w:pPr>
        <w:pStyle w:val="Prrafodelista"/>
        <w:numPr>
          <w:ilvl w:val="0"/>
          <w:numId w:val="58"/>
        </w:numPr>
        <w:autoSpaceDE w:val="0"/>
        <w:autoSpaceDN w:val="0"/>
        <w:adjustRightInd w:val="0"/>
        <w:contextualSpacing/>
        <w:jc w:val="both"/>
        <w:rPr>
          <w:rFonts w:ascii="Abadi" w:hAnsi="Abadi" w:cs="*Calibri-8649-Identity-H"/>
          <w:color w:val="101012"/>
          <w:sz w:val="21"/>
          <w:szCs w:val="21"/>
        </w:rPr>
      </w:pPr>
      <w:r w:rsidRPr="00E27CC7">
        <w:rPr>
          <w:rFonts w:ascii="Abadi" w:hAnsi="Abadi" w:cs="*Verdana-7131-Identity-H"/>
          <w:color w:val="111013"/>
          <w:sz w:val="21"/>
          <w:szCs w:val="21"/>
        </w:rPr>
        <w:t>•No omitimos mencionar además que la Ley de Acceso de las Mujeres a una Vida Libre de Violencia para el Estado de Guanajuato, establece que la violencia sexual es</w:t>
      </w:r>
      <w:r w:rsidRPr="00E27CC7">
        <w:rPr>
          <w:rFonts w:ascii="Abadi" w:hAnsi="Abadi" w:cs="*Calibri-8649-Identity-H"/>
          <w:color w:val="101012"/>
          <w:sz w:val="21"/>
          <w:szCs w:val="21"/>
        </w:rPr>
        <w:t xml:space="preserve"> cualquier acto de contenido sexual que amenaza, degrada o daña el cuerpo o la sexualidad de la víctima, o ambas, que atenta contra su libertad, dignidad, seguridad sexual o integridad física, que implica el abuso de poder y la supremacía sobre la víctima, al denigrarla y concebirla como objeto.</w:t>
      </w:r>
    </w:p>
    <w:p w14:paraId="4A084941" w14:textId="77777777" w:rsidR="00E732AC" w:rsidRPr="00710AC5" w:rsidRDefault="00E732AC" w:rsidP="00E732AC">
      <w:pPr>
        <w:autoSpaceDE w:val="0"/>
        <w:autoSpaceDN w:val="0"/>
        <w:adjustRightInd w:val="0"/>
        <w:jc w:val="both"/>
        <w:rPr>
          <w:rFonts w:ascii="Abadi" w:hAnsi="Abadi" w:cs="*Calibri-8649-Identity-H"/>
          <w:color w:val="101012"/>
          <w:sz w:val="21"/>
          <w:szCs w:val="21"/>
        </w:rPr>
      </w:pPr>
    </w:p>
    <w:p w14:paraId="3AEF218C" w14:textId="77777777" w:rsidR="00E732AC" w:rsidRDefault="00E732AC" w:rsidP="00E732AC">
      <w:pPr>
        <w:autoSpaceDE w:val="0"/>
        <w:autoSpaceDN w:val="0"/>
        <w:adjustRightInd w:val="0"/>
        <w:ind w:firstLine="360"/>
        <w:jc w:val="both"/>
        <w:rPr>
          <w:rFonts w:ascii="Abadi" w:hAnsi="Abadi" w:cs="*Verdana-Italic-8652-Identity-H"/>
          <w:i/>
          <w:iCs/>
          <w:color w:val="111113"/>
          <w:sz w:val="21"/>
          <w:szCs w:val="21"/>
        </w:rPr>
      </w:pPr>
      <w:r w:rsidRPr="00710AC5">
        <w:rPr>
          <w:rFonts w:ascii="Abadi" w:hAnsi="Abadi" w:cs="*Calibri-8649-Identity-H"/>
          <w:color w:val="0F0E10"/>
          <w:sz w:val="21"/>
          <w:szCs w:val="21"/>
        </w:rPr>
        <w:t>5.3. En relación con la propuesta de la diputada y el diputado integrantes del</w:t>
      </w:r>
      <w:r>
        <w:rPr>
          <w:rFonts w:ascii="Abadi" w:hAnsi="Abadi" w:cs="*Calibri-8649-Identity-H"/>
          <w:color w:val="0F0E10"/>
          <w:sz w:val="21"/>
          <w:szCs w:val="21"/>
        </w:rPr>
        <w:t xml:space="preserve"> </w:t>
      </w:r>
      <w:r w:rsidRPr="00710AC5">
        <w:rPr>
          <w:rFonts w:ascii="Abadi" w:hAnsi="Abadi" w:cs="*Calibri-8649-Identity-H"/>
          <w:color w:val="111113"/>
          <w:sz w:val="21"/>
          <w:szCs w:val="21"/>
        </w:rPr>
        <w:t>Grupo Parlamentario del Partido Verde Ecologista de México de la Sexagésima Cuarta</w:t>
      </w:r>
      <w:r>
        <w:rPr>
          <w:rFonts w:ascii="Abadi" w:hAnsi="Abadi" w:cs="*Calibri-8649-Identity-H"/>
          <w:color w:val="111113"/>
          <w:sz w:val="21"/>
          <w:szCs w:val="21"/>
        </w:rPr>
        <w:t xml:space="preserve"> </w:t>
      </w:r>
      <w:r w:rsidRPr="00710AC5">
        <w:rPr>
          <w:rFonts w:ascii="Abadi" w:hAnsi="Abadi" w:cs="*Calibri-8649-Identity-H"/>
          <w:color w:val="111113"/>
          <w:sz w:val="21"/>
          <w:szCs w:val="21"/>
        </w:rPr>
        <w:t xml:space="preserve">Legislatura a efecto de agregar a la </w:t>
      </w:r>
      <w:r w:rsidRPr="00710AC5">
        <w:rPr>
          <w:rFonts w:ascii="Abadi" w:hAnsi="Abadi" w:cs="*Verdana-Bold-8651-Identity-H"/>
          <w:b/>
          <w:bCs/>
          <w:color w:val="111113"/>
          <w:sz w:val="21"/>
          <w:szCs w:val="21"/>
        </w:rPr>
        <w:t xml:space="preserve">fracción </w:t>
      </w:r>
      <w:r w:rsidRPr="00710AC5">
        <w:rPr>
          <w:rFonts w:ascii="Abadi" w:hAnsi="Abadi" w:cs="*Tahoma-Bold-8653-Identity-H"/>
          <w:b/>
          <w:bCs/>
          <w:color w:val="111113"/>
          <w:sz w:val="21"/>
          <w:szCs w:val="21"/>
        </w:rPr>
        <w:t xml:space="preserve">IV </w:t>
      </w:r>
      <w:r w:rsidRPr="00710AC5">
        <w:rPr>
          <w:rFonts w:ascii="Abadi" w:hAnsi="Abadi" w:cs="*Calibri-8649-Identity-H"/>
          <w:color w:val="111113"/>
          <w:sz w:val="21"/>
          <w:szCs w:val="21"/>
        </w:rPr>
        <w:t xml:space="preserve">los </w:t>
      </w:r>
      <w:r w:rsidRPr="00710AC5">
        <w:rPr>
          <w:rFonts w:ascii="Abadi" w:hAnsi="Abadi" w:cs="*Verdana-Italic-8652-Identity-H"/>
          <w:i/>
          <w:iCs/>
          <w:color w:val="111113"/>
          <w:sz w:val="21"/>
          <w:szCs w:val="21"/>
        </w:rPr>
        <w:t xml:space="preserve">actos de necrofilia, </w:t>
      </w:r>
      <w:r w:rsidRPr="00710AC5">
        <w:rPr>
          <w:rFonts w:ascii="Abadi" w:hAnsi="Abadi" w:cs="*Calibri-8649-Identity-H"/>
          <w:color w:val="111113"/>
          <w:sz w:val="21"/>
          <w:szCs w:val="21"/>
        </w:rPr>
        <w:t>hubo coincidencia</w:t>
      </w:r>
      <w:r>
        <w:rPr>
          <w:rFonts w:ascii="Abadi" w:hAnsi="Abadi" w:cs="*Calibri-8649-Identity-H"/>
          <w:color w:val="111113"/>
          <w:sz w:val="21"/>
          <w:szCs w:val="21"/>
        </w:rPr>
        <w:t xml:space="preserve"> </w:t>
      </w:r>
      <w:r w:rsidRPr="00710AC5">
        <w:rPr>
          <w:rFonts w:ascii="Abadi" w:hAnsi="Abadi" w:cs="*Calibri-8649-Identity-H"/>
          <w:color w:val="111113"/>
          <w:sz w:val="21"/>
          <w:szCs w:val="21"/>
        </w:rPr>
        <w:t>de fondo para agregar este tipo de conductas para contemplarlas como razones de</w:t>
      </w:r>
      <w:r>
        <w:rPr>
          <w:rFonts w:ascii="Abadi" w:hAnsi="Abadi" w:cs="*Calibri-8649-Identity-H"/>
          <w:color w:val="111113"/>
          <w:sz w:val="21"/>
          <w:szCs w:val="21"/>
        </w:rPr>
        <w:t xml:space="preserve"> </w:t>
      </w:r>
      <w:r w:rsidRPr="00710AC5">
        <w:rPr>
          <w:rFonts w:ascii="Abadi" w:hAnsi="Abadi" w:cs="*Calibri-8649-Identity-H"/>
          <w:color w:val="111113"/>
          <w:sz w:val="21"/>
          <w:szCs w:val="21"/>
        </w:rPr>
        <w:t>género. La discusión se centró en la ubicación de este supuesto y, por ende, en su</w:t>
      </w:r>
      <w:r>
        <w:rPr>
          <w:rFonts w:ascii="Abadi" w:hAnsi="Abadi" w:cs="*Calibri-8649-Identity-H"/>
          <w:color w:val="111113"/>
          <w:sz w:val="21"/>
          <w:szCs w:val="21"/>
        </w:rPr>
        <w:t xml:space="preserve"> </w:t>
      </w:r>
      <w:r w:rsidRPr="00710AC5">
        <w:rPr>
          <w:rFonts w:ascii="Abadi" w:hAnsi="Abadi" w:cs="*Calibri-8649-Identity-H"/>
          <w:color w:val="111113"/>
          <w:sz w:val="21"/>
          <w:szCs w:val="21"/>
        </w:rPr>
        <w:t>redacción. Así pues y considerando estos actos de naturaleza sexual se estimó que</w:t>
      </w:r>
      <w:r>
        <w:rPr>
          <w:rFonts w:ascii="Abadi" w:hAnsi="Abadi" w:cs="*Calibri-8649-Identity-H"/>
          <w:color w:val="111113"/>
          <w:sz w:val="21"/>
          <w:szCs w:val="21"/>
        </w:rPr>
        <w:t xml:space="preserve"> </w:t>
      </w:r>
      <w:r w:rsidRPr="00710AC5">
        <w:rPr>
          <w:rFonts w:ascii="Abadi" w:hAnsi="Abadi" w:cs="*Calibri-8649-Identity-H"/>
          <w:color w:val="111113"/>
          <w:sz w:val="21"/>
          <w:szCs w:val="21"/>
        </w:rPr>
        <w:t>tendría un mejor acomodo en la fracción II, especificando que los signos de violencia</w:t>
      </w:r>
      <w:r>
        <w:rPr>
          <w:rFonts w:ascii="Abadi" w:hAnsi="Abadi" w:cs="*Calibri-8649-Identity-H"/>
          <w:color w:val="111113"/>
          <w:sz w:val="21"/>
          <w:szCs w:val="21"/>
        </w:rPr>
        <w:t xml:space="preserve"> </w:t>
      </w:r>
      <w:r w:rsidRPr="00710AC5">
        <w:rPr>
          <w:rFonts w:ascii="Abadi" w:hAnsi="Abadi" w:cs="*Calibri-8649-Identity-H"/>
          <w:color w:val="111113"/>
          <w:sz w:val="21"/>
          <w:szCs w:val="21"/>
        </w:rPr>
        <w:t xml:space="preserve">sexual pueden presentarse, </w:t>
      </w:r>
      <w:r w:rsidRPr="00710AC5">
        <w:rPr>
          <w:rFonts w:ascii="Abadi" w:hAnsi="Abadi" w:cs="*Verdana-Italic-8652-Identity-H"/>
          <w:i/>
          <w:iCs/>
          <w:color w:val="111113"/>
          <w:sz w:val="21"/>
          <w:szCs w:val="21"/>
        </w:rPr>
        <w:t>aún respecto del cadáver.</w:t>
      </w:r>
    </w:p>
    <w:p w14:paraId="02E6D706" w14:textId="77777777" w:rsidR="00E732AC" w:rsidRPr="00710AC5" w:rsidRDefault="00E732AC" w:rsidP="00E732AC">
      <w:pPr>
        <w:autoSpaceDE w:val="0"/>
        <w:autoSpaceDN w:val="0"/>
        <w:adjustRightInd w:val="0"/>
        <w:jc w:val="both"/>
        <w:rPr>
          <w:rFonts w:ascii="Abadi" w:hAnsi="Abadi" w:cs="*Verdana-Italic-8652-Identity-H"/>
          <w:i/>
          <w:iCs/>
          <w:color w:val="111113"/>
          <w:sz w:val="21"/>
          <w:szCs w:val="21"/>
        </w:rPr>
      </w:pPr>
    </w:p>
    <w:p w14:paraId="6CD3A884" w14:textId="77777777" w:rsidR="00E732AC" w:rsidRDefault="00E732AC" w:rsidP="00E732AC">
      <w:pPr>
        <w:autoSpaceDE w:val="0"/>
        <w:autoSpaceDN w:val="0"/>
        <w:adjustRightInd w:val="0"/>
        <w:ind w:firstLine="708"/>
        <w:jc w:val="both"/>
        <w:rPr>
          <w:rFonts w:ascii="Abadi" w:hAnsi="Abadi" w:cs="*Calibri-8649-Identity-H"/>
          <w:color w:val="121214"/>
          <w:sz w:val="21"/>
          <w:szCs w:val="21"/>
        </w:rPr>
      </w:pPr>
      <w:r w:rsidRPr="00710AC5">
        <w:rPr>
          <w:rFonts w:ascii="Abadi" w:hAnsi="Abadi" w:cs="*Calibri-8649-Identity-H"/>
          <w:color w:val="121114"/>
          <w:sz w:val="21"/>
          <w:szCs w:val="21"/>
        </w:rPr>
        <w:t>5.4. La propuesta de las diputadas y los diputados integrantes del Grupo</w:t>
      </w:r>
      <w:r>
        <w:rPr>
          <w:rFonts w:ascii="Abadi" w:hAnsi="Abadi" w:cs="*Calibri-8649-Identity-H"/>
          <w:color w:val="121114"/>
          <w:sz w:val="21"/>
          <w:szCs w:val="21"/>
        </w:rPr>
        <w:t xml:space="preserve"> </w:t>
      </w:r>
      <w:r w:rsidRPr="00710AC5">
        <w:rPr>
          <w:rFonts w:ascii="Abadi" w:hAnsi="Abadi" w:cs="*Calibri-8649-Identity-H"/>
          <w:color w:val="121214"/>
          <w:sz w:val="21"/>
          <w:szCs w:val="21"/>
        </w:rPr>
        <w:t xml:space="preserve">Parlamentario del Partido Acción Nacional de agregar en la </w:t>
      </w:r>
      <w:r w:rsidRPr="00710AC5">
        <w:rPr>
          <w:rFonts w:ascii="Abadi" w:hAnsi="Abadi" w:cs="*Verdana-Bold-8651-Identity-H"/>
          <w:b/>
          <w:bCs/>
          <w:color w:val="121214"/>
          <w:sz w:val="21"/>
          <w:szCs w:val="21"/>
        </w:rPr>
        <w:t xml:space="preserve">fracción </w:t>
      </w:r>
      <w:r w:rsidRPr="00710AC5">
        <w:rPr>
          <w:rFonts w:ascii="Abadi" w:hAnsi="Abadi" w:cs="*Calibri-8649-Identity-H"/>
          <w:color w:val="121214"/>
          <w:sz w:val="21"/>
          <w:szCs w:val="21"/>
        </w:rPr>
        <w:t xml:space="preserve">V que, </w:t>
      </w:r>
      <w:r w:rsidRPr="00710AC5">
        <w:rPr>
          <w:rFonts w:ascii="Abadi" w:hAnsi="Abadi" w:cs="*Verdana-Italic-8652-Identity-H"/>
          <w:i/>
          <w:iCs/>
          <w:color w:val="121214"/>
          <w:sz w:val="21"/>
          <w:szCs w:val="21"/>
        </w:rPr>
        <w:t>previo a la</w:t>
      </w:r>
      <w:r>
        <w:rPr>
          <w:rFonts w:ascii="Abadi" w:hAnsi="Abadi" w:cs="*Verdana-Italic-8652-Identity-H"/>
          <w:i/>
          <w:iCs/>
          <w:color w:val="121214"/>
          <w:sz w:val="21"/>
          <w:szCs w:val="21"/>
        </w:rPr>
        <w:t xml:space="preserve"> </w:t>
      </w:r>
      <w:r w:rsidRPr="00710AC5">
        <w:rPr>
          <w:rFonts w:ascii="Abadi" w:hAnsi="Abadi" w:cs="*Verdana-Italic-8652-Identity-H"/>
          <w:i/>
          <w:iCs/>
          <w:color w:val="121214"/>
          <w:sz w:val="21"/>
          <w:szCs w:val="21"/>
        </w:rPr>
        <w:t>privación de la vida de la mujer haya existido amenazas, acoso, lesiones o violencia en</w:t>
      </w:r>
      <w:r>
        <w:rPr>
          <w:rFonts w:ascii="Abadi" w:hAnsi="Abadi" w:cs="*Verdana-Italic-8652-Identity-H"/>
          <w:i/>
          <w:iCs/>
          <w:color w:val="121214"/>
          <w:sz w:val="21"/>
          <w:szCs w:val="21"/>
        </w:rPr>
        <w:t xml:space="preserve"> </w:t>
      </w:r>
      <w:r w:rsidRPr="00710AC5">
        <w:rPr>
          <w:rFonts w:ascii="Abadi" w:hAnsi="Abadi" w:cs="*Verdana-Italic-8652-Identity-H"/>
          <w:i/>
          <w:iCs/>
          <w:color w:val="121214"/>
          <w:sz w:val="21"/>
          <w:szCs w:val="21"/>
        </w:rPr>
        <w:t xml:space="preserve">el ámbito político, </w:t>
      </w:r>
      <w:r w:rsidRPr="00710AC5">
        <w:rPr>
          <w:rFonts w:ascii="Abadi" w:hAnsi="Abadi" w:cs="*Calibri-8649-Identity-H"/>
          <w:color w:val="121214"/>
          <w:sz w:val="21"/>
          <w:szCs w:val="21"/>
        </w:rPr>
        <w:t>se consideró oportuna, atendiendo a la teleología del tipo penal y a la</w:t>
      </w:r>
      <w:r>
        <w:rPr>
          <w:rFonts w:ascii="Abadi" w:hAnsi="Abadi" w:cs="*Calibri-8649-Identity-H"/>
          <w:color w:val="121214"/>
          <w:sz w:val="21"/>
          <w:szCs w:val="21"/>
        </w:rPr>
        <w:t xml:space="preserve"> </w:t>
      </w:r>
      <w:r w:rsidRPr="00710AC5">
        <w:rPr>
          <w:rFonts w:ascii="Abadi" w:hAnsi="Abadi" w:cs="*Calibri-8649-Identity-H"/>
          <w:color w:val="121214"/>
          <w:sz w:val="21"/>
          <w:szCs w:val="21"/>
        </w:rPr>
        <w:t>génesis y naturaleza del supuesto normativo. Es necesario reconocer que con la</w:t>
      </w:r>
      <w:r>
        <w:rPr>
          <w:rFonts w:ascii="Abadi" w:hAnsi="Abadi" w:cs="*Calibri-8649-Identity-H"/>
          <w:color w:val="121214"/>
          <w:sz w:val="21"/>
          <w:szCs w:val="21"/>
        </w:rPr>
        <w:t xml:space="preserve"> </w:t>
      </w:r>
      <w:r w:rsidRPr="00710AC5">
        <w:rPr>
          <w:rFonts w:ascii="Abadi" w:hAnsi="Abadi" w:cs="*Calibri-8649-Identity-H"/>
          <w:color w:val="121214"/>
          <w:sz w:val="21"/>
          <w:szCs w:val="21"/>
        </w:rPr>
        <w:t>participación de la mujer cada vez más activa en la política hay mayores señales de</w:t>
      </w:r>
      <w:r>
        <w:rPr>
          <w:rFonts w:ascii="Abadi" w:hAnsi="Abadi" w:cs="*Calibri-8649-Identity-H"/>
          <w:color w:val="121214"/>
          <w:sz w:val="21"/>
          <w:szCs w:val="21"/>
        </w:rPr>
        <w:t xml:space="preserve"> </w:t>
      </w:r>
      <w:r w:rsidRPr="00710AC5">
        <w:rPr>
          <w:rFonts w:ascii="Abadi" w:hAnsi="Abadi" w:cs="*Calibri-8649-Identity-H"/>
          <w:color w:val="121214"/>
          <w:sz w:val="21"/>
          <w:szCs w:val="21"/>
        </w:rPr>
        <w:t>aumento de la violencia hacia ella.</w:t>
      </w:r>
    </w:p>
    <w:p w14:paraId="0EF4B7A9" w14:textId="77777777" w:rsidR="00E732AC" w:rsidRPr="00710AC5" w:rsidRDefault="00E732AC" w:rsidP="00E732AC">
      <w:pPr>
        <w:autoSpaceDE w:val="0"/>
        <w:autoSpaceDN w:val="0"/>
        <w:adjustRightInd w:val="0"/>
        <w:jc w:val="both"/>
        <w:rPr>
          <w:rFonts w:ascii="Abadi" w:hAnsi="Abadi" w:cs="*Calibri-8649-Identity-H"/>
          <w:color w:val="121214"/>
          <w:sz w:val="21"/>
          <w:szCs w:val="21"/>
        </w:rPr>
      </w:pPr>
    </w:p>
    <w:p w14:paraId="5D368192" w14:textId="77777777" w:rsidR="00E732AC" w:rsidRDefault="00E732AC" w:rsidP="00E732AC">
      <w:pPr>
        <w:autoSpaceDE w:val="0"/>
        <w:autoSpaceDN w:val="0"/>
        <w:adjustRightInd w:val="0"/>
        <w:ind w:firstLine="708"/>
        <w:jc w:val="both"/>
        <w:rPr>
          <w:rFonts w:ascii="Abadi" w:hAnsi="Abadi" w:cs="*Calibri-8649-Identity-H"/>
          <w:color w:val="111113"/>
          <w:sz w:val="21"/>
          <w:szCs w:val="21"/>
        </w:rPr>
      </w:pPr>
      <w:r>
        <w:rPr>
          <w:rFonts w:ascii="Abadi" w:hAnsi="Abadi" w:cs="*Calibri-8649-Identity-H"/>
          <w:color w:val="131315"/>
          <w:sz w:val="21"/>
          <w:szCs w:val="21"/>
        </w:rPr>
        <w:t>5.5</w:t>
      </w:r>
      <w:r w:rsidRPr="00710AC5">
        <w:rPr>
          <w:rFonts w:ascii="Abadi" w:hAnsi="Abadi" w:cs="*Calibri-8649-Identity-H"/>
          <w:color w:val="131315"/>
          <w:sz w:val="21"/>
          <w:szCs w:val="21"/>
        </w:rPr>
        <w:t xml:space="preserve"> La propuesta de la diputada Alma Edwviges Alcaraz Hernández para</w:t>
      </w:r>
      <w:r>
        <w:rPr>
          <w:rFonts w:ascii="Abadi" w:hAnsi="Abadi" w:cs="*Calibri-8649-Identity-H"/>
          <w:color w:val="131315"/>
          <w:sz w:val="21"/>
          <w:szCs w:val="21"/>
        </w:rPr>
        <w:t xml:space="preserve"> </w:t>
      </w:r>
      <w:r w:rsidRPr="00710AC5">
        <w:rPr>
          <w:rFonts w:ascii="Abadi" w:hAnsi="Abadi" w:cs="*Calibri-8649-Identity-H"/>
          <w:color w:val="111113"/>
          <w:sz w:val="21"/>
          <w:szCs w:val="21"/>
        </w:rPr>
        <w:t xml:space="preserve">agregar en la </w:t>
      </w:r>
      <w:r w:rsidRPr="00710AC5">
        <w:rPr>
          <w:rFonts w:ascii="Abadi" w:hAnsi="Abadi" w:cs="*Verdana-Bold-8651-Identity-H"/>
          <w:b/>
          <w:bCs/>
          <w:color w:val="111113"/>
          <w:sz w:val="21"/>
          <w:szCs w:val="21"/>
        </w:rPr>
        <w:t xml:space="preserve">fracción </w:t>
      </w:r>
      <w:r w:rsidRPr="00710AC5">
        <w:rPr>
          <w:rFonts w:ascii="Abadi" w:hAnsi="Abadi" w:cs="*Calibri-8649-Identity-H"/>
          <w:color w:val="111113"/>
          <w:sz w:val="21"/>
          <w:szCs w:val="21"/>
        </w:rPr>
        <w:t xml:space="preserve">V la expresión </w:t>
      </w:r>
      <w:r w:rsidRPr="00710AC5">
        <w:rPr>
          <w:rFonts w:ascii="Abadi" w:hAnsi="Abadi" w:cs="*Verdana-Italic-8652-Identity-H"/>
          <w:i/>
          <w:iCs/>
          <w:color w:val="111113"/>
          <w:sz w:val="21"/>
          <w:szCs w:val="21"/>
        </w:rPr>
        <w:t xml:space="preserve">cualquier tipo de, </w:t>
      </w:r>
      <w:r w:rsidRPr="00710AC5">
        <w:rPr>
          <w:rFonts w:ascii="Abadi" w:hAnsi="Abadi" w:cs="*Calibri-8649-Identity-H"/>
          <w:color w:val="111113"/>
          <w:sz w:val="21"/>
          <w:szCs w:val="21"/>
        </w:rPr>
        <w:t>al referir a la violencia, se estimó</w:t>
      </w:r>
      <w:r>
        <w:rPr>
          <w:rFonts w:ascii="Abadi" w:hAnsi="Abadi" w:cs="*Calibri-8649-Identity-H"/>
          <w:color w:val="111113"/>
          <w:sz w:val="21"/>
          <w:szCs w:val="21"/>
        </w:rPr>
        <w:t xml:space="preserve"> </w:t>
      </w:r>
      <w:r w:rsidRPr="00710AC5">
        <w:rPr>
          <w:rFonts w:ascii="Abadi" w:hAnsi="Abadi" w:cs="*Calibri-8649-Identity-H"/>
          <w:color w:val="111113"/>
          <w:sz w:val="21"/>
          <w:szCs w:val="21"/>
        </w:rPr>
        <w:t xml:space="preserve">innecesaria, ya que su redacción vigente se entiende que se refiere a </w:t>
      </w:r>
      <w:r w:rsidRPr="00710AC5">
        <w:rPr>
          <w:rFonts w:ascii="Abadi" w:hAnsi="Abadi" w:cs="*Verdana-Italic-8652-Identity-H"/>
          <w:i/>
          <w:iCs/>
          <w:color w:val="111113"/>
          <w:sz w:val="21"/>
          <w:szCs w:val="21"/>
        </w:rPr>
        <w:t>cualquier tipo de</w:t>
      </w:r>
      <w:r>
        <w:rPr>
          <w:rFonts w:ascii="Abadi" w:hAnsi="Abadi" w:cs="*Verdana-Italic-8652-Identity-H"/>
          <w:i/>
          <w:iCs/>
          <w:color w:val="111113"/>
          <w:sz w:val="21"/>
          <w:szCs w:val="21"/>
        </w:rPr>
        <w:t xml:space="preserve"> </w:t>
      </w:r>
      <w:r w:rsidRPr="00710AC5">
        <w:rPr>
          <w:rFonts w:ascii="Abadi" w:hAnsi="Abadi" w:cs="*Verdana-Italic-8652-Identity-H"/>
          <w:i/>
          <w:iCs/>
          <w:color w:val="111113"/>
          <w:sz w:val="21"/>
          <w:szCs w:val="21"/>
        </w:rPr>
        <w:t xml:space="preserve">violencia, </w:t>
      </w:r>
      <w:r w:rsidRPr="00710AC5">
        <w:rPr>
          <w:rFonts w:ascii="Abadi" w:hAnsi="Abadi" w:cs="*Calibri-8649-Identity-H"/>
          <w:color w:val="111113"/>
          <w:sz w:val="21"/>
          <w:szCs w:val="21"/>
        </w:rPr>
        <w:t>de manera general, no a la especie o a alguno de sus tipos específicos. Se</w:t>
      </w:r>
      <w:r>
        <w:rPr>
          <w:rFonts w:ascii="Abadi" w:hAnsi="Abadi" w:cs="*Calibri-8649-Identity-H"/>
          <w:color w:val="111113"/>
          <w:sz w:val="21"/>
          <w:szCs w:val="21"/>
        </w:rPr>
        <w:t xml:space="preserve"> </w:t>
      </w:r>
      <w:r w:rsidRPr="00710AC5">
        <w:rPr>
          <w:rFonts w:ascii="Abadi" w:hAnsi="Abadi" w:cs="*Calibri-8649-Identity-H"/>
          <w:color w:val="111113"/>
          <w:sz w:val="21"/>
          <w:szCs w:val="21"/>
        </w:rPr>
        <w:t>estimó que el supuesto vigente no causa problemas de integración o que se considere</w:t>
      </w:r>
      <w:r>
        <w:rPr>
          <w:rFonts w:ascii="Abadi" w:hAnsi="Abadi" w:cs="*Calibri-8649-Identity-H"/>
          <w:color w:val="111113"/>
          <w:sz w:val="21"/>
          <w:szCs w:val="21"/>
        </w:rPr>
        <w:t xml:space="preserve"> </w:t>
      </w:r>
      <w:r w:rsidRPr="00710AC5">
        <w:rPr>
          <w:rFonts w:ascii="Abadi" w:hAnsi="Abadi" w:cs="*Calibri-8649-Identity-H"/>
          <w:color w:val="111113"/>
          <w:sz w:val="21"/>
          <w:szCs w:val="21"/>
        </w:rPr>
        <w:t>incompleto.</w:t>
      </w:r>
    </w:p>
    <w:p w14:paraId="0F159A34" w14:textId="77777777" w:rsidR="00E732AC" w:rsidRPr="00710AC5" w:rsidRDefault="00E732AC" w:rsidP="00E732AC">
      <w:pPr>
        <w:autoSpaceDE w:val="0"/>
        <w:autoSpaceDN w:val="0"/>
        <w:adjustRightInd w:val="0"/>
        <w:jc w:val="both"/>
        <w:rPr>
          <w:rFonts w:ascii="Abadi" w:hAnsi="Abadi" w:cs="*Calibri-8649-Identity-H"/>
          <w:color w:val="111113"/>
          <w:sz w:val="21"/>
          <w:szCs w:val="21"/>
        </w:rPr>
      </w:pPr>
    </w:p>
    <w:p w14:paraId="4AC98067" w14:textId="77777777" w:rsidR="00E732AC" w:rsidRDefault="00E732AC" w:rsidP="00E732AC">
      <w:pPr>
        <w:autoSpaceDE w:val="0"/>
        <w:autoSpaceDN w:val="0"/>
        <w:adjustRightInd w:val="0"/>
        <w:ind w:firstLine="708"/>
        <w:jc w:val="both"/>
        <w:rPr>
          <w:rFonts w:ascii="Abadi" w:hAnsi="Abadi" w:cs="*Verdana-8125-Identity-H"/>
          <w:color w:val="121214"/>
          <w:sz w:val="21"/>
          <w:szCs w:val="21"/>
        </w:rPr>
      </w:pPr>
      <w:r w:rsidRPr="00710AC5">
        <w:rPr>
          <w:rFonts w:ascii="Abadi" w:hAnsi="Abadi" w:cs="*Calibri-8649-Identity-H"/>
          <w:color w:val="101013"/>
          <w:sz w:val="21"/>
          <w:szCs w:val="21"/>
        </w:rPr>
        <w:t xml:space="preserve">5.6. La propuesta de redacción de la </w:t>
      </w:r>
      <w:r w:rsidRPr="00710AC5">
        <w:rPr>
          <w:rFonts w:ascii="Abadi" w:hAnsi="Abadi" w:cs="*Verdana-Bold-8651-Identity-H"/>
          <w:b/>
          <w:bCs/>
          <w:color w:val="101013"/>
          <w:sz w:val="21"/>
          <w:szCs w:val="21"/>
        </w:rPr>
        <w:t xml:space="preserve">fracción </w:t>
      </w:r>
      <w:r w:rsidRPr="00710AC5">
        <w:rPr>
          <w:rFonts w:ascii="Abadi" w:hAnsi="Abadi" w:cs="*Tahoma-Bold-8653-Identity-H"/>
          <w:b/>
          <w:bCs/>
          <w:color w:val="101013"/>
          <w:sz w:val="21"/>
          <w:szCs w:val="21"/>
        </w:rPr>
        <w:t xml:space="preserve">VI </w:t>
      </w:r>
      <w:r w:rsidRPr="00710AC5">
        <w:rPr>
          <w:rFonts w:ascii="Abadi" w:hAnsi="Abadi" w:cs="*Calibri-8649-Identity-H"/>
          <w:color w:val="101013"/>
          <w:sz w:val="21"/>
          <w:szCs w:val="21"/>
        </w:rPr>
        <w:t>formulada por el</w:t>
      </w:r>
      <w:r>
        <w:rPr>
          <w:rFonts w:ascii="Abadi" w:hAnsi="Abadi" w:cs="*Calibri-8649-Identity-H"/>
          <w:color w:val="101013"/>
          <w:sz w:val="21"/>
          <w:szCs w:val="21"/>
        </w:rPr>
        <w:t xml:space="preserve"> </w:t>
      </w:r>
      <w:r w:rsidRPr="00710AC5">
        <w:rPr>
          <w:rFonts w:ascii="Abadi" w:hAnsi="Abadi" w:cs="*Calibri-8649-Identity-H"/>
          <w:color w:val="101012"/>
          <w:sz w:val="21"/>
          <w:szCs w:val="21"/>
        </w:rPr>
        <w:t>Ayuntamiento de León, resulta innecesaria ya que es sustancialmente el supuesto</w:t>
      </w:r>
      <w:r>
        <w:rPr>
          <w:rFonts w:ascii="Abadi" w:hAnsi="Abadi" w:cs="*Calibri-8649-Identity-H"/>
          <w:color w:val="101012"/>
          <w:sz w:val="21"/>
          <w:szCs w:val="21"/>
        </w:rPr>
        <w:t xml:space="preserve"> </w:t>
      </w:r>
      <w:r w:rsidRPr="00710AC5">
        <w:rPr>
          <w:rFonts w:ascii="Abadi" w:hAnsi="Abadi" w:cs="*Calibri-8649-Identity-H"/>
          <w:color w:val="101012"/>
          <w:sz w:val="21"/>
          <w:szCs w:val="21"/>
        </w:rPr>
        <w:t>vigente. El Código Penal del Estado de Guanajuato, a partir de la reforma del 13 de julio</w:t>
      </w:r>
      <w:r>
        <w:rPr>
          <w:rFonts w:ascii="Abadi" w:hAnsi="Abadi" w:cs="*Calibri-8649-Identity-H"/>
          <w:color w:val="101012"/>
          <w:sz w:val="21"/>
          <w:szCs w:val="21"/>
        </w:rPr>
        <w:t xml:space="preserve"> </w:t>
      </w:r>
      <w:r w:rsidRPr="00710AC5">
        <w:rPr>
          <w:rFonts w:ascii="Abadi" w:hAnsi="Abadi" w:cs="*Calibri-8649-Identity-H"/>
          <w:color w:val="101012"/>
          <w:sz w:val="21"/>
          <w:szCs w:val="21"/>
        </w:rPr>
        <w:t>de 2020, ya contempla la previsión propuesta por el Ayuntamiento in</w:t>
      </w:r>
      <w:r>
        <w:rPr>
          <w:rFonts w:ascii="Abadi" w:hAnsi="Abadi" w:cs="*Calibri-8649-Identity-H"/>
          <w:color w:val="101012"/>
          <w:sz w:val="21"/>
          <w:szCs w:val="21"/>
        </w:rPr>
        <w:t>i</w:t>
      </w:r>
      <w:r w:rsidRPr="00710AC5">
        <w:rPr>
          <w:rFonts w:ascii="Abadi" w:hAnsi="Abadi" w:cs="*Calibri-8649-Identity-H"/>
          <w:color w:val="101012"/>
          <w:sz w:val="21"/>
          <w:szCs w:val="21"/>
        </w:rPr>
        <w:t>ciante, por lo que</w:t>
      </w:r>
      <w:r>
        <w:rPr>
          <w:rFonts w:ascii="Abadi" w:hAnsi="Abadi" w:cs="*Calibri-8649-Identity-H"/>
          <w:color w:val="101012"/>
          <w:sz w:val="21"/>
          <w:szCs w:val="21"/>
        </w:rPr>
        <w:t xml:space="preserve"> </w:t>
      </w:r>
      <w:r w:rsidRPr="00710AC5">
        <w:rPr>
          <w:rFonts w:ascii="Abadi" w:hAnsi="Abadi" w:cs="*Verdana-8125-Identity-H"/>
          <w:color w:val="121214"/>
          <w:sz w:val="21"/>
          <w:szCs w:val="21"/>
        </w:rPr>
        <w:t>no sería necesario reformar la citada fracción.</w:t>
      </w:r>
    </w:p>
    <w:p w14:paraId="2F4FBC25" w14:textId="77777777" w:rsidR="00E732AC" w:rsidRPr="00710AC5" w:rsidRDefault="00E732AC" w:rsidP="00E732AC">
      <w:pPr>
        <w:autoSpaceDE w:val="0"/>
        <w:autoSpaceDN w:val="0"/>
        <w:adjustRightInd w:val="0"/>
        <w:jc w:val="both"/>
        <w:rPr>
          <w:rFonts w:ascii="Abadi" w:hAnsi="Abadi" w:cs="*Verdana-8125-Identity-H"/>
          <w:color w:val="121214"/>
          <w:sz w:val="21"/>
          <w:szCs w:val="21"/>
        </w:rPr>
      </w:pPr>
    </w:p>
    <w:p w14:paraId="20F1B148" w14:textId="77777777" w:rsidR="00E732AC" w:rsidRDefault="00E732AC" w:rsidP="00E732AC">
      <w:pPr>
        <w:autoSpaceDE w:val="0"/>
        <w:autoSpaceDN w:val="0"/>
        <w:adjustRightInd w:val="0"/>
        <w:ind w:firstLine="708"/>
        <w:jc w:val="both"/>
        <w:rPr>
          <w:rFonts w:ascii="Abadi" w:hAnsi="Abadi" w:cs="*Verdana-8125-Identity-H"/>
          <w:color w:val="111113"/>
          <w:sz w:val="21"/>
          <w:szCs w:val="21"/>
        </w:rPr>
      </w:pPr>
      <w:r w:rsidRPr="00710AC5">
        <w:rPr>
          <w:rFonts w:ascii="Abadi" w:hAnsi="Abadi" w:cs="*Verdana-8125-Identity-H"/>
          <w:color w:val="101013"/>
          <w:sz w:val="21"/>
          <w:szCs w:val="21"/>
        </w:rPr>
        <w:t>5. 7. La propuesta de la diputada Alma Edwviges Alcaraz Hernández en relación</w:t>
      </w:r>
      <w:r>
        <w:rPr>
          <w:rFonts w:ascii="Abadi" w:hAnsi="Abadi" w:cs="*Verdana-8125-Identity-H"/>
          <w:color w:val="101013"/>
          <w:sz w:val="21"/>
          <w:szCs w:val="21"/>
        </w:rPr>
        <w:t xml:space="preserve"> </w:t>
      </w:r>
      <w:r w:rsidRPr="00710AC5">
        <w:rPr>
          <w:rFonts w:ascii="Abadi" w:hAnsi="Abadi" w:cs="*Verdana-8125-Identity-H"/>
          <w:color w:val="111113"/>
          <w:sz w:val="21"/>
          <w:szCs w:val="21"/>
        </w:rPr>
        <w:t xml:space="preserve">con la misma </w:t>
      </w:r>
      <w:r w:rsidRPr="00710AC5">
        <w:rPr>
          <w:rFonts w:ascii="Abadi" w:hAnsi="Abadi" w:cs="*Tahoma-Bold-8129-Identity-H"/>
          <w:b/>
          <w:bCs/>
          <w:color w:val="111113"/>
          <w:sz w:val="21"/>
          <w:szCs w:val="21"/>
        </w:rPr>
        <w:t xml:space="preserve">fracción </w:t>
      </w:r>
      <w:r w:rsidRPr="00710AC5">
        <w:rPr>
          <w:rFonts w:ascii="Abadi" w:hAnsi="Abadi" w:cs="*Tahoma-Bold-8128-Identity-H"/>
          <w:b/>
          <w:bCs/>
          <w:color w:val="111113"/>
          <w:sz w:val="21"/>
          <w:szCs w:val="21"/>
        </w:rPr>
        <w:t xml:space="preserve">VI, </w:t>
      </w:r>
      <w:r w:rsidRPr="00710AC5">
        <w:rPr>
          <w:rFonts w:ascii="Abadi" w:hAnsi="Abadi" w:cs="*Verdana-8125-Identity-H"/>
          <w:color w:val="111113"/>
          <w:sz w:val="21"/>
          <w:szCs w:val="21"/>
        </w:rPr>
        <w:t>a efecto de incorporar algunos conceptos a este supuesto,</w:t>
      </w:r>
      <w:r>
        <w:rPr>
          <w:rFonts w:ascii="Abadi" w:hAnsi="Abadi" w:cs="*Verdana-8125-Identity-H"/>
          <w:color w:val="111113"/>
          <w:sz w:val="21"/>
          <w:szCs w:val="21"/>
        </w:rPr>
        <w:t xml:space="preserve"> </w:t>
      </w:r>
      <w:r w:rsidRPr="00710AC5">
        <w:rPr>
          <w:rFonts w:ascii="Abadi" w:hAnsi="Abadi" w:cs="*Verdana-8125-Identity-H"/>
          <w:color w:val="111113"/>
          <w:sz w:val="21"/>
          <w:szCs w:val="21"/>
        </w:rPr>
        <w:t>se estimó Inviable, de acuerdo con lo siguiente:</w:t>
      </w:r>
    </w:p>
    <w:p w14:paraId="732AE8D3" w14:textId="77777777" w:rsidR="00E732AC" w:rsidRPr="00710AC5" w:rsidRDefault="00E732AC" w:rsidP="00E732AC">
      <w:pPr>
        <w:autoSpaceDE w:val="0"/>
        <w:autoSpaceDN w:val="0"/>
        <w:adjustRightInd w:val="0"/>
        <w:jc w:val="both"/>
        <w:rPr>
          <w:rFonts w:ascii="Abadi" w:hAnsi="Abadi" w:cs="*Verdana-8125-Identity-H"/>
          <w:color w:val="111113"/>
          <w:sz w:val="21"/>
          <w:szCs w:val="21"/>
        </w:rPr>
      </w:pPr>
    </w:p>
    <w:p w14:paraId="5032E668" w14:textId="77777777" w:rsidR="00E732AC" w:rsidRPr="00E27CC7" w:rsidRDefault="00E732AC" w:rsidP="00E732AC">
      <w:pPr>
        <w:pStyle w:val="Prrafodelista"/>
        <w:numPr>
          <w:ilvl w:val="0"/>
          <w:numId w:val="59"/>
        </w:numPr>
        <w:autoSpaceDE w:val="0"/>
        <w:autoSpaceDN w:val="0"/>
        <w:adjustRightInd w:val="0"/>
        <w:contextualSpacing/>
        <w:jc w:val="both"/>
        <w:rPr>
          <w:rFonts w:ascii="Abadi" w:hAnsi="Abadi" w:cs="*Verdana-8125-Identity-H"/>
          <w:color w:val="111013"/>
          <w:sz w:val="21"/>
          <w:szCs w:val="21"/>
        </w:rPr>
      </w:pPr>
      <w:r w:rsidRPr="00E27CC7">
        <w:rPr>
          <w:rFonts w:ascii="Abadi" w:hAnsi="Abadi" w:cs="*Verdana-8125-Identity-H"/>
          <w:color w:val="111013"/>
          <w:sz w:val="21"/>
          <w:szCs w:val="21"/>
        </w:rPr>
        <w:t xml:space="preserve">Lo relativo a la </w:t>
      </w:r>
      <w:r w:rsidRPr="00E27CC7">
        <w:rPr>
          <w:rFonts w:ascii="Abadi" w:hAnsi="Abadi" w:cs="*Verdana-Italic-8126-Identity-H"/>
          <w:i/>
          <w:iCs/>
          <w:color w:val="111013"/>
          <w:sz w:val="21"/>
          <w:szCs w:val="21"/>
        </w:rPr>
        <w:t xml:space="preserve">relación sentimental </w:t>
      </w:r>
      <w:r w:rsidRPr="00E27CC7">
        <w:rPr>
          <w:rFonts w:ascii="Abadi" w:hAnsi="Abadi" w:cs="*Verdana-8125-Identity-H"/>
          <w:color w:val="111013"/>
          <w:sz w:val="21"/>
          <w:szCs w:val="21"/>
        </w:rPr>
        <w:t>subsiste el mismo criterio que el sustentado por la anterior Legislatura, en cuanto a que no tiene una connotación jurídica definida y, por tanto, tendría que sujetarse a la prueba idónea, de suyo difícil ante la indicada falta de precisión jurídica.</w:t>
      </w:r>
    </w:p>
    <w:p w14:paraId="4BBDF215" w14:textId="77777777" w:rsidR="00E732AC" w:rsidRPr="00710AC5" w:rsidRDefault="00E732AC" w:rsidP="00E732AC">
      <w:pPr>
        <w:autoSpaceDE w:val="0"/>
        <w:autoSpaceDN w:val="0"/>
        <w:adjustRightInd w:val="0"/>
        <w:jc w:val="both"/>
        <w:rPr>
          <w:rFonts w:ascii="Abadi" w:hAnsi="Abadi" w:cs="*Verdana-8125-Identity-H"/>
          <w:color w:val="111013"/>
          <w:sz w:val="21"/>
          <w:szCs w:val="21"/>
        </w:rPr>
      </w:pPr>
    </w:p>
    <w:p w14:paraId="50FCE259" w14:textId="77777777" w:rsidR="00E732AC" w:rsidRPr="00E27CC7" w:rsidRDefault="00E732AC" w:rsidP="00E732AC">
      <w:pPr>
        <w:pStyle w:val="Prrafodelista"/>
        <w:numPr>
          <w:ilvl w:val="0"/>
          <w:numId w:val="59"/>
        </w:numPr>
        <w:autoSpaceDE w:val="0"/>
        <w:autoSpaceDN w:val="0"/>
        <w:adjustRightInd w:val="0"/>
        <w:contextualSpacing/>
        <w:jc w:val="both"/>
        <w:rPr>
          <w:rFonts w:ascii="Abadi" w:hAnsi="Abadi" w:cs="*Verdana-8125-Identity-H"/>
          <w:color w:val="121214"/>
          <w:sz w:val="21"/>
          <w:szCs w:val="21"/>
        </w:rPr>
      </w:pPr>
      <w:r w:rsidRPr="00E27CC7">
        <w:rPr>
          <w:rFonts w:ascii="Abadi" w:hAnsi="Abadi" w:cs="*Verdana-8125-Identity-H"/>
          <w:color w:val="121214"/>
          <w:sz w:val="21"/>
          <w:szCs w:val="21"/>
        </w:rPr>
        <w:t xml:space="preserve">La expresión </w:t>
      </w:r>
      <w:r w:rsidRPr="00E27CC7">
        <w:rPr>
          <w:rFonts w:ascii="Abadi" w:hAnsi="Abadi" w:cs="*Verdana-Italic-8126-Identity-H"/>
          <w:i/>
          <w:iCs/>
          <w:color w:val="121214"/>
          <w:sz w:val="21"/>
          <w:szCs w:val="21"/>
        </w:rPr>
        <w:t xml:space="preserve">cualquier otra relación de hecho o amistad, </w:t>
      </w:r>
      <w:r w:rsidRPr="00E27CC7">
        <w:rPr>
          <w:rFonts w:ascii="Abadi" w:hAnsi="Abadi" w:cs="*Verdana-8125-Identity-H"/>
          <w:color w:val="121214"/>
          <w:sz w:val="21"/>
          <w:szCs w:val="21"/>
        </w:rPr>
        <w:t>ya está comprendida en la relación de confianza, además es confuso, que no se indique, análogo a qué, a la relación de amistad o a cualquiera de las otras relaciones actualmente establecidas.</w:t>
      </w:r>
    </w:p>
    <w:p w14:paraId="10845E8E" w14:textId="77777777" w:rsidR="00E732AC" w:rsidRPr="00710AC5" w:rsidRDefault="00E732AC" w:rsidP="00E732AC">
      <w:pPr>
        <w:autoSpaceDE w:val="0"/>
        <w:autoSpaceDN w:val="0"/>
        <w:adjustRightInd w:val="0"/>
        <w:jc w:val="both"/>
        <w:rPr>
          <w:rFonts w:ascii="Abadi" w:hAnsi="Abadi" w:cs="*Verdana-8125-Identity-H"/>
          <w:color w:val="121214"/>
          <w:sz w:val="21"/>
          <w:szCs w:val="21"/>
        </w:rPr>
      </w:pPr>
    </w:p>
    <w:p w14:paraId="412C287B" w14:textId="77777777" w:rsidR="00E732AC" w:rsidRDefault="00E732AC" w:rsidP="00E732AC">
      <w:pPr>
        <w:autoSpaceDE w:val="0"/>
        <w:autoSpaceDN w:val="0"/>
        <w:adjustRightInd w:val="0"/>
        <w:ind w:firstLine="360"/>
        <w:jc w:val="both"/>
        <w:rPr>
          <w:rFonts w:ascii="Abadi" w:hAnsi="Abadi" w:cs="*Verdana-8125-Identity-H"/>
          <w:color w:val="131215"/>
          <w:sz w:val="21"/>
          <w:szCs w:val="21"/>
        </w:rPr>
      </w:pPr>
      <w:r w:rsidRPr="00710AC5">
        <w:rPr>
          <w:rFonts w:ascii="Abadi" w:hAnsi="Abadi" w:cs="*Verdana-8125-Identity-H"/>
          <w:color w:val="101013"/>
          <w:sz w:val="21"/>
          <w:szCs w:val="21"/>
        </w:rPr>
        <w:t xml:space="preserve">5.8. La propuesta del Ayuntamiento de León para adicionar una </w:t>
      </w:r>
      <w:r w:rsidRPr="00710AC5">
        <w:rPr>
          <w:rFonts w:ascii="Abadi" w:hAnsi="Abadi" w:cs="*Tahoma-Bold-8129-Identity-H"/>
          <w:b/>
          <w:bCs/>
          <w:color w:val="101013"/>
          <w:sz w:val="21"/>
          <w:szCs w:val="21"/>
        </w:rPr>
        <w:t xml:space="preserve">fracción </w:t>
      </w:r>
      <w:r w:rsidRPr="00710AC5">
        <w:rPr>
          <w:rFonts w:ascii="Abadi" w:hAnsi="Abadi" w:cs="*Tahoma-Bold-8128-Identity-H"/>
          <w:b/>
          <w:bCs/>
          <w:color w:val="101013"/>
          <w:sz w:val="21"/>
          <w:szCs w:val="21"/>
        </w:rPr>
        <w:t>VIII</w:t>
      </w:r>
      <w:r>
        <w:rPr>
          <w:rFonts w:ascii="Abadi" w:hAnsi="Abadi" w:cs="*Tahoma-Bold-8128-Identity-H"/>
          <w:b/>
          <w:bCs/>
          <w:color w:val="101013"/>
          <w:sz w:val="21"/>
          <w:szCs w:val="21"/>
        </w:rPr>
        <w:t xml:space="preserve"> </w:t>
      </w:r>
      <w:r w:rsidRPr="00710AC5">
        <w:rPr>
          <w:rFonts w:ascii="Abadi" w:hAnsi="Abadi" w:cs="*Verdana-8125-Identity-H"/>
          <w:color w:val="131215"/>
          <w:sz w:val="21"/>
          <w:szCs w:val="21"/>
        </w:rPr>
        <w:t xml:space="preserve">que señale que </w:t>
      </w:r>
      <w:r w:rsidRPr="00710AC5">
        <w:rPr>
          <w:rFonts w:ascii="Abadi" w:hAnsi="Abadi" w:cs="*Verdana-Italic-8126-Identity-H"/>
          <w:i/>
          <w:iCs/>
          <w:color w:val="131215"/>
          <w:sz w:val="21"/>
          <w:szCs w:val="21"/>
        </w:rPr>
        <w:t xml:space="preserve">existan antecedentes </w:t>
      </w:r>
      <w:r w:rsidRPr="00710AC5">
        <w:rPr>
          <w:rFonts w:ascii="Abadi" w:hAnsi="Abadi" w:cs="*Verdana-8125-Identity-H"/>
          <w:color w:val="131215"/>
          <w:sz w:val="21"/>
          <w:szCs w:val="21"/>
        </w:rPr>
        <w:t xml:space="preserve">o </w:t>
      </w:r>
      <w:r w:rsidRPr="00710AC5">
        <w:rPr>
          <w:rFonts w:ascii="Abadi" w:hAnsi="Abadi" w:cs="*Verdana-Italic-8126-Identity-H"/>
          <w:i/>
          <w:iCs/>
          <w:color w:val="131215"/>
          <w:sz w:val="21"/>
          <w:szCs w:val="21"/>
        </w:rPr>
        <w:t>datos de cualquier tipo de violencia contra las</w:t>
      </w:r>
      <w:r>
        <w:rPr>
          <w:rFonts w:ascii="Abadi" w:hAnsi="Abadi" w:cs="*Verdana-Italic-8126-Identity-H"/>
          <w:i/>
          <w:iCs/>
          <w:color w:val="131215"/>
          <w:sz w:val="21"/>
          <w:szCs w:val="21"/>
        </w:rPr>
        <w:t xml:space="preserve"> </w:t>
      </w:r>
      <w:r w:rsidRPr="00710AC5">
        <w:rPr>
          <w:rFonts w:ascii="Abadi" w:hAnsi="Abadi" w:cs="*Verdana-Italic-8126-Identity-H"/>
          <w:i/>
          <w:iCs/>
          <w:color w:val="131215"/>
          <w:sz w:val="21"/>
          <w:szCs w:val="21"/>
        </w:rPr>
        <w:t xml:space="preserve">mujeres, del sujeto activo en conta de la víctima, </w:t>
      </w:r>
      <w:r w:rsidRPr="00710AC5">
        <w:rPr>
          <w:rFonts w:ascii="Abadi" w:hAnsi="Abadi" w:cs="*Verdana-8125-Identity-H"/>
          <w:color w:val="131215"/>
          <w:sz w:val="21"/>
          <w:szCs w:val="21"/>
        </w:rPr>
        <w:t>y remita a la Ley General de Acceso</w:t>
      </w:r>
      <w:r>
        <w:rPr>
          <w:rFonts w:ascii="Abadi" w:hAnsi="Abadi" w:cs="*Verdana-8125-Identity-H"/>
          <w:color w:val="131215"/>
          <w:sz w:val="21"/>
          <w:szCs w:val="21"/>
        </w:rPr>
        <w:t xml:space="preserve"> </w:t>
      </w:r>
      <w:r w:rsidRPr="00710AC5">
        <w:rPr>
          <w:rFonts w:ascii="Abadi" w:hAnsi="Abadi" w:cs="*Verdana-8125-Identity-H"/>
          <w:color w:val="131215"/>
          <w:sz w:val="21"/>
          <w:szCs w:val="21"/>
        </w:rPr>
        <w:t>de las Mujeres a una Vida Libre de Violencia y la Ley de Acceso a las Mujeres a una Vida</w:t>
      </w:r>
      <w:r>
        <w:rPr>
          <w:rFonts w:ascii="Abadi" w:hAnsi="Abadi" w:cs="*Verdana-8125-Identity-H"/>
          <w:color w:val="131215"/>
          <w:sz w:val="21"/>
          <w:szCs w:val="21"/>
        </w:rPr>
        <w:t xml:space="preserve"> </w:t>
      </w:r>
      <w:r w:rsidRPr="00710AC5">
        <w:rPr>
          <w:rFonts w:ascii="Abadi" w:hAnsi="Abadi" w:cs="*Verdana-8125-Identity-H"/>
          <w:color w:val="131215"/>
          <w:sz w:val="21"/>
          <w:szCs w:val="21"/>
        </w:rPr>
        <w:t>Libre de Violencia para el Estado de Guanajuato, para entender lo que deba entenderse</w:t>
      </w:r>
      <w:r>
        <w:rPr>
          <w:rFonts w:ascii="Abadi" w:hAnsi="Abadi" w:cs="*Verdana-8125-Identity-H"/>
          <w:color w:val="131215"/>
          <w:sz w:val="21"/>
          <w:szCs w:val="21"/>
        </w:rPr>
        <w:t xml:space="preserve"> </w:t>
      </w:r>
      <w:r w:rsidRPr="00710AC5">
        <w:rPr>
          <w:rFonts w:ascii="Abadi" w:hAnsi="Abadi" w:cs="*Verdana-8125-Identity-H"/>
          <w:color w:val="131215"/>
          <w:sz w:val="21"/>
          <w:szCs w:val="21"/>
        </w:rPr>
        <w:t>por violencia contra las mujeres, se estimó innecesaria por considerar que este supuesto</w:t>
      </w:r>
      <w:r>
        <w:rPr>
          <w:rFonts w:ascii="Abadi" w:hAnsi="Abadi" w:cs="*Verdana-8125-Identity-H"/>
          <w:color w:val="131215"/>
          <w:sz w:val="21"/>
          <w:szCs w:val="21"/>
        </w:rPr>
        <w:t xml:space="preserve"> </w:t>
      </w:r>
      <w:r w:rsidRPr="00710AC5">
        <w:rPr>
          <w:rFonts w:ascii="Abadi" w:hAnsi="Abadi" w:cs="*Verdana-8125-Identity-H"/>
          <w:color w:val="131215"/>
          <w:sz w:val="21"/>
          <w:szCs w:val="21"/>
        </w:rPr>
        <w:t>ya se encuentra contemplado en la fracción V, el que se estima más completo al referir</w:t>
      </w:r>
      <w:r>
        <w:rPr>
          <w:rFonts w:ascii="Abadi" w:hAnsi="Abadi" w:cs="*Verdana-8125-Identity-H"/>
          <w:color w:val="131215"/>
          <w:sz w:val="21"/>
          <w:szCs w:val="21"/>
        </w:rPr>
        <w:t xml:space="preserve"> </w:t>
      </w:r>
      <w:r w:rsidRPr="00710AC5">
        <w:rPr>
          <w:rFonts w:ascii="Abadi" w:hAnsi="Abadi" w:cs="*Verdana-8125-Identity-H"/>
          <w:color w:val="131215"/>
          <w:sz w:val="21"/>
          <w:szCs w:val="21"/>
        </w:rPr>
        <w:t>los ámbitos en los cuales puede ocurrir y la relación del activo con la víctima.</w:t>
      </w:r>
    </w:p>
    <w:p w14:paraId="5619C7AE" w14:textId="77777777" w:rsidR="00E732AC" w:rsidRPr="00710AC5" w:rsidRDefault="00E732AC" w:rsidP="00E732AC">
      <w:pPr>
        <w:autoSpaceDE w:val="0"/>
        <w:autoSpaceDN w:val="0"/>
        <w:adjustRightInd w:val="0"/>
        <w:jc w:val="both"/>
        <w:rPr>
          <w:rFonts w:ascii="Abadi" w:hAnsi="Abadi" w:cs="*Verdana-8125-Identity-H"/>
          <w:color w:val="131215"/>
          <w:sz w:val="21"/>
          <w:szCs w:val="21"/>
        </w:rPr>
      </w:pPr>
    </w:p>
    <w:p w14:paraId="360E459D" w14:textId="77777777" w:rsidR="00E732AC" w:rsidRDefault="00E732AC" w:rsidP="00E732AC">
      <w:pPr>
        <w:autoSpaceDE w:val="0"/>
        <w:autoSpaceDN w:val="0"/>
        <w:adjustRightInd w:val="0"/>
        <w:ind w:firstLine="360"/>
        <w:jc w:val="both"/>
        <w:rPr>
          <w:rFonts w:ascii="Abadi" w:hAnsi="Abadi" w:cs="*Verdana-8783-Identity-H"/>
          <w:color w:val="101012"/>
          <w:sz w:val="21"/>
          <w:szCs w:val="21"/>
        </w:rPr>
      </w:pPr>
      <w:r w:rsidRPr="00710AC5">
        <w:rPr>
          <w:rFonts w:ascii="Abadi" w:hAnsi="Abadi" w:cs="*Verdana-8125-Identity-H"/>
          <w:color w:val="111013"/>
          <w:sz w:val="21"/>
          <w:szCs w:val="21"/>
        </w:rPr>
        <w:t>5.9. La propuesta de la diputada Alma Edwviges Alcaraz Hernández para</w:t>
      </w:r>
      <w:r>
        <w:rPr>
          <w:rFonts w:ascii="Abadi" w:hAnsi="Abadi" w:cs="*Verdana-8125-Identity-H"/>
          <w:color w:val="111013"/>
          <w:sz w:val="21"/>
          <w:szCs w:val="21"/>
        </w:rPr>
        <w:t xml:space="preserve"> </w:t>
      </w:r>
      <w:r w:rsidRPr="00710AC5">
        <w:rPr>
          <w:rFonts w:ascii="Abadi" w:hAnsi="Abadi" w:cs="*Verdana-8125-Identity-H"/>
          <w:color w:val="131214"/>
          <w:sz w:val="21"/>
          <w:szCs w:val="21"/>
        </w:rPr>
        <w:t xml:space="preserve">adicionar una </w:t>
      </w:r>
      <w:r w:rsidRPr="00710AC5">
        <w:rPr>
          <w:rFonts w:ascii="Abadi" w:hAnsi="Abadi" w:cs="*Tahoma-Bold-8129-Identity-H"/>
          <w:b/>
          <w:bCs/>
          <w:color w:val="131214"/>
          <w:sz w:val="21"/>
          <w:szCs w:val="21"/>
        </w:rPr>
        <w:t xml:space="preserve">fracción </w:t>
      </w:r>
      <w:r w:rsidRPr="00710AC5">
        <w:rPr>
          <w:rFonts w:ascii="Abadi" w:hAnsi="Abadi" w:cs="*Tahoma-Bold-8128-Identity-H"/>
          <w:b/>
          <w:bCs/>
          <w:color w:val="131214"/>
          <w:sz w:val="21"/>
          <w:szCs w:val="21"/>
        </w:rPr>
        <w:t xml:space="preserve">VIII </w:t>
      </w:r>
      <w:r w:rsidRPr="00710AC5">
        <w:rPr>
          <w:rFonts w:ascii="Abadi" w:hAnsi="Abadi" w:cs="*Verdana-8125-Identity-H"/>
          <w:color w:val="131214"/>
          <w:sz w:val="21"/>
          <w:szCs w:val="21"/>
        </w:rPr>
        <w:t xml:space="preserve">para prever el supuesto de que </w:t>
      </w:r>
      <w:r w:rsidRPr="00710AC5">
        <w:rPr>
          <w:rFonts w:ascii="Abadi" w:hAnsi="Abadi" w:cs="*Verdana-Italic-8126-Identity-H"/>
          <w:i/>
          <w:iCs/>
          <w:color w:val="131214"/>
          <w:sz w:val="21"/>
          <w:szCs w:val="21"/>
        </w:rPr>
        <w:t>existan antecedentes o</w:t>
      </w:r>
      <w:r>
        <w:rPr>
          <w:rFonts w:ascii="Abadi" w:hAnsi="Abadi" w:cs="*Verdana-Italic-8126-Identity-H"/>
          <w:i/>
          <w:iCs/>
          <w:color w:val="131214"/>
          <w:sz w:val="21"/>
          <w:szCs w:val="21"/>
        </w:rPr>
        <w:t xml:space="preserve"> </w:t>
      </w:r>
      <w:r w:rsidRPr="00710AC5">
        <w:rPr>
          <w:rFonts w:ascii="Abadi" w:hAnsi="Abadi" w:cs="*Verdana-Italic-8126-Identity-H"/>
          <w:i/>
          <w:iCs/>
          <w:color w:val="131214"/>
          <w:sz w:val="21"/>
          <w:szCs w:val="21"/>
        </w:rPr>
        <w:t>datos que establezcan que el activo ejerció sobre la víctima de forma anterior a la</w:t>
      </w:r>
      <w:r>
        <w:rPr>
          <w:rFonts w:ascii="Abadi" w:hAnsi="Abadi" w:cs="*Verdana-Italic-8126-Identity-H"/>
          <w:i/>
          <w:iCs/>
          <w:color w:val="131214"/>
          <w:sz w:val="21"/>
          <w:szCs w:val="21"/>
        </w:rPr>
        <w:t xml:space="preserve"> </w:t>
      </w:r>
      <w:r w:rsidRPr="00710AC5">
        <w:rPr>
          <w:rFonts w:ascii="Abadi" w:hAnsi="Abadi" w:cs="*Verdana-Italic-8126-Identity-H"/>
          <w:i/>
          <w:iCs/>
          <w:color w:val="131214"/>
          <w:sz w:val="21"/>
          <w:szCs w:val="21"/>
        </w:rPr>
        <w:t xml:space="preserve">privación de la vida, violencia física, psicológica, económica, patrimonial </w:t>
      </w:r>
      <w:r w:rsidRPr="00710AC5">
        <w:rPr>
          <w:rFonts w:ascii="Abadi" w:hAnsi="Abadi" w:cs="*Verdana-8125-Identity-H"/>
          <w:color w:val="131214"/>
          <w:sz w:val="21"/>
          <w:szCs w:val="21"/>
        </w:rPr>
        <w:t xml:space="preserve">o </w:t>
      </w:r>
      <w:r w:rsidRPr="00710AC5">
        <w:rPr>
          <w:rFonts w:ascii="Abadi" w:hAnsi="Abadi" w:cs="*Verdana-Italic-8126-Identity-H"/>
          <w:i/>
          <w:iCs/>
          <w:color w:val="131214"/>
          <w:sz w:val="21"/>
          <w:szCs w:val="21"/>
        </w:rPr>
        <w:t>de cualquier</w:t>
      </w:r>
      <w:r>
        <w:rPr>
          <w:rFonts w:ascii="Abadi" w:hAnsi="Abadi" w:cs="*Verdana-Italic-8126-Identity-H"/>
          <w:i/>
          <w:iCs/>
          <w:color w:val="131214"/>
          <w:sz w:val="21"/>
          <w:szCs w:val="21"/>
        </w:rPr>
        <w:t xml:space="preserve"> </w:t>
      </w:r>
      <w:r w:rsidRPr="00710AC5">
        <w:rPr>
          <w:rFonts w:ascii="Abadi" w:hAnsi="Abadi" w:cs="*Verdana-Italic-8126-Identity-H"/>
          <w:i/>
          <w:iCs/>
          <w:color w:val="131214"/>
          <w:sz w:val="21"/>
          <w:szCs w:val="21"/>
        </w:rPr>
        <w:t xml:space="preserve">tipo ya sea en el ámbito familiar, laboral, comunitario, político, escolar </w:t>
      </w:r>
      <w:r w:rsidRPr="00710AC5">
        <w:rPr>
          <w:rFonts w:ascii="Abadi" w:hAnsi="Abadi" w:cs="*Verdana-8125-Identity-H"/>
          <w:color w:val="131214"/>
          <w:sz w:val="21"/>
          <w:szCs w:val="21"/>
        </w:rPr>
        <w:t xml:space="preserve">o </w:t>
      </w:r>
      <w:r w:rsidRPr="00710AC5">
        <w:rPr>
          <w:rFonts w:ascii="Abadi" w:hAnsi="Abadi" w:cs="*Verdana-Italic-8126-Identity-H"/>
          <w:i/>
          <w:iCs/>
          <w:color w:val="131214"/>
          <w:sz w:val="21"/>
          <w:szCs w:val="21"/>
        </w:rPr>
        <w:t>cualquier otro,</w:t>
      </w:r>
      <w:r>
        <w:rPr>
          <w:rFonts w:ascii="Abadi" w:hAnsi="Abadi" w:cs="*Verdana-Italic-8126-Identity-H"/>
          <w:i/>
          <w:iCs/>
          <w:color w:val="131214"/>
          <w:sz w:val="21"/>
          <w:szCs w:val="21"/>
        </w:rPr>
        <w:t xml:space="preserve"> </w:t>
      </w:r>
      <w:r w:rsidRPr="00710AC5">
        <w:rPr>
          <w:rFonts w:ascii="Abadi" w:hAnsi="Abadi" w:cs="*Verdana-Italic-8126-Identity-H"/>
          <w:i/>
          <w:iCs/>
          <w:color w:val="131214"/>
          <w:sz w:val="21"/>
          <w:szCs w:val="21"/>
        </w:rPr>
        <w:t>independientemente de que exista denuncia o haya sido del conocimiento de alguna</w:t>
      </w:r>
      <w:r>
        <w:rPr>
          <w:rFonts w:ascii="Abadi" w:hAnsi="Abadi" w:cs="*Verdana-Italic-8126-Identity-H"/>
          <w:i/>
          <w:iCs/>
          <w:color w:val="131214"/>
          <w:sz w:val="21"/>
          <w:szCs w:val="21"/>
        </w:rPr>
        <w:t xml:space="preserve"> </w:t>
      </w:r>
      <w:r w:rsidRPr="00710AC5">
        <w:rPr>
          <w:rFonts w:ascii="Abadi" w:hAnsi="Abadi" w:cs="*Verdana-Italic-8126-Identity-H"/>
          <w:i/>
          <w:iCs/>
          <w:color w:val="131214"/>
          <w:sz w:val="21"/>
          <w:szCs w:val="21"/>
        </w:rPr>
        <w:t xml:space="preserve">autoridad, </w:t>
      </w:r>
      <w:r w:rsidRPr="00710AC5">
        <w:rPr>
          <w:rFonts w:ascii="Abadi" w:hAnsi="Abadi" w:cs="*Verdana-8125-Identity-H"/>
          <w:color w:val="131214"/>
          <w:sz w:val="21"/>
          <w:szCs w:val="21"/>
        </w:rPr>
        <w:t>se estimó igualmente que este supuesto ya se encuentra contemplado en la</w:t>
      </w:r>
      <w:r>
        <w:rPr>
          <w:rFonts w:ascii="Abadi" w:hAnsi="Abadi" w:cs="*Verdana-8125-Identity-H"/>
          <w:color w:val="131214"/>
          <w:sz w:val="21"/>
          <w:szCs w:val="21"/>
        </w:rPr>
        <w:t xml:space="preserve"> </w:t>
      </w:r>
      <w:r w:rsidRPr="00710AC5">
        <w:rPr>
          <w:rFonts w:ascii="Abadi" w:hAnsi="Abadi" w:cs="*Verdana-8125-Identity-H"/>
          <w:color w:val="131214"/>
          <w:sz w:val="21"/>
          <w:szCs w:val="21"/>
        </w:rPr>
        <w:t>fracción V; además de que pudiera acarrear inconvenientes desde la perspectiva penal,</w:t>
      </w:r>
      <w:r>
        <w:rPr>
          <w:rFonts w:ascii="Abadi" w:hAnsi="Abadi" w:cs="*Verdana-8125-Identity-H"/>
          <w:color w:val="131214"/>
          <w:sz w:val="21"/>
          <w:szCs w:val="21"/>
        </w:rPr>
        <w:t xml:space="preserve"> </w:t>
      </w:r>
      <w:r w:rsidRPr="00710AC5">
        <w:rPr>
          <w:rFonts w:ascii="Abadi" w:hAnsi="Abadi" w:cs="*Verdana-8783-Identity-H"/>
          <w:color w:val="101012"/>
          <w:sz w:val="21"/>
          <w:szCs w:val="21"/>
        </w:rPr>
        <w:t>en cuanto a aquellos actos previos de violencia que pueden haber sido ya juzgados. En</w:t>
      </w:r>
      <w:r>
        <w:rPr>
          <w:rFonts w:ascii="Abadi" w:hAnsi="Abadi" w:cs="*Verdana-8783-Identity-H"/>
          <w:color w:val="101012"/>
          <w:sz w:val="21"/>
          <w:szCs w:val="21"/>
        </w:rPr>
        <w:t xml:space="preserve"> </w:t>
      </w:r>
      <w:r w:rsidRPr="00710AC5">
        <w:rPr>
          <w:rFonts w:ascii="Abadi" w:hAnsi="Abadi" w:cs="*Verdana-8783-Identity-H"/>
          <w:color w:val="101012"/>
          <w:sz w:val="21"/>
          <w:szCs w:val="21"/>
        </w:rPr>
        <w:t>atención a lo anterior, utilizar aquellos mismos casos para configurar un nuevo delito</w:t>
      </w:r>
      <w:r>
        <w:rPr>
          <w:rFonts w:ascii="Abadi" w:hAnsi="Abadi" w:cs="*Verdana-8783-Identity-H"/>
          <w:color w:val="101012"/>
          <w:sz w:val="21"/>
          <w:szCs w:val="21"/>
        </w:rPr>
        <w:t xml:space="preserve"> </w:t>
      </w:r>
      <w:r w:rsidRPr="00710AC5">
        <w:rPr>
          <w:rFonts w:ascii="Abadi" w:hAnsi="Abadi" w:cs="*Verdana-8783-Identity-H"/>
          <w:color w:val="101012"/>
          <w:sz w:val="21"/>
          <w:szCs w:val="21"/>
        </w:rPr>
        <w:t xml:space="preserve">constituye una vulneración del principio de </w:t>
      </w:r>
      <w:r w:rsidRPr="00710AC5">
        <w:rPr>
          <w:rFonts w:ascii="Abadi" w:hAnsi="Abadi" w:cs="*Verdana-Italic-8784-Identity-H"/>
          <w:i/>
          <w:iCs/>
          <w:color w:val="101012"/>
          <w:sz w:val="21"/>
          <w:szCs w:val="21"/>
        </w:rPr>
        <w:t xml:space="preserve">non bis in ídem, </w:t>
      </w:r>
      <w:r w:rsidRPr="00710AC5">
        <w:rPr>
          <w:rFonts w:ascii="Abadi" w:hAnsi="Abadi" w:cs="*Verdana-8783-Identity-H"/>
          <w:color w:val="101012"/>
          <w:sz w:val="21"/>
          <w:szCs w:val="21"/>
        </w:rPr>
        <w:t>por cuanto se estaría</w:t>
      </w:r>
      <w:r>
        <w:rPr>
          <w:rFonts w:ascii="Abadi" w:hAnsi="Abadi" w:cs="*Verdana-8783-Identity-H"/>
          <w:color w:val="101012"/>
          <w:sz w:val="21"/>
          <w:szCs w:val="21"/>
        </w:rPr>
        <w:t xml:space="preserve"> </w:t>
      </w:r>
      <w:r w:rsidRPr="00710AC5">
        <w:rPr>
          <w:rFonts w:ascii="Abadi" w:hAnsi="Abadi" w:cs="*Verdana-8783-Identity-H"/>
          <w:color w:val="101012"/>
          <w:sz w:val="21"/>
          <w:szCs w:val="21"/>
        </w:rPr>
        <w:t>sancionando al autor nuevamente por hechos por lo que ya ha sido juzgado.</w:t>
      </w:r>
    </w:p>
    <w:p w14:paraId="5C9164FC" w14:textId="77777777" w:rsidR="00E732AC" w:rsidRDefault="00E732AC" w:rsidP="00E732AC">
      <w:pPr>
        <w:autoSpaceDE w:val="0"/>
        <w:autoSpaceDN w:val="0"/>
        <w:adjustRightInd w:val="0"/>
        <w:ind w:firstLine="360"/>
        <w:jc w:val="both"/>
        <w:rPr>
          <w:rFonts w:ascii="Abadi" w:hAnsi="Abadi" w:cs="*Verdana-8783-Identity-H"/>
          <w:color w:val="101012"/>
          <w:sz w:val="21"/>
          <w:szCs w:val="21"/>
        </w:rPr>
      </w:pPr>
    </w:p>
    <w:p w14:paraId="50DC064A" w14:textId="77777777" w:rsidR="00E732AC" w:rsidRDefault="00E732AC" w:rsidP="00E732AC">
      <w:pPr>
        <w:autoSpaceDE w:val="0"/>
        <w:autoSpaceDN w:val="0"/>
        <w:adjustRightInd w:val="0"/>
        <w:ind w:firstLine="360"/>
        <w:jc w:val="both"/>
        <w:rPr>
          <w:rFonts w:ascii="Abadi" w:hAnsi="Abadi" w:cs="*Verdana-8783-Identity-H"/>
          <w:color w:val="111013"/>
          <w:sz w:val="21"/>
          <w:szCs w:val="21"/>
        </w:rPr>
      </w:pPr>
      <w:r>
        <w:rPr>
          <w:rFonts w:ascii="Abadi" w:hAnsi="Abadi" w:cs="*Verdana-8783-Identity-H"/>
          <w:color w:val="101012"/>
          <w:sz w:val="21"/>
          <w:szCs w:val="21"/>
        </w:rPr>
        <w:t xml:space="preserve"> </w:t>
      </w:r>
      <w:r w:rsidRPr="00710AC5">
        <w:rPr>
          <w:rFonts w:ascii="Abadi" w:hAnsi="Abadi" w:cs="*Verdana-8783-Identity-H"/>
          <w:color w:val="111013"/>
          <w:sz w:val="21"/>
          <w:szCs w:val="21"/>
        </w:rPr>
        <w:t>5.10. La propuesta del Ayuntamiento de León, Guanajuato, para adicionar una</w:t>
      </w:r>
      <w:r>
        <w:rPr>
          <w:rFonts w:ascii="Abadi" w:hAnsi="Abadi" w:cs="*Verdana-8783-Identity-H"/>
          <w:color w:val="111013"/>
          <w:sz w:val="21"/>
          <w:szCs w:val="21"/>
        </w:rPr>
        <w:t xml:space="preserve"> </w:t>
      </w:r>
      <w:r w:rsidRPr="00710AC5">
        <w:rPr>
          <w:rFonts w:ascii="Abadi" w:hAnsi="Abadi" w:cs="*Verdana-Bold-8786-Identity-H"/>
          <w:b/>
          <w:bCs/>
          <w:color w:val="111013"/>
          <w:sz w:val="21"/>
          <w:szCs w:val="21"/>
        </w:rPr>
        <w:t xml:space="preserve">fracción </w:t>
      </w:r>
      <w:r w:rsidRPr="00710AC5">
        <w:rPr>
          <w:rFonts w:ascii="Abadi" w:hAnsi="Abadi" w:cs="*Verdana-Bold-8785-Identity-H"/>
          <w:b/>
          <w:bCs/>
          <w:color w:val="111013"/>
          <w:sz w:val="21"/>
          <w:szCs w:val="21"/>
        </w:rPr>
        <w:t xml:space="preserve">IX </w:t>
      </w:r>
      <w:r w:rsidRPr="00710AC5">
        <w:rPr>
          <w:rFonts w:ascii="Abadi" w:hAnsi="Abadi" w:cs="*Verdana-8783-Identity-H"/>
          <w:color w:val="111013"/>
          <w:sz w:val="21"/>
          <w:szCs w:val="21"/>
        </w:rPr>
        <w:t xml:space="preserve">a efecto de contemplar el supuesto en que </w:t>
      </w:r>
      <w:r w:rsidRPr="00710AC5">
        <w:rPr>
          <w:rFonts w:ascii="Abadi" w:hAnsi="Abadi" w:cs="*Verdana-Italic-8784-Identity-H"/>
          <w:i/>
          <w:iCs/>
          <w:color w:val="111013"/>
          <w:sz w:val="21"/>
          <w:szCs w:val="21"/>
        </w:rPr>
        <w:t>el activo aproveche el estado de</w:t>
      </w:r>
      <w:r>
        <w:rPr>
          <w:rFonts w:ascii="Abadi" w:hAnsi="Abadi" w:cs="*Verdana-Italic-8784-Identity-H"/>
          <w:i/>
          <w:iCs/>
          <w:color w:val="111013"/>
          <w:sz w:val="21"/>
          <w:szCs w:val="21"/>
        </w:rPr>
        <w:t xml:space="preserve"> </w:t>
      </w:r>
      <w:r w:rsidRPr="00710AC5">
        <w:rPr>
          <w:rFonts w:ascii="Abadi" w:hAnsi="Abadi" w:cs="*Verdana-Italic-8784-Identity-H"/>
          <w:i/>
          <w:iCs/>
          <w:color w:val="111013"/>
          <w:sz w:val="21"/>
          <w:szCs w:val="21"/>
        </w:rPr>
        <w:t>indefensión o situación de falta de apoyo en la que se encuentre una mujer sola, ya sea</w:t>
      </w:r>
      <w:r>
        <w:rPr>
          <w:rFonts w:ascii="Abadi" w:hAnsi="Abadi" w:cs="*Verdana-Italic-8784-Identity-H"/>
          <w:i/>
          <w:iCs/>
          <w:color w:val="111013"/>
          <w:sz w:val="21"/>
          <w:szCs w:val="21"/>
        </w:rPr>
        <w:t xml:space="preserve"> </w:t>
      </w:r>
      <w:r w:rsidRPr="00710AC5">
        <w:rPr>
          <w:rFonts w:ascii="Abadi" w:hAnsi="Abadi" w:cs="*Verdana-Italic-8784-Identity-H"/>
          <w:i/>
          <w:iCs/>
          <w:color w:val="111013"/>
          <w:sz w:val="21"/>
          <w:szCs w:val="21"/>
        </w:rPr>
        <w:t>por la dificultad de comunicación para recibir auxilio, por razón de la distancia a un lugar</w:t>
      </w:r>
      <w:r>
        <w:rPr>
          <w:rFonts w:ascii="Abadi" w:hAnsi="Abadi" w:cs="*Verdana-Italic-8784-Identity-H"/>
          <w:i/>
          <w:iCs/>
          <w:color w:val="111013"/>
          <w:sz w:val="21"/>
          <w:szCs w:val="21"/>
        </w:rPr>
        <w:t xml:space="preserve"> </w:t>
      </w:r>
      <w:r w:rsidRPr="00710AC5">
        <w:rPr>
          <w:rFonts w:ascii="Abadi" w:hAnsi="Abadi" w:cs="*Verdana-Italic-8784-Identity-H"/>
          <w:i/>
          <w:iCs/>
          <w:color w:val="111013"/>
          <w:sz w:val="21"/>
          <w:szCs w:val="21"/>
        </w:rPr>
        <w:t>habitado o por que exista algún Impedimento físico o material para solicitar el auxilio,</w:t>
      </w:r>
      <w:r>
        <w:rPr>
          <w:rFonts w:ascii="Abadi" w:hAnsi="Abadi" w:cs="*Verdana-Italic-8784-Identity-H"/>
          <w:i/>
          <w:iCs/>
          <w:color w:val="111013"/>
          <w:sz w:val="21"/>
          <w:szCs w:val="21"/>
        </w:rPr>
        <w:t xml:space="preserve"> </w:t>
      </w:r>
      <w:r w:rsidRPr="00710AC5">
        <w:rPr>
          <w:rFonts w:ascii="Abadi" w:hAnsi="Abadi" w:cs="*Verdana-8783-Identity-H"/>
          <w:color w:val="111013"/>
          <w:sz w:val="21"/>
          <w:szCs w:val="21"/>
        </w:rPr>
        <w:t>se estimó no viable al considerar que no es acorde con la naturaleza de este tipo penal,</w:t>
      </w:r>
      <w:r>
        <w:rPr>
          <w:rFonts w:ascii="Abadi" w:hAnsi="Abadi" w:cs="*Verdana-8783-Identity-H"/>
          <w:color w:val="111013"/>
          <w:sz w:val="21"/>
          <w:szCs w:val="21"/>
        </w:rPr>
        <w:t xml:space="preserve"> </w:t>
      </w:r>
      <w:r w:rsidRPr="00710AC5">
        <w:rPr>
          <w:rFonts w:ascii="Abadi" w:hAnsi="Abadi" w:cs="*Verdana-8783-Identity-H"/>
          <w:color w:val="111013"/>
          <w:sz w:val="21"/>
          <w:szCs w:val="21"/>
        </w:rPr>
        <w:t>más bien, se considera una condición particular o situación en la que se encuentre la</w:t>
      </w:r>
      <w:r>
        <w:rPr>
          <w:rFonts w:ascii="Abadi" w:hAnsi="Abadi" w:cs="*Verdana-8783-Identity-H"/>
          <w:color w:val="111013"/>
          <w:sz w:val="21"/>
          <w:szCs w:val="21"/>
        </w:rPr>
        <w:t xml:space="preserve"> </w:t>
      </w:r>
      <w:r w:rsidRPr="00710AC5">
        <w:rPr>
          <w:rFonts w:ascii="Abadi" w:hAnsi="Abadi" w:cs="*Verdana-8783-Identity-H"/>
          <w:color w:val="111013"/>
          <w:sz w:val="21"/>
          <w:szCs w:val="21"/>
        </w:rPr>
        <w:t>víctima, pero no una cuestión de género, es decir por el odio o desprecio a las mujeres</w:t>
      </w:r>
      <w:r>
        <w:rPr>
          <w:rFonts w:ascii="Abadi" w:hAnsi="Abadi" w:cs="*Verdana-8783-Identity-H"/>
          <w:color w:val="111013"/>
          <w:sz w:val="21"/>
          <w:szCs w:val="21"/>
        </w:rPr>
        <w:t xml:space="preserve"> </w:t>
      </w:r>
      <w:r w:rsidRPr="00710AC5">
        <w:rPr>
          <w:rFonts w:ascii="Abadi" w:hAnsi="Abadi" w:cs="*Verdana-8783-Identity-H"/>
          <w:color w:val="111013"/>
          <w:sz w:val="21"/>
          <w:szCs w:val="21"/>
        </w:rPr>
        <w:t>que impulsarían al activo a realizar su acción criminal. Además, pudiera ocasionar una</w:t>
      </w:r>
      <w:r>
        <w:rPr>
          <w:rFonts w:ascii="Abadi" w:hAnsi="Abadi" w:cs="*Verdana-8783-Identity-H"/>
          <w:color w:val="111013"/>
          <w:sz w:val="21"/>
          <w:szCs w:val="21"/>
        </w:rPr>
        <w:t xml:space="preserve"> </w:t>
      </w:r>
      <w:r w:rsidRPr="00710AC5">
        <w:rPr>
          <w:rFonts w:ascii="Abadi" w:hAnsi="Abadi" w:cs="*Verdana-8783-Identity-H"/>
          <w:color w:val="111013"/>
          <w:sz w:val="21"/>
          <w:szCs w:val="21"/>
        </w:rPr>
        <w:t>duplicidad con la fracción I, ya que los supuestos que se proponen se relacionan con la</w:t>
      </w:r>
      <w:r>
        <w:rPr>
          <w:rFonts w:ascii="Abadi" w:hAnsi="Abadi" w:cs="*Verdana-8783-Identity-H"/>
          <w:color w:val="111013"/>
          <w:sz w:val="21"/>
          <w:szCs w:val="21"/>
        </w:rPr>
        <w:t xml:space="preserve"> </w:t>
      </w:r>
      <w:r w:rsidRPr="00710AC5">
        <w:rPr>
          <w:rFonts w:ascii="Abadi" w:hAnsi="Abadi" w:cs="*Verdana-8783-Identity-H"/>
          <w:color w:val="111013"/>
          <w:sz w:val="21"/>
          <w:szCs w:val="21"/>
        </w:rPr>
        <w:t>imposibilidad de la víctima a comunicarse para solicitar auxilio.</w:t>
      </w:r>
      <w:r>
        <w:rPr>
          <w:rFonts w:ascii="Abadi" w:hAnsi="Abadi" w:cs="*Verdana-8783-Identity-H"/>
          <w:color w:val="111013"/>
          <w:sz w:val="21"/>
          <w:szCs w:val="21"/>
        </w:rPr>
        <w:t xml:space="preserve"> </w:t>
      </w:r>
    </w:p>
    <w:p w14:paraId="23EA308F" w14:textId="77777777" w:rsidR="00E732AC" w:rsidRDefault="00E732AC" w:rsidP="00E732AC">
      <w:pPr>
        <w:autoSpaceDE w:val="0"/>
        <w:autoSpaceDN w:val="0"/>
        <w:adjustRightInd w:val="0"/>
        <w:jc w:val="both"/>
        <w:rPr>
          <w:rFonts w:ascii="Abadi" w:hAnsi="Abadi" w:cs="*Verdana-8783-Identity-H"/>
          <w:color w:val="111013"/>
          <w:sz w:val="21"/>
          <w:szCs w:val="21"/>
        </w:rPr>
      </w:pPr>
    </w:p>
    <w:p w14:paraId="6A559219" w14:textId="77777777" w:rsidR="00E732AC" w:rsidRDefault="00E732AC" w:rsidP="00E732AC">
      <w:pPr>
        <w:autoSpaceDE w:val="0"/>
        <w:autoSpaceDN w:val="0"/>
        <w:adjustRightInd w:val="0"/>
        <w:ind w:firstLine="360"/>
        <w:jc w:val="both"/>
        <w:rPr>
          <w:rFonts w:ascii="Abadi" w:hAnsi="Abadi" w:cs="*Verdana-8783-Identity-H"/>
          <w:color w:val="121214"/>
          <w:sz w:val="21"/>
          <w:szCs w:val="21"/>
        </w:rPr>
      </w:pPr>
      <w:r w:rsidRPr="00710AC5">
        <w:rPr>
          <w:rFonts w:ascii="Abadi" w:hAnsi="Abadi" w:cs="*Verdana-8783-Identity-H"/>
          <w:color w:val="121214"/>
          <w:sz w:val="21"/>
          <w:szCs w:val="21"/>
        </w:rPr>
        <w:t>5.11. De manera similar, la diputada Alma Edwviges Alcaraz Hernández propone</w:t>
      </w:r>
      <w:r>
        <w:rPr>
          <w:rFonts w:ascii="Abadi" w:hAnsi="Abadi" w:cs="*Verdana-8783-Identity-H"/>
          <w:color w:val="121214"/>
          <w:sz w:val="21"/>
          <w:szCs w:val="21"/>
        </w:rPr>
        <w:t xml:space="preserve"> </w:t>
      </w:r>
      <w:r w:rsidRPr="00710AC5">
        <w:rPr>
          <w:rFonts w:ascii="Abadi" w:hAnsi="Abadi" w:cs="*Verdana-8783-Identity-H"/>
          <w:color w:val="121214"/>
          <w:sz w:val="21"/>
          <w:szCs w:val="21"/>
        </w:rPr>
        <w:t xml:space="preserve">incorporar </w:t>
      </w:r>
      <w:r w:rsidRPr="00710AC5">
        <w:rPr>
          <w:rFonts w:ascii="Abadi" w:hAnsi="Abadi" w:cs="*Verdana-Bold-8786-Identity-H"/>
          <w:b/>
          <w:bCs/>
          <w:color w:val="121214"/>
          <w:sz w:val="21"/>
          <w:szCs w:val="21"/>
        </w:rPr>
        <w:t xml:space="preserve">-fracción </w:t>
      </w:r>
      <w:r w:rsidRPr="00710AC5">
        <w:rPr>
          <w:rFonts w:ascii="Abadi" w:hAnsi="Abadi" w:cs="*Verdana-8783-Identity-H"/>
          <w:color w:val="121214"/>
          <w:sz w:val="21"/>
          <w:szCs w:val="21"/>
        </w:rPr>
        <w:t>X- el supuesto de que la víctima se haya encontrado en estado de</w:t>
      </w:r>
      <w:r>
        <w:rPr>
          <w:rFonts w:ascii="Abadi" w:hAnsi="Abadi" w:cs="*Verdana-8783-Identity-H"/>
          <w:color w:val="121214"/>
          <w:sz w:val="21"/>
          <w:szCs w:val="21"/>
        </w:rPr>
        <w:t xml:space="preserve"> </w:t>
      </w:r>
      <w:r w:rsidRPr="00710AC5">
        <w:rPr>
          <w:rFonts w:ascii="Abadi" w:hAnsi="Abadi" w:cs="*Verdana-8783-Identity-H"/>
          <w:color w:val="121214"/>
          <w:sz w:val="21"/>
          <w:szCs w:val="21"/>
        </w:rPr>
        <w:t>indefensión. Además de lo anterior, se estimó que este supuesto pudiera estar</w:t>
      </w:r>
      <w:r>
        <w:rPr>
          <w:rFonts w:ascii="Abadi" w:hAnsi="Abadi" w:cs="*Verdana-8783-Identity-H"/>
          <w:color w:val="121214"/>
          <w:sz w:val="21"/>
          <w:szCs w:val="21"/>
        </w:rPr>
        <w:t xml:space="preserve"> </w:t>
      </w:r>
      <w:r w:rsidRPr="00710AC5">
        <w:rPr>
          <w:rFonts w:ascii="Abadi" w:hAnsi="Abadi" w:cs="*Verdana-8783-Identity-H"/>
          <w:color w:val="121214"/>
          <w:sz w:val="21"/>
          <w:szCs w:val="21"/>
        </w:rPr>
        <w:t>subsumido en algún otro supuesto de los ya contemplados en este artículo y se insistió</w:t>
      </w:r>
      <w:r>
        <w:rPr>
          <w:rFonts w:ascii="Abadi" w:hAnsi="Abadi" w:cs="*Verdana-8783-Identity-H"/>
          <w:color w:val="121214"/>
          <w:sz w:val="21"/>
          <w:szCs w:val="21"/>
        </w:rPr>
        <w:t xml:space="preserve"> </w:t>
      </w:r>
      <w:r w:rsidRPr="00710AC5">
        <w:rPr>
          <w:rFonts w:ascii="Abadi" w:hAnsi="Abadi" w:cs="*Verdana-8783-Identity-H"/>
          <w:color w:val="121214"/>
          <w:sz w:val="21"/>
          <w:szCs w:val="21"/>
        </w:rPr>
        <w:t>en que el mismo se contrapone con la génesis del feminicidio, es decir, el homicidio</w:t>
      </w:r>
      <w:r>
        <w:rPr>
          <w:rFonts w:ascii="Abadi" w:hAnsi="Abadi" w:cs="*Verdana-8783-Identity-H"/>
          <w:color w:val="121214"/>
          <w:sz w:val="21"/>
          <w:szCs w:val="21"/>
        </w:rPr>
        <w:t xml:space="preserve"> </w:t>
      </w:r>
      <w:r w:rsidRPr="00710AC5">
        <w:rPr>
          <w:rFonts w:ascii="Abadi" w:hAnsi="Abadi" w:cs="*Verdana-8783-Identity-H"/>
          <w:color w:val="121214"/>
          <w:sz w:val="21"/>
          <w:szCs w:val="21"/>
        </w:rPr>
        <w:t>contra una mujer por razón de su género y por ende resultaba excesivo tener que</w:t>
      </w:r>
      <w:r>
        <w:rPr>
          <w:rFonts w:ascii="Abadi" w:hAnsi="Abadi" w:cs="*Verdana-8783-Identity-H"/>
          <w:color w:val="121214"/>
          <w:sz w:val="21"/>
          <w:szCs w:val="21"/>
        </w:rPr>
        <w:t xml:space="preserve"> </w:t>
      </w:r>
      <w:r w:rsidRPr="00710AC5">
        <w:rPr>
          <w:rFonts w:ascii="Abadi" w:hAnsi="Abadi" w:cs="*Verdana-8783-Identity-H"/>
          <w:color w:val="121214"/>
          <w:sz w:val="21"/>
          <w:szCs w:val="21"/>
        </w:rPr>
        <w:t>demostrar que la víctima se encontraba en un estado de Indefensión. Aunado a que no</w:t>
      </w:r>
      <w:r>
        <w:rPr>
          <w:rFonts w:ascii="Abadi" w:hAnsi="Abadi" w:cs="*Verdana-8783-Identity-H"/>
          <w:color w:val="121214"/>
          <w:sz w:val="21"/>
          <w:szCs w:val="21"/>
        </w:rPr>
        <w:t xml:space="preserve"> </w:t>
      </w:r>
      <w:r w:rsidRPr="00710AC5">
        <w:rPr>
          <w:rFonts w:ascii="Abadi" w:hAnsi="Abadi" w:cs="*Verdana-8783-Identity-H"/>
          <w:color w:val="121214"/>
          <w:sz w:val="21"/>
          <w:szCs w:val="21"/>
        </w:rPr>
        <w:t>precisa el marco temporal del estado de indefensión.</w:t>
      </w:r>
    </w:p>
    <w:p w14:paraId="6FD2B31A" w14:textId="77777777" w:rsidR="00E732AC" w:rsidRPr="00710AC5" w:rsidRDefault="00E732AC" w:rsidP="00E732AC">
      <w:pPr>
        <w:autoSpaceDE w:val="0"/>
        <w:autoSpaceDN w:val="0"/>
        <w:adjustRightInd w:val="0"/>
        <w:jc w:val="both"/>
        <w:rPr>
          <w:rFonts w:ascii="Abadi" w:hAnsi="Abadi" w:cs="*Verdana-8783-Identity-H"/>
          <w:color w:val="121214"/>
          <w:sz w:val="21"/>
          <w:szCs w:val="21"/>
        </w:rPr>
      </w:pPr>
    </w:p>
    <w:p w14:paraId="012DED7A" w14:textId="77777777" w:rsidR="00E732AC" w:rsidRPr="00710AC5" w:rsidRDefault="00E732AC" w:rsidP="00E732AC">
      <w:pPr>
        <w:autoSpaceDE w:val="0"/>
        <w:autoSpaceDN w:val="0"/>
        <w:adjustRightInd w:val="0"/>
        <w:ind w:firstLine="360"/>
        <w:jc w:val="both"/>
        <w:rPr>
          <w:rFonts w:ascii="Abadi" w:hAnsi="Abadi" w:cs="*Verdana-8783-Identity-H"/>
          <w:color w:val="111113"/>
          <w:sz w:val="21"/>
          <w:szCs w:val="21"/>
        </w:rPr>
      </w:pPr>
      <w:r w:rsidRPr="00710AC5">
        <w:rPr>
          <w:rFonts w:ascii="Abadi" w:hAnsi="Abadi" w:cs="*Verdana-8783-Identity-H"/>
          <w:color w:val="111113"/>
          <w:sz w:val="21"/>
          <w:szCs w:val="21"/>
        </w:rPr>
        <w:t>5.12. En relación a la propuesta, tanto de la diputada Alma Edwviges Alcaraz</w:t>
      </w:r>
      <w:r>
        <w:rPr>
          <w:rFonts w:ascii="Abadi" w:hAnsi="Abadi" w:cs="*Verdana-8783-Identity-H"/>
          <w:color w:val="111113"/>
          <w:sz w:val="21"/>
          <w:szCs w:val="21"/>
        </w:rPr>
        <w:t xml:space="preserve"> </w:t>
      </w:r>
      <w:r w:rsidRPr="00710AC5">
        <w:rPr>
          <w:rFonts w:ascii="Abadi" w:hAnsi="Abadi" w:cs="*Verdana-8783-Identity-H"/>
          <w:color w:val="111113"/>
          <w:sz w:val="21"/>
          <w:szCs w:val="21"/>
        </w:rPr>
        <w:t xml:space="preserve">Hernández, como del Ayuntamiento de León, Guanajuato, para adicionar una </w:t>
      </w:r>
      <w:r w:rsidRPr="00710AC5">
        <w:rPr>
          <w:rFonts w:ascii="Abadi" w:hAnsi="Abadi" w:cs="*Verdana-Bold-8786-Identity-H"/>
          <w:b/>
          <w:bCs/>
          <w:color w:val="111113"/>
          <w:sz w:val="21"/>
          <w:szCs w:val="21"/>
        </w:rPr>
        <w:t>fracción</w:t>
      </w:r>
      <w:r>
        <w:rPr>
          <w:rFonts w:ascii="Abadi" w:hAnsi="Abadi" w:cs="*Verdana-Bold-8786-Identity-H"/>
          <w:b/>
          <w:bCs/>
          <w:color w:val="111113"/>
          <w:sz w:val="21"/>
          <w:szCs w:val="21"/>
        </w:rPr>
        <w:t xml:space="preserve"> </w:t>
      </w:r>
      <w:r w:rsidRPr="00710AC5">
        <w:rPr>
          <w:rFonts w:ascii="Abadi" w:hAnsi="Abadi" w:cs="*Verdana-Bold-8785-Identity-H"/>
          <w:b/>
          <w:bCs/>
          <w:color w:val="111113"/>
          <w:sz w:val="21"/>
          <w:szCs w:val="21"/>
        </w:rPr>
        <w:t xml:space="preserve">IX </w:t>
      </w:r>
      <w:r w:rsidRPr="00710AC5">
        <w:rPr>
          <w:rFonts w:ascii="Abadi" w:hAnsi="Abadi" w:cs="*Verdana-8783-Identity-H"/>
          <w:color w:val="111113"/>
          <w:sz w:val="21"/>
          <w:szCs w:val="21"/>
        </w:rPr>
        <w:t xml:space="preserve">y </w:t>
      </w:r>
      <w:r w:rsidRPr="00710AC5">
        <w:rPr>
          <w:rFonts w:ascii="Abadi" w:hAnsi="Abadi" w:cs="*Verdana-Bold-8785-Identity-H"/>
          <w:b/>
          <w:bCs/>
          <w:color w:val="111113"/>
          <w:sz w:val="21"/>
          <w:szCs w:val="21"/>
        </w:rPr>
        <w:t xml:space="preserve">X, </w:t>
      </w:r>
      <w:r w:rsidRPr="00710AC5">
        <w:rPr>
          <w:rFonts w:ascii="Abadi" w:hAnsi="Abadi" w:cs="*Verdana-8783-Identity-H"/>
          <w:color w:val="111113"/>
          <w:sz w:val="21"/>
          <w:szCs w:val="21"/>
        </w:rPr>
        <w:t xml:space="preserve">respectivamente, para contemplar el supuesto de que </w:t>
      </w:r>
      <w:r w:rsidRPr="00710AC5">
        <w:rPr>
          <w:rFonts w:ascii="Abadi" w:hAnsi="Abadi" w:cs="*Verdana-Italic-8784-Identity-H"/>
          <w:i/>
          <w:iCs/>
          <w:color w:val="111113"/>
          <w:sz w:val="21"/>
          <w:szCs w:val="21"/>
        </w:rPr>
        <w:t>la víctima haya sido</w:t>
      </w:r>
      <w:r>
        <w:rPr>
          <w:rFonts w:ascii="Abadi" w:hAnsi="Abadi" w:cs="*Verdana-Italic-8784-Identity-H"/>
          <w:i/>
          <w:iCs/>
          <w:color w:val="111113"/>
          <w:sz w:val="21"/>
          <w:szCs w:val="21"/>
        </w:rPr>
        <w:t xml:space="preserve"> </w:t>
      </w:r>
      <w:r w:rsidRPr="00710AC5">
        <w:rPr>
          <w:rFonts w:ascii="Abadi" w:hAnsi="Abadi" w:cs="*Verdana-Italic-8784-Identity-H"/>
          <w:i/>
          <w:iCs/>
          <w:color w:val="111113"/>
          <w:sz w:val="21"/>
          <w:szCs w:val="21"/>
        </w:rPr>
        <w:t>obligada a ejercer la prostitución, o cualquier forma de explotación o actos de trata de</w:t>
      </w:r>
      <w:r>
        <w:rPr>
          <w:rFonts w:ascii="Abadi" w:hAnsi="Abadi" w:cs="*Verdana-Italic-8784-Identity-H"/>
          <w:i/>
          <w:iCs/>
          <w:color w:val="111113"/>
          <w:sz w:val="21"/>
          <w:szCs w:val="21"/>
        </w:rPr>
        <w:t xml:space="preserve"> </w:t>
      </w:r>
      <w:r w:rsidRPr="00710AC5">
        <w:rPr>
          <w:rFonts w:ascii="Abadi" w:hAnsi="Abadi" w:cs="*Verdana-Italic-8784-Identity-H"/>
          <w:i/>
          <w:iCs/>
          <w:color w:val="111113"/>
          <w:sz w:val="21"/>
          <w:szCs w:val="21"/>
        </w:rPr>
        <w:t xml:space="preserve">personas, </w:t>
      </w:r>
      <w:r w:rsidRPr="00710AC5">
        <w:rPr>
          <w:rFonts w:ascii="Abadi" w:hAnsi="Abadi" w:cs="*Verdana-8783-Identity-H"/>
          <w:color w:val="111113"/>
          <w:sz w:val="21"/>
          <w:szCs w:val="21"/>
        </w:rPr>
        <w:t>existió coincidencia en que este supuesto reviste una gran complejidad para</w:t>
      </w:r>
      <w:r>
        <w:rPr>
          <w:rFonts w:ascii="Abadi" w:hAnsi="Abadi" w:cs="*Verdana-8783-Identity-H"/>
          <w:color w:val="111113"/>
          <w:sz w:val="21"/>
          <w:szCs w:val="21"/>
        </w:rPr>
        <w:t xml:space="preserve"> </w:t>
      </w:r>
      <w:r w:rsidRPr="00710AC5">
        <w:rPr>
          <w:rFonts w:ascii="Abadi" w:hAnsi="Abadi" w:cs="*Verdana-8783-Identity-H"/>
          <w:color w:val="111113"/>
          <w:sz w:val="21"/>
          <w:szCs w:val="21"/>
        </w:rPr>
        <w:t>su acreditación, pues como se sugiere, requiere la demostración típica de alguna de las</w:t>
      </w:r>
      <w:r>
        <w:rPr>
          <w:rFonts w:ascii="Abadi" w:hAnsi="Abadi" w:cs="*Verdana-8783-Identity-H"/>
          <w:color w:val="111113"/>
          <w:sz w:val="21"/>
          <w:szCs w:val="21"/>
        </w:rPr>
        <w:t xml:space="preserve"> </w:t>
      </w:r>
      <w:r w:rsidRPr="00710AC5">
        <w:rPr>
          <w:rFonts w:ascii="Abadi" w:hAnsi="Abadi" w:cs="*Verdana-8783-Identity-H"/>
          <w:color w:val="111113"/>
          <w:sz w:val="21"/>
          <w:szCs w:val="21"/>
        </w:rPr>
        <w:t>diversas y especificas conductas que se contienen en la Ley General para Prevenir,</w:t>
      </w:r>
    </w:p>
    <w:p w14:paraId="59FC0CB4" w14:textId="77777777" w:rsidR="00E732AC" w:rsidRPr="00710AC5" w:rsidRDefault="00E732AC" w:rsidP="00E732AC">
      <w:pPr>
        <w:jc w:val="both"/>
        <w:rPr>
          <w:rFonts w:ascii="Abadi" w:hAnsi="Abadi" w:cs="*Verdana-8783-Identity-H"/>
          <w:color w:val="111113"/>
          <w:sz w:val="21"/>
          <w:szCs w:val="21"/>
        </w:rPr>
      </w:pPr>
      <w:r>
        <w:rPr>
          <w:rFonts w:ascii="Abadi" w:hAnsi="Abadi" w:cs="*Verdana-8783-Identity-H"/>
          <w:color w:val="111113"/>
          <w:sz w:val="21"/>
          <w:szCs w:val="21"/>
        </w:rPr>
        <w:tab/>
      </w:r>
    </w:p>
    <w:p w14:paraId="358035C0" w14:textId="77777777" w:rsidR="00E732AC" w:rsidRDefault="00E732AC" w:rsidP="00E732AC">
      <w:pPr>
        <w:autoSpaceDE w:val="0"/>
        <w:autoSpaceDN w:val="0"/>
        <w:adjustRightInd w:val="0"/>
        <w:ind w:firstLine="360"/>
        <w:jc w:val="both"/>
        <w:rPr>
          <w:rFonts w:ascii="Abadi" w:hAnsi="Abadi" w:cs="*Verdana-8509-Identity-H"/>
          <w:color w:val="111012"/>
          <w:sz w:val="21"/>
          <w:szCs w:val="21"/>
        </w:rPr>
      </w:pPr>
      <w:r w:rsidRPr="00710AC5">
        <w:rPr>
          <w:rFonts w:ascii="Abadi" w:hAnsi="Abadi" w:cs="*Verdana-8509-Identity-H"/>
          <w:color w:val="111012"/>
          <w:sz w:val="21"/>
          <w:szCs w:val="21"/>
        </w:rPr>
        <w:t>Sancionar y Erradicar los Delitos en Materia de Trata de Personas y para la Protección y</w:t>
      </w:r>
      <w:r>
        <w:rPr>
          <w:rFonts w:ascii="Abadi" w:hAnsi="Abadi" w:cs="*Verdana-8509-Identity-H"/>
          <w:color w:val="111012"/>
          <w:sz w:val="21"/>
          <w:szCs w:val="21"/>
        </w:rPr>
        <w:t xml:space="preserve"> </w:t>
      </w:r>
      <w:r w:rsidRPr="00710AC5">
        <w:rPr>
          <w:rFonts w:ascii="Abadi" w:hAnsi="Abadi" w:cs="*Verdana-8509-Identity-H"/>
          <w:color w:val="111012"/>
          <w:sz w:val="21"/>
          <w:szCs w:val="21"/>
        </w:rPr>
        <w:t>Asistencia a las Víctimas de estos Delitos, aunado a la posibilidad de plantear un</w:t>
      </w:r>
      <w:r>
        <w:rPr>
          <w:rFonts w:ascii="Abadi" w:hAnsi="Abadi" w:cs="*Verdana-8509-Identity-H"/>
          <w:color w:val="111012"/>
          <w:sz w:val="21"/>
          <w:szCs w:val="21"/>
        </w:rPr>
        <w:t xml:space="preserve"> </w:t>
      </w:r>
      <w:r w:rsidRPr="00710AC5">
        <w:rPr>
          <w:rFonts w:ascii="Abadi" w:hAnsi="Abadi" w:cs="*Verdana-8509-Identity-H"/>
          <w:color w:val="111012"/>
          <w:sz w:val="21"/>
          <w:szCs w:val="21"/>
        </w:rPr>
        <w:t>problema de concurso de leyes, o unidad de ley, ante el posible planteamiento de estar</w:t>
      </w:r>
      <w:r>
        <w:rPr>
          <w:rFonts w:ascii="Abadi" w:hAnsi="Abadi" w:cs="*Verdana-8509-Identity-H"/>
          <w:color w:val="111012"/>
          <w:sz w:val="21"/>
          <w:szCs w:val="21"/>
        </w:rPr>
        <w:t xml:space="preserve"> </w:t>
      </w:r>
      <w:r w:rsidRPr="00710AC5">
        <w:rPr>
          <w:rFonts w:ascii="Abadi" w:hAnsi="Abadi" w:cs="*Verdana-8509-Identity-H"/>
          <w:color w:val="111012"/>
          <w:sz w:val="21"/>
          <w:szCs w:val="21"/>
        </w:rPr>
        <w:t>sancionando dos veces la misma conducta, así como problemas probatorios para</w:t>
      </w:r>
      <w:r>
        <w:rPr>
          <w:rFonts w:ascii="Abadi" w:hAnsi="Abadi" w:cs="*Verdana-8509-Identity-H"/>
          <w:color w:val="111012"/>
          <w:sz w:val="21"/>
          <w:szCs w:val="21"/>
        </w:rPr>
        <w:t xml:space="preserve"> </w:t>
      </w:r>
      <w:r w:rsidRPr="00710AC5">
        <w:rPr>
          <w:rFonts w:ascii="Abadi" w:hAnsi="Abadi" w:cs="*Verdana-8509-Identity-H"/>
          <w:color w:val="111012"/>
          <w:sz w:val="21"/>
          <w:szCs w:val="21"/>
        </w:rPr>
        <w:t>demostrar dichas conductas.</w:t>
      </w:r>
    </w:p>
    <w:p w14:paraId="129ADC52" w14:textId="77777777" w:rsidR="00E732AC" w:rsidRPr="00710AC5" w:rsidRDefault="00E732AC" w:rsidP="00E732AC">
      <w:pPr>
        <w:autoSpaceDE w:val="0"/>
        <w:autoSpaceDN w:val="0"/>
        <w:adjustRightInd w:val="0"/>
        <w:jc w:val="both"/>
        <w:rPr>
          <w:rFonts w:ascii="Abadi" w:hAnsi="Abadi" w:cs="*Verdana-8509-Identity-H"/>
          <w:color w:val="111012"/>
          <w:sz w:val="21"/>
          <w:szCs w:val="21"/>
        </w:rPr>
      </w:pPr>
    </w:p>
    <w:p w14:paraId="5A02F9E6" w14:textId="77777777" w:rsidR="00E732AC" w:rsidRDefault="00E732AC" w:rsidP="00E732AC">
      <w:pPr>
        <w:autoSpaceDE w:val="0"/>
        <w:autoSpaceDN w:val="0"/>
        <w:adjustRightInd w:val="0"/>
        <w:ind w:firstLine="360"/>
        <w:jc w:val="both"/>
        <w:rPr>
          <w:rFonts w:ascii="Abadi" w:hAnsi="Abadi" w:cs="*Verdana-8509-Identity-H"/>
          <w:color w:val="121114"/>
          <w:sz w:val="21"/>
          <w:szCs w:val="21"/>
        </w:rPr>
      </w:pPr>
      <w:r w:rsidRPr="00710AC5">
        <w:rPr>
          <w:rFonts w:ascii="Abadi" w:hAnsi="Abadi" w:cs="*Verdana-8509-Identity-H"/>
          <w:color w:val="121114"/>
          <w:sz w:val="21"/>
          <w:szCs w:val="21"/>
        </w:rPr>
        <w:t>5.13. La propuesta del Ayuntamiento de León, Guanajuato para adicionar una</w:t>
      </w:r>
      <w:r>
        <w:rPr>
          <w:rFonts w:ascii="Abadi" w:hAnsi="Abadi" w:cs="*Verdana-8509-Identity-H"/>
          <w:color w:val="121114"/>
          <w:sz w:val="21"/>
          <w:szCs w:val="21"/>
        </w:rPr>
        <w:t xml:space="preserve"> </w:t>
      </w:r>
      <w:r w:rsidRPr="00710AC5">
        <w:rPr>
          <w:rFonts w:ascii="Abadi" w:hAnsi="Abadi" w:cs="*Verdana-Bold-8511-Identity-H"/>
          <w:b/>
          <w:bCs/>
          <w:color w:val="121114"/>
          <w:sz w:val="21"/>
          <w:szCs w:val="21"/>
        </w:rPr>
        <w:t xml:space="preserve">fracción XI </w:t>
      </w:r>
      <w:r w:rsidRPr="00710AC5">
        <w:rPr>
          <w:rFonts w:ascii="Abadi" w:hAnsi="Abadi" w:cs="*Verdana-8509-Identity-H"/>
          <w:color w:val="121114"/>
          <w:sz w:val="21"/>
          <w:szCs w:val="21"/>
        </w:rPr>
        <w:t xml:space="preserve">que refiera a que el </w:t>
      </w:r>
      <w:r w:rsidRPr="00710AC5">
        <w:rPr>
          <w:rFonts w:ascii="Abadi" w:hAnsi="Abadi" w:cs="*Verdana-Italic-8510-Identity-H"/>
          <w:i/>
          <w:iCs/>
          <w:color w:val="121114"/>
          <w:sz w:val="21"/>
          <w:szCs w:val="21"/>
        </w:rPr>
        <w:t>sujeto activo abuse de su cargo público para la comisión</w:t>
      </w:r>
      <w:r>
        <w:rPr>
          <w:rFonts w:ascii="Abadi" w:hAnsi="Abadi" w:cs="*Verdana-Italic-8510-Identity-H"/>
          <w:i/>
          <w:iCs/>
          <w:color w:val="121114"/>
          <w:sz w:val="21"/>
          <w:szCs w:val="21"/>
        </w:rPr>
        <w:t xml:space="preserve"> </w:t>
      </w:r>
      <w:r w:rsidRPr="00710AC5">
        <w:rPr>
          <w:rFonts w:ascii="Abadi" w:hAnsi="Abadi" w:cs="*Verdana-Italic-8510-Identity-H"/>
          <w:i/>
          <w:iCs/>
          <w:color w:val="121114"/>
          <w:sz w:val="21"/>
          <w:szCs w:val="21"/>
        </w:rPr>
        <w:t xml:space="preserve">del delito, </w:t>
      </w:r>
      <w:r w:rsidRPr="00710AC5">
        <w:rPr>
          <w:rFonts w:ascii="Abadi" w:hAnsi="Abadi" w:cs="*Verdana-8509-Identity-H"/>
          <w:color w:val="121114"/>
          <w:sz w:val="21"/>
          <w:szCs w:val="21"/>
        </w:rPr>
        <w:t>existió coincidencia de que no resultaba viable, ya que la misma contenía una</w:t>
      </w:r>
      <w:r>
        <w:rPr>
          <w:rFonts w:ascii="Abadi" w:hAnsi="Abadi" w:cs="*Verdana-8509-Identity-H"/>
          <w:color w:val="121114"/>
          <w:sz w:val="21"/>
          <w:szCs w:val="21"/>
        </w:rPr>
        <w:t xml:space="preserve"> </w:t>
      </w:r>
      <w:r w:rsidRPr="00710AC5">
        <w:rPr>
          <w:rFonts w:ascii="Abadi" w:hAnsi="Abadi" w:cs="*Verdana-8509-Identity-H"/>
          <w:color w:val="121114"/>
          <w:sz w:val="21"/>
          <w:szCs w:val="21"/>
        </w:rPr>
        <w:t xml:space="preserve">redacción ambigua, es así que, de acuerdo a la propuesta, </w:t>
      </w:r>
      <w:r w:rsidRPr="00710AC5">
        <w:rPr>
          <w:rFonts w:ascii="Abadi" w:hAnsi="Abadi" w:cs="*Verdana-Italic-8510-Identity-H"/>
          <w:i/>
          <w:iCs/>
          <w:color w:val="121114"/>
          <w:sz w:val="21"/>
          <w:szCs w:val="21"/>
        </w:rPr>
        <w:t>debiera abusar de su cargo</w:t>
      </w:r>
      <w:r>
        <w:rPr>
          <w:rFonts w:ascii="Abadi" w:hAnsi="Abadi" w:cs="*Verdana-Italic-8510-Identity-H"/>
          <w:i/>
          <w:iCs/>
          <w:color w:val="121114"/>
          <w:sz w:val="21"/>
          <w:szCs w:val="21"/>
        </w:rPr>
        <w:t xml:space="preserve"> </w:t>
      </w:r>
      <w:r w:rsidRPr="00710AC5">
        <w:rPr>
          <w:rFonts w:ascii="Abadi" w:hAnsi="Abadi" w:cs="*Verdana-Italic-8510-Identity-H"/>
          <w:i/>
          <w:iCs/>
          <w:color w:val="121114"/>
          <w:sz w:val="21"/>
          <w:szCs w:val="21"/>
        </w:rPr>
        <w:t xml:space="preserve">en el servicio público </w:t>
      </w:r>
      <w:r w:rsidRPr="00710AC5">
        <w:rPr>
          <w:rFonts w:ascii="Abadi" w:hAnsi="Abadi" w:cs="*Calibri-Italic-8507-Identity-H"/>
          <w:i/>
          <w:iCs/>
          <w:color w:val="121114"/>
          <w:sz w:val="21"/>
          <w:szCs w:val="21"/>
        </w:rPr>
        <w:t xml:space="preserve">y </w:t>
      </w:r>
      <w:r w:rsidRPr="00710AC5">
        <w:rPr>
          <w:rFonts w:ascii="Abadi" w:hAnsi="Abadi" w:cs="*Verdana-Italic-8510-Identity-H"/>
          <w:i/>
          <w:iCs/>
          <w:color w:val="121114"/>
          <w:sz w:val="21"/>
          <w:szCs w:val="21"/>
        </w:rPr>
        <w:t>para cometerlo es necesario que se actualice cualquier de los</w:t>
      </w:r>
      <w:r>
        <w:rPr>
          <w:rFonts w:ascii="Abadi" w:hAnsi="Abadi" w:cs="*Verdana-Italic-8510-Identity-H"/>
          <w:i/>
          <w:iCs/>
          <w:color w:val="121114"/>
          <w:sz w:val="21"/>
          <w:szCs w:val="21"/>
        </w:rPr>
        <w:t xml:space="preserve"> </w:t>
      </w:r>
      <w:r w:rsidRPr="00710AC5">
        <w:rPr>
          <w:rFonts w:ascii="Abadi" w:hAnsi="Abadi" w:cs="*Verdana-Italic-8510-Identity-H"/>
          <w:i/>
          <w:iCs/>
          <w:color w:val="121114"/>
          <w:sz w:val="21"/>
          <w:szCs w:val="21"/>
        </w:rPr>
        <w:t xml:space="preserve">supuestos a los que alude el articulo 153-a. </w:t>
      </w:r>
      <w:r w:rsidRPr="00710AC5">
        <w:rPr>
          <w:rFonts w:ascii="Abadi" w:hAnsi="Abadi" w:cs="*Verdana-8509-Identity-H"/>
          <w:color w:val="121114"/>
          <w:sz w:val="21"/>
          <w:szCs w:val="21"/>
        </w:rPr>
        <w:t>En todo caso, habría un concurso de delitos.</w:t>
      </w:r>
      <w:r>
        <w:rPr>
          <w:rFonts w:ascii="Abadi" w:hAnsi="Abadi" w:cs="*Verdana-8509-Identity-H"/>
          <w:color w:val="121114"/>
          <w:sz w:val="21"/>
          <w:szCs w:val="21"/>
        </w:rPr>
        <w:t xml:space="preserve"> </w:t>
      </w:r>
    </w:p>
    <w:p w14:paraId="3F39CAAA" w14:textId="77777777" w:rsidR="00E732AC" w:rsidRDefault="00E732AC" w:rsidP="00E732AC">
      <w:pPr>
        <w:autoSpaceDE w:val="0"/>
        <w:autoSpaceDN w:val="0"/>
        <w:adjustRightInd w:val="0"/>
        <w:jc w:val="both"/>
        <w:rPr>
          <w:rFonts w:ascii="Abadi" w:hAnsi="Abadi" w:cs="*Verdana-8509-Identity-H"/>
          <w:color w:val="121114"/>
          <w:sz w:val="21"/>
          <w:szCs w:val="21"/>
        </w:rPr>
      </w:pPr>
    </w:p>
    <w:p w14:paraId="2720BAFE" w14:textId="77777777" w:rsidR="00E732AC" w:rsidRDefault="00E732AC" w:rsidP="00E732AC">
      <w:pPr>
        <w:autoSpaceDE w:val="0"/>
        <w:autoSpaceDN w:val="0"/>
        <w:adjustRightInd w:val="0"/>
        <w:ind w:firstLine="360"/>
        <w:jc w:val="both"/>
        <w:rPr>
          <w:rFonts w:ascii="Abadi" w:hAnsi="Abadi" w:cs="*Verdana-8509-Identity-H"/>
          <w:color w:val="121114"/>
          <w:sz w:val="21"/>
          <w:szCs w:val="21"/>
        </w:rPr>
      </w:pPr>
      <w:r w:rsidRPr="00710AC5">
        <w:rPr>
          <w:rFonts w:ascii="Abadi" w:hAnsi="Abadi" w:cs="*Verdana-8509-Identity-H"/>
          <w:color w:val="121114"/>
          <w:sz w:val="21"/>
          <w:szCs w:val="21"/>
        </w:rPr>
        <w:t xml:space="preserve">5.14. La propuesta de adicionar un </w:t>
      </w:r>
      <w:r w:rsidRPr="00710AC5">
        <w:rPr>
          <w:rFonts w:ascii="Abadi" w:hAnsi="Abadi" w:cs="*Verdana-Bold-8511-Identity-H"/>
          <w:b/>
          <w:bCs/>
          <w:color w:val="121114"/>
          <w:sz w:val="21"/>
          <w:szCs w:val="21"/>
        </w:rPr>
        <w:t xml:space="preserve">cuarto párrafo </w:t>
      </w:r>
      <w:r w:rsidRPr="00710AC5">
        <w:rPr>
          <w:rFonts w:ascii="Abadi" w:hAnsi="Abadi" w:cs="*Verdana-8509-Identity-H"/>
          <w:color w:val="121114"/>
          <w:sz w:val="21"/>
          <w:szCs w:val="21"/>
        </w:rPr>
        <w:t xml:space="preserve">para </w:t>
      </w:r>
      <w:r w:rsidRPr="00710AC5">
        <w:rPr>
          <w:rFonts w:ascii="Abadi" w:hAnsi="Abadi" w:cs="*Verdana-Italic-8510-Identity-H"/>
          <w:i/>
          <w:iCs/>
          <w:color w:val="121114"/>
          <w:sz w:val="21"/>
          <w:szCs w:val="21"/>
        </w:rPr>
        <w:t>incrementar las penas</w:t>
      </w:r>
      <w:r>
        <w:rPr>
          <w:rFonts w:ascii="Abadi" w:hAnsi="Abadi" w:cs="*Verdana-Italic-8510-Identity-H"/>
          <w:i/>
          <w:iCs/>
          <w:color w:val="121114"/>
          <w:sz w:val="21"/>
          <w:szCs w:val="21"/>
        </w:rPr>
        <w:t xml:space="preserve"> </w:t>
      </w:r>
      <w:r w:rsidRPr="00710AC5">
        <w:rPr>
          <w:rFonts w:ascii="Abadi" w:hAnsi="Abadi" w:cs="*Verdana-Italic-8510-Identity-H"/>
          <w:i/>
          <w:iCs/>
          <w:color w:val="121114"/>
          <w:sz w:val="21"/>
          <w:szCs w:val="21"/>
        </w:rPr>
        <w:t>cuando la víctima fuese menor de edad, sin rebasar el límite máximo previsto en el</w:t>
      </w:r>
      <w:r>
        <w:rPr>
          <w:rFonts w:ascii="Abadi" w:hAnsi="Abadi" w:cs="*Verdana-Italic-8510-Identity-H"/>
          <w:i/>
          <w:iCs/>
          <w:color w:val="121114"/>
          <w:sz w:val="21"/>
          <w:szCs w:val="21"/>
        </w:rPr>
        <w:t xml:space="preserve"> </w:t>
      </w:r>
      <w:r w:rsidRPr="00710AC5">
        <w:rPr>
          <w:rFonts w:ascii="Abadi" w:hAnsi="Abadi" w:cs="*Verdana-Italic-8510-Identity-H"/>
          <w:i/>
          <w:iCs/>
          <w:color w:val="121114"/>
          <w:sz w:val="21"/>
          <w:szCs w:val="21"/>
        </w:rPr>
        <w:t xml:space="preserve">párrafo anterior, </w:t>
      </w:r>
      <w:r w:rsidRPr="00710AC5">
        <w:rPr>
          <w:rFonts w:ascii="Abadi" w:hAnsi="Abadi" w:cs="*Verdana-8509-Identity-H"/>
          <w:color w:val="121114"/>
          <w:sz w:val="21"/>
          <w:szCs w:val="21"/>
        </w:rPr>
        <w:t>se estimó viable en sus términos propuestos, ya que ello representa</w:t>
      </w:r>
      <w:r>
        <w:rPr>
          <w:rFonts w:ascii="Abadi" w:hAnsi="Abadi" w:cs="*Verdana-8509-Identity-H"/>
          <w:color w:val="121114"/>
          <w:sz w:val="21"/>
          <w:szCs w:val="21"/>
        </w:rPr>
        <w:t xml:space="preserve"> </w:t>
      </w:r>
      <w:r w:rsidRPr="00710AC5">
        <w:rPr>
          <w:rFonts w:ascii="Abadi" w:hAnsi="Abadi" w:cs="*Verdana-8509-Identity-H"/>
          <w:color w:val="121114"/>
          <w:sz w:val="21"/>
          <w:szCs w:val="21"/>
        </w:rPr>
        <w:t>tutelar con mayor intensidad el bien jurídico vinculado a este grupo de personas. Si el</w:t>
      </w:r>
      <w:r>
        <w:rPr>
          <w:rFonts w:ascii="Abadi" w:hAnsi="Abadi" w:cs="*Verdana-8509-Identity-H"/>
          <w:color w:val="121114"/>
          <w:sz w:val="21"/>
          <w:szCs w:val="21"/>
        </w:rPr>
        <w:t xml:space="preserve"> </w:t>
      </w:r>
      <w:r w:rsidRPr="00710AC5">
        <w:rPr>
          <w:rFonts w:ascii="Abadi" w:hAnsi="Abadi" w:cs="*Verdana-8509-Identity-H"/>
          <w:color w:val="121114"/>
          <w:sz w:val="21"/>
          <w:szCs w:val="21"/>
        </w:rPr>
        <w:t>feminicidio ya representa una conducta del más alto reproche social, cuando este se</w:t>
      </w:r>
      <w:r>
        <w:rPr>
          <w:rFonts w:ascii="Abadi" w:hAnsi="Abadi" w:cs="*Verdana-8509-Identity-H"/>
          <w:color w:val="121114"/>
          <w:sz w:val="21"/>
          <w:szCs w:val="21"/>
        </w:rPr>
        <w:t xml:space="preserve"> </w:t>
      </w:r>
      <w:r w:rsidRPr="00710AC5">
        <w:rPr>
          <w:rFonts w:ascii="Abadi" w:hAnsi="Abadi" w:cs="*Verdana-8509-Identity-H"/>
          <w:color w:val="121114"/>
          <w:sz w:val="21"/>
          <w:szCs w:val="21"/>
        </w:rPr>
        <w:t>comete, de manera particular, en contra de las niñas y de las adolescentes, no hay duda</w:t>
      </w:r>
      <w:r>
        <w:rPr>
          <w:rFonts w:ascii="Abadi" w:hAnsi="Abadi" w:cs="*Verdana-8509-Identity-H"/>
          <w:color w:val="121114"/>
          <w:sz w:val="21"/>
          <w:szCs w:val="21"/>
        </w:rPr>
        <w:t xml:space="preserve"> </w:t>
      </w:r>
      <w:r w:rsidRPr="00710AC5">
        <w:rPr>
          <w:rFonts w:ascii="Abadi" w:hAnsi="Abadi" w:cs="*Verdana-8509-Identity-H"/>
          <w:color w:val="121114"/>
          <w:sz w:val="21"/>
          <w:szCs w:val="21"/>
        </w:rPr>
        <w:t>de que deben existir sanciones más severas para quienes lo cometan.</w:t>
      </w:r>
    </w:p>
    <w:p w14:paraId="2DB276F2" w14:textId="77777777" w:rsidR="00E732AC" w:rsidRPr="00710AC5" w:rsidRDefault="00E732AC" w:rsidP="00E732AC">
      <w:pPr>
        <w:autoSpaceDE w:val="0"/>
        <w:autoSpaceDN w:val="0"/>
        <w:adjustRightInd w:val="0"/>
        <w:jc w:val="both"/>
        <w:rPr>
          <w:rFonts w:ascii="Abadi" w:hAnsi="Abadi" w:cs="*Verdana-8509-Identity-H"/>
          <w:color w:val="121114"/>
          <w:sz w:val="21"/>
          <w:szCs w:val="21"/>
        </w:rPr>
      </w:pPr>
    </w:p>
    <w:p w14:paraId="3289DF22" w14:textId="77777777" w:rsidR="00E732AC" w:rsidRDefault="00E732AC" w:rsidP="00E732AC">
      <w:pPr>
        <w:autoSpaceDE w:val="0"/>
        <w:autoSpaceDN w:val="0"/>
        <w:adjustRightInd w:val="0"/>
        <w:ind w:firstLine="360"/>
        <w:jc w:val="both"/>
        <w:rPr>
          <w:rFonts w:ascii="Abadi" w:hAnsi="Abadi" w:cs="*Verdana-8509-Identity-H"/>
          <w:color w:val="121214"/>
          <w:sz w:val="21"/>
          <w:szCs w:val="21"/>
        </w:rPr>
      </w:pPr>
      <w:r w:rsidRPr="00710AC5">
        <w:rPr>
          <w:rFonts w:ascii="Abadi" w:hAnsi="Abadi" w:cs="*Verdana-8509-Identity-H"/>
          <w:color w:val="121214"/>
          <w:sz w:val="21"/>
          <w:szCs w:val="21"/>
        </w:rPr>
        <w:t>Al respecto, se valoró incluso que no era necesario especificar que se expresara</w:t>
      </w:r>
      <w:r>
        <w:rPr>
          <w:rFonts w:ascii="Abadi" w:hAnsi="Abadi" w:cs="*Verdana-8509-Identity-H"/>
          <w:color w:val="121214"/>
          <w:sz w:val="21"/>
          <w:szCs w:val="21"/>
        </w:rPr>
        <w:t xml:space="preserve"> </w:t>
      </w:r>
      <w:r w:rsidRPr="00710AC5">
        <w:rPr>
          <w:rFonts w:ascii="Abadi" w:hAnsi="Abadi" w:cs="*Verdana-8509-Identity-H"/>
          <w:color w:val="121214"/>
          <w:sz w:val="21"/>
          <w:szCs w:val="21"/>
        </w:rPr>
        <w:t>que fuese menor de dieciocho años, ya que la sistemática de la legislación penal</w:t>
      </w:r>
      <w:r>
        <w:rPr>
          <w:rFonts w:ascii="Abadi" w:hAnsi="Abadi" w:cs="*Verdana-8509-Identity-H"/>
          <w:color w:val="121214"/>
          <w:sz w:val="21"/>
          <w:szCs w:val="21"/>
        </w:rPr>
        <w:t xml:space="preserve"> </w:t>
      </w:r>
      <w:r w:rsidRPr="00710AC5">
        <w:rPr>
          <w:rFonts w:ascii="Abadi" w:hAnsi="Abadi" w:cs="*Verdana-8509-Identity-H"/>
          <w:color w:val="121214"/>
          <w:sz w:val="21"/>
          <w:szCs w:val="21"/>
        </w:rPr>
        <w:t>sustantiva en nuestro Estado no hace esa distinción en otros supuestos que refiere a</w:t>
      </w:r>
      <w:r>
        <w:rPr>
          <w:rFonts w:ascii="Abadi" w:hAnsi="Abadi" w:cs="*Verdana-8509-Identity-H"/>
          <w:color w:val="121214"/>
          <w:sz w:val="21"/>
          <w:szCs w:val="21"/>
        </w:rPr>
        <w:t xml:space="preserve"> </w:t>
      </w:r>
      <w:r w:rsidRPr="00710AC5">
        <w:rPr>
          <w:rFonts w:ascii="Abadi" w:hAnsi="Abadi" w:cs="*Verdana-8509-Identity-H"/>
          <w:color w:val="121214"/>
          <w:sz w:val="21"/>
          <w:szCs w:val="21"/>
        </w:rPr>
        <w:t>menores, de tal forma que hacerlo para este supuesto pudiera acarrear confusión al</w:t>
      </w:r>
      <w:r>
        <w:rPr>
          <w:rFonts w:ascii="Abadi" w:hAnsi="Abadi" w:cs="*Verdana-8509-Identity-H"/>
          <w:color w:val="121214"/>
          <w:sz w:val="21"/>
          <w:szCs w:val="21"/>
        </w:rPr>
        <w:t xml:space="preserve"> </w:t>
      </w:r>
      <w:r w:rsidRPr="00710AC5">
        <w:rPr>
          <w:rFonts w:ascii="Abadi" w:hAnsi="Abadi" w:cs="*Verdana-8509-Identity-H"/>
          <w:color w:val="121214"/>
          <w:sz w:val="21"/>
          <w:szCs w:val="21"/>
        </w:rPr>
        <w:t>establecer un trato diferenciado.</w:t>
      </w:r>
    </w:p>
    <w:p w14:paraId="6E41DE2F" w14:textId="77777777" w:rsidR="00E732AC" w:rsidRPr="00710AC5" w:rsidRDefault="00E732AC" w:rsidP="00E732AC">
      <w:pPr>
        <w:autoSpaceDE w:val="0"/>
        <w:autoSpaceDN w:val="0"/>
        <w:adjustRightInd w:val="0"/>
        <w:jc w:val="both"/>
        <w:rPr>
          <w:rFonts w:ascii="Abadi" w:hAnsi="Abadi" w:cs="*Verdana-8509-Identity-H"/>
          <w:color w:val="121214"/>
          <w:sz w:val="21"/>
          <w:szCs w:val="21"/>
        </w:rPr>
      </w:pPr>
    </w:p>
    <w:p w14:paraId="6FF5B22C" w14:textId="77777777" w:rsidR="00E732AC" w:rsidRPr="00710AC5" w:rsidRDefault="00E732AC" w:rsidP="00E732AC">
      <w:pPr>
        <w:autoSpaceDE w:val="0"/>
        <w:autoSpaceDN w:val="0"/>
        <w:adjustRightInd w:val="0"/>
        <w:ind w:firstLine="360"/>
        <w:jc w:val="both"/>
        <w:rPr>
          <w:rFonts w:ascii="Abadi" w:hAnsi="Abadi" w:cs="*Verdana-8509-Identity-H"/>
          <w:color w:val="121214"/>
          <w:sz w:val="21"/>
          <w:szCs w:val="21"/>
        </w:rPr>
      </w:pPr>
      <w:r w:rsidRPr="00710AC5">
        <w:rPr>
          <w:rFonts w:ascii="Abadi" w:hAnsi="Abadi" w:cs="*Verdana-8509-Identity-H"/>
          <w:color w:val="121214"/>
          <w:sz w:val="21"/>
          <w:szCs w:val="21"/>
        </w:rPr>
        <w:t>5.15. La propuesta de la diputada Alma Edwviges Alcaraz Hernández para</w:t>
      </w:r>
      <w:r>
        <w:rPr>
          <w:rFonts w:ascii="Abadi" w:hAnsi="Abadi" w:cs="*Verdana-8509-Identity-H"/>
          <w:color w:val="121214"/>
          <w:sz w:val="21"/>
          <w:szCs w:val="21"/>
        </w:rPr>
        <w:t xml:space="preserve"> </w:t>
      </w:r>
      <w:r w:rsidRPr="00710AC5">
        <w:rPr>
          <w:rFonts w:ascii="Abadi" w:hAnsi="Abadi" w:cs="*Verdana-8509-Identity-H"/>
          <w:color w:val="121214"/>
          <w:sz w:val="21"/>
          <w:szCs w:val="21"/>
        </w:rPr>
        <w:t xml:space="preserve">efectos de adicionar un </w:t>
      </w:r>
      <w:r w:rsidRPr="00710AC5">
        <w:rPr>
          <w:rFonts w:ascii="Abadi" w:hAnsi="Abadi" w:cs="*Verdana-Bold-8511-Identity-H"/>
          <w:b/>
          <w:bCs/>
          <w:color w:val="121214"/>
          <w:sz w:val="21"/>
          <w:szCs w:val="21"/>
        </w:rPr>
        <w:t xml:space="preserve">último párrafo, </w:t>
      </w:r>
      <w:r w:rsidRPr="00710AC5">
        <w:rPr>
          <w:rFonts w:ascii="Abadi" w:hAnsi="Abadi" w:cs="*Verdana-8509-Identity-H"/>
          <w:color w:val="121214"/>
          <w:sz w:val="21"/>
          <w:szCs w:val="21"/>
        </w:rPr>
        <w:t xml:space="preserve">que señale que </w:t>
      </w:r>
      <w:r w:rsidRPr="00710AC5">
        <w:rPr>
          <w:rFonts w:ascii="Abadi" w:hAnsi="Abadi" w:cs="*Verdana-Italic-8510-Identity-H"/>
          <w:i/>
          <w:iCs/>
          <w:color w:val="121214"/>
          <w:sz w:val="21"/>
          <w:szCs w:val="21"/>
        </w:rPr>
        <w:t>el sujeto activo perderá, si los</w:t>
      </w:r>
      <w:r>
        <w:rPr>
          <w:rFonts w:ascii="Abadi" w:hAnsi="Abadi" w:cs="*Verdana-Italic-8510-Identity-H"/>
          <w:i/>
          <w:iCs/>
          <w:color w:val="121214"/>
          <w:sz w:val="21"/>
          <w:szCs w:val="21"/>
        </w:rPr>
        <w:t xml:space="preserve"> </w:t>
      </w:r>
      <w:r w:rsidRPr="00710AC5">
        <w:rPr>
          <w:rFonts w:ascii="Abadi" w:hAnsi="Abadi" w:cs="*Verdana-Italic-8510-Identity-H"/>
          <w:i/>
          <w:iCs/>
          <w:color w:val="121214"/>
          <w:sz w:val="21"/>
          <w:szCs w:val="21"/>
        </w:rPr>
        <w:t>tuviere, todos los derechos con relación a la víctima, incluidos los de carácter sucesorio,</w:t>
      </w:r>
      <w:r>
        <w:rPr>
          <w:rFonts w:ascii="Abadi" w:hAnsi="Abadi" w:cs="*Verdana-Italic-8510-Identity-H"/>
          <w:i/>
          <w:iCs/>
          <w:color w:val="121214"/>
          <w:sz w:val="21"/>
          <w:szCs w:val="21"/>
        </w:rPr>
        <w:t xml:space="preserve"> </w:t>
      </w:r>
      <w:r w:rsidRPr="00710AC5">
        <w:rPr>
          <w:rFonts w:ascii="Abadi" w:hAnsi="Abadi" w:cs="*Verdana-8509-Identity-H"/>
          <w:color w:val="121214"/>
          <w:sz w:val="21"/>
          <w:szCs w:val="21"/>
        </w:rPr>
        <w:t>se estimó improcedente, en atención a lo siguiente:</w:t>
      </w:r>
    </w:p>
    <w:p w14:paraId="3FC140FD" w14:textId="77777777" w:rsidR="00E732AC" w:rsidRPr="00710AC5" w:rsidRDefault="00E732AC" w:rsidP="00E732AC">
      <w:pPr>
        <w:jc w:val="both"/>
        <w:rPr>
          <w:rFonts w:ascii="Abadi" w:hAnsi="Abadi" w:cs="*Verdana-8509-Identity-H"/>
          <w:color w:val="121214"/>
          <w:sz w:val="21"/>
          <w:szCs w:val="21"/>
        </w:rPr>
      </w:pPr>
    </w:p>
    <w:p w14:paraId="73E6FF40" w14:textId="77777777" w:rsidR="00E732AC" w:rsidRPr="009C0F2C" w:rsidRDefault="00E732AC" w:rsidP="00E732AC">
      <w:pPr>
        <w:pStyle w:val="Prrafodelista"/>
        <w:numPr>
          <w:ilvl w:val="0"/>
          <w:numId w:val="60"/>
        </w:numPr>
        <w:autoSpaceDE w:val="0"/>
        <w:autoSpaceDN w:val="0"/>
        <w:adjustRightInd w:val="0"/>
        <w:contextualSpacing/>
        <w:jc w:val="both"/>
        <w:rPr>
          <w:rFonts w:ascii="Abadi" w:hAnsi="Abadi" w:cs="*Tahoma-7682-Identity-H"/>
          <w:color w:val="111013"/>
          <w:sz w:val="21"/>
          <w:szCs w:val="21"/>
        </w:rPr>
      </w:pPr>
      <w:r w:rsidRPr="009C0F2C">
        <w:rPr>
          <w:rFonts w:ascii="Abadi" w:hAnsi="Abadi" w:cs="*Tahoma-7682-Identity-H"/>
          <w:color w:val="111013"/>
          <w:sz w:val="21"/>
          <w:szCs w:val="21"/>
        </w:rPr>
        <w:t xml:space="preserve">Su redacción resulta ambigua. El Código Penal prevé como </w:t>
      </w:r>
      <w:r w:rsidRPr="009C0F2C">
        <w:rPr>
          <w:rFonts w:ascii="Abadi" w:hAnsi="Abadi" w:cs="*Verdana-Italic-7680-Identity-H"/>
          <w:i/>
          <w:iCs/>
          <w:color w:val="111013"/>
          <w:sz w:val="21"/>
          <w:szCs w:val="21"/>
        </w:rPr>
        <w:t xml:space="preserve">Consecuencias Jurídicas del Delito, </w:t>
      </w:r>
      <w:r w:rsidRPr="009C0F2C">
        <w:rPr>
          <w:rFonts w:ascii="Abadi" w:hAnsi="Abadi" w:cs="*Tahoma-7682-Identity-H"/>
          <w:color w:val="111013"/>
          <w:sz w:val="21"/>
          <w:szCs w:val="21"/>
        </w:rPr>
        <w:t>la suspensión, privación e inhabilitación de derechos, destitución o suspensión de funciones o empleos e inhabilitación para su ejercicio y desempeño, lo que no se corresponde con la pérdida de derechos.</w:t>
      </w:r>
    </w:p>
    <w:p w14:paraId="7FDB362E" w14:textId="77777777" w:rsidR="00E732AC" w:rsidRDefault="00E732AC" w:rsidP="00E732AC">
      <w:pPr>
        <w:autoSpaceDE w:val="0"/>
        <w:autoSpaceDN w:val="0"/>
        <w:adjustRightInd w:val="0"/>
        <w:jc w:val="both"/>
        <w:rPr>
          <w:rFonts w:ascii="Abadi" w:hAnsi="Abadi" w:cs="*Tahoma-7682-Identity-H"/>
          <w:color w:val="121213"/>
          <w:sz w:val="21"/>
          <w:szCs w:val="21"/>
        </w:rPr>
      </w:pPr>
    </w:p>
    <w:p w14:paraId="17BA6D56" w14:textId="77777777" w:rsidR="00E732AC" w:rsidRPr="009C0F2C" w:rsidRDefault="00E732AC" w:rsidP="00E732AC">
      <w:pPr>
        <w:pStyle w:val="Prrafodelista"/>
        <w:numPr>
          <w:ilvl w:val="0"/>
          <w:numId w:val="60"/>
        </w:numPr>
        <w:autoSpaceDE w:val="0"/>
        <w:autoSpaceDN w:val="0"/>
        <w:adjustRightInd w:val="0"/>
        <w:contextualSpacing/>
        <w:jc w:val="both"/>
        <w:rPr>
          <w:rFonts w:ascii="Abadi" w:hAnsi="Abadi" w:cs="*Tahoma-7682-Identity-H"/>
          <w:color w:val="121213"/>
          <w:sz w:val="21"/>
          <w:szCs w:val="21"/>
        </w:rPr>
      </w:pPr>
      <w:r w:rsidRPr="009C0F2C">
        <w:rPr>
          <w:rFonts w:ascii="Abadi" w:hAnsi="Abadi" w:cs="*Tahoma-7682-Identity-H"/>
          <w:color w:val="121213"/>
          <w:sz w:val="21"/>
          <w:szCs w:val="21"/>
        </w:rPr>
        <w:t>Trastoca cuestiones de naturaleza civil:</w:t>
      </w:r>
    </w:p>
    <w:p w14:paraId="66014200" w14:textId="77777777" w:rsidR="00E732AC" w:rsidRDefault="00E732AC" w:rsidP="00E732AC">
      <w:pPr>
        <w:autoSpaceDE w:val="0"/>
        <w:autoSpaceDN w:val="0"/>
        <w:adjustRightInd w:val="0"/>
        <w:jc w:val="both"/>
        <w:rPr>
          <w:rFonts w:ascii="Abadi" w:hAnsi="Abadi" w:cs="*Verdana-BoldItalic-7681-Identi"/>
          <w:b/>
          <w:bCs/>
          <w:i/>
          <w:iCs/>
          <w:color w:val="111116"/>
          <w:sz w:val="21"/>
          <w:szCs w:val="21"/>
        </w:rPr>
      </w:pPr>
    </w:p>
    <w:p w14:paraId="594DD7F5" w14:textId="1CD55578" w:rsidR="00E732AC" w:rsidRPr="009C0F2C" w:rsidRDefault="00E732AC" w:rsidP="00E732AC">
      <w:pPr>
        <w:autoSpaceDE w:val="0"/>
        <w:autoSpaceDN w:val="0"/>
        <w:adjustRightInd w:val="0"/>
        <w:ind w:left="1276"/>
        <w:jc w:val="both"/>
        <w:rPr>
          <w:rFonts w:ascii="Abadi" w:hAnsi="Abadi" w:cs="*Times New Roman-BoldItalic-767"/>
          <w:b/>
          <w:bCs/>
          <w:i/>
          <w:iCs/>
          <w:color w:val="111116"/>
          <w:sz w:val="21"/>
          <w:szCs w:val="21"/>
          <w:u w:val="single"/>
        </w:rPr>
      </w:pPr>
      <w:r w:rsidRPr="00710AC5">
        <w:rPr>
          <w:rFonts w:ascii="Abadi" w:hAnsi="Abadi" w:cs="*Verdana-BoldItalic-7681-Identi"/>
          <w:b/>
          <w:bCs/>
          <w:i/>
          <w:iCs/>
          <w:color w:val="111116"/>
          <w:sz w:val="21"/>
          <w:szCs w:val="21"/>
        </w:rPr>
        <w:t xml:space="preserve">Artículo 2569. </w:t>
      </w:r>
      <w:r w:rsidRPr="00710AC5">
        <w:rPr>
          <w:rFonts w:ascii="Abadi" w:hAnsi="Abadi" w:cs="*Verdana-Italic-7680-Identity-H"/>
          <w:i/>
          <w:iCs/>
          <w:color w:val="111116"/>
          <w:sz w:val="21"/>
          <w:szCs w:val="21"/>
        </w:rPr>
        <w:t>Toda persona de cualquier edad que sea tiene</w:t>
      </w:r>
      <w:r>
        <w:rPr>
          <w:rFonts w:ascii="Abadi" w:hAnsi="Abadi" w:cs="*Verdana-Italic-7680-Identity-H"/>
          <w:i/>
          <w:iCs/>
          <w:color w:val="111116"/>
          <w:sz w:val="21"/>
          <w:szCs w:val="21"/>
        </w:rPr>
        <w:t xml:space="preserve"> </w:t>
      </w:r>
      <w:r w:rsidRPr="00710AC5">
        <w:rPr>
          <w:rFonts w:ascii="Abadi" w:hAnsi="Abadi" w:cs="*Verdana-Italic-7680-Identity-H"/>
          <w:i/>
          <w:iCs/>
          <w:color w:val="111116"/>
          <w:sz w:val="21"/>
          <w:szCs w:val="21"/>
        </w:rPr>
        <w:t xml:space="preserve">capacidad para heredar, </w:t>
      </w:r>
      <w:r w:rsidRPr="00710AC5">
        <w:rPr>
          <w:rFonts w:ascii="Abadi" w:hAnsi="Abadi" w:cs="*Verdana-Italic-7679-Identity-H"/>
          <w:i/>
          <w:iCs/>
          <w:color w:val="111116"/>
          <w:sz w:val="21"/>
          <w:szCs w:val="21"/>
        </w:rPr>
        <w:t xml:space="preserve">y </w:t>
      </w:r>
      <w:r w:rsidRPr="00710AC5">
        <w:rPr>
          <w:rFonts w:ascii="Abadi" w:hAnsi="Abadi" w:cs="*Verdana-Italic-7680-Identity-H"/>
          <w:i/>
          <w:iCs/>
          <w:color w:val="111116"/>
          <w:sz w:val="21"/>
          <w:szCs w:val="21"/>
        </w:rPr>
        <w:t>no puede ser privada de ella de un</w:t>
      </w:r>
      <w:r>
        <w:rPr>
          <w:rFonts w:ascii="Abadi" w:hAnsi="Abadi" w:cs="*Verdana-Italic-7680-Identity-H"/>
          <w:i/>
          <w:iCs/>
          <w:color w:val="111116"/>
          <w:sz w:val="21"/>
          <w:szCs w:val="21"/>
        </w:rPr>
        <w:t xml:space="preserve"> </w:t>
      </w:r>
      <w:r w:rsidRPr="00710AC5">
        <w:rPr>
          <w:rFonts w:ascii="Abadi" w:hAnsi="Abadi" w:cs="*Verdana-Italic-7680-Identity-H"/>
          <w:i/>
          <w:iCs/>
          <w:color w:val="111116"/>
          <w:sz w:val="21"/>
          <w:szCs w:val="21"/>
        </w:rPr>
        <w:t>modo absoluto</w:t>
      </w:r>
      <w:r>
        <w:rPr>
          <w:rFonts w:ascii="Abadi" w:hAnsi="Abadi" w:cs="*Verdana-Italic-7680-Identity-H"/>
          <w:i/>
          <w:iCs/>
          <w:color w:val="111116"/>
          <w:sz w:val="21"/>
          <w:szCs w:val="21"/>
        </w:rPr>
        <w:t>! pero</w:t>
      </w:r>
      <w:r w:rsidRPr="009C0F2C">
        <w:rPr>
          <w:rFonts w:ascii="Abadi" w:hAnsi="Abadi" w:cs="*Times New Roman-BoldItalic-767"/>
          <w:b/>
          <w:bCs/>
          <w:i/>
          <w:iCs/>
          <w:color w:val="111116"/>
          <w:sz w:val="21"/>
          <w:szCs w:val="21"/>
          <w:u w:val="single"/>
        </w:rPr>
        <w:t xml:space="preserve"> con relación a ciertas personas, Y a determinados bienes, pueden perderla por alguna de las causas siguientes:</w:t>
      </w:r>
    </w:p>
    <w:p w14:paraId="1A62C9AB" w14:textId="77777777" w:rsidR="00E732AC" w:rsidRDefault="00E732AC" w:rsidP="00E732AC">
      <w:pPr>
        <w:autoSpaceDE w:val="0"/>
        <w:autoSpaceDN w:val="0"/>
        <w:adjustRightInd w:val="0"/>
        <w:ind w:left="1276"/>
        <w:jc w:val="both"/>
        <w:rPr>
          <w:rFonts w:ascii="Abadi" w:hAnsi="Abadi" w:cs="*Verdana-Italic-7680-Identity-H"/>
          <w:i/>
          <w:iCs/>
          <w:color w:val="131216"/>
          <w:sz w:val="21"/>
          <w:szCs w:val="21"/>
        </w:rPr>
      </w:pPr>
    </w:p>
    <w:p w14:paraId="5ADF5BAB" w14:textId="77777777" w:rsidR="00E732AC" w:rsidRPr="009C0F2C" w:rsidRDefault="00E732AC" w:rsidP="00E732AC">
      <w:pPr>
        <w:pStyle w:val="Prrafodelista"/>
        <w:numPr>
          <w:ilvl w:val="0"/>
          <w:numId w:val="61"/>
        </w:numPr>
        <w:autoSpaceDE w:val="0"/>
        <w:autoSpaceDN w:val="0"/>
        <w:adjustRightInd w:val="0"/>
        <w:ind w:left="1560"/>
        <w:contextualSpacing/>
        <w:jc w:val="both"/>
        <w:rPr>
          <w:rFonts w:ascii="Abadi" w:hAnsi="Abadi" w:cs="*Verdana-Italic-7680-Identity-H"/>
          <w:i/>
          <w:iCs/>
          <w:color w:val="131216"/>
          <w:sz w:val="21"/>
          <w:szCs w:val="21"/>
        </w:rPr>
      </w:pPr>
      <w:r w:rsidRPr="009C0F2C">
        <w:rPr>
          <w:rFonts w:ascii="Abadi" w:hAnsi="Abadi" w:cs="*Verdana-Italic-7680-Identity-H"/>
          <w:i/>
          <w:iCs/>
          <w:color w:val="131216"/>
          <w:sz w:val="21"/>
          <w:szCs w:val="21"/>
        </w:rPr>
        <w:t xml:space="preserve">Falta de personalidad; </w:t>
      </w:r>
    </w:p>
    <w:p w14:paraId="45CC91F4" w14:textId="77777777" w:rsidR="00E732AC" w:rsidRPr="009C0F2C" w:rsidRDefault="00E732AC" w:rsidP="00E732AC">
      <w:pPr>
        <w:pStyle w:val="Prrafodelista"/>
        <w:numPr>
          <w:ilvl w:val="0"/>
          <w:numId w:val="61"/>
        </w:numPr>
        <w:autoSpaceDE w:val="0"/>
        <w:autoSpaceDN w:val="0"/>
        <w:adjustRightInd w:val="0"/>
        <w:ind w:left="1560"/>
        <w:contextualSpacing/>
        <w:jc w:val="both"/>
        <w:rPr>
          <w:rFonts w:ascii="Abadi" w:hAnsi="Abadi" w:cs="*Verdana-Italic-7680-Identity-H"/>
          <w:i/>
          <w:iCs/>
          <w:color w:val="100F13"/>
          <w:sz w:val="21"/>
          <w:szCs w:val="21"/>
        </w:rPr>
      </w:pPr>
      <w:r w:rsidRPr="009C0F2C">
        <w:rPr>
          <w:rFonts w:ascii="Abadi" w:hAnsi="Abadi" w:cs="*Times New Roman-BoldItalic-767"/>
          <w:b/>
          <w:bCs/>
          <w:i/>
          <w:iCs/>
          <w:color w:val="100F13"/>
          <w:sz w:val="21"/>
          <w:szCs w:val="21"/>
          <w:u w:val="single"/>
        </w:rPr>
        <w:t xml:space="preserve">Delito </w:t>
      </w:r>
      <w:r w:rsidRPr="009C0F2C">
        <w:rPr>
          <w:rFonts w:ascii="Abadi" w:hAnsi="Abadi" w:cs="*Verdana-Italic-7680-Identity-H"/>
          <w:i/>
          <w:iCs/>
          <w:color w:val="100F13"/>
          <w:sz w:val="21"/>
          <w:szCs w:val="21"/>
        </w:rPr>
        <w:t>o ingratitud;</w:t>
      </w:r>
    </w:p>
    <w:p w14:paraId="54080785" w14:textId="77777777" w:rsidR="00E732AC" w:rsidRDefault="00E732AC" w:rsidP="00E732AC">
      <w:pPr>
        <w:autoSpaceDE w:val="0"/>
        <w:autoSpaceDN w:val="0"/>
        <w:adjustRightInd w:val="0"/>
        <w:ind w:left="1276"/>
        <w:jc w:val="both"/>
        <w:rPr>
          <w:rFonts w:ascii="Abadi" w:hAnsi="Abadi" w:cs="*Tahoma-Italic-7683-Identity-H"/>
          <w:i/>
          <w:iCs/>
          <w:color w:val="19191C"/>
          <w:sz w:val="21"/>
          <w:szCs w:val="21"/>
        </w:rPr>
      </w:pPr>
    </w:p>
    <w:p w14:paraId="531556E7" w14:textId="77777777" w:rsidR="00E732AC" w:rsidRPr="00710AC5" w:rsidRDefault="00E732AC" w:rsidP="00E732AC">
      <w:pPr>
        <w:autoSpaceDE w:val="0"/>
        <w:autoSpaceDN w:val="0"/>
        <w:adjustRightInd w:val="0"/>
        <w:ind w:left="1276"/>
        <w:jc w:val="both"/>
        <w:rPr>
          <w:rFonts w:ascii="Abadi" w:hAnsi="Abadi" w:cs="*Tahoma-Italic-7683-Identity-H"/>
          <w:i/>
          <w:iCs/>
          <w:color w:val="19191C"/>
          <w:sz w:val="21"/>
          <w:szCs w:val="21"/>
        </w:rPr>
      </w:pPr>
      <w:r w:rsidRPr="00710AC5">
        <w:rPr>
          <w:rFonts w:ascii="Abadi" w:hAnsi="Abadi" w:cs="*Tahoma-Italic-7683-Identity-H"/>
          <w:i/>
          <w:iCs/>
          <w:color w:val="19191C"/>
          <w:sz w:val="21"/>
          <w:szCs w:val="21"/>
        </w:rPr>
        <w:t>(</w:t>
      </w:r>
      <w:r w:rsidRPr="00710AC5">
        <w:rPr>
          <w:rFonts w:ascii="Abadi" w:hAnsi="Abadi" w:cs="*Times New Roman-Italic-7671-Id"/>
          <w:i/>
          <w:iCs/>
          <w:color w:val="19191C"/>
          <w:sz w:val="21"/>
          <w:szCs w:val="21"/>
        </w:rPr>
        <w:t xml:space="preserve">... </w:t>
      </w:r>
      <w:r w:rsidRPr="00710AC5">
        <w:rPr>
          <w:rFonts w:ascii="Abadi" w:hAnsi="Abadi" w:cs="*Tahoma-Italic-7683-Identity-H"/>
          <w:i/>
          <w:iCs/>
          <w:color w:val="19191C"/>
          <w:sz w:val="21"/>
          <w:szCs w:val="21"/>
        </w:rPr>
        <w:t>)</w:t>
      </w:r>
    </w:p>
    <w:p w14:paraId="74B3B0BC" w14:textId="77777777" w:rsidR="00E732AC" w:rsidRDefault="00E732AC" w:rsidP="00E732AC">
      <w:pPr>
        <w:autoSpaceDE w:val="0"/>
        <w:autoSpaceDN w:val="0"/>
        <w:adjustRightInd w:val="0"/>
        <w:ind w:left="1276"/>
        <w:jc w:val="both"/>
        <w:rPr>
          <w:rFonts w:ascii="Abadi" w:hAnsi="Abadi" w:cs="*Verdana-BoldItalic-7681-Identi"/>
          <w:b/>
          <w:bCs/>
          <w:i/>
          <w:iCs/>
          <w:color w:val="111016"/>
          <w:sz w:val="21"/>
          <w:szCs w:val="21"/>
        </w:rPr>
      </w:pPr>
    </w:p>
    <w:p w14:paraId="2C900DD1" w14:textId="77777777" w:rsidR="00E732AC" w:rsidRPr="00233B6D" w:rsidRDefault="00E732AC" w:rsidP="00E732AC">
      <w:pPr>
        <w:autoSpaceDE w:val="0"/>
        <w:autoSpaceDN w:val="0"/>
        <w:adjustRightInd w:val="0"/>
        <w:ind w:left="1276"/>
        <w:jc w:val="both"/>
        <w:rPr>
          <w:rFonts w:ascii="Abadi" w:hAnsi="Abadi" w:cs="*Times New Roman-BoldItalic-767"/>
          <w:b/>
          <w:bCs/>
          <w:i/>
          <w:iCs/>
          <w:color w:val="111016"/>
          <w:sz w:val="21"/>
          <w:szCs w:val="21"/>
          <w:u w:val="single"/>
        </w:rPr>
      </w:pPr>
      <w:r w:rsidRPr="00710AC5">
        <w:rPr>
          <w:rFonts w:ascii="Abadi" w:hAnsi="Abadi" w:cs="*Verdana-BoldItalic-7681-Identi"/>
          <w:b/>
          <w:bCs/>
          <w:i/>
          <w:iCs/>
          <w:color w:val="111016"/>
          <w:sz w:val="21"/>
          <w:szCs w:val="21"/>
        </w:rPr>
        <w:t xml:space="preserve">Artículo 2572. </w:t>
      </w:r>
      <w:r w:rsidRPr="00233B6D">
        <w:rPr>
          <w:rFonts w:ascii="Abadi" w:hAnsi="Abadi" w:cs="*Times New Roman-BoldItalic-767"/>
          <w:b/>
          <w:bCs/>
          <w:i/>
          <w:iCs/>
          <w:color w:val="111016"/>
          <w:sz w:val="21"/>
          <w:szCs w:val="21"/>
          <w:u w:val="single"/>
        </w:rPr>
        <w:t>Por razón de delito</w:t>
      </w:r>
      <w:r w:rsidRPr="00710AC5">
        <w:rPr>
          <w:rFonts w:ascii="Abadi" w:hAnsi="Abadi" w:cs="*Times New Roman-BoldItalic-767"/>
          <w:b/>
          <w:bCs/>
          <w:i/>
          <w:iCs/>
          <w:color w:val="111016"/>
          <w:sz w:val="21"/>
          <w:szCs w:val="21"/>
        </w:rPr>
        <w:t xml:space="preserve"> </w:t>
      </w:r>
      <w:r w:rsidRPr="00710AC5">
        <w:rPr>
          <w:rFonts w:ascii="Abadi" w:hAnsi="Abadi" w:cs="*Verdana-Italic-7680-Identity-H"/>
          <w:i/>
          <w:iCs/>
          <w:color w:val="111016"/>
          <w:sz w:val="21"/>
          <w:szCs w:val="21"/>
        </w:rPr>
        <w:t xml:space="preserve">o ingratitud </w:t>
      </w:r>
      <w:r w:rsidRPr="00233B6D">
        <w:rPr>
          <w:rFonts w:ascii="Abadi" w:hAnsi="Abadi" w:cs="*Times New Roman-BoldItalic-767"/>
          <w:b/>
          <w:bCs/>
          <w:i/>
          <w:iCs/>
          <w:color w:val="111016"/>
          <w:sz w:val="21"/>
          <w:szCs w:val="21"/>
          <w:u w:val="single"/>
        </w:rPr>
        <w:t>son incapaces de adquirir por testamento o por intestado:</w:t>
      </w:r>
    </w:p>
    <w:p w14:paraId="2D6EC599" w14:textId="77777777" w:rsidR="00E732AC" w:rsidRPr="00710AC5" w:rsidRDefault="00E732AC" w:rsidP="00E732AC">
      <w:pPr>
        <w:autoSpaceDE w:val="0"/>
        <w:autoSpaceDN w:val="0"/>
        <w:adjustRightInd w:val="0"/>
        <w:ind w:left="1276"/>
        <w:jc w:val="both"/>
        <w:rPr>
          <w:rFonts w:ascii="Abadi" w:hAnsi="Abadi" w:cs="*Times New Roman-BoldItalic-767"/>
          <w:b/>
          <w:bCs/>
          <w:i/>
          <w:iCs/>
          <w:color w:val="111016"/>
          <w:sz w:val="21"/>
          <w:szCs w:val="21"/>
        </w:rPr>
      </w:pPr>
    </w:p>
    <w:p w14:paraId="0D9F3AAE" w14:textId="77777777" w:rsidR="00E732AC" w:rsidRPr="00233B6D" w:rsidRDefault="00E732AC" w:rsidP="00E732AC">
      <w:pPr>
        <w:autoSpaceDE w:val="0"/>
        <w:autoSpaceDN w:val="0"/>
        <w:adjustRightInd w:val="0"/>
        <w:ind w:left="1276"/>
        <w:jc w:val="both"/>
        <w:rPr>
          <w:rFonts w:ascii="Abadi" w:hAnsi="Abadi" w:cs="*Times New Roman-BoldItalic-767"/>
          <w:b/>
          <w:bCs/>
          <w:i/>
          <w:iCs/>
          <w:color w:val="121118"/>
          <w:sz w:val="21"/>
          <w:szCs w:val="21"/>
          <w:u w:val="single"/>
        </w:rPr>
      </w:pPr>
      <w:r>
        <w:rPr>
          <w:rFonts w:ascii="Abadi" w:hAnsi="Abadi" w:cs="*Times New Roman-BoldItalic-767"/>
          <w:b/>
          <w:bCs/>
          <w:i/>
          <w:iCs/>
          <w:color w:val="121118"/>
          <w:sz w:val="21"/>
          <w:szCs w:val="21"/>
        </w:rPr>
        <w:t>I</w:t>
      </w:r>
      <w:r w:rsidRPr="00710AC5">
        <w:rPr>
          <w:rFonts w:ascii="Abadi" w:hAnsi="Abadi" w:cs="*Times New Roman-BoldItalic-767"/>
          <w:b/>
          <w:bCs/>
          <w:i/>
          <w:iCs/>
          <w:color w:val="121118"/>
          <w:sz w:val="21"/>
          <w:szCs w:val="21"/>
        </w:rPr>
        <w:t xml:space="preserve">. </w:t>
      </w:r>
      <w:r w:rsidRPr="00233B6D">
        <w:rPr>
          <w:rFonts w:ascii="Abadi" w:hAnsi="Abadi" w:cs="*Times New Roman-BoldItalic-767"/>
          <w:b/>
          <w:bCs/>
          <w:i/>
          <w:iCs/>
          <w:color w:val="121118"/>
          <w:sz w:val="21"/>
          <w:szCs w:val="21"/>
          <w:u w:val="single"/>
        </w:rPr>
        <w:t xml:space="preserve">El que haya sido condenado por haber dado, mandado o intentado dar muerte a la persona de cuya sucesión </w:t>
      </w:r>
      <w:r w:rsidRPr="00233B6D">
        <w:rPr>
          <w:rFonts w:ascii="Abadi" w:hAnsi="Abadi" w:cs="*Times New Roman-Bold-7674-Iden"/>
          <w:b/>
          <w:bCs/>
          <w:color w:val="121118"/>
          <w:sz w:val="21"/>
          <w:szCs w:val="21"/>
          <w:u w:val="single"/>
        </w:rPr>
        <w:t xml:space="preserve">se </w:t>
      </w:r>
      <w:r w:rsidRPr="00233B6D">
        <w:rPr>
          <w:rFonts w:ascii="Abadi" w:hAnsi="Abadi" w:cs="*Times New Roman-BoldItalic-767"/>
          <w:b/>
          <w:bCs/>
          <w:i/>
          <w:iCs/>
          <w:color w:val="121118"/>
          <w:sz w:val="21"/>
          <w:szCs w:val="21"/>
          <w:u w:val="single"/>
        </w:rPr>
        <w:t xml:space="preserve">trate, o a los padres, hijos, cónyuge </w:t>
      </w:r>
      <w:r w:rsidRPr="00233B6D">
        <w:rPr>
          <w:rFonts w:ascii="Abadi" w:hAnsi="Abadi" w:cs="*Times New Roman-Bold-7673-Iden"/>
          <w:b/>
          <w:bCs/>
          <w:color w:val="121118"/>
          <w:sz w:val="21"/>
          <w:szCs w:val="21"/>
          <w:u w:val="single"/>
        </w:rPr>
        <w:t xml:space="preserve">o </w:t>
      </w:r>
      <w:r w:rsidRPr="00233B6D">
        <w:rPr>
          <w:rFonts w:ascii="Abadi" w:hAnsi="Abadi" w:cs="*Times New Roman-BoldItalic-767"/>
          <w:b/>
          <w:bCs/>
          <w:i/>
          <w:iCs/>
          <w:color w:val="121118"/>
          <w:sz w:val="21"/>
          <w:szCs w:val="21"/>
          <w:u w:val="single"/>
        </w:rPr>
        <w:t>hermanos de ella:</w:t>
      </w:r>
    </w:p>
    <w:p w14:paraId="309ACC40" w14:textId="77777777" w:rsidR="00E732AC" w:rsidRDefault="00E732AC" w:rsidP="00E732AC">
      <w:pPr>
        <w:autoSpaceDE w:val="0"/>
        <w:autoSpaceDN w:val="0"/>
        <w:adjustRightInd w:val="0"/>
        <w:ind w:left="1276"/>
        <w:jc w:val="both"/>
        <w:rPr>
          <w:rFonts w:ascii="Abadi" w:hAnsi="Abadi" w:cs="*Verdana-Italic-7679-Identity-H"/>
          <w:i/>
          <w:iCs/>
          <w:color w:val="1A1A1C"/>
          <w:sz w:val="21"/>
          <w:szCs w:val="21"/>
        </w:rPr>
      </w:pPr>
    </w:p>
    <w:p w14:paraId="3D9A7F14" w14:textId="77777777" w:rsidR="00E732AC" w:rsidRDefault="00E732AC" w:rsidP="00E732AC">
      <w:pPr>
        <w:autoSpaceDE w:val="0"/>
        <w:autoSpaceDN w:val="0"/>
        <w:adjustRightInd w:val="0"/>
        <w:ind w:left="1276"/>
        <w:jc w:val="both"/>
        <w:rPr>
          <w:rFonts w:ascii="Abadi" w:hAnsi="Abadi" w:cs="*Verdana-Italic-7679-Identity-H"/>
          <w:i/>
          <w:iCs/>
          <w:color w:val="1A1A1C"/>
          <w:sz w:val="21"/>
          <w:szCs w:val="21"/>
        </w:rPr>
      </w:pPr>
      <w:r w:rsidRPr="00710AC5">
        <w:rPr>
          <w:rFonts w:ascii="Abadi" w:hAnsi="Abadi" w:cs="*Verdana-Italic-7679-Identity-H"/>
          <w:i/>
          <w:iCs/>
          <w:color w:val="1A1A1C"/>
          <w:sz w:val="21"/>
          <w:szCs w:val="21"/>
        </w:rPr>
        <w:t>(</w:t>
      </w:r>
      <w:r w:rsidRPr="00710AC5">
        <w:rPr>
          <w:rFonts w:ascii="Abadi" w:hAnsi="Abadi" w:cs="*Times New Roman-Italic-7671-Id"/>
          <w:i/>
          <w:iCs/>
          <w:color w:val="1A1A1C"/>
          <w:sz w:val="21"/>
          <w:szCs w:val="21"/>
        </w:rPr>
        <w:t xml:space="preserve">. . . </w:t>
      </w:r>
      <w:r w:rsidRPr="00710AC5">
        <w:rPr>
          <w:rFonts w:ascii="Abadi" w:hAnsi="Abadi" w:cs="*Verdana-Italic-7679-Identity-H"/>
          <w:i/>
          <w:iCs/>
          <w:color w:val="1A1A1C"/>
          <w:sz w:val="21"/>
          <w:szCs w:val="21"/>
        </w:rPr>
        <w:t>)</w:t>
      </w:r>
    </w:p>
    <w:p w14:paraId="6B09F535" w14:textId="77777777" w:rsidR="00E732AC" w:rsidRPr="00710AC5" w:rsidRDefault="00E732AC" w:rsidP="00E732AC">
      <w:pPr>
        <w:autoSpaceDE w:val="0"/>
        <w:autoSpaceDN w:val="0"/>
        <w:adjustRightInd w:val="0"/>
        <w:ind w:left="1276"/>
        <w:jc w:val="both"/>
        <w:rPr>
          <w:rFonts w:ascii="Abadi" w:hAnsi="Abadi" w:cs="*Verdana-Italic-7679-Identity-H"/>
          <w:i/>
          <w:iCs/>
          <w:color w:val="1A1A1C"/>
          <w:sz w:val="21"/>
          <w:szCs w:val="21"/>
        </w:rPr>
      </w:pPr>
    </w:p>
    <w:p w14:paraId="7810F560" w14:textId="77777777" w:rsidR="00E732AC" w:rsidRPr="00233B6D" w:rsidRDefault="00E732AC" w:rsidP="00E732AC">
      <w:pPr>
        <w:autoSpaceDE w:val="0"/>
        <w:autoSpaceDN w:val="0"/>
        <w:adjustRightInd w:val="0"/>
        <w:ind w:left="1276"/>
        <w:jc w:val="both"/>
        <w:rPr>
          <w:rFonts w:ascii="Abadi" w:hAnsi="Abadi" w:cs="*Times New Roman-BoldItalic-767"/>
          <w:b/>
          <w:bCs/>
          <w:i/>
          <w:iCs/>
          <w:color w:val="101116"/>
          <w:sz w:val="21"/>
          <w:szCs w:val="21"/>
          <w:u w:val="single"/>
        </w:rPr>
      </w:pPr>
      <w:r>
        <w:rPr>
          <w:rFonts w:ascii="Abadi" w:hAnsi="Abadi" w:cs="*Times New Roman-BoldItalic-767"/>
          <w:b/>
          <w:bCs/>
          <w:i/>
          <w:iCs/>
          <w:color w:val="101116"/>
          <w:sz w:val="21"/>
          <w:szCs w:val="21"/>
        </w:rPr>
        <w:t>V</w:t>
      </w:r>
      <w:r w:rsidRPr="00710AC5">
        <w:rPr>
          <w:rFonts w:ascii="Abadi" w:hAnsi="Abadi" w:cs="*Times New Roman-BoldItalic-767"/>
          <w:b/>
          <w:bCs/>
          <w:i/>
          <w:iCs/>
          <w:color w:val="101116"/>
          <w:sz w:val="21"/>
          <w:szCs w:val="21"/>
        </w:rPr>
        <w:t xml:space="preserve">. </w:t>
      </w:r>
      <w:r w:rsidRPr="00233B6D">
        <w:rPr>
          <w:rFonts w:ascii="Abadi" w:hAnsi="Abadi" w:cs="*Times New Roman-BoldItalic-767"/>
          <w:b/>
          <w:bCs/>
          <w:i/>
          <w:iCs/>
          <w:color w:val="101116"/>
          <w:sz w:val="21"/>
          <w:szCs w:val="21"/>
          <w:u w:val="single"/>
        </w:rPr>
        <w:t>El que haya sido condenado por un delito intencional que merezca pena de prisión, cometido contra el autor de la herencia, de sus hijos. de su cónyuge, de sus ascendientes o de sus hermanos;</w:t>
      </w:r>
    </w:p>
    <w:p w14:paraId="3DA25F48" w14:textId="77777777" w:rsidR="00E732AC" w:rsidRDefault="00E732AC" w:rsidP="00E732AC">
      <w:pPr>
        <w:autoSpaceDE w:val="0"/>
        <w:autoSpaceDN w:val="0"/>
        <w:adjustRightInd w:val="0"/>
        <w:ind w:left="1276"/>
        <w:jc w:val="both"/>
        <w:rPr>
          <w:rFonts w:ascii="Abadi" w:hAnsi="Abadi" w:cs="*Tahoma-Italic-7683-Identity-H"/>
          <w:i/>
          <w:iCs/>
          <w:color w:val="1E1E1E"/>
          <w:sz w:val="21"/>
          <w:szCs w:val="21"/>
          <w:u w:val="single"/>
        </w:rPr>
      </w:pPr>
    </w:p>
    <w:p w14:paraId="192E2D4B" w14:textId="77777777" w:rsidR="00E732AC" w:rsidRPr="00233B6D" w:rsidRDefault="00E732AC" w:rsidP="00E732AC">
      <w:pPr>
        <w:autoSpaceDE w:val="0"/>
        <w:autoSpaceDN w:val="0"/>
        <w:adjustRightInd w:val="0"/>
        <w:ind w:left="1276"/>
        <w:jc w:val="both"/>
        <w:rPr>
          <w:rFonts w:ascii="Abadi" w:hAnsi="Abadi" w:cs="*Tahoma-Italic-7683-Identity-H"/>
          <w:i/>
          <w:iCs/>
          <w:color w:val="1E1E1E"/>
          <w:sz w:val="21"/>
          <w:szCs w:val="21"/>
          <w:u w:val="single"/>
        </w:rPr>
      </w:pPr>
      <w:r w:rsidRPr="00233B6D">
        <w:rPr>
          <w:rFonts w:ascii="Abadi" w:hAnsi="Abadi" w:cs="*Tahoma-Italic-7683-Identity-H"/>
          <w:i/>
          <w:iCs/>
          <w:color w:val="1E1E1E"/>
          <w:sz w:val="21"/>
          <w:szCs w:val="21"/>
          <w:u w:val="single"/>
        </w:rPr>
        <w:t xml:space="preserve">(. </w:t>
      </w:r>
      <w:r w:rsidRPr="00233B6D">
        <w:rPr>
          <w:rFonts w:ascii="Abadi" w:hAnsi="Abadi" w:cs="*Times New Roman-Italic-7671-Id"/>
          <w:i/>
          <w:iCs/>
          <w:color w:val="1E1E1E"/>
          <w:sz w:val="21"/>
          <w:szCs w:val="21"/>
          <w:u w:val="single"/>
        </w:rPr>
        <w:t xml:space="preserve">.. </w:t>
      </w:r>
      <w:r w:rsidRPr="00233B6D">
        <w:rPr>
          <w:rFonts w:ascii="Abadi" w:hAnsi="Abadi" w:cs="*Tahoma-Italic-7683-Identity-H"/>
          <w:i/>
          <w:iCs/>
          <w:color w:val="1E1E1E"/>
          <w:sz w:val="21"/>
          <w:szCs w:val="21"/>
          <w:u w:val="single"/>
        </w:rPr>
        <w:t>)</w:t>
      </w:r>
    </w:p>
    <w:p w14:paraId="1B8C4B73" w14:textId="77777777" w:rsidR="00E732AC" w:rsidRPr="00710AC5" w:rsidRDefault="00E732AC" w:rsidP="00E732AC">
      <w:pPr>
        <w:autoSpaceDE w:val="0"/>
        <w:autoSpaceDN w:val="0"/>
        <w:adjustRightInd w:val="0"/>
        <w:ind w:left="1276"/>
        <w:jc w:val="both"/>
        <w:rPr>
          <w:rFonts w:ascii="Abadi" w:hAnsi="Abadi" w:cs="*Tahoma-Italic-7683-Identity-H"/>
          <w:i/>
          <w:iCs/>
          <w:color w:val="1E1E1E"/>
          <w:sz w:val="21"/>
          <w:szCs w:val="21"/>
        </w:rPr>
      </w:pPr>
    </w:p>
    <w:p w14:paraId="70372CE7" w14:textId="77777777" w:rsidR="00E732AC" w:rsidRPr="00D018C1" w:rsidRDefault="00E732AC" w:rsidP="00E732AC">
      <w:pPr>
        <w:pStyle w:val="Prrafodelista"/>
        <w:numPr>
          <w:ilvl w:val="0"/>
          <w:numId w:val="62"/>
        </w:numPr>
        <w:autoSpaceDE w:val="0"/>
        <w:autoSpaceDN w:val="0"/>
        <w:adjustRightInd w:val="0"/>
        <w:contextualSpacing/>
        <w:jc w:val="both"/>
        <w:rPr>
          <w:rFonts w:ascii="Abadi" w:hAnsi="Abadi" w:cs="*Tahoma-7682-Identity-H"/>
          <w:color w:val="111113"/>
          <w:sz w:val="21"/>
          <w:szCs w:val="21"/>
        </w:rPr>
      </w:pPr>
      <w:r w:rsidRPr="00D018C1">
        <w:rPr>
          <w:rFonts w:ascii="Abadi" w:hAnsi="Abadi" w:cs="*Tahoma-7682-Identity-H"/>
          <w:color w:val="111113"/>
          <w:sz w:val="21"/>
          <w:szCs w:val="21"/>
        </w:rPr>
        <w:t>•Por tanto, en esta propuesta subsiste el criterio de la anterior Legislatura, en la que se hizo una propuesta similar y de igual forma no se incorporó como nuevo supuesto para el delito de feminicidio bajo los mismos argumentos.</w:t>
      </w:r>
    </w:p>
    <w:p w14:paraId="0FC2879E" w14:textId="77777777" w:rsidR="00E732AC" w:rsidRPr="00710AC5" w:rsidRDefault="00E732AC" w:rsidP="00E732AC">
      <w:pPr>
        <w:jc w:val="both"/>
        <w:rPr>
          <w:rFonts w:ascii="Abadi" w:hAnsi="Abadi" w:cs="*Tahoma-7682-Identity-H"/>
          <w:color w:val="111113"/>
          <w:sz w:val="21"/>
          <w:szCs w:val="21"/>
        </w:rPr>
      </w:pPr>
    </w:p>
    <w:p w14:paraId="34D968E1" w14:textId="77777777" w:rsidR="00E732AC" w:rsidRDefault="00E732AC" w:rsidP="00E732AC">
      <w:pPr>
        <w:autoSpaceDE w:val="0"/>
        <w:autoSpaceDN w:val="0"/>
        <w:adjustRightInd w:val="0"/>
        <w:ind w:firstLine="360"/>
        <w:jc w:val="both"/>
        <w:rPr>
          <w:rFonts w:ascii="Abadi" w:hAnsi="Abadi" w:cs="*Tahoma-7267-Identity-H"/>
          <w:color w:val="0F0F11"/>
          <w:sz w:val="21"/>
          <w:szCs w:val="21"/>
        </w:rPr>
      </w:pPr>
      <w:r w:rsidRPr="00710AC5">
        <w:rPr>
          <w:rFonts w:ascii="Abadi" w:hAnsi="Abadi" w:cs="*Tahoma-7682-Identity-H"/>
          <w:color w:val="101012"/>
          <w:sz w:val="21"/>
          <w:szCs w:val="21"/>
        </w:rPr>
        <w:t>6. Las propuestas, tanto de la diputada Alma Edwviges Alcaraz Hernández,</w:t>
      </w:r>
      <w:r>
        <w:rPr>
          <w:rFonts w:ascii="Abadi" w:hAnsi="Abadi" w:cs="*Tahoma-7682-Identity-H"/>
          <w:color w:val="101012"/>
          <w:sz w:val="21"/>
          <w:szCs w:val="21"/>
        </w:rPr>
        <w:t xml:space="preserve"> </w:t>
      </w:r>
      <w:r w:rsidRPr="00710AC5">
        <w:rPr>
          <w:rFonts w:ascii="Abadi" w:hAnsi="Abadi" w:cs="*Tahoma-7682-Identity-H"/>
          <w:color w:val="111114"/>
          <w:sz w:val="21"/>
          <w:szCs w:val="21"/>
        </w:rPr>
        <w:t xml:space="preserve">como del Ayuntamiento de León, de adición de un segundo párrafo al </w:t>
      </w:r>
      <w:r w:rsidRPr="00710AC5">
        <w:rPr>
          <w:rFonts w:ascii="Abadi" w:hAnsi="Abadi" w:cs="*Verdana-Bold-7678-Identity-H"/>
          <w:b/>
          <w:bCs/>
          <w:color w:val="111114"/>
          <w:sz w:val="21"/>
          <w:szCs w:val="21"/>
        </w:rPr>
        <w:t>artículo 153</w:t>
      </w:r>
      <w:r>
        <w:rPr>
          <w:rFonts w:ascii="Abadi" w:hAnsi="Abadi" w:cs="*Verdana-Bold-7678-Identity-H"/>
          <w:b/>
          <w:bCs/>
          <w:color w:val="111114"/>
          <w:sz w:val="21"/>
          <w:szCs w:val="21"/>
        </w:rPr>
        <w:t xml:space="preserve">-a </w:t>
      </w:r>
      <w:r w:rsidRPr="00710AC5">
        <w:rPr>
          <w:rFonts w:ascii="Abadi" w:hAnsi="Abadi" w:cs="*Verdana-Bold-7677-Identity-H"/>
          <w:b/>
          <w:bCs/>
          <w:color w:val="111114"/>
          <w:sz w:val="21"/>
          <w:szCs w:val="21"/>
        </w:rPr>
        <w:t xml:space="preserve">1 </w:t>
      </w:r>
      <w:r w:rsidRPr="00710AC5">
        <w:rPr>
          <w:rFonts w:ascii="Abadi" w:hAnsi="Abadi" w:cs="*Tahoma-7682-Identity-H"/>
          <w:color w:val="111114"/>
          <w:sz w:val="21"/>
          <w:szCs w:val="21"/>
        </w:rPr>
        <w:t xml:space="preserve">y </w:t>
      </w:r>
      <w:r w:rsidRPr="00710AC5">
        <w:rPr>
          <w:rFonts w:ascii="Abadi" w:hAnsi="Abadi" w:cs="*Verdana-Bold-7677-Identity-H"/>
          <w:b/>
          <w:bCs/>
          <w:color w:val="111114"/>
          <w:sz w:val="21"/>
          <w:szCs w:val="21"/>
        </w:rPr>
        <w:t xml:space="preserve">153-a-2, </w:t>
      </w:r>
      <w:r w:rsidRPr="00710AC5">
        <w:rPr>
          <w:rFonts w:ascii="Abadi" w:hAnsi="Abadi" w:cs="*Tahoma-7682-Identity-H"/>
          <w:color w:val="111114"/>
          <w:sz w:val="21"/>
          <w:szCs w:val="21"/>
        </w:rPr>
        <w:t>respectivamente, con el objetivo de castigar el mal actuar de parte de los</w:t>
      </w:r>
      <w:r>
        <w:rPr>
          <w:rFonts w:ascii="Abadi" w:hAnsi="Abadi" w:cs="*Tahoma-7682-Identity-H"/>
          <w:color w:val="111114"/>
          <w:sz w:val="21"/>
          <w:szCs w:val="21"/>
        </w:rPr>
        <w:t xml:space="preserve"> </w:t>
      </w:r>
      <w:r w:rsidRPr="00710AC5">
        <w:rPr>
          <w:rFonts w:ascii="Abadi" w:hAnsi="Abadi" w:cs="*Tahoma-7682-Identity-H"/>
          <w:color w:val="111114"/>
          <w:sz w:val="21"/>
          <w:szCs w:val="21"/>
        </w:rPr>
        <w:t>servidores públicos que retrasen o eviten la procuración e impartición de la justicia,</w:t>
      </w:r>
      <w:r>
        <w:rPr>
          <w:rFonts w:ascii="Abadi" w:hAnsi="Abadi" w:cs="*Tahoma-7682-Identity-H"/>
          <w:color w:val="111114"/>
          <w:sz w:val="21"/>
          <w:szCs w:val="21"/>
        </w:rPr>
        <w:t xml:space="preserve"> </w:t>
      </w:r>
      <w:r w:rsidRPr="00710AC5">
        <w:rPr>
          <w:rFonts w:ascii="Abadi" w:hAnsi="Abadi" w:cs="*Tahoma-7267-Identity-H"/>
          <w:color w:val="0F0F11"/>
          <w:sz w:val="21"/>
          <w:szCs w:val="21"/>
        </w:rPr>
        <w:t>particularmente frente a un feminicidio, hubo coincidencia en su no viabilidad, por las</w:t>
      </w:r>
      <w:r>
        <w:rPr>
          <w:rFonts w:ascii="Abadi" w:hAnsi="Abadi" w:cs="*Tahoma-7267-Identity-H"/>
          <w:color w:val="0F0F11"/>
          <w:sz w:val="21"/>
          <w:szCs w:val="21"/>
        </w:rPr>
        <w:t xml:space="preserve"> </w:t>
      </w:r>
      <w:r w:rsidRPr="00710AC5">
        <w:rPr>
          <w:rFonts w:ascii="Abadi" w:hAnsi="Abadi" w:cs="*Tahoma-7267-Identity-H"/>
          <w:color w:val="0F0F11"/>
          <w:sz w:val="21"/>
          <w:szCs w:val="21"/>
        </w:rPr>
        <w:t>mismas consideraciones por las que no prosperó similar propuesta en la Legislatura</w:t>
      </w:r>
      <w:r>
        <w:rPr>
          <w:rFonts w:ascii="Abadi" w:hAnsi="Abadi" w:cs="*Tahoma-7267-Identity-H"/>
          <w:color w:val="0F0F11"/>
          <w:sz w:val="21"/>
          <w:szCs w:val="21"/>
        </w:rPr>
        <w:t xml:space="preserve"> </w:t>
      </w:r>
      <w:r w:rsidRPr="00710AC5">
        <w:rPr>
          <w:rFonts w:ascii="Abadi" w:hAnsi="Abadi" w:cs="*Tahoma-7267-Identity-H"/>
          <w:color w:val="0F0F11"/>
          <w:sz w:val="21"/>
          <w:szCs w:val="21"/>
        </w:rPr>
        <w:t>anterior de acuerdo a lo siguiente:</w:t>
      </w:r>
    </w:p>
    <w:p w14:paraId="13994739" w14:textId="77777777" w:rsidR="00E732AC" w:rsidRPr="00710AC5" w:rsidRDefault="00E732AC" w:rsidP="00E732AC">
      <w:pPr>
        <w:autoSpaceDE w:val="0"/>
        <w:autoSpaceDN w:val="0"/>
        <w:adjustRightInd w:val="0"/>
        <w:jc w:val="both"/>
        <w:rPr>
          <w:rFonts w:ascii="Abadi" w:hAnsi="Abadi" w:cs="*Tahoma-7267-Identity-H"/>
          <w:color w:val="0F0F11"/>
          <w:sz w:val="21"/>
          <w:szCs w:val="21"/>
        </w:rPr>
      </w:pPr>
    </w:p>
    <w:p w14:paraId="7A4E141E" w14:textId="77777777" w:rsidR="00E732AC" w:rsidRPr="00D018C1" w:rsidRDefault="00E732AC" w:rsidP="00E732AC">
      <w:pPr>
        <w:pStyle w:val="Prrafodelista"/>
        <w:numPr>
          <w:ilvl w:val="0"/>
          <w:numId w:val="63"/>
        </w:numPr>
        <w:autoSpaceDE w:val="0"/>
        <w:autoSpaceDN w:val="0"/>
        <w:adjustRightInd w:val="0"/>
        <w:contextualSpacing/>
        <w:jc w:val="both"/>
        <w:rPr>
          <w:rFonts w:ascii="Abadi" w:hAnsi="Abadi" w:cs="*Verdana-Italic-7266-Identity-H"/>
          <w:i/>
          <w:iCs/>
          <w:color w:val="111113"/>
          <w:sz w:val="21"/>
          <w:szCs w:val="21"/>
        </w:rPr>
      </w:pPr>
      <w:r w:rsidRPr="00D018C1">
        <w:rPr>
          <w:rFonts w:ascii="Abadi" w:hAnsi="Abadi" w:cs="*Tahoma-7267-Identity-H"/>
          <w:color w:val="111113"/>
          <w:sz w:val="21"/>
          <w:szCs w:val="21"/>
        </w:rPr>
        <w:t xml:space="preserve">La ley penal de nuestro Estado recoge supuestos típicos específicos para sancionar las conductas de servidores públicos que, con motivo de sus funciones o atribuciones, entorpezcan la procuración o administración de justicia, en general, como se aprecia del artículo 253, </w:t>
      </w:r>
      <w:r w:rsidRPr="00D018C1">
        <w:rPr>
          <w:rFonts w:ascii="Abadi" w:hAnsi="Abadi" w:cs="*Verdana-Italic-7266-Identity-H"/>
          <w:i/>
          <w:iCs/>
          <w:color w:val="111113"/>
          <w:sz w:val="21"/>
          <w:szCs w:val="21"/>
        </w:rPr>
        <w:t>que prevé de modo amplio y no limitante, el proceder de los servidores públicos que actúen fuera del marco de las potestades o atribuciones que les hayan sido conferidas.</w:t>
      </w:r>
    </w:p>
    <w:p w14:paraId="2066CEDE" w14:textId="77777777" w:rsidR="00E732AC" w:rsidRPr="00710AC5" w:rsidRDefault="00E732AC" w:rsidP="00E732AC">
      <w:pPr>
        <w:autoSpaceDE w:val="0"/>
        <w:autoSpaceDN w:val="0"/>
        <w:adjustRightInd w:val="0"/>
        <w:jc w:val="both"/>
        <w:rPr>
          <w:rFonts w:ascii="Abadi" w:hAnsi="Abadi" w:cs="*Verdana-Italic-7266-Identity-H"/>
          <w:i/>
          <w:iCs/>
          <w:color w:val="111113"/>
          <w:sz w:val="21"/>
          <w:szCs w:val="21"/>
        </w:rPr>
      </w:pPr>
    </w:p>
    <w:p w14:paraId="231AD9D1" w14:textId="77777777" w:rsidR="00E732AC" w:rsidRDefault="00E732AC" w:rsidP="00E732AC">
      <w:pPr>
        <w:autoSpaceDE w:val="0"/>
        <w:autoSpaceDN w:val="0"/>
        <w:adjustRightInd w:val="0"/>
        <w:ind w:left="1276"/>
        <w:jc w:val="both"/>
        <w:rPr>
          <w:rFonts w:ascii="Abadi" w:hAnsi="Abadi" w:cs="*Tahoma-7267-Identity-H"/>
          <w:color w:val="100F11"/>
          <w:sz w:val="21"/>
          <w:szCs w:val="21"/>
        </w:rPr>
      </w:pPr>
      <w:r w:rsidRPr="00710AC5">
        <w:rPr>
          <w:rFonts w:ascii="Abadi" w:hAnsi="Abadi" w:cs="*Tahoma-7267-Identity-H"/>
          <w:color w:val="100F11"/>
          <w:sz w:val="21"/>
          <w:szCs w:val="21"/>
        </w:rPr>
        <w:t>Artículo 253.- Al servidor público que dolosamente, con motivo de sus</w:t>
      </w:r>
      <w:r>
        <w:rPr>
          <w:rFonts w:ascii="Abadi" w:hAnsi="Abadi" w:cs="*Tahoma-7267-Identity-H"/>
          <w:color w:val="100F11"/>
          <w:sz w:val="21"/>
          <w:szCs w:val="21"/>
        </w:rPr>
        <w:t xml:space="preserve"> </w:t>
      </w:r>
      <w:r w:rsidRPr="00710AC5">
        <w:rPr>
          <w:rFonts w:ascii="Abadi" w:hAnsi="Abadi" w:cs="*Tahoma-7267-Identity-H"/>
          <w:color w:val="100F11"/>
          <w:sz w:val="21"/>
          <w:szCs w:val="21"/>
        </w:rPr>
        <w:t>funciones exceda el límite de sus potestades o atribuciones, en detrimento</w:t>
      </w:r>
      <w:r>
        <w:rPr>
          <w:rFonts w:ascii="Abadi" w:hAnsi="Abadi" w:cs="*Tahoma-7267-Identity-H"/>
          <w:color w:val="100F11"/>
          <w:sz w:val="21"/>
          <w:szCs w:val="21"/>
        </w:rPr>
        <w:t xml:space="preserve"> </w:t>
      </w:r>
      <w:r w:rsidRPr="00710AC5">
        <w:rPr>
          <w:rFonts w:ascii="Abadi" w:hAnsi="Abadi" w:cs="*Tahoma-7267-Identity-H"/>
          <w:color w:val="100F11"/>
          <w:sz w:val="21"/>
          <w:szCs w:val="21"/>
        </w:rPr>
        <w:t>de un particular o de la función pública, se le impondrá de dos a ocho años</w:t>
      </w:r>
      <w:r>
        <w:rPr>
          <w:rFonts w:ascii="Abadi" w:hAnsi="Abadi" w:cs="*Tahoma-7267-Identity-H"/>
          <w:color w:val="100F11"/>
          <w:sz w:val="21"/>
          <w:szCs w:val="21"/>
        </w:rPr>
        <w:t xml:space="preserve"> </w:t>
      </w:r>
      <w:r w:rsidRPr="00710AC5">
        <w:rPr>
          <w:rFonts w:ascii="Abadi" w:hAnsi="Abadi" w:cs="*Tahoma-7267-Identity-H"/>
          <w:color w:val="100F11"/>
          <w:sz w:val="21"/>
          <w:szCs w:val="21"/>
        </w:rPr>
        <w:t>de prisión y de veinte a ochenta días multa.</w:t>
      </w:r>
    </w:p>
    <w:p w14:paraId="5822DF1F" w14:textId="77777777" w:rsidR="00E732AC" w:rsidRPr="00710AC5" w:rsidRDefault="00E732AC" w:rsidP="00E732AC">
      <w:pPr>
        <w:autoSpaceDE w:val="0"/>
        <w:autoSpaceDN w:val="0"/>
        <w:adjustRightInd w:val="0"/>
        <w:ind w:left="1276"/>
        <w:jc w:val="both"/>
        <w:rPr>
          <w:rFonts w:ascii="Abadi" w:hAnsi="Abadi" w:cs="*Tahoma-7267-Identity-H"/>
          <w:color w:val="100F11"/>
          <w:sz w:val="21"/>
          <w:szCs w:val="21"/>
        </w:rPr>
      </w:pPr>
    </w:p>
    <w:p w14:paraId="4CD68AF1" w14:textId="77777777" w:rsidR="00E732AC" w:rsidRDefault="00E732AC" w:rsidP="00E732AC">
      <w:pPr>
        <w:autoSpaceDE w:val="0"/>
        <w:autoSpaceDN w:val="0"/>
        <w:adjustRightInd w:val="0"/>
        <w:ind w:firstLine="708"/>
        <w:jc w:val="both"/>
        <w:rPr>
          <w:rFonts w:ascii="Abadi" w:hAnsi="Abadi" w:cs="*Tahoma-7267-Identity-H"/>
          <w:color w:val="111112"/>
          <w:sz w:val="21"/>
          <w:szCs w:val="21"/>
        </w:rPr>
      </w:pPr>
      <w:r w:rsidRPr="00710AC5">
        <w:rPr>
          <w:rFonts w:ascii="Abadi" w:hAnsi="Abadi" w:cs="*Tahoma-7267-Identity-H"/>
          <w:color w:val="111112"/>
          <w:sz w:val="21"/>
          <w:szCs w:val="21"/>
        </w:rPr>
        <w:t>•Además, las propias leyes orgánicas de los servidores públicos vinculados a la</w:t>
      </w:r>
      <w:r>
        <w:rPr>
          <w:rFonts w:ascii="Abadi" w:hAnsi="Abadi" w:cs="*Tahoma-7267-Identity-H"/>
          <w:color w:val="111112"/>
          <w:sz w:val="21"/>
          <w:szCs w:val="21"/>
        </w:rPr>
        <w:t xml:space="preserve"> </w:t>
      </w:r>
      <w:r w:rsidRPr="00710AC5">
        <w:rPr>
          <w:rFonts w:ascii="Abadi" w:hAnsi="Abadi" w:cs="*Tahoma-7267-Identity-H"/>
          <w:color w:val="111112"/>
          <w:sz w:val="21"/>
          <w:szCs w:val="21"/>
        </w:rPr>
        <w:t>procuración y administración de justicia contienen normas de naturaleza</w:t>
      </w:r>
      <w:r>
        <w:rPr>
          <w:rFonts w:ascii="Abadi" w:hAnsi="Abadi" w:cs="*Tahoma-7267-Identity-H"/>
          <w:color w:val="111112"/>
          <w:sz w:val="21"/>
          <w:szCs w:val="21"/>
        </w:rPr>
        <w:t xml:space="preserve"> </w:t>
      </w:r>
      <w:r w:rsidRPr="00710AC5">
        <w:rPr>
          <w:rFonts w:ascii="Abadi" w:hAnsi="Abadi" w:cs="*Tahoma-7267-Identity-H"/>
          <w:color w:val="111112"/>
          <w:sz w:val="21"/>
          <w:szCs w:val="21"/>
        </w:rPr>
        <w:t>disciplinaria.</w:t>
      </w:r>
    </w:p>
    <w:p w14:paraId="5D9D21DB" w14:textId="77777777" w:rsidR="00E732AC" w:rsidRPr="00710AC5" w:rsidRDefault="00E732AC" w:rsidP="00E732AC">
      <w:pPr>
        <w:autoSpaceDE w:val="0"/>
        <w:autoSpaceDN w:val="0"/>
        <w:adjustRightInd w:val="0"/>
        <w:jc w:val="both"/>
        <w:rPr>
          <w:rFonts w:ascii="Abadi" w:hAnsi="Abadi" w:cs="*Tahoma-7267-Identity-H"/>
          <w:color w:val="111112"/>
          <w:sz w:val="21"/>
          <w:szCs w:val="21"/>
        </w:rPr>
      </w:pPr>
    </w:p>
    <w:p w14:paraId="7028B462" w14:textId="77777777" w:rsidR="00E732AC" w:rsidRDefault="00E732AC" w:rsidP="00E732AC">
      <w:pPr>
        <w:autoSpaceDE w:val="0"/>
        <w:autoSpaceDN w:val="0"/>
        <w:adjustRightInd w:val="0"/>
        <w:ind w:firstLine="708"/>
        <w:jc w:val="both"/>
        <w:rPr>
          <w:rFonts w:ascii="Abadi" w:hAnsi="Abadi" w:cs="*Tahoma-7267-Identity-H"/>
          <w:color w:val="111113"/>
          <w:sz w:val="21"/>
          <w:szCs w:val="21"/>
        </w:rPr>
      </w:pPr>
      <w:r w:rsidRPr="00710AC5">
        <w:rPr>
          <w:rFonts w:ascii="Abadi" w:hAnsi="Abadi" w:cs="*Tahoma-7267-Identity-H"/>
          <w:color w:val="111113"/>
          <w:sz w:val="21"/>
          <w:szCs w:val="21"/>
        </w:rPr>
        <w:t>En resumen, las propuestas contenidas en las Iniciativas a efecto de reformar las</w:t>
      </w:r>
      <w:r>
        <w:rPr>
          <w:rFonts w:ascii="Abadi" w:hAnsi="Abadi" w:cs="*Tahoma-7267-Identity-H"/>
          <w:color w:val="111113"/>
          <w:sz w:val="21"/>
          <w:szCs w:val="21"/>
        </w:rPr>
        <w:t xml:space="preserve"> </w:t>
      </w:r>
      <w:r w:rsidRPr="00710AC5">
        <w:rPr>
          <w:rFonts w:ascii="Abadi" w:hAnsi="Abadi" w:cs="*Tahoma-7267-Identity-H"/>
          <w:color w:val="111113"/>
          <w:sz w:val="21"/>
          <w:szCs w:val="21"/>
        </w:rPr>
        <w:t>fracciones IV -con su respectiva modificación y reubicación- y V, así como para adicionar</w:t>
      </w:r>
      <w:r>
        <w:rPr>
          <w:rFonts w:ascii="Abadi" w:hAnsi="Abadi" w:cs="*Tahoma-7267-Identity-H"/>
          <w:color w:val="111113"/>
          <w:sz w:val="21"/>
          <w:szCs w:val="21"/>
        </w:rPr>
        <w:t xml:space="preserve"> </w:t>
      </w:r>
      <w:r w:rsidRPr="00710AC5">
        <w:rPr>
          <w:rFonts w:ascii="Abadi" w:hAnsi="Abadi" w:cs="*Tahoma-7267-Identity-H"/>
          <w:color w:val="111113"/>
          <w:sz w:val="21"/>
          <w:szCs w:val="21"/>
        </w:rPr>
        <w:t>un cuarto párrafo al artículo 153-a del Código Penal del Estado, resultaron viables, el</w:t>
      </w:r>
      <w:r>
        <w:rPr>
          <w:rFonts w:ascii="Abadi" w:hAnsi="Abadi" w:cs="*Tahoma-7267-Identity-H"/>
          <w:color w:val="111113"/>
          <w:sz w:val="21"/>
          <w:szCs w:val="21"/>
        </w:rPr>
        <w:t xml:space="preserve"> </w:t>
      </w:r>
      <w:r w:rsidRPr="00710AC5">
        <w:rPr>
          <w:rFonts w:ascii="Abadi" w:hAnsi="Abadi" w:cs="*Tahoma-7267-Identity-H"/>
          <w:color w:val="111113"/>
          <w:sz w:val="21"/>
          <w:szCs w:val="21"/>
        </w:rPr>
        <w:t>resto de las propuestas se estimaron no procedentes de acuerdo con lo argumentado</w:t>
      </w:r>
      <w:r>
        <w:rPr>
          <w:rFonts w:ascii="Abadi" w:hAnsi="Abadi" w:cs="*Tahoma-7267-Identity-H"/>
          <w:color w:val="111113"/>
          <w:sz w:val="21"/>
          <w:szCs w:val="21"/>
        </w:rPr>
        <w:t xml:space="preserve"> </w:t>
      </w:r>
      <w:r w:rsidRPr="00710AC5">
        <w:rPr>
          <w:rFonts w:ascii="Abadi" w:hAnsi="Abadi" w:cs="*Tahoma-7267-Identity-H"/>
          <w:color w:val="111113"/>
          <w:sz w:val="21"/>
          <w:szCs w:val="21"/>
        </w:rPr>
        <w:t>líneas arriba, de tal forma no se incluyen para los efectos del Decreto contenido en el</w:t>
      </w:r>
      <w:r>
        <w:rPr>
          <w:rFonts w:ascii="Abadi" w:hAnsi="Abadi" w:cs="*Tahoma-7267-Identity-H"/>
          <w:color w:val="111113"/>
          <w:sz w:val="21"/>
          <w:szCs w:val="21"/>
        </w:rPr>
        <w:t xml:space="preserve"> </w:t>
      </w:r>
      <w:r w:rsidRPr="00710AC5">
        <w:rPr>
          <w:rFonts w:ascii="Abadi" w:hAnsi="Abadi" w:cs="*Tahoma-7267-Identity-H"/>
          <w:color w:val="111113"/>
          <w:sz w:val="21"/>
          <w:szCs w:val="21"/>
        </w:rPr>
        <w:t>presente dictamen que esta Comisión de Justicia propone a la Asamblea.</w:t>
      </w:r>
      <w:r>
        <w:rPr>
          <w:rFonts w:ascii="Abadi" w:hAnsi="Abadi" w:cs="*Tahoma-7267-Identity-H"/>
          <w:color w:val="111113"/>
          <w:sz w:val="21"/>
          <w:szCs w:val="21"/>
        </w:rPr>
        <w:t xml:space="preserve"> </w:t>
      </w:r>
    </w:p>
    <w:p w14:paraId="649D0E08" w14:textId="77777777" w:rsidR="00E732AC" w:rsidRDefault="00E732AC" w:rsidP="00E732AC">
      <w:pPr>
        <w:autoSpaceDE w:val="0"/>
        <w:autoSpaceDN w:val="0"/>
        <w:adjustRightInd w:val="0"/>
        <w:jc w:val="both"/>
        <w:rPr>
          <w:rFonts w:ascii="Abadi" w:hAnsi="Abadi" w:cs="*Tahoma-7267-Identity-H"/>
          <w:color w:val="111113"/>
          <w:sz w:val="21"/>
          <w:szCs w:val="21"/>
        </w:rPr>
      </w:pPr>
    </w:p>
    <w:p w14:paraId="7830419D" w14:textId="77777777" w:rsidR="00E732AC" w:rsidRPr="00710AC5" w:rsidRDefault="00E732AC" w:rsidP="00E732AC">
      <w:pPr>
        <w:autoSpaceDE w:val="0"/>
        <w:autoSpaceDN w:val="0"/>
        <w:adjustRightInd w:val="0"/>
        <w:ind w:firstLine="708"/>
        <w:jc w:val="both"/>
        <w:rPr>
          <w:rFonts w:ascii="Abadi" w:hAnsi="Abadi" w:cs="*Tahoma-7267-Identity-H"/>
          <w:color w:val="111013"/>
          <w:sz w:val="21"/>
          <w:szCs w:val="21"/>
        </w:rPr>
      </w:pPr>
      <w:r w:rsidRPr="00710AC5">
        <w:rPr>
          <w:rFonts w:ascii="Abadi" w:hAnsi="Abadi" w:cs="*Tahoma-7267-Identity-H"/>
          <w:color w:val="111013"/>
          <w:sz w:val="21"/>
          <w:szCs w:val="21"/>
        </w:rPr>
        <w:t>Por lo expuesto y con fundamento en los artículos 113 fracción II y 171 de la Ley</w:t>
      </w:r>
      <w:r>
        <w:rPr>
          <w:rFonts w:ascii="Abadi" w:hAnsi="Abadi" w:cs="*Tahoma-7267-Identity-H"/>
          <w:color w:val="111013"/>
          <w:sz w:val="21"/>
          <w:szCs w:val="21"/>
        </w:rPr>
        <w:t xml:space="preserve"> </w:t>
      </w:r>
      <w:r w:rsidRPr="00710AC5">
        <w:rPr>
          <w:rFonts w:ascii="Abadi" w:hAnsi="Abadi" w:cs="*Tahoma-7267-Identity-H"/>
          <w:color w:val="111013"/>
          <w:sz w:val="21"/>
          <w:szCs w:val="21"/>
        </w:rPr>
        <w:t>Orgánica del Poder Legislativo del Estado de Guanajuato, se propone a la Asamblea el</w:t>
      </w:r>
    </w:p>
    <w:p w14:paraId="6E5215C6" w14:textId="77777777" w:rsidR="00E732AC" w:rsidRPr="00710AC5" w:rsidRDefault="00E732AC" w:rsidP="00E732AC">
      <w:pPr>
        <w:jc w:val="both"/>
        <w:rPr>
          <w:rFonts w:ascii="Abadi" w:hAnsi="Abadi" w:cs="*Tahoma-7267-Identity-H"/>
          <w:color w:val="111013"/>
          <w:sz w:val="21"/>
          <w:szCs w:val="21"/>
        </w:rPr>
      </w:pPr>
    </w:p>
    <w:p w14:paraId="5E1A42F1" w14:textId="77777777" w:rsidR="00E732AC" w:rsidRDefault="00E732AC" w:rsidP="00E732AC">
      <w:pPr>
        <w:autoSpaceDE w:val="0"/>
        <w:autoSpaceDN w:val="0"/>
        <w:adjustRightInd w:val="0"/>
        <w:jc w:val="center"/>
        <w:rPr>
          <w:rFonts w:ascii="Abadi" w:hAnsi="Abadi" w:cs="*Tahoma-Bold-5316-Identity-H"/>
          <w:b/>
          <w:bCs/>
          <w:color w:val="0F0E13"/>
          <w:sz w:val="21"/>
          <w:szCs w:val="21"/>
        </w:rPr>
      </w:pPr>
      <w:r w:rsidRPr="00710AC5">
        <w:rPr>
          <w:rFonts w:ascii="Abadi" w:hAnsi="Abadi" w:cs="*Tahoma-Bold-5316-Identity-H"/>
          <w:b/>
          <w:bCs/>
          <w:color w:val="0F0E13"/>
          <w:sz w:val="21"/>
          <w:szCs w:val="21"/>
        </w:rPr>
        <w:t>DECRETO</w:t>
      </w:r>
    </w:p>
    <w:p w14:paraId="3086F4B0" w14:textId="77777777" w:rsidR="00E732AC" w:rsidRPr="00710AC5" w:rsidRDefault="00E732AC" w:rsidP="00E732AC">
      <w:pPr>
        <w:autoSpaceDE w:val="0"/>
        <w:autoSpaceDN w:val="0"/>
        <w:adjustRightInd w:val="0"/>
        <w:jc w:val="both"/>
        <w:rPr>
          <w:rFonts w:ascii="Abadi" w:hAnsi="Abadi" w:cs="*Tahoma-Bold-5316-Identity-H"/>
          <w:b/>
          <w:bCs/>
          <w:color w:val="0F0E13"/>
          <w:sz w:val="21"/>
          <w:szCs w:val="21"/>
        </w:rPr>
      </w:pPr>
    </w:p>
    <w:p w14:paraId="4465D54F" w14:textId="77777777" w:rsidR="00E732AC" w:rsidRDefault="00E732AC" w:rsidP="00E732AC">
      <w:pPr>
        <w:autoSpaceDE w:val="0"/>
        <w:autoSpaceDN w:val="0"/>
        <w:adjustRightInd w:val="0"/>
        <w:ind w:firstLine="708"/>
        <w:jc w:val="both"/>
        <w:rPr>
          <w:rFonts w:ascii="Abadi" w:hAnsi="Abadi" w:cs="*Verdana-5313-Identity-H"/>
          <w:color w:val="101013"/>
          <w:sz w:val="21"/>
          <w:szCs w:val="21"/>
        </w:rPr>
      </w:pPr>
      <w:r w:rsidRPr="00710AC5">
        <w:rPr>
          <w:rFonts w:ascii="Abadi" w:hAnsi="Abadi" w:cs="*Verdana-Bold-5314-Identity-H"/>
          <w:b/>
          <w:bCs/>
          <w:color w:val="101013"/>
          <w:sz w:val="21"/>
          <w:szCs w:val="21"/>
        </w:rPr>
        <w:t xml:space="preserve">Artículo Único. Se reforman </w:t>
      </w:r>
      <w:r w:rsidRPr="00710AC5">
        <w:rPr>
          <w:rFonts w:ascii="Abadi" w:hAnsi="Abadi" w:cs="*Verdana-5313-Identity-H"/>
          <w:color w:val="101013"/>
          <w:sz w:val="21"/>
          <w:szCs w:val="21"/>
        </w:rPr>
        <w:t xml:space="preserve">las fracciones II y V; y se </w:t>
      </w:r>
      <w:r w:rsidRPr="00710AC5">
        <w:rPr>
          <w:rFonts w:ascii="Abadi" w:hAnsi="Abadi" w:cs="*Verdana-Bold-5314-Identity-H"/>
          <w:b/>
          <w:bCs/>
          <w:color w:val="101013"/>
          <w:sz w:val="21"/>
          <w:szCs w:val="21"/>
        </w:rPr>
        <w:t xml:space="preserve">adiciona </w:t>
      </w:r>
      <w:r w:rsidRPr="00710AC5">
        <w:rPr>
          <w:rFonts w:ascii="Abadi" w:hAnsi="Abadi" w:cs="*Verdana-5313-Identity-H"/>
          <w:color w:val="101013"/>
          <w:sz w:val="21"/>
          <w:szCs w:val="21"/>
        </w:rPr>
        <w:t>un párrafo</w:t>
      </w:r>
      <w:r>
        <w:rPr>
          <w:rFonts w:ascii="Abadi" w:hAnsi="Abadi" w:cs="*Verdana-5313-Identity-H"/>
          <w:color w:val="101013"/>
          <w:sz w:val="21"/>
          <w:szCs w:val="21"/>
        </w:rPr>
        <w:t xml:space="preserve"> </w:t>
      </w:r>
      <w:r w:rsidRPr="00710AC5">
        <w:rPr>
          <w:rFonts w:ascii="Abadi" w:hAnsi="Abadi" w:cs="*Verdana-5313-Identity-H"/>
          <w:color w:val="101013"/>
          <w:sz w:val="21"/>
          <w:szCs w:val="21"/>
        </w:rPr>
        <w:t>cuarto, todos del artículo 153-a del Código Penal del Estado de Guanajuato, para quedar</w:t>
      </w:r>
      <w:r>
        <w:rPr>
          <w:rFonts w:ascii="Abadi" w:hAnsi="Abadi" w:cs="*Verdana-5313-Identity-H"/>
          <w:color w:val="101013"/>
          <w:sz w:val="21"/>
          <w:szCs w:val="21"/>
        </w:rPr>
        <w:t xml:space="preserve"> </w:t>
      </w:r>
      <w:r w:rsidRPr="00710AC5">
        <w:rPr>
          <w:rFonts w:ascii="Abadi" w:hAnsi="Abadi" w:cs="*Verdana-5313-Identity-H"/>
          <w:color w:val="101013"/>
          <w:sz w:val="21"/>
          <w:szCs w:val="21"/>
        </w:rPr>
        <w:t>como sigue:</w:t>
      </w:r>
    </w:p>
    <w:p w14:paraId="11B51B95" w14:textId="77777777" w:rsidR="00E732AC" w:rsidRPr="00710AC5" w:rsidRDefault="00E732AC" w:rsidP="00E732AC">
      <w:pPr>
        <w:autoSpaceDE w:val="0"/>
        <w:autoSpaceDN w:val="0"/>
        <w:adjustRightInd w:val="0"/>
        <w:jc w:val="both"/>
        <w:rPr>
          <w:rFonts w:ascii="Abadi" w:hAnsi="Abadi" w:cs="*Verdana-5313-Identity-H"/>
          <w:color w:val="101013"/>
          <w:sz w:val="21"/>
          <w:szCs w:val="21"/>
        </w:rPr>
      </w:pPr>
    </w:p>
    <w:p w14:paraId="6BEFDB79" w14:textId="77777777" w:rsidR="00E732AC" w:rsidRDefault="00E732AC" w:rsidP="00E732AC">
      <w:pPr>
        <w:autoSpaceDE w:val="0"/>
        <w:autoSpaceDN w:val="0"/>
        <w:adjustRightInd w:val="0"/>
        <w:ind w:firstLine="708"/>
        <w:jc w:val="both"/>
        <w:rPr>
          <w:rFonts w:ascii="Abadi" w:hAnsi="Abadi" w:cs="*Verdana-5313-Identity-H"/>
          <w:color w:val="0F0E13"/>
          <w:sz w:val="21"/>
          <w:szCs w:val="21"/>
        </w:rPr>
      </w:pPr>
      <w:r w:rsidRPr="00710AC5">
        <w:rPr>
          <w:rFonts w:ascii="Abadi" w:hAnsi="Abadi" w:cs="*Verdana-Bold-5314-Identity-H"/>
          <w:b/>
          <w:bCs/>
          <w:color w:val="0F0E13"/>
          <w:sz w:val="21"/>
          <w:szCs w:val="21"/>
        </w:rPr>
        <w:t xml:space="preserve">«Artículo 153-a.- </w:t>
      </w:r>
      <w:r w:rsidRPr="00710AC5">
        <w:rPr>
          <w:rFonts w:ascii="Abadi" w:hAnsi="Abadi" w:cs="*Verdana-5313-Identity-H"/>
          <w:color w:val="0F0E13"/>
          <w:sz w:val="21"/>
          <w:szCs w:val="21"/>
        </w:rPr>
        <w:t>Habrá feminicidio cuando ...</w:t>
      </w:r>
    </w:p>
    <w:p w14:paraId="6BC3A192" w14:textId="77777777" w:rsidR="00E732AC" w:rsidRPr="00710AC5" w:rsidRDefault="00E732AC" w:rsidP="00E732AC">
      <w:pPr>
        <w:autoSpaceDE w:val="0"/>
        <w:autoSpaceDN w:val="0"/>
        <w:adjustRightInd w:val="0"/>
        <w:jc w:val="both"/>
        <w:rPr>
          <w:rFonts w:ascii="Abadi" w:hAnsi="Abadi" w:cs="*Verdana-5313-Identity-H"/>
          <w:color w:val="0F0E13"/>
          <w:sz w:val="21"/>
          <w:szCs w:val="21"/>
        </w:rPr>
      </w:pPr>
    </w:p>
    <w:p w14:paraId="4B1A5E8A" w14:textId="77777777" w:rsidR="00E732AC" w:rsidRDefault="00E732AC" w:rsidP="00E732AC">
      <w:pPr>
        <w:autoSpaceDE w:val="0"/>
        <w:autoSpaceDN w:val="0"/>
        <w:adjustRightInd w:val="0"/>
        <w:jc w:val="both"/>
        <w:rPr>
          <w:rFonts w:ascii="Abadi" w:hAnsi="Abadi" w:cs="*Verdana-5313-Identity-H"/>
          <w:color w:val="111114"/>
          <w:sz w:val="21"/>
          <w:szCs w:val="21"/>
        </w:rPr>
      </w:pPr>
      <w:r w:rsidRPr="0068013B">
        <w:rPr>
          <w:rFonts w:ascii="Abadi" w:hAnsi="Abadi" w:cs="*Verdana-5313-Identity-H"/>
          <w:b/>
          <w:bCs/>
          <w:color w:val="111114"/>
          <w:sz w:val="21"/>
          <w:szCs w:val="21"/>
        </w:rPr>
        <w:t>I.-</w:t>
      </w:r>
      <w:r w:rsidRPr="00710AC5">
        <w:rPr>
          <w:rFonts w:ascii="Abadi" w:hAnsi="Abadi" w:cs="*Verdana-5313-Identity-H"/>
          <w:color w:val="111114"/>
          <w:sz w:val="21"/>
          <w:szCs w:val="21"/>
        </w:rPr>
        <w:t xml:space="preserve"> Que haya sido ...</w:t>
      </w:r>
    </w:p>
    <w:p w14:paraId="4DA9C1C1" w14:textId="77777777" w:rsidR="00E732AC" w:rsidRPr="00710AC5" w:rsidRDefault="00E732AC" w:rsidP="00E732AC">
      <w:pPr>
        <w:autoSpaceDE w:val="0"/>
        <w:autoSpaceDN w:val="0"/>
        <w:adjustRightInd w:val="0"/>
        <w:jc w:val="both"/>
        <w:rPr>
          <w:rFonts w:ascii="Abadi" w:hAnsi="Abadi" w:cs="*Verdana-5313-Identity-H"/>
          <w:color w:val="111114"/>
          <w:sz w:val="21"/>
          <w:szCs w:val="21"/>
        </w:rPr>
      </w:pPr>
    </w:p>
    <w:p w14:paraId="047AD8FE" w14:textId="77777777" w:rsidR="00E732AC" w:rsidRPr="00710AC5" w:rsidRDefault="00E732AC" w:rsidP="00E732AC">
      <w:pPr>
        <w:autoSpaceDE w:val="0"/>
        <w:autoSpaceDN w:val="0"/>
        <w:adjustRightInd w:val="0"/>
        <w:jc w:val="both"/>
        <w:rPr>
          <w:rFonts w:ascii="Abadi" w:hAnsi="Abadi" w:cs="*Verdana-5313-Identity-H"/>
          <w:color w:val="111113"/>
          <w:sz w:val="21"/>
          <w:szCs w:val="21"/>
        </w:rPr>
      </w:pPr>
      <w:r w:rsidRPr="0068013B">
        <w:rPr>
          <w:rFonts w:ascii="Abadi" w:hAnsi="Abadi" w:cs="*Verdana-5313-Identity-H"/>
          <w:b/>
          <w:bCs/>
          <w:color w:val="111113"/>
          <w:sz w:val="21"/>
          <w:szCs w:val="21"/>
        </w:rPr>
        <w:t>II.-</w:t>
      </w:r>
      <w:r w:rsidRPr="00710AC5">
        <w:rPr>
          <w:rFonts w:ascii="Abadi" w:hAnsi="Abadi" w:cs="*Verdana-5313-Identity-H"/>
          <w:color w:val="111113"/>
          <w:sz w:val="21"/>
          <w:szCs w:val="21"/>
        </w:rPr>
        <w:t xml:space="preserve"> Que presente signos de violencia sexual, aún respecto del cadáver;</w:t>
      </w:r>
    </w:p>
    <w:p w14:paraId="77E32D82" w14:textId="77777777" w:rsidR="00E732AC" w:rsidRDefault="00E732AC" w:rsidP="00E732AC">
      <w:pPr>
        <w:autoSpaceDE w:val="0"/>
        <w:autoSpaceDN w:val="0"/>
        <w:adjustRightInd w:val="0"/>
        <w:jc w:val="both"/>
        <w:rPr>
          <w:rFonts w:ascii="Abadi" w:hAnsi="Abadi" w:cs="*Verdana-Bold-5314-Identity-H"/>
          <w:b/>
          <w:bCs/>
          <w:color w:val="0D0D13"/>
          <w:sz w:val="21"/>
          <w:szCs w:val="21"/>
        </w:rPr>
      </w:pPr>
    </w:p>
    <w:p w14:paraId="6155DEFE" w14:textId="77777777" w:rsidR="00E732AC" w:rsidRDefault="00E732AC" w:rsidP="00E732AC">
      <w:pPr>
        <w:autoSpaceDE w:val="0"/>
        <w:autoSpaceDN w:val="0"/>
        <w:adjustRightInd w:val="0"/>
        <w:jc w:val="both"/>
        <w:rPr>
          <w:rFonts w:ascii="Abadi" w:hAnsi="Abadi" w:cs="*Verdana-Bold-5314-Identity-H"/>
          <w:b/>
          <w:bCs/>
          <w:color w:val="0D0D13"/>
          <w:sz w:val="21"/>
          <w:szCs w:val="21"/>
        </w:rPr>
      </w:pPr>
      <w:r w:rsidRPr="00710AC5">
        <w:rPr>
          <w:rFonts w:ascii="Abadi" w:hAnsi="Abadi" w:cs="*Verdana-Bold-5314-Identity-H"/>
          <w:b/>
          <w:bCs/>
          <w:color w:val="0D0D13"/>
          <w:sz w:val="21"/>
          <w:szCs w:val="21"/>
        </w:rPr>
        <w:t>III.- y IV.- ...</w:t>
      </w:r>
    </w:p>
    <w:p w14:paraId="36589F66" w14:textId="77777777" w:rsidR="00E732AC" w:rsidRPr="00710AC5" w:rsidRDefault="00E732AC" w:rsidP="00E732AC">
      <w:pPr>
        <w:autoSpaceDE w:val="0"/>
        <w:autoSpaceDN w:val="0"/>
        <w:adjustRightInd w:val="0"/>
        <w:jc w:val="both"/>
        <w:rPr>
          <w:rFonts w:ascii="Abadi" w:hAnsi="Abadi" w:cs="*Verdana-Bold-5314-Identity-H"/>
          <w:b/>
          <w:bCs/>
          <w:color w:val="0D0D13"/>
          <w:sz w:val="21"/>
          <w:szCs w:val="21"/>
        </w:rPr>
      </w:pPr>
    </w:p>
    <w:p w14:paraId="00E7DFD4" w14:textId="77777777" w:rsidR="00E732AC" w:rsidRPr="00710AC5" w:rsidRDefault="00E732AC" w:rsidP="00E732AC">
      <w:pPr>
        <w:autoSpaceDE w:val="0"/>
        <w:autoSpaceDN w:val="0"/>
        <w:adjustRightInd w:val="0"/>
        <w:jc w:val="both"/>
        <w:rPr>
          <w:rFonts w:ascii="Abadi" w:hAnsi="Abadi" w:cs="*Verdana-5313-Identity-H"/>
          <w:color w:val="101012"/>
          <w:sz w:val="21"/>
          <w:szCs w:val="21"/>
        </w:rPr>
      </w:pPr>
      <w:r>
        <w:rPr>
          <w:rFonts w:ascii="Abadi" w:hAnsi="Abadi" w:cs="*Arial-Bold-5311-Identity-H"/>
          <w:b/>
          <w:bCs/>
          <w:color w:val="101012"/>
          <w:sz w:val="21"/>
          <w:szCs w:val="21"/>
        </w:rPr>
        <w:t>V</w:t>
      </w:r>
      <w:r w:rsidRPr="00710AC5">
        <w:rPr>
          <w:rFonts w:ascii="Abadi" w:hAnsi="Abadi" w:cs="*Arial-Bold-5311-Identity-H"/>
          <w:b/>
          <w:bCs/>
          <w:color w:val="101012"/>
          <w:sz w:val="21"/>
          <w:szCs w:val="21"/>
        </w:rPr>
        <w:t xml:space="preserve">.- </w:t>
      </w:r>
      <w:r w:rsidRPr="00710AC5">
        <w:rPr>
          <w:rFonts w:ascii="Abadi" w:hAnsi="Abadi" w:cs="*Verdana-5313-Identity-H"/>
          <w:color w:val="101012"/>
          <w:sz w:val="21"/>
          <w:szCs w:val="21"/>
        </w:rPr>
        <w:t>Que haya existido amenazas, acoso, lesiones o violencia en el ámbito familiar,</w:t>
      </w:r>
      <w:r>
        <w:rPr>
          <w:rFonts w:ascii="Abadi" w:hAnsi="Abadi" w:cs="*Verdana-5313-Identity-H"/>
          <w:color w:val="101012"/>
          <w:sz w:val="21"/>
          <w:szCs w:val="21"/>
        </w:rPr>
        <w:t xml:space="preserve"> </w:t>
      </w:r>
      <w:r w:rsidRPr="00710AC5">
        <w:rPr>
          <w:rFonts w:ascii="Abadi" w:hAnsi="Abadi" w:cs="*Verdana-5313-Identity-H"/>
          <w:color w:val="101012"/>
          <w:sz w:val="21"/>
          <w:szCs w:val="21"/>
        </w:rPr>
        <w:t>laboral, político o escolar o cualquier otro que implique supra o subordinación del</w:t>
      </w:r>
      <w:r>
        <w:rPr>
          <w:rFonts w:ascii="Abadi" w:hAnsi="Abadi" w:cs="*Verdana-5313-Identity-H"/>
          <w:color w:val="101012"/>
          <w:sz w:val="21"/>
          <w:szCs w:val="21"/>
        </w:rPr>
        <w:t xml:space="preserve"> </w:t>
      </w:r>
      <w:r w:rsidRPr="00710AC5">
        <w:rPr>
          <w:rFonts w:ascii="Abadi" w:hAnsi="Abadi" w:cs="*Verdana-5313-Identity-H"/>
          <w:color w:val="101012"/>
          <w:sz w:val="21"/>
          <w:szCs w:val="21"/>
        </w:rPr>
        <w:t>sujeto activo en contra de ella;</w:t>
      </w:r>
    </w:p>
    <w:p w14:paraId="5A827E56" w14:textId="77777777" w:rsidR="00E732AC" w:rsidRDefault="00E732AC" w:rsidP="00E732AC">
      <w:pPr>
        <w:autoSpaceDE w:val="0"/>
        <w:autoSpaceDN w:val="0"/>
        <w:adjustRightInd w:val="0"/>
        <w:jc w:val="both"/>
        <w:rPr>
          <w:rFonts w:ascii="Abadi" w:hAnsi="Abadi" w:cs="*Verdana-Bold-5314-Identity-H"/>
          <w:b/>
          <w:bCs/>
          <w:color w:val="101013"/>
          <w:sz w:val="21"/>
          <w:szCs w:val="21"/>
        </w:rPr>
      </w:pPr>
    </w:p>
    <w:p w14:paraId="5B359D88" w14:textId="77777777" w:rsidR="00E732AC" w:rsidRDefault="00E732AC" w:rsidP="00E732AC">
      <w:pPr>
        <w:autoSpaceDE w:val="0"/>
        <w:autoSpaceDN w:val="0"/>
        <w:adjustRightInd w:val="0"/>
        <w:jc w:val="both"/>
        <w:rPr>
          <w:rFonts w:ascii="Abadi" w:hAnsi="Abadi" w:cs="*Verdana-Bold-5314-Identity-H"/>
          <w:b/>
          <w:bCs/>
          <w:color w:val="101013"/>
          <w:sz w:val="21"/>
          <w:szCs w:val="21"/>
        </w:rPr>
      </w:pPr>
      <w:r w:rsidRPr="00710AC5">
        <w:rPr>
          <w:rFonts w:ascii="Abadi" w:hAnsi="Abadi" w:cs="*Verdana-Bold-5314-Identity-H"/>
          <w:b/>
          <w:bCs/>
          <w:color w:val="101013"/>
          <w:sz w:val="21"/>
          <w:szCs w:val="21"/>
        </w:rPr>
        <w:t>VI.- y VII.- ...</w:t>
      </w:r>
    </w:p>
    <w:p w14:paraId="32E94C1D" w14:textId="77777777" w:rsidR="00E732AC" w:rsidRPr="00710AC5" w:rsidRDefault="00E732AC" w:rsidP="00E732AC">
      <w:pPr>
        <w:autoSpaceDE w:val="0"/>
        <w:autoSpaceDN w:val="0"/>
        <w:adjustRightInd w:val="0"/>
        <w:jc w:val="both"/>
        <w:rPr>
          <w:rFonts w:ascii="Abadi" w:hAnsi="Abadi" w:cs="*Verdana-Bold-5314-Identity-H"/>
          <w:b/>
          <w:bCs/>
          <w:color w:val="101013"/>
          <w:sz w:val="21"/>
          <w:szCs w:val="21"/>
        </w:rPr>
      </w:pPr>
    </w:p>
    <w:p w14:paraId="3B19C8FB" w14:textId="77777777" w:rsidR="00E732AC" w:rsidRDefault="00E732AC" w:rsidP="00E732AC">
      <w:pPr>
        <w:autoSpaceDE w:val="0"/>
        <w:autoSpaceDN w:val="0"/>
        <w:adjustRightInd w:val="0"/>
        <w:ind w:firstLine="708"/>
        <w:jc w:val="both"/>
        <w:rPr>
          <w:rFonts w:ascii="Abadi" w:hAnsi="Abadi" w:cs="*Verdana-5313-Identity-H"/>
          <w:color w:val="111114"/>
          <w:sz w:val="21"/>
          <w:szCs w:val="21"/>
        </w:rPr>
      </w:pPr>
      <w:r w:rsidRPr="00710AC5">
        <w:rPr>
          <w:rFonts w:ascii="Abadi" w:hAnsi="Abadi" w:cs="*Verdana-5313-Identity-H"/>
          <w:color w:val="111114"/>
          <w:sz w:val="21"/>
          <w:szCs w:val="21"/>
        </w:rPr>
        <w:t>Al responsable de ...</w:t>
      </w:r>
    </w:p>
    <w:p w14:paraId="674013DB" w14:textId="77777777" w:rsidR="00E732AC" w:rsidRPr="00710AC5" w:rsidRDefault="00E732AC" w:rsidP="00E732AC">
      <w:pPr>
        <w:autoSpaceDE w:val="0"/>
        <w:autoSpaceDN w:val="0"/>
        <w:adjustRightInd w:val="0"/>
        <w:jc w:val="both"/>
        <w:rPr>
          <w:rFonts w:ascii="Abadi" w:hAnsi="Abadi" w:cs="*Verdana-5313-Identity-H"/>
          <w:color w:val="111114"/>
          <w:sz w:val="21"/>
          <w:szCs w:val="21"/>
        </w:rPr>
      </w:pPr>
    </w:p>
    <w:p w14:paraId="2046AE20" w14:textId="77777777" w:rsidR="00E732AC" w:rsidRDefault="00E732AC" w:rsidP="00E732AC">
      <w:pPr>
        <w:autoSpaceDE w:val="0"/>
        <w:autoSpaceDN w:val="0"/>
        <w:adjustRightInd w:val="0"/>
        <w:ind w:firstLine="708"/>
        <w:jc w:val="both"/>
        <w:rPr>
          <w:rFonts w:ascii="Abadi" w:hAnsi="Abadi" w:cs="*Verdana-5313-Identity-H"/>
          <w:color w:val="121214"/>
          <w:sz w:val="21"/>
          <w:szCs w:val="21"/>
        </w:rPr>
      </w:pPr>
      <w:r w:rsidRPr="00710AC5">
        <w:rPr>
          <w:rFonts w:ascii="Abadi" w:hAnsi="Abadi" w:cs="*Verdana-5313-Identity-H"/>
          <w:color w:val="121214"/>
          <w:sz w:val="21"/>
          <w:szCs w:val="21"/>
        </w:rPr>
        <w:t>Si concurre con ...</w:t>
      </w:r>
    </w:p>
    <w:p w14:paraId="5292B4E0" w14:textId="77777777" w:rsidR="00E732AC" w:rsidRPr="00710AC5" w:rsidRDefault="00E732AC" w:rsidP="00E732AC">
      <w:pPr>
        <w:autoSpaceDE w:val="0"/>
        <w:autoSpaceDN w:val="0"/>
        <w:adjustRightInd w:val="0"/>
        <w:jc w:val="both"/>
        <w:rPr>
          <w:rFonts w:ascii="Abadi" w:hAnsi="Abadi" w:cs="*Verdana-5313-Identity-H"/>
          <w:color w:val="121214"/>
          <w:sz w:val="21"/>
          <w:szCs w:val="21"/>
        </w:rPr>
      </w:pPr>
    </w:p>
    <w:p w14:paraId="6131D881" w14:textId="77777777" w:rsidR="00E732AC" w:rsidRPr="00710AC5" w:rsidRDefault="00E732AC" w:rsidP="00E732AC">
      <w:pPr>
        <w:autoSpaceDE w:val="0"/>
        <w:autoSpaceDN w:val="0"/>
        <w:adjustRightInd w:val="0"/>
        <w:jc w:val="both"/>
        <w:rPr>
          <w:rFonts w:ascii="Abadi" w:hAnsi="Abadi" w:cs="*Verdana-5315-Identity-H"/>
          <w:color w:val="121214"/>
          <w:sz w:val="21"/>
          <w:szCs w:val="21"/>
        </w:rPr>
      </w:pPr>
      <w:r w:rsidRPr="00710AC5">
        <w:rPr>
          <w:rFonts w:ascii="Abadi" w:hAnsi="Abadi" w:cs="*Verdana-5313-Identity-H"/>
          <w:color w:val="121214"/>
          <w:sz w:val="21"/>
          <w:szCs w:val="21"/>
        </w:rPr>
        <w:t>Si la víctima del delito fuese menor de edad las penas previstas en este artículo</w:t>
      </w:r>
      <w:r>
        <w:rPr>
          <w:rFonts w:ascii="Abadi" w:hAnsi="Abadi" w:cs="*Verdana-5313-Identity-H"/>
          <w:color w:val="121214"/>
          <w:sz w:val="21"/>
          <w:szCs w:val="21"/>
        </w:rPr>
        <w:t xml:space="preserve"> </w:t>
      </w:r>
      <w:r w:rsidRPr="00710AC5">
        <w:rPr>
          <w:rFonts w:ascii="Abadi" w:hAnsi="Abadi" w:cs="*Verdana-5313-Identity-H"/>
          <w:color w:val="121214"/>
          <w:sz w:val="21"/>
          <w:szCs w:val="21"/>
        </w:rPr>
        <w:t>se incrementarán hasta en una tercera parte, sin rebasar el límite máximo previsto en</w:t>
      </w:r>
      <w:r>
        <w:rPr>
          <w:rFonts w:ascii="Abadi" w:hAnsi="Abadi" w:cs="*Verdana-5313-Identity-H"/>
          <w:color w:val="121214"/>
          <w:sz w:val="21"/>
          <w:szCs w:val="21"/>
        </w:rPr>
        <w:t xml:space="preserve"> </w:t>
      </w:r>
      <w:r w:rsidRPr="00710AC5">
        <w:rPr>
          <w:rFonts w:ascii="Abadi" w:hAnsi="Abadi" w:cs="*Verdana-5313-Identity-H"/>
          <w:color w:val="121214"/>
          <w:sz w:val="21"/>
          <w:szCs w:val="21"/>
        </w:rPr>
        <w:t>el párrafo anterior.</w:t>
      </w:r>
      <w:r w:rsidRPr="00710AC5">
        <w:rPr>
          <w:rFonts w:ascii="Abadi" w:hAnsi="Abadi" w:cs="*Verdana-5315-Identity-H"/>
          <w:color w:val="121214"/>
          <w:sz w:val="21"/>
          <w:szCs w:val="21"/>
        </w:rPr>
        <w:t>»</w:t>
      </w:r>
    </w:p>
    <w:p w14:paraId="504BB29D" w14:textId="77777777" w:rsidR="00E732AC" w:rsidRPr="00710AC5" w:rsidRDefault="00E732AC" w:rsidP="00E732AC">
      <w:pPr>
        <w:jc w:val="both"/>
        <w:rPr>
          <w:rFonts w:ascii="Abadi" w:hAnsi="Abadi" w:cs="*Verdana-5315-Identity-H"/>
          <w:color w:val="121214"/>
          <w:sz w:val="21"/>
          <w:szCs w:val="21"/>
        </w:rPr>
      </w:pPr>
    </w:p>
    <w:p w14:paraId="03102481" w14:textId="77777777" w:rsidR="00E732AC" w:rsidRDefault="00E732AC" w:rsidP="00E732AC">
      <w:pPr>
        <w:autoSpaceDE w:val="0"/>
        <w:autoSpaceDN w:val="0"/>
        <w:adjustRightInd w:val="0"/>
        <w:jc w:val="center"/>
        <w:rPr>
          <w:rFonts w:ascii="Abadi" w:hAnsi="Abadi" w:cs="*Tahoma-Bold-5316-Identity-H"/>
          <w:b/>
          <w:bCs/>
          <w:color w:val="0E0D15"/>
          <w:sz w:val="21"/>
          <w:szCs w:val="21"/>
        </w:rPr>
      </w:pPr>
      <w:r w:rsidRPr="00710AC5">
        <w:rPr>
          <w:rFonts w:ascii="Abadi" w:hAnsi="Abadi" w:cs="*Tahoma-Bold-5316-Identity-H"/>
          <w:b/>
          <w:bCs/>
          <w:color w:val="0E0D15"/>
          <w:sz w:val="21"/>
          <w:szCs w:val="21"/>
        </w:rPr>
        <w:t>TRANSITORIOS</w:t>
      </w:r>
    </w:p>
    <w:p w14:paraId="1D5518D2" w14:textId="77777777" w:rsidR="00E732AC" w:rsidRPr="00710AC5" w:rsidRDefault="00E732AC" w:rsidP="00E732AC">
      <w:pPr>
        <w:autoSpaceDE w:val="0"/>
        <w:autoSpaceDN w:val="0"/>
        <w:adjustRightInd w:val="0"/>
        <w:jc w:val="center"/>
        <w:rPr>
          <w:rFonts w:ascii="Abadi" w:hAnsi="Abadi" w:cs="*Tahoma-Bold-5316-Identity-H"/>
          <w:b/>
          <w:bCs/>
          <w:color w:val="0E0D15"/>
          <w:sz w:val="21"/>
          <w:szCs w:val="21"/>
        </w:rPr>
      </w:pPr>
    </w:p>
    <w:p w14:paraId="64A5ED5B" w14:textId="77777777" w:rsidR="00E732AC" w:rsidRDefault="00E732AC" w:rsidP="00E732AC">
      <w:pPr>
        <w:autoSpaceDE w:val="0"/>
        <w:autoSpaceDN w:val="0"/>
        <w:adjustRightInd w:val="0"/>
        <w:ind w:firstLine="708"/>
        <w:jc w:val="both"/>
        <w:rPr>
          <w:rFonts w:ascii="Abadi" w:hAnsi="Abadi" w:cs="*Verdana-5313-Identity-H"/>
          <w:color w:val="111114"/>
          <w:sz w:val="21"/>
          <w:szCs w:val="21"/>
        </w:rPr>
      </w:pPr>
      <w:r w:rsidRPr="00710AC5">
        <w:rPr>
          <w:rFonts w:ascii="Abadi" w:hAnsi="Abadi" w:cs="*Verdana-Bold-5314-Identity-H"/>
          <w:b/>
          <w:bCs/>
          <w:color w:val="111114"/>
          <w:sz w:val="21"/>
          <w:szCs w:val="21"/>
        </w:rPr>
        <w:t xml:space="preserve">Artículo Primero. </w:t>
      </w:r>
      <w:r w:rsidRPr="00710AC5">
        <w:rPr>
          <w:rFonts w:ascii="Abadi" w:hAnsi="Abadi" w:cs="*Verdana-5313-Identity-H"/>
          <w:color w:val="111114"/>
          <w:sz w:val="21"/>
          <w:szCs w:val="21"/>
        </w:rPr>
        <w:t>El presente Decreto entrará en vigor al día siguiente a su</w:t>
      </w:r>
      <w:r>
        <w:rPr>
          <w:rFonts w:ascii="Abadi" w:hAnsi="Abadi" w:cs="*Verdana-5313-Identity-H"/>
          <w:color w:val="111114"/>
          <w:sz w:val="21"/>
          <w:szCs w:val="21"/>
        </w:rPr>
        <w:t xml:space="preserve"> </w:t>
      </w:r>
      <w:r w:rsidRPr="00710AC5">
        <w:rPr>
          <w:rFonts w:ascii="Abadi" w:hAnsi="Abadi" w:cs="*Verdana-5313-Identity-H"/>
          <w:color w:val="111114"/>
          <w:sz w:val="21"/>
          <w:szCs w:val="21"/>
        </w:rPr>
        <w:t>publicación en el Periódico Oficial del Gobierno del Estado de Guanajuato.</w:t>
      </w:r>
      <w:r>
        <w:rPr>
          <w:rFonts w:ascii="Abadi" w:hAnsi="Abadi" w:cs="*Verdana-5313-Identity-H"/>
          <w:color w:val="111114"/>
          <w:sz w:val="21"/>
          <w:szCs w:val="21"/>
        </w:rPr>
        <w:t xml:space="preserve"> </w:t>
      </w:r>
    </w:p>
    <w:p w14:paraId="4C8FAE53" w14:textId="77777777" w:rsidR="00E732AC" w:rsidRDefault="00E732AC" w:rsidP="00E732AC">
      <w:pPr>
        <w:autoSpaceDE w:val="0"/>
        <w:autoSpaceDN w:val="0"/>
        <w:adjustRightInd w:val="0"/>
        <w:jc w:val="both"/>
        <w:rPr>
          <w:rFonts w:ascii="Abadi" w:hAnsi="Abadi" w:cs="*Verdana-5313-Identity-H"/>
          <w:color w:val="111114"/>
          <w:sz w:val="21"/>
          <w:szCs w:val="21"/>
        </w:rPr>
      </w:pPr>
    </w:p>
    <w:p w14:paraId="3F1F8011" w14:textId="77777777" w:rsidR="00E732AC" w:rsidRPr="00710AC5" w:rsidRDefault="00E732AC" w:rsidP="00E732AC">
      <w:pPr>
        <w:autoSpaceDE w:val="0"/>
        <w:autoSpaceDN w:val="0"/>
        <w:adjustRightInd w:val="0"/>
        <w:jc w:val="both"/>
        <w:rPr>
          <w:rFonts w:ascii="Abadi" w:hAnsi="Abadi" w:cs="*Verdana-5313-Identity-H"/>
          <w:color w:val="111114"/>
          <w:sz w:val="21"/>
          <w:szCs w:val="21"/>
        </w:rPr>
      </w:pPr>
    </w:p>
    <w:p w14:paraId="3680E4D1" w14:textId="77777777" w:rsidR="00E732AC" w:rsidRPr="00710AC5" w:rsidRDefault="00E732AC" w:rsidP="00E732AC">
      <w:pPr>
        <w:autoSpaceDE w:val="0"/>
        <w:autoSpaceDN w:val="0"/>
        <w:adjustRightInd w:val="0"/>
        <w:ind w:firstLine="708"/>
        <w:jc w:val="both"/>
        <w:rPr>
          <w:rFonts w:ascii="Abadi" w:hAnsi="Abadi" w:cs="*Verdana-2840-Identity-H"/>
          <w:color w:val="111013"/>
          <w:sz w:val="21"/>
          <w:szCs w:val="21"/>
        </w:rPr>
      </w:pPr>
      <w:r w:rsidRPr="00710AC5">
        <w:rPr>
          <w:rFonts w:ascii="Abadi" w:hAnsi="Abadi" w:cs="*Verdana-Bold-2839-Identity-H"/>
          <w:b/>
          <w:bCs/>
          <w:color w:val="111013"/>
          <w:sz w:val="21"/>
          <w:szCs w:val="21"/>
        </w:rPr>
        <w:t xml:space="preserve">Artículo Segundo. </w:t>
      </w:r>
      <w:r w:rsidRPr="00710AC5">
        <w:rPr>
          <w:rFonts w:ascii="Abadi" w:hAnsi="Abadi" w:cs="*Verdana-2840-Identity-H"/>
          <w:color w:val="111013"/>
          <w:sz w:val="21"/>
          <w:szCs w:val="21"/>
        </w:rPr>
        <w:t>Los procedimientos penales que se estén substanciando a la</w:t>
      </w:r>
      <w:r>
        <w:rPr>
          <w:rFonts w:ascii="Abadi" w:hAnsi="Abadi" w:cs="*Verdana-2840-Identity-H"/>
          <w:color w:val="111013"/>
          <w:sz w:val="21"/>
          <w:szCs w:val="21"/>
        </w:rPr>
        <w:t xml:space="preserve"> </w:t>
      </w:r>
      <w:r w:rsidRPr="00710AC5">
        <w:rPr>
          <w:rFonts w:ascii="Abadi" w:hAnsi="Abadi" w:cs="*Verdana-2840-Identity-H"/>
          <w:color w:val="111013"/>
          <w:sz w:val="21"/>
          <w:szCs w:val="21"/>
        </w:rPr>
        <w:t>entrada en vigor del presente Decreto se seguirán conforme a las disposiciones vigentes</w:t>
      </w:r>
      <w:r>
        <w:rPr>
          <w:rFonts w:ascii="Abadi" w:hAnsi="Abadi" w:cs="*Verdana-2840-Identity-H"/>
          <w:color w:val="111013"/>
          <w:sz w:val="21"/>
          <w:szCs w:val="21"/>
        </w:rPr>
        <w:t xml:space="preserve"> </w:t>
      </w:r>
      <w:r w:rsidRPr="00710AC5">
        <w:rPr>
          <w:rFonts w:ascii="Abadi" w:hAnsi="Abadi" w:cs="*Verdana-2840-Identity-H"/>
          <w:color w:val="111013"/>
          <w:sz w:val="21"/>
          <w:szCs w:val="21"/>
        </w:rPr>
        <w:t>al momento de su inicio.</w:t>
      </w:r>
    </w:p>
    <w:p w14:paraId="09D6FB33" w14:textId="77777777" w:rsidR="00E732AC" w:rsidRPr="00710AC5" w:rsidRDefault="00E732AC" w:rsidP="00E732AC">
      <w:pPr>
        <w:jc w:val="both"/>
        <w:rPr>
          <w:rFonts w:ascii="Abadi" w:hAnsi="Abadi" w:cs="*Verdana-2840-Identity-H"/>
          <w:color w:val="111013"/>
          <w:sz w:val="21"/>
          <w:szCs w:val="21"/>
        </w:rPr>
      </w:pPr>
    </w:p>
    <w:p w14:paraId="3814BC2A" w14:textId="77777777" w:rsidR="00E732AC" w:rsidRPr="00710AC5" w:rsidRDefault="00E732AC" w:rsidP="00E732AC">
      <w:pPr>
        <w:autoSpaceDE w:val="0"/>
        <w:autoSpaceDN w:val="0"/>
        <w:adjustRightInd w:val="0"/>
        <w:jc w:val="both"/>
        <w:rPr>
          <w:rFonts w:ascii="Abadi" w:hAnsi="Abadi" w:cs="Verdana-Bold"/>
          <w:b/>
          <w:bCs/>
          <w:sz w:val="21"/>
          <w:szCs w:val="21"/>
        </w:rPr>
      </w:pPr>
    </w:p>
    <w:p w14:paraId="0E8378F8" w14:textId="77777777" w:rsidR="00E732AC" w:rsidRPr="00710AC5" w:rsidRDefault="00E732AC" w:rsidP="00E732AC">
      <w:pPr>
        <w:autoSpaceDE w:val="0"/>
        <w:autoSpaceDN w:val="0"/>
        <w:adjustRightInd w:val="0"/>
        <w:jc w:val="center"/>
        <w:rPr>
          <w:rFonts w:ascii="Abadi" w:hAnsi="Abadi" w:cs="Verdana-Bold"/>
          <w:b/>
          <w:bCs/>
          <w:sz w:val="21"/>
          <w:szCs w:val="21"/>
        </w:rPr>
      </w:pPr>
      <w:r w:rsidRPr="00710AC5">
        <w:rPr>
          <w:rFonts w:ascii="Abadi" w:hAnsi="Abadi" w:cs="Verdana-Bold"/>
          <w:b/>
          <w:bCs/>
          <w:sz w:val="21"/>
          <w:szCs w:val="21"/>
        </w:rPr>
        <w:t>La Comisión de Justicia.</w:t>
      </w:r>
    </w:p>
    <w:p w14:paraId="64C4702C" w14:textId="77777777" w:rsidR="00E732AC" w:rsidRPr="00710AC5" w:rsidRDefault="00E732AC" w:rsidP="00E732AC">
      <w:pPr>
        <w:autoSpaceDE w:val="0"/>
        <w:autoSpaceDN w:val="0"/>
        <w:adjustRightInd w:val="0"/>
        <w:jc w:val="center"/>
        <w:rPr>
          <w:rFonts w:ascii="Abadi" w:hAnsi="Abadi" w:cs="Verdana-Bold"/>
          <w:b/>
          <w:bCs/>
          <w:sz w:val="21"/>
          <w:szCs w:val="21"/>
        </w:rPr>
      </w:pPr>
    </w:p>
    <w:p w14:paraId="5F103D05" w14:textId="77777777" w:rsidR="00E732AC" w:rsidRPr="00710AC5" w:rsidRDefault="00E732AC" w:rsidP="00E732AC">
      <w:pPr>
        <w:autoSpaceDE w:val="0"/>
        <w:autoSpaceDN w:val="0"/>
        <w:adjustRightInd w:val="0"/>
        <w:jc w:val="center"/>
        <w:rPr>
          <w:rFonts w:ascii="Abadi" w:hAnsi="Abadi" w:cs="Verdana-Bold"/>
          <w:b/>
          <w:bCs/>
          <w:sz w:val="21"/>
          <w:szCs w:val="21"/>
        </w:rPr>
      </w:pPr>
      <w:r w:rsidRPr="00710AC5">
        <w:rPr>
          <w:rFonts w:ascii="Abadi" w:hAnsi="Abadi" w:cs="Verdana-Bold"/>
          <w:b/>
          <w:bCs/>
          <w:sz w:val="21"/>
          <w:szCs w:val="21"/>
        </w:rPr>
        <w:t>Laura Cristina Márquez Alcalá</w:t>
      </w:r>
    </w:p>
    <w:p w14:paraId="0D01DE62" w14:textId="77777777" w:rsidR="00E732AC" w:rsidRPr="00710AC5" w:rsidRDefault="00E732AC" w:rsidP="00E732AC">
      <w:pPr>
        <w:autoSpaceDE w:val="0"/>
        <w:autoSpaceDN w:val="0"/>
        <w:adjustRightInd w:val="0"/>
        <w:jc w:val="center"/>
        <w:rPr>
          <w:rFonts w:ascii="Abadi" w:hAnsi="Abadi" w:cs="Verdana-Bold"/>
          <w:b/>
          <w:bCs/>
          <w:sz w:val="21"/>
          <w:szCs w:val="21"/>
        </w:rPr>
      </w:pPr>
      <w:r w:rsidRPr="00710AC5">
        <w:rPr>
          <w:rFonts w:ascii="Abadi" w:hAnsi="Abadi" w:cs="Verdana-Bold"/>
          <w:b/>
          <w:bCs/>
          <w:sz w:val="21"/>
          <w:szCs w:val="21"/>
        </w:rPr>
        <w:t>Diputada presidenta</w:t>
      </w:r>
    </w:p>
    <w:p w14:paraId="1BBD08DB" w14:textId="77777777" w:rsidR="00E732AC" w:rsidRPr="00710AC5" w:rsidRDefault="00E732AC" w:rsidP="00E732AC">
      <w:pPr>
        <w:autoSpaceDE w:val="0"/>
        <w:autoSpaceDN w:val="0"/>
        <w:adjustRightInd w:val="0"/>
        <w:jc w:val="both"/>
        <w:rPr>
          <w:rFonts w:ascii="Abadi" w:hAnsi="Abadi" w:cs="Verdana-Bold"/>
          <w:b/>
          <w:bCs/>
          <w:sz w:val="21"/>
          <w:szCs w:val="21"/>
        </w:rPr>
      </w:pPr>
    </w:p>
    <w:p w14:paraId="3E097653" w14:textId="77777777" w:rsidR="00E732AC" w:rsidRPr="00710AC5" w:rsidRDefault="00E732AC" w:rsidP="00E732AC">
      <w:pPr>
        <w:autoSpaceDE w:val="0"/>
        <w:autoSpaceDN w:val="0"/>
        <w:adjustRightInd w:val="0"/>
        <w:contextualSpacing/>
        <w:jc w:val="both"/>
        <w:rPr>
          <w:rFonts w:ascii="Abadi" w:hAnsi="Abadi" w:cs="Verdana-Bold"/>
          <w:b/>
          <w:bCs/>
          <w:sz w:val="21"/>
          <w:szCs w:val="21"/>
        </w:rPr>
      </w:pPr>
      <w:r w:rsidRPr="00710AC5">
        <w:rPr>
          <w:rFonts w:ascii="Abadi" w:hAnsi="Abadi" w:cs="Verdana-Bold"/>
          <w:b/>
          <w:bCs/>
          <w:sz w:val="21"/>
          <w:szCs w:val="21"/>
        </w:rPr>
        <w:t xml:space="preserve">Susana Bermúdez Cano </w:t>
      </w:r>
    </w:p>
    <w:p w14:paraId="0C0D33E9" w14:textId="77777777" w:rsidR="00E732AC" w:rsidRPr="00710AC5" w:rsidRDefault="00E732AC" w:rsidP="00E732AC">
      <w:pPr>
        <w:autoSpaceDE w:val="0"/>
        <w:autoSpaceDN w:val="0"/>
        <w:adjustRightInd w:val="0"/>
        <w:contextualSpacing/>
        <w:jc w:val="both"/>
        <w:rPr>
          <w:rFonts w:ascii="Abadi" w:hAnsi="Abadi" w:cs="Verdana-Bold"/>
          <w:b/>
          <w:bCs/>
          <w:sz w:val="21"/>
          <w:szCs w:val="21"/>
        </w:rPr>
      </w:pPr>
      <w:r w:rsidRPr="00710AC5">
        <w:rPr>
          <w:rFonts w:ascii="Abadi" w:hAnsi="Abadi" w:cs="Verdana-Bold"/>
          <w:b/>
          <w:bCs/>
          <w:sz w:val="21"/>
          <w:szCs w:val="21"/>
        </w:rPr>
        <w:t xml:space="preserve">Diputada vocal </w:t>
      </w:r>
    </w:p>
    <w:p w14:paraId="718D1861" w14:textId="77777777" w:rsidR="00E732AC" w:rsidRPr="00710AC5" w:rsidRDefault="00E732AC" w:rsidP="00E732AC">
      <w:pPr>
        <w:autoSpaceDE w:val="0"/>
        <w:autoSpaceDN w:val="0"/>
        <w:adjustRightInd w:val="0"/>
        <w:contextualSpacing/>
        <w:jc w:val="both"/>
        <w:rPr>
          <w:rFonts w:ascii="Abadi" w:hAnsi="Abadi" w:cs="Verdana-Bold"/>
          <w:b/>
          <w:bCs/>
          <w:sz w:val="21"/>
          <w:szCs w:val="21"/>
        </w:rPr>
      </w:pPr>
      <w:r w:rsidRPr="00710AC5">
        <w:rPr>
          <w:rFonts w:ascii="Abadi" w:hAnsi="Abadi" w:cs="Verdana-Bold"/>
          <w:b/>
          <w:bCs/>
          <w:sz w:val="21"/>
          <w:szCs w:val="21"/>
        </w:rPr>
        <w:t>Bricio Balderas Álvarez</w:t>
      </w:r>
    </w:p>
    <w:p w14:paraId="4CED3DEB" w14:textId="77777777" w:rsidR="00E732AC" w:rsidRPr="00710AC5" w:rsidRDefault="00E732AC" w:rsidP="00E732AC">
      <w:pPr>
        <w:autoSpaceDE w:val="0"/>
        <w:autoSpaceDN w:val="0"/>
        <w:adjustRightInd w:val="0"/>
        <w:contextualSpacing/>
        <w:jc w:val="both"/>
        <w:rPr>
          <w:rFonts w:ascii="Abadi" w:hAnsi="Abadi" w:cs="Verdana-Bold"/>
          <w:b/>
          <w:bCs/>
          <w:sz w:val="21"/>
          <w:szCs w:val="21"/>
        </w:rPr>
      </w:pPr>
      <w:r w:rsidRPr="00710AC5">
        <w:rPr>
          <w:rFonts w:ascii="Abadi" w:hAnsi="Abadi" w:cs="Verdana-Bold"/>
          <w:b/>
          <w:bCs/>
          <w:sz w:val="21"/>
          <w:szCs w:val="21"/>
        </w:rPr>
        <w:t>Diputado  vocal</w:t>
      </w:r>
    </w:p>
    <w:p w14:paraId="446D43CD" w14:textId="77777777" w:rsidR="00E732AC" w:rsidRPr="00710AC5" w:rsidRDefault="00E732AC" w:rsidP="00E732AC">
      <w:pPr>
        <w:autoSpaceDE w:val="0"/>
        <w:autoSpaceDN w:val="0"/>
        <w:adjustRightInd w:val="0"/>
        <w:contextualSpacing/>
        <w:jc w:val="both"/>
        <w:rPr>
          <w:rFonts w:ascii="Abadi" w:hAnsi="Abadi" w:cs="Verdana-Bold"/>
          <w:b/>
          <w:bCs/>
          <w:sz w:val="21"/>
          <w:szCs w:val="21"/>
        </w:rPr>
      </w:pPr>
      <w:r w:rsidRPr="00710AC5">
        <w:rPr>
          <w:rFonts w:ascii="Abadi" w:hAnsi="Abadi" w:cs="Verdana-Bold"/>
          <w:b/>
          <w:bCs/>
          <w:sz w:val="21"/>
          <w:szCs w:val="21"/>
        </w:rPr>
        <w:t xml:space="preserve">Gustavo Adolfo Alfaro Reyes </w:t>
      </w:r>
    </w:p>
    <w:p w14:paraId="2ECEEABD" w14:textId="77777777" w:rsidR="00E732AC" w:rsidRPr="00710AC5" w:rsidRDefault="00E732AC" w:rsidP="00E732AC">
      <w:pPr>
        <w:contextualSpacing/>
        <w:jc w:val="both"/>
        <w:rPr>
          <w:rFonts w:ascii="Abadi" w:hAnsi="Abadi" w:cs="Verdana-Bold"/>
          <w:b/>
          <w:bCs/>
          <w:sz w:val="21"/>
          <w:szCs w:val="21"/>
        </w:rPr>
      </w:pPr>
      <w:r w:rsidRPr="00710AC5">
        <w:rPr>
          <w:rFonts w:ascii="Abadi" w:hAnsi="Abadi" w:cs="Verdana-Bold"/>
          <w:b/>
          <w:bCs/>
          <w:sz w:val="21"/>
          <w:szCs w:val="21"/>
        </w:rPr>
        <w:t xml:space="preserve">Diputado vocal </w:t>
      </w:r>
    </w:p>
    <w:p w14:paraId="53101147" w14:textId="77777777" w:rsidR="00E732AC" w:rsidRPr="00710AC5" w:rsidRDefault="00E732AC" w:rsidP="00E732AC">
      <w:pPr>
        <w:contextualSpacing/>
        <w:jc w:val="both"/>
        <w:rPr>
          <w:rFonts w:ascii="Abadi" w:hAnsi="Abadi" w:cs="Verdana-Bold"/>
          <w:b/>
          <w:bCs/>
          <w:sz w:val="21"/>
          <w:szCs w:val="21"/>
        </w:rPr>
      </w:pPr>
      <w:r w:rsidRPr="00710AC5">
        <w:rPr>
          <w:rFonts w:ascii="Abadi" w:hAnsi="Abadi" w:cs="Verdana-Bold"/>
          <w:b/>
          <w:bCs/>
          <w:sz w:val="21"/>
          <w:szCs w:val="21"/>
        </w:rPr>
        <w:t>Cuauhtémoc Becerra González</w:t>
      </w:r>
    </w:p>
    <w:p w14:paraId="2A73A89C" w14:textId="7CACC056" w:rsidR="00E732AC" w:rsidRDefault="00E732AC" w:rsidP="00E732AC">
      <w:pPr>
        <w:contextualSpacing/>
        <w:jc w:val="both"/>
        <w:rPr>
          <w:rFonts w:ascii="Abadi" w:hAnsi="Abadi" w:cs="Verdana-Bold"/>
          <w:b/>
          <w:bCs/>
          <w:sz w:val="21"/>
          <w:szCs w:val="21"/>
        </w:rPr>
      </w:pPr>
      <w:r w:rsidRPr="00710AC5">
        <w:rPr>
          <w:rFonts w:ascii="Abadi" w:hAnsi="Abadi" w:cs="Verdana-Bold"/>
          <w:b/>
          <w:bCs/>
          <w:sz w:val="21"/>
          <w:szCs w:val="21"/>
        </w:rPr>
        <w:t>Diputado secretario</w:t>
      </w:r>
    </w:p>
    <w:p w14:paraId="0A5B8B19" w14:textId="74F3E844" w:rsidR="008B67EB" w:rsidRDefault="008B67EB" w:rsidP="00E732AC">
      <w:pPr>
        <w:contextualSpacing/>
        <w:jc w:val="both"/>
        <w:rPr>
          <w:rFonts w:ascii="Abadi" w:hAnsi="Abadi" w:cs="Verdana-Bold"/>
          <w:b/>
          <w:bCs/>
          <w:sz w:val="21"/>
          <w:szCs w:val="21"/>
        </w:rPr>
      </w:pPr>
    </w:p>
    <w:p w14:paraId="4C225CA8" w14:textId="5D497EDB" w:rsidR="008B67EB" w:rsidRDefault="008B67EB" w:rsidP="00E732AC">
      <w:pPr>
        <w:contextualSpacing/>
        <w:jc w:val="both"/>
        <w:rPr>
          <w:rFonts w:ascii="Abadi" w:hAnsi="Abadi" w:cs="Verdana-Bold"/>
          <w:b/>
          <w:bCs/>
          <w:sz w:val="21"/>
          <w:szCs w:val="21"/>
        </w:rPr>
      </w:pPr>
    </w:p>
    <w:p w14:paraId="0866C8B3" w14:textId="5996D24A" w:rsidR="00E432E1" w:rsidRPr="00E432E1" w:rsidRDefault="00E432E1" w:rsidP="00E432E1">
      <w:pPr>
        <w:ind w:firstLine="708"/>
        <w:jc w:val="both"/>
        <w:rPr>
          <w:rFonts w:ascii="Abadi" w:hAnsi="Abadi"/>
          <w:sz w:val="21"/>
          <w:szCs w:val="21"/>
        </w:rPr>
      </w:pPr>
      <w:r>
        <w:rPr>
          <w:rFonts w:ascii="Abadi" w:hAnsi="Abadi"/>
          <w:b/>
          <w:bCs/>
          <w:sz w:val="21"/>
          <w:szCs w:val="21"/>
        </w:rPr>
        <w:t xml:space="preserve">- </w:t>
      </w:r>
      <w:r w:rsidRPr="00E432E1">
        <w:rPr>
          <w:rFonts w:ascii="Abadi" w:hAnsi="Abadi"/>
          <w:b/>
          <w:bCs/>
          <w:sz w:val="21"/>
          <w:szCs w:val="21"/>
        </w:rPr>
        <w:t>La Presidencia.-</w:t>
      </w:r>
      <w:r w:rsidRPr="00E432E1">
        <w:rPr>
          <w:rFonts w:ascii="Abadi" w:hAnsi="Abadi"/>
          <w:sz w:val="21"/>
          <w:szCs w:val="21"/>
        </w:rPr>
        <w:t xml:space="preserve"> Procede someter a discusión el dictamen emitido por la Comisión de Justicia relativo a cinco iniciativas: la primera, a efecto de reformar el artículo 153-a, fracción VI; y adicionar un tercer párrafo al artículo 18, la fracción VIII bis al artículo 38, las fracciones VIII y IX al artículo 153, las fracciones VIII, IX, X y XI al artículo 153-a y el artículo 153-a-2 al Código Penal del Estado de Guanajuato, presentada por el Ayuntamiento de León, Guanajuato; la segunda, a efecto de reformar el artículo 153-a del Código Penal del Estado de Guanajuato, presentada por diputada y diputado integrantes del Grupo Parlamentario del Partido Verde Ecologista de México de la Sexagésima Cuarta Legislatura; la tercera, por la que se adiciona un cuarto párrafo al artículo 153-a del Código Penal del Estado de Guanajuato, presentada por diputadas y diputados integrantes del Grupo Parlamentario del Partido Acción Nacional; la cuarta, a efecto de reformar la fracción V del artículo 153-a del Código Penal del Estado de Guanajuato, presentada por diputadas y diputados integrantes del Grupo Parlamentario del Partido Acción Nacional; y la quinta, a efecto de reformar las fracciones I, II, V y VI, y adicionar las fracciones VIII, IX y X y un tercer párrafo al artículo 153-a y, un segundo párrafo al artículo 153-a-1 del Código Penal del Estado de Guanajuato, presentada por la diputada Alma Edwviges Alcaraz Hernández integrante del Grupo Parlamentario del Partido MORENA.</w:t>
      </w:r>
    </w:p>
    <w:p w14:paraId="6A2E364B" w14:textId="58CDED88" w:rsidR="00E432E1" w:rsidRPr="00E432E1" w:rsidRDefault="00E432E1" w:rsidP="00E432E1">
      <w:pPr>
        <w:jc w:val="both"/>
        <w:rPr>
          <w:rFonts w:ascii="Abadi" w:hAnsi="Abadi"/>
          <w:color w:val="333333"/>
          <w:sz w:val="21"/>
          <w:szCs w:val="21"/>
          <w:shd w:val="clear" w:color="auto" w:fill="F9F9F9"/>
        </w:rPr>
      </w:pPr>
    </w:p>
    <w:p w14:paraId="09E5CF17" w14:textId="449AD75F" w:rsidR="00E432E1" w:rsidRDefault="00E432E1" w:rsidP="00163DA6">
      <w:pPr>
        <w:ind w:firstLine="708"/>
        <w:jc w:val="both"/>
        <w:rPr>
          <w:rFonts w:ascii="Abadi" w:hAnsi="Abadi"/>
          <w:sz w:val="21"/>
          <w:szCs w:val="21"/>
        </w:rPr>
      </w:pPr>
      <w:r>
        <w:rPr>
          <w:rFonts w:ascii="Abadi" w:hAnsi="Abadi"/>
          <w:sz w:val="21"/>
          <w:szCs w:val="21"/>
        </w:rPr>
        <w:t xml:space="preserve">- </w:t>
      </w:r>
      <w:r w:rsidRPr="00E432E1">
        <w:rPr>
          <w:rFonts w:ascii="Abadi" w:hAnsi="Abadi"/>
          <w:sz w:val="21"/>
          <w:szCs w:val="21"/>
        </w:rPr>
        <w:t>Me permito informar que previamente se han inscrito la diputada Laura Cristina Márquez Alcalá</w:t>
      </w:r>
      <w:r w:rsidR="00A46D79">
        <w:rPr>
          <w:rFonts w:ascii="Abadi" w:hAnsi="Abadi"/>
          <w:sz w:val="21"/>
          <w:szCs w:val="21"/>
        </w:rPr>
        <w:t>,</w:t>
      </w:r>
      <w:r w:rsidRPr="00E432E1">
        <w:rPr>
          <w:rFonts w:ascii="Abadi" w:hAnsi="Abadi"/>
          <w:sz w:val="21"/>
          <w:szCs w:val="21"/>
        </w:rPr>
        <w:t xml:space="preserve"> como autora del dictamen conjuntamente en el artículo 178, fracción I, último párrafo de la Ley Orgánica del Poder Legislativo, así como el diputado Gerardo Fernández González y las diputadas María de la Luz Hernández Martínez y Angelica Casillas, para hablar a favor del dictamen. </w:t>
      </w:r>
    </w:p>
    <w:p w14:paraId="4634A8CA" w14:textId="77777777" w:rsidR="00E432E1" w:rsidRPr="00E432E1" w:rsidRDefault="00E432E1" w:rsidP="00E432E1">
      <w:pPr>
        <w:jc w:val="both"/>
        <w:rPr>
          <w:rFonts w:ascii="Abadi" w:hAnsi="Abadi"/>
          <w:sz w:val="21"/>
          <w:szCs w:val="21"/>
        </w:rPr>
      </w:pPr>
    </w:p>
    <w:p w14:paraId="504651CA" w14:textId="67B96F3D" w:rsidR="00E432E1" w:rsidRDefault="00E432E1" w:rsidP="00163DA6">
      <w:pPr>
        <w:ind w:firstLine="708"/>
        <w:jc w:val="both"/>
        <w:rPr>
          <w:rFonts w:ascii="Abadi" w:hAnsi="Abadi"/>
          <w:sz w:val="21"/>
          <w:szCs w:val="21"/>
        </w:rPr>
      </w:pPr>
      <w:r>
        <w:rPr>
          <w:rFonts w:ascii="Abadi" w:hAnsi="Abadi"/>
          <w:sz w:val="21"/>
          <w:szCs w:val="21"/>
        </w:rPr>
        <w:t xml:space="preserve">- </w:t>
      </w:r>
      <w:r w:rsidRPr="00E432E1">
        <w:rPr>
          <w:rFonts w:ascii="Abadi" w:hAnsi="Abadi"/>
          <w:sz w:val="21"/>
          <w:szCs w:val="21"/>
        </w:rPr>
        <w:t xml:space="preserve">Si alguna otra diputada o algún otro diputado desea hacer uso de la palabra, en pro o en contra, manifiéstenlo indicando el sentido de su participación. </w:t>
      </w:r>
    </w:p>
    <w:p w14:paraId="2903604D" w14:textId="77777777" w:rsidR="00E432E1" w:rsidRPr="00E432E1" w:rsidRDefault="00E432E1" w:rsidP="00E432E1">
      <w:pPr>
        <w:jc w:val="both"/>
        <w:rPr>
          <w:rFonts w:ascii="Abadi" w:hAnsi="Abadi"/>
          <w:sz w:val="21"/>
          <w:szCs w:val="21"/>
        </w:rPr>
      </w:pPr>
    </w:p>
    <w:p w14:paraId="34BC8135" w14:textId="0B86B551" w:rsidR="00E432E1" w:rsidRDefault="00E432E1" w:rsidP="00163DA6">
      <w:pPr>
        <w:ind w:firstLine="708"/>
        <w:jc w:val="both"/>
        <w:rPr>
          <w:rFonts w:ascii="Abadi" w:hAnsi="Abadi"/>
          <w:sz w:val="21"/>
          <w:szCs w:val="21"/>
        </w:rPr>
      </w:pPr>
      <w:r>
        <w:rPr>
          <w:rFonts w:ascii="Abadi" w:hAnsi="Abadi"/>
          <w:sz w:val="21"/>
          <w:szCs w:val="21"/>
        </w:rPr>
        <w:t xml:space="preserve">- </w:t>
      </w:r>
      <w:r w:rsidRPr="00E432E1">
        <w:rPr>
          <w:rFonts w:ascii="Abadi" w:hAnsi="Abadi"/>
          <w:sz w:val="21"/>
          <w:szCs w:val="21"/>
        </w:rPr>
        <w:t xml:space="preserve">Se concede el uso de la palabra a la diputada Laura Cristina Márquez Alcalá, hasta por 10 minutos. </w:t>
      </w:r>
    </w:p>
    <w:p w14:paraId="524EB3F8" w14:textId="77777777" w:rsidR="00E432E1" w:rsidRPr="00E432E1" w:rsidRDefault="00E432E1" w:rsidP="00E432E1">
      <w:pPr>
        <w:jc w:val="both"/>
        <w:rPr>
          <w:rFonts w:ascii="Abadi" w:hAnsi="Abadi"/>
          <w:sz w:val="21"/>
          <w:szCs w:val="21"/>
        </w:rPr>
      </w:pPr>
    </w:p>
    <w:p w14:paraId="3EB5AB64" w14:textId="75CA71AB" w:rsidR="00E432E1" w:rsidRDefault="00E432E1" w:rsidP="00163DA6">
      <w:pPr>
        <w:ind w:firstLine="708"/>
        <w:jc w:val="both"/>
        <w:rPr>
          <w:rFonts w:ascii="Abadi" w:hAnsi="Abadi"/>
          <w:sz w:val="21"/>
          <w:szCs w:val="21"/>
        </w:rPr>
      </w:pPr>
      <w:r>
        <w:rPr>
          <w:rFonts w:ascii="Abadi" w:hAnsi="Abadi"/>
          <w:sz w:val="21"/>
          <w:szCs w:val="21"/>
        </w:rPr>
        <w:t xml:space="preserve">- </w:t>
      </w:r>
      <w:r w:rsidRPr="00E432E1">
        <w:rPr>
          <w:rFonts w:ascii="Abadi" w:hAnsi="Abadi"/>
          <w:sz w:val="21"/>
          <w:szCs w:val="21"/>
        </w:rPr>
        <w:t>Adelante, diputada.</w:t>
      </w:r>
    </w:p>
    <w:p w14:paraId="5F5DC0FB" w14:textId="77777777" w:rsidR="00E432E1" w:rsidRPr="00E432E1" w:rsidRDefault="00E432E1" w:rsidP="00E432E1">
      <w:pPr>
        <w:jc w:val="both"/>
        <w:rPr>
          <w:rFonts w:ascii="Abadi" w:hAnsi="Abadi"/>
          <w:sz w:val="21"/>
          <w:szCs w:val="21"/>
        </w:rPr>
      </w:pPr>
    </w:p>
    <w:p w14:paraId="5A7CECB3" w14:textId="240CE450" w:rsidR="00E432E1" w:rsidRDefault="00E432E1" w:rsidP="00E432E1">
      <w:pPr>
        <w:jc w:val="both"/>
        <w:rPr>
          <w:rFonts w:ascii="Abadi" w:hAnsi="Abadi"/>
          <w:b/>
          <w:bCs/>
          <w:sz w:val="21"/>
          <w:szCs w:val="21"/>
        </w:rPr>
      </w:pPr>
      <w:r w:rsidRPr="00E432E1">
        <w:rPr>
          <w:rFonts w:ascii="Abadi" w:hAnsi="Abadi"/>
          <w:b/>
          <w:bCs/>
          <w:sz w:val="21"/>
          <w:szCs w:val="21"/>
        </w:rPr>
        <w:t xml:space="preserve">(Sube a tribuna la Diputada Laura Cristina Márquez Alcalá, para hablar a favor del dictamen) </w:t>
      </w:r>
    </w:p>
    <w:p w14:paraId="5516A667" w14:textId="58736940" w:rsidR="00E432E1" w:rsidRPr="00E432E1" w:rsidRDefault="00E432E1" w:rsidP="00E432E1">
      <w:pPr>
        <w:jc w:val="both"/>
        <w:rPr>
          <w:rFonts w:ascii="Abadi" w:hAnsi="Abadi"/>
          <w:b/>
          <w:bCs/>
          <w:sz w:val="21"/>
          <w:szCs w:val="21"/>
        </w:rPr>
      </w:pPr>
      <w:r w:rsidRPr="00E432E1">
        <w:rPr>
          <w:rFonts w:ascii="Abadi" w:hAnsi="Abadi"/>
          <w:noProof/>
          <w:sz w:val="21"/>
          <w:szCs w:val="21"/>
        </w:rPr>
        <w:drawing>
          <wp:anchor distT="0" distB="0" distL="114300" distR="114300" simplePos="0" relativeHeight="251695104" behindDoc="1" locked="0" layoutInCell="1" allowOverlap="1" wp14:anchorId="5E3AD0F0" wp14:editId="315D9E95">
            <wp:simplePos x="0" y="0"/>
            <wp:positionH relativeFrom="margin">
              <wp:posOffset>3786326</wp:posOffset>
            </wp:positionH>
            <wp:positionV relativeFrom="paragraph">
              <wp:posOffset>370696</wp:posOffset>
            </wp:positionV>
            <wp:extent cx="1812290" cy="960120"/>
            <wp:effectExtent l="57150" t="95250" r="54610" b="678180"/>
            <wp:wrapTight wrapText="bothSides">
              <wp:wrapPolygon edited="0">
                <wp:start x="-454" y="-2143"/>
                <wp:lineTo x="-681" y="-1714"/>
                <wp:lineTo x="-681" y="25714"/>
                <wp:lineTo x="-454" y="36429"/>
                <wp:lineTo x="21797" y="36429"/>
                <wp:lineTo x="22024" y="32571"/>
                <wp:lineTo x="22024" y="5143"/>
                <wp:lineTo x="21797" y="-1286"/>
                <wp:lineTo x="21797" y="-2143"/>
                <wp:lineTo x="-454" y="-2143"/>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b="5788"/>
                    <a:stretch/>
                  </pic:blipFill>
                  <pic:spPr bwMode="auto">
                    <a:xfrm>
                      <a:off x="0" y="0"/>
                      <a:ext cx="1812290" cy="96012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extLst>
                      <a:ext uri="{53640926-AAD7-44D8-BBD7-CCE9431645EC}">
                        <a14:shadowObscured xmlns:a14="http://schemas.microsoft.com/office/drawing/2010/main"/>
                      </a:ext>
                    </a:extLst>
                  </pic:spPr>
                </pic:pic>
              </a:graphicData>
            </a:graphic>
          </wp:anchor>
        </w:drawing>
      </w:r>
    </w:p>
    <w:p w14:paraId="059172E9" w14:textId="45974D0B" w:rsidR="00E432E1" w:rsidRPr="00E432E1" w:rsidRDefault="00E432E1" w:rsidP="00E432E1">
      <w:pPr>
        <w:jc w:val="both"/>
        <w:rPr>
          <w:rFonts w:ascii="Abadi" w:hAnsi="Abadi"/>
          <w:b/>
          <w:bCs/>
          <w:sz w:val="21"/>
          <w:szCs w:val="21"/>
        </w:rPr>
      </w:pPr>
    </w:p>
    <w:p w14:paraId="38EF381F" w14:textId="2CECF21F" w:rsidR="00E432E1" w:rsidRPr="00E432E1" w:rsidRDefault="00E432E1" w:rsidP="00E432E1">
      <w:pPr>
        <w:jc w:val="both"/>
        <w:rPr>
          <w:rFonts w:ascii="Abadi" w:hAnsi="Abadi"/>
          <w:b/>
          <w:bCs/>
          <w:sz w:val="21"/>
          <w:szCs w:val="21"/>
        </w:rPr>
      </w:pPr>
    </w:p>
    <w:p w14:paraId="4C48CBDC" w14:textId="66559F71" w:rsidR="00E432E1" w:rsidRDefault="00E432E1" w:rsidP="00E432E1">
      <w:pPr>
        <w:jc w:val="both"/>
        <w:rPr>
          <w:rFonts w:ascii="Abadi" w:hAnsi="Abadi"/>
          <w:sz w:val="21"/>
          <w:szCs w:val="21"/>
        </w:rPr>
      </w:pPr>
      <w:r>
        <w:rPr>
          <w:rFonts w:ascii="Abadi" w:hAnsi="Abadi"/>
          <w:sz w:val="21"/>
          <w:szCs w:val="21"/>
        </w:rPr>
        <w:t xml:space="preserve">- </w:t>
      </w:r>
      <w:r w:rsidRPr="00E432E1">
        <w:rPr>
          <w:rFonts w:ascii="Abadi" w:hAnsi="Abadi"/>
          <w:sz w:val="21"/>
          <w:szCs w:val="21"/>
        </w:rPr>
        <w:t xml:space="preserve">Mara, Lesvi, la pequeña Fátima, Abril, Ingrid, Marbella; Marbella era abogada, pero el fútbol era su pasión y en el 2014 logró que un equipo profesional respaldara un equipo exclusivamente de mujeres. A ella le faltaba un semestre para terminar sus estudios y convertirse en entrenadora profesional de fútbol y la encontraron asesinada el quince de octubre. Detrás de cada feminicidio hay una historia. Hay un sueño roto, hay una mamá sin hija, hay una mujer sin hermana, hay una sociedad rasgada. Así nos dimos a la tarea de revisar el delito de feminicidio bajo los actuales estándares nacionales e internacionales en materia de derechos humanos y de erradicación de violencia contra las mujeres. Porque al final lo que queremos es honrar sus vidas, lo que queremos es visibilizar que ellas nos faltan, que no están, que estamos incompletos. De esta forma, la Comisión de Justicia analizó cinco iniciativas de diferentes grupos parlamentarios y de un Ayuntamiento mismas que se traducen en incrementar la pena en el delito de feminicidio para los casos en que la víctima sea menor de edad. Reconocer en nuestro Código Penal que la violencia política puede llegar al feminicidio y a incorporar la posibilidad de encuadre del tipo penal, estipulando la presencia de signos de violencia sexual. Aún respecto del cadáver. </w:t>
      </w:r>
    </w:p>
    <w:p w14:paraId="7DD2976D" w14:textId="77777777" w:rsidR="00E432E1" w:rsidRPr="00E432E1" w:rsidRDefault="00E432E1" w:rsidP="00E432E1">
      <w:pPr>
        <w:jc w:val="both"/>
        <w:rPr>
          <w:rFonts w:ascii="Abadi" w:hAnsi="Abadi"/>
          <w:sz w:val="21"/>
          <w:szCs w:val="21"/>
        </w:rPr>
      </w:pPr>
    </w:p>
    <w:p w14:paraId="1FC1A585" w14:textId="1B61505D" w:rsidR="00E432E1" w:rsidRDefault="00E432E1" w:rsidP="00E432E1">
      <w:pPr>
        <w:jc w:val="both"/>
        <w:rPr>
          <w:rFonts w:ascii="Abadi" w:hAnsi="Abadi"/>
          <w:sz w:val="21"/>
          <w:szCs w:val="21"/>
        </w:rPr>
      </w:pPr>
      <w:r>
        <w:rPr>
          <w:rFonts w:ascii="Abadi" w:hAnsi="Abadi"/>
          <w:sz w:val="21"/>
          <w:szCs w:val="21"/>
        </w:rPr>
        <w:t xml:space="preserve">- </w:t>
      </w:r>
      <w:r w:rsidRPr="00E432E1">
        <w:rPr>
          <w:rFonts w:ascii="Abadi" w:hAnsi="Abadi"/>
          <w:sz w:val="21"/>
          <w:szCs w:val="21"/>
        </w:rPr>
        <w:t xml:space="preserve">Estoy convencida que al asignarle un nombre, un nombre propio al tipo de asesinato en el que el género de la víctima juega el rol más importante, reconocemos que se trata de un fenómeno distinto a cualquier otra forma de violencia y podemos así buscar políticas específicas para combatirla, podemos buscar acciones legislativas, acciones que se ven reflejadas en la realidad de las mujeres, a vivir una vida libre de violencia, acciones que frenen los homicidios de 11 mujeres al día en el país. Hoy la erradicación de la violencia feminicida, no es opcional. hoy es una necesidad urgente que nos llama todos a trabajar sin distinción de colores. </w:t>
      </w:r>
    </w:p>
    <w:p w14:paraId="7F54B68E" w14:textId="77777777" w:rsidR="00A46D79" w:rsidRPr="00E432E1" w:rsidRDefault="00A46D79" w:rsidP="00E432E1">
      <w:pPr>
        <w:jc w:val="both"/>
        <w:rPr>
          <w:rFonts w:ascii="Abadi" w:hAnsi="Abadi"/>
          <w:sz w:val="21"/>
          <w:szCs w:val="21"/>
        </w:rPr>
      </w:pPr>
    </w:p>
    <w:p w14:paraId="62F796B0" w14:textId="59C4F6D1" w:rsidR="00E432E1" w:rsidRDefault="00A46D79" w:rsidP="00E432E1">
      <w:pPr>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Agradezco a mis compañeras y compañeros de la Comisión de Justicia porque juntos hemos trabajado y seguiremos trabajando por las mujeres de nuestro Estado.</w:t>
      </w:r>
    </w:p>
    <w:p w14:paraId="2558903C" w14:textId="77777777" w:rsidR="00E432E1" w:rsidRPr="00E432E1" w:rsidRDefault="00E432E1" w:rsidP="00E432E1">
      <w:pPr>
        <w:jc w:val="both"/>
        <w:rPr>
          <w:rFonts w:ascii="Abadi" w:hAnsi="Abadi"/>
          <w:sz w:val="21"/>
          <w:szCs w:val="21"/>
        </w:rPr>
      </w:pPr>
    </w:p>
    <w:p w14:paraId="4F5CC0B1" w14:textId="697610D1" w:rsidR="00E432E1" w:rsidRDefault="00E432E1" w:rsidP="00E432E1">
      <w:pPr>
        <w:jc w:val="both"/>
        <w:rPr>
          <w:rFonts w:ascii="Abadi" w:hAnsi="Abadi"/>
          <w:sz w:val="21"/>
          <w:szCs w:val="21"/>
        </w:rPr>
      </w:pPr>
      <w:r>
        <w:rPr>
          <w:rFonts w:ascii="Abadi" w:hAnsi="Abadi"/>
          <w:sz w:val="21"/>
          <w:szCs w:val="21"/>
        </w:rPr>
        <w:t xml:space="preserve">- </w:t>
      </w:r>
      <w:r w:rsidRPr="00E432E1">
        <w:rPr>
          <w:rFonts w:ascii="Abadi" w:hAnsi="Abadi"/>
          <w:sz w:val="21"/>
          <w:szCs w:val="21"/>
        </w:rPr>
        <w:t xml:space="preserve">Juntos seguiremos velando por garantizar los derechos de todas. Así, diputadas y diputados, les pido votar a favor el presente dictamen. </w:t>
      </w:r>
    </w:p>
    <w:p w14:paraId="717015C3" w14:textId="77777777" w:rsidR="00E432E1" w:rsidRPr="00E432E1" w:rsidRDefault="00E432E1" w:rsidP="00E432E1">
      <w:pPr>
        <w:jc w:val="both"/>
        <w:rPr>
          <w:rFonts w:ascii="Abadi" w:hAnsi="Abadi"/>
          <w:sz w:val="21"/>
          <w:szCs w:val="21"/>
        </w:rPr>
      </w:pPr>
    </w:p>
    <w:p w14:paraId="34592F93" w14:textId="384E75E6" w:rsidR="00E432E1" w:rsidRDefault="00E432E1" w:rsidP="00E432E1">
      <w:pPr>
        <w:jc w:val="both"/>
        <w:rPr>
          <w:rFonts w:ascii="Abadi" w:hAnsi="Abadi"/>
          <w:sz w:val="21"/>
          <w:szCs w:val="21"/>
        </w:rPr>
      </w:pPr>
      <w:r>
        <w:rPr>
          <w:rFonts w:ascii="Abadi" w:hAnsi="Abadi"/>
          <w:sz w:val="21"/>
          <w:szCs w:val="21"/>
        </w:rPr>
        <w:t xml:space="preserve">- </w:t>
      </w:r>
      <w:r w:rsidRPr="00E432E1">
        <w:rPr>
          <w:rFonts w:ascii="Abadi" w:hAnsi="Abadi"/>
          <w:sz w:val="21"/>
          <w:szCs w:val="21"/>
        </w:rPr>
        <w:t xml:space="preserve">Pues con esa convicción apostamos por la esperanza y la justicia para ella, por ellas, que hoy nos faltan. </w:t>
      </w:r>
    </w:p>
    <w:p w14:paraId="0517CEEC" w14:textId="77777777" w:rsidR="00E432E1" w:rsidRPr="00E432E1" w:rsidRDefault="00E432E1" w:rsidP="00E432E1">
      <w:pPr>
        <w:jc w:val="both"/>
        <w:rPr>
          <w:rFonts w:ascii="Abadi" w:hAnsi="Abadi"/>
          <w:sz w:val="21"/>
          <w:szCs w:val="21"/>
        </w:rPr>
      </w:pPr>
    </w:p>
    <w:p w14:paraId="5C82FC1B" w14:textId="3FD870F3" w:rsidR="00E432E1" w:rsidRDefault="00E432E1" w:rsidP="00E432E1">
      <w:pPr>
        <w:ind w:firstLine="708"/>
        <w:jc w:val="both"/>
        <w:rPr>
          <w:rFonts w:ascii="Abadi" w:hAnsi="Abadi"/>
          <w:sz w:val="21"/>
          <w:szCs w:val="21"/>
        </w:rPr>
      </w:pPr>
      <w:r>
        <w:rPr>
          <w:rFonts w:ascii="Abadi" w:hAnsi="Abadi"/>
          <w:b/>
          <w:bCs/>
          <w:sz w:val="21"/>
          <w:szCs w:val="21"/>
        </w:rPr>
        <w:t xml:space="preserve">- </w:t>
      </w:r>
      <w:r w:rsidRPr="00E432E1">
        <w:rPr>
          <w:rFonts w:ascii="Abadi" w:hAnsi="Abadi"/>
          <w:b/>
          <w:bCs/>
          <w:sz w:val="21"/>
          <w:szCs w:val="21"/>
        </w:rPr>
        <w:t>La Presidencia.-</w:t>
      </w:r>
      <w:r w:rsidRPr="00E432E1">
        <w:rPr>
          <w:rFonts w:ascii="Abadi" w:hAnsi="Abadi"/>
          <w:sz w:val="21"/>
          <w:szCs w:val="21"/>
        </w:rPr>
        <w:t xml:space="preserve"> Muchas gracias, diputada. </w:t>
      </w:r>
    </w:p>
    <w:p w14:paraId="6D7201C0" w14:textId="77777777" w:rsidR="00E432E1" w:rsidRPr="00E432E1" w:rsidRDefault="00E432E1" w:rsidP="00E432E1">
      <w:pPr>
        <w:jc w:val="both"/>
        <w:rPr>
          <w:rFonts w:ascii="Abadi" w:hAnsi="Abadi"/>
          <w:sz w:val="21"/>
          <w:szCs w:val="21"/>
        </w:rPr>
      </w:pPr>
    </w:p>
    <w:p w14:paraId="280E929E" w14:textId="58F664BE" w:rsidR="00E432E1" w:rsidRDefault="00E432E1" w:rsidP="00A46D79">
      <w:pPr>
        <w:ind w:firstLine="708"/>
        <w:jc w:val="both"/>
        <w:rPr>
          <w:rFonts w:ascii="Abadi" w:hAnsi="Abadi"/>
          <w:sz w:val="21"/>
          <w:szCs w:val="21"/>
        </w:rPr>
      </w:pPr>
      <w:r>
        <w:rPr>
          <w:rFonts w:ascii="Abadi" w:hAnsi="Abadi"/>
          <w:sz w:val="21"/>
          <w:szCs w:val="21"/>
        </w:rPr>
        <w:t xml:space="preserve">- </w:t>
      </w:r>
      <w:r w:rsidRPr="00E432E1">
        <w:rPr>
          <w:rFonts w:ascii="Abadi" w:hAnsi="Abadi"/>
          <w:sz w:val="21"/>
          <w:szCs w:val="21"/>
        </w:rPr>
        <w:t>Es turno de dar la palabra al diputado Gerardo, hasta por 10 minutos.</w:t>
      </w:r>
    </w:p>
    <w:p w14:paraId="03F8A688" w14:textId="77777777" w:rsidR="00E432E1" w:rsidRPr="00E432E1" w:rsidRDefault="00E432E1" w:rsidP="00E432E1">
      <w:pPr>
        <w:jc w:val="both"/>
        <w:rPr>
          <w:rFonts w:ascii="Abadi" w:hAnsi="Abadi"/>
          <w:sz w:val="21"/>
          <w:szCs w:val="21"/>
        </w:rPr>
      </w:pPr>
    </w:p>
    <w:p w14:paraId="6CADCA58" w14:textId="77777777" w:rsidR="00E432E1" w:rsidRDefault="00E432E1" w:rsidP="00E432E1">
      <w:pPr>
        <w:jc w:val="both"/>
        <w:rPr>
          <w:rFonts w:ascii="Abadi" w:hAnsi="Abadi"/>
          <w:sz w:val="21"/>
          <w:szCs w:val="21"/>
        </w:rPr>
      </w:pPr>
    </w:p>
    <w:p w14:paraId="521B8613" w14:textId="4EB8541D" w:rsidR="00E432E1" w:rsidRDefault="00E432E1" w:rsidP="00A46D79">
      <w:pPr>
        <w:ind w:firstLine="708"/>
        <w:jc w:val="both"/>
        <w:rPr>
          <w:rFonts w:ascii="Abadi" w:hAnsi="Abadi"/>
          <w:sz w:val="21"/>
          <w:szCs w:val="21"/>
        </w:rPr>
      </w:pPr>
      <w:r>
        <w:rPr>
          <w:rFonts w:ascii="Abadi" w:hAnsi="Abadi"/>
          <w:sz w:val="21"/>
          <w:szCs w:val="21"/>
        </w:rPr>
        <w:t xml:space="preserve">- </w:t>
      </w:r>
      <w:r w:rsidRPr="00E432E1">
        <w:rPr>
          <w:rFonts w:ascii="Abadi" w:hAnsi="Abadi"/>
          <w:sz w:val="21"/>
          <w:szCs w:val="21"/>
        </w:rPr>
        <w:t xml:space="preserve">Adelante, diputado Gerardo, por favor. </w:t>
      </w:r>
    </w:p>
    <w:p w14:paraId="107FB807" w14:textId="77777777" w:rsidR="00C0235B" w:rsidRDefault="00C0235B" w:rsidP="00A46D79">
      <w:pPr>
        <w:ind w:firstLine="708"/>
        <w:jc w:val="both"/>
        <w:rPr>
          <w:rFonts w:ascii="Abadi" w:hAnsi="Abadi"/>
          <w:sz w:val="21"/>
          <w:szCs w:val="21"/>
        </w:rPr>
      </w:pPr>
    </w:p>
    <w:p w14:paraId="063AFD10" w14:textId="23A6BD49" w:rsidR="00E432E1" w:rsidRPr="00E432E1" w:rsidRDefault="00E432E1" w:rsidP="00E432E1">
      <w:pPr>
        <w:jc w:val="both"/>
        <w:rPr>
          <w:rFonts w:ascii="Abadi" w:hAnsi="Abadi"/>
          <w:b/>
          <w:bCs/>
          <w:sz w:val="21"/>
          <w:szCs w:val="21"/>
        </w:rPr>
      </w:pPr>
      <w:r w:rsidRPr="00E432E1">
        <w:rPr>
          <w:rFonts w:ascii="Abadi" w:hAnsi="Abadi"/>
          <w:b/>
          <w:bCs/>
          <w:sz w:val="21"/>
          <w:szCs w:val="21"/>
        </w:rPr>
        <w:t>(Sube a tribuna el diputado Gerardo Fernández González</w:t>
      </w:r>
      <w:r w:rsidR="00163DA6">
        <w:rPr>
          <w:rFonts w:ascii="Abadi" w:hAnsi="Abadi"/>
          <w:b/>
          <w:bCs/>
          <w:sz w:val="21"/>
          <w:szCs w:val="21"/>
        </w:rPr>
        <w:t>,</w:t>
      </w:r>
      <w:r w:rsidRPr="00E432E1">
        <w:rPr>
          <w:rFonts w:ascii="Abadi" w:hAnsi="Abadi"/>
          <w:b/>
          <w:bCs/>
          <w:sz w:val="21"/>
          <w:szCs w:val="21"/>
        </w:rPr>
        <w:t xml:space="preserve"> para hablar a favor del dictamen)</w:t>
      </w:r>
    </w:p>
    <w:p w14:paraId="200B0B95" w14:textId="77777777" w:rsidR="00E432E1" w:rsidRPr="00E432E1" w:rsidRDefault="00E432E1" w:rsidP="00E432E1">
      <w:pPr>
        <w:jc w:val="both"/>
        <w:rPr>
          <w:rFonts w:ascii="Abadi" w:hAnsi="Abadi"/>
          <w:b/>
          <w:bCs/>
          <w:sz w:val="21"/>
          <w:szCs w:val="21"/>
        </w:rPr>
      </w:pPr>
    </w:p>
    <w:p w14:paraId="4B6544DE" w14:textId="67A8F486" w:rsidR="00E432E1" w:rsidRPr="00E432E1" w:rsidRDefault="00A46D79" w:rsidP="00E432E1">
      <w:pPr>
        <w:jc w:val="both"/>
        <w:rPr>
          <w:rFonts w:ascii="Abadi" w:hAnsi="Abadi"/>
          <w:b/>
          <w:bCs/>
          <w:sz w:val="21"/>
          <w:szCs w:val="21"/>
        </w:rPr>
      </w:pPr>
      <w:r w:rsidRPr="00E432E1">
        <w:rPr>
          <w:rFonts w:ascii="Abadi" w:hAnsi="Abadi"/>
          <w:noProof/>
          <w:sz w:val="21"/>
          <w:szCs w:val="21"/>
        </w:rPr>
        <w:drawing>
          <wp:anchor distT="0" distB="0" distL="114300" distR="114300" simplePos="0" relativeHeight="251696128" behindDoc="1" locked="0" layoutInCell="1" allowOverlap="1" wp14:anchorId="1CE7023C" wp14:editId="131E9C3E">
            <wp:simplePos x="0" y="0"/>
            <wp:positionH relativeFrom="column">
              <wp:posOffset>183515</wp:posOffset>
            </wp:positionH>
            <wp:positionV relativeFrom="paragraph">
              <wp:posOffset>322580</wp:posOffset>
            </wp:positionV>
            <wp:extent cx="2085975" cy="1099185"/>
            <wp:effectExtent l="0" t="114300" r="0" b="843915"/>
            <wp:wrapTight wrapText="bothSides">
              <wp:wrapPolygon edited="0">
                <wp:start x="197" y="-2246"/>
                <wp:lineTo x="0" y="-1497"/>
                <wp:lineTo x="197" y="34440"/>
                <wp:lineTo x="395" y="37809"/>
                <wp:lineTo x="2170" y="37809"/>
                <wp:lineTo x="2367" y="37061"/>
                <wp:lineTo x="19726" y="34440"/>
                <wp:lineTo x="20121" y="28451"/>
                <wp:lineTo x="20121" y="-2246"/>
                <wp:lineTo x="197" y="-2246"/>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b="6311"/>
                    <a:stretch/>
                  </pic:blipFill>
                  <pic:spPr bwMode="auto">
                    <a:xfrm>
                      <a:off x="0" y="0"/>
                      <a:ext cx="2085975" cy="109918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0FD3EA" w14:textId="77777777" w:rsidR="00E432E1" w:rsidRPr="00E432E1" w:rsidRDefault="00E432E1" w:rsidP="00E432E1">
      <w:pPr>
        <w:jc w:val="both"/>
        <w:rPr>
          <w:rFonts w:ascii="Abadi" w:hAnsi="Abadi"/>
          <w:noProof/>
          <w:sz w:val="21"/>
          <w:szCs w:val="21"/>
        </w:rPr>
      </w:pPr>
    </w:p>
    <w:p w14:paraId="054174A1" w14:textId="67F2C629" w:rsidR="00E432E1" w:rsidRPr="00E432E1" w:rsidRDefault="00E432E1" w:rsidP="00E432E1">
      <w:pPr>
        <w:jc w:val="both"/>
        <w:rPr>
          <w:rFonts w:ascii="Abadi" w:hAnsi="Abadi"/>
          <w:b/>
          <w:bCs/>
          <w:sz w:val="21"/>
          <w:szCs w:val="21"/>
        </w:rPr>
      </w:pPr>
    </w:p>
    <w:p w14:paraId="3B23F5F1" w14:textId="091C3D1E" w:rsidR="00E432E1" w:rsidRDefault="00A46D79" w:rsidP="00E432E1">
      <w:pPr>
        <w:jc w:val="both"/>
        <w:rPr>
          <w:rFonts w:ascii="Abadi" w:hAnsi="Abadi"/>
          <w:sz w:val="21"/>
          <w:szCs w:val="21"/>
        </w:rPr>
      </w:pPr>
      <w:r>
        <w:rPr>
          <w:rFonts w:ascii="Abadi" w:hAnsi="Abadi"/>
          <w:sz w:val="21"/>
          <w:szCs w:val="21"/>
        </w:rPr>
        <w:t>-</w:t>
      </w:r>
      <w:r w:rsidR="000F4A56">
        <w:rPr>
          <w:rFonts w:ascii="Abadi" w:hAnsi="Abadi"/>
          <w:sz w:val="21"/>
          <w:szCs w:val="21"/>
        </w:rPr>
        <w:t xml:space="preserve"> </w:t>
      </w:r>
      <w:r w:rsidR="00E432E1" w:rsidRPr="00E432E1">
        <w:rPr>
          <w:rFonts w:ascii="Abadi" w:hAnsi="Abadi"/>
          <w:sz w:val="21"/>
          <w:szCs w:val="21"/>
        </w:rPr>
        <w:t xml:space="preserve">Muchas gracias, Presidenta, buenas tardes, compañeros compañeras, a los medios de comunicación que nos acompañan y a los que nos acompañan en redes sociales. Hoy vamos a hablar acerca de un grupo, iniciativas que se aprobaron en la comisión que preside nuestra compañera Cristina Márquez y vengo a solicitarles su voto a favor. La tragedia de la violencia contra las mujeres no escapa a Guanajuato. Guanajuato se posiciona por tercer año consecutivo cómo la entidad con más homicidios y también un estado donde una mujer es asesinada cada veinticuatro horas en promedio. De enero a marzo, este noventa y dos mujeres murieron de forma violenta nuestro estado, cinco de ellas fueron catalogadas como víctimas de feminicidio y el resto como homicidio doloso. </w:t>
      </w:r>
    </w:p>
    <w:p w14:paraId="03639235" w14:textId="77777777" w:rsidR="000F4A56" w:rsidRPr="00E432E1" w:rsidRDefault="000F4A56" w:rsidP="00E432E1">
      <w:pPr>
        <w:jc w:val="both"/>
        <w:rPr>
          <w:rFonts w:ascii="Abadi" w:hAnsi="Abadi"/>
          <w:sz w:val="21"/>
          <w:szCs w:val="21"/>
        </w:rPr>
      </w:pPr>
    </w:p>
    <w:p w14:paraId="6D9EF3E4" w14:textId="4793B119" w:rsidR="00E432E1" w:rsidRDefault="000F4A56" w:rsidP="00E432E1">
      <w:pPr>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Este delito ha tenido una constante evolución en la perspectiva social, jurídica y legislativa. Y ante este panorama, no podemos ser omisos en revisar de nueva cuenta nuestra legislación penal. Hoy estamos proponiendo hacer las adecuaciones correspondientes a través de la validación de cinco iniciativas que son objeto del presente dictamen y comprenden supuestos que hoy en día no son punibles. Esto está por cambiar. Vamos a catalogar estas agravantes como lo son la violencia sexual de un cadáver o bien el estado de indefensión en el que se encuentra una mujer sola.</w:t>
      </w:r>
    </w:p>
    <w:p w14:paraId="07FDE8B2" w14:textId="77777777" w:rsidR="003029CD" w:rsidRDefault="003029CD" w:rsidP="00E432E1">
      <w:pPr>
        <w:jc w:val="both"/>
        <w:rPr>
          <w:rFonts w:ascii="Abadi" w:hAnsi="Abadi"/>
          <w:sz w:val="21"/>
          <w:szCs w:val="21"/>
        </w:rPr>
      </w:pPr>
    </w:p>
    <w:p w14:paraId="05FF6DC3" w14:textId="39F466AF" w:rsidR="00E432E1" w:rsidRDefault="000F4A56" w:rsidP="00E432E1">
      <w:pPr>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 xml:space="preserve">Reconocemos, sin duda, las aportaciones de cada uno de los participantes a esta mesa, integrantes de todos los partidos y todos los colores. </w:t>
      </w:r>
    </w:p>
    <w:p w14:paraId="70142A7A" w14:textId="77777777" w:rsidR="00A46D79" w:rsidRPr="00E432E1" w:rsidRDefault="00A46D79" w:rsidP="00E432E1">
      <w:pPr>
        <w:jc w:val="both"/>
        <w:rPr>
          <w:rFonts w:ascii="Abadi" w:hAnsi="Abadi"/>
          <w:sz w:val="21"/>
          <w:szCs w:val="21"/>
        </w:rPr>
      </w:pPr>
    </w:p>
    <w:p w14:paraId="3322961A" w14:textId="51AC17F2" w:rsidR="00E432E1" w:rsidRDefault="00A46D79" w:rsidP="00E432E1">
      <w:pPr>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 xml:space="preserve">También hay aportaciones, aunque la diputada no estaba en la mesa, pero la realidad es que este es uno de los temas que hemos encontrado esta coincidencia con diálogo con la construcción, con esfuerzo, escuchando las necesidades. </w:t>
      </w:r>
    </w:p>
    <w:p w14:paraId="1ED40612" w14:textId="77777777" w:rsidR="000F4A56" w:rsidRPr="00E432E1" w:rsidRDefault="000F4A56" w:rsidP="00E432E1">
      <w:pPr>
        <w:jc w:val="both"/>
        <w:rPr>
          <w:rFonts w:ascii="Abadi" w:hAnsi="Abadi"/>
          <w:sz w:val="21"/>
          <w:szCs w:val="21"/>
        </w:rPr>
      </w:pPr>
    </w:p>
    <w:p w14:paraId="0BF687D6" w14:textId="5FA4BDF6" w:rsidR="00A46D79" w:rsidRDefault="000F4A56" w:rsidP="00E432E1">
      <w:pPr>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 xml:space="preserve">Reconocemos, insisto, no sólo la participación y las aportaciones, sino la apertura de los diputados para realizar estas adecuaciones. Lo que buscamos hoy es fortalecer a las instituciones y, en este caso, dar herramientas. Que buscan tratar de reducir la impunidad y garantizar la justicia para todas las personas en Guanajuato. </w:t>
      </w:r>
    </w:p>
    <w:p w14:paraId="4E18745D" w14:textId="77777777" w:rsidR="00A46D79" w:rsidRDefault="00A46D79" w:rsidP="00E432E1">
      <w:pPr>
        <w:jc w:val="both"/>
        <w:rPr>
          <w:rFonts w:ascii="Abadi" w:hAnsi="Abadi"/>
          <w:sz w:val="21"/>
          <w:szCs w:val="21"/>
        </w:rPr>
      </w:pPr>
    </w:p>
    <w:p w14:paraId="50E52921" w14:textId="3D78D589" w:rsidR="00E432E1" w:rsidRDefault="00A46D79" w:rsidP="00E432E1">
      <w:pPr>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Es por eso, compañeras y compañeros que le solicitó que para este dictamen su voto sea a favor. Muchas gracias.</w:t>
      </w:r>
    </w:p>
    <w:p w14:paraId="4C0CDE6B" w14:textId="24BD82CB" w:rsidR="000F4A56" w:rsidRPr="00E432E1" w:rsidRDefault="000F4A56" w:rsidP="00E432E1">
      <w:pPr>
        <w:jc w:val="both"/>
        <w:rPr>
          <w:rFonts w:ascii="Abadi" w:hAnsi="Abadi"/>
          <w:sz w:val="21"/>
          <w:szCs w:val="21"/>
        </w:rPr>
      </w:pPr>
      <w:r>
        <w:rPr>
          <w:rFonts w:ascii="Abadi" w:hAnsi="Abadi"/>
          <w:sz w:val="21"/>
          <w:szCs w:val="21"/>
        </w:rPr>
        <w:t xml:space="preserve"> </w:t>
      </w:r>
    </w:p>
    <w:p w14:paraId="0267ADFC" w14:textId="0139E508" w:rsidR="00E432E1" w:rsidRDefault="00E432E1" w:rsidP="00E432E1">
      <w:pPr>
        <w:jc w:val="both"/>
        <w:rPr>
          <w:rFonts w:ascii="Abadi" w:hAnsi="Abadi"/>
          <w:sz w:val="21"/>
          <w:szCs w:val="21"/>
        </w:rPr>
      </w:pPr>
      <w:r w:rsidRPr="00E432E1">
        <w:rPr>
          <w:rFonts w:ascii="Abadi" w:hAnsi="Abadi"/>
          <w:sz w:val="21"/>
          <w:szCs w:val="21"/>
        </w:rPr>
        <w:t xml:space="preserve"> </w:t>
      </w:r>
      <w:r w:rsidR="000F4A56">
        <w:rPr>
          <w:rFonts w:ascii="Abadi" w:hAnsi="Abadi"/>
          <w:sz w:val="21"/>
          <w:szCs w:val="21"/>
        </w:rPr>
        <w:t xml:space="preserve">- </w:t>
      </w:r>
      <w:r w:rsidRPr="00E432E1">
        <w:rPr>
          <w:rFonts w:ascii="Abadi" w:hAnsi="Abadi"/>
          <w:sz w:val="21"/>
          <w:szCs w:val="21"/>
        </w:rPr>
        <w:t>Es cuánto, Presidenta.</w:t>
      </w:r>
    </w:p>
    <w:p w14:paraId="22A29469" w14:textId="77777777" w:rsidR="000F4A56" w:rsidRPr="00E432E1" w:rsidRDefault="000F4A56" w:rsidP="00E432E1">
      <w:pPr>
        <w:jc w:val="both"/>
        <w:rPr>
          <w:rFonts w:ascii="Abadi" w:hAnsi="Abadi"/>
          <w:sz w:val="21"/>
          <w:szCs w:val="21"/>
        </w:rPr>
      </w:pPr>
    </w:p>
    <w:p w14:paraId="5E8A4B9A" w14:textId="548FF5D1" w:rsidR="00E432E1" w:rsidRPr="00E432E1" w:rsidRDefault="000F4A56" w:rsidP="00163DA6">
      <w:pPr>
        <w:ind w:firstLine="708"/>
        <w:jc w:val="both"/>
        <w:rPr>
          <w:rFonts w:ascii="Abadi" w:hAnsi="Abadi"/>
          <w:sz w:val="21"/>
          <w:szCs w:val="21"/>
        </w:rPr>
      </w:pPr>
      <w:r>
        <w:rPr>
          <w:rFonts w:ascii="Abadi" w:hAnsi="Abadi"/>
          <w:b/>
          <w:bCs/>
          <w:sz w:val="21"/>
          <w:szCs w:val="21"/>
        </w:rPr>
        <w:t xml:space="preserve">- </w:t>
      </w:r>
      <w:r w:rsidR="00E432E1" w:rsidRPr="00E432E1">
        <w:rPr>
          <w:rFonts w:ascii="Abadi" w:hAnsi="Abadi"/>
          <w:b/>
          <w:bCs/>
          <w:sz w:val="21"/>
          <w:szCs w:val="21"/>
        </w:rPr>
        <w:t>La Presidencia.-</w:t>
      </w:r>
      <w:r w:rsidR="00E432E1" w:rsidRPr="00E432E1">
        <w:rPr>
          <w:rFonts w:ascii="Abadi" w:hAnsi="Abadi"/>
          <w:sz w:val="21"/>
          <w:szCs w:val="21"/>
        </w:rPr>
        <w:t xml:space="preserve"> Muchas gracias, diputado, y se concede ahora el uso de la palabra a la diputada María de la Luz Hernández Martínez, hasta por 10 minutos.</w:t>
      </w:r>
    </w:p>
    <w:p w14:paraId="7A832F7B" w14:textId="52245723" w:rsidR="00E432E1" w:rsidRDefault="00E432E1" w:rsidP="00E432E1">
      <w:pPr>
        <w:jc w:val="both"/>
        <w:rPr>
          <w:rFonts w:ascii="Abadi" w:hAnsi="Abadi"/>
          <w:sz w:val="21"/>
          <w:szCs w:val="21"/>
        </w:rPr>
      </w:pPr>
      <w:r w:rsidRPr="00E432E1">
        <w:rPr>
          <w:rFonts w:ascii="Abadi" w:hAnsi="Abadi"/>
          <w:sz w:val="21"/>
          <w:szCs w:val="21"/>
        </w:rPr>
        <w:t xml:space="preserve"> Adelante, diputada. </w:t>
      </w:r>
    </w:p>
    <w:p w14:paraId="572FAF22" w14:textId="77777777" w:rsidR="000F4A56" w:rsidRPr="00E432E1" w:rsidRDefault="000F4A56" w:rsidP="00E432E1">
      <w:pPr>
        <w:jc w:val="both"/>
        <w:rPr>
          <w:rFonts w:ascii="Abadi" w:hAnsi="Abadi"/>
          <w:sz w:val="21"/>
          <w:szCs w:val="21"/>
        </w:rPr>
      </w:pPr>
    </w:p>
    <w:p w14:paraId="15C17F0B" w14:textId="6512855B" w:rsidR="00E432E1" w:rsidRPr="00E432E1" w:rsidRDefault="00E432E1" w:rsidP="00E432E1">
      <w:pPr>
        <w:jc w:val="both"/>
        <w:rPr>
          <w:rFonts w:ascii="Abadi" w:hAnsi="Abadi"/>
          <w:b/>
          <w:bCs/>
          <w:sz w:val="21"/>
          <w:szCs w:val="21"/>
        </w:rPr>
      </w:pPr>
      <w:r w:rsidRPr="00E432E1">
        <w:rPr>
          <w:rFonts w:ascii="Abadi" w:hAnsi="Abadi"/>
          <w:b/>
          <w:bCs/>
          <w:sz w:val="21"/>
          <w:szCs w:val="21"/>
        </w:rPr>
        <w:t xml:space="preserve">(Sube a tribuna la Diputada María de la Luz Hernández Martinez, para hablar a favor del dictamen) </w:t>
      </w:r>
    </w:p>
    <w:p w14:paraId="3B337820" w14:textId="3E49A811" w:rsidR="00E432E1" w:rsidRPr="00E432E1" w:rsidRDefault="00E432E1" w:rsidP="00E432E1">
      <w:pPr>
        <w:jc w:val="both"/>
        <w:rPr>
          <w:rFonts w:ascii="Abadi" w:hAnsi="Abadi"/>
          <w:b/>
          <w:bCs/>
          <w:sz w:val="21"/>
          <w:szCs w:val="21"/>
        </w:rPr>
      </w:pPr>
    </w:p>
    <w:p w14:paraId="40944721" w14:textId="2AC17895" w:rsidR="00E432E1" w:rsidRPr="00E432E1" w:rsidRDefault="000F4A56" w:rsidP="00E432E1">
      <w:pPr>
        <w:jc w:val="both"/>
        <w:rPr>
          <w:rFonts w:ascii="Abadi" w:hAnsi="Abadi"/>
          <w:sz w:val="21"/>
          <w:szCs w:val="21"/>
        </w:rPr>
      </w:pPr>
      <w:r w:rsidRPr="00E432E1">
        <w:rPr>
          <w:rFonts w:ascii="Abadi" w:hAnsi="Abadi"/>
          <w:noProof/>
          <w:sz w:val="21"/>
          <w:szCs w:val="21"/>
        </w:rPr>
        <w:drawing>
          <wp:anchor distT="0" distB="0" distL="114300" distR="114300" simplePos="0" relativeHeight="251693056" behindDoc="1" locked="0" layoutInCell="1" allowOverlap="1" wp14:anchorId="6AE776BF" wp14:editId="620DB9E2">
            <wp:simplePos x="0" y="0"/>
            <wp:positionH relativeFrom="column">
              <wp:posOffset>230206</wp:posOffset>
            </wp:positionH>
            <wp:positionV relativeFrom="paragraph">
              <wp:posOffset>121920</wp:posOffset>
            </wp:positionV>
            <wp:extent cx="1932940" cy="1015365"/>
            <wp:effectExtent l="0" t="114300" r="0" b="794385"/>
            <wp:wrapTight wrapText="bothSides">
              <wp:wrapPolygon edited="0">
                <wp:start x="213" y="-2432"/>
                <wp:lineTo x="0" y="24315"/>
                <wp:lineTo x="426" y="38094"/>
                <wp:lineTo x="2342" y="38094"/>
                <wp:lineTo x="4258" y="37283"/>
                <wp:lineTo x="20011" y="31610"/>
                <wp:lineTo x="20223" y="-2432"/>
                <wp:lineTo x="213" y="-2432"/>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b="6572"/>
                    <a:stretch/>
                  </pic:blipFill>
                  <pic:spPr bwMode="auto">
                    <a:xfrm>
                      <a:off x="0" y="0"/>
                      <a:ext cx="1932940" cy="101536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799F39" w14:textId="77777777" w:rsidR="00E432E1" w:rsidRPr="00E432E1" w:rsidRDefault="00E432E1" w:rsidP="00E432E1">
      <w:pPr>
        <w:jc w:val="both"/>
        <w:rPr>
          <w:rFonts w:ascii="Abadi" w:hAnsi="Abadi"/>
          <w:sz w:val="21"/>
          <w:szCs w:val="21"/>
        </w:rPr>
      </w:pPr>
    </w:p>
    <w:p w14:paraId="3BDE0634" w14:textId="77777777" w:rsidR="00E432E1" w:rsidRPr="00E432E1" w:rsidRDefault="00E432E1" w:rsidP="00E432E1">
      <w:pPr>
        <w:jc w:val="both"/>
        <w:rPr>
          <w:rFonts w:ascii="Abadi" w:hAnsi="Abadi"/>
          <w:sz w:val="21"/>
          <w:szCs w:val="21"/>
        </w:rPr>
      </w:pPr>
    </w:p>
    <w:p w14:paraId="4FA0D115" w14:textId="77777777" w:rsidR="00E432E1" w:rsidRPr="00E432E1" w:rsidRDefault="00E432E1" w:rsidP="00E432E1">
      <w:pPr>
        <w:jc w:val="both"/>
        <w:rPr>
          <w:rFonts w:ascii="Abadi" w:hAnsi="Abadi"/>
          <w:sz w:val="21"/>
          <w:szCs w:val="21"/>
        </w:rPr>
      </w:pPr>
    </w:p>
    <w:p w14:paraId="6781E473" w14:textId="77777777" w:rsidR="00E432E1" w:rsidRPr="00E432E1" w:rsidRDefault="00E432E1" w:rsidP="00E432E1">
      <w:pPr>
        <w:jc w:val="both"/>
        <w:rPr>
          <w:rFonts w:ascii="Abadi" w:hAnsi="Abadi"/>
          <w:sz w:val="21"/>
          <w:szCs w:val="21"/>
        </w:rPr>
      </w:pPr>
    </w:p>
    <w:p w14:paraId="7D25F71A" w14:textId="77777777" w:rsidR="00E432E1" w:rsidRPr="00E432E1" w:rsidRDefault="00E432E1" w:rsidP="00E432E1">
      <w:pPr>
        <w:jc w:val="both"/>
        <w:rPr>
          <w:rFonts w:ascii="Abadi" w:hAnsi="Abadi"/>
          <w:sz w:val="21"/>
          <w:szCs w:val="21"/>
        </w:rPr>
      </w:pPr>
    </w:p>
    <w:p w14:paraId="34858CCB" w14:textId="5B3BAEE4" w:rsidR="00E432E1" w:rsidRDefault="00E432E1" w:rsidP="00E432E1">
      <w:pPr>
        <w:jc w:val="both"/>
        <w:rPr>
          <w:rFonts w:ascii="Abadi" w:hAnsi="Abadi"/>
          <w:sz w:val="21"/>
          <w:szCs w:val="21"/>
        </w:rPr>
      </w:pPr>
    </w:p>
    <w:p w14:paraId="1BB1349A" w14:textId="783BAE44" w:rsidR="000F4A56" w:rsidRDefault="000F4A56" w:rsidP="00E432E1">
      <w:pPr>
        <w:jc w:val="both"/>
        <w:rPr>
          <w:rFonts w:ascii="Abadi" w:hAnsi="Abadi"/>
          <w:sz w:val="21"/>
          <w:szCs w:val="21"/>
        </w:rPr>
      </w:pPr>
    </w:p>
    <w:p w14:paraId="24995AFE" w14:textId="2A449884" w:rsidR="000F4A56" w:rsidRDefault="000F4A56" w:rsidP="00E432E1">
      <w:pPr>
        <w:jc w:val="both"/>
        <w:rPr>
          <w:rFonts w:ascii="Abadi" w:hAnsi="Abadi"/>
          <w:sz w:val="21"/>
          <w:szCs w:val="21"/>
        </w:rPr>
      </w:pPr>
    </w:p>
    <w:p w14:paraId="249BDC6B" w14:textId="0A63ADE5" w:rsidR="000F4A56" w:rsidRDefault="000F4A56" w:rsidP="00E432E1">
      <w:pPr>
        <w:jc w:val="both"/>
        <w:rPr>
          <w:rFonts w:ascii="Abadi" w:hAnsi="Abadi"/>
          <w:sz w:val="21"/>
          <w:szCs w:val="21"/>
        </w:rPr>
      </w:pPr>
    </w:p>
    <w:p w14:paraId="2D12E66F" w14:textId="491F0BA9" w:rsidR="000F4A56" w:rsidRDefault="000F4A56" w:rsidP="00E432E1">
      <w:pPr>
        <w:jc w:val="both"/>
        <w:rPr>
          <w:rFonts w:ascii="Abadi" w:hAnsi="Abadi"/>
          <w:sz w:val="21"/>
          <w:szCs w:val="21"/>
        </w:rPr>
      </w:pPr>
    </w:p>
    <w:p w14:paraId="470F3C58" w14:textId="2E8ACFAA" w:rsidR="000F4A56" w:rsidRDefault="000F4A56" w:rsidP="00E432E1">
      <w:pPr>
        <w:jc w:val="both"/>
        <w:rPr>
          <w:rFonts w:ascii="Abadi" w:hAnsi="Abadi"/>
          <w:sz w:val="21"/>
          <w:szCs w:val="21"/>
        </w:rPr>
      </w:pPr>
    </w:p>
    <w:p w14:paraId="1E4D827A" w14:textId="1E93545F" w:rsidR="000F4A56" w:rsidRDefault="000F4A56" w:rsidP="00E432E1">
      <w:pPr>
        <w:jc w:val="both"/>
        <w:rPr>
          <w:rFonts w:ascii="Abadi" w:hAnsi="Abadi"/>
          <w:sz w:val="21"/>
          <w:szCs w:val="21"/>
        </w:rPr>
      </w:pPr>
    </w:p>
    <w:p w14:paraId="15187005" w14:textId="77777777" w:rsidR="000F4A56" w:rsidRPr="00E432E1" w:rsidRDefault="000F4A56" w:rsidP="00E432E1">
      <w:pPr>
        <w:jc w:val="both"/>
        <w:rPr>
          <w:rFonts w:ascii="Abadi" w:hAnsi="Abadi"/>
          <w:sz w:val="21"/>
          <w:szCs w:val="21"/>
        </w:rPr>
      </w:pPr>
    </w:p>
    <w:p w14:paraId="02771467" w14:textId="43A1012C" w:rsidR="00E432E1" w:rsidRDefault="00E432E1" w:rsidP="00E432E1">
      <w:pPr>
        <w:jc w:val="both"/>
        <w:rPr>
          <w:rFonts w:ascii="Abadi" w:hAnsi="Abadi"/>
          <w:sz w:val="21"/>
          <w:szCs w:val="21"/>
        </w:rPr>
      </w:pPr>
      <w:r w:rsidRPr="00E432E1">
        <w:rPr>
          <w:rFonts w:ascii="Abadi" w:hAnsi="Abadi"/>
          <w:sz w:val="21"/>
          <w:szCs w:val="21"/>
        </w:rPr>
        <w:t xml:space="preserve">- Muy buenas tardes, con el permiso de las diputadas integrantes de la Mesa Directiva, saludo con gusto a mis compañeras y compañeros diputados, a los medios de comunicación que no siguen y a la ciudadanía también. </w:t>
      </w:r>
    </w:p>
    <w:p w14:paraId="12B6C84F" w14:textId="77777777" w:rsidR="000F4A56" w:rsidRPr="00E432E1" w:rsidRDefault="000F4A56" w:rsidP="00E432E1">
      <w:pPr>
        <w:jc w:val="both"/>
        <w:rPr>
          <w:rFonts w:ascii="Abadi" w:hAnsi="Abadi"/>
          <w:sz w:val="21"/>
          <w:szCs w:val="21"/>
        </w:rPr>
      </w:pPr>
    </w:p>
    <w:p w14:paraId="2D565FED" w14:textId="092F3194" w:rsidR="00E432E1" w:rsidRDefault="00E432E1" w:rsidP="00E432E1">
      <w:pPr>
        <w:jc w:val="both"/>
        <w:rPr>
          <w:rFonts w:ascii="Abadi" w:hAnsi="Abadi"/>
          <w:sz w:val="21"/>
          <w:szCs w:val="21"/>
        </w:rPr>
      </w:pPr>
      <w:r w:rsidRPr="00E432E1">
        <w:rPr>
          <w:rFonts w:ascii="Abadi" w:hAnsi="Abadi"/>
          <w:sz w:val="21"/>
          <w:szCs w:val="21"/>
        </w:rPr>
        <w:t xml:space="preserve">- Un gusto, el feminicidio no puede entenderse solo como un asesinato, sino como la máxima expresión de violencia hacia una mujer en la que el sometimiento a los cuerpos de las mujeres y extinción de sus vidas tiene por objetivo mantener la discriminación y la subordinación. </w:t>
      </w:r>
    </w:p>
    <w:p w14:paraId="728DBB0D" w14:textId="77777777" w:rsidR="000F4A56" w:rsidRPr="00E432E1" w:rsidRDefault="000F4A56" w:rsidP="00E432E1">
      <w:pPr>
        <w:jc w:val="both"/>
        <w:rPr>
          <w:rFonts w:ascii="Abadi" w:hAnsi="Abadi"/>
          <w:sz w:val="21"/>
          <w:szCs w:val="21"/>
        </w:rPr>
      </w:pPr>
    </w:p>
    <w:p w14:paraId="65AADCE4" w14:textId="424DDC15" w:rsidR="00E432E1" w:rsidRDefault="00E432E1" w:rsidP="00E432E1">
      <w:pPr>
        <w:jc w:val="both"/>
        <w:rPr>
          <w:rFonts w:ascii="Abadi" w:hAnsi="Abadi"/>
          <w:sz w:val="21"/>
          <w:szCs w:val="21"/>
        </w:rPr>
      </w:pPr>
      <w:r w:rsidRPr="00E432E1">
        <w:rPr>
          <w:rFonts w:ascii="Abadi" w:hAnsi="Abadi"/>
          <w:sz w:val="21"/>
          <w:szCs w:val="21"/>
        </w:rPr>
        <w:t>- Así, ante la tragedia de la violencia feminicida, debemos responder con una valentía que se traduzca en resultados concretos por cambiar las cosas. Pues lo repetimos con toda contundencia.</w:t>
      </w:r>
    </w:p>
    <w:p w14:paraId="4000DCEF" w14:textId="77777777" w:rsidR="000F4A56" w:rsidRPr="00E432E1" w:rsidRDefault="000F4A56" w:rsidP="00E432E1">
      <w:pPr>
        <w:jc w:val="both"/>
        <w:rPr>
          <w:rFonts w:ascii="Abadi" w:hAnsi="Abadi"/>
          <w:sz w:val="21"/>
          <w:szCs w:val="21"/>
        </w:rPr>
      </w:pPr>
    </w:p>
    <w:p w14:paraId="66E906D8" w14:textId="56877C13" w:rsidR="00E432E1" w:rsidRDefault="00A46D79" w:rsidP="00E432E1">
      <w:pPr>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 xml:space="preserve">Cada caso de una mujer asesinada, de una mujer violentada, de niñas y mujeres que son asesinadas, de adolescentes, es un nuevo fracaso, una nueva afrenta. A esta afrenta hemos decidido responder con una acción legislativa, con una acción que de fin a toda manifestación de violencia Y a está brutal manifestación de una sociedad patriarcal. </w:t>
      </w:r>
    </w:p>
    <w:p w14:paraId="3990C74E" w14:textId="77777777" w:rsidR="000F4A56" w:rsidRPr="00E432E1" w:rsidRDefault="000F4A56" w:rsidP="00E432E1">
      <w:pPr>
        <w:jc w:val="both"/>
        <w:rPr>
          <w:rFonts w:ascii="Abadi" w:hAnsi="Abadi"/>
          <w:sz w:val="21"/>
          <w:szCs w:val="21"/>
        </w:rPr>
      </w:pPr>
    </w:p>
    <w:p w14:paraId="14B87B84" w14:textId="023ACDB0" w:rsidR="00E432E1" w:rsidRDefault="00E432E1" w:rsidP="00E432E1">
      <w:pPr>
        <w:jc w:val="both"/>
        <w:rPr>
          <w:rFonts w:ascii="Abadi" w:hAnsi="Abadi"/>
          <w:sz w:val="21"/>
          <w:szCs w:val="21"/>
        </w:rPr>
      </w:pPr>
      <w:r w:rsidRPr="00E432E1">
        <w:rPr>
          <w:rFonts w:ascii="Abadi" w:hAnsi="Abadi"/>
          <w:sz w:val="21"/>
          <w:szCs w:val="21"/>
        </w:rPr>
        <w:t xml:space="preserve">- El dictamen que hoy se somete a votación pretende incrementar la pena en el delito del feminicidio para los casos en que la víctima sea menor de edad. Pues en Acción Nacional sabemos que nuestra niñez es el tesoro más grande. Sabemos que la niñez forma parte fundamental para el crecimiento y construcción de una mejor sociedad. </w:t>
      </w:r>
    </w:p>
    <w:p w14:paraId="24F17DF4" w14:textId="77777777" w:rsidR="000F4A56" w:rsidRPr="00E432E1" w:rsidRDefault="000F4A56" w:rsidP="00E432E1">
      <w:pPr>
        <w:jc w:val="both"/>
        <w:rPr>
          <w:rFonts w:ascii="Abadi" w:hAnsi="Abadi"/>
          <w:sz w:val="21"/>
          <w:szCs w:val="21"/>
        </w:rPr>
      </w:pPr>
    </w:p>
    <w:p w14:paraId="046731C7" w14:textId="5F79C924" w:rsidR="00E432E1" w:rsidRDefault="00E432E1" w:rsidP="00E432E1">
      <w:pPr>
        <w:jc w:val="both"/>
        <w:rPr>
          <w:rFonts w:ascii="Abadi" w:hAnsi="Abadi"/>
          <w:sz w:val="21"/>
          <w:szCs w:val="21"/>
        </w:rPr>
      </w:pPr>
      <w:r w:rsidRPr="00E432E1">
        <w:rPr>
          <w:rFonts w:ascii="Abadi" w:hAnsi="Abadi"/>
          <w:sz w:val="21"/>
          <w:szCs w:val="21"/>
        </w:rPr>
        <w:t xml:space="preserve">- Hoy, desde este Congreso del Estado tenemos la oportunidad de asegurarnos que la próxima generación de niñas no tenga que vivir con miedo, porque no hicimos nada, ¡ya no más! Esto debe cambiar aquí y ahora, con nosotros y por el bien de todas y todos, por nuestras niñas, por su futuro y por la erradicación de la violencia feminicida. </w:t>
      </w:r>
    </w:p>
    <w:p w14:paraId="5E265034" w14:textId="77777777" w:rsidR="000F4A56" w:rsidRPr="00E432E1" w:rsidRDefault="000F4A56" w:rsidP="00E432E1">
      <w:pPr>
        <w:jc w:val="both"/>
        <w:rPr>
          <w:rFonts w:ascii="Abadi" w:hAnsi="Abadi"/>
          <w:sz w:val="21"/>
          <w:szCs w:val="21"/>
        </w:rPr>
      </w:pPr>
    </w:p>
    <w:p w14:paraId="05ED42F6" w14:textId="7EDFCAD4" w:rsidR="00E432E1" w:rsidRDefault="00E432E1" w:rsidP="00E432E1">
      <w:pPr>
        <w:jc w:val="both"/>
        <w:rPr>
          <w:rFonts w:ascii="Abadi" w:hAnsi="Abadi"/>
          <w:sz w:val="21"/>
          <w:szCs w:val="21"/>
        </w:rPr>
      </w:pPr>
      <w:r w:rsidRPr="00E432E1">
        <w:rPr>
          <w:rFonts w:ascii="Abadi" w:hAnsi="Abadi"/>
          <w:sz w:val="21"/>
          <w:szCs w:val="21"/>
        </w:rPr>
        <w:t xml:space="preserve">- Es por eso compañeros que les pido su voto a favor del presente dictamen. </w:t>
      </w:r>
    </w:p>
    <w:p w14:paraId="6A753574" w14:textId="77777777" w:rsidR="000F4A56" w:rsidRPr="00E432E1" w:rsidRDefault="000F4A56" w:rsidP="00E432E1">
      <w:pPr>
        <w:jc w:val="both"/>
        <w:rPr>
          <w:rFonts w:ascii="Abadi" w:hAnsi="Abadi"/>
          <w:sz w:val="21"/>
          <w:szCs w:val="21"/>
        </w:rPr>
      </w:pPr>
    </w:p>
    <w:p w14:paraId="7A2E9C86" w14:textId="2D908885" w:rsidR="00E432E1" w:rsidRDefault="00E432E1" w:rsidP="00E432E1">
      <w:pPr>
        <w:jc w:val="both"/>
        <w:rPr>
          <w:rFonts w:ascii="Abadi" w:hAnsi="Abadi"/>
          <w:sz w:val="21"/>
          <w:szCs w:val="21"/>
        </w:rPr>
      </w:pPr>
      <w:r w:rsidRPr="00E432E1">
        <w:rPr>
          <w:rFonts w:ascii="Abadi" w:hAnsi="Abadi"/>
          <w:sz w:val="21"/>
          <w:szCs w:val="21"/>
        </w:rPr>
        <w:t xml:space="preserve">- Es cuánto diputada Presidenta. </w:t>
      </w:r>
    </w:p>
    <w:p w14:paraId="1CD226F1" w14:textId="77777777" w:rsidR="000F4A56" w:rsidRPr="00E432E1" w:rsidRDefault="000F4A56" w:rsidP="00E432E1">
      <w:pPr>
        <w:jc w:val="both"/>
        <w:rPr>
          <w:rFonts w:ascii="Abadi" w:hAnsi="Abadi"/>
          <w:sz w:val="21"/>
          <w:szCs w:val="21"/>
        </w:rPr>
      </w:pPr>
    </w:p>
    <w:p w14:paraId="6937B39E" w14:textId="690D3F71" w:rsidR="00E432E1" w:rsidRDefault="000F4A56" w:rsidP="00163DA6">
      <w:pPr>
        <w:ind w:firstLine="708"/>
        <w:jc w:val="both"/>
        <w:rPr>
          <w:rFonts w:ascii="Abadi" w:hAnsi="Abadi"/>
          <w:sz w:val="21"/>
          <w:szCs w:val="21"/>
        </w:rPr>
      </w:pPr>
      <w:r>
        <w:rPr>
          <w:rFonts w:ascii="Abadi" w:hAnsi="Abadi"/>
          <w:b/>
          <w:bCs/>
          <w:sz w:val="21"/>
          <w:szCs w:val="21"/>
        </w:rPr>
        <w:t xml:space="preserve">- </w:t>
      </w:r>
      <w:r w:rsidR="00E432E1" w:rsidRPr="00E432E1">
        <w:rPr>
          <w:rFonts w:ascii="Abadi" w:hAnsi="Abadi"/>
          <w:b/>
          <w:bCs/>
          <w:sz w:val="21"/>
          <w:szCs w:val="21"/>
        </w:rPr>
        <w:t>La Presidencia.-</w:t>
      </w:r>
      <w:r w:rsidR="00E432E1" w:rsidRPr="00E432E1">
        <w:rPr>
          <w:rFonts w:ascii="Abadi" w:hAnsi="Abadi"/>
          <w:sz w:val="21"/>
          <w:szCs w:val="21"/>
        </w:rPr>
        <w:t xml:space="preserve"> Muchas gracias, diputada. </w:t>
      </w:r>
    </w:p>
    <w:p w14:paraId="55FBBAE4" w14:textId="77777777" w:rsidR="000F4A56" w:rsidRDefault="000F4A56" w:rsidP="00E432E1">
      <w:pPr>
        <w:jc w:val="both"/>
        <w:rPr>
          <w:rFonts w:ascii="Abadi" w:hAnsi="Abadi"/>
          <w:sz w:val="21"/>
          <w:szCs w:val="21"/>
        </w:rPr>
      </w:pPr>
    </w:p>
    <w:p w14:paraId="18F2A6D1" w14:textId="3A7430F8" w:rsidR="00E432E1" w:rsidRDefault="000F4A56" w:rsidP="00163DA6">
      <w:pPr>
        <w:ind w:firstLine="708"/>
        <w:jc w:val="both"/>
        <w:rPr>
          <w:rFonts w:ascii="Abadi" w:hAnsi="Abadi"/>
          <w:sz w:val="21"/>
          <w:szCs w:val="21"/>
        </w:rPr>
      </w:pPr>
      <w:r>
        <w:rPr>
          <w:rFonts w:ascii="Abadi" w:hAnsi="Abadi"/>
          <w:sz w:val="21"/>
          <w:szCs w:val="21"/>
        </w:rPr>
        <w:t>-</w:t>
      </w:r>
      <w:r w:rsidR="00E432E1" w:rsidRPr="00E432E1">
        <w:rPr>
          <w:rFonts w:ascii="Abadi" w:hAnsi="Abadi"/>
          <w:sz w:val="21"/>
          <w:szCs w:val="21"/>
        </w:rPr>
        <w:t>Y se le otorg</w:t>
      </w:r>
      <w:r>
        <w:rPr>
          <w:rFonts w:ascii="Abadi" w:hAnsi="Abadi"/>
          <w:sz w:val="21"/>
          <w:szCs w:val="21"/>
        </w:rPr>
        <w:t>a</w:t>
      </w:r>
      <w:r w:rsidR="00E432E1" w:rsidRPr="00E432E1">
        <w:rPr>
          <w:rFonts w:ascii="Abadi" w:hAnsi="Abadi"/>
          <w:sz w:val="21"/>
          <w:szCs w:val="21"/>
        </w:rPr>
        <w:t xml:space="preserve"> el uso de la voz a la diputada Angélica Casillas Martínez, hasta por diez minutos.</w:t>
      </w:r>
    </w:p>
    <w:p w14:paraId="19F19386" w14:textId="77777777" w:rsidR="000F4A56" w:rsidRPr="00E432E1" w:rsidRDefault="000F4A56" w:rsidP="00E432E1">
      <w:pPr>
        <w:jc w:val="both"/>
        <w:rPr>
          <w:rFonts w:ascii="Abadi" w:hAnsi="Abadi"/>
          <w:sz w:val="21"/>
          <w:szCs w:val="21"/>
        </w:rPr>
      </w:pPr>
    </w:p>
    <w:p w14:paraId="2FF6616A" w14:textId="648E93F8" w:rsidR="00E432E1" w:rsidRPr="00E432E1" w:rsidRDefault="00E432E1" w:rsidP="00163DA6">
      <w:pPr>
        <w:ind w:firstLine="708"/>
        <w:jc w:val="both"/>
        <w:rPr>
          <w:rFonts w:ascii="Abadi" w:hAnsi="Abadi"/>
          <w:sz w:val="21"/>
          <w:szCs w:val="21"/>
        </w:rPr>
      </w:pPr>
      <w:r w:rsidRPr="00E432E1">
        <w:rPr>
          <w:rFonts w:ascii="Abadi" w:hAnsi="Abadi"/>
          <w:sz w:val="21"/>
          <w:szCs w:val="21"/>
        </w:rPr>
        <w:t xml:space="preserve"> </w:t>
      </w:r>
      <w:r w:rsidR="000F4A56">
        <w:rPr>
          <w:rFonts w:ascii="Abadi" w:hAnsi="Abadi"/>
          <w:sz w:val="21"/>
          <w:szCs w:val="21"/>
        </w:rPr>
        <w:t xml:space="preserve">- </w:t>
      </w:r>
      <w:r w:rsidRPr="00E432E1">
        <w:rPr>
          <w:rFonts w:ascii="Abadi" w:hAnsi="Abadi"/>
          <w:sz w:val="21"/>
          <w:szCs w:val="21"/>
        </w:rPr>
        <w:t xml:space="preserve">Adelante, diputada. </w:t>
      </w:r>
    </w:p>
    <w:p w14:paraId="1A03EFE9" w14:textId="77777777" w:rsidR="00E432E1" w:rsidRPr="00E432E1" w:rsidRDefault="00E432E1" w:rsidP="00E432E1">
      <w:pPr>
        <w:jc w:val="both"/>
        <w:rPr>
          <w:rFonts w:ascii="Abadi" w:hAnsi="Abadi"/>
          <w:sz w:val="21"/>
          <w:szCs w:val="21"/>
        </w:rPr>
      </w:pPr>
    </w:p>
    <w:p w14:paraId="24176D4D" w14:textId="77777777" w:rsidR="00E432E1" w:rsidRPr="00E432E1" w:rsidRDefault="00E432E1" w:rsidP="00E432E1">
      <w:pPr>
        <w:jc w:val="both"/>
        <w:rPr>
          <w:rFonts w:ascii="Abadi" w:hAnsi="Abadi"/>
          <w:b/>
          <w:bCs/>
          <w:sz w:val="21"/>
          <w:szCs w:val="21"/>
        </w:rPr>
      </w:pPr>
      <w:r w:rsidRPr="00E432E1">
        <w:rPr>
          <w:rFonts w:ascii="Abadi" w:hAnsi="Abadi"/>
          <w:b/>
          <w:bCs/>
          <w:sz w:val="21"/>
          <w:szCs w:val="21"/>
        </w:rPr>
        <w:t xml:space="preserve">(Sube a tribuna la Diputada Angélica Casillas Martínez, para hablar a favor del dictamen) </w:t>
      </w:r>
    </w:p>
    <w:p w14:paraId="31C8EA88" w14:textId="77777777" w:rsidR="00E432E1" w:rsidRPr="00E432E1" w:rsidRDefault="00E432E1" w:rsidP="00E432E1">
      <w:pPr>
        <w:jc w:val="both"/>
        <w:rPr>
          <w:rFonts w:ascii="Abadi" w:hAnsi="Abadi"/>
          <w:b/>
          <w:bCs/>
          <w:sz w:val="21"/>
          <w:szCs w:val="21"/>
        </w:rPr>
      </w:pPr>
    </w:p>
    <w:p w14:paraId="03DA28CB" w14:textId="22379A69" w:rsidR="00E432E1" w:rsidRPr="00E432E1" w:rsidRDefault="00E432E1" w:rsidP="00E432E1">
      <w:pPr>
        <w:jc w:val="both"/>
        <w:rPr>
          <w:rFonts w:ascii="Abadi" w:hAnsi="Abadi"/>
          <w:b/>
          <w:bCs/>
          <w:sz w:val="21"/>
          <w:szCs w:val="21"/>
        </w:rPr>
      </w:pPr>
    </w:p>
    <w:p w14:paraId="635BAEDD" w14:textId="4A2B6AFC" w:rsidR="00E432E1" w:rsidRDefault="004374CA" w:rsidP="00E432E1">
      <w:pPr>
        <w:jc w:val="both"/>
        <w:rPr>
          <w:rFonts w:ascii="Abadi" w:hAnsi="Abadi"/>
          <w:b/>
          <w:bCs/>
          <w:sz w:val="21"/>
          <w:szCs w:val="21"/>
        </w:rPr>
      </w:pPr>
      <w:r w:rsidRPr="00E432E1">
        <w:rPr>
          <w:rFonts w:ascii="Abadi" w:hAnsi="Abadi"/>
          <w:noProof/>
          <w:sz w:val="21"/>
          <w:szCs w:val="21"/>
        </w:rPr>
        <w:drawing>
          <wp:anchor distT="0" distB="0" distL="114300" distR="114300" simplePos="0" relativeHeight="251697152" behindDoc="1" locked="0" layoutInCell="1" allowOverlap="1" wp14:anchorId="02C71AD5" wp14:editId="2A14E2EC">
            <wp:simplePos x="0" y="0"/>
            <wp:positionH relativeFrom="column">
              <wp:posOffset>387553</wp:posOffset>
            </wp:positionH>
            <wp:positionV relativeFrom="paragraph">
              <wp:posOffset>64039</wp:posOffset>
            </wp:positionV>
            <wp:extent cx="1804086" cy="955982"/>
            <wp:effectExtent l="0" t="133350" r="0" b="758825"/>
            <wp:wrapTight wrapText="bothSides">
              <wp:wrapPolygon edited="0">
                <wp:start x="12545" y="-3014"/>
                <wp:lineTo x="0" y="-2153"/>
                <wp:lineTo x="0" y="22389"/>
                <wp:lineTo x="456" y="38320"/>
                <wp:lineTo x="1369" y="38320"/>
                <wp:lineTo x="1597" y="37459"/>
                <wp:lineTo x="19844" y="32292"/>
                <wp:lineTo x="20072" y="4736"/>
                <wp:lineTo x="19616" y="-1722"/>
                <wp:lineTo x="19616" y="-3014"/>
                <wp:lineTo x="12545" y="-3014"/>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b="5788"/>
                    <a:stretch/>
                  </pic:blipFill>
                  <pic:spPr bwMode="auto">
                    <a:xfrm>
                      <a:off x="0" y="0"/>
                      <a:ext cx="1804086" cy="955982"/>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70CC2395" w14:textId="627DF91F" w:rsidR="004374CA" w:rsidRDefault="004374CA" w:rsidP="00E432E1">
      <w:pPr>
        <w:jc w:val="both"/>
        <w:rPr>
          <w:rFonts w:ascii="Abadi" w:hAnsi="Abadi"/>
          <w:b/>
          <w:bCs/>
          <w:sz w:val="21"/>
          <w:szCs w:val="21"/>
        </w:rPr>
      </w:pPr>
    </w:p>
    <w:p w14:paraId="15CB0CFB" w14:textId="29BDB02F" w:rsidR="004374CA" w:rsidRDefault="004374CA" w:rsidP="00E432E1">
      <w:pPr>
        <w:jc w:val="both"/>
        <w:rPr>
          <w:rFonts w:ascii="Abadi" w:hAnsi="Abadi"/>
          <w:b/>
          <w:bCs/>
          <w:sz w:val="21"/>
          <w:szCs w:val="21"/>
        </w:rPr>
      </w:pPr>
    </w:p>
    <w:p w14:paraId="6D1CBAFC" w14:textId="023E536E" w:rsidR="004374CA" w:rsidRDefault="004374CA" w:rsidP="00E432E1">
      <w:pPr>
        <w:jc w:val="both"/>
        <w:rPr>
          <w:rFonts w:ascii="Abadi" w:hAnsi="Abadi"/>
          <w:b/>
          <w:bCs/>
          <w:sz w:val="21"/>
          <w:szCs w:val="21"/>
        </w:rPr>
      </w:pPr>
    </w:p>
    <w:p w14:paraId="2C135C6F" w14:textId="7DCDCE03" w:rsidR="004374CA" w:rsidRDefault="004374CA" w:rsidP="00E432E1">
      <w:pPr>
        <w:jc w:val="both"/>
        <w:rPr>
          <w:rFonts w:ascii="Abadi" w:hAnsi="Abadi"/>
          <w:b/>
          <w:bCs/>
          <w:sz w:val="21"/>
          <w:szCs w:val="21"/>
        </w:rPr>
      </w:pPr>
    </w:p>
    <w:p w14:paraId="5B654911" w14:textId="57B0F44E" w:rsidR="004374CA" w:rsidRDefault="004374CA" w:rsidP="00E432E1">
      <w:pPr>
        <w:jc w:val="both"/>
        <w:rPr>
          <w:rFonts w:ascii="Abadi" w:hAnsi="Abadi"/>
          <w:b/>
          <w:bCs/>
          <w:sz w:val="21"/>
          <w:szCs w:val="21"/>
        </w:rPr>
      </w:pPr>
    </w:p>
    <w:p w14:paraId="3A993A17" w14:textId="23565175" w:rsidR="004374CA" w:rsidRDefault="004374CA" w:rsidP="00E432E1">
      <w:pPr>
        <w:jc w:val="both"/>
        <w:rPr>
          <w:rFonts w:ascii="Abadi" w:hAnsi="Abadi"/>
          <w:b/>
          <w:bCs/>
          <w:sz w:val="21"/>
          <w:szCs w:val="21"/>
        </w:rPr>
      </w:pPr>
    </w:p>
    <w:p w14:paraId="417FCBD2" w14:textId="5EBB1AB8" w:rsidR="004374CA" w:rsidRDefault="004374CA" w:rsidP="00E432E1">
      <w:pPr>
        <w:jc w:val="both"/>
        <w:rPr>
          <w:rFonts w:ascii="Abadi" w:hAnsi="Abadi"/>
          <w:b/>
          <w:bCs/>
          <w:sz w:val="21"/>
          <w:szCs w:val="21"/>
        </w:rPr>
      </w:pPr>
    </w:p>
    <w:p w14:paraId="4AFCE01B" w14:textId="622E4EC9" w:rsidR="004374CA" w:rsidRDefault="004374CA" w:rsidP="00E432E1">
      <w:pPr>
        <w:jc w:val="both"/>
        <w:rPr>
          <w:rFonts w:ascii="Abadi" w:hAnsi="Abadi"/>
          <w:b/>
          <w:bCs/>
          <w:sz w:val="21"/>
          <w:szCs w:val="21"/>
        </w:rPr>
      </w:pPr>
    </w:p>
    <w:p w14:paraId="25917333" w14:textId="57FD40DF" w:rsidR="004374CA" w:rsidRDefault="004374CA" w:rsidP="00E432E1">
      <w:pPr>
        <w:jc w:val="both"/>
        <w:rPr>
          <w:rFonts w:ascii="Abadi" w:hAnsi="Abadi"/>
          <w:b/>
          <w:bCs/>
          <w:sz w:val="21"/>
          <w:szCs w:val="21"/>
        </w:rPr>
      </w:pPr>
    </w:p>
    <w:p w14:paraId="29AE8095" w14:textId="2687983E" w:rsidR="004374CA" w:rsidRDefault="004374CA" w:rsidP="00E432E1">
      <w:pPr>
        <w:jc w:val="both"/>
        <w:rPr>
          <w:rFonts w:ascii="Abadi" w:hAnsi="Abadi"/>
          <w:b/>
          <w:bCs/>
          <w:sz w:val="21"/>
          <w:szCs w:val="21"/>
        </w:rPr>
      </w:pPr>
    </w:p>
    <w:p w14:paraId="3AE83A45" w14:textId="77777777" w:rsidR="004374CA" w:rsidRPr="00E432E1" w:rsidRDefault="004374CA" w:rsidP="00E432E1">
      <w:pPr>
        <w:jc w:val="both"/>
        <w:rPr>
          <w:rFonts w:ascii="Abadi" w:hAnsi="Abadi"/>
          <w:b/>
          <w:bCs/>
          <w:sz w:val="21"/>
          <w:szCs w:val="21"/>
        </w:rPr>
      </w:pPr>
    </w:p>
    <w:p w14:paraId="4F503A30" w14:textId="77777777" w:rsidR="00E432E1" w:rsidRPr="00E432E1" w:rsidRDefault="00E432E1" w:rsidP="00E432E1">
      <w:pPr>
        <w:jc w:val="both"/>
        <w:rPr>
          <w:rFonts w:ascii="Abadi" w:hAnsi="Abadi"/>
          <w:b/>
          <w:bCs/>
          <w:sz w:val="21"/>
          <w:szCs w:val="21"/>
        </w:rPr>
      </w:pPr>
    </w:p>
    <w:p w14:paraId="53D51E79" w14:textId="7EB43244" w:rsidR="00E432E1" w:rsidRDefault="00E432E1" w:rsidP="00E432E1">
      <w:pPr>
        <w:jc w:val="both"/>
        <w:rPr>
          <w:rFonts w:ascii="Abadi" w:hAnsi="Abadi"/>
          <w:sz w:val="21"/>
          <w:szCs w:val="21"/>
        </w:rPr>
      </w:pPr>
      <w:r w:rsidRPr="00E432E1">
        <w:rPr>
          <w:rFonts w:ascii="Abadi" w:hAnsi="Abadi"/>
          <w:sz w:val="21"/>
          <w:szCs w:val="21"/>
        </w:rPr>
        <w:t>- Con el permiso de las diputadas integrantes de la Mesa Directiva, estimadas compañeras y compañeros, diputados, representantes de los medios de comunicación y ciudadanos que nos acompañan y nos siguen a través de los medios digitales.</w:t>
      </w:r>
    </w:p>
    <w:p w14:paraId="61F94A0B" w14:textId="77777777" w:rsidR="004374CA" w:rsidRPr="00E432E1" w:rsidRDefault="004374CA" w:rsidP="00E432E1">
      <w:pPr>
        <w:jc w:val="both"/>
        <w:rPr>
          <w:rFonts w:ascii="Abadi" w:hAnsi="Abadi"/>
          <w:sz w:val="21"/>
          <w:szCs w:val="21"/>
        </w:rPr>
      </w:pPr>
    </w:p>
    <w:p w14:paraId="31FEFC66" w14:textId="339A8534" w:rsidR="00E432E1" w:rsidRDefault="00E432E1" w:rsidP="00E432E1">
      <w:pPr>
        <w:jc w:val="both"/>
        <w:rPr>
          <w:rFonts w:ascii="Abadi" w:hAnsi="Abadi"/>
          <w:sz w:val="21"/>
          <w:szCs w:val="21"/>
        </w:rPr>
      </w:pPr>
      <w:r w:rsidRPr="00E432E1">
        <w:rPr>
          <w:rFonts w:ascii="Abadi" w:hAnsi="Abadi"/>
          <w:sz w:val="21"/>
          <w:szCs w:val="21"/>
        </w:rPr>
        <w:t xml:space="preserve">- Las mujeres de todo México, enfrentamos una crisis de inseguridad que compartimos con los hombres de nuestro país, pero que conforma un panorama especialmente complejo e indignante. Cuando a esa criminalidad se suman los fenómenos específicos de violencia de género que las mujeres sufrimos en el hogar, en la escuela, en las calles y en la política, las y los diputados de Acción Nacional asumimos este llamado de la sociedad que está harta de la angustia permanente de la violencia, de la incertidumbre y de la inmovilidad de una estructura institucional y cultural, que en todo el país pareciera avanzar a paso demasiado lenta, cuando lo que no surge son resultados. </w:t>
      </w:r>
    </w:p>
    <w:p w14:paraId="49F4E35F" w14:textId="77777777" w:rsidR="004374CA" w:rsidRPr="00E432E1" w:rsidRDefault="004374CA" w:rsidP="00E432E1">
      <w:pPr>
        <w:jc w:val="both"/>
        <w:rPr>
          <w:rFonts w:ascii="Abadi" w:hAnsi="Abadi"/>
          <w:sz w:val="21"/>
          <w:szCs w:val="21"/>
        </w:rPr>
      </w:pPr>
    </w:p>
    <w:p w14:paraId="1E2592DF" w14:textId="52C3984A" w:rsidR="00E432E1" w:rsidRDefault="00E432E1" w:rsidP="00E432E1">
      <w:pPr>
        <w:jc w:val="both"/>
        <w:rPr>
          <w:rFonts w:ascii="Abadi" w:hAnsi="Abadi"/>
          <w:sz w:val="21"/>
          <w:szCs w:val="21"/>
        </w:rPr>
      </w:pPr>
      <w:r w:rsidRPr="00E432E1">
        <w:rPr>
          <w:rFonts w:ascii="Abadi" w:hAnsi="Abadi"/>
          <w:sz w:val="21"/>
          <w:szCs w:val="21"/>
        </w:rPr>
        <w:t xml:space="preserve">- Esta realidad se vuelve particularmente dolorosa en el caso del feminicidio, una agresión que destruye la vida de sus víctimas rasga el alma de las familias y representa un oprobio intolerable para toda la sociedad. </w:t>
      </w:r>
    </w:p>
    <w:p w14:paraId="2280493C" w14:textId="4002E5EC" w:rsidR="00E432E1" w:rsidRDefault="00E432E1" w:rsidP="00E432E1">
      <w:pPr>
        <w:jc w:val="both"/>
        <w:rPr>
          <w:rFonts w:ascii="Abadi" w:hAnsi="Abadi"/>
          <w:sz w:val="21"/>
          <w:szCs w:val="21"/>
        </w:rPr>
      </w:pPr>
      <w:r w:rsidRPr="00E432E1">
        <w:rPr>
          <w:rFonts w:ascii="Abadi" w:hAnsi="Abadi"/>
          <w:sz w:val="21"/>
          <w:szCs w:val="21"/>
        </w:rPr>
        <w:t xml:space="preserve">- Así, con este compromiso presentamos la iniciativa, que establece como uno de los supuestos para acreditar el tipo penal de femicidio que previamente la víctima haya sufrido violencia en el ámbito político. </w:t>
      </w:r>
    </w:p>
    <w:p w14:paraId="4A3B711D" w14:textId="77777777" w:rsidR="00D156E4" w:rsidRPr="00E432E1" w:rsidRDefault="00D156E4" w:rsidP="00E432E1">
      <w:pPr>
        <w:jc w:val="both"/>
        <w:rPr>
          <w:rFonts w:ascii="Abadi" w:hAnsi="Abadi"/>
          <w:sz w:val="21"/>
          <w:szCs w:val="21"/>
        </w:rPr>
      </w:pPr>
    </w:p>
    <w:p w14:paraId="2E863C91" w14:textId="4D085E93" w:rsidR="00E432E1" w:rsidRDefault="00E432E1" w:rsidP="00E432E1">
      <w:pPr>
        <w:jc w:val="both"/>
        <w:rPr>
          <w:rFonts w:ascii="Abadi" w:hAnsi="Abadi"/>
          <w:sz w:val="21"/>
          <w:szCs w:val="21"/>
        </w:rPr>
      </w:pPr>
      <w:r w:rsidRPr="00E432E1">
        <w:rPr>
          <w:rFonts w:ascii="Abadi" w:hAnsi="Abadi"/>
          <w:sz w:val="21"/>
          <w:szCs w:val="21"/>
        </w:rPr>
        <w:t xml:space="preserve">- Estoy convencida que al día de hoy se tienen avances significativos en cuanto a los derechos políticos y electorales de las mujeres. Sin embargo, todavía queda camino por recorrer. Las agresiones de carácter psicológico, moral, emocional y físico llevadas al extremo del feminicidio, fundamentalmente ejecutadas por parte de hombres, rebelan la resistencia subsistente aceptar de manera libre y espontánea el reconocimiento de tales derechos. </w:t>
      </w:r>
    </w:p>
    <w:p w14:paraId="55210BF6" w14:textId="77777777" w:rsidR="004374CA" w:rsidRPr="00E432E1" w:rsidRDefault="004374CA" w:rsidP="00E432E1">
      <w:pPr>
        <w:jc w:val="both"/>
        <w:rPr>
          <w:rFonts w:ascii="Abadi" w:hAnsi="Abadi"/>
          <w:sz w:val="21"/>
          <w:szCs w:val="21"/>
        </w:rPr>
      </w:pPr>
    </w:p>
    <w:p w14:paraId="6ECE623C" w14:textId="6FD4BF0C" w:rsidR="00E432E1" w:rsidRDefault="00E432E1" w:rsidP="00E432E1">
      <w:pPr>
        <w:jc w:val="both"/>
        <w:rPr>
          <w:rFonts w:ascii="Abadi" w:hAnsi="Abadi"/>
          <w:sz w:val="21"/>
          <w:szCs w:val="21"/>
        </w:rPr>
      </w:pPr>
      <w:r w:rsidRPr="00E432E1">
        <w:rPr>
          <w:rFonts w:ascii="Abadi" w:hAnsi="Abadi"/>
          <w:sz w:val="21"/>
          <w:szCs w:val="21"/>
        </w:rPr>
        <w:t xml:space="preserve">- Por ello, en el Grupo Parlamentario del Partido Acción Nacional hemos trabajado por una agenda que fortalezca los derechos de las mujeres guanajuatense, pues como panista tengo la convicción que la violencia de género amerita de las autoridades una respuesta específica, efectiva y contundente. </w:t>
      </w:r>
    </w:p>
    <w:p w14:paraId="4FB211AA" w14:textId="77777777" w:rsidR="004374CA" w:rsidRPr="00E432E1" w:rsidRDefault="004374CA" w:rsidP="00E432E1">
      <w:pPr>
        <w:jc w:val="both"/>
        <w:rPr>
          <w:rFonts w:ascii="Abadi" w:hAnsi="Abadi"/>
          <w:sz w:val="21"/>
          <w:szCs w:val="21"/>
        </w:rPr>
      </w:pPr>
    </w:p>
    <w:p w14:paraId="7E9B96A6" w14:textId="7D5C8C95" w:rsidR="00E432E1" w:rsidRDefault="00E432E1" w:rsidP="00E432E1">
      <w:pPr>
        <w:jc w:val="both"/>
        <w:rPr>
          <w:rFonts w:ascii="Abadi" w:hAnsi="Abadi"/>
          <w:sz w:val="21"/>
          <w:szCs w:val="21"/>
        </w:rPr>
      </w:pPr>
      <w:r w:rsidRPr="00E432E1">
        <w:rPr>
          <w:rFonts w:ascii="Abadi" w:hAnsi="Abadi"/>
          <w:sz w:val="21"/>
          <w:szCs w:val="21"/>
        </w:rPr>
        <w:t xml:space="preserve">- Así reconocer en nuestro Código Penal que la violencia política puede llegar al feminicidio es una acción más para nuestras mujeres. </w:t>
      </w:r>
    </w:p>
    <w:p w14:paraId="628A2A8F" w14:textId="77777777" w:rsidR="004374CA" w:rsidRPr="00E432E1" w:rsidRDefault="004374CA" w:rsidP="00E432E1">
      <w:pPr>
        <w:jc w:val="both"/>
        <w:rPr>
          <w:rFonts w:ascii="Abadi" w:hAnsi="Abadi"/>
          <w:sz w:val="21"/>
          <w:szCs w:val="21"/>
        </w:rPr>
      </w:pPr>
    </w:p>
    <w:p w14:paraId="31EF4C13" w14:textId="698FA8A8" w:rsidR="00E432E1" w:rsidRDefault="00E432E1" w:rsidP="00E432E1">
      <w:pPr>
        <w:jc w:val="both"/>
        <w:rPr>
          <w:rFonts w:ascii="Abadi" w:hAnsi="Abadi"/>
          <w:sz w:val="21"/>
          <w:szCs w:val="21"/>
        </w:rPr>
      </w:pPr>
      <w:r w:rsidRPr="00E432E1">
        <w:rPr>
          <w:rFonts w:ascii="Abadi" w:hAnsi="Abadi"/>
          <w:sz w:val="21"/>
          <w:szCs w:val="21"/>
        </w:rPr>
        <w:t xml:space="preserve">- Una acción más cumplida. Diputadas y diputados, con la aprobación del dictamen estaremos en condiciones de seguir avanzando para, de una vez por todas, poner un alto a la violencia política y feminicidio contra las mujeres en razón de género. </w:t>
      </w:r>
    </w:p>
    <w:p w14:paraId="474626C6" w14:textId="77777777" w:rsidR="004374CA" w:rsidRPr="00E432E1" w:rsidRDefault="004374CA" w:rsidP="00E432E1">
      <w:pPr>
        <w:jc w:val="both"/>
        <w:rPr>
          <w:rFonts w:ascii="Abadi" w:hAnsi="Abadi"/>
          <w:sz w:val="21"/>
          <w:szCs w:val="21"/>
        </w:rPr>
      </w:pPr>
    </w:p>
    <w:p w14:paraId="444652CA" w14:textId="694A496D" w:rsidR="00E432E1" w:rsidRDefault="00E432E1" w:rsidP="00E432E1">
      <w:pPr>
        <w:jc w:val="both"/>
        <w:rPr>
          <w:rFonts w:ascii="Abadi" w:hAnsi="Abadi"/>
          <w:sz w:val="21"/>
          <w:szCs w:val="21"/>
        </w:rPr>
      </w:pPr>
      <w:r w:rsidRPr="00E432E1">
        <w:rPr>
          <w:rFonts w:ascii="Abadi" w:hAnsi="Abadi"/>
          <w:sz w:val="21"/>
          <w:szCs w:val="21"/>
        </w:rPr>
        <w:t xml:space="preserve">- Agradezco a la Comisión de Justicia, a la diputada Cristina Márquez, Susana Bermúdez, Bricio Balderas, Cuauhtémoc Becerra y Adolfo Alfaro por su trabajo. </w:t>
      </w:r>
    </w:p>
    <w:p w14:paraId="61EFD015" w14:textId="77777777" w:rsidR="004374CA" w:rsidRPr="00E432E1" w:rsidRDefault="004374CA" w:rsidP="00E432E1">
      <w:pPr>
        <w:jc w:val="both"/>
        <w:rPr>
          <w:rFonts w:ascii="Abadi" w:hAnsi="Abadi"/>
          <w:sz w:val="21"/>
          <w:szCs w:val="21"/>
        </w:rPr>
      </w:pPr>
    </w:p>
    <w:p w14:paraId="58E2D9B6" w14:textId="402DD596" w:rsidR="00E432E1" w:rsidRDefault="00E432E1" w:rsidP="00E432E1">
      <w:pPr>
        <w:jc w:val="both"/>
        <w:rPr>
          <w:rFonts w:ascii="Abadi" w:hAnsi="Abadi"/>
          <w:sz w:val="21"/>
          <w:szCs w:val="21"/>
        </w:rPr>
      </w:pPr>
      <w:r w:rsidRPr="00E432E1">
        <w:rPr>
          <w:rFonts w:ascii="Abadi" w:hAnsi="Abadi"/>
          <w:sz w:val="21"/>
          <w:szCs w:val="21"/>
        </w:rPr>
        <w:t xml:space="preserve">- Estoy segura </w:t>
      </w:r>
      <w:r w:rsidR="00D156E4" w:rsidRPr="00E432E1">
        <w:rPr>
          <w:rFonts w:ascii="Abadi" w:hAnsi="Abadi"/>
          <w:sz w:val="21"/>
          <w:szCs w:val="21"/>
        </w:rPr>
        <w:t>de que</w:t>
      </w:r>
      <w:r w:rsidRPr="00E432E1">
        <w:rPr>
          <w:rFonts w:ascii="Abadi" w:hAnsi="Abadi"/>
          <w:sz w:val="21"/>
          <w:szCs w:val="21"/>
        </w:rPr>
        <w:t xml:space="preserve"> el día de hoy este dictamen nos unirá, pues los derechos humanos de todas nuestras mujeres no tienen color. </w:t>
      </w:r>
    </w:p>
    <w:p w14:paraId="764E8A77" w14:textId="77777777" w:rsidR="004374CA" w:rsidRPr="00E432E1" w:rsidRDefault="004374CA" w:rsidP="00E432E1">
      <w:pPr>
        <w:jc w:val="both"/>
        <w:rPr>
          <w:rFonts w:ascii="Abadi" w:hAnsi="Abadi"/>
          <w:sz w:val="21"/>
          <w:szCs w:val="21"/>
        </w:rPr>
      </w:pPr>
    </w:p>
    <w:p w14:paraId="11C6FC27" w14:textId="0E677CBE" w:rsidR="00E432E1" w:rsidRPr="0042560A" w:rsidRDefault="0042560A" w:rsidP="0042560A">
      <w:pPr>
        <w:jc w:val="both"/>
        <w:rPr>
          <w:rFonts w:ascii="Abadi" w:hAnsi="Abadi"/>
          <w:sz w:val="21"/>
          <w:szCs w:val="21"/>
        </w:rPr>
      </w:pPr>
      <w:r>
        <w:rPr>
          <w:rFonts w:ascii="Abadi" w:hAnsi="Abadi"/>
          <w:sz w:val="21"/>
          <w:szCs w:val="21"/>
        </w:rPr>
        <w:t xml:space="preserve">- </w:t>
      </w:r>
      <w:r w:rsidR="00E432E1" w:rsidRPr="0042560A">
        <w:rPr>
          <w:rFonts w:ascii="Abadi" w:hAnsi="Abadi"/>
          <w:sz w:val="21"/>
          <w:szCs w:val="21"/>
        </w:rPr>
        <w:t xml:space="preserve">Es cuanto, gracias. </w:t>
      </w:r>
    </w:p>
    <w:p w14:paraId="50F6B80D" w14:textId="77777777" w:rsidR="004374CA" w:rsidRPr="004374CA" w:rsidRDefault="004374CA" w:rsidP="004374CA">
      <w:pPr>
        <w:pStyle w:val="Prrafodelista"/>
        <w:ind w:left="1069"/>
        <w:jc w:val="both"/>
        <w:rPr>
          <w:rFonts w:ascii="Abadi" w:hAnsi="Abadi"/>
          <w:sz w:val="21"/>
          <w:szCs w:val="21"/>
        </w:rPr>
      </w:pPr>
    </w:p>
    <w:p w14:paraId="19C42043" w14:textId="207BA3F2" w:rsidR="00E432E1" w:rsidRPr="00E432E1" w:rsidRDefault="004374CA" w:rsidP="004374CA">
      <w:pPr>
        <w:ind w:firstLine="708"/>
        <w:jc w:val="both"/>
        <w:rPr>
          <w:rFonts w:ascii="Abadi" w:hAnsi="Abadi"/>
          <w:sz w:val="21"/>
          <w:szCs w:val="21"/>
        </w:rPr>
      </w:pPr>
      <w:r>
        <w:rPr>
          <w:rFonts w:ascii="Abadi" w:hAnsi="Abadi"/>
          <w:b/>
          <w:bCs/>
          <w:sz w:val="21"/>
          <w:szCs w:val="21"/>
        </w:rPr>
        <w:t xml:space="preserve">- </w:t>
      </w:r>
      <w:r w:rsidR="00E432E1" w:rsidRPr="00E432E1">
        <w:rPr>
          <w:rFonts w:ascii="Abadi" w:hAnsi="Abadi"/>
          <w:b/>
          <w:bCs/>
          <w:sz w:val="21"/>
          <w:szCs w:val="21"/>
        </w:rPr>
        <w:t>La Presidencia.-</w:t>
      </w:r>
      <w:r w:rsidR="00E432E1" w:rsidRPr="00E432E1">
        <w:rPr>
          <w:rFonts w:ascii="Abadi" w:hAnsi="Abadi"/>
          <w:sz w:val="21"/>
          <w:szCs w:val="21"/>
        </w:rPr>
        <w:t xml:space="preserve"> Muchas gracias, diputada. </w:t>
      </w:r>
    </w:p>
    <w:p w14:paraId="6C636A83" w14:textId="77777777" w:rsidR="004374CA" w:rsidRDefault="004374CA" w:rsidP="00E432E1">
      <w:pPr>
        <w:jc w:val="both"/>
        <w:rPr>
          <w:rFonts w:ascii="Abadi" w:hAnsi="Abadi"/>
          <w:sz w:val="21"/>
          <w:szCs w:val="21"/>
        </w:rPr>
      </w:pPr>
    </w:p>
    <w:p w14:paraId="141677BE" w14:textId="6714DA77" w:rsidR="00E432E1" w:rsidRDefault="004374CA" w:rsidP="004374CA">
      <w:pPr>
        <w:ind w:firstLine="708"/>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 xml:space="preserve">Y a agotadas las participaciones se pide a la Secretaria que proceda a recabar votación nominal de la asamblea a través del sistema electronico a efecto de aprobar o no el dictamen puesto a su consideración. </w:t>
      </w:r>
    </w:p>
    <w:p w14:paraId="260DE904" w14:textId="77777777" w:rsidR="004374CA" w:rsidRPr="00E432E1" w:rsidRDefault="004374CA" w:rsidP="004374CA">
      <w:pPr>
        <w:ind w:firstLine="708"/>
        <w:jc w:val="both"/>
        <w:rPr>
          <w:rFonts w:ascii="Abadi" w:hAnsi="Abadi"/>
          <w:sz w:val="21"/>
          <w:szCs w:val="21"/>
        </w:rPr>
      </w:pPr>
    </w:p>
    <w:p w14:paraId="3CFC7FDA" w14:textId="657A666A" w:rsidR="00E432E1" w:rsidRDefault="00E432E1" w:rsidP="004374CA">
      <w:pPr>
        <w:jc w:val="center"/>
        <w:rPr>
          <w:rFonts w:ascii="Abadi" w:hAnsi="Abadi"/>
          <w:b/>
          <w:bCs/>
          <w:sz w:val="21"/>
          <w:szCs w:val="21"/>
        </w:rPr>
      </w:pPr>
      <w:r w:rsidRPr="00E432E1">
        <w:rPr>
          <w:rFonts w:ascii="Abadi" w:hAnsi="Abadi"/>
          <w:b/>
          <w:bCs/>
          <w:sz w:val="21"/>
          <w:szCs w:val="21"/>
        </w:rPr>
        <w:t>(Se abre el sistema electronico)</w:t>
      </w:r>
    </w:p>
    <w:p w14:paraId="23B7E686" w14:textId="77777777" w:rsidR="004374CA" w:rsidRPr="00E432E1" w:rsidRDefault="004374CA" w:rsidP="004374CA">
      <w:pPr>
        <w:jc w:val="center"/>
        <w:rPr>
          <w:rFonts w:ascii="Abadi" w:hAnsi="Abadi"/>
          <w:b/>
          <w:bCs/>
          <w:sz w:val="21"/>
          <w:szCs w:val="21"/>
        </w:rPr>
      </w:pPr>
    </w:p>
    <w:p w14:paraId="3DC1A124" w14:textId="574591A5" w:rsidR="00E432E1" w:rsidRDefault="00E079C4" w:rsidP="00E079C4">
      <w:pPr>
        <w:ind w:firstLine="708"/>
        <w:jc w:val="both"/>
        <w:rPr>
          <w:rFonts w:ascii="Abadi" w:hAnsi="Abadi"/>
          <w:sz w:val="21"/>
          <w:szCs w:val="21"/>
        </w:rPr>
      </w:pPr>
      <w:r>
        <w:rPr>
          <w:rFonts w:ascii="Abadi" w:hAnsi="Abadi"/>
          <w:b/>
          <w:bCs/>
          <w:sz w:val="21"/>
          <w:szCs w:val="21"/>
        </w:rPr>
        <w:t xml:space="preserve">- </w:t>
      </w:r>
      <w:r w:rsidR="00E432E1" w:rsidRPr="00E432E1">
        <w:rPr>
          <w:rFonts w:ascii="Abadi" w:hAnsi="Abadi"/>
          <w:b/>
          <w:bCs/>
          <w:sz w:val="21"/>
          <w:szCs w:val="21"/>
        </w:rPr>
        <w:t>La Secretar</w:t>
      </w:r>
      <w:r w:rsidR="004D6350">
        <w:rPr>
          <w:rFonts w:ascii="Abadi" w:hAnsi="Abadi"/>
          <w:b/>
          <w:bCs/>
          <w:sz w:val="21"/>
          <w:szCs w:val="21"/>
        </w:rPr>
        <w:t>i</w:t>
      </w:r>
      <w:r w:rsidR="00E432E1" w:rsidRPr="00E432E1">
        <w:rPr>
          <w:rFonts w:ascii="Abadi" w:hAnsi="Abadi"/>
          <w:b/>
          <w:bCs/>
          <w:sz w:val="21"/>
          <w:szCs w:val="21"/>
        </w:rPr>
        <w:t xml:space="preserve">a.- </w:t>
      </w:r>
      <w:r w:rsidR="00E432E1" w:rsidRPr="00E432E1">
        <w:rPr>
          <w:rFonts w:ascii="Abadi" w:hAnsi="Abadi"/>
          <w:sz w:val="21"/>
          <w:szCs w:val="21"/>
        </w:rPr>
        <w:t>En votación nominal, se pregunta a las diputadas y diputados si se aprueba el dictamen puesto a su consideración.</w:t>
      </w:r>
    </w:p>
    <w:p w14:paraId="3E58A8A4" w14:textId="77777777" w:rsidR="004374CA" w:rsidRPr="00E432E1" w:rsidRDefault="004374CA" w:rsidP="00E432E1">
      <w:pPr>
        <w:jc w:val="both"/>
        <w:rPr>
          <w:rFonts w:ascii="Abadi" w:hAnsi="Abadi"/>
          <w:sz w:val="21"/>
          <w:szCs w:val="21"/>
        </w:rPr>
      </w:pPr>
    </w:p>
    <w:p w14:paraId="2E8AB19A" w14:textId="466E822C" w:rsidR="002B66E5" w:rsidRDefault="004374CA" w:rsidP="00E079C4">
      <w:pPr>
        <w:ind w:firstLine="708"/>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 xml:space="preserve">(Voz) Diputado Cuauhtémoc Becerra, Presidenta yo nuevamente por acá, también quisiera (Voz) </w:t>
      </w:r>
      <w:r w:rsidR="00D156E4">
        <w:rPr>
          <w:rFonts w:ascii="Abadi" w:hAnsi="Abadi"/>
          <w:sz w:val="21"/>
          <w:szCs w:val="21"/>
        </w:rPr>
        <w:t xml:space="preserve">diputada </w:t>
      </w:r>
      <w:r w:rsidR="00E432E1" w:rsidRPr="00E432E1">
        <w:rPr>
          <w:rFonts w:ascii="Abadi" w:hAnsi="Abadi"/>
          <w:sz w:val="21"/>
          <w:szCs w:val="21"/>
        </w:rPr>
        <w:t>Presidenta</w:t>
      </w:r>
      <w:r w:rsidR="00D156E4">
        <w:rPr>
          <w:rFonts w:ascii="Abadi" w:hAnsi="Abadi"/>
          <w:sz w:val="21"/>
          <w:szCs w:val="21"/>
        </w:rPr>
        <w:t>,</w:t>
      </w:r>
      <w:r w:rsidR="00E432E1" w:rsidRPr="00E432E1">
        <w:rPr>
          <w:rFonts w:ascii="Abadi" w:hAnsi="Abadi"/>
          <w:sz w:val="21"/>
          <w:szCs w:val="21"/>
        </w:rPr>
        <w:t xml:space="preserve"> ¿Para </w:t>
      </w:r>
      <w:r w:rsidR="002B66E5" w:rsidRPr="00E432E1">
        <w:rPr>
          <w:rFonts w:ascii="Abadi" w:hAnsi="Abadi"/>
          <w:sz w:val="21"/>
          <w:szCs w:val="21"/>
        </w:rPr>
        <w:t>qué</w:t>
      </w:r>
      <w:r w:rsidR="00E432E1" w:rsidRPr="00E432E1">
        <w:rPr>
          <w:rFonts w:ascii="Abadi" w:hAnsi="Abadi"/>
          <w:sz w:val="21"/>
          <w:szCs w:val="21"/>
        </w:rPr>
        <w:t xml:space="preserve"> efecto? (Voz) diputado Cuauhtémoc Becerra, para razonar mi voto</w:t>
      </w:r>
      <w:r w:rsidR="00D156E4">
        <w:rPr>
          <w:rFonts w:ascii="Abadi" w:hAnsi="Abadi"/>
          <w:sz w:val="21"/>
          <w:szCs w:val="21"/>
        </w:rPr>
        <w:t xml:space="preserve">. </w:t>
      </w:r>
      <w:r w:rsidR="00E432E1" w:rsidRPr="00E432E1">
        <w:rPr>
          <w:rFonts w:ascii="Abadi" w:hAnsi="Abadi"/>
          <w:sz w:val="21"/>
          <w:szCs w:val="21"/>
        </w:rPr>
        <w:t xml:space="preserve">(Voz) </w:t>
      </w:r>
      <w:r w:rsidR="00D156E4">
        <w:rPr>
          <w:rFonts w:ascii="Abadi" w:hAnsi="Abadi"/>
          <w:sz w:val="21"/>
          <w:szCs w:val="21"/>
        </w:rPr>
        <w:t xml:space="preserve">diputada </w:t>
      </w:r>
      <w:r w:rsidR="00E432E1" w:rsidRPr="00E432E1">
        <w:rPr>
          <w:rFonts w:ascii="Abadi" w:hAnsi="Abadi"/>
          <w:sz w:val="21"/>
          <w:szCs w:val="21"/>
        </w:rPr>
        <w:t>Presidenta.</w:t>
      </w:r>
    </w:p>
    <w:p w14:paraId="56E512B8" w14:textId="77777777" w:rsidR="002B66E5" w:rsidRDefault="002B66E5" w:rsidP="00E432E1">
      <w:pPr>
        <w:jc w:val="both"/>
        <w:rPr>
          <w:rFonts w:ascii="Abadi" w:hAnsi="Abadi"/>
          <w:sz w:val="21"/>
          <w:szCs w:val="21"/>
        </w:rPr>
      </w:pPr>
    </w:p>
    <w:p w14:paraId="43F899A1" w14:textId="19CC3757" w:rsidR="002B66E5" w:rsidRDefault="002B66E5" w:rsidP="00E079C4">
      <w:pPr>
        <w:ind w:firstLine="708"/>
        <w:jc w:val="both"/>
        <w:rPr>
          <w:rFonts w:ascii="Abadi" w:hAnsi="Abadi"/>
          <w:sz w:val="21"/>
          <w:szCs w:val="21"/>
        </w:rPr>
      </w:pPr>
      <w:r>
        <w:rPr>
          <w:rFonts w:ascii="Abadi" w:hAnsi="Abadi"/>
          <w:sz w:val="21"/>
          <w:szCs w:val="21"/>
        </w:rPr>
        <w:t>-</w:t>
      </w:r>
      <w:r w:rsidR="00E432E1" w:rsidRPr="00E432E1">
        <w:rPr>
          <w:rFonts w:ascii="Abadi" w:hAnsi="Abadi"/>
          <w:sz w:val="21"/>
          <w:szCs w:val="21"/>
        </w:rPr>
        <w:t xml:space="preserve"> Adelante diputado </w:t>
      </w:r>
    </w:p>
    <w:p w14:paraId="018D296B" w14:textId="77777777" w:rsidR="002B66E5" w:rsidRDefault="002B66E5" w:rsidP="00E432E1">
      <w:pPr>
        <w:jc w:val="both"/>
        <w:rPr>
          <w:rFonts w:ascii="Abadi" w:hAnsi="Abadi"/>
          <w:sz w:val="21"/>
          <w:szCs w:val="21"/>
        </w:rPr>
      </w:pPr>
    </w:p>
    <w:p w14:paraId="484FBED7" w14:textId="3D6D31F0" w:rsidR="00E432E1" w:rsidRDefault="002B66E5" w:rsidP="00E079C4">
      <w:pPr>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 xml:space="preserve">(Voz) Diputado Cuauhtémoc Becerra, ¡bien¡ como bien lo dijeron quienes estuvieron en el uso de la voz en la tribuna y en el último momento la diputada Casillas, pues la justicia y estos derechos no tienen colores, pero yo también quiero recalcar que desde nuestro Grupo Parlamentario de Morena también nos preocupa, nos preocupa mucho la seguridad, el bienestar de las mujeres, desde luego yo como parte de esta comisión estoy muy atento como parte de ese seguimiento y muy satisfecho con los trabajos. </w:t>
      </w:r>
    </w:p>
    <w:p w14:paraId="47A6A31A" w14:textId="77777777" w:rsidR="004374CA" w:rsidRPr="00E432E1" w:rsidRDefault="004374CA" w:rsidP="00E432E1">
      <w:pPr>
        <w:jc w:val="both"/>
        <w:rPr>
          <w:rFonts w:ascii="Abadi" w:hAnsi="Abadi"/>
          <w:sz w:val="21"/>
          <w:szCs w:val="21"/>
        </w:rPr>
      </w:pPr>
    </w:p>
    <w:p w14:paraId="36591300" w14:textId="392CF053" w:rsidR="00E432E1" w:rsidRDefault="004374CA" w:rsidP="00E432E1">
      <w:pPr>
        <w:jc w:val="both"/>
        <w:rPr>
          <w:rFonts w:ascii="Abadi" w:hAnsi="Abadi"/>
          <w:sz w:val="21"/>
          <w:szCs w:val="21"/>
        </w:rPr>
      </w:pPr>
      <w:r>
        <w:rPr>
          <w:rFonts w:ascii="Abadi" w:hAnsi="Abadi"/>
          <w:sz w:val="21"/>
          <w:szCs w:val="21"/>
        </w:rPr>
        <w:t xml:space="preserve">- </w:t>
      </w:r>
      <w:r w:rsidR="00E432E1" w:rsidRPr="00E432E1">
        <w:rPr>
          <w:rFonts w:ascii="Abadi" w:hAnsi="Abadi"/>
          <w:sz w:val="21"/>
          <w:szCs w:val="21"/>
        </w:rPr>
        <w:t xml:space="preserve">Entonces, pues desde luego que nosotros nos sumamos, como repito acá no hay color ya que es un tema de justicia, de equidad, de honestidad, entonces también nosotros desde Morena, desde luego acompañamos. No he visto el voto de mis compañeros, pero bueno estoy seguro </w:t>
      </w:r>
      <w:r w:rsidR="0042560A" w:rsidRPr="00E432E1">
        <w:rPr>
          <w:rFonts w:ascii="Abadi" w:hAnsi="Abadi"/>
          <w:sz w:val="21"/>
          <w:szCs w:val="21"/>
        </w:rPr>
        <w:t>de que</w:t>
      </w:r>
      <w:r w:rsidR="00E432E1" w:rsidRPr="00E432E1">
        <w:rPr>
          <w:rFonts w:ascii="Abadi" w:hAnsi="Abadi"/>
          <w:sz w:val="21"/>
          <w:szCs w:val="21"/>
        </w:rPr>
        <w:t xml:space="preserve"> va a ser a favor, verdad e igual que el mío que es a favor. </w:t>
      </w:r>
    </w:p>
    <w:p w14:paraId="4FE55503" w14:textId="77777777" w:rsidR="004374CA" w:rsidRPr="00E432E1" w:rsidRDefault="004374CA" w:rsidP="00E432E1">
      <w:pPr>
        <w:jc w:val="both"/>
        <w:rPr>
          <w:rFonts w:ascii="Abadi" w:hAnsi="Abadi"/>
          <w:sz w:val="21"/>
          <w:szCs w:val="21"/>
        </w:rPr>
      </w:pPr>
    </w:p>
    <w:p w14:paraId="123AB920" w14:textId="784A5E18" w:rsidR="00E432E1" w:rsidRPr="0042560A" w:rsidRDefault="0042560A" w:rsidP="0042560A">
      <w:pPr>
        <w:jc w:val="both"/>
        <w:rPr>
          <w:rFonts w:ascii="Abadi" w:hAnsi="Abadi"/>
          <w:sz w:val="21"/>
          <w:szCs w:val="21"/>
        </w:rPr>
      </w:pPr>
      <w:r>
        <w:rPr>
          <w:rFonts w:ascii="Abadi" w:hAnsi="Abadi"/>
          <w:sz w:val="21"/>
          <w:szCs w:val="21"/>
        </w:rPr>
        <w:t xml:space="preserve">- </w:t>
      </w:r>
      <w:r w:rsidR="00E432E1" w:rsidRPr="0042560A">
        <w:rPr>
          <w:rFonts w:ascii="Abadi" w:hAnsi="Abadi"/>
          <w:sz w:val="21"/>
          <w:szCs w:val="21"/>
        </w:rPr>
        <w:t xml:space="preserve">Es </w:t>
      </w:r>
      <w:r w:rsidR="00091260" w:rsidRPr="0042560A">
        <w:rPr>
          <w:rFonts w:ascii="Abadi" w:hAnsi="Abadi"/>
          <w:sz w:val="21"/>
          <w:szCs w:val="21"/>
        </w:rPr>
        <w:t>cuánto</w:t>
      </w:r>
      <w:r w:rsidR="004374CA" w:rsidRPr="0042560A">
        <w:rPr>
          <w:rFonts w:ascii="Abadi" w:hAnsi="Abadi"/>
          <w:sz w:val="21"/>
          <w:szCs w:val="21"/>
        </w:rPr>
        <w:t>.</w:t>
      </w:r>
    </w:p>
    <w:p w14:paraId="294D8FC1" w14:textId="77777777" w:rsidR="004374CA" w:rsidRPr="004374CA" w:rsidRDefault="004374CA" w:rsidP="004374CA">
      <w:pPr>
        <w:pStyle w:val="Prrafodelista"/>
        <w:ind w:left="1069"/>
        <w:jc w:val="both"/>
        <w:rPr>
          <w:rFonts w:ascii="Abadi" w:hAnsi="Abadi"/>
          <w:sz w:val="21"/>
          <w:szCs w:val="21"/>
        </w:rPr>
      </w:pPr>
    </w:p>
    <w:p w14:paraId="71DCB718" w14:textId="7697E74C" w:rsidR="00E432E1" w:rsidRDefault="004374CA" w:rsidP="004374CA">
      <w:pPr>
        <w:ind w:firstLine="708"/>
        <w:jc w:val="both"/>
        <w:rPr>
          <w:rFonts w:ascii="Abadi" w:hAnsi="Abadi"/>
          <w:sz w:val="21"/>
          <w:szCs w:val="21"/>
        </w:rPr>
      </w:pPr>
      <w:r>
        <w:rPr>
          <w:rFonts w:ascii="Abadi" w:hAnsi="Abadi"/>
          <w:b/>
          <w:bCs/>
          <w:sz w:val="21"/>
          <w:szCs w:val="21"/>
        </w:rPr>
        <w:t xml:space="preserve">- </w:t>
      </w:r>
      <w:r w:rsidR="00E432E1" w:rsidRPr="00E432E1">
        <w:rPr>
          <w:rFonts w:ascii="Abadi" w:hAnsi="Abadi"/>
          <w:b/>
          <w:bCs/>
          <w:sz w:val="21"/>
          <w:szCs w:val="21"/>
        </w:rPr>
        <w:t>La Presidencia.-</w:t>
      </w:r>
      <w:r w:rsidR="00E432E1" w:rsidRPr="00E432E1">
        <w:rPr>
          <w:rFonts w:ascii="Abadi" w:hAnsi="Abadi"/>
          <w:sz w:val="21"/>
          <w:szCs w:val="21"/>
        </w:rPr>
        <w:t xml:space="preserve"> Gracias diputado.</w:t>
      </w:r>
    </w:p>
    <w:p w14:paraId="0CCC890F" w14:textId="77777777" w:rsidR="004374CA" w:rsidRPr="00E432E1" w:rsidRDefault="004374CA" w:rsidP="00E432E1">
      <w:pPr>
        <w:jc w:val="both"/>
        <w:rPr>
          <w:rFonts w:ascii="Abadi" w:hAnsi="Abadi"/>
          <w:sz w:val="21"/>
          <w:szCs w:val="21"/>
        </w:rPr>
      </w:pPr>
    </w:p>
    <w:p w14:paraId="3B6915F2" w14:textId="1DB2C0EB" w:rsidR="00E432E1" w:rsidRDefault="00E432E1" w:rsidP="00E432E1">
      <w:pPr>
        <w:jc w:val="both"/>
        <w:rPr>
          <w:rFonts w:ascii="Abadi" w:hAnsi="Abadi"/>
          <w:sz w:val="21"/>
          <w:szCs w:val="21"/>
        </w:rPr>
      </w:pPr>
      <w:r w:rsidRPr="00E432E1">
        <w:rPr>
          <w:rFonts w:ascii="Abadi" w:hAnsi="Abadi"/>
          <w:sz w:val="21"/>
          <w:szCs w:val="21"/>
        </w:rPr>
        <w:t xml:space="preserve">¿Falta alguna diputada o algún diputado de emitir su voto? </w:t>
      </w:r>
    </w:p>
    <w:p w14:paraId="6D9FC13F" w14:textId="6256A996" w:rsidR="004374CA" w:rsidRDefault="004374CA" w:rsidP="00E432E1">
      <w:pPr>
        <w:jc w:val="both"/>
        <w:rPr>
          <w:rFonts w:ascii="Abadi" w:hAnsi="Abadi"/>
          <w:sz w:val="21"/>
          <w:szCs w:val="21"/>
        </w:rPr>
      </w:pPr>
    </w:p>
    <w:p w14:paraId="31B4C399" w14:textId="77777777" w:rsidR="00D85C31" w:rsidRPr="00E432E1" w:rsidRDefault="00D85C31" w:rsidP="00E432E1">
      <w:pPr>
        <w:jc w:val="both"/>
        <w:rPr>
          <w:rFonts w:ascii="Abadi" w:hAnsi="Abadi"/>
          <w:sz w:val="21"/>
          <w:szCs w:val="21"/>
        </w:rPr>
      </w:pPr>
    </w:p>
    <w:p w14:paraId="497BB310" w14:textId="24C591D6" w:rsidR="00E432E1" w:rsidRDefault="00E432E1" w:rsidP="004374CA">
      <w:pPr>
        <w:jc w:val="center"/>
        <w:rPr>
          <w:rFonts w:ascii="Abadi" w:hAnsi="Abadi"/>
          <w:b/>
          <w:bCs/>
          <w:sz w:val="21"/>
          <w:szCs w:val="21"/>
        </w:rPr>
      </w:pPr>
      <w:r w:rsidRPr="00E432E1">
        <w:rPr>
          <w:rFonts w:ascii="Abadi" w:hAnsi="Abadi"/>
          <w:b/>
          <w:bCs/>
          <w:sz w:val="21"/>
          <w:szCs w:val="21"/>
        </w:rPr>
        <w:t>(Se cierra el sistema electronico)</w:t>
      </w:r>
    </w:p>
    <w:p w14:paraId="4A7893A3" w14:textId="77777777" w:rsidR="004374CA" w:rsidRPr="00E432E1" w:rsidRDefault="004374CA" w:rsidP="00E432E1">
      <w:pPr>
        <w:jc w:val="both"/>
        <w:rPr>
          <w:rFonts w:ascii="Abadi" w:hAnsi="Abadi"/>
          <w:b/>
          <w:bCs/>
          <w:sz w:val="21"/>
          <w:szCs w:val="21"/>
        </w:rPr>
      </w:pPr>
    </w:p>
    <w:p w14:paraId="6D396081" w14:textId="32C45A41" w:rsidR="00091260" w:rsidRDefault="00D85C31" w:rsidP="00091260">
      <w:pPr>
        <w:ind w:firstLine="708"/>
        <w:jc w:val="both"/>
        <w:rPr>
          <w:rFonts w:ascii="Abadi" w:hAnsi="Abadi"/>
          <w:sz w:val="21"/>
          <w:szCs w:val="21"/>
        </w:rPr>
      </w:pPr>
      <w:r w:rsidRPr="00E432E1">
        <w:rPr>
          <w:rFonts w:ascii="Abadi" w:hAnsi="Abadi"/>
          <w:noProof/>
          <w:sz w:val="21"/>
          <w:szCs w:val="21"/>
        </w:rPr>
        <w:drawing>
          <wp:anchor distT="0" distB="0" distL="114300" distR="114300" simplePos="0" relativeHeight="251698176" behindDoc="1" locked="0" layoutInCell="1" allowOverlap="1" wp14:anchorId="29A1F2A9" wp14:editId="302C81CE">
            <wp:simplePos x="0" y="0"/>
            <wp:positionH relativeFrom="column">
              <wp:posOffset>98269</wp:posOffset>
            </wp:positionH>
            <wp:positionV relativeFrom="paragraph">
              <wp:posOffset>159721</wp:posOffset>
            </wp:positionV>
            <wp:extent cx="2070340" cy="1033263"/>
            <wp:effectExtent l="0" t="0" r="6350" b="0"/>
            <wp:wrapTight wrapText="bothSides">
              <wp:wrapPolygon edited="0">
                <wp:start x="0" y="0"/>
                <wp:lineTo x="0" y="21109"/>
                <wp:lineTo x="21467" y="21109"/>
                <wp:lineTo x="21467" y="0"/>
                <wp:lineTo x="0" y="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b="7608"/>
                    <a:stretch/>
                  </pic:blipFill>
                  <pic:spPr bwMode="auto">
                    <a:xfrm>
                      <a:off x="0" y="0"/>
                      <a:ext cx="2070340" cy="1033263"/>
                    </a:xfrm>
                    <a:prstGeom prst="rect">
                      <a:avLst/>
                    </a:prstGeom>
                    <a:ln>
                      <a:noFill/>
                    </a:ln>
                    <a:extLst>
                      <a:ext uri="{53640926-AAD7-44D8-BBD7-CCE9431645EC}">
                        <a14:shadowObscured xmlns:a14="http://schemas.microsoft.com/office/drawing/2010/main"/>
                      </a:ext>
                    </a:extLst>
                  </pic:spPr>
                </pic:pic>
              </a:graphicData>
            </a:graphic>
          </wp:anchor>
        </w:drawing>
      </w:r>
    </w:p>
    <w:p w14:paraId="0E8110BB" w14:textId="525027DF" w:rsidR="004D6350" w:rsidRPr="00E432E1" w:rsidRDefault="004D6350" w:rsidP="00E432E1">
      <w:pPr>
        <w:jc w:val="both"/>
        <w:rPr>
          <w:rFonts w:ascii="Abadi" w:hAnsi="Abadi"/>
          <w:sz w:val="21"/>
          <w:szCs w:val="21"/>
        </w:rPr>
      </w:pPr>
    </w:p>
    <w:p w14:paraId="77F20C41" w14:textId="1B29EF0C" w:rsidR="004D6350" w:rsidRDefault="004D6350" w:rsidP="00E432E1">
      <w:pPr>
        <w:jc w:val="both"/>
        <w:rPr>
          <w:rFonts w:ascii="Abadi" w:hAnsi="Abadi"/>
          <w:b/>
          <w:bCs/>
          <w:sz w:val="21"/>
          <w:szCs w:val="21"/>
        </w:rPr>
      </w:pPr>
    </w:p>
    <w:p w14:paraId="7EC091D4" w14:textId="77777777" w:rsidR="00D85C31" w:rsidRDefault="00D85C31" w:rsidP="00D85C31">
      <w:pPr>
        <w:ind w:firstLine="708"/>
        <w:jc w:val="both"/>
        <w:rPr>
          <w:rFonts w:ascii="Abadi" w:hAnsi="Abadi"/>
          <w:sz w:val="21"/>
          <w:szCs w:val="21"/>
        </w:rPr>
      </w:pPr>
      <w:r>
        <w:rPr>
          <w:rFonts w:ascii="Abadi" w:hAnsi="Abadi"/>
          <w:b/>
          <w:bCs/>
          <w:sz w:val="21"/>
          <w:szCs w:val="21"/>
        </w:rPr>
        <w:t xml:space="preserve">- </w:t>
      </w:r>
      <w:r w:rsidRPr="00E432E1">
        <w:rPr>
          <w:rFonts w:ascii="Abadi" w:hAnsi="Abadi"/>
          <w:b/>
          <w:bCs/>
          <w:sz w:val="21"/>
          <w:szCs w:val="21"/>
        </w:rPr>
        <w:t>La Secretaria.-</w:t>
      </w:r>
      <w:r w:rsidRPr="00E432E1">
        <w:rPr>
          <w:rFonts w:ascii="Abadi" w:hAnsi="Abadi"/>
          <w:sz w:val="21"/>
          <w:szCs w:val="21"/>
        </w:rPr>
        <w:t xml:space="preserve"> Se registraron 33 votos a favor.</w:t>
      </w:r>
    </w:p>
    <w:p w14:paraId="3CA77CA2" w14:textId="77777777" w:rsidR="00D85C31" w:rsidRDefault="00D85C31" w:rsidP="00D85C31">
      <w:pPr>
        <w:ind w:firstLine="708"/>
        <w:jc w:val="both"/>
        <w:rPr>
          <w:rFonts w:ascii="Abadi" w:hAnsi="Abadi"/>
          <w:sz w:val="21"/>
          <w:szCs w:val="21"/>
        </w:rPr>
      </w:pPr>
    </w:p>
    <w:p w14:paraId="00652E31" w14:textId="77777777" w:rsidR="00D85C31" w:rsidRPr="00B077B1" w:rsidRDefault="00D85C31" w:rsidP="00D85C31">
      <w:pPr>
        <w:ind w:firstLine="708"/>
        <w:jc w:val="both"/>
        <w:rPr>
          <w:rFonts w:ascii="Abadi" w:hAnsi="Abadi"/>
          <w:sz w:val="21"/>
          <w:szCs w:val="21"/>
        </w:rPr>
      </w:pPr>
      <w:r>
        <w:rPr>
          <w:rFonts w:ascii="Abadi" w:hAnsi="Abadi"/>
          <w:b/>
          <w:bCs/>
          <w:sz w:val="21"/>
          <w:szCs w:val="21"/>
        </w:rPr>
        <w:t xml:space="preserve">- </w:t>
      </w:r>
      <w:r w:rsidRPr="00B077B1">
        <w:rPr>
          <w:rFonts w:ascii="Abadi" w:hAnsi="Abadi"/>
          <w:b/>
          <w:bCs/>
          <w:sz w:val="21"/>
          <w:szCs w:val="21"/>
        </w:rPr>
        <w:t>La Presidencia.-</w:t>
      </w:r>
      <w:r w:rsidRPr="00B077B1">
        <w:rPr>
          <w:rFonts w:ascii="Abadi" w:hAnsi="Abadi"/>
          <w:sz w:val="21"/>
          <w:szCs w:val="21"/>
        </w:rPr>
        <w:t xml:space="preserve"> El dictamen ha sido aprobado por unanimidad de votos; y</w:t>
      </w:r>
    </w:p>
    <w:p w14:paraId="3653DB21" w14:textId="77777777" w:rsidR="004D6350" w:rsidRDefault="004D6350" w:rsidP="00E432E1">
      <w:pPr>
        <w:jc w:val="both"/>
        <w:rPr>
          <w:rFonts w:ascii="Abadi" w:hAnsi="Abadi"/>
          <w:b/>
          <w:bCs/>
          <w:sz w:val="21"/>
          <w:szCs w:val="21"/>
        </w:rPr>
      </w:pPr>
    </w:p>
    <w:p w14:paraId="09EF4CD4" w14:textId="77777777" w:rsidR="004D6350" w:rsidRDefault="004D6350" w:rsidP="00E432E1">
      <w:pPr>
        <w:jc w:val="both"/>
        <w:rPr>
          <w:rFonts w:ascii="Abadi" w:hAnsi="Abadi"/>
          <w:b/>
          <w:bCs/>
          <w:sz w:val="21"/>
          <w:szCs w:val="21"/>
        </w:rPr>
      </w:pPr>
    </w:p>
    <w:p w14:paraId="2EB773B4" w14:textId="77777777" w:rsidR="00E432E1" w:rsidRPr="00E432E1" w:rsidRDefault="00E432E1" w:rsidP="00A92B4A">
      <w:pPr>
        <w:ind w:left="426" w:right="425"/>
        <w:jc w:val="both"/>
        <w:rPr>
          <w:rFonts w:ascii="Abadi" w:hAnsi="Abadi"/>
          <w:b/>
          <w:bCs/>
          <w:i/>
          <w:iCs/>
          <w:sz w:val="21"/>
          <w:szCs w:val="21"/>
          <w:u w:val="single"/>
        </w:rPr>
      </w:pPr>
      <w:r w:rsidRPr="00E432E1">
        <w:rPr>
          <w:rFonts w:ascii="Abadi" w:hAnsi="Abadi"/>
          <w:b/>
          <w:bCs/>
          <w:i/>
          <w:iCs/>
          <w:sz w:val="21"/>
          <w:szCs w:val="21"/>
          <w:u w:val="single"/>
        </w:rPr>
        <w:t xml:space="preserve"> Remítase al Ejecutivo del Estado el decreto aprobado para los efectos constitucionales de su competencia.</w:t>
      </w:r>
    </w:p>
    <w:p w14:paraId="679491FD" w14:textId="77777777" w:rsidR="008B67EB" w:rsidRPr="00E432E1" w:rsidRDefault="008B67EB" w:rsidP="004D6350">
      <w:pPr>
        <w:ind w:left="142" w:right="425"/>
        <w:contextualSpacing/>
        <w:jc w:val="both"/>
        <w:rPr>
          <w:rFonts w:ascii="Abadi" w:hAnsi="Abadi"/>
          <w:sz w:val="21"/>
          <w:szCs w:val="21"/>
        </w:rPr>
      </w:pPr>
    </w:p>
    <w:p w14:paraId="138D980A" w14:textId="77777777" w:rsidR="006F3002" w:rsidRPr="00293312" w:rsidRDefault="006F3002" w:rsidP="006F3002">
      <w:pPr>
        <w:autoSpaceDE w:val="0"/>
        <w:autoSpaceDN w:val="0"/>
        <w:adjustRightInd w:val="0"/>
        <w:ind w:left="426"/>
        <w:jc w:val="both"/>
        <w:rPr>
          <w:rFonts w:ascii="Abadi" w:hAnsi="Abadi" w:cs="ArialMT"/>
          <w:b/>
          <w:bCs/>
          <w:sz w:val="20"/>
          <w:szCs w:val="21"/>
        </w:rPr>
      </w:pPr>
    </w:p>
    <w:p w14:paraId="3A0E6351" w14:textId="1B2375AD"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SIGNADO POR LA COMISIÓN DE EDUCACIÓN, CIENCIA Y TECNOLOGÍA Y CULTURA RELATIVO A LA INICIATIVA FORMULADA POR LA DIPUTADA Y EL DIPUTADO INTEGRANTES DEL GRUPO PARLAMENTARIO DEL PARTIDO VERDE ECOLOGISTA DE MÉXICO, EN LA SEXAGÉSIMA CUARTA LEGISLATURA, POR LA CUAL SE REFORMAN Y ADICIONAN DIVERSOS ARTÍCULOS DE LA LEY DE EDUCACIÓN PARA EL ESTADO DE GUANAJUATO.</w:t>
      </w:r>
    </w:p>
    <w:p w14:paraId="3A662CCA" w14:textId="53449B6E" w:rsidR="00562D9C" w:rsidRDefault="00562D9C" w:rsidP="00562D9C">
      <w:pPr>
        <w:autoSpaceDE w:val="0"/>
        <w:autoSpaceDN w:val="0"/>
        <w:adjustRightInd w:val="0"/>
        <w:jc w:val="both"/>
        <w:rPr>
          <w:rFonts w:ascii="Abadi" w:hAnsi="Abadi" w:cs="ArialMT"/>
          <w:b/>
          <w:bCs/>
          <w:sz w:val="20"/>
          <w:szCs w:val="21"/>
        </w:rPr>
      </w:pPr>
    </w:p>
    <w:p w14:paraId="7ABE49A7" w14:textId="77777777" w:rsidR="00562D9C" w:rsidRPr="00702AD2" w:rsidRDefault="00562D9C" w:rsidP="00562D9C">
      <w:pPr>
        <w:autoSpaceDE w:val="0"/>
        <w:autoSpaceDN w:val="0"/>
        <w:adjustRightInd w:val="0"/>
        <w:jc w:val="both"/>
        <w:rPr>
          <w:rFonts w:ascii="Abadi" w:hAnsi="Abadi" w:cs="Arial-BoldMT"/>
          <w:b/>
          <w:bCs/>
          <w:sz w:val="21"/>
          <w:szCs w:val="21"/>
        </w:rPr>
      </w:pPr>
      <w:r w:rsidRPr="00702AD2">
        <w:rPr>
          <w:rFonts w:ascii="Abadi" w:hAnsi="Abadi" w:cs="Arial-BoldMT"/>
          <w:b/>
          <w:bCs/>
          <w:sz w:val="21"/>
          <w:szCs w:val="21"/>
        </w:rPr>
        <w:t>Diputada Irma Leticia González Sánchez</w:t>
      </w:r>
    </w:p>
    <w:p w14:paraId="711C7A8F" w14:textId="77777777" w:rsidR="00562D9C" w:rsidRPr="00702AD2" w:rsidRDefault="00562D9C" w:rsidP="00562D9C">
      <w:pPr>
        <w:autoSpaceDE w:val="0"/>
        <w:autoSpaceDN w:val="0"/>
        <w:adjustRightInd w:val="0"/>
        <w:jc w:val="both"/>
        <w:rPr>
          <w:rFonts w:ascii="Abadi" w:hAnsi="Abadi" w:cs="Arial-BoldMT"/>
          <w:b/>
          <w:bCs/>
          <w:sz w:val="21"/>
          <w:szCs w:val="21"/>
        </w:rPr>
      </w:pPr>
      <w:r w:rsidRPr="00702AD2">
        <w:rPr>
          <w:rFonts w:ascii="Abadi" w:hAnsi="Abadi" w:cs="Arial-BoldMT"/>
          <w:b/>
          <w:bCs/>
          <w:sz w:val="21"/>
          <w:szCs w:val="21"/>
        </w:rPr>
        <w:t>Presidenta del Congreso del Estado</w:t>
      </w:r>
    </w:p>
    <w:p w14:paraId="6C96B98E" w14:textId="77777777" w:rsidR="00562D9C" w:rsidRPr="00702AD2" w:rsidRDefault="00562D9C" w:rsidP="00562D9C">
      <w:pPr>
        <w:autoSpaceDE w:val="0"/>
        <w:autoSpaceDN w:val="0"/>
        <w:adjustRightInd w:val="0"/>
        <w:jc w:val="both"/>
        <w:rPr>
          <w:rFonts w:ascii="Abadi" w:hAnsi="Abadi" w:cs="Arial-BoldMT"/>
          <w:b/>
          <w:bCs/>
          <w:sz w:val="21"/>
          <w:szCs w:val="21"/>
        </w:rPr>
      </w:pPr>
      <w:r w:rsidRPr="00702AD2">
        <w:rPr>
          <w:rFonts w:ascii="Abadi" w:hAnsi="Abadi" w:cs="Arial-BoldMT"/>
          <w:b/>
          <w:bCs/>
          <w:sz w:val="21"/>
          <w:szCs w:val="21"/>
        </w:rPr>
        <w:t>P r e s e n t e.</w:t>
      </w:r>
    </w:p>
    <w:p w14:paraId="6D59754B" w14:textId="77777777" w:rsidR="00562D9C" w:rsidRPr="00702AD2" w:rsidRDefault="00562D9C" w:rsidP="00562D9C">
      <w:pPr>
        <w:autoSpaceDE w:val="0"/>
        <w:autoSpaceDN w:val="0"/>
        <w:adjustRightInd w:val="0"/>
        <w:jc w:val="both"/>
        <w:rPr>
          <w:rFonts w:ascii="Abadi" w:hAnsi="Abadi" w:cs="Arial-BoldMT"/>
          <w:b/>
          <w:bCs/>
          <w:sz w:val="21"/>
          <w:szCs w:val="21"/>
        </w:rPr>
      </w:pPr>
    </w:p>
    <w:p w14:paraId="1BF5B011"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Las diputadas y el diputado que integramos la Comisión de Educación, Ciencia y Tecnología y Cultura de la Sexagésima Quinta Legislatura del Congreso del Estado de Guanajuato, en los términos del artículo 176 de la Ley Orgánica del Poder</w:t>
      </w:r>
      <w:r>
        <w:rPr>
          <w:rFonts w:ascii="Abadi" w:hAnsi="Abadi" w:cs="ArialMT"/>
          <w:sz w:val="21"/>
          <w:szCs w:val="21"/>
        </w:rPr>
        <w:t xml:space="preserve"> </w:t>
      </w:r>
      <w:r w:rsidRPr="00702AD2">
        <w:rPr>
          <w:rFonts w:ascii="Abadi" w:hAnsi="Abadi" w:cs="ArialMT"/>
          <w:sz w:val="21"/>
          <w:szCs w:val="21"/>
        </w:rPr>
        <w:t>Legislativo del Estado, recibimos para efecto de estudio y dictamen la iniciativa</w:t>
      </w:r>
      <w:r>
        <w:rPr>
          <w:rFonts w:ascii="Abadi" w:hAnsi="Abadi" w:cs="ArialMT"/>
          <w:sz w:val="21"/>
          <w:szCs w:val="21"/>
        </w:rPr>
        <w:t xml:space="preserve"> </w:t>
      </w:r>
      <w:r w:rsidRPr="00702AD2">
        <w:rPr>
          <w:rFonts w:ascii="Abadi" w:hAnsi="Abadi" w:cs="ArialMT"/>
          <w:sz w:val="21"/>
          <w:szCs w:val="21"/>
        </w:rPr>
        <w:t>formulada por la diputada y el diputado integrantes del grupo parlamentario Partido</w:t>
      </w:r>
      <w:r>
        <w:rPr>
          <w:rFonts w:ascii="Abadi" w:hAnsi="Abadi" w:cs="ArialMT"/>
          <w:sz w:val="21"/>
          <w:szCs w:val="21"/>
        </w:rPr>
        <w:t xml:space="preserve"> </w:t>
      </w:r>
      <w:r w:rsidRPr="00702AD2">
        <w:rPr>
          <w:rFonts w:ascii="Abadi" w:hAnsi="Abadi" w:cs="ArialMT"/>
          <w:sz w:val="21"/>
          <w:szCs w:val="21"/>
        </w:rPr>
        <w:t>Verde Ecologista de México, en la Sexagésima Cuarta Legislatura, por la cual se</w:t>
      </w:r>
      <w:r>
        <w:rPr>
          <w:rFonts w:ascii="Abadi" w:hAnsi="Abadi" w:cs="ArialMT"/>
          <w:sz w:val="21"/>
          <w:szCs w:val="21"/>
        </w:rPr>
        <w:t xml:space="preserve"> </w:t>
      </w:r>
      <w:r w:rsidRPr="00702AD2">
        <w:rPr>
          <w:rFonts w:ascii="Abadi" w:hAnsi="Abadi" w:cs="ArialMT"/>
          <w:sz w:val="21"/>
          <w:szCs w:val="21"/>
        </w:rPr>
        <w:t>reforman y adicionan diversos artículos de la Ley de Educación para el Estado de</w:t>
      </w:r>
      <w:r>
        <w:rPr>
          <w:rFonts w:ascii="Abadi" w:hAnsi="Abadi" w:cs="ArialMT"/>
          <w:sz w:val="21"/>
          <w:szCs w:val="21"/>
        </w:rPr>
        <w:t xml:space="preserve"> </w:t>
      </w:r>
      <w:r w:rsidRPr="00702AD2">
        <w:rPr>
          <w:rFonts w:ascii="Abadi" w:hAnsi="Abadi" w:cs="ArialMT"/>
          <w:sz w:val="21"/>
          <w:szCs w:val="21"/>
        </w:rPr>
        <w:t>Guanajuato.</w:t>
      </w:r>
    </w:p>
    <w:p w14:paraId="3B702C5B" w14:textId="77777777" w:rsidR="00562D9C" w:rsidRPr="00702AD2" w:rsidRDefault="00562D9C" w:rsidP="00562D9C">
      <w:pPr>
        <w:autoSpaceDE w:val="0"/>
        <w:autoSpaceDN w:val="0"/>
        <w:adjustRightInd w:val="0"/>
        <w:jc w:val="both"/>
        <w:rPr>
          <w:rFonts w:ascii="Abadi" w:hAnsi="Abadi" w:cs="ArialMT"/>
          <w:sz w:val="21"/>
          <w:szCs w:val="21"/>
        </w:rPr>
      </w:pPr>
    </w:p>
    <w:p w14:paraId="59627107"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Esta Comisión, con fundamento en lo dispuesto por los artículos 89 fracción</w:t>
      </w:r>
      <w:r>
        <w:rPr>
          <w:rFonts w:ascii="Abadi" w:hAnsi="Abadi" w:cs="ArialMT"/>
          <w:sz w:val="21"/>
          <w:szCs w:val="21"/>
        </w:rPr>
        <w:t xml:space="preserve"> </w:t>
      </w:r>
      <w:r w:rsidRPr="00702AD2">
        <w:rPr>
          <w:rFonts w:ascii="Abadi" w:hAnsi="Abadi" w:cs="ArialMT"/>
          <w:sz w:val="21"/>
          <w:szCs w:val="21"/>
        </w:rPr>
        <w:t>V, 109 fracción I y 171 de la Ley Orgánica del Poder Legislativo del Estado de</w:t>
      </w:r>
      <w:r>
        <w:rPr>
          <w:rFonts w:ascii="Abadi" w:hAnsi="Abadi" w:cs="ArialMT"/>
          <w:sz w:val="21"/>
          <w:szCs w:val="21"/>
        </w:rPr>
        <w:t xml:space="preserve"> </w:t>
      </w:r>
      <w:r w:rsidRPr="00702AD2">
        <w:rPr>
          <w:rFonts w:ascii="Abadi" w:hAnsi="Abadi" w:cs="ArialMT"/>
          <w:sz w:val="21"/>
          <w:szCs w:val="21"/>
        </w:rPr>
        <w:t>Guanajuato, formulamos a la Asamblea el presente dictamen, con base en las</w:t>
      </w:r>
      <w:r>
        <w:rPr>
          <w:rFonts w:ascii="Abadi" w:hAnsi="Abadi" w:cs="ArialMT"/>
          <w:sz w:val="21"/>
          <w:szCs w:val="21"/>
        </w:rPr>
        <w:t xml:space="preserve"> </w:t>
      </w:r>
      <w:r w:rsidRPr="00702AD2">
        <w:rPr>
          <w:rFonts w:ascii="Abadi" w:hAnsi="Abadi" w:cs="ArialMT"/>
          <w:sz w:val="21"/>
          <w:szCs w:val="21"/>
        </w:rPr>
        <w:t>siguientes:</w:t>
      </w:r>
    </w:p>
    <w:p w14:paraId="30970ECF" w14:textId="77777777" w:rsidR="00562D9C" w:rsidRPr="00702AD2" w:rsidRDefault="00562D9C" w:rsidP="00562D9C">
      <w:pPr>
        <w:autoSpaceDE w:val="0"/>
        <w:autoSpaceDN w:val="0"/>
        <w:adjustRightInd w:val="0"/>
        <w:jc w:val="both"/>
        <w:rPr>
          <w:rFonts w:ascii="Abadi" w:hAnsi="Abadi" w:cs="ArialMT"/>
          <w:sz w:val="21"/>
          <w:szCs w:val="21"/>
        </w:rPr>
      </w:pPr>
    </w:p>
    <w:p w14:paraId="2E1FD8F1" w14:textId="77777777" w:rsidR="00562D9C" w:rsidRPr="00702AD2" w:rsidRDefault="00562D9C" w:rsidP="00562D9C">
      <w:pPr>
        <w:autoSpaceDE w:val="0"/>
        <w:autoSpaceDN w:val="0"/>
        <w:adjustRightInd w:val="0"/>
        <w:jc w:val="center"/>
        <w:rPr>
          <w:rFonts w:ascii="Abadi" w:hAnsi="Abadi" w:cs="Arial-BoldMT"/>
          <w:b/>
          <w:bCs/>
          <w:sz w:val="21"/>
          <w:szCs w:val="21"/>
        </w:rPr>
      </w:pPr>
      <w:r w:rsidRPr="00702AD2">
        <w:rPr>
          <w:rFonts w:ascii="Abadi" w:hAnsi="Abadi" w:cs="Arial-BoldMT"/>
          <w:b/>
          <w:bCs/>
          <w:sz w:val="21"/>
          <w:szCs w:val="21"/>
        </w:rPr>
        <w:t>Consideraciones</w:t>
      </w:r>
    </w:p>
    <w:p w14:paraId="16D262CE" w14:textId="77777777" w:rsidR="00562D9C" w:rsidRDefault="00562D9C" w:rsidP="00562D9C">
      <w:pPr>
        <w:autoSpaceDE w:val="0"/>
        <w:autoSpaceDN w:val="0"/>
        <w:adjustRightInd w:val="0"/>
        <w:jc w:val="center"/>
        <w:rPr>
          <w:rFonts w:ascii="Abadi" w:hAnsi="Abadi" w:cs="Arial-BoldMT"/>
          <w:b/>
          <w:bCs/>
          <w:sz w:val="21"/>
          <w:szCs w:val="21"/>
        </w:rPr>
      </w:pPr>
    </w:p>
    <w:p w14:paraId="202536BB" w14:textId="77777777" w:rsidR="00562D9C" w:rsidRDefault="00562D9C" w:rsidP="00562D9C">
      <w:pPr>
        <w:autoSpaceDE w:val="0"/>
        <w:autoSpaceDN w:val="0"/>
        <w:adjustRightInd w:val="0"/>
        <w:ind w:firstLine="708"/>
        <w:rPr>
          <w:rFonts w:ascii="Abadi" w:hAnsi="Abadi" w:cs="Arial-BoldMT"/>
          <w:b/>
          <w:bCs/>
          <w:sz w:val="21"/>
          <w:szCs w:val="21"/>
        </w:rPr>
      </w:pPr>
      <w:r w:rsidRPr="00702AD2">
        <w:rPr>
          <w:rFonts w:ascii="Abadi" w:hAnsi="Abadi" w:cs="Arial-BoldMT"/>
          <w:b/>
          <w:bCs/>
          <w:sz w:val="21"/>
          <w:szCs w:val="21"/>
        </w:rPr>
        <w:t>Antecedentes</w:t>
      </w:r>
    </w:p>
    <w:p w14:paraId="4EB158C2" w14:textId="77777777" w:rsidR="00562D9C" w:rsidRPr="00702AD2" w:rsidRDefault="00562D9C" w:rsidP="00562D9C">
      <w:pPr>
        <w:autoSpaceDE w:val="0"/>
        <w:autoSpaceDN w:val="0"/>
        <w:adjustRightInd w:val="0"/>
        <w:jc w:val="center"/>
        <w:rPr>
          <w:rFonts w:ascii="Abadi" w:hAnsi="Abadi" w:cs="Arial-BoldMT"/>
          <w:b/>
          <w:bCs/>
          <w:sz w:val="21"/>
          <w:szCs w:val="21"/>
        </w:rPr>
      </w:pPr>
    </w:p>
    <w:p w14:paraId="04A6E67E"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En sesión ordinaria de fecha 13 de mayo del 2021, la presidencia de la Mesa</w:t>
      </w:r>
      <w:r>
        <w:rPr>
          <w:rFonts w:ascii="Abadi" w:hAnsi="Abadi" w:cs="ArialMT"/>
          <w:sz w:val="21"/>
          <w:szCs w:val="21"/>
        </w:rPr>
        <w:t xml:space="preserve"> </w:t>
      </w:r>
      <w:r w:rsidRPr="00702AD2">
        <w:rPr>
          <w:rFonts w:ascii="Abadi" w:hAnsi="Abadi" w:cs="ArialMT"/>
          <w:sz w:val="21"/>
          <w:szCs w:val="21"/>
        </w:rPr>
        <w:t>Directiva turnó a la Comisión de Educación, Ciencia y Tecnología de la Sexagésima</w:t>
      </w:r>
      <w:r>
        <w:rPr>
          <w:rFonts w:ascii="Abadi" w:hAnsi="Abadi" w:cs="ArialMT"/>
          <w:sz w:val="21"/>
          <w:szCs w:val="21"/>
        </w:rPr>
        <w:t xml:space="preserve"> </w:t>
      </w:r>
      <w:r w:rsidRPr="00702AD2">
        <w:rPr>
          <w:rFonts w:ascii="Abadi" w:hAnsi="Abadi" w:cs="ArialMT"/>
          <w:sz w:val="21"/>
          <w:szCs w:val="21"/>
        </w:rPr>
        <w:t>Cuarta Legislatura, para efectos de su estudio y dictamen, la iniciativa referida en el</w:t>
      </w:r>
      <w:r>
        <w:rPr>
          <w:rFonts w:ascii="Abadi" w:hAnsi="Abadi" w:cs="ArialMT"/>
          <w:sz w:val="21"/>
          <w:szCs w:val="21"/>
        </w:rPr>
        <w:t xml:space="preserve"> </w:t>
      </w:r>
      <w:r w:rsidRPr="00702AD2">
        <w:rPr>
          <w:rFonts w:ascii="Abadi" w:hAnsi="Abadi" w:cs="ArialMT"/>
          <w:sz w:val="21"/>
          <w:szCs w:val="21"/>
        </w:rPr>
        <w:t>proemio del presente dictamen, con fundamento en el artículo 109 fracción I de la</w:t>
      </w:r>
      <w:r>
        <w:rPr>
          <w:rFonts w:ascii="Abadi" w:hAnsi="Abadi" w:cs="ArialMT"/>
          <w:sz w:val="21"/>
          <w:szCs w:val="21"/>
        </w:rPr>
        <w:t xml:space="preserve"> </w:t>
      </w:r>
      <w:r w:rsidRPr="00702AD2">
        <w:rPr>
          <w:rFonts w:ascii="Abadi" w:hAnsi="Abadi" w:cs="ArialMT"/>
          <w:sz w:val="21"/>
          <w:szCs w:val="21"/>
        </w:rPr>
        <w:t>Ley Orgánica del Poder Legislativo del Estado de Guanajuato, misma que fue</w:t>
      </w:r>
      <w:r>
        <w:rPr>
          <w:rFonts w:ascii="Abadi" w:hAnsi="Abadi" w:cs="ArialMT"/>
          <w:sz w:val="21"/>
          <w:szCs w:val="21"/>
        </w:rPr>
        <w:t xml:space="preserve"> </w:t>
      </w:r>
      <w:r w:rsidRPr="00702AD2">
        <w:rPr>
          <w:rFonts w:ascii="Abadi" w:hAnsi="Abadi" w:cs="ArialMT"/>
          <w:sz w:val="21"/>
          <w:szCs w:val="21"/>
        </w:rPr>
        <w:t>radicada por la Comisión en fecha 20 de mayo del mismo año.</w:t>
      </w:r>
    </w:p>
    <w:p w14:paraId="11E5255A" w14:textId="77777777" w:rsidR="00562D9C" w:rsidRPr="00702AD2" w:rsidRDefault="00562D9C" w:rsidP="00562D9C">
      <w:pPr>
        <w:autoSpaceDE w:val="0"/>
        <w:autoSpaceDN w:val="0"/>
        <w:adjustRightInd w:val="0"/>
        <w:jc w:val="both"/>
        <w:rPr>
          <w:rFonts w:ascii="Abadi" w:hAnsi="Abadi" w:cs="ArialMT"/>
          <w:sz w:val="21"/>
          <w:szCs w:val="21"/>
        </w:rPr>
      </w:pPr>
    </w:p>
    <w:p w14:paraId="1ED69C4E"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Quienes integramos la Comisión de Educación, Ciencia y</w:t>
      </w:r>
      <w:r>
        <w:rPr>
          <w:rFonts w:ascii="Abadi" w:hAnsi="Abadi" w:cs="ArialMT"/>
          <w:sz w:val="21"/>
          <w:szCs w:val="21"/>
        </w:rPr>
        <w:t xml:space="preserve"> </w:t>
      </w:r>
      <w:r w:rsidRPr="00702AD2">
        <w:rPr>
          <w:rFonts w:ascii="Abadi" w:hAnsi="Abadi" w:cs="ArialMT"/>
          <w:sz w:val="21"/>
          <w:szCs w:val="21"/>
        </w:rPr>
        <w:t>Tecnología y</w:t>
      </w:r>
      <w:r>
        <w:rPr>
          <w:rFonts w:ascii="Abadi" w:hAnsi="Abadi" w:cs="ArialMT"/>
          <w:sz w:val="21"/>
          <w:szCs w:val="21"/>
        </w:rPr>
        <w:t xml:space="preserve"> </w:t>
      </w:r>
      <w:r w:rsidRPr="00702AD2">
        <w:rPr>
          <w:rFonts w:ascii="Abadi" w:hAnsi="Abadi" w:cs="ArialMT"/>
          <w:sz w:val="21"/>
          <w:szCs w:val="21"/>
        </w:rPr>
        <w:t>Cultura, recibimos los pendientes legislativos de la Sexagésima Cuarta Legislatura</w:t>
      </w:r>
      <w:r>
        <w:rPr>
          <w:rFonts w:ascii="Abadi" w:hAnsi="Abadi" w:cs="ArialMT"/>
          <w:sz w:val="21"/>
          <w:szCs w:val="21"/>
        </w:rPr>
        <w:t xml:space="preserve"> </w:t>
      </w:r>
      <w:r w:rsidRPr="00702AD2">
        <w:rPr>
          <w:rFonts w:ascii="Abadi" w:hAnsi="Abadi" w:cs="ArialMT"/>
          <w:sz w:val="21"/>
          <w:szCs w:val="21"/>
        </w:rPr>
        <w:t>en fecha 12 de octubre del año 2021, dentro de los cuales se encontraba la iniciativa</w:t>
      </w:r>
      <w:r>
        <w:rPr>
          <w:rFonts w:ascii="Abadi" w:hAnsi="Abadi" w:cs="ArialMT"/>
          <w:sz w:val="21"/>
          <w:szCs w:val="21"/>
        </w:rPr>
        <w:t xml:space="preserve"> </w:t>
      </w:r>
      <w:r w:rsidRPr="00702AD2">
        <w:rPr>
          <w:rFonts w:ascii="Abadi" w:hAnsi="Abadi" w:cs="ArialMT"/>
          <w:sz w:val="21"/>
          <w:szCs w:val="21"/>
        </w:rPr>
        <w:t>que ahora se dictamina.</w:t>
      </w:r>
      <w:r>
        <w:rPr>
          <w:rFonts w:ascii="Abadi" w:hAnsi="Abadi" w:cs="ArialMT"/>
          <w:sz w:val="21"/>
          <w:szCs w:val="21"/>
        </w:rPr>
        <w:t xml:space="preserve"> </w:t>
      </w:r>
    </w:p>
    <w:p w14:paraId="2A370F10" w14:textId="77777777" w:rsidR="00562D9C" w:rsidRPr="00702AD2" w:rsidRDefault="00562D9C" w:rsidP="00562D9C">
      <w:pPr>
        <w:autoSpaceDE w:val="0"/>
        <w:autoSpaceDN w:val="0"/>
        <w:adjustRightInd w:val="0"/>
        <w:jc w:val="both"/>
        <w:rPr>
          <w:rFonts w:ascii="Abadi" w:hAnsi="Abadi" w:cs="ArialMT"/>
          <w:sz w:val="21"/>
          <w:szCs w:val="21"/>
        </w:rPr>
      </w:pPr>
    </w:p>
    <w:p w14:paraId="1D49B188"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La presidencia de esta Comisión Educación, Ciencia y Tecnología y Cultura</w:t>
      </w:r>
      <w:r>
        <w:rPr>
          <w:rFonts w:ascii="Abadi" w:hAnsi="Abadi" w:cs="ArialMT"/>
          <w:sz w:val="21"/>
          <w:szCs w:val="21"/>
        </w:rPr>
        <w:t xml:space="preserve"> </w:t>
      </w:r>
      <w:r w:rsidRPr="00702AD2">
        <w:rPr>
          <w:rFonts w:ascii="Abadi" w:hAnsi="Abadi" w:cs="ArialMT"/>
          <w:sz w:val="21"/>
          <w:szCs w:val="21"/>
        </w:rPr>
        <w:t>con fundamento en los artículos 94 fracción VII y 272 fracción VIII inciso e) de la Ley</w:t>
      </w:r>
      <w:r>
        <w:rPr>
          <w:rFonts w:ascii="Abadi" w:hAnsi="Abadi" w:cs="ArialMT"/>
          <w:sz w:val="21"/>
          <w:szCs w:val="21"/>
        </w:rPr>
        <w:t xml:space="preserve"> </w:t>
      </w:r>
      <w:r w:rsidRPr="00702AD2">
        <w:rPr>
          <w:rFonts w:ascii="Abadi" w:hAnsi="Abadi" w:cs="ArialMT"/>
          <w:sz w:val="21"/>
          <w:szCs w:val="21"/>
        </w:rPr>
        <w:t>Orgánica del Poder Legislativo del Estado de Guanajuato instruyó a la Secretaría</w:t>
      </w:r>
      <w:r>
        <w:rPr>
          <w:rFonts w:ascii="Abadi" w:hAnsi="Abadi" w:cs="ArialMT"/>
          <w:sz w:val="21"/>
          <w:szCs w:val="21"/>
        </w:rPr>
        <w:t xml:space="preserve"> </w:t>
      </w:r>
      <w:r w:rsidRPr="00702AD2">
        <w:rPr>
          <w:rFonts w:ascii="Abadi" w:hAnsi="Abadi" w:cs="ArialMT"/>
          <w:sz w:val="21"/>
          <w:szCs w:val="21"/>
        </w:rPr>
        <w:t>Técnica para que elaborara el proyecto de dictamen, mismo que fue materia de</w:t>
      </w:r>
      <w:r>
        <w:rPr>
          <w:rFonts w:ascii="Abadi" w:hAnsi="Abadi" w:cs="ArialMT"/>
          <w:sz w:val="21"/>
          <w:szCs w:val="21"/>
        </w:rPr>
        <w:t xml:space="preserve"> </w:t>
      </w:r>
      <w:r w:rsidRPr="00702AD2">
        <w:rPr>
          <w:rFonts w:ascii="Abadi" w:hAnsi="Abadi" w:cs="ArialMT"/>
          <w:sz w:val="21"/>
          <w:szCs w:val="21"/>
        </w:rPr>
        <w:t>revisión por quienes integran esta comisión.</w:t>
      </w:r>
    </w:p>
    <w:p w14:paraId="2F2C6448" w14:textId="77777777" w:rsidR="00562D9C" w:rsidRPr="00702AD2" w:rsidRDefault="00562D9C" w:rsidP="00562D9C">
      <w:pPr>
        <w:autoSpaceDE w:val="0"/>
        <w:autoSpaceDN w:val="0"/>
        <w:adjustRightInd w:val="0"/>
        <w:jc w:val="both"/>
        <w:rPr>
          <w:rFonts w:ascii="Abadi" w:hAnsi="Abadi" w:cs="ArialMT"/>
          <w:sz w:val="21"/>
          <w:szCs w:val="21"/>
        </w:rPr>
      </w:pPr>
    </w:p>
    <w:p w14:paraId="550FE8A2" w14:textId="77777777" w:rsidR="00562D9C" w:rsidRDefault="00562D9C" w:rsidP="00562D9C">
      <w:pPr>
        <w:autoSpaceDE w:val="0"/>
        <w:autoSpaceDN w:val="0"/>
        <w:adjustRightInd w:val="0"/>
        <w:ind w:firstLine="708"/>
        <w:jc w:val="both"/>
        <w:rPr>
          <w:rFonts w:ascii="Abadi" w:hAnsi="Abadi" w:cs="Arial-BoldMT"/>
          <w:b/>
          <w:bCs/>
          <w:sz w:val="21"/>
          <w:szCs w:val="21"/>
        </w:rPr>
      </w:pPr>
      <w:r w:rsidRPr="00702AD2">
        <w:rPr>
          <w:rFonts w:ascii="Abadi" w:hAnsi="Abadi" w:cs="Arial-BoldMT"/>
          <w:b/>
          <w:bCs/>
          <w:sz w:val="21"/>
          <w:szCs w:val="21"/>
        </w:rPr>
        <w:t>Contenido de la propuesta de la iniciativa:</w:t>
      </w:r>
    </w:p>
    <w:p w14:paraId="5E5C7DD2" w14:textId="77777777" w:rsidR="00562D9C" w:rsidRPr="00702AD2" w:rsidRDefault="00562D9C" w:rsidP="00562D9C">
      <w:pPr>
        <w:autoSpaceDE w:val="0"/>
        <w:autoSpaceDN w:val="0"/>
        <w:adjustRightInd w:val="0"/>
        <w:jc w:val="both"/>
        <w:rPr>
          <w:rFonts w:ascii="Abadi" w:hAnsi="Abadi" w:cs="Arial-BoldMT"/>
          <w:b/>
          <w:bCs/>
          <w:sz w:val="21"/>
          <w:szCs w:val="21"/>
        </w:rPr>
      </w:pPr>
    </w:p>
    <w:p w14:paraId="1D53BB81" w14:textId="77777777" w:rsidR="00562D9C" w:rsidRPr="00702AD2"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La iniciativa pretende reformar los artículos 5, fracciones VIII y IX; 15, fracción VII;</w:t>
      </w:r>
      <w:r>
        <w:rPr>
          <w:rFonts w:ascii="Abadi" w:hAnsi="Abadi" w:cs="ArialMT"/>
          <w:sz w:val="21"/>
          <w:szCs w:val="21"/>
        </w:rPr>
        <w:t xml:space="preserve"> </w:t>
      </w:r>
      <w:r w:rsidRPr="00702AD2">
        <w:rPr>
          <w:rFonts w:ascii="Abadi" w:hAnsi="Abadi" w:cs="ArialMT"/>
          <w:sz w:val="21"/>
          <w:szCs w:val="21"/>
        </w:rPr>
        <w:t>29, fracción IV; 41, fracción II; y 42, fracciones X, XXI y XXXI; así como adicionar</w:t>
      </w:r>
      <w:r>
        <w:rPr>
          <w:rFonts w:ascii="Abadi" w:hAnsi="Abadi" w:cs="ArialMT"/>
          <w:sz w:val="21"/>
          <w:szCs w:val="21"/>
        </w:rPr>
        <w:t xml:space="preserve"> </w:t>
      </w:r>
      <w:r w:rsidRPr="00702AD2">
        <w:rPr>
          <w:rFonts w:ascii="Abadi" w:hAnsi="Abadi" w:cs="ArialMT"/>
          <w:sz w:val="21"/>
          <w:szCs w:val="21"/>
        </w:rPr>
        <w:t>los artículos 3, fracción III bis; 14, fracción III bis; 18, fracción VI bis; 42, fracción</w:t>
      </w:r>
      <w:r>
        <w:rPr>
          <w:rFonts w:ascii="Abadi" w:hAnsi="Abadi" w:cs="ArialMT"/>
          <w:sz w:val="21"/>
          <w:szCs w:val="21"/>
        </w:rPr>
        <w:t xml:space="preserve"> </w:t>
      </w:r>
      <w:r w:rsidRPr="00702AD2">
        <w:rPr>
          <w:rFonts w:ascii="Abadi" w:hAnsi="Abadi" w:cs="ArialMT"/>
          <w:sz w:val="21"/>
          <w:szCs w:val="21"/>
        </w:rPr>
        <w:t>XLVIII bis, 57, párrafos segundo y tercero; 64, párrafo tercero; y 104, párrafo</w:t>
      </w:r>
      <w:r>
        <w:rPr>
          <w:rFonts w:ascii="Abadi" w:hAnsi="Abadi" w:cs="ArialMT"/>
          <w:sz w:val="21"/>
          <w:szCs w:val="21"/>
        </w:rPr>
        <w:t xml:space="preserve"> </w:t>
      </w:r>
      <w:r w:rsidRPr="00702AD2">
        <w:rPr>
          <w:rFonts w:ascii="Abadi" w:hAnsi="Abadi" w:cs="ArialMT"/>
          <w:sz w:val="21"/>
          <w:szCs w:val="21"/>
        </w:rPr>
        <w:t>segundo todos de la Ley de Educación para el Estado de Guanajuato.</w:t>
      </w:r>
    </w:p>
    <w:p w14:paraId="304D1204" w14:textId="77777777" w:rsidR="00562D9C" w:rsidRDefault="00562D9C" w:rsidP="00562D9C">
      <w:pPr>
        <w:autoSpaceDE w:val="0"/>
        <w:autoSpaceDN w:val="0"/>
        <w:adjustRightInd w:val="0"/>
        <w:jc w:val="both"/>
        <w:rPr>
          <w:rFonts w:ascii="Abadi" w:hAnsi="Abadi" w:cs="Arial-BoldMT"/>
          <w:b/>
          <w:bCs/>
          <w:sz w:val="21"/>
          <w:szCs w:val="21"/>
        </w:rPr>
      </w:pPr>
    </w:p>
    <w:p w14:paraId="17B8E83D" w14:textId="77777777" w:rsidR="00562D9C" w:rsidRPr="00702AD2" w:rsidRDefault="00562D9C" w:rsidP="00562D9C">
      <w:pPr>
        <w:autoSpaceDE w:val="0"/>
        <w:autoSpaceDN w:val="0"/>
        <w:adjustRightInd w:val="0"/>
        <w:ind w:firstLine="708"/>
        <w:jc w:val="both"/>
        <w:rPr>
          <w:rFonts w:ascii="Abadi" w:hAnsi="Abadi" w:cs="Arial-BoldMT"/>
          <w:b/>
          <w:bCs/>
          <w:sz w:val="21"/>
          <w:szCs w:val="21"/>
        </w:rPr>
      </w:pPr>
      <w:r w:rsidRPr="00702AD2">
        <w:rPr>
          <w:rFonts w:ascii="Abadi" w:hAnsi="Abadi" w:cs="Arial-BoldMT"/>
          <w:b/>
          <w:bCs/>
          <w:sz w:val="21"/>
          <w:szCs w:val="21"/>
        </w:rPr>
        <w:t>I. Consideraciones de la Comisión de Educación, Ciencia y Tecnología y</w:t>
      </w:r>
    </w:p>
    <w:p w14:paraId="2BB23C43" w14:textId="77777777" w:rsidR="00562D9C" w:rsidRDefault="00562D9C" w:rsidP="00562D9C">
      <w:pPr>
        <w:autoSpaceDE w:val="0"/>
        <w:autoSpaceDN w:val="0"/>
        <w:adjustRightInd w:val="0"/>
        <w:jc w:val="both"/>
        <w:rPr>
          <w:rFonts w:ascii="Abadi" w:hAnsi="Abadi" w:cs="Arial-BoldMT"/>
          <w:b/>
          <w:bCs/>
          <w:sz w:val="21"/>
          <w:szCs w:val="21"/>
        </w:rPr>
      </w:pPr>
      <w:r w:rsidRPr="00702AD2">
        <w:rPr>
          <w:rFonts w:ascii="Abadi" w:hAnsi="Abadi" w:cs="Arial-BoldMT"/>
          <w:b/>
          <w:bCs/>
          <w:sz w:val="21"/>
          <w:szCs w:val="21"/>
        </w:rPr>
        <w:t>Cultura.</w:t>
      </w:r>
    </w:p>
    <w:p w14:paraId="6FBE907B" w14:textId="77777777" w:rsidR="00562D9C" w:rsidRPr="00702AD2" w:rsidRDefault="00562D9C" w:rsidP="00562D9C">
      <w:pPr>
        <w:autoSpaceDE w:val="0"/>
        <w:autoSpaceDN w:val="0"/>
        <w:adjustRightInd w:val="0"/>
        <w:jc w:val="both"/>
        <w:rPr>
          <w:rFonts w:ascii="Abadi" w:hAnsi="Abadi" w:cs="Arial-BoldMT"/>
          <w:b/>
          <w:bCs/>
          <w:sz w:val="21"/>
          <w:szCs w:val="21"/>
        </w:rPr>
      </w:pPr>
    </w:p>
    <w:p w14:paraId="7CB9BD16"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De conformidad con lo dispuesto por el artículo 109 de la Ley Orgánica del</w:t>
      </w:r>
      <w:r>
        <w:rPr>
          <w:rFonts w:ascii="Abadi" w:hAnsi="Abadi" w:cs="ArialMT"/>
          <w:sz w:val="21"/>
          <w:szCs w:val="21"/>
        </w:rPr>
        <w:t xml:space="preserve"> </w:t>
      </w:r>
      <w:r w:rsidRPr="00702AD2">
        <w:rPr>
          <w:rFonts w:ascii="Abadi" w:hAnsi="Abadi" w:cs="ArialMT"/>
          <w:sz w:val="21"/>
          <w:szCs w:val="21"/>
        </w:rPr>
        <w:t>Poder Legislativo del Estado de Guanajuato, el estudio y conocimiento del presente</w:t>
      </w:r>
      <w:r>
        <w:rPr>
          <w:rFonts w:ascii="Abadi" w:hAnsi="Abadi" w:cs="ArialMT"/>
          <w:sz w:val="21"/>
          <w:szCs w:val="21"/>
        </w:rPr>
        <w:t xml:space="preserve"> </w:t>
      </w:r>
      <w:r w:rsidRPr="00702AD2">
        <w:rPr>
          <w:rFonts w:ascii="Abadi" w:hAnsi="Abadi" w:cs="ArialMT"/>
          <w:sz w:val="21"/>
          <w:szCs w:val="21"/>
        </w:rPr>
        <w:t>asunto es competencia de la Comisión que ahora dictamina.</w:t>
      </w:r>
      <w:r>
        <w:rPr>
          <w:rFonts w:ascii="Abadi" w:hAnsi="Abadi" w:cs="ArialMT"/>
          <w:sz w:val="21"/>
          <w:szCs w:val="21"/>
        </w:rPr>
        <w:t xml:space="preserve"> </w:t>
      </w:r>
    </w:p>
    <w:p w14:paraId="7C97DF50" w14:textId="77777777" w:rsidR="00562D9C" w:rsidRDefault="00562D9C" w:rsidP="00562D9C">
      <w:pPr>
        <w:autoSpaceDE w:val="0"/>
        <w:autoSpaceDN w:val="0"/>
        <w:adjustRightInd w:val="0"/>
        <w:jc w:val="both"/>
        <w:rPr>
          <w:rFonts w:ascii="Abadi" w:hAnsi="Abadi" w:cs="ArialMT"/>
          <w:sz w:val="21"/>
          <w:szCs w:val="21"/>
        </w:rPr>
      </w:pPr>
    </w:p>
    <w:p w14:paraId="695EF6AC" w14:textId="77777777" w:rsidR="00562D9C" w:rsidRPr="00702AD2" w:rsidRDefault="00562D9C" w:rsidP="00562D9C">
      <w:pPr>
        <w:autoSpaceDE w:val="0"/>
        <w:autoSpaceDN w:val="0"/>
        <w:adjustRightInd w:val="0"/>
        <w:ind w:left="567"/>
        <w:jc w:val="both"/>
        <w:rPr>
          <w:rFonts w:ascii="Abadi" w:hAnsi="Abadi" w:cs="ArialMT"/>
          <w:sz w:val="21"/>
          <w:szCs w:val="21"/>
        </w:rPr>
      </w:pPr>
      <w:r w:rsidRPr="00702AD2">
        <w:rPr>
          <w:rFonts w:ascii="Abadi" w:hAnsi="Abadi" w:cs="ArialMT"/>
          <w:sz w:val="21"/>
          <w:szCs w:val="21"/>
        </w:rPr>
        <w:t>La proponente manifestó en la parte expositiva de la iniciativa lo siguiente:</w:t>
      </w:r>
    </w:p>
    <w:p w14:paraId="7B2A1300" w14:textId="77777777" w:rsidR="00562D9C" w:rsidRPr="00702AD2" w:rsidRDefault="00562D9C" w:rsidP="00562D9C">
      <w:pPr>
        <w:autoSpaceDE w:val="0"/>
        <w:autoSpaceDN w:val="0"/>
        <w:adjustRightInd w:val="0"/>
        <w:ind w:left="567"/>
        <w:jc w:val="both"/>
        <w:rPr>
          <w:rFonts w:ascii="Abadi" w:hAnsi="Abadi" w:cs="Arial-ItalicMT"/>
          <w:i/>
          <w:iCs/>
          <w:sz w:val="21"/>
          <w:szCs w:val="21"/>
        </w:rPr>
      </w:pPr>
      <w:r w:rsidRPr="00702AD2">
        <w:rPr>
          <w:rFonts w:ascii="Abadi" w:hAnsi="Abadi" w:cs="Arial-ItalicMT"/>
          <w:i/>
          <w:iCs/>
          <w:sz w:val="21"/>
          <w:szCs w:val="21"/>
        </w:rPr>
        <w:t>“…</w:t>
      </w:r>
    </w:p>
    <w:p w14:paraId="1827E422" w14:textId="77777777" w:rsidR="00562D9C" w:rsidRPr="00702AD2" w:rsidRDefault="00562D9C" w:rsidP="00562D9C">
      <w:pPr>
        <w:autoSpaceDE w:val="0"/>
        <w:autoSpaceDN w:val="0"/>
        <w:adjustRightInd w:val="0"/>
        <w:ind w:left="567"/>
        <w:jc w:val="both"/>
        <w:rPr>
          <w:rFonts w:ascii="Abadi" w:hAnsi="Abadi" w:cs="Arial-ItalicMT"/>
          <w:i/>
          <w:iCs/>
          <w:sz w:val="21"/>
          <w:szCs w:val="21"/>
        </w:rPr>
      </w:pPr>
      <w:r w:rsidRPr="00702AD2">
        <w:rPr>
          <w:rFonts w:ascii="Abadi" w:hAnsi="Abadi" w:cs="Arial-ItalicMT"/>
          <w:i/>
          <w:iCs/>
          <w:sz w:val="21"/>
          <w:szCs w:val="21"/>
        </w:rPr>
        <w:t>Actualmente la discriminación por orientación sexual se ha convertido en uno de los</w:t>
      </w:r>
      <w:r>
        <w:rPr>
          <w:rFonts w:ascii="Abadi" w:hAnsi="Abadi" w:cs="Arial-ItalicMT"/>
          <w:i/>
          <w:iCs/>
          <w:sz w:val="21"/>
          <w:szCs w:val="21"/>
        </w:rPr>
        <w:t xml:space="preserve"> </w:t>
      </w:r>
      <w:r w:rsidRPr="00702AD2">
        <w:rPr>
          <w:rFonts w:ascii="Abadi" w:hAnsi="Abadi" w:cs="Arial-ItalicMT"/>
          <w:i/>
          <w:iCs/>
          <w:sz w:val="21"/>
          <w:szCs w:val="21"/>
        </w:rPr>
        <w:t>problemas más preocupantes de los sistemas escolares en gran parte del territorio</w:t>
      </w:r>
      <w:r>
        <w:rPr>
          <w:rFonts w:ascii="Abadi" w:hAnsi="Abadi" w:cs="Arial-ItalicMT"/>
          <w:i/>
          <w:iCs/>
          <w:sz w:val="21"/>
          <w:szCs w:val="21"/>
        </w:rPr>
        <w:t xml:space="preserve"> </w:t>
      </w:r>
      <w:r w:rsidRPr="00702AD2">
        <w:rPr>
          <w:rFonts w:ascii="Abadi" w:hAnsi="Abadi" w:cs="Arial-ItalicMT"/>
          <w:i/>
          <w:iCs/>
          <w:sz w:val="21"/>
          <w:szCs w:val="21"/>
        </w:rPr>
        <w:t>mexicano, ya que provoca daños psicoemocionales en las víctimas, y por ende las</w:t>
      </w:r>
      <w:r>
        <w:rPr>
          <w:rFonts w:ascii="Abadi" w:hAnsi="Abadi" w:cs="Arial-ItalicMT"/>
          <w:i/>
          <w:iCs/>
          <w:sz w:val="21"/>
          <w:szCs w:val="21"/>
        </w:rPr>
        <w:t xml:space="preserve"> </w:t>
      </w:r>
      <w:r w:rsidRPr="00702AD2">
        <w:rPr>
          <w:rFonts w:ascii="Abadi" w:hAnsi="Abadi" w:cs="Arial-ItalicMT"/>
          <w:i/>
          <w:iCs/>
          <w:sz w:val="21"/>
          <w:szCs w:val="21"/>
        </w:rPr>
        <w:t>relaciones entre estudiantes se vuelven más violentas, transformando las escuelas en</w:t>
      </w:r>
      <w:r>
        <w:rPr>
          <w:rFonts w:ascii="Abadi" w:hAnsi="Abadi" w:cs="Arial-ItalicMT"/>
          <w:i/>
          <w:iCs/>
          <w:sz w:val="21"/>
          <w:szCs w:val="21"/>
        </w:rPr>
        <w:t xml:space="preserve"> </w:t>
      </w:r>
      <w:r w:rsidRPr="00702AD2">
        <w:rPr>
          <w:rFonts w:ascii="Abadi" w:hAnsi="Abadi" w:cs="Arial-ItalicMT"/>
          <w:i/>
          <w:iCs/>
          <w:sz w:val="21"/>
          <w:szCs w:val="21"/>
        </w:rPr>
        <w:t>lugares inseguros y poco gratificantes para el aprendizaje y el desarrollo personal.</w:t>
      </w:r>
    </w:p>
    <w:p w14:paraId="4D67AD04" w14:textId="77777777" w:rsidR="00562D9C" w:rsidRPr="00702AD2" w:rsidRDefault="00562D9C" w:rsidP="00562D9C">
      <w:pPr>
        <w:ind w:left="567"/>
        <w:jc w:val="both"/>
        <w:rPr>
          <w:rFonts w:ascii="Abadi" w:hAnsi="Abadi" w:cs="Arial-ItalicMT"/>
          <w:i/>
          <w:iCs/>
          <w:sz w:val="21"/>
          <w:szCs w:val="21"/>
        </w:rPr>
      </w:pPr>
    </w:p>
    <w:p w14:paraId="1D6542EE" w14:textId="77777777" w:rsidR="00562D9C" w:rsidRDefault="00562D9C" w:rsidP="00562D9C">
      <w:pPr>
        <w:autoSpaceDE w:val="0"/>
        <w:autoSpaceDN w:val="0"/>
        <w:adjustRightInd w:val="0"/>
        <w:ind w:left="567"/>
        <w:jc w:val="both"/>
        <w:rPr>
          <w:rFonts w:ascii="Abadi" w:hAnsi="Abadi" w:cs="Arial-ItalicMT"/>
          <w:i/>
          <w:iCs/>
          <w:sz w:val="21"/>
          <w:szCs w:val="21"/>
        </w:rPr>
      </w:pPr>
      <w:r w:rsidRPr="00702AD2">
        <w:rPr>
          <w:rFonts w:ascii="Abadi" w:hAnsi="Abadi" w:cs="Arial-ItalicMT"/>
          <w:i/>
          <w:iCs/>
          <w:sz w:val="21"/>
          <w:szCs w:val="21"/>
        </w:rPr>
        <w:t>Han sido infinidad de denuncias por discriminación por orientación sexual que los medios</w:t>
      </w:r>
      <w:r>
        <w:rPr>
          <w:rFonts w:ascii="Abadi" w:hAnsi="Abadi" w:cs="Arial-ItalicMT"/>
          <w:i/>
          <w:iCs/>
          <w:sz w:val="21"/>
          <w:szCs w:val="21"/>
        </w:rPr>
        <w:t xml:space="preserve"> </w:t>
      </w:r>
      <w:r w:rsidRPr="00702AD2">
        <w:rPr>
          <w:rFonts w:ascii="Abadi" w:hAnsi="Abadi" w:cs="Arial-ItalicMT"/>
          <w:i/>
          <w:iCs/>
          <w:sz w:val="21"/>
          <w:szCs w:val="21"/>
        </w:rPr>
        <w:t>de comunicaciones reflejan en sus columnas, obteniendo testimonios de víctimas de</w:t>
      </w:r>
      <w:r>
        <w:rPr>
          <w:rFonts w:ascii="Abadi" w:hAnsi="Abadi" w:cs="Arial-ItalicMT"/>
          <w:i/>
          <w:iCs/>
          <w:sz w:val="21"/>
          <w:szCs w:val="21"/>
        </w:rPr>
        <w:t xml:space="preserve"> </w:t>
      </w:r>
      <w:r w:rsidRPr="00702AD2">
        <w:rPr>
          <w:rFonts w:ascii="Abadi" w:hAnsi="Abadi" w:cs="Arial-ItalicMT"/>
          <w:i/>
          <w:iCs/>
          <w:sz w:val="21"/>
          <w:szCs w:val="21"/>
        </w:rPr>
        <w:t>violencia homofóbica en las escuelas. Haciendo necesario que se busquen mecanismos</w:t>
      </w:r>
      <w:r>
        <w:rPr>
          <w:rFonts w:ascii="Abadi" w:hAnsi="Abadi" w:cs="Arial-ItalicMT"/>
          <w:i/>
          <w:iCs/>
          <w:sz w:val="21"/>
          <w:szCs w:val="21"/>
        </w:rPr>
        <w:t xml:space="preserve"> </w:t>
      </w:r>
      <w:r w:rsidRPr="00702AD2">
        <w:rPr>
          <w:rFonts w:ascii="Abadi" w:hAnsi="Abadi" w:cs="Arial-ItalicMT"/>
          <w:i/>
          <w:iCs/>
          <w:sz w:val="21"/>
          <w:szCs w:val="21"/>
        </w:rPr>
        <w:t>y herramientas que permitan promover e incentivar en las comunidades educativas</w:t>
      </w:r>
      <w:r>
        <w:rPr>
          <w:rFonts w:ascii="Abadi" w:hAnsi="Abadi" w:cs="Arial-ItalicMT"/>
          <w:i/>
          <w:iCs/>
          <w:sz w:val="21"/>
          <w:szCs w:val="21"/>
        </w:rPr>
        <w:t xml:space="preserve"> </w:t>
      </w:r>
      <w:r w:rsidRPr="00702AD2">
        <w:rPr>
          <w:rFonts w:ascii="Abadi" w:hAnsi="Abadi" w:cs="Arial-ItalicMT"/>
          <w:i/>
          <w:iCs/>
          <w:sz w:val="21"/>
          <w:szCs w:val="21"/>
        </w:rPr>
        <w:t>lugares seguros y con un ambiente de inclusión y no discriminación a la diversidad sexual.</w:t>
      </w:r>
      <w:r>
        <w:rPr>
          <w:rFonts w:ascii="Abadi" w:hAnsi="Abadi" w:cs="Arial-ItalicMT"/>
          <w:i/>
          <w:iCs/>
          <w:sz w:val="21"/>
          <w:szCs w:val="21"/>
        </w:rPr>
        <w:t xml:space="preserve"> </w:t>
      </w:r>
    </w:p>
    <w:p w14:paraId="50C55B15" w14:textId="77777777" w:rsidR="00562D9C" w:rsidRDefault="00562D9C" w:rsidP="00562D9C">
      <w:pPr>
        <w:autoSpaceDE w:val="0"/>
        <w:autoSpaceDN w:val="0"/>
        <w:adjustRightInd w:val="0"/>
        <w:ind w:left="567"/>
        <w:jc w:val="both"/>
        <w:rPr>
          <w:rFonts w:ascii="Abadi" w:hAnsi="Abadi" w:cs="Arial-ItalicMT"/>
          <w:i/>
          <w:iCs/>
          <w:sz w:val="21"/>
          <w:szCs w:val="21"/>
        </w:rPr>
      </w:pPr>
    </w:p>
    <w:p w14:paraId="3E441E6E" w14:textId="77777777" w:rsidR="00562D9C" w:rsidRDefault="00562D9C" w:rsidP="00562D9C">
      <w:pPr>
        <w:autoSpaceDE w:val="0"/>
        <w:autoSpaceDN w:val="0"/>
        <w:adjustRightInd w:val="0"/>
        <w:ind w:left="567"/>
        <w:jc w:val="both"/>
        <w:rPr>
          <w:rFonts w:ascii="Abadi" w:hAnsi="Abadi" w:cs="Arial-ItalicMT"/>
          <w:i/>
          <w:iCs/>
          <w:sz w:val="21"/>
          <w:szCs w:val="21"/>
        </w:rPr>
      </w:pPr>
      <w:r w:rsidRPr="00702AD2">
        <w:rPr>
          <w:rFonts w:ascii="Abadi" w:hAnsi="Abadi" w:cs="Arial-ItalicMT"/>
          <w:i/>
          <w:iCs/>
          <w:sz w:val="21"/>
          <w:szCs w:val="21"/>
        </w:rPr>
        <w:t>México, y en específico Guanajuato se ha caracterizado por minimizar muchas de las</w:t>
      </w:r>
      <w:r>
        <w:rPr>
          <w:rFonts w:ascii="Abadi" w:hAnsi="Abadi" w:cs="Arial-ItalicMT"/>
          <w:i/>
          <w:iCs/>
          <w:sz w:val="21"/>
          <w:szCs w:val="21"/>
        </w:rPr>
        <w:t xml:space="preserve"> </w:t>
      </w:r>
      <w:r w:rsidRPr="00702AD2">
        <w:rPr>
          <w:rFonts w:ascii="Abadi" w:hAnsi="Abadi" w:cs="Arial-ItalicMT"/>
          <w:i/>
          <w:iCs/>
          <w:sz w:val="21"/>
          <w:szCs w:val="21"/>
        </w:rPr>
        <w:t>acciones violentas que se presenta en las escuelas del estado, provocadas por el</w:t>
      </w:r>
      <w:r>
        <w:rPr>
          <w:rFonts w:ascii="Abadi" w:hAnsi="Abadi" w:cs="Arial-ItalicMT"/>
          <w:i/>
          <w:iCs/>
          <w:sz w:val="21"/>
          <w:szCs w:val="21"/>
        </w:rPr>
        <w:t xml:space="preserve"> </w:t>
      </w:r>
      <w:r w:rsidRPr="00702AD2">
        <w:rPr>
          <w:rFonts w:ascii="Abadi" w:hAnsi="Abadi" w:cs="Arial-ItalicMT"/>
          <w:i/>
          <w:iCs/>
          <w:sz w:val="21"/>
          <w:szCs w:val="21"/>
        </w:rPr>
        <w:t>desconocimiento de alumnos, docentes y padres de familia para entender, aceptar e</w:t>
      </w:r>
      <w:r>
        <w:rPr>
          <w:rFonts w:ascii="Abadi" w:hAnsi="Abadi" w:cs="Arial-ItalicMT"/>
          <w:i/>
          <w:iCs/>
          <w:sz w:val="21"/>
          <w:szCs w:val="21"/>
        </w:rPr>
        <w:t xml:space="preserve"> </w:t>
      </w:r>
      <w:r w:rsidRPr="00702AD2">
        <w:rPr>
          <w:rFonts w:ascii="Abadi" w:hAnsi="Abadi" w:cs="Arial-ItalicMT"/>
          <w:i/>
          <w:iCs/>
          <w:sz w:val="21"/>
          <w:szCs w:val="21"/>
        </w:rPr>
        <w:t>incluir a las personas con diversidad sexual</w:t>
      </w:r>
      <w:r>
        <w:rPr>
          <w:rFonts w:ascii="Abadi" w:hAnsi="Abadi" w:cs="Arial-ItalicMT"/>
          <w:i/>
          <w:iCs/>
          <w:sz w:val="21"/>
          <w:szCs w:val="21"/>
        </w:rPr>
        <w:t xml:space="preserve"> </w:t>
      </w:r>
    </w:p>
    <w:p w14:paraId="565027B8" w14:textId="77777777" w:rsidR="00562D9C" w:rsidRDefault="00562D9C" w:rsidP="00562D9C">
      <w:pPr>
        <w:autoSpaceDE w:val="0"/>
        <w:autoSpaceDN w:val="0"/>
        <w:adjustRightInd w:val="0"/>
        <w:ind w:left="567"/>
        <w:jc w:val="both"/>
        <w:rPr>
          <w:rFonts w:ascii="Abadi" w:hAnsi="Abadi" w:cs="Arial-ItalicMT"/>
          <w:i/>
          <w:iCs/>
          <w:sz w:val="21"/>
          <w:szCs w:val="21"/>
        </w:rPr>
      </w:pPr>
    </w:p>
    <w:p w14:paraId="5C109BCD" w14:textId="77777777" w:rsidR="00562D9C" w:rsidRDefault="00562D9C" w:rsidP="00562D9C">
      <w:pPr>
        <w:autoSpaceDE w:val="0"/>
        <w:autoSpaceDN w:val="0"/>
        <w:adjustRightInd w:val="0"/>
        <w:ind w:left="567"/>
        <w:jc w:val="both"/>
        <w:rPr>
          <w:rFonts w:ascii="Abadi" w:hAnsi="Abadi" w:cs="Arial-ItalicMT"/>
          <w:i/>
          <w:iCs/>
          <w:sz w:val="21"/>
          <w:szCs w:val="21"/>
        </w:rPr>
      </w:pPr>
      <w:r w:rsidRPr="00702AD2">
        <w:rPr>
          <w:rFonts w:ascii="Abadi" w:hAnsi="Abadi" w:cs="Arial-ItalicMT"/>
          <w:i/>
          <w:iCs/>
          <w:sz w:val="21"/>
          <w:szCs w:val="21"/>
        </w:rPr>
        <w:t>Los datos son contundentes y reflejan claramente nuestra realidad:</w:t>
      </w:r>
    </w:p>
    <w:p w14:paraId="0435FF23" w14:textId="77777777" w:rsidR="00562D9C" w:rsidRPr="00702AD2" w:rsidRDefault="00562D9C" w:rsidP="00562D9C">
      <w:pPr>
        <w:autoSpaceDE w:val="0"/>
        <w:autoSpaceDN w:val="0"/>
        <w:adjustRightInd w:val="0"/>
        <w:ind w:left="567"/>
        <w:jc w:val="both"/>
        <w:rPr>
          <w:rFonts w:ascii="Abadi" w:hAnsi="Abadi" w:cs="Arial-ItalicMT"/>
          <w:i/>
          <w:iCs/>
          <w:sz w:val="21"/>
          <w:szCs w:val="21"/>
        </w:rPr>
      </w:pPr>
    </w:p>
    <w:p w14:paraId="26899844" w14:textId="77777777" w:rsidR="00562D9C" w:rsidRDefault="00562D9C" w:rsidP="00562D9C">
      <w:pPr>
        <w:autoSpaceDE w:val="0"/>
        <w:autoSpaceDN w:val="0"/>
        <w:adjustRightInd w:val="0"/>
        <w:ind w:firstLine="567"/>
        <w:jc w:val="both"/>
        <w:rPr>
          <w:rFonts w:ascii="Abadi" w:hAnsi="Abadi" w:cs="Arial-ItalicMT"/>
          <w:i/>
          <w:iCs/>
          <w:sz w:val="21"/>
          <w:szCs w:val="21"/>
        </w:rPr>
      </w:pPr>
      <w:r w:rsidRPr="00702AD2">
        <w:rPr>
          <w:rFonts w:ascii="Abadi" w:hAnsi="Abadi" w:cs="SymbolMT"/>
          <w:sz w:val="21"/>
          <w:szCs w:val="21"/>
        </w:rPr>
        <w:t xml:space="preserve">• </w:t>
      </w:r>
      <w:r w:rsidRPr="00702AD2">
        <w:rPr>
          <w:rFonts w:ascii="Abadi" w:hAnsi="Abadi" w:cs="Arial-ItalicMT"/>
          <w:i/>
          <w:iCs/>
          <w:sz w:val="21"/>
          <w:szCs w:val="21"/>
        </w:rPr>
        <w:t>Con la segunda Encuesta Nacional sobre Violencia Escolar para alumnos</w:t>
      </w:r>
      <w:r>
        <w:rPr>
          <w:rFonts w:ascii="Abadi" w:hAnsi="Abadi" w:cs="Arial-ItalicMT"/>
          <w:i/>
          <w:iCs/>
          <w:sz w:val="21"/>
          <w:szCs w:val="21"/>
        </w:rPr>
        <w:t xml:space="preserve"> </w:t>
      </w:r>
      <w:r w:rsidRPr="00702AD2">
        <w:rPr>
          <w:rFonts w:ascii="Abadi" w:hAnsi="Abadi" w:cs="Arial-ItalicMT"/>
          <w:i/>
          <w:iCs/>
          <w:sz w:val="21"/>
          <w:szCs w:val="21"/>
        </w:rPr>
        <w:t>LGBTTTIQ en México, realizada por la Coalición de Organizaciones contra el acoso</w:t>
      </w:r>
      <w:r>
        <w:rPr>
          <w:rFonts w:ascii="Abadi" w:hAnsi="Abadi" w:cs="Arial-ItalicMT"/>
          <w:i/>
          <w:iCs/>
          <w:sz w:val="21"/>
          <w:szCs w:val="21"/>
        </w:rPr>
        <w:t xml:space="preserve"> </w:t>
      </w:r>
      <w:r w:rsidRPr="00702AD2">
        <w:rPr>
          <w:rFonts w:ascii="Abadi" w:hAnsi="Abadi" w:cs="Arial-ItalicMT"/>
          <w:i/>
          <w:iCs/>
          <w:sz w:val="21"/>
          <w:szCs w:val="21"/>
        </w:rPr>
        <w:t>escolar por orientación sexual, identidad o expresión de género en México en 2017, el</w:t>
      </w:r>
      <w:r>
        <w:rPr>
          <w:rFonts w:ascii="Abadi" w:hAnsi="Abadi" w:cs="Arial-ItalicMT"/>
          <w:i/>
          <w:iCs/>
          <w:sz w:val="21"/>
          <w:szCs w:val="21"/>
        </w:rPr>
        <w:t xml:space="preserve"> </w:t>
      </w:r>
      <w:r w:rsidRPr="00702AD2">
        <w:rPr>
          <w:rFonts w:ascii="Abadi" w:hAnsi="Abadi" w:cs="Arial-ItalicMT"/>
          <w:i/>
          <w:iCs/>
          <w:sz w:val="21"/>
          <w:szCs w:val="21"/>
        </w:rPr>
        <w:t>38.8% de estudiantes entre 13 y 20 años decidieron interrumpir sus estudios al ser</w:t>
      </w:r>
      <w:r>
        <w:rPr>
          <w:rFonts w:ascii="Abadi" w:hAnsi="Abadi" w:cs="Arial-ItalicMT"/>
          <w:i/>
          <w:iCs/>
          <w:sz w:val="21"/>
          <w:szCs w:val="21"/>
        </w:rPr>
        <w:t xml:space="preserve"> </w:t>
      </w:r>
      <w:r w:rsidRPr="00702AD2">
        <w:rPr>
          <w:rFonts w:ascii="Abadi" w:hAnsi="Abadi" w:cs="Arial-ItalicMT"/>
          <w:i/>
          <w:iCs/>
          <w:sz w:val="21"/>
          <w:szCs w:val="21"/>
        </w:rPr>
        <w:t>víctimas de alguna agresión por su orientación sexual y el 37.7% tomó la misma</w:t>
      </w:r>
      <w:r>
        <w:rPr>
          <w:rFonts w:ascii="Abadi" w:hAnsi="Abadi" w:cs="Arial-ItalicMT"/>
          <w:i/>
          <w:iCs/>
          <w:sz w:val="21"/>
          <w:szCs w:val="21"/>
        </w:rPr>
        <w:t xml:space="preserve"> </w:t>
      </w:r>
      <w:r w:rsidRPr="00702AD2">
        <w:rPr>
          <w:rFonts w:ascii="Abadi" w:hAnsi="Abadi" w:cs="Arial-ItalicMT"/>
          <w:i/>
          <w:iCs/>
          <w:sz w:val="21"/>
          <w:szCs w:val="21"/>
        </w:rPr>
        <w:t>decisión al ser víctimas por su expresión de género (manera de vestir, peinados o</w:t>
      </w:r>
      <w:r>
        <w:rPr>
          <w:rFonts w:ascii="Abadi" w:hAnsi="Abadi" w:cs="Arial-ItalicMT"/>
          <w:i/>
          <w:iCs/>
          <w:sz w:val="21"/>
          <w:szCs w:val="21"/>
        </w:rPr>
        <w:t xml:space="preserve"> </w:t>
      </w:r>
      <w:r w:rsidRPr="00702AD2">
        <w:rPr>
          <w:rFonts w:ascii="Abadi" w:hAnsi="Abadi" w:cs="Arial-ItalicMT"/>
          <w:i/>
          <w:iCs/>
          <w:sz w:val="21"/>
          <w:szCs w:val="21"/>
        </w:rPr>
        <w:t>conducta).</w:t>
      </w:r>
    </w:p>
    <w:p w14:paraId="07A3252D" w14:textId="77777777" w:rsidR="00562D9C" w:rsidRPr="00702AD2" w:rsidRDefault="00562D9C" w:rsidP="00562D9C">
      <w:pPr>
        <w:autoSpaceDE w:val="0"/>
        <w:autoSpaceDN w:val="0"/>
        <w:adjustRightInd w:val="0"/>
        <w:jc w:val="both"/>
        <w:rPr>
          <w:rFonts w:ascii="Abadi" w:hAnsi="Abadi" w:cs="Arial-ItalicMT"/>
          <w:i/>
          <w:iCs/>
          <w:sz w:val="21"/>
          <w:szCs w:val="21"/>
        </w:rPr>
      </w:pPr>
    </w:p>
    <w:p w14:paraId="18D5D2DE" w14:textId="77777777" w:rsidR="00562D9C" w:rsidRDefault="00562D9C" w:rsidP="00562D9C">
      <w:pPr>
        <w:autoSpaceDE w:val="0"/>
        <w:autoSpaceDN w:val="0"/>
        <w:adjustRightInd w:val="0"/>
        <w:ind w:firstLine="567"/>
        <w:jc w:val="both"/>
        <w:rPr>
          <w:rFonts w:ascii="Abadi" w:hAnsi="Abadi" w:cs="Arial-ItalicMT"/>
          <w:i/>
          <w:iCs/>
          <w:sz w:val="21"/>
          <w:szCs w:val="21"/>
        </w:rPr>
      </w:pPr>
      <w:r w:rsidRPr="00702AD2">
        <w:rPr>
          <w:rFonts w:ascii="Abadi" w:hAnsi="Abadi" w:cs="ArialMT"/>
          <w:sz w:val="21"/>
          <w:szCs w:val="21"/>
        </w:rPr>
        <w:t xml:space="preserve">• </w:t>
      </w:r>
      <w:r w:rsidRPr="00702AD2">
        <w:rPr>
          <w:rFonts w:ascii="Abadi" w:hAnsi="Abadi" w:cs="Arial-ItalicMT"/>
          <w:i/>
          <w:iCs/>
          <w:sz w:val="21"/>
          <w:szCs w:val="21"/>
        </w:rPr>
        <w:t>Estos números demuestran que, la mayoría de los estudiantes de personas</w:t>
      </w:r>
      <w:r>
        <w:rPr>
          <w:rFonts w:ascii="Abadi" w:hAnsi="Abadi" w:cs="Arial-ItalicMT"/>
          <w:i/>
          <w:iCs/>
          <w:sz w:val="21"/>
          <w:szCs w:val="21"/>
        </w:rPr>
        <w:t xml:space="preserve"> </w:t>
      </w:r>
      <w:r w:rsidRPr="00702AD2">
        <w:rPr>
          <w:rFonts w:ascii="Abadi" w:hAnsi="Abadi" w:cs="Arial-ItalicMT"/>
          <w:i/>
          <w:iCs/>
          <w:sz w:val="21"/>
          <w:szCs w:val="21"/>
        </w:rPr>
        <w:t>LGBTTTIQ tienen que reprimir, ocultar o fingir sus preferencias para ser aceptados</w:t>
      </w:r>
      <w:r>
        <w:rPr>
          <w:rFonts w:ascii="Abadi" w:hAnsi="Abadi" w:cs="Arial-ItalicMT"/>
          <w:i/>
          <w:iCs/>
          <w:sz w:val="21"/>
          <w:szCs w:val="21"/>
        </w:rPr>
        <w:t xml:space="preserve"> </w:t>
      </w:r>
      <w:r w:rsidRPr="00702AD2">
        <w:rPr>
          <w:rFonts w:ascii="Abadi" w:hAnsi="Abadi" w:cs="Arial-ItalicMT"/>
          <w:i/>
          <w:iCs/>
          <w:sz w:val="21"/>
          <w:szCs w:val="21"/>
        </w:rPr>
        <w:t>por sus compañeros.</w:t>
      </w:r>
    </w:p>
    <w:p w14:paraId="5E0745DE" w14:textId="77777777" w:rsidR="00562D9C" w:rsidRPr="00702AD2" w:rsidRDefault="00562D9C" w:rsidP="00562D9C">
      <w:pPr>
        <w:autoSpaceDE w:val="0"/>
        <w:autoSpaceDN w:val="0"/>
        <w:adjustRightInd w:val="0"/>
        <w:jc w:val="both"/>
        <w:rPr>
          <w:rFonts w:ascii="Abadi" w:hAnsi="Abadi" w:cs="Arial-ItalicMT"/>
          <w:i/>
          <w:iCs/>
          <w:sz w:val="21"/>
          <w:szCs w:val="21"/>
        </w:rPr>
      </w:pPr>
    </w:p>
    <w:p w14:paraId="581050D4" w14:textId="77777777" w:rsidR="00562D9C" w:rsidRDefault="00562D9C" w:rsidP="00562D9C">
      <w:pPr>
        <w:autoSpaceDE w:val="0"/>
        <w:autoSpaceDN w:val="0"/>
        <w:adjustRightInd w:val="0"/>
        <w:ind w:firstLine="567"/>
        <w:jc w:val="both"/>
        <w:rPr>
          <w:rFonts w:ascii="Abadi" w:hAnsi="Abadi" w:cs="Arial-ItalicMT"/>
          <w:i/>
          <w:iCs/>
          <w:sz w:val="21"/>
          <w:szCs w:val="21"/>
        </w:rPr>
      </w:pPr>
      <w:r w:rsidRPr="00702AD2">
        <w:rPr>
          <w:rFonts w:ascii="Abadi" w:hAnsi="Abadi" w:cs="ArialMT"/>
          <w:sz w:val="21"/>
          <w:szCs w:val="21"/>
        </w:rPr>
        <w:t xml:space="preserve">• </w:t>
      </w:r>
      <w:r w:rsidRPr="00702AD2">
        <w:rPr>
          <w:rFonts w:ascii="Abadi" w:hAnsi="Abadi" w:cs="Arial-ItalicMT"/>
          <w:i/>
          <w:iCs/>
          <w:sz w:val="21"/>
          <w:szCs w:val="21"/>
        </w:rPr>
        <w:t>Y aunque los casos más graves suelen presentarse en la adolescencia, la</w:t>
      </w:r>
      <w:r>
        <w:rPr>
          <w:rFonts w:ascii="Abadi" w:hAnsi="Abadi" w:cs="Arial-ItalicMT"/>
          <w:i/>
          <w:iCs/>
          <w:sz w:val="21"/>
          <w:szCs w:val="21"/>
        </w:rPr>
        <w:t xml:space="preserve"> </w:t>
      </w:r>
      <w:r w:rsidRPr="00702AD2">
        <w:rPr>
          <w:rFonts w:ascii="Abadi" w:hAnsi="Abadi" w:cs="Arial-ItalicMT"/>
          <w:i/>
          <w:iCs/>
          <w:sz w:val="21"/>
          <w:szCs w:val="21"/>
        </w:rPr>
        <w:t>encuesta de Alianza por la Diversidad y la CNDH registró que el 56% de los casos se</w:t>
      </w:r>
      <w:r>
        <w:rPr>
          <w:rFonts w:ascii="Abadi" w:hAnsi="Abadi" w:cs="Arial-ItalicMT"/>
          <w:i/>
          <w:iCs/>
          <w:sz w:val="21"/>
          <w:szCs w:val="21"/>
        </w:rPr>
        <w:t xml:space="preserve"> </w:t>
      </w:r>
      <w:r w:rsidRPr="00702AD2">
        <w:rPr>
          <w:rFonts w:ascii="Abadi" w:hAnsi="Abadi" w:cs="Arial-ItalicMT"/>
          <w:i/>
          <w:iCs/>
          <w:sz w:val="21"/>
          <w:szCs w:val="21"/>
        </w:rPr>
        <w:t>suscitaron en la primaria, el 28% en la secundaria, el 13% en la preparatoria y el 3%</w:t>
      </w:r>
      <w:r>
        <w:rPr>
          <w:rFonts w:ascii="Abadi" w:hAnsi="Abadi" w:cs="Arial-ItalicMT"/>
          <w:i/>
          <w:iCs/>
          <w:sz w:val="21"/>
          <w:szCs w:val="21"/>
        </w:rPr>
        <w:t xml:space="preserve"> </w:t>
      </w:r>
      <w:r w:rsidRPr="00702AD2">
        <w:rPr>
          <w:rFonts w:ascii="Abadi" w:hAnsi="Abadi" w:cs="Arial-ItalicMT"/>
          <w:i/>
          <w:iCs/>
          <w:sz w:val="21"/>
          <w:szCs w:val="21"/>
        </w:rPr>
        <w:t>en la universidad.</w:t>
      </w:r>
    </w:p>
    <w:p w14:paraId="04F9C689" w14:textId="77777777" w:rsidR="00562D9C" w:rsidRPr="00702AD2" w:rsidRDefault="00562D9C" w:rsidP="00562D9C">
      <w:pPr>
        <w:autoSpaceDE w:val="0"/>
        <w:autoSpaceDN w:val="0"/>
        <w:adjustRightInd w:val="0"/>
        <w:jc w:val="both"/>
        <w:rPr>
          <w:rFonts w:ascii="Abadi" w:hAnsi="Abadi" w:cs="Arial-ItalicMT"/>
          <w:i/>
          <w:iCs/>
          <w:sz w:val="21"/>
          <w:szCs w:val="21"/>
        </w:rPr>
      </w:pPr>
    </w:p>
    <w:p w14:paraId="7D42305C" w14:textId="77777777" w:rsidR="00562D9C" w:rsidRDefault="00562D9C" w:rsidP="00562D9C">
      <w:pPr>
        <w:autoSpaceDE w:val="0"/>
        <w:autoSpaceDN w:val="0"/>
        <w:adjustRightInd w:val="0"/>
        <w:ind w:firstLine="567"/>
        <w:jc w:val="both"/>
        <w:rPr>
          <w:rFonts w:ascii="Abadi" w:hAnsi="Abadi" w:cs="Arial-ItalicMT"/>
          <w:i/>
          <w:iCs/>
          <w:sz w:val="21"/>
          <w:szCs w:val="21"/>
        </w:rPr>
      </w:pPr>
      <w:r w:rsidRPr="00702AD2">
        <w:rPr>
          <w:rFonts w:ascii="Abadi" w:hAnsi="Abadi" w:cs="ArialMT"/>
          <w:sz w:val="21"/>
          <w:szCs w:val="21"/>
        </w:rPr>
        <w:t xml:space="preserve">• </w:t>
      </w:r>
      <w:r w:rsidRPr="00702AD2">
        <w:rPr>
          <w:rFonts w:ascii="Abadi" w:hAnsi="Abadi" w:cs="Arial-ItalicMT"/>
          <w:i/>
          <w:iCs/>
          <w:sz w:val="21"/>
          <w:szCs w:val="21"/>
        </w:rPr>
        <w:t>Aunque los jóvenes conozcan de la existencia de instituciones como el Consejo</w:t>
      </w:r>
      <w:r>
        <w:rPr>
          <w:rFonts w:ascii="Abadi" w:hAnsi="Abadi" w:cs="Arial-ItalicMT"/>
          <w:i/>
          <w:iCs/>
          <w:sz w:val="21"/>
          <w:szCs w:val="21"/>
        </w:rPr>
        <w:t xml:space="preserve"> </w:t>
      </w:r>
      <w:r w:rsidRPr="00702AD2">
        <w:rPr>
          <w:rFonts w:ascii="Abadi" w:hAnsi="Abadi" w:cs="Arial-ItalicMT"/>
          <w:i/>
          <w:iCs/>
          <w:sz w:val="21"/>
          <w:szCs w:val="21"/>
        </w:rPr>
        <w:t>Nacional para Prevenir la Discriminación (Conapred), solo el 27.6% de los</w:t>
      </w:r>
      <w:r>
        <w:rPr>
          <w:rFonts w:ascii="Abadi" w:hAnsi="Abadi" w:cs="Arial-ItalicMT"/>
          <w:i/>
          <w:iCs/>
          <w:sz w:val="21"/>
          <w:szCs w:val="21"/>
        </w:rPr>
        <w:t xml:space="preserve"> </w:t>
      </w:r>
      <w:r w:rsidRPr="00702AD2">
        <w:rPr>
          <w:rFonts w:ascii="Abadi" w:hAnsi="Abadi" w:cs="Arial-ItalicMT"/>
          <w:i/>
          <w:iCs/>
          <w:sz w:val="21"/>
          <w:szCs w:val="21"/>
        </w:rPr>
        <w:t>encuestados han acudido a ellas para denunciar las agresiones. Y de este porcentaje,</w:t>
      </w:r>
      <w:r>
        <w:rPr>
          <w:rFonts w:ascii="Abadi" w:hAnsi="Abadi" w:cs="Arial-ItalicMT"/>
          <w:i/>
          <w:iCs/>
          <w:sz w:val="21"/>
          <w:szCs w:val="21"/>
        </w:rPr>
        <w:t xml:space="preserve"> </w:t>
      </w:r>
      <w:r w:rsidRPr="00702AD2">
        <w:rPr>
          <w:rFonts w:ascii="Abadi" w:hAnsi="Abadi" w:cs="Arial-ItalicMT"/>
          <w:i/>
          <w:iCs/>
          <w:sz w:val="21"/>
          <w:szCs w:val="21"/>
        </w:rPr>
        <w:t>el 32% recibió una atención deficiente, el 13% asegura que su caso fue ignorado y al</w:t>
      </w:r>
      <w:r>
        <w:rPr>
          <w:rFonts w:ascii="Abadi" w:hAnsi="Abadi" w:cs="Arial-ItalicMT"/>
          <w:i/>
          <w:iCs/>
          <w:sz w:val="21"/>
          <w:szCs w:val="21"/>
        </w:rPr>
        <w:t xml:space="preserve"> </w:t>
      </w:r>
      <w:r w:rsidRPr="00702AD2">
        <w:rPr>
          <w:rFonts w:ascii="Abadi" w:hAnsi="Abadi" w:cs="Arial-ItalicMT"/>
          <w:i/>
          <w:iCs/>
          <w:sz w:val="21"/>
          <w:szCs w:val="21"/>
        </w:rPr>
        <w:t>9.5% el personal de la institución les recomendó no decir nada.</w:t>
      </w:r>
    </w:p>
    <w:p w14:paraId="6F463B45" w14:textId="77777777" w:rsidR="00562D9C" w:rsidRPr="00702AD2" w:rsidRDefault="00562D9C" w:rsidP="00562D9C">
      <w:pPr>
        <w:autoSpaceDE w:val="0"/>
        <w:autoSpaceDN w:val="0"/>
        <w:adjustRightInd w:val="0"/>
        <w:jc w:val="both"/>
        <w:rPr>
          <w:rFonts w:ascii="Abadi" w:hAnsi="Abadi" w:cs="Arial-ItalicMT"/>
          <w:i/>
          <w:iCs/>
          <w:sz w:val="21"/>
          <w:szCs w:val="21"/>
        </w:rPr>
      </w:pPr>
    </w:p>
    <w:p w14:paraId="745CBE06" w14:textId="77777777" w:rsidR="00562D9C" w:rsidRDefault="00562D9C" w:rsidP="00562D9C">
      <w:pPr>
        <w:autoSpaceDE w:val="0"/>
        <w:autoSpaceDN w:val="0"/>
        <w:adjustRightInd w:val="0"/>
        <w:ind w:firstLine="567"/>
        <w:jc w:val="both"/>
        <w:rPr>
          <w:rFonts w:ascii="Abadi" w:hAnsi="Abadi" w:cs="Arial-ItalicMT"/>
          <w:i/>
          <w:iCs/>
          <w:sz w:val="21"/>
          <w:szCs w:val="21"/>
        </w:rPr>
      </w:pPr>
      <w:r w:rsidRPr="00702AD2">
        <w:rPr>
          <w:rFonts w:ascii="Abadi" w:hAnsi="Abadi" w:cs="ArialMT"/>
          <w:sz w:val="21"/>
          <w:szCs w:val="21"/>
        </w:rPr>
        <w:t xml:space="preserve">• </w:t>
      </w:r>
      <w:r w:rsidRPr="00702AD2">
        <w:rPr>
          <w:rFonts w:ascii="Abadi" w:hAnsi="Abadi" w:cs="Arial-ItalicMT"/>
          <w:i/>
          <w:iCs/>
          <w:sz w:val="21"/>
          <w:szCs w:val="21"/>
        </w:rPr>
        <w:t>Pero esa indiferencia se reporta desde la etapa escolar, pues cuando se les</w:t>
      </w:r>
      <w:r>
        <w:rPr>
          <w:rFonts w:ascii="Abadi" w:hAnsi="Abadi" w:cs="Arial-ItalicMT"/>
          <w:i/>
          <w:iCs/>
          <w:sz w:val="21"/>
          <w:szCs w:val="21"/>
        </w:rPr>
        <w:t xml:space="preserve"> </w:t>
      </w:r>
      <w:r w:rsidRPr="00702AD2">
        <w:rPr>
          <w:rFonts w:ascii="Abadi" w:hAnsi="Abadi" w:cs="Arial-ItalicMT"/>
          <w:i/>
          <w:iCs/>
          <w:sz w:val="21"/>
          <w:szCs w:val="21"/>
        </w:rPr>
        <w:t>preguntó a los alumnos afectados las medidas que tomaban los maestros o</w:t>
      </w:r>
      <w:r>
        <w:rPr>
          <w:rFonts w:ascii="Abadi" w:hAnsi="Abadi" w:cs="Arial-ItalicMT"/>
          <w:i/>
          <w:iCs/>
          <w:sz w:val="21"/>
          <w:szCs w:val="21"/>
        </w:rPr>
        <w:t xml:space="preserve"> </w:t>
      </w:r>
      <w:r w:rsidRPr="00702AD2">
        <w:rPr>
          <w:rFonts w:ascii="Abadi" w:hAnsi="Abadi" w:cs="Arial-ItalicMT"/>
          <w:i/>
          <w:iCs/>
          <w:sz w:val="21"/>
          <w:szCs w:val="21"/>
        </w:rPr>
        <w:t>autoridades escolares al presenciar el acoso escolar, las respuestas fueron: No hacían</w:t>
      </w:r>
      <w:r>
        <w:rPr>
          <w:rFonts w:ascii="Abadi" w:hAnsi="Abadi" w:cs="Arial-ItalicMT"/>
          <w:i/>
          <w:iCs/>
          <w:sz w:val="21"/>
          <w:szCs w:val="21"/>
        </w:rPr>
        <w:t xml:space="preserve"> </w:t>
      </w:r>
      <w:r w:rsidRPr="00702AD2">
        <w:rPr>
          <w:rFonts w:ascii="Abadi" w:hAnsi="Abadi" w:cs="Arial-ItalicMT"/>
          <w:i/>
          <w:iCs/>
          <w:sz w:val="21"/>
          <w:szCs w:val="21"/>
        </w:rPr>
        <w:t>nada, les parecía algo normal 48%, no se percataban del acoso escolar 24%, llamaban la atención a los agresores 14%, eran cómplices 11%, y castigaban a los agresores,</w:t>
      </w:r>
      <w:r>
        <w:rPr>
          <w:rFonts w:ascii="Abadi" w:hAnsi="Abadi" w:cs="Arial-ItalicMT"/>
          <w:i/>
          <w:iCs/>
          <w:sz w:val="21"/>
          <w:szCs w:val="21"/>
        </w:rPr>
        <w:t xml:space="preserve"> </w:t>
      </w:r>
      <w:r w:rsidRPr="00702AD2">
        <w:rPr>
          <w:rFonts w:ascii="Abadi" w:hAnsi="Abadi" w:cs="Arial-ItalicMT"/>
          <w:i/>
          <w:iCs/>
          <w:sz w:val="21"/>
          <w:szCs w:val="21"/>
        </w:rPr>
        <w:t>solo un 3%.</w:t>
      </w:r>
    </w:p>
    <w:p w14:paraId="24F2E50A" w14:textId="77777777" w:rsidR="00562D9C" w:rsidRPr="00702AD2" w:rsidRDefault="00562D9C" w:rsidP="00562D9C">
      <w:pPr>
        <w:autoSpaceDE w:val="0"/>
        <w:autoSpaceDN w:val="0"/>
        <w:adjustRightInd w:val="0"/>
        <w:jc w:val="both"/>
        <w:rPr>
          <w:rFonts w:ascii="Abadi" w:hAnsi="Abadi" w:cs="Arial-ItalicMT"/>
          <w:i/>
          <w:iCs/>
          <w:sz w:val="21"/>
          <w:szCs w:val="21"/>
        </w:rPr>
      </w:pPr>
    </w:p>
    <w:p w14:paraId="15498A06" w14:textId="77777777" w:rsidR="00562D9C" w:rsidRPr="00702AD2" w:rsidRDefault="00562D9C" w:rsidP="00562D9C">
      <w:pPr>
        <w:autoSpaceDE w:val="0"/>
        <w:autoSpaceDN w:val="0"/>
        <w:adjustRightInd w:val="0"/>
        <w:jc w:val="both"/>
        <w:rPr>
          <w:rFonts w:ascii="Abadi" w:hAnsi="Abadi" w:cs="Arial-ItalicMT"/>
          <w:i/>
          <w:iCs/>
          <w:sz w:val="21"/>
          <w:szCs w:val="21"/>
        </w:rPr>
      </w:pPr>
      <w:r w:rsidRPr="00702AD2">
        <w:rPr>
          <w:rFonts w:ascii="Abadi" w:hAnsi="Abadi" w:cs="Arial-ItalicMT"/>
          <w:i/>
          <w:iCs/>
          <w:sz w:val="21"/>
          <w:szCs w:val="21"/>
        </w:rPr>
        <w:t>Lo anterior, nos demuestra que este tipo discriminación que se da en las escuelas, suele</w:t>
      </w:r>
      <w:r>
        <w:rPr>
          <w:rFonts w:ascii="Abadi" w:hAnsi="Abadi" w:cs="Arial-ItalicMT"/>
          <w:i/>
          <w:iCs/>
          <w:sz w:val="21"/>
          <w:szCs w:val="21"/>
        </w:rPr>
        <w:t xml:space="preserve"> </w:t>
      </w:r>
      <w:r w:rsidRPr="00702AD2">
        <w:rPr>
          <w:rFonts w:ascii="Abadi" w:hAnsi="Abadi" w:cs="Arial-ItalicMT"/>
          <w:i/>
          <w:iCs/>
          <w:sz w:val="21"/>
          <w:szCs w:val="21"/>
        </w:rPr>
        <w:t>expresarse en distintas formas de violencia que van de las agresiones físicas a la</w:t>
      </w:r>
      <w:r>
        <w:rPr>
          <w:rFonts w:ascii="Abadi" w:hAnsi="Abadi" w:cs="Arial-ItalicMT"/>
          <w:i/>
          <w:iCs/>
          <w:sz w:val="21"/>
          <w:szCs w:val="21"/>
        </w:rPr>
        <w:t xml:space="preserve"> </w:t>
      </w:r>
      <w:r w:rsidRPr="00702AD2">
        <w:rPr>
          <w:rFonts w:ascii="Abadi" w:hAnsi="Abadi" w:cs="Arial-ItalicMT"/>
          <w:i/>
          <w:iCs/>
          <w:sz w:val="21"/>
          <w:szCs w:val="21"/>
        </w:rPr>
        <w:t>exclusión social, pasando, por las descalificaciones, las burlas o los insultos. Este</w:t>
      </w:r>
      <w:r>
        <w:rPr>
          <w:rFonts w:ascii="Abadi" w:hAnsi="Abadi" w:cs="Arial-ItalicMT"/>
          <w:i/>
          <w:iCs/>
          <w:sz w:val="21"/>
          <w:szCs w:val="21"/>
        </w:rPr>
        <w:t xml:space="preserve"> </w:t>
      </w:r>
      <w:r w:rsidRPr="00702AD2">
        <w:rPr>
          <w:rFonts w:ascii="Abadi" w:hAnsi="Abadi" w:cs="Arial-ItalicMT"/>
          <w:i/>
          <w:iCs/>
          <w:sz w:val="21"/>
          <w:szCs w:val="21"/>
        </w:rPr>
        <w:t>fenómeno es conocido como “acoso escolar homofóbico”.</w:t>
      </w:r>
    </w:p>
    <w:p w14:paraId="4140D668" w14:textId="77777777" w:rsidR="00562D9C" w:rsidRPr="00702AD2" w:rsidRDefault="00562D9C" w:rsidP="00562D9C">
      <w:pPr>
        <w:autoSpaceDE w:val="0"/>
        <w:autoSpaceDN w:val="0"/>
        <w:adjustRightInd w:val="0"/>
        <w:jc w:val="both"/>
        <w:rPr>
          <w:rFonts w:ascii="Abadi" w:hAnsi="Abadi" w:cs="Arial-ItalicMT"/>
          <w:i/>
          <w:iCs/>
          <w:sz w:val="21"/>
          <w:szCs w:val="21"/>
        </w:rPr>
      </w:pPr>
      <w:r w:rsidRPr="00702AD2">
        <w:rPr>
          <w:rFonts w:ascii="Abadi" w:hAnsi="Abadi" w:cs="Arial-ItalicMT"/>
          <w:i/>
          <w:iCs/>
          <w:sz w:val="21"/>
          <w:szCs w:val="21"/>
        </w:rPr>
        <w:t>...</w:t>
      </w:r>
    </w:p>
    <w:p w14:paraId="6F6E1F88" w14:textId="77777777" w:rsidR="00562D9C" w:rsidRPr="003E25B1" w:rsidRDefault="00562D9C" w:rsidP="00562D9C">
      <w:pPr>
        <w:pStyle w:val="Prrafodelista"/>
        <w:numPr>
          <w:ilvl w:val="0"/>
          <w:numId w:val="64"/>
        </w:numPr>
        <w:autoSpaceDE w:val="0"/>
        <w:autoSpaceDN w:val="0"/>
        <w:adjustRightInd w:val="0"/>
        <w:contextualSpacing/>
        <w:jc w:val="both"/>
        <w:rPr>
          <w:rFonts w:ascii="Abadi" w:hAnsi="Abadi" w:cs="Arial-ItalicMT"/>
          <w:i/>
          <w:iCs/>
          <w:sz w:val="21"/>
          <w:szCs w:val="21"/>
        </w:rPr>
      </w:pPr>
      <w:r w:rsidRPr="003E25B1">
        <w:rPr>
          <w:rFonts w:ascii="Abadi" w:hAnsi="Abadi" w:cs="Arial-ItalicMT"/>
          <w:i/>
          <w:iCs/>
          <w:sz w:val="21"/>
          <w:szCs w:val="21"/>
        </w:rPr>
        <w:t>En este sentido, proponemos en la presente iniciativa diversas reformas a la Ley de Educación para el Estado de Guanajuato, en los siguientes aspectos</w:t>
      </w:r>
      <w:r w:rsidRPr="003E25B1">
        <w:rPr>
          <w:rFonts w:ascii="Abadi" w:hAnsi="Abadi" w:cs="ArialMT"/>
          <w:sz w:val="21"/>
          <w:szCs w:val="21"/>
        </w:rPr>
        <w:t xml:space="preserve">. </w:t>
      </w:r>
      <w:r w:rsidRPr="003E25B1">
        <w:rPr>
          <w:rFonts w:ascii="Abadi" w:hAnsi="Abadi" w:cs="Arial-ItalicMT"/>
          <w:i/>
          <w:iCs/>
          <w:sz w:val="21"/>
          <w:szCs w:val="21"/>
        </w:rPr>
        <w:t>Se incorpora al glosario el término de diversidad sexual, como todas las posibilidades que tienen las personas de asumir, expresar y vivir su sexualidad, así como de asumir expresiones, orientaciones e identidades sexuales. Parte del reconocimiento de que todos los cuerpos, todas las sensaciones y todos los deseos tienen derecho a existir y manifestarse, sin más límites que el respeto a los derechos de las otras personas.</w:t>
      </w:r>
    </w:p>
    <w:p w14:paraId="6EBC96BF" w14:textId="77777777" w:rsidR="00562D9C" w:rsidRPr="00702AD2" w:rsidRDefault="00562D9C" w:rsidP="00562D9C">
      <w:pPr>
        <w:autoSpaceDE w:val="0"/>
        <w:autoSpaceDN w:val="0"/>
        <w:adjustRightInd w:val="0"/>
        <w:jc w:val="both"/>
        <w:rPr>
          <w:rFonts w:ascii="Abadi" w:hAnsi="Abadi" w:cs="Arial-ItalicMT"/>
          <w:i/>
          <w:iCs/>
          <w:sz w:val="21"/>
          <w:szCs w:val="21"/>
        </w:rPr>
      </w:pPr>
    </w:p>
    <w:p w14:paraId="53EFFE6B" w14:textId="77777777" w:rsidR="00562D9C" w:rsidRPr="00AF7504" w:rsidRDefault="00562D9C" w:rsidP="00562D9C">
      <w:pPr>
        <w:pStyle w:val="Prrafodelista"/>
        <w:numPr>
          <w:ilvl w:val="0"/>
          <w:numId w:val="64"/>
        </w:numPr>
        <w:autoSpaceDE w:val="0"/>
        <w:autoSpaceDN w:val="0"/>
        <w:adjustRightInd w:val="0"/>
        <w:contextualSpacing/>
        <w:jc w:val="both"/>
        <w:rPr>
          <w:rFonts w:ascii="Abadi" w:hAnsi="Abadi" w:cs="Arial-ItalicMT"/>
          <w:i/>
          <w:iCs/>
          <w:sz w:val="21"/>
          <w:szCs w:val="21"/>
        </w:rPr>
      </w:pPr>
      <w:r w:rsidRPr="00AF7504">
        <w:rPr>
          <w:rFonts w:ascii="Abadi" w:hAnsi="Abadi" w:cs="Arial-ItalicMT"/>
          <w:i/>
          <w:iCs/>
          <w:sz w:val="21"/>
          <w:szCs w:val="21"/>
        </w:rPr>
        <w:t>Se precisa que la educación impartida en el estado de Guanajuato responderá a diversos criterios, entre ellos, se incorpora la participación de manera activa en una sociedad de no discriminación a la diversidad sexual.</w:t>
      </w:r>
    </w:p>
    <w:p w14:paraId="39003167" w14:textId="77777777" w:rsidR="00562D9C" w:rsidRPr="00702AD2" w:rsidRDefault="00562D9C" w:rsidP="00562D9C">
      <w:pPr>
        <w:autoSpaceDE w:val="0"/>
        <w:autoSpaceDN w:val="0"/>
        <w:adjustRightInd w:val="0"/>
        <w:jc w:val="both"/>
        <w:rPr>
          <w:rFonts w:ascii="Abadi" w:hAnsi="Abadi" w:cs="Arial-ItalicMT"/>
          <w:i/>
          <w:iCs/>
          <w:sz w:val="21"/>
          <w:szCs w:val="21"/>
        </w:rPr>
      </w:pPr>
    </w:p>
    <w:p w14:paraId="577410C9" w14:textId="77777777" w:rsidR="00562D9C" w:rsidRPr="00AF7504" w:rsidRDefault="00562D9C" w:rsidP="00562D9C">
      <w:pPr>
        <w:pStyle w:val="Prrafodelista"/>
        <w:numPr>
          <w:ilvl w:val="0"/>
          <w:numId w:val="64"/>
        </w:numPr>
        <w:autoSpaceDE w:val="0"/>
        <w:autoSpaceDN w:val="0"/>
        <w:adjustRightInd w:val="0"/>
        <w:contextualSpacing/>
        <w:jc w:val="both"/>
        <w:rPr>
          <w:rFonts w:ascii="Abadi" w:hAnsi="Abadi" w:cs="Arial-ItalicMT"/>
          <w:i/>
          <w:iCs/>
          <w:sz w:val="21"/>
          <w:szCs w:val="21"/>
        </w:rPr>
      </w:pPr>
      <w:r w:rsidRPr="00AF7504">
        <w:rPr>
          <w:rFonts w:ascii="Abadi" w:hAnsi="Abadi" w:cs="Arial-ItalicMT"/>
          <w:i/>
          <w:iCs/>
          <w:sz w:val="21"/>
          <w:szCs w:val="21"/>
        </w:rPr>
        <w:t>Por lo que se refiere a los fines de la educación, se incorpora la de formar personas comprometidas con el respeto a la diversidad sexual, a la no discriminación y un fuerte vínculo para participación en una sociedad más incluyente.</w:t>
      </w:r>
    </w:p>
    <w:p w14:paraId="1AB4DD17" w14:textId="77777777" w:rsidR="00562D9C" w:rsidRPr="00702AD2" w:rsidRDefault="00562D9C" w:rsidP="00562D9C">
      <w:pPr>
        <w:autoSpaceDE w:val="0"/>
        <w:autoSpaceDN w:val="0"/>
        <w:adjustRightInd w:val="0"/>
        <w:jc w:val="both"/>
        <w:rPr>
          <w:rFonts w:ascii="Abadi" w:hAnsi="Abadi" w:cs="Arial-ItalicMT"/>
          <w:i/>
          <w:iCs/>
          <w:sz w:val="21"/>
          <w:szCs w:val="21"/>
        </w:rPr>
      </w:pPr>
    </w:p>
    <w:p w14:paraId="27928EAD" w14:textId="77777777" w:rsidR="00562D9C" w:rsidRPr="00AF7504" w:rsidRDefault="00562D9C" w:rsidP="00562D9C">
      <w:pPr>
        <w:pStyle w:val="Prrafodelista"/>
        <w:numPr>
          <w:ilvl w:val="0"/>
          <w:numId w:val="64"/>
        </w:numPr>
        <w:autoSpaceDE w:val="0"/>
        <w:autoSpaceDN w:val="0"/>
        <w:adjustRightInd w:val="0"/>
        <w:contextualSpacing/>
        <w:jc w:val="both"/>
        <w:rPr>
          <w:rFonts w:ascii="Abadi" w:hAnsi="Abadi" w:cs="Arial-ItalicMT"/>
          <w:i/>
          <w:iCs/>
          <w:sz w:val="21"/>
          <w:szCs w:val="21"/>
        </w:rPr>
      </w:pPr>
      <w:r w:rsidRPr="00AF7504">
        <w:rPr>
          <w:rFonts w:ascii="Abadi" w:hAnsi="Abadi" w:cs="Arial-ItalicMT"/>
          <w:i/>
          <w:iCs/>
          <w:sz w:val="21"/>
          <w:szCs w:val="21"/>
        </w:rPr>
        <w:t>Por lo que se refiere al fomento de valores humanos en el sector educativo, se incorpora el respeto a la diversidad sexual, como un elemento fundamental de la inclusión y no discriminación.</w:t>
      </w:r>
    </w:p>
    <w:p w14:paraId="3C785C16" w14:textId="77777777" w:rsidR="00562D9C" w:rsidRPr="00702AD2" w:rsidRDefault="00562D9C" w:rsidP="00562D9C">
      <w:pPr>
        <w:autoSpaceDE w:val="0"/>
        <w:autoSpaceDN w:val="0"/>
        <w:adjustRightInd w:val="0"/>
        <w:jc w:val="both"/>
        <w:rPr>
          <w:rFonts w:ascii="Abadi" w:hAnsi="Abadi" w:cs="Arial-ItalicMT"/>
          <w:i/>
          <w:iCs/>
          <w:sz w:val="21"/>
          <w:szCs w:val="21"/>
        </w:rPr>
      </w:pPr>
    </w:p>
    <w:p w14:paraId="70719EA4" w14:textId="77777777" w:rsidR="00562D9C" w:rsidRPr="00AF7504" w:rsidRDefault="00562D9C" w:rsidP="00562D9C">
      <w:pPr>
        <w:pStyle w:val="Prrafodelista"/>
        <w:numPr>
          <w:ilvl w:val="0"/>
          <w:numId w:val="64"/>
        </w:numPr>
        <w:autoSpaceDE w:val="0"/>
        <w:autoSpaceDN w:val="0"/>
        <w:adjustRightInd w:val="0"/>
        <w:contextualSpacing/>
        <w:jc w:val="both"/>
        <w:rPr>
          <w:rFonts w:ascii="Abadi" w:hAnsi="Abadi" w:cs="Arial-ItalicMT"/>
          <w:i/>
          <w:iCs/>
          <w:sz w:val="21"/>
          <w:szCs w:val="21"/>
        </w:rPr>
      </w:pPr>
      <w:r w:rsidRPr="00AF7504">
        <w:rPr>
          <w:rFonts w:ascii="Abadi" w:hAnsi="Abadi" w:cs="Arial-ItalicMT"/>
          <w:i/>
          <w:iCs/>
          <w:sz w:val="21"/>
          <w:szCs w:val="21"/>
        </w:rPr>
        <w:t>Se incorpora como una atribución del titular del Poder Ejecutivo de Estado, la creación de políticas públicas que eliminen la violencia escolar por discriminación de razones de raza, color, religión y diversidad sexual.</w:t>
      </w:r>
    </w:p>
    <w:p w14:paraId="51DFF3EF" w14:textId="77777777" w:rsidR="00562D9C" w:rsidRPr="00702AD2" w:rsidRDefault="00562D9C" w:rsidP="00562D9C">
      <w:pPr>
        <w:autoSpaceDE w:val="0"/>
        <w:autoSpaceDN w:val="0"/>
        <w:adjustRightInd w:val="0"/>
        <w:jc w:val="both"/>
        <w:rPr>
          <w:rFonts w:ascii="Abadi" w:hAnsi="Abadi" w:cs="Arial-ItalicMT"/>
          <w:i/>
          <w:iCs/>
          <w:sz w:val="21"/>
          <w:szCs w:val="21"/>
        </w:rPr>
      </w:pPr>
    </w:p>
    <w:p w14:paraId="179E097E" w14:textId="77777777" w:rsidR="00562D9C" w:rsidRPr="00AF7504" w:rsidRDefault="00562D9C" w:rsidP="00562D9C">
      <w:pPr>
        <w:pStyle w:val="Prrafodelista"/>
        <w:numPr>
          <w:ilvl w:val="0"/>
          <w:numId w:val="64"/>
        </w:numPr>
        <w:autoSpaceDE w:val="0"/>
        <w:autoSpaceDN w:val="0"/>
        <w:adjustRightInd w:val="0"/>
        <w:contextualSpacing/>
        <w:jc w:val="both"/>
        <w:rPr>
          <w:rFonts w:ascii="Abadi" w:hAnsi="Abadi" w:cs="Arial-ItalicMT"/>
          <w:i/>
          <w:iCs/>
          <w:sz w:val="21"/>
          <w:szCs w:val="21"/>
        </w:rPr>
      </w:pPr>
      <w:r w:rsidRPr="00AF7504">
        <w:rPr>
          <w:rFonts w:ascii="Abadi" w:hAnsi="Abadi" w:cs="Arial-ItalicMT"/>
          <w:i/>
          <w:iCs/>
          <w:sz w:val="21"/>
          <w:szCs w:val="21"/>
        </w:rPr>
        <w:t>Asimismo, se incorpora en las atribuciones de la Secretaría de Educación, elaborar el programa escolar de educación en la sexualidad y la diversidad sexual, mismo que contemplará los aspectos físicos y psicológicos de los sexos, las enfermedades de transmisión sexual, la prevención y detección temprana del cáncer de mama y cérvico uterino; así como aspectos para asumir, expresar y vivir su sexualidad, expresiones, orientaciones e identidades sexuales, y el respeto a los derechos de las otras personas.</w:t>
      </w:r>
    </w:p>
    <w:p w14:paraId="24DEEF4E" w14:textId="77777777" w:rsidR="00562D9C" w:rsidRDefault="00562D9C" w:rsidP="00562D9C">
      <w:pPr>
        <w:autoSpaceDE w:val="0"/>
        <w:autoSpaceDN w:val="0"/>
        <w:adjustRightInd w:val="0"/>
        <w:jc w:val="both"/>
        <w:rPr>
          <w:rFonts w:ascii="Abadi" w:hAnsi="Abadi" w:cs="Arial-ItalicMT"/>
          <w:i/>
          <w:iCs/>
          <w:sz w:val="21"/>
          <w:szCs w:val="21"/>
        </w:rPr>
      </w:pPr>
    </w:p>
    <w:p w14:paraId="178F5696" w14:textId="77777777" w:rsidR="00562D9C" w:rsidRPr="00702AD2" w:rsidRDefault="00562D9C" w:rsidP="00562D9C">
      <w:pPr>
        <w:autoSpaceDE w:val="0"/>
        <w:autoSpaceDN w:val="0"/>
        <w:adjustRightInd w:val="0"/>
        <w:jc w:val="both"/>
        <w:rPr>
          <w:rFonts w:ascii="Abadi" w:hAnsi="Abadi" w:cs="Arial-ItalicMT"/>
          <w:i/>
          <w:iCs/>
          <w:sz w:val="21"/>
          <w:szCs w:val="21"/>
        </w:rPr>
      </w:pPr>
    </w:p>
    <w:p w14:paraId="70F96466" w14:textId="77777777" w:rsidR="00562D9C" w:rsidRPr="00AF7504" w:rsidRDefault="00562D9C" w:rsidP="00562D9C">
      <w:pPr>
        <w:pStyle w:val="Prrafodelista"/>
        <w:numPr>
          <w:ilvl w:val="0"/>
          <w:numId w:val="64"/>
        </w:numPr>
        <w:autoSpaceDE w:val="0"/>
        <w:autoSpaceDN w:val="0"/>
        <w:adjustRightInd w:val="0"/>
        <w:contextualSpacing/>
        <w:jc w:val="both"/>
        <w:rPr>
          <w:rFonts w:ascii="Abadi" w:hAnsi="Abadi" w:cs="Arial-ItalicMT"/>
          <w:i/>
          <w:iCs/>
          <w:sz w:val="21"/>
          <w:szCs w:val="21"/>
        </w:rPr>
      </w:pPr>
      <w:r w:rsidRPr="00AF7504">
        <w:rPr>
          <w:rFonts w:ascii="Abadi" w:hAnsi="Abadi" w:cs="Arial-ItalicMT"/>
          <w:i/>
          <w:iCs/>
          <w:sz w:val="21"/>
          <w:szCs w:val="21"/>
        </w:rPr>
        <w:t>Y, por último, se específica que en:</w:t>
      </w:r>
    </w:p>
    <w:p w14:paraId="2A8D87D4" w14:textId="77777777" w:rsidR="00562D9C" w:rsidRPr="00702AD2" w:rsidRDefault="00562D9C" w:rsidP="00562D9C">
      <w:pPr>
        <w:autoSpaceDE w:val="0"/>
        <w:autoSpaceDN w:val="0"/>
        <w:adjustRightInd w:val="0"/>
        <w:jc w:val="both"/>
        <w:rPr>
          <w:rFonts w:ascii="Abadi" w:hAnsi="Abadi" w:cs="Arial-ItalicMT"/>
          <w:i/>
          <w:iCs/>
          <w:sz w:val="21"/>
          <w:szCs w:val="21"/>
        </w:rPr>
      </w:pPr>
    </w:p>
    <w:p w14:paraId="12A0A3B7" w14:textId="77777777" w:rsidR="00562D9C" w:rsidRPr="0005171A" w:rsidRDefault="00562D9C" w:rsidP="00562D9C">
      <w:pPr>
        <w:pStyle w:val="Prrafodelista"/>
        <w:numPr>
          <w:ilvl w:val="0"/>
          <w:numId w:val="65"/>
        </w:numPr>
        <w:autoSpaceDE w:val="0"/>
        <w:autoSpaceDN w:val="0"/>
        <w:adjustRightInd w:val="0"/>
        <w:ind w:left="993"/>
        <w:contextualSpacing/>
        <w:jc w:val="both"/>
        <w:rPr>
          <w:rFonts w:ascii="Abadi" w:hAnsi="Abadi" w:cs="Arial-ItalicMT"/>
          <w:i/>
          <w:iCs/>
          <w:sz w:val="21"/>
          <w:szCs w:val="21"/>
        </w:rPr>
      </w:pPr>
      <w:r w:rsidRPr="0005171A">
        <w:rPr>
          <w:rFonts w:ascii="Abadi" w:hAnsi="Abadi" w:cs="Arial-ItalicMT"/>
          <w:i/>
          <w:iCs/>
          <w:sz w:val="21"/>
          <w:szCs w:val="21"/>
        </w:rPr>
        <w:t xml:space="preserve">La </w:t>
      </w:r>
      <w:r w:rsidRPr="0005171A">
        <w:rPr>
          <w:rFonts w:ascii="Abadi" w:hAnsi="Abadi" w:cs="Arial-BoldItalicMT"/>
          <w:b/>
          <w:bCs/>
          <w:i/>
          <w:iCs/>
          <w:sz w:val="21"/>
          <w:szCs w:val="21"/>
        </w:rPr>
        <w:t xml:space="preserve">educación primaria </w:t>
      </w:r>
      <w:r w:rsidRPr="0005171A">
        <w:rPr>
          <w:rFonts w:ascii="Abadi" w:hAnsi="Abadi" w:cs="Arial-ItalicMT"/>
          <w:i/>
          <w:iCs/>
          <w:sz w:val="21"/>
          <w:szCs w:val="21"/>
        </w:rPr>
        <w:t>debe introducir a los educandos al conocimiento integral de su cuerpo y la sexualidad, así como a la reproducción humana, la planificación familiar, a la paternidad y maternidad responsables y la diversidad sexual</w:t>
      </w:r>
    </w:p>
    <w:p w14:paraId="37B552D6" w14:textId="77777777" w:rsidR="00562D9C" w:rsidRPr="00702AD2" w:rsidRDefault="00562D9C" w:rsidP="00562D9C">
      <w:pPr>
        <w:autoSpaceDE w:val="0"/>
        <w:autoSpaceDN w:val="0"/>
        <w:adjustRightInd w:val="0"/>
        <w:ind w:left="993"/>
        <w:jc w:val="both"/>
        <w:rPr>
          <w:rFonts w:ascii="Abadi" w:hAnsi="Abadi" w:cs="Arial-ItalicMT"/>
          <w:i/>
          <w:iCs/>
          <w:sz w:val="21"/>
          <w:szCs w:val="21"/>
        </w:rPr>
      </w:pPr>
    </w:p>
    <w:p w14:paraId="4237ADCA" w14:textId="77777777" w:rsidR="00562D9C" w:rsidRPr="0005171A" w:rsidRDefault="00562D9C" w:rsidP="00562D9C">
      <w:pPr>
        <w:pStyle w:val="Prrafodelista"/>
        <w:numPr>
          <w:ilvl w:val="0"/>
          <w:numId w:val="65"/>
        </w:numPr>
        <w:autoSpaceDE w:val="0"/>
        <w:autoSpaceDN w:val="0"/>
        <w:adjustRightInd w:val="0"/>
        <w:ind w:left="993"/>
        <w:contextualSpacing/>
        <w:jc w:val="both"/>
        <w:rPr>
          <w:rFonts w:ascii="Abadi" w:hAnsi="Abadi" w:cs="Arial-ItalicMT"/>
          <w:i/>
          <w:iCs/>
          <w:sz w:val="21"/>
          <w:szCs w:val="21"/>
        </w:rPr>
      </w:pPr>
      <w:r w:rsidRPr="0005171A">
        <w:rPr>
          <w:rFonts w:ascii="Abadi" w:hAnsi="Abadi" w:cs="Arial-ItalicMT"/>
          <w:i/>
          <w:iCs/>
          <w:sz w:val="21"/>
          <w:szCs w:val="21"/>
        </w:rPr>
        <w:t xml:space="preserve">La </w:t>
      </w:r>
      <w:r w:rsidRPr="0005171A">
        <w:rPr>
          <w:rFonts w:ascii="Abadi" w:hAnsi="Abadi" w:cs="Arial-BoldItalicMT"/>
          <w:b/>
          <w:bCs/>
          <w:i/>
          <w:iCs/>
          <w:sz w:val="21"/>
          <w:szCs w:val="21"/>
        </w:rPr>
        <w:t xml:space="preserve">educación secundaria </w:t>
      </w:r>
      <w:r w:rsidRPr="0005171A">
        <w:rPr>
          <w:rFonts w:ascii="Abadi" w:hAnsi="Abadi" w:cs="Arial-ItalicMT"/>
          <w:i/>
          <w:iCs/>
          <w:sz w:val="21"/>
          <w:szCs w:val="21"/>
        </w:rPr>
        <w:t>debe profundizar en los educandos el conocimiento sobre la sexualidad, así como lo relativo a la reproducción humana, la planificación familiar, a la paternidad y maternidad responsables; así como a la prevención de enfermedades de transmisión sexual y la diversidad sexual.</w:t>
      </w:r>
    </w:p>
    <w:p w14:paraId="6D12F440" w14:textId="77777777" w:rsidR="00562D9C" w:rsidRPr="00702AD2" w:rsidRDefault="00562D9C" w:rsidP="00562D9C">
      <w:pPr>
        <w:autoSpaceDE w:val="0"/>
        <w:autoSpaceDN w:val="0"/>
        <w:adjustRightInd w:val="0"/>
        <w:ind w:left="993"/>
        <w:jc w:val="both"/>
        <w:rPr>
          <w:rFonts w:ascii="Abadi" w:hAnsi="Abadi" w:cs="Arial-ItalicMT"/>
          <w:i/>
          <w:iCs/>
          <w:sz w:val="21"/>
          <w:szCs w:val="21"/>
        </w:rPr>
      </w:pPr>
    </w:p>
    <w:p w14:paraId="0B311B3D" w14:textId="77777777" w:rsidR="00562D9C" w:rsidRPr="0005171A" w:rsidRDefault="00562D9C" w:rsidP="00562D9C">
      <w:pPr>
        <w:pStyle w:val="Prrafodelista"/>
        <w:numPr>
          <w:ilvl w:val="0"/>
          <w:numId w:val="65"/>
        </w:numPr>
        <w:autoSpaceDE w:val="0"/>
        <w:autoSpaceDN w:val="0"/>
        <w:adjustRightInd w:val="0"/>
        <w:ind w:left="993"/>
        <w:contextualSpacing/>
        <w:jc w:val="both"/>
        <w:rPr>
          <w:rFonts w:ascii="Abadi" w:hAnsi="Abadi" w:cs="Arial-ItalicMT"/>
          <w:i/>
          <w:iCs/>
          <w:sz w:val="21"/>
          <w:szCs w:val="21"/>
        </w:rPr>
      </w:pPr>
      <w:r w:rsidRPr="0005171A">
        <w:rPr>
          <w:rFonts w:ascii="Abadi" w:hAnsi="Abadi" w:cs="Arial-ItalicMT"/>
          <w:i/>
          <w:iCs/>
          <w:sz w:val="21"/>
          <w:szCs w:val="21"/>
        </w:rPr>
        <w:t xml:space="preserve">La </w:t>
      </w:r>
      <w:r w:rsidRPr="0005171A">
        <w:rPr>
          <w:rFonts w:ascii="Abadi" w:hAnsi="Abadi" w:cs="Arial-BoldItalicMT"/>
          <w:b/>
          <w:bCs/>
          <w:i/>
          <w:iCs/>
          <w:sz w:val="21"/>
          <w:szCs w:val="21"/>
        </w:rPr>
        <w:t xml:space="preserve">educación media superior </w:t>
      </w:r>
      <w:r w:rsidRPr="0005171A">
        <w:rPr>
          <w:rFonts w:ascii="Abadi" w:hAnsi="Abadi" w:cs="Arial-ItalicMT"/>
          <w:i/>
          <w:iCs/>
          <w:sz w:val="21"/>
          <w:szCs w:val="21"/>
        </w:rPr>
        <w:t>reforzará los conocimientos de los educandos sobre la sexualidad, la reproducción humana, la planificación familiar, la paternidad y maternidad responsables; así como a la prevención de enfermedades de transmisión sexual y la diversidad sexual.</w:t>
      </w:r>
    </w:p>
    <w:p w14:paraId="75EE9A7F" w14:textId="77777777" w:rsidR="00562D9C" w:rsidRPr="00702AD2" w:rsidRDefault="00562D9C" w:rsidP="00562D9C">
      <w:pPr>
        <w:autoSpaceDE w:val="0"/>
        <w:autoSpaceDN w:val="0"/>
        <w:adjustRightInd w:val="0"/>
        <w:jc w:val="both"/>
        <w:rPr>
          <w:rFonts w:ascii="Abadi" w:hAnsi="Abadi" w:cs="Arial-ItalicMT"/>
          <w:i/>
          <w:iCs/>
          <w:sz w:val="21"/>
          <w:szCs w:val="21"/>
        </w:rPr>
      </w:pPr>
    </w:p>
    <w:p w14:paraId="5DA9E1D6" w14:textId="77777777" w:rsidR="00562D9C" w:rsidRDefault="00562D9C" w:rsidP="00562D9C">
      <w:pPr>
        <w:autoSpaceDE w:val="0"/>
        <w:autoSpaceDN w:val="0"/>
        <w:adjustRightInd w:val="0"/>
        <w:jc w:val="both"/>
        <w:rPr>
          <w:rFonts w:ascii="Abadi" w:hAnsi="Abadi" w:cs="Arial-ItalicMT"/>
          <w:i/>
          <w:iCs/>
          <w:sz w:val="21"/>
          <w:szCs w:val="21"/>
        </w:rPr>
      </w:pPr>
      <w:r w:rsidRPr="00702AD2">
        <w:rPr>
          <w:rFonts w:ascii="Abadi" w:hAnsi="Abadi" w:cs="Arial-ItalicMT"/>
          <w:i/>
          <w:iCs/>
          <w:sz w:val="21"/>
          <w:szCs w:val="21"/>
        </w:rPr>
        <w:t>En este sentido, la presente iniciativa engloba diversas acciones de una estrategia</w:t>
      </w:r>
      <w:r>
        <w:rPr>
          <w:rFonts w:ascii="Abadi" w:hAnsi="Abadi" w:cs="Arial-ItalicMT"/>
          <w:i/>
          <w:iCs/>
          <w:sz w:val="21"/>
          <w:szCs w:val="21"/>
        </w:rPr>
        <w:t xml:space="preserve"> </w:t>
      </w:r>
      <w:r w:rsidRPr="00702AD2">
        <w:rPr>
          <w:rFonts w:ascii="Abadi" w:hAnsi="Abadi" w:cs="Arial-ItalicMT"/>
          <w:i/>
          <w:iCs/>
          <w:sz w:val="21"/>
          <w:szCs w:val="21"/>
        </w:rPr>
        <w:t>integral para combatir la violencia entre los escolares por la intolerancia y falta de respeto</w:t>
      </w:r>
      <w:r>
        <w:rPr>
          <w:rFonts w:ascii="Abadi" w:hAnsi="Abadi" w:cs="Arial-ItalicMT"/>
          <w:i/>
          <w:iCs/>
          <w:sz w:val="21"/>
          <w:szCs w:val="21"/>
        </w:rPr>
        <w:t xml:space="preserve"> </w:t>
      </w:r>
      <w:r w:rsidRPr="00702AD2">
        <w:rPr>
          <w:rFonts w:ascii="Abadi" w:hAnsi="Abadi" w:cs="Arial-ItalicMT"/>
          <w:i/>
          <w:iCs/>
          <w:sz w:val="21"/>
          <w:szCs w:val="21"/>
        </w:rPr>
        <w:t>hacía sus compañeros que expresan de diferente manera su diversidad sexual.</w:t>
      </w:r>
      <w:r>
        <w:rPr>
          <w:rFonts w:ascii="Abadi" w:hAnsi="Abadi" w:cs="Arial-ItalicMT"/>
          <w:i/>
          <w:iCs/>
          <w:sz w:val="21"/>
          <w:szCs w:val="21"/>
        </w:rPr>
        <w:t xml:space="preserve"> </w:t>
      </w:r>
      <w:r w:rsidRPr="00702AD2">
        <w:rPr>
          <w:rFonts w:ascii="Abadi" w:hAnsi="Abadi" w:cs="Arial-ItalicMT"/>
          <w:i/>
          <w:iCs/>
          <w:sz w:val="21"/>
          <w:szCs w:val="21"/>
        </w:rPr>
        <w:t>Comprendiendo lo siguiente: medidas preventivas con la creación de una política pública</w:t>
      </w:r>
      <w:r>
        <w:rPr>
          <w:rFonts w:ascii="Abadi" w:hAnsi="Abadi" w:cs="Arial-ItalicMT"/>
          <w:i/>
          <w:iCs/>
          <w:sz w:val="21"/>
          <w:szCs w:val="21"/>
        </w:rPr>
        <w:t xml:space="preserve"> </w:t>
      </w:r>
      <w:r w:rsidRPr="00702AD2">
        <w:rPr>
          <w:rFonts w:ascii="Abadi" w:hAnsi="Abadi" w:cs="Arial-ItalicMT"/>
          <w:i/>
          <w:iCs/>
          <w:sz w:val="21"/>
          <w:szCs w:val="21"/>
        </w:rPr>
        <w:t>por parte del titular del poder ejecutivo del estado, contra la violencia escolar para</w:t>
      </w:r>
      <w:r>
        <w:rPr>
          <w:rFonts w:ascii="Abadi" w:hAnsi="Abadi" w:cs="Arial-ItalicMT"/>
          <w:i/>
          <w:iCs/>
          <w:sz w:val="21"/>
          <w:szCs w:val="21"/>
        </w:rPr>
        <w:t xml:space="preserve"> </w:t>
      </w:r>
      <w:r w:rsidRPr="00702AD2">
        <w:rPr>
          <w:rFonts w:ascii="Abadi" w:hAnsi="Abadi" w:cs="Arial-ItalicMT"/>
          <w:i/>
          <w:iCs/>
          <w:sz w:val="21"/>
          <w:szCs w:val="21"/>
        </w:rPr>
        <w:t>enfrentar la discriminación por orientación sexual o acoso escolar homofóbico; promoción</w:t>
      </w:r>
      <w:r>
        <w:rPr>
          <w:rFonts w:ascii="Abadi" w:hAnsi="Abadi" w:cs="Arial-ItalicMT"/>
          <w:i/>
          <w:iCs/>
          <w:sz w:val="21"/>
          <w:szCs w:val="21"/>
        </w:rPr>
        <w:t xml:space="preserve"> </w:t>
      </w:r>
      <w:r w:rsidRPr="00702AD2">
        <w:rPr>
          <w:rFonts w:ascii="Abadi" w:hAnsi="Abadi" w:cs="Arial-ItalicMT"/>
          <w:i/>
          <w:iCs/>
          <w:sz w:val="21"/>
          <w:szCs w:val="21"/>
        </w:rPr>
        <w:t>de derechos humanos; homofobia escolar en la mira; toma de conciencia; formación de</w:t>
      </w:r>
      <w:r>
        <w:rPr>
          <w:rFonts w:ascii="Abadi" w:hAnsi="Abadi" w:cs="Arial-ItalicMT"/>
          <w:i/>
          <w:iCs/>
          <w:sz w:val="21"/>
          <w:szCs w:val="21"/>
        </w:rPr>
        <w:t xml:space="preserve"> </w:t>
      </w:r>
      <w:r w:rsidRPr="00702AD2">
        <w:rPr>
          <w:rFonts w:ascii="Abadi" w:hAnsi="Abadi" w:cs="Arial-ItalicMT"/>
          <w:i/>
          <w:iCs/>
          <w:sz w:val="21"/>
          <w:szCs w:val="21"/>
        </w:rPr>
        <w:t>profesores; programas de educación sexual; aportes de la sociedad civil; contención,</w:t>
      </w:r>
      <w:r>
        <w:rPr>
          <w:rFonts w:ascii="Abadi" w:hAnsi="Abadi" w:cs="Arial-ItalicMT"/>
          <w:i/>
          <w:iCs/>
          <w:sz w:val="21"/>
          <w:szCs w:val="21"/>
        </w:rPr>
        <w:t xml:space="preserve"> </w:t>
      </w:r>
      <w:r w:rsidRPr="00702AD2">
        <w:rPr>
          <w:rFonts w:ascii="Abadi" w:hAnsi="Abadi" w:cs="Arial-ItalicMT"/>
          <w:i/>
          <w:iCs/>
          <w:sz w:val="21"/>
          <w:szCs w:val="21"/>
        </w:rPr>
        <w:t>seguimiento y tutorías; material educativo; escuela espacio seguro; registro de</w:t>
      </w:r>
      <w:r>
        <w:rPr>
          <w:rFonts w:ascii="Abadi" w:hAnsi="Abadi" w:cs="Arial-ItalicMT"/>
          <w:i/>
          <w:iCs/>
          <w:sz w:val="21"/>
          <w:szCs w:val="21"/>
        </w:rPr>
        <w:t xml:space="preserve"> </w:t>
      </w:r>
      <w:r w:rsidRPr="00702AD2">
        <w:rPr>
          <w:rFonts w:ascii="Abadi" w:hAnsi="Abadi" w:cs="Arial-ItalicMT"/>
          <w:i/>
          <w:iCs/>
          <w:sz w:val="21"/>
          <w:szCs w:val="21"/>
        </w:rPr>
        <w:t>información; y, combate a la hegemonía del paradigma heterosexista.</w:t>
      </w:r>
    </w:p>
    <w:p w14:paraId="5949B791" w14:textId="77777777" w:rsidR="00562D9C" w:rsidRDefault="00562D9C" w:rsidP="00562D9C">
      <w:pPr>
        <w:autoSpaceDE w:val="0"/>
        <w:autoSpaceDN w:val="0"/>
        <w:adjustRightInd w:val="0"/>
        <w:jc w:val="both"/>
        <w:rPr>
          <w:rFonts w:ascii="Abadi" w:hAnsi="Abadi" w:cs="Arial-ItalicMT"/>
          <w:i/>
          <w:iCs/>
          <w:sz w:val="21"/>
          <w:szCs w:val="21"/>
        </w:rPr>
      </w:pPr>
    </w:p>
    <w:p w14:paraId="7C1413EF" w14:textId="77777777" w:rsidR="00562D9C" w:rsidRPr="00702AD2" w:rsidRDefault="00562D9C" w:rsidP="00562D9C">
      <w:pPr>
        <w:autoSpaceDE w:val="0"/>
        <w:autoSpaceDN w:val="0"/>
        <w:adjustRightInd w:val="0"/>
        <w:jc w:val="both"/>
        <w:rPr>
          <w:rFonts w:ascii="Abadi" w:hAnsi="Abadi" w:cs="Arial-ItalicMT"/>
          <w:i/>
          <w:iCs/>
          <w:sz w:val="21"/>
          <w:szCs w:val="21"/>
        </w:rPr>
      </w:pPr>
    </w:p>
    <w:p w14:paraId="294DA4FF" w14:textId="77777777" w:rsidR="00562D9C" w:rsidRDefault="00562D9C" w:rsidP="00562D9C">
      <w:pPr>
        <w:autoSpaceDE w:val="0"/>
        <w:autoSpaceDN w:val="0"/>
        <w:adjustRightInd w:val="0"/>
        <w:jc w:val="both"/>
        <w:rPr>
          <w:rFonts w:ascii="Abadi" w:hAnsi="Abadi" w:cs="Arial-ItalicMT"/>
          <w:i/>
          <w:iCs/>
          <w:sz w:val="21"/>
          <w:szCs w:val="21"/>
        </w:rPr>
      </w:pPr>
      <w:r w:rsidRPr="00702AD2">
        <w:rPr>
          <w:rFonts w:ascii="Abadi" w:hAnsi="Abadi" w:cs="Arial-ItalicMT"/>
          <w:i/>
          <w:iCs/>
          <w:sz w:val="21"/>
          <w:szCs w:val="21"/>
        </w:rPr>
        <w:t>En consecuencia, debemos ser conscientes que el tema de la diversidad sexual en las</w:t>
      </w:r>
      <w:r>
        <w:rPr>
          <w:rFonts w:ascii="Abadi" w:hAnsi="Abadi" w:cs="Arial-ItalicMT"/>
          <w:i/>
          <w:iCs/>
          <w:sz w:val="21"/>
          <w:szCs w:val="21"/>
        </w:rPr>
        <w:t xml:space="preserve"> </w:t>
      </w:r>
      <w:r w:rsidRPr="00702AD2">
        <w:rPr>
          <w:rFonts w:ascii="Abadi" w:hAnsi="Abadi" w:cs="Arial-ItalicMT"/>
          <w:i/>
          <w:iCs/>
          <w:sz w:val="21"/>
          <w:szCs w:val="21"/>
        </w:rPr>
        <w:t>escuelas es un tema que tenemos la obligación y el compromiso de atenderlo de manera</w:t>
      </w:r>
      <w:r>
        <w:rPr>
          <w:rFonts w:ascii="Abadi" w:hAnsi="Abadi" w:cs="Arial-ItalicMT"/>
          <w:i/>
          <w:iCs/>
          <w:sz w:val="21"/>
          <w:szCs w:val="21"/>
        </w:rPr>
        <w:t xml:space="preserve"> </w:t>
      </w:r>
      <w:r w:rsidRPr="00702AD2">
        <w:rPr>
          <w:rFonts w:ascii="Abadi" w:hAnsi="Abadi" w:cs="Arial-ItalicMT"/>
          <w:i/>
          <w:iCs/>
          <w:sz w:val="21"/>
          <w:szCs w:val="21"/>
        </w:rPr>
        <w:t>puntual, sin cortapisas. Visibilizarlo, ayudaría a comprender por parte de los alumnos,</w:t>
      </w:r>
      <w:r>
        <w:rPr>
          <w:rFonts w:ascii="Abadi" w:hAnsi="Abadi" w:cs="Arial-ItalicMT"/>
          <w:i/>
          <w:iCs/>
          <w:sz w:val="21"/>
          <w:szCs w:val="21"/>
        </w:rPr>
        <w:t xml:space="preserve"> </w:t>
      </w:r>
      <w:r w:rsidRPr="00702AD2">
        <w:rPr>
          <w:rFonts w:ascii="Abadi" w:hAnsi="Abadi" w:cs="Arial-ItalicMT"/>
          <w:i/>
          <w:iCs/>
          <w:sz w:val="21"/>
          <w:szCs w:val="21"/>
        </w:rPr>
        <w:t>docentes y padres de familia la eliminación de la violencia en las escuelas por este tipo</w:t>
      </w:r>
      <w:r>
        <w:rPr>
          <w:rFonts w:ascii="Abadi" w:hAnsi="Abadi" w:cs="Arial-ItalicMT"/>
          <w:i/>
          <w:iCs/>
          <w:sz w:val="21"/>
          <w:szCs w:val="21"/>
        </w:rPr>
        <w:t xml:space="preserve"> </w:t>
      </w:r>
      <w:r w:rsidRPr="00702AD2">
        <w:rPr>
          <w:rFonts w:ascii="Abadi" w:hAnsi="Abadi" w:cs="Arial-ItalicMT"/>
          <w:i/>
          <w:iCs/>
          <w:sz w:val="21"/>
          <w:szCs w:val="21"/>
        </w:rPr>
        <w:t>de comportamientos de intolerancia y discriminación.</w:t>
      </w:r>
    </w:p>
    <w:p w14:paraId="22BF9724" w14:textId="77777777" w:rsidR="00562D9C" w:rsidRPr="00702AD2" w:rsidRDefault="00562D9C" w:rsidP="00562D9C">
      <w:pPr>
        <w:autoSpaceDE w:val="0"/>
        <w:autoSpaceDN w:val="0"/>
        <w:adjustRightInd w:val="0"/>
        <w:jc w:val="both"/>
        <w:rPr>
          <w:rFonts w:ascii="Abadi" w:hAnsi="Abadi" w:cs="Arial-ItalicMT"/>
          <w:i/>
          <w:iCs/>
          <w:sz w:val="21"/>
          <w:szCs w:val="21"/>
        </w:rPr>
      </w:pPr>
    </w:p>
    <w:p w14:paraId="2B160504" w14:textId="77777777" w:rsidR="00562D9C" w:rsidRDefault="00562D9C" w:rsidP="00562D9C">
      <w:pPr>
        <w:autoSpaceDE w:val="0"/>
        <w:autoSpaceDN w:val="0"/>
        <w:adjustRightInd w:val="0"/>
        <w:jc w:val="both"/>
        <w:rPr>
          <w:rFonts w:ascii="Abadi" w:hAnsi="Abadi" w:cs="Arial-ItalicMT"/>
          <w:i/>
          <w:iCs/>
          <w:sz w:val="21"/>
          <w:szCs w:val="21"/>
        </w:rPr>
      </w:pPr>
      <w:r w:rsidRPr="00702AD2">
        <w:rPr>
          <w:rFonts w:ascii="Abadi" w:hAnsi="Abadi" w:cs="Arial-ItalicMT"/>
          <w:i/>
          <w:iCs/>
          <w:sz w:val="21"/>
          <w:szCs w:val="21"/>
        </w:rPr>
        <w:t>Y es importante resaltar la gran labor que debe desempeñar la Secretaría de Educación,</w:t>
      </w:r>
      <w:r>
        <w:rPr>
          <w:rFonts w:ascii="Abadi" w:hAnsi="Abadi" w:cs="Arial-ItalicMT"/>
          <w:i/>
          <w:iCs/>
          <w:sz w:val="21"/>
          <w:szCs w:val="21"/>
        </w:rPr>
        <w:t xml:space="preserve"> </w:t>
      </w:r>
      <w:r w:rsidRPr="00702AD2">
        <w:rPr>
          <w:rFonts w:ascii="Abadi" w:hAnsi="Abadi" w:cs="Arial-ItalicMT"/>
          <w:i/>
          <w:iCs/>
          <w:sz w:val="21"/>
          <w:szCs w:val="21"/>
        </w:rPr>
        <w:t>en la elaboración del programa escolar de educación en la sexualidad y la diversidad</w:t>
      </w:r>
      <w:r>
        <w:rPr>
          <w:rFonts w:ascii="Abadi" w:hAnsi="Abadi" w:cs="Arial-ItalicMT"/>
          <w:i/>
          <w:iCs/>
          <w:sz w:val="21"/>
          <w:szCs w:val="21"/>
        </w:rPr>
        <w:t xml:space="preserve"> </w:t>
      </w:r>
      <w:r w:rsidRPr="00702AD2">
        <w:rPr>
          <w:rFonts w:ascii="Abadi" w:hAnsi="Abadi" w:cs="Arial-ItalicMT"/>
          <w:i/>
          <w:iCs/>
          <w:sz w:val="21"/>
          <w:szCs w:val="21"/>
        </w:rPr>
        <w:t>sexual, con un enfoque de derechos humanos, privilegiando el reconocimiento y</w:t>
      </w:r>
      <w:r>
        <w:rPr>
          <w:rFonts w:ascii="Abadi" w:hAnsi="Abadi" w:cs="Arial-ItalicMT"/>
          <w:i/>
          <w:iCs/>
          <w:sz w:val="21"/>
          <w:szCs w:val="21"/>
        </w:rPr>
        <w:t xml:space="preserve"> </w:t>
      </w:r>
      <w:r w:rsidRPr="00702AD2">
        <w:rPr>
          <w:rFonts w:ascii="Abadi" w:hAnsi="Abadi" w:cs="Arial-ItalicMT"/>
          <w:i/>
          <w:iCs/>
          <w:sz w:val="21"/>
          <w:szCs w:val="21"/>
        </w:rPr>
        <w:t>valoración de la diversidad sexual.</w:t>
      </w:r>
    </w:p>
    <w:p w14:paraId="06CB2221" w14:textId="77777777" w:rsidR="00562D9C" w:rsidRPr="00702AD2" w:rsidRDefault="00562D9C" w:rsidP="00562D9C">
      <w:pPr>
        <w:autoSpaceDE w:val="0"/>
        <w:autoSpaceDN w:val="0"/>
        <w:adjustRightInd w:val="0"/>
        <w:jc w:val="both"/>
        <w:rPr>
          <w:rFonts w:ascii="Abadi" w:hAnsi="Abadi" w:cs="Arial-ItalicMT"/>
          <w:i/>
          <w:iCs/>
          <w:sz w:val="21"/>
          <w:szCs w:val="21"/>
        </w:rPr>
      </w:pPr>
    </w:p>
    <w:p w14:paraId="39E8FDE4" w14:textId="77777777" w:rsidR="00562D9C" w:rsidRPr="00702AD2" w:rsidRDefault="00562D9C" w:rsidP="00562D9C">
      <w:pPr>
        <w:autoSpaceDE w:val="0"/>
        <w:autoSpaceDN w:val="0"/>
        <w:adjustRightInd w:val="0"/>
        <w:jc w:val="both"/>
        <w:rPr>
          <w:rFonts w:ascii="Abadi" w:hAnsi="Abadi" w:cs="Arial-ItalicMT"/>
          <w:i/>
          <w:iCs/>
          <w:sz w:val="21"/>
          <w:szCs w:val="21"/>
        </w:rPr>
      </w:pPr>
      <w:r w:rsidRPr="00702AD2">
        <w:rPr>
          <w:rFonts w:ascii="Abadi" w:hAnsi="Abadi" w:cs="Arial-ItalicMT"/>
          <w:i/>
          <w:iCs/>
          <w:sz w:val="21"/>
          <w:szCs w:val="21"/>
        </w:rPr>
        <w:t xml:space="preserve">Con esta iniciativa, estaríamos contribuyendo al cumplimiento de la </w:t>
      </w:r>
      <w:r w:rsidRPr="00702AD2">
        <w:rPr>
          <w:rFonts w:ascii="Abadi" w:hAnsi="Abadi" w:cs="Arial-BoldItalicMT"/>
          <w:b/>
          <w:bCs/>
          <w:i/>
          <w:iCs/>
          <w:sz w:val="21"/>
          <w:szCs w:val="21"/>
        </w:rPr>
        <w:t>“Agenda 2030 para</w:t>
      </w:r>
      <w:r>
        <w:rPr>
          <w:rFonts w:ascii="Abadi" w:hAnsi="Abadi" w:cs="Arial-BoldItalicMT"/>
          <w:b/>
          <w:bCs/>
          <w:i/>
          <w:iCs/>
          <w:sz w:val="21"/>
          <w:szCs w:val="21"/>
        </w:rPr>
        <w:t xml:space="preserve"> </w:t>
      </w:r>
      <w:r w:rsidRPr="00702AD2">
        <w:rPr>
          <w:rFonts w:ascii="Abadi" w:hAnsi="Abadi" w:cs="Arial-BoldItalicMT"/>
          <w:b/>
          <w:bCs/>
          <w:i/>
          <w:iCs/>
          <w:sz w:val="21"/>
          <w:szCs w:val="21"/>
        </w:rPr>
        <w:t xml:space="preserve">el Desarrollo Sostenible” </w:t>
      </w:r>
      <w:r w:rsidRPr="00702AD2">
        <w:rPr>
          <w:rFonts w:ascii="Abadi" w:hAnsi="Abadi" w:cs="Arial-ItalicMT"/>
          <w:i/>
          <w:iCs/>
          <w:sz w:val="21"/>
          <w:szCs w:val="21"/>
        </w:rPr>
        <w:t>de la Organización de las Naciones Unidas, buscando</w:t>
      </w:r>
      <w:r>
        <w:rPr>
          <w:rFonts w:ascii="Abadi" w:hAnsi="Abadi" w:cs="Arial-ItalicMT"/>
          <w:i/>
          <w:iCs/>
          <w:sz w:val="21"/>
          <w:szCs w:val="21"/>
        </w:rPr>
        <w:t xml:space="preserve"> </w:t>
      </w:r>
      <w:r w:rsidRPr="00702AD2">
        <w:rPr>
          <w:rFonts w:ascii="Abadi" w:hAnsi="Abadi" w:cs="Arial-ItalicMT"/>
          <w:i/>
          <w:iCs/>
          <w:sz w:val="21"/>
          <w:szCs w:val="21"/>
        </w:rPr>
        <w:t xml:space="preserve">alcanzar las metas del objetivo 4 </w:t>
      </w:r>
      <w:r w:rsidRPr="00702AD2">
        <w:rPr>
          <w:rFonts w:ascii="Abadi" w:hAnsi="Abadi" w:cs="Arial-BoldItalicMT"/>
          <w:b/>
          <w:bCs/>
          <w:i/>
          <w:iCs/>
          <w:sz w:val="21"/>
          <w:szCs w:val="21"/>
        </w:rPr>
        <w:t xml:space="preserve">“Educación de Calidad” </w:t>
      </w:r>
      <w:r w:rsidRPr="00702AD2">
        <w:rPr>
          <w:rFonts w:ascii="Abadi" w:hAnsi="Abadi" w:cs="Arial-ItalicMT"/>
          <w:i/>
          <w:iCs/>
          <w:sz w:val="21"/>
          <w:szCs w:val="21"/>
        </w:rPr>
        <w:t>resultando necesaria la labor</w:t>
      </w:r>
      <w:r>
        <w:rPr>
          <w:rFonts w:ascii="Abadi" w:hAnsi="Abadi" w:cs="Arial-ItalicMT"/>
          <w:i/>
          <w:iCs/>
          <w:sz w:val="21"/>
          <w:szCs w:val="21"/>
        </w:rPr>
        <w:t xml:space="preserve"> </w:t>
      </w:r>
      <w:r w:rsidRPr="00702AD2">
        <w:rPr>
          <w:rFonts w:ascii="Abadi" w:hAnsi="Abadi" w:cs="Arial-ItalicMT"/>
          <w:i/>
          <w:iCs/>
          <w:sz w:val="21"/>
          <w:szCs w:val="21"/>
        </w:rPr>
        <w:t>que desempeñan los profesores en el fomento de una cultura de respeto a la diversidad</w:t>
      </w:r>
      <w:r>
        <w:rPr>
          <w:rFonts w:ascii="Abadi" w:hAnsi="Abadi" w:cs="Arial-ItalicMT"/>
          <w:i/>
          <w:iCs/>
          <w:sz w:val="21"/>
          <w:szCs w:val="21"/>
        </w:rPr>
        <w:t xml:space="preserve"> </w:t>
      </w:r>
      <w:r w:rsidRPr="00702AD2">
        <w:rPr>
          <w:rFonts w:ascii="Abadi" w:hAnsi="Abadi" w:cs="Arial-ItalicMT"/>
          <w:i/>
          <w:iCs/>
          <w:sz w:val="21"/>
          <w:szCs w:val="21"/>
        </w:rPr>
        <w:t>sexual de los alumnos, ya que los profesores no son sólo portadores de conocimiento,</w:t>
      </w:r>
      <w:r>
        <w:rPr>
          <w:rFonts w:ascii="Abadi" w:hAnsi="Abadi" w:cs="Arial-ItalicMT"/>
          <w:i/>
          <w:iCs/>
          <w:sz w:val="21"/>
          <w:szCs w:val="21"/>
        </w:rPr>
        <w:t xml:space="preserve"> </w:t>
      </w:r>
      <w:r w:rsidRPr="00702AD2">
        <w:rPr>
          <w:rFonts w:ascii="Abadi" w:hAnsi="Abadi" w:cs="Arial-ItalicMT"/>
          <w:i/>
          <w:iCs/>
          <w:sz w:val="21"/>
          <w:szCs w:val="21"/>
        </w:rPr>
        <w:t>sino también son portadores de valores, principios ideas que pueden propiciar un</w:t>
      </w:r>
      <w:r>
        <w:rPr>
          <w:rFonts w:ascii="Abadi" w:hAnsi="Abadi" w:cs="Arial-ItalicMT"/>
          <w:i/>
          <w:iCs/>
          <w:sz w:val="21"/>
          <w:szCs w:val="21"/>
        </w:rPr>
        <w:t xml:space="preserve"> </w:t>
      </w:r>
      <w:r w:rsidRPr="00702AD2">
        <w:rPr>
          <w:rFonts w:ascii="Abadi" w:hAnsi="Abadi" w:cs="Arial-ItalicMT"/>
          <w:i/>
          <w:iCs/>
          <w:sz w:val="21"/>
          <w:szCs w:val="21"/>
        </w:rPr>
        <w:t>ambiente incluyente, no discriminatorio y seguro para los alumnos.</w:t>
      </w:r>
    </w:p>
    <w:p w14:paraId="3A60EC9E" w14:textId="77777777" w:rsidR="00562D9C" w:rsidRPr="00702AD2" w:rsidRDefault="00562D9C" w:rsidP="00562D9C">
      <w:pPr>
        <w:autoSpaceDE w:val="0"/>
        <w:autoSpaceDN w:val="0"/>
        <w:adjustRightInd w:val="0"/>
        <w:jc w:val="both"/>
        <w:rPr>
          <w:rFonts w:ascii="Abadi" w:hAnsi="Abadi" w:cs="Arial-ItalicMT"/>
          <w:i/>
          <w:iCs/>
          <w:sz w:val="21"/>
          <w:szCs w:val="21"/>
        </w:rPr>
      </w:pPr>
      <w:r w:rsidRPr="00702AD2">
        <w:rPr>
          <w:rFonts w:ascii="Abadi" w:hAnsi="Abadi" w:cs="Arial-ItalicMT"/>
          <w:i/>
          <w:iCs/>
          <w:sz w:val="21"/>
          <w:szCs w:val="21"/>
        </w:rPr>
        <w:t>…</w:t>
      </w:r>
    </w:p>
    <w:p w14:paraId="33624C9B" w14:textId="77777777" w:rsidR="00562D9C" w:rsidRPr="00702AD2" w:rsidRDefault="00562D9C" w:rsidP="00562D9C">
      <w:pPr>
        <w:autoSpaceDE w:val="0"/>
        <w:autoSpaceDN w:val="0"/>
        <w:adjustRightInd w:val="0"/>
        <w:jc w:val="both"/>
        <w:rPr>
          <w:rFonts w:ascii="Abadi" w:hAnsi="Abadi" w:cs="Arial-ItalicMT"/>
          <w:i/>
          <w:iCs/>
          <w:sz w:val="21"/>
          <w:szCs w:val="21"/>
        </w:rPr>
      </w:pPr>
      <w:r w:rsidRPr="00702AD2">
        <w:rPr>
          <w:rFonts w:ascii="Abadi" w:hAnsi="Abadi" w:cs="Arial-ItalicMT"/>
          <w:i/>
          <w:iCs/>
          <w:sz w:val="21"/>
          <w:szCs w:val="21"/>
        </w:rPr>
        <w:t>…”</w:t>
      </w:r>
    </w:p>
    <w:p w14:paraId="5D219CAA"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La y el proponentes manifestaron que la intención de su iniciativa es establecer</w:t>
      </w:r>
      <w:r>
        <w:rPr>
          <w:rFonts w:ascii="Abadi" w:hAnsi="Abadi" w:cs="ArialMT"/>
          <w:sz w:val="21"/>
          <w:szCs w:val="21"/>
        </w:rPr>
        <w:t xml:space="preserve"> </w:t>
      </w:r>
      <w:r w:rsidRPr="00702AD2">
        <w:rPr>
          <w:rFonts w:ascii="Abadi" w:hAnsi="Abadi" w:cs="ArialMT"/>
          <w:sz w:val="21"/>
          <w:szCs w:val="21"/>
        </w:rPr>
        <w:t>acciones para una estrategia integral con el fin de combatir la violencia entre los</w:t>
      </w:r>
      <w:r>
        <w:rPr>
          <w:rFonts w:ascii="Abadi" w:hAnsi="Abadi" w:cs="ArialMT"/>
          <w:sz w:val="21"/>
          <w:szCs w:val="21"/>
        </w:rPr>
        <w:t xml:space="preserve"> </w:t>
      </w:r>
      <w:r w:rsidRPr="00702AD2">
        <w:rPr>
          <w:rFonts w:ascii="Abadi" w:hAnsi="Abadi" w:cs="ArialMT"/>
          <w:sz w:val="21"/>
          <w:szCs w:val="21"/>
        </w:rPr>
        <w:t>escolares por la intolerancia hacía los compañeros que expresan de diferente</w:t>
      </w:r>
      <w:r>
        <w:rPr>
          <w:rFonts w:ascii="Abadi" w:hAnsi="Abadi" w:cs="ArialMT"/>
          <w:sz w:val="21"/>
          <w:szCs w:val="21"/>
        </w:rPr>
        <w:t xml:space="preserve"> </w:t>
      </w:r>
      <w:r w:rsidRPr="00702AD2">
        <w:rPr>
          <w:rFonts w:ascii="Abadi" w:hAnsi="Abadi" w:cs="ArialMT"/>
          <w:sz w:val="21"/>
          <w:szCs w:val="21"/>
        </w:rPr>
        <w:t>manera su diversidad sexual, sin embargo debe considerarse que el objetivo que</w:t>
      </w:r>
      <w:r>
        <w:rPr>
          <w:rFonts w:ascii="Abadi" w:hAnsi="Abadi" w:cs="ArialMT"/>
          <w:sz w:val="21"/>
          <w:szCs w:val="21"/>
        </w:rPr>
        <w:t xml:space="preserve"> </w:t>
      </w:r>
      <w:r w:rsidRPr="00702AD2">
        <w:rPr>
          <w:rFonts w:ascii="Abadi" w:hAnsi="Abadi" w:cs="ArialMT"/>
          <w:sz w:val="21"/>
          <w:szCs w:val="21"/>
        </w:rPr>
        <w:t>pretende la iniciante ya se encuentra protegido por la Constitución Política de los</w:t>
      </w:r>
      <w:r>
        <w:rPr>
          <w:rFonts w:ascii="Abadi" w:hAnsi="Abadi" w:cs="ArialMT"/>
          <w:sz w:val="21"/>
          <w:szCs w:val="21"/>
        </w:rPr>
        <w:t xml:space="preserve"> </w:t>
      </w:r>
      <w:r w:rsidRPr="00702AD2">
        <w:rPr>
          <w:rFonts w:ascii="Abadi" w:hAnsi="Abadi" w:cs="ArialMT"/>
          <w:sz w:val="21"/>
          <w:szCs w:val="21"/>
        </w:rPr>
        <w:t>Estados Unidos Mexicanos, así como el diverso marco legal federal y estatal en</w:t>
      </w:r>
      <w:r>
        <w:rPr>
          <w:rFonts w:ascii="Abadi" w:hAnsi="Abadi" w:cs="ArialMT"/>
          <w:sz w:val="21"/>
          <w:szCs w:val="21"/>
        </w:rPr>
        <w:t xml:space="preserve"> </w:t>
      </w:r>
      <w:r w:rsidRPr="00702AD2">
        <w:rPr>
          <w:rFonts w:ascii="Abadi" w:hAnsi="Abadi" w:cs="ArialMT"/>
          <w:sz w:val="21"/>
          <w:szCs w:val="21"/>
        </w:rPr>
        <w:t>materia de derechos humanos, al garantizar la protección ante cualquier tipo de</w:t>
      </w:r>
      <w:r>
        <w:rPr>
          <w:rFonts w:ascii="Abadi" w:hAnsi="Abadi" w:cs="ArialMT"/>
          <w:sz w:val="21"/>
          <w:szCs w:val="21"/>
        </w:rPr>
        <w:t xml:space="preserve"> </w:t>
      </w:r>
      <w:r w:rsidRPr="00702AD2">
        <w:rPr>
          <w:rFonts w:ascii="Abadi" w:hAnsi="Abadi" w:cs="ArialMT"/>
          <w:sz w:val="21"/>
          <w:szCs w:val="21"/>
        </w:rPr>
        <w:t>discriminación.</w:t>
      </w:r>
    </w:p>
    <w:p w14:paraId="6D841519" w14:textId="77777777" w:rsidR="00562D9C" w:rsidRPr="00702AD2" w:rsidRDefault="00562D9C" w:rsidP="00562D9C">
      <w:pPr>
        <w:autoSpaceDE w:val="0"/>
        <w:autoSpaceDN w:val="0"/>
        <w:adjustRightInd w:val="0"/>
        <w:jc w:val="both"/>
        <w:rPr>
          <w:rFonts w:ascii="Abadi" w:hAnsi="Abadi" w:cs="ArialMT"/>
          <w:sz w:val="21"/>
          <w:szCs w:val="21"/>
        </w:rPr>
      </w:pPr>
    </w:p>
    <w:p w14:paraId="7F2A5D22" w14:textId="77777777" w:rsidR="00562D9C" w:rsidRPr="00702AD2"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La universalidad de los Derechos Humanos significa que todas las personas</w:t>
      </w:r>
      <w:r>
        <w:rPr>
          <w:rFonts w:ascii="Abadi" w:hAnsi="Abadi" w:cs="ArialMT"/>
          <w:sz w:val="21"/>
          <w:szCs w:val="21"/>
        </w:rPr>
        <w:t xml:space="preserve"> </w:t>
      </w:r>
      <w:r w:rsidRPr="00702AD2">
        <w:rPr>
          <w:rFonts w:ascii="Abadi" w:hAnsi="Abadi" w:cs="ArialMT"/>
          <w:sz w:val="21"/>
          <w:szCs w:val="21"/>
        </w:rPr>
        <w:t>tienen garantías simplemente por su condición de ser humanos,</w:t>
      </w:r>
      <w:r>
        <w:rPr>
          <w:rFonts w:ascii="Abadi" w:hAnsi="Abadi" w:cs="ArialMT"/>
          <w:sz w:val="21"/>
          <w:szCs w:val="21"/>
        </w:rPr>
        <w:t xml:space="preserve"> </w:t>
      </w:r>
      <w:r w:rsidRPr="00702AD2">
        <w:rPr>
          <w:rFonts w:ascii="Abadi" w:hAnsi="Abadi" w:cs="ArialMT"/>
          <w:sz w:val="21"/>
          <w:szCs w:val="21"/>
        </w:rPr>
        <w:t>independientemente de donde vivan y quienes sean, así como de su situación o</w:t>
      </w:r>
      <w:r>
        <w:rPr>
          <w:rFonts w:ascii="Abadi" w:hAnsi="Abadi" w:cs="ArialMT"/>
          <w:sz w:val="21"/>
          <w:szCs w:val="21"/>
        </w:rPr>
        <w:t xml:space="preserve"> </w:t>
      </w:r>
      <w:r w:rsidRPr="00702AD2">
        <w:rPr>
          <w:rFonts w:ascii="Abadi" w:hAnsi="Abadi" w:cs="ArialMT"/>
          <w:sz w:val="21"/>
          <w:szCs w:val="21"/>
        </w:rPr>
        <w:t>características particulares. Debe entenderse que la universalidad está</w:t>
      </w:r>
    </w:p>
    <w:p w14:paraId="1743E7B3" w14:textId="77777777" w:rsidR="00562D9C" w:rsidRDefault="00562D9C" w:rsidP="00562D9C">
      <w:pPr>
        <w:autoSpaceDE w:val="0"/>
        <w:autoSpaceDN w:val="0"/>
        <w:adjustRightInd w:val="0"/>
        <w:jc w:val="both"/>
        <w:rPr>
          <w:rFonts w:ascii="Abadi" w:hAnsi="Abadi" w:cs="ArialMT"/>
          <w:sz w:val="21"/>
          <w:szCs w:val="21"/>
        </w:rPr>
      </w:pPr>
      <w:r w:rsidRPr="00702AD2">
        <w:rPr>
          <w:rFonts w:ascii="Abadi" w:hAnsi="Abadi" w:cs="ArialMT"/>
          <w:sz w:val="21"/>
          <w:szCs w:val="21"/>
        </w:rPr>
        <w:t>estrechamente vinculada a los siguientes principios fundamentales de los derechos</w:t>
      </w:r>
      <w:r>
        <w:rPr>
          <w:rFonts w:ascii="Abadi" w:hAnsi="Abadi" w:cs="ArialMT"/>
          <w:sz w:val="21"/>
          <w:szCs w:val="21"/>
        </w:rPr>
        <w:t xml:space="preserve"> </w:t>
      </w:r>
      <w:r w:rsidRPr="00702AD2">
        <w:rPr>
          <w:rFonts w:ascii="Abadi" w:hAnsi="Abadi" w:cs="ArialMT"/>
          <w:sz w:val="21"/>
          <w:szCs w:val="21"/>
        </w:rPr>
        <w:t>humanos: la interdependencia, la indivisibilidad, la igualdad y la dignidad.</w:t>
      </w:r>
      <w:r>
        <w:rPr>
          <w:rFonts w:ascii="Abadi" w:hAnsi="Abadi" w:cs="ArialMT"/>
          <w:sz w:val="21"/>
          <w:szCs w:val="21"/>
        </w:rPr>
        <w:t xml:space="preserve"> </w:t>
      </w:r>
    </w:p>
    <w:p w14:paraId="231C8BBB" w14:textId="77777777" w:rsidR="00562D9C" w:rsidRDefault="00562D9C" w:rsidP="00562D9C">
      <w:pPr>
        <w:autoSpaceDE w:val="0"/>
        <w:autoSpaceDN w:val="0"/>
        <w:adjustRightInd w:val="0"/>
        <w:jc w:val="both"/>
        <w:rPr>
          <w:rFonts w:ascii="Abadi" w:hAnsi="Abadi" w:cs="ArialMT"/>
          <w:sz w:val="21"/>
          <w:szCs w:val="21"/>
        </w:rPr>
      </w:pPr>
    </w:p>
    <w:p w14:paraId="19294646"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De lo anterior se destaca que nuestra Norma Suprema reconozca derechos</w:t>
      </w:r>
      <w:r>
        <w:rPr>
          <w:rFonts w:ascii="Abadi" w:hAnsi="Abadi" w:cs="ArialMT"/>
          <w:sz w:val="21"/>
          <w:szCs w:val="21"/>
        </w:rPr>
        <w:t xml:space="preserve"> </w:t>
      </w:r>
      <w:r w:rsidRPr="00702AD2">
        <w:rPr>
          <w:rFonts w:ascii="Abadi" w:hAnsi="Abadi" w:cs="ArialMT"/>
          <w:sz w:val="21"/>
          <w:szCs w:val="21"/>
        </w:rPr>
        <w:t>sin considerar características especiales, estereotipos, preferencias u</w:t>
      </w:r>
      <w:r>
        <w:rPr>
          <w:rFonts w:ascii="Abadi" w:hAnsi="Abadi" w:cs="ArialMT"/>
          <w:sz w:val="21"/>
          <w:szCs w:val="21"/>
        </w:rPr>
        <w:t xml:space="preserve"> </w:t>
      </w:r>
      <w:r w:rsidRPr="00702AD2">
        <w:rPr>
          <w:rFonts w:ascii="Abadi" w:hAnsi="Abadi" w:cs="ArialMT"/>
          <w:sz w:val="21"/>
          <w:szCs w:val="21"/>
        </w:rPr>
        <w:t>orientaciones, sino que se enfoca en ser una auténtica norma jurídica con las bases,</w:t>
      </w:r>
      <w:r>
        <w:rPr>
          <w:rFonts w:ascii="Abadi" w:hAnsi="Abadi" w:cs="ArialMT"/>
          <w:sz w:val="21"/>
          <w:szCs w:val="21"/>
        </w:rPr>
        <w:t xml:space="preserve"> </w:t>
      </w:r>
      <w:r w:rsidRPr="00702AD2">
        <w:rPr>
          <w:rFonts w:ascii="Abadi" w:hAnsi="Abadi" w:cs="ArialMT"/>
          <w:sz w:val="21"/>
          <w:szCs w:val="21"/>
        </w:rPr>
        <w:t>los fundamentos y herramientas a través de las cuales las personas puedan convivir</w:t>
      </w:r>
      <w:r>
        <w:rPr>
          <w:rFonts w:ascii="Abadi" w:hAnsi="Abadi" w:cs="ArialMT"/>
          <w:sz w:val="21"/>
          <w:szCs w:val="21"/>
        </w:rPr>
        <w:t xml:space="preserve"> </w:t>
      </w:r>
      <w:r w:rsidRPr="00702AD2">
        <w:rPr>
          <w:rFonts w:ascii="Abadi" w:hAnsi="Abadi" w:cs="ArialMT"/>
          <w:sz w:val="21"/>
          <w:szCs w:val="21"/>
        </w:rPr>
        <w:t>y desarrollarse armónicamente dentro de la sociedad, así como que las autoridades</w:t>
      </w:r>
      <w:r>
        <w:rPr>
          <w:rFonts w:ascii="Abadi" w:hAnsi="Abadi" w:cs="ArialMT"/>
          <w:sz w:val="21"/>
          <w:szCs w:val="21"/>
        </w:rPr>
        <w:t xml:space="preserve"> </w:t>
      </w:r>
      <w:r w:rsidRPr="00702AD2">
        <w:rPr>
          <w:rFonts w:ascii="Abadi" w:hAnsi="Abadi" w:cs="ArialMT"/>
          <w:sz w:val="21"/>
          <w:szCs w:val="21"/>
        </w:rPr>
        <w:t>estén sujetas a ciertas obligaciones y competencias para el desenvolvimiento de</w:t>
      </w:r>
      <w:r>
        <w:rPr>
          <w:rFonts w:ascii="Abadi" w:hAnsi="Abadi" w:cs="ArialMT"/>
          <w:sz w:val="21"/>
          <w:szCs w:val="21"/>
        </w:rPr>
        <w:t xml:space="preserve"> </w:t>
      </w:r>
      <w:r w:rsidRPr="00702AD2">
        <w:rPr>
          <w:rFonts w:ascii="Abadi" w:hAnsi="Abadi" w:cs="ArialMT"/>
          <w:sz w:val="21"/>
          <w:szCs w:val="21"/>
        </w:rPr>
        <w:t>sus actuaciones.</w:t>
      </w:r>
    </w:p>
    <w:p w14:paraId="5F79ADE4" w14:textId="77777777" w:rsidR="00562D9C" w:rsidRPr="00702AD2" w:rsidRDefault="00562D9C" w:rsidP="00562D9C">
      <w:pPr>
        <w:autoSpaceDE w:val="0"/>
        <w:autoSpaceDN w:val="0"/>
        <w:adjustRightInd w:val="0"/>
        <w:jc w:val="both"/>
        <w:rPr>
          <w:rFonts w:ascii="Abadi" w:hAnsi="Abadi" w:cs="ArialMT"/>
          <w:sz w:val="21"/>
          <w:szCs w:val="21"/>
        </w:rPr>
      </w:pPr>
    </w:p>
    <w:p w14:paraId="5A10E216" w14:textId="77777777" w:rsidR="00562D9C" w:rsidRPr="00702AD2"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La Constitución Política de los Estados Unidos Mexicanos, establece</w:t>
      </w:r>
      <w:r>
        <w:rPr>
          <w:rFonts w:ascii="Abadi" w:hAnsi="Abadi" w:cs="ArialMT"/>
          <w:sz w:val="21"/>
          <w:szCs w:val="21"/>
        </w:rPr>
        <w:t xml:space="preserve"> </w:t>
      </w:r>
      <w:r w:rsidRPr="00702AD2">
        <w:rPr>
          <w:rFonts w:ascii="Abadi" w:hAnsi="Abadi" w:cs="ArialMT"/>
          <w:sz w:val="21"/>
          <w:szCs w:val="21"/>
        </w:rPr>
        <w:t>expresamente el principio antidiscriminatorio en su artículo 1, quinto párrafo1, donde</w:t>
      </w:r>
      <w:r>
        <w:rPr>
          <w:rFonts w:ascii="Abadi" w:hAnsi="Abadi" w:cs="ArialMT"/>
          <w:sz w:val="21"/>
          <w:szCs w:val="21"/>
        </w:rPr>
        <w:t xml:space="preserve"> </w:t>
      </w:r>
      <w:r w:rsidRPr="00702AD2">
        <w:rPr>
          <w:rFonts w:ascii="Abadi" w:hAnsi="Abadi" w:cs="ArialMT"/>
          <w:sz w:val="21"/>
          <w:szCs w:val="21"/>
        </w:rPr>
        <w:t>queda prohibida toda forma de discriminación que tenga por objeto anular o</w:t>
      </w:r>
      <w:r>
        <w:rPr>
          <w:rFonts w:ascii="Abadi" w:hAnsi="Abadi" w:cs="ArialMT"/>
          <w:sz w:val="21"/>
          <w:szCs w:val="21"/>
        </w:rPr>
        <w:t xml:space="preserve"> </w:t>
      </w:r>
      <w:r w:rsidRPr="00702AD2">
        <w:rPr>
          <w:rFonts w:ascii="Abadi" w:hAnsi="Abadi" w:cs="ArialMT"/>
          <w:sz w:val="21"/>
          <w:szCs w:val="21"/>
        </w:rPr>
        <w:t>menoscabar los derechos y libertades de las personas, por ende en dicho artículo</w:t>
      </w:r>
      <w:r>
        <w:rPr>
          <w:rFonts w:ascii="Abadi" w:hAnsi="Abadi" w:cs="ArialMT"/>
          <w:sz w:val="21"/>
          <w:szCs w:val="21"/>
        </w:rPr>
        <w:t xml:space="preserve"> </w:t>
      </w:r>
      <w:r w:rsidRPr="00702AD2">
        <w:rPr>
          <w:rFonts w:ascii="Abadi" w:hAnsi="Abadi" w:cs="ArialMT"/>
          <w:sz w:val="21"/>
          <w:szCs w:val="21"/>
        </w:rPr>
        <w:t>ha quedado claramente establecido que la no discriminación es un derecho</w:t>
      </w:r>
      <w:r>
        <w:rPr>
          <w:rFonts w:ascii="Abadi" w:hAnsi="Abadi" w:cs="ArialMT"/>
          <w:sz w:val="21"/>
          <w:szCs w:val="21"/>
        </w:rPr>
        <w:t xml:space="preserve"> </w:t>
      </w:r>
      <w:r w:rsidRPr="00702AD2">
        <w:rPr>
          <w:rFonts w:ascii="Abadi" w:hAnsi="Abadi" w:cs="ArialMT"/>
          <w:sz w:val="21"/>
          <w:szCs w:val="21"/>
        </w:rPr>
        <w:t>fundamental amparado por la carta magna, mismo que debe ser observado por</w:t>
      </w:r>
      <w:r>
        <w:rPr>
          <w:rFonts w:ascii="Abadi" w:hAnsi="Abadi" w:cs="ArialMT"/>
          <w:sz w:val="21"/>
          <w:szCs w:val="21"/>
        </w:rPr>
        <w:t xml:space="preserve"> </w:t>
      </w:r>
      <w:r w:rsidRPr="00702AD2">
        <w:rPr>
          <w:rFonts w:ascii="Abadi" w:hAnsi="Abadi" w:cs="ArialMT"/>
          <w:sz w:val="21"/>
          <w:szCs w:val="21"/>
        </w:rPr>
        <w:t>todas las autoridades para garantizar el acceso a los demás derechos reconocidos</w:t>
      </w:r>
      <w:r>
        <w:rPr>
          <w:rFonts w:ascii="Abadi" w:hAnsi="Abadi" w:cs="ArialMT"/>
          <w:sz w:val="21"/>
          <w:szCs w:val="21"/>
        </w:rPr>
        <w:t xml:space="preserve"> </w:t>
      </w:r>
      <w:r w:rsidRPr="00702AD2">
        <w:rPr>
          <w:rFonts w:ascii="Abadi" w:hAnsi="Abadi" w:cs="ArialMT"/>
          <w:sz w:val="21"/>
          <w:szCs w:val="21"/>
        </w:rPr>
        <w:t>en favor de las personas.</w:t>
      </w:r>
    </w:p>
    <w:p w14:paraId="54BE5329" w14:textId="77777777" w:rsidR="00562D9C" w:rsidRDefault="00562D9C" w:rsidP="00562D9C">
      <w:pPr>
        <w:autoSpaceDE w:val="0"/>
        <w:autoSpaceDN w:val="0"/>
        <w:adjustRightInd w:val="0"/>
        <w:jc w:val="both"/>
        <w:rPr>
          <w:rFonts w:ascii="Abadi" w:hAnsi="Abadi" w:cs="ArialMT"/>
          <w:sz w:val="21"/>
          <w:szCs w:val="21"/>
        </w:rPr>
      </w:pPr>
      <w:r w:rsidRPr="00702AD2">
        <w:rPr>
          <w:rFonts w:ascii="Abadi" w:hAnsi="Abadi" w:cs="ArialMT"/>
          <w:sz w:val="21"/>
          <w:szCs w:val="21"/>
        </w:rPr>
        <w:t>Ahora bien, en concordancia con el texto constitucional antes citado, la</w:t>
      </w:r>
      <w:r>
        <w:rPr>
          <w:rFonts w:ascii="Abadi" w:hAnsi="Abadi" w:cs="ArialMT"/>
          <w:sz w:val="21"/>
          <w:szCs w:val="21"/>
        </w:rPr>
        <w:t xml:space="preserve"> </w:t>
      </w:r>
      <w:r w:rsidRPr="00702AD2">
        <w:rPr>
          <w:rFonts w:ascii="Abadi" w:hAnsi="Abadi" w:cs="ArialMT"/>
          <w:sz w:val="21"/>
          <w:szCs w:val="21"/>
        </w:rPr>
        <w:t>garantía de no discriminación ha sido desarrollada con la norma secundaria</w:t>
      </w:r>
      <w:r>
        <w:rPr>
          <w:rFonts w:ascii="Abadi" w:hAnsi="Abadi" w:cs="ArialMT"/>
          <w:sz w:val="21"/>
          <w:szCs w:val="21"/>
        </w:rPr>
        <w:t xml:space="preserve"> </w:t>
      </w:r>
      <w:r w:rsidRPr="00702AD2">
        <w:rPr>
          <w:rFonts w:ascii="Abadi" w:hAnsi="Abadi" w:cs="ArialMT"/>
          <w:sz w:val="21"/>
          <w:szCs w:val="21"/>
        </w:rPr>
        <w:t>denominada Ley Federal Para Prevenir y Eliminar la Discriminación, la cual tiene</w:t>
      </w:r>
      <w:r>
        <w:rPr>
          <w:rFonts w:ascii="Abadi" w:hAnsi="Abadi" w:cs="ArialMT"/>
          <w:sz w:val="21"/>
          <w:szCs w:val="21"/>
        </w:rPr>
        <w:t xml:space="preserve"> </w:t>
      </w:r>
      <w:r w:rsidRPr="00702AD2">
        <w:rPr>
          <w:rFonts w:ascii="Abadi" w:hAnsi="Abadi" w:cs="ArialMT"/>
          <w:sz w:val="21"/>
          <w:szCs w:val="21"/>
        </w:rPr>
        <w:t>como objeto prevenir y eliminar todas las formas de discriminación que se ejerzan</w:t>
      </w:r>
      <w:r>
        <w:rPr>
          <w:rFonts w:ascii="Abadi" w:hAnsi="Abadi" w:cs="ArialMT"/>
          <w:sz w:val="21"/>
          <w:szCs w:val="21"/>
        </w:rPr>
        <w:t xml:space="preserve"> </w:t>
      </w:r>
      <w:r w:rsidRPr="00702AD2">
        <w:rPr>
          <w:rFonts w:ascii="Abadi" w:hAnsi="Abadi" w:cs="ArialMT"/>
          <w:sz w:val="21"/>
          <w:szCs w:val="21"/>
        </w:rPr>
        <w:t>contra cualquier persona, así como promover la igualdad de oportunidades y de</w:t>
      </w:r>
      <w:r>
        <w:rPr>
          <w:rFonts w:ascii="Abadi" w:hAnsi="Abadi" w:cs="ArialMT"/>
          <w:sz w:val="21"/>
          <w:szCs w:val="21"/>
        </w:rPr>
        <w:t xml:space="preserve"> </w:t>
      </w:r>
      <w:r w:rsidRPr="00702AD2">
        <w:rPr>
          <w:rFonts w:ascii="Abadi" w:hAnsi="Abadi" w:cs="ArialMT"/>
          <w:sz w:val="21"/>
          <w:szCs w:val="21"/>
        </w:rPr>
        <w:t>trato.2</w:t>
      </w:r>
    </w:p>
    <w:p w14:paraId="24893EB0" w14:textId="77777777" w:rsidR="00562D9C" w:rsidRDefault="00562D9C" w:rsidP="00562D9C">
      <w:pPr>
        <w:autoSpaceDE w:val="0"/>
        <w:autoSpaceDN w:val="0"/>
        <w:adjustRightInd w:val="0"/>
        <w:jc w:val="both"/>
        <w:rPr>
          <w:rFonts w:ascii="Abadi" w:hAnsi="Abadi" w:cs="ArialMT"/>
          <w:sz w:val="21"/>
          <w:szCs w:val="21"/>
        </w:rPr>
      </w:pPr>
    </w:p>
    <w:p w14:paraId="7732E70E"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Con la Ley referida se crea la estrategia federal para hacer frente a la</w:t>
      </w:r>
      <w:r>
        <w:rPr>
          <w:rFonts w:ascii="Abadi" w:hAnsi="Abadi" w:cs="ArialMT"/>
          <w:sz w:val="21"/>
          <w:szCs w:val="21"/>
        </w:rPr>
        <w:t xml:space="preserve"> </w:t>
      </w:r>
      <w:r w:rsidRPr="00702AD2">
        <w:rPr>
          <w:rFonts w:ascii="Abadi" w:hAnsi="Abadi" w:cs="ArialMT"/>
          <w:sz w:val="21"/>
          <w:szCs w:val="21"/>
        </w:rPr>
        <w:t>discriminación, a través del Consejo Nacional para Prevenir la Discriminación, que</w:t>
      </w:r>
      <w:r>
        <w:rPr>
          <w:rFonts w:ascii="Abadi" w:hAnsi="Abadi" w:cs="ArialMT"/>
          <w:sz w:val="21"/>
          <w:szCs w:val="21"/>
        </w:rPr>
        <w:t xml:space="preserve"> </w:t>
      </w:r>
      <w:r w:rsidRPr="00702AD2">
        <w:rPr>
          <w:rFonts w:ascii="Abadi" w:hAnsi="Abadi" w:cs="ArialMT"/>
          <w:sz w:val="21"/>
          <w:szCs w:val="21"/>
        </w:rPr>
        <w:t>es un organismo descentralizado sectorizado a la Secretaría de Gobernación, con</w:t>
      </w:r>
      <w:r>
        <w:rPr>
          <w:rFonts w:ascii="Abadi" w:hAnsi="Abadi" w:cs="ArialMT"/>
          <w:sz w:val="21"/>
          <w:szCs w:val="21"/>
        </w:rPr>
        <w:t xml:space="preserve"> </w:t>
      </w:r>
      <w:r w:rsidRPr="00702AD2">
        <w:rPr>
          <w:rFonts w:ascii="Abadi" w:hAnsi="Abadi" w:cs="ArialMT"/>
          <w:sz w:val="21"/>
          <w:szCs w:val="21"/>
        </w:rPr>
        <w:t>personalidad jurídica y patrimonio propios, mismo que goza de autonomía técnica y</w:t>
      </w:r>
      <w:r>
        <w:rPr>
          <w:rFonts w:ascii="Abadi" w:hAnsi="Abadi" w:cs="ArialMT"/>
          <w:sz w:val="21"/>
          <w:szCs w:val="21"/>
        </w:rPr>
        <w:t xml:space="preserve"> </w:t>
      </w:r>
      <w:r w:rsidRPr="00702AD2">
        <w:rPr>
          <w:rFonts w:ascii="Abadi" w:hAnsi="Abadi" w:cs="ArialMT"/>
          <w:sz w:val="21"/>
          <w:szCs w:val="21"/>
        </w:rPr>
        <w:t>de gestión, y contará con los recursos suficientes que anualmente se le asignen en</w:t>
      </w:r>
      <w:r>
        <w:rPr>
          <w:rFonts w:ascii="Abadi" w:hAnsi="Abadi" w:cs="ArialMT"/>
          <w:sz w:val="21"/>
          <w:szCs w:val="21"/>
        </w:rPr>
        <w:t xml:space="preserve"> </w:t>
      </w:r>
      <w:r w:rsidRPr="00702AD2">
        <w:rPr>
          <w:rFonts w:ascii="Abadi" w:hAnsi="Abadi" w:cs="ArialMT"/>
          <w:sz w:val="21"/>
          <w:szCs w:val="21"/>
        </w:rPr>
        <w:t>el Presupuesto de Egresos de la Federación, dicho Consejo cuenta con las más</w:t>
      </w:r>
      <w:r>
        <w:rPr>
          <w:rFonts w:ascii="Abadi" w:hAnsi="Abadi" w:cs="ArialMT"/>
          <w:sz w:val="21"/>
          <w:szCs w:val="21"/>
        </w:rPr>
        <w:t xml:space="preserve"> </w:t>
      </w:r>
      <w:r w:rsidRPr="00702AD2">
        <w:rPr>
          <w:rFonts w:ascii="Abadi" w:hAnsi="Abadi" w:cs="ArialMT"/>
          <w:sz w:val="21"/>
          <w:szCs w:val="21"/>
        </w:rPr>
        <w:t>amplias atribuciones en la materia para brindar una efectiva protección del derecho</w:t>
      </w:r>
      <w:r>
        <w:rPr>
          <w:rFonts w:ascii="Abadi" w:hAnsi="Abadi" w:cs="ArialMT"/>
          <w:sz w:val="21"/>
          <w:szCs w:val="21"/>
        </w:rPr>
        <w:t xml:space="preserve"> </w:t>
      </w:r>
      <w:r w:rsidRPr="00702AD2">
        <w:rPr>
          <w:rFonts w:ascii="Abadi" w:hAnsi="Abadi" w:cs="ArialMT"/>
          <w:sz w:val="21"/>
          <w:szCs w:val="21"/>
        </w:rPr>
        <w:t>a la no discriminación de las personas que viven y transitan por el territorio nacional,</w:t>
      </w:r>
      <w:r>
        <w:rPr>
          <w:rFonts w:ascii="Abadi" w:hAnsi="Abadi" w:cs="ArialMT"/>
          <w:sz w:val="21"/>
          <w:szCs w:val="21"/>
        </w:rPr>
        <w:t xml:space="preserve">  </w:t>
      </w:r>
      <w:r w:rsidRPr="00702AD2">
        <w:rPr>
          <w:rFonts w:ascii="Abadi" w:hAnsi="Abadi" w:cs="ArialMT"/>
          <w:sz w:val="21"/>
          <w:szCs w:val="21"/>
        </w:rPr>
        <w:t>con mayor apego a los instrumentos internacionales en la materia ratificados por el</w:t>
      </w:r>
      <w:r>
        <w:rPr>
          <w:rFonts w:ascii="Abadi" w:hAnsi="Abadi" w:cs="ArialMT"/>
          <w:sz w:val="21"/>
          <w:szCs w:val="21"/>
        </w:rPr>
        <w:t xml:space="preserve"> </w:t>
      </w:r>
      <w:r w:rsidRPr="00702AD2">
        <w:rPr>
          <w:rFonts w:ascii="Abadi" w:hAnsi="Abadi" w:cs="ArialMT"/>
          <w:sz w:val="21"/>
          <w:szCs w:val="21"/>
        </w:rPr>
        <w:t>Estado mexicano.</w:t>
      </w:r>
    </w:p>
    <w:p w14:paraId="76D6FBE5" w14:textId="77777777" w:rsidR="00562D9C" w:rsidRPr="00702AD2" w:rsidRDefault="00562D9C" w:rsidP="00562D9C">
      <w:pPr>
        <w:autoSpaceDE w:val="0"/>
        <w:autoSpaceDN w:val="0"/>
        <w:adjustRightInd w:val="0"/>
        <w:jc w:val="both"/>
        <w:rPr>
          <w:rFonts w:ascii="Abadi" w:hAnsi="Abadi" w:cs="ArialMT"/>
          <w:sz w:val="21"/>
          <w:szCs w:val="21"/>
        </w:rPr>
      </w:pPr>
    </w:p>
    <w:p w14:paraId="308A6B1E"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Es así que derivada de dicha estrategia nacional, las entidades federativas</w:t>
      </w:r>
      <w:r>
        <w:rPr>
          <w:rFonts w:ascii="Abadi" w:hAnsi="Abadi" w:cs="ArialMT"/>
          <w:sz w:val="21"/>
          <w:szCs w:val="21"/>
        </w:rPr>
        <w:t xml:space="preserve"> </w:t>
      </w:r>
      <w:r w:rsidRPr="00702AD2">
        <w:rPr>
          <w:rFonts w:ascii="Abadi" w:hAnsi="Abadi" w:cs="ArialMT"/>
          <w:sz w:val="21"/>
          <w:szCs w:val="21"/>
        </w:rPr>
        <w:t>crean las leyes locales contra la discriminación, todas ellas con la consolidación de</w:t>
      </w:r>
      <w:r>
        <w:rPr>
          <w:rFonts w:ascii="Abadi" w:hAnsi="Abadi" w:cs="ArialMT"/>
          <w:sz w:val="21"/>
          <w:szCs w:val="21"/>
        </w:rPr>
        <w:t xml:space="preserve"> </w:t>
      </w:r>
      <w:r w:rsidRPr="00702AD2">
        <w:rPr>
          <w:rFonts w:ascii="Abadi" w:hAnsi="Abadi" w:cs="ArialMT"/>
          <w:sz w:val="21"/>
          <w:szCs w:val="21"/>
        </w:rPr>
        <w:t>instituciones para la lucha contra la discriminación con un modelo de Ley para</w:t>
      </w:r>
      <w:r>
        <w:rPr>
          <w:rFonts w:ascii="Abadi" w:hAnsi="Abadi" w:cs="ArialMT"/>
          <w:sz w:val="21"/>
          <w:szCs w:val="21"/>
        </w:rPr>
        <w:t xml:space="preserve"> </w:t>
      </w:r>
      <w:r w:rsidRPr="00702AD2">
        <w:rPr>
          <w:rFonts w:ascii="Abadi" w:hAnsi="Abadi" w:cs="ArialMT"/>
          <w:sz w:val="21"/>
          <w:szCs w:val="21"/>
        </w:rPr>
        <w:t>Prevenir y Eliminar la Discriminación en las Entidades Federativas.</w:t>
      </w:r>
      <w:r>
        <w:rPr>
          <w:rFonts w:ascii="Abadi" w:hAnsi="Abadi" w:cs="ArialMT"/>
          <w:sz w:val="21"/>
          <w:szCs w:val="21"/>
        </w:rPr>
        <w:t xml:space="preserve"> </w:t>
      </w:r>
    </w:p>
    <w:p w14:paraId="493C192B" w14:textId="77777777" w:rsidR="00562D9C" w:rsidRDefault="00562D9C" w:rsidP="00562D9C">
      <w:pPr>
        <w:autoSpaceDE w:val="0"/>
        <w:autoSpaceDN w:val="0"/>
        <w:adjustRightInd w:val="0"/>
        <w:jc w:val="both"/>
        <w:rPr>
          <w:rFonts w:ascii="Abadi" w:hAnsi="Abadi" w:cs="ArialMT"/>
          <w:sz w:val="21"/>
          <w:szCs w:val="21"/>
        </w:rPr>
      </w:pPr>
    </w:p>
    <w:p w14:paraId="219E5419" w14:textId="77777777" w:rsidR="00562D9C" w:rsidRDefault="00562D9C" w:rsidP="00562D9C">
      <w:pPr>
        <w:autoSpaceDE w:val="0"/>
        <w:autoSpaceDN w:val="0"/>
        <w:adjustRightInd w:val="0"/>
        <w:ind w:firstLine="708"/>
        <w:jc w:val="both"/>
        <w:rPr>
          <w:rFonts w:ascii="Abadi" w:hAnsi="Abadi" w:cs="ArialMT"/>
          <w:sz w:val="21"/>
          <w:szCs w:val="21"/>
        </w:rPr>
      </w:pPr>
      <w:r>
        <w:rPr>
          <w:rFonts w:ascii="Abadi" w:hAnsi="Abadi" w:cs="ArialMT"/>
          <w:sz w:val="21"/>
          <w:szCs w:val="21"/>
        </w:rPr>
        <w:t>E</w:t>
      </w:r>
      <w:r w:rsidRPr="00702AD2">
        <w:rPr>
          <w:rFonts w:ascii="Abadi" w:hAnsi="Abadi" w:cs="ArialMT"/>
          <w:sz w:val="21"/>
          <w:szCs w:val="21"/>
        </w:rPr>
        <w:t>n armonía con lo anterior, es que en cuanto al Estado de Guanajuato</w:t>
      </w:r>
      <w:r>
        <w:rPr>
          <w:rFonts w:ascii="Abadi" w:hAnsi="Abadi" w:cs="ArialMT"/>
          <w:sz w:val="21"/>
          <w:szCs w:val="21"/>
        </w:rPr>
        <w:t xml:space="preserve"> </w:t>
      </w:r>
      <w:r w:rsidRPr="00702AD2">
        <w:rPr>
          <w:rFonts w:ascii="Abadi" w:hAnsi="Abadi" w:cs="ArialMT"/>
          <w:sz w:val="21"/>
          <w:szCs w:val="21"/>
        </w:rPr>
        <w:t>encontramos que el artículo 1 de la Carta Magna establece también los conceptos</w:t>
      </w:r>
      <w:r>
        <w:rPr>
          <w:rFonts w:ascii="Abadi" w:hAnsi="Abadi" w:cs="ArialMT"/>
          <w:sz w:val="21"/>
          <w:szCs w:val="21"/>
        </w:rPr>
        <w:t xml:space="preserve"> </w:t>
      </w:r>
      <w:r w:rsidRPr="00702AD2">
        <w:rPr>
          <w:rFonts w:ascii="Abadi" w:hAnsi="Abadi" w:cs="ArialMT"/>
          <w:sz w:val="21"/>
          <w:szCs w:val="21"/>
        </w:rPr>
        <w:t>de antidiscriminación, prohibiendo entonces toda discriminación motivada por</w:t>
      </w:r>
      <w:r>
        <w:rPr>
          <w:rFonts w:ascii="Abadi" w:hAnsi="Abadi" w:cs="ArialMT"/>
          <w:sz w:val="21"/>
          <w:szCs w:val="21"/>
        </w:rPr>
        <w:t xml:space="preserve"> </w:t>
      </w:r>
      <w:r w:rsidRPr="00702AD2">
        <w:rPr>
          <w:rFonts w:ascii="Abadi" w:hAnsi="Abadi" w:cs="ArialMT"/>
          <w:sz w:val="21"/>
          <w:szCs w:val="21"/>
        </w:rPr>
        <w:t>origen étnico o nacional, el género, la edad, las discapacidades, la condición social,</w:t>
      </w:r>
      <w:r>
        <w:rPr>
          <w:rFonts w:ascii="Abadi" w:hAnsi="Abadi" w:cs="ArialMT"/>
          <w:sz w:val="21"/>
          <w:szCs w:val="21"/>
        </w:rPr>
        <w:t xml:space="preserve"> </w:t>
      </w:r>
      <w:r w:rsidRPr="00702AD2">
        <w:rPr>
          <w:rFonts w:ascii="Abadi" w:hAnsi="Abadi" w:cs="ArialMT"/>
          <w:sz w:val="21"/>
          <w:szCs w:val="21"/>
        </w:rPr>
        <w:t>las condiciones de salud, la religión, las opiniones, las preferencias sexuales, el</w:t>
      </w:r>
      <w:r>
        <w:rPr>
          <w:rFonts w:ascii="Abadi" w:hAnsi="Abadi" w:cs="ArialMT"/>
          <w:sz w:val="21"/>
          <w:szCs w:val="21"/>
        </w:rPr>
        <w:t xml:space="preserve"> </w:t>
      </w:r>
      <w:r w:rsidRPr="00702AD2">
        <w:rPr>
          <w:rFonts w:ascii="Abadi" w:hAnsi="Abadi" w:cs="ArialMT"/>
          <w:sz w:val="21"/>
          <w:szCs w:val="21"/>
        </w:rPr>
        <w:t>estado civil o cualquier otra que atente contra la dignidad humana y tenga por objeto</w:t>
      </w:r>
      <w:r>
        <w:rPr>
          <w:rFonts w:ascii="Abadi" w:hAnsi="Abadi" w:cs="ArialMT"/>
          <w:sz w:val="21"/>
          <w:szCs w:val="21"/>
        </w:rPr>
        <w:t xml:space="preserve"> </w:t>
      </w:r>
      <w:r w:rsidRPr="00702AD2">
        <w:rPr>
          <w:rFonts w:ascii="Abadi" w:hAnsi="Abadi" w:cs="ArialMT"/>
          <w:sz w:val="21"/>
          <w:szCs w:val="21"/>
        </w:rPr>
        <w:t>anular o menoscabar los derechos y libertades de las personas.</w:t>
      </w:r>
    </w:p>
    <w:p w14:paraId="520D15E1" w14:textId="77777777" w:rsidR="00562D9C" w:rsidRPr="00702AD2" w:rsidRDefault="00562D9C" w:rsidP="00562D9C">
      <w:pPr>
        <w:autoSpaceDE w:val="0"/>
        <w:autoSpaceDN w:val="0"/>
        <w:adjustRightInd w:val="0"/>
        <w:jc w:val="both"/>
        <w:rPr>
          <w:rFonts w:ascii="Abadi" w:hAnsi="Abadi" w:cs="ArialMT"/>
          <w:sz w:val="21"/>
          <w:szCs w:val="21"/>
        </w:rPr>
      </w:pPr>
    </w:p>
    <w:p w14:paraId="5B0D2790"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Asimismo, con la cláusula antidiscriminación, esta Entidad Federativa cuenta</w:t>
      </w:r>
      <w:r>
        <w:rPr>
          <w:rFonts w:ascii="Abadi" w:hAnsi="Abadi" w:cs="ArialMT"/>
          <w:sz w:val="21"/>
          <w:szCs w:val="21"/>
        </w:rPr>
        <w:t xml:space="preserve"> </w:t>
      </w:r>
      <w:r w:rsidRPr="00702AD2">
        <w:rPr>
          <w:rFonts w:ascii="Abadi" w:hAnsi="Abadi" w:cs="ArialMT"/>
          <w:sz w:val="21"/>
          <w:szCs w:val="21"/>
        </w:rPr>
        <w:t>con una Ley para Prevenir, Atender y Erradicar la Discriminación en el Estado3, a</w:t>
      </w:r>
      <w:r>
        <w:rPr>
          <w:rFonts w:ascii="Abadi" w:hAnsi="Abadi" w:cs="ArialMT"/>
          <w:sz w:val="21"/>
          <w:szCs w:val="21"/>
        </w:rPr>
        <w:t xml:space="preserve"> </w:t>
      </w:r>
      <w:r w:rsidRPr="00702AD2">
        <w:rPr>
          <w:rFonts w:ascii="Abadi" w:hAnsi="Abadi" w:cs="ArialMT"/>
          <w:sz w:val="21"/>
          <w:szCs w:val="21"/>
        </w:rPr>
        <w:t>través de la cual se busca desarrollar las obligaciones inherentes al aseguramiento</w:t>
      </w:r>
      <w:r>
        <w:rPr>
          <w:rFonts w:ascii="Abadi" w:hAnsi="Abadi" w:cs="ArialMT"/>
          <w:sz w:val="21"/>
          <w:szCs w:val="21"/>
        </w:rPr>
        <w:t xml:space="preserve"> </w:t>
      </w:r>
      <w:r w:rsidRPr="00702AD2">
        <w:rPr>
          <w:rFonts w:ascii="Abadi" w:hAnsi="Abadi" w:cs="ArialMT"/>
          <w:sz w:val="21"/>
          <w:szCs w:val="21"/>
        </w:rPr>
        <w:t>del derecho a la no discriminación, estableciendo como objeto prevenir, atender y</w:t>
      </w:r>
      <w:r>
        <w:rPr>
          <w:rFonts w:ascii="Abadi" w:hAnsi="Abadi" w:cs="ArialMT"/>
          <w:sz w:val="21"/>
          <w:szCs w:val="21"/>
        </w:rPr>
        <w:t xml:space="preserve"> </w:t>
      </w:r>
      <w:r w:rsidRPr="00702AD2">
        <w:rPr>
          <w:rFonts w:ascii="Abadi" w:hAnsi="Abadi" w:cs="ArialMT"/>
          <w:sz w:val="21"/>
          <w:szCs w:val="21"/>
        </w:rPr>
        <w:t>erradicar todas las formas de discriminación que se ejerzan en contra de cualquier</w:t>
      </w:r>
      <w:r>
        <w:rPr>
          <w:rFonts w:ascii="Abadi" w:hAnsi="Abadi" w:cs="ArialMT"/>
          <w:sz w:val="21"/>
          <w:szCs w:val="21"/>
        </w:rPr>
        <w:t xml:space="preserve"> </w:t>
      </w:r>
      <w:r w:rsidRPr="00702AD2">
        <w:rPr>
          <w:rFonts w:ascii="Abadi" w:hAnsi="Abadi" w:cs="ArialMT"/>
          <w:sz w:val="21"/>
          <w:szCs w:val="21"/>
        </w:rPr>
        <w:t>persona, a través del establecimiento de políticas públicas que permitan modificar</w:t>
      </w:r>
      <w:r>
        <w:rPr>
          <w:rFonts w:ascii="Abadi" w:hAnsi="Abadi" w:cs="ArialMT"/>
          <w:sz w:val="21"/>
          <w:szCs w:val="21"/>
        </w:rPr>
        <w:t xml:space="preserve"> </w:t>
      </w:r>
      <w:r w:rsidRPr="00702AD2">
        <w:rPr>
          <w:rFonts w:ascii="Abadi" w:hAnsi="Abadi" w:cs="ArialMT"/>
          <w:sz w:val="21"/>
          <w:szCs w:val="21"/>
        </w:rPr>
        <w:t>las circunstancias que limiten el reconocimiento, respeto, promoción y garantía del</w:t>
      </w:r>
      <w:r>
        <w:rPr>
          <w:rFonts w:ascii="Abadi" w:hAnsi="Abadi" w:cs="ArialMT"/>
          <w:sz w:val="21"/>
          <w:szCs w:val="21"/>
        </w:rPr>
        <w:t xml:space="preserve"> </w:t>
      </w:r>
      <w:r w:rsidRPr="00702AD2">
        <w:rPr>
          <w:rFonts w:ascii="Abadi" w:hAnsi="Abadi" w:cs="ArialMT"/>
          <w:sz w:val="21"/>
          <w:szCs w:val="21"/>
        </w:rPr>
        <w:t>goce y ejercicio de los derechos humanos, así como promover la igualdad de</w:t>
      </w:r>
      <w:r>
        <w:rPr>
          <w:rFonts w:ascii="Abadi" w:hAnsi="Abadi" w:cs="ArialMT"/>
          <w:sz w:val="21"/>
          <w:szCs w:val="21"/>
        </w:rPr>
        <w:t xml:space="preserve"> </w:t>
      </w:r>
      <w:r w:rsidRPr="00702AD2">
        <w:rPr>
          <w:rFonts w:ascii="Abadi" w:hAnsi="Abadi" w:cs="ArialMT"/>
          <w:sz w:val="21"/>
          <w:szCs w:val="21"/>
        </w:rPr>
        <w:t>oportunidades y de trato.</w:t>
      </w:r>
    </w:p>
    <w:p w14:paraId="22B39C73" w14:textId="77777777" w:rsidR="00562D9C" w:rsidRPr="00702AD2" w:rsidRDefault="00562D9C" w:rsidP="00562D9C">
      <w:pPr>
        <w:autoSpaceDE w:val="0"/>
        <w:autoSpaceDN w:val="0"/>
        <w:adjustRightInd w:val="0"/>
        <w:jc w:val="both"/>
        <w:rPr>
          <w:rFonts w:ascii="Abadi" w:hAnsi="Abadi" w:cs="ArialMT"/>
          <w:sz w:val="21"/>
          <w:szCs w:val="21"/>
        </w:rPr>
      </w:pPr>
    </w:p>
    <w:p w14:paraId="5F85B926" w14:textId="77777777" w:rsidR="00562D9C" w:rsidRPr="00702AD2"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En ese tenor y al igual que la federación se cuenta con el Consejo para</w:t>
      </w:r>
      <w:r>
        <w:rPr>
          <w:rFonts w:ascii="Abadi" w:hAnsi="Abadi" w:cs="ArialMT"/>
          <w:sz w:val="21"/>
          <w:szCs w:val="21"/>
        </w:rPr>
        <w:t xml:space="preserve"> </w:t>
      </w:r>
      <w:r w:rsidRPr="00702AD2">
        <w:rPr>
          <w:rFonts w:ascii="Abadi" w:hAnsi="Abadi" w:cs="ArialMT"/>
          <w:sz w:val="21"/>
          <w:szCs w:val="21"/>
        </w:rPr>
        <w:t>Prevenir, Atender y Erradicar la Discriminación en el Estado de Guanajuato, donde</w:t>
      </w:r>
      <w:r>
        <w:rPr>
          <w:rFonts w:ascii="Abadi" w:hAnsi="Abadi" w:cs="ArialMT"/>
          <w:sz w:val="21"/>
          <w:szCs w:val="21"/>
        </w:rPr>
        <w:t xml:space="preserve"> </w:t>
      </w:r>
      <w:r w:rsidRPr="00702AD2">
        <w:rPr>
          <w:rFonts w:ascii="Abadi" w:hAnsi="Abadi" w:cs="ArialMT"/>
          <w:sz w:val="21"/>
          <w:szCs w:val="21"/>
        </w:rPr>
        <w:t>como parte de sus integrantes se encuentra el titular de la Secretaría de Educación,</w:t>
      </w:r>
      <w:r>
        <w:rPr>
          <w:rFonts w:ascii="Abadi" w:hAnsi="Abadi" w:cs="ArialMT"/>
          <w:sz w:val="21"/>
          <w:szCs w:val="21"/>
        </w:rPr>
        <w:t xml:space="preserve"> </w:t>
      </w:r>
      <w:r w:rsidRPr="00702AD2">
        <w:rPr>
          <w:rFonts w:ascii="Abadi" w:hAnsi="Abadi" w:cs="ArialMT"/>
          <w:sz w:val="21"/>
          <w:szCs w:val="21"/>
        </w:rPr>
        <w:t>por lo que las atribuciones le son aplicables de forma obligatoria, entendiéndose</w:t>
      </w:r>
      <w:r>
        <w:rPr>
          <w:rFonts w:ascii="Abadi" w:hAnsi="Abadi" w:cs="ArialMT"/>
          <w:sz w:val="21"/>
          <w:szCs w:val="21"/>
        </w:rPr>
        <w:t xml:space="preserve"> </w:t>
      </w:r>
      <w:r w:rsidRPr="00702AD2">
        <w:rPr>
          <w:rFonts w:ascii="Abadi" w:hAnsi="Abadi" w:cs="ArialMT"/>
          <w:sz w:val="21"/>
          <w:szCs w:val="21"/>
        </w:rPr>
        <w:t>que la Ley en comento rige la política pública en la materia, así como las acciones</w:t>
      </w:r>
      <w:r>
        <w:rPr>
          <w:rFonts w:ascii="Abadi" w:hAnsi="Abadi" w:cs="ArialMT"/>
          <w:sz w:val="21"/>
          <w:szCs w:val="21"/>
        </w:rPr>
        <w:t xml:space="preserve"> </w:t>
      </w:r>
      <w:r w:rsidRPr="00702AD2">
        <w:rPr>
          <w:rFonts w:ascii="Abadi" w:hAnsi="Abadi" w:cs="ArialMT"/>
          <w:sz w:val="21"/>
          <w:szCs w:val="21"/>
        </w:rPr>
        <w:t>afirmativas que permiten cumplir el objetivo en el ámbito educativo.</w:t>
      </w:r>
    </w:p>
    <w:p w14:paraId="281CCAB0" w14:textId="77777777" w:rsidR="00562D9C" w:rsidRPr="00702AD2" w:rsidRDefault="00562D9C" w:rsidP="00562D9C">
      <w:pPr>
        <w:jc w:val="both"/>
        <w:rPr>
          <w:rFonts w:ascii="Abadi" w:hAnsi="Abadi" w:cs="ArialMT"/>
          <w:sz w:val="21"/>
          <w:szCs w:val="21"/>
        </w:rPr>
      </w:pPr>
    </w:p>
    <w:p w14:paraId="73987A48"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Aunado a todo lo anterior, es importante señalar que la Ley para una</w:t>
      </w:r>
      <w:r>
        <w:rPr>
          <w:rFonts w:ascii="Abadi" w:hAnsi="Abadi" w:cs="ArialMT"/>
          <w:sz w:val="21"/>
          <w:szCs w:val="21"/>
        </w:rPr>
        <w:t xml:space="preserve"> </w:t>
      </w:r>
      <w:r w:rsidRPr="00702AD2">
        <w:rPr>
          <w:rFonts w:ascii="Abadi" w:hAnsi="Abadi" w:cs="ArialMT"/>
          <w:sz w:val="21"/>
          <w:szCs w:val="21"/>
        </w:rPr>
        <w:t>Convivencia Libre de Violencia en el Entorno Escolar para el Estado de Guanajuato</w:t>
      </w:r>
      <w:r>
        <w:rPr>
          <w:rFonts w:ascii="Abadi" w:hAnsi="Abadi" w:cs="ArialMT"/>
          <w:sz w:val="21"/>
          <w:szCs w:val="21"/>
        </w:rPr>
        <w:t xml:space="preserve"> </w:t>
      </w:r>
      <w:r w:rsidRPr="00702AD2">
        <w:rPr>
          <w:rFonts w:ascii="Abadi" w:hAnsi="Abadi" w:cs="ArialMT"/>
          <w:sz w:val="21"/>
          <w:szCs w:val="21"/>
        </w:rPr>
        <w:t>y sus Municipios, establece la no discriminación como uno de los principios rectores</w:t>
      </w:r>
      <w:r>
        <w:rPr>
          <w:rFonts w:ascii="Abadi" w:hAnsi="Abadi" w:cs="ArialMT"/>
          <w:sz w:val="21"/>
          <w:szCs w:val="21"/>
        </w:rPr>
        <w:t xml:space="preserve"> </w:t>
      </w:r>
      <w:r w:rsidRPr="00702AD2">
        <w:rPr>
          <w:rFonts w:ascii="Abadi" w:hAnsi="Abadi" w:cs="ArialMT"/>
          <w:sz w:val="21"/>
          <w:szCs w:val="21"/>
        </w:rPr>
        <w:t>de la misma.</w:t>
      </w:r>
    </w:p>
    <w:p w14:paraId="3B980CC6" w14:textId="77777777" w:rsidR="00562D9C" w:rsidRPr="00702AD2" w:rsidRDefault="00562D9C" w:rsidP="00562D9C">
      <w:pPr>
        <w:autoSpaceDE w:val="0"/>
        <w:autoSpaceDN w:val="0"/>
        <w:adjustRightInd w:val="0"/>
        <w:jc w:val="both"/>
        <w:rPr>
          <w:rFonts w:ascii="Abadi" w:hAnsi="Abadi" w:cs="ArialMT"/>
          <w:sz w:val="21"/>
          <w:szCs w:val="21"/>
        </w:rPr>
      </w:pPr>
    </w:p>
    <w:p w14:paraId="532EE211"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De igual forma, también rige diversos aspectos que protegen cualquier</w:t>
      </w:r>
      <w:r>
        <w:rPr>
          <w:rFonts w:ascii="Abadi" w:hAnsi="Abadi" w:cs="ArialMT"/>
          <w:sz w:val="21"/>
          <w:szCs w:val="21"/>
        </w:rPr>
        <w:t xml:space="preserve"> </w:t>
      </w:r>
      <w:r w:rsidRPr="00702AD2">
        <w:rPr>
          <w:rFonts w:ascii="Abadi" w:hAnsi="Abadi" w:cs="ArialMT"/>
          <w:sz w:val="21"/>
          <w:szCs w:val="21"/>
        </w:rPr>
        <w:t>discriminación por violencia sexual en la comunidad educativa, tal y como lo</w:t>
      </w:r>
      <w:r>
        <w:rPr>
          <w:rFonts w:ascii="Abadi" w:hAnsi="Abadi" w:cs="ArialMT"/>
          <w:sz w:val="21"/>
          <w:szCs w:val="21"/>
        </w:rPr>
        <w:t xml:space="preserve"> </w:t>
      </w:r>
      <w:r w:rsidRPr="00702AD2">
        <w:rPr>
          <w:rFonts w:ascii="Abadi" w:hAnsi="Abadi" w:cs="ArialMT"/>
          <w:sz w:val="21"/>
          <w:szCs w:val="21"/>
        </w:rPr>
        <w:t>establece el artículo 25, -</w:t>
      </w:r>
      <w:r w:rsidRPr="00702AD2">
        <w:rPr>
          <w:rFonts w:ascii="Abadi" w:hAnsi="Abadi" w:cs="Arial-ItalicMT"/>
          <w:i/>
          <w:iCs/>
          <w:sz w:val="21"/>
          <w:szCs w:val="21"/>
        </w:rPr>
        <w:t>tipos de violencia escolar-</w:t>
      </w:r>
      <w:r w:rsidRPr="00702AD2">
        <w:rPr>
          <w:rFonts w:ascii="Abadi" w:hAnsi="Abadi" w:cs="ArialMT"/>
          <w:sz w:val="21"/>
          <w:szCs w:val="21"/>
        </w:rPr>
        <w:t>, en su fracción VI que define a</w:t>
      </w:r>
      <w:r>
        <w:rPr>
          <w:rFonts w:ascii="Abadi" w:hAnsi="Abadi" w:cs="ArialMT"/>
          <w:sz w:val="21"/>
          <w:szCs w:val="21"/>
        </w:rPr>
        <w:t xml:space="preserve"> </w:t>
      </w:r>
      <w:r w:rsidRPr="00702AD2">
        <w:rPr>
          <w:rFonts w:ascii="Abadi" w:hAnsi="Abadi" w:cs="ArialMT"/>
          <w:sz w:val="21"/>
          <w:szCs w:val="21"/>
        </w:rPr>
        <w:t>la violencia sexual como toda agresión relacionada con la sexualidad, que denote</w:t>
      </w:r>
      <w:r>
        <w:rPr>
          <w:rFonts w:ascii="Abadi" w:hAnsi="Abadi" w:cs="ArialMT"/>
          <w:sz w:val="21"/>
          <w:szCs w:val="21"/>
        </w:rPr>
        <w:t xml:space="preserve"> </w:t>
      </w:r>
      <w:r w:rsidRPr="00702AD2">
        <w:rPr>
          <w:rFonts w:ascii="Abadi" w:hAnsi="Abadi" w:cs="ArialMT"/>
          <w:sz w:val="21"/>
          <w:szCs w:val="21"/>
        </w:rPr>
        <w:t>discriminación, obscenidad, tocamientos, hostigamiento, acoso o abuso de orden</w:t>
      </w:r>
      <w:r>
        <w:rPr>
          <w:rFonts w:ascii="Abadi" w:hAnsi="Abadi" w:cs="ArialMT"/>
          <w:sz w:val="21"/>
          <w:szCs w:val="21"/>
        </w:rPr>
        <w:t xml:space="preserve"> </w:t>
      </w:r>
      <w:r w:rsidRPr="00702AD2">
        <w:rPr>
          <w:rFonts w:ascii="Abadi" w:hAnsi="Abadi" w:cs="ArialMT"/>
          <w:sz w:val="21"/>
          <w:szCs w:val="21"/>
        </w:rPr>
        <w:t>sexual.</w:t>
      </w:r>
    </w:p>
    <w:p w14:paraId="48A393B9" w14:textId="77777777" w:rsidR="00562D9C" w:rsidRPr="00702AD2" w:rsidRDefault="00562D9C" w:rsidP="00562D9C">
      <w:pPr>
        <w:autoSpaceDE w:val="0"/>
        <w:autoSpaceDN w:val="0"/>
        <w:adjustRightInd w:val="0"/>
        <w:jc w:val="both"/>
        <w:rPr>
          <w:rFonts w:ascii="Abadi" w:hAnsi="Abadi" w:cs="ArialMT"/>
          <w:sz w:val="21"/>
          <w:szCs w:val="21"/>
        </w:rPr>
      </w:pPr>
    </w:p>
    <w:p w14:paraId="4666E91D"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Ahora bien, tanto la Ley General de Educación como la correspondiente Ley</w:t>
      </w:r>
      <w:r>
        <w:rPr>
          <w:rFonts w:ascii="Abadi" w:hAnsi="Abadi" w:cs="ArialMT"/>
          <w:sz w:val="21"/>
          <w:szCs w:val="21"/>
        </w:rPr>
        <w:t xml:space="preserve"> </w:t>
      </w:r>
      <w:r w:rsidRPr="00702AD2">
        <w:rPr>
          <w:rFonts w:ascii="Abadi" w:hAnsi="Abadi" w:cs="ArialMT"/>
          <w:sz w:val="21"/>
          <w:szCs w:val="21"/>
        </w:rPr>
        <w:t>de Educación para el Estado de Guanajuato, establecen que las políticas públicas</w:t>
      </w:r>
      <w:r>
        <w:rPr>
          <w:rFonts w:ascii="Abadi" w:hAnsi="Abadi" w:cs="ArialMT"/>
          <w:sz w:val="21"/>
          <w:szCs w:val="21"/>
        </w:rPr>
        <w:t xml:space="preserve"> </w:t>
      </w:r>
      <w:r w:rsidRPr="00702AD2">
        <w:rPr>
          <w:rFonts w:ascii="Abadi" w:hAnsi="Abadi" w:cs="ArialMT"/>
          <w:sz w:val="21"/>
          <w:szCs w:val="21"/>
        </w:rPr>
        <w:t>en la educación deberán ser, entre otras, basadas en el respeto de la diversidad</w:t>
      </w:r>
      <w:r>
        <w:rPr>
          <w:rFonts w:ascii="Abadi" w:hAnsi="Abadi" w:cs="ArialMT"/>
          <w:sz w:val="21"/>
          <w:szCs w:val="21"/>
        </w:rPr>
        <w:t xml:space="preserve"> </w:t>
      </w:r>
      <w:r w:rsidRPr="00702AD2">
        <w:rPr>
          <w:rFonts w:ascii="Abadi" w:hAnsi="Abadi" w:cs="ArialMT"/>
          <w:sz w:val="21"/>
          <w:szCs w:val="21"/>
        </w:rPr>
        <w:t>como medio fundamental para la construcción de una sociedad equitativa y</w:t>
      </w:r>
      <w:r>
        <w:rPr>
          <w:rFonts w:ascii="Abadi" w:hAnsi="Abadi" w:cs="ArialMT"/>
          <w:sz w:val="21"/>
          <w:szCs w:val="21"/>
        </w:rPr>
        <w:t xml:space="preserve"> </w:t>
      </w:r>
      <w:r w:rsidRPr="00702AD2">
        <w:rPr>
          <w:rFonts w:ascii="Abadi" w:hAnsi="Abadi" w:cs="ArialMT"/>
          <w:sz w:val="21"/>
          <w:szCs w:val="21"/>
        </w:rPr>
        <w:t>solidaria.</w:t>
      </w:r>
    </w:p>
    <w:p w14:paraId="7509CD42" w14:textId="77777777" w:rsidR="00562D9C" w:rsidRPr="00702AD2" w:rsidRDefault="00562D9C" w:rsidP="00562D9C">
      <w:pPr>
        <w:autoSpaceDE w:val="0"/>
        <w:autoSpaceDN w:val="0"/>
        <w:adjustRightInd w:val="0"/>
        <w:jc w:val="both"/>
        <w:rPr>
          <w:rFonts w:ascii="Abadi" w:hAnsi="Abadi" w:cs="ArialMT"/>
          <w:sz w:val="21"/>
          <w:szCs w:val="21"/>
        </w:rPr>
      </w:pPr>
    </w:p>
    <w:p w14:paraId="14144102" w14:textId="77777777" w:rsidR="00562D9C"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Con todo lo anterior quienes integramos la comisión dictaminadora</w:t>
      </w:r>
      <w:r>
        <w:rPr>
          <w:rFonts w:ascii="Abadi" w:hAnsi="Abadi" w:cs="ArialMT"/>
          <w:sz w:val="21"/>
          <w:szCs w:val="21"/>
        </w:rPr>
        <w:t xml:space="preserve"> </w:t>
      </w:r>
      <w:r w:rsidRPr="00702AD2">
        <w:rPr>
          <w:rFonts w:ascii="Abadi" w:hAnsi="Abadi" w:cs="ArialMT"/>
          <w:sz w:val="21"/>
          <w:szCs w:val="21"/>
        </w:rPr>
        <w:t>consideramos que las acciones de prevención, atención y erradicación a cualquier</w:t>
      </w:r>
      <w:r>
        <w:rPr>
          <w:rFonts w:ascii="Abadi" w:hAnsi="Abadi" w:cs="ArialMT"/>
          <w:sz w:val="21"/>
          <w:szCs w:val="21"/>
        </w:rPr>
        <w:t xml:space="preserve"> </w:t>
      </w:r>
      <w:r w:rsidRPr="00702AD2">
        <w:rPr>
          <w:rFonts w:ascii="Abadi" w:hAnsi="Abadi" w:cs="ArialMT"/>
          <w:sz w:val="21"/>
          <w:szCs w:val="21"/>
        </w:rPr>
        <w:t>tipo de discriminación de carácter sexual como derecho humano, se encuentra</w:t>
      </w:r>
      <w:r>
        <w:rPr>
          <w:rFonts w:ascii="Abadi" w:hAnsi="Abadi" w:cs="ArialMT"/>
          <w:sz w:val="21"/>
          <w:szCs w:val="21"/>
        </w:rPr>
        <w:t xml:space="preserve"> </w:t>
      </w:r>
      <w:r w:rsidRPr="00702AD2">
        <w:rPr>
          <w:rFonts w:ascii="Abadi" w:hAnsi="Abadi" w:cs="ArialMT"/>
          <w:sz w:val="21"/>
          <w:szCs w:val="21"/>
        </w:rPr>
        <w:t>regulado en el marco jurídico federal ya existente, aunado a que la garantía de no</w:t>
      </w:r>
      <w:r>
        <w:rPr>
          <w:rFonts w:ascii="Abadi" w:hAnsi="Abadi" w:cs="ArialMT"/>
          <w:sz w:val="21"/>
          <w:szCs w:val="21"/>
        </w:rPr>
        <w:t xml:space="preserve"> </w:t>
      </w:r>
      <w:r w:rsidRPr="00702AD2">
        <w:rPr>
          <w:rFonts w:ascii="Abadi" w:hAnsi="Abadi" w:cs="ArialMT"/>
          <w:sz w:val="21"/>
          <w:szCs w:val="21"/>
        </w:rPr>
        <w:t>discriminación como un derecho universal no hace distinción alguna, sino que</w:t>
      </w:r>
      <w:r>
        <w:rPr>
          <w:rFonts w:ascii="Abadi" w:hAnsi="Abadi" w:cs="ArialMT"/>
          <w:sz w:val="21"/>
          <w:szCs w:val="21"/>
        </w:rPr>
        <w:t xml:space="preserve"> </w:t>
      </w:r>
      <w:r w:rsidRPr="00702AD2">
        <w:rPr>
          <w:rFonts w:ascii="Abadi" w:hAnsi="Abadi" w:cs="ArialMT"/>
          <w:sz w:val="21"/>
          <w:szCs w:val="21"/>
        </w:rPr>
        <w:t>establece que deben de respetarse los derechos y libertades de todas las personas,</w:t>
      </w:r>
      <w:r>
        <w:rPr>
          <w:rFonts w:ascii="Abadi" w:hAnsi="Abadi" w:cs="ArialMT"/>
          <w:sz w:val="21"/>
          <w:szCs w:val="21"/>
        </w:rPr>
        <w:t xml:space="preserve"> </w:t>
      </w:r>
      <w:r w:rsidRPr="00702AD2">
        <w:rPr>
          <w:rFonts w:ascii="Abadi" w:hAnsi="Abadi" w:cs="ArialMT"/>
          <w:sz w:val="21"/>
          <w:szCs w:val="21"/>
        </w:rPr>
        <w:t>sin precisar alguna característica en particular, sino que es entendida en sentido</w:t>
      </w:r>
      <w:r>
        <w:rPr>
          <w:rFonts w:ascii="Abadi" w:hAnsi="Abadi" w:cs="ArialMT"/>
          <w:sz w:val="21"/>
          <w:szCs w:val="21"/>
        </w:rPr>
        <w:t xml:space="preserve"> </w:t>
      </w:r>
      <w:r w:rsidRPr="00702AD2">
        <w:rPr>
          <w:rFonts w:ascii="Abadi" w:hAnsi="Abadi" w:cs="ArialMT"/>
          <w:sz w:val="21"/>
          <w:szCs w:val="21"/>
        </w:rPr>
        <w:t>general y lato de lo que significa ser una persona, independientemente de sus</w:t>
      </w:r>
      <w:r>
        <w:rPr>
          <w:rFonts w:ascii="Abadi" w:hAnsi="Abadi" w:cs="ArialMT"/>
          <w:sz w:val="21"/>
          <w:szCs w:val="21"/>
        </w:rPr>
        <w:t xml:space="preserve"> </w:t>
      </w:r>
      <w:r w:rsidRPr="00702AD2">
        <w:rPr>
          <w:rFonts w:ascii="Abadi" w:hAnsi="Abadi" w:cs="ArialMT"/>
          <w:sz w:val="21"/>
          <w:szCs w:val="21"/>
        </w:rPr>
        <w:t>condiciones o de la forma en que decida relacionarse o comportarse, por tales</w:t>
      </w:r>
      <w:r>
        <w:rPr>
          <w:rFonts w:ascii="Abadi" w:hAnsi="Abadi" w:cs="ArialMT"/>
          <w:sz w:val="21"/>
          <w:szCs w:val="21"/>
        </w:rPr>
        <w:t xml:space="preserve"> </w:t>
      </w:r>
      <w:r w:rsidRPr="00702AD2">
        <w:rPr>
          <w:rFonts w:ascii="Abadi" w:hAnsi="Abadi" w:cs="ArialMT"/>
          <w:sz w:val="21"/>
          <w:szCs w:val="21"/>
        </w:rPr>
        <w:t>razones es que se dictamina en sentido negativo, y esta Comisión determina el</w:t>
      </w:r>
      <w:r>
        <w:rPr>
          <w:rFonts w:ascii="Abadi" w:hAnsi="Abadi" w:cs="ArialMT"/>
          <w:sz w:val="21"/>
          <w:szCs w:val="21"/>
        </w:rPr>
        <w:t xml:space="preserve"> </w:t>
      </w:r>
      <w:r w:rsidRPr="00702AD2">
        <w:rPr>
          <w:rFonts w:ascii="Abadi" w:hAnsi="Abadi" w:cs="ArialMT"/>
          <w:sz w:val="21"/>
          <w:szCs w:val="21"/>
        </w:rPr>
        <w:t>archivo definitivo de la iniciativa descrita en el presente dictamen.</w:t>
      </w:r>
    </w:p>
    <w:p w14:paraId="680EB015" w14:textId="77777777" w:rsidR="00562D9C" w:rsidRPr="00702AD2" w:rsidRDefault="00562D9C" w:rsidP="00562D9C">
      <w:pPr>
        <w:autoSpaceDE w:val="0"/>
        <w:autoSpaceDN w:val="0"/>
        <w:adjustRightInd w:val="0"/>
        <w:ind w:firstLine="708"/>
        <w:jc w:val="both"/>
        <w:rPr>
          <w:rFonts w:ascii="Abadi" w:hAnsi="Abadi" w:cs="ArialMT"/>
          <w:sz w:val="21"/>
          <w:szCs w:val="21"/>
        </w:rPr>
      </w:pPr>
    </w:p>
    <w:p w14:paraId="168604FA" w14:textId="77777777" w:rsidR="00562D9C" w:rsidRPr="00702AD2"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MT"/>
          <w:sz w:val="21"/>
          <w:szCs w:val="21"/>
        </w:rPr>
        <w:t>Por lo expuesto y fundado, las diputadas el diputado que integramos esta</w:t>
      </w:r>
      <w:r>
        <w:rPr>
          <w:rFonts w:ascii="Abadi" w:hAnsi="Abadi" w:cs="ArialMT"/>
          <w:sz w:val="21"/>
          <w:szCs w:val="21"/>
        </w:rPr>
        <w:t xml:space="preserve"> </w:t>
      </w:r>
      <w:r w:rsidRPr="00702AD2">
        <w:rPr>
          <w:rFonts w:ascii="Abadi" w:hAnsi="Abadi" w:cs="ArialMT"/>
          <w:sz w:val="21"/>
          <w:szCs w:val="21"/>
        </w:rPr>
        <w:t>Comisión de Educación, Ciencia y Tecnología y Cultura, respetuosamente</w:t>
      </w:r>
      <w:r>
        <w:rPr>
          <w:rFonts w:ascii="Abadi" w:hAnsi="Abadi" w:cs="ArialMT"/>
          <w:sz w:val="21"/>
          <w:szCs w:val="21"/>
        </w:rPr>
        <w:t xml:space="preserve"> </w:t>
      </w:r>
      <w:r w:rsidRPr="00702AD2">
        <w:rPr>
          <w:rFonts w:ascii="Abadi" w:hAnsi="Abadi" w:cs="ArialMT"/>
          <w:sz w:val="21"/>
          <w:szCs w:val="21"/>
        </w:rPr>
        <w:t>solicitamos a esta Asamblea se apruebe el siguiente:</w:t>
      </w:r>
    </w:p>
    <w:p w14:paraId="2E799B27" w14:textId="77777777" w:rsidR="00562D9C" w:rsidRPr="00702AD2" w:rsidRDefault="00562D9C" w:rsidP="00562D9C">
      <w:pPr>
        <w:jc w:val="both"/>
        <w:rPr>
          <w:rFonts w:ascii="Abadi" w:hAnsi="Abadi" w:cs="ArialMT"/>
          <w:sz w:val="21"/>
          <w:szCs w:val="21"/>
        </w:rPr>
      </w:pPr>
    </w:p>
    <w:p w14:paraId="0A41E0B7" w14:textId="77777777" w:rsidR="00562D9C" w:rsidRDefault="00562D9C" w:rsidP="00562D9C">
      <w:pPr>
        <w:autoSpaceDE w:val="0"/>
        <w:autoSpaceDN w:val="0"/>
        <w:adjustRightInd w:val="0"/>
        <w:jc w:val="center"/>
        <w:rPr>
          <w:rFonts w:ascii="Abadi" w:hAnsi="Abadi" w:cs="Arial-BoldMT"/>
          <w:b/>
          <w:bCs/>
          <w:sz w:val="21"/>
          <w:szCs w:val="21"/>
        </w:rPr>
      </w:pPr>
      <w:r w:rsidRPr="00702AD2">
        <w:rPr>
          <w:rFonts w:ascii="Abadi" w:hAnsi="Abadi" w:cs="Arial-BoldMT"/>
          <w:b/>
          <w:bCs/>
          <w:sz w:val="21"/>
          <w:szCs w:val="21"/>
        </w:rPr>
        <w:t>ACUERDO</w:t>
      </w:r>
    </w:p>
    <w:p w14:paraId="1C569324" w14:textId="77777777" w:rsidR="00562D9C" w:rsidRPr="00702AD2" w:rsidRDefault="00562D9C" w:rsidP="00562D9C">
      <w:pPr>
        <w:autoSpaceDE w:val="0"/>
        <w:autoSpaceDN w:val="0"/>
        <w:adjustRightInd w:val="0"/>
        <w:jc w:val="both"/>
        <w:rPr>
          <w:rFonts w:ascii="Abadi" w:hAnsi="Abadi" w:cs="Arial-BoldMT"/>
          <w:b/>
          <w:bCs/>
          <w:sz w:val="21"/>
          <w:szCs w:val="21"/>
        </w:rPr>
      </w:pPr>
    </w:p>
    <w:p w14:paraId="40578A92" w14:textId="77777777" w:rsidR="00562D9C" w:rsidRPr="00702AD2" w:rsidRDefault="00562D9C" w:rsidP="00562D9C">
      <w:pPr>
        <w:autoSpaceDE w:val="0"/>
        <w:autoSpaceDN w:val="0"/>
        <w:adjustRightInd w:val="0"/>
        <w:ind w:firstLine="708"/>
        <w:jc w:val="both"/>
        <w:rPr>
          <w:rFonts w:ascii="Abadi" w:hAnsi="Abadi" w:cs="ArialMT"/>
          <w:sz w:val="21"/>
          <w:szCs w:val="21"/>
        </w:rPr>
      </w:pPr>
      <w:r w:rsidRPr="00702AD2">
        <w:rPr>
          <w:rFonts w:ascii="Abadi" w:hAnsi="Abadi" w:cs="Arial-BoldMT"/>
          <w:b/>
          <w:bCs/>
          <w:sz w:val="21"/>
          <w:szCs w:val="21"/>
        </w:rPr>
        <w:t xml:space="preserve">ÚNICO: </w:t>
      </w:r>
      <w:r w:rsidRPr="00702AD2">
        <w:rPr>
          <w:rFonts w:ascii="Abadi" w:hAnsi="Abadi" w:cs="ArialMT"/>
          <w:sz w:val="21"/>
          <w:szCs w:val="21"/>
        </w:rPr>
        <w:t>Se ordena el archivo definitivo de la iniciativa formulada por la</w:t>
      </w:r>
      <w:r>
        <w:rPr>
          <w:rFonts w:ascii="Abadi" w:hAnsi="Abadi" w:cs="ArialMT"/>
          <w:sz w:val="21"/>
          <w:szCs w:val="21"/>
        </w:rPr>
        <w:t xml:space="preserve"> </w:t>
      </w:r>
      <w:r w:rsidRPr="00702AD2">
        <w:rPr>
          <w:rFonts w:ascii="Abadi" w:hAnsi="Abadi" w:cs="ArialMT"/>
          <w:sz w:val="21"/>
          <w:szCs w:val="21"/>
        </w:rPr>
        <w:t>diputada y el diputado integrantes del Grupo Parlamentario Partido Verde Ecologista</w:t>
      </w:r>
      <w:r>
        <w:rPr>
          <w:rFonts w:ascii="Abadi" w:hAnsi="Abadi" w:cs="ArialMT"/>
          <w:sz w:val="21"/>
          <w:szCs w:val="21"/>
        </w:rPr>
        <w:t xml:space="preserve"> </w:t>
      </w:r>
      <w:r w:rsidRPr="00702AD2">
        <w:rPr>
          <w:rFonts w:ascii="Abadi" w:hAnsi="Abadi" w:cs="ArialMT"/>
          <w:sz w:val="21"/>
          <w:szCs w:val="21"/>
        </w:rPr>
        <w:t>de México, en la Sexagésima Cuarta Legislatura, por la cual se reforman y adicionan</w:t>
      </w:r>
      <w:r>
        <w:rPr>
          <w:rFonts w:ascii="Abadi" w:hAnsi="Abadi" w:cs="ArialMT"/>
          <w:sz w:val="21"/>
          <w:szCs w:val="21"/>
        </w:rPr>
        <w:t xml:space="preserve"> </w:t>
      </w:r>
      <w:r w:rsidRPr="00702AD2">
        <w:rPr>
          <w:rFonts w:ascii="Abadi" w:hAnsi="Abadi" w:cs="ArialMT"/>
          <w:sz w:val="21"/>
          <w:szCs w:val="21"/>
        </w:rPr>
        <w:t>diversos artículos de la Ley de Educación para el Estado de Guanajuato.</w:t>
      </w:r>
    </w:p>
    <w:p w14:paraId="796BC93E" w14:textId="77777777" w:rsidR="00562D9C" w:rsidRPr="00702AD2" w:rsidRDefault="00562D9C" w:rsidP="00562D9C">
      <w:pPr>
        <w:autoSpaceDE w:val="0"/>
        <w:autoSpaceDN w:val="0"/>
        <w:adjustRightInd w:val="0"/>
        <w:jc w:val="both"/>
        <w:rPr>
          <w:rFonts w:ascii="Abadi" w:hAnsi="Abadi" w:cs="Arial-BoldMT"/>
          <w:b/>
          <w:bCs/>
          <w:sz w:val="21"/>
          <w:szCs w:val="21"/>
        </w:rPr>
      </w:pPr>
    </w:p>
    <w:p w14:paraId="3714574B" w14:textId="77777777" w:rsidR="00562D9C" w:rsidRDefault="00562D9C" w:rsidP="00562D9C">
      <w:pPr>
        <w:autoSpaceDE w:val="0"/>
        <w:autoSpaceDN w:val="0"/>
        <w:adjustRightInd w:val="0"/>
        <w:jc w:val="both"/>
        <w:rPr>
          <w:rFonts w:ascii="Abadi" w:hAnsi="Abadi" w:cs="Arial-BoldMT"/>
          <w:b/>
          <w:bCs/>
          <w:sz w:val="21"/>
          <w:szCs w:val="21"/>
        </w:rPr>
      </w:pPr>
      <w:r w:rsidRPr="00702AD2">
        <w:rPr>
          <w:rFonts w:ascii="Abadi" w:hAnsi="Abadi" w:cs="Arial-BoldMT"/>
          <w:b/>
          <w:bCs/>
          <w:sz w:val="21"/>
          <w:szCs w:val="21"/>
        </w:rPr>
        <w:t>Guanajuato, Gto., 03 de mayo de 2022</w:t>
      </w:r>
    </w:p>
    <w:p w14:paraId="2265B72F" w14:textId="77777777" w:rsidR="00562D9C" w:rsidRPr="00702AD2" w:rsidRDefault="00562D9C" w:rsidP="00562D9C">
      <w:pPr>
        <w:autoSpaceDE w:val="0"/>
        <w:autoSpaceDN w:val="0"/>
        <w:adjustRightInd w:val="0"/>
        <w:jc w:val="both"/>
        <w:rPr>
          <w:rFonts w:ascii="Abadi" w:hAnsi="Abadi" w:cs="Arial-BoldMT"/>
          <w:b/>
          <w:bCs/>
          <w:sz w:val="21"/>
          <w:szCs w:val="21"/>
        </w:rPr>
      </w:pPr>
    </w:p>
    <w:p w14:paraId="33313EDF" w14:textId="77777777" w:rsidR="00562D9C" w:rsidRDefault="00562D9C" w:rsidP="00AC48E6">
      <w:pPr>
        <w:jc w:val="center"/>
        <w:rPr>
          <w:rFonts w:ascii="Abadi" w:hAnsi="Abadi" w:cs="Arial-BoldMT"/>
          <w:b/>
          <w:bCs/>
          <w:sz w:val="21"/>
          <w:szCs w:val="21"/>
        </w:rPr>
      </w:pPr>
      <w:r w:rsidRPr="00702AD2">
        <w:rPr>
          <w:rFonts w:ascii="Abadi" w:hAnsi="Abadi" w:cs="Arial-BoldMT"/>
          <w:b/>
          <w:bCs/>
          <w:sz w:val="21"/>
          <w:szCs w:val="21"/>
        </w:rPr>
        <w:t>La Comisión de Educación, Ciencia y Tecnología y Cultura</w:t>
      </w:r>
    </w:p>
    <w:p w14:paraId="0345BEB7" w14:textId="77777777" w:rsidR="00562D9C" w:rsidRDefault="00562D9C" w:rsidP="00AC48E6">
      <w:pPr>
        <w:jc w:val="center"/>
        <w:rPr>
          <w:rFonts w:ascii="Abadi" w:hAnsi="Abadi" w:cs="Arial-BoldMT"/>
          <w:b/>
          <w:bCs/>
          <w:sz w:val="21"/>
          <w:szCs w:val="21"/>
        </w:rPr>
      </w:pPr>
    </w:p>
    <w:p w14:paraId="25B233D2" w14:textId="77777777" w:rsidR="00562D9C" w:rsidRDefault="00562D9C" w:rsidP="00562D9C">
      <w:pPr>
        <w:jc w:val="both"/>
        <w:rPr>
          <w:rFonts w:ascii="Abadi" w:hAnsi="Abadi" w:cs="Arial-BoldMT"/>
          <w:b/>
          <w:bCs/>
          <w:sz w:val="21"/>
          <w:szCs w:val="21"/>
        </w:rPr>
      </w:pPr>
      <w:r>
        <w:rPr>
          <w:rFonts w:ascii="Abadi" w:hAnsi="Abadi" w:cs="Arial-BoldMT"/>
          <w:b/>
          <w:bCs/>
          <w:sz w:val="21"/>
          <w:szCs w:val="21"/>
        </w:rPr>
        <w:t>Firma electrónica</w:t>
      </w:r>
    </w:p>
    <w:p w14:paraId="407AC1C1" w14:textId="77777777" w:rsidR="00562D9C" w:rsidRDefault="00562D9C" w:rsidP="00562D9C">
      <w:pPr>
        <w:jc w:val="both"/>
        <w:rPr>
          <w:rFonts w:ascii="Abadi" w:hAnsi="Abadi" w:cs="Arial-BoldMT"/>
          <w:b/>
          <w:bCs/>
          <w:sz w:val="21"/>
          <w:szCs w:val="21"/>
        </w:rPr>
      </w:pPr>
      <w:r>
        <w:rPr>
          <w:rFonts w:ascii="Abadi" w:hAnsi="Abadi" w:cs="Arial-BoldMT"/>
          <w:b/>
          <w:bCs/>
          <w:sz w:val="21"/>
          <w:szCs w:val="21"/>
        </w:rPr>
        <w:t>Dip. María de la Luz Hernández Martínez</w:t>
      </w:r>
    </w:p>
    <w:p w14:paraId="4067D803" w14:textId="77777777" w:rsidR="00562D9C" w:rsidRDefault="00562D9C" w:rsidP="00562D9C">
      <w:pPr>
        <w:jc w:val="both"/>
        <w:rPr>
          <w:rFonts w:ascii="Abadi" w:hAnsi="Abadi" w:cs="Arial-BoldMT"/>
          <w:b/>
          <w:bCs/>
          <w:sz w:val="21"/>
          <w:szCs w:val="21"/>
        </w:rPr>
      </w:pPr>
      <w:r>
        <w:rPr>
          <w:rFonts w:ascii="Abadi" w:hAnsi="Abadi" w:cs="Arial-BoldMT"/>
          <w:b/>
          <w:bCs/>
          <w:sz w:val="21"/>
          <w:szCs w:val="21"/>
        </w:rPr>
        <w:t>Presidenta</w:t>
      </w:r>
    </w:p>
    <w:p w14:paraId="6AD6CF31" w14:textId="77777777" w:rsidR="00562D9C" w:rsidRDefault="00562D9C" w:rsidP="00562D9C">
      <w:pPr>
        <w:jc w:val="both"/>
        <w:rPr>
          <w:rFonts w:ascii="Abadi" w:hAnsi="Abadi" w:cs="Arial-BoldMT"/>
          <w:b/>
          <w:bCs/>
          <w:sz w:val="21"/>
          <w:szCs w:val="21"/>
        </w:rPr>
      </w:pPr>
    </w:p>
    <w:p w14:paraId="4DD77E6A" w14:textId="77777777" w:rsidR="00562D9C" w:rsidRDefault="00562D9C" w:rsidP="00562D9C">
      <w:pPr>
        <w:jc w:val="both"/>
        <w:rPr>
          <w:rFonts w:ascii="Abadi" w:hAnsi="Abadi" w:cs="Arial-BoldMT"/>
          <w:b/>
          <w:bCs/>
          <w:sz w:val="21"/>
          <w:szCs w:val="21"/>
        </w:rPr>
      </w:pPr>
      <w:r>
        <w:rPr>
          <w:rFonts w:ascii="Abadi" w:hAnsi="Abadi" w:cs="Arial-BoldMT"/>
          <w:b/>
          <w:bCs/>
          <w:sz w:val="21"/>
          <w:szCs w:val="21"/>
        </w:rPr>
        <w:t>Firma electrónica</w:t>
      </w:r>
    </w:p>
    <w:p w14:paraId="5F198CD6" w14:textId="77777777" w:rsidR="00562D9C" w:rsidRDefault="00562D9C" w:rsidP="00562D9C">
      <w:pPr>
        <w:jc w:val="both"/>
        <w:rPr>
          <w:rFonts w:ascii="Abadi" w:hAnsi="Abadi" w:cs="Arial-BoldMT"/>
          <w:b/>
          <w:bCs/>
          <w:sz w:val="21"/>
          <w:szCs w:val="21"/>
        </w:rPr>
      </w:pPr>
      <w:r>
        <w:rPr>
          <w:rFonts w:ascii="Abadi" w:hAnsi="Abadi" w:cs="Arial-BoldMT"/>
          <w:b/>
          <w:bCs/>
          <w:sz w:val="21"/>
          <w:szCs w:val="21"/>
        </w:rPr>
        <w:t>Dip. Armando Rangel Hernández</w:t>
      </w:r>
    </w:p>
    <w:p w14:paraId="723CCFE5" w14:textId="77777777" w:rsidR="00562D9C" w:rsidRDefault="00562D9C" w:rsidP="00562D9C">
      <w:pPr>
        <w:jc w:val="both"/>
        <w:rPr>
          <w:rFonts w:ascii="Abadi" w:hAnsi="Abadi" w:cs="Arial-BoldMT"/>
          <w:b/>
          <w:bCs/>
          <w:sz w:val="21"/>
          <w:szCs w:val="21"/>
        </w:rPr>
      </w:pPr>
      <w:r>
        <w:rPr>
          <w:rFonts w:ascii="Abadi" w:hAnsi="Abadi" w:cs="Arial-BoldMT"/>
          <w:b/>
          <w:bCs/>
          <w:sz w:val="21"/>
          <w:szCs w:val="21"/>
        </w:rPr>
        <w:t>Secretario</w:t>
      </w:r>
    </w:p>
    <w:p w14:paraId="22008273" w14:textId="6E6FC112" w:rsidR="00562D9C" w:rsidRDefault="00562D9C" w:rsidP="00562D9C">
      <w:pPr>
        <w:jc w:val="both"/>
        <w:rPr>
          <w:rFonts w:ascii="Abadi" w:hAnsi="Abadi" w:cs="Arial-BoldMT"/>
          <w:b/>
          <w:bCs/>
          <w:sz w:val="21"/>
          <w:szCs w:val="21"/>
        </w:rPr>
      </w:pPr>
    </w:p>
    <w:p w14:paraId="504EC9F9" w14:textId="77777777" w:rsidR="00562D9C" w:rsidRDefault="00562D9C" w:rsidP="00562D9C">
      <w:pPr>
        <w:jc w:val="both"/>
        <w:rPr>
          <w:rFonts w:ascii="Abadi" w:hAnsi="Abadi" w:cs="Arial-BoldMT"/>
          <w:b/>
          <w:bCs/>
          <w:sz w:val="21"/>
          <w:szCs w:val="21"/>
        </w:rPr>
      </w:pPr>
    </w:p>
    <w:p w14:paraId="08992BCE" w14:textId="77777777" w:rsidR="00562D9C" w:rsidRDefault="00562D9C" w:rsidP="00562D9C">
      <w:pPr>
        <w:jc w:val="both"/>
        <w:rPr>
          <w:rFonts w:ascii="Abadi" w:hAnsi="Abadi" w:cs="Arial-BoldMT"/>
          <w:b/>
          <w:bCs/>
          <w:sz w:val="21"/>
          <w:szCs w:val="21"/>
        </w:rPr>
      </w:pPr>
      <w:r>
        <w:rPr>
          <w:rFonts w:ascii="Abadi" w:hAnsi="Abadi" w:cs="Arial-BoldMT"/>
          <w:b/>
          <w:bCs/>
          <w:sz w:val="21"/>
          <w:szCs w:val="21"/>
        </w:rPr>
        <w:t xml:space="preserve">Firma electrónica </w:t>
      </w:r>
    </w:p>
    <w:p w14:paraId="77322FE3" w14:textId="77777777" w:rsidR="00562D9C" w:rsidRDefault="00562D9C" w:rsidP="00562D9C">
      <w:pPr>
        <w:jc w:val="both"/>
        <w:rPr>
          <w:rFonts w:ascii="Abadi" w:hAnsi="Abadi" w:cs="Arial-BoldMT"/>
          <w:b/>
          <w:bCs/>
          <w:sz w:val="21"/>
          <w:szCs w:val="21"/>
        </w:rPr>
      </w:pPr>
      <w:r>
        <w:rPr>
          <w:rFonts w:ascii="Abadi" w:hAnsi="Abadi" w:cs="Arial-BoldMT"/>
          <w:b/>
          <w:bCs/>
          <w:sz w:val="21"/>
          <w:szCs w:val="21"/>
        </w:rPr>
        <w:t>Dip. Lilia Margarita Rionda Salas</w:t>
      </w:r>
    </w:p>
    <w:p w14:paraId="5B63FE31" w14:textId="77777777" w:rsidR="00562D9C" w:rsidRDefault="00562D9C" w:rsidP="00562D9C">
      <w:pPr>
        <w:jc w:val="both"/>
        <w:rPr>
          <w:rFonts w:ascii="Abadi" w:hAnsi="Abadi" w:cs="Arial-BoldMT"/>
          <w:b/>
          <w:bCs/>
          <w:sz w:val="21"/>
          <w:szCs w:val="21"/>
        </w:rPr>
      </w:pPr>
      <w:r>
        <w:rPr>
          <w:rFonts w:ascii="Abadi" w:hAnsi="Abadi" w:cs="Arial-BoldMT"/>
          <w:b/>
          <w:bCs/>
          <w:sz w:val="21"/>
          <w:szCs w:val="21"/>
        </w:rPr>
        <w:t>Vocal</w:t>
      </w:r>
    </w:p>
    <w:p w14:paraId="261B78D7" w14:textId="77777777" w:rsidR="00562D9C" w:rsidRDefault="00562D9C" w:rsidP="00562D9C">
      <w:pPr>
        <w:jc w:val="both"/>
        <w:rPr>
          <w:rFonts w:ascii="Abadi" w:hAnsi="Abadi" w:cs="Arial-BoldMT"/>
          <w:b/>
          <w:bCs/>
          <w:sz w:val="21"/>
          <w:szCs w:val="21"/>
        </w:rPr>
      </w:pPr>
    </w:p>
    <w:p w14:paraId="06F79E2F" w14:textId="77777777" w:rsidR="00562D9C" w:rsidRDefault="00562D9C" w:rsidP="00562D9C">
      <w:pPr>
        <w:jc w:val="both"/>
        <w:rPr>
          <w:rFonts w:ascii="Abadi" w:hAnsi="Abadi" w:cs="Arial-BoldMT"/>
          <w:b/>
          <w:bCs/>
          <w:sz w:val="21"/>
          <w:szCs w:val="21"/>
        </w:rPr>
      </w:pPr>
      <w:r>
        <w:rPr>
          <w:rFonts w:ascii="Abadi" w:hAnsi="Abadi" w:cs="Arial-BoldMT"/>
          <w:b/>
          <w:bCs/>
          <w:sz w:val="21"/>
          <w:szCs w:val="21"/>
        </w:rPr>
        <w:t>Firma electrónica</w:t>
      </w:r>
    </w:p>
    <w:p w14:paraId="647C2EE3" w14:textId="77777777" w:rsidR="00562D9C" w:rsidRDefault="00562D9C" w:rsidP="00562D9C">
      <w:pPr>
        <w:jc w:val="both"/>
        <w:rPr>
          <w:rFonts w:ascii="Abadi" w:hAnsi="Abadi" w:cs="Arial-BoldMT"/>
          <w:b/>
          <w:bCs/>
          <w:sz w:val="21"/>
          <w:szCs w:val="21"/>
        </w:rPr>
      </w:pPr>
      <w:r>
        <w:rPr>
          <w:rFonts w:ascii="Abadi" w:hAnsi="Abadi" w:cs="Arial-BoldMT"/>
          <w:b/>
          <w:bCs/>
          <w:sz w:val="21"/>
          <w:szCs w:val="21"/>
        </w:rPr>
        <w:t>Dip. Yulma Rocha Aguilar</w:t>
      </w:r>
    </w:p>
    <w:p w14:paraId="0B1FB50D" w14:textId="77777777" w:rsidR="00562D9C" w:rsidRDefault="00562D9C" w:rsidP="00562D9C">
      <w:pPr>
        <w:jc w:val="both"/>
        <w:rPr>
          <w:rFonts w:ascii="Abadi" w:hAnsi="Abadi" w:cs="Arial-BoldMT"/>
          <w:b/>
          <w:bCs/>
          <w:sz w:val="21"/>
          <w:szCs w:val="21"/>
        </w:rPr>
      </w:pPr>
      <w:r>
        <w:rPr>
          <w:rFonts w:ascii="Abadi" w:hAnsi="Abadi" w:cs="Arial-BoldMT"/>
          <w:b/>
          <w:bCs/>
          <w:sz w:val="21"/>
          <w:szCs w:val="21"/>
        </w:rPr>
        <w:t>Vocal</w:t>
      </w:r>
    </w:p>
    <w:p w14:paraId="5A716D7E" w14:textId="77777777" w:rsidR="00562D9C" w:rsidRDefault="00562D9C" w:rsidP="00562D9C">
      <w:pPr>
        <w:jc w:val="both"/>
        <w:rPr>
          <w:rFonts w:ascii="Abadi" w:hAnsi="Abadi" w:cs="Arial-BoldMT"/>
          <w:b/>
          <w:bCs/>
          <w:sz w:val="21"/>
          <w:szCs w:val="21"/>
        </w:rPr>
      </w:pPr>
    </w:p>
    <w:p w14:paraId="4C825656" w14:textId="77777777" w:rsidR="00562D9C" w:rsidRDefault="00562D9C" w:rsidP="00562D9C">
      <w:pPr>
        <w:jc w:val="both"/>
        <w:rPr>
          <w:rFonts w:ascii="Abadi" w:hAnsi="Abadi" w:cs="Arial-BoldMT"/>
          <w:b/>
          <w:bCs/>
          <w:sz w:val="21"/>
          <w:szCs w:val="21"/>
        </w:rPr>
      </w:pPr>
      <w:r>
        <w:rPr>
          <w:rFonts w:ascii="Abadi" w:hAnsi="Abadi" w:cs="Arial-BoldMT"/>
          <w:b/>
          <w:bCs/>
          <w:sz w:val="21"/>
          <w:szCs w:val="21"/>
        </w:rPr>
        <w:t>Voto en contra</w:t>
      </w:r>
    </w:p>
    <w:p w14:paraId="3F36F9BC" w14:textId="77777777" w:rsidR="00562D9C" w:rsidRDefault="00562D9C" w:rsidP="00562D9C">
      <w:pPr>
        <w:jc w:val="both"/>
        <w:rPr>
          <w:rFonts w:ascii="Abadi" w:hAnsi="Abadi" w:cs="Arial-BoldMT"/>
          <w:b/>
          <w:bCs/>
          <w:sz w:val="21"/>
          <w:szCs w:val="21"/>
        </w:rPr>
      </w:pPr>
      <w:r>
        <w:rPr>
          <w:rFonts w:ascii="Abadi" w:hAnsi="Abadi" w:cs="Arial-BoldMT"/>
          <w:b/>
          <w:bCs/>
          <w:sz w:val="21"/>
          <w:szCs w:val="21"/>
        </w:rPr>
        <w:t>Firma electrónica</w:t>
      </w:r>
    </w:p>
    <w:p w14:paraId="3B1768A1" w14:textId="77777777" w:rsidR="00562D9C" w:rsidRDefault="00562D9C" w:rsidP="00562D9C">
      <w:pPr>
        <w:jc w:val="both"/>
        <w:rPr>
          <w:rFonts w:ascii="Abadi" w:hAnsi="Abadi" w:cs="Arial-BoldMT"/>
          <w:b/>
          <w:bCs/>
          <w:sz w:val="21"/>
          <w:szCs w:val="21"/>
        </w:rPr>
      </w:pPr>
      <w:r>
        <w:rPr>
          <w:rFonts w:ascii="Abadi" w:hAnsi="Abadi" w:cs="Arial-BoldMT"/>
          <w:b/>
          <w:bCs/>
          <w:sz w:val="21"/>
          <w:szCs w:val="21"/>
        </w:rPr>
        <w:t>Irma Leticia González Sánchez</w:t>
      </w:r>
    </w:p>
    <w:p w14:paraId="0C15BF55" w14:textId="6B030CD7" w:rsidR="00562D9C" w:rsidRDefault="00562D9C" w:rsidP="00562D9C">
      <w:pPr>
        <w:jc w:val="both"/>
        <w:rPr>
          <w:rFonts w:ascii="Abadi" w:hAnsi="Abadi" w:cs="Arial-BoldMT"/>
          <w:b/>
          <w:bCs/>
          <w:sz w:val="21"/>
          <w:szCs w:val="21"/>
        </w:rPr>
      </w:pPr>
      <w:r>
        <w:rPr>
          <w:rFonts w:ascii="Abadi" w:hAnsi="Abadi" w:cs="Arial-BoldMT"/>
          <w:b/>
          <w:bCs/>
          <w:sz w:val="21"/>
          <w:szCs w:val="21"/>
        </w:rPr>
        <w:t>Vocal</w:t>
      </w:r>
    </w:p>
    <w:p w14:paraId="6F1086E5" w14:textId="6813E385" w:rsidR="00171ADE" w:rsidRDefault="00171ADE" w:rsidP="00562D9C">
      <w:pPr>
        <w:jc w:val="both"/>
        <w:rPr>
          <w:rFonts w:ascii="Abadi" w:hAnsi="Abadi" w:cs="Arial-BoldMT"/>
          <w:b/>
          <w:bCs/>
          <w:sz w:val="21"/>
          <w:szCs w:val="21"/>
        </w:rPr>
      </w:pPr>
    </w:p>
    <w:p w14:paraId="5E0C478C" w14:textId="1821A4B9" w:rsidR="00171ADE" w:rsidRDefault="00171ADE" w:rsidP="00562D9C">
      <w:pPr>
        <w:jc w:val="both"/>
        <w:rPr>
          <w:rFonts w:ascii="Abadi" w:hAnsi="Abadi" w:cs="Arial-BoldMT"/>
          <w:b/>
          <w:bCs/>
          <w:sz w:val="21"/>
          <w:szCs w:val="21"/>
        </w:rPr>
      </w:pPr>
    </w:p>
    <w:p w14:paraId="66DE9694" w14:textId="0E5D85EB" w:rsidR="00AF3D1B" w:rsidRDefault="00AF3D1B" w:rsidP="00AF3D1B">
      <w:pPr>
        <w:ind w:firstLine="708"/>
        <w:jc w:val="both"/>
        <w:rPr>
          <w:rFonts w:ascii="Abadi" w:hAnsi="Abadi"/>
          <w:sz w:val="21"/>
          <w:szCs w:val="21"/>
        </w:rPr>
      </w:pPr>
      <w:r>
        <w:rPr>
          <w:rFonts w:ascii="Abadi" w:hAnsi="Abadi"/>
          <w:b/>
          <w:bCs/>
          <w:sz w:val="21"/>
          <w:szCs w:val="21"/>
        </w:rPr>
        <w:t xml:space="preserve">- </w:t>
      </w:r>
      <w:r w:rsidRPr="00AF3D1B">
        <w:rPr>
          <w:rFonts w:ascii="Abadi" w:hAnsi="Abadi"/>
          <w:b/>
          <w:bCs/>
          <w:sz w:val="21"/>
          <w:szCs w:val="21"/>
        </w:rPr>
        <w:t>La Presidencia.-</w:t>
      </w:r>
      <w:r w:rsidRPr="00AF3D1B">
        <w:rPr>
          <w:rFonts w:ascii="Abadi" w:hAnsi="Abadi"/>
          <w:sz w:val="21"/>
          <w:szCs w:val="21"/>
        </w:rPr>
        <w:t xml:space="preserve">  Procede someter a discusión el dictamen signado por la Comisión de Educación y Ciencia y Tecnología y Cultura, relativo a la iniciativa formulada por la diputada y el diputado integrantes del Grupo Parlamentario del Partido Verde Ecologista de México en la Sexagésima Cuarta Legislatura, por la cual se reforman y adicionan diversos artículos de la Ley de Educación para el Estado de Guanajuato. </w:t>
      </w:r>
    </w:p>
    <w:p w14:paraId="47320239" w14:textId="77777777" w:rsidR="00AF3D1B" w:rsidRPr="00AF3D1B" w:rsidRDefault="00AF3D1B" w:rsidP="00AF3D1B">
      <w:pPr>
        <w:jc w:val="both"/>
        <w:rPr>
          <w:rFonts w:ascii="Abadi" w:hAnsi="Abadi"/>
          <w:sz w:val="21"/>
          <w:szCs w:val="21"/>
        </w:rPr>
      </w:pPr>
    </w:p>
    <w:p w14:paraId="6DEFD8DE" w14:textId="4D183E33" w:rsidR="00AF3D1B" w:rsidRDefault="00AF3D1B" w:rsidP="00AF3D1B">
      <w:pPr>
        <w:ind w:firstLine="708"/>
        <w:jc w:val="both"/>
        <w:rPr>
          <w:rFonts w:ascii="Abadi" w:hAnsi="Abadi"/>
          <w:sz w:val="21"/>
          <w:szCs w:val="21"/>
        </w:rPr>
      </w:pPr>
      <w:r>
        <w:rPr>
          <w:rFonts w:ascii="Abadi" w:hAnsi="Abadi"/>
          <w:sz w:val="21"/>
          <w:szCs w:val="21"/>
        </w:rPr>
        <w:t>-</w:t>
      </w:r>
      <w:r w:rsidRPr="00AF3D1B">
        <w:rPr>
          <w:rFonts w:ascii="Abadi" w:hAnsi="Abadi"/>
          <w:sz w:val="21"/>
          <w:szCs w:val="21"/>
        </w:rPr>
        <w:t>Si alguna diputada o algún diputado desea hacer uso de la palabra en pro o en contra, manifiéstenlo indicando el sentido de su participación.</w:t>
      </w:r>
    </w:p>
    <w:p w14:paraId="04439C3D" w14:textId="648C1ADF" w:rsidR="00AF3D1B" w:rsidRPr="00AF3D1B" w:rsidRDefault="00AF3D1B" w:rsidP="00AF3D1B">
      <w:pPr>
        <w:jc w:val="both"/>
        <w:rPr>
          <w:rFonts w:ascii="Abadi" w:hAnsi="Abadi"/>
          <w:sz w:val="21"/>
          <w:szCs w:val="21"/>
        </w:rPr>
      </w:pPr>
      <w:r w:rsidRPr="00AF3D1B">
        <w:rPr>
          <w:rFonts w:ascii="Abadi" w:hAnsi="Abadi"/>
          <w:sz w:val="21"/>
          <w:szCs w:val="21"/>
        </w:rPr>
        <w:t xml:space="preserve"> </w:t>
      </w:r>
    </w:p>
    <w:p w14:paraId="30CD75ED" w14:textId="2009A2E1" w:rsidR="00AF3D1B" w:rsidRDefault="00AF3D1B" w:rsidP="00AF3D1B">
      <w:pPr>
        <w:ind w:firstLine="708"/>
        <w:jc w:val="both"/>
        <w:rPr>
          <w:rFonts w:ascii="Abadi" w:hAnsi="Abadi"/>
          <w:sz w:val="21"/>
          <w:szCs w:val="21"/>
        </w:rPr>
      </w:pPr>
      <w:r>
        <w:rPr>
          <w:rFonts w:ascii="Abadi" w:hAnsi="Abadi"/>
          <w:sz w:val="21"/>
          <w:szCs w:val="21"/>
        </w:rPr>
        <w:t xml:space="preserve">- </w:t>
      </w:r>
      <w:r w:rsidRPr="00AF3D1B">
        <w:rPr>
          <w:rFonts w:ascii="Abadi" w:hAnsi="Abadi"/>
          <w:sz w:val="21"/>
          <w:szCs w:val="21"/>
        </w:rPr>
        <w:t xml:space="preserve">No habiendo participaciones, se pide a la Secretaria que proceda a recabar </w:t>
      </w:r>
      <w:r w:rsidR="00A92B4A">
        <w:rPr>
          <w:rFonts w:ascii="Abadi" w:hAnsi="Abadi"/>
          <w:sz w:val="21"/>
          <w:szCs w:val="21"/>
        </w:rPr>
        <w:t xml:space="preserve">en </w:t>
      </w:r>
      <w:r w:rsidRPr="00AF3D1B">
        <w:rPr>
          <w:rFonts w:ascii="Abadi" w:hAnsi="Abadi"/>
          <w:sz w:val="21"/>
          <w:szCs w:val="21"/>
        </w:rPr>
        <w:t>votación nominal de la Asamblea a través del sistema electrónico a efecto de aprobar o no el dictamen puesto a su consideración.</w:t>
      </w:r>
    </w:p>
    <w:p w14:paraId="608FDA66" w14:textId="77777777" w:rsidR="00AF3D1B" w:rsidRPr="00AF3D1B" w:rsidRDefault="00AF3D1B" w:rsidP="00AF3D1B">
      <w:pPr>
        <w:jc w:val="both"/>
        <w:rPr>
          <w:rFonts w:ascii="Abadi" w:hAnsi="Abadi"/>
          <w:sz w:val="21"/>
          <w:szCs w:val="21"/>
        </w:rPr>
      </w:pPr>
    </w:p>
    <w:p w14:paraId="5531CD8D" w14:textId="2E19C972" w:rsidR="00AF3D1B" w:rsidRDefault="00AF3D1B" w:rsidP="00AF3D1B">
      <w:pPr>
        <w:jc w:val="center"/>
        <w:rPr>
          <w:rFonts w:ascii="Abadi" w:hAnsi="Abadi"/>
          <w:b/>
          <w:bCs/>
          <w:sz w:val="21"/>
          <w:szCs w:val="21"/>
        </w:rPr>
      </w:pPr>
      <w:r w:rsidRPr="00AF3D1B">
        <w:rPr>
          <w:rFonts w:ascii="Abadi" w:hAnsi="Abadi"/>
          <w:b/>
          <w:bCs/>
          <w:sz w:val="21"/>
          <w:szCs w:val="21"/>
        </w:rPr>
        <w:t>(Se abre el sistema electrónico)</w:t>
      </w:r>
    </w:p>
    <w:p w14:paraId="2E51D635" w14:textId="77777777" w:rsidR="00D66107" w:rsidRPr="00AF3D1B" w:rsidRDefault="00D66107" w:rsidP="00AF3D1B">
      <w:pPr>
        <w:jc w:val="center"/>
        <w:rPr>
          <w:rFonts w:ascii="Abadi" w:hAnsi="Abadi"/>
          <w:b/>
          <w:bCs/>
          <w:sz w:val="21"/>
          <w:szCs w:val="21"/>
        </w:rPr>
      </w:pPr>
    </w:p>
    <w:p w14:paraId="72A78CDC" w14:textId="7C64D932" w:rsidR="00AF3D1B" w:rsidRPr="00AF3D1B" w:rsidRDefault="00AF3D1B" w:rsidP="00AF3D1B">
      <w:pPr>
        <w:ind w:firstLine="708"/>
        <w:jc w:val="both"/>
        <w:rPr>
          <w:rFonts w:ascii="Abadi" w:hAnsi="Abadi"/>
          <w:sz w:val="21"/>
          <w:szCs w:val="21"/>
        </w:rPr>
      </w:pPr>
      <w:r>
        <w:rPr>
          <w:rFonts w:ascii="Abadi" w:hAnsi="Abadi"/>
          <w:b/>
          <w:bCs/>
          <w:sz w:val="21"/>
          <w:szCs w:val="21"/>
        </w:rPr>
        <w:t xml:space="preserve">- </w:t>
      </w:r>
      <w:r w:rsidRPr="00AF3D1B">
        <w:rPr>
          <w:rFonts w:ascii="Abadi" w:hAnsi="Abadi"/>
          <w:b/>
          <w:bCs/>
          <w:sz w:val="21"/>
          <w:szCs w:val="21"/>
        </w:rPr>
        <w:t>La Secretaria.-</w:t>
      </w:r>
      <w:r w:rsidRPr="00AF3D1B">
        <w:rPr>
          <w:rFonts w:ascii="Abadi" w:hAnsi="Abadi"/>
          <w:sz w:val="21"/>
          <w:szCs w:val="21"/>
        </w:rPr>
        <w:t xml:space="preserve"> En votación nominal por el sistema electrónico se pregunta a las diputadas y a los diputados, si, se aprueba el dictamen puesto a su consideración. </w:t>
      </w:r>
    </w:p>
    <w:p w14:paraId="20D3D0AE" w14:textId="77777777" w:rsidR="00AF3D1B" w:rsidRPr="00AF3D1B" w:rsidRDefault="00AF3D1B" w:rsidP="00AF3D1B">
      <w:pPr>
        <w:jc w:val="both"/>
        <w:rPr>
          <w:rFonts w:ascii="Abadi" w:hAnsi="Abadi"/>
          <w:b/>
          <w:bCs/>
          <w:sz w:val="21"/>
          <w:szCs w:val="21"/>
        </w:rPr>
      </w:pPr>
    </w:p>
    <w:p w14:paraId="78F96751" w14:textId="77777777" w:rsidR="00AF3D1B" w:rsidRPr="00AF3D1B" w:rsidRDefault="00AF3D1B" w:rsidP="00AF3D1B">
      <w:pPr>
        <w:jc w:val="both"/>
        <w:rPr>
          <w:rFonts w:ascii="Abadi" w:hAnsi="Abadi"/>
          <w:sz w:val="21"/>
          <w:szCs w:val="21"/>
        </w:rPr>
      </w:pPr>
      <w:r w:rsidRPr="00AF3D1B">
        <w:rPr>
          <w:rFonts w:ascii="Abadi" w:hAnsi="Abadi"/>
          <w:sz w:val="21"/>
          <w:szCs w:val="21"/>
        </w:rPr>
        <w:t xml:space="preserve">¿Falta alguna diputada, algún diputado de emitir su voto? </w:t>
      </w:r>
    </w:p>
    <w:p w14:paraId="12FD92E7" w14:textId="77777777" w:rsidR="00AF3D1B" w:rsidRPr="00AF3D1B" w:rsidRDefault="00AF3D1B" w:rsidP="00AF3D1B">
      <w:pPr>
        <w:jc w:val="both"/>
        <w:rPr>
          <w:rFonts w:ascii="Abadi" w:hAnsi="Abadi"/>
          <w:b/>
          <w:bCs/>
          <w:sz w:val="21"/>
          <w:szCs w:val="21"/>
        </w:rPr>
      </w:pPr>
    </w:p>
    <w:p w14:paraId="24F960CA" w14:textId="77777777" w:rsidR="00AF3D1B" w:rsidRPr="00AF3D1B" w:rsidRDefault="00AF3D1B" w:rsidP="00AF3D1B">
      <w:pPr>
        <w:jc w:val="center"/>
        <w:rPr>
          <w:rFonts w:ascii="Abadi" w:hAnsi="Abadi"/>
          <w:b/>
          <w:bCs/>
          <w:sz w:val="21"/>
          <w:szCs w:val="21"/>
        </w:rPr>
      </w:pPr>
      <w:r w:rsidRPr="00AF3D1B">
        <w:rPr>
          <w:rFonts w:ascii="Abadi" w:hAnsi="Abadi"/>
          <w:b/>
          <w:bCs/>
          <w:sz w:val="21"/>
          <w:szCs w:val="21"/>
        </w:rPr>
        <w:t>(Se cierra el sistema electrónico)</w:t>
      </w:r>
    </w:p>
    <w:p w14:paraId="0E02FA0E" w14:textId="77777777" w:rsidR="00AF3D1B" w:rsidRPr="00AF3D1B" w:rsidRDefault="00AF3D1B" w:rsidP="00AF3D1B">
      <w:pPr>
        <w:jc w:val="both"/>
        <w:rPr>
          <w:rFonts w:ascii="Abadi" w:hAnsi="Abadi"/>
          <w:b/>
          <w:bCs/>
          <w:sz w:val="21"/>
          <w:szCs w:val="21"/>
        </w:rPr>
      </w:pPr>
    </w:p>
    <w:p w14:paraId="233FA84E" w14:textId="77777777" w:rsidR="00AF3D1B" w:rsidRPr="00AF3D1B" w:rsidRDefault="00AF3D1B" w:rsidP="00AF3D1B">
      <w:pPr>
        <w:jc w:val="both"/>
        <w:rPr>
          <w:rFonts w:ascii="Abadi" w:hAnsi="Abadi"/>
          <w:b/>
          <w:bCs/>
          <w:sz w:val="21"/>
          <w:szCs w:val="21"/>
        </w:rPr>
      </w:pPr>
      <w:r w:rsidRPr="00AF3D1B">
        <w:rPr>
          <w:rFonts w:ascii="Abadi" w:hAnsi="Abadi"/>
          <w:noProof/>
          <w:sz w:val="21"/>
          <w:szCs w:val="21"/>
        </w:rPr>
        <w:drawing>
          <wp:inline distT="0" distB="0" distL="0" distR="0" wp14:anchorId="51817A27" wp14:editId="27F85179">
            <wp:extent cx="1943819" cy="1015760"/>
            <wp:effectExtent l="152400" t="152400" r="361315" b="3562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7094"/>
                    <a:stretch/>
                  </pic:blipFill>
                  <pic:spPr bwMode="auto">
                    <a:xfrm>
                      <a:off x="0" y="0"/>
                      <a:ext cx="1955464" cy="10218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C287B2C" w14:textId="6F23FC8B" w:rsidR="00AF3D1B" w:rsidRDefault="00AF3D1B" w:rsidP="00AF3D1B">
      <w:pPr>
        <w:ind w:firstLine="708"/>
        <w:jc w:val="both"/>
        <w:rPr>
          <w:rFonts w:ascii="Abadi" w:hAnsi="Abadi"/>
          <w:sz w:val="21"/>
          <w:szCs w:val="21"/>
        </w:rPr>
      </w:pPr>
      <w:r>
        <w:rPr>
          <w:rFonts w:ascii="Abadi" w:hAnsi="Abadi"/>
          <w:b/>
          <w:bCs/>
          <w:sz w:val="21"/>
          <w:szCs w:val="21"/>
        </w:rPr>
        <w:t xml:space="preserve">- </w:t>
      </w:r>
      <w:r w:rsidRPr="00AF3D1B">
        <w:rPr>
          <w:rFonts w:ascii="Abadi" w:hAnsi="Abadi"/>
          <w:b/>
          <w:bCs/>
          <w:sz w:val="21"/>
          <w:szCs w:val="21"/>
        </w:rPr>
        <w:t>La Secretar</w:t>
      </w:r>
      <w:r>
        <w:rPr>
          <w:rFonts w:ascii="Abadi" w:hAnsi="Abadi"/>
          <w:b/>
          <w:bCs/>
          <w:sz w:val="21"/>
          <w:szCs w:val="21"/>
        </w:rPr>
        <w:t>i</w:t>
      </w:r>
      <w:r w:rsidRPr="00AF3D1B">
        <w:rPr>
          <w:rFonts w:ascii="Abadi" w:hAnsi="Abadi"/>
          <w:b/>
          <w:bCs/>
          <w:sz w:val="21"/>
          <w:szCs w:val="21"/>
        </w:rPr>
        <w:t>a.-</w:t>
      </w:r>
      <w:r w:rsidRPr="00AF3D1B">
        <w:rPr>
          <w:rFonts w:ascii="Abadi" w:hAnsi="Abadi"/>
          <w:sz w:val="21"/>
          <w:szCs w:val="21"/>
        </w:rPr>
        <w:t xml:space="preserve"> Se registraron 22 votos a favor y 10 votos en contra</w:t>
      </w:r>
      <w:r>
        <w:rPr>
          <w:rFonts w:ascii="Abadi" w:hAnsi="Abadi"/>
          <w:sz w:val="21"/>
          <w:szCs w:val="21"/>
        </w:rPr>
        <w:t xml:space="preserve">. </w:t>
      </w:r>
    </w:p>
    <w:p w14:paraId="4967EC78" w14:textId="77777777" w:rsidR="00AF3D1B" w:rsidRPr="00AF3D1B" w:rsidRDefault="00AF3D1B" w:rsidP="00AF3D1B">
      <w:pPr>
        <w:jc w:val="both"/>
        <w:rPr>
          <w:rFonts w:ascii="Abadi" w:hAnsi="Abadi"/>
          <w:sz w:val="21"/>
          <w:szCs w:val="21"/>
        </w:rPr>
      </w:pPr>
    </w:p>
    <w:p w14:paraId="180A21BA" w14:textId="3A9BB4C3" w:rsidR="00AF3D1B" w:rsidRDefault="00AF3D1B" w:rsidP="00AF3D1B">
      <w:pPr>
        <w:ind w:firstLine="708"/>
        <w:jc w:val="both"/>
        <w:rPr>
          <w:rFonts w:ascii="Abadi" w:hAnsi="Abadi"/>
          <w:sz w:val="21"/>
          <w:szCs w:val="21"/>
        </w:rPr>
      </w:pPr>
      <w:r>
        <w:rPr>
          <w:rFonts w:ascii="Abadi" w:hAnsi="Abadi"/>
          <w:b/>
          <w:bCs/>
          <w:sz w:val="21"/>
          <w:szCs w:val="21"/>
        </w:rPr>
        <w:t xml:space="preserve">- </w:t>
      </w:r>
      <w:r w:rsidRPr="00AF3D1B">
        <w:rPr>
          <w:rFonts w:ascii="Abadi" w:hAnsi="Abadi"/>
          <w:b/>
          <w:bCs/>
          <w:sz w:val="21"/>
          <w:szCs w:val="21"/>
        </w:rPr>
        <w:t>La Presidencia.-</w:t>
      </w:r>
      <w:r w:rsidRPr="00AF3D1B">
        <w:rPr>
          <w:rFonts w:ascii="Abadi" w:hAnsi="Abadi"/>
          <w:sz w:val="21"/>
          <w:szCs w:val="21"/>
        </w:rPr>
        <w:t xml:space="preserve"> El dictamen ha sido aprobado por mayoría de votos. </w:t>
      </w:r>
    </w:p>
    <w:p w14:paraId="027270B0" w14:textId="77777777" w:rsidR="00AF3D1B" w:rsidRPr="00AF3D1B" w:rsidRDefault="00AF3D1B" w:rsidP="00AF3D1B">
      <w:pPr>
        <w:ind w:firstLine="708"/>
        <w:jc w:val="both"/>
        <w:rPr>
          <w:rFonts w:ascii="Abadi" w:hAnsi="Abadi"/>
          <w:sz w:val="21"/>
          <w:szCs w:val="21"/>
        </w:rPr>
      </w:pPr>
    </w:p>
    <w:p w14:paraId="57BC8EC5" w14:textId="0E36D8BC" w:rsidR="00AF3D1B" w:rsidRDefault="00AF3D1B" w:rsidP="0042560A">
      <w:pPr>
        <w:ind w:firstLine="708"/>
        <w:jc w:val="both"/>
        <w:rPr>
          <w:rFonts w:ascii="Abadi" w:hAnsi="Abadi"/>
          <w:sz w:val="21"/>
          <w:szCs w:val="21"/>
        </w:rPr>
      </w:pPr>
      <w:r w:rsidRPr="00AF3D1B">
        <w:rPr>
          <w:rFonts w:ascii="Abadi" w:hAnsi="Abadi"/>
          <w:sz w:val="21"/>
          <w:szCs w:val="21"/>
        </w:rPr>
        <w:t xml:space="preserve">- En consecuencia. </w:t>
      </w:r>
    </w:p>
    <w:p w14:paraId="69256C27" w14:textId="77777777" w:rsidR="00AF3D1B" w:rsidRPr="00AF3D1B" w:rsidRDefault="00AF3D1B" w:rsidP="00AF3D1B">
      <w:pPr>
        <w:jc w:val="both"/>
        <w:rPr>
          <w:rFonts w:ascii="Abadi" w:hAnsi="Abadi"/>
          <w:sz w:val="21"/>
          <w:szCs w:val="21"/>
        </w:rPr>
      </w:pPr>
    </w:p>
    <w:p w14:paraId="77BE103A" w14:textId="77777777" w:rsidR="00AF3D1B" w:rsidRPr="00AF3D1B" w:rsidRDefault="00AF3D1B" w:rsidP="00A92B4A">
      <w:pPr>
        <w:ind w:left="709" w:right="283"/>
        <w:jc w:val="both"/>
        <w:rPr>
          <w:rFonts w:ascii="Abadi" w:hAnsi="Abadi"/>
          <w:b/>
          <w:bCs/>
          <w:i/>
          <w:iCs/>
          <w:sz w:val="21"/>
          <w:szCs w:val="21"/>
          <w:u w:val="single"/>
        </w:rPr>
      </w:pPr>
      <w:r w:rsidRPr="00AF3D1B">
        <w:rPr>
          <w:rFonts w:ascii="Abadi" w:hAnsi="Abadi"/>
          <w:b/>
          <w:bCs/>
          <w:i/>
          <w:iCs/>
          <w:sz w:val="21"/>
          <w:szCs w:val="21"/>
          <w:u w:val="single"/>
        </w:rPr>
        <w:t xml:space="preserve">Se instruye a la Secretaría General para que proceda el archivo definitivo de la iniciativa referida en el dictamen aprobado. </w:t>
      </w:r>
    </w:p>
    <w:p w14:paraId="5DB8FF08" w14:textId="77777777" w:rsidR="00171ADE" w:rsidRPr="00AF3D1B" w:rsidRDefault="00171ADE" w:rsidP="00562D9C">
      <w:pPr>
        <w:jc w:val="both"/>
        <w:rPr>
          <w:rFonts w:ascii="Abadi" w:hAnsi="Abadi" w:cs="Arial-BoldMT"/>
          <w:b/>
          <w:bCs/>
          <w:sz w:val="21"/>
          <w:szCs w:val="21"/>
        </w:rPr>
      </w:pPr>
    </w:p>
    <w:p w14:paraId="5504F04B" w14:textId="77777777" w:rsidR="006F3002" w:rsidRPr="00293312" w:rsidRDefault="006F3002" w:rsidP="006F3002">
      <w:pPr>
        <w:autoSpaceDE w:val="0"/>
        <w:autoSpaceDN w:val="0"/>
        <w:adjustRightInd w:val="0"/>
        <w:ind w:left="426"/>
        <w:jc w:val="both"/>
        <w:rPr>
          <w:rFonts w:ascii="Abadi" w:hAnsi="Abadi" w:cs="Arial-BoldMT"/>
          <w:b/>
          <w:bCs/>
          <w:sz w:val="20"/>
          <w:szCs w:val="21"/>
        </w:rPr>
      </w:pPr>
    </w:p>
    <w:p w14:paraId="39834D3B" w14:textId="2405F340"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EMITIDO POR LA COMISIÓN DE EDUCACIÓN, CIENCIA Y TECNOLOGÍA Y CULTURA RELATIVO A LA PROPUESTA DE PUNTO DE ACUERDO SUSCRITA POR DIPUTADAS Y DIPUTADOS INTEGRANTES DEL GRUPO PARLAMENTARIO DEL PARTIDO MORENA A EFECTO DE EXHORTAR A JORGE ENRIQUE HERNÁNDEZ MEZA, TITULAR DE LA SECRETARÍA DE EDUCACIÓN DE GUANAJUATO, PARA QUE LLEVE A CABO LAS ACCIONES NECESARIAS A FIN DE IMPLEMENTAR EN TODAS LAS INSTITUCIONES EDUCATIVAS LA UTILIZACIÓN DE UNIFORMES ESCOLARES NEUTROS, PARA QUE LAS NIÑAS Y ADOLESCENTES MUJERES TENGAN LA OPORTUNIDAD DE ELEGIR ENTRE EL USO DE PANTALÓN O FALDA.</w:t>
      </w:r>
    </w:p>
    <w:p w14:paraId="1351A968" w14:textId="35F71EDE" w:rsidR="00EC4502" w:rsidRDefault="00EC4502" w:rsidP="00EC4502">
      <w:pPr>
        <w:autoSpaceDE w:val="0"/>
        <w:autoSpaceDN w:val="0"/>
        <w:adjustRightInd w:val="0"/>
        <w:jc w:val="both"/>
        <w:rPr>
          <w:rFonts w:ascii="Abadi" w:hAnsi="Abadi" w:cs="ArialMT"/>
          <w:b/>
          <w:bCs/>
          <w:sz w:val="20"/>
          <w:szCs w:val="21"/>
        </w:rPr>
      </w:pPr>
    </w:p>
    <w:p w14:paraId="6467ED2F" w14:textId="0203094E" w:rsidR="00EC4502" w:rsidRDefault="00EC4502" w:rsidP="00EC4502">
      <w:pPr>
        <w:autoSpaceDE w:val="0"/>
        <w:autoSpaceDN w:val="0"/>
        <w:adjustRightInd w:val="0"/>
        <w:jc w:val="both"/>
        <w:rPr>
          <w:rFonts w:ascii="Abadi" w:hAnsi="Abadi" w:cs="ArialMT"/>
          <w:b/>
          <w:bCs/>
          <w:sz w:val="20"/>
          <w:szCs w:val="21"/>
        </w:rPr>
      </w:pPr>
    </w:p>
    <w:p w14:paraId="1D088AFC" w14:textId="77777777" w:rsidR="00EC4502" w:rsidRPr="00004798" w:rsidRDefault="00EC4502" w:rsidP="00EC4502">
      <w:pPr>
        <w:autoSpaceDE w:val="0"/>
        <w:autoSpaceDN w:val="0"/>
        <w:adjustRightInd w:val="0"/>
        <w:jc w:val="both"/>
        <w:rPr>
          <w:rFonts w:ascii="Abadi" w:hAnsi="Abadi" w:cs="Arial-BoldMT"/>
          <w:b/>
          <w:bCs/>
          <w:sz w:val="21"/>
          <w:szCs w:val="21"/>
        </w:rPr>
      </w:pPr>
      <w:r w:rsidRPr="00004798">
        <w:rPr>
          <w:rFonts w:ascii="Abadi" w:hAnsi="Abadi" w:cs="Arial-BoldMT"/>
          <w:b/>
          <w:bCs/>
          <w:sz w:val="21"/>
          <w:szCs w:val="21"/>
        </w:rPr>
        <w:t>Diputada Irma Leticia González Sánchez</w:t>
      </w:r>
    </w:p>
    <w:p w14:paraId="6BC8B6FE" w14:textId="77777777" w:rsidR="00EC4502" w:rsidRPr="00004798" w:rsidRDefault="00EC4502" w:rsidP="00EC4502">
      <w:pPr>
        <w:autoSpaceDE w:val="0"/>
        <w:autoSpaceDN w:val="0"/>
        <w:adjustRightInd w:val="0"/>
        <w:jc w:val="both"/>
        <w:rPr>
          <w:rFonts w:ascii="Abadi" w:hAnsi="Abadi" w:cs="Arial-BoldMT"/>
          <w:b/>
          <w:bCs/>
          <w:sz w:val="21"/>
          <w:szCs w:val="21"/>
        </w:rPr>
      </w:pPr>
      <w:r w:rsidRPr="00004798">
        <w:rPr>
          <w:rFonts w:ascii="Abadi" w:hAnsi="Abadi" w:cs="Arial-BoldMT"/>
          <w:b/>
          <w:bCs/>
          <w:sz w:val="21"/>
          <w:szCs w:val="21"/>
        </w:rPr>
        <w:t>Presidenta del Congreso del Estado</w:t>
      </w:r>
    </w:p>
    <w:p w14:paraId="0E211920" w14:textId="77777777" w:rsidR="00EC4502" w:rsidRPr="00004798" w:rsidRDefault="00EC4502" w:rsidP="00EC4502">
      <w:pPr>
        <w:autoSpaceDE w:val="0"/>
        <w:autoSpaceDN w:val="0"/>
        <w:adjustRightInd w:val="0"/>
        <w:jc w:val="both"/>
        <w:rPr>
          <w:rFonts w:ascii="Abadi" w:hAnsi="Abadi" w:cs="Arial-BoldMT"/>
          <w:b/>
          <w:bCs/>
          <w:sz w:val="21"/>
          <w:szCs w:val="21"/>
        </w:rPr>
      </w:pPr>
      <w:r w:rsidRPr="00004798">
        <w:rPr>
          <w:rFonts w:ascii="Abadi" w:hAnsi="Abadi" w:cs="Arial-BoldMT"/>
          <w:b/>
          <w:bCs/>
          <w:sz w:val="21"/>
          <w:szCs w:val="21"/>
        </w:rPr>
        <w:t>P r e s e n t e.</w:t>
      </w:r>
    </w:p>
    <w:p w14:paraId="26CD9500" w14:textId="77777777" w:rsidR="00EC4502" w:rsidRPr="00004798" w:rsidRDefault="00EC4502" w:rsidP="00EC4502">
      <w:pPr>
        <w:autoSpaceDE w:val="0"/>
        <w:autoSpaceDN w:val="0"/>
        <w:adjustRightInd w:val="0"/>
        <w:jc w:val="both"/>
        <w:rPr>
          <w:rFonts w:ascii="Abadi" w:hAnsi="Abadi" w:cs="Arial-BoldMT"/>
          <w:b/>
          <w:bCs/>
          <w:sz w:val="21"/>
          <w:szCs w:val="21"/>
        </w:rPr>
      </w:pPr>
    </w:p>
    <w:p w14:paraId="37D9F991" w14:textId="77777777" w:rsidR="00EC4502"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Las diputadas y el diputado que integramos la Comisión de Educación,</w:t>
      </w:r>
      <w:r>
        <w:rPr>
          <w:rFonts w:ascii="Abadi" w:hAnsi="Abadi" w:cs="ArialMT"/>
          <w:sz w:val="21"/>
          <w:szCs w:val="21"/>
        </w:rPr>
        <w:t xml:space="preserve"> </w:t>
      </w:r>
      <w:r w:rsidRPr="00004798">
        <w:rPr>
          <w:rFonts w:ascii="Abadi" w:hAnsi="Abadi" w:cs="ArialMT"/>
          <w:sz w:val="21"/>
          <w:szCs w:val="21"/>
        </w:rPr>
        <w:t>Ciencia y Tecnología y Cultura de la Sexagésima Quinta Legislatura del Congreso</w:t>
      </w:r>
      <w:r>
        <w:rPr>
          <w:rFonts w:ascii="Abadi" w:hAnsi="Abadi" w:cs="ArialMT"/>
          <w:sz w:val="21"/>
          <w:szCs w:val="21"/>
        </w:rPr>
        <w:t xml:space="preserve"> </w:t>
      </w:r>
      <w:r w:rsidRPr="00004798">
        <w:rPr>
          <w:rFonts w:ascii="Abadi" w:hAnsi="Abadi" w:cs="ArialMT"/>
          <w:sz w:val="21"/>
          <w:szCs w:val="21"/>
        </w:rPr>
        <w:t>del Estado de Guanajuato, recibimos para efecto de estudio y dictamen la propuesta</w:t>
      </w:r>
      <w:r>
        <w:rPr>
          <w:rFonts w:ascii="Abadi" w:hAnsi="Abadi" w:cs="ArialMT"/>
          <w:sz w:val="21"/>
          <w:szCs w:val="21"/>
        </w:rPr>
        <w:t xml:space="preserve"> </w:t>
      </w:r>
      <w:r w:rsidRPr="00004798">
        <w:rPr>
          <w:rFonts w:ascii="Abadi" w:hAnsi="Abadi" w:cs="ArialMT"/>
          <w:sz w:val="21"/>
          <w:szCs w:val="21"/>
        </w:rPr>
        <w:t>de punto de acuerdo suscrita por diputadas y diputados integrantes del Grupo</w:t>
      </w:r>
      <w:r>
        <w:rPr>
          <w:rFonts w:ascii="Abadi" w:hAnsi="Abadi" w:cs="ArialMT"/>
          <w:sz w:val="21"/>
          <w:szCs w:val="21"/>
        </w:rPr>
        <w:t xml:space="preserve"> </w:t>
      </w:r>
      <w:r w:rsidRPr="00004798">
        <w:rPr>
          <w:rFonts w:ascii="Abadi" w:hAnsi="Abadi" w:cs="ArialMT"/>
          <w:sz w:val="21"/>
          <w:szCs w:val="21"/>
        </w:rPr>
        <w:t>Parlamentario del Partido MORENA a efecto de exhortar a Jorge Enrique</w:t>
      </w:r>
      <w:r>
        <w:rPr>
          <w:rFonts w:ascii="Abadi" w:hAnsi="Abadi" w:cs="ArialMT"/>
          <w:sz w:val="21"/>
          <w:szCs w:val="21"/>
        </w:rPr>
        <w:t xml:space="preserve"> </w:t>
      </w:r>
      <w:r w:rsidRPr="00004798">
        <w:rPr>
          <w:rFonts w:ascii="Abadi" w:hAnsi="Abadi" w:cs="ArialMT"/>
          <w:sz w:val="21"/>
          <w:szCs w:val="21"/>
        </w:rPr>
        <w:t>Hernández Meza, titular de la Secretaría de Educación de Guanajuato, para que</w:t>
      </w:r>
      <w:r>
        <w:rPr>
          <w:rFonts w:ascii="Abadi" w:hAnsi="Abadi" w:cs="ArialMT"/>
          <w:sz w:val="21"/>
          <w:szCs w:val="21"/>
        </w:rPr>
        <w:t xml:space="preserve"> </w:t>
      </w:r>
      <w:r w:rsidRPr="00004798">
        <w:rPr>
          <w:rFonts w:ascii="Abadi" w:hAnsi="Abadi" w:cs="ArialMT"/>
          <w:sz w:val="21"/>
          <w:szCs w:val="21"/>
        </w:rPr>
        <w:t>lleve a cabo las acciones necesarias a fin de implementar en todas las instituciones</w:t>
      </w:r>
      <w:r>
        <w:rPr>
          <w:rFonts w:ascii="Abadi" w:hAnsi="Abadi" w:cs="ArialMT"/>
          <w:sz w:val="21"/>
          <w:szCs w:val="21"/>
        </w:rPr>
        <w:t xml:space="preserve"> </w:t>
      </w:r>
      <w:r w:rsidRPr="00004798">
        <w:rPr>
          <w:rFonts w:ascii="Abadi" w:hAnsi="Abadi" w:cs="ArialMT"/>
          <w:sz w:val="21"/>
          <w:szCs w:val="21"/>
        </w:rPr>
        <w:t>educativas la utilización de uniformes escolares neutros, para que las niñas y</w:t>
      </w:r>
      <w:r>
        <w:rPr>
          <w:rFonts w:ascii="Abadi" w:hAnsi="Abadi" w:cs="ArialMT"/>
          <w:sz w:val="21"/>
          <w:szCs w:val="21"/>
        </w:rPr>
        <w:t xml:space="preserve"> </w:t>
      </w:r>
      <w:r w:rsidRPr="00004798">
        <w:rPr>
          <w:rFonts w:ascii="Abadi" w:hAnsi="Abadi" w:cs="ArialMT"/>
          <w:sz w:val="21"/>
          <w:szCs w:val="21"/>
        </w:rPr>
        <w:t>adolescentes mujeres tengan la oportunidad de elegir entre el uso de pantalón o</w:t>
      </w:r>
      <w:r>
        <w:rPr>
          <w:rFonts w:ascii="Abadi" w:hAnsi="Abadi" w:cs="ArialMT"/>
          <w:sz w:val="21"/>
          <w:szCs w:val="21"/>
        </w:rPr>
        <w:t xml:space="preserve"> </w:t>
      </w:r>
      <w:r w:rsidRPr="00004798">
        <w:rPr>
          <w:rFonts w:ascii="Abadi" w:hAnsi="Abadi" w:cs="ArialMT"/>
          <w:sz w:val="21"/>
          <w:szCs w:val="21"/>
        </w:rPr>
        <w:t>falda.</w:t>
      </w:r>
    </w:p>
    <w:p w14:paraId="4047FDFA" w14:textId="77777777" w:rsidR="00EC4502" w:rsidRPr="00004798" w:rsidRDefault="00EC4502" w:rsidP="00EC4502">
      <w:pPr>
        <w:autoSpaceDE w:val="0"/>
        <w:autoSpaceDN w:val="0"/>
        <w:adjustRightInd w:val="0"/>
        <w:jc w:val="both"/>
        <w:rPr>
          <w:rFonts w:ascii="Abadi" w:hAnsi="Abadi" w:cs="ArialMT"/>
          <w:sz w:val="21"/>
          <w:szCs w:val="21"/>
        </w:rPr>
      </w:pPr>
    </w:p>
    <w:p w14:paraId="24E7328B" w14:textId="77777777" w:rsidR="00EC4502" w:rsidRPr="00004798"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Por lo anterior, con fundamento en los artículos 89, fracción V; 109 fracción</w:t>
      </w:r>
      <w:r>
        <w:rPr>
          <w:rFonts w:ascii="Abadi" w:hAnsi="Abadi" w:cs="ArialMT"/>
          <w:sz w:val="21"/>
          <w:szCs w:val="21"/>
        </w:rPr>
        <w:t xml:space="preserve"> </w:t>
      </w:r>
      <w:r w:rsidRPr="00004798">
        <w:rPr>
          <w:rFonts w:ascii="Abadi" w:hAnsi="Abadi" w:cs="ArialMT"/>
          <w:sz w:val="21"/>
          <w:szCs w:val="21"/>
        </w:rPr>
        <w:t>VI y 171 de la Ley Orgánica del Poder Legislativo del Estado de Guanajuato,</w:t>
      </w:r>
      <w:r>
        <w:rPr>
          <w:rFonts w:ascii="Abadi" w:hAnsi="Abadi" w:cs="ArialMT"/>
          <w:sz w:val="21"/>
          <w:szCs w:val="21"/>
        </w:rPr>
        <w:t xml:space="preserve"> </w:t>
      </w:r>
      <w:r w:rsidRPr="00004798">
        <w:rPr>
          <w:rFonts w:ascii="Abadi" w:hAnsi="Abadi" w:cs="ArialMT"/>
          <w:sz w:val="21"/>
          <w:szCs w:val="21"/>
        </w:rPr>
        <w:t>sometemos a la consideración de la Asamblea el presente dictamen, con base en</w:t>
      </w:r>
      <w:r>
        <w:rPr>
          <w:rFonts w:ascii="Abadi" w:hAnsi="Abadi" w:cs="ArialMT"/>
          <w:sz w:val="21"/>
          <w:szCs w:val="21"/>
        </w:rPr>
        <w:t xml:space="preserve"> </w:t>
      </w:r>
      <w:r w:rsidRPr="00004798">
        <w:rPr>
          <w:rFonts w:ascii="Abadi" w:hAnsi="Abadi" w:cs="ArialMT"/>
          <w:sz w:val="21"/>
          <w:szCs w:val="21"/>
        </w:rPr>
        <w:t>las siguientes:</w:t>
      </w:r>
    </w:p>
    <w:p w14:paraId="548AC65A" w14:textId="77777777" w:rsidR="00EC4502" w:rsidRDefault="00EC4502" w:rsidP="00EC4502">
      <w:pPr>
        <w:autoSpaceDE w:val="0"/>
        <w:autoSpaceDN w:val="0"/>
        <w:adjustRightInd w:val="0"/>
        <w:jc w:val="both"/>
        <w:rPr>
          <w:rFonts w:ascii="Abadi" w:hAnsi="Abadi" w:cs="Arial-BoldMT"/>
          <w:b/>
          <w:bCs/>
          <w:sz w:val="21"/>
          <w:szCs w:val="21"/>
        </w:rPr>
      </w:pPr>
    </w:p>
    <w:p w14:paraId="6AE84BF3" w14:textId="77777777" w:rsidR="00EC4502" w:rsidRPr="00004798" w:rsidRDefault="00EC4502" w:rsidP="00EC4502">
      <w:pPr>
        <w:autoSpaceDE w:val="0"/>
        <w:autoSpaceDN w:val="0"/>
        <w:adjustRightInd w:val="0"/>
        <w:jc w:val="center"/>
        <w:rPr>
          <w:rFonts w:ascii="Abadi" w:hAnsi="Abadi" w:cs="Arial-BoldMT"/>
          <w:b/>
          <w:bCs/>
          <w:sz w:val="21"/>
          <w:szCs w:val="21"/>
        </w:rPr>
      </w:pPr>
      <w:r w:rsidRPr="00004798">
        <w:rPr>
          <w:rFonts w:ascii="Abadi" w:hAnsi="Abadi" w:cs="Arial-BoldMT"/>
          <w:b/>
          <w:bCs/>
          <w:sz w:val="21"/>
          <w:szCs w:val="21"/>
        </w:rPr>
        <w:t>Consideraciones</w:t>
      </w:r>
    </w:p>
    <w:p w14:paraId="6CB6A0A3" w14:textId="77777777" w:rsidR="00EC4502" w:rsidRDefault="00EC4502" w:rsidP="00EC4502">
      <w:pPr>
        <w:autoSpaceDE w:val="0"/>
        <w:autoSpaceDN w:val="0"/>
        <w:adjustRightInd w:val="0"/>
        <w:jc w:val="both"/>
        <w:rPr>
          <w:rFonts w:ascii="Abadi" w:hAnsi="Abadi" w:cs="Arial-BoldMT"/>
          <w:b/>
          <w:bCs/>
          <w:sz w:val="21"/>
          <w:szCs w:val="21"/>
        </w:rPr>
      </w:pPr>
    </w:p>
    <w:p w14:paraId="353D74B1" w14:textId="77777777" w:rsidR="00EC4502" w:rsidRDefault="00EC4502" w:rsidP="00EC4502">
      <w:pPr>
        <w:autoSpaceDE w:val="0"/>
        <w:autoSpaceDN w:val="0"/>
        <w:adjustRightInd w:val="0"/>
        <w:ind w:firstLine="708"/>
        <w:jc w:val="both"/>
        <w:rPr>
          <w:rFonts w:ascii="Abadi" w:hAnsi="Abadi" w:cs="Arial-BoldMT"/>
          <w:b/>
          <w:bCs/>
          <w:sz w:val="21"/>
          <w:szCs w:val="21"/>
        </w:rPr>
      </w:pPr>
      <w:r w:rsidRPr="00004798">
        <w:rPr>
          <w:rFonts w:ascii="Abadi" w:hAnsi="Abadi" w:cs="Arial-BoldMT"/>
          <w:b/>
          <w:bCs/>
          <w:sz w:val="21"/>
          <w:szCs w:val="21"/>
        </w:rPr>
        <w:t>Antecedentes</w:t>
      </w:r>
    </w:p>
    <w:p w14:paraId="11B27E4C" w14:textId="77777777" w:rsidR="00EC4502" w:rsidRPr="00004798" w:rsidRDefault="00EC4502" w:rsidP="00EC4502">
      <w:pPr>
        <w:autoSpaceDE w:val="0"/>
        <w:autoSpaceDN w:val="0"/>
        <w:adjustRightInd w:val="0"/>
        <w:jc w:val="both"/>
        <w:rPr>
          <w:rFonts w:ascii="Abadi" w:hAnsi="Abadi" w:cs="Arial-BoldMT"/>
          <w:b/>
          <w:bCs/>
          <w:sz w:val="21"/>
          <w:szCs w:val="21"/>
        </w:rPr>
      </w:pPr>
    </w:p>
    <w:p w14:paraId="07A3F4D7" w14:textId="77777777" w:rsidR="00EC4502"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En sesión ordinaria de fecha 17 de febrero del año 2022, la presidencia de la</w:t>
      </w:r>
      <w:r>
        <w:rPr>
          <w:rFonts w:ascii="Abadi" w:hAnsi="Abadi" w:cs="ArialMT"/>
          <w:sz w:val="21"/>
          <w:szCs w:val="21"/>
        </w:rPr>
        <w:t xml:space="preserve"> </w:t>
      </w:r>
      <w:r w:rsidRPr="00004798">
        <w:rPr>
          <w:rFonts w:ascii="Abadi" w:hAnsi="Abadi" w:cs="ArialMT"/>
          <w:sz w:val="21"/>
          <w:szCs w:val="21"/>
        </w:rPr>
        <w:t>Mesa Directiva turnó a la Comisión de Educación, Ciencia y Tecnología, para</w:t>
      </w:r>
      <w:r>
        <w:rPr>
          <w:rFonts w:ascii="Abadi" w:hAnsi="Abadi" w:cs="ArialMT"/>
          <w:sz w:val="21"/>
          <w:szCs w:val="21"/>
        </w:rPr>
        <w:t xml:space="preserve"> </w:t>
      </w:r>
      <w:r w:rsidRPr="00004798">
        <w:rPr>
          <w:rFonts w:ascii="Abadi" w:hAnsi="Abadi" w:cs="ArialMT"/>
          <w:sz w:val="21"/>
          <w:szCs w:val="21"/>
        </w:rPr>
        <w:t>efectos de su estudio y dictamen, la propuesta de punto de acuerdo referido en el</w:t>
      </w:r>
      <w:r>
        <w:rPr>
          <w:rFonts w:ascii="Abadi" w:hAnsi="Abadi" w:cs="ArialMT"/>
          <w:sz w:val="21"/>
          <w:szCs w:val="21"/>
        </w:rPr>
        <w:t xml:space="preserve"> </w:t>
      </w:r>
      <w:r w:rsidRPr="00004798">
        <w:rPr>
          <w:rFonts w:ascii="Abadi" w:hAnsi="Abadi" w:cs="ArialMT"/>
          <w:sz w:val="21"/>
          <w:szCs w:val="21"/>
        </w:rPr>
        <w:t>proemio del presente dictamen, con fundamento en el artículo 109 fracción VI de la</w:t>
      </w:r>
      <w:r>
        <w:rPr>
          <w:rFonts w:ascii="Abadi" w:hAnsi="Abadi" w:cs="ArialMT"/>
          <w:sz w:val="21"/>
          <w:szCs w:val="21"/>
        </w:rPr>
        <w:t xml:space="preserve"> </w:t>
      </w:r>
      <w:r w:rsidRPr="00004798">
        <w:rPr>
          <w:rFonts w:ascii="Abadi" w:hAnsi="Abadi" w:cs="ArialMT"/>
          <w:sz w:val="21"/>
          <w:szCs w:val="21"/>
        </w:rPr>
        <w:t>Ley Orgánica del Poder Legislativo del Estado de Guanajuato.</w:t>
      </w:r>
    </w:p>
    <w:p w14:paraId="37F49DAB" w14:textId="77777777" w:rsidR="00EC4502" w:rsidRPr="00004798" w:rsidRDefault="00EC4502" w:rsidP="00EC4502">
      <w:pPr>
        <w:autoSpaceDE w:val="0"/>
        <w:autoSpaceDN w:val="0"/>
        <w:adjustRightInd w:val="0"/>
        <w:jc w:val="both"/>
        <w:rPr>
          <w:rFonts w:ascii="Abadi" w:hAnsi="Abadi" w:cs="ArialMT"/>
          <w:sz w:val="21"/>
          <w:szCs w:val="21"/>
        </w:rPr>
      </w:pPr>
    </w:p>
    <w:p w14:paraId="3E51807D" w14:textId="77777777" w:rsidR="00EC4502"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Posteriormente, el 01 de marzo del año 2022, la comisión dictaminadora</w:t>
      </w:r>
      <w:r>
        <w:rPr>
          <w:rFonts w:ascii="Abadi" w:hAnsi="Abadi" w:cs="ArialMT"/>
          <w:sz w:val="21"/>
          <w:szCs w:val="21"/>
        </w:rPr>
        <w:t xml:space="preserve"> </w:t>
      </w:r>
      <w:r w:rsidRPr="00004798">
        <w:rPr>
          <w:rFonts w:ascii="Abadi" w:hAnsi="Abadi" w:cs="ArialMT"/>
          <w:sz w:val="21"/>
          <w:szCs w:val="21"/>
        </w:rPr>
        <w:t>radicó la propuesta de punto de acuerdo y posteriormente la presidencia de esta</w:t>
      </w:r>
      <w:r>
        <w:rPr>
          <w:rFonts w:ascii="Abadi" w:hAnsi="Abadi" w:cs="ArialMT"/>
          <w:sz w:val="21"/>
          <w:szCs w:val="21"/>
        </w:rPr>
        <w:t xml:space="preserve"> </w:t>
      </w:r>
      <w:r w:rsidRPr="00004798">
        <w:rPr>
          <w:rFonts w:ascii="Abadi" w:hAnsi="Abadi" w:cs="ArialMT"/>
          <w:sz w:val="21"/>
          <w:szCs w:val="21"/>
        </w:rPr>
        <w:t>Comisión Educación, Ciencia y Tecnología y Cultura con fundamento en los</w:t>
      </w:r>
      <w:r>
        <w:rPr>
          <w:rFonts w:ascii="Abadi" w:hAnsi="Abadi" w:cs="ArialMT"/>
          <w:sz w:val="21"/>
          <w:szCs w:val="21"/>
        </w:rPr>
        <w:t xml:space="preserve"> </w:t>
      </w:r>
      <w:r w:rsidRPr="00004798">
        <w:rPr>
          <w:rFonts w:ascii="Abadi" w:hAnsi="Abadi" w:cs="ArialMT"/>
          <w:sz w:val="21"/>
          <w:szCs w:val="21"/>
        </w:rPr>
        <w:t>artículos 94 fracción VII y 272 fracción VIII inciso e) de la Ley Orgánica del Poder</w:t>
      </w:r>
      <w:r>
        <w:rPr>
          <w:rFonts w:ascii="Abadi" w:hAnsi="Abadi" w:cs="ArialMT"/>
          <w:sz w:val="21"/>
          <w:szCs w:val="21"/>
        </w:rPr>
        <w:t xml:space="preserve"> </w:t>
      </w:r>
      <w:r w:rsidRPr="00004798">
        <w:rPr>
          <w:rFonts w:ascii="Abadi" w:hAnsi="Abadi" w:cs="ArialMT"/>
          <w:sz w:val="21"/>
          <w:szCs w:val="21"/>
        </w:rPr>
        <w:t>Legislativo del Estado de Guanajuato instruyó a la Secretaría Técnica para que</w:t>
      </w:r>
      <w:r>
        <w:rPr>
          <w:rFonts w:ascii="Abadi" w:hAnsi="Abadi" w:cs="ArialMT"/>
          <w:sz w:val="21"/>
          <w:szCs w:val="21"/>
        </w:rPr>
        <w:t xml:space="preserve"> </w:t>
      </w:r>
      <w:r w:rsidRPr="00004798">
        <w:rPr>
          <w:rFonts w:ascii="Abadi" w:hAnsi="Abadi" w:cs="ArialMT"/>
          <w:sz w:val="21"/>
          <w:szCs w:val="21"/>
        </w:rPr>
        <w:t>elaborará el proyecto de dictamen, mismo que fue materia de revisión por quienes</w:t>
      </w:r>
      <w:r>
        <w:rPr>
          <w:rFonts w:ascii="Abadi" w:hAnsi="Abadi" w:cs="ArialMT"/>
          <w:sz w:val="21"/>
          <w:szCs w:val="21"/>
        </w:rPr>
        <w:t xml:space="preserve"> </w:t>
      </w:r>
      <w:r w:rsidRPr="00004798">
        <w:rPr>
          <w:rFonts w:ascii="Abadi" w:hAnsi="Abadi" w:cs="ArialMT"/>
          <w:sz w:val="21"/>
          <w:szCs w:val="21"/>
        </w:rPr>
        <w:t>integran esta comisión.</w:t>
      </w:r>
    </w:p>
    <w:p w14:paraId="57BB0D4E" w14:textId="77777777" w:rsidR="00EC4502" w:rsidRPr="00004798" w:rsidRDefault="00EC4502" w:rsidP="00EC4502">
      <w:pPr>
        <w:autoSpaceDE w:val="0"/>
        <w:autoSpaceDN w:val="0"/>
        <w:adjustRightInd w:val="0"/>
        <w:jc w:val="both"/>
        <w:rPr>
          <w:rFonts w:ascii="Abadi" w:hAnsi="Abadi" w:cs="ArialMT"/>
          <w:sz w:val="21"/>
          <w:szCs w:val="21"/>
        </w:rPr>
      </w:pPr>
    </w:p>
    <w:p w14:paraId="3DFA57A1" w14:textId="77777777" w:rsidR="00EC4502" w:rsidRDefault="00EC4502" w:rsidP="00EC4502">
      <w:pPr>
        <w:autoSpaceDE w:val="0"/>
        <w:autoSpaceDN w:val="0"/>
        <w:adjustRightInd w:val="0"/>
        <w:jc w:val="both"/>
        <w:rPr>
          <w:rFonts w:ascii="Abadi" w:hAnsi="Abadi" w:cs="Arial-BoldMT"/>
          <w:b/>
          <w:bCs/>
          <w:sz w:val="21"/>
          <w:szCs w:val="21"/>
        </w:rPr>
      </w:pPr>
      <w:r w:rsidRPr="00004798">
        <w:rPr>
          <w:rFonts w:ascii="Abadi" w:hAnsi="Abadi" w:cs="Arial-BoldMT"/>
          <w:b/>
          <w:bCs/>
          <w:sz w:val="21"/>
          <w:szCs w:val="21"/>
        </w:rPr>
        <w:t>Análisis de la propuesta</w:t>
      </w:r>
    </w:p>
    <w:p w14:paraId="4800A3B7" w14:textId="77777777" w:rsidR="00EC4502" w:rsidRPr="00004798" w:rsidRDefault="00EC4502" w:rsidP="00EC4502">
      <w:pPr>
        <w:autoSpaceDE w:val="0"/>
        <w:autoSpaceDN w:val="0"/>
        <w:adjustRightInd w:val="0"/>
        <w:jc w:val="both"/>
        <w:rPr>
          <w:rFonts w:ascii="Abadi" w:hAnsi="Abadi" w:cs="Arial-BoldMT"/>
          <w:b/>
          <w:bCs/>
          <w:sz w:val="21"/>
          <w:szCs w:val="21"/>
        </w:rPr>
      </w:pPr>
    </w:p>
    <w:p w14:paraId="5B95705B" w14:textId="77777777" w:rsidR="00EC4502" w:rsidRDefault="00EC4502" w:rsidP="00EC4502">
      <w:pPr>
        <w:autoSpaceDE w:val="0"/>
        <w:autoSpaceDN w:val="0"/>
        <w:adjustRightInd w:val="0"/>
        <w:ind w:left="709"/>
        <w:jc w:val="both"/>
        <w:rPr>
          <w:rFonts w:ascii="Abadi" w:hAnsi="Abadi" w:cs="ArialMT"/>
          <w:sz w:val="21"/>
          <w:szCs w:val="21"/>
        </w:rPr>
      </w:pPr>
      <w:r w:rsidRPr="00004798">
        <w:rPr>
          <w:rFonts w:ascii="Abadi" w:hAnsi="Abadi" w:cs="ArialMT"/>
          <w:sz w:val="21"/>
          <w:szCs w:val="21"/>
        </w:rPr>
        <w:t>El proponente manifestó en la parte expositiva del acuerdo lo siguiente:</w:t>
      </w:r>
    </w:p>
    <w:p w14:paraId="0F043AD6" w14:textId="77777777" w:rsidR="00EC4502" w:rsidRPr="00004798" w:rsidRDefault="00EC4502" w:rsidP="00EC4502">
      <w:pPr>
        <w:autoSpaceDE w:val="0"/>
        <w:autoSpaceDN w:val="0"/>
        <w:adjustRightInd w:val="0"/>
        <w:ind w:left="709"/>
        <w:jc w:val="both"/>
        <w:rPr>
          <w:rFonts w:ascii="Abadi" w:hAnsi="Abadi" w:cs="ArialMT"/>
          <w:sz w:val="21"/>
          <w:szCs w:val="21"/>
        </w:rPr>
      </w:pPr>
    </w:p>
    <w:p w14:paraId="3051ED2C" w14:textId="77777777" w:rsidR="00EC4502" w:rsidRDefault="00EC4502" w:rsidP="00EC4502">
      <w:pPr>
        <w:autoSpaceDE w:val="0"/>
        <w:autoSpaceDN w:val="0"/>
        <w:adjustRightInd w:val="0"/>
        <w:ind w:left="709"/>
        <w:jc w:val="both"/>
        <w:rPr>
          <w:rFonts w:ascii="Abadi" w:hAnsi="Abadi" w:cs="Arial-ItalicMT"/>
          <w:i/>
          <w:iCs/>
          <w:sz w:val="21"/>
          <w:szCs w:val="21"/>
        </w:rPr>
      </w:pPr>
      <w:r w:rsidRPr="00004798">
        <w:rPr>
          <w:rFonts w:ascii="Abadi" w:hAnsi="Abadi" w:cs="Arial-ItalicMT"/>
          <w:i/>
          <w:iCs/>
          <w:sz w:val="21"/>
          <w:szCs w:val="21"/>
        </w:rPr>
        <w:t>“Las desigualdades y formas de violencia hacia los derechos de las niñas, niños y</w:t>
      </w:r>
      <w:r>
        <w:rPr>
          <w:rFonts w:ascii="Abadi" w:hAnsi="Abadi" w:cs="Arial-ItalicMT"/>
          <w:i/>
          <w:iCs/>
          <w:sz w:val="21"/>
          <w:szCs w:val="21"/>
        </w:rPr>
        <w:t xml:space="preserve"> </w:t>
      </w:r>
      <w:r w:rsidRPr="00004798">
        <w:rPr>
          <w:rFonts w:ascii="Abadi" w:hAnsi="Abadi" w:cs="Arial-ItalicMT"/>
          <w:i/>
          <w:iCs/>
          <w:sz w:val="21"/>
          <w:szCs w:val="21"/>
        </w:rPr>
        <w:t>adolescentes tienen un carácter histórico que hoy nos toca derrumbar. Como</w:t>
      </w:r>
      <w:r>
        <w:rPr>
          <w:rFonts w:ascii="Abadi" w:hAnsi="Abadi" w:cs="Arial-ItalicMT"/>
          <w:i/>
          <w:iCs/>
          <w:sz w:val="21"/>
          <w:szCs w:val="21"/>
        </w:rPr>
        <w:t xml:space="preserve"> </w:t>
      </w:r>
      <w:r w:rsidRPr="00004798">
        <w:rPr>
          <w:rFonts w:ascii="Abadi" w:hAnsi="Abadi" w:cs="Arial-ItalicMT"/>
          <w:i/>
          <w:iCs/>
          <w:sz w:val="21"/>
          <w:szCs w:val="21"/>
        </w:rPr>
        <w:t>representantes del pueblo guanajuatense es nuestro deber encaminar a las</w:t>
      </w:r>
      <w:r>
        <w:rPr>
          <w:rFonts w:ascii="Abadi" w:hAnsi="Abadi" w:cs="Arial-ItalicMT"/>
          <w:i/>
          <w:iCs/>
          <w:sz w:val="21"/>
          <w:szCs w:val="21"/>
        </w:rPr>
        <w:t xml:space="preserve"> </w:t>
      </w:r>
      <w:r w:rsidRPr="00004798">
        <w:rPr>
          <w:rFonts w:ascii="Abadi" w:hAnsi="Abadi" w:cs="Arial-ItalicMT"/>
          <w:i/>
          <w:iCs/>
          <w:sz w:val="21"/>
          <w:szCs w:val="21"/>
        </w:rPr>
        <w:t>instituciones para que actúen con perspectiva de género y con perspectiva de</w:t>
      </w:r>
      <w:r>
        <w:rPr>
          <w:rFonts w:ascii="Abadi" w:hAnsi="Abadi" w:cs="Arial-ItalicMT"/>
          <w:i/>
          <w:iCs/>
          <w:sz w:val="21"/>
          <w:szCs w:val="21"/>
        </w:rPr>
        <w:t xml:space="preserve"> </w:t>
      </w:r>
      <w:r w:rsidRPr="00004798">
        <w:rPr>
          <w:rFonts w:ascii="Abadi" w:hAnsi="Abadi" w:cs="Arial-ItalicMT"/>
          <w:i/>
          <w:iCs/>
          <w:sz w:val="21"/>
          <w:szCs w:val="21"/>
        </w:rPr>
        <w:t>infancias, buscando siempre la igualdad y equidad entre las niñas, niños y</w:t>
      </w:r>
      <w:r>
        <w:rPr>
          <w:rFonts w:ascii="Abadi" w:hAnsi="Abadi" w:cs="Arial-ItalicMT"/>
          <w:i/>
          <w:iCs/>
          <w:sz w:val="21"/>
          <w:szCs w:val="21"/>
        </w:rPr>
        <w:t xml:space="preserve"> </w:t>
      </w:r>
      <w:r w:rsidRPr="00004798">
        <w:rPr>
          <w:rFonts w:ascii="Abadi" w:hAnsi="Abadi" w:cs="Arial-ItalicMT"/>
          <w:i/>
          <w:iCs/>
          <w:sz w:val="21"/>
          <w:szCs w:val="21"/>
        </w:rPr>
        <w:t>adolescentes guanajuatenses en todos los ámbitos de su desarrollo.</w:t>
      </w:r>
    </w:p>
    <w:p w14:paraId="52048B1F" w14:textId="77777777" w:rsidR="00EC4502" w:rsidRPr="00004798" w:rsidRDefault="00EC4502" w:rsidP="00EC4502">
      <w:pPr>
        <w:autoSpaceDE w:val="0"/>
        <w:autoSpaceDN w:val="0"/>
        <w:adjustRightInd w:val="0"/>
        <w:ind w:left="709"/>
        <w:jc w:val="both"/>
        <w:rPr>
          <w:rFonts w:ascii="Abadi" w:hAnsi="Abadi" w:cs="Arial-ItalicMT"/>
          <w:i/>
          <w:iCs/>
          <w:sz w:val="21"/>
          <w:szCs w:val="21"/>
        </w:rPr>
      </w:pPr>
    </w:p>
    <w:p w14:paraId="135A11CF" w14:textId="64EE3F70" w:rsidR="00EC4502" w:rsidRDefault="00EC4502" w:rsidP="00EC4502">
      <w:pPr>
        <w:autoSpaceDE w:val="0"/>
        <w:autoSpaceDN w:val="0"/>
        <w:adjustRightInd w:val="0"/>
        <w:ind w:left="709"/>
        <w:jc w:val="both"/>
        <w:rPr>
          <w:rFonts w:ascii="Abadi" w:hAnsi="Abadi" w:cs="Arial-ItalicMT"/>
          <w:i/>
          <w:iCs/>
          <w:sz w:val="21"/>
          <w:szCs w:val="21"/>
        </w:rPr>
      </w:pPr>
      <w:r w:rsidRPr="00004798">
        <w:rPr>
          <w:rFonts w:ascii="Abadi" w:hAnsi="Abadi" w:cs="Arial-ItalicMT"/>
          <w:i/>
          <w:iCs/>
          <w:sz w:val="21"/>
          <w:szCs w:val="21"/>
        </w:rPr>
        <w:t>En este sentido, la Ley General de los Derechos de niñas, niños y adolescentes</w:t>
      </w:r>
      <w:r>
        <w:rPr>
          <w:rFonts w:ascii="Abadi" w:hAnsi="Abadi" w:cs="Arial-ItalicMT"/>
          <w:i/>
          <w:iCs/>
          <w:sz w:val="21"/>
          <w:szCs w:val="21"/>
        </w:rPr>
        <w:t xml:space="preserve"> </w:t>
      </w:r>
      <w:r w:rsidRPr="00004798">
        <w:rPr>
          <w:rFonts w:ascii="Abadi" w:hAnsi="Abadi" w:cs="Arial-ItalicMT"/>
          <w:i/>
          <w:iCs/>
          <w:sz w:val="21"/>
          <w:szCs w:val="21"/>
        </w:rPr>
        <w:t>contempla en su artículo 13 el derecho a la igualdad sustantiva y, además, precisa en</w:t>
      </w:r>
      <w:r>
        <w:rPr>
          <w:rFonts w:ascii="Abadi" w:hAnsi="Abadi" w:cs="Arial-ItalicMT"/>
          <w:i/>
          <w:iCs/>
          <w:sz w:val="21"/>
          <w:szCs w:val="21"/>
        </w:rPr>
        <w:t xml:space="preserve"> </w:t>
      </w:r>
      <w:r w:rsidRPr="00004798">
        <w:rPr>
          <w:rFonts w:ascii="Abadi" w:hAnsi="Abadi" w:cs="Arial-ItalicMT"/>
          <w:i/>
          <w:iCs/>
          <w:sz w:val="21"/>
          <w:szCs w:val="21"/>
        </w:rPr>
        <w:t>su artículo 46 que las y los menores tienen derecho a vivir sin violencia el libre</w:t>
      </w:r>
      <w:r>
        <w:rPr>
          <w:rFonts w:ascii="Abadi" w:hAnsi="Abadi" w:cs="Arial-ItalicMT"/>
          <w:i/>
          <w:iCs/>
          <w:sz w:val="21"/>
          <w:szCs w:val="21"/>
        </w:rPr>
        <w:t xml:space="preserve"> </w:t>
      </w:r>
      <w:r w:rsidRPr="00004798">
        <w:rPr>
          <w:rFonts w:ascii="Abadi" w:hAnsi="Abadi" w:cs="Arial-ItalicMT"/>
          <w:i/>
          <w:iCs/>
          <w:sz w:val="21"/>
          <w:szCs w:val="21"/>
        </w:rPr>
        <w:t>desarrollo de su personalidad. Dicho desarrollo necesariamente se lleva a cabo en</w:t>
      </w:r>
      <w:r>
        <w:rPr>
          <w:rFonts w:ascii="Abadi" w:hAnsi="Abadi" w:cs="Arial-ItalicMT"/>
          <w:i/>
          <w:iCs/>
          <w:sz w:val="21"/>
          <w:szCs w:val="21"/>
        </w:rPr>
        <w:t xml:space="preserve"> </w:t>
      </w:r>
      <w:r w:rsidRPr="00004798">
        <w:rPr>
          <w:rFonts w:ascii="Abadi" w:hAnsi="Abadi" w:cs="Arial-ItalicMT"/>
          <w:i/>
          <w:iCs/>
          <w:sz w:val="21"/>
          <w:szCs w:val="21"/>
        </w:rPr>
        <w:t>todo espacio de convivencia de las y los menores, siendo las instituciones educativas</w:t>
      </w:r>
      <w:r>
        <w:rPr>
          <w:rFonts w:ascii="Abadi" w:hAnsi="Abadi" w:cs="Arial-ItalicMT"/>
          <w:i/>
          <w:iCs/>
          <w:sz w:val="21"/>
          <w:szCs w:val="21"/>
        </w:rPr>
        <w:t xml:space="preserve"> </w:t>
      </w:r>
      <w:r w:rsidRPr="00004798">
        <w:rPr>
          <w:rFonts w:ascii="Abadi" w:hAnsi="Abadi" w:cs="Arial-ItalicMT"/>
          <w:i/>
          <w:iCs/>
          <w:sz w:val="21"/>
          <w:szCs w:val="21"/>
        </w:rPr>
        <w:t>uno de los espacios más importantes para gran parte de las infancias, al grado de ser</w:t>
      </w:r>
      <w:r>
        <w:rPr>
          <w:rFonts w:ascii="Abadi" w:hAnsi="Abadi" w:cs="Arial-ItalicMT"/>
          <w:i/>
          <w:iCs/>
          <w:sz w:val="21"/>
          <w:szCs w:val="21"/>
        </w:rPr>
        <w:t xml:space="preserve"> </w:t>
      </w:r>
      <w:r w:rsidRPr="00004798">
        <w:rPr>
          <w:rFonts w:ascii="Abadi" w:hAnsi="Abadi" w:cs="Arial-ItalicMT"/>
          <w:i/>
          <w:iCs/>
          <w:sz w:val="21"/>
          <w:szCs w:val="21"/>
        </w:rPr>
        <w:t>conocido como segundo hogar de las y los menores, por lo que representan un lugar</w:t>
      </w:r>
      <w:r>
        <w:rPr>
          <w:rFonts w:ascii="Abadi" w:hAnsi="Abadi" w:cs="Arial-ItalicMT"/>
          <w:i/>
          <w:iCs/>
          <w:sz w:val="21"/>
          <w:szCs w:val="21"/>
        </w:rPr>
        <w:t xml:space="preserve"> </w:t>
      </w:r>
      <w:r w:rsidRPr="00004798">
        <w:rPr>
          <w:rFonts w:ascii="Abadi" w:hAnsi="Abadi" w:cs="Arial-ItalicMT"/>
          <w:i/>
          <w:iCs/>
          <w:sz w:val="21"/>
          <w:szCs w:val="21"/>
        </w:rPr>
        <w:t>de desarrollo emocional y de socialización en el que valores como la equidad de</w:t>
      </w:r>
      <w:r>
        <w:rPr>
          <w:rFonts w:ascii="Abadi" w:hAnsi="Abadi" w:cs="Arial-ItalicMT"/>
          <w:i/>
          <w:iCs/>
          <w:sz w:val="21"/>
          <w:szCs w:val="21"/>
        </w:rPr>
        <w:t xml:space="preserve"> </w:t>
      </w:r>
      <w:r w:rsidRPr="00004798">
        <w:rPr>
          <w:rFonts w:ascii="Abadi" w:hAnsi="Abadi" w:cs="Arial-ItalicMT"/>
          <w:i/>
          <w:iCs/>
          <w:sz w:val="21"/>
          <w:szCs w:val="21"/>
        </w:rPr>
        <w:t>género y la igualdad sustantiva no pueden quedar excluidos.</w:t>
      </w:r>
    </w:p>
    <w:p w14:paraId="0169FB1C" w14:textId="77777777" w:rsidR="00EC4502" w:rsidRPr="00004798" w:rsidRDefault="00EC4502" w:rsidP="00EC4502">
      <w:pPr>
        <w:autoSpaceDE w:val="0"/>
        <w:autoSpaceDN w:val="0"/>
        <w:adjustRightInd w:val="0"/>
        <w:ind w:left="709"/>
        <w:jc w:val="both"/>
        <w:rPr>
          <w:rFonts w:ascii="Abadi" w:hAnsi="Abadi" w:cs="Arial-ItalicMT"/>
          <w:i/>
          <w:iCs/>
          <w:sz w:val="21"/>
          <w:szCs w:val="21"/>
        </w:rPr>
      </w:pPr>
    </w:p>
    <w:p w14:paraId="59D30A88" w14:textId="77777777" w:rsidR="00EC4502" w:rsidRDefault="00EC4502" w:rsidP="00EC4502">
      <w:pPr>
        <w:autoSpaceDE w:val="0"/>
        <w:autoSpaceDN w:val="0"/>
        <w:adjustRightInd w:val="0"/>
        <w:ind w:left="709"/>
        <w:jc w:val="both"/>
        <w:rPr>
          <w:rFonts w:ascii="Abadi" w:hAnsi="Abadi" w:cs="Arial-ItalicMT"/>
          <w:i/>
          <w:iCs/>
          <w:sz w:val="21"/>
          <w:szCs w:val="21"/>
        </w:rPr>
      </w:pPr>
      <w:r w:rsidRPr="00004798">
        <w:rPr>
          <w:rFonts w:ascii="Abadi" w:hAnsi="Abadi" w:cs="Arial-ItalicMT"/>
          <w:i/>
          <w:iCs/>
          <w:sz w:val="21"/>
          <w:szCs w:val="21"/>
        </w:rPr>
        <w:t>A pesar de lo anterior, el uso obligatorio de uniformes escolares diferenciados por</w:t>
      </w:r>
      <w:r>
        <w:rPr>
          <w:rFonts w:ascii="Abadi" w:hAnsi="Abadi" w:cs="Arial-ItalicMT"/>
          <w:i/>
          <w:iCs/>
          <w:sz w:val="21"/>
          <w:szCs w:val="21"/>
        </w:rPr>
        <w:t xml:space="preserve"> </w:t>
      </w:r>
      <w:r w:rsidRPr="00004798">
        <w:rPr>
          <w:rFonts w:ascii="Abadi" w:hAnsi="Abadi" w:cs="Arial-ItalicMT"/>
          <w:i/>
          <w:iCs/>
          <w:sz w:val="21"/>
          <w:szCs w:val="21"/>
        </w:rPr>
        <w:t>género sigue siendo una realidad en las escuelas del Estado de Guanajuato. Las</w:t>
      </w:r>
      <w:r>
        <w:rPr>
          <w:rFonts w:ascii="Abadi" w:hAnsi="Abadi" w:cs="Arial-ItalicMT"/>
          <w:i/>
          <w:iCs/>
          <w:sz w:val="21"/>
          <w:szCs w:val="21"/>
        </w:rPr>
        <w:t xml:space="preserve"> </w:t>
      </w:r>
      <w:r w:rsidRPr="00004798">
        <w:rPr>
          <w:rFonts w:ascii="Abadi" w:hAnsi="Abadi" w:cs="Arial-ItalicMT"/>
          <w:i/>
          <w:iCs/>
          <w:sz w:val="21"/>
          <w:szCs w:val="21"/>
        </w:rPr>
        <w:t>exigencias de vestimenta en las instituciones educativas de nivel preescolar, primaria,</w:t>
      </w:r>
      <w:r>
        <w:rPr>
          <w:rFonts w:ascii="Abadi" w:hAnsi="Abadi" w:cs="Arial-ItalicMT"/>
          <w:i/>
          <w:iCs/>
          <w:sz w:val="21"/>
          <w:szCs w:val="21"/>
        </w:rPr>
        <w:t xml:space="preserve"> </w:t>
      </w:r>
      <w:r w:rsidRPr="00004798">
        <w:rPr>
          <w:rFonts w:ascii="Abadi" w:hAnsi="Abadi" w:cs="Arial-ItalicMT"/>
          <w:i/>
          <w:iCs/>
          <w:sz w:val="21"/>
          <w:szCs w:val="21"/>
        </w:rPr>
        <w:t>secundaria, o medio superior, van en contra de la debida promoción de la equidad de</w:t>
      </w:r>
      <w:r>
        <w:rPr>
          <w:rFonts w:ascii="Abadi" w:hAnsi="Abadi" w:cs="Arial-ItalicMT"/>
          <w:i/>
          <w:iCs/>
          <w:sz w:val="21"/>
          <w:szCs w:val="21"/>
        </w:rPr>
        <w:t xml:space="preserve"> </w:t>
      </w:r>
      <w:r w:rsidRPr="00004798">
        <w:rPr>
          <w:rFonts w:ascii="Abadi" w:hAnsi="Abadi" w:cs="Arial-ItalicMT"/>
          <w:i/>
          <w:iCs/>
          <w:sz w:val="21"/>
          <w:szCs w:val="21"/>
        </w:rPr>
        <w:t>género y de la igualdad sustantiva.</w:t>
      </w:r>
    </w:p>
    <w:p w14:paraId="1047E771" w14:textId="77777777" w:rsidR="00EC4502" w:rsidRPr="00004798" w:rsidRDefault="00EC4502" w:rsidP="00EC4502">
      <w:pPr>
        <w:autoSpaceDE w:val="0"/>
        <w:autoSpaceDN w:val="0"/>
        <w:adjustRightInd w:val="0"/>
        <w:ind w:left="709"/>
        <w:jc w:val="both"/>
        <w:rPr>
          <w:rFonts w:ascii="Abadi" w:hAnsi="Abadi" w:cs="Arial-ItalicMT"/>
          <w:i/>
          <w:iCs/>
          <w:sz w:val="21"/>
          <w:szCs w:val="21"/>
        </w:rPr>
      </w:pPr>
    </w:p>
    <w:p w14:paraId="3186856F" w14:textId="77777777" w:rsidR="00EC4502" w:rsidRDefault="00EC4502" w:rsidP="00EC4502">
      <w:pPr>
        <w:autoSpaceDE w:val="0"/>
        <w:autoSpaceDN w:val="0"/>
        <w:adjustRightInd w:val="0"/>
        <w:ind w:left="709"/>
        <w:jc w:val="both"/>
        <w:rPr>
          <w:rFonts w:ascii="Abadi" w:hAnsi="Abadi" w:cs="Arial-ItalicMT"/>
          <w:i/>
          <w:iCs/>
          <w:sz w:val="21"/>
          <w:szCs w:val="21"/>
        </w:rPr>
      </w:pPr>
      <w:r w:rsidRPr="00004798">
        <w:rPr>
          <w:rFonts w:ascii="Abadi" w:hAnsi="Abadi" w:cs="Arial-ItalicMT"/>
          <w:i/>
          <w:iCs/>
          <w:sz w:val="21"/>
          <w:szCs w:val="21"/>
        </w:rPr>
        <w:t>Así, la Convención sobre la Eliminación de Todas las Formas de Discriminación</w:t>
      </w:r>
      <w:r>
        <w:rPr>
          <w:rFonts w:ascii="Abadi" w:hAnsi="Abadi" w:cs="Arial-ItalicMT"/>
          <w:i/>
          <w:iCs/>
          <w:sz w:val="21"/>
          <w:szCs w:val="21"/>
        </w:rPr>
        <w:t xml:space="preserve"> </w:t>
      </w:r>
      <w:r w:rsidRPr="00004798">
        <w:rPr>
          <w:rFonts w:ascii="Abadi" w:hAnsi="Abadi" w:cs="Arial-ItalicMT"/>
          <w:i/>
          <w:iCs/>
          <w:sz w:val="21"/>
          <w:szCs w:val="21"/>
        </w:rPr>
        <w:t>contra la Mujer señala que es ineludible adoptar todas las medidas necesarias para</w:t>
      </w:r>
      <w:r>
        <w:rPr>
          <w:rFonts w:ascii="Abadi" w:hAnsi="Abadi" w:cs="Arial-ItalicMT"/>
          <w:i/>
          <w:iCs/>
          <w:sz w:val="21"/>
          <w:szCs w:val="21"/>
        </w:rPr>
        <w:t xml:space="preserve"> </w:t>
      </w:r>
      <w:r w:rsidRPr="00004798">
        <w:rPr>
          <w:rFonts w:ascii="Abadi" w:hAnsi="Abadi" w:cs="Arial-ItalicMT"/>
          <w:i/>
          <w:iCs/>
          <w:sz w:val="21"/>
          <w:szCs w:val="21"/>
        </w:rPr>
        <w:t>modificar los patrones socioculturales que permitan la eliminación de los prejuicios y</w:t>
      </w:r>
      <w:r>
        <w:rPr>
          <w:rFonts w:ascii="Abadi" w:hAnsi="Abadi" w:cs="Arial-ItalicMT"/>
          <w:i/>
          <w:iCs/>
          <w:sz w:val="21"/>
          <w:szCs w:val="21"/>
        </w:rPr>
        <w:t xml:space="preserve"> </w:t>
      </w:r>
      <w:r w:rsidRPr="00004798">
        <w:rPr>
          <w:rFonts w:ascii="Abadi" w:hAnsi="Abadi" w:cs="Arial-ItalicMT"/>
          <w:i/>
          <w:iCs/>
          <w:sz w:val="21"/>
          <w:szCs w:val="21"/>
        </w:rPr>
        <w:t>prácticas consuetudinarias, o de cualquier otra índole, que estén basadas en</w:t>
      </w:r>
      <w:r>
        <w:rPr>
          <w:rFonts w:ascii="Abadi" w:hAnsi="Abadi" w:cs="Arial-ItalicMT"/>
          <w:i/>
          <w:iCs/>
          <w:sz w:val="21"/>
          <w:szCs w:val="21"/>
        </w:rPr>
        <w:t xml:space="preserve"> </w:t>
      </w:r>
      <w:r w:rsidRPr="00004798">
        <w:rPr>
          <w:rFonts w:ascii="Abadi" w:hAnsi="Abadi" w:cs="Arial-ItalicMT"/>
          <w:i/>
          <w:iCs/>
          <w:sz w:val="21"/>
          <w:szCs w:val="21"/>
        </w:rPr>
        <w:t>funciones estereotipadas de hombres y mujeres.</w:t>
      </w:r>
    </w:p>
    <w:p w14:paraId="10B9D3AF" w14:textId="77777777" w:rsidR="00EC4502" w:rsidRPr="00004798" w:rsidRDefault="00EC4502" w:rsidP="00EC4502">
      <w:pPr>
        <w:autoSpaceDE w:val="0"/>
        <w:autoSpaceDN w:val="0"/>
        <w:adjustRightInd w:val="0"/>
        <w:ind w:left="709"/>
        <w:jc w:val="both"/>
        <w:rPr>
          <w:rFonts w:ascii="Abadi" w:hAnsi="Abadi" w:cs="Arial-ItalicMT"/>
          <w:i/>
          <w:iCs/>
          <w:sz w:val="21"/>
          <w:szCs w:val="21"/>
        </w:rPr>
      </w:pPr>
    </w:p>
    <w:p w14:paraId="43FAAAAE" w14:textId="77777777" w:rsidR="00EC4502" w:rsidRDefault="00EC4502" w:rsidP="00EC4502">
      <w:pPr>
        <w:autoSpaceDE w:val="0"/>
        <w:autoSpaceDN w:val="0"/>
        <w:adjustRightInd w:val="0"/>
        <w:ind w:left="709"/>
        <w:jc w:val="both"/>
        <w:rPr>
          <w:rFonts w:ascii="Abadi" w:hAnsi="Abadi" w:cs="Arial-ItalicMT"/>
          <w:i/>
          <w:iCs/>
          <w:sz w:val="21"/>
          <w:szCs w:val="21"/>
        </w:rPr>
      </w:pPr>
      <w:r w:rsidRPr="00004798">
        <w:rPr>
          <w:rFonts w:ascii="Abadi" w:hAnsi="Abadi" w:cs="Arial-ItalicMT"/>
          <w:i/>
          <w:iCs/>
          <w:sz w:val="21"/>
          <w:szCs w:val="21"/>
        </w:rPr>
        <w:t>Igualmente, la Ley de Educación para el Estado de Guanajuato plantea que la</w:t>
      </w:r>
      <w:r>
        <w:rPr>
          <w:rFonts w:ascii="Abadi" w:hAnsi="Abadi" w:cs="Arial-ItalicMT"/>
          <w:i/>
          <w:iCs/>
          <w:sz w:val="21"/>
          <w:szCs w:val="21"/>
        </w:rPr>
        <w:t xml:space="preserve"> </w:t>
      </w:r>
      <w:r w:rsidRPr="00004798">
        <w:rPr>
          <w:rFonts w:ascii="Abadi" w:hAnsi="Abadi" w:cs="Arial-ItalicMT"/>
          <w:i/>
          <w:iCs/>
          <w:sz w:val="21"/>
          <w:szCs w:val="21"/>
        </w:rPr>
        <w:t>educación que se imparta en la entidad debe luchar contra toda discriminación,</w:t>
      </w:r>
      <w:r>
        <w:rPr>
          <w:rFonts w:ascii="Abadi" w:hAnsi="Abadi" w:cs="Arial-ItalicMT"/>
          <w:i/>
          <w:iCs/>
          <w:sz w:val="21"/>
          <w:szCs w:val="21"/>
        </w:rPr>
        <w:t xml:space="preserve"> </w:t>
      </w:r>
      <w:r w:rsidRPr="00004798">
        <w:rPr>
          <w:rFonts w:ascii="Abadi" w:hAnsi="Abadi" w:cs="Arial-ItalicMT"/>
          <w:i/>
          <w:iCs/>
          <w:sz w:val="21"/>
          <w:szCs w:val="21"/>
        </w:rPr>
        <w:t>mandato que se vulnera cuando las mismas instituciones encargadas de impartir</w:t>
      </w:r>
      <w:r>
        <w:rPr>
          <w:rFonts w:ascii="Abadi" w:hAnsi="Abadi" w:cs="Arial-ItalicMT"/>
          <w:i/>
          <w:iCs/>
          <w:sz w:val="21"/>
          <w:szCs w:val="21"/>
        </w:rPr>
        <w:t xml:space="preserve"> </w:t>
      </w:r>
      <w:r w:rsidRPr="00004798">
        <w:rPr>
          <w:rFonts w:ascii="Abadi" w:hAnsi="Abadi" w:cs="Arial-ItalicMT"/>
          <w:i/>
          <w:iCs/>
          <w:sz w:val="21"/>
          <w:szCs w:val="21"/>
        </w:rPr>
        <w:t>educación mantienen prácticas discriminatorias.</w:t>
      </w:r>
    </w:p>
    <w:p w14:paraId="0272A158" w14:textId="77777777" w:rsidR="00EC4502" w:rsidRPr="00004798" w:rsidRDefault="00EC4502" w:rsidP="00EC4502">
      <w:pPr>
        <w:autoSpaceDE w:val="0"/>
        <w:autoSpaceDN w:val="0"/>
        <w:adjustRightInd w:val="0"/>
        <w:ind w:left="709"/>
        <w:jc w:val="both"/>
        <w:rPr>
          <w:rFonts w:ascii="Abadi" w:hAnsi="Abadi" w:cs="Arial-ItalicMT"/>
          <w:i/>
          <w:iCs/>
          <w:sz w:val="21"/>
          <w:szCs w:val="21"/>
        </w:rPr>
      </w:pPr>
    </w:p>
    <w:p w14:paraId="02A44F11" w14:textId="77777777" w:rsidR="00EC4502" w:rsidRDefault="00EC4502" w:rsidP="00EC4502">
      <w:pPr>
        <w:autoSpaceDE w:val="0"/>
        <w:autoSpaceDN w:val="0"/>
        <w:adjustRightInd w:val="0"/>
        <w:ind w:left="709"/>
        <w:jc w:val="both"/>
        <w:rPr>
          <w:rFonts w:ascii="Abadi" w:hAnsi="Abadi" w:cs="Arial-ItalicMT"/>
          <w:i/>
          <w:iCs/>
          <w:sz w:val="21"/>
          <w:szCs w:val="21"/>
        </w:rPr>
      </w:pPr>
      <w:r w:rsidRPr="00004798">
        <w:rPr>
          <w:rFonts w:ascii="Abadi" w:hAnsi="Abadi" w:cs="Arial-ItalicMT"/>
          <w:i/>
          <w:iCs/>
          <w:sz w:val="21"/>
          <w:szCs w:val="21"/>
        </w:rPr>
        <w:t>De esta manera, es reprobable que se obligue a las niñas y adolescentes a utilizar</w:t>
      </w:r>
      <w:r>
        <w:rPr>
          <w:rFonts w:ascii="Abadi" w:hAnsi="Abadi" w:cs="Arial-ItalicMT"/>
          <w:i/>
          <w:iCs/>
          <w:sz w:val="21"/>
          <w:szCs w:val="21"/>
        </w:rPr>
        <w:t xml:space="preserve"> </w:t>
      </w:r>
      <w:r w:rsidRPr="00004798">
        <w:rPr>
          <w:rFonts w:ascii="Abadi" w:hAnsi="Abadi" w:cs="Arial-ItalicMT"/>
          <w:i/>
          <w:iCs/>
          <w:sz w:val="21"/>
          <w:szCs w:val="21"/>
        </w:rPr>
        <w:t>una falta, vestido o jumper; es necesario que desde las instituciones se vayan</w:t>
      </w:r>
      <w:r>
        <w:rPr>
          <w:rFonts w:ascii="Abadi" w:hAnsi="Abadi" w:cs="Arial-ItalicMT"/>
          <w:i/>
          <w:iCs/>
          <w:sz w:val="21"/>
          <w:szCs w:val="21"/>
        </w:rPr>
        <w:t xml:space="preserve"> </w:t>
      </w:r>
      <w:r w:rsidRPr="00004798">
        <w:rPr>
          <w:rFonts w:ascii="Abadi" w:hAnsi="Abadi" w:cs="Arial-ItalicMT"/>
          <w:i/>
          <w:iCs/>
          <w:sz w:val="21"/>
          <w:szCs w:val="21"/>
        </w:rPr>
        <w:t>derrumbando los estereotipos de género que históricamente han privado a las</w:t>
      </w:r>
      <w:r>
        <w:rPr>
          <w:rFonts w:ascii="Abadi" w:hAnsi="Abadi" w:cs="Arial-ItalicMT"/>
          <w:i/>
          <w:iCs/>
          <w:sz w:val="21"/>
          <w:szCs w:val="21"/>
        </w:rPr>
        <w:t xml:space="preserve"> </w:t>
      </w:r>
      <w:r w:rsidRPr="00004798">
        <w:rPr>
          <w:rFonts w:ascii="Abadi" w:hAnsi="Abadi" w:cs="Arial-ItalicMT"/>
          <w:i/>
          <w:iCs/>
          <w:sz w:val="21"/>
          <w:szCs w:val="21"/>
        </w:rPr>
        <w:t>mujeres de todas edades de realizar algunas actividades.</w:t>
      </w:r>
    </w:p>
    <w:p w14:paraId="7479E517" w14:textId="77777777" w:rsidR="00EC4502" w:rsidRPr="00004798" w:rsidRDefault="00EC4502" w:rsidP="00EC4502">
      <w:pPr>
        <w:autoSpaceDE w:val="0"/>
        <w:autoSpaceDN w:val="0"/>
        <w:adjustRightInd w:val="0"/>
        <w:ind w:left="709"/>
        <w:jc w:val="both"/>
        <w:rPr>
          <w:rFonts w:ascii="Abadi" w:hAnsi="Abadi" w:cs="Arial-ItalicMT"/>
          <w:i/>
          <w:iCs/>
          <w:sz w:val="21"/>
          <w:szCs w:val="21"/>
        </w:rPr>
      </w:pPr>
    </w:p>
    <w:p w14:paraId="035690C0" w14:textId="77777777" w:rsidR="00EC4502" w:rsidRDefault="00EC4502" w:rsidP="00EC4502">
      <w:pPr>
        <w:autoSpaceDE w:val="0"/>
        <w:autoSpaceDN w:val="0"/>
        <w:adjustRightInd w:val="0"/>
        <w:ind w:left="709"/>
        <w:jc w:val="both"/>
        <w:rPr>
          <w:rFonts w:ascii="Abadi" w:hAnsi="Abadi" w:cs="Arial-ItalicMT"/>
          <w:i/>
          <w:iCs/>
          <w:sz w:val="21"/>
          <w:szCs w:val="21"/>
        </w:rPr>
      </w:pPr>
      <w:r w:rsidRPr="00004798">
        <w:rPr>
          <w:rFonts w:ascii="Abadi" w:hAnsi="Abadi" w:cs="Arial-ItalicMT"/>
          <w:i/>
          <w:iCs/>
          <w:sz w:val="21"/>
          <w:szCs w:val="21"/>
        </w:rPr>
        <w:t>Entre las actividades de las que se ha excluido a las mujeres en el ámbito escolar a</w:t>
      </w:r>
      <w:r>
        <w:rPr>
          <w:rFonts w:ascii="Abadi" w:hAnsi="Abadi" w:cs="Arial-ItalicMT"/>
          <w:i/>
          <w:iCs/>
          <w:sz w:val="21"/>
          <w:szCs w:val="21"/>
        </w:rPr>
        <w:t xml:space="preserve"> </w:t>
      </w:r>
      <w:r w:rsidRPr="00004798">
        <w:rPr>
          <w:rFonts w:ascii="Abadi" w:hAnsi="Abadi" w:cs="Arial-ItalicMT"/>
          <w:i/>
          <w:iCs/>
          <w:sz w:val="21"/>
          <w:szCs w:val="21"/>
        </w:rPr>
        <w:t>causa del uso obligado de falda, podemos encontrar la práctica de diversos deportes.</w:t>
      </w:r>
      <w:r>
        <w:rPr>
          <w:rFonts w:ascii="Abadi" w:hAnsi="Abadi" w:cs="Arial-ItalicMT"/>
          <w:i/>
          <w:iCs/>
          <w:sz w:val="21"/>
          <w:szCs w:val="21"/>
        </w:rPr>
        <w:t xml:space="preserve"> </w:t>
      </w:r>
    </w:p>
    <w:p w14:paraId="2AFBC93A" w14:textId="77777777" w:rsidR="00EC4502" w:rsidRPr="00004798" w:rsidRDefault="00EC4502" w:rsidP="00EC4502">
      <w:pPr>
        <w:autoSpaceDE w:val="0"/>
        <w:autoSpaceDN w:val="0"/>
        <w:adjustRightInd w:val="0"/>
        <w:ind w:left="709"/>
        <w:jc w:val="both"/>
        <w:rPr>
          <w:rFonts w:ascii="Abadi" w:hAnsi="Abadi" w:cs="Arial-ItalicMT"/>
          <w:i/>
          <w:iCs/>
          <w:sz w:val="21"/>
          <w:szCs w:val="21"/>
        </w:rPr>
      </w:pPr>
    </w:p>
    <w:p w14:paraId="186387BF" w14:textId="77777777" w:rsidR="00EC4502" w:rsidRDefault="00EC4502" w:rsidP="00EC4502">
      <w:pPr>
        <w:autoSpaceDE w:val="0"/>
        <w:autoSpaceDN w:val="0"/>
        <w:adjustRightInd w:val="0"/>
        <w:ind w:left="709"/>
        <w:jc w:val="both"/>
        <w:rPr>
          <w:rFonts w:ascii="Abadi" w:hAnsi="Abadi" w:cs="Arial-ItalicMT"/>
          <w:i/>
          <w:iCs/>
          <w:color w:val="000000"/>
          <w:sz w:val="21"/>
          <w:szCs w:val="21"/>
        </w:rPr>
      </w:pPr>
      <w:r w:rsidRPr="00004798">
        <w:rPr>
          <w:rFonts w:ascii="Abadi" w:hAnsi="Abadi" w:cs="Arial-ItalicMT"/>
          <w:i/>
          <w:iCs/>
          <w:color w:val="000000"/>
          <w:sz w:val="21"/>
          <w:szCs w:val="21"/>
        </w:rPr>
        <w:t>Evidentemente, la práctica de deportes como futbol, voleibol o basquetbol conlleva</w:t>
      </w:r>
      <w:r>
        <w:rPr>
          <w:rFonts w:ascii="Abadi" w:hAnsi="Abadi" w:cs="Arial-ItalicMT"/>
          <w:i/>
          <w:iCs/>
          <w:color w:val="000000"/>
          <w:sz w:val="21"/>
          <w:szCs w:val="21"/>
        </w:rPr>
        <w:t xml:space="preserve"> </w:t>
      </w:r>
      <w:r w:rsidRPr="00004798">
        <w:rPr>
          <w:rFonts w:ascii="Abadi" w:hAnsi="Abadi" w:cs="Arial-ItalicMT"/>
          <w:i/>
          <w:iCs/>
          <w:color w:val="000000"/>
          <w:sz w:val="21"/>
          <w:szCs w:val="21"/>
        </w:rPr>
        <w:t>mayor dificultad con una falda que con un pantalón. Es muy común que durante los</w:t>
      </w:r>
      <w:r>
        <w:rPr>
          <w:rFonts w:ascii="Abadi" w:hAnsi="Abadi" w:cs="Arial-ItalicMT"/>
          <w:i/>
          <w:iCs/>
          <w:color w:val="000000"/>
          <w:sz w:val="21"/>
          <w:szCs w:val="21"/>
        </w:rPr>
        <w:t xml:space="preserve"> </w:t>
      </w:r>
      <w:r w:rsidRPr="00004798">
        <w:rPr>
          <w:rFonts w:ascii="Abadi" w:hAnsi="Abadi" w:cs="Arial-ItalicMT"/>
          <w:i/>
          <w:iCs/>
          <w:color w:val="000000"/>
          <w:sz w:val="21"/>
          <w:szCs w:val="21"/>
        </w:rPr>
        <w:t>recesos de las y los estudiantes, sean siempre niños o adolescentes varones quienes</w:t>
      </w:r>
      <w:r>
        <w:rPr>
          <w:rFonts w:ascii="Abadi" w:hAnsi="Abadi" w:cs="Arial-ItalicMT"/>
          <w:i/>
          <w:iCs/>
          <w:color w:val="000000"/>
          <w:sz w:val="21"/>
          <w:szCs w:val="21"/>
        </w:rPr>
        <w:t xml:space="preserve"> </w:t>
      </w:r>
      <w:r w:rsidRPr="00004798">
        <w:rPr>
          <w:rFonts w:ascii="Abadi" w:hAnsi="Abadi" w:cs="Arial-ItalicMT"/>
          <w:i/>
          <w:iCs/>
          <w:color w:val="000000"/>
          <w:sz w:val="21"/>
          <w:szCs w:val="21"/>
        </w:rPr>
        <w:t>se encuentran jugando deportes mientras que a las niñas y adolescentes mujeres se</w:t>
      </w:r>
      <w:r>
        <w:rPr>
          <w:rFonts w:ascii="Abadi" w:hAnsi="Abadi" w:cs="Arial-ItalicMT"/>
          <w:i/>
          <w:iCs/>
          <w:color w:val="000000"/>
          <w:sz w:val="21"/>
          <w:szCs w:val="21"/>
        </w:rPr>
        <w:t xml:space="preserve"> </w:t>
      </w:r>
      <w:r w:rsidRPr="00004798">
        <w:rPr>
          <w:rFonts w:ascii="Abadi" w:hAnsi="Abadi" w:cs="Arial-ItalicMT"/>
          <w:i/>
          <w:iCs/>
          <w:color w:val="000000"/>
          <w:sz w:val="21"/>
          <w:szCs w:val="21"/>
        </w:rPr>
        <w:t>les ve normalmente sentadas con las piernas cruzadas, pues, con excepción del día</w:t>
      </w:r>
      <w:r>
        <w:rPr>
          <w:rFonts w:ascii="Abadi" w:hAnsi="Abadi" w:cs="Arial-ItalicMT"/>
          <w:i/>
          <w:iCs/>
          <w:color w:val="000000"/>
          <w:sz w:val="21"/>
          <w:szCs w:val="21"/>
        </w:rPr>
        <w:t xml:space="preserve"> </w:t>
      </w:r>
      <w:r w:rsidRPr="00004798">
        <w:rPr>
          <w:rFonts w:ascii="Abadi" w:hAnsi="Abadi" w:cs="Arial-ItalicMT"/>
          <w:i/>
          <w:iCs/>
          <w:color w:val="000000"/>
          <w:sz w:val="21"/>
          <w:szCs w:val="21"/>
        </w:rPr>
        <w:t>que se pide llevar el uniforme de deporte, lo más común es que las niñas y</w:t>
      </w:r>
      <w:r>
        <w:rPr>
          <w:rFonts w:ascii="Abadi" w:hAnsi="Abadi" w:cs="Arial-ItalicMT"/>
          <w:i/>
          <w:iCs/>
          <w:color w:val="000000"/>
          <w:sz w:val="21"/>
          <w:szCs w:val="21"/>
        </w:rPr>
        <w:t xml:space="preserve"> </w:t>
      </w:r>
      <w:r w:rsidRPr="00004798">
        <w:rPr>
          <w:rFonts w:ascii="Abadi" w:hAnsi="Abadi" w:cs="Arial-ItalicMT"/>
          <w:i/>
          <w:iCs/>
          <w:color w:val="000000"/>
          <w:sz w:val="21"/>
          <w:szCs w:val="21"/>
        </w:rPr>
        <w:t>adolescentes mujeres deban llevar falda durante toda la semana.</w:t>
      </w:r>
    </w:p>
    <w:p w14:paraId="3D5B5D6A" w14:textId="77777777" w:rsidR="00EC4502" w:rsidRPr="00004798" w:rsidRDefault="00EC4502" w:rsidP="00EC4502">
      <w:pPr>
        <w:autoSpaceDE w:val="0"/>
        <w:autoSpaceDN w:val="0"/>
        <w:adjustRightInd w:val="0"/>
        <w:ind w:left="709"/>
        <w:jc w:val="both"/>
        <w:rPr>
          <w:rFonts w:ascii="Abadi" w:hAnsi="Abadi" w:cs="Arial-ItalicMT"/>
          <w:i/>
          <w:iCs/>
          <w:color w:val="000000"/>
          <w:sz w:val="21"/>
          <w:szCs w:val="21"/>
        </w:rPr>
      </w:pPr>
    </w:p>
    <w:p w14:paraId="751B79BB" w14:textId="77777777" w:rsidR="00EC4502" w:rsidRDefault="00EC4502" w:rsidP="00EC4502">
      <w:pPr>
        <w:autoSpaceDE w:val="0"/>
        <w:autoSpaceDN w:val="0"/>
        <w:adjustRightInd w:val="0"/>
        <w:ind w:left="709"/>
        <w:jc w:val="both"/>
        <w:rPr>
          <w:rFonts w:ascii="Abadi" w:hAnsi="Abadi" w:cs="Arial-ItalicMT"/>
          <w:i/>
          <w:iCs/>
          <w:color w:val="000000"/>
          <w:sz w:val="21"/>
          <w:szCs w:val="21"/>
        </w:rPr>
      </w:pPr>
      <w:r w:rsidRPr="00004798">
        <w:rPr>
          <w:rFonts w:ascii="Abadi" w:hAnsi="Abadi" w:cs="Arial-ItalicMT"/>
          <w:i/>
          <w:iCs/>
          <w:color w:val="000000"/>
          <w:sz w:val="21"/>
          <w:szCs w:val="21"/>
        </w:rPr>
        <w:t>Las mujeres, las niñas y las adolescentes, sabemos lo incómodo que puede resultar</w:t>
      </w:r>
      <w:r>
        <w:rPr>
          <w:rFonts w:ascii="Abadi" w:hAnsi="Abadi" w:cs="Arial-ItalicMT"/>
          <w:i/>
          <w:iCs/>
          <w:color w:val="000000"/>
          <w:sz w:val="21"/>
          <w:szCs w:val="21"/>
        </w:rPr>
        <w:t xml:space="preserve"> </w:t>
      </w:r>
      <w:r w:rsidRPr="00004798">
        <w:rPr>
          <w:rFonts w:ascii="Abadi" w:hAnsi="Abadi" w:cs="Arial-ItalicMT"/>
          <w:i/>
          <w:iCs/>
          <w:color w:val="000000"/>
          <w:sz w:val="21"/>
          <w:szCs w:val="21"/>
        </w:rPr>
        <w:t>el simple hecho de bajar por las escaleras o caminar cerca de los barandales usando</w:t>
      </w:r>
      <w:r>
        <w:rPr>
          <w:rFonts w:ascii="Abadi" w:hAnsi="Abadi" w:cs="Arial-ItalicMT"/>
          <w:i/>
          <w:iCs/>
          <w:color w:val="000000"/>
          <w:sz w:val="21"/>
          <w:szCs w:val="21"/>
        </w:rPr>
        <w:t xml:space="preserve"> </w:t>
      </w:r>
      <w:r w:rsidRPr="00004798">
        <w:rPr>
          <w:rFonts w:ascii="Abadi" w:hAnsi="Abadi" w:cs="Arial-ItalicMT"/>
          <w:i/>
          <w:iCs/>
          <w:color w:val="000000"/>
          <w:sz w:val="21"/>
          <w:szCs w:val="21"/>
        </w:rPr>
        <w:t>una falda, pues siempre existe la posibilidad de ser víctimas de acoso. Los espacios</w:t>
      </w:r>
      <w:r>
        <w:rPr>
          <w:rFonts w:ascii="Abadi" w:hAnsi="Abadi" w:cs="Arial-ItalicMT"/>
          <w:i/>
          <w:iCs/>
          <w:color w:val="000000"/>
          <w:sz w:val="21"/>
          <w:szCs w:val="21"/>
        </w:rPr>
        <w:t xml:space="preserve"> </w:t>
      </w:r>
      <w:r w:rsidRPr="00004798">
        <w:rPr>
          <w:rFonts w:ascii="Abadi" w:hAnsi="Abadi" w:cs="Arial-ItalicMT"/>
          <w:i/>
          <w:iCs/>
          <w:color w:val="000000"/>
          <w:sz w:val="21"/>
          <w:szCs w:val="21"/>
        </w:rPr>
        <w:t>escolares no están exentos de esto, pues la inmensa mayoría de las niñas y</w:t>
      </w:r>
      <w:r>
        <w:rPr>
          <w:rFonts w:ascii="Abadi" w:hAnsi="Abadi" w:cs="Arial-ItalicMT"/>
          <w:i/>
          <w:iCs/>
          <w:color w:val="000000"/>
          <w:sz w:val="21"/>
          <w:szCs w:val="21"/>
        </w:rPr>
        <w:t xml:space="preserve"> </w:t>
      </w:r>
      <w:r w:rsidRPr="00004798">
        <w:rPr>
          <w:rFonts w:ascii="Abadi" w:hAnsi="Abadi" w:cs="Arial-ItalicMT"/>
          <w:i/>
          <w:iCs/>
          <w:color w:val="000000"/>
          <w:sz w:val="21"/>
          <w:szCs w:val="21"/>
        </w:rPr>
        <w:t>adolescentes mujeres han sido víctimas de, al menos, un tipo de acoso por parte de</w:t>
      </w:r>
      <w:r>
        <w:rPr>
          <w:rFonts w:ascii="Abadi" w:hAnsi="Abadi" w:cs="Arial-ItalicMT"/>
          <w:i/>
          <w:iCs/>
          <w:color w:val="000000"/>
          <w:sz w:val="21"/>
          <w:szCs w:val="21"/>
        </w:rPr>
        <w:t xml:space="preserve"> </w:t>
      </w:r>
      <w:r w:rsidRPr="00004798">
        <w:rPr>
          <w:rFonts w:ascii="Abadi" w:hAnsi="Abadi" w:cs="Arial-ItalicMT"/>
          <w:i/>
          <w:iCs/>
          <w:color w:val="000000"/>
          <w:sz w:val="21"/>
          <w:szCs w:val="21"/>
        </w:rPr>
        <w:t>algunos de sus compañeros de clase o hasta por parte de algunos profesores.</w:t>
      </w:r>
    </w:p>
    <w:p w14:paraId="3A19ED0D" w14:textId="77777777" w:rsidR="00EC4502" w:rsidRPr="00004798" w:rsidRDefault="00EC4502" w:rsidP="00EC4502">
      <w:pPr>
        <w:autoSpaceDE w:val="0"/>
        <w:autoSpaceDN w:val="0"/>
        <w:adjustRightInd w:val="0"/>
        <w:ind w:left="709"/>
        <w:jc w:val="both"/>
        <w:rPr>
          <w:rFonts w:ascii="Abadi" w:hAnsi="Abadi" w:cs="Arial-ItalicMT"/>
          <w:i/>
          <w:iCs/>
          <w:color w:val="000000"/>
          <w:sz w:val="21"/>
          <w:szCs w:val="21"/>
        </w:rPr>
      </w:pPr>
    </w:p>
    <w:p w14:paraId="0FA7D7C7" w14:textId="77777777" w:rsidR="00EC4502" w:rsidRDefault="00EC4502" w:rsidP="00EC4502">
      <w:pPr>
        <w:autoSpaceDE w:val="0"/>
        <w:autoSpaceDN w:val="0"/>
        <w:adjustRightInd w:val="0"/>
        <w:ind w:left="709"/>
        <w:jc w:val="both"/>
        <w:rPr>
          <w:rFonts w:ascii="Abadi" w:hAnsi="Abadi" w:cs="Arial-ItalicMT"/>
          <w:i/>
          <w:iCs/>
          <w:color w:val="000000"/>
          <w:sz w:val="21"/>
          <w:szCs w:val="21"/>
        </w:rPr>
      </w:pPr>
      <w:r w:rsidRPr="00004798">
        <w:rPr>
          <w:rFonts w:ascii="Abadi" w:hAnsi="Abadi" w:cs="Arial-ItalicMT"/>
          <w:i/>
          <w:iCs/>
          <w:color w:val="000000"/>
          <w:sz w:val="21"/>
          <w:szCs w:val="21"/>
        </w:rPr>
        <w:t>Es importante que se procure un andar seguro para las niñas y adolescentes, para lo</w:t>
      </w:r>
      <w:r>
        <w:rPr>
          <w:rFonts w:ascii="Abadi" w:hAnsi="Abadi" w:cs="Arial-ItalicMT"/>
          <w:i/>
          <w:iCs/>
          <w:color w:val="000000"/>
          <w:sz w:val="21"/>
          <w:szCs w:val="21"/>
        </w:rPr>
        <w:t xml:space="preserve"> </w:t>
      </w:r>
      <w:r w:rsidRPr="00004798">
        <w:rPr>
          <w:rFonts w:ascii="Abadi" w:hAnsi="Abadi" w:cs="Arial-ItalicMT"/>
          <w:i/>
          <w:iCs/>
          <w:color w:val="000000"/>
          <w:sz w:val="21"/>
          <w:szCs w:val="21"/>
        </w:rPr>
        <w:t>que consideramos necesario puedan elegir con cuál uniforme se sienten más</w:t>
      </w:r>
      <w:r>
        <w:rPr>
          <w:rFonts w:ascii="Abadi" w:hAnsi="Abadi" w:cs="Arial-ItalicMT"/>
          <w:i/>
          <w:iCs/>
          <w:color w:val="000000"/>
          <w:sz w:val="21"/>
          <w:szCs w:val="21"/>
        </w:rPr>
        <w:t xml:space="preserve"> </w:t>
      </w:r>
      <w:r w:rsidRPr="00004798">
        <w:rPr>
          <w:rFonts w:ascii="Abadi" w:hAnsi="Abadi" w:cs="Arial-ItalicMT"/>
          <w:i/>
          <w:iCs/>
          <w:color w:val="000000"/>
          <w:sz w:val="21"/>
          <w:szCs w:val="21"/>
        </w:rPr>
        <w:t>seguras; esa posibilidad es una deuda que tenemos con las niñas y adolescentes de</w:t>
      </w:r>
      <w:r>
        <w:rPr>
          <w:rFonts w:ascii="Abadi" w:hAnsi="Abadi" w:cs="Arial-ItalicMT"/>
          <w:i/>
          <w:iCs/>
          <w:color w:val="000000"/>
          <w:sz w:val="21"/>
          <w:szCs w:val="21"/>
        </w:rPr>
        <w:t xml:space="preserve"> </w:t>
      </w:r>
      <w:r w:rsidRPr="00004798">
        <w:rPr>
          <w:rFonts w:ascii="Abadi" w:hAnsi="Abadi" w:cs="Arial-ItalicMT"/>
          <w:i/>
          <w:iCs/>
          <w:color w:val="000000"/>
          <w:sz w:val="21"/>
          <w:szCs w:val="21"/>
        </w:rPr>
        <w:t>las instituciones educativas de Guanajuato.</w:t>
      </w:r>
    </w:p>
    <w:p w14:paraId="350DAEC8" w14:textId="77777777" w:rsidR="00EC4502" w:rsidRPr="00004798" w:rsidRDefault="00EC4502" w:rsidP="00EC4502">
      <w:pPr>
        <w:autoSpaceDE w:val="0"/>
        <w:autoSpaceDN w:val="0"/>
        <w:adjustRightInd w:val="0"/>
        <w:ind w:left="709"/>
        <w:jc w:val="both"/>
        <w:rPr>
          <w:rFonts w:ascii="Abadi" w:hAnsi="Abadi" w:cs="Arial-ItalicMT"/>
          <w:i/>
          <w:iCs/>
          <w:color w:val="000000"/>
          <w:sz w:val="21"/>
          <w:szCs w:val="21"/>
        </w:rPr>
      </w:pPr>
    </w:p>
    <w:p w14:paraId="68F6FF0D" w14:textId="77777777" w:rsidR="00EC4502" w:rsidRDefault="00EC4502" w:rsidP="00EC4502">
      <w:pPr>
        <w:autoSpaceDE w:val="0"/>
        <w:autoSpaceDN w:val="0"/>
        <w:adjustRightInd w:val="0"/>
        <w:ind w:left="709"/>
        <w:jc w:val="both"/>
        <w:rPr>
          <w:rFonts w:ascii="Abadi" w:hAnsi="Abadi" w:cs="Arial-ItalicMT"/>
          <w:i/>
          <w:iCs/>
          <w:color w:val="000000"/>
          <w:sz w:val="21"/>
          <w:szCs w:val="21"/>
        </w:rPr>
      </w:pPr>
      <w:r w:rsidRPr="00004798">
        <w:rPr>
          <w:rFonts w:ascii="Abadi" w:hAnsi="Abadi" w:cs="Arial-ItalicMT"/>
          <w:i/>
          <w:iCs/>
          <w:color w:val="000000"/>
          <w:sz w:val="21"/>
          <w:szCs w:val="21"/>
        </w:rPr>
        <w:t>No debe ser obligación de las niñas usar falda para ir a escuela y mucho menos se</w:t>
      </w:r>
      <w:r>
        <w:rPr>
          <w:rFonts w:ascii="Abadi" w:hAnsi="Abadi" w:cs="Arial-ItalicMT"/>
          <w:i/>
          <w:iCs/>
          <w:color w:val="000000"/>
          <w:sz w:val="21"/>
          <w:szCs w:val="21"/>
        </w:rPr>
        <w:t xml:space="preserve"> </w:t>
      </w:r>
      <w:r w:rsidRPr="00004798">
        <w:rPr>
          <w:rFonts w:ascii="Abadi" w:hAnsi="Abadi" w:cs="Arial-ItalicMT"/>
          <w:i/>
          <w:iCs/>
          <w:color w:val="000000"/>
          <w:sz w:val="21"/>
          <w:szCs w:val="21"/>
        </w:rPr>
        <w:t>les debe prohibir la entrada a las instituciones educativas por el simple hecho de llevar</w:t>
      </w:r>
      <w:r>
        <w:rPr>
          <w:rFonts w:ascii="Abadi" w:hAnsi="Abadi" w:cs="Arial-ItalicMT"/>
          <w:i/>
          <w:iCs/>
          <w:color w:val="000000"/>
          <w:sz w:val="21"/>
          <w:szCs w:val="21"/>
        </w:rPr>
        <w:t xml:space="preserve"> </w:t>
      </w:r>
      <w:r w:rsidRPr="00004798">
        <w:rPr>
          <w:rFonts w:ascii="Abadi" w:hAnsi="Abadi" w:cs="Arial-ItalicMT"/>
          <w:i/>
          <w:iCs/>
          <w:color w:val="000000"/>
          <w:sz w:val="21"/>
          <w:szCs w:val="21"/>
        </w:rPr>
        <w:t>un pantalón o uniforme deportivo en lugar de una falda. Es inaceptable que las niñas</w:t>
      </w:r>
      <w:r>
        <w:rPr>
          <w:rFonts w:ascii="Abadi" w:hAnsi="Abadi" w:cs="Arial-ItalicMT"/>
          <w:i/>
          <w:iCs/>
          <w:color w:val="000000"/>
          <w:sz w:val="21"/>
          <w:szCs w:val="21"/>
        </w:rPr>
        <w:t xml:space="preserve"> </w:t>
      </w:r>
      <w:r w:rsidRPr="00004798">
        <w:rPr>
          <w:rFonts w:ascii="Abadi" w:hAnsi="Abadi" w:cs="Arial-ItalicMT"/>
          <w:i/>
          <w:iCs/>
          <w:color w:val="000000"/>
          <w:sz w:val="21"/>
          <w:szCs w:val="21"/>
        </w:rPr>
        <w:t>y adolescentes sigan siendo condicionadas por tal banalidad para acceder al derecho</w:t>
      </w:r>
      <w:r>
        <w:rPr>
          <w:rFonts w:ascii="Abadi" w:hAnsi="Abadi" w:cs="Arial-ItalicMT"/>
          <w:i/>
          <w:iCs/>
          <w:color w:val="000000"/>
          <w:sz w:val="21"/>
          <w:szCs w:val="21"/>
        </w:rPr>
        <w:t xml:space="preserve"> </w:t>
      </w:r>
      <w:r w:rsidRPr="00004798">
        <w:rPr>
          <w:rFonts w:ascii="Abadi" w:hAnsi="Abadi" w:cs="Arial-ItalicMT"/>
          <w:i/>
          <w:iCs/>
          <w:color w:val="000000"/>
          <w:sz w:val="21"/>
          <w:szCs w:val="21"/>
        </w:rPr>
        <w:t>a la educación.</w:t>
      </w:r>
    </w:p>
    <w:p w14:paraId="66A3921A" w14:textId="77777777" w:rsidR="00EC4502" w:rsidRPr="00004798" w:rsidRDefault="00EC4502" w:rsidP="00EC4502">
      <w:pPr>
        <w:autoSpaceDE w:val="0"/>
        <w:autoSpaceDN w:val="0"/>
        <w:adjustRightInd w:val="0"/>
        <w:ind w:left="709"/>
        <w:jc w:val="both"/>
        <w:rPr>
          <w:rFonts w:ascii="Abadi" w:hAnsi="Abadi" w:cs="Arial-ItalicMT"/>
          <w:i/>
          <w:iCs/>
          <w:color w:val="000000"/>
          <w:sz w:val="21"/>
          <w:szCs w:val="21"/>
        </w:rPr>
      </w:pPr>
    </w:p>
    <w:p w14:paraId="2C28DD5E" w14:textId="77777777" w:rsidR="00EC4502" w:rsidRDefault="00EC4502" w:rsidP="00EC4502">
      <w:pPr>
        <w:autoSpaceDE w:val="0"/>
        <w:autoSpaceDN w:val="0"/>
        <w:adjustRightInd w:val="0"/>
        <w:ind w:left="709"/>
        <w:jc w:val="both"/>
        <w:rPr>
          <w:rFonts w:ascii="Abadi" w:hAnsi="Abadi" w:cs="Arial-ItalicMT"/>
          <w:i/>
          <w:iCs/>
          <w:color w:val="000000"/>
          <w:sz w:val="21"/>
          <w:szCs w:val="21"/>
        </w:rPr>
      </w:pPr>
      <w:r w:rsidRPr="00004798">
        <w:rPr>
          <w:rFonts w:ascii="Abadi" w:hAnsi="Abadi" w:cs="Arial-ItalicMT"/>
          <w:i/>
          <w:iCs/>
          <w:color w:val="000000"/>
          <w:sz w:val="21"/>
          <w:szCs w:val="21"/>
        </w:rPr>
        <w:t>Es responsabilidad de las autoridades de las instituciones educativas velar por los</w:t>
      </w:r>
      <w:r>
        <w:rPr>
          <w:rFonts w:ascii="Abadi" w:hAnsi="Abadi" w:cs="Arial-ItalicMT"/>
          <w:i/>
          <w:iCs/>
          <w:color w:val="000000"/>
          <w:sz w:val="21"/>
          <w:szCs w:val="21"/>
        </w:rPr>
        <w:t xml:space="preserve"> </w:t>
      </w:r>
      <w:r w:rsidRPr="00004798">
        <w:rPr>
          <w:rFonts w:ascii="Abadi" w:hAnsi="Abadi" w:cs="Arial-ItalicMT"/>
          <w:i/>
          <w:iCs/>
          <w:color w:val="000000"/>
          <w:sz w:val="21"/>
          <w:szCs w:val="21"/>
        </w:rPr>
        <w:t>derechos de todas y todos los alumnos, eso incluye que se les dé el mismo acceso a</w:t>
      </w:r>
      <w:r>
        <w:rPr>
          <w:rFonts w:ascii="Abadi" w:hAnsi="Abadi" w:cs="Arial-ItalicMT"/>
          <w:i/>
          <w:iCs/>
          <w:color w:val="000000"/>
          <w:sz w:val="21"/>
          <w:szCs w:val="21"/>
        </w:rPr>
        <w:t xml:space="preserve"> </w:t>
      </w:r>
      <w:r w:rsidRPr="00004798">
        <w:rPr>
          <w:rFonts w:ascii="Abadi" w:hAnsi="Abadi" w:cs="Arial-ItalicMT"/>
          <w:i/>
          <w:iCs/>
          <w:color w:val="000000"/>
          <w:sz w:val="21"/>
          <w:szCs w:val="21"/>
        </w:rPr>
        <w:t>oportunidades a las niñas, niños y adolescentes.</w:t>
      </w:r>
    </w:p>
    <w:p w14:paraId="36C12488" w14:textId="77777777" w:rsidR="00EC4502" w:rsidRPr="00004798" w:rsidRDefault="00EC4502" w:rsidP="00EC4502">
      <w:pPr>
        <w:autoSpaceDE w:val="0"/>
        <w:autoSpaceDN w:val="0"/>
        <w:adjustRightInd w:val="0"/>
        <w:ind w:left="709"/>
        <w:jc w:val="both"/>
        <w:rPr>
          <w:rFonts w:ascii="Abadi" w:hAnsi="Abadi" w:cs="Arial-ItalicMT"/>
          <w:i/>
          <w:iCs/>
          <w:color w:val="000000"/>
          <w:sz w:val="21"/>
          <w:szCs w:val="21"/>
        </w:rPr>
      </w:pPr>
    </w:p>
    <w:p w14:paraId="2AA356E4" w14:textId="77777777" w:rsidR="00EC4502" w:rsidRPr="00004798" w:rsidRDefault="00EC4502" w:rsidP="00EC4502">
      <w:pPr>
        <w:autoSpaceDE w:val="0"/>
        <w:autoSpaceDN w:val="0"/>
        <w:adjustRightInd w:val="0"/>
        <w:ind w:left="709"/>
        <w:jc w:val="both"/>
        <w:rPr>
          <w:rFonts w:ascii="Abadi" w:hAnsi="Abadi" w:cs="Arial-ItalicMT"/>
          <w:i/>
          <w:iCs/>
          <w:color w:val="000000"/>
          <w:sz w:val="21"/>
          <w:szCs w:val="21"/>
        </w:rPr>
      </w:pPr>
      <w:r w:rsidRPr="00004798">
        <w:rPr>
          <w:rFonts w:ascii="Abadi" w:hAnsi="Abadi" w:cs="Arial-ItalicMT"/>
          <w:i/>
          <w:iCs/>
          <w:color w:val="000000"/>
          <w:sz w:val="21"/>
          <w:szCs w:val="21"/>
        </w:rPr>
        <w:t>Así, resulta urgente que las niñas y niños de nuestra entidad tengan acceso a las</w:t>
      </w:r>
      <w:r>
        <w:rPr>
          <w:rFonts w:ascii="Abadi" w:hAnsi="Abadi" w:cs="Arial-ItalicMT"/>
          <w:i/>
          <w:iCs/>
          <w:color w:val="000000"/>
          <w:sz w:val="21"/>
          <w:szCs w:val="21"/>
        </w:rPr>
        <w:t xml:space="preserve"> </w:t>
      </w:r>
      <w:r w:rsidRPr="00004798">
        <w:rPr>
          <w:rFonts w:ascii="Abadi" w:hAnsi="Abadi" w:cs="Arial-ItalicMT"/>
          <w:i/>
          <w:iCs/>
          <w:color w:val="000000"/>
          <w:sz w:val="21"/>
          <w:szCs w:val="21"/>
        </w:rPr>
        <w:t>mismas oportunidades; que las infancias y adolescencias actúen con libertad y</w:t>
      </w:r>
      <w:r>
        <w:rPr>
          <w:rFonts w:ascii="Abadi" w:hAnsi="Abadi" w:cs="Arial-ItalicMT"/>
          <w:i/>
          <w:iCs/>
          <w:color w:val="000000"/>
          <w:sz w:val="21"/>
          <w:szCs w:val="21"/>
        </w:rPr>
        <w:t xml:space="preserve"> </w:t>
      </w:r>
      <w:r w:rsidRPr="00004798">
        <w:rPr>
          <w:rFonts w:ascii="Abadi" w:hAnsi="Abadi" w:cs="Arial-ItalicMT"/>
          <w:i/>
          <w:iCs/>
          <w:color w:val="000000"/>
          <w:sz w:val="21"/>
          <w:szCs w:val="21"/>
        </w:rPr>
        <w:t>puedan recibir educación en espacios cómodos y seguros, en los que se les respeten</w:t>
      </w:r>
      <w:r>
        <w:rPr>
          <w:rFonts w:ascii="Abadi" w:hAnsi="Abadi" w:cs="Arial-ItalicMT"/>
          <w:i/>
          <w:iCs/>
          <w:color w:val="000000"/>
          <w:sz w:val="21"/>
          <w:szCs w:val="21"/>
        </w:rPr>
        <w:t xml:space="preserve"> </w:t>
      </w:r>
      <w:r w:rsidRPr="00004798">
        <w:rPr>
          <w:rFonts w:ascii="Abadi" w:hAnsi="Abadi" w:cs="Arial-ItalicMT"/>
          <w:i/>
          <w:iCs/>
          <w:color w:val="000000"/>
          <w:sz w:val="21"/>
          <w:szCs w:val="21"/>
        </w:rPr>
        <w:t>todos sus derechos.</w:t>
      </w:r>
    </w:p>
    <w:p w14:paraId="5749285E" w14:textId="77777777" w:rsidR="00EC4502" w:rsidRPr="00004798" w:rsidRDefault="00EC4502" w:rsidP="00EC4502">
      <w:pPr>
        <w:autoSpaceDE w:val="0"/>
        <w:autoSpaceDN w:val="0"/>
        <w:adjustRightInd w:val="0"/>
        <w:ind w:left="709"/>
        <w:jc w:val="both"/>
        <w:rPr>
          <w:rFonts w:ascii="Abadi" w:hAnsi="Abadi" w:cs="Arial-ItalicMT"/>
          <w:i/>
          <w:iCs/>
          <w:color w:val="2A2A2A"/>
          <w:sz w:val="21"/>
          <w:szCs w:val="21"/>
        </w:rPr>
      </w:pPr>
      <w:r w:rsidRPr="00004798">
        <w:rPr>
          <w:rFonts w:ascii="Abadi" w:hAnsi="Abadi" w:cs="Arial-ItalicMT"/>
          <w:i/>
          <w:iCs/>
          <w:color w:val="2A2A2A"/>
          <w:sz w:val="21"/>
          <w:szCs w:val="21"/>
        </w:rPr>
        <w:t>…”</w:t>
      </w:r>
    </w:p>
    <w:p w14:paraId="2C9E7930" w14:textId="77777777" w:rsidR="00EC4502" w:rsidRDefault="00EC4502" w:rsidP="00EC4502">
      <w:pPr>
        <w:autoSpaceDE w:val="0"/>
        <w:autoSpaceDN w:val="0"/>
        <w:adjustRightInd w:val="0"/>
        <w:ind w:firstLine="708"/>
        <w:jc w:val="both"/>
        <w:rPr>
          <w:rFonts w:ascii="Abadi" w:hAnsi="Abadi" w:cs="ArialMT"/>
          <w:color w:val="000000"/>
          <w:sz w:val="21"/>
          <w:szCs w:val="21"/>
        </w:rPr>
      </w:pPr>
      <w:r w:rsidRPr="00004798">
        <w:rPr>
          <w:rFonts w:ascii="Abadi" w:hAnsi="Abadi" w:cs="ArialMT"/>
          <w:color w:val="000000"/>
          <w:sz w:val="21"/>
          <w:szCs w:val="21"/>
        </w:rPr>
        <w:t>Derivado de lo anterior los que integramos la comisión dictaminadora</w:t>
      </w:r>
      <w:r>
        <w:rPr>
          <w:rFonts w:ascii="Abadi" w:hAnsi="Abadi" w:cs="ArialMT"/>
          <w:color w:val="000000"/>
          <w:sz w:val="21"/>
          <w:szCs w:val="21"/>
        </w:rPr>
        <w:t xml:space="preserve"> </w:t>
      </w:r>
      <w:r w:rsidRPr="00004798">
        <w:rPr>
          <w:rFonts w:ascii="Abadi" w:hAnsi="Abadi" w:cs="ArialMT"/>
          <w:color w:val="000000"/>
          <w:sz w:val="21"/>
          <w:szCs w:val="21"/>
        </w:rPr>
        <w:t>valoramos la propuesta presentada, considerando que en todo momento se debe</w:t>
      </w:r>
      <w:r>
        <w:rPr>
          <w:rFonts w:ascii="Abadi" w:hAnsi="Abadi" w:cs="ArialMT"/>
          <w:color w:val="000000"/>
          <w:sz w:val="21"/>
          <w:szCs w:val="21"/>
        </w:rPr>
        <w:t xml:space="preserve"> </w:t>
      </w:r>
      <w:r w:rsidRPr="00004798">
        <w:rPr>
          <w:rFonts w:ascii="Abadi" w:hAnsi="Abadi" w:cs="ArialMT"/>
          <w:color w:val="000000"/>
          <w:sz w:val="21"/>
          <w:szCs w:val="21"/>
        </w:rPr>
        <w:t>garantizar a las niñas, niños y adolescentes un enfoque integral, transversal y con</w:t>
      </w:r>
      <w:r>
        <w:rPr>
          <w:rFonts w:ascii="Abadi" w:hAnsi="Abadi" w:cs="ArialMT"/>
          <w:color w:val="000000"/>
          <w:sz w:val="21"/>
          <w:szCs w:val="21"/>
        </w:rPr>
        <w:t xml:space="preserve"> </w:t>
      </w:r>
      <w:r w:rsidRPr="00004798">
        <w:rPr>
          <w:rFonts w:ascii="Abadi" w:hAnsi="Abadi" w:cs="ArialMT"/>
          <w:color w:val="000000"/>
          <w:sz w:val="21"/>
          <w:szCs w:val="21"/>
        </w:rPr>
        <w:t>perspectiva de derechos humanos, de género, interculturalidad y no discriminación</w:t>
      </w:r>
      <w:r>
        <w:rPr>
          <w:rFonts w:ascii="Abadi" w:hAnsi="Abadi" w:cs="ArialMT"/>
          <w:color w:val="000000"/>
          <w:sz w:val="21"/>
          <w:szCs w:val="21"/>
        </w:rPr>
        <w:t xml:space="preserve"> </w:t>
      </w:r>
      <w:r w:rsidRPr="00004798">
        <w:rPr>
          <w:rFonts w:ascii="Abadi" w:hAnsi="Abadi" w:cs="ArialMT"/>
          <w:color w:val="000000"/>
          <w:sz w:val="21"/>
          <w:szCs w:val="21"/>
        </w:rPr>
        <w:t>en el diseño y la instrumentación de políticas y programas de gobierno en su ámbito</w:t>
      </w:r>
      <w:r>
        <w:rPr>
          <w:rFonts w:ascii="Abadi" w:hAnsi="Abadi" w:cs="ArialMT"/>
          <w:color w:val="000000"/>
          <w:sz w:val="21"/>
          <w:szCs w:val="21"/>
        </w:rPr>
        <w:t xml:space="preserve"> </w:t>
      </w:r>
      <w:r w:rsidRPr="00004798">
        <w:rPr>
          <w:rFonts w:ascii="Abadi" w:hAnsi="Abadi" w:cs="ArialMT"/>
          <w:color w:val="000000"/>
          <w:sz w:val="21"/>
          <w:szCs w:val="21"/>
        </w:rPr>
        <w:t>de competencia.</w:t>
      </w:r>
    </w:p>
    <w:p w14:paraId="569BF483" w14:textId="77777777" w:rsidR="00EC4502" w:rsidRPr="00004798" w:rsidRDefault="00EC4502" w:rsidP="00EC4502">
      <w:pPr>
        <w:autoSpaceDE w:val="0"/>
        <w:autoSpaceDN w:val="0"/>
        <w:adjustRightInd w:val="0"/>
        <w:jc w:val="both"/>
        <w:rPr>
          <w:rFonts w:ascii="Abadi" w:hAnsi="Abadi" w:cs="ArialMT"/>
          <w:color w:val="000000"/>
          <w:sz w:val="21"/>
          <w:szCs w:val="21"/>
        </w:rPr>
      </w:pPr>
    </w:p>
    <w:p w14:paraId="380029C5" w14:textId="77777777" w:rsidR="00EC4502" w:rsidRPr="00004798"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color w:val="000000"/>
          <w:sz w:val="21"/>
          <w:szCs w:val="21"/>
        </w:rPr>
        <w:t>La universalidad de los Derechos Humanos significa que todas las personas</w:t>
      </w:r>
      <w:r>
        <w:rPr>
          <w:rFonts w:ascii="Abadi" w:hAnsi="Abadi" w:cs="ArialMT"/>
          <w:color w:val="000000"/>
          <w:sz w:val="21"/>
          <w:szCs w:val="21"/>
        </w:rPr>
        <w:t xml:space="preserve"> </w:t>
      </w:r>
      <w:r w:rsidRPr="00004798">
        <w:rPr>
          <w:rFonts w:ascii="Abadi" w:hAnsi="Abadi" w:cs="ArialMT"/>
          <w:color w:val="000000"/>
          <w:sz w:val="21"/>
          <w:szCs w:val="21"/>
        </w:rPr>
        <w:t>tienen garantías simplemente por su condición de ser humanos,</w:t>
      </w:r>
      <w:r>
        <w:rPr>
          <w:rFonts w:ascii="Abadi" w:hAnsi="Abadi" w:cs="ArialMT"/>
          <w:color w:val="000000"/>
          <w:sz w:val="21"/>
          <w:szCs w:val="21"/>
        </w:rPr>
        <w:t xml:space="preserve"> </w:t>
      </w:r>
      <w:r w:rsidRPr="00004798">
        <w:rPr>
          <w:rFonts w:ascii="Abadi" w:hAnsi="Abadi" w:cs="ArialMT"/>
          <w:sz w:val="21"/>
          <w:szCs w:val="21"/>
        </w:rPr>
        <w:t>independientemente de donde vivan y quienes sean, así como de su situación o</w:t>
      </w:r>
      <w:r>
        <w:rPr>
          <w:rFonts w:ascii="Abadi" w:hAnsi="Abadi" w:cs="ArialMT"/>
          <w:sz w:val="21"/>
          <w:szCs w:val="21"/>
        </w:rPr>
        <w:t xml:space="preserve"> c</w:t>
      </w:r>
      <w:r w:rsidRPr="00004798">
        <w:rPr>
          <w:rFonts w:ascii="Abadi" w:hAnsi="Abadi" w:cs="ArialMT"/>
          <w:sz w:val="21"/>
          <w:szCs w:val="21"/>
        </w:rPr>
        <w:t>aracterísticas particulares. Debe entenderse que la universalidad está</w:t>
      </w:r>
    </w:p>
    <w:p w14:paraId="794F3EC8" w14:textId="77777777" w:rsidR="00EC4502" w:rsidRDefault="00EC4502" w:rsidP="00EC4502">
      <w:pPr>
        <w:autoSpaceDE w:val="0"/>
        <w:autoSpaceDN w:val="0"/>
        <w:adjustRightInd w:val="0"/>
        <w:jc w:val="both"/>
        <w:rPr>
          <w:rFonts w:ascii="Abadi" w:hAnsi="Abadi" w:cs="ArialMT"/>
          <w:sz w:val="21"/>
          <w:szCs w:val="21"/>
        </w:rPr>
      </w:pPr>
      <w:r w:rsidRPr="00004798">
        <w:rPr>
          <w:rFonts w:ascii="Abadi" w:hAnsi="Abadi" w:cs="ArialMT"/>
          <w:sz w:val="21"/>
          <w:szCs w:val="21"/>
        </w:rPr>
        <w:t>estrechamente vinculada a los siguientes principios fundamentales de los derechos</w:t>
      </w:r>
      <w:r>
        <w:rPr>
          <w:rFonts w:ascii="Abadi" w:hAnsi="Abadi" w:cs="ArialMT"/>
          <w:sz w:val="21"/>
          <w:szCs w:val="21"/>
        </w:rPr>
        <w:t xml:space="preserve"> </w:t>
      </w:r>
      <w:r w:rsidRPr="00004798">
        <w:rPr>
          <w:rFonts w:ascii="Abadi" w:hAnsi="Abadi" w:cs="ArialMT"/>
          <w:sz w:val="21"/>
          <w:szCs w:val="21"/>
        </w:rPr>
        <w:t>humanos: la interdependencia, la indivisibilidad, la igualdad y la dignidad.</w:t>
      </w:r>
    </w:p>
    <w:p w14:paraId="70288526" w14:textId="77777777" w:rsidR="00EC4502" w:rsidRPr="00004798" w:rsidRDefault="00EC4502" w:rsidP="00EC4502">
      <w:pPr>
        <w:autoSpaceDE w:val="0"/>
        <w:autoSpaceDN w:val="0"/>
        <w:adjustRightInd w:val="0"/>
        <w:jc w:val="both"/>
        <w:rPr>
          <w:rFonts w:ascii="Abadi" w:hAnsi="Abadi" w:cs="ArialMT"/>
          <w:sz w:val="21"/>
          <w:szCs w:val="21"/>
        </w:rPr>
      </w:pPr>
    </w:p>
    <w:p w14:paraId="5D8904CE" w14:textId="77777777" w:rsidR="00EC4502"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De lo anterior se destaca que nuestra Norma Suprema reconozca derechos</w:t>
      </w:r>
      <w:r>
        <w:rPr>
          <w:rFonts w:ascii="Abadi" w:hAnsi="Abadi" w:cs="ArialMT"/>
          <w:sz w:val="21"/>
          <w:szCs w:val="21"/>
        </w:rPr>
        <w:t xml:space="preserve"> </w:t>
      </w:r>
      <w:r w:rsidRPr="00004798">
        <w:rPr>
          <w:rFonts w:ascii="Abadi" w:hAnsi="Abadi" w:cs="ArialMT"/>
          <w:sz w:val="21"/>
          <w:szCs w:val="21"/>
        </w:rPr>
        <w:t>sin considerar características especiales, estereotipos, preferencias u</w:t>
      </w:r>
      <w:r>
        <w:rPr>
          <w:rFonts w:ascii="Abadi" w:hAnsi="Abadi" w:cs="ArialMT"/>
          <w:sz w:val="21"/>
          <w:szCs w:val="21"/>
        </w:rPr>
        <w:t xml:space="preserve"> </w:t>
      </w:r>
      <w:r w:rsidRPr="00004798">
        <w:rPr>
          <w:rFonts w:ascii="Abadi" w:hAnsi="Abadi" w:cs="ArialMT"/>
          <w:sz w:val="21"/>
          <w:szCs w:val="21"/>
        </w:rPr>
        <w:t>orientaciones, sino que se enfoca en ser una auténtica norma jurídica con las bases,</w:t>
      </w:r>
      <w:r>
        <w:rPr>
          <w:rFonts w:ascii="Abadi" w:hAnsi="Abadi" w:cs="ArialMT"/>
          <w:sz w:val="21"/>
          <w:szCs w:val="21"/>
        </w:rPr>
        <w:t xml:space="preserve"> </w:t>
      </w:r>
      <w:r w:rsidRPr="00004798">
        <w:rPr>
          <w:rFonts w:ascii="Abadi" w:hAnsi="Abadi" w:cs="ArialMT"/>
          <w:sz w:val="21"/>
          <w:szCs w:val="21"/>
        </w:rPr>
        <w:t>los fundamentos y herramientas a través de las cuales las personas puedan convivir</w:t>
      </w:r>
      <w:r>
        <w:rPr>
          <w:rFonts w:ascii="Abadi" w:hAnsi="Abadi" w:cs="ArialMT"/>
          <w:sz w:val="21"/>
          <w:szCs w:val="21"/>
        </w:rPr>
        <w:t xml:space="preserve"> </w:t>
      </w:r>
      <w:r w:rsidRPr="00004798">
        <w:rPr>
          <w:rFonts w:ascii="Abadi" w:hAnsi="Abadi" w:cs="ArialMT"/>
          <w:sz w:val="21"/>
          <w:szCs w:val="21"/>
        </w:rPr>
        <w:t>y desarrollarse armónicamente dentro de la sociedad, así mismo para que las</w:t>
      </w:r>
      <w:r>
        <w:rPr>
          <w:rFonts w:ascii="Abadi" w:hAnsi="Abadi" w:cs="ArialMT"/>
          <w:sz w:val="21"/>
          <w:szCs w:val="21"/>
        </w:rPr>
        <w:t xml:space="preserve"> </w:t>
      </w:r>
      <w:r w:rsidRPr="00004798">
        <w:rPr>
          <w:rFonts w:ascii="Abadi" w:hAnsi="Abadi" w:cs="ArialMT"/>
          <w:sz w:val="21"/>
          <w:szCs w:val="21"/>
        </w:rPr>
        <w:t>autoridades estén sujetas a ciertas obligaciones y competencias para el</w:t>
      </w:r>
      <w:r>
        <w:rPr>
          <w:rFonts w:ascii="Abadi" w:hAnsi="Abadi" w:cs="ArialMT"/>
          <w:sz w:val="21"/>
          <w:szCs w:val="21"/>
        </w:rPr>
        <w:t xml:space="preserve"> </w:t>
      </w:r>
      <w:r w:rsidRPr="00004798">
        <w:rPr>
          <w:rFonts w:ascii="Abadi" w:hAnsi="Abadi" w:cs="ArialMT"/>
          <w:sz w:val="21"/>
          <w:szCs w:val="21"/>
        </w:rPr>
        <w:t>desenvolvimiento de sus actuaciones.</w:t>
      </w:r>
    </w:p>
    <w:p w14:paraId="6C8A325E" w14:textId="77777777" w:rsidR="00EC4502" w:rsidRPr="00004798" w:rsidRDefault="00EC4502" w:rsidP="00EC4502">
      <w:pPr>
        <w:autoSpaceDE w:val="0"/>
        <w:autoSpaceDN w:val="0"/>
        <w:adjustRightInd w:val="0"/>
        <w:jc w:val="both"/>
        <w:rPr>
          <w:rFonts w:ascii="Abadi" w:hAnsi="Abadi" w:cs="ArialMT"/>
          <w:sz w:val="21"/>
          <w:szCs w:val="21"/>
        </w:rPr>
      </w:pPr>
    </w:p>
    <w:p w14:paraId="0CBB30B2" w14:textId="77777777" w:rsidR="00EC4502"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En ese sentido, la Constitución Política de los Estados Unidos Mexicanos,</w:t>
      </w:r>
      <w:r>
        <w:rPr>
          <w:rFonts w:ascii="Abadi" w:hAnsi="Abadi" w:cs="ArialMT"/>
          <w:sz w:val="21"/>
          <w:szCs w:val="21"/>
        </w:rPr>
        <w:t xml:space="preserve"> </w:t>
      </w:r>
      <w:r w:rsidRPr="00004798">
        <w:rPr>
          <w:rFonts w:ascii="Abadi" w:hAnsi="Abadi" w:cs="ArialMT"/>
          <w:sz w:val="21"/>
          <w:szCs w:val="21"/>
        </w:rPr>
        <w:t>establece expresamente el principio antidiscriminatorio en su artículo 1, quinto</w:t>
      </w:r>
      <w:r>
        <w:rPr>
          <w:rFonts w:ascii="Abadi" w:hAnsi="Abadi" w:cs="ArialMT"/>
          <w:sz w:val="21"/>
          <w:szCs w:val="21"/>
        </w:rPr>
        <w:t xml:space="preserve"> </w:t>
      </w:r>
      <w:r w:rsidRPr="00004798">
        <w:rPr>
          <w:rFonts w:ascii="Abadi" w:hAnsi="Abadi" w:cs="ArialMT"/>
          <w:sz w:val="21"/>
          <w:szCs w:val="21"/>
        </w:rPr>
        <w:t>párrafo, donde queda prohibida toda forma de discriminación que tenga por objeto</w:t>
      </w:r>
      <w:r>
        <w:rPr>
          <w:rFonts w:ascii="Abadi" w:hAnsi="Abadi" w:cs="ArialMT"/>
          <w:sz w:val="21"/>
          <w:szCs w:val="21"/>
        </w:rPr>
        <w:t xml:space="preserve"> </w:t>
      </w:r>
      <w:r w:rsidRPr="00004798">
        <w:rPr>
          <w:rFonts w:ascii="Abadi" w:hAnsi="Abadi" w:cs="ArialMT"/>
          <w:sz w:val="21"/>
          <w:szCs w:val="21"/>
        </w:rPr>
        <w:t>anular o menoscabar los derechos y libertades de las personas, por ende en dicho</w:t>
      </w:r>
      <w:r>
        <w:rPr>
          <w:rFonts w:ascii="Abadi" w:hAnsi="Abadi" w:cs="ArialMT"/>
          <w:sz w:val="21"/>
          <w:szCs w:val="21"/>
        </w:rPr>
        <w:t xml:space="preserve"> </w:t>
      </w:r>
      <w:r w:rsidRPr="00004798">
        <w:rPr>
          <w:rFonts w:ascii="Abadi" w:hAnsi="Abadi" w:cs="ArialMT"/>
          <w:sz w:val="21"/>
          <w:szCs w:val="21"/>
        </w:rPr>
        <w:t>artículo ha quedado claramente establecido que la no discriminación es un derecho</w:t>
      </w:r>
      <w:r>
        <w:rPr>
          <w:rFonts w:ascii="Abadi" w:hAnsi="Abadi" w:cs="ArialMT"/>
          <w:sz w:val="21"/>
          <w:szCs w:val="21"/>
        </w:rPr>
        <w:t xml:space="preserve"> </w:t>
      </w:r>
      <w:r w:rsidRPr="00004798">
        <w:rPr>
          <w:rFonts w:ascii="Abadi" w:hAnsi="Abadi" w:cs="ArialMT"/>
          <w:sz w:val="21"/>
          <w:szCs w:val="21"/>
        </w:rPr>
        <w:t>fundamental, mismo que debe ser observado por todas las autoridades para</w:t>
      </w:r>
      <w:r>
        <w:rPr>
          <w:rFonts w:ascii="Abadi" w:hAnsi="Abadi" w:cs="ArialMT"/>
          <w:sz w:val="21"/>
          <w:szCs w:val="21"/>
        </w:rPr>
        <w:t xml:space="preserve"> </w:t>
      </w:r>
      <w:r w:rsidRPr="00004798">
        <w:rPr>
          <w:rFonts w:ascii="Abadi" w:hAnsi="Abadi" w:cs="ArialMT"/>
          <w:sz w:val="21"/>
          <w:szCs w:val="21"/>
        </w:rPr>
        <w:t>garantizar el acceso a los demás derechos reconocidos en favor de las personas.</w:t>
      </w:r>
    </w:p>
    <w:p w14:paraId="0447C98D" w14:textId="77777777" w:rsidR="00EC4502" w:rsidRDefault="00EC4502" w:rsidP="00EC4502">
      <w:pPr>
        <w:autoSpaceDE w:val="0"/>
        <w:autoSpaceDN w:val="0"/>
        <w:adjustRightInd w:val="0"/>
        <w:ind w:firstLine="708"/>
        <w:jc w:val="both"/>
        <w:rPr>
          <w:rFonts w:ascii="Abadi" w:hAnsi="Abadi" w:cs="ArialMT"/>
          <w:sz w:val="21"/>
          <w:szCs w:val="21"/>
        </w:rPr>
      </w:pPr>
    </w:p>
    <w:p w14:paraId="510BD221" w14:textId="77777777" w:rsidR="00EC4502" w:rsidRDefault="00EC4502" w:rsidP="00EC4502">
      <w:pPr>
        <w:autoSpaceDE w:val="0"/>
        <w:autoSpaceDN w:val="0"/>
        <w:adjustRightInd w:val="0"/>
        <w:ind w:firstLine="708"/>
        <w:jc w:val="both"/>
        <w:rPr>
          <w:rFonts w:ascii="Abadi" w:hAnsi="Abadi" w:cs="ArialMT"/>
          <w:sz w:val="21"/>
          <w:szCs w:val="21"/>
        </w:rPr>
      </w:pPr>
      <w:r>
        <w:rPr>
          <w:rFonts w:ascii="Abadi" w:hAnsi="Abadi" w:cs="ArialMT"/>
          <w:sz w:val="21"/>
          <w:szCs w:val="21"/>
        </w:rPr>
        <w:t xml:space="preserve"> E</w:t>
      </w:r>
      <w:r w:rsidRPr="00004798">
        <w:rPr>
          <w:rFonts w:ascii="Abadi" w:hAnsi="Abadi" w:cs="ArialMT"/>
          <w:sz w:val="21"/>
          <w:szCs w:val="21"/>
        </w:rPr>
        <w:t>n armonía con lo anterior, es que en cuanto al Estado de Guanajuato</w:t>
      </w:r>
      <w:r>
        <w:rPr>
          <w:rFonts w:ascii="Abadi" w:hAnsi="Abadi" w:cs="ArialMT"/>
          <w:sz w:val="21"/>
          <w:szCs w:val="21"/>
        </w:rPr>
        <w:t xml:space="preserve"> </w:t>
      </w:r>
      <w:r w:rsidRPr="00004798">
        <w:rPr>
          <w:rFonts w:ascii="Abadi" w:hAnsi="Abadi" w:cs="ArialMT"/>
          <w:sz w:val="21"/>
          <w:szCs w:val="21"/>
        </w:rPr>
        <w:t>encontramos que en el artículo primero de la Carta Magna se establecen también</w:t>
      </w:r>
      <w:r>
        <w:rPr>
          <w:rFonts w:ascii="Abadi" w:hAnsi="Abadi" w:cs="ArialMT"/>
          <w:sz w:val="21"/>
          <w:szCs w:val="21"/>
        </w:rPr>
        <w:t xml:space="preserve"> </w:t>
      </w:r>
      <w:r w:rsidRPr="00004798">
        <w:rPr>
          <w:rFonts w:ascii="Abadi" w:hAnsi="Abadi" w:cs="ArialMT"/>
          <w:sz w:val="21"/>
          <w:szCs w:val="21"/>
        </w:rPr>
        <w:t>los conceptos que prohíben toda discriminación motivada por origen étnico o</w:t>
      </w:r>
      <w:r>
        <w:rPr>
          <w:rFonts w:ascii="Abadi" w:hAnsi="Abadi" w:cs="ArialMT"/>
          <w:sz w:val="21"/>
          <w:szCs w:val="21"/>
        </w:rPr>
        <w:t xml:space="preserve"> </w:t>
      </w:r>
      <w:r w:rsidRPr="00004798">
        <w:rPr>
          <w:rFonts w:ascii="Abadi" w:hAnsi="Abadi" w:cs="ArialMT"/>
          <w:sz w:val="21"/>
          <w:szCs w:val="21"/>
        </w:rPr>
        <w:t>nacional, el género, la edad, las discapacidades, la condición social, las condiciones</w:t>
      </w:r>
      <w:r>
        <w:rPr>
          <w:rFonts w:ascii="Abadi" w:hAnsi="Abadi" w:cs="ArialMT"/>
          <w:sz w:val="21"/>
          <w:szCs w:val="21"/>
        </w:rPr>
        <w:t xml:space="preserve"> </w:t>
      </w:r>
      <w:r w:rsidRPr="00004798">
        <w:rPr>
          <w:rFonts w:ascii="Abadi" w:hAnsi="Abadi" w:cs="ArialMT"/>
          <w:sz w:val="21"/>
          <w:szCs w:val="21"/>
        </w:rPr>
        <w:t>de salud, la religión, las opiniones, las preferencias sexuales, el estado civil o</w:t>
      </w:r>
      <w:r>
        <w:rPr>
          <w:rFonts w:ascii="Abadi" w:hAnsi="Abadi" w:cs="ArialMT"/>
          <w:sz w:val="21"/>
          <w:szCs w:val="21"/>
        </w:rPr>
        <w:t xml:space="preserve"> </w:t>
      </w:r>
      <w:r w:rsidRPr="00004798">
        <w:rPr>
          <w:rFonts w:ascii="Abadi" w:hAnsi="Abadi" w:cs="ArialMT"/>
          <w:sz w:val="21"/>
          <w:szCs w:val="21"/>
        </w:rPr>
        <w:t>cualquier otra que atente contra la dignidad humana y tenga por objeto anular o</w:t>
      </w:r>
      <w:r>
        <w:rPr>
          <w:rFonts w:ascii="Abadi" w:hAnsi="Abadi" w:cs="ArialMT"/>
          <w:sz w:val="21"/>
          <w:szCs w:val="21"/>
        </w:rPr>
        <w:t xml:space="preserve"> </w:t>
      </w:r>
      <w:r w:rsidRPr="00004798">
        <w:rPr>
          <w:rFonts w:ascii="Abadi" w:hAnsi="Abadi" w:cs="ArialMT"/>
          <w:sz w:val="21"/>
          <w:szCs w:val="21"/>
        </w:rPr>
        <w:t>menoscabar los derechos y libertades de las personas.</w:t>
      </w:r>
    </w:p>
    <w:p w14:paraId="4D8926C3" w14:textId="77777777" w:rsidR="00EC4502" w:rsidRPr="00004798" w:rsidRDefault="00EC4502" w:rsidP="00EC4502">
      <w:pPr>
        <w:autoSpaceDE w:val="0"/>
        <w:autoSpaceDN w:val="0"/>
        <w:adjustRightInd w:val="0"/>
        <w:jc w:val="both"/>
        <w:rPr>
          <w:rFonts w:ascii="Abadi" w:hAnsi="Abadi" w:cs="ArialMT"/>
          <w:sz w:val="21"/>
          <w:szCs w:val="21"/>
        </w:rPr>
      </w:pPr>
    </w:p>
    <w:p w14:paraId="21A0DA76" w14:textId="77777777" w:rsidR="00EC4502"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Ahora bien, tanto en la Ley General de Educación como en la Ley de</w:t>
      </w:r>
      <w:r>
        <w:rPr>
          <w:rFonts w:ascii="Abadi" w:hAnsi="Abadi" w:cs="ArialMT"/>
          <w:sz w:val="21"/>
          <w:szCs w:val="21"/>
        </w:rPr>
        <w:t xml:space="preserve"> </w:t>
      </w:r>
      <w:r w:rsidRPr="00004798">
        <w:rPr>
          <w:rFonts w:ascii="Abadi" w:hAnsi="Abadi" w:cs="ArialMT"/>
          <w:sz w:val="21"/>
          <w:szCs w:val="21"/>
        </w:rPr>
        <w:t>Educación para el Estado de Guanajuato, se establece que las políticas públicas en</w:t>
      </w:r>
      <w:r>
        <w:rPr>
          <w:rFonts w:ascii="Abadi" w:hAnsi="Abadi" w:cs="ArialMT"/>
          <w:sz w:val="21"/>
          <w:szCs w:val="21"/>
        </w:rPr>
        <w:t xml:space="preserve"> </w:t>
      </w:r>
      <w:r w:rsidRPr="00004798">
        <w:rPr>
          <w:rFonts w:ascii="Abadi" w:hAnsi="Abadi" w:cs="ArialMT"/>
          <w:sz w:val="21"/>
          <w:szCs w:val="21"/>
        </w:rPr>
        <w:t>la educación deberán ser, entre otras, basadas en el respeto de la diversidad como</w:t>
      </w:r>
      <w:r>
        <w:rPr>
          <w:rFonts w:ascii="Abadi" w:hAnsi="Abadi" w:cs="ArialMT"/>
          <w:sz w:val="21"/>
          <w:szCs w:val="21"/>
        </w:rPr>
        <w:t xml:space="preserve"> </w:t>
      </w:r>
      <w:r w:rsidRPr="00004798">
        <w:rPr>
          <w:rFonts w:ascii="Abadi" w:hAnsi="Abadi" w:cs="ArialMT"/>
          <w:sz w:val="21"/>
          <w:szCs w:val="21"/>
        </w:rPr>
        <w:t>medio fundamental para la construcción de una sociedad equitativa y solidaria.</w:t>
      </w:r>
      <w:r>
        <w:rPr>
          <w:rFonts w:ascii="Abadi" w:hAnsi="Abadi" w:cs="ArialMT"/>
          <w:sz w:val="21"/>
          <w:szCs w:val="21"/>
        </w:rPr>
        <w:t xml:space="preserve"> </w:t>
      </w:r>
    </w:p>
    <w:p w14:paraId="32E9AF9E" w14:textId="77777777" w:rsidR="00EC4502" w:rsidRDefault="00EC4502" w:rsidP="00EC4502">
      <w:pPr>
        <w:autoSpaceDE w:val="0"/>
        <w:autoSpaceDN w:val="0"/>
        <w:adjustRightInd w:val="0"/>
        <w:ind w:firstLine="708"/>
        <w:jc w:val="both"/>
        <w:rPr>
          <w:rFonts w:ascii="Abadi" w:hAnsi="Abadi" w:cs="ArialMT"/>
          <w:sz w:val="21"/>
          <w:szCs w:val="21"/>
        </w:rPr>
      </w:pPr>
    </w:p>
    <w:p w14:paraId="4A031691" w14:textId="77777777" w:rsidR="00EC4502" w:rsidRDefault="00EC4502" w:rsidP="00EC4502">
      <w:pPr>
        <w:autoSpaceDE w:val="0"/>
        <w:autoSpaceDN w:val="0"/>
        <w:adjustRightInd w:val="0"/>
        <w:ind w:firstLine="708"/>
        <w:jc w:val="both"/>
        <w:rPr>
          <w:rFonts w:ascii="Abadi" w:hAnsi="Abadi" w:cs="ArialMT"/>
          <w:sz w:val="21"/>
          <w:szCs w:val="21"/>
        </w:rPr>
      </w:pPr>
      <w:r>
        <w:rPr>
          <w:rFonts w:ascii="Abadi" w:hAnsi="Abadi" w:cs="ArialMT"/>
          <w:sz w:val="21"/>
          <w:szCs w:val="21"/>
        </w:rPr>
        <w:t>D</w:t>
      </w:r>
      <w:r w:rsidRPr="00004798">
        <w:rPr>
          <w:rFonts w:ascii="Abadi" w:hAnsi="Abadi" w:cs="ArialMT"/>
          <w:sz w:val="21"/>
          <w:szCs w:val="21"/>
        </w:rPr>
        <w:t>e igual forma señalan que las autoridades educativas, en el ámbito de sus</w:t>
      </w:r>
      <w:r>
        <w:rPr>
          <w:rFonts w:ascii="Abadi" w:hAnsi="Abadi" w:cs="ArialMT"/>
          <w:sz w:val="21"/>
          <w:szCs w:val="21"/>
        </w:rPr>
        <w:t xml:space="preserve"> </w:t>
      </w:r>
      <w:r w:rsidRPr="00004798">
        <w:rPr>
          <w:rFonts w:ascii="Abadi" w:hAnsi="Abadi" w:cs="ArialMT"/>
          <w:sz w:val="21"/>
          <w:szCs w:val="21"/>
        </w:rPr>
        <w:t>respectivas competencias y con la finalidad de establecer condiciones que permitan</w:t>
      </w:r>
      <w:r>
        <w:rPr>
          <w:rFonts w:ascii="Abadi" w:hAnsi="Abadi" w:cs="ArialMT"/>
          <w:sz w:val="21"/>
          <w:szCs w:val="21"/>
        </w:rPr>
        <w:t xml:space="preserve"> </w:t>
      </w:r>
      <w:r w:rsidRPr="00004798">
        <w:rPr>
          <w:rFonts w:ascii="Abadi" w:hAnsi="Abadi" w:cs="ArialMT"/>
          <w:sz w:val="21"/>
          <w:szCs w:val="21"/>
        </w:rPr>
        <w:t>el ejercicio pleno del derecho a la educación de cada persona, con equidad y</w:t>
      </w:r>
      <w:r>
        <w:rPr>
          <w:rFonts w:ascii="Abadi" w:hAnsi="Abadi" w:cs="ArialMT"/>
          <w:sz w:val="21"/>
          <w:szCs w:val="21"/>
        </w:rPr>
        <w:t xml:space="preserve"> </w:t>
      </w:r>
      <w:r w:rsidRPr="00004798">
        <w:rPr>
          <w:rFonts w:ascii="Abadi" w:hAnsi="Abadi" w:cs="ArialMT"/>
          <w:sz w:val="21"/>
          <w:szCs w:val="21"/>
        </w:rPr>
        <w:t>excelencia, realizarán diversas acciones, estrategias y planes de programas</w:t>
      </w:r>
      <w:r>
        <w:rPr>
          <w:rFonts w:ascii="Abadi" w:hAnsi="Abadi" w:cs="ArialMT"/>
          <w:sz w:val="21"/>
          <w:szCs w:val="21"/>
        </w:rPr>
        <w:t xml:space="preserve"> </w:t>
      </w:r>
      <w:r w:rsidRPr="00004798">
        <w:rPr>
          <w:rFonts w:ascii="Abadi" w:hAnsi="Abadi" w:cs="ArialMT"/>
          <w:sz w:val="21"/>
          <w:szCs w:val="21"/>
        </w:rPr>
        <w:t>incluyentes, transversales y con perspectiva de género, para contribuir a la</w:t>
      </w:r>
      <w:r>
        <w:rPr>
          <w:rFonts w:ascii="Abadi" w:hAnsi="Abadi" w:cs="ArialMT"/>
          <w:sz w:val="21"/>
          <w:szCs w:val="21"/>
        </w:rPr>
        <w:t xml:space="preserve"> </w:t>
      </w:r>
      <w:r w:rsidRPr="00004798">
        <w:rPr>
          <w:rFonts w:ascii="Abadi" w:hAnsi="Abadi" w:cs="ArialMT"/>
          <w:sz w:val="21"/>
          <w:szCs w:val="21"/>
        </w:rPr>
        <w:t>construcción de una sociedad en la que se reconozcan los derechos de las personas</w:t>
      </w:r>
      <w:r>
        <w:rPr>
          <w:rFonts w:ascii="Abadi" w:hAnsi="Abadi" w:cs="ArialMT"/>
          <w:sz w:val="21"/>
          <w:szCs w:val="21"/>
        </w:rPr>
        <w:t xml:space="preserve"> </w:t>
      </w:r>
      <w:r w:rsidRPr="00004798">
        <w:rPr>
          <w:rFonts w:ascii="Abadi" w:hAnsi="Abadi" w:cs="ArialMT"/>
          <w:sz w:val="21"/>
          <w:szCs w:val="21"/>
        </w:rPr>
        <w:t>y que puedan ejercerlos en igualdad de oportunidades.</w:t>
      </w:r>
    </w:p>
    <w:p w14:paraId="73858E2B" w14:textId="77777777" w:rsidR="00EC4502" w:rsidRPr="00004798" w:rsidRDefault="00EC4502" w:rsidP="00EC4502">
      <w:pPr>
        <w:autoSpaceDE w:val="0"/>
        <w:autoSpaceDN w:val="0"/>
        <w:adjustRightInd w:val="0"/>
        <w:ind w:firstLine="708"/>
        <w:jc w:val="both"/>
        <w:rPr>
          <w:rFonts w:ascii="Abadi" w:hAnsi="Abadi" w:cs="ArialMT"/>
          <w:sz w:val="21"/>
          <w:szCs w:val="21"/>
        </w:rPr>
      </w:pPr>
    </w:p>
    <w:p w14:paraId="65ABEB20" w14:textId="77777777" w:rsidR="00EC4502"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En ese orden, se desprende el objeto de la propuesta que se analiza es que</w:t>
      </w:r>
      <w:r>
        <w:rPr>
          <w:rFonts w:ascii="Abadi" w:hAnsi="Abadi" w:cs="ArialMT"/>
          <w:sz w:val="21"/>
          <w:szCs w:val="21"/>
        </w:rPr>
        <w:t xml:space="preserve"> </w:t>
      </w:r>
      <w:r w:rsidRPr="00004798">
        <w:rPr>
          <w:rFonts w:ascii="Abadi" w:hAnsi="Abadi" w:cs="ArialMT"/>
          <w:sz w:val="21"/>
          <w:szCs w:val="21"/>
        </w:rPr>
        <w:t>la Secretaría de Educación del Estado realice acciones con el fin de implementar en</w:t>
      </w:r>
      <w:r>
        <w:rPr>
          <w:rFonts w:ascii="Abadi" w:hAnsi="Abadi" w:cs="ArialMT"/>
          <w:sz w:val="21"/>
          <w:szCs w:val="21"/>
        </w:rPr>
        <w:t xml:space="preserve"> </w:t>
      </w:r>
      <w:r w:rsidRPr="00004798">
        <w:rPr>
          <w:rFonts w:ascii="Abadi" w:hAnsi="Abadi" w:cs="ArialMT"/>
          <w:sz w:val="21"/>
          <w:szCs w:val="21"/>
        </w:rPr>
        <w:t>todas las instituciones educativas la utilización de uniformes escolares neutros, para</w:t>
      </w:r>
      <w:r>
        <w:rPr>
          <w:rFonts w:ascii="Abadi" w:hAnsi="Abadi" w:cs="ArialMT"/>
          <w:sz w:val="21"/>
          <w:szCs w:val="21"/>
        </w:rPr>
        <w:t xml:space="preserve"> </w:t>
      </w:r>
      <w:r w:rsidRPr="00004798">
        <w:rPr>
          <w:rFonts w:ascii="Abadi" w:hAnsi="Abadi" w:cs="ArialMT"/>
          <w:sz w:val="21"/>
          <w:szCs w:val="21"/>
        </w:rPr>
        <w:t>que las niñas y adolescentes mujeres tengan la oportunidad de elegir entre el uso</w:t>
      </w:r>
      <w:r>
        <w:rPr>
          <w:rFonts w:ascii="Abadi" w:hAnsi="Abadi" w:cs="ArialMT"/>
          <w:sz w:val="21"/>
          <w:szCs w:val="21"/>
        </w:rPr>
        <w:t xml:space="preserve"> </w:t>
      </w:r>
      <w:r w:rsidRPr="00004798">
        <w:rPr>
          <w:rFonts w:ascii="Abadi" w:hAnsi="Abadi" w:cs="ArialMT"/>
          <w:sz w:val="21"/>
          <w:szCs w:val="21"/>
        </w:rPr>
        <w:t>de pantalón o falda.</w:t>
      </w:r>
    </w:p>
    <w:p w14:paraId="0F680CDC" w14:textId="77777777" w:rsidR="00EC4502" w:rsidRPr="00004798" w:rsidRDefault="00EC4502" w:rsidP="00EC4502">
      <w:pPr>
        <w:autoSpaceDE w:val="0"/>
        <w:autoSpaceDN w:val="0"/>
        <w:adjustRightInd w:val="0"/>
        <w:jc w:val="both"/>
        <w:rPr>
          <w:rFonts w:ascii="Abadi" w:hAnsi="Abadi" w:cs="ArialMT"/>
          <w:sz w:val="21"/>
          <w:szCs w:val="21"/>
        </w:rPr>
      </w:pPr>
    </w:p>
    <w:p w14:paraId="25C20C6B" w14:textId="77777777" w:rsidR="00EC4502"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Aunado a lo anterior, las diputadas y el diputado que integramos la comisión</w:t>
      </w:r>
      <w:r>
        <w:rPr>
          <w:rFonts w:ascii="Abadi" w:hAnsi="Abadi" w:cs="ArialMT"/>
          <w:sz w:val="21"/>
          <w:szCs w:val="21"/>
        </w:rPr>
        <w:t xml:space="preserve"> </w:t>
      </w:r>
      <w:r w:rsidRPr="00004798">
        <w:rPr>
          <w:rFonts w:ascii="Abadi" w:hAnsi="Abadi" w:cs="ArialMT"/>
          <w:sz w:val="21"/>
          <w:szCs w:val="21"/>
        </w:rPr>
        <w:t>dictaminadora consideramos que no existe disposición legal que obligue el uso de</w:t>
      </w:r>
      <w:r>
        <w:rPr>
          <w:rFonts w:ascii="Abadi" w:hAnsi="Abadi" w:cs="ArialMT"/>
          <w:sz w:val="21"/>
          <w:szCs w:val="21"/>
        </w:rPr>
        <w:t xml:space="preserve"> </w:t>
      </w:r>
      <w:r w:rsidRPr="00004798">
        <w:rPr>
          <w:rFonts w:ascii="Abadi" w:hAnsi="Abadi" w:cs="ArialMT"/>
          <w:sz w:val="21"/>
          <w:szCs w:val="21"/>
        </w:rPr>
        <w:t>uniformes en las instituciones educativas, en contrario, la propia legislación señala</w:t>
      </w:r>
      <w:r>
        <w:rPr>
          <w:rFonts w:ascii="Abadi" w:hAnsi="Abadi" w:cs="ArialMT"/>
          <w:sz w:val="21"/>
          <w:szCs w:val="21"/>
        </w:rPr>
        <w:t xml:space="preserve"> </w:t>
      </w:r>
      <w:r w:rsidRPr="00004798">
        <w:rPr>
          <w:rFonts w:ascii="Abadi" w:hAnsi="Abadi" w:cs="ArialMT"/>
          <w:sz w:val="21"/>
          <w:szCs w:val="21"/>
        </w:rPr>
        <w:t>como una infracción a quienes condicionen la educación a la adquisición de</w:t>
      </w:r>
      <w:r>
        <w:rPr>
          <w:rFonts w:ascii="Abadi" w:hAnsi="Abadi" w:cs="ArialMT"/>
          <w:sz w:val="21"/>
          <w:szCs w:val="21"/>
        </w:rPr>
        <w:t xml:space="preserve"> </w:t>
      </w:r>
      <w:r w:rsidRPr="00004798">
        <w:rPr>
          <w:rFonts w:ascii="Abadi" w:hAnsi="Abadi" w:cs="ArialMT"/>
          <w:sz w:val="21"/>
          <w:szCs w:val="21"/>
        </w:rPr>
        <w:t>uniformes.</w:t>
      </w:r>
    </w:p>
    <w:p w14:paraId="20633D10" w14:textId="77777777" w:rsidR="00EC4502" w:rsidRPr="00004798" w:rsidRDefault="00EC4502" w:rsidP="00EC4502">
      <w:pPr>
        <w:autoSpaceDE w:val="0"/>
        <w:autoSpaceDN w:val="0"/>
        <w:adjustRightInd w:val="0"/>
        <w:jc w:val="both"/>
        <w:rPr>
          <w:rFonts w:ascii="Abadi" w:hAnsi="Abadi" w:cs="ArialMT"/>
          <w:sz w:val="21"/>
          <w:szCs w:val="21"/>
        </w:rPr>
      </w:pPr>
    </w:p>
    <w:p w14:paraId="1A2A60A3" w14:textId="77777777" w:rsidR="00EC4502"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La Ley General de Educación, establece en el artículo 170 el catálogo de</w:t>
      </w:r>
      <w:r>
        <w:rPr>
          <w:rFonts w:ascii="Abadi" w:hAnsi="Abadi" w:cs="ArialMT"/>
          <w:sz w:val="21"/>
          <w:szCs w:val="21"/>
        </w:rPr>
        <w:t xml:space="preserve"> </w:t>
      </w:r>
      <w:r w:rsidRPr="00004798">
        <w:rPr>
          <w:rFonts w:ascii="Abadi" w:hAnsi="Abadi" w:cs="ArialMT"/>
          <w:sz w:val="21"/>
          <w:szCs w:val="21"/>
        </w:rPr>
        <w:t>infracciones de quienes prestan servicios educativos, precisando en la fracción XXIII</w:t>
      </w:r>
      <w:r>
        <w:rPr>
          <w:rFonts w:ascii="Abadi" w:hAnsi="Abadi" w:cs="ArialMT"/>
          <w:sz w:val="21"/>
          <w:szCs w:val="21"/>
        </w:rPr>
        <w:t xml:space="preserve"> </w:t>
      </w:r>
      <w:r w:rsidRPr="00004798">
        <w:rPr>
          <w:rFonts w:ascii="Abadi" w:hAnsi="Abadi" w:cs="ArialMT"/>
          <w:sz w:val="21"/>
          <w:szCs w:val="21"/>
        </w:rPr>
        <w:t>como una de ellas, condicionar la prestación del servicio público de educación a la</w:t>
      </w:r>
      <w:r>
        <w:rPr>
          <w:rFonts w:ascii="Abadi" w:hAnsi="Abadi" w:cs="ArialMT"/>
          <w:sz w:val="21"/>
          <w:szCs w:val="21"/>
        </w:rPr>
        <w:t xml:space="preserve"> </w:t>
      </w:r>
      <w:r w:rsidRPr="00004798">
        <w:rPr>
          <w:rFonts w:ascii="Abadi" w:hAnsi="Abadi" w:cs="ArialMT"/>
          <w:sz w:val="21"/>
          <w:szCs w:val="21"/>
        </w:rPr>
        <w:t>adquisición de uniformes y materiales educativos, así como de actividades</w:t>
      </w:r>
      <w:r>
        <w:rPr>
          <w:rFonts w:ascii="Abadi" w:hAnsi="Abadi" w:cs="ArialMT"/>
          <w:sz w:val="21"/>
          <w:szCs w:val="21"/>
        </w:rPr>
        <w:t xml:space="preserve"> </w:t>
      </w:r>
      <w:r w:rsidRPr="00004798">
        <w:rPr>
          <w:rFonts w:ascii="Abadi" w:hAnsi="Abadi" w:cs="ArialMT"/>
          <w:sz w:val="21"/>
          <w:szCs w:val="21"/>
        </w:rPr>
        <w:t>extraescolares, replicándose el supuesto en el último párrafo del artículo 146 sobre</w:t>
      </w:r>
      <w:r>
        <w:rPr>
          <w:rFonts w:ascii="Abadi" w:hAnsi="Abadi" w:cs="ArialMT"/>
          <w:sz w:val="21"/>
          <w:szCs w:val="21"/>
        </w:rPr>
        <w:t xml:space="preserve"> </w:t>
      </w:r>
      <w:r w:rsidRPr="00004798">
        <w:rPr>
          <w:rFonts w:ascii="Abadi" w:hAnsi="Abadi" w:cs="ArialMT"/>
          <w:sz w:val="21"/>
          <w:szCs w:val="21"/>
        </w:rPr>
        <w:t>la educación impartida por particulares. En concordancia a lo antes señalado, la Ley</w:t>
      </w:r>
      <w:r>
        <w:rPr>
          <w:rFonts w:ascii="Abadi" w:hAnsi="Abadi" w:cs="ArialMT"/>
          <w:sz w:val="21"/>
          <w:szCs w:val="21"/>
        </w:rPr>
        <w:t xml:space="preserve"> </w:t>
      </w:r>
      <w:r w:rsidRPr="00004798">
        <w:rPr>
          <w:rFonts w:ascii="Abadi" w:hAnsi="Abadi" w:cs="ArialMT"/>
          <w:sz w:val="21"/>
          <w:szCs w:val="21"/>
        </w:rPr>
        <w:t>de Educación para el Estado de Guanajuato, armoniza el supuesto referido en la</w:t>
      </w:r>
      <w:r>
        <w:rPr>
          <w:rFonts w:ascii="Abadi" w:hAnsi="Abadi" w:cs="ArialMT"/>
          <w:sz w:val="21"/>
          <w:szCs w:val="21"/>
        </w:rPr>
        <w:t xml:space="preserve"> </w:t>
      </w:r>
      <w:r w:rsidRPr="00004798">
        <w:rPr>
          <w:rFonts w:ascii="Abadi" w:hAnsi="Abadi" w:cs="ArialMT"/>
          <w:sz w:val="21"/>
          <w:szCs w:val="21"/>
        </w:rPr>
        <w:t>fracción XXIII del artículo 275.</w:t>
      </w:r>
    </w:p>
    <w:p w14:paraId="66CA0E2D" w14:textId="77777777" w:rsidR="00EC4502" w:rsidRPr="00004798" w:rsidRDefault="00EC4502" w:rsidP="00EC4502">
      <w:pPr>
        <w:autoSpaceDE w:val="0"/>
        <w:autoSpaceDN w:val="0"/>
        <w:adjustRightInd w:val="0"/>
        <w:jc w:val="both"/>
        <w:rPr>
          <w:rFonts w:ascii="Abadi" w:hAnsi="Abadi" w:cs="ArialMT"/>
          <w:sz w:val="21"/>
          <w:szCs w:val="21"/>
        </w:rPr>
      </w:pPr>
    </w:p>
    <w:p w14:paraId="708EC0B1" w14:textId="77777777" w:rsidR="00EC4502" w:rsidRPr="00004798"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No obstante lo anterior, no pasa desapercibido que los nuevos modelos</w:t>
      </w:r>
      <w:r>
        <w:rPr>
          <w:rFonts w:ascii="Abadi" w:hAnsi="Abadi" w:cs="ArialMT"/>
          <w:sz w:val="21"/>
          <w:szCs w:val="21"/>
        </w:rPr>
        <w:t xml:space="preserve"> </w:t>
      </w:r>
      <w:r w:rsidRPr="00004798">
        <w:rPr>
          <w:rFonts w:ascii="Abadi" w:hAnsi="Abadi" w:cs="ArialMT"/>
          <w:sz w:val="21"/>
          <w:szCs w:val="21"/>
        </w:rPr>
        <w:t>educativos han comenzado a generar en el sistema educativo, estrategias</w:t>
      </w:r>
      <w:r>
        <w:rPr>
          <w:rFonts w:ascii="Abadi" w:hAnsi="Abadi" w:cs="ArialMT"/>
          <w:sz w:val="21"/>
          <w:szCs w:val="21"/>
        </w:rPr>
        <w:t xml:space="preserve"> </w:t>
      </w:r>
      <w:r w:rsidRPr="00004798">
        <w:rPr>
          <w:rFonts w:ascii="Abadi" w:hAnsi="Abadi" w:cs="ArialMT"/>
          <w:sz w:val="21"/>
          <w:szCs w:val="21"/>
        </w:rPr>
        <w:t>alternativas y metodologías innovadoras, que suelen centrarse en el desarrollo</w:t>
      </w:r>
      <w:r>
        <w:rPr>
          <w:rFonts w:ascii="Abadi" w:hAnsi="Abadi" w:cs="ArialMT"/>
          <w:sz w:val="21"/>
          <w:szCs w:val="21"/>
        </w:rPr>
        <w:t xml:space="preserve"> </w:t>
      </w:r>
      <w:r w:rsidRPr="00004798">
        <w:rPr>
          <w:rFonts w:ascii="Abadi" w:hAnsi="Abadi" w:cs="ArialMT"/>
          <w:sz w:val="21"/>
          <w:szCs w:val="21"/>
        </w:rPr>
        <w:t>individual de las personas, sin embargo también debe tomarse en cuenta que el uso</w:t>
      </w:r>
      <w:r>
        <w:rPr>
          <w:rFonts w:ascii="Abadi" w:hAnsi="Abadi" w:cs="ArialMT"/>
          <w:sz w:val="21"/>
          <w:szCs w:val="21"/>
        </w:rPr>
        <w:t xml:space="preserve"> </w:t>
      </w:r>
      <w:r w:rsidRPr="00004798">
        <w:rPr>
          <w:rFonts w:ascii="Abadi" w:hAnsi="Abadi" w:cs="ArialMT"/>
          <w:sz w:val="21"/>
          <w:szCs w:val="21"/>
        </w:rPr>
        <w:t>de uniformes escolares son un medio de identidad necesario en la infancia,</w:t>
      </w:r>
      <w:r>
        <w:rPr>
          <w:rFonts w:ascii="Abadi" w:hAnsi="Abadi" w:cs="ArialMT"/>
          <w:sz w:val="21"/>
          <w:szCs w:val="21"/>
        </w:rPr>
        <w:t xml:space="preserve"> </w:t>
      </w:r>
      <w:r w:rsidRPr="00004798">
        <w:rPr>
          <w:rFonts w:ascii="Abadi" w:hAnsi="Abadi" w:cs="ArialMT"/>
          <w:sz w:val="21"/>
          <w:szCs w:val="21"/>
        </w:rPr>
        <w:t>fomentando la noción de unidad y pertenencia, por ello los centros educativos eligen</w:t>
      </w:r>
      <w:r>
        <w:rPr>
          <w:rFonts w:ascii="Abadi" w:hAnsi="Abadi" w:cs="ArialMT"/>
          <w:sz w:val="21"/>
          <w:szCs w:val="21"/>
        </w:rPr>
        <w:t xml:space="preserve"> </w:t>
      </w:r>
      <w:r w:rsidRPr="00004798">
        <w:rPr>
          <w:rFonts w:ascii="Abadi" w:hAnsi="Abadi" w:cs="ArialMT"/>
          <w:sz w:val="21"/>
          <w:szCs w:val="21"/>
        </w:rPr>
        <w:t>el diseño de los uniformes que identificara a su alumnado, siendo los padres de</w:t>
      </w:r>
      <w:r>
        <w:rPr>
          <w:rFonts w:ascii="Abadi" w:hAnsi="Abadi" w:cs="ArialMT"/>
          <w:sz w:val="21"/>
          <w:szCs w:val="21"/>
        </w:rPr>
        <w:t xml:space="preserve"> </w:t>
      </w:r>
      <w:r w:rsidRPr="00004798">
        <w:rPr>
          <w:rFonts w:ascii="Abadi" w:hAnsi="Abadi" w:cs="ArialMT"/>
          <w:sz w:val="21"/>
          <w:szCs w:val="21"/>
        </w:rPr>
        <w:t>familia quienes tienen la opción de decidir el centro educativo para sus hijos.</w:t>
      </w:r>
    </w:p>
    <w:p w14:paraId="2F83392B" w14:textId="77777777" w:rsidR="00EC4502" w:rsidRPr="00004798" w:rsidRDefault="00EC4502" w:rsidP="00EC4502">
      <w:pPr>
        <w:jc w:val="both"/>
        <w:rPr>
          <w:rFonts w:ascii="Abadi" w:hAnsi="Abadi" w:cs="ArialMT"/>
          <w:sz w:val="21"/>
          <w:szCs w:val="21"/>
        </w:rPr>
      </w:pPr>
    </w:p>
    <w:p w14:paraId="5834EBA1" w14:textId="77777777" w:rsidR="00EC4502" w:rsidRPr="00004798"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MT"/>
          <w:sz w:val="21"/>
          <w:szCs w:val="21"/>
        </w:rPr>
        <w:t>Aunado a lo anterior, varios centros educativos en el Estado ya consideran</w:t>
      </w:r>
      <w:r>
        <w:rPr>
          <w:rFonts w:ascii="Abadi" w:hAnsi="Abadi" w:cs="ArialMT"/>
          <w:sz w:val="21"/>
          <w:szCs w:val="21"/>
        </w:rPr>
        <w:t xml:space="preserve"> </w:t>
      </w:r>
      <w:r w:rsidRPr="00004798">
        <w:rPr>
          <w:rFonts w:ascii="Abadi" w:hAnsi="Abadi" w:cs="ArialMT"/>
          <w:sz w:val="21"/>
          <w:szCs w:val="21"/>
        </w:rPr>
        <w:t>dentro de los diseños de sus uniformes el uso de pantalón general entre el alumnado</w:t>
      </w:r>
      <w:r>
        <w:rPr>
          <w:rFonts w:ascii="Abadi" w:hAnsi="Abadi" w:cs="ArialMT"/>
          <w:sz w:val="21"/>
          <w:szCs w:val="21"/>
        </w:rPr>
        <w:t xml:space="preserve"> </w:t>
      </w:r>
      <w:r w:rsidRPr="00004798">
        <w:rPr>
          <w:rFonts w:ascii="Abadi" w:hAnsi="Abadi" w:cs="ArialMT"/>
          <w:sz w:val="21"/>
          <w:szCs w:val="21"/>
        </w:rPr>
        <w:t>o de manera optativa, esto de acuerdo al sistema educativo que los rige y las</w:t>
      </w:r>
      <w:r>
        <w:rPr>
          <w:rFonts w:ascii="Abadi" w:hAnsi="Abadi" w:cs="ArialMT"/>
          <w:sz w:val="21"/>
          <w:szCs w:val="21"/>
        </w:rPr>
        <w:t xml:space="preserve"> </w:t>
      </w:r>
      <w:r w:rsidRPr="00004798">
        <w:rPr>
          <w:rFonts w:ascii="Abadi" w:hAnsi="Abadi" w:cs="ArialMT"/>
          <w:sz w:val="21"/>
          <w:szCs w:val="21"/>
        </w:rPr>
        <w:t>disposiciones emitidas por la Secretaría de Educación Pública.</w:t>
      </w:r>
      <w:r>
        <w:rPr>
          <w:rFonts w:ascii="Abadi" w:hAnsi="Abadi" w:cs="ArialMT"/>
          <w:sz w:val="21"/>
          <w:szCs w:val="21"/>
        </w:rPr>
        <w:t xml:space="preserve"> </w:t>
      </w:r>
      <w:r w:rsidRPr="00004798">
        <w:rPr>
          <w:rFonts w:ascii="Abadi" w:hAnsi="Abadi" w:cs="ArialMT"/>
          <w:sz w:val="21"/>
          <w:szCs w:val="21"/>
        </w:rPr>
        <w:t>Por lo anteriormente expuesto y con fundamento en el artículo 171 la Ley</w:t>
      </w:r>
      <w:r>
        <w:rPr>
          <w:rFonts w:ascii="Abadi" w:hAnsi="Abadi" w:cs="ArialMT"/>
          <w:sz w:val="21"/>
          <w:szCs w:val="21"/>
        </w:rPr>
        <w:t xml:space="preserve"> </w:t>
      </w:r>
      <w:r w:rsidRPr="00004798">
        <w:rPr>
          <w:rFonts w:ascii="Abadi" w:hAnsi="Abadi" w:cs="ArialMT"/>
          <w:sz w:val="21"/>
          <w:szCs w:val="21"/>
        </w:rPr>
        <w:t>Orgánica</w:t>
      </w:r>
      <w:r>
        <w:rPr>
          <w:rFonts w:ascii="Abadi" w:hAnsi="Abadi" w:cs="ArialMT"/>
          <w:sz w:val="21"/>
          <w:szCs w:val="21"/>
        </w:rPr>
        <w:t xml:space="preserve"> </w:t>
      </w:r>
      <w:r w:rsidRPr="00004798">
        <w:rPr>
          <w:rFonts w:ascii="Abadi" w:hAnsi="Abadi" w:cs="ArialMT"/>
          <w:sz w:val="21"/>
          <w:szCs w:val="21"/>
        </w:rPr>
        <w:t>del Poder Legislativo del Estado de Guanajuato, nos permitimos proponer</w:t>
      </w:r>
      <w:r>
        <w:rPr>
          <w:rFonts w:ascii="Abadi" w:hAnsi="Abadi" w:cs="ArialMT"/>
          <w:sz w:val="21"/>
          <w:szCs w:val="21"/>
        </w:rPr>
        <w:t xml:space="preserve"> </w:t>
      </w:r>
      <w:r w:rsidRPr="00004798">
        <w:rPr>
          <w:rFonts w:ascii="Abadi" w:hAnsi="Abadi" w:cs="ArialMT"/>
          <w:sz w:val="21"/>
          <w:szCs w:val="21"/>
        </w:rPr>
        <w:t>a la Asamblea la aprobación del siguiente:</w:t>
      </w:r>
    </w:p>
    <w:p w14:paraId="0140647F" w14:textId="77777777" w:rsidR="00EC4502" w:rsidRDefault="00EC4502" w:rsidP="00EC4502">
      <w:pPr>
        <w:autoSpaceDE w:val="0"/>
        <w:autoSpaceDN w:val="0"/>
        <w:adjustRightInd w:val="0"/>
        <w:jc w:val="both"/>
        <w:rPr>
          <w:rFonts w:ascii="Abadi" w:hAnsi="Abadi" w:cs="Arial-BoldMT"/>
          <w:b/>
          <w:bCs/>
          <w:sz w:val="21"/>
          <w:szCs w:val="21"/>
        </w:rPr>
      </w:pPr>
    </w:p>
    <w:p w14:paraId="1E5C09EC" w14:textId="77777777" w:rsidR="00EC4502" w:rsidRDefault="00EC4502" w:rsidP="00EC4502">
      <w:pPr>
        <w:autoSpaceDE w:val="0"/>
        <w:autoSpaceDN w:val="0"/>
        <w:adjustRightInd w:val="0"/>
        <w:jc w:val="center"/>
        <w:rPr>
          <w:rFonts w:ascii="Abadi" w:hAnsi="Abadi" w:cs="Arial-BoldMT"/>
          <w:b/>
          <w:bCs/>
          <w:sz w:val="21"/>
          <w:szCs w:val="21"/>
        </w:rPr>
      </w:pPr>
      <w:r w:rsidRPr="00004798">
        <w:rPr>
          <w:rFonts w:ascii="Abadi" w:hAnsi="Abadi" w:cs="Arial-BoldMT"/>
          <w:b/>
          <w:bCs/>
          <w:sz w:val="21"/>
          <w:szCs w:val="21"/>
        </w:rPr>
        <w:t>ACUERDO</w:t>
      </w:r>
    </w:p>
    <w:p w14:paraId="4BF55589" w14:textId="77777777" w:rsidR="00EC4502" w:rsidRPr="00004798" w:rsidRDefault="00EC4502" w:rsidP="00EC4502">
      <w:pPr>
        <w:autoSpaceDE w:val="0"/>
        <w:autoSpaceDN w:val="0"/>
        <w:adjustRightInd w:val="0"/>
        <w:jc w:val="both"/>
        <w:rPr>
          <w:rFonts w:ascii="Abadi" w:hAnsi="Abadi" w:cs="Arial-BoldMT"/>
          <w:b/>
          <w:bCs/>
          <w:sz w:val="21"/>
          <w:szCs w:val="21"/>
        </w:rPr>
      </w:pPr>
    </w:p>
    <w:p w14:paraId="1DDF53F5" w14:textId="77777777" w:rsidR="00EC4502" w:rsidRPr="00004798" w:rsidRDefault="00EC4502" w:rsidP="00EC4502">
      <w:pPr>
        <w:autoSpaceDE w:val="0"/>
        <w:autoSpaceDN w:val="0"/>
        <w:adjustRightInd w:val="0"/>
        <w:ind w:firstLine="708"/>
        <w:jc w:val="both"/>
        <w:rPr>
          <w:rFonts w:ascii="Abadi" w:hAnsi="Abadi" w:cs="ArialMT"/>
          <w:sz w:val="21"/>
          <w:szCs w:val="21"/>
        </w:rPr>
      </w:pPr>
      <w:r w:rsidRPr="00004798">
        <w:rPr>
          <w:rFonts w:ascii="Abadi" w:hAnsi="Abadi" w:cs="Arial-BoldMT"/>
          <w:b/>
          <w:bCs/>
          <w:sz w:val="21"/>
          <w:szCs w:val="21"/>
        </w:rPr>
        <w:t xml:space="preserve">Único. </w:t>
      </w:r>
      <w:r w:rsidRPr="00004798">
        <w:rPr>
          <w:rFonts w:ascii="Abadi" w:hAnsi="Abadi" w:cs="ArialMT"/>
          <w:sz w:val="21"/>
          <w:szCs w:val="21"/>
        </w:rPr>
        <w:t>Se ordena el archivo definitivo de la propuesta de punto de acuerdo</w:t>
      </w:r>
      <w:r>
        <w:rPr>
          <w:rFonts w:ascii="Abadi" w:hAnsi="Abadi" w:cs="ArialMT"/>
          <w:sz w:val="21"/>
          <w:szCs w:val="21"/>
        </w:rPr>
        <w:t xml:space="preserve"> </w:t>
      </w:r>
      <w:r w:rsidRPr="00004798">
        <w:rPr>
          <w:rFonts w:ascii="Abadi" w:hAnsi="Abadi" w:cs="ArialMT"/>
          <w:sz w:val="21"/>
          <w:szCs w:val="21"/>
        </w:rPr>
        <w:t>suscrita por diputadas y diputados integrantes del Grupo Parlamentario del Partido</w:t>
      </w:r>
      <w:r>
        <w:rPr>
          <w:rFonts w:ascii="Abadi" w:hAnsi="Abadi" w:cs="ArialMT"/>
          <w:sz w:val="21"/>
          <w:szCs w:val="21"/>
        </w:rPr>
        <w:t xml:space="preserve"> </w:t>
      </w:r>
      <w:r w:rsidRPr="00004798">
        <w:rPr>
          <w:rFonts w:ascii="Abadi" w:hAnsi="Abadi" w:cs="ArialMT"/>
          <w:sz w:val="21"/>
          <w:szCs w:val="21"/>
        </w:rPr>
        <w:t>MORENA a efecto de exhortar a Jorge Enrique Hernández Meza, titular de la</w:t>
      </w:r>
      <w:r>
        <w:rPr>
          <w:rFonts w:ascii="Abadi" w:hAnsi="Abadi" w:cs="ArialMT"/>
          <w:sz w:val="21"/>
          <w:szCs w:val="21"/>
        </w:rPr>
        <w:t xml:space="preserve"> </w:t>
      </w:r>
      <w:r w:rsidRPr="00004798">
        <w:rPr>
          <w:rFonts w:ascii="Abadi" w:hAnsi="Abadi" w:cs="ArialMT"/>
          <w:sz w:val="21"/>
          <w:szCs w:val="21"/>
        </w:rPr>
        <w:t>Secretaría de Educación de Guanajuato, para que lleve a cabo las acciones</w:t>
      </w:r>
      <w:r>
        <w:rPr>
          <w:rFonts w:ascii="Abadi" w:hAnsi="Abadi" w:cs="ArialMT"/>
          <w:sz w:val="21"/>
          <w:szCs w:val="21"/>
        </w:rPr>
        <w:t xml:space="preserve"> </w:t>
      </w:r>
      <w:r w:rsidRPr="00004798">
        <w:rPr>
          <w:rFonts w:ascii="Abadi" w:hAnsi="Abadi" w:cs="ArialMT"/>
          <w:sz w:val="21"/>
          <w:szCs w:val="21"/>
        </w:rPr>
        <w:t>necesarias a fin de implementar en todas las instituciones educativas la utilización</w:t>
      </w:r>
      <w:r>
        <w:rPr>
          <w:rFonts w:ascii="Abadi" w:hAnsi="Abadi" w:cs="ArialMT"/>
          <w:sz w:val="21"/>
          <w:szCs w:val="21"/>
        </w:rPr>
        <w:t xml:space="preserve"> </w:t>
      </w:r>
      <w:r w:rsidRPr="00004798">
        <w:rPr>
          <w:rFonts w:ascii="Abadi" w:hAnsi="Abadi" w:cs="ArialMT"/>
          <w:sz w:val="21"/>
          <w:szCs w:val="21"/>
        </w:rPr>
        <w:t>de uniformes</w:t>
      </w:r>
      <w:r>
        <w:rPr>
          <w:rFonts w:ascii="Abadi" w:hAnsi="Abadi" w:cs="ArialMT"/>
          <w:sz w:val="21"/>
          <w:szCs w:val="21"/>
        </w:rPr>
        <w:t xml:space="preserve"> </w:t>
      </w:r>
      <w:r w:rsidRPr="00004798">
        <w:rPr>
          <w:rFonts w:ascii="Abadi" w:hAnsi="Abadi" w:cs="ArialMT"/>
          <w:sz w:val="21"/>
          <w:szCs w:val="21"/>
        </w:rPr>
        <w:t>escolares neutros, para que las niñas y adolescentes mujeres tengan</w:t>
      </w:r>
      <w:r>
        <w:rPr>
          <w:rFonts w:ascii="Abadi" w:hAnsi="Abadi" w:cs="ArialMT"/>
          <w:sz w:val="21"/>
          <w:szCs w:val="21"/>
        </w:rPr>
        <w:t xml:space="preserve"> </w:t>
      </w:r>
      <w:r w:rsidRPr="00004798">
        <w:rPr>
          <w:rFonts w:ascii="Abadi" w:hAnsi="Abadi" w:cs="ArialMT"/>
          <w:sz w:val="21"/>
          <w:szCs w:val="21"/>
        </w:rPr>
        <w:t>la oportunidad de elegir entre el uso de pantalón o falda.</w:t>
      </w:r>
    </w:p>
    <w:p w14:paraId="1BA49E72" w14:textId="77777777" w:rsidR="00EC4502" w:rsidRDefault="00EC4502" w:rsidP="00EC4502">
      <w:pPr>
        <w:autoSpaceDE w:val="0"/>
        <w:autoSpaceDN w:val="0"/>
        <w:adjustRightInd w:val="0"/>
        <w:jc w:val="both"/>
        <w:rPr>
          <w:rFonts w:ascii="Abadi" w:hAnsi="Abadi" w:cs="Arial-BoldMT"/>
          <w:b/>
          <w:bCs/>
          <w:sz w:val="21"/>
          <w:szCs w:val="21"/>
        </w:rPr>
      </w:pPr>
    </w:p>
    <w:p w14:paraId="155F36FC" w14:textId="0C0C8370" w:rsidR="00EC4502" w:rsidRDefault="00EC4502" w:rsidP="00EC4502">
      <w:pPr>
        <w:autoSpaceDE w:val="0"/>
        <w:autoSpaceDN w:val="0"/>
        <w:adjustRightInd w:val="0"/>
        <w:jc w:val="center"/>
        <w:rPr>
          <w:rFonts w:ascii="Abadi" w:hAnsi="Abadi" w:cs="Arial-BoldMT"/>
          <w:b/>
          <w:bCs/>
          <w:sz w:val="21"/>
          <w:szCs w:val="21"/>
        </w:rPr>
      </w:pPr>
      <w:r w:rsidRPr="00004798">
        <w:rPr>
          <w:rFonts w:ascii="Abadi" w:hAnsi="Abadi" w:cs="Arial-BoldMT"/>
          <w:b/>
          <w:bCs/>
          <w:sz w:val="21"/>
          <w:szCs w:val="21"/>
        </w:rPr>
        <w:t>Guanajuato, Gto., 03 de mayo de 2022</w:t>
      </w:r>
    </w:p>
    <w:p w14:paraId="571B06A6" w14:textId="42DAF987" w:rsidR="0042560A" w:rsidRDefault="0042560A" w:rsidP="00EC4502">
      <w:pPr>
        <w:autoSpaceDE w:val="0"/>
        <w:autoSpaceDN w:val="0"/>
        <w:adjustRightInd w:val="0"/>
        <w:jc w:val="center"/>
        <w:rPr>
          <w:rFonts w:ascii="Abadi" w:hAnsi="Abadi" w:cs="Arial-BoldMT"/>
          <w:b/>
          <w:bCs/>
          <w:sz w:val="21"/>
          <w:szCs w:val="21"/>
        </w:rPr>
      </w:pPr>
    </w:p>
    <w:p w14:paraId="00CD2489" w14:textId="77777777" w:rsidR="00EC4502" w:rsidRPr="00004798" w:rsidRDefault="00EC4502" w:rsidP="00EC4502">
      <w:pPr>
        <w:jc w:val="center"/>
        <w:rPr>
          <w:rFonts w:ascii="Abadi" w:hAnsi="Abadi" w:cs="Arial-BoldMT"/>
          <w:b/>
          <w:bCs/>
          <w:sz w:val="21"/>
          <w:szCs w:val="21"/>
        </w:rPr>
      </w:pPr>
      <w:r w:rsidRPr="00004798">
        <w:rPr>
          <w:rFonts w:ascii="Abadi" w:hAnsi="Abadi" w:cs="Arial-BoldMT"/>
          <w:b/>
          <w:bCs/>
          <w:sz w:val="21"/>
          <w:szCs w:val="21"/>
        </w:rPr>
        <w:t>La Comisión de Educación, Ciencia y Tecnología y Cultura</w:t>
      </w:r>
    </w:p>
    <w:p w14:paraId="58FF5E14" w14:textId="77777777" w:rsidR="00EC4502" w:rsidRPr="00004798" w:rsidRDefault="00EC4502" w:rsidP="00EC4502">
      <w:pPr>
        <w:jc w:val="both"/>
        <w:rPr>
          <w:rFonts w:ascii="Abadi" w:hAnsi="Abadi" w:cs="Arial-BoldMT"/>
          <w:b/>
          <w:bCs/>
          <w:sz w:val="21"/>
          <w:szCs w:val="21"/>
        </w:rPr>
      </w:pPr>
    </w:p>
    <w:p w14:paraId="57C91BF4" w14:textId="77777777" w:rsidR="00EC4502" w:rsidRPr="00027B69" w:rsidRDefault="00EC4502" w:rsidP="00EC4502">
      <w:pPr>
        <w:contextualSpacing/>
        <w:jc w:val="both"/>
        <w:rPr>
          <w:rFonts w:ascii="Abadi" w:hAnsi="Abadi"/>
          <w:sz w:val="21"/>
          <w:szCs w:val="21"/>
        </w:rPr>
      </w:pPr>
      <w:r w:rsidRPr="00027B69">
        <w:rPr>
          <w:rFonts w:ascii="Abadi" w:hAnsi="Abadi"/>
          <w:sz w:val="21"/>
          <w:szCs w:val="21"/>
        </w:rPr>
        <w:t>Firma Electrónica</w:t>
      </w:r>
    </w:p>
    <w:p w14:paraId="59423A27" w14:textId="77777777" w:rsidR="00EC4502" w:rsidRPr="00004798" w:rsidRDefault="00EC4502" w:rsidP="00EC4502">
      <w:pPr>
        <w:contextualSpacing/>
        <w:jc w:val="both"/>
        <w:rPr>
          <w:rFonts w:ascii="Abadi" w:hAnsi="Abadi"/>
          <w:b/>
          <w:bCs/>
          <w:sz w:val="21"/>
          <w:szCs w:val="21"/>
        </w:rPr>
      </w:pPr>
      <w:r w:rsidRPr="00004798">
        <w:rPr>
          <w:rFonts w:ascii="Abadi" w:hAnsi="Abadi"/>
          <w:b/>
          <w:bCs/>
          <w:sz w:val="21"/>
          <w:szCs w:val="21"/>
        </w:rPr>
        <w:t>Diputada María de la Luz Hernández Martínez</w:t>
      </w:r>
    </w:p>
    <w:p w14:paraId="5CBDD431" w14:textId="77777777" w:rsidR="00EC4502" w:rsidRPr="00004798" w:rsidRDefault="00EC4502" w:rsidP="00EC4502">
      <w:pPr>
        <w:contextualSpacing/>
        <w:jc w:val="both"/>
        <w:rPr>
          <w:rFonts w:ascii="Abadi" w:hAnsi="Abadi"/>
          <w:b/>
          <w:bCs/>
          <w:sz w:val="21"/>
          <w:szCs w:val="21"/>
        </w:rPr>
      </w:pPr>
      <w:r w:rsidRPr="00004798">
        <w:rPr>
          <w:rFonts w:ascii="Abadi" w:hAnsi="Abadi"/>
          <w:b/>
          <w:bCs/>
          <w:sz w:val="21"/>
          <w:szCs w:val="21"/>
        </w:rPr>
        <w:t>Presidenta</w:t>
      </w:r>
    </w:p>
    <w:p w14:paraId="79823676" w14:textId="77777777" w:rsidR="00EC4502" w:rsidRPr="00004798" w:rsidRDefault="00EC4502" w:rsidP="00EC4502">
      <w:pPr>
        <w:contextualSpacing/>
        <w:jc w:val="both"/>
        <w:rPr>
          <w:rFonts w:ascii="Abadi" w:hAnsi="Abadi"/>
          <w:b/>
          <w:bCs/>
          <w:sz w:val="21"/>
          <w:szCs w:val="21"/>
        </w:rPr>
      </w:pPr>
    </w:p>
    <w:p w14:paraId="550D4B83" w14:textId="77777777" w:rsidR="00EC4502" w:rsidRPr="00027B69" w:rsidRDefault="00EC4502" w:rsidP="00EC4502">
      <w:pPr>
        <w:contextualSpacing/>
        <w:jc w:val="both"/>
        <w:rPr>
          <w:rFonts w:ascii="Abadi" w:hAnsi="Abadi"/>
          <w:sz w:val="21"/>
          <w:szCs w:val="21"/>
        </w:rPr>
      </w:pPr>
      <w:r w:rsidRPr="00027B69">
        <w:rPr>
          <w:rFonts w:ascii="Abadi" w:hAnsi="Abadi"/>
          <w:sz w:val="21"/>
          <w:szCs w:val="21"/>
        </w:rPr>
        <w:t>Firma Electrónica</w:t>
      </w:r>
    </w:p>
    <w:p w14:paraId="7A16B9E7" w14:textId="77777777" w:rsidR="00EC4502" w:rsidRPr="00004798" w:rsidRDefault="00EC4502" w:rsidP="00EC4502">
      <w:pPr>
        <w:contextualSpacing/>
        <w:jc w:val="both"/>
        <w:rPr>
          <w:rFonts w:ascii="Abadi" w:hAnsi="Abadi"/>
          <w:b/>
          <w:bCs/>
          <w:sz w:val="21"/>
          <w:szCs w:val="21"/>
        </w:rPr>
      </w:pPr>
      <w:r w:rsidRPr="00004798">
        <w:rPr>
          <w:rFonts w:ascii="Abadi" w:hAnsi="Abadi"/>
          <w:b/>
          <w:bCs/>
          <w:sz w:val="21"/>
          <w:szCs w:val="21"/>
        </w:rPr>
        <w:t xml:space="preserve">Diputada Armando Rangel Hernández </w:t>
      </w:r>
    </w:p>
    <w:p w14:paraId="54E6C08A" w14:textId="77777777" w:rsidR="00EC4502" w:rsidRPr="00004798" w:rsidRDefault="00EC4502" w:rsidP="00EC4502">
      <w:pPr>
        <w:contextualSpacing/>
        <w:jc w:val="both"/>
        <w:rPr>
          <w:rFonts w:ascii="Abadi" w:hAnsi="Abadi"/>
          <w:b/>
          <w:bCs/>
          <w:sz w:val="21"/>
          <w:szCs w:val="21"/>
        </w:rPr>
      </w:pPr>
      <w:r w:rsidRPr="00004798">
        <w:rPr>
          <w:rFonts w:ascii="Abadi" w:hAnsi="Abadi"/>
          <w:b/>
          <w:bCs/>
          <w:sz w:val="21"/>
          <w:szCs w:val="21"/>
        </w:rPr>
        <w:t xml:space="preserve">Secretario </w:t>
      </w:r>
    </w:p>
    <w:p w14:paraId="06854AD0" w14:textId="77777777" w:rsidR="00EC4502" w:rsidRDefault="00EC4502" w:rsidP="00EC4502">
      <w:pPr>
        <w:contextualSpacing/>
        <w:jc w:val="both"/>
        <w:rPr>
          <w:rFonts w:ascii="Abadi" w:hAnsi="Abadi"/>
          <w:b/>
          <w:bCs/>
          <w:sz w:val="21"/>
          <w:szCs w:val="21"/>
        </w:rPr>
      </w:pPr>
    </w:p>
    <w:p w14:paraId="714DF2DF" w14:textId="77777777" w:rsidR="00EC4502" w:rsidRPr="00027B69" w:rsidRDefault="00EC4502" w:rsidP="00EC4502">
      <w:pPr>
        <w:contextualSpacing/>
        <w:jc w:val="both"/>
        <w:rPr>
          <w:rFonts w:ascii="Abadi" w:hAnsi="Abadi"/>
          <w:sz w:val="21"/>
          <w:szCs w:val="21"/>
        </w:rPr>
      </w:pPr>
      <w:r w:rsidRPr="00027B69">
        <w:rPr>
          <w:rFonts w:ascii="Abadi" w:hAnsi="Abadi"/>
          <w:sz w:val="21"/>
          <w:szCs w:val="21"/>
        </w:rPr>
        <w:t>Firma Electrónica</w:t>
      </w:r>
    </w:p>
    <w:p w14:paraId="566B4B2C" w14:textId="77777777" w:rsidR="00EC4502" w:rsidRPr="00004798" w:rsidRDefault="00EC4502" w:rsidP="00EC4502">
      <w:pPr>
        <w:contextualSpacing/>
        <w:jc w:val="both"/>
        <w:rPr>
          <w:rFonts w:ascii="Abadi" w:hAnsi="Abadi"/>
          <w:b/>
          <w:bCs/>
          <w:sz w:val="21"/>
          <w:szCs w:val="21"/>
        </w:rPr>
      </w:pPr>
      <w:r w:rsidRPr="00004798">
        <w:rPr>
          <w:rFonts w:ascii="Abadi" w:hAnsi="Abadi"/>
          <w:b/>
          <w:bCs/>
          <w:sz w:val="21"/>
          <w:szCs w:val="21"/>
        </w:rPr>
        <w:t xml:space="preserve">Diputada Yulma Rocha Aguilar </w:t>
      </w:r>
    </w:p>
    <w:p w14:paraId="6D2FC20E" w14:textId="77777777" w:rsidR="00EC4502" w:rsidRDefault="00EC4502" w:rsidP="00EC4502">
      <w:pPr>
        <w:contextualSpacing/>
        <w:jc w:val="both"/>
        <w:rPr>
          <w:rFonts w:ascii="Abadi" w:hAnsi="Abadi"/>
          <w:b/>
          <w:bCs/>
          <w:sz w:val="21"/>
          <w:szCs w:val="21"/>
        </w:rPr>
      </w:pPr>
      <w:r w:rsidRPr="00004798">
        <w:rPr>
          <w:rFonts w:ascii="Abadi" w:hAnsi="Abadi"/>
          <w:b/>
          <w:bCs/>
          <w:sz w:val="21"/>
          <w:szCs w:val="21"/>
        </w:rPr>
        <w:t xml:space="preserve">Vocal </w:t>
      </w:r>
    </w:p>
    <w:p w14:paraId="5C348294" w14:textId="77777777" w:rsidR="00EC4502" w:rsidRPr="00004798" w:rsidRDefault="00EC4502" w:rsidP="00EC4502">
      <w:pPr>
        <w:contextualSpacing/>
        <w:jc w:val="both"/>
        <w:rPr>
          <w:rFonts w:ascii="Abadi" w:hAnsi="Abadi"/>
          <w:b/>
          <w:bCs/>
          <w:sz w:val="21"/>
          <w:szCs w:val="21"/>
        </w:rPr>
      </w:pPr>
    </w:p>
    <w:p w14:paraId="65824C64" w14:textId="77777777" w:rsidR="00EC4502" w:rsidRPr="00027B69" w:rsidRDefault="00EC4502" w:rsidP="00EC4502">
      <w:pPr>
        <w:contextualSpacing/>
        <w:jc w:val="both"/>
        <w:rPr>
          <w:rFonts w:ascii="Abadi" w:hAnsi="Abadi"/>
          <w:sz w:val="21"/>
          <w:szCs w:val="21"/>
        </w:rPr>
      </w:pPr>
      <w:r w:rsidRPr="00027B69">
        <w:rPr>
          <w:rFonts w:ascii="Abadi" w:hAnsi="Abadi"/>
          <w:sz w:val="21"/>
          <w:szCs w:val="21"/>
        </w:rPr>
        <w:t>Firma Electrónica</w:t>
      </w:r>
    </w:p>
    <w:p w14:paraId="52B9965B" w14:textId="77777777" w:rsidR="00EC4502" w:rsidRPr="00004798" w:rsidRDefault="00EC4502" w:rsidP="00EC4502">
      <w:pPr>
        <w:contextualSpacing/>
        <w:jc w:val="both"/>
        <w:rPr>
          <w:rFonts w:ascii="Abadi" w:hAnsi="Abadi"/>
          <w:b/>
          <w:bCs/>
          <w:sz w:val="21"/>
          <w:szCs w:val="21"/>
        </w:rPr>
      </w:pPr>
      <w:r w:rsidRPr="00004798">
        <w:rPr>
          <w:rFonts w:ascii="Abadi" w:hAnsi="Abadi"/>
          <w:b/>
          <w:bCs/>
          <w:sz w:val="21"/>
          <w:szCs w:val="21"/>
        </w:rPr>
        <w:t xml:space="preserve">Diputada Lilia Margarita Rionda Salas </w:t>
      </w:r>
    </w:p>
    <w:p w14:paraId="34CA0ED4" w14:textId="77777777" w:rsidR="00EC4502" w:rsidRPr="00004798" w:rsidRDefault="00EC4502" w:rsidP="00EC4502">
      <w:pPr>
        <w:contextualSpacing/>
        <w:jc w:val="both"/>
        <w:rPr>
          <w:rFonts w:ascii="Abadi" w:hAnsi="Abadi"/>
          <w:b/>
          <w:bCs/>
          <w:sz w:val="21"/>
          <w:szCs w:val="21"/>
        </w:rPr>
      </w:pPr>
      <w:r w:rsidRPr="00004798">
        <w:rPr>
          <w:rFonts w:ascii="Abadi" w:hAnsi="Abadi"/>
          <w:b/>
          <w:bCs/>
          <w:sz w:val="21"/>
          <w:szCs w:val="21"/>
        </w:rPr>
        <w:t xml:space="preserve">Vocal </w:t>
      </w:r>
    </w:p>
    <w:p w14:paraId="46A7B8D3" w14:textId="77777777" w:rsidR="00EC4502" w:rsidRDefault="00EC4502" w:rsidP="00EC4502">
      <w:pPr>
        <w:contextualSpacing/>
        <w:jc w:val="both"/>
        <w:rPr>
          <w:rFonts w:ascii="Abadi" w:hAnsi="Abadi"/>
          <w:b/>
          <w:bCs/>
          <w:sz w:val="21"/>
          <w:szCs w:val="21"/>
        </w:rPr>
      </w:pPr>
    </w:p>
    <w:p w14:paraId="2B6A6061" w14:textId="77777777" w:rsidR="00EC4502" w:rsidRPr="00027B69" w:rsidRDefault="00EC4502" w:rsidP="00EC4502">
      <w:pPr>
        <w:contextualSpacing/>
        <w:jc w:val="both"/>
        <w:rPr>
          <w:rFonts w:ascii="Abadi" w:hAnsi="Abadi"/>
          <w:sz w:val="21"/>
          <w:szCs w:val="21"/>
        </w:rPr>
      </w:pPr>
      <w:r w:rsidRPr="00027B69">
        <w:rPr>
          <w:rFonts w:ascii="Abadi" w:hAnsi="Abadi"/>
          <w:sz w:val="21"/>
          <w:szCs w:val="21"/>
        </w:rPr>
        <w:t>Firma Electrónica</w:t>
      </w:r>
    </w:p>
    <w:p w14:paraId="2B002808" w14:textId="77777777" w:rsidR="00EC4502" w:rsidRPr="00004798" w:rsidRDefault="00EC4502" w:rsidP="00EC4502">
      <w:pPr>
        <w:contextualSpacing/>
        <w:jc w:val="both"/>
        <w:rPr>
          <w:rFonts w:ascii="Abadi" w:hAnsi="Abadi"/>
          <w:b/>
          <w:bCs/>
          <w:sz w:val="21"/>
          <w:szCs w:val="21"/>
        </w:rPr>
      </w:pPr>
      <w:r w:rsidRPr="00004798">
        <w:rPr>
          <w:rFonts w:ascii="Abadi" w:hAnsi="Abadi"/>
          <w:b/>
          <w:bCs/>
          <w:sz w:val="21"/>
          <w:szCs w:val="21"/>
        </w:rPr>
        <w:t>Diputada Irma Leticia González Sánchez</w:t>
      </w:r>
    </w:p>
    <w:p w14:paraId="400C76A0" w14:textId="26764133" w:rsidR="00EC4502" w:rsidRDefault="00EC4502" w:rsidP="00EC4502">
      <w:pPr>
        <w:contextualSpacing/>
        <w:jc w:val="both"/>
        <w:rPr>
          <w:rFonts w:ascii="Abadi" w:hAnsi="Abadi"/>
          <w:b/>
          <w:bCs/>
          <w:sz w:val="21"/>
          <w:szCs w:val="21"/>
        </w:rPr>
      </w:pPr>
      <w:r w:rsidRPr="00004798">
        <w:rPr>
          <w:rFonts w:ascii="Abadi" w:hAnsi="Abadi"/>
          <w:b/>
          <w:bCs/>
          <w:sz w:val="21"/>
          <w:szCs w:val="21"/>
        </w:rPr>
        <w:t>Vocal</w:t>
      </w:r>
    </w:p>
    <w:p w14:paraId="5C3678FC" w14:textId="54280C93" w:rsidR="00571148" w:rsidRDefault="00571148" w:rsidP="00571148">
      <w:pPr>
        <w:ind w:firstLine="708"/>
        <w:jc w:val="both"/>
        <w:rPr>
          <w:rFonts w:ascii="Abadi" w:hAnsi="Abadi"/>
          <w:sz w:val="21"/>
          <w:szCs w:val="21"/>
        </w:rPr>
      </w:pPr>
      <w:r>
        <w:rPr>
          <w:rFonts w:ascii="Abadi" w:hAnsi="Abadi"/>
          <w:b/>
          <w:bCs/>
          <w:sz w:val="21"/>
          <w:szCs w:val="21"/>
        </w:rPr>
        <w:t xml:space="preserve">- </w:t>
      </w:r>
      <w:r w:rsidRPr="00571148">
        <w:rPr>
          <w:rFonts w:ascii="Abadi" w:hAnsi="Abadi"/>
          <w:b/>
          <w:bCs/>
          <w:sz w:val="21"/>
          <w:szCs w:val="21"/>
        </w:rPr>
        <w:t>La Presidencia.-</w:t>
      </w:r>
      <w:r w:rsidRPr="00571148">
        <w:rPr>
          <w:rFonts w:ascii="Abadi" w:hAnsi="Abadi"/>
          <w:sz w:val="21"/>
          <w:szCs w:val="21"/>
        </w:rPr>
        <w:t xml:space="preserve"> Enseguida se somete discusión del dictamen emitido por la Comisión de Educación Ciencia y Cultura relativo a la propuesta de punto de acuerdo suscita por diputadas y diputados integrantes del Grupo Parlamentario del Partido Morena a efecto de exhortar a Jorge Enrique Hernández Meza, titular de la Secretaría de Educación de Guanajuato, para que lleve a cabo las acciones necesarias a fin de implementar en todas las instituciones educativas la utilización de uniformes escolares neutros para que las niñas y adolescentes mujeres, tengan la oportunidad de elegir entre el uso de pantalón o falda. </w:t>
      </w:r>
    </w:p>
    <w:p w14:paraId="69A1D0FB" w14:textId="77777777" w:rsidR="00571148" w:rsidRPr="00571148" w:rsidRDefault="00571148" w:rsidP="00571148">
      <w:pPr>
        <w:ind w:firstLine="708"/>
        <w:jc w:val="both"/>
        <w:rPr>
          <w:rFonts w:ascii="Abadi" w:hAnsi="Abadi"/>
          <w:sz w:val="21"/>
          <w:szCs w:val="21"/>
        </w:rPr>
      </w:pPr>
    </w:p>
    <w:p w14:paraId="30CC4C3E" w14:textId="517C7EA0" w:rsidR="00571148" w:rsidRDefault="00571148" w:rsidP="00571148">
      <w:pPr>
        <w:ind w:firstLine="708"/>
        <w:jc w:val="both"/>
        <w:rPr>
          <w:rFonts w:ascii="Abadi" w:hAnsi="Abadi"/>
          <w:sz w:val="21"/>
          <w:szCs w:val="21"/>
        </w:rPr>
      </w:pPr>
      <w:r w:rsidRPr="00571148">
        <w:rPr>
          <w:rFonts w:ascii="Abadi" w:hAnsi="Abadi"/>
          <w:sz w:val="21"/>
          <w:szCs w:val="21"/>
        </w:rPr>
        <w:t xml:space="preserve">- Me permito informar que previamente se ha inscrito la diputada María de la Luz Hernández Martínez, para hablar a favor. </w:t>
      </w:r>
    </w:p>
    <w:p w14:paraId="3012A7AD" w14:textId="77777777" w:rsidR="00571148" w:rsidRPr="00571148" w:rsidRDefault="00571148" w:rsidP="00571148">
      <w:pPr>
        <w:ind w:firstLine="708"/>
        <w:jc w:val="both"/>
        <w:rPr>
          <w:rFonts w:ascii="Abadi" w:hAnsi="Abadi"/>
          <w:sz w:val="21"/>
          <w:szCs w:val="21"/>
        </w:rPr>
      </w:pPr>
    </w:p>
    <w:p w14:paraId="2895A132" w14:textId="03321719" w:rsidR="00571148" w:rsidRDefault="00571148" w:rsidP="00571148">
      <w:pPr>
        <w:ind w:firstLine="708"/>
        <w:jc w:val="both"/>
        <w:rPr>
          <w:rFonts w:ascii="Abadi" w:hAnsi="Abadi"/>
          <w:sz w:val="21"/>
          <w:szCs w:val="21"/>
        </w:rPr>
      </w:pPr>
      <w:r>
        <w:rPr>
          <w:rFonts w:ascii="Abadi" w:hAnsi="Abadi"/>
          <w:sz w:val="21"/>
          <w:szCs w:val="21"/>
        </w:rPr>
        <w:t xml:space="preserve">- </w:t>
      </w:r>
      <w:r w:rsidRPr="00571148">
        <w:rPr>
          <w:rFonts w:ascii="Abadi" w:hAnsi="Abadi"/>
          <w:sz w:val="21"/>
          <w:szCs w:val="21"/>
        </w:rPr>
        <w:t>Si alguna otra diputada o algún diputado desea hacer uso de la palabra en pro</w:t>
      </w:r>
      <w:r w:rsidR="00BB041F">
        <w:rPr>
          <w:rFonts w:ascii="Abadi" w:hAnsi="Abadi"/>
          <w:sz w:val="21"/>
          <w:szCs w:val="21"/>
        </w:rPr>
        <w:t>…</w:t>
      </w:r>
      <w:r w:rsidRPr="00571148">
        <w:rPr>
          <w:rFonts w:ascii="Abadi" w:hAnsi="Abadi"/>
          <w:sz w:val="21"/>
          <w:szCs w:val="21"/>
        </w:rPr>
        <w:t xml:space="preserve"> ¡Perdón! es la diputada Martha Edith Moreno Valencia.</w:t>
      </w:r>
    </w:p>
    <w:p w14:paraId="159A09F3" w14:textId="77777777" w:rsidR="00571148" w:rsidRPr="00571148" w:rsidRDefault="00571148" w:rsidP="00571148">
      <w:pPr>
        <w:jc w:val="both"/>
        <w:rPr>
          <w:rFonts w:ascii="Abadi" w:hAnsi="Abadi"/>
          <w:sz w:val="21"/>
          <w:szCs w:val="21"/>
        </w:rPr>
      </w:pPr>
    </w:p>
    <w:p w14:paraId="0F55B743" w14:textId="5FD70AAC" w:rsidR="00571148" w:rsidRDefault="00571148" w:rsidP="00571148">
      <w:pPr>
        <w:ind w:firstLine="708"/>
        <w:jc w:val="both"/>
        <w:rPr>
          <w:rFonts w:ascii="Abadi" w:hAnsi="Abadi"/>
          <w:sz w:val="21"/>
          <w:szCs w:val="21"/>
        </w:rPr>
      </w:pPr>
      <w:r>
        <w:rPr>
          <w:rFonts w:ascii="Abadi" w:hAnsi="Abadi"/>
          <w:sz w:val="21"/>
          <w:szCs w:val="21"/>
        </w:rPr>
        <w:t xml:space="preserve">- </w:t>
      </w:r>
      <w:r w:rsidRPr="00571148">
        <w:rPr>
          <w:rFonts w:ascii="Abadi" w:hAnsi="Abadi"/>
          <w:sz w:val="21"/>
          <w:szCs w:val="21"/>
        </w:rPr>
        <w:t xml:space="preserve">Si alguna otra diputada o algún diputado desea hacer uso de la palabra, en pro o en contra, manifiéstenlo indicando el sentido de su participación. </w:t>
      </w:r>
    </w:p>
    <w:p w14:paraId="57C154FB" w14:textId="77777777" w:rsidR="00BB041F" w:rsidRPr="00571148" w:rsidRDefault="00BB041F" w:rsidP="00571148">
      <w:pPr>
        <w:ind w:firstLine="708"/>
        <w:jc w:val="both"/>
        <w:rPr>
          <w:rFonts w:ascii="Abadi" w:hAnsi="Abadi"/>
          <w:sz w:val="21"/>
          <w:szCs w:val="21"/>
        </w:rPr>
      </w:pPr>
    </w:p>
    <w:p w14:paraId="66642C60" w14:textId="47F2E5D1" w:rsidR="00571148" w:rsidRDefault="00BB041F" w:rsidP="00BB041F">
      <w:pPr>
        <w:ind w:firstLine="708"/>
        <w:jc w:val="both"/>
        <w:rPr>
          <w:rFonts w:ascii="Abadi" w:hAnsi="Abadi"/>
          <w:sz w:val="21"/>
          <w:szCs w:val="21"/>
        </w:rPr>
      </w:pPr>
      <w:r>
        <w:rPr>
          <w:rFonts w:ascii="Abadi" w:hAnsi="Abadi"/>
          <w:sz w:val="21"/>
          <w:szCs w:val="21"/>
        </w:rPr>
        <w:t xml:space="preserve">- </w:t>
      </w:r>
      <w:r w:rsidR="00571148" w:rsidRPr="00571148">
        <w:rPr>
          <w:rFonts w:ascii="Abadi" w:hAnsi="Abadi"/>
          <w:sz w:val="21"/>
          <w:szCs w:val="21"/>
        </w:rPr>
        <w:t xml:space="preserve">Adelante, diputada. </w:t>
      </w:r>
    </w:p>
    <w:p w14:paraId="08848B0C" w14:textId="77777777" w:rsidR="00BB041F" w:rsidRPr="00571148" w:rsidRDefault="00BB041F" w:rsidP="00571148">
      <w:pPr>
        <w:jc w:val="both"/>
        <w:rPr>
          <w:rFonts w:ascii="Abadi" w:hAnsi="Abadi"/>
          <w:sz w:val="21"/>
          <w:szCs w:val="21"/>
        </w:rPr>
      </w:pPr>
    </w:p>
    <w:p w14:paraId="2C075111" w14:textId="756B9A37" w:rsidR="00571148" w:rsidRDefault="00571148" w:rsidP="00571148">
      <w:pPr>
        <w:jc w:val="both"/>
        <w:rPr>
          <w:rFonts w:ascii="Abadi" w:hAnsi="Abadi"/>
          <w:sz w:val="21"/>
          <w:szCs w:val="21"/>
        </w:rPr>
      </w:pPr>
      <w:r w:rsidRPr="00571148">
        <w:rPr>
          <w:rFonts w:ascii="Abadi" w:hAnsi="Abadi"/>
          <w:sz w:val="21"/>
          <w:szCs w:val="21"/>
        </w:rPr>
        <w:t xml:space="preserve">¿Diputada María de la Luz?  ¿Para qué efecto? </w:t>
      </w:r>
    </w:p>
    <w:p w14:paraId="3C0821A6" w14:textId="77777777" w:rsidR="00BB041F" w:rsidRPr="00571148" w:rsidRDefault="00BB041F" w:rsidP="00571148">
      <w:pPr>
        <w:jc w:val="both"/>
        <w:rPr>
          <w:rFonts w:ascii="Abadi" w:hAnsi="Abadi"/>
          <w:sz w:val="21"/>
          <w:szCs w:val="21"/>
        </w:rPr>
      </w:pPr>
    </w:p>
    <w:p w14:paraId="2FBDCC1F" w14:textId="77777777" w:rsidR="00571148" w:rsidRPr="00571148" w:rsidRDefault="00571148" w:rsidP="00571148">
      <w:pPr>
        <w:jc w:val="both"/>
        <w:rPr>
          <w:rFonts w:ascii="Abadi" w:hAnsi="Abadi"/>
          <w:sz w:val="21"/>
          <w:szCs w:val="21"/>
        </w:rPr>
      </w:pPr>
      <w:r w:rsidRPr="00571148">
        <w:rPr>
          <w:rFonts w:ascii="Abadi" w:hAnsi="Abadi"/>
          <w:sz w:val="21"/>
          <w:szCs w:val="21"/>
        </w:rPr>
        <w:t xml:space="preserve">(Voz) Diputada María de la Luz, para hablar a favor (Voz) diputada Presidenta. Sí, adelante, Diputada, Edith y continuamos con la diputada Lucy. </w:t>
      </w:r>
    </w:p>
    <w:p w14:paraId="5AE6CB04" w14:textId="77777777" w:rsidR="00571148" w:rsidRPr="00571148" w:rsidRDefault="00571148" w:rsidP="00571148">
      <w:pPr>
        <w:jc w:val="both"/>
        <w:rPr>
          <w:rFonts w:ascii="Abadi" w:hAnsi="Abadi"/>
          <w:sz w:val="21"/>
          <w:szCs w:val="21"/>
        </w:rPr>
      </w:pPr>
    </w:p>
    <w:p w14:paraId="63073463" w14:textId="77777777" w:rsidR="00571148" w:rsidRPr="00571148" w:rsidRDefault="00571148" w:rsidP="00571148">
      <w:pPr>
        <w:jc w:val="both"/>
        <w:rPr>
          <w:rFonts w:ascii="Abadi" w:hAnsi="Abadi"/>
          <w:sz w:val="21"/>
          <w:szCs w:val="21"/>
        </w:rPr>
      </w:pPr>
    </w:p>
    <w:p w14:paraId="2671B54C" w14:textId="77777777" w:rsidR="00571148" w:rsidRPr="00571148" w:rsidRDefault="00571148" w:rsidP="00571148">
      <w:pPr>
        <w:jc w:val="both"/>
        <w:rPr>
          <w:rFonts w:ascii="Abadi" w:hAnsi="Abadi"/>
          <w:b/>
          <w:bCs/>
          <w:sz w:val="21"/>
          <w:szCs w:val="21"/>
        </w:rPr>
      </w:pPr>
      <w:r w:rsidRPr="00571148">
        <w:rPr>
          <w:rFonts w:ascii="Abadi" w:hAnsi="Abadi"/>
          <w:b/>
          <w:bCs/>
          <w:sz w:val="21"/>
          <w:szCs w:val="21"/>
        </w:rPr>
        <w:t xml:space="preserve">(Sube a tribuna la Diputada Martha Edith Moreno Valencia, para hablar a en contra del dictamen) </w:t>
      </w:r>
    </w:p>
    <w:p w14:paraId="7344FDB2" w14:textId="66CA28C6" w:rsidR="00571148" w:rsidRPr="00571148" w:rsidRDefault="00571148" w:rsidP="00571148">
      <w:pPr>
        <w:jc w:val="both"/>
        <w:rPr>
          <w:rFonts w:ascii="Abadi" w:hAnsi="Abadi"/>
          <w:sz w:val="21"/>
          <w:szCs w:val="21"/>
        </w:rPr>
      </w:pPr>
    </w:p>
    <w:p w14:paraId="6075D0ED" w14:textId="77777777" w:rsidR="00BB041F" w:rsidRPr="00571148" w:rsidRDefault="00BB041F" w:rsidP="00571148">
      <w:pPr>
        <w:jc w:val="both"/>
        <w:rPr>
          <w:rFonts w:ascii="Abadi" w:hAnsi="Abadi"/>
          <w:b/>
          <w:bCs/>
          <w:sz w:val="21"/>
          <w:szCs w:val="21"/>
        </w:rPr>
      </w:pPr>
    </w:p>
    <w:p w14:paraId="14BCF287" w14:textId="1F775153" w:rsidR="00BB041F" w:rsidRDefault="00BB041F" w:rsidP="00571148">
      <w:pPr>
        <w:jc w:val="both"/>
        <w:rPr>
          <w:rFonts w:ascii="Abadi" w:hAnsi="Abadi"/>
          <w:sz w:val="21"/>
          <w:szCs w:val="21"/>
        </w:rPr>
      </w:pPr>
      <w:r w:rsidRPr="00571148">
        <w:rPr>
          <w:rFonts w:ascii="Abadi" w:hAnsi="Abadi"/>
          <w:noProof/>
          <w:sz w:val="21"/>
          <w:szCs w:val="21"/>
        </w:rPr>
        <w:drawing>
          <wp:anchor distT="0" distB="0" distL="114300" distR="114300" simplePos="0" relativeHeight="251699200" behindDoc="1" locked="0" layoutInCell="1" allowOverlap="1" wp14:anchorId="3D36F005" wp14:editId="78E3E317">
            <wp:simplePos x="0" y="0"/>
            <wp:positionH relativeFrom="column">
              <wp:posOffset>335280</wp:posOffset>
            </wp:positionH>
            <wp:positionV relativeFrom="paragraph">
              <wp:posOffset>133985</wp:posOffset>
            </wp:positionV>
            <wp:extent cx="1793875" cy="932180"/>
            <wp:effectExtent l="0" t="133350" r="0" b="725170"/>
            <wp:wrapTight wrapText="bothSides">
              <wp:wrapPolygon edited="0">
                <wp:start x="11240" y="-3090"/>
                <wp:lineTo x="0" y="-2207"/>
                <wp:lineTo x="0" y="22071"/>
                <wp:lineTo x="459" y="37962"/>
                <wp:lineTo x="3670" y="37962"/>
                <wp:lineTo x="3899" y="37079"/>
                <wp:lineTo x="19956" y="33106"/>
                <wp:lineTo x="20185" y="4856"/>
                <wp:lineTo x="19727" y="-1766"/>
                <wp:lineTo x="19727" y="-3090"/>
                <wp:lineTo x="11240" y="-309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b="7630"/>
                    <a:stretch/>
                  </pic:blipFill>
                  <pic:spPr bwMode="auto">
                    <a:xfrm>
                      <a:off x="0" y="0"/>
                      <a:ext cx="1793875" cy="93218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324C0B80" w14:textId="77777777" w:rsidR="00BB041F" w:rsidRDefault="00BB041F" w:rsidP="00571148">
      <w:pPr>
        <w:jc w:val="both"/>
        <w:rPr>
          <w:rFonts w:ascii="Abadi" w:hAnsi="Abadi"/>
          <w:sz w:val="21"/>
          <w:szCs w:val="21"/>
        </w:rPr>
      </w:pPr>
    </w:p>
    <w:p w14:paraId="0DF423F4" w14:textId="77777777" w:rsidR="00BB041F" w:rsidRDefault="00BB041F" w:rsidP="00571148">
      <w:pPr>
        <w:jc w:val="both"/>
        <w:rPr>
          <w:rFonts w:ascii="Abadi" w:hAnsi="Abadi"/>
          <w:sz w:val="21"/>
          <w:szCs w:val="21"/>
        </w:rPr>
      </w:pPr>
    </w:p>
    <w:p w14:paraId="1BE5FBF4" w14:textId="77777777" w:rsidR="00BB041F" w:rsidRDefault="00BB041F" w:rsidP="00571148">
      <w:pPr>
        <w:jc w:val="both"/>
        <w:rPr>
          <w:rFonts w:ascii="Abadi" w:hAnsi="Abadi"/>
          <w:sz w:val="21"/>
          <w:szCs w:val="21"/>
        </w:rPr>
      </w:pPr>
    </w:p>
    <w:p w14:paraId="42D358DD" w14:textId="77777777" w:rsidR="00BB041F" w:rsidRDefault="00BB041F" w:rsidP="00571148">
      <w:pPr>
        <w:jc w:val="both"/>
        <w:rPr>
          <w:rFonts w:ascii="Abadi" w:hAnsi="Abadi"/>
          <w:sz w:val="21"/>
          <w:szCs w:val="21"/>
        </w:rPr>
      </w:pPr>
    </w:p>
    <w:p w14:paraId="75D8C928" w14:textId="77777777" w:rsidR="00BB041F" w:rsidRDefault="00BB041F" w:rsidP="00571148">
      <w:pPr>
        <w:jc w:val="both"/>
        <w:rPr>
          <w:rFonts w:ascii="Abadi" w:hAnsi="Abadi"/>
          <w:sz w:val="21"/>
          <w:szCs w:val="21"/>
        </w:rPr>
      </w:pPr>
    </w:p>
    <w:p w14:paraId="4AC8F2CA" w14:textId="77777777" w:rsidR="00BB041F" w:rsidRDefault="00BB041F" w:rsidP="00571148">
      <w:pPr>
        <w:jc w:val="both"/>
        <w:rPr>
          <w:rFonts w:ascii="Abadi" w:hAnsi="Abadi"/>
          <w:sz w:val="21"/>
          <w:szCs w:val="21"/>
        </w:rPr>
      </w:pPr>
    </w:p>
    <w:p w14:paraId="00148988" w14:textId="77777777" w:rsidR="00BB041F" w:rsidRDefault="00BB041F" w:rsidP="00571148">
      <w:pPr>
        <w:jc w:val="both"/>
        <w:rPr>
          <w:rFonts w:ascii="Abadi" w:hAnsi="Abadi"/>
          <w:sz w:val="21"/>
          <w:szCs w:val="21"/>
        </w:rPr>
      </w:pPr>
    </w:p>
    <w:p w14:paraId="4E0834F1" w14:textId="77777777" w:rsidR="00BB041F" w:rsidRDefault="00BB041F" w:rsidP="00571148">
      <w:pPr>
        <w:jc w:val="both"/>
        <w:rPr>
          <w:rFonts w:ascii="Abadi" w:hAnsi="Abadi"/>
          <w:sz w:val="21"/>
          <w:szCs w:val="21"/>
        </w:rPr>
      </w:pPr>
    </w:p>
    <w:p w14:paraId="5E140C21" w14:textId="77777777" w:rsidR="00BB041F" w:rsidRDefault="00BB041F" w:rsidP="00571148">
      <w:pPr>
        <w:jc w:val="both"/>
        <w:rPr>
          <w:rFonts w:ascii="Abadi" w:hAnsi="Abadi"/>
          <w:sz w:val="21"/>
          <w:szCs w:val="21"/>
        </w:rPr>
      </w:pPr>
    </w:p>
    <w:p w14:paraId="3691FCD5" w14:textId="77777777" w:rsidR="00BB041F" w:rsidRDefault="00BB041F" w:rsidP="00571148">
      <w:pPr>
        <w:jc w:val="both"/>
        <w:rPr>
          <w:rFonts w:ascii="Abadi" w:hAnsi="Abadi"/>
          <w:sz w:val="21"/>
          <w:szCs w:val="21"/>
        </w:rPr>
      </w:pPr>
    </w:p>
    <w:p w14:paraId="3FA6EC88" w14:textId="77777777" w:rsidR="00BB041F" w:rsidRDefault="00BB041F" w:rsidP="00571148">
      <w:pPr>
        <w:jc w:val="both"/>
        <w:rPr>
          <w:rFonts w:ascii="Abadi" w:hAnsi="Abadi"/>
          <w:sz w:val="21"/>
          <w:szCs w:val="21"/>
        </w:rPr>
      </w:pPr>
    </w:p>
    <w:p w14:paraId="2C2B009B" w14:textId="77777777" w:rsidR="00BB041F" w:rsidRDefault="00BB041F" w:rsidP="00571148">
      <w:pPr>
        <w:jc w:val="both"/>
        <w:rPr>
          <w:rFonts w:ascii="Abadi" w:hAnsi="Abadi"/>
          <w:sz w:val="21"/>
          <w:szCs w:val="21"/>
        </w:rPr>
      </w:pPr>
    </w:p>
    <w:p w14:paraId="3F7B77E2" w14:textId="77777777" w:rsidR="00BB041F" w:rsidRDefault="00BB041F" w:rsidP="00571148">
      <w:pPr>
        <w:jc w:val="both"/>
        <w:rPr>
          <w:rFonts w:ascii="Abadi" w:hAnsi="Abadi"/>
          <w:sz w:val="21"/>
          <w:szCs w:val="21"/>
        </w:rPr>
      </w:pPr>
    </w:p>
    <w:p w14:paraId="791DE9D1" w14:textId="7157D426" w:rsidR="00571148" w:rsidRDefault="00571148" w:rsidP="00571148">
      <w:pPr>
        <w:jc w:val="both"/>
        <w:rPr>
          <w:rFonts w:ascii="Abadi" w:hAnsi="Abadi"/>
          <w:sz w:val="21"/>
          <w:szCs w:val="21"/>
        </w:rPr>
      </w:pPr>
      <w:r w:rsidRPr="00571148">
        <w:rPr>
          <w:rFonts w:ascii="Abadi" w:hAnsi="Abadi"/>
          <w:sz w:val="21"/>
          <w:szCs w:val="21"/>
        </w:rPr>
        <w:t xml:space="preserve">- Muchas gracias, Señora Presidenta, con el permiso de los ciudadanos, que es a quienes me debo. Muy buenas tardes, compañeras, compañeros, medios de comunicación y a quienes nos ven a través de las distintas plataformas digitales. </w:t>
      </w:r>
    </w:p>
    <w:p w14:paraId="4AEB22C4" w14:textId="77777777" w:rsidR="00BB041F" w:rsidRPr="00571148" w:rsidRDefault="00BB041F" w:rsidP="00571148">
      <w:pPr>
        <w:jc w:val="both"/>
        <w:rPr>
          <w:rFonts w:ascii="Abadi" w:hAnsi="Abadi"/>
          <w:sz w:val="21"/>
          <w:szCs w:val="21"/>
        </w:rPr>
      </w:pPr>
    </w:p>
    <w:p w14:paraId="0B9FE5E6" w14:textId="5172B735" w:rsidR="00571148" w:rsidRDefault="00571148" w:rsidP="00571148">
      <w:pPr>
        <w:jc w:val="both"/>
        <w:rPr>
          <w:rFonts w:ascii="Abadi" w:hAnsi="Abadi"/>
          <w:sz w:val="21"/>
          <w:szCs w:val="21"/>
        </w:rPr>
      </w:pPr>
      <w:r w:rsidRPr="00571148">
        <w:rPr>
          <w:rFonts w:ascii="Abadi" w:hAnsi="Abadi"/>
          <w:sz w:val="21"/>
          <w:szCs w:val="21"/>
        </w:rPr>
        <w:t xml:space="preserve">- Mi posicionamiento ante este archivo definitivo, pues es en contra, porque el exhorto que están a punto de mandar el archivo definitivo tiene un objetivo muy claro aportar el avance significativo en la promoción de la equidad de género y de la igualdad sustantiva para que las nuevas infancia y adolescencia puedan disfrutar de su libre desarrollo en una sociedad pues más justa y más sana. </w:t>
      </w:r>
    </w:p>
    <w:p w14:paraId="38EB3A68" w14:textId="77777777" w:rsidR="00BB041F" w:rsidRPr="00571148" w:rsidRDefault="00BB041F" w:rsidP="00571148">
      <w:pPr>
        <w:jc w:val="both"/>
        <w:rPr>
          <w:rFonts w:ascii="Abadi" w:hAnsi="Abadi"/>
          <w:sz w:val="21"/>
          <w:szCs w:val="21"/>
        </w:rPr>
      </w:pPr>
    </w:p>
    <w:p w14:paraId="10435C7C" w14:textId="332C6C91" w:rsidR="00571148" w:rsidRDefault="00571148" w:rsidP="00571148">
      <w:pPr>
        <w:jc w:val="both"/>
        <w:rPr>
          <w:rFonts w:ascii="Abadi" w:hAnsi="Abadi"/>
          <w:sz w:val="21"/>
          <w:szCs w:val="21"/>
        </w:rPr>
      </w:pPr>
      <w:r w:rsidRPr="00571148">
        <w:rPr>
          <w:rFonts w:ascii="Abadi" w:hAnsi="Abadi"/>
          <w:sz w:val="21"/>
          <w:szCs w:val="21"/>
        </w:rPr>
        <w:t xml:space="preserve">- El Grupo Parlamentario mayoritario conservador machista se empeña en continuar con aquellos patrones socioculturales patriarcales, como la idea de que el uso de la falda es para las niñas y las mujeres, algo que no solo es una limitante para algunas actividades, sino que propicia prejuicios, desigualdad, discriminación y, en muchas otras ocasiones, incomodidad por la cosa que viven las niñas y las adolescentes en los espacios escolares. </w:t>
      </w:r>
    </w:p>
    <w:p w14:paraId="4A4DC6C6" w14:textId="77777777" w:rsidR="00BB041F" w:rsidRPr="00571148" w:rsidRDefault="00BB041F" w:rsidP="00571148">
      <w:pPr>
        <w:jc w:val="both"/>
        <w:rPr>
          <w:rFonts w:ascii="Abadi" w:hAnsi="Abadi"/>
          <w:sz w:val="21"/>
          <w:szCs w:val="21"/>
        </w:rPr>
      </w:pPr>
    </w:p>
    <w:p w14:paraId="033FAFCE" w14:textId="24CF7A70" w:rsidR="00571148" w:rsidRDefault="00571148" w:rsidP="00571148">
      <w:pPr>
        <w:jc w:val="both"/>
        <w:rPr>
          <w:rFonts w:ascii="Abadi" w:hAnsi="Abadi"/>
          <w:sz w:val="21"/>
          <w:szCs w:val="21"/>
        </w:rPr>
      </w:pPr>
      <w:r w:rsidRPr="00571148">
        <w:rPr>
          <w:rFonts w:ascii="Abadi" w:hAnsi="Abadi"/>
          <w:sz w:val="21"/>
          <w:szCs w:val="21"/>
        </w:rPr>
        <w:t xml:space="preserve">- El PAN se rehúsa a darle la libertad a nuestras niñas adolescentes para que se desenvuelvan de forma segura y de forma que no les condiciones con estereotipos de género su vestimenta, la actitud autoritaria de acción nacional, se ve reflejado en el trabajo legislativo de las comisiones. </w:t>
      </w:r>
    </w:p>
    <w:p w14:paraId="4698F2BA" w14:textId="77777777" w:rsidR="00BB041F" w:rsidRPr="00571148" w:rsidRDefault="00BB041F" w:rsidP="00571148">
      <w:pPr>
        <w:jc w:val="both"/>
        <w:rPr>
          <w:rFonts w:ascii="Abadi" w:hAnsi="Abadi"/>
          <w:sz w:val="21"/>
          <w:szCs w:val="21"/>
        </w:rPr>
      </w:pPr>
    </w:p>
    <w:p w14:paraId="3D483280" w14:textId="74A4B3D1" w:rsidR="00571148" w:rsidRDefault="00571148" w:rsidP="00571148">
      <w:pPr>
        <w:jc w:val="both"/>
        <w:rPr>
          <w:rFonts w:ascii="Abadi" w:hAnsi="Abadi"/>
          <w:sz w:val="21"/>
          <w:szCs w:val="21"/>
        </w:rPr>
      </w:pPr>
      <w:r w:rsidRPr="00571148">
        <w:rPr>
          <w:rFonts w:ascii="Abadi" w:hAnsi="Abadi"/>
          <w:sz w:val="21"/>
          <w:szCs w:val="21"/>
        </w:rPr>
        <w:t xml:space="preserve">- Un ejemplo de esto es precisamente que al exhorto en cuestión no se le asignó metodología de análisis alguna ni se le solicitó opinión a ninguna institución. </w:t>
      </w:r>
    </w:p>
    <w:p w14:paraId="6D93487E" w14:textId="77777777" w:rsidR="00BB041F" w:rsidRPr="00571148" w:rsidRDefault="00BB041F" w:rsidP="00571148">
      <w:pPr>
        <w:jc w:val="both"/>
        <w:rPr>
          <w:rFonts w:ascii="Abadi" w:hAnsi="Abadi"/>
          <w:sz w:val="21"/>
          <w:szCs w:val="21"/>
        </w:rPr>
      </w:pPr>
    </w:p>
    <w:p w14:paraId="15C628FA" w14:textId="4650F572" w:rsidR="00571148" w:rsidRDefault="00571148" w:rsidP="00571148">
      <w:pPr>
        <w:jc w:val="both"/>
        <w:rPr>
          <w:rFonts w:ascii="Abadi" w:hAnsi="Abadi"/>
          <w:sz w:val="21"/>
          <w:szCs w:val="21"/>
        </w:rPr>
      </w:pPr>
      <w:r w:rsidRPr="00571148">
        <w:rPr>
          <w:rFonts w:ascii="Abadi" w:hAnsi="Abadi"/>
          <w:sz w:val="21"/>
          <w:szCs w:val="21"/>
        </w:rPr>
        <w:t xml:space="preserve">- Mucho menos a la ciudadanía, se les hizo muy fácil dictaminar en sentido negativo sólo porque la ley dice que es motivo de infracción condicionar la prestación de del servicio público de educación a la adquisición de uniformes. </w:t>
      </w:r>
    </w:p>
    <w:p w14:paraId="2AE4F101" w14:textId="77777777" w:rsidR="00BB041F" w:rsidRPr="00571148" w:rsidRDefault="00BB041F" w:rsidP="00571148">
      <w:pPr>
        <w:jc w:val="both"/>
        <w:rPr>
          <w:rFonts w:ascii="Abadi" w:hAnsi="Abadi"/>
          <w:sz w:val="21"/>
          <w:szCs w:val="21"/>
        </w:rPr>
      </w:pPr>
    </w:p>
    <w:p w14:paraId="6E1ECC72" w14:textId="2BFE7DFE" w:rsidR="00571148" w:rsidRDefault="00571148" w:rsidP="00571148">
      <w:pPr>
        <w:jc w:val="both"/>
        <w:rPr>
          <w:rFonts w:ascii="Abadi" w:hAnsi="Abadi"/>
          <w:sz w:val="21"/>
          <w:szCs w:val="21"/>
        </w:rPr>
      </w:pPr>
      <w:r w:rsidRPr="00571148">
        <w:rPr>
          <w:rFonts w:ascii="Abadi" w:hAnsi="Abadi"/>
          <w:sz w:val="21"/>
          <w:szCs w:val="21"/>
        </w:rPr>
        <w:t xml:space="preserve">- Compañeras, compañeros claro que sabemos lo que contiene el artículo 275 de la Ley de Educación de nuestro Estado. Y pese a lo que la ley señala, en muchas instituciones educativas del Estado continúan condicionando la educación alumnos y alumnas especialmente a las niñas y mujeres adolescentes, suelen ser víctimas de regaños o reclamos por no usar falda y en muchas ocasiones aún se le evita la entrada, lo que se traduce en una desigualdad y discriminación de género sistemática. </w:t>
      </w:r>
    </w:p>
    <w:p w14:paraId="5D344FD0" w14:textId="77777777" w:rsidR="00BB041F" w:rsidRPr="00571148" w:rsidRDefault="00BB041F" w:rsidP="00571148">
      <w:pPr>
        <w:jc w:val="both"/>
        <w:rPr>
          <w:rFonts w:ascii="Abadi" w:hAnsi="Abadi"/>
          <w:sz w:val="21"/>
          <w:szCs w:val="21"/>
        </w:rPr>
      </w:pPr>
    </w:p>
    <w:p w14:paraId="2E961226" w14:textId="518219FA" w:rsidR="00571148" w:rsidRDefault="00571148" w:rsidP="00571148">
      <w:pPr>
        <w:jc w:val="both"/>
        <w:rPr>
          <w:rFonts w:ascii="Abadi" w:hAnsi="Abadi"/>
          <w:sz w:val="21"/>
          <w:szCs w:val="21"/>
        </w:rPr>
      </w:pPr>
      <w:r w:rsidRPr="00571148">
        <w:rPr>
          <w:rFonts w:ascii="Abadi" w:hAnsi="Abadi"/>
          <w:sz w:val="21"/>
          <w:szCs w:val="21"/>
        </w:rPr>
        <w:t xml:space="preserve">- Si ustedes no están enterados y enterada de esta realidad, solo puede significar que están alejadas y alejados del pueblo y de las experiencias. Si se tratara de la ley y su contenido, con gusto hubiéramos hecho una iniciativa de modificación. </w:t>
      </w:r>
    </w:p>
    <w:p w14:paraId="072B5E9F" w14:textId="77777777" w:rsidR="00771DCC" w:rsidRPr="00571148" w:rsidRDefault="00771DCC" w:rsidP="00571148">
      <w:pPr>
        <w:jc w:val="both"/>
        <w:rPr>
          <w:rFonts w:ascii="Abadi" w:hAnsi="Abadi"/>
          <w:sz w:val="21"/>
          <w:szCs w:val="21"/>
        </w:rPr>
      </w:pPr>
    </w:p>
    <w:p w14:paraId="4E430276" w14:textId="3AE6D6E6" w:rsidR="00571148" w:rsidRDefault="00571148" w:rsidP="00571148">
      <w:pPr>
        <w:jc w:val="both"/>
        <w:rPr>
          <w:rFonts w:ascii="Abadi" w:hAnsi="Abadi"/>
          <w:sz w:val="21"/>
          <w:szCs w:val="21"/>
        </w:rPr>
      </w:pPr>
      <w:r w:rsidRPr="00571148">
        <w:rPr>
          <w:rFonts w:ascii="Abadi" w:hAnsi="Abadi"/>
          <w:sz w:val="21"/>
          <w:szCs w:val="21"/>
        </w:rPr>
        <w:t xml:space="preserve">- Sin embargo, el tema de la garantía de lo establecido en la ley debe ser cuidado y resguardado por la Secretaría de Educación correspondiente y este Congreso debería ser capaz de pronunciarse y posicionarse para impulsar ese cuidado y resguardo. </w:t>
      </w:r>
    </w:p>
    <w:p w14:paraId="44CF0474" w14:textId="77777777" w:rsidR="00BB041F" w:rsidRPr="00571148" w:rsidRDefault="00BB041F" w:rsidP="00571148">
      <w:pPr>
        <w:jc w:val="both"/>
        <w:rPr>
          <w:rFonts w:ascii="Abadi" w:hAnsi="Abadi"/>
          <w:sz w:val="21"/>
          <w:szCs w:val="21"/>
        </w:rPr>
      </w:pPr>
    </w:p>
    <w:p w14:paraId="7BC24DB8" w14:textId="71AF393E" w:rsidR="00571148" w:rsidRDefault="00571148" w:rsidP="00571148">
      <w:pPr>
        <w:jc w:val="both"/>
        <w:rPr>
          <w:rFonts w:ascii="Abadi" w:hAnsi="Abadi"/>
          <w:sz w:val="21"/>
          <w:szCs w:val="21"/>
        </w:rPr>
      </w:pPr>
      <w:r w:rsidRPr="00571148">
        <w:rPr>
          <w:rFonts w:ascii="Abadi" w:hAnsi="Abadi"/>
          <w:sz w:val="21"/>
          <w:szCs w:val="21"/>
        </w:rPr>
        <w:t xml:space="preserve">- Hoy yo hablo en contra de este archivo definitivo, porque me gustaría que las niñas y las adolescentes de Guanajuato tengan algo que muchas mujeres no tuvimos, la libertad de elegir algo tan básico como lo es la ropa. </w:t>
      </w:r>
    </w:p>
    <w:p w14:paraId="6A33E280" w14:textId="77777777" w:rsidR="00BB041F" w:rsidRPr="00571148" w:rsidRDefault="00BB041F" w:rsidP="00571148">
      <w:pPr>
        <w:jc w:val="both"/>
        <w:rPr>
          <w:rFonts w:ascii="Abadi" w:hAnsi="Abadi"/>
          <w:sz w:val="21"/>
          <w:szCs w:val="21"/>
        </w:rPr>
      </w:pPr>
    </w:p>
    <w:p w14:paraId="682C786A" w14:textId="0AF8366E" w:rsidR="00571148" w:rsidRDefault="00BB041F" w:rsidP="00571148">
      <w:pPr>
        <w:jc w:val="both"/>
        <w:rPr>
          <w:rFonts w:ascii="Abadi" w:hAnsi="Abadi"/>
          <w:sz w:val="21"/>
          <w:szCs w:val="21"/>
        </w:rPr>
      </w:pPr>
      <w:r>
        <w:rPr>
          <w:rFonts w:ascii="Abadi" w:hAnsi="Abadi"/>
          <w:sz w:val="21"/>
          <w:szCs w:val="21"/>
        </w:rPr>
        <w:t xml:space="preserve">- </w:t>
      </w:r>
      <w:r w:rsidR="00571148" w:rsidRPr="00571148">
        <w:rPr>
          <w:rFonts w:ascii="Abadi" w:hAnsi="Abadi"/>
          <w:sz w:val="21"/>
          <w:szCs w:val="21"/>
        </w:rPr>
        <w:t>Es cuánto.</w:t>
      </w:r>
    </w:p>
    <w:p w14:paraId="4BF7D023" w14:textId="7CF8B2F7" w:rsidR="00BB041F" w:rsidRDefault="00BB041F" w:rsidP="00571148">
      <w:pPr>
        <w:jc w:val="both"/>
        <w:rPr>
          <w:rFonts w:ascii="Abadi" w:hAnsi="Abadi"/>
          <w:sz w:val="21"/>
          <w:szCs w:val="21"/>
        </w:rPr>
      </w:pPr>
    </w:p>
    <w:p w14:paraId="6BF6AF47" w14:textId="77777777" w:rsidR="00BB041F" w:rsidRPr="00571148" w:rsidRDefault="00BB041F" w:rsidP="00571148">
      <w:pPr>
        <w:jc w:val="both"/>
        <w:rPr>
          <w:rFonts w:ascii="Abadi" w:hAnsi="Abadi"/>
          <w:sz w:val="21"/>
          <w:szCs w:val="21"/>
        </w:rPr>
      </w:pPr>
    </w:p>
    <w:p w14:paraId="0D145BFE" w14:textId="3F195E21" w:rsidR="00571148" w:rsidRDefault="00BB041F" w:rsidP="00BB041F">
      <w:pPr>
        <w:ind w:firstLine="708"/>
        <w:jc w:val="both"/>
        <w:rPr>
          <w:rFonts w:ascii="Abadi" w:hAnsi="Abadi"/>
          <w:sz w:val="21"/>
          <w:szCs w:val="21"/>
        </w:rPr>
      </w:pPr>
      <w:r>
        <w:rPr>
          <w:rFonts w:ascii="Abadi" w:hAnsi="Abadi"/>
          <w:b/>
          <w:bCs/>
          <w:sz w:val="21"/>
          <w:szCs w:val="21"/>
        </w:rPr>
        <w:t xml:space="preserve">- </w:t>
      </w:r>
      <w:r w:rsidR="00571148" w:rsidRPr="00571148">
        <w:rPr>
          <w:rFonts w:ascii="Abadi" w:hAnsi="Abadi"/>
          <w:b/>
          <w:bCs/>
          <w:sz w:val="21"/>
          <w:szCs w:val="21"/>
        </w:rPr>
        <w:t>La Presidencia.-</w:t>
      </w:r>
      <w:r w:rsidR="00571148" w:rsidRPr="00571148">
        <w:rPr>
          <w:rFonts w:ascii="Abadi" w:hAnsi="Abadi"/>
          <w:sz w:val="21"/>
          <w:szCs w:val="21"/>
        </w:rPr>
        <w:t xml:space="preserve">  Muchas gracias, diputada. </w:t>
      </w:r>
    </w:p>
    <w:p w14:paraId="4B3CEC48" w14:textId="77777777" w:rsidR="00BB041F" w:rsidRPr="00571148" w:rsidRDefault="00BB041F" w:rsidP="00BB041F">
      <w:pPr>
        <w:ind w:firstLine="708"/>
        <w:jc w:val="both"/>
        <w:rPr>
          <w:rFonts w:ascii="Abadi" w:hAnsi="Abadi"/>
          <w:sz w:val="21"/>
          <w:szCs w:val="21"/>
        </w:rPr>
      </w:pPr>
    </w:p>
    <w:p w14:paraId="6119DED0" w14:textId="43AC0190" w:rsidR="00571148" w:rsidRDefault="00BB041F" w:rsidP="00BB041F">
      <w:pPr>
        <w:ind w:firstLine="708"/>
        <w:jc w:val="both"/>
        <w:rPr>
          <w:rFonts w:ascii="Abadi" w:hAnsi="Abadi"/>
          <w:sz w:val="21"/>
          <w:szCs w:val="21"/>
        </w:rPr>
      </w:pPr>
      <w:r>
        <w:rPr>
          <w:rFonts w:ascii="Abadi" w:hAnsi="Abadi"/>
          <w:sz w:val="21"/>
          <w:szCs w:val="21"/>
        </w:rPr>
        <w:t xml:space="preserve">- </w:t>
      </w:r>
      <w:r w:rsidR="00571148" w:rsidRPr="00571148">
        <w:rPr>
          <w:rFonts w:ascii="Abadi" w:hAnsi="Abadi"/>
          <w:sz w:val="21"/>
          <w:szCs w:val="21"/>
        </w:rPr>
        <w:t xml:space="preserve">Es turno de darle la voz a la diputada Lucy hasta por 10 minutos. </w:t>
      </w:r>
    </w:p>
    <w:p w14:paraId="1809546C" w14:textId="77777777" w:rsidR="00BB041F" w:rsidRPr="00571148" w:rsidRDefault="00BB041F" w:rsidP="00571148">
      <w:pPr>
        <w:jc w:val="both"/>
        <w:rPr>
          <w:rFonts w:ascii="Abadi" w:hAnsi="Abadi"/>
          <w:sz w:val="21"/>
          <w:szCs w:val="21"/>
        </w:rPr>
      </w:pPr>
    </w:p>
    <w:p w14:paraId="3885AC9A" w14:textId="77777777" w:rsidR="00571148" w:rsidRPr="00571148" w:rsidRDefault="00571148" w:rsidP="00571148">
      <w:pPr>
        <w:jc w:val="both"/>
        <w:rPr>
          <w:rFonts w:ascii="Abadi" w:hAnsi="Abadi"/>
          <w:b/>
          <w:bCs/>
          <w:sz w:val="21"/>
          <w:szCs w:val="21"/>
        </w:rPr>
      </w:pPr>
      <w:r w:rsidRPr="00571148">
        <w:rPr>
          <w:rFonts w:ascii="Abadi" w:hAnsi="Abadi"/>
          <w:b/>
          <w:bCs/>
          <w:sz w:val="21"/>
          <w:szCs w:val="21"/>
        </w:rPr>
        <w:t xml:space="preserve">(Sube a tribuna la Diputada María de la Luz Hernández, para hablar a favor del dictamen) </w:t>
      </w:r>
    </w:p>
    <w:p w14:paraId="7B3B5E04" w14:textId="77777777" w:rsidR="00571148" w:rsidRPr="00571148" w:rsidRDefault="00571148" w:rsidP="00571148">
      <w:pPr>
        <w:jc w:val="both"/>
        <w:rPr>
          <w:rFonts w:ascii="Abadi" w:hAnsi="Abadi"/>
          <w:b/>
          <w:bCs/>
          <w:sz w:val="21"/>
          <w:szCs w:val="21"/>
        </w:rPr>
      </w:pPr>
    </w:p>
    <w:p w14:paraId="2F92C9FF" w14:textId="77777777" w:rsidR="00571148" w:rsidRPr="00571148" w:rsidRDefault="00571148" w:rsidP="00571148">
      <w:pPr>
        <w:jc w:val="both"/>
        <w:rPr>
          <w:rFonts w:ascii="Abadi" w:hAnsi="Abadi"/>
          <w:b/>
          <w:bCs/>
          <w:sz w:val="21"/>
          <w:szCs w:val="21"/>
        </w:rPr>
      </w:pPr>
      <w:r w:rsidRPr="00571148">
        <w:rPr>
          <w:rFonts w:ascii="Abadi" w:hAnsi="Abadi"/>
          <w:noProof/>
          <w:sz w:val="21"/>
          <w:szCs w:val="21"/>
        </w:rPr>
        <w:drawing>
          <wp:inline distT="0" distB="0" distL="0" distR="0" wp14:anchorId="2380BF4F" wp14:editId="1D37FA11">
            <wp:extent cx="1984579" cy="1052423"/>
            <wp:effectExtent l="19050" t="114300" r="0" b="8147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5717"/>
                    <a:stretch/>
                  </pic:blipFill>
                  <pic:spPr bwMode="auto">
                    <a:xfrm>
                      <a:off x="0" y="0"/>
                      <a:ext cx="1996445" cy="1058715"/>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2D5C0FEF" w14:textId="38C4BD97" w:rsidR="00571148" w:rsidRDefault="00571148" w:rsidP="00571148">
      <w:pPr>
        <w:jc w:val="both"/>
        <w:rPr>
          <w:rFonts w:ascii="Abadi" w:hAnsi="Abadi"/>
          <w:sz w:val="21"/>
          <w:szCs w:val="21"/>
        </w:rPr>
      </w:pPr>
      <w:r w:rsidRPr="00571148">
        <w:rPr>
          <w:rFonts w:ascii="Abadi" w:hAnsi="Abadi"/>
          <w:sz w:val="21"/>
          <w:szCs w:val="21"/>
        </w:rPr>
        <w:t xml:space="preserve">- Muy buenas tardes, compañeras compañeros nuevamente. Les comento la Comisión que efectivamente presidió, durante el análisis del punto de acuerdo se consideró que no es viable el exhorto tanto que la Ley General de Educación, como ya lo mencionaba, que me antecedió en el uso de la voz, y en la Ley de educación para el Estado de Guanajuato, no se establece ningún artículo mediante el cual se establezca la obligatoriedad del uso de uniformes escolares. </w:t>
      </w:r>
    </w:p>
    <w:p w14:paraId="6EAA203F" w14:textId="77777777" w:rsidR="00BB041F" w:rsidRPr="00571148" w:rsidRDefault="00BB041F" w:rsidP="00571148">
      <w:pPr>
        <w:jc w:val="both"/>
        <w:rPr>
          <w:rFonts w:ascii="Abadi" w:hAnsi="Abadi"/>
          <w:sz w:val="21"/>
          <w:szCs w:val="21"/>
        </w:rPr>
      </w:pPr>
    </w:p>
    <w:p w14:paraId="3FDC0490" w14:textId="0FA3FB4A" w:rsidR="00571148" w:rsidRDefault="00571148" w:rsidP="00571148">
      <w:pPr>
        <w:jc w:val="both"/>
        <w:rPr>
          <w:rFonts w:ascii="Abadi" w:hAnsi="Abadi"/>
          <w:sz w:val="21"/>
          <w:szCs w:val="21"/>
        </w:rPr>
      </w:pPr>
      <w:r w:rsidRPr="00571148">
        <w:rPr>
          <w:rFonts w:ascii="Abadi" w:hAnsi="Abadi"/>
          <w:sz w:val="21"/>
          <w:szCs w:val="21"/>
        </w:rPr>
        <w:t xml:space="preserve">- Sin embargo, cabe señalar que en ambas leyes mencionadas en supra líneas se establecen una infracción a quienes prestan servicios educativos y condiciona la prestación de dicho servicio a la adquisición de uniformes y materiales educativos, así como de actividades extraescolares. </w:t>
      </w:r>
    </w:p>
    <w:p w14:paraId="20EBF6AA" w14:textId="77777777" w:rsidR="00BB041F" w:rsidRPr="00571148" w:rsidRDefault="00BB041F" w:rsidP="00571148">
      <w:pPr>
        <w:jc w:val="both"/>
        <w:rPr>
          <w:rFonts w:ascii="Abadi" w:hAnsi="Abadi"/>
          <w:sz w:val="21"/>
          <w:szCs w:val="21"/>
        </w:rPr>
      </w:pPr>
    </w:p>
    <w:p w14:paraId="76A7DFC0" w14:textId="35B1B319" w:rsidR="00571148" w:rsidRDefault="00571148" w:rsidP="00571148">
      <w:pPr>
        <w:jc w:val="both"/>
        <w:rPr>
          <w:rFonts w:ascii="Abadi" w:hAnsi="Abadi"/>
          <w:sz w:val="21"/>
          <w:szCs w:val="21"/>
        </w:rPr>
      </w:pPr>
      <w:r w:rsidRPr="00571148">
        <w:rPr>
          <w:rFonts w:ascii="Abadi" w:hAnsi="Abadi"/>
          <w:sz w:val="21"/>
          <w:szCs w:val="21"/>
        </w:rPr>
        <w:t xml:space="preserve">- En consecuencia, no se establece la obligatoriedad de usar los uniformes escolares y lo pudimos ver ahorita en tiempo de pandemia, que muchos padres, madres de familia no tenían recurso para el poder adquirir un uniforme y finalmente, a los alumnos se les permitió el acceso con ropa normal, derivado a que no se puede condicionar la prestación del servicio por no portar el uniforme escolar. </w:t>
      </w:r>
    </w:p>
    <w:p w14:paraId="3BF15E0B" w14:textId="77777777" w:rsidR="00BB041F" w:rsidRPr="00571148" w:rsidRDefault="00BB041F" w:rsidP="00571148">
      <w:pPr>
        <w:jc w:val="both"/>
        <w:rPr>
          <w:rFonts w:ascii="Abadi" w:hAnsi="Abadi"/>
          <w:sz w:val="21"/>
          <w:szCs w:val="21"/>
        </w:rPr>
      </w:pPr>
    </w:p>
    <w:p w14:paraId="213FC7FB" w14:textId="7D309D85" w:rsidR="00571148" w:rsidRDefault="00571148" w:rsidP="00571148">
      <w:pPr>
        <w:jc w:val="both"/>
        <w:rPr>
          <w:rFonts w:ascii="Abadi" w:hAnsi="Abadi"/>
          <w:sz w:val="21"/>
          <w:szCs w:val="21"/>
        </w:rPr>
      </w:pPr>
      <w:r w:rsidRPr="00571148">
        <w:rPr>
          <w:rFonts w:ascii="Abadi" w:hAnsi="Abadi"/>
          <w:sz w:val="21"/>
          <w:szCs w:val="21"/>
        </w:rPr>
        <w:t xml:space="preserve">- Es que el presente punto de acuerdo en, comentó, quedó sin materia compañeras y compañeros diputados. </w:t>
      </w:r>
    </w:p>
    <w:p w14:paraId="4D17F68B" w14:textId="77777777" w:rsidR="00BB041F" w:rsidRPr="00571148" w:rsidRDefault="00BB041F" w:rsidP="00571148">
      <w:pPr>
        <w:jc w:val="both"/>
        <w:rPr>
          <w:rFonts w:ascii="Abadi" w:hAnsi="Abadi"/>
          <w:sz w:val="21"/>
          <w:szCs w:val="21"/>
        </w:rPr>
      </w:pPr>
    </w:p>
    <w:p w14:paraId="26E7AC25" w14:textId="2B5A1CD2" w:rsidR="00571148" w:rsidRDefault="00571148" w:rsidP="00571148">
      <w:pPr>
        <w:jc w:val="both"/>
        <w:rPr>
          <w:rFonts w:ascii="Abadi" w:hAnsi="Abadi"/>
          <w:sz w:val="21"/>
          <w:szCs w:val="21"/>
        </w:rPr>
      </w:pPr>
      <w:r w:rsidRPr="00571148">
        <w:rPr>
          <w:rFonts w:ascii="Abadi" w:hAnsi="Abadi"/>
          <w:sz w:val="21"/>
          <w:szCs w:val="21"/>
        </w:rPr>
        <w:t xml:space="preserve">- Es por las consideraciones anteriormente expuestas que le solicitó voten a favor del archivo definitivo del dictamen que hoy se pone a nuestra consideración, toda vez que de lo contrario estaríamos exhortando para que se realicen acciones a fin de implementar en todas las instituciones educativas algo que no se encuentra establecido como obligatorio en la Ley de Educación para estar Guanajuato, así como en otras disposiciones normativas en la materia. </w:t>
      </w:r>
    </w:p>
    <w:p w14:paraId="3B107477" w14:textId="77777777" w:rsidR="00BB041F" w:rsidRPr="00571148" w:rsidRDefault="00BB041F" w:rsidP="00571148">
      <w:pPr>
        <w:jc w:val="both"/>
        <w:rPr>
          <w:rFonts w:ascii="Abadi" w:hAnsi="Abadi"/>
          <w:sz w:val="21"/>
          <w:szCs w:val="21"/>
        </w:rPr>
      </w:pPr>
    </w:p>
    <w:p w14:paraId="20C3D79E" w14:textId="0150BA59" w:rsidR="00571148" w:rsidRDefault="00571148" w:rsidP="00571148">
      <w:pPr>
        <w:jc w:val="both"/>
        <w:rPr>
          <w:rFonts w:ascii="Abadi" w:hAnsi="Abadi"/>
          <w:sz w:val="21"/>
          <w:szCs w:val="21"/>
        </w:rPr>
      </w:pPr>
      <w:r w:rsidRPr="00571148">
        <w:rPr>
          <w:rFonts w:ascii="Abadi" w:hAnsi="Abadi"/>
          <w:sz w:val="21"/>
          <w:szCs w:val="21"/>
        </w:rPr>
        <w:t>- Es cuánto diputada Presidenta.</w:t>
      </w:r>
    </w:p>
    <w:p w14:paraId="110995E4" w14:textId="77777777" w:rsidR="00BB041F" w:rsidRPr="00571148" w:rsidRDefault="00BB041F" w:rsidP="00571148">
      <w:pPr>
        <w:jc w:val="both"/>
        <w:rPr>
          <w:rFonts w:ascii="Abadi" w:hAnsi="Abadi"/>
          <w:sz w:val="21"/>
          <w:szCs w:val="21"/>
        </w:rPr>
      </w:pPr>
    </w:p>
    <w:p w14:paraId="14338984" w14:textId="209695D6" w:rsidR="00571148" w:rsidRDefault="00BB041F" w:rsidP="00BB041F">
      <w:pPr>
        <w:ind w:firstLine="708"/>
        <w:jc w:val="both"/>
        <w:rPr>
          <w:rFonts w:ascii="Abadi" w:hAnsi="Abadi"/>
          <w:sz w:val="21"/>
          <w:szCs w:val="21"/>
        </w:rPr>
      </w:pPr>
      <w:r>
        <w:rPr>
          <w:rFonts w:ascii="Abadi" w:hAnsi="Abadi"/>
          <w:b/>
          <w:bCs/>
          <w:sz w:val="21"/>
          <w:szCs w:val="21"/>
        </w:rPr>
        <w:t xml:space="preserve">- </w:t>
      </w:r>
      <w:r w:rsidR="00571148" w:rsidRPr="00571148">
        <w:rPr>
          <w:rFonts w:ascii="Abadi" w:hAnsi="Abadi"/>
          <w:b/>
          <w:bCs/>
          <w:sz w:val="21"/>
          <w:szCs w:val="21"/>
        </w:rPr>
        <w:t>La Presidencia.-</w:t>
      </w:r>
      <w:r w:rsidR="00571148" w:rsidRPr="00571148">
        <w:rPr>
          <w:rFonts w:ascii="Abadi" w:hAnsi="Abadi"/>
          <w:sz w:val="21"/>
          <w:szCs w:val="21"/>
        </w:rPr>
        <w:t xml:space="preserve"> Muchas gracias, diputada. </w:t>
      </w:r>
    </w:p>
    <w:p w14:paraId="43D163D3" w14:textId="77777777" w:rsidR="00BB041F" w:rsidRPr="00571148" w:rsidRDefault="00BB041F" w:rsidP="00571148">
      <w:pPr>
        <w:jc w:val="both"/>
        <w:rPr>
          <w:rFonts w:ascii="Abadi" w:hAnsi="Abadi"/>
          <w:sz w:val="21"/>
          <w:szCs w:val="21"/>
        </w:rPr>
      </w:pPr>
    </w:p>
    <w:p w14:paraId="182F3A83" w14:textId="293141D8" w:rsidR="00571148" w:rsidRPr="00571148" w:rsidRDefault="00BB041F" w:rsidP="00BB041F">
      <w:pPr>
        <w:ind w:firstLine="708"/>
        <w:jc w:val="both"/>
        <w:rPr>
          <w:rFonts w:ascii="Abadi" w:hAnsi="Abadi"/>
          <w:sz w:val="21"/>
          <w:szCs w:val="21"/>
        </w:rPr>
      </w:pPr>
      <w:r>
        <w:rPr>
          <w:rFonts w:ascii="Abadi" w:hAnsi="Abadi"/>
          <w:sz w:val="21"/>
          <w:szCs w:val="21"/>
        </w:rPr>
        <w:t xml:space="preserve">- </w:t>
      </w:r>
      <w:r w:rsidR="00571148" w:rsidRPr="00571148">
        <w:rPr>
          <w:rFonts w:ascii="Abadi" w:hAnsi="Abadi"/>
          <w:sz w:val="21"/>
          <w:szCs w:val="21"/>
        </w:rPr>
        <w:t xml:space="preserve">Y agotada la participación, se pide a la Secretaria que proceda </w:t>
      </w:r>
      <w:r w:rsidR="00771DCC">
        <w:rPr>
          <w:rFonts w:ascii="Abadi" w:hAnsi="Abadi"/>
          <w:sz w:val="21"/>
          <w:szCs w:val="21"/>
        </w:rPr>
        <w:t xml:space="preserve">a </w:t>
      </w:r>
      <w:r w:rsidR="00571148" w:rsidRPr="00571148">
        <w:rPr>
          <w:rFonts w:ascii="Abadi" w:hAnsi="Abadi"/>
          <w:sz w:val="21"/>
          <w:szCs w:val="21"/>
        </w:rPr>
        <w:t>recabar votación nominal de la Asamblea a través del sistema electrónico a efecto de aprobar o no el dictamen puesto a su consideración.</w:t>
      </w:r>
    </w:p>
    <w:p w14:paraId="45BA200F" w14:textId="77777777" w:rsidR="00BB041F" w:rsidRDefault="00BB041F" w:rsidP="00571148">
      <w:pPr>
        <w:jc w:val="both"/>
        <w:rPr>
          <w:rFonts w:ascii="Abadi" w:hAnsi="Abadi"/>
          <w:b/>
          <w:bCs/>
          <w:sz w:val="21"/>
          <w:szCs w:val="21"/>
        </w:rPr>
      </w:pPr>
    </w:p>
    <w:p w14:paraId="66E477D9" w14:textId="19C56B82" w:rsidR="00571148" w:rsidRPr="00571148" w:rsidRDefault="00571148" w:rsidP="00BB041F">
      <w:pPr>
        <w:jc w:val="center"/>
        <w:rPr>
          <w:rFonts w:ascii="Abadi" w:hAnsi="Abadi"/>
          <w:b/>
          <w:bCs/>
          <w:sz w:val="21"/>
          <w:szCs w:val="21"/>
        </w:rPr>
      </w:pPr>
      <w:r w:rsidRPr="00571148">
        <w:rPr>
          <w:rFonts w:ascii="Abadi" w:hAnsi="Abadi"/>
          <w:b/>
          <w:bCs/>
          <w:sz w:val="21"/>
          <w:szCs w:val="21"/>
        </w:rPr>
        <w:t>(Se abre el sistema electrónico)</w:t>
      </w:r>
    </w:p>
    <w:p w14:paraId="37B68A6A" w14:textId="77777777" w:rsidR="00BB041F" w:rsidRDefault="00BB041F" w:rsidP="00571148">
      <w:pPr>
        <w:jc w:val="both"/>
        <w:rPr>
          <w:rFonts w:ascii="Abadi" w:hAnsi="Abadi"/>
          <w:b/>
          <w:bCs/>
          <w:sz w:val="21"/>
          <w:szCs w:val="21"/>
        </w:rPr>
      </w:pPr>
    </w:p>
    <w:p w14:paraId="65D6ABE0" w14:textId="0024F7CC" w:rsidR="00571148" w:rsidRDefault="00BB041F" w:rsidP="00BB041F">
      <w:pPr>
        <w:ind w:firstLine="708"/>
        <w:jc w:val="both"/>
        <w:rPr>
          <w:rFonts w:ascii="Abadi" w:hAnsi="Abadi"/>
          <w:sz w:val="21"/>
          <w:szCs w:val="21"/>
        </w:rPr>
      </w:pPr>
      <w:r>
        <w:rPr>
          <w:rFonts w:ascii="Abadi" w:hAnsi="Abadi"/>
          <w:b/>
          <w:bCs/>
          <w:sz w:val="21"/>
          <w:szCs w:val="21"/>
        </w:rPr>
        <w:t xml:space="preserve">- </w:t>
      </w:r>
      <w:r w:rsidR="00571148" w:rsidRPr="00571148">
        <w:rPr>
          <w:rFonts w:ascii="Abadi" w:hAnsi="Abadi"/>
          <w:b/>
          <w:bCs/>
          <w:sz w:val="21"/>
          <w:szCs w:val="21"/>
        </w:rPr>
        <w:t>La Secretaria.-</w:t>
      </w:r>
      <w:r w:rsidR="00571148" w:rsidRPr="00571148">
        <w:rPr>
          <w:rFonts w:ascii="Abadi" w:hAnsi="Abadi"/>
          <w:sz w:val="21"/>
          <w:szCs w:val="21"/>
        </w:rPr>
        <w:t xml:space="preserve"> En votación nominal por el sistema electrónico se pregunta a las diputadas y los diputados, si se aprueba el dictamen puesto su consideración. ¿Diputado David? (Voz) diputado David ¿me permite razonar el voto? </w:t>
      </w:r>
    </w:p>
    <w:p w14:paraId="303A8777" w14:textId="77777777" w:rsidR="00BB041F" w:rsidRPr="00571148" w:rsidRDefault="00BB041F" w:rsidP="00BB041F">
      <w:pPr>
        <w:ind w:firstLine="708"/>
        <w:jc w:val="both"/>
        <w:rPr>
          <w:rFonts w:ascii="Abadi" w:hAnsi="Abadi"/>
          <w:sz w:val="21"/>
          <w:szCs w:val="21"/>
        </w:rPr>
      </w:pPr>
    </w:p>
    <w:p w14:paraId="778CADBA" w14:textId="79604978" w:rsidR="00571148" w:rsidRPr="00571148" w:rsidRDefault="00BB041F" w:rsidP="00BB041F">
      <w:pPr>
        <w:ind w:firstLine="708"/>
        <w:jc w:val="both"/>
        <w:rPr>
          <w:rFonts w:ascii="Abadi" w:hAnsi="Abadi"/>
          <w:sz w:val="21"/>
          <w:szCs w:val="21"/>
        </w:rPr>
      </w:pPr>
      <w:r>
        <w:rPr>
          <w:rFonts w:ascii="Abadi" w:hAnsi="Abadi"/>
          <w:b/>
          <w:bCs/>
          <w:sz w:val="21"/>
          <w:szCs w:val="21"/>
        </w:rPr>
        <w:t xml:space="preserve">- </w:t>
      </w:r>
      <w:r w:rsidR="00571148" w:rsidRPr="00571148">
        <w:rPr>
          <w:rFonts w:ascii="Abadi" w:hAnsi="Abadi"/>
          <w:b/>
          <w:bCs/>
          <w:sz w:val="21"/>
          <w:szCs w:val="21"/>
        </w:rPr>
        <w:t>La Presidencia.-</w:t>
      </w:r>
      <w:r w:rsidR="00571148" w:rsidRPr="00571148">
        <w:rPr>
          <w:rFonts w:ascii="Abadi" w:hAnsi="Abadi"/>
          <w:sz w:val="21"/>
          <w:szCs w:val="21"/>
        </w:rPr>
        <w:t xml:space="preserve"> Con mucho gusto, diputado, adelante. </w:t>
      </w:r>
    </w:p>
    <w:p w14:paraId="6AF1B459" w14:textId="77777777" w:rsidR="00571148" w:rsidRPr="00571148" w:rsidRDefault="00571148" w:rsidP="00571148">
      <w:pPr>
        <w:jc w:val="both"/>
        <w:rPr>
          <w:rFonts w:ascii="Abadi" w:hAnsi="Abadi"/>
          <w:sz w:val="21"/>
          <w:szCs w:val="21"/>
        </w:rPr>
      </w:pPr>
    </w:p>
    <w:p w14:paraId="55A0BD3B" w14:textId="551A73C0" w:rsidR="00571148" w:rsidRPr="00571148" w:rsidRDefault="00F31ADD" w:rsidP="00F31ADD">
      <w:pPr>
        <w:jc w:val="both"/>
        <w:rPr>
          <w:rFonts w:ascii="Abadi" w:hAnsi="Abadi"/>
          <w:sz w:val="21"/>
          <w:szCs w:val="21"/>
        </w:rPr>
      </w:pPr>
      <w:r>
        <w:rPr>
          <w:rFonts w:ascii="Abadi" w:hAnsi="Abadi"/>
          <w:b/>
          <w:bCs/>
          <w:sz w:val="21"/>
          <w:szCs w:val="21"/>
        </w:rPr>
        <w:t xml:space="preserve">- </w:t>
      </w:r>
      <w:r w:rsidR="00571148" w:rsidRPr="00571148">
        <w:rPr>
          <w:rFonts w:ascii="Abadi" w:hAnsi="Abadi"/>
          <w:b/>
          <w:bCs/>
          <w:sz w:val="21"/>
          <w:szCs w:val="21"/>
        </w:rPr>
        <w:t xml:space="preserve">Diputado David Martínez.- </w:t>
      </w:r>
      <w:r w:rsidR="00571148" w:rsidRPr="00571148">
        <w:rPr>
          <w:rFonts w:ascii="Abadi" w:hAnsi="Abadi"/>
          <w:sz w:val="21"/>
          <w:szCs w:val="21"/>
        </w:rPr>
        <w:t xml:space="preserve"> Yo voy a votar en contra por la irregularidad con respecto al posible análisis que se hizo, no se establecieron en metodología, fue un decretazo desde la presidencia y sus aliadas en decir ya está en la ley y punto. ¡Sí! yo es totalmente irregular este este procedimiento y la segunda cosa es lo que buscaba el exhorto de la compañera, la iniciativa de la compañera es precisar, precisar algo que es urgente, que no se ha modificado en la vida real, a lo mejor está la ley, pero la vida real no, entonces busca precisar que nuestra tarea, si decir es orientar la actividad legislativa, hacía la solución de los problemas. Y con esto se está evitando solucionar un problema, por eso voy a votar en contra. Muchas gracias. </w:t>
      </w:r>
    </w:p>
    <w:p w14:paraId="128866DD" w14:textId="3CE67B8F" w:rsidR="00571148" w:rsidRDefault="00F31ADD" w:rsidP="00F31ADD">
      <w:pPr>
        <w:ind w:firstLine="708"/>
        <w:jc w:val="both"/>
        <w:rPr>
          <w:rFonts w:ascii="Abadi" w:hAnsi="Abadi"/>
          <w:sz w:val="21"/>
          <w:szCs w:val="21"/>
        </w:rPr>
      </w:pPr>
      <w:r>
        <w:rPr>
          <w:rFonts w:ascii="Abadi" w:hAnsi="Abadi"/>
          <w:b/>
          <w:bCs/>
          <w:sz w:val="21"/>
          <w:szCs w:val="21"/>
        </w:rPr>
        <w:t xml:space="preserve">- </w:t>
      </w:r>
      <w:r w:rsidR="00571148" w:rsidRPr="00571148">
        <w:rPr>
          <w:rFonts w:ascii="Abadi" w:hAnsi="Abadi"/>
          <w:b/>
          <w:bCs/>
          <w:sz w:val="21"/>
          <w:szCs w:val="21"/>
        </w:rPr>
        <w:t>La Presidencia.-</w:t>
      </w:r>
      <w:r w:rsidR="00571148" w:rsidRPr="00571148">
        <w:rPr>
          <w:rFonts w:ascii="Abadi" w:hAnsi="Abadi"/>
          <w:sz w:val="21"/>
          <w:szCs w:val="21"/>
        </w:rPr>
        <w:t xml:space="preserve"> Muy bien, diputado. ¿Diputada Cristina? ¿para qué efecto? (Voz) diputada Cristina, Muchas gracias, </w:t>
      </w:r>
      <w:r>
        <w:rPr>
          <w:rFonts w:ascii="Abadi" w:hAnsi="Abadi"/>
          <w:sz w:val="21"/>
          <w:szCs w:val="21"/>
        </w:rPr>
        <w:t>d</w:t>
      </w:r>
      <w:r w:rsidR="00571148" w:rsidRPr="00571148">
        <w:rPr>
          <w:rFonts w:ascii="Abadi" w:hAnsi="Abadi"/>
          <w:sz w:val="21"/>
          <w:szCs w:val="21"/>
        </w:rPr>
        <w:t xml:space="preserve">iputada ¿Si me permite razonar mi voto a favor? </w:t>
      </w:r>
    </w:p>
    <w:p w14:paraId="711EE2B4" w14:textId="77777777" w:rsidR="00F31ADD" w:rsidRPr="00571148" w:rsidRDefault="00F31ADD" w:rsidP="00F31ADD">
      <w:pPr>
        <w:ind w:firstLine="708"/>
        <w:jc w:val="both"/>
        <w:rPr>
          <w:rFonts w:ascii="Abadi" w:hAnsi="Abadi"/>
          <w:sz w:val="21"/>
          <w:szCs w:val="21"/>
        </w:rPr>
      </w:pPr>
    </w:p>
    <w:p w14:paraId="15DEEB61" w14:textId="2D26C341" w:rsidR="00571148" w:rsidRPr="00F31ADD" w:rsidRDefault="00F31ADD" w:rsidP="00F31ADD">
      <w:pPr>
        <w:jc w:val="both"/>
        <w:rPr>
          <w:rFonts w:ascii="Abadi" w:hAnsi="Abadi"/>
          <w:sz w:val="21"/>
          <w:szCs w:val="21"/>
        </w:rPr>
      </w:pPr>
      <w:r>
        <w:rPr>
          <w:rFonts w:ascii="Abadi" w:hAnsi="Abadi"/>
          <w:sz w:val="21"/>
          <w:szCs w:val="21"/>
        </w:rPr>
        <w:t>-</w:t>
      </w:r>
      <w:r w:rsidR="00571148" w:rsidRPr="00F31ADD">
        <w:rPr>
          <w:rFonts w:ascii="Abadi" w:hAnsi="Abadi"/>
          <w:sz w:val="21"/>
          <w:szCs w:val="21"/>
        </w:rPr>
        <w:t xml:space="preserve"> Adelante. </w:t>
      </w:r>
    </w:p>
    <w:p w14:paraId="3B83BF82" w14:textId="77777777" w:rsidR="00F31ADD" w:rsidRPr="00F31ADD" w:rsidRDefault="00F31ADD" w:rsidP="00F31ADD">
      <w:pPr>
        <w:pStyle w:val="Prrafodelista"/>
        <w:ind w:left="1069"/>
        <w:jc w:val="both"/>
        <w:rPr>
          <w:rFonts w:ascii="Abadi" w:hAnsi="Abadi"/>
          <w:sz w:val="21"/>
          <w:szCs w:val="21"/>
        </w:rPr>
      </w:pPr>
    </w:p>
    <w:p w14:paraId="23F89978" w14:textId="431D4DB5" w:rsidR="00571148" w:rsidRDefault="00571148" w:rsidP="00571148">
      <w:pPr>
        <w:jc w:val="both"/>
        <w:rPr>
          <w:rFonts w:ascii="Abadi" w:hAnsi="Abadi"/>
          <w:sz w:val="21"/>
          <w:szCs w:val="21"/>
        </w:rPr>
      </w:pPr>
      <w:r w:rsidRPr="00571148">
        <w:rPr>
          <w:rFonts w:ascii="Abadi" w:hAnsi="Abadi"/>
          <w:b/>
          <w:bCs/>
          <w:sz w:val="21"/>
          <w:szCs w:val="21"/>
        </w:rPr>
        <w:t xml:space="preserve">Diputada Cristina Márquez.- </w:t>
      </w:r>
      <w:r w:rsidRPr="00571148">
        <w:rPr>
          <w:rFonts w:ascii="Abadi" w:hAnsi="Abadi"/>
          <w:sz w:val="21"/>
          <w:szCs w:val="21"/>
        </w:rPr>
        <w:t xml:space="preserve">Muchas gracias, yo voy a votar a favor del dictamen que se pone a nuestra consideración de parte de la Comisión de Educación, primero por el análisis técnico, que ya ha quedado claro, que además consta dentro del propio documento que estamos leyendo, porque como autoridad estamos obligados a cumplir con una resolución técnica. Y por otro lado, porque no hay ningún tipo de irregularidad en el proceso parlamentario, dado que al ser un punto de acuerdo, se trata de una posición política que se analiza el interior de una Comisión, lo que es el trabajo que se ha hecho dentro de la Comisión de Educación, gracias. </w:t>
      </w:r>
    </w:p>
    <w:p w14:paraId="563B0254" w14:textId="77777777" w:rsidR="00F31ADD" w:rsidRPr="00571148" w:rsidRDefault="00F31ADD" w:rsidP="00571148">
      <w:pPr>
        <w:jc w:val="both"/>
        <w:rPr>
          <w:rFonts w:ascii="Abadi" w:hAnsi="Abadi"/>
          <w:sz w:val="21"/>
          <w:szCs w:val="21"/>
        </w:rPr>
      </w:pPr>
    </w:p>
    <w:p w14:paraId="13245109" w14:textId="7C621B41" w:rsidR="00571148" w:rsidRPr="00571148" w:rsidRDefault="00F31ADD" w:rsidP="00F31ADD">
      <w:pPr>
        <w:ind w:firstLine="708"/>
        <w:jc w:val="both"/>
        <w:rPr>
          <w:rFonts w:ascii="Abadi" w:hAnsi="Abadi"/>
          <w:sz w:val="21"/>
          <w:szCs w:val="21"/>
        </w:rPr>
      </w:pPr>
      <w:r>
        <w:rPr>
          <w:rFonts w:ascii="Abadi" w:hAnsi="Abadi"/>
          <w:b/>
          <w:bCs/>
          <w:sz w:val="21"/>
          <w:szCs w:val="21"/>
        </w:rPr>
        <w:t xml:space="preserve">- </w:t>
      </w:r>
      <w:r w:rsidR="00571148" w:rsidRPr="00571148">
        <w:rPr>
          <w:rFonts w:ascii="Abadi" w:hAnsi="Abadi"/>
          <w:b/>
          <w:bCs/>
          <w:sz w:val="21"/>
          <w:szCs w:val="21"/>
        </w:rPr>
        <w:t>La Presidencia.-</w:t>
      </w:r>
      <w:r w:rsidR="00571148" w:rsidRPr="00571148">
        <w:rPr>
          <w:rFonts w:ascii="Abadi" w:hAnsi="Abadi"/>
          <w:sz w:val="21"/>
          <w:szCs w:val="21"/>
        </w:rPr>
        <w:t xml:space="preserve"> Gracias diputada. </w:t>
      </w:r>
    </w:p>
    <w:p w14:paraId="734581D6" w14:textId="77777777" w:rsidR="00571148" w:rsidRPr="00571148" w:rsidRDefault="00571148" w:rsidP="00571148">
      <w:pPr>
        <w:jc w:val="both"/>
        <w:rPr>
          <w:rFonts w:ascii="Abadi" w:hAnsi="Abadi"/>
          <w:b/>
          <w:bCs/>
          <w:sz w:val="21"/>
          <w:szCs w:val="21"/>
        </w:rPr>
      </w:pPr>
    </w:p>
    <w:p w14:paraId="4C92D817" w14:textId="286839DE" w:rsidR="00571148" w:rsidRDefault="00571148" w:rsidP="00571148">
      <w:pPr>
        <w:jc w:val="both"/>
        <w:rPr>
          <w:rFonts w:ascii="Abadi" w:hAnsi="Abadi"/>
          <w:sz w:val="21"/>
          <w:szCs w:val="21"/>
        </w:rPr>
      </w:pPr>
      <w:r w:rsidRPr="00571148">
        <w:rPr>
          <w:rFonts w:ascii="Abadi" w:hAnsi="Abadi"/>
          <w:sz w:val="21"/>
          <w:szCs w:val="21"/>
        </w:rPr>
        <w:t xml:space="preserve">¿Falta alguna diputada, algún diputado de emitir su voto? </w:t>
      </w:r>
    </w:p>
    <w:p w14:paraId="4180D0F1" w14:textId="77777777" w:rsidR="00F31ADD" w:rsidRPr="00571148" w:rsidRDefault="00F31ADD" w:rsidP="00571148">
      <w:pPr>
        <w:jc w:val="both"/>
        <w:rPr>
          <w:rFonts w:ascii="Abadi" w:hAnsi="Abadi"/>
          <w:sz w:val="21"/>
          <w:szCs w:val="21"/>
        </w:rPr>
      </w:pPr>
    </w:p>
    <w:p w14:paraId="3878D32E" w14:textId="05DC787C" w:rsidR="00571148" w:rsidRPr="00571148" w:rsidRDefault="00571148" w:rsidP="00F31ADD">
      <w:pPr>
        <w:jc w:val="center"/>
        <w:rPr>
          <w:rFonts w:ascii="Abadi" w:hAnsi="Abadi"/>
          <w:b/>
          <w:bCs/>
          <w:sz w:val="21"/>
          <w:szCs w:val="21"/>
        </w:rPr>
      </w:pPr>
      <w:r w:rsidRPr="00571148">
        <w:rPr>
          <w:rFonts w:ascii="Abadi" w:hAnsi="Abadi"/>
          <w:b/>
          <w:bCs/>
          <w:sz w:val="21"/>
          <w:szCs w:val="21"/>
        </w:rPr>
        <w:t>(Se cierra el sistema electrónico)</w:t>
      </w:r>
    </w:p>
    <w:p w14:paraId="0E4A69F9" w14:textId="77777777" w:rsidR="00571148" w:rsidRPr="00571148" w:rsidRDefault="00571148" w:rsidP="00571148">
      <w:pPr>
        <w:jc w:val="both"/>
        <w:rPr>
          <w:rFonts w:ascii="Abadi" w:hAnsi="Abadi"/>
          <w:b/>
          <w:bCs/>
          <w:sz w:val="21"/>
          <w:szCs w:val="21"/>
        </w:rPr>
      </w:pPr>
      <w:r w:rsidRPr="00571148">
        <w:rPr>
          <w:rFonts w:ascii="Abadi" w:hAnsi="Abadi"/>
          <w:noProof/>
          <w:sz w:val="21"/>
          <w:szCs w:val="21"/>
        </w:rPr>
        <w:drawing>
          <wp:inline distT="0" distB="0" distL="0" distR="0" wp14:anchorId="078112C7" wp14:editId="7DBA2365">
            <wp:extent cx="2147977" cy="1122563"/>
            <wp:effectExtent l="152400" t="152400" r="367030" b="3638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7084"/>
                    <a:stretch/>
                  </pic:blipFill>
                  <pic:spPr bwMode="auto">
                    <a:xfrm>
                      <a:off x="0" y="0"/>
                      <a:ext cx="2161923" cy="11298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7D03C43" w14:textId="16892167" w:rsidR="00571148" w:rsidRDefault="00F31ADD" w:rsidP="00F31ADD">
      <w:pPr>
        <w:ind w:firstLine="708"/>
        <w:jc w:val="both"/>
        <w:rPr>
          <w:rFonts w:ascii="Abadi" w:hAnsi="Abadi"/>
          <w:sz w:val="21"/>
          <w:szCs w:val="21"/>
        </w:rPr>
      </w:pPr>
      <w:r>
        <w:rPr>
          <w:rFonts w:ascii="Abadi" w:hAnsi="Abadi"/>
          <w:b/>
          <w:bCs/>
          <w:sz w:val="21"/>
          <w:szCs w:val="21"/>
        </w:rPr>
        <w:t xml:space="preserve">- </w:t>
      </w:r>
      <w:r w:rsidR="00571148" w:rsidRPr="00571148">
        <w:rPr>
          <w:rFonts w:ascii="Abadi" w:hAnsi="Abadi"/>
          <w:b/>
          <w:bCs/>
          <w:sz w:val="21"/>
          <w:szCs w:val="21"/>
        </w:rPr>
        <w:t>La Secretaria.-</w:t>
      </w:r>
      <w:r w:rsidR="00571148" w:rsidRPr="00571148">
        <w:rPr>
          <w:rFonts w:ascii="Abadi" w:hAnsi="Abadi"/>
          <w:sz w:val="21"/>
          <w:szCs w:val="21"/>
        </w:rPr>
        <w:t xml:space="preserve"> Se registraron 21 votos a favor y 11 votos en contra. </w:t>
      </w:r>
    </w:p>
    <w:p w14:paraId="7ECF5E25" w14:textId="77777777" w:rsidR="00F31ADD" w:rsidRPr="00571148" w:rsidRDefault="00F31ADD" w:rsidP="00571148">
      <w:pPr>
        <w:jc w:val="both"/>
        <w:rPr>
          <w:rFonts w:ascii="Abadi" w:hAnsi="Abadi"/>
          <w:sz w:val="21"/>
          <w:szCs w:val="21"/>
        </w:rPr>
      </w:pPr>
    </w:p>
    <w:p w14:paraId="6AA4C921" w14:textId="48BBDF7E" w:rsidR="00571148" w:rsidRDefault="00F31ADD" w:rsidP="00F31ADD">
      <w:pPr>
        <w:ind w:firstLine="705"/>
        <w:jc w:val="both"/>
        <w:rPr>
          <w:rFonts w:ascii="Abadi" w:hAnsi="Abadi"/>
          <w:sz w:val="21"/>
          <w:szCs w:val="21"/>
        </w:rPr>
      </w:pPr>
      <w:r>
        <w:rPr>
          <w:rFonts w:ascii="Abadi" w:hAnsi="Abadi"/>
          <w:b/>
          <w:bCs/>
          <w:sz w:val="21"/>
          <w:szCs w:val="21"/>
        </w:rPr>
        <w:t xml:space="preserve">- </w:t>
      </w:r>
      <w:r w:rsidR="00571148" w:rsidRPr="00571148">
        <w:rPr>
          <w:rFonts w:ascii="Abadi" w:hAnsi="Abadi"/>
          <w:b/>
          <w:bCs/>
          <w:sz w:val="21"/>
          <w:szCs w:val="21"/>
        </w:rPr>
        <w:t>La Presidencia.-</w:t>
      </w:r>
      <w:r w:rsidR="00571148" w:rsidRPr="00571148">
        <w:rPr>
          <w:rFonts w:ascii="Abadi" w:hAnsi="Abadi"/>
          <w:sz w:val="21"/>
          <w:szCs w:val="21"/>
        </w:rPr>
        <w:t xml:space="preserve"> El dictamen ha sido aprobado por mayoría de votos.</w:t>
      </w:r>
    </w:p>
    <w:p w14:paraId="7B5668B9" w14:textId="77777777" w:rsidR="00F31ADD" w:rsidRPr="00571148" w:rsidRDefault="00F31ADD" w:rsidP="00571148">
      <w:pPr>
        <w:jc w:val="both"/>
        <w:rPr>
          <w:rFonts w:ascii="Abadi" w:hAnsi="Abadi"/>
          <w:sz w:val="21"/>
          <w:szCs w:val="21"/>
        </w:rPr>
      </w:pPr>
    </w:p>
    <w:p w14:paraId="4EC4DB51" w14:textId="77777777" w:rsidR="00571148" w:rsidRPr="00571148" w:rsidRDefault="00571148" w:rsidP="00571148">
      <w:pPr>
        <w:pStyle w:val="Prrafodelista"/>
        <w:numPr>
          <w:ilvl w:val="0"/>
          <w:numId w:val="72"/>
        </w:numPr>
        <w:spacing w:after="160" w:line="259" w:lineRule="auto"/>
        <w:contextualSpacing/>
        <w:jc w:val="both"/>
        <w:rPr>
          <w:rFonts w:ascii="Abadi" w:hAnsi="Abadi"/>
          <w:sz w:val="21"/>
          <w:szCs w:val="21"/>
        </w:rPr>
      </w:pPr>
      <w:r w:rsidRPr="00571148">
        <w:rPr>
          <w:rFonts w:ascii="Abadi" w:hAnsi="Abadi"/>
          <w:sz w:val="21"/>
          <w:szCs w:val="21"/>
        </w:rPr>
        <w:t>En consecuencia.</w:t>
      </w:r>
    </w:p>
    <w:p w14:paraId="0790E1E3" w14:textId="711E9494" w:rsidR="00571148" w:rsidRPr="00571148" w:rsidRDefault="00571148" w:rsidP="00F31ADD">
      <w:pPr>
        <w:ind w:left="284" w:right="425"/>
        <w:contextualSpacing/>
        <w:jc w:val="both"/>
        <w:rPr>
          <w:rFonts w:ascii="Abadi" w:hAnsi="Abadi"/>
          <w:b/>
          <w:bCs/>
          <w:sz w:val="21"/>
          <w:szCs w:val="21"/>
        </w:rPr>
      </w:pPr>
      <w:r w:rsidRPr="00571148">
        <w:rPr>
          <w:rFonts w:ascii="Abadi" w:hAnsi="Abadi"/>
          <w:b/>
          <w:bCs/>
          <w:i/>
          <w:iCs/>
          <w:sz w:val="21"/>
          <w:szCs w:val="21"/>
          <w:u w:val="single"/>
        </w:rPr>
        <w:t>Se instruye a la Secretaría General para que proceda al archivo definitivo de la propuesta de punto de acuerdo referida en el dictamen aprobado</w:t>
      </w:r>
    </w:p>
    <w:p w14:paraId="392FA90C" w14:textId="77777777" w:rsidR="00EC4502" w:rsidRPr="00571148" w:rsidRDefault="00EC4502" w:rsidP="00EC4502">
      <w:pPr>
        <w:jc w:val="both"/>
        <w:rPr>
          <w:rFonts w:ascii="Abadi" w:hAnsi="Abadi"/>
          <w:sz w:val="21"/>
          <w:szCs w:val="21"/>
        </w:rPr>
      </w:pPr>
    </w:p>
    <w:p w14:paraId="32DA7FBC" w14:textId="0BA0FD5E"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SUSCRITO POR LA COMISIÓN DE DESARROLLO ECONÓMICO Y SOCIAL RELATIVO A LA INICIATIVA DE LEY PARA LA PROTECCIÓN, APOYO Y FOMENTO A LA DONACIÓN DE ALIMENTOS EN EL ESTADO DE GUANAJUATO, FORMULADA POR DIPUTADAS Y DIPUTADOS INTEGRANTES DEL GRUPO PARLAMENTARIO DEL PARTIDO ACCIÓN NACIONAL EN LA SEXAGÉSIMA CUARTA LEGISLATURA.</w:t>
      </w:r>
    </w:p>
    <w:p w14:paraId="3A24C309" w14:textId="426ADBB2" w:rsidR="0084091D" w:rsidRDefault="0084091D" w:rsidP="0084091D">
      <w:pPr>
        <w:autoSpaceDE w:val="0"/>
        <w:autoSpaceDN w:val="0"/>
        <w:adjustRightInd w:val="0"/>
        <w:jc w:val="both"/>
        <w:rPr>
          <w:rFonts w:ascii="Abadi" w:hAnsi="Abadi" w:cs="ArialMT"/>
          <w:b/>
          <w:bCs/>
          <w:sz w:val="20"/>
          <w:szCs w:val="21"/>
        </w:rPr>
      </w:pPr>
    </w:p>
    <w:p w14:paraId="46EEB0C6" w14:textId="77777777" w:rsidR="0084091D" w:rsidRPr="003C596E" w:rsidRDefault="0084091D" w:rsidP="0084091D">
      <w:pPr>
        <w:autoSpaceDE w:val="0"/>
        <w:autoSpaceDN w:val="0"/>
        <w:adjustRightInd w:val="0"/>
        <w:jc w:val="both"/>
        <w:rPr>
          <w:rFonts w:ascii="Abadi" w:hAnsi="Abadi" w:cs="*Calibri-Bold-7941-Identity-H"/>
          <w:b/>
          <w:bCs/>
          <w:color w:val="0D0C12"/>
          <w:sz w:val="21"/>
          <w:szCs w:val="21"/>
        </w:rPr>
      </w:pPr>
      <w:r w:rsidRPr="003C596E">
        <w:rPr>
          <w:rFonts w:ascii="Abadi" w:hAnsi="Abadi" w:cs="*Calibri-Bold-7941-Identity-H"/>
          <w:b/>
          <w:bCs/>
          <w:color w:val="0D0C12"/>
          <w:sz w:val="21"/>
          <w:szCs w:val="21"/>
        </w:rPr>
        <w:t>Dip. lrma Leticia González Sánchez</w:t>
      </w:r>
    </w:p>
    <w:p w14:paraId="4E0078EA" w14:textId="77777777" w:rsidR="0084091D" w:rsidRPr="003C596E" w:rsidRDefault="0084091D" w:rsidP="0084091D">
      <w:pPr>
        <w:autoSpaceDE w:val="0"/>
        <w:autoSpaceDN w:val="0"/>
        <w:adjustRightInd w:val="0"/>
        <w:jc w:val="both"/>
        <w:rPr>
          <w:rFonts w:ascii="Abadi" w:hAnsi="Abadi" w:cs="*Calibri-Bold-7941-Identity-H"/>
          <w:b/>
          <w:bCs/>
          <w:color w:val="0D0C12"/>
          <w:sz w:val="21"/>
          <w:szCs w:val="21"/>
        </w:rPr>
      </w:pPr>
      <w:r w:rsidRPr="003C596E">
        <w:rPr>
          <w:rFonts w:ascii="Abadi" w:hAnsi="Abadi" w:cs="*Calibri-Bold-7941-Identity-H"/>
          <w:b/>
          <w:bCs/>
          <w:color w:val="0D0C12"/>
          <w:sz w:val="21"/>
          <w:szCs w:val="21"/>
        </w:rPr>
        <w:t>Presidenta del Congreso del Estado</w:t>
      </w:r>
    </w:p>
    <w:p w14:paraId="032B92D0" w14:textId="77777777" w:rsidR="0084091D" w:rsidRDefault="0084091D" w:rsidP="0084091D">
      <w:pPr>
        <w:autoSpaceDE w:val="0"/>
        <w:autoSpaceDN w:val="0"/>
        <w:adjustRightInd w:val="0"/>
        <w:jc w:val="both"/>
        <w:rPr>
          <w:rFonts w:ascii="Abadi" w:hAnsi="Abadi" w:cs="*Calibri-Bold-7941-Identity-H"/>
          <w:b/>
          <w:bCs/>
          <w:color w:val="0D0C12"/>
          <w:sz w:val="21"/>
          <w:szCs w:val="21"/>
        </w:rPr>
      </w:pPr>
      <w:r w:rsidRPr="003C596E">
        <w:rPr>
          <w:rFonts w:ascii="Abadi" w:hAnsi="Abadi" w:cs="*Calibri-Bold-7941-Identity-H"/>
          <w:b/>
          <w:bCs/>
          <w:color w:val="0D0C12"/>
          <w:sz w:val="21"/>
          <w:szCs w:val="21"/>
        </w:rPr>
        <w:t>Presente.</w:t>
      </w:r>
    </w:p>
    <w:p w14:paraId="39ABD4F5" w14:textId="77777777" w:rsidR="0084091D" w:rsidRPr="003C596E" w:rsidRDefault="0084091D" w:rsidP="0084091D">
      <w:pPr>
        <w:autoSpaceDE w:val="0"/>
        <w:autoSpaceDN w:val="0"/>
        <w:adjustRightInd w:val="0"/>
        <w:jc w:val="both"/>
        <w:rPr>
          <w:rFonts w:ascii="Abadi" w:hAnsi="Abadi" w:cs="*Calibri-Bold-7941-Identity-H"/>
          <w:b/>
          <w:bCs/>
          <w:color w:val="0D0C12"/>
          <w:sz w:val="21"/>
          <w:szCs w:val="21"/>
        </w:rPr>
      </w:pPr>
    </w:p>
    <w:p w14:paraId="101598F8" w14:textId="77777777" w:rsidR="0084091D" w:rsidRPr="003C596E" w:rsidRDefault="0084091D" w:rsidP="0084091D">
      <w:pPr>
        <w:autoSpaceDE w:val="0"/>
        <w:autoSpaceDN w:val="0"/>
        <w:adjustRightInd w:val="0"/>
        <w:ind w:firstLine="708"/>
        <w:jc w:val="both"/>
        <w:rPr>
          <w:rFonts w:ascii="Abadi" w:hAnsi="Abadi" w:cs="*Courier New-7943-Identity-H"/>
          <w:color w:val="181819"/>
          <w:sz w:val="21"/>
          <w:szCs w:val="21"/>
        </w:rPr>
      </w:pPr>
      <w:r w:rsidRPr="003C596E">
        <w:rPr>
          <w:rFonts w:ascii="Abadi" w:hAnsi="Abadi" w:cs="*Courier New-7943-Identity-H"/>
          <w:color w:val="181819"/>
          <w:sz w:val="21"/>
          <w:szCs w:val="21"/>
        </w:rPr>
        <w:t>Las diputadas y los diputados que integramos la Comisión de Desarrollo</w:t>
      </w:r>
      <w:r>
        <w:rPr>
          <w:rFonts w:ascii="Abadi" w:hAnsi="Abadi" w:cs="*Courier New-7943-Identity-H"/>
          <w:color w:val="181819"/>
          <w:sz w:val="21"/>
          <w:szCs w:val="21"/>
        </w:rPr>
        <w:t xml:space="preserve"> </w:t>
      </w:r>
      <w:r w:rsidRPr="003C596E">
        <w:rPr>
          <w:rFonts w:ascii="Abadi" w:hAnsi="Abadi" w:cs="*Courier New-7943-Identity-H"/>
          <w:color w:val="181819"/>
          <w:sz w:val="21"/>
          <w:szCs w:val="21"/>
        </w:rPr>
        <w:t>Económico y Social de la Sexagésima Quinta Legislatura, recibimos en los</w:t>
      </w:r>
      <w:r>
        <w:rPr>
          <w:rFonts w:ascii="Abadi" w:hAnsi="Abadi" w:cs="*Courier New-7943-Identity-H"/>
          <w:color w:val="181819"/>
          <w:sz w:val="21"/>
          <w:szCs w:val="21"/>
        </w:rPr>
        <w:t xml:space="preserve"> </w:t>
      </w:r>
      <w:r w:rsidRPr="003C596E">
        <w:rPr>
          <w:rFonts w:ascii="Abadi" w:hAnsi="Abadi" w:cs="*Courier New-7943-Identity-H"/>
          <w:color w:val="181819"/>
          <w:sz w:val="21"/>
          <w:szCs w:val="21"/>
        </w:rPr>
        <w:t>pendientes legislativos la iniciativa de Ley para la Protección, Apoyo y Fomento a</w:t>
      </w:r>
      <w:r>
        <w:rPr>
          <w:rFonts w:ascii="Abadi" w:hAnsi="Abadi" w:cs="*Courier New-7943-Identity-H"/>
          <w:color w:val="181819"/>
          <w:sz w:val="21"/>
          <w:szCs w:val="21"/>
        </w:rPr>
        <w:t xml:space="preserve"> </w:t>
      </w:r>
      <w:r w:rsidRPr="003C596E">
        <w:rPr>
          <w:rFonts w:ascii="Abadi" w:hAnsi="Abadi" w:cs="*Courier New-7943-Identity-H"/>
          <w:color w:val="181819"/>
          <w:sz w:val="21"/>
          <w:szCs w:val="21"/>
        </w:rPr>
        <w:t>la Donación de Alimentos en el Estado de Guanajuato, formulada por diputados</w:t>
      </w:r>
      <w:r>
        <w:rPr>
          <w:rFonts w:ascii="Abadi" w:hAnsi="Abadi" w:cs="*Courier New-7943-Identity-H"/>
          <w:color w:val="181819"/>
          <w:sz w:val="21"/>
          <w:szCs w:val="21"/>
        </w:rPr>
        <w:t xml:space="preserve"> </w:t>
      </w:r>
      <w:r w:rsidRPr="003C596E">
        <w:rPr>
          <w:rFonts w:ascii="Abadi" w:hAnsi="Abadi" w:cs="*Courier New-7943-Identity-H"/>
          <w:color w:val="181819"/>
          <w:sz w:val="21"/>
          <w:szCs w:val="21"/>
        </w:rPr>
        <w:t>y diputados del Grupo Parlamentario Partido Acción Nacional en la Sexagésima</w:t>
      </w:r>
    </w:p>
    <w:p w14:paraId="279A2408" w14:textId="77777777" w:rsidR="0084091D" w:rsidRDefault="0084091D" w:rsidP="0084091D">
      <w:pPr>
        <w:autoSpaceDE w:val="0"/>
        <w:autoSpaceDN w:val="0"/>
        <w:adjustRightInd w:val="0"/>
        <w:jc w:val="both"/>
        <w:rPr>
          <w:rFonts w:ascii="Abadi" w:hAnsi="Abadi" w:cs="*Courier New-7943-Identity-H"/>
          <w:color w:val="181819"/>
          <w:sz w:val="21"/>
          <w:szCs w:val="21"/>
        </w:rPr>
      </w:pPr>
      <w:r w:rsidRPr="003C596E">
        <w:rPr>
          <w:rFonts w:ascii="Abadi" w:hAnsi="Abadi" w:cs="*Courier New-7943-Identity-H"/>
          <w:color w:val="181819"/>
          <w:sz w:val="21"/>
          <w:szCs w:val="21"/>
        </w:rPr>
        <w:t>Cuarta Legislat</w:t>
      </w:r>
      <w:r>
        <w:rPr>
          <w:rFonts w:ascii="Abadi" w:hAnsi="Abadi" w:cs="*Courier New-7943-Identity-H"/>
          <w:color w:val="181819"/>
          <w:sz w:val="21"/>
          <w:szCs w:val="21"/>
        </w:rPr>
        <w:t>u</w:t>
      </w:r>
      <w:r w:rsidRPr="003C596E">
        <w:rPr>
          <w:rFonts w:ascii="Abadi" w:hAnsi="Abadi" w:cs="*Courier New-7943-Identity-H"/>
          <w:color w:val="181819"/>
          <w:sz w:val="21"/>
          <w:szCs w:val="21"/>
        </w:rPr>
        <w:t>ra.</w:t>
      </w:r>
    </w:p>
    <w:p w14:paraId="5F651AC0" w14:textId="77777777" w:rsidR="0084091D" w:rsidRPr="003C596E" w:rsidRDefault="0084091D" w:rsidP="0084091D">
      <w:pPr>
        <w:autoSpaceDE w:val="0"/>
        <w:autoSpaceDN w:val="0"/>
        <w:adjustRightInd w:val="0"/>
        <w:jc w:val="both"/>
        <w:rPr>
          <w:rFonts w:ascii="Abadi" w:hAnsi="Abadi" w:cs="*Courier New-7943-Identity-H"/>
          <w:color w:val="181819"/>
          <w:sz w:val="21"/>
          <w:szCs w:val="21"/>
        </w:rPr>
      </w:pPr>
    </w:p>
    <w:p w14:paraId="44C01B68" w14:textId="77777777" w:rsidR="0084091D" w:rsidRPr="003C596E" w:rsidRDefault="0084091D" w:rsidP="0084091D">
      <w:pPr>
        <w:autoSpaceDE w:val="0"/>
        <w:autoSpaceDN w:val="0"/>
        <w:adjustRightInd w:val="0"/>
        <w:ind w:firstLine="708"/>
        <w:jc w:val="both"/>
        <w:rPr>
          <w:rFonts w:ascii="Abadi" w:hAnsi="Abadi" w:cs="*Courier New-7943-Identity-H"/>
          <w:color w:val="1A1A1B"/>
          <w:sz w:val="21"/>
          <w:szCs w:val="21"/>
        </w:rPr>
      </w:pPr>
      <w:r w:rsidRPr="003C596E">
        <w:rPr>
          <w:rFonts w:ascii="Abadi" w:hAnsi="Abadi" w:cs="*Courier New-7943-Identity-H"/>
          <w:color w:val="1A1A1B"/>
          <w:sz w:val="21"/>
          <w:szCs w:val="21"/>
        </w:rPr>
        <w:t>Por lo anterior, con fundamento en los artículos 89, fracción V; 107, fracción</w:t>
      </w:r>
      <w:r>
        <w:rPr>
          <w:rFonts w:ascii="Abadi" w:hAnsi="Abadi" w:cs="*Courier New-7943-Identity-H"/>
          <w:color w:val="1A1A1B"/>
          <w:sz w:val="21"/>
          <w:szCs w:val="21"/>
        </w:rPr>
        <w:t xml:space="preserve"> </w:t>
      </w:r>
      <w:r w:rsidRPr="003C596E">
        <w:rPr>
          <w:rFonts w:ascii="Abadi" w:hAnsi="Abadi" w:cs="*Courier New-7943-Identity-H"/>
          <w:color w:val="1A1A1B"/>
          <w:sz w:val="21"/>
          <w:szCs w:val="21"/>
        </w:rPr>
        <w:t>VI y 171 de la Ley Orgánica del Poder Legislativo del Estado de Guanajuato,</w:t>
      </w:r>
      <w:r>
        <w:rPr>
          <w:rFonts w:ascii="Abadi" w:hAnsi="Abadi" w:cs="*Courier New-7943-Identity-H"/>
          <w:color w:val="1A1A1B"/>
          <w:sz w:val="21"/>
          <w:szCs w:val="21"/>
        </w:rPr>
        <w:t xml:space="preserve"> </w:t>
      </w:r>
      <w:r w:rsidRPr="003C596E">
        <w:rPr>
          <w:rFonts w:ascii="Abadi" w:hAnsi="Abadi" w:cs="*Courier New-7943-Identity-H"/>
          <w:color w:val="1A1A1B"/>
          <w:sz w:val="21"/>
          <w:szCs w:val="21"/>
        </w:rPr>
        <w:t>sometemos a lo consideración de lo Asamblea el presente dictamen, con base</w:t>
      </w:r>
      <w:r>
        <w:rPr>
          <w:rFonts w:ascii="Abadi" w:hAnsi="Abadi" w:cs="*Courier New-7943-Identity-H"/>
          <w:color w:val="1A1A1B"/>
          <w:sz w:val="21"/>
          <w:szCs w:val="21"/>
        </w:rPr>
        <w:t xml:space="preserve"> </w:t>
      </w:r>
      <w:r w:rsidRPr="003C596E">
        <w:rPr>
          <w:rFonts w:ascii="Abadi" w:hAnsi="Abadi" w:cs="*Courier New-7943-Identity-H"/>
          <w:color w:val="1A1A1B"/>
          <w:sz w:val="21"/>
          <w:szCs w:val="21"/>
        </w:rPr>
        <w:t>en las siguientes:</w:t>
      </w:r>
    </w:p>
    <w:p w14:paraId="18E82E97" w14:textId="77777777" w:rsidR="0084091D" w:rsidRDefault="0084091D" w:rsidP="0084091D">
      <w:pPr>
        <w:autoSpaceDE w:val="0"/>
        <w:autoSpaceDN w:val="0"/>
        <w:adjustRightInd w:val="0"/>
        <w:jc w:val="both"/>
        <w:rPr>
          <w:rFonts w:ascii="Abadi" w:hAnsi="Abadi" w:cs="*Calibri-Bold-7941-Identity-H"/>
          <w:b/>
          <w:bCs/>
          <w:color w:val="080A0F"/>
          <w:sz w:val="21"/>
          <w:szCs w:val="21"/>
        </w:rPr>
      </w:pPr>
    </w:p>
    <w:p w14:paraId="1E50071D" w14:textId="77777777" w:rsidR="0084091D" w:rsidRDefault="0084091D" w:rsidP="0084091D">
      <w:pPr>
        <w:autoSpaceDE w:val="0"/>
        <w:autoSpaceDN w:val="0"/>
        <w:adjustRightInd w:val="0"/>
        <w:jc w:val="center"/>
        <w:rPr>
          <w:rFonts w:ascii="Abadi" w:hAnsi="Abadi" w:cs="*Calibri-Bold-7941-Identity-H"/>
          <w:b/>
          <w:bCs/>
          <w:color w:val="080A0F"/>
          <w:sz w:val="21"/>
          <w:szCs w:val="21"/>
        </w:rPr>
      </w:pPr>
      <w:r w:rsidRPr="003C596E">
        <w:rPr>
          <w:rFonts w:ascii="Abadi" w:hAnsi="Abadi" w:cs="*Calibri-Bold-7941-Identity-H"/>
          <w:b/>
          <w:bCs/>
          <w:color w:val="080A0F"/>
          <w:sz w:val="21"/>
          <w:szCs w:val="21"/>
        </w:rPr>
        <w:t>CONSIDERACIONES</w:t>
      </w:r>
    </w:p>
    <w:p w14:paraId="7F2D961C" w14:textId="77777777" w:rsidR="0084091D" w:rsidRPr="003C596E" w:rsidRDefault="0084091D" w:rsidP="0084091D">
      <w:pPr>
        <w:autoSpaceDE w:val="0"/>
        <w:autoSpaceDN w:val="0"/>
        <w:adjustRightInd w:val="0"/>
        <w:jc w:val="both"/>
        <w:rPr>
          <w:rFonts w:ascii="Abadi" w:hAnsi="Abadi" w:cs="*Calibri-Bold-7941-Identity-H"/>
          <w:b/>
          <w:bCs/>
          <w:color w:val="080A0F"/>
          <w:sz w:val="21"/>
          <w:szCs w:val="21"/>
        </w:rPr>
      </w:pPr>
    </w:p>
    <w:p w14:paraId="12E4A151" w14:textId="77777777" w:rsidR="0084091D" w:rsidRPr="003C596E" w:rsidRDefault="0084091D" w:rsidP="0084091D">
      <w:pPr>
        <w:pStyle w:val="Prrafodelista"/>
        <w:numPr>
          <w:ilvl w:val="0"/>
          <w:numId w:val="66"/>
        </w:numPr>
        <w:autoSpaceDE w:val="0"/>
        <w:autoSpaceDN w:val="0"/>
        <w:adjustRightInd w:val="0"/>
        <w:contextualSpacing/>
        <w:jc w:val="both"/>
        <w:rPr>
          <w:rFonts w:ascii="Abadi" w:hAnsi="Abadi" w:cs="*Calibri-Bold-7941-Identity-H"/>
          <w:b/>
          <w:bCs/>
          <w:color w:val="0D0C12"/>
          <w:sz w:val="21"/>
          <w:szCs w:val="21"/>
        </w:rPr>
      </w:pPr>
      <w:r w:rsidRPr="003C596E">
        <w:rPr>
          <w:rFonts w:ascii="Abadi" w:hAnsi="Abadi" w:cs="*Calibri-Bold-7941-Identity-H"/>
          <w:b/>
          <w:bCs/>
          <w:color w:val="0D0C12"/>
          <w:sz w:val="21"/>
          <w:szCs w:val="21"/>
        </w:rPr>
        <w:t>Antecedentes</w:t>
      </w:r>
    </w:p>
    <w:p w14:paraId="680D5EB0" w14:textId="77777777" w:rsidR="0084091D" w:rsidRPr="003C596E" w:rsidRDefault="0084091D" w:rsidP="0084091D">
      <w:pPr>
        <w:pStyle w:val="Prrafodelista"/>
        <w:autoSpaceDE w:val="0"/>
        <w:autoSpaceDN w:val="0"/>
        <w:adjustRightInd w:val="0"/>
        <w:ind w:left="1080"/>
        <w:jc w:val="both"/>
        <w:rPr>
          <w:rFonts w:ascii="Abadi" w:hAnsi="Abadi" w:cs="*Calibri-Bold-7941-Identity-H"/>
          <w:b/>
          <w:bCs/>
          <w:color w:val="0D0C12"/>
          <w:sz w:val="21"/>
          <w:szCs w:val="21"/>
        </w:rPr>
      </w:pPr>
    </w:p>
    <w:p w14:paraId="63F683F7" w14:textId="77777777" w:rsidR="0084091D" w:rsidRDefault="0084091D" w:rsidP="0084091D">
      <w:pPr>
        <w:autoSpaceDE w:val="0"/>
        <w:autoSpaceDN w:val="0"/>
        <w:adjustRightInd w:val="0"/>
        <w:ind w:firstLine="360"/>
        <w:jc w:val="both"/>
        <w:rPr>
          <w:rFonts w:ascii="Abadi" w:hAnsi="Abadi" w:cs="*Courier New-7943-Identity-H"/>
          <w:color w:val="19191B"/>
          <w:sz w:val="21"/>
          <w:szCs w:val="21"/>
        </w:rPr>
      </w:pPr>
      <w:r w:rsidRPr="003C596E">
        <w:rPr>
          <w:rFonts w:ascii="Abadi" w:hAnsi="Abadi" w:cs="*Courier New-7943-Identity-H"/>
          <w:color w:val="19191B"/>
          <w:sz w:val="21"/>
          <w:szCs w:val="21"/>
        </w:rPr>
        <w:t>En sesión ordinaria de 17 de octubre de 2019, la presidencia de la Mesa</w:t>
      </w:r>
      <w:r>
        <w:rPr>
          <w:rFonts w:ascii="Abadi" w:hAnsi="Abadi" w:cs="*Courier New-7943-Identity-H"/>
          <w:color w:val="19191B"/>
          <w:sz w:val="21"/>
          <w:szCs w:val="21"/>
        </w:rPr>
        <w:t xml:space="preserve"> </w:t>
      </w:r>
      <w:r w:rsidRPr="003C596E">
        <w:rPr>
          <w:rFonts w:ascii="Abadi" w:hAnsi="Abadi" w:cs="*Courier New-7943-Identity-H"/>
          <w:color w:val="19191B"/>
          <w:sz w:val="21"/>
          <w:szCs w:val="21"/>
        </w:rPr>
        <w:t>Directiva turnó la iniciativa señalada en el proemio del presente dictamen a la</w:t>
      </w:r>
      <w:r>
        <w:rPr>
          <w:rFonts w:ascii="Abadi" w:hAnsi="Abadi" w:cs="*Courier New-7943-Identity-H"/>
          <w:color w:val="19191B"/>
          <w:sz w:val="21"/>
          <w:szCs w:val="21"/>
        </w:rPr>
        <w:t xml:space="preserve"> </w:t>
      </w:r>
      <w:r w:rsidRPr="003C596E">
        <w:rPr>
          <w:rFonts w:ascii="Abadi" w:hAnsi="Abadi" w:cs="*Courier New-7943-Identity-H"/>
          <w:color w:val="19191B"/>
          <w:sz w:val="21"/>
          <w:szCs w:val="21"/>
        </w:rPr>
        <w:t>Comisión de Desarrollo Económico y Social de la Sexagésima Cuarta Legislatura,</w:t>
      </w:r>
      <w:r>
        <w:rPr>
          <w:rFonts w:ascii="Abadi" w:hAnsi="Abadi" w:cs="*Courier New-7943-Identity-H"/>
          <w:color w:val="19191B"/>
          <w:sz w:val="21"/>
          <w:szCs w:val="21"/>
        </w:rPr>
        <w:t xml:space="preserve"> </w:t>
      </w:r>
      <w:r w:rsidRPr="003C596E">
        <w:rPr>
          <w:rFonts w:ascii="Abadi" w:hAnsi="Abadi" w:cs="*Courier New-7943-Identity-H"/>
          <w:color w:val="19191B"/>
          <w:sz w:val="21"/>
          <w:szCs w:val="21"/>
        </w:rPr>
        <w:t>con fundamento en el artículo l 07 fracción VI de la Ley Orgánica del Poder</w:t>
      </w:r>
      <w:r>
        <w:rPr>
          <w:rFonts w:ascii="Abadi" w:hAnsi="Abadi" w:cs="*Courier New-7943-Identity-H"/>
          <w:color w:val="19191B"/>
          <w:sz w:val="21"/>
          <w:szCs w:val="21"/>
        </w:rPr>
        <w:t xml:space="preserve"> </w:t>
      </w:r>
      <w:r w:rsidRPr="003C596E">
        <w:rPr>
          <w:rFonts w:ascii="Abadi" w:hAnsi="Abadi" w:cs="*Courier New-7943-Identity-H"/>
          <w:color w:val="19191B"/>
          <w:sz w:val="21"/>
          <w:szCs w:val="21"/>
        </w:rPr>
        <w:t>Legislativo del Estado de Guanajuato.</w:t>
      </w:r>
    </w:p>
    <w:p w14:paraId="03318881" w14:textId="77777777" w:rsidR="0084091D" w:rsidRPr="003C596E" w:rsidRDefault="0084091D" w:rsidP="0084091D">
      <w:pPr>
        <w:autoSpaceDE w:val="0"/>
        <w:autoSpaceDN w:val="0"/>
        <w:adjustRightInd w:val="0"/>
        <w:jc w:val="both"/>
        <w:rPr>
          <w:rFonts w:ascii="Abadi" w:hAnsi="Abadi" w:cs="*Courier New-7943-Identity-H"/>
          <w:color w:val="19191B"/>
          <w:sz w:val="21"/>
          <w:szCs w:val="21"/>
        </w:rPr>
      </w:pPr>
    </w:p>
    <w:p w14:paraId="1E4E7450" w14:textId="77777777" w:rsidR="0084091D" w:rsidRPr="003C596E" w:rsidRDefault="0084091D" w:rsidP="0084091D">
      <w:pPr>
        <w:autoSpaceDE w:val="0"/>
        <w:autoSpaceDN w:val="0"/>
        <w:adjustRightInd w:val="0"/>
        <w:ind w:firstLine="360"/>
        <w:jc w:val="both"/>
        <w:rPr>
          <w:rFonts w:ascii="Abadi" w:hAnsi="Abadi" w:cs="*Courier New-7943-Identity-H"/>
          <w:color w:val="18181A"/>
          <w:sz w:val="21"/>
          <w:szCs w:val="21"/>
        </w:rPr>
      </w:pPr>
      <w:r w:rsidRPr="003C596E">
        <w:rPr>
          <w:rFonts w:ascii="Abadi" w:hAnsi="Abadi" w:cs="*Courier New-7943-Identity-H"/>
          <w:color w:val="18181A"/>
          <w:sz w:val="21"/>
          <w:szCs w:val="21"/>
        </w:rPr>
        <w:t>La Comisión radicó la iniciativa en fecha 29 de octubre del 2019 y acordó</w:t>
      </w:r>
      <w:r>
        <w:rPr>
          <w:rFonts w:ascii="Abadi" w:hAnsi="Abadi" w:cs="*Courier New-7943-Identity-H"/>
          <w:color w:val="18181A"/>
          <w:sz w:val="21"/>
          <w:szCs w:val="21"/>
        </w:rPr>
        <w:t xml:space="preserve"> </w:t>
      </w:r>
      <w:r w:rsidRPr="003C596E">
        <w:rPr>
          <w:rFonts w:ascii="Abadi" w:hAnsi="Abadi" w:cs="*Courier New-7943-Identity-H"/>
          <w:color w:val="18181A"/>
          <w:sz w:val="21"/>
          <w:szCs w:val="21"/>
        </w:rPr>
        <w:t>la metodología para su estudio y dictamen la siguiente:</w:t>
      </w:r>
    </w:p>
    <w:p w14:paraId="42D0E46D" w14:textId="77777777" w:rsidR="0084091D" w:rsidRPr="003C596E" w:rsidRDefault="0084091D" w:rsidP="0084091D">
      <w:pPr>
        <w:jc w:val="both"/>
        <w:rPr>
          <w:rFonts w:ascii="Abadi" w:hAnsi="Abadi" w:cs="*Courier New-7943-Identity-H"/>
          <w:color w:val="18181A"/>
          <w:sz w:val="21"/>
          <w:szCs w:val="21"/>
        </w:rPr>
      </w:pPr>
    </w:p>
    <w:p w14:paraId="62D7FF64" w14:textId="77777777" w:rsidR="0084091D" w:rsidRDefault="0084091D" w:rsidP="0084091D">
      <w:pPr>
        <w:pStyle w:val="Prrafodelista"/>
        <w:numPr>
          <w:ilvl w:val="0"/>
          <w:numId w:val="68"/>
        </w:numPr>
        <w:autoSpaceDE w:val="0"/>
        <w:autoSpaceDN w:val="0"/>
        <w:adjustRightInd w:val="0"/>
        <w:ind w:left="284"/>
        <w:contextualSpacing/>
        <w:jc w:val="both"/>
        <w:rPr>
          <w:rFonts w:ascii="Abadi" w:hAnsi="Abadi" w:cs="*Microsoft Sans Serif-Italic-10"/>
          <w:i/>
          <w:iCs/>
          <w:color w:val="201F20"/>
          <w:sz w:val="21"/>
          <w:szCs w:val="21"/>
        </w:rPr>
      </w:pPr>
      <w:r w:rsidRPr="008D00A9">
        <w:rPr>
          <w:rFonts w:ascii="Abadi" w:hAnsi="Abadi" w:cs="*Microsoft Sans Serif-Italic-10"/>
          <w:i/>
          <w:iCs/>
          <w:color w:val="201F20"/>
          <w:sz w:val="21"/>
          <w:szCs w:val="21"/>
        </w:rPr>
        <w:t xml:space="preserve">Remitir la iniciativa, para efectos de </w:t>
      </w:r>
      <w:r w:rsidRPr="008D00A9">
        <w:rPr>
          <w:rFonts w:ascii="Abadi" w:hAnsi="Abadi" w:cs="*Calibri-10445-Identity-H"/>
          <w:color w:val="201F20"/>
          <w:sz w:val="21"/>
          <w:szCs w:val="21"/>
        </w:rPr>
        <w:t xml:space="preserve">su </w:t>
      </w:r>
      <w:r w:rsidRPr="008D00A9">
        <w:rPr>
          <w:rFonts w:ascii="Abadi" w:hAnsi="Abadi" w:cs="*Microsoft Sans Serif-Italic-10"/>
          <w:i/>
          <w:iCs/>
          <w:color w:val="201F20"/>
          <w:sz w:val="21"/>
          <w:szCs w:val="21"/>
        </w:rPr>
        <w:t>consulto, por un término de 30 días hábiles a:</w:t>
      </w:r>
    </w:p>
    <w:p w14:paraId="136D7859" w14:textId="77777777" w:rsidR="0084091D" w:rsidRPr="003C596E" w:rsidRDefault="0084091D" w:rsidP="0084091D">
      <w:pPr>
        <w:autoSpaceDE w:val="0"/>
        <w:autoSpaceDN w:val="0"/>
        <w:adjustRightInd w:val="0"/>
        <w:jc w:val="both"/>
        <w:rPr>
          <w:rFonts w:ascii="Abadi" w:hAnsi="Abadi" w:cs="*Microsoft Sans Serif-Italic-10"/>
          <w:i/>
          <w:iCs/>
          <w:color w:val="201F20"/>
          <w:sz w:val="21"/>
          <w:szCs w:val="21"/>
        </w:rPr>
      </w:pPr>
    </w:p>
    <w:p w14:paraId="69AE99B7" w14:textId="77777777" w:rsidR="0084091D" w:rsidRPr="00732AD0" w:rsidRDefault="0084091D" w:rsidP="0084091D">
      <w:pPr>
        <w:pStyle w:val="Prrafodelista"/>
        <w:numPr>
          <w:ilvl w:val="0"/>
          <w:numId w:val="67"/>
        </w:numPr>
        <w:autoSpaceDE w:val="0"/>
        <w:autoSpaceDN w:val="0"/>
        <w:adjustRightInd w:val="0"/>
        <w:contextualSpacing/>
        <w:jc w:val="both"/>
        <w:rPr>
          <w:rFonts w:ascii="Abadi" w:hAnsi="Abadi" w:cs="*Microsoft Sans Serif-Italic-10"/>
          <w:i/>
          <w:iCs/>
          <w:color w:val="1D1D1E"/>
          <w:sz w:val="21"/>
          <w:szCs w:val="21"/>
        </w:rPr>
      </w:pPr>
      <w:r w:rsidRPr="00732AD0">
        <w:rPr>
          <w:rFonts w:ascii="Abadi" w:hAnsi="Abadi" w:cs="*Microsoft Sans Serif-Italic-10"/>
          <w:i/>
          <w:iCs/>
          <w:color w:val="1D1D1E"/>
          <w:sz w:val="21"/>
          <w:szCs w:val="21"/>
        </w:rPr>
        <w:t>Los 46 ayuntamientos:</w:t>
      </w:r>
    </w:p>
    <w:p w14:paraId="6A4BE1D6" w14:textId="77777777" w:rsidR="0084091D" w:rsidRPr="003C596E" w:rsidRDefault="0084091D" w:rsidP="0084091D">
      <w:pPr>
        <w:autoSpaceDE w:val="0"/>
        <w:autoSpaceDN w:val="0"/>
        <w:adjustRightInd w:val="0"/>
        <w:jc w:val="both"/>
        <w:rPr>
          <w:rFonts w:ascii="Abadi" w:hAnsi="Abadi" w:cs="*Microsoft Sans Serif-Italic-10"/>
          <w:i/>
          <w:iCs/>
          <w:color w:val="1D1D1E"/>
          <w:sz w:val="21"/>
          <w:szCs w:val="21"/>
        </w:rPr>
      </w:pPr>
    </w:p>
    <w:p w14:paraId="7C23BF35" w14:textId="77777777" w:rsidR="0084091D" w:rsidRPr="00732AD0" w:rsidRDefault="0084091D" w:rsidP="0084091D">
      <w:pPr>
        <w:pStyle w:val="Prrafodelista"/>
        <w:numPr>
          <w:ilvl w:val="0"/>
          <w:numId w:val="67"/>
        </w:numPr>
        <w:autoSpaceDE w:val="0"/>
        <w:autoSpaceDN w:val="0"/>
        <w:adjustRightInd w:val="0"/>
        <w:contextualSpacing/>
        <w:jc w:val="both"/>
        <w:rPr>
          <w:rFonts w:ascii="Abadi" w:hAnsi="Abadi" w:cs="*Microsoft Sans Serif-Italic-10"/>
          <w:i/>
          <w:iCs/>
          <w:color w:val="1E1E20"/>
          <w:sz w:val="21"/>
          <w:szCs w:val="21"/>
        </w:rPr>
      </w:pPr>
      <w:r w:rsidRPr="00732AD0">
        <w:rPr>
          <w:rFonts w:ascii="Abadi" w:hAnsi="Abadi" w:cs="*Microsoft Sans Serif-Italic-10"/>
          <w:i/>
          <w:iCs/>
          <w:color w:val="1E1E20"/>
          <w:sz w:val="21"/>
          <w:szCs w:val="21"/>
        </w:rPr>
        <w:t>Secretaría de Desarrollo Social y Humano;</w:t>
      </w:r>
    </w:p>
    <w:p w14:paraId="026B46C0" w14:textId="77777777" w:rsidR="0084091D" w:rsidRPr="003C596E" w:rsidRDefault="0084091D" w:rsidP="0084091D">
      <w:pPr>
        <w:autoSpaceDE w:val="0"/>
        <w:autoSpaceDN w:val="0"/>
        <w:adjustRightInd w:val="0"/>
        <w:jc w:val="both"/>
        <w:rPr>
          <w:rFonts w:ascii="Abadi" w:hAnsi="Abadi" w:cs="*Microsoft Sans Serif-Italic-10"/>
          <w:i/>
          <w:iCs/>
          <w:color w:val="1E1E20"/>
          <w:sz w:val="21"/>
          <w:szCs w:val="21"/>
        </w:rPr>
      </w:pPr>
    </w:p>
    <w:p w14:paraId="6885D5D7" w14:textId="77777777" w:rsidR="0084091D" w:rsidRPr="00732AD0" w:rsidRDefault="0084091D" w:rsidP="0084091D">
      <w:pPr>
        <w:pStyle w:val="Prrafodelista"/>
        <w:numPr>
          <w:ilvl w:val="0"/>
          <w:numId w:val="67"/>
        </w:numPr>
        <w:autoSpaceDE w:val="0"/>
        <w:autoSpaceDN w:val="0"/>
        <w:adjustRightInd w:val="0"/>
        <w:contextualSpacing/>
        <w:jc w:val="both"/>
        <w:rPr>
          <w:rFonts w:ascii="Abadi" w:hAnsi="Abadi" w:cs="*Microsoft Sans Serif-Italic-10"/>
          <w:i/>
          <w:iCs/>
          <w:color w:val="1C1C1E"/>
          <w:sz w:val="21"/>
          <w:szCs w:val="21"/>
        </w:rPr>
      </w:pPr>
      <w:r w:rsidRPr="00732AD0">
        <w:rPr>
          <w:rFonts w:ascii="Abadi" w:hAnsi="Abadi" w:cs="*Microsoft Sans Serif-Italic-10"/>
          <w:i/>
          <w:iCs/>
          <w:color w:val="1C1C1E"/>
          <w:sz w:val="21"/>
          <w:szCs w:val="21"/>
        </w:rPr>
        <w:t>Sistema poro el Desarrollo Integral de lo Familia del Estado de Guanajuato:</w:t>
      </w:r>
    </w:p>
    <w:p w14:paraId="71698BBF" w14:textId="77777777" w:rsidR="0084091D" w:rsidRPr="003C596E" w:rsidRDefault="0084091D" w:rsidP="0084091D">
      <w:pPr>
        <w:autoSpaceDE w:val="0"/>
        <w:autoSpaceDN w:val="0"/>
        <w:adjustRightInd w:val="0"/>
        <w:jc w:val="both"/>
        <w:rPr>
          <w:rFonts w:ascii="Abadi" w:hAnsi="Abadi" w:cs="*Microsoft Sans Serif-Italic-10"/>
          <w:i/>
          <w:iCs/>
          <w:color w:val="1C1C1E"/>
          <w:sz w:val="21"/>
          <w:szCs w:val="21"/>
        </w:rPr>
      </w:pPr>
    </w:p>
    <w:p w14:paraId="79230BC7" w14:textId="77777777" w:rsidR="0084091D" w:rsidRPr="00732AD0" w:rsidRDefault="0084091D" w:rsidP="0084091D">
      <w:pPr>
        <w:pStyle w:val="Prrafodelista"/>
        <w:numPr>
          <w:ilvl w:val="0"/>
          <w:numId w:val="67"/>
        </w:numPr>
        <w:autoSpaceDE w:val="0"/>
        <w:autoSpaceDN w:val="0"/>
        <w:adjustRightInd w:val="0"/>
        <w:contextualSpacing/>
        <w:jc w:val="both"/>
        <w:rPr>
          <w:rFonts w:ascii="Abadi" w:hAnsi="Abadi" w:cs="*Microsoft Sans Serif-Italic-10"/>
          <w:i/>
          <w:iCs/>
          <w:color w:val="202022"/>
          <w:sz w:val="21"/>
          <w:szCs w:val="21"/>
        </w:rPr>
      </w:pPr>
      <w:r w:rsidRPr="00732AD0">
        <w:rPr>
          <w:rFonts w:ascii="Abadi" w:hAnsi="Abadi" w:cs="*Microsoft Sans Serif-Italic-10"/>
          <w:i/>
          <w:iCs/>
          <w:color w:val="202022"/>
          <w:sz w:val="21"/>
          <w:szCs w:val="21"/>
        </w:rPr>
        <w:t>Coordinación General Jurídica:</w:t>
      </w:r>
    </w:p>
    <w:p w14:paraId="5087D8FD" w14:textId="77777777" w:rsidR="0084091D" w:rsidRPr="003C596E" w:rsidRDefault="0084091D" w:rsidP="0084091D">
      <w:pPr>
        <w:autoSpaceDE w:val="0"/>
        <w:autoSpaceDN w:val="0"/>
        <w:adjustRightInd w:val="0"/>
        <w:jc w:val="both"/>
        <w:rPr>
          <w:rFonts w:ascii="Abadi" w:hAnsi="Abadi" w:cs="*Microsoft Sans Serif-Italic-10"/>
          <w:i/>
          <w:iCs/>
          <w:color w:val="202022"/>
          <w:sz w:val="21"/>
          <w:szCs w:val="21"/>
        </w:rPr>
      </w:pPr>
    </w:p>
    <w:p w14:paraId="069C39F4" w14:textId="77777777" w:rsidR="0084091D" w:rsidRDefault="0084091D" w:rsidP="0084091D">
      <w:pPr>
        <w:pStyle w:val="Prrafodelista"/>
        <w:numPr>
          <w:ilvl w:val="0"/>
          <w:numId w:val="67"/>
        </w:numPr>
        <w:autoSpaceDE w:val="0"/>
        <w:autoSpaceDN w:val="0"/>
        <w:adjustRightInd w:val="0"/>
        <w:contextualSpacing/>
        <w:jc w:val="both"/>
        <w:rPr>
          <w:rFonts w:ascii="Abadi" w:hAnsi="Abadi" w:cs="*Microsoft Sans Serif-Italic-10"/>
          <w:i/>
          <w:iCs/>
          <w:color w:val="1F1F21"/>
          <w:sz w:val="21"/>
          <w:szCs w:val="21"/>
        </w:rPr>
      </w:pPr>
      <w:r w:rsidRPr="00732AD0">
        <w:rPr>
          <w:rFonts w:ascii="Abadi" w:hAnsi="Abadi" w:cs="*Calibri-10445-Identity-H"/>
          <w:color w:val="1F1F21"/>
          <w:sz w:val="21"/>
          <w:szCs w:val="21"/>
        </w:rPr>
        <w:t xml:space="preserve">Bancos </w:t>
      </w:r>
      <w:r w:rsidRPr="00732AD0">
        <w:rPr>
          <w:rFonts w:ascii="Abadi" w:hAnsi="Abadi" w:cs="*Microsoft Sans Serif-Italic-10"/>
          <w:i/>
          <w:iCs/>
          <w:color w:val="1F1F21"/>
          <w:sz w:val="21"/>
          <w:szCs w:val="21"/>
        </w:rPr>
        <w:t>de alimentos en el estado;</w:t>
      </w:r>
    </w:p>
    <w:p w14:paraId="32680987" w14:textId="77777777" w:rsidR="0084091D" w:rsidRPr="00732AD0" w:rsidRDefault="0084091D" w:rsidP="0084091D">
      <w:pPr>
        <w:pStyle w:val="Prrafodelista"/>
        <w:rPr>
          <w:rFonts w:ascii="Abadi" w:hAnsi="Abadi" w:cs="*Microsoft Sans Serif-Italic-10"/>
          <w:i/>
          <w:iCs/>
          <w:color w:val="1F1F21"/>
          <w:sz w:val="21"/>
          <w:szCs w:val="21"/>
        </w:rPr>
      </w:pPr>
    </w:p>
    <w:p w14:paraId="5C42493F" w14:textId="77777777" w:rsidR="0084091D" w:rsidRPr="00732AD0" w:rsidRDefault="0084091D" w:rsidP="0084091D">
      <w:pPr>
        <w:pStyle w:val="Prrafodelista"/>
        <w:numPr>
          <w:ilvl w:val="0"/>
          <w:numId w:val="67"/>
        </w:numPr>
        <w:autoSpaceDE w:val="0"/>
        <w:autoSpaceDN w:val="0"/>
        <w:adjustRightInd w:val="0"/>
        <w:contextualSpacing/>
        <w:jc w:val="both"/>
        <w:rPr>
          <w:rFonts w:ascii="Abadi" w:hAnsi="Abadi" w:cs="*Microsoft Sans Serif-Italic-10"/>
          <w:i/>
          <w:iCs/>
          <w:color w:val="232224"/>
          <w:sz w:val="21"/>
          <w:szCs w:val="21"/>
        </w:rPr>
      </w:pPr>
      <w:r w:rsidRPr="00732AD0">
        <w:rPr>
          <w:rFonts w:ascii="Abadi" w:hAnsi="Abadi" w:cs="*Microsoft Sans Serif-Italic-10"/>
          <w:i/>
          <w:iCs/>
          <w:color w:val="1F1E20"/>
          <w:sz w:val="21"/>
          <w:szCs w:val="21"/>
        </w:rPr>
        <w:t xml:space="preserve">Sociedad </w:t>
      </w:r>
      <w:r w:rsidRPr="00732AD0">
        <w:rPr>
          <w:rFonts w:ascii="Abadi" w:hAnsi="Abadi" w:cs="*Arial-10447-Identity-H"/>
          <w:color w:val="1F1E20"/>
          <w:sz w:val="21"/>
          <w:szCs w:val="21"/>
        </w:rPr>
        <w:t xml:space="preserve">civil </w:t>
      </w:r>
      <w:r w:rsidRPr="00732AD0">
        <w:rPr>
          <w:rFonts w:ascii="Abadi" w:hAnsi="Abadi" w:cs="*Microsoft Sans Serif-Italic-10"/>
          <w:i/>
          <w:iCs/>
          <w:color w:val="1F1E20"/>
          <w:sz w:val="21"/>
          <w:szCs w:val="21"/>
        </w:rPr>
        <w:t xml:space="preserve">organizada </w:t>
      </w:r>
      <w:r w:rsidRPr="00732AD0">
        <w:rPr>
          <w:rFonts w:ascii="Abadi" w:hAnsi="Abadi" w:cs="*Arial-10447-Identity-H"/>
          <w:color w:val="1F1E20"/>
          <w:sz w:val="21"/>
          <w:szCs w:val="21"/>
        </w:rPr>
        <w:t xml:space="preserve">con </w:t>
      </w:r>
      <w:r w:rsidRPr="00732AD0">
        <w:rPr>
          <w:rFonts w:ascii="Abadi" w:hAnsi="Abadi" w:cs="*Microsoft Sans Serif-Italic-10"/>
          <w:i/>
          <w:iCs/>
          <w:color w:val="1F1E20"/>
          <w:sz w:val="21"/>
          <w:szCs w:val="21"/>
        </w:rPr>
        <w:t xml:space="preserve">actividades vinculados </w:t>
      </w:r>
      <w:r w:rsidRPr="00732AD0">
        <w:rPr>
          <w:rFonts w:ascii="Abadi" w:hAnsi="Abadi" w:cs="*Arial-10447-Identity-H"/>
          <w:color w:val="1F1E20"/>
          <w:sz w:val="21"/>
          <w:szCs w:val="21"/>
        </w:rPr>
        <w:t xml:space="preserve">o lo donación </w:t>
      </w:r>
      <w:r w:rsidRPr="00732AD0">
        <w:rPr>
          <w:rFonts w:ascii="Abadi" w:hAnsi="Abadi" w:cs="*Microsoft Sans Serif-Italic-10"/>
          <w:i/>
          <w:iCs/>
          <w:color w:val="1F1E20"/>
          <w:sz w:val="21"/>
          <w:szCs w:val="21"/>
        </w:rPr>
        <w:t xml:space="preserve">de alimentos </w:t>
      </w:r>
      <w:r w:rsidRPr="00732AD0">
        <w:rPr>
          <w:rFonts w:ascii="Abadi" w:hAnsi="Abadi" w:cs="*Calibri-10445-Identity-H"/>
          <w:color w:val="1F1E20"/>
          <w:sz w:val="21"/>
          <w:szCs w:val="21"/>
        </w:rPr>
        <w:t xml:space="preserve">o </w:t>
      </w:r>
      <w:r w:rsidRPr="00732AD0">
        <w:rPr>
          <w:rFonts w:ascii="Abadi" w:hAnsi="Abadi" w:cs="*Microsoft Sans Serif-Italic-10"/>
          <w:i/>
          <w:iCs/>
          <w:color w:val="1F1E20"/>
          <w:sz w:val="21"/>
          <w:szCs w:val="21"/>
        </w:rPr>
        <w:t xml:space="preserve">prevención de la desnutrición; </w:t>
      </w:r>
      <w:r w:rsidRPr="00732AD0">
        <w:rPr>
          <w:rFonts w:ascii="Abadi" w:hAnsi="Abadi" w:cs="*Microsoft Sans Serif-Italic-10"/>
          <w:i/>
          <w:iCs/>
          <w:color w:val="232224"/>
          <w:sz w:val="21"/>
          <w:szCs w:val="21"/>
        </w:rPr>
        <w:t>Centrales de abastos y mercados municipales;</w:t>
      </w:r>
    </w:p>
    <w:p w14:paraId="7600E17B" w14:textId="77777777" w:rsidR="0084091D" w:rsidRPr="003C596E" w:rsidRDefault="0084091D" w:rsidP="0084091D">
      <w:pPr>
        <w:autoSpaceDE w:val="0"/>
        <w:autoSpaceDN w:val="0"/>
        <w:adjustRightInd w:val="0"/>
        <w:jc w:val="both"/>
        <w:rPr>
          <w:rFonts w:ascii="Abadi" w:hAnsi="Abadi" w:cs="*Microsoft Sans Serif-Italic-10"/>
          <w:i/>
          <w:iCs/>
          <w:color w:val="232224"/>
          <w:sz w:val="21"/>
          <w:szCs w:val="21"/>
        </w:rPr>
      </w:pPr>
    </w:p>
    <w:p w14:paraId="1AD72598" w14:textId="77777777" w:rsidR="0084091D" w:rsidRPr="00732AD0" w:rsidRDefault="0084091D" w:rsidP="0084091D">
      <w:pPr>
        <w:pStyle w:val="Prrafodelista"/>
        <w:numPr>
          <w:ilvl w:val="0"/>
          <w:numId w:val="67"/>
        </w:numPr>
        <w:autoSpaceDE w:val="0"/>
        <w:autoSpaceDN w:val="0"/>
        <w:adjustRightInd w:val="0"/>
        <w:contextualSpacing/>
        <w:jc w:val="both"/>
        <w:rPr>
          <w:rFonts w:ascii="Abadi" w:hAnsi="Abadi" w:cs="*Microsoft Sans Serif-Italic-10"/>
          <w:i/>
          <w:iCs/>
          <w:color w:val="1F1F21"/>
          <w:sz w:val="21"/>
          <w:szCs w:val="21"/>
        </w:rPr>
      </w:pPr>
      <w:r w:rsidRPr="00732AD0">
        <w:rPr>
          <w:rFonts w:ascii="Abadi" w:hAnsi="Abadi" w:cs="*Microsoft Sans Serif-Italic-10"/>
          <w:i/>
          <w:iCs/>
          <w:color w:val="1F1F21"/>
          <w:sz w:val="21"/>
          <w:szCs w:val="21"/>
        </w:rPr>
        <w:t>Tiendas de autoservicio (oficinas corporativas</w:t>
      </w:r>
      <w:r>
        <w:rPr>
          <w:rFonts w:ascii="Abadi" w:hAnsi="Abadi" w:cs="*Microsoft Sans Serif-Italic-10"/>
          <w:i/>
          <w:iCs/>
          <w:color w:val="1F1F21"/>
          <w:sz w:val="21"/>
          <w:szCs w:val="21"/>
        </w:rPr>
        <w:t>)</w:t>
      </w:r>
      <w:r w:rsidRPr="00732AD0">
        <w:rPr>
          <w:rFonts w:ascii="Abadi" w:hAnsi="Abadi" w:cs="*Microsoft Sans Serif-Italic-10"/>
          <w:i/>
          <w:iCs/>
          <w:color w:val="1F1F21"/>
          <w:sz w:val="21"/>
          <w:szCs w:val="21"/>
        </w:rPr>
        <w:t>:</w:t>
      </w:r>
    </w:p>
    <w:p w14:paraId="4ACA0013" w14:textId="77777777" w:rsidR="0084091D" w:rsidRPr="003C596E" w:rsidRDefault="0084091D" w:rsidP="0084091D">
      <w:pPr>
        <w:autoSpaceDE w:val="0"/>
        <w:autoSpaceDN w:val="0"/>
        <w:adjustRightInd w:val="0"/>
        <w:jc w:val="both"/>
        <w:rPr>
          <w:rFonts w:ascii="Abadi" w:hAnsi="Abadi" w:cs="*Microsoft Sans Serif-Italic-10"/>
          <w:i/>
          <w:iCs/>
          <w:color w:val="1F1F21"/>
          <w:sz w:val="21"/>
          <w:szCs w:val="21"/>
        </w:rPr>
      </w:pPr>
    </w:p>
    <w:p w14:paraId="4271BA29" w14:textId="77777777" w:rsidR="0084091D" w:rsidRPr="00732AD0" w:rsidRDefault="0084091D" w:rsidP="0084091D">
      <w:pPr>
        <w:pStyle w:val="Prrafodelista"/>
        <w:numPr>
          <w:ilvl w:val="0"/>
          <w:numId w:val="67"/>
        </w:numPr>
        <w:autoSpaceDE w:val="0"/>
        <w:autoSpaceDN w:val="0"/>
        <w:adjustRightInd w:val="0"/>
        <w:contextualSpacing/>
        <w:jc w:val="both"/>
        <w:rPr>
          <w:rFonts w:ascii="Abadi" w:hAnsi="Abadi" w:cs="*Microsoft Sans Serif-Italic-10"/>
          <w:i/>
          <w:iCs/>
          <w:color w:val="1F1F21"/>
          <w:sz w:val="21"/>
          <w:szCs w:val="21"/>
        </w:rPr>
      </w:pPr>
      <w:r w:rsidRPr="00732AD0">
        <w:rPr>
          <w:rFonts w:ascii="Abadi" w:hAnsi="Abadi" w:cs="*Microsoft Sans Serif-Italic-10"/>
          <w:i/>
          <w:iCs/>
          <w:color w:val="1F1F21"/>
          <w:sz w:val="21"/>
          <w:szCs w:val="21"/>
        </w:rPr>
        <w:t xml:space="preserve">Asociaciones de hoteles y restaurantes (Cámara Nacional del Comercio CANACO y Cámara Nacional de la Industria de </w:t>
      </w:r>
      <w:r w:rsidRPr="00732AD0">
        <w:rPr>
          <w:rFonts w:ascii="Abadi" w:hAnsi="Abadi" w:cs="*Calibri-10445-Identity-H"/>
          <w:color w:val="1F1F21"/>
          <w:sz w:val="21"/>
          <w:szCs w:val="21"/>
        </w:rPr>
        <w:t xml:space="preserve">Restaurantes </w:t>
      </w:r>
      <w:r w:rsidRPr="00732AD0">
        <w:rPr>
          <w:rFonts w:ascii="Abadi" w:hAnsi="Abadi" w:cs="*Microsoft Sans Serif-Italic-10"/>
          <w:i/>
          <w:iCs/>
          <w:color w:val="1F1F21"/>
          <w:sz w:val="21"/>
          <w:szCs w:val="21"/>
        </w:rPr>
        <w:t xml:space="preserve">y Alimentos Condimentados CANIRAC, e </w:t>
      </w:r>
    </w:p>
    <w:p w14:paraId="1FFF87E5" w14:textId="77777777" w:rsidR="0084091D" w:rsidRDefault="0084091D" w:rsidP="0084091D">
      <w:pPr>
        <w:autoSpaceDE w:val="0"/>
        <w:autoSpaceDN w:val="0"/>
        <w:adjustRightInd w:val="0"/>
        <w:jc w:val="both"/>
        <w:rPr>
          <w:rFonts w:ascii="Abadi" w:hAnsi="Abadi" w:cs="*Microsoft Sans Serif-Italic-10"/>
          <w:i/>
          <w:iCs/>
          <w:color w:val="1F1F21"/>
          <w:sz w:val="21"/>
          <w:szCs w:val="21"/>
        </w:rPr>
      </w:pPr>
    </w:p>
    <w:p w14:paraId="290D1D3B" w14:textId="77777777" w:rsidR="0084091D" w:rsidRPr="00732AD0" w:rsidRDefault="0084091D" w:rsidP="0084091D">
      <w:pPr>
        <w:pStyle w:val="Prrafodelista"/>
        <w:numPr>
          <w:ilvl w:val="0"/>
          <w:numId w:val="67"/>
        </w:numPr>
        <w:autoSpaceDE w:val="0"/>
        <w:autoSpaceDN w:val="0"/>
        <w:adjustRightInd w:val="0"/>
        <w:contextualSpacing/>
        <w:jc w:val="both"/>
        <w:rPr>
          <w:rFonts w:ascii="Abadi" w:hAnsi="Abadi" w:cs="*Microsoft Sans Serif-Italic-10"/>
          <w:i/>
          <w:iCs/>
          <w:color w:val="1D1D1E"/>
          <w:sz w:val="21"/>
          <w:szCs w:val="21"/>
        </w:rPr>
      </w:pPr>
      <w:r w:rsidRPr="00732AD0">
        <w:rPr>
          <w:rFonts w:ascii="Abadi" w:hAnsi="Abadi" w:cs="*Microsoft Sans Serif-Italic-10"/>
          <w:i/>
          <w:iCs/>
          <w:color w:val="1D1D1E"/>
          <w:sz w:val="21"/>
          <w:szCs w:val="21"/>
        </w:rPr>
        <w:t>Industria de la transformación de alimentos. (Confederación de los Cámaras Industriales CONCAMIN y Cámara Nacional de la Industria de la Transformación CANACINTRA</w:t>
      </w:r>
      <w:r>
        <w:rPr>
          <w:rFonts w:ascii="Abadi" w:hAnsi="Abadi" w:cs="*Microsoft Sans Serif-Italic-10"/>
          <w:i/>
          <w:iCs/>
          <w:color w:val="1D1D1E"/>
          <w:sz w:val="21"/>
          <w:szCs w:val="21"/>
        </w:rPr>
        <w:t>)</w:t>
      </w:r>
      <w:r w:rsidRPr="00732AD0">
        <w:rPr>
          <w:rFonts w:ascii="Abadi" w:hAnsi="Abadi" w:cs="*Microsoft Sans Serif-Italic-10"/>
          <w:i/>
          <w:iCs/>
          <w:color w:val="1D1D1E"/>
          <w:sz w:val="21"/>
          <w:szCs w:val="21"/>
        </w:rPr>
        <w:t>.</w:t>
      </w:r>
    </w:p>
    <w:p w14:paraId="77272D62" w14:textId="77777777" w:rsidR="0084091D" w:rsidRPr="003C596E" w:rsidRDefault="0084091D" w:rsidP="0084091D">
      <w:pPr>
        <w:autoSpaceDE w:val="0"/>
        <w:autoSpaceDN w:val="0"/>
        <w:adjustRightInd w:val="0"/>
        <w:jc w:val="both"/>
        <w:rPr>
          <w:rFonts w:ascii="Abadi" w:hAnsi="Abadi" w:cs="*Microsoft Sans Serif-Italic-10"/>
          <w:i/>
          <w:iCs/>
          <w:color w:val="1D1D1E"/>
          <w:sz w:val="21"/>
          <w:szCs w:val="21"/>
        </w:rPr>
      </w:pPr>
    </w:p>
    <w:p w14:paraId="3504F759" w14:textId="77777777" w:rsidR="0084091D" w:rsidRPr="00732AD0" w:rsidRDefault="0084091D" w:rsidP="0084091D">
      <w:pPr>
        <w:pStyle w:val="Prrafodelista"/>
        <w:numPr>
          <w:ilvl w:val="0"/>
          <w:numId w:val="68"/>
        </w:numPr>
        <w:autoSpaceDE w:val="0"/>
        <w:autoSpaceDN w:val="0"/>
        <w:adjustRightInd w:val="0"/>
        <w:contextualSpacing/>
        <w:jc w:val="both"/>
        <w:rPr>
          <w:rFonts w:ascii="Abadi" w:hAnsi="Abadi" w:cs="*Microsoft Sans Serif-Italic-10"/>
          <w:i/>
          <w:iCs/>
          <w:color w:val="212124"/>
          <w:sz w:val="21"/>
          <w:szCs w:val="21"/>
        </w:rPr>
      </w:pPr>
      <w:r w:rsidRPr="00732AD0">
        <w:rPr>
          <w:rFonts w:ascii="Abadi" w:hAnsi="Abadi" w:cs="*Microsoft Sans Serif-Italic-10"/>
          <w:i/>
          <w:iCs/>
          <w:color w:val="212124"/>
          <w:sz w:val="21"/>
          <w:szCs w:val="21"/>
        </w:rPr>
        <w:t xml:space="preserve">Remitir lo iniciativa al Instituto de Investigaciones Legislativas para </w:t>
      </w:r>
      <w:r w:rsidRPr="00732AD0">
        <w:rPr>
          <w:rFonts w:ascii="Abadi" w:hAnsi="Abadi" w:cs="*Arial-10448-Identity-H"/>
          <w:color w:val="212124"/>
          <w:sz w:val="21"/>
          <w:szCs w:val="21"/>
        </w:rPr>
        <w:t xml:space="preserve">que </w:t>
      </w:r>
      <w:r w:rsidRPr="00732AD0">
        <w:rPr>
          <w:rFonts w:ascii="Abadi" w:hAnsi="Abadi" w:cs="*Microsoft Sans Serif-Italic-10"/>
          <w:i/>
          <w:iCs/>
          <w:color w:val="212124"/>
          <w:sz w:val="21"/>
          <w:szCs w:val="21"/>
        </w:rPr>
        <w:t>realice un análisis técnico-jurídico y elabore un estudio comparativo de la iniciativa con legislaciones similares de las entidades federativas del país, por un término de 30 días hábiles.</w:t>
      </w:r>
    </w:p>
    <w:p w14:paraId="1A91D6CB" w14:textId="77777777" w:rsidR="0084091D" w:rsidRPr="003C596E" w:rsidRDefault="0084091D" w:rsidP="0084091D">
      <w:pPr>
        <w:autoSpaceDE w:val="0"/>
        <w:autoSpaceDN w:val="0"/>
        <w:adjustRightInd w:val="0"/>
        <w:jc w:val="both"/>
        <w:rPr>
          <w:rFonts w:ascii="Abadi" w:hAnsi="Abadi" w:cs="*Microsoft Sans Serif-Italic-10"/>
          <w:i/>
          <w:iCs/>
          <w:color w:val="212124"/>
          <w:sz w:val="21"/>
          <w:szCs w:val="21"/>
        </w:rPr>
      </w:pPr>
    </w:p>
    <w:p w14:paraId="67E9EBD5" w14:textId="77777777" w:rsidR="0084091D" w:rsidRDefault="0084091D" w:rsidP="0084091D">
      <w:pPr>
        <w:pStyle w:val="Prrafodelista"/>
        <w:numPr>
          <w:ilvl w:val="0"/>
          <w:numId w:val="68"/>
        </w:numPr>
        <w:autoSpaceDE w:val="0"/>
        <w:autoSpaceDN w:val="0"/>
        <w:adjustRightInd w:val="0"/>
        <w:contextualSpacing/>
        <w:jc w:val="both"/>
        <w:rPr>
          <w:rFonts w:ascii="Abadi" w:hAnsi="Abadi" w:cs="*Microsoft Sans Serif-Italic-10"/>
          <w:i/>
          <w:iCs/>
          <w:color w:val="202021"/>
          <w:sz w:val="21"/>
          <w:szCs w:val="21"/>
        </w:rPr>
      </w:pPr>
      <w:r w:rsidRPr="00732AD0">
        <w:rPr>
          <w:rFonts w:ascii="Abadi" w:hAnsi="Abadi" w:cs="*Microsoft Sans Serif-Italic-10"/>
          <w:i/>
          <w:iCs/>
          <w:color w:val="202021"/>
          <w:sz w:val="21"/>
          <w:szCs w:val="21"/>
        </w:rPr>
        <w:t>Establecer un micrositio en la página web del Congreso del Estado para Consulta ciudadana de la iniciativa, por un término de 30 días hábiles.</w:t>
      </w:r>
    </w:p>
    <w:p w14:paraId="14092C2A" w14:textId="77777777" w:rsidR="0084091D" w:rsidRPr="008D00A9" w:rsidRDefault="0084091D" w:rsidP="0084091D">
      <w:pPr>
        <w:pStyle w:val="Prrafodelista"/>
        <w:rPr>
          <w:rFonts w:ascii="Abadi" w:hAnsi="Abadi" w:cs="*Microsoft Sans Serif-Italic-10"/>
          <w:i/>
          <w:iCs/>
          <w:color w:val="202021"/>
          <w:sz w:val="21"/>
          <w:szCs w:val="21"/>
        </w:rPr>
      </w:pPr>
    </w:p>
    <w:p w14:paraId="3EEFFC4F" w14:textId="77777777" w:rsidR="0084091D" w:rsidRPr="00732AD0" w:rsidRDefault="0084091D" w:rsidP="0084091D">
      <w:pPr>
        <w:pStyle w:val="Prrafodelista"/>
        <w:numPr>
          <w:ilvl w:val="0"/>
          <w:numId w:val="68"/>
        </w:numPr>
        <w:autoSpaceDE w:val="0"/>
        <w:autoSpaceDN w:val="0"/>
        <w:adjustRightInd w:val="0"/>
        <w:contextualSpacing/>
        <w:jc w:val="both"/>
        <w:rPr>
          <w:rFonts w:ascii="Abadi" w:hAnsi="Abadi" w:cs="*Microsoft Sans Serif-Italic-10"/>
          <w:i/>
          <w:iCs/>
          <w:color w:val="222123"/>
          <w:sz w:val="21"/>
          <w:szCs w:val="21"/>
        </w:rPr>
      </w:pPr>
      <w:r w:rsidRPr="00732AD0">
        <w:rPr>
          <w:rFonts w:ascii="Abadi" w:hAnsi="Abadi" w:cs="*Microsoft Sans Serif-Italic-10"/>
          <w:i/>
          <w:iCs/>
          <w:color w:val="222123"/>
          <w:sz w:val="21"/>
          <w:szCs w:val="21"/>
        </w:rPr>
        <w:t xml:space="preserve">Elaborar comparativo </w:t>
      </w:r>
      <w:r w:rsidRPr="00732AD0">
        <w:rPr>
          <w:rFonts w:ascii="Abadi" w:hAnsi="Abadi" w:cs="*Calibri-10445-Identity-H"/>
          <w:color w:val="222123"/>
          <w:sz w:val="21"/>
          <w:szCs w:val="21"/>
        </w:rPr>
        <w:t xml:space="preserve">con </w:t>
      </w:r>
      <w:r w:rsidRPr="00732AD0">
        <w:rPr>
          <w:rFonts w:ascii="Abadi" w:hAnsi="Abadi" w:cs="*Microsoft Sans Serif-Italic-10"/>
          <w:i/>
          <w:iCs/>
          <w:color w:val="222123"/>
          <w:sz w:val="21"/>
          <w:szCs w:val="21"/>
        </w:rPr>
        <w:t>las respuestas derivadas de la consulto de lo iniciativa, por parte de lo secretaría técnico.</w:t>
      </w:r>
    </w:p>
    <w:p w14:paraId="17AF2D41" w14:textId="77777777" w:rsidR="0084091D" w:rsidRPr="003C596E" w:rsidRDefault="0084091D" w:rsidP="0084091D">
      <w:pPr>
        <w:autoSpaceDE w:val="0"/>
        <w:autoSpaceDN w:val="0"/>
        <w:adjustRightInd w:val="0"/>
        <w:jc w:val="both"/>
        <w:rPr>
          <w:rFonts w:ascii="Abadi" w:hAnsi="Abadi" w:cs="*Microsoft Sans Serif-Italic-10"/>
          <w:i/>
          <w:iCs/>
          <w:color w:val="222123"/>
          <w:sz w:val="21"/>
          <w:szCs w:val="21"/>
        </w:rPr>
      </w:pPr>
    </w:p>
    <w:p w14:paraId="3667E630" w14:textId="77777777" w:rsidR="0084091D" w:rsidRPr="00732AD0" w:rsidRDefault="0084091D" w:rsidP="0084091D">
      <w:pPr>
        <w:pStyle w:val="Prrafodelista"/>
        <w:numPr>
          <w:ilvl w:val="0"/>
          <w:numId w:val="68"/>
        </w:numPr>
        <w:autoSpaceDE w:val="0"/>
        <w:autoSpaceDN w:val="0"/>
        <w:adjustRightInd w:val="0"/>
        <w:contextualSpacing/>
        <w:jc w:val="both"/>
        <w:rPr>
          <w:rFonts w:ascii="Abadi" w:hAnsi="Abadi" w:cs="*Arial-Italic-9779-Identity-H"/>
          <w:i/>
          <w:iCs/>
          <w:color w:val="232324"/>
          <w:sz w:val="21"/>
          <w:szCs w:val="21"/>
        </w:rPr>
      </w:pPr>
      <w:r w:rsidRPr="00732AD0">
        <w:rPr>
          <w:rFonts w:ascii="Abadi" w:hAnsi="Abadi" w:cs="*Microsoft Sans Serif-Italic-10"/>
          <w:i/>
          <w:iCs/>
          <w:color w:val="201F21"/>
          <w:sz w:val="21"/>
          <w:szCs w:val="21"/>
        </w:rPr>
        <w:t xml:space="preserve">Realización de una mesa de trabajo permanente conformada por la diputado y los diputados integrantes de </w:t>
      </w:r>
      <w:r w:rsidRPr="00732AD0">
        <w:rPr>
          <w:rFonts w:ascii="Abadi" w:hAnsi="Abadi" w:cs="*Calibri-10445-Identity-H"/>
          <w:color w:val="201F21"/>
          <w:sz w:val="21"/>
          <w:szCs w:val="21"/>
        </w:rPr>
        <w:t xml:space="preserve">la </w:t>
      </w:r>
      <w:r w:rsidRPr="00732AD0">
        <w:rPr>
          <w:rFonts w:ascii="Abadi" w:hAnsi="Abadi" w:cs="*Microsoft Sans Serif-Italic-10"/>
          <w:i/>
          <w:iCs/>
          <w:color w:val="201F21"/>
          <w:sz w:val="21"/>
          <w:szCs w:val="21"/>
        </w:rPr>
        <w:t xml:space="preserve">Comisión de Desarrollo Económico y Social; representantes de la Secretaría de Desarrollo Social y Humano; Sistema DIF Guanajuato; la Coordinación General Jurídica; </w:t>
      </w:r>
      <w:r w:rsidRPr="00732AD0">
        <w:rPr>
          <w:rFonts w:ascii="Abadi" w:hAnsi="Abadi" w:cs="*Calibri-10445-Identity-H"/>
          <w:color w:val="201F21"/>
          <w:sz w:val="21"/>
          <w:szCs w:val="21"/>
        </w:rPr>
        <w:t xml:space="preserve">bancos </w:t>
      </w:r>
      <w:r w:rsidRPr="00732AD0">
        <w:rPr>
          <w:rFonts w:ascii="Abadi" w:hAnsi="Abadi" w:cs="*Microsoft Sans Serif-Italic-10"/>
          <w:i/>
          <w:iCs/>
          <w:color w:val="201F21"/>
          <w:sz w:val="21"/>
          <w:szCs w:val="21"/>
        </w:rPr>
        <w:t xml:space="preserve">de alimentos en el estado; sociedad civil organizada; centrales de abastos y mercados municipales: oficinas corporativas de </w:t>
      </w:r>
      <w:r w:rsidRPr="00732AD0">
        <w:rPr>
          <w:rFonts w:ascii="Abadi" w:hAnsi="Abadi" w:cs="*Arial-10447-Identity-H"/>
          <w:color w:val="201F21"/>
          <w:sz w:val="21"/>
          <w:szCs w:val="21"/>
        </w:rPr>
        <w:t xml:space="preserve">los </w:t>
      </w:r>
      <w:r w:rsidRPr="00732AD0">
        <w:rPr>
          <w:rFonts w:ascii="Abadi" w:hAnsi="Abadi" w:cs="*Microsoft Sans Serif-Italic-10"/>
          <w:i/>
          <w:iCs/>
          <w:color w:val="201F21"/>
          <w:sz w:val="21"/>
          <w:szCs w:val="21"/>
        </w:rPr>
        <w:t xml:space="preserve">tiendas de autoservicio: asociaciones de hoteles y restaurantes; de lo industrio de la transformación de alimentos; así </w:t>
      </w:r>
      <w:r w:rsidRPr="00732AD0">
        <w:rPr>
          <w:rFonts w:ascii="Abadi" w:hAnsi="Abadi" w:cs="*Calibri-9777-Identity-H"/>
          <w:color w:val="232324"/>
          <w:sz w:val="21"/>
          <w:szCs w:val="21"/>
        </w:rPr>
        <w:t xml:space="preserve">como </w:t>
      </w:r>
      <w:r w:rsidRPr="00732AD0">
        <w:rPr>
          <w:rFonts w:ascii="Abadi" w:hAnsi="Abadi" w:cs="*Arial-Italic-9779-Identity-H"/>
          <w:i/>
          <w:iCs/>
          <w:color w:val="232324"/>
          <w:sz w:val="21"/>
          <w:szCs w:val="21"/>
        </w:rPr>
        <w:t>de los asesores de los grupos parlamentarios representados en la comisión y</w:t>
      </w:r>
      <w:r w:rsidRPr="00732AD0">
        <w:rPr>
          <w:rFonts w:ascii="Abadi" w:hAnsi="Abadi" w:cs="*Comic Sans MS-Italic-9781-Iden"/>
          <w:i/>
          <w:iCs/>
          <w:color w:val="232324"/>
          <w:sz w:val="21"/>
          <w:szCs w:val="21"/>
        </w:rPr>
        <w:t xml:space="preserve"> </w:t>
      </w:r>
      <w:r w:rsidRPr="00732AD0">
        <w:rPr>
          <w:rFonts w:ascii="Abadi" w:hAnsi="Abadi" w:cs="*Calibri-9777-Identity-H"/>
          <w:color w:val="232324"/>
          <w:sz w:val="21"/>
          <w:szCs w:val="21"/>
        </w:rPr>
        <w:t xml:space="preserve">la </w:t>
      </w:r>
      <w:r w:rsidRPr="00732AD0">
        <w:rPr>
          <w:rFonts w:ascii="Abadi" w:hAnsi="Abadi" w:cs="*Arial-Italic-9779-Identity-H"/>
          <w:i/>
          <w:iCs/>
          <w:color w:val="232324"/>
          <w:sz w:val="21"/>
          <w:szCs w:val="21"/>
        </w:rPr>
        <w:t>secretaría técnica.</w:t>
      </w:r>
    </w:p>
    <w:p w14:paraId="4AF69588" w14:textId="77777777" w:rsidR="0084091D" w:rsidRPr="003C596E" w:rsidRDefault="0084091D" w:rsidP="0084091D">
      <w:pPr>
        <w:autoSpaceDE w:val="0"/>
        <w:autoSpaceDN w:val="0"/>
        <w:adjustRightInd w:val="0"/>
        <w:jc w:val="both"/>
        <w:rPr>
          <w:rFonts w:ascii="Abadi" w:hAnsi="Abadi" w:cs="*Arial-Italic-9779-Identity-H"/>
          <w:i/>
          <w:iCs/>
          <w:color w:val="232324"/>
          <w:sz w:val="21"/>
          <w:szCs w:val="21"/>
        </w:rPr>
      </w:pPr>
    </w:p>
    <w:p w14:paraId="70D350EE" w14:textId="77777777" w:rsidR="0084091D" w:rsidRPr="00732AD0" w:rsidRDefault="0084091D" w:rsidP="0084091D">
      <w:pPr>
        <w:pStyle w:val="Prrafodelista"/>
        <w:numPr>
          <w:ilvl w:val="0"/>
          <w:numId w:val="68"/>
        </w:numPr>
        <w:autoSpaceDE w:val="0"/>
        <w:autoSpaceDN w:val="0"/>
        <w:adjustRightInd w:val="0"/>
        <w:contextualSpacing/>
        <w:jc w:val="both"/>
        <w:rPr>
          <w:rFonts w:ascii="Abadi" w:hAnsi="Abadi" w:cs="*Microsoft Sans Serif-Italic-97"/>
          <w:i/>
          <w:iCs/>
          <w:color w:val="1B1A1D"/>
          <w:sz w:val="21"/>
          <w:szCs w:val="21"/>
        </w:rPr>
      </w:pPr>
      <w:r w:rsidRPr="00732AD0">
        <w:rPr>
          <w:rFonts w:ascii="Abadi" w:hAnsi="Abadi" w:cs="*Microsoft Sans Serif-Italic-97"/>
          <w:i/>
          <w:iCs/>
          <w:color w:val="1B1A1D"/>
          <w:sz w:val="21"/>
          <w:szCs w:val="21"/>
        </w:rPr>
        <w:t xml:space="preserve">Reunión de </w:t>
      </w:r>
      <w:r w:rsidRPr="00732AD0">
        <w:rPr>
          <w:rFonts w:ascii="Abadi" w:hAnsi="Abadi" w:cs="*Calibri-9777-Identity-H"/>
          <w:color w:val="1B1A1D"/>
          <w:sz w:val="21"/>
          <w:szCs w:val="21"/>
        </w:rPr>
        <w:t xml:space="preserve">la </w:t>
      </w:r>
      <w:r w:rsidRPr="00732AD0">
        <w:rPr>
          <w:rFonts w:ascii="Abadi" w:hAnsi="Abadi" w:cs="*Microsoft Sans Serif-Italic-97"/>
          <w:i/>
          <w:iCs/>
          <w:color w:val="1B1A1D"/>
          <w:sz w:val="21"/>
          <w:szCs w:val="21"/>
        </w:rPr>
        <w:t xml:space="preserve">Comisión de Desarrollo Económico </w:t>
      </w:r>
      <w:r w:rsidRPr="00732AD0">
        <w:rPr>
          <w:rFonts w:ascii="Abadi" w:hAnsi="Abadi" w:cs="*Times New Roman-Italic-9774-Id"/>
          <w:i/>
          <w:iCs/>
          <w:color w:val="1B1A1D"/>
          <w:sz w:val="21"/>
          <w:szCs w:val="21"/>
        </w:rPr>
        <w:t xml:space="preserve">y </w:t>
      </w:r>
      <w:r w:rsidRPr="00732AD0">
        <w:rPr>
          <w:rFonts w:ascii="Abadi" w:hAnsi="Abadi" w:cs="*Microsoft Sans Serif-Italic-97"/>
          <w:i/>
          <w:iCs/>
          <w:color w:val="1B1A1D"/>
          <w:sz w:val="21"/>
          <w:szCs w:val="21"/>
        </w:rPr>
        <w:t xml:space="preserve">Social para la discusión </w:t>
      </w:r>
      <w:r w:rsidRPr="00732AD0">
        <w:rPr>
          <w:rFonts w:ascii="Abadi" w:hAnsi="Abadi" w:cs="*Tahoma-Italic-9786-Identity-H"/>
          <w:i/>
          <w:iCs/>
          <w:color w:val="1B1A1D"/>
          <w:sz w:val="21"/>
          <w:szCs w:val="21"/>
        </w:rPr>
        <w:t xml:space="preserve">y, </w:t>
      </w:r>
      <w:r w:rsidRPr="00732AD0">
        <w:rPr>
          <w:rFonts w:ascii="Abadi" w:hAnsi="Abadi" w:cs="*Microsoft Sans Serif-Italic-97"/>
          <w:i/>
          <w:iCs/>
          <w:color w:val="1B1A1D"/>
          <w:sz w:val="21"/>
          <w:szCs w:val="21"/>
        </w:rPr>
        <w:t xml:space="preserve">en su </w:t>
      </w:r>
      <w:r w:rsidRPr="00732AD0">
        <w:rPr>
          <w:rFonts w:ascii="Abadi" w:hAnsi="Abadi" w:cs="*Calibri-9777-Identity-H"/>
          <w:color w:val="1B1A1D"/>
          <w:sz w:val="21"/>
          <w:szCs w:val="21"/>
        </w:rPr>
        <w:t xml:space="preserve">caso, </w:t>
      </w:r>
      <w:r w:rsidRPr="00732AD0">
        <w:rPr>
          <w:rFonts w:ascii="Abadi" w:hAnsi="Abadi" w:cs="*Microsoft Sans Serif-Italic-97"/>
          <w:i/>
          <w:iCs/>
          <w:color w:val="1B1A1D"/>
          <w:sz w:val="21"/>
          <w:szCs w:val="21"/>
        </w:rPr>
        <w:t>aprobación del dictamen.</w:t>
      </w:r>
    </w:p>
    <w:p w14:paraId="75D4A215" w14:textId="77777777" w:rsidR="0084091D" w:rsidRPr="003C596E" w:rsidRDefault="0084091D" w:rsidP="0084091D">
      <w:pPr>
        <w:autoSpaceDE w:val="0"/>
        <w:autoSpaceDN w:val="0"/>
        <w:adjustRightInd w:val="0"/>
        <w:jc w:val="both"/>
        <w:rPr>
          <w:rFonts w:ascii="Abadi" w:hAnsi="Abadi" w:cs="*Microsoft Sans Serif-Italic-97"/>
          <w:i/>
          <w:iCs/>
          <w:color w:val="1B1A1D"/>
          <w:sz w:val="21"/>
          <w:szCs w:val="21"/>
        </w:rPr>
      </w:pPr>
    </w:p>
    <w:p w14:paraId="795B07EC" w14:textId="77777777" w:rsidR="0084091D" w:rsidRDefault="0084091D" w:rsidP="0084091D">
      <w:pPr>
        <w:autoSpaceDE w:val="0"/>
        <w:autoSpaceDN w:val="0"/>
        <w:adjustRightInd w:val="0"/>
        <w:ind w:firstLine="360"/>
        <w:jc w:val="both"/>
        <w:rPr>
          <w:rFonts w:ascii="Abadi" w:hAnsi="Abadi" w:cs="*Calibri-9777-Identity-H"/>
          <w:color w:val="181819"/>
          <w:sz w:val="21"/>
          <w:szCs w:val="21"/>
        </w:rPr>
      </w:pPr>
      <w:r w:rsidRPr="003C596E">
        <w:rPr>
          <w:rFonts w:ascii="Abadi" w:hAnsi="Abadi" w:cs="*Calibri-9777-Identity-H"/>
          <w:color w:val="181819"/>
          <w:sz w:val="21"/>
          <w:szCs w:val="21"/>
        </w:rPr>
        <w:t>Derivado de la consulta realizada, se recibieron las respuestas dentro del</w:t>
      </w:r>
      <w:r>
        <w:rPr>
          <w:rFonts w:ascii="Abadi" w:hAnsi="Abadi" w:cs="*Calibri-9777-Identity-H"/>
          <w:color w:val="181819"/>
          <w:sz w:val="21"/>
          <w:szCs w:val="21"/>
        </w:rPr>
        <w:t xml:space="preserve"> </w:t>
      </w:r>
      <w:r w:rsidRPr="003C596E">
        <w:rPr>
          <w:rFonts w:ascii="Abadi" w:hAnsi="Abadi" w:cs="*Calibri-9777-Identity-H"/>
          <w:color w:val="181819"/>
          <w:sz w:val="21"/>
          <w:szCs w:val="21"/>
        </w:rPr>
        <w:t>plazo otorgado, de los municipios de Comonfort, Coroneo, Cortázar, Dolores</w:t>
      </w:r>
      <w:r>
        <w:rPr>
          <w:rFonts w:ascii="Abadi" w:hAnsi="Abadi" w:cs="*Calibri-9777-Identity-H"/>
          <w:color w:val="181819"/>
          <w:sz w:val="21"/>
          <w:szCs w:val="21"/>
        </w:rPr>
        <w:t xml:space="preserve"> </w:t>
      </w:r>
      <w:r w:rsidRPr="003C596E">
        <w:rPr>
          <w:rFonts w:ascii="Abadi" w:hAnsi="Abadi" w:cs="*Calibri-9777-Identity-H"/>
          <w:color w:val="181819"/>
          <w:sz w:val="21"/>
          <w:szCs w:val="21"/>
        </w:rPr>
        <w:t>Hidalgo Cuna de la Independencia Nacional, Jaral del Progreso, León, Moroleón,</w:t>
      </w:r>
      <w:r>
        <w:rPr>
          <w:rFonts w:ascii="Abadi" w:hAnsi="Abadi" w:cs="*Calibri-9777-Identity-H"/>
          <w:color w:val="181819"/>
          <w:sz w:val="21"/>
          <w:szCs w:val="21"/>
        </w:rPr>
        <w:t xml:space="preserve"> </w:t>
      </w:r>
      <w:r w:rsidRPr="003C596E">
        <w:rPr>
          <w:rFonts w:ascii="Abadi" w:hAnsi="Abadi" w:cs="*Calibri-9777-Identity-H"/>
          <w:color w:val="181819"/>
          <w:sz w:val="21"/>
          <w:szCs w:val="21"/>
        </w:rPr>
        <w:t>Salamanca, San Luis de la Paz, Santiago Maravatío y Silao de la Victoria.</w:t>
      </w:r>
      <w:r>
        <w:rPr>
          <w:rFonts w:ascii="Abadi" w:hAnsi="Abadi" w:cs="*Calibri-9777-Identity-H"/>
          <w:color w:val="181819"/>
          <w:sz w:val="21"/>
          <w:szCs w:val="21"/>
        </w:rPr>
        <w:t xml:space="preserve"> </w:t>
      </w:r>
    </w:p>
    <w:p w14:paraId="344BD229" w14:textId="77777777" w:rsidR="0084091D" w:rsidRDefault="0084091D" w:rsidP="0084091D">
      <w:pPr>
        <w:autoSpaceDE w:val="0"/>
        <w:autoSpaceDN w:val="0"/>
        <w:adjustRightInd w:val="0"/>
        <w:jc w:val="both"/>
        <w:rPr>
          <w:rFonts w:ascii="Abadi" w:hAnsi="Abadi" w:cs="*Calibri-9777-Identity-H"/>
          <w:color w:val="181819"/>
          <w:sz w:val="21"/>
          <w:szCs w:val="21"/>
        </w:rPr>
      </w:pPr>
    </w:p>
    <w:p w14:paraId="5BCA383F" w14:textId="77777777" w:rsidR="0084091D" w:rsidRPr="003C596E" w:rsidRDefault="0084091D" w:rsidP="0084091D">
      <w:pPr>
        <w:autoSpaceDE w:val="0"/>
        <w:autoSpaceDN w:val="0"/>
        <w:adjustRightInd w:val="0"/>
        <w:ind w:firstLine="360"/>
        <w:jc w:val="both"/>
        <w:rPr>
          <w:rFonts w:ascii="Abadi" w:hAnsi="Abadi" w:cs="*Calibri-9777-Identity-H"/>
          <w:color w:val="1C1B1D"/>
          <w:sz w:val="21"/>
          <w:szCs w:val="21"/>
        </w:rPr>
      </w:pPr>
      <w:r>
        <w:rPr>
          <w:rFonts w:ascii="Abadi" w:hAnsi="Abadi" w:cs="*Calibri-9777-Identity-H"/>
          <w:color w:val="181819"/>
          <w:sz w:val="21"/>
          <w:szCs w:val="21"/>
        </w:rPr>
        <w:t>A</w:t>
      </w:r>
      <w:r w:rsidRPr="003C596E">
        <w:rPr>
          <w:rFonts w:ascii="Abadi" w:hAnsi="Abadi" w:cs="*Calibri-9777-Identity-H"/>
          <w:color w:val="1C1B1D"/>
          <w:sz w:val="21"/>
          <w:szCs w:val="21"/>
        </w:rPr>
        <w:t xml:space="preserve">simismo, se recibió respuesta </w:t>
      </w:r>
      <w:r w:rsidRPr="003C596E">
        <w:rPr>
          <w:rFonts w:ascii="Abadi" w:hAnsi="Abadi" w:cs="*Verdana-9782-Identity-H"/>
          <w:color w:val="1C1B1D"/>
          <w:sz w:val="21"/>
          <w:szCs w:val="21"/>
        </w:rPr>
        <w:t xml:space="preserve">y </w:t>
      </w:r>
      <w:r w:rsidRPr="003C596E">
        <w:rPr>
          <w:rFonts w:ascii="Abadi" w:hAnsi="Abadi" w:cs="*Calibri-9777-Identity-H"/>
          <w:color w:val="1C1B1D"/>
          <w:sz w:val="21"/>
          <w:szCs w:val="21"/>
        </w:rPr>
        <w:t>propuestas por parte del Banco de</w:t>
      </w:r>
      <w:r>
        <w:rPr>
          <w:rFonts w:ascii="Abadi" w:hAnsi="Abadi" w:cs="*Calibri-9777-Identity-H"/>
          <w:color w:val="1C1B1D"/>
          <w:sz w:val="21"/>
          <w:szCs w:val="21"/>
        </w:rPr>
        <w:t xml:space="preserve"> </w:t>
      </w:r>
      <w:r w:rsidRPr="003C596E">
        <w:rPr>
          <w:rFonts w:ascii="Abadi" w:hAnsi="Abadi" w:cs="*Calibri-9777-Identity-H"/>
          <w:color w:val="1C1B1D"/>
          <w:sz w:val="21"/>
          <w:szCs w:val="21"/>
        </w:rPr>
        <w:t xml:space="preserve">Alimentos de Guanajuato, A.C. </w:t>
      </w:r>
      <w:r w:rsidRPr="003C596E">
        <w:rPr>
          <w:rFonts w:ascii="Abadi" w:hAnsi="Abadi" w:cs="*Verdana-9782-Identity-H"/>
          <w:color w:val="1C1B1D"/>
          <w:sz w:val="21"/>
          <w:szCs w:val="21"/>
        </w:rPr>
        <w:t xml:space="preserve">y </w:t>
      </w:r>
      <w:r w:rsidRPr="003C596E">
        <w:rPr>
          <w:rFonts w:ascii="Abadi" w:hAnsi="Abadi" w:cs="*Calibri-9777-Identity-H"/>
          <w:color w:val="1C1B1D"/>
          <w:sz w:val="21"/>
          <w:szCs w:val="21"/>
        </w:rPr>
        <w:t>del Banco de Alimentos de León A.C., de la</w:t>
      </w:r>
      <w:r>
        <w:rPr>
          <w:rFonts w:ascii="Abadi" w:hAnsi="Abadi" w:cs="*Calibri-9777-Identity-H"/>
          <w:color w:val="1C1B1D"/>
          <w:sz w:val="21"/>
          <w:szCs w:val="21"/>
        </w:rPr>
        <w:t xml:space="preserve"> </w:t>
      </w:r>
      <w:r w:rsidRPr="003C596E">
        <w:rPr>
          <w:rFonts w:ascii="Abadi" w:hAnsi="Abadi" w:cs="*Calibri-9777-Identity-H"/>
          <w:color w:val="1C1B1D"/>
          <w:sz w:val="21"/>
          <w:szCs w:val="21"/>
        </w:rPr>
        <w:t>Coordinación General Jurídica de la Secretaría de Gobierno del Estado de</w:t>
      </w:r>
      <w:r>
        <w:rPr>
          <w:rFonts w:ascii="Abadi" w:hAnsi="Abadi" w:cs="*Calibri-9777-Identity-H"/>
          <w:color w:val="1C1B1D"/>
          <w:sz w:val="21"/>
          <w:szCs w:val="21"/>
        </w:rPr>
        <w:t xml:space="preserve"> </w:t>
      </w:r>
      <w:r w:rsidRPr="003C596E">
        <w:rPr>
          <w:rFonts w:ascii="Abadi" w:hAnsi="Abadi" w:cs="*Calibri-9777-Identity-H"/>
          <w:color w:val="1C1B1D"/>
          <w:sz w:val="21"/>
          <w:szCs w:val="21"/>
        </w:rPr>
        <w:t>Guanajuato y del Instituto de Investigaciones Legislativas del Congreso del</w:t>
      </w:r>
    </w:p>
    <w:p w14:paraId="77DCC26B" w14:textId="77777777" w:rsidR="0084091D" w:rsidRDefault="0084091D" w:rsidP="0084091D">
      <w:pPr>
        <w:autoSpaceDE w:val="0"/>
        <w:autoSpaceDN w:val="0"/>
        <w:adjustRightInd w:val="0"/>
        <w:jc w:val="both"/>
        <w:rPr>
          <w:rFonts w:ascii="Abadi" w:hAnsi="Abadi" w:cs="*Calibri-9777-Identity-H"/>
          <w:color w:val="1C1B1D"/>
          <w:sz w:val="21"/>
          <w:szCs w:val="21"/>
        </w:rPr>
      </w:pPr>
      <w:r w:rsidRPr="003C596E">
        <w:rPr>
          <w:rFonts w:ascii="Abadi" w:hAnsi="Abadi" w:cs="*Calibri-9777-Identity-H"/>
          <w:color w:val="1C1B1D"/>
          <w:sz w:val="21"/>
          <w:szCs w:val="21"/>
        </w:rPr>
        <w:t>Estado.</w:t>
      </w:r>
      <w:r>
        <w:rPr>
          <w:rFonts w:ascii="Abadi" w:hAnsi="Abadi" w:cs="*Calibri-9777-Identity-H"/>
          <w:color w:val="1C1B1D"/>
          <w:sz w:val="21"/>
          <w:szCs w:val="21"/>
        </w:rPr>
        <w:t xml:space="preserve"> </w:t>
      </w:r>
    </w:p>
    <w:p w14:paraId="6B1B7489" w14:textId="77777777" w:rsidR="0084091D" w:rsidRPr="003C596E" w:rsidRDefault="0084091D" w:rsidP="0084091D">
      <w:pPr>
        <w:autoSpaceDE w:val="0"/>
        <w:autoSpaceDN w:val="0"/>
        <w:adjustRightInd w:val="0"/>
        <w:jc w:val="both"/>
        <w:rPr>
          <w:rFonts w:ascii="Abadi" w:hAnsi="Abadi" w:cs="*Calibri-9777-Identity-H"/>
          <w:color w:val="1C1B1D"/>
          <w:sz w:val="21"/>
          <w:szCs w:val="21"/>
        </w:rPr>
      </w:pPr>
    </w:p>
    <w:p w14:paraId="17529ABE" w14:textId="04A8FFB4" w:rsidR="0084091D" w:rsidRDefault="0084091D" w:rsidP="0084091D">
      <w:pPr>
        <w:autoSpaceDE w:val="0"/>
        <w:autoSpaceDN w:val="0"/>
        <w:adjustRightInd w:val="0"/>
        <w:ind w:firstLine="708"/>
        <w:jc w:val="both"/>
        <w:rPr>
          <w:rFonts w:ascii="Abadi" w:hAnsi="Abadi" w:cs="*Calibri-9777-Identity-H"/>
          <w:color w:val="1A1A1C"/>
          <w:sz w:val="21"/>
          <w:szCs w:val="21"/>
        </w:rPr>
      </w:pPr>
      <w:r w:rsidRPr="003C596E">
        <w:rPr>
          <w:rFonts w:ascii="Abadi" w:hAnsi="Abadi" w:cs="*Calibri-9777-Identity-H"/>
          <w:color w:val="1A1A1C"/>
          <w:sz w:val="21"/>
          <w:szCs w:val="21"/>
        </w:rPr>
        <w:t xml:space="preserve">En fechas 27 de febrero, 03 y </w:t>
      </w:r>
      <w:r>
        <w:rPr>
          <w:rFonts w:ascii="Abadi" w:hAnsi="Abadi" w:cs="*Calibri-9777-Identity-H"/>
          <w:color w:val="1A1A1C"/>
          <w:sz w:val="21"/>
          <w:szCs w:val="21"/>
        </w:rPr>
        <w:t>10</w:t>
      </w:r>
      <w:r w:rsidRPr="003C596E">
        <w:rPr>
          <w:rFonts w:ascii="Abadi" w:hAnsi="Abadi" w:cs="*Calibri-9777-Identity-H"/>
          <w:color w:val="1A1A1C"/>
          <w:sz w:val="21"/>
          <w:szCs w:val="21"/>
        </w:rPr>
        <w:t xml:space="preserve"> de marzo del año 2020, se llevaron a cabo</w:t>
      </w:r>
      <w:r>
        <w:rPr>
          <w:rFonts w:ascii="Abadi" w:hAnsi="Abadi" w:cs="*Calibri-9777-Identity-H"/>
          <w:color w:val="1A1A1C"/>
          <w:sz w:val="21"/>
          <w:szCs w:val="21"/>
        </w:rPr>
        <w:t xml:space="preserve"> </w:t>
      </w:r>
      <w:r w:rsidRPr="003C596E">
        <w:rPr>
          <w:rFonts w:ascii="Abadi" w:hAnsi="Abadi" w:cs="*Calibri-9777-Identity-H"/>
          <w:color w:val="1A1A1C"/>
          <w:sz w:val="21"/>
          <w:szCs w:val="21"/>
        </w:rPr>
        <w:t xml:space="preserve">los foros regionales en los municipios de Guanajuato, San Miguel de Allende </w:t>
      </w:r>
      <w:r w:rsidRPr="003C596E">
        <w:rPr>
          <w:rFonts w:ascii="Abadi" w:hAnsi="Abadi" w:cs="*Verdana-9782-Identity-H"/>
          <w:color w:val="1A1A1C"/>
          <w:sz w:val="21"/>
          <w:szCs w:val="21"/>
        </w:rPr>
        <w:t>y</w:t>
      </w:r>
      <w:r>
        <w:rPr>
          <w:rFonts w:ascii="Abadi" w:hAnsi="Abadi" w:cs="*Verdana-9782-Identity-H"/>
          <w:color w:val="1A1A1C"/>
          <w:sz w:val="21"/>
          <w:szCs w:val="21"/>
        </w:rPr>
        <w:t xml:space="preserve"> </w:t>
      </w:r>
      <w:r w:rsidRPr="003C596E">
        <w:rPr>
          <w:rFonts w:ascii="Abadi" w:hAnsi="Abadi" w:cs="*Calibri-9777-Identity-H"/>
          <w:color w:val="1A1A1C"/>
          <w:sz w:val="21"/>
          <w:szCs w:val="21"/>
        </w:rPr>
        <w:t>León, respectivamente, con la participación de diversos ponentes quienes</w:t>
      </w:r>
      <w:r>
        <w:rPr>
          <w:rFonts w:ascii="Abadi" w:hAnsi="Abadi" w:cs="*Calibri-9777-Identity-H"/>
          <w:color w:val="1A1A1C"/>
          <w:sz w:val="21"/>
          <w:szCs w:val="21"/>
        </w:rPr>
        <w:t xml:space="preserve"> </w:t>
      </w:r>
      <w:r w:rsidRPr="003C596E">
        <w:rPr>
          <w:rFonts w:ascii="Abadi" w:hAnsi="Abadi" w:cs="*Calibri-9777-Identity-H"/>
          <w:color w:val="1A1A1C"/>
          <w:sz w:val="21"/>
          <w:szCs w:val="21"/>
        </w:rPr>
        <w:t xml:space="preserve">aportaron opiniones </w:t>
      </w:r>
      <w:r w:rsidRPr="003C596E">
        <w:rPr>
          <w:rFonts w:ascii="Abadi" w:hAnsi="Abadi" w:cs="*Verdana-9782-Identity-H"/>
          <w:color w:val="1A1A1C"/>
          <w:sz w:val="21"/>
          <w:szCs w:val="21"/>
        </w:rPr>
        <w:t xml:space="preserve">y </w:t>
      </w:r>
      <w:r w:rsidRPr="003C596E">
        <w:rPr>
          <w:rFonts w:ascii="Abadi" w:hAnsi="Abadi" w:cs="*Calibri-9777-Identity-H"/>
          <w:color w:val="1A1A1C"/>
          <w:sz w:val="21"/>
          <w:szCs w:val="21"/>
        </w:rPr>
        <w:t>propuestas a la iniciativa consultada.</w:t>
      </w:r>
      <w:r>
        <w:rPr>
          <w:rFonts w:ascii="Abadi" w:hAnsi="Abadi" w:cs="*Calibri-9777-Identity-H"/>
          <w:color w:val="1A1A1C"/>
          <w:sz w:val="21"/>
          <w:szCs w:val="21"/>
        </w:rPr>
        <w:t xml:space="preserve"> </w:t>
      </w:r>
    </w:p>
    <w:p w14:paraId="57071EF3" w14:textId="77777777" w:rsidR="0084091D" w:rsidRDefault="0084091D" w:rsidP="0084091D">
      <w:pPr>
        <w:autoSpaceDE w:val="0"/>
        <w:autoSpaceDN w:val="0"/>
        <w:adjustRightInd w:val="0"/>
        <w:jc w:val="both"/>
        <w:rPr>
          <w:rFonts w:ascii="Abadi" w:hAnsi="Abadi" w:cs="*Calibri-9777-Identity-H"/>
          <w:color w:val="1A1A1C"/>
          <w:sz w:val="21"/>
          <w:szCs w:val="21"/>
        </w:rPr>
      </w:pPr>
    </w:p>
    <w:p w14:paraId="473B2565" w14:textId="77777777" w:rsidR="0084091D" w:rsidRPr="003C596E" w:rsidRDefault="0084091D" w:rsidP="0084091D">
      <w:pPr>
        <w:autoSpaceDE w:val="0"/>
        <w:autoSpaceDN w:val="0"/>
        <w:adjustRightInd w:val="0"/>
        <w:ind w:firstLine="708"/>
        <w:jc w:val="both"/>
        <w:rPr>
          <w:rFonts w:ascii="Abadi" w:hAnsi="Abadi" w:cs="*Calibri-9777-Identity-H"/>
          <w:color w:val="1C1C1D"/>
          <w:sz w:val="21"/>
          <w:szCs w:val="21"/>
        </w:rPr>
      </w:pPr>
      <w:r w:rsidRPr="003C596E">
        <w:rPr>
          <w:rFonts w:ascii="Abadi" w:hAnsi="Abadi" w:cs="*Calibri-9777-Identity-H"/>
          <w:color w:val="1C1C1D"/>
          <w:sz w:val="21"/>
          <w:szCs w:val="21"/>
        </w:rPr>
        <w:t>Derivado del análisis de la iniciativa se realizaron las siguientes</w:t>
      </w:r>
      <w:r>
        <w:rPr>
          <w:rFonts w:ascii="Abadi" w:hAnsi="Abadi" w:cs="*Calibri-9777-Identity-H"/>
          <w:color w:val="1C1C1D"/>
          <w:sz w:val="21"/>
          <w:szCs w:val="21"/>
        </w:rPr>
        <w:t xml:space="preserve"> </w:t>
      </w:r>
      <w:r w:rsidRPr="003C596E">
        <w:rPr>
          <w:rFonts w:ascii="Abadi" w:hAnsi="Abadi" w:cs="*Calibri-9777-Identity-H"/>
          <w:color w:val="1C1C1D"/>
          <w:sz w:val="21"/>
          <w:szCs w:val="21"/>
        </w:rPr>
        <w:t>consideraciones.</w:t>
      </w:r>
    </w:p>
    <w:p w14:paraId="43167AB8" w14:textId="77777777" w:rsidR="0084091D" w:rsidRDefault="0084091D" w:rsidP="0084091D">
      <w:pPr>
        <w:autoSpaceDE w:val="0"/>
        <w:autoSpaceDN w:val="0"/>
        <w:adjustRightInd w:val="0"/>
        <w:jc w:val="both"/>
        <w:rPr>
          <w:rFonts w:ascii="Abadi" w:hAnsi="Abadi" w:cs="*Calibri-Bold-9778-Identity-H"/>
          <w:b/>
          <w:bCs/>
          <w:color w:val="0C0C10"/>
          <w:sz w:val="21"/>
          <w:szCs w:val="21"/>
        </w:rPr>
      </w:pPr>
    </w:p>
    <w:p w14:paraId="506EB551" w14:textId="77777777" w:rsidR="0084091D" w:rsidRDefault="0084091D" w:rsidP="0084091D">
      <w:pPr>
        <w:autoSpaceDE w:val="0"/>
        <w:autoSpaceDN w:val="0"/>
        <w:adjustRightInd w:val="0"/>
        <w:ind w:firstLine="708"/>
        <w:jc w:val="both"/>
        <w:rPr>
          <w:rFonts w:ascii="Abadi" w:hAnsi="Abadi" w:cs="*Calibri-Bold-9778-Identity-H"/>
          <w:b/>
          <w:bCs/>
          <w:color w:val="0C0C10"/>
          <w:sz w:val="21"/>
          <w:szCs w:val="21"/>
        </w:rPr>
      </w:pPr>
      <w:r w:rsidRPr="003C596E">
        <w:rPr>
          <w:rFonts w:ascii="Abadi" w:hAnsi="Abadi" w:cs="*Calibri-Bold-9778-Identity-H"/>
          <w:b/>
          <w:bCs/>
          <w:color w:val="0C0C10"/>
          <w:sz w:val="21"/>
          <w:szCs w:val="21"/>
        </w:rPr>
        <w:t>2. Valoración de la Iniciativa.</w:t>
      </w:r>
    </w:p>
    <w:p w14:paraId="422EC169" w14:textId="77777777" w:rsidR="0084091D" w:rsidRPr="003C596E" w:rsidRDefault="0084091D" w:rsidP="0084091D">
      <w:pPr>
        <w:autoSpaceDE w:val="0"/>
        <w:autoSpaceDN w:val="0"/>
        <w:adjustRightInd w:val="0"/>
        <w:jc w:val="both"/>
        <w:rPr>
          <w:rFonts w:ascii="Abadi" w:hAnsi="Abadi" w:cs="*Calibri-Bold-9778-Identity-H"/>
          <w:b/>
          <w:bCs/>
          <w:color w:val="0C0C10"/>
          <w:sz w:val="21"/>
          <w:szCs w:val="21"/>
        </w:rPr>
      </w:pPr>
    </w:p>
    <w:p w14:paraId="16BEC2F2" w14:textId="77777777" w:rsidR="0084091D" w:rsidRDefault="0084091D" w:rsidP="0084091D">
      <w:pPr>
        <w:autoSpaceDE w:val="0"/>
        <w:autoSpaceDN w:val="0"/>
        <w:adjustRightInd w:val="0"/>
        <w:ind w:firstLine="708"/>
        <w:jc w:val="both"/>
        <w:rPr>
          <w:rFonts w:ascii="Abadi" w:hAnsi="Abadi" w:cs="*Arial-10104-Identity-H"/>
          <w:color w:val="1B1A1C"/>
          <w:sz w:val="21"/>
          <w:szCs w:val="21"/>
        </w:rPr>
      </w:pPr>
      <w:r w:rsidRPr="003C596E">
        <w:rPr>
          <w:rFonts w:ascii="Abadi" w:hAnsi="Abadi" w:cs="*Calibri-9777-Identity-H"/>
          <w:color w:val="1A1A1C"/>
          <w:sz w:val="21"/>
          <w:szCs w:val="21"/>
        </w:rPr>
        <w:t xml:space="preserve">Las diputadas </w:t>
      </w:r>
      <w:r w:rsidRPr="003C596E">
        <w:rPr>
          <w:rFonts w:ascii="Abadi" w:hAnsi="Abadi" w:cs="*Verdana-9782-Identity-H"/>
          <w:color w:val="1A1A1C"/>
          <w:sz w:val="21"/>
          <w:szCs w:val="21"/>
        </w:rPr>
        <w:t xml:space="preserve">y </w:t>
      </w:r>
      <w:r w:rsidRPr="003C596E">
        <w:rPr>
          <w:rFonts w:ascii="Abadi" w:hAnsi="Abadi" w:cs="*Calibri-9777-Identity-H"/>
          <w:color w:val="1A1A1C"/>
          <w:sz w:val="21"/>
          <w:szCs w:val="21"/>
        </w:rPr>
        <w:t>los diputados que integramos la comisión dictaminadora,</w:t>
      </w:r>
      <w:r>
        <w:rPr>
          <w:rFonts w:ascii="Abadi" w:hAnsi="Abadi" w:cs="*Calibri-9777-Identity-H"/>
          <w:color w:val="1A1A1C"/>
          <w:sz w:val="21"/>
          <w:szCs w:val="21"/>
        </w:rPr>
        <w:t xml:space="preserve"> </w:t>
      </w:r>
      <w:r w:rsidRPr="003C596E">
        <w:rPr>
          <w:rFonts w:ascii="Abadi" w:hAnsi="Abadi" w:cs="*Calibri-9777-Identity-H"/>
          <w:color w:val="1A1A1C"/>
          <w:sz w:val="21"/>
          <w:szCs w:val="21"/>
        </w:rPr>
        <w:t>consideramos importante referenciar los puntos sobre los cuales versa el sustento</w:t>
      </w:r>
      <w:r>
        <w:rPr>
          <w:rFonts w:ascii="Abadi" w:hAnsi="Abadi" w:cs="*Calibri-9777-Identity-H"/>
          <w:color w:val="1A1A1C"/>
          <w:sz w:val="21"/>
          <w:szCs w:val="21"/>
        </w:rPr>
        <w:t xml:space="preserve"> </w:t>
      </w:r>
      <w:r w:rsidRPr="003C596E">
        <w:rPr>
          <w:rFonts w:ascii="Abadi" w:hAnsi="Abadi" w:cs="*Calibri-9777-Identity-H"/>
          <w:color w:val="1A1A1C"/>
          <w:sz w:val="21"/>
          <w:szCs w:val="21"/>
        </w:rPr>
        <w:t>de esta propuesta que tiene como objeto determinar las bases para apoyar y</w:t>
      </w:r>
      <w:r>
        <w:rPr>
          <w:rFonts w:ascii="Abadi" w:hAnsi="Abadi" w:cs="*Calibri-9777-Identity-H"/>
          <w:color w:val="1A1A1C"/>
          <w:sz w:val="21"/>
          <w:szCs w:val="21"/>
        </w:rPr>
        <w:t xml:space="preserve"> </w:t>
      </w:r>
      <w:r w:rsidRPr="003C596E">
        <w:rPr>
          <w:rFonts w:ascii="Abadi" w:hAnsi="Abadi" w:cs="*Arial-10104-Identity-H"/>
          <w:color w:val="1B1A1C"/>
          <w:sz w:val="21"/>
          <w:szCs w:val="21"/>
        </w:rPr>
        <w:t>fomentar lo donación de alimentos en beneficio de las comunidades con un alto</w:t>
      </w:r>
      <w:r>
        <w:rPr>
          <w:rFonts w:ascii="Abadi" w:hAnsi="Abadi" w:cs="*Arial-10104-Identity-H"/>
          <w:color w:val="1B1A1C"/>
          <w:sz w:val="21"/>
          <w:szCs w:val="21"/>
        </w:rPr>
        <w:t xml:space="preserve"> </w:t>
      </w:r>
      <w:r w:rsidRPr="003C596E">
        <w:rPr>
          <w:rFonts w:ascii="Abadi" w:hAnsi="Abadi" w:cs="*Arial-10104-Identity-H"/>
          <w:color w:val="1B1A1C"/>
          <w:sz w:val="21"/>
          <w:szCs w:val="21"/>
        </w:rPr>
        <w:t>índice de marginación.</w:t>
      </w:r>
    </w:p>
    <w:p w14:paraId="2F4983AC" w14:textId="77777777" w:rsidR="0084091D" w:rsidRPr="003C596E" w:rsidRDefault="0084091D" w:rsidP="0084091D">
      <w:pPr>
        <w:autoSpaceDE w:val="0"/>
        <w:autoSpaceDN w:val="0"/>
        <w:adjustRightInd w:val="0"/>
        <w:jc w:val="both"/>
        <w:rPr>
          <w:rFonts w:ascii="Abadi" w:hAnsi="Abadi" w:cs="*Arial-10104-Identity-H"/>
          <w:color w:val="1B1A1C"/>
          <w:sz w:val="21"/>
          <w:szCs w:val="21"/>
        </w:rPr>
      </w:pPr>
    </w:p>
    <w:p w14:paraId="324D3B72" w14:textId="77777777" w:rsidR="0084091D" w:rsidRDefault="0084091D" w:rsidP="0084091D">
      <w:pPr>
        <w:autoSpaceDE w:val="0"/>
        <w:autoSpaceDN w:val="0"/>
        <w:adjustRightInd w:val="0"/>
        <w:ind w:firstLine="708"/>
        <w:jc w:val="both"/>
        <w:rPr>
          <w:rFonts w:ascii="Abadi" w:hAnsi="Abadi" w:cs="*Arial-10104-Identity-H"/>
          <w:color w:val="171719"/>
          <w:sz w:val="21"/>
          <w:szCs w:val="21"/>
        </w:rPr>
      </w:pPr>
      <w:r w:rsidRPr="003C596E">
        <w:rPr>
          <w:rFonts w:ascii="Abadi" w:hAnsi="Abadi" w:cs="*Arial-10104-Identity-H"/>
          <w:color w:val="171719"/>
          <w:sz w:val="21"/>
          <w:szCs w:val="21"/>
        </w:rPr>
        <w:t>En la exposición de motivos de la iniciativa, materia del presente dictamen,</w:t>
      </w:r>
      <w:r>
        <w:rPr>
          <w:rFonts w:ascii="Abadi" w:hAnsi="Abadi" w:cs="*Arial-10104-Identity-H"/>
          <w:color w:val="171719"/>
          <w:sz w:val="21"/>
          <w:szCs w:val="21"/>
        </w:rPr>
        <w:t xml:space="preserve"> </w:t>
      </w:r>
      <w:r w:rsidRPr="003C596E">
        <w:rPr>
          <w:rFonts w:ascii="Abadi" w:hAnsi="Abadi" w:cs="*Arial-10104-Identity-H"/>
          <w:color w:val="171719"/>
          <w:sz w:val="21"/>
          <w:szCs w:val="21"/>
        </w:rPr>
        <w:t>las y los iniciantes manifestaron:</w:t>
      </w:r>
    </w:p>
    <w:p w14:paraId="57EE55B6" w14:textId="77777777" w:rsidR="0084091D" w:rsidRPr="003C596E" w:rsidRDefault="0084091D" w:rsidP="0084091D">
      <w:pPr>
        <w:autoSpaceDE w:val="0"/>
        <w:autoSpaceDN w:val="0"/>
        <w:adjustRightInd w:val="0"/>
        <w:jc w:val="both"/>
        <w:rPr>
          <w:rFonts w:ascii="Abadi" w:hAnsi="Abadi" w:cs="*Arial-10104-Identity-H"/>
          <w:color w:val="171719"/>
          <w:sz w:val="21"/>
          <w:szCs w:val="21"/>
        </w:rPr>
      </w:pPr>
    </w:p>
    <w:p w14:paraId="6D5B0407" w14:textId="77777777" w:rsidR="0084091D" w:rsidRPr="003C596E" w:rsidRDefault="0084091D" w:rsidP="0084091D">
      <w:pPr>
        <w:autoSpaceDE w:val="0"/>
        <w:autoSpaceDN w:val="0"/>
        <w:adjustRightInd w:val="0"/>
        <w:ind w:left="709"/>
        <w:jc w:val="both"/>
        <w:rPr>
          <w:rFonts w:ascii="Abadi" w:hAnsi="Abadi" w:cs="*Times New Roman-Italic-10099-I"/>
          <w:i/>
          <w:iCs/>
          <w:color w:val="232323"/>
          <w:sz w:val="21"/>
          <w:szCs w:val="21"/>
        </w:rPr>
      </w:pPr>
      <w:r w:rsidRPr="003C596E">
        <w:rPr>
          <w:rFonts w:ascii="Abadi" w:hAnsi="Abadi" w:cs="*Times New Roman-Italic-10101-I"/>
          <w:i/>
          <w:iCs/>
          <w:color w:val="232323"/>
          <w:sz w:val="21"/>
          <w:szCs w:val="21"/>
        </w:rPr>
        <w:t xml:space="preserve">( </w:t>
      </w:r>
      <w:r w:rsidRPr="003C596E">
        <w:rPr>
          <w:rFonts w:ascii="Abadi" w:hAnsi="Abadi" w:cs="*Times New Roman-Italic-10100-I"/>
          <w:i/>
          <w:iCs/>
          <w:color w:val="232323"/>
          <w:sz w:val="21"/>
          <w:szCs w:val="21"/>
        </w:rPr>
        <w:t xml:space="preserve">. .. </w:t>
      </w:r>
      <w:r w:rsidRPr="003C596E">
        <w:rPr>
          <w:rFonts w:ascii="Abadi" w:hAnsi="Abadi" w:cs="*Times New Roman-Italic-10099-I"/>
          <w:i/>
          <w:iCs/>
          <w:color w:val="232323"/>
          <w:sz w:val="21"/>
          <w:szCs w:val="21"/>
        </w:rPr>
        <w:t>)</w:t>
      </w:r>
    </w:p>
    <w:p w14:paraId="57B6635F" w14:textId="77777777" w:rsidR="0084091D" w:rsidRDefault="0084091D" w:rsidP="0084091D">
      <w:pPr>
        <w:autoSpaceDE w:val="0"/>
        <w:autoSpaceDN w:val="0"/>
        <w:adjustRightInd w:val="0"/>
        <w:ind w:left="709"/>
        <w:jc w:val="both"/>
        <w:rPr>
          <w:rFonts w:ascii="Abadi" w:hAnsi="Abadi" w:cs="*Microsoft Sans Serif-Italic-10"/>
          <w:i/>
          <w:iCs/>
          <w:color w:val="202021"/>
          <w:sz w:val="21"/>
          <w:szCs w:val="21"/>
        </w:rPr>
      </w:pPr>
      <w:r w:rsidRPr="003C596E">
        <w:rPr>
          <w:rFonts w:ascii="Abadi" w:hAnsi="Abadi" w:cs="*Microsoft Sans Serif-Italic-10"/>
          <w:i/>
          <w:iCs/>
          <w:color w:val="202021"/>
          <w:sz w:val="21"/>
          <w:szCs w:val="21"/>
        </w:rPr>
        <w:t>Ante la realidad del hambre, que sigue lacerando a nuestro estado, no</w:t>
      </w:r>
      <w:r>
        <w:rPr>
          <w:rFonts w:ascii="Abadi" w:hAnsi="Abadi" w:cs="*Microsoft Sans Serif-Italic-10"/>
          <w:i/>
          <w:iCs/>
          <w:color w:val="202021"/>
          <w:sz w:val="21"/>
          <w:szCs w:val="21"/>
        </w:rPr>
        <w:t xml:space="preserve"> </w:t>
      </w:r>
      <w:r w:rsidRPr="003C596E">
        <w:rPr>
          <w:rFonts w:ascii="Abadi" w:hAnsi="Abadi" w:cs="*Microsoft Sans Serif-Italic-10"/>
          <w:i/>
          <w:iCs/>
          <w:color w:val="202021"/>
          <w:sz w:val="21"/>
          <w:szCs w:val="21"/>
        </w:rPr>
        <w:t xml:space="preserve">vale reaccionar </w:t>
      </w:r>
      <w:r w:rsidRPr="003C596E">
        <w:rPr>
          <w:rFonts w:ascii="Abadi" w:hAnsi="Abadi" w:cs="*Calibri-10103-Identity-H"/>
          <w:color w:val="202021"/>
          <w:sz w:val="21"/>
          <w:szCs w:val="21"/>
        </w:rPr>
        <w:t xml:space="preserve">con </w:t>
      </w:r>
      <w:r w:rsidRPr="003C596E">
        <w:rPr>
          <w:rFonts w:ascii="Abadi" w:hAnsi="Abadi" w:cs="*Microsoft Sans Serif-Italic-10"/>
          <w:i/>
          <w:iCs/>
          <w:color w:val="202021"/>
          <w:sz w:val="21"/>
          <w:szCs w:val="21"/>
        </w:rPr>
        <w:t>cerrazón, sino que es necesaria la creatividad y la</w:t>
      </w:r>
      <w:r>
        <w:rPr>
          <w:rFonts w:ascii="Abadi" w:hAnsi="Abadi" w:cs="*Microsoft Sans Serif-Italic-10"/>
          <w:i/>
          <w:iCs/>
          <w:color w:val="202021"/>
          <w:sz w:val="21"/>
          <w:szCs w:val="21"/>
        </w:rPr>
        <w:t xml:space="preserve"> </w:t>
      </w:r>
      <w:r w:rsidRPr="003C596E">
        <w:rPr>
          <w:rFonts w:ascii="Abadi" w:hAnsi="Abadi" w:cs="*Microsoft Sans Serif-Italic-10"/>
          <w:i/>
          <w:iCs/>
          <w:color w:val="202021"/>
          <w:sz w:val="21"/>
          <w:szCs w:val="21"/>
        </w:rPr>
        <w:t>generosidad de todos, ciudadanos, organizaciones y autoridades,</w:t>
      </w:r>
      <w:r>
        <w:rPr>
          <w:rFonts w:ascii="Abadi" w:hAnsi="Abadi" w:cs="*Microsoft Sans Serif-Italic-10"/>
          <w:i/>
          <w:iCs/>
          <w:color w:val="202021"/>
          <w:sz w:val="21"/>
          <w:szCs w:val="21"/>
        </w:rPr>
        <w:t xml:space="preserve"> </w:t>
      </w:r>
      <w:r w:rsidRPr="003C596E">
        <w:rPr>
          <w:rFonts w:ascii="Abadi" w:hAnsi="Abadi" w:cs="*Microsoft Sans Serif-Italic-10"/>
          <w:i/>
          <w:iCs/>
          <w:color w:val="202021"/>
          <w:sz w:val="21"/>
          <w:szCs w:val="21"/>
        </w:rPr>
        <w:t xml:space="preserve">porque todos </w:t>
      </w:r>
      <w:r w:rsidRPr="003C596E">
        <w:rPr>
          <w:rFonts w:ascii="Abadi" w:hAnsi="Abadi" w:cs="*Calibri-10103-Identity-H"/>
          <w:color w:val="202021"/>
          <w:sz w:val="21"/>
          <w:szCs w:val="21"/>
        </w:rPr>
        <w:t xml:space="preserve">somos </w:t>
      </w:r>
      <w:r w:rsidRPr="003C596E">
        <w:rPr>
          <w:rFonts w:ascii="Abadi" w:hAnsi="Abadi" w:cs="*Microsoft Sans Serif-Italic-10"/>
          <w:i/>
          <w:iCs/>
          <w:color w:val="202021"/>
          <w:sz w:val="21"/>
          <w:szCs w:val="21"/>
        </w:rPr>
        <w:t>responsables y todos podemos hacer la diferencia.</w:t>
      </w:r>
    </w:p>
    <w:p w14:paraId="0B0F23D5" w14:textId="77777777" w:rsidR="0084091D" w:rsidRPr="003C596E" w:rsidRDefault="0084091D" w:rsidP="0084091D">
      <w:pPr>
        <w:autoSpaceDE w:val="0"/>
        <w:autoSpaceDN w:val="0"/>
        <w:adjustRightInd w:val="0"/>
        <w:ind w:left="709"/>
        <w:jc w:val="both"/>
        <w:rPr>
          <w:rFonts w:ascii="Abadi" w:hAnsi="Abadi" w:cs="*Microsoft Sans Serif-Italic-10"/>
          <w:i/>
          <w:iCs/>
          <w:color w:val="202021"/>
          <w:sz w:val="21"/>
          <w:szCs w:val="21"/>
        </w:rPr>
      </w:pPr>
    </w:p>
    <w:p w14:paraId="5EDE6091" w14:textId="77777777" w:rsidR="0084091D" w:rsidRDefault="0084091D" w:rsidP="0084091D">
      <w:pPr>
        <w:autoSpaceDE w:val="0"/>
        <w:autoSpaceDN w:val="0"/>
        <w:adjustRightInd w:val="0"/>
        <w:ind w:left="709"/>
        <w:jc w:val="both"/>
        <w:rPr>
          <w:rFonts w:ascii="Abadi" w:hAnsi="Abadi" w:cs="*Microsoft Sans Serif-Italic-10"/>
          <w:i/>
          <w:iCs/>
          <w:color w:val="212122"/>
          <w:sz w:val="21"/>
          <w:szCs w:val="21"/>
        </w:rPr>
      </w:pPr>
      <w:r w:rsidRPr="003C596E">
        <w:rPr>
          <w:rFonts w:ascii="Abadi" w:hAnsi="Abadi" w:cs="*Microsoft Sans Serif-Italic-10"/>
          <w:i/>
          <w:iCs/>
          <w:color w:val="212122"/>
          <w:sz w:val="21"/>
          <w:szCs w:val="21"/>
        </w:rPr>
        <w:t>Esto es especialmente claro cuando hablamos del derecho a la</w:t>
      </w:r>
      <w:r>
        <w:rPr>
          <w:rFonts w:ascii="Abadi" w:hAnsi="Abadi" w:cs="*Microsoft Sans Serif-Italic-10"/>
          <w:i/>
          <w:iCs/>
          <w:color w:val="212122"/>
          <w:sz w:val="21"/>
          <w:szCs w:val="21"/>
        </w:rPr>
        <w:t xml:space="preserve"> </w:t>
      </w:r>
      <w:r w:rsidRPr="003C596E">
        <w:rPr>
          <w:rFonts w:ascii="Abadi" w:hAnsi="Abadi" w:cs="*Microsoft Sans Serif-Italic-10"/>
          <w:i/>
          <w:iCs/>
          <w:color w:val="212122"/>
          <w:sz w:val="21"/>
          <w:szCs w:val="21"/>
        </w:rPr>
        <w:t>alimentación, que es un derecho humano, reconocido por la legislación</w:t>
      </w:r>
      <w:r>
        <w:rPr>
          <w:rFonts w:ascii="Abadi" w:hAnsi="Abadi" w:cs="*Microsoft Sans Serif-Italic-10"/>
          <w:i/>
          <w:iCs/>
          <w:color w:val="212122"/>
          <w:sz w:val="21"/>
          <w:szCs w:val="21"/>
        </w:rPr>
        <w:t xml:space="preserve"> </w:t>
      </w:r>
      <w:r w:rsidRPr="003C596E">
        <w:rPr>
          <w:rFonts w:ascii="Abadi" w:hAnsi="Abadi" w:cs="*Microsoft Sans Serif-Italic-10"/>
          <w:i/>
          <w:iCs/>
          <w:color w:val="212122"/>
          <w:sz w:val="21"/>
          <w:szCs w:val="21"/>
        </w:rPr>
        <w:t xml:space="preserve">mexicana, por los tratados internacionales y por el más básico </w:t>
      </w:r>
      <w:r w:rsidRPr="003C596E">
        <w:rPr>
          <w:rFonts w:ascii="Abadi" w:hAnsi="Abadi" w:cs="*Calibri-10103-Identity-H"/>
          <w:color w:val="212122"/>
          <w:sz w:val="21"/>
          <w:szCs w:val="21"/>
        </w:rPr>
        <w:t xml:space="preserve">sentido </w:t>
      </w:r>
      <w:r w:rsidRPr="003C596E">
        <w:rPr>
          <w:rFonts w:ascii="Abadi" w:hAnsi="Abadi" w:cs="*Microsoft Sans Serif-Italic-10"/>
          <w:i/>
          <w:iCs/>
          <w:color w:val="212122"/>
          <w:sz w:val="21"/>
          <w:szCs w:val="21"/>
        </w:rPr>
        <w:t>de</w:t>
      </w:r>
      <w:r>
        <w:rPr>
          <w:rFonts w:ascii="Abadi" w:hAnsi="Abadi" w:cs="*Microsoft Sans Serif-Italic-10"/>
          <w:i/>
          <w:iCs/>
          <w:color w:val="212122"/>
          <w:sz w:val="21"/>
          <w:szCs w:val="21"/>
        </w:rPr>
        <w:t xml:space="preserve"> </w:t>
      </w:r>
      <w:r w:rsidRPr="003C596E">
        <w:rPr>
          <w:rFonts w:ascii="Abadi" w:hAnsi="Abadi" w:cs="*Microsoft Sans Serif-Italic-10"/>
          <w:i/>
          <w:iCs/>
          <w:color w:val="212122"/>
          <w:sz w:val="21"/>
          <w:szCs w:val="21"/>
        </w:rPr>
        <w:t xml:space="preserve">justicia. Sin importar sexo, raza, edad, religión, residencia </w:t>
      </w:r>
      <w:r w:rsidRPr="003C596E">
        <w:rPr>
          <w:rFonts w:ascii="Abadi" w:hAnsi="Abadi" w:cs="*Calibri-10103-Identity-H"/>
          <w:color w:val="212122"/>
          <w:sz w:val="21"/>
          <w:szCs w:val="21"/>
        </w:rPr>
        <w:t xml:space="preserve">o </w:t>
      </w:r>
      <w:r w:rsidRPr="003C596E">
        <w:rPr>
          <w:rFonts w:ascii="Abadi" w:hAnsi="Abadi" w:cs="*Microsoft Sans Serif-Italic-10"/>
          <w:i/>
          <w:iCs/>
          <w:color w:val="212122"/>
          <w:sz w:val="21"/>
          <w:szCs w:val="21"/>
        </w:rPr>
        <w:t>posición</w:t>
      </w:r>
      <w:r>
        <w:rPr>
          <w:rFonts w:ascii="Abadi" w:hAnsi="Abadi" w:cs="*Microsoft Sans Serif-Italic-10"/>
          <w:i/>
          <w:iCs/>
          <w:color w:val="212122"/>
          <w:sz w:val="21"/>
          <w:szCs w:val="21"/>
        </w:rPr>
        <w:t xml:space="preserve"> </w:t>
      </w:r>
      <w:r w:rsidRPr="003C596E">
        <w:rPr>
          <w:rFonts w:ascii="Abadi" w:hAnsi="Abadi" w:cs="*Microsoft Sans Serif-Italic-10"/>
          <w:i/>
          <w:iCs/>
          <w:color w:val="212122"/>
          <w:sz w:val="21"/>
          <w:szCs w:val="21"/>
        </w:rPr>
        <w:t>económica, toda persona tiene el derecho a alimentarse con dignidad,</w:t>
      </w:r>
      <w:r>
        <w:rPr>
          <w:rFonts w:ascii="Abadi" w:hAnsi="Abadi" w:cs="*Microsoft Sans Serif-Italic-10"/>
          <w:i/>
          <w:iCs/>
          <w:color w:val="212122"/>
          <w:sz w:val="21"/>
          <w:szCs w:val="21"/>
        </w:rPr>
        <w:t xml:space="preserve"> </w:t>
      </w:r>
      <w:r w:rsidRPr="003C596E">
        <w:rPr>
          <w:rFonts w:ascii="Abadi" w:hAnsi="Abadi" w:cs="*Microsoft Sans Serif-Italic-10"/>
          <w:i/>
          <w:iCs/>
          <w:color w:val="212122"/>
          <w:sz w:val="21"/>
          <w:szCs w:val="21"/>
        </w:rPr>
        <w:t xml:space="preserve">y </w:t>
      </w:r>
      <w:r>
        <w:rPr>
          <w:rFonts w:ascii="Abadi" w:hAnsi="Abadi" w:cs="*Calibri-10103-Identity-H"/>
          <w:color w:val="212122"/>
          <w:sz w:val="21"/>
          <w:szCs w:val="21"/>
        </w:rPr>
        <w:t>a</w:t>
      </w:r>
      <w:r w:rsidRPr="003C596E">
        <w:rPr>
          <w:rFonts w:ascii="Abadi" w:hAnsi="Abadi" w:cs="*Calibri-10103-Identity-H"/>
          <w:color w:val="212122"/>
          <w:sz w:val="21"/>
          <w:szCs w:val="21"/>
        </w:rPr>
        <w:t xml:space="preserve"> </w:t>
      </w:r>
      <w:r w:rsidRPr="003C596E">
        <w:rPr>
          <w:rFonts w:ascii="Abadi" w:hAnsi="Abadi" w:cs="*Microsoft Sans Serif-Italic-10"/>
          <w:i/>
          <w:iCs/>
          <w:color w:val="212122"/>
          <w:sz w:val="21"/>
          <w:szCs w:val="21"/>
        </w:rPr>
        <w:t>todos nos corresponde apoyar para que este derecho puedo</w:t>
      </w:r>
      <w:r>
        <w:rPr>
          <w:rFonts w:ascii="Abadi" w:hAnsi="Abadi" w:cs="*Microsoft Sans Serif-Italic-10"/>
          <w:i/>
          <w:iCs/>
          <w:color w:val="212122"/>
          <w:sz w:val="21"/>
          <w:szCs w:val="21"/>
        </w:rPr>
        <w:t xml:space="preserve"> </w:t>
      </w:r>
      <w:r w:rsidRPr="003C596E">
        <w:rPr>
          <w:rFonts w:ascii="Abadi" w:hAnsi="Abadi" w:cs="*Microsoft Sans Serif-Italic-10"/>
          <w:i/>
          <w:iCs/>
          <w:color w:val="212122"/>
          <w:sz w:val="21"/>
          <w:szCs w:val="21"/>
        </w:rPr>
        <w:t xml:space="preserve">ejercerse </w:t>
      </w:r>
      <w:r w:rsidRPr="003C596E">
        <w:rPr>
          <w:rFonts w:ascii="Abadi" w:hAnsi="Abadi" w:cs="*Calibri-10103-Identity-H"/>
          <w:color w:val="212122"/>
          <w:sz w:val="21"/>
          <w:szCs w:val="21"/>
        </w:rPr>
        <w:t xml:space="preserve">con </w:t>
      </w:r>
      <w:r w:rsidRPr="003C596E">
        <w:rPr>
          <w:rFonts w:ascii="Abadi" w:hAnsi="Abadi" w:cs="*Microsoft Sans Serif-Italic-10"/>
          <w:i/>
          <w:iCs/>
          <w:color w:val="212122"/>
          <w:sz w:val="21"/>
          <w:szCs w:val="21"/>
        </w:rPr>
        <w:t>plenitud.</w:t>
      </w:r>
    </w:p>
    <w:p w14:paraId="142B91BD" w14:textId="77777777" w:rsidR="0084091D" w:rsidRPr="003C596E" w:rsidRDefault="0084091D" w:rsidP="0084091D">
      <w:pPr>
        <w:autoSpaceDE w:val="0"/>
        <w:autoSpaceDN w:val="0"/>
        <w:adjustRightInd w:val="0"/>
        <w:ind w:left="709"/>
        <w:jc w:val="both"/>
        <w:rPr>
          <w:rFonts w:ascii="Abadi" w:hAnsi="Abadi" w:cs="*Microsoft Sans Serif-Italic-10"/>
          <w:i/>
          <w:iCs/>
          <w:color w:val="212122"/>
          <w:sz w:val="21"/>
          <w:szCs w:val="21"/>
        </w:rPr>
      </w:pPr>
    </w:p>
    <w:p w14:paraId="6682CB30" w14:textId="77777777" w:rsidR="0084091D" w:rsidRDefault="0084091D" w:rsidP="0084091D">
      <w:pPr>
        <w:autoSpaceDE w:val="0"/>
        <w:autoSpaceDN w:val="0"/>
        <w:adjustRightInd w:val="0"/>
        <w:ind w:left="709"/>
        <w:jc w:val="both"/>
        <w:rPr>
          <w:rFonts w:ascii="Abadi" w:hAnsi="Abadi" w:cs="*Microsoft Sans Serif-Italic-10"/>
          <w:i/>
          <w:iCs/>
          <w:color w:val="202022"/>
          <w:sz w:val="21"/>
          <w:szCs w:val="21"/>
        </w:rPr>
      </w:pPr>
      <w:r w:rsidRPr="003C596E">
        <w:rPr>
          <w:rFonts w:ascii="Abadi" w:hAnsi="Abadi" w:cs="*Microsoft Sans Serif-Italic-10"/>
          <w:i/>
          <w:iCs/>
          <w:color w:val="202022"/>
          <w:sz w:val="21"/>
          <w:szCs w:val="21"/>
        </w:rPr>
        <w:t xml:space="preserve">Desde el gobierno se trabaja en programas de apoyos </w:t>
      </w:r>
      <w:r w:rsidRPr="003C596E">
        <w:rPr>
          <w:rFonts w:ascii="Abadi" w:hAnsi="Abadi" w:cs="*Calibri-10103-Identity-H"/>
          <w:color w:val="202022"/>
          <w:sz w:val="21"/>
          <w:szCs w:val="21"/>
        </w:rPr>
        <w:t xml:space="preserve">con </w:t>
      </w:r>
      <w:r w:rsidRPr="003C596E">
        <w:rPr>
          <w:rFonts w:ascii="Abadi" w:hAnsi="Abadi" w:cs="*Microsoft Sans Serif-Italic-10"/>
          <w:i/>
          <w:iCs/>
          <w:color w:val="202022"/>
          <w:sz w:val="21"/>
          <w:szCs w:val="21"/>
        </w:rPr>
        <w:t>despensas,</w:t>
      </w:r>
      <w:r>
        <w:rPr>
          <w:rFonts w:ascii="Abadi" w:hAnsi="Abadi" w:cs="*Microsoft Sans Serif-Italic-10"/>
          <w:i/>
          <w:iCs/>
          <w:color w:val="202022"/>
          <w:sz w:val="21"/>
          <w:szCs w:val="21"/>
        </w:rPr>
        <w:t xml:space="preserve"> </w:t>
      </w:r>
      <w:r w:rsidRPr="003C596E">
        <w:rPr>
          <w:rFonts w:ascii="Abadi" w:hAnsi="Abadi" w:cs="*Microsoft Sans Serif-Italic-10"/>
          <w:i/>
          <w:iCs/>
          <w:color w:val="202022"/>
          <w:sz w:val="21"/>
          <w:szCs w:val="21"/>
        </w:rPr>
        <w:t xml:space="preserve">desayunos escolares y comedores comunitarios, pero hoy mucho </w:t>
      </w:r>
      <w:r w:rsidRPr="003C596E">
        <w:rPr>
          <w:rFonts w:ascii="Abadi" w:hAnsi="Abadi" w:cs="*Calibri-10103-Identity-H"/>
          <w:color w:val="202022"/>
          <w:sz w:val="21"/>
          <w:szCs w:val="21"/>
        </w:rPr>
        <w:t>más</w:t>
      </w:r>
      <w:r>
        <w:rPr>
          <w:rFonts w:ascii="Abadi" w:hAnsi="Abadi" w:cs="*Calibri-10103-Identity-H"/>
          <w:color w:val="202022"/>
          <w:sz w:val="21"/>
          <w:szCs w:val="21"/>
        </w:rPr>
        <w:t xml:space="preserve"> </w:t>
      </w:r>
      <w:r w:rsidRPr="003C596E">
        <w:rPr>
          <w:rFonts w:ascii="Abadi" w:hAnsi="Abadi" w:cs="*Microsoft Sans Serif-Italic-10"/>
          <w:i/>
          <w:iCs/>
          <w:color w:val="202022"/>
          <w:sz w:val="21"/>
          <w:szCs w:val="21"/>
        </w:rPr>
        <w:t>por hacer. L</w:t>
      </w:r>
      <w:r>
        <w:rPr>
          <w:rFonts w:ascii="Abadi" w:hAnsi="Abadi" w:cs="*Microsoft Sans Serif-Italic-10"/>
          <w:i/>
          <w:iCs/>
          <w:color w:val="202022"/>
          <w:sz w:val="21"/>
          <w:szCs w:val="21"/>
        </w:rPr>
        <w:t>a</w:t>
      </w:r>
      <w:r w:rsidRPr="003C596E">
        <w:rPr>
          <w:rFonts w:ascii="Abadi" w:hAnsi="Abadi" w:cs="*Microsoft Sans Serif-Italic-10"/>
          <w:i/>
          <w:iCs/>
          <w:color w:val="202022"/>
          <w:sz w:val="21"/>
          <w:szCs w:val="21"/>
        </w:rPr>
        <w:t xml:space="preserve"> colaboración voluntar</w:t>
      </w:r>
      <w:r>
        <w:rPr>
          <w:rFonts w:ascii="Abadi" w:hAnsi="Abadi" w:cs="*Microsoft Sans Serif-Italic-10"/>
          <w:i/>
          <w:iCs/>
          <w:color w:val="202022"/>
          <w:sz w:val="21"/>
          <w:szCs w:val="21"/>
        </w:rPr>
        <w:t>ia</w:t>
      </w:r>
      <w:r w:rsidRPr="003C596E">
        <w:rPr>
          <w:rFonts w:ascii="Abadi" w:hAnsi="Abadi" w:cs="*Microsoft Sans Serif-Italic-10"/>
          <w:i/>
          <w:iCs/>
          <w:color w:val="202022"/>
          <w:sz w:val="21"/>
          <w:szCs w:val="21"/>
        </w:rPr>
        <w:t xml:space="preserve"> y solidari</w:t>
      </w:r>
      <w:r>
        <w:rPr>
          <w:rFonts w:ascii="Abadi" w:hAnsi="Abadi" w:cs="*Microsoft Sans Serif-Italic-10"/>
          <w:i/>
          <w:iCs/>
          <w:color w:val="202022"/>
          <w:sz w:val="21"/>
          <w:szCs w:val="21"/>
        </w:rPr>
        <w:t>a</w:t>
      </w:r>
      <w:r w:rsidRPr="003C596E">
        <w:rPr>
          <w:rFonts w:ascii="Abadi" w:hAnsi="Abadi" w:cs="*Microsoft Sans Serif-Italic-10"/>
          <w:i/>
          <w:iCs/>
          <w:color w:val="202022"/>
          <w:sz w:val="21"/>
          <w:szCs w:val="21"/>
        </w:rPr>
        <w:t xml:space="preserve"> p</w:t>
      </w:r>
      <w:r>
        <w:rPr>
          <w:rFonts w:ascii="Abadi" w:hAnsi="Abadi" w:cs="*Microsoft Sans Serif-Italic-10"/>
          <w:i/>
          <w:iCs/>
          <w:color w:val="202022"/>
          <w:sz w:val="21"/>
          <w:szCs w:val="21"/>
        </w:rPr>
        <w:t>ara</w:t>
      </w:r>
      <w:r w:rsidRPr="003C596E">
        <w:rPr>
          <w:rFonts w:ascii="Abadi" w:hAnsi="Abadi" w:cs="*Microsoft Sans Serif-Italic-10"/>
          <w:i/>
          <w:iCs/>
          <w:color w:val="202022"/>
          <w:sz w:val="21"/>
          <w:szCs w:val="21"/>
        </w:rPr>
        <w:t xml:space="preserve"> donar alimentos </w:t>
      </w:r>
      <w:r w:rsidRPr="003C596E">
        <w:rPr>
          <w:rFonts w:ascii="Abadi" w:hAnsi="Abadi" w:cs="*Calibri-10103-Identity-H"/>
          <w:color w:val="202022"/>
          <w:sz w:val="21"/>
          <w:szCs w:val="21"/>
        </w:rPr>
        <w:t>es</w:t>
      </w:r>
      <w:r>
        <w:rPr>
          <w:rFonts w:ascii="Abadi" w:hAnsi="Abadi" w:cs="*Calibri-10103-Identity-H"/>
          <w:color w:val="202022"/>
          <w:sz w:val="21"/>
          <w:szCs w:val="21"/>
        </w:rPr>
        <w:t xml:space="preserve"> </w:t>
      </w:r>
      <w:r w:rsidRPr="003C596E">
        <w:rPr>
          <w:rFonts w:ascii="Abadi" w:hAnsi="Abadi" w:cs="*Microsoft Sans Serif-Italic-10"/>
          <w:i/>
          <w:iCs/>
          <w:color w:val="202022"/>
          <w:sz w:val="21"/>
          <w:szCs w:val="21"/>
        </w:rPr>
        <w:t>una prenda de orgullo para lo sociedad guanajuatense y un área de</w:t>
      </w:r>
      <w:r>
        <w:rPr>
          <w:rFonts w:ascii="Abadi" w:hAnsi="Abadi" w:cs="*Microsoft Sans Serif-Italic-10"/>
          <w:i/>
          <w:iCs/>
          <w:color w:val="202022"/>
          <w:sz w:val="21"/>
          <w:szCs w:val="21"/>
        </w:rPr>
        <w:t xml:space="preserve"> </w:t>
      </w:r>
      <w:r w:rsidRPr="003C596E">
        <w:rPr>
          <w:rFonts w:ascii="Abadi" w:hAnsi="Abadi" w:cs="*Microsoft Sans Serif-Italic-10"/>
          <w:i/>
          <w:iCs/>
          <w:color w:val="202022"/>
          <w:sz w:val="21"/>
          <w:szCs w:val="21"/>
        </w:rPr>
        <w:t>oportunidad muy importante, que podemos fortalecer desde el marco</w:t>
      </w:r>
      <w:r>
        <w:rPr>
          <w:rFonts w:ascii="Abadi" w:hAnsi="Abadi" w:cs="*Microsoft Sans Serif-Italic-10"/>
          <w:i/>
          <w:iCs/>
          <w:color w:val="202022"/>
          <w:sz w:val="21"/>
          <w:szCs w:val="21"/>
        </w:rPr>
        <w:t xml:space="preserve"> </w:t>
      </w:r>
      <w:r w:rsidRPr="003C596E">
        <w:rPr>
          <w:rFonts w:ascii="Abadi" w:hAnsi="Abadi" w:cs="*Microsoft Sans Serif-Italic-10"/>
          <w:i/>
          <w:iCs/>
          <w:color w:val="202022"/>
          <w:sz w:val="21"/>
          <w:szCs w:val="21"/>
        </w:rPr>
        <w:t xml:space="preserve">normativo, </w:t>
      </w:r>
      <w:r w:rsidRPr="003C596E">
        <w:rPr>
          <w:rFonts w:ascii="Abadi" w:hAnsi="Abadi" w:cs="*Calibri-10103-Identity-H"/>
          <w:color w:val="202022"/>
          <w:sz w:val="21"/>
          <w:szCs w:val="21"/>
        </w:rPr>
        <w:t xml:space="preserve">no </w:t>
      </w:r>
      <w:r w:rsidRPr="003C596E">
        <w:rPr>
          <w:rFonts w:ascii="Abadi" w:hAnsi="Abadi" w:cs="*Microsoft Sans Serif-Italic-10"/>
          <w:i/>
          <w:iCs/>
          <w:color w:val="202022"/>
          <w:sz w:val="21"/>
          <w:szCs w:val="21"/>
        </w:rPr>
        <w:t xml:space="preserve">pensando en imponer o en reinventar </w:t>
      </w:r>
      <w:r w:rsidRPr="003C596E">
        <w:rPr>
          <w:rFonts w:ascii="Abadi" w:hAnsi="Abadi" w:cs="*Calibri-10103-Identity-H"/>
          <w:color w:val="202022"/>
          <w:sz w:val="21"/>
          <w:szCs w:val="21"/>
        </w:rPr>
        <w:t xml:space="preserve">lo </w:t>
      </w:r>
      <w:r w:rsidRPr="003C596E">
        <w:rPr>
          <w:rFonts w:ascii="Abadi" w:hAnsi="Abadi" w:cs="*Microsoft Sans Serif-Italic-10"/>
          <w:i/>
          <w:iCs/>
          <w:color w:val="202022"/>
          <w:sz w:val="21"/>
          <w:szCs w:val="21"/>
        </w:rPr>
        <w:t xml:space="preserve">ruedo, sino </w:t>
      </w:r>
      <w:r w:rsidRPr="003C596E">
        <w:rPr>
          <w:rFonts w:ascii="Abadi" w:hAnsi="Abadi" w:cs="*Calibri-10103-Identity-H"/>
          <w:color w:val="202022"/>
          <w:sz w:val="21"/>
          <w:szCs w:val="21"/>
        </w:rPr>
        <w:t>en</w:t>
      </w:r>
      <w:r>
        <w:rPr>
          <w:rFonts w:ascii="Abadi" w:hAnsi="Abadi" w:cs="*Calibri-10103-Identity-H"/>
          <w:color w:val="202022"/>
          <w:sz w:val="21"/>
          <w:szCs w:val="21"/>
        </w:rPr>
        <w:t xml:space="preserve"> </w:t>
      </w:r>
      <w:r w:rsidRPr="003C596E">
        <w:rPr>
          <w:rFonts w:ascii="Abadi" w:hAnsi="Abadi" w:cs="*Microsoft Sans Serif-Italic-10"/>
          <w:i/>
          <w:iCs/>
          <w:color w:val="202022"/>
          <w:sz w:val="21"/>
          <w:szCs w:val="21"/>
        </w:rPr>
        <w:t>respaldar los esfuerzos que yo se realizan en este tema, dotarlos de</w:t>
      </w:r>
      <w:r>
        <w:rPr>
          <w:rFonts w:ascii="Abadi" w:hAnsi="Abadi" w:cs="*Microsoft Sans Serif-Italic-10"/>
          <w:i/>
          <w:iCs/>
          <w:color w:val="202022"/>
          <w:sz w:val="21"/>
          <w:szCs w:val="21"/>
        </w:rPr>
        <w:t xml:space="preserve"> </w:t>
      </w:r>
      <w:r w:rsidRPr="003C596E">
        <w:rPr>
          <w:rFonts w:ascii="Abadi" w:hAnsi="Abadi" w:cs="*Microsoft Sans Serif-Italic-10"/>
          <w:i/>
          <w:iCs/>
          <w:color w:val="202022"/>
          <w:sz w:val="21"/>
          <w:szCs w:val="21"/>
        </w:rPr>
        <w:t xml:space="preserve">mayor certeza y permitir que </w:t>
      </w:r>
      <w:r w:rsidRPr="003C596E">
        <w:rPr>
          <w:rFonts w:ascii="Abadi" w:hAnsi="Abadi" w:cs="*Calibri-10103-Identity-H"/>
          <w:color w:val="202022"/>
          <w:sz w:val="21"/>
          <w:szCs w:val="21"/>
        </w:rPr>
        <w:t xml:space="preserve">más </w:t>
      </w:r>
      <w:r w:rsidRPr="003C596E">
        <w:rPr>
          <w:rFonts w:ascii="Abadi" w:hAnsi="Abadi" w:cs="*Microsoft Sans Serif-Italic-10"/>
          <w:i/>
          <w:iCs/>
          <w:color w:val="202022"/>
          <w:sz w:val="21"/>
          <w:szCs w:val="21"/>
        </w:rPr>
        <w:t xml:space="preserve">familias tengan </w:t>
      </w:r>
      <w:r w:rsidRPr="003C596E">
        <w:rPr>
          <w:rFonts w:ascii="Abadi" w:hAnsi="Abadi" w:cs="*Calibri-10103-Identity-H"/>
          <w:color w:val="202022"/>
          <w:sz w:val="21"/>
          <w:szCs w:val="21"/>
        </w:rPr>
        <w:t xml:space="preserve">acceso </w:t>
      </w:r>
      <w:r w:rsidRPr="003C596E">
        <w:rPr>
          <w:rFonts w:ascii="Abadi" w:hAnsi="Abadi" w:cs="*Microsoft Sans Serif-Italic-10"/>
          <w:i/>
          <w:iCs/>
          <w:color w:val="202022"/>
          <w:sz w:val="21"/>
          <w:szCs w:val="21"/>
        </w:rPr>
        <w:t xml:space="preserve">a </w:t>
      </w:r>
      <w:r w:rsidRPr="003C596E">
        <w:rPr>
          <w:rFonts w:ascii="Abadi" w:hAnsi="Abadi" w:cs="*Calibri-10103-Identity-H"/>
          <w:color w:val="202022"/>
          <w:sz w:val="21"/>
          <w:szCs w:val="21"/>
        </w:rPr>
        <w:t>l</w:t>
      </w:r>
      <w:r>
        <w:rPr>
          <w:rFonts w:ascii="Abadi" w:hAnsi="Abadi" w:cs="*Calibri-10103-Identity-H"/>
          <w:color w:val="202022"/>
          <w:sz w:val="21"/>
          <w:szCs w:val="21"/>
        </w:rPr>
        <w:t>a</w:t>
      </w:r>
      <w:r w:rsidRPr="003C596E">
        <w:rPr>
          <w:rFonts w:ascii="Abadi" w:hAnsi="Abadi" w:cs="*Calibri-10103-Identity-H"/>
          <w:color w:val="202022"/>
          <w:sz w:val="21"/>
          <w:szCs w:val="21"/>
        </w:rPr>
        <w:t xml:space="preserve"> </w:t>
      </w:r>
      <w:r w:rsidRPr="003C596E">
        <w:rPr>
          <w:rFonts w:ascii="Abadi" w:hAnsi="Abadi" w:cs="*Microsoft Sans Serif-Italic-10"/>
          <w:i/>
          <w:iCs/>
          <w:color w:val="202022"/>
          <w:sz w:val="21"/>
          <w:szCs w:val="21"/>
        </w:rPr>
        <w:t>comid</w:t>
      </w:r>
      <w:r>
        <w:rPr>
          <w:rFonts w:ascii="Abadi" w:hAnsi="Abadi" w:cs="*Microsoft Sans Serif-Italic-10"/>
          <w:i/>
          <w:iCs/>
          <w:color w:val="202022"/>
          <w:sz w:val="21"/>
          <w:szCs w:val="21"/>
        </w:rPr>
        <w:t xml:space="preserve">a </w:t>
      </w:r>
      <w:r w:rsidRPr="003C596E">
        <w:rPr>
          <w:rFonts w:ascii="Abadi" w:hAnsi="Abadi" w:cs="*Microsoft Sans Serif-Italic-10"/>
          <w:i/>
          <w:iCs/>
          <w:color w:val="202022"/>
          <w:sz w:val="21"/>
          <w:szCs w:val="21"/>
        </w:rPr>
        <w:t xml:space="preserve">que les permito alejar el hombre, recuperar </w:t>
      </w:r>
      <w:r w:rsidRPr="003C596E">
        <w:rPr>
          <w:rFonts w:ascii="Abadi" w:hAnsi="Abadi" w:cs="*Calibri-10103-Identity-H"/>
          <w:color w:val="202022"/>
          <w:sz w:val="21"/>
          <w:szCs w:val="21"/>
        </w:rPr>
        <w:t xml:space="preserve">la </w:t>
      </w:r>
      <w:r w:rsidRPr="003C596E">
        <w:rPr>
          <w:rFonts w:ascii="Abadi" w:hAnsi="Abadi" w:cs="*Microsoft Sans Serif-Italic-10"/>
          <w:i/>
          <w:iCs/>
          <w:color w:val="202022"/>
          <w:sz w:val="21"/>
          <w:szCs w:val="21"/>
        </w:rPr>
        <w:t>tranquilidad y renovar</w:t>
      </w:r>
      <w:r>
        <w:rPr>
          <w:rFonts w:ascii="Abadi" w:hAnsi="Abadi" w:cs="*Microsoft Sans Serif-Italic-10"/>
          <w:i/>
          <w:iCs/>
          <w:color w:val="202022"/>
          <w:sz w:val="21"/>
          <w:szCs w:val="21"/>
        </w:rPr>
        <w:t xml:space="preserve"> </w:t>
      </w:r>
      <w:r w:rsidRPr="003C596E">
        <w:rPr>
          <w:rFonts w:ascii="Abadi" w:hAnsi="Abadi" w:cs="*Microsoft Sans Serif-Italic-10"/>
          <w:i/>
          <w:iCs/>
          <w:color w:val="202022"/>
          <w:sz w:val="21"/>
          <w:szCs w:val="21"/>
        </w:rPr>
        <w:t xml:space="preserve">fuerzas para perseverar en </w:t>
      </w:r>
      <w:r w:rsidRPr="003C596E">
        <w:rPr>
          <w:rFonts w:ascii="Abadi" w:hAnsi="Abadi" w:cs="*Calibri-10103-Identity-H"/>
          <w:color w:val="202022"/>
          <w:sz w:val="21"/>
          <w:szCs w:val="21"/>
        </w:rPr>
        <w:t xml:space="preserve">la </w:t>
      </w:r>
      <w:r w:rsidRPr="003C596E">
        <w:rPr>
          <w:rFonts w:ascii="Abadi" w:hAnsi="Abadi" w:cs="*Microsoft Sans Serif-Italic-10"/>
          <w:i/>
          <w:iCs/>
          <w:color w:val="202022"/>
          <w:sz w:val="21"/>
          <w:szCs w:val="21"/>
        </w:rPr>
        <w:t>ruta hacia su desarrollo.</w:t>
      </w:r>
    </w:p>
    <w:p w14:paraId="42B9CDE0" w14:textId="77777777" w:rsidR="0084091D" w:rsidRPr="003C596E" w:rsidRDefault="0084091D" w:rsidP="0084091D">
      <w:pPr>
        <w:autoSpaceDE w:val="0"/>
        <w:autoSpaceDN w:val="0"/>
        <w:adjustRightInd w:val="0"/>
        <w:ind w:left="709"/>
        <w:jc w:val="both"/>
        <w:rPr>
          <w:rFonts w:ascii="Abadi" w:hAnsi="Abadi" w:cs="*Microsoft Sans Serif-Italic-10"/>
          <w:i/>
          <w:iCs/>
          <w:color w:val="202022"/>
          <w:sz w:val="21"/>
          <w:szCs w:val="21"/>
        </w:rPr>
      </w:pPr>
    </w:p>
    <w:p w14:paraId="6D1BD141" w14:textId="77777777" w:rsidR="0084091D" w:rsidRPr="003C596E" w:rsidRDefault="0084091D" w:rsidP="0084091D">
      <w:pPr>
        <w:autoSpaceDE w:val="0"/>
        <w:autoSpaceDN w:val="0"/>
        <w:adjustRightInd w:val="0"/>
        <w:ind w:left="709"/>
        <w:jc w:val="both"/>
        <w:rPr>
          <w:rFonts w:ascii="Abadi" w:hAnsi="Abadi" w:cs="*Microsoft Sans Serif-Italic-10"/>
          <w:i/>
          <w:iCs/>
          <w:color w:val="212022"/>
          <w:sz w:val="21"/>
          <w:szCs w:val="21"/>
        </w:rPr>
      </w:pPr>
      <w:r w:rsidRPr="003C596E">
        <w:rPr>
          <w:rFonts w:ascii="Abadi" w:hAnsi="Abadi" w:cs="*Microsoft Sans Serif-Italic-10"/>
          <w:i/>
          <w:iCs/>
          <w:color w:val="212022"/>
          <w:sz w:val="21"/>
          <w:szCs w:val="21"/>
        </w:rPr>
        <w:t>Con este objetivo, quienes integramos el Grupo Parlamentario del Partido</w:t>
      </w:r>
      <w:r>
        <w:rPr>
          <w:rFonts w:ascii="Abadi" w:hAnsi="Abadi" w:cs="*Microsoft Sans Serif-Italic-10"/>
          <w:i/>
          <w:iCs/>
          <w:color w:val="212022"/>
          <w:sz w:val="21"/>
          <w:szCs w:val="21"/>
        </w:rPr>
        <w:t xml:space="preserve"> </w:t>
      </w:r>
      <w:r w:rsidRPr="003C596E">
        <w:rPr>
          <w:rFonts w:ascii="Abadi" w:hAnsi="Abadi" w:cs="*Microsoft Sans Serif-Italic-10"/>
          <w:i/>
          <w:iCs/>
          <w:color w:val="212022"/>
          <w:sz w:val="21"/>
          <w:szCs w:val="21"/>
        </w:rPr>
        <w:t xml:space="preserve">Acción </w:t>
      </w:r>
      <w:r w:rsidRPr="003C596E">
        <w:rPr>
          <w:rFonts w:ascii="Abadi" w:hAnsi="Abadi" w:cs="*Calibri-10103-Identity-H"/>
          <w:color w:val="212022"/>
          <w:sz w:val="21"/>
          <w:szCs w:val="21"/>
        </w:rPr>
        <w:t xml:space="preserve">Nacional en la </w:t>
      </w:r>
      <w:r w:rsidRPr="003C596E">
        <w:rPr>
          <w:rFonts w:ascii="Abadi" w:hAnsi="Abadi" w:cs="*Microsoft Sans Serif-Italic-10"/>
          <w:i/>
          <w:iCs/>
          <w:color w:val="212022"/>
          <w:sz w:val="21"/>
          <w:szCs w:val="21"/>
        </w:rPr>
        <w:t>sexagésima cuarta legislatura del Congreso del</w:t>
      </w:r>
      <w:r>
        <w:rPr>
          <w:rFonts w:ascii="Abadi" w:hAnsi="Abadi" w:cs="*Microsoft Sans Serif-Italic-10"/>
          <w:i/>
          <w:iCs/>
          <w:color w:val="212022"/>
          <w:sz w:val="21"/>
          <w:szCs w:val="21"/>
        </w:rPr>
        <w:t xml:space="preserve"> </w:t>
      </w:r>
      <w:r w:rsidRPr="003C596E">
        <w:rPr>
          <w:rFonts w:ascii="Abadi" w:hAnsi="Abadi" w:cs="*Microsoft Sans Serif-Italic-10"/>
          <w:i/>
          <w:iCs/>
          <w:color w:val="212022"/>
          <w:sz w:val="21"/>
          <w:szCs w:val="21"/>
        </w:rPr>
        <w:t>Estado, proponemos a través de esta iniciativa la creación de una ley</w:t>
      </w:r>
      <w:r>
        <w:rPr>
          <w:rFonts w:ascii="Abadi" w:hAnsi="Abadi" w:cs="*Microsoft Sans Serif-Italic-10"/>
          <w:i/>
          <w:iCs/>
          <w:color w:val="212022"/>
          <w:sz w:val="21"/>
          <w:szCs w:val="21"/>
        </w:rPr>
        <w:t xml:space="preserve"> </w:t>
      </w:r>
      <w:r w:rsidRPr="003C596E">
        <w:rPr>
          <w:rFonts w:ascii="Abadi" w:hAnsi="Abadi" w:cs="*Microsoft Sans Serif-Italic-10"/>
          <w:i/>
          <w:iCs/>
          <w:color w:val="212022"/>
          <w:sz w:val="21"/>
          <w:szCs w:val="21"/>
        </w:rPr>
        <w:t xml:space="preserve">que se enfoque de manera específico </w:t>
      </w:r>
      <w:r w:rsidRPr="003C596E">
        <w:rPr>
          <w:rFonts w:ascii="Abadi" w:hAnsi="Abadi" w:cs="*Times New Roman-10098-Identity"/>
          <w:color w:val="212022"/>
          <w:sz w:val="21"/>
          <w:szCs w:val="21"/>
        </w:rPr>
        <w:t xml:space="preserve">a </w:t>
      </w:r>
      <w:r w:rsidRPr="003C596E">
        <w:rPr>
          <w:rFonts w:ascii="Abadi" w:hAnsi="Abadi" w:cs="*Calibri-10103-Identity-H"/>
          <w:color w:val="212022"/>
          <w:sz w:val="21"/>
          <w:szCs w:val="21"/>
        </w:rPr>
        <w:t xml:space="preserve">la </w:t>
      </w:r>
      <w:r w:rsidRPr="003C596E">
        <w:rPr>
          <w:rFonts w:ascii="Abadi" w:hAnsi="Abadi" w:cs="*Microsoft Sans Serif-Italic-10"/>
          <w:i/>
          <w:iCs/>
          <w:color w:val="212022"/>
          <w:sz w:val="21"/>
          <w:szCs w:val="21"/>
        </w:rPr>
        <w:t>Protección, Apoyo y Fomento</w:t>
      </w:r>
      <w:r>
        <w:rPr>
          <w:rFonts w:ascii="Abadi" w:hAnsi="Abadi" w:cs="*Microsoft Sans Serif-Italic-10"/>
          <w:i/>
          <w:iCs/>
          <w:color w:val="212022"/>
          <w:sz w:val="21"/>
          <w:szCs w:val="21"/>
        </w:rPr>
        <w:t xml:space="preserve"> </w:t>
      </w:r>
      <w:r w:rsidRPr="003C596E">
        <w:rPr>
          <w:rFonts w:ascii="Abadi" w:hAnsi="Abadi" w:cs="*Times New Roman-10097-Identity"/>
          <w:color w:val="212022"/>
          <w:sz w:val="21"/>
          <w:szCs w:val="21"/>
        </w:rPr>
        <w:t xml:space="preserve">a </w:t>
      </w:r>
      <w:r w:rsidRPr="003C596E">
        <w:rPr>
          <w:rFonts w:ascii="Abadi" w:hAnsi="Abadi" w:cs="*Calibri-10103-Identity-H"/>
          <w:color w:val="212022"/>
          <w:sz w:val="21"/>
          <w:szCs w:val="21"/>
        </w:rPr>
        <w:t xml:space="preserve">la </w:t>
      </w:r>
      <w:r w:rsidRPr="003C596E">
        <w:rPr>
          <w:rFonts w:ascii="Abadi" w:hAnsi="Abadi" w:cs="*Microsoft Sans Serif-Italic-10"/>
          <w:i/>
          <w:iCs/>
          <w:color w:val="212022"/>
          <w:sz w:val="21"/>
          <w:szCs w:val="21"/>
        </w:rPr>
        <w:t>Donación de Alimentos en el Estado de Guanajuato.</w:t>
      </w:r>
    </w:p>
    <w:p w14:paraId="5F37A45F" w14:textId="77777777" w:rsidR="0084091D" w:rsidRPr="003C596E" w:rsidRDefault="0084091D" w:rsidP="0084091D">
      <w:pPr>
        <w:ind w:left="709"/>
        <w:jc w:val="both"/>
        <w:rPr>
          <w:rFonts w:ascii="Abadi" w:hAnsi="Abadi" w:cs="*Microsoft Sans Serif-Italic-10"/>
          <w:i/>
          <w:iCs/>
          <w:color w:val="212022"/>
          <w:sz w:val="21"/>
          <w:szCs w:val="21"/>
        </w:rPr>
      </w:pPr>
    </w:p>
    <w:p w14:paraId="74A9B0CB" w14:textId="1FE35BA3" w:rsidR="0084091D" w:rsidRDefault="0084091D" w:rsidP="0084091D">
      <w:pPr>
        <w:autoSpaceDE w:val="0"/>
        <w:autoSpaceDN w:val="0"/>
        <w:adjustRightInd w:val="0"/>
        <w:ind w:left="709"/>
        <w:jc w:val="both"/>
        <w:rPr>
          <w:rFonts w:ascii="Abadi" w:hAnsi="Abadi" w:cs="*Microsoft Sans Serif-Italic-11"/>
          <w:i/>
          <w:iCs/>
          <w:color w:val="202021"/>
          <w:sz w:val="21"/>
          <w:szCs w:val="21"/>
        </w:rPr>
      </w:pPr>
      <w:r w:rsidRPr="003C596E">
        <w:rPr>
          <w:rFonts w:ascii="Abadi" w:hAnsi="Abadi" w:cs="*Microsoft Sans Serif-Italic-11"/>
          <w:i/>
          <w:iCs/>
          <w:color w:val="202021"/>
          <w:sz w:val="21"/>
          <w:szCs w:val="21"/>
        </w:rPr>
        <w:t>Dicha ley contemplaría las bases para apoyar y fomentar la donación de</w:t>
      </w:r>
      <w:r>
        <w:rPr>
          <w:rFonts w:ascii="Abadi" w:hAnsi="Abadi" w:cs="*Microsoft Sans Serif-Italic-11"/>
          <w:i/>
          <w:iCs/>
          <w:color w:val="202021"/>
          <w:sz w:val="21"/>
          <w:szCs w:val="21"/>
        </w:rPr>
        <w:t xml:space="preserve"> </w:t>
      </w:r>
      <w:r w:rsidRPr="003C596E">
        <w:rPr>
          <w:rFonts w:ascii="Abadi" w:hAnsi="Abadi" w:cs="*Microsoft Sans Serif-Italic-11"/>
          <w:i/>
          <w:iCs/>
          <w:color w:val="202021"/>
          <w:sz w:val="21"/>
          <w:szCs w:val="21"/>
        </w:rPr>
        <w:t>alimentos en beneficio de las comunidades con un alto índice de</w:t>
      </w:r>
      <w:r>
        <w:rPr>
          <w:rFonts w:ascii="Abadi" w:hAnsi="Abadi" w:cs="*Microsoft Sans Serif-Italic-11"/>
          <w:i/>
          <w:iCs/>
          <w:color w:val="202021"/>
          <w:sz w:val="21"/>
          <w:szCs w:val="21"/>
        </w:rPr>
        <w:t xml:space="preserve"> </w:t>
      </w:r>
      <w:r w:rsidRPr="003C596E">
        <w:rPr>
          <w:rFonts w:ascii="Abadi" w:hAnsi="Abadi" w:cs="*Microsoft Sans Serif-Italic-11"/>
          <w:i/>
          <w:iCs/>
          <w:color w:val="202021"/>
          <w:sz w:val="21"/>
          <w:szCs w:val="21"/>
        </w:rPr>
        <w:t>marginación, estableciendo</w:t>
      </w:r>
      <w:r>
        <w:rPr>
          <w:rFonts w:ascii="Abadi" w:hAnsi="Abadi" w:cs="*Microsoft Sans Serif-Italic-11"/>
          <w:i/>
          <w:iCs/>
          <w:color w:val="202021"/>
          <w:sz w:val="21"/>
          <w:szCs w:val="21"/>
        </w:rPr>
        <w:t xml:space="preserve"> las </w:t>
      </w:r>
      <w:r w:rsidRPr="003C596E">
        <w:rPr>
          <w:rFonts w:ascii="Abadi" w:hAnsi="Abadi" w:cs="*Microsoft Sans Serif-Italic-11"/>
          <w:i/>
          <w:iCs/>
          <w:color w:val="202021"/>
          <w:sz w:val="21"/>
          <w:szCs w:val="21"/>
        </w:rPr>
        <w:t>bases de colaboración entre el Ejecutivo</w:t>
      </w:r>
      <w:r>
        <w:rPr>
          <w:rFonts w:ascii="Abadi" w:hAnsi="Abadi" w:cs="*Microsoft Sans Serif-Italic-11"/>
          <w:i/>
          <w:iCs/>
          <w:color w:val="202021"/>
          <w:sz w:val="21"/>
          <w:szCs w:val="21"/>
        </w:rPr>
        <w:t xml:space="preserve"> </w:t>
      </w:r>
      <w:r w:rsidRPr="003C596E">
        <w:rPr>
          <w:rFonts w:ascii="Abadi" w:hAnsi="Abadi" w:cs="*Microsoft Sans Serif-Italic-11"/>
          <w:i/>
          <w:iCs/>
          <w:color w:val="202021"/>
          <w:sz w:val="21"/>
          <w:szCs w:val="21"/>
        </w:rPr>
        <w:t xml:space="preserve">del Estado y </w:t>
      </w:r>
      <w:r>
        <w:rPr>
          <w:rFonts w:ascii="Abadi" w:hAnsi="Abadi" w:cs="*Microsoft Sans Serif-Italic-11"/>
          <w:i/>
          <w:iCs/>
          <w:color w:val="202021"/>
          <w:sz w:val="21"/>
          <w:szCs w:val="21"/>
        </w:rPr>
        <w:t>l</w:t>
      </w:r>
      <w:r w:rsidRPr="003C596E">
        <w:rPr>
          <w:rFonts w:ascii="Abadi" w:hAnsi="Abadi" w:cs="*Microsoft Sans Serif-Italic-11"/>
          <w:i/>
          <w:iCs/>
          <w:color w:val="202021"/>
          <w:sz w:val="21"/>
          <w:szCs w:val="21"/>
        </w:rPr>
        <w:t xml:space="preserve">os gobiernos municipales </w:t>
      </w:r>
      <w:r w:rsidRPr="003C596E">
        <w:rPr>
          <w:rFonts w:ascii="Abadi" w:hAnsi="Abadi" w:cs="*Calibri-11053-Identity-H"/>
          <w:color w:val="202021"/>
          <w:sz w:val="21"/>
          <w:szCs w:val="21"/>
        </w:rPr>
        <w:t xml:space="preserve">con </w:t>
      </w:r>
      <w:r w:rsidRPr="003C596E">
        <w:rPr>
          <w:rFonts w:ascii="Abadi" w:hAnsi="Abadi" w:cs="*Microsoft Sans Serif-Italic-11"/>
          <w:i/>
          <w:iCs/>
          <w:color w:val="202021"/>
          <w:sz w:val="21"/>
          <w:szCs w:val="21"/>
        </w:rPr>
        <w:t>establecimientos comerciales.</w:t>
      </w:r>
    </w:p>
    <w:p w14:paraId="2CF0453F" w14:textId="77777777" w:rsidR="0084091D" w:rsidRPr="003C596E" w:rsidRDefault="0084091D" w:rsidP="0084091D">
      <w:pPr>
        <w:autoSpaceDE w:val="0"/>
        <w:autoSpaceDN w:val="0"/>
        <w:adjustRightInd w:val="0"/>
        <w:ind w:left="709"/>
        <w:jc w:val="both"/>
        <w:rPr>
          <w:rFonts w:ascii="Abadi" w:hAnsi="Abadi" w:cs="*Microsoft Sans Serif-Italic-11"/>
          <w:i/>
          <w:iCs/>
          <w:color w:val="202021"/>
          <w:sz w:val="21"/>
          <w:szCs w:val="21"/>
        </w:rPr>
      </w:pPr>
    </w:p>
    <w:p w14:paraId="189D5223" w14:textId="77777777" w:rsidR="0084091D" w:rsidRDefault="0084091D" w:rsidP="0084091D">
      <w:pPr>
        <w:autoSpaceDE w:val="0"/>
        <w:autoSpaceDN w:val="0"/>
        <w:adjustRightInd w:val="0"/>
        <w:ind w:left="709"/>
        <w:jc w:val="both"/>
        <w:rPr>
          <w:rFonts w:ascii="Abadi" w:hAnsi="Abadi" w:cs="*Microsoft Sans Serif-Italic-11"/>
          <w:i/>
          <w:iCs/>
          <w:color w:val="201F21"/>
          <w:sz w:val="21"/>
          <w:szCs w:val="21"/>
        </w:rPr>
      </w:pPr>
      <w:r w:rsidRPr="003C596E">
        <w:rPr>
          <w:rFonts w:ascii="Abadi" w:hAnsi="Abadi" w:cs="*Microsoft Sans Serif-Italic-11"/>
          <w:i/>
          <w:iCs/>
          <w:color w:val="201F21"/>
          <w:sz w:val="21"/>
          <w:szCs w:val="21"/>
        </w:rPr>
        <w:t>Además, permitirá fomentar</w:t>
      </w:r>
      <w:r>
        <w:rPr>
          <w:rFonts w:ascii="Abadi" w:hAnsi="Abadi" w:cs="*Microsoft Sans Serif-Italic-11"/>
          <w:i/>
          <w:iCs/>
          <w:color w:val="201F21"/>
          <w:sz w:val="21"/>
          <w:szCs w:val="21"/>
        </w:rPr>
        <w:t xml:space="preserve"> la</w:t>
      </w:r>
      <w:r w:rsidRPr="003C596E">
        <w:rPr>
          <w:rFonts w:ascii="Abadi" w:hAnsi="Abadi" w:cs="*Times New Roman-11050-Identity"/>
          <w:color w:val="201F21"/>
          <w:sz w:val="21"/>
          <w:szCs w:val="21"/>
        </w:rPr>
        <w:t xml:space="preserve"> </w:t>
      </w:r>
      <w:r w:rsidRPr="003C596E">
        <w:rPr>
          <w:rFonts w:ascii="Abadi" w:hAnsi="Abadi" w:cs="*Microsoft Sans Serif-Italic-11"/>
          <w:i/>
          <w:iCs/>
          <w:color w:val="201F21"/>
          <w:sz w:val="21"/>
          <w:szCs w:val="21"/>
        </w:rPr>
        <w:t>recuperación de alimentos en los</w:t>
      </w:r>
      <w:r>
        <w:rPr>
          <w:rFonts w:ascii="Abadi" w:hAnsi="Abadi" w:cs="*Microsoft Sans Serif-Italic-11"/>
          <w:i/>
          <w:iCs/>
          <w:color w:val="201F21"/>
          <w:sz w:val="21"/>
          <w:szCs w:val="21"/>
        </w:rPr>
        <w:t xml:space="preserve"> </w:t>
      </w:r>
      <w:r w:rsidRPr="003C596E">
        <w:rPr>
          <w:rFonts w:ascii="Abadi" w:hAnsi="Abadi" w:cs="*Microsoft Sans Serif-Italic-11"/>
          <w:i/>
          <w:iCs/>
          <w:color w:val="201F21"/>
          <w:sz w:val="21"/>
          <w:szCs w:val="21"/>
        </w:rPr>
        <w:t>establecimientos comercia</w:t>
      </w:r>
      <w:r>
        <w:rPr>
          <w:rFonts w:ascii="Abadi" w:hAnsi="Abadi" w:cs="*Microsoft Sans Serif-Italic-11"/>
          <w:i/>
          <w:iCs/>
          <w:color w:val="201F21"/>
          <w:sz w:val="21"/>
          <w:szCs w:val="21"/>
        </w:rPr>
        <w:t>l</w:t>
      </w:r>
      <w:r w:rsidRPr="003C596E">
        <w:rPr>
          <w:rFonts w:ascii="Abadi" w:hAnsi="Abadi" w:cs="*Microsoft Sans Serif-Italic-11"/>
          <w:i/>
          <w:iCs/>
          <w:color w:val="201F21"/>
          <w:sz w:val="21"/>
          <w:szCs w:val="21"/>
        </w:rPr>
        <w:t>es y refrenda la obligación de que el Estado y</w:t>
      </w:r>
      <w:r>
        <w:rPr>
          <w:rFonts w:ascii="Abadi" w:hAnsi="Abadi" w:cs="*Microsoft Sans Serif-Italic-11"/>
          <w:i/>
          <w:iCs/>
          <w:color w:val="201F21"/>
          <w:sz w:val="21"/>
          <w:szCs w:val="21"/>
        </w:rPr>
        <w:t xml:space="preserve"> </w:t>
      </w:r>
      <w:r>
        <w:rPr>
          <w:rFonts w:ascii="Abadi" w:hAnsi="Abadi" w:cs="*Calibri-11053-Identity-H"/>
          <w:color w:val="201F21"/>
          <w:sz w:val="21"/>
          <w:szCs w:val="21"/>
        </w:rPr>
        <w:t>los</w:t>
      </w:r>
      <w:r w:rsidRPr="003C596E">
        <w:rPr>
          <w:rFonts w:ascii="Abadi" w:hAnsi="Abadi" w:cs="*Calibri-11053-Identity-H"/>
          <w:color w:val="201F21"/>
          <w:sz w:val="21"/>
          <w:szCs w:val="21"/>
        </w:rPr>
        <w:t xml:space="preserve"> municipios </w:t>
      </w:r>
      <w:r w:rsidRPr="003C596E">
        <w:rPr>
          <w:rFonts w:ascii="Abadi" w:hAnsi="Abadi" w:cs="*Microsoft Sans Serif-Italic-11"/>
          <w:i/>
          <w:iCs/>
          <w:color w:val="201F21"/>
          <w:sz w:val="21"/>
          <w:szCs w:val="21"/>
        </w:rPr>
        <w:t>garanticen e</w:t>
      </w:r>
      <w:r>
        <w:rPr>
          <w:rFonts w:ascii="Abadi" w:hAnsi="Abadi" w:cs="*Microsoft Sans Serif-Italic-11"/>
          <w:i/>
          <w:iCs/>
          <w:color w:val="201F21"/>
          <w:sz w:val="21"/>
          <w:szCs w:val="21"/>
        </w:rPr>
        <w:t>l</w:t>
      </w:r>
      <w:r w:rsidRPr="003C596E">
        <w:rPr>
          <w:rFonts w:ascii="Abadi" w:hAnsi="Abadi" w:cs="*Microsoft Sans Serif-Italic-11"/>
          <w:i/>
          <w:iCs/>
          <w:color w:val="201F21"/>
          <w:sz w:val="21"/>
          <w:szCs w:val="21"/>
        </w:rPr>
        <w:t xml:space="preserve"> derecho a la alimentación </w:t>
      </w:r>
      <w:r w:rsidRPr="003C596E">
        <w:rPr>
          <w:rFonts w:ascii="Abadi" w:hAnsi="Abadi" w:cs="*Calibri-11053-Identity-H"/>
          <w:color w:val="201F21"/>
          <w:sz w:val="21"/>
          <w:szCs w:val="21"/>
        </w:rPr>
        <w:t xml:space="preserve">o </w:t>
      </w:r>
      <w:r w:rsidRPr="003C596E">
        <w:rPr>
          <w:rFonts w:ascii="Abadi" w:hAnsi="Abadi" w:cs="*Microsoft Sans Serif-Italic-11"/>
          <w:i/>
          <w:iCs/>
          <w:color w:val="201F21"/>
          <w:sz w:val="21"/>
          <w:szCs w:val="21"/>
        </w:rPr>
        <w:t xml:space="preserve">través de </w:t>
      </w:r>
      <w:r>
        <w:rPr>
          <w:rFonts w:ascii="Abadi" w:hAnsi="Abadi" w:cs="*Calibri-11053-Identity-H"/>
          <w:color w:val="201F21"/>
          <w:sz w:val="21"/>
          <w:szCs w:val="21"/>
        </w:rPr>
        <w:t xml:space="preserve">la </w:t>
      </w:r>
      <w:r w:rsidRPr="003C596E">
        <w:rPr>
          <w:rFonts w:ascii="Abadi" w:hAnsi="Abadi" w:cs="*Microsoft Sans Serif-Italic-11"/>
          <w:i/>
          <w:iCs/>
          <w:color w:val="201F21"/>
          <w:sz w:val="21"/>
          <w:szCs w:val="21"/>
        </w:rPr>
        <w:t>recuperación y distribución de alimentos, estableciendo atribuciones</w:t>
      </w:r>
      <w:r>
        <w:rPr>
          <w:rFonts w:ascii="Abadi" w:hAnsi="Abadi" w:cs="*Microsoft Sans Serif-Italic-11"/>
          <w:i/>
          <w:iCs/>
          <w:color w:val="201F21"/>
          <w:sz w:val="21"/>
          <w:szCs w:val="21"/>
        </w:rPr>
        <w:t xml:space="preserve"> </w:t>
      </w:r>
      <w:r w:rsidRPr="003C596E">
        <w:rPr>
          <w:rFonts w:ascii="Abadi" w:hAnsi="Abadi" w:cs="*Microsoft Sans Serif-Italic-11"/>
          <w:i/>
          <w:iCs/>
          <w:color w:val="201F21"/>
          <w:sz w:val="21"/>
          <w:szCs w:val="21"/>
        </w:rPr>
        <w:t>para el titular del Poder Ejecutivo y los ayuntamientos.</w:t>
      </w:r>
    </w:p>
    <w:p w14:paraId="44AAF1E8" w14:textId="77777777" w:rsidR="0084091D" w:rsidRDefault="0084091D" w:rsidP="0084091D">
      <w:pPr>
        <w:autoSpaceDE w:val="0"/>
        <w:autoSpaceDN w:val="0"/>
        <w:adjustRightInd w:val="0"/>
        <w:ind w:left="709"/>
        <w:jc w:val="both"/>
        <w:rPr>
          <w:rFonts w:ascii="Abadi" w:hAnsi="Abadi" w:cs="*Microsoft Sans Serif-Italic-11"/>
          <w:i/>
          <w:iCs/>
          <w:color w:val="212122"/>
          <w:sz w:val="21"/>
          <w:szCs w:val="21"/>
        </w:rPr>
      </w:pPr>
      <w:r w:rsidRPr="003C596E">
        <w:rPr>
          <w:rFonts w:ascii="Abadi" w:hAnsi="Abadi" w:cs="*Microsoft Sans Serif-Italic-11"/>
          <w:i/>
          <w:iCs/>
          <w:color w:val="212122"/>
          <w:sz w:val="21"/>
          <w:szCs w:val="21"/>
        </w:rPr>
        <w:t xml:space="preserve">Asimismo, proponemos establecer Comité de </w:t>
      </w:r>
      <w:r w:rsidRPr="003C596E">
        <w:rPr>
          <w:rFonts w:ascii="Abadi" w:hAnsi="Abadi" w:cs="*Calibri-11053-Identity-H"/>
          <w:color w:val="212122"/>
          <w:sz w:val="21"/>
          <w:szCs w:val="21"/>
        </w:rPr>
        <w:t xml:space="preserve">Donación </w:t>
      </w:r>
      <w:r w:rsidRPr="003C596E">
        <w:rPr>
          <w:rFonts w:ascii="Abadi" w:hAnsi="Abadi" w:cs="*Microsoft Sans Serif-Italic-11"/>
          <w:i/>
          <w:iCs/>
          <w:color w:val="212122"/>
          <w:sz w:val="21"/>
          <w:szCs w:val="21"/>
        </w:rPr>
        <w:t>de Alimentos y</w:t>
      </w:r>
      <w:r>
        <w:rPr>
          <w:rFonts w:ascii="Abadi" w:hAnsi="Abadi" w:cs="*Microsoft Sans Serif-Italic-11"/>
          <w:i/>
          <w:iCs/>
          <w:color w:val="212122"/>
          <w:sz w:val="21"/>
          <w:szCs w:val="21"/>
        </w:rPr>
        <w:t xml:space="preserve"> </w:t>
      </w:r>
      <w:r w:rsidRPr="003C596E">
        <w:rPr>
          <w:rFonts w:ascii="Abadi" w:hAnsi="Abadi" w:cs="*Microsoft Sans Serif-Italic-11"/>
          <w:i/>
          <w:iCs/>
          <w:color w:val="212122"/>
          <w:sz w:val="21"/>
          <w:szCs w:val="21"/>
        </w:rPr>
        <w:t xml:space="preserve">Prevención de la Desnutrición, donde participen </w:t>
      </w:r>
      <w:r w:rsidRPr="003C596E">
        <w:rPr>
          <w:rFonts w:ascii="Abadi" w:hAnsi="Abadi" w:cs="*Calibri-11053-Identity-H"/>
          <w:color w:val="212122"/>
          <w:sz w:val="21"/>
          <w:szCs w:val="21"/>
        </w:rPr>
        <w:t xml:space="preserve">autoridades, Bancos </w:t>
      </w:r>
      <w:r w:rsidRPr="003C596E">
        <w:rPr>
          <w:rFonts w:ascii="Abadi" w:hAnsi="Abadi" w:cs="*Microsoft Sans Serif-Italic-11"/>
          <w:i/>
          <w:iCs/>
          <w:color w:val="212122"/>
          <w:sz w:val="21"/>
          <w:szCs w:val="21"/>
        </w:rPr>
        <w:t>de</w:t>
      </w:r>
      <w:r>
        <w:rPr>
          <w:rFonts w:ascii="Abadi" w:hAnsi="Abadi" w:cs="*Microsoft Sans Serif-Italic-11"/>
          <w:i/>
          <w:iCs/>
          <w:color w:val="212122"/>
          <w:sz w:val="21"/>
          <w:szCs w:val="21"/>
        </w:rPr>
        <w:t xml:space="preserve"> </w:t>
      </w:r>
      <w:r w:rsidRPr="003C596E">
        <w:rPr>
          <w:rFonts w:ascii="Abadi" w:hAnsi="Abadi" w:cs="*Microsoft Sans Serif-Italic-11"/>
          <w:i/>
          <w:iCs/>
          <w:color w:val="212122"/>
          <w:sz w:val="21"/>
          <w:szCs w:val="21"/>
        </w:rPr>
        <w:t xml:space="preserve">Alimentos, Organizaciones Civiles y establecimientos comerciales, </w:t>
      </w:r>
      <w:r w:rsidRPr="003C596E">
        <w:rPr>
          <w:rFonts w:ascii="Abadi" w:hAnsi="Abadi" w:cs="*Calibri-11053-Identity-H"/>
          <w:color w:val="212122"/>
          <w:sz w:val="21"/>
          <w:szCs w:val="21"/>
        </w:rPr>
        <w:t xml:space="preserve">con </w:t>
      </w:r>
      <w:r w:rsidRPr="003C596E">
        <w:rPr>
          <w:rFonts w:ascii="Abadi" w:hAnsi="Abadi" w:cs="*Microsoft Sans Serif-Italic-11"/>
          <w:i/>
          <w:iCs/>
          <w:color w:val="212122"/>
          <w:sz w:val="21"/>
          <w:szCs w:val="21"/>
        </w:rPr>
        <w:t>el</w:t>
      </w:r>
      <w:r>
        <w:rPr>
          <w:rFonts w:ascii="Abadi" w:hAnsi="Abadi" w:cs="*Microsoft Sans Serif-Italic-11"/>
          <w:i/>
          <w:iCs/>
          <w:color w:val="212122"/>
          <w:sz w:val="21"/>
          <w:szCs w:val="21"/>
        </w:rPr>
        <w:t xml:space="preserve"> </w:t>
      </w:r>
      <w:r w:rsidRPr="003C596E">
        <w:rPr>
          <w:rFonts w:ascii="Abadi" w:hAnsi="Abadi" w:cs="*Microsoft Sans Serif-Italic-11"/>
          <w:i/>
          <w:iCs/>
          <w:color w:val="212122"/>
          <w:sz w:val="21"/>
          <w:szCs w:val="21"/>
        </w:rPr>
        <w:t xml:space="preserve">objetivo compartido de fomentar </w:t>
      </w:r>
      <w:r w:rsidRPr="003C596E">
        <w:rPr>
          <w:rFonts w:ascii="Abadi" w:hAnsi="Abadi" w:cs="*Calibri-11053-Identity-H"/>
          <w:color w:val="212122"/>
          <w:sz w:val="21"/>
          <w:szCs w:val="21"/>
        </w:rPr>
        <w:t xml:space="preserve">la </w:t>
      </w:r>
      <w:r w:rsidRPr="003C596E">
        <w:rPr>
          <w:rFonts w:ascii="Abadi" w:hAnsi="Abadi" w:cs="*Microsoft Sans Serif-Italic-11"/>
          <w:i/>
          <w:iCs/>
          <w:color w:val="212122"/>
          <w:sz w:val="21"/>
          <w:szCs w:val="21"/>
        </w:rPr>
        <w:t xml:space="preserve">participación de los </w:t>
      </w:r>
      <w:r w:rsidRPr="003C596E">
        <w:rPr>
          <w:rFonts w:ascii="Abadi" w:hAnsi="Abadi" w:cs="*Calibri-11053-Identity-H"/>
          <w:color w:val="212122"/>
          <w:sz w:val="21"/>
          <w:szCs w:val="21"/>
        </w:rPr>
        <w:t>ciudadanos,</w:t>
      </w:r>
      <w:r>
        <w:rPr>
          <w:rFonts w:ascii="Abadi" w:hAnsi="Abadi" w:cs="*Calibri-11053-Identity-H"/>
          <w:color w:val="212122"/>
          <w:sz w:val="21"/>
          <w:szCs w:val="21"/>
        </w:rPr>
        <w:t xml:space="preserve"> </w:t>
      </w:r>
      <w:r w:rsidRPr="003C596E">
        <w:rPr>
          <w:rFonts w:ascii="Abadi" w:hAnsi="Abadi" w:cs="*Microsoft Sans Serif-Italic-11"/>
          <w:i/>
          <w:iCs/>
          <w:color w:val="212122"/>
          <w:sz w:val="21"/>
          <w:szCs w:val="21"/>
        </w:rPr>
        <w:t>familias y organizaciones, para el rescate de alimentos y su</w:t>
      </w:r>
      <w:r>
        <w:rPr>
          <w:rFonts w:ascii="Abadi" w:hAnsi="Abadi" w:cs="*Microsoft Sans Serif-Italic-11"/>
          <w:i/>
          <w:iCs/>
          <w:color w:val="212122"/>
          <w:sz w:val="21"/>
          <w:szCs w:val="21"/>
        </w:rPr>
        <w:t xml:space="preserve"> </w:t>
      </w:r>
      <w:r w:rsidRPr="003C596E">
        <w:rPr>
          <w:rFonts w:ascii="Abadi" w:hAnsi="Abadi" w:cs="*Microsoft Sans Serif-Italic-11"/>
          <w:i/>
          <w:iCs/>
          <w:color w:val="212122"/>
          <w:sz w:val="21"/>
          <w:szCs w:val="21"/>
        </w:rPr>
        <w:t xml:space="preserve">aprovechamiento, incluyendo entre otros </w:t>
      </w:r>
      <w:r w:rsidRPr="003C596E">
        <w:rPr>
          <w:rFonts w:ascii="Abadi" w:hAnsi="Abadi" w:cs="*Calibri-11053-Identity-H"/>
          <w:color w:val="212122"/>
          <w:sz w:val="21"/>
          <w:szCs w:val="21"/>
        </w:rPr>
        <w:t xml:space="preserve">aspectos </w:t>
      </w:r>
      <w:r w:rsidRPr="003C596E">
        <w:rPr>
          <w:rFonts w:ascii="Abadi" w:hAnsi="Abadi" w:cs="*Microsoft Sans Serif-Italic-11"/>
          <w:i/>
          <w:iCs/>
          <w:color w:val="212122"/>
          <w:sz w:val="21"/>
          <w:szCs w:val="21"/>
        </w:rPr>
        <w:t>el impulso de</w:t>
      </w:r>
      <w:r>
        <w:rPr>
          <w:rFonts w:ascii="Abadi" w:hAnsi="Abadi" w:cs="*Microsoft Sans Serif-Italic-11"/>
          <w:i/>
          <w:iCs/>
          <w:color w:val="212122"/>
          <w:sz w:val="21"/>
          <w:szCs w:val="21"/>
        </w:rPr>
        <w:t xml:space="preserve"> </w:t>
      </w:r>
      <w:r w:rsidRPr="003C596E">
        <w:rPr>
          <w:rFonts w:ascii="Abadi" w:hAnsi="Abadi" w:cs="*Microsoft Sans Serif-Italic-11"/>
          <w:i/>
          <w:iCs/>
          <w:color w:val="212122"/>
          <w:sz w:val="21"/>
          <w:szCs w:val="21"/>
        </w:rPr>
        <w:t>comedores populares y de centros de transformación.</w:t>
      </w:r>
    </w:p>
    <w:p w14:paraId="6D0F3C47" w14:textId="77777777" w:rsidR="0084091D" w:rsidRPr="003C596E" w:rsidRDefault="0084091D" w:rsidP="0084091D">
      <w:pPr>
        <w:autoSpaceDE w:val="0"/>
        <w:autoSpaceDN w:val="0"/>
        <w:adjustRightInd w:val="0"/>
        <w:ind w:left="709"/>
        <w:jc w:val="both"/>
        <w:rPr>
          <w:rFonts w:ascii="Abadi" w:hAnsi="Abadi" w:cs="*Microsoft Sans Serif-Italic-11"/>
          <w:i/>
          <w:iCs/>
          <w:color w:val="212122"/>
          <w:sz w:val="21"/>
          <w:szCs w:val="21"/>
        </w:rPr>
      </w:pPr>
    </w:p>
    <w:p w14:paraId="7C885851" w14:textId="77777777" w:rsidR="0084091D" w:rsidRDefault="0084091D" w:rsidP="0084091D">
      <w:pPr>
        <w:autoSpaceDE w:val="0"/>
        <w:autoSpaceDN w:val="0"/>
        <w:adjustRightInd w:val="0"/>
        <w:ind w:left="709"/>
        <w:jc w:val="both"/>
        <w:rPr>
          <w:rFonts w:ascii="Abadi" w:hAnsi="Abadi" w:cs="*Calibri-11053-Identity-H"/>
          <w:color w:val="222225"/>
          <w:sz w:val="21"/>
          <w:szCs w:val="21"/>
        </w:rPr>
      </w:pPr>
      <w:r w:rsidRPr="003C596E">
        <w:rPr>
          <w:rFonts w:ascii="Abadi" w:hAnsi="Abadi" w:cs="*Microsoft Sans Serif-Italic-11"/>
          <w:i/>
          <w:iCs/>
          <w:color w:val="222225"/>
          <w:sz w:val="21"/>
          <w:szCs w:val="21"/>
        </w:rPr>
        <w:t xml:space="preserve">Por otra parte, planteamos desarrollar la Cultura </w:t>
      </w:r>
      <w:r w:rsidRPr="003C596E">
        <w:rPr>
          <w:rFonts w:ascii="Abadi" w:hAnsi="Abadi" w:cs="*Calibri-11053-Identity-H"/>
          <w:color w:val="222225"/>
          <w:sz w:val="21"/>
          <w:szCs w:val="21"/>
        </w:rPr>
        <w:t xml:space="preserve">del </w:t>
      </w:r>
      <w:r w:rsidRPr="003C596E">
        <w:rPr>
          <w:rFonts w:ascii="Abadi" w:hAnsi="Abadi" w:cs="*Microsoft Sans Serif-Italic-11"/>
          <w:i/>
          <w:iCs/>
          <w:color w:val="222225"/>
          <w:sz w:val="21"/>
          <w:szCs w:val="21"/>
        </w:rPr>
        <w:t>Aprovechamiento,</w:t>
      </w:r>
      <w:r>
        <w:rPr>
          <w:rFonts w:ascii="Abadi" w:hAnsi="Abadi" w:cs="*Microsoft Sans Serif-Italic-11"/>
          <w:i/>
          <w:iCs/>
          <w:color w:val="222225"/>
          <w:sz w:val="21"/>
          <w:szCs w:val="21"/>
        </w:rPr>
        <w:t xml:space="preserve"> </w:t>
      </w:r>
      <w:r w:rsidRPr="003C596E">
        <w:rPr>
          <w:rFonts w:ascii="Abadi" w:hAnsi="Abadi" w:cs="*Microsoft Sans Serif-Italic-11"/>
          <w:i/>
          <w:iCs/>
          <w:color w:val="222225"/>
          <w:sz w:val="21"/>
          <w:szCs w:val="21"/>
        </w:rPr>
        <w:t xml:space="preserve">Recuperación y Donación de Alimentos, que despierte </w:t>
      </w:r>
      <w:r w:rsidRPr="003C596E">
        <w:rPr>
          <w:rFonts w:ascii="Abadi" w:hAnsi="Abadi" w:cs="*Calibri-11053-Identity-H"/>
          <w:color w:val="222225"/>
          <w:sz w:val="21"/>
          <w:szCs w:val="21"/>
        </w:rPr>
        <w:t xml:space="preserve">en </w:t>
      </w:r>
      <w:r w:rsidRPr="003C596E">
        <w:rPr>
          <w:rFonts w:ascii="Abadi" w:hAnsi="Abadi" w:cs="*Microsoft Sans Serif-Italic-11"/>
          <w:i/>
          <w:iCs/>
          <w:color w:val="222225"/>
          <w:sz w:val="21"/>
          <w:szCs w:val="21"/>
        </w:rPr>
        <w:t>las familias</w:t>
      </w:r>
      <w:r>
        <w:rPr>
          <w:rFonts w:ascii="Abadi" w:hAnsi="Abadi" w:cs="*Microsoft Sans Serif-Italic-11"/>
          <w:i/>
          <w:iCs/>
          <w:color w:val="222225"/>
          <w:sz w:val="21"/>
          <w:szCs w:val="21"/>
        </w:rPr>
        <w:t xml:space="preserve"> </w:t>
      </w:r>
      <w:r w:rsidRPr="003C596E">
        <w:rPr>
          <w:rFonts w:ascii="Abadi" w:hAnsi="Abadi" w:cs="*Microsoft Sans Serif-Italic-11"/>
          <w:i/>
          <w:iCs/>
          <w:color w:val="222225"/>
          <w:sz w:val="21"/>
          <w:szCs w:val="21"/>
        </w:rPr>
        <w:t>guanajuatenses el espíritu solidario, empezando desde la realización de</w:t>
      </w:r>
      <w:r>
        <w:rPr>
          <w:rFonts w:ascii="Abadi" w:hAnsi="Abadi" w:cs="*Microsoft Sans Serif-Italic-11"/>
          <w:i/>
          <w:iCs/>
          <w:color w:val="222225"/>
          <w:sz w:val="21"/>
          <w:szCs w:val="21"/>
        </w:rPr>
        <w:t xml:space="preserve"> </w:t>
      </w:r>
      <w:r w:rsidRPr="003C596E">
        <w:rPr>
          <w:rFonts w:ascii="Abadi" w:hAnsi="Abadi" w:cs="*Microsoft Sans Serif-Italic-11"/>
          <w:i/>
          <w:iCs/>
          <w:color w:val="222225"/>
          <w:sz w:val="21"/>
          <w:szCs w:val="21"/>
        </w:rPr>
        <w:t xml:space="preserve">programas complementarios en todos los tipos y </w:t>
      </w:r>
      <w:r w:rsidRPr="003C596E">
        <w:rPr>
          <w:rFonts w:ascii="Abadi" w:hAnsi="Abadi" w:cs="*Calibri-11053-Identity-H"/>
          <w:color w:val="222225"/>
          <w:sz w:val="21"/>
          <w:szCs w:val="21"/>
        </w:rPr>
        <w:t>modalidades</w:t>
      </w:r>
      <w:r>
        <w:rPr>
          <w:rFonts w:ascii="Abadi" w:hAnsi="Abadi" w:cs="*Calibri-11053-Identity-H"/>
          <w:color w:val="222225"/>
          <w:sz w:val="21"/>
          <w:szCs w:val="21"/>
        </w:rPr>
        <w:t xml:space="preserve"> </w:t>
      </w:r>
      <w:r w:rsidRPr="003C596E">
        <w:rPr>
          <w:rFonts w:ascii="Abadi" w:hAnsi="Abadi" w:cs="*Microsoft Sans Serif-Italic-11"/>
          <w:i/>
          <w:iCs/>
          <w:color w:val="222225"/>
          <w:sz w:val="21"/>
          <w:szCs w:val="21"/>
        </w:rPr>
        <w:t xml:space="preserve">educativos, y apostando también por estímulos y beneficios </w:t>
      </w:r>
      <w:r w:rsidRPr="003C596E">
        <w:rPr>
          <w:rFonts w:ascii="Abadi" w:hAnsi="Abadi" w:cs="*Calibri-11053-Identity-H"/>
          <w:color w:val="222225"/>
          <w:sz w:val="21"/>
          <w:szCs w:val="21"/>
        </w:rPr>
        <w:t>fisc</w:t>
      </w:r>
      <w:r>
        <w:rPr>
          <w:rFonts w:ascii="Abadi" w:hAnsi="Abadi" w:cs="*Calibri-11053-Identity-H"/>
          <w:color w:val="222225"/>
          <w:sz w:val="21"/>
          <w:szCs w:val="21"/>
        </w:rPr>
        <w:t>ales</w:t>
      </w:r>
      <w:r w:rsidRPr="003C596E">
        <w:rPr>
          <w:rFonts w:ascii="Abadi" w:hAnsi="Abadi" w:cs="*Calibri-11053-Identity-H"/>
          <w:color w:val="222225"/>
          <w:sz w:val="21"/>
          <w:szCs w:val="21"/>
        </w:rPr>
        <w:t xml:space="preserve"> </w:t>
      </w:r>
      <w:r w:rsidRPr="003C596E">
        <w:rPr>
          <w:rFonts w:ascii="Abadi" w:hAnsi="Abadi" w:cs="*Microsoft Sans Serif-Italic-11"/>
          <w:i/>
          <w:iCs/>
          <w:color w:val="222225"/>
          <w:sz w:val="21"/>
          <w:szCs w:val="21"/>
        </w:rPr>
        <w:t>que</w:t>
      </w:r>
      <w:r>
        <w:rPr>
          <w:rFonts w:ascii="Abadi" w:hAnsi="Abadi" w:cs="*Microsoft Sans Serif-Italic-11"/>
          <w:i/>
          <w:iCs/>
          <w:color w:val="222225"/>
          <w:sz w:val="21"/>
          <w:szCs w:val="21"/>
        </w:rPr>
        <w:t xml:space="preserve"> </w:t>
      </w:r>
      <w:r w:rsidRPr="003C596E">
        <w:rPr>
          <w:rFonts w:ascii="Abadi" w:hAnsi="Abadi" w:cs="*Microsoft Sans Serif-Italic-11"/>
          <w:i/>
          <w:iCs/>
          <w:color w:val="222225"/>
          <w:sz w:val="21"/>
          <w:szCs w:val="21"/>
        </w:rPr>
        <w:t>motiven a</w:t>
      </w:r>
      <w:r>
        <w:rPr>
          <w:rFonts w:ascii="Abadi" w:hAnsi="Abadi" w:cs="*Microsoft Sans Serif-Italic-11"/>
          <w:i/>
          <w:iCs/>
          <w:color w:val="222225"/>
          <w:sz w:val="21"/>
          <w:szCs w:val="21"/>
        </w:rPr>
        <w:t xml:space="preserve"> las</w:t>
      </w:r>
      <w:r w:rsidRPr="003C596E">
        <w:rPr>
          <w:rFonts w:ascii="Abadi" w:hAnsi="Abadi" w:cs="*Calibri-11053-Identity-H"/>
          <w:color w:val="222225"/>
          <w:sz w:val="21"/>
          <w:szCs w:val="21"/>
        </w:rPr>
        <w:t xml:space="preserve"> empresas </w:t>
      </w:r>
      <w:r w:rsidRPr="003C596E">
        <w:rPr>
          <w:rFonts w:ascii="Abadi" w:hAnsi="Abadi" w:cs="*Microsoft Sans Serif-Italic-11"/>
          <w:i/>
          <w:iCs/>
          <w:color w:val="222225"/>
          <w:sz w:val="21"/>
          <w:szCs w:val="21"/>
        </w:rPr>
        <w:t xml:space="preserve">del sector </w:t>
      </w:r>
      <w:r w:rsidRPr="003C596E">
        <w:rPr>
          <w:rFonts w:ascii="Abadi" w:hAnsi="Abadi" w:cs="*Calibri-11053-Identity-H"/>
          <w:color w:val="222225"/>
          <w:sz w:val="21"/>
          <w:szCs w:val="21"/>
        </w:rPr>
        <w:t xml:space="preserve">a </w:t>
      </w:r>
      <w:r w:rsidRPr="003C596E">
        <w:rPr>
          <w:rFonts w:ascii="Abadi" w:hAnsi="Abadi" w:cs="*Microsoft Sans Serif-Italic-11"/>
          <w:i/>
          <w:iCs/>
          <w:color w:val="222225"/>
          <w:sz w:val="21"/>
          <w:szCs w:val="21"/>
        </w:rPr>
        <w:t>evitar el desperdicio de alimentos</w:t>
      </w:r>
      <w:r>
        <w:rPr>
          <w:rFonts w:ascii="Abadi" w:hAnsi="Abadi" w:cs="*Microsoft Sans Serif-Italic-11"/>
          <w:i/>
          <w:iCs/>
          <w:color w:val="222225"/>
          <w:sz w:val="21"/>
          <w:szCs w:val="21"/>
        </w:rPr>
        <w:t xml:space="preserve"> </w:t>
      </w:r>
      <w:r w:rsidRPr="003C596E">
        <w:rPr>
          <w:rFonts w:ascii="Abadi" w:hAnsi="Abadi" w:cs="*Microsoft Sans Serif-Italic-11"/>
          <w:i/>
          <w:iCs/>
          <w:color w:val="222225"/>
          <w:sz w:val="21"/>
          <w:szCs w:val="21"/>
        </w:rPr>
        <w:t xml:space="preserve">que </w:t>
      </w:r>
      <w:r w:rsidRPr="003C596E">
        <w:rPr>
          <w:rFonts w:ascii="Abadi" w:hAnsi="Abadi" w:cs="*Calibri-11053-Identity-H"/>
          <w:color w:val="222225"/>
          <w:sz w:val="21"/>
          <w:szCs w:val="21"/>
        </w:rPr>
        <w:t xml:space="preserve">todavía </w:t>
      </w:r>
      <w:r w:rsidRPr="003C596E">
        <w:rPr>
          <w:rFonts w:ascii="Abadi" w:hAnsi="Abadi" w:cs="*Microsoft Sans Serif-Italic-11"/>
          <w:i/>
          <w:iCs/>
          <w:color w:val="222225"/>
          <w:sz w:val="21"/>
          <w:szCs w:val="21"/>
        </w:rPr>
        <w:t xml:space="preserve">se encuentren en buen estado poro </w:t>
      </w:r>
      <w:r w:rsidRPr="003C596E">
        <w:rPr>
          <w:rFonts w:ascii="Abadi" w:hAnsi="Abadi" w:cs="*Calibri-11053-Identity-H"/>
          <w:color w:val="222225"/>
          <w:sz w:val="21"/>
          <w:szCs w:val="21"/>
        </w:rPr>
        <w:t>ser consumidos.</w:t>
      </w:r>
    </w:p>
    <w:p w14:paraId="15B10441" w14:textId="77777777" w:rsidR="0084091D" w:rsidRPr="003C596E" w:rsidRDefault="0084091D" w:rsidP="0084091D">
      <w:pPr>
        <w:autoSpaceDE w:val="0"/>
        <w:autoSpaceDN w:val="0"/>
        <w:adjustRightInd w:val="0"/>
        <w:ind w:left="709"/>
        <w:jc w:val="both"/>
        <w:rPr>
          <w:rFonts w:ascii="Abadi" w:hAnsi="Abadi" w:cs="*Calibri-11053-Identity-H"/>
          <w:color w:val="222225"/>
          <w:sz w:val="21"/>
          <w:szCs w:val="21"/>
        </w:rPr>
      </w:pPr>
    </w:p>
    <w:p w14:paraId="42FCE996" w14:textId="77777777" w:rsidR="0084091D" w:rsidRDefault="0084091D" w:rsidP="0084091D">
      <w:pPr>
        <w:autoSpaceDE w:val="0"/>
        <w:autoSpaceDN w:val="0"/>
        <w:adjustRightInd w:val="0"/>
        <w:ind w:left="709"/>
        <w:jc w:val="both"/>
        <w:rPr>
          <w:rFonts w:ascii="Abadi" w:hAnsi="Abadi" w:cs="*Microsoft Sans Serif-Italic-11"/>
          <w:i/>
          <w:iCs/>
          <w:color w:val="202021"/>
          <w:sz w:val="21"/>
          <w:szCs w:val="21"/>
        </w:rPr>
      </w:pPr>
      <w:r w:rsidRPr="003C596E">
        <w:rPr>
          <w:rFonts w:ascii="Abadi" w:hAnsi="Abadi" w:cs="*Microsoft Sans Serif-Italic-11"/>
          <w:i/>
          <w:iCs/>
          <w:color w:val="202021"/>
          <w:sz w:val="21"/>
          <w:szCs w:val="21"/>
        </w:rPr>
        <w:t xml:space="preserve">Finalmente, para castigar </w:t>
      </w:r>
      <w:r w:rsidRPr="003C596E">
        <w:rPr>
          <w:rFonts w:ascii="Abadi" w:hAnsi="Abadi" w:cs="*Calibri-11053-Identity-H"/>
          <w:color w:val="202021"/>
          <w:sz w:val="21"/>
          <w:szCs w:val="21"/>
        </w:rPr>
        <w:t xml:space="preserve">o quienes </w:t>
      </w:r>
      <w:r w:rsidRPr="003C596E">
        <w:rPr>
          <w:rFonts w:ascii="Abadi" w:hAnsi="Abadi" w:cs="*Microsoft Sans Serif-Italic-11"/>
          <w:i/>
          <w:iCs/>
          <w:color w:val="202021"/>
          <w:sz w:val="21"/>
          <w:szCs w:val="21"/>
        </w:rPr>
        <w:t xml:space="preserve">pretendan lucrar </w:t>
      </w:r>
      <w:r w:rsidRPr="003C596E">
        <w:rPr>
          <w:rFonts w:ascii="Abadi" w:hAnsi="Abadi" w:cs="*Calibri-11053-Identity-H"/>
          <w:color w:val="202021"/>
          <w:sz w:val="21"/>
          <w:szCs w:val="21"/>
        </w:rPr>
        <w:t xml:space="preserve">o </w:t>
      </w:r>
      <w:r w:rsidRPr="003C596E">
        <w:rPr>
          <w:rFonts w:ascii="Abadi" w:hAnsi="Abadi" w:cs="*Microsoft Sans Serif-Italic-11"/>
          <w:i/>
          <w:iCs/>
          <w:color w:val="202021"/>
          <w:sz w:val="21"/>
          <w:szCs w:val="21"/>
        </w:rPr>
        <w:t>manipular</w:t>
      </w:r>
      <w:r>
        <w:rPr>
          <w:rFonts w:ascii="Abadi" w:hAnsi="Abadi" w:cs="*Microsoft Sans Serif-Italic-11"/>
          <w:i/>
          <w:iCs/>
          <w:color w:val="202021"/>
          <w:sz w:val="21"/>
          <w:szCs w:val="21"/>
        </w:rPr>
        <w:t xml:space="preserve"> </w:t>
      </w:r>
      <w:r w:rsidRPr="003C596E">
        <w:rPr>
          <w:rFonts w:ascii="Abadi" w:hAnsi="Abadi" w:cs="*Microsoft Sans Serif-Italic-11"/>
          <w:i/>
          <w:iCs/>
          <w:color w:val="202021"/>
          <w:sz w:val="21"/>
          <w:szCs w:val="21"/>
        </w:rPr>
        <w:t xml:space="preserve">dolosamente la distribución </w:t>
      </w:r>
      <w:r w:rsidRPr="003C596E">
        <w:rPr>
          <w:rFonts w:ascii="Abadi" w:hAnsi="Abadi" w:cs="*Calibri-11053-Identity-H"/>
          <w:color w:val="202021"/>
          <w:sz w:val="21"/>
          <w:szCs w:val="21"/>
        </w:rPr>
        <w:t xml:space="preserve">o </w:t>
      </w:r>
      <w:r w:rsidRPr="003C596E">
        <w:rPr>
          <w:rFonts w:ascii="Abadi" w:hAnsi="Abadi" w:cs="*Microsoft Sans Serif-Italic-11"/>
          <w:i/>
          <w:iCs/>
          <w:color w:val="202021"/>
          <w:sz w:val="21"/>
          <w:szCs w:val="21"/>
        </w:rPr>
        <w:t>donación de alimentos excedentes,</w:t>
      </w:r>
      <w:r>
        <w:rPr>
          <w:rFonts w:ascii="Abadi" w:hAnsi="Abadi" w:cs="*Microsoft Sans Serif-Italic-11"/>
          <w:i/>
          <w:iCs/>
          <w:color w:val="202021"/>
          <w:sz w:val="21"/>
          <w:szCs w:val="21"/>
        </w:rPr>
        <w:t xml:space="preserve"> </w:t>
      </w:r>
      <w:r w:rsidRPr="003C596E">
        <w:rPr>
          <w:rFonts w:ascii="Abadi" w:hAnsi="Abadi" w:cs="*Microsoft Sans Serif-Italic-11"/>
          <w:i/>
          <w:iCs/>
          <w:color w:val="202021"/>
          <w:sz w:val="21"/>
          <w:szCs w:val="21"/>
        </w:rPr>
        <w:t xml:space="preserve">proponemos </w:t>
      </w:r>
      <w:r w:rsidRPr="003C596E">
        <w:rPr>
          <w:rFonts w:ascii="Abadi" w:hAnsi="Abadi" w:cs="*Calibri-11053-Identity-H"/>
          <w:color w:val="202021"/>
          <w:sz w:val="21"/>
          <w:szCs w:val="21"/>
        </w:rPr>
        <w:t xml:space="preserve">uno </w:t>
      </w:r>
      <w:r w:rsidRPr="003C596E">
        <w:rPr>
          <w:rFonts w:ascii="Abadi" w:hAnsi="Abadi" w:cs="*Microsoft Sans Serif-Italic-11"/>
          <w:i/>
          <w:iCs/>
          <w:color w:val="202021"/>
          <w:sz w:val="21"/>
          <w:szCs w:val="21"/>
        </w:rPr>
        <w:t xml:space="preserve">multa de cien </w:t>
      </w:r>
      <w:r w:rsidRPr="003C596E">
        <w:rPr>
          <w:rFonts w:ascii="Abadi" w:hAnsi="Abadi" w:cs="*Calibri-11053-Identity-H"/>
          <w:color w:val="202021"/>
          <w:sz w:val="21"/>
          <w:szCs w:val="21"/>
        </w:rPr>
        <w:t xml:space="preserve">a </w:t>
      </w:r>
      <w:r w:rsidRPr="003C596E">
        <w:rPr>
          <w:rFonts w:ascii="Abadi" w:hAnsi="Abadi" w:cs="*Microsoft Sans Serif-Italic-11"/>
          <w:i/>
          <w:iCs/>
          <w:color w:val="202021"/>
          <w:sz w:val="21"/>
          <w:szCs w:val="21"/>
        </w:rPr>
        <w:t xml:space="preserve">diez </w:t>
      </w:r>
      <w:r w:rsidRPr="003C596E">
        <w:rPr>
          <w:rFonts w:ascii="Abadi" w:hAnsi="Abadi" w:cs="*Calibri-11053-Identity-H"/>
          <w:color w:val="202021"/>
          <w:sz w:val="21"/>
          <w:szCs w:val="21"/>
        </w:rPr>
        <w:t xml:space="preserve">mil </w:t>
      </w:r>
      <w:r w:rsidRPr="003C596E">
        <w:rPr>
          <w:rFonts w:ascii="Abadi" w:hAnsi="Abadi" w:cs="*Microsoft Sans Serif-Italic-11"/>
          <w:i/>
          <w:iCs/>
          <w:color w:val="202021"/>
          <w:sz w:val="21"/>
          <w:szCs w:val="21"/>
        </w:rPr>
        <w:t>veces e</w:t>
      </w:r>
      <w:r>
        <w:rPr>
          <w:rFonts w:ascii="Abadi" w:hAnsi="Abadi" w:cs="*Microsoft Sans Serif-Italic-11"/>
          <w:i/>
          <w:iCs/>
          <w:color w:val="202021"/>
          <w:sz w:val="21"/>
          <w:szCs w:val="21"/>
        </w:rPr>
        <w:t>l</w:t>
      </w:r>
      <w:r w:rsidRPr="003C596E">
        <w:rPr>
          <w:rFonts w:ascii="Abadi" w:hAnsi="Abadi" w:cs="*Microsoft Sans Serif-Italic-11"/>
          <w:i/>
          <w:iCs/>
          <w:color w:val="202021"/>
          <w:sz w:val="21"/>
          <w:szCs w:val="21"/>
        </w:rPr>
        <w:t xml:space="preserve"> valor </w:t>
      </w:r>
      <w:r w:rsidRPr="003C596E">
        <w:rPr>
          <w:rFonts w:ascii="Abadi" w:hAnsi="Abadi" w:cs="*Calibri-11053-Identity-H"/>
          <w:color w:val="202021"/>
          <w:sz w:val="21"/>
          <w:szCs w:val="21"/>
        </w:rPr>
        <w:t xml:space="preserve">diario </w:t>
      </w:r>
      <w:r w:rsidRPr="003C596E">
        <w:rPr>
          <w:rFonts w:ascii="Abadi" w:hAnsi="Abadi" w:cs="*Microsoft Sans Serif-Italic-11"/>
          <w:i/>
          <w:iCs/>
          <w:color w:val="202021"/>
          <w:sz w:val="21"/>
          <w:szCs w:val="21"/>
        </w:rPr>
        <w:t xml:space="preserve">de </w:t>
      </w:r>
      <w:r>
        <w:rPr>
          <w:rFonts w:ascii="Abadi" w:hAnsi="Abadi" w:cs="*Microsoft Sans Serif-Italic-11"/>
          <w:i/>
          <w:iCs/>
          <w:color w:val="202021"/>
          <w:sz w:val="21"/>
          <w:szCs w:val="21"/>
        </w:rPr>
        <w:t xml:space="preserve">la </w:t>
      </w:r>
      <w:r w:rsidRPr="003C596E">
        <w:rPr>
          <w:rFonts w:ascii="Abadi" w:hAnsi="Abadi" w:cs="*Microsoft Sans Serif-Italic-11"/>
          <w:i/>
          <w:iCs/>
          <w:color w:val="202021"/>
          <w:sz w:val="21"/>
          <w:szCs w:val="21"/>
        </w:rPr>
        <w:t>Unidad de Medida y Actualización.</w:t>
      </w:r>
    </w:p>
    <w:p w14:paraId="7B99ED44" w14:textId="77777777" w:rsidR="0084091D" w:rsidRPr="003C596E" w:rsidRDefault="0084091D" w:rsidP="0084091D">
      <w:pPr>
        <w:autoSpaceDE w:val="0"/>
        <w:autoSpaceDN w:val="0"/>
        <w:adjustRightInd w:val="0"/>
        <w:ind w:left="709"/>
        <w:jc w:val="both"/>
        <w:rPr>
          <w:rFonts w:ascii="Abadi" w:hAnsi="Abadi" w:cs="*Microsoft Sans Serif-Italic-11"/>
          <w:i/>
          <w:iCs/>
          <w:color w:val="202021"/>
          <w:sz w:val="21"/>
          <w:szCs w:val="21"/>
        </w:rPr>
      </w:pPr>
    </w:p>
    <w:p w14:paraId="5B30385F" w14:textId="77777777" w:rsidR="0084091D" w:rsidRPr="003C596E" w:rsidRDefault="0084091D" w:rsidP="0084091D">
      <w:pPr>
        <w:autoSpaceDE w:val="0"/>
        <w:autoSpaceDN w:val="0"/>
        <w:adjustRightInd w:val="0"/>
        <w:ind w:left="709"/>
        <w:jc w:val="both"/>
        <w:rPr>
          <w:rFonts w:ascii="Abadi" w:hAnsi="Abadi" w:cs="*Microsoft Sans Serif-Italic-10"/>
          <w:i/>
          <w:iCs/>
          <w:color w:val="202021"/>
          <w:sz w:val="21"/>
          <w:szCs w:val="21"/>
        </w:rPr>
      </w:pPr>
      <w:r w:rsidRPr="003C596E">
        <w:rPr>
          <w:rFonts w:ascii="Abadi" w:hAnsi="Abadi" w:cs="*Microsoft Sans Serif-Italic-11"/>
          <w:i/>
          <w:iCs/>
          <w:color w:val="202021"/>
          <w:sz w:val="21"/>
          <w:szCs w:val="21"/>
        </w:rPr>
        <w:t xml:space="preserve">Con esta ley, en Guanajuato daremos un paso </w:t>
      </w:r>
      <w:r w:rsidRPr="003C596E">
        <w:rPr>
          <w:rFonts w:ascii="Abadi" w:hAnsi="Abadi" w:cs="*Calibri-11053-Identity-H"/>
          <w:color w:val="202021"/>
          <w:sz w:val="21"/>
          <w:szCs w:val="21"/>
        </w:rPr>
        <w:t xml:space="preserve">más </w:t>
      </w:r>
      <w:r w:rsidRPr="003C596E">
        <w:rPr>
          <w:rFonts w:ascii="Abadi" w:hAnsi="Abadi" w:cs="*Microsoft Sans Serif-Italic-11"/>
          <w:i/>
          <w:iCs/>
          <w:color w:val="202021"/>
          <w:sz w:val="21"/>
          <w:szCs w:val="21"/>
        </w:rPr>
        <w:t>para garantizar el</w:t>
      </w:r>
      <w:r>
        <w:rPr>
          <w:rFonts w:ascii="Abadi" w:hAnsi="Abadi" w:cs="*Microsoft Sans Serif-Italic-11"/>
          <w:i/>
          <w:iCs/>
          <w:color w:val="202021"/>
          <w:sz w:val="21"/>
          <w:szCs w:val="21"/>
        </w:rPr>
        <w:t xml:space="preserve"> </w:t>
      </w:r>
      <w:r w:rsidRPr="003C596E">
        <w:rPr>
          <w:rFonts w:ascii="Abadi" w:hAnsi="Abadi" w:cs="*Microsoft Sans Serif-Italic-11"/>
          <w:i/>
          <w:iCs/>
          <w:color w:val="202021"/>
          <w:sz w:val="21"/>
          <w:szCs w:val="21"/>
        </w:rPr>
        <w:t xml:space="preserve">derecho </w:t>
      </w:r>
      <w:r w:rsidRPr="003C596E">
        <w:rPr>
          <w:rFonts w:ascii="Abadi" w:hAnsi="Abadi" w:cs="*Times New Roman-11049-Identity"/>
          <w:color w:val="202021"/>
          <w:sz w:val="21"/>
          <w:szCs w:val="21"/>
        </w:rPr>
        <w:t xml:space="preserve">a </w:t>
      </w:r>
      <w:r w:rsidRPr="003C596E">
        <w:rPr>
          <w:rFonts w:ascii="Abadi" w:hAnsi="Abadi" w:cs="*Microsoft Sans Serif-Italic-11"/>
          <w:i/>
          <w:iCs/>
          <w:color w:val="202021"/>
          <w:sz w:val="21"/>
          <w:szCs w:val="21"/>
        </w:rPr>
        <w:t>la alimentación nutritiva, suficiente y de calidad,</w:t>
      </w:r>
      <w:r>
        <w:rPr>
          <w:rFonts w:ascii="Abadi" w:hAnsi="Abadi" w:cs="*Microsoft Sans Serif-Italic-11"/>
          <w:i/>
          <w:iCs/>
          <w:color w:val="202021"/>
          <w:sz w:val="21"/>
          <w:szCs w:val="21"/>
        </w:rPr>
        <w:t xml:space="preserve"> </w:t>
      </w:r>
      <w:r w:rsidRPr="003C596E">
        <w:rPr>
          <w:rFonts w:ascii="Abadi" w:hAnsi="Abadi" w:cs="*Microsoft Sans Serif-Italic-11"/>
          <w:i/>
          <w:iCs/>
          <w:color w:val="202021"/>
          <w:sz w:val="21"/>
          <w:szCs w:val="21"/>
        </w:rPr>
        <w:t xml:space="preserve">contemplado en el artículo 4 ° de </w:t>
      </w:r>
      <w:r>
        <w:rPr>
          <w:rFonts w:ascii="Abadi" w:hAnsi="Abadi" w:cs="*Microsoft Sans Serif-Italic-11"/>
          <w:i/>
          <w:iCs/>
          <w:color w:val="202021"/>
          <w:sz w:val="21"/>
          <w:szCs w:val="21"/>
        </w:rPr>
        <w:t>la</w:t>
      </w:r>
      <w:r w:rsidRPr="003C596E">
        <w:rPr>
          <w:rFonts w:ascii="Abadi" w:hAnsi="Abadi" w:cs="*Microsoft Sans Serif-Italic-11"/>
          <w:i/>
          <w:iCs/>
          <w:color w:val="202021"/>
          <w:sz w:val="21"/>
          <w:szCs w:val="21"/>
        </w:rPr>
        <w:t xml:space="preserve"> Constitución Política de tos Estados</w:t>
      </w:r>
      <w:r>
        <w:rPr>
          <w:rFonts w:ascii="Abadi" w:hAnsi="Abadi" w:cs="*Microsoft Sans Serif-Italic-11"/>
          <w:i/>
          <w:iCs/>
          <w:color w:val="202021"/>
          <w:sz w:val="21"/>
          <w:szCs w:val="21"/>
        </w:rPr>
        <w:t xml:space="preserve"> </w:t>
      </w:r>
      <w:r w:rsidRPr="003C596E">
        <w:rPr>
          <w:rFonts w:ascii="Abadi" w:hAnsi="Abadi" w:cs="*Microsoft Sans Serif-Italic-11"/>
          <w:i/>
          <w:iCs/>
          <w:color w:val="202021"/>
          <w:sz w:val="21"/>
          <w:szCs w:val="21"/>
        </w:rPr>
        <w:t xml:space="preserve">Unidos Mexicanos, pero </w:t>
      </w:r>
      <w:r>
        <w:rPr>
          <w:rFonts w:ascii="Abadi" w:hAnsi="Abadi" w:cs="*Microsoft Sans Serif-Italic-11"/>
          <w:i/>
          <w:iCs/>
          <w:color w:val="202021"/>
          <w:sz w:val="21"/>
          <w:szCs w:val="21"/>
        </w:rPr>
        <w:t>l</w:t>
      </w:r>
      <w:r w:rsidRPr="003C596E">
        <w:rPr>
          <w:rFonts w:ascii="Abadi" w:hAnsi="Abadi" w:cs="*Microsoft Sans Serif-Italic-11"/>
          <w:i/>
          <w:iCs/>
          <w:color w:val="202021"/>
          <w:sz w:val="21"/>
          <w:szCs w:val="21"/>
        </w:rPr>
        <w:t xml:space="preserve">o </w:t>
      </w:r>
      <w:r w:rsidRPr="003C596E">
        <w:rPr>
          <w:rFonts w:ascii="Abadi" w:hAnsi="Abadi" w:cs="*Calibri-11053-Identity-H"/>
          <w:color w:val="202021"/>
          <w:sz w:val="21"/>
          <w:szCs w:val="21"/>
        </w:rPr>
        <w:t xml:space="preserve">más </w:t>
      </w:r>
      <w:r w:rsidRPr="003C596E">
        <w:rPr>
          <w:rFonts w:ascii="Abadi" w:hAnsi="Abadi" w:cs="*Microsoft Sans Serif-Italic-11"/>
          <w:i/>
          <w:iCs/>
          <w:color w:val="202021"/>
          <w:sz w:val="21"/>
          <w:szCs w:val="21"/>
        </w:rPr>
        <w:t>importante es que fortaleceremos los</w:t>
      </w:r>
      <w:r>
        <w:rPr>
          <w:rFonts w:ascii="Abadi" w:hAnsi="Abadi" w:cs="*Microsoft Sans Serif-Italic-11"/>
          <w:i/>
          <w:iCs/>
          <w:color w:val="202021"/>
          <w:sz w:val="21"/>
          <w:szCs w:val="21"/>
        </w:rPr>
        <w:t xml:space="preserve"> </w:t>
      </w:r>
      <w:r w:rsidRPr="003C596E">
        <w:rPr>
          <w:rFonts w:ascii="Abadi" w:hAnsi="Abadi" w:cs="*Microsoft Sans Serif-Italic-10"/>
          <w:i/>
          <w:iCs/>
          <w:color w:val="202021"/>
          <w:sz w:val="21"/>
          <w:szCs w:val="21"/>
        </w:rPr>
        <w:t>vínculos de solidaridad, la participación ciudadana y la colaboración</w:t>
      </w:r>
      <w:r>
        <w:rPr>
          <w:rFonts w:ascii="Abadi" w:hAnsi="Abadi" w:cs="*Microsoft Sans Serif-Italic-10"/>
          <w:i/>
          <w:iCs/>
          <w:color w:val="202021"/>
          <w:sz w:val="21"/>
          <w:szCs w:val="21"/>
        </w:rPr>
        <w:t xml:space="preserve"> </w:t>
      </w:r>
      <w:r w:rsidRPr="003C596E">
        <w:rPr>
          <w:rFonts w:ascii="Abadi" w:hAnsi="Abadi" w:cs="*Microsoft Sans Serif-Italic-10"/>
          <w:i/>
          <w:iCs/>
          <w:color w:val="202021"/>
          <w:sz w:val="21"/>
          <w:szCs w:val="21"/>
        </w:rPr>
        <w:t xml:space="preserve">para que </w:t>
      </w:r>
      <w:r w:rsidRPr="003C596E">
        <w:rPr>
          <w:rFonts w:ascii="Abadi" w:hAnsi="Abadi" w:cs="*Calibri-10110-Identity-H"/>
          <w:color w:val="202021"/>
          <w:sz w:val="21"/>
          <w:szCs w:val="21"/>
        </w:rPr>
        <w:t xml:space="preserve">como </w:t>
      </w:r>
      <w:r w:rsidRPr="003C596E">
        <w:rPr>
          <w:rFonts w:ascii="Abadi" w:hAnsi="Abadi" w:cs="*Microsoft Sans Serif-Italic-10"/>
          <w:i/>
          <w:iCs/>
          <w:color w:val="202021"/>
          <w:sz w:val="21"/>
          <w:szCs w:val="21"/>
        </w:rPr>
        <w:t xml:space="preserve">sociedad respondamos de manera efectiva </w:t>
      </w:r>
      <w:r w:rsidRPr="003C596E">
        <w:rPr>
          <w:rFonts w:ascii="Abadi" w:hAnsi="Abadi" w:cs="*Calibri-10110-Identity-H"/>
          <w:color w:val="202021"/>
          <w:sz w:val="21"/>
          <w:szCs w:val="21"/>
        </w:rPr>
        <w:t xml:space="preserve">a </w:t>
      </w:r>
      <w:r w:rsidRPr="003C596E">
        <w:rPr>
          <w:rFonts w:ascii="Abadi" w:hAnsi="Abadi" w:cs="*Microsoft Sans Serif-Italic-10"/>
          <w:i/>
          <w:iCs/>
          <w:color w:val="202021"/>
          <w:sz w:val="21"/>
          <w:szCs w:val="21"/>
        </w:rPr>
        <w:t>las</w:t>
      </w:r>
      <w:r>
        <w:rPr>
          <w:rFonts w:ascii="Abadi" w:hAnsi="Abadi" w:cs="*Microsoft Sans Serif-Italic-10"/>
          <w:i/>
          <w:iCs/>
          <w:color w:val="202021"/>
          <w:sz w:val="21"/>
          <w:szCs w:val="21"/>
        </w:rPr>
        <w:t xml:space="preserve"> </w:t>
      </w:r>
      <w:r w:rsidRPr="003C596E">
        <w:rPr>
          <w:rFonts w:ascii="Abadi" w:hAnsi="Abadi" w:cs="*Microsoft Sans Serif-Italic-10"/>
          <w:i/>
          <w:iCs/>
          <w:color w:val="202021"/>
          <w:sz w:val="21"/>
          <w:szCs w:val="21"/>
        </w:rPr>
        <w:t>necesidades de los sectores más vulnerables de la población.</w:t>
      </w:r>
    </w:p>
    <w:p w14:paraId="63EF794A" w14:textId="77777777" w:rsidR="0084091D" w:rsidRDefault="0084091D" w:rsidP="0084091D">
      <w:pPr>
        <w:autoSpaceDE w:val="0"/>
        <w:autoSpaceDN w:val="0"/>
        <w:adjustRightInd w:val="0"/>
        <w:ind w:left="709"/>
        <w:jc w:val="both"/>
        <w:rPr>
          <w:rFonts w:ascii="Abadi" w:hAnsi="Abadi" w:cs="*Arial-10112-Identity-H"/>
          <w:color w:val="201F21"/>
          <w:sz w:val="21"/>
          <w:szCs w:val="21"/>
        </w:rPr>
      </w:pPr>
    </w:p>
    <w:p w14:paraId="750CF17C" w14:textId="77777777" w:rsidR="0084091D" w:rsidRPr="003C596E" w:rsidRDefault="0084091D" w:rsidP="0084091D">
      <w:pPr>
        <w:autoSpaceDE w:val="0"/>
        <w:autoSpaceDN w:val="0"/>
        <w:adjustRightInd w:val="0"/>
        <w:ind w:left="709"/>
        <w:jc w:val="both"/>
        <w:rPr>
          <w:rFonts w:ascii="Abadi" w:hAnsi="Abadi" w:cs="*Microsoft Sans Serif-Italic-10"/>
          <w:i/>
          <w:iCs/>
          <w:color w:val="201F21"/>
          <w:sz w:val="21"/>
          <w:szCs w:val="21"/>
        </w:rPr>
      </w:pPr>
      <w:r w:rsidRPr="003C596E">
        <w:rPr>
          <w:rFonts w:ascii="Abadi" w:hAnsi="Abadi" w:cs="*Arial-10112-Identity-H"/>
          <w:color w:val="201F21"/>
          <w:sz w:val="21"/>
          <w:szCs w:val="21"/>
        </w:rPr>
        <w:t xml:space="preserve">Para </w:t>
      </w:r>
      <w:r w:rsidRPr="003C596E">
        <w:rPr>
          <w:rFonts w:ascii="Abadi" w:hAnsi="Abadi" w:cs="*Microsoft Sans Serif-Italic-10"/>
          <w:i/>
          <w:iCs/>
          <w:color w:val="201F21"/>
          <w:sz w:val="21"/>
          <w:szCs w:val="21"/>
        </w:rPr>
        <w:t xml:space="preserve">alimentar </w:t>
      </w:r>
      <w:r w:rsidRPr="003C596E">
        <w:rPr>
          <w:rFonts w:ascii="Abadi" w:hAnsi="Abadi" w:cs="*Arial-10112-Identity-H"/>
          <w:color w:val="201F21"/>
          <w:sz w:val="21"/>
          <w:szCs w:val="21"/>
        </w:rPr>
        <w:t xml:space="preserve">una mayor </w:t>
      </w:r>
      <w:r w:rsidRPr="003C596E">
        <w:rPr>
          <w:rFonts w:ascii="Abadi" w:hAnsi="Abadi" w:cs="*Microsoft Sans Serif-Italic-10"/>
          <w:i/>
          <w:iCs/>
          <w:color w:val="201F21"/>
          <w:sz w:val="21"/>
          <w:szCs w:val="21"/>
        </w:rPr>
        <w:t>equidad, para proteger el ejercicio de los</w:t>
      </w:r>
      <w:r>
        <w:rPr>
          <w:rFonts w:ascii="Abadi" w:hAnsi="Abadi" w:cs="*Microsoft Sans Serif-Italic-10"/>
          <w:i/>
          <w:iCs/>
          <w:color w:val="201F21"/>
          <w:sz w:val="21"/>
          <w:szCs w:val="21"/>
        </w:rPr>
        <w:t xml:space="preserve"> derechos</w:t>
      </w:r>
      <w:r w:rsidRPr="003C596E">
        <w:rPr>
          <w:rFonts w:ascii="Abadi" w:hAnsi="Abadi" w:cs="*Microsoft Sans Serif-Italic-10"/>
          <w:i/>
          <w:iCs/>
          <w:color w:val="201F21"/>
          <w:sz w:val="21"/>
          <w:szCs w:val="21"/>
        </w:rPr>
        <w:t xml:space="preserve"> humanos, para que el desarrollo de Guanajuato </w:t>
      </w:r>
      <w:r w:rsidRPr="003C596E">
        <w:rPr>
          <w:rFonts w:ascii="Abadi" w:hAnsi="Abadi" w:cs="*Calibri-10110-Identity-H"/>
          <w:color w:val="201F21"/>
          <w:sz w:val="21"/>
          <w:szCs w:val="21"/>
        </w:rPr>
        <w:t xml:space="preserve">avance </w:t>
      </w:r>
      <w:r w:rsidRPr="003C596E">
        <w:rPr>
          <w:rFonts w:ascii="Abadi" w:hAnsi="Abadi" w:cs="*Microsoft Sans Serif-Italic-10"/>
          <w:i/>
          <w:iCs/>
          <w:color w:val="201F21"/>
          <w:sz w:val="21"/>
          <w:szCs w:val="21"/>
        </w:rPr>
        <w:t>con</w:t>
      </w:r>
      <w:r>
        <w:rPr>
          <w:rFonts w:ascii="Abadi" w:hAnsi="Abadi" w:cs="*Microsoft Sans Serif-Italic-10"/>
          <w:i/>
          <w:iCs/>
          <w:color w:val="201F21"/>
          <w:sz w:val="21"/>
          <w:szCs w:val="21"/>
        </w:rPr>
        <w:t xml:space="preserve"> </w:t>
      </w:r>
      <w:r w:rsidRPr="003C596E">
        <w:rPr>
          <w:rFonts w:ascii="Abadi" w:hAnsi="Abadi" w:cs="*Microsoft Sans Serif-Italic-10"/>
          <w:i/>
          <w:iCs/>
          <w:color w:val="201F21"/>
          <w:sz w:val="21"/>
          <w:szCs w:val="21"/>
        </w:rPr>
        <w:t xml:space="preserve">paso firme, manos trabajadoras, mente innovadora y </w:t>
      </w:r>
      <w:r w:rsidRPr="003C596E">
        <w:rPr>
          <w:rFonts w:ascii="Abadi" w:hAnsi="Abadi" w:cs="*Arial-10112-Identity-H"/>
          <w:color w:val="201F21"/>
          <w:sz w:val="21"/>
          <w:szCs w:val="21"/>
        </w:rPr>
        <w:t>corazones</w:t>
      </w:r>
      <w:r>
        <w:rPr>
          <w:rFonts w:ascii="Abadi" w:hAnsi="Abadi" w:cs="*Arial-10112-Identity-H"/>
          <w:color w:val="201F21"/>
          <w:sz w:val="21"/>
          <w:szCs w:val="21"/>
        </w:rPr>
        <w:t xml:space="preserve"> </w:t>
      </w:r>
      <w:r w:rsidRPr="003C596E">
        <w:rPr>
          <w:rFonts w:ascii="Abadi" w:hAnsi="Abadi" w:cs="*Microsoft Sans Serif-Italic-10"/>
          <w:i/>
          <w:iCs/>
          <w:color w:val="201F21"/>
          <w:sz w:val="21"/>
          <w:szCs w:val="21"/>
        </w:rPr>
        <w:t xml:space="preserve">encendidos en la construcción del bien </w:t>
      </w:r>
      <w:r w:rsidRPr="003C596E">
        <w:rPr>
          <w:rFonts w:ascii="Abadi" w:hAnsi="Abadi" w:cs="*Arial-10112-Identity-H"/>
          <w:color w:val="201F21"/>
          <w:sz w:val="21"/>
          <w:szCs w:val="21"/>
        </w:rPr>
        <w:t xml:space="preserve">común </w:t>
      </w:r>
      <w:r w:rsidRPr="003C596E">
        <w:rPr>
          <w:rFonts w:ascii="Abadi" w:hAnsi="Abadi" w:cs="*Microsoft Sans Serif-Italic-10"/>
          <w:i/>
          <w:iCs/>
          <w:color w:val="201F21"/>
          <w:sz w:val="21"/>
          <w:szCs w:val="21"/>
        </w:rPr>
        <w:t xml:space="preserve">y del respeto </w:t>
      </w:r>
      <w:r>
        <w:rPr>
          <w:rFonts w:ascii="Abadi" w:hAnsi="Abadi" w:cs="*Microsoft Sans Serif-Italic-10"/>
          <w:i/>
          <w:iCs/>
          <w:color w:val="201F21"/>
          <w:sz w:val="21"/>
          <w:szCs w:val="21"/>
        </w:rPr>
        <w:t xml:space="preserve">a la </w:t>
      </w:r>
      <w:r w:rsidRPr="003C596E">
        <w:rPr>
          <w:rFonts w:ascii="Abadi" w:hAnsi="Abadi" w:cs="*Microsoft Sans Serif-Italic-10"/>
          <w:i/>
          <w:iCs/>
          <w:color w:val="201F21"/>
          <w:sz w:val="21"/>
          <w:szCs w:val="21"/>
        </w:rPr>
        <w:t>dignidad de todos los seres humanos."</w:t>
      </w:r>
    </w:p>
    <w:p w14:paraId="0C990794" w14:textId="77777777" w:rsidR="0084091D" w:rsidRDefault="0084091D" w:rsidP="0084091D">
      <w:pPr>
        <w:autoSpaceDE w:val="0"/>
        <w:autoSpaceDN w:val="0"/>
        <w:adjustRightInd w:val="0"/>
        <w:ind w:left="709"/>
        <w:jc w:val="both"/>
        <w:rPr>
          <w:rFonts w:ascii="Abadi" w:hAnsi="Abadi" w:cs="*Times New Roman-Italic-10108-I"/>
          <w:i/>
          <w:iCs/>
          <w:color w:val="1C1C1C"/>
          <w:sz w:val="21"/>
          <w:szCs w:val="21"/>
        </w:rPr>
      </w:pPr>
    </w:p>
    <w:p w14:paraId="65C47109" w14:textId="77777777" w:rsidR="0084091D" w:rsidRPr="003C596E" w:rsidRDefault="0084091D" w:rsidP="0084091D">
      <w:pPr>
        <w:autoSpaceDE w:val="0"/>
        <w:autoSpaceDN w:val="0"/>
        <w:adjustRightInd w:val="0"/>
        <w:ind w:left="709"/>
        <w:jc w:val="both"/>
        <w:rPr>
          <w:rFonts w:ascii="Abadi" w:hAnsi="Abadi" w:cs="*Times New Roman-Italic-10108-I"/>
          <w:i/>
          <w:iCs/>
          <w:color w:val="1C1C1C"/>
          <w:sz w:val="21"/>
          <w:szCs w:val="21"/>
        </w:rPr>
      </w:pPr>
      <w:r w:rsidRPr="003C596E">
        <w:rPr>
          <w:rFonts w:ascii="Abadi" w:hAnsi="Abadi" w:cs="*Times New Roman-Italic-10108-I"/>
          <w:i/>
          <w:iCs/>
          <w:color w:val="1C1C1C"/>
          <w:sz w:val="21"/>
          <w:szCs w:val="21"/>
        </w:rPr>
        <w:t xml:space="preserve">( </w:t>
      </w:r>
      <w:r w:rsidRPr="003C596E">
        <w:rPr>
          <w:rFonts w:ascii="Abadi" w:hAnsi="Abadi" w:cs="*Times New Roman-Italic-10109-I"/>
          <w:i/>
          <w:iCs/>
          <w:color w:val="1C1C1C"/>
          <w:sz w:val="21"/>
          <w:szCs w:val="21"/>
        </w:rPr>
        <w:t>. . .</w:t>
      </w:r>
      <w:r w:rsidRPr="003C596E">
        <w:rPr>
          <w:rFonts w:ascii="Abadi" w:hAnsi="Abadi" w:cs="*Times New Roman-Italic-10108-I"/>
          <w:i/>
          <w:iCs/>
          <w:color w:val="1C1C1C"/>
          <w:sz w:val="21"/>
          <w:szCs w:val="21"/>
        </w:rPr>
        <w:t>)</w:t>
      </w:r>
    </w:p>
    <w:p w14:paraId="3C314FEB" w14:textId="77777777" w:rsidR="0084091D" w:rsidRDefault="0084091D" w:rsidP="0084091D">
      <w:pPr>
        <w:autoSpaceDE w:val="0"/>
        <w:autoSpaceDN w:val="0"/>
        <w:adjustRightInd w:val="0"/>
        <w:ind w:left="709" w:firstLine="707"/>
        <w:jc w:val="both"/>
        <w:rPr>
          <w:rFonts w:ascii="Abadi" w:hAnsi="Abadi" w:cs="*Microsoft Sans Serif-Italic-10"/>
          <w:i/>
          <w:iCs/>
          <w:color w:val="212123"/>
          <w:sz w:val="21"/>
          <w:szCs w:val="21"/>
        </w:rPr>
      </w:pPr>
      <w:r w:rsidRPr="003C596E">
        <w:rPr>
          <w:rFonts w:ascii="Abadi" w:hAnsi="Abadi" w:cs="*Microsoft Sans Serif-Italic-10"/>
          <w:i/>
          <w:iCs/>
          <w:color w:val="212123"/>
          <w:sz w:val="21"/>
          <w:szCs w:val="21"/>
        </w:rPr>
        <w:t xml:space="preserve">l. Impacto jurídico: El artículo 40 de la Constitución Política </w:t>
      </w:r>
      <w:r w:rsidRPr="003C596E">
        <w:rPr>
          <w:rFonts w:ascii="Abadi" w:hAnsi="Abadi" w:cs="*Calibri-10110-Identity-H"/>
          <w:color w:val="212123"/>
          <w:sz w:val="21"/>
          <w:szCs w:val="21"/>
        </w:rPr>
        <w:t xml:space="preserve">de </w:t>
      </w:r>
      <w:r w:rsidRPr="003C596E">
        <w:rPr>
          <w:rFonts w:ascii="Abadi" w:hAnsi="Abadi" w:cs="*Microsoft Sans Serif-Italic-10"/>
          <w:i/>
          <w:iCs/>
          <w:color w:val="212123"/>
          <w:sz w:val="21"/>
          <w:szCs w:val="21"/>
        </w:rPr>
        <w:t>los</w:t>
      </w:r>
      <w:r>
        <w:rPr>
          <w:rFonts w:ascii="Abadi" w:hAnsi="Abadi" w:cs="*Microsoft Sans Serif-Italic-10"/>
          <w:i/>
          <w:iCs/>
          <w:color w:val="212123"/>
          <w:sz w:val="21"/>
          <w:szCs w:val="21"/>
        </w:rPr>
        <w:t xml:space="preserve"> </w:t>
      </w:r>
      <w:r w:rsidRPr="003C596E">
        <w:rPr>
          <w:rFonts w:ascii="Abadi" w:hAnsi="Abadi" w:cs="*Microsoft Sans Serif-Italic-10"/>
          <w:i/>
          <w:iCs/>
          <w:color w:val="212123"/>
          <w:sz w:val="21"/>
          <w:szCs w:val="21"/>
        </w:rPr>
        <w:t>Estados Unidos Mexicanos establece que es voluntad del pueblo</w:t>
      </w:r>
      <w:r>
        <w:rPr>
          <w:rFonts w:ascii="Abadi" w:hAnsi="Abadi" w:cs="*Microsoft Sans Serif-Italic-10"/>
          <w:i/>
          <w:iCs/>
          <w:color w:val="212123"/>
          <w:sz w:val="21"/>
          <w:szCs w:val="21"/>
        </w:rPr>
        <w:t xml:space="preserve"> </w:t>
      </w:r>
      <w:r w:rsidRPr="003C596E">
        <w:rPr>
          <w:rFonts w:ascii="Abadi" w:hAnsi="Abadi" w:cs="*Microsoft Sans Serif-Italic-10"/>
          <w:i/>
          <w:iCs/>
          <w:color w:val="212123"/>
          <w:sz w:val="21"/>
          <w:szCs w:val="21"/>
        </w:rPr>
        <w:t xml:space="preserve">mexicano constituirse en </w:t>
      </w:r>
      <w:r w:rsidRPr="003C596E">
        <w:rPr>
          <w:rFonts w:ascii="Abadi" w:hAnsi="Abadi" w:cs="*Arial-10112-Identity-H"/>
          <w:color w:val="212123"/>
          <w:sz w:val="21"/>
          <w:szCs w:val="21"/>
        </w:rPr>
        <w:t xml:space="preserve">una </w:t>
      </w:r>
      <w:r w:rsidRPr="003C596E">
        <w:rPr>
          <w:rFonts w:ascii="Abadi" w:hAnsi="Abadi" w:cs="*Microsoft Sans Serif-Italic-10"/>
          <w:i/>
          <w:iCs/>
          <w:color w:val="212123"/>
          <w:sz w:val="21"/>
          <w:szCs w:val="21"/>
        </w:rPr>
        <w:t>República representativa, democrática,</w:t>
      </w:r>
      <w:r>
        <w:rPr>
          <w:rFonts w:ascii="Abadi" w:hAnsi="Abadi" w:cs="*Microsoft Sans Serif-Italic-10"/>
          <w:i/>
          <w:iCs/>
          <w:color w:val="212123"/>
          <w:sz w:val="21"/>
          <w:szCs w:val="21"/>
        </w:rPr>
        <w:t xml:space="preserve"> </w:t>
      </w:r>
      <w:r w:rsidRPr="003C596E">
        <w:rPr>
          <w:rFonts w:ascii="Abadi" w:hAnsi="Abadi" w:cs="*Microsoft Sans Serif-Italic-10"/>
          <w:i/>
          <w:iCs/>
          <w:color w:val="212123"/>
          <w:sz w:val="21"/>
          <w:szCs w:val="21"/>
        </w:rPr>
        <w:t>laica, federal, compuesta de Estados libres y soberanos en todo lo</w:t>
      </w:r>
      <w:r>
        <w:rPr>
          <w:rFonts w:ascii="Abadi" w:hAnsi="Abadi" w:cs="*Microsoft Sans Serif-Italic-10"/>
          <w:i/>
          <w:iCs/>
          <w:color w:val="212123"/>
          <w:sz w:val="21"/>
          <w:szCs w:val="21"/>
        </w:rPr>
        <w:t xml:space="preserve"> </w:t>
      </w:r>
      <w:r w:rsidRPr="003C596E">
        <w:rPr>
          <w:rFonts w:ascii="Abadi" w:hAnsi="Abadi" w:cs="*Microsoft Sans Serif-Italic-10"/>
          <w:i/>
          <w:iCs/>
          <w:color w:val="212123"/>
          <w:sz w:val="21"/>
          <w:szCs w:val="21"/>
        </w:rPr>
        <w:t xml:space="preserve">concerniente a su régimen interior. A su vez </w:t>
      </w:r>
      <w:r w:rsidRPr="003C596E">
        <w:rPr>
          <w:rFonts w:ascii="Abadi" w:hAnsi="Abadi" w:cs="*Calibri-10110-Identity-H"/>
          <w:color w:val="212123"/>
          <w:sz w:val="21"/>
          <w:szCs w:val="21"/>
        </w:rPr>
        <w:t xml:space="preserve">la </w:t>
      </w:r>
      <w:r w:rsidRPr="003C596E">
        <w:rPr>
          <w:rFonts w:ascii="Abadi" w:hAnsi="Abadi" w:cs="*Microsoft Sans Serif-Italic-10"/>
          <w:i/>
          <w:iCs/>
          <w:color w:val="212123"/>
          <w:sz w:val="21"/>
          <w:szCs w:val="21"/>
        </w:rPr>
        <w:t>Constitución Política</w:t>
      </w:r>
      <w:r>
        <w:rPr>
          <w:rFonts w:ascii="Abadi" w:hAnsi="Abadi" w:cs="*Microsoft Sans Serif-Italic-10"/>
          <w:i/>
          <w:iCs/>
          <w:color w:val="212123"/>
          <w:sz w:val="21"/>
          <w:szCs w:val="21"/>
        </w:rPr>
        <w:t xml:space="preserve"> </w:t>
      </w:r>
      <w:r w:rsidRPr="003C596E">
        <w:rPr>
          <w:rFonts w:ascii="Abadi" w:hAnsi="Abadi" w:cs="*Microsoft Sans Serif-Italic-10"/>
          <w:i/>
          <w:iCs/>
          <w:color w:val="212123"/>
          <w:sz w:val="21"/>
          <w:szCs w:val="21"/>
        </w:rPr>
        <w:t xml:space="preserve">para el Estado de Guanajuato, en sus artículos 37 y 56 fracción </w:t>
      </w:r>
      <w:r>
        <w:rPr>
          <w:rFonts w:ascii="Abadi" w:hAnsi="Abadi" w:cs="*Times New Roman-10107-Identity"/>
          <w:color w:val="212123"/>
          <w:sz w:val="21"/>
          <w:szCs w:val="21"/>
        </w:rPr>
        <w:t xml:space="preserve">II </w:t>
      </w:r>
      <w:r w:rsidRPr="003C596E">
        <w:rPr>
          <w:rFonts w:ascii="Abadi" w:hAnsi="Abadi" w:cs="*Microsoft Sans Serif-Italic-10"/>
          <w:i/>
          <w:iCs/>
          <w:color w:val="212123"/>
          <w:sz w:val="21"/>
          <w:szCs w:val="21"/>
        </w:rPr>
        <w:t xml:space="preserve">establece </w:t>
      </w:r>
      <w:r w:rsidRPr="003C596E">
        <w:rPr>
          <w:rFonts w:ascii="Abadi" w:hAnsi="Abadi" w:cs="*Calibri-10110-Identity-H"/>
          <w:color w:val="212123"/>
          <w:sz w:val="21"/>
          <w:szCs w:val="21"/>
        </w:rPr>
        <w:t xml:space="preserve">la </w:t>
      </w:r>
      <w:r w:rsidRPr="003C596E">
        <w:rPr>
          <w:rFonts w:ascii="Abadi" w:hAnsi="Abadi" w:cs="*Microsoft Sans Serif-Italic-10"/>
          <w:i/>
          <w:iCs/>
          <w:color w:val="212123"/>
          <w:sz w:val="21"/>
          <w:szCs w:val="21"/>
        </w:rPr>
        <w:t xml:space="preserve">facultad del Congreso del Estado </w:t>
      </w:r>
      <w:r w:rsidRPr="003C596E">
        <w:rPr>
          <w:rFonts w:ascii="Abadi" w:hAnsi="Abadi" w:cs="*Calibri-10110-Identity-H"/>
          <w:color w:val="212123"/>
          <w:sz w:val="21"/>
          <w:szCs w:val="21"/>
        </w:rPr>
        <w:t xml:space="preserve">como </w:t>
      </w:r>
      <w:r w:rsidRPr="003C596E">
        <w:rPr>
          <w:rFonts w:ascii="Abadi" w:hAnsi="Abadi" w:cs="*Microsoft Sans Serif-Italic-10"/>
          <w:i/>
          <w:iCs/>
          <w:color w:val="212123"/>
          <w:sz w:val="21"/>
          <w:szCs w:val="21"/>
        </w:rPr>
        <w:t>poder legislativo</w:t>
      </w:r>
      <w:r>
        <w:rPr>
          <w:rFonts w:ascii="Abadi" w:hAnsi="Abadi" w:cs="*Microsoft Sans Serif-Italic-10"/>
          <w:i/>
          <w:iCs/>
          <w:color w:val="212123"/>
          <w:sz w:val="21"/>
          <w:szCs w:val="21"/>
        </w:rPr>
        <w:t xml:space="preserve"> </w:t>
      </w:r>
      <w:r w:rsidRPr="003C596E">
        <w:rPr>
          <w:rFonts w:ascii="Abadi" w:hAnsi="Abadi" w:cs="*Microsoft Sans Serif-Italic-10"/>
          <w:i/>
          <w:iCs/>
          <w:color w:val="212123"/>
          <w:sz w:val="21"/>
          <w:szCs w:val="21"/>
        </w:rPr>
        <w:t>con el derecho de proponer iniciativas de leyes y decretos que</w:t>
      </w:r>
      <w:r>
        <w:rPr>
          <w:rFonts w:ascii="Abadi" w:hAnsi="Abadi" w:cs="*Microsoft Sans Serif-Italic-10"/>
          <w:i/>
          <w:iCs/>
          <w:color w:val="212123"/>
          <w:sz w:val="21"/>
          <w:szCs w:val="21"/>
        </w:rPr>
        <w:t xml:space="preserve"> </w:t>
      </w:r>
      <w:r w:rsidRPr="003C596E">
        <w:rPr>
          <w:rFonts w:ascii="Abadi" w:hAnsi="Abadi" w:cs="*Microsoft Sans Serif-Italic-10"/>
          <w:i/>
          <w:iCs/>
          <w:color w:val="212123"/>
          <w:sz w:val="21"/>
          <w:szCs w:val="21"/>
        </w:rPr>
        <w:t xml:space="preserve">permitan crear </w:t>
      </w:r>
      <w:r w:rsidRPr="003C596E">
        <w:rPr>
          <w:rFonts w:ascii="Abadi" w:hAnsi="Abadi" w:cs="*Arial-10112-Identity-H"/>
          <w:color w:val="212123"/>
          <w:sz w:val="21"/>
          <w:szCs w:val="21"/>
        </w:rPr>
        <w:t xml:space="preserve">o </w:t>
      </w:r>
      <w:r w:rsidRPr="003C596E">
        <w:rPr>
          <w:rFonts w:ascii="Abadi" w:hAnsi="Abadi" w:cs="*Microsoft Sans Serif-Italic-10"/>
          <w:i/>
          <w:iCs/>
          <w:color w:val="212123"/>
          <w:sz w:val="21"/>
          <w:szCs w:val="21"/>
        </w:rPr>
        <w:t xml:space="preserve">reformar el </w:t>
      </w:r>
      <w:r w:rsidRPr="003C596E">
        <w:rPr>
          <w:rFonts w:ascii="Abadi" w:hAnsi="Abadi" w:cs="*Arial-10112-Identity-H"/>
          <w:color w:val="212123"/>
          <w:sz w:val="21"/>
          <w:szCs w:val="21"/>
        </w:rPr>
        <w:t xml:space="preserve">marco </w:t>
      </w:r>
      <w:r w:rsidRPr="003C596E">
        <w:rPr>
          <w:rFonts w:ascii="Abadi" w:hAnsi="Abadi" w:cs="*Microsoft Sans Serif-Italic-10"/>
          <w:i/>
          <w:iCs/>
          <w:color w:val="212123"/>
          <w:sz w:val="21"/>
          <w:szCs w:val="21"/>
        </w:rPr>
        <w:t>jurídico de nuestro estado. En este</w:t>
      </w:r>
      <w:r>
        <w:rPr>
          <w:rFonts w:ascii="Abadi" w:hAnsi="Abadi" w:cs="*Microsoft Sans Serif-Italic-10"/>
          <w:i/>
          <w:iCs/>
          <w:color w:val="212123"/>
          <w:sz w:val="21"/>
          <w:szCs w:val="21"/>
        </w:rPr>
        <w:t xml:space="preserve"> </w:t>
      </w:r>
      <w:r w:rsidRPr="003C596E">
        <w:rPr>
          <w:rFonts w:ascii="Abadi" w:hAnsi="Abadi" w:cs="*Microsoft Sans Serif-Italic-10"/>
          <w:i/>
          <w:iCs/>
          <w:color w:val="212123"/>
          <w:sz w:val="21"/>
          <w:szCs w:val="21"/>
        </w:rPr>
        <w:t xml:space="preserve">caso, se crea </w:t>
      </w:r>
      <w:r w:rsidRPr="003C596E">
        <w:rPr>
          <w:rFonts w:ascii="Abadi" w:hAnsi="Abadi" w:cs="*Times New Roman-10106-Identity"/>
          <w:color w:val="212123"/>
          <w:sz w:val="21"/>
          <w:szCs w:val="21"/>
        </w:rPr>
        <w:t xml:space="preserve">la </w:t>
      </w:r>
      <w:r w:rsidRPr="003C596E">
        <w:rPr>
          <w:rFonts w:ascii="Abadi" w:hAnsi="Abadi" w:cs="*Microsoft Sans Serif-Italic-10"/>
          <w:i/>
          <w:iCs/>
          <w:color w:val="212123"/>
          <w:sz w:val="21"/>
          <w:szCs w:val="21"/>
        </w:rPr>
        <w:t xml:space="preserve">Ley para la Protección, Apoyo y Fomento </w:t>
      </w:r>
      <w:r>
        <w:rPr>
          <w:rFonts w:ascii="Abadi" w:hAnsi="Abadi" w:cs="*Times New Roman-10106-Identity"/>
          <w:color w:val="212123"/>
          <w:sz w:val="21"/>
          <w:szCs w:val="21"/>
        </w:rPr>
        <w:t xml:space="preserve">a la </w:t>
      </w:r>
      <w:r w:rsidRPr="003C596E">
        <w:rPr>
          <w:rFonts w:ascii="Abadi" w:hAnsi="Abadi" w:cs="*Microsoft Sans Serif-Italic-10"/>
          <w:i/>
          <w:iCs/>
          <w:color w:val="212123"/>
          <w:sz w:val="21"/>
          <w:szCs w:val="21"/>
        </w:rPr>
        <w:t>Donación de Alimentos en el Estado de Guanajuato.</w:t>
      </w:r>
    </w:p>
    <w:p w14:paraId="4AD3C88E" w14:textId="77777777" w:rsidR="0084091D" w:rsidRPr="003C596E" w:rsidRDefault="0084091D" w:rsidP="0084091D">
      <w:pPr>
        <w:autoSpaceDE w:val="0"/>
        <w:autoSpaceDN w:val="0"/>
        <w:adjustRightInd w:val="0"/>
        <w:ind w:left="709"/>
        <w:jc w:val="both"/>
        <w:rPr>
          <w:rFonts w:ascii="Abadi" w:hAnsi="Abadi" w:cs="*Microsoft Sans Serif-Italic-10"/>
          <w:i/>
          <w:iCs/>
          <w:color w:val="212123"/>
          <w:sz w:val="21"/>
          <w:szCs w:val="21"/>
        </w:rPr>
      </w:pPr>
    </w:p>
    <w:p w14:paraId="39C1D5CA" w14:textId="77777777" w:rsidR="0084091D" w:rsidRDefault="0084091D" w:rsidP="0084091D">
      <w:pPr>
        <w:autoSpaceDE w:val="0"/>
        <w:autoSpaceDN w:val="0"/>
        <w:adjustRightInd w:val="0"/>
        <w:ind w:left="709" w:firstLine="707"/>
        <w:jc w:val="both"/>
        <w:rPr>
          <w:rFonts w:ascii="Abadi" w:hAnsi="Abadi" w:cs="*Microsoft Sans Serif-Italic-10"/>
          <w:i/>
          <w:iCs/>
          <w:color w:val="202021"/>
          <w:sz w:val="21"/>
          <w:szCs w:val="21"/>
        </w:rPr>
      </w:pPr>
      <w:r>
        <w:rPr>
          <w:rFonts w:ascii="Abadi" w:hAnsi="Abadi" w:cs="*Microsoft Sans Serif-Italic-10"/>
          <w:i/>
          <w:iCs/>
          <w:color w:val="202021"/>
          <w:sz w:val="21"/>
          <w:szCs w:val="21"/>
        </w:rPr>
        <w:t>II</w:t>
      </w:r>
      <w:r w:rsidRPr="003C596E">
        <w:rPr>
          <w:rFonts w:ascii="Abadi" w:hAnsi="Abadi" w:cs="*Microsoft Sans Serif-Italic-10"/>
          <w:i/>
          <w:iCs/>
          <w:color w:val="202021"/>
          <w:sz w:val="21"/>
          <w:szCs w:val="21"/>
        </w:rPr>
        <w:t xml:space="preserve">. Impacto administrativo: No genera </w:t>
      </w:r>
      <w:r w:rsidRPr="003C596E">
        <w:rPr>
          <w:rFonts w:ascii="Abadi" w:hAnsi="Abadi" w:cs="*Calibri-10110-Identity-H"/>
          <w:color w:val="202021"/>
          <w:sz w:val="21"/>
          <w:szCs w:val="21"/>
        </w:rPr>
        <w:t xml:space="preserve">un </w:t>
      </w:r>
      <w:r w:rsidRPr="003C596E">
        <w:rPr>
          <w:rFonts w:ascii="Abadi" w:hAnsi="Abadi" w:cs="*Microsoft Sans Serif-Italic-10"/>
          <w:i/>
          <w:iCs/>
          <w:color w:val="202021"/>
          <w:sz w:val="21"/>
          <w:szCs w:val="21"/>
        </w:rPr>
        <w:t>impacto administrativo</w:t>
      </w:r>
      <w:r>
        <w:rPr>
          <w:rFonts w:ascii="Abadi" w:hAnsi="Abadi" w:cs="*Microsoft Sans Serif-Italic-10"/>
          <w:i/>
          <w:iCs/>
          <w:color w:val="202021"/>
          <w:sz w:val="21"/>
          <w:szCs w:val="21"/>
        </w:rPr>
        <w:t xml:space="preserve"> </w:t>
      </w:r>
      <w:r w:rsidRPr="003C596E">
        <w:rPr>
          <w:rFonts w:ascii="Abadi" w:hAnsi="Abadi" w:cs="*Microsoft Sans Serif-Italic-10"/>
          <w:i/>
          <w:iCs/>
          <w:color w:val="202021"/>
          <w:sz w:val="21"/>
          <w:szCs w:val="21"/>
        </w:rPr>
        <w:t xml:space="preserve">toda vez que </w:t>
      </w:r>
      <w:r w:rsidRPr="003C596E">
        <w:rPr>
          <w:rFonts w:ascii="Abadi" w:hAnsi="Abadi" w:cs="*Calibri-10110-Identity-H"/>
          <w:color w:val="202021"/>
          <w:sz w:val="21"/>
          <w:szCs w:val="21"/>
        </w:rPr>
        <w:t xml:space="preserve">la </w:t>
      </w:r>
      <w:r w:rsidRPr="003C596E">
        <w:rPr>
          <w:rFonts w:ascii="Abadi" w:hAnsi="Abadi" w:cs="*Microsoft Sans Serif-Italic-10"/>
          <w:i/>
          <w:iCs/>
          <w:color w:val="202021"/>
          <w:sz w:val="21"/>
          <w:szCs w:val="21"/>
        </w:rPr>
        <w:t xml:space="preserve">presente iniciativa </w:t>
      </w:r>
      <w:r w:rsidRPr="003C596E">
        <w:rPr>
          <w:rFonts w:ascii="Abadi" w:hAnsi="Abadi" w:cs="*Calibri-10110-Identity-H"/>
          <w:color w:val="202021"/>
          <w:sz w:val="21"/>
          <w:szCs w:val="21"/>
        </w:rPr>
        <w:t xml:space="preserve">es </w:t>
      </w:r>
      <w:r w:rsidRPr="003C596E">
        <w:rPr>
          <w:rFonts w:ascii="Abadi" w:hAnsi="Abadi" w:cs="*Microsoft Sans Serif-Italic-10"/>
          <w:i/>
          <w:iCs/>
          <w:color w:val="202021"/>
          <w:sz w:val="21"/>
          <w:szCs w:val="21"/>
        </w:rPr>
        <w:t>de fomento.</w:t>
      </w:r>
    </w:p>
    <w:p w14:paraId="5C3376EE" w14:textId="77777777" w:rsidR="0084091D" w:rsidRPr="003C596E" w:rsidRDefault="0084091D" w:rsidP="0084091D">
      <w:pPr>
        <w:autoSpaceDE w:val="0"/>
        <w:autoSpaceDN w:val="0"/>
        <w:adjustRightInd w:val="0"/>
        <w:ind w:left="709"/>
        <w:jc w:val="both"/>
        <w:rPr>
          <w:rFonts w:ascii="Abadi" w:hAnsi="Abadi" w:cs="*Microsoft Sans Serif-Italic-10"/>
          <w:i/>
          <w:iCs/>
          <w:color w:val="202021"/>
          <w:sz w:val="21"/>
          <w:szCs w:val="21"/>
        </w:rPr>
      </w:pPr>
    </w:p>
    <w:p w14:paraId="3D666C6A" w14:textId="77777777" w:rsidR="0084091D" w:rsidRDefault="0084091D" w:rsidP="0084091D">
      <w:pPr>
        <w:autoSpaceDE w:val="0"/>
        <w:autoSpaceDN w:val="0"/>
        <w:adjustRightInd w:val="0"/>
        <w:ind w:left="709" w:firstLine="707"/>
        <w:jc w:val="both"/>
        <w:rPr>
          <w:rFonts w:ascii="Abadi" w:hAnsi="Abadi" w:cs="*Microsoft Sans Serif-Italic-10"/>
          <w:i/>
          <w:iCs/>
          <w:color w:val="202022"/>
          <w:sz w:val="21"/>
          <w:szCs w:val="21"/>
        </w:rPr>
      </w:pPr>
      <w:r>
        <w:rPr>
          <w:rFonts w:ascii="Abadi" w:hAnsi="Abadi" w:cs="*Microsoft Sans Serif-Italic-10"/>
          <w:i/>
          <w:iCs/>
          <w:color w:val="202022"/>
          <w:sz w:val="21"/>
          <w:szCs w:val="21"/>
        </w:rPr>
        <w:t>III</w:t>
      </w:r>
      <w:r w:rsidRPr="003C596E">
        <w:rPr>
          <w:rFonts w:ascii="Abadi" w:hAnsi="Abadi" w:cs="*Microsoft Sans Serif-Italic-10"/>
          <w:i/>
          <w:iCs/>
          <w:color w:val="202022"/>
          <w:sz w:val="21"/>
          <w:szCs w:val="21"/>
        </w:rPr>
        <w:t>. Impacto presupuestario: No genera un impacto presupuesto!,</w:t>
      </w:r>
      <w:r>
        <w:rPr>
          <w:rFonts w:ascii="Abadi" w:hAnsi="Abadi" w:cs="*Microsoft Sans Serif-Italic-10"/>
          <w:i/>
          <w:iCs/>
          <w:color w:val="202022"/>
          <w:sz w:val="21"/>
          <w:szCs w:val="21"/>
        </w:rPr>
        <w:t xml:space="preserve"> </w:t>
      </w:r>
      <w:r w:rsidRPr="003C596E">
        <w:rPr>
          <w:rFonts w:ascii="Abadi" w:hAnsi="Abadi" w:cs="*Microsoft Sans Serif-Italic-10"/>
          <w:i/>
          <w:iCs/>
          <w:color w:val="202022"/>
          <w:sz w:val="21"/>
          <w:szCs w:val="21"/>
        </w:rPr>
        <w:t>toda vez que la iniciativa tiene por objeto únicamente el fomento</w:t>
      </w:r>
      <w:r>
        <w:rPr>
          <w:rFonts w:ascii="Abadi" w:hAnsi="Abadi" w:cs="*Microsoft Sans Serif-Italic-10"/>
          <w:i/>
          <w:iCs/>
          <w:color w:val="202022"/>
          <w:sz w:val="21"/>
          <w:szCs w:val="21"/>
        </w:rPr>
        <w:t xml:space="preserve"> </w:t>
      </w:r>
      <w:r w:rsidRPr="003C596E">
        <w:rPr>
          <w:rFonts w:ascii="Abadi" w:hAnsi="Abadi" w:cs="*Calibri-10110-Identity-H"/>
          <w:color w:val="202022"/>
          <w:sz w:val="21"/>
          <w:szCs w:val="21"/>
        </w:rPr>
        <w:t xml:space="preserve">además </w:t>
      </w:r>
      <w:r w:rsidRPr="003C596E">
        <w:rPr>
          <w:rFonts w:ascii="Abadi" w:hAnsi="Abadi" w:cs="*Microsoft Sans Serif-Italic-10"/>
          <w:i/>
          <w:iCs/>
          <w:color w:val="202022"/>
          <w:sz w:val="21"/>
          <w:szCs w:val="21"/>
        </w:rPr>
        <w:t xml:space="preserve">que la </w:t>
      </w:r>
      <w:r w:rsidRPr="003C596E">
        <w:rPr>
          <w:rFonts w:ascii="Abadi" w:hAnsi="Abadi" w:cs="*Calibri-10110-Identity-H"/>
          <w:color w:val="202022"/>
          <w:sz w:val="21"/>
          <w:szCs w:val="21"/>
        </w:rPr>
        <w:t xml:space="preserve">creación </w:t>
      </w:r>
      <w:r w:rsidRPr="003C596E">
        <w:rPr>
          <w:rFonts w:ascii="Abadi" w:hAnsi="Abadi" w:cs="*Microsoft Sans Serif-Italic-10"/>
          <w:i/>
          <w:iCs/>
          <w:color w:val="202022"/>
          <w:sz w:val="21"/>
          <w:szCs w:val="21"/>
        </w:rPr>
        <w:t xml:space="preserve">del Comité </w:t>
      </w:r>
      <w:r w:rsidRPr="003C596E">
        <w:rPr>
          <w:rFonts w:ascii="Abadi" w:hAnsi="Abadi" w:cs="*Calibri-10110-Identity-H"/>
          <w:color w:val="202022"/>
          <w:sz w:val="21"/>
          <w:szCs w:val="21"/>
        </w:rPr>
        <w:t xml:space="preserve">es </w:t>
      </w:r>
      <w:r w:rsidRPr="003C596E">
        <w:rPr>
          <w:rFonts w:ascii="Abadi" w:hAnsi="Abadi" w:cs="*Microsoft Sans Serif-Italic-10"/>
          <w:i/>
          <w:iCs/>
          <w:color w:val="202022"/>
          <w:sz w:val="21"/>
          <w:szCs w:val="21"/>
        </w:rPr>
        <w:t>de carácter honorífico.</w:t>
      </w:r>
    </w:p>
    <w:p w14:paraId="1D5A0430" w14:textId="77777777" w:rsidR="0084091D" w:rsidRPr="003C596E" w:rsidRDefault="0084091D" w:rsidP="0084091D">
      <w:pPr>
        <w:autoSpaceDE w:val="0"/>
        <w:autoSpaceDN w:val="0"/>
        <w:adjustRightInd w:val="0"/>
        <w:ind w:left="709"/>
        <w:jc w:val="both"/>
        <w:rPr>
          <w:rFonts w:ascii="Abadi" w:hAnsi="Abadi" w:cs="*Microsoft Sans Serif-Italic-10"/>
          <w:i/>
          <w:iCs/>
          <w:color w:val="202022"/>
          <w:sz w:val="21"/>
          <w:szCs w:val="21"/>
        </w:rPr>
      </w:pPr>
    </w:p>
    <w:p w14:paraId="215F6B93" w14:textId="77777777" w:rsidR="0084091D" w:rsidRPr="003C596E" w:rsidRDefault="0084091D" w:rsidP="0084091D">
      <w:pPr>
        <w:autoSpaceDE w:val="0"/>
        <w:autoSpaceDN w:val="0"/>
        <w:adjustRightInd w:val="0"/>
        <w:ind w:left="709" w:firstLine="707"/>
        <w:jc w:val="both"/>
        <w:rPr>
          <w:rFonts w:ascii="Abadi" w:hAnsi="Abadi" w:cs="*Microsoft Sans Serif-Italic-10"/>
          <w:i/>
          <w:iCs/>
          <w:color w:val="1F1F21"/>
          <w:sz w:val="21"/>
          <w:szCs w:val="21"/>
        </w:rPr>
      </w:pPr>
      <w:r w:rsidRPr="003C596E">
        <w:rPr>
          <w:rFonts w:ascii="Abadi" w:hAnsi="Abadi" w:cs="*Microsoft Sans Serif-Italic-10"/>
          <w:i/>
          <w:iCs/>
          <w:color w:val="1F1F21"/>
          <w:sz w:val="21"/>
          <w:szCs w:val="21"/>
        </w:rPr>
        <w:t xml:space="preserve">IV. Impacto social: Esta Ley permitirá impulsar la cultura de </w:t>
      </w:r>
      <w:r w:rsidRPr="003C596E">
        <w:rPr>
          <w:rFonts w:ascii="Abadi" w:hAnsi="Abadi" w:cs="*Times New Roman-10106-Identity"/>
          <w:color w:val="1F1F21"/>
          <w:sz w:val="21"/>
          <w:szCs w:val="21"/>
        </w:rPr>
        <w:t>la</w:t>
      </w:r>
      <w:r>
        <w:rPr>
          <w:rFonts w:ascii="Abadi" w:hAnsi="Abadi" w:cs="*Times New Roman-10106-Identity"/>
          <w:color w:val="1F1F21"/>
          <w:sz w:val="21"/>
          <w:szCs w:val="21"/>
        </w:rPr>
        <w:t xml:space="preserve"> </w:t>
      </w:r>
      <w:r w:rsidRPr="003C596E">
        <w:rPr>
          <w:rFonts w:ascii="Abadi" w:hAnsi="Abadi" w:cs="*Microsoft Sans Serif-Italic-10"/>
          <w:i/>
          <w:iCs/>
          <w:color w:val="1F1F21"/>
          <w:sz w:val="21"/>
          <w:szCs w:val="21"/>
        </w:rPr>
        <w:t xml:space="preserve">donación de alimentos y facilitar </w:t>
      </w:r>
      <w:r w:rsidRPr="003C596E">
        <w:rPr>
          <w:rFonts w:ascii="Abadi" w:hAnsi="Abadi" w:cs="*Calibri-10110-Identity-H"/>
          <w:color w:val="1F1F21"/>
          <w:sz w:val="21"/>
          <w:szCs w:val="21"/>
        </w:rPr>
        <w:t xml:space="preserve">/as </w:t>
      </w:r>
      <w:r w:rsidRPr="003C596E">
        <w:rPr>
          <w:rFonts w:ascii="Abadi" w:hAnsi="Abadi" w:cs="*Microsoft Sans Serif-Italic-10"/>
          <w:i/>
          <w:iCs/>
          <w:color w:val="1F1F21"/>
          <w:sz w:val="21"/>
          <w:szCs w:val="21"/>
        </w:rPr>
        <w:t xml:space="preserve">herramientas </w:t>
      </w:r>
      <w:r w:rsidRPr="003C596E">
        <w:rPr>
          <w:rFonts w:ascii="Abadi" w:hAnsi="Abadi" w:cs="*Calibri-10110-Identity-H"/>
          <w:color w:val="1F1F21"/>
          <w:sz w:val="21"/>
          <w:szCs w:val="21"/>
        </w:rPr>
        <w:t xml:space="preserve">jurídicas </w:t>
      </w:r>
      <w:r w:rsidRPr="003C596E">
        <w:rPr>
          <w:rFonts w:ascii="Abadi" w:hAnsi="Abadi" w:cs="*Microsoft Sans Serif-Italic-10"/>
          <w:i/>
          <w:iCs/>
          <w:color w:val="1F1F21"/>
          <w:sz w:val="21"/>
          <w:szCs w:val="21"/>
        </w:rPr>
        <w:t>e</w:t>
      </w:r>
      <w:r>
        <w:rPr>
          <w:rFonts w:ascii="Abadi" w:hAnsi="Abadi" w:cs="*Microsoft Sans Serif-Italic-10"/>
          <w:i/>
          <w:iCs/>
          <w:color w:val="1F1F21"/>
          <w:sz w:val="21"/>
          <w:szCs w:val="21"/>
        </w:rPr>
        <w:t xml:space="preserve"> </w:t>
      </w:r>
      <w:r w:rsidRPr="003C596E">
        <w:rPr>
          <w:rFonts w:ascii="Abadi" w:hAnsi="Abadi" w:cs="*Microsoft Sans Serif-Italic-10"/>
          <w:i/>
          <w:iCs/>
          <w:color w:val="1F1F21"/>
          <w:sz w:val="21"/>
          <w:szCs w:val="21"/>
        </w:rPr>
        <w:t xml:space="preserve">institucionales para que esta se lleve </w:t>
      </w:r>
      <w:r w:rsidRPr="003C596E">
        <w:rPr>
          <w:rFonts w:ascii="Abadi" w:hAnsi="Abadi" w:cs="*Times New Roman-10106-Identity"/>
          <w:color w:val="1F1F21"/>
          <w:sz w:val="21"/>
          <w:szCs w:val="21"/>
        </w:rPr>
        <w:t xml:space="preserve">a </w:t>
      </w:r>
      <w:r w:rsidRPr="003C596E">
        <w:rPr>
          <w:rFonts w:ascii="Abadi" w:hAnsi="Abadi" w:cs="*Microsoft Sans Serif-Italic-10"/>
          <w:i/>
          <w:iCs/>
          <w:color w:val="1F1F21"/>
          <w:sz w:val="21"/>
          <w:szCs w:val="21"/>
        </w:rPr>
        <w:t>cabo con mayor efectividad, lo</w:t>
      </w:r>
      <w:r>
        <w:rPr>
          <w:rFonts w:ascii="Abadi" w:hAnsi="Abadi" w:cs="*Microsoft Sans Serif-Italic-10"/>
          <w:i/>
          <w:iCs/>
          <w:color w:val="1F1F21"/>
          <w:sz w:val="21"/>
          <w:szCs w:val="21"/>
        </w:rPr>
        <w:t xml:space="preserve"> </w:t>
      </w:r>
      <w:r w:rsidRPr="003C596E">
        <w:rPr>
          <w:rFonts w:ascii="Abadi" w:hAnsi="Abadi" w:cs="*Microsoft Sans Serif-Italic-10"/>
          <w:i/>
          <w:iCs/>
          <w:color w:val="1F1F21"/>
          <w:sz w:val="21"/>
          <w:szCs w:val="21"/>
        </w:rPr>
        <w:t>que se traducirá en una mejor calidad de vida para las familias</w:t>
      </w:r>
      <w:r>
        <w:rPr>
          <w:rFonts w:ascii="Abadi" w:hAnsi="Abadi" w:cs="*Microsoft Sans Serif-Italic-10"/>
          <w:i/>
          <w:iCs/>
          <w:color w:val="1F1F21"/>
          <w:sz w:val="21"/>
          <w:szCs w:val="21"/>
        </w:rPr>
        <w:t xml:space="preserve"> </w:t>
      </w:r>
      <w:r w:rsidRPr="003C596E">
        <w:rPr>
          <w:rFonts w:ascii="Abadi" w:hAnsi="Abadi" w:cs="*Microsoft Sans Serif-Italic-10"/>
          <w:i/>
          <w:iCs/>
          <w:color w:val="1F1F21"/>
          <w:sz w:val="21"/>
          <w:szCs w:val="21"/>
        </w:rPr>
        <w:t xml:space="preserve">guanajuatenses que </w:t>
      </w:r>
      <w:r w:rsidRPr="003C596E">
        <w:rPr>
          <w:rFonts w:ascii="Abadi" w:hAnsi="Abadi" w:cs="*Arial-10112-Identity-H"/>
          <w:color w:val="1F1F21"/>
          <w:sz w:val="21"/>
          <w:szCs w:val="21"/>
        </w:rPr>
        <w:t xml:space="preserve">más </w:t>
      </w:r>
      <w:r w:rsidRPr="003C596E">
        <w:rPr>
          <w:rFonts w:ascii="Abadi" w:hAnsi="Abadi" w:cs="*Microsoft Sans Serif-Italic-10"/>
          <w:i/>
          <w:iCs/>
          <w:color w:val="1F1F21"/>
          <w:sz w:val="21"/>
          <w:szCs w:val="21"/>
        </w:rPr>
        <w:t>lo necesita</w:t>
      </w:r>
    </w:p>
    <w:p w14:paraId="64AE9A7A" w14:textId="77777777" w:rsidR="0084091D" w:rsidRPr="003C596E" w:rsidRDefault="0084091D" w:rsidP="0084091D">
      <w:pPr>
        <w:jc w:val="both"/>
        <w:rPr>
          <w:rFonts w:ascii="Abadi" w:hAnsi="Abadi" w:cs="*Microsoft Sans Serif-Italic-10"/>
          <w:i/>
          <w:iCs/>
          <w:color w:val="1F1F21"/>
          <w:sz w:val="21"/>
          <w:szCs w:val="21"/>
        </w:rPr>
      </w:pPr>
    </w:p>
    <w:p w14:paraId="19691D61" w14:textId="77777777" w:rsidR="0084091D" w:rsidRPr="003C596E" w:rsidRDefault="0084091D" w:rsidP="0084091D">
      <w:pPr>
        <w:autoSpaceDE w:val="0"/>
        <w:autoSpaceDN w:val="0"/>
        <w:adjustRightInd w:val="0"/>
        <w:ind w:firstLine="708"/>
        <w:jc w:val="both"/>
        <w:rPr>
          <w:rFonts w:ascii="Abadi" w:hAnsi="Abadi" w:cs="*Calibri-7597-Identity-H"/>
          <w:color w:val="1B1B1C"/>
          <w:sz w:val="21"/>
          <w:szCs w:val="21"/>
        </w:rPr>
      </w:pPr>
      <w:r w:rsidRPr="003C596E">
        <w:rPr>
          <w:rFonts w:ascii="Abadi" w:hAnsi="Abadi" w:cs="*Calibri-7597-Identity-H"/>
          <w:color w:val="1B1B1C"/>
          <w:sz w:val="21"/>
          <w:szCs w:val="21"/>
        </w:rPr>
        <w:t xml:space="preserve">De lo entes expuesto, esta Comisión legislativa valoró la motivación de las </w:t>
      </w:r>
      <w:r w:rsidRPr="003C596E">
        <w:rPr>
          <w:rFonts w:ascii="Abadi" w:hAnsi="Abadi" w:cs="*Verdana-7602-Identity-H"/>
          <w:color w:val="1B1B1C"/>
          <w:sz w:val="21"/>
          <w:szCs w:val="21"/>
        </w:rPr>
        <w:t>y</w:t>
      </w:r>
      <w:r>
        <w:rPr>
          <w:rFonts w:ascii="Abadi" w:hAnsi="Abadi" w:cs="*Verdana-7602-Identity-H"/>
          <w:color w:val="1B1B1C"/>
          <w:sz w:val="21"/>
          <w:szCs w:val="21"/>
        </w:rPr>
        <w:t xml:space="preserve"> </w:t>
      </w:r>
      <w:r w:rsidRPr="003C596E">
        <w:rPr>
          <w:rFonts w:ascii="Abadi" w:hAnsi="Abadi" w:cs="*Calibri-7597-Identity-H"/>
          <w:color w:val="1B1B1C"/>
          <w:sz w:val="21"/>
          <w:szCs w:val="21"/>
        </w:rPr>
        <w:t>los iniciantes, pues la autoridad legislativa reconoce que el derecho a la</w:t>
      </w:r>
      <w:r>
        <w:rPr>
          <w:rFonts w:ascii="Abadi" w:hAnsi="Abadi" w:cs="*Calibri-7597-Identity-H"/>
          <w:color w:val="1B1B1C"/>
          <w:sz w:val="21"/>
          <w:szCs w:val="21"/>
        </w:rPr>
        <w:t xml:space="preserve"> </w:t>
      </w:r>
      <w:r w:rsidRPr="003C596E">
        <w:rPr>
          <w:rFonts w:ascii="Abadi" w:hAnsi="Abadi" w:cs="*Calibri-7597-Identity-H"/>
          <w:color w:val="1B1B1C"/>
          <w:sz w:val="21"/>
          <w:szCs w:val="21"/>
        </w:rPr>
        <w:t>alimentación es un derecho humano establecido en el artículo 4</w:t>
      </w:r>
      <w:r w:rsidRPr="003C596E">
        <w:rPr>
          <w:rFonts w:ascii="Abadi" w:hAnsi="Abadi" w:cs="*Calibri-7599-Identity-H"/>
          <w:color w:val="1B1B1C"/>
          <w:sz w:val="21"/>
          <w:szCs w:val="21"/>
        </w:rPr>
        <w:t xml:space="preserve">° </w:t>
      </w:r>
      <w:r w:rsidRPr="003C596E">
        <w:rPr>
          <w:rFonts w:ascii="Abadi" w:hAnsi="Abadi" w:cs="*Calibri-7597-Identity-H"/>
          <w:color w:val="1B1B1C"/>
          <w:sz w:val="21"/>
          <w:szCs w:val="21"/>
        </w:rPr>
        <w:t>de la</w:t>
      </w:r>
      <w:r>
        <w:rPr>
          <w:rFonts w:ascii="Abadi" w:hAnsi="Abadi" w:cs="*Calibri-7597-Identity-H"/>
          <w:color w:val="1B1B1C"/>
          <w:sz w:val="21"/>
          <w:szCs w:val="21"/>
        </w:rPr>
        <w:t xml:space="preserve"> </w:t>
      </w:r>
      <w:r w:rsidRPr="003C596E">
        <w:rPr>
          <w:rFonts w:ascii="Abadi" w:hAnsi="Abadi" w:cs="*Calibri-7597-Identity-H"/>
          <w:color w:val="1B1B1C"/>
          <w:sz w:val="21"/>
          <w:szCs w:val="21"/>
        </w:rPr>
        <w:t>Constitución Política de los Estados Unidos Mexicanos. en la Declaración Universal</w:t>
      </w:r>
      <w:r>
        <w:rPr>
          <w:rFonts w:ascii="Abadi" w:hAnsi="Abadi" w:cs="*Calibri-7597-Identity-H"/>
          <w:color w:val="1B1B1C"/>
          <w:sz w:val="21"/>
          <w:szCs w:val="21"/>
        </w:rPr>
        <w:t xml:space="preserve"> </w:t>
      </w:r>
      <w:r w:rsidRPr="003C596E">
        <w:rPr>
          <w:rFonts w:ascii="Abadi" w:hAnsi="Abadi" w:cs="*Calibri-7597-Identity-H"/>
          <w:color w:val="1B1B1C"/>
          <w:sz w:val="21"/>
          <w:szCs w:val="21"/>
        </w:rPr>
        <w:t xml:space="preserve">de los Derechos Humanos, </w:t>
      </w:r>
      <w:r w:rsidRPr="003C596E">
        <w:rPr>
          <w:rFonts w:ascii="Abadi" w:hAnsi="Abadi" w:cs="*Verdana-7602-Identity-H"/>
          <w:color w:val="1B1B1C"/>
          <w:sz w:val="21"/>
          <w:szCs w:val="21"/>
        </w:rPr>
        <w:t xml:space="preserve">y </w:t>
      </w:r>
      <w:r w:rsidRPr="003C596E">
        <w:rPr>
          <w:rFonts w:ascii="Abadi" w:hAnsi="Abadi" w:cs="*Calibri-7597-Identity-H"/>
          <w:color w:val="1B1B1C"/>
          <w:sz w:val="21"/>
          <w:szCs w:val="21"/>
        </w:rPr>
        <w:t>forma parte del derecho a un nivel de vida</w:t>
      </w:r>
      <w:r>
        <w:rPr>
          <w:rFonts w:ascii="Abadi" w:hAnsi="Abadi" w:cs="*Calibri-7597-Identity-H"/>
          <w:color w:val="1B1B1C"/>
          <w:sz w:val="21"/>
          <w:szCs w:val="21"/>
        </w:rPr>
        <w:t xml:space="preserve"> </w:t>
      </w:r>
      <w:r w:rsidRPr="003C596E">
        <w:rPr>
          <w:rFonts w:ascii="Abadi" w:hAnsi="Abadi" w:cs="*Calibri-7597-Identity-H"/>
          <w:color w:val="1B1B1C"/>
          <w:sz w:val="21"/>
          <w:szCs w:val="21"/>
        </w:rPr>
        <w:t>adecuado, reconocido en el Pacto Internacional de Derechos Económicos,</w:t>
      </w:r>
      <w:r>
        <w:rPr>
          <w:rFonts w:ascii="Abadi" w:hAnsi="Abadi" w:cs="*Calibri-7597-Identity-H"/>
          <w:color w:val="1B1B1C"/>
          <w:sz w:val="21"/>
          <w:szCs w:val="21"/>
        </w:rPr>
        <w:t xml:space="preserve"> </w:t>
      </w:r>
      <w:r w:rsidRPr="003C596E">
        <w:rPr>
          <w:rFonts w:ascii="Abadi" w:hAnsi="Abadi" w:cs="*Calibri-7597-Identity-H"/>
          <w:color w:val="1B1B1C"/>
          <w:sz w:val="21"/>
          <w:szCs w:val="21"/>
        </w:rPr>
        <w:t>Sociales y Culturales, así como en otros instrumentos internacionales relacionados</w:t>
      </w:r>
      <w:r>
        <w:rPr>
          <w:rFonts w:ascii="Abadi" w:hAnsi="Abadi" w:cs="*Calibri-7597-Identity-H"/>
          <w:color w:val="1B1B1C"/>
          <w:sz w:val="21"/>
          <w:szCs w:val="21"/>
        </w:rPr>
        <w:t xml:space="preserve"> </w:t>
      </w:r>
      <w:r w:rsidRPr="003C596E">
        <w:rPr>
          <w:rFonts w:ascii="Abadi" w:hAnsi="Abadi" w:cs="*Calibri-7597-Identity-H"/>
          <w:color w:val="1B1B1C"/>
          <w:sz w:val="21"/>
          <w:szCs w:val="21"/>
        </w:rPr>
        <w:t>con este derecho, y que son vinculantes con el Estado Mexicano.</w:t>
      </w:r>
    </w:p>
    <w:p w14:paraId="7098CAA8" w14:textId="77777777" w:rsidR="0084091D" w:rsidRDefault="0084091D" w:rsidP="0084091D">
      <w:pPr>
        <w:autoSpaceDE w:val="0"/>
        <w:autoSpaceDN w:val="0"/>
        <w:adjustRightInd w:val="0"/>
        <w:jc w:val="both"/>
        <w:rPr>
          <w:rFonts w:ascii="Abadi" w:hAnsi="Abadi" w:cs="*Calibri-Bold-7598-Identity-H"/>
          <w:b/>
          <w:bCs/>
          <w:color w:val="0B0A0E"/>
          <w:sz w:val="21"/>
          <w:szCs w:val="21"/>
        </w:rPr>
      </w:pPr>
    </w:p>
    <w:p w14:paraId="30A3869E" w14:textId="77777777" w:rsidR="0084091D" w:rsidRDefault="0084091D" w:rsidP="0084091D">
      <w:pPr>
        <w:autoSpaceDE w:val="0"/>
        <w:autoSpaceDN w:val="0"/>
        <w:adjustRightInd w:val="0"/>
        <w:ind w:firstLine="708"/>
        <w:jc w:val="both"/>
        <w:rPr>
          <w:rFonts w:ascii="Abadi" w:hAnsi="Abadi" w:cs="*Calibri-Bold-7598-Identity-H"/>
          <w:b/>
          <w:bCs/>
          <w:color w:val="0B0A0E"/>
          <w:sz w:val="21"/>
          <w:szCs w:val="21"/>
        </w:rPr>
      </w:pPr>
      <w:r w:rsidRPr="003C596E">
        <w:rPr>
          <w:rFonts w:ascii="Abadi" w:hAnsi="Abadi" w:cs="*Calibri-Bold-7598-Identity-H"/>
          <w:b/>
          <w:bCs/>
          <w:color w:val="0B0A0E"/>
          <w:sz w:val="21"/>
          <w:szCs w:val="21"/>
        </w:rPr>
        <w:t>3. Análisis de la Iniciativa</w:t>
      </w:r>
    </w:p>
    <w:p w14:paraId="0C703158" w14:textId="77777777" w:rsidR="0084091D" w:rsidRPr="003C596E" w:rsidRDefault="0084091D" w:rsidP="0084091D">
      <w:pPr>
        <w:autoSpaceDE w:val="0"/>
        <w:autoSpaceDN w:val="0"/>
        <w:adjustRightInd w:val="0"/>
        <w:jc w:val="both"/>
        <w:rPr>
          <w:rFonts w:ascii="Abadi" w:hAnsi="Abadi" w:cs="*Calibri-Bold-7598-Identity-H"/>
          <w:b/>
          <w:bCs/>
          <w:color w:val="0B0A0E"/>
          <w:sz w:val="21"/>
          <w:szCs w:val="21"/>
        </w:rPr>
      </w:pPr>
    </w:p>
    <w:p w14:paraId="4721BD8F" w14:textId="77777777" w:rsidR="0084091D" w:rsidRDefault="0084091D" w:rsidP="0084091D">
      <w:pPr>
        <w:autoSpaceDE w:val="0"/>
        <w:autoSpaceDN w:val="0"/>
        <w:adjustRightInd w:val="0"/>
        <w:ind w:firstLine="708"/>
        <w:jc w:val="both"/>
        <w:rPr>
          <w:rFonts w:ascii="Abadi" w:hAnsi="Abadi" w:cs="*Calibri-7597-Identity-H"/>
          <w:color w:val="1B1B1D"/>
          <w:sz w:val="21"/>
          <w:szCs w:val="21"/>
        </w:rPr>
      </w:pPr>
      <w:r w:rsidRPr="003C596E">
        <w:rPr>
          <w:rFonts w:ascii="Abadi" w:hAnsi="Abadi" w:cs="*Calibri-7597-Identity-H"/>
          <w:color w:val="1B1B1D"/>
          <w:sz w:val="21"/>
          <w:szCs w:val="21"/>
        </w:rPr>
        <w:t>Como parte de este sistema internacional de derechos humanos las</w:t>
      </w:r>
      <w:r>
        <w:rPr>
          <w:rFonts w:ascii="Abadi" w:hAnsi="Abadi" w:cs="*Calibri-7597-Identity-H"/>
          <w:color w:val="1B1B1D"/>
          <w:sz w:val="21"/>
          <w:szCs w:val="21"/>
        </w:rPr>
        <w:t xml:space="preserve"> </w:t>
      </w:r>
      <w:r w:rsidRPr="003C596E">
        <w:rPr>
          <w:rFonts w:ascii="Abadi" w:hAnsi="Abadi" w:cs="*Calibri-7597-Identity-H"/>
          <w:color w:val="1B1B1D"/>
          <w:sz w:val="21"/>
          <w:szCs w:val="21"/>
        </w:rPr>
        <w:t>obligaciones de los Estados radican en las medidas que deberán adoptar para</w:t>
      </w:r>
      <w:r>
        <w:rPr>
          <w:rFonts w:ascii="Abadi" w:hAnsi="Abadi" w:cs="*Calibri-7597-Identity-H"/>
          <w:color w:val="1B1B1D"/>
          <w:sz w:val="21"/>
          <w:szCs w:val="21"/>
        </w:rPr>
        <w:t xml:space="preserve"> </w:t>
      </w:r>
      <w:r w:rsidRPr="003C596E">
        <w:rPr>
          <w:rFonts w:ascii="Abadi" w:hAnsi="Abadi" w:cs="*Calibri-7597-Identity-H"/>
          <w:color w:val="1B1B1D"/>
          <w:sz w:val="21"/>
          <w:szCs w:val="21"/>
        </w:rPr>
        <w:t>que efectivamente hagan posible el derecho a la alimentación adecuada. Estas</w:t>
      </w:r>
      <w:r>
        <w:rPr>
          <w:rFonts w:ascii="Abadi" w:hAnsi="Abadi" w:cs="*Calibri-7597-Identity-H"/>
          <w:color w:val="1B1B1D"/>
          <w:sz w:val="21"/>
          <w:szCs w:val="21"/>
        </w:rPr>
        <w:t xml:space="preserve"> </w:t>
      </w:r>
      <w:r w:rsidRPr="003C596E">
        <w:rPr>
          <w:rFonts w:ascii="Abadi" w:hAnsi="Abadi" w:cs="*Calibri-7597-Identity-H"/>
          <w:color w:val="1B1B1D"/>
          <w:sz w:val="21"/>
          <w:szCs w:val="21"/>
        </w:rPr>
        <w:t>obligaciones han sido determinadas y definidas en la Observación General No. 12</w:t>
      </w:r>
      <w:r>
        <w:rPr>
          <w:rFonts w:ascii="Abadi" w:hAnsi="Abadi" w:cs="*Calibri-7597-Identity-H"/>
          <w:color w:val="1B1B1D"/>
          <w:sz w:val="21"/>
          <w:szCs w:val="21"/>
        </w:rPr>
        <w:t xml:space="preserve"> </w:t>
      </w:r>
      <w:r w:rsidRPr="003C596E">
        <w:rPr>
          <w:rFonts w:ascii="Abadi" w:hAnsi="Abadi" w:cs="*Calibri-7597-Identity-H"/>
          <w:color w:val="1B1B1D"/>
          <w:sz w:val="21"/>
          <w:szCs w:val="21"/>
        </w:rPr>
        <w:t>emitida por la Consejo Económico y Social de la Organización de Naciones</w:t>
      </w:r>
      <w:r>
        <w:rPr>
          <w:rFonts w:ascii="Abadi" w:hAnsi="Abadi" w:cs="*Calibri-7597-Identity-H"/>
          <w:color w:val="1B1B1D"/>
          <w:sz w:val="21"/>
          <w:szCs w:val="21"/>
        </w:rPr>
        <w:t xml:space="preserve"> </w:t>
      </w:r>
      <w:r w:rsidRPr="003C596E">
        <w:rPr>
          <w:rFonts w:ascii="Abadi" w:hAnsi="Abadi" w:cs="*Calibri-7597-Identity-H"/>
          <w:color w:val="1B1B1D"/>
          <w:sz w:val="21"/>
          <w:szCs w:val="21"/>
        </w:rPr>
        <w:t>Unidas, de: respetar, proteger, realizar o facilitar.</w:t>
      </w:r>
    </w:p>
    <w:p w14:paraId="7471E073" w14:textId="77777777" w:rsidR="0084091D" w:rsidRPr="003C596E" w:rsidRDefault="0084091D" w:rsidP="0084091D">
      <w:pPr>
        <w:autoSpaceDE w:val="0"/>
        <w:autoSpaceDN w:val="0"/>
        <w:adjustRightInd w:val="0"/>
        <w:jc w:val="both"/>
        <w:rPr>
          <w:rFonts w:ascii="Abadi" w:hAnsi="Abadi" w:cs="*Calibri-7597-Identity-H"/>
          <w:color w:val="1B1B1D"/>
          <w:sz w:val="21"/>
          <w:szCs w:val="21"/>
        </w:rPr>
      </w:pPr>
    </w:p>
    <w:p w14:paraId="4FBCA33F" w14:textId="77777777" w:rsidR="0084091D" w:rsidRPr="003C596E" w:rsidRDefault="0084091D" w:rsidP="0084091D">
      <w:pPr>
        <w:autoSpaceDE w:val="0"/>
        <w:autoSpaceDN w:val="0"/>
        <w:adjustRightInd w:val="0"/>
        <w:ind w:firstLine="708"/>
        <w:jc w:val="both"/>
        <w:rPr>
          <w:rFonts w:ascii="Abadi" w:hAnsi="Abadi" w:cs="*Calibri-7597-Identity-H"/>
          <w:color w:val="1C1B1D"/>
          <w:sz w:val="21"/>
          <w:szCs w:val="21"/>
        </w:rPr>
      </w:pPr>
      <w:r w:rsidRPr="003C596E">
        <w:rPr>
          <w:rFonts w:ascii="Abadi" w:hAnsi="Abadi" w:cs="*Calibri-7597-Identity-H"/>
          <w:color w:val="1C1B1D"/>
          <w:sz w:val="21"/>
          <w:szCs w:val="21"/>
        </w:rPr>
        <w:t>Al respecto, la obligación de respetar es entendido como no imponer</w:t>
      </w:r>
      <w:r>
        <w:rPr>
          <w:rFonts w:ascii="Abadi" w:hAnsi="Abadi" w:cs="*Calibri-7597-Identity-H"/>
          <w:color w:val="1C1B1D"/>
          <w:sz w:val="21"/>
          <w:szCs w:val="21"/>
        </w:rPr>
        <w:t xml:space="preserve"> </w:t>
      </w:r>
      <w:r w:rsidRPr="003C596E">
        <w:rPr>
          <w:rFonts w:ascii="Abadi" w:hAnsi="Abadi" w:cs="*Calibri-7597-Identity-H"/>
          <w:color w:val="1C1B1D"/>
          <w:sz w:val="21"/>
          <w:szCs w:val="21"/>
        </w:rPr>
        <w:t>bar</w:t>
      </w:r>
      <w:r>
        <w:rPr>
          <w:rFonts w:ascii="Abadi" w:hAnsi="Abadi" w:cs="*Calibri-7597-Identity-H"/>
          <w:color w:val="1C1B1D"/>
          <w:sz w:val="21"/>
          <w:szCs w:val="21"/>
        </w:rPr>
        <w:t xml:space="preserve"> </w:t>
      </w:r>
      <w:r w:rsidRPr="003C596E">
        <w:rPr>
          <w:rFonts w:ascii="Abadi" w:hAnsi="Abadi" w:cs="*Calibri-7597-Identity-H"/>
          <w:color w:val="1C1B1D"/>
          <w:sz w:val="21"/>
          <w:szCs w:val="21"/>
        </w:rPr>
        <w:t>eras para que las personas puedan obtener los alimentos, lo que significa</w:t>
      </w:r>
      <w:r>
        <w:rPr>
          <w:rFonts w:ascii="Abadi" w:hAnsi="Abadi" w:cs="*Calibri-7597-Identity-H"/>
          <w:color w:val="1C1B1D"/>
          <w:sz w:val="21"/>
          <w:szCs w:val="21"/>
        </w:rPr>
        <w:t xml:space="preserve"> </w:t>
      </w:r>
      <w:r w:rsidRPr="003C596E">
        <w:rPr>
          <w:rFonts w:ascii="Abadi" w:hAnsi="Abadi" w:cs="*Calibri-7597-Identity-H"/>
          <w:color w:val="1C1B1D"/>
          <w:sz w:val="21"/>
          <w:szCs w:val="21"/>
        </w:rPr>
        <w:t>abstenerse en realizar intervenciones que afecten las posibilidades de que las</w:t>
      </w:r>
      <w:r>
        <w:rPr>
          <w:rFonts w:ascii="Abadi" w:hAnsi="Abadi" w:cs="*Calibri-7597-Identity-H"/>
          <w:color w:val="1C1B1D"/>
          <w:sz w:val="21"/>
          <w:szCs w:val="21"/>
        </w:rPr>
        <w:t xml:space="preserve"> </w:t>
      </w:r>
      <w:r w:rsidRPr="003C596E">
        <w:rPr>
          <w:rFonts w:ascii="Abadi" w:hAnsi="Abadi" w:cs="*Calibri-7597-Identity-H"/>
          <w:color w:val="1C1B1D"/>
          <w:sz w:val="21"/>
          <w:szCs w:val="21"/>
        </w:rPr>
        <w:t>personas produzcan sus alimentos o accedan de manera legal, física o</w:t>
      </w:r>
      <w:r>
        <w:rPr>
          <w:rFonts w:ascii="Abadi" w:hAnsi="Abadi" w:cs="*Calibri-7597-Identity-H"/>
          <w:color w:val="1C1B1D"/>
          <w:sz w:val="21"/>
          <w:szCs w:val="21"/>
        </w:rPr>
        <w:t xml:space="preserve"> </w:t>
      </w:r>
      <w:r w:rsidRPr="003C596E">
        <w:rPr>
          <w:rFonts w:ascii="Abadi" w:hAnsi="Abadi" w:cs="*Calibri-7597-Identity-H"/>
          <w:color w:val="1C1B1D"/>
          <w:sz w:val="21"/>
          <w:szCs w:val="21"/>
        </w:rPr>
        <w:t>económica a los mismos. La obligación de proteger se refiere a adoptar medidas</w:t>
      </w:r>
      <w:r>
        <w:rPr>
          <w:rFonts w:ascii="Abadi" w:hAnsi="Abadi" w:cs="*Calibri-7597-Identity-H"/>
          <w:color w:val="1C1B1D"/>
          <w:sz w:val="21"/>
          <w:szCs w:val="21"/>
        </w:rPr>
        <w:t xml:space="preserve"> </w:t>
      </w:r>
      <w:r w:rsidRPr="003C596E">
        <w:rPr>
          <w:rFonts w:ascii="Abadi" w:hAnsi="Abadi" w:cs="*Calibri-7597-Identity-H"/>
          <w:color w:val="1C1B1D"/>
          <w:sz w:val="21"/>
          <w:szCs w:val="21"/>
        </w:rPr>
        <w:t>que eviten que particulares priven a las personas del acceso a una alimentación</w:t>
      </w:r>
      <w:r>
        <w:rPr>
          <w:rFonts w:ascii="Abadi" w:hAnsi="Abadi" w:cs="*Calibri-7597-Identity-H"/>
          <w:color w:val="1C1B1D"/>
          <w:sz w:val="21"/>
          <w:szCs w:val="21"/>
        </w:rPr>
        <w:t xml:space="preserve"> </w:t>
      </w:r>
      <w:r w:rsidRPr="003C596E">
        <w:rPr>
          <w:rFonts w:ascii="Abadi" w:hAnsi="Abadi" w:cs="*Calibri-7597-Identity-H"/>
          <w:color w:val="1C1B1D"/>
          <w:sz w:val="21"/>
          <w:szCs w:val="21"/>
        </w:rPr>
        <w:t xml:space="preserve">adecuada </w:t>
      </w:r>
      <w:r w:rsidRPr="003C596E">
        <w:rPr>
          <w:rFonts w:ascii="Abadi" w:hAnsi="Abadi" w:cs="*Verdana-7602-Identity-H"/>
          <w:color w:val="1C1B1D"/>
          <w:sz w:val="21"/>
          <w:szCs w:val="21"/>
        </w:rPr>
        <w:t xml:space="preserve">y </w:t>
      </w:r>
      <w:r w:rsidRPr="003C596E">
        <w:rPr>
          <w:rFonts w:ascii="Abadi" w:hAnsi="Abadi" w:cs="*Calibri-7597-Identity-H"/>
          <w:color w:val="1C1B1D"/>
          <w:sz w:val="21"/>
          <w:szCs w:val="21"/>
        </w:rPr>
        <w:t>finalmente, el deber u obligación de realizar o facilitar consiste en</w:t>
      </w:r>
      <w:r>
        <w:rPr>
          <w:rFonts w:ascii="Abadi" w:hAnsi="Abadi" w:cs="*Calibri-7597-Identity-H"/>
          <w:color w:val="1C1B1D"/>
          <w:sz w:val="21"/>
          <w:szCs w:val="21"/>
        </w:rPr>
        <w:t xml:space="preserve"> </w:t>
      </w:r>
      <w:r w:rsidRPr="003C596E">
        <w:rPr>
          <w:rFonts w:ascii="Abadi" w:hAnsi="Abadi" w:cs="*Calibri-7597-Identity-H"/>
          <w:color w:val="1C1B1D"/>
          <w:sz w:val="21"/>
          <w:szCs w:val="21"/>
        </w:rPr>
        <w:t>llevar a cabo actividades con el fin de fortalecer el acceso a los alimentos por</w:t>
      </w:r>
      <w:r>
        <w:rPr>
          <w:rFonts w:ascii="Abadi" w:hAnsi="Abadi" w:cs="*Calibri-7597-Identity-H"/>
          <w:color w:val="1C1B1D"/>
          <w:sz w:val="21"/>
          <w:szCs w:val="21"/>
        </w:rPr>
        <w:t xml:space="preserve"> </w:t>
      </w:r>
      <w:r w:rsidRPr="003C596E">
        <w:rPr>
          <w:rFonts w:ascii="Abadi" w:hAnsi="Abadi" w:cs="*Calibri-7597-Identity-H"/>
          <w:color w:val="1C1B1D"/>
          <w:sz w:val="21"/>
          <w:szCs w:val="21"/>
        </w:rPr>
        <w:t xml:space="preserve">parte de la población </w:t>
      </w:r>
      <w:r w:rsidRPr="003C596E">
        <w:rPr>
          <w:rFonts w:ascii="Abadi" w:hAnsi="Abadi" w:cs="*Verdana-7602-Identity-H"/>
          <w:color w:val="1C1B1D"/>
          <w:sz w:val="21"/>
          <w:szCs w:val="21"/>
        </w:rPr>
        <w:t xml:space="preserve">y </w:t>
      </w:r>
      <w:r w:rsidRPr="003C596E">
        <w:rPr>
          <w:rFonts w:ascii="Abadi" w:hAnsi="Abadi" w:cs="*Calibri-7597-Identity-H"/>
          <w:color w:val="1C1B1D"/>
          <w:sz w:val="21"/>
          <w:szCs w:val="21"/>
        </w:rPr>
        <w:t>en casos especiales, hacer efectivo ese derecho</w:t>
      </w:r>
    </w:p>
    <w:p w14:paraId="12CF9150" w14:textId="61B7CCD7" w:rsidR="0084091D" w:rsidRDefault="0084091D" w:rsidP="0084091D">
      <w:pPr>
        <w:jc w:val="both"/>
        <w:rPr>
          <w:rFonts w:ascii="Abadi" w:hAnsi="Abadi" w:cs="*Calibri-7597-Identity-H"/>
          <w:color w:val="1C1B1D"/>
          <w:sz w:val="21"/>
          <w:szCs w:val="21"/>
        </w:rPr>
      </w:pPr>
      <w:r w:rsidRPr="003C596E">
        <w:rPr>
          <w:rFonts w:ascii="Abadi" w:hAnsi="Abadi" w:cs="*Calibri-7597-Identity-H"/>
          <w:color w:val="1C1B1D"/>
          <w:sz w:val="21"/>
          <w:szCs w:val="21"/>
        </w:rPr>
        <w:t>directamente.</w:t>
      </w:r>
    </w:p>
    <w:p w14:paraId="633A37FC" w14:textId="77777777" w:rsidR="00771DCC" w:rsidRPr="003C596E" w:rsidRDefault="00771DCC" w:rsidP="0084091D">
      <w:pPr>
        <w:jc w:val="both"/>
        <w:rPr>
          <w:rFonts w:ascii="Abadi" w:hAnsi="Abadi" w:cs="*Calibri-7597-Identity-H"/>
          <w:color w:val="1C1B1D"/>
          <w:sz w:val="21"/>
          <w:szCs w:val="21"/>
        </w:rPr>
      </w:pPr>
    </w:p>
    <w:p w14:paraId="40067358" w14:textId="77777777" w:rsidR="0084091D" w:rsidRDefault="0084091D" w:rsidP="0084091D">
      <w:pPr>
        <w:autoSpaceDE w:val="0"/>
        <w:autoSpaceDN w:val="0"/>
        <w:adjustRightInd w:val="0"/>
        <w:ind w:firstLine="708"/>
        <w:jc w:val="both"/>
        <w:rPr>
          <w:rFonts w:ascii="Abadi" w:hAnsi="Abadi" w:cs="*Calibri-7864-Identity-H"/>
          <w:color w:val="1A1A1C"/>
          <w:sz w:val="21"/>
          <w:szCs w:val="21"/>
        </w:rPr>
      </w:pPr>
      <w:r w:rsidRPr="003C596E">
        <w:rPr>
          <w:rFonts w:ascii="Abadi" w:hAnsi="Abadi" w:cs="*Calibri-7864-Identity-H"/>
          <w:color w:val="1A1A1C"/>
          <w:sz w:val="21"/>
          <w:szCs w:val="21"/>
        </w:rPr>
        <w:t>Estos deberes del Estado se traducen, por una parte, en la generación de</w:t>
      </w:r>
      <w:r>
        <w:rPr>
          <w:rFonts w:ascii="Abadi" w:hAnsi="Abadi" w:cs="*Calibri-7864-Identity-H"/>
          <w:color w:val="1A1A1C"/>
          <w:sz w:val="21"/>
          <w:szCs w:val="21"/>
        </w:rPr>
        <w:t xml:space="preserve"> </w:t>
      </w:r>
      <w:r w:rsidRPr="003C596E">
        <w:rPr>
          <w:rFonts w:ascii="Abadi" w:hAnsi="Abadi" w:cs="*Calibri-7864-Identity-H"/>
          <w:color w:val="1A1A1C"/>
          <w:sz w:val="21"/>
          <w:szCs w:val="21"/>
        </w:rPr>
        <w:t>políticas públicas y, por otra, en legislación.</w:t>
      </w:r>
    </w:p>
    <w:p w14:paraId="5283C32C" w14:textId="77777777" w:rsidR="0084091D" w:rsidRPr="003C596E" w:rsidRDefault="0084091D" w:rsidP="0084091D">
      <w:pPr>
        <w:autoSpaceDE w:val="0"/>
        <w:autoSpaceDN w:val="0"/>
        <w:adjustRightInd w:val="0"/>
        <w:jc w:val="both"/>
        <w:rPr>
          <w:rFonts w:ascii="Abadi" w:hAnsi="Abadi" w:cs="*Calibri-7864-Identity-H"/>
          <w:color w:val="1A1A1C"/>
          <w:sz w:val="21"/>
          <w:szCs w:val="21"/>
        </w:rPr>
      </w:pPr>
    </w:p>
    <w:p w14:paraId="23E33E69" w14:textId="77777777" w:rsidR="0084091D" w:rsidRDefault="0084091D" w:rsidP="0084091D">
      <w:pPr>
        <w:autoSpaceDE w:val="0"/>
        <w:autoSpaceDN w:val="0"/>
        <w:adjustRightInd w:val="0"/>
        <w:ind w:firstLine="708"/>
        <w:jc w:val="both"/>
        <w:rPr>
          <w:rFonts w:ascii="Abadi" w:hAnsi="Abadi" w:cs="*Calibri-7864-Identity-H"/>
          <w:color w:val="1A191B"/>
          <w:sz w:val="21"/>
          <w:szCs w:val="21"/>
        </w:rPr>
      </w:pPr>
      <w:r w:rsidRPr="003C596E">
        <w:rPr>
          <w:rFonts w:ascii="Abadi" w:hAnsi="Abadi" w:cs="*Calibri-7864-Identity-H"/>
          <w:color w:val="1A191B"/>
          <w:sz w:val="21"/>
          <w:szCs w:val="21"/>
        </w:rPr>
        <w:t>En el caso de México, se han instituido acciones en programas</w:t>
      </w:r>
      <w:r>
        <w:rPr>
          <w:rFonts w:ascii="Abadi" w:hAnsi="Abadi" w:cs="*Calibri-7864-Identity-H"/>
          <w:color w:val="1A191B"/>
          <w:sz w:val="21"/>
          <w:szCs w:val="21"/>
        </w:rPr>
        <w:t xml:space="preserve"> </w:t>
      </w:r>
      <w:r w:rsidRPr="003C596E">
        <w:rPr>
          <w:rFonts w:ascii="Abadi" w:hAnsi="Abadi" w:cs="*Calibri-7864-Identity-H"/>
          <w:color w:val="1A191B"/>
          <w:sz w:val="21"/>
          <w:szCs w:val="21"/>
        </w:rPr>
        <w:t>gubernamentales en concreto, como lo fue en la administración federal pasada,</w:t>
      </w:r>
      <w:r>
        <w:rPr>
          <w:rFonts w:ascii="Abadi" w:hAnsi="Abadi" w:cs="*Calibri-7864-Identity-H"/>
          <w:color w:val="1A191B"/>
          <w:sz w:val="21"/>
          <w:szCs w:val="21"/>
        </w:rPr>
        <w:t xml:space="preserve"> </w:t>
      </w:r>
      <w:r w:rsidRPr="003C596E">
        <w:rPr>
          <w:rFonts w:ascii="Abadi" w:hAnsi="Abadi" w:cs="*Calibri-7864-Identity-H"/>
          <w:color w:val="1A191B"/>
          <w:sz w:val="21"/>
          <w:szCs w:val="21"/>
        </w:rPr>
        <w:t>el Sistema Nacional para la Cruzada Contra el Hambre instituido para el desarrollo</w:t>
      </w:r>
      <w:r>
        <w:rPr>
          <w:rFonts w:ascii="Abadi" w:hAnsi="Abadi" w:cs="*Calibri-7864-Identity-H"/>
          <w:color w:val="1A191B"/>
          <w:sz w:val="21"/>
          <w:szCs w:val="21"/>
        </w:rPr>
        <w:t xml:space="preserve"> </w:t>
      </w:r>
      <w:r w:rsidRPr="003C596E">
        <w:rPr>
          <w:rFonts w:ascii="Abadi" w:hAnsi="Abadi" w:cs="*Calibri-7864-Identity-H"/>
          <w:color w:val="1A191B"/>
          <w:sz w:val="21"/>
          <w:szCs w:val="21"/>
        </w:rPr>
        <w:t>del Programa Nacional México Sin Hambre encabezado por la Secretaría de</w:t>
      </w:r>
      <w:r>
        <w:rPr>
          <w:rFonts w:ascii="Abadi" w:hAnsi="Abadi" w:cs="*Calibri-7864-Identity-H"/>
          <w:color w:val="1A191B"/>
          <w:sz w:val="21"/>
          <w:szCs w:val="21"/>
        </w:rPr>
        <w:t xml:space="preserve"> </w:t>
      </w:r>
      <w:r w:rsidRPr="003C596E">
        <w:rPr>
          <w:rFonts w:ascii="Abadi" w:hAnsi="Abadi" w:cs="*Calibri-7864-Identity-H"/>
          <w:color w:val="1A191B"/>
          <w:sz w:val="21"/>
          <w:szCs w:val="21"/>
        </w:rPr>
        <w:t>Desarrollo Social, lo que nos indica que la Federación a través,</w:t>
      </w:r>
      <w:r>
        <w:rPr>
          <w:rFonts w:ascii="Abadi" w:hAnsi="Abadi" w:cs="*Calibri-7864-Identity-H"/>
          <w:color w:val="1A191B"/>
          <w:sz w:val="21"/>
          <w:szCs w:val="21"/>
        </w:rPr>
        <w:t xml:space="preserve"> </w:t>
      </w:r>
      <w:r w:rsidRPr="003C596E">
        <w:rPr>
          <w:rFonts w:ascii="Abadi" w:hAnsi="Abadi" w:cs="*Calibri-7864-Identity-H"/>
          <w:color w:val="1A191B"/>
          <w:sz w:val="21"/>
          <w:szCs w:val="21"/>
        </w:rPr>
        <w:t>de esta</w:t>
      </w:r>
      <w:r>
        <w:rPr>
          <w:rFonts w:ascii="Abadi" w:hAnsi="Abadi" w:cs="*Calibri-7864-Identity-H"/>
          <w:color w:val="1A191B"/>
          <w:sz w:val="21"/>
          <w:szCs w:val="21"/>
        </w:rPr>
        <w:t xml:space="preserve"> </w:t>
      </w:r>
      <w:r w:rsidRPr="003C596E">
        <w:rPr>
          <w:rFonts w:ascii="Abadi" w:hAnsi="Abadi" w:cs="*Calibri-7864-Identity-H"/>
          <w:color w:val="1A191B"/>
          <w:sz w:val="21"/>
          <w:szCs w:val="21"/>
        </w:rPr>
        <w:t>dependencia estableció, en su momento, la rectoría nacional de la política de</w:t>
      </w:r>
      <w:r>
        <w:rPr>
          <w:rFonts w:ascii="Abadi" w:hAnsi="Abadi" w:cs="*Calibri-7864-Identity-H"/>
          <w:color w:val="1A191B"/>
          <w:sz w:val="21"/>
          <w:szCs w:val="21"/>
        </w:rPr>
        <w:t xml:space="preserve"> </w:t>
      </w:r>
      <w:r w:rsidRPr="003C596E">
        <w:rPr>
          <w:rFonts w:ascii="Abadi" w:hAnsi="Abadi" w:cs="*Calibri-7864-Identity-H"/>
          <w:color w:val="1A191B"/>
          <w:sz w:val="21"/>
          <w:szCs w:val="21"/>
        </w:rPr>
        <w:t>seguridad alimentaria en el país.</w:t>
      </w:r>
    </w:p>
    <w:p w14:paraId="5FDE0A4D" w14:textId="77777777" w:rsidR="0084091D" w:rsidRPr="003C596E" w:rsidRDefault="0084091D" w:rsidP="0084091D">
      <w:pPr>
        <w:autoSpaceDE w:val="0"/>
        <w:autoSpaceDN w:val="0"/>
        <w:adjustRightInd w:val="0"/>
        <w:jc w:val="both"/>
        <w:rPr>
          <w:rFonts w:ascii="Abadi" w:hAnsi="Abadi" w:cs="*Calibri-7864-Identity-H"/>
          <w:color w:val="1A191B"/>
          <w:sz w:val="21"/>
          <w:szCs w:val="21"/>
        </w:rPr>
      </w:pPr>
    </w:p>
    <w:p w14:paraId="643E02BD" w14:textId="77777777" w:rsidR="0084091D" w:rsidRDefault="0084091D" w:rsidP="0084091D">
      <w:pPr>
        <w:autoSpaceDE w:val="0"/>
        <w:autoSpaceDN w:val="0"/>
        <w:adjustRightInd w:val="0"/>
        <w:ind w:firstLine="708"/>
        <w:jc w:val="both"/>
        <w:rPr>
          <w:rFonts w:ascii="Abadi" w:hAnsi="Abadi" w:cs="*Calibri-7864-Identity-H"/>
          <w:color w:val="1C1C1D"/>
          <w:sz w:val="21"/>
          <w:szCs w:val="21"/>
        </w:rPr>
      </w:pPr>
      <w:r w:rsidRPr="003C596E">
        <w:rPr>
          <w:rFonts w:ascii="Abadi" w:hAnsi="Abadi" w:cs="*Calibri-7864-Identity-H"/>
          <w:color w:val="1C1C1D"/>
          <w:sz w:val="21"/>
          <w:szCs w:val="21"/>
        </w:rPr>
        <w:t>El actual gobierno federal para contribuir a lo protección del derecho a la</w:t>
      </w:r>
      <w:r>
        <w:rPr>
          <w:rFonts w:ascii="Abadi" w:hAnsi="Abadi" w:cs="*Calibri-7864-Identity-H"/>
          <w:color w:val="1C1C1D"/>
          <w:sz w:val="21"/>
          <w:szCs w:val="21"/>
        </w:rPr>
        <w:t xml:space="preserve"> </w:t>
      </w:r>
      <w:r w:rsidRPr="003C596E">
        <w:rPr>
          <w:rFonts w:ascii="Abadi" w:hAnsi="Abadi" w:cs="*Calibri-7864-Identity-H"/>
          <w:color w:val="1C1C1D"/>
          <w:sz w:val="21"/>
          <w:szCs w:val="21"/>
        </w:rPr>
        <w:t>alimentación de los sectores más vulnerables de la población en Septiembre del</w:t>
      </w:r>
      <w:r>
        <w:rPr>
          <w:rFonts w:ascii="Abadi" w:hAnsi="Abadi" w:cs="*Calibri-7864-Identity-H"/>
          <w:color w:val="1C1C1D"/>
          <w:sz w:val="21"/>
          <w:szCs w:val="21"/>
        </w:rPr>
        <w:t xml:space="preserve"> </w:t>
      </w:r>
      <w:r w:rsidRPr="003C596E">
        <w:rPr>
          <w:rFonts w:ascii="Abadi" w:hAnsi="Abadi" w:cs="*Calibri-7864-Identity-H"/>
          <w:color w:val="1C1C1D"/>
          <w:sz w:val="21"/>
          <w:szCs w:val="21"/>
        </w:rPr>
        <w:t>año 2020, el Sistema Nacional para el Desarrollo Integral de la familia (SNDIF) y la</w:t>
      </w:r>
      <w:r>
        <w:rPr>
          <w:rFonts w:ascii="Abadi" w:hAnsi="Abadi" w:cs="*Calibri-7864-Identity-H"/>
          <w:color w:val="1C1C1D"/>
          <w:sz w:val="21"/>
          <w:szCs w:val="21"/>
        </w:rPr>
        <w:t xml:space="preserve"> </w:t>
      </w:r>
      <w:r w:rsidRPr="003C596E">
        <w:rPr>
          <w:rFonts w:ascii="Abadi" w:hAnsi="Abadi" w:cs="*Calibri-7864-Identity-H"/>
          <w:color w:val="1C1C1D"/>
          <w:sz w:val="21"/>
          <w:szCs w:val="21"/>
        </w:rPr>
        <w:t>Organización de las Naciones Unidas para la Alimentación (FAO) firmaron una</w:t>
      </w:r>
      <w:r>
        <w:rPr>
          <w:rFonts w:ascii="Abadi" w:hAnsi="Abadi" w:cs="*Calibri-7864-Identity-H"/>
          <w:color w:val="1C1C1D"/>
          <w:sz w:val="21"/>
          <w:szCs w:val="21"/>
        </w:rPr>
        <w:t xml:space="preserve"> </w:t>
      </w:r>
      <w:r w:rsidRPr="003C596E">
        <w:rPr>
          <w:rFonts w:ascii="Abadi" w:hAnsi="Abadi" w:cs="*Calibri-7864-Identity-H"/>
          <w:color w:val="1C1C1D"/>
          <w:sz w:val="21"/>
          <w:szCs w:val="21"/>
        </w:rPr>
        <w:t>carta de intención que busca impulsar el desarrollo de acciones y herramientas</w:t>
      </w:r>
      <w:r>
        <w:rPr>
          <w:rFonts w:ascii="Abadi" w:hAnsi="Abadi" w:cs="*Calibri-7864-Identity-H"/>
          <w:color w:val="1C1C1D"/>
          <w:sz w:val="21"/>
          <w:szCs w:val="21"/>
        </w:rPr>
        <w:t xml:space="preserve"> </w:t>
      </w:r>
      <w:r w:rsidRPr="003C596E">
        <w:rPr>
          <w:rFonts w:ascii="Abadi" w:hAnsi="Abadi" w:cs="*Calibri-7864-Identity-H"/>
          <w:color w:val="1C1C1D"/>
          <w:sz w:val="21"/>
          <w:szCs w:val="21"/>
        </w:rPr>
        <w:t>que permitan lograr este fin, donde ambas instancias se comprometieron a</w:t>
      </w:r>
      <w:r>
        <w:rPr>
          <w:rFonts w:ascii="Abadi" w:hAnsi="Abadi" w:cs="*Calibri-7864-Identity-H"/>
          <w:color w:val="1C1C1D"/>
          <w:sz w:val="21"/>
          <w:szCs w:val="21"/>
        </w:rPr>
        <w:t xml:space="preserve"> </w:t>
      </w:r>
      <w:r w:rsidRPr="003C596E">
        <w:rPr>
          <w:rFonts w:ascii="Abadi" w:hAnsi="Abadi" w:cs="*Calibri-7864-Identity-H"/>
          <w:color w:val="1C1C1D"/>
          <w:sz w:val="21"/>
          <w:szCs w:val="21"/>
        </w:rPr>
        <w:t>coadyuvar en el fomento a la capacitación, la promoción y la prestación de</w:t>
      </w:r>
      <w:r>
        <w:rPr>
          <w:rFonts w:ascii="Abadi" w:hAnsi="Abadi" w:cs="*Calibri-7864-Identity-H"/>
          <w:color w:val="1C1C1D"/>
          <w:sz w:val="21"/>
          <w:szCs w:val="21"/>
        </w:rPr>
        <w:t xml:space="preserve"> </w:t>
      </w:r>
      <w:r w:rsidRPr="003C596E">
        <w:rPr>
          <w:rFonts w:ascii="Abadi" w:hAnsi="Abadi" w:cs="*Calibri-7864-Identity-H"/>
          <w:color w:val="1C1C1D"/>
          <w:sz w:val="21"/>
          <w:szCs w:val="21"/>
        </w:rPr>
        <w:t>servicios de asistencia social alimentaria a niñas, niños y familias en condiciones</w:t>
      </w:r>
      <w:r>
        <w:rPr>
          <w:rFonts w:ascii="Abadi" w:hAnsi="Abadi" w:cs="*Calibri-7864-Identity-H"/>
          <w:color w:val="1C1C1D"/>
          <w:sz w:val="21"/>
          <w:szCs w:val="21"/>
        </w:rPr>
        <w:t xml:space="preserve"> </w:t>
      </w:r>
      <w:r w:rsidRPr="003C596E">
        <w:rPr>
          <w:rFonts w:ascii="Abadi" w:hAnsi="Abadi" w:cs="*Calibri-7864-Identity-H"/>
          <w:color w:val="1C1C1D"/>
          <w:sz w:val="21"/>
          <w:szCs w:val="21"/>
        </w:rPr>
        <w:t>de vulnerabilidad, priorizando a quienes han sido afectados y vulnerados en su</w:t>
      </w:r>
      <w:r>
        <w:rPr>
          <w:rFonts w:ascii="Abadi" w:hAnsi="Abadi" w:cs="*Calibri-7864-Identity-H"/>
          <w:color w:val="1C1C1D"/>
          <w:sz w:val="21"/>
          <w:szCs w:val="21"/>
        </w:rPr>
        <w:t xml:space="preserve"> </w:t>
      </w:r>
      <w:r w:rsidRPr="003C596E">
        <w:rPr>
          <w:rFonts w:ascii="Abadi" w:hAnsi="Abadi" w:cs="*Calibri-7864-Identity-H"/>
          <w:color w:val="1C1C1D"/>
          <w:sz w:val="21"/>
          <w:szCs w:val="21"/>
        </w:rPr>
        <w:t>derecho a la alimentación por la emergencia sanitaria del COVID-19.</w:t>
      </w:r>
    </w:p>
    <w:p w14:paraId="39FBF38A" w14:textId="77777777" w:rsidR="0084091D" w:rsidRPr="003C596E" w:rsidRDefault="0084091D" w:rsidP="0084091D">
      <w:pPr>
        <w:autoSpaceDE w:val="0"/>
        <w:autoSpaceDN w:val="0"/>
        <w:adjustRightInd w:val="0"/>
        <w:jc w:val="both"/>
        <w:rPr>
          <w:rFonts w:ascii="Abadi" w:hAnsi="Abadi" w:cs="*Calibri-7864-Identity-H"/>
          <w:color w:val="1C1C1D"/>
          <w:sz w:val="21"/>
          <w:szCs w:val="21"/>
        </w:rPr>
      </w:pPr>
    </w:p>
    <w:p w14:paraId="11BAB7AC" w14:textId="77777777" w:rsidR="0084091D" w:rsidRPr="003C596E" w:rsidRDefault="0084091D" w:rsidP="0084091D">
      <w:pPr>
        <w:autoSpaceDE w:val="0"/>
        <w:autoSpaceDN w:val="0"/>
        <w:adjustRightInd w:val="0"/>
        <w:ind w:firstLine="708"/>
        <w:jc w:val="both"/>
        <w:rPr>
          <w:rFonts w:ascii="Abadi" w:hAnsi="Abadi" w:cs="*Calibri-7864-Identity-H"/>
          <w:color w:val="1B1B1D"/>
          <w:sz w:val="21"/>
          <w:szCs w:val="21"/>
        </w:rPr>
      </w:pPr>
      <w:r w:rsidRPr="003C596E">
        <w:rPr>
          <w:rFonts w:ascii="Abadi" w:hAnsi="Abadi" w:cs="*Calibri-7864-Identity-H"/>
          <w:color w:val="1B1B1D"/>
          <w:sz w:val="21"/>
          <w:szCs w:val="21"/>
        </w:rPr>
        <w:t>Por lo que respecta a la adopción de legislación también ha sido uno de</w:t>
      </w:r>
      <w:r>
        <w:rPr>
          <w:rFonts w:ascii="Abadi" w:hAnsi="Abadi" w:cs="*Calibri-7864-Identity-H"/>
          <w:color w:val="1B1B1D"/>
          <w:sz w:val="21"/>
          <w:szCs w:val="21"/>
        </w:rPr>
        <w:t xml:space="preserve"> </w:t>
      </w:r>
      <w:r w:rsidRPr="003C596E">
        <w:rPr>
          <w:rFonts w:ascii="Abadi" w:hAnsi="Abadi" w:cs="*Calibri-7864-Identity-H"/>
          <w:color w:val="1B1B1D"/>
          <w:sz w:val="21"/>
          <w:szCs w:val="21"/>
        </w:rPr>
        <w:t>los deberes asumidos por el Estado, a través de la previsión del derecho a la</w:t>
      </w:r>
      <w:r>
        <w:rPr>
          <w:rFonts w:ascii="Abadi" w:hAnsi="Abadi" w:cs="*Calibri-7864-Identity-H"/>
          <w:color w:val="1B1B1D"/>
          <w:sz w:val="21"/>
          <w:szCs w:val="21"/>
        </w:rPr>
        <w:t xml:space="preserve"> </w:t>
      </w:r>
      <w:r w:rsidRPr="003C596E">
        <w:rPr>
          <w:rFonts w:ascii="Abadi" w:hAnsi="Abadi" w:cs="*Calibri-7864-Identity-H"/>
          <w:color w:val="1B1B1D"/>
          <w:sz w:val="21"/>
          <w:szCs w:val="21"/>
        </w:rPr>
        <w:t>alimentación adecuada reconocido en el artículo 4</w:t>
      </w:r>
      <w:r w:rsidRPr="003C596E">
        <w:rPr>
          <w:rFonts w:ascii="Abadi" w:hAnsi="Abadi" w:cs="*Calibri-7865-Identity-H"/>
          <w:color w:val="1B1B1D"/>
          <w:sz w:val="21"/>
          <w:szCs w:val="21"/>
        </w:rPr>
        <w:t xml:space="preserve">° </w:t>
      </w:r>
      <w:r w:rsidRPr="003C596E">
        <w:rPr>
          <w:rFonts w:ascii="Abadi" w:hAnsi="Abadi" w:cs="*Calibri-7864-Identity-H"/>
          <w:color w:val="1B1B1D"/>
          <w:sz w:val="21"/>
          <w:szCs w:val="21"/>
        </w:rPr>
        <w:t>de la Carta Fundamental y</w:t>
      </w:r>
      <w:r>
        <w:rPr>
          <w:rFonts w:ascii="Abadi" w:hAnsi="Abadi" w:cs="*Calibri-7864-Identity-H"/>
          <w:color w:val="1B1B1D"/>
          <w:sz w:val="21"/>
          <w:szCs w:val="21"/>
        </w:rPr>
        <w:t xml:space="preserve"> </w:t>
      </w:r>
      <w:r w:rsidRPr="003C596E">
        <w:rPr>
          <w:rFonts w:ascii="Abadi" w:hAnsi="Abadi" w:cs="*Calibri-7864-Identity-H"/>
          <w:color w:val="1B1B1D"/>
          <w:sz w:val="21"/>
          <w:szCs w:val="21"/>
        </w:rPr>
        <w:t>desarrollado en su ley reglamentaria la Ley General de Salud, así como en la Ley</w:t>
      </w:r>
      <w:r>
        <w:rPr>
          <w:rFonts w:ascii="Abadi" w:hAnsi="Abadi" w:cs="*Calibri-7864-Identity-H"/>
          <w:color w:val="1B1B1D"/>
          <w:sz w:val="21"/>
          <w:szCs w:val="21"/>
        </w:rPr>
        <w:t xml:space="preserve"> </w:t>
      </w:r>
      <w:r w:rsidRPr="003C596E">
        <w:rPr>
          <w:rFonts w:ascii="Abadi" w:hAnsi="Abadi" w:cs="*Calibri-7864-Identity-H"/>
          <w:color w:val="1B1B1D"/>
          <w:sz w:val="21"/>
          <w:szCs w:val="21"/>
        </w:rPr>
        <w:t>de Asistencia Social y en las normas oficiales mexicanas de aplicación y</w:t>
      </w:r>
      <w:r>
        <w:rPr>
          <w:rFonts w:ascii="Abadi" w:hAnsi="Abadi" w:cs="*Calibri-7864-Identity-H"/>
          <w:color w:val="1B1B1D"/>
          <w:sz w:val="21"/>
          <w:szCs w:val="21"/>
        </w:rPr>
        <w:t xml:space="preserve"> </w:t>
      </w:r>
      <w:r w:rsidRPr="003C596E">
        <w:rPr>
          <w:rFonts w:ascii="Abadi" w:hAnsi="Abadi" w:cs="*Calibri-7864-Identity-H"/>
          <w:color w:val="1B1B1D"/>
          <w:sz w:val="21"/>
          <w:szCs w:val="21"/>
        </w:rPr>
        <w:t>observancia obligatoria en todo el territorio nacional.</w:t>
      </w:r>
    </w:p>
    <w:p w14:paraId="43250059" w14:textId="77777777" w:rsidR="0084091D" w:rsidRPr="003C596E" w:rsidRDefault="0084091D" w:rsidP="0084091D">
      <w:pPr>
        <w:jc w:val="both"/>
        <w:rPr>
          <w:rFonts w:ascii="Abadi" w:hAnsi="Abadi" w:cs="*Calibri-7864-Identity-H"/>
          <w:color w:val="1B1B1D"/>
          <w:sz w:val="21"/>
          <w:szCs w:val="21"/>
        </w:rPr>
      </w:pPr>
    </w:p>
    <w:p w14:paraId="7D8B3F61" w14:textId="77777777" w:rsidR="0084091D" w:rsidRDefault="0084091D" w:rsidP="0084091D">
      <w:pPr>
        <w:autoSpaceDE w:val="0"/>
        <w:autoSpaceDN w:val="0"/>
        <w:adjustRightInd w:val="0"/>
        <w:ind w:firstLine="708"/>
        <w:jc w:val="both"/>
        <w:rPr>
          <w:rFonts w:ascii="Abadi" w:hAnsi="Abadi" w:cs="*Microsoft Sans Serif-8687-Iden"/>
          <w:color w:val="1B1A1C"/>
          <w:sz w:val="21"/>
          <w:szCs w:val="21"/>
        </w:rPr>
      </w:pPr>
      <w:r w:rsidRPr="003C596E">
        <w:rPr>
          <w:rFonts w:ascii="Abadi" w:hAnsi="Abadi" w:cs="*Microsoft Sans Serif-8687-Iden"/>
          <w:color w:val="1B1A1C"/>
          <w:sz w:val="21"/>
          <w:szCs w:val="21"/>
        </w:rPr>
        <w:t>La Ley General de Salud prevé en el artículo 2o. que el derecho a la</w:t>
      </w:r>
      <w:r>
        <w:rPr>
          <w:rFonts w:ascii="Abadi" w:hAnsi="Abadi" w:cs="*Microsoft Sans Serif-8687-Iden"/>
          <w:color w:val="1B1A1C"/>
          <w:sz w:val="21"/>
          <w:szCs w:val="21"/>
        </w:rPr>
        <w:t xml:space="preserve"> </w:t>
      </w:r>
      <w:r w:rsidRPr="003C596E">
        <w:rPr>
          <w:rFonts w:ascii="Abadi" w:hAnsi="Abadi" w:cs="*Microsoft Sans Serif-8687-Iden"/>
          <w:color w:val="1B1A1C"/>
          <w:sz w:val="21"/>
          <w:szCs w:val="21"/>
        </w:rPr>
        <w:t>protección de la salud tiene como finalidad, entre otras, el disfrute de servicios de</w:t>
      </w:r>
      <w:r>
        <w:rPr>
          <w:rFonts w:ascii="Abadi" w:hAnsi="Abadi" w:cs="*Microsoft Sans Serif-8687-Iden"/>
          <w:color w:val="1B1A1C"/>
          <w:sz w:val="21"/>
          <w:szCs w:val="21"/>
        </w:rPr>
        <w:t xml:space="preserve"> </w:t>
      </w:r>
      <w:r w:rsidRPr="003C596E">
        <w:rPr>
          <w:rFonts w:ascii="Abadi" w:hAnsi="Abadi" w:cs="*Microsoft Sans Serif-8687-Iden"/>
          <w:color w:val="1B1A1C"/>
          <w:sz w:val="21"/>
          <w:szCs w:val="21"/>
        </w:rPr>
        <w:t>salud y de asistencia social que satisfagan eficaz y oportunamente las</w:t>
      </w:r>
      <w:r>
        <w:rPr>
          <w:rFonts w:ascii="Abadi" w:hAnsi="Abadi" w:cs="*Microsoft Sans Serif-8687-Iden"/>
          <w:color w:val="1B1A1C"/>
          <w:sz w:val="21"/>
          <w:szCs w:val="21"/>
        </w:rPr>
        <w:t xml:space="preserve"> </w:t>
      </w:r>
      <w:r w:rsidRPr="003C596E">
        <w:rPr>
          <w:rFonts w:ascii="Abadi" w:hAnsi="Abadi" w:cs="*Microsoft Sans Serif-8687-Iden"/>
          <w:color w:val="1B1A1C"/>
          <w:sz w:val="21"/>
          <w:szCs w:val="21"/>
        </w:rPr>
        <w:t>necesidades de la población. La asistencia social según el artículo 167 del mismo</w:t>
      </w:r>
      <w:r>
        <w:rPr>
          <w:rFonts w:ascii="Abadi" w:hAnsi="Abadi" w:cs="*Microsoft Sans Serif-8687-Iden"/>
          <w:color w:val="1B1A1C"/>
          <w:sz w:val="21"/>
          <w:szCs w:val="21"/>
        </w:rPr>
        <w:t xml:space="preserve"> </w:t>
      </w:r>
      <w:r w:rsidRPr="003C596E">
        <w:rPr>
          <w:rFonts w:ascii="Abadi" w:hAnsi="Abadi" w:cs="*Microsoft Sans Serif-8687-Iden"/>
          <w:color w:val="1B1A1C"/>
          <w:sz w:val="21"/>
          <w:szCs w:val="21"/>
        </w:rPr>
        <w:t>ordenamiento es:</w:t>
      </w:r>
    </w:p>
    <w:p w14:paraId="620B5F67" w14:textId="77777777" w:rsidR="0084091D" w:rsidRPr="003C596E" w:rsidRDefault="0084091D" w:rsidP="0084091D">
      <w:pPr>
        <w:autoSpaceDE w:val="0"/>
        <w:autoSpaceDN w:val="0"/>
        <w:adjustRightInd w:val="0"/>
        <w:jc w:val="both"/>
        <w:rPr>
          <w:rFonts w:ascii="Abadi" w:hAnsi="Abadi" w:cs="*Microsoft Sans Serif-8687-Iden"/>
          <w:color w:val="1B1A1C"/>
          <w:sz w:val="21"/>
          <w:szCs w:val="21"/>
        </w:rPr>
      </w:pPr>
    </w:p>
    <w:p w14:paraId="6957D34C" w14:textId="77777777" w:rsidR="0084091D" w:rsidRDefault="0084091D" w:rsidP="0084091D">
      <w:pPr>
        <w:autoSpaceDE w:val="0"/>
        <w:autoSpaceDN w:val="0"/>
        <w:adjustRightInd w:val="0"/>
        <w:ind w:firstLine="708"/>
        <w:jc w:val="both"/>
        <w:rPr>
          <w:rFonts w:ascii="Abadi" w:hAnsi="Abadi" w:cs="*Microsoft Sans Serif-8689-Iden"/>
          <w:color w:val="201F21"/>
          <w:sz w:val="21"/>
          <w:szCs w:val="21"/>
        </w:rPr>
      </w:pPr>
      <w:r w:rsidRPr="003C596E">
        <w:rPr>
          <w:rFonts w:ascii="Abadi" w:hAnsi="Abadi" w:cs="*Microsoft Sans Serif-8689-Iden"/>
          <w:color w:val="201F21"/>
          <w:sz w:val="21"/>
          <w:szCs w:val="21"/>
        </w:rPr>
        <w:t>(...) el conjunto de acciones tendientes a modificar y mejorar las circunstancias</w:t>
      </w:r>
      <w:r>
        <w:rPr>
          <w:rFonts w:ascii="Abadi" w:hAnsi="Abadi" w:cs="*Microsoft Sans Serif-8689-Iden"/>
          <w:color w:val="201F21"/>
          <w:sz w:val="21"/>
          <w:szCs w:val="21"/>
        </w:rPr>
        <w:t xml:space="preserve"> </w:t>
      </w:r>
      <w:r w:rsidRPr="003C596E">
        <w:rPr>
          <w:rFonts w:ascii="Abadi" w:hAnsi="Abadi" w:cs="*Microsoft Sans Serif-8689-Iden"/>
          <w:color w:val="201F21"/>
          <w:sz w:val="21"/>
          <w:szCs w:val="21"/>
        </w:rPr>
        <w:t>de carácter social que impidan al individuo su desarrollo integral, así como la</w:t>
      </w:r>
      <w:r>
        <w:rPr>
          <w:rFonts w:ascii="Abadi" w:hAnsi="Abadi" w:cs="*Microsoft Sans Serif-8689-Iden"/>
          <w:color w:val="201F21"/>
          <w:sz w:val="21"/>
          <w:szCs w:val="21"/>
        </w:rPr>
        <w:t xml:space="preserve"> </w:t>
      </w:r>
      <w:r w:rsidRPr="003C596E">
        <w:rPr>
          <w:rFonts w:ascii="Abadi" w:hAnsi="Abadi" w:cs="*Microsoft Sans Serif-8689-Iden"/>
          <w:color w:val="201F21"/>
          <w:sz w:val="21"/>
          <w:szCs w:val="21"/>
        </w:rPr>
        <w:t>protección física, mental y social de personas en estado de necesidad,</w:t>
      </w:r>
      <w:r>
        <w:rPr>
          <w:rFonts w:ascii="Abadi" w:hAnsi="Abadi" w:cs="*Microsoft Sans Serif-8689-Iden"/>
          <w:color w:val="201F21"/>
          <w:sz w:val="21"/>
          <w:szCs w:val="21"/>
        </w:rPr>
        <w:t xml:space="preserve"> </w:t>
      </w:r>
      <w:r w:rsidRPr="003C596E">
        <w:rPr>
          <w:rFonts w:ascii="Abadi" w:hAnsi="Abadi" w:cs="*Microsoft Sans Serif-8689-Iden"/>
          <w:color w:val="201F21"/>
          <w:sz w:val="21"/>
          <w:szCs w:val="21"/>
        </w:rPr>
        <w:t>desprotección o desventaja física y mental y social, hasta lograr su incorporación a</w:t>
      </w:r>
      <w:r>
        <w:rPr>
          <w:rFonts w:ascii="Abadi" w:hAnsi="Abadi" w:cs="*Microsoft Sans Serif-8689-Iden"/>
          <w:color w:val="201F21"/>
          <w:sz w:val="21"/>
          <w:szCs w:val="21"/>
        </w:rPr>
        <w:t xml:space="preserve"> </w:t>
      </w:r>
      <w:r w:rsidRPr="003C596E">
        <w:rPr>
          <w:rFonts w:ascii="Abadi" w:hAnsi="Abadi" w:cs="*Microsoft Sans Serif-8689-Iden"/>
          <w:color w:val="201F21"/>
          <w:sz w:val="21"/>
          <w:szCs w:val="21"/>
        </w:rPr>
        <w:t>una vida plena y productiva.</w:t>
      </w:r>
    </w:p>
    <w:p w14:paraId="6952057D" w14:textId="77777777" w:rsidR="0084091D" w:rsidRPr="003C596E" w:rsidRDefault="0084091D" w:rsidP="0084091D">
      <w:pPr>
        <w:autoSpaceDE w:val="0"/>
        <w:autoSpaceDN w:val="0"/>
        <w:adjustRightInd w:val="0"/>
        <w:jc w:val="both"/>
        <w:rPr>
          <w:rFonts w:ascii="Abadi" w:hAnsi="Abadi" w:cs="*Microsoft Sans Serif-8689-Iden"/>
          <w:color w:val="201F21"/>
          <w:sz w:val="21"/>
          <w:szCs w:val="21"/>
        </w:rPr>
      </w:pPr>
    </w:p>
    <w:p w14:paraId="0AA9886C" w14:textId="77777777" w:rsidR="0084091D" w:rsidRDefault="0084091D" w:rsidP="0084091D">
      <w:pPr>
        <w:autoSpaceDE w:val="0"/>
        <w:autoSpaceDN w:val="0"/>
        <w:adjustRightInd w:val="0"/>
        <w:ind w:firstLine="708"/>
        <w:jc w:val="both"/>
        <w:rPr>
          <w:rFonts w:ascii="Abadi" w:hAnsi="Abadi" w:cs="*Microsoft Sans Serif-8687-Iden"/>
          <w:color w:val="1D1C1E"/>
          <w:sz w:val="21"/>
          <w:szCs w:val="21"/>
        </w:rPr>
      </w:pPr>
      <w:r w:rsidRPr="003C596E">
        <w:rPr>
          <w:rFonts w:ascii="Abadi" w:hAnsi="Abadi" w:cs="*Microsoft Sans Serif-8687-Iden"/>
          <w:color w:val="1C1C1D"/>
          <w:sz w:val="21"/>
          <w:szCs w:val="21"/>
        </w:rPr>
        <w:t>El artículo 168, fracción I de la Ley General de Salud prevé que dentro de</w:t>
      </w:r>
      <w:r>
        <w:rPr>
          <w:rFonts w:ascii="Abadi" w:hAnsi="Abadi" w:cs="*Microsoft Sans Serif-8687-Iden"/>
          <w:color w:val="1C1C1D"/>
          <w:sz w:val="21"/>
          <w:szCs w:val="21"/>
        </w:rPr>
        <w:t xml:space="preserve"> </w:t>
      </w:r>
      <w:r w:rsidRPr="003C596E">
        <w:rPr>
          <w:rFonts w:ascii="Abadi" w:hAnsi="Abadi" w:cs="*Microsoft Sans Serif-8687-Iden"/>
          <w:color w:val="1C1C1D"/>
          <w:sz w:val="21"/>
          <w:szCs w:val="21"/>
        </w:rPr>
        <w:t>las actividades de asistencia social se encuentran, la atención a las personas que</w:t>
      </w:r>
      <w:r>
        <w:rPr>
          <w:rFonts w:ascii="Abadi" w:hAnsi="Abadi" w:cs="*Microsoft Sans Serif-8687-Iden"/>
          <w:color w:val="1C1C1D"/>
          <w:sz w:val="21"/>
          <w:szCs w:val="21"/>
        </w:rPr>
        <w:t xml:space="preserve"> </w:t>
      </w:r>
      <w:r w:rsidRPr="003C596E">
        <w:rPr>
          <w:rFonts w:ascii="Abadi" w:hAnsi="Abadi" w:cs="*Microsoft Sans Serif-8687-Iden"/>
          <w:color w:val="1C1C1D"/>
          <w:sz w:val="21"/>
          <w:szCs w:val="21"/>
        </w:rPr>
        <w:t>por sus carencias socioeconómicas o por su condición de discapacidad se vean</w:t>
      </w:r>
      <w:r>
        <w:rPr>
          <w:rFonts w:ascii="Abadi" w:hAnsi="Abadi" w:cs="*Microsoft Sans Serif-8687-Iden"/>
          <w:color w:val="1C1C1D"/>
          <w:sz w:val="21"/>
          <w:szCs w:val="21"/>
        </w:rPr>
        <w:t xml:space="preserve"> </w:t>
      </w:r>
      <w:r w:rsidRPr="003C596E">
        <w:rPr>
          <w:rFonts w:ascii="Abadi" w:hAnsi="Abadi" w:cs="*Microsoft Sans Serif-8687-Iden"/>
          <w:color w:val="1C1C1D"/>
          <w:sz w:val="21"/>
          <w:szCs w:val="21"/>
        </w:rPr>
        <w:t>impedidas para satisfacer sus requerimientos básicos se subsistencia y desarrollo,</w:t>
      </w:r>
      <w:r>
        <w:rPr>
          <w:rFonts w:ascii="Abadi" w:hAnsi="Abadi" w:cs="*Microsoft Sans Serif-8687-Iden"/>
          <w:color w:val="1C1C1D"/>
          <w:sz w:val="21"/>
          <w:szCs w:val="21"/>
        </w:rPr>
        <w:t xml:space="preserve"> </w:t>
      </w:r>
      <w:r w:rsidRPr="003C596E">
        <w:rPr>
          <w:rFonts w:ascii="Abadi" w:hAnsi="Abadi" w:cs="*Microsoft Sans Serif-8687-Iden"/>
          <w:color w:val="1C1C1D"/>
          <w:sz w:val="21"/>
          <w:szCs w:val="21"/>
        </w:rPr>
        <w:t>dentro de las cuales se encuentra por obvias razones la de alimentación.</w:t>
      </w:r>
      <w:r>
        <w:rPr>
          <w:rFonts w:ascii="Abadi" w:hAnsi="Abadi" w:cs="*Microsoft Sans Serif-8687-Iden"/>
          <w:color w:val="1C1C1D"/>
          <w:sz w:val="21"/>
          <w:szCs w:val="21"/>
        </w:rPr>
        <w:t xml:space="preserve"> </w:t>
      </w:r>
      <w:r w:rsidRPr="003C596E">
        <w:rPr>
          <w:rFonts w:ascii="Abadi" w:hAnsi="Abadi" w:cs="*Microsoft Sans Serif-8687-Iden"/>
          <w:color w:val="1D1C1E"/>
          <w:sz w:val="21"/>
          <w:szCs w:val="21"/>
        </w:rPr>
        <w:t>Como parte de los servicios de salud también se encuentran los de</w:t>
      </w:r>
      <w:r>
        <w:rPr>
          <w:rFonts w:ascii="Abadi" w:hAnsi="Abadi" w:cs="*Microsoft Sans Serif-8687-Iden"/>
          <w:color w:val="1D1C1E"/>
          <w:sz w:val="21"/>
          <w:szCs w:val="21"/>
        </w:rPr>
        <w:t xml:space="preserve"> </w:t>
      </w:r>
      <w:r w:rsidRPr="003C596E">
        <w:rPr>
          <w:rFonts w:ascii="Abadi" w:hAnsi="Abadi" w:cs="*Microsoft Sans Serif-8687-Iden"/>
          <w:color w:val="1D1C1E"/>
          <w:sz w:val="21"/>
          <w:szCs w:val="21"/>
        </w:rPr>
        <w:t>asistencia social mencionados, por lo que, en congruencia dentro de los objetivos</w:t>
      </w:r>
      <w:r>
        <w:rPr>
          <w:rFonts w:ascii="Abadi" w:hAnsi="Abadi" w:cs="*Microsoft Sans Serif-8687-Iden"/>
          <w:color w:val="1D1C1E"/>
          <w:sz w:val="21"/>
          <w:szCs w:val="21"/>
        </w:rPr>
        <w:t xml:space="preserve"> </w:t>
      </w:r>
      <w:r w:rsidRPr="003C596E">
        <w:rPr>
          <w:rFonts w:ascii="Abadi" w:hAnsi="Abadi" w:cs="*Microsoft Sans Serif-8687-Iden"/>
          <w:color w:val="1D1C1E"/>
          <w:sz w:val="21"/>
          <w:szCs w:val="21"/>
        </w:rPr>
        <w:t>del referido sistema, previsto en el artículo 6</w:t>
      </w:r>
      <w:r w:rsidRPr="003C596E">
        <w:rPr>
          <w:rFonts w:ascii="Abadi" w:hAnsi="Abadi" w:cs="*Microsoft Sans Serif-8688-Iden"/>
          <w:color w:val="1D1C1E"/>
          <w:sz w:val="21"/>
          <w:szCs w:val="21"/>
        </w:rPr>
        <w:t xml:space="preserve">° </w:t>
      </w:r>
      <w:r w:rsidRPr="003C596E">
        <w:rPr>
          <w:rFonts w:ascii="Abadi" w:hAnsi="Abadi" w:cs="*Microsoft Sans Serif-8687-Iden"/>
          <w:color w:val="1D1C1E"/>
          <w:sz w:val="21"/>
          <w:szCs w:val="21"/>
        </w:rPr>
        <w:t>fracción XI de la Ley General de</w:t>
      </w:r>
      <w:r>
        <w:rPr>
          <w:rFonts w:ascii="Abadi" w:hAnsi="Abadi" w:cs="*Microsoft Sans Serif-8687-Iden"/>
          <w:color w:val="1D1C1E"/>
          <w:sz w:val="21"/>
          <w:szCs w:val="21"/>
        </w:rPr>
        <w:t xml:space="preserve"> </w:t>
      </w:r>
      <w:r w:rsidRPr="003C596E">
        <w:rPr>
          <w:rFonts w:ascii="Abadi" w:hAnsi="Abadi" w:cs="*Microsoft Sans Serif-8687-Iden"/>
          <w:color w:val="1D1C1E"/>
          <w:sz w:val="21"/>
          <w:szCs w:val="21"/>
        </w:rPr>
        <w:t>Salud, está el de diseñar y ejecutar políticas públicas que propicien la</w:t>
      </w:r>
      <w:r>
        <w:rPr>
          <w:rFonts w:ascii="Abadi" w:hAnsi="Abadi" w:cs="*Microsoft Sans Serif-8687-Iden"/>
          <w:color w:val="1D1C1E"/>
          <w:sz w:val="21"/>
          <w:szCs w:val="21"/>
        </w:rPr>
        <w:t xml:space="preserve"> </w:t>
      </w:r>
      <w:r w:rsidRPr="003C596E">
        <w:rPr>
          <w:rFonts w:ascii="Abadi" w:hAnsi="Abadi" w:cs="*Microsoft Sans Serif-8687-Iden"/>
          <w:color w:val="1D1C1E"/>
          <w:sz w:val="21"/>
          <w:szCs w:val="21"/>
        </w:rPr>
        <w:t>alimentación nutritiva y de calidad, que contrarreste eficientemente la</w:t>
      </w:r>
      <w:r>
        <w:rPr>
          <w:rFonts w:ascii="Abadi" w:hAnsi="Abadi" w:cs="*Microsoft Sans Serif-8687-Iden"/>
          <w:color w:val="1D1C1E"/>
          <w:sz w:val="21"/>
          <w:szCs w:val="21"/>
        </w:rPr>
        <w:t xml:space="preserve"> </w:t>
      </w:r>
      <w:r w:rsidRPr="003C596E">
        <w:rPr>
          <w:rFonts w:ascii="Abadi" w:hAnsi="Abadi" w:cs="*Microsoft Sans Serif-8687-Iden"/>
          <w:color w:val="1D1C1E"/>
          <w:sz w:val="21"/>
          <w:szCs w:val="21"/>
        </w:rPr>
        <w:t>desnutrición, el sobrepeso, la obesidad y otros trastornos de la conducta</w:t>
      </w:r>
      <w:r>
        <w:rPr>
          <w:rFonts w:ascii="Abadi" w:hAnsi="Abadi" w:cs="*Microsoft Sans Serif-8687-Iden"/>
          <w:color w:val="1D1C1E"/>
          <w:sz w:val="21"/>
          <w:szCs w:val="21"/>
        </w:rPr>
        <w:t xml:space="preserve"> </w:t>
      </w:r>
      <w:r w:rsidRPr="003C596E">
        <w:rPr>
          <w:rFonts w:ascii="Abadi" w:hAnsi="Abadi" w:cs="*Microsoft Sans Serif-8687-Iden"/>
          <w:color w:val="1D1C1E"/>
          <w:sz w:val="21"/>
          <w:szCs w:val="21"/>
        </w:rPr>
        <w:t>alimentaria.</w:t>
      </w:r>
    </w:p>
    <w:p w14:paraId="24E33BF4" w14:textId="77777777" w:rsidR="0084091D" w:rsidRPr="003C596E" w:rsidRDefault="0084091D" w:rsidP="0084091D">
      <w:pPr>
        <w:autoSpaceDE w:val="0"/>
        <w:autoSpaceDN w:val="0"/>
        <w:adjustRightInd w:val="0"/>
        <w:jc w:val="both"/>
        <w:rPr>
          <w:rFonts w:ascii="Abadi" w:hAnsi="Abadi" w:cs="*Microsoft Sans Serif-8687-Iden"/>
          <w:color w:val="1D1C1E"/>
          <w:sz w:val="21"/>
          <w:szCs w:val="21"/>
        </w:rPr>
      </w:pPr>
    </w:p>
    <w:p w14:paraId="3C7FB344" w14:textId="77777777" w:rsidR="0084091D" w:rsidRPr="003C596E" w:rsidRDefault="0084091D" w:rsidP="0084091D">
      <w:pPr>
        <w:autoSpaceDE w:val="0"/>
        <w:autoSpaceDN w:val="0"/>
        <w:adjustRightInd w:val="0"/>
        <w:ind w:firstLine="708"/>
        <w:jc w:val="both"/>
        <w:rPr>
          <w:rFonts w:ascii="Abadi" w:hAnsi="Abadi" w:cs="*Microsoft Sans Serif-8687-Iden"/>
          <w:color w:val="1A1A1C"/>
          <w:sz w:val="21"/>
          <w:szCs w:val="21"/>
        </w:rPr>
      </w:pPr>
      <w:r w:rsidRPr="003C596E">
        <w:rPr>
          <w:rFonts w:ascii="Abadi" w:hAnsi="Abadi" w:cs="*Microsoft Sans Serif-8687-Iden"/>
          <w:color w:val="1A1A1C"/>
          <w:sz w:val="21"/>
          <w:szCs w:val="21"/>
        </w:rPr>
        <w:t>De esta forma, junto con la Ley de Asistencia Social se crea el Sistema</w:t>
      </w:r>
      <w:r>
        <w:rPr>
          <w:rFonts w:ascii="Abadi" w:hAnsi="Abadi" w:cs="*Microsoft Sans Serif-8687-Iden"/>
          <w:color w:val="1A1A1C"/>
          <w:sz w:val="21"/>
          <w:szCs w:val="21"/>
        </w:rPr>
        <w:t xml:space="preserve"> </w:t>
      </w:r>
      <w:r w:rsidRPr="003C596E">
        <w:rPr>
          <w:rFonts w:ascii="Abadi" w:hAnsi="Abadi" w:cs="*Microsoft Sans Serif-8687-Iden"/>
          <w:color w:val="1A1A1C"/>
          <w:sz w:val="21"/>
          <w:szCs w:val="21"/>
        </w:rPr>
        <w:t>Nacional de Asistencia Social Pública y Privada.</w:t>
      </w:r>
    </w:p>
    <w:p w14:paraId="0A0D1751" w14:textId="77777777" w:rsidR="0084091D" w:rsidRPr="003C596E" w:rsidRDefault="0084091D" w:rsidP="0084091D">
      <w:pPr>
        <w:jc w:val="both"/>
        <w:rPr>
          <w:rFonts w:ascii="Abadi" w:hAnsi="Abadi" w:cs="*Microsoft Sans Serif-8687-Iden"/>
          <w:color w:val="1A1A1C"/>
          <w:sz w:val="21"/>
          <w:szCs w:val="21"/>
        </w:rPr>
      </w:pPr>
    </w:p>
    <w:p w14:paraId="33442936" w14:textId="77777777" w:rsidR="0084091D" w:rsidRDefault="0084091D" w:rsidP="0084091D">
      <w:pPr>
        <w:autoSpaceDE w:val="0"/>
        <w:autoSpaceDN w:val="0"/>
        <w:adjustRightInd w:val="0"/>
        <w:ind w:firstLine="708"/>
        <w:jc w:val="both"/>
        <w:rPr>
          <w:rFonts w:ascii="Abadi" w:hAnsi="Abadi" w:cs="*Arial-8648-Identity-H"/>
          <w:color w:val="1A191B"/>
          <w:sz w:val="21"/>
          <w:szCs w:val="21"/>
        </w:rPr>
      </w:pPr>
      <w:r w:rsidRPr="003C596E">
        <w:rPr>
          <w:rFonts w:ascii="Abadi" w:hAnsi="Abadi" w:cs="*Arial-8648-Identity-H"/>
          <w:color w:val="1A191B"/>
          <w:sz w:val="21"/>
          <w:szCs w:val="21"/>
        </w:rPr>
        <w:t>Asimismo, aparejado a lo anterior, la Ley General de Salud instituye un</w:t>
      </w:r>
      <w:r>
        <w:rPr>
          <w:rFonts w:ascii="Abadi" w:hAnsi="Abadi" w:cs="*Arial-8648-Identity-H"/>
          <w:color w:val="1A191B"/>
          <w:sz w:val="21"/>
          <w:szCs w:val="21"/>
        </w:rPr>
        <w:t xml:space="preserve"> </w:t>
      </w:r>
      <w:r w:rsidRPr="003C596E">
        <w:rPr>
          <w:rFonts w:ascii="Abadi" w:hAnsi="Abadi" w:cs="*Arial-8648-Identity-H"/>
          <w:color w:val="1A191B"/>
          <w:sz w:val="21"/>
          <w:szCs w:val="21"/>
        </w:rPr>
        <w:t>Sistema Nacional de Salud integrado por la administración pública federal y las</w:t>
      </w:r>
      <w:r>
        <w:rPr>
          <w:rFonts w:ascii="Abadi" w:hAnsi="Abadi" w:cs="*Arial-8648-Identity-H"/>
          <w:color w:val="1A191B"/>
          <w:sz w:val="21"/>
          <w:szCs w:val="21"/>
        </w:rPr>
        <w:t xml:space="preserve"> </w:t>
      </w:r>
      <w:r w:rsidRPr="003C596E">
        <w:rPr>
          <w:rFonts w:ascii="Abadi" w:hAnsi="Abadi" w:cs="*Arial-8648-Identity-H"/>
          <w:color w:val="1A191B"/>
          <w:sz w:val="21"/>
          <w:szCs w:val="21"/>
        </w:rPr>
        <w:t>locales, y por las personas físicas o morales de los sectores social y privado; de lo</w:t>
      </w:r>
      <w:r>
        <w:rPr>
          <w:rFonts w:ascii="Abadi" w:hAnsi="Abadi" w:cs="*Arial-8648-Identity-H"/>
          <w:color w:val="1A191B"/>
          <w:sz w:val="21"/>
          <w:szCs w:val="21"/>
        </w:rPr>
        <w:t xml:space="preserve"> </w:t>
      </w:r>
      <w:r w:rsidRPr="003C596E">
        <w:rPr>
          <w:rFonts w:ascii="Abadi" w:hAnsi="Abadi" w:cs="*Arial-8648-Identity-H"/>
          <w:color w:val="1A191B"/>
          <w:sz w:val="21"/>
          <w:szCs w:val="21"/>
        </w:rPr>
        <w:t>que deriva una coordinación en la prestación de los servicios de salud entre las</w:t>
      </w:r>
      <w:r>
        <w:rPr>
          <w:rFonts w:ascii="Abadi" w:hAnsi="Abadi" w:cs="*Arial-8648-Identity-H"/>
          <w:color w:val="1A191B"/>
          <w:sz w:val="21"/>
          <w:szCs w:val="21"/>
        </w:rPr>
        <w:t xml:space="preserve"> </w:t>
      </w:r>
      <w:r w:rsidRPr="003C596E">
        <w:rPr>
          <w:rFonts w:ascii="Abadi" w:hAnsi="Abadi" w:cs="*Arial-8648-Identity-H"/>
          <w:color w:val="1A191B"/>
          <w:sz w:val="21"/>
          <w:szCs w:val="21"/>
        </w:rPr>
        <w:t>autoridades federales y la de las entidades federativas juntamente con la</w:t>
      </w:r>
      <w:r>
        <w:rPr>
          <w:rFonts w:ascii="Abadi" w:hAnsi="Abadi" w:cs="*Arial-8648-Identity-H"/>
          <w:color w:val="1A191B"/>
          <w:sz w:val="21"/>
          <w:szCs w:val="21"/>
        </w:rPr>
        <w:t xml:space="preserve"> </w:t>
      </w:r>
      <w:r w:rsidRPr="003C596E">
        <w:rPr>
          <w:rFonts w:ascii="Abadi" w:hAnsi="Abadi" w:cs="*Arial-8648-Identity-H"/>
          <w:color w:val="1A191B"/>
          <w:sz w:val="21"/>
          <w:szCs w:val="21"/>
        </w:rPr>
        <w:t>participación ciudadana.</w:t>
      </w:r>
    </w:p>
    <w:p w14:paraId="58EDCB97" w14:textId="77777777" w:rsidR="0084091D" w:rsidRPr="003C596E" w:rsidRDefault="0084091D" w:rsidP="0084091D">
      <w:pPr>
        <w:autoSpaceDE w:val="0"/>
        <w:autoSpaceDN w:val="0"/>
        <w:adjustRightInd w:val="0"/>
        <w:jc w:val="both"/>
        <w:rPr>
          <w:rFonts w:ascii="Abadi" w:hAnsi="Abadi" w:cs="*Arial-8648-Identity-H"/>
          <w:color w:val="1A191B"/>
          <w:sz w:val="21"/>
          <w:szCs w:val="21"/>
        </w:rPr>
      </w:pPr>
    </w:p>
    <w:p w14:paraId="35A84AEE" w14:textId="77777777" w:rsidR="0084091D" w:rsidRDefault="0084091D" w:rsidP="0084091D">
      <w:pPr>
        <w:autoSpaceDE w:val="0"/>
        <w:autoSpaceDN w:val="0"/>
        <w:adjustRightInd w:val="0"/>
        <w:ind w:firstLine="708"/>
        <w:jc w:val="both"/>
        <w:rPr>
          <w:rFonts w:ascii="Abadi" w:hAnsi="Abadi" w:cs="*Arial-8648-Identity-H"/>
          <w:color w:val="1C1B1D"/>
          <w:sz w:val="21"/>
          <w:szCs w:val="21"/>
        </w:rPr>
      </w:pPr>
      <w:r w:rsidRPr="003C596E">
        <w:rPr>
          <w:rFonts w:ascii="Abadi" w:hAnsi="Abadi" w:cs="*Arial-8648-Identity-H"/>
          <w:color w:val="1C1B1D"/>
          <w:sz w:val="21"/>
          <w:szCs w:val="21"/>
        </w:rPr>
        <w:t>En el artículo 114 de la Ley General de Salud se describe la participación</w:t>
      </w:r>
      <w:r>
        <w:rPr>
          <w:rFonts w:ascii="Abadi" w:hAnsi="Abadi" w:cs="*Arial-8648-Identity-H"/>
          <w:color w:val="1C1B1D"/>
          <w:sz w:val="21"/>
          <w:szCs w:val="21"/>
        </w:rPr>
        <w:t xml:space="preserve"> </w:t>
      </w:r>
      <w:r w:rsidRPr="003C596E">
        <w:rPr>
          <w:rFonts w:ascii="Abadi" w:hAnsi="Abadi" w:cs="*Arial-8648-Identity-H"/>
          <w:color w:val="1C1B1D"/>
          <w:sz w:val="21"/>
          <w:szCs w:val="21"/>
        </w:rPr>
        <w:t>de los sectores público, social y privado en actividades que se relacionan con la</w:t>
      </w:r>
      <w:r>
        <w:rPr>
          <w:rFonts w:ascii="Abadi" w:hAnsi="Abadi" w:cs="*Arial-8648-Identity-H"/>
          <w:color w:val="1C1B1D"/>
          <w:sz w:val="21"/>
          <w:szCs w:val="21"/>
        </w:rPr>
        <w:t xml:space="preserve"> </w:t>
      </w:r>
      <w:r w:rsidRPr="003C596E">
        <w:rPr>
          <w:rFonts w:ascii="Abadi" w:hAnsi="Abadi" w:cs="*Arial-8648-Identity-H"/>
          <w:color w:val="1C1B1D"/>
          <w:sz w:val="21"/>
          <w:szCs w:val="21"/>
        </w:rPr>
        <w:t>nutrición, alimentos y su disponibilidad; por su parte la Ley de Asistencia Social en</w:t>
      </w:r>
      <w:r>
        <w:rPr>
          <w:rFonts w:ascii="Abadi" w:hAnsi="Abadi" w:cs="*Arial-8648-Identity-H"/>
          <w:color w:val="1C1B1D"/>
          <w:sz w:val="21"/>
          <w:szCs w:val="21"/>
        </w:rPr>
        <w:t xml:space="preserve"> </w:t>
      </w:r>
      <w:r w:rsidRPr="003C596E">
        <w:rPr>
          <w:rFonts w:ascii="Abadi" w:hAnsi="Abadi" w:cs="*Arial-8648-Identity-H"/>
          <w:color w:val="1C1B1D"/>
          <w:sz w:val="21"/>
          <w:szCs w:val="21"/>
        </w:rPr>
        <w:t>el artículo 12, fracción VIII, regula la orientación nutricional y la alimentación</w:t>
      </w:r>
      <w:r>
        <w:rPr>
          <w:rFonts w:ascii="Abadi" w:hAnsi="Abadi" w:cs="*Arial-8648-Identity-H"/>
          <w:color w:val="1C1B1D"/>
          <w:sz w:val="21"/>
          <w:szCs w:val="21"/>
        </w:rPr>
        <w:t xml:space="preserve"> </w:t>
      </w:r>
      <w:r w:rsidRPr="003C596E">
        <w:rPr>
          <w:rFonts w:ascii="Abadi" w:hAnsi="Abadi" w:cs="*Arial-8648-Identity-H"/>
          <w:color w:val="1C1B1D"/>
          <w:sz w:val="21"/>
          <w:szCs w:val="21"/>
        </w:rPr>
        <w:t>complementaria a la población de escasos recursos y de zonas marginadas.</w:t>
      </w:r>
      <w:r>
        <w:rPr>
          <w:rFonts w:ascii="Abadi" w:hAnsi="Abadi" w:cs="*Arial-8648-Identity-H"/>
          <w:color w:val="1C1B1D"/>
          <w:sz w:val="21"/>
          <w:szCs w:val="21"/>
        </w:rPr>
        <w:t xml:space="preserve"> </w:t>
      </w:r>
    </w:p>
    <w:p w14:paraId="144F5598" w14:textId="77777777" w:rsidR="0084091D" w:rsidRDefault="0084091D" w:rsidP="0084091D">
      <w:pPr>
        <w:autoSpaceDE w:val="0"/>
        <w:autoSpaceDN w:val="0"/>
        <w:adjustRightInd w:val="0"/>
        <w:jc w:val="both"/>
        <w:rPr>
          <w:rFonts w:ascii="Abadi" w:hAnsi="Abadi" w:cs="*Arial-8648-Identity-H"/>
          <w:color w:val="1C1B1D"/>
          <w:sz w:val="21"/>
          <w:szCs w:val="21"/>
        </w:rPr>
      </w:pPr>
    </w:p>
    <w:p w14:paraId="4293667C" w14:textId="77777777" w:rsidR="0084091D" w:rsidRPr="003C596E" w:rsidRDefault="0084091D" w:rsidP="0084091D">
      <w:pPr>
        <w:autoSpaceDE w:val="0"/>
        <w:autoSpaceDN w:val="0"/>
        <w:adjustRightInd w:val="0"/>
        <w:ind w:firstLine="708"/>
        <w:jc w:val="both"/>
        <w:rPr>
          <w:rFonts w:ascii="Abadi" w:hAnsi="Abadi" w:cs="*Arial-8648-Identity-H"/>
          <w:color w:val="1B1B1C"/>
          <w:sz w:val="21"/>
          <w:szCs w:val="21"/>
        </w:rPr>
      </w:pPr>
      <w:r w:rsidRPr="003C596E">
        <w:rPr>
          <w:rFonts w:ascii="Abadi" w:hAnsi="Abadi" w:cs="*Arial-8648-Identity-H"/>
          <w:color w:val="1C1B1D"/>
          <w:sz w:val="21"/>
          <w:szCs w:val="21"/>
        </w:rPr>
        <w:t xml:space="preserve">Asimismo, la Norma Oficial Mexicana denominada </w:t>
      </w:r>
      <w:r w:rsidRPr="003C596E">
        <w:rPr>
          <w:rFonts w:ascii="Abadi" w:hAnsi="Abadi" w:cs="*Microsoft Sans Serif-Italic-86"/>
          <w:i/>
          <w:iCs/>
          <w:color w:val="1C1B1D"/>
          <w:sz w:val="21"/>
          <w:szCs w:val="21"/>
        </w:rPr>
        <w:t>NOM-014-SSA3-2013, Paro la</w:t>
      </w:r>
      <w:r>
        <w:rPr>
          <w:rFonts w:ascii="Abadi" w:hAnsi="Abadi" w:cs="*Microsoft Sans Serif-Italic-86"/>
          <w:i/>
          <w:iCs/>
          <w:color w:val="1C1B1D"/>
          <w:sz w:val="21"/>
          <w:szCs w:val="21"/>
        </w:rPr>
        <w:t xml:space="preserve"> </w:t>
      </w:r>
      <w:r w:rsidRPr="003C596E">
        <w:rPr>
          <w:rFonts w:ascii="Abadi" w:hAnsi="Abadi" w:cs="*Microsoft Sans Serif-Italic-86"/>
          <w:i/>
          <w:iCs/>
          <w:color w:val="1C1B1D"/>
          <w:sz w:val="21"/>
          <w:szCs w:val="21"/>
        </w:rPr>
        <w:t xml:space="preserve">asistencia social alimentaria o grupos de riesgo, </w:t>
      </w:r>
      <w:r w:rsidRPr="003C596E">
        <w:rPr>
          <w:rFonts w:ascii="Abadi" w:hAnsi="Abadi" w:cs="*Arial-8648-Identity-H"/>
          <w:color w:val="1C1B1D"/>
          <w:sz w:val="21"/>
          <w:szCs w:val="21"/>
        </w:rPr>
        <w:t>publicada en el Diario Oficial de</w:t>
      </w:r>
      <w:r>
        <w:rPr>
          <w:rFonts w:ascii="Abadi" w:hAnsi="Abadi" w:cs="*Arial-8648-Identity-H"/>
          <w:color w:val="1C1B1D"/>
          <w:sz w:val="21"/>
          <w:szCs w:val="21"/>
        </w:rPr>
        <w:t xml:space="preserve"> </w:t>
      </w:r>
      <w:r w:rsidRPr="003C596E">
        <w:rPr>
          <w:rFonts w:ascii="Abadi" w:hAnsi="Abadi" w:cs="*Arial-8648-Identity-H"/>
          <w:color w:val="1C1B1D"/>
          <w:sz w:val="21"/>
          <w:szCs w:val="21"/>
        </w:rPr>
        <w:t>la Federación de fecha 11 de noviembre de 2014, tiene como objetivo establecer</w:t>
      </w:r>
      <w:r>
        <w:rPr>
          <w:rFonts w:ascii="Abadi" w:hAnsi="Abadi" w:cs="*Arial-8648-Identity-H"/>
          <w:color w:val="1C1B1D"/>
          <w:sz w:val="21"/>
          <w:szCs w:val="21"/>
        </w:rPr>
        <w:t xml:space="preserve"> </w:t>
      </w:r>
      <w:r w:rsidRPr="003C596E">
        <w:rPr>
          <w:rFonts w:ascii="Abadi" w:hAnsi="Abadi" w:cs="*Arial-8648-Identity-H"/>
          <w:color w:val="1C1B1D"/>
          <w:sz w:val="21"/>
          <w:szCs w:val="21"/>
        </w:rPr>
        <w:t>especificaciones mínimas que deberán observar las instituciones públicas, sociales</w:t>
      </w:r>
      <w:r>
        <w:rPr>
          <w:rFonts w:ascii="Abadi" w:hAnsi="Abadi" w:cs="*Arial-8648-Identity-H"/>
          <w:color w:val="1C1B1D"/>
          <w:sz w:val="21"/>
          <w:szCs w:val="21"/>
        </w:rPr>
        <w:t xml:space="preserve"> </w:t>
      </w:r>
      <w:r w:rsidRPr="003C596E">
        <w:rPr>
          <w:rFonts w:ascii="Abadi" w:hAnsi="Abadi" w:cs="*Arial-8648-Identity-H"/>
          <w:color w:val="1C1B1D"/>
          <w:sz w:val="21"/>
          <w:szCs w:val="21"/>
        </w:rPr>
        <w:t>y privadas, que otorguen asistencia social alimentaria a grupos de riesgo.</w:t>
      </w:r>
      <w:r>
        <w:rPr>
          <w:rFonts w:ascii="Abadi" w:hAnsi="Abadi" w:cs="*Arial-8648-Identity-H"/>
          <w:color w:val="1C1B1D"/>
          <w:sz w:val="21"/>
          <w:szCs w:val="21"/>
        </w:rPr>
        <w:t xml:space="preserve"> </w:t>
      </w:r>
      <w:r w:rsidRPr="003C596E">
        <w:rPr>
          <w:rFonts w:ascii="Abadi" w:hAnsi="Abadi" w:cs="*Arial-8648-Identity-H"/>
          <w:color w:val="1B1B1C"/>
          <w:sz w:val="21"/>
          <w:szCs w:val="21"/>
        </w:rPr>
        <w:t>En dicha norma oficial se define la asistencia social alimentaria como</w:t>
      </w:r>
      <w:r>
        <w:rPr>
          <w:rFonts w:ascii="Abadi" w:hAnsi="Abadi" w:cs="*Arial-8648-Identity-H"/>
          <w:color w:val="1B1B1C"/>
          <w:sz w:val="21"/>
          <w:szCs w:val="21"/>
        </w:rPr>
        <w:t xml:space="preserve"> </w:t>
      </w:r>
      <w:r w:rsidRPr="003C596E">
        <w:rPr>
          <w:rFonts w:ascii="Abadi" w:hAnsi="Abadi" w:cs="*Arial-8648-Identity-H"/>
          <w:color w:val="1B1B1C"/>
          <w:sz w:val="21"/>
          <w:szCs w:val="21"/>
        </w:rPr>
        <w:t>«conjunto de acciones temporales consistentes principalmente en ayuda a</w:t>
      </w:r>
      <w:r>
        <w:rPr>
          <w:rFonts w:ascii="Abadi" w:hAnsi="Abadi" w:cs="*Arial-8648-Identity-H"/>
          <w:color w:val="1B1B1C"/>
          <w:sz w:val="21"/>
          <w:szCs w:val="21"/>
        </w:rPr>
        <w:t xml:space="preserve"> </w:t>
      </w:r>
      <w:r w:rsidRPr="003C596E">
        <w:rPr>
          <w:rFonts w:ascii="Abadi" w:hAnsi="Abadi" w:cs="*Arial-8648-Identity-H"/>
          <w:color w:val="1B1B1C"/>
          <w:sz w:val="21"/>
          <w:szCs w:val="21"/>
        </w:rPr>
        <w:t>alimentaria, orientación alimentaria y fomento a la producción de alimentos,</w:t>
      </w:r>
      <w:r>
        <w:rPr>
          <w:rFonts w:ascii="Abadi" w:hAnsi="Abadi" w:cs="*Arial-8648-Identity-H"/>
          <w:color w:val="1B1B1C"/>
          <w:sz w:val="21"/>
          <w:szCs w:val="21"/>
        </w:rPr>
        <w:t xml:space="preserve"> </w:t>
      </w:r>
      <w:r w:rsidRPr="003C596E">
        <w:rPr>
          <w:rFonts w:ascii="Abadi" w:hAnsi="Abadi" w:cs="*Arial-8648-Identity-H"/>
          <w:color w:val="1B1B1C"/>
          <w:sz w:val="21"/>
          <w:szCs w:val="21"/>
        </w:rPr>
        <w:t>dirigidas a contribuir a aminorar las circunstancias que incrementan la</w:t>
      </w:r>
      <w:r>
        <w:rPr>
          <w:rFonts w:ascii="Abadi" w:hAnsi="Abadi" w:cs="*Arial-8648-Identity-H"/>
          <w:color w:val="1B1B1C"/>
          <w:sz w:val="21"/>
          <w:szCs w:val="21"/>
        </w:rPr>
        <w:t xml:space="preserve"> </w:t>
      </w:r>
      <w:r w:rsidRPr="003C596E">
        <w:rPr>
          <w:rFonts w:ascii="Abadi" w:hAnsi="Abadi" w:cs="*Arial-8648-Identity-H"/>
          <w:color w:val="1B1B1C"/>
          <w:sz w:val="21"/>
          <w:szCs w:val="21"/>
        </w:rPr>
        <w:t>vulnerabilidad de un grupo de personas». También se define a la ayuda</w:t>
      </w:r>
      <w:r>
        <w:rPr>
          <w:rFonts w:ascii="Abadi" w:hAnsi="Abadi" w:cs="*Arial-8648-Identity-H"/>
          <w:color w:val="1B1B1C"/>
          <w:sz w:val="21"/>
          <w:szCs w:val="21"/>
        </w:rPr>
        <w:t xml:space="preserve"> </w:t>
      </w:r>
      <w:r w:rsidRPr="003C596E">
        <w:rPr>
          <w:rFonts w:ascii="Abadi" w:hAnsi="Abadi" w:cs="*Arial-8648-Identity-H"/>
          <w:color w:val="1B1B1C"/>
          <w:sz w:val="21"/>
          <w:szCs w:val="21"/>
        </w:rPr>
        <w:t>alimentaria como «la acción de proporcionar alimentación complementaria a</w:t>
      </w:r>
      <w:r>
        <w:rPr>
          <w:rFonts w:ascii="Abadi" w:hAnsi="Abadi" w:cs="*Arial-8648-Identity-H"/>
          <w:color w:val="1B1B1C"/>
          <w:sz w:val="21"/>
          <w:szCs w:val="21"/>
        </w:rPr>
        <w:t xml:space="preserve"> </w:t>
      </w:r>
      <w:r w:rsidRPr="003C596E">
        <w:rPr>
          <w:rFonts w:ascii="Abadi" w:hAnsi="Abadi" w:cs="*Arial-8648-Identity-H"/>
          <w:color w:val="1B1B1C"/>
          <w:sz w:val="21"/>
          <w:szCs w:val="21"/>
        </w:rPr>
        <w:t>grupos de población que no satisfacen sus necesidades alimentarias en cantidad</w:t>
      </w:r>
      <w:r>
        <w:rPr>
          <w:rFonts w:ascii="Abadi" w:hAnsi="Abadi" w:cs="*Arial-8648-Identity-H"/>
          <w:color w:val="1B1B1C"/>
          <w:sz w:val="21"/>
          <w:szCs w:val="21"/>
        </w:rPr>
        <w:t xml:space="preserve"> </w:t>
      </w:r>
      <w:r w:rsidRPr="003C596E">
        <w:rPr>
          <w:rFonts w:ascii="Abadi" w:hAnsi="Abadi" w:cs="*Arial-8648-Identity-H"/>
          <w:color w:val="1B1B1C"/>
          <w:sz w:val="21"/>
          <w:szCs w:val="21"/>
        </w:rPr>
        <w:t>y calidad.&gt;&gt; De acuerdo con ello, el objeto materia de la iniciativa se encuentra</w:t>
      </w:r>
      <w:r>
        <w:rPr>
          <w:rFonts w:ascii="Abadi" w:hAnsi="Abadi" w:cs="*Arial-8648-Identity-H"/>
          <w:color w:val="1B1B1C"/>
          <w:sz w:val="21"/>
          <w:szCs w:val="21"/>
        </w:rPr>
        <w:t xml:space="preserve"> </w:t>
      </w:r>
      <w:r w:rsidRPr="003C596E">
        <w:rPr>
          <w:rFonts w:ascii="Abadi" w:hAnsi="Abadi" w:cs="*Arial-8648-Identity-H"/>
          <w:color w:val="1B1B1C"/>
          <w:sz w:val="21"/>
          <w:szCs w:val="21"/>
        </w:rPr>
        <w:t>contemplado también en la norma oficial de referencia.</w:t>
      </w:r>
    </w:p>
    <w:p w14:paraId="2BCF7AB7" w14:textId="77777777" w:rsidR="0084091D" w:rsidRPr="003C596E" w:rsidRDefault="0084091D" w:rsidP="0084091D">
      <w:pPr>
        <w:jc w:val="both"/>
        <w:rPr>
          <w:rFonts w:ascii="Abadi" w:hAnsi="Abadi" w:cs="*Arial-8648-Identity-H"/>
          <w:color w:val="1B1B1C"/>
          <w:sz w:val="21"/>
          <w:szCs w:val="21"/>
        </w:rPr>
      </w:pPr>
    </w:p>
    <w:p w14:paraId="51A385E3" w14:textId="77777777" w:rsidR="0084091D" w:rsidRDefault="0084091D" w:rsidP="0084091D">
      <w:pPr>
        <w:autoSpaceDE w:val="0"/>
        <w:autoSpaceDN w:val="0"/>
        <w:adjustRightInd w:val="0"/>
        <w:ind w:firstLine="708"/>
        <w:jc w:val="both"/>
        <w:rPr>
          <w:rFonts w:ascii="Abadi" w:hAnsi="Abadi" w:cs="*Courier New-7540-Identity-H"/>
          <w:color w:val="19191B"/>
          <w:sz w:val="21"/>
          <w:szCs w:val="21"/>
        </w:rPr>
      </w:pPr>
      <w:r w:rsidRPr="003C596E">
        <w:rPr>
          <w:rFonts w:ascii="Abadi" w:hAnsi="Abadi" w:cs="*Courier New-7540-Identity-H"/>
          <w:color w:val="19191B"/>
          <w:sz w:val="21"/>
          <w:szCs w:val="21"/>
        </w:rPr>
        <w:t>Bajo este contexto normativo nacional, se posibilita a las entidades</w:t>
      </w:r>
      <w:r>
        <w:rPr>
          <w:rFonts w:ascii="Abadi" w:hAnsi="Abadi" w:cs="*Courier New-7540-Identity-H"/>
          <w:color w:val="19191B"/>
          <w:sz w:val="21"/>
          <w:szCs w:val="21"/>
        </w:rPr>
        <w:t xml:space="preserve"> </w:t>
      </w:r>
      <w:r w:rsidRPr="003C596E">
        <w:rPr>
          <w:rFonts w:ascii="Abadi" w:hAnsi="Abadi" w:cs="*Courier New-7540-Identity-H"/>
          <w:color w:val="19191B"/>
          <w:sz w:val="21"/>
          <w:szCs w:val="21"/>
        </w:rPr>
        <w:t>federativas de emitir sus leyes locales en materia de salud y de asistencia social</w:t>
      </w:r>
      <w:r>
        <w:rPr>
          <w:rFonts w:ascii="Abadi" w:hAnsi="Abadi" w:cs="*Courier New-7540-Identity-H"/>
          <w:color w:val="19191B"/>
          <w:sz w:val="21"/>
          <w:szCs w:val="21"/>
        </w:rPr>
        <w:t xml:space="preserve"> </w:t>
      </w:r>
      <w:r w:rsidRPr="003C596E">
        <w:rPr>
          <w:rFonts w:ascii="Abadi" w:hAnsi="Abadi" w:cs="*Courier New-7540-Identity-H"/>
          <w:color w:val="19191B"/>
          <w:sz w:val="21"/>
          <w:szCs w:val="21"/>
        </w:rPr>
        <w:t>encargadas de desarrollar en el ámbito de su competencia sus atribuciones en la</w:t>
      </w:r>
      <w:r>
        <w:rPr>
          <w:rFonts w:ascii="Abadi" w:hAnsi="Abadi" w:cs="*Courier New-7540-Identity-H"/>
          <w:color w:val="19191B"/>
          <w:sz w:val="21"/>
          <w:szCs w:val="21"/>
        </w:rPr>
        <w:t xml:space="preserve"> </w:t>
      </w:r>
      <w:r w:rsidRPr="003C596E">
        <w:rPr>
          <w:rFonts w:ascii="Abadi" w:hAnsi="Abadi" w:cs="*Courier New-7540-Identity-H"/>
          <w:color w:val="19191B"/>
          <w:sz w:val="21"/>
          <w:szCs w:val="21"/>
        </w:rPr>
        <w:t>materia. De esta forma, en el estado de Guanajuato se cuenta con la Ley de</w:t>
      </w:r>
      <w:r>
        <w:rPr>
          <w:rFonts w:ascii="Abadi" w:hAnsi="Abadi" w:cs="*Courier New-7540-Identity-H"/>
          <w:color w:val="19191B"/>
          <w:sz w:val="21"/>
          <w:szCs w:val="21"/>
        </w:rPr>
        <w:t xml:space="preserve"> </w:t>
      </w:r>
      <w:r w:rsidRPr="003C596E">
        <w:rPr>
          <w:rFonts w:ascii="Abadi" w:hAnsi="Abadi" w:cs="*Courier New-7540-Identity-H"/>
          <w:color w:val="19191B"/>
          <w:sz w:val="21"/>
          <w:szCs w:val="21"/>
        </w:rPr>
        <w:t>Salud del Estado de Guanajuato y la Ley sobre el Sistema Estatal de Asistencia</w:t>
      </w:r>
      <w:r>
        <w:rPr>
          <w:rFonts w:ascii="Abadi" w:hAnsi="Abadi" w:cs="*Courier New-7540-Identity-H"/>
          <w:color w:val="19191B"/>
          <w:sz w:val="21"/>
          <w:szCs w:val="21"/>
        </w:rPr>
        <w:t xml:space="preserve"> </w:t>
      </w:r>
      <w:r w:rsidRPr="003C596E">
        <w:rPr>
          <w:rFonts w:ascii="Abadi" w:hAnsi="Abadi" w:cs="*Courier New-7540-Identity-H"/>
          <w:color w:val="19191B"/>
          <w:sz w:val="21"/>
          <w:szCs w:val="21"/>
        </w:rPr>
        <w:t>Social, leyes que establecen obligaciones para el Estado para la prestación de</w:t>
      </w:r>
      <w:r>
        <w:rPr>
          <w:rFonts w:ascii="Abadi" w:hAnsi="Abadi" w:cs="*Courier New-7540-Identity-H"/>
          <w:color w:val="19191B"/>
          <w:sz w:val="21"/>
          <w:szCs w:val="21"/>
        </w:rPr>
        <w:t xml:space="preserve"> </w:t>
      </w:r>
      <w:r w:rsidRPr="003C596E">
        <w:rPr>
          <w:rFonts w:ascii="Abadi" w:hAnsi="Abadi" w:cs="*Courier New-7540-Identity-H"/>
          <w:color w:val="19191B"/>
          <w:sz w:val="21"/>
          <w:szCs w:val="21"/>
        </w:rPr>
        <w:t>se</w:t>
      </w:r>
      <w:r>
        <w:rPr>
          <w:rFonts w:ascii="Abadi" w:hAnsi="Abadi" w:cs="*Courier New-7540-Identity-H"/>
          <w:color w:val="19191B"/>
          <w:sz w:val="21"/>
          <w:szCs w:val="21"/>
        </w:rPr>
        <w:t xml:space="preserve">rvicios </w:t>
      </w:r>
      <w:r w:rsidRPr="003C596E">
        <w:rPr>
          <w:rFonts w:ascii="Abadi" w:hAnsi="Abadi" w:cs="*Courier New-7540-Identity-H"/>
          <w:color w:val="19191B"/>
          <w:sz w:val="21"/>
          <w:szCs w:val="21"/>
        </w:rPr>
        <w:t>en la materia objeto de la iniciativa en estudio.</w:t>
      </w:r>
    </w:p>
    <w:p w14:paraId="09543347" w14:textId="77777777" w:rsidR="0084091D" w:rsidRPr="003C596E" w:rsidRDefault="0084091D" w:rsidP="0084091D">
      <w:pPr>
        <w:autoSpaceDE w:val="0"/>
        <w:autoSpaceDN w:val="0"/>
        <w:adjustRightInd w:val="0"/>
        <w:jc w:val="both"/>
        <w:rPr>
          <w:rFonts w:ascii="Abadi" w:hAnsi="Abadi" w:cs="*Courier New-7540-Identity-H"/>
          <w:color w:val="19191B"/>
          <w:sz w:val="21"/>
          <w:szCs w:val="21"/>
        </w:rPr>
      </w:pPr>
    </w:p>
    <w:p w14:paraId="75A03351" w14:textId="6CD7B73A" w:rsidR="0084091D" w:rsidRDefault="0084091D" w:rsidP="00771DCC">
      <w:pPr>
        <w:autoSpaceDE w:val="0"/>
        <w:autoSpaceDN w:val="0"/>
        <w:adjustRightInd w:val="0"/>
        <w:ind w:firstLine="708"/>
        <w:jc w:val="both"/>
        <w:rPr>
          <w:rFonts w:ascii="Abadi" w:hAnsi="Abadi" w:cs="*Courier New-7540-Identity-H"/>
          <w:color w:val="1C1B1D"/>
          <w:sz w:val="21"/>
          <w:szCs w:val="21"/>
        </w:rPr>
      </w:pPr>
      <w:r w:rsidRPr="003C596E">
        <w:rPr>
          <w:rFonts w:ascii="Abadi" w:hAnsi="Abadi" w:cs="*Courier New-7540-Identity-H"/>
          <w:color w:val="1C1B1D"/>
          <w:sz w:val="21"/>
          <w:szCs w:val="21"/>
        </w:rPr>
        <w:t>De lo anterior podemos señalar que el pretender crear un nuevo</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ordenamiento jurídico programático que promueva, apoye, fomente y regule la</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donación de alimentos susceptibles para consumo humano dejando de</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considerar las otras alternativas regulatorias vigentes en el Estado, resulta</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innecesario. Si bien la legislación actual es susceptible de perfeccionarse, pero no</w:t>
      </w:r>
      <w:r w:rsidR="00771DCC">
        <w:rPr>
          <w:rFonts w:ascii="Abadi" w:hAnsi="Abadi" w:cs="*Courier New-7540-Identity-H"/>
          <w:color w:val="1C1B1D"/>
          <w:sz w:val="21"/>
          <w:szCs w:val="21"/>
        </w:rPr>
        <w:t xml:space="preserve"> </w:t>
      </w:r>
      <w:r w:rsidRPr="003C596E">
        <w:rPr>
          <w:rFonts w:ascii="Abadi" w:hAnsi="Abadi" w:cs="*Courier New-7540-Identity-H"/>
          <w:color w:val="1C1B1D"/>
          <w:sz w:val="21"/>
          <w:szCs w:val="21"/>
        </w:rPr>
        <w:t>a través de otra regulación jurídica.</w:t>
      </w:r>
    </w:p>
    <w:p w14:paraId="1DDDB306" w14:textId="77777777" w:rsidR="0084091D" w:rsidRPr="003C596E" w:rsidRDefault="0084091D" w:rsidP="0084091D">
      <w:pPr>
        <w:autoSpaceDE w:val="0"/>
        <w:autoSpaceDN w:val="0"/>
        <w:adjustRightInd w:val="0"/>
        <w:jc w:val="both"/>
        <w:rPr>
          <w:rFonts w:ascii="Abadi" w:hAnsi="Abadi" w:cs="*Courier New-7540-Identity-H"/>
          <w:color w:val="1C1B1D"/>
          <w:sz w:val="21"/>
          <w:szCs w:val="21"/>
        </w:rPr>
      </w:pPr>
    </w:p>
    <w:p w14:paraId="5D29A5C0" w14:textId="77777777" w:rsidR="0084091D" w:rsidRDefault="0084091D" w:rsidP="0084091D">
      <w:pPr>
        <w:autoSpaceDE w:val="0"/>
        <w:autoSpaceDN w:val="0"/>
        <w:adjustRightInd w:val="0"/>
        <w:ind w:firstLine="708"/>
        <w:jc w:val="both"/>
        <w:rPr>
          <w:rFonts w:ascii="Abadi" w:hAnsi="Abadi" w:cs="*Courier New-7540-Identity-H"/>
          <w:color w:val="1C1B1D"/>
          <w:sz w:val="21"/>
          <w:szCs w:val="21"/>
        </w:rPr>
      </w:pPr>
      <w:r w:rsidRPr="003C596E">
        <w:rPr>
          <w:rFonts w:ascii="Abadi" w:hAnsi="Abadi" w:cs="*Courier New-7540-Identity-H"/>
          <w:color w:val="1C1B1D"/>
          <w:sz w:val="21"/>
          <w:szCs w:val="21"/>
        </w:rPr>
        <w:t>Ahora bien, la metodología desarrollada, permitió se escucharan las</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diferentes opiniones con relación a la propuesta, entre ellas las emitidas por las</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Asociaciones Civiles de Bancos de Alimentos de los municipios de Guanajuato y</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León, quienes al respecto manifestaron que son organizaciones ciudadanas sin</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fines de lucro, formalmente establecidas y que se requiere de inversiones</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económicas, así como de talento humano nen la operación; que han realizado</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su labor altruista por décadas beneficiando siempre a los sectores vulnerables de</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pobreza; además de que son regulados por un amplio marco jurídico nacional e</w:t>
      </w:r>
      <w:r>
        <w:rPr>
          <w:rFonts w:ascii="Abadi" w:hAnsi="Abadi" w:cs="*Courier New-7540-Identity-H"/>
          <w:color w:val="1C1B1D"/>
          <w:sz w:val="21"/>
          <w:szCs w:val="21"/>
        </w:rPr>
        <w:t xml:space="preserve"> </w:t>
      </w:r>
      <w:r w:rsidRPr="003C596E">
        <w:rPr>
          <w:rFonts w:ascii="Abadi" w:hAnsi="Abadi" w:cs="*Courier New-7540-Identity-H"/>
          <w:color w:val="1C1B1D"/>
          <w:sz w:val="21"/>
          <w:szCs w:val="21"/>
        </w:rPr>
        <w:t>internacional.</w:t>
      </w:r>
    </w:p>
    <w:p w14:paraId="21C895E9" w14:textId="77777777" w:rsidR="0084091D" w:rsidRPr="003C596E" w:rsidRDefault="0084091D" w:rsidP="0084091D">
      <w:pPr>
        <w:autoSpaceDE w:val="0"/>
        <w:autoSpaceDN w:val="0"/>
        <w:adjustRightInd w:val="0"/>
        <w:jc w:val="both"/>
        <w:rPr>
          <w:rFonts w:ascii="Abadi" w:hAnsi="Abadi" w:cs="*Courier New-7540-Identity-H"/>
          <w:color w:val="1C1B1D"/>
          <w:sz w:val="21"/>
          <w:szCs w:val="21"/>
        </w:rPr>
      </w:pPr>
    </w:p>
    <w:p w14:paraId="272BD959" w14:textId="77777777" w:rsidR="0084091D" w:rsidRDefault="0084091D" w:rsidP="0084091D">
      <w:pPr>
        <w:autoSpaceDE w:val="0"/>
        <w:autoSpaceDN w:val="0"/>
        <w:adjustRightInd w:val="0"/>
        <w:ind w:firstLine="708"/>
        <w:jc w:val="both"/>
        <w:rPr>
          <w:rFonts w:ascii="Abadi" w:hAnsi="Abadi" w:cs="*Calibri-8559-Identity-H"/>
          <w:color w:val="1A1A1B"/>
          <w:sz w:val="21"/>
          <w:szCs w:val="21"/>
        </w:rPr>
      </w:pPr>
      <w:r w:rsidRPr="003C596E">
        <w:rPr>
          <w:rFonts w:ascii="Abadi" w:hAnsi="Abadi" w:cs="*Courier New-7540-Identity-H"/>
          <w:color w:val="1B1B1D"/>
          <w:sz w:val="21"/>
          <w:szCs w:val="21"/>
        </w:rPr>
        <w:t>Aunado a lo anterior es de señalarse que el Gobierno del Estado realiza</w:t>
      </w:r>
      <w:r>
        <w:rPr>
          <w:rFonts w:ascii="Abadi" w:hAnsi="Abadi" w:cs="*Courier New-7540-Identity-H"/>
          <w:color w:val="1B1B1D"/>
          <w:sz w:val="21"/>
          <w:szCs w:val="21"/>
        </w:rPr>
        <w:t xml:space="preserve"> </w:t>
      </w:r>
      <w:r w:rsidRPr="003C596E">
        <w:rPr>
          <w:rFonts w:ascii="Abadi" w:hAnsi="Abadi" w:cs="*Courier New-7540-Identity-H"/>
          <w:color w:val="1B1B1D"/>
          <w:sz w:val="21"/>
          <w:szCs w:val="21"/>
        </w:rPr>
        <w:t>acciones consolidadas a través de la Dirección de Fortalecimiento Comunitario</w:t>
      </w:r>
      <w:r>
        <w:rPr>
          <w:rFonts w:ascii="Abadi" w:hAnsi="Abadi" w:cs="*Courier New-7540-Identity-H"/>
          <w:color w:val="1B1B1D"/>
          <w:sz w:val="21"/>
          <w:szCs w:val="21"/>
        </w:rPr>
        <w:t xml:space="preserve"> </w:t>
      </w:r>
      <w:r w:rsidRPr="003C596E">
        <w:rPr>
          <w:rFonts w:ascii="Abadi" w:hAnsi="Abadi" w:cs="*Courier New-7540-Identity-H"/>
          <w:color w:val="1B1B1D"/>
          <w:sz w:val="21"/>
          <w:szCs w:val="21"/>
        </w:rPr>
        <w:t>del Sistema Estatal para el Desarrollo Integral de la Familia, mediante los que se</w:t>
      </w:r>
      <w:r>
        <w:rPr>
          <w:rFonts w:ascii="Abadi" w:hAnsi="Abadi" w:cs="*Courier New-7540-Identity-H"/>
          <w:color w:val="1B1B1D"/>
          <w:sz w:val="21"/>
          <w:szCs w:val="21"/>
        </w:rPr>
        <w:t xml:space="preserve"> </w:t>
      </w:r>
      <w:r w:rsidRPr="003C596E">
        <w:rPr>
          <w:rFonts w:ascii="Abadi" w:hAnsi="Abadi" w:cs="*Courier New-7540-Identity-H"/>
          <w:color w:val="1B1B1D"/>
          <w:sz w:val="21"/>
          <w:szCs w:val="21"/>
        </w:rPr>
        <w:t>brinda asistencia alimentaria a la población objetivo como desayunos escolares,</w:t>
      </w:r>
      <w:r>
        <w:rPr>
          <w:rFonts w:ascii="Abadi" w:hAnsi="Abadi" w:cs="*Courier New-7540-Identity-H"/>
          <w:color w:val="1B1B1D"/>
          <w:sz w:val="21"/>
          <w:szCs w:val="21"/>
        </w:rPr>
        <w:t xml:space="preserve"> </w:t>
      </w:r>
      <w:r w:rsidRPr="003C596E">
        <w:rPr>
          <w:rFonts w:ascii="Abadi" w:hAnsi="Abadi" w:cs="*Courier New-7540-Identity-H"/>
          <w:color w:val="1B1B1D"/>
          <w:sz w:val="21"/>
          <w:szCs w:val="21"/>
        </w:rPr>
        <w:t>comedores comunitarios, asistencia alimentaria a sujetos vulnerables, orientación</w:t>
      </w:r>
      <w:r>
        <w:rPr>
          <w:rFonts w:ascii="Abadi" w:hAnsi="Abadi" w:cs="*Courier New-7540-Identity-H"/>
          <w:color w:val="1B1B1D"/>
          <w:sz w:val="21"/>
          <w:szCs w:val="21"/>
        </w:rPr>
        <w:t xml:space="preserve"> </w:t>
      </w:r>
      <w:r w:rsidRPr="003C596E">
        <w:rPr>
          <w:rFonts w:ascii="Abadi" w:hAnsi="Abadi" w:cs="*Calibri-8559-Identity-H"/>
          <w:color w:val="1A1A1B"/>
          <w:sz w:val="21"/>
          <w:szCs w:val="21"/>
        </w:rPr>
        <w:t>alimentaria y aseguramiento de la calidad en el otorgamiento de alimentos, en</w:t>
      </w:r>
      <w:r>
        <w:rPr>
          <w:rFonts w:ascii="Abadi" w:hAnsi="Abadi" w:cs="*Calibri-8559-Identity-H"/>
          <w:color w:val="1A1A1B"/>
          <w:sz w:val="21"/>
          <w:szCs w:val="21"/>
        </w:rPr>
        <w:t xml:space="preserve"> </w:t>
      </w:r>
      <w:r w:rsidRPr="003C596E">
        <w:rPr>
          <w:rFonts w:ascii="Abadi" w:hAnsi="Abadi" w:cs="*Calibri-8559-Identity-H"/>
          <w:color w:val="1A1A1B"/>
          <w:sz w:val="21"/>
          <w:szCs w:val="21"/>
        </w:rPr>
        <w:t>apego a los Lineamientos de la Estrategia Integral de Asistencia Social Alimentaria</w:t>
      </w:r>
      <w:r>
        <w:rPr>
          <w:rFonts w:ascii="Abadi" w:hAnsi="Abadi" w:cs="*Calibri-8559-Identity-H"/>
          <w:color w:val="1A1A1B"/>
          <w:sz w:val="21"/>
          <w:szCs w:val="21"/>
        </w:rPr>
        <w:t xml:space="preserve"> </w:t>
      </w:r>
      <w:r w:rsidRPr="003C596E">
        <w:rPr>
          <w:rFonts w:ascii="Abadi" w:hAnsi="Abadi" w:cs="*Calibri-8559-Identity-H"/>
          <w:color w:val="1A1A1B"/>
          <w:sz w:val="21"/>
          <w:szCs w:val="21"/>
        </w:rPr>
        <w:t>pero sobre todo con la promoción de las buenas prácticas de higiene en el</w:t>
      </w:r>
      <w:r>
        <w:rPr>
          <w:rFonts w:ascii="Abadi" w:hAnsi="Abadi" w:cs="*Calibri-8559-Identity-H"/>
          <w:color w:val="1A1A1B"/>
          <w:sz w:val="21"/>
          <w:szCs w:val="21"/>
        </w:rPr>
        <w:t xml:space="preserve"> </w:t>
      </w:r>
      <w:r w:rsidRPr="003C596E">
        <w:rPr>
          <w:rFonts w:ascii="Abadi" w:hAnsi="Abadi" w:cs="*Calibri-8559-Identity-H"/>
          <w:color w:val="1A1A1B"/>
          <w:sz w:val="21"/>
          <w:szCs w:val="21"/>
        </w:rPr>
        <w:t>proceso de recepción, almacenamiento, distribución, preparación y consumo de</w:t>
      </w:r>
      <w:r>
        <w:rPr>
          <w:rFonts w:ascii="Abadi" w:hAnsi="Abadi" w:cs="*Calibri-8559-Identity-H"/>
          <w:color w:val="1A1A1B"/>
          <w:sz w:val="21"/>
          <w:szCs w:val="21"/>
        </w:rPr>
        <w:t xml:space="preserve"> </w:t>
      </w:r>
      <w:r w:rsidRPr="003C596E">
        <w:rPr>
          <w:rFonts w:ascii="Abadi" w:hAnsi="Abadi" w:cs="*Calibri-8559-Identity-H"/>
          <w:color w:val="1A1A1B"/>
          <w:sz w:val="21"/>
          <w:szCs w:val="21"/>
        </w:rPr>
        <w:t>los alimentos, mediante herramientas de control diseñadas con base a la NOM-</w:t>
      </w:r>
      <w:r>
        <w:rPr>
          <w:rFonts w:ascii="Abadi" w:hAnsi="Abadi" w:cs="*Calibri-8559-Identity-H"/>
          <w:color w:val="1A1A1B"/>
          <w:sz w:val="21"/>
          <w:szCs w:val="21"/>
        </w:rPr>
        <w:t xml:space="preserve"> </w:t>
      </w:r>
      <w:r w:rsidRPr="003C596E">
        <w:rPr>
          <w:rFonts w:ascii="Abadi" w:hAnsi="Abadi" w:cs="*Calibri-8559-Identity-H"/>
          <w:color w:val="1A1A1B"/>
          <w:sz w:val="21"/>
          <w:szCs w:val="21"/>
        </w:rPr>
        <w:t>25 l-SSAl-2009, Prácticas de higiene para el proceso de alimentos, bebidas o</w:t>
      </w:r>
      <w:r>
        <w:rPr>
          <w:rFonts w:ascii="Abadi" w:hAnsi="Abadi" w:cs="*Calibri-8559-Identity-H"/>
          <w:color w:val="1A1A1B"/>
          <w:sz w:val="21"/>
          <w:szCs w:val="21"/>
        </w:rPr>
        <w:t xml:space="preserve"> </w:t>
      </w:r>
      <w:r w:rsidRPr="003C596E">
        <w:rPr>
          <w:rFonts w:ascii="Abadi" w:hAnsi="Abadi" w:cs="*Calibri-8559-Identity-H"/>
          <w:color w:val="1A1A1B"/>
          <w:sz w:val="21"/>
          <w:szCs w:val="21"/>
        </w:rPr>
        <w:t>suplementos alimenticios.</w:t>
      </w:r>
    </w:p>
    <w:p w14:paraId="583DECAB" w14:textId="77777777" w:rsidR="0084091D" w:rsidRPr="003C596E" w:rsidRDefault="0084091D" w:rsidP="0084091D">
      <w:pPr>
        <w:autoSpaceDE w:val="0"/>
        <w:autoSpaceDN w:val="0"/>
        <w:adjustRightInd w:val="0"/>
        <w:jc w:val="both"/>
        <w:rPr>
          <w:rFonts w:ascii="Abadi" w:hAnsi="Abadi" w:cs="*Calibri-8559-Identity-H"/>
          <w:color w:val="1A1A1B"/>
          <w:sz w:val="21"/>
          <w:szCs w:val="21"/>
        </w:rPr>
      </w:pPr>
    </w:p>
    <w:p w14:paraId="5AAD44F2" w14:textId="77777777" w:rsidR="0084091D" w:rsidRDefault="0084091D" w:rsidP="0084091D">
      <w:pPr>
        <w:autoSpaceDE w:val="0"/>
        <w:autoSpaceDN w:val="0"/>
        <w:adjustRightInd w:val="0"/>
        <w:ind w:firstLine="708"/>
        <w:jc w:val="both"/>
        <w:rPr>
          <w:rFonts w:ascii="Abadi" w:hAnsi="Abadi" w:cs="*Calibri-8559-Identity-H"/>
          <w:color w:val="1B1B1C"/>
          <w:sz w:val="21"/>
          <w:szCs w:val="21"/>
        </w:rPr>
      </w:pPr>
      <w:r w:rsidRPr="003C596E">
        <w:rPr>
          <w:rFonts w:ascii="Abadi" w:hAnsi="Abadi" w:cs="*Calibri-8559-Identity-H"/>
          <w:color w:val="1B1B1C"/>
          <w:sz w:val="21"/>
          <w:szCs w:val="21"/>
        </w:rPr>
        <w:t>De los antecedentes antes expuestos relativos a las medidas adoptadas</w:t>
      </w:r>
      <w:r>
        <w:rPr>
          <w:rFonts w:ascii="Abadi" w:hAnsi="Abadi" w:cs="*Calibri-8559-Identity-H"/>
          <w:color w:val="1B1B1C"/>
          <w:sz w:val="21"/>
          <w:szCs w:val="21"/>
        </w:rPr>
        <w:t xml:space="preserve"> </w:t>
      </w:r>
      <w:r w:rsidRPr="003C596E">
        <w:rPr>
          <w:rFonts w:ascii="Abadi" w:hAnsi="Abadi" w:cs="*Calibri-8559-Identity-H"/>
          <w:color w:val="1B1B1C"/>
          <w:sz w:val="21"/>
          <w:szCs w:val="21"/>
        </w:rPr>
        <w:t>por el Estado Mexicano y en particular, el estado de Guanajuato para la</w:t>
      </w:r>
      <w:r>
        <w:rPr>
          <w:rFonts w:ascii="Abadi" w:hAnsi="Abadi" w:cs="*Calibri-8559-Identity-H"/>
          <w:color w:val="1B1B1C"/>
          <w:sz w:val="21"/>
          <w:szCs w:val="21"/>
        </w:rPr>
        <w:t xml:space="preserve"> </w:t>
      </w:r>
      <w:r w:rsidRPr="003C596E">
        <w:rPr>
          <w:rFonts w:ascii="Abadi" w:hAnsi="Abadi" w:cs="*Calibri-8559-Identity-H"/>
          <w:color w:val="1B1B1C"/>
          <w:sz w:val="21"/>
          <w:szCs w:val="21"/>
        </w:rPr>
        <w:t>realización del derecho humano a la alimentación relacionada con la iniciativa</w:t>
      </w:r>
      <w:r>
        <w:rPr>
          <w:rFonts w:ascii="Abadi" w:hAnsi="Abadi" w:cs="*Calibri-8559-Identity-H"/>
          <w:color w:val="1B1B1C"/>
          <w:sz w:val="21"/>
          <w:szCs w:val="21"/>
        </w:rPr>
        <w:t xml:space="preserve"> </w:t>
      </w:r>
      <w:r w:rsidRPr="003C596E">
        <w:rPr>
          <w:rFonts w:ascii="Abadi" w:hAnsi="Abadi" w:cs="*Calibri-8559-Identity-H"/>
          <w:color w:val="1B1B1C"/>
          <w:sz w:val="21"/>
          <w:szCs w:val="21"/>
        </w:rPr>
        <w:t>de ley materia del presente dictamen, así como las opiniones vertidas por diversos</w:t>
      </w:r>
      <w:r>
        <w:rPr>
          <w:rFonts w:ascii="Abadi" w:hAnsi="Abadi" w:cs="*Calibri-8559-Identity-H"/>
          <w:color w:val="1B1B1C"/>
          <w:sz w:val="21"/>
          <w:szCs w:val="21"/>
        </w:rPr>
        <w:t xml:space="preserve"> </w:t>
      </w:r>
      <w:r w:rsidRPr="003C596E">
        <w:rPr>
          <w:rFonts w:ascii="Abadi" w:hAnsi="Abadi" w:cs="*Calibri-8559-Identity-H"/>
          <w:color w:val="1B1B1C"/>
          <w:sz w:val="21"/>
          <w:szCs w:val="21"/>
        </w:rPr>
        <w:t>participantes, las diputadas y los diputados que integramos la Comisión de</w:t>
      </w:r>
      <w:r>
        <w:rPr>
          <w:rFonts w:ascii="Abadi" w:hAnsi="Abadi" w:cs="*Calibri-8559-Identity-H"/>
          <w:color w:val="1B1B1C"/>
          <w:sz w:val="21"/>
          <w:szCs w:val="21"/>
        </w:rPr>
        <w:t xml:space="preserve"> </w:t>
      </w:r>
      <w:r w:rsidRPr="003C596E">
        <w:rPr>
          <w:rFonts w:ascii="Abadi" w:hAnsi="Abadi" w:cs="*Calibri-8559-Identity-H"/>
          <w:color w:val="1B1B1C"/>
          <w:sz w:val="21"/>
          <w:szCs w:val="21"/>
        </w:rPr>
        <w:t>Desarrollo Económico y Social consideramos que, la obligación del Estado para</w:t>
      </w:r>
      <w:r>
        <w:rPr>
          <w:rFonts w:ascii="Abadi" w:hAnsi="Abadi" w:cs="*Calibri-8559-Identity-H"/>
          <w:color w:val="1B1B1C"/>
          <w:sz w:val="21"/>
          <w:szCs w:val="21"/>
        </w:rPr>
        <w:t xml:space="preserve"> </w:t>
      </w:r>
      <w:r w:rsidRPr="003C596E">
        <w:rPr>
          <w:rFonts w:ascii="Abadi" w:hAnsi="Abadi" w:cs="*Calibri-8559-Identity-H"/>
          <w:color w:val="1B1B1C"/>
          <w:sz w:val="21"/>
          <w:szCs w:val="21"/>
        </w:rPr>
        <w:t>garantizar el derecho a la alimentación se encuentra colmada en la le</w:t>
      </w:r>
      <w:r>
        <w:rPr>
          <w:rFonts w:ascii="Abadi" w:hAnsi="Abadi" w:cs="*Calibri-8559-Identity-H"/>
          <w:color w:val="1B1B1C"/>
          <w:sz w:val="21"/>
          <w:szCs w:val="21"/>
        </w:rPr>
        <w:t>gis</w:t>
      </w:r>
      <w:r w:rsidRPr="003C596E">
        <w:rPr>
          <w:rFonts w:ascii="Abadi" w:hAnsi="Abadi" w:cs="*Calibri-8559-Identity-H"/>
          <w:color w:val="1B1B1C"/>
          <w:sz w:val="21"/>
          <w:szCs w:val="21"/>
        </w:rPr>
        <w:t>l</w:t>
      </w:r>
      <w:r w:rsidRPr="003C596E">
        <w:rPr>
          <w:rFonts w:ascii="Abadi" w:hAnsi="Abadi" w:cs="*Calibri-8559-Identity-H"/>
          <w:color w:val="010101"/>
          <w:sz w:val="21"/>
          <w:szCs w:val="21"/>
        </w:rPr>
        <w:t>a</w:t>
      </w:r>
      <w:r w:rsidRPr="003C596E">
        <w:rPr>
          <w:rFonts w:ascii="Abadi" w:hAnsi="Abadi" w:cs="*Calibri-8559-Identity-H"/>
          <w:color w:val="1B1B1C"/>
          <w:sz w:val="21"/>
          <w:szCs w:val="21"/>
        </w:rPr>
        <w:t>ción</w:t>
      </w:r>
      <w:r>
        <w:rPr>
          <w:rFonts w:ascii="Abadi" w:hAnsi="Abadi" w:cs="*Calibri-8559-Identity-H"/>
          <w:color w:val="1B1B1C"/>
          <w:sz w:val="21"/>
          <w:szCs w:val="21"/>
        </w:rPr>
        <w:t xml:space="preserve"> </w:t>
      </w:r>
      <w:r w:rsidRPr="003C596E">
        <w:rPr>
          <w:rFonts w:ascii="Abadi" w:hAnsi="Abadi" w:cs="*Calibri-8559-Identity-H"/>
          <w:color w:val="1B1B1C"/>
          <w:sz w:val="21"/>
          <w:szCs w:val="21"/>
        </w:rPr>
        <w:t>de carácter general y las correlativas en el ámbito local, junto con su ejecución</w:t>
      </w:r>
      <w:r>
        <w:rPr>
          <w:rFonts w:ascii="Abadi" w:hAnsi="Abadi" w:cs="*Calibri-8559-Identity-H"/>
          <w:color w:val="1B1B1C"/>
          <w:sz w:val="21"/>
          <w:szCs w:val="21"/>
        </w:rPr>
        <w:t xml:space="preserve"> </w:t>
      </w:r>
      <w:r w:rsidRPr="003C596E">
        <w:rPr>
          <w:rFonts w:ascii="Abadi" w:hAnsi="Abadi" w:cs="*Calibri-8559-Identity-H"/>
          <w:color w:val="1B1B1C"/>
          <w:sz w:val="21"/>
          <w:szCs w:val="21"/>
        </w:rPr>
        <w:t>en los diversos mecanismos del sistema nacional de combate al hambre por la vía</w:t>
      </w:r>
      <w:r>
        <w:rPr>
          <w:rFonts w:ascii="Abadi" w:hAnsi="Abadi" w:cs="*Calibri-8559-Identity-H"/>
          <w:color w:val="1B1B1C"/>
          <w:sz w:val="21"/>
          <w:szCs w:val="21"/>
        </w:rPr>
        <w:t xml:space="preserve"> </w:t>
      </w:r>
      <w:r w:rsidRPr="003C596E">
        <w:rPr>
          <w:rFonts w:ascii="Abadi" w:hAnsi="Abadi" w:cs="*Calibri-8559-Identity-H"/>
          <w:color w:val="1B1B1C"/>
          <w:sz w:val="21"/>
          <w:szCs w:val="21"/>
        </w:rPr>
        <w:t>de políticas públicas gubernamentales a nivel federal y una diversidad de normas</w:t>
      </w:r>
      <w:r>
        <w:rPr>
          <w:rFonts w:ascii="Abadi" w:hAnsi="Abadi" w:cs="*Calibri-8559-Identity-H"/>
          <w:color w:val="1B1B1C"/>
          <w:sz w:val="21"/>
          <w:szCs w:val="21"/>
        </w:rPr>
        <w:t xml:space="preserve"> </w:t>
      </w:r>
      <w:r w:rsidRPr="003C596E">
        <w:rPr>
          <w:rFonts w:ascii="Abadi" w:hAnsi="Abadi" w:cs="*Calibri-8559-Identity-H"/>
          <w:color w:val="1B1B1C"/>
          <w:sz w:val="21"/>
          <w:szCs w:val="21"/>
        </w:rPr>
        <w:t>de aplicación nacional y estatal.</w:t>
      </w:r>
    </w:p>
    <w:p w14:paraId="443AD62D" w14:textId="77777777" w:rsidR="0084091D" w:rsidRPr="003C596E" w:rsidRDefault="0084091D" w:rsidP="0084091D">
      <w:pPr>
        <w:autoSpaceDE w:val="0"/>
        <w:autoSpaceDN w:val="0"/>
        <w:adjustRightInd w:val="0"/>
        <w:jc w:val="both"/>
        <w:rPr>
          <w:rFonts w:ascii="Abadi" w:hAnsi="Abadi" w:cs="*Calibri-8559-Identity-H"/>
          <w:color w:val="1B1B1C"/>
          <w:sz w:val="21"/>
          <w:szCs w:val="21"/>
        </w:rPr>
      </w:pPr>
    </w:p>
    <w:p w14:paraId="20374328" w14:textId="77777777" w:rsidR="0084091D" w:rsidRDefault="0084091D" w:rsidP="0084091D">
      <w:pPr>
        <w:autoSpaceDE w:val="0"/>
        <w:autoSpaceDN w:val="0"/>
        <w:adjustRightInd w:val="0"/>
        <w:ind w:firstLine="708"/>
        <w:jc w:val="both"/>
        <w:rPr>
          <w:rFonts w:ascii="Abadi" w:hAnsi="Abadi" w:cs="*Courier New-7673-Identity-H"/>
          <w:color w:val="1B1B1D"/>
          <w:sz w:val="21"/>
          <w:szCs w:val="21"/>
        </w:rPr>
      </w:pPr>
      <w:r w:rsidRPr="003C596E">
        <w:rPr>
          <w:rFonts w:ascii="Abadi" w:hAnsi="Abadi" w:cs="*Calibri-8559-Identity-H"/>
          <w:color w:val="1C1C1D"/>
          <w:sz w:val="21"/>
          <w:szCs w:val="21"/>
        </w:rPr>
        <w:t>Al respecto, como se señaló con antelación, dentro de los deberes</w:t>
      </w:r>
      <w:r>
        <w:rPr>
          <w:rFonts w:ascii="Abadi" w:hAnsi="Abadi" w:cs="*Calibri-8559-Identity-H"/>
          <w:color w:val="1C1C1D"/>
          <w:sz w:val="21"/>
          <w:szCs w:val="21"/>
        </w:rPr>
        <w:t xml:space="preserve"> </w:t>
      </w:r>
      <w:r w:rsidRPr="003C596E">
        <w:rPr>
          <w:rFonts w:ascii="Abadi" w:hAnsi="Abadi" w:cs="*Calibri-8559-Identity-H"/>
          <w:color w:val="1C1C1D"/>
          <w:sz w:val="21"/>
          <w:szCs w:val="21"/>
        </w:rPr>
        <w:t>asumidos por el Estado Mexicano en relación con el derecho humano a la</w:t>
      </w:r>
      <w:r>
        <w:rPr>
          <w:rFonts w:ascii="Abadi" w:hAnsi="Abadi" w:cs="*Calibri-8559-Identity-H"/>
          <w:color w:val="1C1C1D"/>
          <w:sz w:val="21"/>
          <w:szCs w:val="21"/>
        </w:rPr>
        <w:t xml:space="preserve"> </w:t>
      </w:r>
      <w:r w:rsidRPr="003C596E">
        <w:rPr>
          <w:rFonts w:ascii="Abadi" w:hAnsi="Abadi" w:cs="*Calibri-8559-Identity-H"/>
          <w:color w:val="1C1C1D"/>
          <w:sz w:val="21"/>
          <w:szCs w:val="21"/>
        </w:rPr>
        <w:t>alimentación adecuada, se encuentra el de respetar, el cual consistente en</w:t>
      </w:r>
      <w:r>
        <w:rPr>
          <w:rFonts w:ascii="Abadi" w:hAnsi="Abadi" w:cs="*Calibri-8559-Identity-H"/>
          <w:color w:val="1C1C1D"/>
          <w:sz w:val="21"/>
          <w:szCs w:val="21"/>
        </w:rPr>
        <w:t xml:space="preserve"> </w:t>
      </w:r>
      <w:r w:rsidRPr="003C596E">
        <w:rPr>
          <w:rFonts w:ascii="Abadi" w:hAnsi="Abadi" w:cs="*Calibri-8559-Identity-H"/>
          <w:color w:val="1C1C1D"/>
          <w:sz w:val="21"/>
          <w:szCs w:val="21"/>
        </w:rPr>
        <w:t>abstenerse de realizar intervenciones que afecten las posibilidades de que las</w:t>
      </w:r>
      <w:r>
        <w:rPr>
          <w:rFonts w:ascii="Abadi" w:hAnsi="Abadi" w:cs="*Calibri-8559-Identity-H"/>
          <w:color w:val="1C1C1D"/>
          <w:sz w:val="21"/>
          <w:szCs w:val="21"/>
        </w:rPr>
        <w:t xml:space="preserve"> </w:t>
      </w:r>
      <w:r w:rsidRPr="003C596E">
        <w:rPr>
          <w:rFonts w:ascii="Abadi" w:hAnsi="Abadi" w:cs="*Calibri-8559-Identity-H"/>
          <w:color w:val="1C1C1D"/>
          <w:sz w:val="21"/>
          <w:szCs w:val="21"/>
        </w:rPr>
        <w:t>personas accedan de manera legal, física o económica a los alimentos; esto es,</w:t>
      </w:r>
      <w:r>
        <w:rPr>
          <w:rFonts w:ascii="Abadi" w:hAnsi="Abadi" w:cs="*Calibri-8559-Identity-H"/>
          <w:color w:val="1C1C1D"/>
          <w:sz w:val="21"/>
          <w:szCs w:val="21"/>
        </w:rPr>
        <w:t xml:space="preserve"> </w:t>
      </w:r>
      <w:r w:rsidRPr="003C596E">
        <w:rPr>
          <w:rFonts w:ascii="Abadi" w:hAnsi="Abadi" w:cs="*Calibri-8559-Identity-H"/>
          <w:color w:val="1C1C1D"/>
          <w:sz w:val="21"/>
          <w:szCs w:val="21"/>
        </w:rPr>
        <w:t>que la intervención del Estado sea únicamente con el fin de potencializar el goce</w:t>
      </w:r>
      <w:r>
        <w:rPr>
          <w:rFonts w:ascii="Abadi" w:hAnsi="Abadi" w:cs="*Calibri-8559-Identity-H"/>
          <w:color w:val="1C1C1D"/>
          <w:sz w:val="21"/>
          <w:szCs w:val="21"/>
        </w:rPr>
        <w:t xml:space="preserve"> </w:t>
      </w:r>
      <w:r w:rsidRPr="003C596E">
        <w:rPr>
          <w:rFonts w:ascii="Abadi" w:hAnsi="Abadi" w:cs="*Calibri-8559-Identity-H"/>
          <w:color w:val="1C1C1D"/>
          <w:sz w:val="21"/>
          <w:szCs w:val="21"/>
        </w:rPr>
        <w:t>del derecho humano; sin embargo, la emisión de una nueva legislación crearía un</w:t>
      </w:r>
      <w:r>
        <w:rPr>
          <w:rFonts w:ascii="Abadi" w:hAnsi="Abadi" w:cs="*Calibri-8559-Identity-H"/>
          <w:color w:val="1C1C1D"/>
          <w:sz w:val="21"/>
          <w:szCs w:val="21"/>
        </w:rPr>
        <w:t xml:space="preserve"> </w:t>
      </w:r>
      <w:r w:rsidRPr="003C596E">
        <w:rPr>
          <w:rFonts w:ascii="Abadi" w:hAnsi="Abadi" w:cs="*Calibri-8559-Identity-H"/>
          <w:color w:val="1C1C1D"/>
          <w:sz w:val="21"/>
          <w:szCs w:val="21"/>
        </w:rPr>
        <w:t>efecto adverso al deseado, al generar una intervención del Estado en</w:t>
      </w:r>
      <w:r>
        <w:rPr>
          <w:rFonts w:ascii="Abadi" w:hAnsi="Abadi" w:cs="*Calibri-8559-Identity-H"/>
          <w:color w:val="1C1C1D"/>
          <w:sz w:val="21"/>
          <w:szCs w:val="21"/>
        </w:rPr>
        <w:t xml:space="preserve"> </w:t>
      </w:r>
      <w:r w:rsidRPr="003C596E">
        <w:rPr>
          <w:rFonts w:ascii="Abadi" w:hAnsi="Abadi" w:cs="*Calibri-8559-Identity-H"/>
          <w:color w:val="1C1C1D"/>
          <w:sz w:val="21"/>
          <w:szCs w:val="21"/>
        </w:rPr>
        <w:t>actividades que inciden en la libertad de los gobernados para donar, recolectar</w:t>
      </w:r>
      <w:r>
        <w:rPr>
          <w:rFonts w:ascii="Abadi" w:hAnsi="Abadi" w:cs="*Calibri-8559-Identity-H"/>
          <w:color w:val="1C1C1D"/>
          <w:sz w:val="21"/>
          <w:szCs w:val="21"/>
        </w:rPr>
        <w:t xml:space="preserve"> </w:t>
      </w:r>
      <w:r w:rsidRPr="003C596E">
        <w:rPr>
          <w:rFonts w:ascii="Abadi" w:hAnsi="Abadi" w:cs="*Calibri-8559-Identity-H"/>
          <w:color w:val="1C1C1D"/>
          <w:sz w:val="21"/>
          <w:szCs w:val="21"/>
        </w:rPr>
        <w:t xml:space="preserve">y distribuir de forma altruista los alimentos, complicando con la creación de </w:t>
      </w:r>
      <w:r w:rsidRPr="003C596E">
        <w:rPr>
          <w:rFonts w:ascii="Abadi" w:hAnsi="Abadi" w:cs="*Courier New-7673-Identity-H"/>
          <w:color w:val="1B1B1D"/>
          <w:sz w:val="21"/>
          <w:szCs w:val="21"/>
        </w:rPr>
        <w:t>nuevos organismos e intermediarios la entrega satisfactoria pero sobre todo</w:t>
      </w:r>
      <w:r>
        <w:rPr>
          <w:rFonts w:ascii="Abadi" w:hAnsi="Abadi" w:cs="*Courier New-7673-Identity-H"/>
          <w:color w:val="1B1B1D"/>
          <w:sz w:val="21"/>
          <w:szCs w:val="21"/>
        </w:rPr>
        <w:t xml:space="preserve"> </w:t>
      </w:r>
      <w:r w:rsidRPr="003C596E">
        <w:rPr>
          <w:rFonts w:ascii="Abadi" w:hAnsi="Abadi" w:cs="*Courier New-7673-Identity-H"/>
          <w:color w:val="1B1B1D"/>
          <w:sz w:val="21"/>
          <w:szCs w:val="21"/>
        </w:rPr>
        <w:t>inmediata a los sectores vulnerables.</w:t>
      </w:r>
    </w:p>
    <w:p w14:paraId="031821F6" w14:textId="77777777" w:rsidR="0084091D" w:rsidRPr="003C596E" w:rsidRDefault="0084091D" w:rsidP="0084091D">
      <w:pPr>
        <w:autoSpaceDE w:val="0"/>
        <w:autoSpaceDN w:val="0"/>
        <w:adjustRightInd w:val="0"/>
        <w:jc w:val="both"/>
        <w:rPr>
          <w:rFonts w:ascii="Abadi" w:hAnsi="Abadi" w:cs="*Courier New-7673-Identity-H"/>
          <w:color w:val="1B1B1D"/>
          <w:sz w:val="21"/>
          <w:szCs w:val="21"/>
        </w:rPr>
      </w:pPr>
    </w:p>
    <w:p w14:paraId="4FDB9855" w14:textId="77777777" w:rsidR="0084091D" w:rsidRDefault="0084091D" w:rsidP="0084091D">
      <w:pPr>
        <w:autoSpaceDE w:val="0"/>
        <w:autoSpaceDN w:val="0"/>
        <w:adjustRightInd w:val="0"/>
        <w:ind w:firstLine="708"/>
        <w:jc w:val="both"/>
        <w:rPr>
          <w:rFonts w:ascii="Abadi" w:hAnsi="Abadi" w:cs="*Courier New-7673-Identity-H"/>
          <w:color w:val="1A1A1C"/>
          <w:sz w:val="21"/>
          <w:szCs w:val="21"/>
        </w:rPr>
      </w:pPr>
      <w:r w:rsidRPr="003C596E">
        <w:rPr>
          <w:rFonts w:ascii="Abadi" w:hAnsi="Abadi" w:cs="*Courier New-7673-Identity-H"/>
          <w:color w:val="1A1A1C"/>
          <w:sz w:val="21"/>
          <w:szCs w:val="21"/>
        </w:rPr>
        <w:t>Por otra parte, quienes integramos esta Comisión dictaminadora, hemos</w:t>
      </w:r>
      <w:r>
        <w:rPr>
          <w:rFonts w:ascii="Abadi" w:hAnsi="Abadi" w:cs="*Courier New-7673-Identity-H"/>
          <w:color w:val="1A1A1C"/>
          <w:sz w:val="21"/>
          <w:szCs w:val="21"/>
        </w:rPr>
        <w:t xml:space="preserve"> </w:t>
      </w:r>
      <w:r w:rsidRPr="003C596E">
        <w:rPr>
          <w:rFonts w:ascii="Abadi" w:hAnsi="Abadi" w:cs="*Courier New-7673-Identity-H"/>
          <w:color w:val="1A1A1C"/>
          <w:sz w:val="21"/>
          <w:szCs w:val="21"/>
        </w:rPr>
        <w:t>considerado el impacto presupuestario que desprende la iniciativa para su</w:t>
      </w:r>
      <w:r>
        <w:rPr>
          <w:rFonts w:ascii="Abadi" w:hAnsi="Abadi" w:cs="*Courier New-7673-Identity-H"/>
          <w:color w:val="1A1A1C"/>
          <w:sz w:val="21"/>
          <w:szCs w:val="21"/>
        </w:rPr>
        <w:t xml:space="preserve"> </w:t>
      </w:r>
      <w:r w:rsidRPr="003C596E">
        <w:rPr>
          <w:rFonts w:ascii="Abadi" w:hAnsi="Abadi" w:cs="*Courier New-7673-Identity-H"/>
          <w:color w:val="1A1A1C"/>
          <w:sz w:val="21"/>
          <w:szCs w:val="21"/>
        </w:rPr>
        <w:t>implementación tanto para el Gobierno Estatal, como para los Ayuntamientos,</w:t>
      </w:r>
      <w:r>
        <w:rPr>
          <w:rFonts w:ascii="Abadi" w:hAnsi="Abadi" w:cs="*Courier New-7673-Identity-H"/>
          <w:color w:val="1A1A1C"/>
          <w:sz w:val="21"/>
          <w:szCs w:val="21"/>
        </w:rPr>
        <w:t xml:space="preserve"> </w:t>
      </w:r>
      <w:r w:rsidRPr="003C596E">
        <w:rPr>
          <w:rFonts w:ascii="Abadi" w:hAnsi="Abadi" w:cs="*Courier New-7673-Identity-H"/>
          <w:color w:val="1A1A1C"/>
          <w:sz w:val="21"/>
          <w:szCs w:val="21"/>
        </w:rPr>
        <w:t>considerando que gran porte de lo ejecución recae en los gobiernos municipales,</w:t>
      </w:r>
      <w:r>
        <w:rPr>
          <w:rFonts w:ascii="Abadi" w:hAnsi="Abadi" w:cs="*Courier New-7673-Identity-H"/>
          <w:color w:val="1A1A1C"/>
          <w:sz w:val="21"/>
          <w:szCs w:val="21"/>
        </w:rPr>
        <w:t xml:space="preserve"> </w:t>
      </w:r>
      <w:r w:rsidRPr="003C596E">
        <w:rPr>
          <w:rFonts w:ascii="Abadi" w:hAnsi="Abadi" w:cs="*Courier New-7673-Identity-H"/>
          <w:color w:val="1A1A1C"/>
          <w:sz w:val="21"/>
          <w:szCs w:val="21"/>
        </w:rPr>
        <w:t>aunado a lo anterior, cabe destocar que en relación a los estímulos fiscales que</w:t>
      </w:r>
      <w:r>
        <w:rPr>
          <w:rFonts w:ascii="Abadi" w:hAnsi="Abadi" w:cs="*Courier New-7673-Identity-H"/>
          <w:color w:val="1A1A1C"/>
          <w:sz w:val="21"/>
          <w:szCs w:val="21"/>
        </w:rPr>
        <w:t xml:space="preserve"> </w:t>
      </w:r>
      <w:r w:rsidRPr="003C596E">
        <w:rPr>
          <w:rFonts w:ascii="Abadi" w:hAnsi="Abadi" w:cs="*Courier New-7673-Identity-H"/>
          <w:color w:val="1A1A1C"/>
          <w:sz w:val="21"/>
          <w:szCs w:val="21"/>
        </w:rPr>
        <w:t>pretende la iniciativa, no se consideraron las propuestas en las leyes fiscales</w:t>
      </w:r>
      <w:r>
        <w:rPr>
          <w:rFonts w:ascii="Abadi" w:hAnsi="Abadi" w:cs="*Courier New-7673-Identity-H"/>
          <w:color w:val="1A1A1C"/>
          <w:sz w:val="21"/>
          <w:szCs w:val="21"/>
        </w:rPr>
        <w:t xml:space="preserve"> </w:t>
      </w:r>
      <w:r w:rsidRPr="003C596E">
        <w:rPr>
          <w:rFonts w:ascii="Abadi" w:hAnsi="Abadi" w:cs="*Courier New-7673-Identity-H"/>
          <w:color w:val="1A1A1C"/>
          <w:sz w:val="21"/>
          <w:szCs w:val="21"/>
        </w:rPr>
        <w:t>correspondientes para su aplicación.</w:t>
      </w:r>
    </w:p>
    <w:p w14:paraId="366FD70A" w14:textId="77777777" w:rsidR="0084091D" w:rsidRPr="003C596E" w:rsidRDefault="0084091D" w:rsidP="0084091D">
      <w:pPr>
        <w:autoSpaceDE w:val="0"/>
        <w:autoSpaceDN w:val="0"/>
        <w:adjustRightInd w:val="0"/>
        <w:jc w:val="both"/>
        <w:rPr>
          <w:rFonts w:ascii="Abadi" w:hAnsi="Abadi" w:cs="*Courier New-7673-Identity-H"/>
          <w:color w:val="1A1A1C"/>
          <w:sz w:val="21"/>
          <w:szCs w:val="21"/>
        </w:rPr>
      </w:pPr>
    </w:p>
    <w:p w14:paraId="7B996329" w14:textId="77777777" w:rsidR="0084091D" w:rsidRDefault="0084091D" w:rsidP="0084091D">
      <w:pPr>
        <w:autoSpaceDE w:val="0"/>
        <w:autoSpaceDN w:val="0"/>
        <w:adjustRightInd w:val="0"/>
        <w:ind w:firstLine="708"/>
        <w:jc w:val="both"/>
        <w:rPr>
          <w:rFonts w:ascii="Abadi" w:hAnsi="Abadi" w:cs="*Courier New-7673-Identity-H"/>
          <w:color w:val="141416"/>
          <w:sz w:val="21"/>
          <w:szCs w:val="21"/>
        </w:rPr>
      </w:pPr>
      <w:r w:rsidRPr="003C596E">
        <w:rPr>
          <w:rFonts w:ascii="Abadi" w:hAnsi="Abadi" w:cs="*Courier New-7673-Identity-H"/>
          <w:color w:val="141416"/>
          <w:sz w:val="21"/>
          <w:szCs w:val="21"/>
        </w:rPr>
        <w:t>Por las razones y fundamentos que se desprenden de las anteriores</w:t>
      </w:r>
      <w:r>
        <w:rPr>
          <w:rFonts w:ascii="Abadi" w:hAnsi="Abadi" w:cs="*Courier New-7673-Identity-H"/>
          <w:color w:val="141416"/>
          <w:sz w:val="21"/>
          <w:szCs w:val="21"/>
        </w:rPr>
        <w:t xml:space="preserve"> </w:t>
      </w:r>
      <w:r w:rsidRPr="003C596E">
        <w:rPr>
          <w:rFonts w:ascii="Abadi" w:hAnsi="Abadi" w:cs="*Courier New-7673-Identity-H"/>
          <w:color w:val="141416"/>
          <w:sz w:val="21"/>
          <w:szCs w:val="21"/>
        </w:rPr>
        <w:t>consideraciones, los diputados que integramos la Comisión de Desarrollo</w:t>
      </w:r>
      <w:r>
        <w:rPr>
          <w:rFonts w:ascii="Abadi" w:hAnsi="Abadi" w:cs="*Courier New-7673-Identity-H"/>
          <w:color w:val="141416"/>
          <w:sz w:val="21"/>
          <w:szCs w:val="21"/>
        </w:rPr>
        <w:t xml:space="preserve"> </w:t>
      </w:r>
      <w:r w:rsidRPr="003C596E">
        <w:rPr>
          <w:rFonts w:ascii="Abadi" w:hAnsi="Abadi" w:cs="*Courier New-7673-Identity-H"/>
          <w:color w:val="141416"/>
          <w:sz w:val="21"/>
          <w:szCs w:val="21"/>
        </w:rPr>
        <w:t>Económico y Social nos decantamos por el archivo definitivo de la iniciativa</w:t>
      </w:r>
      <w:r>
        <w:rPr>
          <w:rFonts w:ascii="Abadi" w:hAnsi="Abadi" w:cs="*Courier New-7673-Identity-H"/>
          <w:color w:val="141416"/>
          <w:sz w:val="21"/>
          <w:szCs w:val="21"/>
        </w:rPr>
        <w:t xml:space="preserve"> </w:t>
      </w:r>
      <w:r w:rsidRPr="003C596E">
        <w:rPr>
          <w:rFonts w:ascii="Abadi" w:hAnsi="Abadi" w:cs="*Courier New-7673-Identity-H"/>
          <w:color w:val="141416"/>
          <w:sz w:val="21"/>
          <w:szCs w:val="21"/>
        </w:rPr>
        <w:t>objeto del presente dictamen.</w:t>
      </w:r>
    </w:p>
    <w:p w14:paraId="467E1581" w14:textId="77777777" w:rsidR="0084091D" w:rsidRPr="003C596E" w:rsidRDefault="0084091D" w:rsidP="0084091D">
      <w:pPr>
        <w:autoSpaceDE w:val="0"/>
        <w:autoSpaceDN w:val="0"/>
        <w:adjustRightInd w:val="0"/>
        <w:jc w:val="both"/>
        <w:rPr>
          <w:rFonts w:ascii="Abadi" w:hAnsi="Abadi" w:cs="*Courier New-7673-Identity-H"/>
          <w:color w:val="141416"/>
          <w:sz w:val="21"/>
          <w:szCs w:val="21"/>
        </w:rPr>
      </w:pPr>
    </w:p>
    <w:p w14:paraId="6E0BC835" w14:textId="77777777" w:rsidR="0084091D" w:rsidRPr="003C596E" w:rsidRDefault="0084091D" w:rsidP="0084091D">
      <w:pPr>
        <w:autoSpaceDE w:val="0"/>
        <w:autoSpaceDN w:val="0"/>
        <w:adjustRightInd w:val="0"/>
        <w:ind w:firstLine="708"/>
        <w:jc w:val="both"/>
        <w:rPr>
          <w:rFonts w:ascii="Abadi" w:hAnsi="Abadi" w:cs="*Courier New-7673-Identity-H"/>
          <w:color w:val="1A1A1C"/>
          <w:sz w:val="21"/>
          <w:szCs w:val="21"/>
        </w:rPr>
      </w:pPr>
      <w:r w:rsidRPr="003C596E">
        <w:rPr>
          <w:rFonts w:ascii="Abadi" w:hAnsi="Abadi" w:cs="*Courier New-7673-Identity-H"/>
          <w:color w:val="1A1A1C"/>
          <w:sz w:val="21"/>
          <w:szCs w:val="21"/>
        </w:rPr>
        <w:t>Por lo anterior, con fundamento en los artículos 89, fracción V y 171 de la</w:t>
      </w:r>
      <w:r>
        <w:rPr>
          <w:rFonts w:ascii="Abadi" w:hAnsi="Abadi" w:cs="*Courier New-7673-Identity-H"/>
          <w:color w:val="1A1A1C"/>
          <w:sz w:val="21"/>
          <w:szCs w:val="21"/>
        </w:rPr>
        <w:t xml:space="preserve"> </w:t>
      </w:r>
      <w:r w:rsidRPr="003C596E">
        <w:rPr>
          <w:rFonts w:ascii="Abadi" w:hAnsi="Abadi" w:cs="*Courier New-7673-Identity-H"/>
          <w:color w:val="1A1A1C"/>
          <w:sz w:val="21"/>
          <w:szCs w:val="21"/>
        </w:rPr>
        <w:t>Ley Orgánica del Poder Legislativo del Estado de Guanajuato, nos permitimos</w:t>
      </w:r>
      <w:r>
        <w:rPr>
          <w:rFonts w:ascii="Abadi" w:hAnsi="Abadi" w:cs="*Courier New-7673-Identity-H"/>
          <w:color w:val="1A1A1C"/>
          <w:sz w:val="21"/>
          <w:szCs w:val="21"/>
        </w:rPr>
        <w:t xml:space="preserve"> </w:t>
      </w:r>
      <w:r w:rsidRPr="003C596E">
        <w:rPr>
          <w:rFonts w:ascii="Abadi" w:hAnsi="Abadi" w:cs="*Courier New-7673-Identity-H"/>
          <w:color w:val="1A1A1C"/>
          <w:sz w:val="21"/>
          <w:szCs w:val="21"/>
        </w:rPr>
        <w:t>proponer a la Asamblea la aprobación del siguiente:</w:t>
      </w:r>
    </w:p>
    <w:p w14:paraId="550C8AFE" w14:textId="77777777" w:rsidR="0084091D" w:rsidRDefault="0084091D" w:rsidP="0084091D">
      <w:pPr>
        <w:autoSpaceDE w:val="0"/>
        <w:autoSpaceDN w:val="0"/>
        <w:adjustRightInd w:val="0"/>
        <w:jc w:val="both"/>
        <w:rPr>
          <w:rFonts w:ascii="Abadi" w:hAnsi="Abadi" w:cs="*Calibri-Bold-7671-Identity-H"/>
          <w:b/>
          <w:bCs/>
          <w:color w:val="0C0C10"/>
          <w:sz w:val="21"/>
          <w:szCs w:val="21"/>
        </w:rPr>
      </w:pPr>
    </w:p>
    <w:p w14:paraId="5D3D2849" w14:textId="77777777" w:rsidR="0084091D" w:rsidRDefault="0084091D" w:rsidP="0084091D">
      <w:pPr>
        <w:autoSpaceDE w:val="0"/>
        <w:autoSpaceDN w:val="0"/>
        <w:adjustRightInd w:val="0"/>
        <w:jc w:val="center"/>
        <w:rPr>
          <w:rFonts w:ascii="Abadi" w:hAnsi="Abadi" w:cs="*Calibri-Bold-7671-Identity-H"/>
          <w:b/>
          <w:bCs/>
          <w:color w:val="0C0C10"/>
          <w:sz w:val="21"/>
          <w:szCs w:val="21"/>
        </w:rPr>
      </w:pPr>
      <w:r w:rsidRPr="003C596E">
        <w:rPr>
          <w:rFonts w:ascii="Abadi" w:hAnsi="Abadi" w:cs="*Calibri-Bold-7671-Identity-H"/>
          <w:b/>
          <w:bCs/>
          <w:color w:val="0C0C10"/>
          <w:sz w:val="21"/>
          <w:szCs w:val="21"/>
        </w:rPr>
        <w:t>ACUERDO</w:t>
      </w:r>
    </w:p>
    <w:p w14:paraId="0E3F5595" w14:textId="77777777" w:rsidR="0084091D" w:rsidRPr="003C596E" w:rsidRDefault="0084091D" w:rsidP="0084091D">
      <w:pPr>
        <w:autoSpaceDE w:val="0"/>
        <w:autoSpaceDN w:val="0"/>
        <w:adjustRightInd w:val="0"/>
        <w:jc w:val="both"/>
        <w:rPr>
          <w:rFonts w:ascii="Abadi" w:hAnsi="Abadi" w:cs="*Calibri-Bold-7671-Identity-H"/>
          <w:b/>
          <w:bCs/>
          <w:color w:val="0C0C10"/>
          <w:sz w:val="21"/>
          <w:szCs w:val="21"/>
        </w:rPr>
      </w:pPr>
    </w:p>
    <w:p w14:paraId="2EC2FF89" w14:textId="77777777" w:rsidR="0084091D" w:rsidRPr="003C596E" w:rsidRDefault="0084091D" w:rsidP="0084091D">
      <w:pPr>
        <w:autoSpaceDE w:val="0"/>
        <w:autoSpaceDN w:val="0"/>
        <w:adjustRightInd w:val="0"/>
        <w:ind w:firstLine="708"/>
        <w:jc w:val="both"/>
        <w:rPr>
          <w:rFonts w:ascii="Abadi" w:hAnsi="Abadi" w:cs="*Courier New-7673-Identity-H"/>
          <w:color w:val="19191A"/>
          <w:sz w:val="21"/>
          <w:szCs w:val="21"/>
        </w:rPr>
      </w:pPr>
      <w:r w:rsidRPr="003C596E">
        <w:rPr>
          <w:rFonts w:ascii="Abadi" w:hAnsi="Abadi" w:cs="*Calibri-Bold-7671-Identity-H"/>
          <w:b/>
          <w:bCs/>
          <w:color w:val="19191A"/>
          <w:sz w:val="21"/>
          <w:szCs w:val="21"/>
        </w:rPr>
        <w:t xml:space="preserve">Único. </w:t>
      </w:r>
      <w:r w:rsidRPr="003C596E">
        <w:rPr>
          <w:rFonts w:ascii="Abadi" w:hAnsi="Abadi" w:cs="*Courier New-7673-Identity-H"/>
          <w:color w:val="19191A"/>
          <w:sz w:val="21"/>
          <w:szCs w:val="21"/>
        </w:rPr>
        <w:t>Se ordena el archivo definitivo de la iniciativa de Ley para la</w:t>
      </w:r>
      <w:r>
        <w:rPr>
          <w:rFonts w:ascii="Abadi" w:hAnsi="Abadi" w:cs="*Courier New-7673-Identity-H"/>
          <w:color w:val="19191A"/>
          <w:sz w:val="21"/>
          <w:szCs w:val="21"/>
        </w:rPr>
        <w:t xml:space="preserve"> </w:t>
      </w:r>
      <w:r w:rsidRPr="003C596E">
        <w:rPr>
          <w:rFonts w:ascii="Abadi" w:hAnsi="Abadi" w:cs="*Courier New-7673-Identity-H"/>
          <w:color w:val="19191A"/>
          <w:sz w:val="21"/>
          <w:szCs w:val="21"/>
        </w:rPr>
        <w:t>Protección, Apoyo y Fomento a la Donación de Alimentos en el Estado de</w:t>
      </w:r>
      <w:r>
        <w:rPr>
          <w:rFonts w:ascii="Abadi" w:hAnsi="Abadi" w:cs="*Courier New-7673-Identity-H"/>
          <w:color w:val="19191A"/>
          <w:sz w:val="21"/>
          <w:szCs w:val="21"/>
        </w:rPr>
        <w:t xml:space="preserve"> </w:t>
      </w:r>
      <w:r w:rsidRPr="003C596E">
        <w:rPr>
          <w:rFonts w:ascii="Abadi" w:hAnsi="Abadi" w:cs="*Courier New-7673-Identity-H"/>
          <w:color w:val="19191A"/>
          <w:sz w:val="21"/>
          <w:szCs w:val="21"/>
        </w:rPr>
        <w:t xml:space="preserve">Guanajuato, formulada por diputadas </w:t>
      </w:r>
      <w:r w:rsidRPr="003C596E">
        <w:rPr>
          <w:rFonts w:ascii="Abadi" w:hAnsi="Abadi" w:cs="*Verdana-7674-Identity-H"/>
          <w:color w:val="19191A"/>
          <w:sz w:val="21"/>
          <w:szCs w:val="21"/>
        </w:rPr>
        <w:t xml:space="preserve">y </w:t>
      </w:r>
      <w:r w:rsidRPr="003C596E">
        <w:rPr>
          <w:rFonts w:ascii="Abadi" w:hAnsi="Abadi" w:cs="*Courier New-7673-Identity-H"/>
          <w:color w:val="19191A"/>
          <w:sz w:val="21"/>
          <w:szCs w:val="21"/>
        </w:rPr>
        <w:t>diputados del Grupo Parlamentario</w:t>
      </w:r>
      <w:r>
        <w:rPr>
          <w:rFonts w:ascii="Abadi" w:hAnsi="Abadi" w:cs="*Courier New-7673-Identity-H"/>
          <w:color w:val="19191A"/>
          <w:sz w:val="21"/>
          <w:szCs w:val="21"/>
        </w:rPr>
        <w:t xml:space="preserve"> </w:t>
      </w:r>
      <w:r w:rsidRPr="003C596E">
        <w:rPr>
          <w:rFonts w:ascii="Abadi" w:hAnsi="Abadi" w:cs="*Courier New-7673-Identity-H"/>
          <w:color w:val="19191A"/>
          <w:sz w:val="21"/>
          <w:szCs w:val="21"/>
        </w:rPr>
        <w:t>Partido Acción Nacional en la Sexagésima Cuarta Legislatura.</w:t>
      </w:r>
    </w:p>
    <w:p w14:paraId="09D1EC69" w14:textId="77777777" w:rsidR="0084091D" w:rsidRPr="003C596E" w:rsidRDefault="0084091D" w:rsidP="0084091D">
      <w:pPr>
        <w:jc w:val="both"/>
        <w:rPr>
          <w:rFonts w:ascii="Abadi" w:hAnsi="Abadi" w:cs="*Courier New-7673-Identity-H"/>
          <w:color w:val="19191A"/>
          <w:sz w:val="21"/>
          <w:szCs w:val="21"/>
        </w:rPr>
      </w:pPr>
    </w:p>
    <w:p w14:paraId="13D353E8" w14:textId="77777777" w:rsidR="00D417E3" w:rsidRDefault="00D417E3" w:rsidP="0084091D">
      <w:pPr>
        <w:jc w:val="both"/>
        <w:rPr>
          <w:rFonts w:ascii="Abadi" w:hAnsi="Abadi" w:cs="*Courier New-7673-Identity-H"/>
          <w:color w:val="19191A"/>
          <w:sz w:val="21"/>
          <w:szCs w:val="21"/>
        </w:rPr>
      </w:pPr>
    </w:p>
    <w:p w14:paraId="5567301D" w14:textId="0F99A172" w:rsidR="0084091D" w:rsidRPr="00D417E3" w:rsidRDefault="0084091D" w:rsidP="0084091D">
      <w:pPr>
        <w:jc w:val="both"/>
        <w:rPr>
          <w:rFonts w:ascii="Abadi" w:hAnsi="Abadi" w:cs="*Courier New-7673-Identity-H"/>
          <w:b/>
          <w:bCs/>
          <w:color w:val="19191A"/>
          <w:sz w:val="21"/>
          <w:szCs w:val="21"/>
        </w:rPr>
      </w:pPr>
      <w:r w:rsidRPr="00D417E3">
        <w:rPr>
          <w:rFonts w:ascii="Abadi" w:hAnsi="Abadi" w:cs="*Courier New-7673-Identity-H"/>
          <w:b/>
          <w:bCs/>
          <w:color w:val="19191A"/>
          <w:sz w:val="21"/>
          <w:szCs w:val="21"/>
        </w:rPr>
        <w:t>Guanajuato, Gto. 05 de mayo de 2022</w:t>
      </w:r>
    </w:p>
    <w:p w14:paraId="39F4F5F7" w14:textId="77777777" w:rsidR="00AA608E" w:rsidRDefault="00AA608E" w:rsidP="0084091D">
      <w:pPr>
        <w:jc w:val="both"/>
        <w:rPr>
          <w:rFonts w:ascii="Abadi" w:hAnsi="Abadi" w:cs="*Courier New-7673-Identity-H"/>
          <w:color w:val="19191A"/>
          <w:sz w:val="21"/>
          <w:szCs w:val="21"/>
        </w:rPr>
      </w:pPr>
    </w:p>
    <w:p w14:paraId="06A75A98" w14:textId="05FB6435" w:rsidR="00A72A7F" w:rsidRPr="00AA608E" w:rsidRDefault="00A72A7F" w:rsidP="0084091D">
      <w:pPr>
        <w:jc w:val="both"/>
        <w:rPr>
          <w:rFonts w:ascii="Abadi" w:hAnsi="Abadi" w:cs="*Microsoft Sans Serif-Bold-7053"/>
          <w:b/>
          <w:bCs/>
          <w:color w:val="0D0C10"/>
          <w:sz w:val="21"/>
          <w:szCs w:val="21"/>
        </w:rPr>
      </w:pPr>
      <w:r w:rsidRPr="00AA608E">
        <w:rPr>
          <w:rFonts w:ascii="Abadi" w:hAnsi="Abadi" w:cs="*Microsoft Sans Serif-Bold-7053"/>
          <w:b/>
          <w:bCs/>
          <w:color w:val="0D0C10"/>
          <w:sz w:val="21"/>
          <w:szCs w:val="21"/>
        </w:rPr>
        <w:t xml:space="preserve">Comisión de </w:t>
      </w:r>
      <w:r w:rsidR="00AA608E" w:rsidRPr="00AA608E">
        <w:rPr>
          <w:rFonts w:ascii="Abadi" w:hAnsi="Abadi" w:cs="*Microsoft Sans Serif-Bold-7053"/>
          <w:b/>
          <w:bCs/>
          <w:color w:val="0D0C10"/>
          <w:sz w:val="21"/>
          <w:szCs w:val="21"/>
        </w:rPr>
        <w:t>D</w:t>
      </w:r>
      <w:r w:rsidRPr="00AA608E">
        <w:rPr>
          <w:rFonts w:ascii="Abadi" w:hAnsi="Abadi" w:cs="*Microsoft Sans Serif-Bold-7053"/>
          <w:b/>
          <w:bCs/>
          <w:color w:val="0D0C10"/>
          <w:sz w:val="21"/>
          <w:szCs w:val="21"/>
        </w:rPr>
        <w:t>esarrollo Económico y Social</w:t>
      </w:r>
    </w:p>
    <w:p w14:paraId="72ADBCAC" w14:textId="77777777" w:rsidR="0084091D" w:rsidRPr="003C596E" w:rsidRDefault="0084091D" w:rsidP="0084091D">
      <w:pPr>
        <w:jc w:val="both"/>
        <w:rPr>
          <w:rFonts w:ascii="Abadi" w:hAnsi="Abadi" w:cs="*Courier New-7673-Identity-H"/>
          <w:color w:val="19191A"/>
          <w:sz w:val="21"/>
          <w:szCs w:val="21"/>
        </w:rPr>
      </w:pPr>
    </w:p>
    <w:p w14:paraId="0E2C0128" w14:textId="77777777" w:rsidR="0084091D" w:rsidRPr="003C596E" w:rsidRDefault="0084091D" w:rsidP="0084091D">
      <w:pPr>
        <w:contextualSpacing/>
        <w:jc w:val="both"/>
        <w:rPr>
          <w:rFonts w:ascii="Abadi" w:hAnsi="Abadi"/>
          <w:b/>
          <w:bCs/>
          <w:sz w:val="21"/>
          <w:szCs w:val="21"/>
        </w:rPr>
      </w:pPr>
      <w:r w:rsidRPr="003C596E">
        <w:rPr>
          <w:rFonts w:ascii="Abadi" w:hAnsi="Abadi"/>
          <w:b/>
          <w:bCs/>
          <w:sz w:val="21"/>
          <w:szCs w:val="21"/>
        </w:rPr>
        <w:t xml:space="preserve">Dip. Miguel Ángel Salim Alle </w:t>
      </w:r>
    </w:p>
    <w:p w14:paraId="493519F2" w14:textId="77777777" w:rsidR="0084091D" w:rsidRPr="003C596E" w:rsidRDefault="0084091D" w:rsidP="0084091D">
      <w:pPr>
        <w:contextualSpacing/>
        <w:jc w:val="both"/>
        <w:rPr>
          <w:rFonts w:ascii="Abadi" w:hAnsi="Abadi"/>
          <w:b/>
          <w:bCs/>
          <w:sz w:val="21"/>
          <w:szCs w:val="21"/>
        </w:rPr>
      </w:pPr>
      <w:r w:rsidRPr="003C596E">
        <w:rPr>
          <w:rFonts w:ascii="Abadi" w:hAnsi="Abadi"/>
          <w:b/>
          <w:bCs/>
          <w:sz w:val="21"/>
          <w:szCs w:val="21"/>
        </w:rPr>
        <w:t>Presidente</w:t>
      </w:r>
    </w:p>
    <w:p w14:paraId="15313E85" w14:textId="77777777" w:rsidR="0084091D" w:rsidRDefault="0084091D" w:rsidP="0084091D">
      <w:pPr>
        <w:contextualSpacing/>
        <w:jc w:val="both"/>
        <w:rPr>
          <w:rFonts w:ascii="Abadi" w:hAnsi="Abadi"/>
          <w:b/>
          <w:bCs/>
          <w:sz w:val="21"/>
          <w:szCs w:val="21"/>
        </w:rPr>
      </w:pPr>
      <w:r w:rsidRPr="003C596E">
        <w:rPr>
          <w:rFonts w:ascii="Abadi" w:hAnsi="Abadi"/>
          <w:b/>
          <w:bCs/>
          <w:sz w:val="21"/>
          <w:szCs w:val="21"/>
        </w:rPr>
        <w:t>Dip. Alejandro Arias Ávila</w:t>
      </w:r>
    </w:p>
    <w:p w14:paraId="1D38337C" w14:textId="77777777" w:rsidR="0084091D" w:rsidRPr="003C596E" w:rsidRDefault="0084091D" w:rsidP="0084091D">
      <w:pPr>
        <w:contextualSpacing/>
        <w:jc w:val="both"/>
        <w:rPr>
          <w:rFonts w:ascii="Abadi" w:hAnsi="Abadi"/>
          <w:b/>
          <w:bCs/>
          <w:sz w:val="21"/>
          <w:szCs w:val="21"/>
        </w:rPr>
      </w:pPr>
      <w:r w:rsidRPr="00DB7A14">
        <w:rPr>
          <w:rFonts w:ascii="Abadi" w:hAnsi="Abadi"/>
          <w:b/>
          <w:bCs/>
          <w:sz w:val="21"/>
          <w:szCs w:val="21"/>
        </w:rPr>
        <w:t xml:space="preserve"> </w:t>
      </w:r>
      <w:r w:rsidRPr="003C596E">
        <w:rPr>
          <w:rFonts w:ascii="Abadi" w:hAnsi="Abadi"/>
          <w:b/>
          <w:bCs/>
          <w:sz w:val="21"/>
          <w:szCs w:val="21"/>
        </w:rPr>
        <w:t>Secretario</w:t>
      </w:r>
    </w:p>
    <w:p w14:paraId="16AA3135" w14:textId="77777777" w:rsidR="0084091D" w:rsidRPr="003C596E" w:rsidRDefault="0084091D" w:rsidP="0084091D">
      <w:pPr>
        <w:contextualSpacing/>
        <w:jc w:val="both"/>
        <w:rPr>
          <w:rFonts w:ascii="Abadi" w:hAnsi="Abadi"/>
          <w:b/>
          <w:bCs/>
          <w:sz w:val="21"/>
          <w:szCs w:val="21"/>
        </w:rPr>
      </w:pPr>
      <w:r w:rsidRPr="003C596E">
        <w:rPr>
          <w:rFonts w:ascii="Abadi" w:hAnsi="Abadi"/>
          <w:b/>
          <w:bCs/>
          <w:sz w:val="21"/>
          <w:szCs w:val="21"/>
        </w:rPr>
        <w:t xml:space="preserve">Dip. Janet Melanie Murillo Chávez </w:t>
      </w:r>
    </w:p>
    <w:p w14:paraId="1A2E7A33" w14:textId="77777777" w:rsidR="0084091D" w:rsidRPr="003C596E" w:rsidRDefault="0084091D" w:rsidP="0084091D">
      <w:pPr>
        <w:contextualSpacing/>
        <w:jc w:val="both"/>
        <w:rPr>
          <w:rFonts w:ascii="Abadi" w:hAnsi="Abadi"/>
          <w:b/>
          <w:bCs/>
          <w:sz w:val="21"/>
          <w:szCs w:val="21"/>
        </w:rPr>
      </w:pPr>
      <w:r w:rsidRPr="003C596E">
        <w:rPr>
          <w:rFonts w:ascii="Abadi" w:hAnsi="Abadi"/>
          <w:b/>
          <w:bCs/>
          <w:sz w:val="21"/>
          <w:szCs w:val="21"/>
        </w:rPr>
        <w:t>Vocal</w:t>
      </w:r>
    </w:p>
    <w:p w14:paraId="0412B5FF" w14:textId="77777777" w:rsidR="0084091D" w:rsidRPr="003C596E" w:rsidRDefault="0084091D" w:rsidP="0084091D">
      <w:pPr>
        <w:contextualSpacing/>
        <w:jc w:val="both"/>
        <w:rPr>
          <w:rFonts w:ascii="Abadi" w:hAnsi="Abadi"/>
          <w:b/>
          <w:bCs/>
          <w:sz w:val="21"/>
          <w:szCs w:val="21"/>
        </w:rPr>
      </w:pPr>
      <w:r w:rsidRPr="003C596E">
        <w:rPr>
          <w:rFonts w:ascii="Abadi" w:hAnsi="Abadi"/>
          <w:b/>
          <w:bCs/>
          <w:sz w:val="21"/>
          <w:szCs w:val="21"/>
        </w:rPr>
        <w:t xml:space="preserve">Dip. Víctor Manuel Zanella Huerta </w:t>
      </w:r>
    </w:p>
    <w:p w14:paraId="5CDCA557" w14:textId="77777777" w:rsidR="0084091D" w:rsidRDefault="0084091D" w:rsidP="0084091D">
      <w:pPr>
        <w:contextualSpacing/>
        <w:jc w:val="both"/>
        <w:rPr>
          <w:rFonts w:ascii="Abadi" w:hAnsi="Abadi"/>
          <w:b/>
          <w:bCs/>
          <w:sz w:val="21"/>
          <w:szCs w:val="21"/>
        </w:rPr>
      </w:pPr>
      <w:r w:rsidRPr="003C596E">
        <w:rPr>
          <w:rFonts w:ascii="Abadi" w:hAnsi="Abadi"/>
          <w:b/>
          <w:bCs/>
          <w:sz w:val="21"/>
          <w:szCs w:val="21"/>
        </w:rPr>
        <w:t>Vocal</w:t>
      </w:r>
    </w:p>
    <w:p w14:paraId="17BFF32B" w14:textId="77777777" w:rsidR="0084091D" w:rsidRDefault="0084091D" w:rsidP="0084091D">
      <w:pPr>
        <w:contextualSpacing/>
        <w:jc w:val="both"/>
        <w:rPr>
          <w:rFonts w:ascii="Abadi" w:hAnsi="Abadi"/>
          <w:b/>
          <w:bCs/>
          <w:sz w:val="21"/>
          <w:szCs w:val="21"/>
        </w:rPr>
      </w:pPr>
      <w:r>
        <w:rPr>
          <w:rFonts w:ascii="Abadi" w:hAnsi="Abadi"/>
          <w:b/>
          <w:bCs/>
          <w:sz w:val="21"/>
          <w:szCs w:val="21"/>
        </w:rPr>
        <w:t>Dip. Martha Edith Moreno Valencia</w:t>
      </w:r>
    </w:p>
    <w:p w14:paraId="39E07610" w14:textId="77777777" w:rsidR="0084091D" w:rsidRPr="003C596E" w:rsidRDefault="0084091D" w:rsidP="0084091D">
      <w:pPr>
        <w:contextualSpacing/>
        <w:jc w:val="both"/>
        <w:rPr>
          <w:rFonts w:ascii="Abadi" w:hAnsi="Abadi"/>
          <w:b/>
          <w:bCs/>
          <w:sz w:val="21"/>
          <w:szCs w:val="21"/>
        </w:rPr>
      </w:pPr>
      <w:r>
        <w:rPr>
          <w:rFonts w:ascii="Abadi" w:hAnsi="Abadi"/>
          <w:b/>
          <w:bCs/>
          <w:sz w:val="21"/>
          <w:szCs w:val="21"/>
        </w:rPr>
        <w:t>Vocal</w:t>
      </w:r>
    </w:p>
    <w:p w14:paraId="731E1B8D" w14:textId="2B86BDF8" w:rsidR="0084091D" w:rsidRDefault="0084091D" w:rsidP="0084091D">
      <w:pPr>
        <w:contextualSpacing/>
        <w:jc w:val="both"/>
        <w:rPr>
          <w:rFonts w:ascii="Abadi" w:hAnsi="Abadi"/>
          <w:b/>
          <w:bCs/>
          <w:sz w:val="21"/>
          <w:szCs w:val="21"/>
        </w:rPr>
      </w:pPr>
    </w:p>
    <w:p w14:paraId="6B32A955" w14:textId="119724B5" w:rsidR="00871397" w:rsidRDefault="00871397" w:rsidP="0084091D">
      <w:pPr>
        <w:contextualSpacing/>
        <w:jc w:val="both"/>
        <w:rPr>
          <w:rFonts w:ascii="Abadi" w:hAnsi="Abadi"/>
          <w:b/>
          <w:bCs/>
          <w:sz w:val="21"/>
          <w:szCs w:val="21"/>
        </w:rPr>
      </w:pPr>
    </w:p>
    <w:p w14:paraId="7D03B883" w14:textId="255C1B20" w:rsidR="004A119A" w:rsidRDefault="004A119A" w:rsidP="00994309">
      <w:pPr>
        <w:ind w:firstLine="708"/>
        <w:jc w:val="both"/>
        <w:rPr>
          <w:rFonts w:ascii="Abadi" w:hAnsi="Abadi"/>
          <w:sz w:val="21"/>
          <w:szCs w:val="21"/>
        </w:rPr>
      </w:pPr>
      <w:r>
        <w:rPr>
          <w:rFonts w:ascii="Abadi" w:hAnsi="Abadi"/>
          <w:b/>
          <w:bCs/>
          <w:sz w:val="21"/>
          <w:szCs w:val="21"/>
        </w:rPr>
        <w:t xml:space="preserve">- </w:t>
      </w:r>
      <w:r w:rsidRPr="004A119A">
        <w:rPr>
          <w:rFonts w:ascii="Abadi" w:hAnsi="Abadi"/>
          <w:b/>
          <w:bCs/>
          <w:sz w:val="21"/>
          <w:szCs w:val="21"/>
        </w:rPr>
        <w:t>La Presidencia.-</w:t>
      </w:r>
      <w:r w:rsidRPr="004A119A">
        <w:rPr>
          <w:rFonts w:ascii="Abadi" w:hAnsi="Abadi"/>
          <w:sz w:val="21"/>
          <w:szCs w:val="21"/>
        </w:rPr>
        <w:t xml:space="preserve"> Enseguida se somete discusión el dictamen suscrito por la Comisión de Desarrollo Económico y Social, relativo a la Iniciativa de Ley para la Protección, Apoyo y Fomento en la Donación de Alimentos en el Estado de Guanajuato, formulada por diputadas y diputados integrantes del grupo parlamentario del Partido Acción Nacional en la Sexagésima Cuarta Legislatura. </w:t>
      </w:r>
    </w:p>
    <w:p w14:paraId="59896E52" w14:textId="77777777" w:rsidR="004A119A" w:rsidRPr="004A119A" w:rsidRDefault="004A119A" w:rsidP="004A119A">
      <w:pPr>
        <w:jc w:val="both"/>
        <w:rPr>
          <w:rFonts w:ascii="Abadi" w:hAnsi="Abadi"/>
          <w:sz w:val="21"/>
          <w:szCs w:val="21"/>
        </w:rPr>
      </w:pPr>
    </w:p>
    <w:p w14:paraId="12CA81AA" w14:textId="05EF886C" w:rsidR="004A119A" w:rsidRDefault="00994309" w:rsidP="00994309">
      <w:pPr>
        <w:ind w:firstLine="708"/>
        <w:jc w:val="both"/>
        <w:rPr>
          <w:rFonts w:ascii="Abadi" w:hAnsi="Abadi"/>
          <w:sz w:val="21"/>
          <w:szCs w:val="21"/>
        </w:rPr>
      </w:pPr>
      <w:r>
        <w:rPr>
          <w:rFonts w:ascii="Abadi" w:hAnsi="Abadi"/>
          <w:sz w:val="21"/>
          <w:szCs w:val="21"/>
        </w:rPr>
        <w:t xml:space="preserve">- </w:t>
      </w:r>
      <w:r w:rsidR="004A119A" w:rsidRPr="004A119A">
        <w:rPr>
          <w:rFonts w:ascii="Abadi" w:hAnsi="Abadi"/>
          <w:sz w:val="21"/>
          <w:szCs w:val="21"/>
        </w:rPr>
        <w:t xml:space="preserve">Si alguna diputada o algún diputado desea hacer uso de la palabra en pro o en contra, manifiéstenlo indicando el sentido de su participación. </w:t>
      </w:r>
    </w:p>
    <w:p w14:paraId="0ACAE912" w14:textId="77777777" w:rsidR="004A119A" w:rsidRPr="004A119A" w:rsidRDefault="004A119A" w:rsidP="004A119A">
      <w:pPr>
        <w:jc w:val="both"/>
        <w:rPr>
          <w:rFonts w:ascii="Abadi" w:hAnsi="Abadi"/>
          <w:sz w:val="21"/>
          <w:szCs w:val="21"/>
        </w:rPr>
      </w:pPr>
    </w:p>
    <w:p w14:paraId="7DDD04D6" w14:textId="15F7B01A" w:rsidR="004A119A" w:rsidRDefault="00994309" w:rsidP="00994309">
      <w:pPr>
        <w:ind w:firstLine="708"/>
        <w:jc w:val="both"/>
        <w:rPr>
          <w:rFonts w:ascii="Abadi" w:hAnsi="Abadi"/>
          <w:sz w:val="21"/>
          <w:szCs w:val="21"/>
        </w:rPr>
      </w:pPr>
      <w:r>
        <w:rPr>
          <w:rFonts w:ascii="Abadi" w:hAnsi="Abadi"/>
          <w:sz w:val="21"/>
          <w:szCs w:val="21"/>
        </w:rPr>
        <w:t xml:space="preserve">- </w:t>
      </w:r>
      <w:r w:rsidR="004A119A" w:rsidRPr="004A119A">
        <w:rPr>
          <w:rFonts w:ascii="Abadi" w:hAnsi="Abadi"/>
          <w:sz w:val="21"/>
          <w:szCs w:val="21"/>
        </w:rPr>
        <w:t>En virtud de no haber participaciones se pide a la Secretaria que proceda recabar votación nominal de la Asamblea a través del sistema electrónico, a efecto de aprobar o no el dictamen puesto a su consideración.</w:t>
      </w:r>
    </w:p>
    <w:p w14:paraId="247A7B6C" w14:textId="77777777" w:rsidR="00994309" w:rsidRPr="004A119A" w:rsidRDefault="00994309" w:rsidP="004A119A">
      <w:pPr>
        <w:jc w:val="both"/>
        <w:rPr>
          <w:rFonts w:ascii="Abadi" w:hAnsi="Abadi"/>
          <w:sz w:val="21"/>
          <w:szCs w:val="21"/>
        </w:rPr>
      </w:pPr>
    </w:p>
    <w:p w14:paraId="230F7AC8" w14:textId="77777777" w:rsidR="004A119A" w:rsidRPr="004A119A" w:rsidRDefault="004A119A" w:rsidP="00994309">
      <w:pPr>
        <w:jc w:val="center"/>
        <w:rPr>
          <w:rFonts w:ascii="Abadi" w:hAnsi="Abadi"/>
          <w:b/>
          <w:bCs/>
          <w:sz w:val="21"/>
          <w:szCs w:val="21"/>
        </w:rPr>
      </w:pPr>
      <w:r w:rsidRPr="004A119A">
        <w:rPr>
          <w:rFonts w:ascii="Abadi" w:hAnsi="Abadi"/>
          <w:b/>
          <w:bCs/>
          <w:sz w:val="21"/>
          <w:szCs w:val="21"/>
        </w:rPr>
        <w:t>(Se abre el sistema electrónico)</w:t>
      </w:r>
    </w:p>
    <w:p w14:paraId="5283584D" w14:textId="77777777" w:rsidR="00994309" w:rsidRDefault="00994309" w:rsidP="004A119A">
      <w:pPr>
        <w:jc w:val="both"/>
        <w:rPr>
          <w:rFonts w:ascii="Abadi" w:hAnsi="Abadi"/>
          <w:b/>
          <w:bCs/>
          <w:sz w:val="21"/>
          <w:szCs w:val="21"/>
        </w:rPr>
      </w:pPr>
    </w:p>
    <w:p w14:paraId="23E61A02" w14:textId="294C1D86" w:rsidR="004A119A" w:rsidRDefault="00994309" w:rsidP="00440FB7">
      <w:pPr>
        <w:ind w:firstLine="708"/>
        <w:jc w:val="both"/>
        <w:rPr>
          <w:rFonts w:ascii="Abadi" w:hAnsi="Abadi"/>
          <w:sz w:val="21"/>
          <w:szCs w:val="21"/>
        </w:rPr>
      </w:pPr>
      <w:r>
        <w:rPr>
          <w:rFonts w:ascii="Abadi" w:hAnsi="Abadi"/>
          <w:b/>
          <w:bCs/>
          <w:sz w:val="21"/>
          <w:szCs w:val="21"/>
        </w:rPr>
        <w:t xml:space="preserve">- </w:t>
      </w:r>
      <w:r w:rsidR="004A119A" w:rsidRPr="004A119A">
        <w:rPr>
          <w:rFonts w:ascii="Abadi" w:hAnsi="Abadi"/>
          <w:b/>
          <w:bCs/>
          <w:sz w:val="21"/>
          <w:szCs w:val="21"/>
        </w:rPr>
        <w:t>La Secretaria.-</w:t>
      </w:r>
      <w:r w:rsidR="004A119A" w:rsidRPr="004A119A">
        <w:rPr>
          <w:rFonts w:ascii="Abadi" w:hAnsi="Abadi"/>
          <w:sz w:val="21"/>
          <w:szCs w:val="21"/>
        </w:rPr>
        <w:t xml:space="preserve"> En votación nominal por el sistema electrónico, se pregunta a las diputadas y los diputados si, se aprueba el dictamen puesto a su consideración. ¿Diputado Pablo Alonso Ripoll? gracias diputado.</w:t>
      </w:r>
    </w:p>
    <w:p w14:paraId="68156516" w14:textId="77777777" w:rsidR="00994309" w:rsidRPr="004A119A" w:rsidRDefault="00994309" w:rsidP="004A119A">
      <w:pPr>
        <w:jc w:val="both"/>
        <w:rPr>
          <w:rFonts w:ascii="Abadi" w:hAnsi="Abadi"/>
          <w:sz w:val="21"/>
          <w:szCs w:val="21"/>
        </w:rPr>
      </w:pPr>
    </w:p>
    <w:p w14:paraId="4D807FEA" w14:textId="77777777" w:rsidR="004A119A" w:rsidRPr="004A119A" w:rsidRDefault="004A119A" w:rsidP="004A119A">
      <w:pPr>
        <w:jc w:val="both"/>
        <w:rPr>
          <w:rFonts w:ascii="Abadi" w:hAnsi="Abadi"/>
          <w:sz w:val="21"/>
          <w:szCs w:val="21"/>
        </w:rPr>
      </w:pPr>
      <w:r w:rsidRPr="004A119A">
        <w:rPr>
          <w:rFonts w:ascii="Abadi" w:hAnsi="Abadi"/>
          <w:sz w:val="21"/>
          <w:szCs w:val="21"/>
        </w:rPr>
        <w:t xml:space="preserve">¿Falta alguna diputada, algún diputado de emitir su voto? </w:t>
      </w:r>
    </w:p>
    <w:p w14:paraId="55B80EE5" w14:textId="77777777" w:rsidR="004A119A" w:rsidRPr="004A119A" w:rsidRDefault="004A119A" w:rsidP="004A119A">
      <w:pPr>
        <w:jc w:val="both"/>
        <w:rPr>
          <w:rFonts w:ascii="Abadi" w:hAnsi="Abadi"/>
          <w:b/>
          <w:bCs/>
          <w:sz w:val="21"/>
          <w:szCs w:val="21"/>
        </w:rPr>
      </w:pPr>
    </w:p>
    <w:p w14:paraId="119E6BAE" w14:textId="77777777" w:rsidR="004A119A" w:rsidRPr="004A119A" w:rsidRDefault="004A119A" w:rsidP="004A119A">
      <w:pPr>
        <w:jc w:val="both"/>
        <w:rPr>
          <w:rFonts w:ascii="Abadi" w:hAnsi="Abadi"/>
          <w:b/>
          <w:bCs/>
          <w:sz w:val="21"/>
          <w:szCs w:val="21"/>
        </w:rPr>
      </w:pPr>
    </w:p>
    <w:p w14:paraId="0595B307" w14:textId="37426751" w:rsidR="004A119A" w:rsidRPr="004A119A" w:rsidRDefault="004A119A" w:rsidP="00994309">
      <w:pPr>
        <w:jc w:val="center"/>
        <w:rPr>
          <w:rFonts w:ascii="Abadi" w:hAnsi="Abadi"/>
          <w:b/>
          <w:bCs/>
          <w:sz w:val="21"/>
          <w:szCs w:val="21"/>
        </w:rPr>
      </w:pPr>
      <w:r w:rsidRPr="004A119A">
        <w:rPr>
          <w:rFonts w:ascii="Abadi" w:hAnsi="Abadi"/>
          <w:b/>
          <w:bCs/>
          <w:sz w:val="21"/>
          <w:szCs w:val="21"/>
        </w:rPr>
        <w:t>(Se cierra el sistema electrónico)</w:t>
      </w:r>
    </w:p>
    <w:p w14:paraId="5B01CB97" w14:textId="77777777" w:rsidR="004A119A" w:rsidRPr="004A119A" w:rsidRDefault="004A119A" w:rsidP="004A119A">
      <w:pPr>
        <w:jc w:val="both"/>
        <w:rPr>
          <w:rFonts w:ascii="Abadi" w:hAnsi="Abadi"/>
          <w:b/>
          <w:bCs/>
          <w:sz w:val="21"/>
          <w:szCs w:val="21"/>
        </w:rPr>
      </w:pPr>
    </w:p>
    <w:p w14:paraId="6EEC3499" w14:textId="77777777" w:rsidR="004A119A" w:rsidRPr="004A119A" w:rsidRDefault="004A119A" w:rsidP="004A119A">
      <w:pPr>
        <w:jc w:val="both"/>
        <w:rPr>
          <w:rFonts w:ascii="Abadi" w:hAnsi="Abadi"/>
          <w:b/>
          <w:bCs/>
          <w:sz w:val="21"/>
          <w:szCs w:val="21"/>
        </w:rPr>
      </w:pPr>
      <w:r w:rsidRPr="004A119A">
        <w:rPr>
          <w:rFonts w:ascii="Abadi" w:hAnsi="Abadi"/>
          <w:noProof/>
          <w:sz w:val="21"/>
          <w:szCs w:val="21"/>
        </w:rPr>
        <w:drawing>
          <wp:inline distT="0" distB="0" distL="0" distR="0" wp14:anchorId="2B1D5B74" wp14:editId="204A3F11">
            <wp:extent cx="2096219" cy="1114847"/>
            <wp:effectExtent l="152400" t="152400" r="361315" b="37147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5444"/>
                    <a:stretch/>
                  </pic:blipFill>
                  <pic:spPr bwMode="auto">
                    <a:xfrm>
                      <a:off x="0" y="0"/>
                      <a:ext cx="2113392" cy="11239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6AABC21" w14:textId="64685B5F" w:rsidR="004A119A" w:rsidRDefault="00994309" w:rsidP="00994309">
      <w:pPr>
        <w:ind w:firstLine="708"/>
        <w:jc w:val="both"/>
        <w:rPr>
          <w:rFonts w:ascii="Abadi" w:hAnsi="Abadi"/>
          <w:sz w:val="21"/>
          <w:szCs w:val="21"/>
        </w:rPr>
      </w:pPr>
      <w:r>
        <w:rPr>
          <w:rFonts w:ascii="Abadi" w:hAnsi="Abadi"/>
          <w:b/>
          <w:bCs/>
          <w:sz w:val="21"/>
          <w:szCs w:val="21"/>
        </w:rPr>
        <w:t xml:space="preserve">- </w:t>
      </w:r>
      <w:r w:rsidR="004A119A" w:rsidRPr="004A119A">
        <w:rPr>
          <w:rFonts w:ascii="Abadi" w:hAnsi="Abadi"/>
          <w:b/>
          <w:bCs/>
          <w:sz w:val="21"/>
          <w:szCs w:val="21"/>
        </w:rPr>
        <w:t>La Secretaria.-</w:t>
      </w:r>
      <w:r w:rsidR="004A119A" w:rsidRPr="004A119A">
        <w:rPr>
          <w:rFonts w:ascii="Abadi" w:hAnsi="Abadi"/>
          <w:sz w:val="21"/>
          <w:szCs w:val="21"/>
        </w:rPr>
        <w:t xml:space="preserve"> Se registraron 31 votos a favor. </w:t>
      </w:r>
    </w:p>
    <w:p w14:paraId="128645B9" w14:textId="77777777" w:rsidR="00994309" w:rsidRPr="004A119A" w:rsidRDefault="00994309" w:rsidP="00994309">
      <w:pPr>
        <w:ind w:firstLine="708"/>
        <w:jc w:val="both"/>
        <w:rPr>
          <w:rFonts w:ascii="Abadi" w:hAnsi="Abadi"/>
          <w:sz w:val="21"/>
          <w:szCs w:val="21"/>
        </w:rPr>
      </w:pPr>
    </w:p>
    <w:p w14:paraId="0F002338" w14:textId="21B4034E" w:rsidR="004A119A" w:rsidRPr="004A119A" w:rsidRDefault="00994309" w:rsidP="00994309">
      <w:pPr>
        <w:ind w:firstLine="705"/>
        <w:jc w:val="both"/>
        <w:rPr>
          <w:rFonts w:ascii="Abadi" w:hAnsi="Abadi"/>
          <w:sz w:val="21"/>
          <w:szCs w:val="21"/>
        </w:rPr>
      </w:pPr>
      <w:r>
        <w:rPr>
          <w:rFonts w:ascii="Abadi" w:hAnsi="Abadi"/>
          <w:b/>
          <w:bCs/>
          <w:sz w:val="21"/>
          <w:szCs w:val="21"/>
        </w:rPr>
        <w:t xml:space="preserve">- </w:t>
      </w:r>
      <w:r w:rsidR="004A119A" w:rsidRPr="004A119A">
        <w:rPr>
          <w:rFonts w:ascii="Abadi" w:hAnsi="Abadi"/>
          <w:b/>
          <w:bCs/>
          <w:sz w:val="21"/>
          <w:szCs w:val="21"/>
        </w:rPr>
        <w:t>La Presidencia.-</w:t>
      </w:r>
      <w:r w:rsidR="004A119A" w:rsidRPr="004A119A">
        <w:rPr>
          <w:rFonts w:ascii="Abadi" w:hAnsi="Abadi"/>
          <w:sz w:val="21"/>
          <w:szCs w:val="21"/>
        </w:rPr>
        <w:t xml:space="preserve"> El dictamen ha sido aprobado por unanimidad de votos. </w:t>
      </w:r>
    </w:p>
    <w:p w14:paraId="37C4078E" w14:textId="77777777" w:rsidR="0048545D" w:rsidRDefault="0048545D" w:rsidP="0048545D">
      <w:pPr>
        <w:pStyle w:val="Prrafodelista"/>
        <w:spacing w:after="160" w:line="259" w:lineRule="auto"/>
        <w:ind w:left="1065"/>
        <w:contextualSpacing/>
        <w:jc w:val="both"/>
        <w:rPr>
          <w:rFonts w:ascii="Abadi" w:hAnsi="Abadi"/>
          <w:sz w:val="21"/>
          <w:szCs w:val="21"/>
        </w:rPr>
      </w:pPr>
    </w:p>
    <w:p w14:paraId="1353DE1C" w14:textId="7EB66EC2" w:rsidR="004A119A" w:rsidRPr="004A119A" w:rsidRDefault="004A119A" w:rsidP="004A119A">
      <w:pPr>
        <w:pStyle w:val="Prrafodelista"/>
        <w:numPr>
          <w:ilvl w:val="0"/>
          <w:numId w:val="72"/>
        </w:numPr>
        <w:spacing w:after="160" w:line="259" w:lineRule="auto"/>
        <w:contextualSpacing/>
        <w:jc w:val="both"/>
        <w:rPr>
          <w:rFonts w:ascii="Abadi" w:hAnsi="Abadi"/>
          <w:sz w:val="21"/>
          <w:szCs w:val="21"/>
        </w:rPr>
      </w:pPr>
      <w:r w:rsidRPr="004A119A">
        <w:rPr>
          <w:rFonts w:ascii="Abadi" w:hAnsi="Abadi"/>
          <w:sz w:val="21"/>
          <w:szCs w:val="21"/>
        </w:rPr>
        <w:t xml:space="preserve">En consecuencia. </w:t>
      </w:r>
    </w:p>
    <w:p w14:paraId="6E67ECEC" w14:textId="137C8595" w:rsidR="00871397" w:rsidRPr="004A119A" w:rsidRDefault="004A119A" w:rsidP="00E73BE4">
      <w:pPr>
        <w:ind w:left="567" w:right="283"/>
        <w:contextualSpacing/>
        <w:jc w:val="both"/>
        <w:rPr>
          <w:rFonts w:ascii="Abadi" w:hAnsi="Abadi"/>
          <w:b/>
          <w:bCs/>
          <w:sz w:val="21"/>
          <w:szCs w:val="21"/>
        </w:rPr>
      </w:pPr>
      <w:r w:rsidRPr="004A119A">
        <w:rPr>
          <w:rFonts w:ascii="Abadi" w:hAnsi="Abadi"/>
          <w:b/>
          <w:bCs/>
          <w:i/>
          <w:iCs/>
          <w:sz w:val="21"/>
          <w:szCs w:val="21"/>
          <w:u w:val="single"/>
        </w:rPr>
        <w:t>Se instruye a la Secretaría General, para que proceda el archivo definitivo de la iniciativa referida en el dictamen aprobado.</w:t>
      </w:r>
    </w:p>
    <w:p w14:paraId="187B22B1" w14:textId="77777777" w:rsidR="0084091D" w:rsidRPr="0084091D" w:rsidRDefault="0084091D" w:rsidP="0084091D">
      <w:pPr>
        <w:autoSpaceDE w:val="0"/>
        <w:autoSpaceDN w:val="0"/>
        <w:adjustRightInd w:val="0"/>
        <w:jc w:val="both"/>
        <w:rPr>
          <w:rFonts w:ascii="Abadi" w:hAnsi="Abadi" w:cs="ArialMT"/>
          <w:b/>
          <w:bCs/>
          <w:sz w:val="20"/>
          <w:szCs w:val="21"/>
        </w:rPr>
      </w:pPr>
    </w:p>
    <w:p w14:paraId="03630DCB" w14:textId="77777777" w:rsidR="006F3002" w:rsidRPr="00293312" w:rsidRDefault="006F3002" w:rsidP="006F3002">
      <w:pPr>
        <w:autoSpaceDE w:val="0"/>
        <w:autoSpaceDN w:val="0"/>
        <w:adjustRightInd w:val="0"/>
        <w:ind w:left="426"/>
        <w:jc w:val="both"/>
        <w:rPr>
          <w:rFonts w:ascii="Abadi" w:hAnsi="Abadi" w:cs="Arial-BoldMT"/>
          <w:b/>
          <w:bCs/>
          <w:sz w:val="20"/>
          <w:szCs w:val="21"/>
        </w:rPr>
      </w:pPr>
    </w:p>
    <w:p w14:paraId="0A14C498" w14:textId="7BB68E50"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EMITIDO POR LA COMISIÓN DE DESARROLLO ECONÓMICO Y SOCIAL RELATIVO A LA INICIATIVA DE LEY DE FOMENTO E IMPULSO A LA ACTIVIDAD ARTESANAL PARA EL ESTADO DE GUANAJUATO, FORMULADA POR DIPUTADAS Y DIPUTADOS INTEGRANTES DEL GRUPO PARLAMENTARIO DEL PARTIDO ACCIÓN NACIONAL EN LA SEXAGÉSIMA CUARTA LEGISLATURA.</w:t>
      </w:r>
    </w:p>
    <w:p w14:paraId="257E8FF8" w14:textId="6E464FE2" w:rsidR="00A72A7F" w:rsidRDefault="00A72A7F" w:rsidP="00A72A7F">
      <w:pPr>
        <w:autoSpaceDE w:val="0"/>
        <w:autoSpaceDN w:val="0"/>
        <w:adjustRightInd w:val="0"/>
        <w:jc w:val="both"/>
        <w:rPr>
          <w:rFonts w:ascii="Abadi" w:hAnsi="Abadi" w:cs="ArialMT"/>
          <w:b/>
          <w:bCs/>
          <w:sz w:val="20"/>
          <w:szCs w:val="21"/>
        </w:rPr>
      </w:pPr>
    </w:p>
    <w:p w14:paraId="5F46A752" w14:textId="77777777" w:rsidR="00A72A7F" w:rsidRPr="004471E0" w:rsidRDefault="00A72A7F" w:rsidP="00A72A7F">
      <w:pPr>
        <w:autoSpaceDE w:val="0"/>
        <w:autoSpaceDN w:val="0"/>
        <w:adjustRightInd w:val="0"/>
        <w:jc w:val="both"/>
        <w:rPr>
          <w:rFonts w:ascii="Abadi" w:hAnsi="Abadi" w:cs="*Microsoft Sans Serif-Bold-7053"/>
          <w:b/>
          <w:bCs/>
          <w:color w:val="0E0E12"/>
          <w:sz w:val="21"/>
          <w:szCs w:val="21"/>
        </w:rPr>
      </w:pPr>
      <w:r w:rsidRPr="004471E0">
        <w:rPr>
          <w:rFonts w:ascii="Abadi" w:hAnsi="Abadi" w:cs="*Microsoft Sans Serif-Bold-7053"/>
          <w:b/>
          <w:bCs/>
          <w:color w:val="0E0E12"/>
          <w:sz w:val="21"/>
          <w:szCs w:val="21"/>
        </w:rPr>
        <w:t>Dip. lrma Leticia González Sánchez</w:t>
      </w:r>
    </w:p>
    <w:p w14:paraId="348DEA6D" w14:textId="77777777" w:rsidR="00A72A7F" w:rsidRPr="004471E0" w:rsidRDefault="00A72A7F" w:rsidP="00A72A7F">
      <w:pPr>
        <w:autoSpaceDE w:val="0"/>
        <w:autoSpaceDN w:val="0"/>
        <w:adjustRightInd w:val="0"/>
        <w:jc w:val="both"/>
        <w:rPr>
          <w:rFonts w:ascii="Abadi" w:hAnsi="Abadi" w:cs="*Microsoft Sans Serif-Bold-7053"/>
          <w:b/>
          <w:bCs/>
          <w:color w:val="0E0E12"/>
          <w:sz w:val="21"/>
          <w:szCs w:val="21"/>
        </w:rPr>
      </w:pPr>
      <w:r w:rsidRPr="004471E0">
        <w:rPr>
          <w:rFonts w:ascii="Abadi" w:hAnsi="Abadi" w:cs="*Microsoft Sans Serif-Bold-7053"/>
          <w:b/>
          <w:bCs/>
          <w:color w:val="0E0E12"/>
          <w:sz w:val="21"/>
          <w:szCs w:val="21"/>
        </w:rPr>
        <w:t>Presidenta del Congreso del Estado</w:t>
      </w:r>
    </w:p>
    <w:p w14:paraId="4367382E" w14:textId="77777777" w:rsidR="00A72A7F" w:rsidRDefault="00A72A7F" w:rsidP="00A72A7F">
      <w:pPr>
        <w:autoSpaceDE w:val="0"/>
        <w:autoSpaceDN w:val="0"/>
        <w:adjustRightInd w:val="0"/>
        <w:jc w:val="both"/>
        <w:rPr>
          <w:rFonts w:ascii="Abadi" w:hAnsi="Abadi" w:cs="*Microsoft Sans Serif-Bold-7053"/>
          <w:b/>
          <w:bCs/>
          <w:color w:val="0E0E12"/>
          <w:sz w:val="21"/>
          <w:szCs w:val="21"/>
        </w:rPr>
      </w:pPr>
      <w:r w:rsidRPr="004471E0">
        <w:rPr>
          <w:rFonts w:ascii="Abadi" w:hAnsi="Abadi" w:cs="*Microsoft Sans Serif-Bold-7053"/>
          <w:b/>
          <w:bCs/>
          <w:color w:val="0E0E12"/>
          <w:sz w:val="21"/>
          <w:szCs w:val="21"/>
        </w:rPr>
        <w:t>Pr</w:t>
      </w:r>
      <w:r>
        <w:rPr>
          <w:rFonts w:ascii="Abadi" w:hAnsi="Abadi" w:cs="*Microsoft Sans Serif-Bold-7053"/>
          <w:b/>
          <w:bCs/>
          <w:color w:val="0E0E12"/>
          <w:sz w:val="21"/>
          <w:szCs w:val="21"/>
        </w:rPr>
        <w:t>e</w:t>
      </w:r>
      <w:r w:rsidRPr="004471E0">
        <w:rPr>
          <w:rFonts w:ascii="Abadi" w:hAnsi="Abadi" w:cs="*Microsoft Sans Serif-Bold-7053"/>
          <w:b/>
          <w:bCs/>
          <w:color w:val="0E0E12"/>
          <w:sz w:val="21"/>
          <w:szCs w:val="21"/>
        </w:rPr>
        <w:t>sente.</w:t>
      </w:r>
    </w:p>
    <w:p w14:paraId="69E31BB8" w14:textId="77777777" w:rsidR="00A72A7F" w:rsidRPr="004471E0" w:rsidRDefault="00A72A7F" w:rsidP="00A72A7F">
      <w:pPr>
        <w:autoSpaceDE w:val="0"/>
        <w:autoSpaceDN w:val="0"/>
        <w:adjustRightInd w:val="0"/>
        <w:jc w:val="both"/>
        <w:rPr>
          <w:rFonts w:ascii="Abadi" w:hAnsi="Abadi" w:cs="*Microsoft Sans Serif-Bold-7053"/>
          <w:b/>
          <w:bCs/>
          <w:color w:val="0E0E12"/>
          <w:sz w:val="21"/>
          <w:szCs w:val="21"/>
        </w:rPr>
      </w:pPr>
    </w:p>
    <w:p w14:paraId="48AB47F9" w14:textId="77777777" w:rsidR="00A72A7F" w:rsidRDefault="00A72A7F" w:rsidP="00A72A7F">
      <w:pPr>
        <w:autoSpaceDE w:val="0"/>
        <w:autoSpaceDN w:val="0"/>
        <w:adjustRightInd w:val="0"/>
        <w:ind w:firstLine="708"/>
        <w:jc w:val="both"/>
        <w:rPr>
          <w:rFonts w:ascii="Abadi" w:hAnsi="Abadi" w:cs="*Courier New-7051-Identity-H"/>
          <w:color w:val="18181A"/>
          <w:sz w:val="21"/>
          <w:szCs w:val="21"/>
        </w:rPr>
      </w:pPr>
      <w:r w:rsidRPr="004471E0">
        <w:rPr>
          <w:rFonts w:ascii="Abadi" w:hAnsi="Abadi" w:cs="*Courier New-7051-Identity-H"/>
          <w:color w:val="18181A"/>
          <w:sz w:val="21"/>
          <w:szCs w:val="21"/>
        </w:rPr>
        <w:t>Las diputadas y los diputados que integramos la Comisión de Desarrollo</w:t>
      </w:r>
      <w:r>
        <w:rPr>
          <w:rFonts w:ascii="Abadi" w:hAnsi="Abadi" w:cs="*Courier New-7051-Identity-H"/>
          <w:color w:val="18181A"/>
          <w:sz w:val="21"/>
          <w:szCs w:val="21"/>
        </w:rPr>
        <w:t xml:space="preserve"> </w:t>
      </w:r>
      <w:r w:rsidRPr="004471E0">
        <w:rPr>
          <w:rFonts w:ascii="Abadi" w:hAnsi="Abadi" w:cs="*Courier New-7051-Identity-H"/>
          <w:color w:val="18181A"/>
          <w:sz w:val="21"/>
          <w:szCs w:val="21"/>
        </w:rPr>
        <w:t>Económico y Social de la Sexagésima Quinta Legislatura, recibimos en los</w:t>
      </w:r>
      <w:r>
        <w:rPr>
          <w:rFonts w:ascii="Abadi" w:hAnsi="Abadi" w:cs="*Courier New-7051-Identity-H"/>
          <w:color w:val="18181A"/>
          <w:sz w:val="21"/>
          <w:szCs w:val="21"/>
        </w:rPr>
        <w:t xml:space="preserve"> </w:t>
      </w:r>
      <w:r w:rsidRPr="004471E0">
        <w:rPr>
          <w:rFonts w:ascii="Abadi" w:hAnsi="Abadi" w:cs="*Courier New-7051-Identity-H"/>
          <w:color w:val="18181A"/>
          <w:sz w:val="21"/>
          <w:szCs w:val="21"/>
        </w:rPr>
        <w:t>pendientes legislativos la iniciativa de Ley de Fomento e Impulso a lo Actividad</w:t>
      </w:r>
      <w:r>
        <w:rPr>
          <w:rFonts w:ascii="Abadi" w:hAnsi="Abadi" w:cs="*Courier New-7051-Identity-H"/>
          <w:color w:val="18181A"/>
          <w:sz w:val="21"/>
          <w:szCs w:val="21"/>
        </w:rPr>
        <w:t xml:space="preserve"> </w:t>
      </w:r>
      <w:r w:rsidRPr="004471E0">
        <w:rPr>
          <w:rFonts w:ascii="Abadi" w:hAnsi="Abadi" w:cs="*Courier New-7051-Identity-H"/>
          <w:color w:val="18181A"/>
          <w:sz w:val="21"/>
          <w:szCs w:val="21"/>
        </w:rPr>
        <w:t>Artesanal para el Estado de Guanajuato, formulada por diputadas y diputados</w:t>
      </w:r>
      <w:r>
        <w:rPr>
          <w:rFonts w:ascii="Abadi" w:hAnsi="Abadi" w:cs="*Courier New-7051-Identity-H"/>
          <w:color w:val="18181A"/>
          <w:sz w:val="21"/>
          <w:szCs w:val="21"/>
        </w:rPr>
        <w:t xml:space="preserve"> </w:t>
      </w:r>
      <w:r w:rsidRPr="004471E0">
        <w:rPr>
          <w:rFonts w:ascii="Abadi" w:hAnsi="Abadi" w:cs="*Courier New-7051-Identity-H"/>
          <w:color w:val="18181A"/>
          <w:sz w:val="21"/>
          <w:szCs w:val="21"/>
        </w:rPr>
        <w:t>del Grupo Parlamentario Partido Acción Nacional en la Sexagésima Cuarta</w:t>
      </w:r>
      <w:r>
        <w:rPr>
          <w:rFonts w:ascii="Abadi" w:hAnsi="Abadi" w:cs="*Courier New-7051-Identity-H"/>
          <w:color w:val="18181A"/>
          <w:sz w:val="21"/>
          <w:szCs w:val="21"/>
        </w:rPr>
        <w:t xml:space="preserve"> </w:t>
      </w:r>
      <w:r w:rsidRPr="004471E0">
        <w:rPr>
          <w:rFonts w:ascii="Abadi" w:hAnsi="Abadi" w:cs="*Courier New-7051-Identity-H"/>
          <w:color w:val="18181A"/>
          <w:sz w:val="21"/>
          <w:szCs w:val="21"/>
        </w:rPr>
        <w:t>Legislatura.</w:t>
      </w:r>
    </w:p>
    <w:p w14:paraId="6DF4E509" w14:textId="77777777" w:rsidR="00A72A7F" w:rsidRPr="004471E0" w:rsidRDefault="00A72A7F" w:rsidP="00A72A7F">
      <w:pPr>
        <w:autoSpaceDE w:val="0"/>
        <w:autoSpaceDN w:val="0"/>
        <w:adjustRightInd w:val="0"/>
        <w:jc w:val="both"/>
        <w:rPr>
          <w:rFonts w:ascii="Abadi" w:hAnsi="Abadi" w:cs="*Courier New-7051-Identity-H"/>
          <w:color w:val="18181A"/>
          <w:sz w:val="21"/>
          <w:szCs w:val="21"/>
        </w:rPr>
      </w:pPr>
    </w:p>
    <w:p w14:paraId="67037258" w14:textId="77777777" w:rsidR="00A72A7F" w:rsidRPr="004471E0" w:rsidRDefault="00A72A7F" w:rsidP="00A72A7F">
      <w:pPr>
        <w:autoSpaceDE w:val="0"/>
        <w:autoSpaceDN w:val="0"/>
        <w:adjustRightInd w:val="0"/>
        <w:ind w:firstLine="708"/>
        <w:jc w:val="both"/>
        <w:rPr>
          <w:rFonts w:ascii="Abadi" w:hAnsi="Abadi" w:cs="*Courier New-7051-Identity-H"/>
          <w:color w:val="1B1A1C"/>
          <w:sz w:val="21"/>
          <w:szCs w:val="21"/>
        </w:rPr>
      </w:pPr>
      <w:r w:rsidRPr="004471E0">
        <w:rPr>
          <w:rFonts w:ascii="Abadi" w:hAnsi="Abadi" w:cs="*Courier New-7051-Identity-H"/>
          <w:color w:val="1B1A1C"/>
          <w:sz w:val="21"/>
          <w:szCs w:val="21"/>
        </w:rPr>
        <w:t>Por lo anterior, con fundamento en los artículos 89, fracción V; 107, fracción</w:t>
      </w:r>
      <w:r>
        <w:rPr>
          <w:rFonts w:ascii="Abadi" w:hAnsi="Abadi" w:cs="*Courier New-7051-Identity-H"/>
          <w:color w:val="1B1A1C"/>
          <w:sz w:val="21"/>
          <w:szCs w:val="21"/>
        </w:rPr>
        <w:t xml:space="preserve"> </w:t>
      </w:r>
      <w:r w:rsidRPr="004471E0">
        <w:rPr>
          <w:rFonts w:ascii="Abadi" w:hAnsi="Abadi" w:cs="*Courier New-7051-Identity-H"/>
          <w:color w:val="1B1A1C"/>
          <w:sz w:val="21"/>
          <w:szCs w:val="21"/>
        </w:rPr>
        <w:t>VI y 171 de la Ley Orgánica del Poder Legislativo del Estado de Guanajuato,</w:t>
      </w:r>
      <w:r>
        <w:rPr>
          <w:rFonts w:ascii="Abadi" w:hAnsi="Abadi" w:cs="*Courier New-7051-Identity-H"/>
          <w:color w:val="1B1A1C"/>
          <w:sz w:val="21"/>
          <w:szCs w:val="21"/>
        </w:rPr>
        <w:t xml:space="preserve"> </w:t>
      </w:r>
      <w:r w:rsidRPr="004471E0">
        <w:rPr>
          <w:rFonts w:ascii="Abadi" w:hAnsi="Abadi" w:cs="*Courier New-7051-Identity-H"/>
          <w:color w:val="1B1A1C"/>
          <w:sz w:val="21"/>
          <w:szCs w:val="21"/>
        </w:rPr>
        <w:t>sometemos a la consideración de la Asamblea el presente dictamen, con base</w:t>
      </w:r>
      <w:r>
        <w:rPr>
          <w:rFonts w:ascii="Abadi" w:hAnsi="Abadi" w:cs="*Courier New-7051-Identity-H"/>
          <w:color w:val="1B1A1C"/>
          <w:sz w:val="21"/>
          <w:szCs w:val="21"/>
        </w:rPr>
        <w:t xml:space="preserve"> </w:t>
      </w:r>
      <w:r w:rsidRPr="004471E0">
        <w:rPr>
          <w:rFonts w:ascii="Abadi" w:hAnsi="Abadi" w:cs="*Courier New-7051-Identity-H"/>
          <w:color w:val="1B1A1C"/>
          <w:sz w:val="21"/>
          <w:szCs w:val="21"/>
        </w:rPr>
        <w:t>en las siguientes:</w:t>
      </w:r>
    </w:p>
    <w:p w14:paraId="0A467F5A" w14:textId="77777777" w:rsidR="00A72A7F" w:rsidRDefault="00A72A7F" w:rsidP="00A72A7F">
      <w:pPr>
        <w:autoSpaceDE w:val="0"/>
        <w:autoSpaceDN w:val="0"/>
        <w:adjustRightInd w:val="0"/>
        <w:jc w:val="both"/>
        <w:rPr>
          <w:rFonts w:ascii="Abadi" w:hAnsi="Abadi" w:cs="*Microsoft Sans Serif-Bold-7053"/>
          <w:b/>
          <w:bCs/>
          <w:color w:val="0E0E12"/>
          <w:sz w:val="21"/>
          <w:szCs w:val="21"/>
        </w:rPr>
      </w:pPr>
    </w:p>
    <w:p w14:paraId="4D9049F4" w14:textId="77777777" w:rsidR="00A72A7F" w:rsidRPr="004471E0" w:rsidRDefault="00A72A7F" w:rsidP="00A72A7F">
      <w:pPr>
        <w:autoSpaceDE w:val="0"/>
        <w:autoSpaceDN w:val="0"/>
        <w:adjustRightInd w:val="0"/>
        <w:jc w:val="center"/>
        <w:rPr>
          <w:rFonts w:ascii="Abadi" w:hAnsi="Abadi" w:cs="*Microsoft Sans Serif-Bold-7053"/>
          <w:b/>
          <w:bCs/>
          <w:color w:val="0E0E12"/>
          <w:sz w:val="21"/>
          <w:szCs w:val="21"/>
        </w:rPr>
      </w:pPr>
      <w:r w:rsidRPr="004471E0">
        <w:rPr>
          <w:rFonts w:ascii="Abadi" w:hAnsi="Abadi" w:cs="*Microsoft Sans Serif-Bold-7053"/>
          <w:b/>
          <w:bCs/>
          <w:color w:val="0E0E12"/>
          <w:sz w:val="21"/>
          <w:szCs w:val="21"/>
        </w:rPr>
        <w:t>CONSIDERACIONES</w:t>
      </w:r>
    </w:p>
    <w:p w14:paraId="33720090" w14:textId="77777777" w:rsidR="00A72A7F" w:rsidRDefault="00A72A7F" w:rsidP="00A72A7F">
      <w:pPr>
        <w:autoSpaceDE w:val="0"/>
        <w:autoSpaceDN w:val="0"/>
        <w:adjustRightInd w:val="0"/>
        <w:jc w:val="both"/>
        <w:rPr>
          <w:rFonts w:ascii="Abadi" w:hAnsi="Abadi" w:cs="*Microsoft Sans Serif-Bold-7053"/>
          <w:b/>
          <w:bCs/>
          <w:color w:val="0D0C10"/>
          <w:sz w:val="21"/>
          <w:szCs w:val="21"/>
        </w:rPr>
      </w:pPr>
    </w:p>
    <w:p w14:paraId="378C75DF" w14:textId="77777777" w:rsidR="00A72A7F" w:rsidRDefault="00A72A7F" w:rsidP="00A72A7F">
      <w:pPr>
        <w:autoSpaceDE w:val="0"/>
        <w:autoSpaceDN w:val="0"/>
        <w:adjustRightInd w:val="0"/>
        <w:ind w:firstLine="708"/>
        <w:jc w:val="both"/>
        <w:rPr>
          <w:rFonts w:ascii="Abadi" w:hAnsi="Abadi" w:cs="*Microsoft Sans Serif-Bold-7053"/>
          <w:b/>
          <w:bCs/>
          <w:color w:val="0D0C10"/>
          <w:sz w:val="21"/>
          <w:szCs w:val="21"/>
        </w:rPr>
      </w:pPr>
      <w:r w:rsidRPr="004471E0">
        <w:rPr>
          <w:rFonts w:ascii="Abadi" w:hAnsi="Abadi" w:cs="*Microsoft Sans Serif-Bold-7053"/>
          <w:b/>
          <w:bCs/>
          <w:color w:val="0D0C10"/>
          <w:sz w:val="21"/>
          <w:szCs w:val="21"/>
        </w:rPr>
        <w:t>1. Antecedentes</w:t>
      </w:r>
    </w:p>
    <w:p w14:paraId="2292B285" w14:textId="77777777" w:rsidR="00A72A7F" w:rsidRPr="004471E0" w:rsidRDefault="00A72A7F" w:rsidP="00A72A7F">
      <w:pPr>
        <w:autoSpaceDE w:val="0"/>
        <w:autoSpaceDN w:val="0"/>
        <w:adjustRightInd w:val="0"/>
        <w:ind w:firstLine="708"/>
        <w:jc w:val="both"/>
        <w:rPr>
          <w:rFonts w:ascii="Abadi" w:hAnsi="Abadi" w:cs="*Microsoft Sans Serif-Bold-7053"/>
          <w:b/>
          <w:bCs/>
          <w:color w:val="0D0C10"/>
          <w:sz w:val="21"/>
          <w:szCs w:val="21"/>
        </w:rPr>
      </w:pPr>
    </w:p>
    <w:p w14:paraId="70D76F3B" w14:textId="77777777" w:rsidR="00A72A7F" w:rsidRDefault="00A72A7F" w:rsidP="00A72A7F">
      <w:pPr>
        <w:autoSpaceDE w:val="0"/>
        <w:autoSpaceDN w:val="0"/>
        <w:adjustRightInd w:val="0"/>
        <w:ind w:firstLine="708"/>
        <w:jc w:val="both"/>
        <w:rPr>
          <w:rFonts w:ascii="Abadi" w:hAnsi="Abadi" w:cs="*Courier New-7051-Identity-H"/>
          <w:color w:val="1A1A1C"/>
          <w:sz w:val="21"/>
          <w:szCs w:val="21"/>
        </w:rPr>
      </w:pPr>
      <w:r w:rsidRPr="004471E0">
        <w:rPr>
          <w:rFonts w:ascii="Abadi" w:hAnsi="Abadi" w:cs="*Courier New-7051-Identity-H"/>
          <w:color w:val="1A1A1C"/>
          <w:sz w:val="21"/>
          <w:szCs w:val="21"/>
        </w:rPr>
        <w:t>En sesión ordinaria de 18 de junio del año 2020, lo presidencia de la Mesa</w:t>
      </w:r>
      <w:r>
        <w:rPr>
          <w:rFonts w:ascii="Abadi" w:hAnsi="Abadi" w:cs="*Courier New-7051-Identity-H"/>
          <w:color w:val="1A1A1C"/>
          <w:sz w:val="21"/>
          <w:szCs w:val="21"/>
        </w:rPr>
        <w:t xml:space="preserve"> </w:t>
      </w:r>
      <w:r w:rsidRPr="004471E0">
        <w:rPr>
          <w:rFonts w:ascii="Abadi" w:hAnsi="Abadi" w:cs="*Courier New-7051-Identity-H"/>
          <w:color w:val="1A1A1C"/>
          <w:sz w:val="21"/>
          <w:szCs w:val="21"/>
        </w:rPr>
        <w:t>Directiva turnó la iniciativa señalada en el proemio del presente dictamen a la</w:t>
      </w:r>
      <w:r>
        <w:rPr>
          <w:rFonts w:ascii="Abadi" w:hAnsi="Abadi" w:cs="*Courier New-7051-Identity-H"/>
          <w:color w:val="1A1A1C"/>
          <w:sz w:val="21"/>
          <w:szCs w:val="21"/>
        </w:rPr>
        <w:t xml:space="preserve"> </w:t>
      </w:r>
      <w:r w:rsidRPr="004471E0">
        <w:rPr>
          <w:rFonts w:ascii="Abadi" w:hAnsi="Abadi" w:cs="*Courier New-7051-Identity-H"/>
          <w:color w:val="1A1A1C"/>
          <w:sz w:val="21"/>
          <w:szCs w:val="21"/>
        </w:rPr>
        <w:t>Comisión de Desarrollo Económico y Social de la Sexagésima Cuarta Legislatura,</w:t>
      </w:r>
      <w:r>
        <w:rPr>
          <w:rFonts w:ascii="Abadi" w:hAnsi="Abadi" w:cs="*Courier New-7051-Identity-H"/>
          <w:color w:val="1A1A1C"/>
          <w:sz w:val="21"/>
          <w:szCs w:val="21"/>
        </w:rPr>
        <w:t xml:space="preserve"> </w:t>
      </w:r>
      <w:r w:rsidRPr="004471E0">
        <w:rPr>
          <w:rFonts w:ascii="Abadi" w:hAnsi="Abadi" w:cs="*Courier New-7051-Identity-H"/>
          <w:color w:val="1A1A1C"/>
          <w:sz w:val="21"/>
          <w:szCs w:val="21"/>
        </w:rPr>
        <w:t>con fundamento en el artículo l 07 fracción I de la Ley Orgánica del Poder</w:t>
      </w:r>
      <w:r>
        <w:rPr>
          <w:rFonts w:ascii="Abadi" w:hAnsi="Abadi" w:cs="*Courier New-7051-Identity-H"/>
          <w:color w:val="1A1A1C"/>
          <w:sz w:val="21"/>
          <w:szCs w:val="21"/>
        </w:rPr>
        <w:t xml:space="preserve"> </w:t>
      </w:r>
      <w:r w:rsidRPr="004471E0">
        <w:rPr>
          <w:rFonts w:ascii="Abadi" w:hAnsi="Abadi" w:cs="*Courier New-7051-Identity-H"/>
          <w:color w:val="1A1A1C"/>
          <w:sz w:val="21"/>
          <w:szCs w:val="21"/>
        </w:rPr>
        <w:t>Legislativo del Estado de Guanajuato.</w:t>
      </w:r>
    </w:p>
    <w:p w14:paraId="13D31F40" w14:textId="77777777" w:rsidR="00A72A7F" w:rsidRPr="004471E0" w:rsidRDefault="00A72A7F" w:rsidP="00A72A7F">
      <w:pPr>
        <w:autoSpaceDE w:val="0"/>
        <w:autoSpaceDN w:val="0"/>
        <w:adjustRightInd w:val="0"/>
        <w:jc w:val="both"/>
        <w:rPr>
          <w:rFonts w:ascii="Abadi" w:hAnsi="Abadi" w:cs="*Courier New-7051-Identity-H"/>
          <w:color w:val="1A1A1C"/>
          <w:sz w:val="21"/>
          <w:szCs w:val="21"/>
        </w:rPr>
      </w:pPr>
      <w:r>
        <w:rPr>
          <w:rFonts w:ascii="Abadi" w:hAnsi="Abadi" w:cs="*Courier New-7051-Identity-H"/>
          <w:color w:val="1A1A1C"/>
          <w:sz w:val="21"/>
          <w:szCs w:val="21"/>
        </w:rPr>
        <w:tab/>
      </w:r>
    </w:p>
    <w:p w14:paraId="2562949F" w14:textId="77777777" w:rsidR="00A72A7F" w:rsidRPr="004471E0" w:rsidRDefault="00A72A7F" w:rsidP="00A72A7F">
      <w:pPr>
        <w:autoSpaceDE w:val="0"/>
        <w:autoSpaceDN w:val="0"/>
        <w:adjustRightInd w:val="0"/>
        <w:ind w:firstLine="708"/>
        <w:jc w:val="both"/>
        <w:rPr>
          <w:rFonts w:ascii="Abadi" w:hAnsi="Abadi" w:cs="*Courier New-7051-Identity-H"/>
          <w:color w:val="1A191B"/>
          <w:sz w:val="21"/>
          <w:szCs w:val="21"/>
        </w:rPr>
      </w:pPr>
      <w:r w:rsidRPr="004471E0">
        <w:rPr>
          <w:rFonts w:ascii="Abadi" w:hAnsi="Abadi" w:cs="*Courier New-7051-Identity-H"/>
          <w:color w:val="1A191B"/>
          <w:sz w:val="21"/>
          <w:szCs w:val="21"/>
        </w:rPr>
        <w:t>La Comisión radicó la iniciativa en fecha 29 de julio del año 2020 y acordó</w:t>
      </w:r>
    </w:p>
    <w:p w14:paraId="51EC5E58" w14:textId="77777777" w:rsidR="00A72A7F" w:rsidRPr="004471E0" w:rsidRDefault="00A72A7F" w:rsidP="00A72A7F">
      <w:pPr>
        <w:jc w:val="both"/>
        <w:rPr>
          <w:rFonts w:ascii="Abadi" w:hAnsi="Abadi" w:cs="*Courier New-7051-Identity-H"/>
          <w:color w:val="1A191B"/>
          <w:sz w:val="21"/>
          <w:szCs w:val="21"/>
        </w:rPr>
      </w:pPr>
      <w:r w:rsidRPr="004471E0">
        <w:rPr>
          <w:rFonts w:ascii="Abadi" w:hAnsi="Abadi" w:cs="*Courier New-7051-Identity-H"/>
          <w:color w:val="1A191B"/>
          <w:sz w:val="21"/>
          <w:szCs w:val="21"/>
        </w:rPr>
        <w:t>la metodología para su estudio y dictamen la siguiente:</w:t>
      </w:r>
    </w:p>
    <w:p w14:paraId="73EC33DA" w14:textId="77777777" w:rsidR="00A72A7F" w:rsidRPr="004471E0" w:rsidRDefault="00A72A7F" w:rsidP="00A72A7F">
      <w:pPr>
        <w:jc w:val="both"/>
        <w:rPr>
          <w:rFonts w:ascii="Abadi" w:hAnsi="Abadi" w:cs="*Courier New-7051-Identity-H"/>
          <w:color w:val="1A191B"/>
          <w:sz w:val="21"/>
          <w:szCs w:val="21"/>
        </w:rPr>
      </w:pPr>
    </w:p>
    <w:p w14:paraId="478E22E3" w14:textId="77777777" w:rsidR="00A72A7F" w:rsidRDefault="00A72A7F" w:rsidP="00A72A7F">
      <w:pPr>
        <w:autoSpaceDE w:val="0"/>
        <w:autoSpaceDN w:val="0"/>
        <w:adjustRightInd w:val="0"/>
        <w:jc w:val="both"/>
        <w:rPr>
          <w:rFonts w:ascii="Abadi" w:hAnsi="Abadi" w:cs="*Calibri-9143-Identity-H"/>
          <w:color w:val="1E1E20"/>
          <w:sz w:val="21"/>
          <w:szCs w:val="21"/>
        </w:rPr>
      </w:pPr>
      <w:r w:rsidRPr="00D417E3">
        <w:rPr>
          <w:rFonts w:ascii="Abadi" w:hAnsi="Abadi" w:cs="*Calibri-9143-Identity-H"/>
          <w:b/>
          <w:bCs/>
          <w:color w:val="1E1E20"/>
          <w:sz w:val="21"/>
          <w:szCs w:val="21"/>
        </w:rPr>
        <w:t>1.</w:t>
      </w:r>
      <w:r w:rsidRPr="004471E0">
        <w:rPr>
          <w:rFonts w:ascii="Abadi" w:hAnsi="Abadi" w:cs="*Calibri-9143-Identity-H"/>
          <w:color w:val="1E1E20"/>
          <w:sz w:val="21"/>
          <w:szCs w:val="21"/>
        </w:rPr>
        <w:t xml:space="preserve"> </w:t>
      </w:r>
      <w:r w:rsidRPr="004471E0">
        <w:rPr>
          <w:rFonts w:ascii="Abadi" w:hAnsi="Abadi" w:cs="*Microsoft Sans Serif-Italic-91"/>
          <w:i/>
          <w:iCs/>
          <w:color w:val="1E1E20"/>
          <w:sz w:val="21"/>
          <w:szCs w:val="21"/>
        </w:rPr>
        <w:t xml:space="preserve">Remitir la iniciativa </w:t>
      </w:r>
      <w:r w:rsidRPr="004471E0">
        <w:rPr>
          <w:rFonts w:ascii="Abadi" w:hAnsi="Abadi" w:cs="*Calibri-9143-Identity-H"/>
          <w:color w:val="1E1E20"/>
          <w:sz w:val="21"/>
          <w:szCs w:val="21"/>
        </w:rPr>
        <w:t>para</w:t>
      </w:r>
      <w:r>
        <w:rPr>
          <w:rFonts w:ascii="Abadi" w:hAnsi="Abadi" w:cs="*Calibri-9143-Identity-H"/>
          <w:color w:val="1E1E20"/>
          <w:sz w:val="21"/>
          <w:szCs w:val="21"/>
        </w:rPr>
        <w:t xml:space="preserve"> </w:t>
      </w:r>
      <w:r w:rsidRPr="004471E0">
        <w:rPr>
          <w:rFonts w:ascii="Abadi" w:hAnsi="Abadi" w:cs="*Microsoft Sans Serif-Italic-91"/>
          <w:i/>
          <w:iCs/>
          <w:color w:val="1E1E20"/>
          <w:sz w:val="21"/>
          <w:szCs w:val="21"/>
        </w:rPr>
        <w:t xml:space="preserve">hábiles </w:t>
      </w:r>
      <w:r w:rsidRPr="004471E0">
        <w:rPr>
          <w:rFonts w:ascii="Abadi" w:hAnsi="Abadi" w:cs="*Calibri-9143-Identity-H"/>
          <w:color w:val="1E1E20"/>
          <w:sz w:val="21"/>
          <w:szCs w:val="21"/>
        </w:rPr>
        <w:t>a:</w:t>
      </w:r>
    </w:p>
    <w:p w14:paraId="32DD3F80" w14:textId="77777777" w:rsidR="00A72A7F" w:rsidRPr="004471E0" w:rsidRDefault="00A72A7F" w:rsidP="00A72A7F">
      <w:pPr>
        <w:autoSpaceDE w:val="0"/>
        <w:autoSpaceDN w:val="0"/>
        <w:adjustRightInd w:val="0"/>
        <w:jc w:val="both"/>
        <w:rPr>
          <w:rFonts w:ascii="Abadi" w:hAnsi="Abadi" w:cs="*Calibri-9143-Identity-H"/>
          <w:color w:val="1E1E20"/>
          <w:sz w:val="21"/>
          <w:szCs w:val="21"/>
        </w:rPr>
      </w:pPr>
    </w:p>
    <w:p w14:paraId="6CD9CD97" w14:textId="77777777" w:rsidR="00A72A7F" w:rsidRPr="004471E0" w:rsidRDefault="00A72A7F" w:rsidP="00D417E3">
      <w:pPr>
        <w:autoSpaceDE w:val="0"/>
        <w:autoSpaceDN w:val="0"/>
        <w:adjustRightInd w:val="0"/>
        <w:ind w:left="284"/>
        <w:jc w:val="both"/>
        <w:rPr>
          <w:rFonts w:ascii="Abadi" w:hAnsi="Abadi" w:cs="*Microsoft Sans Serif-Italic-91"/>
          <w:i/>
          <w:iCs/>
          <w:color w:val="202022"/>
          <w:sz w:val="21"/>
          <w:szCs w:val="21"/>
        </w:rPr>
      </w:pPr>
      <w:r w:rsidRPr="004471E0">
        <w:rPr>
          <w:rFonts w:ascii="Abadi" w:hAnsi="Abadi" w:cs="*Times New Roman-9141-Identity-"/>
          <w:color w:val="1F1F21"/>
          <w:sz w:val="21"/>
          <w:szCs w:val="21"/>
        </w:rPr>
        <w:t xml:space="preserve">• </w:t>
      </w:r>
      <w:r w:rsidRPr="004471E0">
        <w:rPr>
          <w:rFonts w:ascii="Abadi" w:hAnsi="Abadi" w:cs="*Microsoft Sans Serif-Italic-91"/>
          <w:i/>
          <w:iCs/>
          <w:color w:val="1F1F21"/>
          <w:sz w:val="21"/>
          <w:szCs w:val="21"/>
        </w:rPr>
        <w:t>Los 46 ayuntamientos;</w:t>
      </w:r>
      <w:r>
        <w:rPr>
          <w:rFonts w:ascii="Abadi" w:hAnsi="Abadi" w:cs="*Microsoft Sans Serif-Italic-91"/>
          <w:i/>
          <w:iCs/>
          <w:color w:val="1F1F21"/>
          <w:sz w:val="21"/>
          <w:szCs w:val="21"/>
        </w:rPr>
        <w:t xml:space="preserve"> </w:t>
      </w:r>
      <w:r w:rsidRPr="004471E0">
        <w:rPr>
          <w:rFonts w:ascii="Abadi" w:hAnsi="Abadi" w:cs="*Microsoft Sans Serif-Italic-91"/>
          <w:i/>
          <w:iCs/>
          <w:color w:val="202022"/>
          <w:sz w:val="21"/>
          <w:szCs w:val="21"/>
        </w:rPr>
        <w:t xml:space="preserve">efectos de su consulta, </w:t>
      </w:r>
      <w:r w:rsidRPr="004471E0">
        <w:rPr>
          <w:rFonts w:ascii="Abadi" w:hAnsi="Abadi" w:cs="*Calibri-9143-Identity-H"/>
          <w:color w:val="202022"/>
          <w:sz w:val="21"/>
          <w:szCs w:val="21"/>
        </w:rPr>
        <w:t xml:space="preserve">por un </w:t>
      </w:r>
      <w:r w:rsidRPr="004471E0">
        <w:rPr>
          <w:rFonts w:ascii="Abadi" w:hAnsi="Abadi" w:cs="*Microsoft Sans Serif-Italic-91"/>
          <w:i/>
          <w:iCs/>
          <w:color w:val="202022"/>
          <w:sz w:val="21"/>
          <w:szCs w:val="21"/>
        </w:rPr>
        <w:t>término de 20 días</w:t>
      </w:r>
    </w:p>
    <w:p w14:paraId="7AB10D9E" w14:textId="77777777" w:rsidR="00A72A7F" w:rsidRPr="004471E0" w:rsidRDefault="00A72A7F" w:rsidP="00D417E3">
      <w:pPr>
        <w:autoSpaceDE w:val="0"/>
        <w:autoSpaceDN w:val="0"/>
        <w:adjustRightInd w:val="0"/>
        <w:ind w:left="284"/>
        <w:jc w:val="both"/>
        <w:rPr>
          <w:rFonts w:ascii="Abadi" w:hAnsi="Abadi" w:cs="*Microsoft Sans Serif-Italic-91"/>
          <w:i/>
          <w:iCs/>
          <w:color w:val="1F1F21"/>
          <w:sz w:val="21"/>
          <w:szCs w:val="21"/>
        </w:rPr>
      </w:pPr>
      <w:r w:rsidRPr="004471E0">
        <w:rPr>
          <w:rFonts w:ascii="Abadi" w:hAnsi="Abadi" w:cs="*Times New Roman-9141-Identity-"/>
          <w:color w:val="1F1F21"/>
          <w:sz w:val="21"/>
          <w:szCs w:val="21"/>
        </w:rPr>
        <w:t xml:space="preserve">• </w:t>
      </w:r>
      <w:r w:rsidRPr="004471E0">
        <w:rPr>
          <w:rFonts w:ascii="Abadi" w:hAnsi="Abadi" w:cs="*Microsoft Sans Serif-Italic-91"/>
          <w:i/>
          <w:iCs/>
          <w:color w:val="1F1F21"/>
          <w:sz w:val="21"/>
          <w:szCs w:val="21"/>
        </w:rPr>
        <w:t>Secretaría de Desarrollo Económico Sustentable;</w:t>
      </w:r>
    </w:p>
    <w:p w14:paraId="756458A9" w14:textId="77777777" w:rsidR="00A72A7F" w:rsidRPr="004471E0" w:rsidRDefault="00A72A7F" w:rsidP="00D417E3">
      <w:pPr>
        <w:autoSpaceDE w:val="0"/>
        <w:autoSpaceDN w:val="0"/>
        <w:adjustRightInd w:val="0"/>
        <w:ind w:left="284"/>
        <w:jc w:val="both"/>
        <w:rPr>
          <w:rFonts w:ascii="Abadi" w:hAnsi="Abadi" w:cs="*Microsoft Sans Serif-Italic-91"/>
          <w:i/>
          <w:iCs/>
          <w:color w:val="1E1D1F"/>
          <w:sz w:val="21"/>
          <w:szCs w:val="21"/>
        </w:rPr>
      </w:pPr>
      <w:r w:rsidRPr="004471E0">
        <w:rPr>
          <w:rFonts w:ascii="Abadi" w:hAnsi="Abadi" w:cs="*Times New Roman-9141-Identity-"/>
          <w:color w:val="1E1D1F"/>
          <w:sz w:val="21"/>
          <w:szCs w:val="21"/>
        </w:rPr>
        <w:t xml:space="preserve">• </w:t>
      </w:r>
      <w:r w:rsidRPr="004471E0">
        <w:rPr>
          <w:rFonts w:ascii="Abadi" w:hAnsi="Abadi" w:cs="*Microsoft Sans Serif-Italic-91"/>
          <w:i/>
          <w:iCs/>
          <w:color w:val="1E1D1F"/>
          <w:sz w:val="21"/>
          <w:szCs w:val="21"/>
        </w:rPr>
        <w:t>Secretaría de Turismo;</w:t>
      </w:r>
    </w:p>
    <w:p w14:paraId="25AA4BC0" w14:textId="77777777" w:rsidR="00A72A7F" w:rsidRPr="004471E0" w:rsidRDefault="00A72A7F" w:rsidP="00D417E3">
      <w:pPr>
        <w:autoSpaceDE w:val="0"/>
        <w:autoSpaceDN w:val="0"/>
        <w:adjustRightInd w:val="0"/>
        <w:ind w:left="284"/>
        <w:jc w:val="both"/>
        <w:rPr>
          <w:rFonts w:ascii="Abadi" w:hAnsi="Abadi" w:cs="*Microsoft Sans Serif-Italic-91"/>
          <w:i/>
          <w:iCs/>
          <w:color w:val="212123"/>
          <w:sz w:val="21"/>
          <w:szCs w:val="21"/>
        </w:rPr>
      </w:pPr>
      <w:r w:rsidRPr="004471E0">
        <w:rPr>
          <w:rFonts w:ascii="Abadi" w:hAnsi="Abadi" w:cs="*Times New Roman-9141-Identity-"/>
          <w:color w:val="212123"/>
          <w:sz w:val="21"/>
          <w:szCs w:val="21"/>
        </w:rPr>
        <w:t xml:space="preserve">• </w:t>
      </w:r>
      <w:r w:rsidRPr="004471E0">
        <w:rPr>
          <w:rFonts w:ascii="Abadi" w:hAnsi="Abadi" w:cs="*Microsoft Sans Serif-Italic-91"/>
          <w:i/>
          <w:iCs/>
          <w:color w:val="212123"/>
          <w:sz w:val="21"/>
          <w:szCs w:val="21"/>
        </w:rPr>
        <w:t>Secretaría de Educación;</w:t>
      </w:r>
    </w:p>
    <w:p w14:paraId="1128BE13" w14:textId="77777777" w:rsidR="00A72A7F" w:rsidRPr="004471E0" w:rsidRDefault="00A72A7F" w:rsidP="00D417E3">
      <w:pPr>
        <w:autoSpaceDE w:val="0"/>
        <w:autoSpaceDN w:val="0"/>
        <w:adjustRightInd w:val="0"/>
        <w:ind w:left="284"/>
        <w:jc w:val="both"/>
        <w:rPr>
          <w:rFonts w:ascii="Abadi" w:hAnsi="Abadi" w:cs="*Microsoft Sans Serif-Italic-91"/>
          <w:i/>
          <w:iCs/>
          <w:color w:val="1D1D1E"/>
          <w:sz w:val="21"/>
          <w:szCs w:val="21"/>
        </w:rPr>
      </w:pPr>
      <w:r w:rsidRPr="004471E0">
        <w:rPr>
          <w:rFonts w:ascii="Abadi" w:hAnsi="Abadi" w:cs="*Times New Roman-9141-Identity-"/>
          <w:color w:val="1D1D1E"/>
          <w:sz w:val="21"/>
          <w:szCs w:val="21"/>
        </w:rPr>
        <w:t xml:space="preserve">• </w:t>
      </w:r>
      <w:r w:rsidRPr="004471E0">
        <w:rPr>
          <w:rFonts w:ascii="Abadi" w:hAnsi="Abadi" w:cs="*Microsoft Sans Serif-Italic-91"/>
          <w:i/>
          <w:iCs/>
          <w:color w:val="1D1D1E"/>
          <w:sz w:val="21"/>
          <w:szCs w:val="21"/>
        </w:rPr>
        <w:t xml:space="preserve">Instituto de </w:t>
      </w:r>
      <w:r w:rsidRPr="004471E0">
        <w:rPr>
          <w:rFonts w:ascii="Abadi" w:hAnsi="Abadi" w:cs="*Calibri-9143-Identity-H"/>
          <w:color w:val="1D1D1E"/>
          <w:sz w:val="21"/>
          <w:szCs w:val="21"/>
        </w:rPr>
        <w:t xml:space="preserve">la </w:t>
      </w:r>
      <w:r w:rsidRPr="004471E0">
        <w:rPr>
          <w:rFonts w:ascii="Abadi" w:hAnsi="Abadi" w:cs="*Microsoft Sans Serif-Italic-91"/>
          <w:i/>
          <w:iCs/>
          <w:color w:val="1D1D1E"/>
          <w:sz w:val="21"/>
          <w:szCs w:val="21"/>
        </w:rPr>
        <w:t>Cultura de Guanajuato;</w:t>
      </w:r>
    </w:p>
    <w:p w14:paraId="631090A7" w14:textId="77777777" w:rsidR="00A72A7F" w:rsidRPr="004471E0" w:rsidRDefault="00A72A7F" w:rsidP="00D417E3">
      <w:pPr>
        <w:autoSpaceDE w:val="0"/>
        <w:autoSpaceDN w:val="0"/>
        <w:adjustRightInd w:val="0"/>
        <w:ind w:left="284"/>
        <w:jc w:val="both"/>
        <w:rPr>
          <w:rFonts w:ascii="Abadi" w:hAnsi="Abadi" w:cs="*Microsoft Sans Serif-Italic-91"/>
          <w:i/>
          <w:iCs/>
          <w:color w:val="202022"/>
          <w:sz w:val="21"/>
          <w:szCs w:val="21"/>
        </w:rPr>
      </w:pPr>
      <w:r w:rsidRPr="004471E0">
        <w:rPr>
          <w:rFonts w:ascii="Abadi" w:hAnsi="Abadi" w:cs="*Times New Roman-9141-Identity-"/>
          <w:color w:val="202022"/>
          <w:sz w:val="21"/>
          <w:szCs w:val="21"/>
        </w:rPr>
        <w:t xml:space="preserve">• </w:t>
      </w:r>
      <w:r w:rsidRPr="004471E0">
        <w:rPr>
          <w:rFonts w:ascii="Abadi" w:hAnsi="Abadi" w:cs="*Microsoft Sans Serif-Italic-91"/>
          <w:i/>
          <w:iCs/>
          <w:color w:val="202022"/>
          <w:sz w:val="21"/>
          <w:szCs w:val="21"/>
        </w:rPr>
        <w:t>Instituto Estatal de Capacitación:</w:t>
      </w:r>
    </w:p>
    <w:p w14:paraId="0D8A47E3" w14:textId="77777777" w:rsidR="00A72A7F" w:rsidRPr="004471E0" w:rsidRDefault="00A72A7F" w:rsidP="00D417E3">
      <w:pPr>
        <w:autoSpaceDE w:val="0"/>
        <w:autoSpaceDN w:val="0"/>
        <w:adjustRightInd w:val="0"/>
        <w:ind w:left="284"/>
        <w:jc w:val="both"/>
        <w:rPr>
          <w:rFonts w:ascii="Abadi" w:hAnsi="Abadi" w:cs="*Microsoft Sans Serif-Italic-91"/>
          <w:i/>
          <w:iCs/>
          <w:color w:val="1E1E1F"/>
          <w:sz w:val="21"/>
          <w:szCs w:val="21"/>
        </w:rPr>
      </w:pPr>
      <w:r w:rsidRPr="004471E0">
        <w:rPr>
          <w:rFonts w:ascii="Abadi" w:hAnsi="Abadi" w:cs="*Times New Roman-9141-Identity-"/>
          <w:color w:val="1E1E1F"/>
          <w:sz w:val="21"/>
          <w:szCs w:val="21"/>
        </w:rPr>
        <w:t xml:space="preserve">• </w:t>
      </w:r>
      <w:r w:rsidRPr="004471E0">
        <w:rPr>
          <w:rFonts w:ascii="Abadi" w:hAnsi="Abadi" w:cs="*Microsoft Sans Serif-Italic-91"/>
          <w:i/>
          <w:iCs/>
          <w:color w:val="1E1E1F"/>
          <w:sz w:val="21"/>
          <w:szCs w:val="21"/>
        </w:rPr>
        <w:t>La Coordinación General Jurídica, y</w:t>
      </w:r>
    </w:p>
    <w:p w14:paraId="0CF4948D" w14:textId="23017F4D" w:rsidR="00A72A7F" w:rsidRPr="004471E0" w:rsidRDefault="00A72A7F" w:rsidP="00D417E3">
      <w:pPr>
        <w:autoSpaceDE w:val="0"/>
        <w:autoSpaceDN w:val="0"/>
        <w:adjustRightInd w:val="0"/>
        <w:ind w:left="284"/>
        <w:jc w:val="both"/>
        <w:rPr>
          <w:rFonts w:ascii="Abadi" w:hAnsi="Abadi" w:cs="*Microsoft Sans Serif-Italic-91"/>
          <w:i/>
          <w:iCs/>
          <w:color w:val="1E1E20"/>
          <w:sz w:val="21"/>
          <w:szCs w:val="21"/>
        </w:rPr>
      </w:pPr>
      <w:r w:rsidRPr="004471E0">
        <w:rPr>
          <w:rFonts w:ascii="Abadi" w:hAnsi="Abadi" w:cs="*Times New Roman-9141-Identity-"/>
          <w:color w:val="1E1E20"/>
          <w:sz w:val="21"/>
          <w:szCs w:val="21"/>
        </w:rPr>
        <w:t xml:space="preserve">• </w:t>
      </w:r>
      <w:r w:rsidRPr="004471E0">
        <w:rPr>
          <w:rFonts w:ascii="Abadi" w:hAnsi="Abadi" w:cs="*Microsoft Sans Serif-Italic-91"/>
          <w:i/>
          <w:iCs/>
          <w:color w:val="1E1E20"/>
          <w:sz w:val="21"/>
          <w:szCs w:val="21"/>
        </w:rPr>
        <w:t>Universidades públicas y privadas en el Estado</w:t>
      </w:r>
    </w:p>
    <w:p w14:paraId="1DF3AAD5" w14:textId="77777777" w:rsidR="00A72A7F" w:rsidRDefault="00A72A7F" w:rsidP="00A72A7F">
      <w:pPr>
        <w:autoSpaceDE w:val="0"/>
        <w:autoSpaceDN w:val="0"/>
        <w:adjustRightInd w:val="0"/>
        <w:jc w:val="both"/>
        <w:rPr>
          <w:rFonts w:ascii="Abadi" w:hAnsi="Abadi" w:cs="*Microsoft Sans Serif-Italic-91"/>
          <w:i/>
          <w:iCs/>
          <w:color w:val="212123"/>
          <w:sz w:val="21"/>
          <w:szCs w:val="21"/>
        </w:rPr>
      </w:pPr>
    </w:p>
    <w:p w14:paraId="27ED7D67" w14:textId="77777777" w:rsidR="00A72A7F" w:rsidRPr="00CE3C90" w:rsidRDefault="00A72A7F" w:rsidP="00A72A7F">
      <w:pPr>
        <w:autoSpaceDE w:val="0"/>
        <w:autoSpaceDN w:val="0"/>
        <w:adjustRightInd w:val="0"/>
        <w:jc w:val="both"/>
        <w:rPr>
          <w:rFonts w:ascii="Abadi" w:hAnsi="Abadi" w:cs="*Microsoft Sans Serif-Italic-91"/>
          <w:i/>
          <w:iCs/>
          <w:color w:val="212123"/>
          <w:sz w:val="21"/>
          <w:szCs w:val="21"/>
        </w:rPr>
      </w:pPr>
      <w:r w:rsidRPr="00D417E3">
        <w:rPr>
          <w:rFonts w:ascii="Abadi" w:hAnsi="Abadi" w:cs="*Microsoft Sans Serif-Italic-91"/>
          <w:b/>
          <w:bCs/>
          <w:i/>
          <w:iCs/>
          <w:color w:val="212123"/>
          <w:sz w:val="21"/>
          <w:szCs w:val="21"/>
        </w:rPr>
        <w:t>2.</w:t>
      </w:r>
      <w:r w:rsidRPr="004471E0">
        <w:rPr>
          <w:rFonts w:ascii="Abadi" w:hAnsi="Abadi" w:cs="*Microsoft Sans Serif-Italic-91"/>
          <w:i/>
          <w:iCs/>
          <w:color w:val="212123"/>
          <w:sz w:val="21"/>
          <w:szCs w:val="21"/>
        </w:rPr>
        <w:t xml:space="preserve"> </w:t>
      </w:r>
      <w:r w:rsidRPr="00CE3C90">
        <w:rPr>
          <w:rFonts w:ascii="Abadi" w:hAnsi="Abadi" w:cs="*Microsoft Sans Serif-Italic-91"/>
          <w:i/>
          <w:iCs/>
          <w:color w:val="212123"/>
          <w:sz w:val="21"/>
          <w:szCs w:val="21"/>
        </w:rPr>
        <w:t xml:space="preserve">Establecer un micrositio en la página web del Congreso del Estado </w:t>
      </w:r>
      <w:r w:rsidRPr="00CE3C90">
        <w:rPr>
          <w:rFonts w:ascii="Abadi" w:hAnsi="Abadi" w:cs="*Calibri-9143-Identity-H"/>
          <w:i/>
          <w:iCs/>
          <w:color w:val="212123"/>
          <w:sz w:val="21"/>
          <w:szCs w:val="21"/>
        </w:rPr>
        <w:t xml:space="preserve">para </w:t>
      </w:r>
      <w:r w:rsidRPr="00CE3C90">
        <w:rPr>
          <w:rFonts w:ascii="Abadi" w:hAnsi="Abadi" w:cs="*Microsoft Sans Serif-Italic-91"/>
          <w:i/>
          <w:iCs/>
          <w:color w:val="212123"/>
          <w:sz w:val="21"/>
          <w:szCs w:val="21"/>
        </w:rPr>
        <w:t xml:space="preserve">consulta ciudadana de la iniciativa, por </w:t>
      </w:r>
      <w:r w:rsidRPr="00CE3C90">
        <w:rPr>
          <w:rFonts w:ascii="Abadi" w:hAnsi="Abadi" w:cs="*Calibri-9143-Identity-H"/>
          <w:i/>
          <w:iCs/>
          <w:color w:val="212123"/>
          <w:sz w:val="21"/>
          <w:szCs w:val="21"/>
        </w:rPr>
        <w:t xml:space="preserve">un </w:t>
      </w:r>
      <w:r w:rsidRPr="00CE3C90">
        <w:rPr>
          <w:rFonts w:ascii="Abadi" w:hAnsi="Abadi" w:cs="*Microsoft Sans Serif-Italic-91"/>
          <w:i/>
          <w:iCs/>
          <w:color w:val="212123"/>
          <w:sz w:val="21"/>
          <w:szCs w:val="21"/>
        </w:rPr>
        <w:t>término de 20 días hábiles.</w:t>
      </w:r>
    </w:p>
    <w:p w14:paraId="5CF0B1F5" w14:textId="77777777" w:rsidR="00A72A7F" w:rsidRPr="00CE3C90" w:rsidRDefault="00A72A7F" w:rsidP="00A72A7F">
      <w:pPr>
        <w:autoSpaceDE w:val="0"/>
        <w:autoSpaceDN w:val="0"/>
        <w:adjustRightInd w:val="0"/>
        <w:jc w:val="both"/>
        <w:rPr>
          <w:rFonts w:ascii="Abadi" w:hAnsi="Abadi" w:cs="*Comic Sans MS-Bold-9146-Identi"/>
          <w:b/>
          <w:bCs/>
          <w:i/>
          <w:iCs/>
          <w:color w:val="222223"/>
          <w:sz w:val="21"/>
          <w:szCs w:val="21"/>
        </w:rPr>
      </w:pPr>
    </w:p>
    <w:p w14:paraId="18E7E02B" w14:textId="77777777" w:rsidR="00A72A7F" w:rsidRPr="00CE3C90" w:rsidRDefault="00A72A7F" w:rsidP="00A72A7F">
      <w:pPr>
        <w:autoSpaceDE w:val="0"/>
        <w:autoSpaceDN w:val="0"/>
        <w:adjustRightInd w:val="0"/>
        <w:jc w:val="both"/>
        <w:rPr>
          <w:rFonts w:ascii="Abadi" w:hAnsi="Abadi" w:cs="*Microsoft Sans Serif-Italic-91"/>
          <w:i/>
          <w:iCs/>
          <w:color w:val="222223"/>
          <w:sz w:val="21"/>
          <w:szCs w:val="21"/>
        </w:rPr>
      </w:pPr>
      <w:r w:rsidRPr="00CE3C90">
        <w:rPr>
          <w:rFonts w:ascii="Abadi" w:hAnsi="Abadi" w:cs="*Comic Sans MS-Bold-9146-Identi"/>
          <w:b/>
          <w:bCs/>
          <w:i/>
          <w:iCs/>
          <w:color w:val="222223"/>
          <w:sz w:val="21"/>
          <w:szCs w:val="21"/>
        </w:rPr>
        <w:t xml:space="preserve">3. </w:t>
      </w:r>
      <w:r w:rsidRPr="00CE3C90">
        <w:rPr>
          <w:rFonts w:ascii="Abadi" w:hAnsi="Abadi" w:cs="*Microsoft Sans Serif-Italic-91"/>
          <w:i/>
          <w:iCs/>
          <w:color w:val="222223"/>
          <w:sz w:val="21"/>
          <w:szCs w:val="21"/>
        </w:rPr>
        <w:t xml:space="preserve">Elaborar comparativo </w:t>
      </w:r>
      <w:r w:rsidRPr="00CE3C90">
        <w:rPr>
          <w:rFonts w:ascii="Abadi" w:hAnsi="Abadi" w:cs="*Calibri-9143-Identity-H"/>
          <w:i/>
          <w:iCs/>
          <w:color w:val="222223"/>
          <w:sz w:val="21"/>
          <w:szCs w:val="21"/>
        </w:rPr>
        <w:t xml:space="preserve">con las </w:t>
      </w:r>
      <w:r w:rsidRPr="00CE3C90">
        <w:rPr>
          <w:rFonts w:ascii="Abadi" w:hAnsi="Abadi" w:cs="*Microsoft Sans Serif-Italic-91"/>
          <w:i/>
          <w:iCs/>
          <w:color w:val="222223"/>
          <w:sz w:val="21"/>
          <w:szCs w:val="21"/>
        </w:rPr>
        <w:t xml:space="preserve">respuestas derivadas de la consulto de lo </w:t>
      </w:r>
      <w:r w:rsidRPr="00CE3C90">
        <w:rPr>
          <w:rFonts w:ascii="Abadi" w:hAnsi="Abadi" w:cs="*Calibri-9143-Identity-H"/>
          <w:i/>
          <w:iCs/>
          <w:color w:val="222223"/>
          <w:sz w:val="21"/>
          <w:szCs w:val="21"/>
        </w:rPr>
        <w:t xml:space="preserve">iniciativa, </w:t>
      </w:r>
      <w:r w:rsidRPr="00CE3C90">
        <w:rPr>
          <w:rFonts w:ascii="Abadi" w:hAnsi="Abadi" w:cs="*Microsoft Sans Serif-Italic-91"/>
          <w:i/>
          <w:iCs/>
          <w:color w:val="222223"/>
          <w:sz w:val="21"/>
          <w:szCs w:val="21"/>
        </w:rPr>
        <w:t xml:space="preserve">por parte de </w:t>
      </w:r>
      <w:r w:rsidRPr="00CE3C90">
        <w:rPr>
          <w:rFonts w:ascii="Abadi" w:hAnsi="Abadi" w:cs="*Calibri-9143-Identity-H"/>
          <w:i/>
          <w:iCs/>
          <w:color w:val="222223"/>
          <w:sz w:val="21"/>
          <w:szCs w:val="21"/>
        </w:rPr>
        <w:t xml:space="preserve">la </w:t>
      </w:r>
      <w:r w:rsidRPr="00CE3C90">
        <w:rPr>
          <w:rFonts w:ascii="Abadi" w:hAnsi="Abadi" w:cs="*Microsoft Sans Serif-Italic-91"/>
          <w:i/>
          <w:iCs/>
          <w:color w:val="222223"/>
          <w:sz w:val="21"/>
          <w:szCs w:val="21"/>
        </w:rPr>
        <w:t>secretaría técnica.</w:t>
      </w:r>
    </w:p>
    <w:p w14:paraId="128F9522" w14:textId="77777777" w:rsidR="00A72A7F" w:rsidRPr="00CE3C90" w:rsidRDefault="00A72A7F" w:rsidP="00A72A7F">
      <w:pPr>
        <w:autoSpaceDE w:val="0"/>
        <w:autoSpaceDN w:val="0"/>
        <w:adjustRightInd w:val="0"/>
        <w:jc w:val="both"/>
        <w:rPr>
          <w:rFonts w:ascii="Abadi" w:hAnsi="Abadi" w:cs="*Microsoft Sans Serif-Italic-91"/>
          <w:i/>
          <w:iCs/>
          <w:color w:val="222223"/>
          <w:sz w:val="21"/>
          <w:szCs w:val="21"/>
        </w:rPr>
      </w:pPr>
    </w:p>
    <w:p w14:paraId="29590614" w14:textId="77777777" w:rsidR="00A72A7F" w:rsidRPr="00CE3C90" w:rsidRDefault="00A72A7F" w:rsidP="00A72A7F">
      <w:pPr>
        <w:autoSpaceDE w:val="0"/>
        <w:autoSpaceDN w:val="0"/>
        <w:adjustRightInd w:val="0"/>
        <w:jc w:val="both"/>
        <w:rPr>
          <w:rFonts w:ascii="Abadi" w:hAnsi="Abadi" w:cs="*Microsoft Sans Serif-Italic-91"/>
          <w:i/>
          <w:iCs/>
          <w:color w:val="222223"/>
          <w:sz w:val="21"/>
          <w:szCs w:val="21"/>
        </w:rPr>
      </w:pPr>
      <w:r w:rsidRPr="00CE3C90">
        <w:rPr>
          <w:rFonts w:ascii="Abadi" w:hAnsi="Abadi" w:cs="*Comic Sans MS-Bold-9146-Identi"/>
          <w:b/>
          <w:bCs/>
          <w:i/>
          <w:iCs/>
          <w:color w:val="222223"/>
          <w:sz w:val="21"/>
          <w:szCs w:val="21"/>
        </w:rPr>
        <w:t xml:space="preserve">4. </w:t>
      </w:r>
      <w:r w:rsidRPr="00CE3C90">
        <w:rPr>
          <w:rFonts w:ascii="Abadi" w:hAnsi="Abadi" w:cs="*Microsoft Sans Serif-Italic-91"/>
          <w:i/>
          <w:iCs/>
          <w:color w:val="222223"/>
          <w:sz w:val="21"/>
          <w:szCs w:val="21"/>
        </w:rPr>
        <w:t xml:space="preserve">Mesas de trabajo en la que participarán lo diputado y los diputados integrantes de </w:t>
      </w:r>
      <w:r w:rsidRPr="00CE3C90">
        <w:rPr>
          <w:rFonts w:ascii="Abadi" w:hAnsi="Abadi" w:cs="*Calibri-9143-Identity-H"/>
          <w:i/>
          <w:iCs/>
          <w:color w:val="222223"/>
          <w:sz w:val="21"/>
          <w:szCs w:val="21"/>
        </w:rPr>
        <w:t xml:space="preserve">la </w:t>
      </w:r>
      <w:r w:rsidRPr="00CE3C90">
        <w:rPr>
          <w:rFonts w:ascii="Abadi" w:hAnsi="Abadi" w:cs="*Microsoft Sans Serif-Italic-91"/>
          <w:i/>
          <w:iCs/>
          <w:color w:val="222223"/>
          <w:sz w:val="21"/>
          <w:szCs w:val="21"/>
        </w:rPr>
        <w:t>comisión, representantes de la Secretaría de Desarrollo Económico Sustentable y de lo Coordinación Gener</w:t>
      </w:r>
      <w:r>
        <w:rPr>
          <w:rFonts w:ascii="Abadi" w:hAnsi="Abadi" w:cs="*Microsoft Sans Serif-Italic-91"/>
          <w:i/>
          <w:iCs/>
          <w:color w:val="222223"/>
          <w:sz w:val="21"/>
          <w:szCs w:val="21"/>
        </w:rPr>
        <w:t>al</w:t>
      </w:r>
      <w:r w:rsidRPr="00CE3C90">
        <w:rPr>
          <w:rFonts w:ascii="Abadi" w:hAnsi="Abadi" w:cs="*Microsoft Sans Serif-Italic-91"/>
          <w:i/>
          <w:iCs/>
          <w:color w:val="222223"/>
          <w:sz w:val="21"/>
          <w:szCs w:val="21"/>
        </w:rPr>
        <w:t xml:space="preserve"> Jurídic</w:t>
      </w:r>
      <w:r>
        <w:rPr>
          <w:rFonts w:ascii="Abadi" w:hAnsi="Abadi" w:cs="*Microsoft Sans Serif-Italic-91"/>
          <w:i/>
          <w:iCs/>
          <w:color w:val="222223"/>
          <w:sz w:val="21"/>
          <w:szCs w:val="21"/>
        </w:rPr>
        <w:t>a</w:t>
      </w:r>
      <w:r w:rsidRPr="00CE3C90">
        <w:rPr>
          <w:rFonts w:ascii="Abadi" w:hAnsi="Abadi" w:cs="*Microsoft Sans Serif-Italic-91"/>
          <w:i/>
          <w:iCs/>
          <w:color w:val="222223"/>
          <w:sz w:val="21"/>
          <w:szCs w:val="21"/>
        </w:rPr>
        <w:t xml:space="preserve">; </w:t>
      </w:r>
      <w:r w:rsidRPr="00CE3C90">
        <w:rPr>
          <w:rFonts w:ascii="Abadi" w:hAnsi="Abadi" w:cs="*Calibri-9143-Identity-H"/>
          <w:i/>
          <w:iCs/>
          <w:color w:val="222223"/>
          <w:sz w:val="21"/>
          <w:szCs w:val="21"/>
        </w:rPr>
        <w:t xml:space="preserve">así como </w:t>
      </w:r>
      <w:r w:rsidRPr="00CE3C90">
        <w:rPr>
          <w:rFonts w:ascii="Abadi" w:hAnsi="Abadi" w:cs="*Microsoft Sans Serif-Italic-91"/>
          <w:i/>
          <w:iCs/>
          <w:color w:val="222223"/>
          <w:sz w:val="21"/>
          <w:szCs w:val="21"/>
        </w:rPr>
        <w:t xml:space="preserve">los asesores de los grupos representados en la </w:t>
      </w:r>
      <w:r w:rsidRPr="00CE3C90">
        <w:rPr>
          <w:rFonts w:ascii="Abadi" w:hAnsi="Abadi" w:cs="*Calibri-9143-Identity-H"/>
          <w:i/>
          <w:iCs/>
          <w:color w:val="222223"/>
          <w:sz w:val="21"/>
          <w:szCs w:val="21"/>
        </w:rPr>
        <w:t xml:space="preserve">comisión </w:t>
      </w:r>
      <w:r w:rsidRPr="00CE3C90">
        <w:rPr>
          <w:rFonts w:ascii="Abadi" w:hAnsi="Abadi" w:cs="*Microsoft Sans Serif-Italic-91"/>
          <w:i/>
          <w:iCs/>
          <w:color w:val="222223"/>
          <w:sz w:val="21"/>
          <w:szCs w:val="21"/>
        </w:rPr>
        <w:t xml:space="preserve">y </w:t>
      </w:r>
      <w:r w:rsidRPr="00CE3C90">
        <w:rPr>
          <w:rFonts w:ascii="Abadi" w:hAnsi="Abadi" w:cs="*Calibri-9143-Identity-H"/>
          <w:i/>
          <w:iCs/>
          <w:color w:val="222223"/>
          <w:sz w:val="21"/>
          <w:szCs w:val="21"/>
        </w:rPr>
        <w:t xml:space="preserve">la </w:t>
      </w:r>
      <w:r w:rsidRPr="00CE3C90">
        <w:rPr>
          <w:rFonts w:ascii="Abadi" w:hAnsi="Abadi" w:cs="*Microsoft Sans Serif-Italic-91"/>
          <w:i/>
          <w:iCs/>
          <w:color w:val="222223"/>
          <w:sz w:val="21"/>
          <w:szCs w:val="21"/>
        </w:rPr>
        <w:t>secretaría técnica.</w:t>
      </w:r>
    </w:p>
    <w:p w14:paraId="574B071B" w14:textId="77777777" w:rsidR="00A72A7F" w:rsidRPr="00CE3C90" w:rsidRDefault="00A72A7F" w:rsidP="00A72A7F">
      <w:pPr>
        <w:autoSpaceDE w:val="0"/>
        <w:autoSpaceDN w:val="0"/>
        <w:adjustRightInd w:val="0"/>
        <w:jc w:val="both"/>
        <w:rPr>
          <w:rFonts w:ascii="Abadi" w:hAnsi="Abadi" w:cs="*Calibri-9143-Identity-H"/>
          <w:i/>
          <w:iCs/>
          <w:color w:val="222223"/>
          <w:sz w:val="21"/>
          <w:szCs w:val="21"/>
        </w:rPr>
      </w:pPr>
    </w:p>
    <w:p w14:paraId="745C687A" w14:textId="77777777" w:rsidR="00A72A7F" w:rsidRPr="00CE3C90" w:rsidRDefault="00A72A7F" w:rsidP="00A72A7F">
      <w:pPr>
        <w:autoSpaceDE w:val="0"/>
        <w:autoSpaceDN w:val="0"/>
        <w:adjustRightInd w:val="0"/>
        <w:jc w:val="both"/>
        <w:rPr>
          <w:rFonts w:ascii="Abadi" w:hAnsi="Abadi" w:cs="*Microsoft Sans Serif-Italic-91"/>
          <w:i/>
          <w:iCs/>
          <w:color w:val="222223"/>
          <w:sz w:val="21"/>
          <w:szCs w:val="21"/>
        </w:rPr>
      </w:pPr>
      <w:r w:rsidRPr="00D417E3">
        <w:rPr>
          <w:rFonts w:ascii="Abadi" w:hAnsi="Abadi" w:cs="*Calibri-9143-Identity-H"/>
          <w:b/>
          <w:bCs/>
          <w:i/>
          <w:iCs/>
          <w:color w:val="222223"/>
          <w:sz w:val="21"/>
          <w:szCs w:val="21"/>
        </w:rPr>
        <w:t>5.</w:t>
      </w:r>
      <w:r w:rsidRPr="00CE3C90">
        <w:rPr>
          <w:rFonts w:ascii="Abadi" w:hAnsi="Abadi" w:cs="*Calibri-9143-Identity-H"/>
          <w:i/>
          <w:iCs/>
          <w:color w:val="222223"/>
          <w:sz w:val="21"/>
          <w:szCs w:val="21"/>
        </w:rPr>
        <w:t xml:space="preserve"> </w:t>
      </w:r>
      <w:r w:rsidRPr="00CE3C90">
        <w:rPr>
          <w:rFonts w:ascii="Abadi" w:hAnsi="Abadi" w:cs="*Microsoft Sans Serif-Italic-91"/>
          <w:i/>
          <w:iCs/>
          <w:color w:val="222223"/>
          <w:sz w:val="21"/>
          <w:szCs w:val="21"/>
        </w:rPr>
        <w:t xml:space="preserve">Reunión de </w:t>
      </w:r>
      <w:r w:rsidRPr="00CE3C90">
        <w:rPr>
          <w:rFonts w:ascii="Abadi" w:hAnsi="Abadi" w:cs="*Calibri-9143-Identity-H"/>
          <w:i/>
          <w:iCs/>
          <w:color w:val="222223"/>
          <w:sz w:val="21"/>
          <w:szCs w:val="21"/>
        </w:rPr>
        <w:t xml:space="preserve">la </w:t>
      </w:r>
      <w:r w:rsidRPr="00CE3C90">
        <w:rPr>
          <w:rFonts w:ascii="Abadi" w:hAnsi="Abadi" w:cs="*Microsoft Sans Serif-Italic-91"/>
          <w:i/>
          <w:iCs/>
          <w:color w:val="222223"/>
          <w:sz w:val="21"/>
          <w:szCs w:val="21"/>
        </w:rPr>
        <w:t xml:space="preserve">Comisión de Desarrollo Económico y Social paro </w:t>
      </w:r>
      <w:r w:rsidRPr="00CE3C90">
        <w:rPr>
          <w:rFonts w:ascii="Abadi" w:hAnsi="Abadi" w:cs="*Calibri-9143-Identity-H"/>
          <w:i/>
          <w:iCs/>
          <w:color w:val="222223"/>
          <w:sz w:val="21"/>
          <w:szCs w:val="21"/>
        </w:rPr>
        <w:t xml:space="preserve">lo </w:t>
      </w:r>
      <w:r w:rsidRPr="00CE3C90">
        <w:rPr>
          <w:rFonts w:ascii="Abadi" w:hAnsi="Abadi" w:cs="*Microsoft Sans Serif-Italic-91"/>
          <w:i/>
          <w:iCs/>
          <w:color w:val="222223"/>
          <w:sz w:val="21"/>
          <w:szCs w:val="21"/>
        </w:rPr>
        <w:t xml:space="preserve">discusión y, en su </w:t>
      </w:r>
      <w:r w:rsidRPr="00CE3C90">
        <w:rPr>
          <w:rFonts w:ascii="Abadi" w:hAnsi="Abadi" w:cs="*Calibri-9143-Identity-H"/>
          <w:i/>
          <w:iCs/>
          <w:color w:val="222223"/>
          <w:sz w:val="21"/>
          <w:szCs w:val="21"/>
        </w:rPr>
        <w:t xml:space="preserve">coso, aprobación </w:t>
      </w:r>
      <w:r w:rsidRPr="00CE3C90">
        <w:rPr>
          <w:rFonts w:ascii="Abadi" w:hAnsi="Abadi" w:cs="*Microsoft Sans Serif-Italic-91"/>
          <w:i/>
          <w:iCs/>
          <w:color w:val="222223"/>
          <w:sz w:val="21"/>
          <w:szCs w:val="21"/>
        </w:rPr>
        <w:t>del dictamen.</w:t>
      </w:r>
    </w:p>
    <w:p w14:paraId="18211013" w14:textId="77777777" w:rsidR="00A72A7F" w:rsidRPr="00CE3C90" w:rsidRDefault="00A72A7F" w:rsidP="00A72A7F">
      <w:pPr>
        <w:autoSpaceDE w:val="0"/>
        <w:autoSpaceDN w:val="0"/>
        <w:adjustRightInd w:val="0"/>
        <w:jc w:val="both"/>
        <w:rPr>
          <w:rFonts w:ascii="Abadi" w:hAnsi="Abadi" w:cs="*Microsoft Sans Serif-Italic-91"/>
          <w:i/>
          <w:iCs/>
          <w:color w:val="222223"/>
          <w:sz w:val="21"/>
          <w:szCs w:val="21"/>
        </w:rPr>
      </w:pPr>
    </w:p>
    <w:p w14:paraId="47727734" w14:textId="77777777" w:rsidR="00A72A7F" w:rsidRPr="00D417E3" w:rsidRDefault="00A72A7F" w:rsidP="00D417E3">
      <w:pPr>
        <w:autoSpaceDE w:val="0"/>
        <w:autoSpaceDN w:val="0"/>
        <w:adjustRightInd w:val="0"/>
        <w:ind w:firstLine="708"/>
        <w:jc w:val="both"/>
        <w:rPr>
          <w:rFonts w:ascii="Abadi" w:hAnsi="Abadi" w:cs="*Courier New-9145-Identity-H"/>
          <w:color w:val="18181A"/>
          <w:sz w:val="21"/>
          <w:szCs w:val="21"/>
        </w:rPr>
      </w:pPr>
      <w:r w:rsidRPr="004471E0">
        <w:rPr>
          <w:rFonts w:ascii="Abadi" w:hAnsi="Abadi" w:cs="*Courier New-9145-Identity-H"/>
          <w:color w:val="18181A"/>
          <w:sz w:val="21"/>
          <w:szCs w:val="21"/>
        </w:rPr>
        <w:t>Derivado de la consulta realizada, se recibieron las respuestas dentro del</w:t>
      </w:r>
      <w:r>
        <w:rPr>
          <w:rFonts w:ascii="Abadi" w:hAnsi="Abadi" w:cs="*Courier New-9145-Identity-H"/>
          <w:color w:val="18181A"/>
          <w:sz w:val="21"/>
          <w:szCs w:val="21"/>
        </w:rPr>
        <w:t xml:space="preserve"> </w:t>
      </w:r>
      <w:r w:rsidRPr="004471E0">
        <w:rPr>
          <w:rFonts w:ascii="Abadi" w:hAnsi="Abadi" w:cs="*Courier New-9145-Identity-H"/>
          <w:color w:val="18181A"/>
          <w:sz w:val="21"/>
          <w:szCs w:val="21"/>
        </w:rPr>
        <w:t>plazo otorgado, de los municipios de Santiago Maravatío, Coroneo, Doctor Mora,</w:t>
      </w:r>
      <w:r>
        <w:rPr>
          <w:rFonts w:ascii="Abadi" w:hAnsi="Abadi" w:cs="*Courier New-9145-Identity-H"/>
          <w:color w:val="18181A"/>
          <w:sz w:val="21"/>
          <w:szCs w:val="21"/>
        </w:rPr>
        <w:t xml:space="preserve"> </w:t>
      </w:r>
      <w:r w:rsidRPr="004471E0">
        <w:rPr>
          <w:rFonts w:ascii="Abadi" w:hAnsi="Abadi" w:cs="*Courier New-9145-Identity-H"/>
          <w:color w:val="18181A"/>
          <w:sz w:val="21"/>
          <w:szCs w:val="21"/>
        </w:rPr>
        <w:t>Purísima del Rincón, Jaral del Progreso, Apaseo el Alto, lrapuato, San Francisco</w:t>
      </w:r>
      <w:r>
        <w:rPr>
          <w:rFonts w:ascii="Abadi" w:hAnsi="Abadi" w:cs="*Courier New-9145-Identity-H"/>
          <w:color w:val="18181A"/>
          <w:sz w:val="21"/>
          <w:szCs w:val="21"/>
        </w:rPr>
        <w:t xml:space="preserve"> </w:t>
      </w:r>
      <w:r w:rsidRPr="004471E0">
        <w:rPr>
          <w:rFonts w:ascii="Abadi" w:hAnsi="Abadi" w:cs="*Courier New-9145-Identity-H"/>
          <w:color w:val="18181A"/>
          <w:sz w:val="21"/>
          <w:szCs w:val="21"/>
        </w:rPr>
        <w:t xml:space="preserve">del </w:t>
      </w:r>
      <w:r w:rsidRPr="00D417E3">
        <w:rPr>
          <w:rFonts w:ascii="Abadi" w:hAnsi="Abadi" w:cs="*Courier New-9145-Identity-H"/>
          <w:color w:val="18181A"/>
          <w:sz w:val="21"/>
          <w:szCs w:val="21"/>
        </w:rPr>
        <w:t xml:space="preserve">Rincón, León, Jerécuaro, Victoria </w:t>
      </w:r>
      <w:r w:rsidRPr="00D417E3">
        <w:rPr>
          <w:rFonts w:ascii="Abadi" w:hAnsi="Abadi" w:cs="*Verdana-9147-Identity-H"/>
          <w:color w:val="18181A"/>
          <w:sz w:val="21"/>
          <w:szCs w:val="21"/>
        </w:rPr>
        <w:t xml:space="preserve">y </w:t>
      </w:r>
      <w:r w:rsidRPr="00D417E3">
        <w:rPr>
          <w:rFonts w:ascii="Abadi" w:hAnsi="Abadi" w:cs="*Courier New-9145-Identity-H"/>
          <w:color w:val="18181A"/>
          <w:sz w:val="21"/>
          <w:szCs w:val="21"/>
        </w:rPr>
        <w:t>Comonfort.</w:t>
      </w:r>
    </w:p>
    <w:p w14:paraId="0D53D89D" w14:textId="77777777" w:rsidR="00A72A7F" w:rsidRPr="00D417E3" w:rsidRDefault="00A72A7F" w:rsidP="00D417E3">
      <w:pPr>
        <w:jc w:val="both"/>
        <w:rPr>
          <w:rFonts w:ascii="Abadi" w:hAnsi="Abadi" w:cs="*Courier New-9145-Identity-H"/>
          <w:color w:val="18181A"/>
          <w:sz w:val="21"/>
          <w:szCs w:val="21"/>
        </w:rPr>
      </w:pPr>
    </w:p>
    <w:p w14:paraId="64A9C6E4" w14:textId="77777777" w:rsidR="00A72A7F" w:rsidRPr="00D417E3" w:rsidRDefault="00A72A7F" w:rsidP="00D417E3">
      <w:pPr>
        <w:autoSpaceDE w:val="0"/>
        <w:autoSpaceDN w:val="0"/>
        <w:adjustRightInd w:val="0"/>
        <w:ind w:firstLine="708"/>
        <w:jc w:val="both"/>
        <w:rPr>
          <w:rFonts w:ascii="Abadi" w:hAnsi="Abadi" w:cs="*Calibri-9889-Identity-H"/>
          <w:color w:val="1B1B1D"/>
          <w:sz w:val="21"/>
          <w:szCs w:val="21"/>
        </w:rPr>
      </w:pPr>
      <w:r w:rsidRPr="00D417E3">
        <w:rPr>
          <w:rFonts w:ascii="Abadi" w:hAnsi="Abadi" w:cs="*Calibri-9889-Identity-H"/>
          <w:color w:val="1B1B1D"/>
          <w:sz w:val="21"/>
          <w:szCs w:val="21"/>
        </w:rPr>
        <w:t>En ese tenor, en fecha 28 de octubre del año 2020, se llevó a cabo mesa de trabajo donde además de integrantes de esta comisión dictaminadora, se contó con la participación de representantes artesanos, así como de la Secretaría de Desarrollo Económico Sustentable y de la Coordinación General Jurídica, quienes emitieron sus opiniones y comentarios al respecto.</w:t>
      </w:r>
    </w:p>
    <w:p w14:paraId="603FFA15" w14:textId="77777777" w:rsidR="00A72A7F" w:rsidRPr="00D417E3" w:rsidRDefault="00A72A7F" w:rsidP="00D417E3">
      <w:pPr>
        <w:autoSpaceDE w:val="0"/>
        <w:autoSpaceDN w:val="0"/>
        <w:adjustRightInd w:val="0"/>
        <w:jc w:val="both"/>
        <w:rPr>
          <w:rFonts w:ascii="Abadi" w:hAnsi="Abadi" w:cs="*Calibri-9889-Identity-H"/>
          <w:color w:val="1B1B1D"/>
          <w:sz w:val="21"/>
          <w:szCs w:val="21"/>
        </w:rPr>
      </w:pPr>
    </w:p>
    <w:p w14:paraId="1169EEFE" w14:textId="77777777" w:rsidR="00A72A7F" w:rsidRPr="00D417E3" w:rsidRDefault="00A72A7F" w:rsidP="00D417E3">
      <w:pPr>
        <w:autoSpaceDE w:val="0"/>
        <w:autoSpaceDN w:val="0"/>
        <w:adjustRightInd w:val="0"/>
        <w:ind w:firstLine="708"/>
        <w:jc w:val="both"/>
        <w:rPr>
          <w:rFonts w:ascii="Abadi" w:hAnsi="Abadi" w:cs="*Calibri-9889-Identity-H"/>
          <w:color w:val="1A1A1C"/>
          <w:sz w:val="21"/>
          <w:szCs w:val="21"/>
        </w:rPr>
      </w:pPr>
      <w:r w:rsidRPr="00D417E3">
        <w:rPr>
          <w:rFonts w:ascii="Abadi" w:hAnsi="Abadi" w:cs="*Calibri-9889-Identity-H"/>
          <w:color w:val="1A1A1C"/>
          <w:sz w:val="21"/>
          <w:szCs w:val="21"/>
        </w:rPr>
        <w:t>Derivado del análisis de la iniciativa se realizaron las siguientes consideraciones.</w:t>
      </w:r>
    </w:p>
    <w:p w14:paraId="28024750" w14:textId="77777777" w:rsidR="00A72A7F" w:rsidRPr="004471E0" w:rsidRDefault="00A72A7F" w:rsidP="00A72A7F">
      <w:pPr>
        <w:autoSpaceDE w:val="0"/>
        <w:autoSpaceDN w:val="0"/>
        <w:adjustRightInd w:val="0"/>
        <w:jc w:val="both"/>
        <w:rPr>
          <w:rFonts w:ascii="Abadi" w:hAnsi="Abadi" w:cs="*Calibri-9889-Identity-H"/>
          <w:color w:val="1A1A1C"/>
          <w:sz w:val="21"/>
          <w:szCs w:val="21"/>
        </w:rPr>
      </w:pPr>
    </w:p>
    <w:p w14:paraId="7A769503" w14:textId="77777777" w:rsidR="00A72A7F" w:rsidRDefault="00A72A7F" w:rsidP="00A72A7F">
      <w:pPr>
        <w:autoSpaceDE w:val="0"/>
        <w:autoSpaceDN w:val="0"/>
        <w:adjustRightInd w:val="0"/>
        <w:ind w:firstLine="708"/>
        <w:jc w:val="both"/>
        <w:rPr>
          <w:rFonts w:ascii="Abadi" w:hAnsi="Abadi" w:cs="*Verdana-Bold-9891-Identity-H"/>
          <w:b/>
          <w:bCs/>
          <w:color w:val="0C0B0F"/>
          <w:sz w:val="21"/>
          <w:szCs w:val="21"/>
        </w:rPr>
      </w:pPr>
      <w:r w:rsidRPr="004471E0">
        <w:rPr>
          <w:rFonts w:ascii="Abadi" w:hAnsi="Abadi" w:cs="*Verdana-Bold-9891-Identity-H"/>
          <w:b/>
          <w:bCs/>
          <w:color w:val="0C0B0F"/>
          <w:sz w:val="21"/>
          <w:szCs w:val="21"/>
        </w:rPr>
        <w:t>2. Valoración de la iniciativa.</w:t>
      </w:r>
    </w:p>
    <w:p w14:paraId="323F82D6" w14:textId="77777777" w:rsidR="00A72A7F" w:rsidRPr="004471E0" w:rsidRDefault="00A72A7F" w:rsidP="00A72A7F">
      <w:pPr>
        <w:autoSpaceDE w:val="0"/>
        <w:autoSpaceDN w:val="0"/>
        <w:adjustRightInd w:val="0"/>
        <w:jc w:val="both"/>
        <w:rPr>
          <w:rFonts w:ascii="Abadi" w:hAnsi="Abadi" w:cs="*Verdana-Bold-9891-Identity-H"/>
          <w:b/>
          <w:bCs/>
          <w:color w:val="0C0B0F"/>
          <w:sz w:val="21"/>
          <w:szCs w:val="21"/>
        </w:rPr>
      </w:pPr>
    </w:p>
    <w:p w14:paraId="498B1133" w14:textId="77777777" w:rsidR="00A72A7F" w:rsidRDefault="00A72A7F" w:rsidP="00A72A7F">
      <w:pPr>
        <w:autoSpaceDE w:val="0"/>
        <w:autoSpaceDN w:val="0"/>
        <w:adjustRightInd w:val="0"/>
        <w:ind w:firstLine="708"/>
        <w:jc w:val="both"/>
        <w:rPr>
          <w:rFonts w:ascii="Abadi" w:hAnsi="Abadi" w:cs="*Calibri-9889-Identity-H"/>
          <w:color w:val="1B1B1C"/>
          <w:sz w:val="21"/>
          <w:szCs w:val="21"/>
        </w:rPr>
      </w:pPr>
      <w:r w:rsidRPr="004471E0">
        <w:rPr>
          <w:rFonts w:ascii="Abadi" w:hAnsi="Abadi" w:cs="*Calibri-9889-Identity-H"/>
          <w:color w:val="1B1B1C"/>
          <w:sz w:val="21"/>
          <w:szCs w:val="21"/>
        </w:rPr>
        <w:t>Las diputadas y los diputados que integramos la comisión dictaminadora,</w:t>
      </w:r>
      <w:r>
        <w:rPr>
          <w:rFonts w:ascii="Abadi" w:hAnsi="Abadi" w:cs="*Calibri-9889-Identity-H"/>
          <w:color w:val="1B1B1C"/>
          <w:sz w:val="21"/>
          <w:szCs w:val="21"/>
        </w:rPr>
        <w:t xml:space="preserve"> </w:t>
      </w:r>
      <w:r w:rsidRPr="004471E0">
        <w:rPr>
          <w:rFonts w:ascii="Abadi" w:hAnsi="Abadi" w:cs="*Calibri-9889-Identity-H"/>
          <w:color w:val="1B1B1C"/>
          <w:sz w:val="21"/>
          <w:szCs w:val="21"/>
        </w:rPr>
        <w:t>consideramos importante referenciar los puntos sobre los cuales versa el sustento</w:t>
      </w:r>
      <w:r>
        <w:rPr>
          <w:rFonts w:ascii="Abadi" w:hAnsi="Abadi" w:cs="*Calibri-9889-Identity-H"/>
          <w:color w:val="1B1B1C"/>
          <w:sz w:val="21"/>
          <w:szCs w:val="21"/>
        </w:rPr>
        <w:t xml:space="preserve"> </w:t>
      </w:r>
      <w:r w:rsidRPr="004471E0">
        <w:rPr>
          <w:rFonts w:ascii="Abadi" w:hAnsi="Abadi" w:cs="*Calibri-9889-Identity-H"/>
          <w:color w:val="1B1B1C"/>
          <w:sz w:val="21"/>
          <w:szCs w:val="21"/>
        </w:rPr>
        <w:t>de esta propuesta que tiene como objeto impulsar el desarrollo, crecimiento y</w:t>
      </w:r>
      <w:r>
        <w:rPr>
          <w:rFonts w:ascii="Abadi" w:hAnsi="Abadi" w:cs="*Calibri-9889-Identity-H"/>
          <w:color w:val="1B1B1C"/>
          <w:sz w:val="21"/>
          <w:szCs w:val="21"/>
        </w:rPr>
        <w:t xml:space="preserve"> </w:t>
      </w:r>
      <w:r w:rsidRPr="004471E0">
        <w:rPr>
          <w:rFonts w:ascii="Abadi" w:hAnsi="Abadi" w:cs="*Calibri-9889-Identity-H"/>
          <w:color w:val="1B1B1C"/>
          <w:sz w:val="21"/>
          <w:szCs w:val="21"/>
        </w:rPr>
        <w:t>fortalecimiento de los productos y servicios de empresas guanajuatenses con el</w:t>
      </w:r>
      <w:r>
        <w:rPr>
          <w:rFonts w:ascii="Abadi" w:hAnsi="Abadi" w:cs="*Calibri-9889-Identity-H"/>
          <w:color w:val="1B1B1C"/>
          <w:sz w:val="21"/>
          <w:szCs w:val="21"/>
        </w:rPr>
        <w:t xml:space="preserve"> </w:t>
      </w:r>
      <w:r w:rsidRPr="004471E0">
        <w:rPr>
          <w:rFonts w:ascii="Abadi" w:hAnsi="Abadi" w:cs="*Calibri-9889-Identity-H"/>
          <w:color w:val="1B1B1C"/>
          <w:sz w:val="21"/>
          <w:szCs w:val="21"/>
        </w:rPr>
        <w:t>orgullo de la identidad Estatal, contribuyendo a l</w:t>
      </w:r>
      <w:r>
        <w:rPr>
          <w:rFonts w:ascii="Abadi" w:hAnsi="Abadi" w:cs="*Calibri-9889-Identity-H"/>
          <w:color w:val="1B1B1C"/>
          <w:sz w:val="21"/>
          <w:szCs w:val="21"/>
        </w:rPr>
        <w:t>a</w:t>
      </w:r>
      <w:r w:rsidRPr="004471E0">
        <w:rPr>
          <w:rFonts w:ascii="Abadi" w:hAnsi="Abadi" w:cs="*Calibri-9889-Identity-H"/>
          <w:color w:val="1B1B1C"/>
          <w:sz w:val="21"/>
          <w:szCs w:val="21"/>
        </w:rPr>
        <w:t xml:space="preserve"> mejor</w:t>
      </w:r>
      <w:r>
        <w:rPr>
          <w:rFonts w:ascii="Abadi" w:hAnsi="Abadi" w:cs="*Calibri-9889-Identity-H"/>
          <w:color w:val="1B1B1C"/>
          <w:sz w:val="21"/>
          <w:szCs w:val="21"/>
        </w:rPr>
        <w:t>a</w:t>
      </w:r>
      <w:r w:rsidRPr="004471E0">
        <w:rPr>
          <w:rFonts w:ascii="Abadi" w:hAnsi="Abadi" w:cs="*Calibri-9889-Identity-H"/>
          <w:color w:val="1B1B1C"/>
          <w:sz w:val="21"/>
          <w:szCs w:val="21"/>
        </w:rPr>
        <w:t xml:space="preserve"> de los niveles de vida</w:t>
      </w:r>
      <w:r>
        <w:rPr>
          <w:rFonts w:ascii="Abadi" w:hAnsi="Abadi" w:cs="*Calibri-9889-Identity-H"/>
          <w:color w:val="1B1B1C"/>
          <w:sz w:val="21"/>
          <w:szCs w:val="21"/>
        </w:rPr>
        <w:t xml:space="preserve"> </w:t>
      </w:r>
      <w:r w:rsidRPr="004471E0">
        <w:rPr>
          <w:rFonts w:ascii="Abadi" w:hAnsi="Abadi" w:cs="*Calibri-9889-Identity-H"/>
          <w:color w:val="1B1B1C"/>
          <w:sz w:val="21"/>
          <w:szCs w:val="21"/>
        </w:rPr>
        <w:t>de los artesanos guanajuatenses.</w:t>
      </w:r>
    </w:p>
    <w:p w14:paraId="771FB9F9" w14:textId="77777777" w:rsidR="00A72A7F" w:rsidRPr="004471E0" w:rsidRDefault="00A72A7F" w:rsidP="00A72A7F">
      <w:pPr>
        <w:autoSpaceDE w:val="0"/>
        <w:autoSpaceDN w:val="0"/>
        <w:adjustRightInd w:val="0"/>
        <w:jc w:val="both"/>
        <w:rPr>
          <w:rFonts w:ascii="Abadi" w:hAnsi="Abadi" w:cs="*Calibri-9889-Identity-H"/>
          <w:color w:val="1B1B1C"/>
          <w:sz w:val="21"/>
          <w:szCs w:val="21"/>
        </w:rPr>
      </w:pPr>
    </w:p>
    <w:p w14:paraId="172E8D9B" w14:textId="77777777" w:rsidR="00A72A7F" w:rsidRDefault="00A72A7F" w:rsidP="00A72A7F">
      <w:pPr>
        <w:autoSpaceDE w:val="0"/>
        <w:autoSpaceDN w:val="0"/>
        <w:adjustRightInd w:val="0"/>
        <w:ind w:firstLine="708"/>
        <w:jc w:val="both"/>
        <w:rPr>
          <w:rFonts w:ascii="Abadi" w:hAnsi="Abadi" w:cs="*Calibri-9889-Identity-H"/>
          <w:color w:val="1B1A1D"/>
          <w:sz w:val="21"/>
          <w:szCs w:val="21"/>
        </w:rPr>
      </w:pPr>
      <w:r w:rsidRPr="004471E0">
        <w:rPr>
          <w:rFonts w:ascii="Abadi" w:hAnsi="Abadi" w:cs="*Calibri-9889-Identity-H"/>
          <w:color w:val="1B1A1D"/>
          <w:sz w:val="21"/>
          <w:szCs w:val="21"/>
        </w:rPr>
        <w:t>En la exposición de motivos de lo iniciativa, materia del presente dictamen,</w:t>
      </w:r>
      <w:r>
        <w:rPr>
          <w:rFonts w:ascii="Abadi" w:hAnsi="Abadi" w:cs="*Calibri-9889-Identity-H"/>
          <w:color w:val="1B1A1D"/>
          <w:sz w:val="21"/>
          <w:szCs w:val="21"/>
        </w:rPr>
        <w:t xml:space="preserve"> </w:t>
      </w:r>
      <w:r w:rsidRPr="004471E0">
        <w:rPr>
          <w:rFonts w:ascii="Abadi" w:hAnsi="Abadi" w:cs="*Calibri-9889-Identity-H"/>
          <w:color w:val="1B1A1D"/>
          <w:sz w:val="21"/>
          <w:szCs w:val="21"/>
        </w:rPr>
        <w:t>las y los iniciantes manifestaron:</w:t>
      </w:r>
    </w:p>
    <w:p w14:paraId="6FFB286E" w14:textId="77777777" w:rsidR="00A72A7F" w:rsidRDefault="00A72A7F" w:rsidP="00A72A7F">
      <w:pPr>
        <w:autoSpaceDE w:val="0"/>
        <w:autoSpaceDN w:val="0"/>
        <w:adjustRightInd w:val="0"/>
        <w:ind w:firstLine="708"/>
        <w:jc w:val="both"/>
        <w:rPr>
          <w:rFonts w:ascii="Abadi" w:hAnsi="Abadi" w:cs="*Calibri-9889-Identity-H"/>
          <w:color w:val="1B1A1D"/>
          <w:sz w:val="21"/>
          <w:szCs w:val="21"/>
        </w:rPr>
      </w:pPr>
    </w:p>
    <w:p w14:paraId="114AFBD9" w14:textId="77777777" w:rsidR="00A72A7F" w:rsidRPr="004471E0" w:rsidRDefault="00A72A7F" w:rsidP="00A72A7F">
      <w:pPr>
        <w:autoSpaceDE w:val="0"/>
        <w:autoSpaceDN w:val="0"/>
        <w:adjustRightInd w:val="0"/>
        <w:ind w:left="709" w:firstLine="708"/>
        <w:jc w:val="both"/>
        <w:rPr>
          <w:rFonts w:ascii="Abadi" w:hAnsi="Abadi" w:cs="*Calibri-9889-Identity-H"/>
          <w:color w:val="1B1A1D"/>
          <w:sz w:val="21"/>
          <w:szCs w:val="21"/>
        </w:rPr>
      </w:pPr>
    </w:p>
    <w:p w14:paraId="04AC7F4A" w14:textId="77777777" w:rsidR="00A72A7F" w:rsidRPr="004471E0" w:rsidRDefault="00A72A7F" w:rsidP="00A72A7F">
      <w:pPr>
        <w:autoSpaceDE w:val="0"/>
        <w:autoSpaceDN w:val="0"/>
        <w:adjustRightInd w:val="0"/>
        <w:ind w:left="709"/>
        <w:jc w:val="both"/>
        <w:rPr>
          <w:rFonts w:ascii="Abadi" w:hAnsi="Abadi" w:cs="*Times New Roman-Italic-9886-Id"/>
          <w:i/>
          <w:iCs/>
          <w:color w:val="1B1B1B"/>
          <w:sz w:val="21"/>
          <w:szCs w:val="21"/>
        </w:rPr>
      </w:pPr>
      <w:r w:rsidRPr="004471E0">
        <w:rPr>
          <w:rFonts w:ascii="Abadi" w:hAnsi="Abadi" w:cs="*Times New Roman-Italic-9886-Id"/>
          <w:i/>
          <w:iCs/>
          <w:color w:val="1B1B1B"/>
          <w:sz w:val="21"/>
          <w:szCs w:val="21"/>
        </w:rPr>
        <w:t xml:space="preserve">( </w:t>
      </w:r>
      <w:r w:rsidRPr="004471E0">
        <w:rPr>
          <w:rFonts w:ascii="Abadi" w:hAnsi="Abadi" w:cs="*Times New Roman-Italic-9887-Id"/>
          <w:i/>
          <w:iCs/>
          <w:color w:val="1B1B1B"/>
          <w:sz w:val="21"/>
          <w:szCs w:val="21"/>
        </w:rPr>
        <w:t xml:space="preserve">. . </w:t>
      </w:r>
      <w:r w:rsidRPr="004471E0">
        <w:rPr>
          <w:rFonts w:ascii="Abadi" w:hAnsi="Abadi" w:cs="*Times New Roman-Italic-9886-Id"/>
          <w:i/>
          <w:iCs/>
          <w:color w:val="1B1B1B"/>
          <w:sz w:val="21"/>
          <w:szCs w:val="21"/>
        </w:rPr>
        <w:t>.)</w:t>
      </w:r>
    </w:p>
    <w:p w14:paraId="689BE9FC" w14:textId="77777777" w:rsidR="00A72A7F" w:rsidRPr="004471E0" w:rsidRDefault="00A72A7F" w:rsidP="00A72A7F">
      <w:pPr>
        <w:autoSpaceDE w:val="0"/>
        <w:autoSpaceDN w:val="0"/>
        <w:adjustRightInd w:val="0"/>
        <w:ind w:left="709" w:firstLine="708"/>
        <w:jc w:val="both"/>
        <w:rPr>
          <w:rFonts w:ascii="Abadi" w:hAnsi="Abadi" w:cs="*Microsoft Sans Serif-Italic-98"/>
          <w:i/>
          <w:iCs/>
          <w:color w:val="201F21"/>
          <w:sz w:val="21"/>
          <w:szCs w:val="21"/>
        </w:rPr>
      </w:pPr>
      <w:r w:rsidRPr="004471E0">
        <w:rPr>
          <w:rFonts w:ascii="Abadi" w:hAnsi="Abadi" w:cs="*Microsoft Sans Serif-Italic-98"/>
          <w:i/>
          <w:iCs/>
          <w:color w:val="201F21"/>
          <w:sz w:val="21"/>
          <w:szCs w:val="21"/>
        </w:rPr>
        <w:t xml:space="preserve">Artesanía se refiere tanto </w:t>
      </w:r>
      <w:r w:rsidRPr="004471E0">
        <w:rPr>
          <w:rFonts w:ascii="Abadi" w:hAnsi="Abadi" w:cs="*Calibri-9888-Identity-H"/>
          <w:i/>
          <w:iCs/>
          <w:color w:val="201F21"/>
          <w:sz w:val="21"/>
          <w:szCs w:val="21"/>
        </w:rPr>
        <w:t xml:space="preserve">al </w:t>
      </w:r>
      <w:r w:rsidRPr="004471E0">
        <w:rPr>
          <w:rFonts w:ascii="Abadi" w:hAnsi="Abadi" w:cs="*Microsoft Sans Serif-Italic-98"/>
          <w:i/>
          <w:iCs/>
          <w:color w:val="201F21"/>
          <w:sz w:val="21"/>
          <w:szCs w:val="21"/>
        </w:rPr>
        <w:t>trabajo normalmente realizado de formo manual por un</w:t>
      </w:r>
      <w:r>
        <w:rPr>
          <w:rFonts w:ascii="Abadi" w:hAnsi="Abadi" w:cs="*Microsoft Sans Serif-Italic-98"/>
          <w:i/>
          <w:iCs/>
          <w:color w:val="201F21"/>
          <w:sz w:val="21"/>
          <w:szCs w:val="21"/>
        </w:rPr>
        <w:t>a</w:t>
      </w:r>
      <w:r w:rsidRPr="004471E0">
        <w:rPr>
          <w:rFonts w:ascii="Abadi" w:hAnsi="Abadi" w:cs="*Microsoft Sans Serif-Italic-98"/>
          <w:i/>
          <w:iCs/>
          <w:color w:val="201F21"/>
          <w:sz w:val="21"/>
          <w:szCs w:val="21"/>
        </w:rPr>
        <w:t xml:space="preserve"> person</w:t>
      </w:r>
      <w:r>
        <w:rPr>
          <w:rFonts w:ascii="Abadi" w:hAnsi="Abadi" w:cs="*Microsoft Sans Serif-Italic-98"/>
          <w:i/>
          <w:iCs/>
          <w:color w:val="201F21"/>
          <w:sz w:val="21"/>
          <w:szCs w:val="21"/>
        </w:rPr>
        <w:t>a</w:t>
      </w:r>
      <w:r w:rsidRPr="004471E0">
        <w:rPr>
          <w:rFonts w:ascii="Abadi" w:hAnsi="Abadi" w:cs="*Microsoft Sans Serif-Italic-98"/>
          <w:i/>
          <w:iCs/>
          <w:color w:val="201F21"/>
          <w:sz w:val="21"/>
          <w:szCs w:val="21"/>
        </w:rPr>
        <w:t xml:space="preserve"> sin el auxilio de </w:t>
      </w:r>
      <w:r w:rsidRPr="004471E0">
        <w:rPr>
          <w:rFonts w:ascii="Abadi" w:hAnsi="Abadi" w:cs="*Arial-9890-Identity-H"/>
          <w:i/>
          <w:iCs/>
          <w:color w:val="201F21"/>
          <w:sz w:val="21"/>
          <w:szCs w:val="21"/>
        </w:rPr>
        <w:t xml:space="preserve">maquinaria o </w:t>
      </w:r>
      <w:r w:rsidRPr="004471E0">
        <w:rPr>
          <w:rFonts w:ascii="Abadi" w:hAnsi="Abadi" w:cs="*Microsoft Sans Serif-Italic-98"/>
          <w:i/>
          <w:iCs/>
          <w:color w:val="201F21"/>
          <w:sz w:val="21"/>
          <w:szCs w:val="21"/>
        </w:rPr>
        <w:t xml:space="preserve">automatizaciones, </w:t>
      </w:r>
      <w:r w:rsidRPr="004471E0">
        <w:rPr>
          <w:rFonts w:ascii="Abadi" w:hAnsi="Abadi" w:cs="*Calibri-9888-Identity-H"/>
          <w:i/>
          <w:iCs/>
          <w:color w:val="201F21"/>
          <w:sz w:val="21"/>
          <w:szCs w:val="21"/>
        </w:rPr>
        <w:t xml:space="preserve">como al </w:t>
      </w:r>
      <w:r w:rsidRPr="004471E0">
        <w:rPr>
          <w:rFonts w:ascii="Abadi" w:hAnsi="Abadi" w:cs="*Microsoft Sans Serif-Italic-98"/>
          <w:i/>
          <w:iCs/>
          <w:color w:val="201F21"/>
          <w:sz w:val="21"/>
          <w:szCs w:val="21"/>
        </w:rPr>
        <w:t xml:space="preserve">objeto </w:t>
      </w:r>
      <w:r w:rsidRPr="004471E0">
        <w:rPr>
          <w:rFonts w:ascii="Abadi" w:hAnsi="Abadi" w:cs="*Calibri-9888-Identity-H"/>
          <w:i/>
          <w:iCs/>
          <w:color w:val="201F21"/>
          <w:sz w:val="21"/>
          <w:szCs w:val="21"/>
        </w:rPr>
        <w:t xml:space="preserve">o </w:t>
      </w:r>
      <w:r w:rsidRPr="004471E0">
        <w:rPr>
          <w:rFonts w:ascii="Abadi" w:hAnsi="Abadi" w:cs="*Microsoft Sans Serif-Italic-98"/>
          <w:i/>
          <w:iCs/>
          <w:color w:val="201F21"/>
          <w:sz w:val="21"/>
          <w:szCs w:val="21"/>
        </w:rPr>
        <w:t xml:space="preserve">producto obtenido en el que cada pieza es distinta a los demás. Lo artesanía </w:t>
      </w:r>
      <w:r w:rsidRPr="004471E0">
        <w:rPr>
          <w:rFonts w:ascii="Abadi" w:hAnsi="Abadi" w:cs="*Calibri-9888-Identity-H"/>
          <w:i/>
          <w:iCs/>
          <w:color w:val="201F21"/>
          <w:sz w:val="21"/>
          <w:szCs w:val="21"/>
        </w:rPr>
        <w:t xml:space="preserve">como </w:t>
      </w:r>
      <w:r w:rsidRPr="004471E0">
        <w:rPr>
          <w:rFonts w:ascii="Abadi" w:hAnsi="Abadi" w:cs="*Microsoft Sans Serif-Italic-98"/>
          <w:i/>
          <w:iCs/>
          <w:color w:val="201F21"/>
          <w:sz w:val="21"/>
          <w:szCs w:val="21"/>
        </w:rPr>
        <w:t xml:space="preserve">actividad material se diferencia del trabajo en serie </w:t>
      </w:r>
      <w:r w:rsidRPr="004471E0">
        <w:rPr>
          <w:rFonts w:ascii="Abadi" w:hAnsi="Abadi" w:cs="*Calibri-9888-Identity-H"/>
          <w:i/>
          <w:iCs/>
          <w:color w:val="201F21"/>
          <w:sz w:val="21"/>
          <w:szCs w:val="21"/>
        </w:rPr>
        <w:t xml:space="preserve">o </w:t>
      </w:r>
      <w:r w:rsidRPr="004471E0">
        <w:rPr>
          <w:rFonts w:ascii="Abadi" w:hAnsi="Abadi" w:cs="*Microsoft Sans Serif-Italic-98"/>
          <w:i/>
          <w:iCs/>
          <w:color w:val="201F21"/>
          <w:sz w:val="21"/>
          <w:szCs w:val="21"/>
        </w:rPr>
        <w:t xml:space="preserve">industrial. Para que </w:t>
      </w:r>
      <w:r w:rsidRPr="004471E0">
        <w:rPr>
          <w:rFonts w:ascii="Abadi" w:hAnsi="Abadi" w:cs="*Arial-9890-Identity-H"/>
          <w:i/>
          <w:iCs/>
          <w:color w:val="201F21"/>
          <w:sz w:val="21"/>
          <w:szCs w:val="21"/>
        </w:rPr>
        <w:t xml:space="preserve">uno </w:t>
      </w:r>
      <w:r w:rsidRPr="004471E0">
        <w:rPr>
          <w:rFonts w:ascii="Abadi" w:hAnsi="Abadi" w:cs="*Microsoft Sans Serif-Italic-98"/>
          <w:i/>
          <w:iCs/>
          <w:color w:val="201F21"/>
          <w:sz w:val="21"/>
          <w:szCs w:val="21"/>
        </w:rPr>
        <w:t xml:space="preserve">artesanía </w:t>
      </w:r>
      <w:r>
        <w:rPr>
          <w:rFonts w:ascii="Abadi" w:hAnsi="Abadi" w:cs="*Microsoft Sans Serif-Italic-98"/>
          <w:i/>
          <w:iCs/>
          <w:color w:val="201F21"/>
          <w:sz w:val="21"/>
          <w:szCs w:val="21"/>
        </w:rPr>
        <w:t>sea tal debe</w:t>
      </w:r>
      <w:r w:rsidRPr="004471E0">
        <w:rPr>
          <w:rFonts w:ascii="Abadi" w:hAnsi="Abadi" w:cs="*Microsoft Sans Serif-Italic-98"/>
          <w:i/>
          <w:iCs/>
          <w:color w:val="201F21"/>
          <w:sz w:val="21"/>
          <w:szCs w:val="21"/>
        </w:rPr>
        <w:t xml:space="preserve"> </w:t>
      </w:r>
      <w:r w:rsidRPr="004471E0">
        <w:rPr>
          <w:rFonts w:ascii="Abadi" w:hAnsi="Abadi" w:cs="*Calibri-9888-Identity-H"/>
          <w:i/>
          <w:iCs/>
          <w:color w:val="201F21"/>
          <w:sz w:val="21"/>
          <w:szCs w:val="21"/>
        </w:rPr>
        <w:t xml:space="preserve">ser </w:t>
      </w:r>
      <w:r w:rsidRPr="004471E0">
        <w:rPr>
          <w:rFonts w:ascii="Abadi" w:hAnsi="Abadi" w:cs="*Microsoft Sans Serif-Italic-98"/>
          <w:i/>
          <w:iCs/>
          <w:color w:val="201F21"/>
          <w:sz w:val="21"/>
          <w:szCs w:val="21"/>
        </w:rPr>
        <w:t xml:space="preserve">trabajado a mano y cuanto </w:t>
      </w:r>
      <w:r w:rsidRPr="004471E0">
        <w:rPr>
          <w:rFonts w:ascii="Abadi" w:hAnsi="Abadi" w:cs="*Calibri-9888-Identity-H"/>
          <w:i/>
          <w:iCs/>
          <w:color w:val="201F21"/>
          <w:sz w:val="21"/>
          <w:szCs w:val="21"/>
        </w:rPr>
        <w:t xml:space="preserve">menos </w:t>
      </w:r>
      <w:r w:rsidRPr="004471E0">
        <w:rPr>
          <w:rFonts w:ascii="Abadi" w:hAnsi="Abadi" w:cs="*Microsoft Sans Serif-Italic-98"/>
          <w:i/>
          <w:iCs/>
          <w:color w:val="201F21"/>
          <w:sz w:val="21"/>
          <w:szCs w:val="21"/>
        </w:rPr>
        <w:t>proceso industrial tenga más artesanal v</w:t>
      </w:r>
      <w:r>
        <w:rPr>
          <w:rFonts w:ascii="Abadi" w:hAnsi="Abadi" w:cs="*Microsoft Sans Serif-Italic-98"/>
          <w:i/>
          <w:iCs/>
          <w:color w:val="201F21"/>
          <w:sz w:val="21"/>
          <w:szCs w:val="21"/>
        </w:rPr>
        <w:t xml:space="preserve">a a </w:t>
      </w:r>
      <w:r w:rsidRPr="004471E0">
        <w:rPr>
          <w:rFonts w:ascii="Abadi" w:hAnsi="Abadi" w:cs="*Microsoft Sans Serif-Italic-98"/>
          <w:i/>
          <w:iCs/>
          <w:color w:val="201F21"/>
          <w:sz w:val="21"/>
          <w:szCs w:val="21"/>
        </w:rPr>
        <w:t>ser. L</w:t>
      </w:r>
      <w:r>
        <w:rPr>
          <w:rFonts w:ascii="Abadi" w:hAnsi="Abadi" w:cs="*Microsoft Sans Serif-Italic-98"/>
          <w:i/>
          <w:iCs/>
          <w:color w:val="201F21"/>
          <w:sz w:val="21"/>
          <w:szCs w:val="21"/>
        </w:rPr>
        <w:t>a</w:t>
      </w:r>
      <w:r w:rsidRPr="004471E0">
        <w:rPr>
          <w:rFonts w:ascii="Abadi" w:hAnsi="Abadi" w:cs="*Microsoft Sans Serif-Italic-98"/>
          <w:i/>
          <w:iCs/>
          <w:color w:val="201F21"/>
          <w:sz w:val="21"/>
          <w:szCs w:val="21"/>
        </w:rPr>
        <w:t xml:space="preserve"> artesanía es </w:t>
      </w:r>
      <w:r w:rsidRPr="004471E0">
        <w:rPr>
          <w:rFonts w:ascii="Abadi" w:hAnsi="Abadi" w:cs="*Arial-9890-Identity-H"/>
          <w:i/>
          <w:iCs/>
          <w:color w:val="201F21"/>
          <w:sz w:val="21"/>
          <w:szCs w:val="21"/>
        </w:rPr>
        <w:t xml:space="preserve">un </w:t>
      </w:r>
      <w:r w:rsidRPr="004471E0">
        <w:rPr>
          <w:rFonts w:ascii="Abadi" w:hAnsi="Abadi" w:cs="*Microsoft Sans Serif-Italic-98"/>
          <w:i/>
          <w:iCs/>
          <w:color w:val="201F21"/>
          <w:sz w:val="21"/>
          <w:szCs w:val="21"/>
        </w:rPr>
        <w:t>objeto totalmente cultural, ya que tiene lo particularidad de variar dependiendo de la cultura, el paisaje, el clima y la historia del lugar.</w:t>
      </w:r>
    </w:p>
    <w:p w14:paraId="406C59EA" w14:textId="77777777" w:rsidR="00A72A7F" w:rsidRPr="004471E0" w:rsidRDefault="00A72A7F" w:rsidP="00A72A7F">
      <w:pPr>
        <w:ind w:left="709"/>
        <w:jc w:val="both"/>
        <w:rPr>
          <w:rFonts w:ascii="Abadi" w:hAnsi="Abadi" w:cs="*Microsoft Sans Serif-Italic-98"/>
          <w:i/>
          <w:iCs/>
          <w:color w:val="201F21"/>
          <w:sz w:val="21"/>
          <w:szCs w:val="21"/>
        </w:rPr>
      </w:pPr>
    </w:p>
    <w:p w14:paraId="17C23908" w14:textId="77777777" w:rsidR="00A72A7F" w:rsidRPr="004471E0" w:rsidRDefault="00A72A7F" w:rsidP="00A72A7F">
      <w:pPr>
        <w:autoSpaceDE w:val="0"/>
        <w:autoSpaceDN w:val="0"/>
        <w:adjustRightInd w:val="0"/>
        <w:ind w:left="709" w:firstLine="708"/>
        <w:jc w:val="both"/>
        <w:rPr>
          <w:rFonts w:ascii="Abadi" w:hAnsi="Abadi" w:cs="*Arial-Italic-10078-Identity-H"/>
          <w:i/>
          <w:iCs/>
          <w:color w:val="1F1F21"/>
          <w:sz w:val="21"/>
          <w:szCs w:val="21"/>
        </w:rPr>
      </w:pPr>
      <w:r w:rsidRPr="004471E0">
        <w:rPr>
          <w:rFonts w:ascii="Abadi" w:hAnsi="Abadi" w:cs="*Arial-Italic-10078-Identity-H"/>
          <w:i/>
          <w:iCs/>
          <w:color w:val="1F1F21"/>
          <w:sz w:val="21"/>
          <w:szCs w:val="21"/>
        </w:rPr>
        <w:t xml:space="preserve">El Fondo Nacional </w:t>
      </w:r>
      <w:r w:rsidRPr="004471E0">
        <w:rPr>
          <w:rFonts w:ascii="Abadi" w:hAnsi="Abadi" w:cs="*Verdana-10079-Identity-H"/>
          <w:i/>
          <w:iCs/>
          <w:color w:val="1F1F21"/>
          <w:sz w:val="21"/>
          <w:szCs w:val="21"/>
        </w:rPr>
        <w:t xml:space="preserve">para </w:t>
      </w:r>
      <w:r w:rsidRPr="004471E0">
        <w:rPr>
          <w:rFonts w:ascii="Abadi" w:hAnsi="Abadi" w:cs="*Arial-Italic-10078-Identity-H"/>
          <w:i/>
          <w:iCs/>
          <w:color w:val="1F1F21"/>
          <w:sz w:val="21"/>
          <w:szCs w:val="21"/>
        </w:rPr>
        <w:t xml:space="preserve">el Fomento de las Artesanías (FONART) de </w:t>
      </w:r>
      <w:r w:rsidRPr="004471E0">
        <w:rPr>
          <w:rFonts w:ascii="Abadi" w:hAnsi="Abadi" w:cs="*Verdana-10079-Identity-H"/>
          <w:i/>
          <w:iCs/>
          <w:color w:val="1F1F21"/>
          <w:sz w:val="21"/>
          <w:szCs w:val="21"/>
        </w:rPr>
        <w:t xml:space="preserve">México, </w:t>
      </w:r>
      <w:r w:rsidRPr="004471E0">
        <w:rPr>
          <w:rFonts w:ascii="Abadi" w:hAnsi="Abadi" w:cs="*Arial-Italic-10078-Identity-H"/>
          <w:i/>
          <w:iCs/>
          <w:color w:val="1F1F21"/>
          <w:sz w:val="21"/>
          <w:szCs w:val="21"/>
        </w:rPr>
        <w:t xml:space="preserve">a través de su «Manual de diferenciación entre artesanía y manualidad¡¡, </w:t>
      </w:r>
      <w:r w:rsidRPr="004471E0">
        <w:rPr>
          <w:rFonts w:ascii="Abadi" w:hAnsi="Abadi" w:cs="*Verdana-10079-Identity-H"/>
          <w:i/>
          <w:iCs/>
          <w:color w:val="1F1F21"/>
          <w:sz w:val="21"/>
          <w:szCs w:val="21"/>
        </w:rPr>
        <w:t xml:space="preserve">nos </w:t>
      </w:r>
      <w:r w:rsidRPr="004471E0">
        <w:rPr>
          <w:rFonts w:ascii="Abadi" w:hAnsi="Abadi" w:cs="*Arial-Italic-10078-Identity-H"/>
          <w:i/>
          <w:iCs/>
          <w:color w:val="1F1F21"/>
          <w:sz w:val="21"/>
          <w:szCs w:val="21"/>
        </w:rPr>
        <w:t xml:space="preserve">señala que la artesanía es: «Un objeto </w:t>
      </w:r>
      <w:r w:rsidRPr="004471E0">
        <w:rPr>
          <w:rFonts w:ascii="Abadi" w:hAnsi="Abadi" w:cs="*Verdana-10079-Identity-H"/>
          <w:i/>
          <w:iCs/>
          <w:color w:val="1F1F21"/>
          <w:sz w:val="21"/>
          <w:szCs w:val="21"/>
        </w:rPr>
        <w:t xml:space="preserve">o </w:t>
      </w:r>
      <w:r w:rsidRPr="004471E0">
        <w:rPr>
          <w:rFonts w:ascii="Abadi" w:hAnsi="Abadi" w:cs="*Arial-Italic-10078-Identity-H"/>
          <w:i/>
          <w:iCs/>
          <w:color w:val="1F1F21"/>
          <w:sz w:val="21"/>
          <w:szCs w:val="21"/>
        </w:rPr>
        <w:t xml:space="preserve">producto de identidad cultural comunitario, hecho por procesos manuales Continuos auxiliados </w:t>
      </w:r>
      <w:r w:rsidRPr="004471E0">
        <w:rPr>
          <w:rFonts w:ascii="Abadi" w:hAnsi="Abadi" w:cs="*Verdana-10079-Identity-H"/>
          <w:i/>
          <w:iCs/>
          <w:color w:val="1F1F21"/>
          <w:sz w:val="21"/>
          <w:szCs w:val="21"/>
        </w:rPr>
        <w:t xml:space="preserve">por </w:t>
      </w:r>
      <w:r w:rsidRPr="004471E0">
        <w:rPr>
          <w:rFonts w:ascii="Abadi" w:hAnsi="Abadi" w:cs="*Arial-Italic-10078-Identity-H"/>
          <w:i/>
          <w:iCs/>
          <w:color w:val="1F1F21"/>
          <w:sz w:val="21"/>
          <w:szCs w:val="21"/>
        </w:rPr>
        <w:t xml:space="preserve">implementos rudimentarios y </w:t>
      </w:r>
      <w:r w:rsidRPr="004471E0">
        <w:rPr>
          <w:rFonts w:ascii="Abadi" w:hAnsi="Abadi" w:cs="*Verdana-10079-Identity-H"/>
          <w:i/>
          <w:iCs/>
          <w:color w:val="1F1F21"/>
          <w:sz w:val="21"/>
          <w:szCs w:val="21"/>
        </w:rPr>
        <w:t xml:space="preserve">algunos </w:t>
      </w:r>
      <w:r w:rsidRPr="004471E0">
        <w:rPr>
          <w:rFonts w:ascii="Abadi" w:hAnsi="Abadi" w:cs="*Arial-Italic-10078-Identity-H"/>
          <w:i/>
          <w:iCs/>
          <w:color w:val="1F1F21"/>
          <w:sz w:val="21"/>
          <w:szCs w:val="21"/>
        </w:rPr>
        <w:t xml:space="preserve">de función mecánica que aligeran ciertas tareas. La </w:t>
      </w:r>
      <w:r w:rsidRPr="004471E0">
        <w:rPr>
          <w:rFonts w:ascii="Abadi" w:hAnsi="Abadi" w:cs="*Verdana-10079-Identity-H"/>
          <w:i/>
          <w:iCs/>
          <w:color w:val="1F1F21"/>
          <w:sz w:val="21"/>
          <w:szCs w:val="21"/>
        </w:rPr>
        <w:t xml:space="preserve">materia </w:t>
      </w:r>
      <w:r w:rsidRPr="004471E0">
        <w:rPr>
          <w:rFonts w:ascii="Abadi" w:hAnsi="Abadi" w:cs="*Arial-Italic-10078-Identity-H"/>
          <w:i/>
          <w:iCs/>
          <w:color w:val="1F1F21"/>
          <w:sz w:val="21"/>
          <w:szCs w:val="21"/>
        </w:rPr>
        <w:t xml:space="preserve">prima básica transformada generalmente </w:t>
      </w:r>
      <w:r w:rsidRPr="004471E0">
        <w:rPr>
          <w:rFonts w:ascii="Abadi" w:hAnsi="Abadi" w:cs="*Verdana-10079-Identity-H"/>
          <w:i/>
          <w:iCs/>
          <w:color w:val="1F1F21"/>
          <w:sz w:val="21"/>
          <w:szCs w:val="21"/>
        </w:rPr>
        <w:t xml:space="preserve">es </w:t>
      </w:r>
      <w:r w:rsidRPr="004471E0">
        <w:rPr>
          <w:rFonts w:ascii="Abadi" w:hAnsi="Abadi" w:cs="*Arial-Italic-10078-Identity-H"/>
          <w:i/>
          <w:iCs/>
          <w:color w:val="1F1F21"/>
          <w:sz w:val="21"/>
          <w:szCs w:val="21"/>
        </w:rPr>
        <w:t>obtenida en lo región donde habita el artesano. E</w:t>
      </w:r>
      <w:r>
        <w:rPr>
          <w:rFonts w:ascii="Abadi" w:hAnsi="Abadi" w:cs="*Arial-Italic-10078-Identity-H"/>
          <w:i/>
          <w:iCs/>
          <w:color w:val="1F1F21"/>
          <w:sz w:val="21"/>
          <w:szCs w:val="21"/>
        </w:rPr>
        <w:t>l</w:t>
      </w:r>
      <w:r w:rsidRPr="004471E0">
        <w:rPr>
          <w:rFonts w:ascii="Abadi" w:hAnsi="Abadi" w:cs="*Arial-Italic-10078-Identity-H"/>
          <w:i/>
          <w:iCs/>
          <w:color w:val="1F1F21"/>
          <w:sz w:val="21"/>
          <w:szCs w:val="21"/>
        </w:rPr>
        <w:t xml:space="preserve"> dominio de l</w:t>
      </w:r>
      <w:r>
        <w:rPr>
          <w:rFonts w:ascii="Abadi" w:hAnsi="Abadi" w:cs="*Arial-Italic-10078-Identity-H"/>
          <w:i/>
          <w:iCs/>
          <w:color w:val="1F1F21"/>
          <w:sz w:val="21"/>
          <w:szCs w:val="21"/>
        </w:rPr>
        <w:t>as técnicas tradicionales</w:t>
      </w:r>
      <w:r w:rsidRPr="004471E0">
        <w:rPr>
          <w:rFonts w:ascii="Abadi" w:hAnsi="Abadi" w:cs="*Arial-Italic-10078-Identity-H"/>
          <w:i/>
          <w:iCs/>
          <w:color w:val="1F1F21"/>
          <w:sz w:val="21"/>
          <w:szCs w:val="21"/>
        </w:rPr>
        <w:t xml:space="preserve"> de patrimonio comunitario permite al artesano crear diferentes objetos de variado calidad y maestría, imprimiéndoles, además, valores simbólicos e </w:t>
      </w:r>
      <w:r w:rsidRPr="004471E0">
        <w:rPr>
          <w:rFonts w:ascii="Abadi" w:hAnsi="Abadi" w:cs="*Verdana-10079-Identity-H"/>
          <w:i/>
          <w:iCs/>
          <w:color w:val="1F1F21"/>
          <w:sz w:val="21"/>
          <w:szCs w:val="21"/>
        </w:rPr>
        <w:t xml:space="preserve">ideológicos </w:t>
      </w:r>
      <w:r w:rsidRPr="004471E0">
        <w:rPr>
          <w:rFonts w:ascii="Abadi" w:hAnsi="Abadi" w:cs="*Arial-Italic-10078-Identity-H"/>
          <w:i/>
          <w:iCs/>
          <w:color w:val="1F1F21"/>
          <w:sz w:val="21"/>
          <w:szCs w:val="21"/>
        </w:rPr>
        <w:t xml:space="preserve">de la cultura local. La artesanía se crea </w:t>
      </w:r>
      <w:r w:rsidRPr="004471E0">
        <w:rPr>
          <w:rFonts w:ascii="Abadi" w:hAnsi="Abadi" w:cs="*Verdana-10079-Identity-H"/>
          <w:i/>
          <w:iCs/>
          <w:color w:val="1F1F21"/>
          <w:sz w:val="21"/>
          <w:szCs w:val="21"/>
        </w:rPr>
        <w:t xml:space="preserve">como </w:t>
      </w:r>
      <w:r w:rsidRPr="004471E0">
        <w:rPr>
          <w:rFonts w:ascii="Abadi" w:hAnsi="Abadi" w:cs="*Arial-Italic-10078-Identity-H"/>
          <w:i/>
          <w:iCs/>
          <w:color w:val="1F1F21"/>
          <w:sz w:val="21"/>
          <w:szCs w:val="21"/>
        </w:rPr>
        <w:t xml:space="preserve">producto duradero </w:t>
      </w:r>
      <w:r w:rsidRPr="004471E0">
        <w:rPr>
          <w:rFonts w:ascii="Abadi" w:hAnsi="Abadi" w:cs="*Calibri-10075-Identity-H"/>
          <w:i/>
          <w:iCs/>
          <w:color w:val="1F1F21"/>
          <w:sz w:val="21"/>
          <w:szCs w:val="21"/>
        </w:rPr>
        <w:t xml:space="preserve">o </w:t>
      </w:r>
      <w:r w:rsidRPr="004471E0">
        <w:rPr>
          <w:rFonts w:ascii="Abadi" w:hAnsi="Abadi" w:cs="*Arial-Italic-10078-Identity-H"/>
          <w:i/>
          <w:iCs/>
          <w:color w:val="1F1F21"/>
          <w:sz w:val="21"/>
          <w:szCs w:val="21"/>
        </w:rPr>
        <w:t xml:space="preserve">efímero, y su función original está determinada en el nivel social y cultural, en este sentido puede destinarse para el uso doméstico, ceremonial, ornato, vestuario, </w:t>
      </w:r>
      <w:r w:rsidRPr="004471E0">
        <w:rPr>
          <w:rFonts w:ascii="Abadi" w:hAnsi="Abadi" w:cs="*Verdana-10079-Identity-H"/>
          <w:i/>
          <w:iCs/>
          <w:color w:val="1F1F21"/>
          <w:sz w:val="21"/>
          <w:szCs w:val="21"/>
        </w:rPr>
        <w:t xml:space="preserve">o </w:t>
      </w:r>
      <w:r w:rsidRPr="004471E0">
        <w:rPr>
          <w:rFonts w:ascii="Abadi" w:hAnsi="Abadi" w:cs="*Arial-Italic-10078-Identity-H"/>
          <w:i/>
          <w:iCs/>
          <w:color w:val="1F1F21"/>
          <w:sz w:val="21"/>
          <w:szCs w:val="21"/>
        </w:rPr>
        <w:t xml:space="preserve">bien </w:t>
      </w:r>
      <w:r w:rsidRPr="004471E0">
        <w:rPr>
          <w:rFonts w:ascii="Abadi" w:hAnsi="Abadi" w:cs="*Verdana-10079-Identity-H"/>
          <w:i/>
          <w:iCs/>
          <w:color w:val="1F1F21"/>
          <w:sz w:val="21"/>
          <w:szCs w:val="21"/>
        </w:rPr>
        <w:t xml:space="preserve">como </w:t>
      </w:r>
      <w:r w:rsidRPr="004471E0">
        <w:rPr>
          <w:rFonts w:ascii="Abadi" w:hAnsi="Abadi" w:cs="*Arial-Italic-10078-Identity-H"/>
          <w:i/>
          <w:iCs/>
          <w:color w:val="1F1F21"/>
          <w:sz w:val="21"/>
          <w:szCs w:val="21"/>
        </w:rPr>
        <w:t>implemento de trabajo</w:t>
      </w:r>
    </w:p>
    <w:p w14:paraId="1112A547" w14:textId="77777777" w:rsidR="00A72A7F" w:rsidRPr="004471E0" w:rsidRDefault="00A72A7F" w:rsidP="00A72A7F">
      <w:pPr>
        <w:autoSpaceDE w:val="0"/>
        <w:autoSpaceDN w:val="0"/>
        <w:adjustRightInd w:val="0"/>
        <w:ind w:left="709"/>
        <w:jc w:val="both"/>
        <w:rPr>
          <w:rFonts w:ascii="Abadi" w:hAnsi="Abadi" w:cs="*Arial-Italic-10078-Identity-H"/>
          <w:i/>
          <w:iCs/>
          <w:color w:val="1F1F21"/>
          <w:sz w:val="21"/>
          <w:szCs w:val="21"/>
        </w:rPr>
      </w:pPr>
    </w:p>
    <w:p w14:paraId="135B3F35" w14:textId="77777777" w:rsidR="00A72A7F" w:rsidRPr="004471E0" w:rsidRDefault="00A72A7F" w:rsidP="00A72A7F">
      <w:pPr>
        <w:autoSpaceDE w:val="0"/>
        <w:autoSpaceDN w:val="0"/>
        <w:adjustRightInd w:val="0"/>
        <w:ind w:left="709" w:firstLine="708"/>
        <w:jc w:val="both"/>
        <w:rPr>
          <w:rFonts w:ascii="Abadi" w:hAnsi="Abadi" w:cs="*Arial-Italic-10078-Identity-H"/>
          <w:i/>
          <w:iCs/>
          <w:color w:val="212122"/>
          <w:sz w:val="21"/>
          <w:szCs w:val="21"/>
        </w:rPr>
      </w:pPr>
      <w:r w:rsidRPr="004471E0">
        <w:rPr>
          <w:rFonts w:ascii="Abadi" w:hAnsi="Abadi" w:cs="*Arial-Italic-10078-Identity-H"/>
          <w:i/>
          <w:iCs/>
          <w:color w:val="212122"/>
          <w:sz w:val="21"/>
          <w:szCs w:val="21"/>
        </w:rPr>
        <w:t xml:space="preserve">Para muchas personas, </w:t>
      </w:r>
      <w:r w:rsidRPr="004471E0">
        <w:rPr>
          <w:rFonts w:ascii="Abadi" w:hAnsi="Abadi" w:cs="*Verdana-10079-Identity-H"/>
          <w:i/>
          <w:iCs/>
          <w:color w:val="212122"/>
          <w:sz w:val="21"/>
          <w:szCs w:val="21"/>
        </w:rPr>
        <w:t>l</w:t>
      </w:r>
      <w:r>
        <w:rPr>
          <w:rFonts w:ascii="Abadi" w:hAnsi="Abadi" w:cs="*Verdana-10079-Identity-H"/>
          <w:i/>
          <w:iCs/>
          <w:color w:val="212122"/>
          <w:sz w:val="21"/>
          <w:szCs w:val="21"/>
        </w:rPr>
        <w:t>a</w:t>
      </w:r>
      <w:r w:rsidRPr="004471E0">
        <w:rPr>
          <w:rFonts w:ascii="Abadi" w:hAnsi="Abadi" w:cs="*Verdana-10079-Identity-H"/>
          <w:i/>
          <w:iCs/>
          <w:color w:val="212122"/>
          <w:sz w:val="21"/>
          <w:szCs w:val="21"/>
        </w:rPr>
        <w:t xml:space="preserve"> </w:t>
      </w:r>
      <w:r w:rsidRPr="004471E0">
        <w:rPr>
          <w:rFonts w:ascii="Abadi" w:hAnsi="Abadi" w:cs="*Arial-Italic-10078-Identity-H"/>
          <w:i/>
          <w:iCs/>
          <w:color w:val="212122"/>
          <w:sz w:val="21"/>
          <w:szCs w:val="21"/>
        </w:rPr>
        <w:t xml:space="preserve">artesanía es un </w:t>
      </w:r>
      <w:r w:rsidRPr="004471E0">
        <w:rPr>
          <w:rFonts w:ascii="Abadi" w:hAnsi="Abadi" w:cs="*Verdana-10079-Identity-H"/>
          <w:i/>
          <w:iCs/>
          <w:color w:val="212122"/>
          <w:sz w:val="21"/>
          <w:szCs w:val="21"/>
        </w:rPr>
        <w:t xml:space="preserve">término </w:t>
      </w:r>
      <w:r w:rsidRPr="004471E0">
        <w:rPr>
          <w:rFonts w:ascii="Abadi" w:hAnsi="Abadi" w:cs="*Arial-Italic-10078-Identity-H"/>
          <w:i/>
          <w:iCs/>
          <w:color w:val="212122"/>
          <w:sz w:val="21"/>
          <w:szCs w:val="21"/>
        </w:rPr>
        <w:t xml:space="preserve">medio entre el diseño y el arte, para otros es una continuación de </w:t>
      </w:r>
      <w:r w:rsidRPr="004471E0">
        <w:rPr>
          <w:rFonts w:ascii="Abadi" w:hAnsi="Abadi" w:cs="*Verdana-10079-Identity-H"/>
          <w:i/>
          <w:iCs/>
          <w:color w:val="212122"/>
          <w:sz w:val="21"/>
          <w:szCs w:val="21"/>
        </w:rPr>
        <w:t xml:space="preserve">los oficios </w:t>
      </w:r>
      <w:r w:rsidRPr="004471E0">
        <w:rPr>
          <w:rFonts w:ascii="Abadi" w:hAnsi="Abadi" w:cs="*Arial-Italic-10078-Identity-H"/>
          <w:i/>
          <w:iCs/>
          <w:color w:val="212122"/>
          <w:sz w:val="21"/>
          <w:szCs w:val="21"/>
        </w:rPr>
        <w:t xml:space="preserve">tradicionales, en los que </w:t>
      </w:r>
      <w:r w:rsidRPr="004471E0">
        <w:rPr>
          <w:rFonts w:ascii="Abadi" w:hAnsi="Abadi" w:cs="*Verdana-10079-Identity-H"/>
          <w:i/>
          <w:iCs/>
          <w:color w:val="212122"/>
          <w:sz w:val="21"/>
          <w:szCs w:val="21"/>
        </w:rPr>
        <w:t>l</w:t>
      </w:r>
      <w:r>
        <w:rPr>
          <w:rFonts w:ascii="Abadi" w:hAnsi="Abadi" w:cs="*Verdana-10079-Identity-H"/>
          <w:i/>
          <w:iCs/>
          <w:color w:val="212122"/>
          <w:sz w:val="21"/>
          <w:szCs w:val="21"/>
        </w:rPr>
        <w:t>a</w:t>
      </w:r>
      <w:r w:rsidRPr="004471E0">
        <w:rPr>
          <w:rFonts w:ascii="Abadi" w:hAnsi="Abadi" w:cs="*Verdana-10079-Identity-H"/>
          <w:i/>
          <w:iCs/>
          <w:color w:val="212122"/>
          <w:sz w:val="21"/>
          <w:szCs w:val="21"/>
        </w:rPr>
        <w:t xml:space="preserve"> </w:t>
      </w:r>
      <w:r w:rsidRPr="004471E0">
        <w:rPr>
          <w:rFonts w:ascii="Abadi" w:hAnsi="Abadi" w:cs="*Arial-Italic-10078-Identity-H"/>
          <w:i/>
          <w:iCs/>
          <w:color w:val="212122"/>
          <w:sz w:val="21"/>
          <w:szCs w:val="21"/>
        </w:rPr>
        <w:t>estética tiene un p</w:t>
      </w:r>
      <w:r>
        <w:rPr>
          <w:rFonts w:ascii="Abadi" w:hAnsi="Abadi" w:cs="*Arial-Italic-10078-Identity-H"/>
          <w:i/>
          <w:iCs/>
          <w:color w:val="212122"/>
          <w:sz w:val="21"/>
          <w:szCs w:val="21"/>
        </w:rPr>
        <w:t>a</w:t>
      </w:r>
      <w:r w:rsidRPr="004471E0">
        <w:rPr>
          <w:rFonts w:ascii="Abadi" w:hAnsi="Abadi" w:cs="*Arial-Italic-10078-Identity-H"/>
          <w:i/>
          <w:iCs/>
          <w:color w:val="212122"/>
          <w:sz w:val="21"/>
          <w:szCs w:val="21"/>
        </w:rPr>
        <w:t>pe</w:t>
      </w:r>
      <w:r>
        <w:rPr>
          <w:rFonts w:ascii="Abadi" w:hAnsi="Abadi" w:cs="*Arial-Italic-10078-Identity-H"/>
          <w:i/>
          <w:iCs/>
          <w:color w:val="212122"/>
          <w:sz w:val="21"/>
          <w:szCs w:val="21"/>
        </w:rPr>
        <w:t>l</w:t>
      </w:r>
      <w:r w:rsidRPr="004471E0">
        <w:rPr>
          <w:rFonts w:ascii="Abadi" w:hAnsi="Abadi" w:cs="*Arial-Italic-10078-Identity-H"/>
          <w:i/>
          <w:iCs/>
          <w:color w:val="212122"/>
          <w:sz w:val="21"/>
          <w:szCs w:val="21"/>
        </w:rPr>
        <w:t xml:space="preserve"> dest</w:t>
      </w:r>
      <w:r>
        <w:rPr>
          <w:rFonts w:ascii="Abadi" w:hAnsi="Abadi" w:cs="*Arial-Italic-10078-Identity-H"/>
          <w:i/>
          <w:iCs/>
          <w:color w:val="212122"/>
          <w:sz w:val="21"/>
          <w:szCs w:val="21"/>
        </w:rPr>
        <w:t>a</w:t>
      </w:r>
      <w:r w:rsidRPr="004471E0">
        <w:rPr>
          <w:rFonts w:ascii="Abadi" w:hAnsi="Abadi" w:cs="*Arial-Italic-10078-Identity-H"/>
          <w:i/>
          <w:iCs/>
          <w:color w:val="212122"/>
          <w:sz w:val="21"/>
          <w:szCs w:val="21"/>
        </w:rPr>
        <w:t>cado pero el</w:t>
      </w:r>
      <w:r>
        <w:rPr>
          <w:rFonts w:ascii="Abadi" w:hAnsi="Abadi" w:cs="*Arial-Italic-10078-Identity-H"/>
          <w:i/>
          <w:iCs/>
          <w:color w:val="212122"/>
          <w:sz w:val="21"/>
          <w:szCs w:val="21"/>
        </w:rPr>
        <w:t xml:space="preserve"> </w:t>
      </w:r>
      <w:r w:rsidRPr="004471E0">
        <w:rPr>
          <w:rFonts w:ascii="Abadi" w:hAnsi="Abadi" w:cs="*Arial-Italic-10078-Identity-H"/>
          <w:i/>
          <w:iCs/>
          <w:color w:val="212122"/>
          <w:sz w:val="21"/>
          <w:szCs w:val="21"/>
        </w:rPr>
        <w:t>sentido práctico del objeto elaborado es también importante.</w:t>
      </w:r>
    </w:p>
    <w:p w14:paraId="2E948063" w14:textId="77777777" w:rsidR="00A72A7F" w:rsidRPr="004471E0" w:rsidRDefault="00A72A7F" w:rsidP="00A72A7F">
      <w:pPr>
        <w:autoSpaceDE w:val="0"/>
        <w:autoSpaceDN w:val="0"/>
        <w:adjustRightInd w:val="0"/>
        <w:ind w:left="709"/>
        <w:jc w:val="both"/>
        <w:rPr>
          <w:rFonts w:ascii="Abadi" w:hAnsi="Abadi" w:cs="*Arial-Italic-10078-Identity-H"/>
          <w:i/>
          <w:iCs/>
          <w:color w:val="212122"/>
          <w:sz w:val="21"/>
          <w:szCs w:val="21"/>
        </w:rPr>
      </w:pPr>
    </w:p>
    <w:p w14:paraId="120E2F48" w14:textId="77777777" w:rsidR="00A72A7F" w:rsidRPr="004471E0" w:rsidRDefault="00A72A7F" w:rsidP="00A72A7F">
      <w:pPr>
        <w:autoSpaceDE w:val="0"/>
        <w:autoSpaceDN w:val="0"/>
        <w:adjustRightInd w:val="0"/>
        <w:ind w:left="709" w:firstLine="708"/>
        <w:jc w:val="both"/>
        <w:rPr>
          <w:rFonts w:ascii="Abadi" w:hAnsi="Abadi" w:cs="*Arial-Italic-10078-Identity-H"/>
          <w:i/>
          <w:iCs/>
          <w:color w:val="212123"/>
          <w:sz w:val="21"/>
          <w:szCs w:val="21"/>
        </w:rPr>
      </w:pPr>
      <w:r w:rsidRPr="004471E0">
        <w:rPr>
          <w:rFonts w:ascii="Abadi" w:hAnsi="Abadi" w:cs="*Arial-Italic-10078-Identity-H"/>
          <w:i/>
          <w:iCs/>
          <w:color w:val="212123"/>
          <w:sz w:val="21"/>
          <w:szCs w:val="21"/>
        </w:rPr>
        <w:t xml:space="preserve">También quedan algunos artesanos que se dedican </w:t>
      </w:r>
      <w:r w:rsidRPr="004471E0">
        <w:rPr>
          <w:rFonts w:ascii="Abadi" w:hAnsi="Abadi" w:cs="*Verdana-10079-Identity-H"/>
          <w:i/>
          <w:iCs/>
          <w:color w:val="212123"/>
          <w:sz w:val="21"/>
          <w:szCs w:val="21"/>
        </w:rPr>
        <w:t>o los llama</w:t>
      </w:r>
      <w:r w:rsidRPr="004471E0">
        <w:rPr>
          <w:rFonts w:ascii="Abadi" w:hAnsi="Abadi" w:cs="*Arial-Italic-10078-Identity-H"/>
          <w:i/>
          <w:iCs/>
          <w:color w:val="212123"/>
          <w:sz w:val="21"/>
          <w:szCs w:val="21"/>
        </w:rPr>
        <w:t>dos «oficios tradicionales</w:t>
      </w:r>
      <w:r>
        <w:rPr>
          <w:rFonts w:ascii="Abadi" w:hAnsi="Abadi" w:cs="*Arial-Italic-10078-Identity-H"/>
          <w:i/>
          <w:iCs/>
          <w:color w:val="212123"/>
          <w:sz w:val="21"/>
          <w:szCs w:val="21"/>
        </w:rPr>
        <w:t>»</w:t>
      </w:r>
      <w:r w:rsidRPr="004471E0">
        <w:rPr>
          <w:rFonts w:ascii="Abadi" w:hAnsi="Abadi" w:cs="*Arial-Italic-10078-Identity-H"/>
          <w:i/>
          <w:iCs/>
          <w:color w:val="212123"/>
          <w:sz w:val="21"/>
          <w:szCs w:val="21"/>
        </w:rPr>
        <w:t>, p</w:t>
      </w:r>
      <w:r>
        <w:rPr>
          <w:rFonts w:ascii="Abadi" w:hAnsi="Abadi" w:cs="*Arial-Italic-10078-Identity-H"/>
          <w:i/>
          <w:iCs/>
          <w:color w:val="212123"/>
          <w:sz w:val="21"/>
          <w:szCs w:val="21"/>
        </w:rPr>
        <w:t>ero</w:t>
      </w:r>
      <w:r w:rsidRPr="004471E0">
        <w:rPr>
          <w:rFonts w:ascii="Abadi" w:hAnsi="Abadi" w:cs="*Arial-Italic-10078-Identity-H"/>
          <w:i/>
          <w:iCs/>
          <w:color w:val="212123"/>
          <w:sz w:val="21"/>
          <w:szCs w:val="21"/>
        </w:rPr>
        <w:t xml:space="preserve"> c</w:t>
      </w:r>
      <w:r>
        <w:rPr>
          <w:rFonts w:ascii="Abadi" w:hAnsi="Abadi" w:cs="*Arial-Italic-10078-Identity-H"/>
          <w:i/>
          <w:iCs/>
          <w:color w:val="212123"/>
          <w:sz w:val="21"/>
          <w:szCs w:val="21"/>
        </w:rPr>
        <w:t>ada</w:t>
      </w:r>
      <w:r w:rsidRPr="004471E0">
        <w:rPr>
          <w:rFonts w:ascii="Abadi" w:hAnsi="Abadi" w:cs="*Arial-Italic-10078-Identity-H"/>
          <w:i/>
          <w:iCs/>
          <w:color w:val="212123"/>
          <w:sz w:val="21"/>
          <w:szCs w:val="21"/>
        </w:rPr>
        <w:t xml:space="preserve"> vez </w:t>
      </w:r>
      <w:r w:rsidRPr="004471E0">
        <w:rPr>
          <w:rFonts w:ascii="Abadi" w:hAnsi="Abadi" w:cs="*Verdana-10079-Identity-H"/>
          <w:i/>
          <w:iCs/>
          <w:color w:val="212123"/>
          <w:sz w:val="21"/>
          <w:szCs w:val="21"/>
        </w:rPr>
        <w:t xml:space="preserve">son </w:t>
      </w:r>
      <w:r w:rsidRPr="004471E0">
        <w:rPr>
          <w:rFonts w:ascii="Abadi" w:hAnsi="Abadi" w:cs="*Arial-Italic-10078-Identity-H"/>
          <w:i/>
          <w:iCs/>
          <w:color w:val="212123"/>
          <w:sz w:val="21"/>
          <w:szCs w:val="21"/>
        </w:rPr>
        <w:t xml:space="preserve">menos, uno de </w:t>
      </w:r>
      <w:r w:rsidRPr="004471E0">
        <w:rPr>
          <w:rFonts w:ascii="Abadi" w:hAnsi="Abadi" w:cs="*Verdana-10079-Identity-H"/>
          <w:i/>
          <w:iCs/>
          <w:color w:val="212123"/>
          <w:sz w:val="21"/>
          <w:szCs w:val="21"/>
        </w:rPr>
        <w:t xml:space="preserve">los </w:t>
      </w:r>
      <w:r w:rsidRPr="004471E0">
        <w:rPr>
          <w:rFonts w:ascii="Abadi" w:hAnsi="Abadi" w:cs="*Arial-Italic-10078-Identity-H"/>
          <w:i/>
          <w:iCs/>
          <w:color w:val="212123"/>
          <w:sz w:val="21"/>
          <w:szCs w:val="21"/>
        </w:rPr>
        <w:t>principales problemas de la artesanía es l</w:t>
      </w:r>
      <w:r>
        <w:rPr>
          <w:rFonts w:ascii="Abadi" w:hAnsi="Abadi" w:cs="*Arial-Italic-10078-Identity-H"/>
          <w:i/>
          <w:iCs/>
          <w:color w:val="212123"/>
          <w:sz w:val="21"/>
          <w:szCs w:val="21"/>
        </w:rPr>
        <w:t>a</w:t>
      </w:r>
      <w:r w:rsidRPr="004471E0">
        <w:rPr>
          <w:rFonts w:ascii="Abadi" w:hAnsi="Abadi" w:cs="*Arial-Italic-10078-Identity-H"/>
          <w:i/>
          <w:iCs/>
          <w:color w:val="212123"/>
          <w:sz w:val="21"/>
          <w:szCs w:val="21"/>
        </w:rPr>
        <w:t xml:space="preserve"> competencia con los productos emanados de procesos industria</w:t>
      </w:r>
      <w:r>
        <w:rPr>
          <w:rFonts w:ascii="Abadi" w:hAnsi="Abadi" w:cs="*Arial-Italic-10078-Identity-H"/>
          <w:i/>
          <w:iCs/>
          <w:color w:val="212123"/>
          <w:sz w:val="21"/>
          <w:szCs w:val="21"/>
        </w:rPr>
        <w:t>les</w:t>
      </w:r>
      <w:r w:rsidRPr="004471E0">
        <w:rPr>
          <w:rFonts w:ascii="Abadi" w:hAnsi="Abadi" w:cs="*Arial-Italic-10078-Identity-H"/>
          <w:i/>
          <w:iCs/>
          <w:color w:val="212123"/>
          <w:sz w:val="21"/>
          <w:szCs w:val="21"/>
        </w:rPr>
        <w:t xml:space="preserve"> de bajo costo, </w:t>
      </w:r>
      <w:r w:rsidRPr="004471E0">
        <w:rPr>
          <w:rFonts w:ascii="Abadi" w:hAnsi="Abadi" w:cs="*Verdana-10079-Identity-H"/>
          <w:i/>
          <w:iCs/>
          <w:color w:val="212123"/>
          <w:sz w:val="21"/>
          <w:szCs w:val="21"/>
        </w:rPr>
        <w:t xml:space="preserve">con </w:t>
      </w:r>
      <w:r w:rsidRPr="004471E0">
        <w:rPr>
          <w:rFonts w:ascii="Abadi" w:hAnsi="Abadi" w:cs="*Arial-Italic-10078-Identity-H"/>
          <w:i/>
          <w:iCs/>
          <w:color w:val="212123"/>
          <w:sz w:val="21"/>
          <w:szCs w:val="21"/>
        </w:rPr>
        <w:t xml:space="preserve">apariencia </w:t>
      </w:r>
      <w:r w:rsidRPr="004471E0">
        <w:rPr>
          <w:rFonts w:ascii="Abadi" w:hAnsi="Abadi" w:cs="*Verdana-10079-Identity-H"/>
          <w:i/>
          <w:iCs/>
          <w:color w:val="212123"/>
          <w:sz w:val="21"/>
          <w:szCs w:val="21"/>
        </w:rPr>
        <w:t xml:space="preserve">similar </w:t>
      </w:r>
      <w:r>
        <w:rPr>
          <w:rFonts w:ascii="Abadi" w:hAnsi="Abadi" w:cs="*Times New Roman-10074-Identity"/>
          <w:i/>
          <w:iCs/>
          <w:color w:val="212123"/>
          <w:sz w:val="21"/>
          <w:szCs w:val="21"/>
        </w:rPr>
        <w:t>a</w:t>
      </w:r>
      <w:r w:rsidRPr="004471E0">
        <w:rPr>
          <w:rFonts w:ascii="Abadi" w:hAnsi="Abadi" w:cs="*Times New Roman-10074-Identity"/>
          <w:i/>
          <w:iCs/>
          <w:color w:val="212123"/>
          <w:sz w:val="21"/>
          <w:szCs w:val="21"/>
        </w:rPr>
        <w:t xml:space="preserve"> </w:t>
      </w:r>
      <w:r w:rsidRPr="004471E0">
        <w:rPr>
          <w:rFonts w:ascii="Abadi" w:hAnsi="Abadi" w:cs="*Arial-Italic-10078-Identity-H"/>
          <w:i/>
          <w:iCs/>
          <w:color w:val="212123"/>
          <w:sz w:val="21"/>
          <w:szCs w:val="21"/>
        </w:rPr>
        <w:t xml:space="preserve">los productos artesanos, </w:t>
      </w:r>
      <w:r w:rsidRPr="004471E0">
        <w:rPr>
          <w:rFonts w:ascii="Abadi" w:hAnsi="Abadi" w:cs="*Verdana-10079-Identity-H"/>
          <w:i/>
          <w:iCs/>
          <w:color w:val="212123"/>
          <w:sz w:val="21"/>
          <w:szCs w:val="21"/>
        </w:rPr>
        <w:t xml:space="preserve">pero con </w:t>
      </w:r>
      <w:r w:rsidRPr="004471E0">
        <w:rPr>
          <w:rFonts w:ascii="Abadi" w:hAnsi="Abadi" w:cs="*Arial-Italic-10078-Identity-H"/>
          <w:i/>
          <w:iCs/>
          <w:color w:val="212123"/>
          <w:sz w:val="21"/>
          <w:szCs w:val="21"/>
        </w:rPr>
        <w:t>menor precio y calidad.</w:t>
      </w:r>
    </w:p>
    <w:p w14:paraId="4538A46A" w14:textId="77777777" w:rsidR="00A72A7F" w:rsidRPr="004471E0" w:rsidRDefault="00A72A7F" w:rsidP="00A72A7F">
      <w:pPr>
        <w:autoSpaceDE w:val="0"/>
        <w:autoSpaceDN w:val="0"/>
        <w:adjustRightInd w:val="0"/>
        <w:ind w:left="709"/>
        <w:jc w:val="both"/>
        <w:rPr>
          <w:rFonts w:ascii="Abadi" w:hAnsi="Abadi" w:cs="*Arial-Italic-10078-Identity-H"/>
          <w:i/>
          <w:iCs/>
          <w:color w:val="212123"/>
          <w:sz w:val="21"/>
          <w:szCs w:val="21"/>
        </w:rPr>
      </w:pPr>
    </w:p>
    <w:p w14:paraId="29084662" w14:textId="77777777" w:rsidR="00A72A7F" w:rsidRPr="004471E0" w:rsidRDefault="00A72A7F" w:rsidP="00A72A7F">
      <w:pPr>
        <w:autoSpaceDE w:val="0"/>
        <w:autoSpaceDN w:val="0"/>
        <w:adjustRightInd w:val="0"/>
        <w:ind w:left="709" w:firstLine="708"/>
        <w:jc w:val="both"/>
        <w:rPr>
          <w:rFonts w:ascii="Abadi" w:hAnsi="Abadi" w:cs="*Arial-Italic-10078-Identity-H"/>
          <w:i/>
          <w:iCs/>
          <w:color w:val="212022"/>
          <w:sz w:val="21"/>
          <w:szCs w:val="21"/>
        </w:rPr>
      </w:pPr>
      <w:r w:rsidRPr="004471E0">
        <w:rPr>
          <w:rFonts w:ascii="Abadi" w:hAnsi="Abadi" w:cs="*Arial-Italic-10078-Identity-H"/>
          <w:i/>
          <w:iCs/>
          <w:color w:val="212022"/>
          <w:sz w:val="21"/>
          <w:szCs w:val="21"/>
        </w:rPr>
        <w:t>Otra dificultad p</w:t>
      </w:r>
      <w:r>
        <w:rPr>
          <w:rFonts w:ascii="Abadi" w:hAnsi="Abadi" w:cs="*Arial-Italic-10078-Identity-H"/>
          <w:i/>
          <w:iCs/>
          <w:color w:val="212022"/>
          <w:sz w:val="21"/>
          <w:szCs w:val="21"/>
        </w:rPr>
        <w:t>ara l</w:t>
      </w:r>
      <w:r w:rsidRPr="004471E0">
        <w:rPr>
          <w:rFonts w:ascii="Abadi" w:hAnsi="Abadi" w:cs="*Arial-Italic-10078-Identity-H"/>
          <w:i/>
          <w:iCs/>
          <w:color w:val="212022"/>
          <w:sz w:val="21"/>
          <w:szCs w:val="21"/>
        </w:rPr>
        <w:t xml:space="preserve">os artesanos es </w:t>
      </w:r>
      <w:r w:rsidRPr="004471E0">
        <w:rPr>
          <w:rFonts w:ascii="Abadi" w:hAnsi="Abadi" w:cs="*Verdana-10079-Identity-H"/>
          <w:i/>
          <w:iCs/>
          <w:color w:val="212022"/>
          <w:sz w:val="21"/>
          <w:szCs w:val="21"/>
        </w:rPr>
        <w:t>l</w:t>
      </w:r>
      <w:r>
        <w:rPr>
          <w:rFonts w:ascii="Abadi" w:hAnsi="Abadi" w:cs="*Verdana-10079-Identity-H"/>
          <w:i/>
          <w:iCs/>
          <w:color w:val="212022"/>
          <w:sz w:val="21"/>
          <w:szCs w:val="21"/>
        </w:rPr>
        <w:t>a</w:t>
      </w:r>
      <w:r w:rsidRPr="004471E0">
        <w:rPr>
          <w:rFonts w:ascii="Abadi" w:hAnsi="Abadi" w:cs="*Verdana-10079-Identity-H"/>
          <w:i/>
          <w:iCs/>
          <w:color w:val="212022"/>
          <w:sz w:val="21"/>
          <w:szCs w:val="21"/>
        </w:rPr>
        <w:t xml:space="preserve"> </w:t>
      </w:r>
      <w:r w:rsidRPr="004471E0">
        <w:rPr>
          <w:rFonts w:ascii="Abadi" w:hAnsi="Abadi" w:cs="*Arial-Italic-10078-Identity-H"/>
          <w:i/>
          <w:iCs/>
          <w:color w:val="212022"/>
          <w:sz w:val="21"/>
          <w:szCs w:val="21"/>
        </w:rPr>
        <w:t>form</w:t>
      </w:r>
      <w:r>
        <w:rPr>
          <w:rFonts w:ascii="Abadi" w:hAnsi="Abadi" w:cs="*Arial-Italic-10078-Identity-H"/>
          <w:i/>
          <w:iCs/>
          <w:color w:val="212022"/>
          <w:sz w:val="21"/>
          <w:szCs w:val="21"/>
        </w:rPr>
        <w:t>a</w:t>
      </w:r>
      <w:r w:rsidRPr="004471E0">
        <w:rPr>
          <w:rFonts w:ascii="Abadi" w:hAnsi="Abadi" w:cs="*Arial-Italic-10078-Identity-H"/>
          <w:i/>
          <w:iCs/>
          <w:color w:val="212022"/>
          <w:sz w:val="21"/>
          <w:szCs w:val="21"/>
        </w:rPr>
        <w:t xml:space="preserve"> de comercializar sus productos, ya que es una característica de </w:t>
      </w:r>
      <w:r w:rsidRPr="004471E0">
        <w:rPr>
          <w:rFonts w:ascii="Abadi" w:hAnsi="Abadi" w:cs="*Verdana-10079-Identity-H"/>
          <w:i/>
          <w:iCs/>
          <w:color w:val="212022"/>
          <w:sz w:val="21"/>
          <w:szCs w:val="21"/>
        </w:rPr>
        <w:t xml:space="preserve">la </w:t>
      </w:r>
      <w:r w:rsidRPr="004471E0">
        <w:rPr>
          <w:rFonts w:ascii="Abadi" w:hAnsi="Abadi" w:cs="*Arial-Italic-10078-Identity-H"/>
          <w:i/>
          <w:iCs/>
          <w:color w:val="212022"/>
          <w:sz w:val="21"/>
          <w:szCs w:val="21"/>
        </w:rPr>
        <w:t xml:space="preserve">artesanía, que se realizó en talleres individuales </w:t>
      </w:r>
      <w:r w:rsidRPr="004471E0">
        <w:rPr>
          <w:rFonts w:ascii="Abadi" w:hAnsi="Abadi" w:cs="*Calibri-10075-Identity-H"/>
          <w:i/>
          <w:iCs/>
          <w:color w:val="212022"/>
          <w:sz w:val="21"/>
          <w:szCs w:val="21"/>
        </w:rPr>
        <w:t xml:space="preserve">o </w:t>
      </w:r>
      <w:r w:rsidRPr="004471E0">
        <w:rPr>
          <w:rFonts w:ascii="Abadi" w:hAnsi="Abadi" w:cs="*Arial-Italic-10078-Identity-H"/>
          <w:i/>
          <w:iCs/>
          <w:color w:val="212022"/>
          <w:sz w:val="21"/>
          <w:szCs w:val="21"/>
        </w:rPr>
        <w:t xml:space="preserve">de pocas personas, </w:t>
      </w:r>
      <w:r w:rsidRPr="004471E0">
        <w:rPr>
          <w:rFonts w:ascii="Abadi" w:hAnsi="Abadi" w:cs="*Verdana-10079-Identity-H"/>
          <w:i/>
          <w:iCs/>
          <w:color w:val="212022"/>
          <w:sz w:val="21"/>
          <w:szCs w:val="21"/>
        </w:rPr>
        <w:t xml:space="preserve">con </w:t>
      </w:r>
      <w:r w:rsidRPr="004471E0">
        <w:rPr>
          <w:rFonts w:ascii="Abadi" w:hAnsi="Abadi" w:cs="*Arial-Italic-10078-Identity-H"/>
          <w:i/>
          <w:iCs/>
          <w:color w:val="212022"/>
          <w:sz w:val="21"/>
          <w:szCs w:val="21"/>
        </w:rPr>
        <w:t xml:space="preserve">poca capacidad </w:t>
      </w:r>
      <w:r w:rsidRPr="004471E0">
        <w:rPr>
          <w:rFonts w:ascii="Abadi" w:hAnsi="Abadi" w:cs="*Verdana-10079-Identity-H"/>
          <w:i/>
          <w:iCs/>
          <w:color w:val="212022"/>
          <w:sz w:val="21"/>
          <w:szCs w:val="21"/>
        </w:rPr>
        <w:t xml:space="preserve">para </w:t>
      </w:r>
      <w:r w:rsidRPr="004471E0">
        <w:rPr>
          <w:rFonts w:ascii="Abadi" w:hAnsi="Abadi" w:cs="*Arial-Italic-10078-Identity-H"/>
          <w:i/>
          <w:iCs/>
          <w:color w:val="212022"/>
          <w:sz w:val="21"/>
          <w:szCs w:val="21"/>
        </w:rPr>
        <w:t>llegar al mercado.</w:t>
      </w:r>
    </w:p>
    <w:p w14:paraId="3D80E934" w14:textId="77777777" w:rsidR="00A72A7F" w:rsidRPr="004471E0" w:rsidRDefault="00A72A7F" w:rsidP="00A72A7F">
      <w:pPr>
        <w:autoSpaceDE w:val="0"/>
        <w:autoSpaceDN w:val="0"/>
        <w:adjustRightInd w:val="0"/>
        <w:ind w:left="709"/>
        <w:jc w:val="both"/>
        <w:rPr>
          <w:rFonts w:ascii="Abadi" w:hAnsi="Abadi" w:cs="*Arial-Italic-10078-Identity-H"/>
          <w:i/>
          <w:iCs/>
          <w:color w:val="212022"/>
          <w:sz w:val="21"/>
          <w:szCs w:val="21"/>
        </w:rPr>
      </w:pPr>
    </w:p>
    <w:p w14:paraId="157F544C" w14:textId="77777777" w:rsidR="00A72A7F" w:rsidRPr="004471E0" w:rsidRDefault="00A72A7F" w:rsidP="00A72A7F">
      <w:pPr>
        <w:autoSpaceDE w:val="0"/>
        <w:autoSpaceDN w:val="0"/>
        <w:adjustRightInd w:val="0"/>
        <w:ind w:left="709"/>
        <w:jc w:val="both"/>
        <w:rPr>
          <w:rFonts w:ascii="Abadi" w:hAnsi="Abadi" w:cs="*Microsoft Sans Serif-Italic-96"/>
          <w:i/>
          <w:iCs/>
          <w:color w:val="202022"/>
          <w:sz w:val="21"/>
          <w:szCs w:val="21"/>
        </w:rPr>
      </w:pPr>
      <w:r w:rsidRPr="004471E0">
        <w:rPr>
          <w:rFonts w:ascii="Abadi" w:hAnsi="Abadi" w:cs="*Verdana-10079-Identity-H"/>
          <w:i/>
          <w:iCs/>
          <w:color w:val="212122"/>
          <w:sz w:val="21"/>
          <w:szCs w:val="21"/>
        </w:rPr>
        <w:t xml:space="preserve">Somos </w:t>
      </w:r>
      <w:r w:rsidRPr="004471E0">
        <w:rPr>
          <w:rFonts w:ascii="Abadi" w:hAnsi="Abadi" w:cs="*Arial-Italic-10078-Identity-H"/>
          <w:i/>
          <w:iCs/>
          <w:color w:val="212122"/>
          <w:sz w:val="21"/>
          <w:szCs w:val="21"/>
        </w:rPr>
        <w:t xml:space="preserve">coincidentes en atribuir </w:t>
      </w:r>
      <w:r w:rsidRPr="004471E0">
        <w:rPr>
          <w:rFonts w:ascii="Abadi" w:hAnsi="Abadi" w:cs="*Verdana-10079-Identity-H"/>
          <w:i/>
          <w:iCs/>
          <w:color w:val="212122"/>
          <w:sz w:val="21"/>
          <w:szCs w:val="21"/>
        </w:rPr>
        <w:t xml:space="preserve">gran </w:t>
      </w:r>
      <w:r w:rsidRPr="004471E0">
        <w:rPr>
          <w:rFonts w:ascii="Abadi" w:hAnsi="Abadi" w:cs="*Arial-Italic-10078-Identity-H"/>
          <w:i/>
          <w:iCs/>
          <w:color w:val="212122"/>
          <w:sz w:val="21"/>
          <w:szCs w:val="21"/>
        </w:rPr>
        <w:t xml:space="preserve">valor histórico y cultural </w:t>
      </w:r>
      <w:r w:rsidRPr="004471E0">
        <w:rPr>
          <w:rFonts w:ascii="Abadi" w:hAnsi="Abadi" w:cs="*Times New Roman-10074-Identity"/>
          <w:i/>
          <w:iCs/>
          <w:color w:val="212122"/>
          <w:sz w:val="21"/>
          <w:szCs w:val="21"/>
        </w:rPr>
        <w:t xml:space="preserve">a </w:t>
      </w:r>
      <w:r w:rsidRPr="004471E0">
        <w:rPr>
          <w:rFonts w:ascii="Abadi" w:hAnsi="Abadi" w:cs="*Arial-Italic-10078-Identity-H"/>
          <w:i/>
          <w:iCs/>
          <w:color w:val="212122"/>
          <w:sz w:val="21"/>
          <w:szCs w:val="21"/>
        </w:rPr>
        <w:t xml:space="preserve">las manifestaciones esencialmente artesonas que sobreviven en el mundo actual, en </w:t>
      </w:r>
      <w:r w:rsidRPr="004471E0">
        <w:rPr>
          <w:rFonts w:ascii="Abadi" w:hAnsi="Abadi" w:cs="*Verdana-10079-Identity-H"/>
          <w:i/>
          <w:iCs/>
          <w:color w:val="212122"/>
          <w:sz w:val="21"/>
          <w:szCs w:val="21"/>
        </w:rPr>
        <w:t xml:space="preserve">rozón a </w:t>
      </w:r>
      <w:r w:rsidRPr="004471E0">
        <w:rPr>
          <w:rFonts w:ascii="Abadi" w:hAnsi="Abadi" w:cs="*Arial-Italic-10078-Identity-H"/>
          <w:i/>
          <w:iCs/>
          <w:color w:val="212122"/>
          <w:sz w:val="21"/>
          <w:szCs w:val="21"/>
        </w:rPr>
        <w:t>que constituyen el reflejo material y</w:t>
      </w:r>
      <w:r>
        <w:rPr>
          <w:rFonts w:ascii="Abadi" w:hAnsi="Abadi" w:cs="*Arial-Italic-10078-Identity-H"/>
          <w:i/>
          <w:iCs/>
          <w:color w:val="212122"/>
          <w:sz w:val="21"/>
          <w:szCs w:val="21"/>
        </w:rPr>
        <w:t xml:space="preserve"> </w:t>
      </w:r>
      <w:r w:rsidRPr="004471E0">
        <w:rPr>
          <w:rFonts w:ascii="Abadi" w:hAnsi="Abadi" w:cs="*Microsoft Sans Serif-Italic-96"/>
          <w:i/>
          <w:iCs/>
          <w:color w:val="202022"/>
          <w:sz w:val="21"/>
          <w:szCs w:val="21"/>
        </w:rPr>
        <w:t xml:space="preserve">anónimo de las culturas que, </w:t>
      </w:r>
      <w:r w:rsidRPr="004471E0">
        <w:rPr>
          <w:rFonts w:ascii="Abadi" w:hAnsi="Abadi" w:cs="*Times New Roman-9618-Identity-"/>
          <w:i/>
          <w:iCs/>
          <w:color w:val="202022"/>
          <w:sz w:val="21"/>
          <w:szCs w:val="21"/>
        </w:rPr>
        <w:t xml:space="preserve">a </w:t>
      </w:r>
      <w:r w:rsidRPr="004471E0">
        <w:rPr>
          <w:rFonts w:ascii="Abadi" w:hAnsi="Abadi" w:cs="*Microsoft Sans Serif-Italic-96"/>
          <w:i/>
          <w:iCs/>
          <w:color w:val="202022"/>
          <w:sz w:val="21"/>
          <w:szCs w:val="21"/>
        </w:rPr>
        <w:t>lo largo de la historia, han ido forjando la personalidad diferenciada de los pueblos, pero las glosas grandilocuentes que tradicionalmente han anegado los estudios</w:t>
      </w:r>
      <w:r>
        <w:rPr>
          <w:rFonts w:ascii="Abadi" w:hAnsi="Abadi" w:cs="*Microsoft Sans Serif-Italic-96"/>
          <w:i/>
          <w:iCs/>
          <w:color w:val="202022"/>
          <w:sz w:val="21"/>
          <w:szCs w:val="21"/>
        </w:rPr>
        <w:t xml:space="preserve"> </w:t>
      </w:r>
      <w:r w:rsidRPr="004471E0">
        <w:rPr>
          <w:rFonts w:ascii="Abadi" w:hAnsi="Abadi" w:cs="*Microsoft Sans Serif-Italic-96"/>
          <w:i/>
          <w:iCs/>
          <w:color w:val="202022"/>
          <w:sz w:val="21"/>
          <w:szCs w:val="21"/>
        </w:rPr>
        <w:t xml:space="preserve">sobre las labores artesanas </w:t>
      </w:r>
      <w:r w:rsidRPr="004471E0">
        <w:rPr>
          <w:rFonts w:ascii="Abadi" w:hAnsi="Abadi" w:cs="*Verdana-9620-Identity-H"/>
          <w:i/>
          <w:iCs/>
          <w:color w:val="202022"/>
          <w:sz w:val="21"/>
          <w:szCs w:val="21"/>
        </w:rPr>
        <w:t xml:space="preserve">han </w:t>
      </w:r>
      <w:r w:rsidRPr="004471E0">
        <w:rPr>
          <w:rFonts w:ascii="Abadi" w:hAnsi="Abadi" w:cs="*Microsoft Sans Serif-Italic-96"/>
          <w:i/>
          <w:iCs/>
          <w:color w:val="202022"/>
          <w:sz w:val="21"/>
          <w:szCs w:val="21"/>
        </w:rPr>
        <w:t xml:space="preserve">olvidado, casi siempre, reparar en la importancia </w:t>
      </w:r>
      <w:r w:rsidRPr="004471E0">
        <w:rPr>
          <w:rFonts w:ascii="Abadi" w:hAnsi="Abadi" w:cs="*Verdana-9620-Identity-H"/>
          <w:i/>
          <w:iCs/>
          <w:color w:val="202022"/>
          <w:sz w:val="21"/>
          <w:szCs w:val="21"/>
        </w:rPr>
        <w:t xml:space="preserve">socioeconómica </w:t>
      </w:r>
      <w:r w:rsidRPr="004471E0">
        <w:rPr>
          <w:rFonts w:ascii="Abadi" w:hAnsi="Abadi" w:cs="*Microsoft Sans Serif-Italic-96"/>
          <w:i/>
          <w:iCs/>
          <w:color w:val="202022"/>
          <w:sz w:val="21"/>
          <w:szCs w:val="21"/>
        </w:rPr>
        <w:t xml:space="preserve">del sector </w:t>
      </w:r>
      <w:r w:rsidRPr="004471E0">
        <w:rPr>
          <w:rFonts w:ascii="Abadi" w:hAnsi="Abadi" w:cs="*Verdana-9620-Identity-H"/>
          <w:i/>
          <w:iCs/>
          <w:color w:val="202022"/>
          <w:sz w:val="21"/>
          <w:szCs w:val="21"/>
        </w:rPr>
        <w:t xml:space="preserve">artesano </w:t>
      </w:r>
      <w:r w:rsidRPr="004471E0">
        <w:rPr>
          <w:rFonts w:ascii="Abadi" w:hAnsi="Abadi" w:cs="*Microsoft Sans Serif-Italic-96"/>
          <w:i/>
          <w:iCs/>
          <w:color w:val="202022"/>
          <w:sz w:val="21"/>
          <w:szCs w:val="21"/>
        </w:rPr>
        <w:t>en nuestras sociedades.</w:t>
      </w:r>
    </w:p>
    <w:p w14:paraId="50D1AA5F" w14:textId="77777777" w:rsidR="00A72A7F" w:rsidRPr="004471E0" w:rsidRDefault="00A72A7F" w:rsidP="00A72A7F">
      <w:pPr>
        <w:autoSpaceDE w:val="0"/>
        <w:autoSpaceDN w:val="0"/>
        <w:adjustRightInd w:val="0"/>
        <w:ind w:left="709"/>
        <w:jc w:val="both"/>
        <w:rPr>
          <w:rFonts w:ascii="Abadi" w:hAnsi="Abadi" w:cs="*Microsoft Sans Serif-Italic-96"/>
          <w:i/>
          <w:iCs/>
          <w:color w:val="202022"/>
          <w:sz w:val="21"/>
          <w:szCs w:val="21"/>
        </w:rPr>
      </w:pPr>
    </w:p>
    <w:p w14:paraId="1681D249" w14:textId="77777777" w:rsidR="00A72A7F" w:rsidRPr="004471E0" w:rsidRDefault="00A72A7F" w:rsidP="00A72A7F">
      <w:pPr>
        <w:autoSpaceDE w:val="0"/>
        <w:autoSpaceDN w:val="0"/>
        <w:adjustRightInd w:val="0"/>
        <w:ind w:left="709"/>
        <w:jc w:val="both"/>
        <w:rPr>
          <w:rFonts w:ascii="Abadi" w:hAnsi="Abadi" w:cs="*Microsoft Sans Serif-Italic-96"/>
          <w:i/>
          <w:iCs/>
          <w:color w:val="202022"/>
          <w:sz w:val="21"/>
          <w:szCs w:val="21"/>
        </w:rPr>
      </w:pPr>
      <w:r w:rsidRPr="004471E0">
        <w:rPr>
          <w:rFonts w:ascii="Abadi" w:hAnsi="Abadi" w:cs="*Microsoft Sans Serif-Italic-96"/>
          <w:i/>
          <w:iCs/>
          <w:color w:val="202022"/>
          <w:sz w:val="21"/>
          <w:szCs w:val="21"/>
        </w:rPr>
        <w:t xml:space="preserve">Esta ampliamente aceptado que la preeminencia de la </w:t>
      </w:r>
      <w:r w:rsidRPr="004471E0">
        <w:rPr>
          <w:rFonts w:ascii="Abadi" w:hAnsi="Abadi" w:cs="*Verdana-9620-Identity-H"/>
          <w:i/>
          <w:iCs/>
          <w:color w:val="202022"/>
          <w:sz w:val="21"/>
          <w:szCs w:val="21"/>
        </w:rPr>
        <w:t xml:space="preserve">mecanización </w:t>
      </w:r>
      <w:r w:rsidRPr="004471E0">
        <w:rPr>
          <w:rFonts w:ascii="Abadi" w:hAnsi="Abadi" w:cs="*Microsoft Sans Serif-Italic-96"/>
          <w:i/>
          <w:iCs/>
          <w:color w:val="202022"/>
          <w:sz w:val="21"/>
          <w:szCs w:val="21"/>
        </w:rPr>
        <w:t xml:space="preserve">y automatización de los procesos productivos en los últimos siglos ha reducido notablemente el significado </w:t>
      </w:r>
      <w:r w:rsidRPr="004471E0">
        <w:rPr>
          <w:rFonts w:ascii="Abadi" w:hAnsi="Abadi" w:cs="*Verdana-9620-Identity-H"/>
          <w:i/>
          <w:iCs/>
          <w:color w:val="202022"/>
          <w:sz w:val="21"/>
          <w:szCs w:val="21"/>
        </w:rPr>
        <w:t xml:space="preserve">económico </w:t>
      </w:r>
      <w:r w:rsidRPr="004471E0">
        <w:rPr>
          <w:rFonts w:ascii="Abadi" w:hAnsi="Abadi" w:cs="*Microsoft Sans Serif-Italic-96"/>
          <w:i/>
          <w:iCs/>
          <w:color w:val="202022"/>
          <w:sz w:val="21"/>
          <w:szCs w:val="21"/>
        </w:rPr>
        <w:t>de</w:t>
      </w:r>
      <w:r>
        <w:rPr>
          <w:rFonts w:ascii="Abadi" w:hAnsi="Abadi" w:cs="*Microsoft Sans Serif-Italic-96"/>
          <w:i/>
          <w:iCs/>
          <w:color w:val="202022"/>
          <w:sz w:val="21"/>
          <w:szCs w:val="21"/>
        </w:rPr>
        <w:t xml:space="preserve"> </w:t>
      </w:r>
      <w:r w:rsidRPr="004471E0">
        <w:rPr>
          <w:rFonts w:ascii="Abadi" w:hAnsi="Abadi" w:cs="*Microsoft Sans Serif-Italic-96"/>
          <w:i/>
          <w:iCs/>
          <w:color w:val="202022"/>
          <w:sz w:val="21"/>
          <w:szCs w:val="21"/>
        </w:rPr>
        <w:t xml:space="preserve">las artesanías en los países industriales; </w:t>
      </w:r>
      <w:r w:rsidRPr="004471E0">
        <w:rPr>
          <w:rFonts w:ascii="Abadi" w:hAnsi="Abadi" w:cs="*Verdana-9620-Identity-H"/>
          <w:i/>
          <w:iCs/>
          <w:color w:val="202022"/>
          <w:sz w:val="21"/>
          <w:szCs w:val="21"/>
        </w:rPr>
        <w:t xml:space="preserve">sin </w:t>
      </w:r>
      <w:r w:rsidRPr="004471E0">
        <w:rPr>
          <w:rFonts w:ascii="Abadi" w:hAnsi="Abadi" w:cs="*Microsoft Sans Serif-Italic-96"/>
          <w:i/>
          <w:iCs/>
          <w:color w:val="202022"/>
          <w:sz w:val="21"/>
          <w:szCs w:val="21"/>
        </w:rPr>
        <w:t xml:space="preserve">embargo, no por ello debe minusvalorarse su importancia actual </w:t>
      </w:r>
      <w:r w:rsidRPr="004471E0">
        <w:rPr>
          <w:rFonts w:ascii="Abadi" w:hAnsi="Abadi" w:cs="*Verdana-9620-Identity-H"/>
          <w:i/>
          <w:iCs/>
          <w:color w:val="202022"/>
          <w:sz w:val="21"/>
          <w:szCs w:val="21"/>
        </w:rPr>
        <w:t xml:space="preserve">como </w:t>
      </w:r>
      <w:r w:rsidRPr="004471E0">
        <w:rPr>
          <w:rFonts w:ascii="Abadi" w:hAnsi="Abadi" w:cs="*Microsoft Sans Serif-Italic-96"/>
          <w:i/>
          <w:iCs/>
          <w:color w:val="202022"/>
          <w:sz w:val="21"/>
          <w:szCs w:val="21"/>
        </w:rPr>
        <w:t xml:space="preserve">actividades </w:t>
      </w:r>
      <w:r w:rsidRPr="004471E0">
        <w:rPr>
          <w:rFonts w:ascii="Abadi" w:hAnsi="Abadi" w:cs="*Verdana-9620-Identity-H"/>
          <w:i/>
          <w:iCs/>
          <w:color w:val="202022"/>
          <w:sz w:val="21"/>
          <w:szCs w:val="21"/>
        </w:rPr>
        <w:t xml:space="preserve">económicas </w:t>
      </w:r>
      <w:r w:rsidRPr="004471E0">
        <w:rPr>
          <w:rFonts w:ascii="Abadi" w:hAnsi="Abadi" w:cs="*Microsoft Sans Serif-Italic-96"/>
          <w:i/>
          <w:iCs/>
          <w:color w:val="202022"/>
          <w:sz w:val="21"/>
          <w:szCs w:val="21"/>
        </w:rPr>
        <w:t>generadoras de riqueza, empleo y divisas.</w:t>
      </w:r>
    </w:p>
    <w:p w14:paraId="0D6CF0D9" w14:textId="77777777" w:rsidR="00A72A7F" w:rsidRPr="004471E0" w:rsidRDefault="00A72A7F" w:rsidP="00A72A7F">
      <w:pPr>
        <w:autoSpaceDE w:val="0"/>
        <w:autoSpaceDN w:val="0"/>
        <w:adjustRightInd w:val="0"/>
        <w:ind w:left="709"/>
        <w:jc w:val="both"/>
        <w:rPr>
          <w:rFonts w:ascii="Abadi" w:hAnsi="Abadi" w:cs="*Microsoft Sans Serif-Italic-96"/>
          <w:i/>
          <w:iCs/>
          <w:color w:val="202022"/>
          <w:sz w:val="21"/>
          <w:szCs w:val="21"/>
        </w:rPr>
      </w:pPr>
    </w:p>
    <w:p w14:paraId="27605C65" w14:textId="77777777" w:rsidR="00A72A7F" w:rsidRPr="004471E0" w:rsidRDefault="00A72A7F" w:rsidP="00A72A7F">
      <w:pPr>
        <w:autoSpaceDE w:val="0"/>
        <w:autoSpaceDN w:val="0"/>
        <w:adjustRightInd w:val="0"/>
        <w:ind w:left="709"/>
        <w:jc w:val="both"/>
        <w:rPr>
          <w:rFonts w:ascii="Abadi" w:hAnsi="Abadi" w:cs="*Microsoft Sans Serif-Italic-96"/>
          <w:i/>
          <w:iCs/>
          <w:color w:val="222124"/>
          <w:sz w:val="21"/>
          <w:szCs w:val="21"/>
        </w:rPr>
      </w:pPr>
      <w:r w:rsidRPr="004471E0">
        <w:rPr>
          <w:rFonts w:ascii="Abadi" w:hAnsi="Abadi" w:cs="*Microsoft Sans Serif-Italic-96"/>
          <w:i/>
          <w:iCs/>
          <w:color w:val="212122"/>
          <w:sz w:val="21"/>
          <w:szCs w:val="21"/>
        </w:rPr>
        <w:t xml:space="preserve">En este sentido, resulta necesario para valorar adecuadamente la importancia </w:t>
      </w:r>
      <w:r w:rsidRPr="004471E0">
        <w:rPr>
          <w:rFonts w:ascii="Abadi" w:hAnsi="Abadi" w:cs="*Verdana-9620-Identity-H"/>
          <w:i/>
          <w:iCs/>
          <w:color w:val="212122"/>
          <w:sz w:val="21"/>
          <w:szCs w:val="21"/>
        </w:rPr>
        <w:t xml:space="preserve">socioeconómica </w:t>
      </w:r>
      <w:r w:rsidRPr="004471E0">
        <w:rPr>
          <w:rFonts w:ascii="Abadi" w:hAnsi="Abadi" w:cs="*Microsoft Sans Serif-Italic-96"/>
          <w:i/>
          <w:iCs/>
          <w:color w:val="212122"/>
          <w:sz w:val="21"/>
          <w:szCs w:val="21"/>
        </w:rPr>
        <w:t>de las actividades artesanas comentar algunos de sus rasgos estructurales más</w:t>
      </w:r>
      <w:r w:rsidRPr="004471E0">
        <w:rPr>
          <w:rFonts w:ascii="Abadi" w:hAnsi="Abadi" w:cs="*Verdana-9620-Identity-H"/>
          <w:i/>
          <w:iCs/>
          <w:color w:val="212122"/>
          <w:sz w:val="21"/>
          <w:szCs w:val="21"/>
        </w:rPr>
        <w:t xml:space="preserve"> </w:t>
      </w:r>
      <w:r w:rsidRPr="004471E0">
        <w:rPr>
          <w:rFonts w:ascii="Abadi" w:hAnsi="Abadi" w:cs="*Microsoft Sans Serif-Italic-96"/>
          <w:i/>
          <w:iCs/>
          <w:color w:val="212122"/>
          <w:sz w:val="21"/>
          <w:szCs w:val="21"/>
        </w:rPr>
        <w:t xml:space="preserve">característicos, en primer lugar, cabría detenerse en su relativa </w:t>
      </w:r>
      <w:r w:rsidRPr="004471E0">
        <w:rPr>
          <w:rFonts w:ascii="Abadi" w:hAnsi="Abadi" w:cs="*Times New Roman-9618-Identity-"/>
          <w:i/>
          <w:iCs/>
          <w:color w:val="212122"/>
          <w:sz w:val="21"/>
          <w:szCs w:val="21"/>
        </w:rPr>
        <w:t xml:space="preserve">gran </w:t>
      </w:r>
      <w:r w:rsidRPr="004471E0">
        <w:rPr>
          <w:rFonts w:ascii="Abadi" w:hAnsi="Abadi" w:cs="*Microsoft Sans Serif-Italic-96"/>
          <w:i/>
          <w:iCs/>
          <w:color w:val="212122"/>
          <w:sz w:val="21"/>
          <w:szCs w:val="21"/>
        </w:rPr>
        <w:t xml:space="preserve">capacidad para contratar mano de obra, ya que la inversión necesaria para generar un puesto de trabajo en una empresa artesana es muy reducida si la comparamos con cualquier actividad industrial, dado el predominio del trabajo manual </w:t>
      </w:r>
      <w:r w:rsidRPr="004471E0">
        <w:rPr>
          <w:rFonts w:ascii="Abadi" w:hAnsi="Abadi" w:cs="*Verdana-9620-Identity-H"/>
          <w:i/>
          <w:iCs/>
          <w:color w:val="212122"/>
          <w:sz w:val="21"/>
          <w:szCs w:val="21"/>
        </w:rPr>
        <w:t xml:space="preserve">en </w:t>
      </w:r>
      <w:r w:rsidRPr="004471E0">
        <w:rPr>
          <w:rFonts w:ascii="Abadi" w:hAnsi="Abadi" w:cs="*Microsoft Sans Serif-Italic-96"/>
          <w:i/>
          <w:iCs/>
          <w:color w:val="212122"/>
          <w:sz w:val="21"/>
          <w:szCs w:val="21"/>
        </w:rPr>
        <w:t xml:space="preserve">el proceso de producción y la bajo inversión </w:t>
      </w:r>
      <w:r w:rsidRPr="004471E0">
        <w:rPr>
          <w:rFonts w:ascii="Abadi" w:hAnsi="Abadi" w:cs="*Verdana-9620-Identity-H"/>
          <w:i/>
          <w:iCs/>
          <w:color w:val="212122"/>
          <w:sz w:val="21"/>
          <w:szCs w:val="21"/>
        </w:rPr>
        <w:t xml:space="preserve">en </w:t>
      </w:r>
      <w:r w:rsidRPr="004471E0">
        <w:rPr>
          <w:rFonts w:ascii="Abadi" w:hAnsi="Abadi" w:cs="*Microsoft Sans Serif-Italic-96"/>
          <w:i/>
          <w:iCs/>
          <w:color w:val="212122"/>
          <w:sz w:val="21"/>
          <w:szCs w:val="21"/>
        </w:rPr>
        <w:t xml:space="preserve">maquinaria y tecnología que debe realizarse </w:t>
      </w:r>
      <w:r w:rsidRPr="004471E0">
        <w:rPr>
          <w:rFonts w:ascii="Abadi" w:hAnsi="Abadi" w:cs="*Microsoft Sans Serif-Italic-96"/>
          <w:i/>
          <w:iCs/>
          <w:color w:val="222124"/>
          <w:sz w:val="21"/>
          <w:szCs w:val="21"/>
        </w:rPr>
        <w:t xml:space="preserve">Esto, a su vez, facilita también la existencia de artesanos que trabajan en su domicilio por horas </w:t>
      </w:r>
      <w:r w:rsidRPr="004471E0">
        <w:rPr>
          <w:rFonts w:ascii="Abadi" w:hAnsi="Abadi" w:cs="*Arial-9619-Identity-H"/>
          <w:i/>
          <w:iCs/>
          <w:color w:val="222124"/>
          <w:sz w:val="21"/>
          <w:szCs w:val="21"/>
        </w:rPr>
        <w:t xml:space="preserve">o </w:t>
      </w:r>
      <w:r w:rsidRPr="004471E0">
        <w:rPr>
          <w:rFonts w:ascii="Abadi" w:hAnsi="Abadi" w:cs="*Microsoft Sans Serif-Italic-96"/>
          <w:i/>
          <w:iCs/>
          <w:color w:val="222124"/>
          <w:sz w:val="21"/>
          <w:szCs w:val="21"/>
        </w:rPr>
        <w:t>por temporadas poro intermediarios que posteriormente colocan el producto en el mercado, sin que ello, lógicamente, tenga repercusión en las cifras oficiales.</w:t>
      </w:r>
    </w:p>
    <w:p w14:paraId="36C564EF" w14:textId="77777777" w:rsidR="00A72A7F" w:rsidRPr="004471E0" w:rsidRDefault="00A72A7F" w:rsidP="00A72A7F">
      <w:pPr>
        <w:autoSpaceDE w:val="0"/>
        <w:autoSpaceDN w:val="0"/>
        <w:adjustRightInd w:val="0"/>
        <w:ind w:left="709"/>
        <w:jc w:val="both"/>
        <w:rPr>
          <w:rFonts w:ascii="Abadi" w:hAnsi="Abadi" w:cs="*Microsoft Sans Serif-Italic-96"/>
          <w:i/>
          <w:iCs/>
          <w:color w:val="222124"/>
          <w:sz w:val="21"/>
          <w:szCs w:val="21"/>
        </w:rPr>
      </w:pPr>
    </w:p>
    <w:p w14:paraId="4DBE0149" w14:textId="77777777" w:rsidR="00A72A7F" w:rsidRPr="004471E0" w:rsidRDefault="00A72A7F" w:rsidP="00A72A7F">
      <w:pPr>
        <w:autoSpaceDE w:val="0"/>
        <w:autoSpaceDN w:val="0"/>
        <w:adjustRightInd w:val="0"/>
        <w:ind w:left="709"/>
        <w:jc w:val="both"/>
        <w:rPr>
          <w:rFonts w:ascii="Abadi" w:hAnsi="Abadi" w:cs="*Microsoft Sans Serif-Italic-10"/>
          <w:i/>
          <w:iCs/>
          <w:color w:val="222123"/>
          <w:sz w:val="21"/>
          <w:szCs w:val="21"/>
        </w:rPr>
      </w:pPr>
      <w:r w:rsidRPr="004471E0">
        <w:rPr>
          <w:rFonts w:ascii="Abadi" w:hAnsi="Abadi" w:cs="*Microsoft Sans Serif-Italic-96"/>
          <w:i/>
          <w:iCs/>
          <w:color w:val="212022"/>
          <w:sz w:val="21"/>
          <w:szCs w:val="21"/>
        </w:rPr>
        <w:t xml:space="preserve">Por otra parte, debe tenerse </w:t>
      </w:r>
      <w:r w:rsidRPr="004471E0">
        <w:rPr>
          <w:rFonts w:ascii="Abadi" w:hAnsi="Abadi" w:cs="*Verdana-9620-Identity-H"/>
          <w:i/>
          <w:iCs/>
          <w:color w:val="212022"/>
          <w:sz w:val="21"/>
          <w:szCs w:val="21"/>
        </w:rPr>
        <w:t xml:space="preserve">en </w:t>
      </w:r>
      <w:r w:rsidRPr="004471E0">
        <w:rPr>
          <w:rFonts w:ascii="Abadi" w:hAnsi="Abadi" w:cs="*Microsoft Sans Serif-Italic-96"/>
          <w:i/>
          <w:iCs/>
          <w:color w:val="212022"/>
          <w:sz w:val="21"/>
          <w:szCs w:val="21"/>
        </w:rPr>
        <w:t>cuenta el hecho de que las actividades artesonas manipulan fundamentalmente las materias primas propios de cada región, no haciendo uso, por lo general, de</w:t>
      </w:r>
      <w:r>
        <w:rPr>
          <w:rFonts w:ascii="Abadi" w:hAnsi="Abadi" w:cs="*Microsoft Sans Serif-Italic-96"/>
          <w:i/>
          <w:iCs/>
          <w:color w:val="212022"/>
          <w:sz w:val="21"/>
          <w:szCs w:val="21"/>
        </w:rPr>
        <w:t xml:space="preserve"> importaciones</w:t>
      </w:r>
      <w:r w:rsidRPr="004471E0">
        <w:rPr>
          <w:rFonts w:ascii="Abadi" w:hAnsi="Abadi" w:cs="*Microsoft Sans Serif-Italic-96"/>
          <w:i/>
          <w:iCs/>
          <w:color w:val="212022"/>
          <w:sz w:val="21"/>
          <w:szCs w:val="21"/>
        </w:rPr>
        <w:t xml:space="preserve"> de otros materiales. Si a ello </w:t>
      </w:r>
      <w:r w:rsidRPr="004471E0">
        <w:rPr>
          <w:rFonts w:ascii="Abadi" w:hAnsi="Abadi" w:cs="*Verdana-9620-Identity-H"/>
          <w:i/>
          <w:iCs/>
          <w:color w:val="212022"/>
          <w:sz w:val="21"/>
          <w:szCs w:val="21"/>
        </w:rPr>
        <w:t xml:space="preserve">se </w:t>
      </w:r>
      <w:r w:rsidRPr="004471E0">
        <w:rPr>
          <w:rFonts w:ascii="Abadi" w:hAnsi="Abadi" w:cs="*Microsoft Sans Serif-Italic-96"/>
          <w:i/>
          <w:iCs/>
          <w:color w:val="212022"/>
          <w:sz w:val="21"/>
          <w:szCs w:val="21"/>
        </w:rPr>
        <w:t xml:space="preserve">añade que generan </w:t>
      </w:r>
      <w:r w:rsidRPr="004471E0">
        <w:rPr>
          <w:rFonts w:ascii="Abadi" w:hAnsi="Abadi" w:cs="*Verdana-9620-Identity-H"/>
          <w:i/>
          <w:iCs/>
          <w:color w:val="212022"/>
          <w:sz w:val="21"/>
          <w:szCs w:val="21"/>
        </w:rPr>
        <w:t xml:space="preserve">un </w:t>
      </w:r>
      <w:r w:rsidRPr="004471E0">
        <w:rPr>
          <w:rFonts w:ascii="Abadi" w:hAnsi="Abadi" w:cs="*Microsoft Sans Serif-Italic-96"/>
          <w:i/>
          <w:iCs/>
          <w:color w:val="212022"/>
          <w:sz w:val="21"/>
          <w:szCs w:val="21"/>
        </w:rPr>
        <w:t xml:space="preserve">flujo de ingreso de divisas </w:t>
      </w:r>
      <w:r w:rsidRPr="004471E0">
        <w:rPr>
          <w:rFonts w:ascii="Abadi" w:hAnsi="Abadi" w:cs="*Verdana-9620-Identity-H"/>
          <w:i/>
          <w:iCs/>
          <w:color w:val="212022"/>
          <w:sz w:val="21"/>
          <w:szCs w:val="21"/>
        </w:rPr>
        <w:t xml:space="preserve">nodo </w:t>
      </w:r>
      <w:r w:rsidRPr="004471E0">
        <w:rPr>
          <w:rFonts w:ascii="Abadi" w:hAnsi="Abadi" w:cs="*Microsoft Sans Serif-Italic-96"/>
          <w:i/>
          <w:iCs/>
          <w:color w:val="212022"/>
          <w:sz w:val="21"/>
          <w:szCs w:val="21"/>
        </w:rPr>
        <w:t xml:space="preserve">desdeñable, debido </w:t>
      </w:r>
      <w:r w:rsidRPr="004471E0">
        <w:rPr>
          <w:rFonts w:ascii="Abadi" w:hAnsi="Abadi" w:cs="*Verdana-9620-Identity-H"/>
          <w:i/>
          <w:iCs/>
          <w:color w:val="212022"/>
          <w:sz w:val="21"/>
          <w:szCs w:val="21"/>
        </w:rPr>
        <w:t xml:space="preserve">o </w:t>
      </w:r>
      <w:r w:rsidRPr="004471E0">
        <w:rPr>
          <w:rFonts w:ascii="Abadi" w:hAnsi="Abadi" w:cs="*Microsoft Sans Serif-Italic-96"/>
          <w:i/>
          <w:iCs/>
          <w:color w:val="212022"/>
          <w:sz w:val="21"/>
          <w:szCs w:val="21"/>
        </w:rPr>
        <w:t xml:space="preserve">que </w:t>
      </w:r>
      <w:r w:rsidRPr="004471E0">
        <w:rPr>
          <w:rFonts w:ascii="Abadi" w:hAnsi="Abadi" w:cs="*Verdana-9620-Identity-H"/>
          <w:i/>
          <w:iCs/>
          <w:color w:val="212022"/>
          <w:sz w:val="21"/>
          <w:szCs w:val="21"/>
        </w:rPr>
        <w:t xml:space="preserve">una </w:t>
      </w:r>
      <w:r w:rsidRPr="004471E0">
        <w:rPr>
          <w:rFonts w:ascii="Abadi" w:hAnsi="Abadi" w:cs="*Microsoft Sans Serif-Italic-96"/>
          <w:i/>
          <w:iCs/>
          <w:color w:val="212022"/>
          <w:sz w:val="21"/>
          <w:szCs w:val="21"/>
        </w:rPr>
        <w:t xml:space="preserve">parte importante de las </w:t>
      </w:r>
      <w:r w:rsidRPr="004471E0">
        <w:rPr>
          <w:rFonts w:ascii="Abadi" w:hAnsi="Abadi" w:cs="*Verdana-9620-Identity-H"/>
          <w:i/>
          <w:iCs/>
          <w:color w:val="212022"/>
          <w:sz w:val="21"/>
          <w:szCs w:val="21"/>
        </w:rPr>
        <w:t xml:space="preserve">compras </w:t>
      </w:r>
      <w:r w:rsidRPr="004471E0">
        <w:rPr>
          <w:rFonts w:ascii="Abadi" w:hAnsi="Abadi" w:cs="*Microsoft Sans Serif-Italic-96"/>
          <w:i/>
          <w:iCs/>
          <w:color w:val="212022"/>
          <w:sz w:val="21"/>
          <w:szCs w:val="21"/>
        </w:rPr>
        <w:t xml:space="preserve">de los turistas </w:t>
      </w:r>
      <w:r w:rsidRPr="004471E0">
        <w:rPr>
          <w:rFonts w:ascii="Abadi" w:hAnsi="Abadi" w:cs="*Verdana-9620-Identity-H"/>
          <w:i/>
          <w:iCs/>
          <w:color w:val="212022"/>
          <w:sz w:val="21"/>
          <w:szCs w:val="21"/>
        </w:rPr>
        <w:t xml:space="preserve">o </w:t>
      </w:r>
      <w:r w:rsidRPr="004471E0">
        <w:rPr>
          <w:rFonts w:ascii="Abadi" w:hAnsi="Abadi" w:cs="*Microsoft Sans Serif-Italic-96"/>
          <w:i/>
          <w:iCs/>
          <w:color w:val="212022"/>
          <w:sz w:val="21"/>
          <w:szCs w:val="21"/>
        </w:rPr>
        <w:t xml:space="preserve">de las exportaciones se canalizan </w:t>
      </w:r>
      <w:r w:rsidRPr="004471E0">
        <w:rPr>
          <w:rFonts w:ascii="Abadi" w:hAnsi="Abadi" w:cs="*Verdana-9620-Identity-H"/>
          <w:i/>
          <w:iCs/>
          <w:color w:val="212022"/>
          <w:sz w:val="21"/>
          <w:szCs w:val="21"/>
        </w:rPr>
        <w:t xml:space="preserve">hacia </w:t>
      </w:r>
      <w:r w:rsidRPr="004471E0">
        <w:rPr>
          <w:rFonts w:ascii="Abadi" w:hAnsi="Abadi" w:cs="*Microsoft Sans Serif-Italic-96"/>
          <w:i/>
          <w:iCs/>
          <w:color w:val="212022"/>
          <w:sz w:val="21"/>
          <w:szCs w:val="21"/>
        </w:rPr>
        <w:t xml:space="preserve">los productos artesanos </w:t>
      </w:r>
      <w:r w:rsidRPr="004471E0">
        <w:rPr>
          <w:rFonts w:ascii="Abadi" w:hAnsi="Abadi" w:cs="*Verdana-9620-Identity-H"/>
          <w:i/>
          <w:iCs/>
          <w:color w:val="212022"/>
          <w:sz w:val="21"/>
          <w:szCs w:val="21"/>
        </w:rPr>
        <w:t xml:space="preserve">con </w:t>
      </w:r>
      <w:r w:rsidRPr="004471E0">
        <w:rPr>
          <w:rFonts w:ascii="Abadi" w:hAnsi="Abadi" w:cs="*Microsoft Sans Serif-Italic-96"/>
          <w:i/>
          <w:iCs/>
          <w:color w:val="212022"/>
          <w:sz w:val="21"/>
          <w:szCs w:val="21"/>
        </w:rPr>
        <w:t>calidad y tradición, se</w:t>
      </w:r>
      <w:r>
        <w:rPr>
          <w:rFonts w:ascii="Abadi" w:hAnsi="Abadi" w:cs="*Microsoft Sans Serif-Italic-96"/>
          <w:i/>
          <w:iCs/>
          <w:color w:val="212022"/>
          <w:sz w:val="21"/>
          <w:szCs w:val="21"/>
        </w:rPr>
        <w:t xml:space="preserve"> </w:t>
      </w:r>
      <w:r w:rsidRPr="004471E0">
        <w:rPr>
          <w:rFonts w:ascii="Abadi" w:hAnsi="Abadi" w:cs="*Microsoft Sans Serif-Italic-10"/>
          <w:i/>
          <w:iCs/>
          <w:color w:val="222123"/>
          <w:sz w:val="21"/>
          <w:szCs w:val="21"/>
        </w:rPr>
        <w:t xml:space="preserve">puede extraer la conclusión de que el sector </w:t>
      </w:r>
      <w:r w:rsidRPr="004471E0">
        <w:rPr>
          <w:rFonts w:ascii="Abadi" w:hAnsi="Abadi" w:cs="*Calibri-10207-Identity-H"/>
          <w:i/>
          <w:iCs/>
          <w:color w:val="222123"/>
          <w:sz w:val="21"/>
          <w:szCs w:val="21"/>
        </w:rPr>
        <w:t xml:space="preserve">artesano </w:t>
      </w:r>
      <w:r w:rsidRPr="004471E0">
        <w:rPr>
          <w:rFonts w:ascii="Abadi" w:hAnsi="Abadi" w:cs="*Microsoft Sans Serif-Italic-10"/>
          <w:i/>
          <w:iCs/>
          <w:color w:val="222123"/>
          <w:sz w:val="21"/>
          <w:szCs w:val="21"/>
        </w:rPr>
        <w:t xml:space="preserve">tiende a aliviar las dificultades de las </w:t>
      </w:r>
      <w:r w:rsidRPr="004471E0">
        <w:rPr>
          <w:rFonts w:ascii="Abadi" w:hAnsi="Abadi" w:cs="*Calibri-10207-Identity-H"/>
          <w:i/>
          <w:iCs/>
          <w:color w:val="222123"/>
          <w:sz w:val="21"/>
          <w:szCs w:val="21"/>
        </w:rPr>
        <w:t xml:space="preserve">balanzas </w:t>
      </w:r>
      <w:r w:rsidRPr="004471E0">
        <w:rPr>
          <w:rFonts w:ascii="Abadi" w:hAnsi="Abadi" w:cs="*Microsoft Sans Serif-Italic-10"/>
          <w:i/>
          <w:iCs/>
          <w:color w:val="222123"/>
          <w:sz w:val="21"/>
          <w:szCs w:val="21"/>
        </w:rPr>
        <w:t>de intercambio comerci</w:t>
      </w:r>
      <w:r>
        <w:rPr>
          <w:rFonts w:ascii="Abadi" w:hAnsi="Abadi" w:cs="*Microsoft Sans Serif-Italic-10"/>
          <w:i/>
          <w:iCs/>
          <w:color w:val="222123"/>
          <w:sz w:val="21"/>
          <w:szCs w:val="21"/>
        </w:rPr>
        <w:t>al</w:t>
      </w:r>
      <w:r w:rsidRPr="004471E0">
        <w:rPr>
          <w:rFonts w:ascii="Abadi" w:hAnsi="Abadi" w:cs="*Microsoft Sans Serif-Italic-10"/>
          <w:i/>
          <w:iCs/>
          <w:color w:val="222123"/>
          <w:sz w:val="21"/>
          <w:szCs w:val="21"/>
        </w:rPr>
        <w:t xml:space="preserve"> del país </w:t>
      </w:r>
      <w:r w:rsidRPr="004471E0">
        <w:rPr>
          <w:rFonts w:ascii="Abadi" w:hAnsi="Abadi" w:cs="*Calibri-10207-Identity-H"/>
          <w:i/>
          <w:iCs/>
          <w:color w:val="222123"/>
          <w:sz w:val="21"/>
          <w:szCs w:val="21"/>
        </w:rPr>
        <w:t xml:space="preserve">o región </w:t>
      </w:r>
      <w:r w:rsidRPr="004471E0">
        <w:rPr>
          <w:rFonts w:ascii="Abadi" w:hAnsi="Abadi" w:cs="*Microsoft Sans Serif-Italic-10"/>
          <w:i/>
          <w:iCs/>
          <w:color w:val="222123"/>
          <w:sz w:val="21"/>
          <w:szCs w:val="21"/>
        </w:rPr>
        <w:t>en cuestión.</w:t>
      </w:r>
    </w:p>
    <w:p w14:paraId="0D442CE8" w14:textId="77777777" w:rsidR="00A72A7F" w:rsidRPr="004471E0" w:rsidRDefault="00A72A7F" w:rsidP="00A72A7F">
      <w:pPr>
        <w:autoSpaceDE w:val="0"/>
        <w:autoSpaceDN w:val="0"/>
        <w:adjustRightInd w:val="0"/>
        <w:ind w:left="709"/>
        <w:jc w:val="both"/>
        <w:rPr>
          <w:rFonts w:ascii="Abadi" w:hAnsi="Abadi" w:cs="*Microsoft Sans Serif-Italic-10"/>
          <w:i/>
          <w:iCs/>
          <w:color w:val="222123"/>
          <w:sz w:val="21"/>
          <w:szCs w:val="21"/>
        </w:rPr>
      </w:pPr>
    </w:p>
    <w:p w14:paraId="0B7B7C87" w14:textId="77777777" w:rsidR="00A72A7F" w:rsidRPr="00D03875" w:rsidRDefault="00A72A7F" w:rsidP="00A72A7F">
      <w:pPr>
        <w:autoSpaceDE w:val="0"/>
        <w:autoSpaceDN w:val="0"/>
        <w:adjustRightInd w:val="0"/>
        <w:ind w:left="709"/>
        <w:jc w:val="both"/>
        <w:rPr>
          <w:rFonts w:ascii="Abadi" w:hAnsi="Abadi" w:cs="*Microsoft Sans Serif-Italic-10"/>
          <w:i/>
          <w:iCs/>
          <w:color w:val="212022"/>
          <w:sz w:val="21"/>
          <w:szCs w:val="21"/>
        </w:rPr>
      </w:pPr>
      <w:r w:rsidRPr="00D03875">
        <w:rPr>
          <w:rFonts w:ascii="Abadi" w:hAnsi="Abadi" w:cs="*Microsoft Sans Serif-Italic-10"/>
          <w:i/>
          <w:iCs/>
          <w:color w:val="212022"/>
          <w:sz w:val="21"/>
          <w:szCs w:val="21"/>
        </w:rPr>
        <w:t xml:space="preserve">En </w:t>
      </w:r>
      <w:r w:rsidRPr="00D03875">
        <w:rPr>
          <w:rFonts w:ascii="Abadi" w:hAnsi="Abadi" w:cs="*Calibri-10207-Identity-H"/>
          <w:i/>
          <w:iCs/>
          <w:color w:val="212022"/>
          <w:sz w:val="21"/>
          <w:szCs w:val="21"/>
        </w:rPr>
        <w:t xml:space="preserve">otro orden </w:t>
      </w:r>
      <w:r w:rsidRPr="00D03875">
        <w:rPr>
          <w:rFonts w:ascii="Abadi" w:hAnsi="Abadi" w:cs="*Microsoft Sans Serif-Italic-10"/>
          <w:i/>
          <w:iCs/>
          <w:color w:val="212022"/>
          <w:sz w:val="21"/>
          <w:szCs w:val="21"/>
        </w:rPr>
        <w:t>de análisis, l</w:t>
      </w:r>
      <w:r>
        <w:rPr>
          <w:rFonts w:ascii="Abadi" w:hAnsi="Abadi" w:cs="*Microsoft Sans Serif-Italic-10"/>
          <w:i/>
          <w:iCs/>
          <w:color w:val="212022"/>
          <w:sz w:val="21"/>
          <w:szCs w:val="21"/>
        </w:rPr>
        <w:t>a</w:t>
      </w:r>
      <w:r w:rsidRPr="00D03875">
        <w:rPr>
          <w:rFonts w:ascii="Abadi" w:hAnsi="Abadi" w:cs="*Microsoft Sans Serif-Italic-10"/>
          <w:i/>
          <w:iCs/>
          <w:color w:val="212022"/>
          <w:sz w:val="21"/>
          <w:szCs w:val="21"/>
        </w:rPr>
        <w:t xml:space="preserve"> localización eminentemente </w:t>
      </w:r>
      <w:r w:rsidRPr="00D03875">
        <w:rPr>
          <w:rFonts w:ascii="Abadi" w:hAnsi="Abadi" w:cs="*Calibri-10207-Identity-H"/>
          <w:i/>
          <w:iCs/>
          <w:color w:val="212022"/>
          <w:sz w:val="21"/>
          <w:szCs w:val="21"/>
        </w:rPr>
        <w:t xml:space="preserve">rural </w:t>
      </w:r>
      <w:r w:rsidRPr="00D03875">
        <w:rPr>
          <w:rFonts w:ascii="Abadi" w:hAnsi="Abadi" w:cs="*Microsoft Sans Serif-Italic-10"/>
          <w:i/>
          <w:iCs/>
          <w:color w:val="212022"/>
          <w:sz w:val="21"/>
          <w:szCs w:val="21"/>
        </w:rPr>
        <w:t xml:space="preserve">de </w:t>
      </w:r>
      <w:r w:rsidRPr="00D03875">
        <w:rPr>
          <w:rFonts w:ascii="Abadi" w:hAnsi="Abadi" w:cs="*Calibri-10207-Identity-H"/>
          <w:i/>
          <w:iCs/>
          <w:color w:val="212022"/>
          <w:sz w:val="21"/>
          <w:szCs w:val="21"/>
        </w:rPr>
        <w:t xml:space="preserve">los </w:t>
      </w:r>
      <w:r w:rsidRPr="00D03875">
        <w:rPr>
          <w:rFonts w:ascii="Abadi" w:hAnsi="Abadi" w:cs="*Microsoft Sans Serif-Italic-10"/>
          <w:i/>
          <w:iCs/>
          <w:color w:val="212022"/>
          <w:sz w:val="21"/>
          <w:szCs w:val="21"/>
        </w:rPr>
        <w:t xml:space="preserve">talleres y empresas artesanas propicia la </w:t>
      </w:r>
      <w:r w:rsidRPr="00D03875">
        <w:rPr>
          <w:rFonts w:ascii="Abadi" w:hAnsi="Abadi" w:cs="*Calibri-10207-Identity-H"/>
          <w:i/>
          <w:iCs/>
          <w:color w:val="212022"/>
          <w:sz w:val="21"/>
          <w:szCs w:val="21"/>
        </w:rPr>
        <w:t xml:space="preserve">fijación </w:t>
      </w:r>
      <w:r w:rsidRPr="00D03875">
        <w:rPr>
          <w:rFonts w:ascii="Abadi" w:hAnsi="Abadi" w:cs="*Microsoft Sans Serif-Italic-10"/>
          <w:i/>
          <w:iCs/>
          <w:color w:val="212022"/>
          <w:sz w:val="21"/>
          <w:szCs w:val="21"/>
        </w:rPr>
        <w:t xml:space="preserve">de </w:t>
      </w:r>
      <w:r w:rsidRPr="00D03875">
        <w:rPr>
          <w:rFonts w:ascii="Abadi" w:hAnsi="Abadi" w:cs="*Calibri-10207-Identity-H"/>
          <w:i/>
          <w:iCs/>
          <w:color w:val="212022"/>
          <w:sz w:val="21"/>
          <w:szCs w:val="21"/>
        </w:rPr>
        <w:t xml:space="preserve">su </w:t>
      </w:r>
      <w:r w:rsidRPr="00D03875">
        <w:rPr>
          <w:rFonts w:ascii="Abadi" w:hAnsi="Abadi" w:cs="*Microsoft Sans Serif-Italic-10"/>
          <w:i/>
          <w:iCs/>
          <w:color w:val="212022"/>
          <w:sz w:val="21"/>
          <w:szCs w:val="21"/>
        </w:rPr>
        <w:t xml:space="preserve">población evitando la emigración, </w:t>
      </w:r>
      <w:r w:rsidRPr="00D03875">
        <w:rPr>
          <w:rFonts w:ascii="Abadi" w:hAnsi="Abadi" w:cs="*Calibri-10207-Identity-H"/>
          <w:i/>
          <w:iCs/>
          <w:color w:val="212022"/>
          <w:sz w:val="21"/>
          <w:szCs w:val="21"/>
        </w:rPr>
        <w:t xml:space="preserve">lo </w:t>
      </w:r>
      <w:r w:rsidRPr="00D03875">
        <w:rPr>
          <w:rFonts w:ascii="Abadi" w:hAnsi="Abadi" w:cs="*Microsoft Sans Serif-Italic-10"/>
          <w:i/>
          <w:iCs/>
          <w:color w:val="212022"/>
          <w:sz w:val="21"/>
          <w:szCs w:val="21"/>
        </w:rPr>
        <w:t xml:space="preserve">que les convierte </w:t>
      </w:r>
      <w:r w:rsidRPr="00D03875">
        <w:rPr>
          <w:rFonts w:ascii="Abadi" w:hAnsi="Abadi" w:cs="*Calibri-10207-Identity-H"/>
          <w:i/>
          <w:iCs/>
          <w:color w:val="212022"/>
          <w:sz w:val="21"/>
          <w:szCs w:val="21"/>
        </w:rPr>
        <w:t xml:space="preserve">en </w:t>
      </w:r>
      <w:r w:rsidRPr="00D03875">
        <w:rPr>
          <w:rFonts w:ascii="Abadi" w:hAnsi="Abadi" w:cs="*Microsoft Sans Serif-Italic-10"/>
          <w:i/>
          <w:iCs/>
          <w:color w:val="212022"/>
          <w:sz w:val="21"/>
          <w:szCs w:val="21"/>
        </w:rPr>
        <w:t xml:space="preserve">un elemento importante en el diseño de </w:t>
      </w:r>
      <w:r w:rsidRPr="00D03875">
        <w:rPr>
          <w:rFonts w:ascii="Abadi" w:hAnsi="Abadi" w:cs="*Calibri-10207-Identity-H"/>
          <w:i/>
          <w:iCs/>
          <w:color w:val="212022"/>
          <w:sz w:val="21"/>
          <w:szCs w:val="21"/>
        </w:rPr>
        <w:t xml:space="preserve">una </w:t>
      </w:r>
      <w:r w:rsidRPr="00D03875">
        <w:rPr>
          <w:rFonts w:ascii="Abadi" w:hAnsi="Abadi" w:cs="*Microsoft Sans Serif-Italic-10"/>
          <w:i/>
          <w:iCs/>
          <w:color w:val="212022"/>
          <w:sz w:val="21"/>
          <w:szCs w:val="21"/>
        </w:rPr>
        <w:t xml:space="preserve">política regional </w:t>
      </w:r>
      <w:r w:rsidRPr="00D03875">
        <w:rPr>
          <w:rFonts w:ascii="Abadi" w:hAnsi="Abadi" w:cs="*Calibri-10207-Identity-H"/>
          <w:i/>
          <w:iCs/>
          <w:color w:val="212022"/>
          <w:sz w:val="21"/>
          <w:szCs w:val="21"/>
        </w:rPr>
        <w:t xml:space="preserve">de </w:t>
      </w:r>
      <w:r w:rsidRPr="00D03875">
        <w:rPr>
          <w:rFonts w:ascii="Abadi" w:hAnsi="Abadi" w:cs="*Microsoft Sans Serif-Italic-10"/>
          <w:i/>
          <w:iCs/>
          <w:color w:val="212022"/>
          <w:sz w:val="21"/>
          <w:szCs w:val="21"/>
        </w:rPr>
        <w:t>desarrollo.</w:t>
      </w:r>
    </w:p>
    <w:p w14:paraId="1B64FC05" w14:textId="77777777" w:rsidR="00A72A7F" w:rsidRPr="00D03875" w:rsidRDefault="00A72A7F" w:rsidP="00A72A7F">
      <w:pPr>
        <w:autoSpaceDE w:val="0"/>
        <w:autoSpaceDN w:val="0"/>
        <w:adjustRightInd w:val="0"/>
        <w:ind w:left="709"/>
        <w:jc w:val="both"/>
        <w:rPr>
          <w:rFonts w:ascii="Abadi" w:hAnsi="Abadi" w:cs="*Microsoft Sans Serif-Italic-10"/>
          <w:i/>
          <w:iCs/>
          <w:color w:val="212022"/>
          <w:sz w:val="21"/>
          <w:szCs w:val="21"/>
        </w:rPr>
      </w:pPr>
    </w:p>
    <w:p w14:paraId="0C250F68" w14:textId="77777777" w:rsidR="00A72A7F" w:rsidRPr="00D03875" w:rsidRDefault="00A72A7F" w:rsidP="00A72A7F">
      <w:pPr>
        <w:autoSpaceDE w:val="0"/>
        <w:autoSpaceDN w:val="0"/>
        <w:adjustRightInd w:val="0"/>
        <w:ind w:left="709"/>
        <w:jc w:val="both"/>
        <w:rPr>
          <w:rFonts w:ascii="Abadi" w:hAnsi="Abadi" w:cs="*Microsoft Sans Serif-Italic-10"/>
          <w:i/>
          <w:iCs/>
          <w:color w:val="212022"/>
          <w:sz w:val="21"/>
          <w:szCs w:val="21"/>
        </w:rPr>
      </w:pPr>
      <w:r w:rsidRPr="00D03875">
        <w:rPr>
          <w:rFonts w:ascii="Abadi" w:hAnsi="Abadi" w:cs="*Calibri-10207-Identity-H"/>
          <w:i/>
          <w:iCs/>
          <w:color w:val="212022"/>
          <w:sz w:val="21"/>
          <w:szCs w:val="21"/>
        </w:rPr>
        <w:t xml:space="preserve">Asimismo, no </w:t>
      </w:r>
      <w:r w:rsidRPr="00D03875">
        <w:rPr>
          <w:rFonts w:ascii="Abadi" w:hAnsi="Abadi" w:cs="*Microsoft Sans Serif-Italic-10"/>
          <w:i/>
          <w:iCs/>
          <w:color w:val="212022"/>
          <w:sz w:val="21"/>
          <w:szCs w:val="21"/>
        </w:rPr>
        <w:t xml:space="preserve">escapa a nadie que el sector </w:t>
      </w:r>
      <w:r w:rsidRPr="00D03875">
        <w:rPr>
          <w:rFonts w:ascii="Abadi" w:hAnsi="Abadi" w:cs="*Calibri-10207-Identity-H"/>
          <w:i/>
          <w:iCs/>
          <w:color w:val="212022"/>
          <w:sz w:val="21"/>
          <w:szCs w:val="21"/>
        </w:rPr>
        <w:t xml:space="preserve">artesono, </w:t>
      </w:r>
      <w:r w:rsidRPr="00D03875">
        <w:rPr>
          <w:rFonts w:ascii="Abadi" w:hAnsi="Abadi" w:cs="*Microsoft Sans Serif-Italic-10"/>
          <w:i/>
          <w:iCs/>
          <w:color w:val="212022"/>
          <w:sz w:val="21"/>
          <w:szCs w:val="21"/>
        </w:rPr>
        <w:t xml:space="preserve">al igual que el </w:t>
      </w:r>
      <w:r w:rsidRPr="00D03875">
        <w:rPr>
          <w:rFonts w:ascii="Abadi" w:hAnsi="Abadi" w:cs="*Calibri-10207-Identity-H"/>
          <w:i/>
          <w:iCs/>
          <w:color w:val="212022"/>
          <w:sz w:val="21"/>
          <w:szCs w:val="21"/>
        </w:rPr>
        <w:t xml:space="preserve">conjunto </w:t>
      </w:r>
      <w:r w:rsidRPr="00D03875">
        <w:rPr>
          <w:rFonts w:ascii="Abadi" w:hAnsi="Abadi" w:cs="*Microsoft Sans Serif-Italic-10"/>
          <w:i/>
          <w:iCs/>
          <w:color w:val="212022"/>
          <w:sz w:val="21"/>
          <w:szCs w:val="21"/>
        </w:rPr>
        <w:t xml:space="preserve">de los pequeños y medianos empresarios, supone </w:t>
      </w:r>
      <w:r w:rsidRPr="00D03875">
        <w:rPr>
          <w:rFonts w:ascii="Abadi" w:hAnsi="Abadi" w:cs="*Calibri-10207-Identity-H"/>
          <w:i/>
          <w:iCs/>
          <w:color w:val="212022"/>
          <w:sz w:val="21"/>
          <w:szCs w:val="21"/>
        </w:rPr>
        <w:t xml:space="preserve">un </w:t>
      </w:r>
      <w:r w:rsidRPr="00D03875">
        <w:rPr>
          <w:rFonts w:ascii="Abadi" w:hAnsi="Abadi" w:cs="*Microsoft Sans Serif-Italic-10"/>
          <w:i/>
          <w:iCs/>
          <w:color w:val="212022"/>
          <w:sz w:val="21"/>
          <w:szCs w:val="21"/>
        </w:rPr>
        <w:t xml:space="preserve">factor de estabilidad social nada despreciable en </w:t>
      </w:r>
      <w:r w:rsidRPr="00D03875">
        <w:rPr>
          <w:rFonts w:ascii="Abadi" w:hAnsi="Abadi" w:cs="*Calibri-10207-Identity-H"/>
          <w:i/>
          <w:iCs/>
          <w:color w:val="212022"/>
          <w:sz w:val="21"/>
          <w:szCs w:val="21"/>
        </w:rPr>
        <w:t xml:space="preserve">momentos </w:t>
      </w:r>
      <w:r w:rsidRPr="00D03875">
        <w:rPr>
          <w:rFonts w:ascii="Abadi" w:hAnsi="Abadi" w:cs="*Microsoft Sans Serif-Italic-10"/>
          <w:i/>
          <w:iCs/>
          <w:color w:val="212022"/>
          <w:sz w:val="21"/>
          <w:szCs w:val="21"/>
        </w:rPr>
        <w:t xml:space="preserve">de crisis económica e inestabilidad </w:t>
      </w:r>
      <w:r w:rsidRPr="00D03875">
        <w:rPr>
          <w:rFonts w:ascii="Abadi" w:hAnsi="Abadi" w:cs="*Calibri-10207-Identity-H"/>
          <w:i/>
          <w:iCs/>
          <w:color w:val="212022"/>
          <w:sz w:val="21"/>
          <w:szCs w:val="21"/>
        </w:rPr>
        <w:t xml:space="preserve">como </w:t>
      </w:r>
      <w:r>
        <w:rPr>
          <w:rFonts w:ascii="Abadi" w:hAnsi="Abadi" w:cs="*Calibri-10207-Identity-H"/>
          <w:i/>
          <w:iCs/>
          <w:color w:val="212022"/>
          <w:sz w:val="21"/>
          <w:szCs w:val="21"/>
        </w:rPr>
        <w:t>los</w:t>
      </w:r>
      <w:r w:rsidRPr="00D03875">
        <w:rPr>
          <w:rFonts w:ascii="Abadi" w:hAnsi="Abadi" w:cs="*Calibri-10207-Identity-H"/>
          <w:i/>
          <w:iCs/>
          <w:color w:val="212022"/>
          <w:sz w:val="21"/>
          <w:szCs w:val="21"/>
        </w:rPr>
        <w:t xml:space="preserve"> </w:t>
      </w:r>
      <w:r w:rsidRPr="00D03875">
        <w:rPr>
          <w:rFonts w:ascii="Abadi" w:hAnsi="Abadi" w:cs="*Microsoft Sans Serif-Italic-10"/>
          <w:i/>
          <w:iCs/>
          <w:color w:val="212022"/>
          <w:sz w:val="21"/>
          <w:szCs w:val="21"/>
        </w:rPr>
        <w:t xml:space="preserve">tiempos actuales en </w:t>
      </w:r>
      <w:r w:rsidRPr="00D03875">
        <w:rPr>
          <w:rFonts w:ascii="Abadi" w:hAnsi="Abadi" w:cs="*Calibri-10207-Identity-H"/>
          <w:i/>
          <w:iCs/>
          <w:color w:val="212022"/>
          <w:sz w:val="21"/>
          <w:szCs w:val="21"/>
        </w:rPr>
        <w:t xml:space="preserve">los </w:t>
      </w:r>
      <w:r w:rsidRPr="00D03875">
        <w:rPr>
          <w:rFonts w:ascii="Abadi" w:hAnsi="Abadi" w:cs="*Microsoft Sans Serif-Italic-10"/>
          <w:i/>
          <w:iCs/>
          <w:color w:val="212022"/>
          <w:sz w:val="21"/>
          <w:szCs w:val="21"/>
        </w:rPr>
        <w:t xml:space="preserve">que el problema del Covid-19, aseveró la </w:t>
      </w:r>
      <w:r w:rsidRPr="00D03875">
        <w:rPr>
          <w:rFonts w:ascii="Abadi" w:hAnsi="Abadi" w:cs="*Calibri-10207-Identity-H"/>
          <w:i/>
          <w:iCs/>
          <w:color w:val="212022"/>
          <w:sz w:val="21"/>
          <w:szCs w:val="21"/>
        </w:rPr>
        <w:t xml:space="preserve">recesión económica </w:t>
      </w:r>
      <w:r w:rsidRPr="00D03875">
        <w:rPr>
          <w:rFonts w:ascii="Abadi" w:hAnsi="Abadi" w:cs="*Microsoft Sans Serif-Italic-10"/>
          <w:i/>
          <w:iCs/>
          <w:color w:val="212022"/>
          <w:sz w:val="21"/>
          <w:szCs w:val="21"/>
        </w:rPr>
        <w:t>que ya veníamos padeciendo desde el año anterior.</w:t>
      </w:r>
    </w:p>
    <w:p w14:paraId="04CCB61E" w14:textId="77777777" w:rsidR="00A72A7F" w:rsidRPr="00D03875" w:rsidRDefault="00A72A7F" w:rsidP="00A72A7F">
      <w:pPr>
        <w:autoSpaceDE w:val="0"/>
        <w:autoSpaceDN w:val="0"/>
        <w:adjustRightInd w:val="0"/>
        <w:ind w:left="709"/>
        <w:jc w:val="both"/>
        <w:rPr>
          <w:rFonts w:ascii="Abadi" w:hAnsi="Abadi" w:cs="*Microsoft Sans Serif-Italic-10"/>
          <w:i/>
          <w:iCs/>
          <w:color w:val="212022"/>
          <w:sz w:val="21"/>
          <w:szCs w:val="21"/>
        </w:rPr>
      </w:pPr>
    </w:p>
    <w:p w14:paraId="3C734C41" w14:textId="77777777" w:rsidR="00A72A7F" w:rsidRPr="00D03875" w:rsidRDefault="00A72A7F" w:rsidP="00A72A7F">
      <w:pPr>
        <w:autoSpaceDE w:val="0"/>
        <w:autoSpaceDN w:val="0"/>
        <w:adjustRightInd w:val="0"/>
        <w:ind w:left="709"/>
        <w:jc w:val="both"/>
        <w:rPr>
          <w:rFonts w:ascii="Abadi" w:hAnsi="Abadi" w:cs="*Microsoft Sans Serif-Italic-10"/>
          <w:i/>
          <w:iCs/>
          <w:color w:val="222123"/>
          <w:sz w:val="21"/>
          <w:szCs w:val="21"/>
        </w:rPr>
      </w:pPr>
      <w:r w:rsidRPr="00D03875">
        <w:rPr>
          <w:rFonts w:ascii="Abadi" w:hAnsi="Abadi" w:cs="*Microsoft Sans Serif-Italic-10"/>
          <w:i/>
          <w:iCs/>
          <w:color w:val="222123"/>
          <w:sz w:val="21"/>
          <w:szCs w:val="21"/>
        </w:rPr>
        <w:t xml:space="preserve">Todos </w:t>
      </w:r>
      <w:r w:rsidRPr="00D03875">
        <w:rPr>
          <w:rFonts w:ascii="Abadi" w:hAnsi="Abadi" w:cs="*Calibri-10207-Identity-H"/>
          <w:i/>
          <w:iCs/>
          <w:color w:val="222123"/>
          <w:sz w:val="21"/>
          <w:szCs w:val="21"/>
        </w:rPr>
        <w:t xml:space="preserve">estos </w:t>
      </w:r>
      <w:r w:rsidRPr="00D03875">
        <w:rPr>
          <w:rFonts w:ascii="Abadi" w:hAnsi="Abadi" w:cs="*Microsoft Sans Serif-Italic-10"/>
          <w:i/>
          <w:iCs/>
          <w:color w:val="222123"/>
          <w:sz w:val="21"/>
          <w:szCs w:val="21"/>
        </w:rPr>
        <w:t xml:space="preserve">aspectos y otros </w:t>
      </w:r>
      <w:r w:rsidRPr="00D03875">
        <w:rPr>
          <w:rFonts w:ascii="Abadi" w:hAnsi="Abadi" w:cs="*Calibri-10207-Identity-H"/>
          <w:i/>
          <w:iCs/>
          <w:color w:val="222123"/>
          <w:sz w:val="21"/>
          <w:szCs w:val="21"/>
        </w:rPr>
        <w:t xml:space="preserve">muchos, como </w:t>
      </w:r>
      <w:r w:rsidRPr="00D03875">
        <w:rPr>
          <w:rFonts w:ascii="Abadi" w:hAnsi="Abadi" w:cs="*Microsoft Sans Serif-Italic-10"/>
          <w:i/>
          <w:iCs/>
          <w:color w:val="222123"/>
          <w:sz w:val="21"/>
          <w:szCs w:val="21"/>
        </w:rPr>
        <w:t xml:space="preserve">el bajo costo energético de las actividades artesanas, su carácter de actividad complementaria y </w:t>
      </w:r>
      <w:r w:rsidRPr="00D03875">
        <w:rPr>
          <w:rFonts w:ascii="Abadi" w:hAnsi="Abadi" w:cs="*Calibri-10207-Identity-H"/>
          <w:i/>
          <w:iCs/>
          <w:color w:val="222123"/>
          <w:sz w:val="21"/>
          <w:szCs w:val="21"/>
        </w:rPr>
        <w:t xml:space="preserve">doméstico </w:t>
      </w:r>
      <w:r w:rsidRPr="00D03875">
        <w:rPr>
          <w:rFonts w:ascii="Abadi" w:hAnsi="Abadi" w:cs="*Microsoft Sans Serif-Italic-10"/>
          <w:i/>
          <w:iCs/>
          <w:color w:val="222123"/>
          <w:sz w:val="21"/>
          <w:szCs w:val="21"/>
        </w:rPr>
        <w:t>en el medio rural, su escaso riesgo contaminador, etcétera, difícilmente quedan reflejados en la objetividad de las cifras estadísticas.</w:t>
      </w:r>
    </w:p>
    <w:p w14:paraId="2E412BA9" w14:textId="77777777" w:rsidR="00A72A7F" w:rsidRPr="00D03875" w:rsidRDefault="00A72A7F" w:rsidP="00A72A7F">
      <w:pPr>
        <w:autoSpaceDE w:val="0"/>
        <w:autoSpaceDN w:val="0"/>
        <w:adjustRightInd w:val="0"/>
        <w:ind w:left="709"/>
        <w:jc w:val="both"/>
        <w:rPr>
          <w:rFonts w:ascii="Abadi" w:hAnsi="Abadi" w:cs="*Microsoft Sans Serif-Italic-10"/>
          <w:i/>
          <w:iCs/>
          <w:color w:val="222123"/>
          <w:sz w:val="21"/>
          <w:szCs w:val="21"/>
        </w:rPr>
      </w:pPr>
    </w:p>
    <w:p w14:paraId="1534C844" w14:textId="77777777" w:rsidR="00A72A7F" w:rsidRPr="00D03875" w:rsidRDefault="00A72A7F" w:rsidP="00A72A7F">
      <w:pPr>
        <w:autoSpaceDE w:val="0"/>
        <w:autoSpaceDN w:val="0"/>
        <w:adjustRightInd w:val="0"/>
        <w:ind w:left="709"/>
        <w:jc w:val="both"/>
        <w:rPr>
          <w:rFonts w:ascii="Abadi" w:hAnsi="Abadi" w:cs="*Microsoft Sans Serif-Italic-10"/>
          <w:i/>
          <w:iCs/>
          <w:color w:val="222122"/>
          <w:sz w:val="21"/>
          <w:szCs w:val="21"/>
        </w:rPr>
      </w:pPr>
      <w:r w:rsidRPr="00D03875">
        <w:rPr>
          <w:rFonts w:ascii="Abadi" w:hAnsi="Abadi" w:cs="*Microsoft Sans Serif-Italic-10"/>
          <w:i/>
          <w:iCs/>
          <w:color w:val="222122"/>
          <w:sz w:val="21"/>
          <w:szCs w:val="21"/>
        </w:rPr>
        <w:t xml:space="preserve">Lo antes expuesto no pretende, de ningún modo, contraponer la artesanía al desarrollo industrial ni, mucho </w:t>
      </w:r>
      <w:r w:rsidRPr="00D03875">
        <w:rPr>
          <w:rFonts w:ascii="Abadi" w:hAnsi="Abadi" w:cs="*Calibri-10207-Identity-H"/>
          <w:i/>
          <w:iCs/>
          <w:color w:val="222122"/>
          <w:sz w:val="21"/>
          <w:szCs w:val="21"/>
        </w:rPr>
        <w:t xml:space="preserve">menos, </w:t>
      </w:r>
      <w:r w:rsidRPr="00D03875">
        <w:rPr>
          <w:rFonts w:ascii="Abadi" w:hAnsi="Abadi" w:cs="*Microsoft Sans Serif-Italic-10"/>
          <w:i/>
          <w:iCs/>
          <w:color w:val="222122"/>
          <w:sz w:val="21"/>
          <w:szCs w:val="21"/>
        </w:rPr>
        <w:t xml:space="preserve">decantarse por una. Resultaría irresponsable considerar únicamente a la artesanía </w:t>
      </w:r>
      <w:r w:rsidRPr="00D03875">
        <w:rPr>
          <w:rFonts w:ascii="Abadi" w:hAnsi="Abadi" w:cs="*Calibri-10207-Identity-H"/>
          <w:i/>
          <w:iCs/>
          <w:color w:val="222122"/>
          <w:sz w:val="21"/>
          <w:szCs w:val="21"/>
        </w:rPr>
        <w:t xml:space="preserve">como </w:t>
      </w:r>
      <w:r w:rsidRPr="00D03875">
        <w:rPr>
          <w:rFonts w:ascii="Abadi" w:hAnsi="Abadi" w:cs="*Microsoft Sans Serif-Italic-10"/>
          <w:i/>
          <w:iCs/>
          <w:color w:val="222122"/>
          <w:sz w:val="21"/>
          <w:szCs w:val="21"/>
        </w:rPr>
        <w:t xml:space="preserve">vía de solución de </w:t>
      </w:r>
      <w:r w:rsidRPr="00D03875">
        <w:rPr>
          <w:rFonts w:ascii="Abadi" w:hAnsi="Abadi" w:cs="*Calibri-10207-Identity-H"/>
          <w:i/>
          <w:iCs/>
          <w:color w:val="222122"/>
          <w:sz w:val="21"/>
          <w:szCs w:val="21"/>
        </w:rPr>
        <w:t xml:space="preserve">las altas </w:t>
      </w:r>
      <w:r w:rsidRPr="00D03875">
        <w:rPr>
          <w:rFonts w:ascii="Abadi" w:hAnsi="Abadi" w:cs="*Microsoft Sans Serif-Italic-10"/>
          <w:i/>
          <w:iCs/>
          <w:color w:val="222122"/>
          <w:sz w:val="21"/>
          <w:szCs w:val="21"/>
        </w:rPr>
        <w:t>tasas de desempleo y del déficit comercial que aquejan a nuestras economías.</w:t>
      </w:r>
    </w:p>
    <w:p w14:paraId="24F39253" w14:textId="77777777" w:rsidR="00A72A7F" w:rsidRPr="00D03875" w:rsidRDefault="00A72A7F" w:rsidP="00A72A7F">
      <w:pPr>
        <w:autoSpaceDE w:val="0"/>
        <w:autoSpaceDN w:val="0"/>
        <w:adjustRightInd w:val="0"/>
        <w:ind w:left="709"/>
        <w:jc w:val="both"/>
        <w:rPr>
          <w:rFonts w:ascii="Abadi" w:hAnsi="Abadi" w:cs="*Microsoft Sans Serif-Italic-10"/>
          <w:i/>
          <w:iCs/>
          <w:color w:val="222122"/>
          <w:sz w:val="21"/>
          <w:szCs w:val="21"/>
        </w:rPr>
      </w:pPr>
    </w:p>
    <w:p w14:paraId="2F4147C8" w14:textId="77777777" w:rsidR="00A72A7F" w:rsidRPr="004471E0" w:rsidRDefault="00A72A7F" w:rsidP="00A72A7F">
      <w:pPr>
        <w:autoSpaceDE w:val="0"/>
        <w:autoSpaceDN w:val="0"/>
        <w:adjustRightInd w:val="0"/>
        <w:ind w:left="709"/>
        <w:jc w:val="both"/>
        <w:rPr>
          <w:rFonts w:ascii="Abadi" w:hAnsi="Abadi" w:cs="*Microsoft Sans Serif-Italic-10"/>
          <w:i/>
          <w:iCs/>
          <w:color w:val="222223"/>
          <w:sz w:val="21"/>
          <w:szCs w:val="21"/>
        </w:rPr>
      </w:pPr>
      <w:r w:rsidRPr="004471E0">
        <w:rPr>
          <w:rFonts w:ascii="Abadi" w:hAnsi="Abadi" w:cs="*Microsoft Sans Serif-Italic-10"/>
          <w:i/>
          <w:iCs/>
          <w:color w:val="1F1F21"/>
          <w:sz w:val="21"/>
          <w:szCs w:val="21"/>
        </w:rPr>
        <w:t xml:space="preserve">Por </w:t>
      </w:r>
      <w:r w:rsidRPr="004471E0">
        <w:rPr>
          <w:rFonts w:ascii="Abadi" w:hAnsi="Abadi" w:cs="*Calibri-10207-Identity-H"/>
          <w:i/>
          <w:iCs/>
          <w:color w:val="1F1F21"/>
          <w:sz w:val="21"/>
          <w:szCs w:val="21"/>
        </w:rPr>
        <w:t xml:space="preserve">lo </w:t>
      </w:r>
      <w:r w:rsidRPr="004471E0">
        <w:rPr>
          <w:rFonts w:ascii="Abadi" w:hAnsi="Abadi" w:cs="*Microsoft Sans Serif-Italic-10"/>
          <w:i/>
          <w:iCs/>
          <w:color w:val="1F1F21"/>
          <w:sz w:val="21"/>
          <w:szCs w:val="21"/>
        </w:rPr>
        <w:t xml:space="preserve">que se refiere a cifras concretas, puede afirmarse que el sector artesano ocupa, </w:t>
      </w:r>
      <w:r w:rsidRPr="004471E0">
        <w:rPr>
          <w:rFonts w:ascii="Abadi" w:hAnsi="Abadi" w:cs="*Calibri-10207-Identity-H"/>
          <w:i/>
          <w:iCs/>
          <w:color w:val="1F1F21"/>
          <w:sz w:val="21"/>
          <w:szCs w:val="21"/>
        </w:rPr>
        <w:t xml:space="preserve">en el </w:t>
      </w:r>
      <w:r w:rsidRPr="004471E0">
        <w:rPr>
          <w:rFonts w:ascii="Abadi" w:hAnsi="Abadi" w:cs="*Microsoft Sans Serif-Italic-10"/>
          <w:i/>
          <w:iCs/>
          <w:color w:val="1F1F21"/>
          <w:sz w:val="21"/>
          <w:szCs w:val="21"/>
        </w:rPr>
        <w:t xml:space="preserve">conjunto de </w:t>
      </w:r>
      <w:r w:rsidRPr="004471E0">
        <w:rPr>
          <w:rFonts w:ascii="Abadi" w:hAnsi="Abadi" w:cs="*Calibri-10207-Identity-H"/>
          <w:i/>
          <w:iCs/>
          <w:color w:val="1F1F21"/>
          <w:sz w:val="21"/>
          <w:szCs w:val="21"/>
        </w:rPr>
        <w:t xml:space="preserve">los </w:t>
      </w:r>
      <w:r w:rsidRPr="004471E0">
        <w:rPr>
          <w:rFonts w:ascii="Abadi" w:hAnsi="Abadi" w:cs="*Microsoft Sans Serif-Italic-10"/>
          <w:i/>
          <w:iCs/>
          <w:color w:val="1F1F21"/>
          <w:sz w:val="21"/>
          <w:szCs w:val="21"/>
        </w:rPr>
        <w:t xml:space="preserve">países latinoamericanos, </w:t>
      </w:r>
      <w:r w:rsidRPr="004471E0">
        <w:rPr>
          <w:rFonts w:ascii="Abadi" w:hAnsi="Abadi" w:cs="*Calibri-10207-Identity-H"/>
          <w:i/>
          <w:iCs/>
          <w:color w:val="1F1F21"/>
          <w:sz w:val="21"/>
          <w:szCs w:val="21"/>
        </w:rPr>
        <w:t xml:space="preserve">el </w:t>
      </w:r>
      <w:r w:rsidRPr="004471E0">
        <w:rPr>
          <w:rFonts w:ascii="Abadi" w:hAnsi="Abadi" w:cs="*Microsoft Sans Serif-Italic-10"/>
          <w:i/>
          <w:iCs/>
          <w:color w:val="1F1F21"/>
          <w:sz w:val="21"/>
          <w:szCs w:val="21"/>
        </w:rPr>
        <w:t>segundo lugar en importancia e</w:t>
      </w:r>
      <w:r w:rsidRPr="004471E0">
        <w:rPr>
          <w:rFonts w:ascii="Abadi" w:hAnsi="Abadi" w:cs="*Microsoft Sans Serif-Italic-10"/>
          <w:i/>
          <w:iCs/>
          <w:color w:val="313131"/>
          <w:sz w:val="21"/>
          <w:szCs w:val="21"/>
        </w:rPr>
        <w:t>c</w:t>
      </w:r>
      <w:r w:rsidRPr="004471E0">
        <w:rPr>
          <w:rFonts w:ascii="Abadi" w:hAnsi="Abadi" w:cs="*Microsoft Sans Serif-Italic-10"/>
          <w:i/>
          <w:iCs/>
          <w:color w:val="1F1F21"/>
          <w:sz w:val="21"/>
          <w:szCs w:val="21"/>
        </w:rPr>
        <w:t>on</w:t>
      </w:r>
      <w:r w:rsidRPr="004471E0">
        <w:rPr>
          <w:rFonts w:ascii="Abadi" w:hAnsi="Abadi" w:cs="*Microsoft Sans Serif-Italic-10"/>
          <w:i/>
          <w:iCs/>
          <w:color w:val="313131"/>
          <w:sz w:val="21"/>
          <w:szCs w:val="21"/>
        </w:rPr>
        <w:t>ó</w:t>
      </w:r>
      <w:r w:rsidRPr="004471E0">
        <w:rPr>
          <w:rFonts w:ascii="Abadi" w:hAnsi="Abadi" w:cs="*Microsoft Sans Serif-Italic-10"/>
          <w:i/>
          <w:iCs/>
          <w:color w:val="1F1F21"/>
          <w:sz w:val="21"/>
          <w:szCs w:val="21"/>
        </w:rPr>
        <w:t>mica</w:t>
      </w:r>
      <w:r w:rsidRPr="004471E0">
        <w:rPr>
          <w:rFonts w:ascii="Abadi" w:hAnsi="Abadi" w:cs="*Microsoft Sans Serif-Italic-10"/>
          <w:i/>
          <w:iCs/>
          <w:color w:val="B1B1B1"/>
          <w:sz w:val="21"/>
          <w:szCs w:val="21"/>
        </w:rPr>
        <w:t xml:space="preserve">. </w:t>
      </w:r>
      <w:r w:rsidRPr="004471E0">
        <w:rPr>
          <w:rFonts w:ascii="Abadi" w:hAnsi="Abadi" w:cs="*Microsoft Sans Serif-Italic-10"/>
          <w:i/>
          <w:iCs/>
          <w:color w:val="1F1F21"/>
          <w:sz w:val="21"/>
          <w:szCs w:val="21"/>
        </w:rPr>
        <w:t xml:space="preserve">por el volumen de empleo generado -la agricultura </w:t>
      </w:r>
      <w:r w:rsidRPr="004471E0">
        <w:rPr>
          <w:rFonts w:ascii="Abadi" w:hAnsi="Abadi" w:cs="*Calibri-10207-Identity-H"/>
          <w:i/>
          <w:iCs/>
          <w:color w:val="1F1F21"/>
          <w:sz w:val="21"/>
          <w:szCs w:val="21"/>
        </w:rPr>
        <w:t xml:space="preserve">ocupa </w:t>
      </w:r>
      <w:r w:rsidRPr="004471E0">
        <w:rPr>
          <w:rFonts w:ascii="Abadi" w:hAnsi="Abadi" w:cs="*Microsoft Sans Serif-Italic-10"/>
          <w:i/>
          <w:iCs/>
          <w:color w:val="1F1F21"/>
          <w:sz w:val="21"/>
          <w:szCs w:val="21"/>
        </w:rPr>
        <w:t xml:space="preserve">el primer puesto-, cifrándose en </w:t>
      </w:r>
      <w:r w:rsidRPr="004471E0">
        <w:rPr>
          <w:rFonts w:ascii="Abadi" w:hAnsi="Abadi" w:cs="*Calibri-10207-Identity-H"/>
          <w:i/>
          <w:iCs/>
          <w:color w:val="1F1F21"/>
          <w:sz w:val="21"/>
          <w:szCs w:val="21"/>
        </w:rPr>
        <w:t xml:space="preserve">unos </w:t>
      </w:r>
      <w:r w:rsidRPr="004471E0">
        <w:rPr>
          <w:rFonts w:ascii="Abadi" w:hAnsi="Abadi" w:cs="*Microsoft Sans Serif-Italic-10"/>
          <w:i/>
          <w:iCs/>
          <w:color w:val="1F1F21"/>
          <w:sz w:val="21"/>
          <w:szCs w:val="21"/>
        </w:rPr>
        <w:t xml:space="preserve">20 millones, según el Sistema Económico Latinoamericano, el número de artesanos existentes </w:t>
      </w:r>
      <w:r w:rsidRPr="004471E0">
        <w:rPr>
          <w:rFonts w:ascii="Abadi" w:hAnsi="Abadi" w:cs="*Microsoft Sans Serif-Italic-10"/>
          <w:i/>
          <w:iCs/>
          <w:color w:val="202022"/>
          <w:sz w:val="21"/>
          <w:szCs w:val="21"/>
        </w:rPr>
        <w:t xml:space="preserve">Lo importancia </w:t>
      </w:r>
      <w:r w:rsidRPr="004471E0">
        <w:rPr>
          <w:rFonts w:ascii="Abadi" w:hAnsi="Abadi" w:cs="*Calibri-10207-Identity-H"/>
          <w:i/>
          <w:iCs/>
          <w:color w:val="202022"/>
          <w:sz w:val="21"/>
          <w:szCs w:val="21"/>
        </w:rPr>
        <w:t xml:space="preserve">económica </w:t>
      </w:r>
      <w:r w:rsidRPr="004471E0">
        <w:rPr>
          <w:rFonts w:ascii="Abadi" w:hAnsi="Abadi" w:cs="*Microsoft Sans Serif-Italic-10"/>
          <w:i/>
          <w:iCs/>
          <w:color w:val="202022"/>
          <w:sz w:val="21"/>
          <w:szCs w:val="21"/>
        </w:rPr>
        <w:t xml:space="preserve">de la artesanía en Europa es mucho </w:t>
      </w:r>
      <w:r w:rsidRPr="004471E0">
        <w:rPr>
          <w:rFonts w:ascii="Abadi" w:hAnsi="Abadi" w:cs="*Calibri-10207-Identity-H"/>
          <w:i/>
          <w:iCs/>
          <w:color w:val="202022"/>
          <w:sz w:val="21"/>
          <w:szCs w:val="21"/>
        </w:rPr>
        <w:t xml:space="preserve">más </w:t>
      </w:r>
      <w:r w:rsidRPr="004471E0">
        <w:rPr>
          <w:rFonts w:ascii="Abadi" w:hAnsi="Abadi" w:cs="*Microsoft Sans Serif-Italic-10"/>
          <w:i/>
          <w:iCs/>
          <w:color w:val="202022"/>
          <w:sz w:val="21"/>
          <w:szCs w:val="21"/>
        </w:rPr>
        <w:t xml:space="preserve">reducida, pues, por ejemplo, el volumen de </w:t>
      </w:r>
      <w:r w:rsidRPr="004471E0">
        <w:rPr>
          <w:rFonts w:ascii="Abadi" w:hAnsi="Abadi" w:cs="*Calibri-10207-Identity-H"/>
          <w:i/>
          <w:iCs/>
          <w:color w:val="202022"/>
          <w:sz w:val="21"/>
          <w:szCs w:val="21"/>
        </w:rPr>
        <w:t>m</w:t>
      </w:r>
      <w:r>
        <w:rPr>
          <w:rFonts w:ascii="Abadi" w:hAnsi="Abadi" w:cs="*Calibri-10207-Identity-H"/>
          <w:i/>
          <w:iCs/>
          <w:color w:val="202022"/>
          <w:sz w:val="21"/>
          <w:szCs w:val="21"/>
        </w:rPr>
        <w:t>a</w:t>
      </w:r>
      <w:r w:rsidRPr="004471E0">
        <w:rPr>
          <w:rFonts w:ascii="Abadi" w:hAnsi="Abadi" w:cs="*Calibri-10207-Identity-H"/>
          <w:i/>
          <w:iCs/>
          <w:color w:val="202022"/>
          <w:sz w:val="21"/>
          <w:szCs w:val="21"/>
        </w:rPr>
        <w:t xml:space="preserve">no </w:t>
      </w:r>
      <w:r w:rsidRPr="004471E0">
        <w:rPr>
          <w:rFonts w:ascii="Abadi" w:hAnsi="Abadi" w:cs="*Microsoft Sans Serif-Italic-10"/>
          <w:i/>
          <w:iCs/>
          <w:color w:val="202022"/>
          <w:sz w:val="21"/>
          <w:szCs w:val="21"/>
        </w:rPr>
        <w:t>de obr</w:t>
      </w:r>
      <w:r>
        <w:rPr>
          <w:rFonts w:ascii="Abadi" w:hAnsi="Abadi" w:cs="*Microsoft Sans Serif-Italic-10"/>
          <w:i/>
          <w:iCs/>
          <w:color w:val="202022"/>
          <w:sz w:val="21"/>
          <w:szCs w:val="21"/>
        </w:rPr>
        <w:t xml:space="preserve">a </w:t>
      </w:r>
      <w:r w:rsidRPr="004471E0">
        <w:rPr>
          <w:rFonts w:ascii="Abadi" w:hAnsi="Abadi" w:cs="*Microsoft Sans Serif-Italic-10"/>
          <w:i/>
          <w:iCs/>
          <w:color w:val="202022"/>
          <w:sz w:val="21"/>
          <w:szCs w:val="21"/>
        </w:rPr>
        <w:t xml:space="preserve">empleado </w:t>
      </w:r>
      <w:r w:rsidRPr="004471E0">
        <w:rPr>
          <w:rFonts w:ascii="Abadi" w:hAnsi="Abadi" w:cs="*Calibri-10207-Identity-H"/>
          <w:i/>
          <w:iCs/>
          <w:color w:val="202022"/>
          <w:sz w:val="21"/>
          <w:szCs w:val="21"/>
        </w:rPr>
        <w:t xml:space="preserve">en </w:t>
      </w:r>
      <w:r w:rsidRPr="004471E0">
        <w:rPr>
          <w:rFonts w:ascii="Abadi" w:hAnsi="Abadi" w:cs="*Microsoft Sans Serif-Italic-10"/>
          <w:i/>
          <w:iCs/>
          <w:color w:val="202022"/>
          <w:sz w:val="21"/>
          <w:szCs w:val="21"/>
        </w:rPr>
        <w:t xml:space="preserve">España en </w:t>
      </w:r>
      <w:r w:rsidRPr="004471E0">
        <w:rPr>
          <w:rFonts w:ascii="Abadi" w:hAnsi="Abadi" w:cs="*Calibri-10207-Identity-H"/>
          <w:i/>
          <w:iCs/>
          <w:color w:val="202022"/>
          <w:sz w:val="21"/>
          <w:szCs w:val="21"/>
        </w:rPr>
        <w:t xml:space="preserve">los </w:t>
      </w:r>
      <w:r w:rsidRPr="004471E0">
        <w:rPr>
          <w:rFonts w:ascii="Abadi" w:hAnsi="Abadi" w:cs="*Microsoft Sans Serif-Italic-10"/>
          <w:i/>
          <w:iCs/>
          <w:color w:val="202022"/>
          <w:sz w:val="21"/>
          <w:szCs w:val="21"/>
        </w:rPr>
        <w:t xml:space="preserve">actividades artesanas </w:t>
      </w:r>
      <w:r w:rsidRPr="004471E0">
        <w:rPr>
          <w:rFonts w:ascii="Abadi" w:hAnsi="Abadi" w:cs="*Calibri-10207-Identity-H"/>
          <w:i/>
          <w:iCs/>
          <w:color w:val="202022"/>
          <w:sz w:val="21"/>
          <w:szCs w:val="21"/>
        </w:rPr>
        <w:t xml:space="preserve">-encuadrados </w:t>
      </w:r>
      <w:r w:rsidRPr="004471E0">
        <w:rPr>
          <w:rFonts w:ascii="Abadi" w:hAnsi="Abadi" w:cs="*Microsoft Sans Serif-Italic-10"/>
          <w:i/>
          <w:iCs/>
          <w:color w:val="202022"/>
          <w:sz w:val="21"/>
          <w:szCs w:val="21"/>
        </w:rPr>
        <w:t>en el sector</w:t>
      </w:r>
      <w:r w:rsidRPr="004471E0">
        <w:rPr>
          <w:rFonts w:ascii="Abadi" w:hAnsi="Abadi" w:cs="*Microsoft Sans Serif-Italic-10"/>
          <w:i/>
          <w:iCs/>
          <w:color w:val="222223"/>
          <w:sz w:val="21"/>
          <w:szCs w:val="21"/>
        </w:rPr>
        <w:t xml:space="preserve"> secundario de la economía- apenas supera el </w:t>
      </w:r>
      <w:r w:rsidRPr="004471E0">
        <w:rPr>
          <w:rFonts w:ascii="Abadi" w:hAnsi="Abadi" w:cs="*Calibri-10339-Identity-H"/>
          <w:i/>
          <w:iCs/>
          <w:color w:val="222223"/>
          <w:sz w:val="21"/>
          <w:szCs w:val="21"/>
        </w:rPr>
        <w:t xml:space="preserve">0,60% </w:t>
      </w:r>
      <w:r w:rsidRPr="004471E0">
        <w:rPr>
          <w:rFonts w:ascii="Abadi" w:hAnsi="Abadi" w:cs="*Microsoft Sans Serif-Italic-10"/>
          <w:i/>
          <w:iCs/>
          <w:color w:val="222223"/>
          <w:sz w:val="21"/>
          <w:szCs w:val="21"/>
        </w:rPr>
        <w:t xml:space="preserve">de la población activa, porcentaje similar </w:t>
      </w:r>
      <w:r w:rsidRPr="004471E0">
        <w:rPr>
          <w:rFonts w:ascii="Abadi" w:hAnsi="Abadi" w:cs="*Arial-10341-Identity-H"/>
          <w:i/>
          <w:iCs/>
          <w:color w:val="222223"/>
          <w:sz w:val="21"/>
          <w:szCs w:val="21"/>
        </w:rPr>
        <w:t xml:space="preserve">al </w:t>
      </w:r>
      <w:r w:rsidRPr="004471E0">
        <w:rPr>
          <w:rFonts w:ascii="Abadi" w:hAnsi="Abadi" w:cs="*Microsoft Sans Serif-Italic-10"/>
          <w:i/>
          <w:iCs/>
          <w:color w:val="222223"/>
          <w:sz w:val="21"/>
          <w:szCs w:val="21"/>
        </w:rPr>
        <w:t xml:space="preserve">del valor de </w:t>
      </w:r>
      <w:r w:rsidRPr="004471E0">
        <w:rPr>
          <w:rFonts w:ascii="Abadi" w:hAnsi="Abadi" w:cs="*Arial-10341-Identity-H"/>
          <w:i/>
          <w:iCs/>
          <w:color w:val="222223"/>
          <w:sz w:val="21"/>
          <w:szCs w:val="21"/>
        </w:rPr>
        <w:t xml:space="preserve">su </w:t>
      </w:r>
      <w:r w:rsidRPr="004471E0">
        <w:rPr>
          <w:rFonts w:ascii="Abadi" w:hAnsi="Abadi" w:cs="*Microsoft Sans Serif-Italic-10"/>
          <w:i/>
          <w:iCs/>
          <w:color w:val="222223"/>
          <w:sz w:val="21"/>
          <w:szCs w:val="21"/>
        </w:rPr>
        <w:t>producción.</w:t>
      </w:r>
    </w:p>
    <w:p w14:paraId="766B7E06" w14:textId="77777777" w:rsidR="00A72A7F" w:rsidRDefault="00A72A7F" w:rsidP="00A72A7F">
      <w:pPr>
        <w:autoSpaceDE w:val="0"/>
        <w:autoSpaceDN w:val="0"/>
        <w:adjustRightInd w:val="0"/>
        <w:ind w:left="709"/>
        <w:jc w:val="both"/>
        <w:rPr>
          <w:rFonts w:ascii="Abadi" w:hAnsi="Abadi" w:cs="*Microsoft Sans Serif-Italic-10"/>
          <w:i/>
          <w:iCs/>
          <w:color w:val="202022"/>
          <w:sz w:val="21"/>
          <w:szCs w:val="21"/>
        </w:rPr>
      </w:pPr>
    </w:p>
    <w:p w14:paraId="14CE9921" w14:textId="77777777" w:rsidR="00A72A7F" w:rsidRDefault="00A72A7F" w:rsidP="00A72A7F">
      <w:pPr>
        <w:autoSpaceDE w:val="0"/>
        <w:autoSpaceDN w:val="0"/>
        <w:adjustRightInd w:val="0"/>
        <w:ind w:left="709"/>
        <w:jc w:val="both"/>
        <w:rPr>
          <w:rFonts w:ascii="Abadi" w:hAnsi="Abadi" w:cs="*Microsoft Sans Serif-Italic-10"/>
          <w:i/>
          <w:iCs/>
          <w:color w:val="202022"/>
          <w:sz w:val="21"/>
          <w:szCs w:val="21"/>
        </w:rPr>
      </w:pPr>
    </w:p>
    <w:p w14:paraId="54D53EA9" w14:textId="77777777" w:rsidR="00A72A7F" w:rsidRDefault="00A72A7F" w:rsidP="00A72A7F">
      <w:pPr>
        <w:autoSpaceDE w:val="0"/>
        <w:autoSpaceDN w:val="0"/>
        <w:adjustRightInd w:val="0"/>
        <w:ind w:left="709"/>
        <w:jc w:val="both"/>
        <w:rPr>
          <w:rFonts w:ascii="Abadi" w:hAnsi="Abadi" w:cs="*Microsoft Sans Serif-Italic-10"/>
          <w:i/>
          <w:iCs/>
          <w:color w:val="202022"/>
          <w:sz w:val="21"/>
          <w:szCs w:val="21"/>
        </w:rPr>
      </w:pPr>
      <w:r w:rsidRPr="004471E0">
        <w:rPr>
          <w:rFonts w:ascii="Abadi" w:hAnsi="Abadi" w:cs="*Microsoft Sans Serif-Italic-10"/>
          <w:i/>
          <w:iCs/>
          <w:color w:val="202022"/>
          <w:sz w:val="21"/>
          <w:szCs w:val="21"/>
        </w:rPr>
        <w:t>Vertido lo anterior, quienes integramos el Grupo Parlamentario del</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Partido Acción Nacional, consideramos que las actividades artesanas</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 xml:space="preserve">deben estimular lo tomo de uno actitud oficial más </w:t>
      </w:r>
      <w:r w:rsidRPr="004471E0">
        <w:rPr>
          <w:rFonts w:ascii="Abadi" w:hAnsi="Abadi" w:cs="*Arial-10341-Identity-H"/>
          <w:color w:val="202022"/>
          <w:sz w:val="21"/>
          <w:szCs w:val="21"/>
        </w:rPr>
        <w:t xml:space="preserve">decidida </w:t>
      </w:r>
      <w:r w:rsidRPr="004471E0">
        <w:rPr>
          <w:rFonts w:ascii="Abadi" w:hAnsi="Abadi" w:cs="*Microsoft Sans Serif-Italic-10"/>
          <w:i/>
          <w:iCs/>
          <w:color w:val="202022"/>
          <w:sz w:val="21"/>
          <w:szCs w:val="21"/>
        </w:rPr>
        <w:t>de</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apoyo y fomento de estas, por ello presentamos ante esta honorable</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 xml:space="preserve">asamblea </w:t>
      </w:r>
      <w:r w:rsidRPr="004471E0">
        <w:rPr>
          <w:rFonts w:ascii="Abadi" w:hAnsi="Abadi" w:cs="*Arial-10341-Identity-H"/>
          <w:color w:val="202022"/>
          <w:sz w:val="21"/>
          <w:szCs w:val="21"/>
        </w:rPr>
        <w:t xml:space="preserve">la </w:t>
      </w:r>
      <w:r w:rsidRPr="004471E0">
        <w:rPr>
          <w:rFonts w:ascii="Abadi" w:hAnsi="Abadi" w:cs="*Microsoft Sans Serif-Italic-10"/>
          <w:i/>
          <w:iCs/>
          <w:color w:val="202022"/>
          <w:sz w:val="21"/>
          <w:szCs w:val="21"/>
        </w:rPr>
        <w:t xml:space="preserve">creación </w:t>
      </w:r>
      <w:r w:rsidRPr="004471E0">
        <w:rPr>
          <w:rFonts w:ascii="Abadi" w:hAnsi="Abadi" w:cs="*Arial-10341-Identity-H"/>
          <w:color w:val="202022"/>
          <w:sz w:val="21"/>
          <w:szCs w:val="21"/>
        </w:rPr>
        <w:t xml:space="preserve">de </w:t>
      </w:r>
      <w:r w:rsidRPr="004471E0">
        <w:rPr>
          <w:rFonts w:ascii="Abadi" w:hAnsi="Abadi" w:cs="*Microsoft Sans Serif-Italic-10"/>
          <w:i/>
          <w:iCs/>
          <w:color w:val="202022"/>
          <w:sz w:val="21"/>
          <w:szCs w:val="21"/>
        </w:rPr>
        <w:t>un cuerpo normativo en materia artesanal</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cuyo objeto sea impulsar el desarrollo, crecimiento y fortalecimiento</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 xml:space="preserve">del comercio interno, promocionando los productos y </w:t>
      </w:r>
      <w:r w:rsidRPr="004471E0">
        <w:rPr>
          <w:rFonts w:ascii="Abadi" w:hAnsi="Abadi" w:cs="*Arial-10341-Identity-H"/>
          <w:color w:val="202022"/>
          <w:sz w:val="21"/>
          <w:szCs w:val="21"/>
        </w:rPr>
        <w:t xml:space="preserve">servicios </w:t>
      </w:r>
      <w:r w:rsidRPr="004471E0">
        <w:rPr>
          <w:rFonts w:ascii="Abadi" w:hAnsi="Abadi" w:cs="*Microsoft Sans Serif-Italic-10"/>
          <w:i/>
          <w:iCs/>
          <w:color w:val="202022"/>
          <w:sz w:val="21"/>
          <w:szCs w:val="21"/>
        </w:rPr>
        <w:t>de</w:t>
      </w:r>
      <w:r>
        <w:rPr>
          <w:rFonts w:ascii="Abadi" w:hAnsi="Abadi" w:cs="*Microsoft Sans Serif-Italic-10"/>
          <w:i/>
          <w:iCs/>
          <w:color w:val="202022"/>
          <w:sz w:val="21"/>
          <w:szCs w:val="21"/>
        </w:rPr>
        <w:t xml:space="preserve"> </w:t>
      </w:r>
      <w:r w:rsidRPr="004471E0">
        <w:rPr>
          <w:rFonts w:ascii="Abadi" w:hAnsi="Abadi" w:cs="*Arial-10341-Identity-H"/>
          <w:color w:val="202022"/>
          <w:sz w:val="21"/>
          <w:szCs w:val="21"/>
        </w:rPr>
        <w:t xml:space="preserve">empresas </w:t>
      </w:r>
      <w:r w:rsidRPr="004471E0">
        <w:rPr>
          <w:rFonts w:ascii="Abadi" w:hAnsi="Abadi" w:cs="*Microsoft Sans Serif-Italic-10"/>
          <w:i/>
          <w:iCs/>
          <w:color w:val="202022"/>
          <w:sz w:val="21"/>
          <w:szCs w:val="21"/>
        </w:rPr>
        <w:t xml:space="preserve">guanajuatenses con el orgullo de </w:t>
      </w:r>
      <w:r>
        <w:rPr>
          <w:rFonts w:ascii="Abadi" w:hAnsi="Abadi" w:cs="*Arial-10341-Identity-H"/>
          <w:color w:val="202022"/>
          <w:sz w:val="21"/>
          <w:szCs w:val="21"/>
        </w:rPr>
        <w:t xml:space="preserve">la </w:t>
      </w:r>
      <w:r w:rsidRPr="004471E0">
        <w:rPr>
          <w:rFonts w:ascii="Abadi" w:hAnsi="Abadi" w:cs="*Microsoft Sans Serif-Italic-10"/>
          <w:i/>
          <w:iCs/>
          <w:color w:val="202022"/>
          <w:sz w:val="21"/>
          <w:szCs w:val="21"/>
        </w:rPr>
        <w:t>identidad Estatal,</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consolidando su posicionamiento en los mejores escaparates</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comerciales nocionales e internacionales; fomentando procesos de</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mejoro continuo poro desarrollar lo culturo de calidad, competitividad</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 xml:space="preserve">y productividad e integrándoles </w:t>
      </w:r>
      <w:r w:rsidRPr="004471E0">
        <w:rPr>
          <w:rFonts w:ascii="Abadi" w:hAnsi="Abadi" w:cs="*Times New Roman-10337-Identity"/>
          <w:color w:val="202022"/>
          <w:sz w:val="21"/>
          <w:szCs w:val="21"/>
        </w:rPr>
        <w:t xml:space="preserve">a </w:t>
      </w:r>
      <w:r w:rsidRPr="004471E0">
        <w:rPr>
          <w:rFonts w:ascii="Abadi" w:hAnsi="Abadi" w:cs="*Microsoft Sans Serif-Italic-10"/>
          <w:i/>
          <w:iCs/>
          <w:color w:val="202022"/>
          <w:sz w:val="21"/>
          <w:szCs w:val="21"/>
        </w:rPr>
        <w:t>uno cadena de valor de productos</w:t>
      </w:r>
      <w:r>
        <w:rPr>
          <w:rFonts w:ascii="Abadi" w:hAnsi="Abadi" w:cs="*Microsoft Sans Serif-Italic-10"/>
          <w:i/>
          <w:iCs/>
          <w:color w:val="202022"/>
          <w:sz w:val="21"/>
          <w:szCs w:val="21"/>
        </w:rPr>
        <w:t xml:space="preserve"> </w:t>
      </w:r>
      <w:r w:rsidRPr="004471E0">
        <w:rPr>
          <w:rFonts w:ascii="Abadi" w:hAnsi="Abadi" w:cs="*Microsoft Sans Serif-Italic-10"/>
          <w:i/>
          <w:iCs/>
          <w:color w:val="202022"/>
          <w:sz w:val="21"/>
          <w:szCs w:val="21"/>
        </w:rPr>
        <w:t>y servicios diferenciados</w:t>
      </w:r>
      <w:r>
        <w:rPr>
          <w:rFonts w:ascii="Abadi" w:hAnsi="Abadi" w:cs="*Microsoft Sans Serif-Italic-10"/>
          <w:i/>
          <w:iCs/>
          <w:color w:val="202022"/>
          <w:sz w:val="21"/>
          <w:szCs w:val="21"/>
        </w:rPr>
        <w:t xml:space="preserve"> </w:t>
      </w:r>
    </w:p>
    <w:p w14:paraId="13D1B1AA" w14:textId="77777777" w:rsidR="00A72A7F" w:rsidRDefault="00A72A7F" w:rsidP="00A72A7F">
      <w:pPr>
        <w:autoSpaceDE w:val="0"/>
        <w:autoSpaceDN w:val="0"/>
        <w:adjustRightInd w:val="0"/>
        <w:ind w:left="709"/>
        <w:jc w:val="both"/>
        <w:rPr>
          <w:rFonts w:ascii="Abadi" w:hAnsi="Abadi" w:cs="*Microsoft Sans Serif-Italic-10"/>
          <w:i/>
          <w:iCs/>
          <w:color w:val="202022"/>
          <w:sz w:val="21"/>
          <w:szCs w:val="21"/>
        </w:rPr>
      </w:pPr>
    </w:p>
    <w:p w14:paraId="6E99792F" w14:textId="77777777" w:rsidR="00A72A7F" w:rsidRPr="004471E0" w:rsidRDefault="00A72A7F" w:rsidP="00A72A7F">
      <w:pPr>
        <w:autoSpaceDE w:val="0"/>
        <w:autoSpaceDN w:val="0"/>
        <w:adjustRightInd w:val="0"/>
        <w:ind w:left="709"/>
        <w:jc w:val="both"/>
        <w:rPr>
          <w:rFonts w:ascii="Abadi" w:hAnsi="Abadi" w:cs="*Microsoft Sans Serif-Italic-10"/>
          <w:i/>
          <w:iCs/>
          <w:color w:val="212121"/>
          <w:sz w:val="21"/>
          <w:szCs w:val="21"/>
        </w:rPr>
      </w:pPr>
      <w:r w:rsidRPr="004471E0">
        <w:rPr>
          <w:rFonts w:ascii="Abadi" w:hAnsi="Abadi" w:cs="*Microsoft Sans Serif-Italic-10"/>
          <w:i/>
          <w:iCs/>
          <w:color w:val="212121"/>
          <w:sz w:val="21"/>
          <w:szCs w:val="21"/>
        </w:rPr>
        <w:t xml:space="preserve">( </w:t>
      </w:r>
      <w:r w:rsidRPr="004471E0">
        <w:rPr>
          <w:rFonts w:ascii="Abadi" w:hAnsi="Abadi" w:cs="*Times New Roman-Italic-10338-I"/>
          <w:i/>
          <w:iCs/>
          <w:color w:val="212121"/>
          <w:sz w:val="21"/>
          <w:szCs w:val="21"/>
        </w:rPr>
        <w:t xml:space="preserve">... </w:t>
      </w:r>
      <w:r w:rsidRPr="004471E0">
        <w:rPr>
          <w:rFonts w:ascii="Abadi" w:hAnsi="Abadi" w:cs="*Microsoft Sans Serif-Italic-10"/>
          <w:i/>
          <w:iCs/>
          <w:color w:val="212121"/>
          <w:sz w:val="21"/>
          <w:szCs w:val="21"/>
        </w:rPr>
        <w:t>)</w:t>
      </w:r>
    </w:p>
    <w:p w14:paraId="10CAE348" w14:textId="77777777" w:rsidR="00A72A7F" w:rsidRPr="009E40A9" w:rsidRDefault="00A72A7F" w:rsidP="00A72A7F">
      <w:pPr>
        <w:autoSpaceDE w:val="0"/>
        <w:autoSpaceDN w:val="0"/>
        <w:adjustRightInd w:val="0"/>
        <w:ind w:left="709"/>
        <w:jc w:val="both"/>
        <w:rPr>
          <w:rFonts w:ascii="Abadi" w:hAnsi="Abadi" w:cs="*Arial-10341-Identity-H"/>
          <w:i/>
          <w:iCs/>
          <w:color w:val="212123"/>
          <w:sz w:val="21"/>
          <w:szCs w:val="21"/>
        </w:rPr>
      </w:pPr>
    </w:p>
    <w:p w14:paraId="527E0783" w14:textId="77777777" w:rsidR="00A72A7F" w:rsidRPr="009E40A9" w:rsidRDefault="00A72A7F" w:rsidP="00A72A7F">
      <w:pPr>
        <w:autoSpaceDE w:val="0"/>
        <w:autoSpaceDN w:val="0"/>
        <w:adjustRightInd w:val="0"/>
        <w:ind w:left="709" w:firstLine="708"/>
        <w:jc w:val="both"/>
        <w:rPr>
          <w:rFonts w:ascii="Abadi" w:hAnsi="Abadi" w:cs="*Microsoft Sans Serif-Italic-10"/>
          <w:i/>
          <w:iCs/>
          <w:color w:val="212123"/>
          <w:sz w:val="21"/>
          <w:szCs w:val="21"/>
        </w:rPr>
      </w:pPr>
      <w:r w:rsidRPr="009E40A9">
        <w:rPr>
          <w:rFonts w:ascii="Abadi" w:hAnsi="Abadi" w:cs="*Arial-10341-Identity-H"/>
          <w:i/>
          <w:iCs/>
          <w:color w:val="212123"/>
          <w:sz w:val="21"/>
          <w:szCs w:val="21"/>
        </w:rPr>
        <w:t xml:space="preserve">l. Impacto </w:t>
      </w:r>
      <w:r w:rsidRPr="009E40A9">
        <w:rPr>
          <w:rFonts w:ascii="Abadi" w:hAnsi="Abadi" w:cs="*Microsoft Sans Serif-Italic-10"/>
          <w:i/>
          <w:iCs/>
          <w:color w:val="212123"/>
          <w:sz w:val="21"/>
          <w:szCs w:val="21"/>
        </w:rPr>
        <w:t xml:space="preserve">jurídico: El artículo 40 de la Constitución Política de los Estados Unidos Mexicanos establece que </w:t>
      </w:r>
      <w:r w:rsidRPr="009E40A9">
        <w:rPr>
          <w:rFonts w:ascii="Abadi" w:hAnsi="Abadi" w:cs="*Arial-10341-Identity-H"/>
          <w:i/>
          <w:iCs/>
          <w:color w:val="212123"/>
          <w:sz w:val="21"/>
          <w:szCs w:val="21"/>
        </w:rPr>
        <w:t xml:space="preserve">es </w:t>
      </w:r>
      <w:r w:rsidRPr="009E40A9">
        <w:rPr>
          <w:rFonts w:ascii="Abadi" w:hAnsi="Abadi" w:cs="*Microsoft Sans Serif-Italic-10"/>
          <w:i/>
          <w:iCs/>
          <w:color w:val="212123"/>
          <w:sz w:val="21"/>
          <w:szCs w:val="21"/>
        </w:rPr>
        <w:t xml:space="preserve">voluntad del pueblo mexicano constituirse en uno República representativo, democrático, laico, federal, compuesto de Estados libres y soberanos </w:t>
      </w:r>
      <w:r w:rsidRPr="009E40A9">
        <w:rPr>
          <w:rFonts w:ascii="Abadi" w:hAnsi="Abadi" w:cs="*Arial-10341-Identity-H"/>
          <w:i/>
          <w:iCs/>
          <w:color w:val="212123"/>
          <w:sz w:val="21"/>
          <w:szCs w:val="21"/>
        </w:rPr>
        <w:t xml:space="preserve">en </w:t>
      </w:r>
      <w:r w:rsidRPr="009E40A9">
        <w:rPr>
          <w:rFonts w:ascii="Abadi" w:hAnsi="Abadi" w:cs="*Microsoft Sans Serif-Italic-10"/>
          <w:i/>
          <w:iCs/>
          <w:color w:val="212123"/>
          <w:sz w:val="21"/>
          <w:szCs w:val="21"/>
        </w:rPr>
        <w:t xml:space="preserve">todo lo concerniente </w:t>
      </w:r>
      <w:r w:rsidRPr="009E40A9">
        <w:rPr>
          <w:rFonts w:ascii="Abadi" w:hAnsi="Abadi" w:cs="*Times New Roman-10337-Identity"/>
          <w:i/>
          <w:iCs/>
          <w:color w:val="212123"/>
          <w:sz w:val="21"/>
          <w:szCs w:val="21"/>
        </w:rPr>
        <w:t xml:space="preserve">a </w:t>
      </w:r>
      <w:r w:rsidRPr="009E40A9">
        <w:rPr>
          <w:rFonts w:ascii="Abadi" w:hAnsi="Abadi" w:cs="*Microsoft Sans Serif-Italic-10"/>
          <w:i/>
          <w:iCs/>
          <w:color w:val="212123"/>
          <w:sz w:val="21"/>
          <w:szCs w:val="21"/>
        </w:rPr>
        <w:t xml:space="preserve">su régimen interior. </w:t>
      </w:r>
      <w:r w:rsidRPr="009E40A9">
        <w:rPr>
          <w:rFonts w:ascii="Abadi" w:hAnsi="Abadi" w:cs="*Calibri-10339-Identity-H"/>
          <w:i/>
          <w:iCs/>
          <w:color w:val="212123"/>
          <w:sz w:val="21"/>
          <w:szCs w:val="21"/>
        </w:rPr>
        <w:t xml:space="preserve">A </w:t>
      </w:r>
      <w:r w:rsidRPr="009E40A9">
        <w:rPr>
          <w:rFonts w:ascii="Abadi" w:hAnsi="Abadi" w:cs="*Microsoft Sans Serif-Italic-10"/>
          <w:i/>
          <w:iCs/>
          <w:color w:val="212123"/>
          <w:sz w:val="21"/>
          <w:szCs w:val="21"/>
        </w:rPr>
        <w:t xml:space="preserve">su vez, la Constitución Política para el Estado de Guanajuato, en sus artículos 37 y 56 fracción II establece </w:t>
      </w:r>
      <w:r w:rsidRPr="009E40A9">
        <w:rPr>
          <w:rFonts w:ascii="Abadi" w:hAnsi="Abadi" w:cs="*Arial-10341-Identity-H"/>
          <w:i/>
          <w:iCs/>
          <w:color w:val="212123"/>
          <w:sz w:val="21"/>
          <w:szCs w:val="21"/>
        </w:rPr>
        <w:t xml:space="preserve">lo </w:t>
      </w:r>
      <w:r w:rsidRPr="009E40A9">
        <w:rPr>
          <w:rFonts w:ascii="Abadi" w:hAnsi="Abadi" w:cs="*Microsoft Sans Serif-Italic-10"/>
          <w:i/>
          <w:iCs/>
          <w:color w:val="212123"/>
          <w:sz w:val="21"/>
          <w:szCs w:val="21"/>
        </w:rPr>
        <w:t xml:space="preserve">facultad del Congreso del Estado </w:t>
      </w:r>
      <w:r w:rsidRPr="009E40A9">
        <w:rPr>
          <w:rFonts w:ascii="Abadi" w:hAnsi="Abadi" w:cs="*Arial-10341-Identity-H"/>
          <w:i/>
          <w:iCs/>
          <w:color w:val="212123"/>
          <w:sz w:val="21"/>
          <w:szCs w:val="21"/>
        </w:rPr>
        <w:t xml:space="preserve">como </w:t>
      </w:r>
      <w:r w:rsidRPr="009E40A9">
        <w:rPr>
          <w:rFonts w:ascii="Abadi" w:hAnsi="Abadi" w:cs="*Microsoft Sans Serif-Italic-10"/>
          <w:i/>
          <w:iCs/>
          <w:color w:val="212123"/>
          <w:sz w:val="21"/>
          <w:szCs w:val="21"/>
        </w:rPr>
        <w:t xml:space="preserve">poder legislativo con el derecho de proponer iniciativos de leyes y decretos que permitan crear o reformar en morco jurídico de nuestro estado. En este coso, se propone expedir </w:t>
      </w:r>
      <w:r w:rsidRPr="009E40A9">
        <w:rPr>
          <w:rFonts w:ascii="Abadi" w:hAnsi="Abadi" w:cs="*Arial-10341-Identity-H"/>
          <w:i/>
          <w:iCs/>
          <w:color w:val="212123"/>
          <w:sz w:val="21"/>
          <w:szCs w:val="21"/>
        </w:rPr>
        <w:t xml:space="preserve">lo </w:t>
      </w:r>
      <w:r w:rsidRPr="009E40A9">
        <w:rPr>
          <w:rFonts w:ascii="Abadi" w:hAnsi="Abadi" w:cs="*Microsoft Sans Serif-Italic-10"/>
          <w:i/>
          <w:iCs/>
          <w:color w:val="212123"/>
          <w:sz w:val="21"/>
          <w:szCs w:val="21"/>
        </w:rPr>
        <w:t xml:space="preserve">Ley de Fomento e Impulso a </w:t>
      </w:r>
      <w:r w:rsidRPr="009E40A9">
        <w:rPr>
          <w:rFonts w:ascii="Abadi" w:hAnsi="Abadi" w:cs="*Arial-10341-Identity-H"/>
          <w:i/>
          <w:iCs/>
          <w:color w:val="212123"/>
          <w:sz w:val="21"/>
          <w:szCs w:val="21"/>
        </w:rPr>
        <w:t xml:space="preserve">la </w:t>
      </w:r>
      <w:r w:rsidRPr="009E40A9">
        <w:rPr>
          <w:rFonts w:ascii="Abadi" w:hAnsi="Abadi" w:cs="*Microsoft Sans Serif-Italic-10"/>
          <w:i/>
          <w:iCs/>
          <w:color w:val="212123"/>
          <w:sz w:val="21"/>
          <w:szCs w:val="21"/>
        </w:rPr>
        <w:t>Actividad</w:t>
      </w:r>
      <w:r>
        <w:rPr>
          <w:rFonts w:ascii="Abadi" w:hAnsi="Abadi" w:cs="*Microsoft Sans Serif-Italic-10"/>
          <w:i/>
          <w:iCs/>
          <w:color w:val="212123"/>
          <w:sz w:val="21"/>
          <w:szCs w:val="21"/>
        </w:rPr>
        <w:t xml:space="preserve"> </w:t>
      </w:r>
      <w:r w:rsidRPr="009E40A9">
        <w:rPr>
          <w:rFonts w:ascii="Abadi" w:hAnsi="Abadi" w:cs="*Microsoft Sans Serif-Italic-10"/>
          <w:i/>
          <w:iCs/>
          <w:color w:val="212123"/>
          <w:sz w:val="21"/>
          <w:szCs w:val="21"/>
        </w:rPr>
        <w:t xml:space="preserve">Artesanal </w:t>
      </w:r>
      <w:r w:rsidRPr="009E40A9">
        <w:rPr>
          <w:rFonts w:ascii="Abadi" w:hAnsi="Abadi" w:cs="*Arial-10341-Identity-H"/>
          <w:i/>
          <w:iCs/>
          <w:color w:val="212123"/>
          <w:sz w:val="21"/>
          <w:szCs w:val="21"/>
        </w:rPr>
        <w:t xml:space="preserve">para el </w:t>
      </w:r>
      <w:r w:rsidRPr="009E40A9">
        <w:rPr>
          <w:rFonts w:ascii="Abadi" w:hAnsi="Abadi" w:cs="*Microsoft Sans Serif-Italic-10"/>
          <w:i/>
          <w:iCs/>
          <w:color w:val="212123"/>
          <w:sz w:val="21"/>
          <w:szCs w:val="21"/>
        </w:rPr>
        <w:t>Estado de Guanajuato.</w:t>
      </w:r>
    </w:p>
    <w:p w14:paraId="47F31BEF" w14:textId="77777777" w:rsidR="00A72A7F" w:rsidRPr="009E40A9" w:rsidRDefault="00A72A7F" w:rsidP="00A72A7F">
      <w:pPr>
        <w:autoSpaceDE w:val="0"/>
        <w:autoSpaceDN w:val="0"/>
        <w:adjustRightInd w:val="0"/>
        <w:ind w:left="709"/>
        <w:jc w:val="both"/>
        <w:rPr>
          <w:rFonts w:ascii="Abadi" w:hAnsi="Abadi" w:cs="*Microsoft Sans Serif-Italic-10"/>
          <w:i/>
          <w:iCs/>
          <w:color w:val="212123"/>
          <w:sz w:val="21"/>
          <w:szCs w:val="21"/>
        </w:rPr>
      </w:pPr>
    </w:p>
    <w:p w14:paraId="54837684" w14:textId="77777777" w:rsidR="00A72A7F" w:rsidRPr="009E40A9" w:rsidRDefault="00A72A7F" w:rsidP="00A72A7F">
      <w:pPr>
        <w:autoSpaceDE w:val="0"/>
        <w:autoSpaceDN w:val="0"/>
        <w:adjustRightInd w:val="0"/>
        <w:ind w:left="709" w:firstLine="708"/>
        <w:jc w:val="both"/>
        <w:rPr>
          <w:rFonts w:ascii="Abadi" w:hAnsi="Abadi" w:cs="*Arial-10341-Identity-H"/>
          <w:i/>
          <w:iCs/>
          <w:color w:val="1F1F21"/>
          <w:sz w:val="21"/>
          <w:szCs w:val="21"/>
        </w:rPr>
      </w:pPr>
      <w:r w:rsidRPr="009E40A9">
        <w:rPr>
          <w:rFonts w:ascii="Abadi" w:hAnsi="Abadi" w:cs="*Microsoft Sans Serif-Italic-10"/>
          <w:i/>
          <w:iCs/>
          <w:color w:val="1F1F21"/>
          <w:sz w:val="21"/>
          <w:szCs w:val="21"/>
        </w:rPr>
        <w:t xml:space="preserve">II. </w:t>
      </w:r>
      <w:r w:rsidRPr="009E40A9">
        <w:rPr>
          <w:rFonts w:ascii="Abadi" w:hAnsi="Abadi" w:cs="*Arial-10341-Identity-H"/>
          <w:i/>
          <w:iCs/>
          <w:color w:val="1F1F21"/>
          <w:sz w:val="21"/>
          <w:szCs w:val="21"/>
        </w:rPr>
        <w:t xml:space="preserve">Impacto </w:t>
      </w:r>
      <w:r w:rsidRPr="009E40A9">
        <w:rPr>
          <w:rFonts w:ascii="Abadi" w:hAnsi="Abadi" w:cs="*Microsoft Sans Serif-Italic-10"/>
          <w:i/>
          <w:iCs/>
          <w:color w:val="1F1F21"/>
          <w:sz w:val="21"/>
          <w:szCs w:val="21"/>
        </w:rPr>
        <w:t xml:space="preserve">administrativo: La propuesta trasciende en impulsor </w:t>
      </w:r>
      <w:r w:rsidRPr="009E40A9">
        <w:rPr>
          <w:rFonts w:ascii="Abadi" w:hAnsi="Abadi" w:cs="*Arial-10341-Identity-H"/>
          <w:i/>
          <w:iCs/>
          <w:color w:val="1F1F21"/>
          <w:sz w:val="21"/>
          <w:szCs w:val="21"/>
        </w:rPr>
        <w:t xml:space="preserve">mecanismos, </w:t>
      </w:r>
      <w:r w:rsidRPr="009E40A9">
        <w:rPr>
          <w:rFonts w:ascii="Abadi" w:hAnsi="Abadi" w:cs="*Microsoft Sans Serif-Italic-10"/>
          <w:i/>
          <w:iCs/>
          <w:color w:val="1F1F21"/>
          <w:sz w:val="21"/>
          <w:szCs w:val="21"/>
        </w:rPr>
        <w:t xml:space="preserve">programas y políticos públicos cuyo objeto seo impulsar </w:t>
      </w:r>
      <w:r w:rsidRPr="009E40A9">
        <w:rPr>
          <w:rFonts w:ascii="Abadi" w:hAnsi="Abadi" w:cs="*Arial-10341-Identity-H"/>
          <w:i/>
          <w:iCs/>
          <w:color w:val="1F1F21"/>
          <w:sz w:val="21"/>
          <w:szCs w:val="21"/>
        </w:rPr>
        <w:t xml:space="preserve">el </w:t>
      </w:r>
      <w:r w:rsidRPr="009E40A9">
        <w:rPr>
          <w:rFonts w:ascii="Abadi" w:hAnsi="Abadi" w:cs="*Microsoft Sans Serif-Italic-10"/>
          <w:i/>
          <w:iCs/>
          <w:color w:val="1F1F21"/>
          <w:sz w:val="21"/>
          <w:szCs w:val="21"/>
        </w:rPr>
        <w:t>desarrollo, crecimiento y fortalecimiento del comercio interno,</w:t>
      </w:r>
      <w:r>
        <w:rPr>
          <w:rFonts w:ascii="Abadi" w:hAnsi="Abadi" w:cs="*Microsoft Sans Serif-Italic-10"/>
          <w:i/>
          <w:iCs/>
          <w:color w:val="1F1F21"/>
          <w:sz w:val="21"/>
          <w:szCs w:val="21"/>
        </w:rPr>
        <w:t xml:space="preserve"> </w:t>
      </w:r>
      <w:r w:rsidRPr="009E40A9">
        <w:rPr>
          <w:rFonts w:ascii="Abadi" w:hAnsi="Abadi" w:cs="*Arial-10341-Identity-H"/>
          <w:i/>
          <w:iCs/>
          <w:color w:val="1F1F21"/>
          <w:sz w:val="21"/>
          <w:szCs w:val="21"/>
        </w:rPr>
        <w:t xml:space="preserve">promocionando </w:t>
      </w:r>
      <w:r w:rsidRPr="009E40A9">
        <w:rPr>
          <w:rFonts w:ascii="Abadi" w:hAnsi="Abadi" w:cs="*Microsoft Sans Serif-Italic-10"/>
          <w:i/>
          <w:iCs/>
          <w:color w:val="1F1F21"/>
          <w:sz w:val="21"/>
          <w:szCs w:val="21"/>
        </w:rPr>
        <w:t xml:space="preserve">los productos y servicios de empresas guanajuatenses con el orgullo de </w:t>
      </w:r>
      <w:r w:rsidRPr="009E40A9">
        <w:rPr>
          <w:rFonts w:ascii="Abadi" w:hAnsi="Abadi" w:cs="*Arial-10341-Identity-H"/>
          <w:i/>
          <w:iCs/>
          <w:color w:val="1F1F21"/>
          <w:sz w:val="21"/>
          <w:szCs w:val="21"/>
        </w:rPr>
        <w:t xml:space="preserve">la </w:t>
      </w:r>
      <w:r w:rsidRPr="009E40A9">
        <w:rPr>
          <w:rFonts w:ascii="Abadi" w:hAnsi="Abadi" w:cs="*Microsoft Sans Serif-Italic-10"/>
          <w:i/>
          <w:iCs/>
          <w:color w:val="1F1F21"/>
          <w:sz w:val="21"/>
          <w:szCs w:val="21"/>
        </w:rPr>
        <w:t xml:space="preserve">identidad </w:t>
      </w:r>
      <w:r w:rsidRPr="009E40A9">
        <w:rPr>
          <w:rFonts w:ascii="Abadi" w:hAnsi="Abadi" w:cs="*Arial-10341-Identity-H"/>
          <w:i/>
          <w:iCs/>
          <w:color w:val="1F1F21"/>
          <w:sz w:val="21"/>
          <w:szCs w:val="21"/>
        </w:rPr>
        <w:t>Estatal.</w:t>
      </w:r>
    </w:p>
    <w:p w14:paraId="526685DC" w14:textId="77777777" w:rsidR="00A72A7F" w:rsidRPr="009E40A9" w:rsidRDefault="00A72A7F" w:rsidP="00A72A7F">
      <w:pPr>
        <w:ind w:left="709"/>
        <w:jc w:val="both"/>
        <w:rPr>
          <w:rFonts w:ascii="Abadi" w:hAnsi="Abadi" w:cs="*Arial-10341-Identity-H"/>
          <w:i/>
          <w:iCs/>
          <w:color w:val="1F1F21"/>
          <w:sz w:val="21"/>
          <w:szCs w:val="21"/>
        </w:rPr>
      </w:pPr>
    </w:p>
    <w:p w14:paraId="422A35F1" w14:textId="77777777" w:rsidR="00A72A7F" w:rsidRPr="009E40A9" w:rsidRDefault="00A72A7F" w:rsidP="00A72A7F">
      <w:pPr>
        <w:autoSpaceDE w:val="0"/>
        <w:autoSpaceDN w:val="0"/>
        <w:adjustRightInd w:val="0"/>
        <w:ind w:left="709" w:firstLine="708"/>
        <w:jc w:val="both"/>
        <w:rPr>
          <w:rFonts w:ascii="Abadi" w:hAnsi="Abadi" w:cs="*Microsoft Sans Serif-Italic-96"/>
          <w:i/>
          <w:iCs/>
          <w:color w:val="202022"/>
          <w:sz w:val="21"/>
          <w:szCs w:val="21"/>
        </w:rPr>
      </w:pPr>
      <w:r w:rsidRPr="009E40A9">
        <w:rPr>
          <w:rFonts w:ascii="Abadi" w:hAnsi="Abadi" w:cs="*Microsoft Sans Serif-Italic-96"/>
          <w:i/>
          <w:iCs/>
          <w:color w:val="202022"/>
          <w:sz w:val="21"/>
          <w:szCs w:val="21"/>
        </w:rPr>
        <w:t xml:space="preserve">III. Impacto presupuestario: La presente iniciativa no trae consigo un impacto económico, dado que en </w:t>
      </w:r>
      <w:r w:rsidRPr="009E40A9">
        <w:rPr>
          <w:rFonts w:ascii="Abadi" w:hAnsi="Abadi" w:cs="*Arial-9628-Identity-H"/>
          <w:i/>
          <w:iCs/>
          <w:color w:val="202022"/>
          <w:sz w:val="21"/>
          <w:szCs w:val="21"/>
        </w:rPr>
        <w:t xml:space="preserve">coso </w:t>
      </w:r>
      <w:r w:rsidRPr="009E40A9">
        <w:rPr>
          <w:rFonts w:ascii="Abadi" w:hAnsi="Abadi" w:cs="*Microsoft Sans Serif-Italic-96"/>
          <w:i/>
          <w:iCs/>
          <w:color w:val="202022"/>
          <w:sz w:val="21"/>
          <w:szCs w:val="21"/>
        </w:rPr>
        <w:t xml:space="preserve">de aprobarse </w:t>
      </w:r>
      <w:r w:rsidRPr="009E40A9">
        <w:rPr>
          <w:rFonts w:ascii="Abadi" w:hAnsi="Abadi" w:cs="*Arial-9628-Identity-H"/>
          <w:i/>
          <w:iCs/>
          <w:color w:val="202022"/>
          <w:sz w:val="21"/>
          <w:szCs w:val="21"/>
        </w:rPr>
        <w:t xml:space="preserve">la mismo </w:t>
      </w:r>
      <w:r w:rsidRPr="009E40A9">
        <w:rPr>
          <w:rFonts w:ascii="Abadi" w:hAnsi="Abadi" w:cs="*Microsoft Sans Serif-Italic-96"/>
          <w:i/>
          <w:iCs/>
          <w:color w:val="202022"/>
          <w:sz w:val="21"/>
          <w:szCs w:val="21"/>
        </w:rPr>
        <w:t xml:space="preserve">no generará </w:t>
      </w:r>
      <w:r w:rsidRPr="009E40A9">
        <w:rPr>
          <w:rFonts w:ascii="Abadi" w:hAnsi="Abadi" w:cs="*Arial-9628-Identity-H"/>
          <w:i/>
          <w:iCs/>
          <w:color w:val="202022"/>
          <w:sz w:val="21"/>
          <w:szCs w:val="21"/>
        </w:rPr>
        <w:t xml:space="preserve">lo </w:t>
      </w:r>
      <w:r w:rsidRPr="009E40A9">
        <w:rPr>
          <w:rFonts w:ascii="Abadi" w:hAnsi="Abadi" w:cs="*Microsoft Sans Serif-Italic-96"/>
          <w:i/>
          <w:iCs/>
          <w:color w:val="202022"/>
          <w:sz w:val="21"/>
          <w:szCs w:val="21"/>
        </w:rPr>
        <w:t>creación de nuevas plazas.</w:t>
      </w:r>
    </w:p>
    <w:p w14:paraId="68644367" w14:textId="77777777" w:rsidR="00A72A7F" w:rsidRPr="009E40A9" w:rsidRDefault="00A72A7F" w:rsidP="00A72A7F">
      <w:pPr>
        <w:autoSpaceDE w:val="0"/>
        <w:autoSpaceDN w:val="0"/>
        <w:adjustRightInd w:val="0"/>
        <w:ind w:left="709"/>
        <w:jc w:val="both"/>
        <w:rPr>
          <w:rFonts w:ascii="Abadi" w:hAnsi="Abadi" w:cs="*Microsoft Sans Serif-Italic-96"/>
          <w:i/>
          <w:iCs/>
          <w:color w:val="202022"/>
          <w:sz w:val="21"/>
          <w:szCs w:val="21"/>
        </w:rPr>
      </w:pPr>
    </w:p>
    <w:p w14:paraId="697AB2FD" w14:textId="77777777" w:rsidR="00A72A7F" w:rsidRPr="009E40A9" w:rsidRDefault="00A72A7F" w:rsidP="00A72A7F">
      <w:pPr>
        <w:autoSpaceDE w:val="0"/>
        <w:autoSpaceDN w:val="0"/>
        <w:adjustRightInd w:val="0"/>
        <w:ind w:left="709" w:firstLine="708"/>
        <w:jc w:val="both"/>
        <w:rPr>
          <w:rFonts w:ascii="Abadi" w:hAnsi="Abadi" w:cs="*Microsoft Sans Serif-Italic-96"/>
          <w:i/>
          <w:iCs/>
          <w:color w:val="201F21"/>
          <w:sz w:val="21"/>
          <w:szCs w:val="21"/>
        </w:rPr>
      </w:pPr>
      <w:r w:rsidRPr="009E40A9">
        <w:rPr>
          <w:rFonts w:ascii="Abadi" w:hAnsi="Abadi" w:cs="*Arial-9628-Identity-H"/>
          <w:i/>
          <w:iCs/>
          <w:color w:val="201F21"/>
          <w:sz w:val="21"/>
          <w:szCs w:val="21"/>
        </w:rPr>
        <w:t xml:space="preserve">IV. </w:t>
      </w:r>
      <w:r w:rsidRPr="009E40A9">
        <w:rPr>
          <w:rFonts w:ascii="Abadi" w:hAnsi="Abadi" w:cs="*Microsoft Sans Serif-Italic-96"/>
          <w:i/>
          <w:iCs/>
          <w:color w:val="201F21"/>
          <w:sz w:val="21"/>
          <w:szCs w:val="21"/>
        </w:rPr>
        <w:t>Impacto soci</w:t>
      </w:r>
      <w:r>
        <w:rPr>
          <w:rFonts w:ascii="Abadi" w:hAnsi="Abadi" w:cs="*Microsoft Sans Serif-Italic-96"/>
          <w:i/>
          <w:iCs/>
          <w:color w:val="201F21"/>
          <w:sz w:val="21"/>
          <w:szCs w:val="21"/>
        </w:rPr>
        <w:t>al</w:t>
      </w:r>
      <w:r w:rsidRPr="009E40A9">
        <w:rPr>
          <w:rFonts w:ascii="Abadi" w:hAnsi="Abadi" w:cs="*Microsoft Sans Serif-Italic-96"/>
          <w:i/>
          <w:iCs/>
          <w:color w:val="201F21"/>
          <w:sz w:val="21"/>
          <w:szCs w:val="21"/>
        </w:rPr>
        <w:t xml:space="preserve">: </w:t>
      </w:r>
      <w:r w:rsidRPr="009E40A9">
        <w:rPr>
          <w:rFonts w:ascii="Abadi" w:hAnsi="Abadi" w:cs="*Arial-9628-Identity-H"/>
          <w:i/>
          <w:iCs/>
          <w:color w:val="201F21"/>
          <w:sz w:val="21"/>
          <w:szCs w:val="21"/>
        </w:rPr>
        <w:t xml:space="preserve">Con </w:t>
      </w:r>
      <w:r w:rsidRPr="009E40A9">
        <w:rPr>
          <w:rFonts w:ascii="Abadi" w:hAnsi="Abadi" w:cs="*Microsoft Sans Serif-Italic-96"/>
          <w:i/>
          <w:iCs/>
          <w:color w:val="201F21"/>
          <w:sz w:val="21"/>
          <w:szCs w:val="21"/>
        </w:rPr>
        <w:t xml:space="preserve">lo expedición de </w:t>
      </w:r>
      <w:r w:rsidRPr="009E40A9">
        <w:rPr>
          <w:rFonts w:ascii="Abadi" w:hAnsi="Abadi" w:cs="*Arial-9628-Identity-H"/>
          <w:i/>
          <w:iCs/>
          <w:color w:val="201F21"/>
          <w:sz w:val="21"/>
          <w:szCs w:val="21"/>
        </w:rPr>
        <w:t xml:space="preserve">la </w:t>
      </w:r>
      <w:r w:rsidRPr="009E40A9">
        <w:rPr>
          <w:rFonts w:ascii="Abadi" w:hAnsi="Abadi" w:cs="*Microsoft Sans Serif-Italic-96"/>
          <w:i/>
          <w:iCs/>
          <w:color w:val="201F21"/>
          <w:sz w:val="21"/>
          <w:szCs w:val="21"/>
        </w:rPr>
        <w:t xml:space="preserve">Ley de Fomento e Impulso </w:t>
      </w:r>
      <w:r w:rsidRPr="009E40A9">
        <w:rPr>
          <w:rFonts w:ascii="Abadi" w:hAnsi="Abadi" w:cs="*Arial-9628-Identity-H"/>
          <w:i/>
          <w:iCs/>
          <w:color w:val="201F21"/>
          <w:sz w:val="21"/>
          <w:szCs w:val="21"/>
        </w:rPr>
        <w:t xml:space="preserve">a lo </w:t>
      </w:r>
      <w:r w:rsidRPr="009E40A9">
        <w:rPr>
          <w:rFonts w:ascii="Abadi" w:hAnsi="Abadi" w:cs="*Microsoft Sans Serif-Italic-96"/>
          <w:i/>
          <w:iCs/>
          <w:color w:val="201F21"/>
          <w:sz w:val="21"/>
          <w:szCs w:val="21"/>
        </w:rPr>
        <w:t xml:space="preserve">Actividad Artesanal para el Estado de </w:t>
      </w:r>
      <w:r w:rsidRPr="009E40A9">
        <w:rPr>
          <w:rFonts w:ascii="Abadi" w:hAnsi="Abadi" w:cs="*Arial-9628-Identity-H"/>
          <w:i/>
          <w:iCs/>
          <w:color w:val="201F21"/>
          <w:sz w:val="21"/>
          <w:szCs w:val="21"/>
        </w:rPr>
        <w:t xml:space="preserve">Guanajuato, </w:t>
      </w:r>
      <w:r w:rsidRPr="009E40A9">
        <w:rPr>
          <w:rFonts w:ascii="Abadi" w:hAnsi="Abadi" w:cs="*Microsoft Sans Serif-Italic-96"/>
          <w:i/>
          <w:iCs/>
          <w:color w:val="201F21"/>
          <w:sz w:val="21"/>
          <w:szCs w:val="21"/>
        </w:rPr>
        <w:t xml:space="preserve">se pretende contribuir </w:t>
      </w:r>
      <w:r w:rsidRPr="009E40A9">
        <w:rPr>
          <w:rFonts w:ascii="Abadi" w:hAnsi="Abadi" w:cs="*Arial-9628-Identity-H"/>
          <w:i/>
          <w:iCs/>
          <w:color w:val="201F21"/>
          <w:sz w:val="21"/>
          <w:szCs w:val="21"/>
        </w:rPr>
        <w:t xml:space="preserve">o la </w:t>
      </w:r>
      <w:r w:rsidRPr="009E40A9">
        <w:rPr>
          <w:rFonts w:ascii="Abadi" w:hAnsi="Abadi" w:cs="*Microsoft Sans Serif-Italic-96"/>
          <w:i/>
          <w:iCs/>
          <w:color w:val="201F21"/>
          <w:sz w:val="21"/>
          <w:szCs w:val="21"/>
        </w:rPr>
        <w:t>mejora de los niveles de vida de los artesanos guanajuatenses, preservando los valores de su culturo tradicional y vinculando lo creatividad de estos, con las actividades económicas y culturales del Estado.</w:t>
      </w:r>
    </w:p>
    <w:p w14:paraId="23317552" w14:textId="77777777" w:rsidR="00A72A7F" w:rsidRDefault="00A72A7F" w:rsidP="00A72A7F">
      <w:pPr>
        <w:autoSpaceDE w:val="0"/>
        <w:autoSpaceDN w:val="0"/>
        <w:adjustRightInd w:val="0"/>
        <w:ind w:left="709"/>
        <w:jc w:val="both"/>
        <w:rPr>
          <w:rFonts w:ascii="Abadi" w:hAnsi="Abadi" w:cs="*Times New Roman-Italic-9625-Id"/>
          <w:i/>
          <w:iCs/>
          <w:color w:val="1A1A1A"/>
          <w:sz w:val="21"/>
          <w:szCs w:val="21"/>
        </w:rPr>
      </w:pPr>
    </w:p>
    <w:p w14:paraId="3B6E835C" w14:textId="77777777" w:rsidR="00A72A7F" w:rsidRDefault="00A72A7F" w:rsidP="00A72A7F">
      <w:pPr>
        <w:autoSpaceDE w:val="0"/>
        <w:autoSpaceDN w:val="0"/>
        <w:adjustRightInd w:val="0"/>
        <w:ind w:left="709"/>
        <w:jc w:val="both"/>
        <w:rPr>
          <w:rFonts w:ascii="Abadi" w:hAnsi="Abadi" w:cs="*Times New Roman-Italic-9625-Id"/>
          <w:i/>
          <w:iCs/>
          <w:color w:val="1A1A1A"/>
          <w:sz w:val="21"/>
          <w:szCs w:val="21"/>
        </w:rPr>
      </w:pPr>
      <w:r w:rsidRPr="004471E0">
        <w:rPr>
          <w:rFonts w:ascii="Abadi" w:hAnsi="Abadi" w:cs="*Times New Roman-Italic-9625-Id"/>
          <w:i/>
          <w:iCs/>
          <w:color w:val="1A1A1A"/>
          <w:sz w:val="21"/>
          <w:szCs w:val="21"/>
        </w:rPr>
        <w:t>( ... )</w:t>
      </w:r>
    </w:p>
    <w:p w14:paraId="19B23F95" w14:textId="77777777" w:rsidR="00A72A7F" w:rsidRPr="004471E0" w:rsidRDefault="00A72A7F" w:rsidP="00A72A7F">
      <w:pPr>
        <w:autoSpaceDE w:val="0"/>
        <w:autoSpaceDN w:val="0"/>
        <w:adjustRightInd w:val="0"/>
        <w:jc w:val="both"/>
        <w:rPr>
          <w:rFonts w:ascii="Abadi" w:hAnsi="Abadi" w:cs="*Times New Roman-Italic-9625-Id"/>
          <w:i/>
          <w:iCs/>
          <w:color w:val="1A1A1A"/>
          <w:sz w:val="21"/>
          <w:szCs w:val="21"/>
        </w:rPr>
      </w:pPr>
    </w:p>
    <w:p w14:paraId="663E04D4" w14:textId="77777777" w:rsidR="00A72A7F" w:rsidRDefault="00A72A7F" w:rsidP="00A72A7F">
      <w:pPr>
        <w:autoSpaceDE w:val="0"/>
        <w:autoSpaceDN w:val="0"/>
        <w:adjustRightInd w:val="0"/>
        <w:ind w:firstLine="708"/>
        <w:jc w:val="both"/>
        <w:rPr>
          <w:rFonts w:ascii="Abadi" w:hAnsi="Abadi" w:cs="*Microsoft Sans Serif-9629-Iden"/>
          <w:color w:val="1B1B1D"/>
          <w:sz w:val="21"/>
          <w:szCs w:val="21"/>
        </w:rPr>
      </w:pPr>
      <w:r w:rsidRPr="004471E0">
        <w:rPr>
          <w:rFonts w:ascii="Abadi" w:hAnsi="Abadi" w:cs="*Microsoft Sans Serif-9629-Iden"/>
          <w:color w:val="1B1B1D"/>
          <w:sz w:val="21"/>
          <w:szCs w:val="21"/>
        </w:rPr>
        <w:t>De lo entes expuesto, esta Comisión legislativa valoró la motivación de las y</w:t>
      </w:r>
      <w:r>
        <w:rPr>
          <w:rFonts w:ascii="Abadi" w:hAnsi="Abadi" w:cs="*Microsoft Sans Serif-9629-Iden"/>
          <w:color w:val="1B1B1D"/>
          <w:sz w:val="21"/>
          <w:szCs w:val="21"/>
        </w:rPr>
        <w:t xml:space="preserve"> </w:t>
      </w:r>
      <w:r w:rsidRPr="004471E0">
        <w:rPr>
          <w:rFonts w:ascii="Abadi" w:hAnsi="Abadi" w:cs="*Microsoft Sans Serif-9629-Iden"/>
          <w:color w:val="1B1B1D"/>
          <w:sz w:val="21"/>
          <w:szCs w:val="21"/>
        </w:rPr>
        <w:t>los iniciantes, pues la autoridad legislativa reconoce que la actividad artesanal en</w:t>
      </w:r>
      <w:r>
        <w:rPr>
          <w:rFonts w:ascii="Abadi" w:hAnsi="Abadi" w:cs="*Microsoft Sans Serif-9629-Iden"/>
          <w:color w:val="1B1B1D"/>
          <w:sz w:val="21"/>
          <w:szCs w:val="21"/>
        </w:rPr>
        <w:t xml:space="preserve"> </w:t>
      </w:r>
      <w:r w:rsidRPr="004471E0">
        <w:rPr>
          <w:rFonts w:ascii="Abadi" w:hAnsi="Abadi" w:cs="*Microsoft Sans Serif-9629-Iden"/>
          <w:color w:val="1B1B1D"/>
          <w:sz w:val="21"/>
          <w:szCs w:val="21"/>
        </w:rPr>
        <w:t>general es de vital importancia cultural para el país y no sólo porque es una forma</w:t>
      </w:r>
      <w:r>
        <w:rPr>
          <w:rFonts w:ascii="Abadi" w:hAnsi="Abadi" w:cs="*Microsoft Sans Serif-9629-Iden"/>
          <w:color w:val="1B1B1D"/>
          <w:sz w:val="21"/>
          <w:szCs w:val="21"/>
        </w:rPr>
        <w:t xml:space="preserve"> </w:t>
      </w:r>
      <w:r w:rsidRPr="004471E0">
        <w:rPr>
          <w:rFonts w:ascii="Abadi" w:hAnsi="Abadi" w:cs="*Microsoft Sans Serif-9629-Iden"/>
          <w:color w:val="1B1B1D"/>
          <w:sz w:val="21"/>
          <w:szCs w:val="21"/>
        </w:rPr>
        <w:t>de transmitir emociones, tradiciones y creencias, sino por la generación de</w:t>
      </w:r>
      <w:r>
        <w:rPr>
          <w:rFonts w:ascii="Abadi" w:hAnsi="Abadi" w:cs="*Microsoft Sans Serif-9629-Iden"/>
          <w:color w:val="1B1B1D"/>
          <w:sz w:val="21"/>
          <w:szCs w:val="21"/>
        </w:rPr>
        <w:t xml:space="preserve"> </w:t>
      </w:r>
      <w:r w:rsidRPr="004471E0">
        <w:rPr>
          <w:rFonts w:ascii="Abadi" w:hAnsi="Abadi" w:cs="*Microsoft Sans Serif-9629-Iden"/>
          <w:color w:val="1B1B1D"/>
          <w:sz w:val="21"/>
          <w:szCs w:val="21"/>
        </w:rPr>
        <w:t>trabajo para las personas dedicadas a dicha actividad, por lo que es importante</w:t>
      </w:r>
      <w:r>
        <w:rPr>
          <w:rFonts w:ascii="Abadi" w:hAnsi="Abadi" w:cs="*Microsoft Sans Serif-9629-Iden"/>
          <w:color w:val="1B1B1D"/>
          <w:sz w:val="21"/>
          <w:szCs w:val="21"/>
        </w:rPr>
        <w:t xml:space="preserve"> </w:t>
      </w:r>
      <w:r w:rsidRPr="004471E0">
        <w:rPr>
          <w:rFonts w:ascii="Abadi" w:hAnsi="Abadi" w:cs="*Microsoft Sans Serif-9629-Iden"/>
          <w:color w:val="1B1B1D"/>
          <w:sz w:val="21"/>
          <w:szCs w:val="21"/>
        </w:rPr>
        <w:t>contribuir a su reconocimiento con el objetivo de que se conviertan en una fuente</w:t>
      </w:r>
      <w:r>
        <w:rPr>
          <w:rFonts w:ascii="Abadi" w:hAnsi="Abadi" w:cs="*Microsoft Sans Serif-9629-Iden"/>
          <w:color w:val="1B1B1D"/>
          <w:sz w:val="21"/>
          <w:szCs w:val="21"/>
        </w:rPr>
        <w:t xml:space="preserve"> </w:t>
      </w:r>
      <w:r w:rsidRPr="004471E0">
        <w:rPr>
          <w:rFonts w:ascii="Abadi" w:hAnsi="Abadi" w:cs="*Microsoft Sans Serif-9629-Iden"/>
          <w:color w:val="1B1B1D"/>
          <w:sz w:val="21"/>
          <w:szCs w:val="21"/>
        </w:rPr>
        <w:t>digna para las familias.</w:t>
      </w:r>
    </w:p>
    <w:p w14:paraId="744C20B7" w14:textId="77777777" w:rsidR="00A72A7F" w:rsidRPr="004471E0" w:rsidRDefault="00A72A7F" w:rsidP="00A72A7F">
      <w:pPr>
        <w:autoSpaceDE w:val="0"/>
        <w:autoSpaceDN w:val="0"/>
        <w:adjustRightInd w:val="0"/>
        <w:jc w:val="both"/>
        <w:rPr>
          <w:rFonts w:ascii="Abadi" w:hAnsi="Abadi" w:cs="*Microsoft Sans Serif-9629-Iden"/>
          <w:color w:val="1B1B1D"/>
          <w:sz w:val="21"/>
          <w:szCs w:val="21"/>
        </w:rPr>
      </w:pPr>
    </w:p>
    <w:p w14:paraId="278FF54F" w14:textId="77777777" w:rsidR="00A72A7F" w:rsidRPr="004471E0" w:rsidRDefault="00A72A7F" w:rsidP="00A72A7F">
      <w:pPr>
        <w:autoSpaceDE w:val="0"/>
        <w:autoSpaceDN w:val="0"/>
        <w:adjustRightInd w:val="0"/>
        <w:ind w:firstLine="708"/>
        <w:jc w:val="both"/>
        <w:rPr>
          <w:rFonts w:ascii="Abadi" w:hAnsi="Abadi" w:cs="*Microsoft Sans Serif-9629-Iden"/>
          <w:color w:val="1C1C1D"/>
          <w:sz w:val="21"/>
          <w:szCs w:val="21"/>
        </w:rPr>
      </w:pPr>
      <w:r w:rsidRPr="004471E0">
        <w:rPr>
          <w:rFonts w:ascii="Abadi" w:hAnsi="Abadi" w:cs="*Microsoft Sans Serif-9629-Iden"/>
          <w:color w:val="1C1C1D"/>
          <w:sz w:val="21"/>
          <w:szCs w:val="21"/>
        </w:rPr>
        <w:t>No cabe duda de que los productos artesanales son una de las</w:t>
      </w:r>
      <w:r>
        <w:rPr>
          <w:rFonts w:ascii="Abadi" w:hAnsi="Abadi" w:cs="*Microsoft Sans Serif-9629-Iden"/>
          <w:color w:val="1C1C1D"/>
          <w:sz w:val="21"/>
          <w:szCs w:val="21"/>
        </w:rPr>
        <w:t xml:space="preserve"> </w:t>
      </w:r>
      <w:r w:rsidRPr="004471E0">
        <w:rPr>
          <w:rFonts w:ascii="Abadi" w:hAnsi="Abadi" w:cs="*Microsoft Sans Serif-9629-Iden"/>
          <w:color w:val="1C1C1D"/>
          <w:sz w:val="21"/>
          <w:szCs w:val="21"/>
        </w:rPr>
        <w:t>manifestaciones más visibles de la diversidad y riqueza cultural de una sociedad,</w:t>
      </w:r>
      <w:r>
        <w:rPr>
          <w:rFonts w:ascii="Abadi" w:hAnsi="Abadi" w:cs="*Microsoft Sans Serif-9629-Iden"/>
          <w:color w:val="1C1C1D"/>
          <w:sz w:val="21"/>
          <w:szCs w:val="21"/>
        </w:rPr>
        <w:t xml:space="preserve"> </w:t>
      </w:r>
      <w:r w:rsidRPr="004471E0">
        <w:rPr>
          <w:rFonts w:ascii="Abadi" w:hAnsi="Abadi" w:cs="*Microsoft Sans Serif-9629-Iden"/>
          <w:color w:val="1C1C1D"/>
          <w:sz w:val="21"/>
          <w:szCs w:val="21"/>
        </w:rPr>
        <w:t>por lo que hay que enriquecerlo, proyectarlo y conservarlo, ya que recogen la</w:t>
      </w:r>
      <w:r>
        <w:rPr>
          <w:rFonts w:ascii="Abadi" w:hAnsi="Abadi" w:cs="*Microsoft Sans Serif-9629-Iden"/>
          <w:color w:val="1C1C1D"/>
          <w:sz w:val="21"/>
          <w:szCs w:val="21"/>
        </w:rPr>
        <w:t xml:space="preserve"> </w:t>
      </w:r>
      <w:r w:rsidRPr="004471E0">
        <w:rPr>
          <w:rFonts w:ascii="Abadi" w:hAnsi="Abadi" w:cs="*Microsoft Sans Serif-9629-Iden"/>
          <w:color w:val="1C1C1D"/>
          <w:sz w:val="21"/>
          <w:szCs w:val="21"/>
        </w:rPr>
        <w:t>identidad de cada una de las entidades federativas, que tiene la particularidad</w:t>
      </w:r>
      <w:r>
        <w:rPr>
          <w:rFonts w:ascii="Abadi" w:hAnsi="Abadi" w:cs="*Microsoft Sans Serif-9629-Iden"/>
          <w:color w:val="1C1C1D"/>
          <w:sz w:val="21"/>
          <w:szCs w:val="21"/>
        </w:rPr>
        <w:t xml:space="preserve"> </w:t>
      </w:r>
      <w:r w:rsidRPr="004471E0">
        <w:rPr>
          <w:rFonts w:ascii="Abadi" w:hAnsi="Abadi" w:cs="*Microsoft Sans Serif-9629-Iden"/>
          <w:color w:val="1C1C1D"/>
          <w:sz w:val="21"/>
          <w:szCs w:val="21"/>
        </w:rPr>
        <w:t>de variar dependiendo de la cultura, el paisaje, el clima y la historia del lugar.</w:t>
      </w:r>
    </w:p>
    <w:p w14:paraId="58C28FAB" w14:textId="77777777" w:rsidR="00A72A7F" w:rsidRDefault="00A72A7F" w:rsidP="00A72A7F">
      <w:pPr>
        <w:jc w:val="both"/>
        <w:rPr>
          <w:rFonts w:ascii="Abadi" w:hAnsi="Abadi" w:cs="*Calibri-Bold-9626-Identity-H"/>
          <w:b/>
          <w:bCs/>
          <w:color w:val="0E0D11"/>
          <w:sz w:val="21"/>
          <w:szCs w:val="21"/>
        </w:rPr>
      </w:pPr>
    </w:p>
    <w:p w14:paraId="3B0E8743" w14:textId="77777777" w:rsidR="00A72A7F" w:rsidRPr="004471E0" w:rsidRDefault="00A72A7F" w:rsidP="00A72A7F">
      <w:pPr>
        <w:jc w:val="both"/>
        <w:rPr>
          <w:rFonts w:ascii="Abadi" w:hAnsi="Abadi" w:cs="*Calibri-Bold-9626-Identity-H"/>
          <w:b/>
          <w:bCs/>
          <w:color w:val="0E0D11"/>
          <w:sz w:val="21"/>
          <w:szCs w:val="21"/>
        </w:rPr>
      </w:pPr>
      <w:r w:rsidRPr="004471E0">
        <w:rPr>
          <w:rFonts w:ascii="Abadi" w:hAnsi="Abadi" w:cs="*Calibri-Bold-9626-Identity-H"/>
          <w:b/>
          <w:bCs/>
          <w:color w:val="0E0D11"/>
          <w:sz w:val="21"/>
          <w:szCs w:val="21"/>
        </w:rPr>
        <w:t>3. Análisis de la Iniciativa</w:t>
      </w:r>
    </w:p>
    <w:p w14:paraId="3767DDA6" w14:textId="77777777" w:rsidR="00A72A7F" w:rsidRPr="004471E0" w:rsidRDefault="00A72A7F" w:rsidP="00A72A7F">
      <w:pPr>
        <w:jc w:val="both"/>
        <w:rPr>
          <w:rFonts w:ascii="Abadi" w:hAnsi="Abadi" w:cs="*Calibri-Bold-9626-Identity-H"/>
          <w:b/>
          <w:bCs/>
          <w:color w:val="0E0D11"/>
          <w:sz w:val="21"/>
          <w:szCs w:val="21"/>
        </w:rPr>
      </w:pPr>
    </w:p>
    <w:p w14:paraId="26AEE7A6" w14:textId="77777777" w:rsidR="00A72A7F" w:rsidRDefault="00A72A7F" w:rsidP="00A72A7F">
      <w:pPr>
        <w:autoSpaceDE w:val="0"/>
        <w:autoSpaceDN w:val="0"/>
        <w:adjustRightInd w:val="0"/>
        <w:ind w:firstLine="708"/>
        <w:jc w:val="both"/>
        <w:rPr>
          <w:rFonts w:ascii="Abadi" w:hAnsi="Abadi" w:cs="*Arial-7976-Identity-H"/>
          <w:color w:val="1C1B1D"/>
          <w:sz w:val="21"/>
          <w:szCs w:val="21"/>
        </w:rPr>
      </w:pPr>
      <w:r w:rsidRPr="004471E0">
        <w:rPr>
          <w:rFonts w:ascii="Abadi" w:hAnsi="Abadi" w:cs="*Arial-7976-Identity-H"/>
          <w:color w:val="1C1B1D"/>
          <w:sz w:val="21"/>
          <w:szCs w:val="21"/>
        </w:rPr>
        <w:t>Como parte del proceso de evaluación del contenido y alcances de la</w:t>
      </w:r>
      <w:r>
        <w:rPr>
          <w:rFonts w:ascii="Abadi" w:hAnsi="Abadi" w:cs="*Arial-7976-Identity-H"/>
          <w:color w:val="1C1B1D"/>
          <w:sz w:val="21"/>
          <w:szCs w:val="21"/>
        </w:rPr>
        <w:t xml:space="preserve"> </w:t>
      </w:r>
      <w:r w:rsidRPr="004471E0">
        <w:rPr>
          <w:rFonts w:ascii="Abadi" w:hAnsi="Abadi" w:cs="*Arial-7976-Identity-H"/>
          <w:color w:val="1C1B1D"/>
          <w:sz w:val="21"/>
          <w:szCs w:val="21"/>
        </w:rPr>
        <w:t>iniciativa, consideramos que existe a nivel federal, pero sobre todo estatal una</w:t>
      </w:r>
      <w:r>
        <w:rPr>
          <w:rFonts w:ascii="Abadi" w:hAnsi="Abadi" w:cs="*Arial-7976-Identity-H"/>
          <w:color w:val="1C1B1D"/>
          <w:sz w:val="21"/>
          <w:szCs w:val="21"/>
        </w:rPr>
        <w:t xml:space="preserve"> </w:t>
      </w:r>
      <w:r w:rsidRPr="004471E0">
        <w:rPr>
          <w:rFonts w:ascii="Abadi" w:hAnsi="Abadi" w:cs="*Arial-7976-Identity-H"/>
          <w:color w:val="1C1B1D"/>
          <w:sz w:val="21"/>
          <w:szCs w:val="21"/>
        </w:rPr>
        <w:t>política pública que apoya y fortalece la actividad artesanal en nuestra entidad</w:t>
      </w:r>
      <w:r>
        <w:rPr>
          <w:rFonts w:ascii="Abadi" w:hAnsi="Abadi" w:cs="*Arial-7976-Identity-H"/>
          <w:color w:val="1C1B1D"/>
          <w:sz w:val="21"/>
          <w:szCs w:val="21"/>
        </w:rPr>
        <w:t xml:space="preserve"> </w:t>
      </w:r>
      <w:r w:rsidRPr="004471E0">
        <w:rPr>
          <w:rFonts w:ascii="Abadi" w:hAnsi="Abadi" w:cs="*Arial-7976-Identity-H"/>
          <w:color w:val="1C1B1D"/>
          <w:sz w:val="21"/>
          <w:szCs w:val="21"/>
        </w:rPr>
        <w:t>federativa.</w:t>
      </w:r>
    </w:p>
    <w:p w14:paraId="1EF98394" w14:textId="77777777" w:rsidR="00A72A7F" w:rsidRPr="004471E0" w:rsidRDefault="00A72A7F" w:rsidP="00A72A7F">
      <w:pPr>
        <w:autoSpaceDE w:val="0"/>
        <w:autoSpaceDN w:val="0"/>
        <w:adjustRightInd w:val="0"/>
        <w:jc w:val="both"/>
        <w:rPr>
          <w:rFonts w:ascii="Abadi" w:hAnsi="Abadi" w:cs="*Arial-7976-Identity-H"/>
          <w:color w:val="1C1B1D"/>
          <w:sz w:val="21"/>
          <w:szCs w:val="21"/>
        </w:rPr>
      </w:pPr>
    </w:p>
    <w:p w14:paraId="6539880D" w14:textId="77777777" w:rsidR="00A72A7F" w:rsidRDefault="00A72A7F" w:rsidP="00A72A7F">
      <w:pPr>
        <w:autoSpaceDE w:val="0"/>
        <w:autoSpaceDN w:val="0"/>
        <w:adjustRightInd w:val="0"/>
        <w:ind w:firstLine="708"/>
        <w:jc w:val="both"/>
        <w:rPr>
          <w:rFonts w:ascii="Abadi" w:hAnsi="Abadi" w:cs="*Arial-7976-Identity-H"/>
          <w:color w:val="1A1A1B"/>
          <w:sz w:val="21"/>
          <w:szCs w:val="21"/>
        </w:rPr>
      </w:pPr>
      <w:r w:rsidRPr="004471E0">
        <w:rPr>
          <w:rFonts w:ascii="Abadi" w:hAnsi="Abadi" w:cs="*Arial-7976-Identity-H"/>
          <w:color w:val="1A1A1B"/>
          <w:sz w:val="21"/>
          <w:szCs w:val="21"/>
        </w:rPr>
        <w:t>La Ley Federal para el Fomento de la Microindustria y la Actividad</w:t>
      </w:r>
      <w:r>
        <w:rPr>
          <w:rFonts w:ascii="Abadi" w:hAnsi="Abadi" w:cs="*Arial-7976-Identity-H"/>
          <w:color w:val="1A1A1B"/>
          <w:sz w:val="21"/>
          <w:szCs w:val="21"/>
        </w:rPr>
        <w:t xml:space="preserve"> </w:t>
      </w:r>
      <w:r w:rsidRPr="004471E0">
        <w:rPr>
          <w:rFonts w:ascii="Abadi" w:hAnsi="Abadi" w:cs="*Arial-7976-Identity-H"/>
          <w:color w:val="1A1A1B"/>
          <w:sz w:val="21"/>
          <w:szCs w:val="21"/>
        </w:rPr>
        <w:t>Artesanal, tiene como objetivo fomentar el desarrollo de la microindustria y de la</w:t>
      </w:r>
      <w:r>
        <w:rPr>
          <w:rFonts w:ascii="Abadi" w:hAnsi="Abadi" w:cs="*Arial-7976-Identity-H"/>
          <w:color w:val="1A1A1B"/>
          <w:sz w:val="21"/>
          <w:szCs w:val="21"/>
        </w:rPr>
        <w:t xml:space="preserve"> </w:t>
      </w:r>
      <w:r w:rsidRPr="004471E0">
        <w:rPr>
          <w:rFonts w:ascii="Abadi" w:hAnsi="Abadi" w:cs="*Arial-7976-Identity-H"/>
          <w:color w:val="1A1A1B"/>
          <w:sz w:val="21"/>
          <w:szCs w:val="21"/>
        </w:rPr>
        <w:t>actividad artesanal, mediante el otorgamiento de apoyos fiscales, financieros, de</w:t>
      </w:r>
      <w:r>
        <w:rPr>
          <w:rFonts w:ascii="Abadi" w:hAnsi="Abadi" w:cs="*Arial-7976-Identity-H"/>
          <w:color w:val="1A1A1B"/>
          <w:sz w:val="21"/>
          <w:szCs w:val="21"/>
        </w:rPr>
        <w:t xml:space="preserve"> </w:t>
      </w:r>
      <w:r w:rsidRPr="004471E0">
        <w:rPr>
          <w:rFonts w:ascii="Abadi" w:hAnsi="Abadi" w:cs="*Arial-7976-Identity-H"/>
          <w:color w:val="1A1A1B"/>
          <w:sz w:val="21"/>
          <w:szCs w:val="21"/>
        </w:rPr>
        <w:t>mercado y de asistencia técnica, simplificando trámites administrativos ante</w:t>
      </w:r>
      <w:r>
        <w:rPr>
          <w:rFonts w:ascii="Abadi" w:hAnsi="Abadi" w:cs="*Arial-7976-Identity-H"/>
          <w:color w:val="1A1A1B"/>
          <w:sz w:val="21"/>
          <w:szCs w:val="21"/>
        </w:rPr>
        <w:t xml:space="preserve"> </w:t>
      </w:r>
      <w:r w:rsidRPr="004471E0">
        <w:rPr>
          <w:rFonts w:ascii="Abadi" w:hAnsi="Abadi" w:cs="*Arial-7976-Identity-H"/>
          <w:color w:val="1A1A1B"/>
          <w:sz w:val="21"/>
          <w:szCs w:val="21"/>
        </w:rPr>
        <w:t>autoridades federales en coordinación con autoridades locales o municipales.</w:t>
      </w:r>
    </w:p>
    <w:p w14:paraId="6B2538E8" w14:textId="77777777" w:rsidR="00A72A7F" w:rsidRPr="004471E0" w:rsidRDefault="00A72A7F" w:rsidP="00A72A7F">
      <w:pPr>
        <w:autoSpaceDE w:val="0"/>
        <w:autoSpaceDN w:val="0"/>
        <w:adjustRightInd w:val="0"/>
        <w:ind w:firstLine="708"/>
        <w:jc w:val="both"/>
        <w:rPr>
          <w:rFonts w:ascii="Abadi" w:hAnsi="Abadi" w:cs="*Arial-7976-Identity-H"/>
          <w:color w:val="1A1A1B"/>
          <w:sz w:val="21"/>
          <w:szCs w:val="21"/>
        </w:rPr>
      </w:pPr>
    </w:p>
    <w:p w14:paraId="0E05027D" w14:textId="77777777" w:rsidR="00A72A7F" w:rsidRDefault="00A72A7F" w:rsidP="00A72A7F">
      <w:pPr>
        <w:autoSpaceDE w:val="0"/>
        <w:autoSpaceDN w:val="0"/>
        <w:adjustRightInd w:val="0"/>
        <w:ind w:firstLine="708"/>
        <w:jc w:val="both"/>
        <w:rPr>
          <w:rFonts w:ascii="Abadi" w:hAnsi="Abadi" w:cs="*Arial-7976-Identity-H"/>
          <w:color w:val="1C1C1D"/>
          <w:sz w:val="21"/>
          <w:szCs w:val="21"/>
        </w:rPr>
      </w:pPr>
      <w:r w:rsidRPr="004471E0">
        <w:rPr>
          <w:rFonts w:ascii="Abadi" w:hAnsi="Abadi" w:cs="*Arial-7976-Identity-H"/>
          <w:color w:val="1C1C1D"/>
          <w:sz w:val="21"/>
          <w:szCs w:val="21"/>
        </w:rPr>
        <w:t>En ese orden de ideas, La Ley para el Desarrollo de la Competitividad de la</w:t>
      </w:r>
      <w:r>
        <w:rPr>
          <w:rFonts w:ascii="Abadi" w:hAnsi="Abadi" w:cs="*Arial-7976-Identity-H"/>
          <w:color w:val="1C1C1D"/>
          <w:sz w:val="21"/>
          <w:szCs w:val="21"/>
        </w:rPr>
        <w:t xml:space="preserve"> </w:t>
      </w:r>
      <w:r w:rsidRPr="004471E0">
        <w:rPr>
          <w:rFonts w:ascii="Abadi" w:hAnsi="Abadi" w:cs="*Arial-7976-Identity-H"/>
          <w:color w:val="1C1C1D"/>
          <w:sz w:val="21"/>
          <w:szCs w:val="21"/>
        </w:rPr>
        <w:t>Micro, Pequeña y Mediana Empresa, contempla la inclusión y alcance de</w:t>
      </w:r>
      <w:r>
        <w:rPr>
          <w:rFonts w:ascii="Abadi" w:hAnsi="Abadi" w:cs="*Arial-7976-Identity-H"/>
          <w:color w:val="1C1C1D"/>
          <w:sz w:val="21"/>
          <w:szCs w:val="21"/>
        </w:rPr>
        <w:t xml:space="preserve"> </w:t>
      </w:r>
      <w:r w:rsidRPr="004471E0">
        <w:rPr>
          <w:rFonts w:ascii="Abadi" w:hAnsi="Abadi" w:cs="*Arial-7976-Identity-H"/>
          <w:color w:val="1C1C1D"/>
          <w:sz w:val="21"/>
          <w:szCs w:val="21"/>
        </w:rPr>
        <w:t>programas entre otros a los artesanos y de bienes culturales.</w:t>
      </w:r>
    </w:p>
    <w:p w14:paraId="713D1F98" w14:textId="77777777" w:rsidR="00A72A7F" w:rsidRPr="004471E0" w:rsidRDefault="00A72A7F" w:rsidP="00A72A7F">
      <w:pPr>
        <w:autoSpaceDE w:val="0"/>
        <w:autoSpaceDN w:val="0"/>
        <w:adjustRightInd w:val="0"/>
        <w:jc w:val="both"/>
        <w:rPr>
          <w:rFonts w:ascii="Abadi" w:hAnsi="Abadi" w:cs="*Arial-7976-Identity-H"/>
          <w:color w:val="1C1C1D"/>
          <w:sz w:val="21"/>
          <w:szCs w:val="21"/>
        </w:rPr>
      </w:pPr>
    </w:p>
    <w:p w14:paraId="50F1EE2C" w14:textId="77777777" w:rsidR="00A72A7F" w:rsidRDefault="00A72A7F" w:rsidP="00A72A7F">
      <w:pPr>
        <w:autoSpaceDE w:val="0"/>
        <w:autoSpaceDN w:val="0"/>
        <w:adjustRightInd w:val="0"/>
        <w:ind w:firstLine="708"/>
        <w:jc w:val="both"/>
        <w:rPr>
          <w:rFonts w:ascii="Abadi" w:hAnsi="Abadi" w:cs="*Arial-7976-Identity-H"/>
          <w:color w:val="1B1C1D"/>
          <w:sz w:val="21"/>
          <w:szCs w:val="21"/>
        </w:rPr>
      </w:pPr>
      <w:r w:rsidRPr="004471E0">
        <w:rPr>
          <w:rFonts w:ascii="Abadi" w:hAnsi="Abadi" w:cs="*Arial-7976-Identity-H"/>
          <w:color w:val="1B1C1D"/>
          <w:sz w:val="21"/>
          <w:szCs w:val="21"/>
        </w:rPr>
        <w:t>El Fondo Nacional para el Fomento de las Artesanías es una institución</w:t>
      </w:r>
      <w:r>
        <w:rPr>
          <w:rFonts w:ascii="Abadi" w:hAnsi="Abadi" w:cs="*Arial-7976-Identity-H"/>
          <w:color w:val="1B1C1D"/>
          <w:sz w:val="21"/>
          <w:szCs w:val="21"/>
        </w:rPr>
        <w:t xml:space="preserve"> </w:t>
      </w:r>
      <w:r w:rsidRPr="004471E0">
        <w:rPr>
          <w:rFonts w:ascii="Abadi" w:hAnsi="Abadi" w:cs="*Arial-7976-Identity-H"/>
          <w:color w:val="1B1C1D"/>
          <w:sz w:val="21"/>
          <w:szCs w:val="21"/>
        </w:rPr>
        <w:t>gubernamental que diseña y ejecuta políticas de desarrollo, promoción y</w:t>
      </w:r>
      <w:r>
        <w:rPr>
          <w:rFonts w:ascii="Abadi" w:hAnsi="Abadi" w:cs="*Arial-7976-Identity-H"/>
          <w:color w:val="1B1C1D"/>
          <w:sz w:val="21"/>
          <w:szCs w:val="21"/>
        </w:rPr>
        <w:t xml:space="preserve"> </w:t>
      </w:r>
      <w:r w:rsidRPr="004471E0">
        <w:rPr>
          <w:rFonts w:ascii="Abadi" w:hAnsi="Abadi" w:cs="*Arial-7976-Identity-H"/>
          <w:color w:val="1B1C1D"/>
          <w:sz w:val="21"/>
          <w:szCs w:val="21"/>
        </w:rPr>
        <w:t>comercialización de la actividad artesanal; impulsa su investigación, así como la</w:t>
      </w:r>
      <w:r>
        <w:rPr>
          <w:rFonts w:ascii="Abadi" w:hAnsi="Abadi" w:cs="*Arial-7976-Identity-H"/>
          <w:color w:val="1B1C1D"/>
          <w:sz w:val="21"/>
          <w:szCs w:val="21"/>
        </w:rPr>
        <w:t xml:space="preserve"> </w:t>
      </w:r>
      <w:r w:rsidRPr="004471E0">
        <w:rPr>
          <w:rFonts w:ascii="Abadi" w:hAnsi="Abadi" w:cs="*Arial-7976-Identity-H"/>
          <w:color w:val="1B1C1D"/>
          <w:sz w:val="21"/>
          <w:szCs w:val="21"/>
        </w:rPr>
        <w:t>normatividad relativa, coadyuvando a incrementar la calidad de vida de los</w:t>
      </w:r>
      <w:r>
        <w:rPr>
          <w:rFonts w:ascii="Abadi" w:hAnsi="Abadi" w:cs="*Arial-7976-Identity-H"/>
          <w:color w:val="1B1C1D"/>
          <w:sz w:val="21"/>
          <w:szCs w:val="21"/>
        </w:rPr>
        <w:t xml:space="preserve"> </w:t>
      </w:r>
      <w:r w:rsidRPr="004471E0">
        <w:rPr>
          <w:rFonts w:ascii="Abadi" w:hAnsi="Abadi" w:cs="*Arial-7976-Identity-H"/>
          <w:color w:val="1B1C1D"/>
          <w:sz w:val="21"/>
          <w:szCs w:val="21"/>
        </w:rPr>
        <w:t>artesanos y a difundir el patrimonio cultural de México.</w:t>
      </w:r>
    </w:p>
    <w:p w14:paraId="6C4AF3CF" w14:textId="77777777" w:rsidR="00A72A7F" w:rsidRPr="004471E0" w:rsidRDefault="00A72A7F" w:rsidP="00A72A7F">
      <w:pPr>
        <w:autoSpaceDE w:val="0"/>
        <w:autoSpaceDN w:val="0"/>
        <w:adjustRightInd w:val="0"/>
        <w:jc w:val="both"/>
        <w:rPr>
          <w:rFonts w:ascii="Abadi" w:hAnsi="Abadi" w:cs="*Arial-7976-Identity-H"/>
          <w:color w:val="1B1C1D"/>
          <w:sz w:val="21"/>
          <w:szCs w:val="21"/>
        </w:rPr>
      </w:pPr>
    </w:p>
    <w:p w14:paraId="127846A3" w14:textId="77777777" w:rsidR="00A72A7F" w:rsidRDefault="00A72A7F" w:rsidP="00A72A7F">
      <w:pPr>
        <w:autoSpaceDE w:val="0"/>
        <w:autoSpaceDN w:val="0"/>
        <w:adjustRightInd w:val="0"/>
        <w:ind w:firstLine="708"/>
        <w:jc w:val="both"/>
        <w:rPr>
          <w:rFonts w:ascii="Abadi" w:hAnsi="Abadi" w:cs="*Courier New-8482-Identity-H"/>
          <w:color w:val="1C1B1E"/>
          <w:sz w:val="21"/>
          <w:szCs w:val="21"/>
        </w:rPr>
      </w:pPr>
      <w:r w:rsidRPr="004471E0">
        <w:rPr>
          <w:rFonts w:ascii="Abadi" w:hAnsi="Abadi" w:cs="*Arial-7976-Identity-H"/>
          <w:color w:val="1C1C1D"/>
          <w:sz w:val="21"/>
          <w:szCs w:val="21"/>
        </w:rPr>
        <w:t>Dicho organismo es rector de la actividad artesanal encargado de</w:t>
      </w:r>
      <w:r>
        <w:rPr>
          <w:rFonts w:ascii="Abadi" w:hAnsi="Abadi" w:cs="*Arial-7976-Identity-H"/>
          <w:color w:val="1C1C1D"/>
          <w:sz w:val="21"/>
          <w:szCs w:val="21"/>
        </w:rPr>
        <w:t xml:space="preserve"> </w:t>
      </w:r>
      <w:r w:rsidRPr="004471E0">
        <w:rPr>
          <w:rFonts w:ascii="Abadi" w:hAnsi="Abadi" w:cs="*Arial-7976-Identity-H"/>
          <w:color w:val="1C1C1D"/>
          <w:sz w:val="21"/>
          <w:szCs w:val="21"/>
        </w:rPr>
        <w:t>acompañar a los artesanos desde la producción hasta la comercialización</w:t>
      </w:r>
      <w:r>
        <w:rPr>
          <w:rFonts w:ascii="Abadi" w:hAnsi="Abadi" w:cs="*Arial-7976-Identity-H"/>
          <w:color w:val="1C1C1D"/>
          <w:sz w:val="21"/>
          <w:szCs w:val="21"/>
        </w:rPr>
        <w:t xml:space="preserve"> </w:t>
      </w:r>
      <w:r w:rsidRPr="004471E0">
        <w:rPr>
          <w:rFonts w:ascii="Abadi" w:hAnsi="Abadi" w:cs="*Arial-7976-Identity-H"/>
          <w:color w:val="1C1C1D"/>
          <w:sz w:val="21"/>
          <w:szCs w:val="21"/>
        </w:rPr>
        <w:t>efectiva de sus productos en el mercado global, entre diversos objetivos se</w:t>
      </w:r>
      <w:r>
        <w:rPr>
          <w:rFonts w:ascii="Abadi" w:hAnsi="Abadi" w:cs="*Arial-7976-Identity-H"/>
          <w:color w:val="1C1C1D"/>
          <w:sz w:val="21"/>
          <w:szCs w:val="21"/>
        </w:rPr>
        <w:t xml:space="preserve"> </w:t>
      </w:r>
      <w:r w:rsidRPr="004471E0">
        <w:rPr>
          <w:rFonts w:ascii="Abadi" w:hAnsi="Abadi" w:cs="*Arial-7976-Identity-H"/>
          <w:color w:val="1C1C1D"/>
          <w:sz w:val="21"/>
          <w:szCs w:val="21"/>
        </w:rPr>
        <w:t>encuentra apoyar la elaboración de proyectos productivos artesanales mediante</w:t>
      </w:r>
      <w:r>
        <w:rPr>
          <w:rFonts w:ascii="Abadi" w:hAnsi="Abadi" w:cs="*Arial-7976-Identity-H"/>
          <w:color w:val="1C1C1D"/>
          <w:sz w:val="21"/>
          <w:szCs w:val="21"/>
        </w:rPr>
        <w:t xml:space="preserve"> </w:t>
      </w:r>
      <w:r w:rsidRPr="004471E0">
        <w:rPr>
          <w:rFonts w:ascii="Abadi" w:hAnsi="Abadi" w:cs="*Arial-7976-Identity-H"/>
          <w:color w:val="1C1C1D"/>
          <w:sz w:val="21"/>
          <w:szCs w:val="21"/>
        </w:rPr>
        <w:t>la entrega de apoyos que pueden ser utilizados en capacitación y/o asistencia</w:t>
      </w:r>
      <w:r>
        <w:rPr>
          <w:rFonts w:ascii="Abadi" w:hAnsi="Abadi" w:cs="*Arial-7976-Identity-H"/>
          <w:color w:val="1C1C1D"/>
          <w:sz w:val="21"/>
          <w:szCs w:val="21"/>
        </w:rPr>
        <w:t xml:space="preserve"> </w:t>
      </w:r>
      <w:r w:rsidRPr="004471E0">
        <w:rPr>
          <w:rFonts w:ascii="Abadi" w:hAnsi="Abadi" w:cs="*Arial-7976-Identity-H"/>
          <w:color w:val="1C1C1D"/>
          <w:sz w:val="21"/>
          <w:szCs w:val="21"/>
        </w:rPr>
        <w:t>técnica, apoyos a la producción para la compra de materia prima, la prevención</w:t>
      </w:r>
      <w:r>
        <w:rPr>
          <w:rFonts w:ascii="Abadi" w:hAnsi="Abadi" w:cs="*Arial-7976-Identity-H"/>
          <w:color w:val="1C1C1D"/>
          <w:sz w:val="21"/>
          <w:szCs w:val="21"/>
        </w:rPr>
        <w:t xml:space="preserve"> </w:t>
      </w:r>
      <w:r w:rsidRPr="004471E0">
        <w:rPr>
          <w:rFonts w:ascii="Abadi" w:hAnsi="Abadi" w:cs="*Arial-7976-Identity-H"/>
          <w:color w:val="1C1C1D"/>
          <w:sz w:val="21"/>
          <w:szCs w:val="21"/>
        </w:rPr>
        <w:t>de la salud. el acopio de artesanías en comunidades, organización de ferias y</w:t>
      </w:r>
      <w:r>
        <w:rPr>
          <w:rFonts w:ascii="Abadi" w:hAnsi="Abadi" w:cs="*Arial-7976-Identity-H"/>
          <w:color w:val="1C1C1D"/>
          <w:sz w:val="21"/>
          <w:szCs w:val="21"/>
        </w:rPr>
        <w:t xml:space="preserve"> </w:t>
      </w:r>
      <w:r w:rsidRPr="004471E0">
        <w:rPr>
          <w:rFonts w:ascii="Abadi" w:hAnsi="Abadi" w:cs="*Arial-7976-Identity-H"/>
          <w:color w:val="1C1C1D"/>
          <w:sz w:val="21"/>
          <w:szCs w:val="21"/>
        </w:rPr>
        <w:t>exposiciones nacionales e internacionales, concursos de artesanías a nivel local,</w:t>
      </w:r>
      <w:r>
        <w:rPr>
          <w:rFonts w:ascii="Abadi" w:hAnsi="Abadi" w:cs="*Arial-7976-Identity-H"/>
          <w:color w:val="1C1C1D"/>
          <w:sz w:val="21"/>
          <w:szCs w:val="21"/>
        </w:rPr>
        <w:t xml:space="preserve"> </w:t>
      </w:r>
      <w:r w:rsidRPr="004471E0">
        <w:rPr>
          <w:rFonts w:ascii="Abadi" w:hAnsi="Abadi" w:cs="*Courier New-8482-Identity-H"/>
          <w:color w:val="1C1B1E"/>
          <w:sz w:val="21"/>
          <w:szCs w:val="21"/>
        </w:rPr>
        <w:t>regional y nacional, proyectos estratégicos y la remodelación y promoción de</w:t>
      </w:r>
      <w:r>
        <w:rPr>
          <w:rFonts w:ascii="Abadi" w:hAnsi="Abadi" w:cs="*Courier New-8482-Identity-H"/>
          <w:color w:val="1C1B1E"/>
          <w:sz w:val="21"/>
          <w:szCs w:val="21"/>
        </w:rPr>
        <w:t xml:space="preserve"> </w:t>
      </w:r>
      <w:r w:rsidRPr="004471E0">
        <w:rPr>
          <w:rFonts w:ascii="Abadi" w:hAnsi="Abadi" w:cs="*Courier New-8482-Identity-H"/>
          <w:color w:val="1C1B1E"/>
          <w:sz w:val="21"/>
          <w:szCs w:val="21"/>
        </w:rPr>
        <w:t>talleres artesanales en puntos turísticos.</w:t>
      </w:r>
    </w:p>
    <w:p w14:paraId="2B3A8733" w14:textId="77777777" w:rsidR="00A72A7F" w:rsidRPr="004471E0" w:rsidRDefault="00A72A7F" w:rsidP="00A72A7F">
      <w:pPr>
        <w:autoSpaceDE w:val="0"/>
        <w:autoSpaceDN w:val="0"/>
        <w:adjustRightInd w:val="0"/>
        <w:jc w:val="both"/>
        <w:rPr>
          <w:rFonts w:ascii="Abadi" w:hAnsi="Abadi" w:cs="*Courier New-8482-Identity-H"/>
          <w:color w:val="1C1B1E"/>
          <w:sz w:val="21"/>
          <w:szCs w:val="21"/>
        </w:rPr>
      </w:pPr>
    </w:p>
    <w:p w14:paraId="7F617AE7" w14:textId="77777777" w:rsidR="00A72A7F" w:rsidRDefault="00A72A7F" w:rsidP="00A72A7F">
      <w:pPr>
        <w:autoSpaceDE w:val="0"/>
        <w:autoSpaceDN w:val="0"/>
        <w:adjustRightInd w:val="0"/>
        <w:ind w:firstLine="708"/>
        <w:jc w:val="both"/>
        <w:rPr>
          <w:rFonts w:ascii="Abadi" w:hAnsi="Abadi" w:cs="*Courier New-8482-Identity-H"/>
          <w:color w:val="1B1B1D"/>
          <w:sz w:val="21"/>
          <w:szCs w:val="21"/>
        </w:rPr>
      </w:pPr>
      <w:r w:rsidRPr="004471E0">
        <w:rPr>
          <w:rFonts w:ascii="Abadi" w:hAnsi="Abadi" w:cs="*Courier New-8482-Identity-H"/>
          <w:color w:val="1B1B1D"/>
          <w:sz w:val="21"/>
          <w:szCs w:val="21"/>
        </w:rPr>
        <w:t>No obstante lo anterior es importantes señalar que a nivel estatal la política</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pública que el gobierno del Estado implementa se integra por programas y</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acciones afirmativas, con el fin de proteger al sector artesanal, entre las que se</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encuentran las noves impulsoras de empleo que tiene como objetivo el desarrollo</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de competencias y habilidades en la fuerza laboral y de una cultura empresarial</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con perspectiva de género; el desarrollo de ecosistemas económicos a fin de</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impulsar la proveeduría local; la Implementación de programas que han creado</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espacios de encuentro a fin de fortalecer estrategias de</w:t>
      </w:r>
      <w:r w:rsidRPr="004471E0">
        <w:rPr>
          <w:rFonts w:ascii="Abadi" w:hAnsi="Abadi" w:cs="*Courier New-8482-Identity-H"/>
          <w:color w:val="999999"/>
          <w:sz w:val="21"/>
          <w:szCs w:val="21"/>
        </w:rPr>
        <w:t xml:space="preserve"> </w:t>
      </w:r>
      <w:r w:rsidRPr="004471E0">
        <w:rPr>
          <w:rFonts w:ascii="Abadi" w:hAnsi="Abadi" w:cs="*Courier New-8482-Identity-H"/>
          <w:color w:val="1B1B1D"/>
          <w:sz w:val="21"/>
          <w:szCs w:val="21"/>
        </w:rPr>
        <w:t>comercialización e</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impulso al mercado interno; el desarrollo de herramientas digitales para</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incrementar los espacios de oferta de producto, enfocar nuevos mercados y</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 xml:space="preserve">diversificar el segmento al que se dirigen los productos </w:t>
      </w:r>
      <w:r w:rsidRPr="004471E0">
        <w:rPr>
          <w:rFonts w:ascii="Abadi" w:hAnsi="Abadi" w:cs="*Times New Roman-Italic-8480-Id"/>
          <w:i/>
          <w:iCs/>
          <w:color w:val="1B1B1D"/>
          <w:sz w:val="21"/>
          <w:szCs w:val="21"/>
        </w:rPr>
        <w:t xml:space="preserve">y </w:t>
      </w:r>
      <w:r w:rsidRPr="004471E0">
        <w:rPr>
          <w:rFonts w:ascii="Abadi" w:hAnsi="Abadi" w:cs="*Courier New-8482-Identity-H"/>
          <w:color w:val="1B1B1D"/>
          <w:sz w:val="21"/>
          <w:szCs w:val="21"/>
        </w:rPr>
        <w:t>sobre todo programas</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crediticios enfocados en el sector.</w:t>
      </w:r>
    </w:p>
    <w:p w14:paraId="59B4E5C7" w14:textId="77777777" w:rsidR="00A72A7F" w:rsidRPr="004471E0" w:rsidRDefault="00A72A7F" w:rsidP="00A72A7F">
      <w:pPr>
        <w:autoSpaceDE w:val="0"/>
        <w:autoSpaceDN w:val="0"/>
        <w:adjustRightInd w:val="0"/>
        <w:jc w:val="both"/>
        <w:rPr>
          <w:rFonts w:ascii="Abadi" w:hAnsi="Abadi" w:cs="*Courier New-8482-Identity-H"/>
          <w:color w:val="1B1B1D"/>
          <w:sz w:val="21"/>
          <w:szCs w:val="21"/>
        </w:rPr>
      </w:pPr>
    </w:p>
    <w:p w14:paraId="0BDFF8DC" w14:textId="77777777" w:rsidR="00A72A7F" w:rsidRDefault="00A72A7F" w:rsidP="00A72A7F">
      <w:pPr>
        <w:autoSpaceDE w:val="0"/>
        <w:autoSpaceDN w:val="0"/>
        <w:adjustRightInd w:val="0"/>
        <w:ind w:firstLine="708"/>
        <w:jc w:val="both"/>
        <w:rPr>
          <w:rFonts w:ascii="Abadi" w:hAnsi="Abadi" w:cs="*Courier New-8482-Identity-H"/>
          <w:color w:val="1E1E1F"/>
          <w:sz w:val="21"/>
          <w:szCs w:val="21"/>
        </w:rPr>
      </w:pPr>
      <w:r w:rsidRPr="004471E0">
        <w:rPr>
          <w:rFonts w:ascii="Abadi" w:hAnsi="Abadi" w:cs="*Courier New-8482-Identity-H"/>
          <w:color w:val="1E1E1F"/>
          <w:sz w:val="21"/>
          <w:szCs w:val="21"/>
        </w:rPr>
        <w:t>De igual forma a través del Instituto Estatal de Capacitación se</w:t>
      </w:r>
      <w:r>
        <w:rPr>
          <w:rFonts w:ascii="Abadi" w:hAnsi="Abadi" w:cs="*Courier New-8482-Identity-H"/>
          <w:color w:val="1E1E1F"/>
          <w:sz w:val="21"/>
          <w:szCs w:val="21"/>
        </w:rPr>
        <w:t xml:space="preserve"> implementan</w:t>
      </w:r>
      <w:r w:rsidRPr="004471E0">
        <w:rPr>
          <w:rFonts w:ascii="Abadi" w:hAnsi="Abadi" w:cs="*Courier New-8482-Identity-H"/>
          <w:color w:val="1E1E1F"/>
          <w:sz w:val="21"/>
          <w:szCs w:val="21"/>
        </w:rPr>
        <w:t xml:space="preserve"> talleres de capacitación en técnicas del sector artesanal.</w:t>
      </w:r>
      <w:r>
        <w:rPr>
          <w:rFonts w:ascii="Abadi" w:hAnsi="Abadi" w:cs="*Courier New-8482-Identity-H"/>
          <w:color w:val="1E1E1F"/>
          <w:sz w:val="21"/>
          <w:szCs w:val="21"/>
        </w:rPr>
        <w:t xml:space="preserve">  </w:t>
      </w:r>
    </w:p>
    <w:p w14:paraId="2A5AC32D" w14:textId="77777777" w:rsidR="00A72A7F" w:rsidRDefault="00A72A7F" w:rsidP="00A72A7F">
      <w:pPr>
        <w:autoSpaceDE w:val="0"/>
        <w:autoSpaceDN w:val="0"/>
        <w:adjustRightInd w:val="0"/>
        <w:jc w:val="both"/>
        <w:rPr>
          <w:rFonts w:ascii="Abadi" w:hAnsi="Abadi" w:cs="*Courier New-8482-Identity-H"/>
          <w:color w:val="1E1E1F"/>
          <w:sz w:val="21"/>
          <w:szCs w:val="21"/>
        </w:rPr>
      </w:pPr>
    </w:p>
    <w:p w14:paraId="76FE521D" w14:textId="77777777" w:rsidR="00A72A7F" w:rsidRDefault="00A72A7F" w:rsidP="00A72A7F">
      <w:pPr>
        <w:autoSpaceDE w:val="0"/>
        <w:autoSpaceDN w:val="0"/>
        <w:adjustRightInd w:val="0"/>
        <w:ind w:firstLine="708"/>
        <w:jc w:val="both"/>
        <w:rPr>
          <w:rFonts w:ascii="Abadi" w:hAnsi="Abadi" w:cs="*Courier New-8482-Identity-H"/>
          <w:color w:val="1D1C1F"/>
          <w:sz w:val="21"/>
          <w:szCs w:val="21"/>
        </w:rPr>
      </w:pPr>
      <w:r w:rsidRPr="004471E0">
        <w:rPr>
          <w:rFonts w:ascii="Abadi" w:hAnsi="Abadi" w:cs="*Courier New-8482-Identity-H"/>
          <w:color w:val="1D1C1F"/>
          <w:sz w:val="21"/>
          <w:szCs w:val="21"/>
        </w:rPr>
        <w:t>Aunado a lo anterior se desarrollan acciones específicas como el proyecto</w:t>
      </w:r>
      <w:r>
        <w:rPr>
          <w:rFonts w:ascii="Abadi" w:hAnsi="Abadi" w:cs="*Courier New-8482-Identity-H"/>
          <w:color w:val="1D1C1F"/>
          <w:sz w:val="21"/>
          <w:szCs w:val="21"/>
        </w:rPr>
        <w:t xml:space="preserve"> </w:t>
      </w:r>
      <w:r w:rsidRPr="004471E0">
        <w:rPr>
          <w:rFonts w:ascii="Abadi" w:hAnsi="Abadi" w:cs="*Courier New-8482-Identity-H"/>
          <w:color w:val="1D1C1F"/>
          <w:sz w:val="21"/>
          <w:szCs w:val="21"/>
        </w:rPr>
        <w:t>"Programa de Aceleración e Internacionalización de MiPyMEs del Sector Joyero</w:t>
      </w:r>
      <w:r>
        <w:rPr>
          <w:rFonts w:ascii="Abadi" w:hAnsi="Abadi" w:cs="*Courier New-8482-Identity-H"/>
          <w:color w:val="1D1C1F"/>
          <w:sz w:val="21"/>
          <w:szCs w:val="21"/>
        </w:rPr>
        <w:t xml:space="preserve"> </w:t>
      </w:r>
      <w:r w:rsidRPr="004471E0">
        <w:rPr>
          <w:rFonts w:ascii="Abadi" w:hAnsi="Abadi" w:cs="*Courier New-8482-Identity-H"/>
          <w:color w:val="1D1C1F"/>
          <w:sz w:val="21"/>
          <w:szCs w:val="21"/>
        </w:rPr>
        <w:t>de Guanajuato" que se ha implementado para consultoría especializada y el</w:t>
      </w:r>
      <w:r>
        <w:rPr>
          <w:rFonts w:ascii="Abadi" w:hAnsi="Abadi" w:cs="*Courier New-8482-Identity-H"/>
          <w:color w:val="1D1C1F"/>
          <w:sz w:val="21"/>
          <w:szCs w:val="21"/>
        </w:rPr>
        <w:t xml:space="preserve"> </w:t>
      </w:r>
      <w:r w:rsidRPr="004471E0">
        <w:rPr>
          <w:rFonts w:ascii="Abadi" w:hAnsi="Abadi" w:cs="*Courier New-8482-Identity-H"/>
          <w:color w:val="1D1C1F"/>
          <w:sz w:val="21"/>
          <w:szCs w:val="21"/>
        </w:rPr>
        <w:t>desarrollo del sector a partir del fortalecimiento y creatividad de sectores como</w:t>
      </w:r>
      <w:r>
        <w:rPr>
          <w:rFonts w:ascii="Abadi" w:hAnsi="Abadi" w:cs="*Courier New-8482-Identity-H"/>
          <w:color w:val="1D1C1F"/>
          <w:sz w:val="21"/>
          <w:szCs w:val="21"/>
        </w:rPr>
        <w:t xml:space="preserve"> </w:t>
      </w:r>
      <w:r w:rsidRPr="004471E0">
        <w:rPr>
          <w:rFonts w:ascii="Abadi" w:hAnsi="Abadi" w:cs="*Courier New-8482-Identity-H"/>
          <w:color w:val="1D1C1F"/>
          <w:sz w:val="21"/>
          <w:szCs w:val="21"/>
        </w:rPr>
        <w:t>marroquinería, textil, cerámica, metalistería, manualidades, entre otros.</w:t>
      </w:r>
    </w:p>
    <w:p w14:paraId="15A1084A" w14:textId="77777777" w:rsidR="00A72A7F" w:rsidRPr="004471E0" w:rsidRDefault="00A72A7F" w:rsidP="00A72A7F">
      <w:pPr>
        <w:autoSpaceDE w:val="0"/>
        <w:autoSpaceDN w:val="0"/>
        <w:adjustRightInd w:val="0"/>
        <w:jc w:val="both"/>
        <w:rPr>
          <w:rFonts w:ascii="Abadi" w:hAnsi="Abadi" w:cs="*Courier New-8482-Identity-H"/>
          <w:color w:val="1D1C1F"/>
          <w:sz w:val="21"/>
          <w:szCs w:val="21"/>
        </w:rPr>
      </w:pPr>
    </w:p>
    <w:p w14:paraId="5DC7CC22" w14:textId="77777777" w:rsidR="00A72A7F" w:rsidRDefault="00A72A7F" w:rsidP="00A72A7F">
      <w:pPr>
        <w:autoSpaceDE w:val="0"/>
        <w:autoSpaceDN w:val="0"/>
        <w:adjustRightInd w:val="0"/>
        <w:ind w:firstLine="708"/>
        <w:jc w:val="both"/>
        <w:rPr>
          <w:rFonts w:ascii="Abadi" w:hAnsi="Abadi" w:cs="*Courier New-8482-Identity-H"/>
          <w:color w:val="1B1B1D"/>
          <w:sz w:val="21"/>
          <w:szCs w:val="21"/>
        </w:rPr>
      </w:pPr>
      <w:r w:rsidRPr="004471E0">
        <w:rPr>
          <w:rFonts w:ascii="Abadi" w:hAnsi="Abadi" w:cs="*Courier New-8482-Identity-H"/>
          <w:color w:val="1B1B1D"/>
          <w:sz w:val="21"/>
          <w:szCs w:val="21"/>
        </w:rPr>
        <w:t>A través de programas impulsados por la Secretaría de Turismo, se han</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 xml:space="preserve">ejecutado acciones para promover expresiones culturales </w:t>
      </w:r>
      <w:r w:rsidRPr="004471E0">
        <w:rPr>
          <w:rFonts w:ascii="Abadi" w:hAnsi="Abadi" w:cs="*Verdana-8483-Identity-H"/>
          <w:color w:val="1B1B1D"/>
          <w:sz w:val="21"/>
          <w:szCs w:val="21"/>
        </w:rPr>
        <w:t xml:space="preserve">y </w:t>
      </w:r>
      <w:r w:rsidRPr="004471E0">
        <w:rPr>
          <w:rFonts w:ascii="Abadi" w:hAnsi="Abadi" w:cs="*Courier New-8482-Identity-H"/>
          <w:color w:val="1B1B1D"/>
          <w:sz w:val="21"/>
          <w:szCs w:val="21"/>
        </w:rPr>
        <w:t>artísticas en el marco</w:t>
      </w:r>
      <w:r>
        <w:rPr>
          <w:rFonts w:ascii="Abadi" w:hAnsi="Abadi" w:cs="*Courier New-8482-Identity-H"/>
          <w:color w:val="1B1B1D"/>
          <w:sz w:val="21"/>
          <w:szCs w:val="21"/>
        </w:rPr>
        <w:t xml:space="preserve"> </w:t>
      </w:r>
      <w:r w:rsidRPr="004471E0">
        <w:rPr>
          <w:rFonts w:ascii="Abadi" w:hAnsi="Abadi" w:cs="*Courier New-8482-Identity-H"/>
          <w:color w:val="1B1B1D"/>
          <w:sz w:val="21"/>
          <w:szCs w:val="21"/>
        </w:rPr>
        <w:t>de una estrategia de reactivación económica y promoción turística.</w:t>
      </w:r>
      <w:r>
        <w:rPr>
          <w:rFonts w:ascii="Abadi" w:hAnsi="Abadi" w:cs="*Courier New-8482-Identity-H"/>
          <w:color w:val="1B1B1D"/>
          <w:sz w:val="21"/>
          <w:szCs w:val="21"/>
        </w:rPr>
        <w:t xml:space="preserve"> </w:t>
      </w:r>
    </w:p>
    <w:p w14:paraId="54EF189B" w14:textId="77777777" w:rsidR="00A72A7F" w:rsidRDefault="00A72A7F" w:rsidP="00A72A7F">
      <w:pPr>
        <w:autoSpaceDE w:val="0"/>
        <w:autoSpaceDN w:val="0"/>
        <w:adjustRightInd w:val="0"/>
        <w:jc w:val="both"/>
        <w:rPr>
          <w:rFonts w:ascii="Abadi" w:hAnsi="Abadi" w:cs="*Courier New-8482-Identity-H"/>
          <w:color w:val="1B1B1D"/>
          <w:sz w:val="21"/>
          <w:szCs w:val="21"/>
        </w:rPr>
      </w:pPr>
    </w:p>
    <w:p w14:paraId="738FCD7E" w14:textId="77777777" w:rsidR="00A72A7F" w:rsidRPr="004471E0" w:rsidRDefault="00A72A7F" w:rsidP="00A72A7F">
      <w:pPr>
        <w:autoSpaceDE w:val="0"/>
        <w:autoSpaceDN w:val="0"/>
        <w:adjustRightInd w:val="0"/>
        <w:jc w:val="both"/>
        <w:rPr>
          <w:rFonts w:ascii="Abadi" w:hAnsi="Abadi" w:cs="*Courier New-8482-Identity-H"/>
          <w:color w:val="1B1B1D"/>
          <w:sz w:val="21"/>
          <w:szCs w:val="21"/>
        </w:rPr>
      </w:pPr>
    </w:p>
    <w:p w14:paraId="6ECB5D25" w14:textId="77777777" w:rsidR="00A72A7F" w:rsidRDefault="00A72A7F" w:rsidP="00A72A7F">
      <w:pPr>
        <w:autoSpaceDE w:val="0"/>
        <w:autoSpaceDN w:val="0"/>
        <w:adjustRightInd w:val="0"/>
        <w:ind w:firstLine="708"/>
        <w:jc w:val="both"/>
        <w:rPr>
          <w:rFonts w:ascii="Abadi" w:hAnsi="Abadi" w:cs="*Arial-7247-Identity-H"/>
          <w:color w:val="1B1A1C"/>
          <w:sz w:val="21"/>
          <w:szCs w:val="21"/>
        </w:rPr>
      </w:pPr>
      <w:r w:rsidRPr="004471E0">
        <w:rPr>
          <w:rFonts w:ascii="Abadi" w:hAnsi="Abadi" w:cs="*Arial-7247-Identity-H"/>
          <w:color w:val="1B1A1C"/>
          <w:sz w:val="21"/>
          <w:szCs w:val="21"/>
        </w:rPr>
        <w:t>La estrategia Marca GTO ha sido una de las herramientas relevantes a fin</w:t>
      </w:r>
      <w:r>
        <w:rPr>
          <w:rFonts w:ascii="Abadi" w:hAnsi="Abadi" w:cs="*Arial-7247-Identity-H"/>
          <w:color w:val="1B1A1C"/>
          <w:sz w:val="21"/>
          <w:szCs w:val="21"/>
        </w:rPr>
        <w:t xml:space="preserve"> </w:t>
      </w:r>
      <w:r w:rsidRPr="004471E0">
        <w:rPr>
          <w:rFonts w:ascii="Abadi" w:hAnsi="Abadi" w:cs="*Arial-7247-Identity-H"/>
          <w:color w:val="1B1A1C"/>
          <w:sz w:val="21"/>
          <w:szCs w:val="21"/>
        </w:rPr>
        <w:t>de que empresas del sector en la entidad aumenten su atractivo para competir</w:t>
      </w:r>
      <w:r>
        <w:rPr>
          <w:rFonts w:ascii="Abadi" w:hAnsi="Abadi" w:cs="*Arial-7247-Identity-H"/>
          <w:color w:val="1B1A1C"/>
          <w:sz w:val="21"/>
          <w:szCs w:val="21"/>
        </w:rPr>
        <w:t xml:space="preserve"> </w:t>
      </w:r>
      <w:r w:rsidRPr="004471E0">
        <w:rPr>
          <w:rFonts w:ascii="Abadi" w:hAnsi="Abadi" w:cs="*Arial-7247-Identity-H"/>
          <w:color w:val="1B1A1C"/>
          <w:sz w:val="21"/>
          <w:szCs w:val="21"/>
        </w:rPr>
        <w:t>en mercados nacionales e internacionales, como parte del fortalecimiento de la</w:t>
      </w:r>
      <w:r>
        <w:rPr>
          <w:rFonts w:ascii="Abadi" w:hAnsi="Abadi" w:cs="*Arial-7247-Identity-H"/>
          <w:color w:val="1B1A1C"/>
          <w:sz w:val="21"/>
          <w:szCs w:val="21"/>
        </w:rPr>
        <w:t xml:space="preserve"> </w:t>
      </w:r>
      <w:r w:rsidRPr="004471E0">
        <w:rPr>
          <w:rFonts w:ascii="Abadi" w:hAnsi="Abadi" w:cs="*Arial-7247-Identity-H"/>
          <w:color w:val="1B1A1C"/>
          <w:sz w:val="21"/>
          <w:szCs w:val="21"/>
        </w:rPr>
        <w:t>actividad artesanal.</w:t>
      </w:r>
    </w:p>
    <w:p w14:paraId="0AC156BF" w14:textId="77777777" w:rsidR="00A72A7F" w:rsidRPr="004471E0" w:rsidRDefault="00A72A7F" w:rsidP="00A72A7F">
      <w:pPr>
        <w:autoSpaceDE w:val="0"/>
        <w:autoSpaceDN w:val="0"/>
        <w:adjustRightInd w:val="0"/>
        <w:jc w:val="both"/>
        <w:rPr>
          <w:rFonts w:ascii="Abadi" w:hAnsi="Abadi" w:cs="*Arial-7247-Identity-H"/>
          <w:color w:val="1B1A1C"/>
          <w:sz w:val="21"/>
          <w:szCs w:val="21"/>
        </w:rPr>
      </w:pPr>
    </w:p>
    <w:p w14:paraId="36298C11" w14:textId="77777777" w:rsidR="00A72A7F" w:rsidRDefault="00A72A7F" w:rsidP="00A72A7F">
      <w:pPr>
        <w:autoSpaceDE w:val="0"/>
        <w:autoSpaceDN w:val="0"/>
        <w:adjustRightInd w:val="0"/>
        <w:ind w:firstLine="708"/>
        <w:jc w:val="both"/>
        <w:rPr>
          <w:rFonts w:ascii="Abadi" w:hAnsi="Abadi" w:cs="*Arial-7247-Identity-H"/>
          <w:color w:val="1A1A1C"/>
          <w:sz w:val="21"/>
          <w:szCs w:val="21"/>
        </w:rPr>
      </w:pPr>
      <w:r w:rsidRPr="004471E0">
        <w:rPr>
          <w:rFonts w:ascii="Abadi" w:hAnsi="Abadi" w:cs="*Arial-7247-Identity-H"/>
          <w:color w:val="1A1A1C"/>
          <w:sz w:val="21"/>
          <w:szCs w:val="21"/>
        </w:rPr>
        <w:t>Por otra parte, quienes integramos esta Comisión dictaminadora, hemos</w:t>
      </w:r>
      <w:r>
        <w:rPr>
          <w:rFonts w:ascii="Abadi" w:hAnsi="Abadi" w:cs="*Arial-7247-Identity-H"/>
          <w:color w:val="1A1A1C"/>
          <w:sz w:val="21"/>
          <w:szCs w:val="21"/>
        </w:rPr>
        <w:t xml:space="preserve"> </w:t>
      </w:r>
      <w:r w:rsidRPr="004471E0">
        <w:rPr>
          <w:rFonts w:ascii="Abadi" w:hAnsi="Abadi" w:cs="*Arial-7247-Identity-H"/>
          <w:color w:val="1A1A1C"/>
          <w:sz w:val="21"/>
          <w:szCs w:val="21"/>
        </w:rPr>
        <w:t>considerado el impacto presupuestario que desprende la iniciativa para su</w:t>
      </w:r>
      <w:r>
        <w:rPr>
          <w:rFonts w:ascii="Abadi" w:hAnsi="Abadi" w:cs="*Arial-7247-Identity-H"/>
          <w:color w:val="1A1A1C"/>
          <w:sz w:val="21"/>
          <w:szCs w:val="21"/>
        </w:rPr>
        <w:t xml:space="preserve"> </w:t>
      </w:r>
      <w:r w:rsidRPr="004471E0">
        <w:rPr>
          <w:rFonts w:ascii="Abadi" w:hAnsi="Abadi" w:cs="*Arial-7247-Identity-H"/>
          <w:color w:val="1A1A1C"/>
          <w:sz w:val="21"/>
          <w:szCs w:val="21"/>
        </w:rPr>
        <w:t>implementación tanto para el Gobierno Estatal, como para los Ayuntamientos,</w:t>
      </w:r>
      <w:r>
        <w:rPr>
          <w:rFonts w:ascii="Abadi" w:hAnsi="Abadi" w:cs="*Arial-7247-Identity-H"/>
          <w:color w:val="1A1A1C"/>
          <w:sz w:val="21"/>
          <w:szCs w:val="21"/>
        </w:rPr>
        <w:t xml:space="preserve"> </w:t>
      </w:r>
      <w:r w:rsidRPr="004471E0">
        <w:rPr>
          <w:rFonts w:ascii="Abadi" w:hAnsi="Abadi" w:cs="*Arial-7247-Identity-H"/>
          <w:color w:val="1A1A1C"/>
          <w:sz w:val="21"/>
          <w:szCs w:val="21"/>
        </w:rPr>
        <w:t>aunado a lo anterior, cabe destacar que no se consideraron las propuestas en las</w:t>
      </w:r>
      <w:r>
        <w:rPr>
          <w:rFonts w:ascii="Abadi" w:hAnsi="Abadi" w:cs="*Arial-7247-Identity-H"/>
          <w:color w:val="1A1A1C"/>
          <w:sz w:val="21"/>
          <w:szCs w:val="21"/>
        </w:rPr>
        <w:t xml:space="preserve"> </w:t>
      </w:r>
      <w:r w:rsidRPr="004471E0">
        <w:rPr>
          <w:rFonts w:ascii="Abadi" w:hAnsi="Abadi" w:cs="*Arial-7247-Identity-H"/>
          <w:color w:val="1A1A1C"/>
          <w:sz w:val="21"/>
          <w:szCs w:val="21"/>
        </w:rPr>
        <w:t>leyes fiscales correspondientes para su aplicación.</w:t>
      </w:r>
    </w:p>
    <w:p w14:paraId="72EF483B" w14:textId="77777777" w:rsidR="00A72A7F" w:rsidRPr="004471E0" w:rsidRDefault="00A72A7F" w:rsidP="00A72A7F">
      <w:pPr>
        <w:autoSpaceDE w:val="0"/>
        <w:autoSpaceDN w:val="0"/>
        <w:adjustRightInd w:val="0"/>
        <w:jc w:val="both"/>
        <w:rPr>
          <w:rFonts w:ascii="Abadi" w:hAnsi="Abadi" w:cs="*Arial-7247-Identity-H"/>
          <w:color w:val="1A1A1C"/>
          <w:sz w:val="21"/>
          <w:szCs w:val="21"/>
        </w:rPr>
      </w:pPr>
    </w:p>
    <w:p w14:paraId="60B2FA64" w14:textId="77777777" w:rsidR="00A72A7F" w:rsidRDefault="00A72A7F" w:rsidP="00A72A7F">
      <w:pPr>
        <w:autoSpaceDE w:val="0"/>
        <w:autoSpaceDN w:val="0"/>
        <w:adjustRightInd w:val="0"/>
        <w:ind w:firstLine="708"/>
        <w:jc w:val="both"/>
        <w:rPr>
          <w:rFonts w:ascii="Abadi" w:hAnsi="Abadi" w:cs="*Arial-7247-Identity-H"/>
          <w:color w:val="1B1B1C"/>
          <w:sz w:val="21"/>
          <w:szCs w:val="21"/>
        </w:rPr>
      </w:pPr>
      <w:r w:rsidRPr="004471E0">
        <w:rPr>
          <w:rFonts w:ascii="Abadi" w:hAnsi="Abadi" w:cs="*Arial-7247-Identity-H"/>
          <w:color w:val="1B1B1C"/>
          <w:sz w:val="21"/>
          <w:szCs w:val="21"/>
        </w:rPr>
        <w:t>Por las razones y fundamentos antes referidos, las diputadas y los diputados</w:t>
      </w:r>
      <w:r>
        <w:rPr>
          <w:rFonts w:ascii="Abadi" w:hAnsi="Abadi" w:cs="*Arial-7247-Identity-H"/>
          <w:color w:val="1B1B1C"/>
          <w:sz w:val="21"/>
          <w:szCs w:val="21"/>
        </w:rPr>
        <w:t xml:space="preserve"> </w:t>
      </w:r>
      <w:r w:rsidRPr="004471E0">
        <w:rPr>
          <w:rFonts w:ascii="Abadi" w:hAnsi="Abadi" w:cs="*Arial-7247-Identity-H"/>
          <w:color w:val="1B1B1C"/>
          <w:sz w:val="21"/>
          <w:szCs w:val="21"/>
        </w:rPr>
        <w:t>que integramos la Comisión de Desarrollo Económico y Social, consideramos que</w:t>
      </w:r>
      <w:r>
        <w:rPr>
          <w:rFonts w:ascii="Abadi" w:hAnsi="Abadi" w:cs="*Arial-7247-Identity-H"/>
          <w:color w:val="1B1B1C"/>
          <w:sz w:val="21"/>
          <w:szCs w:val="21"/>
        </w:rPr>
        <w:t xml:space="preserve"> </w:t>
      </w:r>
      <w:r w:rsidRPr="004471E0">
        <w:rPr>
          <w:rFonts w:ascii="Abadi" w:hAnsi="Abadi" w:cs="*Arial-7247-Identity-H"/>
          <w:color w:val="1B1B1C"/>
          <w:sz w:val="21"/>
          <w:szCs w:val="21"/>
        </w:rPr>
        <w:t>el objeto de la iniciativa se encuentra atendido mediante los programas y</w:t>
      </w:r>
      <w:r>
        <w:rPr>
          <w:rFonts w:ascii="Abadi" w:hAnsi="Abadi" w:cs="*Arial-7247-Identity-H"/>
          <w:color w:val="1B1B1C"/>
          <w:sz w:val="21"/>
          <w:szCs w:val="21"/>
        </w:rPr>
        <w:t xml:space="preserve"> </w:t>
      </w:r>
      <w:r w:rsidRPr="004471E0">
        <w:rPr>
          <w:rFonts w:ascii="Abadi" w:hAnsi="Abadi" w:cs="*Arial-7247-Identity-H"/>
          <w:color w:val="1B1B1C"/>
          <w:sz w:val="21"/>
          <w:szCs w:val="21"/>
        </w:rPr>
        <w:t>acciones realizadas por el gobierno federal y estatal a través de las diversas</w:t>
      </w:r>
      <w:r>
        <w:rPr>
          <w:rFonts w:ascii="Abadi" w:hAnsi="Abadi" w:cs="*Arial-7247-Identity-H"/>
          <w:color w:val="1B1B1C"/>
          <w:sz w:val="21"/>
          <w:szCs w:val="21"/>
        </w:rPr>
        <w:t xml:space="preserve"> </w:t>
      </w:r>
      <w:r w:rsidRPr="004471E0">
        <w:rPr>
          <w:rFonts w:ascii="Abadi" w:hAnsi="Abadi" w:cs="*Arial-7247-Identity-H"/>
          <w:color w:val="1B1B1C"/>
          <w:sz w:val="21"/>
          <w:szCs w:val="21"/>
        </w:rPr>
        <w:t>secretarías de Desarrollo Económico Sustentable, Desarrollo Social y Humano, así</w:t>
      </w:r>
      <w:r>
        <w:rPr>
          <w:rFonts w:ascii="Abadi" w:hAnsi="Abadi" w:cs="*Arial-7247-Identity-H"/>
          <w:color w:val="1B1B1C"/>
          <w:sz w:val="21"/>
          <w:szCs w:val="21"/>
        </w:rPr>
        <w:t xml:space="preserve">  </w:t>
      </w:r>
      <w:r w:rsidRPr="004471E0">
        <w:rPr>
          <w:rFonts w:ascii="Abadi" w:hAnsi="Abadi" w:cs="*Arial-7247-Identity-H"/>
          <w:color w:val="1B1B1C"/>
          <w:sz w:val="21"/>
          <w:szCs w:val="21"/>
        </w:rPr>
        <w:t>como la de Turismo, además de que la propuesta implica un impacto</w:t>
      </w:r>
      <w:r>
        <w:rPr>
          <w:rFonts w:ascii="Abadi" w:hAnsi="Abadi" w:cs="*Arial-7247-Identity-H"/>
          <w:color w:val="1B1B1C"/>
          <w:sz w:val="21"/>
          <w:szCs w:val="21"/>
        </w:rPr>
        <w:t xml:space="preserve"> </w:t>
      </w:r>
      <w:r w:rsidRPr="004471E0">
        <w:rPr>
          <w:rFonts w:ascii="Abadi" w:hAnsi="Abadi" w:cs="*Arial-7247-Identity-H"/>
          <w:color w:val="1B1B1C"/>
          <w:sz w:val="21"/>
          <w:szCs w:val="21"/>
        </w:rPr>
        <w:t>presupuesto! paró su ejecución, por lo que nos decantamos por el archivo</w:t>
      </w:r>
      <w:r>
        <w:rPr>
          <w:rFonts w:ascii="Abadi" w:hAnsi="Abadi" w:cs="*Arial-7247-Identity-H"/>
          <w:color w:val="1B1B1C"/>
          <w:sz w:val="21"/>
          <w:szCs w:val="21"/>
        </w:rPr>
        <w:t xml:space="preserve"> </w:t>
      </w:r>
      <w:r w:rsidRPr="004471E0">
        <w:rPr>
          <w:rFonts w:ascii="Abadi" w:hAnsi="Abadi" w:cs="*Arial-7247-Identity-H"/>
          <w:color w:val="1B1B1C"/>
          <w:sz w:val="21"/>
          <w:szCs w:val="21"/>
        </w:rPr>
        <w:t>definitivo de la iniciativa.</w:t>
      </w:r>
    </w:p>
    <w:p w14:paraId="4D3CAB04" w14:textId="77777777" w:rsidR="00A72A7F" w:rsidRPr="004471E0" w:rsidRDefault="00A72A7F" w:rsidP="00A72A7F">
      <w:pPr>
        <w:autoSpaceDE w:val="0"/>
        <w:autoSpaceDN w:val="0"/>
        <w:adjustRightInd w:val="0"/>
        <w:jc w:val="both"/>
        <w:rPr>
          <w:rFonts w:ascii="Abadi" w:hAnsi="Abadi" w:cs="*Arial-7247-Identity-H"/>
          <w:color w:val="1B1B1C"/>
          <w:sz w:val="21"/>
          <w:szCs w:val="21"/>
        </w:rPr>
      </w:pPr>
    </w:p>
    <w:p w14:paraId="2B798661" w14:textId="77777777" w:rsidR="00A72A7F" w:rsidRPr="004471E0" w:rsidRDefault="00A72A7F" w:rsidP="00A72A7F">
      <w:pPr>
        <w:autoSpaceDE w:val="0"/>
        <w:autoSpaceDN w:val="0"/>
        <w:adjustRightInd w:val="0"/>
        <w:ind w:firstLine="708"/>
        <w:jc w:val="both"/>
        <w:rPr>
          <w:rFonts w:ascii="Abadi" w:hAnsi="Abadi" w:cs="*Arial-7247-Identity-H"/>
          <w:color w:val="1A191B"/>
          <w:sz w:val="21"/>
          <w:szCs w:val="21"/>
        </w:rPr>
      </w:pPr>
      <w:r w:rsidRPr="004471E0">
        <w:rPr>
          <w:rFonts w:ascii="Abadi" w:hAnsi="Abadi" w:cs="*Arial-7247-Identity-H"/>
          <w:color w:val="1A191B"/>
          <w:sz w:val="21"/>
          <w:szCs w:val="21"/>
        </w:rPr>
        <w:t>Por lo anterior, con fundamento en los artículos 89, fracción V y 171 de la</w:t>
      </w:r>
      <w:r>
        <w:rPr>
          <w:rFonts w:ascii="Abadi" w:hAnsi="Abadi" w:cs="*Arial-7247-Identity-H"/>
          <w:color w:val="1A191B"/>
          <w:sz w:val="21"/>
          <w:szCs w:val="21"/>
        </w:rPr>
        <w:t xml:space="preserve"> </w:t>
      </w:r>
      <w:r w:rsidRPr="004471E0">
        <w:rPr>
          <w:rFonts w:ascii="Abadi" w:hAnsi="Abadi" w:cs="*Arial-7247-Identity-H"/>
          <w:color w:val="1A191B"/>
          <w:sz w:val="21"/>
          <w:szCs w:val="21"/>
        </w:rPr>
        <w:t>Ley Orgánica del Poder Legislativo del Estado de Guanajuato, nos permitimos</w:t>
      </w:r>
      <w:r>
        <w:rPr>
          <w:rFonts w:ascii="Abadi" w:hAnsi="Abadi" w:cs="*Arial-7247-Identity-H"/>
          <w:color w:val="1A191B"/>
          <w:sz w:val="21"/>
          <w:szCs w:val="21"/>
        </w:rPr>
        <w:t xml:space="preserve"> </w:t>
      </w:r>
      <w:r w:rsidRPr="004471E0">
        <w:rPr>
          <w:rFonts w:ascii="Abadi" w:hAnsi="Abadi" w:cs="*Arial-7247-Identity-H"/>
          <w:color w:val="1A191B"/>
          <w:sz w:val="21"/>
          <w:szCs w:val="21"/>
        </w:rPr>
        <w:t>proponer a la Asamblea la aprobación del siguiente:</w:t>
      </w:r>
    </w:p>
    <w:p w14:paraId="58830425" w14:textId="77777777" w:rsidR="00A72A7F" w:rsidRDefault="00A72A7F" w:rsidP="00A72A7F">
      <w:pPr>
        <w:autoSpaceDE w:val="0"/>
        <w:autoSpaceDN w:val="0"/>
        <w:adjustRightInd w:val="0"/>
        <w:jc w:val="center"/>
        <w:rPr>
          <w:rFonts w:ascii="Abadi" w:hAnsi="Abadi" w:cs="*Calibri-Bold-7246-Identity-H"/>
          <w:b/>
          <w:bCs/>
          <w:color w:val="0A090E"/>
          <w:sz w:val="21"/>
          <w:szCs w:val="21"/>
        </w:rPr>
      </w:pPr>
      <w:r w:rsidRPr="004471E0">
        <w:rPr>
          <w:rFonts w:ascii="Abadi" w:hAnsi="Abadi" w:cs="*Calibri-Bold-7246-Identity-H"/>
          <w:b/>
          <w:bCs/>
          <w:color w:val="0A090E"/>
          <w:sz w:val="21"/>
          <w:szCs w:val="21"/>
        </w:rPr>
        <w:t>ACUERDO</w:t>
      </w:r>
    </w:p>
    <w:p w14:paraId="3542DEFA" w14:textId="77777777" w:rsidR="00A72A7F" w:rsidRPr="004471E0" w:rsidRDefault="00A72A7F" w:rsidP="00A72A7F">
      <w:pPr>
        <w:autoSpaceDE w:val="0"/>
        <w:autoSpaceDN w:val="0"/>
        <w:adjustRightInd w:val="0"/>
        <w:jc w:val="both"/>
        <w:rPr>
          <w:rFonts w:ascii="Abadi" w:hAnsi="Abadi" w:cs="*Calibri-Bold-7246-Identity-H"/>
          <w:b/>
          <w:bCs/>
          <w:color w:val="0A090E"/>
          <w:sz w:val="21"/>
          <w:szCs w:val="21"/>
        </w:rPr>
      </w:pPr>
    </w:p>
    <w:p w14:paraId="6170E6FF" w14:textId="77777777" w:rsidR="00A72A7F" w:rsidRPr="004471E0" w:rsidRDefault="00A72A7F" w:rsidP="00A72A7F">
      <w:pPr>
        <w:autoSpaceDE w:val="0"/>
        <w:autoSpaceDN w:val="0"/>
        <w:adjustRightInd w:val="0"/>
        <w:ind w:firstLine="708"/>
        <w:jc w:val="both"/>
        <w:rPr>
          <w:rFonts w:ascii="Abadi" w:hAnsi="Abadi" w:cs="*Arial-7260-Identity-H"/>
          <w:color w:val="1C1C1D"/>
          <w:sz w:val="21"/>
          <w:szCs w:val="21"/>
        </w:rPr>
      </w:pPr>
      <w:r w:rsidRPr="004471E0">
        <w:rPr>
          <w:rFonts w:ascii="Abadi" w:hAnsi="Abadi" w:cs="*Calibri-Bold-7246-Identity-H"/>
          <w:b/>
          <w:bCs/>
          <w:color w:val="19191B"/>
          <w:sz w:val="21"/>
          <w:szCs w:val="21"/>
        </w:rPr>
        <w:t xml:space="preserve">Único. </w:t>
      </w:r>
      <w:r w:rsidRPr="004471E0">
        <w:rPr>
          <w:rFonts w:ascii="Abadi" w:hAnsi="Abadi" w:cs="*Arial-7247-Identity-H"/>
          <w:color w:val="19191B"/>
          <w:sz w:val="21"/>
          <w:szCs w:val="21"/>
        </w:rPr>
        <w:t>Se ordena el archivo definitivo de la iniciativa de Ley de Fomento e</w:t>
      </w:r>
      <w:r>
        <w:rPr>
          <w:rFonts w:ascii="Abadi" w:hAnsi="Abadi" w:cs="*Arial-7247-Identity-H"/>
          <w:color w:val="19191B"/>
          <w:sz w:val="21"/>
          <w:szCs w:val="21"/>
        </w:rPr>
        <w:t xml:space="preserve"> </w:t>
      </w:r>
      <w:r w:rsidRPr="004471E0">
        <w:rPr>
          <w:rFonts w:ascii="Abadi" w:hAnsi="Abadi" w:cs="*Arial-7247-Identity-H"/>
          <w:color w:val="19191B"/>
          <w:sz w:val="21"/>
          <w:szCs w:val="21"/>
        </w:rPr>
        <w:t xml:space="preserve">Impulso a la Actividad Artesanal para el Estado de Guanajuato, formulada por </w:t>
      </w:r>
      <w:r w:rsidRPr="004471E0">
        <w:rPr>
          <w:rFonts w:ascii="Abadi" w:hAnsi="Abadi" w:cs="*Arial-7260-Identity-H"/>
          <w:color w:val="1C1C1D"/>
          <w:sz w:val="21"/>
          <w:szCs w:val="21"/>
        </w:rPr>
        <w:t>diputadas y diputados del Grupo Parlamentario Partido Acción Nacional en la</w:t>
      </w:r>
      <w:r>
        <w:rPr>
          <w:rFonts w:ascii="Abadi" w:hAnsi="Abadi" w:cs="*Arial-7260-Identity-H"/>
          <w:color w:val="1C1C1D"/>
          <w:sz w:val="21"/>
          <w:szCs w:val="21"/>
        </w:rPr>
        <w:t xml:space="preserve"> </w:t>
      </w:r>
      <w:r w:rsidRPr="004471E0">
        <w:rPr>
          <w:rFonts w:ascii="Abadi" w:hAnsi="Abadi" w:cs="*Arial-7260-Identity-H"/>
          <w:color w:val="1C1C1D"/>
          <w:sz w:val="21"/>
          <w:szCs w:val="21"/>
        </w:rPr>
        <w:t>Sexagésima Cuarta Legislatura.</w:t>
      </w:r>
    </w:p>
    <w:p w14:paraId="435ABE18" w14:textId="77777777" w:rsidR="00A72A7F" w:rsidRPr="004471E0" w:rsidRDefault="00A72A7F" w:rsidP="00A72A7F">
      <w:pPr>
        <w:jc w:val="both"/>
        <w:rPr>
          <w:rFonts w:ascii="Abadi" w:hAnsi="Abadi" w:cs="*Arial-7260-Identity-H"/>
          <w:color w:val="1C1C1D"/>
          <w:sz w:val="21"/>
          <w:szCs w:val="21"/>
        </w:rPr>
      </w:pPr>
    </w:p>
    <w:p w14:paraId="0B3B896C" w14:textId="77777777" w:rsidR="00A72A7F" w:rsidRDefault="00A72A7F" w:rsidP="00A72A7F">
      <w:pPr>
        <w:autoSpaceDE w:val="0"/>
        <w:autoSpaceDN w:val="0"/>
        <w:adjustRightInd w:val="0"/>
        <w:jc w:val="both"/>
        <w:rPr>
          <w:rFonts w:ascii="Abadi" w:hAnsi="Abadi" w:cs="*Arial-7260-Identity-H"/>
          <w:color w:val="1C1C1D"/>
          <w:sz w:val="21"/>
          <w:szCs w:val="21"/>
        </w:rPr>
      </w:pPr>
    </w:p>
    <w:p w14:paraId="52129D30" w14:textId="77777777" w:rsidR="00AA608E" w:rsidRPr="00D417E3" w:rsidRDefault="00AA608E" w:rsidP="005D1E50">
      <w:pPr>
        <w:jc w:val="center"/>
        <w:rPr>
          <w:rFonts w:ascii="Abadi" w:hAnsi="Abadi" w:cs="*Courier New-7673-Identity-H"/>
          <w:b/>
          <w:bCs/>
          <w:color w:val="19191A"/>
          <w:sz w:val="21"/>
          <w:szCs w:val="21"/>
        </w:rPr>
      </w:pPr>
      <w:r w:rsidRPr="00D417E3">
        <w:rPr>
          <w:rFonts w:ascii="Abadi" w:hAnsi="Abadi" w:cs="*Courier New-7673-Identity-H"/>
          <w:b/>
          <w:bCs/>
          <w:color w:val="19191A"/>
          <w:sz w:val="21"/>
          <w:szCs w:val="21"/>
        </w:rPr>
        <w:t>Guanajuato, Gto. 05 de mayo de 2022</w:t>
      </w:r>
    </w:p>
    <w:p w14:paraId="2F2511CE" w14:textId="77777777" w:rsidR="00AA608E" w:rsidRDefault="00AA608E" w:rsidP="005D1E50">
      <w:pPr>
        <w:jc w:val="center"/>
        <w:rPr>
          <w:rFonts w:ascii="Abadi" w:hAnsi="Abadi" w:cs="*Courier New-7673-Identity-H"/>
          <w:color w:val="19191A"/>
          <w:sz w:val="21"/>
          <w:szCs w:val="21"/>
        </w:rPr>
      </w:pPr>
    </w:p>
    <w:p w14:paraId="3C28DDBC" w14:textId="36C55BBA" w:rsidR="00AA608E" w:rsidRPr="00AA608E" w:rsidRDefault="00D417E3" w:rsidP="005D1E50">
      <w:pPr>
        <w:jc w:val="center"/>
        <w:rPr>
          <w:rFonts w:ascii="Abadi" w:hAnsi="Abadi" w:cs="*Microsoft Sans Serif-Bold-7053"/>
          <w:b/>
          <w:bCs/>
          <w:color w:val="0D0C10"/>
          <w:sz w:val="21"/>
          <w:szCs w:val="21"/>
        </w:rPr>
      </w:pPr>
      <w:r>
        <w:rPr>
          <w:rFonts w:ascii="Abadi" w:hAnsi="Abadi" w:cs="*Microsoft Sans Serif-Bold-7053"/>
          <w:b/>
          <w:bCs/>
          <w:color w:val="0D0C10"/>
          <w:sz w:val="21"/>
          <w:szCs w:val="21"/>
        </w:rPr>
        <w:t xml:space="preserve">La </w:t>
      </w:r>
      <w:r w:rsidR="00AA608E" w:rsidRPr="00AA608E">
        <w:rPr>
          <w:rFonts w:ascii="Abadi" w:hAnsi="Abadi" w:cs="*Microsoft Sans Serif-Bold-7053"/>
          <w:b/>
          <w:bCs/>
          <w:color w:val="0D0C10"/>
          <w:sz w:val="21"/>
          <w:szCs w:val="21"/>
        </w:rPr>
        <w:t>Comisión de Desarrollo Económico y Social</w:t>
      </w:r>
    </w:p>
    <w:p w14:paraId="06CF3D3B" w14:textId="77777777" w:rsidR="00AA608E" w:rsidRPr="003C596E" w:rsidRDefault="00AA608E" w:rsidP="00AA608E">
      <w:pPr>
        <w:jc w:val="both"/>
        <w:rPr>
          <w:rFonts w:ascii="Abadi" w:hAnsi="Abadi" w:cs="*Courier New-7673-Identity-H"/>
          <w:color w:val="19191A"/>
          <w:sz w:val="21"/>
          <w:szCs w:val="21"/>
        </w:rPr>
      </w:pPr>
    </w:p>
    <w:p w14:paraId="576CC24B" w14:textId="77777777" w:rsidR="00AA608E" w:rsidRPr="003C596E" w:rsidRDefault="00AA608E" w:rsidP="00AA608E">
      <w:pPr>
        <w:contextualSpacing/>
        <w:jc w:val="both"/>
        <w:rPr>
          <w:rFonts w:ascii="Abadi" w:hAnsi="Abadi"/>
          <w:b/>
          <w:bCs/>
          <w:sz w:val="21"/>
          <w:szCs w:val="21"/>
        </w:rPr>
      </w:pPr>
      <w:r w:rsidRPr="003C596E">
        <w:rPr>
          <w:rFonts w:ascii="Abadi" w:hAnsi="Abadi"/>
          <w:b/>
          <w:bCs/>
          <w:sz w:val="21"/>
          <w:szCs w:val="21"/>
        </w:rPr>
        <w:t xml:space="preserve">Dip. Miguel Ángel Salim Alle </w:t>
      </w:r>
    </w:p>
    <w:p w14:paraId="0266AA7D" w14:textId="77777777" w:rsidR="00AA608E" w:rsidRPr="003C596E" w:rsidRDefault="00AA608E" w:rsidP="00AA608E">
      <w:pPr>
        <w:contextualSpacing/>
        <w:jc w:val="both"/>
        <w:rPr>
          <w:rFonts w:ascii="Abadi" w:hAnsi="Abadi"/>
          <w:b/>
          <w:bCs/>
          <w:sz w:val="21"/>
          <w:szCs w:val="21"/>
        </w:rPr>
      </w:pPr>
      <w:r w:rsidRPr="003C596E">
        <w:rPr>
          <w:rFonts w:ascii="Abadi" w:hAnsi="Abadi"/>
          <w:b/>
          <w:bCs/>
          <w:sz w:val="21"/>
          <w:szCs w:val="21"/>
        </w:rPr>
        <w:t>Presidente</w:t>
      </w:r>
    </w:p>
    <w:p w14:paraId="37A73ED3" w14:textId="77777777" w:rsidR="00AA608E" w:rsidRDefault="00AA608E" w:rsidP="00AA608E">
      <w:pPr>
        <w:contextualSpacing/>
        <w:jc w:val="both"/>
        <w:rPr>
          <w:rFonts w:ascii="Abadi" w:hAnsi="Abadi"/>
          <w:b/>
          <w:bCs/>
          <w:sz w:val="21"/>
          <w:szCs w:val="21"/>
        </w:rPr>
      </w:pPr>
      <w:r w:rsidRPr="003C596E">
        <w:rPr>
          <w:rFonts w:ascii="Abadi" w:hAnsi="Abadi"/>
          <w:b/>
          <w:bCs/>
          <w:sz w:val="21"/>
          <w:szCs w:val="21"/>
        </w:rPr>
        <w:t>Dip. Alejandro Arias Ávila</w:t>
      </w:r>
    </w:p>
    <w:p w14:paraId="2621EE16" w14:textId="77777777" w:rsidR="00AA608E" w:rsidRPr="003C596E" w:rsidRDefault="00AA608E" w:rsidP="00AA608E">
      <w:pPr>
        <w:contextualSpacing/>
        <w:jc w:val="both"/>
        <w:rPr>
          <w:rFonts w:ascii="Abadi" w:hAnsi="Abadi"/>
          <w:b/>
          <w:bCs/>
          <w:sz w:val="21"/>
          <w:szCs w:val="21"/>
        </w:rPr>
      </w:pPr>
      <w:r w:rsidRPr="00DB7A14">
        <w:rPr>
          <w:rFonts w:ascii="Abadi" w:hAnsi="Abadi"/>
          <w:b/>
          <w:bCs/>
          <w:sz w:val="21"/>
          <w:szCs w:val="21"/>
        </w:rPr>
        <w:t xml:space="preserve"> </w:t>
      </w:r>
      <w:r w:rsidRPr="003C596E">
        <w:rPr>
          <w:rFonts w:ascii="Abadi" w:hAnsi="Abadi"/>
          <w:b/>
          <w:bCs/>
          <w:sz w:val="21"/>
          <w:szCs w:val="21"/>
        </w:rPr>
        <w:t>Secretario</w:t>
      </w:r>
    </w:p>
    <w:p w14:paraId="7EB78CC4" w14:textId="77777777" w:rsidR="00AA608E" w:rsidRPr="003C596E" w:rsidRDefault="00AA608E" w:rsidP="00AA608E">
      <w:pPr>
        <w:contextualSpacing/>
        <w:jc w:val="both"/>
        <w:rPr>
          <w:rFonts w:ascii="Abadi" w:hAnsi="Abadi"/>
          <w:b/>
          <w:bCs/>
          <w:sz w:val="21"/>
          <w:szCs w:val="21"/>
        </w:rPr>
      </w:pPr>
      <w:r w:rsidRPr="003C596E">
        <w:rPr>
          <w:rFonts w:ascii="Abadi" w:hAnsi="Abadi"/>
          <w:b/>
          <w:bCs/>
          <w:sz w:val="21"/>
          <w:szCs w:val="21"/>
        </w:rPr>
        <w:t xml:space="preserve">Dip. Janet Melanie Murillo Chávez </w:t>
      </w:r>
    </w:p>
    <w:p w14:paraId="62A0460B" w14:textId="77777777" w:rsidR="00AA608E" w:rsidRPr="003C596E" w:rsidRDefault="00AA608E" w:rsidP="00AA608E">
      <w:pPr>
        <w:contextualSpacing/>
        <w:jc w:val="both"/>
        <w:rPr>
          <w:rFonts w:ascii="Abadi" w:hAnsi="Abadi"/>
          <w:b/>
          <w:bCs/>
          <w:sz w:val="21"/>
          <w:szCs w:val="21"/>
        </w:rPr>
      </w:pPr>
      <w:r w:rsidRPr="003C596E">
        <w:rPr>
          <w:rFonts w:ascii="Abadi" w:hAnsi="Abadi"/>
          <w:b/>
          <w:bCs/>
          <w:sz w:val="21"/>
          <w:szCs w:val="21"/>
        </w:rPr>
        <w:t>Vocal</w:t>
      </w:r>
    </w:p>
    <w:p w14:paraId="39AC042A" w14:textId="77777777" w:rsidR="00AA608E" w:rsidRPr="003C596E" w:rsidRDefault="00AA608E" w:rsidP="00AA608E">
      <w:pPr>
        <w:contextualSpacing/>
        <w:jc w:val="both"/>
        <w:rPr>
          <w:rFonts w:ascii="Abadi" w:hAnsi="Abadi"/>
          <w:b/>
          <w:bCs/>
          <w:sz w:val="21"/>
          <w:szCs w:val="21"/>
        </w:rPr>
      </w:pPr>
      <w:r w:rsidRPr="003C596E">
        <w:rPr>
          <w:rFonts w:ascii="Abadi" w:hAnsi="Abadi"/>
          <w:b/>
          <w:bCs/>
          <w:sz w:val="21"/>
          <w:szCs w:val="21"/>
        </w:rPr>
        <w:t xml:space="preserve">Dip. Víctor Manuel Zanella Huerta </w:t>
      </w:r>
    </w:p>
    <w:p w14:paraId="172895E1" w14:textId="77777777" w:rsidR="00AA608E" w:rsidRDefault="00AA608E" w:rsidP="00AA608E">
      <w:pPr>
        <w:contextualSpacing/>
        <w:jc w:val="both"/>
        <w:rPr>
          <w:rFonts w:ascii="Abadi" w:hAnsi="Abadi"/>
          <w:b/>
          <w:bCs/>
          <w:sz w:val="21"/>
          <w:szCs w:val="21"/>
        </w:rPr>
      </w:pPr>
      <w:r w:rsidRPr="003C596E">
        <w:rPr>
          <w:rFonts w:ascii="Abadi" w:hAnsi="Abadi"/>
          <w:b/>
          <w:bCs/>
          <w:sz w:val="21"/>
          <w:szCs w:val="21"/>
        </w:rPr>
        <w:t>Vocal</w:t>
      </w:r>
    </w:p>
    <w:p w14:paraId="0B0A8B52" w14:textId="77777777" w:rsidR="00AA608E" w:rsidRDefault="00AA608E" w:rsidP="00AA608E">
      <w:pPr>
        <w:contextualSpacing/>
        <w:jc w:val="both"/>
        <w:rPr>
          <w:rFonts w:ascii="Abadi" w:hAnsi="Abadi"/>
          <w:b/>
          <w:bCs/>
          <w:sz w:val="21"/>
          <w:szCs w:val="21"/>
        </w:rPr>
      </w:pPr>
      <w:r>
        <w:rPr>
          <w:rFonts w:ascii="Abadi" w:hAnsi="Abadi"/>
          <w:b/>
          <w:bCs/>
          <w:sz w:val="21"/>
          <w:szCs w:val="21"/>
        </w:rPr>
        <w:t>Dip. Martha Edith Moreno Valencia</w:t>
      </w:r>
    </w:p>
    <w:p w14:paraId="2E8F6D35" w14:textId="2FBD0803" w:rsidR="00AA608E" w:rsidRDefault="00AA608E" w:rsidP="00AA608E">
      <w:pPr>
        <w:contextualSpacing/>
        <w:jc w:val="both"/>
        <w:rPr>
          <w:rFonts w:ascii="Abadi" w:hAnsi="Abadi"/>
          <w:b/>
          <w:bCs/>
          <w:sz w:val="21"/>
          <w:szCs w:val="21"/>
        </w:rPr>
      </w:pPr>
      <w:r>
        <w:rPr>
          <w:rFonts w:ascii="Abadi" w:hAnsi="Abadi"/>
          <w:b/>
          <w:bCs/>
          <w:sz w:val="21"/>
          <w:szCs w:val="21"/>
        </w:rPr>
        <w:t>Vocal</w:t>
      </w:r>
    </w:p>
    <w:p w14:paraId="01E916A9" w14:textId="66171461" w:rsidR="0058717A" w:rsidRDefault="0058717A" w:rsidP="00AA608E">
      <w:pPr>
        <w:contextualSpacing/>
        <w:jc w:val="both"/>
        <w:rPr>
          <w:rFonts w:ascii="Abadi" w:hAnsi="Abadi"/>
          <w:b/>
          <w:bCs/>
          <w:sz w:val="21"/>
          <w:szCs w:val="21"/>
        </w:rPr>
      </w:pPr>
    </w:p>
    <w:p w14:paraId="1E75B5EB" w14:textId="24D0B956" w:rsidR="0058717A" w:rsidRDefault="0058717A" w:rsidP="00AA608E">
      <w:pPr>
        <w:contextualSpacing/>
        <w:jc w:val="both"/>
        <w:rPr>
          <w:rFonts w:ascii="Abadi" w:hAnsi="Abadi"/>
          <w:b/>
          <w:bCs/>
          <w:sz w:val="21"/>
          <w:szCs w:val="21"/>
        </w:rPr>
      </w:pPr>
    </w:p>
    <w:p w14:paraId="49F42392" w14:textId="77777777" w:rsidR="0058717A" w:rsidRDefault="0058717A" w:rsidP="0058717A">
      <w:pPr>
        <w:ind w:firstLine="708"/>
        <w:jc w:val="both"/>
        <w:rPr>
          <w:rFonts w:ascii="Abadi" w:hAnsi="Abadi"/>
          <w:sz w:val="21"/>
          <w:szCs w:val="21"/>
        </w:rPr>
      </w:pPr>
      <w:r>
        <w:rPr>
          <w:rFonts w:ascii="Abadi" w:hAnsi="Abadi"/>
          <w:b/>
          <w:bCs/>
          <w:sz w:val="21"/>
          <w:szCs w:val="21"/>
        </w:rPr>
        <w:t xml:space="preserve">- </w:t>
      </w:r>
      <w:r w:rsidRPr="00173C1B">
        <w:rPr>
          <w:rFonts w:ascii="Abadi" w:hAnsi="Abadi"/>
          <w:b/>
          <w:bCs/>
          <w:sz w:val="21"/>
          <w:szCs w:val="21"/>
        </w:rPr>
        <w:t>La Presidencia.-</w:t>
      </w:r>
      <w:r w:rsidRPr="00173C1B">
        <w:rPr>
          <w:rFonts w:ascii="Abadi" w:hAnsi="Abadi"/>
          <w:sz w:val="21"/>
          <w:szCs w:val="21"/>
        </w:rPr>
        <w:t xml:space="preserve"> Procede someter a discusión del dictamen emitido por la Comisión de Desarrollo Económico y Social relativo a la iniciativa de Ley de Fomento e Impuso a la Actividad Artesanal para el Estado de Guanajuato, formulada por diputadas y diputados integrantes del Grupo Parlamentario del Partido Acción Nacional en la Sexagésima Cuarta Legislatura. </w:t>
      </w:r>
    </w:p>
    <w:p w14:paraId="3605836A" w14:textId="77777777" w:rsidR="0058717A" w:rsidRPr="00173C1B" w:rsidRDefault="0058717A" w:rsidP="0058717A">
      <w:pPr>
        <w:jc w:val="both"/>
        <w:rPr>
          <w:rFonts w:ascii="Abadi" w:hAnsi="Abadi"/>
          <w:sz w:val="21"/>
          <w:szCs w:val="21"/>
        </w:rPr>
      </w:pPr>
    </w:p>
    <w:p w14:paraId="0C8F3827" w14:textId="77777777" w:rsidR="0058717A" w:rsidRDefault="0058717A" w:rsidP="0058717A">
      <w:pPr>
        <w:ind w:firstLine="708"/>
        <w:jc w:val="both"/>
        <w:rPr>
          <w:rFonts w:ascii="Abadi" w:hAnsi="Abadi"/>
          <w:sz w:val="21"/>
          <w:szCs w:val="21"/>
        </w:rPr>
      </w:pPr>
      <w:r>
        <w:rPr>
          <w:rFonts w:ascii="Abadi" w:hAnsi="Abadi"/>
          <w:sz w:val="21"/>
          <w:szCs w:val="21"/>
        </w:rPr>
        <w:t xml:space="preserve">- </w:t>
      </w:r>
      <w:r w:rsidRPr="00173C1B">
        <w:rPr>
          <w:rFonts w:ascii="Abadi" w:hAnsi="Abadi"/>
          <w:sz w:val="21"/>
          <w:szCs w:val="21"/>
        </w:rPr>
        <w:t xml:space="preserve">Si alguna diputada o algún diputado desea hacer uso de la palabra en pro o en contra manifieste lo, indicando el sentido de su participación. </w:t>
      </w:r>
    </w:p>
    <w:p w14:paraId="6D69DDF2" w14:textId="77777777" w:rsidR="0058717A" w:rsidRPr="00173C1B" w:rsidRDefault="0058717A" w:rsidP="0058717A">
      <w:pPr>
        <w:jc w:val="both"/>
        <w:rPr>
          <w:rFonts w:ascii="Abadi" w:hAnsi="Abadi"/>
          <w:sz w:val="21"/>
          <w:szCs w:val="21"/>
        </w:rPr>
      </w:pPr>
    </w:p>
    <w:p w14:paraId="11748C72" w14:textId="77777777" w:rsidR="0058717A" w:rsidRPr="00173C1B" w:rsidRDefault="0058717A" w:rsidP="0058717A">
      <w:pPr>
        <w:ind w:firstLine="708"/>
        <w:jc w:val="both"/>
        <w:rPr>
          <w:rFonts w:ascii="Abadi" w:hAnsi="Abadi"/>
          <w:sz w:val="21"/>
          <w:szCs w:val="21"/>
        </w:rPr>
      </w:pPr>
      <w:r>
        <w:rPr>
          <w:rFonts w:ascii="Abadi" w:hAnsi="Abadi"/>
          <w:sz w:val="21"/>
          <w:szCs w:val="21"/>
        </w:rPr>
        <w:t xml:space="preserve">- </w:t>
      </w:r>
      <w:r w:rsidRPr="00173C1B">
        <w:rPr>
          <w:rFonts w:ascii="Abadi" w:hAnsi="Abadi"/>
          <w:sz w:val="21"/>
          <w:szCs w:val="21"/>
        </w:rPr>
        <w:t>No habiendo participaciones, se pide la secretaría que proceda recabar votación nominal de la Asamblea a través del sistema electrónico a efecto de aprobar o no el dictamen puesto a su consideración.</w:t>
      </w:r>
    </w:p>
    <w:p w14:paraId="3F3CAAE2" w14:textId="77777777" w:rsidR="0058717A" w:rsidRDefault="0058717A" w:rsidP="0058717A">
      <w:pPr>
        <w:jc w:val="both"/>
        <w:rPr>
          <w:rFonts w:ascii="Abadi" w:hAnsi="Abadi"/>
          <w:b/>
          <w:bCs/>
          <w:sz w:val="21"/>
          <w:szCs w:val="21"/>
        </w:rPr>
      </w:pPr>
    </w:p>
    <w:p w14:paraId="15748628" w14:textId="77777777" w:rsidR="0058717A" w:rsidRPr="00173C1B" w:rsidRDefault="0058717A" w:rsidP="0058717A">
      <w:pPr>
        <w:jc w:val="center"/>
        <w:rPr>
          <w:rFonts w:ascii="Abadi" w:hAnsi="Abadi"/>
          <w:b/>
          <w:bCs/>
          <w:sz w:val="21"/>
          <w:szCs w:val="21"/>
        </w:rPr>
      </w:pPr>
      <w:r w:rsidRPr="00173C1B">
        <w:rPr>
          <w:rFonts w:ascii="Abadi" w:hAnsi="Abadi"/>
          <w:b/>
          <w:bCs/>
          <w:sz w:val="21"/>
          <w:szCs w:val="21"/>
        </w:rPr>
        <w:t>(Se abre el sistema electrónico)</w:t>
      </w:r>
    </w:p>
    <w:p w14:paraId="324B6F25" w14:textId="77777777" w:rsidR="0058717A" w:rsidRDefault="0058717A" w:rsidP="0058717A">
      <w:pPr>
        <w:jc w:val="center"/>
        <w:rPr>
          <w:rFonts w:ascii="Abadi" w:hAnsi="Abadi"/>
          <w:b/>
          <w:bCs/>
          <w:sz w:val="21"/>
          <w:szCs w:val="21"/>
        </w:rPr>
      </w:pPr>
    </w:p>
    <w:p w14:paraId="12F3A447" w14:textId="77777777" w:rsidR="0058717A" w:rsidRPr="00173C1B" w:rsidRDefault="0058717A" w:rsidP="0058717A">
      <w:pPr>
        <w:ind w:firstLine="708"/>
        <w:jc w:val="both"/>
        <w:rPr>
          <w:rFonts w:ascii="Abadi" w:hAnsi="Abadi"/>
          <w:sz w:val="21"/>
          <w:szCs w:val="21"/>
        </w:rPr>
      </w:pPr>
      <w:r>
        <w:rPr>
          <w:rFonts w:ascii="Abadi" w:hAnsi="Abadi"/>
          <w:b/>
          <w:bCs/>
          <w:sz w:val="21"/>
          <w:szCs w:val="21"/>
        </w:rPr>
        <w:t xml:space="preserve">- </w:t>
      </w:r>
      <w:r w:rsidRPr="00173C1B">
        <w:rPr>
          <w:rFonts w:ascii="Abadi" w:hAnsi="Abadi"/>
          <w:b/>
          <w:bCs/>
          <w:sz w:val="21"/>
          <w:szCs w:val="21"/>
        </w:rPr>
        <w:t>La Secretaria.-</w:t>
      </w:r>
      <w:r w:rsidRPr="00173C1B">
        <w:rPr>
          <w:rFonts w:ascii="Abadi" w:hAnsi="Abadi"/>
          <w:sz w:val="21"/>
          <w:szCs w:val="21"/>
        </w:rPr>
        <w:t xml:space="preserve"> En votación nominal por el sistema electrónico se pregunta a las diputadas y a los  diputados si se aprueba el dictamen puesto a su consideración. ¿Diputado David Martínez?</w:t>
      </w:r>
    </w:p>
    <w:p w14:paraId="27F1F65C" w14:textId="77777777" w:rsidR="0058717A" w:rsidRDefault="0058717A" w:rsidP="0058717A">
      <w:pPr>
        <w:jc w:val="both"/>
        <w:rPr>
          <w:rFonts w:ascii="Abadi" w:hAnsi="Abadi"/>
          <w:sz w:val="21"/>
          <w:szCs w:val="21"/>
        </w:rPr>
      </w:pPr>
    </w:p>
    <w:p w14:paraId="0884F49A" w14:textId="77777777" w:rsidR="0058717A" w:rsidRDefault="0058717A" w:rsidP="0058717A">
      <w:pPr>
        <w:jc w:val="both"/>
        <w:rPr>
          <w:rFonts w:ascii="Abadi" w:hAnsi="Abadi"/>
          <w:sz w:val="21"/>
          <w:szCs w:val="21"/>
        </w:rPr>
      </w:pPr>
    </w:p>
    <w:p w14:paraId="6FA86EDD" w14:textId="77777777" w:rsidR="0058717A" w:rsidRDefault="0058717A" w:rsidP="0058717A">
      <w:pPr>
        <w:jc w:val="both"/>
        <w:rPr>
          <w:rFonts w:ascii="Abadi" w:hAnsi="Abadi"/>
          <w:sz w:val="21"/>
          <w:szCs w:val="21"/>
        </w:rPr>
      </w:pPr>
      <w:r w:rsidRPr="00173C1B">
        <w:rPr>
          <w:rFonts w:ascii="Abadi" w:hAnsi="Abadi"/>
          <w:sz w:val="21"/>
          <w:szCs w:val="21"/>
        </w:rPr>
        <w:t>¿Falta alguna diputada, algún diputado de emitir su voto?</w:t>
      </w:r>
    </w:p>
    <w:p w14:paraId="2BB219F5" w14:textId="77777777" w:rsidR="0058717A" w:rsidRPr="00173C1B" w:rsidRDefault="0058717A" w:rsidP="0058717A">
      <w:pPr>
        <w:jc w:val="both"/>
        <w:rPr>
          <w:rFonts w:ascii="Abadi" w:hAnsi="Abadi"/>
          <w:sz w:val="21"/>
          <w:szCs w:val="21"/>
        </w:rPr>
      </w:pPr>
      <w:r w:rsidRPr="00173C1B">
        <w:rPr>
          <w:rFonts w:ascii="Abadi" w:hAnsi="Abadi"/>
          <w:sz w:val="21"/>
          <w:szCs w:val="21"/>
        </w:rPr>
        <w:t xml:space="preserve"> </w:t>
      </w:r>
    </w:p>
    <w:p w14:paraId="6A9AA7A4" w14:textId="77777777" w:rsidR="0058717A" w:rsidRPr="00173C1B" w:rsidRDefault="0058717A" w:rsidP="0058717A">
      <w:pPr>
        <w:jc w:val="center"/>
        <w:rPr>
          <w:rFonts w:ascii="Abadi" w:hAnsi="Abadi"/>
          <w:b/>
          <w:bCs/>
          <w:sz w:val="21"/>
          <w:szCs w:val="21"/>
        </w:rPr>
      </w:pPr>
      <w:r w:rsidRPr="00173C1B">
        <w:rPr>
          <w:rFonts w:ascii="Abadi" w:hAnsi="Abadi"/>
          <w:b/>
          <w:bCs/>
          <w:sz w:val="21"/>
          <w:szCs w:val="21"/>
        </w:rPr>
        <w:t>(Se cierra el sistema electrónico)</w:t>
      </w:r>
    </w:p>
    <w:p w14:paraId="4A1E1E09" w14:textId="77777777" w:rsidR="0058717A" w:rsidRPr="00173C1B" w:rsidRDefault="0058717A" w:rsidP="0058717A">
      <w:pPr>
        <w:jc w:val="both"/>
        <w:rPr>
          <w:rFonts w:ascii="Abadi" w:hAnsi="Abadi"/>
          <w:b/>
          <w:bCs/>
          <w:sz w:val="21"/>
          <w:szCs w:val="21"/>
        </w:rPr>
      </w:pPr>
      <w:r w:rsidRPr="00173C1B">
        <w:rPr>
          <w:rFonts w:ascii="Abadi" w:hAnsi="Abadi"/>
          <w:noProof/>
          <w:sz w:val="21"/>
          <w:szCs w:val="21"/>
        </w:rPr>
        <w:drawing>
          <wp:inline distT="0" distB="0" distL="0" distR="0" wp14:anchorId="06AA8B2F" wp14:editId="57AA45CA">
            <wp:extent cx="2070340" cy="1164478"/>
            <wp:effectExtent l="152400" t="152400" r="368300" b="3600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82738" cy="1171451"/>
                    </a:xfrm>
                    <a:prstGeom prst="rect">
                      <a:avLst/>
                    </a:prstGeom>
                    <a:ln>
                      <a:noFill/>
                    </a:ln>
                    <a:effectLst>
                      <a:outerShdw blurRad="292100" dist="139700" dir="2700000" algn="tl" rotWithShape="0">
                        <a:srgbClr val="333333">
                          <a:alpha val="65000"/>
                        </a:srgbClr>
                      </a:outerShdw>
                    </a:effectLst>
                  </pic:spPr>
                </pic:pic>
              </a:graphicData>
            </a:graphic>
          </wp:inline>
        </w:drawing>
      </w:r>
    </w:p>
    <w:p w14:paraId="007328D9" w14:textId="77777777" w:rsidR="0058717A" w:rsidRPr="00173C1B" w:rsidRDefault="0058717A" w:rsidP="0058717A">
      <w:pPr>
        <w:jc w:val="both"/>
        <w:rPr>
          <w:rFonts w:ascii="Abadi" w:hAnsi="Abadi"/>
          <w:b/>
          <w:bCs/>
          <w:sz w:val="21"/>
          <w:szCs w:val="21"/>
        </w:rPr>
      </w:pPr>
    </w:p>
    <w:p w14:paraId="5CF2BDAF" w14:textId="6728FE90" w:rsidR="0058717A" w:rsidRDefault="0058717A" w:rsidP="0058717A">
      <w:pPr>
        <w:ind w:firstLine="708"/>
        <w:jc w:val="both"/>
        <w:rPr>
          <w:rFonts w:ascii="Abadi" w:hAnsi="Abadi"/>
          <w:sz w:val="21"/>
          <w:szCs w:val="21"/>
        </w:rPr>
      </w:pPr>
      <w:r>
        <w:rPr>
          <w:rFonts w:ascii="Abadi" w:hAnsi="Abadi"/>
          <w:b/>
          <w:bCs/>
          <w:sz w:val="21"/>
          <w:szCs w:val="21"/>
        </w:rPr>
        <w:t xml:space="preserve">- </w:t>
      </w:r>
      <w:r w:rsidRPr="00173C1B">
        <w:rPr>
          <w:rFonts w:ascii="Abadi" w:hAnsi="Abadi"/>
          <w:b/>
          <w:bCs/>
          <w:sz w:val="21"/>
          <w:szCs w:val="21"/>
        </w:rPr>
        <w:t>La Secretaria.-</w:t>
      </w:r>
      <w:r w:rsidRPr="00173C1B">
        <w:rPr>
          <w:rFonts w:ascii="Abadi" w:hAnsi="Abadi"/>
          <w:sz w:val="21"/>
          <w:szCs w:val="21"/>
        </w:rPr>
        <w:t xml:space="preserve"> Se registraron 31 votos a favor. </w:t>
      </w:r>
    </w:p>
    <w:p w14:paraId="2ABACC94" w14:textId="77777777" w:rsidR="00A4247F" w:rsidRPr="00173C1B" w:rsidRDefault="00A4247F" w:rsidP="0058717A">
      <w:pPr>
        <w:ind w:firstLine="708"/>
        <w:jc w:val="both"/>
        <w:rPr>
          <w:rFonts w:ascii="Abadi" w:hAnsi="Abadi"/>
          <w:sz w:val="21"/>
          <w:szCs w:val="21"/>
        </w:rPr>
      </w:pPr>
    </w:p>
    <w:p w14:paraId="6763CCE6" w14:textId="77777777" w:rsidR="0058717A" w:rsidRPr="00173C1B" w:rsidRDefault="0058717A" w:rsidP="0058717A">
      <w:pPr>
        <w:ind w:firstLine="705"/>
        <w:jc w:val="both"/>
        <w:rPr>
          <w:rFonts w:ascii="Abadi" w:hAnsi="Abadi"/>
          <w:sz w:val="21"/>
          <w:szCs w:val="21"/>
        </w:rPr>
      </w:pPr>
      <w:r>
        <w:rPr>
          <w:rFonts w:ascii="Abadi" w:hAnsi="Abadi"/>
          <w:b/>
          <w:bCs/>
          <w:sz w:val="21"/>
          <w:szCs w:val="21"/>
        </w:rPr>
        <w:t xml:space="preserve">- </w:t>
      </w:r>
      <w:r w:rsidRPr="00173C1B">
        <w:rPr>
          <w:rFonts w:ascii="Abadi" w:hAnsi="Abadi"/>
          <w:b/>
          <w:bCs/>
          <w:sz w:val="21"/>
          <w:szCs w:val="21"/>
        </w:rPr>
        <w:t>La Presidencia.-</w:t>
      </w:r>
      <w:r w:rsidRPr="00173C1B">
        <w:rPr>
          <w:rFonts w:ascii="Abadi" w:hAnsi="Abadi"/>
          <w:sz w:val="21"/>
          <w:szCs w:val="21"/>
        </w:rPr>
        <w:t xml:space="preserve"> El dictamen ha sido aprobado por unanimidad de votos.</w:t>
      </w:r>
    </w:p>
    <w:p w14:paraId="7AB86F30" w14:textId="77777777" w:rsidR="0058717A" w:rsidRDefault="0058717A" w:rsidP="0058717A">
      <w:pPr>
        <w:pStyle w:val="Prrafodelista"/>
        <w:spacing w:after="160" w:line="259" w:lineRule="auto"/>
        <w:ind w:left="1065"/>
        <w:contextualSpacing/>
        <w:jc w:val="both"/>
        <w:rPr>
          <w:rFonts w:ascii="Abadi" w:hAnsi="Abadi"/>
          <w:sz w:val="21"/>
          <w:szCs w:val="21"/>
        </w:rPr>
      </w:pPr>
    </w:p>
    <w:p w14:paraId="108E8A43" w14:textId="77777777" w:rsidR="0058717A" w:rsidRPr="00173C1B" w:rsidRDefault="0058717A" w:rsidP="0058717A">
      <w:pPr>
        <w:pStyle w:val="Prrafodelista"/>
        <w:numPr>
          <w:ilvl w:val="0"/>
          <w:numId w:val="72"/>
        </w:numPr>
        <w:spacing w:after="160" w:line="259" w:lineRule="auto"/>
        <w:contextualSpacing/>
        <w:jc w:val="both"/>
        <w:rPr>
          <w:rFonts w:ascii="Abadi" w:hAnsi="Abadi"/>
          <w:sz w:val="21"/>
          <w:szCs w:val="21"/>
        </w:rPr>
      </w:pPr>
      <w:r w:rsidRPr="00173C1B">
        <w:rPr>
          <w:rFonts w:ascii="Abadi" w:hAnsi="Abadi"/>
          <w:sz w:val="21"/>
          <w:szCs w:val="21"/>
        </w:rPr>
        <w:t xml:space="preserve">En consecuencia. </w:t>
      </w:r>
    </w:p>
    <w:p w14:paraId="475AEFB3" w14:textId="3C505F9E" w:rsidR="0058717A" w:rsidRPr="00173C1B" w:rsidRDefault="0058717A" w:rsidP="0058717A">
      <w:pPr>
        <w:ind w:left="284" w:right="283"/>
        <w:jc w:val="both"/>
        <w:rPr>
          <w:rFonts w:ascii="Abadi" w:hAnsi="Abadi"/>
          <w:b/>
          <w:bCs/>
          <w:i/>
          <w:iCs/>
          <w:sz w:val="21"/>
          <w:szCs w:val="21"/>
          <w:u w:val="single"/>
        </w:rPr>
      </w:pPr>
      <w:r w:rsidRPr="00173C1B">
        <w:rPr>
          <w:rFonts w:ascii="Abadi" w:hAnsi="Abadi"/>
          <w:b/>
          <w:bCs/>
          <w:i/>
          <w:iCs/>
          <w:sz w:val="21"/>
          <w:szCs w:val="21"/>
          <w:u w:val="single"/>
        </w:rPr>
        <w:t>Se instruye a la</w:t>
      </w:r>
      <w:r w:rsidR="00A4247F">
        <w:rPr>
          <w:rFonts w:ascii="Abadi" w:hAnsi="Abadi"/>
          <w:b/>
          <w:bCs/>
          <w:i/>
          <w:iCs/>
          <w:sz w:val="21"/>
          <w:szCs w:val="21"/>
          <w:u w:val="single"/>
        </w:rPr>
        <w:t xml:space="preserve"> S</w:t>
      </w:r>
      <w:r w:rsidRPr="00173C1B">
        <w:rPr>
          <w:rFonts w:ascii="Abadi" w:hAnsi="Abadi"/>
          <w:b/>
          <w:bCs/>
          <w:i/>
          <w:iCs/>
          <w:sz w:val="21"/>
          <w:szCs w:val="21"/>
          <w:u w:val="single"/>
        </w:rPr>
        <w:t xml:space="preserve">ecretaria </w:t>
      </w:r>
      <w:r w:rsidR="00A4247F">
        <w:rPr>
          <w:rFonts w:ascii="Abadi" w:hAnsi="Abadi"/>
          <w:b/>
          <w:bCs/>
          <w:i/>
          <w:iCs/>
          <w:sz w:val="21"/>
          <w:szCs w:val="21"/>
          <w:u w:val="single"/>
        </w:rPr>
        <w:t>G</w:t>
      </w:r>
      <w:r w:rsidRPr="00173C1B">
        <w:rPr>
          <w:rFonts w:ascii="Abadi" w:hAnsi="Abadi"/>
          <w:b/>
          <w:bCs/>
          <w:i/>
          <w:iCs/>
          <w:sz w:val="21"/>
          <w:szCs w:val="21"/>
          <w:u w:val="single"/>
        </w:rPr>
        <w:t xml:space="preserve">eneral para que proceda </w:t>
      </w:r>
      <w:r w:rsidR="00A4247F">
        <w:rPr>
          <w:rFonts w:ascii="Abadi" w:hAnsi="Abadi"/>
          <w:b/>
          <w:bCs/>
          <w:i/>
          <w:iCs/>
          <w:sz w:val="21"/>
          <w:szCs w:val="21"/>
          <w:u w:val="single"/>
        </w:rPr>
        <w:t>a</w:t>
      </w:r>
      <w:r w:rsidRPr="00173C1B">
        <w:rPr>
          <w:rFonts w:ascii="Abadi" w:hAnsi="Abadi"/>
          <w:b/>
          <w:bCs/>
          <w:i/>
          <w:iCs/>
          <w:sz w:val="21"/>
          <w:szCs w:val="21"/>
          <w:u w:val="single"/>
        </w:rPr>
        <w:t>l archivo definitivo de la iniciativa referida en el dictamen aprobado.</w:t>
      </w:r>
    </w:p>
    <w:p w14:paraId="7662DE39" w14:textId="77777777" w:rsidR="0058717A" w:rsidRPr="003C596E" w:rsidRDefault="0058717A" w:rsidP="00AA608E">
      <w:pPr>
        <w:contextualSpacing/>
        <w:jc w:val="both"/>
        <w:rPr>
          <w:rFonts w:ascii="Abadi" w:hAnsi="Abadi"/>
          <w:b/>
          <w:bCs/>
          <w:sz w:val="21"/>
          <w:szCs w:val="21"/>
        </w:rPr>
      </w:pPr>
    </w:p>
    <w:p w14:paraId="1A7395CD" w14:textId="77777777" w:rsidR="00A72A7F" w:rsidRPr="00A72A7F" w:rsidRDefault="00A72A7F" w:rsidP="00A72A7F">
      <w:pPr>
        <w:autoSpaceDE w:val="0"/>
        <w:autoSpaceDN w:val="0"/>
        <w:adjustRightInd w:val="0"/>
        <w:jc w:val="both"/>
        <w:rPr>
          <w:rFonts w:ascii="Abadi" w:hAnsi="Abadi" w:cs="ArialMT"/>
          <w:b/>
          <w:bCs/>
          <w:sz w:val="20"/>
          <w:szCs w:val="21"/>
        </w:rPr>
      </w:pPr>
    </w:p>
    <w:p w14:paraId="59C6B643" w14:textId="77777777" w:rsidR="006F3002" w:rsidRPr="00293312" w:rsidRDefault="006F3002" w:rsidP="006F3002">
      <w:pPr>
        <w:autoSpaceDE w:val="0"/>
        <w:autoSpaceDN w:val="0"/>
        <w:adjustRightInd w:val="0"/>
        <w:jc w:val="both"/>
        <w:rPr>
          <w:rFonts w:ascii="Abadi" w:hAnsi="Abadi" w:cs="Arial-BoldMT"/>
          <w:b/>
          <w:bCs/>
          <w:sz w:val="20"/>
          <w:szCs w:val="21"/>
        </w:rPr>
      </w:pPr>
    </w:p>
    <w:p w14:paraId="374B0746" w14:textId="787CE761"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SIGNADO POR LA COMISIÓN DE DESARROLLO ECONÓMICO Y SOCIAL RELATIVO A LA PROPUESTA DE PUNTO DE ACUERDO FORMULADA POR LA DIPUTADA MARTHA EDITH MORENO VALENCIA INTEGRANTE DEL GRUPO PARLAMENTARIO DEL PARTIDO MORENA, CON LA FINALIDAD DE ENVIAR UN EXHORTO A LA CÁMARA DE DIPUTADOS DEL HONORABLE CONGRESO DE LA UNIÓN, A EFECTO DE APROBAR LA INICIATIVA DE REFORMAS A LA CONSTITUCIÓN POLÍTICA DE LOS ESTADOS UNIDOS MEXICANOS, EN MATERIA ENERGÉTICA, PRESENTADA POR EL PRESIDENTE DE LA REPÚBLICA, LIC. ANDRÉS MANUEL LÓPEZ OBRADOR, POR LA QUE SE REFORMAN LOS ARTÍCULOS 25, 27 Y 28 DE LA CONSTITUCIÓN POLÍTICA DE LOS ESTADOS UNIDOS MEXICANOS, ASÍ COMO AL TITULAR DE LA SECRETARÍA DE DESARROLLO ECONÓMICO SUSTENTABLE, A EFECTO DE REALIZAR FOROS SOBRE LA REFORMA ENERGÉTICA PROMOVIDA POR EL LIC. ANDRÉS MANUEL LÓPEZ OBRADOR, PARA VER SUS IMPACTOS ECONÓMICOS Y SOCIALES.</w:t>
      </w:r>
    </w:p>
    <w:p w14:paraId="6AC564B4" w14:textId="6A6DB11E" w:rsidR="00BC476A" w:rsidRDefault="00BC476A" w:rsidP="00BC476A">
      <w:pPr>
        <w:autoSpaceDE w:val="0"/>
        <w:autoSpaceDN w:val="0"/>
        <w:adjustRightInd w:val="0"/>
        <w:jc w:val="both"/>
        <w:rPr>
          <w:rFonts w:ascii="Abadi" w:hAnsi="Abadi" w:cs="ArialMT"/>
          <w:b/>
          <w:bCs/>
          <w:sz w:val="20"/>
          <w:szCs w:val="21"/>
        </w:rPr>
      </w:pPr>
    </w:p>
    <w:p w14:paraId="22B14307" w14:textId="77777777" w:rsidR="00BC476A" w:rsidRPr="00AC347B" w:rsidRDefault="00BC476A" w:rsidP="00BC476A">
      <w:pPr>
        <w:autoSpaceDE w:val="0"/>
        <w:autoSpaceDN w:val="0"/>
        <w:adjustRightInd w:val="0"/>
        <w:jc w:val="both"/>
        <w:rPr>
          <w:rFonts w:ascii="Abadi" w:hAnsi="Abadi" w:cs="*Arial-Bold-8668-Identity-H"/>
          <w:b/>
          <w:bCs/>
          <w:color w:val="0C0B11"/>
          <w:sz w:val="21"/>
          <w:szCs w:val="21"/>
        </w:rPr>
      </w:pPr>
      <w:r w:rsidRPr="00AC347B">
        <w:rPr>
          <w:rFonts w:ascii="Abadi" w:hAnsi="Abadi" w:cs="*Arial-Bold-8668-Identity-H"/>
          <w:b/>
          <w:bCs/>
          <w:color w:val="0C0B11"/>
          <w:sz w:val="21"/>
          <w:szCs w:val="21"/>
        </w:rPr>
        <w:t>Diputada Irm</w:t>
      </w:r>
      <w:r>
        <w:rPr>
          <w:rFonts w:ascii="Abadi" w:hAnsi="Abadi" w:cs="*Arial-Bold-8668-Identity-H"/>
          <w:b/>
          <w:bCs/>
          <w:color w:val="0C0B11"/>
          <w:sz w:val="21"/>
          <w:szCs w:val="21"/>
        </w:rPr>
        <w:t>a</w:t>
      </w:r>
      <w:r w:rsidRPr="00AC347B">
        <w:rPr>
          <w:rFonts w:ascii="Abadi" w:hAnsi="Abadi" w:cs="*Arial-Bold-8668-Identity-H"/>
          <w:b/>
          <w:bCs/>
          <w:color w:val="0C0B11"/>
          <w:sz w:val="21"/>
          <w:szCs w:val="21"/>
        </w:rPr>
        <w:t xml:space="preserve"> Leticia González Sánchez</w:t>
      </w:r>
    </w:p>
    <w:p w14:paraId="05651EBD" w14:textId="77777777" w:rsidR="00BC476A" w:rsidRPr="00AC347B" w:rsidRDefault="00BC476A" w:rsidP="00BC476A">
      <w:pPr>
        <w:autoSpaceDE w:val="0"/>
        <w:autoSpaceDN w:val="0"/>
        <w:adjustRightInd w:val="0"/>
        <w:jc w:val="both"/>
        <w:rPr>
          <w:rFonts w:ascii="Abadi" w:hAnsi="Abadi" w:cs="*Arial-Bold-8668-Identity-H"/>
          <w:b/>
          <w:bCs/>
          <w:color w:val="0C0B11"/>
          <w:sz w:val="21"/>
          <w:szCs w:val="21"/>
        </w:rPr>
      </w:pPr>
      <w:r w:rsidRPr="00AC347B">
        <w:rPr>
          <w:rFonts w:ascii="Abadi" w:hAnsi="Abadi" w:cs="*Arial-Bold-8668-Identity-H"/>
          <w:b/>
          <w:bCs/>
          <w:color w:val="0C0B11"/>
          <w:sz w:val="21"/>
          <w:szCs w:val="21"/>
        </w:rPr>
        <w:t>Presidenta del Congreso del Estado</w:t>
      </w:r>
    </w:p>
    <w:p w14:paraId="1358FF2C" w14:textId="77777777" w:rsidR="00BC476A" w:rsidRDefault="00BC476A" w:rsidP="00BC476A">
      <w:pPr>
        <w:autoSpaceDE w:val="0"/>
        <w:autoSpaceDN w:val="0"/>
        <w:adjustRightInd w:val="0"/>
        <w:jc w:val="both"/>
        <w:rPr>
          <w:rFonts w:ascii="Abadi" w:hAnsi="Abadi" w:cs="*Arial-Bold-8668-Identity-H"/>
          <w:b/>
          <w:bCs/>
          <w:color w:val="0C0B11"/>
          <w:sz w:val="21"/>
          <w:szCs w:val="21"/>
        </w:rPr>
      </w:pPr>
      <w:r w:rsidRPr="00AC347B">
        <w:rPr>
          <w:rFonts w:ascii="Abadi" w:hAnsi="Abadi" w:cs="*Arial-Bold-8668-Identity-H"/>
          <w:b/>
          <w:bCs/>
          <w:color w:val="0C0B11"/>
          <w:sz w:val="21"/>
          <w:szCs w:val="21"/>
        </w:rPr>
        <w:t>P</w:t>
      </w:r>
      <w:r>
        <w:rPr>
          <w:rFonts w:ascii="Abadi" w:hAnsi="Abadi" w:cs="*Arial-Bold-8668-Identity-H"/>
          <w:b/>
          <w:bCs/>
          <w:color w:val="0C0B11"/>
          <w:sz w:val="21"/>
          <w:szCs w:val="21"/>
        </w:rPr>
        <w:t xml:space="preserve"> </w:t>
      </w:r>
      <w:r w:rsidRPr="00AC347B">
        <w:rPr>
          <w:rFonts w:ascii="Abadi" w:hAnsi="Abadi" w:cs="*Arial-Bold-8668-Identity-H"/>
          <w:b/>
          <w:bCs/>
          <w:color w:val="0C0B11"/>
          <w:sz w:val="21"/>
          <w:szCs w:val="21"/>
        </w:rPr>
        <w:t>r</w:t>
      </w:r>
      <w:r>
        <w:rPr>
          <w:rFonts w:ascii="Abadi" w:hAnsi="Abadi" w:cs="*Arial-Bold-8668-Identity-H"/>
          <w:b/>
          <w:bCs/>
          <w:color w:val="0C0B11"/>
          <w:sz w:val="21"/>
          <w:szCs w:val="21"/>
        </w:rPr>
        <w:t xml:space="preserve"> </w:t>
      </w:r>
      <w:r w:rsidRPr="00AC347B">
        <w:rPr>
          <w:rFonts w:ascii="Abadi" w:hAnsi="Abadi" w:cs="*Arial-Bold-8668-Identity-H"/>
          <w:b/>
          <w:bCs/>
          <w:color w:val="0C0B11"/>
          <w:sz w:val="21"/>
          <w:szCs w:val="21"/>
        </w:rPr>
        <w:t>e s e n t e.</w:t>
      </w:r>
    </w:p>
    <w:p w14:paraId="5841EB89" w14:textId="77777777" w:rsidR="00BC476A" w:rsidRPr="00AC347B" w:rsidRDefault="00BC476A" w:rsidP="00BC476A">
      <w:pPr>
        <w:autoSpaceDE w:val="0"/>
        <w:autoSpaceDN w:val="0"/>
        <w:adjustRightInd w:val="0"/>
        <w:jc w:val="both"/>
        <w:rPr>
          <w:rFonts w:ascii="Abadi" w:hAnsi="Abadi" w:cs="*Arial-Bold-8668-Identity-H"/>
          <w:b/>
          <w:bCs/>
          <w:color w:val="0C0B11"/>
          <w:sz w:val="21"/>
          <w:szCs w:val="21"/>
        </w:rPr>
      </w:pPr>
    </w:p>
    <w:p w14:paraId="73F5DB94" w14:textId="77777777" w:rsidR="00BC476A" w:rsidRPr="00AC347B" w:rsidRDefault="00BC476A" w:rsidP="00BC476A">
      <w:pPr>
        <w:autoSpaceDE w:val="0"/>
        <w:autoSpaceDN w:val="0"/>
        <w:adjustRightInd w:val="0"/>
        <w:ind w:firstLine="708"/>
        <w:jc w:val="both"/>
        <w:rPr>
          <w:rFonts w:ascii="Abadi" w:hAnsi="Abadi" w:cs="*Microsoft Sans Serif-8671-Iden"/>
          <w:color w:val="131214"/>
          <w:sz w:val="21"/>
          <w:szCs w:val="21"/>
        </w:rPr>
      </w:pPr>
      <w:r w:rsidRPr="00AC347B">
        <w:rPr>
          <w:rFonts w:ascii="Abadi" w:hAnsi="Abadi" w:cs="*Microsoft Sans Serif-8671-Iden"/>
          <w:color w:val="131214"/>
          <w:sz w:val="21"/>
          <w:szCs w:val="21"/>
        </w:rPr>
        <w:t>A la Comisión de Desarrollo Económico y Social de la</w:t>
      </w:r>
      <w:r w:rsidRPr="00AC347B">
        <w:rPr>
          <w:rFonts w:ascii="Abadi" w:hAnsi="Abadi" w:cs="*Microsoft Sans Serif-8671-Iden"/>
          <w:color w:val="888588"/>
          <w:sz w:val="21"/>
          <w:szCs w:val="21"/>
        </w:rPr>
        <w:t xml:space="preserve">. </w:t>
      </w:r>
      <w:r w:rsidRPr="00AC347B">
        <w:rPr>
          <w:rFonts w:ascii="Abadi" w:hAnsi="Abadi" w:cs="*Microsoft Sans Serif-8671-Iden"/>
          <w:color w:val="131214"/>
          <w:sz w:val="21"/>
          <w:szCs w:val="21"/>
        </w:rPr>
        <w:t>Sexagésima</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Quinta Legislatura del Congreso del Estado de Guanajuato, le fue turnada</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la propuesta de punto de acuerdo formulado por la diputada Martha Edith</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Moreno Valencia integrantes del Grupo Parlamentario de MORENA, con la</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finalidad de enviar un exhorto a la Cámara de Diputados del Honorable</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Congreso de la Unión, a efecto de aprobar la iniciativa de reformas a la</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Constitución Política de los Estados Unidos Mexicanos, en materia</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energética, presentada por el presidente de la república, Lic. Andrés</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Manuel López Obrador, por la que se reforman los artículos 25, 27, y 28 de la</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Constitución Política de los Estados Unidos Mexicanos, así como al Titular de</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la Secretaría de Desarrollo Económico Sustentable, a efecto de realizar foros</w:t>
      </w:r>
      <w:r>
        <w:rPr>
          <w:rFonts w:ascii="Abadi" w:hAnsi="Abadi" w:cs="*Microsoft Sans Serif-8671-Iden"/>
          <w:color w:val="131214"/>
          <w:sz w:val="21"/>
          <w:szCs w:val="21"/>
        </w:rPr>
        <w:t xml:space="preserve"> </w:t>
      </w:r>
      <w:r w:rsidRPr="00AC347B">
        <w:rPr>
          <w:rFonts w:ascii="Abadi" w:hAnsi="Abadi" w:cs="*Microsoft Sans Serif-8671-Iden"/>
          <w:color w:val="131214"/>
          <w:sz w:val="21"/>
          <w:szCs w:val="21"/>
        </w:rPr>
        <w:t>sobre la Reforma Energética promovida por el Lic. Andrés Manuel López</w:t>
      </w:r>
    </w:p>
    <w:p w14:paraId="39F5C3CA" w14:textId="77777777" w:rsidR="00BC476A" w:rsidRDefault="00BC476A" w:rsidP="00BC476A">
      <w:pPr>
        <w:autoSpaceDE w:val="0"/>
        <w:autoSpaceDN w:val="0"/>
        <w:adjustRightInd w:val="0"/>
        <w:jc w:val="both"/>
        <w:rPr>
          <w:rFonts w:ascii="Abadi" w:hAnsi="Abadi" w:cs="*Microsoft Sans Serif-8671-Iden"/>
          <w:color w:val="131214"/>
          <w:sz w:val="21"/>
          <w:szCs w:val="21"/>
        </w:rPr>
      </w:pPr>
      <w:r w:rsidRPr="00AC347B">
        <w:rPr>
          <w:rFonts w:ascii="Abadi" w:hAnsi="Abadi" w:cs="*Microsoft Sans Serif-8671-Iden"/>
          <w:color w:val="131214"/>
          <w:sz w:val="21"/>
          <w:szCs w:val="21"/>
        </w:rPr>
        <w:t>Obrador, para ver sus impactos económicos y sociales.</w:t>
      </w:r>
    </w:p>
    <w:p w14:paraId="2464DC26" w14:textId="77777777" w:rsidR="00BC476A" w:rsidRPr="00AC347B" w:rsidRDefault="00BC476A" w:rsidP="00BC476A">
      <w:pPr>
        <w:autoSpaceDE w:val="0"/>
        <w:autoSpaceDN w:val="0"/>
        <w:adjustRightInd w:val="0"/>
        <w:jc w:val="both"/>
        <w:rPr>
          <w:rFonts w:ascii="Abadi" w:hAnsi="Abadi" w:cs="*Microsoft Sans Serif-8671-Iden"/>
          <w:color w:val="131214"/>
          <w:sz w:val="21"/>
          <w:szCs w:val="21"/>
        </w:rPr>
      </w:pPr>
    </w:p>
    <w:p w14:paraId="4C5E6762" w14:textId="77777777" w:rsidR="00BC476A" w:rsidRPr="00AC347B" w:rsidRDefault="00BC476A" w:rsidP="00BC476A">
      <w:pPr>
        <w:autoSpaceDE w:val="0"/>
        <w:autoSpaceDN w:val="0"/>
        <w:adjustRightInd w:val="0"/>
        <w:ind w:firstLine="708"/>
        <w:jc w:val="both"/>
        <w:rPr>
          <w:rFonts w:ascii="Abadi" w:hAnsi="Abadi" w:cs="*Microsoft Sans Serif-8671-Iden"/>
          <w:color w:val="161618"/>
          <w:sz w:val="21"/>
          <w:szCs w:val="21"/>
        </w:rPr>
      </w:pPr>
      <w:r w:rsidRPr="00AC347B">
        <w:rPr>
          <w:rFonts w:ascii="Abadi" w:hAnsi="Abadi" w:cs="*Microsoft Sans Serif-8671-Iden"/>
          <w:color w:val="161618"/>
          <w:sz w:val="21"/>
          <w:szCs w:val="21"/>
        </w:rPr>
        <w:t>De conformidad con los artículos 89, fracción V; 107, fracción VI y 171</w:t>
      </w:r>
      <w:r>
        <w:rPr>
          <w:rFonts w:ascii="Abadi" w:hAnsi="Abadi" w:cs="*Microsoft Sans Serif-8671-Iden"/>
          <w:color w:val="161618"/>
          <w:sz w:val="21"/>
          <w:szCs w:val="21"/>
        </w:rPr>
        <w:t xml:space="preserve"> </w:t>
      </w:r>
      <w:r w:rsidRPr="00AC347B">
        <w:rPr>
          <w:rFonts w:ascii="Abadi" w:hAnsi="Abadi" w:cs="*Microsoft Sans Serif-8671-Iden"/>
          <w:color w:val="161618"/>
          <w:sz w:val="21"/>
          <w:szCs w:val="21"/>
        </w:rPr>
        <w:t>de la Ley Orgánica del Poder Legislativo del Estado de Guanajuato,</w:t>
      </w:r>
      <w:r>
        <w:rPr>
          <w:rFonts w:ascii="Abadi" w:hAnsi="Abadi" w:cs="*Microsoft Sans Serif-8671-Iden"/>
          <w:color w:val="161618"/>
          <w:sz w:val="21"/>
          <w:szCs w:val="21"/>
        </w:rPr>
        <w:t xml:space="preserve"> </w:t>
      </w:r>
      <w:r w:rsidRPr="00AC347B">
        <w:rPr>
          <w:rFonts w:ascii="Abadi" w:hAnsi="Abadi" w:cs="*Microsoft Sans Serif-8671-Iden"/>
          <w:color w:val="161618"/>
          <w:sz w:val="21"/>
          <w:szCs w:val="21"/>
        </w:rPr>
        <w:t>sometemos a la consideración de la Asamblea el presente dictamen, con</w:t>
      </w:r>
      <w:r>
        <w:rPr>
          <w:rFonts w:ascii="Abadi" w:hAnsi="Abadi" w:cs="*Microsoft Sans Serif-8671-Iden"/>
          <w:color w:val="161618"/>
          <w:sz w:val="21"/>
          <w:szCs w:val="21"/>
        </w:rPr>
        <w:t xml:space="preserve"> </w:t>
      </w:r>
      <w:r w:rsidRPr="00AC347B">
        <w:rPr>
          <w:rFonts w:ascii="Abadi" w:hAnsi="Abadi" w:cs="*Microsoft Sans Serif-8671-Iden"/>
          <w:color w:val="161618"/>
          <w:sz w:val="21"/>
          <w:szCs w:val="21"/>
        </w:rPr>
        <w:t>base en las siguientes:</w:t>
      </w:r>
    </w:p>
    <w:p w14:paraId="0DC08C27" w14:textId="77777777" w:rsidR="00BC476A" w:rsidRPr="00AC347B" w:rsidRDefault="00BC476A" w:rsidP="00BC476A">
      <w:pPr>
        <w:autoSpaceDE w:val="0"/>
        <w:autoSpaceDN w:val="0"/>
        <w:adjustRightInd w:val="0"/>
        <w:jc w:val="center"/>
        <w:rPr>
          <w:rFonts w:ascii="Abadi" w:hAnsi="Abadi" w:cs="*Arial-Bold-8668-Identity-H"/>
          <w:b/>
          <w:bCs/>
          <w:color w:val="0B0A11"/>
          <w:sz w:val="21"/>
          <w:szCs w:val="21"/>
        </w:rPr>
      </w:pPr>
      <w:r w:rsidRPr="00AC347B">
        <w:rPr>
          <w:rFonts w:ascii="Abadi" w:hAnsi="Abadi" w:cs="*Arial-Bold-8668-Identity-H"/>
          <w:b/>
          <w:bCs/>
          <w:color w:val="0B0A11"/>
          <w:sz w:val="21"/>
          <w:szCs w:val="21"/>
        </w:rPr>
        <w:t>Consideraciones</w:t>
      </w:r>
    </w:p>
    <w:p w14:paraId="2ECD7DD3" w14:textId="77777777" w:rsidR="00BC476A" w:rsidRDefault="00BC476A" w:rsidP="00BC476A">
      <w:pPr>
        <w:autoSpaceDE w:val="0"/>
        <w:autoSpaceDN w:val="0"/>
        <w:adjustRightInd w:val="0"/>
        <w:jc w:val="center"/>
        <w:rPr>
          <w:rFonts w:ascii="Abadi" w:hAnsi="Abadi" w:cs="*Arial-Bold-8668-Identity-H"/>
          <w:b/>
          <w:bCs/>
          <w:color w:val="0F0F14"/>
          <w:sz w:val="21"/>
          <w:szCs w:val="21"/>
        </w:rPr>
      </w:pPr>
    </w:p>
    <w:p w14:paraId="1C60D056" w14:textId="77777777" w:rsidR="00BC476A" w:rsidRPr="000A1FD4" w:rsidRDefault="00BC476A" w:rsidP="00BC476A">
      <w:pPr>
        <w:pStyle w:val="Prrafodelista"/>
        <w:numPr>
          <w:ilvl w:val="0"/>
          <w:numId w:val="69"/>
        </w:numPr>
        <w:autoSpaceDE w:val="0"/>
        <w:autoSpaceDN w:val="0"/>
        <w:adjustRightInd w:val="0"/>
        <w:contextualSpacing/>
        <w:jc w:val="both"/>
        <w:rPr>
          <w:rFonts w:ascii="Abadi" w:hAnsi="Abadi" w:cs="*Arial-Bold-8668-Identity-H"/>
          <w:b/>
          <w:bCs/>
          <w:color w:val="0F0F14"/>
          <w:sz w:val="21"/>
          <w:szCs w:val="21"/>
        </w:rPr>
      </w:pPr>
      <w:r w:rsidRPr="000A1FD4">
        <w:rPr>
          <w:rFonts w:ascii="Abadi" w:hAnsi="Abadi" w:cs="*Arial-Bold-8668-Identity-H"/>
          <w:b/>
          <w:bCs/>
          <w:color w:val="0F0F14"/>
          <w:sz w:val="21"/>
          <w:szCs w:val="21"/>
        </w:rPr>
        <w:t>Antecedentes</w:t>
      </w:r>
    </w:p>
    <w:p w14:paraId="49252E10" w14:textId="77777777" w:rsidR="00BC476A" w:rsidRPr="000A1FD4" w:rsidRDefault="00BC476A" w:rsidP="00BC476A">
      <w:pPr>
        <w:pStyle w:val="Prrafodelista"/>
        <w:autoSpaceDE w:val="0"/>
        <w:autoSpaceDN w:val="0"/>
        <w:adjustRightInd w:val="0"/>
        <w:ind w:left="720"/>
        <w:jc w:val="both"/>
        <w:rPr>
          <w:rFonts w:ascii="Abadi" w:hAnsi="Abadi" w:cs="*Arial-Bold-8668-Identity-H"/>
          <w:b/>
          <w:bCs/>
          <w:color w:val="0F0F14"/>
          <w:sz w:val="21"/>
          <w:szCs w:val="21"/>
        </w:rPr>
      </w:pPr>
    </w:p>
    <w:p w14:paraId="3264E5D8" w14:textId="77777777" w:rsidR="00BC476A" w:rsidRPr="00AC347B" w:rsidRDefault="00BC476A" w:rsidP="00BC476A">
      <w:pPr>
        <w:autoSpaceDE w:val="0"/>
        <w:autoSpaceDN w:val="0"/>
        <w:adjustRightInd w:val="0"/>
        <w:ind w:firstLine="360"/>
        <w:jc w:val="both"/>
        <w:rPr>
          <w:rFonts w:ascii="Abadi" w:hAnsi="Abadi" w:cs="*Microsoft Sans Serif-8671-Iden"/>
          <w:color w:val="141415"/>
          <w:sz w:val="21"/>
          <w:szCs w:val="21"/>
        </w:rPr>
      </w:pPr>
      <w:r w:rsidRPr="00AC347B">
        <w:rPr>
          <w:rFonts w:ascii="Abadi" w:hAnsi="Abadi" w:cs="*Microsoft Sans Serif-8671-Iden"/>
          <w:color w:val="141415"/>
          <w:sz w:val="21"/>
          <w:szCs w:val="21"/>
        </w:rPr>
        <w:t>En sesión ordinaria de 24 de febrero de 2022, la presidencia de la</w:t>
      </w:r>
      <w:r>
        <w:rPr>
          <w:rFonts w:ascii="Abadi" w:hAnsi="Abadi" w:cs="*Microsoft Sans Serif-8671-Iden"/>
          <w:color w:val="141415"/>
          <w:sz w:val="21"/>
          <w:szCs w:val="21"/>
        </w:rPr>
        <w:t xml:space="preserve"> </w:t>
      </w:r>
      <w:r w:rsidRPr="00AC347B">
        <w:rPr>
          <w:rFonts w:ascii="Abadi" w:hAnsi="Abadi" w:cs="*Microsoft Sans Serif-8671-Iden"/>
          <w:color w:val="141415"/>
          <w:sz w:val="21"/>
          <w:szCs w:val="21"/>
        </w:rPr>
        <w:t>Mesa Directiva turnó a la Comisión de Desarrollo Económico y Social, para</w:t>
      </w:r>
      <w:r>
        <w:rPr>
          <w:rFonts w:ascii="Abadi" w:hAnsi="Abadi" w:cs="*Microsoft Sans Serif-8671-Iden"/>
          <w:color w:val="141415"/>
          <w:sz w:val="21"/>
          <w:szCs w:val="21"/>
        </w:rPr>
        <w:t xml:space="preserve"> </w:t>
      </w:r>
      <w:r w:rsidRPr="00AC347B">
        <w:rPr>
          <w:rFonts w:ascii="Abadi" w:hAnsi="Abadi" w:cs="*Microsoft Sans Serif-8671-Iden"/>
          <w:color w:val="141415"/>
          <w:sz w:val="21"/>
          <w:szCs w:val="21"/>
        </w:rPr>
        <w:t>efectos de su estudio y dictamen, la propuesta de punto de acuerdo</w:t>
      </w:r>
      <w:r>
        <w:rPr>
          <w:rFonts w:ascii="Abadi" w:hAnsi="Abadi" w:cs="*Microsoft Sans Serif-8671-Iden"/>
          <w:color w:val="141415"/>
          <w:sz w:val="21"/>
          <w:szCs w:val="21"/>
        </w:rPr>
        <w:t xml:space="preserve"> </w:t>
      </w:r>
      <w:r w:rsidRPr="00AC347B">
        <w:rPr>
          <w:rFonts w:ascii="Abadi" w:hAnsi="Abadi" w:cs="*Microsoft Sans Serif-8671-Iden"/>
          <w:color w:val="141415"/>
          <w:sz w:val="21"/>
          <w:szCs w:val="21"/>
        </w:rPr>
        <w:t>referido en el proemio del presente dictamen, con fundamento en el artículo</w:t>
      </w:r>
      <w:r>
        <w:rPr>
          <w:rFonts w:ascii="Abadi" w:hAnsi="Abadi" w:cs="*Microsoft Sans Serif-8671-Iden"/>
          <w:color w:val="141415"/>
          <w:sz w:val="21"/>
          <w:szCs w:val="21"/>
        </w:rPr>
        <w:t xml:space="preserve"> </w:t>
      </w:r>
      <w:r w:rsidRPr="00AC347B">
        <w:rPr>
          <w:rFonts w:ascii="Abadi" w:hAnsi="Abadi" w:cs="*Microsoft Sans Serif-8671-Iden"/>
          <w:color w:val="141415"/>
          <w:sz w:val="21"/>
          <w:szCs w:val="21"/>
        </w:rPr>
        <w:t>107 fracción VI de la Ley Orgánica del Poder Legislativo del Estado de</w:t>
      </w:r>
      <w:r>
        <w:rPr>
          <w:rFonts w:ascii="Abadi" w:hAnsi="Abadi" w:cs="*Microsoft Sans Serif-8671-Iden"/>
          <w:color w:val="141415"/>
          <w:sz w:val="21"/>
          <w:szCs w:val="21"/>
        </w:rPr>
        <w:t xml:space="preserve"> </w:t>
      </w:r>
      <w:r w:rsidRPr="00AC347B">
        <w:rPr>
          <w:rFonts w:ascii="Abadi" w:hAnsi="Abadi" w:cs="*Microsoft Sans Serif-8671-Iden"/>
          <w:color w:val="141415"/>
          <w:sz w:val="21"/>
          <w:szCs w:val="21"/>
        </w:rPr>
        <w:t>Guanajuato.</w:t>
      </w:r>
    </w:p>
    <w:p w14:paraId="63D254A0" w14:textId="77777777" w:rsidR="00BC476A" w:rsidRPr="00AC347B" w:rsidRDefault="00BC476A" w:rsidP="00BC476A">
      <w:pPr>
        <w:jc w:val="both"/>
        <w:rPr>
          <w:rFonts w:ascii="Abadi" w:hAnsi="Abadi" w:cs="*Microsoft Sans Serif-8671-Iden"/>
          <w:color w:val="141415"/>
          <w:sz w:val="21"/>
          <w:szCs w:val="21"/>
        </w:rPr>
      </w:pPr>
    </w:p>
    <w:p w14:paraId="17057111" w14:textId="77777777" w:rsidR="00BC476A" w:rsidRDefault="00BC476A" w:rsidP="00BC476A">
      <w:pPr>
        <w:autoSpaceDE w:val="0"/>
        <w:autoSpaceDN w:val="0"/>
        <w:adjustRightInd w:val="0"/>
        <w:ind w:firstLine="360"/>
        <w:jc w:val="both"/>
        <w:rPr>
          <w:rFonts w:ascii="Abadi" w:hAnsi="Abadi" w:cs="*Calibri-12230-Identity-H"/>
          <w:color w:val="151516"/>
          <w:sz w:val="21"/>
          <w:szCs w:val="21"/>
        </w:rPr>
      </w:pPr>
      <w:r w:rsidRPr="00AC347B">
        <w:rPr>
          <w:rFonts w:ascii="Abadi" w:hAnsi="Abadi" w:cs="*Calibri-12230-Identity-H"/>
          <w:color w:val="151516"/>
          <w:sz w:val="21"/>
          <w:szCs w:val="21"/>
        </w:rPr>
        <w:t>Posteriormente el 31 de marzo del presente año 2022, la comisión</w:t>
      </w:r>
      <w:r>
        <w:rPr>
          <w:rFonts w:ascii="Abadi" w:hAnsi="Abadi" w:cs="*Calibri-12230-Identity-H"/>
          <w:color w:val="151516"/>
          <w:sz w:val="21"/>
          <w:szCs w:val="21"/>
        </w:rPr>
        <w:t xml:space="preserve"> </w:t>
      </w:r>
      <w:r w:rsidRPr="00AC347B">
        <w:rPr>
          <w:rFonts w:ascii="Abadi" w:hAnsi="Abadi" w:cs="*Calibri-12230-Identity-H"/>
          <w:color w:val="151516"/>
          <w:sz w:val="21"/>
          <w:szCs w:val="21"/>
        </w:rPr>
        <w:t>dictaminadora radicó la propuesta de punto de acuerdo.</w:t>
      </w:r>
      <w:r>
        <w:rPr>
          <w:rFonts w:ascii="Abadi" w:hAnsi="Abadi" w:cs="*Calibri-12230-Identity-H"/>
          <w:color w:val="151516"/>
          <w:sz w:val="21"/>
          <w:szCs w:val="21"/>
        </w:rPr>
        <w:t xml:space="preserve"> </w:t>
      </w:r>
    </w:p>
    <w:p w14:paraId="46CF6514" w14:textId="77777777" w:rsidR="00BC476A" w:rsidRDefault="00BC476A" w:rsidP="00BC476A">
      <w:pPr>
        <w:autoSpaceDE w:val="0"/>
        <w:autoSpaceDN w:val="0"/>
        <w:adjustRightInd w:val="0"/>
        <w:jc w:val="both"/>
        <w:rPr>
          <w:rFonts w:ascii="Abadi" w:hAnsi="Abadi" w:cs="*Calibri-12230-Identity-H"/>
          <w:color w:val="151516"/>
          <w:sz w:val="21"/>
          <w:szCs w:val="21"/>
        </w:rPr>
      </w:pPr>
    </w:p>
    <w:p w14:paraId="1D658A2F" w14:textId="77777777" w:rsidR="00BC476A" w:rsidRPr="00AC347B" w:rsidRDefault="00BC476A" w:rsidP="00BC476A">
      <w:pPr>
        <w:autoSpaceDE w:val="0"/>
        <w:autoSpaceDN w:val="0"/>
        <w:adjustRightInd w:val="0"/>
        <w:ind w:firstLine="360"/>
        <w:jc w:val="both"/>
        <w:rPr>
          <w:rFonts w:ascii="Abadi" w:hAnsi="Abadi" w:cs="*Calibri-12230-Identity-H"/>
          <w:color w:val="141415"/>
          <w:sz w:val="21"/>
          <w:szCs w:val="21"/>
        </w:rPr>
      </w:pPr>
      <w:r w:rsidRPr="00AC347B">
        <w:rPr>
          <w:rFonts w:ascii="Abadi" w:hAnsi="Abadi" w:cs="*Calibri-12230-Identity-H"/>
          <w:color w:val="141415"/>
          <w:sz w:val="21"/>
          <w:szCs w:val="21"/>
        </w:rPr>
        <w:t>Finalmente, la presidencia de esta Comisión de Desarrollo Económico</w:t>
      </w:r>
      <w:r>
        <w:rPr>
          <w:rFonts w:ascii="Abadi" w:hAnsi="Abadi" w:cs="*Calibri-12230-Identity-H"/>
          <w:color w:val="141415"/>
          <w:sz w:val="21"/>
          <w:szCs w:val="21"/>
        </w:rPr>
        <w:t xml:space="preserve"> </w:t>
      </w:r>
      <w:r w:rsidRPr="00AC347B">
        <w:rPr>
          <w:rFonts w:ascii="Abadi" w:hAnsi="Abadi" w:cs="*Calibri-12230-Identity-H"/>
          <w:color w:val="141415"/>
          <w:sz w:val="21"/>
          <w:szCs w:val="21"/>
        </w:rPr>
        <w:t>y Social con fundamento en los artículos 94 fracción VII y 272 fracción VIII</w:t>
      </w:r>
      <w:r>
        <w:rPr>
          <w:rFonts w:ascii="Abadi" w:hAnsi="Abadi" w:cs="*Calibri-12230-Identity-H"/>
          <w:color w:val="141415"/>
          <w:sz w:val="21"/>
          <w:szCs w:val="21"/>
        </w:rPr>
        <w:t xml:space="preserve"> </w:t>
      </w:r>
      <w:r w:rsidRPr="00AC347B">
        <w:rPr>
          <w:rFonts w:ascii="Abadi" w:hAnsi="Abadi" w:cs="*Calibri-12230-Identity-H"/>
          <w:color w:val="141415"/>
          <w:sz w:val="21"/>
          <w:szCs w:val="21"/>
        </w:rPr>
        <w:t>inciso e) de la Ley Orgánica del Poder Legislativo del Estado de Guanajuato</w:t>
      </w:r>
      <w:r>
        <w:rPr>
          <w:rFonts w:ascii="Abadi" w:hAnsi="Abadi" w:cs="*Calibri-12230-Identity-H"/>
          <w:color w:val="141415"/>
          <w:sz w:val="21"/>
          <w:szCs w:val="21"/>
        </w:rPr>
        <w:t xml:space="preserve"> </w:t>
      </w:r>
      <w:r w:rsidRPr="00AC347B">
        <w:rPr>
          <w:rFonts w:ascii="Abadi" w:hAnsi="Abadi" w:cs="*Calibri-12230-Identity-H"/>
          <w:color w:val="141415"/>
          <w:sz w:val="21"/>
          <w:szCs w:val="21"/>
        </w:rPr>
        <w:t>instruyó a la Secretaría Técnica para que elaborara el proyecto de</w:t>
      </w:r>
      <w:r>
        <w:rPr>
          <w:rFonts w:ascii="Abadi" w:hAnsi="Abadi" w:cs="*Calibri-12230-Identity-H"/>
          <w:color w:val="141415"/>
          <w:sz w:val="21"/>
          <w:szCs w:val="21"/>
        </w:rPr>
        <w:t xml:space="preserve"> </w:t>
      </w:r>
      <w:r w:rsidRPr="00AC347B">
        <w:rPr>
          <w:rFonts w:ascii="Abadi" w:hAnsi="Abadi" w:cs="*Calibri-12230-Identity-H"/>
          <w:color w:val="141415"/>
          <w:sz w:val="21"/>
          <w:szCs w:val="21"/>
        </w:rPr>
        <w:t>dictamen, mismo que fue materia de revisión por quienes integran esta</w:t>
      </w:r>
      <w:r>
        <w:rPr>
          <w:rFonts w:ascii="Abadi" w:hAnsi="Abadi" w:cs="*Calibri-12230-Identity-H"/>
          <w:color w:val="141415"/>
          <w:sz w:val="21"/>
          <w:szCs w:val="21"/>
        </w:rPr>
        <w:t xml:space="preserve"> </w:t>
      </w:r>
      <w:r w:rsidRPr="00AC347B">
        <w:rPr>
          <w:rFonts w:ascii="Abadi" w:hAnsi="Abadi" w:cs="*Calibri-12230-Identity-H"/>
          <w:color w:val="141415"/>
          <w:sz w:val="21"/>
          <w:szCs w:val="21"/>
        </w:rPr>
        <w:t>comisión.</w:t>
      </w:r>
    </w:p>
    <w:p w14:paraId="5B72DF5A" w14:textId="77777777" w:rsidR="00BC476A" w:rsidRDefault="00BC476A" w:rsidP="00BC476A">
      <w:pPr>
        <w:autoSpaceDE w:val="0"/>
        <w:autoSpaceDN w:val="0"/>
        <w:adjustRightInd w:val="0"/>
        <w:jc w:val="both"/>
        <w:rPr>
          <w:rFonts w:ascii="Abadi" w:hAnsi="Abadi" w:cs="*Calibri-Bold-12231-Identity-H"/>
          <w:b/>
          <w:bCs/>
          <w:color w:val="0D0D11"/>
          <w:sz w:val="21"/>
          <w:szCs w:val="21"/>
        </w:rPr>
      </w:pPr>
    </w:p>
    <w:p w14:paraId="60EF54F6" w14:textId="77777777" w:rsidR="00BC476A" w:rsidRDefault="00BC476A" w:rsidP="00BC476A">
      <w:pPr>
        <w:autoSpaceDE w:val="0"/>
        <w:autoSpaceDN w:val="0"/>
        <w:adjustRightInd w:val="0"/>
        <w:ind w:firstLine="360"/>
        <w:jc w:val="both"/>
        <w:rPr>
          <w:rFonts w:ascii="Abadi" w:hAnsi="Abadi" w:cs="*Calibri-Bold-12231-Identity-H"/>
          <w:b/>
          <w:bCs/>
          <w:color w:val="0D0D11"/>
          <w:sz w:val="21"/>
          <w:szCs w:val="21"/>
        </w:rPr>
      </w:pPr>
      <w:r w:rsidRPr="00AC347B">
        <w:rPr>
          <w:rFonts w:ascii="Abadi" w:hAnsi="Abadi" w:cs="*Calibri-Bold-12231-Identity-H"/>
          <w:b/>
          <w:bCs/>
          <w:color w:val="0D0D11"/>
          <w:sz w:val="21"/>
          <w:szCs w:val="21"/>
        </w:rPr>
        <w:t>2. Valoración de la propuesta.</w:t>
      </w:r>
    </w:p>
    <w:p w14:paraId="589B5654" w14:textId="77777777" w:rsidR="00BC476A" w:rsidRPr="00AC347B" w:rsidRDefault="00BC476A" w:rsidP="00BC476A">
      <w:pPr>
        <w:autoSpaceDE w:val="0"/>
        <w:autoSpaceDN w:val="0"/>
        <w:adjustRightInd w:val="0"/>
        <w:jc w:val="both"/>
        <w:rPr>
          <w:rFonts w:ascii="Abadi" w:hAnsi="Abadi" w:cs="*Calibri-Bold-12231-Identity-H"/>
          <w:b/>
          <w:bCs/>
          <w:color w:val="0D0D11"/>
          <w:sz w:val="21"/>
          <w:szCs w:val="21"/>
        </w:rPr>
      </w:pPr>
    </w:p>
    <w:p w14:paraId="5A4BC31C" w14:textId="77777777" w:rsidR="00BC476A" w:rsidRPr="00AC347B" w:rsidRDefault="00BC476A" w:rsidP="00BC476A">
      <w:pPr>
        <w:autoSpaceDE w:val="0"/>
        <w:autoSpaceDN w:val="0"/>
        <w:adjustRightInd w:val="0"/>
        <w:jc w:val="both"/>
        <w:rPr>
          <w:rFonts w:ascii="Abadi" w:hAnsi="Abadi" w:cs="*Calibri-12230-Identity-H"/>
          <w:color w:val="151417"/>
          <w:sz w:val="21"/>
          <w:szCs w:val="21"/>
        </w:rPr>
      </w:pPr>
      <w:r w:rsidRPr="00AC347B">
        <w:rPr>
          <w:rFonts w:ascii="Abadi" w:hAnsi="Abadi" w:cs="*Calibri-12230-Identity-H"/>
          <w:color w:val="151417"/>
          <w:sz w:val="21"/>
          <w:szCs w:val="21"/>
        </w:rPr>
        <w:t>De la exposición de motivos de la propuesta de punto de acuerdo</w:t>
      </w:r>
      <w:r>
        <w:rPr>
          <w:rFonts w:ascii="Abadi" w:hAnsi="Abadi" w:cs="*Calibri-12230-Identity-H"/>
          <w:color w:val="151417"/>
          <w:sz w:val="21"/>
          <w:szCs w:val="21"/>
        </w:rPr>
        <w:t xml:space="preserve"> </w:t>
      </w:r>
      <w:r w:rsidRPr="00AC347B">
        <w:rPr>
          <w:rFonts w:ascii="Abadi" w:hAnsi="Abadi" w:cs="*Calibri-12230-Identity-H"/>
          <w:color w:val="151417"/>
          <w:sz w:val="21"/>
          <w:szCs w:val="21"/>
        </w:rPr>
        <w:t>se resalta lo siguiente:</w:t>
      </w:r>
    </w:p>
    <w:p w14:paraId="2788E6E9" w14:textId="77777777" w:rsidR="00BC476A" w:rsidRDefault="00BC476A" w:rsidP="00BC476A">
      <w:pPr>
        <w:autoSpaceDE w:val="0"/>
        <w:autoSpaceDN w:val="0"/>
        <w:adjustRightInd w:val="0"/>
        <w:jc w:val="both"/>
        <w:rPr>
          <w:rFonts w:ascii="Abadi" w:hAnsi="Abadi" w:cs="*Arial-12234-Identity-H"/>
          <w:color w:val="101010"/>
          <w:sz w:val="21"/>
          <w:szCs w:val="21"/>
        </w:rPr>
      </w:pPr>
      <w:r w:rsidRPr="00AC347B">
        <w:rPr>
          <w:rFonts w:ascii="Abadi" w:hAnsi="Abadi" w:cs="*Arial-12234-Identity-H"/>
          <w:color w:val="101010"/>
          <w:sz w:val="21"/>
          <w:szCs w:val="21"/>
        </w:rPr>
        <w:t>[ ... l</w:t>
      </w:r>
    </w:p>
    <w:p w14:paraId="4A0F3509" w14:textId="77777777" w:rsidR="00BC476A" w:rsidRPr="00AC347B" w:rsidRDefault="00BC476A" w:rsidP="00BC476A">
      <w:pPr>
        <w:autoSpaceDE w:val="0"/>
        <w:autoSpaceDN w:val="0"/>
        <w:adjustRightInd w:val="0"/>
        <w:jc w:val="both"/>
        <w:rPr>
          <w:rFonts w:ascii="Abadi" w:hAnsi="Abadi" w:cs="*Arial-12234-Identity-H"/>
          <w:color w:val="101010"/>
          <w:sz w:val="21"/>
          <w:szCs w:val="21"/>
        </w:rPr>
      </w:pPr>
    </w:p>
    <w:p w14:paraId="4472838B" w14:textId="77777777" w:rsidR="00BC476A" w:rsidRPr="00B869B4" w:rsidRDefault="00BC476A" w:rsidP="00BC476A">
      <w:pPr>
        <w:autoSpaceDE w:val="0"/>
        <w:autoSpaceDN w:val="0"/>
        <w:adjustRightInd w:val="0"/>
        <w:ind w:left="426" w:right="333" w:firstLine="708"/>
        <w:jc w:val="both"/>
        <w:rPr>
          <w:rFonts w:ascii="Abadi" w:hAnsi="Abadi" w:cs="*Microsoft Sans Serif-Italic-12"/>
          <w:i/>
          <w:iCs/>
          <w:color w:val="222324"/>
          <w:sz w:val="21"/>
          <w:szCs w:val="21"/>
        </w:rPr>
      </w:pPr>
      <w:r w:rsidRPr="00B869B4">
        <w:rPr>
          <w:rFonts w:ascii="Abadi" w:hAnsi="Abadi" w:cs="*Microsoft Sans Serif-12236-Ide"/>
          <w:i/>
          <w:iCs/>
          <w:color w:val="222324"/>
          <w:sz w:val="21"/>
          <w:szCs w:val="21"/>
        </w:rPr>
        <w:t xml:space="preserve">"La </w:t>
      </w:r>
      <w:r w:rsidRPr="00B869B4">
        <w:rPr>
          <w:rFonts w:ascii="Abadi" w:hAnsi="Abadi" w:cs="*Microsoft Sans Serif-Italic-12"/>
          <w:i/>
          <w:iCs/>
          <w:color w:val="222324"/>
          <w:sz w:val="21"/>
          <w:szCs w:val="21"/>
        </w:rPr>
        <w:t>Reforma Energética del 2013 implementada para los</w:t>
      </w:r>
      <w:r w:rsidRPr="00B869B4">
        <w:rPr>
          <w:rFonts w:ascii="Abadi" w:hAnsi="Abadi" w:cs="*Microsoft Sans Serif-12236-Ide"/>
          <w:i/>
          <w:iCs/>
          <w:color w:val="222324"/>
          <w:sz w:val="21"/>
          <w:szCs w:val="21"/>
        </w:rPr>
        <w:t xml:space="preserve"> gobiernos pasados </w:t>
      </w:r>
      <w:r w:rsidRPr="00B869B4">
        <w:rPr>
          <w:rFonts w:ascii="Abadi" w:hAnsi="Abadi" w:cs="*Microsoft Sans Serif-Italic-12"/>
          <w:i/>
          <w:iCs/>
          <w:color w:val="222324"/>
          <w:sz w:val="21"/>
          <w:szCs w:val="21"/>
        </w:rPr>
        <w:t xml:space="preserve">provocó que la CFE fuera condenada a su desaparición. Sin embargo, el pasado 1 de octubre, el titular del poder ejecutivo Federal, el Licenciado Andrés Manuel López Obrador </w:t>
      </w:r>
      <w:r w:rsidRPr="00B869B4">
        <w:rPr>
          <w:rFonts w:ascii="Abadi" w:hAnsi="Abadi" w:cs="*Microsoft Sans Serif-12236-Ide"/>
          <w:i/>
          <w:iCs/>
          <w:color w:val="222324"/>
          <w:sz w:val="21"/>
          <w:szCs w:val="21"/>
        </w:rPr>
        <w:t xml:space="preserve">presentó a </w:t>
      </w:r>
      <w:r w:rsidRPr="00B869B4">
        <w:rPr>
          <w:rFonts w:ascii="Abadi" w:hAnsi="Abadi" w:cs="*Microsoft Sans Serif-Italic-12"/>
          <w:i/>
          <w:iCs/>
          <w:color w:val="222324"/>
          <w:sz w:val="21"/>
          <w:szCs w:val="21"/>
        </w:rPr>
        <w:t>la Cámara de Diputados d</w:t>
      </w:r>
      <w:r w:rsidRPr="00B869B4">
        <w:rPr>
          <w:rFonts w:ascii="Abadi" w:hAnsi="Abadi" w:cs="*Microsoft Sans Serif-Italic-12"/>
          <w:i/>
          <w:iCs/>
          <w:color w:val="39393B"/>
          <w:sz w:val="21"/>
          <w:szCs w:val="21"/>
        </w:rPr>
        <w:t>e</w:t>
      </w:r>
      <w:r w:rsidRPr="00B869B4">
        <w:rPr>
          <w:rFonts w:ascii="Abadi" w:hAnsi="Abadi" w:cs="*Microsoft Sans Serif-Italic-12"/>
          <w:i/>
          <w:iCs/>
          <w:color w:val="222324"/>
          <w:sz w:val="21"/>
          <w:szCs w:val="21"/>
        </w:rPr>
        <w:t>l</w:t>
      </w:r>
      <w:r w:rsidRPr="00B869B4">
        <w:rPr>
          <w:rFonts w:ascii="Abadi" w:hAnsi="Abadi" w:cs="*Microsoft Sans Serif-Italic-12"/>
          <w:i/>
          <w:iCs/>
          <w:color w:val="9D9D9D"/>
          <w:sz w:val="21"/>
          <w:szCs w:val="21"/>
        </w:rPr>
        <w:t>.</w:t>
      </w:r>
      <w:r w:rsidRPr="00B869B4">
        <w:rPr>
          <w:rFonts w:ascii="Abadi" w:hAnsi="Abadi" w:cs="*Microsoft Sans Serif-Italic-12"/>
          <w:i/>
          <w:iCs/>
          <w:color w:val="222324"/>
          <w:sz w:val="21"/>
          <w:szCs w:val="21"/>
        </w:rPr>
        <w:t xml:space="preserve"> Honorab</w:t>
      </w:r>
      <w:r w:rsidRPr="00B869B4">
        <w:rPr>
          <w:rFonts w:ascii="Abadi" w:hAnsi="Abadi" w:cs="*Microsoft Sans Serif-Italic-12"/>
          <w:i/>
          <w:iCs/>
          <w:color w:val="39393B"/>
          <w:sz w:val="21"/>
          <w:szCs w:val="21"/>
        </w:rPr>
        <w:t xml:space="preserve">le </w:t>
      </w:r>
      <w:r w:rsidRPr="00B869B4">
        <w:rPr>
          <w:rFonts w:ascii="Abadi" w:hAnsi="Abadi" w:cs="*Microsoft Sans Serif-Italic-12"/>
          <w:i/>
          <w:iCs/>
          <w:color w:val="222324"/>
          <w:sz w:val="21"/>
          <w:szCs w:val="21"/>
        </w:rPr>
        <w:t xml:space="preserve">Congreso de la Unión una nueva Iniciativa para devolver al Estado el control energético del </w:t>
      </w:r>
      <w:r w:rsidRPr="00B869B4">
        <w:rPr>
          <w:rFonts w:ascii="Abadi" w:hAnsi="Abadi" w:cs="*Microsoft Sans Serif-12236-Ide"/>
          <w:i/>
          <w:iCs/>
          <w:color w:val="222324"/>
          <w:sz w:val="21"/>
          <w:szCs w:val="21"/>
        </w:rPr>
        <w:t xml:space="preserve">país. Esto </w:t>
      </w:r>
      <w:r w:rsidRPr="00B869B4">
        <w:rPr>
          <w:rFonts w:ascii="Abadi" w:hAnsi="Abadi" w:cs="*Microsoft Sans Serif-Italic-12"/>
          <w:i/>
          <w:iCs/>
          <w:color w:val="222324"/>
          <w:sz w:val="21"/>
          <w:szCs w:val="21"/>
        </w:rPr>
        <w:t xml:space="preserve">iniciativa busca modificar los artículos 25, </w:t>
      </w:r>
      <w:r w:rsidRPr="00B869B4">
        <w:rPr>
          <w:rFonts w:ascii="Abadi" w:hAnsi="Abadi" w:cs="*Arial-12233-Identity-H"/>
          <w:i/>
          <w:iCs/>
          <w:color w:val="222324"/>
          <w:sz w:val="21"/>
          <w:szCs w:val="21"/>
        </w:rPr>
        <w:t xml:space="preserve">27 </w:t>
      </w:r>
      <w:r w:rsidRPr="00B869B4">
        <w:rPr>
          <w:rFonts w:ascii="Abadi" w:hAnsi="Abadi" w:cs="*Microsoft Sans Serif-Italic-12"/>
          <w:i/>
          <w:iCs/>
          <w:color w:val="222324"/>
          <w:sz w:val="21"/>
          <w:szCs w:val="21"/>
        </w:rPr>
        <w:t xml:space="preserve">y 28 de la Constitución Política de los Estados Unidos </w:t>
      </w:r>
      <w:r w:rsidRPr="00B869B4">
        <w:rPr>
          <w:rFonts w:ascii="Abadi" w:hAnsi="Abadi" w:cs="*Microsoft Sans Serif-12236-Ide"/>
          <w:i/>
          <w:iCs/>
          <w:color w:val="222324"/>
          <w:sz w:val="21"/>
          <w:szCs w:val="21"/>
        </w:rPr>
        <w:t xml:space="preserve">Mexicanos, </w:t>
      </w:r>
      <w:r w:rsidRPr="00B869B4">
        <w:rPr>
          <w:rFonts w:ascii="Abadi" w:hAnsi="Abadi" w:cs="*Microsoft Sans Serif-Italic-12"/>
          <w:i/>
          <w:iCs/>
          <w:color w:val="222324"/>
          <w:sz w:val="21"/>
          <w:szCs w:val="21"/>
        </w:rPr>
        <w:t xml:space="preserve">que podemos resumir en que "La CFE </w:t>
      </w:r>
      <w:r w:rsidRPr="00B869B4">
        <w:rPr>
          <w:rFonts w:ascii="Abadi" w:hAnsi="Abadi" w:cs="*Microsoft Sans Serif-12236-Ide"/>
          <w:i/>
          <w:iCs/>
          <w:color w:val="222324"/>
          <w:sz w:val="21"/>
          <w:szCs w:val="21"/>
        </w:rPr>
        <w:t xml:space="preserve">pasará </w:t>
      </w:r>
      <w:r w:rsidRPr="00B869B4">
        <w:rPr>
          <w:rFonts w:ascii="Abadi" w:hAnsi="Abadi" w:cs="*Microsoft Sans Serif-Italic-12"/>
          <w:i/>
          <w:iCs/>
          <w:color w:val="222324"/>
          <w:sz w:val="21"/>
          <w:szCs w:val="21"/>
        </w:rPr>
        <w:t xml:space="preserve">de </w:t>
      </w:r>
      <w:r w:rsidRPr="00B869B4">
        <w:rPr>
          <w:rFonts w:ascii="Abadi" w:hAnsi="Abadi" w:cs="*Microsoft Sans Serif-12236-Ide"/>
          <w:i/>
          <w:iCs/>
          <w:color w:val="222324"/>
          <w:sz w:val="21"/>
          <w:szCs w:val="21"/>
        </w:rPr>
        <w:t xml:space="preserve">ser </w:t>
      </w:r>
      <w:r w:rsidRPr="00B869B4">
        <w:rPr>
          <w:rFonts w:ascii="Abadi" w:hAnsi="Abadi" w:cs="*Microsoft Sans Serif-Italic-12"/>
          <w:i/>
          <w:iCs/>
          <w:color w:val="222324"/>
          <w:sz w:val="21"/>
          <w:szCs w:val="21"/>
        </w:rPr>
        <w:t>una</w:t>
      </w:r>
    </w:p>
    <w:p w14:paraId="782D4D33" w14:textId="77777777" w:rsidR="00BC476A" w:rsidRPr="00B869B4" w:rsidRDefault="00BC476A" w:rsidP="00BC476A">
      <w:pPr>
        <w:autoSpaceDE w:val="0"/>
        <w:autoSpaceDN w:val="0"/>
        <w:adjustRightInd w:val="0"/>
        <w:ind w:left="426" w:right="333"/>
        <w:jc w:val="both"/>
        <w:rPr>
          <w:rFonts w:ascii="Abadi" w:hAnsi="Abadi" w:cs="*Microsoft Sans Serif-12236-Ide"/>
          <w:i/>
          <w:iCs/>
          <w:color w:val="222324"/>
          <w:sz w:val="21"/>
          <w:szCs w:val="21"/>
        </w:rPr>
      </w:pPr>
      <w:r w:rsidRPr="00B869B4">
        <w:rPr>
          <w:rFonts w:ascii="Abadi" w:hAnsi="Abadi" w:cs="*Microsoft Sans Serif-Italic-12"/>
          <w:i/>
          <w:iCs/>
          <w:color w:val="222324"/>
          <w:sz w:val="21"/>
          <w:szCs w:val="21"/>
        </w:rPr>
        <w:t xml:space="preserve">empresa productiva del Estado a un organismo del Estado". Que quede claro, la iniciativa de reforma eléctrica será en beneficio del pueblo y </w:t>
      </w:r>
      <w:r w:rsidRPr="00B869B4">
        <w:rPr>
          <w:rFonts w:ascii="Abadi" w:hAnsi="Abadi" w:cs="*Microsoft Sans Serif-12236-Ide"/>
          <w:i/>
          <w:iCs/>
          <w:color w:val="222324"/>
          <w:sz w:val="21"/>
          <w:szCs w:val="21"/>
        </w:rPr>
        <w:t xml:space="preserve">no </w:t>
      </w:r>
      <w:r w:rsidRPr="00B869B4">
        <w:rPr>
          <w:rFonts w:ascii="Abadi" w:hAnsi="Abadi" w:cs="*Microsoft Sans Serif-Italic-12"/>
          <w:i/>
          <w:iCs/>
          <w:color w:val="222324"/>
          <w:sz w:val="21"/>
          <w:szCs w:val="21"/>
        </w:rPr>
        <w:t xml:space="preserve">para las empresas </w:t>
      </w:r>
      <w:r w:rsidRPr="00B869B4">
        <w:rPr>
          <w:rFonts w:ascii="Abadi" w:hAnsi="Abadi" w:cs="*Microsoft Sans Serif-12236-Ide"/>
          <w:i/>
          <w:iCs/>
          <w:color w:val="222324"/>
          <w:sz w:val="21"/>
          <w:szCs w:val="21"/>
        </w:rPr>
        <w:t>privados.</w:t>
      </w:r>
    </w:p>
    <w:p w14:paraId="7CF79855" w14:textId="77777777" w:rsidR="00BC476A" w:rsidRPr="00B869B4" w:rsidRDefault="00BC476A" w:rsidP="00BC476A">
      <w:pPr>
        <w:autoSpaceDE w:val="0"/>
        <w:autoSpaceDN w:val="0"/>
        <w:adjustRightInd w:val="0"/>
        <w:ind w:left="426" w:right="333"/>
        <w:jc w:val="both"/>
        <w:rPr>
          <w:rFonts w:ascii="Abadi" w:hAnsi="Abadi" w:cs="*Microsoft Sans Serif-12236-Ide"/>
          <w:i/>
          <w:iCs/>
          <w:color w:val="222324"/>
          <w:sz w:val="21"/>
          <w:szCs w:val="21"/>
        </w:rPr>
      </w:pPr>
    </w:p>
    <w:p w14:paraId="419BE9FE" w14:textId="77777777" w:rsidR="00BC476A" w:rsidRPr="00B869B4" w:rsidRDefault="00BC476A" w:rsidP="00BC476A">
      <w:pPr>
        <w:autoSpaceDE w:val="0"/>
        <w:autoSpaceDN w:val="0"/>
        <w:adjustRightInd w:val="0"/>
        <w:ind w:left="426" w:right="333" w:firstLine="708"/>
        <w:jc w:val="both"/>
        <w:rPr>
          <w:rFonts w:ascii="Abadi" w:hAnsi="Abadi" w:cs="*Microsoft Sans Serif-Italic-12"/>
          <w:i/>
          <w:iCs/>
          <w:color w:val="202021"/>
          <w:sz w:val="21"/>
          <w:szCs w:val="21"/>
        </w:rPr>
      </w:pPr>
      <w:r w:rsidRPr="00B869B4">
        <w:rPr>
          <w:rFonts w:ascii="Abadi" w:hAnsi="Abadi" w:cs="*Microsoft Sans Serif-Italic-12"/>
          <w:i/>
          <w:iCs/>
          <w:color w:val="202021"/>
          <w:sz w:val="21"/>
          <w:szCs w:val="21"/>
        </w:rPr>
        <w:t xml:space="preserve">Paro que </w:t>
      </w:r>
      <w:r w:rsidRPr="00B869B4">
        <w:rPr>
          <w:rFonts w:ascii="Abadi" w:hAnsi="Abadi" w:cs="*Microsoft Sans Serif-12236-Ide"/>
          <w:i/>
          <w:iCs/>
          <w:color w:val="202021"/>
          <w:sz w:val="21"/>
          <w:szCs w:val="21"/>
        </w:rPr>
        <w:t xml:space="preserve">se </w:t>
      </w:r>
      <w:r w:rsidRPr="00B869B4">
        <w:rPr>
          <w:rFonts w:ascii="Abadi" w:hAnsi="Abadi" w:cs="*Microsoft Sans Serif-Italic-12"/>
          <w:i/>
          <w:iCs/>
          <w:color w:val="202021"/>
          <w:sz w:val="21"/>
          <w:szCs w:val="21"/>
        </w:rPr>
        <w:t xml:space="preserve">den una idea del retroceso que implicó la reforma del 2013, </w:t>
      </w:r>
      <w:r w:rsidRPr="00B869B4">
        <w:rPr>
          <w:rFonts w:ascii="Abadi" w:hAnsi="Abadi" w:cs="*Microsoft Sans Serif-12236-Ide"/>
          <w:i/>
          <w:iCs/>
          <w:color w:val="202021"/>
          <w:sz w:val="21"/>
          <w:szCs w:val="21"/>
        </w:rPr>
        <w:t xml:space="preserve">se </w:t>
      </w:r>
      <w:r w:rsidRPr="00B869B4">
        <w:rPr>
          <w:rFonts w:ascii="Abadi" w:hAnsi="Abadi" w:cs="*Microsoft Sans Serif-Italic-12"/>
          <w:i/>
          <w:iCs/>
          <w:color w:val="202021"/>
          <w:sz w:val="21"/>
          <w:szCs w:val="21"/>
        </w:rPr>
        <w:t xml:space="preserve">decidió separar la CFE en 9 subsidiarias, 4 filiales y 4 unidades de </w:t>
      </w:r>
      <w:r w:rsidRPr="00B869B4">
        <w:rPr>
          <w:rFonts w:ascii="Abadi" w:hAnsi="Abadi" w:cs="*Microsoft Sans Serif-12236-Ide"/>
          <w:i/>
          <w:iCs/>
          <w:color w:val="202021"/>
          <w:sz w:val="21"/>
          <w:szCs w:val="21"/>
        </w:rPr>
        <w:t xml:space="preserve">negocio. </w:t>
      </w:r>
      <w:r w:rsidRPr="00B869B4">
        <w:rPr>
          <w:rFonts w:ascii="Abadi" w:hAnsi="Abadi" w:cs="*Microsoft Sans Serif-Italic-12"/>
          <w:i/>
          <w:iCs/>
          <w:color w:val="202021"/>
          <w:sz w:val="21"/>
          <w:szCs w:val="21"/>
        </w:rPr>
        <w:t xml:space="preserve">A la CFE se le impuso un </w:t>
      </w:r>
      <w:r w:rsidRPr="00B869B4">
        <w:rPr>
          <w:rFonts w:ascii="Abadi" w:hAnsi="Abadi" w:cs="*Microsoft Sans Serif-12236-Ide"/>
          <w:i/>
          <w:iCs/>
          <w:color w:val="202021"/>
          <w:sz w:val="21"/>
          <w:szCs w:val="21"/>
        </w:rPr>
        <w:t xml:space="preserve">esquema </w:t>
      </w:r>
      <w:r w:rsidRPr="00B869B4">
        <w:rPr>
          <w:rFonts w:ascii="Abadi" w:hAnsi="Abadi" w:cs="*Microsoft Sans Serif-Italic-12"/>
          <w:i/>
          <w:iCs/>
          <w:color w:val="202021"/>
          <w:sz w:val="21"/>
          <w:szCs w:val="21"/>
        </w:rPr>
        <w:t xml:space="preserve">llamado contrato legado que son acuerdos </w:t>
      </w:r>
      <w:r w:rsidRPr="00B869B4">
        <w:rPr>
          <w:rFonts w:ascii="Abadi" w:hAnsi="Abadi" w:cs="*Microsoft Sans Serif-12236-Ide"/>
          <w:i/>
          <w:iCs/>
          <w:color w:val="202021"/>
          <w:sz w:val="21"/>
          <w:szCs w:val="21"/>
        </w:rPr>
        <w:t xml:space="preserve">impuestos </w:t>
      </w:r>
      <w:r w:rsidRPr="00B869B4">
        <w:rPr>
          <w:rFonts w:ascii="Abadi" w:hAnsi="Abadi" w:cs="*Microsoft Sans Serif-Italic-12"/>
          <w:i/>
          <w:iCs/>
          <w:color w:val="202021"/>
          <w:sz w:val="21"/>
          <w:szCs w:val="21"/>
        </w:rPr>
        <w:t xml:space="preserve">entre dos de sus subsidiarias para que </w:t>
      </w:r>
      <w:r w:rsidRPr="00B869B4">
        <w:rPr>
          <w:rFonts w:ascii="Abadi" w:hAnsi="Abadi" w:cs="*Microsoft Sans Serif-12236-Ide"/>
          <w:i/>
          <w:iCs/>
          <w:color w:val="202021"/>
          <w:sz w:val="21"/>
          <w:szCs w:val="21"/>
        </w:rPr>
        <w:t xml:space="preserve">se </w:t>
      </w:r>
      <w:r w:rsidRPr="00B869B4">
        <w:rPr>
          <w:rFonts w:ascii="Abadi" w:hAnsi="Abadi" w:cs="*Microsoft Sans Serif-Italic-12"/>
          <w:i/>
          <w:iCs/>
          <w:color w:val="202021"/>
          <w:sz w:val="21"/>
          <w:szCs w:val="21"/>
        </w:rPr>
        <w:t xml:space="preserve">compren electricidad entre ellas y </w:t>
      </w:r>
      <w:r w:rsidRPr="00B869B4">
        <w:rPr>
          <w:rFonts w:ascii="Abadi" w:hAnsi="Abadi" w:cs="*Microsoft Sans Serif-12236-Ide"/>
          <w:i/>
          <w:iCs/>
          <w:color w:val="202021"/>
          <w:sz w:val="21"/>
          <w:szCs w:val="21"/>
        </w:rPr>
        <w:t xml:space="preserve">a precios </w:t>
      </w:r>
      <w:r w:rsidRPr="00B869B4">
        <w:rPr>
          <w:rFonts w:ascii="Abadi" w:hAnsi="Abadi" w:cs="*Microsoft Sans Serif-Italic-12"/>
          <w:i/>
          <w:iCs/>
          <w:color w:val="202021"/>
          <w:sz w:val="21"/>
          <w:szCs w:val="21"/>
        </w:rPr>
        <w:t xml:space="preserve">altos que impactan en las finanzas </w:t>
      </w:r>
      <w:r w:rsidRPr="00B869B4">
        <w:rPr>
          <w:rFonts w:ascii="Abadi" w:hAnsi="Abadi" w:cs="*Microsoft Sans Serif-12236-Ide"/>
          <w:i/>
          <w:iCs/>
          <w:color w:val="202021"/>
          <w:sz w:val="21"/>
          <w:szCs w:val="21"/>
        </w:rPr>
        <w:t xml:space="preserve">de </w:t>
      </w:r>
      <w:r w:rsidRPr="00B869B4">
        <w:rPr>
          <w:rFonts w:ascii="Abadi" w:hAnsi="Abadi" w:cs="*Microsoft Sans Serif-Italic-12"/>
          <w:i/>
          <w:iCs/>
          <w:color w:val="202021"/>
          <w:sz w:val="21"/>
          <w:szCs w:val="21"/>
        </w:rPr>
        <w:t>la empresa del Estado.</w:t>
      </w:r>
    </w:p>
    <w:p w14:paraId="156C8B85" w14:textId="77777777" w:rsidR="00BC476A" w:rsidRPr="00B869B4" w:rsidRDefault="00BC476A" w:rsidP="00BC476A">
      <w:pPr>
        <w:autoSpaceDE w:val="0"/>
        <w:autoSpaceDN w:val="0"/>
        <w:adjustRightInd w:val="0"/>
        <w:ind w:left="426" w:right="333"/>
        <w:jc w:val="both"/>
        <w:rPr>
          <w:rFonts w:ascii="Abadi" w:hAnsi="Abadi" w:cs="*Microsoft Sans Serif-Italic-12"/>
          <w:i/>
          <w:iCs/>
          <w:color w:val="202021"/>
          <w:sz w:val="21"/>
          <w:szCs w:val="21"/>
        </w:rPr>
      </w:pPr>
    </w:p>
    <w:p w14:paraId="0031236B" w14:textId="77777777" w:rsidR="00BC476A" w:rsidRPr="00B869B4" w:rsidRDefault="00BC476A" w:rsidP="00BC476A">
      <w:pPr>
        <w:autoSpaceDE w:val="0"/>
        <w:autoSpaceDN w:val="0"/>
        <w:adjustRightInd w:val="0"/>
        <w:ind w:left="426" w:right="333"/>
        <w:jc w:val="both"/>
        <w:rPr>
          <w:rFonts w:ascii="Abadi" w:hAnsi="Abadi" w:cs="*Microsoft Sans Serif-Italic-12"/>
          <w:i/>
          <w:iCs/>
          <w:color w:val="202021"/>
          <w:sz w:val="21"/>
          <w:szCs w:val="21"/>
        </w:rPr>
      </w:pPr>
      <w:r w:rsidRPr="00B869B4">
        <w:rPr>
          <w:rFonts w:ascii="Abadi" w:hAnsi="Abadi" w:cs="*Microsoft Sans Serif-Italic-12"/>
          <w:i/>
          <w:iCs/>
          <w:color w:val="202021"/>
          <w:sz w:val="21"/>
          <w:szCs w:val="21"/>
        </w:rPr>
        <w:t xml:space="preserve">Por </w:t>
      </w:r>
      <w:r w:rsidRPr="00B869B4">
        <w:rPr>
          <w:rFonts w:ascii="Abadi" w:hAnsi="Abadi" w:cs="*Microsoft Sans Serif-12236-Ide"/>
          <w:i/>
          <w:iCs/>
          <w:color w:val="202021"/>
          <w:sz w:val="21"/>
          <w:szCs w:val="21"/>
        </w:rPr>
        <w:t xml:space="preserve">eso, </w:t>
      </w:r>
      <w:r w:rsidRPr="00B869B4">
        <w:rPr>
          <w:rFonts w:ascii="Abadi" w:hAnsi="Abadi" w:cs="*Microsoft Sans Serif-Italic-12"/>
          <w:i/>
          <w:iCs/>
          <w:color w:val="202021"/>
          <w:sz w:val="21"/>
          <w:szCs w:val="21"/>
        </w:rPr>
        <w:t xml:space="preserve">con la iniciativa del presidente, </w:t>
      </w:r>
      <w:r w:rsidRPr="00B869B4">
        <w:rPr>
          <w:rFonts w:ascii="Abadi" w:hAnsi="Abadi" w:cs="*Microsoft Sans Serif-12236-Ide"/>
          <w:i/>
          <w:iCs/>
          <w:color w:val="202021"/>
          <w:sz w:val="21"/>
          <w:szCs w:val="21"/>
        </w:rPr>
        <w:t xml:space="preserve">se </w:t>
      </w:r>
      <w:r w:rsidRPr="00B869B4">
        <w:rPr>
          <w:rFonts w:ascii="Abadi" w:hAnsi="Abadi" w:cs="*Microsoft Sans Serif-Italic-12"/>
          <w:i/>
          <w:iCs/>
          <w:color w:val="202021"/>
          <w:sz w:val="21"/>
          <w:szCs w:val="21"/>
        </w:rPr>
        <w:t xml:space="preserve">pretende que la CFE trabaje </w:t>
      </w:r>
      <w:r w:rsidRPr="00B869B4">
        <w:rPr>
          <w:rFonts w:ascii="Abadi" w:hAnsi="Abadi" w:cs="*Microsoft Sans Serif-12236-Ide"/>
          <w:i/>
          <w:iCs/>
          <w:color w:val="202021"/>
          <w:sz w:val="21"/>
          <w:szCs w:val="21"/>
        </w:rPr>
        <w:t xml:space="preserve">como </w:t>
      </w:r>
      <w:r w:rsidRPr="00B869B4">
        <w:rPr>
          <w:rFonts w:ascii="Abadi" w:hAnsi="Abadi" w:cs="*Microsoft Sans Serif-Italic-12"/>
          <w:i/>
          <w:iCs/>
          <w:color w:val="202021"/>
          <w:sz w:val="21"/>
          <w:szCs w:val="21"/>
        </w:rPr>
        <w:t xml:space="preserve">una EMPRESA INTEGRADA: Se suprimirá la separación legal de sus empresas subsidiarios y filiales. Esto sin lugar a duda ayudará aumentar su productividad y rentabilidad. </w:t>
      </w:r>
    </w:p>
    <w:p w14:paraId="782878E3" w14:textId="77777777" w:rsidR="00BC476A" w:rsidRPr="00B869B4" w:rsidRDefault="00BC476A" w:rsidP="00BC476A">
      <w:pPr>
        <w:autoSpaceDE w:val="0"/>
        <w:autoSpaceDN w:val="0"/>
        <w:adjustRightInd w:val="0"/>
        <w:ind w:left="426" w:right="333"/>
        <w:jc w:val="both"/>
        <w:rPr>
          <w:rFonts w:ascii="Abadi" w:hAnsi="Abadi" w:cs="*Microsoft Sans Serif-Italic-12"/>
          <w:i/>
          <w:iCs/>
          <w:color w:val="202021"/>
          <w:sz w:val="21"/>
          <w:szCs w:val="21"/>
        </w:rPr>
      </w:pPr>
    </w:p>
    <w:p w14:paraId="43B2A56F" w14:textId="77777777" w:rsidR="00BC476A" w:rsidRPr="00B869B4" w:rsidRDefault="00BC476A" w:rsidP="00BC476A">
      <w:pPr>
        <w:autoSpaceDE w:val="0"/>
        <w:autoSpaceDN w:val="0"/>
        <w:adjustRightInd w:val="0"/>
        <w:ind w:left="426" w:right="333"/>
        <w:jc w:val="both"/>
        <w:rPr>
          <w:rFonts w:ascii="Abadi" w:hAnsi="Abadi" w:cs="*Tahoma-Italic-13421-Identity-H"/>
          <w:i/>
          <w:iCs/>
          <w:color w:val="202021"/>
          <w:sz w:val="21"/>
          <w:szCs w:val="21"/>
        </w:rPr>
      </w:pPr>
      <w:r w:rsidRPr="00B869B4">
        <w:rPr>
          <w:rFonts w:ascii="Abadi" w:hAnsi="Abadi" w:cs="*Microsoft Sans Serif-Italic-12"/>
          <w:i/>
          <w:iCs/>
          <w:color w:val="202021"/>
          <w:sz w:val="21"/>
          <w:szCs w:val="21"/>
        </w:rPr>
        <w:t xml:space="preserve">El CENACE se reincorpora </w:t>
      </w:r>
      <w:r w:rsidRPr="00B869B4">
        <w:rPr>
          <w:rFonts w:ascii="Abadi" w:hAnsi="Abadi" w:cs="*Times New Roman-12228-Identity"/>
          <w:i/>
          <w:iCs/>
          <w:color w:val="202021"/>
          <w:sz w:val="21"/>
          <w:szCs w:val="21"/>
        </w:rPr>
        <w:t xml:space="preserve">a </w:t>
      </w:r>
      <w:r w:rsidRPr="00B869B4">
        <w:rPr>
          <w:rFonts w:ascii="Abadi" w:hAnsi="Abadi" w:cs="*Microsoft Sans Serif-Italic-12"/>
          <w:i/>
          <w:iCs/>
          <w:color w:val="202021"/>
          <w:sz w:val="21"/>
          <w:szCs w:val="21"/>
        </w:rPr>
        <w:t xml:space="preserve">la CFE con lo que la empresa controlará el despacho de electricidad </w:t>
      </w:r>
      <w:r w:rsidRPr="00B869B4">
        <w:rPr>
          <w:rFonts w:ascii="Abadi" w:hAnsi="Abadi" w:cs="*Microsoft Sans Serif-12236-Ide"/>
          <w:i/>
          <w:iCs/>
          <w:color w:val="202021"/>
          <w:sz w:val="21"/>
          <w:szCs w:val="21"/>
        </w:rPr>
        <w:t xml:space="preserve">codo </w:t>
      </w:r>
      <w:r w:rsidRPr="00B869B4">
        <w:rPr>
          <w:rFonts w:ascii="Abadi" w:hAnsi="Abadi" w:cs="*Microsoft Sans Serif-Italic-12"/>
          <w:i/>
          <w:iCs/>
          <w:color w:val="202021"/>
          <w:sz w:val="21"/>
          <w:szCs w:val="21"/>
        </w:rPr>
        <w:t xml:space="preserve">día. Con ello la CFE podrá' vender su electricidad producida y obtener mayores ingresos: asimismo, seguirá garantizando llevar </w:t>
      </w:r>
      <w:r w:rsidRPr="00B869B4">
        <w:rPr>
          <w:rFonts w:ascii="Abadi" w:hAnsi="Abadi" w:cs="*Times New Roman-12227-Identity"/>
          <w:i/>
          <w:iCs/>
          <w:color w:val="202021"/>
          <w:sz w:val="21"/>
          <w:szCs w:val="21"/>
        </w:rPr>
        <w:t xml:space="preserve">o </w:t>
      </w:r>
      <w:r w:rsidRPr="00B869B4">
        <w:rPr>
          <w:rFonts w:ascii="Abadi" w:hAnsi="Abadi" w:cs="*Microsoft Sans Serif-Italic-12"/>
          <w:i/>
          <w:iCs/>
          <w:color w:val="202021"/>
          <w:sz w:val="21"/>
          <w:szCs w:val="21"/>
        </w:rPr>
        <w:t xml:space="preserve">los 46.2 millones </w:t>
      </w:r>
      <w:r w:rsidRPr="00B869B4">
        <w:rPr>
          <w:rFonts w:ascii="Abadi" w:hAnsi="Abadi" w:cs="*Tahoma-Italic-13421-Identity-H"/>
          <w:i/>
          <w:iCs/>
          <w:color w:val="202021"/>
          <w:sz w:val="21"/>
          <w:szCs w:val="21"/>
        </w:rPr>
        <w:t xml:space="preserve">y </w:t>
      </w:r>
      <w:r w:rsidRPr="00B869B4">
        <w:rPr>
          <w:rFonts w:ascii="Abadi" w:hAnsi="Abadi" w:cs="*Verdana-13418-Identity-H"/>
          <w:i/>
          <w:iCs/>
          <w:color w:val="202021"/>
          <w:sz w:val="21"/>
          <w:szCs w:val="21"/>
        </w:rPr>
        <w:t xml:space="preserve">lo </w:t>
      </w:r>
      <w:r w:rsidRPr="00B869B4">
        <w:rPr>
          <w:rFonts w:ascii="Abadi" w:hAnsi="Abadi" w:cs="*Tahoma-Italic-13421-Identity-H"/>
          <w:i/>
          <w:iCs/>
          <w:color w:val="202021"/>
          <w:sz w:val="21"/>
          <w:szCs w:val="21"/>
        </w:rPr>
        <w:t xml:space="preserve">CNH </w:t>
      </w:r>
      <w:r w:rsidRPr="00B869B4">
        <w:rPr>
          <w:rFonts w:ascii="Abadi" w:hAnsi="Abadi" w:cs="*Verdana-13418-Identity-H"/>
          <w:i/>
          <w:iCs/>
          <w:color w:val="202021"/>
          <w:sz w:val="21"/>
          <w:szCs w:val="21"/>
        </w:rPr>
        <w:t xml:space="preserve">posan o </w:t>
      </w:r>
      <w:r w:rsidRPr="00B869B4">
        <w:rPr>
          <w:rFonts w:ascii="Abadi" w:hAnsi="Abadi" w:cs="*Tahoma-Italic-13421-Identity-H"/>
          <w:i/>
          <w:iCs/>
          <w:color w:val="202021"/>
          <w:sz w:val="21"/>
          <w:szCs w:val="21"/>
        </w:rPr>
        <w:t xml:space="preserve">ser </w:t>
      </w:r>
      <w:r w:rsidRPr="00B869B4">
        <w:rPr>
          <w:rFonts w:ascii="Abadi" w:hAnsi="Abadi" w:cs="*Verdana-13418-Identity-H"/>
          <w:i/>
          <w:iCs/>
          <w:color w:val="202021"/>
          <w:sz w:val="21"/>
          <w:szCs w:val="21"/>
        </w:rPr>
        <w:t xml:space="preserve">porte </w:t>
      </w:r>
      <w:r w:rsidRPr="00B869B4">
        <w:rPr>
          <w:rFonts w:ascii="Abadi" w:hAnsi="Abadi" w:cs="*Tahoma-Italic-13421-Identity-H"/>
          <w:i/>
          <w:iCs/>
          <w:color w:val="202021"/>
          <w:sz w:val="21"/>
          <w:szCs w:val="21"/>
        </w:rPr>
        <w:t xml:space="preserve">de la SENER para garantizar </w:t>
      </w:r>
      <w:r w:rsidRPr="00B869B4">
        <w:rPr>
          <w:rFonts w:ascii="Abadi" w:hAnsi="Abadi" w:cs="*Verdana-13418-Identity-H"/>
          <w:i/>
          <w:iCs/>
          <w:color w:val="202021"/>
          <w:sz w:val="21"/>
          <w:szCs w:val="21"/>
        </w:rPr>
        <w:t xml:space="preserve">uno </w:t>
      </w:r>
      <w:r w:rsidRPr="00B869B4">
        <w:rPr>
          <w:rFonts w:ascii="Abadi" w:hAnsi="Abadi" w:cs="*Tahoma-Italic-13421-Identity-H"/>
          <w:i/>
          <w:iCs/>
          <w:color w:val="202021"/>
          <w:sz w:val="21"/>
          <w:szCs w:val="21"/>
        </w:rPr>
        <w:t>planeación adecuado en el balance energético y eliminar un exceso de burocracia.</w:t>
      </w:r>
    </w:p>
    <w:p w14:paraId="37817D0D" w14:textId="77777777" w:rsidR="00BC476A" w:rsidRPr="00B869B4" w:rsidRDefault="00BC476A" w:rsidP="00BC476A">
      <w:pPr>
        <w:autoSpaceDE w:val="0"/>
        <w:autoSpaceDN w:val="0"/>
        <w:adjustRightInd w:val="0"/>
        <w:ind w:left="426" w:right="333"/>
        <w:jc w:val="both"/>
        <w:rPr>
          <w:rFonts w:ascii="Abadi" w:hAnsi="Abadi" w:cs="*Tahoma-Italic-13421-Identity-H"/>
          <w:i/>
          <w:iCs/>
          <w:color w:val="202021"/>
          <w:sz w:val="21"/>
          <w:szCs w:val="21"/>
        </w:rPr>
      </w:pPr>
    </w:p>
    <w:p w14:paraId="7DA71A82" w14:textId="77777777" w:rsidR="00BC476A" w:rsidRPr="00B869B4" w:rsidRDefault="00BC476A" w:rsidP="00BC476A">
      <w:pPr>
        <w:autoSpaceDE w:val="0"/>
        <w:autoSpaceDN w:val="0"/>
        <w:adjustRightInd w:val="0"/>
        <w:ind w:left="426" w:right="333"/>
        <w:jc w:val="both"/>
        <w:rPr>
          <w:rFonts w:ascii="Abadi" w:hAnsi="Abadi" w:cs="*Tahoma-Italic-13421-Identity-H"/>
          <w:i/>
          <w:iCs/>
          <w:color w:val="1F1F20"/>
          <w:sz w:val="21"/>
          <w:szCs w:val="21"/>
        </w:rPr>
      </w:pPr>
      <w:r w:rsidRPr="00B869B4">
        <w:rPr>
          <w:rFonts w:ascii="Abadi" w:hAnsi="Abadi" w:cs="*Tahoma-Italic-13421-Identity-H"/>
          <w:i/>
          <w:iCs/>
          <w:color w:val="1F1F20"/>
          <w:sz w:val="21"/>
          <w:szCs w:val="21"/>
        </w:rPr>
        <w:t xml:space="preserve">Actualmente </w:t>
      </w:r>
      <w:r w:rsidRPr="00B869B4">
        <w:rPr>
          <w:rFonts w:ascii="Abadi" w:hAnsi="Abadi" w:cs="*Verdana-13418-Identity-H"/>
          <w:i/>
          <w:iCs/>
          <w:color w:val="1F1F20"/>
          <w:sz w:val="21"/>
          <w:szCs w:val="21"/>
        </w:rPr>
        <w:t xml:space="preserve">la </w:t>
      </w:r>
      <w:r w:rsidRPr="00B869B4">
        <w:rPr>
          <w:rFonts w:ascii="Abadi" w:hAnsi="Abadi" w:cs="*Tahoma-Italic-13421-Identity-H"/>
          <w:i/>
          <w:iCs/>
          <w:color w:val="1F1F20"/>
          <w:sz w:val="21"/>
          <w:szCs w:val="21"/>
        </w:rPr>
        <w:t xml:space="preserve">CFE tiene 191 Centrales de Generación, pero solo operan al 55% de su </w:t>
      </w:r>
      <w:r w:rsidRPr="00B869B4">
        <w:rPr>
          <w:rFonts w:ascii="Abadi" w:hAnsi="Abadi" w:cs="*Verdana-13418-Identity-H"/>
          <w:i/>
          <w:iCs/>
          <w:color w:val="1F1F20"/>
          <w:sz w:val="21"/>
          <w:szCs w:val="21"/>
        </w:rPr>
        <w:t xml:space="preserve">capacidad. </w:t>
      </w:r>
      <w:r w:rsidRPr="00B869B4">
        <w:rPr>
          <w:rFonts w:ascii="Abadi" w:hAnsi="Abadi" w:cs="*Tahoma-Italic-13421-Identity-H"/>
          <w:i/>
          <w:iCs/>
          <w:color w:val="1F1F20"/>
          <w:sz w:val="21"/>
          <w:szCs w:val="21"/>
        </w:rPr>
        <w:t xml:space="preserve">Por esta su producción </w:t>
      </w:r>
      <w:r w:rsidRPr="00B869B4">
        <w:rPr>
          <w:rFonts w:ascii="Abadi" w:hAnsi="Abadi" w:cs="*Verdana-13418-Identity-H"/>
          <w:i/>
          <w:iCs/>
          <w:color w:val="1F1F20"/>
          <w:sz w:val="21"/>
          <w:szCs w:val="21"/>
        </w:rPr>
        <w:t xml:space="preserve">en </w:t>
      </w:r>
      <w:r w:rsidRPr="00B869B4">
        <w:rPr>
          <w:rFonts w:ascii="Abadi" w:hAnsi="Abadi" w:cs="*Tahoma-Italic-13421-Identity-H"/>
          <w:i/>
          <w:iCs/>
          <w:color w:val="1F1F20"/>
          <w:sz w:val="21"/>
          <w:szCs w:val="21"/>
        </w:rPr>
        <w:t xml:space="preserve">2020 la CFE tuvo que comprar al sector privado 223 mil millones de pesos, en lo que </w:t>
      </w:r>
      <w:r w:rsidRPr="00B869B4">
        <w:rPr>
          <w:rFonts w:ascii="Abadi" w:hAnsi="Abadi" w:cs="*Verdana-13418-Identity-H"/>
          <w:i/>
          <w:iCs/>
          <w:color w:val="1F1F20"/>
          <w:sz w:val="21"/>
          <w:szCs w:val="21"/>
        </w:rPr>
        <w:t xml:space="preserve">va </w:t>
      </w:r>
      <w:r w:rsidRPr="00B869B4">
        <w:rPr>
          <w:rFonts w:ascii="Abadi" w:hAnsi="Abadi" w:cs="*Tahoma-Italic-13421-Identity-H"/>
          <w:i/>
          <w:iCs/>
          <w:color w:val="1F1F20"/>
          <w:sz w:val="21"/>
          <w:szCs w:val="21"/>
        </w:rPr>
        <w:t xml:space="preserve">de la reforma eléctrica la CFE ha perdido 423 mil millones de pesos </w:t>
      </w:r>
      <w:r w:rsidRPr="00B869B4">
        <w:rPr>
          <w:rFonts w:ascii="Abadi" w:hAnsi="Abadi" w:cs="*Verdana-13418-Identity-H"/>
          <w:i/>
          <w:iCs/>
          <w:color w:val="1F1F20"/>
          <w:sz w:val="21"/>
          <w:szCs w:val="21"/>
        </w:rPr>
        <w:t xml:space="preserve">por </w:t>
      </w:r>
      <w:r w:rsidRPr="00B869B4">
        <w:rPr>
          <w:rFonts w:ascii="Abadi" w:hAnsi="Abadi" w:cs="*Tahoma-Italic-13421-Identity-H"/>
          <w:i/>
          <w:iCs/>
          <w:color w:val="1F1F20"/>
          <w:sz w:val="21"/>
          <w:szCs w:val="21"/>
        </w:rPr>
        <w:t xml:space="preserve">el esquema que le obligaron a operar, esto </w:t>
      </w:r>
      <w:r w:rsidRPr="00B869B4">
        <w:rPr>
          <w:rFonts w:ascii="Abadi" w:hAnsi="Abadi" w:cs="*Verdana-13418-Identity-H"/>
          <w:i/>
          <w:iCs/>
          <w:color w:val="1F1F20"/>
          <w:sz w:val="21"/>
          <w:szCs w:val="21"/>
        </w:rPr>
        <w:t xml:space="preserve">sin </w:t>
      </w:r>
      <w:r w:rsidRPr="00B869B4">
        <w:rPr>
          <w:rFonts w:ascii="Abadi" w:hAnsi="Abadi" w:cs="*Tahoma-Italic-13421-Identity-H"/>
          <w:i/>
          <w:iCs/>
          <w:color w:val="1F1F20"/>
          <w:sz w:val="21"/>
          <w:szCs w:val="21"/>
        </w:rPr>
        <w:t xml:space="preserve">contar la pérdida por tener el 45% de sus plantas subutilizadas. Desde el 2014 hasta el 2018 se realizaron tres subastas a </w:t>
      </w:r>
      <w:r w:rsidRPr="00B869B4">
        <w:rPr>
          <w:rFonts w:ascii="Abadi" w:hAnsi="Abadi" w:cs="*Verdana-13418-Identity-H"/>
          <w:i/>
          <w:iCs/>
          <w:color w:val="1F1F20"/>
          <w:sz w:val="21"/>
          <w:szCs w:val="21"/>
        </w:rPr>
        <w:t xml:space="preserve">largo </w:t>
      </w:r>
      <w:r w:rsidRPr="00B869B4">
        <w:rPr>
          <w:rFonts w:ascii="Abadi" w:hAnsi="Abadi" w:cs="*Tahoma-Italic-13421-Identity-H"/>
          <w:i/>
          <w:iCs/>
          <w:color w:val="1F1F20"/>
          <w:sz w:val="21"/>
          <w:szCs w:val="21"/>
        </w:rPr>
        <w:t xml:space="preserve">plazo de </w:t>
      </w:r>
      <w:r w:rsidRPr="00B869B4">
        <w:rPr>
          <w:rFonts w:ascii="Abadi" w:hAnsi="Abadi" w:cs="*Verdana-13418-Identity-H"/>
          <w:i/>
          <w:iCs/>
          <w:color w:val="1F1F20"/>
          <w:sz w:val="21"/>
          <w:szCs w:val="21"/>
        </w:rPr>
        <w:t xml:space="preserve">generación </w:t>
      </w:r>
      <w:r w:rsidRPr="00B869B4">
        <w:rPr>
          <w:rFonts w:ascii="Abadi" w:hAnsi="Abadi" w:cs="*Tahoma-Italic-13421-Identity-H"/>
          <w:i/>
          <w:iCs/>
          <w:color w:val="1F1F20"/>
          <w:sz w:val="21"/>
          <w:szCs w:val="21"/>
        </w:rPr>
        <w:t xml:space="preserve">eólica y solar; de estas subastas la CFE está obligada a comprar durante 20 </w:t>
      </w:r>
      <w:r w:rsidRPr="00B869B4">
        <w:rPr>
          <w:rFonts w:ascii="Abadi" w:hAnsi="Abadi" w:cs="*Verdana-13418-Identity-H"/>
          <w:i/>
          <w:iCs/>
          <w:color w:val="1F1F20"/>
          <w:sz w:val="21"/>
          <w:szCs w:val="21"/>
        </w:rPr>
        <w:t xml:space="preserve">años </w:t>
      </w:r>
      <w:r w:rsidRPr="00B869B4">
        <w:rPr>
          <w:rFonts w:ascii="Abadi" w:hAnsi="Abadi" w:cs="*Tahoma-Italic-13421-Identity-H"/>
          <w:i/>
          <w:iCs/>
          <w:color w:val="1F1F20"/>
          <w:sz w:val="21"/>
          <w:szCs w:val="21"/>
        </w:rPr>
        <w:t>a un precio</w:t>
      </w:r>
    </w:p>
    <w:p w14:paraId="0EB0F5AD" w14:textId="77777777" w:rsidR="00BC476A" w:rsidRPr="00B869B4" w:rsidRDefault="00BC476A" w:rsidP="00BC476A">
      <w:pPr>
        <w:autoSpaceDE w:val="0"/>
        <w:autoSpaceDN w:val="0"/>
        <w:adjustRightInd w:val="0"/>
        <w:ind w:left="426" w:right="333"/>
        <w:jc w:val="both"/>
        <w:rPr>
          <w:rFonts w:ascii="Abadi" w:hAnsi="Abadi" w:cs="*Tahoma-Italic-13421-Identity-H"/>
          <w:i/>
          <w:iCs/>
          <w:color w:val="1F1F20"/>
          <w:sz w:val="21"/>
          <w:szCs w:val="21"/>
        </w:rPr>
      </w:pPr>
      <w:r w:rsidRPr="00B869B4">
        <w:rPr>
          <w:rFonts w:ascii="Abadi" w:hAnsi="Abadi" w:cs="*Tahoma-Italic-13421-Identity-H"/>
          <w:i/>
          <w:iCs/>
          <w:color w:val="1F1F20"/>
          <w:sz w:val="21"/>
          <w:szCs w:val="21"/>
        </w:rPr>
        <w:t>fijo, que hoy es el más alto del mercado.</w:t>
      </w:r>
    </w:p>
    <w:p w14:paraId="35CD987C" w14:textId="77777777" w:rsidR="00BC476A" w:rsidRPr="00B869B4" w:rsidRDefault="00BC476A" w:rsidP="00BC476A">
      <w:pPr>
        <w:autoSpaceDE w:val="0"/>
        <w:autoSpaceDN w:val="0"/>
        <w:adjustRightInd w:val="0"/>
        <w:ind w:left="426" w:right="333"/>
        <w:jc w:val="both"/>
        <w:rPr>
          <w:rFonts w:ascii="Abadi" w:hAnsi="Abadi" w:cs="*Tahoma-Italic-13421-Identity-H"/>
          <w:i/>
          <w:iCs/>
          <w:color w:val="1F1F20"/>
          <w:sz w:val="21"/>
          <w:szCs w:val="21"/>
        </w:rPr>
      </w:pPr>
    </w:p>
    <w:p w14:paraId="2B5F8E16" w14:textId="77777777" w:rsidR="00BC476A" w:rsidRPr="00B869B4" w:rsidRDefault="00BC476A" w:rsidP="00BC476A">
      <w:pPr>
        <w:autoSpaceDE w:val="0"/>
        <w:autoSpaceDN w:val="0"/>
        <w:adjustRightInd w:val="0"/>
        <w:ind w:left="426" w:right="333"/>
        <w:jc w:val="both"/>
        <w:rPr>
          <w:rFonts w:ascii="Abadi" w:hAnsi="Abadi" w:cs="*Verdana-13418-Identity-H"/>
          <w:i/>
          <w:iCs/>
          <w:color w:val="201F20"/>
          <w:sz w:val="21"/>
          <w:szCs w:val="21"/>
        </w:rPr>
      </w:pPr>
      <w:r w:rsidRPr="00B869B4">
        <w:rPr>
          <w:rFonts w:ascii="Abadi" w:hAnsi="Abadi" w:cs="*Tahoma-Italic-13421-Identity-H"/>
          <w:i/>
          <w:iCs/>
          <w:color w:val="201F20"/>
          <w:sz w:val="21"/>
          <w:szCs w:val="21"/>
        </w:rPr>
        <w:t xml:space="preserve">Es mentira que las inversiones extranjeras se perderán, </w:t>
      </w:r>
      <w:r w:rsidRPr="00B869B4">
        <w:rPr>
          <w:rFonts w:ascii="Abadi" w:hAnsi="Abadi" w:cs="*Verdana-13418-Identity-H"/>
          <w:i/>
          <w:iCs/>
          <w:color w:val="201F20"/>
          <w:sz w:val="21"/>
          <w:szCs w:val="21"/>
        </w:rPr>
        <w:t xml:space="preserve">gran </w:t>
      </w:r>
      <w:r w:rsidRPr="00B869B4">
        <w:rPr>
          <w:rFonts w:ascii="Abadi" w:hAnsi="Abadi" w:cs="*Tahoma-Italic-13421-Identity-H"/>
          <w:i/>
          <w:iCs/>
          <w:color w:val="201F20"/>
          <w:sz w:val="21"/>
          <w:szCs w:val="21"/>
        </w:rPr>
        <w:t xml:space="preserve">parte de estos proyectos fueron financiados por la </w:t>
      </w:r>
      <w:r w:rsidRPr="00B869B4">
        <w:rPr>
          <w:rFonts w:ascii="Abadi" w:hAnsi="Abadi" w:cs="*Verdana-13418-Identity-H"/>
          <w:i/>
          <w:iCs/>
          <w:color w:val="201F20"/>
          <w:sz w:val="21"/>
          <w:szCs w:val="21"/>
        </w:rPr>
        <w:t xml:space="preserve">Banca </w:t>
      </w:r>
      <w:r w:rsidRPr="00B869B4">
        <w:rPr>
          <w:rFonts w:ascii="Abadi" w:hAnsi="Abadi" w:cs="*Tahoma-Italic-13421-Identity-H"/>
          <w:i/>
          <w:iCs/>
          <w:color w:val="201F20"/>
          <w:sz w:val="21"/>
          <w:szCs w:val="21"/>
        </w:rPr>
        <w:t xml:space="preserve">de Desarrollo, haciéndonos creer que eran inversiones, cuando se han pagado </w:t>
      </w:r>
      <w:r w:rsidRPr="00B869B4">
        <w:rPr>
          <w:rFonts w:ascii="Abadi" w:hAnsi="Abadi" w:cs="*Verdana-13418-Identity-H"/>
          <w:i/>
          <w:iCs/>
          <w:color w:val="201F20"/>
          <w:sz w:val="21"/>
          <w:szCs w:val="21"/>
        </w:rPr>
        <w:t xml:space="preserve">por </w:t>
      </w:r>
      <w:r w:rsidRPr="00B869B4">
        <w:rPr>
          <w:rFonts w:ascii="Abadi" w:hAnsi="Abadi" w:cs="*Tahoma-Italic-13421-Identity-H"/>
          <w:i/>
          <w:iCs/>
          <w:color w:val="201F20"/>
          <w:sz w:val="21"/>
          <w:szCs w:val="21"/>
        </w:rPr>
        <w:t xml:space="preserve">los </w:t>
      </w:r>
      <w:r w:rsidRPr="00B869B4">
        <w:rPr>
          <w:rFonts w:ascii="Abadi" w:hAnsi="Abadi" w:cs="*Verdana-13418-Identity-H"/>
          <w:i/>
          <w:iCs/>
          <w:color w:val="201F20"/>
          <w:sz w:val="21"/>
          <w:szCs w:val="21"/>
        </w:rPr>
        <w:t xml:space="preserve">mexicanos, </w:t>
      </w:r>
      <w:r w:rsidRPr="00B869B4">
        <w:rPr>
          <w:rFonts w:ascii="Abadi" w:hAnsi="Abadi" w:cs="*Tahoma-Italic-13421-Identity-H"/>
          <w:i/>
          <w:iCs/>
          <w:color w:val="201F20"/>
          <w:sz w:val="21"/>
          <w:szCs w:val="21"/>
        </w:rPr>
        <w:t xml:space="preserve">creando una falsa percepción de </w:t>
      </w:r>
      <w:r w:rsidRPr="00B869B4">
        <w:rPr>
          <w:rFonts w:ascii="Abadi" w:hAnsi="Abadi" w:cs="*Verdana-13418-Identity-H"/>
          <w:i/>
          <w:iCs/>
          <w:color w:val="201F20"/>
          <w:sz w:val="21"/>
          <w:szCs w:val="21"/>
        </w:rPr>
        <w:t>inversión.</w:t>
      </w:r>
    </w:p>
    <w:p w14:paraId="0BDAAEF2" w14:textId="77777777" w:rsidR="00BC476A" w:rsidRPr="00B869B4" w:rsidRDefault="00BC476A" w:rsidP="00BC476A">
      <w:pPr>
        <w:autoSpaceDE w:val="0"/>
        <w:autoSpaceDN w:val="0"/>
        <w:adjustRightInd w:val="0"/>
        <w:ind w:left="426" w:right="333"/>
        <w:jc w:val="both"/>
        <w:rPr>
          <w:rFonts w:ascii="Abadi" w:hAnsi="Abadi" w:cs="*Verdana-13418-Identity-H"/>
          <w:i/>
          <w:iCs/>
          <w:color w:val="201F20"/>
          <w:sz w:val="21"/>
          <w:szCs w:val="21"/>
        </w:rPr>
      </w:pPr>
    </w:p>
    <w:p w14:paraId="5F76424B" w14:textId="77777777" w:rsidR="00BC476A" w:rsidRPr="00B869B4" w:rsidRDefault="00BC476A" w:rsidP="00BC476A">
      <w:pPr>
        <w:autoSpaceDE w:val="0"/>
        <w:autoSpaceDN w:val="0"/>
        <w:adjustRightInd w:val="0"/>
        <w:ind w:left="426" w:right="333"/>
        <w:jc w:val="both"/>
        <w:rPr>
          <w:rFonts w:ascii="Abadi" w:hAnsi="Abadi" w:cs="*Tahoma-Italic-13421-Identity-H"/>
          <w:i/>
          <w:iCs/>
          <w:color w:val="212122"/>
          <w:sz w:val="21"/>
          <w:szCs w:val="21"/>
        </w:rPr>
      </w:pPr>
      <w:r w:rsidRPr="00B869B4">
        <w:rPr>
          <w:rFonts w:ascii="Abadi" w:hAnsi="Abadi" w:cs="*Tahoma-Italic-13421-Identity-H"/>
          <w:i/>
          <w:iCs/>
          <w:color w:val="212122"/>
          <w:sz w:val="21"/>
          <w:szCs w:val="21"/>
        </w:rPr>
        <w:t xml:space="preserve">En estos últimos años se han construido 34 centrales privadas, bajo este esquema donde lo CFE está obligada a comprar su </w:t>
      </w:r>
      <w:r w:rsidRPr="00B869B4">
        <w:rPr>
          <w:rFonts w:ascii="Abadi" w:hAnsi="Abadi" w:cs="*Verdana-13418-Identity-H"/>
          <w:i/>
          <w:iCs/>
          <w:color w:val="212122"/>
          <w:sz w:val="21"/>
          <w:szCs w:val="21"/>
        </w:rPr>
        <w:t xml:space="preserve">energía </w:t>
      </w:r>
      <w:r w:rsidRPr="00B869B4">
        <w:rPr>
          <w:rFonts w:ascii="Abadi" w:hAnsi="Abadi" w:cs="*Tahoma-Italic-13421-Identity-H"/>
          <w:i/>
          <w:iCs/>
          <w:color w:val="212122"/>
          <w:sz w:val="21"/>
          <w:szCs w:val="21"/>
        </w:rPr>
        <w:t xml:space="preserve">por 25 </w:t>
      </w:r>
      <w:r w:rsidRPr="00B869B4">
        <w:rPr>
          <w:rFonts w:ascii="Abadi" w:hAnsi="Abadi" w:cs="*Verdana-13418-Identity-H"/>
          <w:i/>
          <w:iCs/>
          <w:color w:val="212122"/>
          <w:sz w:val="21"/>
          <w:szCs w:val="21"/>
        </w:rPr>
        <w:t xml:space="preserve">años. </w:t>
      </w:r>
      <w:r w:rsidRPr="00B869B4">
        <w:rPr>
          <w:rFonts w:ascii="Abadi" w:hAnsi="Abadi" w:cs="*Tahoma-Italic-13421-Identity-H"/>
          <w:i/>
          <w:iCs/>
          <w:color w:val="212122"/>
          <w:sz w:val="21"/>
          <w:szCs w:val="21"/>
        </w:rPr>
        <w:t xml:space="preserve">En este modelo la CFE está obligada a pagar el 100% de lo generación de los privados, aunque le entreguen menos y el excedente lo revendan en otro modelo ilegal llamado auto abasto. En el 2013 se extendieron los permisos de auto abasto para que grandes fábricas produzcan su electricidad, </w:t>
      </w:r>
      <w:r w:rsidRPr="00B869B4">
        <w:rPr>
          <w:rFonts w:ascii="Abadi" w:hAnsi="Abadi" w:cs="*Verdana-13418-Identity-H"/>
          <w:i/>
          <w:iCs/>
          <w:color w:val="212122"/>
          <w:sz w:val="21"/>
          <w:szCs w:val="21"/>
        </w:rPr>
        <w:t xml:space="preserve">sin </w:t>
      </w:r>
      <w:r w:rsidRPr="00B869B4">
        <w:rPr>
          <w:rFonts w:ascii="Abadi" w:hAnsi="Abadi" w:cs="*Tahoma-Italic-13421-Identity-H"/>
          <w:i/>
          <w:iCs/>
          <w:color w:val="212122"/>
          <w:sz w:val="21"/>
          <w:szCs w:val="21"/>
        </w:rPr>
        <w:t xml:space="preserve">embargo, esto decayó </w:t>
      </w:r>
      <w:r w:rsidRPr="00B869B4">
        <w:rPr>
          <w:rFonts w:ascii="Abadi" w:hAnsi="Abadi" w:cs="*Verdana-13418-Identity-H"/>
          <w:i/>
          <w:iCs/>
          <w:color w:val="212122"/>
          <w:sz w:val="21"/>
          <w:szCs w:val="21"/>
        </w:rPr>
        <w:t xml:space="preserve">en </w:t>
      </w:r>
      <w:r w:rsidRPr="00B869B4">
        <w:rPr>
          <w:rFonts w:ascii="Abadi" w:hAnsi="Abadi" w:cs="*Tahoma-Italic-13421-Identity-H"/>
          <w:i/>
          <w:iCs/>
          <w:color w:val="212122"/>
          <w:sz w:val="21"/>
          <w:szCs w:val="21"/>
        </w:rPr>
        <w:t xml:space="preserve">uno </w:t>
      </w:r>
      <w:r w:rsidRPr="00B869B4">
        <w:rPr>
          <w:rFonts w:ascii="Abadi" w:hAnsi="Abadi" w:cs="*Verdana-13418-Identity-H"/>
          <w:i/>
          <w:iCs/>
          <w:color w:val="212122"/>
          <w:sz w:val="21"/>
          <w:szCs w:val="21"/>
        </w:rPr>
        <w:t xml:space="preserve">práctico </w:t>
      </w:r>
      <w:r w:rsidRPr="00B869B4">
        <w:rPr>
          <w:rFonts w:ascii="Abadi" w:hAnsi="Abadi" w:cs="*Tahoma-Italic-13421-Identity-H"/>
          <w:i/>
          <w:iCs/>
          <w:color w:val="212122"/>
          <w:sz w:val="21"/>
          <w:szCs w:val="21"/>
        </w:rPr>
        <w:t xml:space="preserve">ilegal, creando un mercado paralelo donde simularon tener socios y empezaron </w:t>
      </w:r>
      <w:r w:rsidRPr="00B869B4">
        <w:rPr>
          <w:rFonts w:ascii="Abadi" w:hAnsi="Abadi" w:cs="*Times New Roman-13415-Identity"/>
          <w:i/>
          <w:iCs/>
          <w:color w:val="212122"/>
          <w:sz w:val="21"/>
          <w:szCs w:val="21"/>
        </w:rPr>
        <w:t xml:space="preserve">o </w:t>
      </w:r>
      <w:r w:rsidRPr="00B869B4">
        <w:rPr>
          <w:rFonts w:ascii="Abadi" w:hAnsi="Abadi" w:cs="*Tahoma-Italic-13421-Identity-H"/>
          <w:i/>
          <w:iCs/>
          <w:color w:val="212122"/>
          <w:sz w:val="21"/>
          <w:szCs w:val="21"/>
        </w:rPr>
        <w:t>vender electricidad, utilizando las líneas de transmisión de la CFE e incurriendo en fraude fiscal.</w:t>
      </w:r>
    </w:p>
    <w:p w14:paraId="56DA22EB" w14:textId="77777777" w:rsidR="00BC476A" w:rsidRPr="00B869B4" w:rsidRDefault="00BC476A" w:rsidP="00BC476A">
      <w:pPr>
        <w:autoSpaceDE w:val="0"/>
        <w:autoSpaceDN w:val="0"/>
        <w:adjustRightInd w:val="0"/>
        <w:ind w:left="426" w:right="333"/>
        <w:jc w:val="both"/>
        <w:rPr>
          <w:rFonts w:ascii="Abadi" w:hAnsi="Abadi" w:cs="*Tahoma-Italic-13421-Identity-H"/>
          <w:i/>
          <w:iCs/>
          <w:color w:val="212122"/>
          <w:sz w:val="21"/>
          <w:szCs w:val="21"/>
        </w:rPr>
      </w:pPr>
    </w:p>
    <w:p w14:paraId="097A6BE3" w14:textId="77777777" w:rsidR="00BC476A" w:rsidRPr="00B869B4" w:rsidRDefault="00BC476A" w:rsidP="00BC476A">
      <w:pPr>
        <w:autoSpaceDE w:val="0"/>
        <w:autoSpaceDN w:val="0"/>
        <w:adjustRightInd w:val="0"/>
        <w:ind w:left="426" w:right="333"/>
        <w:jc w:val="both"/>
        <w:rPr>
          <w:rFonts w:ascii="Abadi" w:hAnsi="Abadi" w:cs="*Tahoma-Italic-13421-Identity-H"/>
          <w:i/>
          <w:iCs/>
          <w:color w:val="202022"/>
          <w:sz w:val="21"/>
          <w:szCs w:val="21"/>
        </w:rPr>
      </w:pPr>
      <w:r w:rsidRPr="00B869B4">
        <w:rPr>
          <w:rFonts w:ascii="Abadi" w:hAnsi="Abadi" w:cs="*Tahoma-Italic-13421-Identity-H"/>
          <w:i/>
          <w:iCs/>
          <w:color w:val="202022"/>
          <w:sz w:val="21"/>
          <w:szCs w:val="21"/>
        </w:rPr>
        <w:t xml:space="preserve">Que no se quiera engañar al pueblo, El ESTADO preservará lo seguridad y autosuficiencia energética de la Nación y el abastecimiento continuo de Energía Eléctrica a toda la </w:t>
      </w:r>
      <w:r w:rsidRPr="00B869B4">
        <w:rPr>
          <w:rFonts w:ascii="Abadi" w:hAnsi="Abadi" w:cs="*Verdana-13418-Identity-H"/>
          <w:i/>
          <w:iCs/>
          <w:color w:val="202022"/>
          <w:sz w:val="21"/>
          <w:szCs w:val="21"/>
        </w:rPr>
        <w:t>población</w:t>
      </w:r>
      <w:r w:rsidRPr="00B869B4">
        <w:rPr>
          <w:rFonts w:ascii="Abadi" w:hAnsi="Abadi" w:cs="*Tahoma-Italic-13421-Identity-H"/>
          <w:i/>
          <w:iCs/>
          <w:color w:val="202022"/>
          <w:sz w:val="21"/>
          <w:szCs w:val="21"/>
        </w:rPr>
        <w:t xml:space="preserve">, </w:t>
      </w:r>
      <w:r w:rsidRPr="00B869B4">
        <w:rPr>
          <w:rFonts w:ascii="Abadi" w:hAnsi="Abadi" w:cs="*Verdana-13418-Identity-H"/>
          <w:i/>
          <w:iCs/>
          <w:color w:val="202022"/>
          <w:sz w:val="21"/>
          <w:szCs w:val="21"/>
        </w:rPr>
        <w:t xml:space="preserve">como </w:t>
      </w:r>
      <w:r w:rsidRPr="00B869B4">
        <w:rPr>
          <w:rFonts w:ascii="Abadi" w:hAnsi="Abadi" w:cs="*Tahoma-Italic-13421-Identity-H"/>
          <w:i/>
          <w:iCs/>
          <w:color w:val="202022"/>
          <w:sz w:val="21"/>
          <w:szCs w:val="21"/>
        </w:rPr>
        <w:t xml:space="preserve">condición indispensable para garantizar la Seguridad Nocional y el Derecho Humano </w:t>
      </w:r>
      <w:r w:rsidRPr="00B869B4">
        <w:rPr>
          <w:rFonts w:ascii="Abadi" w:hAnsi="Abadi" w:cs="*Verdana-13418-Identity-H"/>
          <w:i/>
          <w:iCs/>
          <w:color w:val="202022"/>
          <w:sz w:val="21"/>
          <w:szCs w:val="21"/>
        </w:rPr>
        <w:t xml:space="preserve">a </w:t>
      </w:r>
      <w:r w:rsidRPr="00B869B4">
        <w:rPr>
          <w:rFonts w:ascii="Abadi" w:hAnsi="Abadi" w:cs="*Tahoma-Italic-13421-Identity-H"/>
          <w:i/>
          <w:iCs/>
          <w:color w:val="202022"/>
          <w:sz w:val="21"/>
          <w:szCs w:val="21"/>
        </w:rPr>
        <w:t xml:space="preserve">la vida </w:t>
      </w:r>
      <w:r w:rsidRPr="00B869B4">
        <w:rPr>
          <w:rFonts w:ascii="Abadi" w:hAnsi="Abadi" w:cs="*Verdana-13418-Identity-H"/>
          <w:i/>
          <w:iCs/>
          <w:color w:val="202022"/>
          <w:sz w:val="21"/>
          <w:szCs w:val="21"/>
        </w:rPr>
        <w:t xml:space="preserve">digna. </w:t>
      </w:r>
      <w:r w:rsidRPr="00B869B4">
        <w:rPr>
          <w:rFonts w:ascii="Abadi" w:hAnsi="Abadi" w:cs="*Tahoma-Italic-13421-Identity-H"/>
          <w:i/>
          <w:iCs/>
          <w:color w:val="202022"/>
          <w:sz w:val="21"/>
          <w:szCs w:val="21"/>
        </w:rPr>
        <w:t xml:space="preserve">Para nosotros la SEGURIDAD ENERGÉTICA es un tema crucial. Con </w:t>
      </w:r>
      <w:r w:rsidRPr="00B869B4">
        <w:rPr>
          <w:rFonts w:ascii="Abadi" w:hAnsi="Abadi" w:cs="*Verdana-13418-Identity-H"/>
          <w:i/>
          <w:iCs/>
          <w:color w:val="202022"/>
          <w:sz w:val="21"/>
          <w:szCs w:val="21"/>
        </w:rPr>
        <w:t xml:space="preserve">la </w:t>
      </w:r>
      <w:r w:rsidRPr="00B869B4">
        <w:rPr>
          <w:rFonts w:ascii="Abadi" w:hAnsi="Abadi" w:cs="*Tahoma-Italic-13421-Identity-H"/>
          <w:i/>
          <w:iCs/>
          <w:color w:val="202022"/>
          <w:sz w:val="21"/>
          <w:szCs w:val="21"/>
        </w:rPr>
        <w:t xml:space="preserve">reforma, se contempló que lo CFE generará </w:t>
      </w:r>
      <w:r w:rsidRPr="00B869B4">
        <w:rPr>
          <w:rFonts w:ascii="Abadi" w:hAnsi="Abadi" w:cs="*Verdana-13418-Identity-H"/>
          <w:i/>
          <w:iCs/>
          <w:color w:val="202022"/>
          <w:sz w:val="21"/>
          <w:szCs w:val="21"/>
        </w:rPr>
        <w:t xml:space="preserve">como mínimo </w:t>
      </w:r>
      <w:r w:rsidRPr="00B869B4">
        <w:rPr>
          <w:rFonts w:ascii="Abadi" w:hAnsi="Abadi" w:cs="*Tahoma-Italic-13421-Identity-H"/>
          <w:i/>
          <w:iCs/>
          <w:color w:val="202022"/>
          <w:sz w:val="21"/>
          <w:szCs w:val="21"/>
        </w:rPr>
        <w:t xml:space="preserve">el 54% y los privados el 46% de lo generación de electricidad; esto garantiza a todos los mexicanos seguridad energética, donde la CFE mantiene la MISIÓN DE SERVICIO SOCIAL y </w:t>
      </w:r>
      <w:r w:rsidRPr="00B869B4">
        <w:rPr>
          <w:rFonts w:ascii="Abadi" w:hAnsi="Abadi" w:cs="*Verdana-13418-Identity-H"/>
          <w:i/>
          <w:iCs/>
          <w:color w:val="202022"/>
          <w:sz w:val="21"/>
          <w:szCs w:val="21"/>
        </w:rPr>
        <w:t xml:space="preserve">con </w:t>
      </w:r>
      <w:r w:rsidRPr="00B869B4">
        <w:rPr>
          <w:rFonts w:ascii="Abadi" w:hAnsi="Abadi" w:cs="*Tahoma-Italic-13421-Identity-H"/>
          <w:i/>
          <w:iCs/>
          <w:color w:val="202022"/>
          <w:sz w:val="21"/>
          <w:szCs w:val="21"/>
        </w:rPr>
        <w:t xml:space="preserve">ello las tarifas de la luz se podrán mantener </w:t>
      </w:r>
      <w:r w:rsidRPr="00B869B4">
        <w:rPr>
          <w:rFonts w:ascii="Abadi" w:hAnsi="Abadi" w:cs="*Times New Roman-13415-Identity"/>
          <w:i/>
          <w:iCs/>
          <w:color w:val="202022"/>
          <w:sz w:val="21"/>
          <w:szCs w:val="21"/>
        </w:rPr>
        <w:t xml:space="preserve">o </w:t>
      </w:r>
      <w:r w:rsidRPr="00B869B4">
        <w:rPr>
          <w:rFonts w:ascii="Abadi" w:hAnsi="Abadi" w:cs="*Tahoma-Italic-13421-Identity-H"/>
          <w:i/>
          <w:iCs/>
          <w:color w:val="202022"/>
          <w:sz w:val="21"/>
          <w:szCs w:val="21"/>
        </w:rPr>
        <w:t xml:space="preserve">un precio por debajo de lo inflación. Y el sector privado puede tener uno competencia justo </w:t>
      </w:r>
      <w:r w:rsidRPr="00B869B4">
        <w:rPr>
          <w:rFonts w:ascii="Abadi" w:hAnsi="Abadi" w:cs="*Verdana-13418-Identity-H"/>
          <w:i/>
          <w:iCs/>
          <w:color w:val="202022"/>
          <w:sz w:val="21"/>
          <w:szCs w:val="21"/>
        </w:rPr>
        <w:t xml:space="preserve">con </w:t>
      </w:r>
      <w:r w:rsidRPr="00B869B4">
        <w:rPr>
          <w:rFonts w:ascii="Abadi" w:hAnsi="Abadi" w:cs="*Tahoma-Italic-13421-Identity-H"/>
          <w:i/>
          <w:iCs/>
          <w:color w:val="202022"/>
          <w:sz w:val="21"/>
          <w:szCs w:val="21"/>
        </w:rPr>
        <w:t xml:space="preserve">el </w:t>
      </w:r>
      <w:r w:rsidRPr="00B869B4">
        <w:rPr>
          <w:rFonts w:ascii="Abadi" w:hAnsi="Abadi" w:cs="*Verdana-13418-Identity-H"/>
          <w:i/>
          <w:iCs/>
          <w:color w:val="202022"/>
          <w:sz w:val="21"/>
          <w:szCs w:val="21"/>
        </w:rPr>
        <w:t xml:space="preserve">46% </w:t>
      </w:r>
      <w:r w:rsidRPr="00B869B4">
        <w:rPr>
          <w:rFonts w:ascii="Abadi" w:hAnsi="Abadi" w:cs="*Tahoma-Italic-13421-Identity-H"/>
          <w:i/>
          <w:iCs/>
          <w:color w:val="202022"/>
          <w:sz w:val="21"/>
          <w:szCs w:val="21"/>
        </w:rPr>
        <w:t>del mercado total.</w:t>
      </w:r>
    </w:p>
    <w:p w14:paraId="3889A720" w14:textId="77777777" w:rsidR="00BC476A" w:rsidRPr="00B869B4" w:rsidRDefault="00BC476A" w:rsidP="00BC476A">
      <w:pPr>
        <w:autoSpaceDE w:val="0"/>
        <w:autoSpaceDN w:val="0"/>
        <w:adjustRightInd w:val="0"/>
        <w:ind w:left="426" w:right="333"/>
        <w:jc w:val="both"/>
        <w:rPr>
          <w:rFonts w:ascii="Abadi" w:hAnsi="Abadi" w:cs="*Tahoma-Italic-13421-Identity-H"/>
          <w:i/>
          <w:iCs/>
          <w:color w:val="202022"/>
          <w:sz w:val="21"/>
          <w:szCs w:val="21"/>
        </w:rPr>
      </w:pPr>
    </w:p>
    <w:p w14:paraId="13DD514B" w14:textId="77777777" w:rsidR="00BC476A" w:rsidRPr="00B869B4" w:rsidRDefault="00BC476A" w:rsidP="00BC476A">
      <w:pPr>
        <w:autoSpaceDE w:val="0"/>
        <w:autoSpaceDN w:val="0"/>
        <w:adjustRightInd w:val="0"/>
        <w:ind w:left="426" w:right="333"/>
        <w:jc w:val="both"/>
        <w:rPr>
          <w:rFonts w:ascii="Abadi" w:hAnsi="Abadi" w:cs="*Tahoma-Italic-13421-Identity-H"/>
          <w:i/>
          <w:iCs/>
          <w:color w:val="212122"/>
          <w:sz w:val="21"/>
          <w:szCs w:val="21"/>
        </w:rPr>
      </w:pPr>
      <w:r w:rsidRPr="00B869B4">
        <w:rPr>
          <w:rFonts w:ascii="Abadi" w:hAnsi="Abadi" w:cs="*Tahoma-Italic-13421-Identity-H"/>
          <w:i/>
          <w:iCs/>
          <w:color w:val="212122"/>
          <w:sz w:val="21"/>
          <w:szCs w:val="21"/>
        </w:rPr>
        <w:t xml:space="preserve">Es mentira que lo CFE genere energías sucias, hoy </w:t>
      </w:r>
      <w:r w:rsidRPr="00B869B4">
        <w:rPr>
          <w:rFonts w:ascii="Abadi" w:hAnsi="Abadi" w:cs="*Verdana-13418-Identity-H"/>
          <w:i/>
          <w:iCs/>
          <w:color w:val="212122"/>
          <w:sz w:val="21"/>
          <w:szCs w:val="21"/>
        </w:rPr>
        <w:t xml:space="preserve">se </w:t>
      </w:r>
      <w:r w:rsidRPr="00B869B4">
        <w:rPr>
          <w:rFonts w:ascii="Abadi" w:hAnsi="Abadi" w:cs="*Tahoma-Italic-13421-Identity-H"/>
          <w:i/>
          <w:iCs/>
          <w:color w:val="212122"/>
          <w:sz w:val="21"/>
          <w:szCs w:val="21"/>
        </w:rPr>
        <w:t xml:space="preserve">tienen </w:t>
      </w:r>
      <w:r w:rsidRPr="00B869B4">
        <w:rPr>
          <w:rFonts w:ascii="Abadi" w:hAnsi="Abadi" w:cs="*Verdana-13418-Identity-H"/>
          <w:i/>
          <w:iCs/>
          <w:color w:val="212122"/>
          <w:sz w:val="21"/>
          <w:szCs w:val="21"/>
        </w:rPr>
        <w:t xml:space="preserve">69 </w:t>
      </w:r>
      <w:r w:rsidRPr="00B869B4">
        <w:rPr>
          <w:rFonts w:ascii="Abadi" w:hAnsi="Abadi" w:cs="*Tahoma-Italic-13421-Identity-H"/>
          <w:i/>
          <w:iCs/>
          <w:color w:val="212122"/>
          <w:sz w:val="21"/>
          <w:szCs w:val="21"/>
        </w:rPr>
        <w:t xml:space="preserve">Centrales de Generación de energía limpias: hidráulicas, geotérmicas, nucleares, eólicas y solares; la CFE tiene la capacidad de generar HOY el 25% de energía limpio y los privados </w:t>
      </w:r>
      <w:r w:rsidRPr="00B869B4">
        <w:rPr>
          <w:rFonts w:ascii="Abadi" w:hAnsi="Abadi" w:cs="*Verdana-13418-Identity-H"/>
          <w:i/>
          <w:iCs/>
          <w:color w:val="212122"/>
          <w:sz w:val="21"/>
          <w:szCs w:val="21"/>
        </w:rPr>
        <w:t xml:space="preserve">apenas </w:t>
      </w:r>
      <w:r w:rsidRPr="00B869B4">
        <w:rPr>
          <w:rFonts w:ascii="Abadi" w:hAnsi="Abadi" w:cs="*Tahoma-Italic-13421-Identity-H"/>
          <w:i/>
          <w:iCs/>
          <w:color w:val="212122"/>
          <w:sz w:val="21"/>
          <w:szCs w:val="21"/>
        </w:rPr>
        <w:t xml:space="preserve">9%. Hay que ser muy claros </w:t>
      </w:r>
      <w:r w:rsidRPr="00B869B4">
        <w:rPr>
          <w:rFonts w:ascii="Abadi" w:hAnsi="Abadi" w:cs="*Verdana-13418-Identity-H"/>
          <w:i/>
          <w:iCs/>
          <w:color w:val="212122"/>
          <w:sz w:val="21"/>
          <w:szCs w:val="21"/>
        </w:rPr>
        <w:t xml:space="preserve">en </w:t>
      </w:r>
      <w:r w:rsidRPr="00B869B4">
        <w:rPr>
          <w:rFonts w:ascii="Abadi" w:hAnsi="Abadi" w:cs="*Tahoma-Italic-13421-Identity-H"/>
          <w:i/>
          <w:iCs/>
          <w:color w:val="212122"/>
          <w:sz w:val="21"/>
          <w:szCs w:val="21"/>
        </w:rPr>
        <w:t xml:space="preserve">ese tema; las emisiones de </w:t>
      </w:r>
      <w:r w:rsidRPr="00B869B4">
        <w:rPr>
          <w:rFonts w:ascii="Abadi" w:hAnsi="Abadi" w:cs="*Verdana-13418-Identity-H"/>
          <w:i/>
          <w:iCs/>
          <w:color w:val="212122"/>
          <w:sz w:val="21"/>
          <w:szCs w:val="21"/>
        </w:rPr>
        <w:t xml:space="preserve">C02 </w:t>
      </w:r>
      <w:r w:rsidRPr="00B869B4">
        <w:rPr>
          <w:rFonts w:ascii="Abadi" w:hAnsi="Abadi" w:cs="*Tahoma-Italic-13421-Identity-H"/>
          <w:i/>
          <w:iCs/>
          <w:color w:val="212122"/>
          <w:sz w:val="21"/>
          <w:szCs w:val="21"/>
        </w:rPr>
        <w:t xml:space="preserve">que emite México, es de </w:t>
      </w:r>
      <w:r w:rsidRPr="00B869B4">
        <w:rPr>
          <w:rFonts w:ascii="Abadi" w:hAnsi="Abadi" w:cs="*Verdana-13418-Identity-H"/>
          <w:i/>
          <w:iCs/>
          <w:color w:val="212122"/>
          <w:sz w:val="21"/>
          <w:szCs w:val="21"/>
        </w:rPr>
        <w:t xml:space="preserve">apenas </w:t>
      </w:r>
      <w:r w:rsidRPr="00B869B4">
        <w:rPr>
          <w:rFonts w:ascii="Abadi" w:hAnsi="Abadi" w:cs="*Tahoma-Italic-13421-Identity-H"/>
          <w:i/>
          <w:iCs/>
          <w:color w:val="212122"/>
          <w:sz w:val="21"/>
          <w:szCs w:val="21"/>
        </w:rPr>
        <w:t>1.3% cuando China, Estados Unidos y la Unión</w:t>
      </w:r>
    </w:p>
    <w:p w14:paraId="2C84557B" w14:textId="77777777" w:rsidR="00BC476A" w:rsidRPr="00B869B4" w:rsidRDefault="00BC476A" w:rsidP="00BC476A">
      <w:pPr>
        <w:autoSpaceDE w:val="0"/>
        <w:autoSpaceDN w:val="0"/>
        <w:adjustRightInd w:val="0"/>
        <w:ind w:left="426" w:right="333"/>
        <w:jc w:val="both"/>
        <w:rPr>
          <w:rFonts w:ascii="Abadi" w:hAnsi="Abadi" w:cs="*Tahoma-Italic-13421-Identity-H"/>
          <w:i/>
          <w:iCs/>
          <w:color w:val="212122"/>
          <w:sz w:val="21"/>
          <w:szCs w:val="21"/>
        </w:rPr>
      </w:pPr>
      <w:r w:rsidRPr="00B869B4">
        <w:rPr>
          <w:rFonts w:ascii="Abadi" w:hAnsi="Abadi" w:cs="*Tahoma-Italic-13421-Identity-H"/>
          <w:i/>
          <w:iCs/>
          <w:color w:val="212122"/>
          <w:sz w:val="21"/>
          <w:szCs w:val="21"/>
        </w:rPr>
        <w:t>Europea producen el 52.4% de las emisiones en el mundo. Todos debemos de contribuir para evitar el calentamiento global, pero es mentira que esta reforma signifique un retroceso paro nuestro planeta.</w:t>
      </w:r>
    </w:p>
    <w:p w14:paraId="6BD0221A" w14:textId="77777777" w:rsidR="00BC476A" w:rsidRPr="00B869B4" w:rsidRDefault="00BC476A" w:rsidP="00BC476A">
      <w:pPr>
        <w:ind w:left="426" w:right="333"/>
        <w:jc w:val="both"/>
        <w:rPr>
          <w:rFonts w:ascii="Abadi" w:hAnsi="Abadi" w:cs="*Tahoma-Italic-13421-Identity-H"/>
          <w:i/>
          <w:iCs/>
          <w:color w:val="212122"/>
          <w:sz w:val="21"/>
          <w:szCs w:val="21"/>
        </w:rPr>
      </w:pPr>
    </w:p>
    <w:p w14:paraId="2AB93828" w14:textId="77777777" w:rsidR="00BC476A" w:rsidRPr="00B869B4" w:rsidRDefault="00BC476A" w:rsidP="00BC476A">
      <w:pPr>
        <w:autoSpaceDE w:val="0"/>
        <w:autoSpaceDN w:val="0"/>
        <w:adjustRightInd w:val="0"/>
        <w:ind w:left="426" w:right="333"/>
        <w:jc w:val="both"/>
        <w:rPr>
          <w:rFonts w:ascii="Abadi" w:hAnsi="Abadi" w:cs="*Microsoft Sans Serif-Italic-11"/>
          <w:i/>
          <w:iCs/>
          <w:color w:val="202022"/>
          <w:sz w:val="21"/>
          <w:szCs w:val="21"/>
        </w:rPr>
      </w:pPr>
      <w:r w:rsidRPr="00B869B4">
        <w:rPr>
          <w:rFonts w:ascii="Abadi" w:hAnsi="Abadi" w:cs="*Microsoft Sans Serif-Italic-11"/>
          <w:i/>
          <w:iCs/>
          <w:color w:val="202022"/>
          <w:sz w:val="21"/>
          <w:szCs w:val="21"/>
        </w:rPr>
        <w:t xml:space="preserve">No quisiera terminar mi intervención sin mencionar el mineral estratégico del futuro, el LITIO. El LITIO es utilizado en la producción de boterías de celular, computadoras, autos eléctricos, entre otros. es el equivalente del petróleo poro el siglo XXI. México </w:t>
      </w:r>
      <w:r w:rsidRPr="00B869B4">
        <w:rPr>
          <w:rFonts w:ascii="Abadi" w:hAnsi="Abadi" w:cs="*Microsoft Sans Serif-11079-Ide"/>
          <w:i/>
          <w:iCs/>
          <w:color w:val="202022"/>
          <w:sz w:val="21"/>
          <w:szCs w:val="21"/>
        </w:rPr>
        <w:t xml:space="preserve">cuento </w:t>
      </w:r>
      <w:r w:rsidRPr="00B869B4">
        <w:rPr>
          <w:rFonts w:ascii="Abadi" w:hAnsi="Abadi" w:cs="*Microsoft Sans Serif-Italic-11"/>
          <w:i/>
          <w:iCs/>
          <w:color w:val="202022"/>
          <w:sz w:val="21"/>
          <w:szCs w:val="21"/>
        </w:rPr>
        <w:t xml:space="preserve">con el mayor yacimiento mundial de litio en </w:t>
      </w:r>
      <w:r w:rsidRPr="00B869B4">
        <w:rPr>
          <w:rFonts w:ascii="Abadi" w:hAnsi="Abadi" w:cs="*Microsoft Sans Serif-11079-Ide"/>
          <w:i/>
          <w:iCs/>
          <w:color w:val="202022"/>
          <w:sz w:val="21"/>
          <w:szCs w:val="21"/>
        </w:rPr>
        <w:t xml:space="preserve">roca. </w:t>
      </w:r>
      <w:r w:rsidRPr="00B869B4">
        <w:rPr>
          <w:rFonts w:ascii="Abadi" w:hAnsi="Abadi" w:cs="*Microsoft Sans Serif-Italic-11"/>
          <w:i/>
          <w:iCs/>
          <w:color w:val="202022"/>
          <w:sz w:val="21"/>
          <w:szCs w:val="21"/>
        </w:rPr>
        <w:t xml:space="preserve">Por eso </w:t>
      </w:r>
      <w:r w:rsidRPr="00B869B4">
        <w:rPr>
          <w:rFonts w:ascii="Abadi" w:hAnsi="Abadi" w:cs="*Microsoft Sans Serif-11079-Ide"/>
          <w:i/>
          <w:iCs/>
          <w:color w:val="202022"/>
          <w:sz w:val="21"/>
          <w:szCs w:val="21"/>
        </w:rPr>
        <w:t xml:space="preserve">la </w:t>
      </w:r>
      <w:r w:rsidRPr="00B869B4">
        <w:rPr>
          <w:rFonts w:ascii="Abadi" w:hAnsi="Abadi" w:cs="*Microsoft Sans Serif-Italic-11"/>
          <w:i/>
          <w:iCs/>
          <w:color w:val="202022"/>
          <w:sz w:val="21"/>
          <w:szCs w:val="21"/>
        </w:rPr>
        <w:t>importancia de que el Estado ejerza de manera exclusiva este mineral estratégico.</w:t>
      </w:r>
    </w:p>
    <w:p w14:paraId="1EAC21FD" w14:textId="77777777" w:rsidR="00BC476A" w:rsidRPr="00AC347B" w:rsidRDefault="00BC476A" w:rsidP="00BC476A">
      <w:pPr>
        <w:autoSpaceDE w:val="0"/>
        <w:autoSpaceDN w:val="0"/>
        <w:adjustRightInd w:val="0"/>
        <w:ind w:left="426" w:right="333"/>
        <w:jc w:val="both"/>
        <w:rPr>
          <w:rFonts w:ascii="Abadi" w:hAnsi="Abadi" w:cs="*Times New Roman-11071-Identity"/>
          <w:color w:val="181818"/>
          <w:sz w:val="21"/>
          <w:szCs w:val="21"/>
        </w:rPr>
      </w:pPr>
      <w:r w:rsidRPr="00AC347B">
        <w:rPr>
          <w:rFonts w:ascii="Abadi" w:hAnsi="Abadi" w:cs="*Times New Roman-11071-Identity"/>
          <w:color w:val="181818"/>
          <w:sz w:val="21"/>
          <w:szCs w:val="21"/>
        </w:rPr>
        <w:t>"</w:t>
      </w:r>
    </w:p>
    <w:p w14:paraId="4CA09704" w14:textId="77777777" w:rsidR="00BC476A" w:rsidRDefault="00BC476A" w:rsidP="00BC476A">
      <w:pPr>
        <w:autoSpaceDE w:val="0"/>
        <w:autoSpaceDN w:val="0"/>
        <w:adjustRightInd w:val="0"/>
        <w:ind w:firstLine="426"/>
        <w:jc w:val="both"/>
        <w:rPr>
          <w:rFonts w:ascii="Abadi" w:hAnsi="Abadi" w:cs="*Calibri-11077-Identity-H"/>
          <w:color w:val="141415"/>
          <w:sz w:val="21"/>
          <w:szCs w:val="21"/>
        </w:rPr>
      </w:pPr>
      <w:r w:rsidRPr="00AC347B">
        <w:rPr>
          <w:rFonts w:ascii="Abadi" w:hAnsi="Abadi" w:cs="*Calibri-11077-Identity-H"/>
          <w:color w:val="141415"/>
          <w:sz w:val="21"/>
          <w:szCs w:val="21"/>
        </w:rPr>
        <w:t>En fecha 17 de abril del año en curso 2022, en sesión ordinaria de la</w:t>
      </w:r>
      <w:r>
        <w:rPr>
          <w:rFonts w:ascii="Abadi" w:hAnsi="Abadi" w:cs="*Calibri-11077-Identity-H"/>
          <w:color w:val="141415"/>
          <w:sz w:val="21"/>
          <w:szCs w:val="21"/>
        </w:rPr>
        <w:t xml:space="preserve"> </w:t>
      </w:r>
      <w:r w:rsidRPr="00AC347B">
        <w:rPr>
          <w:rFonts w:ascii="Abadi" w:hAnsi="Abadi" w:cs="*Calibri-11077-Identity-H"/>
          <w:color w:val="141415"/>
          <w:sz w:val="21"/>
          <w:szCs w:val="21"/>
        </w:rPr>
        <w:t>LXV legislatura en la Cámara de Diputados del Honorable Congreso de</w:t>
      </w:r>
      <w:r>
        <w:rPr>
          <w:rFonts w:ascii="Abadi" w:hAnsi="Abadi" w:cs="*Calibri-11077-Identity-H"/>
          <w:color w:val="141415"/>
          <w:sz w:val="21"/>
          <w:szCs w:val="21"/>
        </w:rPr>
        <w:t xml:space="preserve"> </w:t>
      </w:r>
      <w:r w:rsidRPr="00AC347B">
        <w:rPr>
          <w:rFonts w:ascii="Abadi" w:hAnsi="Abadi" w:cs="*Calibri-11077-Identity-H"/>
          <w:color w:val="141415"/>
          <w:sz w:val="21"/>
          <w:szCs w:val="21"/>
        </w:rPr>
        <w:t>la Unión, la Cámara de Diputados sometió a discusión y análisis la</w:t>
      </w:r>
      <w:r>
        <w:rPr>
          <w:rFonts w:ascii="Abadi" w:hAnsi="Abadi" w:cs="*Calibri-11077-Identity-H"/>
          <w:color w:val="141415"/>
          <w:sz w:val="21"/>
          <w:szCs w:val="21"/>
        </w:rPr>
        <w:t xml:space="preserve"> </w:t>
      </w:r>
      <w:r w:rsidRPr="00AC347B">
        <w:rPr>
          <w:rFonts w:ascii="Abadi" w:hAnsi="Abadi" w:cs="*Calibri-11077-Identity-H"/>
          <w:color w:val="141415"/>
          <w:sz w:val="21"/>
          <w:szCs w:val="21"/>
        </w:rPr>
        <w:t>iniciativa de reforma a los artículos 4, 25, 27 y 28 de la Constitución</w:t>
      </w:r>
      <w:r>
        <w:rPr>
          <w:rFonts w:ascii="Abadi" w:hAnsi="Abadi" w:cs="*Calibri-11077-Identity-H"/>
          <w:color w:val="141415"/>
          <w:sz w:val="21"/>
          <w:szCs w:val="21"/>
        </w:rPr>
        <w:t xml:space="preserve"> </w:t>
      </w:r>
      <w:r w:rsidRPr="00AC347B">
        <w:rPr>
          <w:rFonts w:ascii="Abadi" w:hAnsi="Abadi" w:cs="*Calibri-11077-Identity-H"/>
          <w:color w:val="141415"/>
          <w:sz w:val="21"/>
          <w:szCs w:val="21"/>
        </w:rPr>
        <w:t>Política en materia de energía y acceso a la energía eléctrica, misma</w:t>
      </w:r>
      <w:r>
        <w:rPr>
          <w:rFonts w:ascii="Abadi" w:hAnsi="Abadi" w:cs="*Calibri-11077-Identity-H"/>
          <w:color w:val="141415"/>
          <w:sz w:val="21"/>
          <w:szCs w:val="21"/>
        </w:rPr>
        <w:t xml:space="preserve"> </w:t>
      </w:r>
      <w:r w:rsidRPr="00AC347B">
        <w:rPr>
          <w:rFonts w:ascii="Abadi" w:hAnsi="Abadi" w:cs="*Calibri-11077-Identity-H"/>
          <w:color w:val="141415"/>
          <w:sz w:val="21"/>
          <w:szCs w:val="21"/>
        </w:rPr>
        <w:t>que resultó desechada, después de que en votación general no</w:t>
      </w:r>
      <w:r>
        <w:rPr>
          <w:rFonts w:ascii="Abadi" w:hAnsi="Abadi" w:cs="*Calibri-11077-Identity-H"/>
          <w:color w:val="141415"/>
          <w:sz w:val="21"/>
          <w:szCs w:val="21"/>
        </w:rPr>
        <w:t xml:space="preserve"> </w:t>
      </w:r>
      <w:r w:rsidRPr="00AC347B">
        <w:rPr>
          <w:rFonts w:ascii="Abadi" w:hAnsi="Abadi" w:cs="*Calibri-11077-Identity-H"/>
          <w:color w:val="141415"/>
          <w:sz w:val="21"/>
          <w:szCs w:val="21"/>
        </w:rPr>
        <w:t>alcanzó la mayoría calificada de dos terceras partes de los legisladores</w:t>
      </w:r>
      <w:r>
        <w:rPr>
          <w:rFonts w:ascii="Abadi" w:hAnsi="Abadi" w:cs="*Calibri-11077-Identity-H"/>
          <w:color w:val="141415"/>
          <w:sz w:val="21"/>
          <w:szCs w:val="21"/>
        </w:rPr>
        <w:t xml:space="preserve"> </w:t>
      </w:r>
      <w:r w:rsidRPr="00AC347B">
        <w:rPr>
          <w:rFonts w:ascii="Abadi" w:hAnsi="Abadi" w:cs="*Calibri-11077-Identity-H"/>
          <w:color w:val="141415"/>
          <w:sz w:val="21"/>
          <w:szCs w:val="21"/>
        </w:rPr>
        <w:t>presentes con fundamento en lo establecido en el inciso g) del artículo</w:t>
      </w:r>
      <w:r>
        <w:rPr>
          <w:rFonts w:ascii="Abadi" w:hAnsi="Abadi" w:cs="*Calibri-11077-Identity-H"/>
          <w:color w:val="141415"/>
          <w:sz w:val="21"/>
          <w:szCs w:val="21"/>
        </w:rPr>
        <w:t xml:space="preserve"> </w:t>
      </w:r>
      <w:r w:rsidRPr="00AC347B">
        <w:rPr>
          <w:rFonts w:ascii="Abadi" w:hAnsi="Abadi" w:cs="*Calibri-11077-Identity-H"/>
          <w:color w:val="141415"/>
          <w:sz w:val="21"/>
          <w:szCs w:val="21"/>
        </w:rPr>
        <w:t>272 constitucional y en los términos del artículo 232 numeral I del</w:t>
      </w:r>
      <w:r>
        <w:rPr>
          <w:rFonts w:ascii="Abadi" w:hAnsi="Abadi" w:cs="*Calibri-11077-Identity-H"/>
          <w:color w:val="141415"/>
          <w:sz w:val="21"/>
          <w:szCs w:val="21"/>
        </w:rPr>
        <w:t xml:space="preserve"> </w:t>
      </w:r>
      <w:r w:rsidRPr="00AC347B">
        <w:rPr>
          <w:rFonts w:ascii="Abadi" w:hAnsi="Abadi" w:cs="*Calibri-11077-Identity-H"/>
          <w:color w:val="141415"/>
          <w:sz w:val="21"/>
          <w:szCs w:val="21"/>
        </w:rPr>
        <w:t>reglamento de la Cámara de Diputados, al recibir 275 votos a favor y</w:t>
      </w:r>
      <w:r>
        <w:rPr>
          <w:rFonts w:ascii="Abadi" w:hAnsi="Abadi" w:cs="*Calibri-11077-Identity-H"/>
          <w:color w:val="141415"/>
          <w:sz w:val="21"/>
          <w:szCs w:val="21"/>
        </w:rPr>
        <w:t xml:space="preserve"> </w:t>
      </w:r>
      <w:r w:rsidRPr="00AC347B">
        <w:rPr>
          <w:rFonts w:ascii="Abadi" w:hAnsi="Abadi" w:cs="*Calibri-11077-Identity-H"/>
          <w:color w:val="141415"/>
          <w:sz w:val="21"/>
          <w:szCs w:val="21"/>
        </w:rPr>
        <w:t>233 votos en contra.</w:t>
      </w:r>
    </w:p>
    <w:p w14:paraId="47CE3F75" w14:textId="77777777" w:rsidR="00BC476A" w:rsidRPr="00AC347B" w:rsidRDefault="00BC476A" w:rsidP="00BC476A">
      <w:pPr>
        <w:autoSpaceDE w:val="0"/>
        <w:autoSpaceDN w:val="0"/>
        <w:adjustRightInd w:val="0"/>
        <w:jc w:val="both"/>
        <w:rPr>
          <w:rFonts w:ascii="Abadi" w:hAnsi="Abadi" w:cs="*Calibri-11077-Identity-H"/>
          <w:color w:val="141415"/>
          <w:sz w:val="21"/>
          <w:szCs w:val="21"/>
        </w:rPr>
      </w:pPr>
    </w:p>
    <w:p w14:paraId="4E653E86" w14:textId="77777777" w:rsidR="00BC476A" w:rsidRPr="00AC347B" w:rsidRDefault="00BC476A" w:rsidP="00BC476A">
      <w:pPr>
        <w:autoSpaceDE w:val="0"/>
        <w:autoSpaceDN w:val="0"/>
        <w:adjustRightInd w:val="0"/>
        <w:ind w:firstLine="426"/>
        <w:jc w:val="both"/>
        <w:rPr>
          <w:rFonts w:ascii="Abadi" w:hAnsi="Abadi" w:cs="*Calibri-11077-Identity-H"/>
          <w:color w:val="151516"/>
          <w:sz w:val="21"/>
          <w:szCs w:val="21"/>
        </w:rPr>
      </w:pPr>
      <w:r w:rsidRPr="00AC347B">
        <w:rPr>
          <w:rFonts w:ascii="Abadi" w:hAnsi="Abadi" w:cs="*Calibri-11077-Identity-H"/>
          <w:color w:val="151516"/>
          <w:sz w:val="21"/>
          <w:szCs w:val="21"/>
        </w:rPr>
        <w:t>En tales condiciones y toda vez que la propuesta de punto de</w:t>
      </w:r>
      <w:r>
        <w:rPr>
          <w:rFonts w:ascii="Abadi" w:hAnsi="Abadi" w:cs="*Calibri-11077-Identity-H"/>
          <w:color w:val="151516"/>
          <w:sz w:val="21"/>
          <w:szCs w:val="21"/>
        </w:rPr>
        <w:t xml:space="preserve"> </w:t>
      </w:r>
      <w:r w:rsidRPr="00AC347B">
        <w:rPr>
          <w:rFonts w:ascii="Abadi" w:hAnsi="Abadi" w:cs="*Calibri-11077-Identity-H"/>
          <w:color w:val="151516"/>
          <w:sz w:val="21"/>
          <w:szCs w:val="21"/>
        </w:rPr>
        <w:t>acuerd</w:t>
      </w:r>
      <w:r>
        <w:rPr>
          <w:rFonts w:ascii="Abadi" w:hAnsi="Abadi" w:cs="*Calibri-11077-Identity-H"/>
          <w:color w:val="151516"/>
          <w:sz w:val="21"/>
          <w:szCs w:val="21"/>
        </w:rPr>
        <w:t>a</w:t>
      </w:r>
      <w:r w:rsidRPr="00AC347B">
        <w:rPr>
          <w:rFonts w:ascii="Abadi" w:hAnsi="Abadi" w:cs="*Calibri-11077-Identity-H"/>
          <w:color w:val="151516"/>
          <w:sz w:val="21"/>
          <w:szCs w:val="21"/>
        </w:rPr>
        <w:t xml:space="preserve"> fo</w:t>
      </w:r>
      <w:r>
        <w:rPr>
          <w:rFonts w:ascii="Abadi" w:hAnsi="Abadi" w:cs="*Calibri-11077-Identity-H"/>
          <w:color w:val="151516"/>
          <w:sz w:val="21"/>
          <w:szCs w:val="21"/>
        </w:rPr>
        <w:t>r</w:t>
      </w:r>
      <w:r w:rsidRPr="00AC347B">
        <w:rPr>
          <w:rFonts w:ascii="Abadi" w:hAnsi="Abadi" w:cs="*Calibri-11077-Identity-H"/>
          <w:color w:val="151516"/>
          <w:sz w:val="21"/>
          <w:szCs w:val="21"/>
        </w:rPr>
        <w:t>mulada por la Diputada iniciante tenía como propósito</w:t>
      </w:r>
      <w:r>
        <w:rPr>
          <w:rFonts w:ascii="Abadi" w:hAnsi="Abadi" w:cs="*Calibri-11077-Identity-H"/>
          <w:color w:val="151516"/>
          <w:sz w:val="21"/>
          <w:szCs w:val="21"/>
        </w:rPr>
        <w:t xml:space="preserve"> </w:t>
      </w:r>
      <w:r w:rsidRPr="00AC347B">
        <w:rPr>
          <w:rFonts w:ascii="Abadi" w:hAnsi="Abadi" w:cs="*Calibri-11077-Identity-H"/>
          <w:color w:val="151516"/>
          <w:sz w:val="21"/>
          <w:szCs w:val="21"/>
        </w:rPr>
        <w:t>exhortar a la Cámara de Diputados para que aprobara el decreto de</w:t>
      </w:r>
      <w:r>
        <w:rPr>
          <w:rFonts w:ascii="Abadi" w:hAnsi="Abadi" w:cs="*Calibri-11077-Identity-H"/>
          <w:color w:val="151516"/>
          <w:sz w:val="21"/>
          <w:szCs w:val="21"/>
        </w:rPr>
        <w:t xml:space="preserve"> </w:t>
      </w:r>
      <w:r w:rsidRPr="00AC347B">
        <w:rPr>
          <w:rFonts w:ascii="Abadi" w:hAnsi="Abadi" w:cs="*Calibri-11077-Identity-H"/>
          <w:color w:val="151516"/>
          <w:sz w:val="21"/>
          <w:szCs w:val="21"/>
        </w:rPr>
        <w:t>reformas a la Constitución Política de los Estados Unidos Mexicanos en</w:t>
      </w:r>
      <w:r>
        <w:rPr>
          <w:rFonts w:ascii="Abadi" w:hAnsi="Abadi" w:cs="*Calibri-11077-Identity-H"/>
          <w:color w:val="151516"/>
          <w:sz w:val="21"/>
          <w:szCs w:val="21"/>
        </w:rPr>
        <w:t xml:space="preserve"> </w:t>
      </w:r>
      <w:r w:rsidRPr="00AC347B">
        <w:rPr>
          <w:rFonts w:ascii="Abadi" w:hAnsi="Abadi" w:cs="*Calibri-11077-Identity-H"/>
          <w:color w:val="151516"/>
          <w:sz w:val="21"/>
          <w:szCs w:val="21"/>
        </w:rPr>
        <w:t>materia de energía eléctrica, así como al Titular de la Secretaría de</w:t>
      </w:r>
      <w:r>
        <w:rPr>
          <w:rFonts w:ascii="Abadi" w:hAnsi="Abadi" w:cs="*Calibri-11077-Identity-H"/>
          <w:color w:val="151516"/>
          <w:sz w:val="21"/>
          <w:szCs w:val="21"/>
        </w:rPr>
        <w:t xml:space="preserve"> </w:t>
      </w:r>
      <w:r w:rsidRPr="00AC347B">
        <w:rPr>
          <w:rFonts w:ascii="Abadi" w:hAnsi="Abadi" w:cs="*Calibri-11077-Identity-H"/>
          <w:color w:val="151516"/>
          <w:sz w:val="21"/>
          <w:szCs w:val="21"/>
        </w:rPr>
        <w:t>Desarrollo Económico Sustentable, a efecto de realizar foros sobre la</w:t>
      </w:r>
      <w:r>
        <w:rPr>
          <w:rFonts w:ascii="Abadi" w:hAnsi="Abadi" w:cs="*Calibri-11077-Identity-H"/>
          <w:color w:val="151516"/>
          <w:sz w:val="21"/>
          <w:szCs w:val="21"/>
        </w:rPr>
        <w:t xml:space="preserve"> </w:t>
      </w:r>
      <w:r w:rsidRPr="00AC347B">
        <w:rPr>
          <w:rFonts w:ascii="Abadi" w:hAnsi="Abadi" w:cs="*Calibri-11077-Identity-H"/>
          <w:color w:val="151516"/>
          <w:sz w:val="21"/>
          <w:szCs w:val="21"/>
        </w:rPr>
        <w:t>misma para ver sus impactos económicos y sociales y en virtud a que</w:t>
      </w:r>
      <w:r>
        <w:rPr>
          <w:rFonts w:ascii="Abadi" w:hAnsi="Abadi" w:cs="*Calibri-11077-Identity-H"/>
          <w:color w:val="151516"/>
          <w:sz w:val="21"/>
          <w:szCs w:val="21"/>
        </w:rPr>
        <w:t xml:space="preserve"> </w:t>
      </w:r>
      <w:r w:rsidRPr="00AC347B">
        <w:rPr>
          <w:rFonts w:ascii="Abadi" w:hAnsi="Abadi" w:cs="*Calibri-11077-Identity-H"/>
          <w:color w:val="151516"/>
          <w:sz w:val="21"/>
          <w:szCs w:val="21"/>
        </w:rPr>
        <w:t>dicha iniciativa ya fue discutida y desechada en el órgano legislativo</w:t>
      </w:r>
      <w:r>
        <w:rPr>
          <w:rFonts w:ascii="Abadi" w:hAnsi="Abadi" w:cs="*Calibri-11077-Identity-H"/>
          <w:color w:val="151516"/>
          <w:sz w:val="21"/>
          <w:szCs w:val="21"/>
        </w:rPr>
        <w:t xml:space="preserve"> </w:t>
      </w:r>
      <w:r w:rsidRPr="00AC347B">
        <w:rPr>
          <w:rFonts w:ascii="Abadi" w:hAnsi="Abadi" w:cs="*Calibri-11077-Identity-H"/>
          <w:color w:val="151516"/>
          <w:sz w:val="21"/>
          <w:szCs w:val="21"/>
        </w:rPr>
        <w:t>federal, quienes integramos la comisión dictaminadora consideramos</w:t>
      </w:r>
      <w:r>
        <w:rPr>
          <w:rFonts w:ascii="Abadi" w:hAnsi="Abadi" w:cs="*Calibri-11077-Identity-H"/>
          <w:color w:val="151516"/>
          <w:sz w:val="21"/>
          <w:szCs w:val="21"/>
        </w:rPr>
        <w:t xml:space="preserve"> </w:t>
      </w:r>
      <w:r w:rsidRPr="00AC347B">
        <w:rPr>
          <w:rFonts w:ascii="Abadi" w:hAnsi="Abadi" w:cs="*Calibri-11077-Identity-H"/>
          <w:color w:val="151516"/>
          <w:sz w:val="21"/>
          <w:szCs w:val="21"/>
        </w:rPr>
        <w:t>que la propuesta ha quedado sin materia, por lo que ya no es posible</w:t>
      </w:r>
      <w:r>
        <w:rPr>
          <w:rFonts w:ascii="Abadi" w:hAnsi="Abadi" w:cs="*Calibri-11077-Identity-H"/>
          <w:color w:val="151516"/>
          <w:sz w:val="21"/>
          <w:szCs w:val="21"/>
        </w:rPr>
        <w:t xml:space="preserve"> </w:t>
      </w:r>
      <w:r w:rsidRPr="00AC347B">
        <w:rPr>
          <w:rFonts w:ascii="Abadi" w:hAnsi="Abadi" w:cs="*Calibri-11077-Identity-H"/>
          <w:color w:val="151516"/>
          <w:sz w:val="21"/>
          <w:szCs w:val="21"/>
        </w:rPr>
        <w:t>realizar el exhorto sugerido.</w:t>
      </w:r>
    </w:p>
    <w:p w14:paraId="1D1C7E69" w14:textId="77777777" w:rsidR="00BC476A" w:rsidRPr="00AC347B" w:rsidRDefault="00BC476A" w:rsidP="00BC476A">
      <w:pPr>
        <w:jc w:val="both"/>
        <w:rPr>
          <w:rFonts w:ascii="Abadi" w:hAnsi="Abadi" w:cs="*Calibri-11077-Identity-H"/>
          <w:color w:val="151516"/>
          <w:sz w:val="21"/>
          <w:szCs w:val="21"/>
        </w:rPr>
      </w:pPr>
    </w:p>
    <w:p w14:paraId="692A52EA" w14:textId="77777777" w:rsidR="00BC476A" w:rsidRDefault="00BC476A" w:rsidP="00BC476A">
      <w:pPr>
        <w:autoSpaceDE w:val="0"/>
        <w:autoSpaceDN w:val="0"/>
        <w:adjustRightInd w:val="0"/>
        <w:jc w:val="both"/>
        <w:rPr>
          <w:rFonts w:ascii="Abadi" w:hAnsi="Abadi" w:cs="*Microsoft Sans Serif-6255-Iden"/>
          <w:color w:val="141415"/>
          <w:sz w:val="21"/>
          <w:szCs w:val="21"/>
        </w:rPr>
      </w:pPr>
      <w:r w:rsidRPr="00AC347B">
        <w:rPr>
          <w:rFonts w:ascii="Abadi" w:hAnsi="Abadi" w:cs="*Microsoft Sans Serif-6255-Iden"/>
          <w:color w:val="141415"/>
          <w:sz w:val="21"/>
          <w:szCs w:val="21"/>
        </w:rPr>
        <w:t>Por lo anteriormente expuesto y con fundamento en los artículos 171 y</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17 6 lo Ley Orgánica del</w:t>
      </w:r>
      <w:r>
        <w:rPr>
          <w:rFonts w:ascii="Abadi" w:hAnsi="Abadi" w:cs="*Microsoft Sans Serif-6255-Iden"/>
          <w:color w:val="141415"/>
          <w:sz w:val="21"/>
          <w:szCs w:val="21"/>
        </w:rPr>
        <w:t xml:space="preserve"> P</w:t>
      </w:r>
      <w:r w:rsidRPr="00AC347B">
        <w:rPr>
          <w:rFonts w:ascii="Abadi" w:hAnsi="Abadi" w:cs="*Microsoft Sans Serif-6255-Iden"/>
          <w:color w:val="141415"/>
          <w:sz w:val="21"/>
          <w:szCs w:val="21"/>
        </w:rPr>
        <w:t>oder Legislativo del Estado de Guanajuato, nos</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permitimos proponer a la Asamblea la aprobación del siguiente:</w:t>
      </w:r>
    </w:p>
    <w:p w14:paraId="17BBD3DF" w14:textId="77777777" w:rsidR="00BC476A" w:rsidRPr="00AC347B" w:rsidRDefault="00BC476A" w:rsidP="00BC476A">
      <w:pPr>
        <w:autoSpaceDE w:val="0"/>
        <w:autoSpaceDN w:val="0"/>
        <w:adjustRightInd w:val="0"/>
        <w:jc w:val="both"/>
        <w:rPr>
          <w:rFonts w:ascii="Abadi" w:hAnsi="Abadi" w:cs="*Microsoft Sans Serif-6255-Iden"/>
          <w:color w:val="141415"/>
          <w:sz w:val="21"/>
          <w:szCs w:val="21"/>
        </w:rPr>
      </w:pPr>
    </w:p>
    <w:p w14:paraId="1BBBC4F7" w14:textId="77777777" w:rsidR="00BC476A" w:rsidRDefault="00BC476A" w:rsidP="00BC476A">
      <w:pPr>
        <w:autoSpaceDE w:val="0"/>
        <w:autoSpaceDN w:val="0"/>
        <w:adjustRightInd w:val="0"/>
        <w:jc w:val="center"/>
        <w:rPr>
          <w:rFonts w:ascii="Abadi" w:hAnsi="Abadi" w:cs="*Arial-Bold-6254-Identity-H"/>
          <w:b/>
          <w:bCs/>
          <w:color w:val="0C0C13"/>
          <w:sz w:val="21"/>
          <w:szCs w:val="21"/>
        </w:rPr>
      </w:pPr>
      <w:r w:rsidRPr="00AC347B">
        <w:rPr>
          <w:rFonts w:ascii="Abadi" w:hAnsi="Abadi" w:cs="*Arial-Bold-6254-Identity-H"/>
          <w:b/>
          <w:bCs/>
          <w:color w:val="0C0C13"/>
          <w:sz w:val="21"/>
          <w:szCs w:val="21"/>
        </w:rPr>
        <w:t>ACUERDO</w:t>
      </w:r>
    </w:p>
    <w:p w14:paraId="0D7FFEFE" w14:textId="77777777" w:rsidR="00BC476A" w:rsidRPr="00AC347B" w:rsidRDefault="00BC476A" w:rsidP="00BC476A">
      <w:pPr>
        <w:autoSpaceDE w:val="0"/>
        <w:autoSpaceDN w:val="0"/>
        <w:adjustRightInd w:val="0"/>
        <w:jc w:val="both"/>
        <w:rPr>
          <w:rFonts w:ascii="Abadi" w:hAnsi="Abadi" w:cs="*Arial-Bold-6254-Identity-H"/>
          <w:b/>
          <w:bCs/>
          <w:color w:val="0C0C13"/>
          <w:sz w:val="21"/>
          <w:szCs w:val="21"/>
        </w:rPr>
      </w:pPr>
    </w:p>
    <w:p w14:paraId="0265FFCA" w14:textId="17CC0111" w:rsidR="00BC476A" w:rsidRDefault="00BC476A" w:rsidP="00BC476A">
      <w:pPr>
        <w:autoSpaceDE w:val="0"/>
        <w:autoSpaceDN w:val="0"/>
        <w:adjustRightInd w:val="0"/>
        <w:jc w:val="both"/>
        <w:rPr>
          <w:rFonts w:ascii="Abadi" w:hAnsi="Abadi" w:cs="*Microsoft Sans Serif-6255-Iden"/>
          <w:color w:val="141415"/>
          <w:sz w:val="21"/>
          <w:szCs w:val="21"/>
        </w:rPr>
      </w:pPr>
      <w:r w:rsidRPr="00AC347B">
        <w:rPr>
          <w:rFonts w:ascii="Abadi" w:hAnsi="Abadi" w:cs="*Microsoft Sans Serif-6255-Iden"/>
          <w:color w:val="141415"/>
          <w:sz w:val="21"/>
          <w:szCs w:val="21"/>
        </w:rPr>
        <w:t>Único. La Sexagésima Quinta Legislatura del Congreso del Estado Libre</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y Soberano de Guanajuato ordeno se dé archivo definitivo al punto de</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acuerdo con el fin de enviar un exhorto a la Cámara de Diputados del</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 xml:space="preserve">Honorable Congreso de </w:t>
      </w:r>
      <w:r>
        <w:rPr>
          <w:rFonts w:ascii="Abadi" w:hAnsi="Abadi" w:cs="*Microsoft Sans Serif-6255-Iden"/>
          <w:color w:val="141415"/>
          <w:sz w:val="21"/>
          <w:szCs w:val="21"/>
        </w:rPr>
        <w:t>la</w:t>
      </w:r>
      <w:r w:rsidRPr="00AC347B">
        <w:rPr>
          <w:rFonts w:ascii="Abadi" w:hAnsi="Abadi" w:cs="*Microsoft Sans Serif-6255-Iden"/>
          <w:color w:val="141415"/>
          <w:sz w:val="21"/>
          <w:szCs w:val="21"/>
        </w:rPr>
        <w:t xml:space="preserve"> Unión, a efecto de aprobar la iniciativa de</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reformas a la Constitución Política de los Estados Unidos Mexicanos, en</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materia energética, presentada por el presidente de la república, por la que</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se reforman los artículos 25, 27, y 28 de la Constitución Política de los Estados</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Unidos Mexicanos, así como al Titular de la Secretaría de Desarrollo</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Económico Sustentable, a efecto de realizar foros sobre la misma, para ver</w:t>
      </w:r>
      <w:r>
        <w:rPr>
          <w:rFonts w:ascii="Abadi" w:hAnsi="Abadi" w:cs="*Microsoft Sans Serif-6255-Iden"/>
          <w:color w:val="141415"/>
          <w:sz w:val="21"/>
          <w:szCs w:val="21"/>
        </w:rPr>
        <w:t xml:space="preserve"> </w:t>
      </w:r>
      <w:r w:rsidRPr="00AC347B">
        <w:rPr>
          <w:rFonts w:ascii="Abadi" w:hAnsi="Abadi" w:cs="*Microsoft Sans Serif-6255-Iden"/>
          <w:color w:val="141415"/>
          <w:sz w:val="21"/>
          <w:szCs w:val="21"/>
        </w:rPr>
        <w:t>sus impactos económicos y sociales.</w:t>
      </w:r>
    </w:p>
    <w:p w14:paraId="0851972F" w14:textId="3D21ADC8" w:rsidR="00BC476A" w:rsidRDefault="00BC476A" w:rsidP="00BC476A">
      <w:pPr>
        <w:autoSpaceDE w:val="0"/>
        <w:autoSpaceDN w:val="0"/>
        <w:adjustRightInd w:val="0"/>
        <w:jc w:val="both"/>
        <w:rPr>
          <w:rFonts w:ascii="Abadi" w:hAnsi="Abadi" w:cs="*Microsoft Sans Serif-6255-Iden"/>
          <w:color w:val="141415"/>
          <w:sz w:val="21"/>
          <w:szCs w:val="21"/>
        </w:rPr>
      </w:pPr>
    </w:p>
    <w:p w14:paraId="4309E40F" w14:textId="77777777" w:rsidR="00BC476A" w:rsidRPr="00D417E3" w:rsidRDefault="00BC476A" w:rsidP="00BC476A">
      <w:pPr>
        <w:jc w:val="both"/>
        <w:rPr>
          <w:rFonts w:ascii="Abadi" w:hAnsi="Abadi" w:cs="*Courier New-7673-Identity-H"/>
          <w:b/>
          <w:bCs/>
          <w:color w:val="19191A"/>
          <w:sz w:val="21"/>
          <w:szCs w:val="21"/>
        </w:rPr>
      </w:pPr>
      <w:r w:rsidRPr="00D417E3">
        <w:rPr>
          <w:rFonts w:ascii="Abadi" w:hAnsi="Abadi" w:cs="*Courier New-7673-Identity-H"/>
          <w:b/>
          <w:bCs/>
          <w:color w:val="19191A"/>
          <w:sz w:val="21"/>
          <w:szCs w:val="21"/>
        </w:rPr>
        <w:t>Guanajuato, Gto. 05 de mayo de 2022</w:t>
      </w:r>
    </w:p>
    <w:p w14:paraId="6D7EFA19" w14:textId="77777777" w:rsidR="00BC476A" w:rsidRDefault="00BC476A" w:rsidP="00BC476A">
      <w:pPr>
        <w:jc w:val="both"/>
        <w:rPr>
          <w:rFonts w:ascii="Abadi" w:hAnsi="Abadi" w:cs="*Courier New-7673-Identity-H"/>
          <w:color w:val="19191A"/>
          <w:sz w:val="21"/>
          <w:szCs w:val="21"/>
        </w:rPr>
      </w:pPr>
    </w:p>
    <w:p w14:paraId="3B4D8B71" w14:textId="77777777" w:rsidR="00BC476A" w:rsidRPr="00AA608E" w:rsidRDefault="00BC476A" w:rsidP="00BC476A">
      <w:pPr>
        <w:jc w:val="both"/>
        <w:rPr>
          <w:rFonts w:ascii="Abadi" w:hAnsi="Abadi" w:cs="*Microsoft Sans Serif-Bold-7053"/>
          <w:b/>
          <w:bCs/>
          <w:color w:val="0D0C10"/>
          <w:sz w:val="21"/>
          <w:szCs w:val="21"/>
        </w:rPr>
      </w:pPr>
      <w:r>
        <w:rPr>
          <w:rFonts w:ascii="Abadi" w:hAnsi="Abadi" w:cs="*Microsoft Sans Serif-Bold-7053"/>
          <w:b/>
          <w:bCs/>
          <w:color w:val="0D0C10"/>
          <w:sz w:val="21"/>
          <w:szCs w:val="21"/>
        </w:rPr>
        <w:t xml:space="preserve">La </w:t>
      </w:r>
      <w:r w:rsidRPr="00AA608E">
        <w:rPr>
          <w:rFonts w:ascii="Abadi" w:hAnsi="Abadi" w:cs="*Microsoft Sans Serif-Bold-7053"/>
          <w:b/>
          <w:bCs/>
          <w:color w:val="0D0C10"/>
          <w:sz w:val="21"/>
          <w:szCs w:val="21"/>
        </w:rPr>
        <w:t>Comisión de Desarrollo Económico y Social</w:t>
      </w:r>
    </w:p>
    <w:p w14:paraId="28EB395B" w14:textId="77777777" w:rsidR="00BC476A" w:rsidRPr="003C596E" w:rsidRDefault="00BC476A" w:rsidP="00BC476A">
      <w:pPr>
        <w:jc w:val="both"/>
        <w:rPr>
          <w:rFonts w:ascii="Abadi" w:hAnsi="Abadi" w:cs="*Courier New-7673-Identity-H"/>
          <w:color w:val="19191A"/>
          <w:sz w:val="21"/>
          <w:szCs w:val="21"/>
        </w:rPr>
      </w:pPr>
    </w:p>
    <w:p w14:paraId="63042096" w14:textId="77777777" w:rsidR="00BC476A" w:rsidRPr="003C596E" w:rsidRDefault="00BC476A" w:rsidP="00BC476A">
      <w:pPr>
        <w:contextualSpacing/>
        <w:jc w:val="both"/>
        <w:rPr>
          <w:rFonts w:ascii="Abadi" w:hAnsi="Abadi"/>
          <w:b/>
          <w:bCs/>
          <w:sz w:val="21"/>
          <w:szCs w:val="21"/>
        </w:rPr>
      </w:pPr>
      <w:r w:rsidRPr="003C596E">
        <w:rPr>
          <w:rFonts w:ascii="Abadi" w:hAnsi="Abadi"/>
          <w:b/>
          <w:bCs/>
          <w:sz w:val="21"/>
          <w:szCs w:val="21"/>
        </w:rPr>
        <w:t xml:space="preserve">Dip. Miguel Ángel Salim Alle </w:t>
      </w:r>
    </w:p>
    <w:p w14:paraId="3063141A" w14:textId="77777777" w:rsidR="00BC476A" w:rsidRPr="003C596E" w:rsidRDefault="00BC476A" w:rsidP="00BC476A">
      <w:pPr>
        <w:contextualSpacing/>
        <w:jc w:val="both"/>
        <w:rPr>
          <w:rFonts w:ascii="Abadi" w:hAnsi="Abadi"/>
          <w:b/>
          <w:bCs/>
          <w:sz w:val="21"/>
          <w:szCs w:val="21"/>
        </w:rPr>
      </w:pPr>
      <w:r w:rsidRPr="003C596E">
        <w:rPr>
          <w:rFonts w:ascii="Abadi" w:hAnsi="Abadi"/>
          <w:b/>
          <w:bCs/>
          <w:sz w:val="21"/>
          <w:szCs w:val="21"/>
        </w:rPr>
        <w:t>Presidente</w:t>
      </w:r>
    </w:p>
    <w:p w14:paraId="6406FBB7" w14:textId="77777777" w:rsidR="00BC476A" w:rsidRDefault="00BC476A" w:rsidP="00BC476A">
      <w:pPr>
        <w:contextualSpacing/>
        <w:jc w:val="both"/>
        <w:rPr>
          <w:rFonts w:ascii="Abadi" w:hAnsi="Abadi"/>
          <w:b/>
          <w:bCs/>
          <w:sz w:val="21"/>
          <w:szCs w:val="21"/>
        </w:rPr>
      </w:pPr>
      <w:r w:rsidRPr="003C596E">
        <w:rPr>
          <w:rFonts w:ascii="Abadi" w:hAnsi="Abadi"/>
          <w:b/>
          <w:bCs/>
          <w:sz w:val="21"/>
          <w:szCs w:val="21"/>
        </w:rPr>
        <w:t>Dip. Alejandro Arias Ávila</w:t>
      </w:r>
    </w:p>
    <w:p w14:paraId="7AF38640" w14:textId="77777777" w:rsidR="00BC476A" w:rsidRPr="003C596E" w:rsidRDefault="00BC476A" w:rsidP="00BC476A">
      <w:pPr>
        <w:contextualSpacing/>
        <w:jc w:val="both"/>
        <w:rPr>
          <w:rFonts w:ascii="Abadi" w:hAnsi="Abadi"/>
          <w:b/>
          <w:bCs/>
          <w:sz w:val="21"/>
          <w:szCs w:val="21"/>
        </w:rPr>
      </w:pPr>
      <w:r w:rsidRPr="00DB7A14">
        <w:rPr>
          <w:rFonts w:ascii="Abadi" w:hAnsi="Abadi"/>
          <w:b/>
          <w:bCs/>
          <w:sz w:val="21"/>
          <w:szCs w:val="21"/>
        </w:rPr>
        <w:t xml:space="preserve"> </w:t>
      </w:r>
      <w:r w:rsidRPr="003C596E">
        <w:rPr>
          <w:rFonts w:ascii="Abadi" w:hAnsi="Abadi"/>
          <w:b/>
          <w:bCs/>
          <w:sz w:val="21"/>
          <w:szCs w:val="21"/>
        </w:rPr>
        <w:t>Secretario</w:t>
      </w:r>
    </w:p>
    <w:p w14:paraId="6B723F3B" w14:textId="77777777" w:rsidR="00BC476A" w:rsidRPr="003C596E" w:rsidRDefault="00BC476A" w:rsidP="00BC476A">
      <w:pPr>
        <w:contextualSpacing/>
        <w:jc w:val="both"/>
        <w:rPr>
          <w:rFonts w:ascii="Abadi" w:hAnsi="Abadi"/>
          <w:b/>
          <w:bCs/>
          <w:sz w:val="21"/>
          <w:szCs w:val="21"/>
        </w:rPr>
      </w:pPr>
      <w:r w:rsidRPr="003C596E">
        <w:rPr>
          <w:rFonts w:ascii="Abadi" w:hAnsi="Abadi"/>
          <w:b/>
          <w:bCs/>
          <w:sz w:val="21"/>
          <w:szCs w:val="21"/>
        </w:rPr>
        <w:t xml:space="preserve">Dip. Janet Melanie Murillo Chávez </w:t>
      </w:r>
    </w:p>
    <w:p w14:paraId="18F0AF8D" w14:textId="77777777" w:rsidR="00BC476A" w:rsidRPr="003C596E" w:rsidRDefault="00BC476A" w:rsidP="00BC476A">
      <w:pPr>
        <w:contextualSpacing/>
        <w:jc w:val="both"/>
        <w:rPr>
          <w:rFonts w:ascii="Abadi" w:hAnsi="Abadi"/>
          <w:b/>
          <w:bCs/>
          <w:sz w:val="21"/>
          <w:szCs w:val="21"/>
        </w:rPr>
      </w:pPr>
      <w:r w:rsidRPr="003C596E">
        <w:rPr>
          <w:rFonts w:ascii="Abadi" w:hAnsi="Abadi"/>
          <w:b/>
          <w:bCs/>
          <w:sz w:val="21"/>
          <w:szCs w:val="21"/>
        </w:rPr>
        <w:t>Vocal</w:t>
      </w:r>
    </w:p>
    <w:p w14:paraId="648B641A" w14:textId="77777777" w:rsidR="00BC476A" w:rsidRPr="003C596E" w:rsidRDefault="00BC476A" w:rsidP="00BC476A">
      <w:pPr>
        <w:contextualSpacing/>
        <w:jc w:val="both"/>
        <w:rPr>
          <w:rFonts w:ascii="Abadi" w:hAnsi="Abadi"/>
          <w:b/>
          <w:bCs/>
          <w:sz w:val="21"/>
          <w:szCs w:val="21"/>
        </w:rPr>
      </w:pPr>
      <w:r w:rsidRPr="003C596E">
        <w:rPr>
          <w:rFonts w:ascii="Abadi" w:hAnsi="Abadi"/>
          <w:b/>
          <w:bCs/>
          <w:sz w:val="21"/>
          <w:szCs w:val="21"/>
        </w:rPr>
        <w:t xml:space="preserve">Dip. Víctor Manuel Zanella Huerta </w:t>
      </w:r>
    </w:p>
    <w:p w14:paraId="528C15E8" w14:textId="77777777" w:rsidR="00BC476A" w:rsidRDefault="00BC476A" w:rsidP="00BC476A">
      <w:pPr>
        <w:contextualSpacing/>
        <w:jc w:val="both"/>
        <w:rPr>
          <w:rFonts w:ascii="Abadi" w:hAnsi="Abadi"/>
          <w:b/>
          <w:bCs/>
          <w:sz w:val="21"/>
          <w:szCs w:val="21"/>
        </w:rPr>
      </w:pPr>
      <w:r w:rsidRPr="003C596E">
        <w:rPr>
          <w:rFonts w:ascii="Abadi" w:hAnsi="Abadi"/>
          <w:b/>
          <w:bCs/>
          <w:sz w:val="21"/>
          <w:szCs w:val="21"/>
        </w:rPr>
        <w:t>Vocal</w:t>
      </w:r>
    </w:p>
    <w:p w14:paraId="633144AA" w14:textId="77777777" w:rsidR="00BC476A" w:rsidRDefault="00BC476A" w:rsidP="00BC476A">
      <w:pPr>
        <w:contextualSpacing/>
        <w:jc w:val="both"/>
        <w:rPr>
          <w:rFonts w:ascii="Abadi" w:hAnsi="Abadi"/>
          <w:b/>
          <w:bCs/>
          <w:sz w:val="21"/>
          <w:szCs w:val="21"/>
        </w:rPr>
      </w:pPr>
      <w:r>
        <w:rPr>
          <w:rFonts w:ascii="Abadi" w:hAnsi="Abadi"/>
          <w:b/>
          <w:bCs/>
          <w:sz w:val="21"/>
          <w:szCs w:val="21"/>
        </w:rPr>
        <w:t>Dip. Martha Edith Moreno Valencia</w:t>
      </w:r>
    </w:p>
    <w:p w14:paraId="7424105C" w14:textId="6048D5DC" w:rsidR="00BC476A" w:rsidRDefault="00BC476A" w:rsidP="00BC476A">
      <w:pPr>
        <w:contextualSpacing/>
        <w:jc w:val="both"/>
        <w:rPr>
          <w:rFonts w:ascii="Abadi" w:hAnsi="Abadi"/>
          <w:b/>
          <w:bCs/>
          <w:sz w:val="21"/>
          <w:szCs w:val="21"/>
        </w:rPr>
      </w:pPr>
      <w:r>
        <w:rPr>
          <w:rFonts w:ascii="Abadi" w:hAnsi="Abadi"/>
          <w:b/>
          <w:bCs/>
          <w:sz w:val="21"/>
          <w:szCs w:val="21"/>
        </w:rPr>
        <w:t>Vocal</w:t>
      </w:r>
    </w:p>
    <w:p w14:paraId="16EB72B9" w14:textId="5DF1E8DF" w:rsidR="00173C1B" w:rsidRDefault="00173C1B" w:rsidP="00BC476A">
      <w:pPr>
        <w:contextualSpacing/>
        <w:jc w:val="both"/>
        <w:rPr>
          <w:rFonts w:ascii="Abadi" w:hAnsi="Abadi"/>
          <w:b/>
          <w:bCs/>
          <w:sz w:val="21"/>
          <w:szCs w:val="21"/>
        </w:rPr>
      </w:pPr>
    </w:p>
    <w:p w14:paraId="7927BA08" w14:textId="0418BAEC" w:rsidR="00CA2ADD" w:rsidRDefault="00CA2ADD" w:rsidP="00BC476A">
      <w:pPr>
        <w:contextualSpacing/>
        <w:jc w:val="both"/>
        <w:rPr>
          <w:rFonts w:ascii="Abadi" w:hAnsi="Abadi"/>
          <w:b/>
          <w:bCs/>
          <w:sz w:val="21"/>
          <w:szCs w:val="21"/>
        </w:rPr>
      </w:pPr>
    </w:p>
    <w:p w14:paraId="3DCEBFDB" w14:textId="2F8C145A" w:rsidR="001F1C64" w:rsidRDefault="001F1C64" w:rsidP="001F1C64">
      <w:pPr>
        <w:ind w:firstLine="708"/>
        <w:jc w:val="both"/>
        <w:rPr>
          <w:rFonts w:ascii="Abadi" w:hAnsi="Abadi"/>
          <w:sz w:val="21"/>
          <w:szCs w:val="21"/>
        </w:rPr>
      </w:pPr>
      <w:r>
        <w:rPr>
          <w:rFonts w:ascii="Abadi" w:hAnsi="Abadi"/>
          <w:b/>
          <w:bCs/>
          <w:sz w:val="21"/>
          <w:szCs w:val="21"/>
        </w:rPr>
        <w:t xml:space="preserve">- </w:t>
      </w:r>
      <w:r w:rsidRPr="001F1C64">
        <w:rPr>
          <w:rFonts w:ascii="Abadi" w:hAnsi="Abadi"/>
          <w:b/>
          <w:bCs/>
          <w:sz w:val="21"/>
          <w:szCs w:val="21"/>
        </w:rPr>
        <w:t>La Presidencia.-</w:t>
      </w:r>
      <w:r w:rsidRPr="001F1C64">
        <w:rPr>
          <w:rFonts w:ascii="Abadi" w:hAnsi="Abadi"/>
          <w:sz w:val="21"/>
          <w:szCs w:val="21"/>
        </w:rPr>
        <w:t xml:space="preserve"> En seguida se somete a discusión el dictamen signado por la Comisión de Desarrollo Económico y Social, relativo a la propuesta de punto de acuerdo formulada por la diputada Martha Edith Moreno Valencia, integrante del Grupo Parlamentario del Partido Morena,  con la finalidad de enviar un exhorto a la Cámara de Diputados del Honorable Congreso de la Unión a efecto de aprobar la iniciativa de reformas a la Constitución Política de los Estados Unidos Mexicanos, en materia energética, presentada por el Presidente de la República, licenciado Andrés Manuel López Obrador, por lo que se reforman los artículos 25, 27 y 28 de la Constitución Política de los Estados Unidos Mexicanos, así como el titular de la Secretaría de Desarrollo Económico Sustentable, a efecto de realizar foros sobre la reforma energética promovida por el licenciado Presidente Andrés Manuel López Obrador, para que para ver sus impactos económicos y sociales.</w:t>
      </w:r>
    </w:p>
    <w:p w14:paraId="2BF594D7" w14:textId="77777777" w:rsidR="001F1C64" w:rsidRPr="001F1C64" w:rsidRDefault="001F1C64" w:rsidP="001F1C64">
      <w:pPr>
        <w:ind w:firstLine="708"/>
        <w:jc w:val="both"/>
        <w:rPr>
          <w:rFonts w:ascii="Abadi" w:hAnsi="Abadi"/>
          <w:sz w:val="21"/>
          <w:szCs w:val="21"/>
        </w:rPr>
      </w:pPr>
    </w:p>
    <w:p w14:paraId="3FA31212" w14:textId="4AE4A780" w:rsidR="001F1C64" w:rsidRDefault="001F1C64" w:rsidP="001F1C64">
      <w:pPr>
        <w:ind w:firstLine="708"/>
        <w:jc w:val="both"/>
        <w:rPr>
          <w:rFonts w:ascii="Abadi" w:hAnsi="Abadi"/>
          <w:sz w:val="21"/>
          <w:szCs w:val="21"/>
        </w:rPr>
      </w:pPr>
      <w:r>
        <w:rPr>
          <w:rFonts w:ascii="Abadi" w:hAnsi="Abadi"/>
          <w:sz w:val="21"/>
          <w:szCs w:val="21"/>
        </w:rPr>
        <w:t xml:space="preserve">- </w:t>
      </w:r>
      <w:r w:rsidRPr="001F1C64">
        <w:rPr>
          <w:rFonts w:ascii="Abadi" w:hAnsi="Abadi"/>
          <w:sz w:val="21"/>
          <w:szCs w:val="21"/>
        </w:rPr>
        <w:t xml:space="preserve">Si alguna diputada o algún diputado desea hacer uso de la palabra en pro o en contra, manifiéstenlo indicando el sentido de su participación. </w:t>
      </w:r>
    </w:p>
    <w:p w14:paraId="691197BF" w14:textId="77777777" w:rsidR="001F1C64" w:rsidRPr="001F1C64" w:rsidRDefault="001F1C64" w:rsidP="001F1C64">
      <w:pPr>
        <w:jc w:val="both"/>
        <w:rPr>
          <w:rFonts w:ascii="Abadi" w:hAnsi="Abadi"/>
          <w:sz w:val="21"/>
          <w:szCs w:val="21"/>
        </w:rPr>
      </w:pPr>
    </w:p>
    <w:p w14:paraId="6DF90A63" w14:textId="6E1352A6" w:rsidR="001F1C64" w:rsidRDefault="001F1C64" w:rsidP="001F1C64">
      <w:pPr>
        <w:ind w:firstLine="708"/>
        <w:jc w:val="both"/>
        <w:rPr>
          <w:rFonts w:ascii="Abadi" w:hAnsi="Abadi"/>
          <w:sz w:val="21"/>
          <w:szCs w:val="21"/>
        </w:rPr>
      </w:pPr>
      <w:r>
        <w:rPr>
          <w:rFonts w:ascii="Abadi" w:hAnsi="Abadi"/>
          <w:sz w:val="21"/>
          <w:szCs w:val="21"/>
        </w:rPr>
        <w:t xml:space="preserve">- </w:t>
      </w:r>
      <w:r w:rsidRPr="001F1C64">
        <w:rPr>
          <w:rFonts w:ascii="Abadi" w:hAnsi="Abadi"/>
          <w:sz w:val="21"/>
          <w:szCs w:val="21"/>
        </w:rPr>
        <w:t xml:space="preserve">En virtud de no haber participaciones se pide la Secretaria que proceda recabar votación nominal de la Asamblea a través del sistema electrónico a efecto de aprobar o no el dictamen puesto a su consideración. </w:t>
      </w:r>
    </w:p>
    <w:p w14:paraId="7656A58F" w14:textId="77777777" w:rsidR="001F1C64" w:rsidRPr="001F1C64" w:rsidRDefault="001F1C64" w:rsidP="001F1C64">
      <w:pPr>
        <w:ind w:firstLine="708"/>
        <w:jc w:val="both"/>
        <w:rPr>
          <w:rFonts w:ascii="Abadi" w:hAnsi="Abadi"/>
          <w:sz w:val="21"/>
          <w:szCs w:val="21"/>
        </w:rPr>
      </w:pPr>
    </w:p>
    <w:p w14:paraId="06106D9B" w14:textId="77777777" w:rsidR="001F1C64" w:rsidRPr="001F1C64" w:rsidRDefault="001F1C64" w:rsidP="001F1C64">
      <w:pPr>
        <w:jc w:val="center"/>
        <w:rPr>
          <w:rFonts w:ascii="Abadi" w:hAnsi="Abadi"/>
          <w:b/>
          <w:bCs/>
          <w:sz w:val="21"/>
          <w:szCs w:val="21"/>
        </w:rPr>
      </w:pPr>
      <w:r w:rsidRPr="001F1C64">
        <w:rPr>
          <w:rFonts w:ascii="Abadi" w:hAnsi="Abadi"/>
          <w:b/>
          <w:bCs/>
          <w:sz w:val="21"/>
          <w:szCs w:val="21"/>
        </w:rPr>
        <w:t>(Se abre el sistema electronico)</w:t>
      </w:r>
    </w:p>
    <w:p w14:paraId="0E9BFA1C" w14:textId="77777777" w:rsidR="001F1C64" w:rsidRDefault="001F1C64" w:rsidP="001F1C64">
      <w:pPr>
        <w:jc w:val="both"/>
        <w:rPr>
          <w:rFonts w:ascii="Abadi" w:hAnsi="Abadi"/>
          <w:b/>
          <w:bCs/>
          <w:sz w:val="21"/>
          <w:szCs w:val="21"/>
        </w:rPr>
      </w:pPr>
    </w:p>
    <w:p w14:paraId="3F498DAE" w14:textId="64D42253" w:rsidR="001F1C64" w:rsidRDefault="001F1C64" w:rsidP="001F1C64">
      <w:pPr>
        <w:ind w:firstLine="708"/>
        <w:jc w:val="both"/>
        <w:rPr>
          <w:rFonts w:ascii="Abadi" w:hAnsi="Abadi"/>
          <w:sz w:val="21"/>
          <w:szCs w:val="21"/>
        </w:rPr>
      </w:pPr>
      <w:r>
        <w:rPr>
          <w:rFonts w:ascii="Abadi" w:hAnsi="Abadi"/>
          <w:b/>
          <w:bCs/>
          <w:sz w:val="21"/>
          <w:szCs w:val="21"/>
        </w:rPr>
        <w:t xml:space="preserve">- </w:t>
      </w:r>
      <w:r w:rsidRPr="001F1C64">
        <w:rPr>
          <w:rFonts w:ascii="Abadi" w:hAnsi="Abadi"/>
          <w:b/>
          <w:bCs/>
          <w:sz w:val="21"/>
          <w:szCs w:val="21"/>
        </w:rPr>
        <w:t>La Secretaria.-</w:t>
      </w:r>
      <w:r w:rsidRPr="001F1C64">
        <w:rPr>
          <w:rFonts w:ascii="Abadi" w:hAnsi="Abadi"/>
          <w:sz w:val="21"/>
          <w:szCs w:val="21"/>
        </w:rPr>
        <w:t xml:space="preserve"> En votación nominal por el sistema electrónico, se pregunta a las diputadas y los diputados si se aprueba el dictamen puesto a su consideración. </w:t>
      </w:r>
    </w:p>
    <w:p w14:paraId="3935C749" w14:textId="77777777" w:rsidR="001F1C64" w:rsidRPr="001F1C64" w:rsidRDefault="001F1C64" w:rsidP="001F1C64">
      <w:pPr>
        <w:ind w:firstLine="708"/>
        <w:jc w:val="both"/>
        <w:rPr>
          <w:rFonts w:ascii="Abadi" w:hAnsi="Abadi"/>
          <w:sz w:val="21"/>
          <w:szCs w:val="21"/>
        </w:rPr>
      </w:pPr>
    </w:p>
    <w:p w14:paraId="03CD12CC" w14:textId="5F2AFC08" w:rsidR="001F1C64" w:rsidRDefault="001F1C64" w:rsidP="001F1C64">
      <w:pPr>
        <w:jc w:val="both"/>
        <w:rPr>
          <w:rFonts w:ascii="Abadi" w:hAnsi="Abadi"/>
          <w:sz w:val="21"/>
          <w:szCs w:val="21"/>
        </w:rPr>
      </w:pPr>
      <w:r w:rsidRPr="001F1C64">
        <w:rPr>
          <w:rFonts w:ascii="Abadi" w:hAnsi="Abadi"/>
          <w:sz w:val="21"/>
          <w:szCs w:val="21"/>
        </w:rPr>
        <w:t xml:space="preserve">¿Falta alguna diputada, algún diputado de emitir su voto? </w:t>
      </w:r>
    </w:p>
    <w:p w14:paraId="0F13A7CF" w14:textId="77777777" w:rsidR="001F1C64" w:rsidRPr="001F1C64" w:rsidRDefault="001F1C64" w:rsidP="001F1C64">
      <w:pPr>
        <w:jc w:val="both"/>
        <w:rPr>
          <w:rFonts w:ascii="Abadi" w:hAnsi="Abadi"/>
          <w:sz w:val="21"/>
          <w:szCs w:val="21"/>
        </w:rPr>
      </w:pPr>
    </w:p>
    <w:p w14:paraId="6D56D3A1" w14:textId="77777777" w:rsidR="001F1C64" w:rsidRPr="001F1C64" w:rsidRDefault="001F1C64" w:rsidP="001F1C64">
      <w:pPr>
        <w:jc w:val="center"/>
        <w:rPr>
          <w:rFonts w:ascii="Abadi" w:hAnsi="Abadi"/>
          <w:b/>
          <w:bCs/>
          <w:sz w:val="21"/>
          <w:szCs w:val="21"/>
        </w:rPr>
      </w:pPr>
      <w:r w:rsidRPr="001F1C64">
        <w:rPr>
          <w:rFonts w:ascii="Abadi" w:hAnsi="Abadi"/>
          <w:b/>
          <w:bCs/>
          <w:sz w:val="21"/>
          <w:szCs w:val="21"/>
        </w:rPr>
        <w:t>(Se cierra el sistema electrónico)</w:t>
      </w:r>
    </w:p>
    <w:p w14:paraId="3701B82E" w14:textId="77777777" w:rsidR="001F1C64" w:rsidRPr="001F1C64" w:rsidRDefault="001F1C64" w:rsidP="001F1C64">
      <w:pPr>
        <w:jc w:val="both"/>
        <w:rPr>
          <w:rFonts w:ascii="Abadi" w:hAnsi="Abadi"/>
          <w:b/>
          <w:bCs/>
          <w:sz w:val="21"/>
          <w:szCs w:val="21"/>
        </w:rPr>
      </w:pPr>
    </w:p>
    <w:p w14:paraId="58039DBE" w14:textId="77777777" w:rsidR="001F1C64" w:rsidRPr="001F1C64" w:rsidRDefault="001F1C64" w:rsidP="001F1C64">
      <w:pPr>
        <w:jc w:val="both"/>
        <w:rPr>
          <w:rFonts w:ascii="Abadi" w:hAnsi="Abadi"/>
          <w:b/>
          <w:bCs/>
          <w:sz w:val="21"/>
          <w:szCs w:val="21"/>
        </w:rPr>
      </w:pPr>
      <w:r w:rsidRPr="001F1C64">
        <w:rPr>
          <w:rFonts w:ascii="Abadi" w:hAnsi="Abadi"/>
          <w:noProof/>
          <w:sz w:val="21"/>
          <w:szCs w:val="21"/>
        </w:rPr>
        <w:drawing>
          <wp:inline distT="0" distB="0" distL="0" distR="0" wp14:anchorId="69885AD7" wp14:editId="2F11E297">
            <wp:extent cx="1932317" cy="1086846"/>
            <wp:effectExtent l="152400" t="152400" r="353695" b="3613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939465" cy="1090866"/>
                    </a:xfrm>
                    <a:prstGeom prst="rect">
                      <a:avLst/>
                    </a:prstGeom>
                    <a:ln>
                      <a:noFill/>
                    </a:ln>
                    <a:effectLst>
                      <a:outerShdw blurRad="292100" dist="139700" dir="2700000" algn="tl" rotWithShape="0">
                        <a:srgbClr val="333333">
                          <a:alpha val="65000"/>
                        </a:srgbClr>
                      </a:outerShdw>
                    </a:effectLst>
                  </pic:spPr>
                </pic:pic>
              </a:graphicData>
            </a:graphic>
          </wp:inline>
        </w:drawing>
      </w:r>
    </w:p>
    <w:p w14:paraId="05669017" w14:textId="1991CF96" w:rsidR="001F1C64" w:rsidRDefault="001F1C64" w:rsidP="001F1C64">
      <w:pPr>
        <w:ind w:firstLine="708"/>
        <w:jc w:val="both"/>
        <w:rPr>
          <w:rFonts w:ascii="Abadi" w:hAnsi="Abadi"/>
          <w:sz w:val="21"/>
          <w:szCs w:val="21"/>
        </w:rPr>
      </w:pPr>
      <w:r>
        <w:rPr>
          <w:rFonts w:ascii="Abadi" w:hAnsi="Abadi"/>
          <w:b/>
          <w:bCs/>
          <w:sz w:val="21"/>
          <w:szCs w:val="21"/>
        </w:rPr>
        <w:t xml:space="preserve">- </w:t>
      </w:r>
      <w:r w:rsidRPr="001F1C64">
        <w:rPr>
          <w:rFonts w:ascii="Abadi" w:hAnsi="Abadi"/>
          <w:b/>
          <w:bCs/>
          <w:sz w:val="21"/>
          <w:szCs w:val="21"/>
        </w:rPr>
        <w:t>La Secretaria.-</w:t>
      </w:r>
      <w:r w:rsidRPr="001F1C64">
        <w:rPr>
          <w:rFonts w:ascii="Abadi" w:hAnsi="Abadi"/>
          <w:sz w:val="21"/>
          <w:szCs w:val="21"/>
        </w:rPr>
        <w:t xml:space="preserve"> Se registraron 32 votos a favor. </w:t>
      </w:r>
    </w:p>
    <w:p w14:paraId="6AC6A1DC" w14:textId="77777777" w:rsidR="001F1C64" w:rsidRPr="001F1C64" w:rsidRDefault="001F1C64" w:rsidP="001F1C64">
      <w:pPr>
        <w:jc w:val="both"/>
        <w:rPr>
          <w:rFonts w:ascii="Abadi" w:hAnsi="Abadi"/>
          <w:sz w:val="21"/>
          <w:szCs w:val="21"/>
        </w:rPr>
      </w:pPr>
    </w:p>
    <w:p w14:paraId="4AB267D2" w14:textId="29DCBF0E" w:rsidR="001F1C64" w:rsidRPr="001F1C64" w:rsidRDefault="001F1C64" w:rsidP="001F1C64">
      <w:pPr>
        <w:ind w:firstLine="708"/>
        <w:jc w:val="both"/>
        <w:rPr>
          <w:rFonts w:ascii="Abadi" w:hAnsi="Abadi"/>
          <w:sz w:val="21"/>
          <w:szCs w:val="21"/>
        </w:rPr>
      </w:pPr>
      <w:r>
        <w:rPr>
          <w:rFonts w:ascii="Abadi" w:hAnsi="Abadi"/>
          <w:b/>
          <w:bCs/>
          <w:sz w:val="21"/>
          <w:szCs w:val="21"/>
        </w:rPr>
        <w:t xml:space="preserve">- </w:t>
      </w:r>
      <w:r w:rsidRPr="001F1C64">
        <w:rPr>
          <w:rFonts w:ascii="Abadi" w:hAnsi="Abadi"/>
          <w:b/>
          <w:bCs/>
          <w:sz w:val="21"/>
          <w:szCs w:val="21"/>
        </w:rPr>
        <w:t>La Presidencia.-</w:t>
      </w:r>
      <w:r w:rsidRPr="001F1C64">
        <w:rPr>
          <w:rFonts w:ascii="Abadi" w:hAnsi="Abadi"/>
          <w:sz w:val="21"/>
          <w:szCs w:val="21"/>
        </w:rPr>
        <w:t xml:space="preserve"> El dictamen ha sido aprobado por unanimidad de votos.</w:t>
      </w:r>
    </w:p>
    <w:p w14:paraId="3945B63C" w14:textId="613C6816" w:rsidR="001F1C64" w:rsidRDefault="001F1C64" w:rsidP="001F1C64">
      <w:pPr>
        <w:jc w:val="both"/>
        <w:rPr>
          <w:rFonts w:ascii="Abadi" w:hAnsi="Abadi"/>
          <w:sz w:val="21"/>
          <w:szCs w:val="21"/>
        </w:rPr>
      </w:pPr>
      <w:r w:rsidRPr="001F1C64">
        <w:rPr>
          <w:rFonts w:ascii="Abadi" w:hAnsi="Abadi"/>
          <w:sz w:val="21"/>
          <w:szCs w:val="21"/>
        </w:rPr>
        <w:t xml:space="preserve">En consecuencia. </w:t>
      </w:r>
    </w:p>
    <w:p w14:paraId="65720282" w14:textId="77777777" w:rsidR="001F1C64" w:rsidRPr="001F1C64" w:rsidRDefault="001F1C64" w:rsidP="001F1C64">
      <w:pPr>
        <w:jc w:val="both"/>
        <w:rPr>
          <w:rFonts w:ascii="Abadi" w:hAnsi="Abadi"/>
          <w:sz w:val="21"/>
          <w:szCs w:val="21"/>
        </w:rPr>
      </w:pPr>
    </w:p>
    <w:p w14:paraId="426CF88F" w14:textId="09EE32E9" w:rsidR="001F1C64" w:rsidRDefault="001F1C64" w:rsidP="001F1C64">
      <w:pPr>
        <w:ind w:left="284" w:right="425"/>
        <w:jc w:val="both"/>
        <w:rPr>
          <w:rFonts w:ascii="Abadi" w:hAnsi="Abadi"/>
          <w:b/>
          <w:bCs/>
          <w:i/>
          <w:iCs/>
          <w:sz w:val="21"/>
          <w:szCs w:val="21"/>
          <w:u w:val="single"/>
        </w:rPr>
      </w:pPr>
      <w:r w:rsidRPr="001F1C64">
        <w:rPr>
          <w:rFonts w:ascii="Abadi" w:hAnsi="Abadi"/>
          <w:b/>
          <w:bCs/>
          <w:i/>
          <w:iCs/>
          <w:sz w:val="21"/>
          <w:szCs w:val="21"/>
          <w:u w:val="single"/>
        </w:rPr>
        <w:t>Se instruye a la Secretar</w:t>
      </w:r>
      <w:r w:rsidR="00B00E8F">
        <w:rPr>
          <w:rFonts w:ascii="Abadi" w:hAnsi="Abadi"/>
          <w:b/>
          <w:bCs/>
          <w:i/>
          <w:iCs/>
          <w:sz w:val="21"/>
          <w:szCs w:val="21"/>
          <w:u w:val="single"/>
        </w:rPr>
        <w:t>í</w:t>
      </w:r>
      <w:r w:rsidRPr="001F1C64">
        <w:rPr>
          <w:rFonts w:ascii="Abadi" w:hAnsi="Abadi"/>
          <w:b/>
          <w:bCs/>
          <w:i/>
          <w:iCs/>
          <w:sz w:val="21"/>
          <w:szCs w:val="21"/>
          <w:u w:val="single"/>
        </w:rPr>
        <w:t>a General para que proceda al archivo definitivo de la propuesta de punto de acuerdo referida en el dictamen aprobado.</w:t>
      </w:r>
    </w:p>
    <w:p w14:paraId="1223BE02" w14:textId="003D1066" w:rsidR="009C01BD" w:rsidRDefault="009C01BD" w:rsidP="001F1C64">
      <w:pPr>
        <w:ind w:left="284" w:right="425"/>
        <w:jc w:val="both"/>
        <w:rPr>
          <w:rFonts w:ascii="Abadi" w:hAnsi="Abadi"/>
          <w:b/>
          <w:bCs/>
          <w:i/>
          <w:iCs/>
          <w:sz w:val="21"/>
          <w:szCs w:val="21"/>
          <w:u w:val="single"/>
        </w:rPr>
      </w:pPr>
    </w:p>
    <w:p w14:paraId="41AAB8F9" w14:textId="4D8710D5" w:rsidR="009C01BD" w:rsidRDefault="009C01BD" w:rsidP="001F1C64">
      <w:pPr>
        <w:ind w:left="284" w:right="425"/>
        <w:jc w:val="both"/>
        <w:rPr>
          <w:rFonts w:ascii="Abadi" w:hAnsi="Abadi"/>
          <w:b/>
          <w:bCs/>
          <w:i/>
          <w:iCs/>
          <w:sz w:val="21"/>
          <w:szCs w:val="21"/>
          <w:u w:val="single"/>
        </w:rPr>
      </w:pPr>
    </w:p>
    <w:p w14:paraId="27BF9C81" w14:textId="0D16B74F" w:rsidR="009C01BD" w:rsidRDefault="009C01BD" w:rsidP="009C01BD">
      <w:pPr>
        <w:ind w:firstLine="284"/>
        <w:jc w:val="both"/>
        <w:rPr>
          <w:rFonts w:ascii="Abadi" w:hAnsi="Abadi"/>
          <w:sz w:val="21"/>
          <w:szCs w:val="21"/>
        </w:rPr>
      </w:pPr>
      <w:r>
        <w:rPr>
          <w:rFonts w:ascii="Abadi" w:hAnsi="Abadi"/>
          <w:b/>
          <w:bCs/>
          <w:sz w:val="21"/>
          <w:szCs w:val="21"/>
        </w:rPr>
        <w:t xml:space="preserve">- </w:t>
      </w:r>
      <w:r w:rsidRPr="009C01BD">
        <w:rPr>
          <w:rFonts w:ascii="Abadi" w:hAnsi="Abadi"/>
          <w:b/>
          <w:bCs/>
          <w:sz w:val="21"/>
          <w:szCs w:val="21"/>
        </w:rPr>
        <w:t>La Presidencia.-</w:t>
      </w:r>
      <w:r w:rsidRPr="009C01BD">
        <w:rPr>
          <w:rFonts w:ascii="Abadi" w:hAnsi="Abadi"/>
          <w:sz w:val="21"/>
          <w:szCs w:val="21"/>
        </w:rPr>
        <w:t xml:space="preserve"> Procede someter a discusión los dictámenes formulados por la Comisión de Hacienda y Fiscalización, contenidos en los puntos del 23 al 30 del orden del día.</w:t>
      </w:r>
    </w:p>
    <w:p w14:paraId="33D122E3" w14:textId="77777777" w:rsidR="009C01BD" w:rsidRPr="009C01BD" w:rsidRDefault="009C01BD" w:rsidP="009C01BD">
      <w:pPr>
        <w:jc w:val="both"/>
        <w:rPr>
          <w:rFonts w:ascii="Abadi" w:hAnsi="Abadi"/>
          <w:sz w:val="21"/>
          <w:szCs w:val="21"/>
        </w:rPr>
      </w:pPr>
    </w:p>
    <w:p w14:paraId="7CE3D96D" w14:textId="6BEB01CF" w:rsidR="009C01BD" w:rsidRDefault="009C01BD" w:rsidP="009C01BD">
      <w:pPr>
        <w:ind w:firstLine="284"/>
        <w:jc w:val="both"/>
        <w:rPr>
          <w:rFonts w:ascii="Abadi" w:hAnsi="Abadi"/>
          <w:sz w:val="21"/>
          <w:szCs w:val="21"/>
        </w:rPr>
      </w:pPr>
      <w:r>
        <w:rPr>
          <w:rFonts w:ascii="Abadi" w:hAnsi="Abadi"/>
          <w:sz w:val="21"/>
          <w:szCs w:val="21"/>
        </w:rPr>
        <w:t xml:space="preserve">- </w:t>
      </w:r>
      <w:r w:rsidRPr="009C01BD">
        <w:rPr>
          <w:rFonts w:ascii="Abadi" w:hAnsi="Abadi"/>
          <w:sz w:val="21"/>
          <w:szCs w:val="21"/>
        </w:rPr>
        <w:t xml:space="preserve">Si alguna diputada o algún diputado desea hacer uso de la palabra en pro o en contra manifiéstenlo indicando el sentido de su participación. </w:t>
      </w:r>
    </w:p>
    <w:p w14:paraId="61ABEDAA" w14:textId="77777777" w:rsidR="009C01BD" w:rsidRPr="009C01BD" w:rsidRDefault="009C01BD" w:rsidP="009C01BD">
      <w:pPr>
        <w:jc w:val="both"/>
        <w:rPr>
          <w:rFonts w:ascii="Abadi" w:hAnsi="Abadi"/>
          <w:sz w:val="21"/>
          <w:szCs w:val="21"/>
        </w:rPr>
      </w:pPr>
    </w:p>
    <w:p w14:paraId="4C191F43" w14:textId="3F41DFAA" w:rsidR="009C01BD" w:rsidRDefault="009C01BD" w:rsidP="009C01BD">
      <w:pPr>
        <w:ind w:firstLine="284"/>
        <w:jc w:val="both"/>
        <w:rPr>
          <w:rFonts w:ascii="Abadi" w:hAnsi="Abadi"/>
          <w:sz w:val="21"/>
          <w:szCs w:val="21"/>
        </w:rPr>
      </w:pPr>
      <w:r>
        <w:rPr>
          <w:rFonts w:ascii="Abadi" w:hAnsi="Abadi"/>
          <w:sz w:val="21"/>
          <w:szCs w:val="21"/>
        </w:rPr>
        <w:t xml:space="preserve">- </w:t>
      </w:r>
      <w:r w:rsidRPr="009C01BD">
        <w:rPr>
          <w:rFonts w:ascii="Abadi" w:hAnsi="Abadi"/>
          <w:sz w:val="21"/>
          <w:szCs w:val="21"/>
        </w:rPr>
        <w:t xml:space="preserve">En virtud de que no se han registrado participaciones, se pide a la Secretaria que proceda recabar en votación nominal de la Asamblea a través del sistema electrónico, a efecto de probar o no los dictámenes puestos a su consideración. </w:t>
      </w:r>
    </w:p>
    <w:p w14:paraId="1B2F660C" w14:textId="77777777" w:rsidR="009C01BD" w:rsidRPr="009C01BD" w:rsidRDefault="009C01BD" w:rsidP="009C01BD">
      <w:pPr>
        <w:jc w:val="both"/>
        <w:rPr>
          <w:rFonts w:ascii="Abadi" w:hAnsi="Abadi"/>
          <w:sz w:val="21"/>
          <w:szCs w:val="21"/>
        </w:rPr>
      </w:pPr>
    </w:p>
    <w:p w14:paraId="08F243D9" w14:textId="77777777" w:rsidR="009C01BD" w:rsidRDefault="009C01BD" w:rsidP="009C01BD">
      <w:pPr>
        <w:jc w:val="both"/>
        <w:rPr>
          <w:rFonts w:ascii="Abadi" w:hAnsi="Abadi"/>
          <w:b/>
          <w:bCs/>
          <w:sz w:val="21"/>
          <w:szCs w:val="21"/>
        </w:rPr>
      </w:pPr>
    </w:p>
    <w:p w14:paraId="7AD12022" w14:textId="4B98C0C0" w:rsidR="009C01BD" w:rsidRPr="009C01BD" w:rsidRDefault="009C01BD" w:rsidP="009C01BD">
      <w:pPr>
        <w:jc w:val="center"/>
        <w:rPr>
          <w:rFonts w:ascii="Abadi" w:hAnsi="Abadi"/>
          <w:b/>
          <w:bCs/>
          <w:sz w:val="21"/>
          <w:szCs w:val="21"/>
        </w:rPr>
      </w:pPr>
      <w:r w:rsidRPr="009C01BD">
        <w:rPr>
          <w:rFonts w:ascii="Abadi" w:hAnsi="Abadi"/>
          <w:b/>
          <w:bCs/>
          <w:sz w:val="21"/>
          <w:szCs w:val="21"/>
        </w:rPr>
        <w:t>(Se abre el sistema electrónico)</w:t>
      </w:r>
    </w:p>
    <w:p w14:paraId="66C26B3C" w14:textId="77777777" w:rsidR="009C01BD" w:rsidRDefault="009C01BD" w:rsidP="009C01BD">
      <w:pPr>
        <w:jc w:val="both"/>
        <w:rPr>
          <w:rFonts w:ascii="Abadi" w:hAnsi="Abadi"/>
          <w:b/>
          <w:bCs/>
          <w:sz w:val="21"/>
          <w:szCs w:val="21"/>
        </w:rPr>
      </w:pPr>
    </w:p>
    <w:p w14:paraId="43CAAD8A" w14:textId="362E9196" w:rsidR="009C01BD" w:rsidRDefault="009C01BD" w:rsidP="009C01BD">
      <w:pPr>
        <w:ind w:firstLine="708"/>
        <w:jc w:val="both"/>
        <w:rPr>
          <w:rFonts w:ascii="Abadi" w:hAnsi="Abadi"/>
          <w:sz w:val="21"/>
          <w:szCs w:val="21"/>
        </w:rPr>
      </w:pPr>
      <w:r>
        <w:rPr>
          <w:rFonts w:ascii="Abadi" w:hAnsi="Abadi"/>
          <w:b/>
          <w:bCs/>
          <w:sz w:val="21"/>
          <w:szCs w:val="21"/>
        </w:rPr>
        <w:t xml:space="preserve">- </w:t>
      </w:r>
      <w:r w:rsidRPr="009C01BD">
        <w:rPr>
          <w:rFonts w:ascii="Abadi" w:hAnsi="Abadi"/>
          <w:b/>
          <w:bCs/>
          <w:sz w:val="21"/>
          <w:szCs w:val="21"/>
        </w:rPr>
        <w:t>La Secretaria.-</w:t>
      </w:r>
      <w:r w:rsidRPr="009C01BD">
        <w:rPr>
          <w:rFonts w:ascii="Abadi" w:hAnsi="Abadi"/>
          <w:sz w:val="21"/>
          <w:szCs w:val="21"/>
        </w:rPr>
        <w:t xml:space="preserve"> En votación nominal por el sistema electrónico se pregunta a las diputadas y a los  diputados si se aprueba el dictamen puesto a su consideración. </w:t>
      </w:r>
    </w:p>
    <w:p w14:paraId="51706445" w14:textId="66859472" w:rsidR="009C01BD" w:rsidRPr="009C01BD" w:rsidRDefault="009C01BD" w:rsidP="009C01BD">
      <w:pPr>
        <w:ind w:firstLine="708"/>
        <w:jc w:val="both"/>
        <w:rPr>
          <w:rFonts w:ascii="Abadi" w:hAnsi="Abadi"/>
          <w:sz w:val="21"/>
          <w:szCs w:val="21"/>
        </w:rPr>
      </w:pPr>
      <w:r>
        <w:rPr>
          <w:rFonts w:ascii="Abadi" w:hAnsi="Abadi"/>
          <w:b/>
          <w:bCs/>
          <w:sz w:val="21"/>
          <w:szCs w:val="21"/>
        </w:rPr>
        <w:t xml:space="preserve">- </w:t>
      </w:r>
      <w:r w:rsidRPr="009C01BD">
        <w:rPr>
          <w:rFonts w:ascii="Abadi" w:hAnsi="Abadi"/>
          <w:b/>
          <w:bCs/>
          <w:sz w:val="21"/>
          <w:szCs w:val="21"/>
        </w:rPr>
        <w:t>La Presidencia.-</w:t>
      </w:r>
      <w:r w:rsidRPr="009C01BD">
        <w:rPr>
          <w:rFonts w:ascii="Abadi" w:hAnsi="Abadi"/>
          <w:sz w:val="21"/>
          <w:szCs w:val="21"/>
        </w:rPr>
        <w:t xml:space="preserve"> ¿Diputado Aldo? ¿Sería tan amable de darme los motivos de su abstención? ¿Por favor? </w:t>
      </w:r>
    </w:p>
    <w:p w14:paraId="6E0B4542" w14:textId="77777777" w:rsidR="009C01BD" w:rsidRDefault="009C01BD" w:rsidP="009C01BD">
      <w:pPr>
        <w:jc w:val="both"/>
        <w:rPr>
          <w:rFonts w:ascii="Abadi" w:hAnsi="Abadi"/>
          <w:b/>
          <w:bCs/>
          <w:sz w:val="21"/>
          <w:szCs w:val="21"/>
        </w:rPr>
      </w:pPr>
    </w:p>
    <w:p w14:paraId="5FC37C70" w14:textId="416CD9D5" w:rsidR="009C01BD" w:rsidRDefault="009C01BD" w:rsidP="009C01BD">
      <w:pPr>
        <w:jc w:val="both"/>
        <w:rPr>
          <w:rFonts w:ascii="Abadi" w:hAnsi="Abadi"/>
          <w:sz w:val="21"/>
          <w:szCs w:val="21"/>
        </w:rPr>
      </w:pPr>
      <w:r w:rsidRPr="009C01BD">
        <w:rPr>
          <w:rFonts w:ascii="Abadi" w:hAnsi="Abadi"/>
          <w:b/>
          <w:bCs/>
          <w:sz w:val="21"/>
          <w:szCs w:val="21"/>
        </w:rPr>
        <w:t>Diputado Aldo</w:t>
      </w:r>
      <w:r w:rsidRPr="009C01BD">
        <w:rPr>
          <w:rFonts w:ascii="Abadi" w:hAnsi="Abadi"/>
          <w:sz w:val="21"/>
          <w:szCs w:val="21"/>
        </w:rPr>
        <w:t xml:space="preserve">.- ¡Sí! Con gusto, Presidenta con fundamento en el artículo 203 de la Ley Orgánica del Poder Legislativo del Estado Guanajuato, me abstengo de emitir mi voto en el punto número veinticuatro relativo al dictamen que contiene el informe de resultados de la auditoría de desempeño practicada por la Auditoria Superior del Estado de Guanajuato, el Poder Ejecutivo del Estado con enfoque en resultados del programa Q3391 “Vale grandeza Compra local” a cargo de la Secretaría de Desarrollo Económico Sustentable por el periodo comprendido del 1 de enero al 31  de diciembre del Ejercicio Fiscal del 2020, toda vez que durante el periodo auditado fungí como Subsecretario en la Secretaría de Desarrollo Social y humano, en el resto de los puntos, mi voto es a favor. </w:t>
      </w:r>
    </w:p>
    <w:p w14:paraId="07ED86BE" w14:textId="77777777" w:rsidR="009C01BD" w:rsidRPr="009C01BD" w:rsidRDefault="009C01BD" w:rsidP="009C01BD">
      <w:pPr>
        <w:jc w:val="both"/>
        <w:rPr>
          <w:rFonts w:ascii="Abadi" w:hAnsi="Abadi"/>
          <w:sz w:val="21"/>
          <w:szCs w:val="21"/>
        </w:rPr>
      </w:pPr>
    </w:p>
    <w:p w14:paraId="6989B891" w14:textId="4F3424FE" w:rsidR="009C01BD" w:rsidRDefault="009C01BD" w:rsidP="009C01BD">
      <w:pPr>
        <w:ind w:firstLine="708"/>
        <w:jc w:val="both"/>
        <w:rPr>
          <w:rFonts w:ascii="Abadi" w:hAnsi="Abadi"/>
          <w:sz w:val="21"/>
          <w:szCs w:val="21"/>
        </w:rPr>
      </w:pPr>
      <w:r>
        <w:rPr>
          <w:rFonts w:ascii="Abadi" w:hAnsi="Abadi"/>
          <w:b/>
          <w:bCs/>
          <w:sz w:val="21"/>
          <w:szCs w:val="21"/>
        </w:rPr>
        <w:t xml:space="preserve">- </w:t>
      </w:r>
      <w:r w:rsidRPr="009C01BD">
        <w:rPr>
          <w:rFonts w:ascii="Abadi" w:hAnsi="Abadi"/>
          <w:b/>
          <w:bCs/>
          <w:sz w:val="21"/>
          <w:szCs w:val="21"/>
        </w:rPr>
        <w:t>La Presidencia.-</w:t>
      </w:r>
      <w:r w:rsidRPr="009C01BD">
        <w:rPr>
          <w:rFonts w:ascii="Abadi" w:hAnsi="Abadi"/>
          <w:sz w:val="21"/>
          <w:szCs w:val="21"/>
        </w:rPr>
        <w:t xml:space="preserve"> Muy bien, muchas gracias, diputada Briseida. ¿Me podría decir el porqué de su abstención, por favor? </w:t>
      </w:r>
    </w:p>
    <w:p w14:paraId="1E7BFB7E" w14:textId="77777777" w:rsidR="009C01BD" w:rsidRPr="009C01BD" w:rsidRDefault="009C01BD" w:rsidP="009C01BD">
      <w:pPr>
        <w:ind w:firstLine="708"/>
        <w:jc w:val="both"/>
        <w:rPr>
          <w:rFonts w:ascii="Abadi" w:hAnsi="Abadi"/>
          <w:sz w:val="21"/>
          <w:szCs w:val="21"/>
        </w:rPr>
      </w:pPr>
    </w:p>
    <w:p w14:paraId="637A7162" w14:textId="2797E312" w:rsidR="009C01BD" w:rsidRDefault="009C01BD" w:rsidP="009C01BD">
      <w:pPr>
        <w:jc w:val="both"/>
        <w:rPr>
          <w:rFonts w:ascii="Abadi" w:hAnsi="Abadi"/>
          <w:sz w:val="21"/>
          <w:szCs w:val="21"/>
        </w:rPr>
      </w:pPr>
      <w:r w:rsidRPr="009C01BD">
        <w:rPr>
          <w:rFonts w:ascii="Abadi" w:hAnsi="Abadi"/>
          <w:b/>
          <w:bCs/>
          <w:sz w:val="21"/>
          <w:szCs w:val="21"/>
        </w:rPr>
        <w:t>Diputada Briseida Anabel Magdaleno.-</w:t>
      </w:r>
      <w:r w:rsidRPr="009C01BD">
        <w:rPr>
          <w:rFonts w:ascii="Abadi" w:hAnsi="Abadi"/>
          <w:sz w:val="21"/>
          <w:szCs w:val="21"/>
        </w:rPr>
        <w:t xml:space="preserve"> Claro que sí, diputada Presidenta, con fundamento en el artículo 203 de la Ley Orgánica del Poder Legislativo del Estado de Guanajuato, me abstengo de emitir mi voto en el punto número 24 relativo al dictamen que contiene el informe de resultados de la auditoría desempeñó, practicada por la Auditoria Superior del Estado de Guanajuato al Poder Ejecutivo del Estado de Guanajuato, con enfoque resultados del programa Q3391 “Vale grandeza Compra local” a cargo de la Secretaría de Desarrollo Económico Sustentable por el motivo ¡perdón! comprendido del 1 de enero al 31 de diciembre del Ejercicio Fiscal del año 2020, ya que laboré en la Secretaria de Desarrollo Social y Humano del Estado de Guanajuato. El resto de los puntos, es a favor diputada Presidenta. </w:t>
      </w:r>
    </w:p>
    <w:p w14:paraId="08EEFD76" w14:textId="77777777" w:rsidR="009C01BD" w:rsidRPr="009C01BD" w:rsidRDefault="009C01BD" w:rsidP="009C01BD">
      <w:pPr>
        <w:jc w:val="both"/>
        <w:rPr>
          <w:rFonts w:ascii="Abadi" w:hAnsi="Abadi"/>
          <w:sz w:val="21"/>
          <w:szCs w:val="21"/>
        </w:rPr>
      </w:pPr>
    </w:p>
    <w:p w14:paraId="6B5CAD37" w14:textId="31A123AC" w:rsidR="009C01BD" w:rsidRDefault="009C01BD" w:rsidP="009C01BD">
      <w:pPr>
        <w:ind w:firstLine="708"/>
        <w:jc w:val="both"/>
        <w:rPr>
          <w:rFonts w:ascii="Abadi" w:hAnsi="Abadi"/>
          <w:sz w:val="21"/>
          <w:szCs w:val="21"/>
        </w:rPr>
      </w:pPr>
      <w:r>
        <w:rPr>
          <w:rFonts w:ascii="Abadi" w:hAnsi="Abadi"/>
          <w:b/>
          <w:bCs/>
          <w:sz w:val="21"/>
          <w:szCs w:val="21"/>
        </w:rPr>
        <w:t xml:space="preserve">- </w:t>
      </w:r>
      <w:r w:rsidRPr="009C01BD">
        <w:rPr>
          <w:rFonts w:ascii="Abadi" w:hAnsi="Abadi"/>
          <w:b/>
          <w:bCs/>
          <w:sz w:val="21"/>
          <w:szCs w:val="21"/>
        </w:rPr>
        <w:t>La Presidencia.-</w:t>
      </w:r>
      <w:r w:rsidRPr="009C01BD">
        <w:rPr>
          <w:rFonts w:ascii="Abadi" w:hAnsi="Abadi"/>
          <w:sz w:val="21"/>
          <w:szCs w:val="21"/>
        </w:rPr>
        <w:t xml:space="preserve"> Muchas gracias, diputada, diputado Poncho ¿sería tan amable de decirme el motivo de su abstención, por favor? </w:t>
      </w:r>
    </w:p>
    <w:p w14:paraId="5D6E1768" w14:textId="77777777" w:rsidR="009C01BD" w:rsidRPr="009C01BD" w:rsidRDefault="009C01BD" w:rsidP="009C01BD">
      <w:pPr>
        <w:jc w:val="both"/>
        <w:rPr>
          <w:rFonts w:ascii="Abadi" w:hAnsi="Abadi"/>
          <w:sz w:val="21"/>
          <w:szCs w:val="21"/>
        </w:rPr>
      </w:pPr>
      <w:r w:rsidRPr="009C01BD">
        <w:rPr>
          <w:rFonts w:ascii="Abadi" w:hAnsi="Abadi"/>
          <w:b/>
          <w:bCs/>
          <w:sz w:val="21"/>
          <w:szCs w:val="21"/>
        </w:rPr>
        <w:t>Diputado Alfonso Borja.-</w:t>
      </w:r>
      <w:r w:rsidRPr="009C01BD">
        <w:rPr>
          <w:rFonts w:ascii="Abadi" w:hAnsi="Abadi"/>
          <w:sz w:val="21"/>
          <w:szCs w:val="21"/>
        </w:rPr>
        <w:t xml:space="preserve"> Claro que sí, Presidenta con fundamento en el en el artículo 203 de la Ley Orgánica del Poder Legislativo del Estado de  Guanajuato me abstengo de emitir el voto en el punto 24 relativo al dictamen que contiene el informe de resultados de la auditoría de desempeño, practicada al Poder Ejecutivo del Estado con enfoque de resultados al programa Q3391 “Vale grandeza Compra local” a cargo de la Secretaría de Desarrollo Económico Sustentable, por el periodo comprendido del primero al de 1 de enero al 31 de diciembre del ejercicio fiscal 2020, toda vez que durante el periodo auditado estuve en la función como Director General del Sistema Estatal para el Desarrollo Integral de la Familia, que pertenecía al comité de dicho programa, en el resto de los puntos a favor.</w:t>
      </w:r>
    </w:p>
    <w:p w14:paraId="2909D94B" w14:textId="77777777" w:rsidR="009C01BD" w:rsidRDefault="009C01BD" w:rsidP="009C01BD">
      <w:pPr>
        <w:jc w:val="both"/>
        <w:rPr>
          <w:rFonts w:ascii="Abadi" w:hAnsi="Abadi"/>
          <w:b/>
          <w:bCs/>
          <w:sz w:val="21"/>
          <w:szCs w:val="21"/>
        </w:rPr>
      </w:pPr>
    </w:p>
    <w:p w14:paraId="6384D782" w14:textId="67A44245" w:rsidR="009C01BD" w:rsidRDefault="009C01BD" w:rsidP="009C01BD">
      <w:pPr>
        <w:ind w:firstLine="708"/>
        <w:jc w:val="both"/>
        <w:rPr>
          <w:rFonts w:ascii="Abadi" w:hAnsi="Abadi"/>
          <w:sz w:val="21"/>
          <w:szCs w:val="21"/>
        </w:rPr>
      </w:pPr>
      <w:r>
        <w:rPr>
          <w:rFonts w:ascii="Abadi" w:hAnsi="Abadi"/>
          <w:b/>
          <w:bCs/>
          <w:sz w:val="21"/>
          <w:szCs w:val="21"/>
        </w:rPr>
        <w:t xml:space="preserve">- </w:t>
      </w:r>
      <w:r w:rsidRPr="009C01BD">
        <w:rPr>
          <w:rFonts w:ascii="Abadi" w:hAnsi="Abadi"/>
          <w:b/>
          <w:bCs/>
          <w:sz w:val="21"/>
          <w:szCs w:val="21"/>
        </w:rPr>
        <w:t>La Presidencia.-</w:t>
      </w:r>
      <w:r w:rsidRPr="009C01BD">
        <w:rPr>
          <w:rFonts w:ascii="Abadi" w:hAnsi="Abadi"/>
          <w:sz w:val="21"/>
          <w:szCs w:val="21"/>
        </w:rPr>
        <w:t xml:space="preserve"> Muchas gracias, diputado, Diputada Margarita ¿sería tan amable de decirme el motivo de su abstención? Por favor. </w:t>
      </w:r>
    </w:p>
    <w:p w14:paraId="40ACE623" w14:textId="77777777" w:rsidR="009C01BD" w:rsidRPr="009C01BD" w:rsidRDefault="009C01BD" w:rsidP="009C01BD">
      <w:pPr>
        <w:jc w:val="both"/>
        <w:rPr>
          <w:rFonts w:ascii="Abadi" w:hAnsi="Abadi"/>
          <w:sz w:val="21"/>
          <w:szCs w:val="21"/>
        </w:rPr>
      </w:pPr>
    </w:p>
    <w:p w14:paraId="7A4C7130" w14:textId="771E05F3" w:rsidR="009C01BD" w:rsidRDefault="009C01BD" w:rsidP="009C01BD">
      <w:pPr>
        <w:jc w:val="both"/>
        <w:rPr>
          <w:rFonts w:ascii="Abadi" w:hAnsi="Abadi"/>
          <w:sz w:val="21"/>
          <w:szCs w:val="21"/>
        </w:rPr>
      </w:pPr>
      <w:r w:rsidRPr="009C01BD">
        <w:rPr>
          <w:rFonts w:ascii="Abadi" w:hAnsi="Abadi"/>
          <w:b/>
          <w:bCs/>
          <w:sz w:val="21"/>
          <w:szCs w:val="21"/>
        </w:rPr>
        <w:t>Diputada Margarita.-</w:t>
      </w:r>
      <w:r w:rsidRPr="009C01BD">
        <w:rPr>
          <w:rFonts w:ascii="Abadi" w:hAnsi="Abadi"/>
          <w:sz w:val="21"/>
          <w:szCs w:val="21"/>
        </w:rPr>
        <w:t xml:space="preserve"> </w:t>
      </w:r>
      <w:r>
        <w:rPr>
          <w:rFonts w:ascii="Abadi" w:hAnsi="Abadi"/>
          <w:sz w:val="21"/>
          <w:szCs w:val="21"/>
        </w:rPr>
        <w:t>¡</w:t>
      </w:r>
      <w:r w:rsidRPr="009C01BD">
        <w:rPr>
          <w:rFonts w:ascii="Abadi" w:hAnsi="Abadi"/>
          <w:sz w:val="21"/>
          <w:szCs w:val="21"/>
        </w:rPr>
        <w:t>Sí</w:t>
      </w:r>
      <w:r>
        <w:rPr>
          <w:rFonts w:ascii="Abadi" w:hAnsi="Abadi"/>
          <w:sz w:val="21"/>
          <w:szCs w:val="21"/>
        </w:rPr>
        <w:t>!</w:t>
      </w:r>
      <w:r w:rsidRPr="009C01BD">
        <w:rPr>
          <w:rFonts w:ascii="Abadi" w:hAnsi="Abadi"/>
          <w:sz w:val="21"/>
          <w:szCs w:val="21"/>
        </w:rPr>
        <w:t xml:space="preserve"> </w:t>
      </w:r>
      <w:r>
        <w:rPr>
          <w:rFonts w:ascii="Abadi" w:hAnsi="Abadi"/>
          <w:sz w:val="21"/>
          <w:szCs w:val="21"/>
        </w:rPr>
        <w:t>M</w:t>
      </w:r>
      <w:r w:rsidRPr="009C01BD">
        <w:rPr>
          <w:rFonts w:ascii="Abadi" w:hAnsi="Abadi"/>
          <w:sz w:val="21"/>
          <w:szCs w:val="21"/>
        </w:rPr>
        <w:t xml:space="preserve">uchísimas gracias, Señora Presidenta, es conforme el fundamento del artículo 203 de la Ley Orgánica del Poder Legislativo del Estado de Guanajuato me abstengo de emitir mi voto en el punto número treinta, relativo al dictamen que contiene el informe de resultados de la revisión practicada por la auditoría superior del Estado de Guanajuato a la administración municipal de Guanajuato, Guanajuato, con enfoque a resultados de servicio de alumbrado público por el periodo comprendido del primero de enero al treinta y uno de diciembre del ejercicio fiscal del año dos mil veinte, toda vez que fungí como regidora del Ayuntamiento del periodo 2018-2021 en el resto de los demás puntos Señora Presidenta, mi voto es a favor. </w:t>
      </w:r>
    </w:p>
    <w:p w14:paraId="466DF6FC" w14:textId="77777777" w:rsidR="009C01BD" w:rsidRPr="009C01BD" w:rsidRDefault="009C01BD" w:rsidP="009C01BD">
      <w:pPr>
        <w:jc w:val="both"/>
        <w:rPr>
          <w:rFonts w:ascii="Abadi" w:hAnsi="Abadi"/>
          <w:sz w:val="21"/>
          <w:szCs w:val="21"/>
        </w:rPr>
      </w:pPr>
    </w:p>
    <w:p w14:paraId="619F2BE8" w14:textId="19C25F0D" w:rsidR="009C01BD" w:rsidRDefault="009C01BD" w:rsidP="009C01BD">
      <w:pPr>
        <w:ind w:firstLine="708"/>
        <w:jc w:val="both"/>
        <w:rPr>
          <w:rFonts w:ascii="Abadi" w:hAnsi="Abadi"/>
          <w:sz w:val="21"/>
          <w:szCs w:val="21"/>
        </w:rPr>
      </w:pPr>
      <w:r>
        <w:rPr>
          <w:rFonts w:ascii="Abadi" w:hAnsi="Abadi"/>
          <w:b/>
          <w:bCs/>
          <w:sz w:val="21"/>
          <w:szCs w:val="21"/>
        </w:rPr>
        <w:t xml:space="preserve">- </w:t>
      </w:r>
      <w:r w:rsidRPr="009C01BD">
        <w:rPr>
          <w:rFonts w:ascii="Abadi" w:hAnsi="Abadi"/>
          <w:b/>
          <w:bCs/>
          <w:sz w:val="21"/>
          <w:szCs w:val="21"/>
        </w:rPr>
        <w:t>La Presidencia.-</w:t>
      </w:r>
      <w:r w:rsidRPr="009C01BD">
        <w:rPr>
          <w:rFonts w:ascii="Abadi" w:hAnsi="Abadi"/>
          <w:sz w:val="21"/>
          <w:szCs w:val="21"/>
        </w:rPr>
        <w:t xml:space="preserve"> Muchas gracias, diputada ¿Diputada, Martita ¿para qué efecto? </w:t>
      </w:r>
    </w:p>
    <w:p w14:paraId="3E1183D9" w14:textId="77777777" w:rsidR="009C01BD" w:rsidRPr="009C01BD" w:rsidRDefault="009C01BD" w:rsidP="009C01BD">
      <w:pPr>
        <w:jc w:val="both"/>
        <w:rPr>
          <w:rFonts w:ascii="Abadi" w:hAnsi="Abadi"/>
          <w:sz w:val="21"/>
          <w:szCs w:val="21"/>
        </w:rPr>
      </w:pPr>
    </w:p>
    <w:p w14:paraId="32644BA8" w14:textId="22887396" w:rsidR="009C01BD" w:rsidRDefault="009C01BD" w:rsidP="009C01BD">
      <w:pPr>
        <w:jc w:val="both"/>
        <w:rPr>
          <w:rFonts w:ascii="Abadi" w:hAnsi="Abadi"/>
          <w:sz w:val="21"/>
          <w:szCs w:val="21"/>
        </w:rPr>
      </w:pPr>
      <w:r w:rsidRPr="009C01BD">
        <w:rPr>
          <w:rFonts w:ascii="Abadi" w:hAnsi="Abadi"/>
          <w:b/>
          <w:bCs/>
          <w:sz w:val="21"/>
          <w:szCs w:val="21"/>
        </w:rPr>
        <w:t>Diputada Martha Guadalupe Hernández.-</w:t>
      </w:r>
      <w:r w:rsidRPr="009C01BD">
        <w:rPr>
          <w:rFonts w:ascii="Abadi" w:hAnsi="Abadi"/>
          <w:sz w:val="21"/>
          <w:szCs w:val="21"/>
        </w:rPr>
        <w:t xml:space="preserve"> Muchas gracias, buenas tardes, igualmente, con fundamento en el artículo 203 de la Ley Orgánica del Poder Legislativo del Estado de Guanajuato, me abstengo de emitir mi voto en el punto número 24, relativo al dictamen que contiene el informe de resultados de la auditoria de desempeñó, practicada por la Auditoría Superior del Estado de Guanajuato al Poder Ejecutivo del Estado de Guanajuato, con enfoque de resultados del programa Q3391 “vale grandeza compra local” a cargo de la Secretaría de Desarrollo Económico Sustentable por el periodo comprendido del primero de enero al treinta y uno de diciembre del ejercicio fiscal del año 2020, toda vez que durante el periodo auditado fungí como directora de articulación con organizaciones de la sociedad civil en la Secretaría de Desarrollo Social y Humano de Guanajuato. En el resto de los puntos mi voto es a favor. </w:t>
      </w:r>
    </w:p>
    <w:p w14:paraId="67C70740" w14:textId="77777777" w:rsidR="009C01BD" w:rsidRPr="009C01BD" w:rsidRDefault="009C01BD" w:rsidP="009C01BD">
      <w:pPr>
        <w:jc w:val="both"/>
        <w:rPr>
          <w:rFonts w:ascii="Abadi" w:hAnsi="Abadi"/>
          <w:sz w:val="21"/>
          <w:szCs w:val="21"/>
        </w:rPr>
      </w:pPr>
    </w:p>
    <w:p w14:paraId="4CB746D8" w14:textId="29EC7A06" w:rsidR="009C01BD" w:rsidRDefault="009C01BD" w:rsidP="009C01BD">
      <w:pPr>
        <w:ind w:firstLine="708"/>
        <w:jc w:val="both"/>
        <w:rPr>
          <w:rFonts w:ascii="Abadi" w:hAnsi="Abadi"/>
          <w:sz w:val="21"/>
          <w:szCs w:val="21"/>
        </w:rPr>
      </w:pPr>
      <w:r>
        <w:rPr>
          <w:rFonts w:ascii="Abadi" w:hAnsi="Abadi"/>
          <w:b/>
          <w:bCs/>
          <w:sz w:val="21"/>
          <w:szCs w:val="21"/>
        </w:rPr>
        <w:t xml:space="preserve">- </w:t>
      </w:r>
      <w:r w:rsidRPr="009C01BD">
        <w:rPr>
          <w:rFonts w:ascii="Abadi" w:hAnsi="Abadi"/>
          <w:b/>
          <w:bCs/>
          <w:sz w:val="21"/>
          <w:szCs w:val="21"/>
        </w:rPr>
        <w:t>La Presidencia.-</w:t>
      </w:r>
      <w:r w:rsidRPr="009C01BD">
        <w:rPr>
          <w:rFonts w:ascii="Abadi" w:hAnsi="Abadi"/>
          <w:sz w:val="21"/>
          <w:szCs w:val="21"/>
        </w:rPr>
        <w:t xml:space="preserve"> Muchas gracias. </w:t>
      </w:r>
    </w:p>
    <w:p w14:paraId="6C0AE8E9" w14:textId="77777777" w:rsidR="009C01BD" w:rsidRPr="009C01BD" w:rsidRDefault="009C01BD" w:rsidP="009C01BD">
      <w:pPr>
        <w:jc w:val="both"/>
        <w:rPr>
          <w:rFonts w:ascii="Abadi" w:hAnsi="Abadi"/>
          <w:sz w:val="21"/>
          <w:szCs w:val="21"/>
        </w:rPr>
      </w:pPr>
    </w:p>
    <w:p w14:paraId="2E25AC01" w14:textId="7091A382" w:rsidR="009C01BD" w:rsidRPr="009C01BD" w:rsidRDefault="009C01BD" w:rsidP="005D1E50">
      <w:pPr>
        <w:jc w:val="both"/>
        <w:rPr>
          <w:rFonts w:ascii="Abadi" w:hAnsi="Abadi"/>
          <w:sz w:val="21"/>
          <w:szCs w:val="21"/>
        </w:rPr>
      </w:pPr>
      <w:r w:rsidRPr="009C01BD">
        <w:rPr>
          <w:rFonts w:ascii="Abadi" w:hAnsi="Abadi"/>
          <w:sz w:val="21"/>
          <w:szCs w:val="21"/>
        </w:rPr>
        <w:t xml:space="preserve">¿Falta alguna diputada, algún diputado de emitir su voto? </w:t>
      </w:r>
    </w:p>
    <w:p w14:paraId="129F5B34" w14:textId="77777777" w:rsidR="009C01BD" w:rsidRDefault="009C01BD" w:rsidP="009C01BD">
      <w:pPr>
        <w:jc w:val="both"/>
        <w:rPr>
          <w:rFonts w:ascii="Abadi" w:hAnsi="Abadi"/>
          <w:b/>
          <w:bCs/>
          <w:sz w:val="21"/>
          <w:szCs w:val="21"/>
        </w:rPr>
      </w:pPr>
    </w:p>
    <w:p w14:paraId="76446C8A" w14:textId="799635EA" w:rsidR="009C01BD" w:rsidRPr="009C01BD" w:rsidRDefault="009C01BD" w:rsidP="009C01BD">
      <w:pPr>
        <w:jc w:val="center"/>
        <w:rPr>
          <w:rFonts w:ascii="Abadi" w:hAnsi="Abadi"/>
          <w:b/>
          <w:bCs/>
          <w:sz w:val="21"/>
          <w:szCs w:val="21"/>
        </w:rPr>
      </w:pPr>
      <w:r w:rsidRPr="009C01BD">
        <w:rPr>
          <w:rFonts w:ascii="Abadi" w:hAnsi="Abadi"/>
          <w:b/>
          <w:bCs/>
          <w:sz w:val="21"/>
          <w:szCs w:val="21"/>
        </w:rPr>
        <w:t>(Se cierra el sistema electrónico)</w:t>
      </w:r>
    </w:p>
    <w:p w14:paraId="3A04E398" w14:textId="77777777" w:rsidR="009C01BD" w:rsidRPr="009C01BD" w:rsidRDefault="009C01BD" w:rsidP="009C01BD">
      <w:pPr>
        <w:jc w:val="both"/>
        <w:rPr>
          <w:rFonts w:ascii="Abadi" w:hAnsi="Abadi"/>
          <w:b/>
          <w:bCs/>
          <w:sz w:val="21"/>
          <w:szCs w:val="21"/>
        </w:rPr>
      </w:pPr>
    </w:p>
    <w:p w14:paraId="689C02A0" w14:textId="77777777" w:rsidR="009C01BD" w:rsidRPr="009C01BD" w:rsidRDefault="009C01BD" w:rsidP="009C01BD">
      <w:pPr>
        <w:jc w:val="both"/>
        <w:rPr>
          <w:rFonts w:ascii="Abadi" w:hAnsi="Abadi"/>
          <w:b/>
          <w:bCs/>
          <w:sz w:val="21"/>
          <w:szCs w:val="21"/>
        </w:rPr>
      </w:pPr>
      <w:r w:rsidRPr="009C01BD">
        <w:rPr>
          <w:rFonts w:ascii="Abadi" w:hAnsi="Abadi"/>
          <w:noProof/>
          <w:sz w:val="21"/>
          <w:szCs w:val="21"/>
        </w:rPr>
        <w:drawing>
          <wp:inline distT="0" distB="0" distL="0" distR="0" wp14:anchorId="1E7C7FA7" wp14:editId="2939E58A">
            <wp:extent cx="2070340" cy="1085172"/>
            <wp:effectExtent l="152400" t="152400" r="368300" b="36322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6810"/>
                    <a:stretch/>
                  </pic:blipFill>
                  <pic:spPr bwMode="auto">
                    <a:xfrm>
                      <a:off x="0" y="0"/>
                      <a:ext cx="2077246" cy="10887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41DAE1C" w14:textId="4A6673F4" w:rsidR="009C01BD" w:rsidRDefault="005D1E50" w:rsidP="005D1E50">
      <w:pPr>
        <w:ind w:firstLine="708"/>
        <w:jc w:val="both"/>
        <w:rPr>
          <w:rFonts w:ascii="Abadi" w:hAnsi="Abadi"/>
          <w:sz w:val="21"/>
          <w:szCs w:val="21"/>
        </w:rPr>
      </w:pPr>
      <w:r>
        <w:rPr>
          <w:rFonts w:ascii="Abadi" w:hAnsi="Abadi"/>
          <w:b/>
          <w:bCs/>
          <w:sz w:val="21"/>
          <w:szCs w:val="21"/>
        </w:rPr>
        <w:t xml:space="preserve">- </w:t>
      </w:r>
      <w:r w:rsidR="009C01BD" w:rsidRPr="009C01BD">
        <w:rPr>
          <w:rFonts w:ascii="Abadi" w:hAnsi="Abadi"/>
          <w:b/>
          <w:bCs/>
          <w:sz w:val="21"/>
          <w:szCs w:val="21"/>
        </w:rPr>
        <w:t xml:space="preserve">La Secretaria.- </w:t>
      </w:r>
      <w:r w:rsidR="009C01BD" w:rsidRPr="009C01BD">
        <w:rPr>
          <w:rFonts w:ascii="Abadi" w:hAnsi="Abadi"/>
          <w:sz w:val="21"/>
          <w:szCs w:val="21"/>
        </w:rPr>
        <w:t xml:space="preserve">Se registraron 23 votos a favor y 10 votos en contra en los dictámenes, excepto en los dictámenes previstos en el punto 24 del orden del día, en el que se registraron 19 votos a favor y 10 votos en contra y 4 abstenciones, así como en el contenido en el punto 30 del orden del día en el que sea registraron 22 votos a favor y 10 votos en contra y 1 abstención. </w:t>
      </w:r>
    </w:p>
    <w:p w14:paraId="7330F3C6" w14:textId="77777777" w:rsidR="009C01BD" w:rsidRPr="009C01BD" w:rsidRDefault="009C01BD" w:rsidP="009C01BD">
      <w:pPr>
        <w:jc w:val="both"/>
        <w:rPr>
          <w:rFonts w:ascii="Abadi" w:hAnsi="Abadi"/>
          <w:sz w:val="21"/>
          <w:szCs w:val="21"/>
        </w:rPr>
      </w:pPr>
    </w:p>
    <w:p w14:paraId="609664EB" w14:textId="77777777" w:rsidR="009C01BD" w:rsidRDefault="009C01BD" w:rsidP="009C01BD">
      <w:pPr>
        <w:ind w:firstLine="708"/>
        <w:jc w:val="both"/>
        <w:rPr>
          <w:rFonts w:ascii="Abadi" w:hAnsi="Abadi"/>
          <w:sz w:val="21"/>
          <w:szCs w:val="21"/>
        </w:rPr>
      </w:pPr>
      <w:r>
        <w:rPr>
          <w:rFonts w:ascii="Abadi" w:hAnsi="Abadi"/>
          <w:b/>
          <w:bCs/>
          <w:sz w:val="21"/>
          <w:szCs w:val="21"/>
        </w:rPr>
        <w:t xml:space="preserve">- </w:t>
      </w:r>
      <w:r w:rsidRPr="009C01BD">
        <w:rPr>
          <w:rFonts w:ascii="Abadi" w:hAnsi="Abadi"/>
          <w:b/>
          <w:bCs/>
          <w:sz w:val="21"/>
          <w:szCs w:val="21"/>
        </w:rPr>
        <w:t>La Presidencia.-</w:t>
      </w:r>
      <w:r w:rsidRPr="009C01BD">
        <w:rPr>
          <w:rFonts w:ascii="Abadi" w:hAnsi="Abadi"/>
          <w:sz w:val="21"/>
          <w:szCs w:val="21"/>
        </w:rPr>
        <w:t xml:space="preserve"> Los dictámenes ha sido aprobados por mayoría de votos.</w:t>
      </w:r>
    </w:p>
    <w:p w14:paraId="41AD36EC" w14:textId="34594AC6" w:rsidR="009C01BD" w:rsidRPr="009C01BD" w:rsidRDefault="009C01BD" w:rsidP="009C01BD">
      <w:pPr>
        <w:ind w:firstLine="708"/>
        <w:jc w:val="both"/>
        <w:rPr>
          <w:rFonts w:ascii="Abadi" w:hAnsi="Abadi"/>
          <w:sz w:val="21"/>
          <w:szCs w:val="21"/>
        </w:rPr>
      </w:pPr>
      <w:r w:rsidRPr="009C01BD">
        <w:rPr>
          <w:rFonts w:ascii="Abadi" w:hAnsi="Abadi"/>
          <w:sz w:val="21"/>
          <w:szCs w:val="21"/>
        </w:rPr>
        <w:t xml:space="preserve"> </w:t>
      </w:r>
    </w:p>
    <w:p w14:paraId="2D20D1E7" w14:textId="452443D9" w:rsidR="009C01BD" w:rsidRDefault="009C01BD" w:rsidP="00E73BE4">
      <w:pPr>
        <w:ind w:firstLine="708"/>
        <w:jc w:val="both"/>
        <w:rPr>
          <w:rFonts w:ascii="Abadi" w:hAnsi="Abadi"/>
          <w:sz w:val="21"/>
          <w:szCs w:val="21"/>
        </w:rPr>
      </w:pPr>
      <w:r w:rsidRPr="009C01BD">
        <w:rPr>
          <w:rFonts w:ascii="Abadi" w:hAnsi="Abadi"/>
          <w:sz w:val="21"/>
          <w:szCs w:val="21"/>
        </w:rPr>
        <w:t>- En consecuencia.</w:t>
      </w:r>
    </w:p>
    <w:p w14:paraId="1B4BB274" w14:textId="4209BEB8" w:rsidR="0032617D" w:rsidRDefault="0032617D" w:rsidP="009C01BD">
      <w:pPr>
        <w:ind w:firstLine="426"/>
        <w:jc w:val="both"/>
        <w:rPr>
          <w:rFonts w:ascii="Abadi" w:hAnsi="Abadi"/>
          <w:sz w:val="21"/>
          <w:szCs w:val="21"/>
        </w:rPr>
      </w:pPr>
    </w:p>
    <w:p w14:paraId="0AE663A0" w14:textId="77777777" w:rsidR="0032617D" w:rsidRDefault="0032617D" w:rsidP="009C01BD">
      <w:pPr>
        <w:ind w:firstLine="426"/>
        <w:jc w:val="both"/>
        <w:rPr>
          <w:rFonts w:ascii="Abadi" w:hAnsi="Abadi"/>
          <w:sz w:val="21"/>
          <w:szCs w:val="21"/>
        </w:rPr>
      </w:pPr>
    </w:p>
    <w:p w14:paraId="31E1A63C" w14:textId="77777777" w:rsidR="009C01BD" w:rsidRPr="009C01BD" w:rsidRDefault="009C01BD" w:rsidP="009C01BD">
      <w:pPr>
        <w:jc w:val="both"/>
        <w:rPr>
          <w:rFonts w:ascii="Abadi" w:hAnsi="Abadi"/>
          <w:sz w:val="21"/>
          <w:szCs w:val="21"/>
        </w:rPr>
      </w:pPr>
    </w:p>
    <w:p w14:paraId="5F216069" w14:textId="77777777" w:rsidR="009C01BD" w:rsidRPr="009C01BD" w:rsidRDefault="009C01BD" w:rsidP="009C01BD">
      <w:pPr>
        <w:ind w:left="426" w:right="425"/>
        <w:jc w:val="both"/>
        <w:rPr>
          <w:rFonts w:ascii="Abadi" w:hAnsi="Abadi"/>
          <w:b/>
          <w:bCs/>
          <w:i/>
          <w:iCs/>
          <w:sz w:val="21"/>
          <w:szCs w:val="21"/>
          <w:u w:val="single"/>
        </w:rPr>
      </w:pPr>
      <w:r w:rsidRPr="009C01BD">
        <w:rPr>
          <w:rFonts w:ascii="Abadi" w:hAnsi="Abadi"/>
          <w:b/>
          <w:bCs/>
          <w:i/>
          <w:iCs/>
          <w:sz w:val="21"/>
          <w:szCs w:val="21"/>
          <w:u w:val="single"/>
        </w:rPr>
        <w:t>Con fundamento en el artículo treinta y siete, fracción VI de la Ley de Fiscalización Superior del Estado de Guanajuato, remítanse los acuerdos aprobados, junto con sus dictámenes y los informes de resultados a la Auditoría Superior del Estado de Guanajuato, para efectos de su notificación.</w:t>
      </w:r>
    </w:p>
    <w:p w14:paraId="519DA494" w14:textId="77777777" w:rsidR="009C01BD" w:rsidRPr="001F1C64" w:rsidRDefault="009C01BD" w:rsidP="001F1C64">
      <w:pPr>
        <w:ind w:left="284" w:right="425"/>
        <w:jc w:val="both"/>
        <w:rPr>
          <w:rFonts w:ascii="Abadi" w:hAnsi="Abadi"/>
          <w:b/>
          <w:bCs/>
          <w:i/>
          <w:iCs/>
          <w:sz w:val="21"/>
          <w:szCs w:val="21"/>
          <w:u w:val="single"/>
        </w:rPr>
      </w:pPr>
    </w:p>
    <w:p w14:paraId="5462E796" w14:textId="77777777" w:rsidR="006F3002" w:rsidRPr="00293312" w:rsidRDefault="006F3002" w:rsidP="006F3002">
      <w:pPr>
        <w:autoSpaceDE w:val="0"/>
        <w:autoSpaceDN w:val="0"/>
        <w:adjustRightInd w:val="0"/>
        <w:jc w:val="both"/>
        <w:rPr>
          <w:rFonts w:ascii="Abadi" w:hAnsi="Abadi" w:cs="Arial-BoldMT"/>
          <w:b/>
          <w:bCs/>
          <w:sz w:val="20"/>
          <w:szCs w:val="21"/>
        </w:rPr>
      </w:pPr>
    </w:p>
    <w:p w14:paraId="715B598E" w14:textId="7E4B5570"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APASEO EL GRANDE, GTO., CON ENFOQUE A RESULTADOS DEL SERVICIO DE ALUMBRADO PÚBLICO, POR EL PERIODO COMPRENDIDO DEL 1 DE ENERO AL 31 DE DICIEMBRE DEL EJERCICIO FISCAL DEL AÑO 2020.</w:t>
      </w:r>
    </w:p>
    <w:p w14:paraId="2B19A8D8" w14:textId="3C15A041" w:rsidR="00A3693B" w:rsidRDefault="00A3693B" w:rsidP="00A3693B">
      <w:pPr>
        <w:autoSpaceDE w:val="0"/>
        <w:autoSpaceDN w:val="0"/>
        <w:adjustRightInd w:val="0"/>
        <w:jc w:val="both"/>
        <w:rPr>
          <w:rFonts w:ascii="Abadi" w:hAnsi="Abadi" w:cs="ArialMT"/>
          <w:b/>
          <w:bCs/>
          <w:sz w:val="20"/>
          <w:szCs w:val="21"/>
        </w:rPr>
      </w:pPr>
    </w:p>
    <w:p w14:paraId="52C61891" w14:textId="77777777" w:rsidR="00A3693B" w:rsidRPr="00312C34" w:rsidRDefault="00A3693B" w:rsidP="00A3693B">
      <w:pPr>
        <w:autoSpaceDE w:val="0"/>
        <w:autoSpaceDN w:val="0"/>
        <w:adjustRightInd w:val="0"/>
        <w:jc w:val="both"/>
        <w:rPr>
          <w:rFonts w:ascii="Abadi" w:hAnsi="Abadi" w:cs="*Arial-Bold-5435-Identity-H"/>
          <w:b/>
          <w:bCs/>
          <w:color w:val="14131D"/>
          <w:sz w:val="21"/>
          <w:szCs w:val="21"/>
        </w:rPr>
      </w:pPr>
      <w:r w:rsidRPr="00312C34">
        <w:rPr>
          <w:rFonts w:ascii="Abadi" w:hAnsi="Abadi" w:cs="*Arial-Bold-5435-Identity-H"/>
          <w:b/>
          <w:bCs/>
          <w:color w:val="14131D"/>
          <w:sz w:val="21"/>
          <w:szCs w:val="21"/>
        </w:rPr>
        <w:t>C. PRESIDENTA DEL CONGRESO DEL ESTADO.</w:t>
      </w:r>
    </w:p>
    <w:p w14:paraId="14A96026" w14:textId="77777777" w:rsidR="00A3693B" w:rsidRPr="00312C34" w:rsidRDefault="00A3693B" w:rsidP="00A3693B">
      <w:pPr>
        <w:autoSpaceDE w:val="0"/>
        <w:autoSpaceDN w:val="0"/>
        <w:adjustRightInd w:val="0"/>
        <w:jc w:val="both"/>
        <w:rPr>
          <w:rFonts w:ascii="Abadi" w:hAnsi="Abadi" w:cs="*Arial-Bold-5435-Identity-H"/>
          <w:b/>
          <w:bCs/>
          <w:color w:val="14131D"/>
          <w:sz w:val="21"/>
          <w:szCs w:val="21"/>
        </w:rPr>
      </w:pPr>
      <w:r w:rsidRPr="00312C34">
        <w:rPr>
          <w:rFonts w:ascii="Abadi" w:hAnsi="Abadi" w:cs="*Arial-Bold-5435-Identity-H"/>
          <w:b/>
          <w:bCs/>
          <w:color w:val="14131D"/>
          <w:sz w:val="21"/>
          <w:szCs w:val="21"/>
        </w:rPr>
        <w:t>P R E S E N T E.</w:t>
      </w:r>
    </w:p>
    <w:p w14:paraId="40DA53BE" w14:textId="77777777" w:rsidR="00A3693B" w:rsidRPr="00312C34" w:rsidRDefault="00A3693B" w:rsidP="00A3693B">
      <w:pPr>
        <w:autoSpaceDE w:val="0"/>
        <w:autoSpaceDN w:val="0"/>
        <w:adjustRightInd w:val="0"/>
        <w:jc w:val="both"/>
        <w:rPr>
          <w:rFonts w:ascii="Abadi" w:hAnsi="Abadi" w:cs="*Arial-Bold-5435-Identity-H"/>
          <w:b/>
          <w:bCs/>
          <w:color w:val="14131D"/>
          <w:sz w:val="21"/>
          <w:szCs w:val="21"/>
        </w:rPr>
      </w:pPr>
    </w:p>
    <w:p w14:paraId="12CB73DF" w14:textId="77777777" w:rsidR="00A3693B" w:rsidRPr="00312C34" w:rsidRDefault="00A3693B" w:rsidP="00A3693B">
      <w:pPr>
        <w:autoSpaceDE w:val="0"/>
        <w:autoSpaceDN w:val="0"/>
        <w:adjustRightInd w:val="0"/>
        <w:ind w:firstLine="708"/>
        <w:jc w:val="both"/>
        <w:rPr>
          <w:rFonts w:ascii="Abadi" w:hAnsi="Abadi" w:cs="*Arial-5433-Identity-H"/>
          <w:color w:val="14131C"/>
          <w:sz w:val="21"/>
          <w:szCs w:val="21"/>
        </w:rPr>
      </w:pPr>
      <w:r w:rsidRPr="00312C34">
        <w:rPr>
          <w:rFonts w:ascii="Abadi" w:hAnsi="Abadi" w:cs="*Arial-5433-Identity-H"/>
          <w:color w:val="14131C"/>
          <w:sz w:val="21"/>
          <w:szCs w:val="21"/>
        </w:rPr>
        <w:t>A esta Comisión de Hacienda y Fiscalización le fue turnado para su estudio</w:t>
      </w:r>
      <w:r>
        <w:rPr>
          <w:rFonts w:ascii="Abadi" w:hAnsi="Abadi" w:cs="*Arial-5433-Identity-H"/>
          <w:color w:val="14131C"/>
          <w:sz w:val="21"/>
          <w:szCs w:val="21"/>
        </w:rPr>
        <w:t xml:space="preserve"> </w:t>
      </w:r>
      <w:r w:rsidRPr="00312C34">
        <w:rPr>
          <w:rFonts w:ascii="Abadi" w:hAnsi="Abadi" w:cs="*Arial-5433-Identity-H"/>
          <w:color w:val="14131C"/>
          <w:sz w:val="21"/>
          <w:szCs w:val="21"/>
        </w:rPr>
        <w:t>y dictamen, el informe de resultados de la auditoría de desempeño practicada por</w:t>
      </w:r>
      <w:r>
        <w:rPr>
          <w:rFonts w:ascii="Abadi" w:hAnsi="Abadi" w:cs="*Arial-5433-Identity-H"/>
          <w:color w:val="14131C"/>
          <w:sz w:val="21"/>
          <w:szCs w:val="21"/>
        </w:rPr>
        <w:t xml:space="preserve"> </w:t>
      </w:r>
      <w:r w:rsidRPr="00312C34">
        <w:rPr>
          <w:rFonts w:ascii="Abadi" w:hAnsi="Abadi" w:cs="*Arial-5433-Identity-H"/>
          <w:color w:val="14131C"/>
          <w:sz w:val="21"/>
          <w:szCs w:val="21"/>
        </w:rPr>
        <w:t>la Auditoría Superior del Estado de Guanajuato a la administración municipal de</w:t>
      </w:r>
      <w:r>
        <w:rPr>
          <w:rFonts w:ascii="Abadi" w:hAnsi="Abadi" w:cs="*Arial-5433-Identity-H"/>
          <w:color w:val="14131C"/>
          <w:sz w:val="21"/>
          <w:szCs w:val="21"/>
        </w:rPr>
        <w:t xml:space="preserve"> </w:t>
      </w:r>
      <w:r w:rsidRPr="00312C34">
        <w:rPr>
          <w:rFonts w:ascii="Abadi" w:hAnsi="Abadi" w:cs="*Arial-5433-Identity-H"/>
          <w:color w:val="14131C"/>
          <w:sz w:val="21"/>
          <w:szCs w:val="21"/>
        </w:rPr>
        <w:t>Apaseo el Grande, Gto., con enfoque a resultados del servicio de alumbrado</w:t>
      </w:r>
      <w:r>
        <w:rPr>
          <w:rFonts w:ascii="Abadi" w:hAnsi="Abadi" w:cs="*Arial-5433-Identity-H"/>
          <w:color w:val="14131C"/>
          <w:sz w:val="21"/>
          <w:szCs w:val="21"/>
        </w:rPr>
        <w:t xml:space="preserve"> </w:t>
      </w:r>
      <w:r w:rsidRPr="00312C34">
        <w:rPr>
          <w:rFonts w:ascii="Abadi" w:hAnsi="Abadi" w:cs="*Arial-5433-Identity-H"/>
          <w:color w:val="14131C"/>
          <w:sz w:val="21"/>
          <w:szCs w:val="21"/>
        </w:rPr>
        <w:t>público, por el periodo comprendido del 1 de enero al 31 de diciembre del ejercicio</w:t>
      </w:r>
      <w:r>
        <w:rPr>
          <w:rFonts w:ascii="Abadi" w:hAnsi="Abadi" w:cs="*Arial-5433-Identity-H"/>
          <w:color w:val="14131C"/>
          <w:sz w:val="21"/>
          <w:szCs w:val="21"/>
        </w:rPr>
        <w:t xml:space="preserve"> </w:t>
      </w:r>
      <w:r w:rsidRPr="00312C34">
        <w:rPr>
          <w:rFonts w:ascii="Abadi" w:hAnsi="Abadi" w:cs="*Arial-5433-Identity-H"/>
          <w:color w:val="14131C"/>
          <w:sz w:val="21"/>
          <w:szCs w:val="21"/>
        </w:rPr>
        <w:t>fiscal del año 2020.</w:t>
      </w:r>
    </w:p>
    <w:p w14:paraId="2228EF4E" w14:textId="77777777" w:rsidR="00A3693B" w:rsidRPr="00312C34" w:rsidRDefault="00A3693B" w:rsidP="00A3693B">
      <w:pPr>
        <w:autoSpaceDE w:val="0"/>
        <w:autoSpaceDN w:val="0"/>
        <w:adjustRightInd w:val="0"/>
        <w:jc w:val="both"/>
        <w:rPr>
          <w:rFonts w:ascii="Abadi" w:hAnsi="Abadi" w:cs="*Arial-5433-Identity-H"/>
          <w:color w:val="14131C"/>
          <w:sz w:val="21"/>
          <w:szCs w:val="21"/>
        </w:rPr>
      </w:pPr>
    </w:p>
    <w:p w14:paraId="17714D25" w14:textId="77777777" w:rsidR="00A3693B" w:rsidRPr="00312C34" w:rsidRDefault="00A3693B" w:rsidP="00A3693B">
      <w:pPr>
        <w:autoSpaceDE w:val="0"/>
        <w:autoSpaceDN w:val="0"/>
        <w:adjustRightInd w:val="0"/>
        <w:ind w:firstLine="708"/>
        <w:jc w:val="both"/>
        <w:rPr>
          <w:rFonts w:ascii="Abadi" w:hAnsi="Abadi" w:cs="*Arial-5433-Identity-H"/>
          <w:color w:val="14131B"/>
          <w:sz w:val="21"/>
          <w:szCs w:val="21"/>
        </w:rPr>
      </w:pPr>
      <w:r w:rsidRPr="00312C34">
        <w:rPr>
          <w:rFonts w:ascii="Abadi" w:hAnsi="Abadi" w:cs="*Arial-5433-Identity-H"/>
          <w:color w:val="14131B"/>
          <w:sz w:val="21"/>
          <w:szCs w:val="21"/>
        </w:rPr>
        <w:t>Una vez analizado el referido informe de resultados, con fundamento en los</w:t>
      </w:r>
      <w:r>
        <w:rPr>
          <w:rFonts w:ascii="Abadi" w:hAnsi="Abadi" w:cs="*Arial-5433-Identity-H"/>
          <w:color w:val="14131B"/>
          <w:sz w:val="21"/>
          <w:szCs w:val="21"/>
        </w:rPr>
        <w:t xml:space="preserve"> </w:t>
      </w:r>
      <w:r w:rsidRPr="00312C34">
        <w:rPr>
          <w:rFonts w:ascii="Abadi" w:hAnsi="Abadi" w:cs="*Arial-5433-Identity-H"/>
          <w:color w:val="14131B"/>
          <w:sz w:val="21"/>
          <w:szCs w:val="21"/>
        </w:rPr>
        <w:t>artículos 112 fracción XII, primer párrafo y 171 de la Ley Orgánica del Poder</w:t>
      </w:r>
      <w:r>
        <w:rPr>
          <w:rFonts w:ascii="Abadi" w:hAnsi="Abadi" w:cs="*Arial-5433-Identity-H"/>
          <w:color w:val="14131B"/>
          <w:sz w:val="21"/>
          <w:szCs w:val="21"/>
        </w:rPr>
        <w:t xml:space="preserve"> </w:t>
      </w:r>
      <w:r w:rsidRPr="00312C34">
        <w:rPr>
          <w:rFonts w:ascii="Abadi" w:hAnsi="Abadi" w:cs="*Arial-5433-Identity-H"/>
          <w:color w:val="14131B"/>
          <w:sz w:val="21"/>
          <w:szCs w:val="21"/>
        </w:rPr>
        <w:t>Legislativo, nos permitimos rendir el siguiente:</w:t>
      </w:r>
    </w:p>
    <w:p w14:paraId="70A934B1" w14:textId="77777777" w:rsidR="00A3693B" w:rsidRPr="00312C34" w:rsidRDefault="00A3693B" w:rsidP="00A3693B">
      <w:pPr>
        <w:autoSpaceDE w:val="0"/>
        <w:autoSpaceDN w:val="0"/>
        <w:adjustRightInd w:val="0"/>
        <w:jc w:val="both"/>
        <w:rPr>
          <w:rFonts w:ascii="Abadi" w:hAnsi="Abadi" w:cs="*Arial-Bold-5434-Identity-H"/>
          <w:b/>
          <w:bCs/>
          <w:color w:val="14121E"/>
          <w:sz w:val="21"/>
          <w:szCs w:val="21"/>
        </w:rPr>
      </w:pPr>
    </w:p>
    <w:p w14:paraId="2657699B" w14:textId="77777777" w:rsidR="00A3693B" w:rsidRPr="00312C34" w:rsidRDefault="00A3693B" w:rsidP="00A3693B">
      <w:pPr>
        <w:autoSpaceDE w:val="0"/>
        <w:autoSpaceDN w:val="0"/>
        <w:adjustRightInd w:val="0"/>
        <w:jc w:val="center"/>
        <w:rPr>
          <w:rFonts w:ascii="Abadi" w:hAnsi="Abadi" w:cs="*Arial-Bold-5434-Identity-H"/>
          <w:b/>
          <w:bCs/>
          <w:color w:val="14121E"/>
          <w:sz w:val="21"/>
          <w:szCs w:val="21"/>
        </w:rPr>
      </w:pPr>
      <w:r w:rsidRPr="00312C34">
        <w:rPr>
          <w:rFonts w:ascii="Abadi" w:hAnsi="Abadi" w:cs="*Arial-Bold-5434-Identity-H"/>
          <w:b/>
          <w:bCs/>
          <w:color w:val="14121E"/>
          <w:sz w:val="21"/>
          <w:szCs w:val="21"/>
        </w:rPr>
        <w:t>Dictamen</w:t>
      </w:r>
    </w:p>
    <w:p w14:paraId="027B2A2B" w14:textId="77777777" w:rsidR="00A3693B" w:rsidRPr="00312C34" w:rsidRDefault="00A3693B" w:rsidP="00A3693B">
      <w:pPr>
        <w:autoSpaceDE w:val="0"/>
        <w:autoSpaceDN w:val="0"/>
        <w:adjustRightInd w:val="0"/>
        <w:jc w:val="both"/>
        <w:rPr>
          <w:rFonts w:ascii="Abadi" w:hAnsi="Abadi" w:cs="*Arial-Bold-5434-Identity-H"/>
          <w:b/>
          <w:bCs/>
          <w:color w:val="14121E"/>
          <w:sz w:val="21"/>
          <w:szCs w:val="21"/>
        </w:rPr>
      </w:pPr>
    </w:p>
    <w:p w14:paraId="4A0D5257" w14:textId="77777777" w:rsidR="00A3693B" w:rsidRPr="00312C34" w:rsidRDefault="00A3693B" w:rsidP="00A3693B">
      <w:pPr>
        <w:autoSpaceDE w:val="0"/>
        <w:autoSpaceDN w:val="0"/>
        <w:adjustRightInd w:val="0"/>
        <w:ind w:firstLine="708"/>
        <w:jc w:val="both"/>
        <w:rPr>
          <w:rFonts w:ascii="Abadi" w:hAnsi="Abadi" w:cs="*Arial-Bold-5434-Identity-H"/>
          <w:b/>
          <w:bCs/>
          <w:color w:val="14121E"/>
          <w:sz w:val="21"/>
          <w:szCs w:val="21"/>
        </w:rPr>
      </w:pPr>
      <w:r w:rsidRPr="00312C34">
        <w:rPr>
          <w:rFonts w:ascii="Abadi" w:hAnsi="Abadi" w:cs="*Arial-Bold-5434-Identity-H"/>
          <w:b/>
          <w:bCs/>
          <w:color w:val="14121E"/>
          <w:sz w:val="21"/>
          <w:szCs w:val="21"/>
        </w:rPr>
        <w:t>l. Competencia:</w:t>
      </w:r>
    </w:p>
    <w:p w14:paraId="7C1CBF93" w14:textId="77777777" w:rsidR="00A3693B" w:rsidRPr="00312C34" w:rsidRDefault="00A3693B" w:rsidP="00A3693B">
      <w:pPr>
        <w:autoSpaceDE w:val="0"/>
        <w:autoSpaceDN w:val="0"/>
        <w:adjustRightInd w:val="0"/>
        <w:jc w:val="both"/>
        <w:rPr>
          <w:rFonts w:ascii="Abadi" w:hAnsi="Abadi" w:cs="*Arial-Bold-5434-Identity-H"/>
          <w:b/>
          <w:bCs/>
          <w:color w:val="14121E"/>
          <w:sz w:val="21"/>
          <w:szCs w:val="21"/>
        </w:rPr>
      </w:pPr>
    </w:p>
    <w:p w14:paraId="75EE77CA" w14:textId="77777777" w:rsidR="00A3693B" w:rsidRDefault="00A3693B" w:rsidP="00A3693B">
      <w:pPr>
        <w:autoSpaceDE w:val="0"/>
        <w:autoSpaceDN w:val="0"/>
        <w:adjustRightInd w:val="0"/>
        <w:ind w:firstLine="708"/>
        <w:jc w:val="both"/>
        <w:rPr>
          <w:rFonts w:ascii="Abadi" w:hAnsi="Abadi" w:cs="*Arial-5433-Identity-H"/>
          <w:color w:val="14131B"/>
          <w:sz w:val="21"/>
          <w:szCs w:val="21"/>
        </w:rPr>
      </w:pPr>
      <w:r w:rsidRPr="00312C34">
        <w:rPr>
          <w:rFonts w:ascii="Abadi" w:hAnsi="Abadi" w:cs="*Arial-5433-Identity-H"/>
          <w:color w:val="14131B"/>
          <w:sz w:val="21"/>
          <w:szCs w:val="21"/>
        </w:rPr>
        <w:t>Las facultades de la legislatura local en materia de fiscalización de las</w:t>
      </w:r>
      <w:r>
        <w:rPr>
          <w:rFonts w:ascii="Abadi" w:hAnsi="Abadi" w:cs="*Arial-5433-Identity-H"/>
          <w:color w:val="14131B"/>
          <w:sz w:val="21"/>
          <w:szCs w:val="21"/>
        </w:rPr>
        <w:t xml:space="preserve"> </w:t>
      </w:r>
      <w:r w:rsidRPr="00312C34">
        <w:rPr>
          <w:rFonts w:ascii="Abadi" w:hAnsi="Abadi" w:cs="*Arial-5433-Identity-H"/>
          <w:color w:val="14131B"/>
          <w:sz w:val="21"/>
          <w:szCs w:val="21"/>
        </w:rPr>
        <w:t>cuentas públicas tienen su fundamento en lo dispuesto por el artículo 63</w:t>
      </w:r>
      <w:r>
        <w:rPr>
          <w:rFonts w:ascii="Abadi" w:hAnsi="Abadi" w:cs="*Arial-5433-Identity-H"/>
          <w:color w:val="14131B"/>
          <w:sz w:val="21"/>
          <w:szCs w:val="21"/>
        </w:rPr>
        <w:t xml:space="preserve"> </w:t>
      </w:r>
      <w:r w:rsidRPr="00312C34">
        <w:rPr>
          <w:rFonts w:ascii="Abadi" w:hAnsi="Abadi" w:cs="*Arial-5433-Identity-H"/>
          <w:color w:val="14131B"/>
          <w:sz w:val="21"/>
          <w:szCs w:val="21"/>
        </w:rPr>
        <w:t>fracciones XVI</w:t>
      </w:r>
      <w:r>
        <w:rPr>
          <w:rFonts w:ascii="Abadi" w:hAnsi="Abadi" w:cs="*Arial-5433-Identity-H"/>
          <w:color w:val="14131B"/>
          <w:sz w:val="21"/>
          <w:szCs w:val="21"/>
        </w:rPr>
        <w:t>II</w:t>
      </w:r>
      <w:r w:rsidRPr="00312C34">
        <w:rPr>
          <w:rFonts w:ascii="Abadi" w:hAnsi="Abadi" w:cs="*Arial-5433-Identity-H"/>
          <w:color w:val="14131B"/>
          <w:sz w:val="21"/>
          <w:szCs w:val="21"/>
        </w:rPr>
        <w:t xml:space="preserve">, XIX y </w:t>
      </w:r>
      <w:r w:rsidRPr="00312C34">
        <w:rPr>
          <w:rFonts w:ascii="Abadi" w:hAnsi="Abadi" w:cs="*Microsoft Sans Serif-Bold-5436"/>
          <w:color w:val="14131B"/>
          <w:sz w:val="21"/>
          <w:szCs w:val="21"/>
        </w:rPr>
        <w:t>XXVIII</w:t>
      </w:r>
      <w:r w:rsidRPr="00312C34">
        <w:rPr>
          <w:rFonts w:ascii="Abadi" w:hAnsi="Abadi" w:cs="*Microsoft Sans Serif-Bold-5436"/>
          <w:b/>
          <w:bCs/>
          <w:color w:val="14131B"/>
          <w:sz w:val="21"/>
          <w:szCs w:val="21"/>
        </w:rPr>
        <w:t xml:space="preserve"> </w:t>
      </w:r>
      <w:r w:rsidRPr="00312C34">
        <w:rPr>
          <w:rFonts w:ascii="Abadi" w:hAnsi="Abadi" w:cs="*Arial-5433-Identity-H"/>
          <w:color w:val="14131B"/>
          <w:sz w:val="21"/>
          <w:szCs w:val="21"/>
        </w:rPr>
        <w:t>de la Constitución Política para el Estado de</w:t>
      </w:r>
      <w:r>
        <w:rPr>
          <w:rFonts w:ascii="Abadi" w:hAnsi="Abadi" w:cs="*Arial-5433-Identity-H"/>
          <w:color w:val="14131B"/>
          <w:sz w:val="21"/>
          <w:szCs w:val="21"/>
        </w:rPr>
        <w:t xml:space="preserve"> </w:t>
      </w:r>
      <w:r w:rsidRPr="00312C34">
        <w:rPr>
          <w:rFonts w:ascii="Abadi" w:hAnsi="Abadi" w:cs="*Arial-5433-Identity-H"/>
          <w:color w:val="14131B"/>
          <w:sz w:val="21"/>
          <w:szCs w:val="21"/>
        </w:rPr>
        <w:t>Guanajuato. Estos dispositivos establecen que el Congreso del Estado tiene la</w:t>
      </w:r>
      <w:r>
        <w:rPr>
          <w:rFonts w:ascii="Abadi" w:hAnsi="Abadi" w:cs="*Arial-5433-Identity-H"/>
          <w:color w:val="14131B"/>
          <w:sz w:val="21"/>
          <w:szCs w:val="21"/>
        </w:rPr>
        <w:t xml:space="preserve"> </w:t>
      </w:r>
      <w:r w:rsidRPr="00312C34">
        <w:rPr>
          <w:rFonts w:ascii="Abadi" w:hAnsi="Abadi" w:cs="*Arial-5433-Identity-H"/>
          <w:color w:val="14131B"/>
          <w:sz w:val="21"/>
          <w:szCs w:val="21"/>
        </w:rPr>
        <w:t>facultad de fiscalizar la cuenta pública del Poder Ejecutivo, incluyendo las de las</w:t>
      </w:r>
      <w:r>
        <w:rPr>
          <w:rFonts w:ascii="Abadi" w:hAnsi="Abadi" w:cs="*Arial-5433-Identity-H"/>
          <w:color w:val="14131B"/>
          <w:sz w:val="21"/>
          <w:szCs w:val="21"/>
        </w:rPr>
        <w:t xml:space="preserve"> </w:t>
      </w:r>
      <w:r w:rsidRPr="00312C34">
        <w:rPr>
          <w:rFonts w:ascii="Abadi" w:hAnsi="Abadi" w:cs="*Arial-5433-Identity-H"/>
          <w:color w:val="14131B"/>
          <w:sz w:val="21"/>
          <w:szCs w:val="21"/>
        </w:rPr>
        <w:t>entidades y organismos de la administración pública paraestatal, las del Poder</w:t>
      </w:r>
      <w:r>
        <w:rPr>
          <w:rFonts w:ascii="Abadi" w:hAnsi="Abadi" w:cs="*Arial-5433-Identity-H"/>
          <w:color w:val="14131B"/>
          <w:sz w:val="21"/>
          <w:szCs w:val="21"/>
        </w:rPr>
        <w:t xml:space="preserve"> </w:t>
      </w:r>
      <w:r w:rsidRPr="00312C34">
        <w:rPr>
          <w:rFonts w:ascii="Abadi" w:hAnsi="Abadi" w:cs="*Arial-5433-Identity-H"/>
          <w:color w:val="14131B"/>
          <w:sz w:val="21"/>
          <w:szCs w:val="21"/>
        </w:rPr>
        <w:t>Judicial y de los organismos autónomos; así como las cuentas públicas</w:t>
      </w:r>
      <w:r>
        <w:rPr>
          <w:rFonts w:ascii="Abadi" w:hAnsi="Abadi" w:cs="*Arial-5433-Identity-H"/>
          <w:color w:val="14131B"/>
          <w:sz w:val="21"/>
          <w:szCs w:val="21"/>
        </w:rPr>
        <w:t xml:space="preserve"> </w:t>
      </w:r>
      <w:r w:rsidRPr="00312C34">
        <w:rPr>
          <w:rFonts w:ascii="Abadi" w:hAnsi="Abadi" w:cs="*Arial-5433-Identity-H"/>
          <w:color w:val="14131B"/>
          <w:sz w:val="21"/>
          <w:szCs w:val="21"/>
        </w:rPr>
        <w:t>municipales, incluyendo las de las entidades y organismos de la administración</w:t>
      </w:r>
      <w:r>
        <w:rPr>
          <w:rFonts w:ascii="Abadi" w:hAnsi="Abadi" w:cs="*Arial-5433-Identity-H"/>
          <w:color w:val="14131B"/>
          <w:sz w:val="21"/>
          <w:szCs w:val="21"/>
        </w:rPr>
        <w:t xml:space="preserve"> </w:t>
      </w:r>
      <w:r w:rsidRPr="00312C34">
        <w:rPr>
          <w:rFonts w:ascii="Abadi" w:hAnsi="Abadi" w:cs="*Arial-5433-Identity-H"/>
          <w:color w:val="14131B"/>
          <w:sz w:val="21"/>
          <w:szCs w:val="21"/>
        </w:rPr>
        <w:t>pública paramunicipal; y verificar el desempeño en el cumplimiento de los</w:t>
      </w:r>
      <w:r>
        <w:rPr>
          <w:rFonts w:ascii="Abadi" w:hAnsi="Abadi" w:cs="*Arial-5433-Identity-H"/>
          <w:color w:val="14131B"/>
          <w:sz w:val="21"/>
          <w:szCs w:val="21"/>
        </w:rPr>
        <w:t xml:space="preserve"> </w:t>
      </w:r>
      <w:r w:rsidRPr="00312C34">
        <w:rPr>
          <w:rFonts w:ascii="Abadi" w:hAnsi="Abadi" w:cs="*Arial-5433-Identity-H"/>
          <w:color w:val="14131B"/>
          <w:sz w:val="21"/>
          <w:szCs w:val="21"/>
        </w:rPr>
        <w:t>objetivos de los programas. De igual manera, puede acordar la práctica de</w:t>
      </w:r>
      <w:r>
        <w:rPr>
          <w:rFonts w:ascii="Abadi" w:hAnsi="Abadi" w:cs="*Arial-5433-Identity-H"/>
          <w:color w:val="14131B"/>
          <w:sz w:val="21"/>
          <w:szCs w:val="21"/>
        </w:rPr>
        <w:t xml:space="preserve"> </w:t>
      </w:r>
      <w:r w:rsidRPr="00312C34">
        <w:rPr>
          <w:rFonts w:ascii="Abadi" w:hAnsi="Abadi" w:cs="*Arial-5433-Identity-H"/>
          <w:color w:val="14131B"/>
          <w:sz w:val="21"/>
          <w:szCs w:val="21"/>
        </w:rPr>
        <w:t>auditorías a los sujetos de fiscalización, cuando exista causa justificada para ello,</w:t>
      </w:r>
      <w:r>
        <w:rPr>
          <w:rFonts w:ascii="Abadi" w:hAnsi="Abadi" w:cs="*Arial-5433-Identity-H"/>
          <w:color w:val="14131B"/>
          <w:sz w:val="21"/>
          <w:szCs w:val="21"/>
        </w:rPr>
        <w:t xml:space="preserve"> </w:t>
      </w:r>
      <w:r w:rsidRPr="00312C34">
        <w:rPr>
          <w:rFonts w:ascii="Abadi" w:hAnsi="Abadi" w:cs="*Arial-5433-Identity-H"/>
          <w:color w:val="14131B"/>
          <w:sz w:val="21"/>
          <w:szCs w:val="21"/>
        </w:rPr>
        <w:t>auxiliándose para el cumplimiento de dichas facultades por la Auditoría Superior</w:t>
      </w:r>
      <w:r>
        <w:rPr>
          <w:rFonts w:ascii="Abadi" w:hAnsi="Abadi" w:cs="*Arial-5433-Identity-H"/>
          <w:color w:val="14131B"/>
          <w:sz w:val="21"/>
          <w:szCs w:val="21"/>
        </w:rPr>
        <w:t xml:space="preserve"> </w:t>
      </w:r>
      <w:r w:rsidRPr="00312C34">
        <w:rPr>
          <w:rFonts w:ascii="Abadi" w:hAnsi="Abadi" w:cs="*Arial-5433-Identity-H"/>
          <w:color w:val="14131B"/>
          <w:sz w:val="21"/>
          <w:szCs w:val="21"/>
        </w:rPr>
        <w:t>del Estado de Guanajuato.</w:t>
      </w:r>
    </w:p>
    <w:p w14:paraId="5876774B" w14:textId="77777777" w:rsidR="00A3693B" w:rsidRPr="00312C34" w:rsidRDefault="00A3693B" w:rsidP="00A3693B">
      <w:pPr>
        <w:autoSpaceDE w:val="0"/>
        <w:autoSpaceDN w:val="0"/>
        <w:adjustRightInd w:val="0"/>
        <w:jc w:val="both"/>
        <w:rPr>
          <w:rFonts w:ascii="Abadi" w:hAnsi="Abadi" w:cs="*Arial-5433-Identity-H"/>
          <w:color w:val="14131B"/>
          <w:sz w:val="21"/>
          <w:szCs w:val="21"/>
        </w:rPr>
      </w:pPr>
    </w:p>
    <w:p w14:paraId="53CB5C46" w14:textId="77777777" w:rsidR="00A3693B" w:rsidRPr="00312C34" w:rsidRDefault="00A3693B" w:rsidP="00A3693B">
      <w:pPr>
        <w:autoSpaceDE w:val="0"/>
        <w:autoSpaceDN w:val="0"/>
        <w:adjustRightInd w:val="0"/>
        <w:ind w:firstLine="708"/>
        <w:jc w:val="both"/>
        <w:rPr>
          <w:rFonts w:ascii="Abadi" w:hAnsi="Abadi" w:cs="*Arial-5433-Identity-H"/>
          <w:color w:val="14131B"/>
          <w:sz w:val="21"/>
          <w:szCs w:val="21"/>
        </w:rPr>
      </w:pPr>
      <w:r w:rsidRPr="00312C34">
        <w:rPr>
          <w:rFonts w:ascii="Abadi" w:hAnsi="Abadi" w:cs="*Arial-5433-Identity-H"/>
          <w:color w:val="14131B"/>
          <w:sz w:val="21"/>
          <w:szCs w:val="21"/>
        </w:rPr>
        <w:t>Asimismo, el artículo 66 fracción VIII de dicho Ordenamiento Constitucional</w:t>
      </w:r>
      <w:r>
        <w:rPr>
          <w:rFonts w:ascii="Abadi" w:hAnsi="Abadi" w:cs="*Arial-5433-Identity-H"/>
          <w:color w:val="14131B"/>
          <w:sz w:val="21"/>
          <w:szCs w:val="21"/>
        </w:rPr>
        <w:t xml:space="preserve"> </w:t>
      </w:r>
      <w:r w:rsidRPr="00312C34">
        <w:rPr>
          <w:rFonts w:ascii="Abadi" w:hAnsi="Abadi" w:cs="*Arial-5433-Identity-H"/>
          <w:color w:val="14131B"/>
          <w:sz w:val="21"/>
          <w:szCs w:val="21"/>
        </w:rPr>
        <w:t>establece que la Auditoría Superior del Estado de Guanajuato deberá informar al</w:t>
      </w:r>
      <w:r>
        <w:rPr>
          <w:rFonts w:ascii="Abadi" w:hAnsi="Abadi" w:cs="*Arial-5433-Identity-H"/>
          <w:color w:val="14131B"/>
          <w:sz w:val="21"/>
          <w:szCs w:val="21"/>
        </w:rPr>
        <w:t xml:space="preserve"> </w:t>
      </w:r>
      <w:r w:rsidRPr="00312C34">
        <w:rPr>
          <w:rFonts w:ascii="Abadi" w:hAnsi="Abadi" w:cs="*Arial-5433-Identity-H"/>
          <w:color w:val="14131B"/>
          <w:sz w:val="21"/>
          <w:szCs w:val="21"/>
        </w:rPr>
        <w:t>Congreso del Estado del resultado de la revisión de la cuenta pública y demás</w:t>
      </w:r>
      <w:r>
        <w:rPr>
          <w:rFonts w:ascii="Abadi" w:hAnsi="Abadi" w:cs="*Arial-5433-Identity-H"/>
          <w:color w:val="14131B"/>
          <w:sz w:val="21"/>
          <w:szCs w:val="21"/>
        </w:rPr>
        <w:t xml:space="preserve"> </w:t>
      </w:r>
      <w:r w:rsidRPr="00312C34">
        <w:rPr>
          <w:rFonts w:ascii="Abadi" w:hAnsi="Abadi" w:cs="*Arial-5433-Identity-H"/>
          <w:color w:val="14131B"/>
          <w:sz w:val="21"/>
          <w:szCs w:val="21"/>
        </w:rPr>
        <w:t>asuntos derivados de la fiscalización, incluyendo los dictámenes, informes de</w:t>
      </w:r>
      <w:r>
        <w:rPr>
          <w:rFonts w:ascii="Abadi" w:hAnsi="Abadi" w:cs="*Arial-5433-Identity-H"/>
          <w:color w:val="14131B"/>
          <w:sz w:val="21"/>
          <w:szCs w:val="21"/>
        </w:rPr>
        <w:t xml:space="preserve"> </w:t>
      </w:r>
      <w:r w:rsidRPr="00312C34">
        <w:rPr>
          <w:rFonts w:ascii="Abadi" w:hAnsi="Abadi" w:cs="*Arial-5433-Identity-H"/>
          <w:color w:val="14131B"/>
          <w:sz w:val="21"/>
          <w:szCs w:val="21"/>
        </w:rPr>
        <w:t>resultados, comentarios y observaciones de las auditorías, constituyendo una de</w:t>
      </w:r>
      <w:r>
        <w:rPr>
          <w:rFonts w:ascii="Abadi" w:hAnsi="Abadi" w:cs="*Arial-5433-Identity-H"/>
          <w:color w:val="14131B"/>
          <w:sz w:val="21"/>
          <w:szCs w:val="21"/>
        </w:rPr>
        <w:t xml:space="preserve"> </w:t>
      </w:r>
      <w:r w:rsidRPr="00312C34">
        <w:rPr>
          <w:rFonts w:ascii="Abadi" w:hAnsi="Abadi" w:cs="*Arial-5433-Identity-H"/>
          <w:color w:val="14131B"/>
          <w:sz w:val="21"/>
          <w:szCs w:val="21"/>
        </w:rPr>
        <w:t>las fases del proceso de fiscalización.</w:t>
      </w:r>
    </w:p>
    <w:p w14:paraId="3B9FD614" w14:textId="77777777" w:rsidR="00A3693B" w:rsidRPr="00312C34" w:rsidRDefault="00A3693B" w:rsidP="00A3693B">
      <w:pPr>
        <w:jc w:val="both"/>
        <w:rPr>
          <w:rFonts w:ascii="Abadi" w:hAnsi="Abadi" w:cs="*Arial-5433-Identity-H"/>
          <w:color w:val="14131B"/>
          <w:sz w:val="21"/>
          <w:szCs w:val="21"/>
        </w:rPr>
      </w:pPr>
    </w:p>
    <w:p w14:paraId="7DE47F46" w14:textId="77777777" w:rsidR="00A3693B" w:rsidRPr="00312C34" w:rsidRDefault="00A3693B" w:rsidP="00A3693B">
      <w:pPr>
        <w:autoSpaceDE w:val="0"/>
        <w:autoSpaceDN w:val="0"/>
        <w:adjustRightInd w:val="0"/>
        <w:ind w:firstLine="708"/>
        <w:jc w:val="both"/>
        <w:rPr>
          <w:rFonts w:ascii="Abadi" w:hAnsi="Abadi" w:cs="*Arial-5282-Identity-H"/>
          <w:color w:val="15141C"/>
          <w:sz w:val="21"/>
          <w:szCs w:val="21"/>
        </w:rPr>
      </w:pPr>
      <w:r w:rsidRPr="00312C34">
        <w:rPr>
          <w:rFonts w:ascii="Abadi" w:hAnsi="Abadi" w:cs="*Arial-5282-Identity-H"/>
          <w:color w:val="15141C"/>
          <w:sz w:val="21"/>
          <w:szCs w:val="21"/>
        </w:rPr>
        <w:t xml:space="preserve">De igual forma, el artículo 82, fracción </w:t>
      </w:r>
      <w:r w:rsidRPr="00312C34">
        <w:rPr>
          <w:rFonts w:ascii="Abadi" w:hAnsi="Abadi" w:cs="*Microsoft Sans Serif-Bold-5284"/>
          <w:color w:val="15141C"/>
          <w:sz w:val="21"/>
          <w:szCs w:val="21"/>
        </w:rPr>
        <w:t xml:space="preserve">XXIV </w:t>
      </w:r>
      <w:r w:rsidRPr="00312C34">
        <w:rPr>
          <w:rFonts w:ascii="Abadi" w:hAnsi="Abadi" w:cs="*Arial-5282-Identity-H"/>
          <w:color w:val="15141C"/>
          <w:sz w:val="21"/>
          <w:szCs w:val="21"/>
        </w:rPr>
        <w:t>de la Ley de Fiscalización</w:t>
      </w:r>
      <w:r>
        <w:rPr>
          <w:rFonts w:ascii="Abadi" w:hAnsi="Abadi" w:cs="*Arial-5282-Identity-H"/>
          <w:color w:val="15141C"/>
          <w:sz w:val="21"/>
          <w:szCs w:val="21"/>
        </w:rPr>
        <w:t xml:space="preserve"> </w:t>
      </w:r>
      <w:r w:rsidRPr="00312C34">
        <w:rPr>
          <w:rFonts w:ascii="Abadi" w:hAnsi="Abadi" w:cs="*Arial-5282-Identity-H"/>
          <w:color w:val="15141C"/>
          <w:sz w:val="21"/>
          <w:szCs w:val="21"/>
        </w:rPr>
        <w:t>Superior del Estado de Guanajuato establece como atribución de la Auditoría</w:t>
      </w:r>
      <w:r>
        <w:rPr>
          <w:rFonts w:ascii="Abadi" w:hAnsi="Abadi" w:cs="*Arial-5282-Identity-H"/>
          <w:color w:val="15141C"/>
          <w:sz w:val="21"/>
          <w:szCs w:val="21"/>
        </w:rPr>
        <w:t xml:space="preserve"> </w:t>
      </w:r>
      <w:r w:rsidRPr="00312C34">
        <w:rPr>
          <w:rFonts w:ascii="Abadi" w:hAnsi="Abadi" w:cs="*Arial-5282-Identity-H"/>
          <w:color w:val="15141C"/>
          <w:sz w:val="21"/>
          <w:szCs w:val="21"/>
        </w:rPr>
        <w:t>Superior del Estado, rendir al Congreso, los informes derivados del ejercicio de la</w:t>
      </w:r>
      <w:r>
        <w:rPr>
          <w:rFonts w:ascii="Abadi" w:hAnsi="Abadi" w:cs="*Arial-5282-Identity-H"/>
          <w:color w:val="15141C"/>
          <w:sz w:val="21"/>
          <w:szCs w:val="21"/>
        </w:rPr>
        <w:t xml:space="preserve"> </w:t>
      </w:r>
      <w:r w:rsidRPr="00312C34">
        <w:rPr>
          <w:rFonts w:ascii="Abadi" w:hAnsi="Abadi" w:cs="*Arial-5282-Identity-H"/>
          <w:color w:val="15141C"/>
          <w:sz w:val="21"/>
          <w:szCs w:val="21"/>
        </w:rPr>
        <w:t>función de fiscalización.</w:t>
      </w:r>
    </w:p>
    <w:p w14:paraId="72650680" w14:textId="77777777" w:rsidR="00B610DC" w:rsidRDefault="00B610DC" w:rsidP="00A3693B">
      <w:pPr>
        <w:autoSpaceDE w:val="0"/>
        <w:autoSpaceDN w:val="0"/>
        <w:adjustRightInd w:val="0"/>
        <w:ind w:firstLine="708"/>
        <w:jc w:val="both"/>
        <w:rPr>
          <w:rFonts w:ascii="Abadi" w:hAnsi="Abadi" w:cs="*Arial-5282-Identity-H"/>
          <w:color w:val="14131C"/>
          <w:sz w:val="21"/>
          <w:szCs w:val="21"/>
        </w:rPr>
      </w:pPr>
    </w:p>
    <w:p w14:paraId="3A8B96D8" w14:textId="062C73D9" w:rsidR="00A3693B" w:rsidRDefault="00A3693B" w:rsidP="00A3693B">
      <w:pPr>
        <w:autoSpaceDE w:val="0"/>
        <w:autoSpaceDN w:val="0"/>
        <w:adjustRightInd w:val="0"/>
        <w:ind w:firstLine="708"/>
        <w:jc w:val="both"/>
        <w:rPr>
          <w:rFonts w:ascii="Abadi" w:hAnsi="Abadi" w:cs="*Arial-5282-Identity-H"/>
          <w:color w:val="14131C"/>
          <w:sz w:val="21"/>
          <w:szCs w:val="21"/>
        </w:rPr>
      </w:pPr>
      <w:r w:rsidRPr="00312C34">
        <w:rPr>
          <w:rFonts w:ascii="Abadi" w:hAnsi="Abadi" w:cs="*Arial-5282-Identity-H"/>
          <w:color w:val="14131C"/>
          <w:sz w:val="21"/>
          <w:szCs w:val="21"/>
        </w:rPr>
        <w:t>En razón de lo cual, la Ley de Fiscalización Superior del Estado de</w:t>
      </w:r>
      <w:r>
        <w:rPr>
          <w:rFonts w:ascii="Abadi" w:hAnsi="Abadi" w:cs="*Arial-5282-Identity-H"/>
          <w:color w:val="14131C"/>
          <w:sz w:val="21"/>
          <w:szCs w:val="21"/>
        </w:rPr>
        <w:t xml:space="preserve"> </w:t>
      </w:r>
      <w:r w:rsidRPr="00312C34">
        <w:rPr>
          <w:rFonts w:ascii="Abadi" w:hAnsi="Abadi" w:cs="*Arial-5282-Identity-H"/>
          <w:color w:val="14131C"/>
          <w:sz w:val="21"/>
          <w:szCs w:val="21"/>
        </w:rPr>
        <w:t>Guanajuato establece que la Auditoría Superior debe remitir los informes de</w:t>
      </w:r>
      <w:r>
        <w:rPr>
          <w:rFonts w:ascii="Abadi" w:hAnsi="Abadi" w:cs="*Arial-5282-Identity-H"/>
          <w:color w:val="14131C"/>
          <w:sz w:val="21"/>
          <w:szCs w:val="21"/>
        </w:rPr>
        <w:t xml:space="preserve"> </w:t>
      </w:r>
      <w:r w:rsidRPr="00312C34">
        <w:rPr>
          <w:rFonts w:ascii="Abadi" w:hAnsi="Abadi" w:cs="*Arial-5282-Identity-H"/>
          <w:color w:val="14131C"/>
          <w:sz w:val="21"/>
          <w:szCs w:val="21"/>
        </w:rPr>
        <w:t>resultados al Congreso del Estado, a efecto de que éste realice la declaratoria</w:t>
      </w:r>
      <w:r>
        <w:rPr>
          <w:rFonts w:ascii="Abadi" w:hAnsi="Abadi" w:cs="*Arial-5282-Identity-H"/>
          <w:color w:val="14131C"/>
          <w:sz w:val="21"/>
          <w:szCs w:val="21"/>
        </w:rPr>
        <w:t xml:space="preserve"> </w:t>
      </w:r>
      <w:r w:rsidRPr="00312C34">
        <w:rPr>
          <w:rFonts w:ascii="Abadi" w:hAnsi="Abadi" w:cs="*Arial-5282-Identity-H"/>
          <w:color w:val="14131C"/>
          <w:sz w:val="21"/>
          <w:szCs w:val="21"/>
        </w:rPr>
        <w:t>correspondiente, señalándose en el artículo 38 que el informe de resultados</w:t>
      </w:r>
      <w:r>
        <w:rPr>
          <w:rFonts w:ascii="Abadi" w:hAnsi="Abadi" w:cs="*Arial-5282-Identity-H"/>
          <w:color w:val="14131C"/>
          <w:sz w:val="21"/>
          <w:szCs w:val="21"/>
        </w:rPr>
        <w:t xml:space="preserve"> </w:t>
      </w:r>
      <w:r w:rsidRPr="00312C34">
        <w:rPr>
          <w:rFonts w:ascii="Abadi" w:hAnsi="Abadi" w:cs="*Arial-5282-Identity-H"/>
          <w:color w:val="14131C"/>
          <w:sz w:val="21"/>
          <w:szCs w:val="21"/>
        </w:rPr>
        <w:t>únicamente podrá ser observado por las dos terceras partes de los diputados</w:t>
      </w:r>
      <w:r>
        <w:rPr>
          <w:rFonts w:ascii="Abadi" w:hAnsi="Abadi" w:cs="*Arial-5282-Identity-H"/>
          <w:color w:val="14131C"/>
          <w:sz w:val="21"/>
          <w:szCs w:val="21"/>
        </w:rPr>
        <w:t xml:space="preserve"> </w:t>
      </w:r>
      <w:r w:rsidRPr="00312C34">
        <w:rPr>
          <w:rFonts w:ascii="Abadi" w:hAnsi="Abadi" w:cs="*Arial-5282-Identity-H"/>
          <w:color w:val="14131C"/>
          <w:sz w:val="21"/>
          <w:szCs w:val="21"/>
        </w:rPr>
        <w:t>Integrantes</w:t>
      </w:r>
      <w:r>
        <w:rPr>
          <w:rFonts w:ascii="Abadi" w:hAnsi="Abadi" w:cs="*Arial-5282-Identity-H"/>
          <w:color w:val="14131C"/>
          <w:sz w:val="21"/>
          <w:szCs w:val="21"/>
        </w:rPr>
        <w:t xml:space="preserve"> </w:t>
      </w:r>
      <w:r w:rsidRPr="00312C34">
        <w:rPr>
          <w:rFonts w:ascii="Abadi" w:hAnsi="Abadi" w:cs="*Arial-5282-Identity-H"/>
          <w:color w:val="14131C"/>
          <w:sz w:val="21"/>
          <w:szCs w:val="21"/>
        </w:rPr>
        <w:t>del Congreso, cuando no se observen las formalidades esenciales del</w:t>
      </w:r>
      <w:r>
        <w:rPr>
          <w:rFonts w:ascii="Abadi" w:hAnsi="Abadi" w:cs="*Arial-5282-Identity-H"/>
          <w:color w:val="14131C"/>
          <w:sz w:val="21"/>
          <w:szCs w:val="21"/>
        </w:rPr>
        <w:t xml:space="preserve"> </w:t>
      </w:r>
      <w:r w:rsidRPr="00312C34">
        <w:rPr>
          <w:rFonts w:ascii="Abadi" w:hAnsi="Abadi" w:cs="*Arial-5282-Identity-H"/>
          <w:color w:val="14131C"/>
          <w:sz w:val="21"/>
          <w:szCs w:val="21"/>
        </w:rPr>
        <w:t>proceso de fiscalización.</w:t>
      </w:r>
    </w:p>
    <w:p w14:paraId="1826A6A7" w14:textId="77777777" w:rsidR="00A3693B" w:rsidRPr="00312C34" w:rsidRDefault="00A3693B" w:rsidP="00A3693B">
      <w:pPr>
        <w:autoSpaceDE w:val="0"/>
        <w:autoSpaceDN w:val="0"/>
        <w:adjustRightInd w:val="0"/>
        <w:jc w:val="both"/>
        <w:rPr>
          <w:rFonts w:ascii="Abadi" w:hAnsi="Abadi" w:cs="*Arial-5282-Identity-H"/>
          <w:color w:val="14131C"/>
          <w:sz w:val="21"/>
          <w:szCs w:val="21"/>
        </w:rPr>
      </w:pPr>
    </w:p>
    <w:p w14:paraId="1DD40167" w14:textId="77777777" w:rsidR="00A3693B" w:rsidRDefault="00A3693B" w:rsidP="00A3693B">
      <w:pPr>
        <w:autoSpaceDE w:val="0"/>
        <w:autoSpaceDN w:val="0"/>
        <w:adjustRightInd w:val="0"/>
        <w:ind w:firstLine="708"/>
        <w:jc w:val="both"/>
        <w:rPr>
          <w:rFonts w:ascii="Abadi" w:hAnsi="Abadi" w:cs="*Arial-5282-Identity-H"/>
          <w:color w:val="14131C"/>
          <w:sz w:val="21"/>
          <w:szCs w:val="21"/>
        </w:rPr>
      </w:pPr>
      <w:r w:rsidRPr="00312C34">
        <w:rPr>
          <w:rFonts w:ascii="Abadi" w:hAnsi="Abadi" w:cs="*Arial-5282-Identity-H"/>
          <w:color w:val="14131C"/>
          <w:sz w:val="21"/>
          <w:szCs w:val="21"/>
        </w:rPr>
        <w:t>Con la finalidad de que el Congreso dé cumplimiento a lo señalado en el</w:t>
      </w:r>
      <w:r>
        <w:rPr>
          <w:rFonts w:ascii="Abadi" w:hAnsi="Abadi" w:cs="*Arial-5282-Identity-H"/>
          <w:color w:val="14131C"/>
          <w:sz w:val="21"/>
          <w:szCs w:val="21"/>
        </w:rPr>
        <w:t xml:space="preserve"> </w:t>
      </w:r>
      <w:r w:rsidRPr="00312C34">
        <w:rPr>
          <w:rFonts w:ascii="Abadi" w:hAnsi="Abadi" w:cs="*Arial-5282-Identity-H"/>
          <w:color w:val="14131C"/>
          <w:sz w:val="21"/>
          <w:szCs w:val="21"/>
        </w:rPr>
        <w:t>párrafo anterior, la Ley Orgánica del Poder Legislativo del Estado de Guanajuato</w:t>
      </w:r>
      <w:r>
        <w:rPr>
          <w:rFonts w:ascii="Abadi" w:hAnsi="Abadi" w:cs="*Arial-5282-Identity-H"/>
          <w:color w:val="14131C"/>
          <w:sz w:val="21"/>
          <w:szCs w:val="21"/>
        </w:rPr>
        <w:t xml:space="preserve"> </w:t>
      </w:r>
      <w:r w:rsidRPr="00312C34">
        <w:rPr>
          <w:rFonts w:ascii="Abadi" w:hAnsi="Abadi" w:cs="*Arial-5282-Identity-H"/>
          <w:color w:val="14131C"/>
          <w:sz w:val="21"/>
          <w:szCs w:val="21"/>
        </w:rPr>
        <w:t xml:space="preserve">establece en su artículo 112, fracción </w:t>
      </w:r>
      <w:r w:rsidRPr="00312C34">
        <w:rPr>
          <w:rFonts w:ascii="Abadi" w:hAnsi="Abadi" w:cs="*Microsoft Sans Serif-Bold-5284"/>
          <w:color w:val="14131C"/>
          <w:sz w:val="21"/>
          <w:szCs w:val="21"/>
        </w:rPr>
        <w:t>XII,</w:t>
      </w:r>
      <w:r w:rsidRPr="00312C34">
        <w:rPr>
          <w:rFonts w:ascii="Abadi" w:hAnsi="Abadi" w:cs="*Microsoft Sans Serif-Bold-5284"/>
          <w:b/>
          <w:bCs/>
          <w:color w:val="14131C"/>
          <w:sz w:val="21"/>
          <w:szCs w:val="21"/>
        </w:rPr>
        <w:t xml:space="preserve"> </w:t>
      </w:r>
      <w:r w:rsidRPr="00312C34">
        <w:rPr>
          <w:rFonts w:ascii="Abadi" w:hAnsi="Abadi" w:cs="*Arial-5282-Identity-H"/>
          <w:color w:val="14131C"/>
          <w:sz w:val="21"/>
          <w:szCs w:val="21"/>
        </w:rPr>
        <w:t>primer párrafo que, a esta Comisión de</w:t>
      </w:r>
      <w:r>
        <w:rPr>
          <w:rFonts w:ascii="Abadi" w:hAnsi="Abadi" w:cs="*Arial-5282-Identity-H"/>
          <w:color w:val="14131C"/>
          <w:sz w:val="21"/>
          <w:szCs w:val="21"/>
        </w:rPr>
        <w:t xml:space="preserve"> </w:t>
      </w:r>
      <w:r w:rsidRPr="00312C34">
        <w:rPr>
          <w:rFonts w:ascii="Abadi" w:hAnsi="Abadi" w:cs="*Arial-5282-Identity-H"/>
          <w:color w:val="14131C"/>
          <w:sz w:val="21"/>
          <w:szCs w:val="21"/>
        </w:rPr>
        <w:t>Hacienda y Fiscalización, le compete el conocimiento y dictamen de los asuntos</w:t>
      </w:r>
      <w:r>
        <w:rPr>
          <w:rFonts w:ascii="Abadi" w:hAnsi="Abadi" w:cs="*Arial-5282-Identity-H"/>
          <w:color w:val="14131C"/>
          <w:sz w:val="21"/>
          <w:szCs w:val="21"/>
        </w:rPr>
        <w:t xml:space="preserve"> </w:t>
      </w:r>
      <w:r w:rsidRPr="00312C34">
        <w:rPr>
          <w:rFonts w:ascii="Abadi" w:hAnsi="Abadi" w:cs="*Arial-5282-Identity-H"/>
          <w:color w:val="14131C"/>
          <w:sz w:val="21"/>
          <w:szCs w:val="21"/>
        </w:rPr>
        <w:t>relativos a los informes de resultados que emita la Auditoría Superior del Estado.</w:t>
      </w:r>
      <w:r>
        <w:rPr>
          <w:rFonts w:ascii="Abadi" w:hAnsi="Abadi" w:cs="*Arial-5282-Identity-H"/>
          <w:color w:val="14131C"/>
          <w:sz w:val="21"/>
          <w:szCs w:val="21"/>
        </w:rPr>
        <w:t xml:space="preserve">  </w:t>
      </w:r>
    </w:p>
    <w:p w14:paraId="694690C0" w14:textId="77777777" w:rsidR="00A3693B" w:rsidRDefault="00A3693B" w:rsidP="00A3693B">
      <w:pPr>
        <w:autoSpaceDE w:val="0"/>
        <w:autoSpaceDN w:val="0"/>
        <w:adjustRightInd w:val="0"/>
        <w:jc w:val="both"/>
        <w:rPr>
          <w:rFonts w:ascii="Abadi" w:hAnsi="Abadi" w:cs="*Arial-5282-Identity-H"/>
          <w:color w:val="14131C"/>
          <w:sz w:val="21"/>
          <w:szCs w:val="21"/>
        </w:rPr>
      </w:pPr>
    </w:p>
    <w:p w14:paraId="532C08C4" w14:textId="77777777" w:rsidR="00A3693B" w:rsidRPr="00312C34" w:rsidRDefault="00A3693B" w:rsidP="00A3693B">
      <w:pPr>
        <w:autoSpaceDE w:val="0"/>
        <w:autoSpaceDN w:val="0"/>
        <w:adjustRightInd w:val="0"/>
        <w:ind w:firstLine="708"/>
        <w:jc w:val="both"/>
        <w:rPr>
          <w:rFonts w:ascii="Abadi" w:hAnsi="Abadi" w:cs="*Arial-5282-Identity-H"/>
          <w:color w:val="14141C"/>
          <w:sz w:val="21"/>
          <w:szCs w:val="21"/>
        </w:rPr>
      </w:pPr>
      <w:r w:rsidRPr="00312C34">
        <w:rPr>
          <w:rFonts w:ascii="Abadi" w:hAnsi="Abadi" w:cs="*Arial-5282-Identity-H"/>
          <w:color w:val="14141C"/>
          <w:sz w:val="21"/>
          <w:szCs w:val="21"/>
        </w:rPr>
        <w:t>A efecto de cumplir con las atribuciones conferidas a esta Comisión, y en</w:t>
      </w:r>
      <w:r>
        <w:rPr>
          <w:rFonts w:ascii="Abadi" w:hAnsi="Abadi" w:cs="*Arial-5282-Identity-H"/>
          <w:color w:val="14141C"/>
          <w:sz w:val="21"/>
          <w:szCs w:val="21"/>
        </w:rPr>
        <w:t xml:space="preserve"> </w:t>
      </w:r>
      <w:r w:rsidRPr="00312C34">
        <w:rPr>
          <w:rFonts w:ascii="Abadi" w:hAnsi="Abadi" w:cs="*Arial-5282-Identity-H"/>
          <w:color w:val="14141C"/>
          <w:sz w:val="21"/>
          <w:szCs w:val="21"/>
        </w:rPr>
        <w:t>observancia a lo que establece la Ley de Fiscalización Superior del Estado de</w:t>
      </w:r>
      <w:r>
        <w:rPr>
          <w:rFonts w:ascii="Abadi" w:hAnsi="Abadi" w:cs="*Arial-5282-Identity-H"/>
          <w:color w:val="14141C"/>
          <w:sz w:val="21"/>
          <w:szCs w:val="21"/>
        </w:rPr>
        <w:t xml:space="preserve"> </w:t>
      </w:r>
      <w:r w:rsidRPr="00312C34">
        <w:rPr>
          <w:rFonts w:ascii="Abadi" w:hAnsi="Abadi" w:cs="*Arial-5282-Identity-H"/>
          <w:color w:val="14141C"/>
          <w:sz w:val="21"/>
          <w:szCs w:val="21"/>
        </w:rPr>
        <w:t>Guanajuato, el presente dictamen se ocupará exclusivamente del aspecto que la</w:t>
      </w:r>
      <w:r>
        <w:rPr>
          <w:rFonts w:ascii="Abadi" w:hAnsi="Abadi" w:cs="*Arial-5282-Identity-H"/>
          <w:color w:val="14141C"/>
          <w:sz w:val="21"/>
          <w:szCs w:val="21"/>
        </w:rPr>
        <w:t xml:space="preserve"> </w:t>
      </w:r>
      <w:r w:rsidRPr="00312C34">
        <w:rPr>
          <w:rFonts w:ascii="Abadi" w:hAnsi="Abadi" w:cs="*Arial-5282-Identity-H"/>
          <w:color w:val="14141C"/>
          <w:sz w:val="21"/>
          <w:szCs w:val="21"/>
        </w:rPr>
        <w:t>propia Ley señala y por el cual podría ser observado o no, el informe de</w:t>
      </w:r>
      <w:r>
        <w:rPr>
          <w:rFonts w:ascii="Abadi" w:hAnsi="Abadi" w:cs="*Arial-5282-Identity-H"/>
          <w:color w:val="14141C"/>
          <w:sz w:val="21"/>
          <w:szCs w:val="21"/>
        </w:rPr>
        <w:t xml:space="preserve"> </w:t>
      </w:r>
      <w:r w:rsidRPr="00312C34">
        <w:rPr>
          <w:rFonts w:ascii="Abadi" w:hAnsi="Abadi" w:cs="*Arial-5282-Identity-H"/>
          <w:color w:val="14141C"/>
          <w:sz w:val="21"/>
          <w:szCs w:val="21"/>
        </w:rPr>
        <w:t>resultados.</w:t>
      </w:r>
    </w:p>
    <w:p w14:paraId="5B591A13" w14:textId="77777777" w:rsidR="00A3693B" w:rsidRDefault="00A3693B" w:rsidP="00A3693B">
      <w:pPr>
        <w:autoSpaceDE w:val="0"/>
        <w:autoSpaceDN w:val="0"/>
        <w:adjustRightInd w:val="0"/>
        <w:jc w:val="both"/>
        <w:rPr>
          <w:rFonts w:ascii="Abadi" w:hAnsi="Abadi" w:cs="*Arial-Bold-5283-Identity-H"/>
          <w:b/>
          <w:bCs/>
          <w:color w:val="15141E"/>
          <w:sz w:val="21"/>
          <w:szCs w:val="21"/>
        </w:rPr>
      </w:pPr>
    </w:p>
    <w:p w14:paraId="044A20B3" w14:textId="77777777" w:rsidR="00A3693B" w:rsidRDefault="00A3693B" w:rsidP="00A3693B">
      <w:pPr>
        <w:autoSpaceDE w:val="0"/>
        <w:autoSpaceDN w:val="0"/>
        <w:adjustRightInd w:val="0"/>
        <w:ind w:firstLine="708"/>
        <w:jc w:val="both"/>
        <w:rPr>
          <w:rFonts w:ascii="Abadi" w:hAnsi="Abadi" w:cs="*Arial-Bold-5283-Identity-H"/>
          <w:b/>
          <w:bCs/>
          <w:color w:val="15141E"/>
          <w:sz w:val="21"/>
          <w:szCs w:val="21"/>
        </w:rPr>
      </w:pPr>
      <w:r>
        <w:rPr>
          <w:rFonts w:ascii="Abadi" w:hAnsi="Abadi" w:cs="*Arial-Bold-5283-Identity-H"/>
          <w:b/>
          <w:bCs/>
          <w:color w:val="15141E"/>
          <w:sz w:val="21"/>
          <w:szCs w:val="21"/>
        </w:rPr>
        <w:t>II</w:t>
      </w:r>
      <w:r w:rsidRPr="00312C34">
        <w:rPr>
          <w:rFonts w:ascii="Abadi" w:hAnsi="Abadi" w:cs="*Arial-Bold-5283-Identity-H"/>
          <w:b/>
          <w:bCs/>
          <w:color w:val="15141E"/>
          <w:sz w:val="21"/>
          <w:szCs w:val="21"/>
        </w:rPr>
        <w:t>. Antecedentes:</w:t>
      </w:r>
    </w:p>
    <w:p w14:paraId="2AD525AE" w14:textId="77777777" w:rsidR="00A3693B" w:rsidRPr="00312C34" w:rsidRDefault="00A3693B" w:rsidP="00A3693B">
      <w:pPr>
        <w:autoSpaceDE w:val="0"/>
        <w:autoSpaceDN w:val="0"/>
        <w:adjustRightInd w:val="0"/>
        <w:jc w:val="both"/>
        <w:rPr>
          <w:rFonts w:ascii="Abadi" w:hAnsi="Abadi" w:cs="*Arial-Bold-5283-Identity-H"/>
          <w:b/>
          <w:bCs/>
          <w:color w:val="15141E"/>
          <w:sz w:val="21"/>
          <w:szCs w:val="21"/>
        </w:rPr>
      </w:pPr>
    </w:p>
    <w:p w14:paraId="4E1355F5" w14:textId="77777777" w:rsidR="00A3693B" w:rsidRDefault="00A3693B" w:rsidP="00A3693B">
      <w:pPr>
        <w:autoSpaceDE w:val="0"/>
        <w:autoSpaceDN w:val="0"/>
        <w:adjustRightInd w:val="0"/>
        <w:ind w:firstLine="708"/>
        <w:jc w:val="both"/>
        <w:rPr>
          <w:rFonts w:ascii="Abadi" w:hAnsi="Abadi" w:cs="*Arial-5282-Identity-H"/>
          <w:color w:val="14131D"/>
          <w:sz w:val="21"/>
          <w:szCs w:val="21"/>
        </w:rPr>
      </w:pPr>
      <w:r w:rsidRPr="00312C34">
        <w:rPr>
          <w:rFonts w:ascii="Abadi" w:hAnsi="Abadi" w:cs="*Arial-5282-Identity-H"/>
          <w:color w:val="14131D"/>
          <w:sz w:val="21"/>
          <w:szCs w:val="21"/>
        </w:rPr>
        <w:t>De conformidad con el artículo 66, fracción I de la Constitución Política para</w:t>
      </w:r>
      <w:r>
        <w:rPr>
          <w:rFonts w:ascii="Abadi" w:hAnsi="Abadi" w:cs="*Arial-5282-Identity-H"/>
          <w:color w:val="14131D"/>
          <w:sz w:val="21"/>
          <w:szCs w:val="21"/>
        </w:rPr>
        <w:t xml:space="preserve"> </w:t>
      </w:r>
      <w:r w:rsidRPr="00312C34">
        <w:rPr>
          <w:rFonts w:ascii="Abadi" w:hAnsi="Abadi" w:cs="*Arial-5282-Identity-H"/>
          <w:color w:val="14131D"/>
          <w:sz w:val="21"/>
          <w:szCs w:val="21"/>
        </w:rPr>
        <w:t>el Estado de Guanajuato, es atribución de la Auditoría Superior del Estado realizar</w:t>
      </w:r>
      <w:r>
        <w:rPr>
          <w:rFonts w:ascii="Abadi" w:hAnsi="Abadi" w:cs="*Arial-5282-Identity-H"/>
          <w:color w:val="14131D"/>
          <w:sz w:val="21"/>
          <w:szCs w:val="21"/>
        </w:rPr>
        <w:t xml:space="preserve"> </w:t>
      </w:r>
      <w:r w:rsidRPr="00312C34">
        <w:rPr>
          <w:rFonts w:ascii="Abadi" w:hAnsi="Abadi" w:cs="*Arial-5282-Identity-H"/>
          <w:color w:val="14131D"/>
          <w:sz w:val="21"/>
          <w:szCs w:val="21"/>
        </w:rPr>
        <w:t>auditorías de desempeño en el cumplimiento de objetivos y metas contenidos en</w:t>
      </w:r>
      <w:r>
        <w:rPr>
          <w:rFonts w:ascii="Abadi" w:hAnsi="Abadi" w:cs="*Arial-5282-Identity-H"/>
          <w:color w:val="14131D"/>
          <w:sz w:val="21"/>
          <w:szCs w:val="21"/>
        </w:rPr>
        <w:t xml:space="preserve"> </w:t>
      </w:r>
      <w:r w:rsidRPr="00312C34">
        <w:rPr>
          <w:rFonts w:ascii="Abadi" w:hAnsi="Abadi" w:cs="*Arial-5282-Identity-H"/>
          <w:color w:val="14131D"/>
          <w:sz w:val="21"/>
          <w:szCs w:val="21"/>
        </w:rPr>
        <w:t>los programas, de las cuales sólo podrá emitir las recomendaciones para la mejora</w:t>
      </w:r>
      <w:r>
        <w:rPr>
          <w:rFonts w:ascii="Abadi" w:hAnsi="Abadi" w:cs="*Arial-5282-Identity-H"/>
          <w:color w:val="14131D"/>
          <w:sz w:val="21"/>
          <w:szCs w:val="21"/>
        </w:rPr>
        <w:t xml:space="preserve"> </w:t>
      </w:r>
      <w:r w:rsidRPr="00312C34">
        <w:rPr>
          <w:rFonts w:ascii="Abadi" w:hAnsi="Abadi" w:cs="*Arial-5282-Identity-H"/>
          <w:color w:val="14131D"/>
          <w:sz w:val="21"/>
          <w:szCs w:val="21"/>
        </w:rPr>
        <w:t>en el desempeño, en los términos de la Ley.</w:t>
      </w:r>
    </w:p>
    <w:p w14:paraId="56D5785C" w14:textId="77777777" w:rsidR="00A3693B" w:rsidRPr="00312C34" w:rsidRDefault="00A3693B" w:rsidP="00A3693B">
      <w:pPr>
        <w:autoSpaceDE w:val="0"/>
        <w:autoSpaceDN w:val="0"/>
        <w:adjustRightInd w:val="0"/>
        <w:jc w:val="both"/>
        <w:rPr>
          <w:rFonts w:ascii="Abadi" w:hAnsi="Abadi" w:cs="*Arial-5282-Identity-H"/>
          <w:color w:val="14131D"/>
          <w:sz w:val="21"/>
          <w:szCs w:val="21"/>
        </w:rPr>
      </w:pPr>
    </w:p>
    <w:p w14:paraId="567751E3" w14:textId="77777777" w:rsidR="00A3693B" w:rsidRPr="00312C34" w:rsidRDefault="00A3693B" w:rsidP="00A3693B">
      <w:pPr>
        <w:autoSpaceDE w:val="0"/>
        <w:autoSpaceDN w:val="0"/>
        <w:adjustRightInd w:val="0"/>
        <w:ind w:firstLine="708"/>
        <w:jc w:val="both"/>
        <w:rPr>
          <w:rFonts w:ascii="Abadi" w:hAnsi="Abadi" w:cs="*Arial-5282-Identity-H"/>
          <w:color w:val="15141C"/>
          <w:sz w:val="21"/>
          <w:szCs w:val="21"/>
        </w:rPr>
      </w:pPr>
      <w:r w:rsidRPr="00312C34">
        <w:rPr>
          <w:rFonts w:ascii="Abadi" w:hAnsi="Abadi" w:cs="*Arial-5282-Identity-H"/>
          <w:color w:val="15141C"/>
          <w:sz w:val="21"/>
          <w:szCs w:val="21"/>
        </w:rPr>
        <w:t>Por su parte, el artículo 3, fracción V de la Ley de Fiscalización Superior del</w:t>
      </w:r>
      <w:r>
        <w:rPr>
          <w:rFonts w:ascii="Abadi" w:hAnsi="Abadi" w:cs="*Arial-5282-Identity-H"/>
          <w:color w:val="15141C"/>
          <w:sz w:val="21"/>
          <w:szCs w:val="21"/>
        </w:rPr>
        <w:t xml:space="preserve"> </w:t>
      </w:r>
      <w:r w:rsidRPr="00312C34">
        <w:rPr>
          <w:rFonts w:ascii="Abadi" w:hAnsi="Abadi" w:cs="*Arial-5282-Identity-H"/>
          <w:color w:val="15141C"/>
          <w:sz w:val="21"/>
          <w:szCs w:val="21"/>
        </w:rPr>
        <w:t>Estado de Guanajuato señala que la Auditoría Superior del Estado es competente</w:t>
      </w:r>
      <w:r>
        <w:rPr>
          <w:rFonts w:ascii="Abadi" w:hAnsi="Abadi" w:cs="*Arial-5282-Identity-H"/>
          <w:color w:val="15141C"/>
          <w:sz w:val="21"/>
          <w:szCs w:val="21"/>
        </w:rPr>
        <w:t xml:space="preserve"> </w:t>
      </w:r>
      <w:r w:rsidRPr="00312C34">
        <w:rPr>
          <w:rFonts w:ascii="Abadi" w:hAnsi="Abadi" w:cs="*Arial-5282-Identity-H"/>
          <w:color w:val="15141C"/>
          <w:sz w:val="21"/>
          <w:szCs w:val="21"/>
        </w:rPr>
        <w:t>para practicar auditorías de desempeño para verificar el cumplimiento de los</w:t>
      </w:r>
      <w:r>
        <w:rPr>
          <w:rFonts w:ascii="Abadi" w:hAnsi="Abadi" w:cs="*Arial-5282-Identity-H"/>
          <w:color w:val="15141C"/>
          <w:sz w:val="21"/>
          <w:szCs w:val="21"/>
        </w:rPr>
        <w:t xml:space="preserve"> </w:t>
      </w:r>
      <w:r w:rsidRPr="00312C34">
        <w:rPr>
          <w:rFonts w:ascii="Abadi" w:hAnsi="Abadi" w:cs="*Arial-5282-Identity-H"/>
          <w:color w:val="15141C"/>
          <w:sz w:val="21"/>
          <w:szCs w:val="21"/>
        </w:rPr>
        <w:t>objetivos y las metas de los programas estatales y municipales.</w:t>
      </w:r>
    </w:p>
    <w:p w14:paraId="3A8D63F5" w14:textId="77777777" w:rsidR="00A3693B" w:rsidRPr="00312C34" w:rsidRDefault="00A3693B" w:rsidP="00A3693B">
      <w:pPr>
        <w:jc w:val="both"/>
        <w:rPr>
          <w:rFonts w:ascii="Abadi" w:hAnsi="Abadi" w:cs="*Arial-5282-Identity-H"/>
          <w:color w:val="15141C"/>
          <w:sz w:val="21"/>
          <w:szCs w:val="21"/>
        </w:rPr>
      </w:pPr>
      <w:r>
        <w:rPr>
          <w:rFonts w:ascii="Abadi" w:hAnsi="Abadi" w:cs="*Arial-5282-Identity-H"/>
          <w:color w:val="15141C"/>
          <w:sz w:val="21"/>
          <w:szCs w:val="21"/>
        </w:rPr>
        <w:t xml:space="preserve"> </w:t>
      </w:r>
    </w:p>
    <w:p w14:paraId="5D407675" w14:textId="77777777" w:rsidR="00A3693B" w:rsidRDefault="00A3693B" w:rsidP="00A3693B">
      <w:pPr>
        <w:autoSpaceDE w:val="0"/>
        <w:autoSpaceDN w:val="0"/>
        <w:adjustRightInd w:val="0"/>
        <w:ind w:firstLine="708"/>
        <w:jc w:val="both"/>
        <w:rPr>
          <w:rFonts w:ascii="Abadi" w:hAnsi="Abadi" w:cs="*Arial-5106-Identity-H"/>
          <w:color w:val="14131B"/>
          <w:sz w:val="21"/>
          <w:szCs w:val="21"/>
        </w:rPr>
      </w:pPr>
      <w:r w:rsidRPr="00312C34">
        <w:rPr>
          <w:rFonts w:ascii="Abadi" w:hAnsi="Abadi" w:cs="*Arial-5106-Identity-H"/>
          <w:color w:val="14131B"/>
          <w:sz w:val="21"/>
          <w:szCs w:val="21"/>
        </w:rPr>
        <w:t>De igual forma, el artículo 56 de la Ley de Fiscalización Superior prevé que</w:t>
      </w:r>
      <w:r>
        <w:rPr>
          <w:rFonts w:ascii="Abadi" w:hAnsi="Abadi" w:cs="*Arial-5106-Identity-H"/>
          <w:color w:val="14131B"/>
          <w:sz w:val="21"/>
          <w:szCs w:val="21"/>
        </w:rPr>
        <w:t xml:space="preserve"> </w:t>
      </w:r>
      <w:r w:rsidRPr="00312C34">
        <w:rPr>
          <w:rFonts w:ascii="Abadi" w:hAnsi="Abadi" w:cs="*Arial-5106-Identity-H"/>
          <w:color w:val="14131B"/>
          <w:sz w:val="21"/>
          <w:szCs w:val="21"/>
        </w:rPr>
        <w:t>las auditorías de desempeño comprenden la revisión del cumplimiento de las</w:t>
      </w:r>
      <w:r>
        <w:rPr>
          <w:rFonts w:ascii="Abadi" w:hAnsi="Abadi" w:cs="*Arial-5106-Identity-H"/>
          <w:color w:val="14131B"/>
          <w:sz w:val="21"/>
          <w:szCs w:val="21"/>
        </w:rPr>
        <w:t xml:space="preserve"> </w:t>
      </w:r>
      <w:r w:rsidRPr="00312C34">
        <w:rPr>
          <w:rFonts w:ascii="Abadi" w:hAnsi="Abadi" w:cs="*Arial-5106-Identity-H"/>
          <w:color w:val="14131B"/>
          <w:sz w:val="21"/>
          <w:szCs w:val="21"/>
        </w:rPr>
        <w:t>metas y objetivos de los planes y programas, conforme a los principios de</w:t>
      </w:r>
      <w:r>
        <w:rPr>
          <w:rFonts w:ascii="Abadi" w:hAnsi="Abadi" w:cs="*Arial-5106-Identity-H"/>
          <w:color w:val="14131B"/>
          <w:sz w:val="21"/>
          <w:szCs w:val="21"/>
        </w:rPr>
        <w:t xml:space="preserve"> e</w:t>
      </w:r>
      <w:r w:rsidRPr="00312C34">
        <w:rPr>
          <w:rFonts w:ascii="Abadi" w:hAnsi="Abadi" w:cs="*Arial-5106-Identity-H"/>
          <w:color w:val="14131B"/>
          <w:sz w:val="21"/>
          <w:szCs w:val="21"/>
        </w:rPr>
        <w:t>ficiencia, eficacia y economía; así como la evaluación de las políticas públicas;</w:t>
      </w:r>
      <w:r>
        <w:rPr>
          <w:rFonts w:ascii="Abadi" w:hAnsi="Abadi" w:cs="*Arial-5106-Identity-H"/>
          <w:color w:val="14131B"/>
          <w:sz w:val="21"/>
          <w:szCs w:val="21"/>
        </w:rPr>
        <w:t xml:space="preserve"> así como la evaluación de las políticas públicas; </w:t>
      </w:r>
      <w:r w:rsidRPr="00312C34">
        <w:rPr>
          <w:rFonts w:ascii="Abadi" w:hAnsi="Abadi" w:cs="*Arial-5106-Identity-H"/>
          <w:color w:val="14131B"/>
          <w:sz w:val="21"/>
          <w:szCs w:val="21"/>
        </w:rPr>
        <w:t>estableciendo además que la Auditoría Superior del Estado realizará las auditorías</w:t>
      </w:r>
      <w:r>
        <w:rPr>
          <w:rFonts w:ascii="Abadi" w:hAnsi="Abadi" w:cs="*Arial-5106-Identity-H"/>
          <w:color w:val="14131B"/>
          <w:sz w:val="21"/>
          <w:szCs w:val="21"/>
        </w:rPr>
        <w:t xml:space="preserve"> </w:t>
      </w:r>
      <w:r w:rsidRPr="00312C34">
        <w:rPr>
          <w:rFonts w:ascii="Abadi" w:hAnsi="Abadi" w:cs="*Arial-5106-Identity-H"/>
          <w:color w:val="14131B"/>
          <w:sz w:val="21"/>
          <w:szCs w:val="21"/>
        </w:rPr>
        <w:t>de desempeño de manera anual y únicamente formulará recomendaciones que</w:t>
      </w:r>
      <w:r>
        <w:rPr>
          <w:rFonts w:ascii="Abadi" w:hAnsi="Abadi" w:cs="*Arial-5106-Identity-H"/>
          <w:color w:val="14131B"/>
          <w:sz w:val="21"/>
          <w:szCs w:val="21"/>
        </w:rPr>
        <w:t xml:space="preserve"> </w:t>
      </w:r>
      <w:r w:rsidRPr="00312C34">
        <w:rPr>
          <w:rFonts w:ascii="Abadi" w:hAnsi="Abadi" w:cs="*Arial-5106-Identity-H"/>
          <w:color w:val="14131B"/>
          <w:sz w:val="21"/>
          <w:szCs w:val="21"/>
        </w:rPr>
        <w:t>incidan en mejorar sistemáticamente el diseño, operación e impacto de los</w:t>
      </w:r>
      <w:r>
        <w:rPr>
          <w:rFonts w:ascii="Abadi" w:hAnsi="Abadi" w:cs="*Arial-5106-Identity-H"/>
          <w:color w:val="14131B"/>
          <w:sz w:val="21"/>
          <w:szCs w:val="21"/>
        </w:rPr>
        <w:t xml:space="preserve"> </w:t>
      </w:r>
      <w:r w:rsidRPr="00312C34">
        <w:rPr>
          <w:rFonts w:ascii="Abadi" w:hAnsi="Abadi" w:cs="*Arial-5106-Identity-H"/>
          <w:color w:val="14131B"/>
          <w:sz w:val="21"/>
          <w:szCs w:val="21"/>
        </w:rPr>
        <w:t>presupuestos programáticos y las políticas públicas en su caso.</w:t>
      </w:r>
      <w:r>
        <w:rPr>
          <w:rFonts w:ascii="Abadi" w:hAnsi="Abadi" w:cs="*Arial-5106-Identity-H"/>
          <w:color w:val="14131B"/>
          <w:sz w:val="21"/>
          <w:szCs w:val="21"/>
        </w:rPr>
        <w:t xml:space="preserve"> </w:t>
      </w:r>
    </w:p>
    <w:p w14:paraId="0D0D5926" w14:textId="77777777" w:rsidR="00A3693B" w:rsidRDefault="00A3693B" w:rsidP="00A3693B">
      <w:pPr>
        <w:autoSpaceDE w:val="0"/>
        <w:autoSpaceDN w:val="0"/>
        <w:adjustRightInd w:val="0"/>
        <w:jc w:val="both"/>
        <w:rPr>
          <w:rFonts w:ascii="Abadi" w:hAnsi="Abadi" w:cs="*Arial-5106-Identity-H"/>
          <w:color w:val="14131B"/>
          <w:sz w:val="21"/>
          <w:szCs w:val="21"/>
        </w:rPr>
      </w:pPr>
    </w:p>
    <w:p w14:paraId="5421B6D5" w14:textId="77777777" w:rsidR="00A3693B" w:rsidRDefault="00A3693B" w:rsidP="00A3693B">
      <w:pPr>
        <w:autoSpaceDE w:val="0"/>
        <w:autoSpaceDN w:val="0"/>
        <w:adjustRightInd w:val="0"/>
        <w:ind w:firstLine="708"/>
        <w:jc w:val="both"/>
        <w:rPr>
          <w:rFonts w:ascii="Abadi" w:hAnsi="Abadi" w:cs="*Arial-5106-Identity-H"/>
          <w:color w:val="14131B"/>
          <w:sz w:val="21"/>
          <w:szCs w:val="21"/>
        </w:rPr>
      </w:pPr>
      <w:r w:rsidRPr="00312C34">
        <w:rPr>
          <w:rFonts w:ascii="Abadi" w:hAnsi="Abadi" w:cs="*Arial-5106-Identity-H"/>
          <w:color w:val="14131B"/>
          <w:sz w:val="21"/>
          <w:szCs w:val="21"/>
        </w:rPr>
        <w:t>Por su parte, los artículos 59 y 60 de la citada Ley refieren que los informes</w:t>
      </w:r>
      <w:r>
        <w:rPr>
          <w:rFonts w:ascii="Abadi" w:hAnsi="Abadi" w:cs="*Arial-5106-Identity-H"/>
          <w:color w:val="14131B"/>
          <w:sz w:val="21"/>
          <w:szCs w:val="21"/>
        </w:rPr>
        <w:t xml:space="preserve"> </w:t>
      </w:r>
      <w:r w:rsidRPr="00312C34">
        <w:rPr>
          <w:rFonts w:ascii="Abadi" w:hAnsi="Abadi" w:cs="*Arial-5106-Identity-H"/>
          <w:color w:val="14131B"/>
          <w:sz w:val="21"/>
          <w:szCs w:val="21"/>
        </w:rPr>
        <w:t>de resultados de auditorías de desempeño contendrán los requisitos señalados en</w:t>
      </w:r>
      <w:r>
        <w:rPr>
          <w:rFonts w:ascii="Abadi" w:hAnsi="Abadi" w:cs="*Arial-5106-Identity-H"/>
          <w:color w:val="14131B"/>
          <w:sz w:val="21"/>
          <w:szCs w:val="21"/>
        </w:rPr>
        <w:t xml:space="preserve"> </w:t>
      </w:r>
      <w:r w:rsidRPr="00312C34">
        <w:rPr>
          <w:rFonts w:ascii="Abadi" w:hAnsi="Abadi" w:cs="*Arial-5106-Identity-H"/>
          <w:color w:val="14131B"/>
          <w:sz w:val="21"/>
          <w:szCs w:val="21"/>
        </w:rPr>
        <w:t>el Reglamento de la Ley y que la Auditoría Superior del Estado, remitirá dichos</w:t>
      </w:r>
      <w:r>
        <w:rPr>
          <w:rFonts w:ascii="Abadi" w:hAnsi="Abadi" w:cs="*Arial-5106-Identity-H"/>
          <w:color w:val="14131B"/>
          <w:sz w:val="21"/>
          <w:szCs w:val="21"/>
        </w:rPr>
        <w:t xml:space="preserve"> </w:t>
      </w:r>
      <w:r w:rsidRPr="00312C34">
        <w:rPr>
          <w:rFonts w:ascii="Abadi" w:hAnsi="Abadi" w:cs="*Arial-5106-Identity-H"/>
          <w:color w:val="14131B"/>
          <w:sz w:val="21"/>
          <w:szCs w:val="21"/>
        </w:rPr>
        <w:t>informes al Congreso a más tardar el 30 de septiembre del ejercicio fiscal de que</w:t>
      </w:r>
      <w:r>
        <w:rPr>
          <w:rFonts w:ascii="Abadi" w:hAnsi="Abadi" w:cs="*Arial-5106-Identity-H"/>
          <w:color w:val="14131B"/>
          <w:sz w:val="21"/>
          <w:szCs w:val="21"/>
        </w:rPr>
        <w:t xml:space="preserve"> </w:t>
      </w:r>
      <w:r w:rsidRPr="00312C34">
        <w:rPr>
          <w:rFonts w:ascii="Abadi" w:hAnsi="Abadi" w:cs="*Arial-5106-Identity-H"/>
          <w:color w:val="14131B"/>
          <w:sz w:val="21"/>
          <w:szCs w:val="21"/>
        </w:rPr>
        <w:t>se trate.</w:t>
      </w:r>
    </w:p>
    <w:p w14:paraId="2C6FF3C7" w14:textId="77777777" w:rsidR="00A3693B" w:rsidRPr="00312C34" w:rsidRDefault="00A3693B" w:rsidP="00A3693B">
      <w:pPr>
        <w:autoSpaceDE w:val="0"/>
        <w:autoSpaceDN w:val="0"/>
        <w:adjustRightInd w:val="0"/>
        <w:jc w:val="both"/>
        <w:rPr>
          <w:rFonts w:ascii="Abadi" w:hAnsi="Abadi" w:cs="*Arial-5106-Identity-H"/>
          <w:color w:val="14131B"/>
          <w:sz w:val="21"/>
          <w:szCs w:val="21"/>
        </w:rPr>
      </w:pPr>
    </w:p>
    <w:p w14:paraId="5DE7F06F" w14:textId="77777777" w:rsidR="00A3693B" w:rsidRDefault="00A3693B" w:rsidP="00A3693B">
      <w:pPr>
        <w:autoSpaceDE w:val="0"/>
        <w:autoSpaceDN w:val="0"/>
        <w:adjustRightInd w:val="0"/>
        <w:ind w:firstLine="708"/>
        <w:jc w:val="both"/>
        <w:rPr>
          <w:rFonts w:ascii="Abadi" w:hAnsi="Abadi" w:cs="*Arial-5106-Identity-H"/>
          <w:color w:val="14131C"/>
          <w:sz w:val="21"/>
          <w:szCs w:val="21"/>
        </w:rPr>
      </w:pPr>
      <w:r w:rsidRPr="00312C34">
        <w:rPr>
          <w:rFonts w:ascii="Abadi" w:hAnsi="Abadi" w:cs="*Arial-5106-Identity-H"/>
          <w:color w:val="14131C"/>
          <w:sz w:val="21"/>
          <w:szCs w:val="21"/>
        </w:rPr>
        <w:t>De lo anterior podemos desprender que el Órgano Técnico realizará la</w:t>
      </w:r>
      <w:r>
        <w:rPr>
          <w:rFonts w:ascii="Abadi" w:hAnsi="Abadi" w:cs="*Arial-5106-Identity-H"/>
          <w:color w:val="14131C"/>
          <w:sz w:val="21"/>
          <w:szCs w:val="21"/>
        </w:rPr>
        <w:t xml:space="preserve"> </w:t>
      </w:r>
      <w:r w:rsidRPr="00312C34">
        <w:rPr>
          <w:rFonts w:ascii="Abadi" w:hAnsi="Abadi" w:cs="*Arial-5106-Identity-H"/>
          <w:color w:val="14131C"/>
          <w:sz w:val="21"/>
          <w:szCs w:val="21"/>
        </w:rPr>
        <w:t>auditoría de desempeño de manera anual y únicamente formulará</w:t>
      </w:r>
      <w:r>
        <w:rPr>
          <w:rFonts w:ascii="Abadi" w:hAnsi="Abadi" w:cs="*Arial-5106-Identity-H"/>
          <w:color w:val="14131C"/>
          <w:sz w:val="21"/>
          <w:szCs w:val="21"/>
        </w:rPr>
        <w:t xml:space="preserve"> </w:t>
      </w:r>
      <w:r w:rsidRPr="00312C34">
        <w:rPr>
          <w:rFonts w:ascii="Abadi" w:hAnsi="Abadi" w:cs="*Arial-5106-Identity-H"/>
          <w:color w:val="14131C"/>
          <w:sz w:val="21"/>
          <w:szCs w:val="21"/>
        </w:rPr>
        <w:t>recomendaciones que incidan en la mejora del diseño, operación e impacto de los</w:t>
      </w:r>
      <w:r>
        <w:rPr>
          <w:rFonts w:ascii="Abadi" w:hAnsi="Abadi" w:cs="*Arial-5106-Identity-H"/>
          <w:color w:val="14131C"/>
          <w:sz w:val="21"/>
          <w:szCs w:val="21"/>
        </w:rPr>
        <w:t xml:space="preserve"> </w:t>
      </w:r>
      <w:r w:rsidRPr="00312C34">
        <w:rPr>
          <w:rFonts w:ascii="Abadi" w:hAnsi="Abadi" w:cs="*Arial-5106-Identity-H"/>
          <w:color w:val="14131C"/>
          <w:sz w:val="21"/>
          <w:szCs w:val="21"/>
        </w:rPr>
        <w:t>presupuestos programáticos y las políticas públicas en su caso.</w:t>
      </w:r>
    </w:p>
    <w:p w14:paraId="25FFB5AE" w14:textId="77777777" w:rsidR="00A3693B" w:rsidRPr="00312C34" w:rsidRDefault="00A3693B" w:rsidP="00A3693B">
      <w:pPr>
        <w:autoSpaceDE w:val="0"/>
        <w:autoSpaceDN w:val="0"/>
        <w:adjustRightInd w:val="0"/>
        <w:jc w:val="both"/>
        <w:rPr>
          <w:rFonts w:ascii="Abadi" w:hAnsi="Abadi" w:cs="*Arial-5106-Identity-H"/>
          <w:color w:val="14131C"/>
          <w:sz w:val="21"/>
          <w:szCs w:val="21"/>
        </w:rPr>
      </w:pPr>
    </w:p>
    <w:p w14:paraId="5DE9A881" w14:textId="77777777" w:rsidR="00A3693B" w:rsidRDefault="00A3693B" w:rsidP="00A3693B">
      <w:pPr>
        <w:autoSpaceDE w:val="0"/>
        <w:autoSpaceDN w:val="0"/>
        <w:adjustRightInd w:val="0"/>
        <w:ind w:firstLine="708"/>
        <w:jc w:val="both"/>
        <w:rPr>
          <w:rFonts w:ascii="Abadi" w:hAnsi="Abadi" w:cs="*Arial-5106-Identity-H"/>
          <w:color w:val="14131A"/>
          <w:sz w:val="21"/>
          <w:szCs w:val="21"/>
        </w:rPr>
      </w:pPr>
      <w:r w:rsidRPr="00312C34">
        <w:rPr>
          <w:rFonts w:ascii="Abadi" w:hAnsi="Abadi" w:cs="*Arial-5106-Identity-H"/>
          <w:color w:val="14131A"/>
          <w:sz w:val="21"/>
          <w:szCs w:val="21"/>
        </w:rPr>
        <w:t>Finalmente, el artículo 16 de la Ley de Fiscalización Superior del Estado de</w:t>
      </w:r>
      <w:r>
        <w:rPr>
          <w:rFonts w:ascii="Abadi" w:hAnsi="Abadi" w:cs="*Arial-5106-Identity-H"/>
          <w:color w:val="14131A"/>
          <w:sz w:val="21"/>
          <w:szCs w:val="21"/>
        </w:rPr>
        <w:t xml:space="preserve"> </w:t>
      </w:r>
      <w:r w:rsidRPr="00312C34">
        <w:rPr>
          <w:rFonts w:ascii="Abadi" w:hAnsi="Abadi" w:cs="*Arial-5106-Identity-H"/>
          <w:color w:val="14131A"/>
          <w:sz w:val="21"/>
          <w:szCs w:val="21"/>
        </w:rPr>
        <w:t>Guanajuato, consigna que la Auditoría Superior establecerá un Programa General</w:t>
      </w:r>
      <w:r>
        <w:rPr>
          <w:rFonts w:ascii="Abadi" w:hAnsi="Abadi" w:cs="*Arial-5106-Identity-H"/>
          <w:color w:val="14131A"/>
          <w:sz w:val="21"/>
          <w:szCs w:val="21"/>
        </w:rPr>
        <w:t xml:space="preserve"> </w:t>
      </w:r>
      <w:r w:rsidRPr="00312C34">
        <w:rPr>
          <w:rFonts w:ascii="Abadi" w:hAnsi="Abadi" w:cs="*Arial-5106-Identity-H"/>
          <w:color w:val="14131A"/>
          <w:sz w:val="21"/>
          <w:szCs w:val="21"/>
        </w:rPr>
        <w:t>de Fiscalización, señalando los actos y sujetos de fiscalización, los que serán</w:t>
      </w:r>
      <w:r>
        <w:rPr>
          <w:rFonts w:ascii="Abadi" w:hAnsi="Abadi" w:cs="*Arial-5106-Identity-H"/>
          <w:color w:val="14131A"/>
          <w:sz w:val="21"/>
          <w:szCs w:val="21"/>
        </w:rPr>
        <w:t xml:space="preserve"> </w:t>
      </w:r>
      <w:r w:rsidRPr="00312C34">
        <w:rPr>
          <w:rFonts w:ascii="Abadi" w:hAnsi="Abadi" w:cs="*Arial-5106-Identity-H"/>
          <w:color w:val="14131A"/>
          <w:sz w:val="21"/>
          <w:szCs w:val="21"/>
        </w:rPr>
        <w:t>objeto de auditoría o revisión conforme a los criterios y normas que se establezcan</w:t>
      </w:r>
      <w:r>
        <w:rPr>
          <w:rFonts w:ascii="Abadi" w:hAnsi="Abadi" w:cs="*Arial-5106-Identity-H"/>
          <w:color w:val="14131A"/>
          <w:sz w:val="21"/>
          <w:szCs w:val="21"/>
        </w:rPr>
        <w:t xml:space="preserve"> </w:t>
      </w:r>
      <w:r w:rsidRPr="00312C34">
        <w:rPr>
          <w:rFonts w:ascii="Abadi" w:hAnsi="Abadi" w:cs="*Arial-5106-Identity-H"/>
          <w:color w:val="14131A"/>
          <w:sz w:val="21"/>
          <w:szCs w:val="21"/>
        </w:rPr>
        <w:t>en el Reglamento de la Ley.</w:t>
      </w:r>
    </w:p>
    <w:p w14:paraId="67F243F6" w14:textId="77777777" w:rsidR="00A3693B" w:rsidRPr="00312C34" w:rsidRDefault="00A3693B" w:rsidP="00A3693B">
      <w:pPr>
        <w:autoSpaceDE w:val="0"/>
        <w:autoSpaceDN w:val="0"/>
        <w:adjustRightInd w:val="0"/>
        <w:jc w:val="both"/>
        <w:rPr>
          <w:rFonts w:ascii="Abadi" w:hAnsi="Abadi" w:cs="*Arial-5106-Identity-H"/>
          <w:color w:val="14131A"/>
          <w:sz w:val="21"/>
          <w:szCs w:val="21"/>
        </w:rPr>
      </w:pPr>
    </w:p>
    <w:p w14:paraId="5426322C" w14:textId="77777777" w:rsidR="00A3693B" w:rsidRPr="00312C34" w:rsidRDefault="00A3693B" w:rsidP="00A3693B">
      <w:pPr>
        <w:autoSpaceDE w:val="0"/>
        <w:autoSpaceDN w:val="0"/>
        <w:adjustRightInd w:val="0"/>
        <w:ind w:firstLine="708"/>
        <w:jc w:val="both"/>
        <w:rPr>
          <w:rFonts w:ascii="Abadi" w:hAnsi="Abadi" w:cs="*Arial-5106-Identity-H"/>
          <w:color w:val="14131C"/>
          <w:sz w:val="21"/>
          <w:szCs w:val="21"/>
        </w:rPr>
      </w:pPr>
      <w:r w:rsidRPr="00312C34">
        <w:rPr>
          <w:rFonts w:ascii="Abadi" w:hAnsi="Abadi" w:cs="*Arial-5106-Identity-H"/>
          <w:color w:val="14131C"/>
          <w:sz w:val="21"/>
          <w:szCs w:val="21"/>
        </w:rPr>
        <w:t>En ejercicio de esta función, el Auditor Superior del Estado aprobó el</w:t>
      </w:r>
      <w:r>
        <w:rPr>
          <w:rFonts w:ascii="Abadi" w:hAnsi="Abadi" w:cs="*Arial-5106-Identity-H"/>
          <w:color w:val="14131C"/>
          <w:sz w:val="21"/>
          <w:szCs w:val="21"/>
        </w:rPr>
        <w:t xml:space="preserve"> </w:t>
      </w:r>
      <w:r w:rsidRPr="00312C34">
        <w:rPr>
          <w:rFonts w:ascii="Abadi" w:hAnsi="Abadi" w:cs="*Arial-5106-Identity-H"/>
          <w:color w:val="14131C"/>
          <w:sz w:val="21"/>
          <w:szCs w:val="21"/>
        </w:rPr>
        <w:t>Programa General de Fiscalización 2021. En dicho Programa se contempló la</w:t>
      </w:r>
      <w:r>
        <w:rPr>
          <w:rFonts w:ascii="Abadi" w:hAnsi="Abadi" w:cs="*Arial-5106-Identity-H"/>
          <w:color w:val="14131C"/>
          <w:sz w:val="21"/>
          <w:szCs w:val="21"/>
        </w:rPr>
        <w:t xml:space="preserve"> </w:t>
      </w:r>
      <w:r w:rsidRPr="00312C34">
        <w:rPr>
          <w:rFonts w:ascii="Abadi" w:hAnsi="Abadi" w:cs="*Arial-5106-Identity-H"/>
          <w:color w:val="14131C"/>
          <w:sz w:val="21"/>
          <w:szCs w:val="21"/>
        </w:rPr>
        <w:t>práctica de una auditoría de desempeño a la administración municipal de Apaseo</w:t>
      </w:r>
      <w:r>
        <w:rPr>
          <w:rFonts w:ascii="Abadi" w:hAnsi="Abadi" w:cs="*Arial-5106-Identity-H"/>
          <w:color w:val="14131C"/>
          <w:sz w:val="21"/>
          <w:szCs w:val="21"/>
        </w:rPr>
        <w:t xml:space="preserve"> </w:t>
      </w:r>
      <w:r w:rsidRPr="00312C34">
        <w:rPr>
          <w:rFonts w:ascii="Abadi" w:hAnsi="Abadi" w:cs="*Arial-5106-Identity-H"/>
          <w:color w:val="14131C"/>
          <w:sz w:val="21"/>
          <w:szCs w:val="21"/>
        </w:rPr>
        <w:t>el Grande, Gto., por el periodo comprendido del 1 de enero al 31 de diciembre del</w:t>
      </w:r>
      <w:r>
        <w:rPr>
          <w:rFonts w:ascii="Abadi" w:hAnsi="Abadi" w:cs="*Arial-5106-Identity-H"/>
          <w:color w:val="14131C"/>
          <w:sz w:val="21"/>
          <w:szCs w:val="21"/>
        </w:rPr>
        <w:t xml:space="preserve"> </w:t>
      </w:r>
      <w:r w:rsidRPr="00312C34">
        <w:rPr>
          <w:rFonts w:ascii="Abadi" w:hAnsi="Abadi" w:cs="*Arial-5106-Identity-H"/>
          <w:color w:val="14131C"/>
          <w:sz w:val="21"/>
          <w:szCs w:val="21"/>
        </w:rPr>
        <w:t>ejercicio fiscal del año 2020, la cual se realizó con enfoque a resultados del</w:t>
      </w:r>
    </w:p>
    <w:p w14:paraId="585F9AD9" w14:textId="77777777" w:rsidR="00A3693B" w:rsidRDefault="00A3693B" w:rsidP="00A3693B">
      <w:pPr>
        <w:autoSpaceDE w:val="0"/>
        <w:autoSpaceDN w:val="0"/>
        <w:adjustRightInd w:val="0"/>
        <w:jc w:val="both"/>
        <w:rPr>
          <w:rFonts w:ascii="Abadi" w:hAnsi="Abadi" w:cs="*Arial-5106-Identity-H"/>
          <w:color w:val="14131C"/>
          <w:sz w:val="21"/>
          <w:szCs w:val="21"/>
        </w:rPr>
      </w:pPr>
      <w:r w:rsidRPr="00312C34">
        <w:rPr>
          <w:rFonts w:ascii="Abadi" w:hAnsi="Abadi" w:cs="*Arial-5106-Identity-H"/>
          <w:color w:val="14131C"/>
          <w:sz w:val="21"/>
          <w:szCs w:val="21"/>
        </w:rPr>
        <w:t>servicio de alumbrado público.</w:t>
      </w:r>
    </w:p>
    <w:p w14:paraId="66C46101" w14:textId="77777777" w:rsidR="00A3693B" w:rsidRPr="00312C34" w:rsidRDefault="00A3693B" w:rsidP="00A3693B">
      <w:pPr>
        <w:autoSpaceDE w:val="0"/>
        <w:autoSpaceDN w:val="0"/>
        <w:adjustRightInd w:val="0"/>
        <w:jc w:val="both"/>
        <w:rPr>
          <w:rFonts w:ascii="Abadi" w:hAnsi="Abadi" w:cs="*Arial-5106-Identity-H"/>
          <w:color w:val="14131C"/>
          <w:sz w:val="21"/>
          <w:szCs w:val="21"/>
        </w:rPr>
      </w:pPr>
    </w:p>
    <w:p w14:paraId="16CA4BF7" w14:textId="77777777" w:rsidR="00A3693B" w:rsidRPr="00312C34" w:rsidRDefault="00A3693B" w:rsidP="00A3693B">
      <w:pPr>
        <w:autoSpaceDE w:val="0"/>
        <w:autoSpaceDN w:val="0"/>
        <w:adjustRightInd w:val="0"/>
        <w:ind w:firstLine="708"/>
        <w:jc w:val="both"/>
        <w:rPr>
          <w:rFonts w:ascii="Abadi" w:hAnsi="Abadi" w:cs="*Arial-5106-Identity-H"/>
          <w:color w:val="14131B"/>
          <w:sz w:val="21"/>
          <w:szCs w:val="21"/>
        </w:rPr>
      </w:pPr>
      <w:r w:rsidRPr="00312C34">
        <w:rPr>
          <w:rFonts w:ascii="Abadi" w:hAnsi="Abadi" w:cs="*Arial-5106-Identity-H"/>
          <w:color w:val="14131B"/>
          <w:sz w:val="21"/>
          <w:szCs w:val="21"/>
        </w:rPr>
        <w:t>El 3 de septiembre de 2021 se notificó al sujeto fiscalizado el inicio de la</w:t>
      </w:r>
      <w:r>
        <w:rPr>
          <w:rFonts w:ascii="Abadi" w:hAnsi="Abadi" w:cs="*Arial-5106-Identity-H"/>
          <w:color w:val="14131B"/>
          <w:sz w:val="21"/>
          <w:szCs w:val="21"/>
        </w:rPr>
        <w:t xml:space="preserve"> </w:t>
      </w:r>
      <w:r w:rsidRPr="00312C34">
        <w:rPr>
          <w:rFonts w:ascii="Abadi" w:hAnsi="Abadi" w:cs="*Arial-5106-Identity-H"/>
          <w:color w:val="14131B"/>
          <w:sz w:val="21"/>
          <w:szCs w:val="21"/>
        </w:rPr>
        <w:t>auditoría materia del presente dictamen.</w:t>
      </w:r>
    </w:p>
    <w:p w14:paraId="69D10C15" w14:textId="77777777" w:rsidR="00A3693B" w:rsidRPr="00312C34" w:rsidRDefault="00A3693B" w:rsidP="00A3693B">
      <w:pPr>
        <w:jc w:val="both"/>
        <w:rPr>
          <w:rFonts w:ascii="Abadi" w:hAnsi="Abadi" w:cs="*Arial-5106-Identity-H"/>
          <w:color w:val="14131B"/>
          <w:sz w:val="21"/>
          <w:szCs w:val="21"/>
        </w:rPr>
      </w:pPr>
    </w:p>
    <w:p w14:paraId="13C97B2A" w14:textId="77777777" w:rsidR="00A3693B" w:rsidRDefault="00A3693B" w:rsidP="00A3693B">
      <w:pPr>
        <w:autoSpaceDE w:val="0"/>
        <w:autoSpaceDN w:val="0"/>
        <w:adjustRightInd w:val="0"/>
        <w:ind w:firstLine="708"/>
        <w:jc w:val="both"/>
        <w:rPr>
          <w:rFonts w:ascii="Abadi" w:hAnsi="Abadi" w:cs="*Arial-5588-Identity-H"/>
          <w:color w:val="14131B"/>
          <w:sz w:val="21"/>
          <w:szCs w:val="21"/>
        </w:rPr>
      </w:pPr>
      <w:r w:rsidRPr="00312C34">
        <w:rPr>
          <w:rFonts w:ascii="Abadi" w:hAnsi="Abadi" w:cs="*Arial-5588-Identity-H"/>
          <w:color w:val="14131B"/>
          <w:sz w:val="21"/>
          <w:szCs w:val="21"/>
        </w:rPr>
        <w:t>Mediante oficio notificado el 24 de septiembre de 2021, la Auditoría</w:t>
      </w:r>
      <w:r>
        <w:rPr>
          <w:rFonts w:ascii="Abadi" w:hAnsi="Abadi" w:cs="*Arial-5588-Identity-H"/>
          <w:color w:val="14131B"/>
          <w:sz w:val="21"/>
          <w:szCs w:val="21"/>
        </w:rPr>
        <w:t xml:space="preserve"> </w:t>
      </w:r>
      <w:r w:rsidRPr="00312C34">
        <w:rPr>
          <w:rFonts w:ascii="Abadi" w:hAnsi="Abadi" w:cs="*Arial-5588-Identity-H"/>
          <w:color w:val="14131B"/>
          <w:sz w:val="21"/>
          <w:szCs w:val="21"/>
        </w:rPr>
        <w:t>Superior del Estado requirió al sujeto de fiscalización diversa información que se</w:t>
      </w:r>
      <w:r>
        <w:rPr>
          <w:rFonts w:ascii="Abadi" w:hAnsi="Abadi" w:cs="*Arial-5588-Identity-H"/>
          <w:color w:val="14131B"/>
          <w:sz w:val="21"/>
          <w:szCs w:val="21"/>
        </w:rPr>
        <w:t xml:space="preserve"> </w:t>
      </w:r>
      <w:r w:rsidRPr="00312C34">
        <w:rPr>
          <w:rFonts w:ascii="Abadi" w:hAnsi="Abadi" w:cs="*Arial-5588-Identity-H"/>
          <w:color w:val="14131B"/>
          <w:sz w:val="21"/>
          <w:szCs w:val="21"/>
        </w:rPr>
        <w:t>consideró necesaria para llevar a cabo la auditoría, al cual se dio respuesta el 8 de</w:t>
      </w:r>
      <w:r>
        <w:rPr>
          <w:rFonts w:ascii="Abadi" w:hAnsi="Abadi" w:cs="*Arial-5588-Identity-H"/>
          <w:color w:val="14131B"/>
          <w:sz w:val="21"/>
          <w:szCs w:val="21"/>
        </w:rPr>
        <w:t xml:space="preserve"> </w:t>
      </w:r>
      <w:r w:rsidRPr="00312C34">
        <w:rPr>
          <w:rFonts w:ascii="Abadi" w:hAnsi="Abadi" w:cs="*Arial-5588-Identity-H"/>
          <w:color w:val="14131B"/>
          <w:sz w:val="21"/>
          <w:szCs w:val="21"/>
        </w:rPr>
        <w:t>octubre de 2021. Asimismo, en fechas 14 de octubre y 15 de diciembre del mismo</w:t>
      </w:r>
      <w:r>
        <w:rPr>
          <w:rFonts w:ascii="Abadi" w:hAnsi="Abadi" w:cs="*Arial-5588-Identity-H"/>
          <w:color w:val="14131B"/>
          <w:sz w:val="21"/>
          <w:szCs w:val="21"/>
        </w:rPr>
        <w:t xml:space="preserve"> </w:t>
      </w:r>
      <w:r w:rsidRPr="00312C34">
        <w:rPr>
          <w:rFonts w:ascii="Abadi" w:hAnsi="Abadi" w:cs="*Arial-5588-Identity-H"/>
          <w:color w:val="14131B"/>
          <w:sz w:val="21"/>
          <w:szCs w:val="21"/>
        </w:rPr>
        <w:t>año, el Órgano Técnico realizó entrevistas.</w:t>
      </w:r>
    </w:p>
    <w:p w14:paraId="3386C590" w14:textId="77777777" w:rsidR="00A3693B" w:rsidRPr="00312C34" w:rsidRDefault="00A3693B" w:rsidP="00A3693B">
      <w:pPr>
        <w:autoSpaceDE w:val="0"/>
        <w:autoSpaceDN w:val="0"/>
        <w:adjustRightInd w:val="0"/>
        <w:jc w:val="both"/>
        <w:rPr>
          <w:rFonts w:ascii="Abadi" w:hAnsi="Abadi" w:cs="*Arial-5588-Identity-H"/>
          <w:color w:val="14131B"/>
          <w:sz w:val="21"/>
          <w:szCs w:val="21"/>
        </w:rPr>
      </w:pPr>
    </w:p>
    <w:p w14:paraId="5455EDD8" w14:textId="77777777" w:rsidR="00A3693B" w:rsidRDefault="00A3693B" w:rsidP="00A3693B">
      <w:pPr>
        <w:autoSpaceDE w:val="0"/>
        <w:autoSpaceDN w:val="0"/>
        <w:adjustRightInd w:val="0"/>
        <w:ind w:firstLine="708"/>
        <w:jc w:val="both"/>
        <w:rPr>
          <w:rFonts w:ascii="Abadi" w:hAnsi="Abadi" w:cs="*Arial-5588-Identity-H"/>
          <w:color w:val="14131B"/>
          <w:sz w:val="21"/>
          <w:szCs w:val="21"/>
        </w:rPr>
      </w:pPr>
      <w:r w:rsidRPr="00312C34">
        <w:rPr>
          <w:rFonts w:ascii="Abadi" w:hAnsi="Abadi" w:cs="*Arial-5588-Identity-H"/>
          <w:color w:val="14131B"/>
          <w:sz w:val="21"/>
          <w:szCs w:val="21"/>
        </w:rPr>
        <w:t>Los días 24 de septiembre y 17 de diciembre de 2021 se notificó al sujeto</w:t>
      </w:r>
      <w:r>
        <w:rPr>
          <w:rFonts w:ascii="Abadi" w:hAnsi="Abadi" w:cs="*Arial-5588-Identity-H"/>
          <w:color w:val="14131B"/>
          <w:sz w:val="21"/>
          <w:szCs w:val="21"/>
        </w:rPr>
        <w:t xml:space="preserve"> </w:t>
      </w:r>
      <w:r w:rsidRPr="00312C34">
        <w:rPr>
          <w:rFonts w:ascii="Abadi" w:hAnsi="Abadi" w:cs="*Arial-5588-Identity-H"/>
          <w:color w:val="14131B"/>
          <w:sz w:val="21"/>
          <w:szCs w:val="21"/>
        </w:rPr>
        <w:t>fiscalizado la suspensión del plazo de la auditoría materia del presente dictamen,</w:t>
      </w:r>
      <w:r>
        <w:rPr>
          <w:rFonts w:ascii="Abadi" w:hAnsi="Abadi" w:cs="*Arial-5588-Identity-H"/>
          <w:color w:val="14131B"/>
          <w:sz w:val="21"/>
          <w:szCs w:val="21"/>
        </w:rPr>
        <w:t xml:space="preserve"> </w:t>
      </w:r>
      <w:r w:rsidRPr="00312C34">
        <w:rPr>
          <w:rFonts w:ascii="Abadi" w:hAnsi="Abadi" w:cs="*Arial-5588-Identity-H"/>
          <w:color w:val="14131B"/>
          <w:sz w:val="21"/>
          <w:szCs w:val="21"/>
        </w:rPr>
        <w:t>por los periodos comprendidos del 1 de octubre al 17 de diciembre de 2021; y del</w:t>
      </w:r>
      <w:r>
        <w:rPr>
          <w:rFonts w:ascii="Abadi" w:hAnsi="Abadi" w:cs="*Arial-5588-Identity-H"/>
          <w:color w:val="14131B"/>
          <w:sz w:val="21"/>
          <w:szCs w:val="21"/>
        </w:rPr>
        <w:t xml:space="preserve"> </w:t>
      </w:r>
      <w:r w:rsidRPr="00312C34">
        <w:rPr>
          <w:rFonts w:ascii="Abadi" w:hAnsi="Abadi" w:cs="*Arial-5588-Identity-H"/>
          <w:color w:val="14131B"/>
          <w:sz w:val="21"/>
          <w:szCs w:val="21"/>
        </w:rPr>
        <w:t>3 de enero al 11 de marzo de 2022.</w:t>
      </w:r>
    </w:p>
    <w:p w14:paraId="7F924AB6" w14:textId="77777777" w:rsidR="00A3693B" w:rsidRPr="00312C34" w:rsidRDefault="00A3693B" w:rsidP="00A3693B">
      <w:pPr>
        <w:autoSpaceDE w:val="0"/>
        <w:autoSpaceDN w:val="0"/>
        <w:adjustRightInd w:val="0"/>
        <w:jc w:val="both"/>
        <w:rPr>
          <w:rFonts w:ascii="Abadi" w:hAnsi="Abadi" w:cs="*Arial-5588-Identity-H"/>
          <w:color w:val="14131B"/>
          <w:sz w:val="21"/>
          <w:szCs w:val="21"/>
        </w:rPr>
      </w:pPr>
    </w:p>
    <w:p w14:paraId="2A4920C1" w14:textId="77777777" w:rsidR="00A3693B" w:rsidRDefault="00A3693B" w:rsidP="00A3693B">
      <w:pPr>
        <w:autoSpaceDE w:val="0"/>
        <w:autoSpaceDN w:val="0"/>
        <w:adjustRightInd w:val="0"/>
        <w:ind w:firstLine="708"/>
        <w:jc w:val="both"/>
        <w:rPr>
          <w:rFonts w:ascii="Abadi" w:hAnsi="Abadi" w:cs="*Arial-5588-Identity-H"/>
          <w:color w:val="14131B"/>
          <w:sz w:val="21"/>
          <w:szCs w:val="21"/>
        </w:rPr>
      </w:pPr>
      <w:r w:rsidRPr="00312C34">
        <w:rPr>
          <w:rFonts w:ascii="Abadi" w:hAnsi="Abadi" w:cs="*Arial-5588-Identity-H"/>
          <w:color w:val="14131B"/>
          <w:sz w:val="21"/>
          <w:szCs w:val="21"/>
        </w:rPr>
        <w:t>Como parte del proceso de auditoría, el 19 de enero de 2022 se notificó al</w:t>
      </w:r>
      <w:r>
        <w:rPr>
          <w:rFonts w:ascii="Abadi" w:hAnsi="Abadi" w:cs="*Arial-5588-Identity-H"/>
          <w:color w:val="14131B"/>
          <w:sz w:val="21"/>
          <w:szCs w:val="21"/>
        </w:rPr>
        <w:t xml:space="preserve"> </w:t>
      </w:r>
      <w:r w:rsidRPr="00312C34">
        <w:rPr>
          <w:rFonts w:ascii="Abadi" w:hAnsi="Abadi" w:cs="*Arial-5588-Identity-H"/>
          <w:color w:val="14131B"/>
          <w:sz w:val="21"/>
          <w:szCs w:val="21"/>
        </w:rPr>
        <w:t>sujeto fiscalizado el pliego de recomendaciones derivadas de la auditoría</w:t>
      </w:r>
      <w:r>
        <w:rPr>
          <w:rFonts w:ascii="Abadi" w:hAnsi="Abadi" w:cs="*Arial-5588-Identity-H"/>
          <w:color w:val="14131B"/>
          <w:sz w:val="21"/>
          <w:szCs w:val="21"/>
        </w:rPr>
        <w:t xml:space="preserve"> </w:t>
      </w:r>
      <w:r w:rsidRPr="00312C34">
        <w:rPr>
          <w:rFonts w:ascii="Abadi" w:hAnsi="Abadi" w:cs="*Arial-5588-Identity-H"/>
          <w:color w:val="14131B"/>
          <w:sz w:val="21"/>
          <w:szCs w:val="21"/>
        </w:rPr>
        <w:t>practicada. Lo anterior, para dar cumplimiento a lo preceptuado por el artículo 58</w:t>
      </w:r>
      <w:r>
        <w:rPr>
          <w:rFonts w:ascii="Abadi" w:hAnsi="Abadi" w:cs="*Arial-5588-Identity-H"/>
          <w:color w:val="14131B"/>
          <w:sz w:val="21"/>
          <w:szCs w:val="21"/>
        </w:rPr>
        <w:t xml:space="preserve"> </w:t>
      </w:r>
      <w:r w:rsidRPr="00312C34">
        <w:rPr>
          <w:rFonts w:ascii="Abadi" w:hAnsi="Abadi" w:cs="*Arial-5588-Identity-H"/>
          <w:color w:val="14131B"/>
          <w:sz w:val="21"/>
          <w:szCs w:val="21"/>
        </w:rPr>
        <w:t>de la Ley de Fiscalización Superior del Estado de Guanajuato.</w:t>
      </w:r>
    </w:p>
    <w:p w14:paraId="527A50AC" w14:textId="77777777" w:rsidR="00A3693B" w:rsidRPr="00312C34" w:rsidRDefault="00A3693B" w:rsidP="00A3693B">
      <w:pPr>
        <w:autoSpaceDE w:val="0"/>
        <w:autoSpaceDN w:val="0"/>
        <w:adjustRightInd w:val="0"/>
        <w:jc w:val="both"/>
        <w:rPr>
          <w:rFonts w:ascii="Abadi" w:hAnsi="Abadi" w:cs="*Arial-5588-Identity-H"/>
          <w:color w:val="14131B"/>
          <w:sz w:val="21"/>
          <w:szCs w:val="21"/>
        </w:rPr>
      </w:pPr>
    </w:p>
    <w:p w14:paraId="3975B80B" w14:textId="77777777" w:rsidR="00A3693B" w:rsidRDefault="00A3693B" w:rsidP="00A3693B">
      <w:pPr>
        <w:autoSpaceDE w:val="0"/>
        <w:autoSpaceDN w:val="0"/>
        <w:adjustRightInd w:val="0"/>
        <w:ind w:firstLine="708"/>
        <w:jc w:val="both"/>
        <w:rPr>
          <w:rFonts w:ascii="Abadi" w:hAnsi="Abadi" w:cs="*Arial-5588-Identity-H"/>
          <w:color w:val="14131B"/>
          <w:sz w:val="21"/>
          <w:szCs w:val="21"/>
        </w:rPr>
      </w:pPr>
      <w:r w:rsidRPr="00312C34">
        <w:rPr>
          <w:rFonts w:ascii="Abadi" w:hAnsi="Abadi" w:cs="*Arial-5588-Identity-H"/>
          <w:color w:val="14131B"/>
          <w:sz w:val="21"/>
          <w:szCs w:val="21"/>
        </w:rPr>
        <w:t>El 2 de febrero de 2022, el sujeto fiscalizado dio respuesta a las</w:t>
      </w:r>
      <w:r>
        <w:rPr>
          <w:rFonts w:ascii="Abadi" w:hAnsi="Abadi" w:cs="*Arial-5588-Identity-H"/>
          <w:color w:val="14131B"/>
          <w:sz w:val="21"/>
          <w:szCs w:val="21"/>
        </w:rPr>
        <w:t xml:space="preserve"> </w:t>
      </w:r>
      <w:r w:rsidRPr="00312C34">
        <w:rPr>
          <w:rFonts w:ascii="Abadi" w:hAnsi="Abadi" w:cs="*Arial-5588-Identity-H"/>
          <w:color w:val="14131B"/>
          <w:sz w:val="21"/>
          <w:szCs w:val="21"/>
        </w:rPr>
        <w:t>recomendaciones derivadas de la· auditoría practicada, anexándose la información</w:t>
      </w:r>
      <w:r>
        <w:rPr>
          <w:rFonts w:ascii="Abadi" w:hAnsi="Abadi" w:cs="*Arial-5588-Identity-H"/>
          <w:color w:val="14131B"/>
          <w:sz w:val="21"/>
          <w:szCs w:val="21"/>
        </w:rPr>
        <w:t xml:space="preserve"> </w:t>
      </w:r>
      <w:r w:rsidRPr="00312C34">
        <w:rPr>
          <w:rFonts w:ascii="Abadi" w:hAnsi="Abadi" w:cs="*Arial-5588-Identity-H"/>
          <w:color w:val="14131B"/>
          <w:sz w:val="21"/>
          <w:szCs w:val="21"/>
        </w:rPr>
        <w:t>y documentación que el mismo consideró suficiente para precisar las mejoras</w:t>
      </w:r>
      <w:r>
        <w:rPr>
          <w:rFonts w:ascii="Abadi" w:hAnsi="Abadi" w:cs="*Arial-5588-Identity-H"/>
          <w:color w:val="14131B"/>
          <w:sz w:val="21"/>
          <w:szCs w:val="21"/>
        </w:rPr>
        <w:t xml:space="preserve"> </w:t>
      </w:r>
      <w:r w:rsidRPr="00312C34">
        <w:rPr>
          <w:rFonts w:ascii="Abadi" w:hAnsi="Abadi" w:cs="*Arial-5588-Identity-H"/>
          <w:color w:val="14131B"/>
          <w:sz w:val="21"/>
          <w:szCs w:val="21"/>
        </w:rPr>
        <w:t>efectuadas, las acciones a realizar o en su caso, justificar la improcedencia por la</w:t>
      </w:r>
      <w:r>
        <w:rPr>
          <w:rFonts w:ascii="Abadi" w:hAnsi="Abadi" w:cs="*Arial-5588-Identity-H"/>
          <w:color w:val="14131B"/>
          <w:sz w:val="21"/>
          <w:szCs w:val="21"/>
        </w:rPr>
        <w:t xml:space="preserve"> </w:t>
      </w:r>
      <w:r w:rsidRPr="00312C34">
        <w:rPr>
          <w:rFonts w:ascii="Abadi" w:hAnsi="Abadi" w:cs="*Arial-5588-Identity-H"/>
          <w:color w:val="14131B"/>
          <w:sz w:val="21"/>
          <w:szCs w:val="21"/>
        </w:rPr>
        <w:t>cual no resulte factible su implementación. Una vez valorada la documentación</w:t>
      </w:r>
      <w:r>
        <w:rPr>
          <w:rFonts w:ascii="Abadi" w:hAnsi="Abadi" w:cs="*Arial-5588-Identity-H"/>
          <w:color w:val="14131B"/>
          <w:sz w:val="21"/>
          <w:szCs w:val="21"/>
        </w:rPr>
        <w:t xml:space="preserve"> </w:t>
      </w:r>
      <w:r w:rsidRPr="00312C34">
        <w:rPr>
          <w:rFonts w:ascii="Abadi" w:hAnsi="Abadi" w:cs="*Arial-5588-Identity-H"/>
          <w:color w:val="14131B"/>
          <w:sz w:val="21"/>
          <w:szCs w:val="21"/>
        </w:rPr>
        <w:t>aportada se procedió a la elaboración del informe de resultados materia del</w:t>
      </w:r>
      <w:r>
        <w:rPr>
          <w:rFonts w:ascii="Abadi" w:hAnsi="Abadi" w:cs="*Arial-5588-Identity-H"/>
          <w:color w:val="14131B"/>
          <w:sz w:val="21"/>
          <w:szCs w:val="21"/>
        </w:rPr>
        <w:t xml:space="preserve"> </w:t>
      </w:r>
      <w:r w:rsidRPr="00312C34">
        <w:rPr>
          <w:rFonts w:ascii="Abadi" w:hAnsi="Abadi" w:cs="*Arial-5588-Identity-H"/>
          <w:color w:val="14131B"/>
          <w:sz w:val="21"/>
          <w:szCs w:val="21"/>
        </w:rPr>
        <w:t>presente dictamen.</w:t>
      </w:r>
    </w:p>
    <w:p w14:paraId="74224480" w14:textId="77777777" w:rsidR="00A3693B" w:rsidRPr="00312C34" w:rsidRDefault="00A3693B" w:rsidP="00A3693B">
      <w:pPr>
        <w:autoSpaceDE w:val="0"/>
        <w:autoSpaceDN w:val="0"/>
        <w:adjustRightInd w:val="0"/>
        <w:jc w:val="both"/>
        <w:rPr>
          <w:rFonts w:ascii="Abadi" w:hAnsi="Abadi" w:cs="*Arial-5588-Identity-H"/>
          <w:color w:val="14131B"/>
          <w:sz w:val="21"/>
          <w:szCs w:val="21"/>
        </w:rPr>
      </w:pPr>
    </w:p>
    <w:p w14:paraId="61AADFC7" w14:textId="77777777" w:rsidR="00A3693B" w:rsidRDefault="00A3693B" w:rsidP="00A3693B">
      <w:pPr>
        <w:autoSpaceDE w:val="0"/>
        <w:autoSpaceDN w:val="0"/>
        <w:adjustRightInd w:val="0"/>
        <w:ind w:firstLine="708"/>
        <w:jc w:val="both"/>
        <w:rPr>
          <w:rFonts w:ascii="Abadi" w:hAnsi="Abadi" w:cs="*Arial-5588-Identity-H"/>
          <w:color w:val="14131C"/>
          <w:sz w:val="21"/>
          <w:szCs w:val="21"/>
        </w:rPr>
      </w:pPr>
      <w:r w:rsidRPr="00312C34">
        <w:rPr>
          <w:rFonts w:ascii="Abadi" w:hAnsi="Abadi" w:cs="*Arial-5588-Identity-H"/>
          <w:color w:val="14131C"/>
          <w:sz w:val="21"/>
          <w:szCs w:val="21"/>
        </w:rPr>
        <w:t>El informe de resultados se notificó al presidente municipal de Apaseo el</w:t>
      </w:r>
      <w:r>
        <w:rPr>
          <w:rFonts w:ascii="Abadi" w:hAnsi="Abadi" w:cs="*Arial-5588-Identity-H"/>
          <w:color w:val="14131C"/>
          <w:sz w:val="21"/>
          <w:szCs w:val="21"/>
        </w:rPr>
        <w:t xml:space="preserve"> </w:t>
      </w:r>
      <w:r w:rsidRPr="00312C34">
        <w:rPr>
          <w:rFonts w:ascii="Abadi" w:hAnsi="Abadi" w:cs="*Arial-5588-Identity-H"/>
          <w:color w:val="14131C"/>
          <w:sz w:val="21"/>
          <w:szCs w:val="21"/>
        </w:rPr>
        <w:t>Grande, Gto., el 24 de febrero de 2022.</w:t>
      </w:r>
    </w:p>
    <w:p w14:paraId="7357CA1A" w14:textId="77777777" w:rsidR="00A3693B" w:rsidRPr="00312C34" w:rsidRDefault="00A3693B" w:rsidP="00A3693B">
      <w:pPr>
        <w:autoSpaceDE w:val="0"/>
        <w:autoSpaceDN w:val="0"/>
        <w:adjustRightInd w:val="0"/>
        <w:jc w:val="both"/>
        <w:rPr>
          <w:rFonts w:ascii="Abadi" w:hAnsi="Abadi" w:cs="*Arial-5588-Identity-H"/>
          <w:color w:val="14131C"/>
          <w:sz w:val="21"/>
          <w:szCs w:val="21"/>
        </w:rPr>
      </w:pPr>
    </w:p>
    <w:p w14:paraId="09F14E78" w14:textId="77777777" w:rsidR="00A3693B" w:rsidRDefault="00A3693B" w:rsidP="00A3693B">
      <w:pPr>
        <w:autoSpaceDE w:val="0"/>
        <w:autoSpaceDN w:val="0"/>
        <w:adjustRightInd w:val="0"/>
        <w:ind w:firstLine="708"/>
        <w:jc w:val="both"/>
        <w:rPr>
          <w:rFonts w:ascii="Abadi" w:hAnsi="Abadi" w:cs="*Arial-5588-Identity-H"/>
          <w:color w:val="14131C"/>
          <w:sz w:val="21"/>
          <w:szCs w:val="21"/>
        </w:rPr>
      </w:pPr>
      <w:r w:rsidRPr="00312C34">
        <w:rPr>
          <w:rFonts w:ascii="Abadi" w:hAnsi="Abadi" w:cs="*Arial-5588-Identity-H"/>
          <w:color w:val="14131C"/>
          <w:sz w:val="21"/>
          <w:szCs w:val="21"/>
        </w:rPr>
        <w:t>Es importante señalar que de acuerdo a lo previsto en los artículos 60 de la</w:t>
      </w:r>
      <w:r>
        <w:rPr>
          <w:rFonts w:ascii="Abadi" w:hAnsi="Abadi" w:cs="*Arial-5588-Identity-H"/>
          <w:color w:val="14131C"/>
          <w:sz w:val="21"/>
          <w:szCs w:val="21"/>
        </w:rPr>
        <w:t xml:space="preserve"> </w:t>
      </w:r>
      <w:r w:rsidRPr="00312C34">
        <w:rPr>
          <w:rFonts w:ascii="Abadi" w:hAnsi="Abadi" w:cs="*Arial-5588-Identity-H"/>
          <w:color w:val="14131C"/>
          <w:sz w:val="21"/>
          <w:szCs w:val="21"/>
        </w:rPr>
        <w:t>Ley de Fiscalización Superior del Estado de Guanajuato; y 60 del Reglamento de</w:t>
      </w:r>
      <w:r>
        <w:rPr>
          <w:rFonts w:ascii="Abadi" w:hAnsi="Abadi" w:cs="*Arial-5588-Identity-H"/>
          <w:color w:val="14131C"/>
          <w:sz w:val="21"/>
          <w:szCs w:val="21"/>
        </w:rPr>
        <w:t xml:space="preserve"> </w:t>
      </w:r>
      <w:r w:rsidRPr="00312C34">
        <w:rPr>
          <w:rFonts w:ascii="Abadi" w:hAnsi="Abadi" w:cs="*Arial-5588-Identity-H"/>
          <w:color w:val="14131C"/>
          <w:sz w:val="21"/>
          <w:szCs w:val="21"/>
        </w:rPr>
        <w:t>la Ley de Fiscalización Superior del Estado de Guanajuato, tratándose de las</w:t>
      </w:r>
      <w:r>
        <w:rPr>
          <w:rFonts w:ascii="Abadi" w:hAnsi="Abadi" w:cs="*Arial-5588-Identity-H"/>
          <w:color w:val="14131C"/>
          <w:sz w:val="21"/>
          <w:szCs w:val="21"/>
        </w:rPr>
        <w:t xml:space="preserve"> </w:t>
      </w:r>
      <w:r w:rsidRPr="00312C34">
        <w:rPr>
          <w:rFonts w:ascii="Abadi" w:hAnsi="Abadi" w:cs="*Arial-5588-Identity-H"/>
          <w:color w:val="14131C"/>
          <w:sz w:val="21"/>
          <w:szCs w:val="21"/>
        </w:rPr>
        <w:t>auditorías de desempeño es improcedente el recurso de reconsideración en contra</w:t>
      </w:r>
      <w:r>
        <w:rPr>
          <w:rFonts w:ascii="Abadi" w:hAnsi="Abadi" w:cs="*Arial-5588-Identity-H"/>
          <w:color w:val="14131C"/>
          <w:sz w:val="21"/>
          <w:szCs w:val="21"/>
        </w:rPr>
        <w:t xml:space="preserve"> </w:t>
      </w:r>
      <w:r w:rsidRPr="00312C34">
        <w:rPr>
          <w:rFonts w:ascii="Abadi" w:hAnsi="Abadi" w:cs="*Arial-5588-Identity-H"/>
          <w:color w:val="14131C"/>
          <w:sz w:val="21"/>
          <w:szCs w:val="21"/>
        </w:rPr>
        <w:t>del informe de resultados, por lo que una vez. notificado el mismo al sujeto de</w:t>
      </w:r>
      <w:r>
        <w:rPr>
          <w:rFonts w:ascii="Abadi" w:hAnsi="Abadi" w:cs="*Arial-5588-Identity-H"/>
          <w:color w:val="14131C"/>
          <w:sz w:val="21"/>
          <w:szCs w:val="21"/>
        </w:rPr>
        <w:t xml:space="preserve"> </w:t>
      </w:r>
      <w:r w:rsidRPr="00312C34">
        <w:rPr>
          <w:rFonts w:ascii="Abadi" w:hAnsi="Abadi" w:cs="*Arial-5588-Identity-H"/>
          <w:color w:val="14131C"/>
          <w:sz w:val="21"/>
          <w:szCs w:val="21"/>
        </w:rPr>
        <w:t>fiscalización, se remite al Congreso para los efectos procedentes.</w:t>
      </w:r>
    </w:p>
    <w:p w14:paraId="095C115D" w14:textId="77777777" w:rsidR="00A3693B" w:rsidRPr="00312C34" w:rsidRDefault="00A3693B" w:rsidP="00A3693B">
      <w:pPr>
        <w:autoSpaceDE w:val="0"/>
        <w:autoSpaceDN w:val="0"/>
        <w:adjustRightInd w:val="0"/>
        <w:jc w:val="both"/>
        <w:rPr>
          <w:rFonts w:ascii="Abadi" w:hAnsi="Abadi" w:cs="*Arial-5588-Identity-H"/>
          <w:color w:val="14131C"/>
          <w:sz w:val="21"/>
          <w:szCs w:val="21"/>
        </w:rPr>
      </w:pPr>
    </w:p>
    <w:p w14:paraId="2C12C001" w14:textId="77777777" w:rsidR="00A3693B" w:rsidRPr="00312C34" w:rsidRDefault="00A3693B" w:rsidP="00A3693B">
      <w:pPr>
        <w:autoSpaceDE w:val="0"/>
        <w:autoSpaceDN w:val="0"/>
        <w:adjustRightInd w:val="0"/>
        <w:ind w:firstLine="708"/>
        <w:jc w:val="both"/>
        <w:rPr>
          <w:rFonts w:ascii="Abadi" w:hAnsi="Abadi" w:cs="*Arial-5588-Identity-H"/>
          <w:color w:val="14131C"/>
          <w:sz w:val="21"/>
          <w:szCs w:val="21"/>
        </w:rPr>
      </w:pPr>
      <w:r w:rsidRPr="00312C34">
        <w:rPr>
          <w:rFonts w:ascii="Abadi" w:hAnsi="Abadi" w:cs="*Arial-5588-Identity-H"/>
          <w:color w:val="14131C"/>
          <w:sz w:val="21"/>
          <w:szCs w:val="21"/>
        </w:rPr>
        <w:t>En razón de lo anterior, el Auditor Superior del Estado remitió a este</w:t>
      </w:r>
      <w:r>
        <w:rPr>
          <w:rFonts w:ascii="Abadi" w:hAnsi="Abadi" w:cs="*Arial-5588-Identity-H"/>
          <w:color w:val="14131C"/>
          <w:sz w:val="21"/>
          <w:szCs w:val="21"/>
        </w:rPr>
        <w:t xml:space="preserve"> </w:t>
      </w:r>
      <w:r w:rsidRPr="00312C34">
        <w:rPr>
          <w:rFonts w:ascii="Abadi" w:hAnsi="Abadi" w:cs="*Arial-5588-Identity-H"/>
          <w:color w:val="14131C"/>
          <w:sz w:val="21"/>
          <w:szCs w:val="21"/>
        </w:rPr>
        <w:t>Congreso del Estado, el informe de resultados, el cual se turnó a la Comisión de</w:t>
      </w:r>
      <w:r>
        <w:rPr>
          <w:rFonts w:ascii="Abadi" w:hAnsi="Abadi" w:cs="*Arial-5588-Identity-H"/>
          <w:color w:val="14131C"/>
          <w:sz w:val="21"/>
          <w:szCs w:val="21"/>
        </w:rPr>
        <w:t xml:space="preserve"> </w:t>
      </w:r>
      <w:r w:rsidRPr="00312C34">
        <w:rPr>
          <w:rFonts w:ascii="Abadi" w:hAnsi="Abadi" w:cs="*Arial-5588-Identity-H"/>
          <w:color w:val="14131C"/>
          <w:sz w:val="21"/>
          <w:szCs w:val="21"/>
        </w:rPr>
        <w:t>Hacienda y Fiscalización el 1 O de marzo de 2022 para su estudio y dictamen,</w:t>
      </w:r>
      <w:r>
        <w:rPr>
          <w:rFonts w:ascii="Abadi" w:hAnsi="Abadi" w:cs="*Arial-5588-Identity-H"/>
          <w:color w:val="14131C"/>
          <w:sz w:val="21"/>
          <w:szCs w:val="21"/>
        </w:rPr>
        <w:t xml:space="preserve"> </w:t>
      </w:r>
      <w:r w:rsidRPr="00312C34">
        <w:rPr>
          <w:rFonts w:ascii="Abadi" w:hAnsi="Abadi" w:cs="*Arial-5588-Identity-H"/>
          <w:color w:val="14131C"/>
          <w:sz w:val="21"/>
          <w:szCs w:val="21"/>
        </w:rPr>
        <w:t>siendo radicado el 15 de marzo del año en curso.</w:t>
      </w:r>
    </w:p>
    <w:p w14:paraId="665CA813" w14:textId="77777777" w:rsidR="00A3693B" w:rsidRPr="00312C34" w:rsidRDefault="00A3693B" w:rsidP="00A3693B">
      <w:pPr>
        <w:jc w:val="both"/>
        <w:rPr>
          <w:rFonts w:ascii="Abadi" w:hAnsi="Abadi" w:cs="*Arial-5588-Identity-H"/>
          <w:color w:val="14131C"/>
          <w:sz w:val="21"/>
          <w:szCs w:val="21"/>
        </w:rPr>
      </w:pPr>
    </w:p>
    <w:p w14:paraId="0BA8C635" w14:textId="77777777" w:rsidR="00A3693B" w:rsidRPr="00312C34" w:rsidRDefault="00A3693B" w:rsidP="00A3693B">
      <w:pPr>
        <w:autoSpaceDE w:val="0"/>
        <w:autoSpaceDN w:val="0"/>
        <w:adjustRightInd w:val="0"/>
        <w:ind w:firstLine="708"/>
        <w:jc w:val="both"/>
        <w:rPr>
          <w:rFonts w:ascii="Abadi" w:hAnsi="Abadi" w:cs="*Arial-Bold-6107-Identity-H"/>
          <w:b/>
          <w:bCs/>
          <w:color w:val="14131F"/>
          <w:sz w:val="21"/>
          <w:szCs w:val="21"/>
        </w:rPr>
      </w:pPr>
      <w:r w:rsidRPr="00312C34">
        <w:rPr>
          <w:rFonts w:ascii="Abadi" w:hAnsi="Abadi" w:cs="*Arial-Bold-6107-Identity-H"/>
          <w:b/>
          <w:bCs/>
          <w:color w:val="14131F"/>
          <w:sz w:val="21"/>
          <w:szCs w:val="21"/>
        </w:rPr>
        <w:t>IV. Contenido del Informe de Resultados:</w:t>
      </w:r>
    </w:p>
    <w:p w14:paraId="64C8A8E8" w14:textId="77777777" w:rsidR="00A3693B" w:rsidRPr="00312C34" w:rsidRDefault="00A3693B" w:rsidP="00A3693B">
      <w:pPr>
        <w:autoSpaceDE w:val="0"/>
        <w:autoSpaceDN w:val="0"/>
        <w:adjustRightInd w:val="0"/>
        <w:jc w:val="both"/>
        <w:rPr>
          <w:rFonts w:ascii="Abadi" w:hAnsi="Abadi" w:cs="*Microsoft Sans Serif-6108-Iden"/>
          <w:color w:val="211D25"/>
          <w:sz w:val="21"/>
          <w:szCs w:val="21"/>
        </w:rPr>
      </w:pPr>
    </w:p>
    <w:p w14:paraId="0104BB54" w14:textId="77777777" w:rsidR="00A3693B" w:rsidRPr="00312C34" w:rsidRDefault="00A3693B" w:rsidP="00A3693B">
      <w:pPr>
        <w:autoSpaceDE w:val="0"/>
        <w:autoSpaceDN w:val="0"/>
        <w:adjustRightInd w:val="0"/>
        <w:ind w:firstLine="708"/>
        <w:jc w:val="both"/>
        <w:rPr>
          <w:rFonts w:ascii="Abadi" w:hAnsi="Abadi" w:cs="*Arial-6105-Identity-H"/>
          <w:color w:val="14131C"/>
          <w:sz w:val="21"/>
          <w:szCs w:val="21"/>
        </w:rPr>
      </w:pPr>
      <w:r w:rsidRPr="00312C34">
        <w:rPr>
          <w:rFonts w:ascii="Abadi" w:hAnsi="Abadi" w:cs="*Arial-6105-Identity-H"/>
          <w:color w:val="14131C"/>
          <w:sz w:val="21"/>
          <w:szCs w:val="21"/>
        </w:rPr>
        <w:t>Con fundamento en los artículos 59 de la Ley de Fiscalización Superior del</w:t>
      </w:r>
      <w:r>
        <w:rPr>
          <w:rFonts w:ascii="Abadi" w:hAnsi="Abadi" w:cs="*Arial-6105-Identity-H"/>
          <w:color w:val="14131C"/>
          <w:sz w:val="21"/>
          <w:szCs w:val="21"/>
        </w:rPr>
        <w:t xml:space="preserve"> </w:t>
      </w:r>
      <w:r w:rsidRPr="00312C34">
        <w:rPr>
          <w:rFonts w:ascii="Abadi" w:hAnsi="Abadi" w:cs="*Arial-6105-Identity-H"/>
          <w:color w:val="14131C"/>
          <w:sz w:val="21"/>
          <w:szCs w:val="21"/>
        </w:rPr>
        <w:t>Estado de Guanajuato y 26 del Reglamento de dicha Ley, el informe de resultados</w:t>
      </w:r>
      <w:r>
        <w:rPr>
          <w:rFonts w:ascii="Abadi" w:hAnsi="Abadi" w:cs="*Arial-6105-Identity-H"/>
          <w:color w:val="14131C"/>
          <w:sz w:val="21"/>
          <w:szCs w:val="21"/>
        </w:rPr>
        <w:t xml:space="preserve"> </w:t>
      </w:r>
      <w:r w:rsidRPr="00312C34">
        <w:rPr>
          <w:rFonts w:ascii="Abadi" w:hAnsi="Abadi" w:cs="*Arial-6105-Identity-H"/>
          <w:color w:val="14131C"/>
          <w:sz w:val="21"/>
          <w:szCs w:val="21"/>
        </w:rPr>
        <w:t>contiene los siguientes apartados: Introducción; Resultado del Proceso de</w:t>
      </w:r>
      <w:r>
        <w:rPr>
          <w:rFonts w:ascii="Abadi" w:hAnsi="Abadi" w:cs="*Arial-6105-Identity-H"/>
          <w:color w:val="14131C"/>
          <w:sz w:val="21"/>
          <w:szCs w:val="21"/>
        </w:rPr>
        <w:t xml:space="preserve"> </w:t>
      </w:r>
      <w:r w:rsidRPr="00312C34">
        <w:rPr>
          <w:rFonts w:ascii="Abadi" w:hAnsi="Abadi" w:cs="*Arial-6105-Identity-H"/>
          <w:color w:val="14131C"/>
          <w:sz w:val="21"/>
          <w:szCs w:val="21"/>
        </w:rPr>
        <w:t>Fiscalización; Resumen de las Recomendaciones; y Conclusión General.</w:t>
      </w:r>
    </w:p>
    <w:p w14:paraId="2D934056" w14:textId="77777777" w:rsidR="00A3693B" w:rsidRDefault="00A3693B" w:rsidP="00A3693B">
      <w:pPr>
        <w:autoSpaceDE w:val="0"/>
        <w:autoSpaceDN w:val="0"/>
        <w:adjustRightInd w:val="0"/>
        <w:jc w:val="both"/>
        <w:rPr>
          <w:rFonts w:ascii="Abadi" w:hAnsi="Abadi" w:cs="*Arial-Bold-6107-Identity-H"/>
          <w:b/>
          <w:bCs/>
          <w:color w:val="15141E"/>
          <w:sz w:val="21"/>
          <w:szCs w:val="21"/>
        </w:rPr>
      </w:pPr>
    </w:p>
    <w:p w14:paraId="0517ED47" w14:textId="77777777" w:rsidR="00A3693B" w:rsidRDefault="00A3693B" w:rsidP="00A3693B">
      <w:pPr>
        <w:autoSpaceDE w:val="0"/>
        <w:autoSpaceDN w:val="0"/>
        <w:adjustRightInd w:val="0"/>
        <w:ind w:firstLine="708"/>
        <w:jc w:val="both"/>
        <w:rPr>
          <w:rFonts w:ascii="Abadi" w:hAnsi="Abadi" w:cs="*Arial-Bold-6107-Identity-H"/>
          <w:b/>
          <w:bCs/>
          <w:color w:val="15141E"/>
          <w:sz w:val="21"/>
          <w:szCs w:val="21"/>
        </w:rPr>
      </w:pPr>
      <w:r w:rsidRPr="00312C34">
        <w:rPr>
          <w:rFonts w:ascii="Abadi" w:hAnsi="Abadi" w:cs="*Arial-Bold-6107-Identity-H"/>
          <w:b/>
          <w:bCs/>
          <w:color w:val="15141E"/>
          <w:sz w:val="21"/>
          <w:szCs w:val="21"/>
        </w:rPr>
        <w:t xml:space="preserve">a) </w:t>
      </w:r>
      <w:r w:rsidRPr="00312C34">
        <w:rPr>
          <w:rFonts w:ascii="Abadi" w:hAnsi="Abadi" w:cs="*Arial-Bold-6107-Identity-H"/>
          <w:b/>
          <w:bCs/>
          <w:color w:val="BDBDBD"/>
          <w:sz w:val="21"/>
          <w:szCs w:val="21"/>
        </w:rPr>
        <w:t xml:space="preserve">· </w:t>
      </w:r>
      <w:r w:rsidRPr="00312C34">
        <w:rPr>
          <w:rFonts w:ascii="Abadi" w:hAnsi="Abadi" w:cs="*Arial-Bold-6107-Identity-H"/>
          <w:b/>
          <w:bCs/>
          <w:color w:val="15141E"/>
          <w:sz w:val="21"/>
          <w:szCs w:val="21"/>
        </w:rPr>
        <w:t>introducción.</w:t>
      </w:r>
    </w:p>
    <w:p w14:paraId="01F66718" w14:textId="77777777" w:rsidR="00A3693B" w:rsidRPr="00312C34" w:rsidRDefault="00A3693B" w:rsidP="00A3693B">
      <w:pPr>
        <w:autoSpaceDE w:val="0"/>
        <w:autoSpaceDN w:val="0"/>
        <w:adjustRightInd w:val="0"/>
        <w:jc w:val="both"/>
        <w:rPr>
          <w:rFonts w:ascii="Abadi" w:hAnsi="Abadi" w:cs="*Arial-Bold-6107-Identity-H"/>
          <w:b/>
          <w:bCs/>
          <w:color w:val="15141E"/>
          <w:sz w:val="21"/>
          <w:szCs w:val="21"/>
        </w:rPr>
      </w:pPr>
    </w:p>
    <w:p w14:paraId="64DDB894" w14:textId="77777777" w:rsidR="00A3693B" w:rsidRDefault="00A3693B" w:rsidP="00A3693B">
      <w:pPr>
        <w:autoSpaceDE w:val="0"/>
        <w:autoSpaceDN w:val="0"/>
        <w:adjustRightInd w:val="0"/>
        <w:ind w:firstLine="708"/>
        <w:jc w:val="both"/>
        <w:rPr>
          <w:rFonts w:ascii="Abadi" w:hAnsi="Abadi" w:cs="*Arial-6105-Identity-H"/>
          <w:color w:val="15141C"/>
          <w:sz w:val="21"/>
          <w:szCs w:val="21"/>
        </w:rPr>
      </w:pPr>
      <w:r w:rsidRPr="00312C34">
        <w:rPr>
          <w:rFonts w:ascii="Abadi" w:hAnsi="Abadi" w:cs="*Arial-6105-Identity-H"/>
          <w:color w:val="15141C"/>
          <w:sz w:val="21"/>
          <w:szCs w:val="21"/>
        </w:rPr>
        <w:t>Por lo que se refiere a esta parte, se señala que las auditorías de</w:t>
      </w:r>
      <w:r>
        <w:rPr>
          <w:rFonts w:ascii="Abadi" w:hAnsi="Abadi" w:cs="*Arial-6105-Identity-H"/>
          <w:color w:val="15141C"/>
          <w:sz w:val="21"/>
          <w:szCs w:val="21"/>
        </w:rPr>
        <w:t xml:space="preserve"> </w:t>
      </w:r>
      <w:r w:rsidRPr="00312C34">
        <w:rPr>
          <w:rFonts w:ascii="Abadi" w:hAnsi="Abadi" w:cs="*Arial-6105-Identity-H"/>
          <w:color w:val="15141C"/>
          <w:sz w:val="21"/>
          <w:szCs w:val="21"/>
        </w:rPr>
        <w:t>desempeño son actos de fiscalización, esa es su esencia.</w:t>
      </w:r>
    </w:p>
    <w:p w14:paraId="28FEF873" w14:textId="77777777" w:rsidR="00A3693B" w:rsidRPr="00312C34" w:rsidRDefault="00A3693B" w:rsidP="00A3693B">
      <w:pPr>
        <w:autoSpaceDE w:val="0"/>
        <w:autoSpaceDN w:val="0"/>
        <w:adjustRightInd w:val="0"/>
        <w:jc w:val="both"/>
        <w:rPr>
          <w:rFonts w:ascii="Abadi" w:hAnsi="Abadi" w:cs="*Arial-6105-Identity-H"/>
          <w:color w:val="15141C"/>
          <w:sz w:val="21"/>
          <w:szCs w:val="21"/>
        </w:rPr>
      </w:pPr>
    </w:p>
    <w:p w14:paraId="588E0B13" w14:textId="77777777" w:rsidR="00A3693B" w:rsidRDefault="00A3693B" w:rsidP="00A3693B">
      <w:pPr>
        <w:autoSpaceDE w:val="0"/>
        <w:autoSpaceDN w:val="0"/>
        <w:adjustRightInd w:val="0"/>
        <w:ind w:firstLine="708"/>
        <w:jc w:val="both"/>
        <w:rPr>
          <w:rFonts w:ascii="Abadi" w:hAnsi="Abadi" w:cs="*Arial-6105-Identity-H"/>
          <w:color w:val="15131C"/>
          <w:sz w:val="21"/>
          <w:szCs w:val="21"/>
        </w:rPr>
      </w:pPr>
      <w:r w:rsidRPr="00312C34">
        <w:rPr>
          <w:rFonts w:ascii="Abadi" w:hAnsi="Abadi" w:cs="*Arial-6105-Identity-H"/>
          <w:color w:val="15131C"/>
          <w:sz w:val="21"/>
          <w:szCs w:val="21"/>
        </w:rPr>
        <w:t>Es así, que la naturaleza técnico-jurídica de las auditorías de desempeño</w:t>
      </w:r>
      <w:r>
        <w:rPr>
          <w:rFonts w:ascii="Abadi" w:hAnsi="Abadi" w:cs="*Arial-6105-Identity-H"/>
          <w:color w:val="15131C"/>
          <w:sz w:val="21"/>
          <w:szCs w:val="21"/>
        </w:rPr>
        <w:t xml:space="preserve"> </w:t>
      </w:r>
      <w:r w:rsidRPr="00312C34">
        <w:rPr>
          <w:rFonts w:ascii="Abadi" w:hAnsi="Abadi" w:cs="*Arial-6105-Identity-H"/>
          <w:color w:val="15131C"/>
          <w:sz w:val="21"/>
          <w:szCs w:val="21"/>
        </w:rPr>
        <w:t>difiere de otras auditorías, pues el resultado se expresa con la emisión, en su</w:t>
      </w:r>
      <w:r>
        <w:rPr>
          <w:rFonts w:ascii="Abadi" w:hAnsi="Abadi" w:cs="*Arial-6105-Identity-H"/>
          <w:color w:val="15131C"/>
          <w:sz w:val="21"/>
          <w:szCs w:val="21"/>
        </w:rPr>
        <w:t xml:space="preserve"> </w:t>
      </w:r>
      <w:r w:rsidRPr="00312C34">
        <w:rPr>
          <w:rFonts w:ascii="Abadi" w:hAnsi="Abadi" w:cs="*Arial-6105-Identity-H"/>
          <w:color w:val="15131C"/>
          <w:sz w:val="21"/>
          <w:szCs w:val="21"/>
        </w:rPr>
        <w:t>caso, de exclusivamente recomendaciones, distinguiéndose de otros actos de</w:t>
      </w:r>
      <w:r>
        <w:rPr>
          <w:rFonts w:ascii="Abadi" w:hAnsi="Abadi" w:cs="*Arial-6105-Identity-H"/>
          <w:color w:val="15131C"/>
          <w:sz w:val="21"/>
          <w:szCs w:val="21"/>
        </w:rPr>
        <w:t xml:space="preserve"> </w:t>
      </w:r>
      <w:r w:rsidRPr="00312C34">
        <w:rPr>
          <w:rFonts w:ascii="Abadi" w:hAnsi="Abadi" w:cs="*Arial-6105-Identity-H"/>
          <w:color w:val="15131C"/>
          <w:sz w:val="21"/>
          <w:szCs w:val="21"/>
        </w:rPr>
        <w:t>fiscalización o control que pueden arrojar observaciones. Se trata de una tarea</w:t>
      </w:r>
      <w:r>
        <w:rPr>
          <w:rFonts w:ascii="Abadi" w:hAnsi="Abadi" w:cs="*Arial-6105-Identity-H"/>
          <w:color w:val="15131C"/>
          <w:sz w:val="21"/>
          <w:szCs w:val="21"/>
        </w:rPr>
        <w:t xml:space="preserve"> </w:t>
      </w:r>
      <w:r w:rsidRPr="00312C34">
        <w:rPr>
          <w:rFonts w:ascii="Abadi" w:hAnsi="Abadi" w:cs="*Arial-6105-Identity-H"/>
          <w:color w:val="15131C"/>
          <w:sz w:val="21"/>
          <w:szCs w:val="21"/>
        </w:rPr>
        <w:t>reglada y sistémica de evaluación para la mejora continua, detectando</w:t>
      </w:r>
      <w:r>
        <w:rPr>
          <w:rFonts w:ascii="Abadi" w:hAnsi="Abadi" w:cs="*Arial-6105-Identity-H"/>
          <w:color w:val="15131C"/>
          <w:sz w:val="21"/>
          <w:szCs w:val="21"/>
        </w:rPr>
        <w:t xml:space="preserve"> </w:t>
      </w:r>
      <w:r w:rsidRPr="00312C34">
        <w:rPr>
          <w:rFonts w:ascii="Abadi" w:hAnsi="Abadi" w:cs="*Arial-6105-Identity-H"/>
          <w:color w:val="15131C"/>
          <w:sz w:val="21"/>
          <w:szCs w:val="21"/>
        </w:rPr>
        <w:t>debilidades, áreas de oportunidad, amenazas e incluso fortalezas en el ámbito</w:t>
      </w:r>
      <w:r>
        <w:rPr>
          <w:rFonts w:ascii="Abadi" w:hAnsi="Abadi" w:cs="*Arial-6105-Identity-H"/>
          <w:color w:val="15131C"/>
          <w:sz w:val="21"/>
          <w:szCs w:val="21"/>
        </w:rPr>
        <w:t xml:space="preserve"> </w:t>
      </w:r>
      <w:r w:rsidRPr="00312C34">
        <w:rPr>
          <w:rFonts w:ascii="Abadi" w:hAnsi="Abadi" w:cs="*Arial-6105-Identity-H"/>
          <w:color w:val="15131C"/>
          <w:sz w:val="21"/>
          <w:szCs w:val="21"/>
        </w:rPr>
        <w:t>público, pero promoviendo además acciones concretas que permitan superar o</w:t>
      </w:r>
      <w:r>
        <w:rPr>
          <w:rFonts w:ascii="Abadi" w:hAnsi="Abadi" w:cs="*Arial-6105-Identity-H"/>
          <w:color w:val="15131C"/>
          <w:sz w:val="21"/>
          <w:szCs w:val="21"/>
        </w:rPr>
        <w:t xml:space="preserve"> </w:t>
      </w:r>
      <w:r w:rsidRPr="00312C34">
        <w:rPr>
          <w:rFonts w:ascii="Abadi" w:hAnsi="Abadi" w:cs="*Arial-6105-Identity-H"/>
          <w:color w:val="15131C"/>
          <w:sz w:val="21"/>
          <w:szCs w:val="21"/>
        </w:rPr>
        <w:t>potenciar las mismas, dando adicionalmente seguimiento a su eventual</w:t>
      </w:r>
      <w:r>
        <w:rPr>
          <w:rFonts w:ascii="Abadi" w:hAnsi="Abadi" w:cs="*Arial-6105-Identity-H"/>
          <w:color w:val="15131C"/>
          <w:sz w:val="21"/>
          <w:szCs w:val="21"/>
        </w:rPr>
        <w:t xml:space="preserve"> </w:t>
      </w:r>
      <w:r w:rsidRPr="00312C34">
        <w:rPr>
          <w:rFonts w:ascii="Abadi" w:hAnsi="Abadi" w:cs="*Arial-6105-Identity-H"/>
          <w:color w:val="15131C"/>
          <w:sz w:val="21"/>
          <w:szCs w:val="21"/>
        </w:rPr>
        <w:t>implementación por los sujetos públicos responsables.</w:t>
      </w:r>
    </w:p>
    <w:p w14:paraId="5C4BB3B0" w14:textId="77777777" w:rsidR="00A3693B" w:rsidRPr="00312C34" w:rsidRDefault="00A3693B" w:rsidP="00A3693B">
      <w:pPr>
        <w:autoSpaceDE w:val="0"/>
        <w:autoSpaceDN w:val="0"/>
        <w:adjustRightInd w:val="0"/>
        <w:jc w:val="both"/>
        <w:rPr>
          <w:rFonts w:ascii="Abadi" w:hAnsi="Abadi" w:cs="*Arial-6105-Identity-H"/>
          <w:color w:val="15131C"/>
          <w:sz w:val="21"/>
          <w:szCs w:val="21"/>
        </w:rPr>
      </w:pPr>
      <w:r>
        <w:rPr>
          <w:rFonts w:ascii="Abadi" w:hAnsi="Abadi" w:cs="*Arial-6105-Identity-H"/>
          <w:color w:val="15131C"/>
          <w:sz w:val="21"/>
          <w:szCs w:val="21"/>
        </w:rPr>
        <w:t xml:space="preserve"> </w:t>
      </w:r>
    </w:p>
    <w:p w14:paraId="5F395455" w14:textId="77777777" w:rsidR="00A3693B" w:rsidRDefault="00A3693B" w:rsidP="00A3693B">
      <w:pPr>
        <w:autoSpaceDE w:val="0"/>
        <w:autoSpaceDN w:val="0"/>
        <w:adjustRightInd w:val="0"/>
        <w:ind w:firstLine="708"/>
        <w:jc w:val="both"/>
        <w:rPr>
          <w:rFonts w:ascii="Abadi" w:hAnsi="Abadi" w:cs="*Arial-6105-Identity-H"/>
          <w:color w:val="14131C"/>
          <w:sz w:val="21"/>
          <w:szCs w:val="21"/>
        </w:rPr>
      </w:pPr>
      <w:r w:rsidRPr="00312C34">
        <w:rPr>
          <w:rFonts w:ascii="Abadi" w:hAnsi="Abadi" w:cs="*Arial-6105-Identity-H"/>
          <w:color w:val="14131C"/>
          <w:sz w:val="21"/>
          <w:szCs w:val="21"/>
        </w:rPr>
        <w:t>En dichas auditorías, con independencia de su enfoque, se debe planear</w:t>
      </w:r>
      <w:r>
        <w:rPr>
          <w:rFonts w:ascii="Abadi" w:hAnsi="Abadi" w:cs="*Arial-6105-Identity-H"/>
          <w:color w:val="14131C"/>
          <w:sz w:val="21"/>
          <w:szCs w:val="21"/>
        </w:rPr>
        <w:t xml:space="preserve"> </w:t>
      </w:r>
      <w:r w:rsidRPr="00312C34">
        <w:rPr>
          <w:rFonts w:ascii="Abadi" w:hAnsi="Abadi" w:cs="*Arial-6105-Identity-H"/>
          <w:color w:val="14131C"/>
          <w:sz w:val="21"/>
          <w:szCs w:val="21"/>
        </w:rPr>
        <w:t>con toda claridad y con base en la evidencia competente, suficiente, pertinente,</w:t>
      </w:r>
      <w:r>
        <w:rPr>
          <w:rFonts w:ascii="Abadi" w:hAnsi="Abadi" w:cs="*Arial-6105-Identity-H"/>
          <w:color w:val="14131C"/>
          <w:sz w:val="21"/>
          <w:szCs w:val="21"/>
        </w:rPr>
        <w:t xml:space="preserve"> </w:t>
      </w:r>
      <w:r w:rsidRPr="00312C34">
        <w:rPr>
          <w:rFonts w:ascii="Abadi" w:hAnsi="Abadi" w:cs="*Arial-6105-Identity-H"/>
          <w:color w:val="14131C"/>
          <w:sz w:val="21"/>
          <w:szCs w:val="21"/>
        </w:rPr>
        <w:t>relevante y oportuna, las conclusiones del proceso de fiscalización,</w:t>
      </w:r>
      <w:r>
        <w:rPr>
          <w:rFonts w:ascii="Abadi" w:hAnsi="Abadi" w:cs="*Arial-6105-Identity-H"/>
          <w:color w:val="14131C"/>
          <w:sz w:val="21"/>
          <w:szCs w:val="21"/>
        </w:rPr>
        <w:t xml:space="preserve"> </w:t>
      </w:r>
      <w:r w:rsidRPr="00312C34">
        <w:rPr>
          <w:rFonts w:ascii="Abadi" w:hAnsi="Abadi" w:cs="*Arial-6105-Identity-H"/>
          <w:color w:val="14131C"/>
          <w:sz w:val="21"/>
          <w:szCs w:val="21"/>
        </w:rPr>
        <w:t>puntualizándose las recomendaciones formuladas en su caso.</w:t>
      </w:r>
    </w:p>
    <w:p w14:paraId="35652236" w14:textId="77777777" w:rsidR="00A3693B" w:rsidRPr="00312C34" w:rsidRDefault="00A3693B" w:rsidP="00A3693B">
      <w:pPr>
        <w:autoSpaceDE w:val="0"/>
        <w:autoSpaceDN w:val="0"/>
        <w:adjustRightInd w:val="0"/>
        <w:jc w:val="both"/>
        <w:rPr>
          <w:rFonts w:ascii="Abadi" w:hAnsi="Abadi" w:cs="*Arial-6105-Identity-H"/>
          <w:color w:val="14131C"/>
          <w:sz w:val="21"/>
          <w:szCs w:val="21"/>
        </w:rPr>
      </w:pPr>
    </w:p>
    <w:p w14:paraId="03DE4996" w14:textId="77777777" w:rsidR="00A3693B" w:rsidRPr="00312C34" w:rsidRDefault="00A3693B" w:rsidP="00A3693B">
      <w:pPr>
        <w:autoSpaceDE w:val="0"/>
        <w:autoSpaceDN w:val="0"/>
        <w:adjustRightInd w:val="0"/>
        <w:ind w:firstLine="708"/>
        <w:jc w:val="both"/>
        <w:rPr>
          <w:rFonts w:ascii="Abadi" w:hAnsi="Abadi" w:cs="*Arial-6105-Identity-H"/>
          <w:color w:val="14141D"/>
          <w:sz w:val="21"/>
          <w:szCs w:val="21"/>
        </w:rPr>
      </w:pPr>
      <w:r w:rsidRPr="00312C34">
        <w:rPr>
          <w:rFonts w:ascii="Abadi" w:hAnsi="Abadi" w:cs="*Arial-6105-Identity-H"/>
          <w:color w:val="14141D"/>
          <w:sz w:val="21"/>
          <w:szCs w:val="21"/>
        </w:rPr>
        <w:t>Respecto al marco competencia!, se precisa la normatividad aplicable a la</w:t>
      </w:r>
      <w:r>
        <w:rPr>
          <w:rFonts w:ascii="Abadi" w:hAnsi="Abadi" w:cs="*Arial-6105-Identity-H"/>
          <w:color w:val="14141D"/>
          <w:sz w:val="21"/>
          <w:szCs w:val="21"/>
        </w:rPr>
        <w:t xml:space="preserve"> </w:t>
      </w:r>
      <w:r w:rsidRPr="00312C34">
        <w:rPr>
          <w:rFonts w:ascii="Abadi" w:hAnsi="Abadi" w:cs="*Arial-6105-Identity-H"/>
          <w:color w:val="14141D"/>
          <w:sz w:val="21"/>
          <w:szCs w:val="21"/>
        </w:rPr>
        <w:t>función de fiscalización a cargo del Poder Legislativo del Estado, siendo esta:</w:t>
      </w:r>
      <w:r>
        <w:rPr>
          <w:rFonts w:ascii="Abadi" w:hAnsi="Abadi" w:cs="*Arial-6105-Identity-H"/>
          <w:color w:val="14141D"/>
          <w:sz w:val="21"/>
          <w:szCs w:val="21"/>
        </w:rPr>
        <w:t xml:space="preserve"> </w:t>
      </w:r>
      <w:r w:rsidRPr="00312C34">
        <w:rPr>
          <w:rFonts w:ascii="Abadi" w:hAnsi="Abadi" w:cs="*Arial-6105-Identity-H"/>
          <w:color w:val="14141D"/>
          <w:sz w:val="21"/>
          <w:szCs w:val="21"/>
        </w:rPr>
        <w:t xml:space="preserve">artículos 116, fracción </w:t>
      </w:r>
      <w:r>
        <w:rPr>
          <w:rFonts w:ascii="Abadi" w:hAnsi="Abadi" w:cs="*Arial-6105-Identity-H"/>
          <w:color w:val="14141D"/>
          <w:sz w:val="21"/>
          <w:szCs w:val="21"/>
        </w:rPr>
        <w:t>II</w:t>
      </w:r>
      <w:r w:rsidRPr="00312C34">
        <w:rPr>
          <w:rFonts w:ascii="Abadi" w:hAnsi="Abadi" w:cs="*Arial-6105-Identity-H"/>
          <w:color w:val="14141D"/>
          <w:sz w:val="21"/>
          <w:szCs w:val="21"/>
        </w:rPr>
        <w:t xml:space="preserve"> y 134 de la Constitución Política de los Estados Unidos</w:t>
      </w:r>
      <w:r>
        <w:rPr>
          <w:rFonts w:ascii="Abadi" w:hAnsi="Abadi" w:cs="*Arial-6105-Identity-H"/>
          <w:color w:val="14141D"/>
          <w:sz w:val="21"/>
          <w:szCs w:val="21"/>
        </w:rPr>
        <w:t xml:space="preserve"> </w:t>
      </w:r>
      <w:r w:rsidRPr="00312C34">
        <w:rPr>
          <w:rFonts w:ascii="Abadi" w:hAnsi="Abadi" w:cs="*Arial-6105-Identity-H"/>
          <w:color w:val="14141D"/>
          <w:sz w:val="21"/>
          <w:szCs w:val="21"/>
        </w:rPr>
        <w:t xml:space="preserve">Mexicanos; 2, párrafo primero, 63, fracción XIX y 66, fracciones </w:t>
      </w:r>
      <w:r>
        <w:rPr>
          <w:rFonts w:ascii="Abadi" w:hAnsi="Abadi" w:cs="*Arial-6105-Identity-H"/>
          <w:color w:val="14141D"/>
          <w:sz w:val="21"/>
          <w:szCs w:val="21"/>
        </w:rPr>
        <w:t>I</w:t>
      </w:r>
      <w:r w:rsidRPr="00312C34">
        <w:rPr>
          <w:rFonts w:ascii="Abadi" w:hAnsi="Abadi" w:cs="*Arial-6105-Identity-H"/>
          <w:color w:val="14141D"/>
          <w:sz w:val="21"/>
          <w:szCs w:val="21"/>
        </w:rPr>
        <w:t xml:space="preserve">, </w:t>
      </w:r>
      <w:r>
        <w:rPr>
          <w:rFonts w:ascii="Abadi" w:hAnsi="Abadi" w:cs="*Arial-6105-Identity-H"/>
          <w:color w:val="14141D"/>
          <w:sz w:val="21"/>
          <w:szCs w:val="21"/>
        </w:rPr>
        <w:t>II</w:t>
      </w:r>
      <w:r w:rsidRPr="00312C34">
        <w:rPr>
          <w:rFonts w:ascii="Abadi" w:hAnsi="Abadi" w:cs="*Arial-6105-Identity-H"/>
          <w:color w:val="14141D"/>
          <w:sz w:val="21"/>
          <w:szCs w:val="21"/>
        </w:rPr>
        <w:t xml:space="preserve"> y IV de la</w:t>
      </w:r>
      <w:r>
        <w:rPr>
          <w:rFonts w:ascii="Abadi" w:hAnsi="Abadi" w:cs="*Arial-6105-Identity-H"/>
          <w:color w:val="14141D"/>
          <w:sz w:val="21"/>
          <w:szCs w:val="21"/>
        </w:rPr>
        <w:t xml:space="preserve"> </w:t>
      </w:r>
      <w:r w:rsidRPr="00312C34">
        <w:rPr>
          <w:rFonts w:ascii="Abadi" w:hAnsi="Abadi" w:cs="*Arial-6105-Identity-H"/>
          <w:color w:val="14141D"/>
          <w:sz w:val="21"/>
          <w:szCs w:val="21"/>
        </w:rPr>
        <w:t xml:space="preserve">Constitución Política para el Estado de Guanajuato; 1, 2, fracciones </w:t>
      </w:r>
      <w:r>
        <w:rPr>
          <w:rFonts w:ascii="Abadi" w:hAnsi="Abadi" w:cs="*Arial-6105-Identity-H"/>
          <w:color w:val="14141D"/>
          <w:sz w:val="21"/>
          <w:szCs w:val="21"/>
        </w:rPr>
        <w:t>II</w:t>
      </w:r>
      <w:r w:rsidRPr="00312C34">
        <w:rPr>
          <w:rFonts w:ascii="Abadi" w:hAnsi="Abadi" w:cs="*Arial-6105-Identity-H"/>
          <w:color w:val="14141D"/>
          <w:sz w:val="21"/>
          <w:szCs w:val="21"/>
        </w:rPr>
        <w:t xml:space="preserve"> y </w:t>
      </w:r>
      <w:r>
        <w:rPr>
          <w:rFonts w:ascii="Abadi" w:hAnsi="Abadi" w:cs="*Arial-6105-Identity-H"/>
          <w:color w:val="14141D"/>
          <w:sz w:val="21"/>
          <w:szCs w:val="21"/>
        </w:rPr>
        <w:t>III</w:t>
      </w:r>
      <w:r w:rsidRPr="00312C34">
        <w:rPr>
          <w:rFonts w:ascii="Abadi" w:hAnsi="Abadi" w:cs="*Arial-6105-Identity-H"/>
          <w:color w:val="14141D"/>
          <w:sz w:val="21"/>
          <w:szCs w:val="21"/>
        </w:rPr>
        <w:t>, 3,</w:t>
      </w:r>
      <w:r>
        <w:rPr>
          <w:rFonts w:ascii="Abadi" w:hAnsi="Abadi" w:cs="*Arial-6105-Identity-H"/>
          <w:color w:val="14141D"/>
          <w:sz w:val="21"/>
          <w:szCs w:val="21"/>
        </w:rPr>
        <w:t xml:space="preserve"> </w:t>
      </w:r>
      <w:r w:rsidRPr="00312C34">
        <w:rPr>
          <w:rFonts w:ascii="Abadi" w:hAnsi="Abadi" w:cs="*Arial-6105-Identity-H"/>
          <w:color w:val="14141D"/>
          <w:sz w:val="21"/>
          <w:szCs w:val="21"/>
        </w:rPr>
        <w:t xml:space="preserve">fracciones </w:t>
      </w:r>
      <w:r>
        <w:rPr>
          <w:rFonts w:ascii="Abadi" w:hAnsi="Abadi" w:cs="*Arial-6105-Identity-H"/>
          <w:color w:val="14141D"/>
          <w:sz w:val="21"/>
          <w:szCs w:val="21"/>
        </w:rPr>
        <w:t>I</w:t>
      </w:r>
      <w:r w:rsidRPr="00312C34">
        <w:rPr>
          <w:rFonts w:ascii="Abadi" w:hAnsi="Abadi" w:cs="*Arial-6105-Identity-H"/>
          <w:color w:val="14141D"/>
          <w:sz w:val="21"/>
          <w:szCs w:val="21"/>
        </w:rPr>
        <w:t xml:space="preserve">, </w:t>
      </w:r>
      <w:r>
        <w:rPr>
          <w:rFonts w:ascii="Abadi" w:hAnsi="Abadi" w:cs="*Arial-6105-Identity-H"/>
          <w:color w:val="14141D"/>
          <w:sz w:val="21"/>
          <w:szCs w:val="21"/>
        </w:rPr>
        <w:t>II</w:t>
      </w:r>
      <w:r w:rsidRPr="00312C34">
        <w:rPr>
          <w:rFonts w:ascii="Abadi" w:hAnsi="Abadi" w:cs="*Arial-6105-Identity-H"/>
          <w:color w:val="14141D"/>
          <w:sz w:val="21"/>
          <w:szCs w:val="21"/>
        </w:rPr>
        <w:t xml:space="preserve">, V y XI, 4, 6, 7, 11, 14, 16, 24, 25, 26, 30, 31, 37, fracción </w:t>
      </w:r>
      <w:r>
        <w:rPr>
          <w:rFonts w:ascii="Abadi" w:hAnsi="Abadi" w:cs="*Arial-6105-Identity-H"/>
          <w:color w:val="14141D"/>
          <w:sz w:val="21"/>
          <w:szCs w:val="21"/>
        </w:rPr>
        <w:t>III</w:t>
      </w:r>
      <w:r w:rsidRPr="00312C34">
        <w:rPr>
          <w:rFonts w:ascii="Abadi" w:hAnsi="Abadi" w:cs="*Arial-6105-Identity-H"/>
          <w:color w:val="14141D"/>
          <w:sz w:val="21"/>
          <w:szCs w:val="21"/>
        </w:rPr>
        <w:t>, 56, 57,</w:t>
      </w:r>
      <w:r>
        <w:rPr>
          <w:rFonts w:ascii="Abadi" w:hAnsi="Abadi" w:cs="*Arial-6105-Identity-H"/>
          <w:color w:val="14141D"/>
          <w:sz w:val="21"/>
          <w:szCs w:val="21"/>
        </w:rPr>
        <w:t xml:space="preserve"> </w:t>
      </w:r>
      <w:r w:rsidRPr="00312C34">
        <w:rPr>
          <w:rFonts w:ascii="Abadi" w:hAnsi="Abadi" w:cs="*Arial-6105-Identity-H"/>
          <w:color w:val="14141D"/>
          <w:sz w:val="21"/>
          <w:szCs w:val="21"/>
        </w:rPr>
        <w:t xml:space="preserve">58, 59, 60, 82, fracciones </w:t>
      </w:r>
      <w:r>
        <w:rPr>
          <w:rFonts w:ascii="Abadi" w:hAnsi="Abadi" w:cs="*Arial-6105-Identity-H"/>
          <w:color w:val="14141D"/>
          <w:sz w:val="21"/>
          <w:szCs w:val="21"/>
        </w:rPr>
        <w:t>III</w:t>
      </w:r>
      <w:r w:rsidRPr="00312C34">
        <w:rPr>
          <w:rFonts w:ascii="Abadi" w:hAnsi="Abadi" w:cs="*Arial-6105-Identity-H"/>
          <w:color w:val="14141D"/>
          <w:sz w:val="21"/>
          <w:szCs w:val="21"/>
        </w:rPr>
        <w:t xml:space="preserve">, IV, </w:t>
      </w:r>
      <w:r w:rsidRPr="004137F6">
        <w:rPr>
          <w:rFonts w:ascii="Abadi" w:hAnsi="Abadi" w:cs="*Arial-Bold-6106-Identity-H"/>
          <w:color w:val="14141D"/>
          <w:sz w:val="21"/>
          <w:szCs w:val="21"/>
        </w:rPr>
        <w:t xml:space="preserve">XXIX, XXXII </w:t>
      </w:r>
      <w:r w:rsidRPr="004137F6">
        <w:rPr>
          <w:rFonts w:ascii="Abadi" w:hAnsi="Abadi" w:cs="*Arial-6105-Identity-H"/>
          <w:color w:val="14141D"/>
          <w:sz w:val="21"/>
          <w:szCs w:val="21"/>
        </w:rPr>
        <w:t xml:space="preserve">y </w:t>
      </w:r>
      <w:r w:rsidRPr="004137F6">
        <w:rPr>
          <w:rFonts w:ascii="Abadi" w:hAnsi="Abadi" w:cs="*Arial-Bold-6106-Identity-H"/>
          <w:color w:val="14141D"/>
          <w:sz w:val="21"/>
          <w:szCs w:val="21"/>
        </w:rPr>
        <w:t>XXXV</w:t>
      </w:r>
      <w:r w:rsidRPr="00312C34">
        <w:rPr>
          <w:rFonts w:ascii="Abadi" w:hAnsi="Abadi" w:cs="*Arial-Bold-6106-Identity-H"/>
          <w:b/>
          <w:bCs/>
          <w:color w:val="14141D"/>
          <w:sz w:val="21"/>
          <w:szCs w:val="21"/>
        </w:rPr>
        <w:t xml:space="preserve"> </w:t>
      </w:r>
      <w:r w:rsidRPr="00312C34">
        <w:rPr>
          <w:rFonts w:ascii="Abadi" w:hAnsi="Abadi" w:cs="*Arial-6105-Identity-H"/>
          <w:color w:val="14141D"/>
          <w:sz w:val="21"/>
          <w:szCs w:val="21"/>
        </w:rPr>
        <w:t>y 87, fracciones V, XII y</w:t>
      </w:r>
      <w:r>
        <w:rPr>
          <w:rFonts w:ascii="Abadi" w:hAnsi="Abadi" w:cs="*Arial-6105-Identity-H"/>
          <w:color w:val="14141D"/>
          <w:sz w:val="21"/>
          <w:szCs w:val="21"/>
        </w:rPr>
        <w:t xml:space="preserve"> </w:t>
      </w:r>
      <w:r w:rsidRPr="00312C34">
        <w:rPr>
          <w:rFonts w:ascii="Abadi" w:hAnsi="Abadi" w:cs="*Arial-6105-Identity-H"/>
          <w:color w:val="14141D"/>
          <w:sz w:val="21"/>
          <w:szCs w:val="21"/>
        </w:rPr>
        <w:t xml:space="preserve">XXVI de la Ley de Fiscalización Superior del Estado de Guanajuato; 1, 3, </w:t>
      </w:r>
      <w:r>
        <w:rPr>
          <w:rFonts w:ascii="Abadi" w:hAnsi="Abadi" w:cs="*Arial-6105-Identity-H"/>
          <w:color w:val="14141D"/>
          <w:sz w:val="21"/>
          <w:szCs w:val="21"/>
        </w:rPr>
        <w:t>10</w:t>
      </w:r>
      <w:r w:rsidRPr="00312C34">
        <w:rPr>
          <w:rFonts w:ascii="Abadi" w:hAnsi="Abadi" w:cs="*Arial-6105-Identity-H"/>
          <w:color w:val="14141D"/>
          <w:sz w:val="21"/>
          <w:szCs w:val="21"/>
        </w:rPr>
        <w:t>, 13,</w:t>
      </w:r>
      <w:r>
        <w:rPr>
          <w:rFonts w:ascii="Abadi" w:hAnsi="Abadi" w:cs="*Arial-6105-Identity-H"/>
          <w:color w:val="14141D"/>
          <w:sz w:val="21"/>
          <w:szCs w:val="21"/>
        </w:rPr>
        <w:t xml:space="preserve"> </w:t>
      </w:r>
      <w:r w:rsidRPr="00312C34">
        <w:rPr>
          <w:rFonts w:ascii="Abadi" w:hAnsi="Abadi" w:cs="*Arial-6105-Identity-H"/>
          <w:color w:val="14141D"/>
          <w:sz w:val="21"/>
          <w:szCs w:val="21"/>
        </w:rPr>
        <w:t>18, 20, 27, 43, 44, 45, 46, 47, 48 y 49 del Reglamento de la Ley de Fiscalización</w:t>
      </w:r>
      <w:r>
        <w:rPr>
          <w:rFonts w:ascii="Abadi" w:hAnsi="Abadi" w:cs="*Arial-6105-Identity-H"/>
          <w:color w:val="14141D"/>
          <w:sz w:val="21"/>
          <w:szCs w:val="21"/>
        </w:rPr>
        <w:t xml:space="preserve"> </w:t>
      </w:r>
      <w:r w:rsidRPr="00312C34">
        <w:rPr>
          <w:rFonts w:ascii="Abadi" w:hAnsi="Abadi" w:cs="*Arial-6105-Identity-H"/>
          <w:color w:val="14141D"/>
          <w:sz w:val="21"/>
          <w:szCs w:val="21"/>
        </w:rPr>
        <w:t>Superior del Estado de Guanajuato; 1, 7, segundo párrafo, 8, fracción 1, 9, fracción</w:t>
      </w:r>
      <w:r>
        <w:rPr>
          <w:rFonts w:ascii="Abadi" w:hAnsi="Abadi" w:cs="*Arial-6105-Identity-H"/>
          <w:color w:val="14141D"/>
          <w:sz w:val="21"/>
          <w:szCs w:val="21"/>
        </w:rPr>
        <w:t xml:space="preserve"> </w:t>
      </w:r>
      <w:r w:rsidRPr="00312C34">
        <w:rPr>
          <w:rFonts w:ascii="Abadi" w:hAnsi="Abadi" w:cs="*Arial-6105-Identity-H"/>
          <w:color w:val="14141D"/>
          <w:sz w:val="21"/>
          <w:szCs w:val="21"/>
        </w:rPr>
        <w:t xml:space="preserve">XVII, 10 fracciones </w:t>
      </w:r>
      <w:r>
        <w:rPr>
          <w:rFonts w:ascii="Abadi" w:hAnsi="Abadi" w:cs="*Arial-6105-Identity-H"/>
          <w:color w:val="14141D"/>
          <w:sz w:val="21"/>
          <w:szCs w:val="21"/>
        </w:rPr>
        <w:t>III</w:t>
      </w:r>
      <w:r w:rsidRPr="00312C34">
        <w:rPr>
          <w:rFonts w:ascii="Abadi" w:hAnsi="Abadi" w:cs="*Arial-6105-Identity-H"/>
          <w:color w:val="14141D"/>
          <w:sz w:val="21"/>
          <w:szCs w:val="21"/>
        </w:rPr>
        <w:t>, XVII, XIX y XX, 14 y 16 del Reglamento Interior de la</w:t>
      </w:r>
      <w:r>
        <w:rPr>
          <w:rFonts w:ascii="Abadi" w:hAnsi="Abadi" w:cs="*Arial-6105-Identity-H"/>
          <w:color w:val="14141D"/>
          <w:sz w:val="21"/>
          <w:szCs w:val="21"/>
        </w:rPr>
        <w:t xml:space="preserve"> </w:t>
      </w:r>
      <w:r w:rsidRPr="00312C34">
        <w:rPr>
          <w:rFonts w:ascii="Abadi" w:hAnsi="Abadi" w:cs="*Arial-6105-Identity-H"/>
          <w:color w:val="14141D"/>
          <w:sz w:val="21"/>
          <w:szCs w:val="21"/>
        </w:rPr>
        <w:t>Auditoría Superior del Estado de Guanajuato; y 42 de la Ley General del Sistema</w:t>
      </w:r>
      <w:r>
        <w:rPr>
          <w:rFonts w:ascii="Abadi" w:hAnsi="Abadi" w:cs="*Arial-6105-Identity-H"/>
          <w:color w:val="14141D"/>
          <w:sz w:val="21"/>
          <w:szCs w:val="21"/>
        </w:rPr>
        <w:t xml:space="preserve"> </w:t>
      </w:r>
      <w:r w:rsidRPr="00312C34">
        <w:rPr>
          <w:rFonts w:ascii="Abadi" w:hAnsi="Abadi" w:cs="*Arial-6105-Identity-H"/>
          <w:color w:val="14141D"/>
          <w:sz w:val="21"/>
          <w:szCs w:val="21"/>
        </w:rPr>
        <w:t>Nacional Anticorrupción.</w:t>
      </w:r>
    </w:p>
    <w:p w14:paraId="01B9BC6A" w14:textId="77777777" w:rsidR="00A3693B" w:rsidRPr="00312C34" w:rsidRDefault="00A3693B" w:rsidP="00A3693B">
      <w:pPr>
        <w:jc w:val="both"/>
        <w:rPr>
          <w:rFonts w:ascii="Abadi" w:hAnsi="Abadi" w:cs="*Arial-6105-Identity-H"/>
          <w:color w:val="14141D"/>
          <w:sz w:val="21"/>
          <w:szCs w:val="21"/>
        </w:rPr>
      </w:pPr>
    </w:p>
    <w:p w14:paraId="4D7DD578" w14:textId="16C2B060" w:rsidR="00A3693B" w:rsidRDefault="00A3693B" w:rsidP="00A3693B">
      <w:pPr>
        <w:autoSpaceDE w:val="0"/>
        <w:autoSpaceDN w:val="0"/>
        <w:adjustRightInd w:val="0"/>
        <w:ind w:firstLine="708"/>
        <w:jc w:val="both"/>
        <w:rPr>
          <w:rFonts w:ascii="Abadi" w:hAnsi="Abadi" w:cs="*Arial-5918-Identity-H"/>
          <w:color w:val="15141C"/>
          <w:sz w:val="21"/>
          <w:szCs w:val="21"/>
        </w:rPr>
      </w:pPr>
      <w:r w:rsidRPr="00312C34">
        <w:rPr>
          <w:rFonts w:ascii="Abadi" w:hAnsi="Abadi" w:cs="*Arial-5918-Identity-H"/>
          <w:color w:val="15141C"/>
          <w:sz w:val="21"/>
          <w:szCs w:val="21"/>
        </w:rPr>
        <w:t>Con base en lo anterior, la auditoría de desempeño materia del presente</w:t>
      </w:r>
      <w:r>
        <w:rPr>
          <w:rFonts w:ascii="Abadi" w:hAnsi="Abadi" w:cs="*Arial-5918-Identity-H"/>
          <w:color w:val="15141C"/>
          <w:sz w:val="21"/>
          <w:szCs w:val="21"/>
        </w:rPr>
        <w:t xml:space="preserve"> </w:t>
      </w:r>
      <w:r w:rsidRPr="00312C34">
        <w:rPr>
          <w:rFonts w:ascii="Abadi" w:hAnsi="Abadi" w:cs="*Arial-5918-Identity-H"/>
          <w:color w:val="15141C"/>
          <w:sz w:val="21"/>
          <w:szCs w:val="21"/>
        </w:rPr>
        <w:t>dictamen, se ejecutó bajo los principios, conceptos y directrices de las actuales</w:t>
      </w:r>
      <w:r>
        <w:rPr>
          <w:rFonts w:ascii="Abadi" w:hAnsi="Abadi" w:cs="*Arial-5918-Identity-H"/>
          <w:color w:val="15141C"/>
          <w:sz w:val="21"/>
          <w:szCs w:val="21"/>
        </w:rPr>
        <w:t xml:space="preserve"> </w:t>
      </w:r>
      <w:r w:rsidRPr="00312C34">
        <w:rPr>
          <w:rFonts w:ascii="Abadi" w:hAnsi="Abadi" w:cs="*Arial-5918-Identity-H"/>
          <w:color w:val="15141C"/>
          <w:sz w:val="21"/>
          <w:szCs w:val="21"/>
        </w:rPr>
        <w:t>Normas Profesionales de Auditoría d</w:t>
      </w:r>
      <w:r>
        <w:rPr>
          <w:rFonts w:ascii="Abadi" w:eastAsia="Abadi" w:hAnsi="Abadi" w:cs="Abadi"/>
          <w:color w:val="15141C"/>
          <w:sz w:val="21"/>
          <w:szCs w:val="21"/>
        </w:rPr>
        <w:t>e</w:t>
      </w:r>
      <w:r w:rsidRPr="00312C34">
        <w:rPr>
          <w:rFonts w:ascii="Abadi" w:hAnsi="Abadi" w:cs="*Arial-5918-Identity-H"/>
          <w:color w:val="15141C"/>
          <w:sz w:val="21"/>
          <w:szCs w:val="21"/>
        </w:rPr>
        <w:t>l Sistema Nacional de Fiscalización,</w:t>
      </w:r>
      <w:r>
        <w:rPr>
          <w:rFonts w:ascii="Abadi" w:hAnsi="Abadi" w:cs="*Arial-5918-Identity-H"/>
          <w:color w:val="15141C"/>
          <w:sz w:val="21"/>
          <w:szCs w:val="21"/>
        </w:rPr>
        <w:t xml:space="preserve"> </w:t>
      </w:r>
      <w:r w:rsidRPr="00312C34">
        <w:rPr>
          <w:rFonts w:ascii="Abadi" w:hAnsi="Abadi" w:cs="*Arial-5918-Identity-H"/>
          <w:color w:val="15141C"/>
          <w:sz w:val="21"/>
          <w:szCs w:val="21"/>
        </w:rPr>
        <w:t>compiladas y editadas por la Auditoría Superior de la Federación, de manera</w:t>
      </w:r>
      <w:r>
        <w:rPr>
          <w:rFonts w:ascii="Abadi" w:hAnsi="Abadi" w:cs="*Arial-5918-Identity-H"/>
          <w:color w:val="15141C"/>
          <w:sz w:val="21"/>
          <w:szCs w:val="21"/>
        </w:rPr>
        <w:t xml:space="preserve"> </w:t>
      </w:r>
      <w:r w:rsidRPr="00312C34">
        <w:rPr>
          <w:rFonts w:ascii="Abadi" w:hAnsi="Abadi" w:cs="*Arial-5918-Identity-H"/>
          <w:color w:val="15141C"/>
          <w:sz w:val="21"/>
          <w:szCs w:val="21"/>
        </w:rPr>
        <w:t xml:space="preserve">particular por lo que hace a sus numerales </w:t>
      </w:r>
      <w:r>
        <w:rPr>
          <w:rFonts w:ascii="Abadi" w:hAnsi="Abadi" w:cs="*Arial-5918-Identity-H"/>
          <w:color w:val="15141C"/>
          <w:sz w:val="21"/>
          <w:szCs w:val="21"/>
        </w:rPr>
        <w:t>100 y 300</w:t>
      </w:r>
    </w:p>
    <w:p w14:paraId="6F7347D1" w14:textId="77777777" w:rsidR="00A3693B" w:rsidRPr="00312C34" w:rsidRDefault="00A3693B" w:rsidP="00A3693B">
      <w:pPr>
        <w:autoSpaceDE w:val="0"/>
        <w:autoSpaceDN w:val="0"/>
        <w:adjustRightInd w:val="0"/>
        <w:jc w:val="both"/>
        <w:rPr>
          <w:rFonts w:ascii="Abadi" w:hAnsi="Abadi" w:cs="*Arial-5918-Identity-H"/>
          <w:color w:val="15141C"/>
          <w:sz w:val="21"/>
          <w:szCs w:val="21"/>
        </w:rPr>
      </w:pPr>
    </w:p>
    <w:p w14:paraId="34970AFF" w14:textId="77777777" w:rsidR="00A3693B" w:rsidRDefault="00A3693B" w:rsidP="00A3693B">
      <w:pPr>
        <w:autoSpaceDE w:val="0"/>
        <w:autoSpaceDN w:val="0"/>
        <w:adjustRightInd w:val="0"/>
        <w:ind w:firstLine="708"/>
        <w:jc w:val="both"/>
        <w:rPr>
          <w:rFonts w:ascii="Abadi" w:hAnsi="Abadi" w:cs="*Arial-5918-Identity-H"/>
          <w:color w:val="14131C"/>
          <w:sz w:val="21"/>
          <w:szCs w:val="21"/>
        </w:rPr>
      </w:pPr>
      <w:r w:rsidRPr="00312C34">
        <w:rPr>
          <w:rFonts w:ascii="Abadi" w:hAnsi="Abadi" w:cs="*Arial-5918-Identity-H"/>
          <w:color w:val="14131C"/>
          <w:sz w:val="21"/>
          <w:szCs w:val="21"/>
        </w:rPr>
        <w:t>En esta parte también se puntualiza que las auditorías de desempeño que</w:t>
      </w:r>
      <w:r>
        <w:rPr>
          <w:rFonts w:ascii="Abadi" w:hAnsi="Abadi" w:cs="*Arial-5918-Identity-H"/>
          <w:color w:val="14131C"/>
          <w:sz w:val="21"/>
          <w:szCs w:val="21"/>
        </w:rPr>
        <w:t xml:space="preserve"> </w:t>
      </w:r>
      <w:r w:rsidRPr="00312C34">
        <w:rPr>
          <w:rFonts w:ascii="Abadi" w:hAnsi="Abadi" w:cs="*Arial-5918-Identity-H"/>
          <w:color w:val="14131C"/>
          <w:sz w:val="21"/>
          <w:szCs w:val="21"/>
        </w:rPr>
        <w:t>se practican por la Auditoría Superior del Estado son congruentes con las</w:t>
      </w:r>
      <w:r>
        <w:rPr>
          <w:rFonts w:ascii="Abadi" w:hAnsi="Abadi" w:cs="*Arial-5918-Identity-H"/>
          <w:color w:val="14131C"/>
          <w:sz w:val="21"/>
          <w:szCs w:val="21"/>
        </w:rPr>
        <w:t xml:space="preserve"> </w:t>
      </w:r>
      <w:r w:rsidRPr="00312C34">
        <w:rPr>
          <w:rFonts w:ascii="Abadi" w:hAnsi="Abadi" w:cs="*Arial-5918-Identity-H"/>
          <w:color w:val="14131C"/>
          <w:sz w:val="21"/>
          <w:szCs w:val="21"/>
        </w:rPr>
        <w:t>metodologías señaladas en las Normas Internacionales para Entidades</w:t>
      </w:r>
      <w:r>
        <w:rPr>
          <w:rFonts w:ascii="Abadi" w:hAnsi="Abadi" w:cs="*Arial-5918-Identity-H"/>
          <w:color w:val="14131C"/>
          <w:sz w:val="21"/>
          <w:szCs w:val="21"/>
        </w:rPr>
        <w:t xml:space="preserve"> </w:t>
      </w:r>
      <w:r w:rsidRPr="00312C34">
        <w:rPr>
          <w:rFonts w:ascii="Abadi" w:hAnsi="Abadi" w:cs="*Arial-5918-Identity-H"/>
          <w:color w:val="14131C"/>
          <w:sz w:val="21"/>
          <w:szCs w:val="21"/>
        </w:rPr>
        <w:t>Fiscalizadoras Superiores 100, 300, 3000 y 3200, emitidas por la Organización</w:t>
      </w:r>
      <w:r>
        <w:rPr>
          <w:rFonts w:ascii="Abadi" w:hAnsi="Abadi" w:cs="*Arial-5918-Identity-H"/>
          <w:color w:val="14131C"/>
          <w:sz w:val="21"/>
          <w:szCs w:val="21"/>
        </w:rPr>
        <w:t xml:space="preserve"> </w:t>
      </w:r>
      <w:r w:rsidRPr="00312C34">
        <w:rPr>
          <w:rFonts w:ascii="Abadi" w:hAnsi="Abadi" w:cs="*Arial-5918-Identity-H"/>
          <w:color w:val="14131C"/>
          <w:sz w:val="21"/>
          <w:szCs w:val="21"/>
        </w:rPr>
        <w:t>Internacional de las Entidades Fiscalizadoras Superiores, así como con los</w:t>
      </w:r>
      <w:r>
        <w:rPr>
          <w:rFonts w:ascii="Abadi" w:hAnsi="Abadi" w:cs="*Arial-5918-Identity-H"/>
          <w:color w:val="14131C"/>
          <w:sz w:val="21"/>
          <w:szCs w:val="21"/>
        </w:rPr>
        <w:t xml:space="preserve"> </w:t>
      </w:r>
      <w:r w:rsidRPr="00312C34">
        <w:rPr>
          <w:rFonts w:ascii="Abadi" w:hAnsi="Abadi" w:cs="*Arial-5918-Identity-H"/>
          <w:color w:val="14131C"/>
          <w:sz w:val="21"/>
          <w:szCs w:val="21"/>
        </w:rPr>
        <w:t>lineamientos para la construcción y diseño de indicadores de desempeño</w:t>
      </w:r>
      <w:r>
        <w:rPr>
          <w:rFonts w:ascii="Abadi" w:hAnsi="Abadi" w:cs="*Arial-5918-Identity-H"/>
          <w:color w:val="14131C"/>
          <w:sz w:val="21"/>
          <w:szCs w:val="21"/>
        </w:rPr>
        <w:t xml:space="preserve"> </w:t>
      </w:r>
      <w:r w:rsidRPr="00312C34">
        <w:rPr>
          <w:rFonts w:ascii="Abadi" w:hAnsi="Abadi" w:cs="*Arial-5918-Identity-H"/>
          <w:color w:val="14131C"/>
          <w:sz w:val="21"/>
          <w:szCs w:val="21"/>
        </w:rPr>
        <w:t>mediante la Metodología del Marco Lógico, emitidos por el Consejo Nacional de</w:t>
      </w:r>
      <w:r>
        <w:rPr>
          <w:rFonts w:ascii="Abadi" w:hAnsi="Abadi" w:cs="*Arial-5918-Identity-H"/>
          <w:color w:val="14131C"/>
          <w:sz w:val="21"/>
          <w:szCs w:val="21"/>
        </w:rPr>
        <w:t xml:space="preserve"> </w:t>
      </w:r>
      <w:r w:rsidRPr="00312C34">
        <w:rPr>
          <w:rFonts w:ascii="Abadi" w:hAnsi="Abadi" w:cs="*Arial-5918-Identity-H"/>
          <w:color w:val="14131C"/>
          <w:sz w:val="21"/>
          <w:szCs w:val="21"/>
        </w:rPr>
        <w:t>Armonización Contable, publicados en el Diario Oficial de la Federación el 15 de</w:t>
      </w:r>
      <w:r>
        <w:rPr>
          <w:rFonts w:ascii="Abadi" w:hAnsi="Abadi" w:cs="*Arial-5918-Identity-H"/>
          <w:color w:val="14131C"/>
          <w:sz w:val="21"/>
          <w:szCs w:val="21"/>
        </w:rPr>
        <w:t xml:space="preserve"> </w:t>
      </w:r>
      <w:r w:rsidRPr="00312C34">
        <w:rPr>
          <w:rFonts w:ascii="Abadi" w:hAnsi="Abadi" w:cs="*Arial-5918-Identity-H"/>
          <w:color w:val="14131C"/>
          <w:sz w:val="21"/>
          <w:szCs w:val="21"/>
        </w:rPr>
        <w:t>mayo de 2013, entre otros.</w:t>
      </w:r>
    </w:p>
    <w:p w14:paraId="218DAC09" w14:textId="77777777" w:rsidR="00A3693B" w:rsidRPr="00312C34" w:rsidRDefault="00A3693B" w:rsidP="00A3693B">
      <w:pPr>
        <w:autoSpaceDE w:val="0"/>
        <w:autoSpaceDN w:val="0"/>
        <w:adjustRightInd w:val="0"/>
        <w:jc w:val="both"/>
        <w:rPr>
          <w:rFonts w:ascii="Abadi" w:hAnsi="Abadi" w:cs="*Arial-5918-Identity-H"/>
          <w:color w:val="14131C"/>
          <w:sz w:val="21"/>
          <w:szCs w:val="21"/>
        </w:rPr>
      </w:pPr>
    </w:p>
    <w:p w14:paraId="530D8F1D" w14:textId="77777777" w:rsidR="00A3693B" w:rsidRDefault="00A3693B" w:rsidP="00A3693B">
      <w:pPr>
        <w:autoSpaceDE w:val="0"/>
        <w:autoSpaceDN w:val="0"/>
        <w:adjustRightInd w:val="0"/>
        <w:ind w:firstLine="708"/>
        <w:jc w:val="both"/>
        <w:rPr>
          <w:rFonts w:ascii="Abadi" w:hAnsi="Abadi" w:cs="*Arial-5918-Identity-H"/>
          <w:color w:val="15141C"/>
          <w:sz w:val="21"/>
          <w:szCs w:val="21"/>
        </w:rPr>
      </w:pPr>
      <w:r w:rsidRPr="00312C34">
        <w:rPr>
          <w:rFonts w:ascii="Abadi" w:hAnsi="Abadi" w:cs="*Arial-5918-Identity-H"/>
          <w:color w:val="15141C"/>
          <w:sz w:val="21"/>
          <w:szCs w:val="21"/>
        </w:rPr>
        <w:t>En el punto correspondiente a estructura del informe y valoración, se señala</w:t>
      </w:r>
      <w:r>
        <w:rPr>
          <w:rFonts w:ascii="Abadi" w:hAnsi="Abadi" w:cs="*Arial-5918-Identity-H"/>
          <w:color w:val="15141C"/>
          <w:sz w:val="21"/>
          <w:szCs w:val="21"/>
        </w:rPr>
        <w:t xml:space="preserve"> </w:t>
      </w:r>
      <w:r w:rsidRPr="00312C34">
        <w:rPr>
          <w:rFonts w:ascii="Abadi" w:hAnsi="Abadi" w:cs="*Arial-5918-Identity-H"/>
          <w:color w:val="15141C"/>
          <w:sz w:val="21"/>
          <w:szCs w:val="21"/>
        </w:rPr>
        <w:t>que el informe de resultados es el documento técnico en el que se presentan los</w:t>
      </w:r>
      <w:r>
        <w:rPr>
          <w:rFonts w:ascii="Abadi" w:hAnsi="Abadi" w:cs="*Arial-5918-Identity-H"/>
          <w:color w:val="15141C"/>
          <w:sz w:val="21"/>
          <w:szCs w:val="21"/>
        </w:rPr>
        <w:t xml:space="preserve"> </w:t>
      </w:r>
      <w:r w:rsidRPr="00312C34">
        <w:rPr>
          <w:rFonts w:ascii="Abadi" w:hAnsi="Abadi" w:cs="*Arial-5918-Identity-H"/>
          <w:color w:val="15141C"/>
          <w:sz w:val="21"/>
          <w:szCs w:val="21"/>
        </w:rPr>
        <w:t>datos e información que identifican una revisión, las conclusiones y las</w:t>
      </w:r>
      <w:r>
        <w:rPr>
          <w:rFonts w:ascii="Abadi" w:hAnsi="Abadi" w:cs="*Arial-5918-Identity-H"/>
          <w:color w:val="15141C"/>
          <w:sz w:val="21"/>
          <w:szCs w:val="21"/>
        </w:rPr>
        <w:t xml:space="preserve"> </w:t>
      </w:r>
      <w:r w:rsidRPr="00312C34">
        <w:rPr>
          <w:rFonts w:ascii="Abadi" w:hAnsi="Abadi" w:cs="*Arial-5918-Identity-H"/>
          <w:color w:val="15141C"/>
          <w:sz w:val="21"/>
          <w:szCs w:val="21"/>
        </w:rPr>
        <w:t>recomendaciones al desempeño que se propondrán al ente fiscalizado.</w:t>
      </w:r>
    </w:p>
    <w:p w14:paraId="4A382E11" w14:textId="77777777" w:rsidR="00A3693B" w:rsidRPr="00312C34" w:rsidRDefault="00A3693B" w:rsidP="00A3693B">
      <w:pPr>
        <w:autoSpaceDE w:val="0"/>
        <w:autoSpaceDN w:val="0"/>
        <w:adjustRightInd w:val="0"/>
        <w:jc w:val="both"/>
        <w:rPr>
          <w:rFonts w:ascii="Abadi" w:hAnsi="Abadi" w:cs="*Arial-5918-Identity-H"/>
          <w:color w:val="15141C"/>
          <w:sz w:val="21"/>
          <w:szCs w:val="21"/>
        </w:rPr>
      </w:pPr>
    </w:p>
    <w:p w14:paraId="684C168B" w14:textId="77777777" w:rsidR="00A3693B" w:rsidRDefault="00A3693B" w:rsidP="00A3693B">
      <w:pPr>
        <w:autoSpaceDE w:val="0"/>
        <w:autoSpaceDN w:val="0"/>
        <w:adjustRightInd w:val="0"/>
        <w:ind w:firstLine="708"/>
        <w:jc w:val="both"/>
        <w:rPr>
          <w:rFonts w:ascii="Abadi" w:hAnsi="Abadi" w:cs="*Arial-5918-Identity-H"/>
          <w:color w:val="14141C"/>
          <w:sz w:val="21"/>
          <w:szCs w:val="21"/>
        </w:rPr>
      </w:pPr>
      <w:r w:rsidRPr="00312C34">
        <w:rPr>
          <w:rFonts w:ascii="Abadi" w:hAnsi="Abadi" w:cs="*Arial-5918-Identity-H"/>
          <w:color w:val="14141C"/>
          <w:sz w:val="21"/>
          <w:szCs w:val="21"/>
        </w:rPr>
        <w:t>Asimismo, se refiere que el artículo 26 del Reglamento de la Ley de</w:t>
      </w:r>
      <w:r>
        <w:rPr>
          <w:rFonts w:ascii="Abadi" w:hAnsi="Abadi" w:cs="*Arial-5918-Identity-H"/>
          <w:color w:val="14141C"/>
          <w:sz w:val="21"/>
          <w:szCs w:val="21"/>
        </w:rPr>
        <w:t xml:space="preserve"> </w:t>
      </w:r>
      <w:r w:rsidRPr="00312C34">
        <w:rPr>
          <w:rFonts w:ascii="Abadi" w:hAnsi="Abadi" w:cs="*Arial-5918-Identity-H"/>
          <w:color w:val="14141C"/>
          <w:sz w:val="21"/>
          <w:szCs w:val="21"/>
        </w:rPr>
        <w:t>Fiscalización Superior del Estado de Guanajuato establece los requisitos mínimos</w:t>
      </w:r>
      <w:r>
        <w:rPr>
          <w:rFonts w:ascii="Abadi" w:hAnsi="Abadi" w:cs="*Arial-5918-Identity-H"/>
          <w:color w:val="14141C"/>
          <w:sz w:val="21"/>
          <w:szCs w:val="21"/>
        </w:rPr>
        <w:t xml:space="preserve"> </w:t>
      </w:r>
      <w:r w:rsidRPr="00312C34">
        <w:rPr>
          <w:rFonts w:ascii="Abadi" w:hAnsi="Abadi" w:cs="*Arial-5918-Identity-H"/>
          <w:color w:val="14141C"/>
          <w:sz w:val="21"/>
          <w:szCs w:val="21"/>
        </w:rPr>
        <w:t>que deben contener los informes de resultados de las auditorías de desempeño,</w:t>
      </w:r>
      <w:r>
        <w:rPr>
          <w:rFonts w:ascii="Abadi" w:hAnsi="Abadi" w:cs="*Arial-5918-Identity-H"/>
          <w:color w:val="14141C"/>
          <w:sz w:val="21"/>
          <w:szCs w:val="21"/>
        </w:rPr>
        <w:t xml:space="preserve"> </w:t>
      </w:r>
      <w:r w:rsidRPr="00312C34">
        <w:rPr>
          <w:rFonts w:ascii="Abadi" w:hAnsi="Abadi" w:cs="*Arial-5918-Identity-H"/>
          <w:color w:val="14141C"/>
          <w:sz w:val="21"/>
          <w:szCs w:val="21"/>
        </w:rPr>
        <w:t>los cuales se cumplieron en la formulación del informe de resultados. También se</w:t>
      </w:r>
      <w:r>
        <w:rPr>
          <w:rFonts w:ascii="Abadi" w:hAnsi="Abadi" w:cs="*Arial-5918-Identity-H"/>
          <w:color w:val="14141C"/>
          <w:sz w:val="21"/>
          <w:szCs w:val="21"/>
        </w:rPr>
        <w:t xml:space="preserve"> </w:t>
      </w:r>
      <w:r w:rsidRPr="00312C34">
        <w:rPr>
          <w:rFonts w:ascii="Abadi" w:hAnsi="Abadi" w:cs="*Arial-5918-Identity-H"/>
          <w:color w:val="14141C"/>
          <w:sz w:val="21"/>
          <w:szCs w:val="21"/>
        </w:rPr>
        <w:t>precisan los datos de identificación del acto de fiscalización, como son el título o</w:t>
      </w:r>
      <w:r>
        <w:rPr>
          <w:rFonts w:ascii="Abadi" w:hAnsi="Abadi" w:cs="*Arial-5918-Identity-H"/>
          <w:color w:val="14141C"/>
          <w:sz w:val="21"/>
          <w:szCs w:val="21"/>
        </w:rPr>
        <w:t xml:space="preserve"> </w:t>
      </w:r>
      <w:r w:rsidRPr="00312C34">
        <w:rPr>
          <w:rFonts w:ascii="Abadi" w:hAnsi="Abadi" w:cs="*Arial-5918-Identity-H"/>
          <w:color w:val="14141C"/>
          <w:sz w:val="21"/>
          <w:szCs w:val="21"/>
        </w:rPr>
        <w:t>enfoque de la auditoría, el sujeto fiscalizado, el periodo de revisión y el programa</w:t>
      </w:r>
      <w:r>
        <w:rPr>
          <w:rFonts w:ascii="Abadi" w:hAnsi="Abadi" w:cs="*Arial-5918-Identity-H"/>
          <w:color w:val="14141C"/>
          <w:sz w:val="21"/>
          <w:szCs w:val="21"/>
        </w:rPr>
        <w:t xml:space="preserve"> </w:t>
      </w:r>
      <w:r w:rsidRPr="00312C34">
        <w:rPr>
          <w:rFonts w:ascii="Abadi" w:hAnsi="Abadi" w:cs="*Arial-5918-Identity-H"/>
          <w:color w:val="14141C"/>
          <w:sz w:val="21"/>
          <w:szCs w:val="21"/>
        </w:rPr>
        <w:t>que se fiscaliza, en función de lo autorizado en el Programa General de</w:t>
      </w:r>
      <w:r>
        <w:rPr>
          <w:rFonts w:ascii="Abadi" w:hAnsi="Abadi" w:cs="*Arial-5918-Identity-H"/>
          <w:color w:val="14141C"/>
          <w:sz w:val="21"/>
          <w:szCs w:val="21"/>
        </w:rPr>
        <w:t xml:space="preserve"> </w:t>
      </w:r>
      <w:r w:rsidRPr="00312C34">
        <w:rPr>
          <w:rFonts w:ascii="Abadi" w:hAnsi="Abadi" w:cs="*Arial-5918-Identity-H"/>
          <w:color w:val="14141C"/>
          <w:sz w:val="21"/>
          <w:szCs w:val="21"/>
        </w:rPr>
        <w:t>Fiscalización respectivo.</w:t>
      </w:r>
    </w:p>
    <w:p w14:paraId="4A09C091" w14:textId="77777777" w:rsidR="00A3693B" w:rsidRPr="00312C34" w:rsidRDefault="00A3693B" w:rsidP="00A3693B">
      <w:pPr>
        <w:autoSpaceDE w:val="0"/>
        <w:autoSpaceDN w:val="0"/>
        <w:adjustRightInd w:val="0"/>
        <w:jc w:val="both"/>
        <w:rPr>
          <w:rFonts w:ascii="Abadi" w:hAnsi="Abadi" w:cs="*Arial-5918-Identity-H"/>
          <w:color w:val="14141C"/>
          <w:sz w:val="21"/>
          <w:szCs w:val="21"/>
        </w:rPr>
      </w:pPr>
    </w:p>
    <w:p w14:paraId="732D4DFE" w14:textId="77777777" w:rsidR="00A3693B" w:rsidRPr="00312C34" w:rsidRDefault="00A3693B" w:rsidP="00A3693B">
      <w:pPr>
        <w:autoSpaceDE w:val="0"/>
        <w:autoSpaceDN w:val="0"/>
        <w:adjustRightInd w:val="0"/>
        <w:ind w:firstLine="708"/>
        <w:jc w:val="both"/>
        <w:rPr>
          <w:rFonts w:ascii="Abadi" w:hAnsi="Abadi" w:cs="*Arial-5918-Identity-H"/>
          <w:color w:val="15131C"/>
          <w:sz w:val="21"/>
          <w:szCs w:val="21"/>
        </w:rPr>
      </w:pPr>
      <w:r w:rsidRPr="00312C34">
        <w:rPr>
          <w:rFonts w:ascii="Abadi" w:hAnsi="Abadi" w:cs="*Arial-5918-Identity-H"/>
          <w:color w:val="15131C"/>
          <w:sz w:val="21"/>
          <w:szCs w:val="21"/>
        </w:rPr>
        <w:t>Por lo que hace a la valoración de la respuesta del sujeto fiscalizado, el</w:t>
      </w:r>
      <w:r>
        <w:rPr>
          <w:rFonts w:ascii="Abadi" w:hAnsi="Abadi" w:cs="*Arial-5918-Identity-H"/>
          <w:color w:val="15131C"/>
          <w:sz w:val="21"/>
          <w:szCs w:val="21"/>
        </w:rPr>
        <w:t xml:space="preserve"> </w:t>
      </w:r>
      <w:r w:rsidRPr="00312C34">
        <w:rPr>
          <w:rFonts w:ascii="Abadi" w:hAnsi="Abadi" w:cs="*Arial-5918-Identity-H"/>
          <w:color w:val="15131C"/>
          <w:sz w:val="21"/>
          <w:szCs w:val="21"/>
        </w:rPr>
        <w:t>Órgano Técnico determinó lo conducente respecto a las recomendaciones</w:t>
      </w:r>
      <w:r>
        <w:rPr>
          <w:rFonts w:ascii="Abadi" w:hAnsi="Abadi" w:cs="*Arial-5918-Identity-H"/>
          <w:color w:val="15131C"/>
          <w:sz w:val="21"/>
          <w:szCs w:val="21"/>
        </w:rPr>
        <w:t xml:space="preserve"> </w:t>
      </w:r>
      <w:r w:rsidRPr="00312C34">
        <w:rPr>
          <w:rFonts w:ascii="Abadi" w:hAnsi="Abadi" w:cs="*Arial-5918-Identity-H"/>
          <w:color w:val="15131C"/>
          <w:sz w:val="21"/>
          <w:szCs w:val="21"/>
        </w:rPr>
        <w:t>emitidas, para lo cual realizó un análisis de la documentación y evidencia</w:t>
      </w:r>
      <w:r>
        <w:rPr>
          <w:rFonts w:ascii="Abadi" w:hAnsi="Abadi" w:cs="*Arial-5918-Identity-H"/>
          <w:color w:val="15131C"/>
          <w:sz w:val="21"/>
          <w:szCs w:val="21"/>
        </w:rPr>
        <w:t xml:space="preserve"> </w:t>
      </w:r>
      <w:r w:rsidRPr="00312C34">
        <w:rPr>
          <w:rFonts w:ascii="Abadi" w:hAnsi="Abadi" w:cs="*Arial-5918-Identity-H"/>
          <w:color w:val="15131C"/>
          <w:sz w:val="21"/>
          <w:szCs w:val="21"/>
        </w:rPr>
        <w:t>proporcionada por el sujeto fiscalizado, a fin de valorar si este efectuó mejoras, si</w:t>
      </w:r>
      <w:r>
        <w:rPr>
          <w:rFonts w:ascii="Abadi" w:hAnsi="Abadi" w:cs="*Arial-5918-Identity-H"/>
          <w:color w:val="15131C"/>
          <w:sz w:val="21"/>
          <w:szCs w:val="21"/>
        </w:rPr>
        <w:t xml:space="preserve"> </w:t>
      </w:r>
      <w:r w:rsidRPr="00312C34">
        <w:rPr>
          <w:rFonts w:ascii="Abadi" w:hAnsi="Abadi" w:cs="*Arial-5918-Identity-H"/>
          <w:color w:val="15131C"/>
          <w:sz w:val="21"/>
          <w:szCs w:val="21"/>
        </w:rPr>
        <w:t>realizará alguna acción o emitió la justificación correspondiente sobre la</w:t>
      </w:r>
      <w:r>
        <w:rPr>
          <w:rFonts w:ascii="Abadi" w:hAnsi="Abadi" w:cs="*Arial-5918-Identity-H"/>
          <w:color w:val="15131C"/>
          <w:sz w:val="21"/>
          <w:szCs w:val="21"/>
        </w:rPr>
        <w:t xml:space="preserve"> </w:t>
      </w:r>
      <w:r w:rsidRPr="00312C34">
        <w:rPr>
          <w:rFonts w:ascii="Abadi" w:hAnsi="Abadi" w:cs="*Arial-5918-Identity-H"/>
          <w:color w:val="15131C"/>
          <w:sz w:val="21"/>
          <w:szCs w:val="21"/>
        </w:rPr>
        <w:t>improcedencia por la cual no resulte factible su implementación o bien, la</w:t>
      </w:r>
      <w:r>
        <w:rPr>
          <w:rFonts w:ascii="Abadi" w:hAnsi="Abadi" w:cs="*Arial-5918-Identity-H"/>
          <w:color w:val="15131C"/>
          <w:sz w:val="21"/>
          <w:szCs w:val="21"/>
        </w:rPr>
        <w:t xml:space="preserve"> </w:t>
      </w:r>
      <w:r w:rsidRPr="00312C34">
        <w:rPr>
          <w:rFonts w:ascii="Abadi" w:hAnsi="Abadi" w:cs="*Arial-5918-Identity-H"/>
          <w:color w:val="15131C"/>
          <w:sz w:val="21"/>
          <w:szCs w:val="21"/>
        </w:rPr>
        <w:t>consideración de medidas alternas que fortalezcan el desempeño de la gestión</w:t>
      </w:r>
      <w:r>
        <w:rPr>
          <w:rFonts w:ascii="Abadi" w:hAnsi="Abadi" w:cs="*Arial-5918-Identity-H"/>
          <w:color w:val="15131C"/>
          <w:sz w:val="21"/>
          <w:szCs w:val="21"/>
        </w:rPr>
        <w:t xml:space="preserve"> </w:t>
      </w:r>
      <w:r w:rsidRPr="00312C34">
        <w:rPr>
          <w:rFonts w:ascii="Abadi" w:hAnsi="Abadi" w:cs="*Arial-5918-Identity-H"/>
          <w:color w:val="15131C"/>
          <w:sz w:val="21"/>
          <w:szCs w:val="21"/>
        </w:rPr>
        <w:t>pública. Asimismo, se señala que las recomendaciones efectuadas al sujeto</w:t>
      </w:r>
      <w:r>
        <w:rPr>
          <w:rFonts w:ascii="Abadi" w:hAnsi="Abadi" w:cs="*Arial-5918-Identity-H"/>
          <w:color w:val="15131C"/>
          <w:sz w:val="21"/>
          <w:szCs w:val="21"/>
        </w:rPr>
        <w:t xml:space="preserve"> </w:t>
      </w:r>
      <w:r w:rsidRPr="00312C34">
        <w:rPr>
          <w:rFonts w:ascii="Abadi" w:hAnsi="Abadi" w:cs="*Arial-5918-Identity-H"/>
          <w:color w:val="15131C"/>
          <w:sz w:val="21"/>
          <w:szCs w:val="21"/>
        </w:rPr>
        <w:t>fiscalizado podrían considerarse como persistentes, cuando no sea posible</w:t>
      </w:r>
      <w:r>
        <w:rPr>
          <w:rFonts w:ascii="Abadi" w:hAnsi="Abadi" w:cs="*Arial-5918-Identity-H"/>
          <w:color w:val="15131C"/>
          <w:sz w:val="21"/>
          <w:szCs w:val="21"/>
        </w:rPr>
        <w:t xml:space="preserve"> valorarlas</w:t>
      </w:r>
      <w:r w:rsidRPr="00312C34">
        <w:rPr>
          <w:rFonts w:ascii="Abadi" w:hAnsi="Abadi" w:cs="*Arial-5918-Identity-H"/>
          <w:color w:val="15131C"/>
          <w:sz w:val="21"/>
          <w:szCs w:val="21"/>
        </w:rPr>
        <w:t xml:space="preserve"> en alguno de los supuestos antes referidos.</w:t>
      </w:r>
    </w:p>
    <w:p w14:paraId="2C1608E1" w14:textId="77777777" w:rsidR="00A3693B" w:rsidRPr="00312C34" w:rsidRDefault="00A3693B" w:rsidP="00A3693B">
      <w:pPr>
        <w:jc w:val="both"/>
        <w:rPr>
          <w:rFonts w:ascii="Abadi" w:hAnsi="Abadi" w:cs="*Arial-5918-Identity-H"/>
          <w:color w:val="15131C"/>
          <w:sz w:val="21"/>
          <w:szCs w:val="21"/>
        </w:rPr>
      </w:pPr>
    </w:p>
    <w:p w14:paraId="645F601A" w14:textId="77777777" w:rsidR="00A3693B" w:rsidRDefault="00A3693B" w:rsidP="00A3693B">
      <w:pPr>
        <w:autoSpaceDE w:val="0"/>
        <w:autoSpaceDN w:val="0"/>
        <w:adjustRightInd w:val="0"/>
        <w:ind w:firstLine="708"/>
        <w:jc w:val="both"/>
        <w:rPr>
          <w:rFonts w:ascii="Abadi" w:hAnsi="Abadi" w:cs="*Arial-5811-Identity-H"/>
          <w:color w:val="14141C"/>
          <w:sz w:val="21"/>
          <w:szCs w:val="21"/>
        </w:rPr>
      </w:pPr>
      <w:r w:rsidRPr="00312C34">
        <w:rPr>
          <w:rFonts w:ascii="Abadi" w:hAnsi="Abadi" w:cs="*Arial-5811-Identity-H"/>
          <w:color w:val="14141C"/>
          <w:sz w:val="21"/>
          <w:szCs w:val="21"/>
        </w:rPr>
        <w:t>Es así, que la valoración realizada por la Auditoría Superior del Estado</w:t>
      </w:r>
      <w:r>
        <w:rPr>
          <w:rFonts w:ascii="Abadi" w:hAnsi="Abadi" w:cs="*Arial-5811-Identity-H"/>
          <w:color w:val="14141C"/>
          <w:sz w:val="21"/>
          <w:szCs w:val="21"/>
        </w:rPr>
        <w:t xml:space="preserve"> </w:t>
      </w:r>
      <w:r w:rsidRPr="00312C34">
        <w:rPr>
          <w:rFonts w:ascii="Abadi" w:hAnsi="Abadi" w:cs="*Arial-5811-Identity-H"/>
          <w:color w:val="14141C"/>
          <w:sz w:val="21"/>
          <w:szCs w:val="21"/>
        </w:rPr>
        <w:t>redunda en las manifestaciones, argumentos, acciones y evidencia presentada en</w:t>
      </w:r>
      <w:r>
        <w:rPr>
          <w:rFonts w:ascii="Abadi" w:hAnsi="Abadi" w:cs="*Arial-5811-Identity-H"/>
          <w:color w:val="14141C"/>
          <w:sz w:val="21"/>
          <w:szCs w:val="21"/>
        </w:rPr>
        <w:t xml:space="preserve"> </w:t>
      </w:r>
      <w:r w:rsidRPr="00312C34">
        <w:rPr>
          <w:rFonts w:ascii="Abadi" w:hAnsi="Abadi" w:cs="*Arial-5811-Identity-H"/>
          <w:color w:val="14141C"/>
          <w:sz w:val="21"/>
          <w:szCs w:val="21"/>
        </w:rPr>
        <w:t>la respuesta al pliego de recomendaciones, para lo cual la evidencia aportada por</w:t>
      </w:r>
      <w:r>
        <w:rPr>
          <w:rFonts w:ascii="Abadi" w:hAnsi="Abadi" w:cs="*Arial-5811-Identity-H"/>
          <w:color w:val="14141C"/>
          <w:sz w:val="21"/>
          <w:szCs w:val="21"/>
        </w:rPr>
        <w:t xml:space="preserve"> </w:t>
      </w:r>
      <w:r w:rsidRPr="00312C34">
        <w:rPr>
          <w:rFonts w:ascii="Abadi" w:hAnsi="Abadi" w:cs="*Arial-5811-Identity-H"/>
          <w:color w:val="14141C"/>
          <w:sz w:val="21"/>
          <w:szCs w:val="21"/>
        </w:rPr>
        <w:t>el sujeto fiscalizado debe ser competente, pertinente, suficiente y relevante.</w:t>
      </w:r>
      <w:r>
        <w:rPr>
          <w:rFonts w:ascii="Abadi" w:hAnsi="Abadi" w:cs="*Arial-5811-Identity-H"/>
          <w:color w:val="14141C"/>
          <w:sz w:val="21"/>
          <w:szCs w:val="21"/>
        </w:rPr>
        <w:t xml:space="preserve"> </w:t>
      </w:r>
    </w:p>
    <w:p w14:paraId="39F6A069" w14:textId="77777777" w:rsidR="00A3693B" w:rsidRDefault="00A3693B" w:rsidP="00A3693B">
      <w:pPr>
        <w:autoSpaceDE w:val="0"/>
        <w:autoSpaceDN w:val="0"/>
        <w:adjustRightInd w:val="0"/>
        <w:jc w:val="both"/>
        <w:rPr>
          <w:rFonts w:ascii="Abadi" w:hAnsi="Abadi" w:cs="*Arial-5811-Identity-H"/>
          <w:color w:val="14141C"/>
          <w:sz w:val="21"/>
          <w:szCs w:val="21"/>
        </w:rPr>
      </w:pPr>
    </w:p>
    <w:p w14:paraId="4574A340" w14:textId="77777777" w:rsidR="00A3693B" w:rsidRDefault="00A3693B" w:rsidP="00A3693B">
      <w:pPr>
        <w:autoSpaceDE w:val="0"/>
        <w:autoSpaceDN w:val="0"/>
        <w:adjustRightInd w:val="0"/>
        <w:ind w:firstLine="708"/>
        <w:jc w:val="both"/>
        <w:rPr>
          <w:rFonts w:ascii="Abadi" w:hAnsi="Abadi" w:cs="*Arial-5811-Identity-H"/>
          <w:color w:val="15141C"/>
          <w:sz w:val="21"/>
          <w:szCs w:val="21"/>
        </w:rPr>
      </w:pPr>
      <w:r w:rsidRPr="00312C34">
        <w:rPr>
          <w:rFonts w:ascii="Abadi" w:hAnsi="Abadi" w:cs="*Arial-5811-Identity-H"/>
          <w:color w:val="15141C"/>
          <w:sz w:val="21"/>
          <w:szCs w:val="21"/>
        </w:rPr>
        <w:t>Respecto al objetivo y alcance de la auditoría se señala que de acuerdo a la</w:t>
      </w:r>
      <w:r>
        <w:rPr>
          <w:rFonts w:ascii="Abadi" w:hAnsi="Abadi" w:cs="*Arial-5811-Identity-H"/>
          <w:color w:val="15141C"/>
          <w:sz w:val="21"/>
          <w:szCs w:val="21"/>
        </w:rPr>
        <w:t xml:space="preserve"> </w:t>
      </w:r>
      <w:r w:rsidRPr="00312C34">
        <w:rPr>
          <w:rFonts w:ascii="Abadi" w:hAnsi="Abadi" w:cs="*Arial-5811-Identity-H"/>
          <w:color w:val="15141C"/>
          <w:sz w:val="21"/>
          <w:szCs w:val="21"/>
        </w:rPr>
        <w:t>Organización Internacional de las Entidades Fiscalizadoras Superiores, para las</w:t>
      </w:r>
      <w:r>
        <w:rPr>
          <w:rFonts w:ascii="Abadi" w:hAnsi="Abadi" w:cs="*Arial-5811-Identity-H"/>
          <w:color w:val="15141C"/>
          <w:sz w:val="21"/>
          <w:szCs w:val="21"/>
        </w:rPr>
        <w:t xml:space="preserve"> </w:t>
      </w:r>
      <w:r w:rsidRPr="00312C34">
        <w:rPr>
          <w:rFonts w:ascii="Abadi" w:hAnsi="Abadi" w:cs="*Arial-5811-Identity-H"/>
          <w:color w:val="15141C"/>
          <w:sz w:val="21"/>
          <w:szCs w:val="21"/>
        </w:rPr>
        <w:t>auditorías de desempeño existen tres enfoques que están orientados a los</w:t>
      </w:r>
      <w:r>
        <w:rPr>
          <w:rFonts w:ascii="Abadi" w:hAnsi="Abadi" w:cs="*Arial-5811-Identity-H"/>
          <w:color w:val="15141C"/>
          <w:sz w:val="21"/>
          <w:szCs w:val="21"/>
        </w:rPr>
        <w:t xml:space="preserve"> </w:t>
      </w:r>
      <w:r w:rsidRPr="00312C34">
        <w:rPr>
          <w:rFonts w:ascii="Abadi" w:hAnsi="Abadi" w:cs="*Arial-5811-Identity-H"/>
          <w:color w:val="15141C"/>
          <w:sz w:val="21"/>
          <w:szCs w:val="21"/>
        </w:rPr>
        <w:t>siguientes aspectos: Al sistema, el cual examina el funcionamiento adecuado de</w:t>
      </w:r>
      <w:r>
        <w:rPr>
          <w:rFonts w:ascii="Abadi" w:hAnsi="Abadi" w:cs="*Arial-5811-Identity-H"/>
          <w:color w:val="15141C"/>
          <w:sz w:val="21"/>
          <w:szCs w:val="21"/>
        </w:rPr>
        <w:t xml:space="preserve"> </w:t>
      </w:r>
      <w:r w:rsidRPr="00312C34">
        <w:rPr>
          <w:rFonts w:ascii="Abadi" w:hAnsi="Abadi" w:cs="*Arial-5811-Identity-H"/>
          <w:color w:val="15141C"/>
          <w:sz w:val="21"/>
          <w:szCs w:val="21"/>
        </w:rPr>
        <w:t>los sistemas de gestión; a los resultados, en el que se evalúa si los objetivos en</w:t>
      </w:r>
      <w:r>
        <w:rPr>
          <w:rFonts w:ascii="Abadi" w:hAnsi="Abadi" w:cs="*Arial-5811-Identity-H"/>
          <w:color w:val="15141C"/>
          <w:sz w:val="21"/>
          <w:szCs w:val="21"/>
        </w:rPr>
        <w:t xml:space="preserve"> </w:t>
      </w:r>
      <w:r w:rsidRPr="00312C34">
        <w:rPr>
          <w:rFonts w:ascii="Abadi" w:hAnsi="Abadi" w:cs="*Arial-5811-Identity-H"/>
          <w:color w:val="15141C"/>
          <w:sz w:val="21"/>
          <w:szCs w:val="21"/>
        </w:rPr>
        <w:t>términos de resultados o productos han sido alcanzados como se deseaba, o si</w:t>
      </w:r>
      <w:r>
        <w:rPr>
          <w:rFonts w:ascii="Abadi" w:hAnsi="Abadi" w:cs="*Arial-5811-Identity-H"/>
          <w:color w:val="15141C"/>
          <w:sz w:val="21"/>
          <w:szCs w:val="21"/>
        </w:rPr>
        <w:t xml:space="preserve"> </w:t>
      </w:r>
      <w:r w:rsidRPr="00312C34">
        <w:rPr>
          <w:rFonts w:ascii="Abadi" w:hAnsi="Abadi" w:cs="*Arial-5811-Identity-H"/>
          <w:color w:val="15141C"/>
          <w:sz w:val="21"/>
          <w:szCs w:val="21"/>
        </w:rPr>
        <w:t>los programas y servicios operan como se esperaba; y al problema, el cual</w:t>
      </w:r>
      <w:r>
        <w:rPr>
          <w:rFonts w:ascii="Abadi" w:hAnsi="Abadi" w:cs="*Arial-5811-Identity-H"/>
          <w:color w:val="15141C"/>
          <w:sz w:val="21"/>
          <w:szCs w:val="21"/>
        </w:rPr>
        <w:t xml:space="preserve"> </w:t>
      </w:r>
      <w:r w:rsidRPr="00312C34">
        <w:rPr>
          <w:rFonts w:ascii="Abadi" w:hAnsi="Abadi" w:cs="*Arial-5811-Identity-H"/>
          <w:color w:val="15141C"/>
          <w:sz w:val="21"/>
          <w:szCs w:val="21"/>
        </w:rPr>
        <w:t>examina, verifica y analiza las causas de los problemas particulares o</w:t>
      </w:r>
      <w:r>
        <w:rPr>
          <w:rFonts w:ascii="Abadi" w:hAnsi="Abadi" w:cs="*Arial-5811-Identity-H"/>
          <w:color w:val="15141C"/>
          <w:sz w:val="21"/>
          <w:szCs w:val="21"/>
        </w:rPr>
        <w:t xml:space="preserve"> </w:t>
      </w:r>
      <w:r w:rsidRPr="00312C34">
        <w:rPr>
          <w:rFonts w:ascii="Abadi" w:hAnsi="Abadi" w:cs="*Arial-5811-Identity-H"/>
          <w:color w:val="15141C"/>
          <w:sz w:val="21"/>
          <w:szCs w:val="21"/>
        </w:rPr>
        <w:t>desviaciones de los criterios establecidos.</w:t>
      </w:r>
    </w:p>
    <w:p w14:paraId="26A7B68D" w14:textId="77777777" w:rsidR="00A3693B" w:rsidRPr="00312C34" w:rsidRDefault="00A3693B" w:rsidP="00A3693B">
      <w:pPr>
        <w:autoSpaceDE w:val="0"/>
        <w:autoSpaceDN w:val="0"/>
        <w:adjustRightInd w:val="0"/>
        <w:jc w:val="both"/>
        <w:rPr>
          <w:rFonts w:ascii="Abadi" w:hAnsi="Abadi" w:cs="*Arial-5811-Identity-H"/>
          <w:color w:val="15141C"/>
          <w:sz w:val="21"/>
          <w:szCs w:val="21"/>
        </w:rPr>
      </w:pPr>
    </w:p>
    <w:p w14:paraId="0B131312" w14:textId="77777777" w:rsidR="00A3693B" w:rsidRDefault="00A3693B" w:rsidP="00A3693B">
      <w:pPr>
        <w:autoSpaceDE w:val="0"/>
        <w:autoSpaceDN w:val="0"/>
        <w:adjustRightInd w:val="0"/>
        <w:ind w:firstLine="708"/>
        <w:jc w:val="both"/>
        <w:rPr>
          <w:rFonts w:ascii="Abadi" w:hAnsi="Abadi" w:cs="*Arial-5811-Identity-H"/>
          <w:color w:val="15131C"/>
          <w:sz w:val="21"/>
          <w:szCs w:val="21"/>
        </w:rPr>
      </w:pPr>
      <w:r w:rsidRPr="00312C34">
        <w:rPr>
          <w:rFonts w:ascii="Abadi" w:hAnsi="Abadi" w:cs="*Arial-5811-Identity-H"/>
          <w:color w:val="15131C"/>
          <w:sz w:val="21"/>
          <w:szCs w:val="21"/>
        </w:rPr>
        <w:t>En las auditorías de desempeño practicadas por la Auditoría Superior del</w:t>
      </w:r>
      <w:r>
        <w:rPr>
          <w:rFonts w:ascii="Abadi" w:hAnsi="Abadi" w:cs="*Arial-5811-Identity-H"/>
          <w:color w:val="15131C"/>
          <w:sz w:val="21"/>
          <w:szCs w:val="21"/>
        </w:rPr>
        <w:t xml:space="preserve"> </w:t>
      </w:r>
      <w:r w:rsidRPr="00312C34">
        <w:rPr>
          <w:rFonts w:ascii="Abadi" w:hAnsi="Abadi" w:cs="*Arial-5811-Identity-H"/>
          <w:color w:val="15131C"/>
          <w:sz w:val="21"/>
          <w:szCs w:val="21"/>
        </w:rPr>
        <w:t>Estado se consideran dichos enfoques, mediante las auditorías de cumplimiento</w:t>
      </w:r>
      <w:r>
        <w:rPr>
          <w:rFonts w:ascii="Abadi" w:hAnsi="Abadi" w:cs="*Arial-5811-Identity-H"/>
          <w:color w:val="15131C"/>
          <w:sz w:val="21"/>
          <w:szCs w:val="21"/>
        </w:rPr>
        <w:t xml:space="preserve"> </w:t>
      </w:r>
      <w:r w:rsidRPr="00312C34">
        <w:rPr>
          <w:rFonts w:ascii="Abadi" w:hAnsi="Abadi" w:cs="*Arial-5811-Identity-H"/>
          <w:color w:val="15131C"/>
          <w:sz w:val="21"/>
          <w:szCs w:val="21"/>
        </w:rPr>
        <w:t>de objetivos o resultados, de diseño y de consistencia y resultados.</w:t>
      </w:r>
    </w:p>
    <w:p w14:paraId="75CF56D4" w14:textId="77777777" w:rsidR="00A3693B" w:rsidRPr="00312C34" w:rsidRDefault="00A3693B" w:rsidP="00A3693B">
      <w:pPr>
        <w:autoSpaceDE w:val="0"/>
        <w:autoSpaceDN w:val="0"/>
        <w:adjustRightInd w:val="0"/>
        <w:jc w:val="both"/>
        <w:rPr>
          <w:rFonts w:ascii="Abadi" w:hAnsi="Abadi" w:cs="*Arial-5811-Identity-H"/>
          <w:color w:val="15131C"/>
          <w:sz w:val="21"/>
          <w:szCs w:val="21"/>
        </w:rPr>
      </w:pPr>
    </w:p>
    <w:p w14:paraId="2E42F32F" w14:textId="77777777" w:rsidR="00A3693B" w:rsidRDefault="00A3693B" w:rsidP="00A3693B">
      <w:pPr>
        <w:autoSpaceDE w:val="0"/>
        <w:autoSpaceDN w:val="0"/>
        <w:adjustRightInd w:val="0"/>
        <w:ind w:firstLine="708"/>
        <w:jc w:val="both"/>
        <w:rPr>
          <w:rFonts w:ascii="Abadi" w:hAnsi="Abadi" w:cs="*Arial-5811-Identity-H"/>
          <w:color w:val="15131C"/>
          <w:sz w:val="21"/>
          <w:szCs w:val="21"/>
        </w:rPr>
      </w:pPr>
      <w:r w:rsidRPr="00312C34">
        <w:rPr>
          <w:rFonts w:ascii="Abadi" w:hAnsi="Abadi" w:cs="*Arial-5811-Identity-H"/>
          <w:color w:val="15131C"/>
          <w:sz w:val="21"/>
          <w:szCs w:val="21"/>
        </w:rPr>
        <w:t>En la auditoría que nos ocupa se aplicó un enfoque de resultados y se</w:t>
      </w:r>
      <w:r>
        <w:rPr>
          <w:rFonts w:ascii="Abadi" w:hAnsi="Abadi" w:cs="*Arial-5811-Identity-H"/>
          <w:color w:val="15131C"/>
          <w:sz w:val="21"/>
          <w:szCs w:val="21"/>
        </w:rPr>
        <w:t xml:space="preserve"> </w:t>
      </w:r>
      <w:r w:rsidRPr="00312C34">
        <w:rPr>
          <w:rFonts w:ascii="Abadi" w:hAnsi="Abadi" w:cs="*Arial-5811-Identity-H"/>
          <w:color w:val="15131C"/>
          <w:sz w:val="21"/>
          <w:szCs w:val="21"/>
        </w:rPr>
        <w:t>incluyó en el Programa General de Fiscalización 2021, considerando diversos</w:t>
      </w:r>
      <w:r>
        <w:rPr>
          <w:rFonts w:ascii="Abadi" w:hAnsi="Abadi" w:cs="*Arial-5811-Identity-H"/>
          <w:color w:val="15131C"/>
          <w:sz w:val="21"/>
          <w:szCs w:val="21"/>
        </w:rPr>
        <w:t xml:space="preserve"> </w:t>
      </w:r>
      <w:r w:rsidRPr="00312C34">
        <w:rPr>
          <w:rFonts w:ascii="Abadi" w:hAnsi="Abadi" w:cs="*Arial-5811-Identity-H"/>
          <w:color w:val="15131C"/>
          <w:sz w:val="21"/>
          <w:szCs w:val="21"/>
        </w:rPr>
        <w:t>criterios metodológicos expuestos en dicho Programa.</w:t>
      </w:r>
    </w:p>
    <w:p w14:paraId="597828C4" w14:textId="77777777" w:rsidR="00A3693B" w:rsidRPr="00312C34" w:rsidRDefault="00A3693B" w:rsidP="00A3693B">
      <w:pPr>
        <w:autoSpaceDE w:val="0"/>
        <w:autoSpaceDN w:val="0"/>
        <w:adjustRightInd w:val="0"/>
        <w:jc w:val="both"/>
        <w:rPr>
          <w:rFonts w:ascii="Abadi" w:hAnsi="Abadi" w:cs="*Arial-5811-Identity-H"/>
          <w:color w:val="15131C"/>
          <w:sz w:val="21"/>
          <w:szCs w:val="21"/>
        </w:rPr>
      </w:pPr>
    </w:p>
    <w:p w14:paraId="71C0C71C" w14:textId="77777777" w:rsidR="00A3693B" w:rsidRDefault="00A3693B" w:rsidP="00A3693B">
      <w:pPr>
        <w:autoSpaceDE w:val="0"/>
        <w:autoSpaceDN w:val="0"/>
        <w:adjustRightInd w:val="0"/>
        <w:ind w:firstLine="708"/>
        <w:jc w:val="both"/>
        <w:rPr>
          <w:rFonts w:ascii="Abadi" w:hAnsi="Abadi" w:cs="*Arial-5811-Identity-H"/>
          <w:color w:val="14131D"/>
          <w:sz w:val="21"/>
          <w:szCs w:val="21"/>
        </w:rPr>
      </w:pPr>
      <w:r w:rsidRPr="00312C34">
        <w:rPr>
          <w:rFonts w:ascii="Abadi" w:hAnsi="Abadi" w:cs="*Arial-5811-Identity-H"/>
          <w:color w:val="14131D"/>
          <w:sz w:val="21"/>
          <w:szCs w:val="21"/>
        </w:rPr>
        <w:t>Dicha auditoría tuvo como objetivo general verificar la capacidad del</w:t>
      </w:r>
      <w:r>
        <w:rPr>
          <w:rFonts w:ascii="Abadi" w:hAnsi="Abadi" w:cs="*Arial-5811-Identity-H"/>
          <w:color w:val="14131D"/>
          <w:sz w:val="21"/>
          <w:szCs w:val="21"/>
        </w:rPr>
        <w:t xml:space="preserve"> </w:t>
      </w:r>
      <w:r w:rsidRPr="00312C34">
        <w:rPr>
          <w:rFonts w:ascii="Abadi" w:hAnsi="Abadi" w:cs="*Arial-5811-Identity-H"/>
          <w:color w:val="14131D"/>
          <w:sz w:val="21"/>
          <w:szCs w:val="21"/>
        </w:rPr>
        <w:t>Municipio para la prestación eficaz del servicio de alumbrado público y la eficiencia</w:t>
      </w:r>
      <w:r>
        <w:rPr>
          <w:rFonts w:ascii="Abadi" w:hAnsi="Abadi" w:cs="*Arial-5811-Identity-H"/>
          <w:color w:val="14131D"/>
          <w:sz w:val="21"/>
          <w:szCs w:val="21"/>
        </w:rPr>
        <w:t xml:space="preserve"> </w:t>
      </w:r>
      <w:r w:rsidRPr="00312C34">
        <w:rPr>
          <w:rFonts w:ascii="Abadi" w:hAnsi="Abadi" w:cs="*Arial-5811-Identity-H"/>
          <w:color w:val="14131D"/>
          <w:sz w:val="21"/>
          <w:szCs w:val="21"/>
        </w:rPr>
        <w:t>en sus funciones de planificación, operación y seguimiento.</w:t>
      </w:r>
      <w:r>
        <w:rPr>
          <w:rFonts w:ascii="Abadi" w:hAnsi="Abadi" w:cs="*Arial-5811-Identity-H"/>
          <w:color w:val="14131D"/>
          <w:sz w:val="21"/>
          <w:szCs w:val="21"/>
        </w:rPr>
        <w:t xml:space="preserve"> </w:t>
      </w:r>
    </w:p>
    <w:p w14:paraId="0BA36A32" w14:textId="77777777" w:rsidR="00A3693B" w:rsidRDefault="00A3693B" w:rsidP="00A3693B">
      <w:pPr>
        <w:autoSpaceDE w:val="0"/>
        <w:autoSpaceDN w:val="0"/>
        <w:adjustRightInd w:val="0"/>
        <w:jc w:val="both"/>
        <w:rPr>
          <w:rFonts w:ascii="Abadi" w:hAnsi="Abadi" w:cs="*Arial-5811-Identity-H"/>
          <w:color w:val="14131D"/>
          <w:sz w:val="21"/>
          <w:szCs w:val="21"/>
        </w:rPr>
      </w:pPr>
    </w:p>
    <w:p w14:paraId="172DBEBB" w14:textId="77777777" w:rsidR="00A3693B" w:rsidRPr="00312C34" w:rsidRDefault="00A3693B" w:rsidP="00A3693B">
      <w:pPr>
        <w:autoSpaceDE w:val="0"/>
        <w:autoSpaceDN w:val="0"/>
        <w:adjustRightInd w:val="0"/>
        <w:ind w:firstLine="708"/>
        <w:jc w:val="both"/>
        <w:rPr>
          <w:rFonts w:ascii="Abadi" w:hAnsi="Abadi" w:cs="*Arial-5811-Identity-H"/>
          <w:color w:val="15131C"/>
          <w:sz w:val="21"/>
          <w:szCs w:val="21"/>
        </w:rPr>
      </w:pPr>
      <w:r w:rsidRPr="00312C34">
        <w:rPr>
          <w:rFonts w:ascii="Abadi" w:hAnsi="Abadi" w:cs="*Arial-5811-Identity-H"/>
          <w:color w:val="15131C"/>
          <w:sz w:val="21"/>
          <w:szCs w:val="21"/>
        </w:rPr>
        <w:t>En cuanto a la temporalidad, el alcance de la auditoría abarcó el periodo</w:t>
      </w:r>
      <w:r>
        <w:rPr>
          <w:rFonts w:ascii="Abadi" w:hAnsi="Abadi" w:cs="*Arial-5811-Identity-H"/>
          <w:color w:val="15131C"/>
          <w:sz w:val="21"/>
          <w:szCs w:val="21"/>
        </w:rPr>
        <w:t xml:space="preserve"> </w:t>
      </w:r>
      <w:r w:rsidRPr="00312C34">
        <w:rPr>
          <w:rFonts w:ascii="Abadi" w:hAnsi="Abadi" w:cs="*Arial-5811-Identity-H"/>
          <w:color w:val="15131C"/>
          <w:sz w:val="21"/>
          <w:szCs w:val="21"/>
        </w:rPr>
        <w:t>comprendido de enero a diciembre del ejercicio fiscal 2020; asimismo, respecto a</w:t>
      </w:r>
      <w:r>
        <w:rPr>
          <w:rFonts w:ascii="Abadi" w:hAnsi="Abadi" w:cs="*Arial-5811-Identity-H"/>
          <w:color w:val="15131C"/>
          <w:sz w:val="21"/>
          <w:szCs w:val="21"/>
        </w:rPr>
        <w:t xml:space="preserve"> </w:t>
      </w:r>
      <w:r w:rsidRPr="00312C34">
        <w:rPr>
          <w:rFonts w:ascii="Abadi" w:hAnsi="Abadi" w:cs="*Arial-5811-Identity-H"/>
          <w:color w:val="15131C"/>
          <w:sz w:val="21"/>
          <w:szCs w:val="21"/>
        </w:rPr>
        <w:t>la profundidad temática se revisó la eficiencia en la gestión de la información que</w:t>
      </w:r>
      <w:r>
        <w:rPr>
          <w:rFonts w:ascii="Abadi" w:hAnsi="Abadi" w:cs="*Arial-5811-Identity-H"/>
          <w:color w:val="15131C"/>
          <w:sz w:val="21"/>
          <w:szCs w:val="21"/>
        </w:rPr>
        <w:t xml:space="preserve"> </w:t>
      </w:r>
      <w:r w:rsidRPr="00312C34">
        <w:rPr>
          <w:rFonts w:ascii="Abadi" w:hAnsi="Abadi" w:cs="*Arial-5811-Identity-H"/>
          <w:color w:val="15131C"/>
          <w:sz w:val="21"/>
          <w:szCs w:val="21"/>
        </w:rPr>
        <w:t>dispone el Municipio para identificar la estimación tanto de la oferta del servicio de</w:t>
      </w:r>
      <w:r>
        <w:rPr>
          <w:rFonts w:ascii="Abadi" w:hAnsi="Abadi" w:cs="*Arial-5811-Identity-H"/>
          <w:color w:val="15131C"/>
          <w:sz w:val="21"/>
          <w:szCs w:val="21"/>
        </w:rPr>
        <w:t xml:space="preserve"> </w:t>
      </w:r>
      <w:r w:rsidRPr="00312C34">
        <w:rPr>
          <w:rFonts w:ascii="Abadi" w:hAnsi="Abadi" w:cs="*Arial-5811-Identity-H"/>
          <w:color w:val="15131C"/>
          <w:sz w:val="21"/>
          <w:szCs w:val="21"/>
        </w:rPr>
        <w:t>alumbrado público como de los recursos necesarios para su implementación;</w:t>
      </w:r>
      <w:r>
        <w:rPr>
          <w:rFonts w:ascii="Abadi" w:hAnsi="Abadi" w:cs="*Arial-5811-Identity-H"/>
          <w:color w:val="15131C"/>
          <w:sz w:val="21"/>
          <w:szCs w:val="21"/>
        </w:rPr>
        <w:t xml:space="preserve"> </w:t>
      </w:r>
      <w:r w:rsidRPr="00312C34">
        <w:rPr>
          <w:rFonts w:ascii="Abadi" w:hAnsi="Abadi" w:cs="*Arial-5811-Identity-H"/>
          <w:color w:val="15131C"/>
          <w:sz w:val="21"/>
          <w:szCs w:val="21"/>
        </w:rPr>
        <w:t>sobre el estado que guarda la organización del Municipio para brindar el servicio</w:t>
      </w:r>
    </w:p>
    <w:p w14:paraId="50FAD91C" w14:textId="77777777" w:rsidR="00A3693B" w:rsidRPr="00312C34" w:rsidRDefault="00A3693B" w:rsidP="00A3693B">
      <w:pPr>
        <w:autoSpaceDE w:val="0"/>
        <w:autoSpaceDN w:val="0"/>
        <w:adjustRightInd w:val="0"/>
        <w:jc w:val="both"/>
        <w:rPr>
          <w:rFonts w:ascii="Abadi" w:hAnsi="Abadi" w:cs="*Arial-5811-Identity-H"/>
          <w:color w:val="15131C"/>
          <w:sz w:val="21"/>
          <w:szCs w:val="21"/>
        </w:rPr>
      </w:pPr>
      <w:r w:rsidRPr="00312C34">
        <w:rPr>
          <w:rFonts w:ascii="Abadi" w:hAnsi="Abadi" w:cs="*Arial-5811-Identity-H"/>
          <w:color w:val="15131C"/>
          <w:sz w:val="21"/>
          <w:szCs w:val="21"/>
        </w:rPr>
        <w:t>de alumbrado público y la gestión de la calidad sobre sus procesos clave; y el uso</w:t>
      </w:r>
      <w:r>
        <w:rPr>
          <w:rFonts w:ascii="Abadi" w:hAnsi="Abadi" w:cs="*Arial-5811-Identity-H"/>
          <w:color w:val="15131C"/>
          <w:sz w:val="21"/>
          <w:szCs w:val="21"/>
        </w:rPr>
        <w:t xml:space="preserve"> </w:t>
      </w:r>
      <w:r w:rsidRPr="00312C34">
        <w:rPr>
          <w:rFonts w:ascii="Abadi" w:hAnsi="Abadi" w:cs="*Arial-5811-Identity-H"/>
          <w:color w:val="15131C"/>
          <w:sz w:val="21"/>
          <w:szCs w:val="21"/>
        </w:rPr>
        <w:t>de herramientas para la planificación operativa y el seguimiento de las actividades</w:t>
      </w:r>
      <w:r>
        <w:rPr>
          <w:rFonts w:ascii="Abadi" w:hAnsi="Abadi" w:cs="*Arial-5811-Identity-H"/>
          <w:color w:val="15131C"/>
          <w:sz w:val="21"/>
          <w:szCs w:val="21"/>
        </w:rPr>
        <w:t xml:space="preserve"> </w:t>
      </w:r>
      <w:r w:rsidRPr="00312C34">
        <w:rPr>
          <w:rFonts w:ascii="Abadi" w:hAnsi="Abadi" w:cs="*Arial-5811-Identity-H"/>
          <w:color w:val="15131C"/>
          <w:sz w:val="21"/>
          <w:szCs w:val="21"/>
        </w:rPr>
        <w:t>vinculadas a la atención de reportes por fallas en el servicio. Así como, la eficacia</w:t>
      </w:r>
      <w:r>
        <w:rPr>
          <w:rFonts w:ascii="Abadi" w:hAnsi="Abadi" w:cs="*Arial-5811-Identity-H"/>
          <w:color w:val="15131C"/>
          <w:sz w:val="21"/>
          <w:szCs w:val="21"/>
        </w:rPr>
        <w:t xml:space="preserve"> </w:t>
      </w:r>
      <w:r w:rsidRPr="00312C34">
        <w:rPr>
          <w:rFonts w:ascii="Abadi" w:hAnsi="Abadi" w:cs="*Arial-5811-Identity-H"/>
          <w:color w:val="15131C"/>
          <w:sz w:val="21"/>
          <w:szCs w:val="21"/>
        </w:rPr>
        <w:t>en los resultados de la capacidad municipal en la prestación del servicio de</w:t>
      </w:r>
      <w:r>
        <w:rPr>
          <w:rFonts w:ascii="Abadi" w:hAnsi="Abadi" w:cs="*Arial-5811-Identity-H"/>
          <w:color w:val="15131C"/>
          <w:sz w:val="21"/>
          <w:szCs w:val="21"/>
        </w:rPr>
        <w:t xml:space="preserve"> </w:t>
      </w:r>
      <w:r w:rsidRPr="00312C34">
        <w:rPr>
          <w:rFonts w:ascii="Abadi" w:hAnsi="Abadi" w:cs="*Arial-5811-Identity-H"/>
          <w:color w:val="15131C"/>
          <w:sz w:val="21"/>
          <w:szCs w:val="21"/>
        </w:rPr>
        <w:t>alumbrado público en el ejercicio 2020 a partir del grado de funcionamiento de las</w:t>
      </w:r>
      <w:r>
        <w:rPr>
          <w:rFonts w:ascii="Abadi" w:hAnsi="Abadi" w:cs="*Arial-5811-Identity-H"/>
          <w:color w:val="15131C"/>
          <w:sz w:val="21"/>
          <w:szCs w:val="21"/>
        </w:rPr>
        <w:t xml:space="preserve"> </w:t>
      </w:r>
      <w:r w:rsidRPr="00312C34">
        <w:rPr>
          <w:rFonts w:ascii="Abadi" w:hAnsi="Abadi" w:cs="*Arial-5811-Identity-H"/>
          <w:color w:val="15131C"/>
          <w:sz w:val="21"/>
          <w:szCs w:val="21"/>
        </w:rPr>
        <w:t>luminarias que lo conforman, la cobertura lograda y la satisfacción ciudadana</w:t>
      </w:r>
    </w:p>
    <w:p w14:paraId="4267E475" w14:textId="77777777" w:rsidR="00A3693B" w:rsidRDefault="00A3693B" w:rsidP="00A3693B">
      <w:pPr>
        <w:autoSpaceDE w:val="0"/>
        <w:autoSpaceDN w:val="0"/>
        <w:adjustRightInd w:val="0"/>
        <w:jc w:val="both"/>
        <w:rPr>
          <w:rFonts w:ascii="Abadi" w:hAnsi="Abadi" w:cs="*Microsoft Sans Serif-7877-Iden"/>
          <w:color w:val="15141C"/>
          <w:sz w:val="21"/>
          <w:szCs w:val="21"/>
        </w:rPr>
      </w:pPr>
      <w:r w:rsidRPr="00312C34">
        <w:rPr>
          <w:rFonts w:ascii="Abadi" w:hAnsi="Abadi" w:cs="*Microsoft Sans Serif-7877-Iden"/>
          <w:color w:val="15141C"/>
          <w:sz w:val="21"/>
          <w:szCs w:val="21"/>
        </w:rPr>
        <w:t>sobre el servicio, y de la relevancia y suficiencia de los mecanismos que permiten</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monitorear el desempeño y los resultados del servicio.</w:t>
      </w:r>
    </w:p>
    <w:p w14:paraId="26B43BD1" w14:textId="77777777" w:rsidR="00A3693B" w:rsidRPr="00312C34" w:rsidRDefault="00A3693B" w:rsidP="00A3693B">
      <w:pPr>
        <w:autoSpaceDE w:val="0"/>
        <w:autoSpaceDN w:val="0"/>
        <w:adjustRightInd w:val="0"/>
        <w:jc w:val="both"/>
        <w:rPr>
          <w:rFonts w:ascii="Abadi" w:hAnsi="Abadi" w:cs="*Microsoft Sans Serif-7877-Iden"/>
          <w:color w:val="15141C"/>
          <w:sz w:val="21"/>
          <w:szCs w:val="21"/>
        </w:rPr>
      </w:pPr>
    </w:p>
    <w:p w14:paraId="6B677633" w14:textId="77777777" w:rsidR="00A3693B" w:rsidRDefault="00A3693B" w:rsidP="00A3693B">
      <w:pPr>
        <w:autoSpaceDE w:val="0"/>
        <w:autoSpaceDN w:val="0"/>
        <w:adjustRightInd w:val="0"/>
        <w:ind w:firstLine="708"/>
        <w:jc w:val="both"/>
        <w:rPr>
          <w:rFonts w:ascii="Abadi" w:hAnsi="Abadi" w:cs="*Microsoft Sans Serif-7877-Iden"/>
          <w:color w:val="15141C"/>
          <w:sz w:val="21"/>
          <w:szCs w:val="21"/>
        </w:rPr>
      </w:pPr>
      <w:r w:rsidRPr="00312C34">
        <w:rPr>
          <w:rFonts w:ascii="Abadi" w:hAnsi="Abadi" w:cs="*Microsoft Sans Serif-7877-Iden"/>
          <w:color w:val="15141C"/>
          <w:sz w:val="21"/>
          <w:szCs w:val="21"/>
        </w:rPr>
        <w:t>Respecto a los antecedentes del proceso de fiscalización, estos ya se</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detallaron en el apartado correspondiente.</w:t>
      </w:r>
    </w:p>
    <w:p w14:paraId="7B2E61FC" w14:textId="77777777" w:rsidR="00A3693B" w:rsidRPr="00312C34" w:rsidRDefault="00A3693B" w:rsidP="00A3693B">
      <w:pPr>
        <w:autoSpaceDE w:val="0"/>
        <w:autoSpaceDN w:val="0"/>
        <w:adjustRightInd w:val="0"/>
        <w:jc w:val="both"/>
        <w:rPr>
          <w:rFonts w:ascii="Abadi" w:hAnsi="Abadi" w:cs="*Microsoft Sans Serif-7877-Iden"/>
          <w:color w:val="15141C"/>
          <w:sz w:val="21"/>
          <w:szCs w:val="21"/>
        </w:rPr>
      </w:pPr>
    </w:p>
    <w:p w14:paraId="3D71EA45" w14:textId="77777777" w:rsidR="00A3693B" w:rsidRDefault="00A3693B" w:rsidP="00A3693B">
      <w:pPr>
        <w:autoSpaceDE w:val="0"/>
        <w:autoSpaceDN w:val="0"/>
        <w:adjustRightInd w:val="0"/>
        <w:ind w:firstLine="708"/>
        <w:jc w:val="both"/>
        <w:rPr>
          <w:rFonts w:ascii="Abadi" w:hAnsi="Abadi" w:cs="*Microsoft Sans Serif-7877-Iden"/>
          <w:color w:val="14141C"/>
          <w:sz w:val="21"/>
          <w:szCs w:val="21"/>
        </w:rPr>
      </w:pPr>
      <w:r w:rsidRPr="00312C34">
        <w:rPr>
          <w:rFonts w:ascii="Abadi" w:hAnsi="Abadi" w:cs="*Microsoft Sans Serif-7877-Iden"/>
          <w:color w:val="14141C"/>
          <w:sz w:val="21"/>
          <w:szCs w:val="21"/>
        </w:rPr>
        <w:t>En cuanto al contexto de la política pública de la materia a auditar, se</w:t>
      </w:r>
      <w:r>
        <w:rPr>
          <w:rFonts w:ascii="Abadi" w:hAnsi="Abadi" w:cs="*Microsoft Sans Serif-7877-Iden"/>
          <w:color w:val="14141C"/>
          <w:sz w:val="21"/>
          <w:szCs w:val="21"/>
        </w:rPr>
        <w:t xml:space="preserve"> </w:t>
      </w:r>
      <w:r w:rsidRPr="00312C34">
        <w:rPr>
          <w:rFonts w:ascii="Abadi" w:hAnsi="Abadi" w:cs="*Microsoft Sans Serif-7877-Iden"/>
          <w:color w:val="14141C"/>
          <w:sz w:val="21"/>
          <w:szCs w:val="21"/>
        </w:rPr>
        <w:t>refiere que el Municipio libre es la base de la división territorial del Estado, de su</w:t>
      </w:r>
      <w:r>
        <w:rPr>
          <w:rFonts w:ascii="Abadi" w:hAnsi="Abadi" w:cs="*Microsoft Sans Serif-7877-Iden"/>
          <w:color w:val="14141C"/>
          <w:sz w:val="21"/>
          <w:szCs w:val="21"/>
        </w:rPr>
        <w:t xml:space="preserve"> </w:t>
      </w:r>
      <w:r w:rsidRPr="00312C34">
        <w:rPr>
          <w:rFonts w:ascii="Abadi" w:hAnsi="Abadi" w:cs="*Microsoft Sans Serif-7877-Iden"/>
          <w:color w:val="14141C"/>
          <w:sz w:val="21"/>
          <w:szCs w:val="21"/>
        </w:rPr>
        <w:t>organización política y administrativa, y como principio de legalidad la autoridad</w:t>
      </w:r>
      <w:r>
        <w:rPr>
          <w:rFonts w:ascii="Abadi" w:hAnsi="Abadi" w:cs="*Microsoft Sans Serif-7877-Iden"/>
          <w:color w:val="14141C"/>
          <w:sz w:val="21"/>
          <w:szCs w:val="21"/>
        </w:rPr>
        <w:t xml:space="preserve"> </w:t>
      </w:r>
      <w:r w:rsidRPr="00312C34">
        <w:rPr>
          <w:rFonts w:ascii="Abadi" w:hAnsi="Abadi" w:cs="*Microsoft Sans Serif-7877-Iden"/>
          <w:color w:val="14141C"/>
          <w:sz w:val="21"/>
          <w:szCs w:val="21"/>
        </w:rPr>
        <w:t>municipal puede hacer únicamente lo que la ley le concede, encontrándose dentro</w:t>
      </w:r>
      <w:r>
        <w:rPr>
          <w:rFonts w:ascii="Abadi" w:hAnsi="Abadi" w:cs="*Microsoft Sans Serif-7877-Iden"/>
          <w:color w:val="14141C"/>
          <w:sz w:val="21"/>
          <w:szCs w:val="21"/>
        </w:rPr>
        <w:t xml:space="preserve"> </w:t>
      </w:r>
      <w:r w:rsidRPr="00312C34">
        <w:rPr>
          <w:rFonts w:ascii="Abadi" w:hAnsi="Abadi" w:cs="*Microsoft Sans Serif-7877-Iden"/>
          <w:color w:val="14141C"/>
          <w:sz w:val="21"/>
          <w:szCs w:val="21"/>
        </w:rPr>
        <w:t>de sus atribuciones la de otorgar los servicios públicos al Municipio.</w:t>
      </w:r>
    </w:p>
    <w:p w14:paraId="56353E4B" w14:textId="77777777" w:rsidR="00A3693B" w:rsidRPr="00312C34" w:rsidRDefault="00A3693B" w:rsidP="00A3693B">
      <w:pPr>
        <w:autoSpaceDE w:val="0"/>
        <w:autoSpaceDN w:val="0"/>
        <w:adjustRightInd w:val="0"/>
        <w:jc w:val="both"/>
        <w:rPr>
          <w:rFonts w:ascii="Abadi" w:hAnsi="Abadi" w:cs="*Microsoft Sans Serif-7877-Iden"/>
          <w:color w:val="14141C"/>
          <w:sz w:val="21"/>
          <w:szCs w:val="21"/>
        </w:rPr>
      </w:pPr>
    </w:p>
    <w:p w14:paraId="53A3AC4B" w14:textId="09A18CE1" w:rsidR="00A3693B" w:rsidRDefault="00A3693B" w:rsidP="00A3693B">
      <w:pPr>
        <w:autoSpaceDE w:val="0"/>
        <w:autoSpaceDN w:val="0"/>
        <w:adjustRightInd w:val="0"/>
        <w:ind w:firstLine="708"/>
        <w:jc w:val="both"/>
        <w:rPr>
          <w:rFonts w:ascii="Abadi" w:hAnsi="Abadi" w:cs="*Times New Roman-Italic-7872-Id"/>
          <w:i/>
          <w:iCs/>
          <w:color w:val="16151C"/>
          <w:sz w:val="21"/>
          <w:szCs w:val="21"/>
        </w:rPr>
      </w:pPr>
      <w:r w:rsidRPr="00312C34">
        <w:rPr>
          <w:rFonts w:ascii="Abadi" w:hAnsi="Abadi" w:cs="*Microsoft Sans Serif-7877-Iden"/>
          <w:color w:val="16151C"/>
          <w:sz w:val="21"/>
          <w:szCs w:val="21"/>
        </w:rPr>
        <w:t xml:space="preserve">También se precisa que el servicio público </w:t>
      </w:r>
      <w:r w:rsidRPr="00312C34">
        <w:rPr>
          <w:rFonts w:ascii="Abadi" w:hAnsi="Abadi" w:cs="*Arial-Italic-7874-Identity-H"/>
          <w:i/>
          <w:iCs/>
          <w:color w:val="16151C"/>
          <w:sz w:val="21"/>
          <w:szCs w:val="21"/>
        </w:rPr>
        <w:t>«es la institución jurídica</w:t>
      </w:r>
      <w:r>
        <w:rPr>
          <w:rFonts w:ascii="Abadi" w:hAnsi="Abadi" w:cs="*Arial-Italic-7874-Identity-H"/>
          <w:i/>
          <w:iCs/>
          <w:color w:val="16151C"/>
          <w:sz w:val="21"/>
          <w:szCs w:val="21"/>
        </w:rPr>
        <w:t xml:space="preserve"> </w:t>
      </w:r>
      <w:r w:rsidRPr="00312C34">
        <w:rPr>
          <w:rFonts w:ascii="Abadi" w:hAnsi="Abadi" w:cs="*Arial-Italic-7874-Identity-H"/>
          <w:i/>
          <w:iCs/>
          <w:color w:val="16151C"/>
          <w:sz w:val="21"/>
          <w:szCs w:val="21"/>
        </w:rPr>
        <w:t>administrativa en la que el titular es el Estado (municipio) y cuya única finalidad</w:t>
      </w:r>
      <w:r>
        <w:rPr>
          <w:rFonts w:ascii="Abadi" w:hAnsi="Abadi" w:cs="*Arial-Italic-7874-Identity-H"/>
          <w:i/>
          <w:iCs/>
          <w:color w:val="16151C"/>
          <w:sz w:val="21"/>
          <w:szCs w:val="21"/>
        </w:rPr>
        <w:t xml:space="preserve"> </w:t>
      </w:r>
      <w:r w:rsidRPr="00312C34">
        <w:rPr>
          <w:rFonts w:ascii="Abadi" w:hAnsi="Abadi" w:cs="*Arial-Italic-7874-Identity-H"/>
          <w:i/>
          <w:iCs/>
          <w:color w:val="16151C"/>
          <w:sz w:val="21"/>
          <w:szCs w:val="21"/>
        </w:rPr>
        <w:t>consiste en satisfacer de manera regular, continua y uniforme necesidades</w:t>
      </w:r>
      <w:r>
        <w:rPr>
          <w:rFonts w:ascii="Abadi" w:hAnsi="Abadi" w:cs="*Arial-Italic-7874-Identity-H"/>
          <w:i/>
          <w:iCs/>
          <w:color w:val="16151C"/>
          <w:sz w:val="21"/>
          <w:szCs w:val="21"/>
        </w:rPr>
        <w:t xml:space="preserve"> públicas</w:t>
      </w:r>
      <w:r w:rsidRPr="00312C34">
        <w:rPr>
          <w:rFonts w:ascii="Abadi" w:hAnsi="Abadi" w:cs="*Arial-Italic-7874-Identity-H"/>
          <w:i/>
          <w:iCs/>
          <w:color w:val="16151C"/>
          <w:sz w:val="21"/>
          <w:szCs w:val="21"/>
        </w:rPr>
        <w:t xml:space="preserve"> de carácter esencial, básico </w:t>
      </w:r>
      <w:r w:rsidRPr="00312C34">
        <w:rPr>
          <w:rFonts w:ascii="Abadi" w:hAnsi="Abadi" w:cs="*Microsoft Sans Serif-7877-Iden"/>
          <w:color w:val="16151C"/>
          <w:sz w:val="21"/>
          <w:szCs w:val="21"/>
        </w:rPr>
        <w:t xml:space="preserve">o </w:t>
      </w:r>
      <w:r w:rsidRPr="00312C34">
        <w:rPr>
          <w:rFonts w:ascii="Abadi" w:hAnsi="Abadi" w:cs="*Arial-Italic-7874-Identity-H"/>
          <w:i/>
          <w:iCs/>
          <w:color w:val="16151C"/>
          <w:sz w:val="21"/>
          <w:szCs w:val="21"/>
        </w:rPr>
        <w:t>fundamental; se concreta a través de las</w:t>
      </w:r>
      <w:r>
        <w:rPr>
          <w:rFonts w:ascii="Abadi" w:hAnsi="Abadi" w:cs="*Arial-Italic-7874-Identity-H"/>
          <w:i/>
          <w:iCs/>
          <w:color w:val="16151C"/>
          <w:sz w:val="21"/>
          <w:szCs w:val="21"/>
        </w:rPr>
        <w:t xml:space="preserve"> </w:t>
      </w:r>
      <w:r w:rsidRPr="00312C34">
        <w:rPr>
          <w:rFonts w:ascii="Abadi" w:hAnsi="Abadi" w:cs="*Arial-Italic-7874-Identity-H"/>
          <w:i/>
          <w:iCs/>
          <w:color w:val="16151C"/>
          <w:sz w:val="21"/>
          <w:szCs w:val="21"/>
        </w:rPr>
        <w:t>prestaciones individualizadas las cuales podrán ser suministradas directamente</w:t>
      </w:r>
      <w:r>
        <w:rPr>
          <w:rFonts w:ascii="Abadi" w:hAnsi="Abadi" w:cs="*Arial-Italic-7874-Identity-H"/>
          <w:i/>
          <w:iCs/>
          <w:color w:val="16151C"/>
          <w:sz w:val="21"/>
          <w:szCs w:val="21"/>
        </w:rPr>
        <w:t xml:space="preserve"> </w:t>
      </w:r>
      <w:r w:rsidRPr="00312C34">
        <w:rPr>
          <w:rFonts w:ascii="Abadi" w:hAnsi="Abadi" w:cs="*Arial-Italic-7874-Identity-H"/>
          <w:i/>
          <w:iCs/>
          <w:color w:val="16151C"/>
          <w:sz w:val="21"/>
          <w:szCs w:val="21"/>
        </w:rPr>
        <w:t xml:space="preserve">por el Estado (municipio) </w:t>
      </w:r>
      <w:r w:rsidRPr="00312C34">
        <w:rPr>
          <w:rFonts w:ascii="Abadi" w:hAnsi="Abadi" w:cs="*Microsoft Sans Serif-7877-Iden"/>
          <w:color w:val="16151C"/>
          <w:sz w:val="21"/>
          <w:szCs w:val="21"/>
        </w:rPr>
        <w:t xml:space="preserve">o </w:t>
      </w:r>
      <w:r w:rsidRPr="00312C34">
        <w:rPr>
          <w:rFonts w:ascii="Abadi" w:hAnsi="Abadi" w:cs="*Arial-Italic-7874-Identity-H"/>
          <w:i/>
          <w:iCs/>
          <w:color w:val="16151C"/>
          <w:sz w:val="21"/>
          <w:szCs w:val="21"/>
        </w:rPr>
        <w:t>por los particulares mediante concesión. Por su</w:t>
      </w:r>
      <w:r>
        <w:rPr>
          <w:rFonts w:ascii="Abadi" w:hAnsi="Abadi" w:cs="*Arial-Italic-7874-Identity-H"/>
          <w:i/>
          <w:iCs/>
          <w:color w:val="16151C"/>
          <w:sz w:val="21"/>
          <w:szCs w:val="21"/>
        </w:rPr>
        <w:t xml:space="preserve"> </w:t>
      </w:r>
      <w:r w:rsidRPr="00312C34">
        <w:rPr>
          <w:rFonts w:ascii="Abadi" w:hAnsi="Abadi" w:cs="*Arial-Italic-7874-Identity-H"/>
          <w:i/>
          <w:iCs/>
          <w:color w:val="16151C"/>
          <w:sz w:val="21"/>
          <w:szCs w:val="21"/>
        </w:rPr>
        <w:t xml:space="preserve">naturaleza, estará sujeta a normas y principios de derecho público». </w:t>
      </w:r>
      <w:r w:rsidR="0063009F">
        <w:rPr>
          <w:rStyle w:val="Refdenotaalpie"/>
          <w:rFonts w:ascii="Abadi" w:hAnsi="Abadi" w:cs="*Arial-Italic-7874-Identity-H"/>
          <w:i/>
          <w:iCs/>
          <w:color w:val="16151C"/>
          <w:sz w:val="21"/>
          <w:szCs w:val="21"/>
        </w:rPr>
        <w:footnoteReference w:id="29"/>
      </w:r>
      <w:r>
        <w:rPr>
          <w:rFonts w:ascii="Abadi" w:hAnsi="Abadi" w:cs="*Times New Roman-Italic-7872-Id"/>
          <w:i/>
          <w:iCs/>
          <w:color w:val="16151C"/>
          <w:sz w:val="21"/>
          <w:szCs w:val="21"/>
        </w:rPr>
        <w:t xml:space="preserve"> </w:t>
      </w:r>
    </w:p>
    <w:p w14:paraId="4915AC69" w14:textId="77777777" w:rsidR="00A3693B" w:rsidRDefault="00A3693B" w:rsidP="00A3693B">
      <w:pPr>
        <w:autoSpaceDE w:val="0"/>
        <w:autoSpaceDN w:val="0"/>
        <w:adjustRightInd w:val="0"/>
        <w:ind w:firstLine="708"/>
        <w:jc w:val="both"/>
        <w:rPr>
          <w:rFonts w:ascii="Abadi" w:hAnsi="Abadi" w:cs="*Times New Roman-Italic-7872-Id"/>
          <w:i/>
          <w:iCs/>
          <w:color w:val="16151C"/>
          <w:sz w:val="21"/>
          <w:szCs w:val="21"/>
        </w:rPr>
      </w:pPr>
    </w:p>
    <w:p w14:paraId="5F8418F3" w14:textId="77777777" w:rsidR="00A3693B" w:rsidRPr="00312C34" w:rsidRDefault="00A3693B" w:rsidP="00A3693B">
      <w:pPr>
        <w:autoSpaceDE w:val="0"/>
        <w:autoSpaceDN w:val="0"/>
        <w:adjustRightInd w:val="0"/>
        <w:ind w:firstLine="708"/>
        <w:jc w:val="both"/>
        <w:rPr>
          <w:rFonts w:ascii="Abadi" w:hAnsi="Abadi" w:cs="*Microsoft Sans Serif-7877-Iden"/>
          <w:color w:val="15141C"/>
          <w:sz w:val="21"/>
          <w:szCs w:val="21"/>
        </w:rPr>
      </w:pPr>
      <w:r w:rsidRPr="00312C34">
        <w:rPr>
          <w:rFonts w:ascii="Abadi" w:hAnsi="Abadi" w:cs="*Microsoft Sans Serif-7877-Iden"/>
          <w:color w:val="15141C"/>
          <w:sz w:val="21"/>
          <w:szCs w:val="21"/>
        </w:rPr>
        <w:t>Por su parte, la Constitución Política de los Estados Unidos Mexicanos</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establece en términos generales en su artículo 115 la base del municipio a través</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de una organización política y administrativa, para lo cual ejercerá funciones</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jurisdiccionales, legislativas y administrativas, contando con personalidad jurídica y</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con facultades para manejar su patrimonio conforme a las leyes de la materia. En</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este sentido, respecto a la prestación de los servicios públicos, el Municipio está</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facultado para expedir reglamentos, circulares y disposiciones administrativas de</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observancia general dentro de su jurisdicción, que organicen la administración</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pública, regulen las materias, procedimiento, funciones y servicios públicos de su</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competencia.</w:t>
      </w:r>
    </w:p>
    <w:p w14:paraId="69BE1630" w14:textId="77777777" w:rsidR="00A3693B" w:rsidRDefault="00A3693B" w:rsidP="00A3693B">
      <w:pPr>
        <w:autoSpaceDE w:val="0"/>
        <w:autoSpaceDN w:val="0"/>
        <w:adjustRightInd w:val="0"/>
        <w:jc w:val="both"/>
        <w:rPr>
          <w:rFonts w:ascii="Abadi" w:hAnsi="Abadi" w:cs="*Microsoft Sans Serif-7877-Iden"/>
          <w:color w:val="15141C"/>
          <w:sz w:val="21"/>
          <w:szCs w:val="21"/>
        </w:rPr>
      </w:pPr>
    </w:p>
    <w:p w14:paraId="3C662F91" w14:textId="77777777" w:rsidR="00A3693B" w:rsidRPr="00312C34" w:rsidRDefault="00A3693B" w:rsidP="00A3693B">
      <w:pPr>
        <w:autoSpaceDE w:val="0"/>
        <w:autoSpaceDN w:val="0"/>
        <w:adjustRightInd w:val="0"/>
        <w:ind w:firstLine="708"/>
        <w:jc w:val="both"/>
        <w:rPr>
          <w:rFonts w:ascii="Abadi" w:hAnsi="Abadi" w:cs="*Microsoft Sans Serif-7877-Iden"/>
          <w:color w:val="15141C"/>
          <w:sz w:val="21"/>
          <w:szCs w:val="21"/>
        </w:rPr>
      </w:pPr>
      <w:r w:rsidRPr="00312C34">
        <w:rPr>
          <w:rFonts w:ascii="Abadi" w:hAnsi="Abadi" w:cs="*Microsoft Sans Serif-7877-Iden"/>
          <w:color w:val="15141C"/>
          <w:sz w:val="21"/>
          <w:szCs w:val="21"/>
        </w:rPr>
        <w:t>De manera específica, el artículo 115 de la Constitución Política de los</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 xml:space="preserve">Estados Unidos Mexicanos, en su fracción </w:t>
      </w:r>
      <w:r>
        <w:rPr>
          <w:rFonts w:ascii="Abadi" w:hAnsi="Abadi" w:cs="*Microsoft Sans Serif-7877-Iden"/>
          <w:color w:val="15141C"/>
          <w:sz w:val="21"/>
          <w:szCs w:val="21"/>
        </w:rPr>
        <w:t>III</w:t>
      </w:r>
      <w:r w:rsidRPr="00312C34">
        <w:rPr>
          <w:rFonts w:ascii="Abadi" w:hAnsi="Abadi" w:cs="*Microsoft Sans Serif-7877-Iden"/>
          <w:color w:val="15141C"/>
          <w:sz w:val="21"/>
          <w:szCs w:val="21"/>
        </w:rPr>
        <w:t xml:space="preserve"> consigna que los municipios tendrán</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a su cargo las funciones y servicios públicos, entre los que señala en el inciso b, el</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alumbrado público. Atribución ratificada en la Constitución Política Local en su</w:t>
      </w:r>
      <w:r>
        <w:rPr>
          <w:rFonts w:ascii="Abadi" w:hAnsi="Abadi" w:cs="*Microsoft Sans Serif-7877-Iden"/>
          <w:color w:val="15141C"/>
          <w:sz w:val="21"/>
          <w:szCs w:val="21"/>
        </w:rPr>
        <w:t xml:space="preserve"> </w:t>
      </w:r>
      <w:r w:rsidRPr="00312C34">
        <w:rPr>
          <w:rFonts w:ascii="Abadi" w:hAnsi="Abadi" w:cs="*Microsoft Sans Serif-7877-Iden"/>
          <w:color w:val="15141C"/>
          <w:sz w:val="21"/>
          <w:szCs w:val="21"/>
        </w:rPr>
        <w:t xml:space="preserve">artículo </w:t>
      </w:r>
      <w:r>
        <w:rPr>
          <w:rFonts w:ascii="Abadi" w:hAnsi="Abadi" w:cs="*Microsoft Sans Serif-7877-Iden"/>
          <w:color w:val="15141C"/>
          <w:sz w:val="21"/>
          <w:szCs w:val="21"/>
        </w:rPr>
        <w:t>117</w:t>
      </w:r>
      <w:r w:rsidRPr="00312C34">
        <w:rPr>
          <w:rFonts w:ascii="Abadi" w:hAnsi="Abadi" w:cs="*Microsoft Sans Serif-7877-Iden"/>
          <w:color w:val="15141C"/>
          <w:sz w:val="21"/>
          <w:szCs w:val="21"/>
        </w:rPr>
        <w:t xml:space="preserve">, fracción </w:t>
      </w:r>
      <w:r>
        <w:rPr>
          <w:rFonts w:ascii="Abadi" w:hAnsi="Abadi" w:cs="*Microsoft Sans Serif-7877-Iden"/>
          <w:color w:val="15141C"/>
          <w:sz w:val="21"/>
          <w:szCs w:val="21"/>
        </w:rPr>
        <w:t>III</w:t>
      </w:r>
      <w:r w:rsidRPr="00312C34">
        <w:rPr>
          <w:rFonts w:ascii="Abadi" w:hAnsi="Abadi" w:cs="*Microsoft Sans Serif-7877-Iden"/>
          <w:color w:val="15141C"/>
          <w:sz w:val="21"/>
          <w:szCs w:val="21"/>
        </w:rPr>
        <w:t>, inciso b.</w:t>
      </w:r>
    </w:p>
    <w:p w14:paraId="373B9861" w14:textId="77777777" w:rsidR="00A3693B" w:rsidRPr="00312C34" w:rsidRDefault="00A3693B" w:rsidP="00A3693B">
      <w:pPr>
        <w:jc w:val="both"/>
        <w:rPr>
          <w:rFonts w:ascii="Abadi" w:hAnsi="Abadi" w:cs="*Microsoft Sans Serif-7877-Iden"/>
          <w:color w:val="15141C"/>
          <w:sz w:val="21"/>
          <w:szCs w:val="21"/>
        </w:rPr>
      </w:pPr>
    </w:p>
    <w:p w14:paraId="04519EC1" w14:textId="77777777" w:rsidR="00A3693B" w:rsidRDefault="00A3693B" w:rsidP="00A3693B">
      <w:pPr>
        <w:autoSpaceDE w:val="0"/>
        <w:autoSpaceDN w:val="0"/>
        <w:adjustRightInd w:val="0"/>
        <w:ind w:firstLine="708"/>
        <w:jc w:val="both"/>
        <w:rPr>
          <w:rFonts w:ascii="Abadi" w:hAnsi="Abadi" w:cs="*Arial-6504-Identity-H"/>
          <w:color w:val="14131B"/>
          <w:sz w:val="21"/>
          <w:szCs w:val="21"/>
        </w:rPr>
      </w:pPr>
      <w:r w:rsidRPr="00312C34">
        <w:rPr>
          <w:rFonts w:ascii="Abadi" w:hAnsi="Abadi" w:cs="*Arial-6504-Identity-H"/>
          <w:color w:val="14131B"/>
          <w:sz w:val="21"/>
          <w:szCs w:val="21"/>
        </w:rPr>
        <w:t>La Ley Orgánica Municipal para el Estado de Guanajuato prevé que el</w:t>
      </w:r>
      <w:r>
        <w:rPr>
          <w:rFonts w:ascii="Abadi" w:hAnsi="Abadi" w:cs="*Arial-6504-Identity-H"/>
          <w:color w:val="14131B"/>
          <w:sz w:val="21"/>
          <w:szCs w:val="21"/>
        </w:rPr>
        <w:t xml:space="preserve"> </w:t>
      </w:r>
      <w:r w:rsidRPr="00312C34">
        <w:rPr>
          <w:rFonts w:ascii="Abadi" w:hAnsi="Abadi" w:cs="*Arial-6504-Identity-H"/>
          <w:color w:val="14131B"/>
          <w:sz w:val="21"/>
          <w:szCs w:val="21"/>
        </w:rPr>
        <w:t>Ayuntamiento deberá otorgar el servicio de alumbrado público a los habitantes del</w:t>
      </w:r>
      <w:r>
        <w:rPr>
          <w:rFonts w:ascii="Abadi" w:hAnsi="Abadi" w:cs="*Arial-6504-Identity-H"/>
          <w:color w:val="14131B"/>
          <w:sz w:val="21"/>
          <w:szCs w:val="21"/>
        </w:rPr>
        <w:t xml:space="preserve"> </w:t>
      </w:r>
      <w:r w:rsidRPr="00312C34">
        <w:rPr>
          <w:rFonts w:ascii="Abadi" w:hAnsi="Abadi" w:cs="*Arial-6504-Identity-H"/>
          <w:color w:val="14131B"/>
          <w:sz w:val="21"/>
          <w:szCs w:val="21"/>
        </w:rPr>
        <w:t>Municipio e instrumentará los mecanismos necesarios para ampliar la cobertura y</w:t>
      </w:r>
      <w:r>
        <w:rPr>
          <w:rFonts w:ascii="Abadi" w:hAnsi="Abadi" w:cs="*Arial-6504-Identity-H"/>
          <w:color w:val="14131B"/>
          <w:sz w:val="21"/>
          <w:szCs w:val="21"/>
        </w:rPr>
        <w:t xml:space="preserve"> </w:t>
      </w:r>
      <w:r w:rsidRPr="00312C34">
        <w:rPr>
          <w:rFonts w:ascii="Abadi" w:hAnsi="Abadi" w:cs="*Arial-6504-Identity-H"/>
          <w:color w:val="14131B"/>
          <w:sz w:val="21"/>
          <w:szCs w:val="21"/>
        </w:rPr>
        <w:t>mejorar la prestación de dicho servicio.</w:t>
      </w:r>
    </w:p>
    <w:p w14:paraId="4A43F99A" w14:textId="77777777" w:rsidR="00A3693B" w:rsidRPr="00312C34" w:rsidRDefault="00A3693B" w:rsidP="00A3693B">
      <w:pPr>
        <w:autoSpaceDE w:val="0"/>
        <w:autoSpaceDN w:val="0"/>
        <w:adjustRightInd w:val="0"/>
        <w:jc w:val="both"/>
        <w:rPr>
          <w:rFonts w:ascii="Abadi" w:hAnsi="Abadi" w:cs="*Arial-6504-Identity-H"/>
          <w:color w:val="14131B"/>
          <w:sz w:val="21"/>
          <w:szCs w:val="21"/>
        </w:rPr>
      </w:pPr>
    </w:p>
    <w:p w14:paraId="2CCB5839" w14:textId="77777777" w:rsidR="00A3693B" w:rsidRPr="00312C34" w:rsidRDefault="00A3693B" w:rsidP="00A3693B">
      <w:pPr>
        <w:autoSpaceDE w:val="0"/>
        <w:autoSpaceDN w:val="0"/>
        <w:adjustRightInd w:val="0"/>
        <w:ind w:firstLine="708"/>
        <w:jc w:val="both"/>
        <w:rPr>
          <w:rFonts w:ascii="Abadi" w:hAnsi="Abadi" w:cs="*Arial-6504-Identity-H"/>
          <w:color w:val="14131C"/>
          <w:sz w:val="21"/>
          <w:szCs w:val="21"/>
        </w:rPr>
      </w:pPr>
      <w:r w:rsidRPr="00312C34">
        <w:rPr>
          <w:rFonts w:ascii="Abadi" w:hAnsi="Abadi" w:cs="*Arial-6504-Identity-H"/>
          <w:color w:val="14131B"/>
          <w:sz w:val="21"/>
          <w:szCs w:val="21"/>
        </w:rPr>
        <w:t xml:space="preserve">El artículo 165 de la citada Ley Orgánica Municipal prevé: </w:t>
      </w:r>
      <w:r w:rsidRPr="00312C34">
        <w:rPr>
          <w:rFonts w:ascii="Abadi" w:hAnsi="Abadi" w:cs="*Arial-Italic-6505-Identity-H"/>
          <w:i/>
          <w:iCs/>
          <w:color w:val="14131B"/>
          <w:sz w:val="21"/>
          <w:szCs w:val="21"/>
        </w:rPr>
        <w:t>«Los</w:t>
      </w:r>
      <w:r>
        <w:rPr>
          <w:rFonts w:ascii="Abadi" w:hAnsi="Abadi" w:cs="*Arial-Italic-6505-Identity-H"/>
          <w:i/>
          <w:iCs/>
          <w:color w:val="14131B"/>
          <w:sz w:val="21"/>
          <w:szCs w:val="21"/>
        </w:rPr>
        <w:t xml:space="preserve"> </w:t>
      </w:r>
      <w:r w:rsidRPr="00312C34">
        <w:rPr>
          <w:rFonts w:ascii="Abadi" w:hAnsi="Abadi" w:cs="*Arial-Italic-6505-Identity-H"/>
          <w:i/>
          <w:iCs/>
          <w:color w:val="14131B"/>
          <w:sz w:val="21"/>
          <w:szCs w:val="21"/>
        </w:rPr>
        <w:t>ayuntamientos prestarán los servicios públicos, en igualdad de condiciones a</w:t>
      </w:r>
      <w:r>
        <w:rPr>
          <w:rFonts w:ascii="Abadi" w:hAnsi="Abadi" w:cs="*Arial-Italic-6505-Identity-H"/>
          <w:i/>
          <w:iCs/>
          <w:color w:val="14131B"/>
          <w:sz w:val="21"/>
          <w:szCs w:val="21"/>
        </w:rPr>
        <w:t xml:space="preserve"> </w:t>
      </w:r>
      <w:r w:rsidRPr="00312C34">
        <w:rPr>
          <w:rFonts w:ascii="Abadi" w:hAnsi="Abadi" w:cs="*Arial-Italic-6505-Identity-H"/>
          <w:i/>
          <w:iCs/>
          <w:color w:val="14131B"/>
          <w:sz w:val="21"/>
          <w:szCs w:val="21"/>
        </w:rPr>
        <w:t>todos los habitantes del municipio, en forma permanente, general, uniforme,</w:t>
      </w:r>
      <w:r>
        <w:rPr>
          <w:rFonts w:ascii="Abadi" w:hAnsi="Abadi" w:cs="*Arial-Italic-6505-Identity-H"/>
          <w:i/>
          <w:iCs/>
          <w:color w:val="14131B"/>
          <w:sz w:val="21"/>
          <w:szCs w:val="21"/>
        </w:rPr>
        <w:t xml:space="preserve"> </w:t>
      </w:r>
      <w:r w:rsidRPr="00312C34">
        <w:rPr>
          <w:rFonts w:ascii="Abadi" w:hAnsi="Abadi" w:cs="*Arial-Italic-6505-Identity-H"/>
          <w:i/>
          <w:iCs/>
          <w:color w:val="14131B"/>
          <w:sz w:val="21"/>
          <w:szCs w:val="21"/>
        </w:rPr>
        <w:t>continua y de acuerdo con el Programa de Gobierno Municipal».</w:t>
      </w:r>
      <w:r>
        <w:rPr>
          <w:rFonts w:ascii="Abadi" w:hAnsi="Abadi" w:cs="*Arial-Italic-6505-Identity-H"/>
          <w:i/>
          <w:iCs/>
          <w:color w:val="14131B"/>
          <w:sz w:val="21"/>
          <w:szCs w:val="21"/>
        </w:rPr>
        <w:t xml:space="preserve"> </w:t>
      </w:r>
      <w:r w:rsidRPr="00312C34">
        <w:rPr>
          <w:rFonts w:ascii="Abadi" w:hAnsi="Abadi" w:cs="*Arial-6504-Identity-H"/>
          <w:color w:val="14131C"/>
          <w:sz w:val="21"/>
          <w:szCs w:val="21"/>
        </w:rPr>
        <w:t xml:space="preserve">En el Capítulo denominado </w:t>
      </w:r>
      <w:r w:rsidRPr="00312C34">
        <w:rPr>
          <w:rFonts w:ascii="Abadi" w:hAnsi="Abadi" w:cs="*Arial-Italic-6505-Identity-H"/>
          <w:i/>
          <w:iCs/>
          <w:color w:val="14131C"/>
          <w:sz w:val="21"/>
          <w:szCs w:val="21"/>
        </w:rPr>
        <w:t xml:space="preserve">«De los Servicios Públicos Municipales» </w:t>
      </w:r>
      <w:r w:rsidRPr="00312C34">
        <w:rPr>
          <w:rFonts w:ascii="Abadi" w:hAnsi="Abadi" w:cs="*Arial-6504-Identity-H"/>
          <w:color w:val="14131C"/>
          <w:sz w:val="21"/>
          <w:szCs w:val="21"/>
        </w:rPr>
        <w:t>se</w:t>
      </w:r>
      <w:r>
        <w:rPr>
          <w:rFonts w:ascii="Abadi" w:hAnsi="Abadi" w:cs="*Arial-6504-Identity-H"/>
          <w:color w:val="14131C"/>
          <w:sz w:val="21"/>
          <w:szCs w:val="21"/>
        </w:rPr>
        <w:t xml:space="preserve"> </w:t>
      </w:r>
      <w:r w:rsidRPr="00312C34">
        <w:rPr>
          <w:rFonts w:ascii="Abadi" w:hAnsi="Abadi" w:cs="*Arial-6504-Identity-H"/>
          <w:color w:val="14131C"/>
          <w:sz w:val="21"/>
          <w:szCs w:val="21"/>
        </w:rPr>
        <w:t>refiere que en el presupuesto de egresos deben preverse los recursos materiales y</w:t>
      </w:r>
      <w:r>
        <w:rPr>
          <w:rFonts w:ascii="Abadi" w:hAnsi="Abadi" w:cs="*Arial-6504-Identity-H"/>
          <w:color w:val="14131C"/>
          <w:sz w:val="21"/>
          <w:szCs w:val="21"/>
        </w:rPr>
        <w:t xml:space="preserve"> </w:t>
      </w:r>
      <w:r w:rsidRPr="00312C34">
        <w:rPr>
          <w:rFonts w:ascii="Abadi" w:hAnsi="Abadi" w:cs="*Arial-6504-Identity-H"/>
          <w:color w:val="14131C"/>
          <w:sz w:val="21"/>
          <w:szCs w:val="21"/>
        </w:rPr>
        <w:t>humanos, necesarios y suficientes, para la prestación eficiente y oportuna de los</w:t>
      </w:r>
      <w:r>
        <w:rPr>
          <w:rFonts w:ascii="Abadi" w:hAnsi="Abadi" w:cs="*Arial-6504-Identity-H"/>
          <w:color w:val="14131C"/>
          <w:sz w:val="21"/>
          <w:szCs w:val="21"/>
        </w:rPr>
        <w:t xml:space="preserve"> </w:t>
      </w:r>
      <w:r w:rsidRPr="00312C34">
        <w:rPr>
          <w:rFonts w:ascii="Abadi" w:hAnsi="Abadi" w:cs="*Arial-6504-Identity-H"/>
          <w:color w:val="14131C"/>
          <w:sz w:val="21"/>
          <w:szCs w:val="21"/>
        </w:rPr>
        <w:t>servicios públicos; asimismo, se consigna la obligatoriedad del Ayuntamiento de</w:t>
      </w:r>
      <w:r>
        <w:rPr>
          <w:rFonts w:ascii="Abadi" w:hAnsi="Abadi" w:cs="*Arial-6504-Identity-H"/>
          <w:color w:val="14131C"/>
          <w:sz w:val="21"/>
          <w:szCs w:val="21"/>
        </w:rPr>
        <w:t xml:space="preserve"> </w:t>
      </w:r>
      <w:r w:rsidRPr="00312C34">
        <w:rPr>
          <w:rFonts w:ascii="Abadi" w:hAnsi="Abadi" w:cs="*Arial-6504-Identity-H"/>
          <w:color w:val="14131C"/>
          <w:sz w:val="21"/>
          <w:szCs w:val="21"/>
        </w:rPr>
        <w:t>otorgar el servicio de alumbrado público, señalando que podrá otorgarlo de</w:t>
      </w:r>
    </w:p>
    <w:p w14:paraId="10043CEE" w14:textId="77777777" w:rsidR="00A3693B" w:rsidRDefault="00A3693B" w:rsidP="00A3693B">
      <w:pPr>
        <w:autoSpaceDE w:val="0"/>
        <w:autoSpaceDN w:val="0"/>
        <w:adjustRightInd w:val="0"/>
        <w:jc w:val="both"/>
        <w:rPr>
          <w:rFonts w:ascii="Abadi" w:hAnsi="Abadi" w:cs="*Arial-6504-Identity-H"/>
          <w:color w:val="14131C"/>
          <w:sz w:val="21"/>
          <w:szCs w:val="21"/>
        </w:rPr>
      </w:pPr>
      <w:r w:rsidRPr="00312C34">
        <w:rPr>
          <w:rFonts w:ascii="Abadi" w:hAnsi="Abadi" w:cs="*Arial-6504-Identity-H"/>
          <w:color w:val="14131C"/>
          <w:sz w:val="21"/>
          <w:szCs w:val="21"/>
        </w:rPr>
        <w:t>manera directa a través de sus propias dependencias, o bien por un medio</w:t>
      </w:r>
      <w:r>
        <w:rPr>
          <w:rFonts w:ascii="Abadi" w:hAnsi="Abadi" w:cs="*Arial-6504-Identity-H"/>
          <w:color w:val="14131C"/>
          <w:sz w:val="21"/>
          <w:szCs w:val="21"/>
        </w:rPr>
        <w:t xml:space="preserve"> </w:t>
      </w:r>
      <w:r w:rsidRPr="00312C34">
        <w:rPr>
          <w:rFonts w:ascii="Abadi" w:hAnsi="Abadi" w:cs="*Arial-6504-Identity-H"/>
          <w:color w:val="14131C"/>
          <w:sz w:val="21"/>
          <w:szCs w:val="21"/>
        </w:rPr>
        <w:t>indirecto.</w:t>
      </w:r>
    </w:p>
    <w:p w14:paraId="0DA22F1C" w14:textId="77777777" w:rsidR="00A3693B" w:rsidRPr="00312C34" w:rsidRDefault="00A3693B" w:rsidP="00A3693B">
      <w:pPr>
        <w:autoSpaceDE w:val="0"/>
        <w:autoSpaceDN w:val="0"/>
        <w:adjustRightInd w:val="0"/>
        <w:jc w:val="both"/>
        <w:rPr>
          <w:rFonts w:ascii="Abadi" w:hAnsi="Abadi" w:cs="*Arial-6504-Identity-H"/>
          <w:color w:val="14131C"/>
          <w:sz w:val="21"/>
          <w:szCs w:val="21"/>
        </w:rPr>
      </w:pPr>
    </w:p>
    <w:p w14:paraId="21F604F0" w14:textId="77777777" w:rsidR="00A3693B" w:rsidRDefault="00A3693B" w:rsidP="00A3693B">
      <w:pPr>
        <w:autoSpaceDE w:val="0"/>
        <w:autoSpaceDN w:val="0"/>
        <w:adjustRightInd w:val="0"/>
        <w:ind w:firstLine="708"/>
        <w:jc w:val="both"/>
        <w:rPr>
          <w:rFonts w:ascii="Abadi" w:hAnsi="Abadi" w:cs="*Arial-6504-Identity-H"/>
          <w:color w:val="14131A"/>
          <w:sz w:val="21"/>
          <w:szCs w:val="21"/>
        </w:rPr>
      </w:pPr>
      <w:r w:rsidRPr="00312C34">
        <w:rPr>
          <w:rFonts w:ascii="Abadi" w:hAnsi="Abadi" w:cs="*Arial-6504-Identity-H"/>
          <w:color w:val="14131A"/>
          <w:sz w:val="21"/>
          <w:szCs w:val="21"/>
        </w:rPr>
        <w:t>Es así que, se desprende la intervención estratégica del Ayuntamiento y de</w:t>
      </w:r>
      <w:r>
        <w:rPr>
          <w:rFonts w:ascii="Abadi" w:hAnsi="Abadi" w:cs="*Arial-6504-Identity-H"/>
          <w:color w:val="14131A"/>
          <w:sz w:val="21"/>
          <w:szCs w:val="21"/>
        </w:rPr>
        <w:t xml:space="preserve"> </w:t>
      </w:r>
      <w:r w:rsidRPr="00312C34">
        <w:rPr>
          <w:rFonts w:ascii="Abadi" w:hAnsi="Abadi" w:cs="*Arial-6504-Identity-H"/>
          <w:color w:val="14131A"/>
          <w:sz w:val="21"/>
          <w:szCs w:val="21"/>
        </w:rPr>
        <w:t>la Dirección de Servicios Municipales para otorgar la prestación del servicio de</w:t>
      </w:r>
      <w:r>
        <w:rPr>
          <w:rFonts w:ascii="Abadi" w:hAnsi="Abadi" w:cs="*Arial-6504-Identity-H"/>
          <w:color w:val="14131A"/>
          <w:sz w:val="21"/>
          <w:szCs w:val="21"/>
        </w:rPr>
        <w:t xml:space="preserve"> </w:t>
      </w:r>
      <w:r w:rsidRPr="00312C34">
        <w:rPr>
          <w:rFonts w:ascii="Abadi" w:hAnsi="Abadi" w:cs="*Arial-6504-Identity-H"/>
          <w:color w:val="14131A"/>
          <w:sz w:val="21"/>
          <w:szCs w:val="21"/>
        </w:rPr>
        <w:t>alumbrado público a los habitantes del Municipio, a través del conocimiento de la</w:t>
      </w:r>
      <w:r>
        <w:rPr>
          <w:rFonts w:ascii="Abadi" w:hAnsi="Abadi" w:cs="*Arial-6504-Identity-H"/>
          <w:color w:val="14131A"/>
          <w:sz w:val="21"/>
          <w:szCs w:val="21"/>
        </w:rPr>
        <w:t xml:space="preserve"> </w:t>
      </w:r>
      <w:r w:rsidRPr="00312C34">
        <w:rPr>
          <w:rFonts w:ascii="Abadi" w:hAnsi="Abadi" w:cs="*Arial-6504-Identity-H"/>
          <w:color w:val="14131A"/>
          <w:sz w:val="21"/>
          <w:szCs w:val="21"/>
        </w:rPr>
        <w:t>situación de oferta del servicio, de su presupuestación, de un marco normativo de</w:t>
      </w:r>
      <w:r>
        <w:rPr>
          <w:rFonts w:ascii="Abadi" w:hAnsi="Abadi" w:cs="*Arial-6504-Identity-H"/>
          <w:color w:val="14131A"/>
          <w:sz w:val="21"/>
          <w:szCs w:val="21"/>
        </w:rPr>
        <w:t xml:space="preserve"> </w:t>
      </w:r>
      <w:r w:rsidRPr="00312C34">
        <w:rPr>
          <w:rFonts w:ascii="Abadi" w:hAnsi="Abadi" w:cs="*Arial-6504-Identity-H"/>
          <w:color w:val="14131A"/>
          <w:sz w:val="21"/>
          <w:szCs w:val="21"/>
        </w:rPr>
        <w:t>operación, de una debida planeación a corto plazo, de la participación ciudadana</w:t>
      </w:r>
      <w:r>
        <w:rPr>
          <w:rFonts w:ascii="Abadi" w:hAnsi="Abadi" w:cs="*Arial-6504-Identity-H"/>
          <w:color w:val="14131A"/>
          <w:sz w:val="21"/>
          <w:szCs w:val="21"/>
        </w:rPr>
        <w:t xml:space="preserve"> </w:t>
      </w:r>
      <w:r w:rsidRPr="00312C34">
        <w:rPr>
          <w:rFonts w:ascii="Abadi" w:hAnsi="Abadi" w:cs="*Arial-6504-Identity-H"/>
          <w:color w:val="14131A"/>
          <w:sz w:val="21"/>
          <w:szCs w:val="21"/>
        </w:rPr>
        <w:t>en el reporte de fallas del servicio, así como de los mecanismos de monitoreo y</w:t>
      </w:r>
      <w:r>
        <w:rPr>
          <w:rFonts w:ascii="Abadi" w:hAnsi="Abadi" w:cs="*Arial-6504-Identity-H"/>
          <w:color w:val="14131A"/>
          <w:sz w:val="21"/>
          <w:szCs w:val="21"/>
        </w:rPr>
        <w:t xml:space="preserve"> </w:t>
      </w:r>
      <w:r w:rsidRPr="00312C34">
        <w:rPr>
          <w:rFonts w:ascii="Abadi" w:hAnsi="Abadi" w:cs="*Arial-6504-Identity-H"/>
          <w:color w:val="14131A"/>
          <w:sz w:val="21"/>
          <w:szCs w:val="21"/>
        </w:rPr>
        <w:t>evaluación para el logro de resultados. Lo anterior, con el objetivo de otorgar un</w:t>
      </w:r>
      <w:r>
        <w:rPr>
          <w:rFonts w:ascii="Abadi" w:hAnsi="Abadi" w:cs="*Arial-6504-Identity-H"/>
          <w:color w:val="14131A"/>
          <w:sz w:val="21"/>
          <w:szCs w:val="21"/>
        </w:rPr>
        <w:t xml:space="preserve"> </w:t>
      </w:r>
      <w:r w:rsidRPr="00312C34">
        <w:rPr>
          <w:rFonts w:ascii="Abadi" w:hAnsi="Abadi" w:cs="*Arial-6504-Identity-H"/>
          <w:color w:val="14131A"/>
          <w:sz w:val="21"/>
          <w:szCs w:val="21"/>
        </w:rPr>
        <w:t>servicio público eficaz en el mantenimiento, cobertura y satisfacción del servicio.</w:t>
      </w:r>
    </w:p>
    <w:p w14:paraId="762834C4" w14:textId="77777777" w:rsidR="00A3693B" w:rsidRPr="00312C34" w:rsidRDefault="00A3693B" w:rsidP="00A3693B">
      <w:pPr>
        <w:autoSpaceDE w:val="0"/>
        <w:autoSpaceDN w:val="0"/>
        <w:adjustRightInd w:val="0"/>
        <w:jc w:val="both"/>
        <w:rPr>
          <w:rFonts w:ascii="Abadi" w:hAnsi="Abadi" w:cs="*Arial-6504-Identity-H"/>
          <w:color w:val="14131A"/>
          <w:sz w:val="21"/>
          <w:szCs w:val="21"/>
        </w:rPr>
      </w:pPr>
    </w:p>
    <w:p w14:paraId="7F7D2B46" w14:textId="77777777" w:rsidR="00A3693B" w:rsidRDefault="00A3693B" w:rsidP="00A3693B">
      <w:pPr>
        <w:autoSpaceDE w:val="0"/>
        <w:autoSpaceDN w:val="0"/>
        <w:adjustRightInd w:val="0"/>
        <w:ind w:firstLine="708"/>
        <w:jc w:val="both"/>
        <w:rPr>
          <w:rFonts w:ascii="Abadi" w:hAnsi="Abadi" w:cs="*Arial-6504-Identity-H"/>
          <w:color w:val="14131C"/>
          <w:sz w:val="21"/>
          <w:szCs w:val="21"/>
        </w:rPr>
      </w:pPr>
      <w:r w:rsidRPr="00312C34">
        <w:rPr>
          <w:rFonts w:ascii="Abadi" w:hAnsi="Abadi" w:cs="*Arial-6504-Identity-H"/>
          <w:color w:val="14131C"/>
          <w:sz w:val="21"/>
          <w:szCs w:val="21"/>
        </w:rPr>
        <w:t>En congruencia con lo antes señalado, se planteó como objetivo general de</w:t>
      </w:r>
      <w:r>
        <w:rPr>
          <w:rFonts w:ascii="Abadi" w:hAnsi="Abadi" w:cs="*Arial-6504-Identity-H"/>
          <w:color w:val="14131C"/>
          <w:sz w:val="21"/>
          <w:szCs w:val="21"/>
        </w:rPr>
        <w:t xml:space="preserve"> </w:t>
      </w:r>
      <w:r w:rsidRPr="00312C34">
        <w:rPr>
          <w:rFonts w:ascii="Abadi" w:hAnsi="Abadi" w:cs="*Arial-6504-Identity-H"/>
          <w:color w:val="14131C"/>
          <w:sz w:val="21"/>
          <w:szCs w:val="21"/>
        </w:rPr>
        <w:t>la auditoría verificar la capacidad del municipio de Apaseo el Alto, Gto., para la</w:t>
      </w:r>
      <w:r>
        <w:rPr>
          <w:rFonts w:ascii="Abadi" w:hAnsi="Abadi" w:cs="*Arial-6504-Identity-H"/>
          <w:color w:val="14131C"/>
          <w:sz w:val="21"/>
          <w:szCs w:val="21"/>
        </w:rPr>
        <w:t xml:space="preserve"> </w:t>
      </w:r>
      <w:r w:rsidRPr="00312C34">
        <w:rPr>
          <w:rFonts w:ascii="Abadi" w:hAnsi="Abadi" w:cs="*Arial-6504-Identity-H"/>
          <w:color w:val="14131C"/>
          <w:sz w:val="21"/>
          <w:szCs w:val="21"/>
        </w:rPr>
        <w:t>prestación eficaz del servicio de alumbrado público y la eficiencia en sus funciones</w:t>
      </w:r>
      <w:r>
        <w:rPr>
          <w:rFonts w:ascii="Abadi" w:hAnsi="Abadi" w:cs="*Arial-6504-Identity-H"/>
          <w:color w:val="14131C"/>
          <w:sz w:val="21"/>
          <w:szCs w:val="21"/>
        </w:rPr>
        <w:t xml:space="preserve"> </w:t>
      </w:r>
      <w:r w:rsidRPr="00312C34">
        <w:rPr>
          <w:rFonts w:ascii="Abadi" w:hAnsi="Abadi" w:cs="*Arial-6504-Identity-H"/>
          <w:color w:val="14131C"/>
          <w:sz w:val="21"/>
          <w:szCs w:val="21"/>
        </w:rPr>
        <w:t>de planificación, operación y seguimiento en el ejercicio 2020.</w:t>
      </w:r>
      <w:r>
        <w:rPr>
          <w:rFonts w:ascii="Abadi" w:hAnsi="Abadi" w:cs="*Arial-6504-Identity-H"/>
          <w:color w:val="14131C"/>
          <w:sz w:val="21"/>
          <w:szCs w:val="21"/>
        </w:rPr>
        <w:t xml:space="preserve"> </w:t>
      </w:r>
    </w:p>
    <w:p w14:paraId="7FF2282B" w14:textId="77777777" w:rsidR="00A3693B" w:rsidRDefault="00A3693B" w:rsidP="00A3693B">
      <w:pPr>
        <w:autoSpaceDE w:val="0"/>
        <w:autoSpaceDN w:val="0"/>
        <w:adjustRightInd w:val="0"/>
        <w:jc w:val="both"/>
        <w:rPr>
          <w:rFonts w:ascii="Abadi" w:hAnsi="Abadi" w:cs="*Arial-6504-Identity-H"/>
          <w:color w:val="14131C"/>
          <w:sz w:val="21"/>
          <w:szCs w:val="21"/>
        </w:rPr>
      </w:pPr>
    </w:p>
    <w:p w14:paraId="07FBF0B0" w14:textId="77777777" w:rsidR="00A3693B" w:rsidRDefault="00A3693B" w:rsidP="00A3693B">
      <w:pPr>
        <w:autoSpaceDE w:val="0"/>
        <w:autoSpaceDN w:val="0"/>
        <w:adjustRightInd w:val="0"/>
        <w:ind w:firstLine="708"/>
        <w:jc w:val="both"/>
        <w:rPr>
          <w:rFonts w:ascii="Abadi" w:hAnsi="Abadi" w:cs="*Arial-4340-Identity-H"/>
          <w:color w:val="15141B"/>
          <w:sz w:val="21"/>
          <w:szCs w:val="21"/>
        </w:rPr>
      </w:pPr>
      <w:r w:rsidRPr="00312C34">
        <w:rPr>
          <w:rFonts w:ascii="Abadi" w:hAnsi="Abadi" w:cs="*Arial-6504-Identity-H"/>
          <w:color w:val="14131B"/>
          <w:sz w:val="21"/>
          <w:szCs w:val="21"/>
        </w:rPr>
        <w:t>En el apartado correspondiente a la unidad responsable de la materia por</w:t>
      </w:r>
      <w:r>
        <w:rPr>
          <w:rFonts w:ascii="Abadi" w:hAnsi="Abadi" w:cs="*Arial-6504-Identity-H"/>
          <w:color w:val="14131B"/>
          <w:sz w:val="21"/>
          <w:szCs w:val="21"/>
        </w:rPr>
        <w:t xml:space="preserve"> </w:t>
      </w:r>
      <w:r w:rsidRPr="00312C34">
        <w:rPr>
          <w:rFonts w:ascii="Abadi" w:hAnsi="Abadi" w:cs="*Arial-6504-Identity-H"/>
          <w:color w:val="14131B"/>
          <w:sz w:val="21"/>
          <w:szCs w:val="21"/>
        </w:rPr>
        <w:t>auditar se refiere que el artículo 124 de la Ley Orgánica Municipal para el Estado</w:t>
      </w:r>
      <w:r>
        <w:rPr>
          <w:rFonts w:ascii="Abadi" w:hAnsi="Abadi" w:cs="*Arial-6504-Identity-H"/>
          <w:color w:val="14131B"/>
          <w:sz w:val="21"/>
          <w:szCs w:val="21"/>
        </w:rPr>
        <w:t xml:space="preserve"> </w:t>
      </w:r>
      <w:r w:rsidRPr="00312C34">
        <w:rPr>
          <w:rFonts w:ascii="Abadi" w:hAnsi="Abadi" w:cs="*Arial-6504-Identity-H"/>
          <w:color w:val="14131B"/>
          <w:sz w:val="21"/>
          <w:szCs w:val="21"/>
        </w:rPr>
        <w:t>de Guanajuato prevé que la dependencia de Servicios Municipales será la</w:t>
      </w:r>
      <w:r>
        <w:rPr>
          <w:rFonts w:ascii="Abadi" w:hAnsi="Abadi" w:cs="*Arial-6504-Identity-H"/>
          <w:color w:val="14131B"/>
          <w:sz w:val="21"/>
          <w:szCs w:val="21"/>
        </w:rPr>
        <w:t xml:space="preserve"> </w:t>
      </w:r>
      <w:r w:rsidRPr="00312C34">
        <w:rPr>
          <w:rFonts w:ascii="Abadi" w:hAnsi="Abadi" w:cs="*Arial-6504-Identity-H"/>
          <w:color w:val="14131B"/>
          <w:sz w:val="21"/>
          <w:szCs w:val="21"/>
        </w:rPr>
        <w:t>encargada de llevar a cabo la prestación del servicio de alumbrado público en el</w:t>
      </w:r>
      <w:r>
        <w:rPr>
          <w:rFonts w:ascii="Abadi" w:hAnsi="Abadi" w:cs="*Arial-6504-Identity-H"/>
          <w:color w:val="14131B"/>
          <w:sz w:val="21"/>
          <w:szCs w:val="21"/>
        </w:rPr>
        <w:t xml:space="preserve"> </w:t>
      </w:r>
      <w:r w:rsidRPr="00312C34">
        <w:rPr>
          <w:rFonts w:ascii="Abadi" w:hAnsi="Abadi" w:cs="*Arial-6504-Identity-H"/>
          <w:color w:val="14131B"/>
          <w:sz w:val="21"/>
          <w:szCs w:val="21"/>
        </w:rPr>
        <w:t>Municipio. Asimismo, los artículos 83 y 83-3 de la citada ley establecen que, el</w:t>
      </w:r>
      <w:r>
        <w:rPr>
          <w:rFonts w:ascii="Abadi" w:hAnsi="Abadi" w:cs="*Arial-6504-Identity-H"/>
          <w:color w:val="14131B"/>
          <w:sz w:val="21"/>
          <w:szCs w:val="21"/>
        </w:rPr>
        <w:t xml:space="preserve"> </w:t>
      </w:r>
      <w:r w:rsidRPr="00312C34">
        <w:rPr>
          <w:rFonts w:ascii="Abadi" w:hAnsi="Abadi" w:cs="*Arial-6504-Identity-H"/>
          <w:color w:val="14131B"/>
          <w:sz w:val="21"/>
          <w:szCs w:val="21"/>
        </w:rPr>
        <w:t>Ayuntamiento contará con una Comisión de Obra y Servicios Públicos, la que</w:t>
      </w:r>
      <w:r>
        <w:rPr>
          <w:rFonts w:ascii="Abadi" w:hAnsi="Abadi" w:cs="*Arial-6504-Identity-H"/>
          <w:color w:val="14131B"/>
          <w:sz w:val="21"/>
          <w:szCs w:val="21"/>
        </w:rPr>
        <w:t xml:space="preserve"> </w:t>
      </w:r>
      <w:r w:rsidRPr="00312C34">
        <w:rPr>
          <w:rFonts w:ascii="Abadi" w:hAnsi="Abadi" w:cs="*Arial-6504-Identity-H"/>
          <w:color w:val="14131B"/>
          <w:sz w:val="21"/>
          <w:szCs w:val="21"/>
        </w:rPr>
        <w:t>tendrá dentro de sus atribuciones la de promover la prestación puntual, oportuna y</w:t>
      </w:r>
      <w:r>
        <w:rPr>
          <w:rFonts w:ascii="Abadi" w:hAnsi="Abadi" w:cs="*Arial-6504-Identity-H"/>
          <w:color w:val="14131B"/>
          <w:sz w:val="21"/>
          <w:szCs w:val="21"/>
        </w:rPr>
        <w:t xml:space="preserve"> eficiente</w:t>
      </w:r>
      <w:r w:rsidRPr="00312C34">
        <w:rPr>
          <w:rFonts w:ascii="Abadi" w:hAnsi="Abadi" w:cs="*Arial-4340-Identity-H"/>
          <w:color w:val="15141B"/>
          <w:sz w:val="21"/>
          <w:szCs w:val="21"/>
        </w:rPr>
        <w:t xml:space="preserve"> de los serv1c1os públicos municipales, de conformidad con las</w:t>
      </w:r>
      <w:r>
        <w:rPr>
          <w:rFonts w:ascii="Abadi" w:hAnsi="Abadi" w:cs="*Arial-4340-Identity-H"/>
          <w:color w:val="15141B"/>
          <w:sz w:val="21"/>
          <w:szCs w:val="21"/>
        </w:rPr>
        <w:t xml:space="preserve"> </w:t>
      </w:r>
      <w:r w:rsidRPr="00312C34">
        <w:rPr>
          <w:rFonts w:ascii="Abadi" w:hAnsi="Abadi" w:cs="*Arial-4340-Identity-H"/>
          <w:color w:val="15141B"/>
          <w:sz w:val="21"/>
          <w:szCs w:val="21"/>
        </w:rPr>
        <w:t>disposiciones aplicables.</w:t>
      </w:r>
    </w:p>
    <w:p w14:paraId="674D352D" w14:textId="77777777" w:rsidR="00A3693B" w:rsidRPr="00312C34" w:rsidRDefault="00A3693B" w:rsidP="00A3693B">
      <w:pPr>
        <w:autoSpaceDE w:val="0"/>
        <w:autoSpaceDN w:val="0"/>
        <w:adjustRightInd w:val="0"/>
        <w:jc w:val="both"/>
        <w:rPr>
          <w:rFonts w:ascii="Abadi" w:hAnsi="Abadi" w:cs="*Arial-4340-Identity-H"/>
          <w:color w:val="15141B"/>
          <w:sz w:val="21"/>
          <w:szCs w:val="21"/>
        </w:rPr>
      </w:pPr>
    </w:p>
    <w:p w14:paraId="17FDE3C1" w14:textId="77777777" w:rsidR="00A3693B" w:rsidRPr="00312C34" w:rsidRDefault="00A3693B" w:rsidP="00A3693B">
      <w:pPr>
        <w:autoSpaceDE w:val="0"/>
        <w:autoSpaceDN w:val="0"/>
        <w:adjustRightInd w:val="0"/>
        <w:ind w:firstLine="708"/>
        <w:jc w:val="both"/>
        <w:rPr>
          <w:rFonts w:ascii="Abadi" w:hAnsi="Abadi" w:cs="*Arial-4340-Identity-H"/>
          <w:color w:val="14131C"/>
          <w:sz w:val="21"/>
          <w:szCs w:val="21"/>
        </w:rPr>
      </w:pPr>
      <w:r w:rsidRPr="00312C34">
        <w:rPr>
          <w:rFonts w:ascii="Abadi" w:hAnsi="Abadi" w:cs="*Arial-4340-Identity-H"/>
          <w:color w:val="14131C"/>
          <w:sz w:val="21"/>
          <w:szCs w:val="21"/>
        </w:rPr>
        <w:t>Es así que, de forma particular, el Reglamento Orgánico de la</w:t>
      </w:r>
      <w:r>
        <w:rPr>
          <w:rFonts w:ascii="Abadi" w:hAnsi="Abadi" w:cs="*Arial-4340-Identity-H"/>
          <w:color w:val="14131C"/>
          <w:sz w:val="21"/>
          <w:szCs w:val="21"/>
        </w:rPr>
        <w:t xml:space="preserve"> </w:t>
      </w:r>
      <w:r w:rsidRPr="00312C34">
        <w:rPr>
          <w:rFonts w:ascii="Abadi" w:hAnsi="Abadi" w:cs="*Arial-4340-Identity-H"/>
          <w:color w:val="14131C"/>
          <w:sz w:val="21"/>
          <w:szCs w:val="21"/>
        </w:rPr>
        <w:t>Administración Pública Municipal de Apaseo el Grande, Gto., establece que la</w:t>
      </w:r>
      <w:r>
        <w:rPr>
          <w:rFonts w:ascii="Abadi" w:hAnsi="Abadi" w:cs="*Arial-4340-Identity-H"/>
          <w:color w:val="14131C"/>
          <w:sz w:val="21"/>
          <w:szCs w:val="21"/>
        </w:rPr>
        <w:t xml:space="preserve"> </w:t>
      </w:r>
      <w:r w:rsidRPr="00312C34">
        <w:rPr>
          <w:rFonts w:ascii="Abadi" w:hAnsi="Abadi" w:cs="*Arial-4340-Identity-H"/>
          <w:color w:val="14131C"/>
          <w:sz w:val="21"/>
          <w:szCs w:val="21"/>
        </w:rPr>
        <w:t>Subdirección de Aseo y Alumbrado Público y Control Canino tiene entre sus</w:t>
      </w:r>
      <w:r>
        <w:rPr>
          <w:rFonts w:ascii="Abadi" w:hAnsi="Abadi" w:cs="*Arial-4340-Identity-H"/>
          <w:color w:val="14131C"/>
          <w:sz w:val="21"/>
          <w:szCs w:val="21"/>
        </w:rPr>
        <w:t xml:space="preserve"> </w:t>
      </w:r>
      <w:r w:rsidRPr="00312C34">
        <w:rPr>
          <w:rFonts w:ascii="Abadi" w:hAnsi="Abadi" w:cs="*Arial-4340-Identity-H"/>
          <w:color w:val="14131C"/>
          <w:sz w:val="21"/>
          <w:szCs w:val="21"/>
        </w:rPr>
        <w:t>atribuciones llevar a cabo el diseño de programas para incrementar la eficiencia y</w:t>
      </w:r>
      <w:r>
        <w:rPr>
          <w:rFonts w:ascii="Abadi" w:hAnsi="Abadi" w:cs="*Arial-4340-Identity-H"/>
          <w:color w:val="14131C"/>
          <w:sz w:val="21"/>
          <w:szCs w:val="21"/>
        </w:rPr>
        <w:t xml:space="preserve">  </w:t>
      </w:r>
      <w:r w:rsidRPr="00312C34">
        <w:rPr>
          <w:rFonts w:ascii="Abadi" w:hAnsi="Abadi" w:cs="*Arial-4340-Identity-H"/>
          <w:color w:val="14131C"/>
          <w:sz w:val="21"/>
          <w:szCs w:val="21"/>
        </w:rPr>
        <w:t>ahorro en el mantenimiento del alumbrado público; la aplicación de mantenimiento</w:t>
      </w:r>
      <w:r>
        <w:rPr>
          <w:rFonts w:ascii="Abadi" w:hAnsi="Abadi" w:cs="*Arial-4340-Identity-H"/>
          <w:color w:val="14131C"/>
          <w:sz w:val="21"/>
          <w:szCs w:val="21"/>
        </w:rPr>
        <w:t xml:space="preserve"> </w:t>
      </w:r>
      <w:r w:rsidRPr="00312C34">
        <w:rPr>
          <w:rFonts w:ascii="Abadi" w:hAnsi="Abadi" w:cs="*Arial-4340-Identity-H"/>
          <w:color w:val="14131C"/>
          <w:sz w:val="21"/>
          <w:szCs w:val="21"/>
        </w:rPr>
        <w:t>preventivo-y correctivo a las luminarias, así como la supervisión y recepción de las</w:t>
      </w:r>
      <w:r>
        <w:rPr>
          <w:rFonts w:ascii="Abadi" w:hAnsi="Abadi" w:cs="*Arial-4340-Identity-H"/>
          <w:color w:val="14131C"/>
          <w:sz w:val="21"/>
          <w:szCs w:val="21"/>
        </w:rPr>
        <w:t xml:space="preserve"> </w:t>
      </w:r>
      <w:r w:rsidRPr="00312C34">
        <w:rPr>
          <w:rFonts w:ascii="Abadi" w:hAnsi="Abadi" w:cs="*Arial-4340-Identity-H"/>
          <w:color w:val="14131C"/>
          <w:sz w:val="21"/>
          <w:szCs w:val="21"/>
        </w:rPr>
        <w:t>obras del alumbrado público que cumplan con las especificaciones y normas</w:t>
      </w:r>
      <w:r>
        <w:rPr>
          <w:rFonts w:ascii="Abadi" w:hAnsi="Abadi" w:cs="*Arial-4340-Identity-H"/>
          <w:color w:val="14131C"/>
          <w:sz w:val="21"/>
          <w:szCs w:val="21"/>
        </w:rPr>
        <w:t xml:space="preserve"> </w:t>
      </w:r>
      <w:r w:rsidRPr="00312C34">
        <w:rPr>
          <w:rFonts w:ascii="Abadi" w:hAnsi="Abadi" w:cs="*Arial-4340-Identity-H"/>
          <w:color w:val="14131C"/>
          <w:sz w:val="21"/>
          <w:szCs w:val="21"/>
        </w:rPr>
        <w:t>técnicas ..</w:t>
      </w:r>
    </w:p>
    <w:p w14:paraId="021725E1" w14:textId="77777777" w:rsidR="00A3693B" w:rsidRDefault="00A3693B" w:rsidP="00A3693B">
      <w:pPr>
        <w:autoSpaceDE w:val="0"/>
        <w:autoSpaceDN w:val="0"/>
        <w:adjustRightInd w:val="0"/>
        <w:jc w:val="both"/>
        <w:rPr>
          <w:rFonts w:ascii="Abadi" w:hAnsi="Abadi" w:cs="*Arial-Bold-4341-Identity-H"/>
          <w:b/>
          <w:bCs/>
          <w:color w:val="14131D"/>
          <w:sz w:val="21"/>
          <w:szCs w:val="21"/>
        </w:rPr>
      </w:pPr>
    </w:p>
    <w:p w14:paraId="4D14D625" w14:textId="77777777" w:rsidR="00A3693B" w:rsidRPr="00312C34" w:rsidRDefault="00A3693B" w:rsidP="00A3693B">
      <w:pPr>
        <w:autoSpaceDE w:val="0"/>
        <w:autoSpaceDN w:val="0"/>
        <w:adjustRightInd w:val="0"/>
        <w:ind w:firstLine="708"/>
        <w:jc w:val="both"/>
        <w:rPr>
          <w:rFonts w:ascii="Abadi" w:hAnsi="Abadi" w:cs="*Arial-Bold-4341-Identity-H"/>
          <w:b/>
          <w:bCs/>
          <w:color w:val="14131D"/>
          <w:sz w:val="21"/>
          <w:szCs w:val="21"/>
        </w:rPr>
      </w:pPr>
      <w:r w:rsidRPr="00312C34">
        <w:rPr>
          <w:rFonts w:ascii="Abadi" w:hAnsi="Abadi" w:cs="*Arial-Bold-4341-Identity-H"/>
          <w:b/>
          <w:bCs/>
          <w:color w:val="14131D"/>
          <w:sz w:val="21"/>
          <w:szCs w:val="21"/>
        </w:rPr>
        <w:t>b) Resultado del proceso de fiscalización.</w:t>
      </w:r>
    </w:p>
    <w:p w14:paraId="33682622" w14:textId="77777777" w:rsidR="00A3693B" w:rsidRDefault="00A3693B" w:rsidP="00A3693B">
      <w:pPr>
        <w:autoSpaceDE w:val="0"/>
        <w:autoSpaceDN w:val="0"/>
        <w:adjustRightInd w:val="0"/>
        <w:jc w:val="both"/>
        <w:rPr>
          <w:rFonts w:ascii="Abadi" w:hAnsi="Abadi" w:cs="*Arial-4340-Identity-H"/>
          <w:color w:val="14131C"/>
          <w:sz w:val="21"/>
          <w:szCs w:val="21"/>
        </w:rPr>
      </w:pPr>
    </w:p>
    <w:p w14:paraId="3D8BA4EB" w14:textId="77777777" w:rsidR="00A3693B" w:rsidRPr="00312C34" w:rsidRDefault="00A3693B" w:rsidP="00A3693B">
      <w:pPr>
        <w:autoSpaceDE w:val="0"/>
        <w:autoSpaceDN w:val="0"/>
        <w:adjustRightInd w:val="0"/>
        <w:ind w:firstLine="708"/>
        <w:jc w:val="both"/>
        <w:rPr>
          <w:rFonts w:ascii="Abadi" w:hAnsi="Abadi" w:cs="*Arial-4340-Identity-H"/>
          <w:color w:val="14131C"/>
          <w:sz w:val="21"/>
          <w:szCs w:val="21"/>
        </w:rPr>
      </w:pPr>
      <w:r w:rsidRPr="00312C34">
        <w:rPr>
          <w:rFonts w:ascii="Abadi" w:hAnsi="Abadi" w:cs="*Arial-4340-Identity-H"/>
          <w:color w:val="14131C"/>
          <w:sz w:val="21"/>
          <w:szCs w:val="21"/>
        </w:rPr>
        <w:t>En esta parte se señala que los objetivos específicos se desarrollaron en la</w:t>
      </w:r>
      <w:r>
        <w:rPr>
          <w:rFonts w:ascii="Abadi" w:hAnsi="Abadi" w:cs="*Arial-4340-Identity-H"/>
          <w:color w:val="14131C"/>
          <w:sz w:val="21"/>
          <w:szCs w:val="21"/>
        </w:rPr>
        <w:t xml:space="preserve"> </w:t>
      </w:r>
      <w:r w:rsidRPr="00312C34">
        <w:rPr>
          <w:rFonts w:ascii="Abadi" w:hAnsi="Abadi" w:cs="*Arial-4340-Identity-H"/>
          <w:color w:val="14131C"/>
          <w:sz w:val="21"/>
          <w:szCs w:val="21"/>
        </w:rPr>
        <w:t>auditoría en siete procedimientos, con los siguientes resultados:</w:t>
      </w:r>
    </w:p>
    <w:p w14:paraId="3142988C" w14:textId="77777777" w:rsidR="00A3693B" w:rsidRDefault="00A3693B" w:rsidP="00A3693B">
      <w:pPr>
        <w:autoSpaceDE w:val="0"/>
        <w:autoSpaceDN w:val="0"/>
        <w:adjustRightInd w:val="0"/>
        <w:jc w:val="both"/>
        <w:rPr>
          <w:rFonts w:ascii="Abadi" w:hAnsi="Abadi" w:cs="*Arial-Bold-4341-Identity-H"/>
          <w:b/>
          <w:bCs/>
          <w:color w:val="15141E"/>
          <w:sz w:val="21"/>
          <w:szCs w:val="21"/>
        </w:rPr>
      </w:pPr>
    </w:p>
    <w:p w14:paraId="62E31025" w14:textId="77777777" w:rsidR="00A3693B" w:rsidRPr="00312C34" w:rsidRDefault="00A3693B" w:rsidP="00A3693B">
      <w:pPr>
        <w:autoSpaceDE w:val="0"/>
        <w:autoSpaceDN w:val="0"/>
        <w:adjustRightInd w:val="0"/>
        <w:jc w:val="both"/>
        <w:rPr>
          <w:rFonts w:ascii="Abadi" w:hAnsi="Abadi" w:cs="*Arial-Bold-4341-Identity-H"/>
          <w:b/>
          <w:bCs/>
          <w:color w:val="15141E"/>
          <w:sz w:val="21"/>
          <w:szCs w:val="21"/>
        </w:rPr>
      </w:pPr>
      <w:r w:rsidRPr="00312C34">
        <w:rPr>
          <w:rFonts w:ascii="Abadi" w:hAnsi="Abadi" w:cs="*Arial-Bold-4341-Identity-H"/>
          <w:b/>
          <w:bCs/>
          <w:color w:val="15141E"/>
          <w:sz w:val="21"/>
          <w:szCs w:val="21"/>
        </w:rPr>
        <w:t>Eficiencia:</w:t>
      </w:r>
    </w:p>
    <w:p w14:paraId="3BEF3AC0" w14:textId="77777777" w:rsidR="00A3693B" w:rsidRPr="00312C34" w:rsidRDefault="00A3693B" w:rsidP="00A3693B">
      <w:pPr>
        <w:autoSpaceDE w:val="0"/>
        <w:autoSpaceDN w:val="0"/>
        <w:adjustRightInd w:val="0"/>
        <w:ind w:left="567"/>
        <w:jc w:val="both"/>
        <w:rPr>
          <w:rFonts w:ascii="Abadi" w:hAnsi="Abadi" w:cs="*Arial-4340-Identity-H"/>
          <w:color w:val="14131C"/>
          <w:sz w:val="21"/>
          <w:szCs w:val="21"/>
        </w:rPr>
      </w:pPr>
      <w:r w:rsidRPr="00124548">
        <w:rPr>
          <w:rFonts w:ascii="Abadi" w:hAnsi="Abadi" w:cs="*Arial-4340-Identity-H"/>
          <w:b/>
          <w:bCs/>
          <w:color w:val="14131C"/>
          <w:sz w:val="21"/>
          <w:szCs w:val="21"/>
        </w:rPr>
        <w:t>1.</w:t>
      </w:r>
      <w:r w:rsidRPr="00312C34">
        <w:rPr>
          <w:rFonts w:ascii="Abadi" w:hAnsi="Abadi" w:cs="*Arial-4340-Identity-H"/>
          <w:color w:val="14131C"/>
          <w:sz w:val="21"/>
          <w:szCs w:val="21"/>
        </w:rPr>
        <w:t xml:space="preserve"> Oferta del servicio de alumbrado público.</w:t>
      </w:r>
    </w:p>
    <w:p w14:paraId="63ADB363" w14:textId="77777777" w:rsidR="00A3693B" w:rsidRPr="00312C34" w:rsidRDefault="00A3693B" w:rsidP="00A3693B">
      <w:pPr>
        <w:autoSpaceDE w:val="0"/>
        <w:autoSpaceDN w:val="0"/>
        <w:adjustRightInd w:val="0"/>
        <w:ind w:left="567"/>
        <w:jc w:val="both"/>
        <w:rPr>
          <w:rFonts w:ascii="Abadi" w:hAnsi="Abadi" w:cs="*Arial-4340-Identity-H"/>
          <w:color w:val="15141B"/>
          <w:sz w:val="21"/>
          <w:szCs w:val="21"/>
        </w:rPr>
      </w:pPr>
      <w:r w:rsidRPr="00312C34">
        <w:rPr>
          <w:rFonts w:ascii="Abadi" w:hAnsi="Abadi" w:cs="*Arial-Bold-4341-Identity-H"/>
          <w:b/>
          <w:bCs/>
          <w:color w:val="15141B"/>
          <w:sz w:val="21"/>
          <w:szCs w:val="21"/>
        </w:rPr>
        <w:t xml:space="preserve">2. </w:t>
      </w:r>
      <w:r w:rsidRPr="00312C34">
        <w:rPr>
          <w:rFonts w:ascii="Abadi" w:hAnsi="Abadi" w:cs="*Arial-4340-Identity-H"/>
          <w:color w:val="15141B"/>
          <w:sz w:val="21"/>
          <w:szCs w:val="21"/>
        </w:rPr>
        <w:t>Presupuestación del servicio.</w:t>
      </w:r>
    </w:p>
    <w:p w14:paraId="19C7BC6D" w14:textId="77777777" w:rsidR="00A3693B" w:rsidRPr="00312C34" w:rsidRDefault="00A3693B" w:rsidP="00A3693B">
      <w:pPr>
        <w:autoSpaceDE w:val="0"/>
        <w:autoSpaceDN w:val="0"/>
        <w:adjustRightInd w:val="0"/>
        <w:ind w:left="567"/>
        <w:jc w:val="both"/>
        <w:rPr>
          <w:rFonts w:ascii="Abadi" w:hAnsi="Abadi" w:cs="*Arial-4340-Identity-H"/>
          <w:color w:val="14131B"/>
          <w:sz w:val="21"/>
          <w:szCs w:val="21"/>
        </w:rPr>
      </w:pPr>
      <w:r w:rsidRPr="00312C34">
        <w:rPr>
          <w:rFonts w:ascii="Abadi" w:hAnsi="Abadi" w:cs="*Arial-Bold-4341-Identity-H"/>
          <w:b/>
          <w:bCs/>
          <w:color w:val="14131B"/>
          <w:sz w:val="21"/>
          <w:szCs w:val="21"/>
        </w:rPr>
        <w:t xml:space="preserve">3. </w:t>
      </w:r>
      <w:r w:rsidRPr="00312C34">
        <w:rPr>
          <w:rFonts w:ascii="Abadi" w:hAnsi="Abadi" w:cs="*Arial-4340-Identity-H"/>
          <w:color w:val="14131B"/>
          <w:sz w:val="21"/>
          <w:szCs w:val="21"/>
        </w:rPr>
        <w:t>Marco normativo para la prestación del servicio.</w:t>
      </w:r>
    </w:p>
    <w:p w14:paraId="1E9464D0" w14:textId="77777777" w:rsidR="00A3693B" w:rsidRPr="00312C34" w:rsidRDefault="00A3693B" w:rsidP="00A3693B">
      <w:pPr>
        <w:autoSpaceDE w:val="0"/>
        <w:autoSpaceDN w:val="0"/>
        <w:adjustRightInd w:val="0"/>
        <w:ind w:left="567"/>
        <w:jc w:val="both"/>
        <w:rPr>
          <w:rFonts w:ascii="Abadi" w:hAnsi="Abadi" w:cs="*Arial-4340-Identity-H"/>
          <w:color w:val="14141C"/>
          <w:sz w:val="21"/>
          <w:szCs w:val="21"/>
        </w:rPr>
      </w:pPr>
      <w:r w:rsidRPr="00312C34">
        <w:rPr>
          <w:rFonts w:ascii="Abadi" w:hAnsi="Abadi" w:cs="*Arial-Bold-4341-Identity-H"/>
          <w:b/>
          <w:bCs/>
          <w:color w:val="14141C"/>
          <w:sz w:val="21"/>
          <w:szCs w:val="21"/>
        </w:rPr>
        <w:t xml:space="preserve">4. </w:t>
      </w:r>
      <w:r w:rsidRPr="00312C34">
        <w:rPr>
          <w:rFonts w:ascii="Abadi" w:hAnsi="Abadi" w:cs="*Arial-4340-Identity-H"/>
          <w:color w:val="14141C"/>
          <w:sz w:val="21"/>
          <w:szCs w:val="21"/>
        </w:rPr>
        <w:t>Planeación del servicio de alumbrado público en el coito plazo.</w:t>
      </w:r>
    </w:p>
    <w:p w14:paraId="3DEC306B" w14:textId="77777777" w:rsidR="00A3693B" w:rsidRPr="00312C34" w:rsidRDefault="00A3693B" w:rsidP="00A3693B">
      <w:pPr>
        <w:autoSpaceDE w:val="0"/>
        <w:autoSpaceDN w:val="0"/>
        <w:adjustRightInd w:val="0"/>
        <w:ind w:left="567"/>
        <w:jc w:val="both"/>
        <w:rPr>
          <w:rFonts w:ascii="Abadi" w:hAnsi="Abadi" w:cs="*Arial-4340-Identity-H"/>
          <w:color w:val="14141B"/>
          <w:sz w:val="21"/>
          <w:szCs w:val="21"/>
        </w:rPr>
      </w:pPr>
      <w:r w:rsidRPr="00312C34">
        <w:rPr>
          <w:rFonts w:ascii="Abadi" w:hAnsi="Abadi" w:cs="*Arial-Bold-4341-Identity-H"/>
          <w:b/>
          <w:bCs/>
          <w:color w:val="14141B"/>
          <w:sz w:val="21"/>
          <w:szCs w:val="21"/>
        </w:rPr>
        <w:t xml:space="preserve">5. </w:t>
      </w:r>
      <w:r w:rsidRPr="00312C34">
        <w:rPr>
          <w:rFonts w:ascii="Abadi" w:hAnsi="Abadi" w:cs="*Arial-4340-Identity-H"/>
          <w:color w:val="14141B"/>
          <w:sz w:val="21"/>
          <w:szCs w:val="21"/>
        </w:rPr>
        <w:t>Participación ciudadana en el reporte de fallas del servicio.</w:t>
      </w:r>
    </w:p>
    <w:p w14:paraId="290A3CD5" w14:textId="77777777" w:rsidR="00A3693B" w:rsidRDefault="00A3693B" w:rsidP="00A3693B">
      <w:pPr>
        <w:autoSpaceDE w:val="0"/>
        <w:autoSpaceDN w:val="0"/>
        <w:adjustRightInd w:val="0"/>
        <w:jc w:val="both"/>
        <w:rPr>
          <w:rFonts w:ascii="Abadi" w:hAnsi="Abadi" w:cs="*Arial-Bold-4341-Identity-H"/>
          <w:b/>
          <w:bCs/>
          <w:color w:val="14131D"/>
          <w:sz w:val="21"/>
          <w:szCs w:val="21"/>
        </w:rPr>
      </w:pPr>
    </w:p>
    <w:p w14:paraId="08CC878E" w14:textId="77777777" w:rsidR="00A3693B" w:rsidRDefault="00A3693B" w:rsidP="00A3693B">
      <w:pPr>
        <w:autoSpaceDE w:val="0"/>
        <w:autoSpaceDN w:val="0"/>
        <w:adjustRightInd w:val="0"/>
        <w:jc w:val="both"/>
        <w:rPr>
          <w:rFonts w:ascii="Abadi" w:hAnsi="Abadi" w:cs="*Arial-Bold-4341-Identity-H"/>
          <w:b/>
          <w:bCs/>
          <w:color w:val="14131D"/>
          <w:sz w:val="21"/>
          <w:szCs w:val="21"/>
        </w:rPr>
      </w:pPr>
      <w:r w:rsidRPr="00312C34">
        <w:rPr>
          <w:rFonts w:ascii="Abadi" w:hAnsi="Abadi" w:cs="*Arial-Bold-4341-Identity-H"/>
          <w:b/>
          <w:bCs/>
          <w:color w:val="14131D"/>
          <w:sz w:val="21"/>
          <w:szCs w:val="21"/>
        </w:rPr>
        <w:t>Eficacia:</w:t>
      </w:r>
    </w:p>
    <w:p w14:paraId="297913B3" w14:textId="77777777" w:rsidR="00A3693B" w:rsidRPr="00312C34" w:rsidRDefault="00A3693B" w:rsidP="00A3693B">
      <w:pPr>
        <w:autoSpaceDE w:val="0"/>
        <w:autoSpaceDN w:val="0"/>
        <w:adjustRightInd w:val="0"/>
        <w:jc w:val="both"/>
        <w:rPr>
          <w:rFonts w:ascii="Abadi" w:hAnsi="Abadi" w:cs="*Arial-Bold-4341-Identity-H"/>
          <w:b/>
          <w:bCs/>
          <w:color w:val="14131D"/>
          <w:sz w:val="21"/>
          <w:szCs w:val="21"/>
        </w:rPr>
      </w:pPr>
    </w:p>
    <w:p w14:paraId="24F58DF3" w14:textId="77777777" w:rsidR="00A3693B" w:rsidRPr="00312C34" w:rsidRDefault="00A3693B" w:rsidP="00A3693B">
      <w:pPr>
        <w:autoSpaceDE w:val="0"/>
        <w:autoSpaceDN w:val="0"/>
        <w:adjustRightInd w:val="0"/>
        <w:ind w:left="567"/>
        <w:jc w:val="both"/>
        <w:rPr>
          <w:rFonts w:ascii="Abadi" w:hAnsi="Abadi" w:cs="*Arial-4340-Identity-H"/>
          <w:color w:val="14131C"/>
          <w:sz w:val="21"/>
          <w:szCs w:val="21"/>
        </w:rPr>
      </w:pPr>
      <w:r w:rsidRPr="000D01B7">
        <w:rPr>
          <w:rFonts w:ascii="Abadi" w:hAnsi="Abadi" w:cs="*Arial-4340-Identity-H"/>
          <w:b/>
          <w:bCs/>
          <w:color w:val="14131C"/>
          <w:sz w:val="21"/>
          <w:szCs w:val="21"/>
        </w:rPr>
        <w:t>6.</w:t>
      </w:r>
      <w:r w:rsidRPr="00312C34">
        <w:rPr>
          <w:rFonts w:ascii="Abadi" w:hAnsi="Abadi" w:cs="*Arial-4340-Identity-H"/>
          <w:color w:val="14131C"/>
          <w:sz w:val="21"/>
          <w:szCs w:val="21"/>
        </w:rPr>
        <w:t xml:space="preserve"> Eficacia del servicio de alumbrado público.</w:t>
      </w:r>
    </w:p>
    <w:p w14:paraId="7B536789" w14:textId="77777777" w:rsidR="00A3693B" w:rsidRDefault="00A3693B" w:rsidP="00A3693B">
      <w:pPr>
        <w:autoSpaceDE w:val="0"/>
        <w:autoSpaceDN w:val="0"/>
        <w:adjustRightInd w:val="0"/>
        <w:ind w:left="567"/>
        <w:jc w:val="both"/>
        <w:rPr>
          <w:rFonts w:ascii="Abadi" w:hAnsi="Abadi" w:cs="*Arial-4340-Identity-H"/>
          <w:color w:val="14131D"/>
          <w:sz w:val="21"/>
          <w:szCs w:val="21"/>
        </w:rPr>
      </w:pPr>
      <w:r w:rsidRPr="000D01B7">
        <w:rPr>
          <w:rFonts w:ascii="Abadi" w:hAnsi="Abadi" w:cs="*Arial-4340-Identity-H"/>
          <w:b/>
          <w:bCs/>
          <w:color w:val="14131D"/>
          <w:sz w:val="21"/>
          <w:szCs w:val="21"/>
        </w:rPr>
        <w:t>7.</w:t>
      </w:r>
      <w:r w:rsidRPr="00312C34">
        <w:rPr>
          <w:rFonts w:ascii="Abadi" w:hAnsi="Abadi" w:cs="*Arial-4340-Identity-H"/>
          <w:color w:val="14131D"/>
          <w:sz w:val="21"/>
          <w:szCs w:val="21"/>
        </w:rPr>
        <w:t xml:space="preserve"> Monitoreo y evaluación de resultados.</w:t>
      </w:r>
    </w:p>
    <w:p w14:paraId="49B7DED1" w14:textId="77777777" w:rsidR="00A3693B" w:rsidRPr="00312C34" w:rsidRDefault="00A3693B" w:rsidP="00A3693B">
      <w:pPr>
        <w:autoSpaceDE w:val="0"/>
        <w:autoSpaceDN w:val="0"/>
        <w:adjustRightInd w:val="0"/>
        <w:jc w:val="both"/>
        <w:rPr>
          <w:rFonts w:ascii="Abadi" w:hAnsi="Abadi" w:cs="*Arial-4340-Identity-H"/>
          <w:color w:val="14131D"/>
          <w:sz w:val="21"/>
          <w:szCs w:val="21"/>
        </w:rPr>
      </w:pPr>
    </w:p>
    <w:p w14:paraId="2DEBCF12" w14:textId="77777777" w:rsidR="00A3693B" w:rsidRPr="00312C34" w:rsidRDefault="00A3693B" w:rsidP="00A3693B">
      <w:pPr>
        <w:autoSpaceDE w:val="0"/>
        <w:autoSpaceDN w:val="0"/>
        <w:adjustRightInd w:val="0"/>
        <w:ind w:firstLine="708"/>
        <w:jc w:val="both"/>
        <w:rPr>
          <w:rFonts w:ascii="Abadi" w:hAnsi="Abadi" w:cs="*Arial-4340-Identity-H"/>
          <w:color w:val="14131C"/>
          <w:sz w:val="21"/>
          <w:szCs w:val="21"/>
        </w:rPr>
      </w:pPr>
      <w:r w:rsidRPr="00312C34">
        <w:rPr>
          <w:rFonts w:ascii="Abadi" w:hAnsi="Abadi" w:cs="*Arial-4340-Identity-H"/>
          <w:color w:val="14131C"/>
          <w:sz w:val="21"/>
          <w:szCs w:val="21"/>
        </w:rPr>
        <w:t>Es así, que se presentan los resultados de la auditoría realizada,</w:t>
      </w:r>
      <w:r>
        <w:rPr>
          <w:rFonts w:ascii="Abadi" w:hAnsi="Abadi" w:cs="*Arial-4340-Identity-H"/>
          <w:color w:val="14131C"/>
          <w:sz w:val="21"/>
          <w:szCs w:val="21"/>
        </w:rPr>
        <w:t xml:space="preserve"> </w:t>
      </w:r>
      <w:r w:rsidRPr="00312C34">
        <w:rPr>
          <w:rFonts w:ascii="Abadi" w:hAnsi="Abadi" w:cs="*Arial-4340-Identity-H"/>
          <w:color w:val="14131C"/>
          <w:sz w:val="21"/>
          <w:szCs w:val="21"/>
        </w:rPr>
        <w:t>estableciendo las recomendaciones formuladas al sujeto fiscalizado, plasmando</w:t>
      </w:r>
      <w:r>
        <w:rPr>
          <w:rFonts w:ascii="Abadi" w:hAnsi="Abadi" w:cs="*Arial-4340-Identity-H"/>
          <w:color w:val="14131C"/>
          <w:sz w:val="21"/>
          <w:szCs w:val="21"/>
        </w:rPr>
        <w:t xml:space="preserve"> </w:t>
      </w:r>
      <w:r w:rsidRPr="00312C34">
        <w:rPr>
          <w:rFonts w:ascii="Abadi" w:hAnsi="Abadi" w:cs="*Arial-4340-Identity-H"/>
          <w:color w:val="14131C"/>
          <w:sz w:val="21"/>
          <w:szCs w:val="21"/>
        </w:rPr>
        <w:t>en cada una las acciones preventivas y correctivas que se deben llevar a cabo</w:t>
      </w:r>
      <w:r>
        <w:rPr>
          <w:rFonts w:ascii="Abadi" w:hAnsi="Abadi" w:cs="*Arial-4340-Identity-H"/>
          <w:color w:val="14131C"/>
          <w:sz w:val="21"/>
          <w:szCs w:val="21"/>
        </w:rPr>
        <w:t xml:space="preserve"> </w:t>
      </w:r>
      <w:r w:rsidRPr="00312C34">
        <w:rPr>
          <w:rFonts w:ascii="Abadi" w:hAnsi="Abadi" w:cs="*Arial-4340-Identity-H"/>
          <w:color w:val="14131C"/>
          <w:sz w:val="21"/>
          <w:szCs w:val="21"/>
        </w:rPr>
        <w:t>para subsanar las situaciones detectadas durante el proceso de auditoría.</w:t>
      </w:r>
    </w:p>
    <w:p w14:paraId="4A73A288" w14:textId="77777777" w:rsidR="00A3693B" w:rsidRPr="00312C34" w:rsidRDefault="00A3693B" w:rsidP="00A3693B">
      <w:pPr>
        <w:jc w:val="both"/>
        <w:rPr>
          <w:rFonts w:ascii="Abadi" w:hAnsi="Abadi" w:cs="*Arial-4340-Identity-H"/>
          <w:color w:val="14131C"/>
          <w:sz w:val="21"/>
          <w:szCs w:val="21"/>
        </w:rPr>
      </w:pPr>
    </w:p>
    <w:p w14:paraId="512F0FB3" w14:textId="77777777" w:rsidR="00A3693B" w:rsidRDefault="00A3693B" w:rsidP="00A3693B">
      <w:pPr>
        <w:autoSpaceDE w:val="0"/>
        <w:autoSpaceDN w:val="0"/>
        <w:adjustRightInd w:val="0"/>
        <w:ind w:firstLine="708"/>
        <w:jc w:val="both"/>
        <w:rPr>
          <w:rFonts w:ascii="Abadi" w:hAnsi="Abadi" w:cs="*Arial-5921-Identity-H"/>
          <w:color w:val="14131C"/>
          <w:sz w:val="21"/>
          <w:szCs w:val="21"/>
        </w:rPr>
      </w:pPr>
      <w:r w:rsidRPr="00312C34">
        <w:rPr>
          <w:rFonts w:ascii="Abadi" w:hAnsi="Abadi" w:cs="*Arial-5921-Identity-H"/>
          <w:color w:val="14131C"/>
          <w:sz w:val="21"/>
          <w:szCs w:val="21"/>
        </w:rPr>
        <w:t>Derivado de lo anterior, se formulan los resultados y recomendaciones</w:t>
      </w:r>
      <w:r>
        <w:rPr>
          <w:rFonts w:ascii="Abadi" w:hAnsi="Abadi" w:cs="*Arial-5921-Identity-H"/>
          <w:color w:val="14131C"/>
          <w:sz w:val="21"/>
          <w:szCs w:val="21"/>
        </w:rPr>
        <w:t xml:space="preserve"> </w:t>
      </w:r>
      <w:r w:rsidRPr="00312C34">
        <w:rPr>
          <w:rFonts w:ascii="Abadi" w:hAnsi="Abadi" w:cs="*Arial-5921-Identity-H"/>
          <w:color w:val="14131C"/>
          <w:sz w:val="21"/>
          <w:szCs w:val="21"/>
        </w:rPr>
        <w:t xml:space="preserve">contenidos en los rubros de </w:t>
      </w:r>
      <w:r>
        <w:rPr>
          <w:rFonts w:ascii="Abadi" w:hAnsi="Abadi" w:cs="*Arial-5921-Identity-H"/>
          <w:color w:val="14131C"/>
          <w:sz w:val="21"/>
          <w:szCs w:val="21"/>
        </w:rPr>
        <w:t>Ef</w:t>
      </w:r>
      <w:r w:rsidRPr="00312C34">
        <w:rPr>
          <w:rFonts w:ascii="Abadi" w:hAnsi="Abadi" w:cs="*Arial-5921-Identity-H"/>
          <w:color w:val="14131C"/>
          <w:sz w:val="21"/>
          <w:szCs w:val="21"/>
        </w:rPr>
        <w:t>iciencia y Eficacia.</w:t>
      </w:r>
    </w:p>
    <w:p w14:paraId="157A2D22" w14:textId="77777777" w:rsidR="00A3693B" w:rsidRPr="00312C34" w:rsidRDefault="00A3693B" w:rsidP="00A3693B">
      <w:pPr>
        <w:autoSpaceDE w:val="0"/>
        <w:autoSpaceDN w:val="0"/>
        <w:adjustRightInd w:val="0"/>
        <w:jc w:val="both"/>
        <w:rPr>
          <w:rFonts w:ascii="Abadi" w:hAnsi="Abadi" w:cs="*Arial-5921-Identity-H"/>
          <w:color w:val="14131C"/>
          <w:sz w:val="21"/>
          <w:szCs w:val="21"/>
        </w:rPr>
      </w:pPr>
    </w:p>
    <w:p w14:paraId="0B22226F" w14:textId="77777777" w:rsidR="00A3693B" w:rsidRPr="00312C34" w:rsidRDefault="00A3693B" w:rsidP="00A3693B">
      <w:pPr>
        <w:autoSpaceDE w:val="0"/>
        <w:autoSpaceDN w:val="0"/>
        <w:adjustRightInd w:val="0"/>
        <w:ind w:firstLine="708"/>
        <w:jc w:val="both"/>
        <w:rPr>
          <w:rFonts w:ascii="Abadi" w:hAnsi="Abadi" w:cs="*Arial-5921-Identity-H"/>
          <w:color w:val="14131C"/>
          <w:sz w:val="21"/>
          <w:szCs w:val="21"/>
        </w:rPr>
      </w:pPr>
      <w:r w:rsidRPr="00312C34">
        <w:rPr>
          <w:rFonts w:ascii="Abadi" w:hAnsi="Abadi" w:cs="*Arial-5921-Identity-H"/>
          <w:color w:val="14131C"/>
          <w:sz w:val="21"/>
          <w:szCs w:val="21"/>
        </w:rPr>
        <w:t>En tal sentido, en el rubro de Eficiencia, se formularon las recomendaciones</w:t>
      </w:r>
      <w:r>
        <w:rPr>
          <w:rFonts w:ascii="Abadi" w:hAnsi="Abadi" w:cs="*Arial-5921-Identity-H"/>
          <w:color w:val="14131C"/>
          <w:sz w:val="21"/>
          <w:szCs w:val="21"/>
        </w:rPr>
        <w:t xml:space="preserve"> </w:t>
      </w:r>
      <w:r w:rsidRPr="00312C34">
        <w:rPr>
          <w:rFonts w:ascii="Abadi" w:hAnsi="Abadi" w:cs="*Arial-5921-Identity-H"/>
          <w:color w:val="14131C"/>
          <w:sz w:val="21"/>
          <w:szCs w:val="21"/>
        </w:rPr>
        <w:t>plasmadas en los puntos 01 y 02 del resultado número 01, referente a oferta del</w:t>
      </w:r>
      <w:r>
        <w:rPr>
          <w:rFonts w:ascii="Abadi" w:hAnsi="Abadi" w:cs="*Arial-5921-Identity-H"/>
          <w:color w:val="14131C"/>
          <w:sz w:val="21"/>
          <w:szCs w:val="21"/>
        </w:rPr>
        <w:t xml:space="preserve"> </w:t>
      </w:r>
      <w:r w:rsidRPr="00312C34">
        <w:rPr>
          <w:rFonts w:ascii="Abadi" w:hAnsi="Abadi" w:cs="*Arial-5921-Identity-H"/>
          <w:color w:val="14131C"/>
          <w:sz w:val="21"/>
          <w:szCs w:val="21"/>
        </w:rPr>
        <w:t>servicio de alumbrado público; 03 del resultado número 02, correspondiente a</w:t>
      </w:r>
      <w:r>
        <w:rPr>
          <w:rFonts w:ascii="Abadi" w:hAnsi="Abadi" w:cs="*Arial-5921-Identity-H"/>
          <w:color w:val="14131C"/>
          <w:sz w:val="21"/>
          <w:szCs w:val="21"/>
        </w:rPr>
        <w:t xml:space="preserve"> </w:t>
      </w:r>
      <w:r w:rsidRPr="00312C34">
        <w:rPr>
          <w:rFonts w:ascii="Abadi" w:hAnsi="Abadi" w:cs="*Arial-5921-Identity-H"/>
          <w:color w:val="14131C"/>
          <w:sz w:val="21"/>
          <w:szCs w:val="21"/>
        </w:rPr>
        <w:t>presupuestación del servicio; 04 y 05 del resultado número 3, relativo a marco</w:t>
      </w:r>
      <w:r>
        <w:rPr>
          <w:rFonts w:ascii="Abadi" w:hAnsi="Abadi" w:cs="*Arial-5921-Identity-H"/>
          <w:color w:val="14131C"/>
          <w:sz w:val="21"/>
          <w:szCs w:val="21"/>
        </w:rPr>
        <w:t xml:space="preserve"> </w:t>
      </w:r>
      <w:r w:rsidRPr="00312C34">
        <w:rPr>
          <w:rFonts w:ascii="Abadi" w:hAnsi="Abadi" w:cs="*Arial-5921-Identity-H"/>
          <w:color w:val="14131C"/>
          <w:sz w:val="21"/>
          <w:szCs w:val="21"/>
        </w:rPr>
        <w:t>normativo para la prestación del servicio; 06 del resultado número 04, referido a</w:t>
      </w:r>
      <w:r>
        <w:rPr>
          <w:rFonts w:ascii="Abadi" w:hAnsi="Abadi" w:cs="*Arial-5921-Identity-H"/>
          <w:color w:val="14131C"/>
          <w:sz w:val="21"/>
          <w:szCs w:val="21"/>
        </w:rPr>
        <w:t xml:space="preserve"> </w:t>
      </w:r>
      <w:r w:rsidRPr="00312C34">
        <w:rPr>
          <w:rFonts w:ascii="Abadi" w:hAnsi="Abadi" w:cs="*Arial-5921-Identity-H"/>
          <w:color w:val="14131C"/>
          <w:sz w:val="21"/>
          <w:szCs w:val="21"/>
        </w:rPr>
        <w:t>planeación del servicio de alumbrado público en el corto plazo; y 07 del resultado</w:t>
      </w:r>
      <w:r>
        <w:rPr>
          <w:rFonts w:ascii="Abadi" w:hAnsi="Abadi" w:cs="*Arial-5921-Identity-H"/>
          <w:color w:val="14131C"/>
          <w:sz w:val="21"/>
          <w:szCs w:val="21"/>
        </w:rPr>
        <w:t xml:space="preserve"> </w:t>
      </w:r>
      <w:r w:rsidRPr="00312C34">
        <w:rPr>
          <w:rFonts w:ascii="Abadi" w:hAnsi="Abadi" w:cs="*Arial-5921-Identity-H"/>
          <w:color w:val="14131C"/>
          <w:sz w:val="21"/>
          <w:szCs w:val="21"/>
        </w:rPr>
        <w:t>número 05, referente a participación ciudadana en el reporte de fallas del servicio.</w:t>
      </w:r>
    </w:p>
    <w:p w14:paraId="378FAED4" w14:textId="77777777" w:rsidR="00A3693B" w:rsidRDefault="00A3693B" w:rsidP="00A3693B">
      <w:pPr>
        <w:autoSpaceDE w:val="0"/>
        <w:autoSpaceDN w:val="0"/>
        <w:adjustRightInd w:val="0"/>
        <w:jc w:val="both"/>
        <w:rPr>
          <w:rFonts w:ascii="Abadi" w:hAnsi="Abadi" w:cs="*Arial-5921-Identity-H"/>
          <w:color w:val="14131C"/>
          <w:sz w:val="21"/>
          <w:szCs w:val="21"/>
        </w:rPr>
      </w:pPr>
    </w:p>
    <w:p w14:paraId="1E32BED4" w14:textId="77777777" w:rsidR="00A3693B" w:rsidRDefault="00A3693B" w:rsidP="00A3693B">
      <w:pPr>
        <w:autoSpaceDE w:val="0"/>
        <w:autoSpaceDN w:val="0"/>
        <w:adjustRightInd w:val="0"/>
        <w:ind w:firstLine="708"/>
        <w:jc w:val="both"/>
        <w:rPr>
          <w:rFonts w:ascii="Abadi" w:hAnsi="Abadi" w:cs="*Arial-5921-Identity-H"/>
          <w:color w:val="14131C"/>
          <w:sz w:val="21"/>
          <w:szCs w:val="21"/>
        </w:rPr>
      </w:pPr>
      <w:r w:rsidRPr="00312C34">
        <w:rPr>
          <w:rFonts w:ascii="Abadi" w:hAnsi="Abadi" w:cs="*Arial-5921-Identity-H"/>
          <w:color w:val="14131C"/>
          <w:sz w:val="21"/>
          <w:szCs w:val="21"/>
        </w:rPr>
        <w:t>En el apartado de Eficacia, se formularon las recomendaciones consignadas en</w:t>
      </w:r>
      <w:r>
        <w:rPr>
          <w:rFonts w:ascii="Abadi" w:hAnsi="Abadi" w:cs="*Arial-5921-Identity-H"/>
          <w:color w:val="14131C"/>
          <w:sz w:val="21"/>
          <w:szCs w:val="21"/>
        </w:rPr>
        <w:t xml:space="preserve"> </w:t>
      </w:r>
      <w:r w:rsidRPr="00312C34">
        <w:rPr>
          <w:rFonts w:ascii="Abadi" w:hAnsi="Abadi" w:cs="*Arial-5921-Identity-H"/>
          <w:color w:val="14131C"/>
          <w:sz w:val="21"/>
          <w:szCs w:val="21"/>
        </w:rPr>
        <w:t>los puntos 08 y 09 del resultado número 06, correspondi</w:t>
      </w:r>
      <w:r>
        <w:rPr>
          <w:rFonts w:ascii="Abadi" w:hAnsi="Abadi" w:cs="*Arial-5921-Identity-H"/>
          <w:color w:val="14131C"/>
          <w:sz w:val="21"/>
          <w:szCs w:val="21"/>
        </w:rPr>
        <w:t>ente</w:t>
      </w:r>
      <w:r w:rsidRPr="00312C34">
        <w:rPr>
          <w:rFonts w:ascii="Abadi" w:hAnsi="Abadi" w:cs="*Arial-5921-Identity-H"/>
          <w:color w:val="14131C"/>
          <w:sz w:val="21"/>
          <w:szCs w:val="21"/>
        </w:rPr>
        <w:t xml:space="preserve"> a eficacia del servicio</w:t>
      </w:r>
      <w:r>
        <w:rPr>
          <w:rFonts w:ascii="Abadi" w:hAnsi="Abadi" w:cs="*Arial-5921-Identity-H"/>
          <w:color w:val="14131C"/>
          <w:sz w:val="21"/>
          <w:szCs w:val="21"/>
        </w:rPr>
        <w:t xml:space="preserve"> </w:t>
      </w:r>
      <w:r w:rsidRPr="00312C34">
        <w:rPr>
          <w:rFonts w:ascii="Abadi" w:hAnsi="Abadi" w:cs="*Arial-5921-Identity-H"/>
          <w:color w:val="14131C"/>
          <w:sz w:val="21"/>
          <w:szCs w:val="21"/>
        </w:rPr>
        <w:t xml:space="preserve">de alumbrado público; y </w:t>
      </w:r>
      <w:r>
        <w:rPr>
          <w:rFonts w:ascii="Abadi" w:hAnsi="Abadi" w:cs="*Arial-5921-Identity-H"/>
          <w:color w:val="14131C"/>
          <w:sz w:val="21"/>
          <w:szCs w:val="21"/>
        </w:rPr>
        <w:t>10</w:t>
      </w:r>
      <w:r w:rsidRPr="00312C34">
        <w:rPr>
          <w:rFonts w:ascii="Abadi" w:hAnsi="Abadi" w:cs="*Arial-5921-Identity-H"/>
          <w:color w:val="14131C"/>
          <w:sz w:val="21"/>
          <w:szCs w:val="21"/>
        </w:rPr>
        <w:t xml:space="preserve"> del resultado número 07, relativo a mecanismos de</w:t>
      </w:r>
      <w:r>
        <w:rPr>
          <w:rFonts w:ascii="Abadi" w:hAnsi="Abadi" w:cs="*Arial-5921-Identity-H"/>
          <w:color w:val="14131C"/>
          <w:sz w:val="21"/>
          <w:szCs w:val="21"/>
        </w:rPr>
        <w:t xml:space="preserve"> </w:t>
      </w:r>
      <w:r w:rsidRPr="00312C34">
        <w:rPr>
          <w:rFonts w:ascii="Abadi" w:hAnsi="Abadi" w:cs="*Arial-5921-Identity-H"/>
          <w:color w:val="14131C"/>
          <w:sz w:val="21"/>
          <w:szCs w:val="21"/>
        </w:rPr>
        <w:t>monitoreo y evaluación del municipio de Apaseo el Grande.</w:t>
      </w:r>
      <w:r>
        <w:rPr>
          <w:rFonts w:ascii="Abadi" w:hAnsi="Abadi" w:cs="*Arial-5921-Identity-H"/>
          <w:color w:val="14131C"/>
          <w:sz w:val="21"/>
          <w:szCs w:val="21"/>
        </w:rPr>
        <w:t xml:space="preserve"> </w:t>
      </w:r>
    </w:p>
    <w:p w14:paraId="1BCF8D41" w14:textId="77777777" w:rsidR="00A3693B" w:rsidRDefault="00A3693B" w:rsidP="00A3693B">
      <w:pPr>
        <w:autoSpaceDE w:val="0"/>
        <w:autoSpaceDN w:val="0"/>
        <w:adjustRightInd w:val="0"/>
        <w:jc w:val="both"/>
        <w:rPr>
          <w:rFonts w:ascii="Abadi" w:hAnsi="Abadi" w:cs="*Arial-5921-Identity-H"/>
          <w:color w:val="14131C"/>
          <w:sz w:val="21"/>
          <w:szCs w:val="21"/>
        </w:rPr>
      </w:pPr>
    </w:p>
    <w:p w14:paraId="046ABFF9" w14:textId="77777777" w:rsidR="00A3693B" w:rsidRDefault="00A3693B" w:rsidP="00A3693B">
      <w:pPr>
        <w:autoSpaceDE w:val="0"/>
        <w:autoSpaceDN w:val="0"/>
        <w:adjustRightInd w:val="0"/>
        <w:ind w:firstLine="708"/>
        <w:jc w:val="both"/>
        <w:rPr>
          <w:rFonts w:ascii="Abadi" w:hAnsi="Abadi" w:cs="*Arial-5921-Identity-H"/>
          <w:color w:val="13131B"/>
          <w:sz w:val="21"/>
          <w:szCs w:val="21"/>
        </w:rPr>
      </w:pPr>
      <w:r w:rsidRPr="00312C34">
        <w:rPr>
          <w:rFonts w:ascii="Abadi" w:hAnsi="Abadi" w:cs="*Arial-5921-Identity-H"/>
          <w:color w:val="13131B"/>
          <w:sz w:val="21"/>
          <w:szCs w:val="21"/>
        </w:rPr>
        <w:t xml:space="preserve">Finalmente, se establece un apartado denominado </w:t>
      </w:r>
      <w:r w:rsidRPr="00312C34">
        <w:rPr>
          <w:rFonts w:ascii="Abadi" w:hAnsi="Abadi" w:cs="*Arial-Italic-5922-Identity-H"/>
          <w:i/>
          <w:iCs/>
          <w:color w:val="13131B"/>
          <w:sz w:val="21"/>
          <w:szCs w:val="21"/>
        </w:rPr>
        <w:t>Cuestiones clave de la</w:t>
      </w:r>
      <w:r>
        <w:rPr>
          <w:rFonts w:ascii="Abadi" w:hAnsi="Abadi" w:cs="*Arial-Italic-5922-Identity-H"/>
          <w:i/>
          <w:iCs/>
          <w:color w:val="13131B"/>
          <w:sz w:val="21"/>
          <w:szCs w:val="21"/>
        </w:rPr>
        <w:t xml:space="preserve"> </w:t>
      </w:r>
      <w:r w:rsidRPr="00312C34">
        <w:rPr>
          <w:rFonts w:ascii="Abadi" w:hAnsi="Abadi" w:cs="*Arial-Italic-5922-Identity-H"/>
          <w:i/>
          <w:iCs/>
          <w:color w:val="13131B"/>
          <w:sz w:val="21"/>
          <w:szCs w:val="21"/>
        </w:rPr>
        <w:t xml:space="preserve">auditoría en contexto de la pandemia del virus SARS-CoV2 </w:t>
      </w:r>
      <w:r w:rsidRPr="00312C34">
        <w:rPr>
          <w:rFonts w:ascii="Abadi" w:hAnsi="Abadi" w:cs="*Arial-5921-Identity-H"/>
          <w:color w:val="13131B"/>
          <w:sz w:val="21"/>
          <w:szCs w:val="21"/>
        </w:rPr>
        <w:t>en el que se señala</w:t>
      </w:r>
      <w:r>
        <w:rPr>
          <w:rFonts w:ascii="Abadi" w:hAnsi="Abadi" w:cs="*Arial-5921-Identity-H"/>
          <w:color w:val="13131B"/>
          <w:sz w:val="21"/>
          <w:szCs w:val="21"/>
        </w:rPr>
        <w:t xml:space="preserve"> </w:t>
      </w:r>
      <w:r w:rsidRPr="00312C34">
        <w:rPr>
          <w:rFonts w:ascii="Abadi" w:hAnsi="Abadi" w:cs="*Arial-5921-Identity-H"/>
          <w:color w:val="13131B"/>
          <w:sz w:val="21"/>
          <w:szCs w:val="21"/>
        </w:rPr>
        <w:t>que con motivo de la emergencia sanitaria provocada por dicha pandemia y en</w:t>
      </w:r>
      <w:r>
        <w:rPr>
          <w:rFonts w:ascii="Abadi" w:hAnsi="Abadi" w:cs="*Arial-5921-Identity-H"/>
          <w:color w:val="13131B"/>
          <w:sz w:val="21"/>
          <w:szCs w:val="21"/>
        </w:rPr>
        <w:t xml:space="preserve"> </w:t>
      </w:r>
      <w:r w:rsidRPr="00312C34">
        <w:rPr>
          <w:rFonts w:ascii="Abadi" w:hAnsi="Abadi" w:cs="*Arial-5921-Identity-H"/>
          <w:color w:val="13131B"/>
          <w:sz w:val="21"/>
          <w:szCs w:val="21"/>
        </w:rPr>
        <w:t>atención a diversas disposiciones en salud pública emitidas por las autoridades</w:t>
      </w:r>
      <w:r>
        <w:rPr>
          <w:rFonts w:ascii="Abadi" w:hAnsi="Abadi" w:cs="*Arial-5921-Identity-H"/>
          <w:color w:val="13131B"/>
          <w:sz w:val="21"/>
          <w:szCs w:val="21"/>
        </w:rPr>
        <w:t xml:space="preserve"> </w:t>
      </w:r>
      <w:r w:rsidRPr="00312C34">
        <w:rPr>
          <w:rFonts w:ascii="Abadi" w:hAnsi="Abadi" w:cs="*Arial-5921-Identity-H"/>
          <w:color w:val="13131B"/>
          <w:sz w:val="21"/>
          <w:szCs w:val="21"/>
        </w:rPr>
        <w:t>federales y estatales competentes en la materia, se generaron cambios en el</w:t>
      </w:r>
      <w:r>
        <w:rPr>
          <w:rFonts w:ascii="Abadi" w:hAnsi="Abadi" w:cs="*Arial-5921-Identity-H"/>
          <w:color w:val="13131B"/>
          <w:sz w:val="21"/>
          <w:szCs w:val="21"/>
        </w:rPr>
        <w:t xml:space="preserve"> </w:t>
      </w:r>
      <w:r w:rsidRPr="00312C34">
        <w:rPr>
          <w:rFonts w:ascii="Abadi" w:hAnsi="Abadi" w:cs="*Arial-5921-Identity-H"/>
          <w:color w:val="13131B"/>
          <w:sz w:val="21"/>
          <w:szCs w:val="21"/>
        </w:rPr>
        <w:t>desarrollo de los asuntos competencia de la Auditoría Superior del Estado de</w:t>
      </w:r>
      <w:r>
        <w:rPr>
          <w:rFonts w:ascii="Abadi" w:hAnsi="Abadi" w:cs="*Arial-5921-Identity-H"/>
          <w:color w:val="13131B"/>
          <w:sz w:val="21"/>
          <w:szCs w:val="21"/>
        </w:rPr>
        <w:t xml:space="preserve"> </w:t>
      </w:r>
      <w:r w:rsidRPr="00312C34">
        <w:rPr>
          <w:rFonts w:ascii="Abadi" w:hAnsi="Abadi" w:cs="*Arial-5921-Identity-H"/>
          <w:color w:val="13131B"/>
          <w:sz w:val="21"/>
          <w:szCs w:val="21"/>
        </w:rPr>
        <w:t xml:space="preserve">Guanajuato, atendiendo al </w:t>
      </w:r>
      <w:r w:rsidRPr="00312C34">
        <w:rPr>
          <w:rFonts w:ascii="Abadi" w:hAnsi="Abadi" w:cs="*Arial-Italic-5922-Identity-H"/>
          <w:i/>
          <w:iCs/>
          <w:color w:val="13131B"/>
          <w:sz w:val="21"/>
          <w:szCs w:val="21"/>
        </w:rPr>
        <w:t xml:space="preserve">Acuerdo relativo al trabajo </w:t>
      </w:r>
      <w:r w:rsidRPr="00312C34">
        <w:rPr>
          <w:rFonts w:ascii="Abadi" w:hAnsi="Abadi" w:cs="*Arial-5921-Identity-H"/>
          <w:color w:val="13131B"/>
          <w:sz w:val="21"/>
          <w:szCs w:val="21"/>
        </w:rPr>
        <w:t xml:space="preserve">a </w:t>
      </w:r>
      <w:r w:rsidRPr="00312C34">
        <w:rPr>
          <w:rFonts w:ascii="Abadi" w:hAnsi="Abadi" w:cs="*Arial-Italic-5922-Identity-H"/>
          <w:i/>
          <w:iCs/>
          <w:color w:val="13131B"/>
          <w:sz w:val="21"/>
          <w:szCs w:val="21"/>
        </w:rPr>
        <w:t xml:space="preserve">distancia </w:t>
      </w:r>
      <w:r w:rsidRPr="00312C34">
        <w:rPr>
          <w:rFonts w:ascii="Abadi" w:hAnsi="Abadi" w:cs="*Arial-5921-Identity-H"/>
          <w:color w:val="13131B"/>
          <w:sz w:val="21"/>
          <w:szCs w:val="21"/>
        </w:rPr>
        <w:t>de fecha 17 de</w:t>
      </w:r>
      <w:r>
        <w:rPr>
          <w:rFonts w:ascii="Abadi" w:hAnsi="Abadi" w:cs="*Arial-5921-Identity-H"/>
          <w:color w:val="13131B"/>
          <w:sz w:val="21"/>
          <w:szCs w:val="21"/>
        </w:rPr>
        <w:t xml:space="preserve"> </w:t>
      </w:r>
      <w:r w:rsidRPr="00312C34">
        <w:rPr>
          <w:rFonts w:ascii="Abadi" w:hAnsi="Abadi" w:cs="*Arial-5921-Identity-H"/>
          <w:color w:val="13131B"/>
          <w:sz w:val="21"/>
          <w:szCs w:val="21"/>
        </w:rPr>
        <w:t>marzo de 2020 y su décimo sexto acuerdo modificatorio, aprovechando las</w:t>
      </w:r>
      <w:r>
        <w:rPr>
          <w:rFonts w:ascii="Abadi" w:hAnsi="Abadi" w:cs="*Arial-5921-Identity-H"/>
          <w:color w:val="13131B"/>
          <w:sz w:val="21"/>
          <w:szCs w:val="21"/>
        </w:rPr>
        <w:t xml:space="preserve"> </w:t>
      </w:r>
      <w:r w:rsidRPr="00312C34">
        <w:rPr>
          <w:rFonts w:ascii="Abadi" w:hAnsi="Abadi" w:cs="*Arial-5921-Identity-H"/>
          <w:color w:val="13131B"/>
          <w:sz w:val="21"/>
          <w:szCs w:val="21"/>
        </w:rPr>
        <w:t>herramientas tecnológicas de que dispone, así como la colaboración de los sujetos</w:t>
      </w:r>
      <w:r>
        <w:rPr>
          <w:rFonts w:ascii="Abadi" w:hAnsi="Abadi" w:cs="*Arial-5921-Identity-H"/>
          <w:color w:val="13131B"/>
          <w:sz w:val="21"/>
          <w:szCs w:val="21"/>
        </w:rPr>
        <w:t xml:space="preserve"> </w:t>
      </w:r>
      <w:r w:rsidRPr="00312C34">
        <w:rPr>
          <w:rFonts w:ascii="Abadi" w:hAnsi="Abadi" w:cs="*Arial-5921-Identity-H"/>
          <w:color w:val="13131B"/>
          <w:sz w:val="21"/>
          <w:szCs w:val="21"/>
        </w:rPr>
        <w:t>de fiscalización.</w:t>
      </w:r>
    </w:p>
    <w:p w14:paraId="0E536044" w14:textId="77777777" w:rsidR="00A3693B" w:rsidRPr="00312C34" w:rsidRDefault="00A3693B" w:rsidP="00A3693B">
      <w:pPr>
        <w:autoSpaceDE w:val="0"/>
        <w:autoSpaceDN w:val="0"/>
        <w:adjustRightInd w:val="0"/>
        <w:jc w:val="both"/>
        <w:rPr>
          <w:rFonts w:ascii="Abadi" w:hAnsi="Abadi" w:cs="*Arial-5921-Identity-H"/>
          <w:color w:val="13131B"/>
          <w:sz w:val="21"/>
          <w:szCs w:val="21"/>
        </w:rPr>
      </w:pPr>
    </w:p>
    <w:p w14:paraId="2FA0DC02" w14:textId="77777777" w:rsidR="00A3693B" w:rsidRDefault="00A3693B" w:rsidP="00A3693B">
      <w:pPr>
        <w:autoSpaceDE w:val="0"/>
        <w:autoSpaceDN w:val="0"/>
        <w:adjustRightInd w:val="0"/>
        <w:ind w:firstLine="708"/>
        <w:jc w:val="both"/>
        <w:rPr>
          <w:rFonts w:ascii="Abadi" w:hAnsi="Abadi" w:cs="*Arial-5921-Identity-H"/>
          <w:color w:val="14121C"/>
          <w:sz w:val="21"/>
          <w:szCs w:val="21"/>
        </w:rPr>
      </w:pPr>
      <w:r w:rsidRPr="00312C34">
        <w:rPr>
          <w:rFonts w:ascii="Abadi" w:hAnsi="Abadi" w:cs="*Arial-5921-Identity-H"/>
          <w:color w:val="14121C"/>
          <w:sz w:val="21"/>
          <w:szCs w:val="21"/>
        </w:rPr>
        <w:t>Es así, que si bien, el proceso de fiscalización ha continuado observando</w:t>
      </w:r>
      <w:r>
        <w:rPr>
          <w:rFonts w:ascii="Abadi" w:hAnsi="Abadi" w:cs="*Arial-5921-Identity-H"/>
          <w:color w:val="14121C"/>
          <w:sz w:val="21"/>
          <w:szCs w:val="21"/>
        </w:rPr>
        <w:t xml:space="preserve"> </w:t>
      </w:r>
      <w:r w:rsidRPr="00312C34">
        <w:rPr>
          <w:rFonts w:ascii="Abadi" w:hAnsi="Abadi" w:cs="*Arial-5921-Identity-H"/>
          <w:color w:val="14121C"/>
          <w:sz w:val="21"/>
          <w:szCs w:val="21"/>
        </w:rPr>
        <w:t>las medidas de confinamiento que las autoridades de salud han determinado y con</w:t>
      </w:r>
      <w:r>
        <w:rPr>
          <w:rFonts w:ascii="Abadi" w:hAnsi="Abadi" w:cs="*Arial-5921-Identity-H"/>
          <w:color w:val="14121C"/>
          <w:sz w:val="21"/>
          <w:szCs w:val="21"/>
        </w:rPr>
        <w:t xml:space="preserve"> </w:t>
      </w:r>
      <w:r w:rsidRPr="00312C34">
        <w:rPr>
          <w:rFonts w:ascii="Abadi" w:hAnsi="Abadi" w:cs="*Arial-5921-Identity-H"/>
          <w:color w:val="14121C"/>
          <w:sz w:val="21"/>
          <w:szCs w:val="21"/>
        </w:rPr>
        <w:t>el uso de las tecnologías de la información, por la propia</w:t>
      </w:r>
      <w:r w:rsidRPr="00312C34">
        <w:rPr>
          <w:rFonts w:ascii="Abadi" w:hAnsi="Abadi" w:cs="*Arial-5921-Identity-H"/>
          <w:color w:val="999999"/>
          <w:sz w:val="21"/>
          <w:szCs w:val="21"/>
        </w:rPr>
        <w:t xml:space="preserve">· </w:t>
      </w:r>
      <w:r w:rsidRPr="00312C34">
        <w:rPr>
          <w:rFonts w:ascii="Abadi" w:hAnsi="Abadi" w:cs="*Arial-5921-Identity-H"/>
          <w:color w:val="14121C"/>
          <w:sz w:val="21"/>
          <w:szCs w:val="21"/>
        </w:rPr>
        <w:t>naturaleza de la</w:t>
      </w:r>
      <w:r>
        <w:rPr>
          <w:rFonts w:ascii="Abadi" w:hAnsi="Abadi" w:cs="*Arial-5921-Identity-H"/>
          <w:color w:val="14121C"/>
          <w:sz w:val="21"/>
          <w:szCs w:val="21"/>
        </w:rPr>
        <w:t xml:space="preserve"> </w:t>
      </w:r>
      <w:r w:rsidRPr="00312C34">
        <w:rPr>
          <w:rFonts w:ascii="Abadi" w:hAnsi="Abadi" w:cs="*Arial-5921-Identity-H"/>
          <w:color w:val="14121C"/>
          <w:sz w:val="21"/>
          <w:szCs w:val="21"/>
        </w:rPr>
        <w:t>pandemia se generaron limitantes en la aplicación de los procedimientos de</w:t>
      </w:r>
      <w:r>
        <w:rPr>
          <w:rFonts w:ascii="Abadi" w:hAnsi="Abadi" w:cs="*Arial-5921-Identity-H"/>
          <w:color w:val="14121C"/>
          <w:sz w:val="21"/>
          <w:szCs w:val="21"/>
        </w:rPr>
        <w:t xml:space="preserve"> </w:t>
      </w:r>
      <w:r w:rsidRPr="00312C34">
        <w:rPr>
          <w:rFonts w:ascii="Abadi" w:hAnsi="Abadi" w:cs="*Arial-5921-Identity-H"/>
          <w:color w:val="14121C"/>
          <w:sz w:val="21"/>
          <w:szCs w:val="21"/>
        </w:rPr>
        <w:t>auditoría.</w:t>
      </w:r>
    </w:p>
    <w:p w14:paraId="49250142" w14:textId="77777777" w:rsidR="00A3693B" w:rsidRPr="00312C34" w:rsidRDefault="00A3693B" w:rsidP="00A3693B">
      <w:pPr>
        <w:autoSpaceDE w:val="0"/>
        <w:autoSpaceDN w:val="0"/>
        <w:adjustRightInd w:val="0"/>
        <w:jc w:val="both"/>
        <w:rPr>
          <w:rFonts w:ascii="Abadi" w:hAnsi="Abadi" w:cs="*Arial-5921-Identity-H"/>
          <w:color w:val="14121C"/>
          <w:sz w:val="21"/>
          <w:szCs w:val="21"/>
        </w:rPr>
      </w:pPr>
    </w:p>
    <w:p w14:paraId="2BAE1439" w14:textId="77777777" w:rsidR="00A3693B" w:rsidRDefault="00A3693B" w:rsidP="00A3693B">
      <w:pPr>
        <w:autoSpaceDE w:val="0"/>
        <w:autoSpaceDN w:val="0"/>
        <w:adjustRightInd w:val="0"/>
        <w:ind w:firstLine="708"/>
        <w:jc w:val="both"/>
        <w:rPr>
          <w:rFonts w:ascii="Abadi" w:hAnsi="Abadi" w:cs="*Arial-5921-Identity-H"/>
          <w:color w:val="14131B"/>
          <w:sz w:val="21"/>
          <w:szCs w:val="21"/>
        </w:rPr>
      </w:pPr>
      <w:r w:rsidRPr="00312C34">
        <w:rPr>
          <w:rFonts w:ascii="Abadi" w:hAnsi="Abadi" w:cs="*Arial-5921-Identity-H"/>
          <w:color w:val="14131B"/>
          <w:sz w:val="21"/>
          <w:szCs w:val="21"/>
        </w:rPr>
        <w:t>En tal sentido se priorizó el enfoque de derechos humanos, velando por la</w:t>
      </w:r>
      <w:r>
        <w:rPr>
          <w:rFonts w:ascii="Abadi" w:hAnsi="Abadi" w:cs="*Arial-5921-Identity-H"/>
          <w:color w:val="14131B"/>
          <w:sz w:val="21"/>
          <w:szCs w:val="21"/>
        </w:rPr>
        <w:t xml:space="preserve"> </w:t>
      </w:r>
      <w:r w:rsidRPr="00312C34">
        <w:rPr>
          <w:rFonts w:ascii="Abadi" w:hAnsi="Abadi" w:cs="*Arial-5921-Identity-H"/>
          <w:color w:val="14131B"/>
          <w:sz w:val="21"/>
          <w:szCs w:val="21"/>
        </w:rPr>
        <w:t>protección del derecho humano a la salud, respetando las limitaciones y</w:t>
      </w:r>
      <w:r>
        <w:rPr>
          <w:rFonts w:ascii="Abadi" w:hAnsi="Abadi" w:cs="*Arial-5921-Identity-H"/>
          <w:color w:val="14131B"/>
          <w:sz w:val="21"/>
          <w:szCs w:val="21"/>
        </w:rPr>
        <w:t xml:space="preserve"> </w:t>
      </w:r>
      <w:r w:rsidRPr="00312C34">
        <w:rPr>
          <w:rFonts w:ascii="Abadi" w:hAnsi="Abadi" w:cs="*Arial-5921-Identity-H"/>
          <w:color w:val="14131B"/>
          <w:sz w:val="21"/>
          <w:szCs w:val="21"/>
        </w:rPr>
        <w:t>restricciones a los derechos humanos establecidas en la propia Constitución.</w:t>
      </w:r>
      <w:r>
        <w:rPr>
          <w:rFonts w:ascii="Abadi" w:hAnsi="Abadi" w:cs="*Arial-5921-Identity-H"/>
          <w:color w:val="14131B"/>
          <w:sz w:val="21"/>
          <w:szCs w:val="21"/>
        </w:rPr>
        <w:t xml:space="preserve"> </w:t>
      </w:r>
    </w:p>
    <w:p w14:paraId="504AA0FA" w14:textId="77777777" w:rsidR="00A3693B" w:rsidRDefault="00A3693B" w:rsidP="00A3693B">
      <w:pPr>
        <w:autoSpaceDE w:val="0"/>
        <w:autoSpaceDN w:val="0"/>
        <w:adjustRightInd w:val="0"/>
        <w:jc w:val="both"/>
        <w:rPr>
          <w:rFonts w:ascii="Abadi" w:hAnsi="Abadi" w:cs="*Arial-5921-Identity-H"/>
          <w:color w:val="14131B"/>
          <w:sz w:val="21"/>
          <w:szCs w:val="21"/>
        </w:rPr>
      </w:pPr>
    </w:p>
    <w:p w14:paraId="5A0E8198" w14:textId="77777777" w:rsidR="00A3693B" w:rsidRPr="00312C34" w:rsidRDefault="00A3693B" w:rsidP="00A3693B">
      <w:pPr>
        <w:autoSpaceDE w:val="0"/>
        <w:autoSpaceDN w:val="0"/>
        <w:adjustRightInd w:val="0"/>
        <w:jc w:val="both"/>
        <w:rPr>
          <w:rFonts w:ascii="Abadi" w:hAnsi="Abadi" w:cs="*Arial-5921-Identity-H"/>
          <w:color w:val="14131B"/>
          <w:sz w:val="21"/>
          <w:szCs w:val="21"/>
        </w:rPr>
      </w:pPr>
    </w:p>
    <w:p w14:paraId="798E77D6" w14:textId="77777777" w:rsidR="00A3693B" w:rsidRPr="00312C34" w:rsidRDefault="00A3693B" w:rsidP="00A3693B">
      <w:pPr>
        <w:autoSpaceDE w:val="0"/>
        <w:autoSpaceDN w:val="0"/>
        <w:adjustRightInd w:val="0"/>
        <w:ind w:firstLine="708"/>
        <w:jc w:val="both"/>
        <w:rPr>
          <w:rFonts w:ascii="Abadi" w:hAnsi="Abadi" w:cs="*Arial-Bold-5082-Identity-H"/>
          <w:b/>
          <w:bCs/>
          <w:color w:val="14131F"/>
          <w:sz w:val="21"/>
          <w:szCs w:val="21"/>
        </w:rPr>
      </w:pPr>
      <w:r w:rsidRPr="00312C34">
        <w:rPr>
          <w:rFonts w:ascii="Abadi" w:hAnsi="Abadi" w:cs="*Arial-Bold-5082-Identity-H"/>
          <w:b/>
          <w:bCs/>
          <w:color w:val="14131F"/>
          <w:sz w:val="21"/>
          <w:szCs w:val="21"/>
        </w:rPr>
        <w:t>c) Resumen de las recomendaciones.</w:t>
      </w:r>
    </w:p>
    <w:p w14:paraId="699841DA" w14:textId="77777777" w:rsidR="00A3693B" w:rsidRPr="00312C34" w:rsidRDefault="00A3693B" w:rsidP="00A3693B">
      <w:pPr>
        <w:autoSpaceDE w:val="0"/>
        <w:autoSpaceDN w:val="0"/>
        <w:adjustRightInd w:val="0"/>
        <w:jc w:val="both"/>
        <w:rPr>
          <w:rFonts w:ascii="Abadi" w:hAnsi="Abadi" w:cs="*Arial-5083-Identity-H"/>
          <w:color w:val="181719"/>
          <w:sz w:val="21"/>
          <w:szCs w:val="21"/>
        </w:rPr>
      </w:pPr>
    </w:p>
    <w:p w14:paraId="112344CE" w14:textId="77777777" w:rsidR="00A3693B" w:rsidRPr="00312C34" w:rsidRDefault="00A3693B" w:rsidP="00A3693B">
      <w:pPr>
        <w:autoSpaceDE w:val="0"/>
        <w:autoSpaceDN w:val="0"/>
        <w:adjustRightInd w:val="0"/>
        <w:ind w:firstLine="708"/>
        <w:jc w:val="both"/>
        <w:rPr>
          <w:rFonts w:ascii="Abadi" w:hAnsi="Abadi" w:cs="*Arial-5081-Identity-H"/>
          <w:color w:val="14131C"/>
          <w:sz w:val="21"/>
          <w:szCs w:val="21"/>
        </w:rPr>
      </w:pPr>
      <w:r w:rsidRPr="00312C34">
        <w:rPr>
          <w:rFonts w:ascii="Abadi" w:hAnsi="Abadi" w:cs="*Arial-5081-Identity-H"/>
          <w:color w:val="14131C"/>
          <w:sz w:val="21"/>
          <w:szCs w:val="21"/>
        </w:rPr>
        <w:t>En este punto se establece un resumen exclusivamente de los resultados</w:t>
      </w:r>
      <w:r>
        <w:rPr>
          <w:rFonts w:ascii="Abadi" w:hAnsi="Abadi" w:cs="*Arial-5081-Identity-H"/>
          <w:color w:val="14131C"/>
          <w:sz w:val="21"/>
          <w:szCs w:val="21"/>
        </w:rPr>
        <w:t xml:space="preserve"> </w:t>
      </w:r>
      <w:r w:rsidRPr="00312C34">
        <w:rPr>
          <w:rFonts w:ascii="Abadi" w:hAnsi="Abadi" w:cs="*Arial-5081-Identity-H"/>
          <w:color w:val="14131C"/>
          <w:sz w:val="21"/>
          <w:szCs w:val="21"/>
        </w:rPr>
        <w:t>que generaron recomendación producto de un área de oportunidad o mejora</w:t>
      </w:r>
      <w:r>
        <w:rPr>
          <w:rFonts w:ascii="Abadi" w:hAnsi="Abadi" w:cs="*Arial-5081-Identity-H"/>
          <w:color w:val="14131C"/>
          <w:sz w:val="21"/>
          <w:szCs w:val="21"/>
        </w:rPr>
        <w:t xml:space="preserve"> </w:t>
      </w:r>
      <w:r w:rsidRPr="00312C34">
        <w:rPr>
          <w:rFonts w:ascii="Abadi" w:hAnsi="Abadi" w:cs="*Arial-5081-Identity-H"/>
          <w:color w:val="14131C"/>
          <w:sz w:val="21"/>
          <w:szCs w:val="21"/>
        </w:rPr>
        <w:t>sugerida por el Órgano Técnico, mismos se clasifican agrupados bajo su</w:t>
      </w:r>
      <w:r>
        <w:rPr>
          <w:rFonts w:ascii="Abadi" w:hAnsi="Abadi" w:cs="*Arial-5081-Identity-H"/>
          <w:color w:val="14131C"/>
          <w:sz w:val="21"/>
          <w:szCs w:val="21"/>
        </w:rPr>
        <w:t xml:space="preserve"> </w:t>
      </w:r>
      <w:r w:rsidRPr="00312C34">
        <w:rPr>
          <w:rFonts w:ascii="Abadi" w:hAnsi="Abadi" w:cs="*Arial-5081-Identity-H"/>
          <w:color w:val="14131C"/>
          <w:sz w:val="21"/>
          <w:szCs w:val="21"/>
        </w:rPr>
        <w:t>respectiva vertiente, con su síntesis de la valoración efectuada, precisando que del</w:t>
      </w:r>
      <w:r>
        <w:rPr>
          <w:rFonts w:ascii="Abadi" w:hAnsi="Abadi" w:cs="*Arial-5081-Identity-H"/>
          <w:color w:val="14131C"/>
          <w:sz w:val="21"/>
          <w:szCs w:val="21"/>
        </w:rPr>
        <w:t xml:space="preserve"> </w:t>
      </w:r>
      <w:r w:rsidRPr="00312C34">
        <w:rPr>
          <w:rFonts w:ascii="Abadi" w:hAnsi="Abadi" w:cs="*Arial-5081-Identity-H"/>
          <w:color w:val="14131C"/>
          <w:sz w:val="21"/>
          <w:szCs w:val="21"/>
        </w:rPr>
        <w:t>análisis a la respuesta del pliego de recomendaciones se desprende que el sujeto</w:t>
      </w:r>
      <w:r>
        <w:rPr>
          <w:rFonts w:ascii="Abadi" w:hAnsi="Abadi" w:cs="*Arial-5081-Identity-H"/>
          <w:color w:val="14131C"/>
          <w:sz w:val="21"/>
          <w:szCs w:val="21"/>
        </w:rPr>
        <w:t xml:space="preserve"> </w:t>
      </w:r>
      <w:r w:rsidRPr="00312C34">
        <w:rPr>
          <w:rFonts w:ascii="Abadi" w:hAnsi="Abadi" w:cs="*Arial-5081-Identity-H"/>
          <w:color w:val="14131C"/>
          <w:sz w:val="21"/>
          <w:szCs w:val="21"/>
        </w:rPr>
        <w:t>fiscalizado en las 1 O recomendaciones formuladas se comprometió a realizar</w:t>
      </w:r>
      <w:r>
        <w:rPr>
          <w:rFonts w:ascii="Abadi" w:hAnsi="Abadi" w:cs="*Arial-5081-Identity-H"/>
          <w:color w:val="14131C"/>
          <w:sz w:val="21"/>
          <w:szCs w:val="21"/>
        </w:rPr>
        <w:t xml:space="preserve"> </w:t>
      </w:r>
      <w:r w:rsidRPr="00312C34">
        <w:rPr>
          <w:rFonts w:ascii="Abadi" w:hAnsi="Abadi" w:cs="*Arial-5081-Identity-H"/>
          <w:color w:val="14131C"/>
          <w:sz w:val="21"/>
          <w:szCs w:val="21"/>
        </w:rPr>
        <w:t>acciones en u</w:t>
      </w:r>
      <w:r>
        <w:rPr>
          <w:rFonts w:ascii="Abadi" w:hAnsi="Abadi" w:cs="*Arial-5081-Identity-H"/>
          <w:color w:val="14131C"/>
          <w:sz w:val="21"/>
          <w:szCs w:val="21"/>
        </w:rPr>
        <w:t xml:space="preserve"> </w:t>
      </w:r>
      <w:r w:rsidRPr="00312C34">
        <w:rPr>
          <w:rFonts w:ascii="Abadi" w:hAnsi="Abadi" w:cs="*Arial-5081-Identity-H"/>
          <w:color w:val="14131C"/>
          <w:sz w:val="21"/>
          <w:szCs w:val="21"/>
        </w:rPr>
        <w:t>n plazo futuro para su atención. A dichas recomendaciones dará</w:t>
      </w:r>
      <w:r>
        <w:rPr>
          <w:rFonts w:ascii="Abadi" w:hAnsi="Abadi" w:cs="*Arial-5081-Identity-H"/>
          <w:color w:val="14131C"/>
          <w:sz w:val="21"/>
          <w:szCs w:val="21"/>
        </w:rPr>
        <w:t xml:space="preserve"> </w:t>
      </w:r>
      <w:r w:rsidRPr="00312C34">
        <w:rPr>
          <w:rFonts w:ascii="Abadi" w:hAnsi="Abadi" w:cs="*Arial-5081-Identity-H"/>
          <w:color w:val="14131C"/>
          <w:sz w:val="21"/>
          <w:szCs w:val="21"/>
        </w:rPr>
        <w:t>seguimiento el Órgano Técnico en la etapa correspondiente, de conformidad con</w:t>
      </w:r>
      <w:r>
        <w:rPr>
          <w:rFonts w:ascii="Abadi" w:hAnsi="Abadi" w:cs="*Arial-5081-Identity-H"/>
          <w:color w:val="14131C"/>
          <w:sz w:val="21"/>
          <w:szCs w:val="21"/>
        </w:rPr>
        <w:t xml:space="preserve"> </w:t>
      </w:r>
      <w:r w:rsidRPr="00312C34">
        <w:rPr>
          <w:rFonts w:ascii="Abadi" w:hAnsi="Abadi" w:cs="*Arial-5081-Identity-H"/>
          <w:color w:val="14131C"/>
          <w:sz w:val="21"/>
          <w:szCs w:val="21"/>
        </w:rPr>
        <w:t>el ordenamiento legal respectivo.</w:t>
      </w:r>
    </w:p>
    <w:p w14:paraId="111348F0" w14:textId="77777777" w:rsidR="00A3693B" w:rsidRDefault="00A3693B" w:rsidP="00A3693B">
      <w:pPr>
        <w:autoSpaceDE w:val="0"/>
        <w:autoSpaceDN w:val="0"/>
        <w:adjustRightInd w:val="0"/>
        <w:jc w:val="both"/>
        <w:rPr>
          <w:rFonts w:ascii="Abadi" w:hAnsi="Abadi" w:cs="*Arial-Bold-5082-Identity-H"/>
          <w:b/>
          <w:bCs/>
          <w:color w:val="141220"/>
          <w:sz w:val="21"/>
          <w:szCs w:val="21"/>
        </w:rPr>
      </w:pPr>
    </w:p>
    <w:p w14:paraId="2BE1D836" w14:textId="77777777" w:rsidR="00A3693B" w:rsidRPr="00312C34" w:rsidRDefault="00A3693B" w:rsidP="00A3693B">
      <w:pPr>
        <w:autoSpaceDE w:val="0"/>
        <w:autoSpaceDN w:val="0"/>
        <w:adjustRightInd w:val="0"/>
        <w:ind w:firstLine="708"/>
        <w:jc w:val="both"/>
        <w:rPr>
          <w:rFonts w:ascii="Abadi" w:hAnsi="Abadi" w:cs="*Arial-Bold-5082-Identity-H"/>
          <w:b/>
          <w:bCs/>
          <w:color w:val="141220"/>
          <w:sz w:val="21"/>
          <w:szCs w:val="21"/>
        </w:rPr>
      </w:pPr>
      <w:r w:rsidRPr="00312C34">
        <w:rPr>
          <w:rFonts w:ascii="Abadi" w:hAnsi="Abadi" w:cs="*Arial-Bold-5082-Identity-H"/>
          <w:b/>
          <w:bCs/>
          <w:color w:val="141220"/>
          <w:sz w:val="21"/>
          <w:szCs w:val="21"/>
        </w:rPr>
        <w:t>d) Conclusión General.</w:t>
      </w:r>
    </w:p>
    <w:p w14:paraId="12304BDD" w14:textId="77777777" w:rsidR="00A3693B" w:rsidRDefault="00A3693B" w:rsidP="00A3693B">
      <w:pPr>
        <w:autoSpaceDE w:val="0"/>
        <w:autoSpaceDN w:val="0"/>
        <w:adjustRightInd w:val="0"/>
        <w:jc w:val="both"/>
        <w:rPr>
          <w:rFonts w:ascii="Abadi" w:hAnsi="Abadi" w:cs="*Arial-5081-Identity-H"/>
          <w:color w:val="14131B"/>
          <w:sz w:val="21"/>
          <w:szCs w:val="21"/>
        </w:rPr>
      </w:pPr>
    </w:p>
    <w:p w14:paraId="61DB1242" w14:textId="77777777" w:rsidR="00A3693B" w:rsidRDefault="00A3693B" w:rsidP="00A3693B">
      <w:pPr>
        <w:autoSpaceDE w:val="0"/>
        <w:autoSpaceDN w:val="0"/>
        <w:adjustRightInd w:val="0"/>
        <w:ind w:firstLine="708"/>
        <w:jc w:val="both"/>
        <w:rPr>
          <w:rFonts w:ascii="Abadi" w:hAnsi="Abadi" w:cs="*Arial-5081-Identity-H"/>
          <w:color w:val="14131B"/>
          <w:sz w:val="21"/>
          <w:szCs w:val="21"/>
        </w:rPr>
      </w:pPr>
      <w:r w:rsidRPr="00312C34">
        <w:rPr>
          <w:rFonts w:ascii="Abadi" w:hAnsi="Abadi" w:cs="*Arial-5081-Identity-H"/>
          <w:color w:val="14131B"/>
          <w:sz w:val="21"/>
          <w:szCs w:val="21"/>
        </w:rPr>
        <w:t>La Auditoría Superior del Estado concluyó que los serv</w:t>
      </w:r>
      <w:r>
        <w:rPr>
          <w:rFonts w:ascii="Abadi" w:hAnsi="Abadi" w:cs="*Arial-5081-Identity-H"/>
          <w:color w:val="14131B"/>
          <w:sz w:val="21"/>
          <w:szCs w:val="21"/>
        </w:rPr>
        <w:t>icios</w:t>
      </w:r>
      <w:r w:rsidRPr="00312C34">
        <w:rPr>
          <w:rFonts w:ascii="Abadi" w:hAnsi="Abadi" w:cs="*Arial-5081-Identity-H"/>
          <w:color w:val="14131B"/>
          <w:sz w:val="21"/>
          <w:szCs w:val="21"/>
        </w:rPr>
        <w:t xml:space="preserve"> públicos se</w:t>
      </w:r>
      <w:r>
        <w:rPr>
          <w:rFonts w:ascii="Abadi" w:hAnsi="Abadi" w:cs="*Arial-5081-Identity-H"/>
          <w:color w:val="14131B"/>
          <w:sz w:val="21"/>
          <w:szCs w:val="21"/>
        </w:rPr>
        <w:t xml:space="preserve"> </w:t>
      </w:r>
      <w:r w:rsidRPr="00312C34">
        <w:rPr>
          <w:rFonts w:ascii="Abadi" w:hAnsi="Abadi" w:cs="*Arial-5081-Identity-H"/>
          <w:color w:val="14131B"/>
          <w:sz w:val="21"/>
          <w:szCs w:val="21"/>
        </w:rPr>
        <w:t>pueden entender como toda prestación concreta que tienda a satisfacer, de</w:t>
      </w:r>
      <w:r>
        <w:rPr>
          <w:rFonts w:ascii="Abadi" w:hAnsi="Abadi" w:cs="*Arial-5081-Identity-H"/>
          <w:color w:val="14131B"/>
          <w:sz w:val="21"/>
          <w:szCs w:val="21"/>
        </w:rPr>
        <w:t xml:space="preserve"> </w:t>
      </w:r>
      <w:r w:rsidRPr="00312C34">
        <w:rPr>
          <w:rFonts w:ascii="Abadi" w:hAnsi="Abadi" w:cs="*Arial-5081-Identity-H"/>
          <w:color w:val="14131B"/>
          <w:sz w:val="21"/>
          <w:szCs w:val="21"/>
        </w:rPr>
        <w:t>manera regular, continua y uniforme, las necesidades sociales de carácter</w:t>
      </w:r>
      <w:r>
        <w:rPr>
          <w:rFonts w:ascii="Abadi" w:hAnsi="Abadi" w:cs="*Arial-5081-Identity-H"/>
          <w:color w:val="14131B"/>
          <w:sz w:val="21"/>
          <w:szCs w:val="21"/>
        </w:rPr>
        <w:t xml:space="preserve"> </w:t>
      </w:r>
      <w:r w:rsidRPr="00312C34">
        <w:rPr>
          <w:rFonts w:ascii="Abadi" w:hAnsi="Abadi" w:cs="*Arial-5081-Identity-H"/>
          <w:color w:val="14131B"/>
          <w:sz w:val="21"/>
          <w:szCs w:val="21"/>
        </w:rPr>
        <w:t>general, básico o fundamental, en beneficio indiscriminado de toda la ciudadanía.</w:t>
      </w:r>
      <w:r>
        <w:rPr>
          <w:rFonts w:ascii="Abadi" w:hAnsi="Abadi" w:cs="*Arial-5081-Identity-H"/>
          <w:color w:val="14131B"/>
          <w:sz w:val="21"/>
          <w:szCs w:val="21"/>
        </w:rPr>
        <w:t xml:space="preserve"> </w:t>
      </w:r>
    </w:p>
    <w:p w14:paraId="2C5857ED" w14:textId="77777777" w:rsidR="00A3693B" w:rsidRDefault="00A3693B" w:rsidP="00A3693B">
      <w:pPr>
        <w:autoSpaceDE w:val="0"/>
        <w:autoSpaceDN w:val="0"/>
        <w:adjustRightInd w:val="0"/>
        <w:jc w:val="both"/>
        <w:rPr>
          <w:rFonts w:ascii="Abadi" w:hAnsi="Abadi" w:cs="*Arial-5081-Identity-H"/>
          <w:color w:val="14131B"/>
          <w:sz w:val="21"/>
          <w:szCs w:val="21"/>
        </w:rPr>
      </w:pPr>
    </w:p>
    <w:p w14:paraId="5431F2CB" w14:textId="77777777" w:rsidR="00A3693B" w:rsidRDefault="00A3693B" w:rsidP="00A3693B">
      <w:pPr>
        <w:autoSpaceDE w:val="0"/>
        <w:autoSpaceDN w:val="0"/>
        <w:adjustRightInd w:val="0"/>
        <w:ind w:firstLine="708"/>
        <w:jc w:val="both"/>
        <w:rPr>
          <w:rFonts w:ascii="Abadi" w:hAnsi="Abadi" w:cs="*Arial-5081-Identity-H"/>
          <w:color w:val="14131B"/>
          <w:sz w:val="21"/>
          <w:szCs w:val="21"/>
        </w:rPr>
      </w:pPr>
      <w:r w:rsidRPr="00312C34">
        <w:rPr>
          <w:rFonts w:ascii="Abadi" w:hAnsi="Abadi" w:cs="*Arial-5081-Identity-H"/>
          <w:color w:val="14131B"/>
          <w:sz w:val="21"/>
          <w:szCs w:val="21"/>
        </w:rPr>
        <w:t>De su adecuada prestación depende, en cierta medida, la calidad de vida de las</w:t>
      </w:r>
      <w:r>
        <w:rPr>
          <w:rFonts w:ascii="Abadi" w:hAnsi="Abadi" w:cs="*Arial-5081-Identity-H"/>
          <w:color w:val="14131B"/>
          <w:sz w:val="21"/>
          <w:szCs w:val="21"/>
        </w:rPr>
        <w:t xml:space="preserve"> </w:t>
      </w:r>
      <w:r w:rsidRPr="00312C34">
        <w:rPr>
          <w:rFonts w:ascii="Abadi" w:hAnsi="Abadi" w:cs="*Arial-5081-Identity-H"/>
          <w:color w:val="14131B"/>
          <w:sz w:val="21"/>
          <w:szCs w:val="21"/>
        </w:rPr>
        <w:t>personas.</w:t>
      </w:r>
    </w:p>
    <w:p w14:paraId="1B3C2B77" w14:textId="77777777" w:rsidR="00A3693B" w:rsidRPr="00312C34" w:rsidRDefault="00A3693B" w:rsidP="00A3693B">
      <w:pPr>
        <w:autoSpaceDE w:val="0"/>
        <w:autoSpaceDN w:val="0"/>
        <w:adjustRightInd w:val="0"/>
        <w:jc w:val="both"/>
        <w:rPr>
          <w:rFonts w:ascii="Abadi" w:hAnsi="Abadi" w:cs="*Arial-5081-Identity-H"/>
          <w:color w:val="14131B"/>
          <w:sz w:val="21"/>
          <w:szCs w:val="21"/>
        </w:rPr>
      </w:pPr>
    </w:p>
    <w:p w14:paraId="6E5C4646" w14:textId="77777777" w:rsidR="00A3693B" w:rsidRDefault="00A3693B" w:rsidP="00A3693B">
      <w:pPr>
        <w:autoSpaceDE w:val="0"/>
        <w:autoSpaceDN w:val="0"/>
        <w:adjustRightInd w:val="0"/>
        <w:ind w:firstLine="708"/>
        <w:jc w:val="both"/>
        <w:rPr>
          <w:rFonts w:ascii="Abadi" w:hAnsi="Abadi" w:cs="*Arial-5081-Identity-H"/>
          <w:color w:val="13131B"/>
          <w:sz w:val="21"/>
          <w:szCs w:val="21"/>
        </w:rPr>
      </w:pPr>
      <w:r w:rsidRPr="00312C34">
        <w:rPr>
          <w:rFonts w:ascii="Abadi" w:hAnsi="Abadi" w:cs="*Arial-5081-Identity-H"/>
          <w:color w:val="13131B"/>
          <w:sz w:val="21"/>
          <w:szCs w:val="21"/>
        </w:rPr>
        <w:t xml:space="preserve">De igual forma, se refiere que el artículo 115, fracción </w:t>
      </w:r>
      <w:r>
        <w:rPr>
          <w:rFonts w:ascii="Abadi" w:hAnsi="Abadi" w:cs="*Arial-5081-Identity-H"/>
          <w:color w:val="13131B"/>
          <w:sz w:val="21"/>
          <w:szCs w:val="21"/>
        </w:rPr>
        <w:t>III</w:t>
      </w:r>
      <w:r w:rsidRPr="00312C34">
        <w:rPr>
          <w:rFonts w:ascii="Abadi" w:hAnsi="Abadi" w:cs="*Arial-5081-Identity-H"/>
          <w:color w:val="13131B"/>
          <w:sz w:val="21"/>
          <w:szCs w:val="21"/>
        </w:rPr>
        <w:t>, inciso b, de la</w:t>
      </w:r>
      <w:r>
        <w:rPr>
          <w:rFonts w:ascii="Abadi" w:hAnsi="Abadi" w:cs="*Arial-5081-Identity-H"/>
          <w:color w:val="13131B"/>
          <w:sz w:val="21"/>
          <w:szCs w:val="21"/>
        </w:rPr>
        <w:t xml:space="preserve"> </w:t>
      </w:r>
      <w:r w:rsidRPr="00312C34">
        <w:rPr>
          <w:rFonts w:ascii="Abadi" w:hAnsi="Abadi" w:cs="*Arial-5081-Identity-H"/>
          <w:color w:val="13131B"/>
          <w:sz w:val="21"/>
          <w:szCs w:val="21"/>
        </w:rPr>
        <w:t>Constitución Política de los Estados Unidos Mexicanos establece al alumbrado</w:t>
      </w:r>
      <w:r>
        <w:rPr>
          <w:rFonts w:ascii="Abadi" w:hAnsi="Abadi" w:cs="*Arial-5081-Identity-H"/>
          <w:color w:val="13131B"/>
          <w:sz w:val="21"/>
          <w:szCs w:val="21"/>
        </w:rPr>
        <w:t xml:space="preserve"> </w:t>
      </w:r>
      <w:r w:rsidRPr="00312C34">
        <w:rPr>
          <w:rFonts w:ascii="Abadi" w:hAnsi="Abadi" w:cs="*Arial-5081-Identity-H"/>
          <w:color w:val="13131B"/>
          <w:sz w:val="21"/>
          <w:szCs w:val="21"/>
        </w:rPr>
        <w:t>público como uno de los servicios públicos que los municipios tienen a su cargo.</w:t>
      </w:r>
      <w:r>
        <w:rPr>
          <w:rFonts w:ascii="Abadi" w:hAnsi="Abadi" w:cs="*Arial-5081-Identity-H"/>
          <w:color w:val="13131B"/>
          <w:sz w:val="21"/>
          <w:szCs w:val="21"/>
        </w:rPr>
        <w:t xml:space="preserve"> </w:t>
      </w:r>
      <w:r w:rsidRPr="00312C34">
        <w:rPr>
          <w:rFonts w:ascii="Abadi" w:hAnsi="Abadi" w:cs="*Arial-5081-Identity-H"/>
          <w:color w:val="13131B"/>
          <w:sz w:val="21"/>
          <w:szCs w:val="21"/>
        </w:rPr>
        <w:t>Por su parte, a nivel local, en el artículo 117 de la Constitución Política para el</w:t>
      </w:r>
      <w:r>
        <w:rPr>
          <w:rFonts w:ascii="Abadi" w:hAnsi="Abadi" w:cs="*Arial-5081-Identity-H"/>
          <w:color w:val="13131B"/>
          <w:sz w:val="21"/>
          <w:szCs w:val="21"/>
        </w:rPr>
        <w:t xml:space="preserve"> </w:t>
      </w:r>
      <w:r w:rsidRPr="00312C34">
        <w:rPr>
          <w:rFonts w:ascii="Abadi" w:hAnsi="Abadi" w:cs="*Arial-5081-Identity-H"/>
          <w:color w:val="13131B"/>
          <w:sz w:val="21"/>
          <w:szCs w:val="21"/>
        </w:rPr>
        <w:t>Estado de Guanajuato se dispone la misma responsabilidad para este ámbito de</w:t>
      </w:r>
      <w:r>
        <w:rPr>
          <w:rFonts w:ascii="Abadi" w:hAnsi="Abadi" w:cs="*Arial-5081-Identity-H"/>
          <w:color w:val="13131B"/>
          <w:sz w:val="21"/>
          <w:szCs w:val="21"/>
        </w:rPr>
        <w:t xml:space="preserve"> </w:t>
      </w:r>
      <w:r w:rsidRPr="00312C34">
        <w:rPr>
          <w:rFonts w:ascii="Abadi" w:hAnsi="Abadi" w:cs="*Arial-5081-Identity-H"/>
          <w:color w:val="13131B"/>
          <w:sz w:val="21"/>
          <w:szCs w:val="21"/>
        </w:rPr>
        <w:t>gobierno.</w:t>
      </w:r>
    </w:p>
    <w:p w14:paraId="6500E7A9" w14:textId="77777777" w:rsidR="00A3693B" w:rsidRPr="00312C34" w:rsidRDefault="00A3693B" w:rsidP="00A3693B">
      <w:pPr>
        <w:autoSpaceDE w:val="0"/>
        <w:autoSpaceDN w:val="0"/>
        <w:adjustRightInd w:val="0"/>
        <w:jc w:val="both"/>
        <w:rPr>
          <w:rFonts w:ascii="Abadi" w:hAnsi="Abadi" w:cs="*Arial-5081-Identity-H"/>
          <w:color w:val="13131B"/>
          <w:sz w:val="21"/>
          <w:szCs w:val="21"/>
        </w:rPr>
      </w:pPr>
    </w:p>
    <w:p w14:paraId="6EC41E86" w14:textId="77777777" w:rsidR="00A3693B" w:rsidRPr="00312C34" w:rsidRDefault="00A3693B" w:rsidP="00A3693B">
      <w:pPr>
        <w:autoSpaceDE w:val="0"/>
        <w:autoSpaceDN w:val="0"/>
        <w:adjustRightInd w:val="0"/>
        <w:ind w:firstLine="708"/>
        <w:jc w:val="both"/>
        <w:rPr>
          <w:rFonts w:ascii="Abadi" w:hAnsi="Abadi" w:cs="*Arial-5081-Identity-H"/>
          <w:color w:val="14131C"/>
          <w:sz w:val="21"/>
          <w:szCs w:val="21"/>
        </w:rPr>
      </w:pPr>
      <w:r w:rsidRPr="00312C34">
        <w:rPr>
          <w:rFonts w:ascii="Abadi" w:hAnsi="Abadi" w:cs="*Arial-5081-Identity-H"/>
          <w:color w:val="14131C"/>
          <w:sz w:val="21"/>
          <w:szCs w:val="21"/>
        </w:rPr>
        <w:t>En este sentido, el alumbrado público es un serv</w:t>
      </w:r>
      <w:r>
        <w:rPr>
          <w:rFonts w:ascii="Abadi" w:hAnsi="Abadi" w:cs="*Arial-5081-Identity-H"/>
          <w:color w:val="14131C"/>
          <w:sz w:val="21"/>
          <w:szCs w:val="21"/>
        </w:rPr>
        <w:t>icio</w:t>
      </w:r>
      <w:r w:rsidRPr="00312C34">
        <w:rPr>
          <w:rFonts w:ascii="Abadi" w:hAnsi="Abadi" w:cs="*Arial-5081-Identity-H"/>
          <w:color w:val="14131C"/>
          <w:sz w:val="21"/>
          <w:szCs w:val="21"/>
        </w:rPr>
        <w:t xml:space="preserve"> que tiene como</w:t>
      </w:r>
      <w:r>
        <w:rPr>
          <w:rFonts w:ascii="Abadi" w:hAnsi="Abadi" w:cs="*Arial-5081-Identity-H"/>
          <w:color w:val="14131C"/>
          <w:sz w:val="21"/>
          <w:szCs w:val="21"/>
        </w:rPr>
        <w:t xml:space="preserve"> </w:t>
      </w:r>
      <w:r w:rsidRPr="00312C34">
        <w:rPr>
          <w:rFonts w:ascii="Abadi" w:hAnsi="Abadi" w:cs="*Arial-5081-Identity-H"/>
          <w:color w:val="14131C"/>
          <w:sz w:val="21"/>
          <w:szCs w:val="21"/>
        </w:rPr>
        <w:t>objetivo el desarrollo de un entorno cómodo y seguro para facilitar la movilidad de</w:t>
      </w:r>
      <w:r>
        <w:rPr>
          <w:rFonts w:ascii="Abadi" w:hAnsi="Abadi" w:cs="*Arial-5081-Identity-H"/>
          <w:color w:val="14131C"/>
          <w:sz w:val="21"/>
          <w:szCs w:val="21"/>
        </w:rPr>
        <w:t xml:space="preserve"> </w:t>
      </w:r>
      <w:r w:rsidRPr="00312C34">
        <w:rPr>
          <w:rFonts w:ascii="Abadi" w:hAnsi="Abadi" w:cs="*Arial-5081-Identity-H"/>
          <w:color w:val="14131C"/>
          <w:sz w:val="21"/>
          <w:szCs w:val="21"/>
        </w:rPr>
        <w:t>la población, el disfrute de la ciudad, del patrimonio cultural y de los espacios</w:t>
      </w:r>
      <w:r>
        <w:rPr>
          <w:rFonts w:ascii="Abadi" w:hAnsi="Abadi" w:cs="*Arial-5081-Identity-H"/>
          <w:color w:val="14131C"/>
          <w:sz w:val="21"/>
          <w:szCs w:val="21"/>
        </w:rPr>
        <w:t xml:space="preserve"> </w:t>
      </w:r>
      <w:r w:rsidRPr="00312C34">
        <w:rPr>
          <w:rFonts w:ascii="Abadi" w:hAnsi="Abadi" w:cs="*Arial-5081-Identity-H"/>
          <w:color w:val="14131C"/>
          <w:sz w:val="21"/>
          <w:szCs w:val="21"/>
        </w:rPr>
        <w:t>públicos; a su vez, mantiene una estrecha relación con la creación de condiciones</w:t>
      </w:r>
      <w:r>
        <w:rPr>
          <w:rFonts w:ascii="Abadi" w:hAnsi="Abadi" w:cs="*Arial-5081-Identity-H"/>
          <w:color w:val="14131C"/>
          <w:sz w:val="21"/>
          <w:szCs w:val="21"/>
        </w:rPr>
        <w:t xml:space="preserve"> </w:t>
      </w:r>
      <w:r w:rsidRPr="00312C34">
        <w:rPr>
          <w:rFonts w:ascii="Abadi" w:hAnsi="Abadi" w:cs="*Arial-5081-Identity-H"/>
          <w:color w:val="14131C"/>
          <w:sz w:val="21"/>
          <w:szCs w:val="21"/>
        </w:rPr>
        <w:t>de seguridad en la vida cotidiana de la población, esto último por considerase un</w:t>
      </w:r>
      <w:r>
        <w:rPr>
          <w:rFonts w:ascii="Abadi" w:hAnsi="Abadi" w:cs="*Arial-5081-Identity-H"/>
          <w:color w:val="14131C"/>
          <w:sz w:val="21"/>
          <w:szCs w:val="21"/>
        </w:rPr>
        <w:t xml:space="preserve"> </w:t>
      </w:r>
      <w:r w:rsidRPr="00312C34">
        <w:rPr>
          <w:rFonts w:ascii="Abadi" w:hAnsi="Abadi" w:cs="*Arial-5081-Identity-H"/>
          <w:color w:val="14131C"/>
          <w:sz w:val="21"/>
          <w:szCs w:val="21"/>
        </w:rPr>
        <w:t>factor que contribuye a reducir la percepción de inseguridad.</w:t>
      </w:r>
    </w:p>
    <w:p w14:paraId="74D3FC9A" w14:textId="77777777" w:rsidR="00A3693B" w:rsidRPr="00312C34" w:rsidRDefault="00A3693B" w:rsidP="00A3693B">
      <w:pPr>
        <w:jc w:val="both"/>
        <w:rPr>
          <w:rFonts w:ascii="Abadi" w:hAnsi="Abadi" w:cs="*Arial-5081-Identity-H"/>
          <w:color w:val="14131C"/>
          <w:sz w:val="21"/>
          <w:szCs w:val="21"/>
        </w:rPr>
      </w:pPr>
    </w:p>
    <w:p w14:paraId="038E9EF4" w14:textId="77777777" w:rsidR="00A3693B" w:rsidRDefault="00A3693B" w:rsidP="00A3693B">
      <w:pPr>
        <w:autoSpaceDE w:val="0"/>
        <w:autoSpaceDN w:val="0"/>
        <w:adjustRightInd w:val="0"/>
        <w:ind w:firstLine="708"/>
        <w:jc w:val="both"/>
        <w:rPr>
          <w:rFonts w:ascii="Abadi" w:hAnsi="Abadi" w:cs="*Arial-6098-Identity-H"/>
          <w:color w:val="14131B"/>
          <w:sz w:val="21"/>
          <w:szCs w:val="21"/>
        </w:rPr>
      </w:pPr>
      <w:r w:rsidRPr="00312C34">
        <w:rPr>
          <w:rFonts w:ascii="Abadi" w:hAnsi="Abadi" w:cs="*Arial-6098-Identity-H"/>
          <w:color w:val="14131B"/>
          <w:sz w:val="21"/>
          <w:szCs w:val="21"/>
        </w:rPr>
        <w:t>Derivado de lo anterior, el adecuado desempeño de los servicios públicos</w:t>
      </w:r>
      <w:r>
        <w:rPr>
          <w:rFonts w:ascii="Abadi" w:hAnsi="Abadi" w:cs="*Arial-6098-Identity-H"/>
          <w:color w:val="14131B"/>
          <w:sz w:val="21"/>
          <w:szCs w:val="21"/>
        </w:rPr>
        <w:t xml:space="preserve"> incide</w:t>
      </w:r>
      <w:r w:rsidRPr="00312C34">
        <w:rPr>
          <w:rFonts w:ascii="Abadi" w:hAnsi="Abadi" w:cs="*Arial-6098-Identity-H"/>
          <w:color w:val="14131B"/>
          <w:sz w:val="21"/>
          <w:szCs w:val="21"/>
        </w:rPr>
        <w:t xml:space="preserve"> en la calidad de vida de los habitantes y, por ello, es conveniente que se</w:t>
      </w:r>
      <w:r>
        <w:rPr>
          <w:rFonts w:ascii="Abadi" w:hAnsi="Abadi" w:cs="*Arial-6098-Identity-H"/>
          <w:color w:val="14131B"/>
          <w:sz w:val="21"/>
          <w:szCs w:val="21"/>
        </w:rPr>
        <w:t xml:space="preserve"> </w:t>
      </w:r>
      <w:r w:rsidRPr="00312C34">
        <w:rPr>
          <w:rFonts w:ascii="Abadi" w:hAnsi="Abadi" w:cs="*Arial-6098-Identity-H"/>
          <w:color w:val="14131B"/>
          <w:sz w:val="21"/>
          <w:szCs w:val="21"/>
        </w:rPr>
        <w:t>administre bajo modelos de gestión orientados a los resultados que garanticen su</w:t>
      </w:r>
      <w:r>
        <w:rPr>
          <w:rFonts w:ascii="Abadi" w:hAnsi="Abadi" w:cs="*Arial-6098-Identity-H"/>
          <w:color w:val="14131B"/>
          <w:sz w:val="21"/>
          <w:szCs w:val="21"/>
        </w:rPr>
        <w:t xml:space="preserve"> </w:t>
      </w:r>
      <w:r w:rsidRPr="00312C34">
        <w:rPr>
          <w:rFonts w:ascii="Abadi" w:hAnsi="Abadi" w:cs="*Arial-6098-Identity-H"/>
          <w:color w:val="14131B"/>
          <w:sz w:val="21"/>
          <w:szCs w:val="21"/>
        </w:rPr>
        <w:t>adecuada operación, permanencia, continuidad, uniformidad e igualdad ante los</w:t>
      </w:r>
      <w:r>
        <w:rPr>
          <w:rFonts w:ascii="Abadi" w:hAnsi="Abadi" w:cs="*Arial-6098-Identity-H"/>
          <w:color w:val="14131B"/>
          <w:sz w:val="21"/>
          <w:szCs w:val="21"/>
        </w:rPr>
        <w:t xml:space="preserve"> </w:t>
      </w:r>
      <w:r w:rsidRPr="00312C34">
        <w:rPr>
          <w:rFonts w:ascii="Abadi" w:hAnsi="Abadi" w:cs="*Arial-6098-Identity-H"/>
          <w:color w:val="14131B"/>
          <w:sz w:val="21"/>
          <w:szCs w:val="21"/>
        </w:rPr>
        <w:t>usuarios, asegurando una cobertura integral y una oferta al alcance de la</w:t>
      </w:r>
      <w:r>
        <w:rPr>
          <w:rFonts w:ascii="Abadi" w:hAnsi="Abadi" w:cs="*Arial-6098-Identity-H"/>
          <w:color w:val="14131B"/>
          <w:sz w:val="21"/>
          <w:szCs w:val="21"/>
        </w:rPr>
        <w:t xml:space="preserve"> </w:t>
      </w:r>
      <w:r w:rsidRPr="00312C34">
        <w:rPr>
          <w:rFonts w:ascii="Abadi" w:hAnsi="Abadi" w:cs="*Arial-6098-Identity-H"/>
          <w:color w:val="14131B"/>
          <w:sz w:val="21"/>
          <w:szCs w:val="21"/>
        </w:rPr>
        <w:t>población municipal que lo requiera.</w:t>
      </w:r>
    </w:p>
    <w:p w14:paraId="1174A5A0" w14:textId="77777777" w:rsidR="00A3693B" w:rsidRPr="00312C34" w:rsidRDefault="00A3693B" w:rsidP="00A3693B">
      <w:pPr>
        <w:autoSpaceDE w:val="0"/>
        <w:autoSpaceDN w:val="0"/>
        <w:adjustRightInd w:val="0"/>
        <w:jc w:val="both"/>
        <w:rPr>
          <w:rFonts w:ascii="Abadi" w:hAnsi="Abadi" w:cs="*Arial-6098-Identity-H"/>
          <w:color w:val="14131B"/>
          <w:sz w:val="21"/>
          <w:szCs w:val="21"/>
        </w:rPr>
      </w:pPr>
    </w:p>
    <w:p w14:paraId="43029A54" w14:textId="1A1C6AA0" w:rsidR="00A3693B" w:rsidRDefault="00A3693B" w:rsidP="00A3693B">
      <w:pPr>
        <w:autoSpaceDE w:val="0"/>
        <w:autoSpaceDN w:val="0"/>
        <w:adjustRightInd w:val="0"/>
        <w:ind w:firstLine="708"/>
        <w:jc w:val="both"/>
        <w:rPr>
          <w:rFonts w:ascii="Abadi" w:hAnsi="Abadi" w:cs="*Arial-6098-Identity-H"/>
          <w:color w:val="14131C"/>
          <w:sz w:val="21"/>
          <w:szCs w:val="21"/>
        </w:rPr>
      </w:pPr>
      <w:r w:rsidRPr="00312C34">
        <w:rPr>
          <w:rFonts w:ascii="Abadi" w:hAnsi="Abadi" w:cs="*Arial-6098-Identity-H"/>
          <w:color w:val="14131C"/>
          <w:sz w:val="21"/>
          <w:szCs w:val="21"/>
        </w:rPr>
        <w:t>Es así que en el caso que nos ocupa, se definió el objetivo general de la</w:t>
      </w:r>
      <w:r>
        <w:rPr>
          <w:rFonts w:ascii="Abadi" w:hAnsi="Abadi" w:cs="*Arial-6098-Identity-H"/>
          <w:color w:val="14131C"/>
          <w:sz w:val="21"/>
          <w:szCs w:val="21"/>
        </w:rPr>
        <w:t xml:space="preserve"> </w:t>
      </w:r>
      <w:r w:rsidRPr="00312C34">
        <w:rPr>
          <w:rFonts w:ascii="Abadi" w:hAnsi="Abadi" w:cs="*Arial-6098-Identity-H"/>
          <w:color w:val="14131C"/>
          <w:sz w:val="21"/>
          <w:szCs w:val="21"/>
        </w:rPr>
        <w:t>auditoría con el propósito de verificar la capacidad del municipio de Apaseo el</w:t>
      </w:r>
      <w:r>
        <w:rPr>
          <w:rFonts w:ascii="Abadi" w:hAnsi="Abadi" w:cs="*Arial-6098-Identity-H"/>
          <w:color w:val="14131C"/>
          <w:sz w:val="21"/>
          <w:szCs w:val="21"/>
        </w:rPr>
        <w:t xml:space="preserve"> </w:t>
      </w:r>
      <w:r w:rsidRPr="00312C34">
        <w:rPr>
          <w:rFonts w:ascii="Abadi" w:hAnsi="Abadi" w:cs="*Arial-6098-Identity-H"/>
          <w:color w:val="14131C"/>
          <w:sz w:val="21"/>
          <w:szCs w:val="21"/>
        </w:rPr>
        <w:t>Grande, Gto., para lograr una prestación eficaz del servicio de alumbrado público</w:t>
      </w:r>
      <w:r>
        <w:rPr>
          <w:rFonts w:ascii="Abadi" w:hAnsi="Abadi" w:cs="*Arial-6098-Identity-H"/>
          <w:color w:val="14131C"/>
          <w:sz w:val="21"/>
          <w:szCs w:val="21"/>
        </w:rPr>
        <w:t xml:space="preserve"> </w:t>
      </w:r>
      <w:r w:rsidRPr="00312C34">
        <w:rPr>
          <w:rFonts w:ascii="Abadi" w:hAnsi="Abadi" w:cs="*Arial-6098-Identity-H"/>
          <w:color w:val="14131C"/>
          <w:sz w:val="21"/>
          <w:szCs w:val="21"/>
        </w:rPr>
        <w:t>a su población, así como de conocer si las funciones de planificación, operación y</w:t>
      </w:r>
      <w:r>
        <w:rPr>
          <w:rFonts w:ascii="Abadi" w:hAnsi="Abadi" w:cs="*Arial-6098-Identity-H"/>
          <w:color w:val="14131C"/>
          <w:sz w:val="21"/>
          <w:szCs w:val="21"/>
        </w:rPr>
        <w:t xml:space="preserve"> seguimiento</w:t>
      </w:r>
      <w:r w:rsidRPr="00312C34">
        <w:rPr>
          <w:rFonts w:ascii="Abadi" w:hAnsi="Abadi" w:cs="*Arial-6098-Identity-H"/>
          <w:color w:val="14131C"/>
          <w:sz w:val="21"/>
          <w:szCs w:val="21"/>
        </w:rPr>
        <w:t xml:space="preserve"> se desarrollaron bajo el principio de eficiencia, ya que de ello</w:t>
      </w:r>
      <w:r>
        <w:rPr>
          <w:rFonts w:ascii="Abadi" w:hAnsi="Abadi" w:cs="*Arial-6098-Identity-H"/>
          <w:color w:val="14131C"/>
          <w:sz w:val="21"/>
          <w:szCs w:val="21"/>
        </w:rPr>
        <w:t xml:space="preserve"> </w:t>
      </w:r>
      <w:r w:rsidRPr="00312C34">
        <w:rPr>
          <w:rFonts w:ascii="Abadi" w:hAnsi="Abadi" w:cs="*Arial-6098-Identity-H"/>
          <w:color w:val="14131C"/>
          <w:sz w:val="21"/>
          <w:szCs w:val="21"/>
        </w:rPr>
        <w:t>depende el grado de satisfacción de la comunidad.</w:t>
      </w:r>
    </w:p>
    <w:p w14:paraId="55E772FD" w14:textId="77777777" w:rsidR="00A3693B" w:rsidRPr="00312C34" w:rsidRDefault="00A3693B" w:rsidP="00A3693B">
      <w:pPr>
        <w:autoSpaceDE w:val="0"/>
        <w:autoSpaceDN w:val="0"/>
        <w:adjustRightInd w:val="0"/>
        <w:jc w:val="both"/>
        <w:rPr>
          <w:rFonts w:ascii="Abadi" w:hAnsi="Abadi" w:cs="*Arial-6098-Identity-H"/>
          <w:color w:val="14131C"/>
          <w:sz w:val="21"/>
          <w:szCs w:val="21"/>
        </w:rPr>
      </w:pPr>
    </w:p>
    <w:p w14:paraId="2B333206" w14:textId="77777777" w:rsidR="00A3693B" w:rsidRDefault="00A3693B" w:rsidP="00A3693B">
      <w:pPr>
        <w:autoSpaceDE w:val="0"/>
        <w:autoSpaceDN w:val="0"/>
        <w:adjustRightInd w:val="0"/>
        <w:ind w:firstLine="708"/>
        <w:jc w:val="both"/>
        <w:rPr>
          <w:rFonts w:ascii="Abadi" w:hAnsi="Abadi" w:cs="*Arial-6098-Identity-H"/>
          <w:color w:val="14131C"/>
          <w:sz w:val="21"/>
          <w:szCs w:val="21"/>
        </w:rPr>
      </w:pPr>
      <w:r w:rsidRPr="00312C34">
        <w:rPr>
          <w:rFonts w:ascii="Abadi" w:hAnsi="Abadi" w:cs="*Arial-6098-Identity-H"/>
          <w:color w:val="14131C"/>
          <w:sz w:val="21"/>
          <w:szCs w:val="21"/>
        </w:rPr>
        <w:t>Para</w:t>
      </w:r>
      <w:r>
        <w:rPr>
          <w:rFonts w:ascii="Abadi" w:hAnsi="Abadi" w:cs="*Arial-6098-Identity-H"/>
          <w:color w:val="14131C"/>
          <w:sz w:val="21"/>
          <w:szCs w:val="21"/>
        </w:rPr>
        <w:t xml:space="preserve"> </w:t>
      </w:r>
      <w:r w:rsidRPr="00312C34">
        <w:rPr>
          <w:rFonts w:ascii="Abadi" w:hAnsi="Abadi" w:cs="*Arial-6098-Identity-H"/>
          <w:color w:val="14131C"/>
          <w:sz w:val="21"/>
          <w:szCs w:val="21"/>
        </w:rPr>
        <w:t>su consecución, las labores de la Auditoría Superior del Estado</w:t>
      </w:r>
      <w:r>
        <w:rPr>
          <w:rFonts w:ascii="Abadi" w:hAnsi="Abadi" w:cs="*Arial-6098-Identity-H"/>
          <w:color w:val="14131C"/>
          <w:sz w:val="21"/>
          <w:szCs w:val="21"/>
        </w:rPr>
        <w:t xml:space="preserve"> </w:t>
      </w:r>
      <w:r w:rsidRPr="00312C34">
        <w:rPr>
          <w:rFonts w:ascii="Abadi" w:hAnsi="Abadi" w:cs="*Arial-6098-Identity-H"/>
          <w:color w:val="14131C"/>
          <w:sz w:val="21"/>
          <w:szCs w:val="21"/>
        </w:rPr>
        <w:t xml:space="preserve">consideraron la verificación de la existencia de procesos diagnósticos o </w:t>
      </w:r>
      <w:r w:rsidRPr="00312C34">
        <w:rPr>
          <w:rFonts w:ascii="Abadi" w:hAnsi="Abadi" w:cs="*Arial-6098-Identity-H"/>
          <w:color w:val="B5B5B5"/>
          <w:sz w:val="21"/>
          <w:szCs w:val="21"/>
        </w:rPr>
        <w:t>.</w:t>
      </w:r>
      <w:r w:rsidRPr="00312C34">
        <w:rPr>
          <w:rFonts w:ascii="Abadi" w:hAnsi="Abadi" w:cs="*Arial-6098-Identity-H"/>
          <w:color w:val="14131C"/>
          <w:sz w:val="21"/>
          <w:szCs w:val="21"/>
        </w:rPr>
        <w:t>de</w:t>
      </w:r>
      <w:r>
        <w:rPr>
          <w:rFonts w:ascii="Abadi" w:hAnsi="Abadi" w:cs="*Arial-6098-Identity-H"/>
          <w:color w:val="14131C"/>
          <w:sz w:val="21"/>
          <w:szCs w:val="21"/>
        </w:rPr>
        <w:t xml:space="preserve"> </w:t>
      </w:r>
      <w:r w:rsidRPr="00312C34">
        <w:rPr>
          <w:rFonts w:ascii="Abadi" w:hAnsi="Abadi" w:cs="*Arial-6098-Identity-H"/>
          <w:color w:val="14131C"/>
          <w:sz w:val="21"/>
          <w:szCs w:val="21"/>
        </w:rPr>
        <w:t>planificación que permitieran a la administración municipal conocer la oferta del</w:t>
      </w:r>
      <w:r>
        <w:rPr>
          <w:rFonts w:ascii="Abadi" w:hAnsi="Abadi" w:cs="*Arial-6098-Identity-H"/>
          <w:color w:val="14131C"/>
          <w:sz w:val="21"/>
          <w:szCs w:val="21"/>
        </w:rPr>
        <w:t xml:space="preserve"> </w:t>
      </w:r>
      <w:r w:rsidRPr="00312C34">
        <w:rPr>
          <w:rFonts w:ascii="Abadi" w:hAnsi="Abadi" w:cs="*Arial-6098-Identity-H"/>
          <w:color w:val="14131C"/>
          <w:sz w:val="21"/>
          <w:szCs w:val="21"/>
        </w:rPr>
        <w:t>servicio y las brechas por cubrir, definir la estimación de recursos para una</w:t>
      </w:r>
      <w:r>
        <w:rPr>
          <w:rFonts w:ascii="Abadi" w:hAnsi="Abadi" w:cs="*Arial-6098-Identity-H"/>
          <w:color w:val="14131C"/>
          <w:sz w:val="21"/>
          <w:szCs w:val="21"/>
        </w:rPr>
        <w:t xml:space="preserve"> </w:t>
      </w:r>
      <w:r w:rsidRPr="00312C34">
        <w:rPr>
          <w:rFonts w:ascii="Abadi" w:hAnsi="Abadi" w:cs="*Arial-6098-Identity-H"/>
          <w:color w:val="14131C"/>
          <w:sz w:val="21"/>
          <w:szCs w:val="21"/>
        </w:rPr>
        <w:t>adecuada operación y la definición de metas y objetivos orientados a la mejora del</w:t>
      </w:r>
      <w:r>
        <w:rPr>
          <w:rFonts w:ascii="Abadi" w:hAnsi="Abadi" w:cs="*Arial-6098-Identity-H"/>
          <w:color w:val="14131C"/>
          <w:sz w:val="21"/>
          <w:szCs w:val="21"/>
        </w:rPr>
        <w:t xml:space="preserve"> </w:t>
      </w:r>
      <w:r w:rsidRPr="00312C34">
        <w:rPr>
          <w:rFonts w:ascii="Abadi" w:hAnsi="Abadi" w:cs="*Arial-6098-Identity-H"/>
          <w:color w:val="14131C"/>
          <w:sz w:val="21"/>
          <w:szCs w:val="21"/>
        </w:rPr>
        <w:t>servicio. R</w:t>
      </w:r>
      <w:r>
        <w:rPr>
          <w:rFonts w:ascii="Abadi" w:hAnsi="Abadi" w:cs="*Arial-6098-Identity-H"/>
          <w:color w:val="14131C"/>
          <w:sz w:val="21"/>
          <w:szCs w:val="21"/>
        </w:rPr>
        <w:t>e</w:t>
      </w:r>
      <w:r w:rsidRPr="00312C34">
        <w:rPr>
          <w:rFonts w:ascii="Abadi" w:hAnsi="Abadi" w:cs="*Arial-6098-Identity-H"/>
          <w:color w:val="14131C"/>
          <w:sz w:val="21"/>
          <w:szCs w:val="21"/>
        </w:rPr>
        <w:t>specto de la operación, se consideró la verificación del establecimiento</w:t>
      </w:r>
      <w:r>
        <w:rPr>
          <w:rFonts w:ascii="Abadi" w:hAnsi="Abadi" w:cs="*Arial-6098-Identity-H"/>
          <w:color w:val="14131C"/>
          <w:sz w:val="21"/>
          <w:szCs w:val="21"/>
        </w:rPr>
        <w:t xml:space="preserve"> </w:t>
      </w:r>
      <w:r w:rsidRPr="00312C34">
        <w:rPr>
          <w:rFonts w:ascii="Abadi" w:hAnsi="Abadi" w:cs="*Arial-6098-Identity-H"/>
          <w:color w:val="14131C"/>
          <w:sz w:val="21"/>
          <w:szCs w:val="21"/>
        </w:rPr>
        <w:t>de un marco normativo adecuado y vigente, la programación de actividades y su</w:t>
      </w:r>
      <w:r>
        <w:rPr>
          <w:rFonts w:ascii="Abadi" w:hAnsi="Abadi" w:cs="*Arial-6098-Identity-H"/>
          <w:color w:val="14131C"/>
          <w:sz w:val="21"/>
          <w:szCs w:val="21"/>
        </w:rPr>
        <w:t xml:space="preserve"> </w:t>
      </w:r>
      <w:r w:rsidRPr="00312C34">
        <w:rPr>
          <w:rFonts w:ascii="Abadi" w:hAnsi="Abadi" w:cs="*Arial-6098-Identity-H"/>
          <w:color w:val="14131C"/>
          <w:sz w:val="21"/>
          <w:szCs w:val="21"/>
        </w:rPr>
        <w:t>consecución, los mecanismos de atención ciudadana para el reporte de fallas y los</w:t>
      </w:r>
      <w:r>
        <w:rPr>
          <w:rFonts w:ascii="Abadi" w:hAnsi="Abadi" w:cs="*Arial-6098-Identity-H"/>
          <w:color w:val="14131C"/>
          <w:sz w:val="21"/>
          <w:szCs w:val="21"/>
        </w:rPr>
        <w:t xml:space="preserve"> </w:t>
      </w:r>
      <w:r w:rsidRPr="00312C34">
        <w:rPr>
          <w:rFonts w:ascii="Abadi" w:hAnsi="Abadi" w:cs="*Arial-6098-Identity-H"/>
          <w:color w:val="14131C"/>
          <w:sz w:val="21"/>
          <w:szCs w:val="21"/>
        </w:rPr>
        <w:t>resultados en la cobertura, mantenimiento y satisfacción. También se revisaron los</w:t>
      </w:r>
      <w:r>
        <w:rPr>
          <w:rFonts w:ascii="Abadi" w:hAnsi="Abadi" w:cs="*Arial-6098-Identity-H"/>
          <w:color w:val="14131C"/>
          <w:sz w:val="21"/>
          <w:szCs w:val="21"/>
        </w:rPr>
        <w:t xml:space="preserve"> </w:t>
      </w:r>
      <w:r w:rsidRPr="00312C34">
        <w:rPr>
          <w:rFonts w:ascii="Abadi" w:hAnsi="Abadi" w:cs="*Arial-6098-Identity-H"/>
          <w:color w:val="14131C"/>
          <w:sz w:val="21"/>
          <w:szCs w:val="21"/>
        </w:rPr>
        <w:t>mecanismos de monitoreo y evaluación, con el objetivo de analizar el desempeño</w:t>
      </w:r>
      <w:r>
        <w:rPr>
          <w:rFonts w:ascii="Abadi" w:hAnsi="Abadi" w:cs="*Arial-6098-Identity-H"/>
          <w:color w:val="14131C"/>
          <w:sz w:val="21"/>
          <w:szCs w:val="21"/>
        </w:rPr>
        <w:t xml:space="preserve"> </w:t>
      </w:r>
      <w:r w:rsidRPr="00312C34">
        <w:rPr>
          <w:rFonts w:ascii="Abadi" w:hAnsi="Abadi" w:cs="*Arial-6098-Identity-H"/>
          <w:color w:val="14131C"/>
          <w:sz w:val="21"/>
          <w:szCs w:val="21"/>
        </w:rPr>
        <w:t>del Municipio en el otorgamiento del servicio, y verificar la eficiencia y la eficacia</w:t>
      </w:r>
      <w:r>
        <w:rPr>
          <w:rFonts w:ascii="Abadi" w:hAnsi="Abadi" w:cs="*Arial-6098-Identity-H"/>
          <w:color w:val="14131C"/>
          <w:sz w:val="21"/>
          <w:szCs w:val="21"/>
        </w:rPr>
        <w:t xml:space="preserve"> </w:t>
      </w:r>
      <w:r w:rsidRPr="00312C34">
        <w:rPr>
          <w:rFonts w:ascii="Abadi" w:hAnsi="Abadi" w:cs="*Arial-6098-Identity-H"/>
          <w:color w:val="14131C"/>
          <w:sz w:val="21"/>
          <w:szCs w:val="21"/>
        </w:rPr>
        <w:t>del alumbrado público municipal en beneficio de la ciudadanía.</w:t>
      </w:r>
    </w:p>
    <w:p w14:paraId="6612C90C" w14:textId="77777777" w:rsidR="00A3693B" w:rsidRPr="00312C34" w:rsidRDefault="00A3693B" w:rsidP="00A3693B">
      <w:pPr>
        <w:autoSpaceDE w:val="0"/>
        <w:autoSpaceDN w:val="0"/>
        <w:adjustRightInd w:val="0"/>
        <w:jc w:val="both"/>
        <w:rPr>
          <w:rFonts w:ascii="Abadi" w:hAnsi="Abadi" w:cs="*Arial-6098-Identity-H"/>
          <w:color w:val="14131C"/>
          <w:sz w:val="21"/>
          <w:szCs w:val="21"/>
        </w:rPr>
      </w:pPr>
    </w:p>
    <w:p w14:paraId="79B7CC63" w14:textId="77777777" w:rsidR="00A3693B" w:rsidRPr="00312C34" w:rsidRDefault="00A3693B" w:rsidP="00A3693B">
      <w:pPr>
        <w:autoSpaceDE w:val="0"/>
        <w:autoSpaceDN w:val="0"/>
        <w:adjustRightInd w:val="0"/>
        <w:ind w:firstLine="708"/>
        <w:jc w:val="both"/>
        <w:rPr>
          <w:rFonts w:ascii="Abadi" w:hAnsi="Abadi" w:cs="*Arial-6098-Identity-H"/>
          <w:color w:val="14131C"/>
          <w:sz w:val="21"/>
          <w:szCs w:val="21"/>
        </w:rPr>
      </w:pPr>
      <w:r w:rsidRPr="00312C34">
        <w:rPr>
          <w:rFonts w:ascii="Abadi" w:hAnsi="Abadi" w:cs="*Arial-6098-Identity-H"/>
          <w:color w:val="14131C"/>
          <w:sz w:val="21"/>
          <w:szCs w:val="21"/>
        </w:rPr>
        <w:t>Adicionalmente, se previó la comprobación de acciones efectuadas por la</w:t>
      </w:r>
      <w:r>
        <w:rPr>
          <w:rFonts w:ascii="Abadi" w:hAnsi="Abadi" w:cs="*Arial-6098-Identity-H"/>
          <w:color w:val="14131C"/>
          <w:sz w:val="21"/>
          <w:szCs w:val="21"/>
        </w:rPr>
        <w:t xml:space="preserve"> </w:t>
      </w:r>
      <w:r w:rsidRPr="00312C34">
        <w:rPr>
          <w:rFonts w:ascii="Abadi" w:hAnsi="Abadi" w:cs="*Arial-6098-Identity-H"/>
          <w:color w:val="14131C"/>
          <w:sz w:val="21"/>
          <w:szCs w:val="21"/>
        </w:rPr>
        <w:t>Subdirección de Aseo y Alumbrado Público y Control Canino para supervisar y</w:t>
      </w:r>
      <w:r>
        <w:rPr>
          <w:rFonts w:ascii="Abadi" w:hAnsi="Abadi" w:cs="*Arial-6098-Identity-H"/>
          <w:color w:val="14131C"/>
          <w:sz w:val="21"/>
          <w:szCs w:val="21"/>
        </w:rPr>
        <w:t xml:space="preserve"> </w:t>
      </w:r>
      <w:r w:rsidRPr="00312C34">
        <w:rPr>
          <w:rFonts w:ascii="Abadi" w:hAnsi="Abadi" w:cs="*Arial-6098-Identity-H"/>
          <w:color w:val="14131C"/>
          <w:sz w:val="21"/>
          <w:szCs w:val="21"/>
        </w:rPr>
        <w:t>evaluar el desempeño de las actividades realizadas por un intermediario para</w:t>
      </w:r>
      <w:r>
        <w:rPr>
          <w:rFonts w:ascii="Abadi" w:hAnsi="Abadi" w:cs="*Arial-6098-Identity-H"/>
          <w:color w:val="14131C"/>
          <w:sz w:val="21"/>
          <w:szCs w:val="21"/>
        </w:rPr>
        <w:t xml:space="preserve"> </w:t>
      </w:r>
      <w:r w:rsidRPr="00312C34">
        <w:rPr>
          <w:rFonts w:ascii="Abadi" w:hAnsi="Abadi" w:cs="*Arial-6098-Identity-H"/>
          <w:color w:val="14131C"/>
          <w:sz w:val="21"/>
          <w:szCs w:val="21"/>
        </w:rPr>
        <w:t>garantizar la prestación permanente, general, uniforme y continua del servicio,</w:t>
      </w:r>
      <w:r>
        <w:rPr>
          <w:rFonts w:ascii="Abadi" w:hAnsi="Abadi" w:cs="*Arial-6098-Identity-H"/>
          <w:color w:val="14131C"/>
          <w:sz w:val="21"/>
          <w:szCs w:val="21"/>
        </w:rPr>
        <w:t xml:space="preserve"> </w:t>
      </w:r>
      <w:r w:rsidRPr="00312C34">
        <w:rPr>
          <w:rFonts w:ascii="Abadi" w:hAnsi="Abadi" w:cs="*Arial-6098-Identity-H"/>
          <w:color w:val="14131C"/>
          <w:sz w:val="21"/>
          <w:szCs w:val="21"/>
        </w:rPr>
        <w:t>considerando que, desde 2018, con objeto de impulsar la eficiencia energética y</w:t>
      </w:r>
      <w:r>
        <w:rPr>
          <w:rFonts w:ascii="Abadi" w:hAnsi="Abadi" w:cs="*Arial-6098-Identity-H"/>
          <w:color w:val="14131C"/>
          <w:sz w:val="21"/>
          <w:szCs w:val="21"/>
        </w:rPr>
        <w:t xml:space="preserve"> </w:t>
      </w:r>
      <w:r w:rsidRPr="00312C34">
        <w:rPr>
          <w:rFonts w:ascii="Abadi" w:hAnsi="Abadi" w:cs="*Arial-6098-Identity-H"/>
          <w:color w:val="14131C"/>
          <w:sz w:val="21"/>
          <w:szCs w:val="21"/>
        </w:rPr>
        <w:t>modernizar los equipos lumínicos, así como optimizar el uso de los recursos para</w:t>
      </w:r>
      <w:r>
        <w:rPr>
          <w:rFonts w:ascii="Abadi" w:hAnsi="Abadi" w:cs="*Arial-6098-Identity-H"/>
          <w:color w:val="14131C"/>
          <w:sz w:val="21"/>
          <w:szCs w:val="21"/>
        </w:rPr>
        <w:t xml:space="preserve"> </w:t>
      </w:r>
      <w:r w:rsidRPr="00312C34">
        <w:rPr>
          <w:rFonts w:ascii="Abadi" w:hAnsi="Abadi" w:cs="*Arial-6098-Identity-H"/>
          <w:color w:val="14131C"/>
          <w:sz w:val="21"/>
          <w:szCs w:val="21"/>
        </w:rPr>
        <w:t>garantizar la provisión del servicio, el sujeto fiscalizado concesionó el servicio de</w:t>
      </w:r>
      <w:r>
        <w:rPr>
          <w:rFonts w:ascii="Abadi" w:hAnsi="Abadi" w:cs="*Arial-6098-Identity-H"/>
          <w:color w:val="14131C"/>
          <w:sz w:val="21"/>
          <w:szCs w:val="21"/>
        </w:rPr>
        <w:t xml:space="preserve"> </w:t>
      </w:r>
      <w:r w:rsidRPr="00312C34">
        <w:rPr>
          <w:rFonts w:ascii="Abadi" w:hAnsi="Abadi" w:cs="*Arial-6098-Identity-H"/>
          <w:color w:val="14131C"/>
          <w:sz w:val="21"/>
          <w:szCs w:val="21"/>
        </w:rPr>
        <w:t xml:space="preserve">alumbrado público a la empresa </w:t>
      </w:r>
      <w:r w:rsidRPr="00312C34">
        <w:rPr>
          <w:rFonts w:ascii="Abadi" w:hAnsi="Abadi" w:cs="*Arial-Italic-6099-Identity-H"/>
          <w:i/>
          <w:iCs/>
          <w:color w:val="14131C"/>
          <w:sz w:val="21"/>
          <w:szCs w:val="21"/>
        </w:rPr>
        <w:t xml:space="preserve">DURCONSA S.A de </w:t>
      </w:r>
      <w:r w:rsidRPr="00312C34">
        <w:rPr>
          <w:rFonts w:ascii="Abadi" w:hAnsi="Abadi" w:cs="*Arial-6098-Identity-H"/>
          <w:color w:val="14131C"/>
          <w:sz w:val="21"/>
          <w:szCs w:val="21"/>
        </w:rPr>
        <w:t xml:space="preserve">C. </w:t>
      </w:r>
      <w:r w:rsidRPr="00312C34">
        <w:rPr>
          <w:rFonts w:ascii="Abadi" w:hAnsi="Abadi" w:cs="*Times New Roman-Italic-6097-Id"/>
          <w:i/>
          <w:iCs/>
          <w:color w:val="14131C"/>
          <w:sz w:val="21"/>
          <w:szCs w:val="21"/>
        </w:rPr>
        <w:t xml:space="preserve">V., </w:t>
      </w:r>
      <w:r w:rsidRPr="00312C34">
        <w:rPr>
          <w:rFonts w:ascii="Abadi" w:hAnsi="Abadi" w:cs="*Arial-6098-Identity-H"/>
          <w:color w:val="14131C"/>
          <w:sz w:val="21"/>
          <w:szCs w:val="21"/>
        </w:rPr>
        <w:t>en términos de</w:t>
      </w:r>
      <w:r>
        <w:rPr>
          <w:rFonts w:ascii="Abadi" w:hAnsi="Abadi" w:cs="*Arial-6098-Identity-H"/>
          <w:color w:val="14131C"/>
          <w:sz w:val="21"/>
          <w:szCs w:val="21"/>
        </w:rPr>
        <w:t xml:space="preserve"> </w:t>
      </w:r>
      <w:r w:rsidRPr="00312C34">
        <w:rPr>
          <w:rFonts w:ascii="Abadi" w:hAnsi="Abadi" w:cs="*Arial-6098-Identity-H"/>
          <w:color w:val="14131C"/>
          <w:sz w:val="21"/>
          <w:szCs w:val="21"/>
        </w:rPr>
        <w:t>sustitución de las luminarias existentes por tecnología LEO, mantenimiento</w:t>
      </w:r>
      <w:r>
        <w:rPr>
          <w:rFonts w:ascii="Abadi" w:hAnsi="Abadi" w:cs="*Arial-6098-Identity-H"/>
          <w:color w:val="14131C"/>
          <w:sz w:val="21"/>
          <w:szCs w:val="21"/>
        </w:rPr>
        <w:t xml:space="preserve"> </w:t>
      </w:r>
      <w:r w:rsidRPr="00312C34">
        <w:rPr>
          <w:rFonts w:ascii="Abadi" w:hAnsi="Abadi" w:cs="*Arial-6098-Identity-H"/>
          <w:color w:val="14131C"/>
          <w:sz w:val="21"/>
          <w:szCs w:val="21"/>
        </w:rPr>
        <w:t xml:space="preserve">preventivo y correctivo, así como la operación de las mismas por un periodo de </w:t>
      </w:r>
      <w:r>
        <w:rPr>
          <w:rFonts w:ascii="Abadi" w:hAnsi="Abadi" w:cs="*Arial-6098-Identity-H"/>
          <w:color w:val="14131C"/>
          <w:sz w:val="21"/>
          <w:szCs w:val="21"/>
        </w:rPr>
        <w:t xml:space="preserve">10 </w:t>
      </w:r>
      <w:r w:rsidRPr="00312C34">
        <w:rPr>
          <w:rFonts w:ascii="Abadi" w:hAnsi="Abadi" w:cs="*Arial-6098-Identity-H"/>
          <w:color w:val="14131C"/>
          <w:sz w:val="21"/>
          <w:szCs w:val="21"/>
        </w:rPr>
        <w:t>años.</w:t>
      </w:r>
    </w:p>
    <w:p w14:paraId="1B28FBE9" w14:textId="77777777" w:rsidR="00A3693B" w:rsidRPr="00312C34" w:rsidRDefault="00A3693B" w:rsidP="00A3693B">
      <w:pPr>
        <w:jc w:val="both"/>
        <w:rPr>
          <w:rFonts w:ascii="Abadi" w:hAnsi="Abadi" w:cs="*Arial-6098-Identity-H"/>
          <w:color w:val="14131C"/>
          <w:sz w:val="21"/>
          <w:szCs w:val="21"/>
        </w:rPr>
      </w:pPr>
    </w:p>
    <w:p w14:paraId="689E154A" w14:textId="79AA7922" w:rsidR="00A3693B" w:rsidRDefault="00A3693B" w:rsidP="00A3693B">
      <w:pPr>
        <w:autoSpaceDE w:val="0"/>
        <w:autoSpaceDN w:val="0"/>
        <w:adjustRightInd w:val="0"/>
        <w:ind w:firstLine="708"/>
        <w:jc w:val="both"/>
        <w:rPr>
          <w:rFonts w:ascii="Abadi" w:hAnsi="Abadi" w:cs="*Arial-5531-Identity-H"/>
          <w:color w:val="14131C"/>
          <w:sz w:val="21"/>
          <w:szCs w:val="21"/>
        </w:rPr>
      </w:pPr>
      <w:r w:rsidRPr="00312C34">
        <w:rPr>
          <w:rFonts w:ascii="Abadi" w:hAnsi="Abadi" w:cs="*Arial-5531-Identity-H"/>
          <w:color w:val="14131C"/>
          <w:sz w:val="21"/>
          <w:szCs w:val="21"/>
        </w:rPr>
        <w:t>Asimismo, se hace constar que la administración pública municipal de</w:t>
      </w:r>
      <w:r>
        <w:rPr>
          <w:rFonts w:ascii="Abadi" w:hAnsi="Abadi" w:cs="*Arial-5531-Identity-H"/>
          <w:color w:val="14131C"/>
          <w:sz w:val="21"/>
          <w:szCs w:val="21"/>
        </w:rPr>
        <w:t xml:space="preserve"> </w:t>
      </w:r>
      <w:r w:rsidRPr="00312C34">
        <w:rPr>
          <w:rFonts w:ascii="Abadi" w:hAnsi="Abadi" w:cs="*Arial-5531-Identity-H"/>
          <w:color w:val="14131C"/>
          <w:sz w:val="21"/>
          <w:szCs w:val="21"/>
        </w:rPr>
        <w:t>Apaseo el Grande, Gto., implementó acciones para otorgar el servicio de</w:t>
      </w:r>
      <w:r>
        <w:rPr>
          <w:rFonts w:ascii="Abadi" w:hAnsi="Abadi" w:cs="*Arial-5531-Identity-H"/>
          <w:color w:val="14131C"/>
          <w:sz w:val="21"/>
          <w:szCs w:val="21"/>
        </w:rPr>
        <w:t xml:space="preserve"> </w:t>
      </w:r>
      <w:r w:rsidRPr="00312C34">
        <w:rPr>
          <w:rFonts w:ascii="Abadi" w:hAnsi="Abadi" w:cs="*Arial-5531-Identity-H"/>
          <w:color w:val="14131C"/>
          <w:sz w:val="21"/>
          <w:szCs w:val="21"/>
        </w:rPr>
        <w:t>alumbrado público a la población, identificándose entre sus fortalezas que, como</w:t>
      </w:r>
      <w:r>
        <w:rPr>
          <w:rFonts w:ascii="Abadi" w:hAnsi="Abadi" w:cs="*Arial-5531-Identity-H"/>
          <w:color w:val="14131C"/>
          <w:sz w:val="21"/>
          <w:szCs w:val="21"/>
        </w:rPr>
        <w:t xml:space="preserve"> </w:t>
      </w:r>
      <w:r w:rsidRPr="00312C34">
        <w:rPr>
          <w:rFonts w:ascii="Abadi" w:hAnsi="Abadi" w:cs="*Arial-5531-Identity-H"/>
          <w:color w:val="14131C"/>
          <w:sz w:val="21"/>
          <w:szCs w:val="21"/>
        </w:rPr>
        <w:t>resultado de la concesión de dicho servicio en 2018, a la fecha de elaboración del</w:t>
      </w:r>
      <w:r>
        <w:rPr>
          <w:rFonts w:ascii="Abadi" w:hAnsi="Abadi" w:cs="*Arial-5531-Identity-H"/>
          <w:color w:val="14131C"/>
          <w:sz w:val="21"/>
          <w:szCs w:val="21"/>
        </w:rPr>
        <w:t xml:space="preserve"> </w:t>
      </w:r>
      <w:r w:rsidRPr="00312C34">
        <w:rPr>
          <w:rFonts w:ascii="Abadi" w:hAnsi="Abadi" w:cs="*Arial-5531-Identity-H"/>
          <w:color w:val="14131C"/>
          <w:sz w:val="21"/>
          <w:szCs w:val="21"/>
        </w:rPr>
        <w:t>informe de resultados el 97.6% (7,540) de las luminarias instaladas en el territorio</w:t>
      </w:r>
      <w:r>
        <w:rPr>
          <w:rFonts w:ascii="Abadi" w:hAnsi="Abadi" w:cs="*Arial-5531-Identity-H"/>
          <w:color w:val="14131C"/>
          <w:sz w:val="21"/>
          <w:szCs w:val="21"/>
        </w:rPr>
        <w:t xml:space="preserve"> </w:t>
      </w:r>
      <w:r w:rsidRPr="00312C34">
        <w:rPr>
          <w:rFonts w:ascii="Abadi" w:hAnsi="Abadi" w:cs="*Arial-5531-Identity-H"/>
          <w:color w:val="14131C"/>
          <w:sz w:val="21"/>
          <w:szCs w:val="21"/>
        </w:rPr>
        <w:t>municipal correspondió a LEO, cuya tecnología reduce la emisión de</w:t>
      </w:r>
      <w:r>
        <w:rPr>
          <w:rFonts w:ascii="Abadi" w:hAnsi="Abadi" w:cs="*Arial-5531-Identity-H"/>
          <w:color w:val="14131C"/>
          <w:sz w:val="21"/>
          <w:szCs w:val="21"/>
        </w:rPr>
        <w:t xml:space="preserve"> </w:t>
      </w:r>
      <w:r w:rsidRPr="00312C34">
        <w:rPr>
          <w:rFonts w:ascii="Abadi" w:hAnsi="Abadi" w:cs="*Arial-5531-Identity-H"/>
          <w:color w:val="14131C"/>
          <w:sz w:val="21"/>
          <w:szCs w:val="21"/>
        </w:rPr>
        <w:t>contaminantes y, a su vez, los costos en el consumo de energía eléctrica, teniendo</w:t>
      </w:r>
      <w:r>
        <w:rPr>
          <w:rFonts w:ascii="Abadi" w:hAnsi="Abadi" w:cs="*Arial-5531-Identity-H"/>
          <w:color w:val="14131C"/>
          <w:sz w:val="21"/>
          <w:szCs w:val="21"/>
        </w:rPr>
        <w:t xml:space="preserve"> </w:t>
      </w:r>
      <w:r w:rsidRPr="00312C34">
        <w:rPr>
          <w:rFonts w:ascii="Abadi" w:hAnsi="Abadi" w:cs="*Arial-5531-Identity-H"/>
          <w:color w:val="14131C"/>
          <w:sz w:val="21"/>
          <w:szCs w:val="21"/>
        </w:rPr>
        <w:t>como resultado la disminución del presupuesto destinado al pago correspondiente</w:t>
      </w:r>
      <w:r>
        <w:rPr>
          <w:rFonts w:ascii="Abadi" w:hAnsi="Abadi" w:cs="*Arial-5531-Identity-H"/>
          <w:color w:val="14131C"/>
          <w:sz w:val="21"/>
          <w:szCs w:val="21"/>
        </w:rPr>
        <w:t xml:space="preserve"> </w:t>
      </w:r>
      <w:r w:rsidRPr="00312C34">
        <w:rPr>
          <w:rFonts w:ascii="Abadi" w:hAnsi="Abadi" w:cs="*Arial-5531-Identity-H"/>
          <w:color w:val="14131C"/>
          <w:sz w:val="21"/>
          <w:szCs w:val="21"/>
        </w:rPr>
        <w:t>a la Comisión Federal de Electricidad. No obstante, quedó en evidencia que la</w:t>
      </w:r>
      <w:r>
        <w:rPr>
          <w:rFonts w:ascii="Abadi" w:hAnsi="Abadi" w:cs="*Arial-5531-Identity-H"/>
          <w:color w:val="14131C"/>
          <w:sz w:val="21"/>
          <w:szCs w:val="21"/>
        </w:rPr>
        <w:t xml:space="preserve"> </w:t>
      </w:r>
      <w:r w:rsidRPr="00312C34">
        <w:rPr>
          <w:rFonts w:ascii="Abadi" w:hAnsi="Abadi" w:cs="*Arial-5531-Identity-H"/>
          <w:color w:val="14131C"/>
          <w:sz w:val="21"/>
          <w:szCs w:val="21"/>
        </w:rPr>
        <w:t>gestión del servicio presentó áreas de oportunidad.</w:t>
      </w:r>
    </w:p>
    <w:p w14:paraId="13A3B2B1" w14:textId="77777777" w:rsidR="00A3693B" w:rsidRPr="00312C34" w:rsidRDefault="00A3693B" w:rsidP="00A3693B">
      <w:pPr>
        <w:autoSpaceDE w:val="0"/>
        <w:autoSpaceDN w:val="0"/>
        <w:adjustRightInd w:val="0"/>
        <w:jc w:val="both"/>
        <w:rPr>
          <w:rFonts w:ascii="Abadi" w:hAnsi="Abadi" w:cs="*Arial-5531-Identity-H"/>
          <w:color w:val="14131C"/>
          <w:sz w:val="21"/>
          <w:szCs w:val="21"/>
        </w:rPr>
      </w:pPr>
    </w:p>
    <w:p w14:paraId="0A0AFEFB" w14:textId="77777777" w:rsidR="00A3693B" w:rsidRDefault="00A3693B" w:rsidP="00A3693B">
      <w:pPr>
        <w:autoSpaceDE w:val="0"/>
        <w:autoSpaceDN w:val="0"/>
        <w:adjustRightInd w:val="0"/>
        <w:ind w:firstLine="708"/>
        <w:jc w:val="both"/>
        <w:rPr>
          <w:rFonts w:ascii="Abadi" w:hAnsi="Abadi" w:cs="*Arial-5531-Identity-H"/>
          <w:color w:val="13131A"/>
          <w:sz w:val="21"/>
          <w:szCs w:val="21"/>
        </w:rPr>
      </w:pPr>
      <w:r w:rsidRPr="00312C34">
        <w:rPr>
          <w:rFonts w:ascii="Abadi" w:hAnsi="Abadi" w:cs="*Arial-5531-Identity-H"/>
          <w:color w:val="13131A"/>
          <w:sz w:val="21"/>
          <w:szCs w:val="21"/>
        </w:rPr>
        <w:t>En cuanto a la supervisión y monitoreo del cumplimiento de las obligaciones</w:t>
      </w:r>
      <w:r>
        <w:rPr>
          <w:rFonts w:ascii="Abadi" w:hAnsi="Abadi" w:cs="*Arial-5531-Identity-H"/>
          <w:color w:val="13131A"/>
          <w:sz w:val="21"/>
          <w:szCs w:val="21"/>
        </w:rPr>
        <w:t xml:space="preserve"> </w:t>
      </w:r>
      <w:r w:rsidRPr="00312C34">
        <w:rPr>
          <w:rFonts w:ascii="Abadi" w:hAnsi="Abadi" w:cs="*Arial-5531-Identity-H"/>
          <w:color w:val="13131A"/>
          <w:sz w:val="21"/>
          <w:szCs w:val="21"/>
        </w:rPr>
        <w:t xml:space="preserve">conferidas a la empresa </w:t>
      </w:r>
      <w:r w:rsidRPr="00312C34">
        <w:rPr>
          <w:rFonts w:ascii="Abadi" w:hAnsi="Abadi" w:cs="*Arial-Italic-5532-Identity-H"/>
          <w:i/>
          <w:iCs/>
          <w:color w:val="13131A"/>
          <w:sz w:val="21"/>
          <w:szCs w:val="21"/>
        </w:rPr>
        <w:t xml:space="preserve">DURCONSA S.A de </w:t>
      </w:r>
      <w:r w:rsidRPr="00312C34">
        <w:rPr>
          <w:rFonts w:ascii="Abadi" w:hAnsi="Abadi" w:cs="*Arial-5531-Identity-H"/>
          <w:color w:val="13131A"/>
          <w:sz w:val="21"/>
          <w:szCs w:val="21"/>
        </w:rPr>
        <w:t xml:space="preserve">C. </w:t>
      </w:r>
      <w:r w:rsidRPr="00312C34">
        <w:rPr>
          <w:rFonts w:ascii="Abadi" w:hAnsi="Abadi" w:cs="*Times New Roman-Italic-5529-Id"/>
          <w:i/>
          <w:iCs/>
          <w:color w:val="13131A"/>
          <w:sz w:val="21"/>
          <w:szCs w:val="21"/>
        </w:rPr>
        <w:t xml:space="preserve">V. </w:t>
      </w:r>
      <w:r w:rsidRPr="00312C34">
        <w:rPr>
          <w:rFonts w:ascii="Abadi" w:hAnsi="Abadi" w:cs="*Arial-5531-Identity-H"/>
          <w:color w:val="13131A"/>
          <w:sz w:val="21"/>
          <w:szCs w:val="21"/>
        </w:rPr>
        <w:t>en el título-concesión, no se</w:t>
      </w:r>
      <w:r>
        <w:rPr>
          <w:rFonts w:ascii="Abadi" w:hAnsi="Abadi" w:cs="*Arial-5531-Identity-H"/>
          <w:color w:val="13131A"/>
          <w:sz w:val="21"/>
          <w:szCs w:val="21"/>
        </w:rPr>
        <w:t xml:space="preserve"> </w:t>
      </w:r>
      <w:r w:rsidRPr="00312C34">
        <w:rPr>
          <w:rFonts w:ascii="Abadi" w:hAnsi="Abadi" w:cs="*Arial-5531-Identity-H"/>
          <w:color w:val="13131A"/>
          <w:sz w:val="21"/>
          <w:szCs w:val="21"/>
        </w:rPr>
        <w:t>efectuaron actividades, ni se implementaron mecanismos de verificación para</w:t>
      </w:r>
      <w:r>
        <w:rPr>
          <w:rFonts w:ascii="Abadi" w:hAnsi="Abadi" w:cs="*Arial-5531-Identity-H"/>
          <w:color w:val="13131A"/>
          <w:sz w:val="21"/>
          <w:szCs w:val="21"/>
        </w:rPr>
        <w:t xml:space="preserve"> </w:t>
      </w:r>
      <w:r w:rsidRPr="00312C34">
        <w:rPr>
          <w:rFonts w:ascii="Abadi" w:hAnsi="Abadi" w:cs="*Arial-5531-Identity-H"/>
          <w:color w:val="13131A"/>
          <w:sz w:val="21"/>
          <w:szCs w:val="21"/>
        </w:rPr>
        <w:t>comprobar y evaluar el desempeño de dicho intermediario en su operación, así</w:t>
      </w:r>
      <w:r>
        <w:rPr>
          <w:rFonts w:ascii="Abadi" w:hAnsi="Abadi" w:cs="*Arial-5531-Identity-H"/>
          <w:color w:val="13131A"/>
          <w:sz w:val="21"/>
          <w:szCs w:val="21"/>
        </w:rPr>
        <w:t xml:space="preserve"> </w:t>
      </w:r>
      <w:r w:rsidRPr="00312C34">
        <w:rPr>
          <w:rFonts w:ascii="Abadi" w:hAnsi="Abadi" w:cs="*Arial-5531-Identity-H"/>
          <w:color w:val="13131A"/>
          <w:sz w:val="21"/>
          <w:szCs w:val="21"/>
        </w:rPr>
        <w:t>como de la revisión correctiva y preventiva del estado físico de las luminarias y sus</w:t>
      </w:r>
      <w:r>
        <w:rPr>
          <w:rFonts w:ascii="Abadi" w:hAnsi="Abadi" w:cs="*Arial-5531-Identity-H"/>
          <w:color w:val="13131A"/>
          <w:sz w:val="21"/>
          <w:szCs w:val="21"/>
        </w:rPr>
        <w:t xml:space="preserve"> </w:t>
      </w:r>
      <w:r w:rsidRPr="00312C34">
        <w:rPr>
          <w:rFonts w:ascii="Abadi" w:hAnsi="Abadi" w:cs="*Arial-5531-Identity-H"/>
          <w:color w:val="13131A"/>
          <w:sz w:val="21"/>
          <w:szCs w:val="21"/>
        </w:rPr>
        <w:t>componentes y, en su caso, de la reparación o sustitución de aquellas que así lo</w:t>
      </w:r>
      <w:r>
        <w:rPr>
          <w:rFonts w:ascii="Abadi" w:hAnsi="Abadi" w:cs="*Arial-5531-Identity-H"/>
          <w:color w:val="13131A"/>
          <w:sz w:val="21"/>
          <w:szCs w:val="21"/>
        </w:rPr>
        <w:t xml:space="preserve"> </w:t>
      </w:r>
      <w:r w:rsidRPr="00312C34">
        <w:rPr>
          <w:rFonts w:ascii="Abadi" w:hAnsi="Abadi" w:cs="*Arial-5531-Identity-H"/>
          <w:color w:val="13131A"/>
          <w:sz w:val="21"/>
          <w:szCs w:val="21"/>
        </w:rPr>
        <w:t>requirieran, así como garantizar la implementación de mecanismos que</w:t>
      </w:r>
      <w:r>
        <w:rPr>
          <w:rFonts w:ascii="Abadi" w:hAnsi="Abadi" w:cs="*Arial-5531-Identity-H"/>
          <w:color w:val="13131A"/>
          <w:sz w:val="21"/>
          <w:szCs w:val="21"/>
        </w:rPr>
        <w:t xml:space="preserve"> </w:t>
      </w:r>
      <w:r w:rsidRPr="00312C34">
        <w:rPr>
          <w:rFonts w:ascii="Abadi" w:hAnsi="Abadi" w:cs="*Arial-5531-Identity-H"/>
          <w:color w:val="13131A"/>
          <w:sz w:val="21"/>
          <w:szCs w:val="21"/>
        </w:rPr>
        <w:t>promovieran la participación ciudadana, por lo que se considera que el</w:t>
      </w:r>
      <w:r>
        <w:rPr>
          <w:rFonts w:ascii="Abadi" w:hAnsi="Abadi" w:cs="*Arial-5531-Identity-H"/>
          <w:color w:val="13131A"/>
          <w:sz w:val="21"/>
          <w:szCs w:val="21"/>
        </w:rPr>
        <w:t xml:space="preserve"> </w:t>
      </w:r>
      <w:r w:rsidRPr="00312C34">
        <w:rPr>
          <w:rFonts w:ascii="Abadi" w:hAnsi="Abadi" w:cs="*Arial-5531-Identity-H"/>
          <w:color w:val="13131A"/>
          <w:sz w:val="21"/>
          <w:szCs w:val="21"/>
        </w:rPr>
        <w:t>incumplimiento de sus obligaciones como supervisor podría tener como</w:t>
      </w:r>
      <w:r>
        <w:rPr>
          <w:rFonts w:ascii="Abadi" w:hAnsi="Abadi" w:cs="*Arial-5531-Identity-H"/>
          <w:color w:val="13131A"/>
          <w:sz w:val="21"/>
          <w:szCs w:val="21"/>
        </w:rPr>
        <w:t xml:space="preserve"> </w:t>
      </w:r>
      <w:r w:rsidRPr="00312C34">
        <w:rPr>
          <w:rFonts w:ascii="Abadi" w:hAnsi="Abadi" w:cs="*Arial-5531-Identity-H"/>
          <w:color w:val="13131A"/>
          <w:sz w:val="21"/>
          <w:szCs w:val="21"/>
        </w:rPr>
        <w:t>consecuencia que el servicio no fuera otorgado de manera permanente, general,</w:t>
      </w:r>
      <w:r>
        <w:rPr>
          <w:rFonts w:ascii="Abadi" w:hAnsi="Abadi" w:cs="*Arial-5531-Identity-H"/>
          <w:color w:val="13131A"/>
          <w:sz w:val="21"/>
          <w:szCs w:val="21"/>
        </w:rPr>
        <w:t xml:space="preserve"> </w:t>
      </w:r>
      <w:r w:rsidRPr="00312C34">
        <w:rPr>
          <w:rFonts w:ascii="Abadi" w:hAnsi="Abadi" w:cs="*Arial-5531-Identity-H"/>
          <w:color w:val="13131A"/>
          <w:sz w:val="21"/>
          <w:szCs w:val="21"/>
        </w:rPr>
        <w:t>uniforme y continua en todo el territorio municipal y no tuviera la calidad necesaria</w:t>
      </w:r>
      <w:r>
        <w:rPr>
          <w:rFonts w:ascii="Abadi" w:hAnsi="Abadi" w:cs="*Arial-5531-Identity-H"/>
          <w:color w:val="13131A"/>
          <w:sz w:val="21"/>
          <w:szCs w:val="21"/>
        </w:rPr>
        <w:t xml:space="preserve"> </w:t>
      </w:r>
      <w:r w:rsidRPr="00312C34">
        <w:rPr>
          <w:rFonts w:ascii="Abadi" w:hAnsi="Abadi" w:cs="*Arial-5531-Identity-H"/>
          <w:color w:val="13131A"/>
          <w:sz w:val="21"/>
          <w:szCs w:val="21"/>
        </w:rPr>
        <w:t>para satisfacer las necesidades de la población.</w:t>
      </w:r>
    </w:p>
    <w:p w14:paraId="62E48C05" w14:textId="77777777" w:rsidR="00A3693B" w:rsidRPr="00312C34" w:rsidRDefault="00A3693B" w:rsidP="00A3693B">
      <w:pPr>
        <w:autoSpaceDE w:val="0"/>
        <w:autoSpaceDN w:val="0"/>
        <w:adjustRightInd w:val="0"/>
        <w:jc w:val="both"/>
        <w:rPr>
          <w:rFonts w:ascii="Abadi" w:hAnsi="Abadi" w:cs="*Arial-5531-Identity-H"/>
          <w:color w:val="13131A"/>
          <w:sz w:val="21"/>
          <w:szCs w:val="21"/>
        </w:rPr>
      </w:pPr>
    </w:p>
    <w:p w14:paraId="74DC756E" w14:textId="77777777" w:rsidR="00A3693B" w:rsidRPr="00312C34" w:rsidRDefault="00A3693B" w:rsidP="00A3693B">
      <w:pPr>
        <w:autoSpaceDE w:val="0"/>
        <w:autoSpaceDN w:val="0"/>
        <w:adjustRightInd w:val="0"/>
        <w:ind w:firstLine="708"/>
        <w:jc w:val="both"/>
        <w:rPr>
          <w:rFonts w:ascii="Abadi" w:hAnsi="Abadi" w:cs="*Arial-5531-Identity-H"/>
          <w:color w:val="14131B"/>
          <w:sz w:val="21"/>
          <w:szCs w:val="21"/>
        </w:rPr>
      </w:pPr>
      <w:r w:rsidRPr="00312C34">
        <w:rPr>
          <w:rFonts w:ascii="Abadi" w:hAnsi="Abadi" w:cs="*Arial-5531-Identity-H"/>
          <w:color w:val="14131B"/>
          <w:sz w:val="21"/>
          <w:szCs w:val="21"/>
        </w:rPr>
        <w:t>Respecto a la gestión de la planificación se verificó que, aun cuando el</w:t>
      </w:r>
      <w:r>
        <w:rPr>
          <w:rFonts w:ascii="Abadi" w:hAnsi="Abadi" w:cs="*Arial-5531-Identity-H"/>
          <w:color w:val="14131B"/>
          <w:sz w:val="21"/>
          <w:szCs w:val="21"/>
        </w:rPr>
        <w:t xml:space="preserve"> </w:t>
      </w:r>
      <w:r w:rsidRPr="00312C34">
        <w:rPr>
          <w:rFonts w:ascii="Abadi" w:hAnsi="Abadi" w:cs="*Arial-5531-Identity-H"/>
          <w:color w:val="14131B"/>
          <w:sz w:val="21"/>
          <w:szCs w:val="21"/>
        </w:rPr>
        <w:t>sujeto fiscalizado contó con un censo del número de lámparas y luminarias que se</w:t>
      </w:r>
      <w:r>
        <w:rPr>
          <w:rFonts w:ascii="Abadi" w:hAnsi="Abadi" w:cs="*Arial-5531-Identity-H"/>
          <w:color w:val="14131B"/>
          <w:sz w:val="21"/>
          <w:szCs w:val="21"/>
        </w:rPr>
        <w:t xml:space="preserve"> </w:t>
      </w:r>
      <w:r w:rsidRPr="00312C34">
        <w:rPr>
          <w:rFonts w:ascii="Abadi" w:hAnsi="Abadi" w:cs="*Arial-5531-Identity-H"/>
          <w:color w:val="14131B"/>
          <w:sz w:val="21"/>
          <w:szCs w:val="21"/>
        </w:rPr>
        <w:t>encontraron instaladas en su territorio al cierre de 2020, incluyendo los datos</w:t>
      </w:r>
      <w:r>
        <w:rPr>
          <w:rFonts w:ascii="Abadi" w:hAnsi="Abadi" w:cs="*Arial-5531-Identity-H"/>
          <w:color w:val="14131B"/>
          <w:sz w:val="21"/>
          <w:szCs w:val="21"/>
        </w:rPr>
        <w:t xml:space="preserve"> </w:t>
      </w:r>
      <w:r w:rsidRPr="00312C34">
        <w:rPr>
          <w:rFonts w:ascii="Abadi" w:hAnsi="Abadi" w:cs="*Arial-5531-Identity-H"/>
          <w:color w:val="14131B"/>
          <w:sz w:val="21"/>
          <w:szCs w:val="21"/>
        </w:rPr>
        <w:t>correspondientes al tipo de tecnología de cada una, sus registros carecieron de la</w:t>
      </w:r>
      <w:r>
        <w:rPr>
          <w:rFonts w:ascii="Abadi" w:hAnsi="Abadi" w:cs="*Arial-5531-Identity-H"/>
          <w:color w:val="14131B"/>
          <w:sz w:val="21"/>
          <w:szCs w:val="21"/>
        </w:rPr>
        <w:t xml:space="preserve"> </w:t>
      </w:r>
      <w:r w:rsidRPr="00312C34">
        <w:rPr>
          <w:rFonts w:ascii="Abadi" w:hAnsi="Abadi" w:cs="*Arial-5531-Identity-H"/>
          <w:color w:val="14131B"/>
          <w:sz w:val="21"/>
          <w:szCs w:val="21"/>
        </w:rPr>
        <w:t>referencia sobre su ubicación exacta en las calles y colonias de las distintas</w:t>
      </w:r>
      <w:r>
        <w:rPr>
          <w:rFonts w:ascii="Abadi" w:hAnsi="Abadi" w:cs="*Arial-5531-Identity-H"/>
          <w:color w:val="14131B"/>
          <w:sz w:val="21"/>
          <w:szCs w:val="21"/>
        </w:rPr>
        <w:t xml:space="preserve"> </w:t>
      </w:r>
      <w:r w:rsidRPr="00312C34">
        <w:rPr>
          <w:rFonts w:ascii="Abadi" w:hAnsi="Abadi" w:cs="*Arial-5531-Identity-H"/>
          <w:color w:val="14131B"/>
          <w:sz w:val="21"/>
          <w:szCs w:val="21"/>
        </w:rPr>
        <w:t>localidades, así como de su estado de funcionamiento, datos que, de acuerdo con</w:t>
      </w:r>
      <w:r>
        <w:rPr>
          <w:rFonts w:ascii="Abadi" w:hAnsi="Abadi" w:cs="*Arial-5531-Identity-H"/>
          <w:color w:val="14131B"/>
          <w:sz w:val="21"/>
          <w:szCs w:val="21"/>
        </w:rPr>
        <w:t xml:space="preserve"> </w:t>
      </w:r>
      <w:r w:rsidRPr="00312C34">
        <w:rPr>
          <w:rFonts w:ascii="Abadi" w:hAnsi="Abadi" w:cs="*Arial-5531-Identity-H"/>
          <w:color w:val="14131B"/>
          <w:sz w:val="21"/>
          <w:szCs w:val="21"/>
        </w:rPr>
        <w:t>el Instituto Nacional para el Federalismo y el Desarrollo Municipal son relevantes</w:t>
      </w:r>
      <w:r>
        <w:rPr>
          <w:rFonts w:ascii="Abadi" w:hAnsi="Abadi" w:cs="*Arial-5531-Identity-H"/>
          <w:color w:val="14131B"/>
          <w:sz w:val="21"/>
          <w:szCs w:val="21"/>
        </w:rPr>
        <w:t xml:space="preserve"> </w:t>
      </w:r>
      <w:r w:rsidRPr="00312C34">
        <w:rPr>
          <w:rFonts w:ascii="Abadi" w:hAnsi="Abadi" w:cs="*Arial-5531-Identity-H"/>
          <w:color w:val="14131B"/>
          <w:sz w:val="21"/>
          <w:szCs w:val="21"/>
        </w:rPr>
        <w:t>para contribuir a que las autoridades puedan evaluar y diagnosticar el nivel de</w:t>
      </w:r>
      <w:r>
        <w:rPr>
          <w:rFonts w:ascii="Abadi" w:hAnsi="Abadi" w:cs="*Arial-5531-Identity-H"/>
          <w:color w:val="14131B"/>
          <w:sz w:val="21"/>
          <w:szCs w:val="21"/>
        </w:rPr>
        <w:t xml:space="preserve"> </w:t>
      </w:r>
      <w:r w:rsidRPr="00312C34">
        <w:rPr>
          <w:rFonts w:ascii="Abadi" w:hAnsi="Abadi" w:cs="*Arial-5531-Identity-H"/>
          <w:color w:val="14131B"/>
          <w:sz w:val="21"/>
          <w:szCs w:val="21"/>
        </w:rPr>
        <w:t>cobertura en su territorio.</w:t>
      </w:r>
    </w:p>
    <w:p w14:paraId="4891E017" w14:textId="77777777" w:rsidR="00A3693B" w:rsidRPr="00312C34" w:rsidRDefault="00A3693B" w:rsidP="00A3693B">
      <w:pPr>
        <w:jc w:val="both"/>
        <w:rPr>
          <w:rFonts w:ascii="Abadi" w:hAnsi="Abadi" w:cs="*Arial-5531-Identity-H"/>
          <w:color w:val="14131B"/>
          <w:sz w:val="21"/>
          <w:szCs w:val="21"/>
        </w:rPr>
      </w:pPr>
    </w:p>
    <w:p w14:paraId="1F4EB82F" w14:textId="77777777" w:rsidR="00A3693B" w:rsidRDefault="00A3693B" w:rsidP="00A3693B">
      <w:pPr>
        <w:autoSpaceDE w:val="0"/>
        <w:autoSpaceDN w:val="0"/>
        <w:adjustRightInd w:val="0"/>
        <w:ind w:firstLine="708"/>
        <w:jc w:val="both"/>
        <w:rPr>
          <w:rFonts w:ascii="Abadi" w:hAnsi="Abadi" w:cs="*Arial-5719-Identity-H"/>
          <w:color w:val="15141C"/>
          <w:sz w:val="21"/>
          <w:szCs w:val="21"/>
        </w:rPr>
      </w:pPr>
      <w:r w:rsidRPr="00312C34">
        <w:rPr>
          <w:rFonts w:ascii="Abadi" w:hAnsi="Abadi" w:cs="*Arial-5719-Identity-H"/>
          <w:color w:val="15141C"/>
          <w:sz w:val="21"/>
          <w:szCs w:val="21"/>
        </w:rPr>
        <w:t>En lo que corresponde a la operación del servicio de alumbrado público se</w:t>
      </w:r>
      <w:r>
        <w:rPr>
          <w:rFonts w:ascii="Abadi" w:hAnsi="Abadi" w:cs="*Arial-5719-Identity-H"/>
          <w:color w:val="15141C"/>
          <w:sz w:val="21"/>
          <w:szCs w:val="21"/>
        </w:rPr>
        <w:t xml:space="preserve"> </w:t>
      </w:r>
      <w:r w:rsidRPr="00312C34">
        <w:rPr>
          <w:rFonts w:ascii="Abadi" w:hAnsi="Abadi" w:cs="*Arial-5719-Identity-H"/>
          <w:color w:val="15141C"/>
          <w:sz w:val="21"/>
          <w:szCs w:val="21"/>
        </w:rPr>
        <w:t>constató que el sujeto fiscali</w:t>
      </w:r>
      <w:r>
        <w:rPr>
          <w:rFonts w:ascii="Abadi" w:hAnsi="Abadi" w:cs="*Arial-5719-Identity-H"/>
          <w:color w:val="15141C"/>
          <w:sz w:val="21"/>
          <w:szCs w:val="21"/>
        </w:rPr>
        <w:t>z</w:t>
      </w:r>
      <w:r w:rsidRPr="00312C34">
        <w:rPr>
          <w:rFonts w:ascii="Abadi" w:hAnsi="Abadi" w:cs="*Arial-5719-Identity-H"/>
          <w:color w:val="15141C"/>
          <w:sz w:val="21"/>
          <w:szCs w:val="21"/>
        </w:rPr>
        <w:t>ado no dispuso de los documentos normativos que le</w:t>
      </w:r>
      <w:r>
        <w:rPr>
          <w:rFonts w:ascii="Abadi" w:hAnsi="Abadi" w:cs="*Arial-5719-Identity-H"/>
          <w:color w:val="15141C"/>
          <w:sz w:val="21"/>
          <w:szCs w:val="21"/>
        </w:rPr>
        <w:t xml:space="preserve"> </w:t>
      </w:r>
      <w:r w:rsidRPr="00312C34">
        <w:rPr>
          <w:rFonts w:ascii="Abadi" w:hAnsi="Abadi" w:cs="*Arial-5719-Identity-H"/>
          <w:color w:val="15141C"/>
          <w:sz w:val="21"/>
          <w:szCs w:val="21"/>
        </w:rPr>
        <w:t>permitieran regular, de manera específica, la prestación de este, los niveles de</w:t>
      </w:r>
      <w:r>
        <w:rPr>
          <w:rFonts w:ascii="Abadi" w:hAnsi="Abadi" w:cs="*Arial-5719-Identity-H"/>
          <w:color w:val="15141C"/>
          <w:sz w:val="21"/>
          <w:szCs w:val="21"/>
        </w:rPr>
        <w:t xml:space="preserve"> </w:t>
      </w:r>
      <w:r w:rsidRPr="00312C34">
        <w:rPr>
          <w:rFonts w:ascii="Abadi" w:hAnsi="Abadi" w:cs="*Arial-5719-Identity-H"/>
          <w:color w:val="15141C"/>
          <w:sz w:val="21"/>
          <w:szCs w:val="21"/>
        </w:rPr>
        <w:t>responsabilidad, ni las actividades que debía realizar la Subdirección de Aseo y</w:t>
      </w:r>
      <w:r>
        <w:rPr>
          <w:rFonts w:ascii="Abadi" w:hAnsi="Abadi" w:cs="*Arial-5719-Identity-H"/>
          <w:color w:val="15141C"/>
          <w:sz w:val="21"/>
          <w:szCs w:val="21"/>
        </w:rPr>
        <w:t xml:space="preserve"> </w:t>
      </w:r>
      <w:r w:rsidRPr="00312C34">
        <w:rPr>
          <w:rFonts w:ascii="Abadi" w:hAnsi="Abadi" w:cs="*Arial-5719-Identity-H"/>
          <w:color w:val="15141C"/>
          <w:sz w:val="21"/>
          <w:szCs w:val="21"/>
        </w:rPr>
        <w:t>Alumbrado Público y Control Canino para garantizar su otorgamiento y, por ende,</w:t>
      </w:r>
      <w:r>
        <w:rPr>
          <w:rFonts w:ascii="Abadi" w:hAnsi="Abadi" w:cs="*Arial-5719-Identity-H"/>
          <w:color w:val="15141C"/>
          <w:sz w:val="21"/>
          <w:szCs w:val="21"/>
        </w:rPr>
        <w:t xml:space="preserve"> </w:t>
      </w:r>
      <w:r w:rsidRPr="00312C34">
        <w:rPr>
          <w:rFonts w:ascii="Abadi" w:hAnsi="Abadi" w:cs="*Arial-5719-Identity-H"/>
          <w:color w:val="15141C"/>
          <w:sz w:val="21"/>
          <w:szCs w:val="21"/>
        </w:rPr>
        <w:t>careció de los elementos necesarios para definir los objetivos del área, las</w:t>
      </w:r>
      <w:r>
        <w:rPr>
          <w:rFonts w:ascii="Abadi" w:hAnsi="Abadi" w:cs="*Arial-5719-Identity-H"/>
          <w:color w:val="15141C"/>
          <w:sz w:val="21"/>
          <w:szCs w:val="21"/>
        </w:rPr>
        <w:t xml:space="preserve"> </w:t>
      </w:r>
      <w:r w:rsidRPr="00312C34">
        <w:rPr>
          <w:rFonts w:ascii="Abadi" w:hAnsi="Abadi" w:cs="*Arial-5719-Identity-H"/>
          <w:color w:val="15141C"/>
          <w:sz w:val="21"/>
          <w:szCs w:val="21"/>
        </w:rPr>
        <w:t>funciones que debía realizar el personal adscrito, los procesos o actividades que</w:t>
      </w:r>
      <w:r>
        <w:rPr>
          <w:rFonts w:ascii="Abadi" w:hAnsi="Abadi" w:cs="*Arial-5719-Identity-H"/>
          <w:color w:val="15141C"/>
          <w:sz w:val="21"/>
          <w:szCs w:val="21"/>
        </w:rPr>
        <w:t xml:space="preserve"> </w:t>
      </w:r>
      <w:r w:rsidRPr="00312C34">
        <w:rPr>
          <w:rFonts w:ascii="Abadi" w:hAnsi="Abadi" w:cs="*Arial-5719-Identity-H"/>
          <w:color w:val="15141C"/>
          <w:sz w:val="21"/>
          <w:szCs w:val="21"/>
        </w:rPr>
        <w:t>resultaron necesarios para asegurar que el servicio fuera otorgado en condiciones</w:t>
      </w:r>
      <w:r>
        <w:rPr>
          <w:rFonts w:ascii="Abadi" w:hAnsi="Abadi" w:cs="*Arial-5719-Identity-H"/>
          <w:color w:val="15141C"/>
          <w:sz w:val="21"/>
          <w:szCs w:val="21"/>
        </w:rPr>
        <w:t xml:space="preserve"> </w:t>
      </w:r>
      <w:r w:rsidRPr="00312C34">
        <w:rPr>
          <w:rFonts w:ascii="Abadi" w:hAnsi="Abadi" w:cs="*Arial-5719-Identity-H"/>
          <w:color w:val="15141C"/>
          <w:sz w:val="21"/>
          <w:szCs w:val="21"/>
        </w:rPr>
        <w:t>óptimas ..</w:t>
      </w:r>
    </w:p>
    <w:p w14:paraId="29FCB725" w14:textId="77777777" w:rsidR="00A3693B" w:rsidRPr="00312C34" w:rsidRDefault="00A3693B" w:rsidP="00A3693B">
      <w:pPr>
        <w:autoSpaceDE w:val="0"/>
        <w:autoSpaceDN w:val="0"/>
        <w:adjustRightInd w:val="0"/>
        <w:jc w:val="both"/>
        <w:rPr>
          <w:rFonts w:ascii="Abadi" w:hAnsi="Abadi" w:cs="*Arial-5719-Identity-H"/>
          <w:color w:val="15141C"/>
          <w:sz w:val="21"/>
          <w:szCs w:val="21"/>
        </w:rPr>
      </w:pPr>
    </w:p>
    <w:p w14:paraId="5F0AD8A3" w14:textId="77777777" w:rsidR="00A3693B" w:rsidRDefault="00A3693B" w:rsidP="00A3693B">
      <w:pPr>
        <w:autoSpaceDE w:val="0"/>
        <w:autoSpaceDN w:val="0"/>
        <w:adjustRightInd w:val="0"/>
        <w:ind w:firstLine="708"/>
        <w:jc w:val="both"/>
        <w:rPr>
          <w:rFonts w:ascii="Abadi" w:hAnsi="Abadi" w:cs="*Arial-5719-Identity-H"/>
          <w:color w:val="14141C"/>
          <w:sz w:val="21"/>
          <w:szCs w:val="21"/>
        </w:rPr>
      </w:pPr>
      <w:r w:rsidRPr="00312C34">
        <w:rPr>
          <w:rFonts w:ascii="Abadi" w:hAnsi="Abadi" w:cs="*Arial-5719-Identity-H"/>
          <w:color w:val="14141C"/>
          <w:sz w:val="21"/>
          <w:szCs w:val="21"/>
        </w:rPr>
        <w:t>Asimismo, se detectó que, si bien, el sujeto fiscalizado contó con un</w:t>
      </w:r>
      <w:r>
        <w:rPr>
          <w:rFonts w:ascii="Abadi" w:hAnsi="Abadi" w:cs="*Arial-5719-Identity-H"/>
          <w:color w:val="14141C"/>
          <w:sz w:val="21"/>
          <w:szCs w:val="21"/>
        </w:rPr>
        <w:t xml:space="preserve"> </w:t>
      </w:r>
      <w:r w:rsidRPr="00312C34">
        <w:rPr>
          <w:rFonts w:ascii="Abadi" w:hAnsi="Abadi" w:cs="*Arial-5719-Identity-H"/>
          <w:color w:val="14141C"/>
          <w:sz w:val="21"/>
          <w:szCs w:val="21"/>
        </w:rPr>
        <w:t>Programa Operativo Anual que se estructuró con los elementos mínimos</w:t>
      </w:r>
      <w:r>
        <w:rPr>
          <w:rFonts w:ascii="Abadi" w:hAnsi="Abadi" w:cs="*Arial-5719-Identity-H"/>
          <w:color w:val="14141C"/>
          <w:sz w:val="21"/>
          <w:szCs w:val="21"/>
        </w:rPr>
        <w:t xml:space="preserve"> </w:t>
      </w:r>
      <w:r w:rsidRPr="00312C34">
        <w:rPr>
          <w:rFonts w:ascii="Abadi" w:hAnsi="Abadi" w:cs="*Arial-5719-Identity-H"/>
          <w:color w:val="14141C"/>
          <w:sz w:val="21"/>
          <w:szCs w:val="21"/>
        </w:rPr>
        <w:t>establecidos en la normativa estatal, este no incluyó la definición de objetivos y</w:t>
      </w:r>
      <w:r>
        <w:rPr>
          <w:rFonts w:ascii="Abadi" w:hAnsi="Abadi" w:cs="*Arial-5719-Identity-H"/>
          <w:color w:val="14141C"/>
          <w:sz w:val="21"/>
          <w:szCs w:val="21"/>
        </w:rPr>
        <w:t xml:space="preserve"> </w:t>
      </w:r>
      <w:r w:rsidRPr="00312C34">
        <w:rPr>
          <w:rFonts w:ascii="Abadi" w:hAnsi="Abadi" w:cs="*Arial-5719-Identity-H"/>
          <w:color w:val="14141C"/>
          <w:sz w:val="21"/>
          <w:szCs w:val="21"/>
        </w:rPr>
        <w:t>metas relacionadas con las actividades sustantivas que debe realizar el área</w:t>
      </w:r>
      <w:r>
        <w:rPr>
          <w:rFonts w:ascii="Abadi" w:hAnsi="Abadi" w:cs="*Arial-5719-Identity-H"/>
          <w:color w:val="14141C"/>
          <w:sz w:val="21"/>
          <w:szCs w:val="21"/>
        </w:rPr>
        <w:t xml:space="preserve"> </w:t>
      </w:r>
      <w:r w:rsidRPr="00312C34">
        <w:rPr>
          <w:rFonts w:ascii="Abadi" w:hAnsi="Abadi" w:cs="*Arial-5719-Identity-H"/>
          <w:color w:val="14141C"/>
          <w:sz w:val="21"/>
          <w:szCs w:val="21"/>
        </w:rPr>
        <w:t>correspondiente para garantizar la prestación del servicio, un cronograma</w:t>
      </w:r>
      <w:r>
        <w:rPr>
          <w:rFonts w:ascii="Abadi" w:hAnsi="Abadi" w:cs="*Arial-5719-Identity-H"/>
          <w:color w:val="14141C"/>
          <w:sz w:val="21"/>
          <w:szCs w:val="21"/>
        </w:rPr>
        <w:t xml:space="preserve"> </w:t>
      </w:r>
      <w:r w:rsidRPr="00312C34">
        <w:rPr>
          <w:rFonts w:ascii="Abadi" w:hAnsi="Abadi" w:cs="*Arial-5719-Identity-H"/>
          <w:color w:val="14141C"/>
          <w:sz w:val="21"/>
          <w:szCs w:val="21"/>
        </w:rPr>
        <w:t>Específico para dar seguimiento a las mismas, ni indicadores que le permitieran</w:t>
      </w:r>
      <w:r>
        <w:rPr>
          <w:rFonts w:ascii="Abadi" w:hAnsi="Abadi" w:cs="*Arial-5719-Identity-H"/>
          <w:color w:val="14141C"/>
          <w:sz w:val="21"/>
          <w:szCs w:val="21"/>
        </w:rPr>
        <w:t xml:space="preserve"> </w:t>
      </w:r>
      <w:r w:rsidRPr="00312C34">
        <w:rPr>
          <w:rFonts w:ascii="Abadi" w:hAnsi="Abadi" w:cs="*Arial-5719-Identity-H"/>
          <w:color w:val="14141C"/>
          <w:sz w:val="21"/>
          <w:szCs w:val="21"/>
        </w:rPr>
        <w:t>monitorear y evaluar el cumplimiento de sus objetivos en el corto plazo.</w:t>
      </w:r>
    </w:p>
    <w:p w14:paraId="3E25C905" w14:textId="77777777" w:rsidR="00A3693B" w:rsidRPr="00312C34" w:rsidRDefault="00A3693B" w:rsidP="00A3693B">
      <w:pPr>
        <w:autoSpaceDE w:val="0"/>
        <w:autoSpaceDN w:val="0"/>
        <w:adjustRightInd w:val="0"/>
        <w:jc w:val="both"/>
        <w:rPr>
          <w:rFonts w:ascii="Abadi" w:hAnsi="Abadi" w:cs="*Arial-5719-Identity-H"/>
          <w:color w:val="14141C"/>
          <w:sz w:val="21"/>
          <w:szCs w:val="21"/>
        </w:rPr>
      </w:pPr>
    </w:p>
    <w:p w14:paraId="4A9D9C8F" w14:textId="77777777" w:rsidR="00A3693B" w:rsidRDefault="00A3693B" w:rsidP="00A3693B">
      <w:pPr>
        <w:autoSpaceDE w:val="0"/>
        <w:autoSpaceDN w:val="0"/>
        <w:adjustRightInd w:val="0"/>
        <w:ind w:firstLine="708"/>
        <w:jc w:val="both"/>
        <w:rPr>
          <w:rFonts w:ascii="Abadi" w:hAnsi="Abadi" w:cs="*Arial-5719-Identity-H"/>
          <w:color w:val="14141B"/>
          <w:sz w:val="21"/>
          <w:szCs w:val="21"/>
        </w:rPr>
      </w:pPr>
      <w:r w:rsidRPr="00312C34">
        <w:rPr>
          <w:rFonts w:ascii="Abadi" w:hAnsi="Abadi" w:cs="*Arial-5719-Identity-H"/>
          <w:color w:val="14141B"/>
          <w:sz w:val="21"/>
          <w:szCs w:val="21"/>
        </w:rPr>
        <w:t>Por lo que hace a la capacidad del sujeto fiscalizado para garantizar una</w:t>
      </w:r>
      <w:r>
        <w:rPr>
          <w:rFonts w:ascii="Abadi" w:hAnsi="Abadi" w:cs="*Arial-5719-Identity-H"/>
          <w:color w:val="14141B"/>
          <w:sz w:val="21"/>
          <w:szCs w:val="21"/>
        </w:rPr>
        <w:t xml:space="preserve"> </w:t>
      </w:r>
      <w:r w:rsidRPr="00312C34">
        <w:rPr>
          <w:rFonts w:ascii="Abadi" w:hAnsi="Abadi" w:cs="*Arial-5719-Identity-H"/>
          <w:color w:val="14141B"/>
          <w:sz w:val="21"/>
          <w:szCs w:val="21"/>
        </w:rPr>
        <w:t>prestación permanente y efectiva del servicio de alumbrado público, se analizó la</w:t>
      </w:r>
      <w:r>
        <w:rPr>
          <w:rFonts w:ascii="Abadi" w:hAnsi="Abadi" w:cs="*Arial-5719-Identity-H"/>
          <w:color w:val="14141B"/>
          <w:sz w:val="21"/>
          <w:szCs w:val="21"/>
        </w:rPr>
        <w:t xml:space="preserve"> </w:t>
      </w:r>
      <w:r w:rsidRPr="00312C34">
        <w:rPr>
          <w:rFonts w:ascii="Abadi" w:hAnsi="Abadi" w:cs="*Arial-5719-Identity-H"/>
          <w:color w:val="14141B"/>
          <w:sz w:val="21"/>
          <w:szCs w:val="21"/>
        </w:rPr>
        <w:t>calidad de la información relativa a los logros en materia de mantenimiento, así</w:t>
      </w:r>
      <w:r>
        <w:rPr>
          <w:rFonts w:ascii="Abadi" w:hAnsi="Abadi" w:cs="*Arial-5719-Identity-H"/>
          <w:color w:val="14141B"/>
          <w:sz w:val="21"/>
          <w:szCs w:val="21"/>
        </w:rPr>
        <w:t xml:space="preserve"> </w:t>
      </w:r>
      <w:r w:rsidRPr="00312C34">
        <w:rPr>
          <w:rFonts w:ascii="Abadi" w:hAnsi="Abadi" w:cs="*Arial-5719-Identity-H"/>
          <w:color w:val="14141B"/>
          <w:sz w:val="21"/>
          <w:szCs w:val="21"/>
        </w:rPr>
        <w:t>como lo correspondiente a la cobertura y satisfacción ciudadana, observándose</w:t>
      </w:r>
      <w:r>
        <w:rPr>
          <w:rFonts w:ascii="Abadi" w:hAnsi="Abadi" w:cs="*Arial-5719-Identity-H"/>
          <w:color w:val="14141B"/>
          <w:sz w:val="21"/>
          <w:szCs w:val="21"/>
        </w:rPr>
        <w:t xml:space="preserve"> </w:t>
      </w:r>
      <w:r w:rsidRPr="00312C34">
        <w:rPr>
          <w:rFonts w:ascii="Abadi" w:hAnsi="Abadi" w:cs="*Arial-5719-Identity-H"/>
          <w:color w:val="14141B"/>
          <w:sz w:val="21"/>
          <w:szCs w:val="21"/>
        </w:rPr>
        <w:t>que</w:t>
      </w:r>
      <w:r w:rsidRPr="00312C34">
        <w:rPr>
          <w:rFonts w:ascii="Abadi" w:hAnsi="Abadi" w:cs="*Arial-5719-Identity-H"/>
          <w:color w:val="888888"/>
          <w:sz w:val="21"/>
          <w:szCs w:val="21"/>
        </w:rPr>
        <w:t xml:space="preserve">· </w:t>
      </w:r>
      <w:r w:rsidRPr="00312C34">
        <w:rPr>
          <w:rFonts w:ascii="Abadi" w:hAnsi="Abadi" w:cs="*Arial-5719-Identity-H"/>
          <w:color w:val="14141B"/>
          <w:sz w:val="21"/>
          <w:szCs w:val="21"/>
        </w:rPr>
        <w:t>aun cuando el sujeto fiscalizado contó con mecanismos para promover la</w:t>
      </w:r>
      <w:r>
        <w:rPr>
          <w:rFonts w:ascii="Abadi" w:hAnsi="Abadi" w:cs="*Arial-5719-Identity-H"/>
          <w:color w:val="14141B"/>
          <w:sz w:val="21"/>
          <w:szCs w:val="21"/>
        </w:rPr>
        <w:t xml:space="preserve"> </w:t>
      </w:r>
      <w:r w:rsidRPr="00312C34">
        <w:rPr>
          <w:rFonts w:ascii="Abadi" w:hAnsi="Abadi" w:cs="*Arial-5719-Identity-H"/>
          <w:color w:val="14141B"/>
          <w:sz w:val="21"/>
          <w:szCs w:val="21"/>
        </w:rPr>
        <w:t>recepción de reportes ciudadanos sobre fallas en el servicio, no se dispuso de</w:t>
      </w:r>
      <w:r>
        <w:rPr>
          <w:rFonts w:ascii="Abadi" w:hAnsi="Abadi" w:cs="*Arial-5719-Identity-H"/>
          <w:color w:val="14141B"/>
          <w:sz w:val="21"/>
          <w:szCs w:val="21"/>
        </w:rPr>
        <w:t xml:space="preserve"> </w:t>
      </w:r>
      <w:r w:rsidRPr="00312C34">
        <w:rPr>
          <w:rFonts w:ascii="Abadi" w:hAnsi="Abadi" w:cs="*Arial-5719-Identity-H"/>
          <w:color w:val="14141B"/>
          <w:sz w:val="21"/>
          <w:szCs w:val="21"/>
        </w:rPr>
        <w:t>alguna herramienta que le permitiera registrar la información relevante, en</w:t>
      </w:r>
      <w:r>
        <w:rPr>
          <w:rFonts w:ascii="Abadi" w:hAnsi="Abadi" w:cs="*Arial-5719-Identity-H"/>
          <w:color w:val="14141B"/>
          <w:sz w:val="21"/>
          <w:szCs w:val="21"/>
        </w:rPr>
        <w:t xml:space="preserve"> </w:t>
      </w:r>
      <w:r w:rsidRPr="00312C34">
        <w:rPr>
          <w:rFonts w:ascii="Abadi" w:hAnsi="Abadi" w:cs="*Arial-5719-Identity-H"/>
          <w:color w:val="14141B"/>
          <w:sz w:val="21"/>
          <w:szCs w:val="21"/>
        </w:rPr>
        <w:t>términos de fechas de recepción y atención, ubicación y tipo de falla, a fin de</w:t>
      </w:r>
      <w:r>
        <w:rPr>
          <w:rFonts w:ascii="Abadi" w:hAnsi="Abadi" w:cs="*Arial-5719-Identity-H"/>
          <w:color w:val="14141B"/>
          <w:sz w:val="21"/>
          <w:szCs w:val="21"/>
        </w:rPr>
        <w:t xml:space="preserve"> </w:t>
      </w:r>
      <w:r w:rsidRPr="00312C34">
        <w:rPr>
          <w:rFonts w:ascii="Abadi" w:hAnsi="Abadi" w:cs="*Arial-5719-Identity-H"/>
          <w:color w:val="14141B"/>
          <w:sz w:val="21"/>
          <w:szCs w:val="21"/>
        </w:rPr>
        <w:t>contar con los elementos necesarios para priorizar y garantizar la atención de las</w:t>
      </w:r>
      <w:r>
        <w:rPr>
          <w:rFonts w:ascii="Abadi" w:hAnsi="Abadi" w:cs="*Arial-5719-Identity-H"/>
          <w:color w:val="14141B"/>
          <w:sz w:val="21"/>
          <w:szCs w:val="21"/>
        </w:rPr>
        <w:t xml:space="preserve"> </w:t>
      </w:r>
      <w:r w:rsidRPr="00312C34">
        <w:rPr>
          <w:rFonts w:ascii="Abadi" w:hAnsi="Abadi" w:cs="*Arial-5719-Identity-H"/>
          <w:color w:val="14141B"/>
          <w:sz w:val="21"/>
          <w:szCs w:val="21"/>
        </w:rPr>
        <w:t>deficiencias reportadas, así como conocer el porcentaje de reportes atendidos.</w:t>
      </w:r>
      <w:r>
        <w:rPr>
          <w:rFonts w:ascii="Abadi" w:hAnsi="Abadi" w:cs="*Arial-5719-Identity-H"/>
          <w:color w:val="14141B"/>
          <w:sz w:val="21"/>
          <w:szCs w:val="21"/>
        </w:rPr>
        <w:t xml:space="preserve"> </w:t>
      </w:r>
    </w:p>
    <w:p w14:paraId="1B8BE854" w14:textId="77777777" w:rsidR="00A3693B" w:rsidRDefault="00A3693B" w:rsidP="00A3693B">
      <w:pPr>
        <w:autoSpaceDE w:val="0"/>
        <w:autoSpaceDN w:val="0"/>
        <w:adjustRightInd w:val="0"/>
        <w:jc w:val="both"/>
        <w:rPr>
          <w:rFonts w:ascii="Abadi" w:hAnsi="Abadi" w:cs="*Arial-5719-Identity-H"/>
          <w:color w:val="14141B"/>
          <w:sz w:val="21"/>
          <w:szCs w:val="21"/>
        </w:rPr>
      </w:pPr>
    </w:p>
    <w:p w14:paraId="615C91D7" w14:textId="77777777" w:rsidR="00A3693B" w:rsidRPr="00312C34" w:rsidRDefault="00A3693B" w:rsidP="00A3693B">
      <w:pPr>
        <w:autoSpaceDE w:val="0"/>
        <w:autoSpaceDN w:val="0"/>
        <w:adjustRightInd w:val="0"/>
        <w:ind w:firstLine="708"/>
        <w:jc w:val="both"/>
        <w:rPr>
          <w:rFonts w:ascii="Abadi" w:hAnsi="Abadi" w:cs="*Arial-5719-Identity-H"/>
          <w:color w:val="15131C"/>
          <w:sz w:val="21"/>
          <w:szCs w:val="21"/>
        </w:rPr>
      </w:pPr>
      <w:r w:rsidRPr="00312C34">
        <w:rPr>
          <w:rFonts w:ascii="Abadi" w:hAnsi="Abadi" w:cs="*Arial-5719-Identity-H"/>
          <w:color w:val="15131C"/>
          <w:sz w:val="21"/>
          <w:szCs w:val="21"/>
        </w:rPr>
        <w:t>Respecto a las acciones de mantenimiento, se concluyó que el sujeto</w:t>
      </w:r>
      <w:r>
        <w:rPr>
          <w:rFonts w:ascii="Abadi" w:hAnsi="Abadi" w:cs="*Arial-5719-Identity-H"/>
          <w:color w:val="15131C"/>
          <w:sz w:val="21"/>
          <w:szCs w:val="21"/>
        </w:rPr>
        <w:t xml:space="preserve"> </w:t>
      </w:r>
      <w:r w:rsidRPr="00312C34">
        <w:rPr>
          <w:rFonts w:ascii="Abadi" w:hAnsi="Abadi" w:cs="*Arial-5719-Identity-H"/>
          <w:color w:val="15131C"/>
          <w:sz w:val="21"/>
          <w:szCs w:val="21"/>
        </w:rPr>
        <w:t>fiscalizado no desarrolló actividades de supervisión periódica que le permitieran</w:t>
      </w:r>
      <w:r>
        <w:rPr>
          <w:rFonts w:ascii="Abadi" w:hAnsi="Abadi" w:cs="*Arial-5719-Identity-H"/>
          <w:color w:val="15131C"/>
          <w:sz w:val="21"/>
          <w:szCs w:val="21"/>
        </w:rPr>
        <w:t xml:space="preserve"> </w:t>
      </w:r>
      <w:r w:rsidRPr="00312C34">
        <w:rPr>
          <w:rFonts w:ascii="Abadi" w:hAnsi="Abadi" w:cs="*Arial-5719-Identity-H"/>
          <w:color w:val="15131C"/>
          <w:sz w:val="21"/>
          <w:szCs w:val="21"/>
        </w:rPr>
        <w:t>identificar de manera oportuna las fallas en luminarias instaladas y, con ello,</w:t>
      </w:r>
      <w:r>
        <w:rPr>
          <w:rFonts w:ascii="Abadi" w:hAnsi="Abadi" w:cs="*Arial-5719-Identity-H"/>
          <w:color w:val="15131C"/>
          <w:sz w:val="21"/>
          <w:szCs w:val="21"/>
        </w:rPr>
        <w:t xml:space="preserve"> </w:t>
      </w:r>
      <w:r w:rsidRPr="00312C34">
        <w:rPr>
          <w:rFonts w:ascii="Abadi" w:hAnsi="Abadi" w:cs="*Arial-5719-Identity-H"/>
          <w:color w:val="15131C"/>
          <w:sz w:val="21"/>
          <w:szCs w:val="21"/>
        </w:rPr>
        <w:t>contribuir a reducir la posibilidad de ocurrencia de alguna deficiencia; asimismo,</w:t>
      </w:r>
      <w:r>
        <w:rPr>
          <w:rFonts w:ascii="Abadi" w:hAnsi="Abadi" w:cs="*Arial-5719-Identity-H"/>
          <w:color w:val="15131C"/>
          <w:sz w:val="21"/>
          <w:szCs w:val="21"/>
        </w:rPr>
        <w:t xml:space="preserve"> </w:t>
      </w:r>
      <w:r w:rsidRPr="00312C34">
        <w:rPr>
          <w:rFonts w:ascii="Abadi" w:hAnsi="Abadi" w:cs="*Arial-5719-Identity-H"/>
          <w:color w:val="15131C"/>
          <w:sz w:val="21"/>
          <w:szCs w:val="21"/>
        </w:rPr>
        <w:t>respecto de la capacidad para generar información actualizada para conocer la</w:t>
      </w:r>
      <w:r>
        <w:rPr>
          <w:rFonts w:ascii="Abadi" w:hAnsi="Abadi" w:cs="*Arial-5719-Identity-H"/>
          <w:color w:val="15131C"/>
          <w:sz w:val="21"/>
          <w:szCs w:val="21"/>
        </w:rPr>
        <w:t xml:space="preserve"> </w:t>
      </w:r>
      <w:r w:rsidRPr="00312C34">
        <w:rPr>
          <w:rFonts w:ascii="Abadi" w:hAnsi="Abadi" w:cs="*Arial-5719-Identity-H"/>
          <w:color w:val="15131C"/>
          <w:sz w:val="21"/>
          <w:szCs w:val="21"/>
        </w:rPr>
        <w:t>satisfacción ciudadana en el servicio de alumbrado público municipal, este careció</w:t>
      </w:r>
      <w:r>
        <w:rPr>
          <w:rFonts w:ascii="Abadi" w:hAnsi="Abadi" w:cs="*Arial-5719-Identity-H"/>
          <w:color w:val="15131C"/>
          <w:sz w:val="21"/>
          <w:szCs w:val="21"/>
        </w:rPr>
        <w:t xml:space="preserve"> </w:t>
      </w:r>
      <w:r w:rsidRPr="00312C34">
        <w:rPr>
          <w:rFonts w:ascii="Abadi" w:hAnsi="Abadi" w:cs="*Arial-5719-Identity-H"/>
          <w:color w:val="15131C"/>
          <w:sz w:val="21"/>
          <w:szCs w:val="21"/>
        </w:rPr>
        <w:t>de los mecanismos de medición para conocer el grado de satisfacción del usuario,</w:t>
      </w:r>
      <w:r>
        <w:rPr>
          <w:rFonts w:ascii="Abadi" w:hAnsi="Abadi" w:cs="*Arial-5719-Identity-H"/>
          <w:color w:val="15131C"/>
          <w:sz w:val="21"/>
          <w:szCs w:val="21"/>
        </w:rPr>
        <w:t xml:space="preserve"> </w:t>
      </w:r>
      <w:r w:rsidRPr="00312C34">
        <w:rPr>
          <w:rFonts w:ascii="Abadi" w:hAnsi="Abadi" w:cs="*Arial-5719-Identity-H"/>
          <w:color w:val="15131C"/>
          <w:sz w:val="21"/>
          <w:szCs w:val="21"/>
        </w:rPr>
        <w:t>por lo que se considera necesario que, se instrumenten e implementen los medios</w:t>
      </w:r>
      <w:r>
        <w:rPr>
          <w:rFonts w:ascii="Abadi" w:hAnsi="Abadi" w:cs="*Arial-5719-Identity-H"/>
          <w:color w:val="15131C"/>
          <w:sz w:val="21"/>
          <w:szCs w:val="21"/>
        </w:rPr>
        <w:t xml:space="preserve"> </w:t>
      </w:r>
      <w:r w:rsidRPr="00312C34">
        <w:rPr>
          <w:rFonts w:ascii="Abadi" w:hAnsi="Abadi" w:cs="*Arial-5719-Identity-H"/>
          <w:color w:val="15131C"/>
          <w:sz w:val="21"/>
          <w:szCs w:val="21"/>
        </w:rPr>
        <w:t>que le permitan conocer la opinión de sus habitantes sobre el servicio otorgado y,</w:t>
      </w:r>
      <w:r>
        <w:rPr>
          <w:rFonts w:ascii="Abadi" w:hAnsi="Abadi" w:cs="*Arial-5719-Identity-H"/>
          <w:color w:val="15131C"/>
          <w:sz w:val="21"/>
          <w:szCs w:val="21"/>
        </w:rPr>
        <w:t xml:space="preserve"> </w:t>
      </w:r>
      <w:r w:rsidRPr="00312C34">
        <w:rPr>
          <w:rFonts w:ascii="Abadi" w:hAnsi="Abadi" w:cs="*Arial-5719-Identity-H"/>
          <w:color w:val="15131C"/>
          <w:sz w:val="21"/>
          <w:szCs w:val="21"/>
        </w:rPr>
        <w:t>con ello, efectuar las acciones necesarias para promover la mejora continua de</w:t>
      </w:r>
      <w:r>
        <w:rPr>
          <w:rFonts w:ascii="Abadi" w:hAnsi="Abadi" w:cs="*Arial-5719-Identity-H"/>
          <w:color w:val="15131C"/>
          <w:sz w:val="21"/>
          <w:szCs w:val="21"/>
        </w:rPr>
        <w:t xml:space="preserve"> </w:t>
      </w:r>
      <w:r w:rsidRPr="00312C34">
        <w:rPr>
          <w:rFonts w:ascii="Abadi" w:hAnsi="Abadi" w:cs="*Arial-5719-Identity-H"/>
          <w:color w:val="15131C"/>
          <w:sz w:val="21"/>
          <w:szCs w:val="21"/>
        </w:rPr>
        <w:t>este.</w:t>
      </w:r>
    </w:p>
    <w:p w14:paraId="3753CF34" w14:textId="77777777" w:rsidR="00A3693B" w:rsidRPr="00312C34" w:rsidRDefault="00A3693B" w:rsidP="00A3693B">
      <w:pPr>
        <w:jc w:val="both"/>
        <w:rPr>
          <w:rFonts w:ascii="Abadi" w:hAnsi="Abadi" w:cs="*Arial-5719-Identity-H"/>
          <w:color w:val="15131C"/>
          <w:sz w:val="21"/>
          <w:szCs w:val="21"/>
        </w:rPr>
      </w:pPr>
    </w:p>
    <w:p w14:paraId="2540DF86" w14:textId="77777777" w:rsidR="00A3693B" w:rsidRDefault="00A3693B" w:rsidP="00A3693B">
      <w:pPr>
        <w:autoSpaceDE w:val="0"/>
        <w:autoSpaceDN w:val="0"/>
        <w:adjustRightInd w:val="0"/>
        <w:ind w:firstLine="708"/>
        <w:jc w:val="both"/>
        <w:rPr>
          <w:rFonts w:ascii="Abadi" w:hAnsi="Abadi" w:cs="*Arial-5255-Identity-H"/>
          <w:color w:val="14141B"/>
          <w:sz w:val="21"/>
          <w:szCs w:val="21"/>
        </w:rPr>
      </w:pPr>
      <w:r w:rsidRPr="00312C34">
        <w:rPr>
          <w:rFonts w:ascii="Abadi" w:hAnsi="Abadi" w:cs="*Arial-5255-Identity-H"/>
          <w:color w:val="14141B"/>
          <w:sz w:val="21"/>
          <w:szCs w:val="21"/>
        </w:rPr>
        <w:t>En relación a la función del seguimiento, se precisa que la rev</w:t>
      </w:r>
      <w:r>
        <w:rPr>
          <w:rFonts w:ascii="Abadi" w:hAnsi="Abadi" w:cs="*Arial-5255-Identity-H"/>
          <w:color w:val="14141B"/>
          <w:sz w:val="21"/>
          <w:szCs w:val="21"/>
        </w:rPr>
        <w:t>isión</w:t>
      </w:r>
      <w:r w:rsidRPr="00312C34">
        <w:rPr>
          <w:rFonts w:ascii="Abadi" w:hAnsi="Abadi" w:cs="*Arial-5255-Identity-H"/>
          <w:color w:val="14141B"/>
          <w:sz w:val="21"/>
          <w:szCs w:val="21"/>
        </w:rPr>
        <w:t xml:space="preserve"> se</w:t>
      </w:r>
      <w:r>
        <w:rPr>
          <w:rFonts w:ascii="Abadi" w:hAnsi="Abadi" w:cs="*Arial-5255-Identity-H"/>
          <w:color w:val="14141B"/>
          <w:sz w:val="21"/>
          <w:szCs w:val="21"/>
        </w:rPr>
        <w:t xml:space="preserve"> </w:t>
      </w:r>
      <w:r w:rsidRPr="00312C34">
        <w:rPr>
          <w:rFonts w:ascii="Abadi" w:hAnsi="Abadi" w:cs="*Arial-5255-Identity-H"/>
          <w:color w:val="14141B"/>
          <w:sz w:val="21"/>
          <w:szCs w:val="21"/>
        </w:rPr>
        <w:t>enfocó en constatar si el sujeto fiscalizado contó con mecanismos que le</w:t>
      </w:r>
      <w:r>
        <w:rPr>
          <w:rFonts w:ascii="Abadi" w:hAnsi="Abadi" w:cs="*Arial-5255-Identity-H"/>
          <w:color w:val="14141B"/>
          <w:sz w:val="21"/>
          <w:szCs w:val="21"/>
        </w:rPr>
        <w:t xml:space="preserve"> </w:t>
      </w:r>
      <w:r w:rsidRPr="00312C34">
        <w:rPr>
          <w:rFonts w:ascii="Abadi" w:hAnsi="Abadi" w:cs="*Arial-5255-Identity-H"/>
          <w:color w:val="14141B"/>
          <w:sz w:val="21"/>
          <w:szCs w:val="21"/>
        </w:rPr>
        <w:t>permitieran medir el desempeño y los resultados del servicio de alumbrado</w:t>
      </w:r>
      <w:r>
        <w:rPr>
          <w:rFonts w:ascii="Abadi" w:hAnsi="Abadi" w:cs="*Arial-5255-Identity-H"/>
          <w:color w:val="14141B"/>
          <w:sz w:val="21"/>
          <w:szCs w:val="21"/>
        </w:rPr>
        <w:t xml:space="preserve"> </w:t>
      </w:r>
      <w:r w:rsidRPr="00312C34">
        <w:rPr>
          <w:rFonts w:ascii="Abadi" w:hAnsi="Abadi" w:cs="*Arial-5255-Identity-H"/>
          <w:color w:val="14141B"/>
          <w:sz w:val="21"/>
          <w:szCs w:val="21"/>
        </w:rPr>
        <w:t>público, obteniendo como principal hallazgo que la instancia responsable no</w:t>
      </w:r>
      <w:r>
        <w:rPr>
          <w:rFonts w:ascii="Abadi" w:hAnsi="Abadi" w:cs="*Arial-5255-Identity-H"/>
          <w:color w:val="14141B"/>
          <w:sz w:val="21"/>
          <w:szCs w:val="21"/>
        </w:rPr>
        <w:t xml:space="preserve"> </w:t>
      </w:r>
      <w:r w:rsidRPr="00312C34">
        <w:rPr>
          <w:rFonts w:ascii="Abadi" w:hAnsi="Abadi" w:cs="*Arial-5255-Identity-H"/>
          <w:color w:val="14141B"/>
          <w:sz w:val="21"/>
          <w:szCs w:val="21"/>
        </w:rPr>
        <w:t>definió herramientas de monitoreo y evaluación para el logro de los resultados del</w:t>
      </w:r>
      <w:r>
        <w:rPr>
          <w:rFonts w:ascii="Abadi" w:hAnsi="Abadi" w:cs="*Arial-5255-Identity-H"/>
          <w:color w:val="14141B"/>
          <w:sz w:val="21"/>
          <w:szCs w:val="21"/>
        </w:rPr>
        <w:t xml:space="preserve"> </w:t>
      </w:r>
      <w:r w:rsidRPr="00312C34">
        <w:rPr>
          <w:rFonts w:ascii="Abadi" w:hAnsi="Abadi" w:cs="*Arial-5255-Identity-H"/>
          <w:color w:val="14141B"/>
          <w:sz w:val="21"/>
          <w:szCs w:val="21"/>
        </w:rPr>
        <w:t>servicio de alumbrado público, por lo que se cuenta con el área de oportunidad</w:t>
      </w:r>
      <w:r>
        <w:rPr>
          <w:rFonts w:ascii="Abadi" w:hAnsi="Abadi" w:cs="*Arial-5255-Identity-H"/>
          <w:color w:val="14141B"/>
          <w:sz w:val="21"/>
          <w:szCs w:val="21"/>
        </w:rPr>
        <w:t xml:space="preserve"> </w:t>
      </w:r>
      <w:r w:rsidRPr="00312C34">
        <w:rPr>
          <w:rFonts w:ascii="Abadi" w:hAnsi="Abadi" w:cs="*Arial-5255-Identity-H"/>
          <w:color w:val="14141B"/>
          <w:sz w:val="21"/>
          <w:szCs w:val="21"/>
        </w:rPr>
        <w:t>para que se construyan y definan las herramientas que permitan la medición y</w:t>
      </w:r>
      <w:r>
        <w:rPr>
          <w:rFonts w:ascii="Abadi" w:hAnsi="Abadi" w:cs="*Arial-5255-Identity-H"/>
          <w:color w:val="14141B"/>
          <w:sz w:val="21"/>
          <w:szCs w:val="21"/>
        </w:rPr>
        <w:t xml:space="preserve"> </w:t>
      </w:r>
      <w:r w:rsidRPr="00312C34">
        <w:rPr>
          <w:rFonts w:ascii="Abadi" w:hAnsi="Abadi" w:cs="*Arial-5255-Identity-H"/>
          <w:color w:val="14141B"/>
          <w:sz w:val="21"/>
          <w:szCs w:val="21"/>
        </w:rPr>
        <w:t>evaluación del cumplimiento de objetivos en la materia auditada, incluyendo la</w:t>
      </w:r>
      <w:r>
        <w:rPr>
          <w:rFonts w:ascii="Abadi" w:hAnsi="Abadi" w:cs="*Arial-5255-Identity-H"/>
          <w:color w:val="14141B"/>
          <w:sz w:val="21"/>
          <w:szCs w:val="21"/>
        </w:rPr>
        <w:t xml:space="preserve"> </w:t>
      </w:r>
      <w:r w:rsidRPr="00312C34">
        <w:rPr>
          <w:rFonts w:ascii="Abadi" w:hAnsi="Abadi" w:cs="*Arial-5255-Identity-H"/>
          <w:color w:val="14141B"/>
          <w:sz w:val="21"/>
          <w:szCs w:val="21"/>
        </w:rPr>
        <w:t>supervisión de aquellas acciones que forman parte de las atribuciones conferidas</w:t>
      </w:r>
      <w:r>
        <w:rPr>
          <w:rFonts w:ascii="Abadi" w:hAnsi="Abadi" w:cs="*Arial-5255-Identity-H"/>
          <w:color w:val="14141B"/>
          <w:sz w:val="21"/>
          <w:szCs w:val="21"/>
        </w:rPr>
        <w:t xml:space="preserve"> </w:t>
      </w:r>
      <w:r w:rsidRPr="00312C34">
        <w:rPr>
          <w:rFonts w:ascii="Abadi" w:hAnsi="Abadi" w:cs="*Arial-5255-Identity-H"/>
          <w:color w:val="14141B"/>
          <w:sz w:val="21"/>
          <w:szCs w:val="21"/>
        </w:rPr>
        <w:t>a la empresa a cargo de la concesión.</w:t>
      </w:r>
    </w:p>
    <w:p w14:paraId="44CBE528" w14:textId="77777777" w:rsidR="00A3693B" w:rsidRPr="00312C34" w:rsidRDefault="00A3693B" w:rsidP="00A3693B">
      <w:pPr>
        <w:autoSpaceDE w:val="0"/>
        <w:autoSpaceDN w:val="0"/>
        <w:adjustRightInd w:val="0"/>
        <w:jc w:val="both"/>
        <w:rPr>
          <w:rFonts w:ascii="Abadi" w:hAnsi="Abadi" w:cs="*Arial-5255-Identity-H"/>
          <w:color w:val="14141B"/>
          <w:sz w:val="21"/>
          <w:szCs w:val="21"/>
        </w:rPr>
      </w:pPr>
    </w:p>
    <w:p w14:paraId="5D230253" w14:textId="77777777" w:rsidR="00A3693B" w:rsidRDefault="00A3693B" w:rsidP="00A3693B">
      <w:pPr>
        <w:autoSpaceDE w:val="0"/>
        <w:autoSpaceDN w:val="0"/>
        <w:adjustRightInd w:val="0"/>
        <w:ind w:firstLine="708"/>
        <w:jc w:val="both"/>
        <w:rPr>
          <w:rFonts w:ascii="Abadi" w:hAnsi="Abadi" w:cs="*Arial-5255-Identity-H"/>
          <w:color w:val="15141C"/>
          <w:sz w:val="21"/>
          <w:szCs w:val="21"/>
        </w:rPr>
      </w:pPr>
      <w:r w:rsidRPr="00312C34">
        <w:rPr>
          <w:rFonts w:ascii="Abadi" w:hAnsi="Abadi" w:cs="*Arial-5255-Identity-H"/>
          <w:color w:val="15141C"/>
          <w:sz w:val="21"/>
          <w:szCs w:val="21"/>
        </w:rPr>
        <w:t>Con base en las referidas deficiencias no fue posible determinar la eficacia</w:t>
      </w:r>
      <w:r>
        <w:rPr>
          <w:rFonts w:ascii="Abadi" w:hAnsi="Abadi" w:cs="*Arial-5255-Identity-H"/>
          <w:color w:val="15141C"/>
          <w:sz w:val="21"/>
          <w:szCs w:val="21"/>
        </w:rPr>
        <w:t xml:space="preserve"> </w:t>
      </w:r>
      <w:r w:rsidRPr="00312C34">
        <w:rPr>
          <w:rFonts w:ascii="Abadi" w:hAnsi="Abadi" w:cs="*Arial-5255-Identity-H"/>
          <w:color w:val="15141C"/>
          <w:sz w:val="21"/>
          <w:szCs w:val="21"/>
        </w:rPr>
        <w:t>en el otorgamiento del servicio de alumbrado público en el municipio de Apaseo el</w:t>
      </w:r>
      <w:r>
        <w:rPr>
          <w:rFonts w:ascii="Abadi" w:hAnsi="Abadi" w:cs="*Arial-5255-Identity-H"/>
          <w:color w:val="15141C"/>
          <w:sz w:val="21"/>
          <w:szCs w:val="21"/>
        </w:rPr>
        <w:t xml:space="preserve"> </w:t>
      </w:r>
      <w:r w:rsidRPr="00312C34">
        <w:rPr>
          <w:rFonts w:ascii="Abadi" w:hAnsi="Abadi" w:cs="*Arial-5255-Identity-H"/>
          <w:color w:val="15141C"/>
          <w:sz w:val="21"/>
          <w:szCs w:val="21"/>
        </w:rPr>
        <w:t>Grande, Gto., debido principalmente a que se desconoció el estado de</w:t>
      </w:r>
      <w:r>
        <w:rPr>
          <w:rFonts w:ascii="Abadi" w:hAnsi="Abadi" w:cs="*Arial-5255-Identity-H"/>
          <w:color w:val="15141C"/>
          <w:sz w:val="21"/>
          <w:szCs w:val="21"/>
        </w:rPr>
        <w:t xml:space="preserve"> </w:t>
      </w:r>
      <w:r w:rsidRPr="00312C34">
        <w:rPr>
          <w:rFonts w:ascii="Abadi" w:hAnsi="Abadi" w:cs="*Arial-5255-Identity-H"/>
          <w:color w:val="15141C"/>
          <w:sz w:val="21"/>
          <w:szCs w:val="21"/>
        </w:rPr>
        <w:t>funcionamiento y la condición física y operativa de las lámparas instaladas; se</w:t>
      </w:r>
      <w:r>
        <w:rPr>
          <w:rFonts w:ascii="Abadi" w:hAnsi="Abadi" w:cs="*Arial-5255-Identity-H"/>
          <w:color w:val="15141C"/>
          <w:sz w:val="21"/>
          <w:szCs w:val="21"/>
        </w:rPr>
        <w:t xml:space="preserve"> </w:t>
      </w:r>
      <w:r w:rsidRPr="00312C34">
        <w:rPr>
          <w:rFonts w:ascii="Abadi" w:hAnsi="Abadi" w:cs="*Arial-5255-Identity-H"/>
          <w:color w:val="15141C"/>
          <w:sz w:val="21"/>
          <w:szCs w:val="21"/>
        </w:rPr>
        <w:t>careció de documentos normativos que regularan el servicio, de indicadores para</w:t>
      </w:r>
      <w:r>
        <w:rPr>
          <w:rFonts w:ascii="Abadi" w:hAnsi="Abadi" w:cs="*Arial-5255-Identity-H"/>
          <w:color w:val="15141C"/>
          <w:sz w:val="21"/>
          <w:szCs w:val="21"/>
        </w:rPr>
        <w:t xml:space="preserve"> </w:t>
      </w:r>
      <w:r w:rsidRPr="00312C34">
        <w:rPr>
          <w:rFonts w:ascii="Abadi" w:hAnsi="Abadi" w:cs="*Arial-5255-Identity-H"/>
          <w:color w:val="15141C"/>
          <w:sz w:val="21"/>
          <w:szCs w:val="21"/>
        </w:rPr>
        <w:t>dar seguimiento a las actividades realizadas en materia de alumbrado público, así</w:t>
      </w:r>
      <w:r>
        <w:rPr>
          <w:rFonts w:ascii="Abadi" w:hAnsi="Abadi" w:cs="*Arial-5255-Identity-H"/>
          <w:color w:val="15141C"/>
          <w:sz w:val="21"/>
          <w:szCs w:val="21"/>
        </w:rPr>
        <w:t xml:space="preserve"> </w:t>
      </w:r>
      <w:r w:rsidRPr="00312C34">
        <w:rPr>
          <w:rFonts w:ascii="Abadi" w:hAnsi="Abadi" w:cs="*Arial-5255-Identity-H"/>
          <w:color w:val="15141C"/>
          <w:sz w:val="21"/>
          <w:szCs w:val="21"/>
        </w:rPr>
        <w:t>como de información clara, útil y confiable para operar, mantener y garantizar el</w:t>
      </w:r>
      <w:r>
        <w:rPr>
          <w:rFonts w:ascii="Abadi" w:hAnsi="Abadi" w:cs="*Arial-5255-Identity-H"/>
          <w:color w:val="15141C"/>
          <w:sz w:val="21"/>
          <w:szCs w:val="21"/>
        </w:rPr>
        <w:t xml:space="preserve"> </w:t>
      </w:r>
      <w:r w:rsidRPr="00312C34">
        <w:rPr>
          <w:rFonts w:ascii="Abadi" w:hAnsi="Abadi" w:cs="*Arial-5255-Identity-H"/>
          <w:color w:val="15141C"/>
          <w:sz w:val="21"/>
          <w:szCs w:val="21"/>
        </w:rPr>
        <w:t>servicio.</w:t>
      </w:r>
    </w:p>
    <w:p w14:paraId="231D1F58" w14:textId="77777777" w:rsidR="00A3693B" w:rsidRPr="00312C34" w:rsidRDefault="00A3693B" w:rsidP="00A3693B">
      <w:pPr>
        <w:autoSpaceDE w:val="0"/>
        <w:autoSpaceDN w:val="0"/>
        <w:adjustRightInd w:val="0"/>
        <w:jc w:val="both"/>
        <w:rPr>
          <w:rFonts w:ascii="Abadi" w:hAnsi="Abadi" w:cs="*Arial-5255-Identity-H"/>
          <w:color w:val="15141C"/>
          <w:sz w:val="21"/>
          <w:szCs w:val="21"/>
        </w:rPr>
      </w:pPr>
    </w:p>
    <w:p w14:paraId="2F4829BE" w14:textId="77777777" w:rsidR="00A3693B" w:rsidRDefault="00A3693B" w:rsidP="00A3693B">
      <w:pPr>
        <w:autoSpaceDE w:val="0"/>
        <w:autoSpaceDN w:val="0"/>
        <w:adjustRightInd w:val="0"/>
        <w:ind w:firstLine="708"/>
        <w:jc w:val="both"/>
        <w:rPr>
          <w:rFonts w:ascii="Abadi" w:hAnsi="Abadi" w:cs="*Arial-5255-Identity-H"/>
          <w:color w:val="14141C"/>
          <w:sz w:val="21"/>
          <w:szCs w:val="21"/>
        </w:rPr>
      </w:pPr>
      <w:r w:rsidRPr="00312C34">
        <w:rPr>
          <w:rFonts w:ascii="Abadi" w:hAnsi="Abadi" w:cs="*Arial-5255-Identity-H"/>
          <w:color w:val="14141C"/>
          <w:sz w:val="21"/>
          <w:szCs w:val="21"/>
        </w:rPr>
        <w:t>Derivado de las oportunidades referidas, la administración pública municipal</w:t>
      </w:r>
      <w:r>
        <w:rPr>
          <w:rFonts w:ascii="Abadi" w:hAnsi="Abadi" w:cs="*Arial-5255-Identity-H"/>
          <w:color w:val="14141C"/>
          <w:sz w:val="21"/>
          <w:szCs w:val="21"/>
        </w:rPr>
        <w:t xml:space="preserve"> </w:t>
      </w:r>
      <w:r w:rsidRPr="00312C34">
        <w:rPr>
          <w:rFonts w:ascii="Abadi" w:hAnsi="Abadi" w:cs="*Arial-5255-Identity-H"/>
          <w:color w:val="14141C"/>
          <w:sz w:val="21"/>
          <w:szCs w:val="21"/>
        </w:rPr>
        <w:t>de Apaseo el Grande, Gto., presentó una postura proactiva, asumiendo</w:t>
      </w:r>
      <w:r>
        <w:rPr>
          <w:rFonts w:ascii="Abadi" w:hAnsi="Abadi" w:cs="*Arial-5255-Identity-H"/>
          <w:color w:val="14141C"/>
          <w:sz w:val="21"/>
          <w:szCs w:val="21"/>
        </w:rPr>
        <w:t xml:space="preserve"> </w:t>
      </w:r>
      <w:r w:rsidRPr="00312C34">
        <w:rPr>
          <w:rFonts w:ascii="Abadi" w:hAnsi="Abadi" w:cs="*Arial-5255-Identity-H"/>
          <w:color w:val="14141C"/>
          <w:sz w:val="21"/>
          <w:szCs w:val="21"/>
        </w:rPr>
        <w:t>compromisos para mejorar el desempeño del programa auditado, al presentar un</w:t>
      </w:r>
      <w:r>
        <w:rPr>
          <w:rFonts w:ascii="Abadi" w:hAnsi="Abadi" w:cs="*Arial-5255-Identity-H"/>
          <w:color w:val="14141C"/>
          <w:sz w:val="21"/>
          <w:szCs w:val="21"/>
        </w:rPr>
        <w:t xml:space="preserve"> </w:t>
      </w:r>
      <w:r w:rsidRPr="00312C34">
        <w:rPr>
          <w:rFonts w:ascii="Abadi" w:hAnsi="Abadi" w:cs="*Arial-5255-Identity-H"/>
          <w:color w:val="14141C"/>
          <w:sz w:val="21"/>
          <w:szCs w:val="21"/>
        </w:rPr>
        <w:t>plan de acción con actividades concretas, áreas responsables para su realización</w:t>
      </w:r>
      <w:r>
        <w:rPr>
          <w:rFonts w:ascii="Abadi" w:hAnsi="Abadi" w:cs="*Arial-5255-Identity-H"/>
          <w:color w:val="14141C"/>
          <w:sz w:val="21"/>
          <w:szCs w:val="21"/>
        </w:rPr>
        <w:t xml:space="preserve"> </w:t>
      </w:r>
      <w:r w:rsidRPr="00312C34">
        <w:rPr>
          <w:rFonts w:ascii="Abadi" w:hAnsi="Abadi" w:cs="*Arial-5255-Identity-H"/>
          <w:color w:val="14141C"/>
          <w:sz w:val="21"/>
          <w:szCs w:val="21"/>
        </w:rPr>
        <w:t>y un tiempo determinado para su cumplimiento por lo que, de atenderse las</w:t>
      </w:r>
      <w:r>
        <w:rPr>
          <w:rFonts w:ascii="Abadi" w:hAnsi="Abadi" w:cs="*Arial-5255-Identity-H"/>
          <w:color w:val="14141C"/>
          <w:sz w:val="21"/>
          <w:szCs w:val="21"/>
        </w:rPr>
        <w:t xml:space="preserve"> </w:t>
      </w:r>
      <w:r w:rsidRPr="00312C34">
        <w:rPr>
          <w:rFonts w:ascii="Abadi" w:hAnsi="Abadi" w:cs="*Arial-5255-Identity-H"/>
          <w:color w:val="14141C"/>
          <w:sz w:val="21"/>
          <w:szCs w:val="21"/>
        </w:rPr>
        <w:t>recomendaciones efectuadas, el sujeto fiscalizado estará en condiciones de</w:t>
      </w:r>
      <w:r>
        <w:rPr>
          <w:rFonts w:ascii="Abadi" w:hAnsi="Abadi" w:cs="*Arial-5255-Identity-H"/>
          <w:color w:val="14141C"/>
          <w:sz w:val="21"/>
          <w:szCs w:val="21"/>
        </w:rPr>
        <w:t xml:space="preserve">  </w:t>
      </w:r>
      <w:r w:rsidRPr="00312C34">
        <w:rPr>
          <w:rFonts w:ascii="Abadi" w:hAnsi="Abadi" w:cs="*Arial-5255-Identity-H"/>
          <w:color w:val="14141C"/>
          <w:sz w:val="21"/>
          <w:szCs w:val="21"/>
        </w:rPr>
        <w:t>mejorar la gestión pública municipal para fortalecer la prestación del servicio de</w:t>
      </w:r>
      <w:r>
        <w:rPr>
          <w:rFonts w:ascii="Abadi" w:hAnsi="Abadi" w:cs="*Arial-5255-Identity-H"/>
          <w:color w:val="14141C"/>
          <w:sz w:val="21"/>
          <w:szCs w:val="21"/>
        </w:rPr>
        <w:t xml:space="preserve"> </w:t>
      </w:r>
      <w:r w:rsidRPr="00312C34">
        <w:rPr>
          <w:rFonts w:ascii="Abadi" w:hAnsi="Abadi" w:cs="*Arial-5255-Identity-H"/>
          <w:color w:val="14141C"/>
          <w:sz w:val="21"/>
          <w:szCs w:val="21"/>
        </w:rPr>
        <w:t>alumbrado público con una mayor orientación a los principios de eficiencia y</w:t>
      </w:r>
      <w:r>
        <w:rPr>
          <w:rFonts w:ascii="Abadi" w:hAnsi="Abadi" w:cs="*Arial-5255-Identity-H"/>
          <w:color w:val="14141C"/>
          <w:sz w:val="21"/>
          <w:szCs w:val="21"/>
        </w:rPr>
        <w:t xml:space="preserve">  </w:t>
      </w:r>
      <w:r w:rsidRPr="00312C34">
        <w:rPr>
          <w:rFonts w:ascii="Abadi" w:hAnsi="Abadi" w:cs="*Arial-5255-Identity-H"/>
          <w:color w:val="14141C"/>
          <w:sz w:val="21"/>
          <w:szCs w:val="21"/>
        </w:rPr>
        <w:t>eficacia, y, con ello, incidir en la imagen urbana y en la percepción de seguridad</w:t>
      </w:r>
      <w:r>
        <w:rPr>
          <w:rFonts w:ascii="Abadi" w:hAnsi="Abadi" w:cs="*Arial-5255-Identity-H"/>
          <w:color w:val="14141C"/>
          <w:sz w:val="21"/>
          <w:szCs w:val="21"/>
        </w:rPr>
        <w:t xml:space="preserve"> </w:t>
      </w:r>
      <w:r w:rsidRPr="00312C34">
        <w:rPr>
          <w:rFonts w:ascii="Abadi" w:hAnsi="Abadi" w:cs="*Arial-5255-Identity-H"/>
          <w:color w:val="14141C"/>
          <w:sz w:val="21"/>
          <w:szCs w:val="21"/>
        </w:rPr>
        <w:t>para impulsar la realización de actividades recreativas que mejoren el bienestar de</w:t>
      </w:r>
      <w:r>
        <w:rPr>
          <w:rFonts w:ascii="Abadi" w:hAnsi="Abadi" w:cs="*Arial-5255-Identity-H"/>
          <w:color w:val="14141C"/>
          <w:sz w:val="21"/>
          <w:szCs w:val="21"/>
        </w:rPr>
        <w:t xml:space="preserve"> </w:t>
      </w:r>
      <w:r w:rsidRPr="00312C34">
        <w:rPr>
          <w:rFonts w:ascii="Abadi" w:hAnsi="Abadi" w:cs="*Arial-5255-Identity-H"/>
          <w:color w:val="14141C"/>
          <w:sz w:val="21"/>
          <w:szCs w:val="21"/>
        </w:rPr>
        <w:t>los habitantes del Municipio.</w:t>
      </w:r>
    </w:p>
    <w:p w14:paraId="7E762F64" w14:textId="77777777" w:rsidR="00A3693B" w:rsidRPr="00312C34" w:rsidRDefault="00A3693B" w:rsidP="00A3693B">
      <w:pPr>
        <w:autoSpaceDE w:val="0"/>
        <w:autoSpaceDN w:val="0"/>
        <w:adjustRightInd w:val="0"/>
        <w:jc w:val="both"/>
        <w:rPr>
          <w:rFonts w:ascii="Abadi" w:hAnsi="Abadi" w:cs="*Arial-5255-Identity-H"/>
          <w:color w:val="14141C"/>
          <w:sz w:val="21"/>
          <w:szCs w:val="21"/>
        </w:rPr>
      </w:pPr>
    </w:p>
    <w:p w14:paraId="17051993" w14:textId="77777777" w:rsidR="00A3693B" w:rsidRPr="00312C34" w:rsidRDefault="00A3693B" w:rsidP="00A3693B">
      <w:pPr>
        <w:autoSpaceDE w:val="0"/>
        <w:autoSpaceDN w:val="0"/>
        <w:adjustRightInd w:val="0"/>
        <w:ind w:firstLine="708"/>
        <w:jc w:val="both"/>
        <w:rPr>
          <w:rFonts w:ascii="Abadi" w:hAnsi="Abadi" w:cs="*Arial-5255-Identity-H"/>
          <w:color w:val="14131C"/>
          <w:sz w:val="21"/>
          <w:szCs w:val="21"/>
        </w:rPr>
      </w:pPr>
      <w:r w:rsidRPr="00312C34">
        <w:rPr>
          <w:rFonts w:ascii="Abadi" w:hAnsi="Abadi" w:cs="*Arial-5255-Identity-H"/>
          <w:color w:val="14131C"/>
          <w:sz w:val="21"/>
          <w:szCs w:val="21"/>
        </w:rPr>
        <w:t>El seguimiento de dichos compromisos se realizará por la Auditoría</w:t>
      </w:r>
      <w:r>
        <w:rPr>
          <w:rFonts w:ascii="Abadi" w:hAnsi="Abadi" w:cs="*Arial-5255-Identity-H"/>
          <w:color w:val="14131C"/>
          <w:sz w:val="21"/>
          <w:szCs w:val="21"/>
        </w:rPr>
        <w:t xml:space="preserve"> </w:t>
      </w:r>
      <w:r w:rsidRPr="00312C34">
        <w:rPr>
          <w:rFonts w:ascii="Abadi" w:hAnsi="Abadi" w:cs="*Arial-5255-Identity-H"/>
          <w:color w:val="14131C"/>
          <w:sz w:val="21"/>
          <w:szCs w:val="21"/>
        </w:rPr>
        <w:t>Superior del Estado, respecto de las recomendaciones donde se valora que el</w:t>
      </w:r>
      <w:r>
        <w:rPr>
          <w:rFonts w:ascii="Abadi" w:hAnsi="Abadi" w:cs="*Arial-5255-Identity-H"/>
          <w:color w:val="14131C"/>
          <w:sz w:val="21"/>
          <w:szCs w:val="21"/>
        </w:rPr>
        <w:t xml:space="preserve"> </w:t>
      </w:r>
      <w:r w:rsidRPr="00312C34">
        <w:rPr>
          <w:rFonts w:ascii="Abadi" w:hAnsi="Abadi" w:cs="*Arial-5255-Identity-H"/>
          <w:color w:val="14131C"/>
          <w:sz w:val="21"/>
          <w:szCs w:val="21"/>
        </w:rPr>
        <w:t>sujeto fiscalizado realizará acciones de mejora en un plazo determinado hasta su</w:t>
      </w:r>
      <w:r>
        <w:rPr>
          <w:rFonts w:ascii="Abadi" w:hAnsi="Abadi" w:cs="*Arial-5255-Identity-H"/>
          <w:color w:val="14131C"/>
          <w:sz w:val="21"/>
          <w:szCs w:val="21"/>
        </w:rPr>
        <w:t xml:space="preserve"> </w:t>
      </w:r>
      <w:r w:rsidRPr="00312C34">
        <w:rPr>
          <w:rFonts w:ascii="Abadi" w:hAnsi="Abadi" w:cs="*Arial-5255-Identity-H"/>
          <w:color w:val="14131C"/>
          <w:sz w:val="21"/>
          <w:szCs w:val="21"/>
        </w:rPr>
        <w:t>total implementación, acorde a la normativa aplicable.</w:t>
      </w:r>
    </w:p>
    <w:p w14:paraId="39B2D4D3" w14:textId="77777777" w:rsidR="00A3693B" w:rsidRPr="00312C34" w:rsidRDefault="00A3693B" w:rsidP="00A3693B">
      <w:pPr>
        <w:jc w:val="both"/>
        <w:rPr>
          <w:rFonts w:ascii="Abadi" w:hAnsi="Abadi" w:cs="*Arial-5255-Identity-H"/>
          <w:color w:val="14131C"/>
          <w:sz w:val="21"/>
          <w:szCs w:val="21"/>
        </w:rPr>
      </w:pPr>
    </w:p>
    <w:p w14:paraId="1C9B73E1" w14:textId="77777777" w:rsidR="00A3693B" w:rsidRDefault="00A3693B" w:rsidP="00A3693B">
      <w:pPr>
        <w:autoSpaceDE w:val="0"/>
        <w:autoSpaceDN w:val="0"/>
        <w:adjustRightInd w:val="0"/>
        <w:ind w:firstLine="708"/>
        <w:jc w:val="both"/>
        <w:rPr>
          <w:rFonts w:ascii="Abadi" w:hAnsi="Abadi" w:cs="*Arial-Bold-4838-Identity-H"/>
          <w:b/>
          <w:bCs/>
          <w:color w:val="14141F"/>
          <w:sz w:val="21"/>
          <w:szCs w:val="21"/>
        </w:rPr>
      </w:pPr>
      <w:r w:rsidRPr="00312C34">
        <w:rPr>
          <w:rFonts w:ascii="Abadi" w:hAnsi="Abadi" w:cs="*Arial-Bold-4838-Identity-H"/>
          <w:b/>
          <w:bCs/>
          <w:color w:val="14141F"/>
          <w:sz w:val="21"/>
          <w:szCs w:val="21"/>
        </w:rPr>
        <w:t>V. Conclusiones:</w:t>
      </w:r>
    </w:p>
    <w:p w14:paraId="12B92E52" w14:textId="77777777" w:rsidR="00A3693B" w:rsidRPr="00312C34" w:rsidRDefault="00A3693B" w:rsidP="00A3693B">
      <w:pPr>
        <w:autoSpaceDE w:val="0"/>
        <w:autoSpaceDN w:val="0"/>
        <w:adjustRightInd w:val="0"/>
        <w:jc w:val="both"/>
        <w:rPr>
          <w:rFonts w:ascii="Abadi" w:hAnsi="Abadi" w:cs="*Arial-Bold-4838-Identity-H"/>
          <w:b/>
          <w:bCs/>
          <w:color w:val="14141F"/>
          <w:sz w:val="21"/>
          <w:szCs w:val="21"/>
        </w:rPr>
      </w:pPr>
    </w:p>
    <w:p w14:paraId="6532C060" w14:textId="77777777" w:rsidR="00A3693B" w:rsidRDefault="00A3693B" w:rsidP="00A3693B">
      <w:pPr>
        <w:autoSpaceDE w:val="0"/>
        <w:autoSpaceDN w:val="0"/>
        <w:adjustRightInd w:val="0"/>
        <w:ind w:firstLine="708"/>
        <w:jc w:val="both"/>
        <w:rPr>
          <w:rFonts w:ascii="Abadi" w:hAnsi="Abadi" w:cs="*Arial-4837-Identity-H"/>
          <w:color w:val="15131C"/>
          <w:sz w:val="21"/>
          <w:szCs w:val="21"/>
        </w:rPr>
      </w:pPr>
      <w:r w:rsidRPr="00312C34">
        <w:rPr>
          <w:rFonts w:ascii="Abadi" w:hAnsi="Abadi" w:cs="*Arial-4837-Identity-H"/>
          <w:color w:val="15131C"/>
          <w:sz w:val="21"/>
          <w:szCs w:val="21"/>
        </w:rPr>
        <w:t>Como ya lo habíamos señalado en párrafos anteriores, el artículo 38 de la</w:t>
      </w:r>
      <w:r>
        <w:rPr>
          <w:rFonts w:ascii="Abadi" w:hAnsi="Abadi" w:cs="*Arial-4837-Identity-H"/>
          <w:color w:val="15131C"/>
          <w:sz w:val="21"/>
          <w:szCs w:val="21"/>
        </w:rPr>
        <w:t xml:space="preserve"> </w:t>
      </w:r>
      <w:r w:rsidRPr="00312C34">
        <w:rPr>
          <w:rFonts w:ascii="Abadi" w:hAnsi="Abadi" w:cs="*Arial-4837-Identity-H"/>
          <w:color w:val="15131C"/>
          <w:sz w:val="21"/>
          <w:szCs w:val="21"/>
        </w:rPr>
        <w:t>Ley de Fiscalización Superior del Estado de Guanajuato establece que los</w:t>
      </w:r>
      <w:r>
        <w:rPr>
          <w:rFonts w:ascii="Abadi" w:hAnsi="Abadi" w:cs="*Arial-4837-Identity-H"/>
          <w:color w:val="15131C"/>
          <w:sz w:val="21"/>
          <w:szCs w:val="21"/>
        </w:rPr>
        <w:t xml:space="preserve"> </w:t>
      </w:r>
      <w:r w:rsidRPr="00312C34">
        <w:rPr>
          <w:rFonts w:ascii="Abadi" w:hAnsi="Abadi" w:cs="*Arial-4837-Identity-H"/>
          <w:color w:val="15131C"/>
          <w:sz w:val="21"/>
          <w:szCs w:val="21"/>
        </w:rPr>
        <w:t>informes de resultados únicamente podrán ser observados por las dos terceras</w:t>
      </w:r>
      <w:r>
        <w:rPr>
          <w:rFonts w:ascii="Abadi" w:hAnsi="Abadi" w:cs="*Arial-4837-Identity-H"/>
          <w:color w:val="15131C"/>
          <w:sz w:val="21"/>
          <w:szCs w:val="21"/>
        </w:rPr>
        <w:t xml:space="preserve"> </w:t>
      </w:r>
      <w:r w:rsidRPr="00312C34">
        <w:rPr>
          <w:rFonts w:ascii="Abadi" w:hAnsi="Abadi" w:cs="*Arial-4837-Identity-H"/>
          <w:color w:val="15131C"/>
          <w:sz w:val="21"/>
          <w:szCs w:val="21"/>
        </w:rPr>
        <w:t>partes de los diputados integrantes del Congreso, cuando no se observen las</w:t>
      </w:r>
      <w:r>
        <w:rPr>
          <w:rFonts w:ascii="Abadi" w:hAnsi="Abadi" w:cs="*Arial-4837-Identity-H"/>
          <w:color w:val="15131C"/>
          <w:sz w:val="21"/>
          <w:szCs w:val="21"/>
        </w:rPr>
        <w:t xml:space="preserve"> </w:t>
      </w:r>
      <w:r w:rsidRPr="00312C34">
        <w:rPr>
          <w:rFonts w:ascii="Abadi" w:hAnsi="Abadi" w:cs="*Arial-4837-Identity-H"/>
          <w:color w:val="15131C"/>
          <w:sz w:val="21"/>
          <w:szCs w:val="21"/>
        </w:rPr>
        <w:t>formalidades esenciales del proceso de fiscalización.</w:t>
      </w:r>
    </w:p>
    <w:p w14:paraId="670B12BE" w14:textId="77777777" w:rsidR="00A3693B" w:rsidRPr="00312C34" w:rsidRDefault="00A3693B" w:rsidP="00A3693B">
      <w:pPr>
        <w:autoSpaceDE w:val="0"/>
        <w:autoSpaceDN w:val="0"/>
        <w:adjustRightInd w:val="0"/>
        <w:jc w:val="both"/>
        <w:rPr>
          <w:rFonts w:ascii="Abadi" w:hAnsi="Abadi" w:cs="*Arial-4837-Identity-H"/>
          <w:color w:val="15131C"/>
          <w:sz w:val="21"/>
          <w:szCs w:val="21"/>
        </w:rPr>
      </w:pPr>
    </w:p>
    <w:p w14:paraId="2EDAE422" w14:textId="77777777" w:rsidR="00A3693B" w:rsidRDefault="00A3693B" w:rsidP="00A3693B">
      <w:pPr>
        <w:autoSpaceDE w:val="0"/>
        <w:autoSpaceDN w:val="0"/>
        <w:adjustRightInd w:val="0"/>
        <w:ind w:firstLine="708"/>
        <w:jc w:val="both"/>
        <w:rPr>
          <w:rFonts w:ascii="Abadi" w:hAnsi="Abadi" w:cs="*Arial-4837-Identity-H"/>
          <w:color w:val="14141C"/>
          <w:sz w:val="21"/>
          <w:szCs w:val="21"/>
        </w:rPr>
      </w:pPr>
      <w:r w:rsidRPr="00312C34">
        <w:rPr>
          <w:rFonts w:ascii="Abadi" w:hAnsi="Abadi" w:cs="*Arial-4837-Identity-H"/>
          <w:color w:val="14141C"/>
          <w:sz w:val="21"/>
          <w:szCs w:val="21"/>
        </w:rPr>
        <w:t>En este sentido, quienes integramos esta Comisión analizamos el informe</w:t>
      </w:r>
      <w:r>
        <w:rPr>
          <w:rFonts w:ascii="Abadi" w:hAnsi="Abadi" w:cs="*Arial-4837-Identity-H"/>
          <w:color w:val="14141C"/>
          <w:sz w:val="21"/>
          <w:szCs w:val="21"/>
        </w:rPr>
        <w:t xml:space="preserve"> </w:t>
      </w:r>
      <w:r w:rsidRPr="00312C34">
        <w:rPr>
          <w:rFonts w:ascii="Abadi" w:hAnsi="Abadi" w:cs="*Arial-4837-Identity-H"/>
          <w:color w:val="14141C"/>
          <w:sz w:val="21"/>
          <w:szCs w:val="21"/>
        </w:rPr>
        <w:t>de resultados materia del presente dictamen, considerando la hipótesis referida en</w:t>
      </w:r>
      <w:r>
        <w:rPr>
          <w:rFonts w:ascii="Abadi" w:hAnsi="Abadi" w:cs="*Arial-4837-Identity-H"/>
          <w:color w:val="14141C"/>
          <w:sz w:val="21"/>
          <w:szCs w:val="21"/>
        </w:rPr>
        <w:t xml:space="preserve"> </w:t>
      </w:r>
      <w:r w:rsidRPr="00312C34">
        <w:rPr>
          <w:rFonts w:ascii="Abadi" w:hAnsi="Abadi" w:cs="*Arial-4837-Identity-H"/>
          <w:color w:val="14141C"/>
          <w:sz w:val="21"/>
          <w:szCs w:val="21"/>
        </w:rPr>
        <w:t>el precepto anteriormente señalado.</w:t>
      </w:r>
    </w:p>
    <w:p w14:paraId="1E6EAF6A" w14:textId="77777777" w:rsidR="00A3693B" w:rsidRPr="00312C34" w:rsidRDefault="00A3693B" w:rsidP="00A3693B">
      <w:pPr>
        <w:autoSpaceDE w:val="0"/>
        <w:autoSpaceDN w:val="0"/>
        <w:adjustRightInd w:val="0"/>
        <w:ind w:firstLine="708"/>
        <w:jc w:val="both"/>
        <w:rPr>
          <w:rFonts w:ascii="Abadi" w:hAnsi="Abadi" w:cs="*Arial-4837-Identity-H"/>
          <w:color w:val="14141C"/>
          <w:sz w:val="21"/>
          <w:szCs w:val="21"/>
        </w:rPr>
      </w:pPr>
    </w:p>
    <w:p w14:paraId="174C3ECA" w14:textId="77777777" w:rsidR="00A3693B" w:rsidRDefault="00A3693B" w:rsidP="00A3693B">
      <w:pPr>
        <w:autoSpaceDE w:val="0"/>
        <w:autoSpaceDN w:val="0"/>
        <w:adjustRightInd w:val="0"/>
        <w:ind w:firstLine="708"/>
        <w:jc w:val="both"/>
        <w:rPr>
          <w:rFonts w:ascii="Abadi" w:hAnsi="Abadi" w:cs="*Arial-4837-Identity-H"/>
          <w:color w:val="15141C"/>
          <w:sz w:val="21"/>
          <w:szCs w:val="21"/>
        </w:rPr>
      </w:pPr>
      <w:r w:rsidRPr="00312C34">
        <w:rPr>
          <w:rFonts w:ascii="Abadi" w:hAnsi="Abadi" w:cs="*Arial-4837-Identity-H"/>
          <w:color w:val="15141C"/>
          <w:sz w:val="21"/>
          <w:szCs w:val="21"/>
        </w:rPr>
        <w:t>Como se desprende del informe de resultados, el Órgano Técnico dio</w:t>
      </w:r>
      <w:r>
        <w:rPr>
          <w:rFonts w:ascii="Abadi" w:hAnsi="Abadi" w:cs="*Arial-4837-Identity-H"/>
          <w:color w:val="15141C"/>
          <w:sz w:val="21"/>
          <w:szCs w:val="21"/>
        </w:rPr>
        <w:t xml:space="preserve"> </w:t>
      </w:r>
      <w:r w:rsidRPr="00312C34">
        <w:rPr>
          <w:rFonts w:ascii="Abadi" w:hAnsi="Abadi" w:cs="*Arial-4837-Identity-H"/>
          <w:color w:val="15141C"/>
          <w:sz w:val="21"/>
          <w:szCs w:val="21"/>
        </w:rPr>
        <w:t>cumplimiento al artículo 58 de la Ley de Fiscalización Superior del Estado de</w:t>
      </w:r>
      <w:r>
        <w:rPr>
          <w:rFonts w:ascii="Abadi" w:hAnsi="Abadi" w:cs="*Arial-4837-Identity-H"/>
          <w:color w:val="15141C"/>
          <w:sz w:val="21"/>
          <w:szCs w:val="21"/>
        </w:rPr>
        <w:t xml:space="preserve"> </w:t>
      </w:r>
      <w:r w:rsidRPr="00312C34">
        <w:rPr>
          <w:rFonts w:ascii="Abadi" w:hAnsi="Abadi" w:cs="*Arial-4837-Identity-H"/>
          <w:color w:val="15141C"/>
          <w:sz w:val="21"/>
          <w:szCs w:val="21"/>
        </w:rPr>
        <w:t>Guanajuato, al haberse notificado las recomendaciones derivadas de la auditoría</w:t>
      </w:r>
      <w:r>
        <w:rPr>
          <w:rFonts w:ascii="Abadi" w:hAnsi="Abadi" w:cs="*Arial-4837-Identity-H"/>
          <w:color w:val="15141C"/>
          <w:sz w:val="21"/>
          <w:szCs w:val="21"/>
        </w:rPr>
        <w:t xml:space="preserve"> </w:t>
      </w:r>
      <w:r w:rsidRPr="00312C34">
        <w:rPr>
          <w:rFonts w:ascii="Abadi" w:hAnsi="Abadi" w:cs="*Arial-4837-Identity-H"/>
          <w:color w:val="15141C"/>
          <w:sz w:val="21"/>
          <w:szCs w:val="21"/>
        </w:rPr>
        <w:t>al sujeto fiscalizado, concediéndole el plazo que establece la Ley para atender las</w:t>
      </w:r>
      <w:r>
        <w:rPr>
          <w:rFonts w:ascii="Abadi" w:hAnsi="Abadi" w:cs="*Arial-4837-Identity-H"/>
          <w:color w:val="15141C"/>
          <w:sz w:val="21"/>
          <w:szCs w:val="21"/>
        </w:rPr>
        <w:t xml:space="preserve"> </w:t>
      </w:r>
      <w:r w:rsidRPr="00312C34">
        <w:rPr>
          <w:rFonts w:ascii="Abadi" w:hAnsi="Abadi" w:cs="*Arial-4837-Identity-H"/>
          <w:color w:val="15141C"/>
          <w:sz w:val="21"/>
          <w:szCs w:val="21"/>
        </w:rPr>
        <w:t>recomendaciones formuladas por el Órgano Técnico. Al respecto, se presentó la</w:t>
      </w:r>
      <w:r>
        <w:rPr>
          <w:rFonts w:ascii="Abadi" w:hAnsi="Abadi" w:cs="*Arial-4837-Identity-H"/>
          <w:color w:val="15141C"/>
          <w:sz w:val="21"/>
          <w:szCs w:val="21"/>
        </w:rPr>
        <w:t xml:space="preserve"> </w:t>
      </w:r>
      <w:r w:rsidRPr="00312C34">
        <w:rPr>
          <w:rFonts w:ascii="Abadi" w:hAnsi="Abadi" w:cs="*Arial-4837-Identity-H"/>
          <w:color w:val="15141C"/>
          <w:sz w:val="21"/>
          <w:szCs w:val="21"/>
        </w:rPr>
        <w:t>información y documentación que se consideró suficiente para atender las</w:t>
      </w:r>
      <w:r>
        <w:rPr>
          <w:rFonts w:ascii="Abadi" w:hAnsi="Abadi" w:cs="*Arial-4837-Identity-H"/>
          <w:color w:val="15141C"/>
          <w:sz w:val="21"/>
          <w:szCs w:val="21"/>
        </w:rPr>
        <w:t xml:space="preserve"> </w:t>
      </w:r>
      <w:r w:rsidRPr="00312C34">
        <w:rPr>
          <w:rFonts w:ascii="Abadi" w:hAnsi="Abadi" w:cs="*Arial-4837-Identity-H"/>
          <w:color w:val="15141C"/>
          <w:sz w:val="21"/>
          <w:szCs w:val="21"/>
        </w:rPr>
        <w:t>recomendaciones efectuadas.</w:t>
      </w:r>
    </w:p>
    <w:p w14:paraId="63119795" w14:textId="77777777" w:rsidR="00A3693B" w:rsidRPr="00312C34" w:rsidRDefault="00A3693B" w:rsidP="00A3693B">
      <w:pPr>
        <w:autoSpaceDE w:val="0"/>
        <w:autoSpaceDN w:val="0"/>
        <w:adjustRightInd w:val="0"/>
        <w:jc w:val="both"/>
        <w:rPr>
          <w:rFonts w:ascii="Abadi" w:hAnsi="Abadi" w:cs="*Arial-4837-Identity-H"/>
          <w:color w:val="15141C"/>
          <w:sz w:val="21"/>
          <w:szCs w:val="21"/>
        </w:rPr>
      </w:pPr>
    </w:p>
    <w:p w14:paraId="34F124EB" w14:textId="77777777" w:rsidR="00A3693B" w:rsidRDefault="00A3693B" w:rsidP="00A3693B">
      <w:pPr>
        <w:autoSpaceDE w:val="0"/>
        <w:autoSpaceDN w:val="0"/>
        <w:adjustRightInd w:val="0"/>
        <w:ind w:firstLine="708"/>
        <w:jc w:val="both"/>
        <w:rPr>
          <w:rFonts w:ascii="Abadi" w:hAnsi="Abadi" w:cs="*Arial-4837-Identity-H"/>
          <w:color w:val="15141B"/>
          <w:sz w:val="21"/>
          <w:szCs w:val="21"/>
        </w:rPr>
      </w:pPr>
      <w:r w:rsidRPr="00312C34">
        <w:rPr>
          <w:rFonts w:ascii="Abadi" w:hAnsi="Abadi" w:cs="*Arial-4837-Identity-H"/>
          <w:color w:val="15141B"/>
          <w:sz w:val="21"/>
          <w:szCs w:val="21"/>
        </w:rPr>
        <w:t>De igual manera, existe en el informe de resultados la constancia de que</w:t>
      </w:r>
      <w:r>
        <w:rPr>
          <w:rFonts w:ascii="Abadi" w:hAnsi="Abadi" w:cs="*Arial-4837-Identity-H"/>
          <w:color w:val="15141B"/>
          <w:sz w:val="21"/>
          <w:szCs w:val="21"/>
        </w:rPr>
        <w:t xml:space="preserve"> </w:t>
      </w:r>
      <w:r w:rsidRPr="00312C34">
        <w:rPr>
          <w:rFonts w:ascii="Abadi" w:hAnsi="Abadi" w:cs="*Arial-4837-Identity-H"/>
          <w:color w:val="15141B"/>
          <w:sz w:val="21"/>
          <w:szCs w:val="21"/>
        </w:rPr>
        <w:t>este se notificó al sujeto fiscalizado. En tal virtud, se considera que fue respetado</w:t>
      </w:r>
      <w:r>
        <w:rPr>
          <w:rFonts w:ascii="Abadi" w:hAnsi="Abadi" w:cs="*Arial-4837-Identity-H"/>
          <w:color w:val="15141B"/>
          <w:sz w:val="21"/>
          <w:szCs w:val="21"/>
        </w:rPr>
        <w:t xml:space="preserve"> </w:t>
      </w:r>
      <w:r w:rsidRPr="00312C34">
        <w:rPr>
          <w:rFonts w:ascii="Abadi" w:hAnsi="Abadi" w:cs="*Arial-4837-Identity-H"/>
          <w:color w:val="15141B"/>
          <w:sz w:val="21"/>
          <w:szCs w:val="21"/>
        </w:rPr>
        <w:t>el derecho de audiencia o defensa por parte del Órgano Técnico.</w:t>
      </w:r>
      <w:r>
        <w:rPr>
          <w:rFonts w:ascii="Abadi" w:hAnsi="Abadi" w:cs="*Arial-4837-Identity-H"/>
          <w:color w:val="15141B"/>
          <w:sz w:val="21"/>
          <w:szCs w:val="21"/>
        </w:rPr>
        <w:t xml:space="preserve"> </w:t>
      </w:r>
    </w:p>
    <w:p w14:paraId="22221387" w14:textId="77777777" w:rsidR="00A3693B" w:rsidRDefault="00A3693B" w:rsidP="00A3693B">
      <w:pPr>
        <w:autoSpaceDE w:val="0"/>
        <w:autoSpaceDN w:val="0"/>
        <w:adjustRightInd w:val="0"/>
        <w:jc w:val="both"/>
        <w:rPr>
          <w:rFonts w:ascii="Abadi" w:hAnsi="Abadi" w:cs="*Arial-4837-Identity-H"/>
          <w:color w:val="15141B"/>
          <w:sz w:val="21"/>
          <w:szCs w:val="21"/>
        </w:rPr>
      </w:pPr>
    </w:p>
    <w:p w14:paraId="1053F8D0" w14:textId="77777777" w:rsidR="00A3693B" w:rsidRPr="00312C34" w:rsidRDefault="00A3693B" w:rsidP="00A3693B">
      <w:pPr>
        <w:autoSpaceDE w:val="0"/>
        <w:autoSpaceDN w:val="0"/>
        <w:adjustRightInd w:val="0"/>
        <w:ind w:firstLine="708"/>
        <w:jc w:val="both"/>
        <w:rPr>
          <w:rFonts w:ascii="Abadi" w:hAnsi="Abadi" w:cs="*Arial-4837-Identity-H"/>
          <w:color w:val="14131C"/>
          <w:sz w:val="21"/>
          <w:szCs w:val="21"/>
        </w:rPr>
      </w:pPr>
      <w:r w:rsidRPr="00312C34">
        <w:rPr>
          <w:rFonts w:ascii="Abadi" w:hAnsi="Abadi" w:cs="*Arial-4837-Identity-H"/>
          <w:color w:val="14131C"/>
          <w:sz w:val="21"/>
          <w:szCs w:val="21"/>
        </w:rPr>
        <w:t>Asimismo, del informe de resultados podemos inferir que el Órgano Técnico</w:t>
      </w:r>
      <w:r>
        <w:rPr>
          <w:rFonts w:ascii="Abadi" w:hAnsi="Abadi" w:cs="*Arial-4837-Identity-H"/>
          <w:color w:val="14131C"/>
          <w:sz w:val="21"/>
          <w:szCs w:val="21"/>
        </w:rPr>
        <w:t xml:space="preserve"> </w:t>
      </w:r>
      <w:r w:rsidRPr="00312C34">
        <w:rPr>
          <w:rFonts w:ascii="Abadi" w:hAnsi="Abadi" w:cs="*Arial-4837-Identity-H"/>
          <w:color w:val="14131C"/>
          <w:sz w:val="21"/>
          <w:szCs w:val="21"/>
        </w:rPr>
        <w:t>en el desarrollo del procedimiento de auditoría, dio cumplimiento a las</w:t>
      </w:r>
      <w:r>
        <w:rPr>
          <w:rFonts w:ascii="Abadi" w:hAnsi="Abadi" w:cs="*Arial-4837-Identity-H"/>
          <w:color w:val="14131C"/>
          <w:sz w:val="21"/>
          <w:szCs w:val="21"/>
        </w:rPr>
        <w:t xml:space="preserve"> </w:t>
      </w:r>
      <w:r w:rsidRPr="00312C34">
        <w:rPr>
          <w:rFonts w:ascii="Abadi" w:hAnsi="Abadi" w:cs="*Arial-4837-Identity-H"/>
          <w:color w:val="14131C"/>
          <w:sz w:val="21"/>
          <w:szCs w:val="21"/>
        </w:rPr>
        <w:t>formalidades esenciales que la misma Ley establece para el proceso de</w:t>
      </w:r>
      <w:r>
        <w:rPr>
          <w:rFonts w:ascii="Abadi" w:hAnsi="Abadi" w:cs="*Arial-4837-Identity-H"/>
          <w:color w:val="14131C"/>
          <w:sz w:val="21"/>
          <w:szCs w:val="21"/>
        </w:rPr>
        <w:t xml:space="preserve"> </w:t>
      </w:r>
      <w:r w:rsidRPr="00312C34">
        <w:rPr>
          <w:rFonts w:ascii="Abadi" w:hAnsi="Abadi" w:cs="*Arial-4837-Identity-H"/>
          <w:color w:val="14131C"/>
          <w:sz w:val="21"/>
          <w:szCs w:val="21"/>
        </w:rPr>
        <w:t>fiscalización, al haberse practicado la auditoría que estaba contemplada en el</w:t>
      </w:r>
      <w:r>
        <w:rPr>
          <w:rFonts w:ascii="Abadi" w:hAnsi="Abadi" w:cs="*Arial-4837-Identity-H"/>
          <w:color w:val="14131C"/>
          <w:sz w:val="21"/>
          <w:szCs w:val="21"/>
        </w:rPr>
        <w:t xml:space="preserve"> </w:t>
      </w:r>
      <w:r w:rsidRPr="00312C34">
        <w:rPr>
          <w:rFonts w:ascii="Abadi" w:hAnsi="Abadi" w:cs="*Arial-4837-Identity-H"/>
          <w:color w:val="14131C"/>
          <w:sz w:val="21"/>
          <w:szCs w:val="21"/>
        </w:rPr>
        <w:t>Programa General de Fiscalización 2021, aprobado por el Auditor Superior del</w:t>
      </w:r>
    </w:p>
    <w:p w14:paraId="007D0414" w14:textId="77777777" w:rsidR="00A3693B" w:rsidRPr="00312C34" w:rsidRDefault="00A3693B" w:rsidP="00A3693B">
      <w:pPr>
        <w:autoSpaceDE w:val="0"/>
        <w:autoSpaceDN w:val="0"/>
        <w:adjustRightInd w:val="0"/>
        <w:jc w:val="both"/>
        <w:rPr>
          <w:rFonts w:ascii="Abadi" w:hAnsi="Abadi" w:cs="*Arial-4837-Identity-H"/>
          <w:color w:val="14131C"/>
          <w:sz w:val="21"/>
          <w:szCs w:val="21"/>
        </w:rPr>
      </w:pPr>
      <w:r w:rsidRPr="00312C34">
        <w:rPr>
          <w:rFonts w:ascii="Abadi" w:hAnsi="Abadi" w:cs="*Arial-4837-Identity-H"/>
          <w:color w:val="14131C"/>
          <w:sz w:val="21"/>
          <w:szCs w:val="21"/>
        </w:rPr>
        <w:t>Estado. Asimismo, la auditoría se efectuó atendiendo a lo establecido en la</w:t>
      </w:r>
      <w:r>
        <w:rPr>
          <w:rFonts w:ascii="Abadi" w:hAnsi="Abadi" w:cs="*Arial-4837-Identity-H"/>
          <w:color w:val="14131C"/>
          <w:sz w:val="21"/>
          <w:szCs w:val="21"/>
        </w:rPr>
        <w:t xml:space="preserve"> </w:t>
      </w:r>
      <w:r w:rsidRPr="00312C34">
        <w:rPr>
          <w:rFonts w:ascii="Abadi" w:hAnsi="Abadi" w:cs="*Arial-4837-Identity-H"/>
          <w:color w:val="14131C"/>
          <w:sz w:val="21"/>
          <w:szCs w:val="21"/>
        </w:rPr>
        <w:t>normatividad aplicable en la materia, cumpliendo lo estipulado por el artículo 3 y el</w:t>
      </w:r>
      <w:r>
        <w:rPr>
          <w:rFonts w:ascii="Abadi" w:hAnsi="Abadi" w:cs="*Arial-4837-Identity-H"/>
          <w:color w:val="14131C"/>
          <w:sz w:val="21"/>
          <w:szCs w:val="21"/>
        </w:rPr>
        <w:t xml:space="preserve"> </w:t>
      </w:r>
      <w:r w:rsidRPr="00312C34">
        <w:rPr>
          <w:rFonts w:ascii="Abadi" w:hAnsi="Abadi" w:cs="*Arial-4837-Identity-H"/>
          <w:color w:val="14131C"/>
          <w:sz w:val="21"/>
          <w:szCs w:val="21"/>
        </w:rPr>
        <w:t>Capítulo VI del Título Segundo d</w:t>
      </w:r>
      <w:r>
        <w:rPr>
          <w:rFonts w:ascii="Abadi" w:hAnsi="Abadi" w:cs="*Arial-4837-Identity-H"/>
          <w:color w:val="14131C"/>
          <w:sz w:val="21"/>
          <w:szCs w:val="21"/>
        </w:rPr>
        <w:t>e</w:t>
      </w:r>
      <w:r w:rsidRPr="00312C34">
        <w:rPr>
          <w:rFonts w:ascii="Abadi" w:hAnsi="Abadi" w:cs="*Arial-4837-Identity-H"/>
          <w:color w:val="14131C"/>
          <w:sz w:val="21"/>
          <w:szCs w:val="21"/>
        </w:rPr>
        <w:t xml:space="preserve"> la Ley de Fiscalización Superior del Estado de</w:t>
      </w:r>
      <w:r>
        <w:rPr>
          <w:rFonts w:ascii="Abadi" w:hAnsi="Abadi" w:cs="*Arial-4837-Identity-H"/>
          <w:color w:val="14131C"/>
          <w:sz w:val="21"/>
          <w:szCs w:val="21"/>
        </w:rPr>
        <w:t xml:space="preserve"> </w:t>
      </w:r>
      <w:r w:rsidRPr="00312C34">
        <w:rPr>
          <w:rFonts w:ascii="Abadi" w:hAnsi="Abadi" w:cs="*Arial-4837-Identity-H"/>
          <w:color w:val="14131C"/>
          <w:sz w:val="21"/>
          <w:szCs w:val="21"/>
        </w:rPr>
        <w:t>Guanajuato, así como el artículo 28 del Reglamento de dicha Ley.</w:t>
      </w:r>
    </w:p>
    <w:p w14:paraId="571235CD" w14:textId="77777777" w:rsidR="00A3693B" w:rsidRPr="00312C34" w:rsidRDefault="00A3693B" w:rsidP="00A3693B">
      <w:pPr>
        <w:jc w:val="both"/>
        <w:rPr>
          <w:rFonts w:ascii="Abadi" w:hAnsi="Abadi" w:cs="*Arial-4837-Identity-H"/>
          <w:color w:val="14131C"/>
          <w:sz w:val="21"/>
          <w:szCs w:val="21"/>
        </w:rPr>
      </w:pPr>
    </w:p>
    <w:p w14:paraId="70A6DEB3" w14:textId="77777777" w:rsidR="00A3693B" w:rsidRDefault="00A3693B" w:rsidP="00A3693B">
      <w:pPr>
        <w:autoSpaceDE w:val="0"/>
        <w:autoSpaceDN w:val="0"/>
        <w:adjustRightInd w:val="0"/>
        <w:ind w:firstLine="708"/>
        <w:jc w:val="both"/>
        <w:rPr>
          <w:rFonts w:ascii="Abadi" w:hAnsi="Abadi" w:cs="*Arial-5917-Identity-H"/>
          <w:color w:val="14131B"/>
          <w:sz w:val="21"/>
          <w:szCs w:val="21"/>
        </w:rPr>
      </w:pPr>
      <w:r w:rsidRPr="00312C34">
        <w:rPr>
          <w:rFonts w:ascii="Abadi" w:hAnsi="Abadi" w:cs="*Arial-5917-Identity-H"/>
          <w:color w:val="14131B"/>
          <w:sz w:val="21"/>
          <w:szCs w:val="21"/>
        </w:rPr>
        <w:t>Finalmente, es de destacar que el cumplimiento de los Objetivos del</w:t>
      </w:r>
      <w:r>
        <w:rPr>
          <w:rFonts w:ascii="Abadi" w:hAnsi="Abadi" w:cs="*Arial-5917-Identity-H"/>
          <w:color w:val="14131B"/>
          <w:sz w:val="21"/>
          <w:szCs w:val="21"/>
        </w:rPr>
        <w:t xml:space="preserve"> D</w:t>
      </w:r>
      <w:r w:rsidRPr="00312C34">
        <w:rPr>
          <w:rFonts w:ascii="Abadi" w:hAnsi="Abadi" w:cs="*Arial-5917-Identity-H"/>
          <w:color w:val="14131B"/>
          <w:sz w:val="21"/>
          <w:szCs w:val="21"/>
        </w:rPr>
        <w:t>esarrollo Sostenible de la Agenda 2030 está presente en el dictamen puesto a su</w:t>
      </w:r>
      <w:r>
        <w:rPr>
          <w:rFonts w:ascii="Abadi" w:hAnsi="Abadi" w:cs="*Arial-5917-Identity-H"/>
          <w:color w:val="14131B"/>
          <w:sz w:val="21"/>
          <w:szCs w:val="21"/>
        </w:rPr>
        <w:t xml:space="preserve"> </w:t>
      </w:r>
      <w:r w:rsidRPr="00312C34">
        <w:rPr>
          <w:rFonts w:ascii="Abadi" w:hAnsi="Abadi" w:cs="*Arial-5917-Identity-H"/>
          <w:color w:val="14131B"/>
          <w:sz w:val="21"/>
          <w:szCs w:val="21"/>
        </w:rPr>
        <w:t>consideración, pues el mismo incide de manera directa en el Objetivo 16</w:t>
      </w:r>
      <w:r>
        <w:rPr>
          <w:rFonts w:ascii="Abadi" w:hAnsi="Abadi" w:cs="*Arial-5917-Identity-H"/>
          <w:color w:val="14131B"/>
          <w:sz w:val="21"/>
          <w:szCs w:val="21"/>
        </w:rPr>
        <w:t xml:space="preserve"> </w:t>
      </w:r>
      <w:r w:rsidRPr="00312C34">
        <w:rPr>
          <w:rFonts w:ascii="Abadi" w:hAnsi="Abadi" w:cs="*Arial-5917-Identity-H"/>
          <w:color w:val="14131B"/>
          <w:sz w:val="21"/>
          <w:szCs w:val="21"/>
        </w:rPr>
        <w:t>denominado Paz, Justicia e Instituciones Sólidas. Promover sociedades justas,</w:t>
      </w:r>
      <w:r>
        <w:rPr>
          <w:rFonts w:ascii="Abadi" w:hAnsi="Abadi" w:cs="*Arial-5917-Identity-H"/>
          <w:color w:val="14131B"/>
          <w:sz w:val="21"/>
          <w:szCs w:val="21"/>
        </w:rPr>
        <w:t xml:space="preserve"> </w:t>
      </w:r>
      <w:r w:rsidRPr="00312C34">
        <w:rPr>
          <w:rFonts w:ascii="Abadi" w:hAnsi="Abadi" w:cs="*Arial-5917-Identity-H"/>
          <w:color w:val="14131B"/>
          <w:sz w:val="21"/>
          <w:szCs w:val="21"/>
        </w:rPr>
        <w:t>pacíficas e inclusivas, respecto a la meta 16.6 Crear a todos los niveles</w:t>
      </w:r>
      <w:r>
        <w:rPr>
          <w:rFonts w:ascii="Abadi" w:hAnsi="Abadi" w:cs="*Arial-5917-Identity-H"/>
          <w:color w:val="14131B"/>
          <w:sz w:val="21"/>
          <w:szCs w:val="21"/>
        </w:rPr>
        <w:t xml:space="preserve"> </w:t>
      </w:r>
      <w:r w:rsidRPr="00312C34">
        <w:rPr>
          <w:rFonts w:ascii="Abadi" w:hAnsi="Abadi" w:cs="*Arial-5917-Identity-H"/>
          <w:color w:val="14131B"/>
          <w:sz w:val="21"/>
          <w:szCs w:val="21"/>
        </w:rPr>
        <w:t>instituciones eficaces y transparentes, al abonar a la transparencia y rendición de</w:t>
      </w:r>
      <w:r>
        <w:rPr>
          <w:rFonts w:ascii="Abadi" w:hAnsi="Abadi" w:cs="*Arial-5917-Identity-H"/>
          <w:color w:val="14131B"/>
          <w:sz w:val="21"/>
          <w:szCs w:val="21"/>
        </w:rPr>
        <w:t xml:space="preserve"> </w:t>
      </w:r>
      <w:r w:rsidRPr="00312C34">
        <w:rPr>
          <w:rFonts w:ascii="Abadi" w:hAnsi="Abadi" w:cs="*Arial-5917-Identity-H"/>
          <w:color w:val="14131B"/>
          <w:sz w:val="21"/>
          <w:szCs w:val="21"/>
        </w:rPr>
        <w:t>cuentas.</w:t>
      </w:r>
    </w:p>
    <w:p w14:paraId="4CBA6D8A" w14:textId="77777777" w:rsidR="00A3693B" w:rsidRPr="00312C34" w:rsidRDefault="00A3693B" w:rsidP="00A3693B">
      <w:pPr>
        <w:autoSpaceDE w:val="0"/>
        <w:autoSpaceDN w:val="0"/>
        <w:adjustRightInd w:val="0"/>
        <w:jc w:val="both"/>
        <w:rPr>
          <w:rFonts w:ascii="Abadi" w:hAnsi="Abadi" w:cs="*Arial-5917-Identity-H"/>
          <w:color w:val="14131B"/>
          <w:sz w:val="21"/>
          <w:szCs w:val="21"/>
        </w:rPr>
      </w:pPr>
    </w:p>
    <w:p w14:paraId="2709325B" w14:textId="77777777" w:rsidR="00A3693B" w:rsidRDefault="00A3693B" w:rsidP="00A3693B">
      <w:pPr>
        <w:autoSpaceDE w:val="0"/>
        <w:autoSpaceDN w:val="0"/>
        <w:adjustRightInd w:val="0"/>
        <w:ind w:firstLine="708"/>
        <w:jc w:val="both"/>
        <w:rPr>
          <w:rFonts w:ascii="Abadi" w:hAnsi="Abadi" w:cs="*Arial-5917-Identity-H"/>
          <w:color w:val="14131B"/>
          <w:sz w:val="21"/>
          <w:szCs w:val="21"/>
        </w:rPr>
      </w:pPr>
      <w:r w:rsidRPr="00312C34">
        <w:rPr>
          <w:rFonts w:ascii="Abadi" w:hAnsi="Abadi" w:cs="*Arial-5917-Identity-H"/>
          <w:color w:val="14131B"/>
          <w:sz w:val="21"/>
          <w:szCs w:val="21"/>
        </w:rPr>
        <w:t>En razón de lo anteriormente señalado, concluimos que el informe de</w:t>
      </w:r>
      <w:r>
        <w:rPr>
          <w:rFonts w:ascii="Abadi" w:hAnsi="Abadi" w:cs="*Arial-5917-Identity-H"/>
          <w:color w:val="14131B"/>
          <w:sz w:val="21"/>
          <w:szCs w:val="21"/>
        </w:rPr>
        <w:t xml:space="preserve"> </w:t>
      </w:r>
      <w:r w:rsidRPr="00312C34">
        <w:rPr>
          <w:rFonts w:ascii="Abadi" w:hAnsi="Abadi" w:cs="*Arial-5917-Identity-H"/>
          <w:color w:val="14131B"/>
          <w:sz w:val="21"/>
          <w:szCs w:val="21"/>
        </w:rPr>
        <w:t>resultados de la auditoría de desempeño practicada a la administración municipal</w:t>
      </w:r>
      <w:r>
        <w:rPr>
          <w:rFonts w:ascii="Abadi" w:hAnsi="Abadi" w:cs="*Arial-5917-Identity-H"/>
          <w:color w:val="14131B"/>
          <w:sz w:val="21"/>
          <w:szCs w:val="21"/>
        </w:rPr>
        <w:t xml:space="preserve"> </w:t>
      </w:r>
      <w:r w:rsidRPr="00312C34">
        <w:rPr>
          <w:rFonts w:ascii="Abadi" w:hAnsi="Abadi" w:cs="*Arial-5917-Identity-H"/>
          <w:color w:val="14131B"/>
          <w:sz w:val="21"/>
          <w:szCs w:val="21"/>
        </w:rPr>
        <w:t>de Apaseo el Grande, Gto., con enfoque a resultados del servicio de alumbrado</w:t>
      </w:r>
      <w:r>
        <w:rPr>
          <w:rFonts w:ascii="Abadi" w:hAnsi="Abadi" w:cs="*Arial-5917-Identity-H"/>
          <w:color w:val="14131B"/>
          <w:sz w:val="21"/>
          <w:szCs w:val="21"/>
        </w:rPr>
        <w:t xml:space="preserve"> </w:t>
      </w:r>
      <w:r w:rsidRPr="00312C34">
        <w:rPr>
          <w:rFonts w:ascii="Abadi" w:hAnsi="Abadi" w:cs="*Arial-5917-Identity-H"/>
          <w:color w:val="14131B"/>
          <w:sz w:val="21"/>
          <w:szCs w:val="21"/>
        </w:rPr>
        <w:t>público, por el ejercicio fiscal del año 2020, debe sancionarse por el Congreso en</w:t>
      </w:r>
      <w:r>
        <w:rPr>
          <w:rFonts w:ascii="Abadi" w:hAnsi="Abadi" w:cs="*Arial-5917-Identity-H"/>
          <w:color w:val="14131B"/>
          <w:sz w:val="21"/>
          <w:szCs w:val="21"/>
        </w:rPr>
        <w:t xml:space="preserve"> </w:t>
      </w:r>
      <w:r w:rsidRPr="00312C34">
        <w:rPr>
          <w:rFonts w:ascii="Abadi" w:hAnsi="Abadi" w:cs="*Arial-5917-Identity-H"/>
          <w:color w:val="14131B"/>
          <w:sz w:val="21"/>
          <w:szCs w:val="21"/>
        </w:rPr>
        <w:t>los términos presentados por la Auditoría Superior del Estado y proceder a su</w:t>
      </w:r>
      <w:r>
        <w:rPr>
          <w:rFonts w:ascii="Abadi" w:hAnsi="Abadi" w:cs="*Arial-5917-Identity-H"/>
          <w:color w:val="14131B"/>
          <w:sz w:val="21"/>
          <w:szCs w:val="21"/>
        </w:rPr>
        <w:t xml:space="preserve"> </w:t>
      </w:r>
      <w:r w:rsidRPr="00312C34">
        <w:rPr>
          <w:rFonts w:ascii="Abadi" w:hAnsi="Abadi" w:cs="*Arial-5917-Identity-H"/>
          <w:color w:val="14131B"/>
          <w:sz w:val="21"/>
          <w:szCs w:val="21"/>
        </w:rPr>
        <w:t>aprobación, considerando que no se presenta el supuesto contenido en el artículo</w:t>
      </w:r>
      <w:r>
        <w:rPr>
          <w:rFonts w:ascii="Abadi" w:hAnsi="Abadi" w:cs="*Arial-5917-Identity-H"/>
          <w:color w:val="14131B"/>
          <w:sz w:val="21"/>
          <w:szCs w:val="21"/>
        </w:rPr>
        <w:t xml:space="preserve"> </w:t>
      </w:r>
      <w:r w:rsidRPr="00312C34">
        <w:rPr>
          <w:rFonts w:ascii="Abadi" w:hAnsi="Abadi" w:cs="*Arial-5917-Identity-H"/>
          <w:color w:val="14131B"/>
          <w:sz w:val="21"/>
          <w:szCs w:val="21"/>
        </w:rPr>
        <w:t>38 de la Ley de Fiscalización Superior del Estado de Guanajuato, razón por la cual</w:t>
      </w:r>
      <w:r>
        <w:rPr>
          <w:rFonts w:ascii="Abadi" w:hAnsi="Abadi" w:cs="*Arial-5917-Identity-H"/>
          <w:color w:val="14131B"/>
          <w:sz w:val="21"/>
          <w:szCs w:val="21"/>
        </w:rPr>
        <w:t xml:space="preserve"> </w:t>
      </w:r>
      <w:r w:rsidRPr="00312C34">
        <w:rPr>
          <w:rFonts w:ascii="Abadi" w:hAnsi="Abadi" w:cs="*Arial-5917-Identity-H"/>
          <w:color w:val="14131B"/>
          <w:sz w:val="21"/>
          <w:szCs w:val="21"/>
        </w:rPr>
        <w:t>no podría ser observado por el Pleno del Congreso.</w:t>
      </w:r>
    </w:p>
    <w:p w14:paraId="26DDA421" w14:textId="77777777" w:rsidR="00A3693B" w:rsidRPr="00312C34" w:rsidRDefault="00A3693B" w:rsidP="00A3693B">
      <w:pPr>
        <w:autoSpaceDE w:val="0"/>
        <w:autoSpaceDN w:val="0"/>
        <w:adjustRightInd w:val="0"/>
        <w:jc w:val="both"/>
        <w:rPr>
          <w:rFonts w:ascii="Abadi" w:hAnsi="Abadi" w:cs="*Arial-5917-Identity-H"/>
          <w:color w:val="14131B"/>
          <w:sz w:val="21"/>
          <w:szCs w:val="21"/>
        </w:rPr>
      </w:pPr>
    </w:p>
    <w:p w14:paraId="1FEE3C04" w14:textId="77777777" w:rsidR="00A3693B" w:rsidRPr="00312C34" w:rsidRDefault="00A3693B" w:rsidP="00A3693B">
      <w:pPr>
        <w:autoSpaceDE w:val="0"/>
        <w:autoSpaceDN w:val="0"/>
        <w:adjustRightInd w:val="0"/>
        <w:ind w:firstLine="708"/>
        <w:jc w:val="both"/>
        <w:rPr>
          <w:rFonts w:ascii="Abadi" w:hAnsi="Abadi" w:cs="*Arial-5917-Identity-H"/>
          <w:color w:val="14131B"/>
          <w:sz w:val="21"/>
          <w:szCs w:val="21"/>
        </w:rPr>
      </w:pPr>
      <w:r w:rsidRPr="00312C34">
        <w:rPr>
          <w:rFonts w:ascii="Abadi" w:hAnsi="Abadi" w:cs="*Arial-5917-Identity-H"/>
          <w:color w:val="14131B"/>
          <w:sz w:val="21"/>
          <w:szCs w:val="21"/>
        </w:rPr>
        <w:t>Por lo expuesto, con fundamento en el artículo 204 de la Ley Orgánica del</w:t>
      </w:r>
      <w:r>
        <w:rPr>
          <w:rFonts w:ascii="Abadi" w:hAnsi="Abadi" w:cs="*Arial-5917-Identity-H"/>
          <w:color w:val="14131B"/>
          <w:sz w:val="21"/>
          <w:szCs w:val="21"/>
        </w:rPr>
        <w:t xml:space="preserve"> </w:t>
      </w:r>
      <w:r w:rsidRPr="00312C34">
        <w:rPr>
          <w:rFonts w:ascii="Abadi" w:hAnsi="Abadi" w:cs="*Arial-5917-Identity-H"/>
          <w:color w:val="14131B"/>
          <w:sz w:val="21"/>
          <w:szCs w:val="21"/>
        </w:rPr>
        <w:t>Poder Legislativo, nos permitimos someter a la consideración de la Asamblea, la</w:t>
      </w:r>
      <w:r>
        <w:rPr>
          <w:rFonts w:ascii="Abadi" w:hAnsi="Abadi" w:cs="*Arial-5917-Identity-H"/>
          <w:color w:val="14131B"/>
          <w:sz w:val="21"/>
          <w:szCs w:val="21"/>
        </w:rPr>
        <w:t xml:space="preserve"> </w:t>
      </w:r>
      <w:r w:rsidRPr="00312C34">
        <w:rPr>
          <w:rFonts w:ascii="Abadi" w:hAnsi="Abadi" w:cs="*Arial-5917-Identity-H"/>
          <w:color w:val="14131B"/>
          <w:sz w:val="21"/>
          <w:szCs w:val="21"/>
        </w:rPr>
        <w:t>aprobación del siguiente:</w:t>
      </w:r>
    </w:p>
    <w:p w14:paraId="11811782" w14:textId="77777777" w:rsidR="00A3693B" w:rsidRDefault="00A3693B" w:rsidP="00A3693B">
      <w:pPr>
        <w:autoSpaceDE w:val="0"/>
        <w:autoSpaceDN w:val="0"/>
        <w:adjustRightInd w:val="0"/>
        <w:jc w:val="both"/>
        <w:rPr>
          <w:rFonts w:ascii="Abadi" w:hAnsi="Abadi" w:cs="*Arial-Bold-5918-Identity-H"/>
          <w:b/>
          <w:bCs/>
          <w:color w:val="14131E"/>
          <w:sz w:val="21"/>
          <w:szCs w:val="21"/>
        </w:rPr>
      </w:pPr>
    </w:p>
    <w:p w14:paraId="206F9698" w14:textId="77777777" w:rsidR="00A3693B" w:rsidRDefault="00A3693B" w:rsidP="00A3693B">
      <w:pPr>
        <w:autoSpaceDE w:val="0"/>
        <w:autoSpaceDN w:val="0"/>
        <w:adjustRightInd w:val="0"/>
        <w:jc w:val="center"/>
        <w:rPr>
          <w:rFonts w:ascii="Abadi" w:hAnsi="Abadi" w:cs="*Arial-Bold-5918-Identity-H"/>
          <w:b/>
          <w:bCs/>
          <w:color w:val="14131E"/>
          <w:sz w:val="21"/>
          <w:szCs w:val="21"/>
        </w:rPr>
      </w:pPr>
      <w:r w:rsidRPr="00312C34">
        <w:rPr>
          <w:rFonts w:ascii="Abadi" w:hAnsi="Abadi" w:cs="*Arial-Bold-5918-Identity-H"/>
          <w:b/>
          <w:bCs/>
          <w:color w:val="14131E"/>
          <w:sz w:val="21"/>
          <w:szCs w:val="21"/>
        </w:rPr>
        <w:t>ACUERDO</w:t>
      </w:r>
    </w:p>
    <w:p w14:paraId="73F0F9D1" w14:textId="77777777" w:rsidR="00A3693B" w:rsidRPr="00312C34" w:rsidRDefault="00A3693B" w:rsidP="00A3693B">
      <w:pPr>
        <w:autoSpaceDE w:val="0"/>
        <w:autoSpaceDN w:val="0"/>
        <w:adjustRightInd w:val="0"/>
        <w:jc w:val="both"/>
        <w:rPr>
          <w:rFonts w:ascii="Abadi" w:hAnsi="Abadi" w:cs="*Arial-Bold-5918-Identity-H"/>
          <w:b/>
          <w:bCs/>
          <w:color w:val="14131E"/>
          <w:sz w:val="21"/>
          <w:szCs w:val="21"/>
        </w:rPr>
      </w:pPr>
    </w:p>
    <w:p w14:paraId="7EACB464" w14:textId="77777777" w:rsidR="00A3693B" w:rsidRDefault="00A3693B" w:rsidP="00A3693B">
      <w:pPr>
        <w:autoSpaceDE w:val="0"/>
        <w:autoSpaceDN w:val="0"/>
        <w:adjustRightInd w:val="0"/>
        <w:ind w:firstLine="708"/>
        <w:jc w:val="both"/>
        <w:rPr>
          <w:rFonts w:ascii="Abadi" w:hAnsi="Abadi" w:cs="*Arial-5917-Identity-H"/>
          <w:color w:val="14131C"/>
          <w:sz w:val="21"/>
          <w:szCs w:val="21"/>
        </w:rPr>
      </w:pPr>
      <w:r w:rsidRPr="00312C34">
        <w:rPr>
          <w:rFonts w:ascii="Abadi" w:hAnsi="Abadi" w:cs="*Arial-Bold-5918-Identity-H"/>
          <w:b/>
          <w:bCs/>
          <w:color w:val="14131C"/>
          <w:sz w:val="21"/>
          <w:szCs w:val="21"/>
        </w:rPr>
        <w:t xml:space="preserve">Único. </w:t>
      </w:r>
      <w:r w:rsidRPr="00312C34">
        <w:rPr>
          <w:rFonts w:ascii="Abadi" w:hAnsi="Abadi" w:cs="*Arial-5917-Identity-H"/>
          <w:color w:val="14131C"/>
          <w:sz w:val="21"/>
          <w:szCs w:val="21"/>
        </w:rPr>
        <w:t>Con fundamento en el artículo 63 fracción XIX de la Constitución</w:t>
      </w:r>
      <w:r>
        <w:rPr>
          <w:rFonts w:ascii="Abadi" w:hAnsi="Abadi" w:cs="*Arial-5917-Identity-H"/>
          <w:color w:val="14131C"/>
          <w:sz w:val="21"/>
          <w:szCs w:val="21"/>
        </w:rPr>
        <w:t xml:space="preserve"> </w:t>
      </w:r>
      <w:r w:rsidRPr="00312C34">
        <w:rPr>
          <w:rFonts w:ascii="Abadi" w:hAnsi="Abadi" w:cs="*Arial-5917-Identity-H"/>
          <w:color w:val="14131C"/>
          <w:sz w:val="21"/>
          <w:szCs w:val="21"/>
        </w:rPr>
        <w:t>Política para el Estado, en relación con los artículos 3, fracción V, 5, fracción IV,</w:t>
      </w:r>
      <w:r>
        <w:rPr>
          <w:rFonts w:ascii="Abadi" w:hAnsi="Abadi" w:cs="*Arial-5917-Identity-H"/>
          <w:color w:val="14131C"/>
          <w:sz w:val="21"/>
          <w:szCs w:val="21"/>
        </w:rPr>
        <w:t xml:space="preserve"> </w:t>
      </w:r>
      <w:r w:rsidRPr="00312C34">
        <w:rPr>
          <w:rFonts w:ascii="Abadi" w:hAnsi="Abadi" w:cs="*Arial-5917-Identity-H"/>
          <w:color w:val="14131C"/>
          <w:sz w:val="21"/>
          <w:szCs w:val="21"/>
        </w:rPr>
        <w:t>56, 59 y 60 de la Ley de Fiscalización Superior del Estado de Guanajuato y 28 del</w:t>
      </w:r>
      <w:r>
        <w:rPr>
          <w:rFonts w:ascii="Abadi" w:hAnsi="Abadi" w:cs="*Arial-5917-Identity-H"/>
          <w:color w:val="14131C"/>
          <w:sz w:val="21"/>
          <w:szCs w:val="21"/>
        </w:rPr>
        <w:t xml:space="preserve"> </w:t>
      </w:r>
      <w:r w:rsidRPr="00312C34">
        <w:rPr>
          <w:rFonts w:ascii="Abadi" w:hAnsi="Abadi" w:cs="*Arial-5917-Identity-H"/>
          <w:color w:val="14131C"/>
          <w:sz w:val="21"/>
          <w:szCs w:val="21"/>
        </w:rPr>
        <w:t>Reglamento de la Ley de Fiscalización Superior del Estado de Guanajuato, se</w:t>
      </w:r>
      <w:r>
        <w:rPr>
          <w:rFonts w:ascii="Abadi" w:hAnsi="Abadi" w:cs="*Arial-5917-Identity-H"/>
          <w:color w:val="14131C"/>
          <w:sz w:val="21"/>
          <w:szCs w:val="21"/>
        </w:rPr>
        <w:t xml:space="preserve"> </w:t>
      </w:r>
      <w:r w:rsidRPr="00312C34">
        <w:rPr>
          <w:rFonts w:ascii="Abadi" w:hAnsi="Abadi" w:cs="*Arial-5917-Identity-H"/>
          <w:color w:val="14131C"/>
          <w:sz w:val="21"/>
          <w:szCs w:val="21"/>
        </w:rPr>
        <w:t>aprueba el informe de resultados formulado por la Auditoría Superior del Estado</w:t>
      </w:r>
      <w:r>
        <w:rPr>
          <w:rFonts w:ascii="Abadi" w:hAnsi="Abadi" w:cs="*Arial-5917-Identity-H"/>
          <w:color w:val="14131C"/>
          <w:sz w:val="21"/>
          <w:szCs w:val="21"/>
        </w:rPr>
        <w:t xml:space="preserve"> </w:t>
      </w:r>
      <w:r w:rsidRPr="00312C34">
        <w:rPr>
          <w:rFonts w:ascii="Abadi" w:hAnsi="Abadi" w:cs="*Arial-5917-Identity-H"/>
          <w:color w:val="14131C"/>
          <w:sz w:val="21"/>
          <w:szCs w:val="21"/>
        </w:rPr>
        <w:t>de Guanajuato, de la auditoría de desempeño practicada a la administración</w:t>
      </w:r>
      <w:r>
        <w:rPr>
          <w:rFonts w:ascii="Abadi" w:hAnsi="Abadi" w:cs="*Arial-5917-Identity-H"/>
          <w:color w:val="14131C"/>
          <w:sz w:val="21"/>
          <w:szCs w:val="21"/>
        </w:rPr>
        <w:t xml:space="preserve"> </w:t>
      </w:r>
      <w:r w:rsidRPr="00312C34">
        <w:rPr>
          <w:rFonts w:ascii="Abadi" w:hAnsi="Abadi" w:cs="*Arial-5917-Identity-H"/>
          <w:color w:val="14131C"/>
          <w:sz w:val="21"/>
          <w:szCs w:val="21"/>
        </w:rPr>
        <w:t>municipal de Apaseo el Grande,. Gto., con enfoque a resultados del servicio de</w:t>
      </w:r>
      <w:r>
        <w:rPr>
          <w:rFonts w:ascii="Abadi" w:hAnsi="Abadi" w:cs="*Arial-5917-Identity-H"/>
          <w:color w:val="14131C"/>
          <w:sz w:val="21"/>
          <w:szCs w:val="21"/>
        </w:rPr>
        <w:t xml:space="preserve"> </w:t>
      </w:r>
      <w:r w:rsidRPr="00312C34">
        <w:rPr>
          <w:rFonts w:ascii="Abadi" w:hAnsi="Abadi" w:cs="*Arial-5917-Identity-H"/>
          <w:color w:val="14131C"/>
          <w:sz w:val="21"/>
          <w:szCs w:val="21"/>
        </w:rPr>
        <w:t>alumbrado público, por el periodo comprendido del 1 de enero al 31 de diciembre</w:t>
      </w:r>
      <w:r>
        <w:rPr>
          <w:rFonts w:ascii="Abadi" w:hAnsi="Abadi" w:cs="*Arial-5917-Identity-H"/>
          <w:color w:val="14131C"/>
          <w:sz w:val="21"/>
          <w:szCs w:val="21"/>
        </w:rPr>
        <w:t xml:space="preserve"> </w:t>
      </w:r>
      <w:r w:rsidRPr="00312C34">
        <w:rPr>
          <w:rFonts w:ascii="Abadi" w:hAnsi="Abadi" w:cs="*Arial-5917-Identity-H"/>
          <w:color w:val="14131C"/>
          <w:sz w:val="21"/>
          <w:szCs w:val="21"/>
        </w:rPr>
        <w:t>del ejercicio fiscal del año 2020.</w:t>
      </w:r>
    </w:p>
    <w:p w14:paraId="42916F11" w14:textId="77777777" w:rsidR="00A3693B" w:rsidRPr="00312C34" w:rsidRDefault="00A3693B" w:rsidP="00A3693B">
      <w:pPr>
        <w:autoSpaceDE w:val="0"/>
        <w:autoSpaceDN w:val="0"/>
        <w:adjustRightInd w:val="0"/>
        <w:jc w:val="both"/>
        <w:rPr>
          <w:rFonts w:ascii="Abadi" w:hAnsi="Abadi" w:cs="*Arial-5917-Identity-H"/>
          <w:color w:val="14131C"/>
          <w:sz w:val="21"/>
          <w:szCs w:val="21"/>
        </w:rPr>
      </w:pPr>
    </w:p>
    <w:p w14:paraId="605EBA10" w14:textId="77777777" w:rsidR="00A3693B" w:rsidRPr="00312C34" w:rsidRDefault="00A3693B" w:rsidP="00A3693B">
      <w:pPr>
        <w:autoSpaceDE w:val="0"/>
        <w:autoSpaceDN w:val="0"/>
        <w:adjustRightInd w:val="0"/>
        <w:ind w:firstLine="708"/>
        <w:jc w:val="both"/>
        <w:rPr>
          <w:rFonts w:ascii="Abadi" w:hAnsi="Abadi" w:cs="*Arial-5917-Identity-H"/>
          <w:color w:val="14131C"/>
          <w:sz w:val="21"/>
          <w:szCs w:val="21"/>
        </w:rPr>
      </w:pPr>
      <w:r w:rsidRPr="00312C34">
        <w:rPr>
          <w:rFonts w:ascii="Abadi" w:hAnsi="Abadi" w:cs="*Arial-5917-Identity-H"/>
          <w:color w:val="14131C"/>
          <w:sz w:val="21"/>
          <w:szCs w:val="21"/>
        </w:rPr>
        <w:t>Se ordena dar vista del informe de resultados al ayuntamiento del municipio</w:t>
      </w:r>
      <w:r>
        <w:rPr>
          <w:rFonts w:ascii="Abadi" w:hAnsi="Abadi" w:cs="*Arial-5917-Identity-H"/>
          <w:color w:val="14131C"/>
          <w:sz w:val="21"/>
          <w:szCs w:val="21"/>
        </w:rPr>
        <w:t xml:space="preserve"> </w:t>
      </w:r>
      <w:r w:rsidRPr="00312C34">
        <w:rPr>
          <w:rFonts w:ascii="Abadi" w:hAnsi="Abadi" w:cs="*Arial-5917-Identity-H"/>
          <w:color w:val="14131C"/>
          <w:sz w:val="21"/>
          <w:szCs w:val="21"/>
        </w:rPr>
        <w:t>de Apaseo el Grande, Gto., a efecto de que se atiendan las recomendaciones</w:t>
      </w:r>
      <w:r>
        <w:rPr>
          <w:rFonts w:ascii="Abadi" w:hAnsi="Abadi" w:cs="*Arial-5917-Identity-H"/>
          <w:color w:val="14131C"/>
          <w:sz w:val="21"/>
          <w:szCs w:val="21"/>
        </w:rPr>
        <w:t xml:space="preserve"> </w:t>
      </w:r>
      <w:r w:rsidRPr="00312C34">
        <w:rPr>
          <w:rFonts w:ascii="Abadi" w:hAnsi="Abadi" w:cs="*Arial-5917-Identity-H"/>
          <w:color w:val="14131C"/>
          <w:sz w:val="21"/>
          <w:szCs w:val="21"/>
        </w:rPr>
        <w:t>contenidas en el informe de resultados, informando a la Auditoría Superior del</w:t>
      </w:r>
      <w:r>
        <w:rPr>
          <w:rFonts w:ascii="Abadi" w:hAnsi="Abadi" w:cs="*Arial-5917-Identity-H"/>
          <w:color w:val="14131C"/>
          <w:sz w:val="21"/>
          <w:szCs w:val="21"/>
        </w:rPr>
        <w:t xml:space="preserve"> </w:t>
      </w:r>
      <w:r w:rsidRPr="00312C34">
        <w:rPr>
          <w:rFonts w:ascii="Abadi" w:hAnsi="Abadi" w:cs="*Arial-5917-Identity-H"/>
          <w:color w:val="14131C"/>
          <w:sz w:val="21"/>
          <w:szCs w:val="21"/>
        </w:rPr>
        <w:t>Estado de las acciones realizadas para ello, con objeto de que esta última realice</w:t>
      </w:r>
      <w:r>
        <w:rPr>
          <w:rFonts w:ascii="Abadi" w:hAnsi="Abadi" w:cs="*Arial-5917-Identity-H"/>
          <w:color w:val="14131C"/>
          <w:sz w:val="21"/>
          <w:szCs w:val="21"/>
        </w:rPr>
        <w:t xml:space="preserve"> </w:t>
      </w:r>
      <w:r w:rsidRPr="00312C34">
        <w:rPr>
          <w:rFonts w:ascii="Abadi" w:hAnsi="Abadi" w:cs="*Arial-5917-Identity-H"/>
          <w:color w:val="14131C"/>
          <w:sz w:val="21"/>
          <w:szCs w:val="21"/>
        </w:rPr>
        <w:t>el seguimiento correspondiente, previsto en los artículos 37, fracción VII, 65 y 66</w:t>
      </w:r>
      <w:r>
        <w:rPr>
          <w:rFonts w:ascii="Abadi" w:hAnsi="Abadi" w:cs="*Arial-5917-Identity-H"/>
          <w:color w:val="14131C"/>
          <w:sz w:val="21"/>
          <w:szCs w:val="21"/>
        </w:rPr>
        <w:t xml:space="preserve"> </w:t>
      </w:r>
      <w:r w:rsidRPr="00312C34">
        <w:rPr>
          <w:rFonts w:ascii="Abadi" w:hAnsi="Abadi" w:cs="*Arial-5917-Identity-H"/>
          <w:color w:val="14131C"/>
          <w:sz w:val="21"/>
          <w:szCs w:val="21"/>
        </w:rPr>
        <w:t>de la Ley de Fiscalización Superior del Estado de Guanajuato y 77 del Reglamento</w:t>
      </w:r>
      <w:r>
        <w:rPr>
          <w:rFonts w:ascii="Abadi" w:hAnsi="Abadi" w:cs="*Arial-5917-Identity-H"/>
          <w:color w:val="14131C"/>
          <w:sz w:val="21"/>
          <w:szCs w:val="21"/>
        </w:rPr>
        <w:t xml:space="preserve"> </w:t>
      </w:r>
      <w:r w:rsidRPr="00312C34">
        <w:rPr>
          <w:rFonts w:ascii="Abadi" w:hAnsi="Abadi" w:cs="*Arial-5917-Identity-H"/>
          <w:color w:val="14131C"/>
          <w:sz w:val="21"/>
          <w:szCs w:val="21"/>
        </w:rPr>
        <w:t>de dicha Ley.</w:t>
      </w:r>
    </w:p>
    <w:p w14:paraId="2D14DE51" w14:textId="77777777" w:rsidR="00A3693B" w:rsidRPr="00312C34" w:rsidRDefault="00A3693B" w:rsidP="00A3693B">
      <w:pPr>
        <w:jc w:val="both"/>
        <w:rPr>
          <w:rFonts w:ascii="Abadi" w:hAnsi="Abadi" w:cs="*Arial-5917-Identity-H"/>
          <w:color w:val="14131C"/>
          <w:sz w:val="21"/>
          <w:szCs w:val="21"/>
        </w:rPr>
      </w:pPr>
    </w:p>
    <w:p w14:paraId="14A18F7D" w14:textId="28FB3BCB" w:rsidR="00A3693B" w:rsidRDefault="00A3693B" w:rsidP="00A3693B">
      <w:pPr>
        <w:autoSpaceDE w:val="0"/>
        <w:autoSpaceDN w:val="0"/>
        <w:adjustRightInd w:val="0"/>
        <w:ind w:firstLine="708"/>
        <w:jc w:val="both"/>
        <w:rPr>
          <w:rFonts w:ascii="Abadi" w:hAnsi="Abadi" w:cs="*Arial-4016-Identity-H"/>
          <w:color w:val="14131B"/>
          <w:sz w:val="21"/>
          <w:szCs w:val="21"/>
        </w:rPr>
      </w:pPr>
      <w:r w:rsidRPr="00312C34">
        <w:rPr>
          <w:rFonts w:ascii="Abadi" w:hAnsi="Abadi" w:cs="*Arial-4016-Identity-H"/>
          <w:color w:val="15131C"/>
          <w:sz w:val="21"/>
          <w:szCs w:val="21"/>
        </w:rPr>
        <w:t>De conformidad con el artículo 37, fracción VI de la Ley de Fiscalización</w:t>
      </w:r>
      <w:r>
        <w:rPr>
          <w:rFonts w:ascii="Abadi" w:hAnsi="Abadi" w:cs="*Arial-4016-Identity-H"/>
          <w:color w:val="15131C"/>
          <w:sz w:val="21"/>
          <w:szCs w:val="21"/>
        </w:rPr>
        <w:t xml:space="preserve"> </w:t>
      </w:r>
      <w:r w:rsidRPr="00312C34">
        <w:rPr>
          <w:rFonts w:ascii="Abadi" w:hAnsi="Abadi" w:cs="*Arial-4016-Identity-H"/>
          <w:color w:val="15131C"/>
          <w:sz w:val="21"/>
          <w:szCs w:val="21"/>
        </w:rPr>
        <w:t>Superior del Estado de Guanajuato, remítase el prese te acuerdo junto con su</w:t>
      </w:r>
      <w:r>
        <w:rPr>
          <w:rFonts w:ascii="Abadi" w:hAnsi="Abadi" w:cs="*Arial-4016-Identity-H"/>
          <w:color w:val="15131C"/>
          <w:sz w:val="21"/>
          <w:szCs w:val="21"/>
        </w:rPr>
        <w:t xml:space="preserve"> </w:t>
      </w:r>
      <w:r w:rsidRPr="00312C34">
        <w:rPr>
          <w:rFonts w:ascii="Abadi" w:hAnsi="Abadi" w:cs="*Arial-4016-Identity-H"/>
          <w:color w:val="15131C"/>
          <w:sz w:val="21"/>
          <w:szCs w:val="21"/>
        </w:rPr>
        <w:t xml:space="preserve">dictamen y el informe de resultados a la Auditoría </w:t>
      </w:r>
      <w:r>
        <w:rPr>
          <w:rFonts w:ascii="Abadi" w:hAnsi="Abadi" w:cs="*Arial-4016-Identity-H"/>
          <w:color w:val="15131C"/>
          <w:sz w:val="21"/>
          <w:szCs w:val="21"/>
        </w:rPr>
        <w:t>Superior</w:t>
      </w:r>
      <w:r w:rsidRPr="00312C34">
        <w:rPr>
          <w:rFonts w:ascii="Abadi" w:hAnsi="Abadi" w:cs="*Arial-4016-Identity-H"/>
          <w:color w:val="15131C"/>
          <w:sz w:val="21"/>
          <w:szCs w:val="21"/>
        </w:rPr>
        <w:t xml:space="preserve"> del Estado, para</w:t>
      </w:r>
      <w:r>
        <w:rPr>
          <w:rFonts w:ascii="Abadi" w:hAnsi="Abadi" w:cs="*Arial-4016-Identity-H"/>
          <w:color w:val="15131C"/>
          <w:sz w:val="21"/>
          <w:szCs w:val="21"/>
        </w:rPr>
        <w:t xml:space="preserve"> sus </w:t>
      </w:r>
      <w:r w:rsidRPr="00312C34">
        <w:rPr>
          <w:rFonts w:ascii="Abadi" w:hAnsi="Abadi" w:cs="*Arial-4016-Identity-H"/>
          <w:color w:val="14131B"/>
          <w:sz w:val="21"/>
          <w:szCs w:val="21"/>
        </w:rPr>
        <w:t>efectos de su notificación.</w:t>
      </w:r>
    </w:p>
    <w:p w14:paraId="49319D22" w14:textId="0F65F8A5" w:rsidR="00A3693B" w:rsidRDefault="00A3693B" w:rsidP="00A3693B">
      <w:pPr>
        <w:autoSpaceDE w:val="0"/>
        <w:autoSpaceDN w:val="0"/>
        <w:adjustRightInd w:val="0"/>
        <w:ind w:firstLine="708"/>
        <w:jc w:val="both"/>
        <w:rPr>
          <w:rFonts w:ascii="Abadi" w:hAnsi="Abadi" w:cs="*Arial-4016-Identity-H"/>
          <w:color w:val="14131B"/>
          <w:sz w:val="21"/>
          <w:szCs w:val="21"/>
        </w:rPr>
      </w:pPr>
    </w:p>
    <w:p w14:paraId="708EE310" w14:textId="2D4D617C" w:rsidR="00A3693B" w:rsidRPr="00766FA1" w:rsidRDefault="00A3693B" w:rsidP="00A3693B">
      <w:pPr>
        <w:autoSpaceDE w:val="0"/>
        <w:autoSpaceDN w:val="0"/>
        <w:adjustRightInd w:val="0"/>
        <w:ind w:firstLine="708"/>
        <w:jc w:val="center"/>
        <w:rPr>
          <w:rFonts w:ascii="Abadi" w:hAnsi="Abadi" w:cs="*Arial-6038-Identity-H"/>
          <w:b/>
          <w:bCs/>
          <w:color w:val="0E0D10"/>
          <w:sz w:val="21"/>
          <w:szCs w:val="21"/>
        </w:rPr>
      </w:pPr>
      <w:bookmarkStart w:id="10" w:name="_Hlk106187501"/>
      <w:r w:rsidRPr="00766FA1">
        <w:rPr>
          <w:rFonts w:ascii="Abadi" w:hAnsi="Abadi" w:cs="*Arial-6038-Identity-H"/>
          <w:b/>
          <w:bCs/>
          <w:color w:val="0E0D10"/>
          <w:sz w:val="21"/>
          <w:szCs w:val="21"/>
        </w:rPr>
        <w:t xml:space="preserve">Guanajuato, Gto., 5 de </w:t>
      </w:r>
      <w:r w:rsidR="0073736D">
        <w:rPr>
          <w:rFonts w:ascii="Abadi" w:hAnsi="Abadi" w:cs="*Arial-6038-Identity-H"/>
          <w:b/>
          <w:bCs/>
          <w:color w:val="0E0D10"/>
          <w:sz w:val="21"/>
          <w:szCs w:val="21"/>
        </w:rPr>
        <w:t>abril</w:t>
      </w:r>
      <w:r w:rsidRPr="00766FA1">
        <w:rPr>
          <w:rFonts w:ascii="Abadi" w:hAnsi="Abadi" w:cs="*Arial-6038-Identity-H"/>
          <w:b/>
          <w:bCs/>
          <w:color w:val="0E0D10"/>
          <w:sz w:val="21"/>
          <w:szCs w:val="21"/>
        </w:rPr>
        <w:t xml:space="preserve"> de 2022</w:t>
      </w:r>
    </w:p>
    <w:p w14:paraId="34A9C4AA" w14:textId="77777777" w:rsidR="00A3693B" w:rsidRDefault="00A3693B" w:rsidP="00A3693B">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6FEA7E4E" w14:textId="77777777" w:rsidR="00A3693B" w:rsidRDefault="00A3693B" w:rsidP="00A3693B">
      <w:pPr>
        <w:autoSpaceDE w:val="0"/>
        <w:autoSpaceDN w:val="0"/>
        <w:adjustRightInd w:val="0"/>
        <w:ind w:firstLine="708"/>
        <w:jc w:val="center"/>
        <w:rPr>
          <w:rFonts w:ascii="Abadi" w:hAnsi="Abadi" w:cs="*Arial-6038-Identity-H"/>
          <w:b/>
          <w:bCs/>
          <w:color w:val="0E0D10"/>
          <w:sz w:val="21"/>
          <w:szCs w:val="21"/>
        </w:rPr>
      </w:pPr>
    </w:p>
    <w:p w14:paraId="11FC5A4B" w14:textId="77777777" w:rsidR="00A3693B" w:rsidRPr="00766FA1" w:rsidRDefault="00A3693B" w:rsidP="00A3693B">
      <w:pPr>
        <w:autoSpaceDE w:val="0"/>
        <w:autoSpaceDN w:val="0"/>
        <w:adjustRightInd w:val="0"/>
        <w:ind w:firstLine="708"/>
        <w:jc w:val="center"/>
        <w:rPr>
          <w:rFonts w:ascii="Abadi" w:hAnsi="Abadi" w:cs="*Arial-6038-Identity-H"/>
          <w:b/>
          <w:bCs/>
          <w:color w:val="0E0D10"/>
          <w:sz w:val="21"/>
          <w:szCs w:val="21"/>
        </w:rPr>
      </w:pPr>
      <w:r>
        <w:rPr>
          <w:rFonts w:ascii="Abadi" w:hAnsi="Abadi" w:cs="*Arial-6038-Identity-H"/>
          <w:b/>
          <w:bCs/>
          <w:color w:val="0E0D10"/>
          <w:sz w:val="21"/>
          <w:szCs w:val="21"/>
        </w:rPr>
        <w:t>Dip. Víctor Manuel Zanella Huerta</w:t>
      </w:r>
    </w:p>
    <w:p w14:paraId="1920AEB7" w14:textId="77777777" w:rsidR="00A3693B" w:rsidRPr="00766FA1" w:rsidRDefault="00A3693B" w:rsidP="00A3693B">
      <w:pPr>
        <w:autoSpaceDE w:val="0"/>
        <w:autoSpaceDN w:val="0"/>
        <w:adjustRightInd w:val="0"/>
        <w:ind w:firstLine="708"/>
        <w:rPr>
          <w:rFonts w:ascii="Abadi" w:hAnsi="Abadi" w:cs="*Arial-6038-Identity-H"/>
          <w:b/>
          <w:bCs/>
          <w:color w:val="0E0D10"/>
          <w:sz w:val="21"/>
          <w:szCs w:val="21"/>
        </w:rPr>
      </w:pPr>
    </w:p>
    <w:p w14:paraId="15DB5031" w14:textId="77777777" w:rsidR="00A3693B" w:rsidRPr="00766FA1" w:rsidRDefault="00A3693B" w:rsidP="00B610DC">
      <w:pPr>
        <w:autoSpaceDE w:val="0"/>
        <w:autoSpaceDN w:val="0"/>
        <w:adjustRightInd w:val="0"/>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19A013A3" w14:textId="77777777" w:rsidR="00A3693B" w:rsidRPr="00766FA1" w:rsidRDefault="00A3693B" w:rsidP="00B610DC">
      <w:pPr>
        <w:autoSpaceDE w:val="0"/>
        <w:autoSpaceDN w:val="0"/>
        <w:adjustRightInd w:val="0"/>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2D1E11A8" w14:textId="77777777" w:rsidR="00A3693B" w:rsidRPr="00766FA1" w:rsidRDefault="00A3693B" w:rsidP="00B610DC">
      <w:pPr>
        <w:autoSpaceDE w:val="0"/>
        <w:autoSpaceDN w:val="0"/>
        <w:adjustRightInd w:val="0"/>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759831C5" w14:textId="77777777" w:rsidR="00A3693B" w:rsidRPr="00766FA1" w:rsidRDefault="00A3693B" w:rsidP="00B610DC">
      <w:pPr>
        <w:autoSpaceDE w:val="0"/>
        <w:autoSpaceDN w:val="0"/>
        <w:adjustRightInd w:val="0"/>
        <w:rPr>
          <w:rFonts w:ascii="Abadi" w:hAnsi="Abadi"/>
          <w:b/>
          <w:bCs/>
          <w:sz w:val="21"/>
          <w:szCs w:val="21"/>
        </w:rPr>
      </w:pPr>
      <w:r w:rsidRPr="00766FA1">
        <w:rPr>
          <w:rFonts w:ascii="Abadi" w:hAnsi="Abadi" w:cs="*Arial-6038-Identity-H"/>
          <w:b/>
          <w:bCs/>
          <w:color w:val="0E0D10"/>
          <w:sz w:val="21"/>
          <w:szCs w:val="21"/>
        </w:rPr>
        <w:t>Diputada Alma Edwviges Alcaraz Hernández</w:t>
      </w:r>
    </w:p>
    <w:p w14:paraId="56009CDE" w14:textId="77777777" w:rsidR="00A3693B" w:rsidRPr="00312C34" w:rsidRDefault="00A3693B" w:rsidP="00B610DC">
      <w:pPr>
        <w:autoSpaceDE w:val="0"/>
        <w:autoSpaceDN w:val="0"/>
        <w:adjustRightInd w:val="0"/>
        <w:jc w:val="both"/>
        <w:rPr>
          <w:rFonts w:ascii="Abadi" w:hAnsi="Abadi"/>
          <w:sz w:val="21"/>
          <w:szCs w:val="21"/>
        </w:rPr>
      </w:pPr>
    </w:p>
    <w:bookmarkEnd w:id="10"/>
    <w:p w14:paraId="24B1C458" w14:textId="77777777" w:rsidR="00A3693B" w:rsidRPr="00A3693B" w:rsidRDefault="00A3693B" w:rsidP="00A3693B">
      <w:pPr>
        <w:autoSpaceDE w:val="0"/>
        <w:autoSpaceDN w:val="0"/>
        <w:adjustRightInd w:val="0"/>
        <w:jc w:val="both"/>
        <w:rPr>
          <w:rFonts w:ascii="Abadi" w:hAnsi="Abadi" w:cs="ArialMT"/>
          <w:b/>
          <w:bCs/>
          <w:sz w:val="20"/>
          <w:szCs w:val="21"/>
        </w:rPr>
      </w:pPr>
    </w:p>
    <w:p w14:paraId="58878449" w14:textId="77777777" w:rsidR="006F3002" w:rsidRPr="00293312" w:rsidRDefault="006F3002" w:rsidP="006F3002">
      <w:pPr>
        <w:autoSpaceDE w:val="0"/>
        <w:autoSpaceDN w:val="0"/>
        <w:adjustRightInd w:val="0"/>
        <w:ind w:left="426"/>
        <w:jc w:val="both"/>
        <w:rPr>
          <w:rFonts w:ascii="Abadi" w:hAnsi="Abadi" w:cs="Arial-BoldMT"/>
          <w:b/>
          <w:bCs/>
          <w:sz w:val="20"/>
          <w:szCs w:val="21"/>
        </w:rPr>
      </w:pPr>
    </w:p>
    <w:p w14:paraId="61EACD58" w14:textId="09FA9C2F"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 xml:space="preserve">DISCUSIÓN Y, EN SU CASO, APROBACIÓN DEL DICTAMEN SUSCRITO POR LA COMISIÓN DE HACIENDA Y FISCALIZACIÓN RELATIVO AL INFORME DE RESULTADOS DE LA AUDITORÍA DE DESEMPEÑO PRACTICADA POR LA AUDITORÍA SUPERIOR DEL ESTADO DE GUANAJUATO AL PODER EJECUTIVO DEL ESTADO DE GUANAJUATO CON ENFOQUE DE RESULTADOS DEL PROGRAMA </w:t>
      </w:r>
      <w:r w:rsidRPr="006F3002">
        <w:rPr>
          <w:rFonts w:ascii="Abadi" w:hAnsi="Abadi" w:cs="Arial-ItalicMT"/>
          <w:b/>
          <w:bCs/>
          <w:i/>
          <w:iCs/>
          <w:sz w:val="20"/>
          <w:szCs w:val="21"/>
        </w:rPr>
        <w:t>Q3391 VALE GRANDEZA-COMPRA LOCAL</w:t>
      </w:r>
      <w:r w:rsidRPr="006F3002">
        <w:rPr>
          <w:rFonts w:ascii="Abadi" w:hAnsi="Abadi" w:cs="ArialMT"/>
          <w:b/>
          <w:bCs/>
          <w:sz w:val="20"/>
          <w:szCs w:val="21"/>
        </w:rPr>
        <w:t>, A CARGO DE LA SECRETARÍA DE DESARROLLO ECONÓMICO SUSTENTABLE, POR EL PERIODO COMPRENDIDO DEL 1 DE ENERO AL 31 DE DICIEMBRE DEL EJERCICIO FISCAL DEL AÑO 2020.</w:t>
      </w:r>
    </w:p>
    <w:p w14:paraId="6E4679FC" w14:textId="69399FD5" w:rsidR="002B0CBC" w:rsidRDefault="002B0CBC" w:rsidP="002B0CBC">
      <w:pPr>
        <w:autoSpaceDE w:val="0"/>
        <w:autoSpaceDN w:val="0"/>
        <w:adjustRightInd w:val="0"/>
        <w:jc w:val="both"/>
        <w:rPr>
          <w:rFonts w:ascii="Abadi" w:hAnsi="Abadi" w:cs="ArialMT"/>
          <w:b/>
          <w:bCs/>
          <w:sz w:val="20"/>
          <w:szCs w:val="21"/>
        </w:rPr>
      </w:pPr>
    </w:p>
    <w:p w14:paraId="6B00A973" w14:textId="77777777" w:rsidR="002B0CBC" w:rsidRPr="0023003B" w:rsidRDefault="002B0CBC" w:rsidP="002B0CBC">
      <w:pPr>
        <w:autoSpaceDE w:val="0"/>
        <w:autoSpaceDN w:val="0"/>
        <w:adjustRightInd w:val="0"/>
        <w:jc w:val="both"/>
        <w:rPr>
          <w:rFonts w:ascii="Abadi" w:hAnsi="Abadi" w:cs="*Arial-Bold-6153-Identity-H"/>
          <w:b/>
          <w:bCs/>
          <w:color w:val="14131C"/>
          <w:sz w:val="21"/>
          <w:szCs w:val="21"/>
        </w:rPr>
      </w:pPr>
      <w:r w:rsidRPr="0023003B">
        <w:rPr>
          <w:rFonts w:ascii="Abadi" w:hAnsi="Abadi" w:cs="*Arial-Bold-6153-Identity-H"/>
          <w:b/>
          <w:bCs/>
          <w:color w:val="14131C"/>
          <w:sz w:val="21"/>
          <w:szCs w:val="21"/>
        </w:rPr>
        <w:t>C. PRESIDENTA DEL CONGRESO DEL ESTADO.</w:t>
      </w:r>
    </w:p>
    <w:p w14:paraId="13719D76" w14:textId="77777777" w:rsidR="002B0CBC" w:rsidRDefault="002B0CBC" w:rsidP="002B0CBC">
      <w:pPr>
        <w:autoSpaceDE w:val="0"/>
        <w:autoSpaceDN w:val="0"/>
        <w:adjustRightInd w:val="0"/>
        <w:jc w:val="both"/>
        <w:rPr>
          <w:rFonts w:ascii="Abadi" w:hAnsi="Abadi" w:cs="*Arial-Bold-6153-Identity-H"/>
          <w:b/>
          <w:bCs/>
          <w:color w:val="14131C"/>
          <w:sz w:val="21"/>
          <w:szCs w:val="21"/>
        </w:rPr>
      </w:pPr>
      <w:r w:rsidRPr="0023003B">
        <w:rPr>
          <w:rFonts w:ascii="Abadi" w:hAnsi="Abadi" w:cs="*Arial-Bold-6153-Identity-H"/>
          <w:b/>
          <w:bCs/>
          <w:color w:val="14131C"/>
          <w:sz w:val="21"/>
          <w:szCs w:val="21"/>
        </w:rPr>
        <w:t>P R E S</w:t>
      </w:r>
      <w:r>
        <w:rPr>
          <w:rFonts w:ascii="Abadi" w:hAnsi="Abadi" w:cs="*Arial-Bold-6153-Identity-H"/>
          <w:b/>
          <w:bCs/>
          <w:color w:val="14131C"/>
          <w:sz w:val="21"/>
          <w:szCs w:val="21"/>
        </w:rPr>
        <w:t xml:space="preserve"> </w:t>
      </w:r>
      <w:r w:rsidRPr="0023003B">
        <w:rPr>
          <w:rFonts w:ascii="Abadi" w:hAnsi="Abadi" w:cs="*Arial-Bold-6153-Identity-H"/>
          <w:b/>
          <w:bCs/>
          <w:color w:val="14131C"/>
          <w:sz w:val="21"/>
          <w:szCs w:val="21"/>
        </w:rPr>
        <w:t>E N T</w:t>
      </w:r>
      <w:r>
        <w:rPr>
          <w:rFonts w:ascii="Abadi" w:hAnsi="Abadi" w:cs="*Arial-Bold-6153-Identity-H"/>
          <w:b/>
          <w:bCs/>
          <w:color w:val="14131C"/>
          <w:sz w:val="21"/>
          <w:szCs w:val="21"/>
        </w:rPr>
        <w:t xml:space="preserve"> </w:t>
      </w:r>
      <w:r w:rsidRPr="0023003B">
        <w:rPr>
          <w:rFonts w:ascii="Abadi" w:hAnsi="Abadi" w:cs="*Arial-Bold-6153-Identity-H"/>
          <w:b/>
          <w:bCs/>
          <w:color w:val="14131C"/>
          <w:sz w:val="21"/>
          <w:szCs w:val="21"/>
        </w:rPr>
        <w:t>E.</w:t>
      </w:r>
    </w:p>
    <w:p w14:paraId="08B274F0" w14:textId="77777777" w:rsidR="002B0CBC" w:rsidRPr="0023003B" w:rsidRDefault="002B0CBC" w:rsidP="002B0CBC">
      <w:pPr>
        <w:autoSpaceDE w:val="0"/>
        <w:autoSpaceDN w:val="0"/>
        <w:adjustRightInd w:val="0"/>
        <w:jc w:val="both"/>
        <w:rPr>
          <w:rFonts w:ascii="Abadi" w:hAnsi="Abadi" w:cs="*Arial-Bold-6153-Identity-H"/>
          <w:b/>
          <w:bCs/>
          <w:color w:val="14131C"/>
          <w:sz w:val="21"/>
          <w:szCs w:val="21"/>
        </w:rPr>
      </w:pPr>
    </w:p>
    <w:p w14:paraId="413CD016" w14:textId="77777777" w:rsidR="002B0CBC" w:rsidRPr="0023003B" w:rsidRDefault="002B0CBC" w:rsidP="002B0CBC">
      <w:pPr>
        <w:autoSpaceDE w:val="0"/>
        <w:autoSpaceDN w:val="0"/>
        <w:adjustRightInd w:val="0"/>
        <w:ind w:firstLine="708"/>
        <w:jc w:val="both"/>
        <w:rPr>
          <w:rFonts w:ascii="Abadi" w:hAnsi="Abadi" w:cs="*Arial-6150-Identity-H"/>
          <w:color w:val="14131B"/>
          <w:sz w:val="21"/>
          <w:szCs w:val="21"/>
        </w:rPr>
      </w:pPr>
      <w:r w:rsidRPr="0023003B">
        <w:rPr>
          <w:rFonts w:ascii="Abadi" w:hAnsi="Abadi" w:cs="*Arial-6150-Identity-H"/>
          <w:color w:val="14131B"/>
          <w:sz w:val="21"/>
          <w:szCs w:val="21"/>
        </w:rPr>
        <w:t>A esta Comisión de Hacienda y Fiscalización le fue turnado para su estudio</w:t>
      </w:r>
      <w:r>
        <w:rPr>
          <w:rFonts w:ascii="Abadi" w:hAnsi="Abadi" w:cs="*Arial-6150-Identity-H"/>
          <w:color w:val="14131B"/>
          <w:sz w:val="21"/>
          <w:szCs w:val="21"/>
        </w:rPr>
        <w:t xml:space="preserve"> </w:t>
      </w:r>
      <w:r w:rsidRPr="0023003B">
        <w:rPr>
          <w:rFonts w:ascii="Abadi" w:hAnsi="Abadi" w:cs="*Arial-6150-Identity-H"/>
          <w:color w:val="14131B"/>
          <w:sz w:val="21"/>
          <w:szCs w:val="21"/>
        </w:rPr>
        <w:t>y dictamen, el informe de resultados de la auditoría de desempeño practicada por</w:t>
      </w:r>
      <w:r>
        <w:rPr>
          <w:rFonts w:ascii="Abadi" w:hAnsi="Abadi" w:cs="*Arial-6150-Identity-H"/>
          <w:color w:val="14131B"/>
          <w:sz w:val="21"/>
          <w:szCs w:val="21"/>
        </w:rPr>
        <w:t xml:space="preserve"> </w:t>
      </w:r>
      <w:r w:rsidRPr="0023003B">
        <w:rPr>
          <w:rFonts w:ascii="Abadi" w:hAnsi="Abadi" w:cs="*Arial-6150-Identity-H"/>
          <w:color w:val="14131B"/>
          <w:sz w:val="21"/>
          <w:szCs w:val="21"/>
        </w:rPr>
        <w:t>la Auditoría Superior del Estado de Guanajuato al Poder Ejecutivo del Estado de</w:t>
      </w:r>
      <w:r>
        <w:rPr>
          <w:rFonts w:ascii="Abadi" w:hAnsi="Abadi" w:cs="*Arial-6150-Identity-H"/>
          <w:color w:val="14131B"/>
          <w:sz w:val="21"/>
          <w:szCs w:val="21"/>
        </w:rPr>
        <w:t xml:space="preserve"> </w:t>
      </w:r>
      <w:r w:rsidRPr="0023003B">
        <w:rPr>
          <w:rFonts w:ascii="Abadi" w:hAnsi="Abadi" w:cs="*Arial-6150-Identity-H"/>
          <w:color w:val="14131B"/>
          <w:sz w:val="21"/>
          <w:szCs w:val="21"/>
        </w:rPr>
        <w:t xml:space="preserve">Guanajuato con enfoque de resultados del Programa </w:t>
      </w:r>
      <w:r w:rsidRPr="0023003B">
        <w:rPr>
          <w:rFonts w:ascii="Abadi" w:hAnsi="Abadi" w:cs="*Arial-Italic-6152-Identity-H"/>
          <w:i/>
          <w:iCs/>
          <w:color w:val="14131B"/>
          <w:sz w:val="21"/>
          <w:szCs w:val="21"/>
        </w:rPr>
        <w:t>Q3391 Vale Grandeza</w:t>
      </w:r>
      <w:r>
        <w:rPr>
          <w:rFonts w:ascii="Abadi" w:hAnsi="Abadi" w:cs="*Arial-Italic-6152-Identity-H"/>
          <w:i/>
          <w:iCs/>
          <w:color w:val="14131B"/>
          <w:sz w:val="21"/>
          <w:szCs w:val="21"/>
        </w:rPr>
        <w:t xml:space="preserve"> </w:t>
      </w:r>
      <w:r w:rsidRPr="0023003B">
        <w:rPr>
          <w:rFonts w:ascii="Abadi" w:hAnsi="Abadi" w:cs="*Arial-Italic-6152-Identity-H"/>
          <w:i/>
          <w:iCs/>
          <w:color w:val="14131B"/>
          <w:sz w:val="21"/>
          <w:szCs w:val="21"/>
        </w:rPr>
        <w:t>Compra</w:t>
      </w:r>
      <w:r>
        <w:rPr>
          <w:rFonts w:ascii="Abadi" w:hAnsi="Abadi" w:cs="*Arial-Italic-6152-Identity-H"/>
          <w:i/>
          <w:iCs/>
          <w:color w:val="14131B"/>
          <w:sz w:val="21"/>
          <w:szCs w:val="21"/>
        </w:rPr>
        <w:t xml:space="preserve"> </w:t>
      </w:r>
      <w:r w:rsidRPr="0023003B">
        <w:rPr>
          <w:rFonts w:ascii="Abadi" w:hAnsi="Abadi" w:cs="*Arial-Italic-6152-Identity-H"/>
          <w:i/>
          <w:iCs/>
          <w:color w:val="14131B"/>
          <w:sz w:val="21"/>
          <w:szCs w:val="21"/>
        </w:rPr>
        <w:t xml:space="preserve">Local, </w:t>
      </w:r>
      <w:r w:rsidRPr="0023003B">
        <w:rPr>
          <w:rFonts w:ascii="Abadi" w:hAnsi="Abadi" w:cs="*Arial-6150-Identity-H"/>
          <w:color w:val="14131B"/>
          <w:sz w:val="21"/>
          <w:szCs w:val="21"/>
        </w:rPr>
        <w:t>a cargo de la Secretaría de Desarrollo Económico Sustentable, por</w:t>
      </w:r>
      <w:r>
        <w:rPr>
          <w:rFonts w:ascii="Abadi" w:hAnsi="Abadi" w:cs="*Arial-6150-Identity-H"/>
          <w:color w:val="14131B"/>
          <w:sz w:val="21"/>
          <w:szCs w:val="21"/>
        </w:rPr>
        <w:t xml:space="preserve"> </w:t>
      </w:r>
      <w:r w:rsidRPr="0023003B">
        <w:rPr>
          <w:rFonts w:ascii="Abadi" w:hAnsi="Abadi" w:cs="*Arial-6150-Identity-H"/>
          <w:color w:val="14131B"/>
          <w:sz w:val="21"/>
          <w:szCs w:val="21"/>
        </w:rPr>
        <w:t>el periodo comprendido del 1 de enero al 31 de diciembre del ejercicio fiscal del</w:t>
      </w:r>
      <w:r>
        <w:rPr>
          <w:rFonts w:ascii="Abadi" w:hAnsi="Abadi" w:cs="*Arial-6150-Identity-H"/>
          <w:color w:val="14131B"/>
          <w:sz w:val="21"/>
          <w:szCs w:val="21"/>
        </w:rPr>
        <w:t xml:space="preserve"> </w:t>
      </w:r>
      <w:r w:rsidRPr="0023003B">
        <w:rPr>
          <w:rFonts w:ascii="Abadi" w:hAnsi="Abadi" w:cs="*Arial-6150-Identity-H"/>
          <w:color w:val="14131B"/>
          <w:sz w:val="21"/>
          <w:szCs w:val="21"/>
        </w:rPr>
        <w:t>año 2020.</w:t>
      </w:r>
    </w:p>
    <w:p w14:paraId="5507BEF9" w14:textId="77777777" w:rsidR="002B0CBC" w:rsidRDefault="002B0CBC" w:rsidP="002B0CBC">
      <w:pPr>
        <w:autoSpaceDE w:val="0"/>
        <w:autoSpaceDN w:val="0"/>
        <w:adjustRightInd w:val="0"/>
        <w:jc w:val="both"/>
        <w:rPr>
          <w:rFonts w:ascii="Abadi" w:hAnsi="Abadi" w:cs="*Arial-6150-Identity-H"/>
          <w:color w:val="14131B"/>
          <w:sz w:val="21"/>
          <w:szCs w:val="21"/>
        </w:rPr>
      </w:pPr>
    </w:p>
    <w:p w14:paraId="25362E46" w14:textId="77777777" w:rsidR="002B0CBC" w:rsidRPr="0023003B" w:rsidRDefault="002B0CBC" w:rsidP="002B0CBC">
      <w:pPr>
        <w:autoSpaceDE w:val="0"/>
        <w:autoSpaceDN w:val="0"/>
        <w:adjustRightInd w:val="0"/>
        <w:ind w:firstLine="708"/>
        <w:jc w:val="both"/>
        <w:rPr>
          <w:rFonts w:ascii="Abadi" w:hAnsi="Abadi" w:cs="*Arial-6150-Identity-H"/>
          <w:color w:val="14131B"/>
          <w:sz w:val="21"/>
          <w:szCs w:val="21"/>
        </w:rPr>
      </w:pPr>
      <w:r w:rsidRPr="0023003B">
        <w:rPr>
          <w:rFonts w:ascii="Abadi" w:hAnsi="Abadi" w:cs="*Arial-6150-Identity-H"/>
          <w:color w:val="14131B"/>
          <w:sz w:val="21"/>
          <w:szCs w:val="21"/>
        </w:rPr>
        <w:t>Una vez analizado el referido informe de resultados, con fundamento en los</w:t>
      </w:r>
      <w:r>
        <w:rPr>
          <w:rFonts w:ascii="Abadi" w:hAnsi="Abadi" w:cs="*Arial-6150-Identity-H"/>
          <w:color w:val="14131B"/>
          <w:sz w:val="21"/>
          <w:szCs w:val="21"/>
        </w:rPr>
        <w:t xml:space="preserve"> </w:t>
      </w:r>
      <w:r w:rsidRPr="0023003B">
        <w:rPr>
          <w:rFonts w:ascii="Abadi" w:hAnsi="Abadi" w:cs="*Arial-6150-Identity-H"/>
          <w:color w:val="14131B"/>
          <w:sz w:val="21"/>
          <w:szCs w:val="21"/>
        </w:rPr>
        <w:t>artículos 112 fracción XII, primer párrafo y 171 de la Ley Orgánica del Poder</w:t>
      </w:r>
      <w:r>
        <w:rPr>
          <w:rFonts w:ascii="Abadi" w:hAnsi="Abadi" w:cs="*Arial-6150-Identity-H"/>
          <w:color w:val="14131B"/>
          <w:sz w:val="21"/>
          <w:szCs w:val="21"/>
        </w:rPr>
        <w:t xml:space="preserve"> </w:t>
      </w:r>
      <w:r w:rsidRPr="0023003B">
        <w:rPr>
          <w:rFonts w:ascii="Abadi" w:hAnsi="Abadi" w:cs="*Arial-6150-Identity-H"/>
          <w:color w:val="14131B"/>
          <w:sz w:val="21"/>
          <w:szCs w:val="21"/>
        </w:rPr>
        <w:t>Legislativo, nos permitimos rendir el siguiente:</w:t>
      </w:r>
      <w:r>
        <w:rPr>
          <w:rFonts w:ascii="Abadi" w:hAnsi="Abadi" w:cs="*Arial-6150-Identity-H"/>
          <w:color w:val="14131B"/>
          <w:sz w:val="21"/>
          <w:szCs w:val="21"/>
        </w:rPr>
        <w:t xml:space="preserve"> </w:t>
      </w:r>
    </w:p>
    <w:p w14:paraId="2A9A08C6" w14:textId="77777777" w:rsidR="002B0CBC" w:rsidRDefault="002B0CBC" w:rsidP="002B0CBC">
      <w:pPr>
        <w:autoSpaceDE w:val="0"/>
        <w:autoSpaceDN w:val="0"/>
        <w:adjustRightInd w:val="0"/>
        <w:jc w:val="center"/>
        <w:rPr>
          <w:rFonts w:ascii="Abadi" w:hAnsi="Abadi" w:cs="*Arial-Bold-6151-Identity-H"/>
          <w:b/>
          <w:bCs/>
          <w:color w:val="13121F"/>
          <w:sz w:val="21"/>
          <w:szCs w:val="21"/>
        </w:rPr>
      </w:pPr>
    </w:p>
    <w:p w14:paraId="724F697F" w14:textId="77777777" w:rsidR="002B0CBC" w:rsidRDefault="002B0CBC" w:rsidP="002B0CBC">
      <w:pPr>
        <w:autoSpaceDE w:val="0"/>
        <w:autoSpaceDN w:val="0"/>
        <w:adjustRightInd w:val="0"/>
        <w:jc w:val="center"/>
        <w:rPr>
          <w:rFonts w:ascii="Abadi" w:hAnsi="Abadi" w:cs="*Arial-Bold-6151-Identity-H"/>
          <w:b/>
          <w:bCs/>
          <w:color w:val="13121F"/>
          <w:sz w:val="21"/>
          <w:szCs w:val="21"/>
        </w:rPr>
      </w:pPr>
      <w:r w:rsidRPr="0023003B">
        <w:rPr>
          <w:rFonts w:ascii="Abadi" w:hAnsi="Abadi" w:cs="*Arial-Bold-6151-Identity-H"/>
          <w:b/>
          <w:bCs/>
          <w:color w:val="13121F"/>
          <w:sz w:val="21"/>
          <w:szCs w:val="21"/>
        </w:rPr>
        <w:t>Dictamen</w:t>
      </w:r>
    </w:p>
    <w:p w14:paraId="6B8F179C" w14:textId="77777777" w:rsidR="002B0CBC" w:rsidRPr="0023003B" w:rsidRDefault="002B0CBC" w:rsidP="002B0CBC">
      <w:pPr>
        <w:autoSpaceDE w:val="0"/>
        <w:autoSpaceDN w:val="0"/>
        <w:adjustRightInd w:val="0"/>
        <w:jc w:val="both"/>
        <w:rPr>
          <w:rFonts w:ascii="Abadi" w:hAnsi="Abadi" w:cs="*Arial-Bold-6151-Identity-H"/>
          <w:b/>
          <w:bCs/>
          <w:color w:val="13121F"/>
          <w:sz w:val="21"/>
          <w:szCs w:val="21"/>
        </w:rPr>
      </w:pPr>
    </w:p>
    <w:p w14:paraId="6B8999DB" w14:textId="77777777" w:rsidR="002B0CBC" w:rsidRDefault="002B0CBC" w:rsidP="002B0CBC">
      <w:pPr>
        <w:autoSpaceDE w:val="0"/>
        <w:autoSpaceDN w:val="0"/>
        <w:adjustRightInd w:val="0"/>
        <w:ind w:firstLine="708"/>
        <w:jc w:val="both"/>
        <w:rPr>
          <w:rFonts w:ascii="Abadi" w:hAnsi="Abadi" w:cs="*Arial-Bold-6151-Identity-H"/>
          <w:b/>
          <w:bCs/>
          <w:color w:val="13121F"/>
          <w:sz w:val="21"/>
          <w:szCs w:val="21"/>
        </w:rPr>
      </w:pPr>
      <w:r w:rsidRPr="0023003B">
        <w:rPr>
          <w:rFonts w:ascii="Abadi" w:hAnsi="Abadi" w:cs="*Arial-Bold-6151-Identity-H"/>
          <w:b/>
          <w:bCs/>
          <w:color w:val="13121F"/>
          <w:sz w:val="21"/>
          <w:szCs w:val="21"/>
        </w:rPr>
        <w:t>l. Competencia:</w:t>
      </w:r>
    </w:p>
    <w:p w14:paraId="18E04CD7" w14:textId="77777777" w:rsidR="002B0CBC" w:rsidRPr="0023003B" w:rsidRDefault="002B0CBC" w:rsidP="002B0CBC">
      <w:pPr>
        <w:autoSpaceDE w:val="0"/>
        <w:autoSpaceDN w:val="0"/>
        <w:adjustRightInd w:val="0"/>
        <w:jc w:val="both"/>
        <w:rPr>
          <w:rFonts w:ascii="Abadi" w:hAnsi="Abadi" w:cs="*Arial-Bold-6151-Identity-H"/>
          <w:b/>
          <w:bCs/>
          <w:color w:val="13121F"/>
          <w:sz w:val="21"/>
          <w:szCs w:val="21"/>
        </w:rPr>
      </w:pPr>
      <w:r>
        <w:rPr>
          <w:rFonts w:ascii="Abadi" w:hAnsi="Abadi" w:cs="*Arial-Bold-6151-Identity-H"/>
          <w:b/>
          <w:bCs/>
          <w:color w:val="13121F"/>
          <w:sz w:val="21"/>
          <w:szCs w:val="21"/>
        </w:rPr>
        <w:t xml:space="preserve"> </w:t>
      </w:r>
    </w:p>
    <w:p w14:paraId="6FF08555" w14:textId="77777777" w:rsidR="002B0CBC" w:rsidRDefault="002B0CBC" w:rsidP="002B0CBC">
      <w:pPr>
        <w:autoSpaceDE w:val="0"/>
        <w:autoSpaceDN w:val="0"/>
        <w:adjustRightInd w:val="0"/>
        <w:ind w:firstLine="708"/>
        <w:jc w:val="both"/>
        <w:rPr>
          <w:rFonts w:ascii="Abadi" w:hAnsi="Abadi" w:cs="*Arial-6150-Identity-H"/>
          <w:color w:val="13131B"/>
          <w:sz w:val="21"/>
          <w:szCs w:val="21"/>
        </w:rPr>
      </w:pPr>
      <w:r w:rsidRPr="0023003B">
        <w:rPr>
          <w:rFonts w:ascii="Abadi" w:hAnsi="Abadi" w:cs="*Arial-6150-Identity-H"/>
          <w:color w:val="13131B"/>
          <w:sz w:val="21"/>
          <w:szCs w:val="21"/>
        </w:rPr>
        <w:t>Las facultades de la legislatura local en materia de fiscalización de las</w:t>
      </w:r>
      <w:r>
        <w:rPr>
          <w:rFonts w:ascii="Abadi" w:hAnsi="Abadi" w:cs="*Arial-6150-Identity-H"/>
          <w:color w:val="13131B"/>
          <w:sz w:val="21"/>
          <w:szCs w:val="21"/>
        </w:rPr>
        <w:t xml:space="preserve"> </w:t>
      </w:r>
      <w:r w:rsidRPr="0023003B">
        <w:rPr>
          <w:rFonts w:ascii="Abadi" w:hAnsi="Abadi" w:cs="*Arial-6150-Identity-H"/>
          <w:color w:val="13131B"/>
          <w:sz w:val="21"/>
          <w:szCs w:val="21"/>
        </w:rPr>
        <w:t>cuentas públicas tienen su fundamento en lo dispuesto por el artículo 63</w:t>
      </w:r>
      <w:r>
        <w:rPr>
          <w:rFonts w:ascii="Abadi" w:hAnsi="Abadi" w:cs="*Arial-6150-Identity-H"/>
          <w:color w:val="13131B"/>
          <w:sz w:val="21"/>
          <w:szCs w:val="21"/>
        </w:rPr>
        <w:t xml:space="preserve"> </w:t>
      </w:r>
      <w:r w:rsidRPr="0023003B">
        <w:rPr>
          <w:rFonts w:ascii="Abadi" w:hAnsi="Abadi" w:cs="*Arial-6150-Identity-H"/>
          <w:color w:val="13131B"/>
          <w:sz w:val="21"/>
          <w:szCs w:val="21"/>
        </w:rPr>
        <w:t xml:space="preserve">fracciones </w:t>
      </w:r>
      <w:r w:rsidRPr="007849C9">
        <w:rPr>
          <w:rFonts w:ascii="Abadi" w:hAnsi="Abadi" w:cs="*Microsoft Sans Serif-Bold-6154"/>
          <w:color w:val="13131B"/>
          <w:sz w:val="21"/>
          <w:szCs w:val="21"/>
        </w:rPr>
        <w:t xml:space="preserve">XVIII, XIX </w:t>
      </w:r>
      <w:r w:rsidRPr="007849C9">
        <w:rPr>
          <w:rFonts w:ascii="Abadi" w:hAnsi="Abadi" w:cs="*Arial-6150-Identity-H"/>
          <w:color w:val="13131B"/>
          <w:sz w:val="21"/>
          <w:szCs w:val="21"/>
        </w:rPr>
        <w:t xml:space="preserve">y </w:t>
      </w:r>
      <w:r w:rsidRPr="007849C9">
        <w:rPr>
          <w:rFonts w:ascii="Abadi" w:hAnsi="Abadi" w:cs="*Microsoft Sans Serif-Bold-6154"/>
          <w:color w:val="13131B"/>
          <w:sz w:val="21"/>
          <w:szCs w:val="21"/>
        </w:rPr>
        <w:t xml:space="preserve">XXVIII </w:t>
      </w:r>
      <w:r w:rsidRPr="007849C9">
        <w:rPr>
          <w:rFonts w:ascii="Abadi" w:hAnsi="Abadi" w:cs="*Arial-6150-Identity-H"/>
          <w:color w:val="13131B"/>
          <w:sz w:val="21"/>
          <w:szCs w:val="21"/>
        </w:rPr>
        <w:t>de</w:t>
      </w:r>
      <w:r w:rsidRPr="0023003B">
        <w:rPr>
          <w:rFonts w:ascii="Abadi" w:hAnsi="Abadi" w:cs="*Arial-6150-Identity-H"/>
          <w:color w:val="13131B"/>
          <w:sz w:val="21"/>
          <w:szCs w:val="21"/>
        </w:rPr>
        <w:t xml:space="preserve"> la Constitución Política para el Estado de</w:t>
      </w:r>
      <w:r>
        <w:rPr>
          <w:rFonts w:ascii="Abadi" w:hAnsi="Abadi" w:cs="*Arial-6150-Identity-H"/>
          <w:color w:val="13131B"/>
          <w:sz w:val="21"/>
          <w:szCs w:val="21"/>
        </w:rPr>
        <w:t xml:space="preserve"> </w:t>
      </w:r>
      <w:r w:rsidRPr="0023003B">
        <w:rPr>
          <w:rFonts w:ascii="Abadi" w:hAnsi="Abadi" w:cs="*Arial-6150-Identity-H"/>
          <w:color w:val="13131B"/>
          <w:sz w:val="21"/>
          <w:szCs w:val="21"/>
        </w:rPr>
        <w:t>Guanajuato. Estos dispositivos establecen que el Congreso del Estado tiene la</w:t>
      </w:r>
      <w:r>
        <w:rPr>
          <w:rFonts w:ascii="Abadi" w:hAnsi="Abadi" w:cs="*Arial-6150-Identity-H"/>
          <w:color w:val="13131B"/>
          <w:sz w:val="21"/>
          <w:szCs w:val="21"/>
        </w:rPr>
        <w:t xml:space="preserve"> </w:t>
      </w:r>
      <w:r w:rsidRPr="0023003B">
        <w:rPr>
          <w:rFonts w:ascii="Abadi" w:hAnsi="Abadi" w:cs="*Arial-6150-Identity-H"/>
          <w:color w:val="13131B"/>
          <w:sz w:val="21"/>
          <w:szCs w:val="21"/>
        </w:rPr>
        <w:t>facultad de fiscalizar la cuenta pública del Poder Ejecutivo, incluyendo las de las</w:t>
      </w:r>
      <w:r>
        <w:rPr>
          <w:rFonts w:ascii="Abadi" w:hAnsi="Abadi" w:cs="*Arial-6150-Identity-H"/>
          <w:color w:val="13131B"/>
          <w:sz w:val="21"/>
          <w:szCs w:val="21"/>
        </w:rPr>
        <w:t xml:space="preserve"> </w:t>
      </w:r>
      <w:r w:rsidRPr="0023003B">
        <w:rPr>
          <w:rFonts w:ascii="Abadi" w:hAnsi="Abadi" w:cs="*Arial-6150-Identity-H"/>
          <w:color w:val="13131B"/>
          <w:sz w:val="21"/>
          <w:szCs w:val="21"/>
        </w:rPr>
        <w:t>entidades y organismos de la administración pública paraestatal, las del Poder</w:t>
      </w:r>
      <w:r>
        <w:rPr>
          <w:rFonts w:ascii="Abadi" w:hAnsi="Abadi" w:cs="*Arial-6150-Identity-H"/>
          <w:color w:val="13131B"/>
          <w:sz w:val="21"/>
          <w:szCs w:val="21"/>
        </w:rPr>
        <w:t xml:space="preserve"> </w:t>
      </w:r>
      <w:r w:rsidRPr="0023003B">
        <w:rPr>
          <w:rFonts w:ascii="Abadi" w:hAnsi="Abadi" w:cs="*Arial-6150-Identity-H"/>
          <w:color w:val="13131B"/>
          <w:sz w:val="21"/>
          <w:szCs w:val="21"/>
        </w:rPr>
        <w:t>Judicial y de los organismos autónomos; así como las cuentas públicas</w:t>
      </w:r>
      <w:r>
        <w:rPr>
          <w:rFonts w:ascii="Abadi" w:hAnsi="Abadi" w:cs="*Arial-6150-Identity-H"/>
          <w:color w:val="13131B"/>
          <w:sz w:val="21"/>
          <w:szCs w:val="21"/>
        </w:rPr>
        <w:t xml:space="preserve"> </w:t>
      </w:r>
      <w:r w:rsidRPr="0023003B">
        <w:rPr>
          <w:rFonts w:ascii="Abadi" w:hAnsi="Abadi" w:cs="*Arial-6150-Identity-H"/>
          <w:color w:val="13131B"/>
          <w:sz w:val="21"/>
          <w:szCs w:val="21"/>
        </w:rPr>
        <w:t>municipales, incluyendo las de las entidades y organismos de la administración</w:t>
      </w:r>
      <w:r>
        <w:rPr>
          <w:rFonts w:ascii="Abadi" w:hAnsi="Abadi" w:cs="*Arial-6150-Identity-H"/>
          <w:color w:val="13131B"/>
          <w:sz w:val="21"/>
          <w:szCs w:val="21"/>
        </w:rPr>
        <w:t xml:space="preserve"> </w:t>
      </w:r>
      <w:r w:rsidRPr="0023003B">
        <w:rPr>
          <w:rFonts w:ascii="Abadi" w:hAnsi="Abadi" w:cs="*Arial-6150-Identity-H"/>
          <w:color w:val="13131B"/>
          <w:sz w:val="21"/>
          <w:szCs w:val="21"/>
        </w:rPr>
        <w:t>pública paramunicipal; y verificar el desempeño en el cumplimiento de los</w:t>
      </w:r>
      <w:r>
        <w:rPr>
          <w:rFonts w:ascii="Abadi" w:hAnsi="Abadi" w:cs="*Arial-6150-Identity-H"/>
          <w:color w:val="13131B"/>
          <w:sz w:val="21"/>
          <w:szCs w:val="21"/>
        </w:rPr>
        <w:t xml:space="preserve"> </w:t>
      </w:r>
      <w:r w:rsidRPr="0023003B">
        <w:rPr>
          <w:rFonts w:ascii="Abadi" w:hAnsi="Abadi" w:cs="*Arial-6150-Identity-H"/>
          <w:color w:val="13131B"/>
          <w:sz w:val="21"/>
          <w:szCs w:val="21"/>
        </w:rPr>
        <w:t>objetivos de los programas. De igual manera, puede acordar la práctica de</w:t>
      </w:r>
      <w:r>
        <w:rPr>
          <w:rFonts w:ascii="Abadi" w:hAnsi="Abadi" w:cs="*Arial-6150-Identity-H"/>
          <w:color w:val="13131B"/>
          <w:sz w:val="21"/>
          <w:szCs w:val="21"/>
        </w:rPr>
        <w:t xml:space="preserve"> </w:t>
      </w:r>
      <w:r w:rsidRPr="0023003B">
        <w:rPr>
          <w:rFonts w:ascii="Abadi" w:hAnsi="Abadi" w:cs="*Arial-6150-Identity-H"/>
          <w:color w:val="13131B"/>
          <w:sz w:val="21"/>
          <w:szCs w:val="21"/>
        </w:rPr>
        <w:t>auditorías a los sujetos de fiscalización, cuando exista causa justificada para ello,</w:t>
      </w:r>
      <w:r>
        <w:rPr>
          <w:rFonts w:ascii="Abadi" w:hAnsi="Abadi" w:cs="*Arial-6150-Identity-H"/>
          <w:color w:val="13131B"/>
          <w:sz w:val="21"/>
          <w:szCs w:val="21"/>
        </w:rPr>
        <w:t xml:space="preserve"> </w:t>
      </w:r>
      <w:r w:rsidRPr="0023003B">
        <w:rPr>
          <w:rFonts w:ascii="Abadi" w:hAnsi="Abadi" w:cs="*Arial-6150-Identity-H"/>
          <w:color w:val="13131B"/>
          <w:sz w:val="21"/>
          <w:szCs w:val="21"/>
        </w:rPr>
        <w:t>auxiliándose para el cumplimiento de dichas facultades por la Auditoría Superior</w:t>
      </w:r>
      <w:r>
        <w:rPr>
          <w:rFonts w:ascii="Abadi" w:hAnsi="Abadi" w:cs="*Arial-6150-Identity-H"/>
          <w:color w:val="13131B"/>
          <w:sz w:val="21"/>
          <w:szCs w:val="21"/>
        </w:rPr>
        <w:t xml:space="preserve"> </w:t>
      </w:r>
      <w:r w:rsidRPr="0023003B">
        <w:rPr>
          <w:rFonts w:ascii="Abadi" w:hAnsi="Abadi" w:cs="*Arial-6150-Identity-H"/>
          <w:color w:val="13131B"/>
          <w:sz w:val="21"/>
          <w:szCs w:val="21"/>
        </w:rPr>
        <w:t>del Estado de Guanajuato.</w:t>
      </w:r>
    </w:p>
    <w:p w14:paraId="7937F4AD" w14:textId="77777777" w:rsidR="002B0CBC" w:rsidRPr="0023003B" w:rsidRDefault="002B0CBC" w:rsidP="002B0CBC">
      <w:pPr>
        <w:autoSpaceDE w:val="0"/>
        <w:autoSpaceDN w:val="0"/>
        <w:adjustRightInd w:val="0"/>
        <w:jc w:val="both"/>
        <w:rPr>
          <w:rFonts w:ascii="Abadi" w:hAnsi="Abadi" w:cs="*Arial-6150-Identity-H"/>
          <w:color w:val="13131B"/>
          <w:sz w:val="21"/>
          <w:szCs w:val="21"/>
        </w:rPr>
      </w:pPr>
    </w:p>
    <w:p w14:paraId="72B29924" w14:textId="77777777" w:rsidR="002B0CBC" w:rsidRPr="0023003B" w:rsidRDefault="002B0CBC" w:rsidP="002B0CBC">
      <w:pPr>
        <w:autoSpaceDE w:val="0"/>
        <w:autoSpaceDN w:val="0"/>
        <w:adjustRightInd w:val="0"/>
        <w:ind w:firstLine="708"/>
        <w:jc w:val="both"/>
        <w:rPr>
          <w:rFonts w:ascii="Abadi" w:hAnsi="Abadi" w:cs="*Arial-6150-Identity-H"/>
          <w:color w:val="14131B"/>
          <w:sz w:val="21"/>
          <w:szCs w:val="21"/>
        </w:rPr>
      </w:pPr>
      <w:r w:rsidRPr="0023003B">
        <w:rPr>
          <w:rFonts w:ascii="Abadi" w:hAnsi="Abadi" w:cs="*Arial-6150-Identity-H"/>
          <w:color w:val="14131B"/>
          <w:sz w:val="21"/>
          <w:szCs w:val="21"/>
        </w:rPr>
        <w:t>Asimismo, el artículo 66 fracción VIII de dicho Ordenamiento Constitucional</w:t>
      </w:r>
      <w:r>
        <w:rPr>
          <w:rFonts w:ascii="Abadi" w:hAnsi="Abadi" w:cs="*Arial-6150-Identity-H"/>
          <w:color w:val="14131B"/>
          <w:sz w:val="21"/>
          <w:szCs w:val="21"/>
        </w:rPr>
        <w:t xml:space="preserve"> </w:t>
      </w:r>
      <w:r w:rsidRPr="0023003B">
        <w:rPr>
          <w:rFonts w:ascii="Abadi" w:hAnsi="Abadi" w:cs="*Arial-6150-Identity-H"/>
          <w:color w:val="14131B"/>
          <w:sz w:val="21"/>
          <w:szCs w:val="21"/>
        </w:rPr>
        <w:t>establece que la Audit</w:t>
      </w:r>
      <w:r w:rsidRPr="0023003B">
        <w:rPr>
          <w:rFonts w:ascii="Abadi" w:eastAsia="Abadi" w:hAnsi="Abadi" w:cs="Abadi" w:hint="eastAsia"/>
          <w:color w:val="14131B"/>
          <w:sz w:val="21"/>
          <w:szCs w:val="21"/>
        </w:rPr>
        <w:t>􀁃</w:t>
      </w:r>
      <w:r w:rsidRPr="0023003B">
        <w:rPr>
          <w:rFonts w:ascii="Abadi" w:hAnsi="Abadi" w:cs="*Arial-6150-Identity-H"/>
          <w:color w:val="14131B"/>
          <w:sz w:val="21"/>
          <w:szCs w:val="21"/>
        </w:rPr>
        <w:t>ría Superior del Estado de Guanajuato deberá informar al</w:t>
      </w:r>
      <w:r>
        <w:rPr>
          <w:rFonts w:ascii="Abadi" w:hAnsi="Abadi" w:cs="*Arial-6150-Identity-H"/>
          <w:color w:val="14131B"/>
          <w:sz w:val="21"/>
          <w:szCs w:val="21"/>
        </w:rPr>
        <w:t xml:space="preserve"> </w:t>
      </w:r>
      <w:r w:rsidRPr="0023003B">
        <w:rPr>
          <w:rFonts w:ascii="Abadi" w:hAnsi="Abadi" w:cs="*Arial-6150-Identity-H"/>
          <w:color w:val="14131B"/>
          <w:sz w:val="21"/>
          <w:szCs w:val="21"/>
        </w:rPr>
        <w:t>Congreso del Estado del resultado de la revisión de la cuenta pública y demás</w:t>
      </w:r>
      <w:r>
        <w:rPr>
          <w:rFonts w:ascii="Abadi" w:hAnsi="Abadi" w:cs="*Arial-6150-Identity-H"/>
          <w:color w:val="14131B"/>
          <w:sz w:val="21"/>
          <w:szCs w:val="21"/>
        </w:rPr>
        <w:t xml:space="preserve"> </w:t>
      </w:r>
      <w:r w:rsidRPr="0023003B">
        <w:rPr>
          <w:rFonts w:ascii="Abadi" w:hAnsi="Abadi" w:cs="*Arial-6150-Identity-H"/>
          <w:color w:val="14131B"/>
          <w:sz w:val="21"/>
          <w:szCs w:val="21"/>
        </w:rPr>
        <w:t>asuntos derivados de la fiscalización, incluyendo los dictámenes, informes de</w:t>
      </w:r>
      <w:r>
        <w:rPr>
          <w:rFonts w:ascii="Abadi" w:hAnsi="Abadi" w:cs="*Arial-6150-Identity-H"/>
          <w:color w:val="14131B"/>
          <w:sz w:val="21"/>
          <w:szCs w:val="21"/>
        </w:rPr>
        <w:t xml:space="preserve"> </w:t>
      </w:r>
      <w:r w:rsidRPr="0023003B">
        <w:rPr>
          <w:rFonts w:ascii="Abadi" w:hAnsi="Abadi" w:cs="*Arial-6150-Identity-H"/>
          <w:color w:val="14131B"/>
          <w:sz w:val="21"/>
          <w:szCs w:val="21"/>
        </w:rPr>
        <w:t>resultados, comentarios y observaciones de las auditorías, constituyendo una de</w:t>
      </w:r>
      <w:r>
        <w:rPr>
          <w:rFonts w:ascii="Abadi" w:hAnsi="Abadi" w:cs="*Arial-6150-Identity-H"/>
          <w:color w:val="14131B"/>
          <w:sz w:val="21"/>
          <w:szCs w:val="21"/>
        </w:rPr>
        <w:t xml:space="preserve"> </w:t>
      </w:r>
      <w:r w:rsidRPr="0023003B">
        <w:rPr>
          <w:rFonts w:ascii="Abadi" w:hAnsi="Abadi" w:cs="*Arial-6150-Identity-H"/>
          <w:color w:val="14131B"/>
          <w:sz w:val="21"/>
          <w:szCs w:val="21"/>
        </w:rPr>
        <w:t>las fases del proceso de fiscalización.</w:t>
      </w:r>
    </w:p>
    <w:p w14:paraId="48A9E381" w14:textId="77777777" w:rsidR="002B0CBC" w:rsidRPr="0023003B" w:rsidRDefault="002B0CBC" w:rsidP="002B0CBC">
      <w:pPr>
        <w:jc w:val="both"/>
        <w:rPr>
          <w:rFonts w:ascii="Abadi" w:hAnsi="Abadi" w:cs="*Arial-6150-Identity-H"/>
          <w:color w:val="14131B"/>
          <w:sz w:val="21"/>
          <w:szCs w:val="21"/>
        </w:rPr>
      </w:pPr>
    </w:p>
    <w:p w14:paraId="38899538" w14:textId="77777777" w:rsidR="002B0CBC" w:rsidRDefault="002B0CBC" w:rsidP="002B0CBC">
      <w:pPr>
        <w:autoSpaceDE w:val="0"/>
        <w:autoSpaceDN w:val="0"/>
        <w:adjustRightInd w:val="0"/>
        <w:ind w:firstLine="708"/>
        <w:jc w:val="both"/>
        <w:rPr>
          <w:rFonts w:ascii="Abadi" w:hAnsi="Abadi" w:cs="*Arial-5288-Identity-H"/>
          <w:color w:val="15141C"/>
          <w:sz w:val="21"/>
          <w:szCs w:val="21"/>
        </w:rPr>
      </w:pPr>
      <w:r w:rsidRPr="0023003B">
        <w:rPr>
          <w:rFonts w:ascii="Abadi" w:hAnsi="Abadi" w:cs="*Arial-5288-Identity-H"/>
          <w:color w:val="15141C"/>
          <w:sz w:val="21"/>
          <w:szCs w:val="21"/>
        </w:rPr>
        <w:t xml:space="preserve">De igual forma, el artículo 82, fracción </w:t>
      </w:r>
      <w:r w:rsidRPr="007849C9">
        <w:rPr>
          <w:rFonts w:ascii="Abadi" w:hAnsi="Abadi" w:cs="*Arial-Bold-5289-Identity-H"/>
          <w:color w:val="15141C"/>
          <w:sz w:val="21"/>
          <w:szCs w:val="21"/>
        </w:rPr>
        <w:t>XXIV</w:t>
      </w:r>
      <w:r w:rsidRPr="0023003B">
        <w:rPr>
          <w:rFonts w:ascii="Abadi" w:hAnsi="Abadi" w:cs="*Arial-Bold-5289-Identity-H"/>
          <w:b/>
          <w:bCs/>
          <w:color w:val="15141C"/>
          <w:sz w:val="21"/>
          <w:szCs w:val="21"/>
        </w:rPr>
        <w:t xml:space="preserve"> </w:t>
      </w:r>
      <w:r w:rsidRPr="0023003B">
        <w:rPr>
          <w:rFonts w:ascii="Abadi" w:hAnsi="Abadi" w:cs="*Arial-5288-Identity-H"/>
          <w:color w:val="15141C"/>
          <w:sz w:val="21"/>
          <w:szCs w:val="21"/>
        </w:rPr>
        <w:t>de la Ley de Fiscalización</w:t>
      </w:r>
      <w:r>
        <w:rPr>
          <w:rFonts w:ascii="Abadi" w:hAnsi="Abadi" w:cs="*Arial-5288-Identity-H"/>
          <w:color w:val="15141C"/>
          <w:sz w:val="21"/>
          <w:szCs w:val="21"/>
        </w:rPr>
        <w:t xml:space="preserve"> </w:t>
      </w:r>
      <w:r w:rsidRPr="0023003B">
        <w:rPr>
          <w:rFonts w:ascii="Abadi" w:hAnsi="Abadi" w:cs="*Arial-5288-Identity-H"/>
          <w:color w:val="15141C"/>
          <w:sz w:val="21"/>
          <w:szCs w:val="21"/>
        </w:rPr>
        <w:t>Superior del Estado de Guanajuato establece como atribución de la Auditoría</w:t>
      </w:r>
      <w:r>
        <w:rPr>
          <w:rFonts w:ascii="Abadi" w:hAnsi="Abadi" w:cs="*Arial-5288-Identity-H"/>
          <w:color w:val="15141C"/>
          <w:sz w:val="21"/>
          <w:szCs w:val="21"/>
        </w:rPr>
        <w:t xml:space="preserve"> </w:t>
      </w:r>
      <w:r w:rsidRPr="0023003B">
        <w:rPr>
          <w:rFonts w:ascii="Abadi" w:hAnsi="Abadi" w:cs="*Arial-5288-Identity-H"/>
          <w:color w:val="15141C"/>
          <w:sz w:val="21"/>
          <w:szCs w:val="21"/>
        </w:rPr>
        <w:t>Superior del Estado, rendir al Congreso, los informes derivados del ejercicio de la</w:t>
      </w:r>
      <w:r>
        <w:rPr>
          <w:rFonts w:ascii="Abadi" w:hAnsi="Abadi" w:cs="*Arial-5288-Identity-H"/>
          <w:color w:val="15141C"/>
          <w:sz w:val="21"/>
          <w:szCs w:val="21"/>
        </w:rPr>
        <w:t xml:space="preserve"> </w:t>
      </w:r>
      <w:r w:rsidRPr="0023003B">
        <w:rPr>
          <w:rFonts w:ascii="Abadi" w:hAnsi="Abadi" w:cs="*Arial-5288-Identity-H"/>
          <w:color w:val="15141C"/>
          <w:sz w:val="21"/>
          <w:szCs w:val="21"/>
        </w:rPr>
        <w:t>función de fiscalización.</w:t>
      </w:r>
    </w:p>
    <w:p w14:paraId="112E5884" w14:textId="77777777" w:rsidR="002B0CBC" w:rsidRPr="0023003B" w:rsidRDefault="002B0CBC" w:rsidP="002B0CBC">
      <w:pPr>
        <w:autoSpaceDE w:val="0"/>
        <w:autoSpaceDN w:val="0"/>
        <w:adjustRightInd w:val="0"/>
        <w:jc w:val="both"/>
        <w:rPr>
          <w:rFonts w:ascii="Abadi" w:hAnsi="Abadi" w:cs="*Arial-5288-Identity-H"/>
          <w:color w:val="15141C"/>
          <w:sz w:val="21"/>
          <w:szCs w:val="21"/>
        </w:rPr>
      </w:pPr>
      <w:r>
        <w:rPr>
          <w:rFonts w:ascii="Abadi" w:hAnsi="Abadi" w:cs="*Arial-5288-Identity-H"/>
          <w:color w:val="15141C"/>
          <w:sz w:val="21"/>
          <w:szCs w:val="21"/>
        </w:rPr>
        <w:t xml:space="preserve"> </w:t>
      </w:r>
    </w:p>
    <w:p w14:paraId="3A068B42" w14:textId="77777777" w:rsidR="002B0CBC" w:rsidRDefault="002B0CBC" w:rsidP="002B0CBC">
      <w:pPr>
        <w:autoSpaceDE w:val="0"/>
        <w:autoSpaceDN w:val="0"/>
        <w:adjustRightInd w:val="0"/>
        <w:ind w:firstLine="708"/>
        <w:jc w:val="both"/>
        <w:rPr>
          <w:rFonts w:ascii="Abadi" w:hAnsi="Abadi" w:cs="*Arial-5288-Identity-H"/>
          <w:color w:val="14131C"/>
          <w:sz w:val="21"/>
          <w:szCs w:val="21"/>
        </w:rPr>
      </w:pPr>
      <w:r w:rsidRPr="0023003B">
        <w:rPr>
          <w:rFonts w:ascii="Abadi" w:hAnsi="Abadi" w:cs="*Arial-5288-Identity-H"/>
          <w:color w:val="14131C"/>
          <w:sz w:val="21"/>
          <w:szCs w:val="21"/>
        </w:rPr>
        <w:t>En razón de lo cual, la Ley de Fiscalización Superior del Estado de</w:t>
      </w:r>
      <w:r>
        <w:rPr>
          <w:rFonts w:ascii="Abadi" w:hAnsi="Abadi" w:cs="*Arial-5288-Identity-H"/>
          <w:color w:val="14131C"/>
          <w:sz w:val="21"/>
          <w:szCs w:val="21"/>
        </w:rPr>
        <w:t xml:space="preserve"> </w:t>
      </w:r>
      <w:r w:rsidRPr="0023003B">
        <w:rPr>
          <w:rFonts w:ascii="Abadi" w:hAnsi="Abadi" w:cs="*Arial-5288-Identity-H"/>
          <w:color w:val="14131C"/>
          <w:sz w:val="21"/>
          <w:szCs w:val="21"/>
        </w:rPr>
        <w:t>Guanajuato establece que la Auditoría Superior debe remitir los informes de</w:t>
      </w:r>
      <w:r>
        <w:rPr>
          <w:rFonts w:ascii="Abadi" w:hAnsi="Abadi" w:cs="*Arial-5288-Identity-H"/>
          <w:color w:val="14131C"/>
          <w:sz w:val="21"/>
          <w:szCs w:val="21"/>
        </w:rPr>
        <w:t xml:space="preserve"> </w:t>
      </w:r>
      <w:r w:rsidRPr="0023003B">
        <w:rPr>
          <w:rFonts w:ascii="Abadi" w:hAnsi="Abadi" w:cs="*Arial-5288-Identity-H"/>
          <w:color w:val="14131C"/>
          <w:sz w:val="21"/>
          <w:szCs w:val="21"/>
        </w:rPr>
        <w:t>resultados al Congreso del Estado, a efecto de que éste realice la declaratoria</w:t>
      </w:r>
      <w:r>
        <w:rPr>
          <w:rFonts w:ascii="Abadi" w:hAnsi="Abadi" w:cs="*Arial-5288-Identity-H"/>
          <w:color w:val="14131C"/>
          <w:sz w:val="21"/>
          <w:szCs w:val="21"/>
        </w:rPr>
        <w:t xml:space="preserve"> </w:t>
      </w:r>
      <w:r w:rsidRPr="0023003B">
        <w:rPr>
          <w:rFonts w:ascii="Abadi" w:hAnsi="Abadi" w:cs="*Arial-5288-Identity-H"/>
          <w:color w:val="14131C"/>
          <w:sz w:val="21"/>
          <w:szCs w:val="21"/>
        </w:rPr>
        <w:t>correspondiente, señalándose en el artículo 38 que el informe de resultados</w:t>
      </w:r>
      <w:r>
        <w:rPr>
          <w:rFonts w:ascii="Abadi" w:hAnsi="Abadi" w:cs="*Arial-5288-Identity-H"/>
          <w:color w:val="14131C"/>
          <w:sz w:val="21"/>
          <w:szCs w:val="21"/>
        </w:rPr>
        <w:t xml:space="preserve"> </w:t>
      </w:r>
      <w:r w:rsidRPr="0023003B">
        <w:rPr>
          <w:rFonts w:ascii="Abadi" w:hAnsi="Abadi" w:cs="*Arial-5288-Identity-H"/>
          <w:color w:val="14131C"/>
          <w:sz w:val="21"/>
          <w:szCs w:val="21"/>
        </w:rPr>
        <w:t>únicamente podrá ser observado por las dos terceras partes de los diputados</w:t>
      </w:r>
      <w:r>
        <w:rPr>
          <w:rFonts w:ascii="Abadi" w:hAnsi="Abadi" w:cs="*Arial-5288-Identity-H"/>
          <w:color w:val="14131C"/>
          <w:sz w:val="21"/>
          <w:szCs w:val="21"/>
        </w:rPr>
        <w:t xml:space="preserve"> </w:t>
      </w:r>
      <w:r w:rsidRPr="0023003B">
        <w:rPr>
          <w:rFonts w:ascii="Abadi" w:hAnsi="Abadi" w:cs="*Arial-5288-Identity-H"/>
          <w:color w:val="14131C"/>
          <w:sz w:val="21"/>
          <w:szCs w:val="21"/>
        </w:rPr>
        <w:t>Integrantes del Congreso, cuando no se observen las formalidades esenciales del</w:t>
      </w:r>
      <w:r>
        <w:rPr>
          <w:rFonts w:ascii="Abadi" w:hAnsi="Abadi" w:cs="*Arial-5288-Identity-H"/>
          <w:color w:val="14131C"/>
          <w:sz w:val="21"/>
          <w:szCs w:val="21"/>
        </w:rPr>
        <w:t xml:space="preserve"> </w:t>
      </w:r>
      <w:r w:rsidRPr="0023003B">
        <w:rPr>
          <w:rFonts w:ascii="Abadi" w:hAnsi="Abadi" w:cs="*Arial-5288-Identity-H"/>
          <w:color w:val="14131C"/>
          <w:sz w:val="21"/>
          <w:szCs w:val="21"/>
        </w:rPr>
        <w:t>proceso de fiscalización.</w:t>
      </w:r>
    </w:p>
    <w:p w14:paraId="28192B82" w14:textId="77777777" w:rsidR="002B0CBC" w:rsidRPr="0023003B" w:rsidRDefault="002B0CBC" w:rsidP="002B0CBC">
      <w:pPr>
        <w:autoSpaceDE w:val="0"/>
        <w:autoSpaceDN w:val="0"/>
        <w:adjustRightInd w:val="0"/>
        <w:jc w:val="both"/>
        <w:rPr>
          <w:rFonts w:ascii="Abadi" w:hAnsi="Abadi" w:cs="*Arial-5288-Identity-H"/>
          <w:color w:val="14131C"/>
          <w:sz w:val="21"/>
          <w:szCs w:val="21"/>
        </w:rPr>
      </w:pPr>
    </w:p>
    <w:p w14:paraId="68A6ED78" w14:textId="77777777" w:rsidR="002B0CBC" w:rsidRDefault="002B0CBC" w:rsidP="002B0CBC">
      <w:pPr>
        <w:autoSpaceDE w:val="0"/>
        <w:autoSpaceDN w:val="0"/>
        <w:adjustRightInd w:val="0"/>
        <w:ind w:firstLine="708"/>
        <w:jc w:val="both"/>
        <w:rPr>
          <w:rFonts w:ascii="Abadi" w:hAnsi="Abadi" w:cs="*Arial-5288-Identity-H"/>
          <w:color w:val="15131C"/>
          <w:sz w:val="21"/>
          <w:szCs w:val="21"/>
        </w:rPr>
      </w:pPr>
      <w:r w:rsidRPr="0023003B">
        <w:rPr>
          <w:rFonts w:ascii="Abadi" w:hAnsi="Abadi" w:cs="*Arial-5288-Identity-H"/>
          <w:color w:val="15131C"/>
          <w:sz w:val="21"/>
          <w:szCs w:val="21"/>
        </w:rPr>
        <w:t>Con la finalidad de que el Congreso dé cumplimiento a lo señalado en el</w:t>
      </w:r>
      <w:r>
        <w:rPr>
          <w:rFonts w:ascii="Abadi" w:hAnsi="Abadi" w:cs="*Arial-5288-Identity-H"/>
          <w:color w:val="15131C"/>
          <w:sz w:val="21"/>
          <w:szCs w:val="21"/>
        </w:rPr>
        <w:t xml:space="preserve"> </w:t>
      </w:r>
      <w:r w:rsidRPr="0023003B">
        <w:rPr>
          <w:rFonts w:ascii="Abadi" w:hAnsi="Abadi" w:cs="*Arial-5288-Identity-H"/>
          <w:color w:val="15131C"/>
          <w:sz w:val="21"/>
          <w:szCs w:val="21"/>
        </w:rPr>
        <w:t>párrafo anterior, la Ley Orgánica del Poder Legislativo del Estado de Guanajuato</w:t>
      </w:r>
      <w:r>
        <w:rPr>
          <w:rFonts w:ascii="Abadi" w:hAnsi="Abadi" w:cs="*Arial-5288-Identity-H"/>
          <w:color w:val="15131C"/>
          <w:sz w:val="21"/>
          <w:szCs w:val="21"/>
        </w:rPr>
        <w:t xml:space="preserve"> </w:t>
      </w:r>
      <w:r w:rsidRPr="0023003B">
        <w:rPr>
          <w:rFonts w:ascii="Abadi" w:hAnsi="Abadi" w:cs="*Arial-5288-Identity-H"/>
          <w:color w:val="15131C"/>
          <w:sz w:val="21"/>
          <w:szCs w:val="21"/>
        </w:rPr>
        <w:t>establece en su artículo 112, fracción XII, primer párrafo que, a esta Comisión de</w:t>
      </w:r>
      <w:r>
        <w:rPr>
          <w:rFonts w:ascii="Abadi" w:hAnsi="Abadi" w:cs="*Arial-5288-Identity-H"/>
          <w:color w:val="15131C"/>
          <w:sz w:val="21"/>
          <w:szCs w:val="21"/>
        </w:rPr>
        <w:t xml:space="preserve"> </w:t>
      </w:r>
      <w:r w:rsidRPr="0023003B">
        <w:rPr>
          <w:rFonts w:ascii="Abadi" w:hAnsi="Abadi" w:cs="*Arial-5288-Identity-H"/>
          <w:color w:val="15131C"/>
          <w:sz w:val="21"/>
          <w:szCs w:val="21"/>
        </w:rPr>
        <w:t>Hacienda y Fiscalización, le compete el conocimiento y dictamen de los asuntos</w:t>
      </w:r>
      <w:r>
        <w:rPr>
          <w:rFonts w:ascii="Abadi" w:hAnsi="Abadi" w:cs="*Arial-5288-Identity-H"/>
          <w:color w:val="15131C"/>
          <w:sz w:val="21"/>
          <w:szCs w:val="21"/>
        </w:rPr>
        <w:t xml:space="preserve"> </w:t>
      </w:r>
      <w:r w:rsidRPr="0023003B">
        <w:rPr>
          <w:rFonts w:ascii="Abadi" w:hAnsi="Abadi" w:cs="*Arial-5288-Identity-H"/>
          <w:color w:val="15131C"/>
          <w:sz w:val="21"/>
          <w:szCs w:val="21"/>
        </w:rPr>
        <w:t>relativos a los informes de resultados que emita la Auditoría Superior del Estado.</w:t>
      </w:r>
    </w:p>
    <w:p w14:paraId="66F10D3A" w14:textId="77777777" w:rsidR="002B0CBC" w:rsidRDefault="002B0CBC" w:rsidP="002B0CBC">
      <w:pPr>
        <w:autoSpaceDE w:val="0"/>
        <w:autoSpaceDN w:val="0"/>
        <w:adjustRightInd w:val="0"/>
        <w:jc w:val="both"/>
        <w:rPr>
          <w:rFonts w:ascii="Abadi" w:hAnsi="Abadi" w:cs="*Arial-5288-Identity-H"/>
          <w:color w:val="15131C"/>
          <w:sz w:val="21"/>
          <w:szCs w:val="21"/>
        </w:rPr>
      </w:pPr>
    </w:p>
    <w:p w14:paraId="489554D8" w14:textId="77777777" w:rsidR="002B0CBC" w:rsidRPr="0023003B" w:rsidRDefault="002B0CBC" w:rsidP="002B0CBC">
      <w:pPr>
        <w:autoSpaceDE w:val="0"/>
        <w:autoSpaceDN w:val="0"/>
        <w:adjustRightInd w:val="0"/>
        <w:ind w:firstLine="708"/>
        <w:jc w:val="both"/>
        <w:rPr>
          <w:rFonts w:ascii="Abadi" w:hAnsi="Abadi" w:cs="*Arial-5288-Identity-H"/>
          <w:color w:val="14141A"/>
          <w:sz w:val="21"/>
          <w:szCs w:val="21"/>
        </w:rPr>
      </w:pPr>
      <w:r w:rsidRPr="0023003B">
        <w:rPr>
          <w:rFonts w:ascii="Abadi" w:hAnsi="Abadi" w:cs="*Arial-5288-Identity-H"/>
          <w:color w:val="14141A"/>
          <w:sz w:val="21"/>
          <w:szCs w:val="21"/>
        </w:rPr>
        <w:t>A efecto de cumplir con las atribuciones conferidas a esta Comisión, y en</w:t>
      </w:r>
      <w:r>
        <w:rPr>
          <w:rFonts w:ascii="Abadi" w:hAnsi="Abadi" w:cs="*Arial-5288-Identity-H"/>
          <w:color w:val="14141A"/>
          <w:sz w:val="21"/>
          <w:szCs w:val="21"/>
        </w:rPr>
        <w:t xml:space="preserve"> </w:t>
      </w:r>
      <w:r w:rsidRPr="0023003B">
        <w:rPr>
          <w:rFonts w:ascii="Abadi" w:hAnsi="Abadi" w:cs="*Arial-5288-Identity-H"/>
          <w:color w:val="14141A"/>
          <w:sz w:val="21"/>
          <w:szCs w:val="21"/>
        </w:rPr>
        <w:t>observancia a lo que establece la Ley de Fiscalización Superior del Estado de</w:t>
      </w:r>
      <w:r>
        <w:rPr>
          <w:rFonts w:ascii="Abadi" w:hAnsi="Abadi" w:cs="*Arial-5288-Identity-H"/>
          <w:color w:val="14141A"/>
          <w:sz w:val="21"/>
          <w:szCs w:val="21"/>
        </w:rPr>
        <w:t xml:space="preserve"> </w:t>
      </w:r>
      <w:r w:rsidRPr="0023003B">
        <w:rPr>
          <w:rFonts w:ascii="Abadi" w:hAnsi="Abadi" w:cs="*Arial-5288-Identity-H"/>
          <w:color w:val="14141A"/>
          <w:sz w:val="21"/>
          <w:szCs w:val="21"/>
        </w:rPr>
        <w:t>Guanajuato, el presente dictamen se ocupará exclusivamente del aspecto que la</w:t>
      </w:r>
      <w:r>
        <w:rPr>
          <w:rFonts w:ascii="Abadi" w:hAnsi="Abadi" w:cs="*Arial-5288-Identity-H"/>
          <w:color w:val="14141A"/>
          <w:sz w:val="21"/>
          <w:szCs w:val="21"/>
        </w:rPr>
        <w:t xml:space="preserve"> </w:t>
      </w:r>
      <w:r w:rsidRPr="0023003B">
        <w:rPr>
          <w:rFonts w:ascii="Abadi" w:hAnsi="Abadi" w:cs="*Arial-5288-Identity-H"/>
          <w:color w:val="14141A"/>
          <w:sz w:val="21"/>
          <w:szCs w:val="21"/>
        </w:rPr>
        <w:t>propia Ley señala y por el cual podría ser observado o no, el informe de</w:t>
      </w:r>
      <w:r>
        <w:rPr>
          <w:rFonts w:ascii="Abadi" w:hAnsi="Abadi" w:cs="*Arial-5288-Identity-H"/>
          <w:color w:val="14141A"/>
          <w:sz w:val="21"/>
          <w:szCs w:val="21"/>
        </w:rPr>
        <w:t xml:space="preserve"> </w:t>
      </w:r>
      <w:r w:rsidRPr="0023003B">
        <w:rPr>
          <w:rFonts w:ascii="Abadi" w:hAnsi="Abadi" w:cs="*Arial-5288-Identity-H"/>
          <w:color w:val="14141A"/>
          <w:sz w:val="21"/>
          <w:szCs w:val="21"/>
        </w:rPr>
        <w:t>resultados.</w:t>
      </w:r>
    </w:p>
    <w:p w14:paraId="23E4B617" w14:textId="77777777" w:rsidR="002B0CBC" w:rsidRDefault="002B0CBC" w:rsidP="002B0CBC">
      <w:pPr>
        <w:autoSpaceDE w:val="0"/>
        <w:autoSpaceDN w:val="0"/>
        <w:adjustRightInd w:val="0"/>
        <w:jc w:val="both"/>
        <w:rPr>
          <w:rFonts w:ascii="Abadi" w:hAnsi="Abadi" w:cs="*Arial-Bold-5289-Identity-H"/>
          <w:b/>
          <w:bCs/>
          <w:color w:val="15131F"/>
          <w:sz w:val="21"/>
          <w:szCs w:val="21"/>
        </w:rPr>
      </w:pPr>
    </w:p>
    <w:p w14:paraId="182A5F1C" w14:textId="77777777" w:rsidR="002B0CBC" w:rsidRDefault="002B0CBC" w:rsidP="002B0CBC">
      <w:pPr>
        <w:autoSpaceDE w:val="0"/>
        <w:autoSpaceDN w:val="0"/>
        <w:adjustRightInd w:val="0"/>
        <w:ind w:firstLine="708"/>
        <w:jc w:val="both"/>
        <w:rPr>
          <w:rFonts w:ascii="Abadi" w:hAnsi="Abadi" w:cs="*Arial-Bold-5289-Identity-H"/>
          <w:b/>
          <w:bCs/>
          <w:color w:val="15131F"/>
          <w:sz w:val="21"/>
          <w:szCs w:val="21"/>
        </w:rPr>
      </w:pPr>
      <w:r>
        <w:rPr>
          <w:rFonts w:ascii="Abadi" w:hAnsi="Abadi" w:cs="*Arial-Bold-5289-Identity-H"/>
          <w:b/>
          <w:bCs/>
          <w:color w:val="15131F"/>
          <w:sz w:val="21"/>
          <w:szCs w:val="21"/>
        </w:rPr>
        <w:t>II</w:t>
      </w:r>
      <w:r w:rsidRPr="0023003B">
        <w:rPr>
          <w:rFonts w:ascii="Abadi" w:hAnsi="Abadi" w:cs="*Arial-Bold-5289-Identity-H"/>
          <w:b/>
          <w:bCs/>
          <w:color w:val="15131F"/>
          <w:sz w:val="21"/>
          <w:szCs w:val="21"/>
        </w:rPr>
        <w:t>. Antecedentes:</w:t>
      </w:r>
    </w:p>
    <w:p w14:paraId="2C8F64FA" w14:textId="77777777" w:rsidR="002B0CBC" w:rsidRPr="0023003B" w:rsidRDefault="002B0CBC" w:rsidP="002B0CBC">
      <w:pPr>
        <w:autoSpaceDE w:val="0"/>
        <w:autoSpaceDN w:val="0"/>
        <w:adjustRightInd w:val="0"/>
        <w:jc w:val="both"/>
        <w:rPr>
          <w:rFonts w:ascii="Abadi" w:hAnsi="Abadi" w:cs="*Arial-Bold-5289-Identity-H"/>
          <w:b/>
          <w:bCs/>
          <w:color w:val="15131F"/>
          <w:sz w:val="21"/>
          <w:szCs w:val="21"/>
        </w:rPr>
      </w:pPr>
    </w:p>
    <w:p w14:paraId="1421A051" w14:textId="77777777" w:rsidR="002B0CBC" w:rsidRDefault="002B0CBC" w:rsidP="002B0CBC">
      <w:pPr>
        <w:autoSpaceDE w:val="0"/>
        <w:autoSpaceDN w:val="0"/>
        <w:adjustRightInd w:val="0"/>
        <w:ind w:firstLine="708"/>
        <w:jc w:val="both"/>
        <w:rPr>
          <w:rFonts w:ascii="Abadi" w:hAnsi="Abadi" w:cs="*Arial-5288-Identity-H"/>
          <w:color w:val="15141C"/>
          <w:sz w:val="21"/>
          <w:szCs w:val="21"/>
        </w:rPr>
      </w:pPr>
      <w:r w:rsidRPr="0023003B">
        <w:rPr>
          <w:rFonts w:ascii="Abadi" w:hAnsi="Abadi" w:cs="*Arial-5288-Identity-H"/>
          <w:color w:val="15141C"/>
          <w:sz w:val="21"/>
          <w:szCs w:val="21"/>
        </w:rPr>
        <w:t>De conformidad con el artículo 66, fracción I de la Constitución Política para</w:t>
      </w:r>
      <w:r>
        <w:rPr>
          <w:rFonts w:ascii="Abadi" w:hAnsi="Abadi" w:cs="*Arial-5288-Identity-H"/>
          <w:color w:val="15141C"/>
          <w:sz w:val="21"/>
          <w:szCs w:val="21"/>
        </w:rPr>
        <w:t xml:space="preserve"> </w:t>
      </w:r>
      <w:r w:rsidRPr="0023003B">
        <w:rPr>
          <w:rFonts w:ascii="Abadi" w:hAnsi="Abadi" w:cs="*Arial-5288-Identity-H"/>
          <w:color w:val="15141C"/>
          <w:sz w:val="21"/>
          <w:szCs w:val="21"/>
        </w:rPr>
        <w:t>el Estado de Guanajuato, es atribución de la Auditoría Superior del Estado realizar</w:t>
      </w:r>
      <w:r>
        <w:rPr>
          <w:rFonts w:ascii="Abadi" w:hAnsi="Abadi" w:cs="*Arial-5288-Identity-H"/>
          <w:color w:val="15141C"/>
          <w:sz w:val="21"/>
          <w:szCs w:val="21"/>
        </w:rPr>
        <w:t xml:space="preserve"> </w:t>
      </w:r>
      <w:r w:rsidRPr="0023003B">
        <w:rPr>
          <w:rFonts w:ascii="Abadi" w:hAnsi="Abadi" w:cs="*Arial-5288-Identity-H"/>
          <w:color w:val="15141C"/>
          <w:sz w:val="21"/>
          <w:szCs w:val="21"/>
        </w:rPr>
        <w:t>auditorías de desempeño en el cumplimiento de objetivos y metas contenidos en</w:t>
      </w:r>
      <w:r>
        <w:rPr>
          <w:rFonts w:ascii="Abadi" w:hAnsi="Abadi" w:cs="*Arial-5288-Identity-H"/>
          <w:color w:val="15141C"/>
          <w:sz w:val="21"/>
          <w:szCs w:val="21"/>
        </w:rPr>
        <w:t xml:space="preserve"> </w:t>
      </w:r>
      <w:r w:rsidRPr="0023003B">
        <w:rPr>
          <w:rFonts w:ascii="Abadi" w:hAnsi="Abadi" w:cs="*Arial-5288-Identity-H"/>
          <w:color w:val="15141C"/>
          <w:sz w:val="21"/>
          <w:szCs w:val="21"/>
        </w:rPr>
        <w:t>los programas, de las cuales sólo podrá emitir las recomendaciones para la mejora</w:t>
      </w:r>
      <w:r>
        <w:rPr>
          <w:rFonts w:ascii="Abadi" w:hAnsi="Abadi" w:cs="*Arial-5288-Identity-H"/>
          <w:color w:val="15141C"/>
          <w:sz w:val="21"/>
          <w:szCs w:val="21"/>
        </w:rPr>
        <w:t xml:space="preserve"> </w:t>
      </w:r>
      <w:r w:rsidRPr="0023003B">
        <w:rPr>
          <w:rFonts w:ascii="Abadi" w:hAnsi="Abadi" w:cs="*Arial-5288-Identity-H"/>
          <w:color w:val="15141C"/>
          <w:sz w:val="21"/>
          <w:szCs w:val="21"/>
        </w:rPr>
        <w:t>en el desempeño de los mismos, en los términos de la Ley.</w:t>
      </w:r>
    </w:p>
    <w:p w14:paraId="69100091" w14:textId="77777777" w:rsidR="002B0CBC" w:rsidRPr="0023003B" w:rsidRDefault="002B0CBC" w:rsidP="002B0CBC">
      <w:pPr>
        <w:autoSpaceDE w:val="0"/>
        <w:autoSpaceDN w:val="0"/>
        <w:adjustRightInd w:val="0"/>
        <w:jc w:val="both"/>
        <w:rPr>
          <w:rFonts w:ascii="Abadi" w:hAnsi="Abadi" w:cs="*Arial-5288-Identity-H"/>
          <w:color w:val="15141C"/>
          <w:sz w:val="21"/>
          <w:szCs w:val="21"/>
        </w:rPr>
      </w:pPr>
    </w:p>
    <w:p w14:paraId="25F29CE9" w14:textId="77777777" w:rsidR="002B0CBC" w:rsidRPr="0023003B" w:rsidRDefault="002B0CBC" w:rsidP="002B0CBC">
      <w:pPr>
        <w:autoSpaceDE w:val="0"/>
        <w:autoSpaceDN w:val="0"/>
        <w:adjustRightInd w:val="0"/>
        <w:ind w:firstLine="708"/>
        <w:jc w:val="both"/>
        <w:rPr>
          <w:rFonts w:ascii="Abadi" w:hAnsi="Abadi" w:cs="*Arial-5288-Identity-H"/>
          <w:color w:val="15141C"/>
          <w:sz w:val="21"/>
          <w:szCs w:val="21"/>
        </w:rPr>
      </w:pPr>
      <w:r w:rsidRPr="0023003B">
        <w:rPr>
          <w:rFonts w:ascii="Abadi" w:hAnsi="Abadi" w:cs="*Arial-5288-Identity-H"/>
          <w:color w:val="15141C"/>
          <w:sz w:val="21"/>
          <w:szCs w:val="21"/>
        </w:rPr>
        <w:t>Por su parte, el artículo 3, fracción V de la Ley de Fiscalización Superior del</w:t>
      </w:r>
      <w:r>
        <w:rPr>
          <w:rFonts w:ascii="Abadi" w:hAnsi="Abadi" w:cs="*Arial-5288-Identity-H"/>
          <w:color w:val="15141C"/>
          <w:sz w:val="21"/>
          <w:szCs w:val="21"/>
        </w:rPr>
        <w:t xml:space="preserve"> </w:t>
      </w:r>
      <w:r w:rsidRPr="0023003B">
        <w:rPr>
          <w:rFonts w:ascii="Abadi" w:hAnsi="Abadi" w:cs="*Arial-5288-Identity-H"/>
          <w:color w:val="15141C"/>
          <w:sz w:val="21"/>
          <w:szCs w:val="21"/>
        </w:rPr>
        <w:t>Estado de Guanajuato señala que la Auditoría Superior del Estado es competente</w:t>
      </w:r>
      <w:r>
        <w:rPr>
          <w:rFonts w:ascii="Abadi" w:hAnsi="Abadi" w:cs="*Arial-5288-Identity-H"/>
          <w:color w:val="15141C"/>
          <w:sz w:val="21"/>
          <w:szCs w:val="21"/>
        </w:rPr>
        <w:t xml:space="preserve"> </w:t>
      </w:r>
      <w:r w:rsidRPr="0023003B">
        <w:rPr>
          <w:rFonts w:ascii="Abadi" w:hAnsi="Abadi" w:cs="*Arial-5288-Identity-H"/>
          <w:color w:val="15141C"/>
          <w:sz w:val="21"/>
          <w:szCs w:val="21"/>
        </w:rPr>
        <w:t>para practicar auditorías de desempeño para verificar el cumplimiento de los</w:t>
      </w:r>
      <w:r>
        <w:rPr>
          <w:rFonts w:ascii="Abadi" w:hAnsi="Abadi" w:cs="*Arial-5288-Identity-H"/>
          <w:color w:val="15141C"/>
          <w:sz w:val="21"/>
          <w:szCs w:val="21"/>
        </w:rPr>
        <w:t xml:space="preserve"> </w:t>
      </w:r>
      <w:r w:rsidRPr="0023003B">
        <w:rPr>
          <w:rFonts w:ascii="Abadi" w:hAnsi="Abadi" w:cs="*Arial-5288-Identity-H"/>
          <w:color w:val="15141C"/>
          <w:sz w:val="21"/>
          <w:szCs w:val="21"/>
        </w:rPr>
        <w:t>objetivos y las metas de los programas estatales y municipales.</w:t>
      </w:r>
    </w:p>
    <w:p w14:paraId="677A4F23" w14:textId="77777777" w:rsidR="002B0CBC" w:rsidRPr="0023003B" w:rsidRDefault="002B0CBC" w:rsidP="002B0CBC">
      <w:pPr>
        <w:jc w:val="both"/>
        <w:rPr>
          <w:rFonts w:ascii="Abadi" w:hAnsi="Abadi" w:cs="*Arial-5288-Identity-H"/>
          <w:color w:val="15141C"/>
          <w:sz w:val="21"/>
          <w:szCs w:val="21"/>
        </w:rPr>
      </w:pPr>
    </w:p>
    <w:p w14:paraId="5A3AF044" w14:textId="77777777" w:rsidR="002B0CBC" w:rsidRDefault="002B0CBC" w:rsidP="002B0CBC">
      <w:pPr>
        <w:autoSpaceDE w:val="0"/>
        <w:autoSpaceDN w:val="0"/>
        <w:adjustRightInd w:val="0"/>
        <w:ind w:firstLine="708"/>
        <w:jc w:val="both"/>
        <w:rPr>
          <w:rFonts w:ascii="Abadi" w:hAnsi="Abadi" w:cs="*Arial-5827-Identity-H"/>
          <w:color w:val="14141C"/>
          <w:sz w:val="21"/>
          <w:szCs w:val="21"/>
        </w:rPr>
      </w:pPr>
      <w:r w:rsidRPr="0023003B">
        <w:rPr>
          <w:rFonts w:ascii="Abadi" w:hAnsi="Abadi" w:cs="*Arial-5827-Identity-H"/>
          <w:color w:val="14141C"/>
          <w:sz w:val="21"/>
          <w:szCs w:val="21"/>
        </w:rPr>
        <w:t>De igual forma, el artículo 56 de la Ley de Fiscalización Superior prevé que</w:t>
      </w:r>
      <w:r>
        <w:rPr>
          <w:rFonts w:ascii="Abadi" w:hAnsi="Abadi" w:cs="*Arial-5827-Identity-H"/>
          <w:color w:val="14141C"/>
          <w:sz w:val="21"/>
          <w:szCs w:val="21"/>
        </w:rPr>
        <w:t xml:space="preserve"> </w:t>
      </w:r>
      <w:r w:rsidRPr="0023003B">
        <w:rPr>
          <w:rFonts w:ascii="Abadi" w:hAnsi="Abadi" w:cs="*Arial-5827-Identity-H"/>
          <w:color w:val="14141C"/>
          <w:sz w:val="21"/>
          <w:szCs w:val="21"/>
        </w:rPr>
        <w:t>las auditorías de desempeño comprenden la revisión del cumplimiento de las</w:t>
      </w:r>
      <w:r>
        <w:rPr>
          <w:rFonts w:ascii="Abadi" w:hAnsi="Abadi" w:cs="*Arial-5827-Identity-H"/>
          <w:color w:val="14141C"/>
          <w:sz w:val="21"/>
          <w:szCs w:val="21"/>
        </w:rPr>
        <w:t xml:space="preserve"> </w:t>
      </w:r>
      <w:r w:rsidRPr="0023003B">
        <w:rPr>
          <w:rFonts w:ascii="Abadi" w:hAnsi="Abadi" w:cs="*Arial-5827-Identity-H"/>
          <w:color w:val="14141C"/>
          <w:sz w:val="21"/>
          <w:szCs w:val="21"/>
        </w:rPr>
        <w:t>metas y objetivos de los planes y programas, conforme a los principios de</w:t>
      </w:r>
      <w:r>
        <w:rPr>
          <w:rFonts w:ascii="Abadi" w:hAnsi="Abadi" w:cs="*Arial-5827-Identity-H"/>
          <w:color w:val="14141C"/>
          <w:sz w:val="21"/>
          <w:szCs w:val="21"/>
        </w:rPr>
        <w:t xml:space="preserve">  </w:t>
      </w:r>
      <w:r w:rsidRPr="0023003B">
        <w:rPr>
          <w:rFonts w:ascii="Abadi" w:hAnsi="Abadi" w:cs="*Arial-5827-Identity-H"/>
          <w:color w:val="14141C"/>
          <w:sz w:val="21"/>
          <w:szCs w:val="21"/>
        </w:rPr>
        <w:t>eficiencia, eficacia y economía; así como la evaluación de las políticas públicas;</w:t>
      </w:r>
      <w:r>
        <w:rPr>
          <w:rFonts w:ascii="Abadi" w:hAnsi="Abadi" w:cs="*Arial-5827-Identity-H"/>
          <w:color w:val="14141C"/>
          <w:sz w:val="21"/>
          <w:szCs w:val="21"/>
        </w:rPr>
        <w:t xml:space="preserve"> </w:t>
      </w:r>
      <w:r w:rsidRPr="0023003B">
        <w:rPr>
          <w:rFonts w:ascii="Abadi" w:hAnsi="Abadi" w:cs="*Arial-5827-Identity-H"/>
          <w:color w:val="14141C"/>
          <w:sz w:val="21"/>
          <w:szCs w:val="21"/>
        </w:rPr>
        <w:t>estableciendo además que la Auditoría Superior del Estado realizará las auditorías</w:t>
      </w:r>
      <w:r>
        <w:rPr>
          <w:rFonts w:ascii="Abadi" w:hAnsi="Abadi" w:cs="*Arial-5827-Identity-H"/>
          <w:color w:val="14141C"/>
          <w:sz w:val="21"/>
          <w:szCs w:val="21"/>
        </w:rPr>
        <w:t xml:space="preserve"> </w:t>
      </w:r>
      <w:r w:rsidRPr="0023003B">
        <w:rPr>
          <w:rFonts w:ascii="Abadi" w:hAnsi="Abadi" w:cs="*Arial-5827-Identity-H"/>
          <w:color w:val="14141C"/>
          <w:sz w:val="21"/>
          <w:szCs w:val="21"/>
        </w:rPr>
        <w:t>de desempeño de manera anual y únicamente formulará recomendaciones que</w:t>
      </w:r>
      <w:r>
        <w:rPr>
          <w:rFonts w:ascii="Abadi" w:hAnsi="Abadi" w:cs="*Arial-5827-Identity-H"/>
          <w:color w:val="14141C"/>
          <w:sz w:val="21"/>
          <w:szCs w:val="21"/>
        </w:rPr>
        <w:t xml:space="preserve"> </w:t>
      </w:r>
      <w:r w:rsidRPr="0023003B">
        <w:rPr>
          <w:rFonts w:ascii="Abadi" w:hAnsi="Abadi" w:cs="*Arial-5827-Identity-H"/>
          <w:color w:val="14141C"/>
          <w:sz w:val="21"/>
          <w:szCs w:val="21"/>
        </w:rPr>
        <w:t>incidan en mejorar sistemáticamente el diseño, operación e impacto de los</w:t>
      </w:r>
      <w:r>
        <w:rPr>
          <w:rFonts w:ascii="Abadi" w:hAnsi="Abadi" w:cs="*Arial-5827-Identity-H"/>
          <w:color w:val="14141C"/>
          <w:sz w:val="21"/>
          <w:szCs w:val="21"/>
        </w:rPr>
        <w:t xml:space="preserve"> </w:t>
      </w:r>
      <w:r w:rsidRPr="0023003B">
        <w:rPr>
          <w:rFonts w:ascii="Abadi" w:hAnsi="Abadi" w:cs="*Arial-5827-Identity-H"/>
          <w:color w:val="14141C"/>
          <w:sz w:val="21"/>
          <w:szCs w:val="21"/>
        </w:rPr>
        <w:t>presupuestos programáticos y las políticas públicas en su caso.</w:t>
      </w:r>
      <w:r>
        <w:rPr>
          <w:rFonts w:ascii="Abadi" w:hAnsi="Abadi" w:cs="*Arial-5827-Identity-H"/>
          <w:color w:val="14141C"/>
          <w:sz w:val="21"/>
          <w:szCs w:val="21"/>
        </w:rPr>
        <w:t xml:space="preserve"> </w:t>
      </w:r>
    </w:p>
    <w:p w14:paraId="222058E4" w14:textId="77777777" w:rsidR="002B0CBC" w:rsidRPr="0023003B" w:rsidRDefault="002B0CBC" w:rsidP="002B0CBC">
      <w:pPr>
        <w:autoSpaceDE w:val="0"/>
        <w:autoSpaceDN w:val="0"/>
        <w:adjustRightInd w:val="0"/>
        <w:jc w:val="both"/>
        <w:rPr>
          <w:rFonts w:ascii="Abadi" w:hAnsi="Abadi" w:cs="*Arial-5827-Identity-H"/>
          <w:color w:val="14141C"/>
          <w:sz w:val="21"/>
          <w:szCs w:val="21"/>
        </w:rPr>
      </w:pPr>
    </w:p>
    <w:p w14:paraId="4DFEE3CA" w14:textId="77777777" w:rsidR="002B0CBC" w:rsidRDefault="002B0CBC" w:rsidP="002B0CBC">
      <w:pPr>
        <w:autoSpaceDE w:val="0"/>
        <w:autoSpaceDN w:val="0"/>
        <w:adjustRightInd w:val="0"/>
        <w:ind w:firstLine="708"/>
        <w:jc w:val="both"/>
        <w:rPr>
          <w:rFonts w:ascii="Abadi" w:hAnsi="Abadi" w:cs="*Arial-5827-Identity-H"/>
          <w:color w:val="14141C"/>
          <w:sz w:val="21"/>
          <w:szCs w:val="21"/>
        </w:rPr>
      </w:pPr>
      <w:r w:rsidRPr="0023003B">
        <w:rPr>
          <w:rFonts w:ascii="Abadi" w:hAnsi="Abadi" w:cs="*Arial-5827-Identity-H"/>
          <w:color w:val="14141C"/>
          <w:sz w:val="21"/>
          <w:szCs w:val="21"/>
        </w:rPr>
        <w:t>Por su parte, los artículos 59 y 60 de la citada Ley refieren que los informes</w:t>
      </w:r>
      <w:r>
        <w:rPr>
          <w:rFonts w:ascii="Abadi" w:hAnsi="Abadi" w:cs="*Arial-5827-Identity-H"/>
          <w:color w:val="14141C"/>
          <w:sz w:val="21"/>
          <w:szCs w:val="21"/>
        </w:rPr>
        <w:t xml:space="preserve"> </w:t>
      </w:r>
      <w:r w:rsidRPr="0023003B">
        <w:rPr>
          <w:rFonts w:ascii="Abadi" w:hAnsi="Abadi" w:cs="*Arial-5827-Identity-H"/>
          <w:color w:val="14141C"/>
          <w:sz w:val="21"/>
          <w:szCs w:val="21"/>
        </w:rPr>
        <w:t>de resultados de auditorías de desempeño contendrán los requisitos señalados en</w:t>
      </w:r>
      <w:r>
        <w:rPr>
          <w:rFonts w:ascii="Abadi" w:hAnsi="Abadi" w:cs="*Arial-5827-Identity-H"/>
          <w:color w:val="14141C"/>
          <w:sz w:val="21"/>
          <w:szCs w:val="21"/>
        </w:rPr>
        <w:t xml:space="preserve"> </w:t>
      </w:r>
      <w:r w:rsidRPr="0023003B">
        <w:rPr>
          <w:rFonts w:ascii="Abadi" w:hAnsi="Abadi" w:cs="*Arial-5827-Identity-H"/>
          <w:color w:val="14141C"/>
          <w:sz w:val="21"/>
          <w:szCs w:val="21"/>
        </w:rPr>
        <w:t>el Reglamento de la Ley y que la Auditoría Superior del Estado remitirá dichos</w:t>
      </w:r>
      <w:r>
        <w:rPr>
          <w:rFonts w:ascii="Abadi" w:hAnsi="Abadi" w:cs="*Arial-5827-Identity-H"/>
          <w:color w:val="14141C"/>
          <w:sz w:val="21"/>
          <w:szCs w:val="21"/>
        </w:rPr>
        <w:t xml:space="preserve"> </w:t>
      </w:r>
      <w:r w:rsidRPr="0023003B">
        <w:rPr>
          <w:rFonts w:ascii="Abadi" w:hAnsi="Abadi" w:cs="*Arial-5827-Identity-H"/>
          <w:color w:val="14141C"/>
          <w:sz w:val="21"/>
          <w:szCs w:val="21"/>
        </w:rPr>
        <w:t>informes al Congreso a más tardar el 30 de septiembre del ejercicio fiscal de que</w:t>
      </w:r>
      <w:r>
        <w:rPr>
          <w:rFonts w:ascii="Abadi" w:hAnsi="Abadi" w:cs="*Arial-5827-Identity-H"/>
          <w:color w:val="14141C"/>
          <w:sz w:val="21"/>
          <w:szCs w:val="21"/>
        </w:rPr>
        <w:t xml:space="preserve"> </w:t>
      </w:r>
      <w:r w:rsidRPr="0023003B">
        <w:rPr>
          <w:rFonts w:ascii="Abadi" w:hAnsi="Abadi" w:cs="*Arial-5827-Identity-H"/>
          <w:color w:val="14141C"/>
          <w:sz w:val="21"/>
          <w:szCs w:val="21"/>
        </w:rPr>
        <w:t>se trate, salvo que el Auditor Superior del Estado emita un acuerdo de suspensión</w:t>
      </w:r>
      <w:r>
        <w:rPr>
          <w:rFonts w:ascii="Abadi" w:hAnsi="Abadi" w:cs="*Arial-5827-Identity-H"/>
          <w:color w:val="14141C"/>
          <w:sz w:val="21"/>
          <w:szCs w:val="21"/>
        </w:rPr>
        <w:t xml:space="preserve"> </w:t>
      </w:r>
      <w:r w:rsidRPr="0023003B">
        <w:rPr>
          <w:rFonts w:ascii="Abadi" w:hAnsi="Abadi" w:cs="*Arial-5827-Identity-H"/>
          <w:color w:val="14141C"/>
          <w:sz w:val="21"/>
          <w:szCs w:val="21"/>
        </w:rPr>
        <w:t>de plazo, de conformidad con lo previsto en el artículo 35 de la citada ley, caso en</w:t>
      </w:r>
      <w:r>
        <w:rPr>
          <w:rFonts w:ascii="Abadi" w:hAnsi="Abadi" w:cs="*Arial-5827-Identity-H"/>
          <w:color w:val="14141C"/>
          <w:sz w:val="21"/>
          <w:szCs w:val="21"/>
        </w:rPr>
        <w:t xml:space="preserve"> </w:t>
      </w:r>
      <w:r w:rsidRPr="0023003B">
        <w:rPr>
          <w:rFonts w:ascii="Abadi" w:hAnsi="Abadi" w:cs="*Arial-5827-Identity-H"/>
          <w:color w:val="14141C"/>
          <w:sz w:val="21"/>
          <w:szCs w:val="21"/>
        </w:rPr>
        <w:t>el cual el plazo de suspensión se adicionará a la fecha antes señalada para la</w:t>
      </w:r>
      <w:r>
        <w:rPr>
          <w:rFonts w:ascii="Abadi" w:hAnsi="Abadi" w:cs="*Arial-5827-Identity-H"/>
          <w:color w:val="14141C"/>
          <w:sz w:val="21"/>
          <w:szCs w:val="21"/>
        </w:rPr>
        <w:t xml:space="preserve"> </w:t>
      </w:r>
      <w:r w:rsidRPr="0023003B">
        <w:rPr>
          <w:rFonts w:ascii="Abadi" w:hAnsi="Abadi" w:cs="*Arial-5827-Identity-H"/>
          <w:color w:val="14141C"/>
          <w:sz w:val="21"/>
          <w:szCs w:val="21"/>
        </w:rPr>
        <w:t>remisión del informe de resultados.</w:t>
      </w:r>
      <w:r>
        <w:rPr>
          <w:rFonts w:ascii="Abadi" w:hAnsi="Abadi" w:cs="*Arial-5827-Identity-H"/>
          <w:color w:val="14141C"/>
          <w:sz w:val="21"/>
          <w:szCs w:val="21"/>
        </w:rPr>
        <w:t xml:space="preserve"> </w:t>
      </w:r>
    </w:p>
    <w:p w14:paraId="4675A8BB" w14:textId="77777777" w:rsidR="002B0CBC" w:rsidRPr="0023003B" w:rsidRDefault="002B0CBC" w:rsidP="002B0CBC">
      <w:pPr>
        <w:autoSpaceDE w:val="0"/>
        <w:autoSpaceDN w:val="0"/>
        <w:adjustRightInd w:val="0"/>
        <w:jc w:val="both"/>
        <w:rPr>
          <w:rFonts w:ascii="Abadi" w:hAnsi="Abadi" w:cs="*Arial-5827-Identity-H"/>
          <w:color w:val="14141C"/>
          <w:sz w:val="21"/>
          <w:szCs w:val="21"/>
        </w:rPr>
      </w:pPr>
    </w:p>
    <w:p w14:paraId="2AD6DA70" w14:textId="77777777" w:rsidR="002B0CBC" w:rsidRDefault="002B0CBC" w:rsidP="002B0CBC">
      <w:pPr>
        <w:autoSpaceDE w:val="0"/>
        <w:autoSpaceDN w:val="0"/>
        <w:adjustRightInd w:val="0"/>
        <w:ind w:firstLine="708"/>
        <w:jc w:val="both"/>
        <w:rPr>
          <w:rFonts w:ascii="Abadi" w:hAnsi="Abadi" w:cs="*Arial-5827-Identity-H"/>
          <w:color w:val="14141C"/>
          <w:sz w:val="21"/>
          <w:szCs w:val="21"/>
        </w:rPr>
      </w:pPr>
      <w:r w:rsidRPr="0023003B">
        <w:rPr>
          <w:rFonts w:ascii="Abadi" w:hAnsi="Abadi" w:cs="*Arial-5827-Identity-H"/>
          <w:color w:val="15141D"/>
          <w:sz w:val="21"/>
          <w:szCs w:val="21"/>
        </w:rPr>
        <w:t>De lo</w:t>
      </w:r>
      <w:r w:rsidRPr="0023003B">
        <w:rPr>
          <w:rFonts w:ascii="Abadi" w:hAnsi="Abadi" w:cs="*Arial-5827-Identity-H"/>
          <w:color w:val="BDBDBD"/>
          <w:sz w:val="21"/>
          <w:szCs w:val="21"/>
        </w:rPr>
        <w:t xml:space="preserve">· </w:t>
      </w:r>
      <w:r w:rsidRPr="0023003B">
        <w:rPr>
          <w:rFonts w:ascii="Abadi" w:hAnsi="Abadi" w:cs="*Arial-5827-Identity-H"/>
          <w:color w:val="15141D"/>
          <w:sz w:val="21"/>
          <w:szCs w:val="21"/>
        </w:rPr>
        <w:t>anterior podemos desprender que el Órgano Técnico realizará la</w:t>
      </w:r>
      <w:r>
        <w:rPr>
          <w:rFonts w:ascii="Abadi" w:hAnsi="Abadi" w:cs="*Arial-5827-Identity-H"/>
          <w:color w:val="15141D"/>
          <w:sz w:val="21"/>
          <w:szCs w:val="21"/>
        </w:rPr>
        <w:t xml:space="preserve"> </w:t>
      </w:r>
      <w:r w:rsidRPr="0023003B">
        <w:rPr>
          <w:rFonts w:ascii="Abadi" w:hAnsi="Abadi" w:cs="*Arial-5827-Identity-H"/>
          <w:color w:val="15141D"/>
          <w:sz w:val="21"/>
          <w:szCs w:val="21"/>
        </w:rPr>
        <w:t xml:space="preserve">evaluación sobre desempeño de manera anual </w:t>
      </w:r>
      <w:r w:rsidRPr="0023003B">
        <w:rPr>
          <w:rFonts w:ascii="Abadi" w:hAnsi="Abadi" w:cs="*Arial-5827-Identity-H"/>
          <w:color w:val="949494"/>
          <w:sz w:val="21"/>
          <w:szCs w:val="21"/>
        </w:rPr>
        <w:t xml:space="preserve">· </w:t>
      </w:r>
      <w:r w:rsidRPr="0023003B">
        <w:rPr>
          <w:rFonts w:ascii="Abadi" w:hAnsi="Abadi" w:cs="*Arial-5827-Identity-H"/>
          <w:color w:val="15141D"/>
          <w:sz w:val="21"/>
          <w:szCs w:val="21"/>
        </w:rPr>
        <w:t>y únicamente formulará</w:t>
      </w:r>
      <w:r>
        <w:rPr>
          <w:rFonts w:ascii="Abadi" w:hAnsi="Abadi" w:cs="*Arial-5827-Identity-H"/>
          <w:color w:val="15141D"/>
          <w:sz w:val="21"/>
          <w:szCs w:val="21"/>
        </w:rPr>
        <w:t xml:space="preserve"> </w:t>
      </w:r>
      <w:r w:rsidRPr="0023003B">
        <w:rPr>
          <w:rFonts w:ascii="Abadi" w:hAnsi="Abadi" w:cs="*Arial-5827-Identity-H"/>
          <w:color w:val="15141D"/>
          <w:sz w:val="21"/>
          <w:szCs w:val="21"/>
        </w:rPr>
        <w:t>recomendaciones que incidan en la mejora del diseño, operación e impacto de los</w:t>
      </w:r>
      <w:r>
        <w:rPr>
          <w:rFonts w:ascii="Abadi" w:hAnsi="Abadi" w:cs="*Arial-5827-Identity-H"/>
          <w:color w:val="15141D"/>
          <w:sz w:val="21"/>
          <w:szCs w:val="21"/>
        </w:rPr>
        <w:t xml:space="preserve"> </w:t>
      </w:r>
      <w:r w:rsidRPr="0023003B">
        <w:rPr>
          <w:rFonts w:ascii="Abadi" w:hAnsi="Abadi" w:cs="*Arial-5827-Identity-H"/>
          <w:color w:val="15141D"/>
          <w:sz w:val="21"/>
          <w:szCs w:val="21"/>
        </w:rPr>
        <w:t>presupuestos programáticos y las políticas públicas en su caso.</w:t>
      </w:r>
      <w:r>
        <w:rPr>
          <w:rFonts w:ascii="Abadi" w:hAnsi="Abadi" w:cs="*Arial-5827-Identity-H"/>
          <w:color w:val="15141D"/>
          <w:sz w:val="21"/>
          <w:szCs w:val="21"/>
        </w:rPr>
        <w:t xml:space="preserve"> </w:t>
      </w:r>
      <w:r w:rsidRPr="0023003B">
        <w:rPr>
          <w:rFonts w:ascii="Abadi" w:hAnsi="Abadi" w:cs="*Arial-5827-Identity-H"/>
          <w:color w:val="14141C"/>
          <w:sz w:val="21"/>
          <w:szCs w:val="21"/>
        </w:rPr>
        <w:t>Finalmente, el artículo 16 de la Ley de Fiscalización Superior del Estado de</w:t>
      </w:r>
      <w:r>
        <w:rPr>
          <w:rFonts w:ascii="Abadi" w:hAnsi="Abadi" w:cs="*Arial-5827-Identity-H"/>
          <w:color w:val="14141C"/>
          <w:sz w:val="21"/>
          <w:szCs w:val="21"/>
        </w:rPr>
        <w:t xml:space="preserve"> </w:t>
      </w:r>
      <w:r w:rsidRPr="0023003B">
        <w:rPr>
          <w:rFonts w:ascii="Abadi" w:hAnsi="Abadi" w:cs="*Arial-5827-Identity-H"/>
          <w:color w:val="14141C"/>
          <w:sz w:val="21"/>
          <w:szCs w:val="21"/>
        </w:rPr>
        <w:t>Guanajuato, consigna que la Auditoría Superior establecerá un Programa General</w:t>
      </w:r>
      <w:r>
        <w:rPr>
          <w:rFonts w:ascii="Abadi" w:hAnsi="Abadi" w:cs="*Arial-5827-Identity-H"/>
          <w:color w:val="14141C"/>
          <w:sz w:val="21"/>
          <w:szCs w:val="21"/>
        </w:rPr>
        <w:t xml:space="preserve"> </w:t>
      </w:r>
      <w:r w:rsidRPr="0023003B">
        <w:rPr>
          <w:rFonts w:ascii="Abadi" w:hAnsi="Abadi" w:cs="*Arial-5827-Identity-H"/>
          <w:color w:val="14141C"/>
          <w:sz w:val="21"/>
          <w:szCs w:val="21"/>
        </w:rPr>
        <w:t>de Fiscalización, señalando los actos y sujetos de fiscalización, los que serán</w:t>
      </w:r>
      <w:r>
        <w:rPr>
          <w:rFonts w:ascii="Abadi" w:hAnsi="Abadi" w:cs="*Arial-5827-Identity-H"/>
          <w:color w:val="14141C"/>
          <w:sz w:val="21"/>
          <w:szCs w:val="21"/>
        </w:rPr>
        <w:t xml:space="preserve"> </w:t>
      </w:r>
      <w:r w:rsidRPr="0023003B">
        <w:rPr>
          <w:rFonts w:ascii="Abadi" w:hAnsi="Abadi" w:cs="*Arial-5827-Identity-H"/>
          <w:color w:val="14141C"/>
          <w:sz w:val="21"/>
          <w:szCs w:val="21"/>
        </w:rPr>
        <w:t>objeto de auditoría o revisión conforme a los criterios y normas que se establezcan</w:t>
      </w:r>
      <w:r>
        <w:rPr>
          <w:rFonts w:ascii="Abadi" w:hAnsi="Abadi" w:cs="*Arial-5827-Identity-H"/>
          <w:color w:val="14141C"/>
          <w:sz w:val="21"/>
          <w:szCs w:val="21"/>
        </w:rPr>
        <w:t xml:space="preserve"> </w:t>
      </w:r>
      <w:r w:rsidRPr="0023003B">
        <w:rPr>
          <w:rFonts w:ascii="Abadi" w:hAnsi="Abadi" w:cs="*Arial-5827-Identity-H"/>
          <w:color w:val="14141C"/>
          <w:sz w:val="21"/>
          <w:szCs w:val="21"/>
        </w:rPr>
        <w:t>en el Reglamento de la Ley.</w:t>
      </w:r>
    </w:p>
    <w:p w14:paraId="0F86BFA0" w14:textId="77777777" w:rsidR="002B0CBC" w:rsidRDefault="002B0CBC" w:rsidP="002B0CBC">
      <w:pPr>
        <w:autoSpaceDE w:val="0"/>
        <w:autoSpaceDN w:val="0"/>
        <w:adjustRightInd w:val="0"/>
        <w:jc w:val="both"/>
        <w:rPr>
          <w:rFonts w:ascii="Abadi" w:hAnsi="Abadi" w:cs="*Arial-5827-Identity-H"/>
          <w:color w:val="14141C"/>
          <w:sz w:val="21"/>
          <w:szCs w:val="21"/>
        </w:rPr>
      </w:pPr>
    </w:p>
    <w:p w14:paraId="3F7214CC" w14:textId="77777777" w:rsidR="002B0CBC" w:rsidRPr="0023003B" w:rsidRDefault="002B0CBC" w:rsidP="002B0CBC">
      <w:pPr>
        <w:autoSpaceDE w:val="0"/>
        <w:autoSpaceDN w:val="0"/>
        <w:adjustRightInd w:val="0"/>
        <w:jc w:val="both"/>
        <w:rPr>
          <w:rFonts w:ascii="Abadi" w:hAnsi="Abadi" w:cs="*Arial-5827-Identity-H"/>
          <w:color w:val="14141C"/>
          <w:sz w:val="21"/>
          <w:szCs w:val="21"/>
        </w:rPr>
      </w:pPr>
    </w:p>
    <w:p w14:paraId="1694AE61" w14:textId="77777777" w:rsidR="002B0CBC" w:rsidRPr="0023003B" w:rsidRDefault="002B0CBC" w:rsidP="002B0CBC">
      <w:pPr>
        <w:autoSpaceDE w:val="0"/>
        <w:autoSpaceDN w:val="0"/>
        <w:adjustRightInd w:val="0"/>
        <w:ind w:firstLine="708"/>
        <w:jc w:val="both"/>
        <w:rPr>
          <w:rFonts w:ascii="Abadi" w:hAnsi="Abadi" w:cs="*Arial-5827-Identity-H"/>
          <w:color w:val="14131C"/>
          <w:sz w:val="21"/>
          <w:szCs w:val="21"/>
        </w:rPr>
      </w:pPr>
      <w:r w:rsidRPr="0023003B">
        <w:rPr>
          <w:rFonts w:ascii="Abadi" w:hAnsi="Abadi" w:cs="*Arial-5827-Identity-H"/>
          <w:color w:val="14131C"/>
          <w:sz w:val="21"/>
          <w:szCs w:val="21"/>
        </w:rPr>
        <w:t>En ejercicio de esta función, el Auditor Superior del Estado aprobó el</w:t>
      </w:r>
      <w:r>
        <w:rPr>
          <w:rFonts w:ascii="Abadi" w:hAnsi="Abadi" w:cs="*Arial-5827-Identity-H"/>
          <w:color w:val="14131C"/>
          <w:sz w:val="21"/>
          <w:szCs w:val="21"/>
        </w:rPr>
        <w:t xml:space="preserve"> </w:t>
      </w:r>
      <w:r w:rsidRPr="0023003B">
        <w:rPr>
          <w:rFonts w:ascii="Abadi" w:hAnsi="Abadi" w:cs="*Arial-5827-Identity-H"/>
          <w:color w:val="14131C"/>
          <w:sz w:val="21"/>
          <w:szCs w:val="21"/>
        </w:rPr>
        <w:t>Programa General de Fiscalización 2021. En dicho Programa se contempló la</w:t>
      </w:r>
      <w:r>
        <w:rPr>
          <w:rFonts w:ascii="Abadi" w:hAnsi="Abadi" w:cs="*Arial-5827-Identity-H"/>
          <w:color w:val="14131C"/>
          <w:sz w:val="21"/>
          <w:szCs w:val="21"/>
        </w:rPr>
        <w:t xml:space="preserve"> </w:t>
      </w:r>
      <w:r w:rsidRPr="0023003B">
        <w:rPr>
          <w:rFonts w:ascii="Abadi" w:hAnsi="Abadi" w:cs="*Arial-5827-Identity-H"/>
          <w:color w:val="14131C"/>
          <w:sz w:val="21"/>
          <w:szCs w:val="21"/>
        </w:rPr>
        <w:t>práctica de una auditoría de desempeño al Poder Ejecutivo del Estado de</w:t>
      </w:r>
      <w:r>
        <w:rPr>
          <w:rFonts w:ascii="Abadi" w:hAnsi="Abadi" w:cs="*Arial-5827-Identity-H"/>
          <w:color w:val="14131C"/>
          <w:sz w:val="21"/>
          <w:szCs w:val="21"/>
        </w:rPr>
        <w:t xml:space="preserve"> </w:t>
      </w:r>
      <w:r w:rsidRPr="0023003B">
        <w:rPr>
          <w:rFonts w:ascii="Abadi" w:hAnsi="Abadi" w:cs="*Arial-5827-Identity-H"/>
          <w:color w:val="14131C"/>
          <w:sz w:val="21"/>
          <w:szCs w:val="21"/>
        </w:rPr>
        <w:t>Guanajuato por el periodo comprendido del 1 de enero al 31 de diciembre del</w:t>
      </w:r>
      <w:r>
        <w:rPr>
          <w:rFonts w:ascii="Abadi" w:hAnsi="Abadi" w:cs="*Arial-5827-Identity-H"/>
          <w:color w:val="14131C"/>
          <w:sz w:val="21"/>
          <w:szCs w:val="21"/>
        </w:rPr>
        <w:t xml:space="preserve"> </w:t>
      </w:r>
      <w:r w:rsidRPr="0023003B">
        <w:rPr>
          <w:rFonts w:ascii="Abadi" w:hAnsi="Abadi" w:cs="*Arial-5827-Identity-H"/>
          <w:color w:val="14131C"/>
          <w:sz w:val="21"/>
          <w:szCs w:val="21"/>
        </w:rPr>
        <w:t>ejercicio fiscal del año 2020, la cual se realizó con enfoque de resultados del</w:t>
      </w:r>
      <w:r>
        <w:rPr>
          <w:rFonts w:ascii="Abadi" w:hAnsi="Abadi" w:cs="*Arial-5827-Identity-H"/>
          <w:color w:val="14131C"/>
          <w:sz w:val="21"/>
          <w:szCs w:val="21"/>
        </w:rPr>
        <w:t xml:space="preserve">   </w:t>
      </w:r>
      <w:r w:rsidRPr="0023003B">
        <w:rPr>
          <w:rFonts w:ascii="Abadi" w:hAnsi="Abadi" w:cs="*Arial-5827-Identity-H"/>
          <w:color w:val="14131C"/>
          <w:sz w:val="21"/>
          <w:szCs w:val="21"/>
        </w:rPr>
        <w:t xml:space="preserve">Programa </w:t>
      </w:r>
      <w:r w:rsidRPr="0023003B">
        <w:rPr>
          <w:rFonts w:ascii="Abadi" w:hAnsi="Abadi" w:cs="*Arial-Italic-5828-Identity-H"/>
          <w:i/>
          <w:iCs/>
          <w:color w:val="14131C"/>
          <w:sz w:val="21"/>
          <w:szCs w:val="21"/>
        </w:rPr>
        <w:t xml:space="preserve">Q3391 Vale Grandeza-Compra Local, </w:t>
      </w:r>
      <w:r w:rsidRPr="0023003B">
        <w:rPr>
          <w:rFonts w:ascii="Abadi" w:hAnsi="Abadi" w:cs="*Arial-5827-Identity-H"/>
          <w:color w:val="14131C"/>
          <w:sz w:val="21"/>
          <w:szCs w:val="21"/>
        </w:rPr>
        <w:t>a cargo de la Secretaría de</w:t>
      </w:r>
      <w:r>
        <w:rPr>
          <w:rFonts w:ascii="Abadi" w:hAnsi="Abadi" w:cs="*Arial-5827-Identity-H"/>
          <w:color w:val="14131C"/>
          <w:sz w:val="21"/>
          <w:szCs w:val="21"/>
        </w:rPr>
        <w:t xml:space="preserve"> </w:t>
      </w:r>
      <w:r w:rsidRPr="0023003B">
        <w:rPr>
          <w:rFonts w:ascii="Abadi" w:hAnsi="Abadi" w:cs="*Arial-5827-Identity-H"/>
          <w:color w:val="14131C"/>
          <w:sz w:val="21"/>
          <w:szCs w:val="21"/>
        </w:rPr>
        <w:t>Desarrollo Económico Sustentable.</w:t>
      </w:r>
    </w:p>
    <w:p w14:paraId="60F271AA" w14:textId="77777777" w:rsidR="002B0CBC" w:rsidRPr="0023003B" w:rsidRDefault="002B0CBC" w:rsidP="002B0CBC">
      <w:pPr>
        <w:jc w:val="both"/>
        <w:rPr>
          <w:rFonts w:ascii="Abadi" w:hAnsi="Abadi" w:cs="*Arial-5827-Identity-H"/>
          <w:color w:val="14131C"/>
          <w:sz w:val="21"/>
          <w:szCs w:val="21"/>
        </w:rPr>
      </w:pPr>
    </w:p>
    <w:p w14:paraId="4FFF69F6" w14:textId="77777777" w:rsidR="002B0CBC" w:rsidRDefault="002B0CBC" w:rsidP="002B0CBC">
      <w:pPr>
        <w:autoSpaceDE w:val="0"/>
        <w:autoSpaceDN w:val="0"/>
        <w:adjustRightInd w:val="0"/>
        <w:jc w:val="both"/>
        <w:rPr>
          <w:rFonts w:ascii="Abadi" w:hAnsi="Abadi" w:cs="*Arial-5694-Identity-H"/>
          <w:color w:val="15141C"/>
          <w:sz w:val="21"/>
          <w:szCs w:val="21"/>
        </w:rPr>
      </w:pPr>
      <w:r w:rsidRPr="0023003B">
        <w:rPr>
          <w:rFonts w:ascii="Abadi" w:hAnsi="Abadi" w:cs="*Arial-5694-Identity-H"/>
          <w:color w:val="15141C"/>
          <w:sz w:val="21"/>
          <w:szCs w:val="21"/>
        </w:rPr>
        <w:t>El 30 de junio de 2021 se notificó al sujeto fiscalizado el inicio de la</w:t>
      </w:r>
      <w:r>
        <w:rPr>
          <w:rFonts w:ascii="Abadi" w:hAnsi="Abadi" w:cs="*Arial-5694-Identity-H"/>
          <w:color w:val="15141C"/>
          <w:sz w:val="21"/>
          <w:szCs w:val="21"/>
        </w:rPr>
        <w:t xml:space="preserve"> </w:t>
      </w:r>
      <w:r w:rsidRPr="0023003B">
        <w:rPr>
          <w:rFonts w:ascii="Abadi" w:hAnsi="Abadi" w:cs="*Arial-5694-Identity-H"/>
          <w:color w:val="15141C"/>
          <w:sz w:val="21"/>
          <w:szCs w:val="21"/>
        </w:rPr>
        <w:t>auditoría materia del presente dictamen. Asimismo, en fechas 13 de abril, 30 de</w:t>
      </w:r>
      <w:r>
        <w:rPr>
          <w:rFonts w:ascii="Abadi" w:hAnsi="Abadi" w:cs="*Arial-5694-Identity-H"/>
          <w:color w:val="15141C"/>
          <w:sz w:val="21"/>
          <w:szCs w:val="21"/>
        </w:rPr>
        <w:t xml:space="preserve"> </w:t>
      </w:r>
      <w:r w:rsidRPr="0023003B">
        <w:rPr>
          <w:rFonts w:ascii="Abadi" w:hAnsi="Abadi" w:cs="*Arial-5694-Identity-H"/>
          <w:color w:val="15141C"/>
          <w:sz w:val="21"/>
          <w:szCs w:val="21"/>
        </w:rPr>
        <w:t>junio, 27 de octubre y 1 de noviembre del mismo año, la Auditoría Superior del</w:t>
      </w:r>
      <w:r>
        <w:rPr>
          <w:rFonts w:ascii="Abadi" w:hAnsi="Abadi" w:cs="*Arial-5694-Identity-H"/>
          <w:color w:val="15141C"/>
          <w:sz w:val="21"/>
          <w:szCs w:val="21"/>
        </w:rPr>
        <w:t xml:space="preserve"> </w:t>
      </w:r>
      <w:r w:rsidRPr="0023003B">
        <w:rPr>
          <w:rFonts w:ascii="Abadi" w:hAnsi="Abadi" w:cs="*Arial-5694-Identity-H"/>
          <w:color w:val="15141C"/>
          <w:sz w:val="21"/>
          <w:szCs w:val="21"/>
        </w:rPr>
        <w:t>Estado requirió al sujeto de fiscalización diversa información que se consideró</w:t>
      </w:r>
      <w:r>
        <w:rPr>
          <w:rFonts w:ascii="Abadi" w:hAnsi="Abadi" w:cs="*Arial-5694-Identity-H"/>
          <w:color w:val="15141C"/>
          <w:sz w:val="21"/>
          <w:szCs w:val="21"/>
        </w:rPr>
        <w:t xml:space="preserve"> </w:t>
      </w:r>
      <w:r w:rsidRPr="0023003B">
        <w:rPr>
          <w:rFonts w:ascii="Abadi" w:hAnsi="Abadi" w:cs="*Arial-5694-Identity-H"/>
          <w:color w:val="15141C"/>
          <w:sz w:val="21"/>
          <w:szCs w:val="21"/>
        </w:rPr>
        <w:t>necesaria para llevar a cabo la auditoría, misma que se proporcionó por el sujeto</w:t>
      </w:r>
      <w:r>
        <w:rPr>
          <w:rFonts w:ascii="Abadi" w:hAnsi="Abadi" w:cs="*Arial-5694-Identity-H"/>
          <w:color w:val="15141C"/>
          <w:sz w:val="21"/>
          <w:szCs w:val="21"/>
        </w:rPr>
        <w:t xml:space="preserve"> </w:t>
      </w:r>
      <w:r w:rsidRPr="0023003B">
        <w:rPr>
          <w:rFonts w:ascii="Abadi" w:hAnsi="Abadi" w:cs="*Arial-5694-Identity-H"/>
          <w:color w:val="15141C"/>
          <w:sz w:val="21"/>
          <w:szCs w:val="21"/>
        </w:rPr>
        <w:t>fiscaliza</w:t>
      </w:r>
      <w:r>
        <w:rPr>
          <w:rFonts w:ascii="Abadi" w:hAnsi="Abadi" w:cs="*Arial-5694-Identity-H"/>
          <w:color w:val="15141C"/>
          <w:sz w:val="21"/>
          <w:szCs w:val="21"/>
        </w:rPr>
        <w:t>do</w:t>
      </w:r>
      <w:r w:rsidRPr="0023003B">
        <w:rPr>
          <w:rFonts w:ascii="Abadi" w:hAnsi="Abadi" w:cs="*Arial-5694-Identity-H"/>
          <w:color w:val="15141C"/>
          <w:sz w:val="21"/>
          <w:szCs w:val="21"/>
        </w:rPr>
        <w:t xml:space="preserve"> días 20 de abril, 7 de julio, 11 de agosto y 4 de noviembre de 2021.</w:t>
      </w:r>
    </w:p>
    <w:p w14:paraId="1490EF17" w14:textId="77777777" w:rsidR="002B0CBC" w:rsidRPr="0023003B" w:rsidRDefault="002B0CBC" w:rsidP="002B0CBC">
      <w:pPr>
        <w:autoSpaceDE w:val="0"/>
        <w:autoSpaceDN w:val="0"/>
        <w:adjustRightInd w:val="0"/>
        <w:jc w:val="both"/>
        <w:rPr>
          <w:rFonts w:ascii="Abadi" w:hAnsi="Abadi" w:cs="*Arial-5694-Identity-H"/>
          <w:color w:val="15141C"/>
          <w:sz w:val="21"/>
          <w:szCs w:val="21"/>
        </w:rPr>
      </w:pPr>
    </w:p>
    <w:p w14:paraId="17310E57" w14:textId="77777777" w:rsidR="002B0CBC" w:rsidRDefault="002B0CBC" w:rsidP="002B0CBC">
      <w:pPr>
        <w:autoSpaceDE w:val="0"/>
        <w:autoSpaceDN w:val="0"/>
        <w:adjustRightInd w:val="0"/>
        <w:ind w:firstLine="708"/>
        <w:jc w:val="both"/>
        <w:rPr>
          <w:rFonts w:ascii="Abadi" w:hAnsi="Abadi" w:cs="*Arial-5694-Identity-H"/>
          <w:color w:val="15131C"/>
          <w:sz w:val="21"/>
          <w:szCs w:val="21"/>
        </w:rPr>
      </w:pPr>
      <w:r w:rsidRPr="0023003B">
        <w:rPr>
          <w:rFonts w:ascii="Abadi" w:hAnsi="Abadi" w:cs="*Arial-5694-Identity-H"/>
          <w:color w:val="15131C"/>
          <w:sz w:val="21"/>
          <w:szCs w:val="21"/>
        </w:rPr>
        <w:t>Asimismo, el 21 de octubre del mismo año, el Órgano Técnico formuló</w:t>
      </w:r>
      <w:r>
        <w:rPr>
          <w:rFonts w:ascii="Abadi" w:hAnsi="Abadi" w:cs="*Arial-5694-Identity-H"/>
          <w:color w:val="15131C"/>
          <w:sz w:val="21"/>
          <w:szCs w:val="21"/>
        </w:rPr>
        <w:t xml:space="preserve"> </w:t>
      </w:r>
      <w:r w:rsidRPr="0023003B">
        <w:rPr>
          <w:rFonts w:ascii="Abadi" w:hAnsi="Abadi" w:cs="*Arial-5694-Identity-H"/>
          <w:color w:val="15131C"/>
          <w:sz w:val="21"/>
          <w:szCs w:val="21"/>
        </w:rPr>
        <w:t>requerimiento de entrevistas</w:t>
      </w:r>
      <w:r>
        <w:rPr>
          <w:rFonts w:ascii="Abadi" w:hAnsi="Abadi" w:cs="*Arial-5694-Identity-H"/>
          <w:color w:val="15131C"/>
          <w:sz w:val="21"/>
          <w:szCs w:val="21"/>
        </w:rPr>
        <w:t xml:space="preserve"> c</w:t>
      </w:r>
      <w:r w:rsidRPr="0023003B">
        <w:rPr>
          <w:rFonts w:ascii="Abadi" w:hAnsi="Abadi" w:cs="*Arial-5694-Identity-H"/>
          <w:color w:val="15131C"/>
          <w:sz w:val="21"/>
          <w:szCs w:val="21"/>
        </w:rPr>
        <w:t>on el personal de la Secretaría de Desarrollo</w:t>
      </w:r>
      <w:r>
        <w:rPr>
          <w:rFonts w:ascii="Abadi" w:hAnsi="Abadi" w:cs="*Arial-5694-Identity-H"/>
          <w:color w:val="15131C"/>
          <w:sz w:val="21"/>
          <w:szCs w:val="21"/>
        </w:rPr>
        <w:t xml:space="preserve"> </w:t>
      </w:r>
      <w:r w:rsidRPr="0023003B">
        <w:rPr>
          <w:rFonts w:ascii="Abadi" w:hAnsi="Abadi" w:cs="*Arial-5694-Identity-H"/>
          <w:color w:val="15131C"/>
          <w:sz w:val="21"/>
          <w:szCs w:val="21"/>
        </w:rPr>
        <w:t>Económico Sustentable. Derivado de lo cual, en fechas 14, 15 y 21 de octubre y 3</w:t>
      </w:r>
      <w:r>
        <w:rPr>
          <w:rFonts w:ascii="Abadi" w:hAnsi="Abadi" w:cs="*Arial-5694-Identity-H"/>
          <w:color w:val="15131C"/>
          <w:sz w:val="21"/>
          <w:szCs w:val="21"/>
        </w:rPr>
        <w:t xml:space="preserve"> </w:t>
      </w:r>
      <w:r w:rsidRPr="0023003B">
        <w:rPr>
          <w:rFonts w:ascii="Abadi" w:hAnsi="Abadi" w:cs="*Arial-5694-Identity-H"/>
          <w:color w:val="15131C"/>
          <w:sz w:val="21"/>
          <w:szCs w:val="21"/>
        </w:rPr>
        <w:t>de noviembre de 2021, el Órgano Técnico realizó dichas entrevistas.</w:t>
      </w:r>
    </w:p>
    <w:p w14:paraId="4FFFCFEF" w14:textId="77777777" w:rsidR="002B0CBC" w:rsidRPr="0023003B" w:rsidRDefault="002B0CBC" w:rsidP="002B0CBC">
      <w:pPr>
        <w:autoSpaceDE w:val="0"/>
        <w:autoSpaceDN w:val="0"/>
        <w:adjustRightInd w:val="0"/>
        <w:jc w:val="both"/>
        <w:rPr>
          <w:rFonts w:ascii="Abadi" w:hAnsi="Abadi" w:cs="*Arial-5694-Identity-H"/>
          <w:color w:val="15131C"/>
          <w:sz w:val="21"/>
          <w:szCs w:val="21"/>
        </w:rPr>
      </w:pPr>
    </w:p>
    <w:p w14:paraId="23D8E3BC" w14:textId="77777777" w:rsidR="002B0CBC" w:rsidRDefault="002B0CBC" w:rsidP="002B0CBC">
      <w:pPr>
        <w:autoSpaceDE w:val="0"/>
        <w:autoSpaceDN w:val="0"/>
        <w:adjustRightInd w:val="0"/>
        <w:ind w:firstLine="708"/>
        <w:jc w:val="both"/>
        <w:rPr>
          <w:rFonts w:ascii="Abadi" w:hAnsi="Abadi" w:cs="*Arial-5694-Identity-H"/>
          <w:color w:val="15131C"/>
          <w:sz w:val="21"/>
          <w:szCs w:val="21"/>
        </w:rPr>
      </w:pPr>
      <w:r w:rsidRPr="0023003B">
        <w:rPr>
          <w:rFonts w:ascii="Abadi" w:hAnsi="Abadi" w:cs="*Arial-5694-Identity-H"/>
          <w:color w:val="15131C"/>
          <w:sz w:val="21"/>
          <w:szCs w:val="21"/>
        </w:rPr>
        <w:t>El 24 de septiembre de 2021 se notificó al sujeto fiscalizado la suspensión</w:t>
      </w:r>
      <w:r>
        <w:rPr>
          <w:rFonts w:ascii="Abadi" w:hAnsi="Abadi" w:cs="*Arial-5694-Identity-H"/>
          <w:color w:val="15131C"/>
          <w:sz w:val="21"/>
          <w:szCs w:val="21"/>
        </w:rPr>
        <w:t xml:space="preserve"> </w:t>
      </w:r>
      <w:r w:rsidRPr="0023003B">
        <w:rPr>
          <w:rFonts w:ascii="Abadi" w:hAnsi="Abadi" w:cs="*Arial-5694-Identity-H"/>
          <w:color w:val="15131C"/>
          <w:sz w:val="21"/>
          <w:szCs w:val="21"/>
        </w:rPr>
        <w:t>del plazo de la auditoría materia del presente dictamen, por el periodo</w:t>
      </w:r>
      <w:r>
        <w:rPr>
          <w:rFonts w:ascii="Abadi" w:hAnsi="Abadi" w:cs="*Arial-5694-Identity-H"/>
          <w:color w:val="15131C"/>
          <w:sz w:val="21"/>
          <w:szCs w:val="21"/>
        </w:rPr>
        <w:t xml:space="preserve"> </w:t>
      </w:r>
      <w:r w:rsidRPr="0023003B">
        <w:rPr>
          <w:rFonts w:ascii="Abadi" w:hAnsi="Abadi" w:cs="*Arial-5694-Identity-H"/>
          <w:color w:val="15131C"/>
          <w:sz w:val="21"/>
          <w:szCs w:val="21"/>
        </w:rPr>
        <w:t>comprendido del 1 de octubre al 17 de diciembre de 2021.</w:t>
      </w:r>
      <w:r>
        <w:rPr>
          <w:rFonts w:ascii="Abadi" w:hAnsi="Abadi" w:cs="*Arial-5694-Identity-H"/>
          <w:color w:val="15131C"/>
          <w:sz w:val="21"/>
          <w:szCs w:val="21"/>
        </w:rPr>
        <w:t xml:space="preserve"> </w:t>
      </w:r>
    </w:p>
    <w:p w14:paraId="52A569F4" w14:textId="77777777" w:rsidR="002B0CBC" w:rsidRPr="0023003B" w:rsidRDefault="002B0CBC" w:rsidP="002B0CBC">
      <w:pPr>
        <w:autoSpaceDE w:val="0"/>
        <w:autoSpaceDN w:val="0"/>
        <w:adjustRightInd w:val="0"/>
        <w:jc w:val="both"/>
        <w:rPr>
          <w:rFonts w:ascii="Abadi" w:hAnsi="Abadi" w:cs="*Arial-5694-Identity-H"/>
          <w:color w:val="15131C"/>
          <w:sz w:val="21"/>
          <w:szCs w:val="21"/>
        </w:rPr>
      </w:pPr>
    </w:p>
    <w:p w14:paraId="2EDE9A7F" w14:textId="77777777" w:rsidR="002B0CBC" w:rsidRDefault="002B0CBC" w:rsidP="002B0CBC">
      <w:pPr>
        <w:autoSpaceDE w:val="0"/>
        <w:autoSpaceDN w:val="0"/>
        <w:adjustRightInd w:val="0"/>
        <w:ind w:firstLine="708"/>
        <w:jc w:val="both"/>
        <w:rPr>
          <w:rFonts w:ascii="Abadi" w:hAnsi="Abadi" w:cs="*Arial-5694-Identity-H"/>
          <w:color w:val="15141C"/>
          <w:sz w:val="21"/>
          <w:szCs w:val="21"/>
        </w:rPr>
      </w:pPr>
      <w:r w:rsidRPr="0023003B">
        <w:rPr>
          <w:rFonts w:ascii="Abadi" w:hAnsi="Abadi" w:cs="*Arial-5694-Identity-H"/>
          <w:color w:val="15141C"/>
          <w:sz w:val="21"/>
          <w:szCs w:val="21"/>
        </w:rPr>
        <w:t>Como parte del proceso de auditoría, el 26 de noviembre de 2021 se</w:t>
      </w:r>
      <w:r>
        <w:rPr>
          <w:rFonts w:ascii="Abadi" w:hAnsi="Abadi" w:cs="*Arial-5694-Identity-H"/>
          <w:color w:val="15141C"/>
          <w:sz w:val="21"/>
          <w:szCs w:val="21"/>
        </w:rPr>
        <w:t xml:space="preserve"> </w:t>
      </w:r>
      <w:r w:rsidRPr="0023003B">
        <w:rPr>
          <w:rFonts w:ascii="Abadi" w:hAnsi="Abadi" w:cs="*Arial-5694-Identity-H"/>
          <w:color w:val="15141C"/>
          <w:sz w:val="21"/>
          <w:szCs w:val="21"/>
        </w:rPr>
        <w:t>notificó al sujeto fiscalizado el pliego de recomendaciones derivadas de la</w:t>
      </w:r>
      <w:r>
        <w:rPr>
          <w:rFonts w:ascii="Abadi" w:hAnsi="Abadi" w:cs="*Arial-5694-Identity-H"/>
          <w:color w:val="15141C"/>
          <w:sz w:val="21"/>
          <w:szCs w:val="21"/>
        </w:rPr>
        <w:t xml:space="preserve"> </w:t>
      </w:r>
      <w:r w:rsidRPr="0023003B">
        <w:rPr>
          <w:rFonts w:ascii="Abadi" w:hAnsi="Abadi" w:cs="*Arial-5694-Identity-H"/>
          <w:color w:val="15141C"/>
          <w:sz w:val="21"/>
          <w:szCs w:val="21"/>
        </w:rPr>
        <w:t>auditoría practicada. Lo anterior, para dar cumplimiento a lo preceptuado por el</w:t>
      </w:r>
      <w:r>
        <w:rPr>
          <w:rFonts w:ascii="Abadi" w:hAnsi="Abadi" w:cs="*Arial-5694-Identity-H"/>
          <w:color w:val="15141C"/>
          <w:sz w:val="21"/>
          <w:szCs w:val="21"/>
        </w:rPr>
        <w:t xml:space="preserve"> </w:t>
      </w:r>
      <w:r w:rsidRPr="0023003B">
        <w:rPr>
          <w:rFonts w:ascii="Abadi" w:hAnsi="Abadi" w:cs="*Arial-5694-Identity-H"/>
          <w:color w:val="15141C"/>
          <w:sz w:val="21"/>
          <w:szCs w:val="21"/>
        </w:rPr>
        <w:t>artículo 58 de la Ley de Fiscalización Superior del Estado de Guanajuato.</w:t>
      </w:r>
    </w:p>
    <w:p w14:paraId="2CD9C059" w14:textId="77777777" w:rsidR="002B0CBC" w:rsidRDefault="002B0CBC" w:rsidP="002B0CBC">
      <w:pPr>
        <w:autoSpaceDE w:val="0"/>
        <w:autoSpaceDN w:val="0"/>
        <w:adjustRightInd w:val="0"/>
        <w:jc w:val="both"/>
        <w:rPr>
          <w:rFonts w:ascii="Abadi" w:hAnsi="Abadi" w:cs="*Arial-5694-Identity-H"/>
          <w:color w:val="15141C"/>
          <w:sz w:val="21"/>
          <w:szCs w:val="21"/>
        </w:rPr>
      </w:pPr>
    </w:p>
    <w:p w14:paraId="38B4D160" w14:textId="77777777" w:rsidR="002B0CBC" w:rsidRDefault="002B0CBC" w:rsidP="002B0CBC">
      <w:pPr>
        <w:autoSpaceDE w:val="0"/>
        <w:autoSpaceDN w:val="0"/>
        <w:adjustRightInd w:val="0"/>
        <w:jc w:val="both"/>
        <w:rPr>
          <w:rFonts w:ascii="Abadi" w:hAnsi="Abadi" w:cs="*Arial-5694-Identity-H"/>
          <w:color w:val="14141B"/>
          <w:sz w:val="21"/>
          <w:szCs w:val="21"/>
        </w:rPr>
      </w:pPr>
      <w:r>
        <w:rPr>
          <w:rFonts w:ascii="Abadi" w:hAnsi="Abadi" w:cs="*Arial-5694-Identity-H"/>
          <w:color w:val="15141C"/>
          <w:sz w:val="21"/>
          <w:szCs w:val="21"/>
        </w:rPr>
        <w:t xml:space="preserve"> </w:t>
      </w:r>
      <w:r>
        <w:rPr>
          <w:rFonts w:ascii="Abadi" w:hAnsi="Abadi" w:cs="*Arial-5694-Identity-H"/>
          <w:color w:val="15141C"/>
          <w:sz w:val="21"/>
          <w:szCs w:val="21"/>
        </w:rPr>
        <w:tab/>
      </w:r>
      <w:r w:rsidRPr="0023003B">
        <w:rPr>
          <w:rFonts w:ascii="Abadi" w:hAnsi="Abadi" w:cs="*Arial-5694-Identity-H"/>
          <w:color w:val="14141B"/>
          <w:sz w:val="21"/>
          <w:szCs w:val="21"/>
        </w:rPr>
        <w:t xml:space="preserve">El </w:t>
      </w:r>
      <w:r>
        <w:rPr>
          <w:rFonts w:ascii="Abadi" w:hAnsi="Abadi" w:cs="*Arial-5694-Identity-H"/>
          <w:color w:val="14141B"/>
          <w:sz w:val="21"/>
          <w:szCs w:val="21"/>
        </w:rPr>
        <w:t>10</w:t>
      </w:r>
      <w:r w:rsidRPr="0023003B">
        <w:rPr>
          <w:rFonts w:ascii="Abadi" w:hAnsi="Abadi" w:cs="*Arial-5694-Identity-H"/>
          <w:color w:val="14141B"/>
          <w:sz w:val="21"/>
          <w:szCs w:val="21"/>
        </w:rPr>
        <w:t xml:space="preserve"> de diciembre de 2021, el sujeto fiscalizado dio respuesta a las</w:t>
      </w:r>
      <w:r>
        <w:rPr>
          <w:rFonts w:ascii="Abadi" w:hAnsi="Abadi" w:cs="*Arial-5694-Identity-H"/>
          <w:color w:val="14141B"/>
          <w:sz w:val="21"/>
          <w:szCs w:val="21"/>
        </w:rPr>
        <w:t xml:space="preserve"> </w:t>
      </w:r>
      <w:r w:rsidRPr="0023003B">
        <w:rPr>
          <w:rFonts w:ascii="Abadi" w:hAnsi="Abadi" w:cs="*Arial-5694-Identity-H"/>
          <w:color w:val="14141B"/>
          <w:sz w:val="21"/>
          <w:szCs w:val="21"/>
        </w:rPr>
        <w:t>Recomendac</w:t>
      </w:r>
      <w:r>
        <w:rPr>
          <w:rFonts w:ascii="Abadi" w:hAnsi="Abadi" w:cs="*Arial-5694-Identity-H"/>
          <w:color w:val="14141B"/>
          <w:sz w:val="21"/>
          <w:szCs w:val="21"/>
        </w:rPr>
        <w:t>io</w:t>
      </w:r>
      <w:r w:rsidRPr="0023003B">
        <w:rPr>
          <w:rFonts w:ascii="Abadi" w:hAnsi="Abadi" w:cs="*Arial-5694-Identity-H"/>
          <w:color w:val="14141B"/>
          <w:sz w:val="21"/>
          <w:szCs w:val="21"/>
        </w:rPr>
        <w:t>nes derivadas de la auditoría practicada, anexándose la información</w:t>
      </w:r>
      <w:r>
        <w:rPr>
          <w:rFonts w:ascii="Abadi" w:hAnsi="Abadi" w:cs="*Arial-5694-Identity-H"/>
          <w:color w:val="14141B"/>
          <w:sz w:val="21"/>
          <w:szCs w:val="21"/>
        </w:rPr>
        <w:t xml:space="preserve"> </w:t>
      </w:r>
      <w:r w:rsidRPr="0023003B">
        <w:rPr>
          <w:rFonts w:ascii="Abadi" w:hAnsi="Abadi" w:cs="*Arial-5694-Identity-H"/>
          <w:color w:val="14141B"/>
          <w:sz w:val="21"/>
          <w:szCs w:val="21"/>
        </w:rPr>
        <w:t>y documentación que el mismo consideró suficiente para precisar las mejoras</w:t>
      </w:r>
      <w:r>
        <w:rPr>
          <w:rFonts w:ascii="Abadi" w:hAnsi="Abadi" w:cs="*Arial-5694-Identity-H"/>
          <w:color w:val="14141B"/>
          <w:sz w:val="21"/>
          <w:szCs w:val="21"/>
        </w:rPr>
        <w:t xml:space="preserve"> </w:t>
      </w:r>
      <w:r w:rsidRPr="0023003B">
        <w:rPr>
          <w:rFonts w:ascii="Abadi" w:hAnsi="Abadi" w:cs="*Arial-5694-Identity-H"/>
          <w:color w:val="14141B"/>
          <w:sz w:val="21"/>
          <w:szCs w:val="21"/>
        </w:rPr>
        <w:t>efectuadas, las acciones a realizar o en su caso, justificar la improcedencia por la</w:t>
      </w:r>
      <w:r>
        <w:rPr>
          <w:rFonts w:ascii="Abadi" w:hAnsi="Abadi" w:cs="*Arial-5694-Identity-H"/>
          <w:color w:val="14141B"/>
          <w:sz w:val="21"/>
          <w:szCs w:val="21"/>
        </w:rPr>
        <w:t xml:space="preserve"> </w:t>
      </w:r>
      <w:r w:rsidRPr="0023003B">
        <w:rPr>
          <w:rFonts w:ascii="Abadi" w:hAnsi="Abadi" w:cs="*Arial-5694-Identity-H"/>
          <w:color w:val="14141B"/>
          <w:sz w:val="21"/>
          <w:szCs w:val="21"/>
        </w:rPr>
        <w:t>cual no resulte factible su implementación. Una vez valorada la documentación</w:t>
      </w:r>
      <w:r>
        <w:rPr>
          <w:rFonts w:ascii="Abadi" w:hAnsi="Abadi" w:cs="*Arial-5694-Identity-H"/>
          <w:color w:val="14141B"/>
          <w:sz w:val="21"/>
          <w:szCs w:val="21"/>
        </w:rPr>
        <w:t xml:space="preserve"> </w:t>
      </w:r>
      <w:r w:rsidRPr="0023003B">
        <w:rPr>
          <w:rFonts w:ascii="Abadi" w:hAnsi="Abadi" w:cs="*Arial-5694-Identity-H"/>
          <w:color w:val="14141B"/>
          <w:sz w:val="21"/>
          <w:szCs w:val="21"/>
        </w:rPr>
        <w:t>aportada se procedió</w:t>
      </w:r>
      <w:r>
        <w:rPr>
          <w:rFonts w:ascii="Abadi" w:hAnsi="Abadi" w:cs="*Arial-5694-Identity-H"/>
          <w:color w:val="14141B"/>
          <w:sz w:val="21"/>
          <w:szCs w:val="21"/>
        </w:rPr>
        <w:t xml:space="preserve"> </w:t>
      </w:r>
      <w:r w:rsidRPr="0023003B">
        <w:rPr>
          <w:rFonts w:ascii="Abadi" w:hAnsi="Abadi" w:cs="*Arial-5694-Identity-H"/>
          <w:color w:val="14141B"/>
          <w:sz w:val="21"/>
          <w:szCs w:val="21"/>
        </w:rPr>
        <w:t>la elaboración del informe de resultados materia del</w:t>
      </w:r>
      <w:r>
        <w:rPr>
          <w:rFonts w:ascii="Abadi" w:hAnsi="Abadi" w:cs="*Arial-5694-Identity-H"/>
          <w:color w:val="14141B"/>
          <w:sz w:val="21"/>
          <w:szCs w:val="21"/>
        </w:rPr>
        <w:t xml:space="preserve"> </w:t>
      </w:r>
      <w:r w:rsidRPr="0023003B">
        <w:rPr>
          <w:rFonts w:ascii="Abadi" w:hAnsi="Abadi" w:cs="*Arial-5694-Identity-H"/>
          <w:color w:val="14141B"/>
          <w:sz w:val="21"/>
          <w:szCs w:val="21"/>
        </w:rPr>
        <w:t>presente dictamen.</w:t>
      </w:r>
    </w:p>
    <w:p w14:paraId="0BD12ED0" w14:textId="77777777" w:rsidR="002B0CBC" w:rsidRPr="0023003B" w:rsidRDefault="002B0CBC" w:rsidP="002B0CBC">
      <w:pPr>
        <w:autoSpaceDE w:val="0"/>
        <w:autoSpaceDN w:val="0"/>
        <w:adjustRightInd w:val="0"/>
        <w:jc w:val="both"/>
        <w:rPr>
          <w:rFonts w:ascii="Abadi" w:hAnsi="Abadi" w:cs="*Arial-5694-Identity-H"/>
          <w:color w:val="14141B"/>
          <w:sz w:val="21"/>
          <w:szCs w:val="21"/>
        </w:rPr>
      </w:pPr>
    </w:p>
    <w:p w14:paraId="72FD9A5B" w14:textId="77777777" w:rsidR="002B0CBC" w:rsidRDefault="002B0CBC" w:rsidP="002B0CBC">
      <w:pPr>
        <w:autoSpaceDE w:val="0"/>
        <w:autoSpaceDN w:val="0"/>
        <w:adjustRightInd w:val="0"/>
        <w:ind w:firstLine="708"/>
        <w:jc w:val="both"/>
        <w:rPr>
          <w:rFonts w:ascii="Abadi" w:hAnsi="Abadi" w:cs="*Arial-5694-Identity-H"/>
          <w:color w:val="15141D"/>
          <w:sz w:val="21"/>
          <w:szCs w:val="21"/>
        </w:rPr>
      </w:pPr>
      <w:r w:rsidRPr="0023003B">
        <w:rPr>
          <w:rFonts w:ascii="Abadi" w:hAnsi="Abadi" w:cs="*Arial-5694-Identity-H"/>
          <w:color w:val="15141D"/>
          <w:sz w:val="21"/>
          <w:szCs w:val="21"/>
        </w:rPr>
        <w:t>El informe de resultados se notificó al Gobernador del Estado el 15 de</w:t>
      </w:r>
      <w:r>
        <w:rPr>
          <w:rFonts w:ascii="Abadi" w:hAnsi="Abadi" w:cs="*Arial-5694-Identity-H"/>
          <w:color w:val="15141D"/>
          <w:sz w:val="21"/>
          <w:szCs w:val="21"/>
        </w:rPr>
        <w:t xml:space="preserve"> </w:t>
      </w:r>
      <w:r w:rsidRPr="0023003B">
        <w:rPr>
          <w:rFonts w:ascii="Abadi" w:hAnsi="Abadi" w:cs="*Arial-5694-Identity-H"/>
          <w:color w:val="15141D"/>
          <w:sz w:val="21"/>
          <w:szCs w:val="21"/>
        </w:rPr>
        <w:t>diciembre de 2021.</w:t>
      </w:r>
    </w:p>
    <w:p w14:paraId="06178920" w14:textId="77777777" w:rsidR="002B0CBC" w:rsidRPr="0023003B" w:rsidRDefault="002B0CBC" w:rsidP="002B0CBC">
      <w:pPr>
        <w:autoSpaceDE w:val="0"/>
        <w:autoSpaceDN w:val="0"/>
        <w:adjustRightInd w:val="0"/>
        <w:jc w:val="both"/>
        <w:rPr>
          <w:rFonts w:ascii="Abadi" w:hAnsi="Abadi" w:cs="*Arial-5694-Identity-H"/>
          <w:color w:val="15141D"/>
          <w:sz w:val="21"/>
          <w:szCs w:val="21"/>
        </w:rPr>
      </w:pPr>
    </w:p>
    <w:p w14:paraId="4FF45209" w14:textId="77777777" w:rsidR="002B0CBC" w:rsidRPr="0023003B" w:rsidRDefault="002B0CBC" w:rsidP="002B0CBC">
      <w:pPr>
        <w:autoSpaceDE w:val="0"/>
        <w:autoSpaceDN w:val="0"/>
        <w:adjustRightInd w:val="0"/>
        <w:ind w:firstLine="708"/>
        <w:jc w:val="both"/>
        <w:rPr>
          <w:rFonts w:ascii="Abadi" w:hAnsi="Abadi" w:cs="*Arial-5694-Identity-H"/>
          <w:color w:val="14141C"/>
          <w:sz w:val="21"/>
          <w:szCs w:val="21"/>
        </w:rPr>
      </w:pPr>
      <w:r w:rsidRPr="0023003B">
        <w:rPr>
          <w:rFonts w:ascii="Abadi" w:hAnsi="Abadi" w:cs="*Arial-5694-Identity-H"/>
          <w:color w:val="14141C"/>
          <w:sz w:val="21"/>
          <w:szCs w:val="21"/>
        </w:rPr>
        <w:t>Es importante señalar que de acuerdo a lo previsto en los artículos 60 de la</w:t>
      </w:r>
      <w:r>
        <w:rPr>
          <w:rFonts w:ascii="Abadi" w:hAnsi="Abadi" w:cs="*Arial-5694-Identity-H"/>
          <w:color w:val="14141C"/>
          <w:sz w:val="21"/>
          <w:szCs w:val="21"/>
        </w:rPr>
        <w:t xml:space="preserve"> </w:t>
      </w:r>
      <w:r w:rsidRPr="0023003B">
        <w:rPr>
          <w:rFonts w:ascii="Abadi" w:hAnsi="Abadi" w:cs="*Arial-5694-Identity-H"/>
          <w:color w:val="14141C"/>
          <w:sz w:val="21"/>
          <w:szCs w:val="21"/>
        </w:rPr>
        <w:t>Ley de Fiscalización Superior del Estado de Guanajuato; y 60 del Reglamento de</w:t>
      </w:r>
      <w:r>
        <w:rPr>
          <w:rFonts w:ascii="Abadi" w:hAnsi="Abadi" w:cs="*Arial-5694-Identity-H"/>
          <w:color w:val="14141C"/>
          <w:sz w:val="21"/>
          <w:szCs w:val="21"/>
        </w:rPr>
        <w:t xml:space="preserve"> </w:t>
      </w:r>
      <w:r w:rsidRPr="0023003B">
        <w:rPr>
          <w:rFonts w:ascii="Abadi" w:hAnsi="Abadi" w:cs="*Arial-5694-Identity-H"/>
          <w:color w:val="14141C"/>
          <w:sz w:val="21"/>
          <w:szCs w:val="21"/>
        </w:rPr>
        <w:t>la Ley de Fiscalización Superior del Estado de Guanajuato, tratándose de</w:t>
      </w:r>
      <w:r>
        <w:rPr>
          <w:rFonts w:ascii="Abadi" w:hAnsi="Abadi" w:cs="*Arial-5694-Identity-H"/>
          <w:color w:val="14141C"/>
          <w:sz w:val="21"/>
          <w:szCs w:val="21"/>
        </w:rPr>
        <w:t xml:space="preserve"> </w:t>
      </w:r>
      <w:r w:rsidRPr="0023003B">
        <w:rPr>
          <w:rFonts w:ascii="Abadi" w:hAnsi="Abadi" w:cs="*Arial-5694-Identity-H"/>
          <w:color w:val="14141C"/>
          <w:sz w:val="21"/>
          <w:szCs w:val="21"/>
        </w:rPr>
        <w:t>las</w:t>
      </w:r>
      <w:r>
        <w:rPr>
          <w:rFonts w:ascii="Abadi" w:hAnsi="Abadi" w:cs="*Arial-5694-Identity-H"/>
          <w:color w:val="14141C"/>
          <w:sz w:val="21"/>
          <w:szCs w:val="21"/>
        </w:rPr>
        <w:t xml:space="preserve"> </w:t>
      </w:r>
      <w:r w:rsidRPr="0023003B">
        <w:rPr>
          <w:rFonts w:ascii="Abadi" w:hAnsi="Abadi" w:cs="*Arial-5694-Identity-H"/>
          <w:color w:val="14141C"/>
          <w:sz w:val="21"/>
          <w:szCs w:val="21"/>
        </w:rPr>
        <w:t>auditorías de desempeño es improcedente el recurso de reconsideración en contra</w:t>
      </w:r>
      <w:r>
        <w:rPr>
          <w:rFonts w:ascii="Abadi" w:hAnsi="Abadi" w:cs="*Arial-5694-Identity-H"/>
          <w:color w:val="14141C"/>
          <w:sz w:val="21"/>
          <w:szCs w:val="21"/>
        </w:rPr>
        <w:t xml:space="preserve"> </w:t>
      </w:r>
      <w:r w:rsidRPr="0023003B">
        <w:rPr>
          <w:rFonts w:ascii="Abadi" w:hAnsi="Abadi" w:cs="*Arial-5694-Identity-H"/>
          <w:color w:val="14141C"/>
          <w:sz w:val="21"/>
          <w:szCs w:val="21"/>
        </w:rPr>
        <w:t>del informe de resultados, por lo que una vez notificado el mismo al sujeto de</w:t>
      </w:r>
      <w:r>
        <w:rPr>
          <w:rFonts w:ascii="Abadi" w:hAnsi="Abadi" w:cs="*Arial-5694-Identity-H"/>
          <w:color w:val="14141C"/>
          <w:sz w:val="21"/>
          <w:szCs w:val="21"/>
        </w:rPr>
        <w:t xml:space="preserve"> </w:t>
      </w:r>
      <w:r w:rsidRPr="0023003B">
        <w:rPr>
          <w:rFonts w:ascii="Abadi" w:hAnsi="Abadi" w:cs="*Arial-5694-Identity-H"/>
          <w:color w:val="14141C"/>
          <w:sz w:val="21"/>
          <w:szCs w:val="21"/>
        </w:rPr>
        <w:t>fiscalización, se remite al Congreso para los efectos procedentes.</w:t>
      </w:r>
    </w:p>
    <w:p w14:paraId="6AFC130F" w14:textId="77777777" w:rsidR="002B0CBC" w:rsidRPr="0023003B" w:rsidRDefault="002B0CBC" w:rsidP="002B0CBC">
      <w:pPr>
        <w:jc w:val="both"/>
        <w:rPr>
          <w:rFonts w:ascii="Abadi" w:hAnsi="Abadi" w:cs="*Arial-5694-Identity-H"/>
          <w:color w:val="14141C"/>
          <w:sz w:val="21"/>
          <w:szCs w:val="21"/>
        </w:rPr>
      </w:pPr>
    </w:p>
    <w:p w14:paraId="637426F3" w14:textId="77777777" w:rsidR="002B0CBC" w:rsidRPr="0023003B" w:rsidRDefault="002B0CBC" w:rsidP="002B0CBC">
      <w:pPr>
        <w:autoSpaceDE w:val="0"/>
        <w:autoSpaceDN w:val="0"/>
        <w:adjustRightInd w:val="0"/>
        <w:jc w:val="both"/>
        <w:rPr>
          <w:rFonts w:ascii="Abadi" w:hAnsi="Abadi" w:cs="*Arial-5873-Identity-H"/>
          <w:color w:val="14131B"/>
          <w:sz w:val="21"/>
          <w:szCs w:val="21"/>
        </w:rPr>
      </w:pPr>
      <w:r w:rsidRPr="0023003B">
        <w:rPr>
          <w:rFonts w:ascii="Abadi" w:hAnsi="Abadi" w:cs="*Arial-5873-Identity-H"/>
          <w:color w:val="14131B"/>
          <w:sz w:val="21"/>
          <w:szCs w:val="21"/>
        </w:rPr>
        <w:t>En razón de lo anterior, el Auditor Superior del Estado remitió a este</w:t>
      </w:r>
      <w:r>
        <w:rPr>
          <w:rFonts w:ascii="Abadi" w:hAnsi="Abadi" w:cs="*Arial-5873-Identity-H"/>
          <w:color w:val="14131B"/>
          <w:sz w:val="21"/>
          <w:szCs w:val="21"/>
        </w:rPr>
        <w:t xml:space="preserve"> </w:t>
      </w:r>
      <w:r w:rsidRPr="0023003B">
        <w:rPr>
          <w:rFonts w:ascii="Abadi" w:hAnsi="Abadi" w:cs="*Arial-5873-Identity-H"/>
          <w:color w:val="14131B"/>
          <w:sz w:val="21"/>
          <w:szCs w:val="21"/>
        </w:rPr>
        <w:t>Congreso del Estado, el informe de resultados, el cual se turnó a la Comisión de</w:t>
      </w:r>
      <w:r>
        <w:rPr>
          <w:rFonts w:ascii="Abadi" w:hAnsi="Abadi" w:cs="*Arial-5873-Identity-H"/>
          <w:color w:val="14131B"/>
          <w:sz w:val="21"/>
          <w:szCs w:val="21"/>
        </w:rPr>
        <w:t xml:space="preserve"> </w:t>
      </w:r>
      <w:r w:rsidRPr="0023003B">
        <w:rPr>
          <w:rFonts w:ascii="Abadi" w:hAnsi="Abadi" w:cs="*Arial-5873-Identity-H"/>
          <w:color w:val="14131B"/>
          <w:sz w:val="21"/>
          <w:szCs w:val="21"/>
        </w:rPr>
        <w:t>Hacienda y Fiscalización el 20 de diciembre de 2021 para su estudio y dictamen,</w:t>
      </w:r>
      <w:r>
        <w:rPr>
          <w:rFonts w:ascii="Abadi" w:hAnsi="Abadi" w:cs="*Arial-5873-Identity-H"/>
          <w:color w:val="14131B"/>
          <w:sz w:val="21"/>
          <w:szCs w:val="21"/>
        </w:rPr>
        <w:t xml:space="preserve"> </w:t>
      </w:r>
      <w:r w:rsidRPr="0023003B">
        <w:rPr>
          <w:rFonts w:ascii="Abadi" w:hAnsi="Abadi" w:cs="*Arial-5873-Identity-H"/>
          <w:color w:val="14131B"/>
          <w:sz w:val="21"/>
          <w:szCs w:val="21"/>
        </w:rPr>
        <w:t>siendo radicado el 1 O de enero del año en curso.</w:t>
      </w:r>
    </w:p>
    <w:p w14:paraId="7A0725E5" w14:textId="77777777" w:rsidR="002B0CBC" w:rsidRDefault="002B0CBC" w:rsidP="002B0CBC">
      <w:pPr>
        <w:autoSpaceDE w:val="0"/>
        <w:autoSpaceDN w:val="0"/>
        <w:adjustRightInd w:val="0"/>
        <w:jc w:val="both"/>
        <w:rPr>
          <w:rFonts w:ascii="Abadi" w:hAnsi="Abadi" w:cs="*Arial-Bold-5874-Identity-H"/>
          <w:b/>
          <w:bCs/>
          <w:color w:val="14121F"/>
          <w:sz w:val="21"/>
          <w:szCs w:val="21"/>
        </w:rPr>
      </w:pPr>
    </w:p>
    <w:p w14:paraId="7F45B86D" w14:textId="77777777" w:rsidR="002B0CBC" w:rsidRDefault="002B0CBC" w:rsidP="002B0CBC">
      <w:pPr>
        <w:autoSpaceDE w:val="0"/>
        <w:autoSpaceDN w:val="0"/>
        <w:adjustRightInd w:val="0"/>
        <w:ind w:firstLine="708"/>
        <w:jc w:val="both"/>
        <w:rPr>
          <w:rFonts w:ascii="Abadi" w:hAnsi="Abadi" w:cs="*Arial-Bold-5874-Identity-H"/>
          <w:b/>
          <w:bCs/>
          <w:color w:val="14121F"/>
          <w:sz w:val="21"/>
          <w:szCs w:val="21"/>
        </w:rPr>
      </w:pPr>
      <w:r w:rsidRPr="0023003B">
        <w:rPr>
          <w:rFonts w:ascii="Abadi" w:hAnsi="Abadi" w:cs="*Arial-Bold-5874-Identity-H"/>
          <w:b/>
          <w:bCs/>
          <w:color w:val="14121F"/>
          <w:sz w:val="21"/>
          <w:szCs w:val="21"/>
        </w:rPr>
        <w:t>IV. Contenido del Informe de Resultados:</w:t>
      </w:r>
    </w:p>
    <w:p w14:paraId="30C11FB7" w14:textId="77777777" w:rsidR="002B0CBC" w:rsidRPr="0023003B" w:rsidRDefault="002B0CBC" w:rsidP="002B0CBC">
      <w:pPr>
        <w:autoSpaceDE w:val="0"/>
        <w:autoSpaceDN w:val="0"/>
        <w:adjustRightInd w:val="0"/>
        <w:jc w:val="both"/>
        <w:rPr>
          <w:rFonts w:ascii="Abadi" w:hAnsi="Abadi" w:cs="*Arial-Bold-5874-Identity-H"/>
          <w:b/>
          <w:bCs/>
          <w:color w:val="14121F"/>
          <w:sz w:val="21"/>
          <w:szCs w:val="21"/>
        </w:rPr>
      </w:pPr>
    </w:p>
    <w:p w14:paraId="7BEA7B88" w14:textId="77777777" w:rsidR="002B0CBC" w:rsidRDefault="002B0CBC" w:rsidP="002B0CBC">
      <w:pPr>
        <w:autoSpaceDE w:val="0"/>
        <w:autoSpaceDN w:val="0"/>
        <w:adjustRightInd w:val="0"/>
        <w:ind w:firstLine="708"/>
        <w:jc w:val="both"/>
        <w:rPr>
          <w:rFonts w:ascii="Abadi" w:hAnsi="Abadi" w:cs="*Arial-5873-Identity-H"/>
          <w:color w:val="13131B"/>
          <w:sz w:val="21"/>
          <w:szCs w:val="21"/>
        </w:rPr>
      </w:pPr>
      <w:r w:rsidRPr="0023003B">
        <w:rPr>
          <w:rFonts w:ascii="Abadi" w:hAnsi="Abadi" w:cs="*Arial-5873-Identity-H"/>
          <w:color w:val="13131B"/>
          <w:sz w:val="21"/>
          <w:szCs w:val="21"/>
        </w:rPr>
        <w:t>Con fundamento en los artículos 59 de la Ley de Fiscalización Superior del</w:t>
      </w:r>
      <w:r>
        <w:rPr>
          <w:rFonts w:ascii="Abadi" w:hAnsi="Abadi" w:cs="*Arial-5873-Identity-H"/>
          <w:color w:val="13131B"/>
          <w:sz w:val="21"/>
          <w:szCs w:val="21"/>
        </w:rPr>
        <w:t xml:space="preserve"> </w:t>
      </w:r>
      <w:r w:rsidRPr="0023003B">
        <w:rPr>
          <w:rFonts w:ascii="Abadi" w:hAnsi="Abadi" w:cs="*Arial-5873-Identity-H"/>
          <w:color w:val="13131B"/>
          <w:sz w:val="21"/>
          <w:szCs w:val="21"/>
        </w:rPr>
        <w:t>Estado de Guanajuato y 26 del Reglamento de dicha Ley, el informe de resultados</w:t>
      </w:r>
      <w:r>
        <w:rPr>
          <w:rFonts w:ascii="Abadi" w:hAnsi="Abadi" w:cs="*Arial-5873-Identity-H"/>
          <w:color w:val="13131B"/>
          <w:sz w:val="21"/>
          <w:szCs w:val="21"/>
        </w:rPr>
        <w:t xml:space="preserve"> </w:t>
      </w:r>
      <w:r w:rsidRPr="0023003B">
        <w:rPr>
          <w:rFonts w:ascii="Abadi" w:hAnsi="Abadi" w:cs="*Arial-5873-Identity-H"/>
          <w:color w:val="13131B"/>
          <w:sz w:val="21"/>
          <w:szCs w:val="21"/>
        </w:rPr>
        <w:t>contiene los siguientes apartados: Introducción; Resultado del Proceso de</w:t>
      </w:r>
      <w:r>
        <w:rPr>
          <w:rFonts w:ascii="Abadi" w:hAnsi="Abadi" w:cs="*Arial-5873-Identity-H"/>
          <w:color w:val="13131B"/>
          <w:sz w:val="21"/>
          <w:szCs w:val="21"/>
        </w:rPr>
        <w:t xml:space="preserve"> </w:t>
      </w:r>
      <w:r w:rsidRPr="0023003B">
        <w:rPr>
          <w:rFonts w:ascii="Abadi" w:hAnsi="Abadi" w:cs="*Arial-5873-Identity-H"/>
          <w:color w:val="13131B"/>
          <w:sz w:val="21"/>
          <w:szCs w:val="21"/>
        </w:rPr>
        <w:t>Fiscalización; Resumen de las Recomendaciones; y Conclusión General.</w:t>
      </w:r>
      <w:r>
        <w:rPr>
          <w:rFonts w:ascii="Abadi" w:hAnsi="Abadi" w:cs="*Arial-5873-Identity-H"/>
          <w:color w:val="13131B"/>
          <w:sz w:val="21"/>
          <w:szCs w:val="21"/>
        </w:rPr>
        <w:t xml:space="preserve"> </w:t>
      </w:r>
    </w:p>
    <w:p w14:paraId="6D91F841" w14:textId="77777777" w:rsidR="002B0CBC" w:rsidRDefault="002B0CBC" w:rsidP="002B0CBC">
      <w:pPr>
        <w:autoSpaceDE w:val="0"/>
        <w:autoSpaceDN w:val="0"/>
        <w:adjustRightInd w:val="0"/>
        <w:jc w:val="both"/>
        <w:rPr>
          <w:rFonts w:ascii="Abadi" w:hAnsi="Abadi" w:cs="*Arial-Bold-5874-Identity-H"/>
          <w:b/>
          <w:bCs/>
          <w:color w:val="14131F"/>
          <w:sz w:val="21"/>
          <w:szCs w:val="21"/>
        </w:rPr>
      </w:pPr>
    </w:p>
    <w:p w14:paraId="13EDCC87" w14:textId="77777777" w:rsidR="002B0CBC" w:rsidRDefault="002B0CBC" w:rsidP="002B0CBC">
      <w:pPr>
        <w:autoSpaceDE w:val="0"/>
        <w:autoSpaceDN w:val="0"/>
        <w:adjustRightInd w:val="0"/>
        <w:ind w:firstLine="708"/>
        <w:jc w:val="both"/>
        <w:rPr>
          <w:rFonts w:ascii="Abadi" w:hAnsi="Abadi" w:cs="*Arial-Bold-5874-Identity-H"/>
          <w:b/>
          <w:bCs/>
          <w:color w:val="14131F"/>
          <w:sz w:val="21"/>
          <w:szCs w:val="21"/>
        </w:rPr>
      </w:pPr>
      <w:r w:rsidRPr="0023003B">
        <w:rPr>
          <w:rFonts w:ascii="Abadi" w:hAnsi="Abadi" w:cs="*Arial-Bold-5874-Identity-H"/>
          <w:b/>
          <w:bCs/>
          <w:color w:val="14131F"/>
          <w:sz w:val="21"/>
          <w:szCs w:val="21"/>
        </w:rPr>
        <w:t>a) Introducción.</w:t>
      </w:r>
    </w:p>
    <w:p w14:paraId="24CC14B6" w14:textId="77777777" w:rsidR="002B0CBC" w:rsidRPr="0023003B" w:rsidRDefault="002B0CBC" w:rsidP="002B0CBC">
      <w:pPr>
        <w:autoSpaceDE w:val="0"/>
        <w:autoSpaceDN w:val="0"/>
        <w:adjustRightInd w:val="0"/>
        <w:jc w:val="both"/>
        <w:rPr>
          <w:rFonts w:ascii="Abadi" w:hAnsi="Abadi" w:cs="*Arial-Bold-5874-Identity-H"/>
          <w:b/>
          <w:bCs/>
          <w:color w:val="14131F"/>
          <w:sz w:val="21"/>
          <w:szCs w:val="21"/>
        </w:rPr>
      </w:pPr>
    </w:p>
    <w:p w14:paraId="44435066" w14:textId="77777777" w:rsidR="002B0CBC" w:rsidRDefault="002B0CBC" w:rsidP="002B0CBC">
      <w:pPr>
        <w:autoSpaceDE w:val="0"/>
        <w:autoSpaceDN w:val="0"/>
        <w:adjustRightInd w:val="0"/>
        <w:ind w:firstLine="708"/>
        <w:jc w:val="both"/>
        <w:rPr>
          <w:rFonts w:ascii="Abadi" w:hAnsi="Abadi" w:cs="*Arial-5873-Identity-H"/>
          <w:color w:val="14131C"/>
          <w:sz w:val="21"/>
          <w:szCs w:val="21"/>
        </w:rPr>
      </w:pPr>
      <w:r w:rsidRPr="0023003B">
        <w:rPr>
          <w:rFonts w:ascii="Abadi" w:hAnsi="Abadi" w:cs="*Arial-5873-Identity-H"/>
          <w:color w:val="14131C"/>
          <w:sz w:val="21"/>
          <w:szCs w:val="21"/>
        </w:rPr>
        <w:t>Por lo que se refiere a esta parte, se señala que las auditorías de</w:t>
      </w:r>
      <w:r>
        <w:rPr>
          <w:rFonts w:ascii="Abadi" w:hAnsi="Abadi" w:cs="*Arial-5873-Identity-H"/>
          <w:color w:val="14131C"/>
          <w:sz w:val="21"/>
          <w:szCs w:val="21"/>
        </w:rPr>
        <w:t xml:space="preserve"> </w:t>
      </w:r>
      <w:r w:rsidRPr="0023003B">
        <w:rPr>
          <w:rFonts w:ascii="Abadi" w:hAnsi="Abadi" w:cs="*Arial-5873-Identity-H"/>
          <w:color w:val="14131C"/>
          <w:sz w:val="21"/>
          <w:szCs w:val="21"/>
        </w:rPr>
        <w:t>desempeño son actos de fiscalización, esa es su esencia.</w:t>
      </w:r>
      <w:r>
        <w:rPr>
          <w:rFonts w:ascii="Abadi" w:hAnsi="Abadi" w:cs="*Arial-5873-Identity-H"/>
          <w:color w:val="14131C"/>
          <w:sz w:val="21"/>
          <w:szCs w:val="21"/>
        </w:rPr>
        <w:t xml:space="preserve"> </w:t>
      </w:r>
    </w:p>
    <w:p w14:paraId="6570416E" w14:textId="77777777" w:rsidR="002B0CBC" w:rsidRPr="0023003B" w:rsidRDefault="002B0CBC" w:rsidP="002B0CBC">
      <w:pPr>
        <w:autoSpaceDE w:val="0"/>
        <w:autoSpaceDN w:val="0"/>
        <w:adjustRightInd w:val="0"/>
        <w:jc w:val="both"/>
        <w:rPr>
          <w:rFonts w:ascii="Abadi" w:hAnsi="Abadi" w:cs="*Arial-5873-Identity-H"/>
          <w:color w:val="14131C"/>
          <w:sz w:val="21"/>
          <w:szCs w:val="21"/>
        </w:rPr>
      </w:pPr>
    </w:p>
    <w:p w14:paraId="1E8AF3C7" w14:textId="77777777" w:rsidR="002B0CBC" w:rsidRDefault="002B0CBC" w:rsidP="002B0CBC">
      <w:pPr>
        <w:autoSpaceDE w:val="0"/>
        <w:autoSpaceDN w:val="0"/>
        <w:adjustRightInd w:val="0"/>
        <w:ind w:firstLine="708"/>
        <w:jc w:val="both"/>
        <w:rPr>
          <w:rFonts w:ascii="Abadi" w:hAnsi="Abadi" w:cs="*Arial-5873-Identity-H"/>
          <w:color w:val="14131A"/>
          <w:sz w:val="21"/>
          <w:szCs w:val="21"/>
        </w:rPr>
      </w:pPr>
      <w:r w:rsidRPr="0023003B">
        <w:rPr>
          <w:rFonts w:ascii="Abadi" w:hAnsi="Abadi" w:cs="*Arial-5873-Identity-H"/>
          <w:color w:val="14131A"/>
          <w:sz w:val="21"/>
          <w:szCs w:val="21"/>
        </w:rPr>
        <w:t>Es así, que la naturaleza técnico-jurídica de las auditorías de desempeño</w:t>
      </w:r>
      <w:r>
        <w:rPr>
          <w:rFonts w:ascii="Abadi" w:hAnsi="Abadi" w:cs="*Arial-5873-Identity-H"/>
          <w:color w:val="14131A"/>
          <w:sz w:val="21"/>
          <w:szCs w:val="21"/>
        </w:rPr>
        <w:t xml:space="preserve"> </w:t>
      </w:r>
      <w:r w:rsidRPr="0023003B">
        <w:rPr>
          <w:rFonts w:ascii="Abadi" w:hAnsi="Abadi" w:cs="*Arial-5873-Identity-H"/>
          <w:color w:val="14131A"/>
          <w:sz w:val="21"/>
          <w:szCs w:val="21"/>
        </w:rPr>
        <w:t>difiere de otras auditorías, pues el resultado se expresa con la emisión, en su</w:t>
      </w:r>
      <w:r>
        <w:rPr>
          <w:rFonts w:ascii="Abadi" w:hAnsi="Abadi" w:cs="*Arial-5873-Identity-H"/>
          <w:color w:val="14131A"/>
          <w:sz w:val="21"/>
          <w:szCs w:val="21"/>
        </w:rPr>
        <w:t xml:space="preserve"> </w:t>
      </w:r>
      <w:r w:rsidRPr="0023003B">
        <w:rPr>
          <w:rFonts w:ascii="Abadi" w:hAnsi="Abadi" w:cs="*Arial-5873-Identity-H"/>
          <w:color w:val="14131A"/>
          <w:sz w:val="21"/>
          <w:szCs w:val="21"/>
        </w:rPr>
        <w:t>caso, de exclusivamente recomendaciones, distinguiéndose de otros actos de</w:t>
      </w:r>
      <w:r>
        <w:rPr>
          <w:rFonts w:ascii="Abadi" w:hAnsi="Abadi" w:cs="*Arial-5873-Identity-H"/>
          <w:color w:val="14131A"/>
          <w:sz w:val="21"/>
          <w:szCs w:val="21"/>
        </w:rPr>
        <w:t xml:space="preserve"> </w:t>
      </w:r>
      <w:r w:rsidRPr="0023003B">
        <w:rPr>
          <w:rFonts w:ascii="Abadi" w:hAnsi="Abadi" w:cs="*Arial-5873-Identity-H"/>
          <w:color w:val="14131A"/>
          <w:sz w:val="21"/>
          <w:szCs w:val="21"/>
        </w:rPr>
        <w:t>fiscalización o control que pueden arrojar observaciones. Se trata de un</w:t>
      </w:r>
      <w:r w:rsidRPr="0023003B">
        <w:rPr>
          <w:rFonts w:ascii="Abadi" w:eastAsia="Abadi" w:hAnsi="Abadi" w:cs="Abadi" w:hint="eastAsia"/>
          <w:color w:val="14131A"/>
          <w:sz w:val="21"/>
          <w:szCs w:val="21"/>
        </w:rPr>
        <w:t>􀁈</w:t>
      </w:r>
      <w:r w:rsidRPr="0023003B">
        <w:rPr>
          <w:rFonts w:ascii="Abadi" w:hAnsi="Abadi" w:cs="*Arial-5873-Identity-H"/>
          <w:color w:val="14131A"/>
          <w:sz w:val="21"/>
          <w:szCs w:val="21"/>
        </w:rPr>
        <w:t xml:space="preserve"> tarea</w:t>
      </w:r>
      <w:r>
        <w:rPr>
          <w:rFonts w:ascii="Abadi" w:hAnsi="Abadi" w:cs="*Arial-5873-Identity-H"/>
          <w:color w:val="14131A"/>
          <w:sz w:val="21"/>
          <w:szCs w:val="21"/>
        </w:rPr>
        <w:t xml:space="preserve"> </w:t>
      </w:r>
      <w:r w:rsidRPr="0023003B">
        <w:rPr>
          <w:rFonts w:ascii="Abadi" w:hAnsi="Abadi" w:cs="*Arial-5873-Identity-H"/>
          <w:color w:val="14131A"/>
          <w:sz w:val="21"/>
          <w:szCs w:val="21"/>
        </w:rPr>
        <w:t>reglada y sistémica de evaluación para la mejora continua, detectando</w:t>
      </w:r>
      <w:r>
        <w:rPr>
          <w:rFonts w:ascii="Abadi" w:hAnsi="Abadi" w:cs="*Arial-5873-Identity-H"/>
          <w:color w:val="14131A"/>
          <w:sz w:val="21"/>
          <w:szCs w:val="21"/>
        </w:rPr>
        <w:t xml:space="preserve"> </w:t>
      </w:r>
      <w:r w:rsidRPr="0023003B">
        <w:rPr>
          <w:rFonts w:ascii="Abadi" w:hAnsi="Abadi" w:cs="*Arial-5873-Identity-H"/>
          <w:color w:val="14131A"/>
          <w:sz w:val="21"/>
          <w:szCs w:val="21"/>
        </w:rPr>
        <w:t>debilidades, áreas de oportunidad, amenazas e incluso fortalezas en el ámbito</w:t>
      </w:r>
      <w:r>
        <w:rPr>
          <w:rFonts w:ascii="Abadi" w:hAnsi="Abadi" w:cs="*Arial-5873-Identity-H"/>
          <w:color w:val="14131A"/>
          <w:sz w:val="21"/>
          <w:szCs w:val="21"/>
        </w:rPr>
        <w:t xml:space="preserve"> </w:t>
      </w:r>
      <w:r w:rsidRPr="0023003B">
        <w:rPr>
          <w:rFonts w:ascii="Abadi" w:hAnsi="Abadi" w:cs="*Arial-5873-Identity-H"/>
          <w:color w:val="14131A"/>
          <w:sz w:val="21"/>
          <w:szCs w:val="21"/>
        </w:rPr>
        <w:t>público, pero promoviendo además acciones concretas que permitan superar o</w:t>
      </w:r>
      <w:r>
        <w:rPr>
          <w:rFonts w:ascii="Abadi" w:hAnsi="Abadi" w:cs="*Arial-5873-Identity-H"/>
          <w:color w:val="14131A"/>
          <w:sz w:val="21"/>
          <w:szCs w:val="21"/>
        </w:rPr>
        <w:t xml:space="preserve"> </w:t>
      </w:r>
      <w:r w:rsidRPr="0023003B">
        <w:rPr>
          <w:rFonts w:ascii="Abadi" w:hAnsi="Abadi" w:cs="*Arial-5873-Identity-H"/>
          <w:color w:val="14131A"/>
          <w:sz w:val="21"/>
          <w:szCs w:val="21"/>
        </w:rPr>
        <w:t>potenciar las mismas, dando adicionalmente seguimiento a su eventual</w:t>
      </w:r>
      <w:r>
        <w:rPr>
          <w:rFonts w:ascii="Abadi" w:hAnsi="Abadi" w:cs="*Arial-5873-Identity-H"/>
          <w:color w:val="14131A"/>
          <w:sz w:val="21"/>
          <w:szCs w:val="21"/>
        </w:rPr>
        <w:t xml:space="preserve"> </w:t>
      </w:r>
      <w:r w:rsidRPr="0023003B">
        <w:rPr>
          <w:rFonts w:ascii="Abadi" w:hAnsi="Abadi" w:cs="*Arial-5873-Identity-H"/>
          <w:color w:val="14131A"/>
          <w:sz w:val="21"/>
          <w:szCs w:val="21"/>
        </w:rPr>
        <w:t>implementación por los sujetos públicos responsables.</w:t>
      </w:r>
    </w:p>
    <w:p w14:paraId="53B6D276" w14:textId="77777777" w:rsidR="002B0CBC" w:rsidRPr="0023003B" w:rsidRDefault="002B0CBC" w:rsidP="002B0CBC">
      <w:pPr>
        <w:autoSpaceDE w:val="0"/>
        <w:autoSpaceDN w:val="0"/>
        <w:adjustRightInd w:val="0"/>
        <w:jc w:val="both"/>
        <w:rPr>
          <w:rFonts w:ascii="Abadi" w:hAnsi="Abadi" w:cs="*Arial-5873-Identity-H"/>
          <w:color w:val="14131A"/>
          <w:sz w:val="21"/>
          <w:szCs w:val="21"/>
        </w:rPr>
      </w:pPr>
    </w:p>
    <w:p w14:paraId="27B4E969" w14:textId="77777777" w:rsidR="002B0CBC" w:rsidRDefault="002B0CBC" w:rsidP="002B0CBC">
      <w:pPr>
        <w:autoSpaceDE w:val="0"/>
        <w:autoSpaceDN w:val="0"/>
        <w:adjustRightInd w:val="0"/>
        <w:jc w:val="both"/>
        <w:rPr>
          <w:rFonts w:ascii="Abadi" w:hAnsi="Abadi" w:cs="*Arial-5873-Identity-H"/>
          <w:color w:val="14131C"/>
          <w:sz w:val="21"/>
          <w:szCs w:val="21"/>
        </w:rPr>
      </w:pPr>
      <w:r w:rsidRPr="0023003B">
        <w:rPr>
          <w:rFonts w:ascii="Abadi" w:hAnsi="Abadi" w:cs="*Arial-5873-Identity-H"/>
          <w:color w:val="14131C"/>
          <w:sz w:val="21"/>
          <w:szCs w:val="21"/>
        </w:rPr>
        <w:t>En dichas auditorías, con independencia de su enfoque, se debe planear</w:t>
      </w:r>
      <w:r>
        <w:rPr>
          <w:rFonts w:ascii="Abadi" w:hAnsi="Abadi" w:cs="*Arial-5873-Identity-H"/>
          <w:color w:val="14131C"/>
          <w:sz w:val="21"/>
          <w:szCs w:val="21"/>
        </w:rPr>
        <w:t xml:space="preserve"> </w:t>
      </w:r>
      <w:r w:rsidRPr="0023003B">
        <w:rPr>
          <w:rFonts w:ascii="Abadi" w:hAnsi="Abadi" w:cs="*Arial-5873-Identity-H"/>
          <w:color w:val="14131C"/>
          <w:sz w:val="21"/>
          <w:szCs w:val="21"/>
        </w:rPr>
        <w:t>con toda claridad y con base en la evidencia competente, suficiente, pertinente,</w:t>
      </w:r>
      <w:r>
        <w:rPr>
          <w:rFonts w:ascii="Abadi" w:hAnsi="Abadi" w:cs="*Arial-5873-Identity-H"/>
          <w:color w:val="14131C"/>
          <w:sz w:val="21"/>
          <w:szCs w:val="21"/>
        </w:rPr>
        <w:t xml:space="preserve"> </w:t>
      </w:r>
      <w:r w:rsidRPr="0023003B">
        <w:rPr>
          <w:rFonts w:ascii="Abadi" w:hAnsi="Abadi" w:cs="*Arial-5873-Identity-H"/>
          <w:color w:val="14131C"/>
          <w:sz w:val="21"/>
          <w:szCs w:val="21"/>
        </w:rPr>
        <w:t>relevante y oportuna, las conclusiones del proceso de fiscalización,</w:t>
      </w:r>
      <w:r>
        <w:rPr>
          <w:rFonts w:ascii="Abadi" w:hAnsi="Abadi" w:cs="*Arial-5873-Identity-H"/>
          <w:color w:val="14131C"/>
          <w:sz w:val="21"/>
          <w:szCs w:val="21"/>
        </w:rPr>
        <w:t xml:space="preserve"> </w:t>
      </w:r>
      <w:r w:rsidRPr="0023003B">
        <w:rPr>
          <w:rFonts w:ascii="Abadi" w:hAnsi="Abadi" w:cs="*Arial-5873-Identity-H"/>
          <w:color w:val="14131C"/>
          <w:sz w:val="21"/>
          <w:szCs w:val="21"/>
        </w:rPr>
        <w:t>puntualizándose las recomendaciones formuladas en su caso.</w:t>
      </w:r>
    </w:p>
    <w:p w14:paraId="626B343D" w14:textId="77777777" w:rsidR="002B0CBC" w:rsidRPr="0023003B" w:rsidRDefault="002B0CBC" w:rsidP="002B0CBC">
      <w:pPr>
        <w:autoSpaceDE w:val="0"/>
        <w:autoSpaceDN w:val="0"/>
        <w:adjustRightInd w:val="0"/>
        <w:jc w:val="both"/>
        <w:rPr>
          <w:rFonts w:ascii="Abadi" w:hAnsi="Abadi" w:cs="*Arial-5873-Identity-H"/>
          <w:color w:val="14131C"/>
          <w:sz w:val="21"/>
          <w:szCs w:val="21"/>
        </w:rPr>
      </w:pPr>
    </w:p>
    <w:p w14:paraId="45BFF2DC" w14:textId="77777777" w:rsidR="002B0CBC" w:rsidRDefault="002B0CBC" w:rsidP="002B0CBC">
      <w:pPr>
        <w:autoSpaceDE w:val="0"/>
        <w:autoSpaceDN w:val="0"/>
        <w:adjustRightInd w:val="0"/>
        <w:ind w:firstLine="708"/>
        <w:jc w:val="both"/>
        <w:rPr>
          <w:rFonts w:ascii="Abadi" w:hAnsi="Abadi" w:cs="*Arial-5935-Identity-H"/>
          <w:color w:val="14131B"/>
          <w:sz w:val="21"/>
          <w:szCs w:val="21"/>
        </w:rPr>
      </w:pPr>
      <w:r w:rsidRPr="0023003B">
        <w:rPr>
          <w:rFonts w:ascii="Abadi" w:hAnsi="Abadi" w:cs="*Arial-5873-Identity-H"/>
          <w:color w:val="14131B"/>
          <w:sz w:val="21"/>
          <w:szCs w:val="21"/>
        </w:rPr>
        <w:t>Respecto al marco normativo aplicable, se precisa la normatividad aplicable</w:t>
      </w:r>
      <w:r>
        <w:rPr>
          <w:rFonts w:ascii="Abadi" w:hAnsi="Abadi" w:cs="*Arial-5873-Identity-H"/>
          <w:color w:val="14131B"/>
          <w:sz w:val="21"/>
          <w:szCs w:val="21"/>
        </w:rPr>
        <w:t xml:space="preserve"> </w:t>
      </w:r>
      <w:r w:rsidRPr="0023003B">
        <w:rPr>
          <w:rFonts w:ascii="Abadi" w:hAnsi="Abadi" w:cs="*Arial-5873-Identity-H"/>
          <w:color w:val="14131B"/>
          <w:sz w:val="21"/>
          <w:szCs w:val="21"/>
        </w:rPr>
        <w:t>a la función de fiscalización a cargo del Poder Legislativo del Estado, siendo esta:</w:t>
      </w:r>
      <w:r>
        <w:rPr>
          <w:rFonts w:ascii="Abadi" w:hAnsi="Abadi" w:cs="*Arial-5873-Identity-H"/>
          <w:color w:val="14131B"/>
          <w:sz w:val="21"/>
          <w:szCs w:val="21"/>
        </w:rPr>
        <w:t xml:space="preserve"> </w:t>
      </w:r>
      <w:r w:rsidRPr="0023003B">
        <w:rPr>
          <w:rFonts w:ascii="Abadi" w:hAnsi="Abadi" w:cs="*Arial-5873-Identity-H"/>
          <w:color w:val="14131B"/>
          <w:sz w:val="21"/>
          <w:szCs w:val="21"/>
        </w:rPr>
        <w:t xml:space="preserve">artículos 116, fracción </w:t>
      </w:r>
      <w:r>
        <w:rPr>
          <w:rFonts w:ascii="Abadi" w:hAnsi="Abadi" w:cs="*Arial-5873-Identity-H"/>
          <w:color w:val="14131B"/>
          <w:sz w:val="21"/>
          <w:szCs w:val="21"/>
        </w:rPr>
        <w:t>II</w:t>
      </w:r>
      <w:r w:rsidRPr="0023003B">
        <w:rPr>
          <w:rFonts w:ascii="Abadi" w:hAnsi="Abadi" w:cs="*Arial-5873-Identity-H"/>
          <w:color w:val="14131B"/>
          <w:sz w:val="21"/>
          <w:szCs w:val="21"/>
        </w:rPr>
        <w:t>, párrafo sexto y 134 de la Constitución Política de los</w:t>
      </w:r>
      <w:r>
        <w:rPr>
          <w:rFonts w:ascii="Abadi" w:hAnsi="Abadi" w:cs="*Arial-5873-Identity-H"/>
          <w:color w:val="14131B"/>
          <w:sz w:val="21"/>
          <w:szCs w:val="21"/>
        </w:rPr>
        <w:t xml:space="preserve"> </w:t>
      </w:r>
      <w:r w:rsidRPr="0023003B">
        <w:rPr>
          <w:rFonts w:ascii="Abadi" w:hAnsi="Abadi" w:cs="*Arial-5873-Identity-H"/>
          <w:color w:val="14131B"/>
          <w:sz w:val="21"/>
          <w:szCs w:val="21"/>
        </w:rPr>
        <w:t xml:space="preserve">Estados Unidos Mexicanos; 2, párrafo primero, 63, fracción </w:t>
      </w:r>
      <w:r w:rsidRPr="00D956AA">
        <w:rPr>
          <w:rFonts w:ascii="Abadi" w:hAnsi="Abadi" w:cs="*Arial-Bold-5874-Identity-H"/>
          <w:color w:val="14131B"/>
          <w:sz w:val="21"/>
          <w:szCs w:val="21"/>
        </w:rPr>
        <w:t xml:space="preserve">XVIII </w:t>
      </w:r>
      <w:r w:rsidRPr="00D956AA">
        <w:rPr>
          <w:rFonts w:ascii="Abadi" w:hAnsi="Abadi" w:cs="*Arial-5873-Identity-H"/>
          <w:color w:val="14131B"/>
          <w:sz w:val="21"/>
          <w:szCs w:val="21"/>
        </w:rPr>
        <w:t>y</w:t>
      </w:r>
      <w:r w:rsidRPr="0023003B">
        <w:rPr>
          <w:rFonts w:ascii="Abadi" w:hAnsi="Abadi" w:cs="*Arial-5873-Identity-H"/>
          <w:color w:val="14131B"/>
          <w:sz w:val="21"/>
          <w:szCs w:val="21"/>
        </w:rPr>
        <w:t xml:space="preserve"> 66, fracciones</w:t>
      </w:r>
      <w:r>
        <w:rPr>
          <w:rFonts w:ascii="Abadi" w:hAnsi="Abadi" w:cs="*Arial-5873-Identity-H"/>
          <w:color w:val="14131B"/>
          <w:sz w:val="21"/>
          <w:szCs w:val="21"/>
        </w:rPr>
        <w:t xml:space="preserve"> I</w:t>
      </w:r>
      <w:r w:rsidRPr="0023003B">
        <w:rPr>
          <w:rFonts w:ascii="Abadi" w:hAnsi="Abadi" w:cs="*Arial-5873-Identity-H"/>
          <w:color w:val="14131B"/>
          <w:sz w:val="21"/>
          <w:szCs w:val="21"/>
        </w:rPr>
        <w:t xml:space="preserve">, </w:t>
      </w:r>
      <w:r>
        <w:rPr>
          <w:rFonts w:ascii="Abadi" w:hAnsi="Abadi" w:cs="*Arial-5873-Identity-H"/>
          <w:color w:val="14131B"/>
          <w:sz w:val="21"/>
          <w:szCs w:val="21"/>
        </w:rPr>
        <w:t xml:space="preserve">II </w:t>
      </w:r>
      <w:r w:rsidRPr="0023003B">
        <w:rPr>
          <w:rFonts w:ascii="Abadi" w:hAnsi="Abadi" w:cs="*Arial-5873-Identity-H"/>
          <w:color w:val="14131B"/>
          <w:sz w:val="21"/>
          <w:szCs w:val="21"/>
        </w:rPr>
        <w:t xml:space="preserve">y IV de la Constitución Política para el Estado de Guanajuato; 1, 2, fracciones </w:t>
      </w:r>
      <w:r>
        <w:rPr>
          <w:rFonts w:ascii="Abadi" w:hAnsi="Abadi" w:cs="*Arial-5873-Identity-H"/>
          <w:color w:val="14131B"/>
          <w:sz w:val="21"/>
          <w:szCs w:val="21"/>
        </w:rPr>
        <w:t xml:space="preserve">I </w:t>
      </w:r>
      <w:r w:rsidRPr="0023003B">
        <w:rPr>
          <w:rFonts w:ascii="Abadi" w:hAnsi="Abadi" w:cs="*Arial-5873-Identity-H"/>
          <w:color w:val="14131B"/>
          <w:sz w:val="21"/>
          <w:szCs w:val="21"/>
        </w:rPr>
        <w:t xml:space="preserve">y </w:t>
      </w:r>
      <w:r>
        <w:rPr>
          <w:rFonts w:ascii="Abadi" w:hAnsi="Abadi" w:cs="*Arial-5873-Identity-H"/>
          <w:color w:val="14131B"/>
          <w:sz w:val="21"/>
          <w:szCs w:val="21"/>
        </w:rPr>
        <w:t>III</w:t>
      </w:r>
      <w:r w:rsidRPr="0023003B">
        <w:rPr>
          <w:rFonts w:ascii="Abadi" w:hAnsi="Abadi" w:cs="*Arial-5873-Identity-H"/>
          <w:color w:val="14131B"/>
          <w:sz w:val="21"/>
          <w:szCs w:val="21"/>
        </w:rPr>
        <w:t xml:space="preserve">, 3, fracciones </w:t>
      </w:r>
      <w:r>
        <w:rPr>
          <w:rFonts w:ascii="Abadi" w:hAnsi="Abadi" w:cs="*Arial-5873-Identity-H"/>
          <w:color w:val="14131B"/>
          <w:sz w:val="21"/>
          <w:szCs w:val="21"/>
        </w:rPr>
        <w:t>I</w:t>
      </w:r>
      <w:r w:rsidRPr="0023003B">
        <w:rPr>
          <w:rFonts w:ascii="Abadi" w:hAnsi="Abadi" w:cs="*Arial-5873-Identity-H"/>
          <w:color w:val="14131B"/>
          <w:sz w:val="21"/>
          <w:szCs w:val="21"/>
        </w:rPr>
        <w:t xml:space="preserve">, </w:t>
      </w:r>
      <w:r>
        <w:rPr>
          <w:rFonts w:ascii="Abadi" w:hAnsi="Abadi" w:cs="*Arial-5873-Identity-H"/>
          <w:color w:val="14131B"/>
          <w:sz w:val="21"/>
          <w:szCs w:val="21"/>
        </w:rPr>
        <w:t>II</w:t>
      </w:r>
      <w:r w:rsidRPr="0023003B">
        <w:rPr>
          <w:rFonts w:ascii="Abadi" w:hAnsi="Abadi" w:cs="*Arial-5873-Identity-H"/>
          <w:color w:val="14131B"/>
          <w:sz w:val="21"/>
          <w:szCs w:val="21"/>
        </w:rPr>
        <w:t>, V y XI, 4, 6, 7, 11, 13, 14, 16, 24, 25, 26, 30, 31, 37, 56, 57,</w:t>
      </w:r>
      <w:r>
        <w:rPr>
          <w:rFonts w:ascii="Abadi" w:hAnsi="Abadi" w:cs="*Arial-5873-Identity-H"/>
          <w:color w:val="14131B"/>
          <w:sz w:val="21"/>
          <w:szCs w:val="21"/>
        </w:rPr>
        <w:t xml:space="preserve"> </w:t>
      </w:r>
      <w:r w:rsidRPr="0023003B">
        <w:rPr>
          <w:rFonts w:ascii="Abadi" w:hAnsi="Abadi" w:cs="*Arial-5873-Identity-H"/>
          <w:color w:val="14131B"/>
          <w:sz w:val="21"/>
          <w:szCs w:val="21"/>
        </w:rPr>
        <w:t xml:space="preserve">58, 59, 60, 82, fracciones </w:t>
      </w:r>
      <w:r>
        <w:rPr>
          <w:rFonts w:ascii="Abadi" w:hAnsi="Abadi" w:cs="*Arial-5873-Identity-H"/>
          <w:color w:val="14131B"/>
          <w:sz w:val="21"/>
          <w:szCs w:val="21"/>
        </w:rPr>
        <w:t>III</w:t>
      </w:r>
      <w:r w:rsidRPr="0023003B">
        <w:rPr>
          <w:rFonts w:ascii="Abadi" w:hAnsi="Abadi" w:cs="*Arial-5873-Identity-H"/>
          <w:color w:val="14131B"/>
          <w:sz w:val="21"/>
          <w:szCs w:val="21"/>
        </w:rPr>
        <w:t>, IV, XXIX, XXXII y XXXV y 87, fracciones V, XII y</w:t>
      </w:r>
      <w:r>
        <w:rPr>
          <w:rFonts w:ascii="Abadi" w:hAnsi="Abadi" w:cs="*Arial-5873-Identity-H"/>
          <w:color w:val="14131B"/>
          <w:sz w:val="21"/>
          <w:szCs w:val="21"/>
        </w:rPr>
        <w:t xml:space="preserve"> </w:t>
      </w:r>
      <w:r w:rsidRPr="0023003B">
        <w:rPr>
          <w:rFonts w:ascii="Abadi" w:hAnsi="Abadi" w:cs="*Arial-5873-Identity-H"/>
          <w:color w:val="14131B"/>
          <w:sz w:val="21"/>
          <w:szCs w:val="21"/>
        </w:rPr>
        <w:t>XXVI de la Ley de Fiscalización Superior del Estado de Guanajuato; 1, 3, 1 O, 13,</w:t>
      </w:r>
      <w:r>
        <w:rPr>
          <w:rFonts w:ascii="Abadi" w:hAnsi="Abadi" w:cs="*Arial-5873-Identity-H"/>
          <w:color w:val="14131B"/>
          <w:sz w:val="21"/>
          <w:szCs w:val="21"/>
        </w:rPr>
        <w:t xml:space="preserve"> </w:t>
      </w:r>
      <w:r w:rsidRPr="0023003B">
        <w:rPr>
          <w:rFonts w:ascii="Abadi" w:hAnsi="Abadi" w:cs="*Arial-5935-Identity-H"/>
          <w:color w:val="14131B"/>
          <w:sz w:val="21"/>
          <w:szCs w:val="21"/>
        </w:rPr>
        <w:t>18, 20, 26, 27, 43, 44, 45, 46, 47, 48 y 49 del Reglamento de la Ley de</w:t>
      </w:r>
      <w:r>
        <w:rPr>
          <w:rFonts w:ascii="Abadi" w:hAnsi="Abadi" w:cs="*Arial-5935-Identity-H"/>
          <w:color w:val="14131B"/>
          <w:sz w:val="21"/>
          <w:szCs w:val="21"/>
        </w:rPr>
        <w:t xml:space="preserve"> </w:t>
      </w:r>
      <w:r w:rsidRPr="0023003B">
        <w:rPr>
          <w:rFonts w:ascii="Abadi" w:hAnsi="Abadi" w:cs="*Arial-5935-Identity-H"/>
          <w:color w:val="14131B"/>
          <w:sz w:val="21"/>
          <w:szCs w:val="21"/>
        </w:rPr>
        <w:t>Fiscalización Superior del Estado de Guanajuato; 1, 7, segundo párrafo, 8,</w:t>
      </w:r>
      <w:r>
        <w:rPr>
          <w:rFonts w:ascii="Abadi" w:hAnsi="Abadi" w:cs="*Arial-5935-Identity-H"/>
          <w:color w:val="14131B"/>
          <w:sz w:val="21"/>
          <w:szCs w:val="21"/>
        </w:rPr>
        <w:t xml:space="preserve"> </w:t>
      </w:r>
      <w:r w:rsidRPr="0023003B">
        <w:rPr>
          <w:rFonts w:ascii="Abadi" w:hAnsi="Abadi" w:cs="*Arial-5935-Identity-H"/>
          <w:color w:val="14131B"/>
          <w:sz w:val="21"/>
          <w:szCs w:val="21"/>
        </w:rPr>
        <w:t xml:space="preserve">fracción 1, 9, fracción XVII, 10 fracciones </w:t>
      </w:r>
      <w:r>
        <w:rPr>
          <w:rFonts w:ascii="Abadi" w:hAnsi="Abadi" w:cs="*Arial-5935-Identity-H"/>
          <w:color w:val="14131B"/>
          <w:sz w:val="21"/>
          <w:szCs w:val="21"/>
        </w:rPr>
        <w:t>III</w:t>
      </w:r>
      <w:r w:rsidRPr="0023003B">
        <w:rPr>
          <w:rFonts w:ascii="Abadi" w:hAnsi="Abadi" w:cs="*Arial-5935-Identity-H"/>
          <w:color w:val="14131B"/>
          <w:sz w:val="21"/>
          <w:szCs w:val="21"/>
        </w:rPr>
        <w:t>, XVII, XIX y XX, 14, 16 y 17 del</w:t>
      </w:r>
      <w:r>
        <w:rPr>
          <w:rFonts w:ascii="Abadi" w:hAnsi="Abadi" w:cs="*Arial-5935-Identity-H"/>
          <w:color w:val="14131B"/>
          <w:sz w:val="21"/>
          <w:szCs w:val="21"/>
        </w:rPr>
        <w:t xml:space="preserve"> </w:t>
      </w:r>
      <w:r w:rsidRPr="0023003B">
        <w:rPr>
          <w:rFonts w:ascii="Abadi" w:hAnsi="Abadi" w:cs="*Arial-5935-Identity-H"/>
          <w:color w:val="14131B"/>
          <w:sz w:val="21"/>
          <w:szCs w:val="21"/>
        </w:rPr>
        <w:t>Reglamento Interior de la Auditoría Superior del Estado de Guanajuato; y 42 de la</w:t>
      </w:r>
      <w:r>
        <w:rPr>
          <w:rFonts w:ascii="Abadi" w:hAnsi="Abadi" w:cs="*Arial-5935-Identity-H"/>
          <w:color w:val="14131B"/>
          <w:sz w:val="21"/>
          <w:szCs w:val="21"/>
        </w:rPr>
        <w:t xml:space="preserve"> </w:t>
      </w:r>
      <w:r w:rsidRPr="0023003B">
        <w:rPr>
          <w:rFonts w:ascii="Abadi" w:hAnsi="Abadi" w:cs="*Arial-5935-Identity-H"/>
          <w:color w:val="14131B"/>
          <w:sz w:val="21"/>
          <w:szCs w:val="21"/>
        </w:rPr>
        <w:t>Ley General del Sistema Nacional Anticorrupción.</w:t>
      </w:r>
    </w:p>
    <w:p w14:paraId="6FD4AE92" w14:textId="77777777" w:rsidR="002B0CBC" w:rsidRPr="0023003B" w:rsidRDefault="002B0CBC" w:rsidP="002B0CBC">
      <w:pPr>
        <w:autoSpaceDE w:val="0"/>
        <w:autoSpaceDN w:val="0"/>
        <w:adjustRightInd w:val="0"/>
        <w:jc w:val="both"/>
        <w:rPr>
          <w:rFonts w:ascii="Abadi" w:hAnsi="Abadi" w:cs="*Arial-5935-Identity-H"/>
          <w:color w:val="14131B"/>
          <w:sz w:val="21"/>
          <w:szCs w:val="21"/>
        </w:rPr>
      </w:pPr>
    </w:p>
    <w:p w14:paraId="4D3A1046" w14:textId="77777777" w:rsidR="002B0CBC" w:rsidRDefault="002B0CBC" w:rsidP="002B0CBC">
      <w:pPr>
        <w:autoSpaceDE w:val="0"/>
        <w:autoSpaceDN w:val="0"/>
        <w:adjustRightInd w:val="0"/>
        <w:ind w:firstLine="708"/>
        <w:jc w:val="both"/>
        <w:rPr>
          <w:rFonts w:ascii="Abadi" w:hAnsi="Abadi" w:cs="*Arial-5935-Identity-H"/>
          <w:color w:val="14131B"/>
          <w:sz w:val="21"/>
          <w:szCs w:val="21"/>
        </w:rPr>
      </w:pPr>
      <w:r w:rsidRPr="0023003B">
        <w:rPr>
          <w:rFonts w:ascii="Abadi" w:hAnsi="Abadi" w:cs="*Arial-5935-Identity-H"/>
          <w:color w:val="14131B"/>
          <w:sz w:val="21"/>
          <w:szCs w:val="21"/>
        </w:rPr>
        <w:t>Con base en lo anterior, la auditoría de desempeño materia del presente</w:t>
      </w:r>
      <w:r>
        <w:rPr>
          <w:rFonts w:ascii="Abadi" w:hAnsi="Abadi" w:cs="*Arial-5935-Identity-H"/>
          <w:color w:val="14131B"/>
          <w:sz w:val="21"/>
          <w:szCs w:val="21"/>
        </w:rPr>
        <w:t xml:space="preserve"> </w:t>
      </w:r>
      <w:r w:rsidRPr="0023003B">
        <w:rPr>
          <w:rFonts w:ascii="Abadi" w:hAnsi="Abadi" w:cs="*Arial-5935-Identity-H"/>
          <w:color w:val="14131B"/>
          <w:sz w:val="21"/>
          <w:szCs w:val="21"/>
        </w:rPr>
        <w:t>dictamen, se ejecutó bajo los principios, conceptos y directrices de las actuales</w:t>
      </w:r>
      <w:r>
        <w:rPr>
          <w:rFonts w:ascii="Abadi" w:hAnsi="Abadi" w:cs="*Arial-5935-Identity-H"/>
          <w:color w:val="14131B"/>
          <w:sz w:val="21"/>
          <w:szCs w:val="21"/>
        </w:rPr>
        <w:t xml:space="preserve"> </w:t>
      </w:r>
      <w:r w:rsidRPr="0023003B">
        <w:rPr>
          <w:rFonts w:ascii="Abadi" w:hAnsi="Abadi" w:cs="*Arial-5935-Identity-H"/>
          <w:color w:val="14131B"/>
          <w:sz w:val="21"/>
          <w:szCs w:val="21"/>
        </w:rPr>
        <w:t>Normas Profesionales de Auditoría del Sistema Nacional de Fiscalización,</w:t>
      </w:r>
      <w:r>
        <w:rPr>
          <w:rFonts w:ascii="Abadi" w:hAnsi="Abadi" w:cs="*Arial-5935-Identity-H"/>
          <w:color w:val="14131B"/>
          <w:sz w:val="21"/>
          <w:szCs w:val="21"/>
        </w:rPr>
        <w:t xml:space="preserve"> </w:t>
      </w:r>
      <w:r w:rsidRPr="0023003B">
        <w:rPr>
          <w:rFonts w:ascii="Abadi" w:hAnsi="Abadi" w:cs="*Arial-5935-Identity-H"/>
          <w:color w:val="14131B"/>
          <w:sz w:val="21"/>
          <w:szCs w:val="21"/>
        </w:rPr>
        <w:t>compiladas y editadas por la Auditoría Superior de la Federación, de manera</w:t>
      </w:r>
      <w:r>
        <w:rPr>
          <w:rFonts w:ascii="Abadi" w:hAnsi="Abadi" w:cs="*Arial-5935-Identity-H"/>
          <w:color w:val="14131B"/>
          <w:sz w:val="21"/>
          <w:szCs w:val="21"/>
        </w:rPr>
        <w:t xml:space="preserve"> </w:t>
      </w:r>
      <w:r w:rsidRPr="0023003B">
        <w:rPr>
          <w:rFonts w:ascii="Abadi" w:hAnsi="Abadi" w:cs="*Arial-5935-Identity-H"/>
          <w:color w:val="14131B"/>
          <w:sz w:val="21"/>
          <w:szCs w:val="21"/>
        </w:rPr>
        <w:t>particular por lo que hace a sus numerales 100 y 300.</w:t>
      </w:r>
    </w:p>
    <w:p w14:paraId="478F235F" w14:textId="77777777" w:rsidR="002B0CBC" w:rsidRPr="0023003B" w:rsidRDefault="002B0CBC" w:rsidP="002B0CBC">
      <w:pPr>
        <w:autoSpaceDE w:val="0"/>
        <w:autoSpaceDN w:val="0"/>
        <w:adjustRightInd w:val="0"/>
        <w:jc w:val="both"/>
        <w:rPr>
          <w:rFonts w:ascii="Abadi" w:hAnsi="Abadi" w:cs="*Arial-5935-Identity-H"/>
          <w:color w:val="14131B"/>
          <w:sz w:val="21"/>
          <w:szCs w:val="21"/>
        </w:rPr>
      </w:pPr>
    </w:p>
    <w:p w14:paraId="594CDA76" w14:textId="77777777" w:rsidR="002B0CBC" w:rsidRDefault="002B0CBC" w:rsidP="002B0CBC">
      <w:pPr>
        <w:autoSpaceDE w:val="0"/>
        <w:autoSpaceDN w:val="0"/>
        <w:adjustRightInd w:val="0"/>
        <w:ind w:firstLine="708"/>
        <w:jc w:val="both"/>
        <w:rPr>
          <w:rFonts w:ascii="Abadi" w:hAnsi="Abadi" w:cs="*Arial-5935-Identity-H"/>
          <w:color w:val="14131B"/>
          <w:sz w:val="21"/>
          <w:szCs w:val="21"/>
        </w:rPr>
      </w:pPr>
      <w:r w:rsidRPr="0023003B">
        <w:rPr>
          <w:rFonts w:ascii="Abadi" w:hAnsi="Abadi" w:cs="*Arial-5935-Identity-H"/>
          <w:color w:val="14131B"/>
          <w:sz w:val="21"/>
          <w:szCs w:val="21"/>
        </w:rPr>
        <w:t>En esta parte también se puntualiza que las auditorías de desempeño que</w:t>
      </w:r>
      <w:r>
        <w:rPr>
          <w:rFonts w:ascii="Abadi" w:hAnsi="Abadi" w:cs="*Arial-5935-Identity-H"/>
          <w:color w:val="14131B"/>
          <w:sz w:val="21"/>
          <w:szCs w:val="21"/>
        </w:rPr>
        <w:t xml:space="preserve"> </w:t>
      </w:r>
      <w:r w:rsidRPr="0023003B">
        <w:rPr>
          <w:rFonts w:ascii="Abadi" w:hAnsi="Abadi" w:cs="*Arial-5935-Identity-H"/>
          <w:color w:val="14131B"/>
          <w:sz w:val="21"/>
          <w:szCs w:val="21"/>
        </w:rPr>
        <w:t>se practican por la Auditoría Superior del Estado son congruentes con las</w:t>
      </w:r>
      <w:r>
        <w:rPr>
          <w:rFonts w:ascii="Abadi" w:hAnsi="Abadi" w:cs="*Arial-5935-Identity-H"/>
          <w:color w:val="14131B"/>
          <w:sz w:val="21"/>
          <w:szCs w:val="21"/>
        </w:rPr>
        <w:t xml:space="preserve"> </w:t>
      </w:r>
      <w:r w:rsidRPr="0023003B">
        <w:rPr>
          <w:rFonts w:ascii="Abadi" w:hAnsi="Abadi" w:cs="*Arial-5935-Identity-H"/>
          <w:color w:val="14131B"/>
          <w:sz w:val="21"/>
          <w:szCs w:val="21"/>
        </w:rPr>
        <w:t>metodologías señaladas en las Normas Internacionales para Entidades</w:t>
      </w:r>
      <w:r>
        <w:rPr>
          <w:rFonts w:ascii="Abadi" w:hAnsi="Abadi" w:cs="*Arial-5935-Identity-H"/>
          <w:color w:val="14131B"/>
          <w:sz w:val="21"/>
          <w:szCs w:val="21"/>
        </w:rPr>
        <w:t xml:space="preserve"> </w:t>
      </w:r>
      <w:r w:rsidRPr="0023003B">
        <w:rPr>
          <w:rFonts w:ascii="Abadi" w:hAnsi="Abadi" w:cs="*Arial-5935-Identity-H"/>
          <w:color w:val="14131B"/>
          <w:sz w:val="21"/>
          <w:szCs w:val="21"/>
        </w:rPr>
        <w:t>Fiscalizadoras Superiores 100, 300, 3000 y 3200, emitidas por la Organización</w:t>
      </w:r>
      <w:r>
        <w:rPr>
          <w:rFonts w:ascii="Abadi" w:hAnsi="Abadi" w:cs="*Arial-5935-Identity-H"/>
          <w:color w:val="14131B"/>
          <w:sz w:val="21"/>
          <w:szCs w:val="21"/>
        </w:rPr>
        <w:t xml:space="preserve"> </w:t>
      </w:r>
      <w:r w:rsidRPr="0023003B">
        <w:rPr>
          <w:rFonts w:ascii="Abadi" w:hAnsi="Abadi" w:cs="*Arial-5935-Identity-H"/>
          <w:color w:val="14131B"/>
          <w:sz w:val="21"/>
          <w:szCs w:val="21"/>
        </w:rPr>
        <w:t>Internacional de las Entidades Fiscalizadoras Superiores, así como con los</w:t>
      </w:r>
      <w:r>
        <w:rPr>
          <w:rFonts w:ascii="Abadi" w:hAnsi="Abadi" w:cs="*Arial-5935-Identity-H"/>
          <w:color w:val="14131B"/>
          <w:sz w:val="21"/>
          <w:szCs w:val="21"/>
        </w:rPr>
        <w:t xml:space="preserve"> </w:t>
      </w:r>
      <w:r w:rsidRPr="0023003B">
        <w:rPr>
          <w:rFonts w:ascii="Abadi" w:hAnsi="Abadi" w:cs="*Arial-5935-Identity-H"/>
          <w:color w:val="14131B"/>
          <w:sz w:val="21"/>
          <w:szCs w:val="21"/>
        </w:rPr>
        <w:t>lineamientos para la construcción y diseño de indicadores de desempeño</w:t>
      </w:r>
      <w:r>
        <w:rPr>
          <w:rFonts w:ascii="Abadi" w:hAnsi="Abadi" w:cs="*Arial-5935-Identity-H"/>
          <w:color w:val="14131B"/>
          <w:sz w:val="21"/>
          <w:szCs w:val="21"/>
        </w:rPr>
        <w:t xml:space="preserve"> </w:t>
      </w:r>
      <w:r w:rsidRPr="0023003B">
        <w:rPr>
          <w:rFonts w:ascii="Abadi" w:hAnsi="Abadi" w:cs="*Arial-5935-Identity-H"/>
          <w:color w:val="14131B"/>
          <w:sz w:val="21"/>
          <w:szCs w:val="21"/>
        </w:rPr>
        <w:t>mediante la Metodología del Marco Lógico, emitidos por el Consejo Nacional de</w:t>
      </w:r>
      <w:r>
        <w:rPr>
          <w:rFonts w:ascii="Abadi" w:hAnsi="Abadi" w:cs="*Arial-5935-Identity-H"/>
          <w:color w:val="14131B"/>
          <w:sz w:val="21"/>
          <w:szCs w:val="21"/>
        </w:rPr>
        <w:t xml:space="preserve"> </w:t>
      </w:r>
      <w:r w:rsidRPr="0023003B">
        <w:rPr>
          <w:rFonts w:ascii="Abadi" w:hAnsi="Abadi" w:cs="*Arial-5935-Identity-H"/>
          <w:color w:val="14131B"/>
          <w:sz w:val="21"/>
          <w:szCs w:val="21"/>
        </w:rPr>
        <w:t>Armonización Contable, publicados en el Diario Oficial de la Federación el 15 de</w:t>
      </w:r>
      <w:r>
        <w:rPr>
          <w:rFonts w:ascii="Abadi" w:hAnsi="Abadi" w:cs="*Arial-5935-Identity-H"/>
          <w:color w:val="14131B"/>
          <w:sz w:val="21"/>
          <w:szCs w:val="21"/>
        </w:rPr>
        <w:t xml:space="preserve"> </w:t>
      </w:r>
      <w:r w:rsidRPr="0023003B">
        <w:rPr>
          <w:rFonts w:ascii="Abadi" w:hAnsi="Abadi" w:cs="*Arial-5935-Identity-H"/>
          <w:color w:val="14131B"/>
          <w:sz w:val="21"/>
          <w:szCs w:val="21"/>
        </w:rPr>
        <w:t>mayo de 2013, entre otros.</w:t>
      </w:r>
    </w:p>
    <w:p w14:paraId="7465D0BB" w14:textId="77777777" w:rsidR="002B0CBC" w:rsidRPr="0023003B" w:rsidRDefault="002B0CBC" w:rsidP="002B0CBC">
      <w:pPr>
        <w:autoSpaceDE w:val="0"/>
        <w:autoSpaceDN w:val="0"/>
        <w:adjustRightInd w:val="0"/>
        <w:jc w:val="both"/>
        <w:rPr>
          <w:rFonts w:ascii="Abadi" w:hAnsi="Abadi" w:cs="*Arial-5935-Identity-H"/>
          <w:color w:val="14131B"/>
          <w:sz w:val="21"/>
          <w:szCs w:val="21"/>
        </w:rPr>
      </w:pPr>
    </w:p>
    <w:p w14:paraId="01059D68" w14:textId="77777777" w:rsidR="002B0CBC" w:rsidRDefault="002B0CBC" w:rsidP="002B0CBC">
      <w:pPr>
        <w:autoSpaceDE w:val="0"/>
        <w:autoSpaceDN w:val="0"/>
        <w:adjustRightInd w:val="0"/>
        <w:ind w:firstLine="708"/>
        <w:jc w:val="both"/>
        <w:rPr>
          <w:rFonts w:ascii="Abadi" w:hAnsi="Abadi" w:cs="*Arial-5935-Identity-H"/>
          <w:color w:val="13131B"/>
          <w:sz w:val="21"/>
          <w:szCs w:val="21"/>
        </w:rPr>
      </w:pPr>
      <w:r w:rsidRPr="0023003B">
        <w:rPr>
          <w:rFonts w:ascii="Abadi" w:hAnsi="Abadi" w:cs="*Arial-5935-Identity-H"/>
          <w:color w:val="13131B"/>
          <w:sz w:val="21"/>
          <w:szCs w:val="21"/>
        </w:rPr>
        <w:t>En el punto correspondiente a estructura del informe y valoración, se señala</w:t>
      </w:r>
      <w:r>
        <w:rPr>
          <w:rFonts w:ascii="Abadi" w:hAnsi="Abadi" w:cs="*Arial-5935-Identity-H"/>
          <w:color w:val="13131B"/>
          <w:sz w:val="21"/>
          <w:szCs w:val="21"/>
        </w:rPr>
        <w:t xml:space="preserve"> </w:t>
      </w:r>
      <w:r w:rsidRPr="0023003B">
        <w:rPr>
          <w:rFonts w:ascii="Abadi" w:hAnsi="Abadi" w:cs="*Arial-5935-Identity-H"/>
          <w:color w:val="13131B"/>
          <w:sz w:val="21"/>
          <w:szCs w:val="21"/>
        </w:rPr>
        <w:t>que el informe de resultados es el documento técnico en el que se presentan los</w:t>
      </w:r>
      <w:r>
        <w:rPr>
          <w:rFonts w:ascii="Abadi" w:hAnsi="Abadi" w:cs="*Arial-5935-Identity-H"/>
          <w:color w:val="13131B"/>
          <w:sz w:val="21"/>
          <w:szCs w:val="21"/>
        </w:rPr>
        <w:t xml:space="preserve"> </w:t>
      </w:r>
      <w:r w:rsidRPr="0023003B">
        <w:rPr>
          <w:rFonts w:ascii="Abadi" w:hAnsi="Abadi" w:cs="*Arial-5935-Identity-H"/>
          <w:color w:val="13131B"/>
          <w:sz w:val="21"/>
          <w:szCs w:val="21"/>
        </w:rPr>
        <w:t>datos e información que identifican una revisión, las conclusiones y las</w:t>
      </w:r>
      <w:r>
        <w:rPr>
          <w:rFonts w:ascii="Abadi" w:hAnsi="Abadi" w:cs="*Arial-5935-Identity-H"/>
          <w:color w:val="13131B"/>
          <w:sz w:val="21"/>
          <w:szCs w:val="21"/>
        </w:rPr>
        <w:t xml:space="preserve"> </w:t>
      </w:r>
      <w:r w:rsidRPr="0023003B">
        <w:rPr>
          <w:rFonts w:ascii="Abadi" w:hAnsi="Abadi" w:cs="*Arial-5935-Identity-H"/>
          <w:color w:val="13131B"/>
          <w:sz w:val="21"/>
          <w:szCs w:val="21"/>
        </w:rPr>
        <w:t>recomendaciones al desempeño que se propondrán al ente fiscalizador.</w:t>
      </w:r>
      <w:r>
        <w:rPr>
          <w:rFonts w:ascii="Abadi" w:hAnsi="Abadi" w:cs="*Arial-5935-Identity-H"/>
          <w:color w:val="13131B"/>
          <w:sz w:val="21"/>
          <w:szCs w:val="21"/>
        </w:rPr>
        <w:t xml:space="preserve"> </w:t>
      </w:r>
    </w:p>
    <w:p w14:paraId="4F7461D7" w14:textId="77777777" w:rsidR="002B0CBC" w:rsidRDefault="002B0CBC" w:rsidP="002B0CBC">
      <w:pPr>
        <w:autoSpaceDE w:val="0"/>
        <w:autoSpaceDN w:val="0"/>
        <w:adjustRightInd w:val="0"/>
        <w:jc w:val="both"/>
        <w:rPr>
          <w:rFonts w:ascii="Abadi" w:hAnsi="Abadi" w:cs="*Arial-5935-Identity-H"/>
          <w:color w:val="13131B"/>
          <w:sz w:val="21"/>
          <w:szCs w:val="21"/>
        </w:rPr>
      </w:pPr>
    </w:p>
    <w:p w14:paraId="3EDA64C0" w14:textId="77777777" w:rsidR="002B0CBC" w:rsidRDefault="002B0CBC" w:rsidP="002B0CBC">
      <w:pPr>
        <w:autoSpaceDE w:val="0"/>
        <w:autoSpaceDN w:val="0"/>
        <w:adjustRightInd w:val="0"/>
        <w:ind w:firstLine="708"/>
        <w:jc w:val="both"/>
        <w:rPr>
          <w:rFonts w:ascii="Abadi" w:hAnsi="Abadi" w:cs="*Arial-5935-Identity-H"/>
          <w:color w:val="14131C"/>
          <w:sz w:val="21"/>
          <w:szCs w:val="21"/>
        </w:rPr>
      </w:pPr>
      <w:r w:rsidRPr="0023003B">
        <w:rPr>
          <w:rFonts w:ascii="Abadi" w:hAnsi="Abadi" w:cs="*Arial-5935-Identity-H"/>
          <w:color w:val="14131C"/>
          <w:sz w:val="21"/>
          <w:szCs w:val="21"/>
        </w:rPr>
        <w:t>Asimismo, se refiere que el artículo 26 del Reglamento de la Ley de</w:t>
      </w:r>
      <w:r>
        <w:rPr>
          <w:rFonts w:ascii="Abadi" w:hAnsi="Abadi" w:cs="*Arial-5935-Identity-H"/>
          <w:color w:val="14131C"/>
          <w:sz w:val="21"/>
          <w:szCs w:val="21"/>
        </w:rPr>
        <w:t xml:space="preserve"> </w:t>
      </w:r>
      <w:r w:rsidRPr="0023003B">
        <w:rPr>
          <w:rFonts w:ascii="Abadi" w:hAnsi="Abadi" w:cs="*Arial-5935-Identity-H"/>
          <w:color w:val="14131C"/>
          <w:sz w:val="21"/>
          <w:szCs w:val="21"/>
        </w:rPr>
        <w:t>Fiscalización Superior del Estado de Guanajuato establece los requisitos mínimos</w:t>
      </w:r>
      <w:r>
        <w:rPr>
          <w:rFonts w:ascii="Abadi" w:hAnsi="Abadi" w:cs="*Arial-5935-Identity-H"/>
          <w:color w:val="14131C"/>
          <w:sz w:val="21"/>
          <w:szCs w:val="21"/>
        </w:rPr>
        <w:t xml:space="preserve"> </w:t>
      </w:r>
      <w:r w:rsidRPr="0023003B">
        <w:rPr>
          <w:rFonts w:ascii="Abadi" w:hAnsi="Abadi" w:cs="*Arial-5935-Identity-H"/>
          <w:color w:val="14131C"/>
          <w:sz w:val="21"/>
          <w:szCs w:val="21"/>
        </w:rPr>
        <w:t>que deben contener los informes de resultados de las auditorías de desempeño,</w:t>
      </w:r>
      <w:r>
        <w:rPr>
          <w:rFonts w:ascii="Abadi" w:hAnsi="Abadi" w:cs="*Arial-5935-Identity-H"/>
          <w:color w:val="14131C"/>
          <w:sz w:val="21"/>
          <w:szCs w:val="21"/>
        </w:rPr>
        <w:t xml:space="preserve"> </w:t>
      </w:r>
      <w:r w:rsidRPr="0023003B">
        <w:rPr>
          <w:rFonts w:ascii="Abadi" w:hAnsi="Abadi" w:cs="*Arial-5935-Identity-H"/>
          <w:color w:val="14131C"/>
          <w:sz w:val="21"/>
          <w:szCs w:val="21"/>
        </w:rPr>
        <w:t>los cuales se cumplieron en la formulación del informe de resultados.</w:t>
      </w:r>
      <w:r>
        <w:rPr>
          <w:rFonts w:ascii="Abadi" w:hAnsi="Abadi" w:cs="*Arial-5935-Identity-H"/>
          <w:color w:val="14131C"/>
          <w:sz w:val="21"/>
          <w:szCs w:val="21"/>
        </w:rPr>
        <w:t xml:space="preserve"> </w:t>
      </w:r>
    </w:p>
    <w:p w14:paraId="5B57F16A" w14:textId="77777777" w:rsidR="002B0CBC" w:rsidRDefault="002B0CBC" w:rsidP="002B0CBC">
      <w:pPr>
        <w:autoSpaceDE w:val="0"/>
        <w:autoSpaceDN w:val="0"/>
        <w:adjustRightInd w:val="0"/>
        <w:jc w:val="both"/>
        <w:rPr>
          <w:rFonts w:ascii="Abadi" w:hAnsi="Abadi" w:cs="*Arial-5935-Identity-H"/>
          <w:color w:val="14131C"/>
          <w:sz w:val="21"/>
          <w:szCs w:val="21"/>
        </w:rPr>
      </w:pPr>
    </w:p>
    <w:p w14:paraId="57D55D47" w14:textId="77777777" w:rsidR="002B0CBC" w:rsidRDefault="002B0CBC" w:rsidP="002B0CBC">
      <w:pPr>
        <w:autoSpaceDE w:val="0"/>
        <w:autoSpaceDN w:val="0"/>
        <w:adjustRightInd w:val="0"/>
        <w:ind w:firstLine="708"/>
        <w:jc w:val="both"/>
        <w:rPr>
          <w:rFonts w:ascii="Abadi" w:hAnsi="Abadi" w:cs="*Arial-5851-Identity-H"/>
          <w:color w:val="15141C"/>
          <w:sz w:val="21"/>
          <w:szCs w:val="21"/>
        </w:rPr>
      </w:pPr>
      <w:r w:rsidRPr="0023003B">
        <w:rPr>
          <w:rFonts w:ascii="Abadi" w:hAnsi="Abadi" w:cs="*Arial-5935-Identity-H"/>
          <w:color w:val="14131B"/>
          <w:sz w:val="21"/>
          <w:szCs w:val="21"/>
        </w:rPr>
        <w:t>Por lo que hace a la valoración de la respuesta del sujeto fiscalizado, el</w:t>
      </w:r>
      <w:r>
        <w:rPr>
          <w:rFonts w:ascii="Abadi" w:hAnsi="Abadi" w:cs="*Arial-5935-Identity-H"/>
          <w:color w:val="14131B"/>
          <w:sz w:val="21"/>
          <w:szCs w:val="21"/>
        </w:rPr>
        <w:t xml:space="preserve"> </w:t>
      </w:r>
      <w:r w:rsidRPr="0023003B">
        <w:rPr>
          <w:rFonts w:ascii="Abadi" w:hAnsi="Abadi" w:cs="*Arial-5935-Identity-H"/>
          <w:color w:val="14131B"/>
          <w:sz w:val="21"/>
          <w:szCs w:val="21"/>
        </w:rPr>
        <w:t>Órgano Técnico determinó lo conducente respecto a las recomendaciones</w:t>
      </w:r>
      <w:r>
        <w:rPr>
          <w:rFonts w:ascii="Abadi" w:hAnsi="Abadi" w:cs="*Arial-5935-Identity-H"/>
          <w:color w:val="14131B"/>
          <w:sz w:val="21"/>
          <w:szCs w:val="21"/>
        </w:rPr>
        <w:t xml:space="preserve"> </w:t>
      </w:r>
      <w:r w:rsidRPr="0023003B">
        <w:rPr>
          <w:rFonts w:ascii="Abadi" w:hAnsi="Abadi" w:cs="*Arial-5935-Identity-H"/>
          <w:color w:val="14131B"/>
          <w:sz w:val="21"/>
          <w:szCs w:val="21"/>
        </w:rPr>
        <w:t>emitidas, para lo cual realizó un análisis de la documentación y evidencia</w:t>
      </w:r>
      <w:r>
        <w:rPr>
          <w:rFonts w:ascii="Abadi" w:hAnsi="Abadi" w:cs="*Arial-5935-Identity-H"/>
          <w:color w:val="14131B"/>
          <w:sz w:val="21"/>
          <w:szCs w:val="21"/>
        </w:rPr>
        <w:t xml:space="preserve"> </w:t>
      </w:r>
      <w:r w:rsidRPr="0023003B">
        <w:rPr>
          <w:rFonts w:ascii="Abadi" w:hAnsi="Abadi" w:cs="*Arial-5935-Identity-H"/>
          <w:color w:val="14131B"/>
          <w:sz w:val="21"/>
          <w:szCs w:val="21"/>
        </w:rPr>
        <w:t>proporcionada por el sujeto fiscalizado, a fin de valorar si este efectuó mejoras, si</w:t>
      </w:r>
      <w:r>
        <w:rPr>
          <w:rFonts w:ascii="Abadi" w:hAnsi="Abadi" w:cs="*Arial-5935-Identity-H"/>
          <w:color w:val="14131B"/>
          <w:sz w:val="21"/>
          <w:szCs w:val="21"/>
        </w:rPr>
        <w:t xml:space="preserve"> </w:t>
      </w:r>
      <w:r w:rsidRPr="0023003B">
        <w:rPr>
          <w:rFonts w:ascii="Abadi" w:hAnsi="Abadi" w:cs="*Arial-5935-Identity-H"/>
          <w:color w:val="14131B"/>
          <w:sz w:val="21"/>
          <w:szCs w:val="21"/>
        </w:rPr>
        <w:t>realizará alguna acción o emitió la justificación correspondiente sobre la</w:t>
      </w:r>
      <w:r>
        <w:rPr>
          <w:rFonts w:ascii="Abadi" w:hAnsi="Abadi" w:cs="*Arial-5935-Identity-H"/>
          <w:color w:val="14131B"/>
          <w:sz w:val="21"/>
          <w:szCs w:val="21"/>
        </w:rPr>
        <w:t xml:space="preserve"> </w:t>
      </w:r>
      <w:r w:rsidRPr="0023003B">
        <w:rPr>
          <w:rFonts w:ascii="Abadi" w:hAnsi="Abadi" w:cs="*Arial-5935-Identity-H"/>
          <w:color w:val="14131B"/>
          <w:sz w:val="21"/>
          <w:szCs w:val="21"/>
        </w:rPr>
        <w:t>improcedencia por la cual no resulte factible su implementación o bien, la</w:t>
      </w:r>
      <w:r>
        <w:rPr>
          <w:rFonts w:ascii="Abadi" w:hAnsi="Abadi" w:cs="*Arial-5935-Identity-H"/>
          <w:color w:val="14131B"/>
          <w:sz w:val="21"/>
          <w:szCs w:val="21"/>
        </w:rPr>
        <w:t xml:space="preserve"> </w:t>
      </w:r>
      <w:r w:rsidRPr="0023003B">
        <w:rPr>
          <w:rFonts w:ascii="Abadi" w:hAnsi="Abadi" w:cs="*Arial-5935-Identity-H"/>
          <w:color w:val="14131B"/>
          <w:sz w:val="21"/>
          <w:szCs w:val="21"/>
        </w:rPr>
        <w:t>consideración de medidas alternas que fortalezcan el desempeño de la gestión</w:t>
      </w:r>
      <w:r>
        <w:rPr>
          <w:rFonts w:ascii="Abadi" w:hAnsi="Abadi" w:cs="*Arial-5935-Identity-H"/>
          <w:color w:val="14131B"/>
          <w:sz w:val="21"/>
          <w:szCs w:val="21"/>
        </w:rPr>
        <w:t xml:space="preserve"> </w:t>
      </w:r>
      <w:r w:rsidRPr="0023003B">
        <w:rPr>
          <w:rFonts w:ascii="Abadi" w:hAnsi="Abadi" w:cs="*Arial-5935-Identity-H"/>
          <w:color w:val="14131B"/>
          <w:sz w:val="21"/>
          <w:szCs w:val="21"/>
        </w:rPr>
        <w:t>pública. Asimismo, se señala que las recomendaciones efectuadas al sujeto</w:t>
      </w:r>
      <w:r>
        <w:rPr>
          <w:rFonts w:ascii="Abadi" w:hAnsi="Abadi" w:cs="*Arial-5935-Identity-H"/>
          <w:color w:val="14131B"/>
          <w:sz w:val="21"/>
          <w:szCs w:val="21"/>
        </w:rPr>
        <w:t xml:space="preserve"> </w:t>
      </w:r>
      <w:r w:rsidRPr="0023003B">
        <w:rPr>
          <w:rFonts w:ascii="Abadi" w:hAnsi="Abadi" w:cs="*Arial-5851-Identity-H"/>
          <w:color w:val="15141C"/>
          <w:sz w:val="21"/>
          <w:szCs w:val="21"/>
        </w:rPr>
        <w:t>fiscalizado podrían considerarse como persistentes, cuando no sea posible</w:t>
      </w:r>
      <w:r>
        <w:rPr>
          <w:rFonts w:ascii="Abadi" w:hAnsi="Abadi" w:cs="*Arial-5851-Identity-H"/>
          <w:color w:val="15141C"/>
          <w:sz w:val="21"/>
          <w:szCs w:val="21"/>
        </w:rPr>
        <w:t xml:space="preserve"> </w:t>
      </w:r>
      <w:r w:rsidRPr="0023003B">
        <w:rPr>
          <w:rFonts w:ascii="Abadi" w:hAnsi="Abadi" w:cs="*Arial-5851-Identity-H"/>
          <w:color w:val="15141C"/>
          <w:sz w:val="21"/>
          <w:szCs w:val="21"/>
        </w:rPr>
        <w:t>valorarlas en alguno de los supuestos antes referidos.</w:t>
      </w:r>
      <w:r>
        <w:rPr>
          <w:rFonts w:ascii="Abadi" w:hAnsi="Abadi" w:cs="*Arial-5851-Identity-H"/>
          <w:color w:val="15141C"/>
          <w:sz w:val="21"/>
          <w:szCs w:val="21"/>
        </w:rPr>
        <w:t xml:space="preserve"> </w:t>
      </w:r>
    </w:p>
    <w:p w14:paraId="2F684A9B" w14:textId="77777777" w:rsidR="002B0CBC" w:rsidRDefault="002B0CBC" w:rsidP="002B0CBC">
      <w:pPr>
        <w:autoSpaceDE w:val="0"/>
        <w:autoSpaceDN w:val="0"/>
        <w:adjustRightInd w:val="0"/>
        <w:jc w:val="both"/>
        <w:rPr>
          <w:rFonts w:ascii="Abadi" w:hAnsi="Abadi" w:cs="*Arial-5851-Identity-H"/>
          <w:color w:val="15141C"/>
          <w:sz w:val="21"/>
          <w:szCs w:val="21"/>
        </w:rPr>
      </w:pPr>
    </w:p>
    <w:p w14:paraId="4F02DFAB" w14:textId="77777777" w:rsidR="002B0CBC" w:rsidRDefault="002B0CBC" w:rsidP="002B0CBC">
      <w:pPr>
        <w:autoSpaceDE w:val="0"/>
        <w:autoSpaceDN w:val="0"/>
        <w:adjustRightInd w:val="0"/>
        <w:ind w:firstLine="708"/>
        <w:jc w:val="both"/>
        <w:rPr>
          <w:rFonts w:ascii="Abadi" w:hAnsi="Abadi" w:cs="*Arial-5851-Identity-H"/>
          <w:color w:val="14131D"/>
          <w:sz w:val="21"/>
          <w:szCs w:val="21"/>
        </w:rPr>
      </w:pPr>
      <w:r w:rsidRPr="0023003B">
        <w:rPr>
          <w:rFonts w:ascii="Abadi" w:hAnsi="Abadi" w:cs="*Arial-5851-Identity-H"/>
          <w:color w:val="14131D"/>
          <w:sz w:val="21"/>
          <w:szCs w:val="21"/>
        </w:rPr>
        <w:t>Es así, que la valoración realizada por la Auditoría Superior del Estado</w:t>
      </w:r>
      <w:r>
        <w:rPr>
          <w:rFonts w:ascii="Abadi" w:hAnsi="Abadi" w:cs="*Arial-5851-Identity-H"/>
          <w:color w:val="14131D"/>
          <w:sz w:val="21"/>
          <w:szCs w:val="21"/>
        </w:rPr>
        <w:t xml:space="preserve"> </w:t>
      </w:r>
      <w:r w:rsidRPr="0023003B">
        <w:rPr>
          <w:rFonts w:ascii="Abadi" w:hAnsi="Abadi" w:cs="*Arial-5851-Identity-H"/>
          <w:color w:val="14131D"/>
          <w:sz w:val="21"/>
          <w:szCs w:val="21"/>
        </w:rPr>
        <w:t>redunda en las manifestaciones, argumentos, acciones y evidencia presentada en</w:t>
      </w:r>
      <w:r>
        <w:rPr>
          <w:rFonts w:ascii="Abadi" w:hAnsi="Abadi" w:cs="*Arial-5851-Identity-H"/>
          <w:color w:val="14131D"/>
          <w:sz w:val="21"/>
          <w:szCs w:val="21"/>
        </w:rPr>
        <w:t xml:space="preserve"> </w:t>
      </w:r>
      <w:r w:rsidRPr="0023003B">
        <w:rPr>
          <w:rFonts w:ascii="Abadi" w:hAnsi="Abadi" w:cs="*Arial-5851-Identity-H"/>
          <w:color w:val="14131D"/>
          <w:sz w:val="21"/>
          <w:szCs w:val="21"/>
        </w:rPr>
        <w:t>la respuesta al pliego de recomendaciones, para lo cual la evidencia aportada por</w:t>
      </w:r>
      <w:r>
        <w:rPr>
          <w:rFonts w:ascii="Abadi" w:hAnsi="Abadi" w:cs="*Arial-5851-Identity-H"/>
          <w:color w:val="14131D"/>
          <w:sz w:val="21"/>
          <w:szCs w:val="21"/>
        </w:rPr>
        <w:t xml:space="preserve"> </w:t>
      </w:r>
      <w:r w:rsidRPr="0023003B">
        <w:rPr>
          <w:rFonts w:ascii="Abadi" w:hAnsi="Abadi" w:cs="*Arial-5851-Identity-H"/>
          <w:color w:val="14131D"/>
          <w:sz w:val="21"/>
          <w:szCs w:val="21"/>
        </w:rPr>
        <w:t>el sujeto fiscalizado debe ser competente, pertinente, suficiente y relevante.</w:t>
      </w:r>
      <w:r>
        <w:rPr>
          <w:rFonts w:ascii="Abadi" w:hAnsi="Abadi" w:cs="*Arial-5851-Identity-H"/>
          <w:color w:val="14131D"/>
          <w:sz w:val="21"/>
          <w:szCs w:val="21"/>
        </w:rPr>
        <w:t xml:space="preserve"> </w:t>
      </w:r>
    </w:p>
    <w:p w14:paraId="3C4B8846" w14:textId="77777777" w:rsidR="002B0CBC" w:rsidRDefault="002B0CBC" w:rsidP="002B0CBC">
      <w:pPr>
        <w:autoSpaceDE w:val="0"/>
        <w:autoSpaceDN w:val="0"/>
        <w:adjustRightInd w:val="0"/>
        <w:jc w:val="both"/>
        <w:rPr>
          <w:rFonts w:ascii="Abadi" w:hAnsi="Abadi" w:cs="*Arial-5851-Identity-H"/>
          <w:color w:val="14131D"/>
          <w:sz w:val="21"/>
          <w:szCs w:val="21"/>
        </w:rPr>
      </w:pPr>
    </w:p>
    <w:p w14:paraId="38B7C783" w14:textId="77777777" w:rsidR="002B0CBC" w:rsidRDefault="002B0CBC" w:rsidP="002B0CBC">
      <w:pPr>
        <w:autoSpaceDE w:val="0"/>
        <w:autoSpaceDN w:val="0"/>
        <w:adjustRightInd w:val="0"/>
        <w:jc w:val="both"/>
        <w:rPr>
          <w:rFonts w:ascii="Abadi" w:hAnsi="Abadi" w:cs="*Arial-5851-Identity-H"/>
          <w:color w:val="15141C"/>
          <w:sz w:val="21"/>
          <w:szCs w:val="21"/>
        </w:rPr>
      </w:pPr>
      <w:r w:rsidRPr="0023003B">
        <w:rPr>
          <w:rFonts w:ascii="Abadi" w:hAnsi="Abadi" w:cs="*Arial-5851-Identity-H"/>
          <w:color w:val="15141C"/>
          <w:sz w:val="21"/>
          <w:szCs w:val="21"/>
        </w:rPr>
        <w:t>Respecto al objetivo y alcance de la auditoría se señala que de acuerdo a la</w:t>
      </w:r>
      <w:r>
        <w:rPr>
          <w:rFonts w:ascii="Abadi" w:hAnsi="Abadi" w:cs="*Arial-5851-Identity-H"/>
          <w:color w:val="15141C"/>
          <w:sz w:val="21"/>
          <w:szCs w:val="21"/>
        </w:rPr>
        <w:t xml:space="preserve"> </w:t>
      </w:r>
      <w:r w:rsidRPr="0023003B">
        <w:rPr>
          <w:rFonts w:ascii="Abadi" w:hAnsi="Abadi" w:cs="*Arial-5851-Identity-H"/>
          <w:color w:val="15141C"/>
          <w:sz w:val="21"/>
          <w:szCs w:val="21"/>
        </w:rPr>
        <w:t>Organización Internacional de las Entidades Fiscalizadoras Superiores, para las</w:t>
      </w:r>
      <w:r>
        <w:rPr>
          <w:rFonts w:ascii="Abadi" w:hAnsi="Abadi" w:cs="*Arial-5851-Identity-H"/>
          <w:color w:val="15141C"/>
          <w:sz w:val="21"/>
          <w:szCs w:val="21"/>
        </w:rPr>
        <w:t xml:space="preserve"> </w:t>
      </w:r>
      <w:r w:rsidRPr="0023003B">
        <w:rPr>
          <w:rFonts w:ascii="Abadi" w:hAnsi="Abadi" w:cs="*Arial-5851-Identity-H"/>
          <w:color w:val="15141C"/>
          <w:sz w:val="21"/>
          <w:szCs w:val="21"/>
        </w:rPr>
        <w:t>auditorías de desempeño existen tres enfoques que están orientados a los</w:t>
      </w:r>
      <w:r>
        <w:rPr>
          <w:rFonts w:ascii="Abadi" w:hAnsi="Abadi" w:cs="*Arial-5851-Identity-H"/>
          <w:color w:val="15141C"/>
          <w:sz w:val="21"/>
          <w:szCs w:val="21"/>
        </w:rPr>
        <w:t xml:space="preserve"> </w:t>
      </w:r>
      <w:r w:rsidRPr="0023003B">
        <w:rPr>
          <w:rFonts w:ascii="Abadi" w:hAnsi="Abadi" w:cs="*Arial-5851-Identity-H"/>
          <w:color w:val="15141C"/>
          <w:sz w:val="21"/>
          <w:szCs w:val="21"/>
        </w:rPr>
        <w:t>siguientes aspectos: Al sistema, el cual examina el funcionamiento adecuado de</w:t>
      </w:r>
      <w:r>
        <w:rPr>
          <w:rFonts w:ascii="Abadi" w:hAnsi="Abadi" w:cs="*Arial-5851-Identity-H"/>
          <w:color w:val="15141C"/>
          <w:sz w:val="21"/>
          <w:szCs w:val="21"/>
        </w:rPr>
        <w:t xml:space="preserve"> </w:t>
      </w:r>
      <w:r w:rsidRPr="0023003B">
        <w:rPr>
          <w:rFonts w:ascii="Abadi" w:hAnsi="Abadi" w:cs="*Arial-5851-Identity-H"/>
          <w:color w:val="15141C"/>
          <w:sz w:val="21"/>
          <w:szCs w:val="21"/>
        </w:rPr>
        <w:t>los sistemas de gestión; a los resultados, en el que se evalúa si los objetivos en</w:t>
      </w:r>
      <w:r>
        <w:rPr>
          <w:rFonts w:ascii="Abadi" w:hAnsi="Abadi" w:cs="*Arial-5851-Identity-H"/>
          <w:color w:val="15141C"/>
          <w:sz w:val="21"/>
          <w:szCs w:val="21"/>
        </w:rPr>
        <w:t xml:space="preserve"> </w:t>
      </w:r>
      <w:r w:rsidRPr="0023003B">
        <w:rPr>
          <w:rFonts w:ascii="Abadi" w:hAnsi="Abadi" w:cs="*Arial-5851-Identity-H"/>
          <w:color w:val="15141C"/>
          <w:sz w:val="21"/>
          <w:szCs w:val="21"/>
        </w:rPr>
        <w:t>términos de resultados o productos han sido alcanzados como se deseaba, o si</w:t>
      </w:r>
      <w:r>
        <w:rPr>
          <w:rFonts w:ascii="Abadi" w:hAnsi="Abadi" w:cs="*Arial-5851-Identity-H"/>
          <w:color w:val="15141C"/>
          <w:sz w:val="21"/>
          <w:szCs w:val="21"/>
        </w:rPr>
        <w:t xml:space="preserve"> </w:t>
      </w:r>
      <w:r w:rsidRPr="0023003B">
        <w:rPr>
          <w:rFonts w:ascii="Abadi" w:hAnsi="Abadi" w:cs="*Arial-5851-Identity-H"/>
          <w:color w:val="15141C"/>
          <w:sz w:val="21"/>
          <w:szCs w:val="21"/>
        </w:rPr>
        <w:t>los programas y servicios operan como se esperaba; y al problema, el cual</w:t>
      </w:r>
      <w:r>
        <w:rPr>
          <w:rFonts w:ascii="Abadi" w:hAnsi="Abadi" w:cs="*Arial-5851-Identity-H"/>
          <w:color w:val="15141C"/>
          <w:sz w:val="21"/>
          <w:szCs w:val="21"/>
        </w:rPr>
        <w:t xml:space="preserve"> </w:t>
      </w:r>
      <w:r w:rsidRPr="0023003B">
        <w:rPr>
          <w:rFonts w:ascii="Abadi" w:hAnsi="Abadi" w:cs="*Arial-5851-Identity-H"/>
          <w:color w:val="15141C"/>
          <w:sz w:val="21"/>
          <w:szCs w:val="21"/>
        </w:rPr>
        <w:t>examina, verifica y analiza las causas de los problemas particulares o</w:t>
      </w:r>
      <w:r>
        <w:rPr>
          <w:rFonts w:ascii="Abadi" w:hAnsi="Abadi" w:cs="*Arial-5851-Identity-H"/>
          <w:color w:val="15141C"/>
          <w:sz w:val="21"/>
          <w:szCs w:val="21"/>
        </w:rPr>
        <w:t xml:space="preserve"> </w:t>
      </w:r>
      <w:r w:rsidRPr="0023003B">
        <w:rPr>
          <w:rFonts w:ascii="Abadi" w:hAnsi="Abadi" w:cs="*Arial-5851-Identity-H"/>
          <w:color w:val="15141C"/>
          <w:sz w:val="21"/>
          <w:szCs w:val="21"/>
        </w:rPr>
        <w:t>desviaciones de los criterios establecidos, precisando que dichos enfoques no son</w:t>
      </w:r>
      <w:r>
        <w:rPr>
          <w:rFonts w:ascii="Abadi" w:hAnsi="Abadi" w:cs="*Arial-5851-Identity-H"/>
          <w:color w:val="15141C"/>
          <w:sz w:val="21"/>
          <w:szCs w:val="21"/>
        </w:rPr>
        <w:t xml:space="preserve"> </w:t>
      </w:r>
      <w:r w:rsidRPr="0023003B">
        <w:rPr>
          <w:rFonts w:ascii="Abadi" w:hAnsi="Abadi" w:cs="*Arial-5851-Identity-H"/>
          <w:color w:val="15141C"/>
          <w:sz w:val="21"/>
          <w:szCs w:val="21"/>
        </w:rPr>
        <w:t>excluyentes.</w:t>
      </w:r>
    </w:p>
    <w:p w14:paraId="7D6DBD82" w14:textId="77777777" w:rsidR="002B0CBC" w:rsidRPr="0023003B" w:rsidRDefault="002B0CBC" w:rsidP="002B0CBC">
      <w:pPr>
        <w:autoSpaceDE w:val="0"/>
        <w:autoSpaceDN w:val="0"/>
        <w:adjustRightInd w:val="0"/>
        <w:jc w:val="both"/>
        <w:rPr>
          <w:rFonts w:ascii="Abadi" w:hAnsi="Abadi" w:cs="*Arial-5851-Identity-H"/>
          <w:color w:val="15141C"/>
          <w:sz w:val="21"/>
          <w:szCs w:val="21"/>
        </w:rPr>
      </w:pPr>
    </w:p>
    <w:p w14:paraId="760C2B05" w14:textId="77777777" w:rsidR="002B0CBC" w:rsidRDefault="002B0CBC" w:rsidP="002B0CBC">
      <w:pPr>
        <w:autoSpaceDE w:val="0"/>
        <w:autoSpaceDN w:val="0"/>
        <w:adjustRightInd w:val="0"/>
        <w:ind w:firstLine="708"/>
        <w:jc w:val="both"/>
        <w:rPr>
          <w:rFonts w:ascii="Abadi" w:hAnsi="Abadi" w:cs="*Arial-5851-Identity-H"/>
          <w:color w:val="15141C"/>
          <w:sz w:val="21"/>
          <w:szCs w:val="21"/>
        </w:rPr>
      </w:pPr>
      <w:r w:rsidRPr="0023003B">
        <w:rPr>
          <w:rFonts w:ascii="Abadi" w:hAnsi="Abadi" w:cs="*Arial-5851-Identity-H"/>
          <w:color w:val="15141C"/>
          <w:sz w:val="21"/>
          <w:szCs w:val="21"/>
        </w:rPr>
        <w:t>Es así, que en las auditorías de desempeño practicadas por la Auditoría</w:t>
      </w:r>
      <w:r>
        <w:rPr>
          <w:rFonts w:ascii="Abadi" w:hAnsi="Abadi" w:cs="*Arial-5851-Identity-H"/>
          <w:color w:val="15141C"/>
          <w:sz w:val="21"/>
          <w:szCs w:val="21"/>
        </w:rPr>
        <w:t xml:space="preserve"> </w:t>
      </w:r>
      <w:r w:rsidRPr="0023003B">
        <w:rPr>
          <w:rFonts w:ascii="Abadi" w:hAnsi="Abadi" w:cs="*Arial-5851-Identity-H"/>
          <w:color w:val="15141C"/>
          <w:sz w:val="21"/>
          <w:szCs w:val="21"/>
        </w:rPr>
        <w:t>Superior del Estado se consideran dichos enfoques.</w:t>
      </w:r>
    </w:p>
    <w:p w14:paraId="4BDB5654" w14:textId="77777777" w:rsidR="002B0CBC" w:rsidRPr="0023003B" w:rsidRDefault="002B0CBC" w:rsidP="002B0CBC">
      <w:pPr>
        <w:autoSpaceDE w:val="0"/>
        <w:autoSpaceDN w:val="0"/>
        <w:adjustRightInd w:val="0"/>
        <w:jc w:val="both"/>
        <w:rPr>
          <w:rFonts w:ascii="Abadi" w:hAnsi="Abadi" w:cs="*Arial-5851-Identity-H"/>
          <w:color w:val="15141C"/>
          <w:sz w:val="21"/>
          <w:szCs w:val="21"/>
        </w:rPr>
      </w:pPr>
    </w:p>
    <w:p w14:paraId="388BA391" w14:textId="77777777" w:rsidR="002B0CBC" w:rsidRDefault="002B0CBC" w:rsidP="002B0CBC">
      <w:pPr>
        <w:autoSpaceDE w:val="0"/>
        <w:autoSpaceDN w:val="0"/>
        <w:adjustRightInd w:val="0"/>
        <w:ind w:firstLine="708"/>
        <w:jc w:val="both"/>
        <w:rPr>
          <w:rFonts w:ascii="Abadi" w:hAnsi="Abadi" w:cs="*Arial-5851-Identity-H"/>
          <w:color w:val="14141C"/>
          <w:sz w:val="21"/>
          <w:szCs w:val="21"/>
        </w:rPr>
      </w:pPr>
      <w:r w:rsidRPr="0023003B">
        <w:rPr>
          <w:rFonts w:ascii="Abadi" w:hAnsi="Abadi" w:cs="*Arial-5851-Identity-H"/>
          <w:color w:val="14141C"/>
          <w:sz w:val="21"/>
          <w:szCs w:val="21"/>
        </w:rPr>
        <w:t>En la auditoría que nos ocupa se aplicó un enfoque de resultados. Dicha</w:t>
      </w:r>
      <w:r>
        <w:rPr>
          <w:rFonts w:ascii="Abadi" w:hAnsi="Abadi" w:cs="*Arial-5851-Identity-H"/>
          <w:color w:val="14141C"/>
          <w:sz w:val="21"/>
          <w:szCs w:val="21"/>
        </w:rPr>
        <w:t xml:space="preserve"> </w:t>
      </w:r>
      <w:r w:rsidRPr="0023003B">
        <w:rPr>
          <w:rFonts w:ascii="Abadi" w:hAnsi="Abadi" w:cs="*Arial-5851-Identity-H"/>
          <w:color w:val="14141C"/>
          <w:sz w:val="21"/>
          <w:szCs w:val="21"/>
        </w:rPr>
        <w:t>auditoría fue seleccionada e incluida en el Programa General de Fiscalización para</w:t>
      </w:r>
      <w:r>
        <w:rPr>
          <w:rFonts w:ascii="Abadi" w:hAnsi="Abadi" w:cs="*Arial-5851-Identity-H"/>
          <w:color w:val="14141C"/>
          <w:sz w:val="21"/>
          <w:szCs w:val="21"/>
        </w:rPr>
        <w:t xml:space="preserve"> </w:t>
      </w:r>
      <w:r w:rsidRPr="0023003B">
        <w:rPr>
          <w:rFonts w:ascii="Abadi" w:hAnsi="Abadi" w:cs="*Arial-5851-Identity-H"/>
          <w:color w:val="14141C"/>
          <w:sz w:val="21"/>
          <w:szCs w:val="21"/>
        </w:rPr>
        <w:t>el ejercicio 2021, considerando diversos criterios metodológicos y tuvo como</w:t>
      </w:r>
      <w:r>
        <w:rPr>
          <w:rFonts w:ascii="Abadi" w:hAnsi="Abadi" w:cs="*Arial-5851-Identity-H"/>
          <w:color w:val="14141C"/>
          <w:sz w:val="21"/>
          <w:szCs w:val="21"/>
        </w:rPr>
        <w:t xml:space="preserve"> </w:t>
      </w:r>
      <w:r w:rsidRPr="0023003B">
        <w:rPr>
          <w:rFonts w:ascii="Abadi" w:hAnsi="Abadi" w:cs="*Arial-5851-Identity-H"/>
          <w:color w:val="14141C"/>
          <w:sz w:val="21"/>
          <w:szCs w:val="21"/>
        </w:rPr>
        <w:t>objetivo general, de acuerdo con los principios, conceptos y directrices de las</w:t>
      </w:r>
      <w:r>
        <w:rPr>
          <w:rFonts w:ascii="Abadi" w:hAnsi="Abadi" w:cs="*Arial-5851-Identity-H"/>
          <w:color w:val="14141C"/>
          <w:sz w:val="21"/>
          <w:szCs w:val="21"/>
        </w:rPr>
        <w:t xml:space="preserve"> </w:t>
      </w:r>
      <w:r w:rsidRPr="0023003B">
        <w:rPr>
          <w:rFonts w:ascii="Abadi" w:hAnsi="Abadi" w:cs="*Arial-5851-Identity-H"/>
          <w:color w:val="14141C"/>
          <w:sz w:val="21"/>
          <w:szCs w:val="21"/>
        </w:rPr>
        <w:t>Normas Profesionales de Auditoría del Sistema Nacional de Fiscalización,</w:t>
      </w:r>
      <w:r>
        <w:rPr>
          <w:rFonts w:ascii="Abadi" w:hAnsi="Abadi" w:cs="*Arial-5851-Identity-H"/>
          <w:color w:val="14141C"/>
          <w:sz w:val="21"/>
          <w:szCs w:val="21"/>
        </w:rPr>
        <w:t xml:space="preserve"> </w:t>
      </w:r>
      <w:r w:rsidRPr="0023003B">
        <w:rPr>
          <w:rFonts w:ascii="Abadi" w:hAnsi="Abadi" w:cs="*Arial-5851-Identity-H"/>
          <w:color w:val="14141C"/>
          <w:sz w:val="21"/>
          <w:szCs w:val="21"/>
        </w:rPr>
        <w:t>fiscalizar la contribución de la entrega y canje de los vales Grandeza como</w:t>
      </w:r>
      <w:r>
        <w:rPr>
          <w:rFonts w:ascii="Abadi" w:hAnsi="Abadi" w:cs="*Arial-5851-Identity-H"/>
          <w:color w:val="14141C"/>
          <w:sz w:val="21"/>
          <w:szCs w:val="21"/>
        </w:rPr>
        <w:t xml:space="preserve"> </w:t>
      </w:r>
      <w:r w:rsidRPr="0023003B">
        <w:rPr>
          <w:rFonts w:ascii="Abadi" w:hAnsi="Abadi" w:cs="*Arial-5851-Identity-H"/>
          <w:color w:val="14141C"/>
          <w:sz w:val="21"/>
          <w:szCs w:val="21"/>
        </w:rPr>
        <w:t>programa emergente para reducir los riesgos económicos provocados por la</w:t>
      </w:r>
      <w:r>
        <w:rPr>
          <w:rFonts w:ascii="Abadi" w:hAnsi="Abadi" w:cs="*Arial-5851-Identity-H"/>
          <w:color w:val="14141C"/>
          <w:sz w:val="21"/>
          <w:szCs w:val="21"/>
        </w:rPr>
        <w:t xml:space="preserve"> </w:t>
      </w:r>
      <w:r w:rsidRPr="0023003B">
        <w:rPr>
          <w:rFonts w:ascii="Abadi" w:hAnsi="Abadi" w:cs="*Arial-5851-Identity-H"/>
          <w:color w:val="14141C"/>
          <w:sz w:val="21"/>
          <w:szCs w:val="21"/>
        </w:rPr>
        <w:t>contingencia sanitaria del COVID-19 a la población vulnerable por ingresos y los</w:t>
      </w:r>
      <w:r>
        <w:rPr>
          <w:rFonts w:ascii="Abadi" w:hAnsi="Abadi" w:cs="*Arial-5851-Identity-H"/>
          <w:color w:val="14141C"/>
          <w:sz w:val="21"/>
          <w:szCs w:val="21"/>
        </w:rPr>
        <w:t xml:space="preserve"> </w:t>
      </w:r>
      <w:r w:rsidRPr="0023003B">
        <w:rPr>
          <w:rFonts w:ascii="Abadi" w:hAnsi="Abadi" w:cs="*Arial-5851-Identity-H"/>
          <w:color w:val="14141C"/>
          <w:sz w:val="21"/>
          <w:szCs w:val="21"/>
        </w:rPr>
        <w:t>comercios locales.</w:t>
      </w:r>
    </w:p>
    <w:p w14:paraId="600EBD5A" w14:textId="77777777" w:rsidR="002B0CBC" w:rsidRPr="0023003B" w:rsidRDefault="002B0CBC" w:rsidP="002B0CBC">
      <w:pPr>
        <w:autoSpaceDE w:val="0"/>
        <w:autoSpaceDN w:val="0"/>
        <w:adjustRightInd w:val="0"/>
        <w:jc w:val="both"/>
        <w:rPr>
          <w:rFonts w:ascii="Abadi" w:hAnsi="Abadi" w:cs="*Arial-5851-Identity-H"/>
          <w:color w:val="14141C"/>
          <w:sz w:val="21"/>
          <w:szCs w:val="21"/>
        </w:rPr>
      </w:pPr>
    </w:p>
    <w:p w14:paraId="30831112" w14:textId="77777777" w:rsidR="002B0CBC" w:rsidRDefault="002B0CBC" w:rsidP="002B0CBC">
      <w:pPr>
        <w:autoSpaceDE w:val="0"/>
        <w:autoSpaceDN w:val="0"/>
        <w:adjustRightInd w:val="0"/>
        <w:ind w:firstLine="708"/>
        <w:jc w:val="both"/>
        <w:rPr>
          <w:rFonts w:ascii="Abadi" w:hAnsi="Abadi" w:cs="*Arial-5617-Identity-H"/>
          <w:color w:val="14131C"/>
          <w:sz w:val="21"/>
          <w:szCs w:val="21"/>
        </w:rPr>
      </w:pPr>
      <w:r w:rsidRPr="0023003B">
        <w:rPr>
          <w:rFonts w:ascii="Abadi" w:hAnsi="Abadi" w:cs="*Arial-5851-Identity-H"/>
          <w:color w:val="15131C"/>
          <w:sz w:val="21"/>
          <w:szCs w:val="21"/>
        </w:rPr>
        <w:t>En términos de temporalidad el alcance de la auditoría abarcó el periodo</w:t>
      </w:r>
      <w:r>
        <w:rPr>
          <w:rFonts w:ascii="Abadi" w:hAnsi="Abadi" w:cs="*Arial-5851-Identity-H"/>
          <w:color w:val="15131C"/>
          <w:sz w:val="21"/>
          <w:szCs w:val="21"/>
        </w:rPr>
        <w:t xml:space="preserve"> </w:t>
      </w:r>
      <w:r w:rsidRPr="0023003B">
        <w:rPr>
          <w:rFonts w:ascii="Abadi" w:hAnsi="Abadi" w:cs="*Arial-5851-Identity-H"/>
          <w:color w:val="15131C"/>
          <w:sz w:val="21"/>
          <w:szCs w:val="21"/>
        </w:rPr>
        <w:t>comprendido de enero a diciembre de 2020; y respecto a la profundidad temática</w:t>
      </w:r>
      <w:r>
        <w:rPr>
          <w:rFonts w:ascii="Abadi" w:hAnsi="Abadi" w:cs="*Arial-5851-Identity-H"/>
          <w:color w:val="15131C"/>
          <w:sz w:val="21"/>
          <w:szCs w:val="21"/>
        </w:rPr>
        <w:t xml:space="preserve"> </w:t>
      </w:r>
      <w:r w:rsidRPr="0023003B">
        <w:rPr>
          <w:rFonts w:ascii="Abadi" w:hAnsi="Abadi" w:cs="*Arial-5851-Identity-H"/>
          <w:color w:val="15131C"/>
          <w:sz w:val="21"/>
          <w:szCs w:val="21"/>
        </w:rPr>
        <w:t>se revisó la eficiencia de las estrategias implementada por la Secretaría de</w:t>
      </w:r>
      <w:r>
        <w:rPr>
          <w:rFonts w:ascii="Abadi" w:hAnsi="Abadi" w:cs="*Arial-5851-Identity-H"/>
          <w:color w:val="15131C"/>
          <w:sz w:val="21"/>
          <w:szCs w:val="21"/>
        </w:rPr>
        <w:t xml:space="preserve"> </w:t>
      </w:r>
      <w:r w:rsidRPr="0023003B">
        <w:rPr>
          <w:rFonts w:ascii="Abadi" w:hAnsi="Abadi" w:cs="*Arial-5851-Identity-H"/>
          <w:color w:val="15131C"/>
          <w:sz w:val="21"/>
          <w:szCs w:val="21"/>
        </w:rPr>
        <w:t>Desarrollo Económico Sustentable y la Secretaría de Desarrollo Social y Humano</w:t>
      </w:r>
      <w:r>
        <w:rPr>
          <w:rFonts w:ascii="Abadi" w:hAnsi="Abadi" w:cs="*Arial-5851-Identity-H"/>
          <w:color w:val="15131C"/>
          <w:sz w:val="21"/>
          <w:szCs w:val="21"/>
        </w:rPr>
        <w:t xml:space="preserve"> </w:t>
      </w:r>
      <w:r w:rsidRPr="0023003B">
        <w:rPr>
          <w:rFonts w:ascii="Abadi" w:hAnsi="Abadi" w:cs="*Arial-5851-Identity-H"/>
          <w:color w:val="15131C"/>
          <w:sz w:val="21"/>
          <w:szCs w:val="21"/>
        </w:rPr>
        <w:t>para localizar e identificar a los posibles beneficiarios del programa auditado, así</w:t>
      </w:r>
      <w:r>
        <w:rPr>
          <w:rFonts w:ascii="Abadi" w:hAnsi="Abadi" w:cs="*Arial-5851-Identity-H"/>
          <w:color w:val="15131C"/>
          <w:sz w:val="21"/>
          <w:szCs w:val="21"/>
        </w:rPr>
        <w:t xml:space="preserve"> </w:t>
      </w:r>
      <w:r w:rsidRPr="0023003B">
        <w:rPr>
          <w:rFonts w:ascii="Abadi" w:hAnsi="Abadi" w:cs="*Arial-5851-Identity-H"/>
          <w:color w:val="15131C"/>
          <w:sz w:val="21"/>
          <w:szCs w:val="21"/>
        </w:rPr>
        <w:t>como de los mecanismos de control que se implementaron para garantizar la</w:t>
      </w:r>
      <w:r>
        <w:rPr>
          <w:rFonts w:ascii="Abadi" w:hAnsi="Abadi" w:cs="*Arial-5851-Identity-H"/>
          <w:color w:val="15131C"/>
          <w:sz w:val="21"/>
          <w:szCs w:val="21"/>
        </w:rPr>
        <w:t xml:space="preserve"> </w:t>
      </w:r>
      <w:r w:rsidRPr="0023003B">
        <w:rPr>
          <w:rFonts w:ascii="Abadi" w:hAnsi="Abadi" w:cs="*Arial-5851-Identity-H"/>
          <w:color w:val="15131C"/>
          <w:sz w:val="21"/>
          <w:szCs w:val="21"/>
        </w:rPr>
        <w:t xml:space="preserve">entrega y distribución de los </w:t>
      </w:r>
      <w:r w:rsidRPr="0023003B">
        <w:rPr>
          <w:rFonts w:ascii="Abadi" w:hAnsi="Abadi" w:cs="*Arial-Italic-5852-Identity-H"/>
          <w:i/>
          <w:iCs/>
          <w:color w:val="15131C"/>
          <w:sz w:val="21"/>
          <w:szCs w:val="21"/>
        </w:rPr>
        <w:t xml:space="preserve">«Vales Grandeza». </w:t>
      </w:r>
      <w:r w:rsidRPr="0023003B">
        <w:rPr>
          <w:rFonts w:ascii="Abadi" w:hAnsi="Abadi" w:cs="*Arial-5851-Identity-H"/>
          <w:color w:val="15131C"/>
          <w:sz w:val="21"/>
          <w:szCs w:val="21"/>
        </w:rPr>
        <w:t>La Eficacia en la integración de</w:t>
      </w:r>
      <w:r>
        <w:rPr>
          <w:rFonts w:ascii="Abadi" w:hAnsi="Abadi" w:cs="*Arial-5851-Identity-H"/>
          <w:color w:val="15131C"/>
          <w:sz w:val="21"/>
          <w:szCs w:val="21"/>
        </w:rPr>
        <w:t xml:space="preserve"> </w:t>
      </w:r>
      <w:r w:rsidRPr="0023003B">
        <w:rPr>
          <w:rFonts w:ascii="Abadi" w:hAnsi="Abadi" w:cs="*Arial-5851-Identity-H"/>
          <w:color w:val="15131C"/>
          <w:sz w:val="21"/>
          <w:szCs w:val="21"/>
        </w:rPr>
        <w:t>los comercios locales que realizarían el canje de los vales, a efecto de verificar si</w:t>
      </w:r>
      <w:r>
        <w:rPr>
          <w:rFonts w:ascii="Abadi" w:hAnsi="Abadi" w:cs="*Arial-5851-Identity-H"/>
          <w:color w:val="15131C"/>
          <w:sz w:val="21"/>
          <w:szCs w:val="21"/>
        </w:rPr>
        <w:t xml:space="preserve"> </w:t>
      </w:r>
      <w:r w:rsidRPr="0023003B">
        <w:rPr>
          <w:rFonts w:ascii="Abadi" w:hAnsi="Abadi" w:cs="*Arial-5617-Identity-H"/>
          <w:color w:val="14131C"/>
          <w:sz w:val="21"/>
          <w:szCs w:val="21"/>
        </w:rPr>
        <w:t>esto garantizó el acceso oportuno, rápido y eficaz a los productos alimenticios por</w:t>
      </w:r>
      <w:r>
        <w:rPr>
          <w:rFonts w:ascii="Abadi" w:hAnsi="Abadi" w:cs="*Arial-5617-Identity-H"/>
          <w:color w:val="14131C"/>
          <w:sz w:val="21"/>
          <w:szCs w:val="21"/>
        </w:rPr>
        <w:t xml:space="preserve"> </w:t>
      </w:r>
      <w:r w:rsidRPr="0023003B">
        <w:rPr>
          <w:rFonts w:ascii="Abadi" w:hAnsi="Abadi" w:cs="*Arial-5617-Identity-H"/>
          <w:color w:val="14131C"/>
          <w:sz w:val="21"/>
          <w:szCs w:val="21"/>
        </w:rPr>
        <w:t>parte de las personas que resultaron beneficiadas en el programa; los resultados</w:t>
      </w:r>
      <w:r>
        <w:rPr>
          <w:rFonts w:ascii="Abadi" w:hAnsi="Abadi" w:cs="*Arial-5617-Identity-H"/>
          <w:color w:val="14131C"/>
          <w:sz w:val="21"/>
          <w:szCs w:val="21"/>
        </w:rPr>
        <w:t xml:space="preserve"> </w:t>
      </w:r>
      <w:r w:rsidRPr="0023003B">
        <w:rPr>
          <w:rFonts w:ascii="Abadi" w:hAnsi="Abadi" w:cs="*Arial-5617-Identity-H"/>
          <w:color w:val="14131C"/>
          <w:sz w:val="21"/>
          <w:szCs w:val="21"/>
        </w:rPr>
        <w:t>del programa para impulsar, de manera temporal, la economía de las unidades</w:t>
      </w:r>
      <w:r>
        <w:rPr>
          <w:rFonts w:ascii="Abadi" w:hAnsi="Abadi" w:cs="*Arial-5617-Identity-H"/>
          <w:color w:val="14131C"/>
          <w:sz w:val="21"/>
          <w:szCs w:val="21"/>
        </w:rPr>
        <w:t xml:space="preserve"> </w:t>
      </w:r>
      <w:r w:rsidRPr="0023003B">
        <w:rPr>
          <w:rFonts w:ascii="Abadi" w:hAnsi="Abadi" w:cs="*Arial-5617-Identity-H"/>
          <w:color w:val="14131C"/>
          <w:sz w:val="21"/>
          <w:szCs w:val="21"/>
        </w:rPr>
        <w:t xml:space="preserve">participantes, así como la relevancia del Programa </w:t>
      </w:r>
      <w:r w:rsidRPr="0023003B">
        <w:rPr>
          <w:rFonts w:ascii="Abadi" w:hAnsi="Abadi" w:cs="*Arial-Italic-5619-Identity-H"/>
          <w:i/>
          <w:iCs/>
          <w:color w:val="14131C"/>
          <w:sz w:val="21"/>
          <w:szCs w:val="21"/>
        </w:rPr>
        <w:t>Q3391 Vale Grandeza-Compra</w:t>
      </w:r>
      <w:r>
        <w:rPr>
          <w:rFonts w:ascii="Abadi" w:hAnsi="Abadi" w:cs="*Arial-Italic-5619-Identity-H"/>
          <w:i/>
          <w:iCs/>
          <w:color w:val="14131C"/>
          <w:sz w:val="21"/>
          <w:szCs w:val="21"/>
        </w:rPr>
        <w:t xml:space="preserve"> </w:t>
      </w:r>
      <w:r w:rsidRPr="0023003B">
        <w:rPr>
          <w:rFonts w:ascii="Abadi" w:hAnsi="Abadi" w:cs="*Arial-Italic-5619-Identity-H"/>
          <w:i/>
          <w:iCs/>
          <w:color w:val="14131C"/>
          <w:sz w:val="21"/>
          <w:szCs w:val="21"/>
        </w:rPr>
        <w:t xml:space="preserve">Local </w:t>
      </w:r>
      <w:r w:rsidRPr="0023003B">
        <w:rPr>
          <w:rFonts w:ascii="Abadi" w:hAnsi="Abadi" w:cs="*Arial-5617-Identity-H"/>
          <w:color w:val="14131C"/>
          <w:sz w:val="21"/>
          <w:szCs w:val="21"/>
        </w:rPr>
        <w:t>para mitigar los efectos de la emergencia sanitaria lo cual, en relación con el</w:t>
      </w:r>
      <w:r>
        <w:rPr>
          <w:rFonts w:ascii="Abadi" w:hAnsi="Abadi" w:cs="*Arial-5617-Identity-H"/>
          <w:color w:val="14131C"/>
          <w:sz w:val="21"/>
          <w:szCs w:val="21"/>
        </w:rPr>
        <w:t xml:space="preserve"> </w:t>
      </w:r>
      <w:r w:rsidRPr="0023003B">
        <w:rPr>
          <w:rFonts w:ascii="Abadi" w:hAnsi="Abadi" w:cs="*Arial-5617-Identity-H"/>
          <w:color w:val="14131C"/>
          <w:sz w:val="21"/>
          <w:szCs w:val="21"/>
        </w:rPr>
        <w:t>apartado de Desarrollo Sostenible permitiría identificar si este fue oportuno para</w:t>
      </w:r>
      <w:r>
        <w:rPr>
          <w:rFonts w:ascii="Abadi" w:hAnsi="Abadi" w:cs="*Arial-5617-Identity-H"/>
          <w:color w:val="14131C"/>
          <w:sz w:val="21"/>
          <w:szCs w:val="21"/>
        </w:rPr>
        <w:t xml:space="preserve"> </w:t>
      </w:r>
      <w:r w:rsidRPr="0023003B">
        <w:rPr>
          <w:rFonts w:ascii="Abadi" w:hAnsi="Abadi" w:cs="*Arial-5617-Identity-H"/>
          <w:color w:val="14131C"/>
          <w:sz w:val="21"/>
          <w:szCs w:val="21"/>
        </w:rPr>
        <w:t>evitar el retroceso en el cumplimiento de los objetivos de la agenda 2030 a causa</w:t>
      </w:r>
      <w:r>
        <w:rPr>
          <w:rFonts w:ascii="Abadi" w:hAnsi="Abadi" w:cs="*Arial-5617-Identity-H"/>
          <w:color w:val="14131C"/>
          <w:sz w:val="21"/>
          <w:szCs w:val="21"/>
        </w:rPr>
        <w:t xml:space="preserve"> </w:t>
      </w:r>
      <w:r w:rsidRPr="0023003B">
        <w:rPr>
          <w:rFonts w:ascii="Abadi" w:hAnsi="Abadi" w:cs="*Arial-5617-Identity-H"/>
          <w:color w:val="14131C"/>
          <w:sz w:val="21"/>
          <w:szCs w:val="21"/>
        </w:rPr>
        <w:t>de la emergencia sanitaria y económica por el COVID-19.</w:t>
      </w:r>
    </w:p>
    <w:p w14:paraId="2F329E2E" w14:textId="77777777" w:rsidR="002B0CBC" w:rsidRPr="0023003B" w:rsidRDefault="002B0CBC" w:rsidP="002B0CBC">
      <w:pPr>
        <w:autoSpaceDE w:val="0"/>
        <w:autoSpaceDN w:val="0"/>
        <w:adjustRightInd w:val="0"/>
        <w:jc w:val="both"/>
        <w:rPr>
          <w:rFonts w:ascii="Abadi" w:hAnsi="Abadi" w:cs="*Arial-5617-Identity-H"/>
          <w:color w:val="14131C"/>
          <w:sz w:val="21"/>
          <w:szCs w:val="21"/>
        </w:rPr>
      </w:pPr>
    </w:p>
    <w:p w14:paraId="43EB1EDB" w14:textId="77777777" w:rsidR="002B0CBC" w:rsidRDefault="002B0CBC" w:rsidP="002B0CBC">
      <w:pPr>
        <w:autoSpaceDE w:val="0"/>
        <w:autoSpaceDN w:val="0"/>
        <w:adjustRightInd w:val="0"/>
        <w:ind w:firstLine="708"/>
        <w:jc w:val="both"/>
        <w:rPr>
          <w:rFonts w:ascii="Abadi" w:hAnsi="Abadi" w:cs="*Arial-5617-Identity-H"/>
          <w:color w:val="15131C"/>
          <w:sz w:val="21"/>
          <w:szCs w:val="21"/>
        </w:rPr>
      </w:pPr>
      <w:r w:rsidRPr="0023003B">
        <w:rPr>
          <w:rFonts w:ascii="Abadi" w:hAnsi="Abadi" w:cs="*Arial-5617-Identity-H"/>
          <w:color w:val="15131C"/>
          <w:sz w:val="21"/>
          <w:szCs w:val="21"/>
        </w:rPr>
        <w:t>Por lo que hace a los antecedentes del procesó de fiscalización, estos ya se</w:t>
      </w:r>
      <w:r>
        <w:rPr>
          <w:rFonts w:ascii="Abadi" w:hAnsi="Abadi" w:cs="*Arial-5617-Identity-H"/>
          <w:color w:val="15131C"/>
          <w:sz w:val="21"/>
          <w:szCs w:val="21"/>
        </w:rPr>
        <w:t xml:space="preserve"> </w:t>
      </w:r>
      <w:r w:rsidRPr="0023003B">
        <w:rPr>
          <w:rFonts w:ascii="Abadi" w:hAnsi="Abadi" w:cs="*Arial-5617-Identity-H"/>
          <w:color w:val="15131C"/>
          <w:sz w:val="21"/>
          <w:szCs w:val="21"/>
        </w:rPr>
        <w:t>detallaron en el apartado correspondiente.</w:t>
      </w:r>
    </w:p>
    <w:p w14:paraId="2E0B90BA" w14:textId="77777777" w:rsidR="002B0CBC" w:rsidRPr="0023003B" w:rsidRDefault="002B0CBC" w:rsidP="002B0CBC">
      <w:pPr>
        <w:autoSpaceDE w:val="0"/>
        <w:autoSpaceDN w:val="0"/>
        <w:adjustRightInd w:val="0"/>
        <w:jc w:val="both"/>
        <w:rPr>
          <w:rFonts w:ascii="Abadi" w:hAnsi="Abadi" w:cs="*Arial-5617-Identity-H"/>
          <w:color w:val="15131C"/>
          <w:sz w:val="21"/>
          <w:szCs w:val="21"/>
        </w:rPr>
      </w:pPr>
    </w:p>
    <w:p w14:paraId="0CBBE8E5" w14:textId="77777777" w:rsidR="002B0CBC" w:rsidRDefault="002B0CBC" w:rsidP="002B0CBC">
      <w:pPr>
        <w:autoSpaceDE w:val="0"/>
        <w:autoSpaceDN w:val="0"/>
        <w:adjustRightInd w:val="0"/>
        <w:ind w:firstLine="708"/>
        <w:jc w:val="both"/>
        <w:rPr>
          <w:rFonts w:ascii="Abadi" w:hAnsi="Abadi" w:cs="*Arial-5617-Identity-H"/>
          <w:color w:val="15141C"/>
          <w:sz w:val="21"/>
          <w:szCs w:val="21"/>
        </w:rPr>
      </w:pPr>
      <w:r>
        <w:rPr>
          <w:rFonts w:ascii="Abadi" w:hAnsi="Abadi" w:cs="*Arial-5617-Identity-H"/>
          <w:color w:val="15141C"/>
          <w:sz w:val="21"/>
          <w:szCs w:val="21"/>
        </w:rPr>
        <w:t xml:space="preserve"> </w:t>
      </w:r>
      <w:r w:rsidRPr="0023003B">
        <w:rPr>
          <w:rFonts w:ascii="Abadi" w:hAnsi="Abadi" w:cs="*Arial-5617-Identity-H"/>
          <w:color w:val="15141C"/>
          <w:sz w:val="21"/>
          <w:szCs w:val="21"/>
        </w:rPr>
        <w:t>En el contexto de la política pública de la materia por auditar se describe</w:t>
      </w:r>
      <w:r>
        <w:rPr>
          <w:rFonts w:ascii="Abadi" w:hAnsi="Abadi" w:cs="*Arial-5617-Identity-H"/>
          <w:color w:val="15141C"/>
          <w:sz w:val="21"/>
          <w:szCs w:val="21"/>
        </w:rPr>
        <w:t xml:space="preserve"> </w:t>
      </w:r>
      <w:r w:rsidRPr="0023003B">
        <w:rPr>
          <w:rFonts w:ascii="Abadi" w:hAnsi="Abadi" w:cs="*Arial-5617-Identity-H"/>
          <w:color w:val="15141C"/>
          <w:sz w:val="21"/>
          <w:szCs w:val="21"/>
        </w:rPr>
        <w:t>brevemente la política pública en la materia, así como la unidad responsable de la</w:t>
      </w:r>
      <w:r>
        <w:rPr>
          <w:rFonts w:ascii="Abadi" w:hAnsi="Abadi" w:cs="*Arial-5617-Identity-H"/>
          <w:color w:val="15141C"/>
          <w:sz w:val="21"/>
          <w:szCs w:val="21"/>
        </w:rPr>
        <w:t xml:space="preserve"> </w:t>
      </w:r>
      <w:r w:rsidRPr="0023003B">
        <w:rPr>
          <w:rFonts w:ascii="Abadi" w:hAnsi="Abadi" w:cs="*Arial-5617-Identity-H"/>
          <w:color w:val="15141C"/>
          <w:sz w:val="21"/>
          <w:szCs w:val="21"/>
        </w:rPr>
        <w:t>materia por auditar.</w:t>
      </w:r>
    </w:p>
    <w:p w14:paraId="1FE24AF2" w14:textId="77777777" w:rsidR="002B0CBC" w:rsidRPr="0023003B" w:rsidRDefault="002B0CBC" w:rsidP="002B0CBC">
      <w:pPr>
        <w:autoSpaceDE w:val="0"/>
        <w:autoSpaceDN w:val="0"/>
        <w:adjustRightInd w:val="0"/>
        <w:jc w:val="both"/>
        <w:rPr>
          <w:rFonts w:ascii="Abadi" w:hAnsi="Abadi" w:cs="*Arial-5617-Identity-H"/>
          <w:color w:val="15141C"/>
          <w:sz w:val="21"/>
          <w:szCs w:val="21"/>
        </w:rPr>
      </w:pPr>
    </w:p>
    <w:p w14:paraId="4761F0C4" w14:textId="77777777" w:rsidR="002B0CBC" w:rsidRDefault="002B0CBC" w:rsidP="002B0CBC">
      <w:pPr>
        <w:autoSpaceDE w:val="0"/>
        <w:autoSpaceDN w:val="0"/>
        <w:adjustRightInd w:val="0"/>
        <w:ind w:firstLine="708"/>
        <w:jc w:val="both"/>
        <w:rPr>
          <w:rFonts w:ascii="Abadi" w:hAnsi="Abadi" w:cs="*Arial-5617-Identity-H"/>
          <w:color w:val="15141B"/>
          <w:sz w:val="21"/>
          <w:szCs w:val="21"/>
        </w:rPr>
      </w:pPr>
      <w:r w:rsidRPr="0023003B">
        <w:rPr>
          <w:rFonts w:ascii="Abadi" w:hAnsi="Abadi" w:cs="*Arial-5617-Identity-H"/>
          <w:color w:val="15141B"/>
          <w:sz w:val="21"/>
          <w:szCs w:val="21"/>
        </w:rPr>
        <w:t>En este sentido, se refiere que el artículo 4</w:t>
      </w:r>
      <w:r w:rsidRPr="0023003B">
        <w:rPr>
          <w:rFonts w:ascii="Abadi" w:hAnsi="Abadi" w:cs="*Arial-5618-Identity-H"/>
          <w:color w:val="15141B"/>
          <w:sz w:val="21"/>
          <w:szCs w:val="21"/>
        </w:rPr>
        <w:t xml:space="preserve">° </w:t>
      </w:r>
      <w:r w:rsidRPr="0023003B">
        <w:rPr>
          <w:rFonts w:ascii="Abadi" w:hAnsi="Abadi" w:cs="*Arial-5617-Identity-H"/>
          <w:color w:val="15141B"/>
          <w:sz w:val="21"/>
          <w:szCs w:val="21"/>
        </w:rPr>
        <w:t>de la Constitución Política de</w:t>
      </w:r>
      <w:r>
        <w:rPr>
          <w:rFonts w:ascii="Abadi" w:hAnsi="Abadi" w:cs="*Arial-5617-Identity-H"/>
          <w:color w:val="15141B"/>
          <w:sz w:val="21"/>
          <w:szCs w:val="21"/>
        </w:rPr>
        <w:t xml:space="preserve"> </w:t>
      </w:r>
      <w:r w:rsidRPr="0023003B">
        <w:rPr>
          <w:rFonts w:ascii="Abadi" w:hAnsi="Abadi" w:cs="*Arial-5617-Identity-H"/>
          <w:color w:val="15141B"/>
          <w:sz w:val="21"/>
          <w:szCs w:val="21"/>
        </w:rPr>
        <w:t>los Estados Unidos Mexicanos establece que todas las personas tienen derecho a</w:t>
      </w:r>
      <w:r>
        <w:rPr>
          <w:rFonts w:ascii="Abadi" w:hAnsi="Abadi" w:cs="*Arial-5617-Identity-H"/>
          <w:color w:val="15141B"/>
          <w:sz w:val="21"/>
          <w:szCs w:val="21"/>
        </w:rPr>
        <w:t xml:space="preserve"> </w:t>
      </w:r>
      <w:r w:rsidRPr="0023003B">
        <w:rPr>
          <w:rFonts w:ascii="Abadi" w:hAnsi="Abadi" w:cs="*Arial-5617-Identity-H"/>
          <w:color w:val="15141B"/>
          <w:sz w:val="21"/>
          <w:szCs w:val="21"/>
        </w:rPr>
        <w:t>una alimentación suficiente y de calidad, y será responsabilidad del Estado definir</w:t>
      </w:r>
      <w:r>
        <w:rPr>
          <w:rFonts w:ascii="Abadi" w:hAnsi="Abadi" w:cs="*Arial-5617-Identity-H"/>
          <w:color w:val="15141B"/>
          <w:sz w:val="21"/>
          <w:szCs w:val="21"/>
        </w:rPr>
        <w:t xml:space="preserve"> </w:t>
      </w:r>
      <w:r w:rsidRPr="0023003B">
        <w:rPr>
          <w:rFonts w:ascii="Abadi" w:hAnsi="Abadi" w:cs="*Arial-5617-Identity-H"/>
          <w:color w:val="15141B"/>
          <w:sz w:val="21"/>
          <w:szCs w:val="21"/>
        </w:rPr>
        <w:t>las estrategias para garantizarlo; asimismo, el artículo 25-1 de la Declaratoria</w:t>
      </w:r>
      <w:r>
        <w:rPr>
          <w:rFonts w:ascii="Abadi" w:hAnsi="Abadi" w:cs="*Arial-5617-Identity-H"/>
          <w:color w:val="15141B"/>
          <w:sz w:val="21"/>
          <w:szCs w:val="21"/>
        </w:rPr>
        <w:t xml:space="preserve"> </w:t>
      </w:r>
      <w:r w:rsidRPr="0023003B">
        <w:rPr>
          <w:rFonts w:ascii="Abadi" w:hAnsi="Abadi" w:cs="*Arial-5617-Identity-H"/>
          <w:color w:val="15141B"/>
          <w:sz w:val="21"/>
          <w:szCs w:val="21"/>
        </w:rPr>
        <w:t>Universal de Derechos Humanos establece que, es derecho de toda persona el</w:t>
      </w:r>
      <w:r>
        <w:rPr>
          <w:rFonts w:ascii="Abadi" w:hAnsi="Abadi" w:cs="*Arial-5617-Identity-H"/>
          <w:color w:val="15141B"/>
          <w:sz w:val="21"/>
          <w:szCs w:val="21"/>
        </w:rPr>
        <w:t xml:space="preserve"> </w:t>
      </w:r>
      <w:r w:rsidRPr="0023003B">
        <w:rPr>
          <w:rFonts w:ascii="Abadi" w:hAnsi="Abadi" w:cs="*Arial-5617-Identity-H"/>
          <w:color w:val="15141B"/>
          <w:sz w:val="21"/>
          <w:szCs w:val="21"/>
        </w:rPr>
        <w:t>acceso a la alimentación en caso de pérdida de sus medios de subsistencia por</w:t>
      </w:r>
      <w:r>
        <w:rPr>
          <w:rFonts w:ascii="Abadi" w:hAnsi="Abadi" w:cs="*Arial-5617-Identity-H"/>
          <w:color w:val="15141B"/>
          <w:sz w:val="21"/>
          <w:szCs w:val="21"/>
        </w:rPr>
        <w:t xml:space="preserve"> </w:t>
      </w:r>
      <w:r w:rsidRPr="0023003B">
        <w:rPr>
          <w:rFonts w:ascii="Abadi" w:hAnsi="Abadi" w:cs="*Arial-5617-Identity-H"/>
          <w:color w:val="15141B"/>
          <w:sz w:val="21"/>
          <w:szCs w:val="21"/>
        </w:rPr>
        <w:t>circunstancias independientes de su voluntad.</w:t>
      </w:r>
    </w:p>
    <w:p w14:paraId="135E7AA7" w14:textId="77777777" w:rsidR="002B0CBC" w:rsidRPr="0023003B" w:rsidRDefault="002B0CBC" w:rsidP="002B0CBC">
      <w:pPr>
        <w:autoSpaceDE w:val="0"/>
        <w:autoSpaceDN w:val="0"/>
        <w:adjustRightInd w:val="0"/>
        <w:jc w:val="both"/>
        <w:rPr>
          <w:rFonts w:ascii="Abadi" w:hAnsi="Abadi" w:cs="*Arial-5617-Identity-H"/>
          <w:color w:val="15141B"/>
          <w:sz w:val="21"/>
          <w:szCs w:val="21"/>
        </w:rPr>
      </w:pPr>
    </w:p>
    <w:p w14:paraId="2A941E47" w14:textId="77777777" w:rsidR="002B0CBC" w:rsidRDefault="002B0CBC" w:rsidP="002B0CBC">
      <w:pPr>
        <w:autoSpaceDE w:val="0"/>
        <w:autoSpaceDN w:val="0"/>
        <w:adjustRightInd w:val="0"/>
        <w:ind w:firstLine="708"/>
        <w:jc w:val="both"/>
        <w:rPr>
          <w:rFonts w:ascii="Abadi" w:hAnsi="Abadi" w:cs="*Arial-5617-Identity-H"/>
          <w:color w:val="15141D"/>
          <w:sz w:val="21"/>
          <w:szCs w:val="21"/>
        </w:rPr>
      </w:pPr>
      <w:r w:rsidRPr="0023003B">
        <w:rPr>
          <w:rFonts w:ascii="Abadi" w:hAnsi="Abadi" w:cs="*Arial-5617-Identity-H"/>
          <w:color w:val="15141D"/>
          <w:sz w:val="21"/>
          <w:szCs w:val="21"/>
        </w:rPr>
        <w:t>Se señala además que la situación actual de emergencia sanitaria por</w:t>
      </w:r>
      <w:r>
        <w:rPr>
          <w:rFonts w:ascii="Abadi" w:hAnsi="Abadi" w:cs="*Arial-5617-Identity-H"/>
          <w:color w:val="15141D"/>
          <w:sz w:val="21"/>
          <w:szCs w:val="21"/>
        </w:rPr>
        <w:t xml:space="preserve"> </w:t>
      </w:r>
      <w:r w:rsidRPr="0023003B">
        <w:rPr>
          <w:rFonts w:ascii="Abadi" w:hAnsi="Abadi" w:cs="*Arial-5617-Identity-H"/>
          <w:color w:val="15141D"/>
          <w:sz w:val="21"/>
          <w:szCs w:val="21"/>
        </w:rPr>
        <w:t>COVID-19, cimbró a las sociedades del mundo desde su aparición y trajo consigo</w:t>
      </w:r>
      <w:r>
        <w:rPr>
          <w:rFonts w:ascii="Abadi" w:hAnsi="Abadi" w:cs="*Arial-5617-Identity-H"/>
          <w:color w:val="15141D"/>
          <w:sz w:val="21"/>
          <w:szCs w:val="21"/>
        </w:rPr>
        <w:t xml:space="preserve"> repercusiones</w:t>
      </w:r>
      <w:r w:rsidRPr="0023003B">
        <w:rPr>
          <w:rFonts w:ascii="Abadi" w:hAnsi="Abadi" w:cs="*Arial-5617-Identity-H"/>
          <w:color w:val="15141D"/>
          <w:sz w:val="21"/>
          <w:szCs w:val="21"/>
        </w:rPr>
        <w:t xml:space="preserve"> en todo aspecto de la vida cotidiana.</w:t>
      </w:r>
    </w:p>
    <w:p w14:paraId="0F5A59D2" w14:textId="77777777" w:rsidR="002B0CBC" w:rsidRPr="0023003B" w:rsidRDefault="002B0CBC" w:rsidP="002B0CBC">
      <w:pPr>
        <w:autoSpaceDE w:val="0"/>
        <w:autoSpaceDN w:val="0"/>
        <w:adjustRightInd w:val="0"/>
        <w:jc w:val="both"/>
        <w:rPr>
          <w:rFonts w:ascii="Abadi" w:hAnsi="Abadi" w:cs="*Arial-5617-Identity-H"/>
          <w:color w:val="15141D"/>
          <w:sz w:val="21"/>
          <w:szCs w:val="21"/>
        </w:rPr>
      </w:pPr>
    </w:p>
    <w:p w14:paraId="18348078" w14:textId="77777777" w:rsidR="002B0CBC" w:rsidRPr="0023003B" w:rsidRDefault="002B0CBC" w:rsidP="002B0CBC">
      <w:pPr>
        <w:autoSpaceDE w:val="0"/>
        <w:autoSpaceDN w:val="0"/>
        <w:adjustRightInd w:val="0"/>
        <w:ind w:firstLine="708"/>
        <w:jc w:val="both"/>
        <w:rPr>
          <w:rFonts w:ascii="Abadi" w:hAnsi="Abadi" w:cs="*Arial-5617-Identity-H"/>
          <w:color w:val="14131C"/>
          <w:sz w:val="21"/>
          <w:szCs w:val="21"/>
        </w:rPr>
      </w:pPr>
      <w:r w:rsidRPr="0023003B">
        <w:rPr>
          <w:rFonts w:ascii="Abadi" w:hAnsi="Abadi" w:cs="*Arial-5617-Identity-H"/>
          <w:color w:val="14131C"/>
          <w:sz w:val="21"/>
          <w:szCs w:val="21"/>
        </w:rPr>
        <w:t>En México, el 31 de marzo de 2020 el Consejo de Salubridad General</w:t>
      </w:r>
      <w:r>
        <w:rPr>
          <w:rFonts w:ascii="Abadi" w:hAnsi="Abadi" w:cs="*Arial-5617-Identity-H"/>
          <w:color w:val="14131C"/>
          <w:sz w:val="21"/>
          <w:szCs w:val="21"/>
        </w:rPr>
        <w:t xml:space="preserve"> </w:t>
      </w:r>
      <w:r w:rsidRPr="0023003B">
        <w:rPr>
          <w:rFonts w:ascii="Abadi" w:hAnsi="Abadi" w:cs="*Arial-5617-Identity-H"/>
          <w:color w:val="14131C"/>
          <w:sz w:val="21"/>
          <w:szCs w:val="21"/>
        </w:rPr>
        <w:t>declaró emergencia sanitaria nacional la epidemia por coronavirus COVID-19,</w:t>
      </w:r>
      <w:r>
        <w:rPr>
          <w:rFonts w:ascii="Abadi" w:hAnsi="Abadi" w:cs="*Arial-5617-Identity-H"/>
          <w:color w:val="14131C"/>
          <w:sz w:val="21"/>
          <w:szCs w:val="21"/>
        </w:rPr>
        <w:t xml:space="preserve"> </w:t>
      </w:r>
      <w:r w:rsidRPr="0023003B">
        <w:rPr>
          <w:rFonts w:ascii="Abadi" w:hAnsi="Abadi" w:cs="*Arial-5617-Identity-H"/>
          <w:color w:val="14131C"/>
          <w:sz w:val="21"/>
          <w:szCs w:val="21"/>
        </w:rPr>
        <w:t>acordando medidas extraordinarias en todo el territorio nacional consistente en la</w:t>
      </w:r>
      <w:r>
        <w:rPr>
          <w:rFonts w:ascii="Abadi" w:hAnsi="Abadi" w:cs="*Arial-5617-Identity-H"/>
          <w:color w:val="14131C"/>
          <w:sz w:val="21"/>
          <w:szCs w:val="21"/>
        </w:rPr>
        <w:t xml:space="preserve"> </w:t>
      </w:r>
      <w:r w:rsidRPr="0023003B">
        <w:rPr>
          <w:rFonts w:ascii="Abadi" w:hAnsi="Abadi" w:cs="*Arial-5617-Identity-H"/>
          <w:color w:val="14131C"/>
          <w:sz w:val="21"/>
          <w:szCs w:val="21"/>
        </w:rPr>
        <w:t>suspensión de actividades no esenciales en los sectores público, privado y social</w:t>
      </w:r>
      <w:r>
        <w:rPr>
          <w:rFonts w:ascii="Abadi" w:hAnsi="Abadi" w:cs="*Arial-5617-Identity-H"/>
          <w:color w:val="14131C"/>
          <w:sz w:val="21"/>
          <w:szCs w:val="21"/>
        </w:rPr>
        <w:t xml:space="preserve"> </w:t>
      </w:r>
      <w:r w:rsidRPr="0023003B">
        <w:rPr>
          <w:rFonts w:ascii="Abadi" w:hAnsi="Abadi" w:cs="*Arial-5617-Identity-H"/>
          <w:color w:val="14131C"/>
          <w:sz w:val="21"/>
          <w:szCs w:val="21"/>
        </w:rPr>
        <w:t>con la finalidad de mitigar la dispersión y transmisión del virus SARS-CoV-2 en la</w:t>
      </w:r>
      <w:r>
        <w:rPr>
          <w:rFonts w:ascii="Abadi" w:hAnsi="Abadi" w:cs="*Arial-5617-Identity-H"/>
          <w:color w:val="14131C"/>
          <w:sz w:val="21"/>
          <w:szCs w:val="21"/>
        </w:rPr>
        <w:t xml:space="preserve"> </w:t>
      </w:r>
      <w:r w:rsidRPr="0023003B">
        <w:rPr>
          <w:rFonts w:ascii="Abadi" w:hAnsi="Abadi" w:cs="*Arial-5617-Identity-H"/>
          <w:color w:val="14131C"/>
          <w:sz w:val="21"/>
          <w:szCs w:val="21"/>
        </w:rPr>
        <w:t>comunidad, para disminuir la carga de enfermedad, sus complicaciones y muerte</w:t>
      </w:r>
      <w:r>
        <w:rPr>
          <w:rFonts w:ascii="Abadi" w:hAnsi="Abadi" w:cs="*Arial-5617-Identity-H"/>
          <w:color w:val="14131C"/>
          <w:sz w:val="21"/>
          <w:szCs w:val="21"/>
        </w:rPr>
        <w:t xml:space="preserve"> </w:t>
      </w:r>
      <w:r w:rsidRPr="0023003B">
        <w:rPr>
          <w:rFonts w:ascii="Abadi" w:hAnsi="Abadi" w:cs="*Arial-5617-Identity-H"/>
          <w:color w:val="14131C"/>
          <w:sz w:val="21"/>
          <w:szCs w:val="21"/>
        </w:rPr>
        <w:t>por COVID-19 en la población residente en el territorio nacional.</w:t>
      </w:r>
    </w:p>
    <w:p w14:paraId="31313165" w14:textId="77777777" w:rsidR="002B0CBC" w:rsidRPr="0023003B" w:rsidRDefault="002B0CBC" w:rsidP="002B0CBC">
      <w:pPr>
        <w:jc w:val="both"/>
        <w:rPr>
          <w:rFonts w:ascii="Abadi" w:hAnsi="Abadi" w:cs="*Arial-5617-Identity-H"/>
          <w:color w:val="14131C"/>
          <w:sz w:val="21"/>
          <w:szCs w:val="21"/>
        </w:rPr>
      </w:pPr>
    </w:p>
    <w:p w14:paraId="4740B334" w14:textId="77777777" w:rsidR="002B0CBC" w:rsidRDefault="002B0CBC" w:rsidP="002B0CBC">
      <w:pPr>
        <w:autoSpaceDE w:val="0"/>
        <w:autoSpaceDN w:val="0"/>
        <w:adjustRightInd w:val="0"/>
        <w:ind w:firstLine="708"/>
        <w:jc w:val="both"/>
        <w:rPr>
          <w:rFonts w:ascii="Abadi" w:hAnsi="Abadi" w:cs="*Arial-6416-Identity-H"/>
          <w:color w:val="15141C"/>
          <w:sz w:val="21"/>
          <w:szCs w:val="21"/>
        </w:rPr>
      </w:pPr>
      <w:r w:rsidRPr="0023003B">
        <w:rPr>
          <w:rFonts w:ascii="Abadi" w:hAnsi="Abadi" w:cs="*Arial-6416-Identity-H"/>
          <w:color w:val="15141C"/>
          <w:sz w:val="21"/>
          <w:szCs w:val="21"/>
        </w:rPr>
        <w:t>A nivel mundial, las medidas tomadas para frenar los contagios provocaron</w:t>
      </w:r>
      <w:r>
        <w:rPr>
          <w:rFonts w:ascii="Abadi" w:hAnsi="Abadi" w:cs="*Arial-6416-Identity-H"/>
          <w:color w:val="15141C"/>
          <w:sz w:val="21"/>
          <w:szCs w:val="21"/>
        </w:rPr>
        <w:t xml:space="preserve"> </w:t>
      </w:r>
      <w:r w:rsidRPr="0023003B">
        <w:rPr>
          <w:rFonts w:ascii="Abadi" w:hAnsi="Abadi" w:cs="*Arial-6416-Identity-H"/>
          <w:color w:val="15141C"/>
          <w:sz w:val="21"/>
          <w:szCs w:val="21"/>
        </w:rPr>
        <w:t>un alto impacto en los sectores económicos y sociales. Al respecto, en el estado</w:t>
      </w:r>
      <w:r>
        <w:rPr>
          <w:rFonts w:ascii="Abadi" w:hAnsi="Abadi" w:cs="*Arial-6416-Identity-H"/>
          <w:color w:val="15141C"/>
          <w:sz w:val="21"/>
          <w:szCs w:val="21"/>
        </w:rPr>
        <w:t xml:space="preserve"> </w:t>
      </w:r>
      <w:r w:rsidRPr="0023003B">
        <w:rPr>
          <w:rFonts w:ascii="Abadi" w:hAnsi="Abadi" w:cs="*Arial-6416-Identity-H"/>
          <w:color w:val="15141C"/>
          <w:sz w:val="21"/>
          <w:szCs w:val="21"/>
        </w:rPr>
        <w:t xml:space="preserve">de Guanajuato en el mes de mayo de 2020 se dio a conocer el </w:t>
      </w:r>
      <w:r w:rsidRPr="0023003B">
        <w:rPr>
          <w:rFonts w:ascii="Abadi" w:hAnsi="Abadi" w:cs="*Arial-Italic-6418-Identity-H"/>
          <w:i/>
          <w:iCs/>
          <w:color w:val="15141C"/>
          <w:sz w:val="21"/>
          <w:szCs w:val="21"/>
        </w:rPr>
        <w:t>Plan de Acción</w:t>
      </w:r>
      <w:r>
        <w:rPr>
          <w:rFonts w:ascii="Abadi" w:hAnsi="Abadi" w:cs="*Arial-Italic-6418-Identity-H"/>
          <w:i/>
          <w:iCs/>
          <w:color w:val="15141C"/>
          <w:sz w:val="21"/>
          <w:szCs w:val="21"/>
        </w:rPr>
        <w:t xml:space="preserve"> </w:t>
      </w:r>
      <w:r w:rsidRPr="0023003B">
        <w:rPr>
          <w:rFonts w:ascii="Abadi" w:hAnsi="Abadi" w:cs="*Arial-Italic-6418-Identity-H"/>
          <w:i/>
          <w:iCs/>
          <w:color w:val="15141C"/>
          <w:sz w:val="21"/>
          <w:szCs w:val="21"/>
        </w:rPr>
        <w:t xml:space="preserve">GTO, </w:t>
      </w:r>
      <w:r w:rsidRPr="0023003B">
        <w:rPr>
          <w:rFonts w:ascii="Abadi" w:hAnsi="Abadi" w:cs="*Arial-6416-Identity-H"/>
          <w:color w:val="15141C"/>
          <w:sz w:val="21"/>
          <w:szCs w:val="21"/>
        </w:rPr>
        <w:t>que incluyó las medidas a tomar por parte de Gobierno de Estado tanto para</w:t>
      </w:r>
      <w:r>
        <w:rPr>
          <w:rFonts w:ascii="Abadi" w:hAnsi="Abadi" w:cs="*Arial-6416-Identity-H"/>
          <w:color w:val="15141C"/>
          <w:sz w:val="21"/>
          <w:szCs w:val="21"/>
        </w:rPr>
        <w:t xml:space="preserve"> </w:t>
      </w:r>
      <w:r w:rsidRPr="0023003B">
        <w:rPr>
          <w:rFonts w:ascii="Abadi" w:hAnsi="Abadi" w:cs="*Arial-6416-Identity-H"/>
          <w:color w:val="15141C"/>
          <w:sz w:val="21"/>
          <w:szCs w:val="21"/>
        </w:rPr>
        <w:t>mitigar los contagios en la población, como para la reactivación económica de los</w:t>
      </w:r>
      <w:r>
        <w:rPr>
          <w:rFonts w:ascii="Abadi" w:hAnsi="Abadi" w:cs="*Arial-6416-Identity-H"/>
          <w:color w:val="15141C"/>
          <w:sz w:val="21"/>
          <w:szCs w:val="21"/>
        </w:rPr>
        <w:t xml:space="preserve"> </w:t>
      </w:r>
      <w:r w:rsidRPr="0023003B">
        <w:rPr>
          <w:rFonts w:ascii="Abadi" w:hAnsi="Abadi" w:cs="*Arial-6416-Identity-H"/>
          <w:color w:val="15141C"/>
          <w:sz w:val="21"/>
          <w:szCs w:val="21"/>
        </w:rPr>
        <w:t>diferentes sectores.</w:t>
      </w:r>
    </w:p>
    <w:p w14:paraId="18279E9F" w14:textId="77777777" w:rsidR="002B0CBC" w:rsidRPr="0023003B" w:rsidRDefault="002B0CBC" w:rsidP="002B0CBC">
      <w:pPr>
        <w:autoSpaceDE w:val="0"/>
        <w:autoSpaceDN w:val="0"/>
        <w:adjustRightInd w:val="0"/>
        <w:jc w:val="both"/>
        <w:rPr>
          <w:rFonts w:ascii="Abadi" w:hAnsi="Abadi" w:cs="*Arial-6416-Identity-H"/>
          <w:color w:val="15141C"/>
          <w:sz w:val="21"/>
          <w:szCs w:val="21"/>
        </w:rPr>
      </w:pPr>
    </w:p>
    <w:p w14:paraId="42FCED3D" w14:textId="77777777" w:rsidR="002B0CBC" w:rsidRDefault="002B0CBC" w:rsidP="002B0CBC">
      <w:pPr>
        <w:autoSpaceDE w:val="0"/>
        <w:autoSpaceDN w:val="0"/>
        <w:adjustRightInd w:val="0"/>
        <w:ind w:firstLine="708"/>
        <w:jc w:val="both"/>
        <w:rPr>
          <w:rFonts w:ascii="Abadi" w:hAnsi="Abadi" w:cs="*Arial-Italic-6418-Identity-H"/>
          <w:i/>
          <w:iCs/>
          <w:color w:val="15141C"/>
          <w:sz w:val="21"/>
          <w:szCs w:val="21"/>
        </w:rPr>
      </w:pPr>
      <w:r w:rsidRPr="0023003B">
        <w:rPr>
          <w:rFonts w:ascii="Abadi" w:hAnsi="Abadi" w:cs="*Arial-6416-Identity-H"/>
          <w:color w:val="15141C"/>
          <w:sz w:val="21"/>
          <w:szCs w:val="21"/>
        </w:rPr>
        <w:t>Para hacer frente a la problemática económica de la población afectada por</w:t>
      </w:r>
      <w:r>
        <w:rPr>
          <w:rFonts w:ascii="Abadi" w:hAnsi="Abadi" w:cs="*Arial-6416-Identity-H"/>
          <w:color w:val="15141C"/>
          <w:sz w:val="21"/>
          <w:szCs w:val="21"/>
        </w:rPr>
        <w:t xml:space="preserve"> </w:t>
      </w:r>
      <w:r w:rsidRPr="0023003B">
        <w:rPr>
          <w:rFonts w:ascii="Abadi" w:hAnsi="Abadi" w:cs="*Arial-6416-Identity-H"/>
          <w:color w:val="15141C"/>
          <w:sz w:val="21"/>
          <w:szCs w:val="21"/>
        </w:rPr>
        <w:t>el COVID-19, el gobierno del estado de Guanajuato instrumentó el Programa</w:t>
      </w:r>
      <w:r>
        <w:rPr>
          <w:rFonts w:ascii="Abadi" w:hAnsi="Abadi" w:cs="*Arial-6416-Identity-H"/>
          <w:color w:val="15141C"/>
          <w:sz w:val="21"/>
          <w:szCs w:val="21"/>
        </w:rPr>
        <w:t xml:space="preserve"> </w:t>
      </w:r>
      <w:r w:rsidRPr="0023003B">
        <w:rPr>
          <w:rFonts w:ascii="Abadi" w:hAnsi="Abadi" w:cs="*Arial-Italic-6418-Identity-H"/>
          <w:i/>
          <w:iCs/>
          <w:color w:val="15141C"/>
          <w:sz w:val="21"/>
          <w:szCs w:val="21"/>
        </w:rPr>
        <w:t xml:space="preserve">Q3391 Vale Grandeza-Compra Local </w:t>
      </w:r>
      <w:r w:rsidRPr="0023003B">
        <w:rPr>
          <w:rFonts w:ascii="Abadi" w:hAnsi="Abadi" w:cs="*Arial-6416-Identity-H"/>
          <w:color w:val="15141C"/>
          <w:sz w:val="21"/>
          <w:szCs w:val="21"/>
        </w:rPr>
        <w:t xml:space="preserve">con el objeto de </w:t>
      </w:r>
      <w:r w:rsidRPr="0023003B">
        <w:rPr>
          <w:rFonts w:ascii="Abadi" w:hAnsi="Abadi" w:cs="*Arial-Italic-6418-Identity-H"/>
          <w:i/>
          <w:iCs/>
          <w:color w:val="15141C"/>
          <w:sz w:val="21"/>
          <w:szCs w:val="21"/>
        </w:rPr>
        <w:t>«apoyar de forma oportuna</w:t>
      </w:r>
      <w:r>
        <w:rPr>
          <w:rFonts w:ascii="Abadi" w:hAnsi="Abadi" w:cs="*Arial-Italic-6418-Identity-H"/>
          <w:i/>
          <w:iCs/>
          <w:color w:val="15141C"/>
          <w:sz w:val="21"/>
          <w:szCs w:val="21"/>
        </w:rPr>
        <w:t xml:space="preserve"> </w:t>
      </w:r>
      <w:r w:rsidRPr="0023003B">
        <w:rPr>
          <w:rFonts w:ascii="Abadi" w:hAnsi="Abadi" w:cs="*Arial-Italic-6418-Identity-H"/>
          <w:i/>
          <w:iCs/>
          <w:color w:val="15141C"/>
          <w:sz w:val="21"/>
          <w:szCs w:val="21"/>
        </w:rPr>
        <w:t>rápida y eficaz, mediante el otorgamiento de los Vale Grandeza, (. . .), a personas</w:t>
      </w:r>
      <w:r>
        <w:rPr>
          <w:rFonts w:ascii="Abadi" w:hAnsi="Abadi" w:cs="*Arial-Italic-6418-Identity-H"/>
          <w:i/>
          <w:iCs/>
          <w:color w:val="15141C"/>
          <w:sz w:val="21"/>
          <w:szCs w:val="21"/>
        </w:rPr>
        <w:t xml:space="preserve"> </w:t>
      </w:r>
      <w:r w:rsidRPr="0023003B">
        <w:rPr>
          <w:rFonts w:ascii="Abadi" w:hAnsi="Abadi" w:cs="*Arial-Italic-6418-Identity-H"/>
          <w:i/>
          <w:iCs/>
          <w:color w:val="15141C"/>
          <w:sz w:val="21"/>
          <w:szCs w:val="21"/>
        </w:rPr>
        <w:t>que se encuentran en situación de vulnerabilidad por falta de ingreso, para adquirir</w:t>
      </w:r>
      <w:r>
        <w:rPr>
          <w:rFonts w:ascii="Abadi" w:hAnsi="Abadi" w:cs="*Arial-Italic-6418-Identity-H"/>
          <w:i/>
          <w:iCs/>
          <w:color w:val="15141C"/>
          <w:sz w:val="21"/>
          <w:szCs w:val="21"/>
        </w:rPr>
        <w:t xml:space="preserve"> </w:t>
      </w:r>
      <w:r w:rsidRPr="0023003B">
        <w:rPr>
          <w:rFonts w:ascii="Abadi" w:hAnsi="Abadi" w:cs="*Arial-Italic-6418-Identity-H"/>
          <w:i/>
          <w:iCs/>
          <w:color w:val="15141C"/>
          <w:sz w:val="21"/>
          <w:szCs w:val="21"/>
        </w:rPr>
        <w:t>productos alimenticios, por motivo de la emergencia sanitaria provocada por la</w:t>
      </w:r>
      <w:r>
        <w:rPr>
          <w:rFonts w:ascii="Abadi" w:hAnsi="Abadi" w:cs="*Arial-Italic-6418-Identity-H"/>
          <w:i/>
          <w:iCs/>
          <w:color w:val="15141C"/>
          <w:sz w:val="21"/>
          <w:szCs w:val="21"/>
        </w:rPr>
        <w:t xml:space="preserve"> </w:t>
      </w:r>
      <w:r w:rsidRPr="0023003B">
        <w:rPr>
          <w:rFonts w:ascii="Abadi" w:hAnsi="Abadi" w:cs="*Arial-Italic-6418-Identity-H"/>
          <w:i/>
          <w:iCs/>
          <w:color w:val="15141C"/>
          <w:sz w:val="21"/>
          <w:szCs w:val="21"/>
        </w:rPr>
        <w:t>epidemia de enfermedad generada por el virus SARS-CoV2, COVID-19 en</w:t>
      </w:r>
      <w:r>
        <w:rPr>
          <w:rFonts w:ascii="Abadi" w:hAnsi="Abadi" w:cs="*Arial-Italic-6418-Identity-H"/>
          <w:i/>
          <w:iCs/>
          <w:color w:val="15141C"/>
          <w:sz w:val="21"/>
          <w:szCs w:val="21"/>
        </w:rPr>
        <w:t xml:space="preserve"> </w:t>
      </w:r>
      <w:r w:rsidRPr="0023003B">
        <w:rPr>
          <w:rFonts w:ascii="Abadi" w:hAnsi="Abadi" w:cs="*Arial-Italic-6418-Identity-H"/>
          <w:i/>
          <w:iCs/>
          <w:color w:val="15141C"/>
          <w:sz w:val="21"/>
          <w:szCs w:val="21"/>
        </w:rPr>
        <w:t>México».</w:t>
      </w:r>
    </w:p>
    <w:p w14:paraId="7C260ED4" w14:textId="77777777" w:rsidR="002B0CBC" w:rsidRPr="0023003B" w:rsidRDefault="002B0CBC" w:rsidP="002B0CBC">
      <w:pPr>
        <w:autoSpaceDE w:val="0"/>
        <w:autoSpaceDN w:val="0"/>
        <w:adjustRightInd w:val="0"/>
        <w:jc w:val="both"/>
        <w:rPr>
          <w:rFonts w:ascii="Abadi" w:hAnsi="Abadi" w:cs="*Arial-Italic-6418-Identity-H"/>
          <w:i/>
          <w:iCs/>
          <w:color w:val="15141C"/>
          <w:sz w:val="21"/>
          <w:szCs w:val="21"/>
        </w:rPr>
      </w:pPr>
    </w:p>
    <w:p w14:paraId="5B13DAC4" w14:textId="77777777" w:rsidR="002B0CBC" w:rsidRDefault="002B0CBC" w:rsidP="002B0CBC">
      <w:pPr>
        <w:autoSpaceDE w:val="0"/>
        <w:autoSpaceDN w:val="0"/>
        <w:adjustRightInd w:val="0"/>
        <w:ind w:firstLine="708"/>
        <w:jc w:val="both"/>
        <w:rPr>
          <w:rFonts w:ascii="Abadi" w:hAnsi="Abadi" w:cs="*Arial-6416-Identity-H"/>
          <w:color w:val="15141C"/>
          <w:sz w:val="21"/>
          <w:szCs w:val="21"/>
        </w:rPr>
      </w:pPr>
      <w:r w:rsidRPr="0023003B">
        <w:rPr>
          <w:rFonts w:ascii="Abadi" w:hAnsi="Abadi" w:cs="*Arial-6416-Identity-H"/>
          <w:color w:val="15141C"/>
          <w:sz w:val="21"/>
          <w:szCs w:val="21"/>
        </w:rPr>
        <w:t>En la parte correspondiente a la unidad responsable de la materia a auditar</w:t>
      </w:r>
      <w:r>
        <w:rPr>
          <w:rFonts w:ascii="Abadi" w:hAnsi="Abadi" w:cs="*Arial-6416-Identity-H"/>
          <w:color w:val="15141C"/>
          <w:sz w:val="21"/>
          <w:szCs w:val="21"/>
        </w:rPr>
        <w:t xml:space="preserve"> </w:t>
      </w:r>
      <w:r w:rsidRPr="0023003B">
        <w:rPr>
          <w:rFonts w:ascii="Abadi" w:hAnsi="Abadi" w:cs="*Arial-6416-Identity-H"/>
          <w:color w:val="15141C"/>
          <w:sz w:val="21"/>
          <w:szCs w:val="21"/>
        </w:rPr>
        <w:t>se.</w:t>
      </w:r>
      <w:r>
        <w:rPr>
          <w:rFonts w:ascii="Abadi" w:hAnsi="Abadi" w:cs="*Arial-6416-Identity-H"/>
          <w:color w:val="15141C"/>
          <w:sz w:val="21"/>
          <w:szCs w:val="21"/>
        </w:rPr>
        <w:t xml:space="preserve"> </w:t>
      </w:r>
      <w:r w:rsidRPr="0023003B">
        <w:rPr>
          <w:rFonts w:ascii="Abadi" w:hAnsi="Abadi" w:cs="*Arial-6416-Identity-H"/>
          <w:color w:val="15141C"/>
          <w:sz w:val="21"/>
          <w:szCs w:val="21"/>
        </w:rPr>
        <w:t xml:space="preserve">refiere que, de conformidad con las Reglas de Operación del Programa </w:t>
      </w:r>
      <w:r w:rsidRPr="0023003B">
        <w:rPr>
          <w:rFonts w:ascii="Abadi" w:hAnsi="Abadi" w:cs="*Arial-Italic-6418-Identity-H"/>
          <w:i/>
          <w:iCs/>
          <w:color w:val="15141C"/>
          <w:sz w:val="21"/>
          <w:szCs w:val="21"/>
        </w:rPr>
        <w:t>Q3391</w:t>
      </w:r>
      <w:r>
        <w:rPr>
          <w:rFonts w:ascii="Abadi" w:hAnsi="Abadi" w:cs="*Arial-Italic-6418-Identity-H"/>
          <w:i/>
          <w:iCs/>
          <w:color w:val="15141C"/>
          <w:sz w:val="21"/>
          <w:szCs w:val="21"/>
        </w:rPr>
        <w:t xml:space="preserve"> </w:t>
      </w:r>
      <w:r w:rsidRPr="0023003B">
        <w:rPr>
          <w:rFonts w:ascii="Abadi" w:hAnsi="Abadi" w:cs="*Arial-Italic-6418-Identity-H"/>
          <w:i/>
          <w:iCs/>
          <w:color w:val="15141C"/>
          <w:sz w:val="21"/>
          <w:szCs w:val="21"/>
        </w:rPr>
        <w:t xml:space="preserve">Vale Grandeza-Compra Local </w:t>
      </w:r>
      <w:r w:rsidRPr="0023003B">
        <w:rPr>
          <w:rFonts w:ascii="Abadi" w:hAnsi="Abadi" w:cs="*Arial-6416-Identity-H"/>
          <w:color w:val="15141C"/>
          <w:sz w:val="21"/>
          <w:szCs w:val="21"/>
        </w:rPr>
        <w:t>para el ejercicio fiscal 2020, la unidad responsable</w:t>
      </w:r>
      <w:r>
        <w:rPr>
          <w:rFonts w:ascii="Abadi" w:hAnsi="Abadi" w:cs="*Arial-6416-Identity-H"/>
          <w:color w:val="15141C"/>
          <w:sz w:val="21"/>
          <w:szCs w:val="21"/>
        </w:rPr>
        <w:t xml:space="preserve"> </w:t>
      </w:r>
      <w:r w:rsidRPr="0023003B">
        <w:rPr>
          <w:rFonts w:ascii="Abadi" w:hAnsi="Abadi" w:cs="*Arial-6416-Identity-H"/>
          <w:color w:val="15141C"/>
          <w:sz w:val="21"/>
          <w:szCs w:val="21"/>
        </w:rPr>
        <w:t>del programa fue la Secretaría de Desarrollo Económico Sustentable, a través de</w:t>
      </w:r>
      <w:r>
        <w:rPr>
          <w:rFonts w:ascii="Abadi" w:hAnsi="Abadi" w:cs="*Arial-6416-Identity-H"/>
          <w:color w:val="15141C"/>
          <w:sz w:val="21"/>
          <w:szCs w:val="21"/>
        </w:rPr>
        <w:t xml:space="preserve"> </w:t>
      </w:r>
      <w:r w:rsidRPr="0023003B">
        <w:rPr>
          <w:rFonts w:ascii="Abadi" w:hAnsi="Abadi" w:cs="*Arial-6416-Identity-H"/>
          <w:color w:val="15141C"/>
          <w:sz w:val="21"/>
          <w:szCs w:val="21"/>
        </w:rPr>
        <w:t>la Subsecretaría para el Desarrollo de la Micro, pequeña y Medianas Empresas</w:t>
      </w:r>
      <w:r>
        <w:rPr>
          <w:rFonts w:ascii="Abadi" w:hAnsi="Abadi" w:cs="*Arial-6416-Identity-H"/>
          <w:color w:val="15141C"/>
          <w:sz w:val="21"/>
          <w:szCs w:val="21"/>
        </w:rPr>
        <w:t xml:space="preserve"> </w:t>
      </w:r>
      <w:r w:rsidRPr="0023003B">
        <w:rPr>
          <w:rFonts w:ascii="Abadi" w:hAnsi="Abadi" w:cs="*Arial-6416-Identity-H"/>
          <w:color w:val="15141C"/>
          <w:sz w:val="21"/>
          <w:szCs w:val="21"/>
        </w:rPr>
        <w:t>(SDMIPyMES).</w:t>
      </w:r>
    </w:p>
    <w:p w14:paraId="23BC85DE" w14:textId="77777777" w:rsidR="002B0CBC" w:rsidRPr="0023003B" w:rsidRDefault="002B0CBC" w:rsidP="002B0CBC">
      <w:pPr>
        <w:autoSpaceDE w:val="0"/>
        <w:autoSpaceDN w:val="0"/>
        <w:adjustRightInd w:val="0"/>
        <w:jc w:val="both"/>
        <w:rPr>
          <w:rFonts w:ascii="Abadi" w:hAnsi="Abadi" w:cs="*Arial-6416-Identity-H"/>
          <w:color w:val="15141C"/>
          <w:sz w:val="21"/>
          <w:szCs w:val="21"/>
        </w:rPr>
      </w:pPr>
    </w:p>
    <w:p w14:paraId="1268685F" w14:textId="77777777" w:rsidR="002B0CBC" w:rsidRPr="0023003B" w:rsidRDefault="002B0CBC" w:rsidP="002B0CBC">
      <w:pPr>
        <w:autoSpaceDE w:val="0"/>
        <w:autoSpaceDN w:val="0"/>
        <w:adjustRightInd w:val="0"/>
        <w:ind w:firstLine="708"/>
        <w:jc w:val="both"/>
        <w:rPr>
          <w:rFonts w:ascii="Abadi" w:hAnsi="Abadi" w:cs="*Arial-6416-Identity-H"/>
          <w:color w:val="15131D"/>
          <w:sz w:val="21"/>
          <w:szCs w:val="21"/>
        </w:rPr>
      </w:pPr>
      <w:r w:rsidRPr="0023003B">
        <w:rPr>
          <w:rFonts w:ascii="Abadi" w:hAnsi="Abadi" w:cs="*Arial-6416-Identity-H"/>
          <w:color w:val="15131D"/>
          <w:sz w:val="21"/>
          <w:szCs w:val="21"/>
        </w:rPr>
        <w:t>No obstante, se refiere que dicha intervención fue transversal, por lo que</w:t>
      </w:r>
      <w:r>
        <w:rPr>
          <w:rFonts w:ascii="Abadi" w:hAnsi="Abadi" w:cs="*Arial-6416-Identity-H"/>
          <w:color w:val="15131D"/>
          <w:sz w:val="21"/>
          <w:szCs w:val="21"/>
        </w:rPr>
        <w:t xml:space="preserve"> </w:t>
      </w:r>
      <w:r w:rsidRPr="0023003B">
        <w:rPr>
          <w:rFonts w:ascii="Abadi" w:hAnsi="Abadi" w:cs="*Arial-6416-Identity-H"/>
          <w:color w:val="15131D"/>
          <w:sz w:val="21"/>
          <w:szCs w:val="21"/>
        </w:rPr>
        <w:t>para su operación se tuvo la participación de la Secretaría de Desarrollo Social y</w:t>
      </w:r>
      <w:r>
        <w:rPr>
          <w:rFonts w:ascii="Abadi" w:hAnsi="Abadi" w:cs="*Arial-6416-Identity-H"/>
          <w:color w:val="15131D"/>
          <w:sz w:val="21"/>
          <w:szCs w:val="21"/>
        </w:rPr>
        <w:t xml:space="preserve"> </w:t>
      </w:r>
      <w:r w:rsidRPr="0023003B">
        <w:rPr>
          <w:rFonts w:ascii="Abadi" w:hAnsi="Abadi" w:cs="*Arial-6416-Identity-H"/>
          <w:color w:val="15131D"/>
          <w:sz w:val="21"/>
          <w:szCs w:val="21"/>
        </w:rPr>
        <w:t>Humano y mediante convenio de colaboración se conjuntaron esfuerzos con el</w:t>
      </w:r>
      <w:r>
        <w:rPr>
          <w:rFonts w:ascii="Abadi" w:hAnsi="Abadi" w:cs="*Arial-6416-Identity-H"/>
          <w:color w:val="15131D"/>
          <w:sz w:val="21"/>
          <w:szCs w:val="21"/>
        </w:rPr>
        <w:t xml:space="preserve"> </w:t>
      </w:r>
      <w:r w:rsidRPr="0023003B">
        <w:rPr>
          <w:rFonts w:ascii="Abadi" w:hAnsi="Abadi" w:cs="*Arial-6416-Identity-H"/>
          <w:color w:val="15131D"/>
          <w:sz w:val="21"/>
          <w:szCs w:val="21"/>
        </w:rPr>
        <w:t>Instituto de Seguridad Social del Estado de Guanajuato.</w:t>
      </w:r>
    </w:p>
    <w:p w14:paraId="4A78CC5E" w14:textId="77777777" w:rsidR="002B0CBC" w:rsidRDefault="002B0CBC" w:rsidP="002B0CBC">
      <w:pPr>
        <w:autoSpaceDE w:val="0"/>
        <w:autoSpaceDN w:val="0"/>
        <w:adjustRightInd w:val="0"/>
        <w:jc w:val="both"/>
        <w:rPr>
          <w:rFonts w:ascii="Abadi" w:hAnsi="Abadi" w:cs="*Arial-Bold-6417-Identity-H"/>
          <w:b/>
          <w:bCs/>
          <w:color w:val="141320"/>
          <w:sz w:val="21"/>
          <w:szCs w:val="21"/>
        </w:rPr>
      </w:pPr>
      <w:r>
        <w:rPr>
          <w:rFonts w:ascii="Abadi" w:hAnsi="Abadi" w:cs="*Arial-Bold-6417-Identity-H"/>
          <w:b/>
          <w:bCs/>
          <w:color w:val="141320"/>
          <w:sz w:val="21"/>
          <w:szCs w:val="21"/>
        </w:rPr>
        <w:t xml:space="preserve"> </w:t>
      </w:r>
    </w:p>
    <w:p w14:paraId="17451368" w14:textId="77777777" w:rsidR="002B0CBC" w:rsidRDefault="002B0CBC" w:rsidP="002B0CBC">
      <w:pPr>
        <w:autoSpaceDE w:val="0"/>
        <w:autoSpaceDN w:val="0"/>
        <w:adjustRightInd w:val="0"/>
        <w:ind w:firstLine="708"/>
        <w:jc w:val="both"/>
        <w:rPr>
          <w:rFonts w:ascii="Abadi" w:hAnsi="Abadi" w:cs="*Arial-Bold-6417-Identity-H"/>
          <w:b/>
          <w:bCs/>
          <w:color w:val="141320"/>
          <w:sz w:val="21"/>
          <w:szCs w:val="21"/>
        </w:rPr>
      </w:pPr>
      <w:r w:rsidRPr="0023003B">
        <w:rPr>
          <w:rFonts w:ascii="Abadi" w:hAnsi="Abadi" w:cs="*Arial-Bold-6417-Identity-H"/>
          <w:b/>
          <w:bCs/>
          <w:color w:val="141320"/>
          <w:sz w:val="21"/>
          <w:szCs w:val="21"/>
        </w:rPr>
        <w:t>b) Resultado del proceso de fiscalización.</w:t>
      </w:r>
    </w:p>
    <w:p w14:paraId="50064DC7" w14:textId="77777777" w:rsidR="002B0CBC" w:rsidRPr="0023003B" w:rsidRDefault="002B0CBC" w:rsidP="002B0CBC">
      <w:pPr>
        <w:autoSpaceDE w:val="0"/>
        <w:autoSpaceDN w:val="0"/>
        <w:adjustRightInd w:val="0"/>
        <w:jc w:val="both"/>
        <w:rPr>
          <w:rFonts w:ascii="Abadi" w:hAnsi="Abadi" w:cs="*Arial-Bold-6417-Identity-H"/>
          <w:b/>
          <w:bCs/>
          <w:color w:val="141320"/>
          <w:sz w:val="21"/>
          <w:szCs w:val="21"/>
        </w:rPr>
      </w:pPr>
    </w:p>
    <w:p w14:paraId="1CE2B2B2" w14:textId="77777777" w:rsidR="002B0CBC" w:rsidRDefault="002B0CBC" w:rsidP="002B0CBC">
      <w:pPr>
        <w:autoSpaceDE w:val="0"/>
        <w:autoSpaceDN w:val="0"/>
        <w:adjustRightInd w:val="0"/>
        <w:ind w:firstLine="708"/>
        <w:jc w:val="both"/>
        <w:rPr>
          <w:rFonts w:ascii="Abadi" w:hAnsi="Abadi" w:cs="*Arial-6416-Identity-H"/>
          <w:color w:val="15141C"/>
          <w:sz w:val="21"/>
          <w:szCs w:val="21"/>
        </w:rPr>
      </w:pPr>
      <w:r w:rsidRPr="0023003B">
        <w:rPr>
          <w:rFonts w:ascii="Abadi" w:hAnsi="Abadi" w:cs="*Arial-6416-Identity-H"/>
          <w:color w:val="15141C"/>
          <w:sz w:val="21"/>
          <w:szCs w:val="21"/>
        </w:rPr>
        <w:t>En esta parte se señala que los objetivos específicos se desarrollaron en la</w:t>
      </w:r>
      <w:r>
        <w:rPr>
          <w:rFonts w:ascii="Abadi" w:hAnsi="Abadi" w:cs="*Arial-6416-Identity-H"/>
          <w:color w:val="15141C"/>
          <w:sz w:val="21"/>
          <w:szCs w:val="21"/>
        </w:rPr>
        <w:t xml:space="preserve"> </w:t>
      </w:r>
      <w:r w:rsidRPr="0023003B">
        <w:rPr>
          <w:rFonts w:ascii="Abadi" w:hAnsi="Abadi" w:cs="*Arial-6416-Identity-H"/>
          <w:color w:val="15141C"/>
          <w:sz w:val="21"/>
          <w:szCs w:val="21"/>
        </w:rPr>
        <w:t>auditoría en seis procedimientos, con los siguientes resultados:</w:t>
      </w:r>
      <w:r>
        <w:rPr>
          <w:rFonts w:ascii="Abadi" w:hAnsi="Abadi" w:cs="*Arial-6416-Identity-H"/>
          <w:color w:val="15141C"/>
          <w:sz w:val="21"/>
          <w:szCs w:val="21"/>
        </w:rPr>
        <w:t xml:space="preserve"> </w:t>
      </w:r>
    </w:p>
    <w:p w14:paraId="3FEE239E" w14:textId="77777777" w:rsidR="002B0CBC" w:rsidRDefault="002B0CBC" w:rsidP="002B0CBC">
      <w:pPr>
        <w:autoSpaceDE w:val="0"/>
        <w:autoSpaceDN w:val="0"/>
        <w:adjustRightInd w:val="0"/>
        <w:jc w:val="both"/>
        <w:rPr>
          <w:rFonts w:ascii="Abadi" w:hAnsi="Abadi" w:cs="*Arial-6416-Identity-H"/>
          <w:color w:val="15141C"/>
          <w:sz w:val="21"/>
          <w:szCs w:val="21"/>
        </w:rPr>
      </w:pPr>
    </w:p>
    <w:p w14:paraId="2DD92CC8" w14:textId="77777777" w:rsidR="002B0CBC" w:rsidRDefault="002B0CBC" w:rsidP="002B0CBC">
      <w:pPr>
        <w:autoSpaceDE w:val="0"/>
        <w:autoSpaceDN w:val="0"/>
        <w:adjustRightInd w:val="0"/>
        <w:jc w:val="both"/>
        <w:rPr>
          <w:rFonts w:ascii="Abadi" w:hAnsi="Abadi" w:cs="*Arial-Bold-6417-Identity-H"/>
          <w:b/>
          <w:bCs/>
          <w:color w:val="15131F"/>
          <w:sz w:val="21"/>
          <w:szCs w:val="21"/>
        </w:rPr>
      </w:pPr>
    </w:p>
    <w:p w14:paraId="7F97B9F6" w14:textId="77777777" w:rsidR="002B0CBC" w:rsidRDefault="002B0CBC" w:rsidP="002B0CBC">
      <w:pPr>
        <w:autoSpaceDE w:val="0"/>
        <w:autoSpaceDN w:val="0"/>
        <w:adjustRightInd w:val="0"/>
        <w:jc w:val="both"/>
        <w:rPr>
          <w:rFonts w:ascii="Abadi" w:hAnsi="Abadi" w:cs="*Arial-Bold-6417-Identity-H"/>
          <w:b/>
          <w:bCs/>
          <w:color w:val="15131F"/>
          <w:sz w:val="21"/>
          <w:szCs w:val="21"/>
        </w:rPr>
      </w:pPr>
      <w:r w:rsidRPr="0023003B">
        <w:rPr>
          <w:rFonts w:ascii="Abadi" w:hAnsi="Abadi" w:cs="*Arial-Bold-6417-Identity-H"/>
          <w:b/>
          <w:bCs/>
          <w:color w:val="15131F"/>
          <w:sz w:val="21"/>
          <w:szCs w:val="21"/>
        </w:rPr>
        <w:t>Eficiencia:</w:t>
      </w:r>
    </w:p>
    <w:p w14:paraId="7AC6133E" w14:textId="77777777" w:rsidR="002B0CBC" w:rsidRPr="0023003B" w:rsidRDefault="002B0CBC" w:rsidP="002B0CBC">
      <w:pPr>
        <w:autoSpaceDE w:val="0"/>
        <w:autoSpaceDN w:val="0"/>
        <w:adjustRightInd w:val="0"/>
        <w:jc w:val="both"/>
        <w:rPr>
          <w:rFonts w:ascii="Abadi" w:hAnsi="Abadi" w:cs="*Arial-Bold-6417-Identity-H"/>
          <w:b/>
          <w:bCs/>
          <w:color w:val="15131F"/>
          <w:sz w:val="21"/>
          <w:szCs w:val="21"/>
        </w:rPr>
      </w:pPr>
    </w:p>
    <w:p w14:paraId="1BDD1B8D" w14:textId="77777777" w:rsidR="002B0CBC" w:rsidRPr="0023003B" w:rsidRDefault="002B0CBC" w:rsidP="002B0CBC">
      <w:pPr>
        <w:autoSpaceDE w:val="0"/>
        <w:autoSpaceDN w:val="0"/>
        <w:adjustRightInd w:val="0"/>
        <w:jc w:val="both"/>
        <w:rPr>
          <w:rFonts w:ascii="Abadi" w:hAnsi="Abadi" w:cs="*Arial-Italic-6418-Identity-H"/>
          <w:i/>
          <w:iCs/>
          <w:color w:val="16141D"/>
          <w:sz w:val="21"/>
          <w:szCs w:val="21"/>
        </w:rPr>
      </w:pPr>
      <w:r w:rsidRPr="00AF71DB">
        <w:rPr>
          <w:rFonts w:ascii="Abadi" w:hAnsi="Abadi" w:cs="*Arial-6416-Identity-H"/>
          <w:b/>
          <w:bCs/>
          <w:i/>
          <w:iCs/>
          <w:color w:val="16141D"/>
          <w:sz w:val="21"/>
          <w:szCs w:val="21"/>
        </w:rPr>
        <w:t>1.</w:t>
      </w:r>
      <w:r w:rsidRPr="0023003B">
        <w:rPr>
          <w:rFonts w:ascii="Abadi" w:hAnsi="Abadi" w:cs="*Arial-6416-Identity-H"/>
          <w:color w:val="16141D"/>
          <w:sz w:val="21"/>
          <w:szCs w:val="21"/>
        </w:rPr>
        <w:t xml:space="preserve"> Estrategia para la asignación de apoyos </w:t>
      </w:r>
      <w:r w:rsidRPr="0023003B">
        <w:rPr>
          <w:rFonts w:ascii="Abadi" w:hAnsi="Abadi" w:cs="*Arial-Italic-6418-Identity-H"/>
          <w:i/>
          <w:iCs/>
          <w:color w:val="16141D"/>
          <w:sz w:val="21"/>
          <w:szCs w:val="21"/>
        </w:rPr>
        <w:t>Vale Grandeza-Compra Local.</w:t>
      </w:r>
    </w:p>
    <w:p w14:paraId="0C76A49A" w14:textId="77777777" w:rsidR="002B0CBC" w:rsidRPr="0023003B" w:rsidRDefault="002B0CBC" w:rsidP="002B0CBC">
      <w:pPr>
        <w:jc w:val="both"/>
        <w:rPr>
          <w:rFonts w:ascii="Abadi" w:hAnsi="Abadi" w:cs="*Arial-6416-Identity-H"/>
          <w:color w:val="15141B"/>
          <w:sz w:val="21"/>
          <w:szCs w:val="21"/>
        </w:rPr>
      </w:pPr>
      <w:r w:rsidRPr="00AF71DB">
        <w:rPr>
          <w:rFonts w:ascii="Abadi" w:hAnsi="Abadi" w:cs="*Arial-Bold-6417-Identity-H"/>
          <w:b/>
          <w:bCs/>
          <w:color w:val="15141B"/>
          <w:sz w:val="21"/>
          <w:szCs w:val="21"/>
        </w:rPr>
        <w:t>2.</w:t>
      </w:r>
      <w:r w:rsidRPr="0023003B">
        <w:rPr>
          <w:rFonts w:ascii="Abadi" w:hAnsi="Abadi" w:cs="*Arial-Bold-6417-Identity-H"/>
          <w:b/>
          <w:bCs/>
          <w:color w:val="15141B"/>
          <w:sz w:val="21"/>
          <w:szCs w:val="21"/>
        </w:rPr>
        <w:t xml:space="preserve"> </w:t>
      </w:r>
      <w:r w:rsidRPr="0023003B">
        <w:rPr>
          <w:rFonts w:ascii="Abadi" w:hAnsi="Abadi" w:cs="*Arial-6416-Identity-H"/>
          <w:color w:val="15141B"/>
          <w:sz w:val="21"/>
          <w:szCs w:val="21"/>
        </w:rPr>
        <w:t>Entrega de vales.</w:t>
      </w:r>
    </w:p>
    <w:p w14:paraId="3E955A26" w14:textId="77777777" w:rsidR="002B0CBC" w:rsidRPr="0023003B" w:rsidRDefault="002B0CBC" w:rsidP="002B0CBC">
      <w:pPr>
        <w:jc w:val="both"/>
        <w:rPr>
          <w:rFonts w:ascii="Abadi" w:hAnsi="Abadi" w:cs="*Arial-6416-Identity-H"/>
          <w:color w:val="15141B"/>
          <w:sz w:val="21"/>
          <w:szCs w:val="21"/>
        </w:rPr>
      </w:pPr>
    </w:p>
    <w:p w14:paraId="02B0321C" w14:textId="77777777" w:rsidR="002B0CBC" w:rsidRPr="0023003B" w:rsidRDefault="002B0CBC" w:rsidP="002B0CBC">
      <w:pPr>
        <w:autoSpaceDE w:val="0"/>
        <w:autoSpaceDN w:val="0"/>
        <w:adjustRightInd w:val="0"/>
        <w:jc w:val="both"/>
        <w:rPr>
          <w:rFonts w:ascii="Abadi" w:hAnsi="Abadi" w:cs="*Arial-Bold-4997-Identity-H"/>
          <w:b/>
          <w:bCs/>
          <w:color w:val="14131F"/>
          <w:sz w:val="21"/>
          <w:szCs w:val="21"/>
        </w:rPr>
      </w:pPr>
      <w:r w:rsidRPr="0023003B">
        <w:rPr>
          <w:rFonts w:ascii="Abadi" w:hAnsi="Abadi" w:cs="*Arial-Bold-4997-Identity-H"/>
          <w:b/>
          <w:bCs/>
          <w:color w:val="14131F"/>
          <w:sz w:val="21"/>
          <w:szCs w:val="21"/>
        </w:rPr>
        <w:t>Eficacia:</w:t>
      </w:r>
    </w:p>
    <w:p w14:paraId="3C7F0888" w14:textId="77777777" w:rsidR="002B0CBC" w:rsidRDefault="002B0CBC" w:rsidP="002B0CBC">
      <w:pPr>
        <w:autoSpaceDE w:val="0"/>
        <w:autoSpaceDN w:val="0"/>
        <w:adjustRightInd w:val="0"/>
        <w:jc w:val="both"/>
        <w:rPr>
          <w:rFonts w:ascii="Abadi" w:hAnsi="Abadi" w:cs="*Arial-4996-Identity-H"/>
          <w:color w:val="15141C"/>
          <w:sz w:val="21"/>
          <w:szCs w:val="21"/>
        </w:rPr>
      </w:pPr>
    </w:p>
    <w:p w14:paraId="70771143" w14:textId="77777777" w:rsidR="002B0CBC" w:rsidRPr="0023003B" w:rsidRDefault="002B0CBC" w:rsidP="002B0CBC">
      <w:pPr>
        <w:autoSpaceDE w:val="0"/>
        <w:autoSpaceDN w:val="0"/>
        <w:adjustRightInd w:val="0"/>
        <w:jc w:val="both"/>
        <w:rPr>
          <w:rFonts w:ascii="Abadi" w:hAnsi="Abadi" w:cs="*Arial-4996-Identity-H"/>
          <w:color w:val="15141C"/>
          <w:sz w:val="21"/>
          <w:szCs w:val="21"/>
        </w:rPr>
      </w:pPr>
      <w:r w:rsidRPr="00AF71DB">
        <w:rPr>
          <w:rFonts w:ascii="Abadi" w:hAnsi="Abadi" w:cs="*Arial-4996-Identity-H"/>
          <w:b/>
          <w:bCs/>
          <w:color w:val="15141C"/>
          <w:sz w:val="21"/>
          <w:szCs w:val="21"/>
        </w:rPr>
        <w:t>3.</w:t>
      </w:r>
      <w:r w:rsidRPr="0023003B">
        <w:rPr>
          <w:rFonts w:ascii="Abadi" w:hAnsi="Abadi" w:cs="*Arial-4996-Identity-H"/>
          <w:color w:val="15141C"/>
          <w:sz w:val="21"/>
          <w:szCs w:val="21"/>
        </w:rPr>
        <w:t xml:space="preserve"> Acceso oportuno, rápido y eficaz a los productos alimenticios por medio</w:t>
      </w:r>
      <w:r>
        <w:rPr>
          <w:rFonts w:ascii="Abadi" w:hAnsi="Abadi" w:cs="*Arial-4996-Identity-H"/>
          <w:color w:val="15141C"/>
          <w:sz w:val="21"/>
          <w:szCs w:val="21"/>
        </w:rPr>
        <w:t xml:space="preserve"> </w:t>
      </w:r>
      <w:r w:rsidRPr="0023003B">
        <w:rPr>
          <w:rFonts w:ascii="Abadi" w:hAnsi="Abadi" w:cs="*Arial-4996-Identity-H"/>
          <w:color w:val="15141C"/>
          <w:sz w:val="21"/>
          <w:szCs w:val="21"/>
        </w:rPr>
        <w:t xml:space="preserve">del canje de los vales </w:t>
      </w:r>
      <w:r>
        <w:rPr>
          <w:rFonts w:ascii="Abadi" w:hAnsi="Abadi" w:cs="*Arial-4996-Identity-H"/>
          <w:color w:val="15141C"/>
          <w:sz w:val="21"/>
          <w:szCs w:val="21"/>
        </w:rPr>
        <w:t xml:space="preserve"> </w:t>
      </w:r>
      <w:r w:rsidRPr="0023003B">
        <w:rPr>
          <w:rFonts w:ascii="Abadi" w:hAnsi="Abadi" w:cs="*Arial-4996-Identity-H"/>
          <w:color w:val="15141C"/>
          <w:sz w:val="21"/>
          <w:szCs w:val="21"/>
        </w:rPr>
        <w:t>randeza.</w:t>
      </w:r>
    </w:p>
    <w:p w14:paraId="22DE2F9A" w14:textId="77777777" w:rsidR="002B0CBC" w:rsidRPr="0023003B" w:rsidRDefault="002B0CBC" w:rsidP="002B0CBC">
      <w:pPr>
        <w:autoSpaceDE w:val="0"/>
        <w:autoSpaceDN w:val="0"/>
        <w:adjustRightInd w:val="0"/>
        <w:jc w:val="both"/>
        <w:rPr>
          <w:rFonts w:ascii="Abadi" w:hAnsi="Abadi" w:cs="*Arial-4996-Identity-H"/>
          <w:color w:val="14141C"/>
          <w:sz w:val="21"/>
          <w:szCs w:val="21"/>
        </w:rPr>
      </w:pPr>
      <w:r w:rsidRPr="0023003B">
        <w:rPr>
          <w:rFonts w:ascii="Abadi" w:hAnsi="Abadi" w:cs="*Arial-Bold-4997-Identity-H"/>
          <w:b/>
          <w:bCs/>
          <w:color w:val="14141C"/>
          <w:sz w:val="21"/>
          <w:szCs w:val="21"/>
        </w:rPr>
        <w:t xml:space="preserve">4. </w:t>
      </w:r>
      <w:r w:rsidRPr="0023003B">
        <w:rPr>
          <w:rFonts w:ascii="Abadi" w:hAnsi="Abadi" w:cs="*Arial-4996-Identity-H"/>
          <w:color w:val="14141C"/>
          <w:sz w:val="21"/>
          <w:szCs w:val="21"/>
        </w:rPr>
        <w:t>Impulso a la economía local.</w:t>
      </w:r>
    </w:p>
    <w:p w14:paraId="40D4EEF4" w14:textId="77777777" w:rsidR="002B0CBC" w:rsidRPr="0023003B" w:rsidRDefault="002B0CBC" w:rsidP="002B0CBC">
      <w:pPr>
        <w:autoSpaceDE w:val="0"/>
        <w:autoSpaceDN w:val="0"/>
        <w:adjustRightInd w:val="0"/>
        <w:jc w:val="both"/>
        <w:rPr>
          <w:rFonts w:ascii="Abadi" w:hAnsi="Abadi" w:cs="*Arial-4996-Identity-H"/>
          <w:color w:val="15141D"/>
          <w:sz w:val="21"/>
          <w:szCs w:val="21"/>
        </w:rPr>
      </w:pPr>
      <w:r w:rsidRPr="0023003B">
        <w:rPr>
          <w:rFonts w:ascii="Abadi" w:hAnsi="Abadi" w:cs="*Arial-Bold-4997-Identity-H"/>
          <w:b/>
          <w:bCs/>
          <w:color w:val="15141D"/>
          <w:sz w:val="21"/>
          <w:szCs w:val="21"/>
        </w:rPr>
        <w:t xml:space="preserve">5. </w:t>
      </w:r>
      <w:r w:rsidRPr="0023003B">
        <w:rPr>
          <w:rFonts w:ascii="Abadi" w:hAnsi="Abadi" w:cs="*Arial-4996-Identity-H"/>
          <w:color w:val="15141D"/>
          <w:sz w:val="21"/>
          <w:szCs w:val="21"/>
        </w:rPr>
        <w:t>Acción gubernamental en respuesta a la contingencia sanitaria por</w:t>
      </w:r>
      <w:r>
        <w:rPr>
          <w:rFonts w:ascii="Abadi" w:hAnsi="Abadi" w:cs="*Arial-4996-Identity-H"/>
          <w:color w:val="15141D"/>
          <w:sz w:val="21"/>
          <w:szCs w:val="21"/>
        </w:rPr>
        <w:t xml:space="preserve"> </w:t>
      </w:r>
      <w:r w:rsidRPr="0023003B">
        <w:rPr>
          <w:rFonts w:ascii="Abadi" w:hAnsi="Abadi" w:cs="*Arial-4996-Identity-H"/>
          <w:color w:val="15141D"/>
          <w:sz w:val="21"/>
          <w:szCs w:val="21"/>
        </w:rPr>
        <w:t>COVID-19.</w:t>
      </w:r>
    </w:p>
    <w:p w14:paraId="43DFCF79" w14:textId="77777777" w:rsidR="002B0CBC" w:rsidRDefault="002B0CBC" w:rsidP="002B0CBC">
      <w:pPr>
        <w:autoSpaceDE w:val="0"/>
        <w:autoSpaceDN w:val="0"/>
        <w:adjustRightInd w:val="0"/>
        <w:jc w:val="both"/>
        <w:rPr>
          <w:rFonts w:ascii="Abadi" w:hAnsi="Abadi" w:cs="*Arial-Bold-4997-Identity-H"/>
          <w:b/>
          <w:bCs/>
          <w:color w:val="141320"/>
          <w:sz w:val="21"/>
          <w:szCs w:val="21"/>
        </w:rPr>
      </w:pPr>
    </w:p>
    <w:p w14:paraId="7C271DB6" w14:textId="77777777" w:rsidR="002B0CBC" w:rsidRDefault="002B0CBC" w:rsidP="002B0CBC">
      <w:pPr>
        <w:autoSpaceDE w:val="0"/>
        <w:autoSpaceDN w:val="0"/>
        <w:adjustRightInd w:val="0"/>
        <w:jc w:val="both"/>
        <w:rPr>
          <w:rFonts w:ascii="Abadi" w:hAnsi="Abadi" w:cs="*Arial-Bold-4997-Identity-H"/>
          <w:b/>
          <w:bCs/>
          <w:color w:val="141320"/>
          <w:sz w:val="21"/>
          <w:szCs w:val="21"/>
        </w:rPr>
      </w:pPr>
      <w:r w:rsidRPr="0023003B">
        <w:rPr>
          <w:rFonts w:ascii="Abadi" w:hAnsi="Abadi" w:cs="*Arial-Bold-4997-Identity-H"/>
          <w:b/>
          <w:bCs/>
          <w:color w:val="141320"/>
          <w:sz w:val="21"/>
          <w:szCs w:val="21"/>
        </w:rPr>
        <w:t>Desarrollo Sostenible:</w:t>
      </w:r>
    </w:p>
    <w:p w14:paraId="03ABB746" w14:textId="77777777" w:rsidR="002B0CBC" w:rsidRPr="0023003B" w:rsidRDefault="002B0CBC" w:rsidP="002B0CBC">
      <w:pPr>
        <w:autoSpaceDE w:val="0"/>
        <w:autoSpaceDN w:val="0"/>
        <w:adjustRightInd w:val="0"/>
        <w:jc w:val="both"/>
        <w:rPr>
          <w:rFonts w:ascii="Abadi" w:hAnsi="Abadi" w:cs="*Arial-Bold-4997-Identity-H"/>
          <w:b/>
          <w:bCs/>
          <w:color w:val="141320"/>
          <w:sz w:val="21"/>
          <w:szCs w:val="21"/>
        </w:rPr>
      </w:pPr>
    </w:p>
    <w:p w14:paraId="6DA2981F" w14:textId="77777777" w:rsidR="002B0CBC" w:rsidRPr="0023003B" w:rsidRDefault="002B0CBC" w:rsidP="002B0CBC">
      <w:pPr>
        <w:autoSpaceDE w:val="0"/>
        <w:autoSpaceDN w:val="0"/>
        <w:adjustRightInd w:val="0"/>
        <w:jc w:val="both"/>
        <w:rPr>
          <w:rFonts w:ascii="Abadi" w:hAnsi="Abadi" w:cs="*Arial-4996-Identity-H"/>
          <w:color w:val="15131C"/>
          <w:sz w:val="21"/>
          <w:szCs w:val="21"/>
        </w:rPr>
      </w:pPr>
      <w:r w:rsidRPr="0023003B">
        <w:rPr>
          <w:rFonts w:ascii="Abadi" w:hAnsi="Abadi" w:cs="*Arial-Bold-4997-Identity-H"/>
          <w:b/>
          <w:bCs/>
          <w:color w:val="15131C"/>
          <w:sz w:val="21"/>
          <w:szCs w:val="21"/>
        </w:rPr>
        <w:t xml:space="preserve">6. </w:t>
      </w:r>
      <w:r w:rsidRPr="0023003B">
        <w:rPr>
          <w:rFonts w:ascii="Abadi" w:hAnsi="Abadi" w:cs="*Arial-4996-Identity-H"/>
          <w:color w:val="15131C"/>
          <w:sz w:val="21"/>
          <w:szCs w:val="21"/>
        </w:rPr>
        <w:t>Acciones de intervención y coordinación como factores que disminuyan</w:t>
      </w:r>
    </w:p>
    <w:p w14:paraId="11B2D719" w14:textId="77777777" w:rsidR="002B0CBC" w:rsidRDefault="002B0CBC" w:rsidP="002B0CBC">
      <w:pPr>
        <w:autoSpaceDE w:val="0"/>
        <w:autoSpaceDN w:val="0"/>
        <w:adjustRightInd w:val="0"/>
        <w:jc w:val="both"/>
        <w:rPr>
          <w:rFonts w:ascii="Abadi" w:hAnsi="Abadi" w:cs="*Arial-4996-Identity-H"/>
          <w:color w:val="15131C"/>
          <w:sz w:val="21"/>
          <w:szCs w:val="21"/>
        </w:rPr>
      </w:pPr>
      <w:r w:rsidRPr="0023003B">
        <w:rPr>
          <w:rFonts w:ascii="Abadi" w:hAnsi="Abadi" w:cs="*Arial-4996-Identity-H"/>
          <w:color w:val="15131C"/>
          <w:sz w:val="21"/>
          <w:szCs w:val="21"/>
        </w:rPr>
        <w:t>el retroceso en la agenda 2030.</w:t>
      </w:r>
    </w:p>
    <w:p w14:paraId="14F29B0C" w14:textId="77777777" w:rsidR="002B0CBC" w:rsidRPr="0023003B" w:rsidRDefault="002B0CBC" w:rsidP="002B0CBC">
      <w:pPr>
        <w:autoSpaceDE w:val="0"/>
        <w:autoSpaceDN w:val="0"/>
        <w:adjustRightInd w:val="0"/>
        <w:jc w:val="both"/>
        <w:rPr>
          <w:rFonts w:ascii="Abadi" w:hAnsi="Abadi" w:cs="*Arial-4996-Identity-H"/>
          <w:color w:val="15131C"/>
          <w:sz w:val="21"/>
          <w:szCs w:val="21"/>
        </w:rPr>
      </w:pPr>
    </w:p>
    <w:p w14:paraId="3A32E158" w14:textId="77777777" w:rsidR="002B0CBC" w:rsidRDefault="002B0CBC" w:rsidP="002B0CBC">
      <w:pPr>
        <w:autoSpaceDE w:val="0"/>
        <w:autoSpaceDN w:val="0"/>
        <w:adjustRightInd w:val="0"/>
        <w:ind w:firstLine="708"/>
        <w:jc w:val="both"/>
        <w:rPr>
          <w:rFonts w:ascii="Abadi" w:hAnsi="Abadi" w:cs="*Arial-4996-Identity-H"/>
          <w:color w:val="14131C"/>
          <w:sz w:val="21"/>
          <w:szCs w:val="21"/>
        </w:rPr>
      </w:pPr>
      <w:r w:rsidRPr="0023003B">
        <w:rPr>
          <w:rFonts w:ascii="Abadi" w:hAnsi="Abadi" w:cs="*Arial-4996-Identity-H"/>
          <w:color w:val="14131C"/>
          <w:sz w:val="21"/>
          <w:szCs w:val="21"/>
        </w:rPr>
        <w:t>En este apartado se señala que el desahogo de dichos resultados implicó</w:t>
      </w:r>
      <w:r>
        <w:rPr>
          <w:rFonts w:ascii="Abadi" w:hAnsi="Abadi" w:cs="*Arial-4996-Identity-H"/>
          <w:color w:val="14131C"/>
          <w:sz w:val="21"/>
          <w:szCs w:val="21"/>
        </w:rPr>
        <w:t xml:space="preserve"> </w:t>
      </w:r>
      <w:r w:rsidRPr="0023003B">
        <w:rPr>
          <w:rFonts w:ascii="Abadi" w:hAnsi="Abadi" w:cs="*Arial-4996-Identity-H"/>
          <w:color w:val="14131C"/>
          <w:sz w:val="21"/>
          <w:szCs w:val="21"/>
        </w:rPr>
        <w:t>una estrategia de diversificación tanto de técnicas de recolección de información</w:t>
      </w:r>
      <w:r>
        <w:rPr>
          <w:rFonts w:ascii="Abadi" w:hAnsi="Abadi" w:cs="*Arial-4996-Identity-H"/>
          <w:color w:val="14131C"/>
          <w:sz w:val="21"/>
          <w:szCs w:val="21"/>
        </w:rPr>
        <w:t xml:space="preserve"> </w:t>
      </w:r>
      <w:r w:rsidRPr="0023003B">
        <w:rPr>
          <w:rFonts w:ascii="Abadi" w:hAnsi="Abadi" w:cs="*Arial-4996-Identity-H"/>
          <w:color w:val="14131C"/>
          <w:sz w:val="21"/>
          <w:szCs w:val="21"/>
        </w:rPr>
        <w:t>como de los procedimientos para el análisis de los datos, dejando atrás las</w:t>
      </w:r>
      <w:r>
        <w:rPr>
          <w:rFonts w:ascii="Abadi" w:hAnsi="Abadi" w:cs="*Arial-4996-Identity-H"/>
          <w:color w:val="14131C"/>
          <w:sz w:val="21"/>
          <w:szCs w:val="21"/>
        </w:rPr>
        <w:t xml:space="preserve">  </w:t>
      </w:r>
      <w:r w:rsidRPr="0023003B">
        <w:rPr>
          <w:rFonts w:ascii="Abadi" w:hAnsi="Abadi" w:cs="*Arial-4996-Identity-H"/>
          <w:color w:val="14131C"/>
          <w:sz w:val="21"/>
          <w:szCs w:val="21"/>
        </w:rPr>
        <w:t>tradicionales revisiones de gabinete (donde la carga de la información recae, casi</w:t>
      </w:r>
      <w:r>
        <w:rPr>
          <w:rFonts w:ascii="Abadi" w:hAnsi="Abadi" w:cs="*Arial-4996-Identity-H"/>
          <w:color w:val="14131C"/>
          <w:sz w:val="21"/>
          <w:szCs w:val="21"/>
        </w:rPr>
        <w:t xml:space="preserve"> </w:t>
      </w:r>
      <w:r w:rsidRPr="0023003B">
        <w:rPr>
          <w:rFonts w:ascii="Abadi" w:hAnsi="Abadi" w:cs="*Arial-4996-Identity-H"/>
          <w:color w:val="14131C"/>
          <w:sz w:val="21"/>
          <w:szCs w:val="21"/>
        </w:rPr>
        <w:t>en su totalidad, en la unidad responsable del programa), e incursionando en el</w:t>
      </w:r>
      <w:r>
        <w:rPr>
          <w:rFonts w:ascii="Abadi" w:hAnsi="Abadi" w:cs="*Arial-4996-Identity-H"/>
          <w:color w:val="14131C"/>
          <w:sz w:val="21"/>
          <w:szCs w:val="21"/>
        </w:rPr>
        <w:t xml:space="preserve"> </w:t>
      </w:r>
      <w:r w:rsidRPr="0023003B">
        <w:rPr>
          <w:rFonts w:ascii="Abadi" w:hAnsi="Abadi" w:cs="*Arial-4996-Identity-H"/>
          <w:color w:val="14131C"/>
          <w:sz w:val="21"/>
          <w:szCs w:val="21"/>
        </w:rPr>
        <w:t>trabajo de campo para la recolección de información con el resto de los actores</w:t>
      </w:r>
      <w:r>
        <w:rPr>
          <w:rFonts w:ascii="Abadi" w:hAnsi="Abadi" w:cs="*Arial-4996-Identity-H"/>
          <w:color w:val="14131C"/>
          <w:sz w:val="21"/>
          <w:szCs w:val="21"/>
        </w:rPr>
        <w:t xml:space="preserve"> </w:t>
      </w:r>
      <w:r w:rsidRPr="0023003B">
        <w:rPr>
          <w:rFonts w:ascii="Abadi" w:hAnsi="Abadi" w:cs="*Arial-4996-Identity-H"/>
          <w:color w:val="14131C"/>
          <w:sz w:val="21"/>
          <w:szCs w:val="21"/>
        </w:rPr>
        <w:t>involucrados en el programa auditado.</w:t>
      </w:r>
    </w:p>
    <w:p w14:paraId="4CFBB978" w14:textId="77777777" w:rsidR="002B0CBC" w:rsidRPr="0023003B" w:rsidRDefault="002B0CBC" w:rsidP="002B0CBC">
      <w:pPr>
        <w:autoSpaceDE w:val="0"/>
        <w:autoSpaceDN w:val="0"/>
        <w:adjustRightInd w:val="0"/>
        <w:jc w:val="both"/>
        <w:rPr>
          <w:rFonts w:ascii="Abadi" w:hAnsi="Abadi" w:cs="*Arial-4996-Identity-H"/>
          <w:color w:val="14131C"/>
          <w:sz w:val="21"/>
          <w:szCs w:val="21"/>
        </w:rPr>
      </w:pPr>
    </w:p>
    <w:p w14:paraId="70071BE3" w14:textId="77777777" w:rsidR="002B0CBC" w:rsidRDefault="002B0CBC" w:rsidP="002B0CBC">
      <w:pPr>
        <w:autoSpaceDE w:val="0"/>
        <w:autoSpaceDN w:val="0"/>
        <w:adjustRightInd w:val="0"/>
        <w:ind w:firstLine="708"/>
        <w:jc w:val="both"/>
        <w:rPr>
          <w:rFonts w:ascii="Abadi" w:hAnsi="Abadi" w:cs="*Arial-4996-Identity-H"/>
          <w:color w:val="14141C"/>
          <w:sz w:val="21"/>
          <w:szCs w:val="21"/>
        </w:rPr>
      </w:pPr>
      <w:r w:rsidRPr="0023003B">
        <w:rPr>
          <w:rFonts w:ascii="Abadi" w:hAnsi="Abadi" w:cs="*Arial-4996-Identity-H"/>
          <w:color w:val="14141C"/>
          <w:sz w:val="21"/>
          <w:szCs w:val="21"/>
        </w:rPr>
        <w:t>En tal sentido, la aplicación de las pruebas de campo tuvo por objeto</w:t>
      </w:r>
      <w:r>
        <w:rPr>
          <w:rFonts w:ascii="Abadi" w:hAnsi="Abadi" w:cs="*Arial-4996-Identity-H"/>
          <w:color w:val="14141C"/>
          <w:sz w:val="21"/>
          <w:szCs w:val="21"/>
        </w:rPr>
        <w:t xml:space="preserve"> </w:t>
      </w:r>
      <w:r w:rsidRPr="0023003B">
        <w:rPr>
          <w:rFonts w:ascii="Abadi" w:hAnsi="Abadi" w:cs="*Arial-4996-Identity-H"/>
          <w:color w:val="14141C"/>
          <w:sz w:val="21"/>
          <w:szCs w:val="21"/>
        </w:rPr>
        <w:t>promover la participación ciudadana como insumo principal del proceso de</w:t>
      </w:r>
      <w:r>
        <w:rPr>
          <w:rFonts w:ascii="Abadi" w:hAnsi="Abadi" w:cs="*Arial-4996-Identity-H"/>
          <w:color w:val="14141C"/>
          <w:sz w:val="21"/>
          <w:szCs w:val="21"/>
        </w:rPr>
        <w:t xml:space="preserve"> </w:t>
      </w:r>
      <w:r w:rsidRPr="0023003B">
        <w:rPr>
          <w:rFonts w:ascii="Abadi" w:hAnsi="Abadi" w:cs="*Arial-4996-Identity-H"/>
          <w:color w:val="14141C"/>
          <w:sz w:val="21"/>
          <w:szCs w:val="21"/>
        </w:rPr>
        <w:t>fiscalización, a efecto de conocer su percepción respecto de la eficiencia, eficacia</w:t>
      </w:r>
      <w:r>
        <w:rPr>
          <w:rFonts w:ascii="Abadi" w:hAnsi="Abadi" w:cs="*Arial-4996-Identity-H"/>
          <w:color w:val="14141C"/>
          <w:sz w:val="21"/>
          <w:szCs w:val="21"/>
        </w:rPr>
        <w:t xml:space="preserve"> </w:t>
      </w:r>
      <w:r w:rsidRPr="0023003B">
        <w:rPr>
          <w:rFonts w:ascii="Abadi" w:hAnsi="Abadi" w:cs="*Arial-4996-Identity-H"/>
          <w:color w:val="14141C"/>
          <w:sz w:val="21"/>
          <w:szCs w:val="21"/>
        </w:rPr>
        <w:t>y economía con la que la Administración Pública Estatal ejerció los recursos</w:t>
      </w:r>
      <w:r>
        <w:rPr>
          <w:rFonts w:ascii="Abadi" w:hAnsi="Abadi" w:cs="*Arial-4996-Identity-H"/>
          <w:color w:val="14141C"/>
          <w:sz w:val="21"/>
          <w:szCs w:val="21"/>
        </w:rPr>
        <w:t xml:space="preserve"> </w:t>
      </w:r>
      <w:r w:rsidRPr="0023003B">
        <w:rPr>
          <w:rFonts w:ascii="Abadi" w:hAnsi="Abadi" w:cs="*Arial-4996-Identity-H"/>
          <w:color w:val="14141C"/>
          <w:sz w:val="21"/>
          <w:szCs w:val="21"/>
        </w:rPr>
        <w:t>asignados a la implementación de acciones emergentes en cuestión y el impacto</w:t>
      </w:r>
      <w:r>
        <w:rPr>
          <w:rFonts w:ascii="Abadi" w:hAnsi="Abadi" w:cs="*Arial-4996-Identity-H"/>
          <w:color w:val="14141C"/>
          <w:sz w:val="21"/>
          <w:szCs w:val="21"/>
        </w:rPr>
        <w:t xml:space="preserve"> </w:t>
      </w:r>
      <w:r w:rsidRPr="0023003B">
        <w:rPr>
          <w:rFonts w:ascii="Abadi" w:hAnsi="Abadi" w:cs="*Arial-4996-Identity-H"/>
          <w:color w:val="14141C"/>
          <w:sz w:val="21"/>
          <w:szCs w:val="21"/>
        </w:rPr>
        <w:t xml:space="preserve">que tuvo en </w:t>
      </w:r>
      <w:r>
        <w:rPr>
          <w:rFonts w:ascii="Abadi" w:hAnsi="Abadi" w:cs="*Arial-4996-Identity-H"/>
          <w:color w:val="14141C"/>
          <w:sz w:val="21"/>
          <w:szCs w:val="21"/>
        </w:rPr>
        <w:t>l</w:t>
      </w:r>
      <w:r w:rsidRPr="0023003B">
        <w:rPr>
          <w:rFonts w:ascii="Abadi" w:hAnsi="Abadi" w:cs="*Arial-4996-Identity-H"/>
          <w:color w:val="14141C"/>
          <w:sz w:val="21"/>
          <w:szCs w:val="21"/>
        </w:rPr>
        <w:t>as personas que fueron beneficiadas. Las pruebas de campo, que</w:t>
      </w:r>
      <w:r>
        <w:rPr>
          <w:rFonts w:ascii="Abadi" w:hAnsi="Abadi" w:cs="*Arial-4996-Identity-H"/>
          <w:color w:val="14141C"/>
          <w:sz w:val="21"/>
          <w:szCs w:val="21"/>
        </w:rPr>
        <w:t xml:space="preserve"> </w:t>
      </w:r>
      <w:r w:rsidRPr="0023003B">
        <w:rPr>
          <w:rFonts w:ascii="Abadi" w:hAnsi="Abadi" w:cs="*Arial-4996-Identity-H"/>
          <w:color w:val="14141C"/>
          <w:sz w:val="21"/>
          <w:szCs w:val="21"/>
        </w:rPr>
        <w:t>involucraron la participación ciudadana se detallan en el informe de resultados, y</w:t>
      </w:r>
      <w:r>
        <w:rPr>
          <w:rFonts w:ascii="Abadi" w:hAnsi="Abadi" w:cs="*Arial-4996-Identity-H"/>
          <w:color w:val="14141C"/>
          <w:sz w:val="21"/>
          <w:szCs w:val="21"/>
        </w:rPr>
        <w:t xml:space="preserve"> </w:t>
      </w:r>
      <w:r w:rsidRPr="0023003B">
        <w:rPr>
          <w:rFonts w:ascii="Abadi" w:hAnsi="Abadi" w:cs="*Arial-4996-Identity-H"/>
          <w:color w:val="14141C"/>
          <w:sz w:val="21"/>
          <w:szCs w:val="21"/>
        </w:rPr>
        <w:t>se refieren a encuestas virtuales compartidas por mensajería instantánea</w:t>
      </w:r>
      <w:r>
        <w:rPr>
          <w:rFonts w:ascii="Abadi" w:hAnsi="Abadi" w:cs="*Arial-4996-Identity-H"/>
          <w:color w:val="14141C"/>
          <w:sz w:val="21"/>
          <w:szCs w:val="21"/>
        </w:rPr>
        <w:t xml:space="preserve"> </w:t>
      </w:r>
      <w:r w:rsidRPr="0023003B">
        <w:rPr>
          <w:rFonts w:ascii="Abadi" w:hAnsi="Abadi" w:cs="*Arial-4996-Identity-H"/>
          <w:color w:val="14141C"/>
          <w:sz w:val="21"/>
          <w:szCs w:val="21"/>
        </w:rPr>
        <w:t>(WhatsApp) a los beneficiarios del programa auditado; y estudios de caso a</w:t>
      </w:r>
      <w:r>
        <w:rPr>
          <w:rFonts w:ascii="Abadi" w:hAnsi="Abadi" w:cs="*Arial-4996-Identity-H"/>
          <w:color w:val="14141C"/>
          <w:sz w:val="21"/>
          <w:szCs w:val="21"/>
        </w:rPr>
        <w:t xml:space="preserve"> </w:t>
      </w:r>
      <w:r w:rsidRPr="0023003B">
        <w:rPr>
          <w:rFonts w:ascii="Abadi" w:hAnsi="Abadi" w:cs="*Arial-4996-Identity-H"/>
          <w:color w:val="14141C"/>
          <w:sz w:val="21"/>
          <w:szCs w:val="21"/>
        </w:rPr>
        <w:t>comercios participantes.</w:t>
      </w:r>
    </w:p>
    <w:p w14:paraId="5BC5D7DD" w14:textId="77777777" w:rsidR="002B0CBC" w:rsidRPr="0023003B" w:rsidRDefault="002B0CBC" w:rsidP="002B0CBC">
      <w:pPr>
        <w:autoSpaceDE w:val="0"/>
        <w:autoSpaceDN w:val="0"/>
        <w:adjustRightInd w:val="0"/>
        <w:jc w:val="both"/>
        <w:rPr>
          <w:rFonts w:ascii="Abadi" w:hAnsi="Abadi" w:cs="*Arial-4996-Identity-H"/>
          <w:color w:val="14141C"/>
          <w:sz w:val="21"/>
          <w:szCs w:val="21"/>
        </w:rPr>
      </w:pPr>
    </w:p>
    <w:p w14:paraId="4FF711A0" w14:textId="77777777" w:rsidR="002B0CBC" w:rsidRPr="0023003B" w:rsidRDefault="002B0CBC" w:rsidP="002B0CBC">
      <w:pPr>
        <w:autoSpaceDE w:val="0"/>
        <w:autoSpaceDN w:val="0"/>
        <w:adjustRightInd w:val="0"/>
        <w:ind w:firstLine="708"/>
        <w:jc w:val="both"/>
        <w:rPr>
          <w:rFonts w:ascii="Abadi" w:hAnsi="Abadi" w:cs="*Arial-4996-Identity-H"/>
          <w:color w:val="15141C"/>
          <w:sz w:val="21"/>
          <w:szCs w:val="21"/>
        </w:rPr>
      </w:pPr>
      <w:r w:rsidRPr="0023003B">
        <w:rPr>
          <w:rFonts w:ascii="Abadi" w:hAnsi="Abadi" w:cs="*Arial-4996-Identity-H"/>
          <w:color w:val="15141C"/>
          <w:sz w:val="21"/>
          <w:szCs w:val="21"/>
        </w:rPr>
        <w:t>Es así, que se presentan los resultados de la auditoría realizada,</w:t>
      </w:r>
      <w:r>
        <w:rPr>
          <w:rFonts w:ascii="Abadi" w:hAnsi="Abadi" w:cs="*Arial-4996-Identity-H"/>
          <w:color w:val="15141C"/>
          <w:sz w:val="21"/>
          <w:szCs w:val="21"/>
        </w:rPr>
        <w:t xml:space="preserve"> </w:t>
      </w:r>
      <w:r w:rsidRPr="0023003B">
        <w:rPr>
          <w:rFonts w:ascii="Abadi" w:hAnsi="Abadi" w:cs="*Arial-4996-Identity-H"/>
          <w:color w:val="15141C"/>
          <w:sz w:val="21"/>
          <w:szCs w:val="21"/>
        </w:rPr>
        <w:t>estableciendo las recomendaciones formuladas al sujeto fiscalizado, plasmando</w:t>
      </w:r>
      <w:r>
        <w:rPr>
          <w:rFonts w:ascii="Abadi" w:hAnsi="Abadi" w:cs="*Arial-4996-Identity-H"/>
          <w:color w:val="15141C"/>
          <w:sz w:val="21"/>
          <w:szCs w:val="21"/>
        </w:rPr>
        <w:t xml:space="preserve"> </w:t>
      </w:r>
      <w:r w:rsidRPr="0023003B">
        <w:rPr>
          <w:rFonts w:ascii="Abadi" w:hAnsi="Abadi" w:cs="*Arial-4996-Identity-H"/>
          <w:color w:val="15141C"/>
          <w:sz w:val="21"/>
          <w:szCs w:val="21"/>
        </w:rPr>
        <w:t>en cada una las acciones preventivas y correctivas que se deben llevar a cabo</w:t>
      </w:r>
      <w:r>
        <w:rPr>
          <w:rFonts w:ascii="Abadi" w:hAnsi="Abadi" w:cs="*Arial-4996-Identity-H"/>
          <w:color w:val="15141C"/>
          <w:sz w:val="21"/>
          <w:szCs w:val="21"/>
        </w:rPr>
        <w:t xml:space="preserve"> </w:t>
      </w:r>
      <w:r w:rsidRPr="0023003B">
        <w:rPr>
          <w:rFonts w:ascii="Abadi" w:hAnsi="Abadi" w:cs="*Arial-4996-Identity-H"/>
          <w:color w:val="15141C"/>
          <w:sz w:val="21"/>
          <w:szCs w:val="21"/>
        </w:rPr>
        <w:t>para subsanar las situaciones detectadas durante el proceso de auditoría.</w:t>
      </w:r>
    </w:p>
    <w:p w14:paraId="546C06E2" w14:textId="77777777" w:rsidR="002B0CBC" w:rsidRPr="0023003B" w:rsidRDefault="002B0CBC" w:rsidP="002B0CBC">
      <w:pPr>
        <w:jc w:val="both"/>
        <w:rPr>
          <w:rFonts w:ascii="Abadi" w:hAnsi="Abadi" w:cs="*Arial-4996-Identity-H"/>
          <w:color w:val="15141C"/>
          <w:sz w:val="21"/>
          <w:szCs w:val="21"/>
        </w:rPr>
      </w:pPr>
    </w:p>
    <w:p w14:paraId="4F50EB2F" w14:textId="77777777" w:rsidR="002B0CBC" w:rsidRDefault="002B0CBC" w:rsidP="002B0CBC">
      <w:pPr>
        <w:autoSpaceDE w:val="0"/>
        <w:autoSpaceDN w:val="0"/>
        <w:adjustRightInd w:val="0"/>
        <w:ind w:firstLine="708"/>
        <w:jc w:val="both"/>
        <w:rPr>
          <w:rFonts w:ascii="Abadi" w:hAnsi="Abadi" w:cs="*Arial-6055-Identity-H"/>
          <w:color w:val="15141D"/>
          <w:sz w:val="21"/>
          <w:szCs w:val="21"/>
        </w:rPr>
      </w:pPr>
      <w:r w:rsidRPr="0023003B">
        <w:rPr>
          <w:rFonts w:ascii="Abadi" w:hAnsi="Abadi" w:cs="*Arial-6055-Identity-H"/>
          <w:color w:val="15141D"/>
          <w:sz w:val="21"/>
          <w:szCs w:val="21"/>
        </w:rPr>
        <w:t>Derivado de lo anterior, se formulan los resultados y recomendaciones</w:t>
      </w:r>
      <w:r>
        <w:rPr>
          <w:rFonts w:ascii="Abadi" w:hAnsi="Abadi" w:cs="*Arial-6055-Identity-H"/>
          <w:color w:val="15141D"/>
          <w:sz w:val="21"/>
          <w:szCs w:val="21"/>
        </w:rPr>
        <w:t xml:space="preserve"> </w:t>
      </w:r>
      <w:r w:rsidRPr="0023003B">
        <w:rPr>
          <w:rFonts w:ascii="Abadi" w:hAnsi="Abadi" w:cs="*Arial-6055-Identity-H"/>
          <w:color w:val="15141D"/>
          <w:sz w:val="21"/>
          <w:szCs w:val="21"/>
        </w:rPr>
        <w:t>contenidos en los rubros de Eficiencia, Eficacia y Desarrollo Sostenible.</w:t>
      </w:r>
    </w:p>
    <w:p w14:paraId="6E5B572B" w14:textId="77777777" w:rsidR="002B0CBC" w:rsidRPr="0023003B" w:rsidRDefault="002B0CBC" w:rsidP="002B0CBC">
      <w:pPr>
        <w:autoSpaceDE w:val="0"/>
        <w:autoSpaceDN w:val="0"/>
        <w:adjustRightInd w:val="0"/>
        <w:jc w:val="both"/>
        <w:rPr>
          <w:rFonts w:ascii="Abadi" w:hAnsi="Abadi" w:cs="*Arial-6055-Identity-H"/>
          <w:color w:val="15141D"/>
          <w:sz w:val="21"/>
          <w:szCs w:val="21"/>
        </w:rPr>
      </w:pPr>
    </w:p>
    <w:p w14:paraId="412BF871" w14:textId="77777777" w:rsidR="002B0CBC" w:rsidRDefault="002B0CBC" w:rsidP="002B0CBC">
      <w:pPr>
        <w:autoSpaceDE w:val="0"/>
        <w:autoSpaceDN w:val="0"/>
        <w:adjustRightInd w:val="0"/>
        <w:ind w:firstLine="708"/>
        <w:jc w:val="both"/>
        <w:rPr>
          <w:rFonts w:ascii="Abadi" w:hAnsi="Abadi" w:cs="*Arial-6055-Identity-H"/>
          <w:color w:val="14131C"/>
          <w:sz w:val="21"/>
          <w:szCs w:val="21"/>
        </w:rPr>
      </w:pPr>
      <w:r w:rsidRPr="0023003B">
        <w:rPr>
          <w:rFonts w:ascii="Abadi" w:hAnsi="Abadi" w:cs="*Arial-6055-Identity-H"/>
          <w:color w:val="14131C"/>
          <w:sz w:val="21"/>
          <w:szCs w:val="21"/>
        </w:rPr>
        <w:t>En tal sentido, en el rubro de Eficiencia, se formularon las recomendaciones</w:t>
      </w:r>
      <w:r>
        <w:rPr>
          <w:rFonts w:ascii="Abadi" w:hAnsi="Abadi" w:cs="*Arial-6055-Identity-H"/>
          <w:color w:val="14131C"/>
          <w:sz w:val="21"/>
          <w:szCs w:val="21"/>
        </w:rPr>
        <w:t xml:space="preserve"> </w:t>
      </w:r>
      <w:r w:rsidRPr="0023003B">
        <w:rPr>
          <w:rFonts w:ascii="Abadi" w:hAnsi="Abadi" w:cs="*Arial-6055-Identity-H"/>
          <w:color w:val="14131C"/>
          <w:sz w:val="21"/>
          <w:szCs w:val="21"/>
        </w:rPr>
        <w:t>plasmadas en los puntos 01 del resultado número 01, referente a estrategia para</w:t>
      </w:r>
      <w:r>
        <w:rPr>
          <w:rFonts w:ascii="Abadi" w:hAnsi="Abadi" w:cs="*Arial-6055-Identity-H"/>
          <w:color w:val="14131C"/>
          <w:sz w:val="21"/>
          <w:szCs w:val="21"/>
        </w:rPr>
        <w:t xml:space="preserve"> </w:t>
      </w:r>
      <w:r w:rsidRPr="0023003B">
        <w:rPr>
          <w:rFonts w:ascii="Abadi" w:hAnsi="Abadi" w:cs="*Arial-6055-Identity-H"/>
          <w:color w:val="14131C"/>
          <w:sz w:val="21"/>
          <w:szCs w:val="21"/>
        </w:rPr>
        <w:t xml:space="preserve">la asignación de apoyos </w:t>
      </w:r>
      <w:r w:rsidRPr="0023003B">
        <w:rPr>
          <w:rFonts w:ascii="Abadi" w:hAnsi="Abadi" w:cs="*Arial-Italic-6056-Identity-H"/>
          <w:i/>
          <w:iCs/>
          <w:color w:val="14131C"/>
          <w:sz w:val="21"/>
          <w:szCs w:val="21"/>
        </w:rPr>
        <w:t xml:space="preserve">Vale Grandeza-Compra Local; </w:t>
      </w:r>
      <w:r w:rsidRPr="0023003B">
        <w:rPr>
          <w:rFonts w:ascii="Abadi" w:hAnsi="Abadi" w:cs="*Arial-6055-Identity-H"/>
          <w:color w:val="14131C"/>
          <w:sz w:val="21"/>
          <w:szCs w:val="21"/>
        </w:rPr>
        <w:t>y 02 del resultado número</w:t>
      </w:r>
      <w:r>
        <w:rPr>
          <w:rFonts w:ascii="Abadi" w:hAnsi="Abadi" w:cs="*Arial-6055-Identity-H"/>
          <w:color w:val="14131C"/>
          <w:sz w:val="21"/>
          <w:szCs w:val="21"/>
        </w:rPr>
        <w:t xml:space="preserve"> </w:t>
      </w:r>
      <w:r w:rsidRPr="0023003B">
        <w:rPr>
          <w:rFonts w:ascii="Abadi" w:hAnsi="Abadi" w:cs="*Arial-6055-Identity-H"/>
          <w:color w:val="14131C"/>
          <w:sz w:val="21"/>
          <w:szCs w:val="21"/>
        </w:rPr>
        <w:t>02, correspondiente a entrega de vales. En el apartado de Eficacia, se formularon</w:t>
      </w:r>
      <w:r>
        <w:rPr>
          <w:rFonts w:ascii="Abadi" w:hAnsi="Abadi" w:cs="*Arial-6055-Identity-H"/>
          <w:color w:val="14131C"/>
          <w:sz w:val="21"/>
          <w:szCs w:val="21"/>
        </w:rPr>
        <w:t xml:space="preserve"> </w:t>
      </w:r>
      <w:r w:rsidRPr="0023003B">
        <w:rPr>
          <w:rFonts w:ascii="Abadi" w:hAnsi="Abadi" w:cs="*Arial-6055-Identity-H"/>
          <w:color w:val="14131C"/>
          <w:sz w:val="21"/>
          <w:szCs w:val="21"/>
        </w:rPr>
        <w:t>las recomendaciones consignadas en los puntos 03 y 04 del resultado número 03,</w:t>
      </w:r>
      <w:r>
        <w:rPr>
          <w:rFonts w:ascii="Abadi" w:hAnsi="Abadi" w:cs="*Arial-6055-Identity-H"/>
          <w:color w:val="14131C"/>
          <w:sz w:val="21"/>
          <w:szCs w:val="21"/>
        </w:rPr>
        <w:t xml:space="preserve"> </w:t>
      </w:r>
      <w:r w:rsidRPr="0023003B">
        <w:rPr>
          <w:rFonts w:ascii="Abadi" w:hAnsi="Abadi" w:cs="*Arial-6055-Identity-H"/>
          <w:color w:val="14131C"/>
          <w:sz w:val="21"/>
          <w:szCs w:val="21"/>
        </w:rPr>
        <w:t>relativo a acceso oportuno, rápido y eficaz a los productos alimenticios por medio</w:t>
      </w:r>
      <w:r>
        <w:rPr>
          <w:rFonts w:ascii="Abadi" w:hAnsi="Abadi" w:cs="*Arial-6055-Identity-H"/>
          <w:color w:val="14131C"/>
          <w:sz w:val="21"/>
          <w:szCs w:val="21"/>
        </w:rPr>
        <w:t xml:space="preserve"> </w:t>
      </w:r>
      <w:r w:rsidRPr="0023003B">
        <w:rPr>
          <w:rFonts w:ascii="Abadi" w:hAnsi="Abadi" w:cs="*Arial-6055-Identity-H"/>
          <w:color w:val="14131C"/>
          <w:sz w:val="21"/>
          <w:szCs w:val="21"/>
        </w:rPr>
        <w:t>del canje de los vales Grandeza; 05 del resultado número 04, referido a impulso a</w:t>
      </w:r>
      <w:r>
        <w:rPr>
          <w:rFonts w:ascii="Abadi" w:hAnsi="Abadi" w:cs="*Arial-6055-Identity-H"/>
          <w:color w:val="14131C"/>
          <w:sz w:val="21"/>
          <w:szCs w:val="21"/>
        </w:rPr>
        <w:t xml:space="preserve"> </w:t>
      </w:r>
      <w:r w:rsidRPr="0023003B">
        <w:rPr>
          <w:rFonts w:ascii="Abadi" w:hAnsi="Abadi" w:cs="*Arial-6055-Identity-H"/>
          <w:color w:val="14131C"/>
          <w:sz w:val="21"/>
          <w:szCs w:val="21"/>
        </w:rPr>
        <w:t>la economía local; y 06 del resultado número 05, referente a acción gubernamental</w:t>
      </w:r>
      <w:r>
        <w:rPr>
          <w:rFonts w:ascii="Abadi" w:hAnsi="Abadi" w:cs="*Arial-6055-Identity-H"/>
          <w:color w:val="14131C"/>
          <w:sz w:val="21"/>
          <w:szCs w:val="21"/>
        </w:rPr>
        <w:t xml:space="preserve"> </w:t>
      </w:r>
      <w:r w:rsidRPr="0023003B">
        <w:rPr>
          <w:rFonts w:ascii="Abadi" w:hAnsi="Abadi" w:cs="*Arial-6055-Identity-H"/>
          <w:color w:val="14131C"/>
          <w:sz w:val="21"/>
          <w:szCs w:val="21"/>
        </w:rPr>
        <w:t>en respuesta a la contingencia sanitaria por COVID-19.</w:t>
      </w:r>
    </w:p>
    <w:p w14:paraId="4EE6EF93" w14:textId="77777777" w:rsidR="002B0CBC" w:rsidRPr="0023003B" w:rsidRDefault="002B0CBC" w:rsidP="002B0CBC">
      <w:pPr>
        <w:autoSpaceDE w:val="0"/>
        <w:autoSpaceDN w:val="0"/>
        <w:adjustRightInd w:val="0"/>
        <w:jc w:val="both"/>
        <w:rPr>
          <w:rFonts w:ascii="Abadi" w:hAnsi="Abadi" w:cs="*Arial-6055-Identity-H"/>
          <w:color w:val="14131C"/>
          <w:sz w:val="21"/>
          <w:szCs w:val="21"/>
        </w:rPr>
      </w:pPr>
    </w:p>
    <w:p w14:paraId="0C81C328" w14:textId="77777777" w:rsidR="002B0CBC" w:rsidRDefault="002B0CBC" w:rsidP="002B0CBC">
      <w:pPr>
        <w:autoSpaceDE w:val="0"/>
        <w:autoSpaceDN w:val="0"/>
        <w:adjustRightInd w:val="0"/>
        <w:ind w:firstLine="708"/>
        <w:jc w:val="both"/>
        <w:rPr>
          <w:rFonts w:ascii="Abadi" w:hAnsi="Abadi" w:cs="*Arial-6055-Identity-H"/>
          <w:color w:val="14131C"/>
          <w:sz w:val="21"/>
          <w:szCs w:val="21"/>
        </w:rPr>
      </w:pPr>
      <w:r w:rsidRPr="0023003B">
        <w:rPr>
          <w:rFonts w:ascii="Abadi" w:hAnsi="Abadi" w:cs="*Arial-6055-Identity-H"/>
          <w:color w:val="14131C"/>
          <w:sz w:val="21"/>
          <w:szCs w:val="21"/>
        </w:rPr>
        <w:t>En el caso del resultado número 06, correspondiente a acciones de</w:t>
      </w:r>
      <w:r>
        <w:rPr>
          <w:rFonts w:ascii="Abadi" w:hAnsi="Abadi" w:cs="*Arial-6055-Identity-H"/>
          <w:color w:val="14131C"/>
          <w:sz w:val="21"/>
          <w:szCs w:val="21"/>
        </w:rPr>
        <w:t xml:space="preserve"> </w:t>
      </w:r>
      <w:r w:rsidRPr="0023003B">
        <w:rPr>
          <w:rFonts w:ascii="Abadi" w:hAnsi="Abadi" w:cs="*Arial-6055-Identity-H"/>
          <w:color w:val="14131C"/>
          <w:sz w:val="21"/>
          <w:szCs w:val="21"/>
        </w:rPr>
        <w:t>intervención y coordinación como factores que disminuyan el retroceso en la</w:t>
      </w:r>
      <w:r>
        <w:rPr>
          <w:rFonts w:ascii="Abadi" w:hAnsi="Abadi" w:cs="*Arial-6055-Identity-H"/>
          <w:color w:val="14131C"/>
          <w:sz w:val="21"/>
          <w:szCs w:val="21"/>
        </w:rPr>
        <w:t xml:space="preserve"> </w:t>
      </w:r>
      <w:r w:rsidRPr="0023003B">
        <w:rPr>
          <w:rFonts w:ascii="Abadi" w:hAnsi="Abadi" w:cs="*Arial-6055-Identity-H"/>
          <w:color w:val="14131C"/>
          <w:sz w:val="21"/>
          <w:szCs w:val="21"/>
        </w:rPr>
        <w:t>agenda 2030 del rubro de Desarrollo Sostenible, este no generó recomendaciones</w:t>
      </w:r>
      <w:r>
        <w:rPr>
          <w:rFonts w:ascii="Abadi" w:hAnsi="Abadi" w:cs="*Arial-6055-Identity-H"/>
          <w:color w:val="14131C"/>
          <w:sz w:val="21"/>
          <w:szCs w:val="21"/>
        </w:rPr>
        <w:t xml:space="preserve"> </w:t>
      </w:r>
      <w:r w:rsidRPr="0023003B">
        <w:rPr>
          <w:rFonts w:ascii="Abadi" w:hAnsi="Abadi" w:cs="*Arial-6055-Identity-H"/>
          <w:color w:val="14131C"/>
          <w:sz w:val="21"/>
          <w:szCs w:val="21"/>
        </w:rPr>
        <w:t>por parte de la Auditoría Superior del Estado.</w:t>
      </w:r>
    </w:p>
    <w:p w14:paraId="69288675" w14:textId="77777777" w:rsidR="002B0CBC" w:rsidRPr="0023003B" w:rsidRDefault="002B0CBC" w:rsidP="002B0CBC">
      <w:pPr>
        <w:autoSpaceDE w:val="0"/>
        <w:autoSpaceDN w:val="0"/>
        <w:adjustRightInd w:val="0"/>
        <w:jc w:val="both"/>
        <w:rPr>
          <w:rFonts w:ascii="Abadi" w:hAnsi="Abadi" w:cs="*Arial-6055-Identity-H"/>
          <w:color w:val="14131C"/>
          <w:sz w:val="21"/>
          <w:szCs w:val="21"/>
        </w:rPr>
      </w:pPr>
    </w:p>
    <w:p w14:paraId="52BB27CB" w14:textId="77777777" w:rsidR="002B0CBC" w:rsidRDefault="002B0CBC" w:rsidP="002B0CBC">
      <w:pPr>
        <w:autoSpaceDE w:val="0"/>
        <w:autoSpaceDN w:val="0"/>
        <w:adjustRightInd w:val="0"/>
        <w:ind w:firstLine="708"/>
        <w:jc w:val="both"/>
        <w:rPr>
          <w:rFonts w:ascii="Abadi" w:hAnsi="Abadi" w:cs="*Arial-6055-Identity-H"/>
          <w:color w:val="14141B"/>
          <w:sz w:val="21"/>
          <w:szCs w:val="21"/>
        </w:rPr>
      </w:pPr>
      <w:r w:rsidRPr="0023003B">
        <w:rPr>
          <w:rFonts w:ascii="Abadi" w:hAnsi="Abadi" w:cs="*Arial-6055-Identity-H"/>
          <w:color w:val="14141B"/>
          <w:sz w:val="21"/>
          <w:szCs w:val="21"/>
        </w:rPr>
        <w:t xml:space="preserve">Finalmente, se establece un apartado denominado </w:t>
      </w:r>
      <w:r w:rsidRPr="0023003B">
        <w:rPr>
          <w:rFonts w:ascii="Abadi" w:hAnsi="Abadi" w:cs="*Arial-Italic-6056-Identity-H"/>
          <w:i/>
          <w:iCs/>
          <w:color w:val="14141B"/>
          <w:sz w:val="21"/>
          <w:szCs w:val="21"/>
        </w:rPr>
        <w:t>Cuestiones clave de la</w:t>
      </w:r>
      <w:r>
        <w:rPr>
          <w:rFonts w:ascii="Abadi" w:hAnsi="Abadi" w:cs="*Arial-Italic-6056-Identity-H"/>
          <w:i/>
          <w:iCs/>
          <w:color w:val="14141B"/>
          <w:sz w:val="21"/>
          <w:szCs w:val="21"/>
        </w:rPr>
        <w:t xml:space="preserve"> </w:t>
      </w:r>
      <w:r w:rsidRPr="0023003B">
        <w:rPr>
          <w:rFonts w:ascii="Abadi" w:hAnsi="Abadi" w:cs="*Arial-Italic-6056-Identity-H"/>
          <w:i/>
          <w:iCs/>
          <w:color w:val="14141B"/>
          <w:sz w:val="21"/>
          <w:szCs w:val="21"/>
        </w:rPr>
        <w:t xml:space="preserve">auditoría en contexto de la pandemia del virus SARS-CoV2 </w:t>
      </w:r>
      <w:r w:rsidRPr="0023003B">
        <w:rPr>
          <w:rFonts w:ascii="Abadi" w:hAnsi="Abadi" w:cs="*Arial-6055-Identity-H"/>
          <w:color w:val="14141B"/>
          <w:sz w:val="21"/>
          <w:szCs w:val="21"/>
        </w:rPr>
        <w:t>en el que se señala</w:t>
      </w:r>
      <w:r>
        <w:rPr>
          <w:rFonts w:ascii="Abadi" w:hAnsi="Abadi" w:cs="*Arial-6055-Identity-H"/>
          <w:color w:val="14141B"/>
          <w:sz w:val="21"/>
          <w:szCs w:val="21"/>
        </w:rPr>
        <w:t xml:space="preserve"> </w:t>
      </w:r>
      <w:r w:rsidRPr="0023003B">
        <w:rPr>
          <w:rFonts w:ascii="Abadi" w:hAnsi="Abadi" w:cs="*Arial-6055-Identity-H"/>
          <w:color w:val="14141B"/>
          <w:sz w:val="21"/>
          <w:szCs w:val="21"/>
        </w:rPr>
        <w:t>que derivado de emergencia sanitaria ocasionada por dicha pandemia, se</w:t>
      </w:r>
      <w:r>
        <w:rPr>
          <w:rFonts w:ascii="Abadi" w:hAnsi="Abadi" w:cs="*Arial-6055-Identity-H"/>
          <w:color w:val="14141B"/>
          <w:sz w:val="21"/>
          <w:szCs w:val="21"/>
        </w:rPr>
        <w:t xml:space="preserve"> </w:t>
      </w:r>
      <w:r w:rsidRPr="0023003B">
        <w:rPr>
          <w:rFonts w:ascii="Abadi" w:hAnsi="Abadi" w:cs="*Arial-6055-Identity-H"/>
          <w:color w:val="14141B"/>
          <w:sz w:val="21"/>
          <w:szCs w:val="21"/>
        </w:rPr>
        <w:t>generaron cambios en el desarrollo de los asuntos competencia de la Auditoría</w:t>
      </w:r>
      <w:r>
        <w:rPr>
          <w:rFonts w:ascii="Abadi" w:hAnsi="Abadi" w:cs="*Arial-6055-Identity-H"/>
          <w:color w:val="14141B"/>
          <w:sz w:val="21"/>
          <w:szCs w:val="21"/>
        </w:rPr>
        <w:t xml:space="preserve"> </w:t>
      </w:r>
      <w:r w:rsidRPr="0023003B">
        <w:rPr>
          <w:rFonts w:ascii="Abadi" w:hAnsi="Abadi" w:cs="*Arial-6055-Identity-H"/>
          <w:color w:val="14141B"/>
          <w:sz w:val="21"/>
          <w:szCs w:val="21"/>
        </w:rPr>
        <w:t xml:space="preserve">Superior del Estado de Guanajuato, atendiendo al </w:t>
      </w:r>
      <w:r w:rsidRPr="0023003B">
        <w:rPr>
          <w:rFonts w:ascii="Abadi" w:hAnsi="Abadi" w:cs="*Arial-Italic-6056-Identity-H"/>
          <w:i/>
          <w:iCs/>
          <w:color w:val="14141B"/>
          <w:sz w:val="21"/>
          <w:szCs w:val="21"/>
        </w:rPr>
        <w:t xml:space="preserve">Acuerdo relativo al trabajo </w:t>
      </w:r>
      <w:r w:rsidRPr="0023003B">
        <w:rPr>
          <w:rFonts w:ascii="Abadi" w:hAnsi="Abadi" w:cs="*Arial-6055-Identity-H"/>
          <w:color w:val="14141B"/>
          <w:sz w:val="21"/>
          <w:szCs w:val="21"/>
        </w:rPr>
        <w:t>a</w:t>
      </w:r>
      <w:r>
        <w:rPr>
          <w:rFonts w:ascii="Abadi" w:hAnsi="Abadi" w:cs="*Arial-6055-Identity-H"/>
          <w:color w:val="14141B"/>
          <w:sz w:val="21"/>
          <w:szCs w:val="21"/>
        </w:rPr>
        <w:t xml:space="preserve"> </w:t>
      </w:r>
      <w:r w:rsidRPr="0023003B">
        <w:rPr>
          <w:rFonts w:ascii="Abadi" w:hAnsi="Abadi" w:cs="*Arial-Italic-6056-Identity-H"/>
          <w:i/>
          <w:iCs/>
          <w:color w:val="14141B"/>
          <w:sz w:val="21"/>
          <w:szCs w:val="21"/>
        </w:rPr>
        <w:t xml:space="preserve">distancia del 17 de marzo de 2020 </w:t>
      </w:r>
      <w:r w:rsidRPr="0023003B">
        <w:rPr>
          <w:rFonts w:ascii="Abadi" w:hAnsi="Abadi" w:cs="*Arial-6055-Identity-H"/>
          <w:color w:val="14141B"/>
          <w:sz w:val="21"/>
          <w:szCs w:val="21"/>
        </w:rPr>
        <w:t>y su décimo quinto acuerdo modificatorio,</w:t>
      </w:r>
      <w:r>
        <w:rPr>
          <w:rFonts w:ascii="Abadi" w:hAnsi="Abadi" w:cs="*Arial-6055-Identity-H"/>
          <w:color w:val="14141B"/>
          <w:sz w:val="21"/>
          <w:szCs w:val="21"/>
        </w:rPr>
        <w:t xml:space="preserve"> </w:t>
      </w:r>
      <w:r w:rsidRPr="0023003B">
        <w:rPr>
          <w:rFonts w:ascii="Abadi" w:hAnsi="Abadi" w:cs="*Arial-6055-Identity-H"/>
          <w:color w:val="14141B"/>
          <w:sz w:val="21"/>
          <w:szCs w:val="21"/>
        </w:rPr>
        <w:t>aprovechando las herramientas tecnológicas de que dispone, así como la</w:t>
      </w:r>
      <w:r>
        <w:rPr>
          <w:rFonts w:ascii="Abadi" w:hAnsi="Abadi" w:cs="*Arial-6055-Identity-H"/>
          <w:color w:val="14141B"/>
          <w:sz w:val="21"/>
          <w:szCs w:val="21"/>
        </w:rPr>
        <w:t xml:space="preserve"> </w:t>
      </w:r>
      <w:r w:rsidRPr="0023003B">
        <w:rPr>
          <w:rFonts w:ascii="Abadi" w:hAnsi="Abadi" w:cs="*Arial-6055-Identity-H"/>
          <w:color w:val="14141B"/>
          <w:sz w:val="21"/>
          <w:szCs w:val="21"/>
        </w:rPr>
        <w:t>colaboración de los sujetos de fiscalización.</w:t>
      </w:r>
    </w:p>
    <w:p w14:paraId="70F28929" w14:textId="77777777" w:rsidR="002B0CBC" w:rsidRPr="0023003B" w:rsidRDefault="002B0CBC" w:rsidP="002B0CBC">
      <w:pPr>
        <w:autoSpaceDE w:val="0"/>
        <w:autoSpaceDN w:val="0"/>
        <w:adjustRightInd w:val="0"/>
        <w:ind w:firstLine="708"/>
        <w:jc w:val="both"/>
        <w:rPr>
          <w:rFonts w:ascii="Abadi" w:hAnsi="Abadi" w:cs="*Arial-6055-Identity-H"/>
          <w:color w:val="14141B"/>
          <w:sz w:val="21"/>
          <w:szCs w:val="21"/>
        </w:rPr>
      </w:pPr>
    </w:p>
    <w:p w14:paraId="2384D1BF" w14:textId="77777777" w:rsidR="002B0CBC" w:rsidRDefault="002B0CBC" w:rsidP="002B0CBC">
      <w:pPr>
        <w:autoSpaceDE w:val="0"/>
        <w:autoSpaceDN w:val="0"/>
        <w:adjustRightInd w:val="0"/>
        <w:ind w:firstLine="708"/>
        <w:jc w:val="both"/>
        <w:rPr>
          <w:rFonts w:ascii="Abadi" w:hAnsi="Abadi" w:cs="*Arial-6055-Identity-H"/>
          <w:color w:val="14131D"/>
          <w:sz w:val="21"/>
          <w:szCs w:val="21"/>
        </w:rPr>
      </w:pPr>
      <w:r w:rsidRPr="0023003B">
        <w:rPr>
          <w:rFonts w:ascii="Abadi" w:hAnsi="Abadi" w:cs="*Arial-6055-Identity-H"/>
          <w:color w:val="14131D"/>
          <w:sz w:val="21"/>
          <w:szCs w:val="21"/>
        </w:rPr>
        <w:t>Es así, que si bien, el proceso de fiscalización ha continuado observando</w:t>
      </w:r>
      <w:r>
        <w:rPr>
          <w:rFonts w:ascii="Abadi" w:hAnsi="Abadi" w:cs="*Arial-6055-Identity-H"/>
          <w:color w:val="14131D"/>
          <w:sz w:val="21"/>
          <w:szCs w:val="21"/>
        </w:rPr>
        <w:t xml:space="preserve"> </w:t>
      </w:r>
      <w:r w:rsidRPr="0023003B">
        <w:rPr>
          <w:rFonts w:ascii="Abadi" w:hAnsi="Abadi" w:cs="*Arial-6055-Identity-H"/>
          <w:color w:val="14131D"/>
          <w:sz w:val="21"/>
          <w:szCs w:val="21"/>
        </w:rPr>
        <w:t>las medidas de confinamiento que las autoridades de salud han determinado y con</w:t>
      </w:r>
      <w:r>
        <w:rPr>
          <w:rFonts w:ascii="Abadi" w:hAnsi="Abadi" w:cs="*Arial-6055-Identity-H"/>
          <w:color w:val="14131D"/>
          <w:sz w:val="21"/>
          <w:szCs w:val="21"/>
        </w:rPr>
        <w:t xml:space="preserve"> </w:t>
      </w:r>
      <w:r w:rsidRPr="0023003B">
        <w:rPr>
          <w:rFonts w:ascii="Abadi" w:hAnsi="Abadi" w:cs="*Arial-6055-Identity-H"/>
          <w:color w:val="14131D"/>
          <w:sz w:val="21"/>
          <w:szCs w:val="21"/>
        </w:rPr>
        <w:t>el uso de las tecnologías de la información, por la propia naturaleza de la</w:t>
      </w:r>
      <w:r>
        <w:rPr>
          <w:rFonts w:ascii="Abadi" w:hAnsi="Abadi" w:cs="*Arial-6055-Identity-H"/>
          <w:color w:val="14131D"/>
          <w:sz w:val="21"/>
          <w:szCs w:val="21"/>
        </w:rPr>
        <w:t xml:space="preserve"> </w:t>
      </w:r>
      <w:r w:rsidRPr="0023003B">
        <w:rPr>
          <w:rFonts w:ascii="Abadi" w:hAnsi="Abadi" w:cs="*Arial-6055-Identity-H"/>
          <w:color w:val="14131D"/>
          <w:sz w:val="21"/>
          <w:szCs w:val="21"/>
        </w:rPr>
        <w:t>pandemia se generaron limitantes en la aplicación de los procedimientos de</w:t>
      </w:r>
      <w:r>
        <w:rPr>
          <w:rFonts w:ascii="Abadi" w:hAnsi="Abadi" w:cs="*Arial-6055-Identity-H"/>
          <w:color w:val="14131D"/>
          <w:sz w:val="21"/>
          <w:szCs w:val="21"/>
        </w:rPr>
        <w:t xml:space="preserve"> </w:t>
      </w:r>
      <w:r w:rsidRPr="0023003B">
        <w:rPr>
          <w:rFonts w:ascii="Abadi" w:hAnsi="Abadi" w:cs="*Arial-6055-Identity-H"/>
          <w:color w:val="14131D"/>
          <w:sz w:val="21"/>
          <w:szCs w:val="21"/>
        </w:rPr>
        <w:t>auditoría.</w:t>
      </w:r>
    </w:p>
    <w:p w14:paraId="396F5CEF" w14:textId="77777777" w:rsidR="002B0CBC" w:rsidRPr="0023003B" w:rsidRDefault="002B0CBC" w:rsidP="002B0CBC">
      <w:pPr>
        <w:autoSpaceDE w:val="0"/>
        <w:autoSpaceDN w:val="0"/>
        <w:adjustRightInd w:val="0"/>
        <w:jc w:val="both"/>
        <w:rPr>
          <w:rFonts w:ascii="Abadi" w:hAnsi="Abadi" w:cs="*Arial-6055-Identity-H"/>
          <w:color w:val="14131D"/>
          <w:sz w:val="21"/>
          <w:szCs w:val="21"/>
        </w:rPr>
      </w:pPr>
    </w:p>
    <w:p w14:paraId="004D20C8" w14:textId="77777777" w:rsidR="002B0CBC" w:rsidRDefault="002B0CBC" w:rsidP="002B0CBC">
      <w:pPr>
        <w:autoSpaceDE w:val="0"/>
        <w:autoSpaceDN w:val="0"/>
        <w:adjustRightInd w:val="0"/>
        <w:jc w:val="both"/>
        <w:rPr>
          <w:rFonts w:ascii="Abadi" w:hAnsi="Abadi" w:cs="*Arial-6055-Identity-H"/>
          <w:color w:val="15141D"/>
          <w:sz w:val="21"/>
          <w:szCs w:val="21"/>
        </w:rPr>
      </w:pPr>
    </w:p>
    <w:p w14:paraId="29EF57F9" w14:textId="77777777" w:rsidR="002B0CBC" w:rsidRPr="0023003B" w:rsidRDefault="002B0CBC" w:rsidP="002B0CBC">
      <w:pPr>
        <w:autoSpaceDE w:val="0"/>
        <w:autoSpaceDN w:val="0"/>
        <w:adjustRightInd w:val="0"/>
        <w:ind w:firstLine="708"/>
        <w:jc w:val="both"/>
        <w:rPr>
          <w:rFonts w:ascii="Abadi" w:hAnsi="Abadi" w:cs="*Arial-6055-Identity-H"/>
          <w:color w:val="15141D"/>
          <w:sz w:val="21"/>
          <w:szCs w:val="21"/>
        </w:rPr>
      </w:pPr>
      <w:r w:rsidRPr="0023003B">
        <w:rPr>
          <w:rFonts w:ascii="Abadi" w:hAnsi="Abadi" w:cs="*Arial-6055-Identity-H"/>
          <w:color w:val="15141D"/>
          <w:sz w:val="21"/>
          <w:szCs w:val="21"/>
        </w:rPr>
        <w:t>En tal sentido se ha priorizado el enfoque de derechos humanos, por lo que</w:t>
      </w:r>
      <w:r>
        <w:rPr>
          <w:rFonts w:ascii="Abadi" w:hAnsi="Abadi" w:cs="*Arial-6055-Identity-H"/>
          <w:color w:val="15141D"/>
          <w:sz w:val="21"/>
          <w:szCs w:val="21"/>
        </w:rPr>
        <w:t xml:space="preserve"> </w:t>
      </w:r>
      <w:r w:rsidRPr="0023003B">
        <w:rPr>
          <w:rFonts w:ascii="Abadi" w:hAnsi="Abadi" w:cs="*Arial-6055-Identity-H"/>
          <w:color w:val="15141D"/>
          <w:sz w:val="21"/>
          <w:szCs w:val="21"/>
        </w:rPr>
        <w:t>se ha velado por la protección del derecho humano a la salud, respetando las</w:t>
      </w:r>
      <w:r>
        <w:rPr>
          <w:rFonts w:ascii="Abadi" w:hAnsi="Abadi" w:cs="*Arial-6055-Identity-H"/>
          <w:color w:val="15141D"/>
          <w:sz w:val="21"/>
          <w:szCs w:val="21"/>
        </w:rPr>
        <w:t xml:space="preserve"> </w:t>
      </w:r>
      <w:r w:rsidRPr="0023003B">
        <w:rPr>
          <w:rFonts w:ascii="Abadi" w:hAnsi="Abadi" w:cs="*Arial-6055-Identity-H"/>
          <w:color w:val="15141D"/>
          <w:sz w:val="21"/>
          <w:szCs w:val="21"/>
        </w:rPr>
        <w:t>limitaciones y restricciones a los derechos huma</w:t>
      </w:r>
      <w:r w:rsidRPr="0023003B">
        <w:rPr>
          <w:rFonts w:ascii="Abadi" w:hAnsi="Abadi" w:cs="*Arial-6055-Identity-H"/>
          <w:color w:val="A5A591"/>
          <w:sz w:val="21"/>
          <w:szCs w:val="21"/>
        </w:rPr>
        <w:t xml:space="preserve">' </w:t>
      </w:r>
      <w:r w:rsidRPr="0023003B">
        <w:rPr>
          <w:rFonts w:ascii="Abadi" w:hAnsi="Abadi" w:cs="*Arial-6055-Identity-H"/>
          <w:color w:val="15141D"/>
          <w:sz w:val="21"/>
          <w:szCs w:val="21"/>
        </w:rPr>
        <w:t>nos establecidas en la propia</w:t>
      </w:r>
      <w:r>
        <w:rPr>
          <w:rFonts w:ascii="Abadi" w:hAnsi="Abadi" w:cs="*Arial-6055-Identity-H"/>
          <w:color w:val="15141D"/>
          <w:sz w:val="21"/>
          <w:szCs w:val="21"/>
        </w:rPr>
        <w:t xml:space="preserve"> </w:t>
      </w:r>
      <w:r w:rsidRPr="0023003B">
        <w:rPr>
          <w:rFonts w:ascii="Abadi" w:hAnsi="Abadi" w:cs="*Arial-6055-Identity-H"/>
          <w:color w:val="15141D"/>
          <w:sz w:val="21"/>
          <w:szCs w:val="21"/>
        </w:rPr>
        <w:t>Constitución.</w:t>
      </w:r>
    </w:p>
    <w:p w14:paraId="5E0EB197" w14:textId="77777777" w:rsidR="002B0CBC" w:rsidRPr="0023003B" w:rsidRDefault="002B0CBC" w:rsidP="002B0CBC">
      <w:pPr>
        <w:jc w:val="both"/>
        <w:rPr>
          <w:rFonts w:ascii="Abadi" w:hAnsi="Abadi" w:cs="*Arial-6055-Identity-H"/>
          <w:color w:val="15141D"/>
          <w:sz w:val="21"/>
          <w:szCs w:val="21"/>
        </w:rPr>
      </w:pPr>
    </w:p>
    <w:p w14:paraId="74BFD6AD" w14:textId="77777777" w:rsidR="002B0CBC" w:rsidRPr="0023003B" w:rsidRDefault="002B0CBC" w:rsidP="002B0CBC">
      <w:pPr>
        <w:autoSpaceDE w:val="0"/>
        <w:autoSpaceDN w:val="0"/>
        <w:adjustRightInd w:val="0"/>
        <w:ind w:firstLine="708"/>
        <w:jc w:val="both"/>
        <w:rPr>
          <w:rFonts w:ascii="Abadi" w:hAnsi="Abadi" w:cs="*Arial-Bold-5995-Identity-H"/>
          <w:b/>
          <w:bCs/>
          <w:color w:val="14131E"/>
          <w:sz w:val="21"/>
          <w:szCs w:val="21"/>
        </w:rPr>
      </w:pPr>
      <w:r w:rsidRPr="0023003B">
        <w:rPr>
          <w:rFonts w:ascii="Abadi" w:hAnsi="Abadi" w:cs="*Arial-Bold-5995-Identity-H"/>
          <w:b/>
          <w:bCs/>
          <w:color w:val="14131E"/>
          <w:sz w:val="21"/>
          <w:szCs w:val="21"/>
        </w:rPr>
        <w:t>c) Resumen de las recomendaciones.</w:t>
      </w:r>
    </w:p>
    <w:p w14:paraId="7E9BAF78" w14:textId="77777777" w:rsidR="002B0CBC" w:rsidRDefault="002B0CBC" w:rsidP="002B0CBC">
      <w:pPr>
        <w:autoSpaceDE w:val="0"/>
        <w:autoSpaceDN w:val="0"/>
        <w:adjustRightInd w:val="0"/>
        <w:jc w:val="both"/>
        <w:rPr>
          <w:rFonts w:ascii="Abadi" w:hAnsi="Abadi" w:cs="*Arial-5993-Identity-H"/>
          <w:color w:val="14131C"/>
          <w:sz w:val="21"/>
          <w:szCs w:val="21"/>
        </w:rPr>
      </w:pPr>
    </w:p>
    <w:p w14:paraId="35A77BEA" w14:textId="77777777" w:rsidR="002B0CBC" w:rsidRPr="0023003B" w:rsidRDefault="002B0CBC" w:rsidP="002B0CBC">
      <w:pPr>
        <w:autoSpaceDE w:val="0"/>
        <w:autoSpaceDN w:val="0"/>
        <w:adjustRightInd w:val="0"/>
        <w:ind w:firstLine="708"/>
        <w:jc w:val="both"/>
        <w:rPr>
          <w:rFonts w:ascii="Abadi" w:hAnsi="Abadi" w:cs="*Arial-5993-Identity-H"/>
          <w:color w:val="14131C"/>
          <w:sz w:val="21"/>
          <w:szCs w:val="21"/>
        </w:rPr>
      </w:pPr>
      <w:r w:rsidRPr="0023003B">
        <w:rPr>
          <w:rFonts w:ascii="Abadi" w:hAnsi="Abadi" w:cs="*Arial-5993-Identity-H"/>
          <w:color w:val="14131C"/>
          <w:sz w:val="21"/>
          <w:szCs w:val="21"/>
        </w:rPr>
        <w:t>En este punto se establece un resumen exclusivamente de los resultados</w:t>
      </w:r>
      <w:r>
        <w:rPr>
          <w:rFonts w:ascii="Abadi" w:hAnsi="Abadi" w:cs="*Arial-5993-Identity-H"/>
          <w:color w:val="14131C"/>
          <w:sz w:val="21"/>
          <w:szCs w:val="21"/>
        </w:rPr>
        <w:t xml:space="preserve"> </w:t>
      </w:r>
      <w:r w:rsidRPr="0023003B">
        <w:rPr>
          <w:rFonts w:ascii="Abadi" w:hAnsi="Abadi" w:cs="*Arial-5993-Identity-H"/>
          <w:color w:val="14131C"/>
          <w:sz w:val="21"/>
          <w:szCs w:val="21"/>
        </w:rPr>
        <w:t>que generaron recomendación producto de un área de oportunidad o mejora</w:t>
      </w:r>
      <w:r>
        <w:rPr>
          <w:rFonts w:ascii="Abadi" w:hAnsi="Abadi" w:cs="*Arial-5993-Identity-H"/>
          <w:color w:val="14131C"/>
          <w:sz w:val="21"/>
          <w:szCs w:val="21"/>
        </w:rPr>
        <w:t xml:space="preserve"> </w:t>
      </w:r>
      <w:r w:rsidRPr="0023003B">
        <w:rPr>
          <w:rFonts w:ascii="Abadi" w:hAnsi="Abadi" w:cs="*Arial-5993-Identity-H"/>
          <w:color w:val="14131C"/>
          <w:sz w:val="21"/>
          <w:szCs w:val="21"/>
        </w:rPr>
        <w:t>sugerida por el Órgano Técnico, mismos que se clasifican agrupados bajo su</w:t>
      </w:r>
      <w:r>
        <w:rPr>
          <w:rFonts w:ascii="Abadi" w:hAnsi="Abadi" w:cs="*Arial-5993-Identity-H"/>
          <w:color w:val="14131C"/>
          <w:sz w:val="21"/>
          <w:szCs w:val="21"/>
        </w:rPr>
        <w:t xml:space="preserve"> </w:t>
      </w:r>
      <w:r w:rsidRPr="0023003B">
        <w:rPr>
          <w:rFonts w:ascii="Abadi" w:hAnsi="Abadi" w:cs="*Arial-5993-Identity-H"/>
          <w:color w:val="14131C"/>
          <w:sz w:val="21"/>
          <w:szCs w:val="21"/>
        </w:rPr>
        <w:t>respectiva vertiente, con su síntesis de la valoración efectuada, precisando que del</w:t>
      </w:r>
      <w:r>
        <w:rPr>
          <w:rFonts w:ascii="Abadi" w:hAnsi="Abadi" w:cs="*Arial-5993-Identity-H"/>
          <w:color w:val="14131C"/>
          <w:sz w:val="21"/>
          <w:szCs w:val="21"/>
        </w:rPr>
        <w:t xml:space="preserve"> </w:t>
      </w:r>
      <w:r w:rsidRPr="0023003B">
        <w:rPr>
          <w:rFonts w:ascii="Abadi" w:hAnsi="Abadi" w:cs="*Arial-5993-Identity-H"/>
          <w:color w:val="14131C"/>
          <w:sz w:val="21"/>
          <w:szCs w:val="21"/>
        </w:rPr>
        <w:t>análisis a la respuesta del pliego de recomendaciones se desprende que el sujeto</w:t>
      </w:r>
      <w:r>
        <w:rPr>
          <w:rFonts w:ascii="Abadi" w:hAnsi="Abadi" w:cs="*Arial-5993-Identity-H"/>
          <w:color w:val="14131C"/>
          <w:sz w:val="21"/>
          <w:szCs w:val="21"/>
        </w:rPr>
        <w:t xml:space="preserve"> </w:t>
      </w:r>
      <w:r w:rsidRPr="0023003B">
        <w:rPr>
          <w:rFonts w:ascii="Abadi" w:hAnsi="Abadi" w:cs="*Arial-5993-Identity-H"/>
          <w:color w:val="14131C"/>
          <w:sz w:val="21"/>
          <w:szCs w:val="21"/>
        </w:rPr>
        <w:t>fiscalizado en las 6 recomendaciones formuladas se comprometió a realizar</w:t>
      </w:r>
      <w:r>
        <w:rPr>
          <w:rFonts w:ascii="Abadi" w:hAnsi="Abadi" w:cs="*Arial-5993-Identity-H"/>
          <w:color w:val="14131C"/>
          <w:sz w:val="21"/>
          <w:szCs w:val="21"/>
        </w:rPr>
        <w:t xml:space="preserve"> </w:t>
      </w:r>
      <w:r w:rsidRPr="0023003B">
        <w:rPr>
          <w:rFonts w:ascii="Abadi" w:hAnsi="Abadi" w:cs="*Arial-5993-Identity-H"/>
          <w:color w:val="14131C"/>
          <w:sz w:val="21"/>
          <w:szCs w:val="21"/>
        </w:rPr>
        <w:t>acciones en un plazo futuro para su atención. A dichas recomendaciones dará</w:t>
      </w:r>
      <w:r>
        <w:rPr>
          <w:rFonts w:ascii="Abadi" w:hAnsi="Abadi" w:cs="*Arial-5993-Identity-H"/>
          <w:color w:val="14131C"/>
          <w:sz w:val="21"/>
          <w:szCs w:val="21"/>
        </w:rPr>
        <w:t xml:space="preserve"> </w:t>
      </w:r>
      <w:r w:rsidRPr="0023003B">
        <w:rPr>
          <w:rFonts w:ascii="Abadi" w:hAnsi="Abadi" w:cs="*Arial-5993-Identity-H"/>
          <w:color w:val="14131C"/>
          <w:sz w:val="21"/>
          <w:szCs w:val="21"/>
        </w:rPr>
        <w:t>seguimiento el Órgano Técnico en la etapa correspondiente.</w:t>
      </w:r>
    </w:p>
    <w:p w14:paraId="75499A71" w14:textId="77777777" w:rsidR="002B0CBC" w:rsidRDefault="002B0CBC" w:rsidP="002B0CBC">
      <w:pPr>
        <w:autoSpaceDE w:val="0"/>
        <w:autoSpaceDN w:val="0"/>
        <w:adjustRightInd w:val="0"/>
        <w:jc w:val="both"/>
        <w:rPr>
          <w:rFonts w:ascii="Abadi" w:hAnsi="Abadi" w:cs="*Arial-Bold-5995-Identity-H"/>
          <w:b/>
          <w:bCs/>
          <w:color w:val="14131F"/>
          <w:sz w:val="21"/>
          <w:szCs w:val="21"/>
        </w:rPr>
      </w:pPr>
    </w:p>
    <w:p w14:paraId="23B6EA79" w14:textId="77777777" w:rsidR="002B0CBC" w:rsidRDefault="002B0CBC" w:rsidP="002B0CBC">
      <w:pPr>
        <w:autoSpaceDE w:val="0"/>
        <w:autoSpaceDN w:val="0"/>
        <w:adjustRightInd w:val="0"/>
        <w:ind w:firstLine="708"/>
        <w:jc w:val="both"/>
        <w:rPr>
          <w:rFonts w:ascii="Abadi" w:hAnsi="Abadi" w:cs="*Arial-Bold-5995-Identity-H"/>
          <w:b/>
          <w:bCs/>
          <w:color w:val="14131F"/>
          <w:sz w:val="21"/>
          <w:szCs w:val="21"/>
        </w:rPr>
      </w:pPr>
      <w:r w:rsidRPr="0023003B">
        <w:rPr>
          <w:rFonts w:ascii="Abadi" w:hAnsi="Abadi" w:cs="*Arial-Bold-5995-Identity-H"/>
          <w:b/>
          <w:bCs/>
          <w:color w:val="14131F"/>
          <w:sz w:val="21"/>
          <w:szCs w:val="21"/>
        </w:rPr>
        <w:t>d) Conclusión General.</w:t>
      </w:r>
    </w:p>
    <w:p w14:paraId="3B4DDC87" w14:textId="77777777" w:rsidR="002B0CBC" w:rsidRPr="0023003B" w:rsidRDefault="002B0CBC" w:rsidP="002B0CBC">
      <w:pPr>
        <w:autoSpaceDE w:val="0"/>
        <w:autoSpaceDN w:val="0"/>
        <w:adjustRightInd w:val="0"/>
        <w:jc w:val="both"/>
        <w:rPr>
          <w:rFonts w:ascii="Abadi" w:hAnsi="Abadi" w:cs="*Arial-Bold-5995-Identity-H"/>
          <w:b/>
          <w:bCs/>
          <w:color w:val="14131F"/>
          <w:sz w:val="21"/>
          <w:szCs w:val="21"/>
        </w:rPr>
      </w:pPr>
      <w:r>
        <w:rPr>
          <w:rFonts w:ascii="Abadi" w:hAnsi="Abadi" w:cs="*Arial-Bold-5995-Identity-H"/>
          <w:b/>
          <w:bCs/>
          <w:color w:val="14131F"/>
          <w:sz w:val="21"/>
          <w:szCs w:val="21"/>
        </w:rPr>
        <w:t xml:space="preserve"> </w:t>
      </w:r>
    </w:p>
    <w:p w14:paraId="35120634" w14:textId="77777777" w:rsidR="002B0CBC" w:rsidRDefault="002B0CBC" w:rsidP="002B0CBC">
      <w:pPr>
        <w:autoSpaceDE w:val="0"/>
        <w:autoSpaceDN w:val="0"/>
        <w:adjustRightInd w:val="0"/>
        <w:ind w:firstLine="708"/>
        <w:jc w:val="both"/>
        <w:rPr>
          <w:rFonts w:ascii="Abadi" w:hAnsi="Abadi" w:cs="*Arial-5993-Identity-H"/>
          <w:color w:val="14131B"/>
          <w:sz w:val="21"/>
          <w:szCs w:val="21"/>
        </w:rPr>
      </w:pPr>
      <w:r w:rsidRPr="0023003B">
        <w:rPr>
          <w:rFonts w:ascii="Abadi" w:hAnsi="Abadi" w:cs="*Arial-5993-Identity-H"/>
          <w:color w:val="14131B"/>
          <w:sz w:val="21"/>
          <w:szCs w:val="21"/>
        </w:rPr>
        <w:t>En este apartado se establece que la crisis por COVID-19 que se enfrentó a</w:t>
      </w:r>
      <w:r>
        <w:rPr>
          <w:rFonts w:ascii="Abadi" w:hAnsi="Abadi" w:cs="*Arial-5993-Identity-H"/>
          <w:color w:val="14131B"/>
          <w:sz w:val="21"/>
          <w:szCs w:val="21"/>
        </w:rPr>
        <w:t xml:space="preserve"> </w:t>
      </w:r>
      <w:r w:rsidRPr="0023003B">
        <w:rPr>
          <w:rFonts w:ascii="Abadi" w:hAnsi="Abadi" w:cs="*Arial-5993-Identity-H"/>
          <w:color w:val="14131B"/>
          <w:sz w:val="21"/>
          <w:szCs w:val="21"/>
        </w:rPr>
        <w:t>nivel mundial a partir de 2020 tuvo un impacto masivo en áreas tales como la</w:t>
      </w:r>
      <w:r>
        <w:rPr>
          <w:rFonts w:ascii="Abadi" w:hAnsi="Abadi" w:cs="*Arial-5993-Identity-H"/>
          <w:color w:val="14131B"/>
          <w:sz w:val="21"/>
          <w:szCs w:val="21"/>
        </w:rPr>
        <w:t xml:space="preserve"> </w:t>
      </w:r>
      <w:r w:rsidRPr="0023003B">
        <w:rPr>
          <w:rFonts w:ascii="Abadi" w:hAnsi="Abadi" w:cs="*Arial-5993-Identity-H"/>
          <w:color w:val="14131B"/>
          <w:sz w:val="21"/>
          <w:szCs w:val="21"/>
        </w:rPr>
        <w:t>salud pública, el empleo, el crecimiento económico y la protección social, por lo</w:t>
      </w:r>
      <w:r>
        <w:rPr>
          <w:rFonts w:ascii="Abadi" w:hAnsi="Abadi" w:cs="*Arial-5993-Identity-H"/>
          <w:color w:val="14131B"/>
          <w:sz w:val="21"/>
          <w:szCs w:val="21"/>
        </w:rPr>
        <w:t xml:space="preserve"> </w:t>
      </w:r>
      <w:r w:rsidRPr="0023003B">
        <w:rPr>
          <w:rFonts w:ascii="Abadi" w:hAnsi="Abadi" w:cs="*Arial-5993-Identity-H"/>
          <w:color w:val="14131B"/>
          <w:sz w:val="21"/>
          <w:szCs w:val="21"/>
        </w:rPr>
        <w:t>que se exigieron acciones urgentes por parte de los gobiernos y medidas</w:t>
      </w:r>
      <w:r>
        <w:rPr>
          <w:rFonts w:ascii="Abadi" w:hAnsi="Abadi" w:cs="*Arial-5993-Identity-H"/>
          <w:color w:val="14131B"/>
          <w:sz w:val="21"/>
          <w:szCs w:val="21"/>
        </w:rPr>
        <w:t xml:space="preserve"> </w:t>
      </w:r>
      <w:r w:rsidRPr="0023003B">
        <w:rPr>
          <w:rFonts w:ascii="Abadi" w:hAnsi="Abadi" w:cs="*Arial-5993-Identity-H"/>
          <w:color w:val="14131B"/>
          <w:sz w:val="21"/>
          <w:szCs w:val="21"/>
        </w:rPr>
        <w:t>emergentes para apoyar a que los trabajadores y sus familias, así como las</w:t>
      </w:r>
      <w:r>
        <w:rPr>
          <w:rFonts w:ascii="Abadi" w:hAnsi="Abadi" w:cs="*Arial-5993-Identity-H"/>
          <w:color w:val="14131B"/>
          <w:sz w:val="21"/>
          <w:szCs w:val="21"/>
        </w:rPr>
        <w:t xml:space="preserve"> </w:t>
      </w:r>
      <w:r w:rsidRPr="0023003B">
        <w:rPr>
          <w:rFonts w:ascii="Abadi" w:hAnsi="Abadi" w:cs="*Arial-5993-Identity-H"/>
          <w:color w:val="14131B"/>
          <w:sz w:val="21"/>
          <w:szCs w:val="21"/>
        </w:rPr>
        <w:t>pequeñas empresas tuvieran la oportunidad de enfrentar la contingencia al</w:t>
      </w:r>
      <w:r>
        <w:rPr>
          <w:rFonts w:ascii="Abadi" w:hAnsi="Abadi" w:cs="*Arial-5993-Identity-H"/>
          <w:color w:val="14131B"/>
          <w:sz w:val="21"/>
          <w:szCs w:val="21"/>
        </w:rPr>
        <w:t xml:space="preserve"> </w:t>
      </w:r>
      <w:r w:rsidRPr="0023003B">
        <w:rPr>
          <w:rFonts w:ascii="Abadi" w:hAnsi="Abadi" w:cs="*Arial-5993-Identity-H"/>
          <w:color w:val="14131B"/>
          <w:sz w:val="21"/>
          <w:szCs w:val="21"/>
        </w:rPr>
        <w:t>proteger sus ingresos, generar liquidez para su operación y facilitar recursos para</w:t>
      </w:r>
      <w:r>
        <w:rPr>
          <w:rFonts w:ascii="Abadi" w:hAnsi="Abadi" w:cs="*Arial-5993-Identity-H"/>
          <w:color w:val="14131B"/>
          <w:sz w:val="21"/>
          <w:szCs w:val="21"/>
        </w:rPr>
        <w:t xml:space="preserve"> </w:t>
      </w:r>
      <w:r w:rsidRPr="0023003B">
        <w:rPr>
          <w:rFonts w:ascii="Abadi" w:hAnsi="Abadi" w:cs="*Arial-5993-Identity-H"/>
          <w:color w:val="14131B"/>
          <w:sz w:val="21"/>
          <w:szCs w:val="21"/>
        </w:rPr>
        <w:t>su recuperación tras la contingencia.</w:t>
      </w:r>
    </w:p>
    <w:p w14:paraId="0F84C698" w14:textId="77777777" w:rsidR="002B0CBC" w:rsidRPr="0023003B" w:rsidRDefault="002B0CBC" w:rsidP="002B0CBC">
      <w:pPr>
        <w:autoSpaceDE w:val="0"/>
        <w:autoSpaceDN w:val="0"/>
        <w:adjustRightInd w:val="0"/>
        <w:jc w:val="both"/>
        <w:rPr>
          <w:rFonts w:ascii="Abadi" w:hAnsi="Abadi" w:cs="*Arial-5993-Identity-H"/>
          <w:color w:val="14131B"/>
          <w:sz w:val="21"/>
          <w:szCs w:val="21"/>
        </w:rPr>
      </w:pPr>
    </w:p>
    <w:p w14:paraId="73C3768E" w14:textId="77777777" w:rsidR="002B0CBC" w:rsidRDefault="002B0CBC" w:rsidP="002B0CBC">
      <w:pPr>
        <w:autoSpaceDE w:val="0"/>
        <w:autoSpaceDN w:val="0"/>
        <w:adjustRightInd w:val="0"/>
        <w:ind w:firstLine="708"/>
        <w:jc w:val="both"/>
        <w:rPr>
          <w:rFonts w:ascii="Abadi" w:hAnsi="Abadi" w:cs="*Arial-5993-Identity-H"/>
          <w:color w:val="13131A"/>
          <w:sz w:val="21"/>
          <w:szCs w:val="21"/>
        </w:rPr>
      </w:pPr>
      <w:r w:rsidRPr="0023003B">
        <w:rPr>
          <w:rFonts w:ascii="Abadi" w:hAnsi="Abadi" w:cs="*Arial-5993-Identity-H"/>
          <w:color w:val="13131A"/>
          <w:sz w:val="21"/>
          <w:szCs w:val="21"/>
        </w:rPr>
        <w:t>En el estado de Guanajuato, la pandemia generada por el COVID-19 tuvo</w:t>
      </w:r>
      <w:r>
        <w:rPr>
          <w:rFonts w:ascii="Abadi" w:hAnsi="Abadi" w:cs="*Arial-5993-Identity-H"/>
          <w:color w:val="13131A"/>
          <w:sz w:val="21"/>
          <w:szCs w:val="21"/>
        </w:rPr>
        <w:t xml:space="preserve"> </w:t>
      </w:r>
      <w:r w:rsidRPr="0023003B">
        <w:rPr>
          <w:rFonts w:ascii="Abadi" w:hAnsi="Abadi" w:cs="*Arial-5993-Identity-H"/>
          <w:color w:val="13131A"/>
          <w:sz w:val="21"/>
          <w:szCs w:val="21"/>
        </w:rPr>
        <w:t>un impacto negativo en las condiciones de vida de la población, afectando</w:t>
      </w:r>
      <w:r>
        <w:rPr>
          <w:rFonts w:ascii="Abadi" w:hAnsi="Abadi" w:cs="*Arial-5993-Identity-H"/>
          <w:color w:val="13131A"/>
          <w:sz w:val="21"/>
          <w:szCs w:val="21"/>
        </w:rPr>
        <w:t xml:space="preserve"> </w:t>
      </w:r>
      <w:r w:rsidRPr="0023003B">
        <w:rPr>
          <w:rFonts w:ascii="Abadi" w:hAnsi="Abadi" w:cs="*Arial-5993-Identity-H"/>
          <w:color w:val="13131A"/>
          <w:sz w:val="21"/>
          <w:szCs w:val="21"/>
        </w:rPr>
        <w:t>principalmente a los grupos de población más vulnerables debido a la crisis</w:t>
      </w:r>
      <w:r>
        <w:rPr>
          <w:rFonts w:ascii="Abadi" w:hAnsi="Abadi" w:cs="*Arial-5993-Identity-H"/>
          <w:color w:val="13131A"/>
          <w:sz w:val="21"/>
          <w:szCs w:val="21"/>
        </w:rPr>
        <w:t xml:space="preserve"> </w:t>
      </w:r>
      <w:r w:rsidRPr="0023003B">
        <w:rPr>
          <w:rFonts w:ascii="Abadi" w:hAnsi="Abadi" w:cs="*Arial-5993-Identity-H"/>
          <w:color w:val="13131A"/>
          <w:sz w:val="21"/>
          <w:szCs w:val="21"/>
        </w:rPr>
        <w:t>financiera en los diferentes sectores económicos que generaron la pérdida de</w:t>
      </w:r>
      <w:r>
        <w:rPr>
          <w:rFonts w:ascii="Abadi" w:hAnsi="Abadi" w:cs="*Arial-5993-Identity-H"/>
          <w:color w:val="13131A"/>
          <w:sz w:val="21"/>
          <w:szCs w:val="21"/>
        </w:rPr>
        <w:t xml:space="preserve"> </w:t>
      </w:r>
      <w:r w:rsidRPr="0023003B">
        <w:rPr>
          <w:rFonts w:ascii="Abadi" w:hAnsi="Abadi" w:cs="*Arial-5993-Identity-H"/>
          <w:color w:val="13131A"/>
          <w:sz w:val="21"/>
          <w:szCs w:val="21"/>
        </w:rPr>
        <w:t>empleos, reducción de jornadas laborales e inestabilidad financiera, teniendo</w:t>
      </w:r>
      <w:r>
        <w:rPr>
          <w:rFonts w:ascii="Abadi" w:hAnsi="Abadi" w:cs="*Arial-5993-Identity-H"/>
          <w:color w:val="13131A"/>
          <w:sz w:val="21"/>
          <w:szCs w:val="21"/>
        </w:rPr>
        <w:t xml:space="preserve"> </w:t>
      </w:r>
      <w:r w:rsidRPr="0023003B">
        <w:rPr>
          <w:rFonts w:ascii="Abadi" w:hAnsi="Abadi" w:cs="*Arial-5993-Identity-H"/>
          <w:color w:val="13131A"/>
          <w:sz w:val="21"/>
          <w:szCs w:val="21"/>
        </w:rPr>
        <w:t>como consecuencia la imposibilidad de las personas para atender sus</w:t>
      </w:r>
      <w:r>
        <w:rPr>
          <w:rFonts w:ascii="Abadi" w:hAnsi="Abadi" w:cs="*Arial-5993-Identity-H"/>
          <w:color w:val="13131A"/>
          <w:sz w:val="21"/>
          <w:szCs w:val="21"/>
        </w:rPr>
        <w:t xml:space="preserve"> </w:t>
      </w:r>
      <w:r w:rsidRPr="0023003B">
        <w:rPr>
          <w:rFonts w:ascii="Abadi" w:hAnsi="Abadi" w:cs="*Arial-5993-Identity-H"/>
          <w:color w:val="13131A"/>
          <w:sz w:val="21"/>
          <w:szCs w:val="21"/>
        </w:rPr>
        <w:t>necesidades básicas y las de sus familias.</w:t>
      </w:r>
    </w:p>
    <w:p w14:paraId="2CA80E6A" w14:textId="77777777" w:rsidR="002B0CBC" w:rsidRPr="0023003B" w:rsidRDefault="002B0CBC" w:rsidP="002B0CBC">
      <w:pPr>
        <w:autoSpaceDE w:val="0"/>
        <w:autoSpaceDN w:val="0"/>
        <w:adjustRightInd w:val="0"/>
        <w:jc w:val="both"/>
        <w:rPr>
          <w:rFonts w:ascii="Abadi" w:hAnsi="Abadi" w:cs="*Arial-5993-Identity-H"/>
          <w:color w:val="13131A"/>
          <w:sz w:val="21"/>
          <w:szCs w:val="21"/>
        </w:rPr>
      </w:pPr>
    </w:p>
    <w:p w14:paraId="47A82C76" w14:textId="601019C3" w:rsidR="002B0CBC" w:rsidRPr="0023003B" w:rsidRDefault="002B0CBC" w:rsidP="00CF1A19">
      <w:pPr>
        <w:autoSpaceDE w:val="0"/>
        <w:autoSpaceDN w:val="0"/>
        <w:adjustRightInd w:val="0"/>
        <w:ind w:firstLine="708"/>
        <w:jc w:val="both"/>
        <w:rPr>
          <w:rFonts w:ascii="Abadi" w:hAnsi="Abadi" w:cs="*Arial-6059-Identity-H"/>
          <w:color w:val="14131C"/>
          <w:sz w:val="21"/>
          <w:szCs w:val="21"/>
        </w:rPr>
      </w:pPr>
      <w:r w:rsidRPr="0023003B">
        <w:rPr>
          <w:rFonts w:ascii="Abadi" w:hAnsi="Abadi" w:cs="*Arial-5993-Identity-H"/>
          <w:color w:val="14131B"/>
          <w:sz w:val="21"/>
          <w:szCs w:val="21"/>
        </w:rPr>
        <w:t>En respuesta a las condiciones generadas, las autoridades de la</w:t>
      </w:r>
      <w:r>
        <w:rPr>
          <w:rFonts w:ascii="Abadi" w:hAnsi="Abadi" w:cs="*Arial-5993-Identity-H"/>
          <w:color w:val="14131B"/>
          <w:sz w:val="21"/>
          <w:szCs w:val="21"/>
        </w:rPr>
        <w:t xml:space="preserve"> </w:t>
      </w:r>
      <w:r w:rsidRPr="0023003B">
        <w:rPr>
          <w:rFonts w:ascii="Abadi" w:hAnsi="Abadi" w:cs="*Arial-5993-Identity-H"/>
          <w:color w:val="14131B"/>
          <w:sz w:val="21"/>
          <w:szCs w:val="21"/>
        </w:rPr>
        <w:t>administración pública del estado de Guanajuato implementaron diversas acciones</w:t>
      </w:r>
      <w:r>
        <w:rPr>
          <w:rFonts w:ascii="Abadi" w:hAnsi="Abadi" w:cs="*Arial-5993-Identity-H"/>
          <w:color w:val="14131B"/>
          <w:sz w:val="21"/>
          <w:szCs w:val="21"/>
        </w:rPr>
        <w:t xml:space="preserve"> </w:t>
      </w:r>
      <w:r w:rsidRPr="0023003B">
        <w:rPr>
          <w:rFonts w:ascii="Abadi" w:hAnsi="Abadi" w:cs="*Arial-5993-Identity-H"/>
          <w:color w:val="14131B"/>
          <w:sz w:val="21"/>
          <w:szCs w:val="21"/>
        </w:rPr>
        <w:t xml:space="preserve">por medio del </w:t>
      </w:r>
      <w:r w:rsidRPr="0023003B">
        <w:rPr>
          <w:rFonts w:ascii="Abadi" w:hAnsi="Abadi" w:cs="*Arial-Italic-5994-Identity-H"/>
          <w:i/>
          <w:iCs/>
          <w:color w:val="14131B"/>
          <w:sz w:val="21"/>
          <w:szCs w:val="21"/>
        </w:rPr>
        <w:t xml:space="preserve">«Plan de Acción GTO», </w:t>
      </w:r>
      <w:r w:rsidRPr="0023003B">
        <w:rPr>
          <w:rFonts w:ascii="Abadi" w:hAnsi="Abadi" w:cs="*Arial-5993-Identity-H"/>
          <w:color w:val="14131B"/>
          <w:sz w:val="21"/>
          <w:szCs w:val="21"/>
        </w:rPr>
        <w:t>que tuvo como objetivo definir acciones</w:t>
      </w:r>
      <w:r>
        <w:rPr>
          <w:rFonts w:ascii="Abadi" w:hAnsi="Abadi" w:cs="*Arial-5993-Identity-H"/>
          <w:color w:val="14131B"/>
          <w:sz w:val="21"/>
          <w:szCs w:val="21"/>
        </w:rPr>
        <w:t xml:space="preserve"> </w:t>
      </w:r>
      <w:r w:rsidRPr="0023003B">
        <w:rPr>
          <w:rFonts w:ascii="Abadi" w:hAnsi="Abadi" w:cs="*Arial-5993-Identity-H"/>
          <w:color w:val="14131B"/>
          <w:sz w:val="21"/>
          <w:szCs w:val="21"/>
        </w:rPr>
        <w:t>gubernamentales que permitieran, a los sectores mayormente afectados, hacer</w:t>
      </w:r>
      <w:r>
        <w:rPr>
          <w:rFonts w:ascii="Abadi" w:hAnsi="Abadi" w:cs="*Arial-5993-Identity-H"/>
          <w:color w:val="14131B"/>
          <w:sz w:val="21"/>
          <w:szCs w:val="21"/>
        </w:rPr>
        <w:t xml:space="preserve"> </w:t>
      </w:r>
      <w:r w:rsidRPr="0023003B">
        <w:rPr>
          <w:rFonts w:ascii="Abadi" w:hAnsi="Abadi" w:cs="*Arial-5993-Identity-H"/>
          <w:color w:val="14131B"/>
          <w:sz w:val="21"/>
          <w:szCs w:val="21"/>
        </w:rPr>
        <w:t>frente a los efectos de la pandemia, por medio de la implementación o adaptación</w:t>
      </w:r>
      <w:r w:rsidR="00CF1A19">
        <w:rPr>
          <w:rFonts w:ascii="Abadi" w:hAnsi="Abadi" w:cs="*Arial-5993-Identity-H"/>
          <w:color w:val="14131B"/>
          <w:sz w:val="21"/>
          <w:szCs w:val="21"/>
        </w:rPr>
        <w:t xml:space="preserve"> </w:t>
      </w:r>
      <w:r w:rsidRPr="0023003B">
        <w:rPr>
          <w:rFonts w:ascii="Abadi" w:hAnsi="Abadi" w:cs="*Arial-5993-Identity-H"/>
          <w:color w:val="14131B"/>
          <w:sz w:val="21"/>
          <w:szCs w:val="21"/>
        </w:rPr>
        <w:t>de programas sociales, económicos y educativos, entre los que se previó la</w:t>
      </w:r>
      <w:r>
        <w:rPr>
          <w:rFonts w:ascii="Abadi" w:hAnsi="Abadi" w:cs="*Arial-5993-Identity-H"/>
          <w:color w:val="14131B"/>
          <w:sz w:val="21"/>
          <w:szCs w:val="21"/>
        </w:rPr>
        <w:t xml:space="preserve"> </w:t>
      </w:r>
      <w:r w:rsidRPr="0023003B">
        <w:rPr>
          <w:rFonts w:ascii="Abadi" w:hAnsi="Abadi" w:cs="*Arial-5993-Identity-H"/>
          <w:color w:val="14131B"/>
          <w:sz w:val="21"/>
          <w:szCs w:val="21"/>
        </w:rPr>
        <w:t xml:space="preserve">creación e implementación del programa emergente </w:t>
      </w:r>
      <w:r w:rsidRPr="0023003B">
        <w:rPr>
          <w:rFonts w:ascii="Abadi" w:hAnsi="Abadi" w:cs="*Arial-Italic-5994-Identity-H"/>
          <w:i/>
          <w:iCs/>
          <w:color w:val="14131B"/>
          <w:sz w:val="21"/>
          <w:szCs w:val="21"/>
        </w:rPr>
        <w:t>Vale Grandeza-Compra</w:t>
      </w:r>
      <w:r>
        <w:rPr>
          <w:rFonts w:ascii="Abadi" w:hAnsi="Abadi" w:cs="*Arial-Italic-5994-Identity-H"/>
          <w:i/>
          <w:iCs/>
          <w:color w:val="14131B"/>
          <w:sz w:val="21"/>
          <w:szCs w:val="21"/>
        </w:rPr>
        <w:t xml:space="preserve"> </w:t>
      </w:r>
      <w:r w:rsidRPr="0023003B">
        <w:rPr>
          <w:rFonts w:ascii="Abadi" w:hAnsi="Abadi" w:cs="*Arial-Italic-5994-Identity-H"/>
          <w:i/>
          <w:iCs/>
          <w:color w:val="14131B"/>
          <w:sz w:val="21"/>
          <w:szCs w:val="21"/>
        </w:rPr>
        <w:t xml:space="preserve">Local, </w:t>
      </w:r>
      <w:r w:rsidRPr="0023003B">
        <w:rPr>
          <w:rFonts w:ascii="Abadi" w:hAnsi="Abadi" w:cs="*Arial-5993-Identity-H"/>
          <w:color w:val="14131B"/>
          <w:sz w:val="21"/>
          <w:szCs w:val="21"/>
        </w:rPr>
        <w:t>a efecto de apoyar de forma oportuna, rápida y eficaz a las personas que se</w:t>
      </w:r>
      <w:r>
        <w:rPr>
          <w:rFonts w:ascii="Abadi" w:hAnsi="Abadi" w:cs="*Arial-5993-Identity-H"/>
          <w:color w:val="14131B"/>
          <w:sz w:val="21"/>
          <w:szCs w:val="21"/>
        </w:rPr>
        <w:t xml:space="preserve"> </w:t>
      </w:r>
      <w:r w:rsidRPr="0023003B">
        <w:rPr>
          <w:rFonts w:ascii="Abadi" w:hAnsi="Abadi" w:cs="*Arial-5993-Identity-H"/>
          <w:color w:val="14131B"/>
          <w:sz w:val="21"/>
          <w:szCs w:val="21"/>
        </w:rPr>
        <w:t>encontraron en situación de vulnerabilidad por falta de ingreso a causa de la</w:t>
      </w:r>
      <w:r>
        <w:rPr>
          <w:rFonts w:ascii="Abadi" w:hAnsi="Abadi" w:cs="*Arial-5993-Identity-H"/>
          <w:color w:val="14131B"/>
          <w:sz w:val="21"/>
          <w:szCs w:val="21"/>
        </w:rPr>
        <w:t xml:space="preserve"> </w:t>
      </w:r>
      <w:r w:rsidRPr="0023003B">
        <w:rPr>
          <w:rFonts w:ascii="Abadi" w:hAnsi="Abadi" w:cs="*Arial-5993-Identity-H"/>
          <w:color w:val="14131B"/>
          <w:sz w:val="21"/>
          <w:szCs w:val="21"/>
        </w:rPr>
        <w:t>pandemia, mediante el otorgamiento de vales, los cuales podían ser canjeados por</w:t>
      </w:r>
      <w:r>
        <w:rPr>
          <w:rFonts w:ascii="Abadi" w:hAnsi="Abadi" w:cs="*Arial-5993-Identity-H"/>
          <w:color w:val="14131B"/>
          <w:sz w:val="21"/>
          <w:szCs w:val="21"/>
        </w:rPr>
        <w:t xml:space="preserve"> </w:t>
      </w:r>
      <w:r w:rsidRPr="0023003B">
        <w:rPr>
          <w:rFonts w:ascii="Abadi" w:hAnsi="Abadi" w:cs="*Arial-6059-Identity-H"/>
          <w:color w:val="14131C"/>
          <w:sz w:val="21"/>
          <w:szCs w:val="21"/>
        </w:rPr>
        <w:t>productos alimenticios en los comercios locales participantes y las farmacias</w:t>
      </w:r>
      <w:r>
        <w:rPr>
          <w:rFonts w:ascii="Abadi" w:hAnsi="Abadi" w:cs="*Arial-6059-Identity-H"/>
          <w:color w:val="14131C"/>
          <w:sz w:val="21"/>
          <w:szCs w:val="21"/>
        </w:rPr>
        <w:t xml:space="preserve"> </w:t>
      </w:r>
      <w:r w:rsidRPr="0023003B">
        <w:rPr>
          <w:rFonts w:ascii="Abadi" w:hAnsi="Abadi" w:cs="*Arial-6059-Identity-H"/>
          <w:color w:val="14131C"/>
          <w:sz w:val="21"/>
          <w:szCs w:val="21"/>
        </w:rPr>
        <w:t>ISSEG, con el fin de apoyar a las familias guanajuatenses y, de manera colateral,</w:t>
      </w:r>
      <w:r>
        <w:rPr>
          <w:rFonts w:ascii="Abadi" w:hAnsi="Abadi" w:cs="*Arial-6059-Identity-H"/>
          <w:color w:val="14131C"/>
          <w:sz w:val="21"/>
          <w:szCs w:val="21"/>
        </w:rPr>
        <w:t xml:space="preserve"> </w:t>
      </w:r>
      <w:r w:rsidRPr="0023003B">
        <w:rPr>
          <w:rFonts w:ascii="Abadi" w:hAnsi="Abadi" w:cs="*Arial-6059-Identity-H"/>
          <w:color w:val="14131C"/>
          <w:sz w:val="21"/>
          <w:szCs w:val="21"/>
        </w:rPr>
        <w:t>estimular la economía local.</w:t>
      </w:r>
    </w:p>
    <w:p w14:paraId="19BE732D" w14:textId="77777777" w:rsidR="002B0CBC" w:rsidRDefault="002B0CBC" w:rsidP="002B0CBC">
      <w:pPr>
        <w:autoSpaceDE w:val="0"/>
        <w:autoSpaceDN w:val="0"/>
        <w:adjustRightInd w:val="0"/>
        <w:jc w:val="both"/>
        <w:rPr>
          <w:rFonts w:ascii="Abadi" w:hAnsi="Abadi" w:cs="*Arial-6059-Identity-H"/>
          <w:color w:val="14131C"/>
          <w:sz w:val="21"/>
          <w:szCs w:val="21"/>
        </w:rPr>
      </w:pPr>
    </w:p>
    <w:p w14:paraId="3A5543B0" w14:textId="77777777" w:rsidR="002B0CBC" w:rsidRDefault="002B0CBC" w:rsidP="002B0CBC">
      <w:pPr>
        <w:autoSpaceDE w:val="0"/>
        <w:autoSpaceDN w:val="0"/>
        <w:adjustRightInd w:val="0"/>
        <w:ind w:firstLine="708"/>
        <w:jc w:val="both"/>
        <w:rPr>
          <w:rFonts w:ascii="Abadi" w:hAnsi="Abadi" w:cs="*Arial-6059-Identity-H"/>
          <w:color w:val="14131C"/>
          <w:sz w:val="21"/>
          <w:szCs w:val="21"/>
        </w:rPr>
      </w:pPr>
      <w:r w:rsidRPr="0023003B">
        <w:rPr>
          <w:rFonts w:ascii="Abadi" w:hAnsi="Abadi" w:cs="*Arial-6059-Identity-H"/>
          <w:color w:val="14131C"/>
          <w:sz w:val="21"/>
          <w:szCs w:val="21"/>
        </w:rPr>
        <w:t>Debido a la relevancia de dicho programa como proyecto emergente para</w:t>
      </w:r>
      <w:r>
        <w:rPr>
          <w:rFonts w:ascii="Abadi" w:hAnsi="Abadi" w:cs="*Arial-6059-Identity-H"/>
          <w:color w:val="14131C"/>
          <w:sz w:val="21"/>
          <w:szCs w:val="21"/>
        </w:rPr>
        <w:t xml:space="preserve"> </w:t>
      </w:r>
      <w:r w:rsidRPr="0023003B">
        <w:rPr>
          <w:rFonts w:ascii="Abadi" w:hAnsi="Abadi" w:cs="*Arial-6059-Identity-H"/>
          <w:color w:val="14131C"/>
          <w:sz w:val="21"/>
          <w:szCs w:val="21"/>
        </w:rPr>
        <w:t>atender una de las problemáticas socioeconómicas que derivaron de las</w:t>
      </w:r>
      <w:r>
        <w:rPr>
          <w:rFonts w:ascii="Abadi" w:hAnsi="Abadi" w:cs="*Arial-6059-Identity-H"/>
          <w:color w:val="14131C"/>
          <w:sz w:val="21"/>
          <w:szCs w:val="21"/>
        </w:rPr>
        <w:t xml:space="preserve"> </w:t>
      </w:r>
      <w:r w:rsidRPr="0023003B">
        <w:rPr>
          <w:rFonts w:ascii="Abadi" w:hAnsi="Abadi" w:cs="*Arial-6059-Identity-H"/>
          <w:color w:val="14131C"/>
          <w:sz w:val="21"/>
          <w:szCs w:val="21"/>
        </w:rPr>
        <w:t>afectaciones de la pandemia por COVID-19, la Auditoría Superior del Estado</w:t>
      </w:r>
      <w:r>
        <w:rPr>
          <w:rFonts w:ascii="Abadi" w:hAnsi="Abadi" w:cs="*Arial-6059-Identity-H"/>
          <w:color w:val="14131C"/>
          <w:sz w:val="21"/>
          <w:szCs w:val="21"/>
        </w:rPr>
        <w:t xml:space="preserve"> </w:t>
      </w:r>
      <w:r w:rsidRPr="0023003B">
        <w:rPr>
          <w:rFonts w:ascii="Abadi" w:hAnsi="Abadi" w:cs="*Arial-6059-Identity-H"/>
          <w:color w:val="14131C"/>
          <w:sz w:val="21"/>
          <w:szCs w:val="21"/>
        </w:rPr>
        <w:t>incluyó en el Programa General de Fiscalización 2021 la auditoría de desempeño</w:t>
      </w:r>
      <w:r>
        <w:rPr>
          <w:rFonts w:ascii="Abadi" w:hAnsi="Abadi" w:cs="*Arial-6059-Identity-H"/>
          <w:color w:val="14131C"/>
          <w:sz w:val="21"/>
          <w:szCs w:val="21"/>
        </w:rPr>
        <w:t xml:space="preserve"> </w:t>
      </w:r>
      <w:r w:rsidRPr="0023003B">
        <w:rPr>
          <w:rFonts w:ascii="Abadi" w:hAnsi="Abadi" w:cs="*Arial-6059-Identity-H"/>
          <w:color w:val="14131C"/>
          <w:sz w:val="21"/>
          <w:szCs w:val="21"/>
        </w:rPr>
        <w:t xml:space="preserve">al Programa </w:t>
      </w:r>
      <w:r w:rsidRPr="0023003B">
        <w:rPr>
          <w:rFonts w:ascii="Abadi" w:hAnsi="Abadi" w:cs="*Arial-Italic-6060-Identity-H"/>
          <w:i/>
          <w:iCs/>
          <w:color w:val="14131C"/>
          <w:sz w:val="21"/>
          <w:szCs w:val="21"/>
        </w:rPr>
        <w:t xml:space="preserve">Q3391 Vale Grandeza-Compra Local, </w:t>
      </w:r>
      <w:r w:rsidRPr="0023003B">
        <w:rPr>
          <w:rFonts w:ascii="Abadi" w:hAnsi="Abadi" w:cs="*Arial-6059-Identity-H"/>
          <w:color w:val="14131C"/>
          <w:sz w:val="21"/>
          <w:szCs w:val="21"/>
        </w:rPr>
        <w:t>con el propósito de fiscalizar la</w:t>
      </w:r>
      <w:r>
        <w:rPr>
          <w:rFonts w:ascii="Abadi" w:hAnsi="Abadi" w:cs="*Arial-6059-Identity-H"/>
          <w:color w:val="14131C"/>
          <w:sz w:val="21"/>
          <w:szCs w:val="21"/>
        </w:rPr>
        <w:t xml:space="preserve">  </w:t>
      </w:r>
      <w:r w:rsidRPr="0023003B">
        <w:rPr>
          <w:rFonts w:ascii="Abadi" w:hAnsi="Abadi" w:cs="*Arial-6059-Identity-H"/>
          <w:color w:val="14131C"/>
          <w:sz w:val="21"/>
          <w:szCs w:val="21"/>
        </w:rPr>
        <w:t>contribución de la entrega y canje de los vales Grandeza como programa</w:t>
      </w:r>
      <w:r>
        <w:rPr>
          <w:rFonts w:ascii="Abadi" w:hAnsi="Abadi" w:cs="*Arial-6059-Identity-H"/>
          <w:color w:val="14131C"/>
          <w:sz w:val="21"/>
          <w:szCs w:val="21"/>
        </w:rPr>
        <w:t xml:space="preserve"> </w:t>
      </w:r>
      <w:r w:rsidRPr="0023003B">
        <w:rPr>
          <w:rFonts w:ascii="Abadi" w:hAnsi="Abadi" w:cs="*Arial-6059-Identity-H"/>
          <w:color w:val="14131C"/>
          <w:sz w:val="21"/>
          <w:szCs w:val="21"/>
        </w:rPr>
        <w:t>emergente para reducir los riesgos económicos provocados por la contingencia</w:t>
      </w:r>
      <w:r>
        <w:rPr>
          <w:rFonts w:ascii="Abadi" w:hAnsi="Abadi" w:cs="*Arial-6059-Identity-H"/>
          <w:color w:val="14131C"/>
          <w:sz w:val="21"/>
          <w:szCs w:val="21"/>
        </w:rPr>
        <w:t xml:space="preserve"> </w:t>
      </w:r>
      <w:r w:rsidRPr="0023003B">
        <w:rPr>
          <w:rFonts w:ascii="Abadi" w:hAnsi="Abadi" w:cs="*Arial-6059-Identity-H"/>
          <w:color w:val="14131C"/>
          <w:sz w:val="21"/>
          <w:szCs w:val="21"/>
        </w:rPr>
        <w:t>sanitaria del COVID-19 a la población vulnerable por ingresos y los comercios</w:t>
      </w:r>
      <w:r>
        <w:rPr>
          <w:rFonts w:ascii="Abadi" w:hAnsi="Abadi" w:cs="*Arial-6059-Identity-H"/>
          <w:color w:val="14131C"/>
          <w:sz w:val="21"/>
          <w:szCs w:val="21"/>
        </w:rPr>
        <w:t xml:space="preserve"> </w:t>
      </w:r>
      <w:r w:rsidRPr="0023003B">
        <w:rPr>
          <w:rFonts w:ascii="Abadi" w:hAnsi="Abadi" w:cs="*Arial-6059-Identity-H"/>
          <w:color w:val="14131C"/>
          <w:sz w:val="21"/>
          <w:szCs w:val="21"/>
        </w:rPr>
        <w:t>locales.</w:t>
      </w:r>
    </w:p>
    <w:p w14:paraId="74129592" w14:textId="77777777" w:rsidR="002B0CBC" w:rsidRPr="0023003B" w:rsidRDefault="002B0CBC" w:rsidP="002B0CBC">
      <w:pPr>
        <w:autoSpaceDE w:val="0"/>
        <w:autoSpaceDN w:val="0"/>
        <w:adjustRightInd w:val="0"/>
        <w:jc w:val="both"/>
        <w:rPr>
          <w:rFonts w:ascii="Abadi" w:hAnsi="Abadi" w:cs="*Arial-6059-Identity-H"/>
          <w:color w:val="14131C"/>
          <w:sz w:val="21"/>
          <w:szCs w:val="21"/>
        </w:rPr>
      </w:pPr>
    </w:p>
    <w:p w14:paraId="0800EBB1" w14:textId="77777777" w:rsidR="002B0CBC" w:rsidRDefault="002B0CBC" w:rsidP="002B0CBC">
      <w:pPr>
        <w:autoSpaceDE w:val="0"/>
        <w:autoSpaceDN w:val="0"/>
        <w:adjustRightInd w:val="0"/>
        <w:ind w:firstLine="708"/>
        <w:jc w:val="both"/>
        <w:rPr>
          <w:rFonts w:ascii="Abadi" w:hAnsi="Abadi" w:cs="*Arial-6059-Identity-H"/>
          <w:color w:val="15141C"/>
          <w:sz w:val="21"/>
          <w:szCs w:val="21"/>
        </w:rPr>
      </w:pPr>
      <w:r w:rsidRPr="0023003B">
        <w:rPr>
          <w:rFonts w:ascii="Abadi" w:hAnsi="Abadi" w:cs="*Arial-6059-Identity-H"/>
          <w:color w:val="15141C"/>
          <w:sz w:val="21"/>
          <w:szCs w:val="21"/>
        </w:rPr>
        <w:t>Para su consecución, se incluyeron seis procedimientos, el primero, relativo</w:t>
      </w:r>
      <w:r>
        <w:rPr>
          <w:rFonts w:ascii="Abadi" w:hAnsi="Abadi" w:cs="*Arial-6059-Identity-H"/>
          <w:color w:val="15141C"/>
          <w:sz w:val="21"/>
          <w:szCs w:val="21"/>
        </w:rPr>
        <w:t xml:space="preserve"> </w:t>
      </w:r>
      <w:r w:rsidRPr="0023003B">
        <w:rPr>
          <w:rFonts w:ascii="Abadi" w:hAnsi="Abadi" w:cs="*Arial-6059-Identity-H"/>
          <w:color w:val="15141C"/>
          <w:sz w:val="21"/>
          <w:szCs w:val="21"/>
        </w:rPr>
        <w:t>a la eficiencia en la definición de estrategias por parte de la Secretaría de</w:t>
      </w:r>
      <w:r>
        <w:rPr>
          <w:rFonts w:ascii="Abadi" w:hAnsi="Abadi" w:cs="*Arial-6059-Identity-H"/>
          <w:color w:val="15141C"/>
          <w:sz w:val="21"/>
          <w:szCs w:val="21"/>
        </w:rPr>
        <w:t xml:space="preserve"> </w:t>
      </w:r>
      <w:r w:rsidRPr="0023003B">
        <w:rPr>
          <w:rFonts w:ascii="Abadi" w:hAnsi="Abadi" w:cs="*Arial-6059-Identity-H"/>
          <w:color w:val="15141C"/>
          <w:sz w:val="21"/>
          <w:szCs w:val="21"/>
        </w:rPr>
        <w:t>Desarrollo Económico.</w:t>
      </w:r>
      <w:r w:rsidRPr="0023003B">
        <w:rPr>
          <w:rFonts w:ascii="Abadi" w:hAnsi="Abadi" w:cs="*Arial-6059-Identity-H"/>
          <w:color w:val="B9B9B9"/>
          <w:sz w:val="21"/>
          <w:szCs w:val="21"/>
        </w:rPr>
        <w:t xml:space="preserve"> </w:t>
      </w:r>
      <w:r w:rsidRPr="0023003B">
        <w:rPr>
          <w:rFonts w:ascii="Abadi" w:hAnsi="Abadi" w:cs="*Arial-6059-Identity-H"/>
          <w:color w:val="15141C"/>
          <w:sz w:val="21"/>
          <w:szCs w:val="21"/>
        </w:rPr>
        <w:t>Sustentable (en coordinación con la Secretaría de</w:t>
      </w:r>
      <w:r>
        <w:rPr>
          <w:rFonts w:ascii="Abadi" w:hAnsi="Abadi" w:cs="*Arial-6059-Identity-H"/>
          <w:color w:val="15141C"/>
          <w:sz w:val="21"/>
          <w:szCs w:val="21"/>
        </w:rPr>
        <w:t xml:space="preserve"> </w:t>
      </w:r>
      <w:r w:rsidRPr="0023003B">
        <w:rPr>
          <w:rFonts w:ascii="Abadi" w:hAnsi="Abadi" w:cs="*Arial-6059-Identity-H"/>
          <w:color w:val="15141C"/>
          <w:sz w:val="21"/>
          <w:szCs w:val="21"/>
        </w:rPr>
        <w:t>Desarrollo Social y Humano) para garantizar la localización de los sujetos a</w:t>
      </w:r>
      <w:r>
        <w:rPr>
          <w:rFonts w:ascii="Abadi" w:hAnsi="Abadi" w:cs="*Arial-6059-Identity-H"/>
          <w:color w:val="15141C"/>
          <w:sz w:val="21"/>
          <w:szCs w:val="21"/>
        </w:rPr>
        <w:t xml:space="preserve"> </w:t>
      </w:r>
      <w:r w:rsidRPr="0023003B">
        <w:rPr>
          <w:rFonts w:ascii="Abadi" w:hAnsi="Abadi" w:cs="*Arial-6059-Identity-H"/>
          <w:color w:val="15141C"/>
          <w:sz w:val="21"/>
          <w:szCs w:val="21"/>
        </w:rPr>
        <w:t>beneficiar (focalización), así como la eficiencia en los procesos de asignación y</w:t>
      </w:r>
      <w:r>
        <w:rPr>
          <w:rFonts w:ascii="Abadi" w:hAnsi="Abadi" w:cs="*Arial-6059-Identity-H"/>
          <w:color w:val="15141C"/>
          <w:sz w:val="21"/>
          <w:szCs w:val="21"/>
        </w:rPr>
        <w:t xml:space="preserve"> </w:t>
      </w:r>
      <w:r w:rsidRPr="0023003B">
        <w:rPr>
          <w:rFonts w:ascii="Abadi" w:hAnsi="Abadi" w:cs="*Arial-6059-Identity-H"/>
          <w:color w:val="15141C"/>
          <w:sz w:val="21"/>
          <w:szCs w:val="21"/>
        </w:rPr>
        <w:t>entrega de los apoyos. Posteriormente, se verificó la efectividad de los</w:t>
      </w:r>
      <w:r>
        <w:rPr>
          <w:rFonts w:ascii="Abadi" w:hAnsi="Abadi" w:cs="*Arial-6059-Identity-H"/>
          <w:color w:val="15141C"/>
          <w:sz w:val="21"/>
          <w:szCs w:val="21"/>
        </w:rPr>
        <w:t xml:space="preserve"> mecanismos</w:t>
      </w:r>
      <w:r w:rsidRPr="0023003B">
        <w:rPr>
          <w:rFonts w:ascii="Abadi" w:hAnsi="Abadi" w:cs="*Arial-6059-Identity-H"/>
          <w:color w:val="15141C"/>
          <w:sz w:val="21"/>
          <w:szCs w:val="21"/>
        </w:rPr>
        <w:t xml:space="preserve"> para integrar los comercios locales para el canje de los vales, así</w:t>
      </w:r>
      <w:r>
        <w:rPr>
          <w:rFonts w:ascii="Abadi" w:hAnsi="Abadi" w:cs="*Arial-6059-Identity-H"/>
          <w:color w:val="15141C"/>
          <w:sz w:val="21"/>
          <w:szCs w:val="21"/>
        </w:rPr>
        <w:t xml:space="preserve"> </w:t>
      </w:r>
      <w:r w:rsidRPr="0023003B">
        <w:rPr>
          <w:rFonts w:ascii="Abadi" w:hAnsi="Abadi" w:cs="*Arial-6059-Identity-H"/>
          <w:color w:val="15141C"/>
          <w:sz w:val="21"/>
          <w:szCs w:val="21"/>
        </w:rPr>
        <w:t>como para conocer la contribución al impulso de la economía local. Finalmente, en</w:t>
      </w:r>
      <w:r>
        <w:rPr>
          <w:rFonts w:ascii="Abadi" w:hAnsi="Abadi" w:cs="*Arial-6059-Identity-H"/>
          <w:color w:val="15141C"/>
          <w:sz w:val="21"/>
          <w:szCs w:val="21"/>
        </w:rPr>
        <w:t xml:space="preserve"> </w:t>
      </w:r>
      <w:r w:rsidRPr="0023003B">
        <w:rPr>
          <w:rFonts w:ascii="Abadi" w:hAnsi="Abadi" w:cs="*Arial-6059-Identity-H"/>
          <w:color w:val="15141C"/>
          <w:sz w:val="21"/>
          <w:szCs w:val="21"/>
        </w:rPr>
        <w:t>la auditoría también se previó la comprobación de la eficacia del programa, por su</w:t>
      </w:r>
      <w:r>
        <w:rPr>
          <w:rFonts w:ascii="Abadi" w:hAnsi="Abadi" w:cs="*Arial-6059-Identity-H"/>
          <w:color w:val="15141C"/>
          <w:sz w:val="21"/>
          <w:szCs w:val="21"/>
        </w:rPr>
        <w:t xml:space="preserve"> </w:t>
      </w:r>
      <w:r w:rsidRPr="0023003B">
        <w:rPr>
          <w:rFonts w:ascii="Abadi" w:hAnsi="Abadi" w:cs="*Arial-6059-Identity-H"/>
          <w:color w:val="15141C"/>
          <w:sz w:val="21"/>
          <w:szCs w:val="21"/>
        </w:rPr>
        <w:t>reconocimiento como acción gubernamental implementada en respuesta a</w:t>
      </w:r>
      <w:r>
        <w:rPr>
          <w:rFonts w:ascii="Abadi" w:hAnsi="Abadi" w:cs="*Arial-6059-Identity-H"/>
          <w:color w:val="15141C"/>
          <w:sz w:val="21"/>
          <w:szCs w:val="21"/>
        </w:rPr>
        <w:t xml:space="preserve"> </w:t>
      </w:r>
      <w:r w:rsidRPr="0023003B">
        <w:rPr>
          <w:rFonts w:ascii="Abadi" w:hAnsi="Abadi" w:cs="*Arial-6059-Identity-H"/>
          <w:color w:val="15141C"/>
          <w:sz w:val="21"/>
          <w:szCs w:val="21"/>
        </w:rPr>
        <w:t>situaciones de emergencia, para conocer la medida en que coadyuva a mejorar</w:t>
      </w:r>
      <w:r>
        <w:rPr>
          <w:rFonts w:ascii="Abadi" w:hAnsi="Abadi" w:cs="*Arial-6059-Identity-H"/>
          <w:color w:val="15141C"/>
          <w:sz w:val="21"/>
          <w:szCs w:val="21"/>
        </w:rPr>
        <w:t xml:space="preserve"> </w:t>
      </w:r>
      <w:r w:rsidRPr="0023003B">
        <w:rPr>
          <w:rFonts w:ascii="Abadi" w:hAnsi="Abadi" w:cs="*Arial-6059-Identity-H"/>
          <w:color w:val="15141C"/>
          <w:sz w:val="21"/>
          <w:szCs w:val="21"/>
        </w:rPr>
        <w:t>las condiciones de vida de las personas participantes.</w:t>
      </w:r>
    </w:p>
    <w:p w14:paraId="265E9D46" w14:textId="77777777" w:rsidR="002B0CBC" w:rsidRPr="0023003B" w:rsidRDefault="002B0CBC" w:rsidP="002B0CBC">
      <w:pPr>
        <w:autoSpaceDE w:val="0"/>
        <w:autoSpaceDN w:val="0"/>
        <w:adjustRightInd w:val="0"/>
        <w:jc w:val="both"/>
        <w:rPr>
          <w:rFonts w:ascii="Abadi" w:hAnsi="Abadi" w:cs="*Arial-6059-Identity-H"/>
          <w:color w:val="15141C"/>
          <w:sz w:val="21"/>
          <w:szCs w:val="21"/>
        </w:rPr>
      </w:pPr>
    </w:p>
    <w:p w14:paraId="16C45435" w14:textId="77777777" w:rsidR="002B0CBC" w:rsidRPr="0023003B" w:rsidRDefault="002B0CBC" w:rsidP="002B0CBC">
      <w:pPr>
        <w:autoSpaceDE w:val="0"/>
        <w:autoSpaceDN w:val="0"/>
        <w:adjustRightInd w:val="0"/>
        <w:ind w:firstLine="708"/>
        <w:jc w:val="both"/>
        <w:rPr>
          <w:rFonts w:ascii="Abadi" w:hAnsi="Abadi" w:cs="*Arial-6059-Identity-H"/>
          <w:color w:val="14141C"/>
          <w:sz w:val="21"/>
          <w:szCs w:val="21"/>
        </w:rPr>
      </w:pPr>
      <w:r w:rsidRPr="0023003B">
        <w:rPr>
          <w:rFonts w:ascii="Abadi" w:hAnsi="Abadi" w:cs="*Arial-6059-Identity-H"/>
          <w:color w:val="14141C"/>
          <w:sz w:val="21"/>
          <w:szCs w:val="21"/>
        </w:rPr>
        <w:t>Al respecto, se constató que, desde su origen, existió una coordinación</w:t>
      </w:r>
      <w:r>
        <w:rPr>
          <w:rFonts w:ascii="Abadi" w:hAnsi="Abadi" w:cs="*Arial-6059-Identity-H"/>
          <w:color w:val="14141C"/>
          <w:sz w:val="21"/>
          <w:szCs w:val="21"/>
        </w:rPr>
        <w:t xml:space="preserve"> </w:t>
      </w:r>
      <w:r w:rsidRPr="0023003B">
        <w:rPr>
          <w:rFonts w:ascii="Abadi" w:hAnsi="Abadi" w:cs="*Arial-6059-Identity-H"/>
          <w:color w:val="14141C"/>
          <w:sz w:val="21"/>
          <w:szCs w:val="21"/>
        </w:rPr>
        <w:t>entre ambas secretarías para llevar a cabo la implementación del programa</w:t>
      </w:r>
      <w:r>
        <w:rPr>
          <w:rFonts w:ascii="Abadi" w:hAnsi="Abadi" w:cs="*Arial-6059-Identity-H"/>
          <w:color w:val="14141C"/>
          <w:sz w:val="21"/>
          <w:szCs w:val="21"/>
        </w:rPr>
        <w:t xml:space="preserve"> </w:t>
      </w:r>
      <w:r w:rsidRPr="0023003B">
        <w:rPr>
          <w:rFonts w:ascii="Abadi" w:hAnsi="Abadi" w:cs="*Arial-6059-Identity-H"/>
          <w:color w:val="14141C"/>
          <w:sz w:val="21"/>
          <w:szCs w:val="21"/>
        </w:rPr>
        <w:t>auditado, siendo una de las primeras actividades el llevar a cabo mesas de trabajo</w:t>
      </w:r>
      <w:r>
        <w:rPr>
          <w:rFonts w:ascii="Abadi" w:hAnsi="Abadi" w:cs="*Arial-6059-Identity-H"/>
          <w:color w:val="14141C"/>
          <w:sz w:val="21"/>
          <w:szCs w:val="21"/>
        </w:rPr>
        <w:t xml:space="preserve"> </w:t>
      </w:r>
      <w:r w:rsidRPr="0023003B">
        <w:rPr>
          <w:rFonts w:ascii="Abadi" w:hAnsi="Abadi" w:cs="*Arial-6059-Identity-H"/>
          <w:color w:val="14141C"/>
          <w:sz w:val="21"/>
          <w:szCs w:val="21"/>
        </w:rPr>
        <w:t>para la toma de decisiones sobre las estrategias de selección y sobre las posibles</w:t>
      </w:r>
      <w:r>
        <w:rPr>
          <w:rFonts w:ascii="Abadi" w:hAnsi="Abadi" w:cs="*Arial-6059-Identity-H"/>
          <w:color w:val="14141C"/>
          <w:sz w:val="21"/>
          <w:szCs w:val="21"/>
        </w:rPr>
        <w:t xml:space="preserve"> </w:t>
      </w:r>
      <w:r w:rsidRPr="0023003B">
        <w:rPr>
          <w:rFonts w:ascii="Abadi" w:hAnsi="Abadi" w:cs="*Arial-6059-Identity-H"/>
          <w:color w:val="14141C"/>
          <w:sz w:val="21"/>
          <w:szCs w:val="21"/>
        </w:rPr>
        <w:t>modalidades de apoyo; no obstante, aunque se llegó a consenso entre los</w:t>
      </w:r>
      <w:r>
        <w:rPr>
          <w:rFonts w:ascii="Abadi" w:hAnsi="Abadi" w:cs="*Arial-6059-Identity-H"/>
          <w:color w:val="14141C"/>
          <w:sz w:val="21"/>
          <w:szCs w:val="21"/>
        </w:rPr>
        <w:t xml:space="preserve"> </w:t>
      </w:r>
      <w:r w:rsidRPr="0023003B">
        <w:rPr>
          <w:rFonts w:ascii="Abadi" w:hAnsi="Abadi" w:cs="*Arial-6059-Identity-H"/>
          <w:color w:val="14141C"/>
          <w:sz w:val="21"/>
          <w:szCs w:val="21"/>
        </w:rPr>
        <w:t>involucrados, no se acreditó la realización de algún estudio diagnóstico,</w:t>
      </w:r>
      <w:r>
        <w:rPr>
          <w:rFonts w:ascii="Abadi" w:hAnsi="Abadi" w:cs="*Arial-6059-Identity-H"/>
          <w:color w:val="14141C"/>
          <w:sz w:val="21"/>
          <w:szCs w:val="21"/>
        </w:rPr>
        <w:t xml:space="preserve"> </w:t>
      </w:r>
      <w:r w:rsidRPr="0023003B">
        <w:rPr>
          <w:rFonts w:ascii="Abadi" w:hAnsi="Abadi" w:cs="*Arial-6059-Identity-H"/>
          <w:color w:val="14141C"/>
          <w:sz w:val="21"/>
          <w:szCs w:val="21"/>
        </w:rPr>
        <w:t xml:space="preserve">debidamente documentado, en el que se justificara el diseño del programa, </w:t>
      </w:r>
      <w:r w:rsidRPr="0023003B">
        <w:rPr>
          <w:rFonts w:ascii="Abadi" w:hAnsi="Abadi" w:cs="*Arial-6059-Identity-H"/>
          <w:color w:val="7C7C7C"/>
          <w:sz w:val="21"/>
          <w:szCs w:val="21"/>
        </w:rPr>
        <w:t>'</w:t>
      </w:r>
      <w:r w:rsidRPr="0023003B">
        <w:rPr>
          <w:rFonts w:ascii="Abadi" w:hAnsi="Abadi" w:cs="*Arial-6059-Identity-H"/>
          <w:color w:val="14141C"/>
          <w:sz w:val="21"/>
          <w:szCs w:val="21"/>
        </w:rPr>
        <w:t>mismo</w:t>
      </w:r>
      <w:r>
        <w:rPr>
          <w:rFonts w:ascii="Abadi" w:hAnsi="Abadi" w:cs="*Arial-6059-Identity-H"/>
          <w:color w:val="14141C"/>
          <w:sz w:val="21"/>
          <w:szCs w:val="21"/>
        </w:rPr>
        <w:t xml:space="preserve"> </w:t>
      </w:r>
      <w:r w:rsidRPr="0023003B">
        <w:rPr>
          <w:rFonts w:ascii="Abadi" w:hAnsi="Abadi" w:cs="*Arial-6059-Identity-H"/>
          <w:color w:val="14141C"/>
          <w:sz w:val="21"/>
          <w:szCs w:val="21"/>
        </w:rPr>
        <w:t>que se hiciera acompañar de un análisis (cualitativo y cuantitativo) que asegurara</w:t>
      </w:r>
      <w:r>
        <w:rPr>
          <w:rFonts w:ascii="Abadi" w:hAnsi="Abadi" w:cs="*Arial-6059-Identity-H"/>
          <w:color w:val="14141C"/>
          <w:sz w:val="21"/>
          <w:szCs w:val="21"/>
        </w:rPr>
        <w:t xml:space="preserve"> </w:t>
      </w:r>
      <w:r w:rsidRPr="0023003B">
        <w:rPr>
          <w:rFonts w:ascii="Abadi" w:hAnsi="Abadi" w:cs="*Arial-6059-Identity-H"/>
          <w:color w:val="14141C"/>
          <w:sz w:val="21"/>
          <w:szCs w:val="21"/>
        </w:rPr>
        <w:t>que la acción que fue puesta en marcha fuera la más viable.</w:t>
      </w:r>
    </w:p>
    <w:p w14:paraId="04DF3D90" w14:textId="77777777" w:rsidR="002B0CBC" w:rsidRPr="0023003B" w:rsidRDefault="002B0CBC" w:rsidP="002B0CBC">
      <w:pPr>
        <w:jc w:val="both"/>
        <w:rPr>
          <w:rFonts w:ascii="Abadi" w:hAnsi="Abadi" w:cs="*Arial-6059-Identity-H"/>
          <w:color w:val="14141C"/>
          <w:sz w:val="21"/>
          <w:szCs w:val="21"/>
        </w:rPr>
      </w:pPr>
    </w:p>
    <w:p w14:paraId="03497BA8" w14:textId="77777777" w:rsidR="002B0CBC" w:rsidRDefault="002B0CBC" w:rsidP="002B0CBC">
      <w:pPr>
        <w:autoSpaceDE w:val="0"/>
        <w:autoSpaceDN w:val="0"/>
        <w:adjustRightInd w:val="0"/>
        <w:ind w:firstLine="708"/>
        <w:jc w:val="both"/>
        <w:rPr>
          <w:rFonts w:ascii="Abadi" w:hAnsi="Abadi" w:cs="*Arial-6127-Identity-H"/>
          <w:color w:val="14131C"/>
          <w:sz w:val="21"/>
          <w:szCs w:val="21"/>
        </w:rPr>
      </w:pPr>
      <w:r w:rsidRPr="0023003B">
        <w:rPr>
          <w:rFonts w:ascii="Abadi" w:hAnsi="Abadi" w:cs="*Arial-6127-Identity-H"/>
          <w:color w:val="14131C"/>
          <w:sz w:val="21"/>
          <w:szCs w:val="21"/>
        </w:rPr>
        <w:t>En cuanto a la estrategia para la identificación de la población objetivo, se</w:t>
      </w:r>
      <w:r>
        <w:rPr>
          <w:rFonts w:ascii="Abadi" w:hAnsi="Abadi" w:cs="*Arial-6127-Identity-H"/>
          <w:color w:val="14131C"/>
          <w:sz w:val="21"/>
          <w:szCs w:val="21"/>
        </w:rPr>
        <w:t xml:space="preserve"> </w:t>
      </w:r>
      <w:r w:rsidRPr="0023003B">
        <w:rPr>
          <w:rFonts w:ascii="Abadi" w:hAnsi="Abadi" w:cs="*Arial-6127-Identity-H"/>
          <w:color w:val="14131C"/>
          <w:sz w:val="21"/>
          <w:szCs w:val="21"/>
        </w:rPr>
        <w:t>comprobó que el proceso de selección consistió en visitar cada una de las casas</w:t>
      </w:r>
      <w:r>
        <w:rPr>
          <w:rFonts w:ascii="Abadi" w:hAnsi="Abadi" w:cs="*Arial-6127-Identity-H"/>
          <w:color w:val="14131C"/>
          <w:sz w:val="21"/>
          <w:szCs w:val="21"/>
        </w:rPr>
        <w:t xml:space="preserve"> </w:t>
      </w:r>
      <w:r w:rsidRPr="0023003B">
        <w:rPr>
          <w:rFonts w:ascii="Abadi" w:hAnsi="Abadi" w:cs="*Arial-6127-Identity-H"/>
          <w:color w:val="14131C"/>
          <w:sz w:val="21"/>
          <w:szCs w:val="21"/>
        </w:rPr>
        <w:t>ubicadas en algunas localidades pertenecientes a las zonas de atención prioritaria</w:t>
      </w:r>
      <w:r>
        <w:rPr>
          <w:rFonts w:ascii="Abadi" w:hAnsi="Abadi" w:cs="*Arial-6127-Identity-H"/>
          <w:color w:val="14131C"/>
          <w:sz w:val="21"/>
          <w:szCs w:val="21"/>
        </w:rPr>
        <w:t xml:space="preserve"> </w:t>
      </w:r>
      <w:r w:rsidRPr="0023003B">
        <w:rPr>
          <w:rFonts w:ascii="Abadi" w:hAnsi="Abadi" w:cs="*Arial-6127-Identity-H"/>
          <w:color w:val="14131C"/>
          <w:sz w:val="21"/>
          <w:szCs w:val="21"/>
        </w:rPr>
        <w:t>(ZAP), así como algunas otras zonas del estado definidas por la Secretaría de</w:t>
      </w:r>
      <w:r>
        <w:rPr>
          <w:rFonts w:ascii="Abadi" w:hAnsi="Abadi" w:cs="*Arial-6127-Identity-H"/>
          <w:color w:val="14131C"/>
          <w:sz w:val="21"/>
          <w:szCs w:val="21"/>
        </w:rPr>
        <w:t xml:space="preserve"> </w:t>
      </w:r>
      <w:r w:rsidRPr="0023003B">
        <w:rPr>
          <w:rFonts w:ascii="Abadi" w:hAnsi="Abadi" w:cs="*Arial-6127-Identity-H"/>
          <w:color w:val="14131C"/>
          <w:sz w:val="21"/>
          <w:szCs w:val="21"/>
        </w:rPr>
        <w:t>Desarrollo Social y Humano para identificar, mediante la aplicación de un</w:t>
      </w:r>
      <w:r>
        <w:rPr>
          <w:rFonts w:ascii="Abadi" w:hAnsi="Abadi" w:cs="*Arial-6127-Identity-H"/>
          <w:color w:val="14131C"/>
          <w:sz w:val="21"/>
          <w:szCs w:val="21"/>
        </w:rPr>
        <w:t xml:space="preserve"> </w:t>
      </w:r>
      <w:r w:rsidRPr="0023003B">
        <w:rPr>
          <w:rFonts w:ascii="Abadi" w:hAnsi="Abadi" w:cs="*Arial-6127-Identity-H"/>
          <w:color w:val="14131C"/>
          <w:sz w:val="21"/>
          <w:szCs w:val="21"/>
        </w:rPr>
        <w:t>cuestionario, a las personas cuyos ingresos se vieron disminuidos como</w:t>
      </w:r>
      <w:r>
        <w:rPr>
          <w:rFonts w:ascii="Abadi" w:hAnsi="Abadi" w:cs="*Arial-6127-Identity-H"/>
          <w:color w:val="14131C"/>
          <w:sz w:val="21"/>
          <w:szCs w:val="21"/>
        </w:rPr>
        <w:t xml:space="preserve"> </w:t>
      </w:r>
      <w:r w:rsidRPr="0023003B">
        <w:rPr>
          <w:rFonts w:ascii="Abadi" w:hAnsi="Abadi" w:cs="*Arial-6127-Identity-H"/>
          <w:color w:val="14131C"/>
          <w:sz w:val="21"/>
          <w:szCs w:val="21"/>
        </w:rPr>
        <w:t>consecuencia de la pandemia y de las medidas de confinamiento implementadas</w:t>
      </w:r>
      <w:r>
        <w:rPr>
          <w:rFonts w:ascii="Abadi" w:hAnsi="Abadi" w:cs="*Arial-6127-Identity-H"/>
          <w:color w:val="14131C"/>
          <w:sz w:val="21"/>
          <w:szCs w:val="21"/>
        </w:rPr>
        <w:t xml:space="preserve"> </w:t>
      </w:r>
      <w:r w:rsidRPr="0023003B">
        <w:rPr>
          <w:rFonts w:ascii="Abadi" w:hAnsi="Abadi" w:cs="*Arial-6127-Identity-H"/>
          <w:color w:val="14131C"/>
          <w:sz w:val="21"/>
          <w:szCs w:val="21"/>
        </w:rPr>
        <w:t>por las autoridades. Ante este hecho, se constató que, aun y cuando se planificó el</w:t>
      </w:r>
      <w:r>
        <w:rPr>
          <w:rFonts w:ascii="Abadi" w:hAnsi="Abadi" w:cs="*Arial-6127-Identity-H"/>
          <w:color w:val="14131C"/>
          <w:sz w:val="21"/>
          <w:szCs w:val="21"/>
        </w:rPr>
        <w:t xml:space="preserve"> </w:t>
      </w:r>
      <w:r w:rsidRPr="0023003B">
        <w:rPr>
          <w:rFonts w:ascii="Abadi" w:hAnsi="Abadi" w:cs="*Arial-6127-Identity-H"/>
          <w:color w:val="14131C"/>
          <w:sz w:val="21"/>
          <w:szCs w:val="21"/>
        </w:rPr>
        <w:t>diseño de un instrumento (tipo encuesta) para el perfilamiento de la población</w:t>
      </w:r>
      <w:r>
        <w:rPr>
          <w:rFonts w:ascii="Abadi" w:hAnsi="Abadi" w:cs="*Arial-6127-Identity-H"/>
          <w:color w:val="14131C"/>
          <w:sz w:val="21"/>
          <w:szCs w:val="21"/>
        </w:rPr>
        <w:t xml:space="preserve"> </w:t>
      </w:r>
      <w:r w:rsidRPr="0023003B">
        <w:rPr>
          <w:rFonts w:ascii="Abadi" w:hAnsi="Abadi" w:cs="*Arial-6127-Identity-H"/>
          <w:color w:val="14131C"/>
          <w:sz w:val="21"/>
          <w:szCs w:val="21"/>
        </w:rPr>
        <w:t>objetivo, este no permitió identificar de manera eficaz la situación de vulnerabilidad</w:t>
      </w:r>
      <w:r>
        <w:rPr>
          <w:rFonts w:ascii="Abadi" w:hAnsi="Abadi" w:cs="*Arial-6127-Identity-H"/>
          <w:color w:val="14131C"/>
          <w:sz w:val="21"/>
          <w:szCs w:val="21"/>
        </w:rPr>
        <w:t xml:space="preserve"> </w:t>
      </w:r>
      <w:r w:rsidRPr="0023003B">
        <w:rPr>
          <w:rFonts w:ascii="Abadi" w:hAnsi="Abadi" w:cs="*Arial-6127-Identity-H"/>
          <w:color w:val="14131C"/>
          <w:sz w:val="21"/>
          <w:szCs w:val="21"/>
        </w:rPr>
        <w:t>por ingresos (situación socioeconómica de los hogares), ni la afectación de los</w:t>
      </w:r>
      <w:r>
        <w:rPr>
          <w:rFonts w:ascii="Abadi" w:hAnsi="Abadi" w:cs="*Arial-6127-Identity-H"/>
          <w:color w:val="14131C"/>
          <w:sz w:val="21"/>
          <w:szCs w:val="21"/>
        </w:rPr>
        <w:t xml:space="preserve"> mismos</w:t>
      </w:r>
      <w:r w:rsidRPr="0023003B">
        <w:rPr>
          <w:rFonts w:ascii="Abadi" w:hAnsi="Abadi" w:cs="*Arial-6127-Identity-H"/>
          <w:color w:val="14131C"/>
          <w:sz w:val="21"/>
          <w:szCs w:val="21"/>
        </w:rPr>
        <w:t xml:space="preserve"> por consecuencia de la pandemia, debido a que el instrumento no</w:t>
      </w:r>
      <w:r>
        <w:rPr>
          <w:rFonts w:ascii="Abadi" w:hAnsi="Abadi" w:cs="*Arial-6127-Identity-H"/>
          <w:color w:val="14131C"/>
          <w:sz w:val="21"/>
          <w:szCs w:val="21"/>
        </w:rPr>
        <w:t xml:space="preserve"> </w:t>
      </w:r>
      <w:r w:rsidRPr="0023003B">
        <w:rPr>
          <w:rFonts w:ascii="Abadi" w:hAnsi="Abadi" w:cs="*Arial-6127-Identity-H"/>
          <w:color w:val="14131C"/>
          <w:sz w:val="21"/>
          <w:szCs w:val="21"/>
        </w:rPr>
        <w:t>especificó reactivos para la medición e identificación de dichas variables.</w:t>
      </w:r>
    </w:p>
    <w:p w14:paraId="3519944E" w14:textId="77777777" w:rsidR="002B0CBC" w:rsidRPr="0023003B" w:rsidRDefault="002B0CBC" w:rsidP="002B0CBC">
      <w:pPr>
        <w:autoSpaceDE w:val="0"/>
        <w:autoSpaceDN w:val="0"/>
        <w:adjustRightInd w:val="0"/>
        <w:jc w:val="both"/>
        <w:rPr>
          <w:rFonts w:ascii="Abadi" w:hAnsi="Abadi" w:cs="*Arial-6127-Identity-H"/>
          <w:color w:val="14131C"/>
          <w:sz w:val="21"/>
          <w:szCs w:val="21"/>
        </w:rPr>
      </w:pPr>
    </w:p>
    <w:p w14:paraId="315B37A0" w14:textId="77777777" w:rsidR="002B0CBC" w:rsidRDefault="002B0CBC" w:rsidP="002B0CBC">
      <w:pPr>
        <w:autoSpaceDE w:val="0"/>
        <w:autoSpaceDN w:val="0"/>
        <w:adjustRightInd w:val="0"/>
        <w:ind w:firstLine="708"/>
        <w:jc w:val="both"/>
        <w:rPr>
          <w:rFonts w:ascii="Abadi" w:hAnsi="Abadi" w:cs="*Arial-6127-Identity-H"/>
          <w:color w:val="14131B"/>
          <w:sz w:val="21"/>
          <w:szCs w:val="21"/>
        </w:rPr>
      </w:pPr>
      <w:r w:rsidRPr="0023003B">
        <w:rPr>
          <w:rFonts w:ascii="Abadi" w:hAnsi="Abadi" w:cs="*Arial-6127-Identity-H"/>
          <w:color w:val="14131B"/>
          <w:sz w:val="21"/>
          <w:szCs w:val="21"/>
        </w:rPr>
        <w:t>Por lo que hace a la entrega de apoyos, se comprobó que, durante el</w:t>
      </w:r>
      <w:r>
        <w:rPr>
          <w:rFonts w:ascii="Abadi" w:hAnsi="Abadi" w:cs="*Arial-6127-Identity-H"/>
          <w:color w:val="14131B"/>
          <w:sz w:val="21"/>
          <w:szCs w:val="21"/>
        </w:rPr>
        <w:t xml:space="preserve"> </w:t>
      </w:r>
      <w:r w:rsidRPr="0023003B">
        <w:rPr>
          <w:rFonts w:ascii="Abadi" w:hAnsi="Abadi" w:cs="*Arial-6127-Identity-H"/>
          <w:color w:val="14131B"/>
          <w:sz w:val="21"/>
          <w:szCs w:val="21"/>
        </w:rPr>
        <w:t>periodo auditado, se previó la entrega de 104,347 valeras, de las cuales se logró</w:t>
      </w:r>
      <w:r>
        <w:rPr>
          <w:rFonts w:ascii="Abadi" w:hAnsi="Abadi" w:cs="*Arial-6127-Identity-H"/>
          <w:color w:val="14131B"/>
          <w:sz w:val="21"/>
          <w:szCs w:val="21"/>
        </w:rPr>
        <w:t xml:space="preserve"> </w:t>
      </w:r>
      <w:r w:rsidRPr="0023003B">
        <w:rPr>
          <w:rFonts w:ascii="Abadi" w:hAnsi="Abadi" w:cs="*Arial-6127-Identity-H"/>
          <w:color w:val="14131B"/>
          <w:sz w:val="21"/>
          <w:szCs w:val="21"/>
        </w:rPr>
        <w:t>la entrega del 99.3% (103,578), con un alcance (presencia) en los 46 municipios</w:t>
      </w:r>
      <w:r>
        <w:rPr>
          <w:rFonts w:ascii="Abadi" w:hAnsi="Abadi" w:cs="*Arial-6127-Identity-H"/>
          <w:color w:val="14131B"/>
          <w:sz w:val="21"/>
          <w:szCs w:val="21"/>
        </w:rPr>
        <w:t xml:space="preserve"> </w:t>
      </w:r>
      <w:r w:rsidRPr="0023003B">
        <w:rPr>
          <w:rFonts w:ascii="Abadi" w:hAnsi="Abadi" w:cs="*Arial-6127-Identity-H"/>
          <w:color w:val="14131B"/>
          <w:sz w:val="21"/>
          <w:szCs w:val="21"/>
        </w:rPr>
        <w:t>del estado. En esta parte se precisa que los apoyos no entregados fueron</w:t>
      </w:r>
      <w:r>
        <w:rPr>
          <w:rFonts w:ascii="Abadi" w:hAnsi="Abadi" w:cs="*Arial-6127-Identity-H"/>
          <w:color w:val="14131B"/>
          <w:sz w:val="21"/>
          <w:szCs w:val="21"/>
        </w:rPr>
        <w:t xml:space="preserve"> </w:t>
      </w:r>
      <w:r w:rsidRPr="0023003B">
        <w:rPr>
          <w:rFonts w:ascii="Abadi" w:hAnsi="Abadi" w:cs="*Arial-6127-Identity-H"/>
          <w:color w:val="14131B"/>
          <w:sz w:val="21"/>
          <w:szCs w:val="21"/>
        </w:rPr>
        <w:t>cancelados debido a que se presentaron incidencias que impidieron la localización</w:t>
      </w:r>
      <w:r>
        <w:rPr>
          <w:rFonts w:ascii="Abadi" w:hAnsi="Abadi" w:cs="*Arial-6127-Identity-H"/>
          <w:color w:val="14131B"/>
          <w:sz w:val="21"/>
          <w:szCs w:val="21"/>
        </w:rPr>
        <w:t xml:space="preserve"> </w:t>
      </w:r>
      <w:r w:rsidRPr="0023003B">
        <w:rPr>
          <w:rFonts w:ascii="Abadi" w:hAnsi="Abadi" w:cs="*Arial-6127-Identity-H"/>
          <w:color w:val="14131B"/>
          <w:sz w:val="21"/>
          <w:szCs w:val="21"/>
        </w:rPr>
        <w:t>de los sujetos, como su fallecimiento, migración, desistimiento del apoyo o, en su</w:t>
      </w:r>
      <w:r>
        <w:rPr>
          <w:rFonts w:ascii="Abadi" w:hAnsi="Abadi" w:cs="*Arial-6127-Identity-H"/>
          <w:color w:val="14131B"/>
          <w:sz w:val="21"/>
          <w:szCs w:val="21"/>
        </w:rPr>
        <w:t xml:space="preserve"> </w:t>
      </w:r>
      <w:r w:rsidRPr="0023003B">
        <w:rPr>
          <w:rFonts w:ascii="Abadi" w:hAnsi="Abadi" w:cs="*Arial-6127-Identity-H"/>
          <w:color w:val="14131B"/>
          <w:sz w:val="21"/>
          <w:szCs w:val="21"/>
        </w:rPr>
        <w:t>caso, porque fueron robadas a los promotores responsables de su entrega.</w:t>
      </w:r>
    </w:p>
    <w:p w14:paraId="1371C3F4" w14:textId="77777777" w:rsidR="002B0CBC" w:rsidRPr="0023003B" w:rsidRDefault="002B0CBC" w:rsidP="002B0CBC">
      <w:pPr>
        <w:autoSpaceDE w:val="0"/>
        <w:autoSpaceDN w:val="0"/>
        <w:adjustRightInd w:val="0"/>
        <w:jc w:val="both"/>
        <w:rPr>
          <w:rFonts w:ascii="Abadi" w:hAnsi="Abadi" w:cs="*Arial-6127-Identity-H"/>
          <w:color w:val="14131B"/>
          <w:sz w:val="21"/>
          <w:szCs w:val="21"/>
        </w:rPr>
      </w:pPr>
    </w:p>
    <w:p w14:paraId="0E771E6B" w14:textId="77777777" w:rsidR="002B0CBC" w:rsidRDefault="002B0CBC" w:rsidP="002B0CBC">
      <w:pPr>
        <w:autoSpaceDE w:val="0"/>
        <w:autoSpaceDN w:val="0"/>
        <w:adjustRightInd w:val="0"/>
        <w:ind w:firstLine="708"/>
        <w:jc w:val="both"/>
        <w:rPr>
          <w:rFonts w:ascii="Abadi" w:hAnsi="Abadi" w:cs="*Arial-6127-Identity-H"/>
          <w:color w:val="14131B"/>
          <w:sz w:val="21"/>
          <w:szCs w:val="21"/>
        </w:rPr>
      </w:pPr>
      <w:r w:rsidRPr="0023003B">
        <w:rPr>
          <w:rFonts w:ascii="Abadi" w:hAnsi="Abadi" w:cs="*Arial-6127-Identity-H"/>
          <w:color w:val="14131B"/>
          <w:sz w:val="21"/>
          <w:szCs w:val="21"/>
        </w:rPr>
        <w:t>En relación a la implementación de mecanismos de control para garantizar</w:t>
      </w:r>
      <w:r>
        <w:rPr>
          <w:rFonts w:ascii="Abadi" w:hAnsi="Abadi" w:cs="*Arial-6127-Identity-H"/>
          <w:color w:val="14131B"/>
          <w:sz w:val="21"/>
          <w:szCs w:val="21"/>
        </w:rPr>
        <w:t xml:space="preserve"> </w:t>
      </w:r>
      <w:r w:rsidRPr="0023003B">
        <w:rPr>
          <w:rFonts w:ascii="Abadi" w:hAnsi="Abadi" w:cs="*Arial-6127-Identity-H"/>
          <w:color w:val="14131B"/>
          <w:sz w:val="21"/>
          <w:szCs w:val="21"/>
        </w:rPr>
        <w:t>la correspondencia de la información entre los expedientes de los beneficiarios y el</w:t>
      </w:r>
      <w:r>
        <w:rPr>
          <w:rFonts w:ascii="Abadi" w:hAnsi="Abadi" w:cs="*Arial-6127-Identity-H"/>
          <w:color w:val="14131B"/>
          <w:sz w:val="21"/>
          <w:szCs w:val="21"/>
        </w:rPr>
        <w:t xml:space="preserve"> </w:t>
      </w:r>
      <w:r w:rsidRPr="0023003B">
        <w:rPr>
          <w:rFonts w:ascii="Abadi" w:hAnsi="Abadi" w:cs="*Arial-6127-Identity-H"/>
          <w:color w:val="14131B"/>
          <w:sz w:val="21"/>
          <w:szCs w:val="21"/>
        </w:rPr>
        <w:t>padrón integrado por la Secretaría de Desarrollo Social y Humano, se constató</w:t>
      </w:r>
      <w:r>
        <w:rPr>
          <w:rFonts w:ascii="Abadi" w:hAnsi="Abadi" w:cs="*Arial-6127-Identity-H"/>
          <w:color w:val="14131B"/>
          <w:sz w:val="21"/>
          <w:szCs w:val="21"/>
        </w:rPr>
        <w:t xml:space="preserve"> </w:t>
      </w:r>
      <w:r w:rsidRPr="0023003B">
        <w:rPr>
          <w:rFonts w:ascii="Abadi" w:hAnsi="Abadi" w:cs="*Arial-6127-Identity-H"/>
          <w:color w:val="14131B"/>
          <w:sz w:val="21"/>
          <w:szCs w:val="21"/>
        </w:rPr>
        <w:t>que, aun cuando el sujeto fiscalizado diseñó un manual específico para la captura</w:t>
      </w:r>
      <w:r>
        <w:rPr>
          <w:rFonts w:ascii="Abadi" w:hAnsi="Abadi" w:cs="*Arial-6127-Identity-H"/>
          <w:color w:val="14131B"/>
          <w:sz w:val="21"/>
          <w:szCs w:val="21"/>
        </w:rPr>
        <w:t xml:space="preserve"> </w:t>
      </w:r>
      <w:r w:rsidRPr="0023003B">
        <w:rPr>
          <w:rFonts w:ascii="Abadi" w:hAnsi="Abadi" w:cs="*Arial-6127-Identity-H"/>
          <w:color w:val="14131B"/>
          <w:sz w:val="21"/>
          <w:szCs w:val="21"/>
        </w:rPr>
        <w:t>y conformación de los expedientes, se identificaron deficiencias en la integración</w:t>
      </w:r>
      <w:r>
        <w:rPr>
          <w:rFonts w:ascii="Abadi" w:hAnsi="Abadi" w:cs="*Arial-6127-Identity-H"/>
          <w:color w:val="14131B"/>
          <w:sz w:val="21"/>
          <w:szCs w:val="21"/>
        </w:rPr>
        <w:t xml:space="preserve"> </w:t>
      </w:r>
      <w:r w:rsidRPr="0023003B">
        <w:rPr>
          <w:rFonts w:ascii="Abadi" w:hAnsi="Abadi" w:cs="*Arial-6127-Identity-H"/>
          <w:color w:val="14131B"/>
          <w:sz w:val="21"/>
          <w:szCs w:val="21"/>
        </w:rPr>
        <w:t>de la información de las fechas de aprobación y entrega de los vales, por lo que se</w:t>
      </w:r>
      <w:r>
        <w:rPr>
          <w:rFonts w:ascii="Abadi" w:hAnsi="Abadi" w:cs="*Arial-6127-Identity-H"/>
          <w:color w:val="14131B"/>
          <w:sz w:val="21"/>
          <w:szCs w:val="21"/>
        </w:rPr>
        <w:t xml:space="preserve"> </w:t>
      </w:r>
      <w:r w:rsidRPr="0023003B">
        <w:rPr>
          <w:rFonts w:ascii="Abadi" w:hAnsi="Abadi" w:cs="*Arial-6127-Identity-H"/>
          <w:color w:val="14131B"/>
          <w:sz w:val="21"/>
          <w:szCs w:val="21"/>
        </w:rPr>
        <w:t>considera que la información generada por el sujeto fiscalizado careció de los</w:t>
      </w:r>
      <w:r>
        <w:rPr>
          <w:rFonts w:ascii="Abadi" w:hAnsi="Abadi" w:cs="*Arial-6127-Identity-H"/>
          <w:color w:val="14131B"/>
          <w:sz w:val="21"/>
          <w:szCs w:val="21"/>
        </w:rPr>
        <w:t xml:space="preserve"> </w:t>
      </w:r>
      <w:r w:rsidRPr="0023003B">
        <w:rPr>
          <w:rFonts w:ascii="Abadi" w:hAnsi="Abadi" w:cs="*Arial-6127-Identity-H"/>
          <w:color w:val="14131B"/>
          <w:sz w:val="21"/>
          <w:szCs w:val="21"/>
        </w:rPr>
        <w:t>controles para garantizar la calidad de los datos.</w:t>
      </w:r>
    </w:p>
    <w:p w14:paraId="0AD699E2" w14:textId="77777777" w:rsidR="002B0CBC" w:rsidRPr="0023003B" w:rsidRDefault="002B0CBC" w:rsidP="002B0CBC">
      <w:pPr>
        <w:autoSpaceDE w:val="0"/>
        <w:autoSpaceDN w:val="0"/>
        <w:adjustRightInd w:val="0"/>
        <w:jc w:val="both"/>
        <w:rPr>
          <w:rFonts w:ascii="Abadi" w:hAnsi="Abadi" w:cs="*Arial-6127-Identity-H"/>
          <w:color w:val="14131B"/>
          <w:sz w:val="21"/>
          <w:szCs w:val="21"/>
        </w:rPr>
      </w:pPr>
    </w:p>
    <w:p w14:paraId="7E87FC1B" w14:textId="31681420" w:rsidR="002B0CBC" w:rsidRDefault="002B0CBC" w:rsidP="002B0CBC">
      <w:pPr>
        <w:autoSpaceDE w:val="0"/>
        <w:autoSpaceDN w:val="0"/>
        <w:adjustRightInd w:val="0"/>
        <w:ind w:firstLine="708"/>
        <w:jc w:val="both"/>
        <w:rPr>
          <w:rFonts w:ascii="Abadi" w:hAnsi="Abadi" w:cs="*Arial-6127-Identity-H"/>
          <w:color w:val="15141B"/>
          <w:sz w:val="21"/>
          <w:szCs w:val="21"/>
        </w:rPr>
      </w:pPr>
      <w:r w:rsidRPr="0023003B">
        <w:rPr>
          <w:rFonts w:ascii="Abadi" w:hAnsi="Abadi" w:cs="*Arial-6127-Identity-H"/>
          <w:color w:val="15141B"/>
          <w:sz w:val="21"/>
          <w:szCs w:val="21"/>
        </w:rPr>
        <w:t>En el caso de la estrategia para la integración del padrón de comercios</w:t>
      </w:r>
      <w:r>
        <w:rPr>
          <w:rFonts w:ascii="Abadi" w:hAnsi="Abadi" w:cs="*Arial-6127-Identity-H"/>
          <w:color w:val="15141B"/>
          <w:sz w:val="21"/>
          <w:szCs w:val="21"/>
        </w:rPr>
        <w:t xml:space="preserve"> </w:t>
      </w:r>
      <w:r w:rsidRPr="0023003B">
        <w:rPr>
          <w:rFonts w:ascii="Abadi" w:hAnsi="Abadi" w:cs="*Arial-6127-Identity-H"/>
          <w:color w:val="15141B"/>
          <w:sz w:val="21"/>
          <w:szCs w:val="21"/>
        </w:rPr>
        <w:t>locales y farmacias ISSEG, habilitados para realizar el canje de productos</w:t>
      </w:r>
      <w:r>
        <w:rPr>
          <w:rFonts w:ascii="Abadi" w:hAnsi="Abadi" w:cs="*Arial-6127-Identity-H"/>
          <w:color w:val="15141B"/>
          <w:sz w:val="21"/>
          <w:szCs w:val="21"/>
        </w:rPr>
        <w:t xml:space="preserve"> </w:t>
      </w:r>
      <w:r w:rsidRPr="0023003B">
        <w:rPr>
          <w:rFonts w:ascii="Abadi" w:hAnsi="Abadi" w:cs="*Arial-6127-Identity-H"/>
          <w:color w:val="15141B"/>
          <w:sz w:val="21"/>
          <w:szCs w:val="21"/>
        </w:rPr>
        <w:t>alimenticios, se constató que esta no fue documentada, ni regulada por algún</w:t>
      </w:r>
      <w:r>
        <w:rPr>
          <w:rFonts w:ascii="Abadi" w:hAnsi="Abadi" w:cs="*Arial-6127-Identity-H"/>
          <w:color w:val="15141B"/>
          <w:sz w:val="21"/>
          <w:szCs w:val="21"/>
        </w:rPr>
        <w:t xml:space="preserve"> </w:t>
      </w:r>
      <w:r w:rsidRPr="0023003B">
        <w:rPr>
          <w:rFonts w:ascii="Abadi" w:hAnsi="Abadi" w:cs="*Arial-6127-Identity-H"/>
          <w:color w:val="15141B"/>
          <w:sz w:val="21"/>
          <w:szCs w:val="21"/>
        </w:rPr>
        <w:t>documento normativo; sin embargo, se promovió la inclusión de más de 1,100</w:t>
      </w:r>
      <w:r>
        <w:rPr>
          <w:rFonts w:ascii="Abadi" w:hAnsi="Abadi" w:cs="*Arial-6127-Identity-H"/>
          <w:color w:val="15141B"/>
          <w:sz w:val="21"/>
          <w:szCs w:val="21"/>
        </w:rPr>
        <w:t xml:space="preserve"> </w:t>
      </w:r>
      <w:r w:rsidRPr="0023003B">
        <w:rPr>
          <w:rFonts w:ascii="Abadi" w:hAnsi="Abadi" w:cs="*Arial-6127-Identity-H"/>
          <w:color w:val="15141B"/>
          <w:sz w:val="21"/>
          <w:szCs w:val="21"/>
        </w:rPr>
        <w:t>comercios locales, de los cuales por lo menos uno se encontró en cada Municipio</w:t>
      </w:r>
      <w:r>
        <w:rPr>
          <w:rFonts w:ascii="Abadi" w:hAnsi="Abadi" w:cs="*Arial-6127-Identity-H"/>
          <w:color w:val="15141B"/>
          <w:sz w:val="21"/>
          <w:szCs w:val="21"/>
        </w:rPr>
        <w:t xml:space="preserve"> </w:t>
      </w:r>
      <w:r w:rsidRPr="0023003B">
        <w:rPr>
          <w:rFonts w:ascii="Abadi" w:hAnsi="Abadi" w:cs="*Arial-6127-Identity-H"/>
          <w:color w:val="15141B"/>
          <w:sz w:val="21"/>
          <w:szCs w:val="21"/>
        </w:rPr>
        <w:t>del Estado. Se constató que el mayor número de comercios correspondió al giro</w:t>
      </w:r>
      <w:r>
        <w:rPr>
          <w:rFonts w:ascii="Abadi" w:hAnsi="Abadi" w:cs="*Arial-6127-Identity-H"/>
          <w:color w:val="15141B"/>
          <w:sz w:val="21"/>
          <w:szCs w:val="21"/>
        </w:rPr>
        <w:t xml:space="preserve"> </w:t>
      </w:r>
      <w:r w:rsidRPr="0023003B">
        <w:rPr>
          <w:rFonts w:ascii="Abadi" w:hAnsi="Abadi" w:cs="*Arial-6127-Identity-H"/>
          <w:color w:val="15141B"/>
          <w:sz w:val="21"/>
          <w:szCs w:val="21"/>
        </w:rPr>
        <w:t>de abarrotes con el 65.1 % (768), seguido</w:t>
      </w:r>
      <w:r w:rsidRPr="0023003B">
        <w:rPr>
          <w:rFonts w:ascii="Abadi" w:hAnsi="Abadi" w:cs="*Arial-6127-Identity-H"/>
          <w:color w:val="B5B5B1"/>
          <w:sz w:val="21"/>
          <w:szCs w:val="21"/>
        </w:rPr>
        <w:t>-</w:t>
      </w:r>
      <w:r w:rsidRPr="0023003B">
        <w:rPr>
          <w:rFonts w:ascii="Abadi" w:hAnsi="Abadi" w:cs="*Arial-6127-Identity-H"/>
          <w:color w:val="15141B"/>
          <w:sz w:val="21"/>
          <w:szCs w:val="21"/>
        </w:rPr>
        <w:t>del 16.5% (195) relativo a las farmacias</w:t>
      </w:r>
      <w:r>
        <w:rPr>
          <w:rFonts w:ascii="Abadi" w:hAnsi="Abadi" w:cs="*Arial-6127-Identity-H"/>
          <w:color w:val="15141B"/>
          <w:sz w:val="21"/>
          <w:szCs w:val="21"/>
        </w:rPr>
        <w:t xml:space="preserve"> </w:t>
      </w:r>
      <w:r w:rsidRPr="0023003B">
        <w:rPr>
          <w:rFonts w:ascii="Abadi" w:hAnsi="Abadi" w:cs="*Arial-6127-Identity-H"/>
          <w:color w:val="15141B"/>
          <w:sz w:val="21"/>
          <w:szCs w:val="21"/>
        </w:rPr>
        <w:t>ISSEG y el 18.4% (217) correspondió a carnicerías, fruterías, tortillerías, entre</w:t>
      </w:r>
      <w:r>
        <w:rPr>
          <w:rFonts w:ascii="Abadi" w:hAnsi="Abadi" w:cs="*Arial-6127-Identity-H"/>
          <w:color w:val="15141B"/>
          <w:sz w:val="21"/>
          <w:szCs w:val="21"/>
        </w:rPr>
        <w:t xml:space="preserve"> </w:t>
      </w:r>
      <w:r w:rsidRPr="0023003B">
        <w:rPr>
          <w:rFonts w:ascii="Abadi" w:hAnsi="Abadi" w:cs="*Arial-6127-Identity-H"/>
          <w:color w:val="15141B"/>
          <w:sz w:val="21"/>
          <w:szCs w:val="21"/>
        </w:rPr>
        <w:t>otros.</w:t>
      </w:r>
    </w:p>
    <w:p w14:paraId="41DF886D" w14:textId="77777777" w:rsidR="002B0CBC" w:rsidRDefault="002B0CBC" w:rsidP="002B0CBC">
      <w:pPr>
        <w:autoSpaceDE w:val="0"/>
        <w:autoSpaceDN w:val="0"/>
        <w:adjustRightInd w:val="0"/>
        <w:jc w:val="both"/>
        <w:rPr>
          <w:rFonts w:ascii="Abadi" w:hAnsi="Abadi" w:cs="*Arial-6127-Identity-H"/>
          <w:color w:val="15141B"/>
          <w:sz w:val="21"/>
          <w:szCs w:val="21"/>
        </w:rPr>
      </w:pPr>
    </w:p>
    <w:p w14:paraId="7D0BCB5F" w14:textId="33E9D1E1" w:rsidR="002B0CBC" w:rsidRDefault="002B0CBC" w:rsidP="002B0CBC">
      <w:pPr>
        <w:autoSpaceDE w:val="0"/>
        <w:autoSpaceDN w:val="0"/>
        <w:adjustRightInd w:val="0"/>
        <w:ind w:firstLine="708"/>
        <w:jc w:val="both"/>
        <w:rPr>
          <w:rFonts w:ascii="Abadi" w:hAnsi="Abadi" w:cs="*Arial-5810-Identity-H"/>
          <w:color w:val="14131C"/>
          <w:sz w:val="21"/>
          <w:szCs w:val="21"/>
        </w:rPr>
      </w:pPr>
      <w:r w:rsidRPr="0023003B">
        <w:rPr>
          <w:rFonts w:ascii="Abadi" w:hAnsi="Abadi" w:cs="*Arial-5810-Identity-H"/>
          <w:color w:val="14131C"/>
          <w:sz w:val="21"/>
          <w:szCs w:val="21"/>
        </w:rPr>
        <w:t>Respecto al canje de los vales entregados, se verificó q</w:t>
      </w:r>
      <w:r>
        <w:rPr>
          <w:rFonts w:ascii="Abadi" w:hAnsi="Abadi" w:cs="*Arial-5810-Identity-H"/>
          <w:color w:val="14131C"/>
          <w:sz w:val="21"/>
          <w:szCs w:val="21"/>
        </w:rPr>
        <w:t>ue</w:t>
      </w:r>
      <w:r w:rsidRPr="0023003B">
        <w:rPr>
          <w:rFonts w:ascii="Abadi" w:hAnsi="Abadi" w:cs="*Arial-5810-Identity-H"/>
          <w:color w:val="14131C"/>
          <w:sz w:val="21"/>
          <w:szCs w:val="21"/>
        </w:rPr>
        <w:t xml:space="preserve"> fueron</w:t>
      </w:r>
      <w:r>
        <w:rPr>
          <w:rFonts w:ascii="Abadi" w:hAnsi="Abadi" w:cs="*Arial-5810-Identity-H"/>
          <w:color w:val="14131C"/>
          <w:sz w:val="21"/>
          <w:szCs w:val="21"/>
        </w:rPr>
        <w:t xml:space="preserve"> </w:t>
      </w:r>
      <w:r w:rsidRPr="0023003B">
        <w:rPr>
          <w:rFonts w:ascii="Abadi" w:hAnsi="Abadi" w:cs="*Arial-5810-Identity-H"/>
          <w:color w:val="14131C"/>
          <w:sz w:val="21"/>
          <w:szCs w:val="21"/>
        </w:rPr>
        <w:t>cambiados un total de 2'071,560 vales, con lo que se comprobó una efectividad de</w:t>
      </w:r>
      <w:r>
        <w:rPr>
          <w:rFonts w:ascii="Abadi" w:hAnsi="Abadi" w:cs="*Arial-5810-Identity-H"/>
          <w:color w:val="14131C"/>
          <w:sz w:val="21"/>
          <w:szCs w:val="21"/>
        </w:rPr>
        <w:t xml:space="preserve"> </w:t>
      </w:r>
      <w:r w:rsidRPr="0023003B">
        <w:rPr>
          <w:rFonts w:ascii="Abadi" w:hAnsi="Abadi" w:cs="*Arial-5810-Identity-H"/>
          <w:color w:val="14131C"/>
          <w:sz w:val="21"/>
          <w:szCs w:val="21"/>
        </w:rPr>
        <w:t>canje cercana al 99.3% en relación con el total dispersado, siendo el giro de</w:t>
      </w:r>
      <w:r>
        <w:rPr>
          <w:rFonts w:ascii="Abadi" w:hAnsi="Abadi" w:cs="*Arial-5810-Identity-H"/>
          <w:color w:val="14131C"/>
          <w:sz w:val="21"/>
          <w:szCs w:val="21"/>
        </w:rPr>
        <w:t xml:space="preserve"> </w:t>
      </w:r>
      <w:r w:rsidRPr="0023003B">
        <w:rPr>
          <w:rFonts w:ascii="Abadi" w:hAnsi="Abadi" w:cs="*Arial-Italic-5811-Identity-H"/>
          <w:i/>
          <w:iCs/>
          <w:color w:val="14131C"/>
          <w:sz w:val="21"/>
          <w:szCs w:val="21"/>
        </w:rPr>
        <w:t>«Abarrotes, super</w:t>
      </w:r>
      <w:r>
        <w:rPr>
          <w:rFonts w:ascii="Abadi" w:hAnsi="Abadi" w:cs="*Arial-Italic-5811-Identity-H"/>
          <w:i/>
          <w:iCs/>
          <w:color w:val="14131C"/>
          <w:sz w:val="21"/>
          <w:szCs w:val="21"/>
        </w:rPr>
        <w:t xml:space="preserve"> </w:t>
      </w:r>
      <w:r w:rsidRPr="0023003B">
        <w:rPr>
          <w:rFonts w:ascii="Abadi" w:hAnsi="Abadi" w:cs="*Arial-Italic-5811-Identity-H"/>
          <w:i/>
          <w:iCs/>
          <w:color w:val="14131C"/>
          <w:sz w:val="21"/>
          <w:szCs w:val="21"/>
        </w:rPr>
        <w:t>mini</w:t>
      </w:r>
      <w:r>
        <w:rPr>
          <w:rFonts w:ascii="Abadi" w:hAnsi="Abadi" w:cs="*Arial-Italic-5811-Identity-H"/>
          <w:i/>
          <w:iCs/>
          <w:color w:val="14131C"/>
          <w:sz w:val="21"/>
          <w:szCs w:val="21"/>
        </w:rPr>
        <w:t xml:space="preserve"> </w:t>
      </w:r>
      <w:r w:rsidRPr="0023003B">
        <w:rPr>
          <w:rFonts w:ascii="Abadi" w:hAnsi="Abadi" w:cs="*Arial-Italic-5811-Identity-H"/>
          <w:i/>
          <w:iCs/>
          <w:color w:val="14131C"/>
          <w:sz w:val="21"/>
          <w:szCs w:val="21"/>
        </w:rPr>
        <w:t xml:space="preserve">super» </w:t>
      </w:r>
      <w:r w:rsidRPr="0023003B">
        <w:rPr>
          <w:rFonts w:ascii="Abadi" w:hAnsi="Abadi" w:cs="*Arial-5810-Identity-H"/>
          <w:color w:val="14131C"/>
          <w:sz w:val="21"/>
          <w:szCs w:val="21"/>
        </w:rPr>
        <w:t>aquel en el que se realizó una mayor frecuencia de</w:t>
      </w:r>
      <w:r>
        <w:rPr>
          <w:rFonts w:ascii="Abadi" w:hAnsi="Abadi" w:cs="*Arial-5810-Identity-H"/>
          <w:color w:val="14131C"/>
          <w:sz w:val="21"/>
          <w:szCs w:val="21"/>
        </w:rPr>
        <w:t xml:space="preserve"> </w:t>
      </w:r>
      <w:r w:rsidRPr="0023003B">
        <w:rPr>
          <w:rFonts w:ascii="Abadi" w:hAnsi="Abadi" w:cs="*Arial-5810-Identity-H"/>
          <w:color w:val="14131C"/>
          <w:sz w:val="21"/>
          <w:szCs w:val="21"/>
        </w:rPr>
        <w:t>canje, equivalente a un 76.4% (1'550,744) de los vales entregados. De igual</w:t>
      </w:r>
      <w:r>
        <w:rPr>
          <w:rFonts w:ascii="Abadi" w:hAnsi="Abadi" w:cs="*Arial-5810-Identity-H"/>
          <w:color w:val="14131C"/>
          <w:sz w:val="21"/>
          <w:szCs w:val="21"/>
        </w:rPr>
        <w:t xml:space="preserve"> </w:t>
      </w:r>
      <w:r w:rsidRPr="0023003B">
        <w:rPr>
          <w:rFonts w:ascii="Abadi" w:hAnsi="Abadi" w:cs="*Arial-5810-Identity-H"/>
          <w:color w:val="14131C"/>
          <w:sz w:val="21"/>
          <w:szCs w:val="21"/>
        </w:rPr>
        <w:t>forma, con base en los resultados de la encuesta de percepción realizada por l</w:t>
      </w:r>
      <w:r>
        <w:rPr>
          <w:rFonts w:ascii="Abadi" w:hAnsi="Abadi" w:cs="*Arial-5810-Identity-H"/>
          <w:color w:val="14131C"/>
          <w:sz w:val="21"/>
          <w:szCs w:val="21"/>
        </w:rPr>
        <w:t xml:space="preserve">a </w:t>
      </w:r>
      <w:r w:rsidRPr="0023003B">
        <w:rPr>
          <w:rFonts w:ascii="Abadi" w:hAnsi="Abadi" w:cs="*Arial-5810-Identity-H"/>
          <w:color w:val="14131C"/>
          <w:sz w:val="21"/>
          <w:szCs w:val="21"/>
        </w:rPr>
        <w:t>Auditoría Superior del Estado a los beneficiarios del programa auditado, se</w:t>
      </w:r>
      <w:r>
        <w:rPr>
          <w:rFonts w:ascii="Abadi" w:hAnsi="Abadi" w:cs="*Arial-5810-Identity-H"/>
          <w:color w:val="14131C"/>
          <w:sz w:val="21"/>
          <w:szCs w:val="21"/>
        </w:rPr>
        <w:t xml:space="preserve"> </w:t>
      </w:r>
      <w:r w:rsidRPr="0023003B">
        <w:rPr>
          <w:rFonts w:ascii="Abadi" w:hAnsi="Abadi" w:cs="*Arial-5810-Identity-H"/>
          <w:color w:val="14131C"/>
          <w:sz w:val="21"/>
          <w:szCs w:val="21"/>
        </w:rPr>
        <w:t>identificó que los productos que fueron mayormente adquiridos correspondieron al</w:t>
      </w:r>
      <w:r>
        <w:rPr>
          <w:rFonts w:ascii="Abadi" w:hAnsi="Abadi" w:cs="*Arial-5810-Identity-H"/>
          <w:color w:val="14131C"/>
          <w:sz w:val="21"/>
          <w:szCs w:val="21"/>
        </w:rPr>
        <w:t xml:space="preserve"> </w:t>
      </w:r>
      <w:r w:rsidRPr="0023003B">
        <w:rPr>
          <w:rFonts w:ascii="Abadi" w:hAnsi="Abadi" w:cs="*Arial-5810-Identity-H"/>
          <w:color w:val="14131C"/>
          <w:sz w:val="21"/>
          <w:szCs w:val="21"/>
        </w:rPr>
        <w:t>grupo de alimentos, seguido de los productos de higiene personal, limpieza,</w:t>
      </w:r>
      <w:r>
        <w:rPr>
          <w:rFonts w:ascii="Abadi" w:hAnsi="Abadi" w:cs="*Arial-5810-Identity-H"/>
          <w:color w:val="14131C"/>
          <w:sz w:val="21"/>
          <w:szCs w:val="21"/>
        </w:rPr>
        <w:t xml:space="preserve"> </w:t>
      </w:r>
      <w:r w:rsidRPr="0023003B">
        <w:rPr>
          <w:rFonts w:ascii="Abadi" w:hAnsi="Abadi" w:cs="*Arial-5810-Identity-H"/>
          <w:color w:val="14131C"/>
          <w:sz w:val="21"/>
          <w:szCs w:val="21"/>
        </w:rPr>
        <w:t>medicamentos y productos para bebé.</w:t>
      </w:r>
    </w:p>
    <w:p w14:paraId="4885F19A" w14:textId="77777777" w:rsidR="002B0CBC" w:rsidRPr="0023003B" w:rsidRDefault="002B0CBC" w:rsidP="002B0CBC">
      <w:pPr>
        <w:autoSpaceDE w:val="0"/>
        <w:autoSpaceDN w:val="0"/>
        <w:adjustRightInd w:val="0"/>
        <w:jc w:val="both"/>
        <w:rPr>
          <w:rFonts w:ascii="Abadi" w:hAnsi="Abadi" w:cs="*Arial-5810-Identity-H"/>
          <w:color w:val="14131C"/>
          <w:sz w:val="21"/>
          <w:szCs w:val="21"/>
        </w:rPr>
      </w:pPr>
    </w:p>
    <w:p w14:paraId="55926A26" w14:textId="77777777" w:rsidR="002B0CBC" w:rsidRDefault="002B0CBC" w:rsidP="002B0CBC">
      <w:pPr>
        <w:autoSpaceDE w:val="0"/>
        <w:autoSpaceDN w:val="0"/>
        <w:adjustRightInd w:val="0"/>
        <w:ind w:firstLine="708"/>
        <w:jc w:val="both"/>
        <w:rPr>
          <w:rFonts w:ascii="Abadi" w:hAnsi="Abadi" w:cs="*Arial-5810-Identity-H"/>
          <w:color w:val="14141C"/>
          <w:sz w:val="21"/>
          <w:szCs w:val="21"/>
        </w:rPr>
      </w:pPr>
      <w:r w:rsidRPr="0023003B">
        <w:rPr>
          <w:rFonts w:ascii="Abadi" w:hAnsi="Abadi" w:cs="*Arial-5810-Identity-H"/>
          <w:color w:val="14141C"/>
          <w:sz w:val="21"/>
          <w:szCs w:val="21"/>
        </w:rPr>
        <w:t>En cuanto a la evaluación de la oportunidad (rapidez en la entrega de los</w:t>
      </w:r>
      <w:r>
        <w:rPr>
          <w:rFonts w:ascii="Abadi" w:hAnsi="Abadi" w:cs="*Arial-5810-Identity-H"/>
          <w:color w:val="14141C"/>
          <w:sz w:val="21"/>
          <w:szCs w:val="21"/>
        </w:rPr>
        <w:t xml:space="preserve"> </w:t>
      </w:r>
      <w:r w:rsidRPr="0023003B">
        <w:rPr>
          <w:rFonts w:ascii="Abadi" w:hAnsi="Abadi" w:cs="*Arial-5810-Identity-H"/>
          <w:color w:val="14141C"/>
          <w:sz w:val="21"/>
          <w:szCs w:val="21"/>
        </w:rPr>
        <w:t>apoyos), se constató que no se definieron indicadores ni estándares de tiempo</w:t>
      </w:r>
      <w:r>
        <w:rPr>
          <w:rFonts w:ascii="Abadi" w:hAnsi="Abadi" w:cs="*Arial-5810-Identity-H"/>
          <w:color w:val="14141C"/>
          <w:sz w:val="21"/>
          <w:szCs w:val="21"/>
        </w:rPr>
        <w:t xml:space="preserve"> </w:t>
      </w:r>
      <w:r w:rsidRPr="0023003B">
        <w:rPr>
          <w:rFonts w:ascii="Abadi" w:hAnsi="Abadi" w:cs="*Arial-5810-Identity-H"/>
          <w:color w:val="14141C"/>
          <w:sz w:val="21"/>
          <w:szCs w:val="21"/>
        </w:rPr>
        <w:t>para valorar la entrega de los vales a los beneficiarios. De igual forma, los cálculos</w:t>
      </w:r>
      <w:r>
        <w:rPr>
          <w:rFonts w:ascii="Abadi" w:hAnsi="Abadi" w:cs="*Arial-5810-Identity-H"/>
          <w:color w:val="14141C"/>
          <w:sz w:val="21"/>
          <w:szCs w:val="21"/>
        </w:rPr>
        <w:t xml:space="preserve"> </w:t>
      </w:r>
      <w:r w:rsidRPr="0023003B">
        <w:rPr>
          <w:rFonts w:ascii="Abadi" w:hAnsi="Abadi" w:cs="*Arial-5810-Identity-H"/>
          <w:color w:val="14141C"/>
          <w:sz w:val="21"/>
          <w:szCs w:val="21"/>
        </w:rPr>
        <w:t>realizados por el órgano técnico determinaron que estos no fueron entregados en</w:t>
      </w:r>
      <w:r>
        <w:rPr>
          <w:rFonts w:ascii="Abadi" w:hAnsi="Abadi" w:cs="*Arial-5810-Identity-H"/>
          <w:color w:val="14141C"/>
          <w:sz w:val="21"/>
          <w:szCs w:val="21"/>
        </w:rPr>
        <w:t xml:space="preserve"> </w:t>
      </w:r>
      <w:r w:rsidRPr="0023003B">
        <w:rPr>
          <w:rFonts w:ascii="Abadi" w:hAnsi="Abadi" w:cs="*Arial-5810-Identity-H"/>
          <w:color w:val="14141C"/>
          <w:sz w:val="21"/>
          <w:szCs w:val="21"/>
        </w:rPr>
        <w:t>un plazo razonable, ya que para 2020 el 91 % de los apoyos se entregaron en un</w:t>
      </w:r>
      <w:r>
        <w:rPr>
          <w:rFonts w:ascii="Abadi" w:hAnsi="Abadi" w:cs="*Arial-5810-Identity-H"/>
          <w:color w:val="14141C"/>
          <w:sz w:val="21"/>
          <w:szCs w:val="21"/>
        </w:rPr>
        <w:t xml:space="preserve"> </w:t>
      </w:r>
      <w:r w:rsidRPr="0023003B">
        <w:rPr>
          <w:rFonts w:ascii="Abadi" w:hAnsi="Abadi" w:cs="*Arial-5810-Identity-H"/>
          <w:color w:val="14141C"/>
          <w:sz w:val="21"/>
          <w:szCs w:val="21"/>
        </w:rPr>
        <w:t>plazo superior a los 2 meses (hasta 6 como plazo máximo), según el promedio de</w:t>
      </w:r>
      <w:r>
        <w:rPr>
          <w:rFonts w:ascii="Abadi" w:hAnsi="Abadi" w:cs="*Arial-5810-Identity-H"/>
          <w:color w:val="14141C"/>
          <w:sz w:val="21"/>
          <w:szCs w:val="21"/>
        </w:rPr>
        <w:t xml:space="preserve"> </w:t>
      </w:r>
      <w:r w:rsidRPr="0023003B">
        <w:rPr>
          <w:rFonts w:ascii="Abadi" w:hAnsi="Abadi" w:cs="*Arial-5810-Identity-H"/>
          <w:color w:val="14141C"/>
          <w:sz w:val="21"/>
          <w:szCs w:val="21"/>
        </w:rPr>
        <w:t>días transcurridos desde el momento de llevar a cabo la solicitud y hasta el</w:t>
      </w:r>
      <w:r>
        <w:rPr>
          <w:rFonts w:ascii="Abadi" w:hAnsi="Abadi" w:cs="*Arial-5810-Identity-H"/>
          <w:color w:val="14141C"/>
          <w:sz w:val="21"/>
          <w:szCs w:val="21"/>
        </w:rPr>
        <w:t xml:space="preserve"> </w:t>
      </w:r>
      <w:r w:rsidRPr="0023003B">
        <w:rPr>
          <w:rFonts w:ascii="Abadi" w:hAnsi="Abadi" w:cs="*Arial-5810-Identity-H"/>
          <w:color w:val="14141C"/>
          <w:sz w:val="21"/>
          <w:szCs w:val="21"/>
        </w:rPr>
        <w:t>momento en que se entregaron los apoyos.</w:t>
      </w:r>
    </w:p>
    <w:p w14:paraId="6CFF1F66" w14:textId="77777777" w:rsidR="002B0CBC" w:rsidRPr="0023003B" w:rsidRDefault="002B0CBC" w:rsidP="002B0CBC">
      <w:pPr>
        <w:autoSpaceDE w:val="0"/>
        <w:autoSpaceDN w:val="0"/>
        <w:adjustRightInd w:val="0"/>
        <w:jc w:val="both"/>
        <w:rPr>
          <w:rFonts w:ascii="Abadi" w:hAnsi="Abadi" w:cs="*Arial-5810-Identity-H"/>
          <w:color w:val="14141C"/>
          <w:sz w:val="21"/>
          <w:szCs w:val="21"/>
        </w:rPr>
      </w:pPr>
    </w:p>
    <w:p w14:paraId="126485F7" w14:textId="77777777" w:rsidR="002B0CBC" w:rsidRDefault="002B0CBC" w:rsidP="002B0CBC">
      <w:pPr>
        <w:autoSpaceDE w:val="0"/>
        <w:autoSpaceDN w:val="0"/>
        <w:adjustRightInd w:val="0"/>
        <w:ind w:firstLine="708"/>
        <w:jc w:val="both"/>
        <w:rPr>
          <w:rFonts w:ascii="Abadi" w:hAnsi="Abadi" w:cs="*Arial-5810-Identity-H"/>
          <w:color w:val="14131B"/>
          <w:sz w:val="21"/>
          <w:szCs w:val="21"/>
        </w:rPr>
      </w:pPr>
      <w:r w:rsidRPr="0023003B">
        <w:rPr>
          <w:rFonts w:ascii="Abadi" w:hAnsi="Abadi" w:cs="*Arial-5810-Identity-H"/>
          <w:color w:val="14131B"/>
          <w:sz w:val="21"/>
          <w:szCs w:val="21"/>
        </w:rPr>
        <w:t>Como resultado del canje de los vales en los 1, 180 comercios autorizados,</w:t>
      </w:r>
      <w:r>
        <w:rPr>
          <w:rFonts w:ascii="Abadi" w:hAnsi="Abadi" w:cs="*Arial-5810-Identity-H"/>
          <w:color w:val="14131B"/>
          <w:sz w:val="21"/>
          <w:szCs w:val="21"/>
        </w:rPr>
        <w:t xml:space="preserve"> </w:t>
      </w:r>
      <w:r w:rsidRPr="0023003B">
        <w:rPr>
          <w:rFonts w:ascii="Abadi" w:hAnsi="Abadi" w:cs="*Arial-5810-Identity-H"/>
          <w:color w:val="14131B"/>
          <w:sz w:val="21"/>
          <w:szCs w:val="21"/>
        </w:rPr>
        <w:t>se comprobó que el monto total por los vales canjeados ascendió a</w:t>
      </w:r>
      <w:r>
        <w:rPr>
          <w:rFonts w:ascii="Abadi" w:hAnsi="Abadi" w:cs="*Arial-5810-Identity-H"/>
          <w:color w:val="14131B"/>
          <w:sz w:val="21"/>
          <w:szCs w:val="21"/>
        </w:rPr>
        <w:t xml:space="preserve"> </w:t>
      </w:r>
      <w:r w:rsidRPr="0023003B">
        <w:rPr>
          <w:rFonts w:ascii="Abadi" w:hAnsi="Abadi" w:cs="*Arial-5810-Identity-H"/>
          <w:color w:val="14131B"/>
          <w:sz w:val="21"/>
          <w:szCs w:val="21"/>
        </w:rPr>
        <w:t>$102'822,000.00, de los cuales el 81.9% ($84'160,450.00) fue entregado a</w:t>
      </w:r>
      <w:r>
        <w:rPr>
          <w:rFonts w:ascii="Abadi" w:hAnsi="Abadi" w:cs="*Arial-5810-Identity-H"/>
          <w:color w:val="14131B"/>
          <w:sz w:val="21"/>
          <w:szCs w:val="21"/>
        </w:rPr>
        <w:t xml:space="preserve"> </w:t>
      </w:r>
      <w:r w:rsidRPr="0023003B">
        <w:rPr>
          <w:rFonts w:ascii="Abadi" w:hAnsi="Abadi" w:cs="*Arial-5810-Identity-H"/>
          <w:color w:val="14131B"/>
          <w:sz w:val="21"/>
          <w:szCs w:val="21"/>
        </w:rPr>
        <w:t>comercios locales y el 18.1 % ($18'661,550.00) fue dirigido a las farmacias ISSEG.</w:t>
      </w:r>
      <w:r>
        <w:rPr>
          <w:rFonts w:ascii="Abadi" w:hAnsi="Abadi" w:cs="*Arial-5810-Identity-H"/>
          <w:color w:val="14131B"/>
          <w:sz w:val="21"/>
          <w:szCs w:val="21"/>
        </w:rPr>
        <w:t xml:space="preserve"> </w:t>
      </w:r>
    </w:p>
    <w:p w14:paraId="35741C96" w14:textId="77777777" w:rsidR="002B0CBC" w:rsidRDefault="002B0CBC" w:rsidP="002B0CBC">
      <w:pPr>
        <w:autoSpaceDE w:val="0"/>
        <w:autoSpaceDN w:val="0"/>
        <w:adjustRightInd w:val="0"/>
        <w:jc w:val="both"/>
        <w:rPr>
          <w:rFonts w:ascii="Abadi" w:hAnsi="Abadi" w:cs="*Arial-5810-Identity-H"/>
          <w:color w:val="14131B"/>
          <w:sz w:val="21"/>
          <w:szCs w:val="21"/>
        </w:rPr>
      </w:pPr>
    </w:p>
    <w:p w14:paraId="427987C0" w14:textId="64B93623" w:rsidR="002B0CBC" w:rsidRPr="0023003B" w:rsidRDefault="002B0CBC" w:rsidP="002B0CBC">
      <w:pPr>
        <w:autoSpaceDE w:val="0"/>
        <w:autoSpaceDN w:val="0"/>
        <w:adjustRightInd w:val="0"/>
        <w:ind w:firstLine="708"/>
        <w:jc w:val="both"/>
        <w:rPr>
          <w:rFonts w:ascii="Abadi" w:hAnsi="Abadi" w:cs="*Arial-5810-Identity-H"/>
          <w:color w:val="14131B"/>
          <w:sz w:val="21"/>
          <w:szCs w:val="21"/>
        </w:rPr>
      </w:pPr>
      <w:r w:rsidRPr="0023003B">
        <w:rPr>
          <w:rFonts w:ascii="Abadi" w:hAnsi="Abadi" w:cs="*Arial-5810-Identity-H"/>
          <w:color w:val="14131B"/>
          <w:sz w:val="21"/>
          <w:szCs w:val="21"/>
        </w:rPr>
        <w:t>En relación con el tiempo de espera de los comercios locales para recibir el</w:t>
      </w:r>
      <w:r>
        <w:rPr>
          <w:rFonts w:ascii="Abadi" w:hAnsi="Abadi" w:cs="*Arial-5810-Identity-H"/>
          <w:color w:val="14131B"/>
          <w:sz w:val="21"/>
          <w:szCs w:val="21"/>
        </w:rPr>
        <w:t xml:space="preserve"> </w:t>
      </w:r>
      <w:r w:rsidRPr="0023003B">
        <w:rPr>
          <w:rFonts w:ascii="Abadi" w:hAnsi="Abadi" w:cs="*Arial-5810-Identity-H"/>
          <w:color w:val="14131B"/>
          <w:sz w:val="21"/>
          <w:szCs w:val="21"/>
        </w:rPr>
        <w:t xml:space="preserve">reembolso de los vales cambiados por los negocios, se constató que </w:t>
      </w:r>
      <w:r>
        <w:rPr>
          <w:rFonts w:ascii="Abadi" w:hAnsi="Abadi" w:cs="*Arial-5810-Identity-H"/>
          <w:color w:val="14131B"/>
          <w:sz w:val="21"/>
          <w:szCs w:val="21"/>
        </w:rPr>
        <w:t xml:space="preserve">únicamente </w:t>
      </w:r>
      <w:r w:rsidRPr="0023003B">
        <w:rPr>
          <w:rFonts w:ascii="Abadi" w:hAnsi="Abadi" w:cs="*Arial-5810-Identity-H"/>
          <w:color w:val="14131B"/>
          <w:sz w:val="21"/>
          <w:szCs w:val="21"/>
        </w:rPr>
        <w:t>fue posible verificar los lapsos de tiempo entre las transferencias bancarias</w:t>
      </w:r>
      <w:r>
        <w:rPr>
          <w:rFonts w:ascii="Abadi" w:hAnsi="Abadi" w:cs="*Arial-5810-Identity-H"/>
          <w:color w:val="14131B"/>
          <w:sz w:val="21"/>
          <w:szCs w:val="21"/>
        </w:rPr>
        <w:t xml:space="preserve"> </w:t>
      </w:r>
      <w:r w:rsidRPr="0023003B">
        <w:rPr>
          <w:rFonts w:ascii="Abadi" w:hAnsi="Abadi" w:cs="*Arial-5810-Identity-H"/>
          <w:color w:val="14131B"/>
          <w:sz w:val="21"/>
          <w:szCs w:val="21"/>
        </w:rPr>
        <w:t>aplicadas, toda vez que la información de los pagos de reembolsos en efectivo no</w:t>
      </w:r>
      <w:r>
        <w:rPr>
          <w:rFonts w:ascii="Abadi" w:hAnsi="Abadi" w:cs="*Arial-5810-Identity-H"/>
          <w:color w:val="14131B"/>
          <w:sz w:val="21"/>
          <w:szCs w:val="21"/>
        </w:rPr>
        <w:t xml:space="preserve"> </w:t>
      </w:r>
      <w:r w:rsidRPr="0023003B">
        <w:rPr>
          <w:rFonts w:ascii="Abadi" w:hAnsi="Abadi" w:cs="*Arial-5810-Identity-H"/>
          <w:color w:val="14131B"/>
          <w:sz w:val="21"/>
          <w:szCs w:val="21"/>
        </w:rPr>
        <w:t>llevó un proceso de reporteo entre las farmacias ISSEG y la Secretaría de</w:t>
      </w:r>
      <w:r>
        <w:rPr>
          <w:rFonts w:ascii="Abadi" w:hAnsi="Abadi" w:cs="*Arial-5810-Identity-H"/>
          <w:color w:val="14131B"/>
          <w:sz w:val="21"/>
          <w:szCs w:val="21"/>
        </w:rPr>
        <w:t xml:space="preserve"> </w:t>
      </w:r>
      <w:r w:rsidRPr="0023003B">
        <w:rPr>
          <w:rFonts w:ascii="Abadi" w:hAnsi="Abadi" w:cs="*Arial-5810-Identity-H"/>
          <w:color w:val="14131B"/>
          <w:sz w:val="21"/>
          <w:szCs w:val="21"/>
        </w:rPr>
        <w:t>Desarrollo Económico Sustentable, aun cuando en el convenio de colaboración</w:t>
      </w:r>
      <w:r>
        <w:rPr>
          <w:rFonts w:ascii="Abadi" w:hAnsi="Abadi" w:cs="*Arial-5810-Identity-H"/>
          <w:color w:val="14131B"/>
          <w:sz w:val="21"/>
          <w:szCs w:val="21"/>
        </w:rPr>
        <w:t xml:space="preserve"> </w:t>
      </w:r>
      <w:r w:rsidRPr="0023003B">
        <w:rPr>
          <w:rFonts w:ascii="Abadi" w:hAnsi="Abadi" w:cs="*Arial-5810-Identity-H"/>
          <w:color w:val="14131B"/>
          <w:sz w:val="21"/>
          <w:szCs w:val="21"/>
        </w:rPr>
        <w:t>suscrito se especificó una cláusula correspondiente. Con la información disponible</w:t>
      </w:r>
      <w:r>
        <w:rPr>
          <w:rFonts w:ascii="Abadi" w:hAnsi="Abadi" w:cs="*Arial-5810-Identity-H"/>
          <w:color w:val="14131B"/>
          <w:sz w:val="21"/>
          <w:szCs w:val="21"/>
        </w:rPr>
        <w:t xml:space="preserve"> </w:t>
      </w:r>
      <w:r w:rsidRPr="0023003B">
        <w:rPr>
          <w:rFonts w:ascii="Abadi" w:hAnsi="Abadi" w:cs="*Arial-5810-Identity-H"/>
          <w:color w:val="14131B"/>
          <w:sz w:val="21"/>
          <w:szCs w:val="21"/>
        </w:rPr>
        <w:t>se constató que esta se demoró en promedio 6 días desde la solicitud del</w:t>
      </w:r>
      <w:r>
        <w:rPr>
          <w:rFonts w:ascii="Abadi" w:hAnsi="Abadi" w:cs="*Arial-5810-Identity-H"/>
          <w:color w:val="14131B"/>
          <w:sz w:val="21"/>
          <w:szCs w:val="21"/>
        </w:rPr>
        <w:t xml:space="preserve"> </w:t>
      </w:r>
      <w:r w:rsidRPr="0023003B">
        <w:rPr>
          <w:rFonts w:ascii="Abadi" w:hAnsi="Abadi" w:cs="*Arial-5810-Identity-H"/>
          <w:color w:val="14131B"/>
          <w:sz w:val="21"/>
          <w:szCs w:val="21"/>
        </w:rPr>
        <w:t>reembolso y hasta la efectividad de la misma. Sin embargo, se presentaron casos</w:t>
      </w:r>
      <w:r>
        <w:rPr>
          <w:rFonts w:ascii="Abadi" w:hAnsi="Abadi" w:cs="*Arial-5810-Identity-H"/>
          <w:color w:val="14131B"/>
          <w:sz w:val="21"/>
          <w:szCs w:val="21"/>
        </w:rPr>
        <w:t xml:space="preserve"> </w:t>
      </w:r>
      <w:r w:rsidRPr="0023003B">
        <w:rPr>
          <w:rFonts w:ascii="Abadi" w:hAnsi="Abadi" w:cs="*Arial-5810-Identity-H"/>
          <w:color w:val="14131B"/>
          <w:sz w:val="21"/>
          <w:szCs w:val="21"/>
        </w:rPr>
        <w:t>en los que dicha acción se demoró hasta 44 días en ser procedente.</w:t>
      </w:r>
    </w:p>
    <w:p w14:paraId="4B59A1BF" w14:textId="77777777" w:rsidR="002B0CBC" w:rsidRPr="0023003B" w:rsidRDefault="002B0CBC" w:rsidP="002B0CBC">
      <w:pPr>
        <w:jc w:val="both"/>
        <w:rPr>
          <w:rFonts w:ascii="Abadi" w:hAnsi="Abadi" w:cs="*Arial-5810-Identity-H"/>
          <w:color w:val="14131B"/>
          <w:sz w:val="21"/>
          <w:szCs w:val="21"/>
        </w:rPr>
      </w:pPr>
    </w:p>
    <w:p w14:paraId="489F03CA" w14:textId="77777777" w:rsidR="002B0CBC" w:rsidRDefault="002B0CBC" w:rsidP="002B0CBC">
      <w:pPr>
        <w:autoSpaceDE w:val="0"/>
        <w:autoSpaceDN w:val="0"/>
        <w:adjustRightInd w:val="0"/>
        <w:ind w:firstLine="708"/>
        <w:jc w:val="both"/>
        <w:rPr>
          <w:rFonts w:ascii="Abadi" w:hAnsi="Abadi" w:cs="*Arial-5850-Identity-H"/>
          <w:color w:val="15141C"/>
          <w:sz w:val="21"/>
          <w:szCs w:val="21"/>
        </w:rPr>
      </w:pPr>
      <w:r w:rsidRPr="0023003B">
        <w:rPr>
          <w:rFonts w:ascii="Abadi" w:hAnsi="Abadi" w:cs="*Arial-5850-Identity-H"/>
          <w:color w:val="15141C"/>
          <w:sz w:val="21"/>
          <w:szCs w:val="21"/>
        </w:rPr>
        <w:t>En esta parte se concluye que en términos generales y en aquellos casos</w:t>
      </w:r>
      <w:r>
        <w:rPr>
          <w:rFonts w:ascii="Abadi" w:hAnsi="Abadi" w:cs="*Arial-5850-Identity-H"/>
          <w:color w:val="15141C"/>
          <w:sz w:val="21"/>
          <w:szCs w:val="21"/>
        </w:rPr>
        <w:t xml:space="preserve"> </w:t>
      </w:r>
      <w:r w:rsidRPr="0023003B">
        <w:rPr>
          <w:rFonts w:ascii="Abadi" w:hAnsi="Abadi" w:cs="*Arial-5850-Identity-H"/>
          <w:color w:val="15141C"/>
          <w:sz w:val="21"/>
          <w:szCs w:val="21"/>
        </w:rPr>
        <w:t>en que la focalización haya resultado efectiva, se reconoce que el programa Vales</w:t>
      </w:r>
      <w:r>
        <w:rPr>
          <w:rFonts w:ascii="Abadi" w:hAnsi="Abadi" w:cs="*Arial-5850-Identity-H"/>
          <w:color w:val="15141C"/>
          <w:sz w:val="21"/>
          <w:szCs w:val="21"/>
        </w:rPr>
        <w:t xml:space="preserve"> </w:t>
      </w:r>
      <w:r w:rsidRPr="0023003B">
        <w:rPr>
          <w:rFonts w:ascii="Abadi" w:hAnsi="Abadi" w:cs="*Arial-5850-Identity-H"/>
          <w:color w:val="15141C"/>
          <w:sz w:val="21"/>
          <w:szCs w:val="21"/>
        </w:rPr>
        <w:t>Grandeza contribuye a la reducción de los riesgos económicos de los hogares</w:t>
      </w:r>
      <w:r>
        <w:rPr>
          <w:rFonts w:ascii="Abadi" w:hAnsi="Abadi" w:cs="*Arial-5850-Identity-H"/>
          <w:color w:val="15141C"/>
          <w:sz w:val="21"/>
          <w:szCs w:val="21"/>
        </w:rPr>
        <w:t xml:space="preserve"> </w:t>
      </w:r>
      <w:r w:rsidRPr="0023003B">
        <w:rPr>
          <w:rFonts w:ascii="Abadi" w:hAnsi="Abadi" w:cs="*Arial-5850-Identity-H"/>
          <w:color w:val="15141C"/>
          <w:sz w:val="21"/>
          <w:szCs w:val="21"/>
        </w:rPr>
        <w:t>participantes (insuficiencia o disminución de los ingresos en el hogar, destinados a</w:t>
      </w:r>
      <w:r>
        <w:rPr>
          <w:rFonts w:ascii="Abadi" w:hAnsi="Abadi" w:cs="*Arial-5850-Identity-H"/>
          <w:color w:val="15141C"/>
          <w:sz w:val="21"/>
          <w:szCs w:val="21"/>
        </w:rPr>
        <w:t xml:space="preserve"> </w:t>
      </w:r>
      <w:r w:rsidRPr="0023003B">
        <w:rPr>
          <w:rFonts w:ascii="Abadi" w:hAnsi="Abadi" w:cs="*Arial-5850-Identity-H"/>
          <w:color w:val="15141C"/>
          <w:sz w:val="21"/>
          <w:szCs w:val="21"/>
        </w:rPr>
        <w:t>la adquisición de productos de la canasta básicos, principalmente los alimenticios),</w:t>
      </w:r>
      <w:r>
        <w:rPr>
          <w:rFonts w:ascii="Abadi" w:hAnsi="Abadi" w:cs="*Arial-5850-Identity-H"/>
          <w:color w:val="15141C"/>
          <w:sz w:val="21"/>
          <w:szCs w:val="21"/>
        </w:rPr>
        <w:t xml:space="preserve"> </w:t>
      </w:r>
      <w:r w:rsidRPr="0023003B">
        <w:rPr>
          <w:rFonts w:ascii="Abadi" w:hAnsi="Abadi" w:cs="*Arial-5850-Identity-H"/>
          <w:color w:val="15141C"/>
          <w:sz w:val="21"/>
          <w:szCs w:val="21"/>
        </w:rPr>
        <w:t>ello en función de que genera una capacidad de consumo para la adquisición de</w:t>
      </w:r>
      <w:r>
        <w:rPr>
          <w:rFonts w:ascii="Abadi" w:hAnsi="Abadi" w:cs="*Arial-5850-Identity-H"/>
          <w:color w:val="15141C"/>
          <w:sz w:val="21"/>
          <w:szCs w:val="21"/>
        </w:rPr>
        <w:t xml:space="preserve"> </w:t>
      </w:r>
      <w:r w:rsidRPr="0023003B">
        <w:rPr>
          <w:rFonts w:ascii="Abadi" w:hAnsi="Abadi" w:cs="*Arial-5850-Identity-H"/>
          <w:color w:val="15141C"/>
          <w:sz w:val="21"/>
          <w:szCs w:val="21"/>
        </w:rPr>
        <w:t>productos para satisfacer sus necesidades básicas (equivalente al 30% del valor</w:t>
      </w:r>
      <w:r>
        <w:rPr>
          <w:rFonts w:ascii="Abadi" w:hAnsi="Abadi" w:cs="*Arial-5850-Identity-H"/>
          <w:color w:val="15141C"/>
          <w:sz w:val="21"/>
          <w:szCs w:val="21"/>
        </w:rPr>
        <w:t xml:space="preserve"> </w:t>
      </w:r>
      <w:r w:rsidRPr="0023003B">
        <w:rPr>
          <w:rFonts w:ascii="Abadi" w:hAnsi="Abadi" w:cs="*Arial-5850-Identity-H"/>
          <w:color w:val="15141C"/>
          <w:sz w:val="21"/>
          <w:szCs w:val="21"/>
        </w:rPr>
        <w:t>de una canasta básica de alimentos); no obstante, dicha capacidad se limita a un</w:t>
      </w:r>
      <w:r>
        <w:rPr>
          <w:rFonts w:ascii="Abadi" w:hAnsi="Abadi" w:cs="*Arial-5850-Identity-H"/>
          <w:color w:val="15141C"/>
          <w:sz w:val="21"/>
          <w:szCs w:val="21"/>
        </w:rPr>
        <w:t xml:space="preserve"> </w:t>
      </w:r>
      <w:r w:rsidRPr="0023003B">
        <w:rPr>
          <w:rFonts w:ascii="Abadi" w:hAnsi="Abadi" w:cs="*Arial-5850-Identity-H"/>
          <w:color w:val="15141C"/>
          <w:sz w:val="21"/>
          <w:szCs w:val="21"/>
        </w:rPr>
        <w:t>corto plazo, aunado a que no se dispone de apoyos complementarios que</w:t>
      </w:r>
      <w:r>
        <w:rPr>
          <w:rFonts w:ascii="Abadi" w:hAnsi="Abadi" w:cs="*Arial-5850-Identity-H"/>
          <w:color w:val="15141C"/>
          <w:sz w:val="21"/>
          <w:szCs w:val="21"/>
        </w:rPr>
        <w:t xml:space="preserve"> </w:t>
      </w:r>
      <w:r w:rsidRPr="0023003B">
        <w:rPr>
          <w:rFonts w:ascii="Abadi" w:hAnsi="Abadi" w:cs="*Arial-5850-Identity-H"/>
          <w:color w:val="15141C"/>
          <w:sz w:val="21"/>
          <w:szCs w:val="21"/>
        </w:rPr>
        <w:t>promuevan una sostenibilidad de dicha capacidad. Este tipo de intervenciones</w:t>
      </w:r>
      <w:r>
        <w:rPr>
          <w:rFonts w:ascii="Abadi" w:hAnsi="Abadi" w:cs="*Arial-5850-Identity-H"/>
          <w:color w:val="15141C"/>
          <w:sz w:val="21"/>
          <w:szCs w:val="21"/>
        </w:rPr>
        <w:t xml:space="preserve"> </w:t>
      </w:r>
      <w:r w:rsidRPr="0023003B">
        <w:rPr>
          <w:rFonts w:ascii="Abadi" w:hAnsi="Abadi" w:cs="*Arial-5850-Identity-H"/>
          <w:color w:val="15141C"/>
          <w:sz w:val="21"/>
          <w:szCs w:val="21"/>
        </w:rPr>
        <w:t>resultan convenientes mientras se transita por la fase de respuesta a una situación</w:t>
      </w:r>
      <w:r>
        <w:rPr>
          <w:rFonts w:ascii="Abadi" w:hAnsi="Abadi" w:cs="*Arial-5850-Identity-H"/>
          <w:color w:val="15141C"/>
          <w:sz w:val="21"/>
          <w:szCs w:val="21"/>
        </w:rPr>
        <w:t xml:space="preserve"> </w:t>
      </w:r>
      <w:r w:rsidRPr="0023003B">
        <w:rPr>
          <w:rFonts w:ascii="Abadi" w:hAnsi="Abadi" w:cs="*Arial-5850-Identity-H"/>
          <w:color w:val="15141C"/>
          <w:sz w:val="21"/>
          <w:szCs w:val="21"/>
        </w:rPr>
        <w:t>de emergencia y hasta el momento en que se llega a la fase de recuperación (o</w:t>
      </w:r>
      <w:r>
        <w:rPr>
          <w:rFonts w:ascii="Abadi" w:hAnsi="Abadi" w:cs="*Arial-5850-Identity-H"/>
          <w:color w:val="15141C"/>
          <w:sz w:val="21"/>
          <w:szCs w:val="21"/>
        </w:rPr>
        <w:t xml:space="preserve"> </w:t>
      </w:r>
      <w:r w:rsidRPr="0023003B">
        <w:rPr>
          <w:rFonts w:ascii="Abadi" w:hAnsi="Abadi" w:cs="*Arial-5850-Identity-H"/>
          <w:color w:val="15141C"/>
          <w:sz w:val="21"/>
          <w:szCs w:val="21"/>
        </w:rPr>
        <w:t>rehabilitación de los sectores o condiciones afectadas por alguna contingencia o</w:t>
      </w:r>
      <w:r>
        <w:rPr>
          <w:rFonts w:ascii="Abadi" w:hAnsi="Abadi" w:cs="*Arial-5850-Identity-H"/>
          <w:color w:val="15141C"/>
          <w:sz w:val="21"/>
          <w:szCs w:val="21"/>
        </w:rPr>
        <w:t xml:space="preserve"> </w:t>
      </w:r>
      <w:r w:rsidRPr="0023003B">
        <w:rPr>
          <w:rFonts w:ascii="Abadi" w:hAnsi="Abadi" w:cs="*Arial-5850-Identity-H"/>
          <w:color w:val="15141C"/>
          <w:sz w:val="21"/>
          <w:szCs w:val="21"/>
        </w:rPr>
        <w:t>desastre).</w:t>
      </w:r>
    </w:p>
    <w:p w14:paraId="17612956" w14:textId="77777777" w:rsidR="002B0CBC" w:rsidRDefault="002B0CBC" w:rsidP="002B0CBC">
      <w:pPr>
        <w:autoSpaceDE w:val="0"/>
        <w:autoSpaceDN w:val="0"/>
        <w:adjustRightInd w:val="0"/>
        <w:jc w:val="both"/>
        <w:rPr>
          <w:rFonts w:ascii="Abadi" w:hAnsi="Abadi" w:cs="*Arial-5850-Identity-H"/>
          <w:color w:val="15141C"/>
          <w:sz w:val="21"/>
          <w:szCs w:val="21"/>
        </w:rPr>
      </w:pPr>
    </w:p>
    <w:p w14:paraId="057B90A0" w14:textId="77777777" w:rsidR="002B0CBC" w:rsidRPr="0023003B" w:rsidRDefault="002B0CBC" w:rsidP="002B0CBC">
      <w:pPr>
        <w:autoSpaceDE w:val="0"/>
        <w:autoSpaceDN w:val="0"/>
        <w:adjustRightInd w:val="0"/>
        <w:jc w:val="both"/>
        <w:rPr>
          <w:rFonts w:ascii="Abadi" w:hAnsi="Abadi" w:cs="*Arial-5850-Identity-H"/>
          <w:color w:val="15141C"/>
          <w:sz w:val="21"/>
          <w:szCs w:val="21"/>
        </w:rPr>
      </w:pPr>
    </w:p>
    <w:p w14:paraId="70680F6E" w14:textId="77777777" w:rsidR="002B0CBC" w:rsidRDefault="002B0CBC" w:rsidP="002B0CBC">
      <w:pPr>
        <w:autoSpaceDE w:val="0"/>
        <w:autoSpaceDN w:val="0"/>
        <w:adjustRightInd w:val="0"/>
        <w:ind w:firstLine="708"/>
        <w:jc w:val="both"/>
        <w:rPr>
          <w:rFonts w:ascii="Abadi" w:hAnsi="Abadi" w:cs="*Arial-5850-Identity-H"/>
          <w:color w:val="14141C"/>
          <w:sz w:val="21"/>
          <w:szCs w:val="21"/>
        </w:rPr>
      </w:pPr>
      <w:r w:rsidRPr="0023003B">
        <w:rPr>
          <w:rFonts w:ascii="Abadi" w:hAnsi="Abadi" w:cs="*Arial-5850-Identity-H"/>
          <w:color w:val="14141C"/>
          <w:sz w:val="21"/>
          <w:szCs w:val="21"/>
        </w:rPr>
        <w:t>Asimismo, se refiere que en caso de optar por mantener el programa en</w:t>
      </w:r>
      <w:r>
        <w:rPr>
          <w:rFonts w:ascii="Abadi" w:hAnsi="Abadi" w:cs="*Arial-5850-Identity-H"/>
          <w:color w:val="14141C"/>
          <w:sz w:val="21"/>
          <w:szCs w:val="21"/>
        </w:rPr>
        <w:t xml:space="preserve"> </w:t>
      </w:r>
      <w:r w:rsidRPr="0023003B">
        <w:rPr>
          <w:rFonts w:ascii="Abadi" w:hAnsi="Abadi" w:cs="*Arial-5850-Identity-H"/>
          <w:color w:val="14141C"/>
          <w:sz w:val="21"/>
          <w:szCs w:val="21"/>
        </w:rPr>
        <w:t>operación una vez superados los efectos de la pandemia por Covid-19, es</w:t>
      </w:r>
      <w:r>
        <w:rPr>
          <w:rFonts w:ascii="Abadi" w:hAnsi="Abadi" w:cs="*Arial-5850-Identity-H"/>
          <w:color w:val="14141C"/>
          <w:sz w:val="21"/>
          <w:szCs w:val="21"/>
        </w:rPr>
        <w:t xml:space="preserve"> </w:t>
      </w:r>
      <w:r w:rsidRPr="0023003B">
        <w:rPr>
          <w:rFonts w:ascii="Abadi" w:hAnsi="Abadi" w:cs="*Arial-5850-Identity-H"/>
          <w:color w:val="14141C"/>
          <w:sz w:val="21"/>
          <w:szCs w:val="21"/>
        </w:rPr>
        <w:t>conveniente realizar un análisis para verificar si hay fragmentaciones (ocurre</w:t>
      </w:r>
      <w:r>
        <w:rPr>
          <w:rFonts w:ascii="Abadi" w:hAnsi="Abadi" w:cs="*Arial-5850-Identity-H"/>
          <w:color w:val="14141C"/>
          <w:sz w:val="21"/>
          <w:szCs w:val="21"/>
        </w:rPr>
        <w:t xml:space="preserve"> </w:t>
      </w:r>
      <w:r w:rsidRPr="0023003B">
        <w:rPr>
          <w:rFonts w:ascii="Abadi" w:hAnsi="Abadi" w:cs="*Arial-5850-Identity-H"/>
          <w:color w:val="14141C"/>
          <w:sz w:val="21"/>
          <w:szCs w:val="21"/>
        </w:rPr>
        <w:t>cuando más de una institución· gubernamental -o más de una unidad dentro de</w:t>
      </w:r>
      <w:r>
        <w:rPr>
          <w:rFonts w:ascii="Abadi" w:hAnsi="Abadi" w:cs="*Arial-5850-Identity-H"/>
          <w:color w:val="14141C"/>
          <w:sz w:val="21"/>
          <w:szCs w:val="21"/>
        </w:rPr>
        <w:t xml:space="preserve"> </w:t>
      </w:r>
      <w:r w:rsidRPr="0023003B">
        <w:rPr>
          <w:rFonts w:ascii="Abadi" w:hAnsi="Abadi" w:cs="*Arial-5850-Identity-H"/>
          <w:color w:val="14141C"/>
          <w:sz w:val="21"/>
          <w:szCs w:val="21"/>
        </w:rPr>
        <w:t>una institución gubernamental- está involucrada y actuando en la misma área y</w:t>
      </w:r>
      <w:r>
        <w:rPr>
          <w:rFonts w:ascii="Abadi" w:hAnsi="Abadi" w:cs="*Arial-5850-Identity-H"/>
          <w:color w:val="14141C"/>
          <w:sz w:val="21"/>
          <w:szCs w:val="21"/>
        </w:rPr>
        <w:t xml:space="preserve"> </w:t>
      </w:r>
      <w:r w:rsidRPr="0023003B">
        <w:rPr>
          <w:rFonts w:ascii="Abadi" w:hAnsi="Abadi" w:cs="*Arial-5850-Identity-H"/>
          <w:color w:val="14141C"/>
          <w:sz w:val="21"/>
          <w:szCs w:val="21"/>
        </w:rPr>
        <w:t>hay oportunidades para mejorar la prestación de servicios), superposiciones</w:t>
      </w:r>
      <w:r>
        <w:rPr>
          <w:rFonts w:ascii="Abadi" w:hAnsi="Abadi" w:cs="*Arial-5850-Identity-H"/>
          <w:color w:val="14141C"/>
          <w:sz w:val="21"/>
          <w:szCs w:val="21"/>
        </w:rPr>
        <w:t xml:space="preserve"> </w:t>
      </w:r>
      <w:r w:rsidRPr="0023003B">
        <w:rPr>
          <w:rFonts w:ascii="Abadi" w:hAnsi="Abadi" w:cs="*Arial-5850-Identity-H"/>
          <w:color w:val="14141C"/>
          <w:sz w:val="21"/>
          <w:szCs w:val="21"/>
        </w:rPr>
        <w:t>(ocurre cuando varias instituciones gubernamentales o programas poseen</w:t>
      </w:r>
      <w:r>
        <w:rPr>
          <w:rFonts w:ascii="Abadi" w:hAnsi="Abadi" w:cs="*Arial-5850-Identity-H"/>
          <w:color w:val="14141C"/>
          <w:sz w:val="21"/>
          <w:szCs w:val="21"/>
        </w:rPr>
        <w:t xml:space="preserve"> </w:t>
      </w:r>
      <w:r w:rsidRPr="0023003B">
        <w:rPr>
          <w:rFonts w:ascii="Abadi" w:hAnsi="Abadi" w:cs="*Arial-5850-Identity-H"/>
          <w:color w:val="14141C"/>
          <w:sz w:val="21"/>
          <w:szCs w:val="21"/>
        </w:rPr>
        <w:t>objetivos semejantes, actúan en actividades o estrategias semejantes para</w:t>
      </w:r>
      <w:r>
        <w:rPr>
          <w:rFonts w:ascii="Abadi" w:hAnsi="Abadi" w:cs="*Arial-5850-Identity-H"/>
          <w:color w:val="14141C"/>
          <w:sz w:val="21"/>
          <w:szCs w:val="21"/>
        </w:rPr>
        <w:t xml:space="preserve"> </w:t>
      </w:r>
      <w:r w:rsidRPr="0023003B">
        <w:rPr>
          <w:rFonts w:ascii="Abadi" w:hAnsi="Abadi" w:cs="*Arial-5850-Identity-H"/>
          <w:color w:val="14141C"/>
          <w:sz w:val="21"/>
          <w:szCs w:val="21"/>
        </w:rPr>
        <w:t>alcanzar sus objetivos, o poseen el mismo público objeto) o duplicaciones (ocurre</w:t>
      </w:r>
      <w:r>
        <w:rPr>
          <w:rFonts w:ascii="Abadi" w:hAnsi="Abadi" w:cs="*Arial-5850-Identity-H"/>
          <w:color w:val="14141C"/>
          <w:sz w:val="21"/>
          <w:szCs w:val="21"/>
        </w:rPr>
        <w:t xml:space="preserve"> </w:t>
      </w:r>
      <w:r w:rsidRPr="0023003B">
        <w:rPr>
          <w:rFonts w:ascii="Abadi" w:hAnsi="Abadi" w:cs="*Arial-5850-Identity-H"/>
          <w:color w:val="14141C"/>
          <w:sz w:val="21"/>
          <w:szCs w:val="21"/>
        </w:rPr>
        <w:t>cuando dos o más instituciones o programas gubernamentales están realizando</w:t>
      </w:r>
      <w:r>
        <w:rPr>
          <w:rFonts w:ascii="Abadi" w:hAnsi="Abadi" w:cs="*Arial-5850-Identity-H"/>
          <w:color w:val="14141C"/>
          <w:sz w:val="21"/>
          <w:szCs w:val="21"/>
        </w:rPr>
        <w:t xml:space="preserve"> </w:t>
      </w:r>
      <w:r w:rsidRPr="0023003B">
        <w:rPr>
          <w:rFonts w:ascii="Abadi" w:hAnsi="Abadi" w:cs="*Arial-5850-Identity-H"/>
          <w:color w:val="14141C"/>
          <w:sz w:val="21"/>
          <w:szCs w:val="21"/>
        </w:rPr>
        <w:t>las mismas actividades o prestando los mismos servicios a los mismos</w:t>
      </w:r>
      <w:r>
        <w:rPr>
          <w:rFonts w:ascii="Abadi" w:hAnsi="Abadi" w:cs="*Arial-5850-Identity-H"/>
          <w:color w:val="14141C"/>
          <w:sz w:val="21"/>
          <w:szCs w:val="21"/>
        </w:rPr>
        <w:t xml:space="preserve"> </w:t>
      </w:r>
      <w:r w:rsidRPr="0023003B">
        <w:rPr>
          <w:rFonts w:ascii="Abadi" w:hAnsi="Abadi" w:cs="*Arial-5850-Identity-H"/>
          <w:color w:val="14141C"/>
          <w:sz w:val="21"/>
          <w:szCs w:val="21"/>
        </w:rPr>
        <w:t>beneficiarios) en los programas ofertados por el Estado que buscan atender la</w:t>
      </w:r>
      <w:r>
        <w:rPr>
          <w:rFonts w:ascii="Abadi" w:hAnsi="Abadi" w:cs="*Arial-5850-Identity-H"/>
          <w:color w:val="14141C"/>
          <w:sz w:val="21"/>
          <w:szCs w:val="21"/>
        </w:rPr>
        <w:t xml:space="preserve"> </w:t>
      </w:r>
      <w:r w:rsidRPr="0023003B">
        <w:rPr>
          <w:rFonts w:ascii="Abadi" w:hAnsi="Abadi" w:cs="*Arial-5850-Identity-H"/>
          <w:color w:val="14141C"/>
          <w:sz w:val="21"/>
          <w:szCs w:val="21"/>
        </w:rPr>
        <w:t>seguridad alimentaria desde una perspectiva de acceso.</w:t>
      </w:r>
      <w:r>
        <w:rPr>
          <w:rFonts w:ascii="Abadi" w:hAnsi="Abadi" w:cs="*Arial-5850-Identity-H"/>
          <w:color w:val="14141C"/>
          <w:sz w:val="21"/>
          <w:szCs w:val="21"/>
        </w:rPr>
        <w:t xml:space="preserve"> </w:t>
      </w:r>
    </w:p>
    <w:p w14:paraId="6324EFD6" w14:textId="77777777" w:rsidR="002B0CBC" w:rsidRDefault="002B0CBC" w:rsidP="002B0CBC">
      <w:pPr>
        <w:autoSpaceDE w:val="0"/>
        <w:autoSpaceDN w:val="0"/>
        <w:adjustRightInd w:val="0"/>
        <w:jc w:val="both"/>
        <w:rPr>
          <w:rFonts w:ascii="Abadi" w:hAnsi="Abadi" w:cs="*Arial-5850-Identity-H"/>
          <w:color w:val="14141C"/>
          <w:sz w:val="21"/>
          <w:szCs w:val="21"/>
        </w:rPr>
      </w:pPr>
    </w:p>
    <w:p w14:paraId="1B11CEC5" w14:textId="77777777" w:rsidR="002B0CBC" w:rsidRDefault="002B0CBC" w:rsidP="002B0CBC">
      <w:pPr>
        <w:autoSpaceDE w:val="0"/>
        <w:autoSpaceDN w:val="0"/>
        <w:adjustRightInd w:val="0"/>
        <w:ind w:firstLine="708"/>
        <w:jc w:val="both"/>
        <w:rPr>
          <w:rFonts w:ascii="Abadi" w:hAnsi="Abadi" w:cs="*Arial-5850-Identity-H"/>
          <w:color w:val="14131B"/>
          <w:sz w:val="21"/>
          <w:szCs w:val="21"/>
        </w:rPr>
      </w:pPr>
      <w:r w:rsidRPr="0023003B">
        <w:rPr>
          <w:rFonts w:ascii="Abadi" w:hAnsi="Abadi" w:cs="*Arial-5850-Identity-H"/>
          <w:color w:val="14131B"/>
          <w:sz w:val="21"/>
          <w:szCs w:val="21"/>
        </w:rPr>
        <w:t>Derivado de las oportunidades ya referidas, se reconoce que la Secretaría</w:t>
      </w:r>
      <w:r>
        <w:rPr>
          <w:rFonts w:ascii="Abadi" w:hAnsi="Abadi" w:cs="*Arial-5850-Identity-H"/>
          <w:color w:val="14131B"/>
          <w:sz w:val="21"/>
          <w:szCs w:val="21"/>
        </w:rPr>
        <w:t xml:space="preserve"> </w:t>
      </w:r>
      <w:r w:rsidRPr="0023003B">
        <w:rPr>
          <w:rFonts w:ascii="Abadi" w:hAnsi="Abadi" w:cs="*Arial-5850-Identity-H"/>
          <w:color w:val="14131B"/>
          <w:sz w:val="21"/>
          <w:szCs w:val="21"/>
        </w:rPr>
        <w:t>de Desarrollo Social y Humano ahora responsable de la operación del programa</w:t>
      </w:r>
      <w:r>
        <w:rPr>
          <w:rFonts w:ascii="Abadi" w:hAnsi="Abadi" w:cs="*Arial-5850-Identity-H"/>
          <w:color w:val="14131B"/>
          <w:sz w:val="21"/>
          <w:szCs w:val="21"/>
        </w:rPr>
        <w:t xml:space="preserve"> </w:t>
      </w:r>
      <w:r w:rsidRPr="0023003B">
        <w:rPr>
          <w:rFonts w:ascii="Abadi" w:hAnsi="Abadi" w:cs="*Arial-5850-Identity-H"/>
          <w:color w:val="14131B"/>
          <w:sz w:val="21"/>
          <w:szCs w:val="21"/>
        </w:rPr>
        <w:t>auditado muestra una postura de apertura hacia la mejora continua, tendiente a la</w:t>
      </w:r>
      <w:r>
        <w:rPr>
          <w:rFonts w:ascii="Abadi" w:hAnsi="Abadi" w:cs="*Arial-5850-Identity-H"/>
          <w:color w:val="14131B"/>
          <w:sz w:val="21"/>
          <w:szCs w:val="21"/>
        </w:rPr>
        <w:t xml:space="preserve"> </w:t>
      </w:r>
      <w:r w:rsidRPr="0023003B">
        <w:rPr>
          <w:rFonts w:ascii="Abadi" w:hAnsi="Abadi" w:cs="*Arial-5850-Identity-H"/>
          <w:color w:val="14131B"/>
          <w:sz w:val="21"/>
          <w:szCs w:val="21"/>
        </w:rPr>
        <w:t>generación de compromisos para fortalecer el desempeño de su actuar, al</w:t>
      </w:r>
      <w:r>
        <w:rPr>
          <w:rFonts w:ascii="Abadi" w:hAnsi="Abadi" w:cs="*Arial-5850-Identity-H"/>
          <w:color w:val="14131B"/>
          <w:sz w:val="21"/>
          <w:szCs w:val="21"/>
        </w:rPr>
        <w:t xml:space="preserve"> </w:t>
      </w:r>
      <w:r w:rsidRPr="0023003B">
        <w:rPr>
          <w:rFonts w:ascii="Abadi" w:hAnsi="Abadi" w:cs="*Arial-5850-Identity-H"/>
          <w:color w:val="14131B"/>
          <w:sz w:val="21"/>
          <w:szCs w:val="21"/>
        </w:rPr>
        <w:t>presentar acciones específicas y plazos concretos para su debida ejecución.</w:t>
      </w:r>
    </w:p>
    <w:p w14:paraId="15360FDF" w14:textId="77777777" w:rsidR="002B0CBC" w:rsidRPr="0023003B" w:rsidRDefault="002B0CBC" w:rsidP="002B0CBC">
      <w:pPr>
        <w:autoSpaceDE w:val="0"/>
        <w:autoSpaceDN w:val="0"/>
        <w:adjustRightInd w:val="0"/>
        <w:jc w:val="both"/>
        <w:rPr>
          <w:rFonts w:ascii="Abadi" w:hAnsi="Abadi" w:cs="*Arial-5850-Identity-H"/>
          <w:color w:val="14131B"/>
          <w:sz w:val="21"/>
          <w:szCs w:val="21"/>
        </w:rPr>
      </w:pPr>
    </w:p>
    <w:p w14:paraId="560B893F" w14:textId="77777777" w:rsidR="002B0CBC" w:rsidRPr="0023003B" w:rsidRDefault="002B0CBC" w:rsidP="002B0CBC">
      <w:pPr>
        <w:autoSpaceDE w:val="0"/>
        <w:autoSpaceDN w:val="0"/>
        <w:adjustRightInd w:val="0"/>
        <w:ind w:firstLine="708"/>
        <w:jc w:val="both"/>
        <w:rPr>
          <w:rFonts w:ascii="Abadi" w:hAnsi="Abadi" w:cs="*Arial-5850-Identity-H"/>
          <w:color w:val="15141C"/>
          <w:sz w:val="21"/>
          <w:szCs w:val="21"/>
        </w:rPr>
      </w:pPr>
      <w:r w:rsidRPr="0023003B">
        <w:rPr>
          <w:rFonts w:ascii="Abadi" w:hAnsi="Abadi" w:cs="*Arial-5850-Identity-H"/>
          <w:color w:val="15141C"/>
          <w:sz w:val="21"/>
          <w:szCs w:val="21"/>
        </w:rPr>
        <w:t>Finalmente, se señala que el seguimiento de dichos compromisos se</w:t>
      </w:r>
      <w:r>
        <w:rPr>
          <w:rFonts w:ascii="Abadi" w:hAnsi="Abadi" w:cs="*Arial-5850-Identity-H"/>
          <w:color w:val="15141C"/>
          <w:sz w:val="21"/>
          <w:szCs w:val="21"/>
        </w:rPr>
        <w:t xml:space="preserve"> </w:t>
      </w:r>
      <w:r w:rsidRPr="0023003B">
        <w:rPr>
          <w:rFonts w:ascii="Abadi" w:hAnsi="Abadi" w:cs="*Arial-5850-Identity-H"/>
          <w:color w:val="15141C"/>
          <w:sz w:val="21"/>
          <w:szCs w:val="21"/>
        </w:rPr>
        <w:t>realizará por la Auditoría Superior del Estado, respecto de las recomendaciones</w:t>
      </w:r>
      <w:r>
        <w:rPr>
          <w:rFonts w:ascii="Abadi" w:hAnsi="Abadi" w:cs="*Arial-5850-Identity-H"/>
          <w:color w:val="15141C"/>
          <w:sz w:val="21"/>
          <w:szCs w:val="21"/>
        </w:rPr>
        <w:t xml:space="preserve"> </w:t>
      </w:r>
      <w:r w:rsidRPr="0023003B">
        <w:rPr>
          <w:rFonts w:ascii="Abadi" w:hAnsi="Abadi" w:cs="*Arial-5850-Identity-H"/>
          <w:color w:val="15141C"/>
          <w:sz w:val="21"/>
          <w:szCs w:val="21"/>
        </w:rPr>
        <w:t>donde se valora que el sujeto fiscalizado realizará acciones de mejora en un plazo</w:t>
      </w:r>
      <w:r>
        <w:rPr>
          <w:rFonts w:ascii="Abadi" w:hAnsi="Abadi" w:cs="*Arial-5850-Identity-H"/>
          <w:color w:val="15141C"/>
          <w:sz w:val="21"/>
          <w:szCs w:val="21"/>
        </w:rPr>
        <w:t xml:space="preserve"> </w:t>
      </w:r>
      <w:r w:rsidRPr="0023003B">
        <w:rPr>
          <w:rFonts w:ascii="Abadi" w:hAnsi="Abadi" w:cs="*Arial-5850-Identity-H"/>
          <w:color w:val="15141C"/>
          <w:sz w:val="21"/>
          <w:szCs w:val="21"/>
        </w:rPr>
        <w:t>determinado hasta su total implementación o en aquellas valoradas como persiste,</w:t>
      </w:r>
      <w:r>
        <w:rPr>
          <w:rFonts w:ascii="Abadi" w:hAnsi="Abadi" w:cs="*Arial-5850-Identity-H"/>
          <w:color w:val="15141C"/>
          <w:sz w:val="21"/>
          <w:szCs w:val="21"/>
        </w:rPr>
        <w:t xml:space="preserve"> </w:t>
      </w:r>
      <w:r w:rsidRPr="0023003B">
        <w:rPr>
          <w:rFonts w:ascii="Abadi" w:hAnsi="Abadi" w:cs="*Arial-5850-Identity-H"/>
          <w:color w:val="15141C"/>
          <w:sz w:val="21"/>
          <w:szCs w:val="21"/>
        </w:rPr>
        <w:t>acorde a la normativa aplicable.</w:t>
      </w:r>
    </w:p>
    <w:p w14:paraId="139D0850" w14:textId="77777777" w:rsidR="002B0CBC" w:rsidRPr="0023003B" w:rsidRDefault="002B0CBC" w:rsidP="002B0CBC">
      <w:pPr>
        <w:jc w:val="both"/>
        <w:rPr>
          <w:rFonts w:ascii="Abadi" w:hAnsi="Abadi" w:cs="*Arial-5850-Identity-H"/>
          <w:color w:val="15141C"/>
          <w:sz w:val="21"/>
          <w:szCs w:val="21"/>
        </w:rPr>
      </w:pPr>
    </w:p>
    <w:p w14:paraId="02302621" w14:textId="77777777" w:rsidR="00CF1A19" w:rsidRDefault="00CF1A19" w:rsidP="002B0CBC">
      <w:pPr>
        <w:autoSpaceDE w:val="0"/>
        <w:autoSpaceDN w:val="0"/>
        <w:adjustRightInd w:val="0"/>
        <w:ind w:firstLine="708"/>
        <w:jc w:val="both"/>
        <w:rPr>
          <w:rFonts w:ascii="Abadi" w:hAnsi="Abadi" w:cs="*Arial-Bold-4880-Identity-H"/>
          <w:b/>
          <w:bCs/>
          <w:color w:val="14131E"/>
          <w:sz w:val="21"/>
          <w:szCs w:val="21"/>
        </w:rPr>
      </w:pPr>
    </w:p>
    <w:p w14:paraId="0A54910D" w14:textId="5145EA08" w:rsidR="002B0CBC" w:rsidRPr="0023003B" w:rsidRDefault="002B0CBC" w:rsidP="002B0CBC">
      <w:pPr>
        <w:autoSpaceDE w:val="0"/>
        <w:autoSpaceDN w:val="0"/>
        <w:adjustRightInd w:val="0"/>
        <w:ind w:firstLine="708"/>
        <w:jc w:val="both"/>
        <w:rPr>
          <w:rFonts w:ascii="Abadi" w:hAnsi="Abadi" w:cs="*Arial-Bold-4880-Identity-H"/>
          <w:b/>
          <w:bCs/>
          <w:color w:val="14131E"/>
          <w:sz w:val="21"/>
          <w:szCs w:val="21"/>
        </w:rPr>
      </w:pPr>
      <w:r w:rsidRPr="0023003B">
        <w:rPr>
          <w:rFonts w:ascii="Abadi" w:hAnsi="Abadi" w:cs="*Arial-Bold-4880-Identity-H"/>
          <w:b/>
          <w:bCs/>
          <w:color w:val="14131E"/>
          <w:sz w:val="21"/>
          <w:szCs w:val="21"/>
        </w:rPr>
        <w:t>V. Conclusiones:</w:t>
      </w:r>
    </w:p>
    <w:p w14:paraId="694D44BC" w14:textId="77777777" w:rsidR="002B0CBC" w:rsidRPr="0023003B" w:rsidRDefault="002B0CBC" w:rsidP="002B0CBC">
      <w:pPr>
        <w:autoSpaceDE w:val="0"/>
        <w:autoSpaceDN w:val="0"/>
        <w:adjustRightInd w:val="0"/>
        <w:jc w:val="both"/>
        <w:rPr>
          <w:rFonts w:ascii="Abadi" w:hAnsi="Abadi" w:cs="*Arial-4881-Identity-H"/>
          <w:color w:val="17171B"/>
          <w:sz w:val="21"/>
          <w:szCs w:val="21"/>
        </w:rPr>
      </w:pPr>
    </w:p>
    <w:p w14:paraId="5452D628" w14:textId="77777777" w:rsidR="002B0CBC" w:rsidRDefault="002B0CBC" w:rsidP="002B0CBC">
      <w:pPr>
        <w:autoSpaceDE w:val="0"/>
        <w:autoSpaceDN w:val="0"/>
        <w:adjustRightInd w:val="0"/>
        <w:ind w:firstLine="708"/>
        <w:jc w:val="both"/>
        <w:rPr>
          <w:rFonts w:ascii="Abadi" w:hAnsi="Abadi" w:cs="*Microsoft Sans Serif-4882-Iden"/>
          <w:color w:val="14131B"/>
          <w:sz w:val="21"/>
          <w:szCs w:val="21"/>
        </w:rPr>
      </w:pPr>
      <w:r w:rsidRPr="0023003B">
        <w:rPr>
          <w:rFonts w:ascii="Abadi" w:hAnsi="Abadi" w:cs="*Microsoft Sans Serif-4882-Iden"/>
          <w:color w:val="14131B"/>
          <w:sz w:val="21"/>
          <w:szCs w:val="21"/>
        </w:rPr>
        <w:t>Como ya lo habíamos señalado en párrafos anteriores, el artículo 38 de la</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Ley de Fiscalización Superior del Estado de Guanajuato establece que los</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informes de resultados únicamente podrán ser observados por las dos terceras</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partes de los diputados integrantes del Congreso, cuando no se observen las</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formalidades esenciales del proceso de fiscalización.</w:t>
      </w:r>
    </w:p>
    <w:p w14:paraId="08EEB206" w14:textId="77777777" w:rsidR="002B0CBC" w:rsidRPr="0023003B" w:rsidRDefault="002B0CBC" w:rsidP="002B0CBC">
      <w:pPr>
        <w:autoSpaceDE w:val="0"/>
        <w:autoSpaceDN w:val="0"/>
        <w:adjustRightInd w:val="0"/>
        <w:jc w:val="both"/>
        <w:rPr>
          <w:rFonts w:ascii="Abadi" w:hAnsi="Abadi" w:cs="*Microsoft Sans Serif-4882-Iden"/>
          <w:color w:val="14131B"/>
          <w:sz w:val="21"/>
          <w:szCs w:val="21"/>
        </w:rPr>
      </w:pPr>
    </w:p>
    <w:p w14:paraId="48303C76" w14:textId="77777777" w:rsidR="002B0CBC" w:rsidRDefault="002B0CBC" w:rsidP="002B0CBC">
      <w:pPr>
        <w:autoSpaceDE w:val="0"/>
        <w:autoSpaceDN w:val="0"/>
        <w:adjustRightInd w:val="0"/>
        <w:ind w:firstLine="708"/>
        <w:jc w:val="both"/>
        <w:rPr>
          <w:rFonts w:ascii="Abadi" w:hAnsi="Abadi" w:cs="*Microsoft Sans Serif-4882-Iden"/>
          <w:color w:val="14131C"/>
          <w:sz w:val="21"/>
          <w:szCs w:val="21"/>
        </w:rPr>
      </w:pPr>
      <w:r w:rsidRPr="0023003B">
        <w:rPr>
          <w:rFonts w:ascii="Abadi" w:hAnsi="Abadi" w:cs="*Microsoft Sans Serif-4882-Iden"/>
          <w:color w:val="14131C"/>
          <w:sz w:val="21"/>
          <w:szCs w:val="21"/>
        </w:rPr>
        <w:t>En este sentido, quienes integramos esta Comisión analizamos el informe</w:t>
      </w:r>
      <w:r>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de resultados materia del presente dictamen, considerando la hipótesis referida en</w:t>
      </w:r>
      <w:r>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el precepto anteriormente señalado.</w:t>
      </w:r>
    </w:p>
    <w:p w14:paraId="7D8C621D" w14:textId="77777777" w:rsidR="002B0CBC" w:rsidRPr="0023003B" w:rsidRDefault="002B0CBC" w:rsidP="002B0CBC">
      <w:pPr>
        <w:autoSpaceDE w:val="0"/>
        <w:autoSpaceDN w:val="0"/>
        <w:adjustRightInd w:val="0"/>
        <w:jc w:val="both"/>
        <w:rPr>
          <w:rFonts w:ascii="Abadi" w:hAnsi="Abadi" w:cs="*Microsoft Sans Serif-4882-Iden"/>
          <w:color w:val="14131C"/>
          <w:sz w:val="21"/>
          <w:szCs w:val="21"/>
        </w:rPr>
      </w:pPr>
    </w:p>
    <w:p w14:paraId="0D9CFE48" w14:textId="77777777" w:rsidR="002B0CBC" w:rsidRDefault="002B0CBC" w:rsidP="002B0CBC">
      <w:pPr>
        <w:autoSpaceDE w:val="0"/>
        <w:autoSpaceDN w:val="0"/>
        <w:adjustRightInd w:val="0"/>
        <w:ind w:firstLine="708"/>
        <w:jc w:val="both"/>
        <w:rPr>
          <w:rFonts w:ascii="Abadi" w:hAnsi="Abadi" w:cs="*Microsoft Sans Serif-4882-Iden"/>
          <w:color w:val="14131B"/>
          <w:sz w:val="21"/>
          <w:szCs w:val="21"/>
        </w:rPr>
      </w:pPr>
      <w:r w:rsidRPr="0023003B">
        <w:rPr>
          <w:rFonts w:ascii="Abadi" w:hAnsi="Abadi" w:cs="*Microsoft Sans Serif-4882-Iden"/>
          <w:color w:val="14131B"/>
          <w:sz w:val="21"/>
          <w:szCs w:val="21"/>
        </w:rPr>
        <w:t>Como se desprende del informe de resultados, el Órgano Técnico dio</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cumplimiento al artículo 58 de la Ley de Fiscalización Superior del Estado de</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Guanajuato, al haberse notificado las recomendaciones derivadas de la auditoría</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al sujeto fiscalizado, concediéndole e</w:t>
      </w:r>
      <w:r>
        <w:rPr>
          <w:rFonts w:ascii="Abadi" w:hAnsi="Abadi" w:cs="*Microsoft Sans Serif-4882-Iden"/>
          <w:color w:val="14131B"/>
          <w:sz w:val="21"/>
          <w:szCs w:val="21"/>
        </w:rPr>
        <w:t>l</w:t>
      </w:r>
      <w:r w:rsidRPr="0023003B">
        <w:rPr>
          <w:rFonts w:ascii="Abadi" w:hAnsi="Abadi" w:cs="*Microsoft Sans Serif-4882-Iden"/>
          <w:color w:val="14131B"/>
          <w:sz w:val="21"/>
          <w:szCs w:val="21"/>
        </w:rPr>
        <w:t xml:space="preserve"> plazo que establece la Ley para atender las</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recomendaciones formuladas por el Órgano Técnico. Al respecto, se presentó la</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información y documentación que se consideró suficiente para atender las</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recomendaciones efectuadas.</w:t>
      </w:r>
    </w:p>
    <w:p w14:paraId="5AD3BA7D" w14:textId="77777777" w:rsidR="002B0CBC" w:rsidRPr="0023003B" w:rsidRDefault="002B0CBC" w:rsidP="002B0CBC">
      <w:pPr>
        <w:autoSpaceDE w:val="0"/>
        <w:autoSpaceDN w:val="0"/>
        <w:adjustRightInd w:val="0"/>
        <w:jc w:val="both"/>
        <w:rPr>
          <w:rFonts w:ascii="Abadi" w:hAnsi="Abadi" w:cs="*Microsoft Sans Serif-4882-Iden"/>
          <w:color w:val="14131B"/>
          <w:sz w:val="21"/>
          <w:szCs w:val="21"/>
        </w:rPr>
      </w:pPr>
    </w:p>
    <w:p w14:paraId="07A63F4E" w14:textId="77777777" w:rsidR="002B0CBC" w:rsidRDefault="002B0CBC" w:rsidP="002B0CBC">
      <w:pPr>
        <w:autoSpaceDE w:val="0"/>
        <w:autoSpaceDN w:val="0"/>
        <w:adjustRightInd w:val="0"/>
        <w:ind w:firstLine="708"/>
        <w:jc w:val="both"/>
        <w:rPr>
          <w:rFonts w:ascii="Abadi" w:hAnsi="Abadi" w:cs="*Microsoft Sans Serif-4882-Iden"/>
          <w:color w:val="14131B"/>
          <w:sz w:val="21"/>
          <w:szCs w:val="21"/>
        </w:rPr>
      </w:pPr>
      <w:r w:rsidRPr="0023003B">
        <w:rPr>
          <w:rFonts w:ascii="Abadi" w:hAnsi="Abadi" w:cs="*Microsoft Sans Serif-4882-Iden"/>
          <w:color w:val="14131B"/>
          <w:sz w:val="21"/>
          <w:szCs w:val="21"/>
        </w:rPr>
        <w:t>De igual manera, existe en el informe de resultados la constancia de que</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este se notificó al sujeto fiscalizado. En tal virtud, se considera que fue respetado</w:t>
      </w:r>
      <w:r>
        <w:rPr>
          <w:rFonts w:ascii="Abadi" w:hAnsi="Abadi" w:cs="*Microsoft Sans Serif-4882-Iden"/>
          <w:color w:val="14131B"/>
          <w:sz w:val="21"/>
          <w:szCs w:val="21"/>
        </w:rPr>
        <w:t xml:space="preserve"> </w:t>
      </w:r>
      <w:r w:rsidRPr="0023003B">
        <w:rPr>
          <w:rFonts w:ascii="Abadi" w:hAnsi="Abadi" w:cs="*Microsoft Sans Serif-4882-Iden"/>
          <w:color w:val="14131B"/>
          <w:sz w:val="21"/>
          <w:szCs w:val="21"/>
        </w:rPr>
        <w:t>el derecho de audiencia o defensa por parte del Órgano Técnico.</w:t>
      </w:r>
      <w:r>
        <w:rPr>
          <w:rFonts w:ascii="Abadi" w:hAnsi="Abadi" w:cs="*Microsoft Sans Serif-4882-Iden"/>
          <w:color w:val="14131B"/>
          <w:sz w:val="21"/>
          <w:szCs w:val="21"/>
        </w:rPr>
        <w:t xml:space="preserve"> </w:t>
      </w:r>
    </w:p>
    <w:p w14:paraId="0FD74A69" w14:textId="77777777" w:rsidR="002B0CBC" w:rsidRDefault="002B0CBC" w:rsidP="002B0CBC">
      <w:pPr>
        <w:autoSpaceDE w:val="0"/>
        <w:autoSpaceDN w:val="0"/>
        <w:adjustRightInd w:val="0"/>
        <w:jc w:val="both"/>
        <w:rPr>
          <w:rFonts w:ascii="Abadi" w:hAnsi="Abadi" w:cs="*Microsoft Sans Serif-4882-Iden"/>
          <w:color w:val="14131B"/>
          <w:sz w:val="21"/>
          <w:szCs w:val="21"/>
        </w:rPr>
      </w:pPr>
    </w:p>
    <w:p w14:paraId="478690F0" w14:textId="272F1DFC" w:rsidR="002B0CBC" w:rsidRPr="0023003B" w:rsidRDefault="002B0CBC" w:rsidP="00AD2541">
      <w:pPr>
        <w:autoSpaceDE w:val="0"/>
        <w:autoSpaceDN w:val="0"/>
        <w:adjustRightInd w:val="0"/>
        <w:ind w:firstLine="708"/>
        <w:jc w:val="both"/>
        <w:rPr>
          <w:rFonts w:ascii="Abadi" w:hAnsi="Abadi" w:cs="*Microsoft Sans Serif-4882-Iden"/>
          <w:color w:val="14131C"/>
          <w:sz w:val="21"/>
          <w:szCs w:val="21"/>
        </w:rPr>
      </w:pPr>
      <w:r w:rsidRPr="0023003B">
        <w:rPr>
          <w:rFonts w:ascii="Abadi" w:hAnsi="Abadi" w:cs="*Microsoft Sans Serif-4882-Iden"/>
          <w:color w:val="14131C"/>
          <w:sz w:val="21"/>
          <w:szCs w:val="21"/>
        </w:rPr>
        <w:t>Asimismo, del informe de resultados podemos inferir que el Órgano Técnico</w:t>
      </w:r>
      <w:r>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en el desarrollo del procedimiento de auditoría, dio cumplimiento a las</w:t>
      </w:r>
      <w:r>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formalidades esenciales que la misma Ley establece para el proceso de</w:t>
      </w:r>
      <w:r>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fiscalización, al haberse practicado la auditoría que estaba contemplada en el</w:t>
      </w:r>
      <w:r>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Programa General de Fiscalización 2021, aprobado por el Auditor Superior del</w:t>
      </w:r>
      <w:r w:rsidR="00AD2541">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Estado. Asimismo, la auditoría se efectuó atendiendo a lo establecido en la</w:t>
      </w:r>
      <w:r>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normatividad aplicable en la materia, cumpliendo lo estipulado por el artículo 3 y el</w:t>
      </w:r>
      <w:r>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Capítulo VI del Título Segundo de la Ley de Fiscalización Superior del Estado de</w:t>
      </w:r>
      <w:r>
        <w:rPr>
          <w:rFonts w:ascii="Abadi" w:hAnsi="Abadi" w:cs="*Microsoft Sans Serif-4882-Iden"/>
          <w:color w:val="14131C"/>
          <w:sz w:val="21"/>
          <w:szCs w:val="21"/>
        </w:rPr>
        <w:t xml:space="preserve"> </w:t>
      </w:r>
      <w:r w:rsidRPr="0023003B">
        <w:rPr>
          <w:rFonts w:ascii="Abadi" w:hAnsi="Abadi" w:cs="*Microsoft Sans Serif-4882-Iden"/>
          <w:color w:val="14131C"/>
          <w:sz w:val="21"/>
          <w:szCs w:val="21"/>
        </w:rPr>
        <w:t>Guanajuato, así como el artículo 28 del Reglamento de dicha Ley</w:t>
      </w:r>
      <w:r>
        <w:rPr>
          <w:rFonts w:ascii="Abadi" w:hAnsi="Abadi" w:cs="*Microsoft Sans Serif-4882-Iden"/>
          <w:color w:val="14131C"/>
          <w:sz w:val="21"/>
          <w:szCs w:val="21"/>
        </w:rPr>
        <w:t xml:space="preserve"> </w:t>
      </w:r>
    </w:p>
    <w:p w14:paraId="10732766" w14:textId="77777777" w:rsidR="002B0CBC" w:rsidRPr="0023003B" w:rsidRDefault="002B0CBC" w:rsidP="002B0CBC">
      <w:pPr>
        <w:jc w:val="both"/>
        <w:rPr>
          <w:rFonts w:ascii="Abadi" w:hAnsi="Abadi" w:cs="*Microsoft Sans Serif-4882-Iden"/>
          <w:color w:val="14131C"/>
          <w:sz w:val="21"/>
          <w:szCs w:val="21"/>
        </w:rPr>
      </w:pPr>
    </w:p>
    <w:p w14:paraId="2CBB3039" w14:textId="77777777" w:rsidR="002B0CBC" w:rsidRDefault="002B0CBC" w:rsidP="002B0CBC">
      <w:pPr>
        <w:autoSpaceDE w:val="0"/>
        <w:autoSpaceDN w:val="0"/>
        <w:adjustRightInd w:val="0"/>
        <w:ind w:firstLine="708"/>
        <w:jc w:val="both"/>
        <w:rPr>
          <w:rFonts w:ascii="Abadi" w:hAnsi="Abadi" w:cs="*Arial-6203-Identity-H"/>
          <w:color w:val="14141C"/>
          <w:sz w:val="21"/>
          <w:szCs w:val="21"/>
        </w:rPr>
      </w:pPr>
      <w:r w:rsidRPr="0023003B">
        <w:rPr>
          <w:rFonts w:ascii="Abadi" w:hAnsi="Abadi" w:cs="*Arial-6203-Identity-H"/>
          <w:color w:val="14141C"/>
          <w:sz w:val="21"/>
          <w:szCs w:val="21"/>
        </w:rPr>
        <w:t>Finalmente, es de destacar que el cumplimiento de los Objetivos del</w:t>
      </w:r>
      <w:r>
        <w:rPr>
          <w:rFonts w:ascii="Abadi" w:hAnsi="Abadi" w:cs="*Arial-6203-Identity-H"/>
          <w:color w:val="14141C"/>
          <w:sz w:val="21"/>
          <w:szCs w:val="21"/>
        </w:rPr>
        <w:t xml:space="preserve"> </w:t>
      </w:r>
      <w:r w:rsidRPr="0023003B">
        <w:rPr>
          <w:rFonts w:ascii="Abadi" w:hAnsi="Abadi" w:cs="*Arial-6203-Identity-H"/>
          <w:color w:val="14141C"/>
          <w:sz w:val="21"/>
          <w:szCs w:val="21"/>
        </w:rPr>
        <w:t>Desarrollo Sostenible de la Agenda 2030 está presente en el dictamen puesto a su</w:t>
      </w:r>
      <w:r>
        <w:rPr>
          <w:rFonts w:ascii="Abadi" w:hAnsi="Abadi" w:cs="*Arial-6203-Identity-H"/>
          <w:color w:val="14141C"/>
          <w:sz w:val="21"/>
          <w:szCs w:val="21"/>
        </w:rPr>
        <w:t xml:space="preserve"> </w:t>
      </w:r>
      <w:r w:rsidRPr="0023003B">
        <w:rPr>
          <w:rFonts w:ascii="Abadi" w:hAnsi="Abadi" w:cs="*Arial-6203-Identity-H"/>
          <w:color w:val="14141C"/>
          <w:sz w:val="21"/>
          <w:szCs w:val="21"/>
        </w:rPr>
        <w:t>consideración, pues el mismo incide de manera directa en el Objetivo 16</w:t>
      </w:r>
      <w:r>
        <w:rPr>
          <w:rFonts w:ascii="Abadi" w:hAnsi="Abadi" w:cs="*Arial-6203-Identity-H"/>
          <w:color w:val="14141C"/>
          <w:sz w:val="21"/>
          <w:szCs w:val="21"/>
        </w:rPr>
        <w:t xml:space="preserve"> </w:t>
      </w:r>
      <w:r w:rsidRPr="0023003B">
        <w:rPr>
          <w:rFonts w:ascii="Abadi" w:hAnsi="Abadi" w:cs="*Arial-6203-Identity-H"/>
          <w:color w:val="14141C"/>
          <w:sz w:val="21"/>
          <w:szCs w:val="21"/>
        </w:rPr>
        <w:t>denominado Paz, Justicia e Instituciones Sólidas. Promover sociedades justas,</w:t>
      </w:r>
      <w:r>
        <w:rPr>
          <w:rFonts w:ascii="Abadi" w:hAnsi="Abadi" w:cs="*Arial-6203-Identity-H"/>
          <w:color w:val="14141C"/>
          <w:sz w:val="21"/>
          <w:szCs w:val="21"/>
        </w:rPr>
        <w:t xml:space="preserve"> </w:t>
      </w:r>
      <w:r w:rsidRPr="0023003B">
        <w:rPr>
          <w:rFonts w:ascii="Abadi" w:hAnsi="Abadi" w:cs="*Arial-6203-Identity-H"/>
          <w:color w:val="14141C"/>
          <w:sz w:val="21"/>
          <w:szCs w:val="21"/>
        </w:rPr>
        <w:t>pacíficas e inclusivas, respecto a la meta 16.6 Crear a todos los niveles</w:t>
      </w:r>
      <w:r>
        <w:rPr>
          <w:rFonts w:ascii="Abadi" w:hAnsi="Abadi" w:cs="*Arial-6203-Identity-H"/>
          <w:color w:val="14141C"/>
          <w:sz w:val="21"/>
          <w:szCs w:val="21"/>
        </w:rPr>
        <w:t xml:space="preserve"> </w:t>
      </w:r>
      <w:r w:rsidRPr="0023003B">
        <w:rPr>
          <w:rFonts w:ascii="Abadi" w:hAnsi="Abadi" w:cs="*Arial-6203-Identity-H"/>
          <w:color w:val="14141C"/>
          <w:sz w:val="21"/>
          <w:szCs w:val="21"/>
        </w:rPr>
        <w:t>instituciones eficaces y transparentes, al abonar a la transparencia y rendición de</w:t>
      </w:r>
      <w:r>
        <w:rPr>
          <w:rFonts w:ascii="Abadi" w:hAnsi="Abadi" w:cs="*Arial-6203-Identity-H"/>
          <w:color w:val="14141C"/>
          <w:sz w:val="21"/>
          <w:szCs w:val="21"/>
        </w:rPr>
        <w:t xml:space="preserve"> </w:t>
      </w:r>
      <w:r w:rsidRPr="0023003B">
        <w:rPr>
          <w:rFonts w:ascii="Abadi" w:hAnsi="Abadi" w:cs="*Arial-6203-Identity-H"/>
          <w:color w:val="14141C"/>
          <w:sz w:val="21"/>
          <w:szCs w:val="21"/>
        </w:rPr>
        <w:t>cuentas.</w:t>
      </w:r>
    </w:p>
    <w:p w14:paraId="2435CF14" w14:textId="77777777" w:rsidR="002B0CBC" w:rsidRPr="0023003B" w:rsidRDefault="002B0CBC" w:rsidP="002B0CBC">
      <w:pPr>
        <w:autoSpaceDE w:val="0"/>
        <w:autoSpaceDN w:val="0"/>
        <w:adjustRightInd w:val="0"/>
        <w:jc w:val="both"/>
        <w:rPr>
          <w:rFonts w:ascii="Abadi" w:hAnsi="Abadi" w:cs="*Arial-6203-Identity-H"/>
          <w:color w:val="14141C"/>
          <w:sz w:val="21"/>
          <w:szCs w:val="21"/>
        </w:rPr>
      </w:pPr>
    </w:p>
    <w:p w14:paraId="3F55F9F9" w14:textId="77777777" w:rsidR="002B0CBC" w:rsidRDefault="002B0CBC" w:rsidP="002B0CBC">
      <w:pPr>
        <w:autoSpaceDE w:val="0"/>
        <w:autoSpaceDN w:val="0"/>
        <w:adjustRightInd w:val="0"/>
        <w:ind w:firstLine="708"/>
        <w:jc w:val="both"/>
        <w:rPr>
          <w:rFonts w:ascii="Abadi" w:hAnsi="Abadi" w:cs="*Arial-6203-Identity-H"/>
          <w:color w:val="14131C"/>
          <w:sz w:val="21"/>
          <w:szCs w:val="21"/>
        </w:rPr>
      </w:pPr>
      <w:r w:rsidRPr="0023003B">
        <w:rPr>
          <w:rFonts w:ascii="Abadi" w:hAnsi="Abadi" w:cs="*Arial-6203-Identity-H"/>
          <w:color w:val="14131C"/>
          <w:sz w:val="21"/>
          <w:szCs w:val="21"/>
        </w:rPr>
        <w:t>En razón de lo anteriormente señalado, concluimos que el informe de</w:t>
      </w:r>
      <w:r>
        <w:rPr>
          <w:rFonts w:ascii="Abadi" w:hAnsi="Abadi" w:cs="*Arial-6203-Identity-H"/>
          <w:color w:val="14131C"/>
          <w:sz w:val="21"/>
          <w:szCs w:val="21"/>
        </w:rPr>
        <w:t xml:space="preserve"> </w:t>
      </w:r>
      <w:r w:rsidRPr="0023003B">
        <w:rPr>
          <w:rFonts w:ascii="Abadi" w:hAnsi="Abadi" w:cs="*Arial-6203-Identity-H"/>
          <w:color w:val="14131C"/>
          <w:sz w:val="21"/>
          <w:szCs w:val="21"/>
        </w:rPr>
        <w:t>resultados de la auditoría de desempeño practicada al Poder Ejecutivo del Estado</w:t>
      </w:r>
      <w:r>
        <w:rPr>
          <w:rFonts w:ascii="Abadi" w:hAnsi="Abadi" w:cs="*Arial-6203-Identity-H"/>
          <w:color w:val="14131C"/>
          <w:sz w:val="21"/>
          <w:szCs w:val="21"/>
        </w:rPr>
        <w:t xml:space="preserve"> </w:t>
      </w:r>
      <w:r w:rsidRPr="0023003B">
        <w:rPr>
          <w:rFonts w:ascii="Abadi" w:hAnsi="Abadi" w:cs="*Arial-6203-Identity-H"/>
          <w:color w:val="14131C"/>
          <w:sz w:val="21"/>
          <w:szCs w:val="21"/>
        </w:rPr>
        <w:t xml:space="preserve">de Guanajuato con enfoque de resultados del Programa Q3391 </w:t>
      </w:r>
      <w:r w:rsidRPr="0023003B">
        <w:rPr>
          <w:rFonts w:ascii="Abadi" w:hAnsi="Abadi" w:cs="*Microsoft Sans Serif-Italic-62"/>
          <w:i/>
          <w:iCs/>
          <w:color w:val="14131C"/>
          <w:sz w:val="21"/>
          <w:szCs w:val="21"/>
        </w:rPr>
        <w:t>Vale Grandeza</w:t>
      </w:r>
      <w:r>
        <w:rPr>
          <w:rFonts w:ascii="Abadi" w:hAnsi="Abadi" w:cs="*Microsoft Sans Serif-Italic-62"/>
          <w:i/>
          <w:iCs/>
          <w:color w:val="14131C"/>
          <w:sz w:val="21"/>
          <w:szCs w:val="21"/>
        </w:rPr>
        <w:t xml:space="preserve"> </w:t>
      </w:r>
      <w:r w:rsidRPr="0023003B">
        <w:rPr>
          <w:rFonts w:ascii="Abadi" w:hAnsi="Abadi" w:cs="*Microsoft Sans Serif-Italic-62"/>
          <w:i/>
          <w:iCs/>
          <w:color w:val="14131C"/>
          <w:sz w:val="21"/>
          <w:szCs w:val="21"/>
        </w:rPr>
        <w:t>Compra</w:t>
      </w:r>
      <w:r>
        <w:rPr>
          <w:rFonts w:ascii="Abadi" w:hAnsi="Abadi" w:cs="*Microsoft Sans Serif-Italic-62"/>
          <w:i/>
          <w:iCs/>
          <w:color w:val="14131C"/>
          <w:sz w:val="21"/>
          <w:szCs w:val="21"/>
        </w:rPr>
        <w:t xml:space="preserve"> </w:t>
      </w:r>
      <w:r w:rsidRPr="0023003B">
        <w:rPr>
          <w:rFonts w:ascii="Abadi" w:hAnsi="Abadi" w:cs="*Microsoft Sans Serif-Italic-62"/>
          <w:i/>
          <w:iCs/>
          <w:color w:val="14131C"/>
          <w:sz w:val="21"/>
          <w:szCs w:val="21"/>
        </w:rPr>
        <w:t xml:space="preserve">Local, </w:t>
      </w:r>
      <w:r w:rsidRPr="0023003B">
        <w:rPr>
          <w:rFonts w:ascii="Abadi" w:hAnsi="Abadi" w:cs="*Arial-6203-Identity-H"/>
          <w:color w:val="14131C"/>
          <w:sz w:val="21"/>
          <w:szCs w:val="21"/>
        </w:rPr>
        <w:t>por el ejercicio fiscal del año 2020, debe sancionarse por el</w:t>
      </w:r>
      <w:r>
        <w:rPr>
          <w:rFonts w:ascii="Abadi" w:hAnsi="Abadi" w:cs="*Arial-6203-Identity-H"/>
          <w:color w:val="14131C"/>
          <w:sz w:val="21"/>
          <w:szCs w:val="21"/>
        </w:rPr>
        <w:t xml:space="preserve"> </w:t>
      </w:r>
      <w:r w:rsidRPr="0023003B">
        <w:rPr>
          <w:rFonts w:ascii="Abadi" w:hAnsi="Abadi" w:cs="*Arial-6203-Identity-H"/>
          <w:color w:val="14131C"/>
          <w:sz w:val="21"/>
          <w:szCs w:val="21"/>
        </w:rPr>
        <w:t>Congreso en los términos presentados por la Auditoría Superior del Estado y</w:t>
      </w:r>
      <w:r>
        <w:rPr>
          <w:rFonts w:ascii="Abadi" w:hAnsi="Abadi" w:cs="*Arial-6203-Identity-H"/>
          <w:color w:val="14131C"/>
          <w:sz w:val="21"/>
          <w:szCs w:val="21"/>
        </w:rPr>
        <w:t xml:space="preserve"> </w:t>
      </w:r>
      <w:r w:rsidRPr="0023003B">
        <w:rPr>
          <w:rFonts w:ascii="Abadi" w:hAnsi="Abadi" w:cs="*Arial-6203-Identity-H"/>
          <w:color w:val="14131C"/>
          <w:sz w:val="21"/>
          <w:szCs w:val="21"/>
        </w:rPr>
        <w:t>proceder a su aprobación, considerando que no se presenta el supuesto contenido</w:t>
      </w:r>
      <w:r>
        <w:rPr>
          <w:rFonts w:ascii="Abadi" w:hAnsi="Abadi" w:cs="*Arial-6203-Identity-H"/>
          <w:color w:val="14131C"/>
          <w:sz w:val="21"/>
          <w:szCs w:val="21"/>
        </w:rPr>
        <w:t xml:space="preserve"> </w:t>
      </w:r>
      <w:r w:rsidRPr="0023003B">
        <w:rPr>
          <w:rFonts w:ascii="Abadi" w:hAnsi="Abadi" w:cs="*Arial-6203-Identity-H"/>
          <w:color w:val="14131C"/>
          <w:sz w:val="21"/>
          <w:szCs w:val="21"/>
        </w:rPr>
        <w:t>en el artículo 38 de la Ley de Fiscalización Superior del Estado de Guanajuato,</w:t>
      </w:r>
      <w:r>
        <w:rPr>
          <w:rFonts w:ascii="Abadi" w:hAnsi="Abadi" w:cs="*Arial-6203-Identity-H"/>
          <w:color w:val="14131C"/>
          <w:sz w:val="21"/>
          <w:szCs w:val="21"/>
        </w:rPr>
        <w:t xml:space="preserve"> </w:t>
      </w:r>
      <w:r w:rsidRPr="0023003B">
        <w:rPr>
          <w:rFonts w:ascii="Abadi" w:hAnsi="Abadi" w:cs="*Arial-6203-Identity-H"/>
          <w:color w:val="14131C"/>
          <w:sz w:val="21"/>
          <w:szCs w:val="21"/>
        </w:rPr>
        <w:t>razón por la cual no podría ser observado por el Pleno del Congreso.</w:t>
      </w:r>
      <w:r>
        <w:rPr>
          <w:rFonts w:ascii="Abadi" w:hAnsi="Abadi" w:cs="*Arial-6203-Identity-H"/>
          <w:color w:val="14131C"/>
          <w:sz w:val="21"/>
          <w:szCs w:val="21"/>
        </w:rPr>
        <w:t xml:space="preserve"> </w:t>
      </w:r>
    </w:p>
    <w:p w14:paraId="606398C7" w14:textId="77777777" w:rsidR="002B0CBC" w:rsidRDefault="002B0CBC" w:rsidP="002B0CBC">
      <w:pPr>
        <w:autoSpaceDE w:val="0"/>
        <w:autoSpaceDN w:val="0"/>
        <w:adjustRightInd w:val="0"/>
        <w:jc w:val="both"/>
        <w:rPr>
          <w:rFonts w:ascii="Abadi" w:hAnsi="Abadi" w:cs="*Arial-6203-Identity-H"/>
          <w:color w:val="14131C"/>
          <w:sz w:val="21"/>
          <w:szCs w:val="21"/>
        </w:rPr>
      </w:pPr>
    </w:p>
    <w:p w14:paraId="67E8E388" w14:textId="77777777" w:rsidR="002B0CBC" w:rsidRPr="0023003B" w:rsidRDefault="002B0CBC" w:rsidP="002B0CBC">
      <w:pPr>
        <w:autoSpaceDE w:val="0"/>
        <w:autoSpaceDN w:val="0"/>
        <w:adjustRightInd w:val="0"/>
        <w:ind w:firstLine="708"/>
        <w:jc w:val="both"/>
        <w:rPr>
          <w:rFonts w:ascii="Abadi" w:hAnsi="Abadi" w:cs="*Arial-6203-Identity-H"/>
          <w:color w:val="14141C"/>
          <w:sz w:val="21"/>
          <w:szCs w:val="21"/>
        </w:rPr>
      </w:pPr>
      <w:r w:rsidRPr="0023003B">
        <w:rPr>
          <w:rFonts w:ascii="Abadi" w:hAnsi="Abadi" w:cs="*Arial-6203-Identity-H"/>
          <w:color w:val="14141C"/>
          <w:sz w:val="21"/>
          <w:szCs w:val="21"/>
        </w:rPr>
        <w:t>Por lo expuesto, con fundamento en el artículo 204 de la Ley Orgánica del</w:t>
      </w:r>
      <w:r>
        <w:rPr>
          <w:rFonts w:ascii="Abadi" w:hAnsi="Abadi" w:cs="*Arial-6203-Identity-H"/>
          <w:color w:val="14141C"/>
          <w:sz w:val="21"/>
          <w:szCs w:val="21"/>
        </w:rPr>
        <w:t xml:space="preserve"> </w:t>
      </w:r>
      <w:r w:rsidRPr="0023003B">
        <w:rPr>
          <w:rFonts w:ascii="Abadi" w:hAnsi="Abadi" w:cs="*Arial-6203-Identity-H"/>
          <w:color w:val="14141C"/>
          <w:sz w:val="21"/>
          <w:szCs w:val="21"/>
        </w:rPr>
        <w:t xml:space="preserve">Poder Legislativo, nos permitimos someter a la consideración </w:t>
      </w:r>
      <w:r>
        <w:rPr>
          <w:rFonts w:ascii="Abadi" w:hAnsi="Abadi" w:cs="*Arial-6203-Identity-H"/>
          <w:color w:val="14141C"/>
          <w:sz w:val="21"/>
          <w:szCs w:val="21"/>
        </w:rPr>
        <w:t xml:space="preserve">de </w:t>
      </w:r>
      <w:r w:rsidRPr="0023003B">
        <w:rPr>
          <w:rFonts w:ascii="Abadi" w:hAnsi="Abadi" w:cs="*Arial-6203-Identity-H"/>
          <w:color w:val="14141C"/>
          <w:sz w:val="21"/>
          <w:szCs w:val="21"/>
        </w:rPr>
        <w:t>la Asamblea, la</w:t>
      </w:r>
      <w:r>
        <w:rPr>
          <w:rFonts w:ascii="Abadi" w:hAnsi="Abadi" w:cs="*Arial-6203-Identity-H"/>
          <w:color w:val="14141C"/>
          <w:sz w:val="21"/>
          <w:szCs w:val="21"/>
        </w:rPr>
        <w:t xml:space="preserve"> </w:t>
      </w:r>
      <w:r w:rsidRPr="0023003B">
        <w:rPr>
          <w:rFonts w:ascii="Abadi" w:hAnsi="Abadi" w:cs="*Arial-6203-Identity-H"/>
          <w:color w:val="14141C"/>
          <w:sz w:val="21"/>
          <w:szCs w:val="21"/>
        </w:rPr>
        <w:t>aprobación del siguiente:</w:t>
      </w:r>
    </w:p>
    <w:p w14:paraId="6C6DBF0E" w14:textId="77777777" w:rsidR="002B0CBC" w:rsidRDefault="002B0CBC" w:rsidP="002B0CBC">
      <w:pPr>
        <w:autoSpaceDE w:val="0"/>
        <w:autoSpaceDN w:val="0"/>
        <w:adjustRightInd w:val="0"/>
        <w:jc w:val="both"/>
        <w:rPr>
          <w:rFonts w:ascii="Abadi" w:hAnsi="Abadi" w:cs="*Arial-Bold-6204-Identity-H"/>
          <w:b/>
          <w:bCs/>
          <w:color w:val="16141F"/>
          <w:sz w:val="21"/>
          <w:szCs w:val="21"/>
        </w:rPr>
      </w:pPr>
    </w:p>
    <w:p w14:paraId="49477672" w14:textId="77777777" w:rsidR="002B0CBC" w:rsidRDefault="002B0CBC" w:rsidP="002B0CBC">
      <w:pPr>
        <w:autoSpaceDE w:val="0"/>
        <w:autoSpaceDN w:val="0"/>
        <w:adjustRightInd w:val="0"/>
        <w:jc w:val="center"/>
        <w:rPr>
          <w:rFonts w:ascii="Abadi" w:hAnsi="Abadi" w:cs="*Arial-Bold-6204-Identity-H"/>
          <w:b/>
          <w:bCs/>
          <w:color w:val="16141F"/>
          <w:sz w:val="21"/>
          <w:szCs w:val="21"/>
        </w:rPr>
      </w:pPr>
      <w:r w:rsidRPr="0023003B">
        <w:rPr>
          <w:rFonts w:ascii="Abadi" w:hAnsi="Abadi" w:cs="*Arial-Bold-6204-Identity-H"/>
          <w:b/>
          <w:bCs/>
          <w:color w:val="16141F"/>
          <w:sz w:val="21"/>
          <w:szCs w:val="21"/>
        </w:rPr>
        <w:t>ACUERDO</w:t>
      </w:r>
    </w:p>
    <w:p w14:paraId="5597BEB7" w14:textId="77777777" w:rsidR="002B0CBC" w:rsidRPr="0023003B" w:rsidRDefault="002B0CBC" w:rsidP="002B0CBC">
      <w:pPr>
        <w:autoSpaceDE w:val="0"/>
        <w:autoSpaceDN w:val="0"/>
        <w:adjustRightInd w:val="0"/>
        <w:jc w:val="both"/>
        <w:rPr>
          <w:rFonts w:ascii="Abadi" w:hAnsi="Abadi" w:cs="*Arial-Bold-6204-Identity-H"/>
          <w:b/>
          <w:bCs/>
          <w:color w:val="16141F"/>
          <w:sz w:val="21"/>
          <w:szCs w:val="21"/>
        </w:rPr>
      </w:pPr>
    </w:p>
    <w:p w14:paraId="397C6160" w14:textId="77777777" w:rsidR="002B0CBC" w:rsidRDefault="002B0CBC" w:rsidP="002B0CBC">
      <w:pPr>
        <w:autoSpaceDE w:val="0"/>
        <w:autoSpaceDN w:val="0"/>
        <w:adjustRightInd w:val="0"/>
        <w:ind w:firstLine="708"/>
        <w:jc w:val="both"/>
        <w:rPr>
          <w:rFonts w:ascii="Abadi" w:hAnsi="Abadi" w:cs="*Arial-6203-Identity-H"/>
          <w:color w:val="15131C"/>
          <w:sz w:val="21"/>
          <w:szCs w:val="21"/>
        </w:rPr>
      </w:pPr>
      <w:r w:rsidRPr="0023003B">
        <w:rPr>
          <w:rFonts w:ascii="Abadi" w:hAnsi="Abadi" w:cs="*Arial-Bold-6204-Identity-H"/>
          <w:b/>
          <w:bCs/>
          <w:color w:val="15131C"/>
          <w:sz w:val="21"/>
          <w:szCs w:val="21"/>
        </w:rPr>
        <w:t xml:space="preserve">Único. </w:t>
      </w:r>
      <w:r w:rsidRPr="0023003B">
        <w:rPr>
          <w:rFonts w:ascii="Abadi" w:hAnsi="Abadi" w:cs="*Arial-6203-Identity-H"/>
          <w:color w:val="15131C"/>
          <w:sz w:val="21"/>
          <w:szCs w:val="21"/>
        </w:rPr>
        <w:t>Con fundamento en el artículo 63 fracción XVIII de la Constitución</w:t>
      </w:r>
      <w:r>
        <w:rPr>
          <w:rFonts w:ascii="Abadi" w:hAnsi="Abadi" w:cs="*Arial-6203-Identity-H"/>
          <w:color w:val="15131C"/>
          <w:sz w:val="21"/>
          <w:szCs w:val="21"/>
        </w:rPr>
        <w:t xml:space="preserve"> </w:t>
      </w:r>
      <w:r w:rsidRPr="0023003B">
        <w:rPr>
          <w:rFonts w:ascii="Abadi" w:hAnsi="Abadi" w:cs="*Arial-6203-Identity-H"/>
          <w:color w:val="15131C"/>
          <w:sz w:val="21"/>
          <w:szCs w:val="21"/>
        </w:rPr>
        <w:t>Política para el Estado, en relación con los artículos 3, fracción V, 5, fracción IV,</w:t>
      </w:r>
      <w:r>
        <w:rPr>
          <w:rFonts w:ascii="Abadi" w:hAnsi="Abadi" w:cs="*Arial-6203-Identity-H"/>
          <w:color w:val="15131C"/>
          <w:sz w:val="21"/>
          <w:szCs w:val="21"/>
        </w:rPr>
        <w:t xml:space="preserve"> </w:t>
      </w:r>
      <w:r w:rsidRPr="0023003B">
        <w:rPr>
          <w:rFonts w:ascii="Abadi" w:hAnsi="Abadi" w:cs="*Arial-6203-Identity-H"/>
          <w:color w:val="15131C"/>
          <w:sz w:val="21"/>
          <w:szCs w:val="21"/>
        </w:rPr>
        <w:t>56, 59 y 60 de la Ley de Fiscalización Superior del Estado de Guanajuato y 28 del</w:t>
      </w:r>
      <w:r>
        <w:rPr>
          <w:rFonts w:ascii="Abadi" w:hAnsi="Abadi" w:cs="*Arial-6203-Identity-H"/>
          <w:color w:val="15131C"/>
          <w:sz w:val="21"/>
          <w:szCs w:val="21"/>
        </w:rPr>
        <w:t xml:space="preserve"> </w:t>
      </w:r>
      <w:r w:rsidRPr="0023003B">
        <w:rPr>
          <w:rFonts w:ascii="Abadi" w:hAnsi="Abadi" w:cs="*Arial-6203-Identity-H"/>
          <w:color w:val="15131C"/>
          <w:sz w:val="21"/>
          <w:szCs w:val="21"/>
        </w:rPr>
        <w:t>Reglamento de la Ley de Fiscalización Superior del Estado de Guanajuato, se</w:t>
      </w:r>
      <w:r>
        <w:rPr>
          <w:rFonts w:ascii="Abadi" w:hAnsi="Abadi" w:cs="*Arial-6203-Identity-H"/>
          <w:color w:val="15131C"/>
          <w:sz w:val="21"/>
          <w:szCs w:val="21"/>
        </w:rPr>
        <w:t xml:space="preserve"> </w:t>
      </w:r>
      <w:r w:rsidRPr="0023003B">
        <w:rPr>
          <w:rFonts w:ascii="Abadi" w:hAnsi="Abadi" w:cs="*Arial-6203-Identity-H"/>
          <w:color w:val="15131C"/>
          <w:sz w:val="21"/>
          <w:szCs w:val="21"/>
        </w:rPr>
        <w:t>aprueba el informe de resultados formulado por la Auditoría Superior del Estado</w:t>
      </w:r>
      <w:r>
        <w:rPr>
          <w:rFonts w:ascii="Abadi" w:hAnsi="Abadi" w:cs="*Arial-6203-Identity-H"/>
          <w:color w:val="15131C"/>
          <w:sz w:val="21"/>
          <w:szCs w:val="21"/>
        </w:rPr>
        <w:t xml:space="preserve"> </w:t>
      </w:r>
      <w:r w:rsidRPr="0023003B">
        <w:rPr>
          <w:rFonts w:ascii="Abadi" w:hAnsi="Abadi" w:cs="*Arial-6203-Identity-H"/>
          <w:color w:val="15131C"/>
          <w:sz w:val="21"/>
          <w:szCs w:val="21"/>
        </w:rPr>
        <w:t>de Guanajuato, de la auditoría de desempeño practicada al Poder Ejecutivo del</w:t>
      </w:r>
      <w:r>
        <w:rPr>
          <w:rFonts w:ascii="Abadi" w:hAnsi="Abadi" w:cs="*Arial-6203-Identity-H"/>
          <w:color w:val="15131C"/>
          <w:sz w:val="21"/>
          <w:szCs w:val="21"/>
        </w:rPr>
        <w:t xml:space="preserve"> </w:t>
      </w:r>
      <w:r w:rsidRPr="0023003B">
        <w:rPr>
          <w:rFonts w:ascii="Abadi" w:hAnsi="Abadi" w:cs="*Arial-6203-Identity-H"/>
          <w:color w:val="15131C"/>
          <w:sz w:val="21"/>
          <w:szCs w:val="21"/>
        </w:rPr>
        <w:t xml:space="preserve">Estado de Guanajuato con enfoque de resultados del Programa Q3391 </w:t>
      </w:r>
      <w:r w:rsidRPr="0023003B">
        <w:rPr>
          <w:rFonts w:ascii="Abadi" w:hAnsi="Abadi" w:cs="*Microsoft Sans Serif-Italic-62"/>
          <w:i/>
          <w:iCs/>
          <w:color w:val="15131C"/>
          <w:sz w:val="21"/>
          <w:szCs w:val="21"/>
        </w:rPr>
        <w:t>Vale</w:t>
      </w:r>
      <w:r>
        <w:rPr>
          <w:rFonts w:ascii="Abadi" w:hAnsi="Abadi" w:cs="*Microsoft Sans Serif-Italic-62"/>
          <w:i/>
          <w:iCs/>
          <w:color w:val="15131C"/>
          <w:sz w:val="21"/>
          <w:szCs w:val="21"/>
        </w:rPr>
        <w:t xml:space="preserve"> </w:t>
      </w:r>
      <w:r w:rsidRPr="0023003B">
        <w:rPr>
          <w:rFonts w:ascii="Abadi" w:hAnsi="Abadi" w:cs="*Microsoft Sans Serif-Italic-62"/>
          <w:i/>
          <w:iCs/>
          <w:color w:val="15131C"/>
          <w:sz w:val="21"/>
          <w:szCs w:val="21"/>
        </w:rPr>
        <w:t xml:space="preserve">Grandeza-Compra Local, </w:t>
      </w:r>
      <w:r w:rsidRPr="0023003B">
        <w:rPr>
          <w:rFonts w:ascii="Abadi" w:hAnsi="Abadi" w:cs="*Arial-6203-Identity-H"/>
          <w:color w:val="15131C"/>
          <w:sz w:val="21"/>
          <w:szCs w:val="21"/>
        </w:rPr>
        <w:t>a cargo de la Secretaría de Desarrollo Económico</w:t>
      </w:r>
      <w:r>
        <w:rPr>
          <w:rFonts w:ascii="Abadi" w:hAnsi="Abadi" w:cs="*Arial-6203-Identity-H"/>
          <w:color w:val="15131C"/>
          <w:sz w:val="21"/>
          <w:szCs w:val="21"/>
        </w:rPr>
        <w:t xml:space="preserve"> </w:t>
      </w:r>
      <w:r w:rsidRPr="0023003B">
        <w:rPr>
          <w:rFonts w:ascii="Abadi" w:hAnsi="Abadi" w:cs="*Arial-6203-Identity-H"/>
          <w:color w:val="15131C"/>
          <w:sz w:val="21"/>
          <w:szCs w:val="21"/>
        </w:rPr>
        <w:t>Sustentable, por el periodo comprendido del 1 de enero al 31 de diciembre del</w:t>
      </w:r>
      <w:r>
        <w:rPr>
          <w:rFonts w:ascii="Abadi" w:hAnsi="Abadi" w:cs="*Arial-6203-Identity-H"/>
          <w:color w:val="15131C"/>
          <w:sz w:val="21"/>
          <w:szCs w:val="21"/>
        </w:rPr>
        <w:t xml:space="preserve"> </w:t>
      </w:r>
      <w:r w:rsidRPr="0023003B">
        <w:rPr>
          <w:rFonts w:ascii="Abadi" w:hAnsi="Abadi" w:cs="*Arial-6203-Identity-H"/>
          <w:color w:val="15131C"/>
          <w:sz w:val="21"/>
          <w:szCs w:val="21"/>
        </w:rPr>
        <w:t>ejercicio fiscal del año 2020.</w:t>
      </w:r>
    </w:p>
    <w:p w14:paraId="73B0731E" w14:textId="77777777" w:rsidR="002B0CBC" w:rsidRPr="0023003B" w:rsidRDefault="002B0CBC" w:rsidP="002B0CBC">
      <w:pPr>
        <w:autoSpaceDE w:val="0"/>
        <w:autoSpaceDN w:val="0"/>
        <w:adjustRightInd w:val="0"/>
        <w:jc w:val="both"/>
        <w:rPr>
          <w:rFonts w:ascii="Abadi" w:hAnsi="Abadi" w:cs="*Arial-6203-Identity-H"/>
          <w:color w:val="15131C"/>
          <w:sz w:val="21"/>
          <w:szCs w:val="21"/>
        </w:rPr>
      </w:pPr>
    </w:p>
    <w:p w14:paraId="533D3E88" w14:textId="77777777" w:rsidR="002B0CBC" w:rsidRDefault="002B0CBC" w:rsidP="002B0CBC">
      <w:pPr>
        <w:autoSpaceDE w:val="0"/>
        <w:autoSpaceDN w:val="0"/>
        <w:adjustRightInd w:val="0"/>
        <w:ind w:firstLine="708"/>
        <w:jc w:val="both"/>
        <w:rPr>
          <w:rFonts w:ascii="Abadi" w:hAnsi="Abadi" w:cs="*Arial-5209-Identity-H"/>
          <w:color w:val="14131B"/>
          <w:sz w:val="21"/>
          <w:szCs w:val="21"/>
        </w:rPr>
      </w:pPr>
      <w:r w:rsidRPr="0023003B">
        <w:rPr>
          <w:rFonts w:ascii="Abadi" w:hAnsi="Abadi" w:cs="*Arial-6203-Identity-H"/>
          <w:color w:val="15141C"/>
          <w:sz w:val="21"/>
          <w:szCs w:val="21"/>
        </w:rPr>
        <w:t>Se ordena dar vista del informe de resultados al Gobernador del Estado, al</w:t>
      </w:r>
      <w:r>
        <w:rPr>
          <w:rFonts w:ascii="Abadi" w:hAnsi="Abadi" w:cs="*Arial-6203-Identity-H"/>
          <w:color w:val="15141C"/>
          <w:sz w:val="21"/>
          <w:szCs w:val="21"/>
        </w:rPr>
        <w:t xml:space="preserve"> </w:t>
      </w:r>
      <w:r w:rsidRPr="0023003B">
        <w:rPr>
          <w:rFonts w:ascii="Abadi" w:hAnsi="Abadi" w:cs="*Arial-6203-Identity-H"/>
          <w:color w:val="15141C"/>
          <w:sz w:val="21"/>
          <w:szCs w:val="21"/>
        </w:rPr>
        <w:t>Secretario de Finanzas, Inversión y Administración, al Secretario de Desarrollo</w:t>
      </w:r>
      <w:r>
        <w:rPr>
          <w:rFonts w:ascii="Abadi" w:hAnsi="Abadi" w:cs="*Arial-6203-Identity-H"/>
          <w:color w:val="15141C"/>
          <w:sz w:val="21"/>
          <w:szCs w:val="21"/>
        </w:rPr>
        <w:t xml:space="preserve"> </w:t>
      </w:r>
      <w:r w:rsidRPr="0023003B">
        <w:rPr>
          <w:rFonts w:ascii="Abadi" w:hAnsi="Abadi" w:cs="*Arial-6203-Identity-H"/>
          <w:color w:val="15141C"/>
          <w:sz w:val="21"/>
          <w:szCs w:val="21"/>
        </w:rPr>
        <w:t>Económico Sustentable y al Secretario de Desarrollo Social y Humano, a efecto de</w:t>
      </w:r>
      <w:r>
        <w:rPr>
          <w:rFonts w:ascii="Abadi" w:hAnsi="Abadi" w:cs="*Arial-6203-Identity-H"/>
          <w:color w:val="15141C"/>
          <w:sz w:val="21"/>
          <w:szCs w:val="21"/>
        </w:rPr>
        <w:t xml:space="preserve"> </w:t>
      </w:r>
      <w:r w:rsidRPr="0023003B">
        <w:rPr>
          <w:rFonts w:ascii="Abadi" w:hAnsi="Abadi" w:cs="*Arial-6203-Identity-H"/>
          <w:color w:val="15141C"/>
          <w:sz w:val="21"/>
          <w:szCs w:val="21"/>
        </w:rPr>
        <w:t>que se atiendan las recomendaciones contenidas en el informe de resultados,</w:t>
      </w:r>
      <w:r>
        <w:rPr>
          <w:rFonts w:ascii="Abadi" w:hAnsi="Abadi" w:cs="*Arial-6203-Identity-H"/>
          <w:color w:val="15141C"/>
          <w:sz w:val="21"/>
          <w:szCs w:val="21"/>
        </w:rPr>
        <w:t xml:space="preserve"> </w:t>
      </w:r>
      <w:r w:rsidRPr="0023003B">
        <w:rPr>
          <w:rFonts w:ascii="Abadi" w:hAnsi="Abadi" w:cs="*Arial-6203-Identity-H"/>
          <w:color w:val="15141C"/>
          <w:sz w:val="21"/>
          <w:szCs w:val="21"/>
        </w:rPr>
        <w:t>informando a la Auditoría Superior del Estado de las acciones realizadas para ello,</w:t>
      </w:r>
      <w:r>
        <w:rPr>
          <w:rFonts w:ascii="Abadi" w:hAnsi="Abadi" w:cs="*Arial-6203-Identity-H"/>
          <w:color w:val="15141C"/>
          <w:sz w:val="21"/>
          <w:szCs w:val="21"/>
        </w:rPr>
        <w:t xml:space="preserve"> </w:t>
      </w:r>
      <w:r w:rsidRPr="0023003B">
        <w:rPr>
          <w:rFonts w:ascii="Abadi" w:hAnsi="Abadi" w:cs="*Arial-6203-Identity-H"/>
          <w:color w:val="15141C"/>
          <w:sz w:val="21"/>
          <w:szCs w:val="21"/>
        </w:rPr>
        <w:t>con objeto de que esta última realice el seguimiento correspondiente, previsto en</w:t>
      </w:r>
      <w:r>
        <w:rPr>
          <w:rFonts w:ascii="Abadi" w:hAnsi="Abadi" w:cs="*Arial-6203-Identity-H"/>
          <w:color w:val="15141C"/>
          <w:sz w:val="21"/>
          <w:szCs w:val="21"/>
        </w:rPr>
        <w:t xml:space="preserve"> </w:t>
      </w:r>
      <w:r w:rsidRPr="0023003B">
        <w:rPr>
          <w:rFonts w:ascii="Abadi" w:hAnsi="Abadi" w:cs="*Arial-5209-Identity-H"/>
          <w:color w:val="14131B"/>
          <w:sz w:val="21"/>
          <w:szCs w:val="21"/>
        </w:rPr>
        <w:t>los artículos 37, fracción VII, 65 y 66 de la Ley de Fiscalización Superior del</w:t>
      </w:r>
      <w:r>
        <w:rPr>
          <w:rFonts w:ascii="Abadi" w:hAnsi="Abadi" w:cs="*Arial-5209-Identity-H"/>
          <w:color w:val="14131B"/>
          <w:sz w:val="21"/>
          <w:szCs w:val="21"/>
        </w:rPr>
        <w:t xml:space="preserve"> </w:t>
      </w:r>
      <w:r w:rsidRPr="0023003B">
        <w:rPr>
          <w:rFonts w:ascii="Abadi" w:hAnsi="Abadi" w:cs="*Arial-5209-Identity-H"/>
          <w:color w:val="14131B"/>
          <w:sz w:val="21"/>
          <w:szCs w:val="21"/>
        </w:rPr>
        <w:t>Estado de Guanajuato y 77 del Reglamento de dicha Ley.</w:t>
      </w:r>
      <w:r>
        <w:rPr>
          <w:rFonts w:ascii="Abadi" w:hAnsi="Abadi" w:cs="*Arial-5209-Identity-H"/>
          <w:color w:val="14131B"/>
          <w:sz w:val="21"/>
          <w:szCs w:val="21"/>
        </w:rPr>
        <w:t xml:space="preserve"> </w:t>
      </w:r>
    </w:p>
    <w:p w14:paraId="6F94D254" w14:textId="77777777" w:rsidR="002B0CBC" w:rsidRDefault="002B0CBC" w:rsidP="002B0CBC">
      <w:pPr>
        <w:autoSpaceDE w:val="0"/>
        <w:autoSpaceDN w:val="0"/>
        <w:adjustRightInd w:val="0"/>
        <w:jc w:val="both"/>
        <w:rPr>
          <w:rFonts w:ascii="Abadi" w:hAnsi="Abadi" w:cs="*Arial-5209-Identity-H"/>
          <w:color w:val="14131B"/>
          <w:sz w:val="21"/>
          <w:szCs w:val="21"/>
        </w:rPr>
      </w:pPr>
    </w:p>
    <w:p w14:paraId="3B55C213" w14:textId="1CA69B24" w:rsidR="002B0CBC" w:rsidRDefault="002B0CBC" w:rsidP="002B0CBC">
      <w:pPr>
        <w:autoSpaceDE w:val="0"/>
        <w:autoSpaceDN w:val="0"/>
        <w:adjustRightInd w:val="0"/>
        <w:ind w:firstLine="708"/>
        <w:jc w:val="both"/>
        <w:rPr>
          <w:rFonts w:ascii="Abadi" w:hAnsi="Abadi" w:cs="*Arial-5209-Identity-H"/>
          <w:color w:val="161420"/>
          <w:sz w:val="21"/>
          <w:szCs w:val="21"/>
        </w:rPr>
      </w:pPr>
      <w:r w:rsidRPr="0023003B">
        <w:rPr>
          <w:rFonts w:ascii="Abadi" w:hAnsi="Abadi" w:cs="*Arial-5209-Identity-H"/>
          <w:color w:val="161420"/>
          <w:sz w:val="21"/>
          <w:szCs w:val="21"/>
        </w:rPr>
        <w:t>De conformidad con el artículo 37, fracción V de I Ley de Fiscalización</w:t>
      </w:r>
      <w:r>
        <w:rPr>
          <w:rFonts w:ascii="Abadi" w:hAnsi="Abadi" w:cs="*Arial-5209-Identity-H"/>
          <w:color w:val="161420"/>
          <w:sz w:val="21"/>
          <w:szCs w:val="21"/>
        </w:rPr>
        <w:t xml:space="preserve"> </w:t>
      </w:r>
      <w:r w:rsidRPr="0023003B">
        <w:rPr>
          <w:rFonts w:ascii="Abadi" w:hAnsi="Abadi" w:cs="*Arial-5209-Identity-H"/>
          <w:color w:val="161420"/>
          <w:sz w:val="21"/>
          <w:szCs w:val="21"/>
        </w:rPr>
        <w:t xml:space="preserve">Superior del Estado de Guanajuato, remítase el </w:t>
      </w:r>
      <w:r>
        <w:rPr>
          <w:rFonts w:ascii="Abadi" w:hAnsi="Abadi" w:cs="*Arial-5209-Identity-H"/>
          <w:color w:val="161420"/>
          <w:sz w:val="21"/>
          <w:szCs w:val="21"/>
        </w:rPr>
        <w:t>pr</w:t>
      </w:r>
      <w:r w:rsidRPr="0023003B">
        <w:rPr>
          <w:rFonts w:ascii="Abadi" w:hAnsi="Abadi" w:cs="*Arial-5209-Identity-H"/>
          <w:color w:val="161420"/>
          <w:sz w:val="21"/>
          <w:szCs w:val="21"/>
        </w:rPr>
        <w:t>esente cuerdo junto con su</w:t>
      </w:r>
      <w:r>
        <w:rPr>
          <w:rFonts w:ascii="Abadi" w:hAnsi="Abadi" w:cs="*Arial-5209-Identity-H"/>
          <w:color w:val="161420"/>
          <w:sz w:val="21"/>
          <w:szCs w:val="21"/>
        </w:rPr>
        <w:t xml:space="preserve"> </w:t>
      </w:r>
      <w:r w:rsidRPr="0023003B">
        <w:rPr>
          <w:rFonts w:ascii="Abadi" w:hAnsi="Abadi" w:cs="*Arial-5209-Identity-H"/>
          <w:color w:val="161420"/>
          <w:sz w:val="21"/>
          <w:szCs w:val="21"/>
        </w:rPr>
        <w:t>dictamen y el informe de resultados a la Audi</w:t>
      </w:r>
      <w:r>
        <w:rPr>
          <w:rFonts w:ascii="Abadi" w:hAnsi="Abadi" w:cs="*Arial-5209-Identity-H"/>
          <w:color w:val="161420"/>
          <w:sz w:val="21"/>
          <w:szCs w:val="21"/>
        </w:rPr>
        <w:t>to</w:t>
      </w:r>
      <w:r w:rsidRPr="0023003B">
        <w:rPr>
          <w:rFonts w:ascii="Abadi" w:hAnsi="Abadi" w:cs="*Arial-5209-Identity-H"/>
          <w:color w:val="161420"/>
          <w:sz w:val="21"/>
          <w:szCs w:val="21"/>
        </w:rPr>
        <w:t>ría Supe</w:t>
      </w:r>
      <w:r>
        <w:rPr>
          <w:rFonts w:ascii="Abadi" w:hAnsi="Abadi" w:cs="*Arial-5209-Identity-H"/>
          <w:color w:val="161420"/>
          <w:sz w:val="21"/>
          <w:szCs w:val="21"/>
        </w:rPr>
        <w:t>rior</w:t>
      </w:r>
      <w:r w:rsidRPr="0023003B">
        <w:rPr>
          <w:rFonts w:ascii="Abadi" w:hAnsi="Abadi" w:cs="*Arial-5209-Identity-H"/>
          <w:color w:val="161420"/>
          <w:sz w:val="21"/>
          <w:szCs w:val="21"/>
        </w:rPr>
        <w:t xml:space="preserve"> del Estado, para</w:t>
      </w:r>
      <w:r>
        <w:rPr>
          <w:rFonts w:ascii="Abadi" w:hAnsi="Abadi" w:cs="*Arial-5209-Identity-H"/>
          <w:color w:val="161420"/>
          <w:sz w:val="21"/>
          <w:szCs w:val="21"/>
        </w:rPr>
        <w:t xml:space="preserve"> </w:t>
      </w:r>
      <w:r w:rsidRPr="0023003B">
        <w:rPr>
          <w:rFonts w:ascii="Abadi" w:hAnsi="Abadi" w:cs="*Arial-5209-Identity-H"/>
          <w:color w:val="161420"/>
          <w:sz w:val="21"/>
          <w:szCs w:val="21"/>
        </w:rPr>
        <w:t>efectos de su notificación.</w:t>
      </w:r>
    </w:p>
    <w:p w14:paraId="3E9A6502" w14:textId="4421C8A8" w:rsidR="002B0CBC" w:rsidRDefault="002B0CBC" w:rsidP="002B0CBC">
      <w:pPr>
        <w:autoSpaceDE w:val="0"/>
        <w:autoSpaceDN w:val="0"/>
        <w:adjustRightInd w:val="0"/>
        <w:ind w:firstLine="708"/>
        <w:jc w:val="both"/>
        <w:rPr>
          <w:rFonts w:ascii="Abadi" w:hAnsi="Abadi" w:cs="*Arial-5209-Identity-H"/>
          <w:color w:val="161420"/>
          <w:sz w:val="21"/>
          <w:szCs w:val="21"/>
        </w:rPr>
      </w:pPr>
    </w:p>
    <w:p w14:paraId="5F1BA115" w14:textId="41FF8A7B" w:rsidR="002B0CBC" w:rsidRDefault="002B0CBC" w:rsidP="002B0CBC">
      <w:pPr>
        <w:autoSpaceDE w:val="0"/>
        <w:autoSpaceDN w:val="0"/>
        <w:adjustRightInd w:val="0"/>
        <w:ind w:firstLine="708"/>
        <w:jc w:val="both"/>
        <w:rPr>
          <w:rFonts w:ascii="Abadi" w:hAnsi="Abadi" w:cs="*Arial-5209-Identity-H"/>
          <w:color w:val="161420"/>
          <w:sz w:val="21"/>
          <w:szCs w:val="21"/>
        </w:rPr>
      </w:pPr>
    </w:p>
    <w:p w14:paraId="6D0017EA" w14:textId="77777777" w:rsidR="002B0CBC" w:rsidRPr="00766FA1" w:rsidRDefault="002B0CBC" w:rsidP="002B0CBC">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 xml:space="preserve">Guanajuato, Gto., 5 de </w:t>
      </w:r>
      <w:r>
        <w:rPr>
          <w:rFonts w:ascii="Abadi" w:hAnsi="Abadi" w:cs="*Arial-6038-Identity-H"/>
          <w:b/>
          <w:bCs/>
          <w:color w:val="0E0D10"/>
          <w:sz w:val="21"/>
          <w:szCs w:val="21"/>
        </w:rPr>
        <w:t>abril</w:t>
      </w:r>
      <w:r w:rsidRPr="00766FA1">
        <w:rPr>
          <w:rFonts w:ascii="Abadi" w:hAnsi="Abadi" w:cs="*Arial-6038-Identity-H"/>
          <w:b/>
          <w:bCs/>
          <w:color w:val="0E0D10"/>
          <w:sz w:val="21"/>
          <w:szCs w:val="21"/>
        </w:rPr>
        <w:t xml:space="preserve"> de 2022</w:t>
      </w:r>
    </w:p>
    <w:p w14:paraId="37A2597B" w14:textId="77777777" w:rsidR="002B0CBC" w:rsidRDefault="002B0CBC" w:rsidP="002B0CBC">
      <w:pPr>
        <w:autoSpaceDE w:val="0"/>
        <w:autoSpaceDN w:val="0"/>
        <w:adjustRightInd w:val="0"/>
        <w:ind w:firstLine="708"/>
        <w:jc w:val="center"/>
        <w:rPr>
          <w:rFonts w:ascii="Abadi" w:hAnsi="Abadi" w:cs="*Arial-6038-Identity-H"/>
          <w:b/>
          <w:bCs/>
          <w:color w:val="0E0D10"/>
          <w:sz w:val="21"/>
          <w:szCs w:val="21"/>
        </w:rPr>
      </w:pPr>
      <w:r w:rsidRPr="00766FA1">
        <w:rPr>
          <w:rFonts w:ascii="Abadi" w:hAnsi="Abadi" w:cs="*Arial-6038-Identity-H"/>
          <w:b/>
          <w:bCs/>
          <w:color w:val="0E0D10"/>
          <w:sz w:val="21"/>
          <w:szCs w:val="21"/>
        </w:rPr>
        <w:t>La Comisión de Hacienda y Fiscalización</w:t>
      </w:r>
    </w:p>
    <w:p w14:paraId="6A4F85B1" w14:textId="77777777" w:rsidR="002B0CBC" w:rsidRDefault="002B0CBC" w:rsidP="002B0CBC">
      <w:pPr>
        <w:autoSpaceDE w:val="0"/>
        <w:autoSpaceDN w:val="0"/>
        <w:adjustRightInd w:val="0"/>
        <w:ind w:firstLine="708"/>
        <w:jc w:val="center"/>
        <w:rPr>
          <w:rFonts w:ascii="Abadi" w:hAnsi="Abadi" w:cs="*Arial-6038-Identity-H"/>
          <w:b/>
          <w:bCs/>
          <w:color w:val="0E0D10"/>
          <w:sz w:val="21"/>
          <w:szCs w:val="21"/>
        </w:rPr>
      </w:pPr>
    </w:p>
    <w:p w14:paraId="07C8D87B" w14:textId="77777777" w:rsidR="002B0CBC" w:rsidRPr="00766FA1" w:rsidRDefault="002B0CBC" w:rsidP="002B0CBC">
      <w:pPr>
        <w:autoSpaceDE w:val="0"/>
        <w:autoSpaceDN w:val="0"/>
        <w:adjustRightInd w:val="0"/>
        <w:ind w:firstLine="708"/>
        <w:jc w:val="center"/>
        <w:rPr>
          <w:rFonts w:ascii="Abadi" w:hAnsi="Abadi" w:cs="*Arial-6038-Identity-H"/>
          <w:b/>
          <w:bCs/>
          <w:color w:val="0E0D10"/>
          <w:sz w:val="21"/>
          <w:szCs w:val="21"/>
        </w:rPr>
      </w:pPr>
      <w:r>
        <w:rPr>
          <w:rFonts w:ascii="Abadi" w:hAnsi="Abadi" w:cs="*Arial-6038-Identity-H"/>
          <w:b/>
          <w:bCs/>
          <w:color w:val="0E0D10"/>
          <w:sz w:val="21"/>
          <w:szCs w:val="21"/>
        </w:rPr>
        <w:t>Dip. Víctor Manuel Zanella Huerta</w:t>
      </w:r>
    </w:p>
    <w:p w14:paraId="3F259FDB" w14:textId="77777777" w:rsidR="002B0CBC" w:rsidRPr="00766FA1" w:rsidRDefault="002B0CBC" w:rsidP="002B0CBC">
      <w:pPr>
        <w:autoSpaceDE w:val="0"/>
        <w:autoSpaceDN w:val="0"/>
        <w:adjustRightInd w:val="0"/>
        <w:ind w:firstLine="708"/>
        <w:rPr>
          <w:rFonts w:ascii="Abadi" w:hAnsi="Abadi" w:cs="*Arial-6038-Identity-H"/>
          <w:b/>
          <w:bCs/>
          <w:color w:val="0E0D10"/>
          <w:sz w:val="21"/>
          <w:szCs w:val="21"/>
        </w:rPr>
      </w:pPr>
    </w:p>
    <w:p w14:paraId="21725EBD" w14:textId="77777777" w:rsidR="002B0CBC" w:rsidRPr="00766FA1" w:rsidRDefault="002B0CBC" w:rsidP="002B0CBC">
      <w:pPr>
        <w:autoSpaceDE w:val="0"/>
        <w:autoSpaceDN w:val="0"/>
        <w:adjustRightInd w:val="0"/>
        <w:rPr>
          <w:rFonts w:ascii="Abadi" w:hAnsi="Abadi" w:cs="*Arial-6038-Identity-H"/>
          <w:b/>
          <w:bCs/>
          <w:color w:val="0E0D10"/>
          <w:sz w:val="21"/>
          <w:szCs w:val="21"/>
        </w:rPr>
      </w:pPr>
      <w:r w:rsidRPr="00766FA1">
        <w:rPr>
          <w:rFonts w:ascii="Abadi" w:hAnsi="Abadi" w:cs="*Arial-6038-Identity-H"/>
          <w:b/>
          <w:bCs/>
          <w:color w:val="0E0D10"/>
          <w:sz w:val="21"/>
          <w:szCs w:val="21"/>
        </w:rPr>
        <w:t>Diputada Ruth Noemí Tiscareño Agoitia</w:t>
      </w:r>
    </w:p>
    <w:p w14:paraId="3BA94BC2" w14:textId="77777777" w:rsidR="002B0CBC" w:rsidRPr="00766FA1" w:rsidRDefault="002B0CBC" w:rsidP="002B0CBC">
      <w:pPr>
        <w:autoSpaceDE w:val="0"/>
        <w:autoSpaceDN w:val="0"/>
        <w:adjustRightInd w:val="0"/>
        <w:rPr>
          <w:rFonts w:ascii="Abadi" w:hAnsi="Abadi" w:cs="*Arial-6038-Identity-H"/>
          <w:b/>
          <w:bCs/>
          <w:color w:val="0E0D10"/>
          <w:sz w:val="21"/>
          <w:szCs w:val="21"/>
        </w:rPr>
      </w:pPr>
      <w:r w:rsidRPr="00766FA1">
        <w:rPr>
          <w:rFonts w:ascii="Abadi" w:hAnsi="Abadi" w:cs="*Arial-6038-Identity-H"/>
          <w:b/>
          <w:bCs/>
          <w:color w:val="0E0D10"/>
          <w:sz w:val="21"/>
          <w:szCs w:val="21"/>
        </w:rPr>
        <w:t>Diputado Miguel ángel Salim Alle</w:t>
      </w:r>
    </w:p>
    <w:p w14:paraId="68CC15CF" w14:textId="77777777" w:rsidR="002B0CBC" w:rsidRPr="00766FA1" w:rsidRDefault="002B0CBC" w:rsidP="002B0CBC">
      <w:pPr>
        <w:autoSpaceDE w:val="0"/>
        <w:autoSpaceDN w:val="0"/>
        <w:adjustRightInd w:val="0"/>
        <w:rPr>
          <w:rFonts w:ascii="Abadi" w:hAnsi="Abadi" w:cs="*Arial-6038-Identity-H"/>
          <w:b/>
          <w:bCs/>
          <w:color w:val="0E0D10"/>
          <w:sz w:val="21"/>
          <w:szCs w:val="21"/>
        </w:rPr>
      </w:pPr>
      <w:r w:rsidRPr="00766FA1">
        <w:rPr>
          <w:rFonts w:ascii="Abadi" w:hAnsi="Abadi" w:cs="*Arial-6038-Identity-H"/>
          <w:b/>
          <w:bCs/>
          <w:color w:val="0E0D10"/>
          <w:sz w:val="21"/>
          <w:szCs w:val="21"/>
        </w:rPr>
        <w:t>Diputado José alonso Borja Pimentel</w:t>
      </w:r>
    </w:p>
    <w:p w14:paraId="786D9936" w14:textId="77777777" w:rsidR="002B0CBC" w:rsidRPr="00766FA1" w:rsidRDefault="002B0CBC" w:rsidP="002B0CBC">
      <w:pPr>
        <w:autoSpaceDE w:val="0"/>
        <w:autoSpaceDN w:val="0"/>
        <w:adjustRightInd w:val="0"/>
        <w:rPr>
          <w:rFonts w:ascii="Abadi" w:hAnsi="Abadi"/>
          <w:b/>
          <w:bCs/>
          <w:sz w:val="21"/>
          <w:szCs w:val="21"/>
        </w:rPr>
      </w:pPr>
      <w:r w:rsidRPr="00766FA1">
        <w:rPr>
          <w:rFonts w:ascii="Abadi" w:hAnsi="Abadi" w:cs="*Arial-6038-Identity-H"/>
          <w:b/>
          <w:bCs/>
          <w:color w:val="0E0D10"/>
          <w:sz w:val="21"/>
          <w:szCs w:val="21"/>
        </w:rPr>
        <w:t>Diputada Alma Edwviges Alcaraz Hernández</w:t>
      </w:r>
    </w:p>
    <w:p w14:paraId="1F9BA5DA" w14:textId="77777777" w:rsidR="002B0CBC" w:rsidRPr="00312C34" w:rsidRDefault="002B0CBC" w:rsidP="002B0CBC">
      <w:pPr>
        <w:autoSpaceDE w:val="0"/>
        <w:autoSpaceDN w:val="0"/>
        <w:adjustRightInd w:val="0"/>
        <w:ind w:firstLine="708"/>
        <w:jc w:val="both"/>
        <w:rPr>
          <w:rFonts w:ascii="Abadi" w:hAnsi="Abadi"/>
          <w:sz w:val="21"/>
          <w:szCs w:val="21"/>
        </w:rPr>
      </w:pPr>
    </w:p>
    <w:p w14:paraId="07D4873B" w14:textId="77777777" w:rsidR="006F3002" w:rsidRPr="00293312" w:rsidRDefault="006F3002" w:rsidP="006F3002">
      <w:pPr>
        <w:autoSpaceDE w:val="0"/>
        <w:autoSpaceDN w:val="0"/>
        <w:adjustRightInd w:val="0"/>
        <w:ind w:left="426"/>
        <w:jc w:val="both"/>
        <w:rPr>
          <w:rFonts w:ascii="Abadi" w:hAnsi="Abadi" w:cs="Arial-BoldMT"/>
          <w:b/>
          <w:bCs/>
          <w:sz w:val="20"/>
          <w:szCs w:val="21"/>
        </w:rPr>
      </w:pPr>
    </w:p>
    <w:p w14:paraId="7F54A93D" w14:textId="31367224"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PRESENTADO POR LA COMISIÓN DE HACIENDA Y FISCALIZACIÓN RELATIVO AL INFORME DE RESULTADOS DE LA AUDITORÍA DE DESEMPEÑO PRACTICADA POR LA AUDITORÍA SUPERIOR DEL ESTADO DE GUANAJUATO A LA ADMINISTRACIÓN MUNICIPAL DE APASEO EL ALTO, GTO., CON ENFOQUE A RESULTADOS DEL SERVICIO DE ALUMBRADO PÚBLICO, POR EL PERIODO COMPRENDIDO DEL 1 DE ENERO AL 31 DE DICIEMBRE DEL EJERCICIO FISCAL DEL AÑO 2020.</w:t>
      </w:r>
    </w:p>
    <w:p w14:paraId="10C58FAB" w14:textId="682B42E2" w:rsidR="002B0CBC" w:rsidRDefault="002B0CBC" w:rsidP="002B0CBC">
      <w:pPr>
        <w:autoSpaceDE w:val="0"/>
        <w:autoSpaceDN w:val="0"/>
        <w:adjustRightInd w:val="0"/>
        <w:jc w:val="both"/>
        <w:rPr>
          <w:rFonts w:ascii="Abadi" w:hAnsi="Abadi" w:cs="ArialMT"/>
          <w:b/>
          <w:bCs/>
          <w:sz w:val="20"/>
          <w:szCs w:val="21"/>
        </w:rPr>
      </w:pPr>
    </w:p>
    <w:p w14:paraId="5EB1BE61" w14:textId="77777777" w:rsidR="002B0CBC" w:rsidRPr="002B0CBC" w:rsidRDefault="002B0CBC" w:rsidP="002B0CBC">
      <w:pPr>
        <w:autoSpaceDE w:val="0"/>
        <w:autoSpaceDN w:val="0"/>
        <w:adjustRightInd w:val="0"/>
        <w:jc w:val="both"/>
        <w:rPr>
          <w:rFonts w:ascii="Abadi" w:hAnsi="Abadi" w:cs="ArialMT"/>
          <w:b/>
          <w:bCs/>
          <w:sz w:val="20"/>
          <w:szCs w:val="21"/>
        </w:rPr>
      </w:pPr>
    </w:p>
    <w:p w14:paraId="6DED7BF3" w14:textId="76B744B3" w:rsidR="006F3002" w:rsidRDefault="006F3002" w:rsidP="006F3002">
      <w:pPr>
        <w:autoSpaceDE w:val="0"/>
        <w:autoSpaceDN w:val="0"/>
        <w:adjustRightInd w:val="0"/>
        <w:jc w:val="both"/>
        <w:rPr>
          <w:rFonts w:ascii="Abadi" w:hAnsi="Abadi" w:cs="Arial-BoldMT"/>
          <w:b/>
          <w:bCs/>
          <w:sz w:val="20"/>
          <w:szCs w:val="21"/>
        </w:rPr>
      </w:pPr>
    </w:p>
    <w:p w14:paraId="6FD382BB" w14:textId="204B3BF1" w:rsidR="0019269C" w:rsidRDefault="0019269C" w:rsidP="006F3002">
      <w:pPr>
        <w:autoSpaceDE w:val="0"/>
        <w:autoSpaceDN w:val="0"/>
        <w:adjustRightInd w:val="0"/>
        <w:jc w:val="both"/>
        <w:rPr>
          <w:rFonts w:ascii="Abadi" w:hAnsi="Abadi" w:cs="Arial-BoldMT"/>
          <w:b/>
          <w:bCs/>
          <w:sz w:val="20"/>
          <w:szCs w:val="21"/>
        </w:rPr>
      </w:pPr>
    </w:p>
    <w:p w14:paraId="3DA0D615" w14:textId="77777777" w:rsidR="0019269C" w:rsidRDefault="0019269C" w:rsidP="0019269C">
      <w:pPr>
        <w:autoSpaceDE w:val="0"/>
        <w:autoSpaceDN w:val="0"/>
        <w:adjustRightInd w:val="0"/>
        <w:jc w:val="both"/>
        <w:rPr>
          <w:rFonts w:ascii="Abadi" w:eastAsiaTheme="minorHAnsi" w:hAnsi="Abadi" w:cs="*Arial-Bold-5689-Identity-H"/>
          <w:b/>
          <w:bCs/>
          <w:color w:val="15131E"/>
          <w:sz w:val="21"/>
          <w:szCs w:val="21"/>
          <w:lang w:val="es-MX" w:eastAsia="en-US"/>
        </w:rPr>
      </w:pPr>
      <w:r>
        <w:rPr>
          <w:rFonts w:ascii="Abadi" w:eastAsiaTheme="minorHAnsi" w:hAnsi="Abadi" w:cs="*Arial-Bold-5689-Identity-H"/>
          <w:b/>
          <w:bCs/>
          <w:color w:val="15131E"/>
          <w:sz w:val="21"/>
          <w:szCs w:val="21"/>
          <w:lang w:val="es-MX" w:eastAsia="en-US"/>
        </w:rPr>
        <w:t>C. PRESIDENTA DEL CONGRESO DEL ESTADO.</w:t>
      </w:r>
    </w:p>
    <w:p w14:paraId="5E41BD51" w14:textId="77777777" w:rsidR="0019269C" w:rsidRDefault="0019269C" w:rsidP="0019269C">
      <w:pPr>
        <w:autoSpaceDE w:val="0"/>
        <w:autoSpaceDN w:val="0"/>
        <w:adjustRightInd w:val="0"/>
        <w:jc w:val="both"/>
        <w:rPr>
          <w:rFonts w:ascii="Abadi" w:eastAsiaTheme="minorHAnsi" w:hAnsi="Abadi" w:cs="*Arial-Bold-5689-Identity-H"/>
          <w:b/>
          <w:bCs/>
          <w:color w:val="15131E"/>
          <w:sz w:val="21"/>
          <w:szCs w:val="21"/>
          <w:lang w:val="es-MX" w:eastAsia="en-US"/>
        </w:rPr>
      </w:pPr>
      <w:r>
        <w:rPr>
          <w:rFonts w:ascii="Abadi" w:eastAsiaTheme="minorHAnsi" w:hAnsi="Abadi" w:cs="*Arial-Bold-5689-Identity-H"/>
          <w:b/>
          <w:bCs/>
          <w:color w:val="15131E"/>
          <w:sz w:val="21"/>
          <w:szCs w:val="21"/>
          <w:lang w:val="es-MX" w:eastAsia="en-US"/>
        </w:rPr>
        <w:t>P R E S E N T E.</w:t>
      </w:r>
    </w:p>
    <w:p w14:paraId="1B08B687" w14:textId="77777777" w:rsidR="0019269C" w:rsidRDefault="0019269C" w:rsidP="0019269C">
      <w:pPr>
        <w:autoSpaceDE w:val="0"/>
        <w:autoSpaceDN w:val="0"/>
        <w:adjustRightInd w:val="0"/>
        <w:jc w:val="both"/>
        <w:rPr>
          <w:rFonts w:ascii="Abadi" w:eastAsiaTheme="minorHAnsi" w:hAnsi="Abadi" w:cs="*Arial-Bold-5689-Identity-H"/>
          <w:b/>
          <w:bCs/>
          <w:color w:val="15131E"/>
          <w:sz w:val="21"/>
          <w:szCs w:val="21"/>
          <w:lang w:val="es-MX" w:eastAsia="en-US"/>
        </w:rPr>
      </w:pPr>
    </w:p>
    <w:p w14:paraId="384F1450" w14:textId="77777777" w:rsidR="0019269C" w:rsidRDefault="0019269C" w:rsidP="0019269C">
      <w:pPr>
        <w:autoSpaceDE w:val="0"/>
        <w:autoSpaceDN w:val="0"/>
        <w:adjustRightInd w:val="0"/>
        <w:ind w:firstLine="708"/>
        <w:jc w:val="both"/>
        <w:rPr>
          <w:rFonts w:ascii="Abadi" w:eastAsiaTheme="minorHAnsi" w:hAnsi="Abadi" w:cs="*Arial-5687-Identity-H"/>
          <w:color w:val="14131C"/>
          <w:sz w:val="21"/>
          <w:szCs w:val="21"/>
          <w:lang w:val="es-MX" w:eastAsia="en-US"/>
        </w:rPr>
      </w:pPr>
      <w:r>
        <w:rPr>
          <w:rFonts w:ascii="Abadi" w:eastAsiaTheme="minorHAnsi" w:hAnsi="Abadi" w:cs="*Arial-5687-Identity-H"/>
          <w:color w:val="14131C"/>
          <w:sz w:val="21"/>
          <w:szCs w:val="21"/>
          <w:lang w:val="es-MX" w:eastAsia="en-US"/>
        </w:rPr>
        <w:t>A esta Comisión de Hacienda y Fiscalización le fue turnado para su estudio y dictamen, el informe de resultados de</w:t>
      </w:r>
      <w:r>
        <w:rPr>
          <w:rFonts w:ascii="Abadi" w:eastAsiaTheme="minorHAnsi" w:hAnsi="Abadi" w:cs="*Arial-5687-Identity-H"/>
          <w:color w:val="797979"/>
          <w:sz w:val="21"/>
          <w:szCs w:val="21"/>
          <w:lang w:val="es-MX" w:eastAsia="en-US"/>
        </w:rPr>
        <w:t xml:space="preserve">· </w:t>
      </w:r>
      <w:r>
        <w:rPr>
          <w:rFonts w:ascii="Abadi" w:eastAsiaTheme="minorHAnsi" w:hAnsi="Abadi" w:cs="*Arial-5687-Identity-H"/>
          <w:color w:val="14131C"/>
          <w:sz w:val="21"/>
          <w:szCs w:val="21"/>
          <w:lang w:val="es-MX" w:eastAsia="en-US"/>
        </w:rPr>
        <w:t>la auditoría de desempeño practicada por la Auditoría Superior del Estado de Guanajuato a la administración municipal de Apaseo el Alto, Gto., con enfoque a resultados del servicio de alumbrado público, por el periodo comprendido del 1 de enero al 31 de diciembre del ejercicio fiscal del año 2020.</w:t>
      </w:r>
    </w:p>
    <w:p w14:paraId="4CCB0E8A" w14:textId="77777777" w:rsidR="0019269C" w:rsidRDefault="0019269C" w:rsidP="0019269C">
      <w:pPr>
        <w:autoSpaceDE w:val="0"/>
        <w:autoSpaceDN w:val="0"/>
        <w:adjustRightInd w:val="0"/>
        <w:jc w:val="both"/>
        <w:rPr>
          <w:rFonts w:ascii="Abadi" w:eastAsiaTheme="minorHAnsi" w:hAnsi="Abadi" w:cs="*Arial-5687-Identity-H"/>
          <w:color w:val="14131C"/>
          <w:sz w:val="21"/>
          <w:szCs w:val="21"/>
          <w:lang w:val="es-MX" w:eastAsia="en-US"/>
        </w:rPr>
      </w:pPr>
    </w:p>
    <w:p w14:paraId="24F996EE" w14:textId="77777777" w:rsidR="0019269C" w:rsidRDefault="0019269C" w:rsidP="0019269C">
      <w:pPr>
        <w:autoSpaceDE w:val="0"/>
        <w:autoSpaceDN w:val="0"/>
        <w:adjustRightInd w:val="0"/>
        <w:ind w:firstLine="708"/>
        <w:jc w:val="both"/>
        <w:rPr>
          <w:rFonts w:ascii="Abadi" w:eastAsiaTheme="minorHAnsi" w:hAnsi="Abadi" w:cs="*Arial-5687-Identity-H"/>
          <w:color w:val="15131C"/>
          <w:sz w:val="21"/>
          <w:szCs w:val="21"/>
          <w:lang w:val="es-MX" w:eastAsia="en-US"/>
        </w:rPr>
      </w:pPr>
      <w:r>
        <w:rPr>
          <w:rFonts w:ascii="Abadi" w:eastAsiaTheme="minorHAnsi" w:hAnsi="Abadi" w:cs="*Arial-5687-Identity-H"/>
          <w:color w:val="15131C"/>
          <w:sz w:val="21"/>
          <w:szCs w:val="21"/>
          <w:lang w:val="es-MX" w:eastAsia="en-US"/>
        </w:rPr>
        <w:t xml:space="preserve">Una vez analizado el referido informe de resultados, con fundamento en los artículos 112 fracción XII, primer párrafo y 171 de la Ley Orgánica del Poder Legislativo, nos permitimos rendir el siguiente: </w:t>
      </w:r>
    </w:p>
    <w:p w14:paraId="161FF74A" w14:textId="77777777" w:rsidR="0019269C" w:rsidRDefault="0019269C" w:rsidP="0019269C">
      <w:pPr>
        <w:autoSpaceDE w:val="0"/>
        <w:autoSpaceDN w:val="0"/>
        <w:adjustRightInd w:val="0"/>
        <w:jc w:val="both"/>
        <w:rPr>
          <w:rFonts w:ascii="Abadi" w:eastAsiaTheme="minorHAnsi" w:hAnsi="Abadi" w:cs="*Arial-5687-Identity-H"/>
          <w:color w:val="15131C"/>
          <w:sz w:val="21"/>
          <w:szCs w:val="21"/>
          <w:lang w:val="es-MX" w:eastAsia="en-US"/>
        </w:rPr>
      </w:pPr>
    </w:p>
    <w:p w14:paraId="635E88A7" w14:textId="77777777" w:rsidR="0019269C" w:rsidRDefault="0019269C" w:rsidP="0019269C">
      <w:pPr>
        <w:autoSpaceDE w:val="0"/>
        <w:autoSpaceDN w:val="0"/>
        <w:adjustRightInd w:val="0"/>
        <w:jc w:val="center"/>
        <w:rPr>
          <w:rFonts w:ascii="Abadi" w:eastAsiaTheme="minorHAnsi" w:hAnsi="Abadi" w:cs="*Arial-Bold-5688-Identity-H"/>
          <w:b/>
          <w:bCs/>
          <w:color w:val="14131F"/>
          <w:sz w:val="21"/>
          <w:szCs w:val="21"/>
          <w:lang w:val="es-MX" w:eastAsia="en-US"/>
        </w:rPr>
      </w:pPr>
      <w:r>
        <w:rPr>
          <w:rFonts w:ascii="Abadi" w:eastAsiaTheme="minorHAnsi" w:hAnsi="Abadi" w:cs="*Arial-Bold-5688-Identity-H"/>
          <w:b/>
          <w:bCs/>
          <w:color w:val="14131F"/>
          <w:sz w:val="21"/>
          <w:szCs w:val="21"/>
          <w:lang w:val="es-MX" w:eastAsia="en-US"/>
        </w:rPr>
        <w:t>Dictamen</w:t>
      </w:r>
    </w:p>
    <w:p w14:paraId="3CAD6667" w14:textId="77777777" w:rsidR="0019269C" w:rsidRDefault="0019269C" w:rsidP="0019269C">
      <w:pPr>
        <w:autoSpaceDE w:val="0"/>
        <w:autoSpaceDN w:val="0"/>
        <w:adjustRightInd w:val="0"/>
        <w:jc w:val="both"/>
        <w:rPr>
          <w:rFonts w:ascii="Abadi" w:eastAsiaTheme="minorHAnsi" w:hAnsi="Abadi" w:cs="*Arial-Bold-5688-Identity-H"/>
          <w:b/>
          <w:bCs/>
          <w:color w:val="14131F"/>
          <w:sz w:val="21"/>
          <w:szCs w:val="21"/>
          <w:lang w:val="es-MX" w:eastAsia="en-US"/>
        </w:rPr>
      </w:pPr>
    </w:p>
    <w:p w14:paraId="633E614C" w14:textId="77777777" w:rsidR="0019269C" w:rsidRDefault="0019269C" w:rsidP="0019269C">
      <w:pPr>
        <w:autoSpaceDE w:val="0"/>
        <w:autoSpaceDN w:val="0"/>
        <w:adjustRightInd w:val="0"/>
        <w:ind w:firstLine="708"/>
        <w:jc w:val="both"/>
        <w:rPr>
          <w:rFonts w:ascii="Abadi" w:eastAsiaTheme="minorHAnsi" w:hAnsi="Abadi" w:cs="*Arial-Bold-5688-Identity-H"/>
          <w:b/>
          <w:bCs/>
          <w:color w:val="14131F"/>
          <w:sz w:val="21"/>
          <w:szCs w:val="21"/>
          <w:lang w:val="es-MX" w:eastAsia="en-US"/>
        </w:rPr>
      </w:pPr>
      <w:r>
        <w:rPr>
          <w:rFonts w:ascii="Abadi" w:eastAsiaTheme="minorHAnsi" w:hAnsi="Abadi" w:cs="*Arial-Bold-5688-Identity-H"/>
          <w:b/>
          <w:bCs/>
          <w:color w:val="14131F"/>
          <w:sz w:val="21"/>
          <w:szCs w:val="21"/>
          <w:lang w:val="es-MX" w:eastAsia="en-US"/>
        </w:rPr>
        <w:t>l. Competencia:</w:t>
      </w:r>
    </w:p>
    <w:p w14:paraId="6B277F51" w14:textId="77777777" w:rsidR="0019269C" w:rsidRDefault="0019269C" w:rsidP="0019269C">
      <w:pPr>
        <w:autoSpaceDE w:val="0"/>
        <w:autoSpaceDN w:val="0"/>
        <w:adjustRightInd w:val="0"/>
        <w:jc w:val="both"/>
        <w:rPr>
          <w:rFonts w:ascii="Abadi" w:eastAsiaTheme="minorHAnsi" w:hAnsi="Abadi" w:cs="*Arial-Bold-5688-Identity-H"/>
          <w:b/>
          <w:bCs/>
          <w:color w:val="14131F"/>
          <w:sz w:val="21"/>
          <w:szCs w:val="21"/>
          <w:lang w:val="es-MX" w:eastAsia="en-US"/>
        </w:rPr>
      </w:pPr>
    </w:p>
    <w:p w14:paraId="654C370B" w14:textId="77777777" w:rsidR="0019269C" w:rsidRDefault="0019269C" w:rsidP="0019269C">
      <w:pPr>
        <w:autoSpaceDE w:val="0"/>
        <w:autoSpaceDN w:val="0"/>
        <w:adjustRightInd w:val="0"/>
        <w:ind w:firstLine="708"/>
        <w:jc w:val="both"/>
        <w:rPr>
          <w:rFonts w:ascii="Abadi" w:eastAsiaTheme="minorHAnsi" w:hAnsi="Abadi" w:cs="*Arial-5687-Identity-H"/>
          <w:color w:val="14141C"/>
          <w:sz w:val="21"/>
          <w:szCs w:val="21"/>
          <w:lang w:val="es-MX" w:eastAsia="en-US"/>
        </w:rPr>
      </w:pPr>
      <w:r>
        <w:rPr>
          <w:rFonts w:ascii="Abadi" w:eastAsiaTheme="minorHAnsi" w:hAnsi="Abadi" w:cs="*Arial-5687-Identity-H"/>
          <w:color w:val="14141C"/>
          <w:sz w:val="21"/>
          <w:szCs w:val="21"/>
          <w:lang w:val="es-MX" w:eastAsia="en-US"/>
        </w:rPr>
        <w:t xml:space="preserve">Las facultades de la legislatura local en materia de fiscalización de las cuentas públicas tienen su fundamento en lo dispuesto por el artículo 63 fracciones XVII 1, XIX y </w:t>
      </w:r>
      <w:r>
        <w:rPr>
          <w:rFonts w:ascii="Abadi" w:eastAsiaTheme="minorHAnsi" w:hAnsi="Abadi" w:cs="*Microsoft Sans Serif-Bold-5690"/>
          <w:color w:val="14141C"/>
          <w:sz w:val="21"/>
          <w:szCs w:val="21"/>
          <w:lang w:val="es-MX" w:eastAsia="en-US"/>
        </w:rPr>
        <w:t xml:space="preserve">XXVIII </w:t>
      </w:r>
      <w:r>
        <w:rPr>
          <w:rFonts w:ascii="Abadi" w:eastAsiaTheme="minorHAnsi" w:hAnsi="Abadi" w:cs="*Arial-5687-Identity-H"/>
          <w:color w:val="14141C"/>
          <w:sz w:val="21"/>
          <w:szCs w:val="21"/>
          <w:lang w:val="es-MX" w:eastAsia="en-US"/>
        </w:rPr>
        <w:t>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37E87B23" w14:textId="77777777" w:rsidR="0019269C" w:rsidRDefault="0019269C" w:rsidP="0019269C">
      <w:pPr>
        <w:autoSpaceDE w:val="0"/>
        <w:autoSpaceDN w:val="0"/>
        <w:adjustRightInd w:val="0"/>
        <w:jc w:val="both"/>
        <w:rPr>
          <w:rFonts w:ascii="Abadi" w:eastAsiaTheme="minorHAnsi" w:hAnsi="Abadi" w:cs="*Arial-5687-Identity-H"/>
          <w:color w:val="14141C"/>
          <w:sz w:val="21"/>
          <w:szCs w:val="21"/>
          <w:lang w:val="es-MX" w:eastAsia="en-US"/>
        </w:rPr>
      </w:pPr>
    </w:p>
    <w:p w14:paraId="6CC8B4E5" w14:textId="77777777" w:rsidR="0019269C" w:rsidRDefault="0019269C" w:rsidP="0019269C">
      <w:pPr>
        <w:autoSpaceDE w:val="0"/>
        <w:autoSpaceDN w:val="0"/>
        <w:adjustRightInd w:val="0"/>
        <w:ind w:firstLine="708"/>
        <w:jc w:val="both"/>
        <w:rPr>
          <w:rFonts w:ascii="Abadi" w:eastAsiaTheme="minorHAnsi" w:hAnsi="Abadi" w:cs="*Arial-5687-Identity-H"/>
          <w:color w:val="15131C"/>
          <w:sz w:val="21"/>
          <w:szCs w:val="21"/>
          <w:lang w:val="es-MX" w:eastAsia="en-US"/>
        </w:rPr>
      </w:pPr>
      <w:r>
        <w:rPr>
          <w:rFonts w:ascii="Abadi" w:eastAsiaTheme="minorHAnsi" w:hAnsi="Abadi" w:cs="*Arial-5687-Identity-H"/>
          <w:color w:val="15131C"/>
          <w:sz w:val="21"/>
          <w:szCs w:val="21"/>
          <w:lang w:val="es-MX" w:eastAsia="en-US"/>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AD0A475" w14:textId="77777777" w:rsidR="0019269C" w:rsidRDefault="0019269C" w:rsidP="0019269C">
      <w:pPr>
        <w:autoSpaceDE w:val="0"/>
        <w:autoSpaceDN w:val="0"/>
        <w:adjustRightInd w:val="0"/>
        <w:ind w:firstLine="708"/>
        <w:jc w:val="both"/>
        <w:rPr>
          <w:rFonts w:ascii="Abadi" w:eastAsiaTheme="minorHAnsi" w:hAnsi="Abadi" w:cs="*Arial-5687-Identity-H"/>
          <w:color w:val="15131C"/>
          <w:sz w:val="21"/>
          <w:szCs w:val="21"/>
          <w:lang w:val="es-MX" w:eastAsia="en-US"/>
        </w:rPr>
      </w:pPr>
    </w:p>
    <w:p w14:paraId="614212AA" w14:textId="77777777" w:rsidR="0019269C" w:rsidRDefault="0019269C" w:rsidP="0019269C">
      <w:pPr>
        <w:autoSpaceDE w:val="0"/>
        <w:autoSpaceDN w:val="0"/>
        <w:adjustRightInd w:val="0"/>
        <w:ind w:firstLine="708"/>
        <w:jc w:val="both"/>
        <w:rPr>
          <w:rFonts w:ascii="Abadi" w:eastAsiaTheme="minorHAnsi" w:hAnsi="Abadi" w:cs="*Arial-5285-Identity-H"/>
          <w:color w:val="15141D"/>
          <w:sz w:val="21"/>
          <w:szCs w:val="21"/>
          <w:lang w:val="es-MX" w:eastAsia="en-US"/>
        </w:rPr>
      </w:pPr>
      <w:r>
        <w:rPr>
          <w:rFonts w:ascii="Abadi" w:eastAsiaTheme="minorHAnsi" w:hAnsi="Abadi" w:cs="*Arial-5285-Identity-H"/>
          <w:color w:val="15141D"/>
          <w:sz w:val="21"/>
          <w:szCs w:val="21"/>
          <w:lang w:val="es-MX" w:eastAsia="en-US"/>
        </w:rPr>
        <w:t xml:space="preserve">De igual forma, el artículo 82, fracción </w:t>
      </w:r>
      <w:r>
        <w:rPr>
          <w:rFonts w:ascii="Abadi" w:eastAsiaTheme="minorHAnsi" w:hAnsi="Abadi" w:cs="*Microsoft Sans Serif-Bold-5288"/>
          <w:color w:val="15141D"/>
          <w:sz w:val="21"/>
          <w:szCs w:val="21"/>
          <w:lang w:val="es-MX" w:eastAsia="en-US"/>
        </w:rPr>
        <w:t xml:space="preserve">XXIV </w:t>
      </w:r>
      <w:r>
        <w:rPr>
          <w:rFonts w:ascii="Abadi" w:eastAsiaTheme="minorHAnsi" w:hAnsi="Abadi" w:cs="*Arial-5285-Identity-H"/>
          <w:color w:val="15141D"/>
          <w:sz w:val="21"/>
          <w:szCs w:val="21"/>
          <w:lang w:val="es-MX" w:eastAsia="en-US"/>
        </w:rPr>
        <w:t>de la Ley de Fiscalización Superior del</w:t>
      </w:r>
      <w:r>
        <w:rPr>
          <w:rFonts w:ascii="Abadi" w:eastAsiaTheme="minorHAnsi" w:hAnsi="Abadi" w:cs="*Arial-5285-Identity-H"/>
          <w:color w:val="B9B9B9"/>
          <w:sz w:val="21"/>
          <w:szCs w:val="21"/>
          <w:lang w:val="es-MX" w:eastAsia="en-US"/>
        </w:rPr>
        <w:t xml:space="preserve">· </w:t>
      </w:r>
      <w:r>
        <w:rPr>
          <w:rFonts w:ascii="Abadi" w:eastAsiaTheme="minorHAnsi" w:hAnsi="Abadi" w:cs="*Arial-5285-Identity-H"/>
          <w:color w:val="15141D"/>
          <w:sz w:val="21"/>
          <w:szCs w:val="21"/>
          <w:lang w:val="es-MX" w:eastAsia="en-US"/>
        </w:rPr>
        <w:t>Estado de Guanajuato establece como atribución de la Auditoría Superior del Estado, rendir al Congreso, los informes derivados del ejercicio de la función de fiscalización.</w:t>
      </w:r>
    </w:p>
    <w:p w14:paraId="3ED2EED5" w14:textId="77777777" w:rsidR="0019269C" w:rsidRDefault="0019269C" w:rsidP="0019269C">
      <w:pPr>
        <w:autoSpaceDE w:val="0"/>
        <w:autoSpaceDN w:val="0"/>
        <w:adjustRightInd w:val="0"/>
        <w:jc w:val="both"/>
        <w:rPr>
          <w:rFonts w:ascii="Abadi" w:eastAsiaTheme="minorHAnsi" w:hAnsi="Abadi" w:cs="*Arial-5285-Identity-H"/>
          <w:color w:val="15141D"/>
          <w:sz w:val="21"/>
          <w:szCs w:val="21"/>
          <w:lang w:val="es-MX" w:eastAsia="en-US"/>
        </w:rPr>
      </w:pPr>
    </w:p>
    <w:p w14:paraId="3D212A82" w14:textId="77777777" w:rsidR="0019269C" w:rsidRDefault="0019269C" w:rsidP="0019269C">
      <w:pPr>
        <w:autoSpaceDE w:val="0"/>
        <w:autoSpaceDN w:val="0"/>
        <w:adjustRightInd w:val="0"/>
        <w:ind w:firstLine="708"/>
        <w:jc w:val="both"/>
        <w:rPr>
          <w:rFonts w:ascii="Abadi" w:eastAsiaTheme="minorHAnsi" w:hAnsi="Abadi" w:cs="*Arial-5285-Identity-H"/>
          <w:color w:val="14131B"/>
          <w:sz w:val="21"/>
          <w:szCs w:val="21"/>
          <w:lang w:val="es-MX" w:eastAsia="en-US"/>
        </w:rPr>
      </w:pPr>
      <w:r>
        <w:rPr>
          <w:rFonts w:ascii="Abadi" w:eastAsiaTheme="minorHAnsi" w:hAnsi="Abadi" w:cs="*Arial-5285-Identity-H"/>
          <w:color w:val="14131B"/>
          <w:sz w:val="21"/>
          <w:szCs w:val="21"/>
          <w:lang w:val="es-MX" w:eastAsia="en-US"/>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C68A1DB" w14:textId="77777777" w:rsidR="0019269C" w:rsidRDefault="0019269C" w:rsidP="0019269C">
      <w:pPr>
        <w:autoSpaceDE w:val="0"/>
        <w:autoSpaceDN w:val="0"/>
        <w:adjustRightInd w:val="0"/>
        <w:jc w:val="both"/>
        <w:rPr>
          <w:rFonts w:ascii="Abadi" w:eastAsiaTheme="minorHAnsi" w:hAnsi="Abadi" w:cs="*Arial-5285-Identity-H"/>
          <w:color w:val="14131B"/>
          <w:sz w:val="21"/>
          <w:szCs w:val="21"/>
          <w:lang w:val="es-MX" w:eastAsia="en-US"/>
        </w:rPr>
      </w:pPr>
      <w:r>
        <w:rPr>
          <w:rFonts w:ascii="Abadi" w:eastAsiaTheme="minorHAnsi" w:hAnsi="Abadi" w:cs="*Arial-5285-Identity-H"/>
          <w:color w:val="14131B"/>
          <w:sz w:val="21"/>
          <w:szCs w:val="21"/>
          <w:lang w:val="es-MX" w:eastAsia="en-US"/>
        </w:rPr>
        <w:t xml:space="preserve"> </w:t>
      </w:r>
    </w:p>
    <w:p w14:paraId="1516263A" w14:textId="77777777" w:rsidR="0019269C" w:rsidRDefault="0019269C" w:rsidP="0019269C">
      <w:pPr>
        <w:autoSpaceDE w:val="0"/>
        <w:autoSpaceDN w:val="0"/>
        <w:adjustRightInd w:val="0"/>
        <w:ind w:firstLine="708"/>
        <w:jc w:val="both"/>
        <w:rPr>
          <w:rFonts w:ascii="Abadi" w:eastAsiaTheme="minorHAnsi" w:hAnsi="Abadi" w:cs="*Arial-5285-Identity-H"/>
          <w:color w:val="15131C"/>
          <w:sz w:val="21"/>
          <w:szCs w:val="21"/>
          <w:lang w:val="es-MX" w:eastAsia="en-US"/>
        </w:rPr>
      </w:pPr>
      <w:r>
        <w:rPr>
          <w:rFonts w:ascii="Abadi" w:eastAsiaTheme="minorHAnsi" w:hAnsi="Abadi" w:cs="*Arial-5285-Identity-H"/>
          <w:color w:val="15131C"/>
          <w:sz w:val="21"/>
          <w:szCs w:val="21"/>
          <w:lang w:val="es-MX" w:eastAsia="en-US"/>
        </w:rPr>
        <w:t>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w:t>
      </w:r>
    </w:p>
    <w:p w14:paraId="0DC5467B" w14:textId="77777777" w:rsidR="0019269C" w:rsidRDefault="0019269C" w:rsidP="0019269C">
      <w:pPr>
        <w:autoSpaceDE w:val="0"/>
        <w:autoSpaceDN w:val="0"/>
        <w:adjustRightInd w:val="0"/>
        <w:jc w:val="both"/>
        <w:rPr>
          <w:rFonts w:ascii="Abadi" w:eastAsiaTheme="minorHAnsi" w:hAnsi="Abadi" w:cs="*Arial-5285-Identity-H"/>
          <w:color w:val="15131C"/>
          <w:sz w:val="21"/>
          <w:szCs w:val="21"/>
          <w:lang w:val="es-MX" w:eastAsia="en-US"/>
        </w:rPr>
      </w:pPr>
    </w:p>
    <w:p w14:paraId="642D9421" w14:textId="77777777" w:rsidR="0019269C" w:rsidRDefault="0019269C" w:rsidP="0019269C">
      <w:pPr>
        <w:autoSpaceDE w:val="0"/>
        <w:autoSpaceDN w:val="0"/>
        <w:adjustRightInd w:val="0"/>
        <w:ind w:firstLine="708"/>
        <w:jc w:val="both"/>
        <w:rPr>
          <w:rFonts w:ascii="Abadi" w:eastAsiaTheme="minorHAnsi" w:hAnsi="Abadi" w:cs="*Arial-5285-Identity-H"/>
          <w:color w:val="14141B"/>
          <w:sz w:val="21"/>
          <w:szCs w:val="21"/>
          <w:lang w:val="es-MX" w:eastAsia="en-US"/>
        </w:rPr>
      </w:pPr>
      <w:r>
        <w:rPr>
          <w:rFonts w:ascii="Abadi" w:eastAsiaTheme="minorHAnsi" w:hAnsi="Abadi" w:cs="*Arial-5285-Identity-H"/>
          <w:color w:val="14141B"/>
          <w:sz w:val="21"/>
          <w:szCs w:val="21"/>
          <w:lang w:val="es-MX" w:eastAsia="en-US"/>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43989FB6" w14:textId="77777777" w:rsidR="0019269C" w:rsidRDefault="0019269C" w:rsidP="0019269C">
      <w:pPr>
        <w:autoSpaceDE w:val="0"/>
        <w:autoSpaceDN w:val="0"/>
        <w:adjustRightInd w:val="0"/>
        <w:jc w:val="both"/>
        <w:rPr>
          <w:rFonts w:ascii="Abadi" w:eastAsiaTheme="minorHAnsi" w:hAnsi="Abadi" w:cs="*Arial-Bold-5286-Identity-H"/>
          <w:b/>
          <w:bCs/>
          <w:color w:val="14131F"/>
          <w:sz w:val="21"/>
          <w:szCs w:val="21"/>
          <w:lang w:val="es-MX" w:eastAsia="en-US"/>
        </w:rPr>
      </w:pPr>
    </w:p>
    <w:p w14:paraId="5133EE45" w14:textId="77777777" w:rsidR="0019269C" w:rsidRDefault="0019269C" w:rsidP="0019269C">
      <w:pPr>
        <w:autoSpaceDE w:val="0"/>
        <w:autoSpaceDN w:val="0"/>
        <w:adjustRightInd w:val="0"/>
        <w:ind w:firstLine="708"/>
        <w:jc w:val="both"/>
        <w:rPr>
          <w:rFonts w:ascii="Abadi" w:eastAsiaTheme="minorHAnsi" w:hAnsi="Abadi" w:cs="*Arial-Bold-5286-Identity-H"/>
          <w:b/>
          <w:bCs/>
          <w:color w:val="14131F"/>
          <w:sz w:val="21"/>
          <w:szCs w:val="21"/>
          <w:lang w:val="es-MX" w:eastAsia="en-US"/>
        </w:rPr>
      </w:pPr>
      <w:r>
        <w:rPr>
          <w:rFonts w:ascii="Abadi" w:eastAsiaTheme="minorHAnsi" w:hAnsi="Abadi" w:cs="*Arial-Bold-5286-Identity-H"/>
          <w:b/>
          <w:bCs/>
          <w:color w:val="14131F"/>
          <w:sz w:val="21"/>
          <w:szCs w:val="21"/>
          <w:lang w:val="es-MX" w:eastAsia="en-US"/>
        </w:rPr>
        <w:t>II. Antecedentes:</w:t>
      </w:r>
    </w:p>
    <w:p w14:paraId="5048AF26" w14:textId="77777777" w:rsidR="0019269C" w:rsidRDefault="0019269C" w:rsidP="0019269C">
      <w:pPr>
        <w:autoSpaceDE w:val="0"/>
        <w:autoSpaceDN w:val="0"/>
        <w:adjustRightInd w:val="0"/>
        <w:jc w:val="both"/>
        <w:rPr>
          <w:rFonts w:ascii="Abadi" w:eastAsiaTheme="minorHAnsi" w:hAnsi="Abadi" w:cs="*Arial-Bold-5286-Identity-H"/>
          <w:b/>
          <w:bCs/>
          <w:color w:val="14131F"/>
          <w:sz w:val="21"/>
          <w:szCs w:val="21"/>
          <w:lang w:val="es-MX" w:eastAsia="en-US"/>
        </w:rPr>
      </w:pPr>
    </w:p>
    <w:p w14:paraId="0F7415BB" w14:textId="77777777" w:rsidR="0019269C" w:rsidRDefault="0019269C" w:rsidP="0019269C">
      <w:pPr>
        <w:autoSpaceDE w:val="0"/>
        <w:autoSpaceDN w:val="0"/>
        <w:adjustRightInd w:val="0"/>
        <w:ind w:firstLine="708"/>
        <w:jc w:val="both"/>
        <w:rPr>
          <w:rFonts w:ascii="Abadi" w:eastAsiaTheme="minorHAnsi" w:hAnsi="Abadi" w:cs="*Arial-5285-Identity-H"/>
          <w:color w:val="14131D"/>
          <w:sz w:val="21"/>
          <w:szCs w:val="21"/>
          <w:lang w:val="es-MX" w:eastAsia="en-US"/>
        </w:rPr>
      </w:pPr>
      <w:r>
        <w:rPr>
          <w:rFonts w:ascii="Abadi" w:eastAsiaTheme="minorHAnsi" w:hAnsi="Abadi" w:cs="*Arial-5285-Identity-H"/>
          <w:color w:val="14131D"/>
          <w:sz w:val="21"/>
          <w:szCs w:val="21"/>
          <w:lang w:val="es-MX" w:eastAsia="en-US"/>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73726100" w14:textId="77777777" w:rsidR="0019269C" w:rsidRDefault="0019269C" w:rsidP="0019269C">
      <w:pPr>
        <w:autoSpaceDE w:val="0"/>
        <w:autoSpaceDN w:val="0"/>
        <w:adjustRightInd w:val="0"/>
        <w:jc w:val="both"/>
        <w:rPr>
          <w:rFonts w:ascii="Abadi" w:eastAsiaTheme="minorHAnsi" w:hAnsi="Abadi" w:cs="*Arial-5285-Identity-H"/>
          <w:color w:val="14131D"/>
          <w:sz w:val="21"/>
          <w:szCs w:val="21"/>
          <w:lang w:val="es-MX" w:eastAsia="en-US"/>
        </w:rPr>
      </w:pPr>
    </w:p>
    <w:p w14:paraId="06003471" w14:textId="77777777" w:rsidR="0019269C" w:rsidRDefault="0019269C" w:rsidP="0019269C">
      <w:pPr>
        <w:autoSpaceDE w:val="0"/>
        <w:autoSpaceDN w:val="0"/>
        <w:adjustRightInd w:val="0"/>
        <w:ind w:firstLine="708"/>
        <w:jc w:val="both"/>
        <w:rPr>
          <w:rFonts w:ascii="Abadi" w:eastAsiaTheme="minorHAnsi" w:hAnsi="Abadi" w:cs="*Arial-5285-Identity-H"/>
          <w:color w:val="15131C"/>
          <w:sz w:val="21"/>
          <w:szCs w:val="21"/>
          <w:lang w:val="es-MX" w:eastAsia="en-US"/>
        </w:rPr>
      </w:pPr>
      <w:r>
        <w:rPr>
          <w:rFonts w:ascii="Abadi" w:eastAsiaTheme="minorHAnsi" w:hAnsi="Abadi" w:cs="*Arial-5285-Identity-H"/>
          <w:color w:val="15131C"/>
          <w:sz w:val="21"/>
          <w:szCs w:val="21"/>
          <w:lang w:val="es-MX" w:eastAsia="en-US"/>
        </w:rPr>
        <w:t>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w:t>
      </w:r>
    </w:p>
    <w:p w14:paraId="50E874D8" w14:textId="77777777" w:rsidR="0019269C" w:rsidRDefault="0019269C" w:rsidP="0019269C">
      <w:pPr>
        <w:autoSpaceDE w:val="0"/>
        <w:autoSpaceDN w:val="0"/>
        <w:adjustRightInd w:val="0"/>
        <w:ind w:firstLine="708"/>
        <w:jc w:val="both"/>
        <w:rPr>
          <w:rFonts w:ascii="Abadi" w:eastAsiaTheme="minorHAnsi" w:hAnsi="Abadi" w:cs="*Arial-5285-Identity-H"/>
          <w:color w:val="15131C"/>
          <w:sz w:val="21"/>
          <w:szCs w:val="21"/>
          <w:lang w:val="es-MX" w:eastAsia="en-US"/>
        </w:rPr>
      </w:pPr>
    </w:p>
    <w:p w14:paraId="00D7593D" w14:textId="77777777" w:rsidR="0019269C" w:rsidRDefault="0019269C" w:rsidP="0019269C">
      <w:pPr>
        <w:autoSpaceDE w:val="0"/>
        <w:autoSpaceDN w:val="0"/>
        <w:adjustRightInd w:val="0"/>
        <w:ind w:firstLine="708"/>
        <w:jc w:val="both"/>
        <w:rPr>
          <w:rFonts w:ascii="Abadi" w:eastAsiaTheme="minorHAnsi" w:hAnsi="Abadi" w:cs="*Arial-5221-Identity-H"/>
          <w:color w:val="15131C"/>
          <w:sz w:val="21"/>
          <w:szCs w:val="21"/>
          <w:lang w:val="es-MX" w:eastAsia="en-US"/>
        </w:rPr>
      </w:pPr>
      <w:r>
        <w:rPr>
          <w:rFonts w:ascii="Abadi" w:eastAsiaTheme="minorHAnsi" w:hAnsi="Abadi" w:cs="*Arial-5221-Identity-H"/>
          <w:color w:val="15141C"/>
          <w:sz w:val="21"/>
          <w:szCs w:val="21"/>
          <w:lang w:val="es-MX" w:eastAsia="en-US"/>
        </w:rPr>
        <w:t xml:space="preserve">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 </w:t>
      </w:r>
      <w:r>
        <w:rPr>
          <w:rFonts w:ascii="Abadi" w:eastAsiaTheme="minorHAnsi" w:hAnsi="Abadi" w:cs="*Arial-5221-Identity-H"/>
          <w:color w:val="15131C"/>
          <w:sz w:val="21"/>
          <w:szCs w:val="21"/>
          <w:lang w:val="es-MX" w:eastAsia="en-US"/>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608739AC" w14:textId="77777777" w:rsidR="0019269C" w:rsidRDefault="0019269C" w:rsidP="0019269C">
      <w:pPr>
        <w:autoSpaceDE w:val="0"/>
        <w:autoSpaceDN w:val="0"/>
        <w:adjustRightInd w:val="0"/>
        <w:jc w:val="both"/>
        <w:rPr>
          <w:rFonts w:ascii="Abadi" w:eastAsiaTheme="minorHAnsi" w:hAnsi="Abadi" w:cs="*Arial-5221-Identity-H"/>
          <w:color w:val="15131C"/>
          <w:sz w:val="21"/>
          <w:szCs w:val="21"/>
          <w:lang w:val="es-MX" w:eastAsia="en-US"/>
        </w:rPr>
      </w:pPr>
    </w:p>
    <w:p w14:paraId="3EBC6463" w14:textId="77777777" w:rsidR="0019269C" w:rsidRDefault="0019269C" w:rsidP="0019269C">
      <w:pPr>
        <w:autoSpaceDE w:val="0"/>
        <w:autoSpaceDN w:val="0"/>
        <w:adjustRightInd w:val="0"/>
        <w:ind w:firstLine="708"/>
        <w:jc w:val="both"/>
        <w:rPr>
          <w:rFonts w:ascii="Abadi" w:eastAsiaTheme="minorHAnsi" w:hAnsi="Abadi" w:cs="*Arial-5221-Identity-H"/>
          <w:color w:val="14131C"/>
          <w:sz w:val="21"/>
          <w:szCs w:val="21"/>
          <w:lang w:val="es-MX" w:eastAsia="en-US"/>
        </w:rPr>
      </w:pPr>
      <w:r>
        <w:rPr>
          <w:rFonts w:ascii="Abadi" w:eastAsiaTheme="minorHAnsi" w:hAnsi="Abadi" w:cs="*Arial-5221-Identity-H"/>
          <w:color w:val="14131C"/>
          <w:sz w:val="21"/>
          <w:szCs w:val="21"/>
          <w:lang w:val="es-MX" w:eastAsia="en-US"/>
        </w:rPr>
        <w:t>De lo anterior podemos desprender que el Órgano Técnico realizará la auditoría de desempeño de manera anual y únicamente formulará recomendaciones que incidan en la mejora del diseño, operación e impacto de los presupuestos programáticos y las políticas públicas en su caso.</w:t>
      </w:r>
    </w:p>
    <w:p w14:paraId="5C63F44B" w14:textId="77777777" w:rsidR="0019269C" w:rsidRDefault="0019269C" w:rsidP="0019269C">
      <w:pPr>
        <w:autoSpaceDE w:val="0"/>
        <w:autoSpaceDN w:val="0"/>
        <w:adjustRightInd w:val="0"/>
        <w:ind w:firstLine="708"/>
        <w:jc w:val="both"/>
        <w:rPr>
          <w:rFonts w:ascii="Abadi" w:eastAsiaTheme="minorHAnsi" w:hAnsi="Abadi" w:cs="*Arial-5221-Identity-H"/>
          <w:color w:val="14131C"/>
          <w:sz w:val="21"/>
          <w:szCs w:val="21"/>
          <w:lang w:val="es-MX" w:eastAsia="en-US"/>
        </w:rPr>
      </w:pPr>
    </w:p>
    <w:p w14:paraId="019FC248" w14:textId="77777777" w:rsidR="0019269C" w:rsidRDefault="0019269C" w:rsidP="0019269C">
      <w:pPr>
        <w:autoSpaceDE w:val="0"/>
        <w:autoSpaceDN w:val="0"/>
        <w:adjustRightInd w:val="0"/>
        <w:ind w:firstLine="708"/>
        <w:jc w:val="both"/>
        <w:rPr>
          <w:rFonts w:ascii="Abadi" w:eastAsiaTheme="minorHAnsi" w:hAnsi="Abadi" w:cs="*Arial-5221-Identity-H"/>
          <w:color w:val="14141C"/>
          <w:sz w:val="21"/>
          <w:szCs w:val="21"/>
          <w:lang w:val="es-MX" w:eastAsia="en-US"/>
        </w:rPr>
      </w:pPr>
      <w:r>
        <w:rPr>
          <w:rFonts w:ascii="Abadi" w:eastAsiaTheme="minorHAnsi" w:hAnsi="Abadi" w:cs="*Arial-5221-Identity-H"/>
          <w:color w:val="14141C"/>
          <w:sz w:val="21"/>
          <w:szCs w:val="21"/>
          <w:lang w:val="es-MX" w:eastAsia="en-US"/>
        </w:rPr>
        <w:t>Finalmente, el artículo 16 día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68ED003F" w14:textId="77777777" w:rsidR="0019269C" w:rsidRDefault="0019269C" w:rsidP="0019269C">
      <w:pPr>
        <w:autoSpaceDE w:val="0"/>
        <w:autoSpaceDN w:val="0"/>
        <w:adjustRightInd w:val="0"/>
        <w:jc w:val="both"/>
        <w:rPr>
          <w:rFonts w:ascii="Abadi" w:eastAsiaTheme="minorHAnsi" w:hAnsi="Abadi" w:cs="*Arial-5221-Identity-H"/>
          <w:color w:val="14141C"/>
          <w:sz w:val="21"/>
          <w:szCs w:val="21"/>
          <w:lang w:val="es-MX" w:eastAsia="en-US"/>
        </w:rPr>
      </w:pPr>
    </w:p>
    <w:p w14:paraId="672F64A6" w14:textId="77777777" w:rsidR="0019269C" w:rsidRDefault="0019269C" w:rsidP="0019269C">
      <w:pPr>
        <w:autoSpaceDE w:val="0"/>
        <w:autoSpaceDN w:val="0"/>
        <w:adjustRightInd w:val="0"/>
        <w:ind w:firstLine="708"/>
        <w:jc w:val="both"/>
        <w:rPr>
          <w:rFonts w:ascii="Abadi" w:eastAsiaTheme="minorHAnsi" w:hAnsi="Abadi" w:cs="*Arial-5221-Identity-H"/>
          <w:color w:val="14141C"/>
          <w:sz w:val="21"/>
          <w:szCs w:val="21"/>
          <w:lang w:val="es-MX" w:eastAsia="en-US"/>
        </w:rPr>
      </w:pPr>
      <w:r>
        <w:rPr>
          <w:rFonts w:ascii="Abadi" w:eastAsiaTheme="minorHAnsi" w:hAnsi="Abadi" w:cs="*Arial-5221-Identity-H"/>
          <w:color w:val="14141C"/>
          <w:sz w:val="21"/>
          <w:szCs w:val="21"/>
          <w:lang w:val="es-MX" w:eastAsia="en-US"/>
        </w:rPr>
        <w:t>En ejercicio de esta función, el Auditor Superior del Estado aprobó el Programa General de Fiscalización 2021. En dicho Programa se contempló la práctica de una auditoría de desempeño a la administración municipal de Apaseo el Alto, Gto., por el periodo comprendido del 1 de enero al 31 de diciembre del ejercicio fiscal del año 2020, la cual se realizó con enfoque a resultados del</w:t>
      </w:r>
    </w:p>
    <w:p w14:paraId="203531F6" w14:textId="77777777" w:rsidR="0019269C" w:rsidRDefault="0019269C" w:rsidP="0019269C">
      <w:pPr>
        <w:autoSpaceDE w:val="0"/>
        <w:autoSpaceDN w:val="0"/>
        <w:adjustRightInd w:val="0"/>
        <w:jc w:val="both"/>
        <w:rPr>
          <w:rFonts w:ascii="Abadi" w:eastAsiaTheme="minorHAnsi" w:hAnsi="Abadi" w:cs="*Arial-5221-Identity-H"/>
          <w:color w:val="14141C"/>
          <w:sz w:val="21"/>
          <w:szCs w:val="21"/>
          <w:lang w:val="es-MX" w:eastAsia="en-US"/>
        </w:rPr>
      </w:pPr>
      <w:r>
        <w:rPr>
          <w:rFonts w:ascii="Abadi" w:eastAsiaTheme="minorHAnsi" w:hAnsi="Abadi" w:cs="*Arial-5221-Identity-H"/>
          <w:color w:val="14141C"/>
          <w:sz w:val="21"/>
          <w:szCs w:val="21"/>
          <w:lang w:val="es-MX" w:eastAsia="en-US"/>
        </w:rPr>
        <w:t>servicio de alumbrado público.</w:t>
      </w:r>
    </w:p>
    <w:p w14:paraId="33CA754C" w14:textId="77777777" w:rsidR="0019269C" w:rsidRDefault="0019269C" w:rsidP="0019269C">
      <w:pPr>
        <w:autoSpaceDE w:val="0"/>
        <w:autoSpaceDN w:val="0"/>
        <w:adjustRightInd w:val="0"/>
        <w:jc w:val="both"/>
        <w:rPr>
          <w:rFonts w:ascii="Abadi" w:eastAsiaTheme="minorHAnsi" w:hAnsi="Abadi" w:cs="*Arial-5221-Identity-H"/>
          <w:color w:val="14141C"/>
          <w:sz w:val="21"/>
          <w:szCs w:val="21"/>
          <w:lang w:val="es-MX" w:eastAsia="en-US"/>
        </w:rPr>
      </w:pPr>
    </w:p>
    <w:p w14:paraId="7902B0A9" w14:textId="77777777" w:rsidR="0019269C" w:rsidRDefault="0019269C" w:rsidP="0019269C">
      <w:pPr>
        <w:autoSpaceDE w:val="0"/>
        <w:autoSpaceDN w:val="0"/>
        <w:adjustRightInd w:val="0"/>
        <w:ind w:firstLine="708"/>
        <w:jc w:val="both"/>
        <w:rPr>
          <w:rFonts w:ascii="Abadi" w:eastAsiaTheme="minorHAnsi" w:hAnsi="Abadi" w:cs="*Arial-5221-Identity-H"/>
          <w:color w:val="15141D"/>
          <w:sz w:val="21"/>
          <w:szCs w:val="21"/>
          <w:lang w:val="es-MX" w:eastAsia="en-US"/>
        </w:rPr>
      </w:pPr>
      <w:r>
        <w:rPr>
          <w:rFonts w:ascii="Abadi" w:eastAsiaTheme="minorHAnsi" w:hAnsi="Abadi" w:cs="*Arial-5221-Identity-H"/>
          <w:color w:val="15141D"/>
          <w:sz w:val="21"/>
          <w:szCs w:val="21"/>
          <w:lang w:val="es-MX" w:eastAsia="en-US"/>
        </w:rPr>
        <w:t>El 7 de septiembre de 2021 se notificó al sujeto fiscalizado el inicio de la auditoría materia del presente dictamen.</w:t>
      </w:r>
    </w:p>
    <w:p w14:paraId="77402B3E" w14:textId="77777777" w:rsidR="0019269C" w:rsidRDefault="0019269C" w:rsidP="0019269C">
      <w:pPr>
        <w:autoSpaceDE w:val="0"/>
        <w:autoSpaceDN w:val="0"/>
        <w:adjustRightInd w:val="0"/>
        <w:ind w:firstLine="708"/>
        <w:jc w:val="both"/>
        <w:rPr>
          <w:rFonts w:ascii="Abadi" w:eastAsiaTheme="minorHAnsi" w:hAnsi="Abadi" w:cs="*Arial-5221-Identity-H"/>
          <w:color w:val="15141D"/>
          <w:sz w:val="21"/>
          <w:szCs w:val="21"/>
          <w:lang w:val="es-MX" w:eastAsia="en-US"/>
        </w:rPr>
      </w:pPr>
    </w:p>
    <w:p w14:paraId="73C7E06F" w14:textId="77777777" w:rsidR="0019269C" w:rsidRDefault="0019269C" w:rsidP="0019269C">
      <w:pPr>
        <w:autoSpaceDE w:val="0"/>
        <w:autoSpaceDN w:val="0"/>
        <w:adjustRightInd w:val="0"/>
        <w:ind w:firstLine="708"/>
        <w:jc w:val="both"/>
        <w:rPr>
          <w:rFonts w:ascii="Abadi" w:eastAsiaTheme="minorHAnsi" w:hAnsi="Abadi" w:cs="*Arial-5532-Identity-H"/>
          <w:color w:val="15141C"/>
          <w:sz w:val="21"/>
          <w:szCs w:val="21"/>
          <w:lang w:val="es-MX" w:eastAsia="en-US"/>
        </w:rPr>
      </w:pPr>
      <w:r>
        <w:rPr>
          <w:rFonts w:ascii="Abadi" w:eastAsiaTheme="minorHAnsi" w:hAnsi="Abadi" w:cs="*Arial-5532-Identity-H"/>
          <w:color w:val="15141C"/>
          <w:sz w:val="21"/>
          <w:szCs w:val="21"/>
          <w:lang w:val="es-MX" w:eastAsia="en-US"/>
        </w:rPr>
        <w:t>Mediante oficio notificado el 24 de septiembre de 2021, la Auditoría Superior del Estado requirió al sujeto de fiscalización diversa información que se consideró necesaria para llevar a cabo la auditoría, al cual se dio respuesta en fechas 19 y 22 de octubre de 2021. Asimismo, el 10 de enero de 2022, el Órgano Técnico realizó una entrevista.</w:t>
      </w:r>
    </w:p>
    <w:p w14:paraId="55F9E65A" w14:textId="77777777" w:rsidR="0019269C" w:rsidRDefault="0019269C" w:rsidP="0019269C">
      <w:pPr>
        <w:autoSpaceDE w:val="0"/>
        <w:autoSpaceDN w:val="0"/>
        <w:adjustRightInd w:val="0"/>
        <w:jc w:val="both"/>
        <w:rPr>
          <w:rFonts w:ascii="Abadi" w:eastAsiaTheme="minorHAnsi" w:hAnsi="Abadi" w:cs="*Arial-5532-Identity-H"/>
          <w:color w:val="15141C"/>
          <w:sz w:val="21"/>
          <w:szCs w:val="21"/>
          <w:lang w:val="es-MX" w:eastAsia="en-US"/>
        </w:rPr>
      </w:pPr>
    </w:p>
    <w:p w14:paraId="6F06F76A" w14:textId="77777777" w:rsidR="0019269C" w:rsidRDefault="0019269C" w:rsidP="0019269C">
      <w:pPr>
        <w:autoSpaceDE w:val="0"/>
        <w:autoSpaceDN w:val="0"/>
        <w:adjustRightInd w:val="0"/>
        <w:ind w:firstLine="708"/>
        <w:jc w:val="both"/>
        <w:rPr>
          <w:rFonts w:ascii="Abadi" w:eastAsiaTheme="minorHAnsi" w:hAnsi="Abadi" w:cs="*Arial-5532-Identity-H"/>
          <w:color w:val="14131C"/>
          <w:sz w:val="21"/>
          <w:szCs w:val="21"/>
          <w:lang w:val="es-MX" w:eastAsia="en-US"/>
        </w:rPr>
      </w:pPr>
      <w:r>
        <w:rPr>
          <w:rFonts w:ascii="Abadi" w:eastAsiaTheme="minorHAnsi" w:hAnsi="Abadi" w:cs="*Arial-5532-Identity-H"/>
          <w:color w:val="14131C"/>
          <w:sz w:val="21"/>
          <w:szCs w:val="21"/>
          <w:lang w:val="es-MX" w:eastAsia="en-US"/>
        </w:rPr>
        <w:t>Los días 24 de septiembre y 17 de diciembre de 2021 se notificó al sujeto fiscalizado la suspensión del plazo de la auditoría materia del presente dictamen, por los periodos comprendidos del 1 de octubre al 17 de diciembre de 2021; y del 3 de enero al 11 de marzo de 2022.</w:t>
      </w:r>
    </w:p>
    <w:p w14:paraId="794E8CD9" w14:textId="77777777" w:rsidR="0019269C" w:rsidRDefault="0019269C" w:rsidP="0019269C">
      <w:pPr>
        <w:autoSpaceDE w:val="0"/>
        <w:autoSpaceDN w:val="0"/>
        <w:adjustRightInd w:val="0"/>
        <w:jc w:val="both"/>
        <w:rPr>
          <w:rFonts w:ascii="Abadi" w:eastAsiaTheme="minorHAnsi" w:hAnsi="Abadi" w:cs="*Arial-5532-Identity-H"/>
          <w:color w:val="14131C"/>
          <w:sz w:val="21"/>
          <w:szCs w:val="21"/>
          <w:lang w:val="es-MX" w:eastAsia="en-US"/>
        </w:rPr>
      </w:pPr>
    </w:p>
    <w:p w14:paraId="557E5E09" w14:textId="77777777" w:rsidR="0019269C" w:rsidRDefault="0019269C" w:rsidP="0019269C">
      <w:pPr>
        <w:autoSpaceDE w:val="0"/>
        <w:autoSpaceDN w:val="0"/>
        <w:adjustRightInd w:val="0"/>
        <w:ind w:firstLine="708"/>
        <w:jc w:val="both"/>
        <w:rPr>
          <w:rFonts w:ascii="Abadi" w:eastAsiaTheme="minorHAnsi" w:hAnsi="Abadi" w:cs="*Arial-5532-Identity-H"/>
          <w:color w:val="15131C"/>
          <w:sz w:val="21"/>
          <w:szCs w:val="21"/>
          <w:lang w:val="es-MX" w:eastAsia="en-US"/>
        </w:rPr>
      </w:pPr>
      <w:r>
        <w:rPr>
          <w:rFonts w:ascii="Abadi" w:eastAsiaTheme="minorHAnsi" w:hAnsi="Abadi" w:cs="*Arial-5532-Identity-H"/>
          <w:color w:val="15131C"/>
          <w:sz w:val="21"/>
          <w:szCs w:val="21"/>
          <w:lang w:val="es-MX" w:eastAsia="en-US"/>
        </w:rPr>
        <w:t>Como parte del proceso de auditoría, eI 25 de enero de 2022 se notificó al sujeto fiscalizado el pliego de recomendaciones derivadas de la auditoría practicada. Lo anterior, para dar cumplimiento a lo preceptuado por el artículo 58 de la Ley de Fiscalización Superior del Estado de Guanajuato, al cual no se dio respuesta en el plazo previsto en el referido artículo. Una vez lo cual se procedió a la elaboración del informe de resultados materia del presente dictamen.</w:t>
      </w:r>
    </w:p>
    <w:p w14:paraId="6BEA6D30" w14:textId="77777777" w:rsidR="0019269C" w:rsidRDefault="0019269C" w:rsidP="0019269C">
      <w:pPr>
        <w:autoSpaceDE w:val="0"/>
        <w:autoSpaceDN w:val="0"/>
        <w:adjustRightInd w:val="0"/>
        <w:jc w:val="both"/>
        <w:rPr>
          <w:rFonts w:ascii="Abadi" w:eastAsiaTheme="minorHAnsi" w:hAnsi="Abadi" w:cs="*Arial-5532-Identity-H"/>
          <w:color w:val="15131C"/>
          <w:sz w:val="21"/>
          <w:szCs w:val="21"/>
          <w:lang w:val="es-MX" w:eastAsia="en-US"/>
        </w:rPr>
      </w:pPr>
    </w:p>
    <w:p w14:paraId="1B6BB630" w14:textId="77777777" w:rsidR="0019269C" w:rsidRDefault="0019269C" w:rsidP="0019269C">
      <w:pPr>
        <w:autoSpaceDE w:val="0"/>
        <w:autoSpaceDN w:val="0"/>
        <w:adjustRightInd w:val="0"/>
        <w:jc w:val="both"/>
        <w:rPr>
          <w:rFonts w:ascii="Abadi" w:eastAsiaTheme="minorHAnsi" w:hAnsi="Abadi" w:cs="*Arial-5532-Identity-H"/>
          <w:color w:val="15131C"/>
          <w:sz w:val="21"/>
          <w:szCs w:val="21"/>
          <w:lang w:val="es-MX" w:eastAsia="en-US"/>
        </w:rPr>
      </w:pPr>
    </w:p>
    <w:p w14:paraId="0E390AB6" w14:textId="77777777" w:rsidR="0019269C" w:rsidRDefault="0019269C" w:rsidP="0019269C">
      <w:pPr>
        <w:autoSpaceDE w:val="0"/>
        <w:autoSpaceDN w:val="0"/>
        <w:adjustRightInd w:val="0"/>
        <w:ind w:firstLine="708"/>
        <w:jc w:val="both"/>
        <w:rPr>
          <w:rFonts w:ascii="Abadi" w:eastAsiaTheme="minorHAnsi" w:hAnsi="Abadi" w:cs="*Arial-5532-Identity-H"/>
          <w:color w:val="14141D"/>
          <w:sz w:val="21"/>
          <w:szCs w:val="21"/>
          <w:lang w:val="es-MX" w:eastAsia="en-US"/>
        </w:rPr>
      </w:pPr>
      <w:r>
        <w:rPr>
          <w:rFonts w:ascii="Abadi" w:eastAsiaTheme="minorHAnsi" w:hAnsi="Abadi" w:cs="*Arial-5532-Identity-H"/>
          <w:color w:val="14141D"/>
          <w:sz w:val="21"/>
          <w:szCs w:val="21"/>
          <w:lang w:val="es-MX" w:eastAsia="en-US"/>
        </w:rPr>
        <w:t xml:space="preserve">El informe de resultados se notificó a la presidenta municipal de Apaseo el Alto, Gto., el 24 de febrero de 2022. </w:t>
      </w:r>
    </w:p>
    <w:p w14:paraId="3D5C8F3B" w14:textId="77777777" w:rsidR="0019269C" w:rsidRDefault="0019269C" w:rsidP="0019269C">
      <w:pPr>
        <w:autoSpaceDE w:val="0"/>
        <w:autoSpaceDN w:val="0"/>
        <w:adjustRightInd w:val="0"/>
        <w:jc w:val="both"/>
        <w:rPr>
          <w:rFonts w:ascii="Abadi" w:eastAsiaTheme="minorHAnsi" w:hAnsi="Abadi" w:cs="*Arial-5532-Identity-H"/>
          <w:color w:val="14141D"/>
          <w:sz w:val="21"/>
          <w:szCs w:val="21"/>
          <w:lang w:val="es-MX" w:eastAsia="en-US"/>
        </w:rPr>
      </w:pPr>
    </w:p>
    <w:p w14:paraId="22EF9D3B" w14:textId="77777777" w:rsidR="0019269C" w:rsidRDefault="0019269C" w:rsidP="0019269C">
      <w:pPr>
        <w:autoSpaceDE w:val="0"/>
        <w:autoSpaceDN w:val="0"/>
        <w:adjustRightInd w:val="0"/>
        <w:jc w:val="both"/>
        <w:rPr>
          <w:rFonts w:ascii="Abadi" w:eastAsiaTheme="minorHAnsi" w:hAnsi="Abadi" w:cs="*Arial-5532-Identity-H"/>
          <w:color w:val="14141D"/>
          <w:sz w:val="21"/>
          <w:szCs w:val="21"/>
          <w:lang w:val="es-MX" w:eastAsia="en-US"/>
        </w:rPr>
      </w:pPr>
    </w:p>
    <w:p w14:paraId="5D6FAF42" w14:textId="77777777" w:rsidR="0019269C" w:rsidRDefault="0019269C" w:rsidP="0019269C">
      <w:pPr>
        <w:autoSpaceDE w:val="0"/>
        <w:autoSpaceDN w:val="0"/>
        <w:adjustRightInd w:val="0"/>
        <w:ind w:firstLine="708"/>
        <w:jc w:val="both"/>
        <w:rPr>
          <w:rFonts w:ascii="Abadi" w:eastAsiaTheme="minorHAnsi" w:hAnsi="Abadi" w:cs="*Arial-5532-Identity-H"/>
          <w:color w:val="14141B"/>
          <w:sz w:val="21"/>
          <w:szCs w:val="21"/>
          <w:lang w:val="es-MX" w:eastAsia="en-US"/>
        </w:rPr>
      </w:pPr>
      <w:r>
        <w:rPr>
          <w:rFonts w:ascii="Abadi" w:eastAsiaTheme="minorHAnsi" w:hAnsi="Abadi" w:cs="*Arial-5532-Identity-H"/>
          <w:color w:val="14141B"/>
          <w:sz w:val="21"/>
          <w:szCs w:val="21"/>
          <w:lang w:val="es-MX" w:eastAsia="en-US"/>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20A3541D" w14:textId="77777777" w:rsidR="0019269C" w:rsidRDefault="0019269C" w:rsidP="0019269C">
      <w:pPr>
        <w:autoSpaceDE w:val="0"/>
        <w:autoSpaceDN w:val="0"/>
        <w:adjustRightInd w:val="0"/>
        <w:jc w:val="both"/>
        <w:rPr>
          <w:rFonts w:ascii="Abadi" w:eastAsiaTheme="minorHAnsi" w:hAnsi="Abadi" w:cs="*Arial-5532-Identity-H"/>
          <w:color w:val="14141B"/>
          <w:sz w:val="21"/>
          <w:szCs w:val="21"/>
          <w:lang w:val="es-MX" w:eastAsia="en-US"/>
        </w:rPr>
      </w:pPr>
    </w:p>
    <w:p w14:paraId="34DEADE9" w14:textId="77777777" w:rsidR="0019269C" w:rsidRDefault="0019269C" w:rsidP="0019269C">
      <w:pPr>
        <w:autoSpaceDE w:val="0"/>
        <w:autoSpaceDN w:val="0"/>
        <w:adjustRightInd w:val="0"/>
        <w:ind w:firstLine="708"/>
        <w:jc w:val="both"/>
        <w:rPr>
          <w:rFonts w:ascii="Abadi" w:eastAsiaTheme="minorHAnsi" w:hAnsi="Abadi" w:cs="*Arial-5532-Identity-H"/>
          <w:color w:val="14131C"/>
          <w:sz w:val="21"/>
          <w:szCs w:val="21"/>
          <w:lang w:val="es-MX" w:eastAsia="en-US"/>
        </w:rPr>
      </w:pPr>
      <w:r>
        <w:rPr>
          <w:rFonts w:ascii="Abadi" w:eastAsiaTheme="minorHAnsi" w:hAnsi="Abadi" w:cs="*Arial-5532-Identity-H"/>
          <w:color w:val="14131C"/>
          <w:sz w:val="21"/>
          <w:szCs w:val="21"/>
          <w:lang w:val="es-MX" w:eastAsia="en-US"/>
        </w:rPr>
        <w:t>En razón de lo anterior, el Auditor Superior del Estado remitió a este Congreso del Estado, el informe de resultados, el cual se turnó a la Comisión de Hacienda y Fiscalización el 1 O de marzo de 2022 para su estudio y dictamen, siendo radicado el 15 de marzo del año en curso.</w:t>
      </w:r>
    </w:p>
    <w:p w14:paraId="5DC28129" w14:textId="77777777" w:rsidR="0019269C" w:rsidRDefault="0019269C" w:rsidP="0019269C">
      <w:pPr>
        <w:autoSpaceDE w:val="0"/>
        <w:autoSpaceDN w:val="0"/>
        <w:adjustRightInd w:val="0"/>
        <w:jc w:val="both"/>
        <w:rPr>
          <w:rFonts w:ascii="Abadi" w:eastAsiaTheme="minorHAnsi" w:hAnsi="Abadi" w:cs="*Arial-Bold-5533-Identity-H"/>
          <w:b/>
          <w:bCs/>
          <w:color w:val="14121E"/>
          <w:sz w:val="21"/>
          <w:szCs w:val="21"/>
          <w:lang w:val="es-MX" w:eastAsia="en-US"/>
        </w:rPr>
      </w:pPr>
    </w:p>
    <w:p w14:paraId="09E1E09C" w14:textId="77777777" w:rsidR="0019269C" w:rsidRDefault="0019269C" w:rsidP="0019269C">
      <w:pPr>
        <w:autoSpaceDE w:val="0"/>
        <w:autoSpaceDN w:val="0"/>
        <w:adjustRightInd w:val="0"/>
        <w:ind w:firstLine="708"/>
        <w:jc w:val="both"/>
        <w:rPr>
          <w:rFonts w:ascii="Abadi" w:eastAsiaTheme="minorHAnsi" w:hAnsi="Abadi" w:cs="*Arial-Bold-5533-Identity-H"/>
          <w:b/>
          <w:bCs/>
          <w:color w:val="14121E"/>
          <w:sz w:val="21"/>
          <w:szCs w:val="21"/>
          <w:lang w:val="es-MX" w:eastAsia="en-US"/>
        </w:rPr>
      </w:pPr>
      <w:r>
        <w:rPr>
          <w:rFonts w:ascii="Abadi" w:eastAsiaTheme="minorHAnsi" w:hAnsi="Abadi" w:cs="*Arial-Bold-5533-Identity-H"/>
          <w:b/>
          <w:bCs/>
          <w:color w:val="14121E"/>
          <w:sz w:val="21"/>
          <w:szCs w:val="21"/>
          <w:lang w:val="es-MX" w:eastAsia="en-US"/>
        </w:rPr>
        <w:t>IV. Contenido del Informe de Resultados:</w:t>
      </w:r>
    </w:p>
    <w:p w14:paraId="39726490" w14:textId="77777777" w:rsidR="0019269C" w:rsidRDefault="0019269C" w:rsidP="0019269C">
      <w:pPr>
        <w:autoSpaceDE w:val="0"/>
        <w:autoSpaceDN w:val="0"/>
        <w:adjustRightInd w:val="0"/>
        <w:jc w:val="both"/>
        <w:rPr>
          <w:rFonts w:ascii="Abadi" w:eastAsiaTheme="minorHAnsi" w:hAnsi="Abadi" w:cs="*Arial-Bold-5533-Identity-H"/>
          <w:b/>
          <w:bCs/>
          <w:color w:val="14121E"/>
          <w:sz w:val="21"/>
          <w:szCs w:val="21"/>
          <w:lang w:val="es-MX" w:eastAsia="en-US"/>
        </w:rPr>
      </w:pPr>
    </w:p>
    <w:p w14:paraId="7488C260" w14:textId="77777777" w:rsidR="0019269C" w:rsidRDefault="0019269C" w:rsidP="0019269C">
      <w:pPr>
        <w:autoSpaceDE w:val="0"/>
        <w:autoSpaceDN w:val="0"/>
        <w:adjustRightInd w:val="0"/>
        <w:ind w:firstLine="708"/>
        <w:jc w:val="both"/>
        <w:rPr>
          <w:rFonts w:ascii="Abadi" w:eastAsiaTheme="minorHAnsi" w:hAnsi="Abadi" w:cs="*Arial-5532-Identity-H"/>
          <w:color w:val="14141C"/>
          <w:sz w:val="21"/>
          <w:szCs w:val="21"/>
          <w:lang w:val="es-MX" w:eastAsia="en-US"/>
        </w:rPr>
      </w:pPr>
      <w:r>
        <w:rPr>
          <w:rFonts w:ascii="Abadi" w:eastAsiaTheme="minorHAnsi" w:hAnsi="Abadi" w:cs="*Arial-5532-Identity-H"/>
          <w:color w:val="14141C"/>
          <w:sz w:val="21"/>
          <w:szCs w:val="21"/>
          <w:lang w:val="es-MX" w:eastAsia="en-US"/>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3D95C374" w14:textId="77777777" w:rsidR="0019269C" w:rsidRDefault="0019269C" w:rsidP="0019269C">
      <w:pPr>
        <w:autoSpaceDE w:val="0"/>
        <w:autoSpaceDN w:val="0"/>
        <w:adjustRightInd w:val="0"/>
        <w:ind w:firstLine="708"/>
        <w:jc w:val="both"/>
        <w:rPr>
          <w:rFonts w:ascii="Abadi" w:eastAsiaTheme="minorHAnsi" w:hAnsi="Abadi" w:cs="*Arial-5532-Identity-H"/>
          <w:color w:val="14141C"/>
          <w:sz w:val="21"/>
          <w:szCs w:val="21"/>
          <w:lang w:val="es-MX" w:eastAsia="en-US"/>
        </w:rPr>
      </w:pPr>
    </w:p>
    <w:p w14:paraId="3578063E" w14:textId="77777777" w:rsidR="0019269C" w:rsidRDefault="0019269C" w:rsidP="0019269C">
      <w:pPr>
        <w:autoSpaceDE w:val="0"/>
        <w:autoSpaceDN w:val="0"/>
        <w:adjustRightInd w:val="0"/>
        <w:ind w:firstLine="708"/>
        <w:jc w:val="both"/>
        <w:rPr>
          <w:rFonts w:ascii="Abadi" w:eastAsiaTheme="minorHAnsi" w:hAnsi="Abadi" w:cs="*Arial-Bold-6183-Identity-H"/>
          <w:b/>
          <w:bCs/>
          <w:color w:val="141320"/>
          <w:sz w:val="21"/>
          <w:szCs w:val="21"/>
          <w:lang w:val="es-MX" w:eastAsia="en-US"/>
        </w:rPr>
      </w:pPr>
      <w:r>
        <w:rPr>
          <w:rFonts w:ascii="Abadi" w:eastAsiaTheme="minorHAnsi" w:hAnsi="Abadi" w:cs="*Arial-Bold-6183-Identity-H"/>
          <w:b/>
          <w:bCs/>
          <w:color w:val="141320"/>
          <w:sz w:val="21"/>
          <w:szCs w:val="21"/>
          <w:lang w:val="es-MX" w:eastAsia="en-US"/>
        </w:rPr>
        <w:t>a) Introducción.</w:t>
      </w:r>
    </w:p>
    <w:p w14:paraId="58944ED7" w14:textId="77777777" w:rsidR="0019269C" w:rsidRDefault="0019269C" w:rsidP="0019269C">
      <w:pPr>
        <w:autoSpaceDE w:val="0"/>
        <w:autoSpaceDN w:val="0"/>
        <w:adjustRightInd w:val="0"/>
        <w:jc w:val="both"/>
        <w:rPr>
          <w:rFonts w:ascii="Abadi" w:eastAsiaTheme="minorHAnsi" w:hAnsi="Abadi" w:cs="*Arial-6184-Identity-H"/>
          <w:color w:val="211E26"/>
          <w:sz w:val="21"/>
          <w:szCs w:val="21"/>
          <w:lang w:val="es-MX" w:eastAsia="en-US"/>
        </w:rPr>
      </w:pPr>
    </w:p>
    <w:p w14:paraId="4CA17189" w14:textId="77777777" w:rsidR="0019269C" w:rsidRDefault="0019269C" w:rsidP="0019269C">
      <w:pPr>
        <w:autoSpaceDE w:val="0"/>
        <w:autoSpaceDN w:val="0"/>
        <w:adjustRightInd w:val="0"/>
        <w:jc w:val="both"/>
        <w:rPr>
          <w:rFonts w:ascii="Abadi" w:eastAsiaTheme="minorHAnsi" w:hAnsi="Abadi" w:cs="*Arial-6182-Identity-H"/>
          <w:color w:val="15141C"/>
          <w:sz w:val="21"/>
          <w:szCs w:val="21"/>
          <w:lang w:val="es-MX" w:eastAsia="en-US"/>
        </w:rPr>
      </w:pPr>
    </w:p>
    <w:p w14:paraId="150FC5E4" w14:textId="29C531BB" w:rsidR="0019269C" w:rsidRDefault="0019269C" w:rsidP="00CF1A19">
      <w:pPr>
        <w:autoSpaceDE w:val="0"/>
        <w:autoSpaceDN w:val="0"/>
        <w:adjustRightInd w:val="0"/>
        <w:ind w:firstLine="708"/>
        <w:jc w:val="both"/>
        <w:rPr>
          <w:rFonts w:ascii="Abadi" w:eastAsiaTheme="minorHAnsi" w:hAnsi="Abadi" w:cs="*Arial-6182-Identity-H"/>
          <w:color w:val="15141C"/>
          <w:sz w:val="21"/>
          <w:szCs w:val="21"/>
          <w:lang w:val="es-MX" w:eastAsia="en-US"/>
        </w:rPr>
      </w:pPr>
      <w:r>
        <w:rPr>
          <w:rFonts w:ascii="Abadi" w:eastAsiaTheme="minorHAnsi" w:hAnsi="Abadi" w:cs="*Arial-6182-Identity-H"/>
          <w:color w:val="15141C"/>
          <w:sz w:val="21"/>
          <w:szCs w:val="21"/>
          <w:lang w:val="es-MX" w:eastAsia="en-US"/>
        </w:rPr>
        <w:t>Por lo que se refiere a esta parte, se señala que las auditorías de desempeño son actos de fiscalización, esa es su esencia. Es así, que la naturaleza técnico-jurídica de las auditorías de desempeño difiere de otras auditorías, pues el resultado se expresa con la emisión, en su caso, de exclusivamente recomendaciones, distinguiéndose de otros actos de fiscalización o control que pueden arrojar ob</w:t>
      </w:r>
      <w:r>
        <w:rPr>
          <w:rFonts w:ascii="Abadi" w:eastAsia="Abadi" w:hAnsi="Abadi" w:cs="Abadi"/>
          <w:color w:val="15141C"/>
          <w:sz w:val="21"/>
          <w:szCs w:val="21"/>
          <w:lang w:val="es-MX" w:eastAsia="en-US"/>
        </w:rPr>
        <w:t>s</w:t>
      </w:r>
      <w:r>
        <w:rPr>
          <w:rFonts w:ascii="Abadi" w:eastAsiaTheme="minorHAnsi" w:hAnsi="Abadi" w:cs="*Arial-6182-Identity-H"/>
          <w:color w:val="15141C"/>
          <w:sz w:val="21"/>
          <w:szCs w:val="21"/>
          <w:lang w:val="es-MX" w:eastAsia="en-US"/>
        </w:rPr>
        <w:t>ervaciones. Se trata de una tarea reglada y sistémica de evaluación para la mejora continua, detectando debilidades, áreas de oportunidad, amenazas e incluso fortalezas en el ámbito</w:t>
      </w:r>
      <w:r w:rsidR="00CF1A19">
        <w:rPr>
          <w:rFonts w:ascii="Abadi" w:eastAsiaTheme="minorHAnsi" w:hAnsi="Abadi" w:cs="*Arial-6182-Identity-H"/>
          <w:color w:val="15141C"/>
          <w:sz w:val="21"/>
          <w:szCs w:val="21"/>
          <w:lang w:val="es-MX" w:eastAsia="en-US"/>
        </w:rPr>
        <w:t xml:space="preserve"> </w:t>
      </w:r>
      <w:r>
        <w:rPr>
          <w:rFonts w:ascii="Abadi" w:eastAsiaTheme="minorHAnsi" w:hAnsi="Abadi" w:cs="*Arial-6182-Identity-H"/>
          <w:color w:val="15141C"/>
          <w:sz w:val="21"/>
          <w:szCs w:val="21"/>
          <w:lang w:val="es-MX" w:eastAsia="en-US"/>
        </w:rPr>
        <w:t>público, pero promoviendo además acciones concretas que permitan superar o potenciar las mismas, dando adicionalmente seguimiento a su eventual implementación por los sujetos públicos responsables.</w:t>
      </w:r>
    </w:p>
    <w:p w14:paraId="19276D49" w14:textId="77777777" w:rsidR="0019269C" w:rsidRDefault="0019269C" w:rsidP="0019269C">
      <w:pPr>
        <w:autoSpaceDE w:val="0"/>
        <w:autoSpaceDN w:val="0"/>
        <w:adjustRightInd w:val="0"/>
        <w:jc w:val="both"/>
        <w:rPr>
          <w:rFonts w:ascii="Abadi" w:eastAsiaTheme="minorHAnsi" w:hAnsi="Abadi" w:cs="*Arial-6182-Identity-H"/>
          <w:color w:val="15141C"/>
          <w:sz w:val="21"/>
          <w:szCs w:val="21"/>
          <w:lang w:val="es-MX" w:eastAsia="en-US"/>
        </w:rPr>
      </w:pPr>
    </w:p>
    <w:p w14:paraId="18983881" w14:textId="77777777" w:rsidR="0019269C" w:rsidRDefault="0019269C" w:rsidP="0019269C">
      <w:pPr>
        <w:autoSpaceDE w:val="0"/>
        <w:autoSpaceDN w:val="0"/>
        <w:adjustRightInd w:val="0"/>
        <w:ind w:firstLine="708"/>
        <w:jc w:val="both"/>
        <w:rPr>
          <w:rFonts w:ascii="Abadi" w:eastAsiaTheme="minorHAnsi" w:hAnsi="Abadi" w:cs="*Arial-6182-Identity-H"/>
          <w:color w:val="14141C"/>
          <w:sz w:val="21"/>
          <w:szCs w:val="21"/>
          <w:lang w:val="es-MX" w:eastAsia="en-US"/>
        </w:rPr>
      </w:pPr>
      <w:r>
        <w:rPr>
          <w:rFonts w:ascii="Abadi" w:eastAsiaTheme="minorHAnsi" w:hAnsi="Abadi" w:cs="*Arial-6182-Identity-H"/>
          <w:color w:val="14141C"/>
          <w:sz w:val="21"/>
          <w:szCs w:val="21"/>
          <w:lang w:val="es-MX" w:eastAsia="en-US"/>
        </w:rPr>
        <w:t>En dichas auditorías, con independencia de su enfoque, se debe planear con toda claridad y con base en la evidencia competente, suficiente, pertinente, relevante y oportuna, las conclusiones del proceso de fiscalización, puntualizándose las recomendaciones formuladas en su caso.</w:t>
      </w:r>
    </w:p>
    <w:p w14:paraId="22BC5C12" w14:textId="77777777" w:rsidR="0019269C" w:rsidRDefault="0019269C" w:rsidP="0019269C">
      <w:pPr>
        <w:autoSpaceDE w:val="0"/>
        <w:autoSpaceDN w:val="0"/>
        <w:adjustRightInd w:val="0"/>
        <w:jc w:val="both"/>
        <w:rPr>
          <w:rFonts w:ascii="Abadi" w:eastAsiaTheme="minorHAnsi" w:hAnsi="Abadi" w:cs="*Arial-6182-Identity-H"/>
          <w:color w:val="14141C"/>
          <w:sz w:val="21"/>
          <w:szCs w:val="21"/>
          <w:lang w:val="es-MX" w:eastAsia="en-US"/>
        </w:rPr>
      </w:pPr>
    </w:p>
    <w:p w14:paraId="2F24E2A6" w14:textId="77777777" w:rsidR="0019269C" w:rsidRDefault="0019269C" w:rsidP="0019269C">
      <w:pPr>
        <w:autoSpaceDE w:val="0"/>
        <w:autoSpaceDN w:val="0"/>
        <w:adjustRightInd w:val="0"/>
        <w:ind w:firstLine="708"/>
        <w:jc w:val="both"/>
        <w:rPr>
          <w:rFonts w:ascii="Abadi" w:eastAsiaTheme="minorHAnsi" w:hAnsi="Abadi" w:cs="*Arial-6182-Identity-H"/>
          <w:color w:val="15141C"/>
          <w:sz w:val="21"/>
          <w:szCs w:val="21"/>
          <w:lang w:val="es-MX" w:eastAsia="en-US"/>
        </w:rPr>
      </w:pPr>
      <w:r>
        <w:rPr>
          <w:rFonts w:ascii="Abadi" w:eastAsiaTheme="minorHAnsi" w:hAnsi="Abadi" w:cs="*Arial-6182-Identity-H"/>
          <w:color w:val="15141C"/>
          <w:sz w:val="21"/>
          <w:szCs w:val="21"/>
          <w:lang w:val="es-MX" w:eastAsia="en-US"/>
        </w:rPr>
        <w:t>Respecto al marco competencia!, se precisa la normatividad aplicable a la función de fiscalización a cargo del Poder Legislativo del Estado, siendo esta: artículos 116, fracción II y 134 de la Constitución Política de los Estados Unidos Mexicanos; 2, párrafo primero, 63, fracción XIX y 66, fracciones I, II y IV de la Constitución Política para el Estado de Guanajuato; 1, 2, fracciones II y III, 3, fracciones I, II, V y XI, 4, 6, 7, 11, 14, 16, 24, 25, 26, 30, 31, 37, fracción III, 56, 57, 58, 59, 60, 82, fracciones III,</w:t>
      </w:r>
      <w:r>
        <w:rPr>
          <w:rFonts w:ascii="Abadi" w:eastAsiaTheme="minorHAnsi" w:hAnsi="Abadi" w:cs="*Microsoft Sans Serif-Bold-6185"/>
          <w:b/>
          <w:bCs/>
          <w:color w:val="15141C"/>
          <w:sz w:val="21"/>
          <w:szCs w:val="21"/>
          <w:lang w:val="es-MX" w:eastAsia="en-US"/>
        </w:rPr>
        <w:t xml:space="preserve"> </w:t>
      </w:r>
      <w:r>
        <w:rPr>
          <w:rFonts w:ascii="Abadi" w:eastAsiaTheme="minorHAnsi" w:hAnsi="Abadi" w:cs="*Arial-6182-Identity-H"/>
          <w:color w:val="15141C"/>
          <w:sz w:val="21"/>
          <w:szCs w:val="21"/>
          <w:lang w:val="es-MX" w:eastAsia="en-US"/>
        </w:rPr>
        <w:t xml:space="preserve">IV, </w:t>
      </w:r>
      <w:r>
        <w:rPr>
          <w:rFonts w:ascii="Abadi" w:eastAsiaTheme="minorHAnsi" w:hAnsi="Abadi" w:cs="*Microsoft Sans Serif-Bold-6185"/>
          <w:color w:val="15141C"/>
          <w:sz w:val="21"/>
          <w:szCs w:val="21"/>
          <w:lang w:val="es-MX" w:eastAsia="en-US"/>
        </w:rPr>
        <w:t xml:space="preserve">XXIX, XXXII </w:t>
      </w:r>
      <w:r>
        <w:rPr>
          <w:rFonts w:ascii="Abadi" w:eastAsiaTheme="minorHAnsi" w:hAnsi="Abadi" w:cs="*Arial-6182-Identity-H"/>
          <w:color w:val="15141C"/>
          <w:sz w:val="21"/>
          <w:szCs w:val="21"/>
          <w:lang w:val="es-MX" w:eastAsia="en-US"/>
        </w:rPr>
        <w:t xml:space="preserve">y </w:t>
      </w:r>
      <w:r>
        <w:rPr>
          <w:rFonts w:ascii="Abadi" w:eastAsiaTheme="minorHAnsi" w:hAnsi="Abadi" w:cs="*Microsoft Sans Serif-Bold-6185"/>
          <w:color w:val="15141C"/>
          <w:sz w:val="21"/>
          <w:szCs w:val="21"/>
          <w:lang w:val="es-MX" w:eastAsia="en-US"/>
        </w:rPr>
        <w:t>XXXV</w:t>
      </w:r>
      <w:r>
        <w:rPr>
          <w:rFonts w:ascii="Abadi" w:eastAsiaTheme="minorHAnsi" w:hAnsi="Abadi" w:cs="*Microsoft Sans Serif-Bold-6185"/>
          <w:b/>
          <w:bCs/>
          <w:color w:val="15141C"/>
          <w:sz w:val="21"/>
          <w:szCs w:val="21"/>
          <w:lang w:val="es-MX" w:eastAsia="en-US"/>
        </w:rPr>
        <w:t xml:space="preserve"> </w:t>
      </w:r>
      <w:r>
        <w:rPr>
          <w:rFonts w:ascii="Abadi" w:eastAsiaTheme="minorHAnsi" w:hAnsi="Abadi" w:cs="*Arial-6182-Identity-H"/>
          <w:color w:val="15141C"/>
          <w:sz w:val="21"/>
          <w:szCs w:val="21"/>
          <w:lang w:val="es-MX" w:eastAsia="en-US"/>
        </w:rPr>
        <w:t xml:space="preserve">y 87, fracciones V, XII y XXVI de la Ley de Fiscalización Superior del Estado de Guanajuato; 1, 3, 10, 13, 18, 20, 27, 43, 44, 45, 46, 47, 48 y 49 del Reglamento de la Ley de Fiscalización Superior del Estado de Guanajuato; 1, 7, segundo párrafo, 8, fracción </w:t>
      </w:r>
      <w:r>
        <w:rPr>
          <w:rFonts w:ascii="Abadi" w:eastAsiaTheme="minorHAnsi" w:hAnsi="Abadi" w:cs="*Microsoft Sans Serif-Bold-6185"/>
          <w:color w:val="15141C"/>
          <w:sz w:val="21"/>
          <w:szCs w:val="21"/>
          <w:lang w:val="es-MX" w:eastAsia="en-US"/>
        </w:rPr>
        <w:t>1,</w:t>
      </w:r>
      <w:r>
        <w:rPr>
          <w:rFonts w:ascii="Abadi" w:eastAsiaTheme="minorHAnsi" w:hAnsi="Abadi" w:cs="*Microsoft Sans Serif-Bold-6185"/>
          <w:b/>
          <w:bCs/>
          <w:color w:val="15141C"/>
          <w:sz w:val="21"/>
          <w:szCs w:val="21"/>
          <w:lang w:val="es-MX" w:eastAsia="en-US"/>
        </w:rPr>
        <w:t xml:space="preserve"> </w:t>
      </w:r>
      <w:r>
        <w:rPr>
          <w:rFonts w:ascii="Abadi" w:eastAsiaTheme="minorHAnsi" w:hAnsi="Abadi" w:cs="*Arial-6182-Identity-H"/>
          <w:color w:val="15141C"/>
          <w:sz w:val="21"/>
          <w:szCs w:val="21"/>
          <w:lang w:val="es-MX" w:eastAsia="en-US"/>
        </w:rPr>
        <w:t>9, fracción  XVII, 10 fracciones III</w:t>
      </w:r>
      <w:r>
        <w:rPr>
          <w:rFonts w:ascii="Abadi" w:eastAsiaTheme="minorHAnsi" w:hAnsi="Abadi" w:cs="*Microsoft Sans Serif-Bold-6185"/>
          <w:color w:val="15141C"/>
          <w:sz w:val="21"/>
          <w:szCs w:val="21"/>
          <w:lang w:val="es-MX" w:eastAsia="en-US"/>
        </w:rPr>
        <w:t>,</w:t>
      </w:r>
      <w:r>
        <w:rPr>
          <w:rFonts w:ascii="Abadi" w:eastAsiaTheme="minorHAnsi" w:hAnsi="Abadi" w:cs="*Microsoft Sans Serif-Bold-6185"/>
          <w:b/>
          <w:bCs/>
          <w:color w:val="15141C"/>
          <w:sz w:val="21"/>
          <w:szCs w:val="21"/>
          <w:lang w:val="es-MX" w:eastAsia="en-US"/>
        </w:rPr>
        <w:t xml:space="preserve"> </w:t>
      </w:r>
      <w:r>
        <w:rPr>
          <w:rFonts w:ascii="Abadi" w:eastAsiaTheme="minorHAnsi" w:hAnsi="Abadi" w:cs="*Arial-6182-Identity-H"/>
          <w:color w:val="15141C"/>
          <w:sz w:val="21"/>
          <w:szCs w:val="21"/>
          <w:lang w:val="es-MX" w:eastAsia="en-US"/>
        </w:rPr>
        <w:t>XVII, XIX y XX, 14 y 16 del Reglamento Interior de la Auditoría Superior del Estado de Guanajuato; y 42 de la Ley General del Sistema Nacional Anticorrupción.</w:t>
      </w:r>
    </w:p>
    <w:p w14:paraId="3517D86A" w14:textId="77777777" w:rsidR="0019269C" w:rsidRDefault="0019269C" w:rsidP="0019269C">
      <w:pPr>
        <w:autoSpaceDE w:val="0"/>
        <w:autoSpaceDN w:val="0"/>
        <w:adjustRightInd w:val="0"/>
        <w:jc w:val="both"/>
        <w:rPr>
          <w:rFonts w:ascii="Abadi" w:eastAsiaTheme="minorHAnsi" w:hAnsi="Abadi" w:cs="*Arial-6182-Identity-H"/>
          <w:color w:val="15141C"/>
          <w:sz w:val="21"/>
          <w:szCs w:val="21"/>
          <w:lang w:val="es-MX" w:eastAsia="en-US"/>
        </w:rPr>
      </w:pPr>
    </w:p>
    <w:p w14:paraId="6ED639BD" w14:textId="77777777" w:rsidR="0019269C" w:rsidRDefault="0019269C" w:rsidP="0019269C">
      <w:pPr>
        <w:autoSpaceDE w:val="0"/>
        <w:autoSpaceDN w:val="0"/>
        <w:adjustRightInd w:val="0"/>
        <w:ind w:firstLine="708"/>
        <w:jc w:val="both"/>
        <w:rPr>
          <w:rFonts w:ascii="Abadi" w:eastAsiaTheme="minorHAnsi" w:hAnsi="Abadi" w:cs="*Arial-6182-Identity-H"/>
          <w:color w:val="15131C"/>
          <w:sz w:val="21"/>
          <w:szCs w:val="21"/>
          <w:lang w:val="es-MX" w:eastAsia="en-US"/>
        </w:rPr>
      </w:pPr>
      <w:r>
        <w:rPr>
          <w:rFonts w:ascii="Abadi" w:eastAsiaTheme="minorHAnsi" w:hAnsi="Abadi" w:cs="*Arial-6182-Identity-H"/>
          <w:color w:val="15131C"/>
          <w:sz w:val="21"/>
          <w:szCs w:val="21"/>
          <w:lang w:val="es-MX" w:eastAsia="en-US"/>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2B7202B2" w14:textId="77777777" w:rsidR="0019269C" w:rsidRDefault="0019269C" w:rsidP="0019269C">
      <w:pPr>
        <w:autoSpaceDE w:val="0"/>
        <w:autoSpaceDN w:val="0"/>
        <w:adjustRightInd w:val="0"/>
        <w:ind w:firstLine="708"/>
        <w:jc w:val="both"/>
        <w:rPr>
          <w:rFonts w:ascii="Abadi" w:eastAsiaTheme="minorHAnsi" w:hAnsi="Abadi" w:cs="*Arial-6182-Identity-H"/>
          <w:color w:val="15131C"/>
          <w:sz w:val="21"/>
          <w:szCs w:val="21"/>
          <w:lang w:val="es-MX" w:eastAsia="en-US"/>
        </w:rPr>
      </w:pPr>
    </w:p>
    <w:p w14:paraId="4FDE2408" w14:textId="77777777" w:rsidR="0019269C" w:rsidRDefault="0019269C" w:rsidP="0019269C">
      <w:pPr>
        <w:autoSpaceDE w:val="0"/>
        <w:autoSpaceDN w:val="0"/>
        <w:adjustRightInd w:val="0"/>
        <w:ind w:firstLine="708"/>
        <w:jc w:val="both"/>
        <w:rPr>
          <w:rFonts w:ascii="Abadi" w:eastAsiaTheme="minorHAnsi" w:hAnsi="Abadi" w:cs="*Arial-5868-Identity-H"/>
          <w:color w:val="14131B"/>
          <w:sz w:val="21"/>
          <w:szCs w:val="21"/>
          <w:lang w:val="es-MX" w:eastAsia="en-US"/>
        </w:rPr>
      </w:pPr>
      <w:r>
        <w:rPr>
          <w:rFonts w:ascii="Abadi" w:eastAsiaTheme="minorHAnsi" w:hAnsi="Abadi" w:cs="*Arial-5868-Identity-H"/>
          <w:color w:val="14131B"/>
          <w:sz w:val="21"/>
          <w:szCs w:val="21"/>
          <w:lang w:val="es-MX" w:eastAsia="en-US"/>
        </w:rPr>
        <w:t>En esta parte también se puntualiza que las auditorías de desempeño que se practican por la Auditoría Superior del Estado son congruentes con las metodologías señaladas en las Normas Internacionales para Entidades Fiscalizadoras Superiores 100, 300, 3000 y 3200, emitidas por la Organización Internacional de las Entidades Fiscalizadoras Superiores, así como con los lineamientos para la construcción y diseño de indicadores de desempeño  mediante la Metodología del Marco Lógico, emitidos por el Consejo Nacional de  Armonización Contable, publicados en el Diario Oficial de la Federación el 15 de mayo de 2013, entre otros.</w:t>
      </w:r>
    </w:p>
    <w:p w14:paraId="181917AF" w14:textId="77777777" w:rsidR="0019269C" w:rsidRDefault="0019269C" w:rsidP="0019269C">
      <w:pPr>
        <w:autoSpaceDE w:val="0"/>
        <w:autoSpaceDN w:val="0"/>
        <w:adjustRightInd w:val="0"/>
        <w:jc w:val="both"/>
        <w:rPr>
          <w:rFonts w:ascii="Abadi" w:eastAsiaTheme="minorHAnsi" w:hAnsi="Abadi" w:cs="*Arial-5868-Identity-H"/>
          <w:color w:val="14131B"/>
          <w:sz w:val="21"/>
          <w:szCs w:val="21"/>
          <w:lang w:val="es-MX" w:eastAsia="en-US"/>
        </w:rPr>
      </w:pPr>
      <w:r>
        <w:rPr>
          <w:rFonts w:ascii="Abadi" w:eastAsiaTheme="minorHAnsi" w:hAnsi="Abadi" w:cs="*Arial-5868-Identity-H"/>
          <w:color w:val="14131B"/>
          <w:sz w:val="21"/>
          <w:szCs w:val="21"/>
          <w:lang w:val="es-MX" w:eastAsia="en-US"/>
        </w:rPr>
        <w:tab/>
      </w:r>
    </w:p>
    <w:p w14:paraId="15AE40B6" w14:textId="77777777" w:rsidR="0019269C" w:rsidRDefault="0019269C" w:rsidP="0019269C">
      <w:pPr>
        <w:autoSpaceDE w:val="0"/>
        <w:autoSpaceDN w:val="0"/>
        <w:adjustRightInd w:val="0"/>
        <w:ind w:firstLine="708"/>
        <w:jc w:val="both"/>
        <w:rPr>
          <w:rFonts w:ascii="Abadi" w:eastAsiaTheme="minorHAnsi" w:hAnsi="Abadi" w:cs="*Arial-5868-Identity-H"/>
          <w:color w:val="14131B"/>
          <w:sz w:val="21"/>
          <w:szCs w:val="21"/>
          <w:lang w:val="es-MX" w:eastAsia="en-US"/>
        </w:rPr>
      </w:pPr>
      <w:r>
        <w:rPr>
          <w:rFonts w:ascii="Abadi" w:eastAsiaTheme="minorHAnsi" w:hAnsi="Abadi" w:cs="*Arial-5868-Identity-H"/>
          <w:color w:val="14131B"/>
          <w:sz w:val="21"/>
          <w:szCs w:val="21"/>
          <w:lang w:val="es-MX" w:eastAsia="en-US"/>
        </w:rPr>
        <w:t xml:space="preserve">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fiscalizador. </w:t>
      </w:r>
    </w:p>
    <w:p w14:paraId="58F53911" w14:textId="77777777" w:rsidR="0019269C" w:rsidRDefault="0019269C" w:rsidP="0019269C">
      <w:pPr>
        <w:autoSpaceDE w:val="0"/>
        <w:autoSpaceDN w:val="0"/>
        <w:adjustRightInd w:val="0"/>
        <w:jc w:val="both"/>
        <w:rPr>
          <w:rFonts w:ascii="Abadi" w:eastAsiaTheme="minorHAnsi" w:hAnsi="Abadi" w:cs="*Arial-5868-Identity-H"/>
          <w:color w:val="14131B"/>
          <w:sz w:val="21"/>
          <w:szCs w:val="21"/>
          <w:lang w:val="es-MX" w:eastAsia="en-US"/>
        </w:rPr>
      </w:pPr>
    </w:p>
    <w:p w14:paraId="529B2ECC" w14:textId="77777777" w:rsidR="0019269C" w:rsidRDefault="0019269C" w:rsidP="0019269C">
      <w:pPr>
        <w:autoSpaceDE w:val="0"/>
        <w:autoSpaceDN w:val="0"/>
        <w:adjustRightInd w:val="0"/>
        <w:ind w:firstLine="708"/>
        <w:jc w:val="both"/>
        <w:rPr>
          <w:rFonts w:ascii="Abadi" w:eastAsiaTheme="minorHAnsi" w:hAnsi="Abadi" w:cs="*Arial-5868-Identity-H"/>
          <w:color w:val="14131A"/>
          <w:sz w:val="21"/>
          <w:szCs w:val="21"/>
          <w:lang w:val="es-MX" w:eastAsia="en-US"/>
        </w:rPr>
      </w:pPr>
      <w:r>
        <w:rPr>
          <w:rFonts w:ascii="Abadi" w:eastAsiaTheme="minorHAnsi" w:hAnsi="Abadi" w:cs="*Arial-5868-Identity-H"/>
          <w:color w:val="14131A"/>
          <w:sz w:val="21"/>
          <w:szCs w:val="21"/>
          <w:lang w:val="es-MX" w:eastAsia="en-US"/>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265F17FC" w14:textId="77777777" w:rsidR="0019269C" w:rsidRDefault="0019269C" w:rsidP="0019269C">
      <w:pPr>
        <w:autoSpaceDE w:val="0"/>
        <w:autoSpaceDN w:val="0"/>
        <w:adjustRightInd w:val="0"/>
        <w:jc w:val="both"/>
        <w:rPr>
          <w:rFonts w:ascii="Abadi" w:eastAsiaTheme="minorHAnsi" w:hAnsi="Abadi" w:cs="*Arial-5868-Identity-H"/>
          <w:color w:val="14131A"/>
          <w:sz w:val="21"/>
          <w:szCs w:val="21"/>
          <w:lang w:val="es-MX" w:eastAsia="en-US"/>
        </w:rPr>
      </w:pPr>
    </w:p>
    <w:p w14:paraId="2927EA27" w14:textId="77777777" w:rsidR="0019269C" w:rsidRDefault="0019269C" w:rsidP="0019269C">
      <w:pPr>
        <w:autoSpaceDE w:val="0"/>
        <w:autoSpaceDN w:val="0"/>
        <w:adjustRightInd w:val="0"/>
        <w:ind w:firstLine="708"/>
        <w:jc w:val="both"/>
        <w:rPr>
          <w:rFonts w:ascii="Abadi" w:eastAsiaTheme="minorHAnsi" w:hAnsi="Abadi" w:cs="*Arial-5868-Identity-H"/>
          <w:color w:val="14131B"/>
          <w:sz w:val="21"/>
          <w:szCs w:val="21"/>
          <w:lang w:val="es-MX" w:eastAsia="en-US"/>
        </w:rPr>
      </w:pPr>
      <w:r>
        <w:rPr>
          <w:rFonts w:ascii="Abadi" w:eastAsiaTheme="minorHAnsi" w:hAnsi="Abadi" w:cs="*Arial-5868-Identity-H"/>
          <w:color w:val="14131B"/>
          <w:sz w:val="21"/>
          <w:szCs w:val="21"/>
          <w:lang w:val="es-MX" w:eastAsia="en-US"/>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7B4E9835" w14:textId="77777777" w:rsidR="0019269C" w:rsidRDefault="0019269C" w:rsidP="0019269C">
      <w:pPr>
        <w:autoSpaceDE w:val="0"/>
        <w:autoSpaceDN w:val="0"/>
        <w:adjustRightInd w:val="0"/>
        <w:jc w:val="both"/>
        <w:rPr>
          <w:rFonts w:ascii="Abadi" w:eastAsiaTheme="minorHAnsi" w:hAnsi="Abadi" w:cs="*Arial-5868-Identity-H"/>
          <w:color w:val="14131B"/>
          <w:sz w:val="21"/>
          <w:szCs w:val="21"/>
          <w:lang w:val="es-MX" w:eastAsia="en-US"/>
        </w:rPr>
      </w:pPr>
    </w:p>
    <w:p w14:paraId="11321262" w14:textId="77777777" w:rsidR="0019269C" w:rsidRDefault="0019269C" w:rsidP="0019269C">
      <w:pPr>
        <w:autoSpaceDE w:val="0"/>
        <w:autoSpaceDN w:val="0"/>
        <w:adjustRightInd w:val="0"/>
        <w:ind w:firstLine="708"/>
        <w:jc w:val="both"/>
        <w:rPr>
          <w:rFonts w:ascii="Abadi" w:eastAsiaTheme="minorHAnsi" w:hAnsi="Abadi" w:cs="*Arial-5868-Identity-H"/>
          <w:color w:val="14131B"/>
          <w:sz w:val="21"/>
          <w:szCs w:val="21"/>
          <w:lang w:val="es-MX" w:eastAsia="en-US"/>
        </w:rPr>
      </w:pPr>
      <w:r>
        <w:rPr>
          <w:rFonts w:ascii="Abadi" w:eastAsiaTheme="minorHAnsi" w:hAnsi="Abadi" w:cs="*Arial-5868-Identity-H"/>
          <w:color w:val="14131B"/>
          <w:sz w:val="21"/>
          <w:szCs w:val="21"/>
          <w:lang w:val="es-MX" w:eastAsia="en-US"/>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48F7E715" w14:textId="77777777" w:rsidR="0019269C" w:rsidRDefault="0019269C" w:rsidP="0019269C">
      <w:pPr>
        <w:autoSpaceDE w:val="0"/>
        <w:autoSpaceDN w:val="0"/>
        <w:adjustRightInd w:val="0"/>
        <w:ind w:firstLine="708"/>
        <w:jc w:val="both"/>
        <w:rPr>
          <w:rFonts w:ascii="Abadi" w:eastAsiaTheme="minorHAnsi" w:hAnsi="Abadi" w:cs="*Arial-5868-Identity-H"/>
          <w:color w:val="14131B"/>
          <w:sz w:val="21"/>
          <w:szCs w:val="21"/>
          <w:lang w:val="es-MX" w:eastAsia="en-US"/>
        </w:rPr>
      </w:pPr>
    </w:p>
    <w:p w14:paraId="6968F448" w14:textId="77777777" w:rsidR="0019269C" w:rsidRDefault="0019269C" w:rsidP="0019269C">
      <w:pPr>
        <w:autoSpaceDE w:val="0"/>
        <w:autoSpaceDN w:val="0"/>
        <w:adjustRightInd w:val="0"/>
        <w:ind w:firstLine="708"/>
        <w:jc w:val="both"/>
        <w:rPr>
          <w:rFonts w:ascii="Abadi" w:eastAsiaTheme="minorHAnsi" w:hAnsi="Abadi" w:cs="*Arial-5430-Identity-H"/>
          <w:color w:val="14131C"/>
          <w:sz w:val="21"/>
          <w:szCs w:val="21"/>
          <w:lang w:val="es-MX" w:eastAsia="en-US"/>
        </w:rPr>
      </w:pPr>
      <w:r>
        <w:rPr>
          <w:rFonts w:ascii="Abadi" w:eastAsiaTheme="minorHAnsi" w:hAnsi="Abadi" w:cs="*Arial-5430-Identity-H"/>
          <w:color w:val="14131C"/>
          <w:sz w:val="21"/>
          <w:szCs w:val="21"/>
          <w:lang w:val="es-MX" w:eastAsia="en-US"/>
        </w:rPr>
        <w:t>Respecto al objetivo y alcance de la auditoría se señala que de acuerdo a la Organización Internacional de las Entidades Fiscalizadoras Superiores,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w:t>
      </w:r>
      <w:r>
        <w:rPr>
          <w:rFonts w:ascii="Abadi" w:eastAsiaTheme="minorHAnsi" w:hAnsi="Abadi" w:cs="*Arial-5430-Identity-H"/>
          <w:color w:val="A5A5A5"/>
          <w:sz w:val="21"/>
          <w:szCs w:val="21"/>
          <w:lang w:val="es-MX" w:eastAsia="en-US"/>
        </w:rPr>
        <w:t xml:space="preserve"> </w:t>
      </w:r>
      <w:r>
        <w:rPr>
          <w:rFonts w:ascii="Abadi" w:eastAsiaTheme="minorHAnsi" w:hAnsi="Abadi" w:cs="*Arial-5430-Identity-H"/>
          <w:color w:val="14131C"/>
          <w:sz w:val="21"/>
          <w:szCs w:val="21"/>
          <w:lang w:val="es-MX" w:eastAsia="en-US"/>
        </w:rPr>
        <w:t>de los problemas particulares o desviaciones de los criterios establecidos.</w:t>
      </w:r>
    </w:p>
    <w:p w14:paraId="7A705E52" w14:textId="77777777" w:rsidR="0019269C" w:rsidRDefault="0019269C" w:rsidP="0019269C">
      <w:pPr>
        <w:autoSpaceDE w:val="0"/>
        <w:autoSpaceDN w:val="0"/>
        <w:adjustRightInd w:val="0"/>
        <w:jc w:val="both"/>
        <w:rPr>
          <w:rFonts w:ascii="Abadi" w:eastAsiaTheme="minorHAnsi" w:hAnsi="Abadi" w:cs="*Arial-5430-Identity-H"/>
          <w:color w:val="14131C"/>
          <w:sz w:val="21"/>
          <w:szCs w:val="21"/>
          <w:lang w:val="es-MX" w:eastAsia="en-US"/>
        </w:rPr>
      </w:pPr>
    </w:p>
    <w:p w14:paraId="43DF6CC5" w14:textId="77777777" w:rsidR="0019269C" w:rsidRDefault="0019269C" w:rsidP="0019269C">
      <w:pPr>
        <w:autoSpaceDE w:val="0"/>
        <w:autoSpaceDN w:val="0"/>
        <w:adjustRightInd w:val="0"/>
        <w:ind w:firstLine="708"/>
        <w:jc w:val="both"/>
        <w:rPr>
          <w:rFonts w:ascii="Abadi" w:eastAsiaTheme="minorHAnsi" w:hAnsi="Abadi" w:cs="*Arial-5430-Identity-H"/>
          <w:color w:val="14131C"/>
          <w:sz w:val="21"/>
          <w:szCs w:val="21"/>
          <w:lang w:val="es-MX" w:eastAsia="en-US"/>
        </w:rPr>
      </w:pPr>
      <w:r>
        <w:rPr>
          <w:rFonts w:ascii="Abadi" w:eastAsiaTheme="minorHAnsi" w:hAnsi="Abadi" w:cs="*Arial-5430-Identity-H"/>
          <w:color w:val="14131C"/>
          <w:sz w:val="21"/>
          <w:szCs w:val="21"/>
          <w:lang w:val="es-MX" w:eastAsia="en-US"/>
        </w:rPr>
        <w:t xml:space="preserve">En las auditorías de desempeño practicadas por la Auditoría Superior del Estado se consideran dichos enfoques, mediante las auditorías de cumplimiento de objetivos o resultados, de diseño y de consistencia y resultados. </w:t>
      </w:r>
    </w:p>
    <w:p w14:paraId="6D5C9A81" w14:textId="77777777" w:rsidR="0019269C" w:rsidRDefault="0019269C" w:rsidP="0019269C">
      <w:pPr>
        <w:autoSpaceDE w:val="0"/>
        <w:autoSpaceDN w:val="0"/>
        <w:adjustRightInd w:val="0"/>
        <w:jc w:val="both"/>
        <w:rPr>
          <w:rFonts w:ascii="Abadi" w:eastAsiaTheme="minorHAnsi" w:hAnsi="Abadi" w:cs="*Arial-5430-Identity-H"/>
          <w:color w:val="14131C"/>
          <w:sz w:val="21"/>
          <w:szCs w:val="21"/>
          <w:lang w:val="es-MX" w:eastAsia="en-US"/>
        </w:rPr>
      </w:pPr>
    </w:p>
    <w:p w14:paraId="14A03802" w14:textId="77777777" w:rsidR="0019269C" w:rsidRDefault="0019269C" w:rsidP="0019269C">
      <w:pPr>
        <w:autoSpaceDE w:val="0"/>
        <w:autoSpaceDN w:val="0"/>
        <w:adjustRightInd w:val="0"/>
        <w:ind w:firstLine="708"/>
        <w:jc w:val="both"/>
        <w:rPr>
          <w:rFonts w:ascii="Abadi" w:eastAsiaTheme="minorHAnsi" w:hAnsi="Abadi" w:cs="*Arial-5430-Identity-H"/>
          <w:color w:val="14131B"/>
          <w:sz w:val="21"/>
          <w:szCs w:val="21"/>
          <w:lang w:val="es-MX" w:eastAsia="en-US"/>
        </w:rPr>
      </w:pPr>
      <w:r>
        <w:rPr>
          <w:rFonts w:ascii="Abadi" w:eastAsiaTheme="minorHAnsi" w:hAnsi="Abadi" w:cs="*Arial-5430-Identity-H"/>
          <w:color w:val="14131B"/>
          <w:sz w:val="21"/>
          <w:szCs w:val="21"/>
          <w:lang w:val="es-MX" w:eastAsia="en-US"/>
        </w:rPr>
        <w:t>En la. auditoría que nos ocupa se aplicó un enfoque de resultados y se incluyó en el Programa General de Fiscalización 2021, considerando diversos criterios metodológicos expuestos en dicho Programa.</w:t>
      </w:r>
    </w:p>
    <w:p w14:paraId="619162FE" w14:textId="77777777" w:rsidR="0019269C" w:rsidRDefault="0019269C" w:rsidP="0019269C">
      <w:pPr>
        <w:autoSpaceDE w:val="0"/>
        <w:autoSpaceDN w:val="0"/>
        <w:adjustRightInd w:val="0"/>
        <w:jc w:val="both"/>
        <w:rPr>
          <w:rFonts w:ascii="Abadi" w:eastAsiaTheme="minorHAnsi" w:hAnsi="Abadi" w:cs="*Arial-5430-Identity-H"/>
          <w:color w:val="14131B"/>
          <w:sz w:val="21"/>
          <w:szCs w:val="21"/>
          <w:lang w:val="es-MX" w:eastAsia="en-US"/>
        </w:rPr>
      </w:pPr>
    </w:p>
    <w:p w14:paraId="218F81F1" w14:textId="77777777" w:rsidR="0019269C" w:rsidRDefault="0019269C" w:rsidP="0019269C">
      <w:pPr>
        <w:autoSpaceDE w:val="0"/>
        <w:autoSpaceDN w:val="0"/>
        <w:adjustRightInd w:val="0"/>
        <w:ind w:firstLine="708"/>
        <w:jc w:val="both"/>
        <w:rPr>
          <w:rFonts w:ascii="Abadi" w:eastAsiaTheme="minorHAnsi" w:hAnsi="Abadi" w:cs="*Arial-5430-Identity-H"/>
          <w:color w:val="14131B"/>
          <w:sz w:val="21"/>
          <w:szCs w:val="21"/>
          <w:lang w:val="es-MX" w:eastAsia="en-US"/>
        </w:rPr>
      </w:pPr>
      <w:r>
        <w:rPr>
          <w:rFonts w:ascii="Abadi" w:eastAsiaTheme="minorHAnsi" w:hAnsi="Abadi" w:cs="*Arial-5430-Identity-H"/>
          <w:color w:val="14131B"/>
          <w:sz w:val="21"/>
          <w:szCs w:val="21"/>
          <w:lang w:val="es-MX" w:eastAsia="en-US"/>
        </w:rPr>
        <w:t>Dicha auditoría tuvo como objetivo general verificar la capacidad del Municipio para la prestación eficaz del servicio de alumbrado público y la eficiencia en sus funciones de planificación, operación y seguimiento.</w:t>
      </w:r>
    </w:p>
    <w:p w14:paraId="1978C1F6" w14:textId="77777777" w:rsidR="0019269C" w:rsidRDefault="0019269C" w:rsidP="0019269C">
      <w:pPr>
        <w:autoSpaceDE w:val="0"/>
        <w:autoSpaceDN w:val="0"/>
        <w:adjustRightInd w:val="0"/>
        <w:jc w:val="both"/>
        <w:rPr>
          <w:rFonts w:ascii="Abadi" w:eastAsiaTheme="minorHAnsi" w:hAnsi="Abadi" w:cs="*Arial-5430-Identity-H"/>
          <w:color w:val="14131B"/>
          <w:sz w:val="21"/>
          <w:szCs w:val="21"/>
          <w:lang w:val="es-MX" w:eastAsia="en-US"/>
        </w:rPr>
      </w:pPr>
    </w:p>
    <w:p w14:paraId="4E8E6FAC" w14:textId="30D7C819" w:rsidR="0019269C" w:rsidRDefault="0019269C" w:rsidP="001A0572">
      <w:pPr>
        <w:autoSpaceDE w:val="0"/>
        <w:autoSpaceDN w:val="0"/>
        <w:adjustRightInd w:val="0"/>
        <w:ind w:firstLine="708"/>
        <w:jc w:val="both"/>
        <w:rPr>
          <w:rFonts w:ascii="Abadi" w:eastAsiaTheme="minorHAnsi" w:hAnsi="Abadi" w:cs="*Arial-5430-Identity-H"/>
          <w:color w:val="14131B"/>
          <w:sz w:val="21"/>
          <w:szCs w:val="21"/>
          <w:lang w:val="es-MX" w:eastAsia="en-US"/>
        </w:rPr>
      </w:pPr>
      <w:r>
        <w:rPr>
          <w:rFonts w:ascii="Abadi" w:eastAsiaTheme="minorHAnsi" w:hAnsi="Abadi" w:cs="*Arial-5430-Identity-H"/>
          <w:color w:val="14131B"/>
          <w:sz w:val="21"/>
          <w:szCs w:val="21"/>
          <w:lang w:val="es-MX" w:eastAsia="en-US"/>
        </w:rPr>
        <w:t>En cuanto a la temporalidad, el alcance de la auditoría abarcó el periodo comprendido de enero a diciembre del ejercicio fiscal 2020; asimismo, respecto a la profundidad temática se revisó la eficiencia en la gestión de la información que dispone el Municipio para identificar la estimación tanto de la oferta del servicio de alumbrado público como de los recursos necesarios para su implementación; sobre el estado que guarda la organización del Municipio para brindar el servicio</w:t>
      </w:r>
      <w:r w:rsidR="001A0572">
        <w:rPr>
          <w:rFonts w:ascii="Abadi" w:eastAsiaTheme="minorHAnsi" w:hAnsi="Abadi" w:cs="*Arial-5430-Identity-H"/>
          <w:color w:val="14131B"/>
          <w:sz w:val="21"/>
          <w:szCs w:val="21"/>
          <w:lang w:val="es-MX" w:eastAsia="en-US"/>
        </w:rPr>
        <w:t xml:space="preserve"> </w:t>
      </w:r>
      <w:r>
        <w:rPr>
          <w:rFonts w:ascii="Abadi" w:eastAsiaTheme="minorHAnsi" w:hAnsi="Abadi" w:cs="*Arial-5430-Identity-H"/>
          <w:color w:val="14131B"/>
          <w:sz w:val="21"/>
          <w:szCs w:val="21"/>
          <w:lang w:val="es-MX" w:eastAsia="en-US"/>
        </w:rPr>
        <w:t>de alumbrado público y la gestión de la calidad sobre sus procesos clave; y el uso de herramientas para la planificación operativa y el seguimiento de las actividades vinculadas a la atención de reportes por fallas en el servicio. Así como, la eficacia en los resultados de la capacidad municipal en la prestación del servicio de alumbrado público en el ejercicio 2020 a partir del grado de funcionamiento de las luminarias que lo conforman, la cobertura lograda y la satisfacción ciudadana</w:t>
      </w:r>
      <w:r w:rsidR="001A0572">
        <w:rPr>
          <w:rFonts w:ascii="Abadi" w:eastAsiaTheme="minorHAnsi" w:hAnsi="Abadi" w:cs="*Arial-5430-Identity-H"/>
          <w:color w:val="14131B"/>
          <w:sz w:val="21"/>
          <w:szCs w:val="21"/>
          <w:lang w:val="es-MX" w:eastAsia="en-US"/>
        </w:rPr>
        <w:t xml:space="preserve"> </w:t>
      </w:r>
      <w:r>
        <w:rPr>
          <w:rFonts w:ascii="Abadi" w:eastAsiaTheme="minorHAnsi" w:hAnsi="Abadi" w:cs="*Arial-5430-Identity-H"/>
          <w:color w:val="14131B"/>
          <w:sz w:val="21"/>
          <w:szCs w:val="21"/>
          <w:lang w:val="es-MX" w:eastAsia="en-US"/>
        </w:rPr>
        <w:t>sobre el servicio, y de la relevancia y suficiencia de los mecanismos que permiten monitorear el desempeño y los resultados del servicio.</w:t>
      </w:r>
    </w:p>
    <w:p w14:paraId="495EFBB7" w14:textId="77777777" w:rsidR="0019269C" w:rsidRDefault="0019269C" w:rsidP="0019269C">
      <w:pPr>
        <w:autoSpaceDE w:val="0"/>
        <w:autoSpaceDN w:val="0"/>
        <w:adjustRightInd w:val="0"/>
        <w:jc w:val="both"/>
        <w:rPr>
          <w:rFonts w:ascii="Abadi" w:eastAsiaTheme="minorHAnsi" w:hAnsi="Abadi" w:cs="*Arial-5430-Identity-H"/>
          <w:color w:val="14131B"/>
          <w:sz w:val="21"/>
          <w:szCs w:val="21"/>
          <w:lang w:val="es-MX" w:eastAsia="en-US"/>
        </w:rPr>
      </w:pPr>
    </w:p>
    <w:p w14:paraId="5BEB7A57" w14:textId="77777777" w:rsidR="0019269C" w:rsidRDefault="0019269C" w:rsidP="0019269C">
      <w:pPr>
        <w:autoSpaceDE w:val="0"/>
        <w:autoSpaceDN w:val="0"/>
        <w:adjustRightInd w:val="0"/>
        <w:ind w:firstLine="708"/>
        <w:jc w:val="both"/>
        <w:rPr>
          <w:rFonts w:ascii="Abadi" w:eastAsiaTheme="minorHAnsi" w:hAnsi="Abadi" w:cs="*Arial-5430-Identity-H"/>
          <w:color w:val="15141A"/>
          <w:sz w:val="21"/>
          <w:szCs w:val="21"/>
          <w:lang w:val="es-MX" w:eastAsia="en-US"/>
        </w:rPr>
      </w:pPr>
      <w:r>
        <w:rPr>
          <w:rFonts w:ascii="Abadi" w:eastAsiaTheme="minorHAnsi" w:hAnsi="Abadi" w:cs="*Arial-5430-Identity-H"/>
          <w:color w:val="15141A"/>
          <w:sz w:val="21"/>
          <w:szCs w:val="21"/>
          <w:lang w:val="es-MX" w:eastAsia="en-US"/>
        </w:rPr>
        <w:t>Respecto a los antecedentes del proceso de fiscalización, estos ya se detallaron en el apartado correspondiente.</w:t>
      </w:r>
    </w:p>
    <w:p w14:paraId="73C133CB" w14:textId="77777777" w:rsidR="0019269C" w:rsidRDefault="0019269C" w:rsidP="0019269C">
      <w:pPr>
        <w:autoSpaceDE w:val="0"/>
        <w:autoSpaceDN w:val="0"/>
        <w:adjustRightInd w:val="0"/>
        <w:ind w:firstLine="708"/>
        <w:jc w:val="both"/>
        <w:rPr>
          <w:rFonts w:ascii="Abadi" w:eastAsiaTheme="minorHAnsi" w:hAnsi="Abadi" w:cs="*Arial-5430-Identity-H"/>
          <w:color w:val="15141A"/>
          <w:sz w:val="21"/>
          <w:szCs w:val="21"/>
          <w:lang w:val="es-MX" w:eastAsia="en-US"/>
        </w:rPr>
      </w:pPr>
    </w:p>
    <w:p w14:paraId="55ECEAEE" w14:textId="77777777" w:rsidR="0019269C" w:rsidRDefault="0019269C" w:rsidP="0019269C">
      <w:pPr>
        <w:autoSpaceDE w:val="0"/>
        <w:autoSpaceDN w:val="0"/>
        <w:adjustRightInd w:val="0"/>
        <w:ind w:firstLine="708"/>
        <w:jc w:val="both"/>
        <w:rPr>
          <w:rFonts w:ascii="Abadi" w:eastAsiaTheme="minorHAnsi" w:hAnsi="Abadi" w:cs="*Arial-8099-Identity-H"/>
          <w:color w:val="15131C"/>
          <w:sz w:val="21"/>
          <w:szCs w:val="21"/>
          <w:lang w:val="es-MX" w:eastAsia="en-US"/>
        </w:rPr>
      </w:pPr>
      <w:r>
        <w:rPr>
          <w:rFonts w:ascii="Abadi" w:eastAsiaTheme="minorHAnsi" w:hAnsi="Abadi" w:cs="*Arial-8099-Identity-H"/>
          <w:color w:val="15131C"/>
          <w:sz w:val="21"/>
          <w:szCs w:val="21"/>
          <w:lang w:val="es-MX" w:eastAsia="en-US"/>
        </w:rPr>
        <w:t>En cuanto al contexto de la política pública de la materia a auditar, se refiere que, la Constitución Política de los Estados Unidos Mexicanos establece en términos generales en su artículo 115 la base del municipio a través de una organización política y administrativa, para lo cual ejercerá funciones jurisdiccionales, legislativas y administrativas, contando con personalidad jurídica y con facultades para manejar su patrimonio conforme a las leyes de la materia. En este sentido, respecto a la prestación de los servicios públicos, el Municipio está facultado para expedir reglamentos, circulares y disposiciones administrativas de observancia general dentro de su jurisdicción, que organicen la administración pública, regulen las materias, procedimiento, funciones y servicios públicos de su competencia.</w:t>
      </w:r>
    </w:p>
    <w:p w14:paraId="7CFD93C9" w14:textId="77777777" w:rsidR="0019269C" w:rsidRDefault="0019269C" w:rsidP="0019269C">
      <w:pPr>
        <w:autoSpaceDE w:val="0"/>
        <w:autoSpaceDN w:val="0"/>
        <w:adjustRightInd w:val="0"/>
        <w:jc w:val="both"/>
        <w:rPr>
          <w:rFonts w:ascii="Abadi" w:eastAsiaTheme="minorHAnsi" w:hAnsi="Abadi" w:cs="*Arial-8099-Identity-H"/>
          <w:color w:val="15131C"/>
          <w:sz w:val="21"/>
          <w:szCs w:val="21"/>
          <w:lang w:val="es-MX" w:eastAsia="en-US"/>
        </w:rPr>
      </w:pPr>
    </w:p>
    <w:p w14:paraId="271B725E" w14:textId="77777777" w:rsidR="0019269C" w:rsidRDefault="0019269C" w:rsidP="0019269C">
      <w:pPr>
        <w:autoSpaceDE w:val="0"/>
        <w:autoSpaceDN w:val="0"/>
        <w:adjustRightInd w:val="0"/>
        <w:ind w:firstLine="708"/>
        <w:jc w:val="both"/>
        <w:rPr>
          <w:rFonts w:ascii="Abadi" w:eastAsiaTheme="minorHAnsi" w:hAnsi="Abadi" w:cs="*Arial-8099-Identity-H"/>
          <w:color w:val="14131C"/>
          <w:sz w:val="21"/>
          <w:szCs w:val="21"/>
          <w:lang w:val="es-MX" w:eastAsia="en-US"/>
        </w:rPr>
      </w:pPr>
      <w:r>
        <w:rPr>
          <w:rFonts w:ascii="Abadi" w:eastAsiaTheme="minorHAnsi" w:hAnsi="Abadi" w:cs="*Arial-8099-Identity-H"/>
          <w:color w:val="14131C"/>
          <w:sz w:val="21"/>
          <w:szCs w:val="21"/>
          <w:lang w:val="es-MX" w:eastAsia="en-US"/>
        </w:rPr>
        <w:t xml:space="preserve">De manera específica, el artículo 115 de la Constitución Política de los Estados Unidos Mexicanos, en su fracción III consigna que los municipios tendrán a su cargo las funciones y servicios públicos, entre los que señala en el inciso b, el alumbrado público. Atribución ratificada en la Constitución Política Local en su artículo 117, fracción III, inicios b. </w:t>
      </w:r>
    </w:p>
    <w:p w14:paraId="62FF4CCC" w14:textId="77777777" w:rsidR="0019269C" w:rsidRDefault="0019269C" w:rsidP="0019269C">
      <w:pPr>
        <w:autoSpaceDE w:val="0"/>
        <w:autoSpaceDN w:val="0"/>
        <w:adjustRightInd w:val="0"/>
        <w:jc w:val="both"/>
        <w:rPr>
          <w:rFonts w:ascii="Abadi" w:eastAsiaTheme="minorHAnsi" w:hAnsi="Abadi" w:cs="*Arial-8099-Identity-H"/>
          <w:color w:val="14131C"/>
          <w:sz w:val="21"/>
          <w:szCs w:val="21"/>
          <w:lang w:val="es-MX" w:eastAsia="en-US"/>
        </w:rPr>
      </w:pPr>
    </w:p>
    <w:p w14:paraId="77322757" w14:textId="77777777" w:rsidR="0019269C" w:rsidRDefault="0019269C" w:rsidP="0019269C">
      <w:pPr>
        <w:autoSpaceDE w:val="0"/>
        <w:autoSpaceDN w:val="0"/>
        <w:adjustRightInd w:val="0"/>
        <w:ind w:firstLine="708"/>
        <w:jc w:val="both"/>
        <w:rPr>
          <w:rFonts w:ascii="Abadi" w:eastAsiaTheme="minorHAnsi" w:hAnsi="Abadi" w:cs="*Arial-8099-Identity-H"/>
          <w:color w:val="15141C"/>
          <w:sz w:val="21"/>
          <w:szCs w:val="21"/>
          <w:lang w:val="es-MX" w:eastAsia="en-US"/>
        </w:rPr>
      </w:pPr>
      <w:r>
        <w:rPr>
          <w:rFonts w:ascii="Abadi" w:eastAsiaTheme="minorHAnsi" w:hAnsi="Abadi" w:cs="*Arial-8099-Identity-H"/>
          <w:color w:val="15141C"/>
          <w:sz w:val="21"/>
          <w:szCs w:val="21"/>
          <w:lang w:val="es-MX" w:eastAsia="en-US"/>
        </w:rPr>
        <w:t xml:space="preserve">En este orden de ideas, se señala que el Municipio libre es la base de la división territorial del Estado, de su organización política y administrativa, y como principio de legalidad la autoridad </w:t>
      </w:r>
      <w:r w:rsidRPr="001A0572">
        <w:rPr>
          <w:rFonts w:ascii="Abadi" w:eastAsiaTheme="minorHAnsi" w:hAnsi="Abadi" w:cs="*Arial-8099-Identity-H"/>
          <w:color w:val="15141C"/>
          <w:sz w:val="12"/>
          <w:szCs w:val="12"/>
          <w:lang w:val="es-MX" w:eastAsia="en-US"/>
        </w:rPr>
        <w:t>municipal</w:t>
      </w:r>
      <w:r>
        <w:rPr>
          <w:rFonts w:ascii="Abadi" w:eastAsiaTheme="minorHAnsi" w:hAnsi="Abadi" w:cs="*Arial-8099-Identity-H"/>
          <w:color w:val="15141C"/>
          <w:sz w:val="21"/>
          <w:szCs w:val="21"/>
          <w:lang w:val="es-MX" w:eastAsia="en-US"/>
        </w:rPr>
        <w:t xml:space="preserve"> puede hacer únicamente lo que la ley le concede, encontrándose dentro de sus atribuciones la de otorgar los servicios públicos al Municipio.</w:t>
      </w:r>
    </w:p>
    <w:p w14:paraId="5A1C30C3" w14:textId="77777777" w:rsidR="0019269C" w:rsidRDefault="0019269C" w:rsidP="0019269C">
      <w:pPr>
        <w:autoSpaceDE w:val="0"/>
        <w:autoSpaceDN w:val="0"/>
        <w:adjustRightInd w:val="0"/>
        <w:jc w:val="both"/>
        <w:rPr>
          <w:rFonts w:ascii="Abadi" w:eastAsiaTheme="minorHAnsi" w:hAnsi="Abadi" w:cs="*Arial-8099-Identity-H"/>
          <w:color w:val="15141C"/>
          <w:sz w:val="21"/>
          <w:szCs w:val="21"/>
          <w:lang w:val="es-MX" w:eastAsia="en-US"/>
        </w:rPr>
      </w:pPr>
    </w:p>
    <w:p w14:paraId="068781EF" w14:textId="5282347D" w:rsidR="0019269C" w:rsidRDefault="0019269C" w:rsidP="0019269C">
      <w:pPr>
        <w:autoSpaceDE w:val="0"/>
        <w:autoSpaceDN w:val="0"/>
        <w:adjustRightInd w:val="0"/>
        <w:ind w:firstLine="708"/>
        <w:jc w:val="both"/>
        <w:rPr>
          <w:rFonts w:ascii="Abadi" w:eastAsiaTheme="minorHAnsi" w:hAnsi="Abadi" w:cs="*Times New Roman-Italic-8095-Id"/>
          <w:i/>
          <w:iCs/>
          <w:color w:val="15141D"/>
          <w:sz w:val="21"/>
          <w:szCs w:val="21"/>
          <w:lang w:val="es-MX" w:eastAsia="en-US"/>
        </w:rPr>
      </w:pPr>
      <w:r>
        <w:rPr>
          <w:rFonts w:ascii="Abadi" w:eastAsiaTheme="minorHAnsi" w:hAnsi="Abadi" w:cs="*Arial-8099-Identity-H"/>
          <w:color w:val="15141D"/>
          <w:sz w:val="21"/>
          <w:szCs w:val="21"/>
          <w:lang w:val="es-MX" w:eastAsia="en-US"/>
        </w:rPr>
        <w:t xml:space="preserve">También se precisa que el servicio público </w:t>
      </w:r>
      <w:r>
        <w:rPr>
          <w:rFonts w:ascii="Abadi" w:eastAsiaTheme="minorHAnsi" w:hAnsi="Abadi" w:cs="*Arial-Italic-8100-Identity-H"/>
          <w:i/>
          <w:iCs/>
          <w:color w:val="15141D"/>
          <w:sz w:val="21"/>
          <w:szCs w:val="21"/>
          <w:lang w:val="es-MX" w:eastAsia="en-US"/>
        </w:rPr>
        <w:t xml:space="preserve">«es la institución jurídica administrativa en la que el titular es el Estado (municipio) y cuya única finalidad consiste en satisfacer de manera regular, continua y uniforme necesidades públicas de carácter esencial, básico o fundamental; se concreta </w:t>
      </w:r>
      <w:r>
        <w:rPr>
          <w:rFonts w:ascii="Abadi" w:eastAsiaTheme="minorHAnsi" w:hAnsi="Abadi" w:cs="*Arial-8099-Identity-H"/>
          <w:color w:val="15141D"/>
          <w:sz w:val="21"/>
          <w:szCs w:val="21"/>
          <w:lang w:val="es-MX" w:eastAsia="en-US"/>
        </w:rPr>
        <w:t xml:space="preserve">a </w:t>
      </w:r>
      <w:r>
        <w:rPr>
          <w:rFonts w:ascii="Abadi" w:eastAsiaTheme="minorHAnsi" w:hAnsi="Abadi" w:cs="*Arial-Italic-8100-Identity-H"/>
          <w:i/>
          <w:iCs/>
          <w:color w:val="15141D"/>
          <w:sz w:val="21"/>
          <w:szCs w:val="21"/>
          <w:lang w:val="es-MX" w:eastAsia="en-US"/>
        </w:rPr>
        <w:t xml:space="preserve">través de las prestaciones individualizadas las cuales podrán ser suministradas directamente por el Estado (municipio) o por los particulares mediante concesión. Por su naturaleza, estará sujeta </w:t>
      </w:r>
      <w:r>
        <w:rPr>
          <w:rFonts w:ascii="Abadi" w:eastAsiaTheme="minorHAnsi" w:hAnsi="Abadi" w:cs="*Arial-8099-Identity-H"/>
          <w:color w:val="15141D"/>
          <w:sz w:val="21"/>
          <w:szCs w:val="21"/>
          <w:lang w:val="es-MX" w:eastAsia="en-US"/>
        </w:rPr>
        <w:t xml:space="preserve">a </w:t>
      </w:r>
      <w:r>
        <w:rPr>
          <w:rFonts w:ascii="Abadi" w:eastAsiaTheme="minorHAnsi" w:hAnsi="Abadi" w:cs="*Arial-Italic-8100-Identity-H"/>
          <w:i/>
          <w:iCs/>
          <w:color w:val="15141D"/>
          <w:sz w:val="21"/>
          <w:szCs w:val="21"/>
          <w:lang w:val="es-MX" w:eastAsia="en-US"/>
        </w:rPr>
        <w:t>normas y principios de derecho público».</w:t>
      </w:r>
      <w:r w:rsidR="001A0572">
        <w:rPr>
          <w:rStyle w:val="Refdenotaalpie"/>
          <w:rFonts w:ascii="Abadi" w:eastAsiaTheme="minorHAnsi" w:hAnsi="Abadi" w:cs="*Arial-Italic-8100-Identity-H"/>
          <w:i/>
          <w:iCs/>
          <w:color w:val="15141D"/>
          <w:sz w:val="21"/>
          <w:szCs w:val="21"/>
          <w:lang w:val="es-MX" w:eastAsia="en-US"/>
        </w:rPr>
        <w:footnoteReference w:id="30"/>
      </w:r>
      <w:r>
        <w:rPr>
          <w:rFonts w:ascii="Abadi" w:eastAsiaTheme="minorHAnsi" w:hAnsi="Abadi" w:cs="*Arial-Italic-8100-Identity-H"/>
          <w:i/>
          <w:iCs/>
          <w:color w:val="15141D"/>
          <w:sz w:val="21"/>
          <w:szCs w:val="21"/>
          <w:lang w:val="es-MX" w:eastAsia="en-US"/>
        </w:rPr>
        <w:t xml:space="preserve"> </w:t>
      </w:r>
    </w:p>
    <w:p w14:paraId="1790602E" w14:textId="77777777" w:rsidR="0019269C" w:rsidRDefault="0019269C" w:rsidP="0019269C">
      <w:pPr>
        <w:autoSpaceDE w:val="0"/>
        <w:autoSpaceDN w:val="0"/>
        <w:adjustRightInd w:val="0"/>
        <w:ind w:firstLine="708"/>
        <w:jc w:val="both"/>
        <w:rPr>
          <w:rFonts w:ascii="Abadi" w:eastAsiaTheme="minorHAnsi" w:hAnsi="Abadi" w:cs="*Times New Roman-Italic-8095-Id"/>
          <w:i/>
          <w:iCs/>
          <w:color w:val="15141D"/>
          <w:sz w:val="21"/>
          <w:szCs w:val="21"/>
          <w:lang w:val="es-MX" w:eastAsia="en-US"/>
        </w:rPr>
      </w:pPr>
    </w:p>
    <w:p w14:paraId="18C67A96" w14:textId="77777777" w:rsidR="0019269C" w:rsidRDefault="0019269C" w:rsidP="0019269C">
      <w:pPr>
        <w:autoSpaceDE w:val="0"/>
        <w:autoSpaceDN w:val="0"/>
        <w:adjustRightInd w:val="0"/>
        <w:ind w:firstLine="708"/>
        <w:jc w:val="both"/>
        <w:rPr>
          <w:rFonts w:ascii="Abadi" w:eastAsiaTheme="minorHAnsi" w:hAnsi="Abadi" w:cs="*Times New Roman-Italic-8095-Id"/>
          <w:i/>
          <w:iCs/>
          <w:color w:val="15141D"/>
          <w:sz w:val="21"/>
          <w:szCs w:val="21"/>
          <w:lang w:val="es-MX" w:eastAsia="en-US"/>
        </w:rPr>
      </w:pPr>
    </w:p>
    <w:p w14:paraId="190D1B07" w14:textId="77777777" w:rsidR="0019269C" w:rsidRDefault="0019269C" w:rsidP="0019269C">
      <w:pPr>
        <w:autoSpaceDE w:val="0"/>
        <w:autoSpaceDN w:val="0"/>
        <w:adjustRightInd w:val="0"/>
        <w:ind w:firstLine="708"/>
        <w:jc w:val="both"/>
        <w:rPr>
          <w:rFonts w:ascii="Abadi" w:eastAsiaTheme="minorHAnsi" w:hAnsi="Abadi" w:cs="*Arial-8099-Identity-H"/>
          <w:color w:val="14131C"/>
          <w:sz w:val="21"/>
          <w:szCs w:val="21"/>
          <w:lang w:val="es-MX" w:eastAsia="en-US"/>
        </w:rPr>
      </w:pPr>
      <w:r>
        <w:rPr>
          <w:rFonts w:ascii="Abadi" w:eastAsiaTheme="minorHAnsi" w:hAnsi="Abadi" w:cs="*Times New Roman-Italic-8095-Id"/>
          <w:i/>
          <w:iCs/>
          <w:color w:val="15141D"/>
          <w:sz w:val="21"/>
          <w:szCs w:val="21"/>
          <w:lang w:val="es-MX" w:eastAsia="en-US"/>
        </w:rPr>
        <w:t xml:space="preserve"> </w:t>
      </w:r>
      <w:r>
        <w:rPr>
          <w:rFonts w:ascii="Abadi" w:eastAsiaTheme="minorHAnsi" w:hAnsi="Abadi" w:cs="*Arial-8099-Identity-H"/>
          <w:color w:val="14131C"/>
          <w:sz w:val="21"/>
          <w:szCs w:val="21"/>
          <w:lang w:val="es-MX" w:eastAsia="en-US"/>
        </w:rPr>
        <w:t>La Ley Orgánica Municipal para el Estado de Guanajuato prevé que el Ayuntamiento deberá otorgar el servicio de alumbrado público a los habitantes del Municipio e instrumentará los mecanismos necesarios para ampliar la cobertura y mejorar la prestación de dicho servicio.</w:t>
      </w:r>
    </w:p>
    <w:p w14:paraId="26D2A9B2" w14:textId="77777777" w:rsidR="0019269C" w:rsidRDefault="0019269C" w:rsidP="0019269C">
      <w:pPr>
        <w:autoSpaceDE w:val="0"/>
        <w:autoSpaceDN w:val="0"/>
        <w:adjustRightInd w:val="0"/>
        <w:ind w:firstLine="708"/>
        <w:jc w:val="both"/>
        <w:rPr>
          <w:rFonts w:ascii="Abadi" w:eastAsiaTheme="minorHAnsi" w:hAnsi="Abadi" w:cs="*Arial-8099-Identity-H"/>
          <w:color w:val="14131C"/>
          <w:sz w:val="21"/>
          <w:szCs w:val="21"/>
          <w:lang w:val="es-MX" w:eastAsia="en-US"/>
        </w:rPr>
      </w:pPr>
    </w:p>
    <w:p w14:paraId="7AC4D672" w14:textId="77777777" w:rsidR="0019269C" w:rsidRDefault="0019269C" w:rsidP="0019269C">
      <w:pPr>
        <w:autoSpaceDE w:val="0"/>
        <w:autoSpaceDN w:val="0"/>
        <w:adjustRightInd w:val="0"/>
        <w:ind w:firstLine="708"/>
        <w:jc w:val="both"/>
        <w:rPr>
          <w:rFonts w:ascii="Abadi" w:eastAsiaTheme="minorHAnsi" w:hAnsi="Abadi" w:cs="*Arial-6475-Identity-H"/>
          <w:color w:val="14131C"/>
          <w:sz w:val="21"/>
          <w:szCs w:val="21"/>
          <w:lang w:val="es-MX" w:eastAsia="en-US"/>
        </w:rPr>
      </w:pPr>
      <w:r>
        <w:rPr>
          <w:rFonts w:ascii="Abadi" w:eastAsiaTheme="minorHAnsi" w:hAnsi="Abadi" w:cs="*Arial-6475-Identity-H"/>
          <w:color w:val="14131C"/>
          <w:sz w:val="21"/>
          <w:szCs w:val="21"/>
          <w:lang w:val="es-MX" w:eastAsia="en-US"/>
        </w:rPr>
        <w:t>De igual forma, la referida ley en el artículo 83 establece que el Ayuntamiento contará con una Comisión de Obra y Servicios Públicos, misma que tendrá dentro de sus atribuciones la de promover la prestación puntual, oportuna y eficiente de los servicios públicos municipales, de conformidad con las disposiciones aplicables. En este sentido, la dependencia de Servicios Municipales será la encargada de llevar a cabo la prestación del servicio de alumbrado público en el Municipio, de acuerdo a lo establecido en la fracción V del artículo 124 de la citada ley.</w:t>
      </w:r>
    </w:p>
    <w:p w14:paraId="6C63C9E0" w14:textId="77777777" w:rsidR="0019269C" w:rsidRDefault="0019269C" w:rsidP="0019269C">
      <w:pPr>
        <w:autoSpaceDE w:val="0"/>
        <w:autoSpaceDN w:val="0"/>
        <w:adjustRightInd w:val="0"/>
        <w:jc w:val="both"/>
        <w:rPr>
          <w:rFonts w:ascii="Abadi" w:eastAsiaTheme="minorHAnsi" w:hAnsi="Abadi" w:cs="*Arial-6475-Identity-H"/>
          <w:color w:val="14131C"/>
          <w:sz w:val="21"/>
          <w:szCs w:val="21"/>
          <w:lang w:val="es-MX" w:eastAsia="en-US"/>
        </w:rPr>
      </w:pPr>
    </w:p>
    <w:p w14:paraId="4B4476F5" w14:textId="77777777" w:rsidR="0019269C" w:rsidRDefault="0019269C" w:rsidP="0019269C">
      <w:pPr>
        <w:autoSpaceDE w:val="0"/>
        <w:autoSpaceDN w:val="0"/>
        <w:adjustRightInd w:val="0"/>
        <w:jc w:val="both"/>
        <w:rPr>
          <w:rFonts w:ascii="Abadi" w:eastAsiaTheme="minorHAnsi" w:hAnsi="Abadi" w:cs="*Arial-6475-Identity-H"/>
          <w:color w:val="14131C"/>
          <w:sz w:val="21"/>
          <w:szCs w:val="21"/>
          <w:lang w:val="es-MX" w:eastAsia="en-US"/>
        </w:rPr>
      </w:pPr>
    </w:p>
    <w:p w14:paraId="1C947417" w14:textId="77777777" w:rsidR="0019269C" w:rsidRDefault="0019269C" w:rsidP="0019269C">
      <w:pPr>
        <w:autoSpaceDE w:val="0"/>
        <w:autoSpaceDN w:val="0"/>
        <w:adjustRightInd w:val="0"/>
        <w:ind w:firstLine="708"/>
        <w:jc w:val="both"/>
        <w:rPr>
          <w:rFonts w:ascii="Abadi" w:eastAsiaTheme="minorHAnsi" w:hAnsi="Abadi" w:cs="*Arial-Italic-6476-Identity-H"/>
          <w:i/>
          <w:iCs/>
          <w:color w:val="14131B"/>
          <w:sz w:val="21"/>
          <w:szCs w:val="21"/>
          <w:lang w:val="es-MX" w:eastAsia="en-US"/>
        </w:rPr>
      </w:pPr>
      <w:r>
        <w:rPr>
          <w:rFonts w:ascii="Abadi" w:eastAsiaTheme="minorHAnsi" w:hAnsi="Abadi" w:cs="*Arial-6475-Identity-H"/>
          <w:color w:val="14131B"/>
          <w:sz w:val="21"/>
          <w:szCs w:val="21"/>
          <w:lang w:val="es-MX" w:eastAsia="en-US"/>
        </w:rPr>
        <w:t xml:space="preserve">También la referida Ley Orgánica Municipal prevé que: </w:t>
      </w:r>
      <w:r>
        <w:rPr>
          <w:rFonts w:ascii="Abadi" w:eastAsiaTheme="minorHAnsi" w:hAnsi="Abadi" w:cs="*Arial-Italic-6476-Identity-H"/>
          <w:i/>
          <w:iCs/>
          <w:color w:val="14131B"/>
          <w:sz w:val="21"/>
          <w:szCs w:val="21"/>
          <w:lang w:val="es-MX" w:eastAsia="en-US"/>
        </w:rPr>
        <w:t xml:space="preserve">«Los ayuntamientos prestarán los servicios públicos, en igualdad de condiciones </w:t>
      </w:r>
      <w:r>
        <w:rPr>
          <w:rFonts w:ascii="Abadi" w:eastAsiaTheme="minorHAnsi" w:hAnsi="Abadi" w:cs="*Arial-6475-Identity-H"/>
          <w:color w:val="14131B"/>
          <w:sz w:val="21"/>
          <w:szCs w:val="21"/>
          <w:lang w:val="es-MX" w:eastAsia="en-US"/>
        </w:rPr>
        <w:t xml:space="preserve">a </w:t>
      </w:r>
      <w:r>
        <w:rPr>
          <w:rFonts w:ascii="Abadi" w:eastAsiaTheme="minorHAnsi" w:hAnsi="Abadi" w:cs="*Arial-Italic-6476-Identity-H"/>
          <w:i/>
          <w:iCs/>
          <w:color w:val="14131B"/>
          <w:sz w:val="21"/>
          <w:szCs w:val="21"/>
          <w:lang w:val="es-MX" w:eastAsia="en-US"/>
        </w:rPr>
        <w:t>todos los habitantes del municipio, en forma permanente, general, uniforme, continua y de acuerdo con el Programa de Gobierno Municipal».</w:t>
      </w:r>
    </w:p>
    <w:p w14:paraId="06365D17" w14:textId="77777777" w:rsidR="0019269C" w:rsidRDefault="0019269C" w:rsidP="0019269C">
      <w:pPr>
        <w:autoSpaceDE w:val="0"/>
        <w:autoSpaceDN w:val="0"/>
        <w:adjustRightInd w:val="0"/>
        <w:jc w:val="both"/>
        <w:rPr>
          <w:rFonts w:ascii="Abadi" w:eastAsiaTheme="minorHAnsi" w:hAnsi="Abadi" w:cs="*Arial-Italic-6476-Identity-H"/>
          <w:i/>
          <w:iCs/>
          <w:color w:val="14131B"/>
          <w:sz w:val="21"/>
          <w:szCs w:val="21"/>
          <w:lang w:val="es-MX" w:eastAsia="en-US"/>
        </w:rPr>
      </w:pPr>
    </w:p>
    <w:p w14:paraId="6E9E00D0" w14:textId="77777777" w:rsidR="0019269C" w:rsidRDefault="0019269C" w:rsidP="0019269C">
      <w:pPr>
        <w:autoSpaceDE w:val="0"/>
        <w:autoSpaceDN w:val="0"/>
        <w:adjustRightInd w:val="0"/>
        <w:ind w:firstLine="708"/>
        <w:jc w:val="both"/>
        <w:rPr>
          <w:rFonts w:ascii="Abadi" w:eastAsiaTheme="minorHAnsi" w:hAnsi="Abadi" w:cs="*Arial-6475-Identity-H"/>
          <w:color w:val="14131C"/>
          <w:sz w:val="21"/>
          <w:szCs w:val="21"/>
          <w:lang w:val="es-MX" w:eastAsia="en-US"/>
        </w:rPr>
      </w:pPr>
      <w:r>
        <w:rPr>
          <w:rFonts w:ascii="Abadi" w:eastAsiaTheme="minorHAnsi" w:hAnsi="Abadi" w:cs="*Arial-6475-Identity-H"/>
          <w:color w:val="14131C"/>
          <w:sz w:val="21"/>
          <w:szCs w:val="21"/>
          <w:lang w:val="es-MX" w:eastAsia="en-US"/>
        </w:rPr>
        <w:t xml:space="preserve"> En el Capítulo denominado </w:t>
      </w:r>
      <w:r>
        <w:rPr>
          <w:rFonts w:ascii="Abadi" w:eastAsiaTheme="minorHAnsi" w:hAnsi="Abadi" w:cs="*Arial-Italic-6476-Identity-H"/>
          <w:i/>
          <w:iCs/>
          <w:color w:val="14131C"/>
          <w:sz w:val="21"/>
          <w:szCs w:val="21"/>
          <w:lang w:val="es-MX" w:eastAsia="en-US"/>
        </w:rPr>
        <w:t xml:space="preserve">«De los Servicios Públicos Municipales» </w:t>
      </w:r>
      <w:r>
        <w:rPr>
          <w:rFonts w:ascii="Abadi" w:eastAsiaTheme="minorHAnsi" w:hAnsi="Abadi" w:cs="*Arial-6475-Identity-H"/>
          <w:color w:val="14131C"/>
          <w:sz w:val="21"/>
          <w:szCs w:val="21"/>
          <w:lang w:val="es-MX" w:eastAsia="en-US"/>
        </w:rPr>
        <w:t>se refiere que en el presupuesto de egresos deben preverse los recursos materiales y humanos, necesarios y suficientes, para la prestación eficiente y oportuna de los servicios públicos; asimismo, se consigna la obligatoriedad del Ayuntamiento de otorgar el servicio de alumbrado público, señalando que podrá otorgarlo de</w:t>
      </w:r>
    </w:p>
    <w:p w14:paraId="3E921403" w14:textId="77777777" w:rsidR="0019269C" w:rsidRDefault="0019269C" w:rsidP="0019269C">
      <w:pPr>
        <w:autoSpaceDE w:val="0"/>
        <w:autoSpaceDN w:val="0"/>
        <w:adjustRightInd w:val="0"/>
        <w:jc w:val="both"/>
        <w:rPr>
          <w:rFonts w:ascii="Abadi" w:eastAsiaTheme="minorHAnsi" w:hAnsi="Abadi" w:cs="*Arial-6475-Identity-H"/>
          <w:color w:val="14131C"/>
          <w:sz w:val="21"/>
          <w:szCs w:val="21"/>
          <w:lang w:val="es-MX" w:eastAsia="en-US"/>
        </w:rPr>
      </w:pPr>
      <w:r>
        <w:rPr>
          <w:rFonts w:ascii="Abadi" w:eastAsiaTheme="minorHAnsi" w:hAnsi="Abadi" w:cs="*Arial-6475-Identity-H"/>
          <w:color w:val="14131C"/>
          <w:sz w:val="21"/>
          <w:szCs w:val="21"/>
          <w:lang w:val="es-MX" w:eastAsia="en-US"/>
        </w:rPr>
        <w:t>manera directa a través de sus propias dependencias, o bien por un medio indirecto.</w:t>
      </w:r>
    </w:p>
    <w:p w14:paraId="05169906" w14:textId="77777777" w:rsidR="0019269C" w:rsidRDefault="0019269C" w:rsidP="0019269C">
      <w:pPr>
        <w:autoSpaceDE w:val="0"/>
        <w:autoSpaceDN w:val="0"/>
        <w:adjustRightInd w:val="0"/>
        <w:jc w:val="both"/>
        <w:rPr>
          <w:rFonts w:ascii="Abadi" w:eastAsiaTheme="minorHAnsi" w:hAnsi="Abadi" w:cs="*Arial-6475-Identity-H"/>
          <w:color w:val="14131C"/>
          <w:sz w:val="21"/>
          <w:szCs w:val="21"/>
          <w:lang w:val="es-MX" w:eastAsia="en-US"/>
        </w:rPr>
      </w:pPr>
    </w:p>
    <w:p w14:paraId="4EF93E2A" w14:textId="77777777" w:rsidR="0019269C" w:rsidRDefault="0019269C" w:rsidP="0019269C">
      <w:pPr>
        <w:autoSpaceDE w:val="0"/>
        <w:autoSpaceDN w:val="0"/>
        <w:adjustRightInd w:val="0"/>
        <w:ind w:firstLine="708"/>
        <w:jc w:val="both"/>
        <w:rPr>
          <w:rFonts w:ascii="Abadi" w:eastAsiaTheme="minorHAnsi" w:hAnsi="Abadi" w:cs="*Arial-6475-Identity-H"/>
          <w:color w:val="14131A"/>
          <w:sz w:val="21"/>
          <w:szCs w:val="21"/>
          <w:lang w:val="es-MX" w:eastAsia="en-US"/>
        </w:rPr>
      </w:pPr>
      <w:r>
        <w:rPr>
          <w:rFonts w:ascii="Abadi" w:eastAsiaTheme="minorHAnsi" w:hAnsi="Abadi" w:cs="*Arial-6475-Identity-H"/>
          <w:color w:val="14131A"/>
          <w:sz w:val="21"/>
          <w:szCs w:val="21"/>
          <w:lang w:val="es-MX" w:eastAsia="en-US"/>
        </w:rPr>
        <w:t xml:space="preserve">De conformidad con el artículo 169 de la referida Ley Orgánica Municipal, la prestación de los servicios públicos municipales será supervisada por la comisión correspondiente del Ayuntamiento y auditada por la Contraloría Municipal. </w:t>
      </w:r>
    </w:p>
    <w:p w14:paraId="4AD2B9EF" w14:textId="77777777" w:rsidR="0019269C" w:rsidRDefault="0019269C" w:rsidP="0019269C">
      <w:pPr>
        <w:autoSpaceDE w:val="0"/>
        <w:autoSpaceDN w:val="0"/>
        <w:adjustRightInd w:val="0"/>
        <w:jc w:val="both"/>
        <w:rPr>
          <w:rFonts w:ascii="Abadi" w:eastAsiaTheme="minorHAnsi" w:hAnsi="Abadi" w:cs="*Arial-6475-Identity-H"/>
          <w:color w:val="14131A"/>
          <w:sz w:val="21"/>
          <w:szCs w:val="21"/>
          <w:lang w:val="es-MX" w:eastAsia="en-US"/>
        </w:rPr>
      </w:pPr>
    </w:p>
    <w:p w14:paraId="1133D627" w14:textId="77777777" w:rsidR="0019269C" w:rsidRDefault="0019269C" w:rsidP="0019269C">
      <w:pPr>
        <w:autoSpaceDE w:val="0"/>
        <w:autoSpaceDN w:val="0"/>
        <w:adjustRightInd w:val="0"/>
        <w:ind w:firstLine="708"/>
        <w:jc w:val="both"/>
        <w:rPr>
          <w:rFonts w:ascii="Abadi" w:eastAsiaTheme="minorHAnsi" w:hAnsi="Abadi" w:cs="*Arial-6475-Identity-H"/>
          <w:color w:val="14131B"/>
          <w:sz w:val="21"/>
          <w:szCs w:val="21"/>
          <w:lang w:val="es-MX" w:eastAsia="en-US"/>
        </w:rPr>
      </w:pPr>
      <w:r>
        <w:rPr>
          <w:rFonts w:ascii="Abadi" w:eastAsiaTheme="minorHAnsi" w:hAnsi="Abadi" w:cs="*Arial-6475-Identity-H"/>
          <w:color w:val="14131B"/>
          <w:sz w:val="21"/>
          <w:szCs w:val="21"/>
          <w:lang w:val="es-MX" w:eastAsia="en-US"/>
        </w:rPr>
        <w:t xml:space="preserve">Es así que, se desprende la intervención estratégica del Ayuntamiento y de la Dirección de Servicios Públicos y Salud Municipal de Apaseo el Alto, Gto., para otorgar la prestación del servicio de alumbrado público a los habitantes del Municipio, a través del conocimiento de la situación de oferta del servicio, de su presupuestación, de un marco normativo de operación, de una debida planeación a corto plazo, de la participación ciudadana en el reporte de fallas del servicio, así como de los mecanismos de monitoreo y evaluación para el logro de resultados. </w:t>
      </w:r>
    </w:p>
    <w:p w14:paraId="0CAB3EDC" w14:textId="77777777" w:rsidR="0019269C" w:rsidRDefault="0019269C" w:rsidP="0019269C">
      <w:pPr>
        <w:autoSpaceDE w:val="0"/>
        <w:autoSpaceDN w:val="0"/>
        <w:adjustRightInd w:val="0"/>
        <w:jc w:val="both"/>
        <w:rPr>
          <w:rFonts w:ascii="Abadi" w:eastAsiaTheme="minorHAnsi" w:hAnsi="Abadi" w:cs="*Arial-6475-Identity-H"/>
          <w:color w:val="14131B"/>
          <w:sz w:val="21"/>
          <w:szCs w:val="21"/>
          <w:lang w:val="es-MX" w:eastAsia="en-US"/>
        </w:rPr>
      </w:pPr>
    </w:p>
    <w:p w14:paraId="2097233D" w14:textId="77777777" w:rsidR="0019269C" w:rsidRDefault="0019269C" w:rsidP="0019269C">
      <w:pPr>
        <w:autoSpaceDE w:val="0"/>
        <w:autoSpaceDN w:val="0"/>
        <w:adjustRightInd w:val="0"/>
        <w:ind w:firstLine="708"/>
        <w:jc w:val="both"/>
        <w:rPr>
          <w:rFonts w:ascii="Abadi" w:eastAsiaTheme="minorHAnsi" w:hAnsi="Abadi" w:cs="*Arial-6475-Identity-H"/>
          <w:color w:val="14131B"/>
          <w:sz w:val="21"/>
          <w:szCs w:val="21"/>
          <w:lang w:val="es-MX" w:eastAsia="en-US"/>
        </w:rPr>
      </w:pPr>
      <w:r>
        <w:rPr>
          <w:rFonts w:ascii="Abadi" w:eastAsiaTheme="minorHAnsi" w:hAnsi="Abadi" w:cs="*Arial-6475-Identity-H"/>
          <w:color w:val="14131B"/>
          <w:sz w:val="21"/>
          <w:szCs w:val="21"/>
          <w:lang w:val="es-MX" w:eastAsia="en-US"/>
        </w:rPr>
        <w:t>Lo anterior, con el objetivo de otorgar un servicio público eficaz en el mantenimiento, cobertura y satisfacción del servicio.</w:t>
      </w:r>
    </w:p>
    <w:p w14:paraId="612FA02B" w14:textId="77777777" w:rsidR="0019269C" w:rsidRDefault="0019269C" w:rsidP="0019269C">
      <w:pPr>
        <w:autoSpaceDE w:val="0"/>
        <w:autoSpaceDN w:val="0"/>
        <w:adjustRightInd w:val="0"/>
        <w:jc w:val="both"/>
        <w:rPr>
          <w:rFonts w:ascii="Abadi" w:eastAsiaTheme="minorHAnsi" w:hAnsi="Abadi" w:cs="*Arial-6475-Identity-H"/>
          <w:color w:val="14131B"/>
          <w:sz w:val="21"/>
          <w:szCs w:val="21"/>
          <w:lang w:val="es-MX" w:eastAsia="en-US"/>
        </w:rPr>
      </w:pPr>
    </w:p>
    <w:p w14:paraId="7B20769F" w14:textId="77777777" w:rsidR="0019269C" w:rsidRDefault="0019269C" w:rsidP="0019269C">
      <w:pPr>
        <w:autoSpaceDE w:val="0"/>
        <w:autoSpaceDN w:val="0"/>
        <w:adjustRightInd w:val="0"/>
        <w:ind w:firstLine="708"/>
        <w:jc w:val="both"/>
        <w:rPr>
          <w:rFonts w:ascii="Abadi" w:eastAsiaTheme="minorHAnsi" w:hAnsi="Abadi" w:cs="*Arial-6475-Identity-H"/>
          <w:color w:val="14131C"/>
          <w:sz w:val="21"/>
          <w:szCs w:val="21"/>
          <w:lang w:val="es-MX" w:eastAsia="en-US"/>
        </w:rPr>
      </w:pPr>
      <w:r>
        <w:rPr>
          <w:rFonts w:ascii="Abadi" w:eastAsiaTheme="minorHAnsi" w:hAnsi="Abadi" w:cs="*Arial-6475-Identity-H"/>
          <w:color w:val="14131C"/>
          <w:sz w:val="21"/>
          <w:szCs w:val="21"/>
          <w:lang w:val="es-MX" w:eastAsia="en-US"/>
        </w:rPr>
        <w:t>En congruencia con lo antes señalado, se planteó como objetivo general de la auditoría verificar la capacidad del municipio de Apaseo el Alto, Gto., para la prestación eficaz del servicio de alumbrado público y la eficiencia en sus funciones de planificación, operación y seguimiento en el ejercicio 2020.</w:t>
      </w:r>
    </w:p>
    <w:p w14:paraId="2773AC45" w14:textId="77777777" w:rsidR="0019269C" w:rsidRDefault="0019269C" w:rsidP="0019269C">
      <w:pPr>
        <w:autoSpaceDE w:val="0"/>
        <w:autoSpaceDN w:val="0"/>
        <w:adjustRightInd w:val="0"/>
        <w:ind w:firstLine="708"/>
        <w:jc w:val="both"/>
        <w:rPr>
          <w:rFonts w:ascii="Abadi" w:eastAsiaTheme="minorHAnsi" w:hAnsi="Abadi" w:cs="*Arial-6475-Identity-H"/>
          <w:color w:val="14131C"/>
          <w:sz w:val="21"/>
          <w:szCs w:val="21"/>
          <w:lang w:val="es-MX" w:eastAsia="en-US"/>
        </w:rPr>
      </w:pPr>
    </w:p>
    <w:p w14:paraId="1BA4AC4F" w14:textId="77777777" w:rsidR="0019269C" w:rsidRDefault="0019269C" w:rsidP="0019269C">
      <w:pPr>
        <w:autoSpaceDE w:val="0"/>
        <w:autoSpaceDN w:val="0"/>
        <w:adjustRightInd w:val="0"/>
        <w:ind w:firstLine="708"/>
        <w:jc w:val="both"/>
        <w:rPr>
          <w:rFonts w:ascii="Abadi" w:eastAsiaTheme="minorHAnsi" w:hAnsi="Abadi" w:cs="*Arial-4256-Identity-H"/>
          <w:color w:val="14131D"/>
          <w:sz w:val="21"/>
          <w:szCs w:val="21"/>
          <w:lang w:val="es-MX" w:eastAsia="en-US"/>
        </w:rPr>
      </w:pPr>
      <w:r>
        <w:rPr>
          <w:rFonts w:ascii="Abadi" w:eastAsiaTheme="minorHAnsi" w:hAnsi="Abadi" w:cs="*Arial-4256-Identity-H"/>
          <w:color w:val="14131D"/>
          <w:sz w:val="21"/>
          <w:szCs w:val="21"/>
          <w:lang w:val="es-MX" w:eastAsia="en-US"/>
        </w:rPr>
        <w:t xml:space="preserve">En el apartado correspondiente a la unidad responsable de la materia por auditar se refiere que el artículo 124 de la Ley Orgánica Municipal para el Estado de Guanajuato prevé que la dependencia de Servicios Municipales será la </w:t>
      </w:r>
      <w:r>
        <w:rPr>
          <w:rFonts w:ascii="Abadi" w:eastAsiaTheme="minorHAnsi" w:hAnsi="Abadi" w:cs="*Arial-4256-Identity-H"/>
          <w:color w:val="BDBDBD"/>
          <w:sz w:val="21"/>
          <w:szCs w:val="21"/>
          <w:lang w:val="es-MX" w:eastAsia="en-US"/>
        </w:rPr>
        <w:t xml:space="preserve">• </w:t>
      </w:r>
      <w:r>
        <w:rPr>
          <w:rFonts w:ascii="Abadi" w:eastAsiaTheme="minorHAnsi" w:hAnsi="Abadi" w:cs="*Arial-4256-Identity-H"/>
          <w:color w:val="14131D"/>
          <w:sz w:val="21"/>
          <w:szCs w:val="21"/>
          <w:lang w:val="es-MX" w:eastAsia="en-US"/>
        </w:rPr>
        <w:t>encargada de llevar a cabo la prestación del servicio de alumbrado público en el Municipio. Asimismo, los artículos 83 y 83-3 de la citada ley establecen que, el Ayuntamiento contará con una Comisión de Obra y Servicios Públicos, la que tendrá dentro de sus atribuciones la de promover la prestación puntual, oportuna y eficiente de los servicios públicos municipales, de conformidad con las disposiciones aplicables.</w:t>
      </w:r>
    </w:p>
    <w:p w14:paraId="177312FE" w14:textId="77777777" w:rsidR="0019269C" w:rsidRDefault="0019269C" w:rsidP="0019269C">
      <w:pPr>
        <w:autoSpaceDE w:val="0"/>
        <w:autoSpaceDN w:val="0"/>
        <w:adjustRightInd w:val="0"/>
        <w:jc w:val="both"/>
        <w:rPr>
          <w:rFonts w:ascii="Abadi" w:eastAsiaTheme="minorHAnsi" w:hAnsi="Abadi" w:cs="*Arial-4256-Identity-H"/>
          <w:color w:val="14131D"/>
          <w:sz w:val="21"/>
          <w:szCs w:val="21"/>
          <w:lang w:val="es-MX" w:eastAsia="en-US"/>
        </w:rPr>
      </w:pPr>
    </w:p>
    <w:p w14:paraId="34AC47E8" w14:textId="77777777" w:rsidR="0019269C" w:rsidRDefault="0019269C" w:rsidP="0019269C">
      <w:pPr>
        <w:autoSpaceDE w:val="0"/>
        <w:autoSpaceDN w:val="0"/>
        <w:adjustRightInd w:val="0"/>
        <w:ind w:firstLine="708"/>
        <w:jc w:val="both"/>
        <w:rPr>
          <w:rFonts w:ascii="Abadi" w:eastAsiaTheme="minorHAnsi" w:hAnsi="Abadi" w:cs="*Arial-4256-Identity-H"/>
          <w:color w:val="15141C"/>
          <w:sz w:val="21"/>
          <w:szCs w:val="21"/>
          <w:lang w:val="es-MX" w:eastAsia="en-US"/>
        </w:rPr>
      </w:pPr>
      <w:r>
        <w:rPr>
          <w:rFonts w:ascii="Abadi" w:eastAsiaTheme="minorHAnsi" w:hAnsi="Abadi" w:cs="*Arial-4256-Identity-H"/>
          <w:color w:val="15141C"/>
          <w:sz w:val="21"/>
          <w:szCs w:val="21"/>
          <w:lang w:val="es-MX" w:eastAsia="en-US"/>
        </w:rPr>
        <w:t>Es así que, para el ejercicio 2020, la unidad responsable de otorgar el servicio de alumbrado público en el municipio de Apaseo el Alto, Gto., fue la Dirección de Servicios Públicos y Salud Municipal.</w:t>
      </w:r>
    </w:p>
    <w:p w14:paraId="504F5A82" w14:textId="77777777" w:rsidR="0019269C" w:rsidRDefault="0019269C" w:rsidP="0019269C">
      <w:pPr>
        <w:autoSpaceDE w:val="0"/>
        <w:autoSpaceDN w:val="0"/>
        <w:adjustRightInd w:val="0"/>
        <w:jc w:val="both"/>
        <w:rPr>
          <w:rFonts w:ascii="Abadi" w:eastAsiaTheme="minorHAnsi" w:hAnsi="Abadi" w:cs="*Arial-Bold-4257-Identity-H"/>
          <w:b/>
          <w:bCs/>
          <w:color w:val="14131F"/>
          <w:sz w:val="21"/>
          <w:szCs w:val="21"/>
          <w:lang w:val="es-MX" w:eastAsia="en-US"/>
        </w:rPr>
      </w:pPr>
    </w:p>
    <w:p w14:paraId="0F501528" w14:textId="77777777" w:rsidR="0019269C" w:rsidRDefault="0019269C" w:rsidP="0019269C">
      <w:pPr>
        <w:autoSpaceDE w:val="0"/>
        <w:autoSpaceDN w:val="0"/>
        <w:adjustRightInd w:val="0"/>
        <w:jc w:val="both"/>
        <w:rPr>
          <w:rFonts w:ascii="Abadi" w:eastAsiaTheme="minorHAnsi" w:hAnsi="Abadi" w:cs="*Arial-Bold-4257-Identity-H"/>
          <w:b/>
          <w:bCs/>
          <w:color w:val="14131F"/>
          <w:sz w:val="21"/>
          <w:szCs w:val="21"/>
          <w:lang w:val="es-MX" w:eastAsia="en-US"/>
        </w:rPr>
      </w:pPr>
    </w:p>
    <w:p w14:paraId="0E48508A" w14:textId="77777777" w:rsidR="0019269C" w:rsidRDefault="0019269C" w:rsidP="0019269C">
      <w:pPr>
        <w:autoSpaceDE w:val="0"/>
        <w:autoSpaceDN w:val="0"/>
        <w:adjustRightInd w:val="0"/>
        <w:ind w:firstLine="708"/>
        <w:jc w:val="both"/>
        <w:rPr>
          <w:rFonts w:ascii="Abadi" w:eastAsiaTheme="minorHAnsi" w:hAnsi="Abadi" w:cs="*Arial-Bold-4257-Identity-H"/>
          <w:b/>
          <w:bCs/>
          <w:color w:val="14131F"/>
          <w:sz w:val="21"/>
          <w:szCs w:val="21"/>
          <w:lang w:val="es-MX" w:eastAsia="en-US"/>
        </w:rPr>
      </w:pPr>
      <w:r>
        <w:rPr>
          <w:rFonts w:ascii="Abadi" w:eastAsiaTheme="minorHAnsi" w:hAnsi="Abadi" w:cs="*Arial-Bold-4257-Identity-H"/>
          <w:b/>
          <w:bCs/>
          <w:color w:val="14131F"/>
          <w:sz w:val="21"/>
          <w:szCs w:val="21"/>
          <w:lang w:val="es-MX" w:eastAsia="en-US"/>
        </w:rPr>
        <w:t>b) Resultado del proceso de fiscalización.</w:t>
      </w:r>
    </w:p>
    <w:p w14:paraId="074669AC" w14:textId="77777777" w:rsidR="0019269C" w:rsidRDefault="0019269C" w:rsidP="0019269C">
      <w:pPr>
        <w:autoSpaceDE w:val="0"/>
        <w:autoSpaceDN w:val="0"/>
        <w:adjustRightInd w:val="0"/>
        <w:jc w:val="both"/>
        <w:rPr>
          <w:rFonts w:ascii="Abadi" w:eastAsiaTheme="minorHAnsi" w:hAnsi="Abadi" w:cs="*Arial-Bold-4257-Identity-H"/>
          <w:b/>
          <w:bCs/>
          <w:color w:val="14131F"/>
          <w:sz w:val="21"/>
          <w:szCs w:val="21"/>
          <w:lang w:val="es-MX" w:eastAsia="en-US"/>
        </w:rPr>
      </w:pPr>
    </w:p>
    <w:p w14:paraId="33508D0E" w14:textId="77777777" w:rsidR="0019269C" w:rsidRDefault="0019269C" w:rsidP="0019269C">
      <w:pPr>
        <w:autoSpaceDE w:val="0"/>
        <w:autoSpaceDN w:val="0"/>
        <w:adjustRightInd w:val="0"/>
        <w:ind w:firstLine="708"/>
        <w:jc w:val="both"/>
        <w:rPr>
          <w:rFonts w:ascii="Abadi" w:eastAsiaTheme="minorHAnsi" w:hAnsi="Abadi" w:cs="*Arial-4256-Identity-H"/>
          <w:color w:val="15141D"/>
          <w:sz w:val="21"/>
          <w:szCs w:val="21"/>
          <w:lang w:val="es-MX" w:eastAsia="en-US"/>
        </w:rPr>
      </w:pPr>
      <w:r>
        <w:rPr>
          <w:rFonts w:ascii="Abadi" w:eastAsiaTheme="minorHAnsi" w:hAnsi="Abadi" w:cs="*Arial-4256-Identity-H"/>
          <w:color w:val="15141D"/>
          <w:sz w:val="21"/>
          <w:szCs w:val="21"/>
          <w:lang w:val="es-MX" w:eastAsia="en-US"/>
        </w:rPr>
        <w:t>En esta parte se señala que los objetivos específicos se desarrollaron en la auditoría en siete procedimientos, con los siguientes resultados:</w:t>
      </w:r>
    </w:p>
    <w:p w14:paraId="344013F3" w14:textId="77777777" w:rsidR="0019269C" w:rsidRDefault="0019269C" w:rsidP="0019269C">
      <w:pPr>
        <w:autoSpaceDE w:val="0"/>
        <w:autoSpaceDN w:val="0"/>
        <w:adjustRightInd w:val="0"/>
        <w:jc w:val="both"/>
        <w:rPr>
          <w:rFonts w:ascii="Abadi" w:eastAsiaTheme="minorHAnsi" w:hAnsi="Abadi" w:cs="*Arial-Bold-4257-Identity-H"/>
          <w:b/>
          <w:bCs/>
          <w:color w:val="151320"/>
          <w:sz w:val="21"/>
          <w:szCs w:val="21"/>
          <w:lang w:val="es-MX" w:eastAsia="en-US"/>
        </w:rPr>
      </w:pPr>
    </w:p>
    <w:p w14:paraId="194A1E28" w14:textId="77777777" w:rsidR="0019269C" w:rsidRDefault="0019269C" w:rsidP="0019269C">
      <w:pPr>
        <w:autoSpaceDE w:val="0"/>
        <w:autoSpaceDN w:val="0"/>
        <w:adjustRightInd w:val="0"/>
        <w:jc w:val="both"/>
        <w:rPr>
          <w:rFonts w:ascii="Abadi" w:eastAsiaTheme="minorHAnsi" w:hAnsi="Abadi" w:cs="*Arial-Bold-4257-Identity-H"/>
          <w:b/>
          <w:bCs/>
          <w:color w:val="151320"/>
          <w:sz w:val="21"/>
          <w:szCs w:val="21"/>
          <w:lang w:val="es-MX" w:eastAsia="en-US"/>
        </w:rPr>
      </w:pPr>
      <w:r>
        <w:rPr>
          <w:rFonts w:ascii="Abadi" w:eastAsiaTheme="minorHAnsi" w:hAnsi="Abadi" w:cs="*Arial-Bold-4257-Identity-H"/>
          <w:b/>
          <w:bCs/>
          <w:color w:val="151320"/>
          <w:sz w:val="21"/>
          <w:szCs w:val="21"/>
          <w:lang w:val="es-MX" w:eastAsia="en-US"/>
        </w:rPr>
        <w:t>Eficiencia:</w:t>
      </w:r>
    </w:p>
    <w:p w14:paraId="4B73A5F1" w14:textId="77777777" w:rsidR="0019269C" w:rsidRDefault="0019269C" w:rsidP="0019269C">
      <w:pPr>
        <w:autoSpaceDE w:val="0"/>
        <w:autoSpaceDN w:val="0"/>
        <w:adjustRightInd w:val="0"/>
        <w:jc w:val="both"/>
        <w:rPr>
          <w:rFonts w:ascii="Abadi" w:eastAsiaTheme="minorHAnsi" w:hAnsi="Abadi" w:cs="*Arial-Bold-4257-Identity-H"/>
          <w:b/>
          <w:bCs/>
          <w:color w:val="151320"/>
          <w:sz w:val="21"/>
          <w:szCs w:val="21"/>
          <w:lang w:val="es-MX" w:eastAsia="en-US"/>
        </w:rPr>
      </w:pPr>
    </w:p>
    <w:p w14:paraId="2EB1FE58" w14:textId="77777777" w:rsidR="0019269C" w:rsidRDefault="0019269C" w:rsidP="0019269C">
      <w:pPr>
        <w:autoSpaceDE w:val="0"/>
        <w:autoSpaceDN w:val="0"/>
        <w:adjustRightInd w:val="0"/>
        <w:ind w:left="709"/>
        <w:jc w:val="both"/>
        <w:rPr>
          <w:rFonts w:ascii="Abadi" w:eastAsiaTheme="minorHAnsi" w:hAnsi="Abadi" w:cs="*Arial-4256-Identity-H"/>
          <w:color w:val="16141C"/>
          <w:sz w:val="21"/>
          <w:szCs w:val="21"/>
          <w:lang w:val="es-MX" w:eastAsia="en-US"/>
        </w:rPr>
      </w:pPr>
      <w:r>
        <w:rPr>
          <w:rFonts w:ascii="Abadi" w:eastAsiaTheme="minorHAnsi" w:hAnsi="Abadi" w:cs="*Arial-4256-Identity-H"/>
          <w:b/>
          <w:bCs/>
          <w:color w:val="16141C"/>
          <w:sz w:val="21"/>
          <w:szCs w:val="21"/>
          <w:lang w:val="es-MX" w:eastAsia="en-US"/>
        </w:rPr>
        <w:t>1.</w:t>
      </w:r>
      <w:r>
        <w:rPr>
          <w:rFonts w:ascii="Abadi" w:eastAsiaTheme="minorHAnsi" w:hAnsi="Abadi" w:cs="*Arial-4256-Identity-H"/>
          <w:color w:val="16141C"/>
          <w:sz w:val="21"/>
          <w:szCs w:val="21"/>
          <w:lang w:val="es-MX" w:eastAsia="en-US"/>
        </w:rPr>
        <w:t xml:space="preserve"> Oferta del servicio de alumbrado público.</w:t>
      </w:r>
    </w:p>
    <w:p w14:paraId="7D77501B" w14:textId="77777777" w:rsidR="0019269C" w:rsidRDefault="0019269C" w:rsidP="0019269C">
      <w:pPr>
        <w:autoSpaceDE w:val="0"/>
        <w:autoSpaceDN w:val="0"/>
        <w:adjustRightInd w:val="0"/>
        <w:ind w:left="709"/>
        <w:jc w:val="both"/>
        <w:rPr>
          <w:rFonts w:ascii="Abadi" w:eastAsiaTheme="minorHAnsi" w:hAnsi="Abadi" w:cs="*Arial-4256-Identity-H"/>
          <w:color w:val="15141B"/>
          <w:sz w:val="21"/>
          <w:szCs w:val="21"/>
          <w:lang w:val="es-MX" w:eastAsia="en-US"/>
        </w:rPr>
      </w:pPr>
      <w:r>
        <w:rPr>
          <w:rFonts w:ascii="Abadi" w:eastAsiaTheme="minorHAnsi" w:hAnsi="Abadi" w:cs="*Arial-Bold-4257-Identity-H"/>
          <w:b/>
          <w:bCs/>
          <w:color w:val="15141B"/>
          <w:sz w:val="21"/>
          <w:szCs w:val="21"/>
          <w:lang w:val="es-MX" w:eastAsia="en-US"/>
        </w:rPr>
        <w:t xml:space="preserve">2. </w:t>
      </w:r>
      <w:r>
        <w:rPr>
          <w:rFonts w:ascii="Abadi" w:eastAsiaTheme="minorHAnsi" w:hAnsi="Abadi" w:cs="*Arial-4256-Identity-H"/>
          <w:color w:val="15141B"/>
          <w:sz w:val="21"/>
          <w:szCs w:val="21"/>
          <w:lang w:val="es-MX" w:eastAsia="en-US"/>
        </w:rPr>
        <w:t>Presupuestación del servicio.</w:t>
      </w:r>
    </w:p>
    <w:p w14:paraId="6549095A" w14:textId="77777777" w:rsidR="0019269C" w:rsidRDefault="0019269C" w:rsidP="0019269C">
      <w:pPr>
        <w:autoSpaceDE w:val="0"/>
        <w:autoSpaceDN w:val="0"/>
        <w:adjustRightInd w:val="0"/>
        <w:ind w:left="709"/>
        <w:jc w:val="both"/>
        <w:rPr>
          <w:rFonts w:ascii="Abadi" w:eastAsiaTheme="minorHAnsi" w:hAnsi="Abadi" w:cs="*Arial-4256-Identity-H"/>
          <w:color w:val="15141D"/>
          <w:sz w:val="21"/>
          <w:szCs w:val="21"/>
          <w:lang w:val="es-MX" w:eastAsia="en-US"/>
        </w:rPr>
      </w:pPr>
      <w:r>
        <w:rPr>
          <w:rFonts w:ascii="Abadi" w:eastAsiaTheme="minorHAnsi" w:hAnsi="Abadi" w:cs="*Arial-Bold-4257-Identity-H"/>
          <w:b/>
          <w:bCs/>
          <w:color w:val="15141D"/>
          <w:sz w:val="21"/>
          <w:szCs w:val="21"/>
          <w:lang w:val="es-MX" w:eastAsia="en-US"/>
        </w:rPr>
        <w:t xml:space="preserve">3. </w:t>
      </w:r>
      <w:r>
        <w:rPr>
          <w:rFonts w:ascii="Abadi" w:eastAsiaTheme="minorHAnsi" w:hAnsi="Abadi" w:cs="*Arial-4256-Identity-H"/>
          <w:color w:val="15141D"/>
          <w:sz w:val="21"/>
          <w:szCs w:val="21"/>
          <w:lang w:val="es-MX" w:eastAsia="en-US"/>
        </w:rPr>
        <w:t>Marco normativo para la prestación del servicio.</w:t>
      </w:r>
    </w:p>
    <w:p w14:paraId="3DF8B11D" w14:textId="77777777" w:rsidR="0019269C" w:rsidRDefault="0019269C" w:rsidP="0019269C">
      <w:pPr>
        <w:autoSpaceDE w:val="0"/>
        <w:autoSpaceDN w:val="0"/>
        <w:adjustRightInd w:val="0"/>
        <w:ind w:left="709"/>
        <w:jc w:val="both"/>
        <w:rPr>
          <w:rFonts w:ascii="Abadi" w:eastAsiaTheme="minorHAnsi" w:hAnsi="Abadi" w:cs="*Arial-4256-Identity-H"/>
          <w:color w:val="15141C"/>
          <w:sz w:val="21"/>
          <w:szCs w:val="21"/>
          <w:lang w:val="es-MX" w:eastAsia="en-US"/>
        </w:rPr>
      </w:pPr>
      <w:r>
        <w:rPr>
          <w:rFonts w:ascii="Abadi" w:eastAsiaTheme="minorHAnsi" w:hAnsi="Abadi" w:cs="*Arial-Bold-4257-Identity-H"/>
          <w:b/>
          <w:bCs/>
          <w:color w:val="15141C"/>
          <w:sz w:val="21"/>
          <w:szCs w:val="21"/>
          <w:lang w:val="es-MX" w:eastAsia="en-US"/>
        </w:rPr>
        <w:t xml:space="preserve">4. </w:t>
      </w:r>
      <w:r>
        <w:rPr>
          <w:rFonts w:ascii="Abadi" w:eastAsiaTheme="minorHAnsi" w:hAnsi="Abadi" w:cs="*Arial-4256-Identity-H"/>
          <w:color w:val="15141C"/>
          <w:sz w:val="21"/>
          <w:szCs w:val="21"/>
          <w:lang w:val="es-MX" w:eastAsia="en-US"/>
        </w:rPr>
        <w:t>Planeación del servicio de alumbrado público en el corto plazo.</w:t>
      </w:r>
    </w:p>
    <w:p w14:paraId="08AF8333" w14:textId="77777777" w:rsidR="0019269C" w:rsidRDefault="0019269C" w:rsidP="0019269C">
      <w:pPr>
        <w:autoSpaceDE w:val="0"/>
        <w:autoSpaceDN w:val="0"/>
        <w:adjustRightInd w:val="0"/>
        <w:ind w:left="709"/>
        <w:jc w:val="both"/>
        <w:rPr>
          <w:rFonts w:ascii="Abadi" w:eastAsiaTheme="minorHAnsi" w:hAnsi="Abadi" w:cs="*Arial-4256-Identity-H"/>
          <w:color w:val="15141D"/>
          <w:sz w:val="21"/>
          <w:szCs w:val="21"/>
          <w:lang w:val="es-MX" w:eastAsia="en-US"/>
        </w:rPr>
      </w:pPr>
      <w:r>
        <w:rPr>
          <w:rFonts w:ascii="Abadi" w:eastAsiaTheme="minorHAnsi" w:hAnsi="Abadi" w:cs="*Arial-Bold-4257-Identity-H"/>
          <w:b/>
          <w:bCs/>
          <w:color w:val="15141D"/>
          <w:sz w:val="21"/>
          <w:szCs w:val="21"/>
          <w:lang w:val="es-MX" w:eastAsia="en-US"/>
        </w:rPr>
        <w:t xml:space="preserve">5. </w:t>
      </w:r>
      <w:r>
        <w:rPr>
          <w:rFonts w:ascii="Abadi" w:eastAsiaTheme="minorHAnsi" w:hAnsi="Abadi" w:cs="*Arial-4256-Identity-H"/>
          <w:color w:val="15141D"/>
          <w:sz w:val="21"/>
          <w:szCs w:val="21"/>
          <w:lang w:val="es-MX" w:eastAsia="en-US"/>
        </w:rPr>
        <w:t>Participación ciudadana en el reporte de fallas del servicio.</w:t>
      </w:r>
    </w:p>
    <w:p w14:paraId="5048F0F3" w14:textId="77777777" w:rsidR="0019269C" w:rsidRDefault="0019269C" w:rsidP="0019269C">
      <w:pPr>
        <w:autoSpaceDE w:val="0"/>
        <w:autoSpaceDN w:val="0"/>
        <w:adjustRightInd w:val="0"/>
        <w:jc w:val="both"/>
        <w:rPr>
          <w:rFonts w:ascii="Abadi" w:eastAsiaTheme="minorHAnsi" w:hAnsi="Abadi" w:cs="*Arial-Bold-4257-Identity-H"/>
          <w:b/>
          <w:bCs/>
          <w:color w:val="161420"/>
          <w:sz w:val="21"/>
          <w:szCs w:val="21"/>
          <w:lang w:val="es-MX" w:eastAsia="en-US"/>
        </w:rPr>
      </w:pPr>
    </w:p>
    <w:p w14:paraId="195087AD" w14:textId="77777777" w:rsidR="0019269C" w:rsidRDefault="0019269C" w:rsidP="0019269C">
      <w:pPr>
        <w:autoSpaceDE w:val="0"/>
        <w:autoSpaceDN w:val="0"/>
        <w:adjustRightInd w:val="0"/>
        <w:jc w:val="both"/>
        <w:rPr>
          <w:rFonts w:ascii="Abadi" w:eastAsiaTheme="minorHAnsi" w:hAnsi="Abadi" w:cs="*Arial-Bold-4257-Identity-H"/>
          <w:b/>
          <w:bCs/>
          <w:color w:val="161420"/>
          <w:sz w:val="21"/>
          <w:szCs w:val="21"/>
          <w:lang w:val="es-MX" w:eastAsia="en-US"/>
        </w:rPr>
      </w:pPr>
      <w:r>
        <w:rPr>
          <w:rFonts w:ascii="Abadi" w:eastAsiaTheme="minorHAnsi" w:hAnsi="Abadi" w:cs="*Arial-Bold-4257-Identity-H"/>
          <w:b/>
          <w:bCs/>
          <w:color w:val="161420"/>
          <w:sz w:val="21"/>
          <w:szCs w:val="21"/>
          <w:lang w:val="es-MX" w:eastAsia="en-US"/>
        </w:rPr>
        <w:t>Eficacia:</w:t>
      </w:r>
    </w:p>
    <w:p w14:paraId="4171B2D1" w14:textId="77777777" w:rsidR="0019269C" w:rsidRDefault="0019269C" w:rsidP="0019269C">
      <w:pPr>
        <w:autoSpaceDE w:val="0"/>
        <w:autoSpaceDN w:val="0"/>
        <w:adjustRightInd w:val="0"/>
        <w:jc w:val="both"/>
        <w:rPr>
          <w:rFonts w:ascii="Abadi" w:eastAsiaTheme="minorHAnsi" w:hAnsi="Abadi" w:cs="*Arial-Bold-4257-Identity-H"/>
          <w:b/>
          <w:bCs/>
          <w:color w:val="161420"/>
          <w:sz w:val="21"/>
          <w:szCs w:val="21"/>
          <w:lang w:val="es-MX" w:eastAsia="en-US"/>
        </w:rPr>
      </w:pPr>
    </w:p>
    <w:p w14:paraId="41E5D3E4" w14:textId="77777777" w:rsidR="0019269C" w:rsidRDefault="0019269C" w:rsidP="0019269C">
      <w:pPr>
        <w:autoSpaceDE w:val="0"/>
        <w:autoSpaceDN w:val="0"/>
        <w:adjustRightInd w:val="0"/>
        <w:ind w:left="851"/>
        <w:jc w:val="both"/>
        <w:rPr>
          <w:rFonts w:ascii="Abadi" w:eastAsiaTheme="minorHAnsi" w:hAnsi="Abadi" w:cs="*Arial-4256-Identity-H"/>
          <w:color w:val="15131C"/>
          <w:sz w:val="21"/>
          <w:szCs w:val="21"/>
          <w:lang w:val="es-MX" w:eastAsia="en-US"/>
        </w:rPr>
      </w:pPr>
      <w:r>
        <w:rPr>
          <w:rFonts w:ascii="Abadi" w:eastAsiaTheme="minorHAnsi" w:hAnsi="Abadi" w:cs="*Arial-4256-Identity-H"/>
          <w:b/>
          <w:bCs/>
          <w:color w:val="15131C"/>
          <w:sz w:val="21"/>
          <w:szCs w:val="21"/>
          <w:lang w:val="es-MX" w:eastAsia="en-US"/>
        </w:rPr>
        <w:t>6.</w:t>
      </w:r>
      <w:r>
        <w:rPr>
          <w:rFonts w:ascii="Abadi" w:eastAsiaTheme="minorHAnsi" w:hAnsi="Abadi" w:cs="*Arial-4256-Identity-H"/>
          <w:color w:val="15131C"/>
          <w:sz w:val="21"/>
          <w:szCs w:val="21"/>
          <w:lang w:val="es-MX" w:eastAsia="en-US"/>
        </w:rPr>
        <w:t xml:space="preserve"> Eficacia del servicio de alumbrado público.</w:t>
      </w:r>
    </w:p>
    <w:p w14:paraId="28FEB51C" w14:textId="77777777" w:rsidR="0019269C" w:rsidRDefault="0019269C" w:rsidP="0019269C">
      <w:pPr>
        <w:autoSpaceDE w:val="0"/>
        <w:autoSpaceDN w:val="0"/>
        <w:adjustRightInd w:val="0"/>
        <w:ind w:left="851"/>
        <w:jc w:val="both"/>
        <w:rPr>
          <w:rFonts w:ascii="Abadi" w:eastAsiaTheme="minorHAnsi" w:hAnsi="Abadi" w:cs="*Arial-4256-Identity-H"/>
          <w:color w:val="15141C"/>
          <w:sz w:val="21"/>
          <w:szCs w:val="21"/>
          <w:lang w:val="es-MX" w:eastAsia="en-US"/>
        </w:rPr>
      </w:pPr>
      <w:r>
        <w:rPr>
          <w:rFonts w:ascii="Abadi" w:eastAsiaTheme="minorHAnsi" w:hAnsi="Abadi" w:cs="*Arial-Bold-4257-Identity-H"/>
          <w:b/>
          <w:bCs/>
          <w:color w:val="15141C"/>
          <w:sz w:val="21"/>
          <w:szCs w:val="21"/>
          <w:lang w:val="es-MX" w:eastAsia="en-US"/>
        </w:rPr>
        <w:t xml:space="preserve">7. </w:t>
      </w:r>
      <w:r>
        <w:rPr>
          <w:rFonts w:ascii="Abadi" w:eastAsiaTheme="minorHAnsi" w:hAnsi="Abadi" w:cs="*Arial-4256-Identity-H"/>
          <w:color w:val="15141C"/>
          <w:sz w:val="21"/>
          <w:szCs w:val="21"/>
          <w:lang w:val="es-MX" w:eastAsia="en-US"/>
        </w:rPr>
        <w:t>Monitoreo y evaluación de resultados.</w:t>
      </w:r>
    </w:p>
    <w:p w14:paraId="4E76C07F" w14:textId="77777777" w:rsidR="0019269C" w:rsidRDefault="0019269C" w:rsidP="0019269C">
      <w:pPr>
        <w:autoSpaceDE w:val="0"/>
        <w:autoSpaceDN w:val="0"/>
        <w:adjustRightInd w:val="0"/>
        <w:ind w:firstLine="708"/>
        <w:jc w:val="both"/>
        <w:rPr>
          <w:rFonts w:ascii="Abadi" w:eastAsiaTheme="minorHAnsi" w:hAnsi="Abadi" w:cs="*Arial-4256-Identity-H"/>
          <w:color w:val="15141C"/>
          <w:sz w:val="21"/>
          <w:szCs w:val="21"/>
          <w:lang w:val="es-MX" w:eastAsia="en-US"/>
        </w:rPr>
      </w:pPr>
    </w:p>
    <w:p w14:paraId="3CC3B35C" w14:textId="77777777" w:rsidR="0019269C" w:rsidRDefault="0019269C" w:rsidP="0019269C">
      <w:pPr>
        <w:autoSpaceDE w:val="0"/>
        <w:autoSpaceDN w:val="0"/>
        <w:adjustRightInd w:val="0"/>
        <w:ind w:firstLine="708"/>
        <w:jc w:val="both"/>
        <w:rPr>
          <w:rFonts w:ascii="Abadi" w:eastAsiaTheme="minorHAnsi" w:hAnsi="Abadi" w:cs="*Arial-6470-Identity-H"/>
          <w:color w:val="14131B"/>
          <w:sz w:val="21"/>
          <w:szCs w:val="21"/>
          <w:lang w:val="es-MX" w:eastAsia="en-US"/>
        </w:rPr>
      </w:pPr>
      <w:r>
        <w:rPr>
          <w:rFonts w:ascii="Abadi" w:eastAsiaTheme="minorHAnsi" w:hAnsi="Abadi" w:cs="*Arial-6470-Identity-H"/>
          <w:color w:val="14131B"/>
          <w:sz w:val="21"/>
          <w:szCs w:val="21"/>
          <w:lang w:val="es-MX" w:eastAsia="en-US"/>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3AC4A77D" w14:textId="77777777" w:rsidR="0019269C" w:rsidRDefault="0019269C" w:rsidP="0019269C">
      <w:pPr>
        <w:autoSpaceDE w:val="0"/>
        <w:autoSpaceDN w:val="0"/>
        <w:adjustRightInd w:val="0"/>
        <w:ind w:firstLine="708"/>
        <w:jc w:val="both"/>
        <w:rPr>
          <w:rFonts w:ascii="Abadi" w:eastAsiaTheme="minorHAnsi" w:hAnsi="Abadi" w:cs="*Arial-6470-Identity-H"/>
          <w:color w:val="14131B"/>
          <w:sz w:val="21"/>
          <w:szCs w:val="21"/>
          <w:lang w:val="es-MX" w:eastAsia="en-US"/>
        </w:rPr>
      </w:pPr>
    </w:p>
    <w:p w14:paraId="255A42CC" w14:textId="77777777" w:rsidR="0019269C" w:rsidRDefault="0019269C" w:rsidP="0019269C">
      <w:pPr>
        <w:autoSpaceDE w:val="0"/>
        <w:autoSpaceDN w:val="0"/>
        <w:adjustRightInd w:val="0"/>
        <w:ind w:firstLine="708"/>
        <w:jc w:val="both"/>
        <w:rPr>
          <w:rFonts w:ascii="Abadi" w:eastAsiaTheme="minorHAnsi" w:hAnsi="Abadi" w:cs="*Arial-6470-Identity-H"/>
          <w:color w:val="14131C"/>
          <w:sz w:val="21"/>
          <w:szCs w:val="21"/>
          <w:lang w:val="es-MX" w:eastAsia="en-US"/>
        </w:rPr>
      </w:pPr>
      <w:r>
        <w:rPr>
          <w:rFonts w:ascii="Abadi" w:eastAsiaTheme="minorHAnsi" w:hAnsi="Abadi" w:cs="*Arial-6470-Identity-H"/>
          <w:color w:val="14131C"/>
          <w:sz w:val="21"/>
          <w:szCs w:val="21"/>
          <w:lang w:val="es-MX" w:eastAsia="en-US"/>
        </w:rPr>
        <w:t>Derivado de lo anterior, se formulan los resultados y recomendaciones contenidos en los rubros de Eficiencia y Eficacia.</w:t>
      </w:r>
    </w:p>
    <w:p w14:paraId="12C16487" w14:textId="77777777" w:rsidR="0019269C" w:rsidRDefault="0019269C" w:rsidP="0019269C">
      <w:pPr>
        <w:autoSpaceDE w:val="0"/>
        <w:autoSpaceDN w:val="0"/>
        <w:adjustRightInd w:val="0"/>
        <w:jc w:val="both"/>
        <w:rPr>
          <w:rFonts w:ascii="Abadi" w:eastAsiaTheme="minorHAnsi" w:hAnsi="Abadi" w:cs="*Arial-6470-Identity-H"/>
          <w:color w:val="14131C"/>
          <w:sz w:val="21"/>
          <w:szCs w:val="21"/>
          <w:lang w:val="es-MX" w:eastAsia="en-US"/>
        </w:rPr>
      </w:pPr>
    </w:p>
    <w:p w14:paraId="203A4F69" w14:textId="77777777" w:rsidR="0019269C" w:rsidRDefault="0019269C" w:rsidP="0019269C">
      <w:pPr>
        <w:autoSpaceDE w:val="0"/>
        <w:autoSpaceDN w:val="0"/>
        <w:adjustRightInd w:val="0"/>
        <w:ind w:firstLine="708"/>
        <w:jc w:val="both"/>
        <w:rPr>
          <w:rFonts w:ascii="Abadi" w:eastAsiaTheme="minorHAnsi" w:hAnsi="Abadi" w:cs="*Arial-6470-Identity-H"/>
          <w:color w:val="14131B"/>
          <w:sz w:val="21"/>
          <w:szCs w:val="21"/>
          <w:lang w:val="es-MX" w:eastAsia="en-US"/>
        </w:rPr>
      </w:pPr>
      <w:r>
        <w:rPr>
          <w:rFonts w:ascii="Abadi" w:eastAsiaTheme="minorHAnsi" w:hAnsi="Abadi" w:cs="*Arial-6470-Identity-H"/>
          <w:color w:val="14131B"/>
          <w:sz w:val="21"/>
          <w:szCs w:val="21"/>
          <w:lang w:val="es-MX" w:eastAsia="en-US"/>
        </w:rPr>
        <w:t>En tal sentido, en el rubro de Eficiencia, se formularon las recomendaciones plasmadas en los puntos 01 y 02 del resultado número 1, referente a oferta del servicio de alumbrado público; 03 y 04 del resultado número 2, correspondiente a presupuestación del servicio de alumbrado público; 05 y 06 del resultado número 3, relativo a marco normativo para la prestación del servicio; 07 del resultado número 4, referido a planeación del servicio de alumbrado público en el corto plazo; y 08 del resultado número 5, referente a participación ciudadana en el reporte de fallas del servicio. En el apartado de Eficacia, se formularon las recomendaciones consignadas en los puntos 09 y 10 del resultado número 6, correspondiente a eficacia del servicio de alumbrado público; y 11 del resultado número 7, relativo a monitoreo y evaluación de los resultados.</w:t>
      </w:r>
    </w:p>
    <w:p w14:paraId="780523BE" w14:textId="77777777" w:rsidR="0019269C" w:rsidRDefault="0019269C" w:rsidP="0019269C">
      <w:pPr>
        <w:autoSpaceDE w:val="0"/>
        <w:autoSpaceDN w:val="0"/>
        <w:adjustRightInd w:val="0"/>
        <w:jc w:val="both"/>
        <w:rPr>
          <w:rFonts w:ascii="Abadi" w:eastAsiaTheme="minorHAnsi" w:hAnsi="Abadi" w:cs="*Arial-6470-Identity-H"/>
          <w:color w:val="14131B"/>
          <w:sz w:val="21"/>
          <w:szCs w:val="21"/>
          <w:lang w:val="es-MX" w:eastAsia="en-US"/>
        </w:rPr>
      </w:pPr>
    </w:p>
    <w:p w14:paraId="78391D7E" w14:textId="77777777" w:rsidR="0019269C" w:rsidRDefault="0019269C" w:rsidP="0019269C">
      <w:pPr>
        <w:autoSpaceDE w:val="0"/>
        <w:autoSpaceDN w:val="0"/>
        <w:adjustRightInd w:val="0"/>
        <w:ind w:firstLine="708"/>
        <w:jc w:val="both"/>
        <w:rPr>
          <w:rFonts w:ascii="Abadi" w:eastAsiaTheme="minorHAnsi" w:hAnsi="Abadi" w:cs="*Arial-6470-Identity-H"/>
          <w:color w:val="14141B"/>
          <w:sz w:val="21"/>
          <w:szCs w:val="21"/>
          <w:lang w:val="es-MX" w:eastAsia="en-US"/>
        </w:rPr>
      </w:pPr>
      <w:r>
        <w:rPr>
          <w:rFonts w:ascii="Abadi" w:eastAsiaTheme="minorHAnsi" w:hAnsi="Abadi" w:cs="*Arial-6470-Identity-H"/>
          <w:color w:val="14141B"/>
          <w:sz w:val="21"/>
          <w:szCs w:val="21"/>
          <w:lang w:val="es-MX" w:eastAsia="en-US"/>
        </w:rPr>
        <w:t xml:space="preserve">Finalmente, se establece un apartado denominado </w:t>
      </w:r>
      <w:r>
        <w:rPr>
          <w:rFonts w:ascii="Abadi" w:eastAsiaTheme="minorHAnsi" w:hAnsi="Abadi" w:cs="*Arial-Italic-6471-Identity-H"/>
          <w:i/>
          <w:iCs/>
          <w:color w:val="14141B"/>
          <w:sz w:val="21"/>
          <w:szCs w:val="21"/>
          <w:lang w:val="es-MX" w:eastAsia="en-US"/>
        </w:rPr>
        <w:t>Cuestiones clave de la a</w:t>
      </w:r>
      <w:r>
        <w:rPr>
          <w:rFonts w:ascii="Abadi" w:eastAsiaTheme="minorHAnsi" w:hAnsi="Abadi" w:cs="*Arial-Italic-6471-Identity-H"/>
          <w:i/>
          <w:iCs/>
          <w:color w:val="9D9D9D"/>
          <w:sz w:val="21"/>
          <w:szCs w:val="21"/>
          <w:lang w:val="es-MX" w:eastAsia="en-US"/>
        </w:rPr>
        <w:t>u</w:t>
      </w:r>
      <w:r>
        <w:rPr>
          <w:rFonts w:ascii="Abadi" w:eastAsiaTheme="minorHAnsi" w:hAnsi="Abadi" w:cs="*Arial-Italic-6471-Identity-H"/>
          <w:i/>
          <w:iCs/>
          <w:color w:val="14141B"/>
          <w:sz w:val="21"/>
          <w:szCs w:val="21"/>
          <w:lang w:val="es-MX" w:eastAsia="en-US"/>
        </w:rPr>
        <w:t xml:space="preserve">ditoria en contexto de la pandemia del virus SARS-CoV2 </w:t>
      </w:r>
      <w:r>
        <w:rPr>
          <w:rFonts w:ascii="Abadi" w:eastAsiaTheme="minorHAnsi" w:hAnsi="Abadi" w:cs="*Arial-6470-Identity-H"/>
          <w:color w:val="14141B"/>
          <w:sz w:val="21"/>
          <w:szCs w:val="21"/>
          <w:lang w:val="es-MX" w:eastAsia="en-US"/>
        </w:rPr>
        <w:t xml:space="preserve">en el que se señala que con motivo de la emergencia sanitaria provocada por dicha pandemia y en atención a diversas disposiciones en salud pública emitidas por las autoridades federales y estatales competentes en la materia, se generaron cambios en el desarrollo de los asuntos competencia de la Auditoría Superior del Estado de Guanajuato, atendiendo al </w:t>
      </w:r>
      <w:r>
        <w:rPr>
          <w:rFonts w:ascii="Abadi" w:eastAsiaTheme="minorHAnsi" w:hAnsi="Abadi" w:cs="*Arial-Italic-6471-Identity-H"/>
          <w:i/>
          <w:iCs/>
          <w:color w:val="14141B"/>
          <w:sz w:val="21"/>
          <w:szCs w:val="21"/>
          <w:lang w:val="es-MX" w:eastAsia="en-US"/>
        </w:rPr>
        <w:t xml:space="preserve">Acuerdo relativo al trabajo </w:t>
      </w:r>
      <w:r>
        <w:rPr>
          <w:rFonts w:ascii="Abadi" w:eastAsiaTheme="minorHAnsi" w:hAnsi="Abadi" w:cs="*Arial-6470-Identity-H"/>
          <w:color w:val="14141B"/>
          <w:sz w:val="21"/>
          <w:szCs w:val="21"/>
          <w:lang w:val="es-MX" w:eastAsia="en-US"/>
        </w:rPr>
        <w:t xml:space="preserve">a </w:t>
      </w:r>
      <w:r>
        <w:rPr>
          <w:rFonts w:ascii="Abadi" w:eastAsiaTheme="minorHAnsi" w:hAnsi="Abadi" w:cs="*Arial-Italic-6471-Identity-H"/>
          <w:i/>
          <w:iCs/>
          <w:color w:val="14141B"/>
          <w:sz w:val="21"/>
          <w:szCs w:val="21"/>
          <w:lang w:val="es-MX" w:eastAsia="en-US"/>
        </w:rPr>
        <w:t xml:space="preserve">distancia </w:t>
      </w:r>
      <w:r>
        <w:rPr>
          <w:rFonts w:ascii="Abadi" w:eastAsiaTheme="minorHAnsi" w:hAnsi="Abadi" w:cs="*Arial-6470-Identity-H"/>
          <w:color w:val="14141B"/>
          <w:sz w:val="21"/>
          <w:szCs w:val="21"/>
          <w:lang w:val="es-MX" w:eastAsia="en-US"/>
        </w:rPr>
        <w:t>de fecha 17 de marzo de 2020 y su décimo sexto acuerdo modificatorio, aprovechando las herramientas tecnológicas de que dispone, así como la colaboración de los sujetos de fiscalización.</w:t>
      </w:r>
    </w:p>
    <w:p w14:paraId="422D5326" w14:textId="77777777" w:rsidR="0019269C" w:rsidRDefault="0019269C" w:rsidP="0019269C">
      <w:pPr>
        <w:autoSpaceDE w:val="0"/>
        <w:autoSpaceDN w:val="0"/>
        <w:adjustRightInd w:val="0"/>
        <w:jc w:val="both"/>
        <w:rPr>
          <w:rFonts w:ascii="Abadi" w:eastAsiaTheme="minorHAnsi" w:hAnsi="Abadi" w:cs="*Arial-6470-Identity-H"/>
          <w:color w:val="14141B"/>
          <w:sz w:val="21"/>
          <w:szCs w:val="21"/>
          <w:lang w:val="es-MX" w:eastAsia="en-US"/>
        </w:rPr>
      </w:pPr>
    </w:p>
    <w:p w14:paraId="5FDBB3B1" w14:textId="77777777" w:rsidR="0019269C" w:rsidRDefault="0019269C" w:rsidP="0019269C">
      <w:pPr>
        <w:autoSpaceDE w:val="0"/>
        <w:autoSpaceDN w:val="0"/>
        <w:adjustRightInd w:val="0"/>
        <w:ind w:firstLine="708"/>
        <w:jc w:val="both"/>
        <w:rPr>
          <w:rFonts w:ascii="Abadi" w:eastAsiaTheme="minorHAnsi" w:hAnsi="Abadi" w:cs="*Arial-6470-Identity-H"/>
          <w:color w:val="14131C"/>
          <w:sz w:val="21"/>
          <w:szCs w:val="21"/>
          <w:lang w:val="es-MX" w:eastAsia="en-US"/>
        </w:rPr>
      </w:pPr>
      <w:r>
        <w:rPr>
          <w:rFonts w:ascii="Abadi" w:eastAsiaTheme="minorHAnsi" w:hAnsi="Abadi" w:cs="*Arial-6470-Identity-H"/>
          <w:color w:val="14131C"/>
          <w:sz w:val="21"/>
          <w:szCs w:val="21"/>
          <w:lang w:val="es-MX" w:eastAsia="en-US"/>
        </w:rPr>
        <w:t>Es así, que si bien, el proceso de fiscalización ha continuado observando las medidas de confinamiento que las autoridades de salud han determinado y con el uso de las tecnologías de la información, por la propia naturaleza de la pandemia se generaron limitantes en la aplicación de los procedimientos de auditoría.</w:t>
      </w:r>
    </w:p>
    <w:p w14:paraId="562C6BE5" w14:textId="77777777" w:rsidR="0019269C" w:rsidRDefault="0019269C" w:rsidP="0019269C">
      <w:pPr>
        <w:autoSpaceDE w:val="0"/>
        <w:autoSpaceDN w:val="0"/>
        <w:adjustRightInd w:val="0"/>
        <w:ind w:firstLine="708"/>
        <w:jc w:val="both"/>
        <w:rPr>
          <w:rFonts w:ascii="Abadi" w:eastAsiaTheme="minorHAnsi" w:hAnsi="Abadi" w:cs="*Arial-6470-Identity-H"/>
          <w:color w:val="14131B"/>
          <w:sz w:val="21"/>
          <w:szCs w:val="21"/>
          <w:lang w:val="es-MX" w:eastAsia="en-US"/>
        </w:rPr>
      </w:pPr>
      <w:r>
        <w:rPr>
          <w:rFonts w:ascii="Abadi" w:eastAsiaTheme="minorHAnsi" w:hAnsi="Abadi" w:cs="*Arial-6470-Identity-H"/>
          <w:color w:val="14131B"/>
          <w:sz w:val="21"/>
          <w:szCs w:val="21"/>
          <w:lang w:val="es-MX" w:eastAsia="en-US"/>
        </w:rPr>
        <w:t>En tal sentido se priorizó el enfoque de derechos humanos, velando por la protección del derecho humano a la salud, respetando las limitaciones y restricciones a los derechos humanos establecidas en la propia Constitución.</w:t>
      </w:r>
    </w:p>
    <w:p w14:paraId="013403AA" w14:textId="77777777" w:rsidR="0019269C" w:rsidRDefault="0019269C" w:rsidP="0019269C">
      <w:pPr>
        <w:autoSpaceDE w:val="0"/>
        <w:autoSpaceDN w:val="0"/>
        <w:adjustRightInd w:val="0"/>
        <w:ind w:firstLine="708"/>
        <w:jc w:val="both"/>
        <w:rPr>
          <w:rFonts w:ascii="Abadi" w:eastAsiaTheme="minorHAnsi" w:hAnsi="Abadi" w:cs="*Arial-6470-Identity-H"/>
          <w:color w:val="14131B"/>
          <w:sz w:val="21"/>
          <w:szCs w:val="21"/>
          <w:lang w:val="es-MX" w:eastAsia="en-US"/>
        </w:rPr>
      </w:pPr>
    </w:p>
    <w:p w14:paraId="437D5192" w14:textId="77777777" w:rsidR="0019269C" w:rsidRDefault="0019269C" w:rsidP="0019269C">
      <w:pPr>
        <w:autoSpaceDE w:val="0"/>
        <w:autoSpaceDN w:val="0"/>
        <w:adjustRightInd w:val="0"/>
        <w:ind w:firstLine="708"/>
        <w:jc w:val="both"/>
        <w:rPr>
          <w:rFonts w:ascii="Abadi" w:eastAsiaTheme="minorHAnsi" w:hAnsi="Abadi" w:cs="*Arial-Bold-5478-Identity-H"/>
          <w:b/>
          <w:bCs/>
          <w:color w:val="14131E"/>
          <w:sz w:val="21"/>
          <w:szCs w:val="21"/>
          <w:lang w:val="es-MX" w:eastAsia="en-US"/>
        </w:rPr>
      </w:pPr>
      <w:r>
        <w:rPr>
          <w:rFonts w:ascii="Abadi" w:eastAsiaTheme="minorHAnsi" w:hAnsi="Abadi" w:cs="*Arial-Bold-5478-Identity-H"/>
          <w:b/>
          <w:bCs/>
          <w:color w:val="14131E"/>
          <w:sz w:val="21"/>
          <w:szCs w:val="21"/>
          <w:lang w:val="es-MX" w:eastAsia="en-US"/>
        </w:rPr>
        <w:t>c) Resumen de las recomendaciones.</w:t>
      </w:r>
    </w:p>
    <w:p w14:paraId="39AF2C73" w14:textId="77777777" w:rsidR="0019269C" w:rsidRDefault="0019269C" w:rsidP="0019269C">
      <w:pPr>
        <w:autoSpaceDE w:val="0"/>
        <w:autoSpaceDN w:val="0"/>
        <w:adjustRightInd w:val="0"/>
        <w:jc w:val="both"/>
        <w:rPr>
          <w:rFonts w:ascii="Abadi" w:eastAsiaTheme="minorHAnsi" w:hAnsi="Abadi" w:cs="*Arial-5479-Identity-H"/>
          <w:color w:val="18181E"/>
          <w:sz w:val="21"/>
          <w:szCs w:val="21"/>
          <w:lang w:val="es-MX" w:eastAsia="en-US"/>
        </w:rPr>
      </w:pPr>
    </w:p>
    <w:p w14:paraId="104917FD" w14:textId="77777777" w:rsidR="0019269C" w:rsidRDefault="0019269C" w:rsidP="0019269C">
      <w:pPr>
        <w:autoSpaceDE w:val="0"/>
        <w:autoSpaceDN w:val="0"/>
        <w:adjustRightInd w:val="0"/>
        <w:ind w:firstLine="708"/>
        <w:jc w:val="both"/>
        <w:rPr>
          <w:rFonts w:ascii="Abadi" w:eastAsiaTheme="minorHAnsi" w:hAnsi="Abadi" w:cs="*Arial-5477-Identity-H"/>
          <w:color w:val="14131C"/>
          <w:sz w:val="21"/>
          <w:szCs w:val="21"/>
          <w:lang w:val="es-MX" w:eastAsia="en-US"/>
        </w:rPr>
      </w:pPr>
      <w:r>
        <w:rPr>
          <w:rFonts w:ascii="Abadi" w:eastAsiaTheme="minorHAnsi" w:hAnsi="Abadi" w:cs="*Arial-5477-Identity-H"/>
          <w:color w:val="14131C"/>
          <w:sz w:val="21"/>
          <w:szCs w:val="21"/>
          <w:lang w:val="es-MX" w:eastAsia="en-US"/>
        </w:rPr>
        <w:t>En este punto se establece un resumen exclusivamente de los resultados que generaron recomendación producto de un área de oportunidad o mejora sugerida por el Órgano Técnico, mismos se clasifican agrupados bajo su respectiva vertiente, con su síntesis de la valoración efectuada, precisando que en las 11 recomendaciones formuladas persistió lo recomendado, en razón de que el sujeto fiscalizado no dio respuesta al pliego de recomendaciones. A dichas recomendaciones dará seguimiento el Órgano Técnico en la etapa correspondiente, de conformidad con el ordenamiento legal respectivo.</w:t>
      </w:r>
    </w:p>
    <w:p w14:paraId="5F2A0113" w14:textId="77777777" w:rsidR="0019269C" w:rsidRDefault="0019269C" w:rsidP="0019269C">
      <w:pPr>
        <w:autoSpaceDE w:val="0"/>
        <w:autoSpaceDN w:val="0"/>
        <w:adjustRightInd w:val="0"/>
        <w:jc w:val="both"/>
        <w:rPr>
          <w:rFonts w:ascii="Abadi" w:eastAsiaTheme="minorHAnsi" w:hAnsi="Abadi" w:cs="*Arial-Bold-5478-Identity-H"/>
          <w:b/>
          <w:bCs/>
          <w:color w:val="14121F"/>
          <w:sz w:val="21"/>
          <w:szCs w:val="21"/>
          <w:lang w:val="es-MX" w:eastAsia="en-US"/>
        </w:rPr>
      </w:pPr>
    </w:p>
    <w:p w14:paraId="697830A2" w14:textId="77777777" w:rsidR="0019269C" w:rsidRDefault="0019269C" w:rsidP="0019269C">
      <w:pPr>
        <w:autoSpaceDE w:val="0"/>
        <w:autoSpaceDN w:val="0"/>
        <w:adjustRightInd w:val="0"/>
        <w:ind w:firstLine="708"/>
        <w:jc w:val="both"/>
        <w:rPr>
          <w:rFonts w:ascii="Abadi" w:eastAsiaTheme="minorHAnsi" w:hAnsi="Abadi" w:cs="*Arial-Bold-5478-Identity-H"/>
          <w:b/>
          <w:bCs/>
          <w:color w:val="14121F"/>
          <w:sz w:val="21"/>
          <w:szCs w:val="21"/>
          <w:lang w:val="es-MX" w:eastAsia="en-US"/>
        </w:rPr>
      </w:pPr>
      <w:r>
        <w:rPr>
          <w:rFonts w:ascii="Abadi" w:eastAsiaTheme="minorHAnsi" w:hAnsi="Abadi" w:cs="*Arial-Bold-5478-Identity-H"/>
          <w:b/>
          <w:bCs/>
          <w:color w:val="14121F"/>
          <w:sz w:val="21"/>
          <w:szCs w:val="21"/>
          <w:lang w:val="es-MX" w:eastAsia="en-US"/>
        </w:rPr>
        <w:t>d) Conclusión General.</w:t>
      </w:r>
    </w:p>
    <w:p w14:paraId="42EEA4EC" w14:textId="77777777" w:rsidR="0019269C" w:rsidRDefault="0019269C" w:rsidP="0019269C">
      <w:pPr>
        <w:autoSpaceDE w:val="0"/>
        <w:autoSpaceDN w:val="0"/>
        <w:adjustRightInd w:val="0"/>
        <w:jc w:val="both"/>
        <w:rPr>
          <w:rFonts w:ascii="Abadi" w:eastAsiaTheme="minorHAnsi" w:hAnsi="Abadi" w:cs="*Arial-Bold-5478-Identity-H"/>
          <w:b/>
          <w:bCs/>
          <w:color w:val="14121F"/>
          <w:sz w:val="21"/>
          <w:szCs w:val="21"/>
          <w:lang w:val="es-MX" w:eastAsia="en-US"/>
        </w:rPr>
      </w:pPr>
    </w:p>
    <w:p w14:paraId="5839C50E" w14:textId="77777777" w:rsidR="0019269C" w:rsidRDefault="0019269C" w:rsidP="0019269C">
      <w:pPr>
        <w:autoSpaceDE w:val="0"/>
        <w:autoSpaceDN w:val="0"/>
        <w:adjustRightInd w:val="0"/>
        <w:ind w:firstLine="708"/>
        <w:jc w:val="both"/>
        <w:rPr>
          <w:rFonts w:ascii="Abadi" w:eastAsiaTheme="minorHAnsi" w:hAnsi="Abadi" w:cs="*Arial-5477-Identity-H"/>
          <w:color w:val="14131B"/>
          <w:sz w:val="21"/>
          <w:szCs w:val="21"/>
          <w:lang w:val="es-MX" w:eastAsia="en-US"/>
        </w:rPr>
      </w:pPr>
      <w:r>
        <w:rPr>
          <w:rFonts w:ascii="Abadi" w:eastAsiaTheme="minorHAnsi" w:hAnsi="Abadi" w:cs="*Arial-5477-Identity-H"/>
          <w:color w:val="14131B"/>
          <w:sz w:val="21"/>
          <w:szCs w:val="21"/>
          <w:lang w:val="es-MX" w:eastAsia="en-US"/>
        </w:rPr>
        <w:t>La Auditoría Superior del Estado concluyó que los servicios públicos se pueden entender como toda prestación concreta que tienda a satisfacer, de manera regular, continua y uniforme, las necesidades sociales de carácter general, básico o fundamental, en beneficio indiscriminado de toda la ciudadanía. De su adecuada prestación depende, en cierta medida, la calidad de vida de las personas.</w:t>
      </w:r>
    </w:p>
    <w:p w14:paraId="3B498353" w14:textId="77777777" w:rsidR="0019269C" w:rsidRDefault="0019269C" w:rsidP="0019269C">
      <w:pPr>
        <w:autoSpaceDE w:val="0"/>
        <w:autoSpaceDN w:val="0"/>
        <w:adjustRightInd w:val="0"/>
        <w:jc w:val="both"/>
        <w:rPr>
          <w:rFonts w:ascii="Abadi" w:eastAsiaTheme="minorHAnsi" w:hAnsi="Abadi" w:cs="*Arial-5477-Identity-H"/>
          <w:color w:val="14131B"/>
          <w:sz w:val="21"/>
          <w:szCs w:val="21"/>
          <w:lang w:val="es-MX" w:eastAsia="en-US"/>
        </w:rPr>
      </w:pPr>
    </w:p>
    <w:p w14:paraId="0E3FEDCF" w14:textId="77777777" w:rsidR="0019269C" w:rsidRDefault="0019269C" w:rsidP="0019269C">
      <w:pPr>
        <w:autoSpaceDE w:val="0"/>
        <w:autoSpaceDN w:val="0"/>
        <w:adjustRightInd w:val="0"/>
        <w:ind w:firstLine="708"/>
        <w:jc w:val="both"/>
        <w:rPr>
          <w:rFonts w:ascii="Abadi" w:eastAsiaTheme="minorHAnsi" w:hAnsi="Abadi" w:cs="*Arial-5477-Identity-H"/>
          <w:color w:val="14131B"/>
          <w:sz w:val="21"/>
          <w:szCs w:val="21"/>
          <w:lang w:val="es-MX" w:eastAsia="en-US"/>
        </w:rPr>
      </w:pPr>
      <w:r>
        <w:rPr>
          <w:rFonts w:ascii="Abadi" w:eastAsiaTheme="minorHAnsi" w:hAnsi="Abadi" w:cs="*Arial-5477-Identity-H"/>
          <w:color w:val="14131B"/>
          <w:sz w:val="21"/>
          <w:szCs w:val="21"/>
          <w:lang w:val="es-MX" w:eastAsia="en-US"/>
        </w:rPr>
        <w:t>De igual forma, se refiere que el artículo 115, fracción III, inciso b, de la Constitución Política de los Estados Unidos Mexicanos establece al alumbrado público como uno de los servicios públicos que los municipios tienen a su cargo. Por su parte, a nivel local, en el artículo 117 de la Constitución Política para el Estado de Guanajuato se dispone la misma responsabilidad para este ámbito de gobierno.</w:t>
      </w:r>
    </w:p>
    <w:p w14:paraId="4592CBD5" w14:textId="77777777" w:rsidR="0019269C" w:rsidRDefault="0019269C" w:rsidP="0019269C">
      <w:pPr>
        <w:autoSpaceDE w:val="0"/>
        <w:autoSpaceDN w:val="0"/>
        <w:adjustRightInd w:val="0"/>
        <w:jc w:val="both"/>
        <w:rPr>
          <w:rFonts w:ascii="Abadi" w:eastAsiaTheme="minorHAnsi" w:hAnsi="Abadi" w:cs="*Arial-5477-Identity-H"/>
          <w:color w:val="14131B"/>
          <w:sz w:val="21"/>
          <w:szCs w:val="21"/>
          <w:lang w:val="es-MX" w:eastAsia="en-US"/>
        </w:rPr>
      </w:pPr>
    </w:p>
    <w:p w14:paraId="2BA2759C" w14:textId="77777777" w:rsidR="0019269C" w:rsidRDefault="0019269C" w:rsidP="0019269C">
      <w:pPr>
        <w:autoSpaceDE w:val="0"/>
        <w:autoSpaceDN w:val="0"/>
        <w:adjustRightInd w:val="0"/>
        <w:ind w:firstLine="708"/>
        <w:jc w:val="both"/>
        <w:rPr>
          <w:rFonts w:ascii="Abadi" w:eastAsiaTheme="minorHAnsi" w:hAnsi="Abadi" w:cs="*Arial-5477-Identity-H"/>
          <w:color w:val="14131B"/>
          <w:sz w:val="21"/>
          <w:szCs w:val="21"/>
          <w:lang w:val="es-MX" w:eastAsia="en-US"/>
        </w:rPr>
      </w:pPr>
      <w:r>
        <w:rPr>
          <w:rFonts w:ascii="Abadi" w:eastAsiaTheme="minorHAnsi" w:hAnsi="Abadi" w:cs="*Arial-5477-Identity-H"/>
          <w:color w:val="14131B"/>
          <w:sz w:val="21"/>
          <w:szCs w:val="21"/>
          <w:lang w:val="es-MX" w:eastAsia="en-US"/>
        </w:rPr>
        <w:t>En este sentido, el alumbrado público es un servIcI0 que tiene como objetivo el desarrollo de un entorno cómodo y seguro para facilitar la movilidad de la población, el disfrute de la ciudad, del patrimonio cultural y de los espacios públicos; a su vez, mantiene una estrecha relación con la creación de condiciones de seguridad en la vida cotidiana de la población, esto último por considerase un factor que contribuye a reducir la percepción de inseguridad.</w:t>
      </w:r>
    </w:p>
    <w:p w14:paraId="1286A33D" w14:textId="77777777" w:rsidR="0019269C" w:rsidRDefault="0019269C" w:rsidP="0019269C">
      <w:pPr>
        <w:autoSpaceDE w:val="0"/>
        <w:autoSpaceDN w:val="0"/>
        <w:adjustRightInd w:val="0"/>
        <w:jc w:val="both"/>
        <w:rPr>
          <w:rFonts w:ascii="Abadi" w:eastAsiaTheme="minorHAnsi" w:hAnsi="Abadi" w:cs="*Arial-5477-Identity-H"/>
          <w:color w:val="14131B"/>
          <w:sz w:val="21"/>
          <w:szCs w:val="21"/>
          <w:lang w:val="es-MX" w:eastAsia="en-US"/>
        </w:rPr>
      </w:pPr>
      <w:r>
        <w:rPr>
          <w:rFonts w:ascii="Abadi" w:eastAsiaTheme="minorHAnsi" w:hAnsi="Abadi" w:cs="*Arial-5477-Identity-H"/>
          <w:color w:val="14131B"/>
          <w:sz w:val="21"/>
          <w:szCs w:val="21"/>
          <w:lang w:val="es-MX" w:eastAsia="en-US"/>
        </w:rPr>
        <w:t xml:space="preserve"> </w:t>
      </w:r>
    </w:p>
    <w:p w14:paraId="52310C2A" w14:textId="77777777" w:rsidR="0019269C" w:rsidRDefault="0019269C" w:rsidP="0019269C">
      <w:pPr>
        <w:autoSpaceDE w:val="0"/>
        <w:autoSpaceDN w:val="0"/>
        <w:adjustRightInd w:val="0"/>
        <w:ind w:firstLine="708"/>
        <w:jc w:val="both"/>
        <w:rPr>
          <w:rFonts w:ascii="Abadi" w:eastAsiaTheme="minorHAnsi" w:hAnsi="Abadi" w:cs="*Arial-5477-Identity-H"/>
          <w:color w:val="14131B"/>
          <w:sz w:val="21"/>
          <w:szCs w:val="21"/>
          <w:lang w:val="es-MX" w:eastAsia="en-US"/>
        </w:rPr>
      </w:pPr>
      <w:r>
        <w:rPr>
          <w:rFonts w:ascii="Abadi" w:eastAsiaTheme="minorHAnsi" w:hAnsi="Abadi" w:cs="*Arial-5477-Identity-H"/>
          <w:color w:val="14131B"/>
          <w:sz w:val="21"/>
          <w:szCs w:val="21"/>
          <w:lang w:val="es-MX" w:eastAsia="en-US"/>
        </w:rPr>
        <w:t>Derivado de lo anterior, el adecuado desempeño de los servicios públicos incide en la calidad de vida de los habitantes y, por ello, es conveniente que se administre bajo modelos de gestión orientados a los resultados que garanticen su adecuada operación, permanencia, continuidad, uniformidad e igualdad ante los usuarios, asegurando una cobertura integral y una oferta al alcance de la población municipal que lo requiera.</w:t>
      </w:r>
    </w:p>
    <w:p w14:paraId="3EAC7928" w14:textId="77777777" w:rsidR="0019269C" w:rsidRDefault="0019269C" w:rsidP="0019269C">
      <w:pPr>
        <w:autoSpaceDE w:val="0"/>
        <w:autoSpaceDN w:val="0"/>
        <w:adjustRightInd w:val="0"/>
        <w:ind w:firstLine="708"/>
        <w:jc w:val="both"/>
        <w:rPr>
          <w:rFonts w:ascii="Abadi" w:eastAsiaTheme="minorHAnsi" w:hAnsi="Abadi" w:cs="*Arial-5477-Identity-H"/>
          <w:color w:val="14131B"/>
          <w:sz w:val="21"/>
          <w:szCs w:val="21"/>
          <w:lang w:val="es-MX" w:eastAsia="en-US"/>
        </w:rPr>
      </w:pPr>
    </w:p>
    <w:p w14:paraId="79B0BB76" w14:textId="77777777" w:rsidR="0019269C" w:rsidRDefault="0019269C" w:rsidP="0019269C">
      <w:pPr>
        <w:autoSpaceDE w:val="0"/>
        <w:autoSpaceDN w:val="0"/>
        <w:adjustRightInd w:val="0"/>
        <w:ind w:firstLine="708"/>
        <w:jc w:val="both"/>
        <w:rPr>
          <w:rFonts w:ascii="Abadi" w:eastAsiaTheme="minorHAnsi" w:hAnsi="Abadi" w:cs="*Arial-5157-Identity-H"/>
          <w:color w:val="14131B"/>
          <w:sz w:val="21"/>
          <w:szCs w:val="21"/>
          <w:lang w:val="es-MX" w:eastAsia="en-US"/>
        </w:rPr>
      </w:pPr>
      <w:r>
        <w:rPr>
          <w:rFonts w:ascii="Abadi" w:eastAsiaTheme="minorHAnsi" w:hAnsi="Abadi" w:cs="*Arial-5157-Identity-H"/>
          <w:color w:val="14131B"/>
          <w:sz w:val="21"/>
          <w:szCs w:val="21"/>
          <w:lang w:val="es-MX" w:eastAsia="en-US"/>
        </w:rPr>
        <w:t>Es así que en el caso que nos ocupa, se definió el objetivo general de la auditoría con el propósito de verificar la capacidad del municipio de Apaseo el Alto, Gto., para lograr una prestación eficaz del servicio de alumbrado público a su población, así como de conocer si las funciones de planificación, operación y seguimiento se desarrollaron bajo el principio de eficiencia, ya que de ello depende el grado de satisfacción de la comunidad.</w:t>
      </w:r>
    </w:p>
    <w:p w14:paraId="0C148619" w14:textId="77777777" w:rsidR="0019269C" w:rsidRDefault="0019269C" w:rsidP="0019269C">
      <w:pPr>
        <w:autoSpaceDE w:val="0"/>
        <w:autoSpaceDN w:val="0"/>
        <w:adjustRightInd w:val="0"/>
        <w:jc w:val="both"/>
        <w:rPr>
          <w:rFonts w:ascii="Abadi" w:eastAsiaTheme="minorHAnsi" w:hAnsi="Abadi" w:cs="*Arial-5157-Identity-H"/>
          <w:color w:val="14131B"/>
          <w:sz w:val="21"/>
          <w:szCs w:val="21"/>
          <w:lang w:val="es-MX" w:eastAsia="en-US"/>
        </w:rPr>
      </w:pPr>
    </w:p>
    <w:p w14:paraId="0A6913AC" w14:textId="77777777" w:rsidR="0019269C" w:rsidRDefault="0019269C" w:rsidP="0019269C">
      <w:pPr>
        <w:autoSpaceDE w:val="0"/>
        <w:autoSpaceDN w:val="0"/>
        <w:adjustRightInd w:val="0"/>
        <w:ind w:firstLine="708"/>
        <w:jc w:val="both"/>
        <w:rPr>
          <w:rFonts w:ascii="Abadi" w:eastAsiaTheme="minorHAnsi" w:hAnsi="Abadi" w:cs="*Arial-5157-Identity-H"/>
          <w:color w:val="14131B"/>
          <w:sz w:val="21"/>
          <w:szCs w:val="21"/>
          <w:lang w:val="es-MX" w:eastAsia="en-US"/>
        </w:rPr>
      </w:pPr>
      <w:r>
        <w:rPr>
          <w:rFonts w:ascii="Abadi" w:eastAsiaTheme="minorHAnsi" w:hAnsi="Abadi" w:cs="*Arial-5157-Identity-H"/>
          <w:color w:val="14131B"/>
          <w:sz w:val="21"/>
          <w:szCs w:val="21"/>
          <w:lang w:val="es-MX" w:eastAsia="en-US"/>
        </w:rPr>
        <w:t>Para su consecución, las labores de la Auditoría Superior del Estado consideraron la verificación de la existencia de procesos diagnósticos o de planificación que permitieran a la administración municipal conocer la oferta del servicio y las brechas por cubrir, definir la estimación de recursos para una adecuada operación y la definición de metas y objetivos orientados a la mejora del servicio; respecto de la operación, se consideró la verificación del establecimiento de un marco normativo adecuado y vigente, la programación de actividades y su consecución, los mecanismos de atención ciudadana para el reporte de fallas y los resultados en la cobertura, mantenimiento y satisfacción. También se revisaron los mecanismos de monitoreo y evaluación, con el objetivo de analizar el desempeño del Municipio en el otorgamiento del servicio, y verificar la eficiencia y la eficacia del alumbrado público municipal en beneficio de la ciudadanía.</w:t>
      </w:r>
    </w:p>
    <w:p w14:paraId="7C2475DD" w14:textId="77777777" w:rsidR="0019269C" w:rsidRDefault="0019269C" w:rsidP="0019269C">
      <w:pPr>
        <w:autoSpaceDE w:val="0"/>
        <w:autoSpaceDN w:val="0"/>
        <w:adjustRightInd w:val="0"/>
        <w:jc w:val="both"/>
        <w:rPr>
          <w:rFonts w:ascii="Abadi" w:eastAsiaTheme="minorHAnsi" w:hAnsi="Abadi" w:cs="*Arial-5157-Identity-H"/>
          <w:color w:val="14131B"/>
          <w:sz w:val="21"/>
          <w:szCs w:val="21"/>
          <w:lang w:val="es-MX" w:eastAsia="en-US"/>
        </w:rPr>
      </w:pPr>
    </w:p>
    <w:p w14:paraId="1DCA8AF6" w14:textId="77777777" w:rsidR="0019269C" w:rsidRDefault="0019269C" w:rsidP="0019269C">
      <w:pPr>
        <w:autoSpaceDE w:val="0"/>
        <w:autoSpaceDN w:val="0"/>
        <w:adjustRightInd w:val="0"/>
        <w:ind w:firstLine="708"/>
        <w:jc w:val="both"/>
        <w:rPr>
          <w:rFonts w:ascii="Abadi" w:eastAsiaTheme="minorHAnsi" w:hAnsi="Abadi" w:cs="*Arial-5157-Identity-H"/>
          <w:color w:val="14131B"/>
          <w:sz w:val="21"/>
          <w:szCs w:val="21"/>
          <w:lang w:val="es-MX" w:eastAsia="en-US"/>
        </w:rPr>
      </w:pPr>
      <w:r>
        <w:rPr>
          <w:rFonts w:ascii="Abadi" w:eastAsiaTheme="minorHAnsi" w:hAnsi="Abadi" w:cs="*Arial-5157-Identity-H"/>
          <w:color w:val="14131B"/>
          <w:sz w:val="21"/>
          <w:szCs w:val="21"/>
          <w:lang w:val="es-MX" w:eastAsia="en-US"/>
        </w:rPr>
        <w:t>Asimismo, se hace constar que la administración pública municipal de Apaseo el Alto, Gto., realizó acciones para otorgar el servicio de alumbrado público a la población. No obstante, quedó en evidencia que la gestión del servicio presentó áreas de oportunidad.</w:t>
      </w:r>
    </w:p>
    <w:p w14:paraId="7E41B397" w14:textId="77777777" w:rsidR="0019269C" w:rsidRDefault="0019269C" w:rsidP="0019269C">
      <w:pPr>
        <w:autoSpaceDE w:val="0"/>
        <w:autoSpaceDN w:val="0"/>
        <w:adjustRightInd w:val="0"/>
        <w:jc w:val="both"/>
        <w:rPr>
          <w:rFonts w:ascii="Abadi" w:eastAsiaTheme="minorHAnsi" w:hAnsi="Abadi" w:cs="*Arial-5157-Identity-H"/>
          <w:color w:val="14131B"/>
          <w:sz w:val="21"/>
          <w:szCs w:val="21"/>
          <w:lang w:val="es-MX" w:eastAsia="en-US"/>
        </w:rPr>
      </w:pPr>
    </w:p>
    <w:p w14:paraId="399398D9" w14:textId="77777777" w:rsidR="0019269C" w:rsidRDefault="0019269C" w:rsidP="0019269C">
      <w:pPr>
        <w:autoSpaceDE w:val="0"/>
        <w:autoSpaceDN w:val="0"/>
        <w:adjustRightInd w:val="0"/>
        <w:ind w:firstLine="708"/>
        <w:jc w:val="both"/>
        <w:rPr>
          <w:rFonts w:ascii="Abadi" w:eastAsiaTheme="minorHAnsi" w:hAnsi="Abadi" w:cs="*Arial-5157-Identity-H"/>
          <w:color w:val="14131B"/>
          <w:sz w:val="21"/>
          <w:szCs w:val="21"/>
          <w:lang w:val="es-MX" w:eastAsia="en-US"/>
        </w:rPr>
      </w:pPr>
      <w:r>
        <w:rPr>
          <w:rFonts w:ascii="Abadi" w:eastAsiaTheme="minorHAnsi" w:hAnsi="Abadi" w:cs="*Arial-5157-Identity-H"/>
          <w:color w:val="14131B"/>
          <w:sz w:val="21"/>
          <w:szCs w:val="21"/>
          <w:lang w:val="es-MX" w:eastAsia="en-US"/>
        </w:rPr>
        <w:t>En cuanto a la gestión de la planificación se verificó que el sujeto fiscalizado manifestó contar con 7,005 luminarias; sin embargo, careció de información relevante como la tecnología utilizada, el consumo de watts, la identificación de la zona urbana o rural, así como el monitoreo de su funcionamiento; por lo que se determinó que cuenta con un área de oportunidad para generar datos que le permitan conocer la situación real del Municipio de forma integral, a fin de definir estrategias que le permitan brindar un mejor servicio a la población.</w:t>
      </w:r>
    </w:p>
    <w:p w14:paraId="6E5B935F" w14:textId="77777777" w:rsidR="0019269C" w:rsidRDefault="0019269C" w:rsidP="0019269C">
      <w:pPr>
        <w:autoSpaceDE w:val="0"/>
        <w:autoSpaceDN w:val="0"/>
        <w:adjustRightInd w:val="0"/>
        <w:ind w:firstLine="708"/>
        <w:jc w:val="both"/>
        <w:rPr>
          <w:rFonts w:ascii="Abadi" w:eastAsiaTheme="minorHAnsi" w:hAnsi="Abadi" w:cs="*Arial-5157-Identity-H"/>
          <w:color w:val="14131B"/>
          <w:sz w:val="21"/>
          <w:szCs w:val="21"/>
          <w:lang w:val="es-MX" w:eastAsia="en-US"/>
        </w:rPr>
      </w:pPr>
    </w:p>
    <w:p w14:paraId="4A319BD9" w14:textId="77777777" w:rsidR="0019269C" w:rsidRDefault="0019269C" w:rsidP="0019269C">
      <w:pPr>
        <w:autoSpaceDE w:val="0"/>
        <w:autoSpaceDN w:val="0"/>
        <w:adjustRightInd w:val="0"/>
        <w:ind w:firstLine="708"/>
        <w:jc w:val="both"/>
        <w:rPr>
          <w:rFonts w:ascii="Abadi" w:eastAsiaTheme="minorHAnsi" w:hAnsi="Abadi" w:cs="*Arial-6041-Identity-H"/>
          <w:color w:val="14131B"/>
          <w:sz w:val="21"/>
          <w:szCs w:val="21"/>
          <w:lang w:val="es-MX" w:eastAsia="en-US"/>
        </w:rPr>
      </w:pPr>
      <w:r>
        <w:rPr>
          <w:rFonts w:ascii="Abadi" w:eastAsiaTheme="minorHAnsi" w:hAnsi="Abadi" w:cs="*Arial-6041-Identity-H"/>
          <w:color w:val="14131B"/>
          <w:sz w:val="21"/>
          <w:szCs w:val="21"/>
          <w:lang w:val="es-MX" w:eastAsia="en-US"/>
        </w:rPr>
        <w:t>De igual forma, se señala que, si bien, la administración pública municipal de Apaseo el Alto, Gto., contó con instrumentos de planeación de largo, mediano y corto plazo, no se identificaron objetivos, estrategias, acciones, actividades ni metas tendientes a la prestación del servicio de alumbrado público, por lo que no fue considerado un tema prioritario para dicha administración; tampoco fue posible identificar su contribución con los Objetivos de Desarrollo Sostenible de la Agenda 2030. En razón de lo cual, se cuenta con la oportunidad de que la actual administración considere en la elaboración de su Programa de Gobierno 2021- 2024 y en la actualización de los instrumentos de planeación de largo plazo, la inclusión de objetivos, estrategias y líneas de acción, respecto a la prestación eficiente y eficaz del servicio de alumbrado público en beneficio de los habitantes.</w:t>
      </w:r>
    </w:p>
    <w:p w14:paraId="6C34A2E1" w14:textId="77777777" w:rsidR="0019269C" w:rsidRDefault="0019269C" w:rsidP="0019269C">
      <w:pPr>
        <w:autoSpaceDE w:val="0"/>
        <w:autoSpaceDN w:val="0"/>
        <w:adjustRightInd w:val="0"/>
        <w:jc w:val="both"/>
        <w:rPr>
          <w:rFonts w:ascii="Abadi" w:eastAsiaTheme="minorHAnsi" w:hAnsi="Abadi" w:cs="*Arial-6041-Identity-H"/>
          <w:color w:val="14131B"/>
          <w:sz w:val="21"/>
          <w:szCs w:val="21"/>
          <w:lang w:val="es-MX" w:eastAsia="en-US"/>
        </w:rPr>
      </w:pPr>
    </w:p>
    <w:p w14:paraId="172154D1" w14:textId="084B3B65" w:rsidR="0019269C" w:rsidRDefault="0019269C" w:rsidP="007175BB">
      <w:pPr>
        <w:autoSpaceDE w:val="0"/>
        <w:autoSpaceDN w:val="0"/>
        <w:adjustRightInd w:val="0"/>
        <w:ind w:firstLine="708"/>
        <w:jc w:val="both"/>
        <w:rPr>
          <w:rFonts w:ascii="Abadi" w:eastAsiaTheme="minorHAnsi" w:hAnsi="Abadi" w:cs="*Arial-6041-Identity-H"/>
          <w:color w:val="14141B"/>
          <w:sz w:val="21"/>
          <w:szCs w:val="21"/>
          <w:lang w:val="es-MX" w:eastAsia="en-US"/>
        </w:rPr>
      </w:pPr>
      <w:r>
        <w:rPr>
          <w:rFonts w:ascii="Abadi" w:eastAsiaTheme="minorHAnsi" w:hAnsi="Abadi" w:cs="*Arial-6041-Identity-H"/>
          <w:color w:val="14141B"/>
          <w:sz w:val="21"/>
          <w:szCs w:val="21"/>
          <w:lang w:val="es-MX" w:eastAsia="en-US"/>
        </w:rPr>
        <w:t>En lo que corresponde a función de la operación del servicio de alumbrado público se reconoce que su finalidad es el eficiente y eficaz funcionamiento, lo cual depende de los documentos normativos y de la definición clara de procesos clave que garanticen su operatividad; de contar con programas anuales orientados a la mejora, y de brindar un servicio y una atención de calidad a la población. En tal sentido, se reconoció-la existencia de un manual de organización y procedimientos</w:t>
      </w:r>
      <w:r w:rsidR="007175BB">
        <w:rPr>
          <w:rFonts w:ascii="Abadi" w:eastAsiaTheme="minorHAnsi" w:hAnsi="Abadi" w:cs="*Arial-6041-Identity-H"/>
          <w:color w:val="14141B"/>
          <w:sz w:val="21"/>
          <w:szCs w:val="21"/>
          <w:lang w:val="es-MX" w:eastAsia="en-US"/>
        </w:rPr>
        <w:t xml:space="preserve"> </w:t>
      </w:r>
      <w:r>
        <w:rPr>
          <w:rFonts w:ascii="Abadi" w:eastAsiaTheme="minorHAnsi" w:hAnsi="Abadi" w:cs="*Arial-6041-Identity-H"/>
          <w:color w:val="14141B"/>
          <w:sz w:val="21"/>
          <w:szCs w:val="21"/>
          <w:lang w:val="es-MX" w:eastAsia="en-US"/>
        </w:rPr>
        <w:t>de la Dirección de Servicios Públicos y Salud Municipal, mismo que deberá ser fortalecido para definir la estructura, objetivos y funciones de la unidad administrativa que brinda el servicio de alumbrado público, así como los procesos sustantivos y procedimientos necesarios para una adecuada prestación del servicio.</w:t>
      </w:r>
    </w:p>
    <w:p w14:paraId="74BFA280" w14:textId="77777777" w:rsidR="0019269C" w:rsidRDefault="0019269C" w:rsidP="0019269C">
      <w:pPr>
        <w:autoSpaceDE w:val="0"/>
        <w:autoSpaceDN w:val="0"/>
        <w:adjustRightInd w:val="0"/>
        <w:jc w:val="both"/>
        <w:rPr>
          <w:rFonts w:ascii="Abadi" w:eastAsiaTheme="minorHAnsi" w:hAnsi="Abadi" w:cs="*Arial-6041-Identity-H"/>
          <w:color w:val="14141B"/>
          <w:sz w:val="21"/>
          <w:szCs w:val="21"/>
          <w:lang w:val="es-MX" w:eastAsia="en-US"/>
        </w:rPr>
      </w:pPr>
    </w:p>
    <w:p w14:paraId="76C9FAC3" w14:textId="77777777" w:rsidR="0019269C" w:rsidRDefault="0019269C" w:rsidP="0019269C">
      <w:pPr>
        <w:autoSpaceDE w:val="0"/>
        <w:autoSpaceDN w:val="0"/>
        <w:adjustRightInd w:val="0"/>
        <w:ind w:firstLine="708"/>
        <w:jc w:val="both"/>
        <w:rPr>
          <w:rFonts w:ascii="Abadi" w:eastAsiaTheme="minorHAnsi" w:hAnsi="Abadi" w:cs="*Arial-6041-Identity-H"/>
          <w:color w:val="14131C"/>
          <w:sz w:val="21"/>
          <w:szCs w:val="21"/>
          <w:lang w:val="es-MX" w:eastAsia="en-US"/>
        </w:rPr>
      </w:pPr>
      <w:r>
        <w:rPr>
          <w:rFonts w:ascii="Abadi" w:eastAsiaTheme="minorHAnsi" w:hAnsi="Abadi" w:cs="*Arial-6041-Identity-H"/>
          <w:color w:val="14131C"/>
          <w:sz w:val="21"/>
          <w:szCs w:val="21"/>
          <w:lang w:val="es-MX" w:eastAsia="en-US"/>
        </w:rPr>
        <w:t>Asimismo, se constató que el sujeto fiscalizado no elaboró un Programa Operativo Anual como instrumento de planeación-programación a corto plazo, teniendo como área de oportunidad implementar una herramienta de planeación, monitoreo y control de los procesos estratégicos y claves para la administración, conservación, rehabilitación y mejoramiento del servicio de alumbrado público, el cual contribuirá al cumplimiento de los objetivos y estrategias que se deben establecer en el Programa de Gobierno Municipal, a fin de otorgar un servicio eficiente.</w:t>
      </w:r>
    </w:p>
    <w:p w14:paraId="3DA60B31" w14:textId="77777777" w:rsidR="0019269C" w:rsidRDefault="0019269C" w:rsidP="0019269C">
      <w:pPr>
        <w:autoSpaceDE w:val="0"/>
        <w:autoSpaceDN w:val="0"/>
        <w:adjustRightInd w:val="0"/>
        <w:jc w:val="both"/>
        <w:rPr>
          <w:rFonts w:ascii="Abadi" w:eastAsiaTheme="minorHAnsi" w:hAnsi="Abadi" w:cs="*Arial-6041-Identity-H"/>
          <w:color w:val="14131C"/>
          <w:sz w:val="21"/>
          <w:szCs w:val="21"/>
          <w:lang w:val="es-MX" w:eastAsia="en-US"/>
        </w:rPr>
      </w:pPr>
    </w:p>
    <w:p w14:paraId="2608367C" w14:textId="77777777" w:rsidR="0019269C" w:rsidRDefault="0019269C" w:rsidP="0019269C">
      <w:pPr>
        <w:autoSpaceDE w:val="0"/>
        <w:autoSpaceDN w:val="0"/>
        <w:adjustRightInd w:val="0"/>
        <w:ind w:firstLine="708"/>
        <w:jc w:val="both"/>
        <w:rPr>
          <w:rFonts w:ascii="Abadi" w:eastAsiaTheme="minorHAnsi" w:hAnsi="Abadi" w:cs="*Arial-5608-Identity-H"/>
          <w:color w:val="14131B"/>
          <w:sz w:val="21"/>
          <w:szCs w:val="21"/>
          <w:lang w:val="es-MX" w:eastAsia="en-US"/>
        </w:rPr>
      </w:pPr>
      <w:r>
        <w:rPr>
          <w:rFonts w:ascii="Abadi" w:eastAsiaTheme="minorHAnsi" w:hAnsi="Abadi" w:cs="*Arial-6041-Identity-H"/>
          <w:color w:val="14131B"/>
          <w:sz w:val="21"/>
          <w:szCs w:val="21"/>
          <w:lang w:val="es-MX" w:eastAsia="en-US"/>
        </w:rPr>
        <w:t xml:space="preserve">Por lo que hace a la capacidad del sujeto fiscalizado para garantizar una prestación permanente y efectiva del servicio de alumbrado público, se analizó la calidad de la información relativa a los logros en materia de mantenimiento, así como lo correspondiente a la cobertura y satisfacción ciudadana, observándose que el sujeto fiscalizado durante 2020 no contó con acciones preventivas que coadyuvaran a minimizar en la medida de lo posible la cantidad de mantenimientos correctivos, a fin de contribuir a una adecuada y oportuna </w:t>
      </w:r>
      <w:r>
        <w:rPr>
          <w:rFonts w:ascii="Abadi" w:eastAsiaTheme="minorHAnsi" w:hAnsi="Abadi" w:cs="*Arial-5608-Identity-H"/>
          <w:color w:val="14131B"/>
          <w:sz w:val="21"/>
          <w:szCs w:val="21"/>
          <w:lang w:val="es-MX" w:eastAsia="en-US"/>
        </w:rPr>
        <w:t>prestación del serv1c10 de alumbrado público. Sin embargo, realizó acciones correctivas (reparación y sustitución de luminarias mediante la atención de reportes), identificando como área de mejora la sistematización y control de los reportes que recibe el sujeto fiscalizado para contar con información confiable que permita identificar las principales incidencias reportadas por la ciudadanía, dado que la base de datos de los registros correspondientes a 2020 presentó inconsistencias.</w:t>
      </w:r>
    </w:p>
    <w:p w14:paraId="241F0B2A" w14:textId="77777777" w:rsidR="0019269C" w:rsidRDefault="0019269C" w:rsidP="0019269C">
      <w:pPr>
        <w:autoSpaceDE w:val="0"/>
        <w:autoSpaceDN w:val="0"/>
        <w:adjustRightInd w:val="0"/>
        <w:jc w:val="both"/>
        <w:rPr>
          <w:rFonts w:ascii="Abadi" w:eastAsiaTheme="minorHAnsi" w:hAnsi="Abadi" w:cs="*Arial-5608-Identity-H"/>
          <w:color w:val="14131B"/>
          <w:sz w:val="21"/>
          <w:szCs w:val="21"/>
          <w:lang w:val="es-MX" w:eastAsia="en-US"/>
        </w:rPr>
      </w:pPr>
    </w:p>
    <w:p w14:paraId="55FC151C" w14:textId="77777777" w:rsidR="0019269C" w:rsidRDefault="0019269C" w:rsidP="0019269C">
      <w:pPr>
        <w:autoSpaceDE w:val="0"/>
        <w:autoSpaceDN w:val="0"/>
        <w:adjustRightInd w:val="0"/>
        <w:ind w:firstLine="708"/>
        <w:jc w:val="both"/>
        <w:rPr>
          <w:rFonts w:ascii="Abadi" w:eastAsiaTheme="minorHAnsi" w:hAnsi="Abadi" w:cs="*Arial-5608-Identity-H"/>
          <w:color w:val="14131B"/>
          <w:sz w:val="21"/>
          <w:szCs w:val="21"/>
          <w:lang w:val="es-MX" w:eastAsia="en-US"/>
        </w:rPr>
      </w:pPr>
      <w:r>
        <w:rPr>
          <w:rFonts w:ascii="Abadi" w:eastAsiaTheme="minorHAnsi" w:hAnsi="Abadi" w:cs="*Arial-5608-Identity-H"/>
          <w:color w:val="14131B"/>
          <w:sz w:val="21"/>
          <w:szCs w:val="21"/>
          <w:lang w:val="es-MX" w:eastAsia="en-US"/>
        </w:rPr>
        <w:t>Por otra parte, el sujeto fiscalizado no acreditó contar con mecanismos de control que le permitieran generar información para determinar la cobertura en el Municipio, ni conocer la opinión de la población a fin de identificar las deficiencias en la prestación del servicio y poder tomar decisiones para mejorar la calidad del mismo.</w:t>
      </w:r>
    </w:p>
    <w:p w14:paraId="42C2BE9F" w14:textId="77777777" w:rsidR="0019269C" w:rsidRDefault="0019269C" w:rsidP="0019269C">
      <w:pPr>
        <w:autoSpaceDE w:val="0"/>
        <w:autoSpaceDN w:val="0"/>
        <w:adjustRightInd w:val="0"/>
        <w:jc w:val="both"/>
        <w:rPr>
          <w:rFonts w:ascii="Abadi" w:eastAsiaTheme="minorHAnsi" w:hAnsi="Abadi" w:cs="*Arial-5608-Identity-H"/>
          <w:color w:val="14131B"/>
          <w:sz w:val="21"/>
          <w:szCs w:val="21"/>
          <w:lang w:val="es-MX" w:eastAsia="en-US"/>
        </w:rPr>
      </w:pPr>
    </w:p>
    <w:p w14:paraId="44179F5F" w14:textId="77777777" w:rsidR="0019269C" w:rsidRDefault="0019269C" w:rsidP="0019269C">
      <w:pPr>
        <w:autoSpaceDE w:val="0"/>
        <w:autoSpaceDN w:val="0"/>
        <w:adjustRightInd w:val="0"/>
        <w:ind w:firstLine="708"/>
        <w:jc w:val="both"/>
        <w:rPr>
          <w:rFonts w:ascii="Abadi" w:eastAsiaTheme="minorHAnsi" w:hAnsi="Abadi" w:cs="*Arial-5608-Identity-H"/>
          <w:color w:val="14131B"/>
          <w:sz w:val="21"/>
          <w:szCs w:val="21"/>
          <w:lang w:val="es-MX" w:eastAsia="en-US"/>
        </w:rPr>
      </w:pPr>
      <w:r>
        <w:rPr>
          <w:rFonts w:ascii="Abadi" w:eastAsiaTheme="minorHAnsi" w:hAnsi="Abadi" w:cs="*Arial-5608-Identity-H"/>
          <w:color w:val="14131B"/>
          <w:sz w:val="21"/>
          <w:szCs w:val="21"/>
          <w:lang w:val="es-MX" w:eastAsia="en-US"/>
        </w:rPr>
        <w:t>Por lo que hace a la función del seguimiento, se precisa que la revisión se enfocó en constatar si el sujeto fiscalizado contó con mecanismos que le permitieran medir el desempeño y los resultados del servicio de alumbrado público, obteniendo como principal hallazgo que la instancia responsable contó con una Matriz de Indicadores para Resultados asociada a la prestación del servicio de alumbrado público, sin embargo, esta y las fichas técnicas de los indicadores que la integran presentan áreas de oportunidad en su estructura y contenido. Además, las metas establecidas en la Matriz de Indicadores para Resultados del Programa presentaron deficiencias en la programación, determinación y medición, existiendo así la oportunidad de fortalecer sus acciones y estrategias para el logro de los objetivos planteados.</w:t>
      </w:r>
    </w:p>
    <w:p w14:paraId="5949CF89" w14:textId="77777777" w:rsidR="0019269C" w:rsidRDefault="0019269C" w:rsidP="0019269C">
      <w:pPr>
        <w:autoSpaceDE w:val="0"/>
        <w:autoSpaceDN w:val="0"/>
        <w:adjustRightInd w:val="0"/>
        <w:jc w:val="both"/>
        <w:rPr>
          <w:rFonts w:ascii="Abadi" w:eastAsiaTheme="minorHAnsi" w:hAnsi="Abadi" w:cs="*Arial-5608-Identity-H"/>
          <w:color w:val="14131B"/>
          <w:sz w:val="21"/>
          <w:szCs w:val="21"/>
          <w:lang w:val="es-MX" w:eastAsia="en-US"/>
        </w:rPr>
      </w:pPr>
    </w:p>
    <w:p w14:paraId="7FAB944E" w14:textId="77777777" w:rsidR="0019269C" w:rsidRDefault="0019269C" w:rsidP="0019269C">
      <w:pPr>
        <w:autoSpaceDE w:val="0"/>
        <w:autoSpaceDN w:val="0"/>
        <w:adjustRightInd w:val="0"/>
        <w:ind w:firstLine="708"/>
        <w:jc w:val="both"/>
        <w:rPr>
          <w:rFonts w:ascii="Abadi" w:eastAsiaTheme="minorHAnsi" w:hAnsi="Abadi" w:cs="*Arial-5608-Identity-H"/>
          <w:color w:val="14131B"/>
          <w:sz w:val="21"/>
          <w:szCs w:val="21"/>
          <w:lang w:val="es-MX" w:eastAsia="en-US"/>
        </w:rPr>
      </w:pPr>
      <w:r>
        <w:rPr>
          <w:rFonts w:ascii="Abadi" w:eastAsiaTheme="minorHAnsi" w:hAnsi="Abadi" w:cs="*Arial-5608-Identity-H"/>
          <w:color w:val="14131B"/>
          <w:sz w:val="21"/>
          <w:szCs w:val="21"/>
          <w:lang w:val="es-MX" w:eastAsia="en-US"/>
        </w:rPr>
        <w:t>Derivado de las oportunidades referidas, la administración pública municipal de Apaseo el Alto, Gto., muestra una postura poco prepositiva, al no definir acciones de mejora para atender las recomendaciones formuladas; no obstante, la Auditoría Superior del Estado realizará el seguimiento de las recomendaciones valoradas como persiste, acorde a la normativa aplicable.</w:t>
      </w:r>
    </w:p>
    <w:p w14:paraId="746576DC" w14:textId="77777777" w:rsidR="0019269C" w:rsidRDefault="0019269C" w:rsidP="0019269C">
      <w:pPr>
        <w:autoSpaceDE w:val="0"/>
        <w:autoSpaceDN w:val="0"/>
        <w:adjustRightInd w:val="0"/>
        <w:jc w:val="both"/>
        <w:rPr>
          <w:rFonts w:ascii="Abadi" w:eastAsiaTheme="minorHAnsi" w:hAnsi="Abadi" w:cs="*Arial-Bold-5609-Identity-H"/>
          <w:b/>
          <w:bCs/>
          <w:color w:val="14131D"/>
          <w:sz w:val="21"/>
          <w:szCs w:val="21"/>
          <w:lang w:val="es-MX" w:eastAsia="en-US"/>
        </w:rPr>
      </w:pPr>
    </w:p>
    <w:p w14:paraId="738DBFF1" w14:textId="77777777" w:rsidR="0019269C" w:rsidRDefault="0019269C" w:rsidP="0019269C">
      <w:pPr>
        <w:autoSpaceDE w:val="0"/>
        <w:autoSpaceDN w:val="0"/>
        <w:adjustRightInd w:val="0"/>
        <w:ind w:firstLine="708"/>
        <w:jc w:val="both"/>
        <w:rPr>
          <w:rFonts w:ascii="Abadi" w:eastAsiaTheme="minorHAnsi" w:hAnsi="Abadi" w:cs="*Arial-Bold-5609-Identity-H"/>
          <w:b/>
          <w:bCs/>
          <w:color w:val="14131D"/>
          <w:sz w:val="21"/>
          <w:szCs w:val="21"/>
          <w:lang w:val="es-MX" w:eastAsia="en-US"/>
        </w:rPr>
      </w:pPr>
      <w:r>
        <w:rPr>
          <w:rFonts w:ascii="Abadi" w:eastAsiaTheme="minorHAnsi" w:hAnsi="Abadi" w:cs="*Arial-Bold-5609-Identity-H"/>
          <w:b/>
          <w:bCs/>
          <w:color w:val="14131D"/>
          <w:sz w:val="21"/>
          <w:szCs w:val="21"/>
          <w:lang w:val="es-MX" w:eastAsia="en-US"/>
        </w:rPr>
        <w:t>V. Conclusiones:</w:t>
      </w:r>
    </w:p>
    <w:p w14:paraId="200981A8" w14:textId="77777777" w:rsidR="0019269C" w:rsidRDefault="0019269C" w:rsidP="0019269C">
      <w:pPr>
        <w:autoSpaceDE w:val="0"/>
        <w:autoSpaceDN w:val="0"/>
        <w:adjustRightInd w:val="0"/>
        <w:jc w:val="both"/>
        <w:rPr>
          <w:rFonts w:ascii="Abadi" w:eastAsiaTheme="minorHAnsi" w:hAnsi="Abadi" w:cs="*Arial-Bold-5609-Identity-H"/>
          <w:b/>
          <w:bCs/>
          <w:color w:val="14131D"/>
          <w:sz w:val="21"/>
          <w:szCs w:val="21"/>
          <w:lang w:val="es-MX" w:eastAsia="en-US"/>
        </w:rPr>
      </w:pPr>
    </w:p>
    <w:p w14:paraId="27BFBC4F" w14:textId="77777777" w:rsidR="0019269C" w:rsidRDefault="0019269C" w:rsidP="0019269C">
      <w:pPr>
        <w:autoSpaceDE w:val="0"/>
        <w:autoSpaceDN w:val="0"/>
        <w:adjustRightInd w:val="0"/>
        <w:jc w:val="both"/>
        <w:rPr>
          <w:rFonts w:ascii="Abadi" w:eastAsiaTheme="minorHAnsi" w:hAnsi="Abadi" w:cs="*Arial-5608-Identity-H"/>
          <w:color w:val="14131B"/>
          <w:sz w:val="21"/>
          <w:szCs w:val="21"/>
          <w:lang w:val="es-MX" w:eastAsia="en-US"/>
        </w:rPr>
      </w:pPr>
      <w:r>
        <w:rPr>
          <w:rFonts w:ascii="Abadi" w:eastAsiaTheme="minorHAnsi" w:hAnsi="Abadi" w:cs="*Arial-5608-Identity-H"/>
          <w:color w:val="14131B"/>
          <w:sz w:val="21"/>
          <w:szCs w:val="21"/>
          <w:lang w:val="es-MX" w:eastAsia="en-US"/>
        </w:rPr>
        <w:t>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w:t>
      </w:r>
    </w:p>
    <w:p w14:paraId="01A7F7F9" w14:textId="77777777" w:rsidR="0019269C" w:rsidRDefault="0019269C" w:rsidP="0019269C">
      <w:pPr>
        <w:autoSpaceDE w:val="0"/>
        <w:autoSpaceDN w:val="0"/>
        <w:adjustRightInd w:val="0"/>
        <w:ind w:firstLine="708"/>
        <w:jc w:val="both"/>
        <w:rPr>
          <w:rFonts w:ascii="Abadi" w:eastAsiaTheme="minorHAnsi" w:hAnsi="Abadi" w:cs="*Arial-5608-Identity-H"/>
          <w:color w:val="14131B"/>
          <w:sz w:val="21"/>
          <w:szCs w:val="21"/>
          <w:lang w:val="es-MX" w:eastAsia="en-US"/>
        </w:rPr>
      </w:pPr>
    </w:p>
    <w:p w14:paraId="23E0B3B2" w14:textId="77777777" w:rsidR="0019269C" w:rsidRDefault="0019269C" w:rsidP="0019269C">
      <w:pPr>
        <w:autoSpaceDE w:val="0"/>
        <w:autoSpaceDN w:val="0"/>
        <w:adjustRightInd w:val="0"/>
        <w:jc w:val="both"/>
        <w:rPr>
          <w:rFonts w:ascii="Abadi" w:eastAsiaTheme="minorHAnsi" w:hAnsi="Abadi" w:cs="*Arial-5103-Identity-H"/>
          <w:color w:val="14131C"/>
          <w:sz w:val="21"/>
          <w:szCs w:val="21"/>
          <w:lang w:val="es-MX" w:eastAsia="en-US"/>
        </w:rPr>
      </w:pPr>
      <w:r>
        <w:rPr>
          <w:rFonts w:ascii="Abadi" w:eastAsiaTheme="minorHAnsi" w:hAnsi="Abadi" w:cs="*Arial-5103-Identity-H"/>
          <w:color w:val="14131C"/>
          <w:sz w:val="21"/>
          <w:szCs w:val="21"/>
          <w:lang w:val="es-MX" w:eastAsia="en-US"/>
        </w:rPr>
        <w:t>En este sentido, quienes integramos esta Comisión analizamos el informe de resultados materia del presente dictamen, considerando la hipótesis referida en el precepto anteriormente señalado.</w:t>
      </w:r>
    </w:p>
    <w:p w14:paraId="7E5A7BE5" w14:textId="77777777" w:rsidR="0019269C" w:rsidRDefault="0019269C" w:rsidP="0019269C">
      <w:pPr>
        <w:autoSpaceDE w:val="0"/>
        <w:autoSpaceDN w:val="0"/>
        <w:adjustRightInd w:val="0"/>
        <w:jc w:val="both"/>
        <w:rPr>
          <w:rFonts w:ascii="Abadi" w:eastAsiaTheme="minorHAnsi" w:hAnsi="Abadi" w:cs="*Arial-5103-Identity-H"/>
          <w:color w:val="14131C"/>
          <w:sz w:val="21"/>
          <w:szCs w:val="21"/>
          <w:lang w:val="es-MX" w:eastAsia="en-US"/>
        </w:rPr>
      </w:pPr>
    </w:p>
    <w:p w14:paraId="704FE96D" w14:textId="030E6713" w:rsidR="0019269C" w:rsidRDefault="0019269C" w:rsidP="0019269C">
      <w:pPr>
        <w:autoSpaceDE w:val="0"/>
        <w:autoSpaceDN w:val="0"/>
        <w:adjustRightInd w:val="0"/>
        <w:jc w:val="both"/>
        <w:rPr>
          <w:rFonts w:ascii="Abadi" w:eastAsiaTheme="minorHAnsi" w:hAnsi="Abadi" w:cs="*Arial-5103-Identity-H"/>
          <w:color w:val="15141C"/>
          <w:sz w:val="21"/>
          <w:szCs w:val="21"/>
          <w:lang w:val="es-MX" w:eastAsia="en-US"/>
        </w:rPr>
      </w:pPr>
      <w:r w:rsidRPr="0019269C">
        <w:rPr>
          <w:rFonts w:ascii="Abadi" w:eastAsiaTheme="minorHAnsi" w:hAnsi="Abadi" w:cs="*Arial-5103-Identity-H"/>
          <w:color w:val="15141C"/>
          <w:sz w:val="21"/>
          <w:szCs w:val="21"/>
          <w:lang w:val="es-MX" w:eastAsia="en-US"/>
        </w:rPr>
        <w:t>Como se</w:t>
      </w:r>
      <w:r>
        <w:rPr>
          <w:rFonts w:ascii="Abadi" w:eastAsiaTheme="minorHAnsi" w:hAnsi="Abadi" w:cs="*Arial-5103-Identity-H"/>
          <w:color w:val="15141C"/>
          <w:sz w:val="21"/>
          <w:szCs w:val="21"/>
          <w:lang w:val="es-MX" w:eastAsia="en-US"/>
        </w:rPr>
        <w:t xml:space="preserve"> desprende</w:t>
      </w:r>
      <w:r>
        <w:rPr>
          <w:rFonts w:ascii="Abadi" w:eastAsiaTheme="minorHAnsi" w:hAnsi="Abadi" w:cs="*Arial-5103-Identity-H"/>
          <w:color w:val="8E8E8E"/>
          <w:sz w:val="21"/>
          <w:szCs w:val="21"/>
          <w:lang w:val="es-MX" w:eastAsia="en-US"/>
        </w:rPr>
        <w:t xml:space="preserve"> </w:t>
      </w:r>
      <w:r>
        <w:rPr>
          <w:rFonts w:ascii="Abadi" w:eastAsiaTheme="minorHAnsi" w:hAnsi="Abadi" w:cs="*Arial-5103-Identity-H"/>
          <w:color w:val="15141C"/>
          <w:sz w:val="21"/>
          <w:szCs w:val="21"/>
          <w:lang w:val="es-MX" w:eastAsia="en-US"/>
        </w:rPr>
        <w:t>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el sujeto fiscalizado no dio respuesta al pliego de recomendaciones en el plazo establecido en el referido artículo.</w:t>
      </w:r>
    </w:p>
    <w:p w14:paraId="44BAEC1D" w14:textId="77777777" w:rsidR="0019269C" w:rsidRDefault="0019269C" w:rsidP="0019269C">
      <w:pPr>
        <w:autoSpaceDE w:val="0"/>
        <w:autoSpaceDN w:val="0"/>
        <w:adjustRightInd w:val="0"/>
        <w:jc w:val="both"/>
        <w:rPr>
          <w:rFonts w:ascii="Abadi" w:eastAsiaTheme="minorHAnsi" w:hAnsi="Abadi" w:cs="*Arial-5103-Identity-H"/>
          <w:color w:val="15141C"/>
          <w:sz w:val="21"/>
          <w:szCs w:val="21"/>
          <w:lang w:val="es-MX" w:eastAsia="en-US"/>
        </w:rPr>
      </w:pPr>
    </w:p>
    <w:p w14:paraId="5200F591" w14:textId="754AF4F1" w:rsidR="0019269C" w:rsidRDefault="0019269C" w:rsidP="0019269C">
      <w:pPr>
        <w:autoSpaceDE w:val="0"/>
        <w:autoSpaceDN w:val="0"/>
        <w:adjustRightInd w:val="0"/>
        <w:ind w:firstLine="708"/>
        <w:jc w:val="both"/>
        <w:rPr>
          <w:rFonts w:ascii="Abadi" w:eastAsiaTheme="minorHAnsi" w:hAnsi="Abadi" w:cs="*Arial-5103-Identity-H"/>
          <w:color w:val="14131B"/>
          <w:sz w:val="21"/>
          <w:szCs w:val="21"/>
          <w:lang w:val="es-MX" w:eastAsia="en-US"/>
        </w:rPr>
      </w:pPr>
      <w:r>
        <w:rPr>
          <w:rFonts w:ascii="Abadi" w:eastAsiaTheme="minorHAnsi" w:hAnsi="Abadi" w:cs="*Arial-5103-Identity-H"/>
          <w:color w:val="14131B"/>
          <w:sz w:val="21"/>
          <w:szCs w:val="21"/>
          <w:lang w:val="es-MX" w:eastAsia="en-US"/>
        </w:rPr>
        <w:t>De igual manera, existe en el informe de resultados la constancia de que este se notificó al sujeto fiscalizado. En tal virtud, se considera que fue respetado el derecho de audiencia o defensa por parte del Órgano Técnico.</w:t>
      </w:r>
    </w:p>
    <w:p w14:paraId="57A3ABB9" w14:textId="77777777" w:rsidR="00AD2541" w:rsidRDefault="00AD2541" w:rsidP="0019269C">
      <w:pPr>
        <w:autoSpaceDE w:val="0"/>
        <w:autoSpaceDN w:val="0"/>
        <w:adjustRightInd w:val="0"/>
        <w:ind w:firstLine="708"/>
        <w:jc w:val="both"/>
        <w:rPr>
          <w:rFonts w:ascii="Abadi" w:eastAsiaTheme="minorHAnsi" w:hAnsi="Abadi" w:cs="*Arial-5103-Identity-H"/>
          <w:color w:val="14131B"/>
          <w:sz w:val="21"/>
          <w:szCs w:val="21"/>
          <w:lang w:val="es-MX" w:eastAsia="en-US"/>
        </w:rPr>
      </w:pPr>
    </w:p>
    <w:p w14:paraId="7C944BC0" w14:textId="77777777" w:rsidR="0019269C" w:rsidRDefault="0019269C" w:rsidP="0019269C">
      <w:pPr>
        <w:autoSpaceDE w:val="0"/>
        <w:autoSpaceDN w:val="0"/>
        <w:adjustRightInd w:val="0"/>
        <w:ind w:firstLine="708"/>
        <w:jc w:val="both"/>
        <w:rPr>
          <w:rFonts w:ascii="Abadi" w:eastAsiaTheme="minorHAnsi" w:hAnsi="Abadi" w:cs="*Arial-5103-Identity-H"/>
          <w:color w:val="14131B"/>
          <w:sz w:val="21"/>
          <w:szCs w:val="21"/>
          <w:lang w:val="es-MX" w:eastAsia="en-US"/>
        </w:rPr>
      </w:pPr>
      <w:r>
        <w:rPr>
          <w:rFonts w:ascii="Abadi" w:eastAsiaTheme="minorHAnsi" w:hAnsi="Abadi" w:cs="*Arial-5103-Identity-H"/>
          <w:color w:val="14131B"/>
          <w:sz w:val="21"/>
          <w:szCs w:val="21"/>
          <w:lang w:val="es-MX" w:eastAsia="en-US"/>
        </w:rPr>
        <w:t>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2021, aprobado por el Auditor Superior del</w:t>
      </w:r>
    </w:p>
    <w:p w14:paraId="602AF6F0" w14:textId="77777777" w:rsidR="0019269C" w:rsidRDefault="0019269C" w:rsidP="0019269C">
      <w:pPr>
        <w:autoSpaceDE w:val="0"/>
        <w:autoSpaceDN w:val="0"/>
        <w:adjustRightInd w:val="0"/>
        <w:jc w:val="both"/>
        <w:rPr>
          <w:rFonts w:ascii="Abadi" w:eastAsiaTheme="minorHAnsi" w:hAnsi="Abadi" w:cs="*Arial-5103-Identity-H"/>
          <w:color w:val="14131B"/>
          <w:sz w:val="21"/>
          <w:szCs w:val="21"/>
          <w:lang w:val="es-MX" w:eastAsia="en-US"/>
        </w:rPr>
      </w:pPr>
      <w:r>
        <w:rPr>
          <w:rFonts w:ascii="Abadi" w:eastAsiaTheme="minorHAnsi" w:hAnsi="Abadi" w:cs="*Arial-5103-Identity-H"/>
          <w:color w:val="14131B"/>
          <w:sz w:val="21"/>
          <w:szCs w:val="21"/>
          <w:lang w:val="es-MX" w:eastAsia="en-US"/>
        </w:rPr>
        <w:t>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6B504E7E" w14:textId="77777777" w:rsidR="0019269C" w:rsidRDefault="0019269C" w:rsidP="0019269C">
      <w:pPr>
        <w:autoSpaceDE w:val="0"/>
        <w:autoSpaceDN w:val="0"/>
        <w:adjustRightInd w:val="0"/>
        <w:jc w:val="both"/>
        <w:rPr>
          <w:rFonts w:ascii="Abadi" w:eastAsiaTheme="minorHAnsi" w:hAnsi="Abadi" w:cs="*Arial-5103-Identity-H"/>
          <w:color w:val="14131B"/>
          <w:sz w:val="21"/>
          <w:szCs w:val="21"/>
          <w:lang w:val="es-MX" w:eastAsia="en-US"/>
        </w:rPr>
      </w:pPr>
    </w:p>
    <w:p w14:paraId="02E03AE7" w14:textId="77777777" w:rsidR="0019269C" w:rsidRDefault="0019269C" w:rsidP="0019269C">
      <w:pPr>
        <w:autoSpaceDE w:val="0"/>
        <w:autoSpaceDN w:val="0"/>
        <w:adjustRightInd w:val="0"/>
        <w:ind w:firstLine="708"/>
        <w:jc w:val="both"/>
        <w:rPr>
          <w:rFonts w:ascii="Abadi" w:eastAsiaTheme="minorHAnsi" w:hAnsi="Abadi" w:cs="*Arial-5103-Identity-H"/>
          <w:color w:val="14131C"/>
          <w:sz w:val="21"/>
          <w:szCs w:val="21"/>
          <w:lang w:val="es-MX" w:eastAsia="en-US"/>
        </w:rPr>
      </w:pPr>
      <w:r>
        <w:rPr>
          <w:rFonts w:ascii="Abadi" w:eastAsiaTheme="minorHAnsi" w:hAnsi="Abadi" w:cs="*Arial-5103-Identity-H"/>
          <w:color w:val="14131C"/>
          <w:sz w:val="21"/>
          <w:szCs w:val="21"/>
          <w:lang w:val="es-MX" w:eastAsia="en-US"/>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F405E99" w14:textId="77777777" w:rsidR="0019269C" w:rsidRDefault="0019269C" w:rsidP="0019269C">
      <w:pPr>
        <w:autoSpaceDE w:val="0"/>
        <w:autoSpaceDN w:val="0"/>
        <w:adjustRightInd w:val="0"/>
        <w:jc w:val="both"/>
        <w:rPr>
          <w:rFonts w:ascii="Abadi" w:eastAsiaTheme="minorHAnsi" w:hAnsi="Abadi" w:cs="*Arial-5103-Identity-H"/>
          <w:color w:val="14131C"/>
          <w:sz w:val="21"/>
          <w:szCs w:val="21"/>
          <w:lang w:val="es-MX" w:eastAsia="en-US"/>
        </w:rPr>
      </w:pPr>
    </w:p>
    <w:p w14:paraId="4884C640" w14:textId="40028620" w:rsidR="0019269C" w:rsidRDefault="0019269C" w:rsidP="0019269C">
      <w:pPr>
        <w:autoSpaceDE w:val="0"/>
        <w:autoSpaceDN w:val="0"/>
        <w:adjustRightInd w:val="0"/>
        <w:ind w:firstLine="708"/>
        <w:jc w:val="both"/>
        <w:rPr>
          <w:rFonts w:ascii="Abadi" w:eastAsiaTheme="minorHAnsi" w:hAnsi="Abadi" w:cs="*Arial-5196-Identity-H"/>
          <w:color w:val="14131C"/>
          <w:sz w:val="21"/>
          <w:szCs w:val="21"/>
          <w:lang w:val="es-MX" w:eastAsia="en-US"/>
        </w:rPr>
      </w:pPr>
      <w:r>
        <w:rPr>
          <w:rFonts w:ascii="Abadi" w:eastAsiaTheme="minorHAnsi" w:hAnsi="Abadi" w:cs="*Arial-5196-Identity-H"/>
          <w:color w:val="14131C"/>
          <w:sz w:val="21"/>
          <w:szCs w:val="21"/>
          <w:lang w:val="es-MX" w:eastAsia="en-US"/>
        </w:rPr>
        <w:t>En razón de lo anteriormente señalado, concluimos que el informe de resultados de la auditoría de desempeño practicada a la administración municipal de Apaseo el Alto, Gto., con enfoque a resultados del servicio de alumbrado público, por el ejercicio fiscal del año 2020,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28B65FC4" w14:textId="77777777" w:rsidR="0019269C" w:rsidRDefault="0019269C" w:rsidP="0019269C">
      <w:pPr>
        <w:autoSpaceDE w:val="0"/>
        <w:autoSpaceDN w:val="0"/>
        <w:adjustRightInd w:val="0"/>
        <w:jc w:val="both"/>
        <w:rPr>
          <w:rFonts w:ascii="Abadi" w:eastAsiaTheme="minorHAnsi" w:hAnsi="Abadi" w:cs="*Arial-5196-Identity-H"/>
          <w:color w:val="14131C"/>
          <w:sz w:val="21"/>
          <w:szCs w:val="21"/>
          <w:lang w:val="es-MX" w:eastAsia="en-US"/>
        </w:rPr>
      </w:pPr>
    </w:p>
    <w:p w14:paraId="7784A5DC" w14:textId="77777777" w:rsidR="0019269C" w:rsidRDefault="0019269C" w:rsidP="0019269C">
      <w:pPr>
        <w:autoSpaceDE w:val="0"/>
        <w:autoSpaceDN w:val="0"/>
        <w:adjustRightInd w:val="0"/>
        <w:ind w:firstLine="708"/>
        <w:jc w:val="both"/>
        <w:rPr>
          <w:rFonts w:ascii="Abadi" w:eastAsiaTheme="minorHAnsi" w:hAnsi="Abadi" w:cs="*Arial-5196-Identity-H"/>
          <w:color w:val="15141C"/>
          <w:sz w:val="21"/>
          <w:szCs w:val="21"/>
          <w:lang w:val="es-MX" w:eastAsia="en-US"/>
        </w:rPr>
      </w:pPr>
      <w:r>
        <w:rPr>
          <w:rFonts w:ascii="Abadi" w:eastAsiaTheme="minorHAnsi" w:hAnsi="Abadi" w:cs="*Arial-5196-Identity-H"/>
          <w:color w:val="15141C"/>
          <w:sz w:val="21"/>
          <w:szCs w:val="21"/>
          <w:lang w:val="es-MX" w:eastAsia="en-US"/>
        </w:rPr>
        <w:t>Por lo expuesto, con fundamento en el artículo 204 de la Ley Orgánica del Poder Legislativo, nos permitimos someter a la consideración de la Asamblea, la aprobación del siguiente:</w:t>
      </w:r>
    </w:p>
    <w:p w14:paraId="36DBE9F3" w14:textId="77777777" w:rsidR="0019269C" w:rsidRDefault="0019269C" w:rsidP="0019269C">
      <w:pPr>
        <w:autoSpaceDE w:val="0"/>
        <w:autoSpaceDN w:val="0"/>
        <w:adjustRightInd w:val="0"/>
        <w:jc w:val="both"/>
        <w:rPr>
          <w:rFonts w:ascii="Abadi" w:eastAsiaTheme="minorHAnsi" w:hAnsi="Abadi" w:cs="*Arial-Bold-5197-Identity-H"/>
          <w:b/>
          <w:bCs/>
          <w:color w:val="16141F"/>
          <w:sz w:val="21"/>
          <w:szCs w:val="21"/>
          <w:lang w:val="es-MX" w:eastAsia="en-US"/>
        </w:rPr>
      </w:pPr>
    </w:p>
    <w:p w14:paraId="2DAAE107" w14:textId="77777777" w:rsidR="0019269C" w:rsidRDefault="0019269C" w:rsidP="0019269C">
      <w:pPr>
        <w:autoSpaceDE w:val="0"/>
        <w:autoSpaceDN w:val="0"/>
        <w:adjustRightInd w:val="0"/>
        <w:jc w:val="center"/>
        <w:rPr>
          <w:rFonts w:ascii="Abadi" w:eastAsiaTheme="minorHAnsi" w:hAnsi="Abadi" w:cs="*Arial-Bold-5197-Identity-H"/>
          <w:b/>
          <w:bCs/>
          <w:color w:val="16141F"/>
          <w:sz w:val="21"/>
          <w:szCs w:val="21"/>
          <w:lang w:val="es-MX" w:eastAsia="en-US"/>
        </w:rPr>
      </w:pPr>
      <w:r>
        <w:rPr>
          <w:rFonts w:ascii="Abadi" w:eastAsiaTheme="minorHAnsi" w:hAnsi="Abadi" w:cs="*Arial-Bold-5197-Identity-H"/>
          <w:b/>
          <w:bCs/>
          <w:color w:val="16141F"/>
          <w:sz w:val="21"/>
          <w:szCs w:val="21"/>
          <w:lang w:val="es-MX" w:eastAsia="en-US"/>
        </w:rPr>
        <w:t>ACUERDO</w:t>
      </w:r>
    </w:p>
    <w:p w14:paraId="0F87838A" w14:textId="77777777" w:rsidR="0019269C" w:rsidRDefault="0019269C" w:rsidP="0019269C">
      <w:pPr>
        <w:autoSpaceDE w:val="0"/>
        <w:autoSpaceDN w:val="0"/>
        <w:adjustRightInd w:val="0"/>
        <w:jc w:val="both"/>
        <w:rPr>
          <w:rFonts w:ascii="Abadi" w:eastAsiaTheme="minorHAnsi" w:hAnsi="Abadi" w:cs="*Arial-Bold-5197-Identity-H"/>
          <w:b/>
          <w:bCs/>
          <w:color w:val="16141F"/>
          <w:sz w:val="21"/>
          <w:szCs w:val="21"/>
          <w:lang w:val="es-MX" w:eastAsia="en-US"/>
        </w:rPr>
      </w:pPr>
    </w:p>
    <w:p w14:paraId="5CCE0F3C" w14:textId="77777777" w:rsidR="0019269C" w:rsidRDefault="0019269C" w:rsidP="0019269C">
      <w:pPr>
        <w:autoSpaceDE w:val="0"/>
        <w:autoSpaceDN w:val="0"/>
        <w:adjustRightInd w:val="0"/>
        <w:ind w:firstLine="708"/>
        <w:jc w:val="both"/>
        <w:rPr>
          <w:rFonts w:ascii="Abadi" w:eastAsiaTheme="minorHAnsi" w:hAnsi="Abadi" w:cs="*Arial-5196-Identity-H"/>
          <w:color w:val="16141C"/>
          <w:sz w:val="21"/>
          <w:szCs w:val="21"/>
          <w:lang w:val="es-MX" w:eastAsia="en-US"/>
        </w:rPr>
      </w:pPr>
      <w:r>
        <w:rPr>
          <w:rFonts w:ascii="Abadi" w:eastAsiaTheme="minorHAnsi" w:hAnsi="Abadi" w:cs="*Arial-Bold-5197-Identity-H"/>
          <w:b/>
          <w:bCs/>
          <w:color w:val="14141B"/>
          <w:sz w:val="21"/>
          <w:szCs w:val="21"/>
          <w:lang w:val="es-MX" w:eastAsia="en-US"/>
        </w:rPr>
        <w:t xml:space="preserve">Único. </w:t>
      </w:r>
      <w:r>
        <w:rPr>
          <w:rFonts w:ascii="Abadi" w:eastAsiaTheme="minorHAnsi" w:hAnsi="Abadi" w:cs="*Arial-5196-Identity-H"/>
          <w:color w:val="14141B"/>
          <w:sz w:val="21"/>
          <w:szCs w:val="21"/>
          <w:lang w:val="es-MX" w:eastAsia="en-US"/>
        </w:rPr>
        <w:t xml:space="preserve">Con fundamento en el artículo 63 fracción XIX de la Constitución Política para el Estado, en relación con los artículos 3, fracción V, 5, fracción IV, 56, 59 y 60 de la Ley de Fiscalización Superior del Estado de Guanajuato y 28 del </w:t>
      </w:r>
      <w:r>
        <w:rPr>
          <w:rFonts w:ascii="Abadi" w:eastAsiaTheme="minorHAnsi" w:hAnsi="Abadi" w:cs="*Arial-5196-Identity-H"/>
          <w:color w:val="B9B9B9"/>
          <w:sz w:val="21"/>
          <w:szCs w:val="21"/>
          <w:lang w:val="es-MX" w:eastAsia="en-US"/>
        </w:rPr>
        <w:t xml:space="preserve">· </w:t>
      </w:r>
      <w:r>
        <w:rPr>
          <w:rFonts w:ascii="Abadi" w:eastAsiaTheme="minorHAnsi" w:hAnsi="Abadi" w:cs="*Arial-5196-Identity-H"/>
          <w:color w:val="16141C"/>
          <w:sz w:val="21"/>
          <w:szCs w:val="21"/>
          <w:lang w:val="es-MX" w:eastAsia="en-US"/>
        </w:rPr>
        <w:t>Reglamento de la Ley de Fiscalización Superior del Estado de Guanajuato, se aprueba el informe de resultados formulado por la Auditoría Superior del Estado de Guanajuato, de la auditoría de desempeño practicada a la administración municipal de Apaseo el Alto, Gto., con enfoque a resultados del servicio de alumbrado público, por el periodo comprendido del 1 de enero al 31 de diciembre del ejercicio fiscal del año 2020.</w:t>
      </w:r>
    </w:p>
    <w:p w14:paraId="682B6349" w14:textId="77777777" w:rsidR="0019269C" w:rsidRDefault="0019269C" w:rsidP="0019269C">
      <w:pPr>
        <w:autoSpaceDE w:val="0"/>
        <w:autoSpaceDN w:val="0"/>
        <w:adjustRightInd w:val="0"/>
        <w:jc w:val="both"/>
        <w:rPr>
          <w:rFonts w:ascii="Abadi" w:eastAsiaTheme="minorHAnsi" w:hAnsi="Abadi" w:cs="*Arial-5196-Identity-H"/>
          <w:color w:val="16141C"/>
          <w:sz w:val="21"/>
          <w:szCs w:val="21"/>
          <w:lang w:val="es-MX" w:eastAsia="en-US"/>
        </w:rPr>
      </w:pPr>
    </w:p>
    <w:p w14:paraId="638CD656" w14:textId="77777777" w:rsidR="0019269C" w:rsidRDefault="0019269C" w:rsidP="0019269C">
      <w:pPr>
        <w:autoSpaceDE w:val="0"/>
        <w:autoSpaceDN w:val="0"/>
        <w:adjustRightInd w:val="0"/>
        <w:ind w:firstLine="708"/>
        <w:jc w:val="both"/>
        <w:rPr>
          <w:rFonts w:ascii="Abadi" w:eastAsiaTheme="minorHAnsi" w:hAnsi="Abadi" w:cs="*Arial-5196-Identity-H"/>
          <w:color w:val="14131C"/>
          <w:sz w:val="21"/>
          <w:szCs w:val="21"/>
          <w:lang w:val="es-MX" w:eastAsia="en-US"/>
        </w:rPr>
      </w:pPr>
      <w:r>
        <w:rPr>
          <w:rFonts w:ascii="Abadi" w:eastAsiaTheme="minorHAnsi" w:hAnsi="Abadi" w:cs="*Arial-5196-Identity-H"/>
          <w:color w:val="14131C"/>
          <w:sz w:val="21"/>
          <w:szCs w:val="21"/>
          <w:lang w:val="es-MX" w:eastAsia="en-US"/>
        </w:rPr>
        <w:t>Se ordena dar vista del informe de resultados al ayuntamiento del municipio de Apaseo el Alto,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2D0793E2" w14:textId="77777777" w:rsidR="0019269C" w:rsidRDefault="0019269C" w:rsidP="0019269C">
      <w:pPr>
        <w:autoSpaceDE w:val="0"/>
        <w:autoSpaceDN w:val="0"/>
        <w:adjustRightInd w:val="0"/>
        <w:ind w:firstLine="708"/>
        <w:jc w:val="both"/>
        <w:rPr>
          <w:rFonts w:ascii="Abadi" w:eastAsiaTheme="minorHAnsi" w:hAnsi="Abadi" w:cs="*Arial-5196-Identity-H"/>
          <w:color w:val="14131C"/>
          <w:sz w:val="21"/>
          <w:szCs w:val="21"/>
          <w:lang w:val="es-MX" w:eastAsia="en-US"/>
        </w:rPr>
      </w:pPr>
    </w:p>
    <w:p w14:paraId="16C11B7F" w14:textId="77777777" w:rsidR="0019269C" w:rsidRDefault="0019269C" w:rsidP="0019269C">
      <w:pPr>
        <w:autoSpaceDE w:val="0"/>
        <w:autoSpaceDN w:val="0"/>
        <w:adjustRightInd w:val="0"/>
        <w:ind w:firstLine="708"/>
        <w:jc w:val="both"/>
        <w:rPr>
          <w:rFonts w:ascii="Abadi" w:hAnsi="Abadi" w:cs="*Arial-6038-Identity-H"/>
          <w:b/>
          <w:bCs/>
          <w:color w:val="0E0D10"/>
          <w:sz w:val="21"/>
          <w:szCs w:val="21"/>
        </w:rPr>
      </w:pPr>
      <w:r>
        <w:rPr>
          <w:rFonts w:ascii="Abadi" w:eastAsiaTheme="minorHAnsi" w:hAnsi="Abadi" w:cs="*Arial-3814-Identity-H"/>
          <w:color w:val="15141B"/>
          <w:sz w:val="21"/>
          <w:szCs w:val="21"/>
          <w:lang w:val="es-MX" w:eastAsia="en-US"/>
        </w:rPr>
        <w:t>De conformidad con el artículo 37, fracción VI de la Ley de Fiscalización Superior del Estado de Guanajuato, remítase el pre</w:t>
      </w:r>
      <w:r>
        <w:rPr>
          <w:rFonts w:ascii="Abadi" w:eastAsiaTheme="minorHAnsi" w:hAnsi="Abadi" w:cs="*Arial-3814-Identity-H"/>
          <w:color w:val="343050"/>
          <w:sz w:val="21"/>
          <w:szCs w:val="21"/>
          <w:lang w:val="es-MX" w:eastAsia="en-US"/>
        </w:rPr>
        <w:t xml:space="preserve">. </w:t>
      </w:r>
      <w:r>
        <w:rPr>
          <w:rFonts w:ascii="Abadi" w:eastAsiaTheme="minorHAnsi" w:hAnsi="Abadi" w:cs="*Arial-3814-Identity-H"/>
          <w:color w:val="15141B"/>
          <w:sz w:val="21"/>
          <w:szCs w:val="21"/>
          <w:lang w:val="es-MX" w:eastAsia="en-US"/>
        </w:rPr>
        <w:t xml:space="preserve">n e acuerdo junto con su dictamen y el informe de resultados a la Auditor' Superior del Estado, para </w:t>
      </w:r>
      <w:r>
        <w:rPr>
          <w:rFonts w:ascii="Abadi" w:eastAsiaTheme="minorHAnsi" w:hAnsi="Abadi" w:cs="*Arial-3814-Identity-H"/>
          <w:color w:val="16151D"/>
          <w:sz w:val="21"/>
          <w:szCs w:val="21"/>
          <w:lang w:val="es-MX" w:eastAsia="en-US"/>
        </w:rPr>
        <w:t>efectos de su notificación.</w:t>
      </w:r>
    </w:p>
    <w:p w14:paraId="09489B2D" w14:textId="77777777" w:rsidR="0019269C" w:rsidRDefault="0019269C" w:rsidP="0019269C">
      <w:pPr>
        <w:autoSpaceDE w:val="0"/>
        <w:autoSpaceDN w:val="0"/>
        <w:adjustRightInd w:val="0"/>
        <w:ind w:firstLine="708"/>
        <w:jc w:val="both"/>
        <w:rPr>
          <w:rFonts w:ascii="Abadi" w:hAnsi="Abadi" w:cs="*Arial-6038-Identity-H"/>
          <w:b/>
          <w:bCs/>
          <w:color w:val="0E0D10"/>
          <w:sz w:val="21"/>
          <w:szCs w:val="21"/>
        </w:rPr>
      </w:pPr>
    </w:p>
    <w:p w14:paraId="252AD57B" w14:textId="77777777" w:rsidR="0019269C" w:rsidRDefault="0019269C" w:rsidP="0019269C">
      <w:pPr>
        <w:autoSpaceDE w:val="0"/>
        <w:autoSpaceDN w:val="0"/>
        <w:adjustRightInd w:val="0"/>
        <w:ind w:firstLine="708"/>
        <w:jc w:val="both"/>
        <w:rPr>
          <w:rFonts w:ascii="Abadi" w:hAnsi="Abadi" w:cs="*Arial-6038-Identity-H"/>
          <w:b/>
          <w:bCs/>
          <w:color w:val="0E0D10"/>
          <w:sz w:val="21"/>
          <w:szCs w:val="21"/>
        </w:rPr>
      </w:pPr>
    </w:p>
    <w:p w14:paraId="774C906B" w14:textId="77777777" w:rsidR="0019269C" w:rsidRDefault="0019269C" w:rsidP="0019269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Guanajuato, Gto., 5 de abril de 2022</w:t>
      </w:r>
    </w:p>
    <w:p w14:paraId="4F4D56AD" w14:textId="77777777" w:rsidR="0019269C" w:rsidRDefault="0019269C" w:rsidP="0019269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La Comisión de Hacienda y Fiscalización</w:t>
      </w:r>
    </w:p>
    <w:p w14:paraId="650303C9" w14:textId="77777777" w:rsidR="0019269C" w:rsidRDefault="0019269C" w:rsidP="0019269C">
      <w:pPr>
        <w:autoSpaceDE w:val="0"/>
        <w:autoSpaceDN w:val="0"/>
        <w:adjustRightInd w:val="0"/>
        <w:ind w:firstLine="708"/>
        <w:jc w:val="both"/>
        <w:rPr>
          <w:rFonts w:ascii="Abadi" w:hAnsi="Abadi" w:cs="*Arial-6038-Identity-H"/>
          <w:b/>
          <w:bCs/>
          <w:color w:val="0E0D10"/>
          <w:sz w:val="21"/>
          <w:szCs w:val="21"/>
        </w:rPr>
      </w:pPr>
    </w:p>
    <w:p w14:paraId="3FB52729" w14:textId="77777777" w:rsidR="0019269C" w:rsidRDefault="0019269C" w:rsidP="0019269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 Víctor Manuel Zanella Huerta</w:t>
      </w:r>
    </w:p>
    <w:p w14:paraId="2062109B" w14:textId="77777777" w:rsidR="0019269C" w:rsidRDefault="0019269C" w:rsidP="0019269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Diputada Ruth Noemí Tiscareño Agoitia</w:t>
      </w:r>
    </w:p>
    <w:p w14:paraId="6D23D9F4" w14:textId="77777777" w:rsidR="0019269C" w:rsidRDefault="0019269C" w:rsidP="0019269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Miguel ángel Salim Alle</w:t>
      </w:r>
    </w:p>
    <w:p w14:paraId="136D6911" w14:textId="77777777" w:rsidR="0019269C" w:rsidRDefault="0019269C" w:rsidP="0019269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José alonso Borja Pimentel</w:t>
      </w:r>
    </w:p>
    <w:p w14:paraId="67647BBA" w14:textId="77777777" w:rsidR="0019269C" w:rsidRDefault="0019269C" w:rsidP="0019269C">
      <w:pPr>
        <w:autoSpaceDE w:val="0"/>
        <w:autoSpaceDN w:val="0"/>
        <w:adjustRightInd w:val="0"/>
        <w:jc w:val="both"/>
        <w:rPr>
          <w:rFonts w:ascii="Abadi" w:hAnsi="Abadi"/>
          <w:b/>
          <w:bCs/>
          <w:sz w:val="21"/>
          <w:szCs w:val="21"/>
        </w:rPr>
      </w:pPr>
      <w:r>
        <w:rPr>
          <w:rFonts w:ascii="Abadi" w:hAnsi="Abadi" w:cs="*Arial-6038-Identity-H"/>
          <w:b/>
          <w:bCs/>
          <w:color w:val="0E0D10"/>
          <w:sz w:val="21"/>
          <w:szCs w:val="21"/>
        </w:rPr>
        <w:t>Diputada Alma Edwviges Alcaraz Hernández</w:t>
      </w:r>
    </w:p>
    <w:p w14:paraId="14EB8483" w14:textId="39697E82" w:rsidR="0019269C" w:rsidRDefault="0019269C" w:rsidP="0019269C">
      <w:pPr>
        <w:autoSpaceDE w:val="0"/>
        <w:autoSpaceDN w:val="0"/>
        <w:adjustRightInd w:val="0"/>
        <w:ind w:firstLine="708"/>
        <w:jc w:val="both"/>
        <w:rPr>
          <w:rFonts w:ascii="Abadi" w:hAnsi="Abadi"/>
          <w:sz w:val="21"/>
          <w:szCs w:val="21"/>
        </w:rPr>
      </w:pPr>
    </w:p>
    <w:p w14:paraId="1F272076" w14:textId="3B152389" w:rsidR="0019269C" w:rsidRDefault="0019269C" w:rsidP="0019269C">
      <w:pPr>
        <w:autoSpaceDE w:val="0"/>
        <w:autoSpaceDN w:val="0"/>
        <w:adjustRightInd w:val="0"/>
        <w:ind w:firstLine="708"/>
        <w:jc w:val="both"/>
        <w:rPr>
          <w:rFonts w:ascii="Abadi" w:hAnsi="Abadi"/>
          <w:sz w:val="21"/>
          <w:szCs w:val="21"/>
        </w:rPr>
      </w:pPr>
    </w:p>
    <w:p w14:paraId="4AB8FD9B" w14:textId="77777777" w:rsidR="006F3002" w:rsidRP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ACÁMBARO, GTO., CON</w:t>
      </w:r>
    </w:p>
    <w:p w14:paraId="35E6058A" w14:textId="3BE043CE" w:rsidR="006F3002" w:rsidRDefault="006F3002" w:rsidP="0019269C">
      <w:pPr>
        <w:pStyle w:val="Prrafodelista"/>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ENFOQUE A RESULTADOS DEL SERVICIO DE ALUMBRADO PÚBLICO, POR EL PERIODO COMPRENDIDO DEL 1 DE ENERO AL 31 DE DICIEMBRE DEL EJERCICIO FISCAL DEL AÑO 2020.</w:t>
      </w:r>
    </w:p>
    <w:p w14:paraId="259608EF" w14:textId="07E17D2A" w:rsidR="0019269C" w:rsidRDefault="0019269C" w:rsidP="0019269C">
      <w:pPr>
        <w:pStyle w:val="Prrafodelista"/>
        <w:autoSpaceDE w:val="0"/>
        <w:autoSpaceDN w:val="0"/>
        <w:adjustRightInd w:val="0"/>
        <w:ind w:left="426"/>
        <w:jc w:val="both"/>
        <w:rPr>
          <w:rFonts w:ascii="Abadi" w:hAnsi="Abadi" w:cs="ArialMT"/>
          <w:b/>
          <w:bCs/>
          <w:sz w:val="20"/>
          <w:szCs w:val="21"/>
        </w:rPr>
      </w:pPr>
    </w:p>
    <w:p w14:paraId="5EC4E50A" w14:textId="77777777" w:rsidR="005D7CEF" w:rsidRPr="00C0364D" w:rsidRDefault="005D7CEF" w:rsidP="005D7CEF">
      <w:pPr>
        <w:autoSpaceDE w:val="0"/>
        <w:autoSpaceDN w:val="0"/>
        <w:adjustRightInd w:val="0"/>
        <w:jc w:val="both"/>
        <w:rPr>
          <w:rFonts w:ascii="Abadi" w:hAnsi="Abadi" w:cs="*Arial-Bold-5478-Identity-H"/>
          <w:b/>
          <w:bCs/>
          <w:color w:val="14131D"/>
          <w:sz w:val="21"/>
          <w:szCs w:val="21"/>
        </w:rPr>
      </w:pPr>
      <w:r w:rsidRPr="00C0364D">
        <w:rPr>
          <w:rFonts w:ascii="Abadi" w:hAnsi="Abadi" w:cs="*Arial-Bold-5478-Identity-H"/>
          <w:b/>
          <w:bCs/>
          <w:color w:val="14131D"/>
          <w:sz w:val="21"/>
          <w:szCs w:val="21"/>
        </w:rPr>
        <w:t>C. PRESIDENTA DEL CONGRESO DEL ESTADO.</w:t>
      </w:r>
    </w:p>
    <w:p w14:paraId="4293970F" w14:textId="77777777" w:rsidR="005D7CEF" w:rsidRDefault="005D7CEF" w:rsidP="005D7CEF">
      <w:pPr>
        <w:autoSpaceDE w:val="0"/>
        <w:autoSpaceDN w:val="0"/>
        <w:adjustRightInd w:val="0"/>
        <w:jc w:val="both"/>
        <w:rPr>
          <w:rFonts w:ascii="Abadi" w:hAnsi="Abadi" w:cs="*Arial-Bold-5478-Identity-H"/>
          <w:b/>
          <w:bCs/>
          <w:color w:val="14131D"/>
          <w:sz w:val="21"/>
          <w:szCs w:val="21"/>
        </w:rPr>
      </w:pPr>
      <w:r w:rsidRPr="00C0364D">
        <w:rPr>
          <w:rFonts w:ascii="Abadi" w:hAnsi="Abadi" w:cs="*Arial-Bold-5478-Identity-H"/>
          <w:b/>
          <w:bCs/>
          <w:color w:val="14131D"/>
          <w:sz w:val="21"/>
          <w:szCs w:val="21"/>
        </w:rPr>
        <w:t>P R E S</w:t>
      </w:r>
      <w:r>
        <w:rPr>
          <w:rFonts w:ascii="Abadi" w:hAnsi="Abadi" w:cs="*Arial-Bold-5478-Identity-H"/>
          <w:b/>
          <w:bCs/>
          <w:color w:val="14131D"/>
          <w:sz w:val="21"/>
          <w:szCs w:val="21"/>
        </w:rPr>
        <w:t xml:space="preserve"> </w:t>
      </w:r>
      <w:r w:rsidRPr="00C0364D">
        <w:rPr>
          <w:rFonts w:ascii="Abadi" w:hAnsi="Abadi" w:cs="*Arial-Bold-5478-Identity-H"/>
          <w:b/>
          <w:bCs/>
          <w:color w:val="14131D"/>
          <w:sz w:val="21"/>
          <w:szCs w:val="21"/>
        </w:rPr>
        <w:t>E N T</w:t>
      </w:r>
      <w:r>
        <w:rPr>
          <w:rFonts w:ascii="Abadi" w:hAnsi="Abadi" w:cs="*Arial-Bold-5478-Identity-H"/>
          <w:b/>
          <w:bCs/>
          <w:color w:val="14131D"/>
          <w:sz w:val="21"/>
          <w:szCs w:val="21"/>
        </w:rPr>
        <w:t xml:space="preserve"> </w:t>
      </w:r>
      <w:r w:rsidRPr="00C0364D">
        <w:rPr>
          <w:rFonts w:ascii="Abadi" w:hAnsi="Abadi" w:cs="*Arial-Bold-5478-Identity-H"/>
          <w:b/>
          <w:bCs/>
          <w:color w:val="14131D"/>
          <w:sz w:val="21"/>
          <w:szCs w:val="21"/>
        </w:rPr>
        <w:t>E.</w:t>
      </w:r>
    </w:p>
    <w:p w14:paraId="3316FFE7" w14:textId="77777777" w:rsidR="005D7CEF" w:rsidRPr="00C0364D" w:rsidRDefault="005D7CEF" w:rsidP="005D7CEF">
      <w:pPr>
        <w:autoSpaceDE w:val="0"/>
        <w:autoSpaceDN w:val="0"/>
        <w:adjustRightInd w:val="0"/>
        <w:jc w:val="both"/>
        <w:rPr>
          <w:rFonts w:ascii="Abadi" w:hAnsi="Abadi" w:cs="*Arial-Bold-5478-Identity-H"/>
          <w:b/>
          <w:bCs/>
          <w:color w:val="14131D"/>
          <w:sz w:val="21"/>
          <w:szCs w:val="21"/>
        </w:rPr>
      </w:pPr>
    </w:p>
    <w:p w14:paraId="14641883" w14:textId="77777777" w:rsidR="005D7CEF" w:rsidRDefault="005D7CEF" w:rsidP="005D7CEF">
      <w:pPr>
        <w:autoSpaceDE w:val="0"/>
        <w:autoSpaceDN w:val="0"/>
        <w:adjustRightInd w:val="0"/>
        <w:ind w:firstLine="708"/>
        <w:jc w:val="both"/>
        <w:rPr>
          <w:rFonts w:ascii="Abadi" w:hAnsi="Abadi" w:cs="*Arial-5476-Identity-H"/>
          <w:color w:val="14141D"/>
          <w:sz w:val="21"/>
          <w:szCs w:val="21"/>
        </w:rPr>
      </w:pPr>
      <w:r w:rsidRPr="00C0364D">
        <w:rPr>
          <w:rFonts w:ascii="Abadi" w:hAnsi="Abadi" w:cs="*Arial-5476-Identity-H"/>
          <w:color w:val="14141D"/>
          <w:sz w:val="21"/>
          <w:szCs w:val="21"/>
        </w:rPr>
        <w:t>A esta Comisión de Hacienda y Fiscalización le fue turnado para su estudio dictamen, el informe de resultados de la auditoría de desempeño practicada por</w:t>
      </w:r>
      <w:r>
        <w:rPr>
          <w:rFonts w:ascii="Abadi" w:hAnsi="Abadi" w:cs="*Arial-5476-Identity-H"/>
          <w:color w:val="14141D"/>
          <w:sz w:val="21"/>
          <w:szCs w:val="21"/>
        </w:rPr>
        <w:t xml:space="preserve"> </w:t>
      </w:r>
      <w:r w:rsidRPr="00C0364D">
        <w:rPr>
          <w:rFonts w:ascii="Abadi" w:hAnsi="Abadi" w:cs="*Arial-5476-Identity-H"/>
          <w:color w:val="14141D"/>
          <w:sz w:val="21"/>
          <w:szCs w:val="21"/>
        </w:rPr>
        <w:t xml:space="preserve">la Auditoría Superior del Estado de Guanajuato a la administración municipal </w:t>
      </w:r>
      <w:r w:rsidRPr="00C0364D">
        <w:rPr>
          <w:rFonts w:ascii="Abadi" w:hAnsi="Abadi" w:cs="*Arial-5476-Identity-H"/>
          <w:color w:val="BDBDBD"/>
          <w:sz w:val="21"/>
          <w:szCs w:val="21"/>
        </w:rPr>
        <w:t>·</w:t>
      </w:r>
      <w:r w:rsidRPr="00C0364D">
        <w:rPr>
          <w:rFonts w:ascii="Abadi" w:hAnsi="Abadi" w:cs="*Arial-5476-Identity-H"/>
          <w:color w:val="14141D"/>
          <w:sz w:val="21"/>
          <w:szCs w:val="21"/>
        </w:rPr>
        <w:t>de</w:t>
      </w:r>
      <w:r>
        <w:rPr>
          <w:rFonts w:ascii="Abadi" w:hAnsi="Abadi" w:cs="*Arial-5476-Identity-H"/>
          <w:color w:val="14141D"/>
          <w:sz w:val="21"/>
          <w:szCs w:val="21"/>
        </w:rPr>
        <w:t xml:space="preserve"> </w:t>
      </w:r>
      <w:r w:rsidRPr="00C0364D">
        <w:rPr>
          <w:rFonts w:ascii="Abadi" w:hAnsi="Abadi" w:cs="*Arial-5476-Identity-H"/>
          <w:color w:val="14141D"/>
          <w:sz w:val="21"/>
          <w:szCs w:val="21"/>
        </w:rPr>
        <w:t>Acámbaro, Gto., con enfoque a resultados del servicio de alumbrado público, por</w:t>
      </w:r>
      <w:r>
        <w:rPr>
          <w:rFonts w:ascii="Abadi" w:hAnsi="Abadi" w:cs="*Arial-5476-Identity-H"/>
          <w:color w:val="14141D"/>
          <w:sz w:val="21"/>
          <w:szCs w:val="21"/>
        </w:rPr>
        <w:t xml:space="preserve"> </w:t>
      </w:r>
      <w:r w:rsidRPr="00C0364D">
        <w:rPr>
          <w:rFonts w:ascii="Abadi" w:hAnsi="Abadi" w:cs="*Arial-5476-Identity-H"/>
          <w:color w:val="14141D"/>
          <w:sz w:val="21"/>
          <w:szCs w:val="21"/>
        </w:rPr>
        <w:t>el periodo comprendido del 1 de enero al 31 de diciembre del ejercicio fiscal del</w:t>
      </w:r>
      <w:r>
        <w:rPr>
          <w:rFonts w:ascii="Abadi" w:hAnsi="Abadi" w:cs="*Arial-5476-Identity-H"/>
          <w:color w:val="14141D"/>
          <w:sz w:val="21"/>
          <w:szCs w:val="21"/>
        </w:rPr>
        <w:t xml:space="preserve"> </w:t>
      </w:r>
      <w:r w:rsidRPr="00C0364D">
        <w:rPr>
          <w:rFonts w:ascii="Abadi" w:hAnsi="Abadi" w:cs="*Arial-5476-Identity-H"/>
          <w:color w:val="14141D"/>
          <w:sz w:val="21"/>
          <w:szCs w:val="21"/>
        </w:rPr>
        <w:t>año 2020.</w:t>
      </w:r>
    </w:p>
    <w:p w14:paraId="5F0D1A07" w14:textId="77777777" w:rsidR="005D7CEF" w:rsidRPr="00C0364D" w:rsidRDefault="005D7CEF" w:rsidP="005D7CEF">
      <w:pPr>
        <w:autoSpaceDE w:val="0"/>
        <w:autoSpaceDN w:val="0"/>
        <w:adjustRightInd w:val="0"/>
        <w:jc w:val="both"/>
        <w:rPr>
          <w:rFonts w:ascii="Abadi" w:hAnsi="Abadi" w:cs="*Arial-5476-Identity-H"/>
          <w:color w:val="14141D"/>
          <w:sz w:val="21"/>
          <w:szCs w:val="21"/>
        </w:rPr>
      </w:pPr>
    </w:p>
    <w:p w14:paraId="14AC607A" w14:textId="77777777" w:rsidR="005D7CEF" w:rsidRPr="00C0364D" w:rsidRDefault="005D7CEF" w:rsidP="005D7CEF">
      <w:pPr>
        <w:autoSpaceDE w:val="0"/>
        <w:autoSpaceDN w:val="0"/>
        <w:adjustRightInd w:val="0"/>
        <w:ind w:firstLine="708"/>
        <w:jc w:val="both"/>
        <w:rPr>
          <w:rFonts w:ascii="Abadi" w:hAnsi="Abadi" w:cs="*Arial-5476-Identity-H"/>
          <w:color w:val="14141C"/>
          <w:sz w:val="21"/>
          <w:szCs w:val="21"/>
        </w:rPr>
      </w:pPr>
      <w:r w:rsidRPr="00C0364D">
        <w:rPr>
          <w:rFonts w:ascii="Abadi" w:hAnsi="Abadi" w:cs="*Arial-5476-Identity-H"/>
          <w:color w:val="14141C"/>
          <w:sz w:val="21"/>
          <w:szCs w:val="21"/>
        </w:rPr>
        <w:t>Una vez analizado el referido informe de resultados, con fundamento en los</w:t>
      </w:r>
      <w:r>
        <w:rPr>
          <w:rFonts w:ascii="Abadi" w:hAnsi="Abadi" w:cs="*Arial-5476-Identity-H"/>
          <w:color w:val="14141C"/>
          <w:sz w:val="21"/>
          <w:szCs w:val="21"/>
        </w:rPr>
        <w:t xml:space="preserve"> </w:t>
      </w:r>
      <w:r w:rsidRPr="00C0364D">
        <w:rPr>
          <w:rFonts w:ascii="Abadi" w:hAnsi="Abadi" w:cs="*Arial-5476-Identity-H"/>
          <w:color w:val="14141C"/>
          <w:sz w:val="21"/>
          <w:szCs w:val="21"/>
        </w:rPr>
        <w:t xml:space="preserve">artículos 112 fracción </w:t>
      </w:r>
      <w:r w:rsidRPr="00C0364D">
        <w:rPr>
          <w:rFonts w:ascii="Abadi" w:hAnsi="Abadi" w:cs="*Microsoft Sans Serif-Bold-5479"/>
          <w:color w:val="14141C"/>
          <w:sz w:val="21"/>
          <w:szCs w:val="21"/>
        </w:rPr>
        <w:t xml:space="preserve">XII, </w:t>
      </w:r>
      <w:r w:rsidRPr="00C0364D">
        <w:rPr>
          <w:rFonts w:ascii="Abadi" w:hAnsi="Abadi" w:cs="*Arial-5476-Identity-H"/>
          <w:color w:val="14141C"/>
          <w:sz w:val="21"/>
          <w:szCs w:val="21"/>
        </w:rPr>
        <w:t>primer párrafo y 171 de la Ley Orgánica del Poder</w:t>
      </w:r>
      <w:r>
        <w:rPr>
          <w:rFonts w:ascii="Abadi" w:hAnsi="Abadi" w:cs="*Arial-5476-Identity-H"/>
          <w:color w:val="14141C"/>
          <w:sz w:val="21"/>
          <w:szCs w:val="21"/>
        </w:rPr>
        <w:t xml:space="preserve"> </w:t>
      </w:r>
      <w:r w:rsidRPr="00C0364D">
        <w:rPr>
          <w:rFonts w:ascii="Abadi" w:hAnsi="Abadi" w:cs="*Arial-5476-Identity-H"/>
          <w:color w:val="14141C"/>
          <w:sz w:val="21"/>
          <w:szCs w:val="21"/>
        </w:rPr>
        <w:t>Legislativo, nos permitimos rendir el siguiente:</w:t>
      </w:r>
    </w:p>
    <w:p w14:paraId="33FDEB4F" w14:textId="77777777" w:rsidR="005D7CEF" w:rsidRDefault="005D7CEF" w:rsidP="005D7CEF">
      <w:pPr>
        <w:autoSpaceDE w:val="0"/>
        <w:autoSpaceDN w:val="0"/>
        <w:adjustRightInd w:val="0"/>
        <w:jc w:val="both"/>
        <w:rPr>
          <w:rFonts w:ascii="Abadi" w:hAnsi="Abadi" w:cs="*Arial-Bold-5477-Identity-H"/>
          <w:b/>
          <w:bCs/>
          <w:color w:val="15131E"/>
          <w:sz w:val="21"/>
          <w:szCs w:val="21"/>
        </w:rPr>
      </w:pPr>
    </w:p>
    <w:p w14:paraId="2F38F803" w14:textId="77777777" w:rsidR="005D7CEF" w:rsidRPr="00C0364D" w:rsidRDefault="005D7CEF" w:rsidP="005D7CEF">
      <w:pPr>
        <w:autoSpaceDE w:val="0"/>
        <w:autoSpaceDN w:val="0"/>
        <w:adjustRightInd w:val="0"/>
        <w:jc w:val="center"/>
        <w:rPr>
          <w:rFonts w:ascii="Abadi" w:hAnsi="Abadi" w:cs="*Arial-Bold-5477-Identity-H"/>
          <w:b/>
          <w:bCs/>
          <w:color w:val="15131E"/>
          <w:sz w:val="21"/>
          <w:szCs w:val="21"/>
        </w:rPr>
      </w:pPr>
      <w:r w:rsidRPr="00C0364D">
        <w:rPr>
          <w:rFonts w:ascii="Abadi" w:hAnsi="Abadi" w:cs="*Arial-Bold-5477-Identity-H"/>
          <w:b/>
          <w:bCs/>
          <w:color w:val="15131E"/>
          <w:sz w:val="21"/>
          <w:szCs w:val="21"/>
        </w:rPr>
        <w:t>Dictamen</w:t>
      </w:r>
    </w:p>
    <w:p w14:paraId="378F5B6A" w14:textId="77777777" w:rsidR="005D7CEF" w:rsidRDefault="005D7CEF" w:rsidP="005D7CEF">
      <w:pPr>
        <w:autoSpaceDE w:val="0"/>
        <w:autoSpaceDN w:val="0"/>
        <w:adjustRightInd w:val="0"/>
        <w:jc w:val="both"/>
        <w:rPr>
          <w:rFonts w:ascii="Abadi" w:hAnsi="Abadi" w:cs="*Arial-Bold-5477-Identity-H"/>
          <w:b/>
          <w:bCs/>
          <w:color w:val="15131E"/>
          <w:sz w:val="21"/>
          <w:szCs w:val="21"/>
        </w:rPr>
      </w:pPr>
    </w:p>
    <w:p w14:paraId="11B2C08F" w14:textId="77777777" w:rsidR="005D7CEF" w:rsidRDefault="005D7CEF" w:rsidP="005D7CEF">
      <w:pPr>
        <w:autoSpaceDE w:val="0"/>
        <w:autoSpaceDN w:val="0"/>
        <w:adjustRightInd w:val="0"/>
        <w:ind w:firstLine="708"/>
        <w:jc w:val="both"/>
        <w:rPr>
          <w:rFonts w:ascii="Abadi" w:hAnsi="Abadi" w:cs="*Arial-Bold-5477-Identity-H"/>
          <w:b/>
          <w:bCs/>
          <w:color w:val="15131E"/>
          <w:sz w:val="21"/>
          <w:szCs w:val="21"/>
        </w:rPr>
      </w:pPr>
      <w:r w:rsidRPr="00C0364D">
        <w:rPr>
          <w:rFonts w:ascii="Abadi" w:hAnsi="Abadi" w:cs="*Arial-Bold-5477-Identity-H"/>
          <w:b/>
          <w:bCs/>
          <w:color w:val="15131E"/>
          <w:sz w:val="21"/>
          <w:szCs w:val="21"/>
        </w:rPr>
        <w:t>l. Competencia:</w:t>
      </w:r>
    </w:p>
    <w:p w14:paraId="1191F9A1" w14:textId="77777777" w:rsidR="005D7CEF" w:rsidRPr="00C0364D" w:rsidRDefault="005D7CEF" w:rsidP="005D7CEF">
      <w:pPr>
        <w:autoSpaceDE w:val="0"/>
        <w:autoSpaceDN w:val="0"/>
        <w:adjustRightInd w:val="0"/>
        <w:jc w:val="both"/>
        <w:rPr>
          <w:rFonts w:ascii="Abadi" w:hAnsi="Abadi" w:cs="*Arial-Bold-5477-Identity-H"/>
          <w:b/>
          <w:bCs/>
          <w:color w:val="15131E"/>
          <w:sz w:val="21"/>
          <w:szCs w:val="21"/>
        </w:rPr>
      </w:pPr>
    </w:p>
    <w:p w14:paraId="28225A80" w14:textId="77777777" w:rsidR="005D7CEF" w:rsidRDefault="005D7CEF" w:rsidP="005D7CEF">
      <w:pPr>
        <w:autoSpaceDE w:val="0"/>
        <w:autoSpaceDN w:val="0"/>
        <w:adjustRightInd w:val="0"/>
        <w:ind w:firstLine="708"/>
        <w:jc w:val="both"/>
        <w:rPr>
          <w:rFonts w:ascii="Abadi" w:hAnsi="Abadi" w:cs="*Arial-5476-Identity-H"/>
          <w:color w:val="14141C"/>
          <w:sz w:val="21"/>
          <w:szCs w:val="21"/>
        </w:rPr>
      </w:pPr>
      <w:r w:rsidRPr="00C0364D">
        <w:rPr>
          <w:rFonts w:ascii="Abadi" w:hAnsi="Abadi" w:cs="*Arial-5476-Identity-H"/>
          <w:color w:val="14141C"/>
          <w:sz w:val="21"/>
          <w:szCs w:val="21"/>
        </w:rPr>
        <w:t>Las facultades de la legislatura local en materia de fiscalización de las</w:t>
      </w:r>
      <w:r>
        <w:rPr>
          <w:rFonts w:ascii="Abadi" w:hAnsi="Abadi" w:cs="*Arial-5476-Identity-H"/>
          <w:color w:val="14141C"/>
          <w:sz w:val="21"/>
          <w:szCs w:val="21"/>
        </w:rPr>
        <w:t xml:space="preserve"> </w:t>
      </w:r>
      <w:r w:rsidRPr="00C0364D">
        <w:rPr>
          <w:rFonts w:ascii="Abadi" w:hAnsi="Abadi" w:cs="*Arial-5476-Identity-H"/>
          <w:color w:val="14141C"/>
          <w:sz w:val="21"/>
          <w:szCs w:val="21"/>
        </w:rPr>
        <w:t>cuentas públicas tienen su fundamento en lo dispuesto por el artículo 63</w:t>
      </w:r>
      <w:r>
        <w:rPr>
          <w:rFonts w:ascii="Abadi" w:hAnsi="Abadi" w:cs="*Arial-5476-Identity-H"/>
          <w:color w:val="14141C"/>
          <w:sz w:val="21"/>
          <w:szCs w:val="21"/>
        </w:rPr>
        <w:t xml:space="preserve"> </w:t>
      </w:r>
      <w:r w:rsidRPr="00C0364D">
        <w:rPr>
          <w:rFonts w:ascii="Abadi" w:hAnsi="Abadi" w:cs="*Arial-5476-Identity-H"/>
          <w:color w:val="14141C"/>
          <w:sz w:val="21"/>
          <w:szCs w:val="21"/>
        </w:rPr>
        <w:t xml:space="preserve">fracciones </w:t>
      </w:r>
      <w:r w:rsidRPr="00C0364D">
        <w:rPr>
          <w:rFonts w:ascii="Abadi" w:hAnsi="Abadi" w:cs="*Microsoft Sans Serif-Bold-5479"/>
          <w:color w:val="14141C"/>
          <w:sz w:val="21"/>
          <w:szCs w:val="21"/>
        </w:rPr>
        <w:t xml:space="preserve">XVIII, XIX </w:t>
      </w:r>
      <w:r w:rsidRPr="00C0364D">
        <w:rPr>
          <w:rFonts w:ascii="Abadi" w:hAnsi="Abadi" w:cs="*Arial-5476-Identity-H"/>
          <w:color w:val="14141C"/>
          <w:sz w:val="21"/>
          <w:szCs w:val="21"/>
        </w:rPr>
        <w:t xml:space="preserve">y </w:t>
      </w:r>
      <w:r w:rsidRPr="00C0364D">
        <w:rPr>
          <w:rFonts w:ascii="Abadi" w:hAnsi="Abadi" w:cs="*Microsoft Sans Serif-Bold-5479"/>
          <w:color w:val="14141C"/>
          <w:sz w:val="21"/>
          <w:szCs w:val="21"/>
        </w:rPr>
        <w:t xml:space="preserve">XXVIII </w:t>
      </w:r>
      <w:r w:rsidRPr="00C0364D">
        <w:rPr>
          <w:rFonts w:ascii="Abadi" w:hAnsi="Abadi" w:cs="*Arial-5476-Identity-H"/>
          <w:color w:val="14141C"/>
          <w:sz w:val="21"/>
          <w:szCs w:val="21"/>
        </w:rPr>
        <w:t>de la Constitución Política para el Estado de</w:t>
      </w:r>
      <w:r>
        <w:rPr>
          <w:rFonts w:ascii="Abadi" w:hAnsi="Abadi" w:cs="*Arial-5476-Identity-H"/>
          <w:color w:val="14141C"/>
          <w:sz w:val="21"/>
          <w:szCs w:val="21"/>
        </w:rPr>
        <w:t xml:space="preserve"> </w:t>
      </w:r>
      <w:r w:rsidRPr="00C0364D">
        <w:rPr>
          <w:rFonts w:ascii="Abadi" w:hAnsi="Abadi" w:cs="*Arial-5476-Identity-H"/>
          <w:color w:val="14141C"/>
          <w:sz w:val="21"/>
          <w:szCs w:val="21"/>
        </w:rPr>
        <w:t>Guanajuato. Estos dispositivos establecen que el Congreso del Estado tiene la</w:t>
      </w:r>
      <w:r>
        <w:rPr>
          <w:rFonts w:ascii="Abadi" w:hAnsi="Abadi" w:cs="*Arial-5476-Identity-H"/>
          <w:color w:val="14141C"/>
          <w:sz w:val="21"/>
          <w:szCs w:val="21"/>
        </w:rPr>
        <w:t xml:space="preserve"> </w:t>
      </w:r>
      <w:r w:rsidRPr="00C0364D">
        <w:rPr>
          <w:rFonts w:ascii="Abadi" w:hAnsi="Abadi" w:cs="*Arial-5476-Identity-H"/>
          <w:color w:val="14141C"/>
          <w:sz w:val="21"/>
          <w:szCs w:val="21"/>
        </w:rPr>
        <w:t>facultad de fiscalizar la cuenta pública del Poder Ejecutivo, incluyendo las de las</w:t>
      </w:r>
      <w:r>
        <w:rPr>
          <w:rFonts w:ascii="Abadi" w:hAnsi="Abadi" w:cs="*Arial-5476-Identity-H"/>
          <w:color w:val="14141C"/>
          <w:sz w:val="21"/>
          <w:szCs w:val="21"/>
        </w:rPr>
        <w:t xml:space="preserve"> </w:t>
      </w:r>
      <w:r w:rsidRPr="00C0364D">
        <w:rPr>
          <w:rFonts w:ascii="Abadi" w:hAnsi="Abadi" w:cs="*Arial-5476-Identity-H"/>
          <w:color w:val="14141C"/>
          <w:sz w:val="21"/>
          <w:szCs w:val="21"/>
        </w:rPr>
        <w:t>entidades y organismos de la administración pública paraestatal, las del Poder</w:t>
      </w:r>
      <w:r>
        <w:rPr>
          <w:rFonts w:ascii="Abadi" w:hAnsi="Abadi" w:cs="*Arial-5476-Identity-H"/>
          <w:color w:val="14141C"/>
          <w:sz w:val="21"/>
          <w:szCs w:val="21"/>
        </w:rPr>
        <w:t xml:space="preserve"> </w:t>
      </w:r>
      <w:r w:rsidRPr="00C0364D">
        <w:rPr>
          <w:rFonts w:ascii="Abadi" w:hAnsi="Abadi" w:cs="*Arial-5476-Identity-H"/>
          <w:color w:val="14141C"/>
          <w:sz w:val="21"/>
          <w:szCs w:val="21"/>
        </w:rPr>
        <w:t>Judicial y de los organismos autónomos; así como las cuentas públicas</w:t>
      </w:r>
      <w:r>
        <w:rPr>
          <w:rFonts w:ascii="Abadi" w:hAnsi="Abadi" w:cs="*Arial-5476-Identity-H"/>
          <w:color w:val="14141C"/>
          <w:sz w:val="21"/>
          <w:szCs w:val="21"/>
        </w:rPr>
        <w:t xml:space="preserve"> </w:t>
      </w:r>
      <w:r w:rsidRPr="00C0364D">
        <w:rPr>
          <w:rFonts w:ascii="Abadi" w:hAnsi="Abadi" w:cs="*Arial-5476-Identity-H"/>
          <w:color w:val="14141C"/>
          <w:sz w:val="21"/>
          <w:szCs w:val="21"/>
        </w:rPr>
        <w:t>municipales, incluyendo las de las entidades y organismos de la administración</w:t>
      </w:r>
      <w:r>
        <w:rPr>
          <w:rFonts w:ascii="Abadi" w:hAnsi="Abadi" w:cs="*Arial-5476-Identity-H"/>
          <w:color w:val="14141C"/>
          <w:sz w:val="21"/>
          <w:szCs w:val="21"/>
        </w:rPr>
        <w:t xml:space="preserve"> </w:t>
      </w:r>
      <w:r w:rsidRPr="00C0364D">
        <w:rPr>
          <w:rFonts w:ascii="Abadi" w:hAnsi="Abadi" w:cs="*Arial-5476-Identity-H"/>
          <w:color w:val="14141C"/>
          <w:sz w:val="21"/>
          <w:szCs w:val="21"/>
        </w:rPr>
        <w:t>pública paramunicipal; y verificar el desempeño en el cumplimiento de los</w:t>
      </w:r>
      <w:r>
        <w:rPr>
          <w:rFonts w:ascii="Abadi" w:hAnsi="Abadi" w:cs="*Arial-5476-Identity-H"/>
          <w:color w:val="14141C"/>
          <w:sz w:val="21"/>
          <w:szCs w:val="21"/>
        </w:rPr>
        <w:t xml:space="preserve"> </w:t>
      </w:r>
      <w:r w:rsidRPr="00C0364D">
        <w:rPr>
          <w:rFonts w:ascii="Abadi" w:hAnsi="Abadi" w:cs="*Arial-5476-Identity-H"/>
          <w:color w:val="14141C"/>
          <w:sz w:val="21"/>
          <w:szCs w:val="21"/>
        </w:rPr>
        <w:t>objetivos de los programas. De igual manera, puede acordar la práctica de</w:t>
      </w:r>
      <w:r>
        <w:rPr>
          <w:rFonts w:ascii="Abadi" w:hAnsi="Abadi" w:cs="*Arial-5476-Identity-H"/>
          <w:color w:val="14141C"/>
          <w:sz w:val="21"/>
          <w:szCs w:val="21"/>
        </w:rPr>
        <w:t xml:space="preserve"> </w:t>
      </w:r>
      <w:r w:rsidRPr="00C0364D">
        <w:rPr>
          <w:rFonts w:ascii="Abadi" w:hAnsi="Abadi" w:cs="*Arial-5476-Identity-H"/>
          <w:color w:val="14141C"/>
          <w:sz w:val="21"/>
          <w:szCs w:val="21"/>
        </w:rPr>
        <w:t>auditorías a los sujetos de fiscalización, cuando exista causa justificada para ello,</w:t>
      </w:r>
      <w:r>
        <w:rPr>
          <w:rFonts w:ascii="Abadi" w:hAnsi="Abadi" w:cs="*Arial-5476-Identity-H"/>
          <w:color w:val="14141C"/>
          <w:sz w:val="21"/>
          <w:szCs w:val="21"/>
        </w:rPr>
        <w:t xml:space="preserve"> </w:t>
      </w:r>
      <w:r w:rsidRPr="00C0364D">
        <w:rPr>
          <w:rFonts w:ascii="Abadi" w:hAnsi="Abadi" w:cs="*Arial-5476-Identity-H"/>
          <w:color w:val="14141C"/>
          <w:sz w:val="21"/>
          <w:szCs w:val="21"/>
        </w:rPr>
        <w:t>auxiliándose para el cumplimiento de dichas facultades por la Auditoría Superior</w:t>
      </w:r>
      <w:r>
        <w:rPr>
          <w:rFonts w:ascii="Abadi" w:hAnsi="Abadi" w:cs="*Arial-5476-Identity-H"/>
          <w:color w:val="14141C"/>
          <w:sz w:val="21"/>
          <w:szCs w:val="21"/>
        </w:rPr>
        <w:t xml:space="preserve"> </w:t>
      </w:r>
      <w:r w:rsidRPr="00C0364D">
        <w:rPr>
          <w:rFonts w:ascii="Abadi" w:hAnsi="Abadi" w:cs="*Arial-5476-Identity-H"/>
          <w:color w:val="14141C"/>
          <w:sz w:val="21"/>
          <w:szCs w:val="21"/>
        </w:rPr>
        <w:t>del Estado de Guanajuato.</w:t>
      </w:r>
    </w:p>
    <w:p w14:paraId="48F69F24" w14:textId="77777777" w:rsidR="005D7CEF" w:rsidRPr="00C0364D" w:rsidRDefault="005D7CEF" w:rsidP="005D7CEF">
      <w:pPr>
        <w:autoSpaceDE w:val="0"/>
        <w:autoSpaceDN w:val="0"/>
        <w:adjustRightInd w:val="0"/>
        <w:jc w:val="both"/>
        <w:rPr>
          <w:rFonts w:ascii="Abadi" w:hAnsi="Abadi" w:cs="*Arial-5476-Identity-H"/>
          <w:color w:val="14141C"/>
          <w:sz w:val="21"/>
          <w:szCs w:val="21"/>
        </w:rPr>
      </w:pPr>
    </w:p>
    <w:p w14:paraId="3843FC39" w14:textId="77777777" w:rsidR="005D7CEF" w:rsidRPr="00C0364D" w:rsidRDefault="005D7CEF" w:rsidP="005D7CEF">
      <w:pPr>
        <w:autoSpaceDE w:val="0"/>
        <w:autoSpaceDN w:val="0"/>
        <w:adjustRightInd w:val="0"/>
        <w:ind w:firstLine="708"/>
        <w:jc w:val="both"/>
        <w:rPr>
          <w:rFonts w:ascii="Abadi" w:hAnsi="Abadi" w:cs="*Arial-5476-Identity-H"/>
          <w:color w:val="15141C"/>
          <w:sz w:val="21"/>
          <w:szCs w:val="21"/>
        </w:rPr>
      </w:pPr>
      <w:r w:rsidRPr="00C0364D">
        <w:rPr>
          <w:rFonts w:ascii="Abadi" w:hAnsi="Abadi" w:cs="*Arial-5476-Identity-H"/>
          <w:color w:val="15141C"/>
          <w:sz w:val="21"/>
          <w:szCs w:val="21"/>
        </w:rPr>
        <w:t>Asimismo, el artículo 66 fracción VIII de dicho Ordenamiento Constitucional</w:t>
      </w:r>
      <w:r>
        <w:rPr>
          <w:rFonts w:ascii="Abadi" w:hAnsi="Abadi" w:cs="*Arial-5476-Identity-H"/>
          <w:color w:val="15141C"/>
          <w:sz w:val="21"/>
          <w:szCs w:val="21"/>
        </w:rPr>
        <w:t xml:space="preserve"> </w:t>
      </w:r>
      <w:r w:rsidRPr="00C0364D">
        <w:rPr>
          <w:rFonts w:ascii="Abadi" w:hAnsi="Abadi" w:cs="*Arial-5476-Identity-H"/>
          <w:color w:val="15141C"/>
          <w:sz w:val="21"/>
          <w:szCs w:val="21"/>
        </w:rPr>
        <w:t>establece que la Auditoría Superior del Estado de Guanajuato deberá informar al</w:t>
      </w:r>
      <w:r>
        <w:rPr>
          <w:rFonts w:ascii="Abadi" w:hAnsi="Abadi" w:cs="*Arial-5476-Identity-H"/>
          <w:color w:val="15141C"/>
          <w:sz w:val="21"/>
          <w:szCs w:val="21"/>
        </w:rPr>
        <w:t xml:space="preserve"> </w:t>
      </w:r>
      <w:r w:rsidRPr="00C0364D">
        <w:rPr>
          <w:rFonts w:ascii="Abadi" w:hAnsi="Abadi" w:cs="*Arial-5476-Identity-H"/>
          <w:color w:val="15141C"/>
          <w:sz w:val="21"/>
          <w:szCs w:val="21"/>
        </w:rPr>
        <w:t>Congreso del Estado del resultado de la revisión de la cuenta pública y demás</w:t>
      </w:r>
      <w:r>
        <w:rPr>
          <w:rFonts w:ascii="Abadi" w:hAnsi="Abadi" w:cs="*Arial-5476-Identity-H"/>
          <w:color w:val="15141C"/>
          <w:sz w:val="21"/>
          <w:szCs w:val="21"/>
        </w:rPr>
        <w:t xml:space="preserve"> </w:t>
      </w:r>
      <w:r w:rsidRPr="00C0364D">
        <w:rPr>
          <w:rFonts w:ascii="Abadi" w:hAnsi="Abadi" w:cs="*Arial-5476-Identity-H"/>
          <w:color w:val="15141C"/>
          <w:sz w:val="21"/>
          <w:szCs w:val="21"/>
        </w:rPr>
        <w:t>asuntos derivados de la fiscalización, incluyendo los dictámenes, informes de</w:t>
      </w:r>
      <w:r>
        <w:rPr>
          <w:rFonts w:ascii="Abadi" w:hAnsi="Abadi" w:cs="*Arial-5476-Identity-H"/>
          <w:color w:val="15141C"/>
          <w:sz w:val="21"/>
          <w:szCs w:val="21"/>
        </w:rPr>
        <w:t xml:space="preserve"> </w:t>
      </w:r>
      <w:r w:rsidRPr="00C0364D">
        <w:rPr>
          <w:rFonts w:ascii="Abadi" w:hAnsi="Abadi" w:cs="*Arial-5476-Identity-H"/>
          <w:color w:val="15141C"/>
          <w:sz w:val="21"/>
          <w:szCs w:val="21"/>
        </w:rPr>
        <w:t>resultados, comentarios y observaciones de las auditorías, constituyendo una de</w:t>
      </w:r>
      <w:r>
        <w:rPr>
          <w:rFonts w:ascii="Abadi" w:hAnsi="Abadi" w:cs="*Arial-5476-Identity-H"/>
          <w:color w:val="15141C"/>
          <w:sz w:val="21"/>
          <w:szCs w:val="21"/>
        </w:rPr>
        <w:t xml:space="preserve"> </w:t>
      </w:r>
      <w:r w:rsidRPr="00C0364D">
        <w:rPr>
          <w:rFonts w:ascii="Abadi" w:hAnsi="Abadi" w:cs="*Arial-5476-Identity-H"/>
          <w:color w:val="15141C"/>
          <w:sz w:val="21"/>
          <w:szCs w:val="21"/>
        </w:rPr>
        <w:t>las fases del proceso de fiscalización.</w:t>
      </w:r>
    </w:p>
    <w:p w14:paraId="232FEFE0" w14:textId="77777777" w:rsidR="005D7CEF" w:rsidRPr="00C0364D" w:rsidRDefault="005D7CEF" w:rsidP="005D7CEF">
      <w:pPr>
        <w:jc w:val="both"/>
        <w:rPr>
          <w:rFonts w:ascii="Abadi" w:hAnsi="Abadi" w:cs="*Arial-5476-Identity-H"/>
          <w:color w:val="15141C"/>
          <w:sz w:val="21"/>
          <w:szCs w:val="21"/>
        </w:rPr>
      </w:pPr>
    </w:p>
    <w:p w14:paraId="01121DB3" w14:textId="77777777" w:rsidR="005D7CEF" w:rsidRDefault="005D7CEF" w:rsidP="005D7CEF">
      <w:pPr>
        <w:autoSpaceDE w:val="0"/>
        <w:autoSpaceDN w:val="0"/>
        <w:adjustRightInd w:val="0"/>
        <w:ind w:firstLine="708"/>
        <w:jc w:val="both"/>
        <w:rPr>
          <w:rFonts w:ascii="Abadi" w:hAnsi="Abadi" w:cs="*Arial-5068-Identity-H"/>
          <w:color w:val="14131C"/>
          <w:sz w:val="21"/>
          <w:szCs w:val="21"/>
        </w:rPr>
      </w:pPr>
      <w:r w:rsidRPr="00C0364D">
        <w:rPr>
          <w:rFonts w:ascii="Abadi" w:hAnsi="Abadi" w:cs="*Arial-5068-Identity-H"/>
          <w:color w:val="14131C"/>
          <w:sz w:val="21"/>
          <w:szCs w:val="21"/>
        </w:rPr>
        <w:t xml:space="preserve">De igual forma, el artículo 82, fracción </w:t>
      </w:r>
      <w:r w:rsidRPr="00C0364D">
        <w:rPr>
          <w:rFonts w:ascii="Abadi" w:hAnsi="Abadi" w:cs="*Arial-Bold-5070-Identity-H"/>
          <w:color w:val="14131C"/>
          <w:sz w:val="21"/>
          <w:szCs w:val="21"/>
        </w:rPr>
        <w:t xml:space="preserve">XXIV </w:t>
      </w:r>
      <w:r w:rsidRPr="00C0364D">
        <w:rPr>
          <w:rFonts w:ascii="Abadi" w:hAnsi="Abadi" w:cs="*Arial-5068-Identity-H"/>
          <w:color w:val="14131C"/>
          <w:sz w:val="21"/>
          <w:szCs w:val="21"/>
        </w:rPr>
        <w:t>de la Ley de Fiscalización</w:t>
      </w:r>
      <w:r>
        <w:rPr>
          <w:rFonts w:ascii="Abadi" w:hAnsi="Abadi" w:cs="*Arial-5068-Identity-H"/>
          <w:color w:val="14131C"/>
          <w:sz w:val="21"/>
          <w:szCs w:val="21"/>
        </w:rPr>
        <w:t xml:space="preserve"> </w:t>
      </w:r>
      <w:r w:rsidRPr="00C0364D">
        <w:rPr>
          <w:rFonts w:ascii="Abadi" w:hAnsi="Abadi" w:cs="*Arial-5068-Identity-H"/>
          <w:color w:val="14131C"/>
          <w:sz w:val="21"/>
          <w:szCs w:val="21"/>
        </w:rPr>
        <w:t>Superior del Estado de Guanajuato establece como atribución de la Auditoría</w:t>
      </w:r>
      <w:r>
        <w:rPr>
          <w:rFonts w:ascii="Abadi" w:hAnsi="Abadi" w:cs="*Arial-5068-Identity-H"/>
          <w:color w:val="14131C"/>
          <w:sz w:val="21"/>
          <w:szCs w:val="21"/>
        </w:rPr>
        <w:t xml:space="preserve"> </w:t>
      </w:r>
      <w:r w:rsidRPr="00C0364D">
        <w:rPr>
          <w:rFonts w:ascii="Abadi" w:hAnsi="Abadi" w:cs="*Arial-5068-Identity-H"/>
          <w:color w:val="14131C"/>
          <w:sz w:val="21"/>
          <w:szCs w:val="21"/>
        </w:rPr>
        <w:t>Superior del Estado, rendir al Congreso, los informes derivados del ejercicio de la</w:t>
      </w:r>
      <w:r>
        <w:rPr>
          <w:rFonts w:ascii="Abadi" w:hAnsi="Abadi" w:cs="*Arial-5068-Identity-H"/>
          <w:color w:val="14131C"/>
          <w:sz w:val="21"/>
          <w:szCs w:val="21"/>
        </w:rPr>
        <w:t xml:space="preserve"> </w:t>
      </w:r>
      <w:r w:rsidRPr="00C0364D">
        <w:rPr>
          <w:rFonts w:ascii="Abadi" w:hAnsi="Abadi" w:cs="*Arial-5068-Identity-H"/>
          <w:color w:val="14131C"/>
          <w:sz w:val="21"/>
          <w:szCs w:val="21"/>
        </w:rPr>
        <w:t>función de fiscalización.</w:t>
      </w:r>
    </w:p>
    <w:p w14:paraId="2F0A0DC8" w14:textId="77777777" w:rsidR="005D7CEF" w:rsidRPr="00C0364D" w:rsidRDefault="005D7CEF" w:rsidP="005D7CEF">
      <w:pPr>
        <w:autoSpaceDE w:val="0"/>
        <w:autoSpaceDN w:val="0"/>
        <w:adjustRightInd w:val="0"/>
        <w:jc w:val="both"/>
        <w:rPr>
          <w:rFonts w:ascii="Abadi" w:hAnsi="Abadi" w:cs="*Arial-5068-Identity-H"/>
          <w:color w:val="14131C"/>
          <w:sz w:val="21"/>
          <w:szCs w:val="21"/>
        </w:rPr>
      </w:pPr>
    </w:p>
    <w:p w14:paraId="2FBF7C83" w14:textId="77777777" w:rsidR="005D7CEF" w:rsidRDefault="005D7CEF" w:rsidP="005D7CEF">
      <w:pPr>
        <w:autoSpaceDE w:val="0"/>
        <w:autoSpaceDN w:val="0"/>
        <w:adjustRightInd w:val="0"/>
        <w:ind w:firstLine="708"/>
        <w:jc w:val="both"/>
        <w:rPr>
          <w:rFonts w:ascii="Abadi" w:hAnsi="Abadi" w:cs="*Arial-5068-Identity-H"/>
          <w:color w:val="14131B"/>
          <w:sz w:val="21"/>
          <w:szCs w:val="21"/>
        </w:rPr>
      </w:pPr>
      <w:r w:rsidRPr="00C0364D">
        <w:rPr>
          <w:rFonts w:ascii="Abadi" w:hAnsi="Abadi" w:cs="*Arial-5068-Identity-H"/>
          <w:color w:val="14131B"/>
          <w:sz w:val="21"/>
          <w:szCs w:val="21"/>
        </w:rPr>
        <w:t>En razón de lo cual, la Ley de Fiscalización Superior del Estado de</w:t>
      </w:r>
      <w:r>
        <w:rPr>
          <w:rFonts w:ascii="Abadi" w:hAnsi="Abadi" w:cs="*Arial-5068-Identity-H"/>
          <w:color w:val="14131B"/>
          <w:sz w:val="21"/>
          <w:szCs w:val="21"/>
        </w:rPr>
        <w:t xml:space="preserve"> </w:t>
      </w:r>
      <w:r w:rsidRPr="00C0364D">
        <w:rPr>
          <w:rFonts w:ascii="Abadi" w:hAnsi="Abadi" w:cs="*Arial-5068-Identity-H"/>
          <w:color w:val="14131B"/>
          <w:sz w:val="21"/>
          <w:szCs w:val="21"/>
        </w:rPr>
        <w:t>Guanajuato establece que la Auditoría Superior debe remitir los informes de</w:t>
      </w:r>
      <w:r>
        <w:rPr>
          <w:rFonts w:ascii="Abadi" w:hAnsi="Abadi" w:cs="*Arial-5068-Identity-H"/>
          <w:color w:val="14131B"/>
          <w:sz w:val="21"/>
          <w:szCs w:val="21"/>
        </w:rPr>
        <w:t xml:space="preserve"> </w:t>
      </w:r>
      <w:r w:rsidRPr="00C0364D">
        <w:rPr>
          <w:rFonts w:ascii="Abadi" w:hAnsi="Abadi" w:cs="*Arial-5068-Identity-H"/>
          <w:color w:val="14131B"/>
          <w:sz w:val="21"/>
          <w:szCs w:val="21"/>
        </w:rPr>
        <w:t>resultados al Congreso del Estado, a efecto de que éste realice la declaratoria</w:t>
      </w:r>
      <w:r>
        <w:rPr>
          <w:rFonts w:ascii="Abadi" w:hAnsi="Abadi" w:cs="*Arial-5068-Identity-H"/>
          <w:color w:val="14131B"/>
          <w:sz w:val="21"/>
          <w:szCs w:val="21"/>
        </w:rPr>
        <w:t xml:space="preserve"> </w:t>
      </w:r>
      <w:r w:rsidRPr="00C0364D">
        <w:rPr>
          <w:rFonts w:ascii="Abadi" w:hAnsi="Abadi" w:cs="*Arial-5068-Identity-H"/>
          <w:color w:val="14131B"/>
          <w:sz w:val="21"/>
          <w:szCs w:val="21"/>
        </w:rPr>
        <w:t>correspondiente, señalándose en el artículo 38 que el informe de resultados</w:t>
      </w:r>
      <w:r>
        <w:rPr>
          <w:rFonts w:ascii="Abadi" w:hAnsi="Abadi" w:cs="*Arial-5068-Identity-H"/>
          <w:color w:val="14131B"/>
          <w:sz w:val="21"/>
          <w:szCs w:val="21"/>
        </w:rPr>
        <w:t xml:space="preserve"> </w:t>
      </w:r>
      <w:r w:rsidRPr="00C0364D">
        <w:rPr>
          <w:rFonts w:ascii="Abadi" w:hAnsi="Abadi" w:cs="*Arial-5068-Identity-H"/>
          <w:color w:val="14131B"/>
          <w:sz w:val="21"/>
          <w:szCs w:val="21"/>
        </w:rPr>
        <w:t>únicamente podrá ser observado por las dos terceras partes de los diputados</w:t>
      </w:r>
      <w:r>
        <w:rPr>
          <w:rFonts w:ascii="Abadi" w:hAnsi="Abadi" w:cs="*Arial-5068-Identity-H"/>
          <w:color w:val="14131B"/>
          <w:sz w:val="21"/>
          <w:szCs w:val="21"/>
        </w:rPr>
        <w:t xml:space="preserve"> </w:t>
      </w:r>
      <w:r w:rsidRPr="00C0364D">
        <w:rPr>
          <w:rFonts w:ascii="Abadi" w:hAnsi="Abadi" w:cs="*Arial-5068-Identity-H"/>
          <w:color w:val="14131B"/>
          <w:sz w:val="21"/>
          <w:szCs w:val="21"/>
        </w:rPr>
        <w:t>integrantes del Congreso, cuando no se observen las formalidades esenciales del</w:t>
      </w:r>
      <w:r>
        <w:rPr>
          <w:rFonts w:ascii="Abadi" w:hAnsi="Abadi" w:cs="*Arial-5068-Identity-H"/>
          <w:color w:val="14131B"/>
          <w:sz w:val="21"/>
          <w:szCs w:val="21"/>
        </w:rPr>
        <w:t xml:space="preserve"> </w:t>
      </w:r>
      <w:r w:rsidRPr="00C0364D">
        <w:rPr>
          <w:rFonts w:ascii="Abadi" w:hAnsi="Abadi" w:cs="*Arial-5068-Identity-H"/>
          <w:color w:val="14131B"/>
          <w:sz w:val="21"/>
          <w:szCs w:val="21"/>
        </w:rPr>
        <w:t>proceso de fiscalización.</w:t>
      </w:r>
    </w:p>
    <w:p w14:paraId="60187E2C" w14:textId="77777777" w:rsidR="005D7CEF" w:rsidRPr="00C0364D" w:rsidRDefault="005D7CEF" w:rsidP="005D7CEF">
      <w:pPr>
        <w:autoSpaceDE w:val="0"/>
        <w:autoSpaceDN w:val="0"/>
        <w:adjustRightInd w:val="0"/>
        <w:jc w:val="both"/>
        <w:rPr>
          <w:rFonts w:ascii="Abadi" w:hAnsi="Abadi" w:cs="*Arial-5068-Identity-H"/>
          <w:color w:val="14131B"/>
          <w:sz w:val="21"/>
          <w:szCs w:val="21"/>
        </w:rPr>
      </w:pPr>
    </w:p>
    <w:p w14:paraId="26AD589B" w14:textId="77777777" w:rsidR="005D7CEF" w:rsidRDefault="005D7CEF" w:rsidP="005D7CEF">
      <w:pPr>
        <w:autoSpaceDE w:val="0"/>
        <w:autoSpaceDN w:val="0"/>
        <w:adjustRightInd w:val="0"/>
        <w:ind w:firstLine="708"/>
        <w:jc w:val="both"/>
        <w:rPr>
          <w:rFonts w:ascii="Abadi" w:hAnsi="Abadi" w:cs="*Arial-5068-Identity-H"/>
          <w:color w:val="14131B"/>
          <w:sz w:val="21"/>
          <w:szCs w:val="21"/>
        </w:rPr>
      </w:pPr>
      <w:r w:rsidRPr="00C0364D">
        <w:rPr>
          <w:rFonts w:ascii="Abadi" w:hAnsi="Abadi" w:cs="*Arial-5068-Identity-H"/>
          <w:color w:val="14131B"/>
          <w:sz w:val="21"/>
          <w:szCs w:val="21"/>
        </w:rPr>
        <w:t>Con la finalidad de que el Congreso dé cumplimiento a lo señalado en el</w:t>
      </w:r>
      <w:r>
        <w:rPr>
          <w:rFonts w:ascii="Abadi" w:hAnsi="Abadi" w:cs="*Arial-5068-Identity-H"/>
          <w:color w:val="14131B"/>
          <w:sz w:val="21"/>
          <w:szCs w:val="21"/>
        </w:rPr>
        <w:t xml:space="preserve"> </w:t>
      </w:r>
      <w:r w:rsidRPr="00C0364D">
        <w:rPr>
          <w:rFonts w:ascii="Abadi" w:hAnsi="Abadi" w:cs="*Arial-5068-Identity-H"/>
          <w:color w:val="14131B"/>
          <w:sz w:val="21"/>
          <w:szCs w:val="21"/>
        </w:rPr>
        <w:t>párrafo anterior, la Ley Orgánica del Poder Legislativo del Estado de Guanajuato</w:t>
      </w:r>
      <w:r>
        <w:rPr>
          <w:rFonts w:ascii="Abadi" w:hAnsi="Abadi" w:cs="*Arial-5068-Identity-H"/>
          <w:color w:val="14131B"/>
          <w:sz w:val="21"/>
          <w:szCs w:val="21"/>
        </w:rPr>
        <w:t xml:space="preserve"> </w:t>
      </w:r>
      <w:r w:rsidRPr="00C0364D">
        <w:rPr>
          <w:rFonts w:ascii="Abadi" w:hAnsi="Abadi" w:cs="*Arial-5068-Identity-H"/>
          <w:color w:val="14131B"/>
          <w:sz w:val="21"/>
          <w:szCs w:val="21"/>
        </w:rPr>
        <w:t>establece en su artículo 112, fracción XII, primer párrafo que, a esta Comisión de</w:t>
      </w:r>
      <w:r>
        <w:rPr>
          <w:rFonts w:ascii="Abadi" w:hAnsi="Abadi" w:cs="*Arial-5068-Identity-H"/>
          <w:color w:val="14131B"/>
          <w:sz w:val="21"/>
          <w:szCs w:val="21"/>
        </w:rPr>
        <w:t xml:space="preserve"> </w:t>
      </w:r>
      <w:r w:rsidRPr="00C0364D">
        <w:rPr>
          <w:rFonts w:ascii="Abadi" w:hAnsi="Abadi" w:cs="*Arial-5068-Identity-H"/>
          <w:color w:val="14131B"/>
          <w:sz w:val="21"/>
          <w:szCs w:val="21"/>
        </w:rPr>
        <w:t>Hacienda y Fiscalización, le compete el conocimiento y dictamen de los asuntos</w:t>
      </w:r>
      <w:r>
        <w:rPr>
          <w:rFonts w:ascii="Abadi" w:hAnsi="Abadi" w:cs="*Arial-5068-Identity-H"/>
          <w:color w:val="14131B"/>
          <w:sz w:val="21"/>
          <w:szCs w:val="21"/>
        </w:rPr>
        <w:t xml:space="preserve"> </w:t>
      </w:r>
      <w:r w:rsidRPr="00C0364D">
        <w:rPr>
          <w:rFonts w:ascii="Abadi" w:hAnsi="Abadi" w:cs="*Arial-5068-Identity-H"/>
          <w:color w:val="14131B"/>
          <w:sz w:val="21"/>
          <w:szCs w:val="21"/>
        </w:rPr>
        <w:t>relativos a los informes de resultados que emita la Auditoría Superior del Estado.</w:t>
      </w:r>
    </w:p>
    <w:p w14:paraId="632D02C8" w14:textId="77777777" w:rsidR="005D7CEF" w:rsidRPr="00C0364D" w:rsidRDefault="005D7CEF" w:rsidP="005D7CEF">
      <w:pPr>
        <w:autoSpaceDE w:val="0"/>
        <w:autoSpaceDN w:val="0"/>
        <w:adjustRightInd w:val="0"/>
        <w:jc w:val="both"/>
        <w:rPr>
          <w:rFonts w:ascii="Abadi" w:hAnsi="Abadi" w:cs="*Arial-5068-Identity-H"/>
          <w:color w:val="14131B"/>
          <w:sz w:val="21"/>
          <w:szCs w:val="21"/>
        </w:rPr>
      </w:pPr>
    </w:p>
    <w:p w14:paraId="50D08FA4" w14:textId="77777777" w:rsidR="005D7CEF" w:rsidRPr="00C0364D" w:rsidRDefault="005D7CEF" w:rsidP="005D7CEF">
      <w:pPr>
        <w:autoSpaceDE w:val="0"/>
        <w:autoSpaceDN w:val="0"/>
        <w:adjustRightInd w:val="0"/>
        <w:ind w:firstLine="708"/>
        <w:jc w:val="both"/>
        <w:rPr>
          <w:rFonts w:ascii="Abadi" w:hAnsi="Abadi" w:cs="*Arial-5068-Identity-H"/>
          <w:color w:val="13131B"/>
          <w:sz w:val="21"/>
          <w:szCs w:val="21"/>
        </w:rPr>
      </w:pPr>
      <w:r w:rsidRPr="00C0364D">
        <w:rPr>
          <w:rFonts w:ascii="Abadi" w:hAnsi="Abadi" w:cs="*Arial-5068-Identity-H"/>
          <w:color w:val="13131B"/>
          <w:sz w:val="21"/>
          <w:szCs w:val="21"/>
        </w:rPr>
        <w:t>A efecto de cumplir con las atribuciones conferidas a esta Comisión, y en</w:t>
      </w:r>
      <w:r>
        <w:rPr>
          <w:rFonts w:ascii="Abadi" w:hAnsi="Abadi" w:cs="*Arial-5068-Identity-H"/>
          <w:color w:val="13131B"/>
          <w:sz w:val="21"/>
          <w:szCs w:val="21"/>
        </w:rPr>
        <w:t xml:space="preserve"> </w:t>
      </w:r>
      <w:r w:rsidRPr="00C0364D">
        <w:rPr>
          <w:rFonts w:ascii="Abadi" w:hAnsi="Abadi" w:cs="*Arial-5068-Identity-H"/>
          <w:color w:val="13131B"/>
          <w:sz w:val="21"/>
          <w:szCs w:val="21"/>
        </w:rPr>
        <w:t>observancia a lo que establece la Ley de Fiscalización Superior del Estado de</w:t>
      </w:r>
      <w:r>
        <w:rPr>
          <w:rFonts w:ascii="Abadi" w:hAnsi="Abadi" w:cs="*Arial-5068-Identity-H"/>
          <w:color w:val="13131B"/>
          <w:sz w:val="21"/>
          <w:szCs w:val="21"/>
        </w:rPr>
        <w:t xml:space="preserve"> </w:t>
      </w:r>
      <w:r w:rsidRPr="00C0364D">
        <w:rPr>
          <w:rFonts w:ascii="Abadi" w:hAnsi="Abadi" w:cs="*Arial-5068-Identity-H"/>
          <w:color w:val="13131B"/>
          <w:sz w:val="21"/>
          <w:szCs w:val="21"/>
        </w:rPr>
        <w:t>Guanajuato, el presente dictamen se ocupará exclusivamente del aspecto que la</w:t>
      </w:r>
      <w:r>
        <w:rPr>
          <w:rFonts w:ascii="Abadi" w:hAnsi="Abadi" w:cs="*Arial-5068-Identity-H"/>
          <w:color w:val="13131B"/>
          <w:sz w:val="21"/>
          <w:szCs w:val="21"/>
        </w:rPr>
        <w:t xml:space="preserve"> </w:t>
      </w:r>
      <w:r w:rsidRPr="00C0364D">
        <w:rPr>
          <w:rFonts w:ascii="Abadi" w:hAnsi="Abadi" w:cs="*Arial-5068-Identity-H"/>
          <w:color w:val="13131B"/>
          <w:sz w:val="21"/>
          <w:szCs w:val="21"/>
        </w:rPr>
        <w:t>propia Ley señala y por el cual podría ser observado o no, el informe de</w:t>
      </w:r>
      <w:r>
        <w:rPr>
          <w:rFonts w:ascii="Abadi" w:hAnsi="Abadi" w:cs="*Arial-5068-Identity-H"/>
          <w:color w:val="13131B"/>
          <w:sz w:val="21"/>
          <w:szCs w:val="21"/>
        </w:rPr>
        <w:t xml:space="preserve"> </w:t>
      </w:r>
      <w:r w:rsidRPr="00C0364D">
        <w:rPr>
          <w:rFonts w:ascii="Abadi" w:hAnsi="Abadi" w:cs="*Arial-5068-Identity-H"/>
          <w:color w:val="13131B"/>
          <w:sz w:val="21"/>
          <w:szCs w:val="21"/>
        </w:rPr>
        <w:t>resultados.</w:t>
      </w:r>
    </w:p>
    <w:p w14:paraId="6C237060" w14:textId="77777777" w:rsidR="005D7CEF" w:rsidRDefault="005D7CEF" w:rsidP="005D7CEF">
      <w:pPr>
        <w:autoSpaceDE w:val="0"/>
        <w:autoSpaceDN w:val="0"/>
        <w:adjustRightInd w:val="0"/>
        <w:jc w:val="both"/>
        <w:rPr>
          <w:rFonts w:ascii="Abadi" w:hAnsi="Abadi" w:cs="*Arial-Bold-5069-Identity-H"/>
          <w:b/>
          <w:bCs/>
          <w:color w:val="14131D"/>
          <w:sz w:val="21"/>
          <w:szCs w:val="21"/>
        </w:rPr>
      </w:pPr>
    </w:p>
    <w:p w14:paraId="269AFF00" w14:textId="77777777" w:rsidR="005D7CEF" w:rsidRDefault="005D7CEF" w:rsidP="005D7CEF">
      <w:pPr>
        <w:autoSpaceDE w:val="0"/>
        <w:autoSpaceDN w:val="0"/>
        <w:adjustRightInd w:val="0"/>
        <w:ind w:firstLine="708"/>
        <w:jc w:val="both"/>
        <w:rPr>
          <w:rFonts w:ascii="Abadi" w:hAnsi="Abadi" w:cs="*Arial-Bold-5069-Identity-H"/>
          <w:b/>
          <w:bCs/>
          <w:color w:val="14131D"/>
          <w:sz w:val="21"/>
          <w:szCs w:val="21"/>
        </w:rPr>
      </w:pPr>
      <w:r>
        <w:rPr>
          <w:rFonts w:ascii="Abadi" w:hAnsi="Abadi" w:cs="*Arial-Bold-5069-Identity-H"/>
          <w:b/>
          <w:bCs/>
          <w:color w:val="14131D"/>
          <w:sz w:val="21"/>
          <w:szCs w:val="21"/>
        </w:rPr>
        <w:t>II</w:t>
      </w:r>
      <w:r w:rsidRPr="00C0364D">
        <w:rPr>
          <w:rFonts w:ascii="Abadi" w:hAnsi="Abadi" w:cs="*Arial-Bold-5069-Identity-H"/>
          <w:b/>
          <w:bCs/>
          <w:color w:val="14131D"/>
          <w:sz w:val="21"/>
          <w:szCs w:val="21"/>
        </w:rPr>
        <w:t>. Antecedentes:</w:t>
      </w:r>
    </w:p>
    <w:p w14:paraId="23355AAC" w14:textId="77777777" w:rsidR="005D7CEF" w:rsidRPr="00C0364D" w:rsidRDefault="005D7CEF" w:rsidP="005D7CEF">
      <w:pPr>
        <w:autoSpaceDE w:val="0"/>
        <w:autoSpaceDN w:val="0"/>
        <w:adjustRightInd w:val="0"/>
        <w:jc w:val="both"/>
        <w:rPr>
          <w:rFonts w:ascii="Abadi" w:hAnsi="Abadi" w:cs="*Arial-Bold-5069-Identity-H"/>
          <w:b/>
          <w:bCs/>
          <w:color w:val="14131D"/>
          <w:sz w:val="21"/>
          <w:szCs w:val="21"/>
        </w:rPr>
      </w:pPr>
    </w:p>
    <w:p w14:paraId="50E450C0" w14:textId="77777777" w:rsidR="005D7CEF" w:rsidRDefault="005D7CEF" w:rsidP="005D7CEF">
      <w:pPr>
        <w:autoSpaceDE w:val="0"/>
        <w:autoSpaceDN w:val="0"/>
        <w:adjustRightInd w:val="0"/>
        <w:ind w:firstLine="708"/>
        <w:jc w:val="both"/>
        <w:rPr>
          <w:rFonts w:ascii="Abadi" w:hAnsi="Abadi" w:cs="*Arial-5068-Identity-H"/>
          <w:color w:val="14131C"/>
          <w:sz w:val="21"/>
          <w:szCs w:val="21"/>
        </w:rPr>
      </w:pPr>
      <w:r w:rsidRPr="00C0364D">
        <w:rPr>
          <w:rFonts w:ascii="Abadi" w:hAnsi="Abadi" w:cs="*Arial-5068-Identity-H"/>
          <w:color w:val="14131C"/>
          <w:sz w:val="21"/>
          <w:szCs w:val="21"/>
        </w:rPr>
        <w:t>De conformidad con el artículo 66, fracción I de la Constitución Política para</w:t>
      </w:r>
      <w:r>
        <w:rPr>
          <w:rFonts w:ascii="Abadi" w:hAnsi="Abadi" w:cs="*Arial-5068-Identity-H"/>
          <w:color w:val="14131C"/>
          <w:sz w:val="21"/>
          <w:szCs w:val="21"/>
        </w:rPr>
        <w:t xml:space="preserve"> </w:t>
      </w:r>
      <w:r w:rsidRPr="00C0364D">
        <w:rPr>
          <w:rFonts w:ascii="Abadi" w:hAnsi="Abadi" w:cs="*Arial-5068-Identity-H"/>
          <w:color w:val="14131C"/>
          <w:sz w:val="21"/>
          <w:szCs w:val="21"/>
        </w:rPr>
        <w:t>el Estado de Guanajuato, es atribución de la Auditoría Superior del Estado realizar</w:t>
      </w:r>
      <w:r>
        <w:rPr>
          <w:rFonts w:ascii="Abadi" w:hAnsi="Abadi" w:cs="*Arial-5068-Identity-H"/>
          <w:color w:val="14131C"/>
          <w:sz w:val="21"/>
          <w:szCs w:val="21"/>
        </w:rPr>
        <w:t xml:space="preserve"> </w:t>
      </w:r>
      <w:r w:rsidRPr="00C0364D">
        <w:rPr>
          <w:rFonts w:ascii="Abadi" w:hAnsi="Abadi" w:cs="*Arial-5068-Identity-H"/>
          <w:color w:val="14131C"/>
          <w:sz w:val="21"/>
          <w:szCs w:val="21"/>
        </w:rPr>
        <w:t>auditorías de desempeño en el cumplimiento de objetivos y metas contenidos en</w:t>
      </w:r>
      <w:r>
        <w:rPr>
          <w:rFonts w:ascii="Abadi" w:hAnsi="Abadi" w:cs="*Arial-5068-Identity-H"/>
          <w:color w:val="14131C"/>
          <w:sz w:val="21"/>
          <w:szCs w:val="21"/>
        </w:rPr>
        <w:t xml:space="preserve"> </w:t>
      </w:r>
      <w:r w:rsidRPr="00C0364D">
        <w:rPr>
          <w:rFonts w:ascii="Abadi" w:hAnsi="Abadi" w:cs="*Arial-5068-Identity-H"/>
          <w:color w:val="14131C"/>
          <w:sz w:val="21"/>
          <w:szCs w:val="21"/>
        </w:rPr>
        <w:t>los programas, de las cuales sólo podrá emitir las recomendaciones para la mejora</w:t>
      </w:r>
      <w:r>
        <w:rPr>
          <w:rFonts w:ascii="Abadi" w:hAnsi="Abadi" w:cs="*Arial-5068-Identity-H"/>
          <w:color w:val="14131C"/>
          <w:sz w:val="21"/>
          <w:szCs w:val="21"/>
        </w:rPr>
        <w:t xml:space="preserve"> </w:t>
      </w:r>
      <w:r w:rsidRPr="00C0364D">
        <w:rPr>
          <w:rFonts w:ascii="Abadi" w:hAnsi="Abadi" w:cs="*Arial-5068-Identity-H"/>
          <w:color w:val="14131C"/>
          <w:sz w:val="21"/>
          <w:szCs w:val="21"/>
        </w:rPr>
        <w:t>en el desempeño, en los términos de la Ley.</w:t>
      </w:r>
    </w:p>
    <w:p w14:paraId="61FAAE8A" w14:textId="77777777" w:rsidR="005D7CEF" w:rsidRPr="00C0364D" w:rsidRDefault="005D7CEF" w:rsidP="005D7CEF">
      <w:pPr>
        <w:autoSpaceDE w:val="0"/>
        <w:autoSpaceDN w:val="0"/>
        <w:adjustRightInd w:val="0"/>
        <w:jc w:val="both"/>
        <w:rPr>
          <w:rFonts w:ascii="Abadi" w:hAnsi="Abadi" w:cs="*Arial-5068-Identity-H"/>
          <w:color w:val="14131C"/>
          <w:sz w:val="21"/>
          <w:szCs w:val="21"/>
        </w:rPr>
      </w:pPr>
    </w:p>
    <w:p w14:paraId="6906C756" w14:textId="77777777" w:rsidR="005D7CEF" w:rsidRPr="00C0364D" w:rsidRDefault="005D7CEF" w:rsidP="005D7CEF">
      <w:pPr>
        <w:autoSpaceDE w:val="0"/>
        <w:autoSpaceDN w:val="0"/>
        <w:adjustRightInd w:val="0"/>
        <w:ind w:firstLine="708"/>
        <w:jc w:val="both"/>
        <w:rPr>
          <w:rFonts w:ascii="Abadi" w:hAnsi="Abadi" w:cs="*Arial-5068-Identity-H"/>
          <w:color w:val="14131B"/>
          <w:sz w:val="21"/>
          <w:szCs w:val="21"/>
        </w:rPr>
      </w:pPr>
      <w:r w:rsidRPr="00C0364D">
        <w:rPr>
          <w:rFonts w:ascii="Abadi" w:hAnsi="Abadi" w:cs="*Arial-5068-Identity-H"/>
          <w:color w:val="14131B"/>
          <w:sz w:val="21"/>
          <w:szCs w:val="21"/>
        </w:rPr>
        <w:t>Por su parte, el artículo 3, fracción V de la Ley de Fiscalización Superior del</w:t>
      </w:r>
      <w:r>
        <w:rPr>
          <w:rFonts w:ascii="Abadi" w:hAnsi="Abadi" w:cs="*Arial-5068-Identity-H"/>
          <w:color w:val="14131B"/>
          <w:sz w:val="21"/>
          <w:szCs w:val="21"/>
        </w:rPr>
        <w:t xml:space="preserve"> </w:t>
      </w:r>
      <w:r w:rsidRPr="00C0364D">
        <w:rPr>
          <w:rFonts w:ascii="Abadi" w:hAnsi="Abadi" w:cs="*Arial-5068-Identity-H"/>
          <w:color w:val="14131B"/>
          <w:sz w:val="21"/>
          <w:szCs w:val="21"/>
        </w:rPr>
        <w:t>Estado de Guanajuato señala que la Auditoría Superior del Estado es competente</w:t>
      </w:r>
      <w:r>
        <w:rPr>
          <w:rFonts w:ascii="Abadi" w:hAnsi="Abadi" w:cs="*Arial-5068-Identity-H"/>
          <w:color w:val="14131B"/>
          <w:sz w:val="21"/>
          <w:szCs w:val="21"/>
        </w:rPr>
        <w:t xml:space="preserve"> </w:t>
      </w:r>
      <w:r w:rsidRPr="00C0364D">
        <w:rPr>
          <w:rFonts w:ascii="Abadi" w:hAnsi="Abadi" w:cs="*Arial-5068-Identity-H"/>
          <w:color w:val="14131B"/>
          <w:sz w:val="21"/>
          <w:szCs w:val="21"/>
        </w:rPr>
        <w:t>para practicar auditorías de desempeño para verificar el cumplimiento de los</w:t>
      </w:r>
      <w:r>
        <w:rPr>
          <w:rFonts w:ascii="Abadi" w:hAnsi="Abadi" w:cs="*Arial-5068-Identity-H"/>
          <w:color w:val="14131B"/>
          <w:sz w:val="21"/>
          <w:szCs w:val="21"/>
        </w:rPr>
        <w:t xml:space="preserve"> </w:t>
      </w:r>
      <w:r w:rsidRPr="00C0364D">
        <w:rPr>
          <w:rFonts w:ascii="Abadi" w:hAnsi="Abadi" w:cs="*Arial-5068-Identity-H"/>
          <w:color w:val="14131B"/>
          <w:sz w:val="21"/>
          <w:szCs w:val="21"/>
        </w:rPr>
        <w:t>objetivos y las metas de los programas estatales y municipales.</w:t>
      </w:r>
    </w:p>
    <w:p w14:paraId="441A1AF7" w14:textId="77777777" w:rsidR="005D7CEF" w:rsidRPr="00C0364D" w:rsidRDefault="005D7CEF" w:rsidP="005D7CEF">
      <w:pPr>
        <w:jc w:val="both"/>
        <w:rPr>
          <w:rFonts w:ascii="Abadi" w:hAnsi="Abadi" w:cs="*Arial-5068-Identity-H"/>
          <w:color w:val="14131B"/>
          <w:sz w:val="21"/>
          <w:szCs w:val="21"/>
        </w:rPr>
      </w:pPr>
    </w:p>
    <w:p w14:paraId="38893EB6" w14:textId="77777777" w:rsidR="005D7CEF" w:rsidRDefault="005D7CEF" w:rsidP="005D7CEF">
      <w:pPr>
        <w:autoSpaceDE w:val="0"/>
        <w:autoSpaceDN w:val="0"/>
        <w:adjustRightInd w:val="0"/>
        <w:ind w:firstLine="708"/>
        <w:jc w:val="both"/>
        <w:rPr>
          <w:rFonts w:ascii="Abadi" w:hAnsi="Abadi" w:cs="*Arial-5077-Identity-H"/>
          <w:color w:val="14131C"/>
          <w:sz w:val="21"/>
          <w:szCs w:val="21"/>
        </w:rPr>
      </w:pPr>
      <w:r w:rsidRPr="00C0364D">
        <w:rPr>
          <w:rFonts w:ascii="Abadi" w:hAnsi="Abadi" w:cs="*Arial-5077-Identity-H"/>
          <w:color w:val="14131C"/>
          <w:sz w:val="21"/>
          <w:szCs w:val="21"/>
        </w:rPr>
        <w:t>De igual forma, el artículo 56 de la Ley de Fiscalización Superior prevé que</w:t>
      </w:r>
      <w:r>
        <w:rPr>
          <w:rFonts w:ascii="Abadi" w:hAnsi="Abadi" w:cs="*Arial-5077-Identity-H"/>
          <w:color w:val="14131C"/>
          <w:sz w:val="21"/>
          <w:szCs w:val="21"/>
        </w:rPr>
        <w:t xml:space="preserve"> </w:t>
      </w:r>
      <w:r w:rsidRPr="00C0364D">
        <w:rPr>
          <w:rFonts w:ascii="Abadi" w:hAnsi="Abadi" w:cs="*Arial-5077-Identity-H"/>
          <w:color w:val="14131C"/>
          <w:sz w:val="21"/>
          <w:szCs w:val="21"/>
        </w:rPr>
        <w:t>las auditorías de desempeño comprenden la revisión del cumplimiento de las</w:t>
      </w:r>
      <w:r>
        <w:rPr>
          <w:rFonts w:ascii="Abadi" w:hAnsi="Abadi" w:cs="*Arial-5077-Identity-H"/>
          <w:color w:val="14131C"/>
          <w:sz w:val="21"/>
          <w:szCs w:val="21"/>
        </w:rPr>
        <w:t xml:space="preserve"> </w:t>
      </w:r>
      <w:r w:rsidRPr="00C0364D">
        <w:rPr>
          <w:rFonts w:ascii="Abadi" w:hAnsi="Abadi" w:cs="*Arial-5077-Identity-H"/>
          <w:color w:val="14131C"/>
          <w:sz w:val="21"/>
          <w:szCs w:val="21"/>
        </w:rPr>
        <w:t>metas y objetivos de los planes y programas, conforme a los principios de</w:t>
      </w:r>
      <w:r>
        <w:rPr>
          <w:rFonts w:ascii="Abadi" w:hAnsi="Abadi" w:cs="*Arial-5077-Identity-H"/>
          <w:color w:val="14131C"/>
          <w:sz w:val="21"/>
          <w:szCs w:val="21"/>
        </w:rPr>
        <w:t xml:space="preserve"> </w:t>
      </w:r>
      <w:r w:rsidRPr="00C0364D">
        <w:rPr>
          <w:rFonts w:ascii="Abadi" w:hAnsi="Abadi" w:cs="*Arial-5077-Identity-H"/>
          <w:color w:val="14131C"/>
          <w:sz w:val="21"/>
          <w:szCs w:val="21"/>
        </w:rPr>
        <w:t>eficiencia, eficacia y economía; así como la evaluación de las políticas públicas;</w:t>
      </w:r>
      <w:r>
        <w:rPr>
          <w:rFonts w:ascii="Abadi" w:hAnsi="Abadi" w:cs="*Arial-5077-Identity-H"/>
          <w:color w:val="14131C"/>
          <w:sz w:val="21"/>
          <w:szCs w:val="21"/>
        </w:rPr>
        <w:t xml:space="preserve"> </w:t>
      </w:r>
      <w:r w:rsidRPr="00C0364D">
        <w:rPr>
          <w:rFonts w:ascii="Abadi" w:hAnsi="Abadi" w:cs="*Arial-5077-Identity-H"/>
          <w:color w:val="14131C"/>
          <w:sz w:val="21"/>
          <w:szCs w:val="21"/>
        </w:rPr>
        <w:t>estableciendo además que la Auditoría Superior del Estado realizará las auditorías</w:t>
      </w:r>
      <w:r>
        <w:rPr>
          <w:rFonts w:ascii="Abadi" w:hAnsi="Abadi" w:cs="*Arial-5077-Identity-H"/>
          <w:color w:val="14131C"/>
          <w:sz w:val="21"/>
          <w:szCs w:val="21"/>
        </w:rPr>
        <w:t xml:space="preserve"> </w:t>
      </w:r>
      <w:r w:rsidRPr="00C0364D">
        <w:rPr>
          <w:rFonts w:ascii="Abadi" w:hAnsi="Abadi" w:cs="*Arial-5077-Identity-H"/>
          <w:color w:val="14131C"/>
          <w:sz w:val="21"/>
          <w:szCs w:val="21"/>
        </w:rPr>
        <w:t>de desempeño de manera anual y únicamente formulará recomendaciones que</w:t>
      </w:r>
      <w:r>
        <w:rPr>
          <w:rFonts w:ascii="Abadi" w:hAnsi="Abadi" w:cs="*Arial-5077-Identity-H"/>
          <w:color w:val="14131C"/>
          <w:sz w:val="21"/>
          <w:szCs w:val="21"/>
        </w:rPr>
        <w:t xml:space="preserve"> </w:t>
      </w:r>
      <w:r w:rsidRPr="00C0364D">
        <w:rPr>
          <w:rFonts w:ascii="Abadi" w:hAnsi="Abadi" w:cs="*Arial-5077-Identity-H"/>
          <w:color w:val="14131C"/>
          <w:sz w:val="21"/>
          <w:szCs w:val="21"/>
        </w:rPr>
        <w:t>incidan en mejorar sistemáticamente el diseño, operación e impacto de los</w:t>
      </w:r>
      <w:r>
        <w:rPr>
          <w:rFonts w:ascii="Abadi" w:hAnsi="Abadi" w:cs="*Arial-5077-Identity-H"/>
          <w:color w:val="14131C"/>
          <w:sz w:val="21"/>
          <w:szCs w:val="21"/>
        </w:rPr>
        <w:t xml:space="preserve"> </w:t>
      </w:r>
      <w:r w:rsidRPr="00C0364D">
        <w:rPr>
          <w:rFonts w:ascii="Abadi" w:hAnsi="Abadi" w:cs="*Arial-5077-Identity-H"/>
          <w:color w:val="14131C"/>
          <w:sz w:val="21"/>
          <w:szCs w:val="21"/>
        </w:rPr>
        <w:t>presupuestos programáticos y las políticas públicas en su caso.</w:t>
      </w:r>
      <w:r>
        <w:rPr>
          <w:rFonts w:ascii="Abadi" w:hAnsi="Abadi" w:cs="*Arial-5077-Identity-H"/>
          <w:color w:val="14131C"/>
          <w:sz w:val="21"/>
          <w:szCs w:val="21"/>
        </w:rPr>
        <w:t xml:space="preserve"> </w:t>
      </w:r>
    </w:p>
    <w:p w14:paraId="0437A2D0" w14:textId="77777777" w:rsidR="005D7CEF" w:rsidRDefault="005D7CEF" w:rsidP="005D7CEF">
      <w:pPr>
        <w:autoSpaceDE w:val="0"/>
        <w:autoSpaceDN w:val="0"/>
        <w:adjustRightInd w:val="0"/>
        <w:jc w:val="both"/>
        <w:rPr>
          <w:rFonts w:ascii="Abadi" w:hAnsi="Abadi" w:cs="*Arial-5077-Identity-H"/>
          <w:color w:val="14131C"/>
          <w:sz w:val="21"/>
          <w:szCs w:val="21"/>
        </w:rPr>
      </w:pPr>
    </w:p>
    <w:p w14:paraId="656DBF1B" w14:textId="77777777" w:rsidR="005D7CEF" w:rsidRDefault="005D7CEF" w:rsidP="005D7CEF">
      <w:pPr>
        <w:autoSpaceDE w:val="0"/>
        <w:autoSpaceDN w:val="0"/>
        <w:adjustRightInd w:val="0"/>
        <w:ind w:firstLine="708"/>
        <w:jc w:val="both"/>
        <w:rPr>
          <w:rFonts w:ascii="Abadi" w:hAnsi="Abadi" w:cs="*Arial-5077-Identity-H"/>
          <w:color w:val="14131C"/>
          <w:sz w:val="21"/>
          <w:szCs w:val="21"/>
        </w:rPr>
      </w:pPr>
      <w:r w:rsidRPr="00C0364D">
        <w:rPr>
          <w:rFonts w:ascii="Abadi" w:hAnsi="Abadi" w:cs="*Arial-5077-Identity-H"/>
          <w:color w:val="14131C"/>
          <w:sz w:val="21"/>
          <w:szCs w:val="21"/>
        </w:rPr>
        <w:t>Por su parte, los artículos 59 y 60 de la citada Ley refieren que los informes</w:t>
      </w:r>
      <w:r>
        <w:rPr>
          <w:rFonts w:ascii="Abadi" w:hAnsi="Abadi" w:cs="*Arial-5077-Identity-H"/>
          <w:color w:val="14131C"/>
          <w:sz w:val="21"/>
          <w:szCs w:val="21"/>
        </w:rPr>
        <w:t xml:space="preserve"> </w:t>
      </w:r>
      <w:r w:rsidRPr="00C0364D">
        <w:rPr>
          <w:rFonts w:ascii="Abadi" w:hAnsi="Abadi" w:cs="*Arial-5077-Identity-H"/>
          <w:color w:val="14131C"/>
          <w:sz w:val="21"/>
          <w:szCs w:val="21"/>
        </w:rPr>
        <w:t>de resultados de auditorías de desempeño contendrán los requisitos señalados en</w:t>
      </w:r>
      <w:r>
        <w:rPr>
          <w:rFonts w:ascii="Abadi" w:hAnsi="Abadi" w:cs="*Arial-5077-Identity-H"/>
          <w:color w:val="14131C"/>
          <w:sz w:val="21"/>
          <w:szCs w:val="21"/>
        </w:rPr>
        <w:t xml:space="preserve"> </w:t>
      </w:r>
      <w:r w:rsidRPr="00C0364D">
        <w:rPr>
          <w:rFonts w:ascii="Abadi" w:hAnsi="Abadi" w:cs="*Arial-5077-Identity-H"/>
          <w:color w:val="14131C"/>
          <w:sz w:val="21"/>
          <w:szCs w:val="21"/>
        </w:rPr>
        <w:t>el Reglamento de la Ley y que la Auditoría Superior del Estado, remitirá dichos</w:t>
      </w:r>
      <w:r>
        <w:rPr>
          <w:rFonts w:ascii="Abadi" w:hAnsi="Abadi" w:cs="*Arial-5077-Identity-H"/>
          <w:color w:val="14131C"/>
          <w:sz w:val="21"/>
          <w:szCs w:val="21"/>
        </w:rPr>
        <w:t xml:space="preserve"> </w:t>
      </w:r>
      <w:r w:rsidRPr="00C0364D">
        <w:rPr>
          <w:rFonts w:ascii="Abadi" w:hAnsi="Abadi" w:cs="*Arial-5077-Identity-H"/>
          <w:color w:val="14131C"/>
          <w:sz w:val="21"/>
          <w:szCs w:val="21"/>
        </w:rPr>
        <w:t>informes al Congreso a más tardar el 30 de septiembre del ejercicio fiscal de que</w:t>
      </w:r>
      <w:r>
        <w:rPr>
          <w:rFonts w:ascii="Abadi" w:hAnsi="Abadi" w:cs="*Arial-5077-Identity-H"/>
          <w:color w:val="14131C"/>
          <w:sz w:val="21"/>
          <w:szCs w:val="21"/>
        </w:rPr>
        <w:t xml:space="preserve"> </w:t>
      </w:r>
      <w:r w:rsidRPr="00C0364D">
        <w:rPr>
          <w:rFonts w:ascii="Abadi" w:hAnsi="Abadi" w:cs="*Arial-5077-Identity-H"/>
          <w:color w:val="14131C"/>
          <w:sz w:val="21"/>
          <w:szCs w:val="21"/>
        </w:rPr>
        <w:t>se trate.</w:t>
      </w:r>
    </w:p>
    <w:p w14:paraId="3E495BD4" w14:textId="77777777" w:rsidR="005D7CEF" w:rsidRPr="00C0364D" w:rsidRDefault="005D7CEF" w:rsidP="005D7CEF">
      <w:pPr>
        <w:autoSpaceDE w:val="0"/>
        <w:autoSpaceDN w:val="0"/>
        <w:adjustRightInd w:val="0"/>
        <w:jc w:val="both"/>
        <w:rPr>
          <w:rFonts w:ascii="Abadi" w:hAnsi="Abadi" w:cs="*Arial-5077-Identity-H"/>
          <w:color w:val="14131C"/>
          <w:sz w:val="21"/>
          <w:szCs w:val="21"/>
        </w:rPr>
      </w:pPr>
    </w:p>
    <w:p w14:paraId="1F54B8DF" w14:textId="77777777" w:rsidR="005D7CEF" w:rsidRDefault="005D7CEF" w:rsidP="005D7CEF">
      <w:pPr>
        <w:autoSpaceDE w:val="0"/>
        <w:autoSpaceDN w:val="0"/>
        <w:adjustRightInd w:val="0"/>
        <w:ind w:firstLine="708"/>
        <w:jc w:val="both"/>
        <w:rPr>
          <w:rFonts w:ascii="Abadi" w:hAnsi="Abadi" w:cs="*Arial-5077-Identity-H"/>
          <w:color w:val="14141C"/>
          <w:sz w:val="21"/>
          <w:szCs w:val="21"/>
        </w:rPr>
      </w:pPr>
      <w:r w:rsidRPr="00C0364D">
        <w:rPr>
          <w:rFonts w:ascii="Abadi" w:hAnsi="Abadi" w:cs="*Arial-5077-Identity-H"/>
          <w:color w:val="14141C"/>
          <w:sz w:val="21"/>
          <w:szCs w:val="21"/>
        </w:rPr>
        <w:t>De lo anterior podemos desprender que el Órgano Técnico realizará la</w:t>
      </w:r>
      <w:r>
        <w:rPr>
          <w:rFonts w:ascii="Abadi" w:hAnsi="Abadi" w:cs="*Arial-5077-Identity-H"/>
          <w:color w:val="14141C"/>
          <w:sz w:val="21"/>
          <w:szCs w:val="21"/>
        </w:rPr>
        <w:t xml:space="preserve"> </w:t>
      </w:r>
      <w:r w:rsidRPr="00C0364D">
        <w:rPr>
          <w:rFonts w:ascii="Abadi" w:hAnsi="Abadi" w:cs="*Arial-5077-Identity-H"/>
          <w:color w:val="14141C"/>
          <w:sz w:val="21"/>
          <w:szCs w:val="21"/>
        </w:rPr>
        <w:t>auditoría de desempeño de manera anual y únicamente formulará</w:t>
      </w:r>
      <w:r>
        <w:rPr>
          <w:rFonts w:ascii="Abadi" w:hAnsi="Abadi" w:cs="*Arial-5077-Identity-H"/>
          <w:color w:val="14141C"/>
          <w:sz w:val="21"/>
          <w:szCs w:val="21"/>
        </w:rPr>
        <w:t xml:space="preserve"> </w:t>
      </w:r>
      <w:r w:rsidRPr="00C0364D">
        <w:rPr>
          <w:rFonts w:ascii="Abadi" w:hAnsi="Abadi" w:cs="*Arial-5077-Identity-H"/>
          <w:color w:val="14141C"/>
          <w:sz w:val="21"/>
          <w:szCs w:val="21"/>
        </w:rPr>
        <w:t>recomendaciones que incidan en la mejora del diseño, operación e impacto de los</w:t>
      </w:r>
      <w:r>
        <w:rPr>
          <w:rFonts w:ascii="Abadi" w:hAnsi="Abadi" w:cs="*Arial-5077-Identity-H"/>
          <w:color w:val="14141C"/>
          <w:sz w:val="21"/>
          <w:szCs w:val="21"/>
        </w:rPr>
        <w:t xml:space="preserve"> </w:t>
      </w:r>
      <w:r w:rsidRPr="00C0364D">
        <w:rPr>
          <w:rFonts w:ascii="Abadi" w:hAnsi="Abadi" w:cs="*Arial-5077-Identity-H"/>
          <w:color w:val="14141C"/>
          <w:sz w:val="21"/>
          <w:szCs w:val="21"/>
        </w:rPr>
        <w:t>presupuestos programáticos y las políticas públicas en su caso.</w:t>
      </w:r>
    </w:p>
    <w:p w14:paraId="10450939" w14:textId="77777777" w:rsidR="005D7CEF" w:rsidRPr="00C0364D" w:rsidRDefault="005D7CEF" w:rsidP="005D7CEF">
      <w:pPr>
        <w:autoSpaceDE w:val="0"/>
        <w:autoSpaceDN w:val="0"/>
        <w:adjustRightInd w:val="0"/>
        <w:jc w:val="both"/>
        <w:rPr>
          <w:rFonts w:ascii="Abadi" w:hAnsi="Abadi" w:cs="*Arial-5077-Identity-H"/>
          <w:color w:val="14141C"/>
          <w:sz w:val="21"/>
          <w:szCs w:val="21"/>
        </w:rPr>
      </w:pPr>
    </w:p>
    <w:p w14:paraId="437F8AC0" w14:textId="77777777" w:rsidR="005D7CEF" w:rsidRDefault="005D7CEF" w:rsidP="005D7CEF">
      <w:pPr>
        <w:autoSpaceDE w:val="0"/>
        <w:autoSpaceDN w:val="0"/>
        <w:adjustRightInd w:val="0"/>
        <w:ind w:firstLine="708"/>
        <w:jc w:val="both"/>
        <w:rPr>
          <w:rFonts w:ascii="Abadi" w:hAnsi="Abadi" w:cs="*Arial-5077-Identity-H"/>
          <w:color w:val="14141B"/>
          <w:sz w:val="21"/>
          <w:szCs w:val="21"/>
        </w:rPr>
      </w:pPr>
      <w:r w:rsidRPr="00C0364D">
        <w:rPr>
          <w:rFonts w:ascii="Abadi" w:hAnsi="Abadi" w:cs="*Arial-5077-Identity-H"/>
          <w:color w:val="14141B"/>
          <w:sz w:val="21"/>
          <w:szCs w:val="21"/>
        </w:rPr>
        <w:t>Finalmente, el artículo 16 d</w:t>
      </w:r>
      <w:r>
        <w:rPr>
          <w:rFonts w:ascii="Abadi" w:hAnsi="Abadi" w:cs="*Arial-5077-Identity-H"/>
          <w:color w:val="14141B"/>
          <w:sz w:val="21"/>
          <w:szCs w:val="21"/>
        </w:rPr>
        <w:t>e</w:t>
      </w:r>
      <w:r w:rsidRPr="00C0364D">
        <w:rPr>
          <w:rFonts w:ascii="Abadi" w:hAnsi="Abadi" w:cs="*Arial-5077-Identity-H"/>
          <w:color w:val="14141B"/>
          <w:sz w:val="21"/>
          <w:szCs w:val="21"/>
        </w:rPr>
        <w:t xml:space="preserve"> la Ley de Fiscalización Superior del Estado de</w:t>
      </w:r>
      <w:r>
        <w:rPr>
          <w:rFonts w:ascii="Abadi" w:hAnsi="Abadi" w:cs="*Arial-5077-Identity-H"/>
          <w:color w:val="14141B"/>
          <w:sz w:val="21"/>
          <w:szCs w:val="21"/>
        </w:rPr>
        <w:t xml:space="preserve"> </w:t>
      </w:r>
      <w:r w:rsidRPr="00C0364D">
        <w:rPr>
          <w:rFonts w:ascii="Abadi" w:hAnsi="Abadi" w:cs="*Arial-5077-Identity-H"/>
          <w:color w:val="14141B"/>
          <w:sz w:val="21"/>
          <w:szCs w:val="21"/>
        </w:rPr>
        <w:t>Guanajuato, consigna que la Auditoría Superior establecerá un Programa General</w:t>
      </w:r>
      <w:r>
        <w:rPr>
          <w:rFonts w:ascii="Abadi" w:hAnsi="Abadi" w:cs="*Arial-5077-Identity-H"/>
          <w:color w:val="14141B"/>
          <w:sz w:val="21"/>
          <w:szCs w:val="21"/>
        </w:rPr>
        <w:t xml:space="preserve"> </w:t>
      </w:r>
      <w:r w:rsidRPr="00C0364D">
        <w:rPr>
          <w:rFonts w:ascii="Abadi" w:hAnsi="Abadi" w:cs="*Arial-5077-Identity-H"/>
          <w:color w:val="14141B"/>
          <w:sz w:val="21"/>
          <w:szCs w:val="21"/>
        </w:rPr>
        <w:t>de Fiscalización, señalando los actos y sujetos de fiscalización, los que serán</w:t>
      </w:r>
      <w:r>
        <w:rPr>
          <w:rFonts w:ascii="Abadi" w:hAnsi="Abadi" w:cs="*Arial-5077-Identity-H"/>
          <w:color w:val="14141B"/>
          <w:sz w:val="21"/>
          <w:szCs w:val="21"/>
        </w:rPr>
        <w:t xml:space="preserve"> </w:t>
      </w:r>
      <w:r w:rsidRPr="00C0364D">
        <w:rPr>
          <w:rFonts w:ascii="Abadi" w:hAnsi="Abadi" w:cs="*Arial-5077-Identity-H"/>
          <w:color w:val="14141B"/>
          <w:sz w:val="21"/>
          <w:szCs w:val="21"/>
        </w:rPr>
        <w:t>objeto de auditoría o revisión conforme a los criterios y normas que se establezcan</w:t>
      </w:r>
      <w:r>
        <w:rPr>
          <w:rFonts w:ascii="Abadi" w:hAnsi="Abadi" w:cs="*Arial-5077-Identity-H"/>
          <w:color w:val="14141B"/>
          <w:sz w:val="21"/>
          <w:szCs w:val="21"/>
        </w:rPr>
        <w:t xml:space="preserve"> </w:t>
      </w:r>
      <w:r w:rsidRPr="00C0364D">
        <w:rPr>
          <w:rFonts w:ascii="Abadi" w:hAnsi="Abadi" w:cs="*Arial-5077-Identity-H"/>
          <w:color w:val="14141B"/>
          <w:sz w:val="21"/>
          <w:szCs w:val="21"/>
        </w:rPr>
        <w:t>en el Reglamento de la Ley.</w:t>
      </w:r>
    </w:p>
    <w:p w14:paraId="0EFAC6B0" w14:textId="77777777" w:rsidR="005D7CEF" w:rsidRPr="00C0364D" w:rsidRDefault="005D7CEF" w:rsidP="005D7CEF">
      <w:pPr>
        <w:autoSpaceDE w:val="0"/>
        <w:autoSpaceDN w:val="0"/>
        <w:adjustRightInd w:val="0"/>
        <w:jc w:val="both"/>
        <w:rPr>
          <w:rFonts w:ascii="Abadi" w:hAnsi="Abadi" w:cs="*Arial-5077-Identity-H"/>
          <w:color w:val="14141B"/>
          <w:sz w:val="21"/>
          <w:szCs w:val="21"/>
        </w:rPr>
      </w:pPr>
    </w:p>
    <w:p w14:paraId="45A506BC" w14:textId="77777777" w:rsidR="005D7CEF" w:rsidRDefault="005D7CEF" w:rsidP="005D7CEF">
      <w:pPr>
        <w:autoSpaceDE w:val="0"/>
        <w:autoSpaceDN w:val="0"/>
        <w:adjustRightInd w:val="0"/>
        <w:ind w:firstLine="708"/>
        <w:jc w:val="both"/>
        <w:rPr>
          <w:rFonts w:ascii="Abadi" w:hAnsi="Abadi" w:cs="*Arial-5077-Identity-H"/>
          <w:color w:val="15131C"/>
          <w:sz w:val="21"/>
          <w:szCs w:val="21"/>
        </w:rPr>
      </w:pPr>
      <w:r w:rsidRPr="00C0364D">
        <w:rPr>
          <w:rFonts w:ascii="Abadi" w:hAnsi="Abadi" w:cs="*Arial-5077-Identity-H"/>
          <w:color w:val="15131C"/>
          <w:sz w:val="21"/>
          <w:szCs w:val="21"/>
        </w:rPr>
        <w:t>En ejercicio de esta función, el Auditor Superior del Estado aprobó el</w:t>
      </w:r>
      <w:r>
        <w:rPr>
          <w:rFonts w:ascii="Abadi" w:hAnsi="Abadi" w:cs="*Arial-5077-Identity-H"/>
          <w:color w:val="15131C"/>
          <w:sz w:val="21"/>
          <w:szCs w:val="21"/>
        </w:rPr>
        <w:t xml:space="preserve"> </w:t>
      </w:r>
      <w:r w:rsidRPr="00C0364D">
        <w:rPr>
          <w:rFonts w:ascii="Abadi" w:hAnsi="Abadi" w:cs="*Arial-5077-Identity-H"/>
          <w:color w:val="15131C"/>
          <w:sz w:val="21"/>
          <w:szCs w:val="21"/>
        </w:rPr>
        <w:t>Programa General de Fiscalización 2021. En dicho Programa se contempló la</w:t>
      </w:r>
      <w:r>
        <w:rPr>
          <w:rFonts w:ascii="Abadi" w:hAnsi="Abadi" w:cs="*Arial-5077-Identity-H"/>
          <w:color w:val="15131C"/>
          <w:sz w:val="21"/>
          <w:szCs w:val="21"/>
        </w:rPr>
        <w:t xml:space="preserve"> </w:t>
      </w:r>
      <w:r w:rsidRPr="00C0364D">
        <w:rPr>
          <w:rFonts w:ascii="Abadi" w:hAnsi="Abadi" w:cs="*Arial-5077-Identity-H"/>
          <w:color w:val="15131C"/>
          <w:sz w:val="21"/>
          <w:szCs w:val="21"/>
        </w:rPr>
        <w:t>práctica de una auditoría de desempeño a la administración municipal de</w:t>
      </w:r>
      <w:r>
        <w:rPr>
          <w:rFonts w:ascii="Abadi" w:hAnsi="Abadi" w:cs="*Arial-5077-Identity-H"/>
          <w:color w:val="15131C"/>
          <w:sz w:val="21"/>
          <w:szCs w:val="21"/>
        </w:rPr>
        <w:t xml:space="preserve"> </w:t>
      </w:r>
      <w:r w:rsidRPr="00C0364D">
        <w:rPr>
          <w:rFonts w:ascii="Abadi" w:hAnsi="Abadi" w:cs="*Arial-5077-Identity-H"/>
          <w:color w:val="15131C"/>
          <w:sz w:val="21"/>
          <w:szCs w:val="21"/>
        </w:rPr>
        <w:t>Acámbaro, Gto., por el periodo comprendido del 1 de enero al 31 de diciembre del</w:t>
      </w:r>
      <w:r>
        <w:rPr>
          <w:rFonts w:ascii="Abadi" w:hAnsi="Abadi" w:cs="*Arial-5077-Identity-H"/>
          <w:color w:val="15131C"/>
          <w:sz w:val="21"/>
          <w:szCs w:val="21"/>
        </w:rPr>
        <w:t xml:space="preserve"> </w:t>
      </w:r>
      <w:r w:rsidRPr="00C0364D">
        <w:rPr>
          <w:rFonts w:ascii="Abadi" w:hAnsi="Abadi" w:cs="*Arial-5077-Identity-H"/>
          <w:color w:val="15131C"/>
          <w:sz w:val="21"/>
          <w:szCs w:val="21"/>
        </w:rPr>
        <w:t>ejercicio fiscal del año 2020, la cual se realizó con enfoque a resultados del</w:t>
      </w:r>
      <w:r>
        <w:rPr>
          <w:rFonts w:ascii="Abadi" w:hAnsi="Abadi" w:cs="*Arial-5077-Identity-H"/>
          <w:color w:val="15131C"/>
          <w:sz w:val="21"/>
          <w:szCs w:val="21"/>
        </w:rPr>
        <w:t xml:space="preserve"> </w:t>
      </w:r>
      <w:r w:rsidRPr="00C0364D">
        <w:rPr>
          <w:rFonts w:ascii="Abadi" w:hAnsi="Abadi" w:cs="*Arial-5077-Identity-H"/>
          <w:color w:val="15131C"/>
          <w:sz w:val="21"/>
          <w:szCs w:val="21"/>
        </w:rPr>
        <w:t>servicio de alumbrado público.</w:t>
      </w:r>
    </w:p>
    <w:p w14:paraId="670027FF" w14:textId="77777777" w:rsidR="005D7CEF" w:rsidRPr="00C0364D" w:rsidRDefault="005D7CEF" w:rsidP="005D7CEF">
      <w:pPr>
        <w:autoSpaceDE w:val="0"/>
        <w:autoSpaceDN w:val="0"/>
        <w:adjustRightInd w:val="0"/>
        <w:jc w:val="both"/>
        <w:rPr>
          <w:rFonts w:ascii="Abadi" w:hAnsi="Abadi" w:cs="*Arial-5077-Identity-H"/>
          <w:color w:val="15131C"/>
          <w:sz w:val="21"/>
          <w:szCs w:val="21"/>
        </w:rPr>
      </w:pPr>
    </w:p>
    <w:p w14:paraId="0C0B4957" w14:textId="77777777" w:rsidR="005D7CEF" w:rsidRPr="00C0364D" w:rsidRDefault="005D7CEF" w:rsidP="005D7CEF">
      <w:pPr>
        <w:autoSpaceDE w:val="0"/>
        <w:autoSpaceDN w:val="0"/>
        <w:adjustRightInd w:val="0"/>
        <w:ind w:firstLine="708"/>
        <w:jc w:val="both"/>
        <w:rPr>
          <w:rFonts w:ascii="Abadi" w:hAnsi="Abadi" w:cs="*Arial-5077-Identity-H"/>
          <w:color w:val="15141C"/>
          <w:sz w:val="21"/>
          <w:szCs w:val="21"/>
        </w:rPr>
      </w:pPr>
      <w:r w:rsidRPr="00C0364D">
        <w:rPr>
          <w:rFonts w:ascii="Abadi" w:hAnsi="Abadi" w:cs="*Arial-5077-Identity-H"/>
          <w:color w:val="15141C"/>
          <w:sz w:val="21"/>
          <w:szCs w:val="21"/>
        </w:rPr>
        <w:t>El 2 de septiembre de 2021 se notificó al sujeto fiscalizado el inicio de la</w:t>
      </w:r>
      <w:r>
        <w:rPr>
          <w:rFonts w:ascii="Abadi" w:hAnsi="Abadi" w:cs="*Arial-5077-Identity-H"/>
          <w:color w:val="15141C"/>
          <w:sz w:val="21"/>
          <w:szCs w:val="21"/>
        </w:rPr>
        <w:t xml:space="preserve"> </w:t>
      </w:r>
      <w:r w:rsidRPr="00C0364D">
        <w:rPr>
          <w:rFonts w:ascii="Abadi" w:hAnsi="Abadi" w:cs="*Arial-5077-Identity-H"/>
          <w:color w:val="15141C"/>
          <w:sz w:val="21"/>
          <w:szCs w:val="21"/>
        </w:rPr>
        <w:t>auditoría materia del presente dictamen.</w:t>
      </w:r>
    </w:p>
    <w:p w14:paraId="28095112" w14:textId="77777777" w:rsidR="005D7CEF" w:rsidRPr="00C0364D" w:rsidRDefault="005D7CEF" w:rsidP="005D7CEF">
      <w:pPr>
        <w:jc w:val="both"/>
        <w:rPr>
          <w:rFonts w:ascii="Abadi" w:hAnsi="Abadi" w:cs="*Arial-5077-Identity-H"/>
          <w:color w:val="15141C"/>
          <w:sz w:val="21"/>
          <w:szCs w:val="21"/>
        </w:rPr>
      </w:pPr>
    </w:p>
    <w:p w14:paraId="0877D770" w14:textId="77777777" w:rsidR="005D7CEF" w:rsidRDefault="005D7CEF" w:rsidP="005D7CEF">
      <w:pPr>
        <w:autoSpaceDE w:val="0"/>
        <w:autoSpaceDN w:val="0"/>
        <w:adjustRightInd w:val="0"/>
        <w:ind w:firstLine="708"/>
        <w:jc w:val="both"/>
        <w:rPr>
          <w:rFonts w:ascii="Abadi" w:hAnsi="Abadi" w:cs="*Arial-5386-Identity-H"/>
          <w:color w:val="15131C"/>
          <w:sz w:val="21"/>
          <w:szCs w:val="21"/>
        </w:rPr>
      </w:pPr>
      <w:r w:rsidRPr="00C0364D">
        <w:rPr>
          <w:rFonts w:ascii="Abadi" w:hAnsi="Abadi" w:cs="*Arial-5386-Identity-H"/>
          <w:color w:val="15131C"/>
          <w:sz w:val="21"/>
          <w:szCs w:val="21"/>
        </w:rPr>
        <w:t>Mediante oficio notificado el 27 de septiembre de 2021, la Auditoría</w:t>
      </w:r>
      <w:r>
        <w:rPr>
          <w:rFonts w:ascii="Abadi" w:hAnsi="Abadi" w:cs="*Arial-5386-Identity-H"/>
          <w:color w:val="15131C"/>
          <w:sz w:val="21"/>
          <w:szCs w:val="21"/>
        </w:rPr>
        <w:t xml:space="preserve"> </w:t>
      </w:r>
      <w:r w:rsidRPr="00C0364D">
        <w:rPr>
          <w:rFonts w:ascii="Abadi" w:hAnsi="Abadi" w:cs="*Arial-5386-Identity-H"/>
          <w:color w:val="15131C"/>
          <w:sz w:val="21"/>
          <w:szCs w:val="21"/>
        </w:rPr>
        <w:t>Superior del Estado requirió al sujeto de fiscalización diversa información que se</w:t>
      </w:r>
      <w:r>
        <w:rPr>
          <w:rFonts w:ascii="Abadi" w:hAnsi="Abadi" w:cs="*Arial-5386-Identity-H"/>
          <w:color w:val="15131C"/>
          <w:sz w:val="21"/>
          <w:szCs w:val="21"/>
        </w:rPr>
        <w:t xml:space="preserve"> </w:t>
      </w:r>
      <w:r w:rsidRPr="00C0364D">
        <w:rPr>
          <w:rFonts w:ascii="Abadi" w:hAnsi="Abadi" w:cs="*Arial-5386-Identity-H"/>
          <w:color w:val="15131C"/>
          <w:sz w:val="21"/>
          <w:szCs w:val="21"/>
        </w:rPr>
        <w:t>consideró necesaria para llevar a cabo la auditoría, al cual se dio respuesta en</w:t>
      </w:r>
      <w:r>
        <w:rPr>
          <w:rFonts w:ascii="Abadi" w:hAnsi="Abadi" w:cs="*Arial-5386-Identity-H"/>
          <w:color w:val="15131C"/>
          <w:sz w:val="21"/>
          <w:szCs w:val="21"/>
        </w:rPr>
        <w:t xml:space="preserve"> </w:t>
      </w:r>
      <w:r w:rsidRPr="00C0364D">
        <w:rPr>
          <w:rFonts w:ascii="Abadi" w:hAnsi="Abadi" w:cs="*Arial-5386-Identity-H"/>
          <w:color w:val="15131C"/>
          <w:sz w:val="21"/>
          <w:szCs w:val="21"/>
        </w:rPr>
        <w:t>fechas 4 de octubre y 9 de diciembre de 2021. Asimismo, el 16 de diciembre del</w:t>
      </w:r>
      <w:r>
        <w:rPr>
          <w:rFonts w:ascii="Abadi" w:hAnsi="Abadi" w:cs="*Arial-5386-Identity-H"/>
          <w:color w:val="15131C"/>
          <w:sz w:val="21"/>
          <w:szCs w:val="21"/>
        </w:rPr>
        <w:t xml:space="preserve"> </w:t>
      </w:r>
      <w:r w:rsidRPr="00C0364D">
        <w:rPr>
          <w:rFonts w:ascii="Abadi" w:hAnsi="Abadi" w:cs="*Arial-5386-Identity-H"/>
          <w:color w:val="15131C"/>
          <w:sz w:val="21"/>
          <w:szCs w:val="21"/>
        </w:rPr>
        <w:t>mismo año, el Órgano Técnico realizó entrevistas.</w:t>
      </w:r>
    </w:p>
    <w:p w14:paraId="7890AA7E" w14:textId="77777777" w:rsidR="005D7CEF" w:rsidRPr="00C0364D" w:rsidRDefault="005D7CEF" w:rsidP="005D7CEF">
      <w:pPr>
        <w:autoSpaceDE w:val="0"/>
        <w:autoSpaceDN w:val="0"/>
        <w:adjustRightInd w:val="0"/>
        <w:jc w:val="both"/>
        <w:rPr>
          <w:rFonts w:ascii="Abadi" w:hAnsi="Abadi" w:cs="*Arial-5386-Identity-H"/>
          <w:color w:val="15131C"/>
          <w:sz w:val="21"/>
          <w:szCs w:val="21"/>
        </w:rPr>
      </w:pPr>
    </w:p>
    <w:p w14:paraId="60E99690" w14:textId="77777777" w:rsidR="005D7CEF" w:rsidRDefault="005D7CEF" w:rsidP="005D7CEF">
      <w:pPr>
        <w:autoSpaceDE w:val="0"/>
        <w:autoSpaceDN w:val="0"/>
        <w:adjustRightInd w:val="0"/>
        <w:ind w:firstLine="708"/>
        <w:jc w:val="both"/>
        <w:rPr>
          <w:rFonts w:ascii="Abadi" w:hAnsi="Abadi" w:cs="*Arial-5386-Identity-H"/>
          <w:color w:val="15141C"/>
          <w:sz w:val="21"/>
          <w:szCs w:val="21"/>
        </w:rPr>
      </w:pPr>
      <w:r w:rsidRPr="00C0364D">
        <w:rPr>
          <w:rFonts w:ascii="Abadi" w:hAnsi="Abadi" w:cs="*Arial-5386-Identity-H"/>
          <w:color w:val="15141C"/>
          <w:sz w:val="21"/>
          <w:szCs w:val="21"/>
        </w:rPr>
        <w:t>Los días 27 de septiembre y 17 de diciembre de 2021 se notificó al sujeto</w:t>
      </w:r>
      <w:r>
        <w:rPr>
          <w:rFonts w:ascii="Abadi" w:hAnsi="Abadi" w:cs="*Arial-5386-Identity-H"/>
          <w:color w:val="15141C"/>
          <w:sz w:val="21"/>
          <w:szCs w:val="21"/>
        </w:rPr>
        <w:t xml:space="preserve"> </w:t>
      </w:r>
      <w:r w:rsidRPr="00C0364D">
        <w:rPr>
          <w:rFonts w:ascii="Abadi" w:hAnsi="Abadi" w:cs="*Arial-5386-Identity-H"/>
          <w:color w:val="15141C"/>
          <w:sz w:val="21"/>
          <w:szCs w:val="21"/>
        </w:rPr>
        <w:t>fiscalizado la suspensión del plazo de la auditoría materia del presente dictamen,</w:t>
      </w:r>
      <w:r>
        <w:rPr>
          <w:rFonts w:ascii="Abadi" w:hAnsi="Abadi" w:cs="*Arial-5386-Identity-H"/>
          <w:color w:val="15141C"/>
          <w:sz w:val="21"/>
          <w:szCs w:val="21"/>
        </w:rPr>
        <w:t xml:space="preserve"> </w:t>
      </w:r>
      <w:r w:rsidRPr="00C0364D">
        <w:rPr>
          <w:rFonts w:ascii="Abadi" w:hAnsi="Abadi" w:cs="*Arial-5386-Identity-H"/>
          <w:color w:val="15141C"/>
          <w:sz w:val="21"/>
          <w:szCs w:val="21"/>
        </w:rPr>
        <w:t>por los periodos comprendidos del 1 de octubre al 17 de diciembre de 2021; y del</w:t>
      </w:r>
      <w:r>
        <w:rPr>
          <w:rFonts w:ascii="Abadi" w:hAnsi="Abadi" w:cs="*Arial-5386-Identity-H"/>
          <w:color w:val="15141C"/>
          <w:sz w:val="21"/>
          <w:szCs w:val="21"/>
        </w:rPr>
        <w:t xml:space="preserve"> </w:t>
      </w:r>
      <w:r w:rsidRPr="00C0364D">
        <w:rPr>
          <w:rFonts w:ascii="Abadi" w:hAnsi="Abadi" w:cs="*Arial-5386-Identity-H"/>
          <w:color w:val="15141C"/>
          <w:sz w:val="21"/>
          <w:szCs w:val="21"/>
        </w:rPr>
        <w:t>3 de enero al 11 de marzo de 2022.</w:t>
      </w:r>
    </w:p>
    <w:p w14:paraId="7C41F6A3" w14:textId="77777777" w:rsidR="005D7CEF" w:rsidRPr="00C0364D" w:rsidRDefault="005D7CEF" w:rsidP="005D7CEF">
      <w:pPr>
        <w:autoSpaceDE w:val="0"/>
        <w:autoSpaceDN w:val="0"/>
        <w:adjustRightInd w:val="0"/>
        <w:jc w:val="both"/>
        <w:rPr>
          <w:rFonts w:ascii="Abadi" w:hAnsi="Abadi" w:cs="*Arial-5386-Identity-H"/>
          <w:color w:val="15141C"/>
          <w:sz w:val="21"/>
          <w:szCs w:val="21"/>
        </w:rPr>
      </w:pPr>
    </w:p>
    <w:p w14:paraId="099FD3BD" w14:textId="77777777" w:rsidR="005D7CEF" w:rsidRDefault="005D7CEF" w:rsidP="005D7CEF">
      <w:pPr>
        <w:autoSpaceDE w:val="0"/>
        <w:autoSpaceDN w:val="0"/>
        <w:adjustRightInd w:val="0"/>
        <w:ind w:firstLine="708"/>
        <w:jc w:val="both"/>
        <w:rPr>
          <w:rFonts w:ascii="Abadi" w:hAnsi="Abadi" w:cs="*Arial-5386-Identity-H"/>
          <w:color w:val="14141C"/>
          <w:sz w:val="21"/>
          <w:szCs w:val="21"/>
        </w:rPr>
      </w:pPr>
      <w:r w:rsidRPr="00C0364D">
        <w:rPr>
          <w:rFonts w:ascii="Abadi" w:hAnsi="Abadi" w:cs="*Arial-5386-Identity-H"/>
          <w:color w:val="14141C"/>
          <w:sz w:val="21"/>
          <w:szCs w:val="21"/>
        </w:rPr>
        <w:t>Como parte del proceso de auditoría, el 4 de febrero de 2022 se notificó al</w:t>
      </w:r>
      <w:r>
        <w:rPr>
          <w:rFonts w:ascii="Abadi" w:hAnsi="Abadi" w:cs="*Arial-5386-Identity-H"/>
          <w:color w:val="14141C"/>
          <w:sz w:val="21"/>
          <w:szCs w:val="21"/>
        </w:rPr>
        <w:t xml:space="preserve"> </w:t>
      </w:r>
      <w:r w:rsidRPr="00C0364D">
        <w:rPr>
          <w:rFonts w:ascii="Abadi" w:hAnsi="Abadi" w:cs="*Arial-5386-Identity-H"/>
          <w:color w:val="14141C"/>
          <w:sz w:val="21"/>
          <w:szCs w:val="21"/>
        </w:rPr>
        <w:t>sujeto fiscalizado el pliego de recomendaciones derivadas de la auditoría</w:t>
      </w:r>
      <w:r>
        <w:rPr>
          <w:rFonts w:ascii="Abadi" w:hAnsi="Abadi" w:cs="*Arial-5386-Identity-H"/>
          <w:color w:val="14141C"/>
          <w:sz w:val="21"/>
          <w:szCs w:val="21"/>
        </w:rPr>
        <w:t xml:space="preserve"> </w:t>
      </w:r>
      <w:r w:rsidRPr="00C0364D">
        <w:rPr>
          <w:rFonts w:ascii="Abadi" w:hAnsi="Abadi" w:cs="*Arial-5386-Identity-H"/>
          <w:color w:val="14141C"/>
          <w:sz w:val="21"/>
          <w:szCs w:val="21"/>
        </w:rPr>
        <w:t>practicada. Lo anterior, para dar cumplimiento a lo preceptuado por el artículo 58</w:t>
      </w:r>
      <w:r>
        <w:rPr>
          <w:rFonts w:ascii="Abadi" w:hAnsi="Abadi" w:cs="*Arial-5386-Identity-H"/>
          <w:color w:val="14141C"/>
          <w:sz w:val="21"/>
          <w:szCs w:val="21"/>
        </w:rPr>
        <w:t xml:space="preserve"> </w:t>
      </w:r>
      <w:r w:rsidRPr="00C0364D">
        <w:rPr>
          <w:rFonts w:ascii="Abadi" w:hAnsi="Abadi" w:cs="*Arial-5386-Identity-H"/>
          <w:color w:val="14141C"/>
          <w:sz w:val="21"/>
          <w:szCs w:val="21"/>
        </w:rPr>
        <w:t>de la Ley de Fiscalización Superior del Estado de Guanajuato.</w:t>
      </w:r>
    </w:p>
    <w:p w14:paraId="538AAB56" w14:textId="77777777" w:rsidR="005D7CEF" w:rsidRPr="00C0364D" w:rsidRDefault="005D7CEF" w:rsidP="005D7CEF">
      <w:pPr>
        <w:autoSpaceDE w:val="0"/>
        <w:autoSpaceDN w:val="0"/>
        <w:adjustRightInd w:val="0"/>
        <w:jc w:val="both"/>
        <w:rPr>
          <w:rFonts w:ascii="Abadi" w:hAnsi="Abadi" w:cs="*Arial-5386-Identity-H"/>
          <w:color w:val="14141C"/>
          <w:sz w:val="21"/>
          <w:szCs w:val="21"/>
        </w:rPr>
      </w:pPr>
    </w:p>
    <w:p w14:paraId="09DBEC7E" w14:textId="77777777" w:rsidR="005D7CEF" w:rsidRDefault="005D7CEF" w:rsidP="005D7CEF">
      <w:pPr>
        <w:autoSpaceDE w:val="0"/>
        <w:autoSpaceDN w:val="0"/>
        <w:adjustRightInd w:val="0"/>
        <w:ind w:firstLine="708"/>
        <w:jc w:val="both"/>
        <w:rPr>
          <w:rFonts w:ascii="Abadi" w:hAnsi="Abadi" w:cs="*Arial-5386-Identity-H"/>
          <w:color w:val="15141B"/>
          <w:sz w:val="21"/>
          <w:szCs w:val="21"/>
        </w:rPr>
      </w:pPr>
      <w:r w:rsidRPr="00C0364D">
        <w:rPr>
          <w:rFonts w:ascii="Abadi" w:hAnsi="Abadi" w:cs="*Arial-5386-Identity-H"/>
          <w:color w:val="15141B"/>
          <w:sz w:val="21"/>
          <w:szCs w:val="21"/>
        </w:rPr>
        <w:t>El 21 de febrero de 2022, el sujeto fiscalizado dio respuesta a las</w:t>
      </w:r>
      <w:r>
        <w:rPr>
          <w:rFonts w:ascii="Abadi" w:hAnsi="Abadi" w:cs="*Arial-5386-Identity-H"/>
          <w:color w:val="15141B"/>
          <w:sz w:val="21"/>
          <w:szCs w:val="21"/>
        </w:rPr>
        <w:t xml:space="preserve"> </w:t>
      </w:r>
      <w:r w:rsidRPr="00C0364D">
        <w:rPr>
          <w:rFonts w:ascii="Abadi" w:hAnsi="Abadi" w:cs="*Arial-5386-Identity-H"/>
          <w:color w:val="15141B"/>
          <w:sz w:val="21"/>
          <w:szCs w:val="21"/>
        </w:rPr>
        <w:t>recomendaciones derivadas de la auditoría practicada, anexándose la información</w:t>
      </w:r>
      <w:r>
        <w:rPr>
          <w:rFonts w:ascii="Abadi" w:hAnsi="Abadi" w:cs="*Arial-5386-Identity-H"/>
          <w:color w:val="15141B"/>
          <w:sz w:val="21"/>
          <w:szCs w:val="21"/>
        </w:rPr>
        <w:t xml:space="preserve"> </w:t>
      </w:r>
      <w:r w:rsidRPr="00C0364D">
        <w:rPr>
          <w:rFonts w:ascii="Abadi" w:hAnsi="Abadi" w:cs="*Arial-5386-Identity-H"/>
          <w:color w:val="15141B"/>
          <w:sz w:val="21"/>
          <w:szCs w:val="21"/>
        </w:rPr>
        <w:t>y documentación que el mismo consideró suficiente para precisar las mejoras</w:t>
      </w:r>
      <w:r>
        <w:rPr>
          <w:rFonts w:ascii="Abadi" w:hAnsi="Abadi" w:cs="*Arial-5386-Identity-H"/>
          <w:color w:val="15141B"/>
          <w:sz w:val="21"/>
          <w:szCs w:val="21"/>
        </w:rPr>
        <w:t xml:space="preserve"> </w:t>
      </w:r>
      <w:r w:rsidRPr="00C0364D">
        <w:rPr>
          <w:rFonts w:ascii="Abadi" w:hAnsi="Abadi" w:cs="*Arial-5386-Identity-H"/>
          <w:color w:val="15141B"/>
          <w:sz w:val="21"/>
          <w:szCs w:val="21"/>
        </w:rPr>
        <w:t>efectuadas, las acciones a realizar o en su caso, justificar la improcedencia por la</w:t>
      </w:r>
      <w:r>
        <w:rPr>
          <w:rFonts w:ascii="Abadi" w:hAnsi="Abadi" w:cs="*Arial-5386-Identity-H"/>
          <w:color w:val="15141B"/>
          <w:sz w:val="21"/>
          <w:szCs w:val="21"/>
        </w:rPr>
        <w:t xml:space="preserve"> </w:t>
      </w:r>
      <w:r w:rsidRPr="00C0364D">
        <w:rPr>
          <w:rFonts w:ascii="Abadi" w:hAnsi="Abadi" w:cs="*Arial-5386-Identity-H"/>
          <w:color w:val="15141B"/>
          <w:sz w:val="21"/>
          <w:szCs w:val="21"/>
        </w:rPr>
        <w:t>cual no resulte factible su implementación. Una vez valorada la documentación</w:t>
      </w:r>
      <w:r>
        <w:rPr>
          <w:rFonts w:ascii="Abadi" w:hAnsi="Abadi" w:cs="*Arial-5386-Identity-H"/>
          <w:color w:val="15141B"/>
          <w:sz w:val="21"/>
          <w:szCs w:val="21"/>
        </w:rPr>
        <w:t xml:space="preserve"> </w:t>
      </w:r>
      <w:r w:rsidRPr="00C0364D">
        <w:rPr>
          <w:rFonts w:ascii="Abadi" w:hAnsi="Abadi" w:cs="*Arial-5386-Identity-H"/>
          <w:color w:val="15141B"/>
          <w:sz w:val="21"/>
          <w:szCs w:val="21"/>
        </w:rPr>
        <w:t>aportada se procedió a la elaboración del informe de resultados materia del</w:t>
      </w:r>
      <w:r>
        <w:rPr>
          <w:rFonts w:ascii="Abadi" w:hAnsi="Abadi" w:cs="*Arial-5386-Identity-H"/>
          <w:color w:val="15141B"/>
          <w:sz w:val="21"/>
          <w:szCs w:val="21"/>
        </w:rPr>
        <w:t xml:space="preserve"> </w:t>
      </w:r>
      <w:r w:rsidRPr="00C0364D">
        <w:rPr>
          <w:rFonts w:ascii="Abadi" w:hAnsi="Abadi" w:cs="*Arial-5386-Identity-H"/>
          <w:color w:val="15141B"/>
          <w:sz w:val="21"/>
          <w:szCs w:val="21"/>
        </w:rPr>
        <w:t>presente dictamen.</w:t>
      </w:r>
    </w:p>
    <w:p w14:paraId="550C66FA" w14:textId="77777777" w:rsidR="005D7CEF" w:rsidRPr="00C0364D" w:rsidRDefault="005D7CEF" w:rsidP="005D7CEF">
      <w:pPr>
        <w:autoSpaceDE w:val="0"/>
        <w:autoSpaceDN w:val="0"/>
        <w:adjustRightInd w:val="0"/>
        <w:jc w:val="both"/>
        <w:rPr>
          <w:rFonts w:ascii="Abadi" w:hAnsi="Abadi" w:cs="*Arial-5386-Identity-H"/>
          <w:color w:val="15141B"/>
          <w:sz w:val="21"/>
          <w:szCs w:val="21"/>
        </w:rPr>
      </w:pPr>
    </w:p>
    <w:p w14:paraId="57D7706B" w14:textId="77777777" w:rsidR="005D7CEF" w:rsidRDefault="005D7CEF" w:rsidP="005D7CEF">
      <w:pPr>
        <w:autoSpaceDE w:val="0"/>
        <w:autoSpaceDN w:val="0"/>
        <w:adjustRightInd w:val="0"/>
        <w:ind w:firstLine="708"/>
        <w:jc w:val="both"/>
        <w:rPr>
          <w:rFonts w:ascii="Abadi" w:hAnsi="Abadi" w:cs="*Arial-5386-Identity-H"/>
          <w:color w:val="15141C"/>
          <w:sz w:val="21"/>
          <w:szCs w:val="21"/>
        </w:rPr>
      </w:pPr>
      <w:r w:rsidRPr="00C0364D">
        <w:rPr>
          <w:rFonts w:ascii="Abadi" w:hAnsi="Abadi" w:cs="*Arial-5386-Identity-H"/>
          <w:color w:val="15141C"/>
          <w:sz w:val="21"/>
          <w:szCs w:val="21"/>
        </w:rPr>
        <w:t>El informe de resultados se notificó a la presidenta municipal de Acámbaro,</w:t>
      </w:r>
      <w:r>
        <w:rPr>
          <w:rFonts w:ascii="Abadi" w:hAnsi="Abadi" w:cs="*Arial-5386-Identity-H"/>
          <w:color w:val="15141C"/>
          <w:sz w:val="21"/>
          <w:szCs w:val="21"/>
        </w:rPr>
        <w:t xml:space="preserve"> </w:t>
      </w:r>
      <w:r w:rsidRPr="00C0364D">
        <w:rPr>
          <w:rFonts w:ascii="Abadi" w:hAnsi="Abadi" w:cs="*Arial-5386-Identity-H"/>
          <w:color w:val="15141C"/>
          <w:sz w:val="21"/>
          <w:szCs w:val="21"/>
        </w:rPr>
        <w:t>Gto., el 25 de febrero de 2022.</w:t>
      </w:r>
      <w:r>
        <w:rPr>
          <w:rFonts w:ascii="Abadi" w:hAnsi="Abadi" w:cs="*Arial-5386-Identity-H"/>
          <w:color w:val="15141C"/>
          <w:sz w:val="21"/>
          <w:szCs w:val="21"/>
        </w:rPr>
        <w:t xml:space="preserve"> </w:t>
      </w:r>
    </w:p>
    <w:p w14:paraId="7F008C6A" w14:textId="77777777" w:rsidR="005D7CEF" w:rsidRDefault="005D7CEF" w:rsidP="005D7CEF">
      <w:pPr>
        <w:autoSpaceDE w:val="0"/>
        <w:autoSpaceDN w:val="0"/>
        <w:adjustRightInd w:val="0"/>
        <w:jc w:val="both"/>
        <w:rPr>
          <w:rFonts w:ascii="Abadi" w:hAnsi="Abadi" w:cs="*Arial-5386-Identity-H"/>
          <w:color w:val="15141C"/>
          <w:sz w:val="21"/>
          <w:szCs w:val="21"/>
        </w:rPr>
      </w:pPr>
    </w:p>
    <w:p w14:paraId="4E475D1B" w14:textId="77777777" w:rsidR="005D7CEF" w:rsidRDefault="005D7CEF" w:rsidP="005D7CEF">
      <w:pPr>
        <w:autoSpaceDE w:val="0"/>
        <w:autoSpaceDN w:val="0"/>
        <w:adjustRightInd w:val="0"/>
        <w:ind w:firstLine="708"/>
        <w:jc w:val="both"/>
        <w:rPr>
          <w:rFonts w:ascii="Abadi" w:hAnsi="Abadi" w:cs="*Arial-5386-Identity-H"/>
          <w:color w:val="14141C"/>
          <w:sz w:val="21"/>
          <w:szCs w:val="21"/>
        </w:rPr>
      </w:pPr>
      <w:r w:rsidRPr="00C0364D">
        <w:rPr>
          <w:rFonts w:ascii="Abadi" w:hAnsi="Abadi" w:cs="*Arial-5386-Identity-H"/>
          <w:color w:val="14141C"/>
          <w:sz w:val="21"/>
          <w:szCs w:val="21"/>
        </w:rPr>
        <w:t>Es importante señalar que de acuerdo a lo previsto en los artículos 60 de la</w:t>
      </w:r>
      <w:r>
        <w:rPr>
          <w:rFonts w:ascii="Abadi" w:hAnsi="Abadi" w:cs="*Arial-5386-Identity-H"/>
          <w:color w:val="14141C"/>
          <w:sz w:val="21"/>
          <w:szCs w:val="21"/>
        </w:rPr>
        <w:t xml:space="preserve"> </w:t>
      </w:r>
      <w:r w:rsidRPr="00C0364D">
        <w:rPr>
          <w:rFonts w:ascii="Abadi" w:hAnsi="Abadi" w:cs="*Arial-5386-Identity-H"/>
          <w:color w:val="14141C"/>
          <w:sz w:val="21"/>
          <w:szCs w:val="21"/>
        </w:rPr>
        <w:t>Ley de Fiscalización Superior del Estado de Guanajuato; y 60 del Reglamento de</w:t>
      </w:r>
      <w:r>
        <w:rPr>
          <w:rFonts w:ascii="Abadi" w:hAnsi="Abadi" w:cs="*Arial-5386-Identity-H"/>
          <w:color w:val="14141C"/>
          <w:sz w:val="21"/>
          <w:szCs w:val="21"/>
        </w:rPr>
        <w:t xml:space="preserve"> </w:t>
      </w:r>
      <w:r w:rsidRPr="00C0364D">
        <w:rPr>
          <w:rFonts w:ascii="Abadi" w:hAnsi="Abadi" w:cs="*Arial-5386-Identity-H"/>
          <w:color w:val="14141C"/>
          <w:sz w:val="21"/>
          <w:szCs w:val="21"/>
        </w:rPr>
        <w:t>la Ley de Fiscalización Superior del Estado de Guanajuato, tratándose de las</w:t>
      </w:r>
      <w:r>
        <w:rPr>
          <w:rFonts w:ascii="Abadi" w:hAnsi="Abadi" w:cs="*Arial-5386-Identity-H"/>
          <w:color w:val="14141C"/>
          <w:sz w:val="21"/>
          <w:szCs w:val="21"/>
        </w:rPr>
        <w:t xml:space="preserve"> </w:t>
      </w:r>
      <w:r w:rsidRPr="00C0364D">
        <w:rPr>
          <w:rFonts w:ascii="Abadi" w:hAnsi="Abadi" w:cs="*Arial-5386-Identity-H"/>
          <w:color w:val="14141C"/>
          <w:sz w:val="21"/>
          <w:szCs w:val="21"/>
        </w:rPr>
        <w:t>auditorías de desempeño es improcedente el recurso de reconsideración en contra</w:t>
      </w:r>
      <w:r>
        <w:rPr>
          <w:rFonts w:ascii="Abadi" w:hAnsi="Abadi" w:cs="*Arial-5386-Identity-H"/>
          <w:color w:val="14141C"/>
          <w:sz w:val="21"/>
          <w:szCs w:val="21"/>
        </w:rPr>
        <w:t xml:space="preserve"> </w:t>
      </w:r>
      <w:r w:rsidRPr="00C0364D">
        <w:rPr>
          <w:rFonts w:ascii="Abadi" w:hAnsi="Abadi" w:cs="*Arial-5386-Identity-H"/>
          <w:color w:val="14141C"/>
          <w:sz w:val="21"/>
          <w:szCs w:val="21"/>
        </w:rPr>
        <w:t>del informe de resultados, por lo que una vez notificado el mismo al sujeto de</w:t>
      </w:r>
      <w:r>
        <w:rPr>
          <w:rFonts w:ascii="Abadi" w:hAnsi="Abadi" w:cs="*Arial-5386-Identity-H"/>
          <w:color w:val="14141C"/>
          <w:sz w:val="21"/>
          <w:szCs w:val="21"/>
        </w:rPr>
        <w:t xml:space="preserve"> </w:t>
      </w:r>
      <w:r w:rsidRPr="00C0364D">
        <w:rPr>
          <w:rFonts w:ascii="Abadi" w:hAnsi="Abadi" w:cs="*Arial-5386-Identity-H"/>
          <w:color w:val="14141C"/>
          <w:sz w:val="21"/>
          <w:szCs w:val="21"/>
        </w:rPr>
        <w:t>fiscalización, se remite al Congreso para los efectos procedentes.</w:t>
      </w:r>
    </w:p>
    <w:p w14:paraId="22CBB7DE" w14:textId="77777777" w:rsidR="005D7CEF" w:rsidRPr="00C0364D" w:rsidRDefault="005D7CEF" w:rsidP="005D7CEF">
      <w:pPr>
        <w:autoSpaceDE w:val="0"/>
        <w:autoSpaceDN w:val="0"/>
        <w:adjustRightInd w:val="0"/>
        <w:jc w:val="both"/>
        <w:rPr>
          <w:rFonts w:ascii="Abadi" w:hAnsi="Abadi" w:cs="*Arial-5386-Identity-H"/>
          <w:color w:val="14141C"/>
          <w:sz w:val="21"/>
          <w:szCs w:val="21"/>
        </w:rPr>
      </w:pPr>
    </w:p>
    <w:p w14:paraId="7C597811" w14:textId="77777777" w:rsidR="005D7CEF" w:rsidRPr="00C0364D" w:rsidRDefault="005D7CEF" w:rsidP="005D7CEF">
      <w:pPr>
        <w:autoSpaceDE w:val="0"/>
        <w:autoSpaceDN w:val="0"/>
        <w:adjustRightInd w:val="0"/>
        <w:ind w:firstLine="708"/>
        <w:jc w:val="both"/>
        <w:rPr>
          <w:rFonts w:ascii="Abadi" w:hAnsi="Abadi" w:cs="*Arial-5386-Identity-H"/>
          <w:color w:val="15141C"/>
          <w:sz w:val="21"/>
          <w:szCs w:val="21"/>
        </w:rPr>
      </w:pPr>
      <w:r w:rsidRPr="00C0364D">
        <w:rPr>
          <w:rFonts w:ascii="Abadi" w:hAnsi="Abadi" w:cs="*Arial-5386-Identity-H"/>
          <w:color w:val="15141C"/>
          <w:sz w:val="21"/>
          <w:szCs w:val="21"/>
        </w:rPr>
        <w:t>En razón de lo anterior, el Auditor Superior del Estado remitió a este</w:t>
      </w:r>
      <w:r>
        <w:rPr>
          <w:rFonts w:ascii="Abadi" w:hAnsi="Abadi" w:cs="*Arial-5386-Identity-H"/>
          <w:color w:val="15141C"/>
          <w:sz w:val="21"/>
          <w:szCs w:val="21"/>
        </w:rPr>
        <w:t xml:space="preserve"> </w:t>
      </w:r>
      <w:r w:rsidRPr="00C0364D">
        <w:rPr>
          <w:rFonts w:ascii="Abadi" w:hAnsi="Abadi" w:cs="*Arial-5386-Identity-H"/>
          <w:color w:val="15141C"/>
          <w:sz w:val="21"/>
          <w:szCs w:val="21"/>
        </w:rPr>
        <w:t>Congreso del Estado, el informe de resultados, el cual se turnó a la Comisión de</w:t>
      </w:r>
      <w:r>
        <w:rPr>
          <w:rFonts w:ascii="Abadi" w:hAnsi="Abadi" w:cs="*Arial-5386-Identity-H"/>
          <w:color w:val="15141C"/>
          <w:sz w:val="21"/>
          <w:szCs w:val="21"/>
        </w:rPr>
        <w:t xml:space="preserve"> </w:t>
      </w:r>
      <w:r w:rsidRPr="00C0364D">
        <w:rPr>
          <w:rFonts w:ascii="Abadi" w:hAnsi="Abadi" w:cs="*Arial-5386-Identity-H"/>
          <w:color w:val="15141C"/>
          <w:sz w:val="21"/>
          <w:szCs w:val="21"/>
        </w:rPr>
        <w:t>Hacienda y Fiscalización el 1 O de marzo de 2022 para su estudio y dictamen,</w:t>
      </w:r>
      <w:r>
        <w:rPr>
          <w:rFonts w:ascii="Abadi" w:hAnsi="Abadi" w:cs="*Arial-5386-Identity-H"/>
          <w:color w:val="15141C"/>
          <w:sz w:val="21"/>
          <w:szCs w:val="21"/>
        </w:rPr>
        <w:t xml:space="preserve"> </w:t>
      </w:r>
      <w:r w:rsidRPr="00C0364D">
        <w:rPr>
          <w:rFonts w:ascii="Abadi" w:hAnsi="Abadi" w:cs="*Arial-5386-Identity-H"/>
          <w:color w:val="15141C"/>
          <w:sz w:val="21"/>
          <w:szCs w:val="21"/>
        </w:rPr>
        <w:t>siendo radicado el 15 de marzo del año en curso.</w:t>
      </w:r>
    </w:p>
    <w:p w14:paraId="0F601BC4" w14:textId="77777777" w:rsidR="005D7CEF" w:rsidRPr="00C0364D" w:rsidRDefault="005D7CEF" w:rsidP="005D7CEF">
      <w:pPr>
        <w:jc w:val="both"/>
        <w:rPr>
          <w:rFonts w:ascii="Abadi" w:hAnsi="Abadi" w:cs="*Arial-5386-Identity-H"/>
          <w:color w:val="15141C"/>
          <w:sz w:val="21"/>
          <w:szCs w:val="21"/>
        </w:rPr>
      </w:pPr>
    </w:p>
    <w:p w14:paraId="7515DDC8" w14:textId="77777777" w:rsidR="005D7CEF" w:rsidRPr="00C0364D" w:rsidRDefault="005D7CEF" w:rsidP="005D7CEF">
      <w:pPr>
        <w:autoSpaceDE w:val="0"/>
        <w:autoSpaceDN w:val="0"/>
        <w:adjustRightInd w:val="0"/>
        <w:ind w:firstLine="708"/>
        <w:jc w:val="both"/>
        <w:rPr>
          <w:rFonts w:ascii="Abadi" w:hAnsi="Abadi" w:cs="*Arial-Bold-6124-Identity-H"/>
          <w:b/>
          <w:bCs/>
          <w:color w:val="14131D"/>
          <w:sz w:val="21"/>
          <w:szCs w:val="21"/>
        </w:rPr>
      </w:pPr>
      <w:r w:rsidRPr="00C0364D">
        <w:rPr>
          <w:rFonts w:ascii="Abadi" w:hAnsi="Abadi" w:cs="*Arial-Bold-6124-Identity-H"/>
          <w:b/>
          <w:bCs/>
          <w:color w:val="14131D"/>
          <w:sz w:val="21"/>
          <w:szCs w:val="21"/>
        </w:rPr>
        <w:t>IV. Contenido del Informe de Resultados:</w:t>
      </w:r>
    </w:p>
    <w:p w14:paraId="62EA289B" w14:textId="77777777" w:rsidR="005D7CEF" w:rsidRPr="00C0364D" w:rsidRDefault="005D7CEF" w:rsidP="005D7CEF">
      <w:pPr>
        <w:autoSpaceDE w:val="0"/>
        <w:autoSpaceDN w:val="0"/>
        <w:adjustRightInd w:val="0"/>
        <w:jc w:val="both"/>
        <w:rPr>
          <w:rFonts w:ascii="Abadi" w:hAnsi="Abadi" w:cs="*Arial-6125-Identity-H"/>
          <w:color w:val="1A1A1E"/>
          <w:sz w:val="21"/>
          <w:szCs w:val="21"/>
        </w:rPr>
      </w:pPr>
    </w:p>
    <w:p w14:paraId="4C24B253" w14:textId="77777777" w:rsidR="005D7CEF" w:rsidRPr="00C0364D" w:rsidRDefault="005D7CEF" w:rsidP="005D7CEF">
      <w:pPr>
        <w:autoSpaceDE w:val="0"/>
        <w:autoSpaceDN w:val="0"/>
        <w:adjustRightInd w:val="0"/>
        <w:ind w:firstLine="708"/>
        <w:jc w:val="both"/>
        <w:rPr>
          <w:rFonts w:ascii="Abadi" w:hAnsi="Abadi" w:cs="*Arial-6123-Identity-H"/>
          <w:color w:val="14131B"/>
          <w:sz w:val="21"/>
          <w:szCs w:val="21"/>
        </w:rPr>
      </w:pPr>
      <w:r w:rsidRPr="00C0364D">
        <w:rPr>
          <w:rFonts w:ascii="Abadi" w:hAnsi="Abadi" w:cs="*Arial-6123-Identity-H"/>
          <w:color w:val="14131B"/>
          <w:sz w:val="21"/>
          <w:szCs w:val="21"/>
        </w:rPr>
        <w:t>Con fundamento en los artículos 59 de la Ley de Fiscalización Superior del</w:t>
      </w:r>
      <w:r>
        <w:rPr>
          <w:rFonts w:ascii="Abadi" w:hAnsi="Abadi" w:cs="*Arial-6123-Identity-H"/>
          <w:color w:val="14131B"/>
          <w:sz w:val="21"/>
          <w:szCs w:val="21"/>
        </w:rPr>
        <w:t xml:space="preserve"> </w:t>
      </w:r>
      <w:r w:rsidRPr="00C0364D">
        <w:rPr>
          <w:rFonts w:ascii="Abadi" w:hAnsi="Abadi" w:cs="*Arial-6123-Identity-H"/>
          <w:color w:val="14131B"/>
          <w:sz w:val="21"/>
          <w:szCs w:val="21"/>
        </w:rPr>
        <w:t>Estado de Guanajuato y 26 del Reglamento de dicha Ley, el informe de resultados</w:t>
      </w:r>
      <w:r>
        <w:rPr>
          <w:rFonts w:ascii="Abadi" w:hAnsi="Abadi" w:cs="*Arial-6123-Identity-H"/>
          <w:color w:val="14131B"/>
          <w:sz w:val="21"/>
          <w:szCs w:val="21"/>
        </w:rPr>
        <w:t xml:space="preserve"> </w:t>
      </w:r>
      <w:r w:rsidRPr="00C0364D">
        <w:rPr>
          <w:rFonts w:ascii="Abadi" w:hAnsi="Abadi" w:cs="*Arial-6123-Identity-H"/>
          <w:color w:val="14131B"/>
          <w:sz w:val="21"/>
          <w:szCs w:val="21"/>
        </w:rPr>
        <w:t>contiene los siguientes apartados: Introducción; Resultado del Proceso de</w:t>
      </w:r>
      <w:r>
        <w:rPr>
          <w:rFonts w:ascii="Abadi" w:hAnsi="Abadi" w:cs="*Arial-6123-Identity-H"/>
          <w:color w:val="14131B"/>
          <w:sz w:val="21"/>
          <w:szCs w:val="21"/>
        </w:rPr>
        <w:t xml:space="preserve"> </w:t>
      </w:r>
      <w:r w:rsidRPr="00C0364D">
        <w:rPr>
          <w:rFonts w:ascii="Abadi" w:hAnsi="Abadi" w:cs="*Arial-6123-Identity-H"/>
          <w:color w:val="14131B"/>
          <w:sz w:val="21"/>
          <w:szCs w:val="21"/>
        </w:rPr>
        <w:t>Fiscalización; Resumen de las Recomendaciones; y Conclusión General.</w:t>
      </w:r>
    </w:p>
    <w:p w14:paraId="36DA0932" w14:textId="77777777" w:rsidR="005D7CEF" w:rsidRDefault="005D7CEF" w:rsidP="005D7CEF">
      <w:pPr>
        <w:autoSpaceDE w:val="0"/>
        <w:autoSpaceDN w:val="0"/>
        <w:adjustRightInd w:val="0"/>
        <w:jc w:val="both"/>
        <w:rPr>
          <w:rFonts w:ascii="Abadi" w:hAnsi="Abadi" w:cs="*Arial-Bold-6124-Identity-H"/>
          <w:b/>
          <w:bCs/>
          <w:color w:val="14131F"/>
          <w:sz w:val="21"/>
          <w:szCs w:val="21"/>
        </w:rPr>
      </w:pPr>
    </w:p>
    <w:p w14:paraId="659FA458" w14:textId="77777777" w:rsidR="005D7CEF" w:rsidRDefault="005D7CEF" w:rsidP="005D7CEF">
      <w:pPr>
        <w:autoSpaceDE w:val="0"/>
        <w:autoSpaceDN w:val="0"/>
        <w:adjustRightInd w:val="0"/>
        <w:ind w:firstLine="708"/>
        <w:jc w:val="both"/>
        <w:rPr>
          <w:rFonts w:ascii="Abadi" w:hAnsi="Abadi" w:cs="*Arial-Bold-6124-Identity-H"/>
          <w:b/>
          <w:bCs/>
          <w:color w:val="14131F"/>
          <w:sz w:val="21"/>
          <w:szCs w:val="21"/>
        </w:rPr>
      </w:pPr>
      <w:r w:rsidRPr="00C0364D">
        <w:rPr>
          <w:rFonts w:ascii="Abadi" w:hAnsi="Abadi" w:cs="*Arial-Bold-6124-Identity-H"/>
          <w:b/>
          <w:bCs/>
          <w:color w:val="14131F"/>
          <w:sz w:val="21"/>
          <w:szCs w:val="21"/>
        </w:rPr>
        <w:t>a) Introducción.</w:t>
      </w:r>
    </w:p>
    <w:p w14:paraId="3870B45D" w14:textId="77777777" w:rsidR="005D7CEF" w:rsidRPr="00C0364D" w:rsidRDefault="005D7CEF" w:rsidP="005D7CEF">
      <w:pPr>
        <w:autoSpaceDE w:val="0"/>
        <w:autoSpaceDN w:val="0"/>
        <w:adjustRightInd w:val="0"/>
        <w:jc w:val="both"/>
        <w:rPr>
          <w:rFonts w:ascii="Abadi" w:hAnsi="Abadi" w:cs="*Arial-Bold-6124-Identity-H"/>
          <w:b/>
          <w:bCs/>
          <w:color w:val="14131F"/>
          <w:sz w:val="21"/>
          <w:szCs w:val="21"/>
        </w:rPr>
      </w:pPr>
    </w:p>
    <w:p w14:paraId="56C418F1" w14:textId="77777777" w:rsidR="005D7CEF" w:rsidRDefault="005D7CEF" w:rsidP="005D7CEF">
      <w:pPr>
        <w:autoSpaceDE w:val="0"/>
        <w:autoSpaceDN w:val="0"/>
        <w:adjustRightInd w:val="0"/>
        <w:ind w:firstLine="708"/>
        <w:jc w:val="both"/>
        <w:rPr>
          <w:rFonts w:ascii="Abadi" w:hAnsi="Abadi" w:cs="*Arial-6123-Identity-H"/>
          <w:color w:val="14131C"/>
          <w:sz w:val="21"/>
          <w:szCs w:val="21"/>
        </w:rPr>
      </w:pPr>
      <w:r w:rsidRPr="00C0364D">
        <w:rPr>
          <w:rFonts w:ascii="Abadi" w:hAnsi="Abadi" w:cs="*Arial-6123-Identity-H"/>
          <w:color w:val="14131C"/>
          <w:sz w:val="21"/>
          <w:szCs w:val="21"/>
        </w:rPr>
        <w:t>Por lo que se refiere a esta parte, se señala que las auditorías de</w:t>
      </w:r>
      <w:r>
        <w:rPr>
          <w:rFonts w:ascii="Abadi" w:hAnsi="Abadi" w:cs="*Arial-6123-Identity-H"/>
          <w:color w:val="14131C"/>
          <w:sz w:val="21"/>
          <w:szCs w:val="21"/>
        </w:rPr>
        <w:t xml:space="preserve"> </w:t>
      </w:r>
      <w:r w:rsidRPr="00C0364D">
        <w:rPr>
          <w:rFonts w:ascii="Abadi" w:hAnsi="Abadi" w:cs="*Arial-6123-Identity-H"/>
          <w:color w:val="14131C"/>
          <w:sz w:val="21"/>
          <w:szCs w:val="21"/>
        </w:rPr>
        <w:t>desempeño son actos de fiscalización, esa es su esencia.</w:t>
      </w:r>
    </w:p>
    <w:p w14:paraId="3BFDC87E" w14:textId="77777777" w:rsidR="005D7CEF" w:rsidRPr="00C0364D" w:rsidRDefault="005D7CEF" w:rsidP="005D7CEF">
      <w:pPr>
        <w:autoSpaceDE w:val="0"/>
        <w:autoSpaceDN w:val="0"/>
        <w:adjustRightInd w:val="0"/>
        <w:jc w:val="both"/>
        <w:rPr>
          <w:rFonts w:ascii="Abadi" w:hAnsi="Abadi" w:cs="*Arial-6123-Identity-H"/>
          <w:color w:val="14131C"/>
          <w:sz w:val="21"/>
          <w:szCs w:val="21"/>
        </w:rPr>
      </w:pPr>
    </w:p>
    <w:p w14:paraId="120155AE" w14:textId="77777777" w:rsidR="005D7CEF" w:rsidRDefault="005D7CEF" w:rsidP="005D7CEF">
      <w:pPr>
        <w:autoSpaceDE w:val="0"/>
        <w:autoSpaceDN w:val="0"/>
        <w:adjustRightInd w:val="0"/>
        <w:ind w:firstLine="708"/>
        <w:jc w:val="both"/>
        <w:rPr>
          <w:rFonts w:ascii="Abadi" w:hAnsi="Abadi" w:cs="*Arial-6123-Identity-H"/>
          <w:color w:val="14131B"/>
          <w:sz w:val="21"/>
          <w:szCs w:val="21"/>
        </w:rPr>
      </w:pPr>
      <w:r w:rsidRPr="00C0364D">
        <w:rPr>
          <w:rFonts w:ascii="Abadi" w:hAnsi="Abadi" w:cs="*Arial-6123-Identity-H"/>
          <w:color w:val="14131B"/>
          <w:sz w:val="21"/>
          <w:szCs w:val="21"/>
        </w:rPr>
        <w:t>Es así, que la naturaleza técnico-jurídica de las auditorías de desempeño</w:t>
      </w:r>
      <w:r>
        <w:rPr>
          <w:rFonts w:ascii="Abadi" w:hAnsi="Abadi" w:cs="*Arial-6123-Identity-H"/>
          <w:color w:val="14131B"/>
          <w:sz w:val="21"/>
          <w:szCs w:val="21"/>
        </w:rPr>
        <w:t xml:space="preserve"> </w:t>
      </w:r>
      <w:r w:rsidRPr="00C0364D">
        <w:rPr>
          <w:rFonts w:ascii="Abadi" w:hAnsi="Abadi" w:cs="*Arial-6123-Identity-H"/>
          <w:color w:val="14131B"/>
          <w:sz w:val="21"/>
          <w:szCs w:val="21"/>
        </w:rPr>
        <w:t>difiere de otras auditorías, pues el resultado se expresa con la emisión, en su</w:t>
      </w:r>
      <w:r>
        <w:rPr>
          <w:rFonts w:ascii="Abadi" w:hAnsi="Abadi" w:cs="*Arial-6123-Identity-H"/>
          <w:color w:val="14131B"/>
          <w:sz w:val="21"/>
          <w:szCs w:val="21"/>
        </w:rPr>
        <w:t xml:space="preserve"> </w:t>
      </w:r>
      <w:r w:rsidRPr="00C0364D">
        <w:rPr>
          <w:rFonts w:ascii="Abadi" w:hAnsi="Abadi" w:cs="*Arial-6123-Identity-H"/>
          <w:color w:val="14131B"/>
          <w:sz w:val="21"/>
          <w:szCs w:val="21"/>
        </w:rPr>
        <w:t>caso, de exclusivamente recomendaciones, distinguiéndose de otros actos de</w:t>
      </w:r>
      <w:r>
        <w:rPr>
          <w:rFonts w:ascii="Abadi" w:hAnsi="Abadi" w:cs="*Arial-6123-Identity-H"/>
          <w:color w:val="14131B"/>
          <w:sz w:val="21"/>
          <w:szCs w:val="21"/>
        </w:rPr>
        <w:t xml:space="preserve"> </w:t>
      </w:r>
      <w:r w:rsidRPr="00C0364D">
        <w:rPr>
          <w:rFonts w:ascii="Abadi" w:hAnsi="Abadi" w:cs="*Arial-6123-Identity-H"/>
          <w:color w:val="14131B"/>
          <w:sz w:val="21"/>
          <w:szCs w:val="21"/>
        </w:rPr>
        <w:t>fiscalización o control que pueden arrojar observaciones. Se trata de una tarea</w:t>
      </w:r>
      <w:r>
        <w:rPr>
          <w:rFonts w:ascii="Abadi" w:hAnsi="Abadi" w:cs="*Arial-6123-Identity-H"/>
          <w:color w:val="14131B"/>
          <w:sz w:val="21"/>
          <w:szCs w:val="21"/>
        </w:rPr>
        <w:t xml:space="preserve"> </w:t>
      </w:r>
      <w:r w:rsidRPr="00C0364D">
        <w:rPr>
          <w:rFonts w:ascii="Abadi" w:hAnsi="Abadi" w:cs="*Arial-6123-Identity-H"/>
          <w:color w:val="14131B"/>
          <w:sz w:val="21"/>
          <w:szCs w:val="21"/>
        </w:rPr>
        <w:t>reglada y sistémica de evaluación para la mejora continua, detectando</w:t>
      </w:r>
      <w:r>
        <w:rPr>
          <w:rFonts w:ascii="Abadi" w:hAnsi="Abadi" w:cs="*Arial-6123-Identity-H"/>
          <w:color w:val="14131B"/>
          <w:sz w:val="21"/>
          <w:szCs w:val="21"/>
        </w:rPr>
        <w:t xml:space="preserve"> </w:t>
      </w:r>
      <w:r w:rsidRPr="00C0364D">
        <w:rPr>
          <w:rFonts w:ascii="Abadi" w:hAnsi="Abadi" w:cs="*Arial-6123-Identity-H"/>
          <w:color w:val="14131B"/>
          <w:sz w:val="21"/>
          <w:szCs w:val="21"/>
        </w:rPr>
        <w:t>debilidades, áreas de oportunidad, amenazas e incluso fortalezas en el ámbito</w:t>
      </w:r>
      <w:r>
        <w:rPr>
          <w:rFonts w:ascii="Abadi" w:hAnsi="Abadi" w:cs="*Arial-6123-Identity-H"/>
          <w:color w:val="14131B"/>
          <w:sz w:val="21"/>
          <w:szCs w:val="21"/>
        </w:rPr>
        <w:t xml:space="preserve"> </w:t>
      </w:r>
      <w:r w:rsidRPr="00C0364D">
        <w:rPr>
          <w:rFonts w:ascii="Abadi" w:hAnsi="Abadi" w:cs="*Arial-6123-Identity-H"/>
          <w:color w:val="14131B"/>
          <w:sz w:val="21"/>
          <w:szCs w:val="21"/>
        </w:rPr>
        <w:t>público, pero promoviendo además acciones concretas que permitan superar o</w:t>
      </w:r>
      <w:r>
        <w:rPr>
          <w:rFonts w:ascii="Abadi" w:hAnsi="Abadi" w:cs="*Arial-6123-Identity-H"/>
          <w:color w:val="14131B"/>
          <w:sz w:val="21"/>
          <w:szCs w:val="21"/>
        </w:rPr>
        <w:t xml:space="preserve"> </w:t>
      </w:r>
      <w:r w:rsidRPr="00C0364D">
        <w:rPr>
          <w:rFonts w:ascii="Abadi" w:hAnsi="Abadi" w:cs="*Arial-6123-Identity-H"/>
          <w:color w:val="14131B"/>
          <w:sz w:val="21"/>
          <w:szCs w:val="21"/>
        </w:rPr>
        <w:t>potenciar las mismas, dando adicionalmente seguimiento a su eventual</w:t>
      </w:r>
      <w:r>
        <w:rPr>
          <w:rFonts w:ascii="Abadi" w:hAnsi="Abadi" w:cs="*Arial-6123-Identity-H"/>
          <w:color w:val="14131B"/>
          <w:sz w:val="21"/>
          <w:szCs w:val="21"/>
        </w:rPr>
        <w:t xml:space="preserve"> </w:t>
      </w:r>
      <w:r w:rsidRPr="00C0364D">
        <w:rPr>
          <w:rFonts w:ascii="Abadi" w:hAnsi="Abadi" w:cs="*Arial-6123-Identity-H"/>
          <w:color w:val="14131B"/>
          <w:sz w:val="21"/>
          <w:szCs w:val="21"/>
        </w:rPr>
        <w:t>implementación por los sujetos públicos responsables.</w:t>
      </w:r>
    </w:p>
    <w:p w14:paraId="5840A7C3" w14:textId="77777777" w:rsidR="005D7CEF" w:rsidRPr="00C0364D" w:rsidRDefault="005D7CEF" w:rsidP="005D7CEF">
      <w:pPr>
        <w:autoSpaceDE w:val="0"/>
        <w:autoSpaceDN w:val="0"/>
        <w:adjustRightInd w:val="0"/>
        <w:jc w:val="both"/>
        <w:rPr>
          <w:rFonts w:ascii="Abadi" w:hAnsi="Abadi" w:cs="*Arial-6123-Identity-H"/>
          <w:color w:val="14131B"/>
          <w:sz w:val="21"/>
          <w:szCs w:val="21"/>
        </w:rPr>
      </w:pPr>
    </w:p>
    <w:p w14:paraId="4370BC7B" w14:textId="77777777" w:rsidR="005D7CEF" w:rsidRDefault="005D7CEF" w:rsidP="005D7CEF">
      <w:pPr>
        <w:autoSpaceDE w:val="0"/>
        <w:autoSpaceDN w:val="0"/>
        <w:adjustRightInd w:val="0"/>
        <w:ind w:firstLine="708"/>
        <w:jc w:val="both"/>
        <w:rPr>
          <w:rFonts w:ascii="Abadi" w:hAnsi="Abadi" w:cs="*Arial-6123-Identity-H"/>
          <w:color w:val="13131B"/>
          <w:sz w:val="21"/>
          <w:szCs w:val="21"/>
        </w:rPr>
      </w:pPr>
      <w:r w:rsidRPr="00C0364D">
        <w:rPr>
          <w:rFonts w:ascii="Abadi" w:hAnsi="Abadi" w:cs="*Arial-6123-Identity-H"/>
          <w:color w:val="13131B"/>
          <w:sz w:val="21"/>
          <w:szCs w:val="21"/>
        </w:rPr>
        <w:t>En dichas auditorías, con independencia de su enfoque, se debe planear</w:t>
      </w:r>
      <w:r>
        <w:rPr>
          <w:rFonts w:ascii="Abadi" w:hAnsi="Abadi" w:cs="*Arial-6123-Identity-H"/>
          <w:color w:val="13131B"/>
          <w:sz w:val="21"/>
          <w:szCs w:val="21"/>
        </w:rPr>
        <w:t xml:space="preserve"> </w:t>
      </w:r>
      <w:r w:rsidRPr="00C0364D">
        <w:rPr>
          <w:rFonts w:ascii="Abadi" w:hAnsi="Abadi" w:cs="*Arial-6123-Identity-H"/>
          <w:color w:val="13131B"/>
          <w:sz w:val="21"/>
          <w:szCs w:val="21"/>
        </w:rPr>
        <w:t>con toda claridad y con base en la evidencia competente, suficiente, pertinente,</w:t>
      </w:r>
      <w:r>
        <w:rPr>
          <w:rFonts w:ascii="Abadi" w:hAnsi="Abadi" w:cs="*Arial-6123-Identity-H"/>
          <w:color w:val="13131B"/>
          <w:sz w:val="21"/>
          <w:szCs w:val="21"/>
        </w:rPr>
        <w:t xml:space="preserve"> </w:t>
      </w:r>
      <w:r w:rsidRPr="00C0364D">
        <w:rPr>
          <w:rFonts w:ascii="Abadi" w:hAnsi="Abadi" w:cs="*Arial-6123-Identity-H"/>
          <w:color w:val="13131B"/>
          <w:sz w:val="21"/>
          <w:szCs w:val="21"/>
        </w:rPr>
        <w:t>relevante y oportuna, las conclusiones del proceso de fiscalización,</w:t>
      </w:r>
      <w:r>
        <w:rPr>
          <w:rFonts w:ascii="Abadi" w:hAnsi="Abadi" w:cs="*Arial-6123-Identity-H"/>
          <w:color w:val="13131B"/>
          <w:sz w:val="21"/>
          <w:szCs w:val="21"/>
        </w:rPr>
        <w:t xml:space="preserve"> </w:t>
      </w:r>
      <w:r w:rsidRPr="00C0364D">
        <w:rPr>
          <w:rFonts w:ascii="Abadi" w:hAnsi="Abadi" w:cs="*Arial-6123-Identity-H"/>
          <w:color w:val="13131B"/>
          <w:sz w:val="21"/>
          <w:szCs w:val="21"/>
        </w:rPr>
        <w:t>puntualizándose las recomendaciones formuladas en su caso.</w:t>
      </w:r>
    </w:p>
    <w:p w14:paraId="56FB8FF3" w14:textId="77777777" w:rsidR="005D7CEF" w:rsidRPr="00C0364D" w:rsidRDefault="005D7CEF" w:rsidP="005D7CEF">
      <w:pPr>
        <w:autoSpaceDE w:val="0"/>
        <w:autoSpaceDN w:val="0"/>
        <w:adjustRightInd w:val="0"/>
        <w:jc w:val="both"/>
        <w:rPr>
          <w:rFonts w:ascii="Abadi" w:hAnsi="Abadi" w:cs="*Arial-6123-Identity-H"/>
          <w:color w:val="13131B"/>
          <w:sz w:val="21"/>
          <w:szCs w:val="21"/>
        </w:rPr>
      </w:pPr>
    </w:p>
    <w:p w14:paraId="0BCE523E" w14:textId="77777777" w:rsidR="005D7CEF" w:rsidRPr="00C0364D" w:rsidRDefault="005D7CEF" w:rsidP="005D7CEF">
      <w:pPr>
        <w:autoSpaceDE w:val="0"/>
        <w:autoSpaceDN w:val="0"/>
        <w:adjustRightInd w:val="0"/>
        <w:jc w:val="both"/>
        <w:rPr>
          <w:rFonts w:ascii="Abadi" w:hAnsi="Abadi" w:cs="*Arial-6123-Identity-H"/>
          <w:color w:val="14131C"/>
          <w:sz w:val="21"/>
          <w:szCs w:val="21"/>
        </w:rPr>
      </w:pPr>
      <w:r w:rsidRPr="00C0364D">
        <w:rPr>
          <w:rFonts w:ascii="Abadi" w:hAnsi="Abadi" w:cs="*Arial-6123-Identity-H"/>
          <w:color w:val="14131C"/>
          <w:sz w:val="21"/>
          <w:szCs w:val="21"/>
        </w:rPr>
        <w:t>Respecto al marco competencia!, se precisa la normatividad aplicable a la</w:t>
      </w:r>
      <w:r>
        <w:rPr>
          <w:rFonts w:ascii="Abadi" w:hAnsi="Abadi" w:cs="*Arial-6123-Identity-H"/>
          <w:color w:val="14131C"/>
          <w:sz w:val="21"/>
          <w:szCs w:val="21"/>
        </w:rPr>
        <w:t xml:space="preserve"> </w:t>
      </w:r>
      <w:r w:rsidRPr="00C0364D">
        <w:rPr>
          <w:rFonts w:ascii="Abadi" w:hAnsi="Abadi" w:cs="*Arial-6123-Identity-H"/>
          <w:color w:val="14131C"/>
          <w:sz w:val="21"/>
          <w:szCs w:val="21"/>
        </w:rPr>
        <w:t>función de fiscalización a cargo del Poder Legislativo del Estado, siendo esta:</w:t>
      </w:r>
      <w:r>
        <w:rPr>
          <w:rFonts w:ascii="Abadi" w:hAnsi="Abadi" w:cs="*Arial-6123-Identity-H"/>
          <w:color w:val="14131C"/>
          <w:sz w:val="21"/>
          <w:szCs w:val="21"/>
        </w:rPr>
        <w:t xml:space="preserve"> </w:t>
      </w:r>
      <w:r w:rsidRPr="00C0364D">
        <w:rPr>
          <w:rFonts w:ascii="Abadi" w:hAnsi="Abadi" w:cs="*Arial-6123-Identity-H"/>
          <w:color w:val="14131C"/>
          <w:sz w:val="21"/>
          <w:szCs w:val="21"/>
        </w:rPr>
        <w:t xml:space="preserve">artículos 116, fracción </w:t>
      </w:r>
      <w:r>
        <w:rPr>
          <w:rFonts w:ascii="Abadi" w:hAnsi="Abadi" w:cs="*Arial-6123-Identity-H"/>
          <w:color w:val="14131C"/>
          <w:sz w:val="21"/>
          <w:szCs w:val="21"/>
        </w:rPr>
        <w:t>II</w:t>
      </w:r>
      <w:r w:rsidRPr="00C0364D">
        <w:rPr>
          <w:rFonts w:ascii="Abadi" w:hAnsi="Abadi" w:cs="*Arial-6123-Identity-H"/>
          <w:color w:val="14131C"/>
          <w:sz w:val="21"/>
          <w:szCs w:val="21"/>
        </w:rPr>
        <w:t xml:space="preserve"> y 134 de la Constitución Política de los Estados Unidos</w:t>
      </w:r>
      <w:r>
        <w:rPr>
          <w:rFonts w:ascii="Abadi" w:hAnsi="Abadi" w:cs="*Arial-6123-Identity-H"/>
          <w:color w:val="14131C"/>
          <w:sz w:val="21"/>
          <w:szCs w:val="21"/>
        </w:rPr>
        <w:t xml:space="preserve"> </w:t>
      </w:r>
      <w:r w:rsidRPr="00C0364D">
        <w:rPr>
          <w:rFonts w:ascii="Abadi" w:hAnsi="Abadi" w:cs="*Arial-6123-Identity-H"/>
          <w:color w:val="14131C"/>
          <w:sz w:val="21"/>
          <w:szCs w:val="21"/>
        </w:rPr>
        <w:t xml:space="preserve">Mexicanos; 2, párrafo primero, 63, fracción XIX y 66, fracciones </w:t>
      </w:r>
      <w:r>
        <w:rPr>
          <w:rFonts w:ascii="Abadi" w:hAnsi="Abadi" w:cs="*Arial-6123-Identity-H"/>
          <w:color w:val="14131C"/>
          <w:sz w:val="21"/>
          <w:szCs w:val="21"/>
        </w:rPr>
        <w:t>I</w:t>
      </w:r>
      <w:r w:rsidRPr="00C0364D">
        <w:rPr>
          <w:rFonts w:ascii="Abadi" w:hAnsi="Abadi" w:cs="*Arial-6123-Identity-H"/>
          <w:color w:val="14131C"/>
          <w:sz w:val="21"/>
          <w:szCs w:val="21"/>
        </w:rPr>
        <w:t xml:space="preserve">, </w:t>
      </w:r>
      <w:r>
        <w:rPr>
          <w:rFonts w:ascii="Abadi" w:hAnsi="Abadi" w:cs="*Arial-6123-Identity-H"/>
          <w:color w:val="14131C"/>
          <w:sz w:val="21"/>
          <w:szCs w:val="21"/>
        </w:rPr>
        <w:t>II</w:t>
      </w:r>
      <w:r w:rsidRPr="00C0364D">
        <w:rPr>
          <w:rFonts w:ascii="Abadi" w:hAnsi="Abadi" w:cs="*Arial-6123-Identity-H"/>
          <w:color w:val="14131C"/>
          <w:sz w:val="21"/>
          <w:szCs w:val="21"/>
        </w:rPr>
        <w:t xml:space="preserve"> y IV de la</w:t>
      </w:r>
      <w:r>
        <w:rPr>
          <w:rFonts w:ascii="Abadi" w:hAnsi="Abadi" w:cs="*Arial-6123-Identity-H"/>
          <w:color w:val="14131C"/>
          <w:sz w:val="21"/>
          <w:szCs w:val="21"/>
        </w:rPr>
        <w:t xml:space="preserve"> </w:t>
      </w:r>
      <w:r w:rsidRPr="00C0364D">
        <w:rPr>
          <w:rFonts w:ascii="Abadi" w:hAnsi="Abadi" w:cs="*Arial-6123-Identity-H"/>
          <w:color w:val="14131C"/>
          <w:sz w:val="21"/>
          <w:szCs w:val="21"/>
        </w:rPr>
        <w:t xml:space="preserve">Constitución Política para el Estado de Guanajuato; 1, 2, fracciones </w:t>
      </w:r>
      <w:r>
        <w:rPr>
          <w:rFonts w:ascii="Abadi" w:hAnsi="Abadi" w:cs="*Arial-6123-Identity-H"/>
          <w:color w:val="14131C"/>
          <w:sz w:val="21"/>
          <w:szCs w:val="21"/>
        </w:rPr>
        <w:t xml:space="preserve">II </w:t>
      </w:r>
      <w:r w:rsidRPr="00C0364D">
        <w:rPr>
          <w:rFonts w:ascii="Abadi" w:hAnsi="Abadi" w:cs="*Arial-6123-Identity-H"/>
          <w:color w:val="14131C"/>
          <w:sz w:val="21"/>
          <w:szCs w:val="21"/>
        </w:rPr>
        <w:t xml:space="preserve">y </w:t>
      </w:r>
      <w:r>
        <w:rPr>
          <w:rFonts w:ascii="Abadi" w:hAnsi="Abadi" w:cs="*Arial-6123-Identity-H"/>
          <w:color w:val="14131C"/>
          <w:sz w:val="21"/>
          <w:szCs w:val="21"/>
        </w:rPr>
        <w:t>III</w:t>
      </w:r>
      <w:r w:rsidRPr="00C0364D">
        <w:rPr>
          <w:rFonts w:ascii="Abadi" w:hAnsi="Abadi" w:cs="*Arial-6123-Identity-H"/>
          <w:color w:val="14131C"/>
          <w:sz w:val="21"/>
          <w:szCs w:val="21"/>
        </w:rPr>
        <w:t>, 3,</w:t>
      </w:r>
      <w:r>
        <w:rPr>
          <w:rFonts w:ascii="Abadi" w:hAnsi="Abadi" w:cs="*Arial-6123-Identity-H"/>
          <w:color w:val="14131C"/>
          <w:sz w:val="21"/>
          <w:szCs w:val="21"/>
        </w:rPr>
        <w:t xml:space="preserve"> </w:t>
      </w:r>
      <w:r w:rsidRPr="00C0364D">
        <w:rPr>
          <w:rFonts w:ascii="Abadi" w:hAnsi="Abadi" w:cs="*Arial-6123-Identity-H"/>
          <w:color w:val="14131C"/>
          <w:sz w:val="21"/>
          <w:szCs w:val="21"/>
        </w:rPr>
        <w:t xml:space="preserve">fracciones </w:t>
      </w:r>
      <w:r>
        <w:rPr>
          <w:rFonts w:ascii="Abadi" w:hAnsi="Abadi" w:cs="*Arial-6123-Identity-H"/>
          <w:color w:val="14131C"/>
          <w:sz w:val="21"/>
          <w:szCs w:val="21"/>
        </w:rPr>
        <w:t>I</w:t>
      </w:r>
      <w:r w:rsidRPr="00C0364D">
        <w:rPr>
          <w:rFonts w:ascii="Abadi" w:hAnsi="Abadi" w:cs="*Arial-6123-Identity-H"/>
          <w:color w:val="14131C"/>
          <w:sz w:val="21"/>
          <w:szCs w:val="21"/>
        </w:rPr>
        <w:t xml:space="preserve">, </w:t>
      </w:r>
      <w:r>
        <w:rPr>
          <w:rFonts w:ascii="Abadi" w:hAnsi="Abadi" w:cs="*Arial-6123-Identity-H"/>
          <w:color w:val="14131C"/>
          <w:sz w:val="21"/>
          <w:szCs w:val="21"/>
        </w:rPr>
        <w:t>II</w:t>
      </w:r>
      <w:r w:rsidRPr="00C0364D">
        <w:rPr>
          <w:rFonts w:ascii="Abadi" w:hAnsi="Abadi" w:cs="*Arial-6123-Identity-H"/>
          <w:color w:val="14131C"/>
          <w:sz w:val="21"/>
          <w:szCs w:val="21"/>
        </w:rPr>
        <w:t xml:space="preserve">, V y XI, 4, 6, 7, 11, 14, 16, 24, 25, 26, 30, 31, 37, fracción </w:t>
      </w:r>
      <w:r>
        <w:rPr>
          <w:rFonts w:ascii="Abadi" w:hAnsi="Abadi" w:cs="*Arial-6123-Identity-H"/>
          <w:color w:val="14131C"/>
          <w:sz w:val="21"/>
          <w:szCs w:val="21"/>
        </w:rPr>
        <w:t>III</w:t>
      </w:r>
      <w:r w:rsidRPr="00C0364D">
        <w:rPr>
          <w:rFonts w:ascii="Abadi" w:hAnsi="Abadi" w:cs="*Arial-6123-Identity-H"/>
          <w:color w:val="14131C"/>
          <w:sz w:val="21"/>
          <w:szCs w:val="21"/>
        </w:rPr>
        <w:t>, 56, 57,</w:t>
      </w:r>
      <w:r>
        <w:rPr>
          <w:rFonts w:ascii="Abadi" w:hAnsi="Abadi" w:cs="*Arial-6123-Identity-H"/>
          <w:color w:val="14131C"/>
          <w:sz w:val="21"/>
          <w:szCs w:val="21"/>
        </w:rPr>
        <w:t xml:space="preserve"> </w:t>
      </w:r>
      <w:r w:rsidRPr="00C0364D">
        <w:rPr>
          <w:rFonts w:ascii="Abadi" w:hAnsi="Abadi" w:cs="*Arial-6123-Identity-H"/>
          <w:color w:val="14131C"/>
          <w:sz w:val="21"/>
          <w:szCs w:val="21"/>
        </w:rPr>
        <w:t xml:space="preserve">58, 59, 60, 82, fracciones </w:t>
      </w:r>
      <w:r>
        <w:rPr>
          <w:rFonts w:ascii="Abadi" w:hAnsi="Abadi" w:cs="*Arial-6123-Identity-H"/>
          <w:color w:val="14131C"/>
          <w:sz w:val="21"/>
          <w:szCs w:val="21"/>
        </w:rPr>
        <w:t>III</w:t>
      </w:r>
      <w:r w:rsidRPr="00C0364D">
        <w:rPr>
          <w:rFonts w:ascii="Abadi" w:hAnsi="Abadi" w:cs="*Arial-6123-Identity-H"/>
          <w:color w:val="14131C"/>
          <w:sz w:val="21"/>
          <w:szCs w:val="21"/>
        </w:rPr>
        <w:t xml:space="preserve">, IV, </w:t>
      </w:r>
      <w:r w:rsidRPr="00357A66">
        <w:rPr>
          <w:rFonts w:ascii="Abadi" w:hAnsi="Abadi" w:cs="*Microsoft Sans Serif-Bold-6126"/>
          <w:color w:val="14131C"/>
          <w:sz w:val="21"/>
          <w:szCs w:val="21"/>
        </w:rPr>
        <w:t xml:space="preserve">XXIX, XXXII </w:t>
      </w:r>
      <w:r w:rsidRPr="00357A66">
        <w:rPr>
          <w:rFonts w:ascii="Abadi" w:hAnsi="Abadi" w:cs="*Arial-6123-Identity-H"/>
          <w:color w:val="14131C"/>
          <w:sz w:val="21"/>
          <w:szCs w:val="21"/>
        </w:rPr>
        <w:t xml:space="preserve">y </w:t>
      </w:r>
      <w:r w:rsidRPr="00357A66">
        <w:rPr>
          <w:rFonts w:ascii="Abadi" w:hAnsi="Abadi" w:cs="*Microsoft Sans Serif-Bold-6126"/>
          <w:color w:val="14131C"/>
          <w:sz w:val="21"/>
          <w:szCs w:val="21"/>
        </w:rPr>
        <w:t xml:space="preserve">XXXV </w:t>
      </w:r>
      <w:r w:rsidRPr="00357A66">
        <w:rPr>
          <w:rFonts w:ascii="Abadi" w:hAnsi="Abadi" w:cs="*Arial-6123-Identity-H"/>
          <w:color w:val="14131C"/>
          <w:sz w:val="21"/>
          <w:szCs w:val="21"/>
        </w:rPr>
        <w:t xml:space="preserve">y 87, fracciones V, XII y </w:t>
      </w:r>
      <w:r w:rsidRPr="00357A66">
        <w:rPr>
          <w:rFonts w:ascii="Abadi" w:hAnsi="Abadi" w:cs="*Microsoft Sans Serif-Bold-6126"/>
          <w:color w:val="14131C"/>
          <w:sz w:val="21"/>
          <w:szCs w:val="21"/>
        </w:rPr>
        <w:t xml:space="preserve">XXVI </w:t>
      </w:r>
      <w:r w:rsidRPr="00357A66">
        <w:rPr>
          <w:rFonts w:ascii="Abadi" w:hAnsi="Abadi" w:cs="*Arial-6123-Identity-H"/>
          <w:color w:val="14131C"/>
          <w:sz w:val="21"/>
          <w:szCs w:val="21"/>
        </w:rPr>
        <w:t>de</w:t>
      </w:r>
      <w:r w:rsidRPr="00C0364D">
        <w:rPr>
          <w:rFonts w:ascii="Abadi" w:hAnsi="Abadi" w:cs="*Arial-6123-Identity-H"/>
          <w:color w:val="14131C"/>
          <w:sz w:val="21"/>
          <w:szCs w:val="21"/>
        </w:rPr>
        <w:t xml:space="preserve"> la Ley de Fiscalización Superior del Estado de Guanajuato; 1, 3, 1 O, 13,</w:t>
      </w:r>
      <w:r>
        <w:rPr>
          <w:rFonts w:ascii="Abadi" w:hAnsi="Abadi" w:cs="*Arial-6123-Identity-H"/>
          <w:color w:val="14131C"/>
          <w:sz w:val="21"/>
          <w:szCs w:val="21"/>
        </w:rPr>
        <w:t xml:space="preserve"> </w:t>
      </w:r>
      <w:r w:rsidRPr="00C0364D">
        <w:rPr>
          <w:rFonts w:ascii="Abadi" w:hAnsi="Abadi" w:cs="*Arial-6123-Identity-H"/>
          <w:color w:val="14131C"/>
          <w:sz w:val="21"/>
          <w:szCs w:val="21"/>
        </w:rPr>
        <w:t>18, 20, 27, 43, 44, 45, 46, 47, 48 y 49 del Reglamento de la Ley de Fiscalización</w:t>
      </w:r>
      <w:r>
        <w:rPr>
          <w:rFonts w:ascii="Abadi" w:hAnsi="Abadi" w:cs="*Arial-6123-Identity-H"/>
          <w:color w:val="14131C"/>
          <w:sz w:val="21"/>
          <w:szCs w:val="21"/>
        </w:rPr>
        <w:t xml:space="preserve"> </w:t>
      </w:r>
      <w:r w:rsidRPr="00C0364D">
        <w:rPr>
          <w:rFonts w:ascii="Abadi" w:hAnsi="Abadi" w:cs="*Arial-6123-Identity-H"/>
          <w:color w:val="14131C"/>
          <w:sz w:val="21"/>
          <w:szCs w:val="21"/>
        </w:rPr>
        <w:t>Superior del Estado de Guanajuato; 1, 7, segundo párrafo, 8, fracción 1, 9, fracción</w:t>
      </w:r>
      <w:r>
        <w:rPr>
          <w:rFonts w:ascii="Abadi" w:hAnsi="Abadi" w:cs="*Arial-6123-Identity-H"/>
          <w:color w:val="14131C"/>
          <w:sz w:val="21"/>
          <w:szCs w:val="21"/>
        </w:rPr>
        <w:t xml:space="preserve"> </w:t>
      </w:r>
      <w:r w:rsidRPr="00C0364D">
        <w:rPr>
          <w:rFonts w:ascii="Abadi" w:hAnsi="Abadi" w:cs="*Arial-6123-Identity-H"/>
          <w:color w:val="14131C"/>
          <w:sz w:val="21"/>
          <w:szCs w:val="21"/>
        </w:rPr>
        <w:t xml:space="preserve">XVII, 10 fracciones </w:t>
      </w:r>
      <w:r>
        <w:rPr>
          <w:rFonts w:ascii="Abadi" w:hAnsi="Abadi" w:cs="*Arial-6123-Identity-H"/>
          <w:color w:val="14131C"/>
          <w:sz w:val="21"/>
          <w:szCs w:val="21"/>
        </w:rPr>
        <w:t>III</w:t>
      </w:r>
      <w:r w:rsidRPr="00C0364D">
        <w:rPr>
          <w:rFonts w:ascii="Abadi" w:hAnsi="Abadi" w:cs="*Arial-6123-Identity-H"/>
          <w:color w:val="14131C"/>
          <w:sz w:val="21"/>
          <w:szCs w:val="21"/>
        </w:rPr>
        <w:t>, XVII, XIX y XX, 14 y 16 del Reglamento Interior de la</w:t>
      </w:r>
      <w:r>
        <w:rPr>
          <w:rFonts w:ascii="Abadi" w:hAnsi="Abadi" w:cs="*Arial-6123-Identity-H"/>
          <w:color w:val="14131C"/>
          <w:sz w:val="21"/>
          <w:szCs w:val="21"/>
        </w:rPr>
        <w:t xml:space="preserve"> </w:t>
      </w:r>
      <w:r w:rsidRPr="00C0364D">
        <w:rPr>
          <w:rFonts w:ascii="Abadi" w:hAnsi="Abadi" w:cs="*Arial-6123-Identity-H"/>
          <w:color w:val="14131C"/>
          <w:sz w:val="21"/>
          <w:szCs w:val="21"/>
        </w:rPr>
        <w:t>Auditoría Superior del Estado de Guanajuato; y 42 de la Ley General del Sistema</w:t>
      </w:r>
      <w:r>
        <w:rPr>
          <w:rFonts w:ascii="Abadi" w:hAnsi="Abadi" w:cs="*Arial-6123-Identity-H"/>
          <w:color w:val="14131C"/>
          <w:sz w:val="21"/>
          <w:szCs w:val="21"/>
        </w:rPr>
        <w:t xml:space="preserve"> </w:t>
      </w:r>
      <w:r w:rsidRPr="00C0364D">
        <w:rPr>
          <w:rFonts w:ascii="Abadi" w:hAnsi="Abadi" w:cs="*Arial-6123-Identity-H"/>
          <w:color w:val="14131C"/>
          <w:sz w:val="21"/>
          <w:szCs w:val="21"/>
        </w:rPr>
        <w:t>Nacional Anticorrupción.</w:t>
      </w:r>
    </w:p>
    <w:p w14:paraId="0535DCC2" w14:textId="77777777" w:rsidR="005D7CEF" w:rsidRPr="00C0364D" w:rsidRDefault="005D7CEF" w:rsidP="005D7CEF">
      <w:pPr>
        <w:jc w:val="both"/>
        <w:rPr>
          <w:rFonts w:ascii="Abadi" w:hAnsi="Abadi" w:cs="*Arial-6123-Identity-H"/>
          <w:color w:val="14131C"/>
          <w:sz w:val="21"/>
          <w:szCs w:val="21"/>
        </w:rPr>
      </w:pPr>
    </w:p>
    <w:p w14:paraId="7E62B5D8" w14:textId="77777777" w:rsidR="005D7CEF" w:rsidRDefault="005D7CEF" w:rsidP="005D7CEF">
      <w:pPr>
        <w:autoSpaceDE w:val="0"/>
        <w:autoSpaceDN w:val="0"/>
        <w:adjustRightInd w:val="0"/>
        <w:ind w:firstLine="708"/>
        <w:jc w:val="both"/>
        <w:rPr>
          <w:rFonts w:ascii="Abadi" w:hAnsi="Abadi" w:cs="*Arial-5823-Identity-H"/>
          <w:color w:val="14131C"/>
          <w:sz w:val="21"/>
          <w:szCs w:val="21"/>
        </w:rPr>
      </w:pPr>
      <w:r w:rsidRPr="00C0364D">
        <w:rPr>
          <w:rFonts w:ascii="Abadi" w:hAnsi="Abadi" w:cs="*Arial-5823-Identity-H"/>
          <w:color w:val="14131C"/>
          <w:sz w:val="21"/>
          <w:szCs w:val="21"/>
        </w:rPr>
        <w:t>Con base en lo anterior, la auditoría de desempeño materia del presente</w:t>
      </w:r>
      <w:r>
        <w:rPr>
          <w:rFonts w:ascii="Abadi" w:hAnsi="Abadi" w:cs="*Arial-5823-Identity-H"/>
          <w:color w:val="14131C"/>
          <w:sz w:val="21"/>
          <w:szCs w:val="21"/>
        </w:rPr>
        <w:t xml:space="preserve"> </w:t>
      </w:r>
      <w:r w:rsidRPr="00C0364D">
        <w:rPr>
          <w:rFonts w:ascii="Abadi" w:hAnsi="Abadi" w:cs="*Arial-5823-Identity-H"/>
          <w:color w:val="14131C"/>
          <w:sz w:val="21"/>
          <w:szCs w:val="21"/>
        </w:rPr>
        <w:t>dictamen, se ejecutó bajo los principios, conceptos y directrices de las actuales</w:t>
      </w:r>
      <w:r>
        <w:rPr>
          <w:rFonts w:ascii="Abadi" w:hAnsi="Abadi" w:cs="*Arial-5823-Identity-H"/>
          <w:color w:val="14131C"/>
          <w:sz w:val="21"/>
          <w:szCs w:val="21"/>
        </w:rPr>
        <w:t xml:space="preserve"> </w:t>
      </w:r>
      <w:r w:rsidRPr="00C0364D">
        <w:rPr>
          <w:rFonts w:ascii="Abadi" w:hAnsi="Abadi" w:cs="*Arial-5823-Identity-H"/>
          <w:color w:val="14131C"/>
          <w:sz w:val="21"/>
          <w:szCs w:val="21"/>
        </w:rPr>
        <w:t>Normas Profesionales de Auditoría del Sistema Nacional de Fiscalización,</w:t>
      </w:r>
      <w:r>
        <w:rPr>
          <w:rFonts w:ascii="Abadi" w:hAnsi="Abadi" w:cs="*Arial-5823-Identity-H"/>
          <w:color w:val="14131C"/>
          <w:sz w:val="21"/>
          <w:szCs w:val="21"/>
        </w:rPr>
        <w:t xml:space="preserve"> </w:t>
      </w:r>
      <w:r w:rsidRPr="00C0364D">
        <w:rPr>
          <w:rFonts w:ascii="Abadi" w:hAnsi="Abadi" w:cs="*Arial-5823-Identity-H"/>
          <w:color w:val="14131C"/>
          <w:sz w:val="21"/>
          <w:szCs w:val="21"/>
        </w:rPr>
        <w:t>compiladas y editadas por la Auditoría Superior de la Federación, de manera</w:t>
      </w:r>
      <w:r>
        <w:rPr>
          <w:rFonts w:ascii="Abadi" w:hAnsi="Abadi" w:cs="*Arial-5823-Identity-H"/>
          <w:color w:val="14131C"/>
          <w:sz w:val="21"/>
          <w:szCs w:val="21"/>
        </w:rPr>
        <w:t xml:space="preserve"> </w:t>
      </w:r>
      <w:r w:rsidRPr="00C0364D">
        <w:rPr>
          <w:rFonts w:ascii="Abadi" w:hAnsi="Abadi" w:cs="*Arial-5823-Identity-H"/>
          <w:color w:val="14131C"/>
          <w:sz w:val="21"/>
          <w:szCs w:val="21"/>
        </w:rPr>
        <w:t>particular por lo que hace a sus numerales 100 y 300.</w:t>
      </w:r>
    </w:p>
    <w:p w14:paraId="2BE72897" w14:textId="77777777" w:rsidR="005D7CEF" w:rsidRPr="00C0364D" w:rsidRDefault="005D7CEF" w:rsidP="005D7CEF">
      <w:pPr>
        <w:autoSpaceDE w:val="0"/>
        <w:autoSpaceDN w:val="0"/>
        <w:adjustRightInd w:val="0"/>
        <w:jc w:val="both"/>
        <w:rPr>
          <w:rFonts w:ascii="Abadi" w:hAnsi="Abadi" w:cs="*Arial-5823-Identity-H"/>
          <w:color w:val="14131C"/>
          <w:sz w:val="21"/>
          <w:szCs w:val="21"/>
        </w:rPr>
      </w:pPr>
      <w:r>
        <w:rPr>
          <w:rFonts w:ascii="Abadi" w:hAnsi="Abadi" w:cs="*Arial-5823-Identity-H"/>
          <w:color w:val="14131C"/>
          <w:sz w:val="21"/>
          <w:szCs w:val="21"/>
        </w:rPr>
        <w:tab/>
      </w:r>
    </w:p>
    <w:p w14:paraId="5E0CEBEA" w14:textId="77777777" w:rsidR="005D7CEF" w:rsidRDefault="005D7CEF" w:rsidP="005D7CEF">
      <w:pPr>
        <w:autoSpaceDE w:val="0"/>
        <w:autoSpaceDN w:val="0"/>
        <w:adjustRightInd w:val="0"/>
        <w:ind w:firstLine="708"/>
        <w:jc w:val="both"/>
        <w:rPr>
          <w:rFonts w:ascii="Abadi" w:hAnsi="Abadi" w:cs="*Arial-5823-Identity-H"/>
          <w:color w:val="15131B"/>
          <w:sz w:val="21"/>
          <w:szCs w:val="21"/>
        </w:rPr>
      </w:pPr>
      <w:r w:rsidRPr="00C0364D">
        <w:rPr>
          <w:rFonts w:ascii="Abadi" w:hAnsi="Abadi" w:cs="*Arial-5823-Identity-H"/>
          <w:color w:val="15131B"/>
          <w:sz w:val="21"/>
          <w:szCs w:val="21"/>
        </w:rPr>
        <w:t>En esta parte también se puntualiza que las auditorías de desempeño que</w:t>
      </w:r>
      <w:r>
        <w:rPr>
          <w:rFonts w:ascii="Abadi" w:hAnsi="Abadi" w:cs="*Arial-5823-Identity-H"/>
          <w:color w:val="15131B"/>
          <w:sz w:val="21"/>
          <w:szCs w:val="21"/>
        </w:rPr>
        <w:t xml:space="preserve"> </w:t>
      </w:r>
      <w:r w:rsidRPr="00C0364D">
        <w:rPr>
          <w:rFonts w:ascii="Abadi" w:hAnsi="Abadi" w:cs="*Arial-5823-Identity-H"/>
          <w:color w:val="15131B"/>
          <w:sz w:val="21"/>
          <w:szCs w:val="21"/>
        </w:rPr>
        <w:t>se practican por la Auditoría Superior del Estado son congruentes con las</w:t>
      </w:r>
      <w:r>
        <w:rPr>
          <w:rFonts w:ascii="Abadi" w:hAnsi="Abadi" w:cs="*Arial-5823-Identity-H"/>
          <w:color w:val="15131B"/>
          <w:sz w:val="21"/>
          <w:szCs w:val="21"/>
        </w:rPr>
        <w:t xml:space="preserve"> </w:t>
      </w:r>
      <w:r w:rsidRPr="00C0364D">
        <w:rPr>
          <w:rFonts w:ascii="Abadi" w:hAnsi="Abadi" w:cs="*Arial-5823-Identity-H"/>
          <w:color w:val="15131B"/>
          <w:sz w:val="21"/>
          <w:szCs w:val="21"/>
        </w:rPr>
        <w:t>metodologías señaladas en las Normas Internacionales para Entidades</w:t>
      </w:r>
      <w:r>
        <w:rPr>
          <w:rFonts w:ascii="Abadi" w:hAnsi="Abadi" w:cs="*Arial-5823-Identity-H"/>
          <w:color w:val="15131B"/>
          <w:sz w:val="21"/>
          <w:szCs w:val="21"/>
        </w:rPr>
        <w:t xml:space="preserve"> </w:t>
      </w:r>
      <w:r w:rsidRPr="00C0364D">
        <w:rPr>
          <w:rFonts w:ascii="Abadi" w:hAnsi="Abadi" w:cs="*Arial-5823-Identity-H"/>
          <w:color w:val="15131B"/>
          <w:sz w:val="21"/>
          <w:szCs w:val="21"/>
        </w:rPr>
        <w:t>Fiscalizadoras Superiores 100, 300, 3000 y 3200, emitidas por la Organización</w:t>
      </w:r>
      <w:r>
        <w:rPr>
          <w:rFonts w:ascii="Abadi" w:hAnsi="Abadi" w:cs="*Arial-5823-Identity-H"/>
          <w:color w:val="15131B"/>
          <w:sz w:val="21"/>
          <w:szCs w:val="21"/>
        </w:rPr>
        <w:t xml:space="preserve"> </w:t>
      </w:r>
      <w:r w:rsidRPr="00C0364D">
        <w:rPr>
          <w:rFonts w:ascii="Abadi" w:hAnsi="Abadi" w:cs="*Arial-5823-Identity-H"/>
          <w:color w:val="15131B"/>
          <w:sz w:val="21"/>
          <w:szCs w:val="21"/>
        </w:rPr>
        <w:t>Internacional de las</w:t>
      </w:r>
      <w:r w:rsidRPr="00C0364D">
        <w:rPr>
          <w:rFonts w:ascii="Abadi" w:hAnsi="Abadi" w:cs="*Arial-5823-Identity-H"/>
          <w:color w:val="A1A1A1"/>
          <w:sz w:val="21"/>
          <w:szCs w:val="21"/>
        </w:rPr>
        <w:t xml:space="preserve">. </w:t>
      </w:r>
      <w:r w:rsidRPr="00C0364D">
        <w:rPr>
          <w:rFonts w:ascii="Abadi" w:hAnsi="Abadi" w:cs="*Arial-5823-Identity-H"/>
          <w:color w:val="15131B"/>
          <w:sz w:val="21"/>
          <w:szCs w:val="21"/>
        </w:rPr>
        <w:t>Entidades Fiscalizadoras Superiores, así como con los</w:t>
      </w:r>
      <w:r>
        <w:rPr>
          <w:rFonts w:ascii="Abadi" w:hAnsi="Abadi" w:cs="*Arial-5823-Identity-H"/>
          <w:color w:val="15131B"/>
          <w:sz w:val="21"/>
          <w:szCs w:val="21"/>
        </w:rPr>
        <w:t xml:space="preserve"> </w:t>
      </w:r>
      <w:r w:rsidRPr="00C0364D">
        <w:rPr>
          <w:rFonts w:ascii="Abadi" w:hAnsi="Abadi" w:cs="*Arial-5823-Identity-H"/>
          <w:color w:val="15131B"/>
          <w:sz w:val="21"/>
          <w:szCs w:val="21"/>
        </w:rPr>
        <w:t>lineamientos para la construcción y diseño de indicadores de desempeño</w:t>
      </w:r>
      <w:r>
        <w:rPr>
          <w:rFonts w:ascii="Abadi" w:hAnsi="Abadi" w:cs="*Arial-5823-Identity-H"/>
          <w:color w:val="15131B"/>
          <w:sz w:val="21"/>
          <w:szCs w:val="21"/>
        </w:rPr>
        <w:t xml:space="preserve"> </w:t>
      </w:r>
      <w:r w:rsidRPr="00C0364D">
        <w:rPr>
          <w:rFonts w:ascii="Abadi" w:hAnsi="Abadi" w:cs="*Arial-5823-Identity-H"/>
          <w:color w:val="15131B"/>
          <w:sz w:val="21"/>
          <w:szCs w:val="21"/>
        </w:rPr>
        <w:t>mediante la Metodología del Marco Lógico, emitidos por el Consejo Nacional de</w:t>
      </w:r>
      <w:r>
        <w:rPr>
          <w:rFonts w:ascii="Abadi" w:hAnsi="Abadi" w:cs="*Arial-5823-Identity-H"/>
          <w:color w:val="15131B"/>
          <w:sz w:val="21"/>
          <w:szCs w:val="21"/>
        </w:rPr>
        <w:t xml:space="preserve"> </w:t>
      </w:r>
      <w:r w:rsidRPr="00C0364D">
        <w:rPr>
          <w:rFonts w:ascii="Abadi" w:hAnsi="Abadi" w:cs="*Arial-5823-Identity-H"/>
          <w:color w:val="15131B"/>
          <w:sz w:val="21"/>
          <w:szCs w:val="21"/>
        </w:rPr>
        <w:t>Armonización Contable, publicados en el Diario Oficial de la Federación el 15 de</w:t>
      </w:r>
      <w:r>
        <w:rPr>
          <w:rFonts w:ascii="Abadi" w:hAnsi="Abadi" w:cs="*Arial-5823-Identity-H"/>
          <w:color w:val="15131B"/>
          <w:sz w:val="21"/>
          <w:szCs w:val="21"/>
        </w:rPr>
        <w:t xml:space="preserve"> </w:t>
      </w:r>
      <w:r w:rsidRPr="00C0364D">
        <w:rPr>
          <w:rFonts w:ascii="Abadi" w:hAnsi="Abadi" w:cs="*Arial-5823-Identity-H"/>
          <w:color w:val="15131B"/>
          <w:sz w:val="21"/>
          <w:szCs w:val="21"/>
        </w:rPr>
        <w:t>mayo de 2013, entre otros.</w:t>
      </w:r>
    </w:p>
    <w:p w14:paraId="30C35FA7" w14:textId="77777777" w:rsidR="005D7CEF" w:rsidRPr="00C0364D" w:rsidRDefault="005D7CEF" w:rsidP="005D7CEF">
      <w:pPr>
        <w:autoSpaceDE w:val="0"/>
        <w:autoSpaceDN w:val="0"/>
        <w:adjustRightInd w:val="0"/>
        <w:jc w:val="both"/>
        <w:rPr>
          <w:rFonts w:ascii="Abadi" w:hAnsi="Abadi" w:cs="*Arial-5823-Identity-H"/>
          <w:color w:val="15131B"/>
          <w:sz w:val="21"/>
          <w:szCs w:val="21"/>
        </w:rPr>
      </w:pPr>
    </w:p>
    <w:p w14:paraId="523955DF" w14:textId="77777777" w:rsidR="005D7CEF" w:rsidRDefault="005D7CEF" w:rsidP="005D7CEF">
      <w:pPr>
        <w:autoSpaceDE w:val="0"/>
        <w:autoSpaceDN w:val="0"/>
        <w:adjustRightInd w:val="0"/>
        <w:ind w:firstLine="708"/>
        <w:jc w:val="both"/>
        <w:rPr>
          <w:rFonts w:ascii="Abadi" w:hAnsi="Abadi" w:cs="*Arial-5823-Identity-H"/>
          <w:color w:val="14131C"/>
          <w:sz w:val="21"/>
          <w:szCs w:val="21"/>
        </w:rPr>
      </w:pPr>
      <w:r w:rsidRPr="00C0364D">
        <w:rPr>
          <w:rFonts w:ascii="Abadi" w:hAnsi="Abadi" w:cs="*Arial-5823-Identity-H"/>
          <w:color w:val="14131C"/>
          <w:sz w:val="21"/>
          <w:szCs w:val="21"/>
        </w:rPr>
        <w:t>En el punto correspondiente a estructura del informe y valoración, se señala</w:t>
      </w:r>
      <w:r>
        <w:rPr>
          <w:rFonts w:ascii="Abadi" w:hAnsi="Abadi" w:cs="*Arial-5823-Identity-H"/>
          <w:color w:val="14131C"/>
          <w:sz w:val="21"/>
          <w:szCs w:val="21"/>
        </w:rPr>
        <w:t xml:space="preserve"> </w:t>
      </w:r>
      <w:r w:rsidRPr="00C0364D">
        <w:rPr>
          <w:rFonts w:ascii="Abadi" w:hAnsi="Abadi" w:cs="*Arial-5823-Identity-H"/>
          <w:color w:val="14131C"/>
          <w:sz w:val="21"/>
          <w:szCs w:val="21"/>
        </w:rPr>
        <w:t>que el informe de resultados es el documento técnico en el que se presentan los</w:t>
      </w:r>
      <w:r>
        <w:rPr>
          <w:rFonts w:ascii="Abadi" w:hAnsi="Abadi" w:cs="*Arial-5823-Identity-H"/>
          <w:color w:val="14131C"/>
          <w:sz w:val="21"/>
          <w:szCs w:val="21"/>
        </w:rPr>
        <w:t xml:space="preserve"> </w:t>
      </w:r>
      <w:r w:rsidRPr="00C0364D">
        <w:rPr>
          <w:rFonts w:ascii="Abadi" w:hAnsi="Abadi" w:cs="*Arial-5823-Identity-H"/>
          <w:color w:val="14131C"/>
          <w:sz w:val="21"/>
          <w:szCs w:val="21"/>
        </w:rPr>
        <w:t>datos e información que identifican una revisión, las conclusiones y l</w:t>
      </w:r>
      <w:r>
        <w:rPr>
          <w:rFonts w:ascii="Abadi" w:hAnsi="Abadi" w:cs="*Arial-5823-Identity-H"/>
          <w:color w:val="14131C"/>
          <w:sz w:val="21"/>
          <w:szCs w:val="21"/>
        </w:rPr>
        <w:t>a</w:t>
      </w:r>
      <w:r w:rsidRPr="00C0364D">
        <w:rPr>
          <w:rFonts w:ascii="Abadi" w:hAnsi="Abadi" w:cs="*Arial-5823-Identity-H"/>
          <w:color w:val="14131C"/>
          <w:sz w:val="21"/>
          <w:szCs w:val="21"/>
        </w:rPr>
        <w:t>s</w:t>
      </w:r>
      <w:r>
        <w:rPr>
          <w:rFonts w:ascii="Abadi" w:hAnsi="Abadi" w:cs="*Arial-5823-Identity-H"/>
          <w:color w:val="14131C"/>
          <w:sz w:val="21"/>
          <w:szCs w:val="21"/>
        </w:rPr>
        <w:t xml:space="preserve"> </w:t>
      </w:r>
      <w:r w:rsidRPr="00C0364D">
        <w:rPr>
          <w:rFonts w:ascii="Abadi" w:hAnsi="Abadi" w:cs="*Arial-5823-Identity-H"/>
          <w:color w:val="14131C"/>
          <w:sz w:val="21"/>
          <w:szCs w:val="21"/>
        </w:rPr>
        <w:t>recomendaciones al desempeño que se propondrán al ente fiscalizado.</w:t>
      </w:r>
    </w:p>
    <w:p w14:paraId="7CA01B6F" w14:textId="77777777" w:rsidR="005D7CEF" w:rsidRPr="00C0364D" w:rsidRDefault="005D7CEF" w:rsidP="005D7CEF">
      <w:pPr>
        <w:autoSpaceDE w:val="0"/>
        <w:autoSpaceDN w:val="0"/>
        <w:adjustRightInd w:val="0"/>
        <w:jc w:val="both"/>
        <w:rPr>
          <w:rFonts w:ascii="Abadi" w:hAnsi="Abadi" w:cs="*Arial-5823-Identity-H"/>
          <w:color w:val="14131C"/>
          <w:sz w:val="21"/>
          <w:szCs w:val="21"/>
        </w:rPr>
      </w:pPr>
    </w:p>
    <w:p w14:paraId="25495FD8" w14:textId="77777777" w:rsidR="005D7CEF" w:rsidRDefault="005D7CEF" w:rsidP="005D7CEF">
      <w:pPr>
        <w:autoSpaceDE w:val="0"/>
        <w:autoSpaceDN w:val="0"/>
        <w:adjustRightInd w:val="0"/>
        <w:ind w:firstLine="708"/>
        <w:jc w:val="both"/>
        <w:rPr>
          <w:rFonts w:ascii="Abadi" w:hAnsi="Abadi" w:cs="*Arial-5823-Identity-H"/>
          <w:color w:val="13131B"/>
          <w:sz w:val="21"/>
          <w:szCs w:val="21"/>
        </w:rPr>
      </w:pPr>
      <w:r w:rsidRPr="00C0364D">
        <w:rPr>
          <w:rFonts w:ascii="Abadi" w:hAnsi="Abadi" w:cs="*Arial-5823-Identity-H"/>
          <w:color w:val="13131B"/>
          <w:sz w:val="21"/>
          <w:szCs w:val="21"/>
        </w:rPr>
        <w:t>Asimismo, se refiere que el artículo 26 del Reglamento de la Ley de</w:t>
      </w:r>
      <w:r>
        <w:rPr>
          <w:rFonts w:ascii="Abadi" w:hAnsi="Abadi" w:cs="*Arial-5823-Identity-H"/>
          <w:color w:val="13131B"/>
          <w:sz w:val="21"/>
          <w:szCs w:val="21"/>
        </w:rPr>
        <w:t xml:space="preserve"> </w:t>
      </w:r>
      <w:r w:rsidRPr="00C0364D">
        <w:rPr>
          <w:rFonts w:ascii="Abadi" w:hAnsi="Abadi" w:cs="*Arial-5823-Identity-H"/>
          <w:color w:val="13131B"/>
          <w:sz w:val="21"/>
          <w:szCs w:val="21"/>
        </w:rPr>
        <w:t>Fiscalización Superior del Estado de Guanajuato establece los requisitos mínimos</w:t>
      </w:r>
      <w:r>
        <w:rPr>
          <w:rFonts w:ascii="Abadi" w:hAnsi="Abadi" w:cs="*Arial-5823-Identity-H"/>
          <w:color w:val="13131B"/>
          <w:sz w:val="21"/>
          <w:szCs w:val="21"/>
        </w:rPr>
        <w:t xml:space="preserve"> </w:t>
      </w:r>
      <w:r w:rsidRPr="00C0364D">
        <w:rPr>
          <w:rFonts w:ascii="Abadi" w:hAnsi="Abadi" w:cs="*Arial-5823-Identity-H"/>
          <w:color w:val="13131B"/>
          <w:sz w:val="21"/>
          <w:szCs w:val="21"/>
        </w:rPr>
        <w:t>que deben contener los informes de resultados de las auditorías de desempeño,</w:t>
      </w:r>
      <w:r>
        <w:rPr>
          <w:rFonts w:ascii="Abadi" w:hAnsi="Abadi" w:cs="*Arial-5823-Identity-H"/>
          <w:color w:val="13131B"/>
          <w:sz w:val="21"/>
          <w:szCs w:val="21"/>
        </w:rPr>
        <w:t xml:space="preserve"> </w:t>
      </w:r>
      <w:r w:rsidRPr="00C0364D">
        <w:rPr>
          <w:rFonts w:ascii="Abadi" w:hAnsi="Abadi" w:cs="*Arial-5823-Identity-H"/>
          <w:color w:val="13131B"/>
          <w:sz w:val="21"/>
          <w:szCs w:val="21"/>
        </w:rPr>
        <w:t>los cuales se cumplieron en la formulación del informe de resultados. También se</w:t>
      </w:r>
      <w:r>
        <w:rPr>
          <w:rFonts w:ascii="Abadi" w:hAnsi="Abadi" w:cs="*Arial-5823-Identity-H"/>
          <w:color w:val="13131B"/>
          <w:sz w:val="21"/>
          <w:szCs w:val="21"/>
        </w:rPr>
        <w:t xml:space="preserve"> </w:t>
      </w:r>
      <w:r w:rsidRPr="00C0364D">
        <w:rPr>
          <w:rFonts w:ascii="Abadi" w:hAnsi="Abadi" w:cs="*Arial-5823-Identity-H"/>
          <w:color w:val="13131B"/>
          <w:sz w:val="21"/>
          <w:szCs w:val="21"/>
        </w:rPr>
        <w:t>precisan los datos de identificación del acto de fiscalización, como son el título o</w:t>
      </w:r>
      <w:r>
        <w:rPr>
          <w:rFonts w:ascii="Abadi" w:hAnsi="Abadi" w:cs="*Arial-5823-Identity-H"/>
          <w:color w:val="13131B"/>
          <w:sz w:val="21"/>
          <w:szCs w:val="21"/>
        </w:rPr>
        <w:t xml:space="preserve"> </w:t>
      </w:r>
      <w:r w:rsidRPr="00C0364D">
        <w:rPr>
          <w:rFonts w:ascii="Abadi" w:hAnsi="Abadi" w:cs="*Arial-5823-Identity-H"/>
          <w:color w:val="13131B"/>
          <w:sz w:val="21"/>
          <w:szCs w:val="21"/>
        </w:rPr>
        <w:t>enfoque de la auditoría, el sujeto fiscalizado, el periodo de revisión y el programa</w:t>
      </w:r>
      <w:r>
        <w:rPr>
          <w:rFonts w:ascii="Abadi" w:hAnsi="Abadi" w:cs="*Arial-5823-Identity-H"/>
          <w:color w:val="13131B"/>
          <w:sz w:val="21"/>
          <w:szCs w:val="21"/>
        </w:rPr>
        <w:t xml:space="preserve"> </w:t>
      </w:r>
      <w:r w:rsidRPr="00C0364D">
        <w:rPr>
          <w:rFonts w:ascii="Abadi" w:hAnsi="Abadi" w:cs="*Arial-5823-Identity-H"/>
          <w:color w:val="13131B"/>
          <w:sz w:val="21"/>
          <w:szCs w:val="21"/>
        </w:rPr>
        <w:t>que se fiscaliza, en función de lo autorizado en el Programa General de</w:t>
      </w:r>
      <w:r>
        <w:rPr>
          <w:rFonts w:ascii="Abadi" w:hAnsi="Abadi" w:cs="*Arial-5823-Identity-H"/>
          <w:color w:val="13131B"/>
          <w:sz w:val="21"/>
          <w:szCs w:val="21"/>
        </w:rPr>
        <w:t xml:space="preserve"> </w:t>
      </w:r>
      <w:r w:rsidRPr="00C0364D">
        <w:rPr>
          <w:rFonts w:ascii="Abadi" w:hAnsi="Abadi" w:cs="*Arial-5823-Identity-H"/>
          <w:color w:val="13131B"/>
          <w:sz w:val="21"/>
          <w:szCs w:val="21"/>
        </w:rPr>
        <w:t>Fiscalización respectivo.</w:t>
      </w:r>
    </w:p>
    <w:p w14:paraId="0AEEB850" w14:textId="77777777" w:rsidR="005D7CEF" w:rsidRPr="00C0364D" w:rsidRDefault="005D7CEF" w:rsidP="005D7CEF">
      <w:pPr>
        <w:autoSpaceDE w:val="0"/>
        <w:autoSpaceDN w:val="0"/>
        <w:adjustRightInd w:val="0"/>
        <w:jc w:val="both"/>
        <w:rPr>
          <w:rFonts w:ascii="Abadi" w:hAnsi="Abadi" w:cs="*Arial-5823-Identity-H"/>
          <w:color w:val="13131B"/>
          <w:sz w:val="21"/>
          <w:szCs w:val="21"/>
        </w:rPr>
      </w:pPr>
    </w:p>
    <w:p w14:paraId="03219C8C" w14:textId="77777777" w:rsidR="005D7CEF" w:rsidRPr="00C0364D" w:rsidRDefault="005D7CEF" w:rsidP="005D7CEF">
      <w:pPr>
        <w:autoSpaceDE w:val="0"/>
        <w:autoSpaceDN w:val="0"/>
        <w:adjustRightInd w:val="0"/>
        <w:ind w:firstLine="708"/>
        <w:jc w:val="both"/>
        <w:rPr>
          <w:rFonts w:ascii="Abadi" w:hAnsi="Abadi" w:cs="*Arial-5823-Identity-H"/>
          <w:color w:val="14131B"/>
          <w:sz w:val="21"/>
          <w:szCs w:val="21"/>
        </w:rPr>
      </w:pPr>
      <w:r w:rsidRPr="00C0364D">
        <w:rPr>
          <w:rFonts w:ascii="Abadi" w:hAnsi="Abadi" w:cs="*Arial-5823-Identity-H"/>
          <w:color w:val="14131B"/>
          <w:sz w:val="21"/>
          <w:szCs w:val="21"/>
        </w:rPr>
        <w:t>Por lo que hace a la valoración de la respuesta del sujeto fiscalizado, el</w:t>
      </w:r>
      <w:r>
        <w:rPr>
          <w:rFonts w:ascii="Abadi" w:hAnsi="Abadi" w:cs="*Arial-5823-Identity-H"/>
          <w:color w:val="14131B"/>
          <w:sz w:val="21"/>
          <w:szCs w:val="21"/>
        </w:rPr>
        <w:t xml:space="preserve"> </w:t>
      </w:r>
      <w:r w:rsidRPr="00C0364D">
        <w:rPr>
          <w:rFonts w:ascii="Abadi" w:hAnsi="Abadi" w:cs="*Arial-5823-Identity-H"/>
          <w:color w:val="14131B"/>
          <w:sz w:val="21"/>
          <w:szCs w:val="21"/>
        </w:rPr>
        <w:t>Órgano Técnico determinó lo conducente respecto a las recomendaciones</w:t>
      </w:r>
      <w:r>
        <w:rPr>
          <w:rFonts w:ascii="Abadi" w:hAnsi="Abadi" w:cs="*Arial-5823-Identity-H"/>
          <w:color w:val="14131B"/>
          <w:sz w:val="21"/>
          <w:szCs w:val="21"/>
        </w:rPr>
        <w:t xml:space="preserve"> </w:t>
      </w:r>
      <w:r w:rsidRPr="00C0364D">
        <w:rPr>
          <w:rFonts w:ascii="Abadi" w:hAnsi="Abadi" w:cs="*Arial-5823-Identity-H"/>
          <w:color w:val="14131B"/>
          <w:sz w:val="21"/>
          <w:szCs w:val="21"/>
        </w:rPr>
        <w:t>emitidas, para lo cual realizó un análisis de la documentación y evidencia</w:t>
      </w:r>
      <w:r>
        <w:rPr>
          <w:rFonts w:ascii="Abadi" w:hAnsi="Abadi" w:cs="*Arial-5823-Identity-H"/>
          <w:color w:val="14131B"/>
          <w:sz w:val="21"/>
          <w:szCs w:val="21"/>
        </w:rPr>
        <w:t xml:space="preserve"> </w:t>
      </w:r>
      <w:r w:rsidRPr="00C0364D">
        <w:rPr>
          <w:rFonts w:ascii="Abadi" w:hAnsi="Abadi" w:cs="*Arial-5823-Identity-H"/>
          <w:color w:val="14131B"/>
          <w:sz w:val="21"/>
          <w:szCs w:val="21"/>
        </w:rPr>
        <w:t>proporcionada por el sujeto fiscalizado, a fin de valorar si este efectuó mejoras, si</w:t>
      </w:r>
      <w:r>
        <w:rPr>
          <w:rFonts w:ascii="Abadi" w:hAnsi="Abadi" w:cs="*Arial-5823-Identity-H"/>
          <w:color w:val="14131B"/>
          <w:sz w:val="21"/>
          <w:szCs w:val="21"/>
        </w:rPr>
        <w:t xml:space="preserve"> </w:t>
      </w:r>
      <w:r w:rsidRPr="00C0364D">
        <w:rPr>
          <w:rFonts w:ascii="Abadi" w:hAnsi="Abadi" w:cs="*Arial-5823-Identity-H"/>
          <w:color w:val="14131B"/>
          <w:sz w:val="21"/>
          <w:szCs w:val="21"/>
        </w:rPr>
        <w:t>realizará alguna acción o emitió la justificación correspondiente sobre la</w:t>
      </w:r>
      <w:r>
        <w:rPr>
          <w:rFonts w:ascii="Abadi" w:hAnsi="Abadi" w:cs="*Arial-5823-Identity-H"/>
          <w:color w:val="14131B"/>
          <w:sz w:val="21"/>
          <w:szCs w:val="21"/>
        </w:rPr>
        <w:t xml:space="preserve"> </w:t>
      </w:r>
      <w:r w:rsidRPr="00C0364D">
        <w:rPr>
          <w:rFonts w:ascii="Abadi" w:hAnsi="Abadi" w:cs="*Arial-5823-Identity-H"/>
          <w:color w:val="14131B"/>
          <w:sz w:val="21"/>
          <w:szCs w:val="21"/>
        </w:rPr>
        <w:t>improcedencia por la cual no resulte factible su implementación o bien, la</w:t>
      </w:r>
      <w:r>
        <w:rPr>
          <w:rFonts w:ascii="Abadi" w:hAnsi="Abadi" w:cs="*Arial-5823-Identity-H"/>
          <w:color w:val="14131B"/>
          <w:sz w:val="21"/>
          <w:szCs w:val="21"/>
        </w:rPr>
        <w:t xml:space="preserve"> </w:t>
      </w:r>
      <w:r w:rsidRPr="00C0364D">
        <w:rPr>
          <w:rFonts w:ascii="Abadi" w:hAnsi="Abadi" w:cs="*Arial-5823-Identity-H"/>
          <w:color w:val="14131B"/>
          <w:sz w:val="21"/>
          <w:szCs w:val="21"/>
        </w:rPr>
        <w:t>consideración de medidas alternas que fortalezcan el desempeño de la gestión</w:t>
      </w:r>
      <w:r>
        <w:rPr>
          <w:rFonts w:ascii="Abadi" w:hAnsi="Abadi" w:cs="*Arial-5823-Identity-H"/>
          <w:color w:val="14131B"/>
          <w:sz w:val="21"/>
          <w:szCs w:val="21"/>
        </w:rPr>
        <w:t xml:space="preserve"> </w:t>
      </w:r>
      <w:r w:rsidRPr="00C0364D">
        <w:rPr>
          <w:rFonts w:ascii="Abadi" w:hAnsi="Abadi" w:cs="*Arial-5823-Identity-H"/>
          <w:color w:val="14131B"/>
          <w:sz w:val="21"/>
          <w:szCs w:val="21"/>
        </w:rPr>
        <w:t>pública. Asimismo, se señala que las recomendaciones efectuadas al sujeto</w:t>
      </w:r>
      <w:r>
        <w:rPr>
          <w:rFonts w:ascii="Abadi" w:hAnsi="Abadi" w:cs="*Arial-5823-Identity-H"/>
          <w:color w:val="14131B"/>
          <w:sz w:val="21"/>
          <w:szCs w:val="21"/>
        </w:rPr>
        <w:t xml:space="preserve"> </w:t>
      </w:r>
      <w:r w:rsidRPr="00C0364D">
        <w:rPr>
          <w:rFonts w:ascii="Abadi" w:hAnsi="Abadi" w:cs="*Arial-5823-Identity-H"/>
          <w:color w:val="14131B"/>
          <w:sz w:val="21"/>
          <w:szCs w:val="21"/>
        </w:rPr>
        <w:t>fiscalizado podrían considerarse como persistentes, cuando no sea posible</w:t>
      </w:r>
      <w:r>
        <w:rPr>
          <w:rFonts w:ascii="Abadi" w:hAnsi="Abadi" w:cs="*Arial-5823-Identity-H"/>
          <w:color w:val="14131B"/>
          <w:sz w:val="21"/>
          <w:szCs w:val="21"/>
        </w:rPr>
        <w:t xml:space="preserve"> </w:t>
      </w:r>
      <w:r w:rsidRPr="00C0364D">
        <w:rPr>
          <w:rFonts w:ascii="Abadi" w:hAnsi="Abadi" w:cs="*Arial-5823-Identity-H"/>
          <w:color w:val="14131B"/>
          <w:sz w:val="21"/>
          <w:szCs w:val="21"/>
        </w:rPr>
        <w:t>valorarlas en alguno de los supuestos antes referidos.</w:t>
      </w:r>
    </w:p>
    <w:p w14:paraId="3B7F6546" w14:textId="77777777" w:rsidR="005D7CEF" w:rsidRPr="00C0364D" w:rsidRDefault="005D7CEF" w:rsidP="005D7CEF">
      <w:pPr>
        <w:jc w:val="both"/>
        <w:rPr>
          <w:rFonts w:ascii="Abadi" w:hAnsi="Abadi" w:cs="*Arial-5823-Identity-H"/>
          <w:color w:val="14131B"/>
          <w:sz w:val="21"/>
          <w:szCs w:val="21"/>
        </w:rPr>
      </w:pPr>
    </w:p>
    <w:p w14:paraId="0AD67371" w14:textId="3A976E6D" w:rsidR="005D7CEF" w:rsidRDefault="005D7CEF" w:rsidP="00AD2541">
      <w:pPr>
        <w:autoSpaceDE w:val="0"/>
        <w:autoSpaceDN w:val="0"/>
        <w:adjustRightInd w:val="0"/>
        <w:ind w:firstLine="708"/>
        <w:jc w:val="both"/>
        <w:rPr>
          <w:rFonts w:ascii="Abadi" w:hAnsi="Abadi" w:cs="*Arial-5592-Identity-H"/>
          <w:color w:val="14131B"/>
          <w:sz w:val="21"/>
          <w:szCs w:val="21"/>
        </w:rPr>
      </w:pPr>
      <w:r w:rsidRPr="00C0364D">
        <w:rPr>
          <w:rFonts w:ascii="Abadi" w:hAnsi="Abadi" w:cs="*Arial-5592-Identity-H"/>
          <w:color w:val="14131B"/>
          <w:sz w:val="21"/>
          <w:szCs w:val="21"/>
        </w:rPr>
        <w:t>Es así, que la valoración realizada por la Auditoría Superior del Estado</w:t>
      </w:r>
      <w:r>
        <w:rPr>
          <w:rFonts w:ascii="Abadi" w:hAnsi="Abadi" w:cs="*Arial-5592-Identity-H"/>
          <w:color w:val="14131B"/>
          <w:sz w:val="21"/>
          <w:szCs w:val="21"/>
        </w:rPr>
        <w:t xml:space="preserve"> </w:t>
      </w:r>
      <w:r w:rsidRPr="00C0364D">
        <w:rPr>
          <w:rFonts w:ascii="Abadi" w:hAnsi="Abadi" w:cs="*Arial-5592-Identity-H"/>
          <w:color w:val="14131B"/>
          <w:sz w:val="21"/>
          <w:szCs w:val="21"/>
        </w:rPr>
        <w:t>redunda en las manifestaciones, argumentos, acciones y evidencia presentada en</w:t>
      </w:r>
      <w:r>
        <w:rPr>
          <w:rFonts w:ascii="Abadi" w:hAnsi="Abadi" w:cs="*Arial-5592-Identity-H"/>
          <w:color w:val="14131B"/>
          <w:sz w:val="21"/>
          <w:szCs w:val="21"/>
        </w:rPr>
        <w:t xml:space="preserve"> </w:t>
      </w:r>
      <w:r w:rsidRPr="00C0364D">
        <w:rPr>
          <w:rFonts w:ascii="Abadi" w:hAnsi="Abadi" w:cs="*Arial-5592-Identity-H"/>
          <w:color w:val="14131B"/>
          <w:sz w:val="21"/>
          <w:szCs w:val="21"/>
        </w:rPr>
        <w:t>la respuesta al pliego de recomendaciones, para lo cual la evidencia aportada por</w:t>
      </w:r>
      <w:r>
        <w:rPr>
          <w:rFonts w:ascii="Abadi" w:hAnsi="Abadi" w:cs="*Arial-5592-Identity-H"/>
          <w:color w:val="14131B"/>
          <w:sz w:val="21"/>
          <w:szCs w:val="21"/>
        </w:rPr>
        <w:t xml:space="preserve"> </w:t>
      </w:r>
      <w:r w:rsidRPr="00C0364D">
        <w:rPr>
          <w:rFonts w:ascii="Abadi" w:hAnsi="Abadi" w:cs="*Arial-5592-Identity-H"/>
          <w:color w:val="14131B"/>
          <w:sz w:val="21"/>
          <w:szCs w:val="21"/>
        </w:rPr>
        <w:t>el sujeto fiscalizado debe ser competente, pertinente, suficiente y relevante.</w:t>
      </w:r>
      <w:r>
        <w:rPr>
          <w:rFonts w:ascii="Abadi" w:hAnsi="Abadi" w:cs="*Arial-5592-Identity-H"/>
          <w:color w:val="14131B"/>
          <w:sz w:val="21"/>
          <w:szCs w:val="21"/>
        </w:rPr>
        <w:t xml:space="preserve"> </w:t>
      </w:r>
      <w:r w:rsidRPr="00C0364D">
        <w:rPr>
          <w:rFonts w:ascii="Abadi" w:hAnsi="Abadi" w:cs="*Arial-5592-Identity-H"/>
          <w:color w:val="14131B"/>
          <w:sz w:val="21"/>
          <w:szCs w:val="21"/>
        </w:rPr>
        <w:t>Respecto al objetivo y alcance de la auditoría se señala que de acuerdo a la</w:t>
      </w:r>
      <w:r>
        <w:rPr>
          <w:rFonts w:ascii="Abadi" w:hAnsi="Abadi" w:cs="*Arial-5592-Identity-H"/>
          <w:color w:val="14131B"/>
          <w:sz w:val="21"/>
          <w:szCs w:val="21"/>
        </w:rPr>
        <w:t xml:space="preserve"> </w:t>
      </w:r>
      <w:r w:rsidRPr="00C0364D">
        <w:rPr>
          <w:rFonts w:ascii="Abadi" w:hAnsi="Abadi" w:cs="*Arial-5592-Identity-H"/>
          <w:color w:val="14131B"/>
          <w:sz w:val="21"/>
          <w:szCs w:val="21"/>
        </w:rPr>
        <w:t>Organización Internacional de las Entidades Fiscalizadoras Superiores, para las</w:t>
      </w:r>
      <w:r>
        <w:rPr>
          <w:rFonts w:ascii="Abadi" w:hAnsi="Abadi" w:cs="*Arial-5592-Identity-H"/>
          <w:color w:val="14131B"/>
          <w:sz w:val="21"/>
          <w:szCs w:val="21"/>
        </w:rPr>
        <w:t xml:space="preserve"> </w:t>
      </w:r>
      <w:r w:rsidRPr="00C0364D">
        <w:rPr>
          <w:rFonts w:ascii="Abadi" w:hAnsi="Abadi" w:cs="*Arial-5592-Identity-H"/>
          <w:color w:val="14131B"/>
          <w:sz w:val="21"/>
          <w:szCs w:val="21"/>
        </w:rPr>
        <w:t>auditorías de</w:t>
      </w:r>
      <w:r>
        <w:rPr>
          <w:rFonts w:ascii="Abadi" w:hAnsi="Abadi" w:cs="*Arial-5592-Identity-H"/>
          <w:color w:val="14131B"/>
          <w:sz w:val="21"/>
          <w:szCs w:val="21"/>
        </w:rPr>
        <w:t xml:space="preserve"> </w:t>
      </w:r>
      <w:r w:rsidRPr="00C0364D">
        <w:rPr>
          <w:rFonts w:ascii="Abadi" w:hAnsi="Abadi" w:cs="*Arial-5592-Identity-H"/>
          <w:color w:val="14131B"/>
          <w:sz w:val="21"/>
          <w:szCs w:val="21"/>
        </w:rPr>
        <w:t>desempeño existen tres enfoques que están orientados a los</w:t>
      </w:r>
      <w:r>
        <w:rPr>
          <w:rFonts w:ascii="Abadi" w:hAnsi="Abadi" w:cs="*Arial-5592-Identity-H"/>
          <w:color w:val="14131B"/>
          <w:sz w:val="21"/>
          <w:szCs w:val="21"/>
        </w:rPr>
        <w:t xml:space="preserve"> </w:t>
      </w:r>
      <w:r w:rsidRPr="00C0364D">
        <w:rPr>
          <w:rFonts w:ascii="Abadi" w:hAnsi="Abadi" w:cs="*Arial-5592-Identity-H"/>
          <w:color w:val="14131B"/>
          <w:sz w:val="21"/>
          <w:szCs w:val="21"/>
        </w:rPr>
        <w:t>siguientes aspectos: Al sistema, el cual examina el funcionamiento adecuado de</w:t>
      </w:r>
      <w:r>
        <w:rPr>
          <w:rFonts w:ascii="Abadi" w:hAnsi="Abadi" w:cs="*Arial-5592-Identity-H"/>
          <w:color w:val="14131B"/>
          <w:sz w:val="21"/>
          <w:szCs w:val="21"/>
        </w:rPr>
        <w:t xml:space="preserve"> </w:t>
      </w:r>
      <w:r w:rsidRPr="00C0364D">
        <w:rPr>
          <w:rFonts w:ascii="Abadi" w:hAnsi="Abadi" w:cs="*Arial-5592-Identity-H"/>
          <w:color w:val="14131B"/>
          <w:sz w:val="21"/>
          <w:szCs w:val="21"/>
        </w:rPr>
        <w:t>los sistemas de gestión; a los resultados, en el que se evalúa si los objetivos en</w:t>
      </w:r>
      <w:r>
        <w:rPr>
          <w:rFonts w:ascii="Abadi" w:hAnsi="Abadi" w:cs="*Arial-5592-Identity-H"/>
          <w:color w:val="14131B"/>
          <w:sz w:val="21"/>
          <w:szCs w:val="21"/>
        </w:rPr>
        <w:t xml:space="preserve"> </w:t>
      </w:r>
      <w:r w:rsidRPr="00C0364D">
        <w:rPr>
          <w:rFonts w:ascii="Abadi" w:hAnsi="Abadi" w:cs="*Arial-5592-Identity-H"/>
          <w:color w:val="14131B"/>
          <w:sz w:val="21"/>
          <w:szCs w:val="21"/>
        </w:rPr>
        <w:t>términos de resultados o productos han sido alcanzados como se deseaba, o si</w:t>
      </w:r>
      <w:r>
        <w:rPr>
          <w:rFonts w:ascii="Abadi" w:hAnsi="Abadi" w:cs="*Arial-5592-Identity-H"/>
          <w:color w:val="14131B"/>
          <w:sz w:val="21"/>
          <w:szCs w:val="21"/>
        </w:rPr>
        <w:t xml:space="preserve"> </w:t>
      </w:r>
      <w:r w:rsidRPr="00C0364D">
        <w:rPr>
          <w:rFonts w:ascii="Abadi" w:hAnsi="Abadi" w:cs="*Arial-5592-Identity-H"/>
          <w:color w:val="14131B"/>
          <w:sz w:val="21"/>
          <w:szCs w:val="21"/>
        </w:rPr>
        <w:t>los programas y servicios operan como se esperaba; y al problema, el cual</w:t>
      </w:r>
      <w:r w:rsidR="00AD2541">
        <w:rPr>
          <w:rFonts w:ascii="Abadi" w:hAnsi="Abadi" w:cs="*Arial-5592-Identity-H"/>
          <w:color w:val="14131B"/>
          <w:sz w:val="21"/>
          <w:szCs w:val="21"/>
        </w:rPr>
        <w:t xml:space="preserve"> </w:t>
      </w:r>
      <w:r w:rsidRPr="00C0364D">
        <w:rPr>
          <w:rFonts w:ascii="Abadi" w:hAnsi="Abadi" w:cs="*Arial-5592-Identity-H"/>
          <w:color w:val="14131B"/>
          <w:sz w:val="21"/>
          <w:szCs w:val="21"/>
        </w:rPr>
        <w:t xml:space="preserve">examina, verifica y analiza las causas </w:t>
      </w:r>
      <w:r w:rsidRPr="00C0364D">
        <w:rPr>
          <w:rFonts w:ascii="Abadi" w:hAnsi="Abadi" w:cs="*Arial-5592-Identity-H"/>
          <w:color w:val="5C5C5C"/>
          <w:sz w:val="21"/>
          <w:szCs w:val="21"/>
        </w:rPr>
        <w:t xml:space="preserve">- </w:t>
      </w:r>
      <w:r w:rsidRPr="00C0364D">
        <w:rPr>
          <w:rFonts w:ascii="Abadi" w:hAnsi="Abadi" w:cs="*Arial-5592-Identity-H"/>
          <w:color w:val="14131B"/>
          <w:sz w:val="21"/>
          <w:szCs w:val="21"/>
        </w:rPr>
        <w:t>de los problemas particulares o</w:t>
      </w:r>
      <w:r>
        <w:rPr>
          <w:rFonts w:ascii="Abadi" w:hAnsi="Abadi" w:cs="*Arial-5592-Identity-H"/>
          <w:color w:val="14131B"/>
          <w:sz w:val="21"/>
          <w:szCs w:val="21"/>
        </w:rPr>
        <w:t xml:space="preserve"> </w:t>
      </w:r>
      <w:r w:rsidRPr="00C0364D">
        <w:rPr>
          <w:rFonts w:ascii="Abadi" w:hAnsi="Abadi" w:cs="*Arial-5592-Identity-H"/>
          <w:color w:val="14131B"/>
          <w:sz w:val="21"/>
          <w:szCs w:val="21"/>
        </w:rPr>
        <w:t>desviaciones de los criterios establecidos.</w:t>
      </w:r>
    </w:p>
    <w:p w14:paraId="6017652E" w14:textId="77777777" w:rsidR="005D7CEF" w:rsidRPr="00C0364D" w:rsidRDefault="005D7CEF" w:rsidP="005D7CEF">
      <w:pPr>
        <w:autoSpaceDE w:val="0"/>
        <w:autoSpaceDN w:val="0"/>
        <w:adjustRightInd w:val="0"/>
        <w:jc w:val="both"/>
        <w:rPr>
          <w:rFonts w:ascii="Abadi" w:hAnsi="Abadi" w:cs="*Arial-5592-Identity-H"/>
          <w:color w:val="14131B"/>
          <w:sz w:val="21"/>
          <w:szCs w:val="21"/>
        </w:rPr>
      </w:pPr>
    </w:p>
    <w:p w14:paraId="7C917936" w14:textId="77777777" w:rsidR="005D7CEF" w:rsidRDefault="005D7CEF" w:rsidP="005D7CEF">
      <w:pPr>
        <w:autoSpaceDE w:val="0"/>
        <w:autoSpaceDN w:val="0"/>
        <w:adjustRightInd w:val="0"/>
        <w:ind w:firstLine="708"/>
        <w:jc w:val="both"/>
        <w:rPr>
          <w:rFonts w:ascii="Abadi" w:hAnsi="Abadi" w:cs="*Arial-5592-Identity-H"/>
          <w:color w:val="14131A"/>
          <w:sz w:val="21"/>
          <w:szCs w:val="21"/>
        </w:rPr>
      </w:pPr>
      <w:r w:rsidRPr="00C0364D">
        <w:rPr>
          <w:rFonts w:ascii="Abadi" w:hAnsi="Abadi" w:cs="*Arial-5592-Identity-H"/>
          <w:color w:val="14131B"/>
          <w:sz w:val="21"/>
          <w:szCs w:val="21"/>
        </w:rPr>
        <w:t>En las auditorías de desempeño practicadas por la Auditoría Superior del</w:t>
      </w:r>
      <w:r>
        <w:rPr>
          <w:rFonts w:ascii="Abadi" w:hAnsi="Abadi" w:cs="*Arial-5592-Identity-H"/>
          <w:color w:val="14131B"/>
          <w:sz w:val="21"/>
          <w:szCs w:val="21"/>
        </w:rPr>
        <w:t xml:space="preserve"> </w:t>
      </w:r>
      <w:r w:rsidRPr="00C0364D">
        <w:rPr>
          <w:rFonts w:ascii="Abadi" w:hAnsi="Abadi" w:cs="*Arial-5592-Identity-H"/>
          <w:color w:val="14131B"/>
          <w:sz w:val="21"/>
          <w:szCs w:val="21"/>
        </w:rPr>
        <w:t>Estado se consideran dichos enfoques, mediante las auditorías de cumplimiento</w:t>
      </w:r>
      <w:r>
        <w:rPr>
          <w:rFonts w:ascii="Abadi" w:hAnsi="Abadi" w:cs="*Arial-5592-Identity-H"/>
          <w:color w:val="14131B"/>
          <w:sz w:val="21"/>
          <w:szCs w:val="21"/>
        </w:rPr>
        <w:t xml:space="preserve"> </w:t>
      </w:r>
      <w:r w:rsidRPr="00C0364D">
        <w:rPr>
          <w:rFonts w:ascii="Abadi" w:hAnsi="Abadi" w:cs="*Arial-5592-Identity-H"/>
          <w:color w:val="14131B"/>
          <w:sz w:val="21"/>
          <w:szCs w:val="21"/>
        </w:rPr>
        <w:t>de objetivos o resultados, de diseño y de consistencia y resultados.</w:t>
      </w:r>
      <w:r>
        <w:rPr>
          <w:rFonts w:ascii="Abadi" w:hAnsi="Abadi" w:cs="*Arial-5592-Identity-H"/>
          <w:color w:val="14131B"/>
          <w:sz w:val="21"/>
          <w:szCs w:val="21"/>
        </w:rPr>
        <w:t xml:space="preserve"> </w:t>
      </w:r>
      <w:r w:rsidRPr="00C0364D">
        <w:rPr>
          <w:rFonts w:ascii="Abadi" w:hAnsi="Abadi" w:cs="*Arial-5592-Identity-H"/>
          <w:color w:val="14131A"/>
          <w:sz w:val="21"/>
          <w:szCs w:val="21"/>
        </w:rPr>
        <w:t>En la auditoría que nos ocupa se aplicó un enfoque de resultados y se</w:t>
      </w:r>
      <w:r>
        <w:rPr>
          <w:rFonts w:ascii="Abadi" w:hAnsi="Abadi" w:cs="*Arial-5592-Identity-H"/>
          <w:color w:val="14131A"/>
          <w:sz w:val="21"/>
          <w:szCs w:val="21"/>
        </w:rPr>
        <w:t xml:space="preserve"> </w:t>
      </w:r>
      <w:r w:rsidRPr="00C0364D">
        <w:rPr>
          <w:rFonts w:ascii="Abadi" w:hAnsi="Abadi" w:cs="*Arial-5592-Identity-H"/>
          <w:color w:val="14131A"/>
          <w:sz w:val="21"/>
          <w:szCs w:val="21"/>
        </w:rPr>
        <w:t>incluyó en el Programa General de Fiscalización 2021, considerando diversos</w:t>
      </w:r>
      <w:r>
        <w:rPr>
          <w:rFonts w:ascii="Abadi" w:hAnsi="Abadi" w:cs="*Arial-5592-Identity-H"/>
          <w:color w:val="14131A"/>
          <w:sz w:val="21"/>
          <w:szCs w:val="21"/>
        </w:rPr>
        <w:t xml:space="preserve"> </w:t>
      </w:r>
      <w:r w:rsidRPr="00C0364D">
        <w:rPr>
          <w:rFonts w:ascii="Abadi" w:hAnsi="Abadi" w:cs="*Arial-5592-Identity-H"/>
          <w:color w:val="14131A"/>
          <w:sz w:val="21"/>
          <w:szCs w:val="21"/>
        </w:rPr>
        <w:t>criterios metodológicos expuestos en dicho Programa.</w:t>
      </w:r>
    </w:p>
    <w:p w14:paraId="73E41535" w14:textId="77777777" w:rsidR="005D7CEF" w:rsidRPr="00C0364D" w:rsidRDefault="005D7CEF" w:rsidP="005D7CEF">
      <w:pPr>
        <w:autoSpaceDE w:val="0"/>
        <w:autoSpaceDN w:val="0"/>
        <w:adjustRightInd w:val="0"/>
        <w:jc w:val="both"/>
        <w:rPr>
          <w:rFonts w:ascii="Abadi" w:hAnsi="Abadi" w:cs="*Arial-5592-Identity-H"/>
          <w:color w:val="14131A"/>
          <w:sz w:val="21"/>
          <w:szCs w:val="21"/>
        </w:rPr>
      </w:pPr>
    </w:p>
    <w:p w14:paraId="100E978E" w14:textId="77777777" w:rsidR="005D7CEF" w:rsidRDefault="005D7CEF" w:rsidP="005D7CEF">
      <w:pPr>
        <w:autoSpaceDE w:val="0"/>
        <w:autoSpaceDN w:val="0"/>
        <w:adjustRightInd w:val="0"/>
        <w:ind w:firstLine="708"/>
        <w:jc w:val="both"/>
        <w:rPr>
          <w:rFonts w:ascii="Abadi" w:hAnsi="Abadi" w:cs="*Arial-5592-Identity-H"/>
          <w:color w:val="14131C"/>
          <w:sz w:val="21"/>
          <w:szCs w:val="21"/>
        </w:rPr>
      </w:pPr>
      <w:r w:rsidRPr="00C0364D">
        <w:rPr>
          <w:rFonts w:ascii="Abadi" w:hAnsi="Abadi" w:cs="*Arial-5592-Identity-H"/>
          <w:color w:val="14131C"/>
          <w:sz w:val="21"/>
          <w:szCs w:val="21"/>
        </w:rPr>
        <w:t>Dicha auditoría tuvo como objetivo general verificar la capacidad del</w:t>
      </w:r>
      <w:r>
        <w:rPr>
          <w:rFonts w:ascii="Abadi" w:hAnsi="Abadi" w:cs="*Arial-5592-Identity-H"/>
          <w:color w:val="14131C"/>
          <w:sz w:val="21"/>
          <w:szCs w:val="21"/>
        </w:rPr>
        <w:t xml:space="preserve"> </w:t>
      </w:r>
      <w:r w:rsidRPr="00C0364D">
        <w:rPr>
          <w:rFonts w:ascii="Abadi" w:hAnsi="Abadi" w:cs="*Arial-5592-Identity-H"/>
          <w:color w:val="14131C"/>
          <w:sz w:val="21"/>
          <w:szCs w:val="21"/>
        </w:rPr>
        <w:t>Municipio para la prestación eficaz del servicio de alumbrado público y la eficiencia</w:t>
      </w:r>
      <w:r>
        <w:rPr>
          <w:rFonts w:ascii="Abadi" w:hAnsi="Abadi" w:cs="*Arial-5592-Identity-H"/>
          <w:color w:val="14131C"/>
          <w:sz w:val="21"/>
          <w:szCs w:val="21"/>
        </w:rPr>
        <w:t xml:space="preserve"> </w:t>
      </w:r>
      <w:r w:rsidRPr="00C0364D">
        <w:rPr>
          <w:rFonts w:ascii="Abadi" w:hAnsi="Abadi" w:cs="*Arial-5592-Identity-H"/>
          <w:color w:val="14131C"/>
          <w:sz w:val="21"/>
          <w:szCs w:val="21"/>
        </w:rPr>
        <w:t>en sus funciones de planificación, operación y seguimiento.</w:t>
      </w:r>
    </w:p>
    <w:p w14:paraId="1AD8DB76" w14:textId="77777777" w:rsidR="005D7CEF" w:rsidRDefault="005D7CEF" w:rsidP="005D7CEF">
      <w:pPr>
        <w:autoSpaceDE w:val="0"/>
        <w:autoSpaceDN w:val="0"/>
        <w:adjustRightInd w:val="0"/>
        <w:jc w:val="both"/>
        <w:rPr>
          <w:rFonts w:ascii="Abadi" w:hAnsi="Abadi" w:cs="*Arial-5592-Identity-H"/>
          <w:color w:val="14131C"/>
          <w:sz w:val="21"/>
          <w:szCs w:val="21"/>
        </w:rPr>
      </w:pPr>
      <w:r>
        <w:rPr>
          <w:rFonts w:ascii="Abadi" w:hAnsi="Abadi" w:cs="*Arial-5592-Identity-H"/>
          <w:color w:val="14131C"/>
          <w:sz w:val="21"/>
          <w:szCs w:val="21"/>
        </w:rPr>
        <w:t xml:space="preserve"> </w:t>
      </w:r>
    </w:p>
    <w:p w14:paraId="0C67EC2D" w14:textId="77777777" w:rsidR="005D7CEF" w:rsidRPr="00C0364D" w:rsidRDefault="005D7CEF" w:rsidP="005D7CEF">
      <w:pPr>
        <w:autoSpaceDE w:val="0"/>
        <w:autoSpaceDN w:val="0"/>
        <w:adjustRightInd w:val="0"/>
        <w:ind w:firstLine="708"/>
        <w:jc w:val="both"/>
        <w:rPr>
          <w:rFonts w:ascii="Abadi" w:hAnsi="Abadi" w:cs="*Arial-5592-Identity-H"/>
          <w:color w:val="14131B"/>
          <w:sz w:val="21"/>
          <w:szCs w:val="21"/>
        </w:rPr>
      </w:pPr>
      <w:r w:rsidRPr="00C0364D">
        <w:rPr>
          <w:rFonts w:ascii="Abadi" w:hAnsi="Abadi" w:cs="*Arial-5592-Identity-H"/>
          <w:color w:val="14131B"/>
          <w:sz w:val="21"/>
          <w:szCs w:val="21"/>
        </w:rPr>
        <w:t>En cuanto a la temporalidad, el alcance de la auditoría abarcó el periodo</w:t>
      </w:r>
      <w:r>
        <w:rPr>
          <w:rFonts w:ascii="Abadi" w:hAnsi="Abadi" w:cs="*Arial-5592-Identity-H"/>
          <w:color w:val="14131B"/>
          <w:sz w:val="21"/>
          <w:szCs w:val="21"/>
        </w:rPr>
        <w:t xml:space="preserve"> </w:t>
      </w:r>
      <w:r w:rsidRPr="00C0364D">
        <w:rPr>
          <w:rFonts w:ascii="Abadi" w:hAnsi="Abadi" w:cs="*Arial-5592-Identity-H"/>
          <w:color w:val="14131B"/>
          <w:sz w:val="21"/>
          <w:szCs w:val="21"/>
        </w:rPr>
        <w:t>comprendido de enero a diciembre del ejercicio fiscal 2020; asimismo, respecto a</w:t>
      </w:r>
      <w:r>
        <w:rPr>
          <w:rFonts w:ascii="Abadi" w:hAnsi="Abadi" w:cs="*Arial-5592-Identity-H"/>
          <w:color w:val="14131B"/>
          <w:sz w:val="21"/>
          <w:szCs w:val="21"/>
        </w:rPr>
        <w:t xml:space="preserve"> </w:t>
      </w:r>
      <w:r w:rsidRPr="00C0364D">
        <w:rPr>
          <w:rFonts w:ascii="Abadi" w:hAnsi="Abadi" w:cs="*Arial-5592-Identity-H"/>
          <w:color w:val="14131B"/>
          <w:sz w:val="21"/>
          <w:szCs w:val="21"/>
        </w:rPr>
        <w:t>la profundidad temática se revisó la eficiencia en la gestión de la información que</w:t>
      </w:r>
      <w:r>
        <w:rPr>
          <w:rFonts w:ascii="Abadi" w:hAnsi="Abadi" w:cs="*Arial-5592-Identity-H"/>
          <w:color w:val="14131B"/>
          <w:sz w:val="21"/>
          <w:szCs w:val="21"/>
        </w:rPr>
        <w:t xml:space="preserve"> </w:t>
      </w:r>
      <w:r w:rsidRPr="00C0364D">
        <w:rPr>
          <w:rFonts w:ascii="Abadi" w:hAnsi="Abadi" w:cs="*Arial-5592-Identity-H"/>
          <w:color w:val="14131B"/>
          <w:sz w:val="21"/>
          <w:szCs w:val="21"/>
        </w:rPr>
        <w:t>dispone el Municipio para identificar la estimación tanto de la oferta del servicio de</w:t>
      </w:r>
      <w:r>
        <w:rPr>
          <w:rFonts w:ascii="Abadi" w:hAnsi="Abadi" w:cs="*Arial-5592-Identity-H"/>
          <w:color w:val="14131B"/>
          <w:sz w:val="21"/>
          <w:szCs w:val="21"/>
        </w:rPr>
        <w:t xml:space="preserve"> </w:t>
      </w:r>
      <w:r w:rsidRPr="00C0364D">
        <w:rPr>
          <w:rFonts w:ascii="Abadi" w:hAnsi="Abadi" w:cs="*Arial-5592-Identity-H"/>
          <w:color w:val="14131B"/>
          <w:sz w:val="21"/>
          <w:szCs w:val="21"/>
        </w:rPr>
        <w:t>alumbrado público como de los recursos necesarios para su implementación;</w:t>
      </w:r>
      <w:r>
        <w:rPr>
          <w:rFonts w:ascii="Abadi" w:hAnsi="Abadi" w:cs="*Arial-5592-Identity-H"/>
          <w:color w:val="14131B"/>
          <w:sz w:val="21"/>
          <w:szCs w:val="21"/>
        </w:rPr>
        <w:t xml:space="preserve"> </w:t>
      </w:r>
      <w:r w:rsidRPr="00C0364D">
        <w:rPr>
          <w:rFonts w:ascii="Abadi" w:hAnsi="Abadi" w:cs="*Arial-5592-Identity-H"/>
          <w:color w:val="14131B"/>
          <w:sz w:val="21"/>
          <w:szCs w:val="21"/>
        </w:rPr>
        <w:t>sobre el estado que guarda la organización del Municipio para brindar el servicio</w:t>
      </w:r>
    </w:p>
    <w:p w14:paraId="09DC3791" w14:textId="77777777" w:rsidR="005D7CEF" w:rsidRPr="00C0364D" w:rsidRDefault="005D7CEF" w:rsidP="005D7CEF">
      <w:pPr>
        <w:autoSpaceDE w:val="0"/>
        <w:autoSpaceDN w:val="0"/>
        <w:adjustRightInd w:val="0"/>
        <w:jc w:val="both"/>
        <w:rPr>
          <w:rFonts w:ascii="Abadi" w:hAnsi="Abadi" w:cs="*Arial-5592-Identity-H"/>
          <w:color w:val="14131B"/>
          <w:sz w:val="21"/>
          <w:szCs w:val="21"/>
        </w:rPr>
      </w:pPr>
      <w:r w:rsidRPr="00C0364D">
        <w:rPr>
          <w:rFonts w:ascii="Abadi" w:hAnsi="Abadi" w:cs="*Arial-5592-Identity-H"/>
          <w:color w:val="14131B"/>
          <w:sz w:val="21"/>
          <w:szCs w:val="21"/>
        </w:rPr>
        <w:t>de alumbrado público y la gestión de la calidad sobre sus procesos clave; y el uso</w:t>
      </w:r>
      <w:r>
        <w:rPr>
          <w:rFonts w:ascii="Abadi" w:hAnsi="Abadi" w:cs="*Arial-5592-Identity-H"/>
          <w:color w:val="14131B"/>
          <w:sz w:val="21"/>
          <w:szCs w:val="21"/>
        </w:rPr>
        <w:t xml:space="preserve"> </w:t>
      </w:r>
      <w:r w:rsidRPr="00C0364D">
        <w:rPr>
          <w:rFonts w:ascii="Abadi" w:hAnsi="Abadi" w:cs="*Arial-5592-Identity-H"/>
          <w:color w:val="14131B"/>
          <w:sz w:val="21"/>
          <w:szCs w:val="21"/>
        </w:rPr>
        <w:t>de herramientas para la planificación operativa y el seguimiento de las actividades</w:t>
      </w:r>
      <w:r>
        <w:rPr>
          <w:rFonts w:ascii="Abadi" w:hAnsi="Abadi" w:cs="*Arial-5592-Identity-H"/>
          <w:color w:val="14131B"/>
          <w:sz w:val="21"/>
          <w:szCs w:val="21"/>
        </w:rPr>
        <w:t xml:space="preserve"> </w:t>
      </w:r>
      <w:r w:rsidRPr="00C0364D">
        <w:rPr>
          <w:rFonts w:ascii="Abadi" w:hAnsi="Abadi" w:cs="*Arial-5592-Identity-H"/>
          <w:color w:val="14131B"/>
          <w:sz w:val="21"/>
          <w:szCs w:val="21"/>
        </w:rPr>
        <w:t>vinculadas a la atención de reportes por fallas en el servicio. Así como, la eficacia</w:t>
      </w:r>
      <w:r>
        <w:rPr>
          <w:rFonts w:ascii="Abadi" w:hAnsi="Abadi" w:cs="*Arial-5592-Identity-H"/>
          <w:color w:val="14131B"/>
          <w:sz w:val="21"/>
          <w:szCs w:val="21"/>
        </w:rPr>
        <w:t xml:space="preserve"> </w:t>
      </w:r>
      <w:r w:rsidRPr="00C0364D">
        <w:rPr>
          <w:rFonts w:ascii="Abadi" w:hAnsi="Abadi" w:cs="*Arial-5592-Identity-H"/>
          <w:color w:val="14131B"/>
          <w:sz w:val="21"/>
          <w:szCs w:val="21"/>
        </w:rPr>
        <w:t>en los resultados de la capacidad municipal en la prestación del servicio de</w:t>
      </w:r>
      <w:r>
        <w:rPr>
          <w:rFonts w:ascii="Abadi" w:hAnsi="Abadi" w:cs="*Arial-5592-Identity-H"/>
          <w:color w:val="14131B"/>
          <w:sz w:val="21"/>
          <w:szCs w:val="21"/>
        </w:rPr>
        <w:t xml:space="preserve"> </w:t>
      </w:r>
      <w:r w:rsidRPr="00C0364D">
        <w:rPr>
          <w:rFonts w:ascii="Abadi" w:hAnsi="Abadi" w:cs="*Arial-5592-Identity-H"/>
          <w:color w:val="14131B"/>
          <w:sz w:val="21"/>
          <w:szCs w:val="21"/>
        </w:rPr>
        <w:t>alumbrado público en el ejercicio 2020 a partir del grado de funcionamiento de las</w:t>
      </w:r>
      <w:r>
        <w:rPr>
          <w:rFonts w:ascii="Abadi" w:hAnsi="Abadi" w:cs="*Arial-5592-Identity-H"/>
          <w:color w:val="14131B"/>
          <w:sz w:val="21"/>
          <w:szCs w:val="21"/>
        </w:rPr>
        <w:t xml:space="preserve"> </w:t>
      </w:r>
      <w:r w:rsidRPr="00C0364D">
        <w:rPr>
          <w:rFonts w:ascii="Abadi" w:hAnsi="Abadi" w:cs="*Arial-5592-Identity-H"/>
          <w:color w:val="14131B"/>
          <w:sz w:val="21"/>
          <w:szCs w:val="21"/>
        </w:rPr>
        <w:t>luminarias que lo conforman, la cobertura lograda y la satisfacción ciudadana</w:t>
      </w:r>
    </w:p>
    <w:p w14:paraId="604C7883" w14:textId="77777777" w:rsidR="005D7CEF" w:rsidRDefault="005D7CEF" w:rsidP="005D7CEF">
      <w:pPr>
        <w:autoSpaceDE w:val="0"/>
        <w:autoSpaceDN w:val="0"/>
        <w:adjustRightInd w:val="0"/>
        <w:jc w:val="both"/>
        <w:rPr>
          <w:rFonts w:ascii="Abadi" w:hAnsi="Abadi" w:cs="*Arial-7831-Identity-H"/>
          <w:color w:val="14141C"/>
          <w:sz w:val="21"/>
          <w:szCs w:val="21"/>
        </w:rPr>
      </w:pPr>
      <w:r>
        <w:rPr>
          <w:rFonts w:ascii="Abadi" w:hAnsi="Abadi" w:cs="*Arial-7831-Identity-H"/>
          <w:color w:val="14141C"/>
          <w:sz w:val="21"/>
          <w:szCs w:val="21"/>
        </w:rPr>
        <w:t>s</w:t>
      </w:r>
      <w:r w:rsidRPr="00C0364D">
        <w:rPr>
          <w:rFonts w:ascii="Abadi" w:hAnsi="Abadi" w:cs="*Arial-7831-Identity-H"/>
          <w:color w:val="14141C"/>
          <w:sz w:val="21"/>
          <w:szCs w:val="21"/>
        </w:rPr>
        <w:t>obre el servicio, y de la relevancia y suficiencia de los mecanismos que permiten</w:t>
      </w:r>
      <w:r>
        <w:rPr>
          <w:rFonts w:ascii="Abadi" w:hAnsi="Abadi" w:cs="*Arial-7831-Identity-H"/>
          <w:color w:val="14141C"/>
          <w:sz w:val="21"/>
          <w:szCs w:val="21"/>
        </w:rPr>
        <w:t xml:space="preserve"> </w:t>
      </w:r>
      <w:r w:rsidRPr="00C0364D">
        <w:rPr>
          <w:rFonts w:ascii="Abadi" w:hAnsi="Abadi" w:cs="*Arial-7831-Identity-H"/>
          <w:color w:val="14141C"/>
          <w:sz w:val="21"/>
          <w:szCs w:val="21"/>
        </w:rPr>
        <w:t>monitorear el desempeño y los resultados del servicio.</w:t>
      </w:r>
    </w:p>
    <w:p w14:paraId="70B81453" w14:textId="77777777" w:rsidR="005D7CEF" w:rsidRPr="00C0364D" w:rsidRDefault="005D7CEF" w:rsidP="005D7CEF">
      <w:pPr>
        <w:autoSpaceDE w:val="0"/>
        <w:autoSpaceDN w:val="0"/>
        <w:adjustRightInd w:val="0"/>
        <w:jc w:val="both"/>
        <w:rPr>
          <w:rFonts w:ascii="Abadi" w:hAnsi="Abadi" w:cs="*Arial-7831-Identity-H"/>
          <w:color w:val="14141C"/>
          <w:sz w:val="21"/>
          <w:szCs w:val="21"/>
        </w:rPr>
      </w:pPr>
    </w:p>
    <w:p w14:paraId="60F0B314" w14:textId="77777777" w:rsidR="005D7CEF" w:rsidRDefault="005D7CEF" w:rsidP="005D7CEF">
      <w:pPr>
        <w:autoSpaceDE w:val="0"/>
        <w:autoSpaceDN w:val="0"/>
        <w:adjustRightInd w:val="0"/>
        <w:ind w:firstLine="708"/>
        <w:jc w:val="both"/>
        <w:rPr>
          <w:rFonts w:ascii="Abadi" w:hAnsi="Abadi" w:cs="*Arial-7831-Identity-H"/>
          <w:color w:val="15141C"/>
          <w:sz w:val="21"/>
          <w:szCs w:val="21"/>
        </w:rPr>
      </w:pPr>
      <w:r w:rsidRPr="00C0364D">
        <w:rPr>
          <w:rFonts w:ascii="Abadi" w:hAnsi="Abadi" w:cs="*Arial-7831-Identity-H"/>
          <w:color w:val="15141C"/>
          <w:sz w:val="21"/>
          <w:szCs w:val="21"/>
        </w:rPr>
        <w:t>Respecto a los antecedentes del proceso de fiscalización, estos ya se</w:t>
      </w:r>
      <w:r>
        <w:rPr>
          <w:rFonts w:ascii="Abadi" w:hAnsi="Abadi" w:cs="*Arial-7831-Identity-H"/>
          <w:color w:val="15141C"/>
          <w:sz w:val="21"/>
          <w:szCs w:val="21"/>
        </w:rPr>
        <w:t xml:space="preserve"> </w:t>
      </w:r>
      <w:r w:rsidRPr="00C0364D">
        <w:rPr>
          <w:rFonts w:ascii="Abadi" w:hAnsi="Abadi" w:cs="*Arial-7831-Identity-H"/>
          <w:color w:val="15141C"/>
          <w:sz w:val="21"/>
          <w:szCs w:val="21"/>
        </w:rPr>
        <w:t>detallaron en el apartado correspondiente.</w:t>
      </w:r>
    </w:p>
    <w:p w14:paraId="0D12FB15" w14:textId="77777777" w:rsidR="005D7CEF" w:rsidRPr="00C0364D" w:rsidRDefault="005D7CEF" w:rsidP="005D7CEF">
      <w:pPr>
        <w:autoSpaceDE w:val="0"/>
        <w:autoSpaceDN w:val="0"/>
        <w:adjustRightInd w:val="0"/>
        <w:jc w:val="both"/>
        <w:rPr>
          <w:rFonts w:ascii="Abadi" w:hAnsi="Abadi" w:cs="*Arial-7831-Identity-H"/>
          <w:color w:val="15141C"/>
          <w:sz w:val="21"/>
          <w:szCs w:val="21"/>
        </w:rPr>
      </w:pPr>
    </w:p>
    <w:p w14:paraId="2C370EED" w14:textId="77777777" w:rsidR="005D7CEF" w:rsidRDefault="005D7CEF" w:rsidP="005D7CEF">
      <w:pPr>
        <w:autoSpaceDE w:val="0"/>
        <w:autoSpaceDN w:val="0"/>
        <w:adjustRightInd w:val="0"/>
        <w:ind w:firstLine="708"/>
        <w:jc w:val="both"/>
        <w:rPr>
          <w:rFonts w:ascii="Abadi" w:hAnsi="Abadi" w:cs="*Arial-7831-Identity-H"/>
          <w:color w:val="15131D"/>
          <w:sz w:val="21"/>
          <w:szCs w:val="21"/>
        </w:rPr>
      </w:pPr>
      <w:r w:rsidRPr="00C0364D">
        <w:rPr>
          <w:rFonts w:ascii="Abadi" w:hAnsi="Abadi" w:cs="*Arial-7831-Identity-H"/>
          <w:color w:val="15131D"/>
          <w:sz w:val="21"/>
          <w:szCs w:val="21"/>
        </w:rPr>
        <w:t>En cuanto al contexto de la política pública de la materia a auditar, se</w:t>
      </w:r>
      <w:r>
        <w:rPr>
          <w:rFonts w:ascii="Abadi" w:hAnsi="Abadi" w:cs="*Arial-7831-Identity-H"/>
          <w:color w:val="15131D"/>
          <w:sz w:val="21"/>
          <w:szCs w:val="21"/>
        </w:rPr>
        <w:t xml:space="preserve"> </w:t>
      </w:r>
      <w:r w:rsidRPr="00C0364D">
        <w:rPr>
          <w:rFonts w:ascii="Abadi" w:hAnsi="Abadi" w:cs="*Arial-7831-Identity-H"/>
          <w:color w:val="15131D"/>
          <w:sz w:val="21"/>
          <w:szCs w:val="21"/>
        </w:rPr>
        <w:t>refiere que el Municipio libre es la base de la división territorial del Estado, de su</w:t>
      </w:r>
      <w:r>
        <w:rPr>
          <w:rFonts w:ascii="Abadi" w:hAnsi="Abadi" w:cs="*Arial-7831-Identity-H"/>
          <w:color w:val="15131D"/>
          <w:sz w:val="21"/>
          <w:szCs w:val="21"/>
        </w:rPr>
        <w:t xml:space="preserve"> </w:t>
      </w:r>
      <w:r w:rsidRPr="00C0364D">
        <w:rPr>
          <w:rFonts w:ascii="Abadi" w:hAnsi="Abadi" w:cs="*Arial-7831-Identity-H"/>
          <w:color w:val="15131D"/>
          <w:sz w:val="21"/>
          <w:szCs w:val="21"/>
        </w:rPr>
        <w:t>organización política y administrativa, y como principio de legalidad la autoridad</w:t>
      </w:r>
      <w:r>
        <w:rPr>
          <w:rFonts w:ascii="Abadi" w:hAnsi="Abadi" w:cs="*Arial-7831-Identity-H"/>
          <w:color w:val="15131D"/>
          <w:sz w:val="21"/>
          <w:szCs w:val="21"/>
        </w:rPr>
        <w:t xml:space="preserve"> </w:t>
      </w:r>
      <w:r w:rsidRPr="00C0364D">
        <w:rPr>
          <w:rFonts w:ascii="Abadi" w:hAnsi="Abadi" w:cs="*Arial-7831-Identity-H"/>
          <w:color w:val="15131D"/>
          <w:sz w:val="21"/>
          <w:szCs w:val="21"/>
        </w:rPr>
        <w:t>municipal puede hacer únicamente lo que la ley le concede, encontrándose dentro</w:t>
      </w:r>
      <w:r>
        <w:rPr>
          <w:rFonts w:ascii="Abadi" w:hAnsi="Abadi" w:cs="*Arial-7831-Identity-H"/>
          <w:color w:val="15131D"/>
          <w:sz w:val="21"/>
          <w:szCs w:val="21"/>
        </w:rPr>
        <w:t xml:space="preserve"> </w:t>
      </w:r>
      <w:r w:rsidRPr="00C0364D">
        <w:rPr>
          <w:rFonts w:ascii="Abadi" w:hAnsi="Abadi" w:cs="*Arial-7831-Identity-H"/>
          <w:color w:val="15131D"/>
          <w:sz w:val="21"/>
          <w:szCs w:val="21"/>
        </w:rPr>
        <w:t>de sus atribuciones la de otorgar los servicios públicos al Municipio.</w:t>
      </w:r>
    </w:p>
    <w:p w14:paraId="574459B6" w14:textId="77777777" w:rsidR="005D7CEF" w:rsidRPr="00C0364D" w:rsidRDefault="005D7CEF" w:rsidP="005D7CEF">
      <w:pPr>
        <w:autoSpaceDE w:val="0"/>
        <w:autoSpaceDN w:val="0"/>
        <w:adjustRightInd w:val="0"/>
        <w:jc w:val="both"/>
        <w:rPr>
          <w:rFonts w:ascii="Abadi" w:hAnsi="Abadi" w:cs="*Arial-7831-Identity-H"/>
          <w:color w:val="15131D"/>
          <w:sz w:val="21"/>
          <w:szCs w:val="21"/>
        </w:rPr>
      </w:pPr>
    </w:p>
    <w:p w14:paraId="74327D1F" w14:textId="300FF61B" w:rsidR="005D7CEF" w:rsidRDefault="005D7CEF" w:rsidP="005D7CEF">
      <w:pPr>
        <w:autoSpaceDE w:val="0"/>
        <w:autoSpaceDN w:val="0"/>
        <w:adjustRightInd w:val="0"/>
        <w:ind w:firstLine="708"/>
        <w:jc w:val="both"/>
        <w:rPr>
          <w:rFonts w:ascii="Abadi" w:hAnsi="Abadi" w:cs="*Times New Roman-Italic-7829-Id"/>
          <w:i/>
          <w:iCs/>
          <w:color w:val="16151C"/>
          <w:sz w:val="21"/>
          <w:szCs w:val="21"/>
        </w:rPr>
      </w:pPr>
      <w:r w:rsidRPr="00C0364D">
        <w:rPr>
          <w:rFonts w:ascii="Abadi" w:hAnsi="Abadi" w:cs="*Arial-7831-Identity-H"/>
          <w:color w:val="16151C"/>
          <w:sz w:val="21"/>
          <w:szCs w:val="21"/>
        </w:rPr>
        <w:t xml:space="preserve">También se precisa que el servicio público </w:t>
      </w:r>
      <w:r w:rsidRPr="00C0364D">
        <w:rPr>
          <w:rFonts w:ascii="Abadi" w:hAnsi="Abadi" w:cs="*Arial-Italic-7832-Identity-H"/>
          <w:i/>
          <w:iCs/>
          <w:color w:val="16151C"/>
          <w:sz w:val="21"/>
          <w:szCs w:val="21"/>
        </w:rPr>
        <w:t>«es la institución jurídica</w:t>
      </w:r>
      <w:r>
        <w:rPr>
          <w:rFonts w:ascii="Abadi" w:hAnsi="Abadi" w:cs="*Arial-Italic-7832-Identity-H"/>
          <w:i/>
          <w:iCs/>
          <w:color w:val="16151C"/>
          <w:sz w:val="21"/>
          <w:szCs w:val="21"/>
        </w:rPr>
        <w:t xml:space="preserve"> </w:t>
      </w:r>
      <w:r w:rsidRPr="00C0364D">
        <w:rPr>
          <w:rFonts w:ascii="Abadi" w:hAnsi="Abadi" w:cs="*Arial-Italic-7832-Identity-H"/>
          <w:i/>
          <w:iCs/>
          <w:color w:val="16151C"/>
          <w:sz w:val="21"/>
          <w:szCs w:val="21"/>
        </w:rPr>
        <w:t>administrativa en la que el titular es el Estado (municipio) y cuya única finalidad</w:t>
      </w:r>
      <w:r>
        <w:rPr>
          <w:rFonts w:ascii="Abadi" w:hAnsi="Abadi" w:cs="*Arial-Italic-7832-Identity-H"/>
          <w:i/>
          <w:iCs/>
          <w:color w:val="16151C"/>
          <w:sz w:val="21"/>
          <w:szCs w:val="21"/>
        </w:rPr>
        <w:t xml:space="preserve"> </w:t>
      </w:r>
      <w:r w:rsidRPr="00C0364D">
        <w:rPr>
          <w:rFonts w:ascii="Abadi" w:hAnsi="Abadi" w:cs="*Arial-Italic-7832-Identity-H"/>
          <w:i/>
          <w:iCs/>
          <w:color w:val="16151C"/>
          <w:sz w:val="21"/>
          <w:szCs w:val="21"/>
        </w:rPr>
        <w:t>consiste en satisfacer de manera regular, continua y uniforme necesidades</w:t>
      </w:r>
      <w:r>
        <w:rPr>
          <w:rFonts w:ascii="Abadi" w:hAnsi="Abadi" w:cs="*Arial-Italic-7832-Identity-H"/>
          <w:i/>
          <w:iCs/>
          <w:color w:val="16151C"/>
          <w:sz w:val="21"/>
          <w:szCs w:val="21"/>
        </w:rPr>
        <w:t xml:space="preserve"> </w:t>
      </w:r>
      <w:r w:rsidRPr="00C0364D">
        <w:rPr>
          <w:rFonts w:ascii="Abadi" w:hAnsi="Abadi" w:cs="*Arial-Italic-7832-Identity-H"/>
          <w:i/>
          <w:iCs/>
          <w:color w:val="16151C"/>
          <w:sz w:val="21"/>
          <w:szCs w:val="21"/>
        </w:rPr>
        <w:t xml:space="preserve">públicas de carácter esencial, básico o fundamental; se concreta </w:t>
      </w:r>
      <w:r w:rsidRPr="00C0364D">
        <w:rPr>
          <w:rFonts w:ascii="Abadi" w:hAnsi="Abadi" w:cs="*Arial-7831-Identity-H"/>
          <w:color w:val="16151C"/>
          <w:sz w:val="21"/>
          <w:szCs w:val="21"/>
        </w:rPr>
        <w:t xml:space="preserve">a </w:t>
      </w:r>
      <w:r w:rsidRPr="00C0364D">
        <w:rPr>
          <w:rFonts w:ascii="Abadi" w:hAnsi="Abadi" w:cs="*Arial-Italic-7832-Identity-H"/>
          <w:i/>
          <w:iCs/>
          <w:color w:val="16151C"/>
          <w:sz w:val="21"/>
          <w:szCs w:val="21"/>
        </w:rPr>
        <w:t>través de las</w:t>
      </w:r>
      <w:r>
        <w:rPr>
          <w:rFonts w:ascii="Abadi" w:hAnsi="Abadi" w:cs="*Arial-Italic-7832-Identity-H"/>
          <w:i/>
          <w:iCs/>
          <w:color w:val="16151C"/>
          <w:sz w:val="21"/>
          <w:szCs w:val="21"/>
        </w:rPr>
        <w:t xml:space="preserve"> </w:t>
      </w:r>
      <w:r w:rsidRPr="00C0364D">
        <w:rPr>
          <w:rFonts w:ascii="Abadi" w:hAnsi="Abadi" w:cs="*Arial-Italic-7832-Identity-H"/>
          <w:i/>
          <w:iCs/>
          <w:color w:val="16151C"/>
          <w:sz w:val="21"/>
          <w:szCs w:val="21"/>
        </w:rPr>
        <w:t>prestaciones individualizadas las cuales podrán ser suministradas directamente</w:t>
      </w:r>
      <w:r>
        <w:rPr>
          <w:rFonts w:ascii="Abadi" w:hAnsi="Abadi" w:cs="*Arial-Italic-7832-Identity-H"/>
          <w:i/>
          <w:iCs/>
          <w:color w:val="16151C"/>
          <w:sz w:val="21"/>
          <w:szCs w:val="21"/>
        </w:rPr>
        <w:t xml:space="preserve"> </w:t>
      </w:r>
      <w:r w:rsidRPr="00C0364D">
        <w:rPr>
          <w:rFonts w:ascii="Abadi" w:hAnsi="Abadi" w:cs="*Arial-Italic-7832-Identity-H"/>
          <w:i/>
          <w:iCs/>
          <w:color w:val="16151C"/>
          <w:sz w:val="21"/>
          <w:szCs w:val="21"/>
        </w:rPr>
        <w:t>por el Estado (municipio) o por los particulares mediante concesión. Por su</w:t>
      </w:r>
      <w:r>
        <w:rPr>
          <w:rFonts w:ascii="Abadi" w:hAnsi="Abadi" w:cs="*Arial-Italic-7832-Identity-H"/>
          <w:i/>
          <w:iCs/>
          <w:color w:val="16151C"/>
          <w:sz w:val="21"/>
          <w:szCs w:val="21"/>
        </w:rPr>
        <w:t xml:space="preserve"> </w:t>
      </w:r>
      <w:r w:rsidRPr="00C0364D">
        <w:rPr>
          <w:rFonts w:ascii="Abadi" w:hAnsi="Abadi" w:cs="*Arial-Italic-7832-Identity-H"/>
          <w:i/>
          <w:iCs/>
          <w:color w:val="16151C"/>
          <w:sz w:val="21"/>
          <w:szCs w:val="21"/>
        </w:rPr>
        <w:t xml:space="preserve">naturaleza, estará sujeta </w:t>
      </w:r>
      <w:r w:rsidRPr="00C0364D">
        <w:rPr>
          <w:rFonts w:ascii="Abadi" w:hAnsi="Abadi" w:cs="*Arial-7831-Identity-H"/>
          <w:color w:val="16151C"/>
          <w:sz w:val="21"/>
          <w:szCs w:val="21"/>
        </w:rPr>
        <w:t xml:space="preserve">a </w:t>
      </w:r>
      <w:r w:rsidRPr="00C0364D">
        <w:rPr>
          <w:rFonts w:ascii="Abadi" w:hAnsi="Abadi" w:cs="*Arial-Italic-7832-Identity-H"/>
          <w:i/>
          <w:iCs/>
          <w:color w:val="16151C"/>
          <w:sz w:val="21"/>
          <w:szCs w:val="21"/>
        </w:rPr>
        <w:t>normas y principios de derecho público</w:t>
      </w:r>
      <w:r w:rsidR="001E4341">
        <w:rPr>
          <w:rStyle w:val="Refdenotaalpie"/>
          <w:rFonts w:ascii="Abadi" w:hAnsi="Abadi" w:cs="*Arial-Italic-7832-Identity-H"/>
          <w:i/>
          <w:iCs/>
          <w:color w:val="16151C"/>
          <w:sz w:val="21"/>
          <w:szCs w:val="21"/>
        </w:rPr>
        <w:footnoteReference w:id="31"/>
      </w:r>
      <w:r>
        <w:rPr>
          <w:rFonts w:ascii="Abadi" w:hAnsi="Abadi" w:cs="*Times New Roman-Italic-7829-Id"/>
          <w:i/>
          <w:iCs/>
          <w:color w:val="16151C"/>
          <w:sz w:val="21"/>
          <w:szCs w:val="21"/>
        </w:rPr>
        <w:t xml:space="preserve"> </w:t>
      </w:r>
    </w:p>
    <w:p w14:paraId="4FF6FE94" w14:textId="77777777" w:rsidR="005D7CEF" w:rsidRDefault="005D7CEF" w:rsidP="005D7CEF">
      <w:pPr>
        <w:autoSpaceDE w:val="0"/>
        <w:autoSpaceDN w:val="0"/>
        <w:adjustRightInd w:val="0"/>
        <w:jc w:val="both"/>
        <w:rPr>
          <w:rFonts w:ascii="Abadi" w:hAnsi="Abadi" w:cs="*Times New Roman-Italic-7829-Id"/>
          <w:i/>
          <w:iCs/>
          <w:color w:val="16151C"/>
          <w:sz w:val="21"/>
          <w:szCs w:val="21"/>
        </w:rPr>
      </w:pPr>
    </w:p>
    <w:p w14:paraId="51915865" w14:textId="77777777" w:rsidR="005D7CEF" w:rsidRDefault="005D7CEF" w:rsidP="005D7CEF">
      <w:pPr>
        <w:autoSpaceDE w:val="0"/>
        <w:autoSpaceDN w:val="0"/>
        <w:adjustRightInd w:val="0"/>
        <w:ind w:firstLine="708"/>
        <w:jc w:val="both"/>
        <w:rPr>
          <w:rFonts w:ascii="Abadi" w:hAnsi="Abadi" w:cs="*Arial-7831-Identity-H"/>
          <w:color w:val="14141C"/>
          <w:sz w:val="21"/>
          <w:szCs w:val="21"/>
        </w:rPr>
      </w:pPr>
      <w:r w:rsidRPr="00C0364D">
        <w:rPr>
          <w:rFonts w:ascii="Abadi" w:hAnsi="Abadi" w:cs="*Arial-7831-Identity-H"/>
          <w:color w:val="14141C"/>
          <w:sz w:val="21"/>
          <w:szCs w:val="21"/>
        </w:rPr>
        <w:t>Por su parte, la Constitución Política de los Estados Unidos Mexicanos</w:t>
      </w:r>
      <w:r>
        <w:rPr>
          <w:rFonts w:ascii="Abadi" w:hAnsi="Abadi" w:cs="*Arial-7831-Identity-H"/>
          <w:color w:val="14141C"/>
          <w:sz w:val="21"/>
          <w:szCs w:val="21"/>
        </w:rPr>
        <w:t xml:space="preserve"> </w:t>
      </w:r>
      <w:r w:rsidRPr="00C0364D">
        <w:rPr>
          <w:rFonts w:ascii="Abadi" w:hAnsi="Abadi" w:cs="*Arial-7831-Identity-H"/>
          <w:color w:val="14141C"/>
          <w:sz w:val="21"/>
          <w:szCs w:val="21"/>
        </w:rPr>
        <w:t>establece en términos generales en su artículo 115 la base del municipio a través</w:t>
      </w:r>
      <w:r>
        <w:rPr>
          <w:rFonts w:ascii="Abadi" w:hAnsi="Abadi" w:cs="*Arial-7831-Identity-H"/>
          <w:color w:val="14141C"/>
          <w:sz w:val="21"/>
          <w:szCs w:val="21"/>
        </w:rPr>
        <w:t xml:space="preserve"> </w:t>
      </w:r>
      <w:r w:rsidRPr="00C0364D">
        <w:rPr>
          <w:rFonts w:ascii="Abadi" w:hAnsi="Abadi" w:cs="*Arial-7831-Identity-H"/>
          <w:color w:val="14141C"/>
          <w:sz w:val="21"/>
          <w:szCs w:val="21"/>
        </w:rPr>
        <w:t>de una organización política y administrativa, para lo cual ejercerá funciones</w:t>
      </w:r>
      <w:r>
        <w:rPr>
          <w:rFonts w:ascii="Abadi" w:hAnsi="Abadi" w:cs="*Arial-7831-Identity-H"/>
          <w:color w:val="14141C"/>
          <w:sz w:val="21"/>
          <w:szCs w:val="21"/>
        </w:rPr>
        <w:t xml:space="preserve"> </w:t>
      </w:r>
      <w:r w:rsidRPr="00C0364D">
        <w:rPr>
          <w:rFonts w:ascii="Abadi" w:hAnsi="Abadi" w:cs="*Arial-7831-Identity-H"/>
          <w:color w:val="14141C"/>
          <w:sz w:val="21"/>
          <w:szCs w:val="21"/>
        </w:rPr>
        <w:t>jurisdiccionales, legislativas y administrativas, contando con personalidad jurídica y</w:t>
      </w:r>
      <w:r>
        <w:rPr>
          <w:rFonts w:ascii="Abadi" w:hAnsi="Abadi" w:cs="*Arial-7831-Identity-H"/>
          <w:color w:val="14141C"/>
          <w:sz w:val="21"/>
          <w:szCs w:val="21"/>
        </w:rPr>
        <w:t xml:space="preserve"> </w:t>
      </w:r>
      <w:r w:rsidRPr="00C0364D">
        <w:rPr>
          <w:rFonts w:ascii="Abadi" w:hAnsi="Abadi" w:cs="*Arial-7831-Identity-H"/>
          <w:color w:val="14141C"/>
          <w:sz w:val="21"/>
          <w:szCs w:val="21"/>
        </w:rPr>
        <w:t xml:space="preserve">con facultades para manejar su patrimonio conforme a las leyes de la materia. </w:t>
      </w:r>
    </w:p>
    <w:p w14:paraId="4FF8F25B" w14:textId="77777777" w:rsidR="005D7CEF" w:rsidRDefault="005D7CEF" w:rsidP="005D7CEF">
      <w:pPr>
        <w:autoSpaceDE w:val="0"/>
        <w:autoSpaceDN w:val="0"/>
        <w:adjustRightInd w:val="0"/>
        <w:jc w:val="both"/>
        <w:rPr>
          <w:rFonts w:ascii="Abadi" w:hAnsi="Abadi" w:cs="*Arial-7831-Identity-H"/>
          <w:color w:val="14141C"/>
          <w:sz w:val="21"/>
          <w:szCs w:val="21"/>
        </w:rPr>
      </w:pPr>
    </w:p>
    <w:p w14:paraId="1C767AD5" w14:textId="77777777" w:rsidR="005D7CEF" w:rsidRDefault="005D7CEF" w:rsidP="005D7CEF">
      <w:pPr>
        <w:autoSpaceDE w:val="0"/>
        <w:autoSpaceDN w:val="0"/>
        <w:adjustRightInd w:val="0"/>
        <w:ind w:firstLine="708"/>
        <w:jc w:val="both"/>
        <w:rPr>
          <w:rFonts w:ascii="Abadi" w:hAnsi="Abadi" w:cs="*Arial-7831-Identity-H"/>
          <w:color w:val="14141C"/>
          <w:sz w:val="21"/>
          <w:szCs w:val="21"/>
        </w:rPr>
      </w:pPr>
      <w:r w:rsidRPr="00C0364D">
        <w:rPr>
          <w:rFonts w:ascii="Abadi" w:hAnsi="Abadi" w:cs="*Arial-7831-Identity-H"/>
          <w:color w:val="14141C"/>
          <w:sz w:val="21"/>
          <w:szCs w:val="21"/>
        </w:rPr>
        <w:t>En</w:t>
      </w:r>
      <w:r>
        <w:rPr>
          <w:rFonts w:ascii="Abadi" w:hAnsi="Abadi" w:cs="*Arial-7831-Identity-H"/>
          <w:color w:val="14141C"/>
          <w:sz w:val="21"/>
          <w:szCs w:val="21"/>
        </w:rPr>
        <w:t xml:space="preserve"> </w:t>
      </w:r>
      <w:r w:rsidRPr="00C0364D">
        <w:rPr>
          <w:rFonts w:ascii="Abadi" w:hAnsi="Abadi" w:cs="*Arial-7831-Identity-H"/>
          <w:color w:val="14141C"/>
          <w:sz w:val="21"/>
          <w:szCs w:val="21"/>
        </w:rPr>
        <w:t>este sentido, respecto a la prestación de los servicios públicos, el Municipio está</w:t>
      </w:r>
      <w:r>
        <w:rPr>
          <w:rFonts w:ascii="Abadi" w:hAnsi="Abadi" w:cs="*Arial-7831-Identity-H"/>
          <w:color w:val="14141C"/>
          <w:sz w:val="21"/>
          <w:szCs w:val="21"/>
        </w:rPr>
        <w:t xml:space="preserve"> </w:t>
      </w:r>
      <w:r w:rsidRPr="00C0364D">
        <w:rPr>
          <w:rFonts w:ascii="Abadi" w:hAnsi="Abadi" w:cs="*Arial-7831-Identity-H"/>
          <w:color w:val="14141C"/>
          <w:sz w:val="21"/>
          <w:szCs w:val="21"/>
        </w:rPr>
        <w:t>facultado para expedir reglamentos, circulares y disposiciones administrativas de</w:t>
      </w:r>
      <w:r>
        <w:rPr>
          <w:rFonts w:ascii="Abadi" w:hAnsi="Abadi" w:cs="*Arial-7831-Identity-H"/>
          <w:color w:val="14141C"/>
          <w:sz w:val="21"/>
          <w:szCs w:val="21"/>
        </w:rPr>
        <w:t xml:space="preserve"> </w:t>
      </w:r>
      <w:r w:rsidRPr="00C0364D">
        <w:rPr>
          <w:rFonts w:ascii="Abadi" w:hAnsi="Abadi" w:cs="*Arial-7831-Identity-H"/>
          <w:color w:val="14141C"/>
          <w:sz w:val="21"/>
          <w:szCs w:val="21"/>
        </w:rPr>
        <w:t>observancia general dentro de su jurisdicción, que organicen la administración</w:t>
      </w:r>
      <w:r>
        <w:rPr>
          <w:rFonts w:ascii="Abadi" w:hAnsi="Abadi" w:cs="*Arial-7831-Identity-H"/>
          <w:color w:val="14141C"/>
          <w:sz w:val="21"/>
          <w:szCs w:val="21"/>
        </w:rPr>
        <w:t xml:space="preserve"> </w:t>
      </w:r>
      <w:r w:rsidRPr="00C0364D">
        <w:rPr>
          <w:rFonts w:ascii="Abadi" w:hAnsi="Abadi" w:cs="*Arial-7831-Identity-H"/>
          <w:color w:val="14141C"/>
          <w:sz w:val="21"/>
          <w:szCs w:val="21"/>
        </w:rPr>
        <w:t>pública, regulen las materias, procedimiento, funciones y servicios públicos de su</w:t>
      </w:r>
      <w:r>
        <w:rPr>
          <w:rFonts w:ascii="Abadi" w:hAnsi="Abadi" w:cs="*Arial-7831-Identity-H"/>
          <w:color w:val="14141C"/>
          <w:sz w:val="21"/>
          <w:szCs w:val="21"/>
        </w:rPr>
        <w:t xml:space="preserve"> </w:t>
      </w:r>
      <w:r w:rsidRPr="00C0364D">
        <w:rPr>
          <w:rFonts w:ascii="Abadi" w:hAnsi="Abadi" w:cs="*Arial-7831-Identity-H"/>
          <w:color w:val="14141C"/>
          <w:sz w:val="21"/>
          <w:szCs w:val="21"/>
        </w:rPr>
        <w:t>competencia.</w:t>
      </w:r>
    </w:p>
    <w:p w14:paraId="0852F4D4" w14:textId="77777777" w:rsidR="005D7CEF" w:rsidRPr="00C0364D" w:rsidRDefault="005D7CEF" w:rsidP="005D7CEF">
      <w:pPr>
        <w:autoSpaceDE w:val="0"/>
        <w:autoSpaceDN w:val="0"/>
        <w:adjustRightInd w:val="0"/>
        <w:jc w:val="both"/>
        <w:rPr>
          <w:rFonts w:ascii="Abadi" w:hAnsi="Abadi" w:cs="*Arial-7831-Identity-H"/>
          <w:color w:val="14141C"/>
          <w:sz w:val="21"/>
          <w:szCs w:val="21"/>
        </w:rPr>
      </w:pPr>
    </w:p>
    <w:p w14:paraId="71872C60" w14:textId="77777777" w:rsidR="005D7CEF" w:rsidRPr="00C0364D" w:rsidRDefault="005D7CEF" w:rsidP="005D7CEF">
      <w:pPr>
        <w:autoSpaceDE w:val="0"/>
        <w:autoSpaceDN w:val="0"/>
        <w:adjustRightInd w:val="0"/>
        <w:ind w:firstLine="708"/>
        <w:jc w:val="both"/>
        <w:rPr>
          <w:rFonts w:ascii="Abadi" w:hAnsi="Abadi" w:cs="*Arial-7831-Identity-H"/>
          <w:color w:val="15131C"/>
          <w:sz w:val="21"/>
          <w:szCs w:val="21"/>
        </w:rPr>
      </w:pPr>
      <w:r w:rsidRPr="00C0364D">
        <w:rPr>
          <w:rFonts w:ascii="Abadi" w:hAnsi="Abadi" w:cs="*Arial-7831-Identity-H"/>
          <w:color w:val="15131C"/>
          <w:sz w:val="21"/>
          <w:szCs w:val="21"/>
        </w:rPr>
        <w:t>De manera específica, el artículo 115 de la Constitución Política de los</w:t>
      </w:r>
      <w:r>
        <w:rPr>
          <w:rFonts w:ascii="Abadi" w:hAnsi="Abadi" w:cs="*Arial-7831-Identity-H"/>
          <w:color w:val="15131C"/>
          <w:sz w:val="21"/>
          <w:szCs w:val="21"/>
        </w:rPr>
        <w:t xml:space="preserve"> </w:t>
      </w:r>
      <w:r w:rsidRPr="00C0364D">
        <w:rPr>
          <w:rFonts w:ascii="Abadi" w:hAnsi="Abadi" w:cs="*Arial-7831-Identity-H"/>
          <w:color w:val="15131C"/>
          <w:sz w:val="21"/>
          <w:szCs w:val="21"/>
        </w:rPr>
        <w:t xml:space="preserve">Estados Unidos Mexicanos, en su fracción </w:t>
      </w:r>
      <w:r>
        <w:rPr>
          <w:rFonts w:ascii="Abadi" w:hAnsi="Abadi" w:cs="*Arial-7831-Identity-H"/>
          <w:color w:val="15131C"/>
          <w:sz w:val="21"/>
          <w:szCs w:val="21"/>
        </w:rPr>
        <w:t>III</w:t>
      </w:r>
      <w:r w:rsidRPr="00C0364D">
        <w:rPr>
          <w:rFonts w:ascii="Abadi" w:hAnsi="Abadi" w:cs="*Arial-7831-Identity-H"/>
          <w:color w:val="15131C"/>
          <w:sz w:val="21"/>
          <w:szCs w:val="21"/>
        </w:rPr>
        <w:t xml:space="preserve"> consigna que los municipios tendrán</w:t>
      </w:r>
      <w:r>
        <w:rPr>
          <w:rFonts w:ascii="Abadi" w:hAnsi="Abadi" w:cs="*Arial-7831-Identity-H"/>
          <w:color w:val="15131C"/>
          <w:sz w:val="21"/>
          <w:szCs w:val="21"/>
        </w:rPr>
        <w:t xml:space="preserve"> </w:t>
      </w:r>
      <w:r w:rsidRPr="00C0364D">
        <w:rPr>
          <w:rFonts w:ascii="Abadi" w:hAnsi="Abadi" w:cs="*Arial-7831-Identity-H"/>
          <w:color w:val="15131C"/>
          <w:sz w:val="21"/>
          <w:szCs w:val="21"/>
        </w:rPr>
        <w:t>a su cargo las funciones y servicios públicos, entre los que señala en el inciso b, el</w:t>
      </w:r>
      <w:r>
        <w:rPr>
          <w:rFonts w:ascii="Abadi" w:hAnsi="Abadi" w:cs="*Arial-7831-Identity-H"/>
          <w:color w:val="15131C"/>
          <w:sz w:val="21"/>
          <w:szCs w:val="21"/>
        </w:rPr>
        <w:t xml:space="preserve"> </w:t>
      </w:r>
      <w:r w:rsidRPr="00C0364D">
        <w:rPr>
          <w:rFonts w:ascii="Abadi" w:hAnsi="Abadi" w:cs="*Arial-7831-Identity-H"/>
          <w:color w:val="15131C"/>
          <w:sz w:val="21"/>
          <w:szCs w:val="21"/>
        </w:rPr>
        <w:t>alumbrado público. Atribución ratificada en la Constitución Política Local en su</w:t>
      </w:r>
      <w:r>
        <w:rPr>
          <w:rFonts w:ascii="Abadi" w:hAnsi="Abadi" w:cs="*Arial-7831-Identity-H"/>
          <w:color w:val="15131C"/>
          <w:sz w:val="21"/>
          <w:szCs w:val="21"/>
        </w:rPr>
        <w:t xml:space="preserve"> </w:t>
      </w:r>
      <w:r w:rsidRPr="00C0364D">
        <w:rPr>
          <w:rFonts w:ascii="Abadi" w:hAnsi="Abadi" w:cs="*Arial-7831-Identity-H"/>
          <w:color w:val="15131C"/>
          <w:sz w:val="21"/>
          <w:szCs w:val="21"/>
        </w:rPr>
        <w:t xml:space="preserve">artículo 117, fracción </w:t>
      </w:r>
      <w:r>
        <w:rPr>
          <w:rFonts w:ascii="Abadi" w:hAnsi="Abadi" w:cs="*Arial-7831-Identity-H"/>
          <w:color w:val="15131C"/>
          <w:sz w:val="21"/>
          <w:szCs w:val="21"/>
        </w:rPr>
        <w:t>III</w:t>
      </w:r>
      <w:r w:rsidRPr="00C0364D">
        <w:rPr>
          <w:rFonts w:ascii="Abadi" w:hAnsi="Abadi" w:cs="*Arial-7831-Identity-H"/>
          <w:color w:val="15131C"/>
          <w:sz w:val="21"/>
          <w:szCs w:val="21"/>
        </w:rPr>
        <w:t>, inciso b.</w:t>
      </w:r>
    </w:p>
    <w:p w14:paraId="69BE4407" w14:textId="77777777" w:rsidR="005D7CEF" w:rsidRPr="00C0364D" w:rsidRDefault="005D7CEF" w:rsidP="005D7CEF">
      <w:pPr>
        <w:jc w:val="both"/>
        <w:rPr>
          <w:rFonts w:ascii="Abadi" w:hAnsi="Abadi" w:cs="*Arial-7831-Identity-H"/>
          <w:color w:val="15131C"/>
          <w:sz w:val="21"/>
          <w:szCs w:val="21"/>
        </w:rPr>
      </w:pPr>
    </w:p>
    <w:p w14:paraId="4344A2C6" w14:textId="77777777" w:rsidR="005D7CEF" w:rsidRDefault="005D7CEF" w:rsidP="005D7CEF">
      <w:pPr>
        <w:autoSpaceDE w:val="0"/>
        <w:autoSpaceDN w:val="0"/>
        <w:adjustRightInd w:val="0"/>
        <w:ind w:firstLine="708"/>
        <w:jc w:val="both"/>
        <w:rPr>
          <w:rFonts w:ascii="Abadi" w:hAnsi="Abadi" w:cs="*Arial-6197-Identity-H"/>
          <w:color w:val="14131B"/>
          <w:sz w:val="21"/>
          <w:szCs w:val="21"/>
        </w:rPr>
      </w:pPr>
      <w:r w:rsidRPr="00C0364D">
        <w:rPr>
          <w:rFonts w:ascii="Abadi" w:hAnsi="Abadi" w:cs="*Arial-6197-Identity-H"/>
          <w:color w:val="14131B"/>
          <w:sz w:val="21"/>
          <w:szCs w:val="21"/>
        </w:rPr>
        <w:t>La Ley Orgánica Municipal para el Estado de Guanajuato prevé que el</w:t>
      </w:r>
      <w:r>
        <w:rPr>
          <w:rFonts w:ascii="Abadi" w:hAnsi="Abadi" w:cs="*Arial-6197-Identity-H"/>
          <w:color w:val="14131B"/>
          <w:sz w:val="21"/>
          <w:szCs w:val="21"/>
        </w:rPr>
        <w:t xml:space="preserve"> </w:t>
      </w:r>
      <w:r w:rsidRPr="00C0364D">
        <w:rPr>
          <w:rFonts w:ascii="Abadi" w:hAnsi="Abadi" w:cs="*Arial-6197-Identity-H"/>
          <w:color w:val="14131B"/>
          <w:sz w:val="21"/>
          <w:szCs w:val="21"/>
        </w:rPr>
        <w:t>Ayuntamiento deberá otorgar el servicio de alumbrado público a los habitantes del</w:t>
      </w:r>
      <w:r>
        <w:rPr>
          <w:rFonts w:ascii="Abadi" w:hAnsi="Abadi" w:cs="*Arial-6197-Identity-H"/>
          <w:color w:val="14131B"/>
          <w:sz w:val="21"/>
          <w:szCs w:val="21"/>
        </w:rPr>
        <w:t xml:space="preserve"> </w:t>
      </w:r>
      <w:r w:rsidRPr="00C0364D">
        <w:rPr>
          <w:rFonts w:ascii="Abadi" w:hAnsi="Abadi" w:cs="*Arial-6197-Identity-H"/>
          <w:color w:val="14131B"/>
          <w:sz w:val="21"/>
          <w:szCs w:val="21"/>
        </w:rPr>
        <w:t>Municipio e instrumentará los mecanismos necesarios para ampliar la cobertura y</w:t>
      </w:r>
      <w:r>
        <w:rPr>
          <w:rFonts w:ascii="Abadi" w:hAnsi="Abadi" w:cs="*Arial-6197-Identity-H"/>
          <w:color w:val="14131B"/>
          <w:sz w:val="21"/>
          <w:szCs w:val="21"/>
        </w:rPr>
        <w:t xml:space="preserve"> </w:t>
      </w:r>
      <w:r w:rsidRPr="00C0364D">
        <w:rPr>
          <w:rFonts w:ascii="Abadi" w:hAnsi="Abadi" w:cs="*Arial-6197-Identity-H"/>
          <w:color w:val="14131B"/>
          <w:sz w:val="21"/>
          <w:szCs w:val="21"/>
        </w:rPr>
        <w:t>mejorar la prestación de dicho servicio.</w:t>
      </w:r>
    </w:p>
    <w:p w14:paraId="3B2564CA" w14:textId="77777777" w:rsidR="005D7CEF" w:rsidRPr="00C0364D" w:rsidRDefault="005D7CEF" w:rsidP="005D7CEF">
      <w:pPr>
        <w:autoSpaceDE w:val="0"/>
        <w:autoSpaceDN w:val="0"/>
        <w:adjustRightInd w:val="0"/>
        <w:jc w:val="both"/>
        <w:rPr>
          <w:rFonts w:ascii="Abadi" w:hAnsi="Abadi" w:cs="*Arial-6197-Identity-H"/>
          <w:color w:val="14131B"/>
          <w:sz w:val="21"/>
          <w:szCs w:val="21"/>
        </w:rPr>
      </w:pPr>
    </w:p>
    <w:p w14:paraId="24987193" w14:textId="77777777" w:rsidR="005D7CEF" w:rsidRDefault="005D7CEF" w:rsidP="005D7CEF">
      <w:pPr>
        <w:autoSpaceDE w:val="0"/>
        <w:autoSpaceDN w:val="0"/>
        <w:adjustRightInd w:val="0"/>
        <w:ind w:firstLine="708"/>
        <w:jc w:val="both"/>
        <w:rPr>
          <w:rFonts w:ascii="Abadi" w:hAnsi="Abadi" w:cs="*Arial-6197-Identity-H"/>
          <w:color w:val="14131B"/>
          <w:sz w:val="21"/>
          <w:szCs w:val="21"/>
        </w:rPr>
      </w:pPr>
      <w:r w:rsidRPr="00C0364D">
        <w:rPr>
          <w:rFonts w:ascii="Abadi" w:hAnsi="Abadi" w:cs="*Arial-6197-Identity-H"/>
          <w:color w:val="14131B"/>
          <w:sz w:val="21"/>
          <w:szCs w:val="21"/>
        </w:rPr>
        <w:t>De igual forma, la referida ley en el artículo 83 establece que el</w:t>
      </w:r>
      <w:r>
        <w:rPr>
          <w:rFonts w:ascii="Abadi" w:hAnsi="Abadi" w:cs="*Arial-6197-Identity-H"/>
          <w:color w:val="14131B"/>
          <w:sz w:val="21"/>
          <w:szCs w:val="21"/>
        </w:rPr>
        <w:t xml:space="preserve"> </w:t>
      </w:r>
      <w:r w:rsidRPr="00C0364D">
        <w:rPr>
          <w:rFonts w:ascii="Abadi" w:hAnsi="Abadi" w:cs="*Arial-6197-Identity-H"/>
          <w:color w:val="14131B"/>
          <w:sz w:val="21"/>
          <w:szCs w:val="21"/>
        </w:rPr>
        <w:t>Ayuntamiento contará con una Comisión de Obra y Servicios Públicos, misma que</w:t>
      </w:r>
      <w:r>
        <w:rPr>
          <w:rFonts w:ascii="Abadi" w:hAnsi="Abadi" w:cs="*Arial-6197-Identity-H"/>
          <w:color w:val="14131B"/>
          <w:sz w:val="21"/>
          <w:szCs w:val="21"/>
        </w:rPr>
        <w:t xml:space="preserve"> </w:t>
      </w:r>
      <w:r w:rsidRPr="00C0364D">
        <w:rPr>
          <w:rFonts w:ascii="Abadi" w:hAnsi="Abadi" w:cs="*Arial-6197-Identity-H"/>
          <w:color w:val="14131B"/>
          <w:sz w:val="21"/>
          <w:szCs w:val="21"/>
        </w:rPr>
        <w:t>tendrá dentro de sus atribuciones la de promover la prestación puntual, oportuna y</w:t>
      </w:r>
      <w:r>
        <w:rPr>
          <w:rFonts w:ascii="Abadi" w:hAnsi="Abadi" w:cs="*Arial-6197-Identity-H"/>
          <w:color w:val="14131B"/>
          <w:sz w:val="21"/>
          <w:szCs w:val="21"/>
        </w:rPr>
        <w:t xml:space="preserve"> </w:t>
      </w:r>
      <w:r w:rsidRPr="00C0364D">
        <w:rPr>
          <w:rFonts w:ascii="Abadi" w:hAnsi="Abadi" w:cs="*Arial-6197-Identity-H"/>
          <w:color w:val="14131B"/>
          <w:sz w:val="21"/>
          <w:szCs w:val="21"/>
        </w:rPr>
        <w:t>eficiente de los servicios públicos municipales, de conformidad con las</w:t>
      </w:r>
      <w:r>
        <w:rPr>
          <w:rFonts w:ascii="Abadi" w:hAnsi="Abadi" w:cs="*Arial-6197-Identity-H"/>
          <w:color w:val="14131B"/>
          <w:sz w:val="21"/>
          <w:szCs w:val="21"/>
        </w:rPr>
        <w:t xml:space="preserve"> </w:t>
      </w:r>
      <w:r w:rsidRPr="00C0364D">
        <w:rPr>
          <w:rFonts w:ascii="Abadi" w:hAnsi="Abadi" w:cs="*Arial-6197-Identity-H"/>
          <w:color w:val="14131B"/>
          <w:sz w:val="21"/>
          <w:szCs w:val="21"/>
        </w:rPr>
        <w:t>disposiciones aplicables. En este sentido, la dependencia de Servicios Municipales</w:t>
      </w:r>
      <w:r>
        <w:rPr>
          <w:rFonts w:ascii="Abadi" w:hAnsi="Abadi" w:cs="*Arial-6197-Identity-H"/>
          <w:color w:val="14131B"/>
          <w:sz w:val="21"/>
          <w:szCs w:val="21"/>
        </w:rPr>
        <w:t xml:space="preserve"> </w:t>
      </w:r>
      <w:r w:rsidRPr="00C0364D">
        <w:rPr>
          <w:rFonts w:ascii="Abadi" w:hAnsi="Abadi" w:cs="*Arial-6197-Identity-H"/>
          <w:color w:val="14131B"/>
          <w:sz w:val="21"/>
          <w:szCs w:val="21"/>
        </w:rPr>
        <w:t>será la encargada de llevar a cabo la prestación del servicio de alumbrado público</w:t>
      </w:r>
      <w:r>
        <w:rPr>
          <w:rFonts w:ascii="Abadi" w:hAnsi="Abadi" w:cs="*Arial-6197-Identity-H"/>
          <w:color w:val="14131B"/>
          <w:sz w:val="21"/>
          <w:szCs w:val="21"/>
        </w:rPr>
        <w:t xml:space="preserve"> </w:t>
      </w:r>
      <w:r w:rsidRPr="00C0364D">
        <w:rPr>
          <w:rFonts w:ascii="Abadi" w:hAnsi="Abadi" w:cs="*Arial-6197-Identity-H"/>
          <w:color w:val="14131B"/>
          <w:sz w:val="21"/>
          <w:szCs w:val="21"/>
        </w:rPr>
        <w:t>en el Municipio.</w:t>
      </w:r>
    </w:p>
    <w:p w14:paraId="0749E63A" w14:textId="77777777" w:rsidR="005D7CEF" w:rsidRPr="00C0364D" w:rsidRDefault="005D7CEF" w:rsidP="005D7CEF">
      <w:pPr>
        <w:autoSpaceDE w:val="0"/>
        <w:autoSpaceDN w:val="0"/>
        <w:adjustRightInd w:val="0"/>
        <w:jc w:val="both"/>
        <w:rPr>
          <w:rFonts w:ascii="Abadi" w:hAnsi="Abadi" w:cs="*Arial-6197-Identity-H"/>
          <w:color w:val="14131B"/>
          <w:sz w:val="21"/>
          <w:szCs w:val="21"/>
        </w:rPr>
      </w:pPr>
    </w:p>
    <w:p w14:paraId="39120009" w14:textId="77777777" w:rsidR="005D7CEF" w:rsidRPr="00C0364D" w:rsidRDefault="005D7CEF" w:rsidP="005D7CEF">
      <w:pPr>
        <w:autoSpaceDE w:val="0"/>
        <w:autoSpaceDN w:val="0"/>
        <w:adjustRightInd w:val="0"/>
        <w:ind w:firstLine="708"/>
        <w:jc w:val="both"/>
        <w:rPr>
          <w:rFonts w:ascii="Abadi" w:hAnsi="Abadi" w:cs="*Arial-6197-Identity-H"/>
          <w:color w:val="14131B"/>
          <w:sz w:val="21"/>
          <w:szCs w:val="21"/>
        </w:rPr>
      </w:pPr>
      <w:r w:rsidRPr="00C0364D">
        <w:rPr>
          <w:rFonts w:ascii="Abadi" w:hAnsi="Abadi" w:cs="*Arial-6197-Identity-H"/>
          <w:color w:val="14131B"/>
          <w:sz w:val="21"/>
          <w:szCs w:val="21"/>
        </w:rPr>
        <w:t xml:space="preserve">El artículo 165 de la citada Ley Orgánica Municipal prevé: </w:t>
      </w:r>
      <w:r w:rsidRPr="00C0364D">
        <w:rPr>
          <w:rFonts w:ascii="Abadi" w:hAnsi="Abadi" w:cs="*Arial-Italic-6198-Identity-H"/>
          <w:i/>
          <w:iCs/>
          <w:color w:val="14131B"/>
          <w:sz w:val="21"/>
          <w:szCs w:val="21"/>
        </w:rPr>
        <w:t>«Los</w:t>
      </w:r>
      <w:r>
        <w:rPr>
          <w:rFonts w:ascii="Abadi" w:hAnsi="Abadi" w:cs="*Arial-Italic-6198-Identity-H"/>
          <w:i/>
          <w:iCs/>
          <w:color w:val="14131B"/>
          <w:sz w:val="21"/>
          <w:szCs w:val="21"/>
        </w:rPr>
        <w:t xml:space="preserve"> </w:t>
      </w:r>
      <w:r w:rsidRPr="00C0364D">
        <w:rPr>
          <w:rFonts w:ascii="Abadi" w:hAnsi="Abadi" w:cs="*Arial-Italic-6198-Identity-H"/>
          <w:i/>
          <w:iCs/>
          <w:color w:val="14131B"/>
          <w:sz w:val="21"/>
          <w:szCs w:val="21"/>
        </w:rPr>
        <w:t xml:space="preserve">ayuntamientos prestarán los servicios públicos, en igualdad de condiciones </w:t>
      </w:r>
      <w:r w:rsidRPr="00C0364D">
        <w:rPr>
          <w:rFonts w:ascii="Abadi" w:hAnsi="Abadi" w:cs="*Arial-6197-Identity-H"/>
          <w:color w:val="14131B"/>
          <w:sz w:val="21"/>
          <w:szCs w:val="21"/>
        </w:rPr>
        <w:t>a</w:t>
      </w:r>
      <w:r>
        <w:rPr>
          <w:rFonts w:ascii="Abadi" w:hAnsi="Abadi" w:cs="*Arial-6197-Identity-H"/>
          <w:color w:val="14131B"/>
          <w:sz w:val="21"/>
          <w:szCs w:val="21"/>
        </w:rPr>
        <w:t xml:space="preserve"> </w:t>
      </w:r>
      <w:r w:rsidRPr="00C0364D">
        <w:rPr>
          <w:rFonts w:ascii="Abadi" w:hAnsi="Abadi" w:cs="*Arial-Italic-6198-Identity-H"/>
          <w:i/>
          <w:iCs/>
          <w:color w:val="14131B"/>
          <w:sz w:val="21"/>
          <w:szCs w:val="21"/>
        </w:rPr>
        <w:t>todos los habitantes del municipio, en forma permanente, general, uniforme,</w:t>
      </w:r>
      <w:r>
        <w:rPr>
          <w:rFonts w:ascii="Abadi" w:hAnsi="Abadi" w:cs="*Arial-Italic-6198-Identity-H"/>
          <w:i/>
          <w:iCs/>
          <w:color w:val="14131B"/>
          <w:sz w:val="21"/>
          <w:szCs w:val="21"/>
        </w:rPr>
        <w:t xml:space="preserve"> </w:t>
      </w:r>
      <w:r w:rsidRPr="00C0364D">
        <w:rPr>
          <w:rFonts w:ascii="Abadi" w:hAnsi="Abadi" w:cs="*Arial-Italic-6198-Identity-H"/>
          <w:i/>
          <w:iCs/>
          <w:color w:val="14131B"/>
          <w:sz w:val="21"/>
          <w:szCs w:val="21"/>
        </w:rPr>
        <w:t>continua y de acuerdo con el Programa de Gobierno Municipal».</w:t>
      </w:r>
      <w:r>
        <w:rPr>
          <w:rFonts w:ascii="Abadi" w:hAnsi="Abadi" w:cs="*Arial-Italic-6198-Identity-H"/>
          <w:i/>
          <w:iCs/>
          <w:color w:val="14131B"/>
          <w:sz w:val="21"/>
          <w:szCs w:val="21"/>
        </w:rPr>
        <w:t xml:space="preserve"> </w:t>
      </w:r>
      <w:r w:rsidRPr="00C0364D">
        <w:rPr>
          <w:rFonts w:ascii="Abadi" w:hAnsi="Abadi" w:cs="*Arial-6197-Identity-H"/>
          <w:color w:val="14131B"/>
          <w:sz w:val="21"/>
          <w:szCs w:val="21"/>
        </w:rPr>
        <w:t xml:space="preserve">En el Capítulo denominado </w:t>
      </w:r>
      <w:r w:rsidRPr="00C0364D">
        <w:rPr>
          <w:rFonts w:ascii="Abadi" w:hAnsi="Abadi" w:cs="*Arial-Italic-6198-Identity-H"/>
          <w:i/>
          <w:iCs/>
          <w:color w:val="14131B"/>
          <w:sz w:val="21"/>
          <w:szCs w:val="21"/>
        </w:rPr>
        <w:t>«De</w:t>
      </w:r>
      <w:r>
        <w:rPr>
          <w:rFonts w:ascii="Abadi" w:hAnsi="Abadi" w:cs="*Arial-Italic-6198-Identity-H"/>
          <w:i/>
          <w:iCs/>
          <w:color w:val="14131B"/>
          <w:sz w:val="21"/>
          <w:szCs w:val="21"/>
        </w:rPr>
        <w:t xml:space="preserve"> </w:t>
      </w:r>
      <w:r w:rsidRPr="00C0364D">
        <w:rPr>
          <w:rFonts w:ascii="Abadi" w:hAnsi="Abadi" w:cs="*Arial-Italic-6198-Identity-H"/>
          <w:i/>
          <w:iCs/>
          <w:color w:val="14131B"/>
          <w:sz w:val="21"/>
          <w:szCs w:val="21"/>
        </w:rPr>
        <w:t xml:space="preserve">los Servicios Públicos Municipales» </w:t>
      </w:r>
      <w:r w:rsidRPr="00C0364D">
        <w:rPr>
          <w:rFonts w:ascii="Abadi" w:hAnsi="Abadi" w:cs="*Arial-6197-Identity-H"/>
          <w:color w:val="14131B"/>
          <w:sz w:val="21"/>
          <w:szCs w:val="21"/>
        </w:rPr>
        <w:t>se</w:t>
      </w:r>
      <w:r>
        <w:rPr>
          <w:rFonts w:ascii="Abadi" w:hAnsi="Abadi" w:cs="*Arial-6197-Identity-H"/>
          <w:color w:val="14131B"/>
          <w:sz w:val="21"/>
          <w:szCs w:val="21"/>
        </w:rPr>
        <w:t xml:space="preserve"> </w:t>
      </w:r>
      <w:r w:rsidRPr="00C0364D">
        <w:rPr>
          <w:rFonts w:ascii="Abadi" w:hAnsi="Abadi" w:cs="*Arial-6197-Identity-H"/>
          <w:color w:val="14131B"/>
          <w:sz w:val="21"/>
          <w:szCs w:val="21"/>
        </w:rPr>
        <w:t>refiere que en el presupuesto de egresos deben preverse los recursos materiales y</w:t>
      </w:r>
      <w:r>
        <w:rPr>
          <w:rFonts w:ascii="Abadi" w:hAnsi="Abadi" w:cs="*Arial-6197-Identity-H"/>
          <w:color w:val="14131B"/>
          <w:sz w:val="21"/>
          <w:szCs w:val="21"/>
        </w:rPr>
        <w:t xml:space="preserve"> </w:t>
      </w:r>
      <w:r w:rsidRPr="00C0364D">
        <w:rPr>
          <w:rFonts w:ascii="Abadi" w:hAnsi="Abadi" w:cs="*Arial-6197-Identity-H"/>
          <w:color w:val="14131B"/>
          <w:sz w:val="21"/>
          <w:szCs w:val="21"/>
        </w:rPr>
        <w:t>humanos, necesarios y suficientes, para la prestación eficiente y oportuna de los</w:t>
      </w:r>
      <w:r>
        <w:rPr>
          <w:rFonts w:ascii="Abadi" w:hAnsi="Abadi" w:cs="*Arial-6197-Identity-H"/>
          <w:color w:val="14131B"/>
          <w:sz w:val="21"/>
          <w:szCs w:val="21"/>
        </w:rPr>
        <w:t xml:space="preserve"> </w:t>
      </w:r>
      <w:r w:rsidRPr="00C0364D">
        <w:rPr>
          <w:rFonts w:ascii="Abadi" w:hAnsi="Abadi" w:cs="*Arial-6197-Identity-H"/>
          <w:color w:val="14131B"/>
          <w:sz w:val="21"/>
          <w:szCs w:val="21"/>
        </w:rPr>
        <w:t>servicios públicos; asimismo, se consigna la obligatoriedad del Ayuntamiento de</w:t>
      </w:r>
      <w:r>
        <w:rPr>
          <w:rFonts w:ascii="Abadi" w:hAnsi="Abadi" w:cs="*Arial-6197-Identity-H"/>
          <w:color w:val="14131B"/>
          <w:sz w:val="21"/>
          <w:szCs w:val="21"/>
        </w:rPr>
        <w:t xml:space="preserve"> </w:t>
      </w:r>
      <w:r w:rsidRPr="00C0364D">
        <w:rPr>
          <w:rFonts w:ascii="Abadi" w:hAnsi="Abadi" w:cs="*Arial-6197-Identity-H"/>
          <w:color w:val="14131B"/>
          <w:sz w:val="21"/>
          <w:szCs w:val="21"/>
        </w:rPr>
        <w:t>otorgar el servicio de alumbrado público, señalando que podrá otorgarlo de</w:t>
      </w:r>
    </w:p>
    <w:p w14:paraId="02981F42" w14:textId="77777777" w:rsidR="005D7CEF" w:rsidRDefault="005D7CEF" w:rsidP="005D7CEF">
      <w:pPr>
        <w:autoSpaceDE w:val="0"/>
        <w:autoSpaceDN w:val="0"/>
        <w:adjustRightInd w:val="0"/>
        <w:jc w:val="both"/>
        <w:rPr>
          <w:rFonts w:ascii="Abadi" w:hAnsi="Abadi" w:cs="*Arial-6197-Identity-H"/>
          <w:color w:val="14131B"/>
          <w:sz w:val="21"/>
          <w:szCs w:val="21"/>
        </w:rPr>
      </w:pPr>
      <w:r w:rsidRPr="00C0364D">
        <w:rPr>
          <w:rFonts w:ascii="Abadi" w:hAnsi="Abadi" w:cs="*Arial-6197-Identity-H"/>
          <w:color w:val="14131B"/>
          <w:sz w:val="21"/>
          <w:szCs w:val="21"/>
        </w:rPr>
        <w:t>manera directa a través de sus propias dependencias, o bien por un medio</w:t>
      </w:r>
      <w:r>
        <w:rPr>
          <w:rFonts w:ascii="Abadi" w:hAnsi="Abadi" w:cs="*Arial-6197-Identity-H"/>
          <w:color w:val="14131B"/>
          <w:sz w:val="21"/>
          <w:szCs w:val="21"/>
        </w:rPr>
        <w:t xml:space="preserve"> </w:t>
      </w:r>
      <w:r w:rsidRPr="00C0364D">
        <w:rPr>
          <w:rFonts w:ascii="Abadi" w:hAnsi="Abadi" w:cs="*Arial-6197-Identity-H"/>
          <w:color w:val="14131B"/>
          <w:sz w:val="21"/>
          <w:szCs w:val="21"/>
        </w:rPr>
        <w:t>indirecto.</w:t>
      </w:r>
    </w:p>
    <w:p w14:paraId="20F3CD1E" w14:textId="77777777" w:rsidR="005D7CEF" w:rsidRPr="00C0364D" w:rsidRDefault="005D7CEF" w:rsidP="005D7CEF">
      <w:pPr>
        <w:autoSpaceDE w:val="0"/>
        <w:autoSpaceDN w:val="0"/>
        <w:adjustRightInd w:val="0"/>
        <w:jc w:val="both"/>
        <w:rPr>
          <w:rFonts w:ascii="Abadi" w:hAnsi="Abadi" w:cs="*Arial-6197-Identity-H"/>
          <w:color w:val="14131B"/>
          <w:sz w:val="21"/>
          <w:szCs w:val="21"/>
        </w:rPr>
      </w:pPr>
    </w:p>
    <w:p w14:paraId="4410BCD6" w14:textId="77777777" w:rsidR="005D7CEF" w:rsidRPr="00C0364D" w:rsidRDefault="005D7CEF" w:rsidP="005D7CEF">
      <w:pPr>
        <w:autoSpaceDE w:val="0"/>
        <w:autoSpaceDN w:val="0"/>
        <w:adjustRightInd w:val="0"/>
        <w:ind w:firstLine="708"/>
        <w:jc w:val="both"/>
        <w:rPr>
          <w:rFonts w:ascii="Abadi" w:hAnsi="Abadi" w:cs="*Arial-6197-Identity-H"/>
          <w:color w:val="14131B"/>
          <w:sz w:val="21"/>
          <w:szCs w:val="21"/>
        </w:rPr>
      </w:pPr>
      <w:r w:rsidRPr="00C0364D">
        <w:rPr>
          <w:rFonts w:ascii="Abadi" w:hAnsi="Abadi" w:cs="*Arial-6197-Identity-H"/>
          <w:color w:val="14131B"/>
          <w:sz w:val="21"/>
          <w:szCs w:val="21"/>
        </w:rPr>
        <w:t>De conformidad con el artículo 169 de la referida Ley Orgánica Municipal, la</w:t>
      </w:r>
      <w:r>
        <w:rPr>
          <w:rFonts w:ascii="Abadi" w:hAnsi="Abadi" w:cs="*Arial-6197-Identity-H"/>
          <w:color w:val="14131B"/>
          <w:sz w:val="21"/>
          <w:szCs w:val="21"/>
        </w:rPr>
        <w:t xml:space="preserve"> </w:t>
      </w:r>
      <w:r w:rsidRPr="00C0364D">
        <w:rPr>
          <w:rFonts w:ascii="Abadi" w:hAnsi="Abadi" w:cs="*Arial-6197-Identity-H"/>
          <w:color w:val="14131B"/>
          <w:sz w:val="21"/>
          <w:szCs w:val="21"/>
        </w:rPr>
        <w:t>prestación de los servicios públicos municipales será supervisada por la comisión</w:t>
      </w:r>
      <w:r>
        <w:rPr>
          <w:rFonts w:ascii="Abadi" w:hAnsi="Abadi" w:cs="*Arial-6197-Identity-H"/>
          <w:color w:val="14131B"/>
          <w:sz w:val="21"/>
          <w:szCs w:val="21"/>
        </w:rPr>
        <w:t xml:space="preserve"> </w:t>
      </w:r>
      <w:r w:rsidRPr="00C0364D">
        <w:rPr>
          <w:rFonts w:ascii="Abadi" w:hAnsi="Abadi" w:cs="*Arial-6197-Identity-H"/>
          <w:color w:val="14131B"/>
          <w:sz w:val="21"/>
          <w:szCs w:val="21"/>
        </w:rPr>
        <w:t>correspondiente del Ayuntamiento y auditada por la Contraloría Municipal.</w:t>
      </w:r>
      <w:r>
        <w:rPr>
          <w:rFonts w:ascii="Abadi" w:hAnsi="Abadi" w:cs="*Arial-6197-Identity-H"/>
          <w:color w:val="14131B"/>
          <w:sz w:val="21"/>
          <w:szCs w:val="21"/>
        </w:rPr>
        <w:t xml:space="preserve"> </w:t>
      </w:r>
      <w:r w:rsidRPr="00C0364D">
        <w:rPr>
          <w:rFonts w:ascii="Abadi" w:hAnsi="Abadi" w:cs="*Arial-6197-Identity-H"/>
          <w:color w:val="14131B"/>
          <w:sz w:val="21"/>
          <w:szCs w:val="21"/>
        </w:rPr>
        <w:t>Es así que, se desprende la intervención estratégica del Ayuntamiento y de</w:t>
      </w:r>
      <w:r>
        <w:rPr>
          <w:rFonts w:ascii="Abadi" w:hAnsi="Abadi" w:cs="*Arial-6197-Identity-H"/>
          <w:color w:val="14131B"/>
          <w:sz w:val="21"/>
          <w:szCs w:val="21"/>
        </w:rPr>
        <w:t xml:space="preserve"> </w:t>
      </w:r>
      <w:r w:rsidRPr="00C0364D">
        <w:rPr>
          <w:rFonts w:ascii="Abadi" w:hAnsi="Abadi" w:cs="*Arial-6197-Identity-H"/>
          <w:color w:val="14131B"/>
          <w:sz w:val="21"/>
          <w:szCs w:val="21"/>
        </w:rPr>
        <w:t>la Dirección de Servicios Municipales para otorgar la prestación del servicio de</w:t>
      </w:r>
      <w:r>
        <w:rPr>
          <w:rFonts w:ascii="Abadi" w:hAnsi="Abadi" w:cs="*Arial-6197-Identity-H"/>
          <w:color w:val="14131B"/>
          <w:sz w:val="21"/>
          <w:szCs w:val="21"/>
        </w:rPr>
        <w:t xml:space="preserve"> </w:t>
      </w:r>
      <w:r w:rsidRPr="00C0364D">
        <w:rPr>
          <w:rFonts w:ascii="Abadi" w:hAnsi="Abadi" w:cs="*Arial-6197-Identity-H"/>
          <w:color w:val="14131B"/>
          <w:sz w:val="21"/>
          <w:szCs w:val="21"/>
        </w:rPr>
        <w:t>alumbrado público a los habitantes del Municipio, a través del conocimiento de la</w:t>
      </w:r>
      <w:r>
        <w:rPr>
          <w:rFonts w:ascii="Abadi" w:hAnsi="Abadi" w:cs="*Arial-6197-Identity-H"/>
          <w:color w:val="14131B"/>
          <w:sz w:val="21"/>
          <w:szCs w:val="21"/>
        </w:rPr>
        <w:t xml:space="preserve"> </w:t>
      </w:r>
      <w:r w:rsidRPr="00C0364D">
        <w:rPr>
          <w:rFonts w:ascii="Abadi" w:hAnsi="Abadi" w:cs="*Arial-6197-Identity-H"/>
          <w:color w:val="14131B"/>
          <w:sz w:val="21"/>
          <w:szCs w:val="21"/>
        </w:rPr>
        <w:t>situación de oferta del servicio, de su presupuestación, de un marco normativo de</w:t>
      </w:r>
      <w:r>
        <w:rPr>
          <w:rFonts w:ascii="Abadi" w:hAnsi="Abadi" w:cs="*Arial-6197-Identity-H"/>
          <w:color w:val="14131B"/>
          <w:sz w:val="21"/>
          <w:szCs w:val="21"/>
        </w:rPr>
        <w:t xml:space="preserve"> </w:t>
      </w:r>
      <w:r w:rsidRPr="00C0364D">
        <w:rPr>
          <w:rFonts w:ascii="Abadi" w:hAnsi="Abadi" w:cs="*Arial-6197-Identity-H"/>
          <w:color w:val="14131B"/>
          <w:sz w:val="21"/>
          <w:szCs w:val="21"/>
        </w:rPr>
        <w:t>operación, de una debida planeación a corto plazo, de la participación ciudadana</w:t>
      </w:r>
      <w:r>
        <w:rPr>
          <w:rFonts w:ascii="Abadi" w:hAnsi="Abadi" w:cs="*Arial-6197-Identity-H"/>
          <w:color w:val="14131B"/>
          <w:sz w:val="21"/>
          <w:szCs w:val="21"/>
        </w:rPr>
        <w:t xml:space="preserve"> </w:t>
      </w:r>
      <w:r w:rsidRPr="00C0364D">
        <w:rPr>
          <w:rFonts w:ascii="Abadi" w:hAnsi="Abadi" w:cs="*Arial-6197-Identity-H"/>
          <w:color w:val="14131B"/>
          <w:sz w:val="21"/>
          <w:szCs w:val="21"/>
        </w:rPr>
        <w:t>en el reporte de fallas del servicio, así como de los mecanismos de monitoreo y</w:t>
      </w:r>
      <w:r>
        <w:rPr>
          <w:rFonts w:ascii="Abadi" w:hAnsi="Abadi" w:cs="*Arial-6197-Identity-H"/>
          <w:color w:val="14131B"/>
          <w:sz w:val="21"/>
          <w:szCs w:val="21"/>
        </w:rPr>
        <w:t xml:space="preserve"> </w:t>
      </w:r>
      <w:r w:rsidRPr="00C0364D">
        <w:rPr>
          <w:rFonts w:ascii="Abadi" w:hAnsi="Abadi" w:cs="*Arial-6197-Identity-H"/>
          <w:color w:val="14131B"/>
          <w:sz w:val="21"/>
          <w:szCs w:val="21"/>
        </w:rPr>
        <w:t>evaluación para el logro de resultados. Lo anterior, con el objetivo de otorgar un</w:t>
      </w:r>
      <w:r>
        <w:rPr>
          <w:rFonts w:ascii="Abadi" w:hAnsi="Abadi" w:cs="*Arial-6197-Identity-H"/>
          <w:color w:val="14131B"/>
          <w:sz w:val="21"/>
          <w:szCs w:val="21"/>
        </w:rPr>
        <w:t xml:space="preserve"> </w:t>
      </w:r>
      <w:r w:rsidRPr="00C0364D">
        <w:rPr>
          <w:rFonts w:ascii="Abadi" w:hAnsi="Abadi" w:cs="*Arial-6197-Identity-H"/>
          <w:color w:val="14131B"/>
          <w:sz w:val="21"/>
          <w:szCs w:val="21"/>
        </w:rPr>
        <w:t>servicio público eficaz en el mantenimiento, cobertura y satisfacción del servicio.</w:t>
      </w:r>
    </w:p>
    <w:p w14:paraId="51292C6B" w14:textId="77777777" w:rsidR="005D7CEF" w:rsidRPr="00C0364D" w:rsidRDefault="005D7CEF" w:rsidP="005D7CEF">
      <w:pPr>
        <w:jc w:val="both"/>
        <w:rPr>
          <w:rFonts w:ascii="Abadi" w:hAnsi="Abadi" w:cs="*Arial-6197-Identity-H"/>
          <w:color w:val="14131B"/>
          <w:sz w:val="21"/>
          <w:szCs w:val="21"/>
        </w:rPr>
      </w:pPr>
    </w:p>
    <w:p w14:paraId="3399D412" w14:textId="77777777" w:rsidR="005D7CEF" w:rsidRPr="00C0364D" w:rsidRDefault="005D7CEF" w:rsidP="005D7CEF">
      <w:pPr>
        <w:autoSpaceDE w:val="0"/>
        <w:autoSpaceDN w:val="0"/>
        <w:adjustRightInd w:val="0"/>
        <w:ind w:firstLine="708"/>
        <w:jc w:val="both"/>
        <w:rPr>
          <w:rFonts w:ascii="Abadi" w:hAnsi="Abadi" w:cs="*Arial-Italic-6346-Identity-H"/>
          <w:i/>
          <w:iCs/>
          <w:color w:val="14131B"/>
          <w:sz w:val="21"/>
          <w:szCs w:val="21"/>
        </w:rPr>
      </w:pPr>
      <w:r w:rsidRPr="00C0364D">
        <w:rPr>
          <w:rFonts w:ascii="Abadi" w:hAnsi="Abadi" w:cs="*Arial-6344-Identity-H"/>
          <w:color w:val="14131B"/>
          <w:sz w:val="21"/>
          <w:szCs w:val="21"/>
        </w:rPr>
        <w:t>En congruencia con lo antes señalado, en el Programa de Gobierno</w:t>
      </w:r>
      <w:r>
        <w:rPr>
          <w:rFonts w:ascii="Abadi" w:hAnsi="Abadi" w:cs="*Arial-6344-Identity-H"/>
          <w:color w:val="14131B"/>
          <w:sz w:val="21"/>
          <w:szCs w:val="21"/>
        </w:rPr>
        <w:t xml:space="preserve"> </w:t>
      </w:r>
      <w:r w:rsidRPr="00C0364D">
        <w:rPr>
          <w:rFonts w:ascii="Abadi" w:hAnsi="Abadi" w:cs="*Arial-6344-Identity-H"/>
          <w:color w:val="14131B"/>
          <w:sz w:val="21"/>
          <w:szCs w:val="21"/>
        </w:rPr>
        <w:t xml:space="preserve">Municipal 2018-2021 de Acámbaro, Gto., se incluyó en el eje </w:t>
      </w:r>
      <w:r w:rsidRPr="00C0364D">
        <w:rPr>
          <w:rFonts w:ascii="Abadi" w:hAnsi="Abadi" w:cs="*Arial-Italic-6346-Identity-H"/>
          <w:i/>
          <w:iCs/>
          <w:color w:val="14131B"/>
          <w:sz w:val="21"/>
          <w:szCs w:val="21"/>
        </w:rPr>
        <w:t>Acámbaro Ordenado</w:t>
      </w:r>
      <w:r>
        <w:rPr>
          <w:rFonts w:ascii="Abadi" w:hAnsi="Abadi" w:cs="*Arial-Italic-6346-Identity-H"/>
          <w:i/>
          <w:iCs/>
          <w:color w:val="14131B"/>
          <w:sz w:val="21"/>
          <w:szCs w:val="21"/>
        </w:rPr>
        <w:t xml:space="preserve"> </w:t>
      </w:r>
      <w:r w:rsidRPr="00C0364D">
        <w:rPr>
          <w:rFonts w:ascii="Abadi" w:hAnsi="Abadi" w:cs="*Arial-Italic-6346-Identity-H"/>
          <w:i/>
          <w:iCs/>
          <w:color w:val="14131B"/>
          <w:sz w:val="21"/>
          <w:szCs w:val="21"/>
        </w:rPr>
        <w:t xml:space="preserve">y Sustentable, </w:t>
      </w:r>
      <w:r w:rsidRPr="00C0364D">
        <w:rPr>
          <w:rFonts w:ascii="Abadi" w:hAnsi="Abadi" w:cs="*Arial-6344-Identity-H"/>
          <w:color w:val="14131B"/>
          <w:sz w:val="21"/>
          <w:szCs w:val="21"/>
        </w:rPr>
        <w:t xml:space="preserve">el objetivo general </w:t>
      </w:r>
      <w:r w:rsidRPr="00C0364D">
        <w:rPr>
          <w:rFonts w:ascii="Abadi" w:hAnsi="Abadi" w:cs="*Arial-Italic-6346-Identity-H"/>
          <w:i/>
          <w:iCs/>
          <w:color w:val="14131B"/>
          <w:sz w:val="21"/>
          <w:szCs w:val="21"/>
        </w:rPr>
        <w:t>Proporcionar servicios e infraestructura</w:t>
      </w:r>
      <w:r>
        <w:rPr>
          <w:rFonts w:ascii="Abadi" w:hAnsi="Abadi" w:cs="*Arial-Italic-6346-Identity-H"/>
          <w:i/>
          <w:iCs/>
          <w:color w:val="14131B"/>
          <w:sz w:val="21"/>
          <w:szCs w:val="21"/>
        </w:rPr>
        <w:t xml:space="preserve"> </w:t>
      </w:r>
      <w:r w:rsidRPr="00C0364D">
        <w:rPr>
          <w:rFonts w:ascii="Abadi" w:hAnsi="Abadi" w:cs="*Arial-Italic-6346-Identity-H"/>
          <w:i/>
          <w:iCs/>
          <w:color w:val="14131B"/>
          <w:sz w:val="21"/>
          <w:szCs w:val="21"/>
        </w:rPr>
        <w:t>municipal de forma eficiente, oportuna y con responsabilidad social para satisfacer</w:t>
      </w:r>
      <w:r>
        <w:rPr>
          <w:rFonts w:ascii="Abadi" w:hAnsi="Abadi" w:cs="*Arial-Italic-6346-Identity-H"/>
          <w:i/>
          <w:iCs/>
          <w:color w:val="14131B"/>
          <w:sz w:val="21"/>
          <w:szCs w:val="21"/>
        </w:rPr>
        <w:t xml:space="preserve"> </w:t>
      </w:r>
      <w:r w:rsidRPr="00C0364D">
        <w:rPr>
          <w:rFonts w:ascii="Abadi" w:hAnsi="Abadi" w:cs="*Arial-Italic-6346-Identity-H"/>
          <w:i/>
          <w:iCs/>
          <w:color w:val="14131B"/>
          <w:sz w:val="21"/>
          <w:szCs w:val="21"/>
        </w:rPr>
        <w:t xml:space="preserve">las necesidades de los Acambarenses, </w:t>
      </w:r>
      <w:r w:rsidRPr="00C0364D">
        <w:rPr>
          <w:rFonts w:ascii="Abadi" w:hAnsi="Abadi" w:cs="*Arial-6344-Identity-H"/>
          <w:color w:val="14131B"/>
          <w:sz w:val="21"/>
          <w:szCs w:val="21"/>
        </w:rPr>
        <w:t>identificándose el objetivo específico</w:t>
      </w:r>
      <w:r>
        <w:rPr>
          <w:rFonts w:ascii="Abadi" w:hAnsi="Abadi" w:cs="*Arial-6344-Identity-H"/>
          <w:color w:val="14131B"/>
          <w:sz w:val="21"/>
          <w:szCs w:val="21"/>
        </w:rPr>
        <w:t xml:space="preserve"> </w:t>
      </w:r>
      <w:r w:rsidRPr="00C0364D">
        <w:rPr>
          <w:rFonts w:ascii="Abadi" w:hAnsi="Abadi" w:cs="*Arial-Italic-6346-Identity-H"/>
          <w:i/>
          <w:iCs/>
          <w:color w:val="14131B"/>
          <w:sz w:val="21"/>
          <w:szCs w:val="21"/>
        </w:rPr>
        <w:t xml:space="preserve">Prestar los servicios de mantenimiento y conservación </w:t>
      </w:r>
      <w:r w:rsidRPr="00C0364D">
        <w:rPr>
          <w:rFonts w:ascii="Abadi" w:hAnsi="Abadi" w:cs="*Arial-6344-Identity-H"/>
          <w:color w:val="14131B"/>
          <w:sz w:val="21"/>
          <w:szCs w:val="21"/>
        </w:rPr>
        <w:t xml:space="preserve">a </w:t>
      </w:r>
      <w:r w:rsidRPr="00C0364D">
        <w:rPr>
          <w:rFonts w:ascii="Abadi" w:hAnsi="Abadi" w:cs="*Arial-Italic-6346-Identity-H"/>
          <w:i/>
          <w:iCs/>
          <w:color w:val="14131B"/>
          <w:sz w:val="21"/>
          <w:szCs w:val="21"/>
        </w:rPr>
        <w:t>la infraestructura urbana</w:t>
      </w:r>
    </w:p>
    <w:p w14:paraId="2F699028" w14:textId="77777777" w:rsidR="005D7CEF" w:rsidRDefault="005D7CEF" w:rsidP="005D7CEF">
      <w:pPr>
        <w:autoSpaceDE w:val="0"/>
        <w:autoSpaceDN w:val="0"/>
        <w:adjustRightInd w:val="0"/>
        <w:jc w:val="both"/>
        <w:rPr>
          <w:rFonts w:ascii="Abadi" w:hAnsi="Abadi" w:cs="*Arial-Italic-6346-Identity-H"/>
          <w:i/>
          <w:iCs/>
          <w:color w:val="14131B"/>
          <w:sz w:val="21"/>
          <w:szCs w:val="21"/>
        </w:rPr>
      </w:pPr>
      <w:r w:rsidRPr="00C0364D">
        <w:rPr>
          <w:rFonts w:ascii="Abadi" w:hAnsi="Abadi" w:cs="*Arial-Italic-6346-Identity-H"/>
          <w:i/>
          <w:iCs/>
          <w:color w:val="14131B"/>
          <w:sz w:val="21"/>
          <w:szCs w:val="21"/>
        </w:rPr>
        <w:t xml:space="preserve">del municipio, </w:t>
      </w:r>
      <w:r w:rsidRPr="00C0364D">
        <w:rPr>
          <w:rFonts w:ascii="Abadi" w:hAnsi="Abadi" w:cs="*Arial-6344-Identity-H"/>
          <w:color w:val="14131B"/>
          <w:sz w:val="21"/>
          <w:szCs w:val="21"/>
        </w:rPr>
        <w:t xml:space="preserve">así como la estrategia asociada a la materia auditada </w:t>
      </w:r>
      <w:r w:rsidRPr="00C0364D">
        <w:rPr>
          <w:rFonts w:ascii="Abadi" w:hAnsi="Abadi" w:cs="*Arial-Italic-6346-Identity-H"/>
          <w:i/>
          <w:iCs/>
          <w:color w:val="14131B"/>
          <w:sz w:val="21"/>
          <w:szCs w:val="21"/>
        </w:rPr>
        <w:t>mantener una</w:t>
      </w:r>
      <w:r>
        <w:rPr>
          <w:rFonts w:ascii="Abadi" w:hAnsi="Abadi" w:cs="*Arial-Italic-6346-Identity-H"/>
          <w:i/>
          <w:iCs/>
          <w:color w:val="14131B"/>
          <w:sz w:val="21"/>
          <w:szCs w:val="21"/>
        </w:rPr>
        <w:t xml:space="preserve"> </w:t>
      </w:r>
      <w:r w:rsidRPr="00C0364D">
        <w:rPr>
          <w:rFonts w:ascii="Abadi" w:hAnsi="Abadi" w:cs="*Arial-Italic-6346-Identity-H"/>
          <w:i/>
          <w:iCs/>
          <w:color w:val="14131B"/>
          <w:sz w:val="21"/>
          <w:szCs w:val="21"/>
        </w:rPr>
        <w:t xml:space="preserve">red de alumbrado público moderna y funcional, </w:t>
      </w:r>
      <w:r w:rsidRPr="00C0364D">
        <w:rPr>
          <w:rFonts w:ascii="Abadi" w:hAnsi="Abadi" w:cs="*Arial-6344-Identity-H"/>
          <w:color w:val="14131B"/>
          <w:sz w:val="21"/>
          <w:szCs w:val="21"/>
        </w:rPr>
        <w:t xml:space="preserve">a </w:t>
      </w:r>
      <w:r w:rsidRPr="00C0364D">
        <w:rPr>
          <w:rFonts w:ascii="Abadi" w:hAnsi="Abadi" w:cs="*Arial-Italic-6346-Identity-H"/>
          <w:i/>
          <w:iCs/>
          <w:color w:val="14131B"/>
          <w:sz w:val="21"/>
          <w:szCs w:val="21"/>
        </w:rPr>
        <w:t>través de la sustitución de los</w:t>
      </w:r>
      <w:r>
        <w:rPr>
          <w:rFonts w:ascii="Abadi" w:hAnsi="Abadi" w:cs="*Arial-Italic-6346-Identity-H"/>
          <w:i/>
          <w:iCs/>
          <w:color w:val="14131B"/>
          <w:sz w:val="21"/>
          <w:szCs w:val="21"/>
        </w:rPr>
        <w:t xml:space="preserve"> </w:t>
      </w:r>
      <w:r w:rsidRPr="00C0364D">
        <w:rPr>
          <w:rFonts w:ascii="Abadi" w:hAnsi="Abadi" w:cs="*Arial-Italic-6346-Identity-H"/>
          <w:i/>
          <w:iCs/>
          <w:color w:val="14131B"/>
          <w:sz w:val="21"/>
          <w:szCs w:val="21"/>
        </w:rPr>
        <w:t>sistemas ineficientes de alumbrado público.</w:t>
      </w:r>
      <w:r>
        <w:rPr>
          <w:rFonts w:ascii="Abadi" w:hAnsi="Abadi" w:cs="*Arial-Italic-6346-Identity-H"/>
          <w:i/>
          <w:iCs/>
          <w:color w:val="14131B"/>
          <w:sz w:val="21"/>
          <w:szCs w:val="21"/>
        </w:rPr>
        <w:t xml:space="preserve"> </w:t>
      </w:r>
    </w:p>
    <w:p w14:paraId="7FCC0B4B" w14:textId="77777777" w:rsidR="005D7CEF" w:rsidRDefault="005D7CEF" w:rsidP="005D7CEF">
      <w:pPr>
        <w:autoSpaceDE w:val="0"/>
        <w:autoSpaceDN w:val="0"/>
        <w:adjustRightInd w:val="0"/>
        <w:jc w:val="both"/>
        <w:rPr>
          <w:rFonts w:ascii="Abadi" w:hAnsi="Abadi" w:cs="*Arial-Italic-6346-Identity-H"/>
          <w:i/>
          <w:iCs/>
          <w:color w:val="14131B"/>
          <w:sz w:val="21"/>
          <w:szCs w:val="21"/>
        </w:rPr>
      </w:pPr>
    </w:p>
    <w:p w14:paraId="51DA485C" w14:textId="77777777" w:rsidR="005D7CEF" w:rsidRDefault="005D7CEF" w:rsidP="005D7CEF">
      <w:pPr>
        <w:autoSpaceDE w:val="0"/>
        <w:autoSpaceDN w:val="0"/>
        <w:adjustRightInd w:val="0"/>
        <w:ind w:firstLine="708"/>
        <w:jc w:val="both"/>
        <w:rPr>
          <w:rFonts w:ascii="Abadi" w:hAnsi="Abadi" w:cs="*Arial-6344-Identity-H"/>
          <w:color w:val="14131B"/>
          <w:sz w:val="21"/>
          <w:szCs w:val="21"/>
        </w:rPr>
      </w:pPr>
      <w:r w:rsidRPr="00C0364D">
        <w:rPr>
          <w:rFonts w:ascii="Abadi" w:hAnsi="Abadi" w:cs="*Arial-6344-Identity-H"/>
          <w:color w:val="14131B"/>
          <w:sz w:val="21"/>
          <w:szCs w:val="21"/>
        </w:rPr>
        <w:t>En el apartado correspondiente a la unidad responsable de la materia por</w:t>
      </w:r>
      <w:r>
        <w:rPr>
          <w:rFonts w:ascii="Abadi" w:hAnsi="Abadi" w:cs="*Arial-6344-Identity-H"/>
          <w:color w:val="14131B"/>
          <w:sz w:val="21"/>
          <w:szCs w:val="21"/>
        </w:rPr>
        <w:t xml:space="preserve"> </w:t>
      </w:r>
      <w:r w:rsidRPr="00C0364D">
        <w:rPr>
          <w:rFonts w:ascii="Abadi" w:hAnsi="Abadi" w:cs="*Arial-6344-Identity-H"/>
          <w:color w:val="14131B"/>
          <w:sz w:val="21"/>
          <w:szCs w:val="21"/>
        </w:rPr>
        <w:t>auditar se refiere que el artículo 124 de la Ley Orgánica Municipal para el Estado</w:t>
      </w:r>
      <w:r>
        <w:rPr>
          <w:rFonts w:ascii="Abadi" w:hAnsi="Abadi" w:cs="*Arial-6344-Identity-H"/>
          <w:color w:val="14131B"/>
          <w:sz w:val="21"/>
          <w:szCs w:val="21"/>
        </w:rPr>
        <w:t xml:space="preserve"> </w:t>
      </w:r>
      <w:r w:rsidRPr="00C0364D">
        <w:rPr>
          <w:rFonts w:ascii="Abadi" w:hAnsi="Abadi" w:cs="*Arial-6344-Identity-H"/>
          <w:color w:val="14131B"/>
          <w:sz w:val="21"/>
          <w:szCs w:val="21"/>
        </w:rPr>
        <w:t>de Guanajuato prevé que la dependencia de Servicios Municipales será la</w:t>
      </w:r>
      <w:r>
        <w:rPr>
          <w:rFonts w:ascii="Abadi" w:hAnsi="Abadi" w:cs="*Arial-6344-Identity-H"/>
          <w:color w:val="14131B"/>
          <w:sz w:val="21"/>
          <w:szCs w:val="21"/>
        </w:rPr>
        <w:t xml:space="preserve"> </w:t>
      </w:r>
      <w:r w:rsidRPr="00C0364D">
        <w:rPr>
          <w:rFonts w:ascii="Abadi" w:hAnsi="Abadi" w:cs="*Arial-6344-Identity-H"/>
          <w:color w:val="14131B"/>
          <w:sz w:val="21"/>
          <w:szCs w:val="21"/>
        </w:rPr>
        <w:t>encargada de llevar a cabo la prestación del servicio de alumbrado público en el</w:t>
      </w:r>
      <w:r>
        <w:rPr>
          <w:rFonts w:ascii="Abadi" w:hAnsi="Abadi" w:cs="*Arial-6344-Identity-H"/>
          <w:color w:val="14131B"/>
          <w:sz w:val="21"/>
          <w:szCs w:val="21"/>
        </w:rPr>
        <w:t xml:space="preserve"> </w:t>
      </w:r>
      <w:r w:rsidRPr="00C0364D">
        <w:rPr>
          <w:rFonts w:ascii="Abadi" w:hAnsi="Abadi" w:cs="*Arial-6344-Identity-H"/>
          <w:color w:val="14131B"/>
          <w:sz w:val="21"/>
          <w:szCs w:val="21"/>
        </w:rPr>
        <w:t>Municipio. Asimismo, los artículos 83 y 83-3 de la citada ley establecen que, el</w:t>
      </w:r>
      <w:r>
        <w:rPr>
          <w:rFonts w:ascii="Abadi" w:hAnsi="Abadi" w:cs="*Arial-6344-Identity-H"/>
          <w:color w:val="14131B"/>
          <w:sz w:val="21"/>
          <w:szCs w:val="21"/>
        </w:rPr>
        <w:t xml:space="preserve"> </w:t>
      </w:r>
      <w:r w:rsidRPr="00C0364D">
        <w:rPr>
          <w:rFonts w:ascii="Abadi" w:hAnsi="Abadi" w:cs="*Arial-6344-Identity-H"/>
          <w:color w:val="14131B"/>
          <w:sz w:val="21"/>
          <w:szCs w:val="21"/>
        </w:rPr>
        <w:t>Ayuntamiento contará con una Comisión de Obra y Servicios Públicos, la que</w:t>
      </w:r>
      <w:r>
        <w:rPr>
          <w:rFonts w:ascii="Abadi" w:hAnsi="Abadi" w:cs="*Arial-6344-Identity-H"/>
          <w:color w:val="14131B"/>
          <w:sz w:val="21"/>
          <w:szCs w:val="21"/>
        </w:rPr>
        <w:t xml:space="preserve"> tendrá</w:t>
      </w:r>
      <w:r w:rsidRPr="00C0364D">
        <w:rPr>
          <w:rFonts w:ascii="Abadi" w:hAnsi="Abadi" w:cs="*Arial-6344-Identity-H"/>
          <w:color w:val="14131B"/>
          <w:sz w:val="21"/>
          <w:szCs w:val="21"/>
        </w:rPr>
        <w:t xml:space="preserve"> dentro de sus atribuciones la de promover la prestación puntual, oportuna y</w:t>
      </w:r>
      <w:r>
        <w:rPr>
          <w:rFonts w:ascii="Abadi" w:hAnsi="Abadi" w:cs="*Arial-6344-Identity-H"/>
          <w:color w:val="14131B"/>
          <w:sz w:val="21"/>
          <w:szCs w:val="21"/>
        </w:rPr>
        <w:t xml:space="preserve"> </w:t>
      </w:r>
      <w:r w:rsidRPr="00C0364D">
        <w:rPr>
          <w:rFonts w:ascii="Abadi" w:hAnsi="Abadi" w:cs="*Arial-6344-Identity-H"/>
          <w:color w:val="14131B"/>
          <w:sz w:val="21"/>
          <w:szCs w:val="21"/>
        </w:rPr>
        <w:t>eficiente de los servicios públicos municipales, de conformidad con las</w:t>
      </w:r>
      <w:r>
        <w:rPr>
          <w:rFonts w:ascii="Abadi" w:hAnsi="Abadi" w:cs="*Arial-6344-Identity-H"/>
          <w:color w:val="14131B"/>
          <w:sz w:val="21"/>
          <w:szCs w:val="21"/>
        </w:rPr>
        <w:t xml:space="preserve"> </w:t>
      </w:r>
      <w:r w:rsidRPr="00C0364D">
        <w:rPr>
          <w:rFonts w:ascii="Abadi" w:hAnsi="Abadi" w:cs="*Arial-6344-Identity-H"/>
          <w:color w:val="14131B"/>
          <w:sz w:val="21"/>
          <w:szCs w:val="21"/>
        </w:rPr>
        <w:t>disposiciones aplicables.</w:t>
      </w:r>
    </w:p>
    <w:p w14:paraId="3E16E509" w14:textId="77777777" w:rsidR="005D7CEF" w:rsidRPr="00C0364D" w:rsidRDefault="005D7CEF" w:rsidP="005D7CEF">
      <w:pPr>
        <w:autoSpaceDE w:val="0"/>
        <w:autoSpaceDN w:val="0"/>
        <w:adjustRightInd w:val="0"/>
        <w:jc w:val="both"/>
        <w:rPr>
          <w:rFonts w:ascii="Abadi" w:hAnsi="Abadi" w:cs="*Arial-6344-Identity-H"/>
          <w:color w:val="14131B"/>
          <w:sz w:val="21"/>
          <w:szCs w:val="21"/>
        </w:rPr>
      </w:pPr>
    </w:p>
    <w:p w14:paraId="0F5D6E87" w14:textId="77777777" w:rsidR="005D7CEF" w:rsidRPr="00C0364D" w:rsidRDefault="005D7CEF" w:rsidP="005D7CEF">
      <w:pPr>
        <w:autoSpaceDE w:val="0"/>
        <w:autoSpaceDN w:val="0"/>
        <w:adjustRightInd w:val="0"/>
        <w:ind w:firstLine="708"/>
        <w:jc w:val="both"/>
        <w:rPr>
          <w:rFonts w:ascii="Abadi" w:hAnsi="Abadi" w:cs="*Arial-6344-Identity-H"/>
          <w:color w:val="13131B"/>
          <w:sz w:val="21"/>
          <w:szCs w:val="21"/>
        </w:rPr>
      </w:pPr>
      <w:r w:rsidRPr="00C0364D">
        <w:rPr>
          <w:rFonts w:ascii="Abadi" w:hAnsi="Abadi" w:cs="*Arial-6344-Identity-H"/>
          <w:color w:val="13131B"/>
          <w:sz w:val="21"/>
          <w:szCs w:val="21"/>
        </w:rPr>
        <w:t>Es así que, para el ejerc</w:t>
      </w:r>
      <w:r>
        <w:rPr>
          <w:rFonts w:ascii="Abadi" w:hAnsi="Abadi" w:cs="*Arial-6344-Identity-H"/>
          <w:color w:val="13131B"/>
          <w:sz w:val="21"/>
          <w:szCs w:val="21"/>
        </w:rPr>
        <w:t>icio</w:t>
      </w:r>
      <w:r w:rsidRPr="00C0364D">
        <w:rPr>
          <w:rFonts w:ascii="Abadi" w:hAnsi="Abadi" w:cs="*Arial-6344-Identity-H"/>
          <w:color w:val="13131B"/>
          <w:sz w:val="21"/>
          <w:szCs w:val="21"/>
        </w:rPr>
        <w:t xml:space="preserve"> 2020, la unidad responsable de otorgar el</w:t>
      </w:r>
      <w:r>
        <w:rPr>
          <w:rFonts w:ascii="Abadi" w:hAnsi="Abadi" w:cs="*Arial-6344-Identity-H"/>
          <w:color w:val="13131B"/>
          <w:sz w:val="21"/>
          <w:szCs w:val="21"/>
        </w:rPr>
        <w:t xml:space="preserve"> </w:t>
      </w:r>
      <w:r w:rsidRPr="00C0364D">
        <w:rPr>
          <w:rFonts w:ascii="Abadi" w:hAnsi="Abadi" w:cs="*Arial-6344-Identity-H"/>
          <w:color w:val="13131B"/>
          <w:sz w:val="21"/>
          <w:szCs w:val="21"/>
        </w:rPr>
        <w:t>servicio de alumbrado público en el municipio de Acámbaro, Gto., fue la Dirección</w:t>
      </w:r>
      <w:r>
        <w:rPr>
          <w:rFonts w:ascii="Abadi" w:hAnsi="Abadi" w:cs="*Arial-6344-Identity-H"/>
          <w:color w:val="13131B"/>
          <w:sz w:val="21"/>
          <w:szCs w:val="21"/>
        </w:rPr>
        <w:t xml:space="preserve"> </w:t>
      </w:r>
      <w:r w:rsidRPr="00C0364D">
        <w:rPr>
          <w:rFonts w:ascii="Abadi" w:hAnsi="Abadi" w:cs="*Arial-6344-Identity-H"/>
          <w:color w:val="13131B"/>
          <w:sz w:val="21"/>
          <w:szCs w:val="21"/>
        </w:rPr>
        <w:t>General de Servicios Públicos Municipales mediante la Jefatura de Alumbrado</w:t>
      </w:r>
      <w:r>
        <w:rPr>
          <w:rFonts w:ascii="Abadi" w:hAnsi="Abadi" w:cs="*Arial-6344-Identity-H"/>
          <w:color w:val="13131B"/>
          <w:sz w:val="21"/>
          <w:szCs w:val="21"/>
        </w:rPr>
        <w:t xml:space="preserve"> </w:t>
      </w:r>
      <w:r w:rsidRPr="00C0364D">
        <w:rPr>
          <w:rFonts w:ascii="Abadi" w:hAnsi="Abadi" w:cs="*Arial-6344-Identity-H"/>
          <w:color w:val="13131B"/>
          <w:sz w:val="21"/>
          <w:szCs w:val="21"/>
        </w:rPr>
        <w:t>Público. Estableciendo además que, de conformidad con lo establecido en el</w:t>
      </w:r>
      <w:r>
        <w:rPr>
          <w:rFonts w:ascii="Abadi" w:hAnsi="Abadi" w:cs="*Arial-6344-Identity-H"/>
          <w:color w:val="13131B"/>
          <w:sz w:val="21"/>
          <w:szCs w:val="21"/>
        </w:rPr>
        <w:t xml:space="preserve"> </w:t>
      </w:r>
      <w:r w:rsidRPr="00C0364D">
        <w:rPr>
          <w:rFonts w:ascii="Abadi" w:hAnsi="Abadi" w:cs="*Arial-6344-Identity-H"/>
          <w:color w:val="13131B"/>
          <w:sz w:val="21"/>
          <w:szCs w:val="21"/>
        </w:rPr>
        <w:t>Capítulo 11 del Título Séptimo de la Ley Orgánica Municipal para el Estado de</w:t>
      </w:r>
      <w:r>
        <w:rPr>
          <w:rFonts w:ascii="Abadi" w:hAnsi="Abadi" w:cs="*Arial-6344-Identity-H"/>
          <w:color w:val="13131B"/>
          <w:sz w:val="21"/>
          <w:szCs w:val="21"/>
        </w:rPr>
        <w:t xml:space="preserve"> </w:t>
      </w:r>
      <w:r w:rsidRPr="00C0364D">
        <w:rPr>
          <w:rFonts w:ascii="Abadi" w:hAnsi="Abadi" w:cs="*Arial-6344-Identity-H"/>
          <w:color w:val="13131B"/>
          <w:sz w:val="21"/>
          <w:szCs w:val="21"/>
        </w:rPr>
        <w:t>Guanajuato, la prestación del servicio de alumbrado público se encuentra</w:t>
      </w:r>
      <w:r>
        <w:rPr>
          <w:rFonts w:ascii="Abadi" w:hAnsi="Abadi" w:cs="*Arial-6344-Identity-H"/>
          <w:color w:val="13131B"/>
          <w:sz w:val="21"/>
          <w:szCs w:val="21"/>
        </w:rPr>
        <w:t xml:space="preserve"> </w:t>
      </w:r>
      <w:r w:rsidRPr="00C0364D">
        <w:rPr>
          <w:rFonts w:ascii="Abadi" w:hAnsi="Abadi" w:cs="*Arial-6344-Identity-H"/>
          <w:color w:val="13131B"/>
          <w:sz w:val="21"/>
          <w:szCs w:val="21"/>
        </w:rPr>
        <w:t>concesionado con base al título-concesión</w:t>
      </w:r>
      <w:r>
        <w:rPr>
          <w:rFonts w:ascii="Abadi" w:hAnsi="Abadi" w:cs="*Arial-6344-Identity-H"/>
          <w:color w:val="13131B"/>
          <w:sz w:val="21"/>
          <w:szCs w:val="21"/>
        </w:rPr>
        <w:t xml:space="preserve"> </w:t>
      </w:r>
      <w:r w:rsidRPr="00C0364D">
        <w:rPr>
          <w:rFonts w:ascii="Abadi" w:hAnsi="Abadi" w:cs="*Arial-6344-Identity-H"/>
          <w:color w:val="13131B"/>
          <w:sz w:val="21"/>
          <w:szCs w:val="21"/>
        </w:rPr>
        <w:t>PM/ACNCONCESION/ALUMBRADO/01/2018.</w:t>
      </w:r>
    </w:p>
    <w:p w14:paraId="0E65E5DF" w14:textId="77777777" w:rsidR="005D7CEF" w:rsidRDefault="005D7CEF" w:rsidP="005D7CEF">
      <w:pPr>
        <w:autoSpaceDE w:val="0"/>
        <w:autoSpaceDN w:val="0"/>
        <w:adjustRightInd w:val="0"/>
        <w:jc w:val="both"/>
        <w:rPr>
          <w:rFonts w:ascii="Abadi" w:hAnsi="Abadi" w:cs="*Arial-Bold-6345-Identity-H"/>
          <w:b/>
          <w:bCs/>
          <w:color w:val="14121F"/>
          <w:sz w:val="21"/>
          <w:szCs w:val="21"/>
        </w:rPr>
      </w:pPr>
    </w:p>
    <w:p w14:paraId="763051A8" w14:textId="77777777" w:rsidR="005D7CEF" w:rsidRDefault="005D7CEF" w:rsidP="005D7CEF">
      <w:pPr>
        <w:autoSpaceDE w:val="0"/>
        <w:autoSpaceDN w:val="0"/>
        <w:adjustRightInd w:val="0"/>
        <w:ind w:firstLine="708"/>
        <w:jc w:val="both"/>
        <w:rPr>
          <w:rFonts w:ascii="Abadi" w:hAnsi="Abadi" w:cs="*Arial-Bold-6345-Identity-H"/>
          <w:b/>
          <w:bCs/>
          <w:color w:val="14121F"/>
          <w:sz w:val="21"/>
          <w:szCs w:val="21"/>
        </w:rPr>
      </w:pPr>
      <w:r w:rsidRPr="00C0364D">
        <w:rPr>
          <w:rFonts w:ascii="Abadi" w:hAnsi="Abadi" w:cs="*Arial-Bold-6345-Identity-H"/>
          <w:b/>
          <w:bCs/>
          <w:color w:val="14121F"/>
          <w:sz w:val="21"/>
          <w:szCs w:val="21"/>
        </w:rPr>
        <w:t>b) Resultado del proceso de fiscalización.</w:t>
      </w:r>
    </w:p>
    <w:p w14:paraId="36B99C55" w14:textId="77777777" w:rsidR="005D7CEF" w:rsidRPr="00C0364D" w:rsidRDefault="005D7CEF" w:rsidP="005D7CEF">
      <w:pPr>
        <w:autoSpaceDE w:val="0"/>
        <w:autoSpaceDN w:val="0"/>
        <w:adjustRightInd w:val="0"/>
        <w:jc w:val="both"/>
        <w:rPr>
          <w:rFonts w:ascii="Abadi" w:hAnsi="Abadi" w:cs="*Arial-Bold-6345-Identity-H"/>
          <w:b/>
          <w:bCs/>
          <w:color w:val="14121F"/>
          <w:sz w:val="21"/>
          <w:szCs w:val="21"/>
        </w:rPr>
      </w:pPr>
    </w:p>
    <w:p w14:paraId="09AF3DED" w14:textId="77777777" w:rsidR="005D7CEF" w:rsidRPr="00C0364D" w:rsidRDefault="005D7CEF" w:rsidP="005D7CEF">
      <w:pPr>
        <w:autoSpaceDE w:val="0"/>
        <w:autoSpaceDN w:val="0"/>
        <w:adjustRightInd w:val="0"/>
        <w:ind w:firstLine="708"/>
        <w:jc w:val="both"/>
        <w:rPr>
          <w:rFonts w:ascii="Abadi" w:hAnsi="Abadi" w:cs="*Arial-6344-Identity-H"/>
          <w:color w:val="14131B"/>
          <w:sz w:val="21"/>
          <w:szCs w:val="21"/>
        </w:rPr>
      </w:pPr>
      <w:r w:rsidRPr="00C0364D">
        <w:rPr>
          <w:rFonts w:ascii="Abadi" w:hAnsi="Abadi" w:cs="*Arial-6344-Identity-H"/>
          <w:color w:val="14131B"/>
          <w:sz w:val="21"/>
          <w:szCs w:val="21"/>
        </w:rPr>
        <w:t>En esta parte se señala que los objetivos específicos se desarrollaron en la</w:t>
      </w:r>
      <w:r>
        <w:rPr>
          <w:rFonts w:ascii="Abadi" w:hAnsi="Abadi" w:cs="*Arial-6344-Identity-H"/>
          <w:color w:val="14131B"/>
          <w:sz w:val="21"/>
          <w:szCs w:val="21"/>
        </w:rPr>
        <w:t xml:space="preserve"> </w:t>
      </w:r>
      <w:r w:rsidRPr="00C0364D">
        <w:rPr>
          <w:rFonts w:ascii="Abadi" w:hAnsi="Abadi" w:cs="*Arial-6344-Identity-H"/>
          <w:color w:val="14131B"/>
          <w:sz w:val="21"/>
          <w:szCs w:val="21"/>
        </w:rPr>
        <w:t>auditoría en siete procedimientos, con los siguientes resultados:</w:t>
      </w:r>
    </w:p>
    <w:p w14:paraId="22E766CB" w14:textId="77777777" w:rsidR="005D7CEF" w:rsidRDefault="005D7CEF" w:rsidP="005D7CEF">
      <w:pPr>
        <w:autoSpaceDE w:val="0"/>
        <w:autoSpaceDN w:val="0"/>
        <w:adjustRightInd w:val="0"/>
        <w:jc w:val="both"/>
        <w:rPr>
          <w:rFonts w:ascii="Abadi" w:hAnsi="Abadi" w:cs="*Arial-Bold-6345-Identity-H"/>
          <w:b/>
          <w:bCs/>
          <w:color w:val="14131F"/>
          <w:sz w:val="21"/>
          <w:szCs w:val="21"/>
        </w:rPr>
      </w:pPr>
    </w:p>
    <w:p w14:paraId="225F4E58" w14:textId="77777777" w:rsidR="005D7CEF" w:rsidRDefault="005D7CEF" w:rsidP="005D7CEF">
      <w:pPr>
        <w:autoSpaceDE w:val="0"/>
        <w:autoSpaceDN w:val="0"/>
        <w:adjustRightInd w:val="0"/>
        <w:ind w:firstLine="708"/>
        <w:jc w:val="both"/>
        <w:rPr>
          <w:rFonts w:ascii="Abadi" w:hAnsi="Abadi" w:cs="*Arial-Bold-6345-Identity-H"/>
          <w:b/>
          <w:bCs/>
          <w:color w:val="14131F"/>
          <w:sz w:val="21"/>
          <w:szCs w:val="21"/>
        </w:rPr>
      </w:pPr>
    </w:p>
    <w:p w14:paraId="3D4D3C38" w14:textId="77777777" w:rsidR="005D7CEF" w:rsidRPr="00C0364D" w:rsidRDefault="005D7CEF" w:rsidP="005D7CEF">
      <w:pPr>
        <w:autoSpaceDE w:val="0"/>
        <w:autoSpaceDN w:val="0"/>
        <w:adjustRightInd w:val="0"/>
        <w:ind w:firstLine="708"/>
        <w:jc w:val="both"/>
        <w:rPr>
          <w:rFonts w:ascii="Abadi" w:hAnsi="Abadi" w:cs="*Arial-Bold-6345-Identity-H"/>
          <w:b/>
          <w:bCs/>
          <w:color w:val="14131F"/>
          <w:sz w:val="21"/>
          <w:szCs w:val="21"/>
        </w:rPr>
      </w:pPr>
      <w:r w:rsidRPr="00C0364D">
        <w:rPr>
          <w:rFonts w:ascii="Abadi" w:hAnsi="Abadi" w:cs="*Arial-Bold-6345-Identity-H"/>
          <w:b/>
          <w:bCs/>
          <w:color w:val="14131F"/>
          <w:sz w:val="21"/>
          <w:szCs w:val="21"/>
        </w:rPr>
        <w:t>Eficiencia:</w:t>
      </w:r>
    </w:p>
    <w:p w14:paraId="570BF74D" w14:textId="77777777" w:rsidR="005D7CEF" w:rsidRPr="00C0364D" w:rsidRDefault="005D7CEF" w:rsidP="005D7CEF">
      <w:pPr>
        <w:autoSpaceDE w:val="0"/>
        <w:autoSpaceDN w:val="0"/>
        <w:adjustRightInd w:val="0"/>
        <w:jc w:val="both"/>
        <w:rPr>
          <w:rFonts w:ascii="Abadi" w:hAnsi="Abadi" w:cs="*Arial-6344-Identity-H"/>
          <w:color w:val="15131E"/>
          <w:sz w:val="21"/>
          <w:szCs w:val="21"/>
        </w:rPr>
      </w:pPr>
      <w:r w:rsidRPr="00C0364D">
        <w:rPr>
          <w:rFonts w:ascii="Abadi" w:hAnsi="Abadi" w:cs="*Arial-Bold-6345-Identity-H"/>
          <w:b/>
          <w:bCs/>
          <w:color w:val="15131E"/>
          <w:sz w:val="21"/>
          <w:szCs w:val="21"/>
        </w:rPr>
        <w:t xml:space="preserve">1. </w:t>
      </w:r>
      <w:r w:rsidRPr="00C0364D">
        <w:rPr>
          <w:rFonts w:ascii="Abadi" w:hAnsi="Abadi" w:cs="*Arial-6344-Identity-H"/>
          <w:color w:val="15131E"/>
          <w:sz w:val="21"/>
          <w:szCs w:val="21"/>
        </w:rPr>
        <w:t>Oferta del servicio de alumbrado público.</w:t>
      </w:r>
    </w:p>
    <w:p w14:paraId="011B1F57" w14:textId="77777777" w:rsidR="005D7CEF" w:rsidRPr="00C0364D" w:rsidRDefault="005D7CEF" w:rsidP="005D7CEF">
      <w:pPr>
        <w:jc w:val="both"/>
        <w:rPr>
          <w:rFonts w:ascii="Abadi" w:hAnsi="Abadi" w:cs="*Arial-6344-Identity-H"/>
          <w:color w:val="14131C"/>
          <w:sz w:val="21"/>
          <w:szCs w:val="21"/>
        </w:rPr>
      </w:pPr>
      <w:r w:rsidRPr="00E604AC">
        <w:rPr>
          <w:rFonts w:ascii="Abadi" w:hAnsi="Abadi" w:cs="*Arial-6344-Identity-H"/>
          <w:b/>
          <w:bCs/>
          <w:color w:val="14131C"/>
          <w:sz w:val="21"/>
          <w:szCs w:val="21"/>
        </w:rPr>
        <w:t>2.</w:t>
      </w:r>
      <w:r w:rsidRPr="00C0364D">
        <w:rPr>
          <w:rFonts w:ascii="Abadi" w:hAnsi="Abadi" w:cs="*Arial-6344-Identity-H"/>
          <w:color w:val="14131C"/>
          <w:sz w:val="21"/>
          <w:szCs w:val="21"/>
        </w:rPr>
        <w:t xml:space="preserve"> Presupuestación del servicio.</w:t>
      </w:r>
    </w:p>
    <w:p w14:paraId="088E0255" w14:textId="77777777" w:rsidR="005D7CEF" w:rsidRPr="00C0364D" w:rsidRDefault="005D7CEF" w:rsidP="005D7CEF">
      <w:pPr>
        <w:jc w:val="both"/>
        <w:rPr>
          <w:rFonts w:ascii="Abadi" w:hAnsi="Abadi" w:cs="*Arial-6344-Identity-H"/>
          <w:color w:val="14131C"/>
          <w:sz w:val="21"/>
          <w:szCs w:val="21"/>
        </w:rPr>
      </w:pPr>
    </w:p>
    <w:p w14:paraId="4AFC336C" w14:textId="77777777" w:rsidR="005D7CEF" w:rsidRPr="00C0364D" w:rsidRDefault="005D7CEF" w:rsidP="005D7CEF">
      <w:pPr>
        <w:autoSpaceDE w:val="0"/>
        <w:autoSpaceDN w:val="0"/>
        <w:adjustRightInd w:val="0"/>
        <w:jc w:val="both"/>
        <w:rPr>
          <w:rFonts w:ascii="Abadi" w:hAnsi="Abadi" w:cs="*Arial-6068-Identity-H"/>
          <w:color w:val="14131B"/>
          <w:sz w:val="21"/>
          <w:szCs w:val="21"/>
        </w:rPr>
      </w:pPr>
      <w:r w:rsidRPr="00C0364D">
        <w:rPr>
          <w:rFonts w:ascii="Abadi" w:hAnsi="Abadi" w:cs="*Arial-Bold-6070-Identity-H"/>
          <w:b/>
          <w:bCs/>
          <w:color w:val="14131B"/>
          <w:sz w:val="21"/>
          <w:szCs w:val="21"/>
        </w:rPr>
        <w:t xml:space="preserve">3. </w:t>
      </w:r>
      <w:r w:rsidRPr="00C0364D">
        <w:rPr>
          <w:rFonts w:ascii="Abadi" w:hAnsi="Abadi" w:cs="*Arial-6068-Identity-H"/>
          <w:color w:val="14131B"/>
          <w:sz w:val="21"/>
          <w:szCs w:val="21"/>
        </w:rPr>
        <w:t>Marco normativo para la prestación del servicio.</w:t>
      </w:r>
    </w:p>
    <w:p w14:paraId="484D9295" w14:textId="77777777" w:rsidR="005D7CEF" w:rsidRPr="00C0364D" w:rsidRDefault="005D7CEF" w:rsidP="005D7CEF">
      <w:pPr>
        <w:autoSpaceDE w:val="0"/>
        <w:autoSpaceDN w:val="0"/>
        <w:adjustRightInd w:val="0"/>
        <w:jc w:val="both"/>
        <w:rPr>
          <w:rFonts w:ascii="Abadi" w:hAnsi="Abadi" w:cs="*Arial-6068-Identity-H"/>
          <w:color w:val="14141C"/>
          <w:sz w:val="21"/>
          <w:szCs w:val="21"/>
        </w:rPr>
      </w:pPr>
      <w:r w:rsidRPr="00C0364D">
        <w:rPr>
          <w:rFonts w:ascii="Abadi" w:hAnsi="Abadi" w:cs="*Arial-Bold-6070-Identity-H"/>
          <w:b/>
          <w:bCs/>
          <w:color w:val="14141C"/>
          <w:sz w:val="21"/>
          <w:szCs w:val="21"/>
        </w:rPr>
        <w:t xml:space="preserve">4. </w:t>
      </w:r>
      <w:r w:rsidRPr="00C0364D">
        <w:rPr>
          <w:rFonts w:ascii="Abadi" w:hAnsi="Abadi" w:cs="*Arial-6068-Identity-H"/>
          <w:color w:val="14141C"/>
          <w:sz w:val="21"/>
          <w:szCs w:val="21"/>
        </w:rPr>
        <w:t>Planeación del servicio de alumbrado público, en el corto plazo.</w:t>
      </w:r>
    </w:p>
    <w:p w14:paraId="62FD4647" w14:textId="77777777" w:rsidR="005D7CEF" w:rsidRPr="00C0364D" w:rsidRDefault="005D7CEF" w:rsidP="005D7CEF">
      <w:pPr>
        <w:autoSpaceDE w:val="0"/>
        <w:autoSpaceDN w:val="0"/>
        <w:adjustRightInd w:val="0"/>
        <w:jc w:val="both"/>
        <w:rPr>
          <w:rFonts w:ascii="Abadi" w:hAnsi="Abadi" w:cs="*Arial-6068-Identity-H"/>
          <w:color w:val="14131C"/>
          <w:sz w:val="21"/>
          <w:szCs w:val="21"/>
        </w:rPr>
      </w:pPr>
      <w:r w:rsidRPr="00E604AC">
        <w:rPr>
          <w:rFonts w:ascii="Abadi" w:hAnsi="Abadi" w:cs="*Arial-6068-Identity-H"/>
          <w:b/>
          <w:bCs/>
          <w:color w:val="14131C"/>
          <w:sz w:val="21"/>
          <w:szCs w:val="21"/>
        </w:rPr>
        <w:t>5.</w:t>
      </w:r>
      <w:r w:rsidRPr="00C0364D">
        <w:rPr>
          <w:rFonts w:ascii="Abadi" w:hAnsi="Abadi" w:cs="*Arial-6068-Identity-H"/>
          <w:color w:val="14131C"/>
          <w:sz w:val="21"/>
          <w:szCs w:val="21"/>
        </w:rPr>
        <w:t xml:space="preserve"> Participación ciudadana en el reporte de fallas del servicio.</w:t>
      </w:r>
    </w:p>
    <w:p w14:paraId="297DFE11" w14:textId="77777777" w:rsidR="005D7CEF" w:rsidRDefault="005D7CEF" w:rsidP="005D7CEF">
      <w:pPr>
        <w:autoSpaceDE w:val="0"/>
        <w:autoSpaceDN w:val="0"/>
        <w:adjustRightInd w:val="0"/>
        <w:jc w:val="both"/>
        <w:rPr>
          <w:rFonts w:ascii="Abadi" w:hAnsi="Abadi" w:cs="*Arial-Bold-6070-Identity-H"/>
          <w:b/>
          <w:bCs/>
          <w:color w:val="14131F"/>
          <w:sz w:val="21"/>
          <w:szCs w:val="21"/>
        </w:rPr>
      </w:pPr>
    </w:p>
    <w:p w14:paraId="618897B5" w14:textId="77777777" w:rsidR="005D7CEF" w:rsidRDefault="005D7CEF" w:rsidP="005D7CEF">
      <w:pPr>
        <w:autoSpaceDE w:val="0"/>
        <w:autoSpaceDN w:val="0"/>
        <w:adjustRightInd w:val="0"/>
        <w:jc w:val="both"/>
        <w:rPr>
          <w:rFonts w:ascii="Abadi" w:hAnsi="Abadi" w:cs="*Arial-Bold-6070-Identity-H"/>
          <w:b/>
          <w:bCs/>
          <w:color w:val="14131F"/>
          <w:sz w:val="21"/>
          <w:szCs w:val="21"/>
        </w:rPr>
      </w:pPr>
    </w:p>
    <w:p w14:paraId="5030EA2C" w14:textId="77777777" w:rsidR="005D7CEF" w:rsidRPr="00C0364D" w:rsidRDefault="005D7CEF" w:rsidP="005D7CEF">
      <w:pPr>
        <w:autoSpaceDE w:val="0"/>
        <w:autoSpaceDN w:val="0"/>
        <w:adjustRightInd w:val="0"/>
        <w:ind w:firstLine="708"/>
        <w:jc w:val="both"/>
        <w:rPr>
          <w:rFonts w:ascii="Abadi" w:hAnsi="Abadi" w:cs="*Arial-Bold-6070-Identity-H"/>
          <w:b/>
          <w:bCs/>
          <w:color w:val="14131F"/>
          <w:sz w:val="21"/>
          <w:szCs w:val="21"/>
        </w:rPr>
      </w:pPr>
      <w:r w:rsidRPr="00C0364D">
        <w:rPr>
          <w:rFonts w:ascii="Abadi" w:hAnsi="Abadi" w:cs="*Arial-Bold-6070-Identity-H"/>
          <w:b/>
          <w:bCs/>
          <w:color w:val="14131F"/>
          <w:sz w:val="21"/>
          <w:szCs w:val="21"/>
        </w:rPr>
        <w:t>Eficacia:</w:t>
      </w:r>
    </w:p>
    <w:p w14:paraId="7F9477A4" w14:textId="77777777" w:rsidR="005D7CEF" w:rsidRPr="00C0364D" w:rsidRDefault="005D7CEF" w:rsidP="005D7CEF">
      <w:pPr>
        <w:autoSpaceDE w:val="0"/>
        <w:autoSpaceDN w:val="0"/>
        <w:adjustRightInd w:val="0"/>
        <w:jc w:val="both"/>
        <w:rPr>
          <w:rFonts w:ascii="Abadi" w:hAnsi="Abadi" w:cs="*Arial-6068-Identity-H"/>
          <w:color w:val="15131B"/>
          <w:sz w:val="21"/>
          <w:szCs w:val="21"/>
        </w:rPr>
      </w:pPr>
      <w:r w:rsidRPr="00C0364D">
        <w:rPr>
          <w:rFonts w:ascii="Abadi" w:hAnsi="Abadi" w:cs="*Arial-6068-Identity-H"/>
          <w:color w:val="15131B"/>
          <w:sz w:val="21"/>
          <w:szCs w:val="21"/>
        </w:rPr>
        <w:t>6. Eficacia del servicio de alumbrado público.</w:t>
      </w:r>
    </w:p>
    <w:p w14:paraId="7DBED0BA" w14:textId="77777777" w:rsidR="005D7CEF" w:rsidRPr="00C0364D" w:rsidRDefault="005D7CEF" w:rsidP="005D7CEF">
      <w:pPr>
        <w:autoSpaceDE w:val="0"/>
        <w:autoSpaceDN w:val="0"/>
        <w:adjustRightInd w:val="0"/>
        <w:jc w:val="both"/>
        <w:rPr>
          <w:rFonts w:ascii="Abadi" w:hAnsi="Abadi" w:cs="*Arial-6068-Identity-H"/>
          <w:color w:val="14141C"/>
          <w:sz w:val="21"/>
          <w:szCs w:val="21"/>
        </w:rPr>
      </w:pPr>
      <w:r w:rsidRPr="00C0364D">
        <w:rPr>
          <w:rFonts w:ascii="Abadi" w:hAnsi="Abadi" w:cs="*Arial-Bold-6070-Identity-H"/>
          <w:b/>
          <w:bCs/>
          <w:color w:val="14141C"/>
          <w:sz w:val="21"/>
          <w:szCs w:val="21"/>
        </w:rPr>
        <w:t xml:space="preserve">7. </w:t>
      </w:r>
      <w:r w:rsidRPr="00C0364D">
        <w:rPr>
          <w:rFonts w:ascii="Abadi" w:hAnsi="Abadi" w:cs="*Arial-6068-Identity-H"/>
          <w:color w:val="14141C"/>
          <w:sz w:val="21"/>
          <w:szCs w:val="21"/>
        </w:rPr>
        <w:t>Monitoreo y evaluación de resultados.</w:t>
      </w:r>
    </w:p>
    <w:p w14:paraId="1C5A5D0B" w14:textId="77777777" w:rsidR="005D7CEF" w:rsidRDefault="005D7CEF" w:rsidP="005D7CEF">
      <w:pPr>
        <w:autoSpaceDE w:val="0"/>
        <w:autoSpaceDN w:val="0"/>
        <w:adjustRightInd w:val="0"/>
        <w:jc w:val="both"/>
        <w:rPr>
          <w:rFonts w:ascii="Abadi" w:hAnsi="Abadi" w:cs="*Arial-6071-Identity-H"/>
          <w:color w:val="171621"/>
          <w:sz w:val="21"/>
          <w:szCs w:val="21"/>
        </w:rPr>
      </w:pPr>
    </w:p>
    <w:p w14:paraId="51B03102" w14:textId="77777777" w:rsidR="005D7CEF" w:rsidRPr="00C0364D" w:rsidRDefault="005D7CEF" w:rsidP="005D7CEF">
      <w:pPr>
        <w:autoSpaceDE w:val="0"/>
        <w:autoSpaceDN w:val="0"/>
        <w:adjustRightInd w:val="0"/>
        <w:jc w:val="both"/>
        <w:rPr>
          <w:rFonts w:ascii="Abadi" w:hAnsi="Abadi" w:cs="*Arial-6071-Identity-H"/>
          <w:color w:val="171621"/>
          <w:sz w:val="21"/>
          <w:szCs w:val="21"/>
        </w:rPr>
      </w:pPr>
    </w:p>
    <w:p w14:paraId="6F54F489" w14:textId="77777777" w:rsidR="005D7CEF" w:rsidRDefault="005D7CEF" w:rsidP="005D7CEF">
      <w:pPr>
        <w:autoSpaceDE w:val="0"/>
        <w:autoSpaceDN w:val="0"/>
        <w:adjustRightInd w:val="0"/>
        <w:ind w:firstLine="708"/>
        <w:jc w:val="both"/>
        <w:rPr>
          <w:rFonts w:ascii="Abadi" w:hAnsi="Abadi" w:cs="*Arial-6068-Identity-H"/>
          <w:color w:val="14131B"/>
          <w:sz w:val="21"/>
          <w:szCs w:val="21"/>
        </w:rPr>
      </w:pPr>
      <w:r w:rsidRPr="00C0364D">
        <w:rPr>
          <w:rFonts w:ascii="Abadi" w:hAnsi="Abadi" w:cs="*Arial-6068-Identity-H"/>
          <w:color w:val="14131B"/>
          <w:sz w:val="21"/>
          <w:szCs w:val="21"/>
        </w:rPr>
        <w:t>Es así, que se presentan los resultados de la auditoría realizada,</w:t>
      </w:r>
      <w:r>
        <w:rPr>
          <w:rFonts w:ascii="Abadi" w:hAnsi="Abadi" w:cs="*Arial-6068-Identity-H"/>
          <w:color w:val="14131B"/>
          <w:sz w:val="21"/>
          <w:szCs w:val="21"/>
        </w:rPr>
        <w:t xml:space="preserve"> </w:t>
      </w:r>
      <w:r w:rsidRPr="00C0364D">
        <w:rPr>
          <w:rFonts w:ascii="Abadi" w:hAnsi="Abadi" w:cs="*Arial-6068-Identity-H"/>
          <w:color w:val="14131B"/>
          <w:sz w:val="21"/>
          <w:szCs w:val="21"/>
        </w:rPr>
        <w:t>estableciendo las recomendaciones formuladas al sujeto fiscalizado, plasmando</w:t>
      </w:r>
      <w:r>
        <w:rPr>
          <w:rFonts w:ascii="Abadi" w:hAnsi="Abadi" w:cs="*Arial-6068-Identity-H"/>
          <w:color w:val="14131B"/>
          <w:sz w:val="21"/>
          <w:szCs w:val="21"/>
        </w:rPr>
        <w:t xml:space="preserve"> </w:t>
      </w:r>
      <w:r w:rsidRPr="00C0364D">
        <w:rPr>
          <w:rFonts w:ascii="Abadi" w:hAnsi="Abadi" w:cs="*Arial-6068-Identity-H"/>
          <w:color w:val="14131B"/>
          <w:sz w:val="21"/>
          <w:szCs w:val="21"/>
        </w:rPr>
        <w:t xml:space="preserve">en cada una las acciones preventivas </w:t>
      </w:r>
      <w:r w:rsidRPr="00C0364D">
        <w:rPr>
          <w:rFonts w:ascii="Abadi" w:hAnsi="Abadi" w:cs="*Microsoft Sans Serif-6072-Iden"/>
          <w:color w:val="14131B"/>
          <w:sz w:val="21"/>
          <w:szCs w:val="21"/>
        </w:rPr>
        <w:t xml:space="preserve">y </w:t>
      </w:r>
      <w:r w:rsidRPr="00C0364D">
        <w:rPr>
          <w:rFonts w:ascii="Abadi" w:hAnsi="Abadi" w:cs="*Arial-6068-Identity-H"/>
          <w:color w:val="14131B"/>
          <w:sz w:val="21"/>
          <w:szCs w:val="21"/>
        </w:rPr>
        <w:t>correctivas que se deben llevar a cabo</w:t>
      </w:r>
      <w:r>
        <w:rPr>
          <w:rFonts w:ascii="Abadi" w:hAnsi="Abadi" w:cs="*Arial-6068-Identity-H"/>
          <w:color w:val="14131B"/>
          <w:sz w:val="21"/>
          <w:szCs w:val="21"/>
        </w:rPr>
        <w:t xml:space="preserve"> </w:t>
      </w:r>
      <w:r w:rsidRPr="00C0364D">
        <w:rPr>
          <w:rFonts w:ascii="Abadi" w:hAnsi="Abadi" w:cs="*Arial-6068-Identity-H"/>
          <w:color w:val="14131B"/>
          <w:sz w:val="21"/>
          <w:szCs w:val="21"/>
        </w:rPr>
        <w:t>para subsanar las situaciones detectadas durante el proceso de auditoría.</w:t>
      </w:r>
    </w:p>
    <w:p w14:paraId="293631AB" w14:textId="77777777" w:rsidR="005D7CEF" w:rsidRPr="00C0364D" w:rsidRDefault="005D7CEF" w:rsidP="005D7CEF">
      <w:pPr>
        <w:autoSpaceDE w:val="0"/>
        <w:autoSpaceDN w:val="0"/>
        <w:adjustRightInd w:val="0"/>
        <w:ind w:firstLine="708"/>
        <w:jc w:val="both"/>
        <w:rPr>
          <w:rFonts w:ascii="Abadi" w:hAnsi="Abadi" w:cs="*Arial-6068-Identity-H"/>
          <w:color w:val="14131B"/>
          <w:sz w:val="21"/>
          <w:szCs w:val="21"/>
        </w:rPr>
      </w:pPr>
    </w:p>
    <w:p w14:paraId="1F1C3761" w14:textId="77777777" w:rsidR="005D7CEF" w:rsidRDefault="005D7CEF" w:rsidP="005D7CEF">
      <w:pPr>
        <w:autoSpaceDE w:val="0"/>
        <w:autoSpaceDN w:val="0"/>
        <w:adjustRightInd w:val="0"/>
        <w:ind w:firstLine="708"/>
        <w:jc w:val="both"/>
        <w:rPr>
          <w:rFonts w:ascii="Abadi" w:hAnsi="Abadi" w:cs="*Arial-6068-Identity-H"/>
          <w:color w:val="14131A"/>
          <w:sz w:val="21"/>
          <w:szCs w:val="21"/>
        </w:rPr>
      </w:pPr>
      <w:r w:rsidRPr="00C0364D">
        <w:rPr>
          <w:rFonts w:ascii="Abadi" w:hAnsi="Abadi" w:cs="*Arial-6068-Identity-H"/>
          <w:color w:val="14131A"/>
          <w:sz w:val="21"/>
          <w:szCs w:val="21"/>
        </w:rPr>
        <w:t>Derivado de lo anterior, se formulan los resultados y recomendaciones</w:t>
      </w:r>
      <w:r>
        <w:rPr>
          <w:rFonts w:ascii="Abadi" w:hAnsi="Abadi" w:cs="*Arial-6068-Identity-H"/>
          <w:color w:val="14131A"/>
          <w:sz w:val="21"/>
          <w:szCs w:val="21"/>
        </w:rPr>
        <w:t xml:space="preserve"> </w:t>
      </w:r>
      <w:r w:rsidRPr="00C0364D">
        <w:rPr>
          <w:rFonts w:ascii="Abadi" w:hAnsi="Abadi" w:cs="*Arial-6068-Identity-H"/>
          <w:color w:val="14131A"/>
          <w:sz w:val="21"/>
          <w:szCs w:val="21"/>
        </w:rPr>
        <w:t>contenidos en los rubros de Eficiencia y Eficacia.</w:t>
      </w:r>
    </w:p>
    <w:p w14:paraId="188537F1" w14:textId="77777777" w:rsidR="005D7CEF" w:rsidRPr="00C0364D" w:rsidRDefault="005D7CEF" w:rsidP="005D7CEF">
      <w:pPr>
        <w:autoSpaceDE w:val="0"/>
        <w:autoSpaceDN w:val="0"/>
        <w:adjustRightInd w:val="0"/>
        <w:jc w:val="both"/>
        <w:rPr>
          <w:rFonts w:ascii="Abadi" w:hAnsi="Abadi" w:cs="*Arial-6068-Identity-H"/>
          <w:color w:val="14131A"/>
          <w:sz w:val="21"/>
          <w:szCs w:val="21"/>
        </w:rPr>
      </w:pPr>
    </w:p>
    <w:p w14:paraId="49BFD8C4" w14:textId="77777777" w:rsidR="005D7CEF" w:rsidRDefault="005D7CEF" w:rsidP="005D7CEF">
      <w:pPr>
        <w:autoSpaceDE w:val="0"/>
        <w:autoSpaceDN w:val="0"/>
        <w:adjustRightInd w:val="0"/>
        <w:ind w:firstLine="708"/>
        <w:jc w:val="both"/>
        <w:rPr>
          <w:rFonts w:ascii="Abadi" w:hAnsi="Abadi" w:cs="*Arial-6068-Identity-H"/>
          <w:color w:val="13131B"/>
          <w:sz w:val="21"/>
          <w:szCs w:val="21"/>
        </w:rPr>
      </w:pPr>
      <w:r w:rsidRPr="00C0364D">
        <w:rPr>
          <w:rFonts w:ascii="Abadi" w:hAnsi="Abadi" w:cs="*Arial-6068-Identity-H"/>
          <w:color w:val="13131B"/>
          <w:sz w:val="21"/>
          <w:szCs w:val="21"/>
        </w:rPr>
        <w:t>En tal sentido, en el rubro de Eficiencia, se formularon las recomendaciones</w:t>
      </w:r>
      <w:r>
        <w:rPr>
          <w:rFonts w:ascii="Abadi" w:hAnsi="Abadi" w:cs="*Arial-6068-Identity-H"/>
          <w:color w:val="13131B"/>
          <w:sz w:val="21"/>
          <w:szCs w:val="21"/>
        </w:rPr>
        <w:t xml:space="preserve"> </w:t>
      </w:r>
      <w:r w:rsidRPr="00C0364D">
        <w:rPr>
          <w:rFonts w:ascii="Abadi" w:hAnsi="Abadi" w:cs="*Arial-6068-Identity-H"/>
          <w:color w:val="13131B"/>
          <w:sz w:val="21"/>
          <w:szCs w:val="21"/>
        </w:rPr>
        <w:t xml:space="preserve">plasmadas en los puntos 01 </w:t>
      </w:r>
      <w:r w:rsidRPr="00C0364D">
        <w:rPr>
          <w:rFonts w:ascii="Abadi" w:hAnsi="Abadi" w:cs="*Microsoft Sans Serif-6072-Iden"/>
          <w:color w:val="13131B"/>
          <w:sz w:val="21"/>
          <w:szCs w:val="21"/>
        </w:rPr>
        <w:t xml:space="preserve">y </w:t>
      </w:r>
      <w:r w:rsidRPr="00C0364D">
        <w:rPr>
          <w:rFonts w:ascii="Abadi" w:hAnsi="Abadi" w:cs="*Arial-6068-Identity-H"/>
          <w:color w:val="13131B"/>
          <w:sz w:val="21"/>
          <w:szCs w:val="21"/>
        </w:rPr>
        <w:t>02 del resultado número 1, referente a oferta del</w:t>
      </w:r>
      <w:r>
        <w:rPr>
          <w:rFonts w:ascii="Abadi" w:hAnsi="Abadi" w:cs="*Arial-6068-Identity-H"/>
          <w:color w:val="13131B"/>
          <w:sz w:val="21"/>
          <w:szCs w:val="21"/>
        </w:rPr>
        <w:t xml:space="preserve"> </w:t>
      </w:r>
      <w:r w:rsidRPr="00C0364D">
        <w:rPr>
          <w:rFonts w:ascii="Abadi" w:hAnsi="Abadi" w:cs="*Arial-6068-Identity-H"/>
          <w:color w:val="13131B"/>
          <w:sz w:val="21"/>
          <w:szCs w:val="21"/>
        </w:rPr>
        <w:t>servicio de alumbrado público; 03, 04 y 05 del resultado número 2,</w:t>
      </w:r>
      <w:r>
        <w:rPr>
          <w:rFonts w:ascii="Abadi" w:hAnsi="Abadi" w:cs="*Arial-6068-Identity-H"/>
          <w:color w:val="13131B"/>
          <w:sz w:val="21"/>
          <w:szCs w:val="21"/>
        </w:rPr>
        <w:t xml:space="preserve"> </w:t>
      </w:r>
      <w:r w:rsidRPr="00C0364D">
        <w:rPr>
          <w:rFonts w:ascii="Abadi" w:hAnsi="Abadi" w:cs="*Arial-6068-Identity-H"/>
          <w:color w:val="13131B"/>
          <w:sz w:val="21"/>
          <w:szCs w:val="21"/>
        </w:rPr>
        <w:t xml:space="preserve">correspondiente a presupuestación del servicio; 06, 07 </w:t>
      </w:r>
      <w:r w:rsidRPr="00C0364D">
        <w:rPr>
          <w:rFonts w:ascii="Abadi" w:hAnsi="Abadi" w:cs="*Microsoft Sans Serif-6072-Iden"/>
          <w:color w:val="13131B"/>
          <w:sz w:val="21"/>
          <w:szCs w:val="21"/>
        </w:rPr>
        <w:t xml:space="preserve">y </w:t>
      </w:r>
      <w:r w:rsidRPr="00C0364D">
        <w:rPr>
          <w:rFonts w:ascii="Abadi" w:hAnsi="Abadi" w:cs="*Arial-6068-Identity-H"/>
          <w:color w:val="13131B"/>
          <w:sz w:val="21"/>
          <w:szCs w:val="21"/>
        </w:rPr>
        <w:t>08 del resultado número</w:t>
      </w:r>
      <w:r>
        <w:rPr>
          <w:rFonts w:ascii="Abadi" w:hAnsi="Abadi" w:cs="*Arial-6068-Identity-H"/>
          <w:color w:val="13131B"/>
          <w:sz w:val="21"/>
          <w:szCs w:val="21"/>
        </w:rPr>
        <w:t xml:space="preserve"> </w:t>
      </w:r>
      <w:r w:rsidRPr="00C0364D">
        <w:rPr>
          <w:rFonts w:ascii="Abadi" w:hAnsi="Abadi" w:cs="*Arial-6068-Identity-H"/>
          <w:color w:val="13131B"/>
          <w:sz w:val="21"/>
          <w:szCs w:val="21"/>
        </w:rPr>
        <w:t>3, relativo a marco normativo para la prestación del servicio; 09 del resultado</w:t>
      </w:r>
      <w:r>
        <w:rPr>
          <w:rFonts w:ascii="Abadi" w:hAnsi="Abadi" w:cs="*Arial-6068-Identity-H"/>
          <w:color w:val="13131B"/>
          <w:sz w:val="21"/>
          <w:szCs w:val="21"/>
        </w:rPr>
        <w:t xml:space="preserve"> </w:t>
      </w:r>
      <w:r w:rsidRPr="00C0364D">
        <w:rPr>
          <w:rFonts w:ascii="Abadi" w:hAnsi="Abadi" w:cs="*Arial-6068-Identity-H"/>
          <w:color w:val="13131B"/>
          <w:sz w:val="21"/>
          <w:szCs w:val="21"/>
        </w:rPr>
        <w:t>número 4, referido a planeación del servicio de alumbrado público en el corto</w:t>
      </w:r>
      <w:r>
        <w:rPr>
          <w:rFonts w:ascii="Abadi" w:hAnsi="Abadi" w:cs="*Arial-6068-Identity-H"/>
          <w:color w:val="13131B"/>
          <w:sz w:val="21"/>
          <w:szCs w:val="21"/>
        </w:rPr>
        <w:t xml:space="preserve"> </w:t>
      </w:r>
      <w:r w:rsidRPr="00C0364D">
        <w:rPr>
          <w:rFonts w:ascii="Abadi" w:hAnsi="Abadi" w:cs="*Arial-6068-Identity-H"/>
          <w:color w:val="13131B"/>
          <w:sz w:val="21"/>
          <w:szCs w:val="21"/>
        </w:rPr>
        <w:t xml:space="preserve">plazo; </w:t>
      </w:r>
      <w:r w:rsidRPr="00C0364D">
        <w:rPr>
          <w:rFonts w:ascii="Abadi" w:hAnsi="Abadi" w:cs="*Microsoft Sans Serif-6072-Iden"/>
          <w:color w:val="13131B"/>
          <w:sz w:val="21"/>
          <w:szCs w:val="21"/>
        </w:rPr>
        <w:t xml:space="preserve">y </w:t>
      </w:r>
      <w:r w:rsidRPr="00C0364D">
        <w:rPr>
          <w:rFonts w:ascii="Abadi" w:hAnsi="Abadi" w:cs="*Arial-6068-Identity-H"/>
          <w:color w:val="13131B"/>
          <w:sz w:val="21"/>
          <w:szCs w:val="21"/>
        </w:rPr>
        <w:t>1 O del resultado número 5, referente a participación ciudadana en el</w:t>
      </w:r>
      <w:r>
        <w:rPr>
          <w:rFonts w:ascii="Abadi" w:hAnsi="Abadi" w:cs="*Arial-6068-Identity-H"/>
          <w:color w:val="13131B"/>
          <w:sz w:val="21"/>
          <w:szCs w:val="21"/>
        </w:rPr>
        <w:t xml:space="preserve"> </w:t>
      </w:r>
      <w:r w:rsidRPr="00C0364D">
        <w:rPr>
          <w:rFonts w:ascii="Abadi" w:hAnsi="Abadi" w:cs="*Arial-6068-Identity-H"/>
          <w:color w:val="13131B"/>
          <w:sz w:val="21"/>
          <w:szCs w:val="21"/>
        </w:rPr>
        <w:t>reporte de fallas del servicio. En el apartado de Eficacia, se formularon las</w:t>
      </w:r>
      <w:r>
        <w:rPr>
          <w:rFonts w:ascii="Abadi" w:hAnsi="Abadi" w:cs="*Arial-6068-Identity-H"/>
          <w:color w:val="13131B"/>
          <w:sz w:val="21"/>
          <w:szCs w:val="21"/>
        </w:rPr>
        <w:t xml:space="preserve"> </w:t>
      </w:r>
      <w:r w:rsidRPr="00C0364D">
        <w:rPr>
          <w:rFonts w:ascii="Abadi" w:hAnsi="Abadi" w:cs="*Arial-6068-Identity-H"/>
          <w:color w:val="13131B"/>
          <w:sz w:val="21"/>
          <w:szCs w:val="21"/>
        </w:rPr>
        <w:t xml:space="preserve">recomendaciones consignadas en los puntos 11 </w:t>
      </w:r>
      <w:r w:rsidRPr="00C0364D">
        <w:rPr>
          <w:rFonts w:ascii="Abadi" w:hAnsi="Abadi" w:cs="*Microsoft Sans Serif-6072-Iden"/>
          <w:color w:val="13131B"/>
          <w:sz w:val="21"/>
          <w:szCs w:val="21"/>
        </w:rPr>
        <w:t xml:space="preserve">y </w:t>
      </w:r>
      <w:r w:rsidRPr="00C0364D">
        <w:rPr>
          <w:rFonts w:ascii="Abadi" w:hAnsi="Abadi" w:cs="*Arial-6068-Identity-H"/>
          <w:color w:val="13131B"/>
          <w:sz w:val="21"/>
          <w:szCs w:val="21"/>
        </w:rPr>
        <w:t>12 del resultado número 6,</w:t>
      </w:r>
      <w:r>
        <w:rPr>
          <w:rFonts w:ascii="Abadi" w:hAnsi="Abadi" w:cs="*Arial-6068-Identity-H"/>
          <w:color w:val="13131B"/>
          <w:sz w:val="21"/>
          <w:szCs w:val="21"/>
        </w:rPr>
        <w:t xml:space="preserve"> </w:t>
      </w:r>
      <w:r w:rsidRPr="00C0364D">
        <w:rPr>
          <w:rFonts w:ascii="Abadi" w:hAnsi="Abadi" w:cs="*Arial-6068-Identity-H"/>
          <w:color w:val="13131B"/>
          <w:sz w:val="21"/>
          <w:szCs w:val="21"/>
        </w:rPr>
        <w:t>correspondiente a eficacia del servicio de alumbrado público; y 13 del resultado</w:t>
      </w:r>
      <w:r>
        <w:rPr>
          <w:rFonts w:ascii="Abadi" w:hAnsi="Abadi" w:cs="*Arial-6068-Identity-H"/>
          <w:color w:val="13131B"/>
          <w:sz w:val="21"/>
          <w:szCs w:val="21"/>
        </w:rPr>
        <w:t xml:space="preserve"> </w:t>
      </w:r>
      <w:r w:rsidRPr="00C0364D">
        <w:rPr>
          <w:rFonts w:ascii="Abadi" w:hAnsi="Abadi" w:cs="*Arial-6068-Identity-H"/>
          <w:color w:val="13131B"/>
          <w:sz w:val="21"/>
          <w:szCs w:val="21"/>
        </w:rPr>
        <w:t xml:space="preserve">número 7, relativo a monitoreo </w:t>
      </w:r>
      <w:r w:rsidRPr="00C0364D">
        <w:rPr>
          <w:rFonts w:ascii="Abadi" w:hAnsi="Abadi" w:cs="*Microsoft Sans Serif-6072-Iden"/>
          <w:color w:val="13131B"/>
          <w:sz w:val="21"/>
          <w:szCs w:val="21"/>
        </w:rPr>
        <w:t xml:space="preserve">y </w:t>
      </w:r>
      <w:r w:rsidRPr="00C0364D">
        <w:rPr>
          <w:rFonts w:ascii="Abadi" w:hAnsi="Abadi" w:cs="*Arial-6068-Identity-H"/>
          <w:color w:val="13131B"/>
          <w:sz w:val="21"/>
          <w:szCs w:val="21"/>
        </w:rPr>
        <w:t>evaluación de los resultados.</w:t>
      </w:r>
    </w:p>
    <w:p w14:paraId="5FEBA43A" w14:textId="77777777" w:rsidR="005D7CEF" w:rsidRPr="00C0364D" w:rsidRDefault="005D7CEF" w:rsidP="005D7CEF">
      <w:pPr>
        <w:autoSpaceDE w:val="0"/>
        <w:autoSpaceDN w:val="0"/>
        <w:adjustRightInd w:val="0"/>
        <w:jc w:val="both"/>
        <w:rPr>
          <w:rFonts w:ascii="Abadi" w:hAnsi="Abadi" w:cs="*Arial-6068-Identity-H"/>
          <w:color w:val="13131B"/>
          <w:sz w:val="21"/>
          <w:szCs w:val="21"/>
        </w:rPr>
      </w:pPr>
    </w:p>
    <w:p w14:paraId="6E083AC8" w14:textId="77777777" w:rsidR="005D7CEF" w:rsidRPr="00C0364D" w:rsidRDefault="005D7CEF" w:rsidP="005D7CEF">
      <w:pPr>
        <w:autoSpaceDE w:val="0"/>
        <w:autoSpaceDN w:val="0"/>
        <w:adjustRightInd w:val="0"/>
        <w:ind w:firstLine="708"/>
        <w:jc w:val="both"/>
        <w:rPr>
          <w:rFonts w:ascii="Abadi" w:hAnsi="Abadi" w:cs="*Arial-6068-Identity-H"/>
          <w:color w:val="14131B"/>
          <w:sz w:val="21"/>
          <w:szCs w:val="21"/>
        </w:rPr>
      </w:pPr>
      <w:r w:rsidRPr="00C0364D">
        <w:rPr>
          <w:rFonts w:ascii="Abadi" w:hAnsi="Abadi" w:cs="*Arial-6068-Identity-H"/>
          <w:color w:val="14131B"/>
          <w:sz w:val="21"/>
          <w:szCs w:val="21"/>
        </w:rPr>
        <w:t xml:space="preserve">Finalmente, se establece un apartado denominado </w:t>
      </w:r>
      <w:r w:rsidRPr="00C0364D">
        <w:rPr>
          <w:rFonts w:ascii="Abadi" w:hAnsi="Abadi" w:cs="*Arial-Italic-6069-Identity-H"/>
          <w:i/>
          <w:iCs/>
          <w:color w:val="14131B"/>
          <w:sz w:val="21"/>
          <w:szCs w:val="21"/>
        </w:rPr>
        <w:t>Cuestiones clave de la</w:t>
      </w:r>
      <w:r>
        <w:rPr>
          <w:rFonts w:ascii="Abadi" w:hAnsi="Abadi" w:cs="*Arial-Italic-6069-Identity-H"/>
          <w:i/>
          <w:iCs/>
          <w:color w:val="14131B"/>
          <w:sz w:val="21"/>
          <w:szCs w:val="21"/>
        </w:rPr>
        <w:t xml:space="preserve"> </w:t>
      </w:r>
      <w:r w:rsidRPr="00C0364D">
        <w:rPr>
          <w:rFonts w:ascii="Abadi" w:hAnsi="Abadi" w:cs="*Arial-Italic-6069-Identity-H"/>
          <w:i/>
          <w:iCs/>
          <w:color w:val="14131B"/>
          <w:sz w:val="21"/>
          <w:szCs w:val="21"/>
        </w:rPr>
        <w:t xml:space="preserve">auditoría en contexto de la pandemia del virus SARS-CoV2 </w:t>
      </w:r>
      <w:r w:rsidRPr="00C0364D">
        <w:rPr>
          <w:rFonts w:ascii="Abadi" w:hAnsi="Abadi" w:cs="*Arial-6068-Identity-H"/>
          <w:color w:val="14131B"/>
          <w:sz w:val="21"/>
          <w:szCs w:val="21"/>
        </w:rPr>
        <w:t>en el que se señala</w:t>
      </w:r>
      <w:r>
        <w:rPr>
          <w:rFonts w:ascii="Abadi" w:hAnsi="Abadi" w:cs="*Arial-6068-Identity-H"/>
          <w:color w:val="14131B"/>
          <w:sz w:val="21"/>
          <w:szCs w:val="21"/>
        </w:rPr>
        <w:t xml:space="preserve"> </w:t>
      </w:r>
      <w:r w:rsidRPr="00C0364D">
        <w:rPr>
          <w:rFonts w:ascii="Abadi" w:hAnsi="Abadi" w:cs="*Arial-6068-Identity-H"/>
          <w:color w:val="14131B"/>
          <w:sz w:val="21"/>
          <w:szCs w:val="21"/>
        </w:rPr>
        <w:t xml:space="preserve">que con motivo de la emergencia sanitaria provocada por dicha pandemia </w:t>
      </w:r>
      <w:r w:rsidRPr="00C0364D">
        <w:rPr>
          <w:rFonts w:ascii="Abadi" w:hAnsi="Abadi" w:cs="*Microsoft Sans Serif-6072-Iden"/>
          <w:color w:val="14131B"/>
          <w:sz w:val="21"/>
          <w:szCs w:val="21"/>
        </w:rPr>
        <w:t xml:space="preserve">y </w:t>
      </w:r>
      <w:r w:rsidRPr="00C0364D">
        <w:rPr>
          <w:rFonts w:ascii="Abadi" w:hAnsi="Abadi" w:cs="*Arial-6068-Identity-H"/>
          <w:color w:val="14131B"/>
          <w:sz w:val="21"/>
          <w:szCs w:val="21"/>
        </w:rPr>
        <w:t>en</w:t>
      </w:r>
      <w:r>
        <w:rPr>
          <w:rFonts w:ascii="Abadi" w:hAnsi="Abadi" w:cs="*Arial-6068-Identity-H"/>
          <w:color w:val="14131B"/>
          <w:sz w:val="21"/>
          <w:szCs w:val="21"/>
        </w:rPr>
        <w:t xml:space="preserve"> </w:t>
      </w:r>
      <w:r w:rsidRPr="00C0364D">
        <w:rPr>
          <w:rFonts w:ascii="Abadi" w:hAnsi="Abadi" w:cs="*Arial-6068-Identity-H"/>
          <w:color w:val="14131B"/>
          <w:sz w:val="21"/>
          <w:szCs w:val="21"/>
        </w:rPr>
        <w:t>atención a diversas disposiciones en salud pública emitidas por las autoridades</w:t>
      </w:r>
      <w:r>
        <w:rPr>
          <w:rFonts w:ascii="Abadi" w:hAnsi="Abadi" w:cs="*Arial-6068-Identity-H"/>
          <w:color w:val="14131B"/>
          <w:sz w:val="21"/>
          <w:szCs w:val="21"/>
        </w:rPr>
        <w:t xml:space="preserve"> federales</w:t>
      </w:r>
      <w:r w:rsidRPr="00C0364D">
        <w:rPr>
          <w:rFonts w:ascii="Abadi" w:hAnsi="Abadi" w:cs="*Arial-6068-Identity-H"/>
          <w:color w:val="14131B"/>
          <w:sz w:val="21"/>
          <w:szCs w:val="21"/>
        </w:rPr>
        <w:t xml:space="preserve"> </w:t>
      </w:r>
      <w:r w:rsidRPr="00C0364D">
        <w:rPr>
          <w:rFonts w:ascii="Abadi" w:hAnsi="Abadi" w:cs="*Microsoft Sans Serif-6072-Iden"/>
          <w:color w:val="14131B"/>
          <w:sz w:val="21"/>
          <w:szCs w:val="21"/>
        </w:rPr>
        <w:t xml:space="preserve">y </w:t>
      </w:r>
      <w:r w:rsidRPr="00C0364D">
        <w:rPr>
          <w:rFonts w:ascii="Abadi" w:hAnsi="Abadi" w:cs="*Arial-6068-Identity-H"/>
          <w:color w:val="14131B"/>
          <w:sz w:val="21"/>
          <w:szCs w:val="21"/>
        </w:rPr>
        <w:t>estatales competentes en la materia, se generaron cambios en el</w:t>
      </w:r>
    </w:p>
    <w:p w14:paraId="4CC3F235" w14:textId="77777777" w:rsidR="005D7CEF" w:rsidRDefault="005D7CEF" w:rsidP="005D7CEF">
      <w:pPr>
        <w:autoSpaceDE w:val="0"/>
        <w:autoSpaceDN w:val="0"/>
        <w:adjustRightInd w:val="0"/>
        <w:jc w:val="both"/>
        <w:rPr>
          <w:rFonts w:ascii="Abadi" w:hAnsi="Abadi" w:cs="*Arial-4677-Identity-H"/>
          <w:color w:val="14131B"/>
          <w:sz w:val="21"/>
          <w:szCs w:val="21"/>
        </w:rPr>
      </w:pPr>
      <w:r w:rsidRPr="00C0364D">
        <w:rPr>
          <w:rFonts w:ascii="Abadi" w:hAnsi="Abadi" w:cs="*Arial-6068-Identity-H"/>
          <w:color w:val="14131B"/>
          <w:sz w:val="21"/>
          <w:szCs w:val="21"/>
        </w:rPr>
        <w:t>desarrollo de los asuntos competencia de la Auditoría Superior del Estado de</w:t>
      </w:r>
      <w:r>
        <w:rPr>
          <w:rFonts w:ascii="Abadi" w:hAnsi="Abadi" w:cs="*Arial-6068-Identity-H"/>
          <w:color w:val="14131B"/>
          <w:sz w:val="21"/>
          <w:szCs w:val="21"/>
        </w:rPr>
        <w:t xml:space="preserve"> </w:t>
      </w:r>
      <w:r w:rsidRPr="00C0364D">
        <w:rPr>
          <w:rFonts w:ascii="Abadi" w:hAnsi="Abadi" w:cs="*Arial-6068-Identity-H"/>
          <w:color w:val="14131B"/>
          <w:sz w:val="21"/>
          <w:szCs w:val="21"/>
        </w:rPr>
        <w:t xml:space="preserve">Guanajuato, atendiendo al </w:t>
      </w:r>
      <w:r w:rsidRPr="00C0364D">
        <w:rPr>
          <w:rFonts w:ascii="Abadi" w:hAnsi="Abadi" w:cs="*Arial-Italic-6069-Identity-H"/>
          <w:i/>
          <w:iCs/>
          <w:color w:val="14131B"/>
          <w:sz w:val="21"/>
          <w:szCs w:val="21"/>
        </w:rPr>
        <w:t xml:space="preserve">Acuerdo relativo al trabajo </w:t>
      </w:r>
      <w:r w:rsidRPr="00C0364D">
        <w:rPr>
          <w:rFonts w:ascii="Abadi" w:hAnsi="Abadi" w:cs="*Arial-6068-Identity-H"/>
          <w:color w:val="14131B"/>
          <w:sz w:val="21"/>
          <w:szCs w:val="21"/>
        </w:rPr>
        <w:t xml:space="preserve">a </w:t>
      </w:r>
      <w:r w:rsidRPr="00C0364D">
        <w:rPr>
          <w:rFonts w:ascii="Abadi" w:hAnsi="Abadi" w:cs="*Arial-Italic-6069-Identity-H"/>
          <w:i/>
          <w:iCs/>
          <w:color w:val="14131B"/>
          <w:sz w:val="21"/>
          <w:szCs w:val="21"/>
        </w:rPr>
        <w:t xml:space="preserve">distancia </w:t>
      </w:r>
      <w:r w:rsidRPr="00C0364D">
        <w:rPr>
          <w:rFonts w:ascii="Abadi" w:hAnsi="Abadi" w:cs="*Arial-6068-Identity-H"/>
          <w:color w:val="14131B"/>
          <w:sz w:val="21"/>
          <w:szCs w:val="21"/>
        </w:rPr>
        <w:t>de fecha 17 de</w:t>
      </w:r>
      <w:r>
        <w:rPr>
          <w:rFonts w:ascii="Abadi" w:hAnsi="Abadi" w:cs="*Arial-6068-Identity-H"/>
          <w:color w:val="14131B"/>
          <w:sz w:val="21"/>
          <w:szCs w:val="21"/>
        </w:rPr>
        <w:t xml:space="preserve"> </w:t>
      </w:r>
      <w:r w:rsidRPr="00C0364D">
        <w:rPr>
          <w:rFonts w:ascii="Abadi" w:hAnsi="Abadi" w:cs="*Arial-6068-Identity-H"/>
          <w:color w:val="14131B"/>
          <w:sz w:val="21"/>
          <w:szCs w:val="21"/>
        </w:rPr>
        <w:t xml:space="preserve">marzo de 2020 </w:t>
      </w:r>
      <w:r w:rsidRPr="00C0364D">
        <w:rPr>
          <w:rFonts w:ascii="Abadi" w:hAnsi="Abadi" w:cs="*Microsoft Sans Serif-6072-Iden"/>
          <w:color w:val="14131B"/>
          <w:sz w:val="21"/>
          <w:szCs w:val="21"/>
        </w:rPr>
        <w:t xml:space="preserve">y </w:t>
      </w:r>
      <w:r w:rsidRPr="00C0364D">
        <w:rPr>
          <w:rFonts w:ascii="Abadi" w:hAnsi="Abadi" w:cs="*Arial-6068-Identity-H"/>
          <w:color w:val="14131B"/>
          <w:sz w:val="21"/>
          <w:szCs w:val="21"/>
        </w:rPr>
        <w:t>su décimo sexto acuerdo modificatorio, aprovechando las</w:t>
      </w:r>
      <w:r>
        <w:rPr>
          <w:rFonts w:ascii="Abadi" w:hAnsi="Abadi" w:cs="*Arial-6068-Identity-H"/>
          <w:color w:val="14131B"/>
          <w:sz w:val="21"/>
          <w:szCs w:val="21"/>
        </w:rPr>
        <w:t xml:space="preserve"> </w:t>
      </w:r>
      <w:r w:rsidRPr="00C0364D">
        <w:rPr>
          <w:rFonts w:ascii="Abadi" w:hAnsi="Abadi" w:cs="*Arial-4677-Identity-H"/>
          <w:color w:val="14131B"/>
          <w:sz w:val="21"/>
          <w:szCs w:val="21"/>
        </w:rPr>
        <w:t>herramientas tecnológicas de que dispone, así como la colaboración de los sujetos</w:t>
      </w:r>
      <w:r>
        <w:rPr>
          <w:rFonts w:ascii="Abadi" w:hAnsi="Abadi" w:cs="*Arial-4677-Identity-H"/>
          <w:color w:val="14131B"/>
          <w:sz w:val="21"/>
          <w:szCs w:val="21"/>
        </w:rPr>
        <w:t xml:space="preserve"> </w:t>
      </w:r>
      <w:r w:rsidRPr="00C0364D">
        <w:rPr>
          <w:rFonts w:ascii="Abadi" w:hAnsi="Abadi" w:cs="*Arial-4677-Identity-H"/>
          <w:color w:val="14131B"/>
          <w:sz w:val="21"/>
          <w:szCs w:val="21"/>
        </w:rPr>
        <w:t>de fiscalización.</w:t>
      </w:r>
    </w:p>
    <w:p w14:paraId="142FB64B" w14:textId="77777777" w:rsidR="005D7CEF" w:rsidRPr="00C0364D" w:rsidRDefault="005D7CEF" w:rsidP="005D7CEF">
      <w:pPr>
        <w:autoSpaceDE w:val="0"/>
        <w:autoSpaceDN w:val="0"/>
        <w:adjustRightInd w:val="0"/>
        <w:jc w:val="both"/>
        <w:rPr>
          <w:rFonts w:ascii="Abadi" w:hAnsi="Abadi" w:cs="*Arial-4677-Identity-H"/>
          <w:color w:val="14131B"/>
          <w:sz w:val="21"/>
          <w:szCs w:val="21"/>
        </w:rPr>
      </w:pPr>
    </w:p>
    <w:p w14:paraId="05712953" w14:textId="77777777" w:rsidR="005D7CEF" w:rsidRDefault="005D7CEF" w:rsidP="005D7CEF">
      <w:pPr>
        <w:autoSpaceDE w:val="0"/>
        <w:autoSpaceDN w:val="0"/>
        <w:adjustRightInd w:val="0"/>
        <w:ind w:firstLine="708"/>
        <w:jc w:val="both"/>
        <w:rPr>
          <w:rFonts w:ascii="Abadi" w:hAnsi="Abadi" w:cs="*Arial-4677-Identity-H"/>
          <w:color w:val="14131C"/>
          <w:sz w:val="21"/>
          <w:szCs w:val="21"/>
        </w:rPr>
      </w:pPr>
      <w:r w:rsidRPr="00C0364D">
        <w:rPr>
          <w:rFonts w:ascii="Abadi" w:hAnsi="Abadi" w:cs="*Arial-4677-Identity-H"/>
          <w:color w:val="14131C"/>
          <w:sz w:val="21"/>
          <w:szCs w:val="21"/>
        </w:rPr>
        <w:t>Es así, que si bien, el proceso de fiscalización ha continuado observando</w:t>
      </w:r>
      <w:r>
        <w:rPr>
          <w:rFonts w:ascii="Abadi" w:hAnsi="Abadi" w:cs="*Arial-4677-Identity-H"/>
          <w:color w:val="14131C"/>
          <w:sz w:val="21"/>
          <w:szCs w:val="21"/>
        </w:rPr>
        <w:t xml:space="preserve"> </w:t>
      </w:r>
      <w:r w:rsidRPr="00C0364D">
        <w:rPr>
          <w:rFonts w:ascii="Abadi" w:hAnsi="Abadi" w:cs="*Arial-4677-Identity-H"/>
          <w:color w:val="14131C"/>
          <w:sz w:val="21"/>
          <w:szCs w:val="21"/>
        </w:rPr>
        <w:t>las medidas de confinamiento que las autoridades de salud han determinado y con</w:t>
      </w:r>
      <w:r>
        <w:rPr>
          <w:rFonts w:ascii="Abadi" w:hAnsi="Abadi" w:cs="*Arial-4677-Identity-H"/>
          <w:color w:val="14131C"/>
          <w:sz w:val="21"/>
          <w:szCs w:val="21"/>
        </w:rPr>
        <w:t xml:space="preserve"> </w:t>
      </w:r>
      <w:r w:rsidRPr="00C0364D">
        <w:rPr>
          <w:rFonts w:ascii="Abadi" w:hAnsi="Abadi" w:cs="*Arial-4677-Identity-H"/>
          <w:color w:val="14131C"/>
          <w:sz w:val="21"/>
          <w:szCs w:val="21"/>
        </w:rPr>
        <w:t>el uso de las tecnologías de la información, por la propia naturaleza de la</w:t>
      </w:r>
      <w:r>
        <w:rPr>
          <w:rFonts w:ascii="Abadi" w:hAnsi="Abadi" w:cs="*Arial-4677-Identity-H"/>
          <w:color w:val="14131C"/>
          <w:sz w:val="21"/>
          <w:szCs w:val="21"/>
        </w:rPr>
        <w:t xml:space="preserve"> </w:t>
      </w:r>
      <w:r w:rsidRPr="00C0364D">
        <w:rPr>
          <w:rFonts w:ascii="Abadi" w:hAnsi="Abadi" w:cs="*Arial-4677-Identity-H"/>
          <w:color w:val="14131C"/>
          <w:sz w:val="21"/>
          <w:szCs w:val="21"/>
        </w:rPr>
        <w:t>pandemia se generaron limitantes en la aplicación de los procedimientos de</w:t>
      </w:r>
      <w:r>
        <w:rPr>
          <w:rFonts w:ascii="Abadi" w:hAnsi="Abadi" w:cs="*Arial-4677-Identity-H"/>
          <w:color w:val="14131C"/>
          <w:sz w:val="21"/>
          <w:szCs w:val="21"/>
        </w:rPr>
        <w:t xml:space="preserve"> </w:t>
      </w:r>
      <w:r w:rsidRPr="00C0364D">
        <w:rPr>
          <w:rFonts w:ascii="Abadi" w:hAnsi="Abadi" w:cs="*Arial-4677-Identity-H"/>
          <w:color w:val="14131C"/>
          <w:sz w:val="21"/>
          <w:szCs w:val="21"/>
        </w:rPr>
        <w:t>auditoría.</w:t>
      </w:r>
    </w:p>
    <w:p w14:paraId="614B12F7" w14:textId="77777777" w:rsidR="005D7CEF" w:rsidRPr="00C0364D" w:rsidRDefault="005D7CEF" w:rsidP="005D7CEF">
      <w:pPr>
        <w:autoSpaceDE w:val="0"/>
        <w:autoSpaceDN w:val="0"/>
        <w:adjustRightInd w:val="0"/>
        <w:jc w:val="both"/>
        <w:rPr>
          <w:rFonts w:ascii="Abadi" w:hAnsi="Abadi" w:cs="*Arial-4677-Identity-H"/>
          <w:color w:val="14131C"/>
          <w:sz w:val="21"/>
          <w:szCs w:val="21"/>
        </w:rPr>
      </w:pPr>
    </w:p>
    <w:p w14:paraId="18238851" w14:textId="77777777" w:rsidR="005D7CEF" w:rsidRDefault="005D7CEF" w:rsidP="005D7CEF">
      <w:pPr>
        <w:autoSpaceDE w:val="0"/>
        <w:autoSpaceDN w:val="0"/>
        <w:adjustRightInd w:val="0"/>
        <w:jc w:val="both"/>
        <w:rPr>
          <w:rFonts w:ascii="Abadi" w:hAnsi="Abadi" w:cs="*Arial-4677-Identity-H"/>
          <w:color w:val="14131C"/>
          <w:sz w:val="21"/>
          <w:szCs w:val="21"/>
        </w:rPr>
      </w:pPr>
    </w:p>
    <w:p w14:paraId="26314533" w14:textId="77777777" w:rsidR="005D7CEF" w:rsidRPr="00C0364D" w:rsidRDefault="005D7CEF" w:rsidP="005D7CEF">
      <w:pPr>
        <w:autoSpaceDE w:val="0"/>
        <w:autoSpaceDN w:val="0"/>
        <w:adjustRightInd w:val="0"/>
        <w:ind w:firstLine="708"/>
        <w:jc w:val="both"/>
        <w:rPr>
          <w:rFonts w:ascii="Abadi" w:hAnsi="Abadi" w:cs="*Arial-4677-Identity-H"/>
          <w:color w:val="14131C"/>
          <w:sz w:val="21"/>
          <w:szCs w:val="21"/>
        </w:rPr>
      </w:pPr>
      <w:r w:rsidRPr="00C0364D">
        <w:rPr>
          <w:rFonts w:ascii="Abadi" w:hAnsi="Abadi" w:cs="*Arial-4677-Identity-H"/>
          <w:color w:val="14131C"/>
          <w:sz w:val="21"/>
          <w:szCs w:val="21"/>
        </w:rPr>
        <w:t>En tal sentido se priorizó el enfoque de derechos humanos, velando por la</w:t>
      </w:r>
      <w:r>
        <w:rPr>
          <w:rFonts w:ascii="Abadi" w:hAnsi="Abadi" w:cs="*Arial-4677-Identity-H"/>
          <w:color w:val="14131C"/>
          <w:sz w:val="21"/>
          <w:szCs w:val="21"/>
        </w:rPr>
        <w:t xml:space="preserve"> </w:t>
      </w:r>
      <w:r w:rsidRPr="00C0364D">
        <w:rPr>
          <w:rFonts w:ascii="Abadi" w:hAnsi="Abadi" w:cs="*Arial-4677-Identity-H"/>
          <w:color w:val="14131C"/>
          <w:sz w:val="21"/>
          <w:szCs w:val="21"/>
        </w:rPr>
        <w:t>protección del derecho humano a la salud, respetando las limitaciones y</w:t>
      </w:r>
      <w:r>
        <w:rPr>
          <w:rFonts w:ascii="Abadi" w:hAnsi="Abadi" w:cs="*Arial-4677-Identity-H"/>
          <w:color w:val="14131C"/>
          <w:sz w:val="21"/>
          <w:szCs w:val="21"/>
        </w:rPr>
        <w:t xml:space="preserve"> </w:t>
      </w:r>
      <w:r w:rsidRPr="00C0364D">
        <w:rPr>
          <w:rFonts w:ascii="Abadi" w:hAnsi="Abadi" w:cs="*Arial-4677-Identity-H"/>
          <w:color w:val="14131C"/>
          <w:sz w:val="21"/>
          <w:szCs w:val="21"/>
        </w:rPr>
        <w:t>restricciones a los derechos humanos establecidas en la propia Constitución.</w:t>
      </w:r>
    </w:p>
    <w:p w14:paraId="4B386ABA" w14:textId="77777777" w:rsidR="005D7CEF" w:rsidRDefault="005D7CEF" w:rsidP="005D7CEF">
      <w:pPr>
        <w:autoSpaceDE w:val="0"/>
        <w:autoSpaceDN w:val="0"/>
        <w:adjustRightInd w:val="0"/>
        <w:jc w:val="both"/>
        <w:rPr>
          <w:rFonts w:ascii="Abadi" w:hAnsi="Abadi" w:cs="*Arial-Bold-4678-Identity-H"/>
          <w:b/>
          <w:bCs/>
          <w:color w:val="14131D"/>
          <w:sz w:val="21"/>
          <w:szCs w:val="21"/>
        </w:rPr>
      </w:pPr>
    </w:p>
    <w:p w14:paraId="4E633A0F" w14:textId="77777777" w:rsidR="005D7CEF" w:rsidRDefault="005D7CEF" w:rsidP="005D7CEF">
      <w:pPr>
        <w:autoSpaceDE w:val="0"/>
        <w:autoSpaceDN w:val="0"/>
        <w:adjustRightInd w:val="0"/>
        <w:ind w:firstLine="708"/>
        <w:jc w:val="both"/>
        <w:rPr>
          <w:rFonts w:ascii="Abadi" w:hAnsi="Abadi" w:cs="*Arial-Bold-4678-Identity-H"/>
          <w:b/>
          <w:bCs/>
          <w:color w:val="14131D"/>
          <w:sz w:val="21"/>
          <w:szCs w:val="21"/>
        </w:rPr>
      </w:pPr>
      <w:r w:rsidRPr="00C0364D">
        <w:rPr>
          <w:rFonts w:ascii="Abadi" w:hAnsi="Abadi" w:cs="*Arial-Bold-4678-Identity-H"/>
          <w:b/>
          <w:bCs/>
          <w:color w:val="14131D"/>
          <w:sz w:val="21"/>
          <w:szCs w:val="21"/>
        </w:rPr>
        <w:t>c) Resumen de las recomendaciones.</w:t>
      </w:r>
    </w:p>
    <w:p w14:paraId="4FB73F25" w14:textId="77777777" w:rsidR="005D7CEF" w:rsidRPr="00C0364D" w:rsidRDefault="005D7CEF" w:rsidP="005D7CEF">
      <w:pPr>
        <w:autoSpaceDE w:val="0"/>
        <w:autoSpaceDN w:val="0"/>
        <w:adjustRightInd w:val="0"/>
        <w:jc w:val="both"/>
        <w:rPr>
          <w:rFonts w:ascii="Abadi" w:hAnsi="Abadi" w:cs="*Arial-Bold-4678-Identity-H"/>
          <w:b/>
          <w:bCs/>
          <w:color w:val="14131D"/>
          <w:sz w:val="21"/>
          <w:szCs w:val="21"/>
        </w:rPr>
      </w:pPr>
    </w:p>
    <w:p w14:paraId="43FE4549" w14:textId="77777777" w:rsidR="005D7CEF" w:rsidRPr="00C0364D" w:rsidRDefault="005D7CEF" w:rsidP="005D7CEF">
      <w:pPr>
        <w:autoSpaceDE w:val="0"/>
        <w:autoSpaceDN w:val="0"/>
        <w:adjustRightInd w:val="0"/>
        <w:ind w:firstLine="708"/>
        <w:jc w:val="both"/>
        <w:rPr>
          <w:rFonts w:ascii="Abadi" w:hAnsi="Abadi" w:cs="*Arial-4677-Identity-H"/>
          <w:color w:val="13131B"/>
          <w:sz w:val="21"/>
          <w:szCs w:val="21"/>
        </w:rPr>
      </w:pPr>
      <w:r w:rsidRPr="00C0364D">
        <w:rPr>
          <w:rFonts w:ascii="Abadi" w:hAnsi="Abadi" w:cs="*Arial-4677-Identity-H"/>
          <w:color w:val="13131B"/>
          <w:sz w:val="21"/>
          <w:szCs w:val="21"/>
        </w:rPr>
        <w:t>En este punto se establece un resumen exclusivamente de los resultados</w:t>
      </w:r>
      <w:r>
        <w:rPr>
          <w:rFonts w:ascii="Abadi" w:hAnsi="Abadi" w:cs="*Arial-4677-Identity-H"/>
          <w:color w:val="13131B"/>
          <w:sz w:val="21"/>
          <w:szCs w:val="21"/>
        </w:rPr>
        <w:t xml:space="preserve"> </w:t>
      </w:r>
      <w:r w:rsidRPr="00C0364D">
        <w:rPr>
          <w:rFonts w:ascii="Abadi" w:hAnsi="Abadi" w:cs="*Arial-4677-Identity-H"/>
          <w:color w:val="13131B"/>
          <w:sz w:val="21"/>
          <w:szCs w:val="21"/>
        </w:rPr>
        <w:t>que generaron recomendación producto de un área de oportunidad o mejora</w:t>
      </w:r>
      <w:r>
        <w:rPr>
          <w:rFonts w:ascii="Abadi" w:hAnsi="Abadi" w:cs="*Arial-4677-Identity-H"/>
          <w:color w:val="13131B"/>
          <w:sz w:val="21"/>
          <w:szCs w:val="21"/>
        </w:rPr>
        <w:t xml:space="preserve"> </w:t>
      </w:r>
      <w:r w:rsidRPr="00C0364D">
        <w:rPr>
          <w:rFonts w:ascii="Abadi" w:hAnsi="Abadi" w:cs="*Arial-4677-Identity-H"/>
          <w:color w:val="13131B"/>
          <w:sz w:val="21"/>
          <w:szCs w:val="21"/>
        </w:rPr>
        <w:t>sugerida por el Órgano Técnico, mismos se clasifican agrupados bajo su</w:t>
      </w:r>
      <w:r>
        <w:rPr>
          <w:rFonts w:ascii="Abadi" w:hAnsi="Abadi" w:cs="*Arial-4677-Identity-H"/>
          <w:color w:val="13131B"/>
          <w:sz w:val="21"/>
          <w:szCs w:val="21"/>
        </w:rPr>
        <w:t xml:space="preserve"> </w:t>
      </w:r>
      <w:r w:rsidRPr="00C0364D">
        <w:rPr>
          <w:rFonts w:ascii="Abadi" w:hAnsi="Abadi" w:cs="*Arial-4677-Identity-H"/>
          <w:color w:val="13131B"/>
          <w:sz w:val="21"/>
          <w:szCs w:val="21"/>
        </w:rPr>
        <w:t>respectiva vertiente, con su síntesis de la valoración efectuada, precisando que del</w:t>
      </w:r>
      <w:r>
        <w:rPr>
          <w:rFonts w:ascii="Abadi" w:hAnsi="Abadi" w:cs="*Arial-4677-Identity-H"/>
          <w:color w:val="13131B"/>
          <w:sz w:val="21"/>
          <w:szCs w:val="21"/>
        </w:rPr>
        <w:t xml:space="preserve"> </w:t>
      </w:r>
      <w:r w:rsidRPr="00C0364D">
        <w:rPr>
          <w:rFonts w:ascii="Abadi" w:hAnsi="Abadi" w:cs="*Arial-4677-Identity-H"/>
          <w:color w:val="13131B"/>
          <w:sz w:val="21"/>
          <w:szCs w:val="21"/>
        </w:rPr>
        <w:t>análisis a la respuesta del pliego de recomendaciones se desprende que el sujeto</w:t>
      </w:r>
      <w:r>
        <w:rPr>
          <w:rFonts w:ascii="Abadi" w:hAnsi="Abadi" w:cs="*Arial-4677-Identity-H"/>
          <w:color w:val="13131B"/>
          <w:sz w:val="21"/>
          <w:szCs w:val="21"/>
        </w:rPr>
        <w:t xml:space="preserve"> </w:t>
      </w:r>
      <w:r w:rsidRPr="00C0364D">
        <w:rPr>
          <w:rFonts w:ascii="Abadi" w:hAnsi="Abadi" w:cs="*Arial-4677-Identity-H"/>
          <w:color w:val="13131B"/>
          <w:sz w:val="21"/>
          <w:szCs w:val="21"/>
        </w:rPr>
        <w:t>fiscalizado en 11 recomendaciones se comprometió a realizar acciones en un</w:t>
      </w:r>
      <w:r>
        <w:rPr>
          <w:rFonts w:ascii="Abadi" w:hAnsi="Abadi" w:cs="*Arial-4677-Identity-H"/>
          <w:color w:val="13131B"/>
          <w:sz w:val="21"/>
          <w:szCs w:val="21"/>
        </w:rPr>
        <w:t xml:space="preserve"> </w:t>
      </w:r>
      <w:r w:rsidRPr="00C0364D">
        <w:rPr>
          <w:rFonts w:ascii="Abadi" w:hAnsi="Abadi" w:cs="*Arial-4677-Identity-H"/>
          <w:color w:val="13131B"/>
          <w:sz w:val="21"/>
          <w:szCs w:val="21"/>
        </w:rPr>
        <w:t>plazo futuro para su atención; y en 2 recomendaciones persistió lo recomendado,</w:t>
      </w:r>
      <w:r>
        <w:rPr>
          <w:rFonts w:ascii="Abadi" w:hAnsi="Abadi" w:cs="*Arial-4677-Identity-H"/>
          <w:color w:val="13131B"/>
          <w:sz w:val="21"/>
          <w:szCs w:val="21"/>
        </w:rPr>
        <w:t xml:space="preserve"> </w:t>
      </w:r>
      <w:r w:rsidRPr="00C0364D">
        <w:rPr>
          <w:rFonts w:ascii="Abadi" w:hAnsi="Abadi" w:cs="*Arial-4677-Identity-H"/>
          <w:color w:val="13131B"/>
          <w:sz w:val="21"/>
          <w:szCs w:val="21"/>
        </w:rPr>
        <w:t>en razón de que las evidencias proporcionadas resultaron insuficientes para su</w:t>
      </w:r>
      <w:r>
        <w:rPr>
          <w:rFonts w:ascii="Abadi" w:hAnsi="Abadi" w:cs="*Arial-4677-Identity-H"/>
          <w:color w:val="13131B"/>
          <w:sz w:val="21"/>
          <w:szCs w:val="21"/>
        </w:rPr>
        <w:t xml:space="preserve"> </w:t>
      </w:r>
      <w:r w:rsidRPr="00C0364D">
        <w:rPr>
          <w:rFonts w:ascii="Abadi" w:hAnsi="Abadi" w:cs="*Arial-4677-Identity-H"/>
          <w:color w:val="13131B"/>
          <w:sz w:val="21"/>
          <w:szCs w:val="21"/>
        </w:rPr>
        <w:t>atención. A dichas recomendaciones dará seguimiento el Órgano Técnico en la</w:t>
      </w:r>
      <w:r>
        <w:rPr>
          <w:rFonts w:ascii="Abadi" w:hAnsi="Abadi" w:cs="*Arial-4677-Identity-H"/>
          <w:color w:val="13131B"/>
          <w:sz w:val="21"/>
          <w:szCs w:val="21"/>
        </w:rPr>
        <w:t xml:space="preserve"> </w:t>
      </w:r>
      <w:r w:rsidRPr="00C0364D">
        <w:rPr>
          <w:rFonts w:ascii="Abadi" w:hAnsi="Abadi" w:cs="*Arial-4677-Identity-H"/>
          <w:color w:val="13131B"/>
          <w:sz w:val="21"/>
          <w:szCs w:val="21"/>
        </w:rPr>
        <w:t>etapa correspondiente, de conformidad con el ordenamiento legal respectivo.</w:t>
      </w:r>
    </w:p>
    <w:p w14:paraId="0CB4C901" w14:textId="77777777" w:rsidR="005D7CEF" w:rsidRDefault="005D7CEF" w:rsidP="005D7CEF">
      <w:pPr>
        <w:autoSpaceDE w:val="0"/>
        <w:autoSpaceDN w:val="0"/>
        <w:adjustRightInd w:val="0"/>
        <w:jc w:val="both"/>
        <w:rPr>
          <w:rFonts w:ascii="Abadi" w:hAnsi="Abadi" w:cs="*Arial-Bold-4678-Identity-H"/>
          <w:b/>
          <w:bCs/>
          <w:color w:val="14121D"/>
          <w:sz w:val="21"/>
          <w:szCs w:val="21"/>
        </w:rPr>
      </w:pPr>
    </w:p>
    <w:p w14:paraId="0E8FE9C8" w14:textId="77777777" w:rsidR="005D7CEF" w:rsidRDefault="005D7CEF" w:rsidP="005D7CEF">
      <w:pPr>
        <w:autoSpaceDE w:val="0"/>
        <w:autoSpaceDN w:val="0"/>
        <w:adjustRightInd w:val="0"/>
        <w:ind w:firstLine="708"/>
        <w:jc w:val="both"/>
        <w:rPr>
          <w:rFonts w:ascii="Abadi" w:hAnsi="Abadi" w:cs="*Arial-Bold-4678-Identity-H"/>
          <w:b/>
          <w:bCs/>
          <w:color w:val="14121D"/>
          <w:sz w:val="21"/>
          <w:szCs w:val="21"/>
        </w:rPr>
      </w:pPr>
      <w:r w:rsidRPr="00C0364D">
        <w:rPr>
          <w:rFonts w:ascii="Abadi" w:hAnsi="Abadi" w:cs="*Arial-Bold-4678-Identity-H"/>
          <w:b/>
          <w:bCs/>
          <w:color w:val="14121D"/>
          <w:sz w:val="21"/>
          <w:szCs w:val="21"/>
        </w:rPr>
        <w:t>d) Conclusión General.</w:t>
      </w:r>
    </w:p>
    <w:p w14:paraId="42085CE5" w14:textId="77777777" w:rsidR="005D7CEF" w:rsidRPr="00C0364D" w:rsidRDefault="005D7CEF" w:rsidP="005D7CEF">
      <w:pPr>
        <w:autoSpaceDE w:val="0"/>
        <w:autoSpaceDN w:val="0"/>
        <w:adjustRightInd w:val="0"/>
        <w:jc w:val="both"/>
        <w:rPr>
          <w:rFonts w:ascii="Abadi" w:hAnsi="Abadi" w:cs="*Arial-Bold-4678-Identity-H"/>
          <w:b/>
          <w:bCs/>
          <w:color w:val="14121D"/>
          <w:sz w:val="21"/>
          <w:szCs w:val="21"/>
        </w:rPr>
      </w:pPr>
    </w:p>
    <w:p w14:paraId="55E0A2B8" w14:textId="77777777" w:rsidR="005D7CEF" w:rsidRPr="00C0364D" w:rsidRDefault="005D7CEF" w:rsidP="005D7CEF">
      <w:pPr>
        <w:autoSpaceDE w:val="0"/>
        <w:autoSpaceDN w:val="0"/>
        <w:adjustRightInd w:val="0"/>
        <w:ind w:firstLine="708"/>
        <w:jc w:val="both"/>
        <w:rPr>
          <w:rFonts w:ascii="Abadi" w:hAnsi="Abadi" w:cs="*Arial-4677-Identity-H"/>
          <w:color w:val="14131B"/>
          <w:sz w:val="21"/>
          <w:szCs w:val="21"/>
        </w:rPr>
      </w:pPr>
      <w:r w:rsidRPr="00C0364D">
        <w:rPr>
          <w:rFonts w:ascii="Abadi" w:hAnsi="Abadi" w:cs="*Arial-4677-Identity-H"/>
          <w:color w:val="14131B"/>
          <w:sz w:val="21"/>
          <w:szCs w:val="21"/>
        </w:rPr>
        <w:t>La Auditoría Superior del Estado concluyó que los serv</w:t>
      </w:r>
      <w:r>
        <w:rPr>
          <w:rFonts w:ascii="Abadi" w:hAnsi="Abadi" w:cs="*Arial-4677-Identity-H"/>
          <w:color w:val="14131B"/>
          <w:sz w:val="21"/>
          <w:szCs w:val="21"/>
        </w:rPr>
        <w:t>icios</w:t>
      </w:r>
      <w:r w:rsidRPr="00C0364D">
        <w:rPr>
          <w:rFonts w:ascii="Abadi" w:hAnsi="Abadi" w:cs="*Arial-4677-Identity-H"/>
          <w:color w:val="14131B"/>
          <w:sz w:val="21"/>
          <w:szCs w:val="21"/>
        </w:rPr>
        <w:t xml:space="preserve"> públicos se</w:t>
      </w:r>
      <w:r>
        <w:rPr>
          <w:rFonts w:ascii="Abadi" w:hAnsi="Abadi" w:cs="*Arial-4677-Identity-H"/>
          <w:color w:val="14131B"/>
          <w:sz w:val="21"/>
          <w:szCs w:val="21"/>
        </w:rPr>
        <w:t xml:space="preserve"> </w:t>
      </w:r>
      <w:r w:rsidRPr="00C0364D">
        <w:rPr>
          <w:rFonts w:ascii="Abadi" w:hAnsi="Abadi" w:cs="*Arial-4677-Identity-H"/>
          <w:color w:val="14131B"/>
          <w:sz w:val="21"/>
          <w:szCs w:val="21"/>
        </w:rPr>
        <w:t>pueden entender como toda prestación concreta que tienda a satisfacer, de</w:t>
      </w:r>
      <w:r>
        <w:rPr>
          <w:rFonts w:ascii="Abadi" w:hAnsi="Abadi" w:cs="*Arial-4677-Identity-H"/>
          <w:color w:val="14131B"/>
          <w:sz w:val="21"/>
          <w:szCs w:val="21"/>
        </w:rPr>
        <w:t xml:space="preserve"> </w:t>
      </w:r>
      <w:r w:rsidRPr="00C0364D">
        <w:rPr>
          <w:rFonts w:ascii="Abadi" w:hAnsi="Abadi" w:cs="*Arial-4677-Identity-H"/>
          <w:color w:val="14131B"/>
          <w:sz w:val="21"/>
          <w:szCs w:val="21"/>
        </w:rPr>
        <w:t>manera regular, continua y uniforme, las necesidades sociales de carácter</w:t>
      </w:r>
      <w:r>
        <w:rPr>
          <w:rFonts w:ascii="Abadi" w:hAnsi="Abadi" w:cs="*Arial-4677-Identity-H"/>
          <w:color w:val="14131B"/>
          <w:sz w:val="21"/>
          <w:szCs w:val="21"/>
        </w:rPr>
        <w:t xml:space="preserve"> </w:t>
      </w:r>
      <w:r w:rsidRPr="00C0364D">
        <w:rPr>
          <w:rFonts w:ascii="Abadi" w:hAnsi="Abadi" w:cs="*Arial-4677-Identity-H"/>
          <w:color w:val="14131B"/>
          <w:sz w:val="21"/>
          <w:szCs w:val="21"/>
        </w:rPr>
        <w:t>general, básico o fundamental, en beneficio indiscriminado de toda la ciudadanía.</w:t>
      </w:r>
      <w:r>
        <w:rPr>
          <w:rFonts w:ascii="Abadi" w:hAnsi="Abadi" w:cs="*Arial-4677-Identity-H"/>
          <w:color w:val="14131B"/>
          <w:sz w:val="21"/>
          <w:szCs w:val="21"/>
        </w:rPr>
        <w:t xml:space="preserve"> </w:t>
      </w:r>
      <w:r w:rsidRPr="00C0364D">
        <w:rPr>
          <w:rFonts w:ascii="Abadi" w:hAnsi="Abadi" w:cs="*Arial-4677-Identity-H"/>
          <w:color w:val="14131B"/>
          <w:sz w:val="21"/>
          <w:szCs w:val="21"/>
        </w:rPr>
        <w:t>De su adecuada prestación depende, en cierta medida, la calidad de vida de las</w:t>
      </w:r>
    </w:p>
    <w:p w14:paraId="25CF4B68" w14:textId="77777777" w:rsidR="005D7CEF" w:rsidRPr="00C0364D" w:rsidRDefault="005D7CEF" w:rsidP="005D7CEF">
      <w:pPr>
        <w:jc w:val="both"/>
        <w:rPr>
          <w:rFonts w:ascii="Abadi" w:hAnsi="Abadi" w:cs="*Arial-4677-Identity-H"/>
          <w:color w:val="14131B"/>
          <w:sz w:val="21"/>
          <w:szCs w:val="21"/>
        </w:rPr>
      </w:pPr>
      <w:r w:rsidRPr="00C0364D">
        <w:rPr>
          <w:rFonts w:ascii="Abadi" w:hAnsi="Abadi" w:cs="*Arial-4677-Identity-H"/>
          <w:color w:val="14131B"/>
          <w:sz w:val="21"/>
          <w:szCs w:val="21"/>
        </w:rPr>
        <w:t>personas.</w:t>
      </w:r>
    </w:p>
    <w:p w14:paraId="1C8C911A" w14:textId="77777777" w:rsidR="005D7CEF" w:rsidRPr="00C0364D" w:rsidRDefault="005D7CEF" w:rsidP="005D7CEF">
      <w:pPr>
        <w:jc w:val="both"/>
        <w:rPr>
          <w:rFonts w:ascii="Abadi" w:hAnsi="Abadi" w:cs="*Arial-4677-Identity-H"/>
          <w:color w:val="14131B"/>
          <w:sz w:val="21"/>
          <w:szCs w:val="21"/>
        </w:rPr>
      </w:pPr>
    </w:p>
    <w:p w14:paraId="57A74E63" w14:textId="77777777" w:rsidR="005D7CEF" w:rsidRDefault="005D7CEF" w:rsidP="005D7CEF">
      <w:pPr>
        <w:autoSpaceDE w:val="0"/>
        <w:autoSpaceDN w:val="0"/>
        <w:adjustRightInd w:val="0"/>
        <w:ind w:firstLine="708"/>
        <w:jc w:val="both"/>
        <w:rPr>
          <w:rFonts w:ascii="Abadi" w:hAnsi="Abadi" w:cs="*Arial-5955-Identity-H"/>
          <w:color w:val="14131C"/>
          <w:sz w:val="21"/>
          <w:szCs w:val="21"/>
        </w:rPr>
      </w:pPr>
      <w:r w:rsidRPr="00C0364D">
        <w:rPr>
          <w:rFonts w:ascii="Abadi" w:hAnsi="Abadi" w:cs="*Arial-5955-Identity-H"/>
          <w:color w:val="14131C"/>
          <w:sz w:val="21"/>
          <w:szCs w:val="21"/>
        </w:rPr>
        <w:t xml:space="preserve">De igual forma, se refiere que el artículo 115, fracción </w:t>
      </w:r>
      <w:r>
        <w:rPr>
          <w:rFonts w:ascii="Abadi" w:hAnsi="Abadi" w:cs="*Arial-5955-Identity-H"/>
          <w:color w:val="14131C"/>
          <w:sz w:val="21"/>
          <w:szCs w:val="21"/>
        </w:rPr>
        <w:t>III</w:t>
      </w:r>
      <w:r w:rsidRPr="00C0364D">
        <w:rPr>
          <w:rFonts w:ascii="Abadi" w:hAnsi="Abadi" w:cs="*Arial-5955-Identity-H"/>
          <w:color w:val="14131C"/>
          <w:sz w:val="21"/>
          <w:szCs w:val="21"/>
        </w:rPr>
        <w:t>, inciso b, de la</w:t>
      </w:r>
      <w:r>
        <w:rPr>
          <w:rFonts w:ascii="Abadi" w:hAnsi="Abadi" w:cs="*Arial-5955-Identity-H"/>
          <w:color w:val="14131C"/>
          <w:sz w:val="21"/>
          <w:szCs w:val="21"/>
        </w:rPr>
        <w:t xml:space="preserve"> </w:t>
      </w:r>
      <w:r w:rsidRPr="00C0364D">
        <w:rPr>
          <w:rFonts w:ascii="Abadi" w:hAnsi="Abadi" w:cs="*Arial-5955-Identity-H"/>
          <w:color w:val="14131C"/>
          <w:sz w:val="21"/>
          <w:szCs w:val="21"/>
        </w:rPr>
        <w:t>Constitución Política de los Estados Unidos Mexicanos establece al alumbrado</w:t>
      </w:r>
      <w:r>
        <w:rPr>
          <w:rFonts w:ascii="Abadi" w:hAnsi="Abadi" w:cs="*Arial-5955-Identity-H"/>
          <w:color w:val="14131C"/>
          <w:sz w:val="21"/>
          <w:szCs w:val="21"/>
        </w:rPr>
        <w:t xml:space="preserve"> </w:t>
      </w:r>
      <w:r w:rsidRPr="00C0364D">
        <w:rPr>
          <w:rFonts w:ascii="Abadi" w:hAnsi="Abadi" w:cs="*Arial-5955-Identity-H"/>
          <w:color w:val="14131C"/>
          <w:sz w:val="21"/>
          <w:szCs w:val="21"/>
        </w:rPr>
        <w:t>público como uno de los servicios públicos que los municipios tienen a su cargo.</w:t>
      </w:r>
      <w:r>
        <w:rPr>
          <w:rFonts w:ascii="Abadi" w:hAnsi="Abadi" w:cs="*Arial-5955-Identity-H"/>
          <w:color w:val="14131C"/>
          <w:sz w:val="21"/>
          <w:szCs w:val="21"/>
        </w:rPr>
        <w:t xml:space="preserve"> </w:t>
      </w:r>
      <w:r w:rsidRPr="00C0364D">
        <w:rPr>
          <w:rFonts w:ascii="Abadi" w:hAnsi="Abadi" w:cs="*Arial-5955-Identity-H"/>
          <w:color w:val="14131C"/>
          <w:sz w:val="21"/>
          <w:szCs w:val="21"/>
        </w:rPr>
        <w:t>Por su parte, a nivel local, en el artículo 117 de la Constitución Política para el</w:t>
      </w:r>
      <w:r>
        <w:rPr>
          <w:rFonts w:ascii="Abadi" w:hAnsi="Abadi" w:cs="*Arial-5955-Identity-H"/>
          <w:color w:val="14131C"/>
          <w:sz w:val="21"/>
          <w:szCs w:val="21"/>
        </w:rPr>
        <w:t xml:space="preserve"> </w:t>
      </w:r>
      <w:r w:rsidRPr="00C0364D">
        <w:rPr>
          <w:rFonts w:ascii="Abadi" w:hAnsi="Abadi" w:cs="*Arial-5955-Identity-H"/>
          <w:color w:val="14131C"/>
          <w:sz w:val="21"/>
          <w:szCs w:val="21"/>
        </w:rPr>
        <w:t>Estado de Guanajuato se dispone la misma responsabilidad para este ámbito de</w:t>
      </w:r>
      <w:r>
        <w:rPr>
          <w:rFonts w:ascii="Abadi" w:hAnsi="Abadi" w:cs="*Arial-5955-Identity-H"/>
          <w:color w:val="14131C"/>
          <w:sz w:val="21"/>
          <w:szCs w:val="21"/>
        </w:rPr>
        <w:t xml:space="preserve"> </w:t>
      </w:r>
      <w:r w:rsidRPr="00C0364D">
        <w:rPr>
          <w:rFonts w:ascii="Abadi" w:hAnsi="Abadi" w:cs="*Arial-5955-Identity-H"/>
          <w:color w:val="14131C"/>
          <w:sz w:val="21"/>
          <w:szCs w:val="21"/>
        </w:rPr>
        <w:t>gobierno.</w:t>
      </w:r>
    </w:p>
    <w:p w14:paraId="487711CB" w14:textId="77777777" w:rsidR="005D7CEF" w:rsidRPr="00C0364D" w:rsidRDefault="005D7CEF" w:rsidP="005D7CEF">
      <w:pPr>
        <w:autoSpaceDE w:val="0"/>
        <w:autoSpaceDN w:val="0"/>
        <w:adjustRightInd w:val="0"/>
        <w:jc w:val="both"/>
        <w:rPr>
          <w:rFonts w:ascii="Abadi" w:hAnsi="Abadi" w:cs="*Arial-5955-Identity-H"/>
          <w:color w:val="14131C"/>
          <w:sz w:val="21"/>
          <w:szCs w:val="21"/>
        </w:rPr>
      </w:pPr>
    </w:p>
    <w:p w14:paraId="1AF26CD1" w14:textId="77777777" w:rsidR="005D7CEF" w:rsidRDefault="005D7CEF" w:rsidP="005D7CEF">
      <w:pPr>
        <w:autoSpaceDE w:val="0"/>
        <w:autoSpaceDN w:val="0"/>
        <w:adjustRightInd w:val="0"/>
        <w:ind w:firstLine="708"/>
        <w:jc w:val="both"/>
        <w:rPr>
          <w:rFonts w:ascii="Abadi" w:hAnsi="Abadi" w:cs="*Arial-5955-Identity-H"/>
          <w:color w:val="14131B"/>
          <w:sz w:val="21"/>
          <w:szCs w:val="21"/>
        </w:rPr>
      </w:pPr>
      <w:r w:rsidRPr="00C0364D">
        <w:rPr>
          <w:rFonts w:ascii="Abadi" w:hAnsi="Abadi" w:cs="*Arial-5955-Identity-H"/>
          <w:color w:val="14131B"/>
          <w:sz w:val="21"/>
          <w:szCs w:val="21"/>
        </w:rPr>
        <w:t>En este sentido, el alumbrado público es un serv</w:t>
      </w:r>
      <w:r>
        <w:rPr>
          <w:rFonts w:ascii="Abadi" w:hAnsi="Abadi" w:cs="*Arial-5955-Identity-H"/>
          <w:color w:val="14131B"/>
          <w:sz w:val="21"/>
          <w:szCs w:val="21"/>
        </w:rPr>
        <w:t>icio</w:t>
      </w:r>
      <w:r w:rsidRPr="00C0364D">
        <w:rPr>
          <w:rFonts w:ascii="Abadi" w:hAnsi="Abadi" w:cs="*Arial-5955-Identity-H"/>
          <w:color w:val="14131B"/>
          <w:sz w:val="21"/>
          <w:szCs w:val="21"/>
        </w:rPr>
        <w:t xml:space="preserve"> que tiene como</w:t>
      </w:r>
      <w:r>
        <w:rPr>
          <w:rFonts w:ascii="Abadi" w:hAnsi="Abadi" w:cs="*Arial-5955-Identity-H"/>
          <w:color w:val="14131B"/>
          <w:sz w:val="21"/>
          <w:szCs w:val="21"/>
        </w:rPr>
        <w:t xml:space="preserve"> </w:t>
      </w:r>
      <w:r w:rsidRPr="00C0364D">
        <w:rPr>
          <w:rFonts w:ascii="Abadi" w:hAnsi="Abadi" w:cs="*Arial-5955-Identity-H"/>
          <w:color w:val="14131B"/>
          <w:sz w:val="21"/>
          <w:szCs w:val="21"/>
        </w:rPr>
        <w:t>objetivo el desarrollo de un entorno cómodo y seguro para facilitar la movilidad de</w:t>
      </w:r>
      <w:r>
        <w:rPr>
          <w:rFonts w:ascii="Abadi" w:hAnsi="Abadi" w:cs="*Arial-5955-Identity-H"/>
          <w:color w:val="14131B"/>
          <w:sz w:val="21"/>
          <w:szCs w:val="21"/>
        </w:rPr>
        <w:t xml:space="preserve"> </w:t>
      </w:r>
      <w:r w:rsidRPr="00C0364D">
        <w:rPr>
          <w:rFonts w:ascii="Abadi" w:hAnsi="Abadi" w:cs="*Arial-5955-Identity-H"/>
          <w:color w:val="14131B"/>
          <w:sz w:val="21"/>
          <w:szCs w:val="21"/>
        </w:rPr>
        <w:t xml:space="preserve">la población, el disfrute de la ciudad, del patrimonio cultural </w:t>
      </w:r>
      <w:r w:rsidRPr="00C0364D">
        <w:rPr>
          <w:rFonts w:ascii="Abadi" w:hAnsi="Abadi" w:cs="*Arial-5955-Identity-H"/>
          <w:color w:val="A9A9A9"/>
          <w:sz w:val="21"/>
          <w:szCs w:val="21"/>
        </w:rPr>
        <w:t>·</w:t>
      </w:r>
      <w:r w:rsidRPr="00C0364D">
        <w:rPr>
          <w:rFonts w:ascii="Abadi" w:hAnsi="Abadi" w:cs="*Arial-5955-Identity-H"/>
          <w:color w:val="14131B"/>
          <w:sz w:val="21"/>
          <w:szCs w:val="21"/>
        </w:rPr>
        <w:t>y de los espacios</w:t>
      </w:r>
      <w:r>
        <w:rPr>
          <w:rFonts w:ascii="Abadi" w:hAnsi="Abadi" w:cs="*Arial-5955-Identity-H"/>
          <w:color w:val="14131B"/>
          <w:sz w:val="21"/>
          <w:szCs w:val="21"/>
        </w:rPr>
        <w:t xml:space="preserve"> </w:t>
      </w:r>
      <w:r w:rsidRPr="00C0364D">
        <w:rPr>
          <w:rFonts w:ascii="Abadi" w:hAnsi="Abadi" w:cs="*Arial-5955-Identity-H"/>
          <w:color w:val="14131B"/>
          <w:sz w:val="21"/>
          <w:szCs w:val="21"/>
        </w:rPr>
        <w:t>públicos; a su vez, mantiene una estrecha relación con la creación de condiciones</w:t>
      </w:r>
      <w:r>
        <w:rPr>
          <w:rFonts w:ascii="Abadi" w:hAnsi="Abadi" w:cs="*Arial-5955-Identity-H"/>
          <w:color w:val="14131B"/>
          <w:sz w:val="21"/>
          <w:szCs w:val="21"/>
        </w:rPr>
        <w:t xml:space="preserve"> </w:t>
      </w:r>
      <w:r w:rsidRPr="00C0364D">
        <w:rPr>
          <w:rFonts w:ascii="Abadi" w:hAnsi="Abadi" w:cs="*Arial-5955-Identity-H"/>
          <w:color w:val="14131B"/>
          <w:sz w:val="21"/>
          <w:szCs w:val="21"/>
        </w:rPr>
        <w:t>de seguridad en la vida cotidiana de la población, esto último por considerase un</w:t>
      </w:r>
      <w:r>
        <w:rPr>
          <w:rFonts w:ascii="Abadi" w:hAnsi="Abadi" w:cs="*Arial-5955-Identity-H"/>
          <w:color w:val="14131B"/>
          <w:sz w:val="21"/>
          <w:szCs w:val="21"/>
        </w:rPr>
        <w:t xml:space="preserve"> </w:t>
      </w:r>
      <w:r w:rsidRPr="00C0364D">
        <w:rPr>
          <w:rFonts w:ascii="Abadi" w:hAnsi="Abadi" w:cs="*Arial-5955-Identity-H"/>
          <w:color w:val="14131B"/>
          <w:sz w:val="21"/>
          <w:szCs w:val="21"/>
        </w:rPr>
        <w:t>factor que contribuye a reducir la percepción de inseguridad.</w:t>
      </w:r>
    </w:p>
    <w:p w14:paraId="6145601F" w14:textId="77777777" w:rsidR="005D7CEF" w:rsidRPr="00C0364D" w:rsidRDefault="005D7CEF" w:rsidP="005D7CEF">
      <w:pPr>
        <w:autoSpaceDE w:val="0"/>
        <w:autoSpaceDN w:val="0"/>
        <w:adjustRightInd w:val="0"/>
        <w:jc w:val="both"/>
        <w:rPr>
          <w:rFonts w:ascii="Abadi" w:hAnsi="Abadi" w:cs="*Arial-5955-Identity-H"/>
          <w:color w:val="14131B"/>
          <w:sz w:val="21"/>
          <w:szCs w:val="21"/>
        </w:rPr>
      </w:pPr>
    </w:p>
    <w:p w14:paraId="3D856911" w14:textId="77777777" w:rsidR="005D7CEF" w:rsidRDefault="005D7CEF" w:rsidP="005D7CEF">
      <w:pPr>
        <w:autoSpaceDE w:val="0"/>
        <w:autoSpaceDN w:val="0"/>
        <w:adjustRightInd w:val="0"/>
        <w:ind w:firstLine="708"/>
        <w:jc w:val="both"/>
        <w:rPr>
          <w:rFonts w:ascii="Abadi" w:hAnsi="Abadi" w:cs="*Arial-5955-Identity-H"/>
          <w:color w:val="14131B"/>
          <w:sz w:val="21"/>
          <w:szCs w:val="21"/>
        </w:rPr>
      </w:pPr>
      <w:r w:rsidRPr="00C0364D">
        <w:rPr>
          <w:rFonts w:ascii="Abadi" w:hAnsi="Abadi" w:cs="*Arial-5955-Identity-H"/>
          <w:color w:val="14131B"/>
          <w:sz w:val="21"/>
          <w:szCs w:val="21"/>
        </w:rPr>
        <w:t>Derivado de lo anterior, el adecuado desempeño de los servicios públicos</w:t>
      </w:r>
      <w:r>
        <w:rPr>
          <w:rFonts w:ascii="Abadi" w:hAnsi="Abadi" w:cs="*Arial-5955-Identity-H"/>
          <w:color w:val="14131B"/>
          <w:sz w:val="21"/>
          <w:szCs w:val="21"/>
        </w:rPr>
        <w:t xml:space="preserve"> </w:t>
      </w:r>
      <w:r w:rsidRPr="00C0364D">
        <w:rPr>
          <w:rFonts w:ascii="Abadi" w:hAnsi="Abadi" w:cs="*Arial-5955-Identity-H"/>
          <w:color w:val="14131B"/>
          <w:sz w:val="21"/>
          <w:szCs w:val="21"/>
        </w:rPr>
        <w:t>incide en la calidad de vida de los habitantes y, por ello, es conveniente que se</w:t>
      </w:r>
      <w:r>
        <w:rPr>
          <w:rFonts w:ascii="Abadi" w:hAnsi="Abadi" w:cs="*Arial-5955-Identity-H"/>
          <w:color w:val="14131B"/>
          <w:sz w:val="21"/>
          <w:szCs w:val="21"/>
        </w:rPr>
        <w:t xml:space="preserve"> </w:t>
      </w:r>
      <w:r w:rsidRPr="00C0364D">
        <w:rPr>
          <w:rFonts w:ascii="Abadi" w:hAnsi="Abadi" w:cs="*Arial-5955-Identity-H"/>
          <w:color w:val="14131B"/>
          <w:sz w:val="21"/>
          <w:szCs w:val="21"/>
        </w:rPr>
        <w:t>administre bajo modelos de gestión orientados a los resultados que garanticen su</w:t>
      </w:r>
      <w:r>
        <w:rPr>
          <w:rFonts w:ascii="Abadi" w:hAnsi="Abadi" w:cs="*Arial-5955-Identity-H"/>
          <w:color w:val="14131B"/>
          <w:sz w:val="21"/>
          <w:szCs w:val="21"/>
        </w:rPr>
        <w:t xml:space="preserve"> </w:t>
      </w:r>
      <w:r w:rsidRPr="00C0364D">
        <w:rPr>
          <w:rFonts w:ascii="Abadi" w:hAnsi="Abadi" w:cs="*Arial-5955-Identity-H"/>
          <w:color w:val="14131B"/>
          <w:sz w:val="21"/>
          <w:szCs w:val="21"/>
        </w:rPr>
        <w:t>adecuada operación, permanencia, continuidad, uniformidad e igualdad ante los</w:t>
      </w:r>
      <w:r>
        <w:rPr>
          <w:rFonts w:ascii="Abadi" w:hAnsi="Abadi" w:cs="*Arial-5955-Identity-H"/>
          <w:color w:val="14131B"/>
          <w:sz w:val="21"/>
          <w:szCs w:val="21"/>
        </w:rPr>
        <w:t xml:space="preserve"> </w:t>
      </w:r>
      <w:r w:rsidRPr="00C0364D">
        <w:rPr>
          <w:rFonts w:ascii="Abadi" w:hAnsi="Abadi" w:cs="*Arial-5955-Identity-H"/>
          <w:color w:val="14131B"/>
          <w:sz w:val="21"/>
          <w:szCs w:val="21"/>
        </w:rPr>
        <w:t>usuarios, asegurando una cobertura integral y una oferta al alcance de la</w:t>
      </w:r>
      <w:r>
        <w:rPr>
          <w:rFonts w:ascii="Abadi" w:hAnsi="Abadi" w:cs="*Arial-5955-Identity-H"/>
          <w:color w:val="14131B"/>
          <w:sz w:val="21"/>
          <w:szCs w:val="21"/>
        </w:rPr>
        <w:t xml:space="preserve"> </w:t>
      </w:r>
      <w:r w:rsidRPr="00C0364D">
        <w:rPr>
          <w:rFonts w:ascii="Abadi" w:hAnsi="Abadi" w:cs="*Arial-5955-Identity-H"/>
          <w:color w:val="14131B"/>
          <w:sz w:val="21"/>
          <w:szCs w:val="21"/>
        </w:rPr>
        <w:t>población municipal que lo requiera.</w:t>
      </w:r>
    </w:p>
    <w:p w14:paraId="421C88EB" w14:textId="77777777" w:rsidR="005D7CEF" w:rsidRPr="00C0364D" w:rsidRDefault="005D7CEF" w:rsidP="005D7CEF">
      <w:pPr>
        <w:autoSpaceDE w:val="0"/>
        <w:autoSpaceDN w:val="0"/>
        <w:adjustRightInd w:val="0"/>
        <w:jc w:val="both"/>
        <w:rPr>
          <w:rFonts w:ascii="Abadi" w:hAnsi="Abadi" w:cs="*Arial-5955-Identity-H"/>
          <w:color w:val="14131B"/>
          <w:sz w:val="21"/>
          <w:szCs w:val="21"/>
        </w:rPr>
      </w:pPr>
    </w:p>
    <w:p w14:paraId="5BBD6DBF" w14:textId="77777777" w:rsidR="005D7CEF" w:rsidRDefault="005D7CEF" w:rsidP="005D7CEF">
      <w:pPr>
        <w:autoSpaceDE w:val="0"/>
        <w:autoSpaceDN w:val="0"/>
        <w:adjustRightInd w:val="0"/>
        <w:ind w:firstLine="708"/>
        <w:jc w:val="both"/>
        <w:rPr>
          <w:rFonts w:ascii="Abadi" w:hAnsi="Abadi" w:cs="*Arial-5955-Identity-H"/>
          <w:color w:val="13131A"/>
          <w:sz w:val="21"/>
          <w:szCs w:val="21"/>
        </w:rPr>
      </w:pPr>
      <w:r w:rsidRPr="00C0364D">
        <w:rPr>
          <w:rFonts w:ascii="Abadi" w:hAnsi="Abadi" w:cs="*Arial-5955-Identity-H"/>
          <w:color w:val="13131A"/>
          <w:sz w:val="21"/>
          <w:szCs w:val="21"/>
        </w:rPr>
        <w:t>Es así que en el caso que nos ocupa, se definió el objetivo general de la</w:t>
      </w:r>
      <w:r>
        <w:rPr>
          <w:rFonts w:ascii="Abadi" w:hAnsi="Abadi" w:cs="*Arial-5955-Identity-H"/>
          <w:color w:val="13131A"/>
          <w:sz w:val="21"/>
          <w:szCs w:val="21"/>
        </w:rPr>
        <w:t xml:space="preserve"> </w:t>
      </w:r>
      <w:r w:rsidRPr="00C0364D">
        <w:rPr>
          <w:rFonts w:ascii="Abadi" w:hAnsi="Abadi" w:cs="*Arial-5955-Identity-H"/>
          <w:color w:val="13131A"/>
          <w:sz w:val="21"/>
          <w:szCs w:val="21"/>
        </w:rPr>
        <w:t>auditoría con el propósito de verificar la capacidad del municipio de Acámbaro,</w:t>
      </w:r>
      <w:r>
        <w:rPr>
          <w:rFonts w:ascii="Abadi" w:hAnsi="Abadi" w:cs="*Arial-5955-Identity-H"/>
          <w:color w:val="13131A"/>
          <w:sz w:val="21"/>
          <w:szCs w:val="21"/>
        </w:rPr>
        <w:t xml:space="preserve"> </w:t>
      </w:r>
      <w:r w:rsidRPr="00C0364D">
        <w:rPr>
          <w:rFonts w:ascii="Abadi" w:hAnsi="Abadi" w:cs="*Arial-5955-Identity-H"/>
          <w:color w:val="13131A"/>
          <w:sz w:val="21"/>
          <w:szCs w:val="21"/>
        </w:rPr>
        <w:t>Gto., para lograr una prestación eficaz del servicio de alumbrado público a su</w:t>
      </w:r>
      <w:r>
        <w:rPr>
          <w:rFonts w:ascii="Abadi" w:hAnsi="Abadi" w:cs="*Arial-5955-Identity-H"/>
          <w:color w:val="13131A"/>
          <w:sz w:val="21"/>
          <w:szCs w:val="21"/>
        </w:rPr>
        <w:t xml:space="preserve"> </w:t>
      </w:r>
      <w:r w:rsidRPr="00C0364D">
        <w:rPr>
          <w:rFonts w:ascii="Abadi" w:hAnsi="Abadi" w:cs="*Arial-5955-Identity-H"/>
          <w:color w:val="13131A"/>
          <w:sz w:val="21"/>
          <w:szCs w:val="21"/>
        </w:rPr>
        <w:t>población, así como de conocer si las funciones de planificación, operación y</w:t>
      </w:r>
      <w:r>
        <w:rPr>
          <w:rFonts w:ascii="Abadi" w:hAnsi="Abadi" w:cs="*Arial-5955-Identity-H"/>
          <w:color w:val="13131A"/>
          <w:sz w:val="21"/>
          <w:szCs w:val="21"/>
        </w:rPr>
        <w:t xml:space="preserve"> </w:t>
      </w:r>
      <w:r w:rsidRPr="00C0364D">
        <w:rPr>
          <w:rFonts w:ascii="Abadi" w:hAnsi="Abadi" w:cs="*Arial-5955-Identity-H"/>
          <w:color w:val="13131A"/>
          <w:sz w:val="21"/>
          <w:szCs w:val="21"/>
        </w:rPr>
        <w:t>seguimiento se desarrollaron bajo el principio de eficiencia, ya que de ello</w:t>
      </w:r>
      <w:r>
        <w:rPr>
          <w:rFonts w:ascii="Abadi" w:hAnsi="Abadi" w:cs="*Arial-5955-Identity-H"/>
          <w:color w:val="13131A"/>
          <w:sz w:val="21"/>
          <w:szCs w:val="21"/>
        </w:rPr>
        <w:t xml:space="preserve"> </w:t>
      </w:r>
      <w:r w:rsidRPr="00C0364D">
        <w:rPr>
          <w:rFonts w:ascii="Abadi" w:hAnsi="Abadi" w:cs="*Arial-5955-Identity-H"/>
          <w:color w:val="13131A"/>
          <w:sz w:val="21"/>
          <w:szCs w:val="21"/>
        </w:rPr>
        <w:t xml:space="preserve">depende el </w:t>
      </w:r>
      <w:r>
        <w:rPr>
          <w:rFonts w:ascii="Abadi" w:hAnsi="Abadi" w:cs="*Arial-5955-Identity-H"/>
          <w:color w:val="13131A"/>
          <w:sz w:val="21"/>
          <w:szCs w:val="21"/>
        </w:rPr>
        <w:t>grado</w:t>
      </w:r>
      <w:r w:rsidRPr="00C0364D">
        <w:rPr>
          <w:rFonts w:ascii="Abadi" w:hAnsi="Abadi" w:cs="*Arial-5955-Identity-H"/>
          <w:color w:val="13131A"/>
          <w:sz w:val="21"/>
          <w:szCs w:val="21"/>
        </w:rPr>
        <w:t xml:space="preserve"> de satisfacción de la comunidad.</w:t>
      </w:r>
    </w:p>
    <w:p w14:paraId="0D281214" w14:textId="77777777" w:rsidR="005D7CEF" w:rsidRPr="00C0364D" w:rsidRDefault="005D7CEF" w:rsidP="005D7CEF">
      <w:pPr>
        <w:autoSpaceDE w:val="0"/>
        <w:autoSpaceDN w:val="0"/>
        <w:adjustRightInd w:val="0"/>
        <w:jc w:val="both"/>
        <w:rPr>
          <w:rFonts w:ascii="Abadi" w:hAnsi="Abadi" w:cs="*Arial-5955-Identity-H"/>
          <w:color w:val="13131A"/>
          <w:sz w:val="21"/>
          <w:szCs w:val="21"/>
        </w:rPr>
      </w:pPr>
    </w:p>
    <w:p w14:paraId="554A4D00" w14:textId="77777777" w:rsidR="005D7CEF" w:rsidRPr="00C0364D" w:rsidRDefault="005D7CEF" w:rsidP="005D7CEF">
      <w:pPr>
        <w:autoSpaceDE w:val="0"/>
        <w:autoSpaceDN w:val="0"/>
        <w:adjustRightInd w:val="0"/>
        <w:ind w:firstLine="708"/>
        <w:jc w:val="both"/>
        <w:rPr>
          <w:rFonts w:ascii="Abadi" w:hAnsi="Abadi" w:cs="*Arial-5955-Identity-H"/>
          <w:color w:val="14131C"/>
          <w:sz w:val="21"/>
          <w:szCs w:val="21"/>
        </w:rPr>
      </w:pPr>
      <w:r w:rsidRPr="00C0364D">
        <w:rPr>
          <w:rFonts w:ascii="Abadi" w:hAnsi="Abadi" w:cs="*Arial-5955-Identity-H"/>
          <w:color w:val="14131C"/>
          <w:sz w:val="21"/>
          <w:szCs w:val="21"/>
        </w:rPr>
        <w:t>Para su consecución, las labores de la Auditoría Superior del Estado</w:t>
      </w:r>
      <w:r>
        <w:rPr>
          <w:rFonts w:ascii="Abadi" w:hAnsi="Abadi" w:cs="*Arial-5955-Identity-H"/>
          <w:color w:val="14131C"/>
          <w:sz w:val="21"/>
          <w:szCs w:val="21"/>
        </w:rPr>
        <w:t xml:space="preserve"> </w:t>
      </w:r>
      <w:r w:rsidRPr="00C0364D">
        <w:rPr>
          <w:rFonts w:ascii="Abadi" w:hAnsi="Abadi" w:cs="*Arial-5955-Identity-H"/>
          <w:color w:val="14131C"/>
          <w:sz w:val="21"/>
          <w:szCs w:val="21"/>
        </w:rPr>
        <w:t>consideraron la verificación de la existencia de procesos diagnósticos o de</w:t>
      </w:r>
      <w:r>
        <w:rPr>
          <w:rFonts w:ascii="Abadi" w:hAnsi="Abadi" w:cs="*Arial-5955-Identity-H"/>
          <w:color w:val="14131C"/>
          <w:sz w:val="21"/>
          <w:szCs w:val="21"/>
        </w:rPr>
        <w:t xml:space="preserve"> </w:t>
      </w:r>
      <w:r w:rsidRPr="00C0364D">
        <w:rPr>
          <w:rFonts w:ascii="Abadi" w:hAnsi="Abadi" w:cs="*Arial-5955-Identity-H"/>
          <w:color w:val="14131C"/>
          <w:sz w:val="21"/>
          <w:szCs w:val="21"/>
        </w:rPr>
        <w:t>planificación que permitieran a la administración municipal conocer la oferta del</w:t>
      </w:r>
      <w:r>
        <w:rPr>
          <w:rFonts w:ascii="Abadi" w:hAnsi="Abadi" w:cs="*Arial-5955-Identity-H"/>
          <w:color w:val="14131C"/>
          <w:sz w:val="21"/>
          <w:szCs w:val="21"/>
        </w:rPr>
        <w:t xml:space="preserve"> </w:t>
      </w:r>
      <w:r w:rsidRPr="00C0364D">
        <w:rPr>
          <w:rFonts w:ascii="Abadi" w:hAnsi="Abadi" w:cs="*Arial-5955-Identity-H"/>
          <w:color w:val="14131C"/>
          <w:sz w:val="21"/>
          <w:szCs w:val="21"/>
        </w:rPr>
        <w:t>servicio y las brechas por cubrir, definir la estimación de recursos para una</w:t>
      </w:r>
      <w:r>
        <w:rPr>
          <w:rFonts w:ascii="Abadi" w:hAnsi="Abadi" w:cs="*Arial-5955-Identity-H"/>
          <w:color w:val="14131C"/>
          <w:sz w:val="21"/>
          <w:szCs w:val="21"/>
        </w:rPr>
        <w:t xml:space="preserve"> </w:t>
      </w:r>
      <w:r w:rsidRPr="00C0364D">
        <w:rPr>
          <w:rFonts w:ascii="Abadi" w:hAnsi="Abadi" w:cs="*Arial-5955-Identity-H"/>
          <w:color w:val="14131C"/>
          <w:sz w:val="21"/>
          <w:szCs w:val="21"/>
        </w:rPr>
        <w:t>adecuada operación y la definición de metas y objetivos orientados a la mejora del</w:t>
      </w:r>
      <w:r>
        <w:rPr>
          <w:rFonts w:ascii="Abadi" w:hAnsi="Abadi" w:cs="*Arial-5955-Identity-H"/>
          <w:color w:val="14131C"/>
          <w:sz w:val="21"/>
          <w:szCs w:val="21"/>
        </w:rPr>
        <w:t xml:space="preserve"> </w:t>
      </w:r>
      <w:r w:rsidRPr="00C0364D">
        <w:rPr>
          <w:rFonts w:ascii="Abadi" w:hAnsi="Abadi" w:cs="*Arial-5955-Identity-H"/>
          <w:color w:val="14131C"/>
          <w:sz w:val="21"/>
          <w:szCs w:val="21"/>
        </w:rPr>
        <w:t>servicio. R</w:t>
      </w:r>
      <w:r>
        <w:rPr>
          <w:rFonts w:ascii="Abadi" w:hAnsi="Abadi" w:cs="*Arial-5955-Identity-H"/>
          <w:color w:val="14131C"/>
          <w:sz w:val="21"/>
          <w:szCs w:val="21"/>
        </w:rPr>
        <w:t>e</w:t>
      </w:r>
      <w:r w:rsidRPr="00C0364D">
        <w:rPr>
          <w:rFonts w:ascii="Abadi" w:hAnsi="Abadi" w:cs="*Arial-5955-Identity-H"/>
          <w:color w:val="14131C"/>
          <w:sz w:val="21"/>
          <w:szCs w:val="21"/>
        </w:rPr>
        <w:t>specto de la operación, se consideró la verificación del establecimiento</w:t>
      </w:r>
      <w:r>
        <w:rPr>
          <w:rFonts w:ascii="Abadi" w:hAnsi="Abadi" w:cs="*Arial-5955-Identity-H"/>
          <w:color w:val="14131C"/>
          <w:sz w:val="21"/>
          <w:szCs w:val="21"/>
        </w:rPr>
        <w:t xml:space="preserve"> </w:t>
      </w:r>
      <w:r w:rsidRPr="00C0364D">
        <w:rPr>
          <w:rFonts w:ascii="Abadi" w:hAnsi="Abadi" w:cs="*Arial-5955-Identity-H"/>
          <w:color w:val="14131C"/>
          <w:sz w:val="21"/>
          <w:szCs w:val="21"/>
        </w:rPr>
        <w:t>de un marco normativo adecuado y vigente, la programación de actividades y su</w:t>
      </w:r>
      <w:r>
        <w:rPr>
          <w:rFonts w:ascii="Abadi" w:hAnsi="Abadi" w:cs="*Arial-5955-Identity-H"/>
          <w:color w:val="14131C"/>
          <w:sz w:val="21"/>
          <w:szCs w:val="21"/>
        </w:rPr>
        <w:t xml:space="preserve"> </w:t>
      </w:r>
      <w:r w:rsidRPr="00C0364D">
        <w:rPr>
          <w:rFonts w:ascii="Abadi" w:hAnsi="Abadi" w:cs="*Arial-5955-Identity-H"/>
          <w:color w:val="14131C"/>
          <w:sz w:val="21"/>
          <w:szCs w:val="21"/>
        </w:rPr>
        <w:t>consecución, los mecanismos de atención ciudadana para el reporte de fallas y los</w:t>
      </w:r>
      <w:r>
        <w:rPr>
          <w:rFonts w:ascii="Abadi" w:hAnsi="Abadi" w:cs="*Arial-5955-Identity-H"/>
          <w:color w:val="14131C"/>
          <w:sz w:val="21"/>
          <w:szCs w:val="21"/>
        </w:rPr>
        <w:t xml:space="preserve"> </w:t>
      </w:r>
      <w:r w:rsidRPr="00C0364D">
        <w:rPr>
          <w:rFonts w:ascii="Abadi" w:hAnsi="Abadi" w:cs="*Arial-5955-Identity-H"/>
          <w:color w:val="14131C"/>
          <w:sz w:val="21"/>
          <w:szCs w:val="21"/>
        </w:rPr>
        <w:t>resultados en la cobertura, mantenimiento y satisfacción. También se revisaron los</w:t>
      </w:r>
      <w:r>
        <w:rPr>
          <w:rFonts w:ascii="Abadi" w:hAnsi="Abadi" w:cs="*Arial-5955-Identity-H"/>
          <w:color w:val="14131C"/>
          <w:sz w:val="21"/>
          <w:szCs w:val="21"/>
        </w:rPr>
        <w:t xml:space="preserve"> </w:t>
      </w:r>
      <w:r w:rsidRPr="00C0364D">
        <w:rPr>
          <w:rFonts w:ascii="Abadi" w:hAnsi="Abadi" w:cs="*Arial-5955-Identity-H"/>
          <w:color w:val="14131C"/>
          <w:sz w:val="21"/>
          <w:szCs w:val="21"/>
        </w:rPr>
        <w:t>mecanismos de monitoreo y evaluación, con el objetivo de analizar el desempeño</w:t>
      </w:r>
      <w:r>
        <w:rPr>
          <w:rFonts w:ascii="Abadi" w:hAnsi="Abadi" w:cs="*Arial-5955-Identity-H"/>
          <w:color w:val="14131C"/>
          <w:sz w:val="21"/>
          <w:szCs w:val="21"/>
        </w:rPr>
        <w:t xml:space="preserve"> </w:t>
      </w:r>
      <w:r w:rsidRPr="00C0364D">
        <w:rPr>
          <w:rFonts w:ascii="Abadi" w:hAnsi="Abadi" w:cs="*Arial-5955-Identity-H"/>
          <w:color w:val="14131C"/>
          <w:sz w:val="21"/>
          <w:szCs w:val="21"/>
        </w:rPr>
        <w:t>del Municipio en el otorgamiento del servicio, y verificar la eficiencia y la eficacia</w:t>
      </w:r>
      <w:r>
        <w:rPr>
          <w:rFonts w:ascii="Abadi" w:hAnsi="Abadi" w:cs="*Arial-5955-Identity-H"/>
          <w:color w:val="14131C"/>
          <w:sz w:val="21"/>
          <w:szCs w:val="21"/>
        </w:rPr>
        <w:t xml:space="preserve"> </w:t>
      </w:r>
      <w:r w:rsidRPr="00C0364D">
        <w:rPr>
          <w:rFonts w:ascii="Abadi" w:hAnsi="Abadi" w:cs="*Arial-5955-Identity-H"/>
          <w:color w:val="14131C"/>
          <w:sz w:val="21"/>
          <w:szCs w:val="21"/>
        </w:rPr>
        <w:t>del alumbrado público municipal en beneficio de la ciudadanía.</w:t>
      </w:r>
    </w:p>
    <w:p w14:paraId="1E78DAA2" w14:textId="77777777" w:rsidR="005D7CEF" w:rsidRPr="00C0364D" w:rsidRDefault="005D7CEF" w:rsidP="005D7CEF">
      <w:pPr>
        <w:jc w:val="both"/>
        <w:rPr>
          <w:rFonts w:ascii="Abadi" w:hAnsi="Abadi" w:cs="*Arial-5955-Identity-H"/>
          <w:color w:val="14131C"/>
          <w:sz w:val="21"/>
          <w:szCs w:val="21"/>
        </w:rPr>
      </w:pPr>
    </w:p>
    <w:p w14:paraId="1D684654" w14:textId="77777777" w:rsidR="005D7CEF" w:rsidRDefault="005D7CEF" w:rsidP="005D7CEF">
      <w:pPr>
        <w:autoSpaceDE w:val="0"/>
        <w:autoSpaceDN w:val="0"/>
        <w:adjustRightInd w:val="0"/>
        <w:ind w:firstLine="708"/>
        <w:jc w:val="both"/>
        <w:rPr>
          <w:rFonts w:ascii="Abadi" w:hAnsi="Abadi" w:cs="*Arial-5528-Identity-H"/>
          <w:color w:val="14131C"/>
          <w:sz w:val="21"/>
          <w:szCs w:val="21"/>
        </w:rPr>
      </w:pPr>
      <w:r w:rsidRPr="00C0364D">
        <w:rPr>
          <w:rFonts w:ascii="Abadi" w:hAnsi="Abadi" w:cs="*Arial-5528-Identity-H"/>
          <w:color w:val="14131C"/>
          <w:sz w:val="21"/>
          <w:szCs w:val="21"/>
        </w:rPr>
        <w:t>Asimismo, se hace constar que la administración pública municipal de</w:t>
      </w:r>
      <w:r>
        <w:rPr>
          <w:rFonts w:ascii="Abadi" w:hAnsi="Abadi" w:cs="*Arial-5528-Identity-H"/>
          <w:color w:val="14131C"/>
          <w:sz w:val="21"/>
          <w:szCs w:val="21"/>
        </w:rPr>
        <w:t xml:space="preserve"> </w:t>
      </w:r>
      <w:r w:rsidRPr="00C0364D">
        <w:rPr>
          <w:rFonts w:ascii="Abadi" w:hAnsi="Abadi" w:cs="*Arial-5528-Identity-H"/>
          <w:color w:val="14131C"/>
          <w:sz w:val="21"/>
          <w:szCs w:val="21"/>
        </w:rPr>
        <w:t>Acámbaro, Gto., implementó acciones para otorgar el servicio de alumbrado</w:t>
      </w:r>
      <w:r>
        <w:rPr>
          <w:rFonts w:ascii="Abadi" w:hAnsi="Abadi" w:cs="*Arial-5528-Identity-H"/>
          <w:color w:val="14131C"/>
          <w:sz w:val="21"/>
          <w:szCs w:val="21"/>
        </w:rPr>
        <w:t xml:space="preserve"> </w:t>
      </w:r>
      <w:r w:rsidRPr="00C0364D">
        <w:rPr>
          <w:rFonts w:ascii="Abadi" w:hAnsi="Abadi" w:cs="*Arial-5528-Identity-H"/>
          <w:color w:val="14131C"/>
          <w:sz w:val="21"/>
          <w:szCs w:val="21"/>
        </w:rPr>
        <w:t>público a la población, identificándose entre sus fortalezas que el servicio de</w:t>
      </w:r>
      <w:r>
        <w:rPr>
          <w:rFonts w:ascii="Abadi" w:hAnsi="Abadi" w:cs="*Arial-5528-Identity-H"/>
          <w:color w:val="14131C"/>
          <w:sz w:val="21"/>
          <w:szCs w:val="21"/>
        </w:rPr>
        <w:t xml:space="preserve"> </w:t>
      </w:r>
      <w:r w:rsidRPr="00C0364D">
        <w:rPr>
          <w:rFonts w:ascii="Abadi" w:hAnsi="Abadi" w:cs="*Arial-5528-Identity-H"/>
          <w:color w:val="14131C"/>
          <w:sz w:val="21"/>
          <w:szCs w:val="21"/>
        </w:rPr>
        <w:t>alumbrado público es un tema</w:t>
      </w:r>
      <w:r>
        <w:rPr>
          <w:rFonts w:ascii="Abadi" w:hAnsi="Abadi" w:cs="*Arial-5528-Identity-H"/>
          <w:color w:val="14131C"/>
          <w:sz w:val="21"/>
          <w:szCs w:val="21"/>
        </w:rPr>
        <w:t xml:space="preserve"> </w:t>
      </w:r>
      <w:r w:rsidRPr="00C0364D">
        <w:rPr>
          <w:rFonts w:ascii="Abadi" w:hAnsi="Abadi" w:cs="*Arial-5528-Identity-H"/>
          <w:color w:val="14131C"/>
          <w:sz w:val="21"/>
          <w:szCs w:val="21"/>
        </w:rPr>
        <w:t>prioritario para el desarrollo municipal, al</w:t>
      </w:r>
      <w:r>
        <w:rPr>
          <w:rFonts w:ascii="Abadi" w:hAnsi="Abadi" w:cs="*Arial-5528-Identity-H"/>
          <w:color w:val="14131C"/>
          <w:sz w:val="21"/>
          <w:szCs w:val="21"/>
        </w:rPr>
        <w:t xml:space="preserve"> </w:t>
      </w:r>
      <w:r w:rsidRPr="00C0364D">
        <w:rPr>
          <w:rFonts w:ascii="Abadi" w:hAnsi="Abadi" w:cs="*Arial-5528-Identity-H"/>
          <w:color w:val="14131C"/>
          <w:sz w:val="21"/>
          <w:szCs w:val="21"/>
        </w:rPr>
        <w:t>considerarlo dentro de la agenda. Además, en el ejercicio auditado se contó con el</w:t>
      </w:r>
      <w:r>
        <w:rPr>
          <w:rFonts w:ascii="Abadi" w:hAnsi="Abadi" w:cs="*Arial-5528-Identity-H"/>
          <w:color w:val="14131C"/>
          <w:sz w:val="21"/>
          <w:szCs w:val="21"/>
        </w:rPr>
        <w:t xml:space="preserve"> </w:t>
      </w:r>
      <w:r w:rsidRPr="00C0364D">
        <w:rPr>
          <w:rFonts w:ascii="Abadi" w:hAnsi="Abadi" w:cs="*Arial-5528-Identity-H"/>
          <w:color w:val="14131C"/>
          <w:sz w:val="21"/>
          <w:szCs w:val="21"/>
        </w:rPr>
        <w:t xml:space="preserve">programa presupuestario </w:t>
      </w:r>
      <w:r w:rsidRPr="00C0364D">
        <w:rPr>
          <w:rFonts w:ascii="Abadi" w:hAnsi="Abadi" w:cs="*Arial-Italic-5529-Identity-H"/>
          <w:i/>
          <w:iCs/>
          <w:color w:val="14131C"/>
          <w:sz w:val="21"/>
          <w:szCs w:val="21"/>
        </w:rPr>
        <w:t xml:space="preserve">E0001 Prestación de Servicios Públicos, </w:t>
      </w:r>
      <w:r w:rsidRPr="00C0364D">
        <w:rPr>
          <w:rFonts w:ascii="Abadi" w:hAnsi="Abadi" w:cs="*Arial-5528-Identity-H"/>
          <w:color w:val="14131C"/>
          <w:sz w:val="21"/>
          <w:szCs w:val="21"/>
        </w:rPr>
        <w:t>siendo</w:t>
      </w:r>
      <w:r>
        <w:rPr>
          <w:rFonts w:ascii="Abadi" w:hAnsi="Abadi" w:cs="*Arial-5528-Identity-H"/>
          <w:color w:val="14131C"/>
          <w:sz w:val="21"/>
          <w:szCs w:val="21"/>
        </w:rPr>
        <w:t xml:space="preserve"> </w:t>
      </w:r>
      <w:r w:rsidRPr="00C0364D">
        <w:rPr>
          <w:rFonts w:ascii="Abadi" w:hAnsi="Abadi" w:cs="*Arial-5528-Identity-H"/>
          <w:color w:val="14131C"/>
          <w:sz w:val="21"/>
          <w:szCs w:val="21"/>
        </w:rPr>
        <w:t>específico para el tema. También se contó con un mecanismo para el proceso de</w:t>
      </w:r>
      <w:r>
        <w:rPr>
          <w:rFonts w:ascii="Abadi" w:hAnsi="Abadi" w:cs="*Arial-5528-Identity-H"/>
          <w:color w:val="14131C"/>
          <w:sz w:val="21"/>
          <w:szCs w:val="21"/>
        </w:rPr>
        <w:t xml:space="preserve"> </w:t>
      </w:r>
      <w:r w:rsidRPr="00C0364D">
        <w:rPr>
          <w:rFonts w:ascii="Abadi" w:hAnsi="Abadi" w:cs="*Arial-5528-Identity-H"/>
          <w:color w:val="14131C"/>
          <w:sz w:val="21"/>
          <w:szCs w:val="21"/>
        </w:rPr>
        <w:t>atención de los reportes ciudadanos por fallas en el servicio, mismo que</w:t>
      </w:r>
      <w:r>
        <w:rPr>
          <w:rFonts w:ascii="Abadi" w:hAnsi="Abadi" w:cs="*Arial-5528-Identity-H"/>
          <w:color w:val="14131C"/>
          <w:sz w:val="21"/>
          <w:szCs w:val="21"/>
        </w:rPr>
        <w:t xml:space="preserve"> </w:t>
      </w:r>
      <w:r w:rsidRPr="00C0364D">
        <w:rPr>
          <w:rFonts w:ascii="Abadi" w:hAnsi="Abadi" w:cs="*Arial-5528-Identity-H"/>
          <w:color w:val="14131C"/>
          <w:sz w:val="21"/>
          <w:szCs w:val="21"/>
        </w:rPr>
        <w:t>contribuye a la programación del mantenimiento en el servicio de alumbrado</w:t>
      </w:r>
      <w:r>
        <w:rPr>
          <w:rFonts w:ascii="Abadi" w:hAnsi="Abadi" w:cs="*Arial-5528-Identity-H"/>
          <w:color w:val="14131C"/>
          <w:sz w:val="21"/>
          <w:szCs w:val="21"/>
        </w:rPr>
        <w:t xml:space="preserve"> </w:t>
      </w:r>
      <w:r w:rsidRPr="00C0364D">
        <w:rPr>
          <w:rFonts w:ascii="Abadi" w:hAnsi="Abadi" w:cs="*Arial-5528-Identity-H"/>
          <w:color w:val="14131C"/>
          <w:sz w:val="21"/>
          <w:szCs w:val="21"/>
        </w:rPr>
        <w:t>público. No obstante, quedó en evidencia que la gestión del servicio presentó</w:t>
      </w:r>
      <w:r>
        <w:rPr>
          <w:rFonts w:ascii="Abadi" w:hAnsi="Abadi" w:cs="*Arial-5528-Identity-H"/>
          <w:color w:val="14131C"/>
          <w:sz w:val="21"/>
          <w:szCs w:val="21"/>
        </w:rPr>
        <w:t xml:space="preserve"> </w:t>
      </w:r>
      <w:r w:rsidRPr="00C0364D">
        <w:rPr>
          <w:rFonts w:ascii="Abadi" w:hAnsi="Abadi" w:cs="*Arial-5528-Identity-H"/>
          <w:color w:val="14131C"/>
          <w:sz w:val="21"/>
          <w:szCs w:val="21"/>
        </w:rPr>
        <w:t>áreas de oportunidad.</w:t>
      </w:r>
    </w:p>
    <w:p w14:paraId="445ED750" w14:textId="77777777" w:rsidR="005D7CEF" w:rsidRPr="00C0364D" w:rsidRDefault="005D7CEF" w:rsidP="005D7CEF">
      <w:pPr>
        <w:autoSpaceDE w:val="0"/>
        <w:autoSpaceDN w:val="0"/>
        <w:adjustRightInd w:val="0"/>
        <w:jc w:val="both"/>
        <w:rPr>
          <w:rFonts w:ascii="Abadi" w:hAnsi="Abadi" w:cs="*Arial-5528-Identity-H"/>
          <w:color w:val="14131C"/>
          <w:sz w:val="21"/>
          <w:szCs w:val="21"/>
        </w:rPr>
      </w:pPr>
    </w:p>
    <w:p w14:paraId="0576E6E4" w14:textId="77777777" w:rsidR="005D7CEF" w:rsidRDefault="005D7CEF" w:rsidP="005D7CEF">
      <w:pPr>
        <w:autoSpaceDE w:val="0"/>
        <w:autoSpaceDN w:val="0"/>
        <w:adjustRightInd w:val="0"/>
        <w:ind w:firstLine="708"/>
        <w:jc w:val="both"/>
        <w:rPr>
          <w:rFonts w:ascii="Abadi" w:hAnsi="Abadi" w:cs="*Arial-5528-Identity-H"/>
          <w:color w:val="14131B"/>
          <w:sz w:val="21"/>
          <w:szCs w:val="21"/>
        </w:rPr>
      </w:pPr>
      <w:r w:rsidRPr="00C0364D">
        <w:rPr>
          <w:rFonts w:ascii="Abadi" w:hAnsi="Abadi" w:cs="*Arial-5528-Identity-H"/>
          <w:color w:val="14131B"/>
          <w:sz w:val="21"/>
          <w:szCs w:val="21"/>
        </w:rPr>
        <w:t>En cuanto a la gestión de la planificación se verificó que las actividades</w:t>
      </w:r>
      <w:r>
        <w:rPr>
          <w:rFonts w:ascii="Abadi" w:hAnsi="Abadi" w:cs="*Arial-5528-Identity-H"/>
          <w:color w:val="14131B"/>
          <w:sz w:val="21"/>
          <w:szCs w:val="21"/>
        </w:rPr>
        <w:t xml:space="preserve">  </w:t>
      </w:r>
      <w:r w:rsidRPr="00C0364D">
        <w:rPr>
          <w:rFonts w:ascii="Abadi" w:hAnsi="Abadi" w:cs="*Arial-5528-Identity-H"/>
          <w:color w:val="14131B"/>
          <w:sz w:val="21"/>
          <w:szCs w:val="21"/>
        </w:rPr>
        <w:t>llevadas a cabo por el sujeto fiscalizado en 2020 no le permitieron contar con</w:t>
      </w:r>
      <w:r>
        <w:rPr>
          <w:rFonts w:ascii="Abadi" w:hAnsi="Abadi" w:cs="*Arial-5528-Identity-H"/>
          <w:color w:val="14131B"/>
          <w:sz w:val="21"/>
          <w:szCs w:val="21"/>
        </w:rPr>
        <w:t xml:space="preserve"> </w:t>
      </w:r>
      <w:r w:rsidRPr="00C0364D">
        <w:rPr>
          <w:rFonts w:ascii="Abadi" w:hAnsi="Abadi" w:cs="*Arial-5528-Identity-H"/>
          <w:color w:val="14131B"/>
          <w:sz w:val="21"/>
          <w:szCs w:val="21"/>
        </w:rPr>
        <w:t>información cualitativa y cuantitativa de las luminarias, lo que limitó conocer la</w:t>
      </w:r>
      <w:r>
        <w:rPr>
          <w:rFonts w:ascii="Abadi" w:hAnsi="Abadi" w:cs="*Arial-5528-Identity-H"/>
          <w:color w:val="14131B"/>
          <w:sz w:val="21"/>
          <w:szCs w:val="21"/>
        </w:rPr>
        <w:t xml:space="preserve"> </w:t>
      </w:r>
      <w:r w:rsidRPr="00C0364D">
        <w:rPr>
          <w:rFonts w:ascii="Abadi" w:hAnsi="Abadi" w:cs="*Arial-5528-Identity-H"/>
          <w:color w:val="14131B"/>
          <w:sz w:val="21"/>
          <w:szCs w:val="21"/>
        </w:rPr>
        <w:t>oferta del servicio de alumbrado público, información relevante para identificar los</w:t>
      </w:r>
      <w:r>
        <w:rPr>
          <w:rFonts w:ascii="Abadi" w:hAnsi="Abadi" w:cs="*Arial-5528-Identity-H"/>
          <w:color w:val="14131B"/>
          <w:sz w:val="21"/>
          <w:szCs w:val="21"/>
        </w:rPr>
        <w:t xml:space="preserve"> </w:t>
      </w:r>
      <w:r w:rsidRPr="00C0364D">
        <w:rPr>
          <w:rFonts w:ascii="Abadi" w:hAnsi="Abadi" w:cs="*Arial-5528-Identity-H"/>
          <w:color w:val="14131B"/>
          <w:sz w:val="21"/>
          <w:szCs w:val="21"/>
        </w:rPr>
        <w:t>rezagos, demandas y necesidades de sus habitantes, así como las características</w:t>
      </w:r>
      <w:r>
        <w:rPr>
          <w:rFonts w:ascii="Abadi" w:hAnsi="Abadi" w:cs="*Arial-5528-Identity-H"/>
          <w:color w:val="14131B"/>
          <w:sz w:val="21"/>
          <w:szCs w:val="21"/>
        </w:rPr>
        <w:t xml:space="preserve"> </w:t>
      </w:r>
      <w:r w:rsidRPr="00C0364D">
        <w:rPr>
          <w:rFonts w:ascii="Abadi" w:hAnsi="Abadi" w:cs="*Arial-5528-Identity-H"/>
          <w:color w:val="14131B"/>
          <w:sz w:val="21"/>
          <w:szCs w:val="21"/>
        </w:rPr>
        <w:t>técnicas y de localización de la infraestructura existente; evidenciando además la</w:t>
      </w:r>
      <w:r>
        <w:rPr>
          <w:rFonts w:ascii="Abadi" w:hAnsi="Abadi" w:cs="*Arial-5528-Identity-H"/>
          <w:color w:val="14131B"/>
          <w:sz w:val="21"/>
          <w:szCs w:val="21"/>
        </w:rPr>
        <w:t xml:space="preserve"> </w:t>
      </w:r>
      <w:r w:rsidRPr="00C0364D">
        <w:rPr>
          <w:rFonts w:ascii="Abadi" w:hAnsi="Abadi" w:cs="*Arial-5528-Identity-H"/>
          <w:color w:val="14131B"/>
          <w:sz w:val="21"/>
          <w:szCs w:val="21"/>
        </w:rPr>
        <w:t>falta de mecanismos de control para asegurar el cumplimiento del título-concesión</w:t>
      </w:r>
      <w:r>
        <w:rPr>
          <w:rFonts w:ascii="Abadi" w:hAnsi="Abadi" w:cs="*Arial-5528-Identity-H"/>
          <w:color w:val="14131B"/>
          <w:sz w:val="21"/>
          <w:szCs w:val="21"/>
        </w:rPr>
        <w:t xml:space="preserve"> </w:t>
      </w:r>
      <w:r w:rsidRPr="00C0364D">
        <w:rPr>
          <w:rFonts w:ascii="Abadi" w:hAnsi="Abadi" w:cs="*Arial-5528-Identity-H"/>
          <w:color w:val="14131B"/>
          <w:sz w:val="21"/>
          <w:szCs w:val="21"/>
        </w:rPr>
        <w:t>respecto del reemplazo de luminarias por tecnología LEO.</w:t>
      </w:r>
    </w:p>
    <w:p w14:paraId="3D846F9A" w14:textId="77777777" w:rsidR="005D7CEF" w:rsidRPr="00C0364D" w:rsidRDefault="005D7CEF" w:rsidP="005D7CEF">
      <w:pPr>
        <w:autoSpaceDE w:val="0"/>
        <w:autoSpaceDN w:val="0"/>
        <w:adjustRightInd w:val="0"/>
        <w:jc w:val="both"/>
        <w:rPr>
          <w:rFonts w:ascii="Abadi" w:hAnsi="Abadi" w:cs="*Arial-5528-Identity-H"/>
          <w:color w:val="14131B"/>
          <w:sz w:val="21"/>
          <w:szCs w:val="21"/>
        </w:rPr>
      </w:pPr>
    </w:p>
    <w:p w14:paraId="1CBA3852" w14:textId="77777777" w:rsidR="005D7CEF" w:rsidRPr="00C0364D" w:rsidRDefault="005D7CEF" w:rsidP="005D7CEF">
      <w:pPr>
        <w:autoSpaceDE w:val="0"/>
        <w:autoSpaceDN w:val="0"/>
        <w:adjustRightInd w:val="0"/>
        <w:ind w:firstLine="708"/>
        <w:jc w:val="both"/>
        <w:rPr>
          <w:rFonts w:ascii="Abadi" w:hAnsi="Abadi" w:cs="*Arial-5528-Identity-H"/>
          <w:color w:val="14131B"/>
          <w:sz w:val="21"/>
          <w:szCs w:val="21"/>
        </w:rPr>
      </w:pPr>
      <w:r w:rsidRPr="00C0364D">
        <w:rPr>
          <w:rFonts w:ascii="Abadi" w:hAnsi="Abadi" w:cs="*Arial-5528-Identity-H"/>
          <w:color w:val="14131B"/>
          <w:sz w:val="21"/>
          <w:szCs w:val="21"/>
        </w:rPr>
        <w:t>En este orden de ideas, se reconoce que el sujeto fiscalizado alineó el tema</w:t>
      </w:r>
      <w:r>
        <w:rPr>
          <w:rFonts w:ascii="Abadi" w:hAnsi="Abadi" w:cs="*Arial-5528-Identity-H"/>
          <w:color w:val="14131B"/>
          <w:sz w:val="21"/>
          <w:szCs w:val="21"/>
        </w:rPr>
        <w:t xml:space="preserve"> </w:t>
      </w:r>
      <w:r w:rsidRPr="00C0364D">
        <w:rPr>
          <w:rFonts w:ascii="Abadi" w:hAnsi="Abadi" w:cs="*Arial-5528-Identity-H"/>
          <w:color w:val="14131B"/>
          <w:sz w:val="21"/>
          <w:szCs w:val="21"/>
        </w:rPr>
        <w:t>del servicio de alumbrado público a sus instrumentos de planeación, como asunto</w:t>
      </w:r>
      <w:r>
        <w:rPr>
          <w:rFonts w:ascii="Abadi" w:hAnsi="Abadi" w:cs="*Arial-5528-Identity-H"/>
          <w:color w:val="14131B"/>
          <w:sz w:val="21"/>
          <w:szCs w:val="21"/>
        </w:rPr>
        <w:t xml:space="preserve"> </w:t>
      </w:r>
      <w:r w:rsidRPr="00C0364D">
        <w:rPr>
          <w:rFonts w:ascii="Abadi" w:hAnsi="Abadi" w:cs="*Arial-5528-Identity-H"/>
          <w:color w:val="14131B"/>
          <w:sz w:val="21"/>
          <w:szCs w:val="21"/>
        </w:rPr>
        <w:t>prioritario, al incluir objetivos para impulsar la producción de energía alterna, el uso</w:t>
      </w:r>
      <w:r>
        <w:rPr>
          <w:rFonts w:ascii="Abadi" w:hAnsi="Abadi" w:cs="*Arial-5528-Identity-H"/>
          <w:color w:val="14131B"/>
          <w:sz w:val="21"/>
          <w:szCs w:val="21"/>
        </w:rPr>
        <w:t xml:space="preserve"> </w:t>
      </w:r>
      <w:r w:rsidRPr="00C0364D">
        <w:rPr>
          <w:rFonts w:ascii="Abadi" w:hAnsi="Abadi" w:cs="*Arial-5528-Identity-H"/>
          <w:color w:val="14131B"/>
          <w:sz w:val="21"/>
          <w:szCs w:val="21"/>
        </w:rPr>
        <w:t>de tecnología LEO en la red de alumbrado público y la gestión de energías</w:t>
      </w:r>
      <w:r>
        <w:rPr>
          <w:rFonts w:ascii="Abadi" w:hAnsi="Abadi" w:cs="*Arial-5528-Identity-H"/>
          <w:color w:val="14131B"/>
          <w:sz w:val="21"/>
          <w:szCs w:val="21"/>
        </w:rPr>
        <w:t xml:space="preserve"> </w:t>
      </w:r>
      <w:r w:rsidRPr="00C0364D">
        <w:rPr>
          <w:rFonts w:ascii="Abadi" w:hAnsi="Abadi" w:cs="*Arial-5528-Identity-H"/>
          <w:color w:val="14131B"/>
          <w:sz w:val="21"/>
          <w:szCs w:val="21"/>
        </w:rPr>
        <w:t xml:space="preserve">renovables, además de contar con el programa </w:t>
      </w:r>
      <w:r w:rsidRPr="00C0364D">
        <w:rPr>
          <w:rFonts w:ascii="Abadi" w:hAnsi="Abadi" w:cs="*Arial-Italic-5529-Identity-H"/>
          <w:i/>
          <w:iCs/>
          <w:color w:val="14131B"/>
          <w:sz w:val="21"/>
          <w:szCs w:val="21"/>
        </w:rPr>
        <w:t>E0001 Prestación de Servicios</w:t>
      </w:r>
      <w:r>
        <w:rPr>
          <w:rFonts w:ascii="Abadi" w:hAnsi="Abadi" w:cs="*Arial-Italic-5529-Identity-H"/>
          <w:i/>
          <w:iCs/>
          <w:color w:val="14131B"/>
          <w:sz w:val="21"/>
          <w:szCs w:val="21"/>
        </w:rPr>
        <w:t xml:space="preserve"> </w:t>
      </w:r>
      <w:r w:rsidRPr="00C0364D">
        <w:rPr>
          <w:rFonts w:ascii="Abadi" w:hAnsi="Abadi" w:cs="*Arial-Italic-5529-Identity-H"/>
          <w:i/>
          <w:iCs/>
          <w:color w:val="14131B"/>
          <w:sz w:val="21"/>
          <w:szCs w:val="21"/>
        </w:rPr>
        <w:t xml:space="preserve">Públicos, </w:t>
      </w:r>
      <w:r w:rsidRPr="00C0364D">
        <w:rPr>
          <w:rFonts w:ascii="Abadi" w:hAnsi="Abadi" w:cs="*Arial-5528-Identity-H"/>
          <w:color w:val="14131B"/>
          <w:sz w:val="21"/>
          <w:szCs w:val="21"/>
        </w:rPr>
        <w:t>específico del tema; sin embargo, no contó con indicadores que</w:t>
      </w:r>
      <w:r>
        <w:rPr>
          <w:rFonts w:ascii="Abadi" w:hAnsi="Abadi" w:cs="*Arial-5528-Identity-H"/>
          <w:color w:val="14131B"/>
          <w:sz w:val="21"/>
          <w:szCs w:val="21"/>
        </w:rPr>
        <w:t xml:space="preserve"> </w:t>
      </w:r>
      <w:r w:rsidRPr="00C0364D">
        <w:rPr>
          <w:rFonts w:ascii="Abadi" w:hAnsi="Abadi" w:cs="*Arial-5528-Identity-H"/>
          <w:color w:val="14131B"/>
          <w:sz w:val="21"/>
          <w:szCs w:val="21"/>
        </w:rPr>
        <w:t>permitieran medir el cumplimiento de los objetivos determinados en los</w:t>
      </w:r>
      <w:r>
        <w:rPr>
          <w:rFonts w:ascii="Abadi" w:hAnsi="Abadi" w:cs="*Arial-5528-Identity-H"/>
          <w:color w:val="14131B"/>
          <w:sz w:val="21"/>
          <w:szCs w:val="21"/>
        </w:rPr>
        <w:t xml:space="preserve"> </w:t>
      </w:r>
      <w:r w:rsidRPr="00C0364D">
        <w:rPr>
          <w:rFonts w:ascii="Abadi" w:hAnsi="Abadi" w:cs="*Arial-5528-Identity-H"/>
          <w:color w:val="14131B"/>
          <w:sz w:val="21"/>
          <w:szCs w:val="21"/>
        </w:rPr>
        <w:t>instrumentos de planeación, ni objetivos, indicadores y metas asociados con la</w:t>
      </w:r>
      <w:r>
        <w:rPr>
          <w:rFonts w:ascii="Abadi" w:hAnsi="Abadi" w:cs="*Arial-5528-Identity-H"/>
          <w:color w:val="14131B"/>
          <w:sz w:val="21"/>
          <w:szCs w:val="21"/>
        </w:rPr>
        <w:t xml:space="preserve"> </w:t>
      </w:r>
      <w:r w:rsidRPr="00C0364D">
        <w:rPr>
          <w:rFonts w:ascii="Abadi" w:hAnsi="Abadi" w:cs="*Arial-5528-Identity-H"/>
          <w:color w:val="14131B"/>
          <w:sz w:val="21"/>
          <w:szCs w:val="21"/>
        </w:rPr>
        <w:t>cobertura de la prestación del servicio. Asimismo, se identificaron áreas de</w:t>
      </w:r>
      <w:r>
        <w:rPr>
          <w:rFonts w:ascii="Abadi" w:hAnsi="Abadi" w:cs="*Arial-5528-Identity-H"/>
          <w:color w:val="14131B"/>
          <w:sz w:val="21"/>
          <w:szCs w:val="21"/>
        </w:rPr>
        <w:t xml:space="preserve"> </w:t>
      </w:r>
      <w:r w:rsidRPr="00C0364D">
        <w:rPr>
          <w:rFonts w:ascii="Abadi" w:hAnsi="Abadi" w:cs="*Arial-5528-Identity-H"/>
          <w:color w:val="14131B"/>
          <w:sz w:val="21"/>
          <w:szCs w:val="21"/>
        </w:rPr>
        <w:t>oportunidad para adoptar los Objetivos de Desarrollo Sostenible en las políticas</w:t>
      </w:r>
      <w:r>
        <w:rPr>
          <w:rFonts w:ascii="Abadi" w:hAnsi="Abadi" w:cs="*Arial-5528-Identity-H"/>
          <w:color w:val="14131B"/>
          <w:sz w:val="21"/>
          <w:szCs w:val="21"/>
        </w:rPr>
        <w:t xml:space="preserve"> </w:t>
      </w:r>
      <w:r w:rsidRPr="00C0364D">
        <w:rPr>
          <w:rFonts w:ascii="Abadi" w:hAnsi="Abadi" w:cs="*Arial-5528-Identity-H"/>
          <w:color w:val="14131B"/>
          <w:sz w:val="21"/>
          <w:szCs w:val="21"/>
        </w:rPr>
        <w:t>locales.</w:t>
      </w:r>
    </w:p>
    <w:p w14:paraId="2F0F5F4E" w14:textId="77777777" w:rsidR="005D7CEF" w:rsidRPr="00C0364D" w:rsidRDefault="005D7CEF" w:rsidP="005D7CEF">
      <w:pPr>
        <w:jc w:val="both"/>
        <w:rPr>
          <w:rFonts w:ascii="Abadi" w:hAnsi="Abadi" w:cs="*Arial-5528-Identity-H"/>
          <w:color w:val="14131B"/>
          <w:sz w:val="21"/>
          <w:szCs w:val="21"/>
        </w:rPr>
      </w:pPr>
    </w:p>
    <w:p w14:paraId="7BC8120B" w14:textId="77777777" w:rsidR="005D7CEF" w:rsidRDefault="005D7CEF" w:rsidP="005D7CEF">
      <w:pPr>
        <w:autoSpaceDE w:val="0"/>
        <w:autoSpaceDN w:val="0"/>
        <w:adjustRightInd w:val="0"/>
        <w:ind w:firstLine="708"/>
        <w:jc w:val="both"/>
        <w:rPr>
          <w:rFonts w:ascii="Abadi" w:hAnsi="Abadi" w:cs="*Arial-5349-Identity-H"/>
          <w:color w:val="14131B"/>
          <w:sz w:val="21"/>
          <w:szCs w:val="21"/>
        </w:rPr>
      </w:pPr>
      <w:r w:rsidRPr="00C0364D">
        <w:rPr>
          <w:rFonts w:ascii="Abadi" w:hAnsi="Abadi" w:cs="*Arial-5349-Identity-H"/>
          <w:color w:val="14131B"/>
          <w:sz w:val="21"/>
          <w:szCs w:val="21"/>
        </w:rPr>
        <w:t>En lo que corresponde a función de la operación del servicio de alumbrado</w:t>
      </w:r>
      <w:r>
        <w:rPr>
          <w:rFonts w:ascii="Abadi" w:hAnsi="Abadi" w:cs="*Arial-5349-Identity-H"/>
          <w:color w:val="14131B"/>
          <w:sz w:val="21"/>
          <w:szCs w:val="21"/>
        </w:rPr>
        <w:t xml:space="preserve"> </w:t>
      </w:r>
      <w:r w:rsidRPr="00C0364D">
        <w:rPr>
          <w:rFonts w:ascii="Abadi" w:hAnsi="Abadi" w:cs="*Arial-5349-Identity-H"/>
          <w:color w:val="14131B"/>
          <w:sz w:val="21"/>
          <w:szCs w:val="21"/>
        </w:rPr>
        <w:t>público se reconoce que su finalidad es el eficiente y eficaz funcionamiento, lo cual</w:t>
      </w:r>
      <w:r>
        <w:rPr>
          <w:rFonts w:ascii="Abadi" w:hAnsi="Abadi" w:cs="*Arial-5349-Identity-H"/>
          <w:color w:val="14131B"/>
          <w:sz w:val="21"/>
          <w:szCs w:val="21"/>
        </w:rPr>
        <w:t xml:space="preserve"> </w:t>
      </w:r>
      <w:r w:rsidRPr="00C0364D">
        <w:rPr>
          <w:rFonts w:ascii="Abadi" w:hAnsi="Abadi" w:cs="*Arial-5349-Identity-H"/>
          <w:color w:val="14131B"/>
          <w:sz w:val="21"/>
          <w:szCs w:val="21"/>
        </w:rPr>
        <w:t>depende de la definición clara de procesos clave y documentos normativos que</w:t>
      </w:r>
      <w:r>
        <w:rPr>
          <w:rFonts w:ascii="Abadi" w:hAnsi="Abadi" w:cs="*Arial-5349-Identity-H"/>
          <w:color w:val="14131B"/>
          <w:sz w:val="21"/>
          <w:szCs w:val="21"/>
        </w:rPr>
        <w:t xml:space="preserve"> </w:t>
      </w:r>
      <w:r w:rsidRPr="00C0364D">
        <w:rPr>
          <w:rFonts w:ascii="Abadi" w:hAnsi="Abadi" w:cs="*Arial-5349-Identity-H"/>
          <w:color w:val="14131B"/>
          <w:sz w:val="21"/>
          <w:szCs w:val="21"/>
        </w:rPr>
        <w:t>garanticen su operatividad; la definición de programas anuales orientados a la</w:t>
      </w:r>
      <w:r>
        <w:rPr>
          <w:rFonts w:ascii="Abadi" w:hAnsi="Abadi" w:cs="*Arial-5349-Identity-H"/>
          <w:color w:val="14131B"/>
          <w:sz w:val="21"/>
          <w:szCs w:val="21"/>
        </w:rPr>
        <w:t xml:space="preserve"> </w:t>
      </w:r>
      <w:r w:rsidRPr="00C0364D">
        <w:rPr>
          <w:rFonts w:ascii="Abadi" w:hAnsi="Abadi" w:cs="*Arial-5349-Identity-H"/>
          <w:color w:val="14131B"/>
          <w:sz w:val="21"/>
          <w:szCs w:val="21"/>
        </w:rPr>
        <w:t>mejora y el otorgamiento de un servicio de calidad a la población. En tal sentido,</w:t>
      </w:r>
      <w:r>
        <w:rPr>
          <w:rFonts w:ascii="Abadi" w:hAnsi="Abadi" w:cs="*Arial-5349-Identity-H"/>
          <w:color w:val="14131B"/>
          <w:sz w:val="21"/>
          <w:szCs w:val="21"/>
        </w:rPr>
        <w:t xml:space="preserve"> </w:t>
      </w:r>
      <w:r w:rsidRPr="00C0364D">
        <w:rPr>
          <w:rFonts w:ascii="Abadi" w:hAnsi="Abadi" w:cs="*Arial-5349-Identity-H"/>
          <w:color w:val="14131B"/>
          <w:sz w:val="21"/>
          <w:szCs w:val="21"/>
        </w:rPr>
        <w:t>se constató que, si bien el sujeto fiscalizado cuenta con un avance en materia</w:t>
      </w:r>
      <w:r>
        <w:rPr>
          <w:rFonts w:ascii="Abadi" w:hAnsi="Abadi" w:cs="*Arial-5349-Identity-H"/>
          <w:color w:val="14131B"/>
          <w:sz w:val="21"/>
          <w:szCs w:val="21"/>
        </w:rPr>
        <w:t xml:space="preserve"> </w:t>
      </w:r>
      <w:r w:rsidRPr="00C0364D">
        <w:rPr>
          <w:rFonts w:ascii="Abadi" w:hAnsi="Abadi" w:cs="*Arial-5349-Identity-H"/>
          <w:color w:val="14131B"/>
          <w:sz w:val="21"/>
          <w:szCs w:val="21"/>
        </w:rPr>
        <w:t>normativa en el tema de alumbrado público al disponer de un Reglamento</w:t>
      </w:r>
      <w:r>
        <w:rPr>
          <w:rFonts w:ascii="Abadi" w:hAnsi="Abadi" w:cs="*Arial-5349-Identity-H"/>
          <w:color w:val="14131B"/>
          <w:sz w:val="21"/>
          <w:szCs w:val="21"/>
        </w:rPr>
        <w:t xml:space="preserve"> </w:t>
      </w:r>
      <w:r w:rsidRPr="00C0364D">
        <w:rPr>
          <w:rFonts w:ascii="Abadi" w:hAnsi="Abadi" w:cs="*Arial-5349-Identity-H"/>
          <w:color w:val="14131B"/>
          <w:sz w:val="21"/>
          <w:szCs w:val="21"/>
        </w:rPr>
        <w:t>Orgánico para la Administración Pública Municipal, careció de un reglamento</w:t>
      </w:r>
      <w:r>
        <w:rPr>
          <w:rFonts w:ascii="Abadi" w:hAnsi="Abadi" w:cs="*Arial-5349-Identity-H"/>
          <w:color w:val="14131B"/>
          <w:sz w:val="21"/>
          <w:szCs w:val="21"/>
        </w:rPr>
        <w:t xml:space="preserve"> </w:t>
      </w:r>
      <w:r w:rsidRPr="00C0364D">
        <w:rPr>
          <w:rFonts w:ascii="Abadi" w:hAnsi="Abadi" w:cs="*Arial-5349-Identity-H"/>
          <w:color w:val="14131B"/>
          <w:sz w:val="21"/>
          <w:szCs w:val="21"/>
        </w:rPr>
        <w:t>específico en la materia, generando la oportunidad de establecer las bases en</w:t>
      </w:r>
      <w:r>
        <w:rPr>
          <w:rFonts w:ascii="Abadi" w:hAnsi="Abadi" w:cs="*Arial-5349-Identity-H"/>
          <w:color w:val="14131B"/>
          <w:sz w:val="21"/>
          <w:szCs w:val="21"/>
        </w:rPr>
        <w:t xml:space="preserve"> </w:t>
      </w:r>
      <w:r w:rsidRPr="00C0364D">
        <w:rPr>
          <w:rFonts w:ascii="Abadi" w:hAnsi="Abadi" w:cs="*Arial-5349-Identity-H"/>
          <w:color w:val="14131B"/>
          <w:sz w:val="21"/>
          <w:szCs w:val="21"/>
        </w:rPr>
        <w:t>materia de obligaciones, organización, administración, inspección y vigilancia del</w:t>
      </w:r>
      <w:r>
        <w:rPr>
          <w:rFonts w:ascii="Abadi" w:hAnsi="Abadi" w:cs="*Arial-5349-Identity-H"/>
          <w:color w:val="14131B"/>
          <w:sz w:val="21"/>
          <w:szCs w:val="21"/>
        </w:rPr>
        <w:t xml:space="preserve"> </w:t>
      </w:r>
      <w:r w:rsidRPr="00C0364D">
        <w:rPr>
          <w:rFonts w:ascii="Abadi" w:hAnsi="Abadi" w:cs="*Arial-5349-Identity-H"/>
          <w:color w:val="14131B"/>
          <w:sz w:val="21"/>
          <w:szCs w:val="21"/>
        </w:rPr>
        <w:t>servicio que les permita colaborar con el concesionario durante la planeación,</w:t>
      </w:r>
      <w:r>
        <w:rPr>
          <w:rFonts w:ascii="Abadi" w:hAnsi="Abadi" w:cs="*Arial-5349-Identity-H"/>
          <w:color w:val="14131B"/>
          <w:sz w:val="21"/>
          <w:szCs w:val="21"/>
        </w:rPr>
        <w:t xml:space="preserve"> </w:t>
      </w:r>
      <w:r w:rsidRPr="00C0364D">
        <w:rPr>
          <w:rFonts w:ascii="Abadi" w:hAnsi="Abadi" w:cs="*Arial-5349-Identity-H"/>
          <w:color w:val="14131B"/>
          <w:sz w:val="21"/>
          <w:szCs w:val="21"/>
        </w:rPr>
        <w:t>instalación, monitoreo, mantenimiento y supervisión, de acuerdo con lo establecido</w:t>
      </w:r>
      <w:r>
        <w:rPr>
          <w:rFonts w:ascii="Abadi" w:hAnsi="Abadi" w:cs="*Arial-5349-Identity-H"/>
          <w:color w:val="14131B"/>
          <w:sz w:val="21"/>
          <w:szCs w:val="21"/>
        </w:rPr>
        <w:t xml:space="preserve"> </w:t>
      </w:r>
      <w:r w:rsidRPr="00C0364D">
        <w:rPr>
          <w:rFonts w:ascii="Abadi" w:hAnsi="Abadi" w:cs="*Arial-5349-Identity-H"/>
          <w:color w:val="14131B"/>
          <w:sz w:val="21"/>
          <w:szCs w:val="21"/>
        </w:rPr>
        <w:t>en el título-concesión. De igual forma, se identificó que, a la fecha de la</w:t>
      </w:r>
      <w:r>
        <w:rPr>
          <w:rFonts w:ascii="Abadi" w:hAnsi="Abadi" w:cs="*Arial-5349-Identity-H"/>
          <w:color w:val="14131B"/>
          <w:sz w:val="21"/>
          <w:szCs w:val="21"/>
        </w:rPr>
        <w:t xml:space="preserve"> </w:t>
      </w:r>
      <w:r w:rsidRPr="00C0364D">
        <w:rPr>
          <w:rFonts w:ascii="Abadi" w:hAnsi="Abadi" w:cs="*Arial-5349-Identity-H"/>
          <w:color w:val="14131B"/>
          <w:sz w:val="21"/>
          <w:szCs w:val="21"/>
        </w:rPr>
        <w:t>elaboración del informe de resultados, el sujeto fiscalizado no contó con la Unidad</w:t>
      </w:r>
      <w:r>
        <w:rPr>
          <w:rFonts w:ascii="Abadi" w:hAnsi="Abadi" w:cs="*Arial-5349-Identity-H"/>
          <w:color w:val="14131B"/>
          <w:sz w:val="21"/>
          <w:szCs w:val="21"/>
        </w:rPr>
        <w:t xml:space="preserve"> </w:t>
      </w:r>
      <w:r w:rsidRPr="00C0364D">
        <w:rPr>
          <w:rFonts w:ascii="Abadi" w:hAnsi="Abadi" w:cs="*Arial-5349-Identity-H"/>
          <w:color w:val="14131B"/>
          <w:sz w:val="21"/>
          <w:szCs w:val="21"/>
        </w:rPr>
        <w:t>Conciliadora responsable de atender los temas para el cumplimiento del título</w:t>
      </w:r>
      <w:r>
        <w:rPr>
          <w:rFonts w:ascii="Abadi" w:hAnsi="Abadi" w:cs="*Arial-5349-Identity-H"/>
          <w:color w:val="14131B"/>
          <w:sz w:val="21"/>
          <w:szCs w:val="21"/>
        </w:rPr>
        <w:t xml:space="preserve"> </w:t>
      </w:r>
      <w:r w:rsidRPr="00C0364D">
        <w:rPr>
          <w:rFonts w:ascii="Abadi" w:hAnsi="Abadi" w:cs="*Arial-5349-Identity-H"/>
          <w:color w:val="14131B"/>
          <w:sz w:val="21"/>
          <w:szCs w:val="21"/>
        </w:rPr>
        <w:t>concesión,</w:t>
      </w:r>
      <w:r>
        <w:rPr>
          <w:rFonts w:ascii="Abadi" w:hAnsi="Abadi" w:cs="*Arial-5349-Identity-H"/>
          <w:color w:val="14131B"/>
          <w:sz w:val="21"/>
          <w:szCs w:val="21"/>
        </w:rPr>
        <w:t xml:space="preserve"> </w:t>
      </w:r>
      <w:r w:rsidRPr="00C0364D">
        <w:rPr>
          <w:rFonts w:ascii="Abadi" w:hAnsi="Abadi" w:cs="*Arial-5349-Identity-H"/>
          <w:color w:val="14131B"/>
          <w:sz w:val="21"/>
          <w:szCs w:val="21"/>
        </w:rPr>
        <w:t>reconocida en dicho título, lo que pone en riesgo la consecución de los</w:t>
      </w:r>
      <w:r>
        <w:rPr>
          <w:rFonts w:ascii="Abadi" w:hAnsi="Abadi" w:cs="*Arial-5349-Identity-H"/>
          <w:color w:val="14131B"/>
          <w:sz w:val="21"/>
          <w:szCs w:val="21"/>
        </w:rPr>
        <w:t xml:space="preserve"> </w:t>
      </w:r>
      <w:r w:rsidRPr="00C0364D">
        <w:rPr>
          <w:rFonts w:ascii="Abadi" w:hAnsi="Abadi" w:cs="*Arial-5349-Identity-H"/>
          <w:color w:val="14131B"/>
          <w:sz w:val="21"/>
          <w:szCs w:val="21"/>
        </w:rPr>
        <w:t>objetivos y, con ello, la garantía de la prestación del servicio, de manera</w:t>
      </w:r>
      <w:r>
        <w:rPr>
          <w:rFonts w:ascii="Abadi" w:hAnsi="Abadi" w:cs="*Arial-5349-Identity-H"/>
          <w:color w:val="14131B"/>
          <w:sz w:val="21"/>
          <w:szCs w:val="21"/>
        </w:rPr>
        <w:t xml:space="preserve"> </w:t>
      </w:r>
      <w:r w:rsidRPr="00C0364D">
        <w:rPr>
          <w:rFonts w:ascii="Abadi" w:hAnsi="Abadi" w:cs="*Arial-5349-Identity-H"/>
          <w:color w:val="14131B"/>
          <w:sz w:val="21"/>
          <w:szCs w:val="21"/>
        </w:rPr>
        <w:t>permanente y continua a la población.</w:t>
      </w:r>
    </w:p>
    <w:p w14:paraId="4569209D" w14:textId="77777777" w:rsidR="005D7CEF" w:rsidRPr="00C0364D" w:rsidRDefault="005D7CEF" w:rsidP="005D7CEF">
      <w:pPr>
        <w:autoSpaceDE w:val="0"/>
        <w:autoSpaceDN w:val="0"/>
        <w:adjustRightInd w:val="0"/>
        <w:jc w:val="both"/>
        <w:rPr>
          <w:rFonts w:ascii="Abadi" w:hAnsi="Abadi" w:cs="*Arial-5349-Identity-H"/>
          <w:color w:val="14131B"/>
          <w:sz w:val="21"/>
          <w:szCs w:val="21"/>
        </w:rPr>
      </w:pPr>
    </w:p>
    <w:p w14:paraId="6D15012C" w14:textId="77777777" w:rsidR="005D7CEF" w:rsidRDefault="005D7CEF" w:rsidP="005D7CEF">
      <w:pPr>
        <w:autoSpaceDE w:val="0"/>
        <w:autoSpaceDN w:val="0"/>
        <w:adjustRightInd w:val="0"/>
        <w:ind w:firstLine="708"/>
        <w:jc w:val="both"/>
        <w:rPr>
          <w:rFonts w:ascii="Abadi" w:hAnsi="Abadi" w:cs="*Arial-5349-Identity-H"/>
          <w:color w:val="13131B"/>
          <w:sz w:val="21"/>
          <w:szCs w:val="21"/>
        </w:rPr>
      </w:pPr>
      <w:r w:rsidRPr="00C0364D">
        <w:rPr>
          <w:rFonts w:ascii="Abadi" w:hAnsi="Abadi" w:cs="*Arial-5349-Identity-H"/>
          <w:color w:val="13131B"/>
          <w:sz w:val="21"/>
          <w:szCs w:val="21"/>
        </w:rPr>
        <w:t>Asimismo, se identificó que el sujeto fiscalizado no contó con una adecuada</w:t>
      </w:r>
      <w:r>
        <w:rPr>
          <w:rFonts w:ascii="Abadi" w:hAnsi="Abadi" w:cs="*Arial-5349-Identity-H"/>
          <w:color w:val="13131B"/>
          <w:sz w:val="21"/>
          <w:szCs w:val="21"/>
        </w:rPr>
        <w:t xml:space="preserve"> </w:t>
      </w:r>
      <w:r w:rsidRPr="00C0364D">
        <w:rPr>
          <w:rFonts w:ascii="Abadi" w:hAnsi="Abadi" w:cs="*Arial-5349-Identity-H"/>
          <w:color w:val="13131B"/>
          <w:sz w:val="21"/>
          <w:szCs w:val="21"/>
        </w:rPr>
        <w:t>programación de actividades, al no disponer de un Programa Operativo Anual con</w:t>
      </w:r>
      <w:r>
        <w:rPr>
          <w:rFonts w:ascii="Abadi" w:hAnsi="Abadi" w:cs="*Arial-5349-Identity-H"/>
          <w:color w:val="13131B"/>
          <w:sz w:val="21"/>
          <w:szCs w:val="21"/>
        </w:rPr>
        <w:t xml:space="preserve"> </w:t>
      </w:r>
      <w:r w:rsidRPr="00C0364D">
        <w:rPr>
          <w:rFonts w:ascii="Abadi" w:hAnsi="Abadi" w:cs="*Arial-5349-Identity-H"/>
          <w:color w:val="13131B"/>
          <w:sz w:val="21"/>
          <w:szCs w:val="21"/>
        </w:rPr>
        <w:t>los elementos necesarios que permitan identificar los proyectos de inversión</w:t>
      </w:r>
      <w:r>
        <w:rPr>
          <w:rFonts w:ascii="Abadi" w:hAnsi="Abadi" w:cs="*Arial-5349-Identity-H"/>
          <w:color w:val="13131B"/>
          <w:sz w:val="21"/>
          <w:szCs w:val="21"/>
        </w:rPr>
        <w:t xml:space="preserve"> </w:t>
      </w:r>
      <w:r w:rsidRPr="00C0364D">
        <w:rPr>
          <w:rFonts w:ascii="Abadi" w:hAnsi="Abadi" w:cs="*Arial-5349-Identity-H"/>
          <w:color w:val="13131B"/>
          <w:sz w:val="21"/>
          <w:szCs w:val="21"/>
        </w:rPr>
        <w:t>tendientes a la administración, conservación, rehabilitación y mejoramiento del</w:t>
      </w:r>
      <w:r>
        <w:rPr>
          <w:rFonts w:ascii="Abadi" w:hAnsi="Abadi" w:cs="*Arial-5349-Identity-H"/>
          <w:color w:val="13131B"/>
          <w:sz w:val="21"/>
          <w:szCs w:val="21"/>
        </w:rPr>
        <w:t xml:space="preserve"> </w:t>
      </w:r>
      <w:r w:rsidRPr="00C0364D">
        <w:rPr>
          <w:rFonts w:ascii="Abadi" w:hAnsi="Abadi" w:cs="*Arial-5349-Identity-H"/>
          <w:color w:val="13131B"/>
          <w:sz w:val="21"/>
          <w:szCs w:val="21"/>
        </w:rPr>
        <w:t>servicio de alumbrado público en el ejercicio 2020, así como la estimación de los</w:t>
      </w:r>
      <w:r>
        <w:rPr>
          <w:rFonts w:ascii="Abadi" w:hAnsi="Abadi" w:cs="*Arial-5349-Identity-H"/>
          <w:color w:val="13131B"/>
          <w:sz w:val="21"/>
          <w:szCs w:val="21"/>
        </w:rPr>
        <w:t xml:space="preserve"> </w:t>
      </w:r>
      <w:r w:rsidRPr="00C0364D">
        <w:rPr>
          <w:rFonts w:ascii="Abadi" w:hAnsi="Abadi" w:cs="*Arial-5349-Identity-H"/>
          <w:color w:val="13131B"/>
          <w:sz w:val="21"/>
          <w:szCs w:val="21"/>
        </w:rPr>
        <w:t>recursos necesarios. Además, no se incorporaron indicadores y metas para</w:t>
      </w:r>
      <w:r>
        <w:rPr>
          <w:rFonts w:ascii="Abadi" w:hAnsi="Abadi" w:cs="*Arial-5349-Identity-H"/>
          <w:color w:val="13131B"/>
          <w:sz w:val="21"/>
          <w:szCs w:val="21"/>
        </w:rPr>
        <w:t xml:space="preserve"> </w:t>
      </w:r>
      <w:r w:rsidRPr="00C0364D">
        <w:rPr>
          <w:rFonts w:ascii="Abadi" w:hAnsi="Abadi" w:cs="*Arial-5349-Identity-H"/>
          <w:color w:val="13131B"/>
          <w:sz w:val="21"/>
          <w:szCs w:val="21"/>
        </w:rPr>
        <w:t>monitorear y dar seguimiento a la concesión del servicio de alumbrado público.</w:t>
      </w:r>
    </w:p>
    <w:p w14:paraId="59DAE287" w14:textId="77777777" w:rsidR="005D7CEF" w:rsidRPr="00C0364D" w:rsidRDefault="005D7CEF" w:rsidP="005D7CEF">
      <w:pPr>
        <w:autoSpaceDE w:val="0"/>
        <w:autoSpaceDN w:val="0"/>
        <w:adjustRightInd w:val="0"/>
        <w:jc w:val="both"/>
        <w:rPr>
          <w:rFonts w:ascii="Abadi" w:hAnsi="Abadi" w:cs="*Arial-5349-Identity-H"/>
          <w:color w:val="13131B"/>
          <w:sz w:val="21"/>
          <w:szCs w:val="21"/>
        </w:rPr>
      </w:pPr>
    </w:p>
    <w:p w14:paraId="3D314476" w14:textId="77C6C939" w:rsidR="005D7CEF" w:rsidRDefault="005D7CEF" w:rsidP="005D7CEF">
      <w:pPr>
        <w:autoSpaceDE w:val="0"/>
        <w:autoSpaceDN w:val="0"/>
        <w:adjustRightInd w:val="0"/>
        <w:jc w:val="both"/>
        <w:rPr>
          <w:rFonts w:ascii="Abadi" w:hAnsi="Abadi" w:cs="*Arial-5349-Identity-H"/>
          <w:color w:val="14131C"/>
          <w:sz w:val="21"/>
          <w:szCs w:val="21"/>
        </w:rPr>
      </w:pPr>
      <w:r>
        <w:rPr>
          <w:rFonts w:ascii="Abadi" w:hAnsi="Abadi" w:cs="*Arial-5349-Identity-H"/>
          <w:color w:val="14131C"/>
          <w:sz w:val="21"/>
          <w:szCs w:val="21"/>
        </w:rPr>
        <w:t xml:space="preserve"> </w:t>
      </w:r>
      <w:r>
        <w:rPr>
          <w:rFonts w:ascii="Abadi" w:hAnsi="Abadi" w:cs="*Arial-5349-Identity-H"/>
          <w:color w:val="14131C"/>
          <w:sz w:val="21"/>
          <w:szCs w:val="21"/>
        </w:rPr>
        <w:tab/>
      </w:r>
      <w:r w:rsidRPr="00C0364D">
        <w:rPr>
          <w:rFonts w:ascii="Abadi" w:hAnsi="Abadi" w:cs="*Arial-5349-Identity-H"/>
          <w:color w:val="14131C"/>
          <w:sz w:val="21"/>
          <w:szCs w:val="21"/>
        </w:rPr>
        <w:t>De la verificación de la atención de los reportes de fallas, se identificó que el</w:t>
      </w:r>
      <w:r>
        <w:rPr>
          <w:rFonts w:ascii="Abadi" w:hAnsi="Abadi" w:cs="*Arial-5349-Identity-H"/>
          <w:color w:val="14131C"/>
          <w:sz w:val="21"/>
          <w:szCs w:val="21"/>
        </w:rPr>
        <w:t xml:space="preserve"> </w:t>
      </w:r>
      <w:r w:rsidRPr="00C0364D">
        <w:rPr>
          <w:rFonts w:ascii="Abadi" w:hAnsi="Abadi" w:cs="*Arial-5349-Identity-H"/>
          <w:color w:val="14131C"/>
          <w:sz w:val="21"/>
          <w:szCs w:val="21"/>
        </w:rPr>
        <w:t>sujeto fiscalizado contó con mecanismos para atender los reportes ciudadanos por</w:t>
      </w:r>
      <w:r>
        <w:rPr>
          <w:rFonts w:ascii="Abadi" w:hAnsi="Abadi" w:cs="*Arial-5349-Identity-H"/>
          <w:color w:val="14131C"/>
          <w:sz w:val="21"/>
          <w:szCs w:val="21"/>
        </w:rPr>
        <w:t xml:space="preserve"> </w:t>
      </w:r>
      <w:r w:rsidRPr="00C0364D">
        <w:rPr>
          <w:rFonts w:ascii="Abadi" w:hAnsi="Abadi" w:cs="*Arial-5349-Identity-H"/>
          <w:color w:val="14131C"/>
          <w:sz w:val="21"/>
          <w:szCs w:val="21"/>
        </w:rPr>
        <w:t>fallas en el servicio de alumbrado público, mediante la programación del</w:t>
      </w:r>
      <w:r>
        <w:rPr>
          <w:rFonts w:ascii="Abadi" w:hAnsi="Abadi" w:cs="*Arial-5349-Identity-H"/>
          <w:color w:val="14131C"/>
          <w:sz w:val="21"/>
          <w:szCs w:val="21"/>
        </w:rPr>
        <w:t xml:space="preserve"> </w:t>
      </w:r>
      <w:r w:rsidRPr="00C0364D">
        <w:rPr>
          <w:rFonts w:ascii="Abadi" w:hAnsi="Abadi" w:cs="*Arial-5349-Identity-H"/>
          <w:color w:val="14131C"/>
          <w:sz w:val="21"/>
          <w:szCs w:val="21"/>
        </w:rPr>
        <w:t>mantenimiento correctivo y rutinario de las luminarias; sin embargo, se identificó</w:t>
      </w:r>
      <w:r>
        <w:rPr>
          <w:rFonts w:ascii="Abadi" w:hAnsi="Abadi" w:cs="*Arial-5349-Identity-H"/>
          <w:color w:val="14131C"/>
          <w:sz w:val="21"/>
          <w:szCs w:val="21"/>
        </w:rPr>
        <w:t xml:space="preserve"> </w:t>
      </w:r>
      <w:r w:rsidRPr="00C0364D">
        <w:rPr>
          <w:rFonts w:ascii="Abadi" w:hAnsi="Abadi" w:cs="*Arial-5349-Identity-H"/>
          <w:color w:val="14131C"/>
          <w:sz w:val="21"/>
          <w:szCs w:val="21"/>
        </w:rPr>
        <w:t>que cuenta con la oportunidad de fortalecer los reportes generados para facilitar</w:t>
      </w:r>
      <w:r>
        <w:rPr>
          <w:rFonts w:ascii="Abadi" w:hAnsi="Abadi" w:cs="*Arial-5349-Identity-H"/>
          <w:color w:val="14131C"/>
          <w:sz w:val="21"/>
          <w:szCs w:val="21"/>
        </w:rPr>
        <w:t xml:space="preserve"> </w:t>
      </w:r>
      <w:r w:rsidRPr="00C0364D">
        <w:rPr>
          <w:rFonts w:ascii="Abadi" w:hAnsi="Abadi" w:cs="*Arial-5349-Identity-H"/>
          <w:color w:val="14131C"/>
          <w:sz w:val="21"/>
          <w:szCs w:val="21"/>
        </w:rPr>
        <w:t>su supervisión y seguimiento, de manera que permita identificar la oportunidad y</w:t>
      </w:r>
      <w:r>
        <w:rPr>
          <w:rFonts w:ascii="Abadi" w:hAnsi="Abadi" w:cs="*Arial-5349-Identity-H"/>
          <w:color w:val="14131C"/>
          <w:sz w:val="21"/>
          <w:szCs w:val="21"/>
        </w:rPr>
        <w:t xml:space="preserve"> </w:t>
      </w:r>
      <w:r w:rsidRPr="00C0364D">
        <w:rPr>
          <w:rFonts w:ascii="Abadi" w:hAnsi="Abadi" w:cs="*Arial-5349-Identity-H"/>
          <w:color w:val="14131C"/>
          <w:sz w:val="21"/>
          <w:szCs w:val="21"/>
        </w:rPr>
        <w:t>calidad en la atención a los reportes en términos de eficiencia y calidad del</w:t>
      </w:r>
      <w:r>
        <w:rPr>
          <w:rFonts w:ascii="Abadi" w:hAnsi="Abadi" w:cs="*Arial-5349-Identity-H"/>
          <w:color w:val="14131C"/>
          <w:sz w:val="21"/>
          <w:szCs w:val="21"/>
        </w:rPr>
        <w:t xml:space="preserve"> </w:t>
      </w:r>
      <w:r w:rsidRPr="00C0364D">
        <w:rPr>
          <w:rFonts w:ascii="Abadi" w:hAnsi="Abadi" w:cs="*Arial-5349-Identity-H"/>
          <w:color w:val="14131C"/>
          <w:sz w:val="21"/>
          <w:szCs w:val="21"/>
        </w:rPr>
        <w:t>servicio público.</w:t>
      </w:r>
    </w:p>
    <w:p w14:paraId="20227C0E" w14:textId="77777777" w:rsidR="001E07D6" w:rsidRPr="00C0364D" w:rsidRDefault="001E07D6" w:rsidP="005D7CEF">
      <w:pPr>
        <w:autoSpaceDE w:val="0"/>
        <w:autoSpaceDN w:val="0"/>
        <w:adjustRightInd w:val="0"/>
        <w:jc w:val="both"/>
        <w:rPr>
          <w:rFonts w:ascii="Abadi" w:hAnsi="Abadi" w:cs="*Arial-5349-Identity-H"/>
          <w:color w:val="14131C"/>
          <w:sz w:val="21"/>
          <w:szCs w:val="21"/>
        </w:rPr>
      </w:pPr>
    </w:p>
    <w:p w14:paraId="261C4088" w14:textId="77777777" w:rsidR="005D7CEF" w:rsidRDefault="005D7CEF" w:rsidP="005D7CEF">
      <w:pPr>
        <w:autoSpaceDE w:val="0"/>
        <w:autoSpaceDN w:val="0"/>
        <w:adjustRightInd w:val="0"/>
        <w:ind w:firstLine="708"/>
        <w:jc w:val="both"/>
        <w:rPr>
          <w:rFonts w:ascii="Abadi" w:hAnsi="Abadi" w:cs="*Arial-5347-Identity-H"/>
          <w:color w:val="14131C"/>
          <w:sz w:val="21"/>
          <w:szCs w:val="21"/>
        </w:rPr>
      </w:pPr>
      <w:r w:rsidRPr="00C0364D">
        <w:rPr>
          <w:rFonts w:ascii="Abadi" w:hAnsi="Abadi" w:cs="*Arial-5347-Identity-H"/>
          <w:color w:val="14131B"/>
          <w:sz w:val="21"/>
          <w:szCs w:val="21"/>
        </w:rPr>
        <w:t>Por lo que hace a la capacidad del sujeto fiscalizado para garantizar una</w:t>
      </w:r>
      <w:r>
        <w:rPr>
          <w:rFonts w:ascii="Abadi" w:hAnsi="Abadi" w:cs="*Arial-5347-Identity-H"/>
          <w:color w:val="14131B"/>
          <w:sz w:val="21"/>
          <w:szCs w:val="21"/>
        </w:rPr>
        <w:t xml:space="preserve"> </w:t>
      </w:r>
      <w:r w:rsidRPr="00C0364D">
        <w:rPr>
          <w:rFonts w:ascii="Abadi" w:hAnsi="Abadi" w:cs="*Arial-5347-Identity-H"/>
          <w:color w:val="14131B"/>
          <w:sz w:val="21"/>
          <w:szCs w:val="21"/>
        </w:rPr>
        <w:t>prestación permanente y efectiva del servicio de alumbrado público, se analizó la</w:t>
      </w:r>
      <w:r>
        <w:rPr>
          <w:rFonts w:ascii="Abadi" w:hAnsi="Abadi" w:cs="*Arial-5347-Identity-H"/>
          <w:color w:val="14131B"/>
          <w:sz w:val="21"/>
          <w:szCs w:val="21"/>
        </w:rPr>
        <w:t xml:space="preserve"> </w:t>
      </w:r>
      <w:r w:rsidRPr="00C0364D">
        <w:rPr>
          <w:rFonts w:ascii="Abadi" w:hAnsi="Abadi" w:cs="*Arial-5347-Identity-H"/>
          <w:color w:val="14131B"/>
          <w:sz w:val="21"/>
          <w:szCs w:val="21"/>
        </w:rPr>
        <w:t>calidad de la información relativa a los logros en materia de mantenimiento, así</w:t>
      </w:r>
      <w:r>
        <w:rPr>
          <w:rFonts w:ascii="Abadi" w:hAnsi="Abadi" w:cs="*Arial-5347-Identity-H"/>
          <w:color w:val="14131B"/>
          <w:sz w:val="21"/>
          <w:szCs w:val="21"/>
        </w:rPr>
        <w:t xml:space="preserve"> </w:t>
      </w:r>
      <w:r w:rsidRPr="00C0364D">
        <w:rPr>
          <w:rFonts w:ascii="Abadi" w:hAnsi="Abadi" w:cs="*Arial-5347-Identity-H"/>
          <w:color w:val="14131B"/>
          <w:sz w:val="21"/>
          <w:szCs w:val="21"/>
        </w:rPr>
        <w:t>como lo correspondiente a la cobertura y satisfacción ciudadana, observándose</w:t>
      </w:r>
      <w:r>
        <w:rPr>
          <w:rFonts w:ascii="Abadi" w:hAnsi="Abadi" w:cs="*Arial-5347-Identity-H"/>
          <w:color w:val="14131B"/>
          <w:sz w:val="21"/>
          <w:szCs w:val="21"/>
        </w:rPr>
        <w:t xml:space="preserve"> </w:t>
      </w:r>
      <w:r w:rsidRPr="00C0364D">
        <w:rPr>
          <w:rFonts w:ascii="Abadi" w:hAnsi="Abadi" w:cs="*Arial-5347-Identity-H"/>
          <w:color w:val="14131B"/>
          <w:sz w:val="21"/>
          <w:szCs w:val="21"/>
        </w:rPr>
        <w:t>que si bien, el sujeto fiscalizado contó con los mecanismos para el proceso de</w:t>
      </w:r>
      <w:r>
        <w:rPr>
          <w:rFonts w:ascii="Abadi" w:hAnsi="Abadi" w:cs="*Arial-5347-Identity-H"/>
          <w:color w:val="14131B"/>
          <w:sz w:val="21"/>
          <w:szCs w:val="21"/>
        </w:rPr>
        <w:t xml:space="preserve"> </w:t>
      </w:r>
      <w:r w:rsidRPr="00C0364D">
        <w:rPr>
          <w:rFonts w:ascii="Abadi" w:hAnsi="Abadi" w:cs="*Arial-5347-Identity-H"/>
          <w:color w:val="14131B"/>
          <w:sz w:val="21"/>
          <w:szCs w:val="21"/>
        </w:rPr>
        <w:t>atención de los reportes ciudadanos por fallas en el servicio de alumbrado público</w:t>
      </w:r>
      <w:r>
        <w:rPr>
          <w:rFonts w:ascii="Abadi" w:hAnsi="Abadi" w:cs="*Arial-5347-Identity-H"/>
          <w:color w:val="14131B"/>
          <w:sz w:val="21"/>
          <w:szCs w:val="21"/>
        </w:rPr>
        <w:t xml:space="preserve">, </w:t>
      </w:r>
      <w:r w:rsidRPr="00C0364D">
        <w:rPr>
          <w:rFonts w:ascii="Abadi" w:hAnsi="Abadi" w:cs="*Arial-5347-Identity-H"/>
          <w:color w:val="14131B"/>
          <w:sz w:val="21"/>
          <w:szCs w:val="21"/>
        </w:rPr>
        <w:t>se cuenta con la oportunidad de fortalecer el contenido y calidad de la información</w:t>
      </w:r>
      <w:r>
        <w:rPr>
          <w:rFonts w:ascii="Abadi" w:hAnsi="Abadi" w:cs="*Arial-5347-Identity-H"/>
          <w:color w:val="14131B"/>
          <w:sz w:val="21"/>
          <w:szCs w:val="21"/>
        </w:rPr>
        <w:t xml:space="preserve"> </w:t>
      </w:r>
      <w:r w:rsidRPr="00C0364D">
        <w:rPr>
          <w:rFonts w:ascii="Abadi" w:hAnsi="Abadi" w:cs="*Arial-5347-Identity-H"/>
          <w:color w:val="14131B"/>
          <w:sz w:val="21"/>
          <w:szCs w:val="21"/>
        </w:rPr>
        <w:t>que se genera de los mismos, con la finalidad de que sea oportuna y confiable</w:t>
      </w:r>
      <w:r>
        <w:rPr>
          <w:rFonts w:ascii="Abadi" w:hAnsi="Abadi" w:cs="*Arial-5347-Identity-H"/>
          <w:color w:val="14131B"/>
          <w:sz w:val="21"/>
          <w:szCs w:val="21"/>
        </w:rPr>
        <w:t xml:space="preserve"> </w:t>
      </w:r>
      <w:r w:rsidRPr="00C0364D">
        <w:rPr>
          <w:rFonts w:ascii="Abadi" w:hAnsi="Abadi" w:cs="*Arial-5347-Identity-H"/>
          <w:color w:val="14131C"/>
          <w:sz w:val="21"/>
          <w:szCs w:val="21"/>
        </w:rPr>
        <w:t>para el área del servicio de alumbrado público y del concesionario.</w:t>
      </w:r>
    </w:p>
    <w:p w14:paraId="24E456D5" w14:textId="77777777" w:rsidR="005D7CEF" w:rsidRPr="00C0364D" w:rsidRDefault="005D7CEF" w:rsidP="005D7CEF">
      <w:pPr>
        <w:autoSpaceDE w:val="0"/>
        <w:autoSpaceDN w:val="0"/>
        <w:adjustRightInd w:val="0"/>
        <w:jc w:val="both"/>
        <w:rPr>
          <w:rFonts w:ascii="Abadi" w:hAnsi="Abadi" w:cs="*Arial-5347-Identity-H"/>
          <w:color w:val="14131C"/>
          <w:sz w:val="21"/>
          <w:szCs w:val="21"/>
        </w:rPr>
      </w:pPr>
    </w:p>
    <w:p w14:paraId="66E3F069" w14:textId="77777777" w:rsidR="005D7CEF" w:rsidRDefault="005D7CEF" w:rsidP="005D7CEF">
      <w:pPr>
        <w:autoSpaceDE w:val="0"/>
        <w:autoSpaceDN w:val="0"/>
        <w:adjustRightInd w:val="0"/>
        <w:ind w:firstLine="708"/>
        <w:jc w:val="both"/>
        <w:rPr>
          <w:rFonts w:ascii="Abadi" w:hAnsi="Abadi" w:cs="*Arial-5347-Identity-H"/>
          <w:color w:val="14131B"/>
          <w:sz w:val="21"/>
          <w:szCs w:val="21"/>
        </w:rPr>
      </w:pPr>
      <w:r w:rsidRPr="00C0364D">
        <w:rPr>
          <w:rFonts w:ascii="Abadi" w:hAnsi="Abadi" w:cs="*Arial-5347-Identity-H"/>
          <w:color w:val="14131B"/>
          <w:sz w:val="21"/>
          <w:szCs w:val="21"/>
        </w:rPr>
        <w:t>Por otra parte, la falta de información actualizada impidió conocer en qué</w:t>
      </w:r>
      <w:r>
        <w:rPr>
          <w:rFonts w:ascii="Abadi" w:hAnsi="Abadi" w:cs="*Arial-5347-Identity-H"/>
          <w:color w:val="14131B"/>
          <w:sz w:val="21"/>
          <w:szCs w:val="21"/>
        </w:rPr>
        <w:t xml:space="preserve"> </w:t>
      </w:r>
      <w:r w:rsidRPr="00C0364D">
        <w:rPr>
          <w:rFonts w:ascii="Abadi" w:hAnsi="Abadi" w:cs="*Arial-5347-Identity-H"/>
          <w:color w:val="14131B"/>
          <w:sz w:val="21"/>
          <w:szCs w:val="21"/>
        </w:rPr>
        <w:t>medida el sujeto fiscalizado logró la consecución de sus objetivos, en términos de</w:t>
      </w:r>
      <w:r>
        <w:rPr>
          <w:rFonts w:ascii="Abadi" w:hAnsi="Abadi" w:cs="*Arial-5347-Identity-H"/>
          <w:color w:val="14131B"/>
          <w:sz w:val="21"/>
          <w:szCs w:val="21"/>
        </w:rPr>
        <w:t xml:space="preserve"> </w:t>
      </w:r>
      <w:r w:rsidRPr="00C0364D">
        <w:rPr>
          <w:rFonts w:ascii="Abadi" w:hAnsi="Abadi" w:cs="*Arial-5347-Identity-H"/>
          <w:color w:val="14131B"/>
          <w:sz w:val="21"/>
          <w:szCs w:val="21"/>
        </w:rPr>
        <w:t>cobertura de la prestación del servicio de alumbrado público a sus habitantes.</w:t>
      </w:r>
      <w:r>
        <w:rPr>
          <w:rFonts w:ascii="Abadi" w:hAnsi="Abadi" w:cs="*Arial-5347-Identity-H"/>
          <w:color w:val="14131B"/>
          <w:sz w:val="21"/>
          <w:szCs w:val="21"/>
        </w:rPr>
        <w:t xml:space="preserve"> </w:t>
      </w:r>
      <w:r w:rsidRPr="00C0364D">
        <w:rPr>
          <w:rFonts w:ascii="Abadi" w:hAnsi="Abadi" w:cs="*Arial-5347-Identity-H"/>
          <w:color w:val="14131B"/>
          <w:sz w:val="21"/>
          <w:szCs w:val="21"/>
        </w:rPr>
        <w:t>Asimismo, si bien se dispuso de un buzón de sugerencias para la recepción de</w:t>
      </w:r>
      <w:r>
        <w:rPr>
          <w:rFonts w:ascii="Abadi" w:hAnsi="Abadi" w:cs="*Arial-5347-Identity-H"/>
          <w:color w:val="14131B"/>
          <w:sz w:val="21"/>
          <w:szCs w:val="21"/>
        </w:rPr>
        <w:t xml:space="preserve"> </w:t>
      </w:r>
      <w:r w:rsidRPr="00C0364D">
        <w:rPr>
          <w:rFonts w:ascii="Abadi" w:hAnsi="Abadi" w:cs="*Arial-5347-Identity-H"/>
          <w:color w:val="14131B"/>
          <w:sz w:val="21"/>
          <w:szCs w:val="21"/>
        </w:rPr>
        <w:t>reportes y opiniones de la ciudadanía, no se acreditó un mecanismo que generara</w:t>
      </w:r>
      <w:r>
        <w:rPr>
          <w:rFonts w:ascii="Abadi" w:hAnsi="Abadi" w:cs="*Arial-5347-Identity-H"/>
          <w:color w:val="14131B"/>
          <w:sz w:val="21"/>
          <w:szCs w:val="21"/>
        </w:rPr>
        <w:t xml:space="preserve"> </w:t>
      </w:r>
      <w:r w:rsidRPr="00C0364D">
        <w:rPr>
          <w:rFonts w:ascii="Abadi" w:hAnsi="Abadi" w:cs="*Arial-5347-Identity-H"/>
          <w:color w:val="14131B"/>
          <w:sz w:val="21"/>
          <w:szCs w:val="21"/>
        </w:rPr>
        <w:t>información sistematizada y oportuna sobre la percepción de los ciudadanos</w:t>
      </w:r>
      <w:r>
        <w:rPr>
          <w:rFonts w:ascii="Abadi" w:hAnsi="Abadi" w:cs="*Arial-5347-Identity-H"/>
          <w:color w:val="14131B"/>
          <w:sz w:val="21"/>
          <w:szCs w:val="21"/>
        </w:rPr>
        <w:t xml:space="preserve"> </w:t>
      </w:r>
      <w:r w:rsidRPr="00C0364D">
        <w:rPr>
          <w:rFonts w:ascii="Abadi" w:hAnsi="Abadi" w:cs="*Arial-5347-Identity-H"/>
          <w:color w:val="14131B"/>
          <w:sz w:val="21"/>
          <w:szCs w:val="21"/>
        </w:rPr>
        <w:t>respecto de la oferta y la calidad del servicio público.</w:t>
      </w:r>
    </w:p>
    <w:p w14:paraId="518ACD7A" w14:textId="77777777" w:rsidR="005D7CEF" w:rsidRPr="00C0364D" w:rsidRDefault="005D7CEF" w:rsidP="005D7CEF">
      <w:pPr>
        <w:autoSpaceDE w:val="0"/>
        <w:autoSpaceDN w:val="0"/>
        <w:adjustRightInd w:val="0"/>
        <w:jc w:val="both"/>
        <w:rPr>
          <w:rFonts w:ascii="Abadi" w:hAnsi="Abadi" w:cs="*Arial-5347-Identity-H"/>
          <w:color w:val="14131B"/>
          <w:sz w:val="21"/>
          <w:szCs w:val="21"/>
        </w:rPr>
      </w:pPr>
    </w:p>
    <w:p w14:paraId="54F99949" w14:textId="77777777" w:rsidR="005D7CEF" w:rsidRDefault="005D7CEF" w:rsidP="005D7CEF">
      <w:pPr>
        <w:autoSpaceDE w:val="0"/>
        <w:autoSpaceDN w:val="0"/>
        <w:adjustRightInd w:val="0"/>
        <w:ind w:firstLine="708"/>
        <w:jc w:val="both"/>
        <w:rPr>
          <w:rFonts w:ascii="Abadi" w:hAnsi="Abadi" w:cs="*Arial-5347-Identity-H"/>
          <w:color w:val="13131A"/>
          <w:sz w:val="21"/>
          <w:szCs w:val="21"/>
        </w:rPr>
      </w:pPr>
      <w:r w:rsidRPr="00C0364D">
        <w:rPr>
          <w:rFonts w:ascii="Abadi" w:hAnsi="Abadi" w:cs="*Arial-5347-Identity-H"/>
          <w:color w:val="13131A"/>
          <w:sz w:val="21"/>
          <w:szCs w:val="21"/>
        </w:rPr>
        <w:t>Por lo que hace a la función del seguimiento, se precisa que la revisión se</w:t>
      </w:r>
      <w:r>
        <w:rPr>
          <w:rFonts w:ascii="Abadi" w:hAnsi="Abadi" w:cs="*Arial-5347-Identity-H"/>
          <w:color w:val="13131A"/>
          <w:sz w:val="21"/>
          <w:szCs w:val="21"/>
        </w:rPr>
        <w:t xml:space="preserve"> </w:t>
      </w:r>
      <w:r w:rsidRPr="00C0364D">
        <w:rPr>
          <w:rFonts w:ascii="Abadi" w:hAnsi="Abadi" w:cs="*Arial-5347-Identity-H"/>
          <w:color w:val="13131A"/>
          <w:sz w:val="21"/>
          <w:szCs w:val="21"/>
        </w:rPr>
        <w:t>enfocó en constatar si el sujeto fiscalizado contó con mecanismos que le</w:t>
      </w:r>
      <w:r>
        <w:rPr>
          <w:rFonts w:ascii="Abadi" w:hAnsi="Abadi" w:cs="*Arial-5347-Identity-H"/>
          <w:color w:val="13131A"/>
          <w:sz w:val="21"/>
          <w:szCs w:val="21"/>
        </w:rPr>
        <w:t xml:space="preserve"> </w:t>
      </w:r>
      <w:r w:rsidRPr="00C0364D">
        <w:rPr>
          <w:rFonts w:ascii="Abadi" w:hAnsi="Abadi" w:cs="*Arial-5347-Identity-H"/>
          <w:color w:val="13131A"/>
          <w:sz w:val="21"/>
          <w:szCs w:val="21"/>
        </w:rPr>
        <w:t>permitieran medir el desempeño y los resultados del servicio de alumbrado</w:t>
      </w:r>
      <w:r>
        <w:rPr>
          <w:rFonts w:ascii="Abadi" w:hAnsi="Abadi" w:cs="*Arial-5347-Identity-H"/>
          <w:color w:val="13131A"/>
          <w:sz w:val="21"/>
          <w:szCs w:val="21"/>
        </w:rPr>
        <w:t xml:space="preserve"> </w:t>
      </w:r>
      <w:r w:rsidRPr="00C0364D">
        <w:rPr>
          <w:rFonts w:ascii="Abadi" w:hAnsi="Abadi" w:cs="*Arial-5347-Identity-H"/>
          <w:color w:val="13131A"/>
          <w:sz w:val="21"/>
          <w:szCs w:val="21"/>
        </w:rPr>
        <w:t>público, obteniendo como principal hallazgo que la instancia responsable no contó</w:t>
      </w:r>
      <w:r>
        <w:rPr>
          <w:rFonts w:ascii="Abadi" w:hAnsi="Abadi" w:cs="*Arial-5347-Identity-H"/>
          <w:color w:val="13131A"/>
          <w:sz w:val="21"/>
          <w:szCs w:val="21"/>
        </w:rPr>
        <w:t xml:space="preserve"> </w:t>
      </w:r>
      <w:r w:rsidRPr="00C0364D">
        <w:rPr>
          <w:rFonts w:ascii="Abadi" w:hAnsi="Abadi" w:cs="*Arial-5347-Identity-H"/>
          <w:color w:val="13131A"/>
          <w:sz w:val="21"/>
          <w:szCs w:val="21"/>
        </w:rPr>
        <w:t>con un plan estratégico de mantenimiento e indicadores. Aunado a que la Matriz</w:t>
      </w:r>
      <w:r>
        <w:rPr>
          <w:rFonts w:ascii="Abadi" w:hAnsi="Abadi" w:cs="*Arial-5347-Identity-H"/>
          <w:color w:val="13131A"/>
          <w:sz w:val="21"/>
          <w:szCs w:val="21"/>
        </w:rPr>
        <w:t xml:space="preserve"> </w:t>
      </w:r>
      <w:r w:rsidRPr="00C0364D">
        <w:rPr>
          <w:rFonts w:ascii="Abadi" w:hAnsi="Abadi" w:cs="*Arial-5347-Identity-H"/>
          <w:color w:val="13131A"/>
          <w:sz w:val="21"/>
          <w:szCs w:val="21"/>
        </w:rPr>
        <w:t>de Indicadores para Resultados con metas asociados a los procesos y resultados</w:t>
      </w:r>
      <w:r>
        <w:rPr>
          <w:rFonts w:ascii="Abadi" w:hAnsi="Abadi" w:cs="*Arial-5347-Identity-H"/>
          <w:color w:val="13131A"/>
          <w:sz w:val="21"/>
          <w:szCs w:val="21"/>
        </w:rPr>
        <w:t xml:space="preserve"> </w:t>
      </w:r>
      <w:r w:rsidRPr="00C0364D">
        <w:rPr>
          <w:rFonts w:ascii="Abadi" w:hAnsi="Abadi" w:cs="*Arial-5347-Identity-H"/>
          <w:color w:val="13131A"/>
          <w:sz w:val="21"/>
          <w:szCs w:val="21"/>
        </w:rPr>
        <w:t>del sistema de alumbrado público presentó deficiencias, al no integrar elementos</w:t>
      </w:r>
      <w:r>
        <w:rPr>
          <w:rFonts w:ascii="Abadi" w:hAnsi="Abadi" w:cs="*Arial-5347-Identity-H"/>
          <w:color w:val="13131A"/>
          <w:sz w:val="21"/>
          <w:szCs w:val="21"/>
        </w:rPr>
        <w:t xml:space="preserve"> </w:t>
      </w:r>
      <w:r w:rsidRPr="00C0364D">
        <w:rPr>
          <w:rFonts w:ascii="Abadi" w:hAnsi="Abadi" w:cs="*Arial-5347-Identity-H"/>
          <w:color w:val="13131A"/>
          <w:sz w:val="21"/>
          <w:szCs w:val="21"/>
        </w:rPr>
        <w:t>operativos relacionados con el mantenimiento, ni de supervisión y control del</w:t>
      </w:r>
      <w:r>
        <w:rPr>
          <w:rFonts w:ascii="Abadi" w:hAnsi="Abadi" w:cs="*Arial-5347-Identity-H"/>
          <w:color w:val="13131A"/>
          <w:sz w:val="21"/>
          <w:szCs w:val="21"/>
        </w:rPr>
        <w:t xml:space="preserve"> </w:t>
      </w:r>
      <w:r w:rsidRPr="00C0364D">
        <w:rPr>
          <w:rFonts w:ascii="Abadi" w:hAnsi="Abadi" w:cs="*Arial-5347-Identity-H"/>
          <w:color w:val="13131A"/>
          <w:sz w:val="21"/>
          <w:szCs w:val="21"/>
        </w:rPr>
        <w:t>concesionario responsable de otorgar el servicio de alumbrado.</w:t>
      </w:r>
    </w:p>
    <w:p w14:paraId="067A68CE" w14:textId="77777777" w:rsidR="005D7CEF" w:rsidRPr="00C0364D" w:rsidRDefault="005D7CEF" w:rsidP="005D7CEF">
      <w:pPr>
        <w:autoSpaceDE w:val="0"/>
        <w:autoSpaceDN w:val="0"/>
        <w:adjustRightInd w:val="0"/>
        <w:jc w:val="both"/>
        <w:rPr>
          <w:rFonts w:ascii="Abadi" w:hAnsi="Abadi" w:cs="*Arial-5347-Identity-H"/>
          <w:color w:val="13131A"/>
          <w:sz w:val="21"/>
          <w:szCs w:val="21"/>
        </w:rPr>
      </w:pPr>
    </w:p>
    <w:p w14:paraId="21134DCD" w14:textId="77777777" w:rsidR="005D7CEF" w:rsidRPr="00C0364D" w:rsidRDefault="005D7CEF" w:rsidP="005D7CEF">
      <w:pPr>
        <w:autoSpaceDE w:val="0"/>
        <w:autoSpaceDN w:val="0"/>
        <w:adjustRightInd w:val="0"/>
        <w:ind w:firstLine="708"/>
        <w:jc w:val="both"/>
        <w:rPr>
          <w:rFonts w:ascii="Abadi" w:hAnsi="Abadi" w:cs="*Arial-5347-Identity-H"/>
          <w:color w:val="15141D"/>
          <w:sz w:val="21"/>
          <w:szCs w:val="21"/>
        </w:rPr>
      </w:pPr>
      <w:r w:rsidRPr="00C0364D">
        <w:rPr>
          <w:rFonts w:ascii="Abadi" w:hAnsi="Abadi" w:cs="*Arial-5347-Identity-H"/>
          <w:color w:val="15141D"/>
          <w:sz w:val="21"/>
          <w:szCs w:val="21"/>
        </w:rPr>
        <w:t>De igual forma, aun cuando en el título-concesión se incluyeron indicadores</w:t>
      </w:r>
      <w:r>
        <w:rPr>
          <w:rFonts w:ascii="Abadi" w:hAnsi="Abadi" w:cs="*Arial-5347-Identity-H"/>
          <w:color w:val="15141D"/>
          <w:sz w:val="21"/>
          <w:szCs w:val="21"/>
        </w:rPr>
        <w:t xml:space="preserve"> </w:t>
      </w:r>
      <w:r w:rsidRPr="00C0364D">
        <w:rPr>
          <w:rFonts w:ascii="Abadi" w:hAnsi="Abadi" w:cs="*Arial-5347-Identity-H"/>
          <w:color w:val="15141D"/>
          <w:sz w:val="21"/>
          <w:szCs w:val="21"/>
        </w:rPr>
        <w:t>relacionados con la operación del servicio, no se acreditaron sus resultados, ni las</w:t>
      </w:r>
      <w:r>
        <w:rPr>
          <w:rFonts w:ascii="Abadi" w:hAnsi="Abadi" w:cs="*Arial-5347-Identity-H"/>
          <w:color w:val="15141D"/>
          <w:sz w:val="21"/>
          <w:szCs w:val="21"/>
        </w:rPr>
        <w:t xml:space="preserve"> </w:t>
      </w:r>
      <w:r w:rsidRPr="00C0364D">
        <w:rPr>
          <w:rFonts w:ascii="Abadi" w:hAnsi="Abadi" w:cs="*Arial-5347-Identity-H"/>
          <w:color w:val="15141D"/>
          <w:sz w:val="21"/>
          <w:szCs w:val="21"/>
        </w:rPr>
        <w:t>acciones</w:t>
      </w:r>
      <w:r w:rsidRPr="00C0364D">
        <w:rPr>
          <w:rFonts w:ascii="Abadi" w:hAnsi="Abadi" w:cs="*Arial-5347-Identity-H"/>
          <w:color w:val="B1B1B1"/>
          <w:sz w:val="21"/>
          <w:szCs w:val="21"/>
        </w:rPr>
        <w:t xml:space="preserve">. </w:t>
      </w:r>
      <w:r w:rsidRPr="00C0364D">
        <w:rPr>
          <w:rFonts w:ascii="Abadi" w:hAnsi="Abadi" w:cs="*Arial-5347-Identity-H"/>
          <w:color w:val="15141D"/>
          <w:sz w:val="21"/>
          <w:szCs w:val="21"/>
        </w:rPr>
        <w:t>de monitoreo correspondientes, lo cual limitó conocer la eficacia en el</w:t>
      </w:r>
      <w:r>
        <w:rPr>
          <w:rFonts w:ascii="Abadi" w:hAnsi="Abadi" w:cs="*Arial-5347-Identity-H"/>
          <w:color w:val="15141D"/>
          <w:sz w:val="21"/>
          <w:szCs w:val="21"/>
        </w:rPr>
        <w:t xml:space="preserve"> </w:t>
      </w:r>
      <w:r w:rsidRPr="00C0364D">
        <w:rPr>
          <w:rFonts w:ascii="Abadi" w:hAnsi="Abadi" w:cs="*Arial-5347-Identity-H"/>
          <w:color w:val="15141D"/>
          <w:sz w:val="21"/>
          <w:szCs w:val="21"/>
        </w:rPr>
        <w:t>otorgamiento del servicio de alumbrado público, al no contar con información</w:t>
      </w:r>
      <w:r>
        <w:rPr>
          <w:rFonts w:ascii="Abadi" w:hAnsi="Abadi" w:cs="*Arial-5347-Identity-H"/>
          <w:color w:val="15141D"/>
          <w:sz w:val="21"/>
          <w:szCs w:val="21"/>
        </w:rPr>
        <w:t xml:space="preserve"> </w:t>
      </w:r>
      <w:r w:rsidRPr="00C0364D">
        <w:rPr>
          <w:rFonts w:ascii="Abadi" w:hAnsi="Abadi" w:cs="*Arial-5347-Identity-H"/>
          <w:color w:val="15141D"/>
          <w:sz w:val="21"/>
          <w:szCs w:val="21"/>
        </w:rPr>
        <w:t>suficiente y pertinente de la totalidad de lámparas, su ubicación y el tipo de</w:t>
      </w:r>
      <w:r>
        <w:rPr>
          <w:rFonts w:ascii="Abadi" w:hAnsi="Abadi" w:cs="*Arial-5347-Identity-H"/>
          <w:color w:val="15141D"/>
          <w:sz w:val="21"/>
          <w:szCs w:val="21"/>
        </w:rPr>
        <w:t xml:space="preserve"> </w:t>
      </w:r>
      <w:r w:rsidRPr="00C0364D">
        <w:rPr>
          <w:rFonts w:ascii="Abadi" w:hAnsi="Abadi" w:cs="*Arial-5347-Identity-H"/>
          <w:color w:val="15141D"/>
          <w:sz w:val="21"/>
          <w:szCs w:val="21"/>
        </w:rPr>
        <w:t>espacio, las características físicas y técnicas y de funcionamiento, lo que, aunado</w:t>
      </w:r>
      <w:r>
        <w:rPr>
          <w:rFonts w:ascii="Abadi" w:hAnsi="Abadi" w:cs="*Arial-5347-Identity-H"/>
          <w:color w:val="15141D"/>
          <w:sz w:val="21"/>
          <w:szCs w:val="21"/>
        </w:rPr>
        <w:t xml:space="preserve"> </w:t>
      </w:r>
      <w:r w:rsidRPr="00C0364D">
        <w:rPr>
          <w:rFonts w:ascii="Abadi" w:hAnsi="Abadi" w:cs="*Arial-5347-Identity-H"/>
          <w:color w:val="15141D"/>
          <w:sz w:val="21"/>
          <w:szCs w:val="21"/>
        </w:rPr>
        <w:t>a las carencias de mecanismos de control para asegurar la consecución de los</w:t>
      </w:r>
      <w:r>
        <w:rPr>
          <w:rFonts w:ascii="Abadi" w:hAnsi="Abadi" w:cs="*Arial-5347-Identity-H"/>
          <w:color w:val="15141D"/>
          <w:sz w:val="21"/>
          <w:szCs w:val="21"/>
        </w:rPr>
        <w:t xml:space="preserve"> </w:t>
      </w:r>
      <w:r w:rsidRPr="00C0364D">
        <w:rPr>
          <w:rFonts w:ascii="Abadi" w:hAnsi="Abadi" w:cs="*Arial-5347-Identity-H"/>
          <w:color w:val="15141D"/>
          <w:sz w:val="21"/>
          <w:szCs w:val="21"/>
        </w:rPr>
        <w:t>objetivos, impidió conocer los resultados logrados por el sujeto fiscalizado en la</w:t>
      </w:r>
      <w:r>
        <w:rPr>
          <w:rFonts w:ascii="Abadi" w:hAnsi="Abadi" w:cs="*Arial-5347-Identity-H"/>
          <w:color w:val="15141D"/>
          <w:sz w:val="21"/>
          <w:szCs w:val="21"/>
        </w:rPr>
        <w:t xml:space="preserve"> </w:t>
      </w:r>
      <w:r w:rsidRPr="00C0364D">
        <w:rPr>
          <w:rFonts w:ascii="Abadi" w:hAnsi="Abadi" w:cs="*Arial-5347-Identity-H"/>
          <w:color w:val="15141D"/>
          <w:sz w:val="21"/>
          <w:szCs w:val="21"/>
        </w:rPr>
        <w:t>materia.</w:t>
      </w:r>
    </w:p>
    <w:p w14:paraId="7C9C7654" w14:textId="77777777" w:rsidR="005D7CEF" w:rsidRPr="00C0364D" w:rsidRDefault="005D7CEF" w:rsidP="005D7CEF">
      <w:pPr>
        <w:jc w:val="both"/>
        <w:rPr>
          <w:rFonts w:ascii="Abadi" w:hAnsi="Abadi" w:cs="*Arial-5347-Identity-H"/>
          <w:color w:val="15141D"/>
          <w:sz w:val="21"/>
          <w:szCs w:val="21"/>
        </w:rPr>
      </w:pPr>
    </w:p>
    <w:p w14:paraId="197471F3" w14:textId="77777777" w:rsidR="005D7CEF" w:rsidRDefault="005D7CEF" w:rsidP="005D7CEF">
      <w:pPr>
        <w:autoSpaceDE w:val="0"/>
        <w:autoSpaceDN w:val="0"/>
        <w:adjustRightInd w:val="0"/>
        <w:ind w:firstLine="708"/>
        <w:jc w:val="both"/>
        <w:rPr>
          <w:rFonts w:ascii="Abadi" w:hAnsi="Abadi" w:cs="*Microsoft Sans Serif-4439-Iden"/>
          <w:color w:val="15141C"/>
          <w:sz w:val="21"/>
          <w:szCs w:val="21"/>
        </w:rPr>
      </w:pPr>
      <w:r w:rsidRPr="00C0364D">
        <w:rPr>
          <w:rFonts w:ascii="Abadi" w:hAnsi="Abadi" w:cs="*Microsoft Sans Serif-4439-Iden"/>
          <w:color w:val="15141C"/>
          <w:sz w:val="21"/>
          <w:szCs w:val="21"/>
        </w:rPr>
        <w:t>Derivado de las oportunidades referidas, se reconoce que la administración</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pública municipal de Acámbaro, Gto., muestra una postura proactiva, generando</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compromisos con la finalidad de mejorar la administración y resultados de la</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prestación del servicio de alumbrado público a la población, al presentar planes de</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acción a efecto de mejorar y garantizar la continuidad, permanencia, uniformidad,</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igualdad y cobertura integral del servicio público.</w:t>
      </w:r>
    </w:p>
    <w:p w14:paraId="23442D74" w14:textId="77777777" w:rsidR="005D7CEF" w:rsidRPr="00C0364D" w:rsidRDefault="005D7CEF" w:rsidP="005D7CEF">
      <w:pPr>
        <w:autoSpaceDE w:val="0"/>
        <w:autoSpaceDN w:val="0"/>
        <w:adjustRightInd w:val="0"/>
        <w:jc w:val="both"/>
        <w:rPr>
          <w:rFonts w:ascii="Abadi" w:hAnsi="Abadi" w:cs="*Microsoft Sans Serif-4439-Iden"/>
          <w:color w:val="15141C"/>
          <w:sz w:val="21"/>
          <w:szCs w:val="21"/>
        </w:rPr>
      </w:pPr>
    </w:p>
    <w:p w14:paraId="09907B22" w14:textId="77777777" w:rsidR="005D7CEF" w:rsidRPr="00C0364D" w:rsidRDefault="005D7CEF" w:rsidP="005D7CEF">
      <w:pPr>
        <w:autoSpaceDE w:val="0"/>
        <w:autoSpaceDN w:val="0"/>
        <w:adjustRightInd w:val="0"/>
        <w:ind w:firstLine="708"/>
        <w:jc w:val="both"/>
        <w:rPr>
          <w:rFonts w:ascii="Abadi" w:hAnsi="Abadi" w:cs="*Microsoft Sans Serif-4439-Iden"/>
          <w:color w:val="15141C"/>
          <w:sz w:val="21"/>
          <w:szCs w:val="21"/>
        </w:rPr>
      </w:pPr>
      <w:r w:rsidRPr="00C0364D">
        <w:rPr>
          <w:rFonts w:ascii="Abadi" w:hAnsi="Abadi" w:cs="*Microsoft Sans Serif-4439-Iden"/>
          <w:color w:val="15141C"/>
          <w:sz w:val="21"/>
          <w:szCs w:val="21"/>
        </w:rPr>
        <w:t>En este sentido, se señala que, de atenderse las recomendaciones</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formuladas, el sujeto fiscalizado estará en condiciones de optimizar la gestión</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pública para fortalecer la prestación del servicio de alumbrado público con una</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mayor orientación a los principios de eficacia y eficiencia, incentivando la</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adecuación y atención de la normativa y el logro de los propósitos, objetivos y</w:t>
      </w:r>
    </w:p>
    <w:p w14:paraId="06D07F7A" w14:textId="77777777" w:rsidR="005D7CEF" w:rsidRDefault="005D7CEF" w:rsidP="005D7CEF">
      <w:pPr>
        <w:autoSpaceDE w:val="0"/>
        <w:autoSpaceDN w:val="0"/>
        <w:adjustRightInd w:val="0"/>
        <w:jc w:val="both"/>
        <w:rPr>
          <w:rFonts w:ascii="Abadi" w:hAnsi="Abadi" w:cs="*Microsoft Sans Serif-4439-Iden"/>
          <w:color w:val="15141C"/>
          <w:sz w:val="21"/>
          <w:szCs w:val="21"/>
        </w:rPr>
      </w:pPr>
      <w:r w:rsidRPr="00C0364D">
        <w:rPr>
          <w:rFonts w:ascii="Abadi" w:hAnsi="Abadi" w:cs="*Microsoft Sans Serif-4439-Iden"/>
          <w:color w:val="15141C"/>
          <w:sz w:val="21"/>
          <w:szCs w:val="21"/>
        </w:rPr>
        <w:t>metas, mediante la gestión de programas.</w:t>
      </w:r>
    </w:p>
    <w:p w14:paraId="07B720AC" w14:textId="77777777" w:rsidR="005D7CEF" w:rsidRPr="00C0364D" w:rsidRDefault="005D7CEF" w:rsidP="005D7CEF">
      <w:pPr>
        <w:autoSpaceDE w:val="0"/>
        <w:autoSpaceDN w:val="0"/>
        <w:adjustRightInd w:val="0"/>
        <w:jc w:val="both"/>
        <w:rPr>
          <w:rFonts w:ascii="Abadi" w:hAnsi="Abadi" w:cs="*Microsoft Sans Serif-4439-Iden"/>
          <w:color w:val="15141C"/>
          <w:sz w:val="21"/>
          <w:szCs w:val="21"/>
        </w:rPr>
      </w:pPr>
    </w:p>
    <w:p w14:paraId="176D268D" w14:textId="77777777" w:rsidR="005D7CEF" w:rsidRDefault="005D7CEF" w:rsidP="005D7CEF">
      <w:pPr>
        <w:autoSpaceDE w:val="0"/>
        <w:autoSpaceDN w:val="0"/>
        <w:adjustRightInd w:val="0"/>
        <w:ind w:firstLine="708"/>
        <w:jc w:val="both"/>
        <w:rPr>
          <w:rFonts w:ascii="Abadi" w:hAnsi="Abadi" w:cs="*Microsoft Sans Serif-4439-Iden"/>
          <w:color w:val="15141C"/>
          <w:sz w:val="21"/>
          <w:szCs w:val="21"/>
        </w:rPr>
      </w:pPr>
      <w:r w:rsidRPr="00C0364D">
        <w:rPr>
          <w:rFonts w:ascii="Abadi" w:hAnsi="Abadi" w:cs="*Microsoft Sans Serif-4439-Iden"/>
          <w:color w:val="15141C"/>
          <w:sz w:val="21"/>
          <w:szCs w:val="21"/>
        </w:rPr>
        <w:t>El seguimiento de dichos compromisos se realizará por la Auditoría</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Superior del Estado, respecto de las recomendaciones donde se valora que el</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sujeto fiscalizado realizará acciones de mejora en un plazo determinado hasta su</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total implementación o en aquellas valoradas como persiste, acorde a la normativa</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aplicable.</w:t>
      </w:r>
    </w:p>
    <w:p w14:paraId="516CAE50" w14:textId="77777777" w:rsidR="005D7CEF" w:rsidRPr="00C0364D" w:rsidRDefault="005D7CEF" w:rsidP="005D7CEF">
      <w:pPr>
        <w:autoSpaceDE w:val="0"/>
        <w:autoSpaceDN w:val="0"/>
        <w:adjustRightInd w:val="0"/>
        <w:jc w:val="both"/>
        <w:rPr>
          <w:rFonts w:ascii="Abadi" w:hAnsi="Abadi" w:cs="*Microsoft Sans Serif-4439-Iden"/>
          <w:color w:val="15141C"/>
          <w:sz w:val="21"/>
          <w:szCs w:val="21"/>
        </w:rPr>
      </w:pPr>
    </w:p>
    <w:p w14:paraId="51680AA7" w14:textId="77777777" w:rsidR="005D7CEF" w:rsidRDefault="005D7CEF" w:rsidP="005D7CEF">
      <w:pPr>
        <w:autoSpaceDE w:val="0"/>
        <w:autoSpaceDN w:val="0"/>
        <w:adjustRightInd w:val="0"/>
        <w:jc w:val="both"/>
        <w:rPr>
          <w:rFonts w:ascii="Abadi" w:hAnsi="Abadi" w:cs="*Arial-Bold-4437-Identity-H"/>
          <w:b/>
          <w:bCs/>
          <w:color w:val="14131E"/>
          <w:sz w:val="21"/>
          <w:szCs w:val="21"/>
        </w:rPr>
      </w:pPr>
    </w:p>
    <w:p w14:paraId="1F6D8F79" w14:textId="77777777" w:rsidR="005D7CEF" w:rsidRDefault="005D7CEF" w:rsidP="005D7CEF">
      <w:pPr>
        <w:autoSpaceDE w:val="0"/>
        <w:autoSpaceDN w:val="0"/>
        <w:adjustRightInd w:val="0"/>
        <w:ind w:firstLine="708"/>
        <w:jc w:val="both"/>
        <w:rPr>
          <w:rFonts w:ascii="Abadi" w:hAnsi="Abadi" w:cs="*Arial-Bold-4437-Identity-H"/>
          <w:b/>
          <w:bCs/>
          <w:color w:val="14131E"/>
          <w:sz w:val="21"/>
          <w:szCs w:val="21"/>
        </w:rPr>
      </w:pPr>
      <w:r w:rsidRPr="00C0364D">
        <w:rPr>
          <w:rFonts w:ascii="Abadi" w:hAnsi="Abadi" w:cs="*Arial-Bold-4437-Identity-H"/>
          <w:b/>
          <w:bCs/>
          <w:color w:val="14131E"/>
          <w:sz w:val="21"/>
          <w:szCs w:val="21"/>
        </w:rPr>
        <w:t>V. Conclusiones:</w:t>
      </w:r>
    </w:p>
    <w:p w14:paraId="4925D086" w14:textId="77777777" w:rsidR="005D7CEF" w:rsidRPr="00C0364D" w:rsidRDefault="005D7CEF" w:rsidP="005D7CEF">
      <w:pPr>
        <w:autoSpaceDE w:val="0"/>
        <w:autoSpaceDN w:val="0"/>
        <w:adjustRightInd w:val="0"/>
        <w:jc w:val="both"/>
        <w:rPr>
          <w:rFonts w:ascii="Abadi" w:hAnsi="Abadi" w:cs="*Arial-Bold-4437-Identity-H"/>
          <w:b/>
          <w:bCs/>
          <w:color w:val="14131E"/>
          <w:sz w:val="21"/>
          <w:szCs w:val="21"/>
        </w:rPr>
      </w:pPr>
    </w:p>
    <w:p w14:paraId="4ABD8E07" w14:textId="77777777" w:rsidR="005D7CEF" w:rsidRDefault="005D7CEF" w:rsidP="005D7CEF">
      <w:pPr>
        <w:autoSpaceDE w:val="0"/>
        <w:autoSpaceDN w:val="0"/>
        <w:adjustRightInd w:val="0"/>
        <w:ind w:firstLine="708"/>
        <w:jc w:val="both"/>
        <w:rPr>
          <w:rFonts w:ascii="Abadi" w:hAnsi="Abadi" w:cs="*Microsoft Sans Serif-4439-Iden"/>
          <w:color w:val="15141C"/>
          <w:sz w:val="21"/>
          <w:szCs w:val="21"/>
        </w:rPr>
      </w:pPr>
      <w:r w:rsidRPr="00C0364D">
        <w:rPr>
          <w:rFonts w:ascii="Abadi" w:hAnsi="Abadi" w:cs="*Microsoft Sans Serif-4439-Iden"/>
          <w:color w:val="15141C"/>
          <w:sz w:val="21"/>
          <w:szCs w:val="21"/>
        </w:rPr>
        <w:t>Como ya lo habíamos señalado en párrafos anteriores, el artículo 38 de la</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Ley de Fiscalización Superior del Estado de Guanajuato establece que los</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informes de resultados únicamente podrán ser observados por las dos terceras</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partes de los diputados integrantes del Congreso, cuando no se observen las</w:t>
      </w:r>
      <w:r>
        <w:rPr>
          <w:rFonts w:ascii="Abadi" w:hAnsi="Abadi" w:cs="*Microsoft Sans Serif-4439-Iden"/>
          <w:color w:val="15141C"/>
          <w:sz w:val="21"/>
          <w:szCs w:val="21"/>
        </w:rPr>
        <w:t xml:space="preserve"> </w:t>
      </w:r>
      <w:r w:rsidRPr="00C0364D">
        <w:rPr>
          <w:rFonts w:ascii="Abadi" w:hAnsi="Abadi" w:cs="*Microsoft Sans Serif-4439-Iden"/>
          <w:color w:val="15141C"/>
          <w:sz w:val="21"/>
          <w:szCs w:val="21"/>
        </w:rPr>
        <w:t>formalidades esenciales del proceso de fiscalización.</w:t>
      </w:r>
    </w:p>
    <w:p w14:paraId="64FE8B37" w14:textId="77777777" w:rsidR="005D7CEF" w:rsidRPr="00C0364D" w:rsidRDefault="005D7CEF" w:rsidP="005D7CEF">
      <w:pPr>
        <w:autoSpaceDE w:val="0"/>
        <w:autoSpaceDN w:val="0"/>
        <w:adjustRightInd w:val="0"/>
        <w:jc w:val="both"/>
        <w:rPr>
          <w:rFonts w:ascii="Abadi" w:hAnsi="Abadi" w:cs="*Microsoft Sans Serif-4439-Iden"/>
          <w:color w:val="15141C"/>
          <w:sz w:val="21"/>
          <w:szCs w:val="21"/>
        </w:rPr>
      </w:pPr>
    </w:p>
    <w:p w14:paraId="142FB3AB" w14:textId="77777777" w:rsidR="005D7CEF" w:rsidRPr="00C0364D" w:rsidRDefault="005D7CEF" w:rsidP="005D7CEF">
      <w:pPr>
        <w:autoSpaceDE w:val="0"/>
        <w:autoSpaceDN w:val="0"/>
        <w:adjustRightInd w:val="0"/>
        <w:ind w:firstLine="708"/>
        <w:jc w:val="both"/>
        <w:rPr>
          <w:rFonts w:ascii="Abadi" w:hAnsi="Abadi" w:cs="*Microsoft Sans Serif-4439-Iden"/>
          <w:color w:val="14131B"/>
          <w:sz w:val="21"/>
          <w:szCs w:val="21"/>
        </w:rPr>
      </w:pPr>
      <w:r w:rsidRPr="00C0364D">
        <w:rPr>
          <w:rFonts w:ascii="Abadi" w:hAnsi="Abadi" w:cs="*Microsoft Sans Serif-4439-Iden"/>
          <w:color w:val="14131B"/>
          <w:sz w:val="21"/>
          <w:szCs w:val="21"/>
        </w:rPr>
        <w:t>En este sentido, quienes integramos esta Comisión analizamos el informe</w:t>
      </w:r>
      <w:r>
        <w:rPr>
          <w:rFonts w:ascii="Abadi" w:hAnsi="Abadi" w:cs="*Microsoft Sans Serif-4439-Iden"/>
          <w:color w:val="14131B"/>
          <w:sz w:val="21"/>
          <w:szCs w:val="21"/>
        </w:rPr>
        <w:t xml:space="preserve"> </w:t>
      </w:r>
      <w:r w:rsidRPr="00C0364D">
        <w:rPr>
          <w:rFonts w:ascii="Abadi" w:hAnsi="Abadi" w:cs="*Microsoft Sans Serif-4439-Iden"/>
          <w:color w:val="14131B"/>
          <w:sz w:val="21"/>
          <w:szCs w:val="21"/>
        </w:rPr>
        <w:t>de resultados materia del presente dictamen, considerando la hipótesis referida en</w:t>
      </w:r>
      <w:r>
        <w:rPr>
          <w:rFonts w:ascii="Abadi" w:hAnsi="Abadi" w:cs="*Microsoft Sans Serif-4439-Iden"/>
          <w:color w:val="14131B"/>
          <w:sz w:val="21"/>
          <w:szCs w:val="21"/>
        </w:rPr>
        <w:t xml:space="preserve"> </w:t>
      </w:r>
      <w:r w:rsidRPr="00C0364D">
        <w:rPr>
          <w:rFonts w:ascii="Abadi" w:hAnsi="Abadi" w:cs="*Microsoft Sans Serif-4439-Iden"/>
          <w:color w:val="14131B"/>
          <w:sz w:val="21"/>
          <w:szCs w:val="21"/>
        </w:rPr>
        <w:t>el precepto anteriormente señalado.</w:t>
      </w:r>
    </w:p>
    <w:p w14:paraId="050C762D" w14:textId="77777777" w:rsidR="005D7CEF" w:rsidRPr="00C0364D" w:rsidRDefault="005D7CEF" w:rsidP="005D7CEF">
      <w:pPr>
        <w:jc w:val="both"/>
        <w:rPr>
          <w:rFonts w:ascii="Abadi" w:hAnsi="Abadi" w:cs="*Microsoft Sans Serif-4439-Iden"/>
          <w:color w:val="14131B"/>
          <w:sz w:val="21"/>
          <w:szCs w:val="21"/>
        </w:rPr>
      </w:pPr>
    </w:p>
    <w:p w14:paraId="4A1E41A9" w14:textId="77777777" w:rsidR="005D7CEF" w:rsidRDefault="005D7CEF" w:rsidP="005D7CEF">
      <w:pPr>
        <w:autoSpaceDE w:val="0"/>
        <w:autoSpaceDN w:val="0"/>
        <w:adjustRightInd w:val="0"/>
        <w:ind w:firstLine="708"/>
        <w:jc w:val="both"/>
        <w:rPr>
          <w:rFonts w:ascii="Abadi" w:hAnsi="Abadi" w:cs="*Arial-5830-Identity-H"/>
          <w:color w:val="14131B"/>
          <w:sz w:val="21"/>
          <w:szCs w:val="21"/>
        </w:rPr>
      </w:pPr>
      <w:r w:rsidRPr="00C0364D">
        <w:rPr>
          <w:rFonts w:ascii="Abadi" w:hAnsi="Abadi" w:cs="*Arial-5830-Identity-H"/>
          <w:color w:val="14131B"/>
          <w:sz w:val="21"/>
          <w:szCs w:val="21"/>
        </w:rPr>
        <w:t>Como se desprende· del informe de resultados, el Órgano Técnico dio</w:t>
      </w:r>
      <w:r>
        <w:rPr>
          <w:rFonts w:ascii="Abadi" w:hAnsi="Abadi" w:cs="*Arial-5830-Identity-H"/>
          <w:color w:val="14131B"/>
          <w:sz w:val="21"/>
          <w:szCs w:val="21"/>
        </w:rPr>
        <w:t xml:space="preserve"> </w:t>
      </w:r>
      <w:r w:rsidRPr="00C0364D">
        <w:rPr>
          <w:rFonts w:ascii="Abadi" w:hAnsi="Abadi" w:cs="*Arial-5830-Identity-H"/>
          <w:color w:val="14131B"/>
          <w:sz w:val="21"/>
          <w:szCs w:val="21"/>
        </w:rPr>
        <w:t>cumplimiento al artículo 58 de la Ley de Fiscalización Superior del Estado de</w:t>
      </w:r>
      <w:r>
        <w:rPr>
          <w:rFonts w:ascii="Abadi" w:hAnsi="Abadi" w:cs="*Arial-5830-Identity-H"/>
          <w:color w:val="14131B"/>
          <w:sz w:val="21"/>
          <w:szCs w:val="21"/>
        </w:rPr>
        <w:t xml:space="preserve"> </w:t>
      </w:r>
      <w:r w:rsidRPr="00C0364D">
        <w:rPr>
          <w:rFonts w:ascii="Abadi" w:hAnsi="Abadi" w:cs="*Arial-5830-Identity-H"/>
          <w:color w:val="14131B"/>
          <w:sz w:val="21"/>
          <w:szCs w:val="21"/>
        </w:rPr>
        <w:t>Guanajuato, al haberse notificado las recomendaciones derivadas de la auditoría</w:t>
      </w:r>
      <w:r>
        <w:rPr>
          <w:rFonts w:ascii="Abadi" w:hAnsi="Abadi" w:cs="*Arial-5830-Identity-H"/>
          <w:color w:val="14131B"/>
          <w:sz w:val="21"/>
          <w:szCs w:val="21"/>
        </w:rPr>
        <w:t xml:space="preserve"> </w:t>
      </w:r>
      <w:r w:rsidRPr="00C0364D">
        <w:rPr>
          <w:rFonts w:ascii="Abadi" w:hAnsi="Abadi" w:cs="*Arial-5830-Identity-H"/>
          <w:color w:val="14131B"/>
          <w:sz w:val="21"/>
          <w:szCs w:val="21"/>
        </w:rPr>
        <w:t>al sujeto fiscalizado, concediéndole el plazo que establece la Ley para atender las</w:t>
      </w:r>
      <w:r>
        <w:rPr>
          <w:rFonts w:ascii="Abadi" w:hAnsi="Abadi" w:cs="*Arial-5830-Identity-H"/>
          <w:color w:val="14131B"/>
          <w:sz w:val="21"/>
          <w:szCs w:val="21"/>
        </w:rPr>
        <w:t xml:space="preserve"> </w:t>
      </w:r>
      <w:r w:rsidRPr="00C0364D">
        <w:rPr>
          <w:rFonts w:ascii="Abadi" w:hAnsi="Abadi" w:cs="*Arial-5830-Identity-H"/>
          <w:color w:val="14131B"/>
          <w:sz w:val="21"/>
          <w:szCs w:val="21"/>
        </w:rPr>
        <w:t>recomendaciones formuladas por el Órgano Técnico. Al respecto, se presentó la</w:t>
      </w:r>
      <w:r>
        <w:rPr>
          <w:rFonts w:ascii="Abadi" w:hAnsi="Abadi" w:cs="*Arial-5830-Identity-H"/>
          <w:color w:val="14131B"/>
          <w:sz w:val="21"/>
          <w:szCs w:val="21"/>
        </w:rPr>
        <w:t xml:space="preserve"> </w:t>
      </w:r>
      <w:r w:rsidRPr="00C0364D">
        <w:rPr>
          <w:rFonts w:ascii="Abadi" w:hAnsi="Abadi" w:cs="*Arial-5830-Identity-H"/>
          <w:color w:val="14131B"/>
          <w:sz w:val="21"/>
          <w:szCs w:val="21"/>
        </w:rPr>
        <w:t>información y documentación que se consideró suficiente para atender las</w:t>
      </w:r>
      <w:r>
        <w:rPr>
          <w:rFonts w:ascii="Abadi" w:hAnsi="Abadi" w:cs="*Arial-5830-Identity-H"/>
          <w:color w:val="14131B"/>
          <w:sz w:val="21"/>
          <w:szCs w:val="21"/>
        </w:rPr>
        <w:t xml:space="preserve"> </w:t>
      </w:r>
      <w:r w:rsidRPr="00C0364D">
        <w:rPr>
          <w:rFonts w:ascii="Abadi" w:hAnsi="Abadi" w:cs="*Arial-5830-Identity-H"/>
          <w:color w:val="14131B"/>
          <w:sz w:val="21"/>
          <w:szCs w:val="21"/>
        </w:rPr>
        <w:t>recomendaciones efectuadas.</w:t>
      </w:r>
    </w:p>
    <w:p w14:paraId="05C9DBC5" w14:textId="77777777" w:rsidR="005D7CEF" w:rsidRPr="00C0364D" w:rsidRDefault="005D7CEF" w:rsidP="005D7CEF">
      <w:pPr>
        <w:autoSpaceDE w:val="0"/>
        <w:autoSpaceDN w:val="0"/>
        <w:adjustRightInd w:val="0"/>
        <w:jc w:val="both"/>
        <w:rPr>
          <w:rFonts w:ascii="Abadi" w:hAnsi="Abadi" w:cs="*Arial-5830-Identity-H"/>
          <w:color w:val="14131B"/>
          <w:sz w:val="21"/>
          <w:szCs w:val="21"/>
        </w:rPr>
      </w:pPr>
    </w:p>
    <w:p w14:paraId="2C00D335" w14:textId="77777777" w:rsidR="005D7CEF" w:rsidRDefault="005D7CEF" w:rsidP="005D7CEF">
      <w:pPr>
        <w:autoSpaceDE w:val="0"/>
        <w:autoSpaceDN w:val="0"/>
        <w:adjustRightInd w:val="0"/>
        <w:ind w:firstLine="708"/>
        <w:jc w:val="both"/>
        <w:rPr>
          <w:rFonts w:ascii="Abadi" w:hAnsi="Abadi" w:cs="*Arial-5830-Identity-H"/>
          <w:color w:val="14131B"/>
          <w:sz w:val="21"/>
          <w:szCs w:val="21"/>
        </w:rPr>
      </w:pPr>
      <w:r w:rsidRPr="00C0364D">
        <w:rPr>
          <w:rFonts w:ascii="Abadi" w:hAnsi="Abadi" w:cs="*Arial-5830-Identity-H"/>
          <w:color w:val="14131B"/>
          <w:sz w:val="21"/>
          <w:szCs w:val="21"/>
        </w:rPr>
        <w:t>De igual manera, existe en el informe de resultados la constancia de que</w:t>
      </w:r>
      <w:r>
        <w:rPr>
          <w:rFonts w:ascii="Abadi" w:hAnsi="Abadi" w:cs="*Arial-5830-Identity-H"/>
          <w:color w:val="14131B"/>
          <w:sz w:val="21"/>
          <w:szCs w:val="21"/>
        </w:rPr>
        <w:t xml:space="preserve"> </w:t>
      </w:r>
      <w:r w:rsidRPr="00C0364D">
        <w:rPr>
          <w:rFonts w:ascii="Abadi" w:hAnsi="Abadi" w:cs="*Arial-5830-Identity-H"/>
          <w:color w:val="14131B"/>
          <w:sz w:val="21"/>
          <w:szCs w:val="21"/>
        </w:rPr>
        <w:t>este se notificó al sujeto fiscalizado. En tal virtud, se considera que fue respetado</w:t>
      </w:r>
      <w:r>
        <w:rPr>
          <w:rFonts w:ascii="Abadi" w:hAnsi="Abadi" w:cs="*Arial-5830-Identity-H"/>
          <w:color w:val="14131B"/>
          <w:sz w:val="21"/>
          <w:szCs w:val="21"/>
        </w:rPr>
        <w:t xml:space="preserve"> </w:t>
      </w:r>
      <w:r w:rsidRPr="00C0364D">
        <w:rPr>
          <w:rFonts w:ascii="Abadi" w:hAnsi="Abadi" w:cs="*Arial-5830-Identity-H"/>
          <w:color w:val="14131B"/>
          <w:sz w:val="21"/>
          <w:szCs w:val="21"/>
        </w:rPr>
        <w:t>el derecho de audiencia o defensa por parte del Órgano Técnico.</w:t>
      </w:r>
      <w:r>
        <w:rPr>
          <w:rFonts w:ascii="Abadi" w:hAnsi="Abadi" w:cs="*Arial-5830-Identity-H"/>
          <w:color w:val="14131B"/>
          <w:sz w:val="21"/>
          <w:szCs w:val="21"/>
        </w:rPr>
        <w:t xml:space="preserve"> </w:t>
      </w:r>
    </w:p>
    <w:p w14:paraId="36B36C66" w14:textId="77777777" w:rsidR="005D7CEF" w:rsidRDefault="005D7CEF" w:rsidP="005D7CEF">
      <w:pPr>
        <w:autoSpaceDE w:val="0"/>
        <w:autoSpaceDN w:val="0"/>
        <w:adjustRightInd w:val="0"/>
        <w:ind w:firstLine="708"/>
        <w:jc w:val="both"/>
        <w:rPr>
          <w:rFonts w:ascii="Abadi" w:hAnsi="Abadi" w:cs="*Arial-5830-Identity-H"/>
          <w:color w:val="14131B"/>
          <w:sz w:val="21"/>
          <w:szCs w:val="21"/>
        </w:rPr>
      </w:pPr>
    </w:p>
    <w:p w14:paraId="1C525E39" w14:textId="77777777" w:rsidR="005D7CEF" w:rsidRDefault="005D7CEF" w:rsidP="005D7CEF">
      <w:pPr>
        <w:autoSpaceDE w:val="0"/>
        <w:autoSpaceDN w:val="0"/>
        <w:adjustRightInd w:val="0"/>
        <w:ind w:firstLine="708"/>
        <w:jc w:val="both"/>
        <w:rPr>
          <w:rFonts w:ascii="Abadi" w:hAnsi="Abadi" w:cs="*Arial-5830-Identity-H"/>
          <w:color w:val="14131C"/>
          <w:sz w:val="21"/>
          <w:szCs w:val="21"/>
        </w:rPr>
      </w:pPr>
      <w:r w:rsidRPr="00C0364D">
        <w:rPr>
          <w:rFonts w:ascii="Abadi" w:hAnsi="Abadi" w:cs="*Arial-5830-Identity-H"/>
          <w:color w:val="14131C"/>
          <w:sz w:val="21"/>
          <w:szCs w:val="21"/>
        </w:rPr>
        <w:t>Asimismo, del informe de resultados podemos inferir que el Órgano Técnico</w:t>
      </w:r>
      <w:r>
        <w:rPr>
          <w:rFonts w:ascii="Abadi" w:hAnsi="Abadi" w:cs="*Arial-5830-Identity-H"/>
          <w:color w:val="14131C"/>
          <w:sz w:val="21"/>
          <w:szCs w:val="21"/>
        </w:rPr>
        <w:t xml:space="preserve"> </w:t>
      </w:r>
      <w:r w:rsidRPr="00C0364D">
        <w:rPr>
          <w:rFonts w:ascii="Abadi" w:hAnsi="Abadi" w:cs="*Arial-5830-Identity-H"/>
          <w:color w:val="14131C"/>
          <w:sz w:val="21"/>
          <w:szCs w:val="21"/>
        </w:rPr>
        <w:t>en el desarrollo del procedimiento de auditoría, dio cumplimiento a las</w:t>
      </w:r>
      <w:r>
        <w:rPr>
          <w:rFonts w:ascii="Abadi" w:hAnsi="Abadi" w:cs="*Arial-5830-Identity-H"/>
          <w:color w:val="14131C"/>
          <w:sz w:val="21"/>
          <w:szCs w:val="21"/>
        </w:rPr>
        <w:t xml:space="preserve"> </w:t>
      </w:r>
      <w:r w:rsidRPr="00C0364D">
        <w:rPr>
          <w:rFonts w:ascii="Abadi" w:hAnsi="Abadi" w:cs="*Arial-5830-Identity-H"/>
          <w:color w:val="14131C"/>
          <w:sz w:val="21"/>
          <w:szCs w:val="21"/>
        </w:rPr>
        <w:t>formalidades esenciales que la misma Ley establece para el proceso de</w:t>
      </w:r>
      <w:r>
        <w:rPr>
          <w:rFonts w:ascii="Abadi" w:hAnsi="Abadi" w:cs="*Arial-5830-Identity-H"/>
          <w:color w:val="14131C"/>
          <w:sz w:val="21"/>
          <w:szCs w:val="21"/>
        </w:rPr>
        <w:t xml:space="preserve"> </w:t>
      </w:r>
      <w:r w:rsidRPr="00C0364D">
        <w:rPr>
          <w:rFonts w:ascii="Abadi" w:hAnsi="Abadi" w:cs="*Arial-5830-Identity-H"/>
          <w:color w:val="14131C"/>
          <w:sz w:val="21"/>
          <w:szCs w:val="21"/>
        </w:rPr>
        <w:t>fiscalización, al haberse practicado la auditoría que estaba contemplada en el</w:t>
      </w:r>
      <w:r>
        <w:rPr>
          <w:rFonts w:ascii="Abadi" w:hAnsi="Abadi" w:cs="*Arial-5830-Identity-H"/>
          <w:color w:val="14131C"/>
          <w:sz w:val="21"/>
          <w:szCs w:val="21"/>
        </w:rPr>
        <w:t xml:space="preserve"> </w:t>
      </w:r>
      <w:r w:rsidRPr="00C0364D">
        <w:rPr>
          <w:rFonts w:ascii="Abadi" w:hAnsi="Abadi" w:cs="*Arial-5830-Identity-H"/>
          <w:color w:val="14131C"/>
          <w:sz w:val="21"/>
          <w:szCs w:val="21"/>
        </w:rPr>
        <w:t>Programa General de Fiscalización 2021, aprobado por el Auditor Superior del</w:t>
      </w:r>
      <w:r>
        <w:rPr>
          <w:rFonts w:ascii="Abadi" w:hAnsi="Abadi" w:cs="*Arial-5830-Identity-H"/>
          <w:color w:val="14131C"/>
          <w:sz w:val="21"/>
          <w:szCs w:val="21"/>
        </w:rPr>
        <w:t xml:space="preserve"> </w:t>
      </w:r>
      <w:r w:rsidRPr="00C0364D">
        <w:rPr>
          <w:rFonts w:ascii="Abadi" w:hAnsi="Abadi" w:cs="*Arial-5830-Identity-H"/>
          <w:color w:val="14131C"/>
          <w:sz w:val="21"/>
          <w:szCs w:val="21"/>
        </w:rPr>
        <w:t>Estado. Asimismo, la auditoría se efectuó atendiendo a lo establecido en la</w:t>
      </w:r>
      <w:r>
        <w:rPr>
          <w:rFonts w:ascii="Abadi" w:hAnsi="Abadi" w:cs="*Arial-5830-Identity-H"/>
          <w:color w:val="14131C"/>
          <w:sz w:val="21"/>
          <w:szCs w:val="21"/>
        </w:rPr>
        <w:t xml:space="preserve"> </w:t>
      </w:r>
      <w:r w:rsidRPr="00C0364D">
        <w:rPr>
          <w:rFonts w:ascii="Abadi" w:hAnsi="Abadi" w:cs="*Arial-5830-Identity-H"/>
          <w:color w:val="14131C"/>
          <w:sz w:val="21"/>
          <w:szCs w:val="21"/>
        </w:rPr>
        <w:t>normatividad aplicable en la materia, cumpliendo lo estipulado por el artículo 3 y el</w:t>
      </w:r>
      <w:r>
        <w:rPr>
          <w:rFonts w:ascii="Abadi" w:hAnsi="Abadi" w:cs="*Arial-5830-Identity-H"/>
          <w:color w:val="14131C"/>
          <w:sz w:val="21"/>
          <w:szCs w:val="21"/>
        </w:rPr>
        <w:t xml:space="preserve"> </w:t>
      </w:r>
      <w:r w:rsidRPr="00C0364D">
        <w:rPr>
          <w:rFonts w:ascii="Abadi" w:hAnsi="Abadi" w:cs="*Arial-5830-Identity-H"/>
          <w:color w:val="14131C"/>
          <w:sz w:val="21"/>
          <w:szCs w:val="21"/>
        </w:rPr>
        <w:t>Capítulo VI del Título Segundo de la Ley de Fiscalización Superior del Estado de</w:t>
      </w:r>
      <w:r>
        <w:rPr>
          <w:rFonts w:ascii="Abadi" w:hAnsi="Abadi" w:cs="*Arial-5830-Identity-H"/>
          <w:color w:val="14131C"/>
          <w:sz w:val="21"/>
          <w:szCs w:val="21"/>
        </w:rPr>
        <w:t xml:space="preserve"> </w:t>
      </w:r>
      <w:r w:rsidRPr="00C0364D">
        <w:rPr>
          <w:rFonts w:ascii="Abadi" w:hAnsi="Abadi" w:cs="*Arial-5830-Identity-H"/>
          <w:color w:val="14131C"/>
          <w:sz w:val="21"/>
          <w:szCs w:val="21"/>
        </w:rPr>
        <w:t>Guanajuato, así como el artículo 28 del Reglamento de dicha Ley.</w:t>
      </w:r>
      <w:r>
        <w:rPr>
          <w:rFonts w:ascii="Abadi" w:hAnsi="Abadi" w:cs="*Arial-5830-Identity-H"/>
          <w:color w:val="14131C"/>
          <w:sz w:val="21"/>
          <w:szCs w:val="21"/>
        </w:rPr>
        <w:t xml:space="preserve"> </w:t>
      </w:r>
    </w:p>
    <w:p w14:paraId="1EF56A08" w14:textId="77777777" w:rsidR="005D7CEF" w:rsidRDefault="005D7CEF" w:rsidP="005D7CEF">
      <w:pPr>
        <w:autoSpaceDE w:val="0"/>
        <w:autoSpaceDN w:val="0"/>
        <w:adjustRightInd w:val="0"/>
        <w:ind w:firstLine="708"/>
        <w:jc w:val="both"/>
        <w:rPr>
          <w:rFonts w:ascii="Abadi" w:hAnsi="Abadi" w:cs="*Arial-5830-Identity-H"/>
          <w:color w:val="14131C"/>
          <w:sz w:val="21"/>
          <w:szCs w:val="21"/>
        </w:rPr>
      </w:pPr>
    </w:p>
    <w:p w14:paraId="47F166A9" w14:textId="77777777" w:rsidR="005D7CEF" w:rsidRDefault="005D7CEF" w:rsidP="005D7CEF">
      <w:pPr>
        <w:autoSpaceDE w:val="0"/>
        <w:autoSpaceDN w:val="0"/>
        <w:adjustRightInd w:val="0"/>
        <w:ind w:firstLine="708"/>
        <w:jc w:val="both"/>
        <w:rPr>
          <w:rFonts w:ascii="Abadi" w:hAnsi="Abadi" w:cs="*Arial-5830-Identity-H"/>
          <w:color w:val="14131B"/>
          <w:sz w:val="21"/>
          <w:szCs w:val="21"/>
        </w:rPr>
      </w:pPr>
      <w:r w:rsidRPr="00C0364D">
        <w:rPr>
          <w:rFonts w:ascii="Abadi" w:hAnsi="Abadi" w:cs="*Arial-5830-Identity-H"/>
          <w:color w:val="14131B"/>
          <w:sz w:val="21"/>
          <w:szCs w:val="21"/>
        </w:rPr>
        <w:t>Finalmente, es de destacar que el cumplimiento de los Objetivos del</w:t>
      </w:r>
      <w:r>
        <w:rPr>
          <w:rFonts w:ascii="Abadi" w:hAnsi="Abadi" w:cs="*Arial-5830-Identity-H"/>
          <w:color w:val="14131B"/>
          <w:sz w:val="21"/>
          <w:szCs w:val="21"/>
        </w:rPr>
        <w:t xml:space="preserve"> </w:t>
      </w:r>
      <w:r w:rsidRPr="00C0364D">
        <w:rPr>
          <w:rFonts w:ascii="Abadi" w:hAnsi="Abadi" w:cs="*Arial-5830-Identity-H"/>
          <w:color w:val="14131B"/>
          <w:sz w:val="21"/>
          <w:szCs w:val="21"/>
        </w:rPr>
        <w:t>Desarrollo Sostenible de la Agenda 2030 está presente en el dictamen puesto a su</w:t>
      </w:r>
      <w:r>
        <w:rPr>
          <w:rFonts w:ascii="Abadi" w:hAnsi="Abadi" w:cs="*Arial-5830-Identity-H"/>
          <w:color w:val="14131B"/>
          <w:sz w:val="21"/>
          <w:szCs w:val="21"/>
        </w:rPr>
        <w:t xml:space="preserve"> </w:t>
      </w:r>
      <w:r w:rsidRPr="00C0364D">
        <w:rPr>
          <w:rFonts w:ascii="Abadi" w:hAnsi="Abadi" w:cs="*Arial-5830-Identity-H"/>
          <w:color w:val="14131B"/>
          <w:sz w:val="21"/>
          <w:szCs w:val="21"/>
        </w:rPr>
        <w:t>consideración, pues el mismo incide de manera directa en el Objetivo 16</w:t>
      </w:r>
      <w:r>
        <w:rPr>
          <w:rFonts w:ascii="Abadi" w:hAnsi="Abadi" w:cs="*Arial-5830-Identity-H"/>
          <w:color w:val="14131B"/>
          <w:sz w:val="21"/>
          <w:szCs w:val="21"/>
        </w:rPr>
        <w:t xml:space="preserve"> </w:t>
      </w:r>
      <w:r w:rsidRPr="00C0364D">
        <w:rPr>
          <w:rFonts w:ascii="Abadi" w:hAnsi="Abadi" w:cs="*Arial-5830-Identity-H"/>
          <w:color w:val="14131B"/>
          <w:sz w:val="21"/>
          <w:szCs w:val="21"/>
        </w:rPr>
        <w:t>denominado Paz, Justicia e Instituciones Sólidas. Promover sociedades justas,</w:t>
      </w:r>
      <w:r>
        <w:rPr>
          <w:rFonts w:ascii="Abadi" w:hAnsi="Abadi" w:cs="*Arial-5830-Identity-H"/>
          <w:color w:val="14131B"/>
          <w:sz w:val="21"/>
          <w:szCs w:val="21"/>
        </w:rPr>
        <w:t xml:space="preserve"> </w:t>
      </w:r>
      <w:r w:rsidRPr="00C0364D">
        <w:rPr>
          <w:rFonts w:ascii="Abadi" w:hAnsi="Abadi" w:cs="*Arial-5830-Identity-H"/>
          <w:color w:val="14131B"/>
          <w:sz w:val="21"/>
          <w:szCs w:val="21"/>
        </w:rPr>
        <w:t>pacíficas e inclusivas, respecto a la meta 16.6 Crear a todos los niv</w:t>
      </w:r>
      <w:r>
        <w:rPr>
          <w:rFonts w:ascii="Abadi" w:eastAsia="Abadi" w:hAnsi="Abadi" w:cs="Abadi"/>
          <w:color w:val="14131B"/>
          <w:sz w:val="21"/>
          <w:szCs w:val="21"/>
        </w:rPr>
        <w:t xml:space="preserve">eles </w:t>
      </w:r>
      <w:r w:rsidRPr="00C0364D">
        <w:rPr>
          <w:rFonts w:ascii="Abadi" w:hAnsi="Abadi" w:cs="*Arial-5830-Identity-H"/>
          <w:color w:val="14131B"/>
          <w:sz w:val="21"/>
          <w:szCs w:val="21"/>
        </w:rPr>
        <w:t>instituciones eficaces y transparentes, al abonar a la transparencia y rendición de</w:t>
      </w:r>
      <w:r>
        <w:rPr>
          <w:rFonts w:ascii="Abadi" w:hAnsi="Abadi" w:cs="*Arial-5830-Identity-H"/>
          <w:color w:val="14131B"/>
          <w:sz w:val="21"/>
          <w:szCs w:val="21"/>
        </w:rPr>
        <w:t xml:space="preserve"> </w:t>
      </w:r>
      <w:r w:rsidRPr="00C0364D">
        <w:rPr>
          <w:rFonts w:ascii="Abadi" w:hAnsi="Abadi" w:cs="*Arial-5830-Identity-H"/>
          <w:color w:val="14131B"/>
          <w:sz w:val="21"/>
          <w:szCs w:val="21"/>
        </w:rPr>
        <w:t>cuentas.</w:t>
      </w:r>
    </w:p>
    <w:p w14:paraId="12FC2C40" w14:textId="77777777" w:rsidR="005D7CEF" w:rsidRPr="00C0364D" w:rsidRDefault="005D7CEF" w:rsidP="005D7CEF">
      <w:pPr>
        <w:autoSpaceDE w:val="0"/>
        <w:autoSpaceDN w:val="0"/>
        <w:adjustRightInd w:val="0"/>
        <w:jc w:val="both"/>
        <w:rPr>
          <w:rFonts w:ascii="Abadi" w:hAnsi="Abadi" w:cs="*Arial-5830-Identity-H"/>
          <w:color w:val="14131B"/>
          <w:sz w:val="21"/>
          <w:szCs w:val="21"/>
        </w:rPr>
      </w:pPr>
    </w:p>
    <w:p w14:paraId="6F3A5855" w14:textId="77777777" w:rsidR="005D7CEF" w:rsidRPr="00C0364D" w:rsidRDefault="005D7CEF" w:rsidP="005D7CEF">
      <w:pPr>
        <w:autoSpaceDE w:val="0"/>
        <w:autoSpaceDN w:val="0"/>
        <w:adjustRightInd w:val="0"/>
        <w:ind w:firstLine="708"/>
        <w:jc w:val="both"/>
        <w:rPr>
          <w:rFonts w:ascii="Abadi" w:hAnsi="Abadi" w:cs="*Arial-5830-Identity-H"/>
          <w:color w:val="14131B"/>
          <w:sz w:val="21"/>
          <w:szCs w:val="21"/>
        </w:rPr>
      </w:pPr>
      <w:r w:rsidRPr="00C0364D">
        <w:rPr>
          <w:rFonts w:ascii="Abadi" w:hAnsi="Abadi" w:cs="*Arial-5830-Identity-H"/>
          <w:color w:val="14131B"/>
          <w:sz w:val="21"/>
          <w:szCs w:val="21"/>
        </w:rPr>
        <w:t>En razón de lo anteriormente señalado, concluimos que el informe de ·</w:t>
      </w:r>
      <w:r>
        <w:rPr>
          <w:rFonts w:ascii="Abadi" w:hAnsi="Abadi" w:cs="*Arial-5830-Identity-H"/>
          <w:color w:val="14131B"/>
          <w:sz w:val="21"/>
          <w:szCs w:val="21"/>
        </w:rPr>
        <w:t xml:space="preserve"> </w:t>
      </w:r>
      <w:r w:rsidRPr="00C0364D">
        <w:rPr>
          <w:rFonts w:ascii="Abadi" w:hAnsi="Abadi" w:cs="*Arial-5830-Identity-H"/>
          <w:color w:val="14131B"/>
          <w:sz w:val="21"/>
          <w:szCs w:val="21"/>
        </w:rPr>
        <w:t>resultados de la auditoría de desempeño practicada a la administración municipal</w:t>
      </w:r>
      <w:r>
        <w:rPr>
          <w:rFonts w:ascii="Abadi" w:hAnsi="Abadi" w:cs="*Arial-5830-Identity-H"/>
          <w:color w:val="14131B"/>
          <w:sz w:val="21"/>
          <w:szCs w:val="21"/>
        </w:rPr>
        <w:t xml:space="preserve"> </w:t>
      </w:r>
      <w:r w:rsidRPr="00C0364D">
        <w:rPr>
          <w:rFonts w:ascii="Abadi" w:hAnsi="Abadi" w:cs="*Arial-5830-Identity-H"/>
          <w:color w:val="14131B"/>
          <w:sz w:val="21"/>
          <w:szCs w:val="21"/>
        </w:rPr>
        <w:t>de Acámbaro, Gto., con enfoque a resultados del servicio de alumbrado público,</w:t>
      </w:r>
      <w:r>
        <w:rPr>
          <w:rFonts w:ascii="Abadi" w:hAnsi="Abadi" w:cs="*Arial-5830-Identity-H"/>
          <w:color w:val="14131B"/>
          <w:sz w:val="21"/>
          <w:szCs w:val="21"/>
        </w:rPr>
        <w:t xml:space="preserve"> </w:t>
      </w:r>
      <w:r w:rsidRPr="00C0364D">
        <w:rPr>
          <w:rFonts w:ascii="Abadi" w:hAnsi="Abadi" w:cs="*Arial-5830-Identity-H"/>
          <w:color w:val="14131B"/>
          <w:sz w:val="21"/>
          <w:szCs w:val="21"/>
        </w:rPr>
        <w:t>por el ejercicio fiscal del año 2020, debe sancionarse por el Congreso en los</w:t>
      </w:r>
      <w:r>
        <w:rPr>
          <w:rFonts w:ascii="Abadi" w:hAnsi="Abadi" w:cs="*Arial-5830-Identity-H"/>
          <w:color w:val="14131B"/>
          <w:sz w:val="21"/>
          <w:szCs w:val="21"/>
        </w:rPr>
        <w:t xml:space="preserve"> </w:t>
      </w:r>
      <w:r w:rsidRPr="00C0364D">
        <w:rPr>
          <w:rFonts w:ascii="Abadi" w:hAnsi="Abadi" w:cs="*Arial-5830-Identity-H"/>
          <w:color w:val="14131B"/>
          <w:sz w:val="21"/>
          <w:szCs w:val="21"/>
        </w:rPr>
        <w:t>términos presentados por la Auditoría Superior del Estado y proceder a su</w:t>
      </w:r>
      <w:r>
        <w:rPr>
          <w:rFonts w:ascii="Abadi" w:hAnsi="Abadi" w:cs="*Arial-5830-Identity-H"/>
          <w:color w:val="14131B"/>
          <w:sz w:val="21"/>
          <w:szCs w:val="21"/>
        </w:rPr>
        <w:t xml:space="preserve"> </w:t>
      </w:r>
      <w:r w:rsidRPr="00C0364D">
        <w:rPr>
          <w:rFonts w:ascii="Abadi" w:hAnsi="Abadi" w:cs="*Arial-5830-Identity-H"/>
          <w:color w:val="14131B"/>
          <w:sz w:val="21"/>
          <w:szCs w:val="21"/>
        </w:rPr>
        <w:t>aprobación, considerando que no se presenta el supuesto contenido en el artículo</w:t>
      </w:r>
      <w:r>
        <w:rPr>
          <w:rFonts w:ascii="Abadi" w:hAnsi="Abadi" w:cs="*Arial-5830-Identity-H"/>
          <w:color w:val="14131B"/>
          <w:sz w:val="21"/>
          <w:szCs w:val="21"/>
        </w:rPr>
        <w:t xml:space="preserve"> </w:t>
      </w:r>
      <w:r w:rsidRPr="00C0364D">
        <w:rPr>
          <w:rFonts w:ascii="Abadi" w:hAnsi="Abadi" w:cs="*Arial-5830-Identity-H"/>
          <w:color w:val="14131B"/>
          <w:sz w:val="21"/>
          <w:szCs w:val="21"/>
        </w:rPr>
        <w:t>38 de la Ley de Fiscalización Superior del Estado de Guanajuato, razón por la cua</w:t>
      </w:r>
      <w:r>
        <w:rPr>
          <w:rFonts w:ascii="Abadi" w:hAnsi="Abadi" w:cs="*Arial-5830-Identity-H"/>
          <w:color w:val="14131B"/>
          <w:sz w:val="21"/>
          <w:szCs w:val="21"/>
        </w:rPr>
        <w:t xml:space="preserve">l </w:t>
      </w:r>
      <w:r w:rsidRPr="00C0364D">
        <w:rPr>
          <w:rFonts w:ascii="Abadi" w:hAnsi="Abadi" w:cs="*Arial-5830-Identity-H"/>
          <w:color w:val="14131B"/>
          <w:sz w:val="21"/>
          <w:szCs w:val="21"/>
        </w:rPr>
        <w:t>no podría ser observado por el Pleno del Congreso.</w:t>
      </w:r>
    </w:p>
    <w:p w14:paraId="2C5BA0DA" w14:textId="77777777" w:rsidR="005D7CEF" w:rsidRPr="00C0364D" w:rsidRDefault="005D7CEF" w:rsidP="005D7CEF">
      <w:pPr>
        <w:jc w:val="both"/>
        <w:rPr>
          <w:rFonts w:ascii="Abadi" w:hAnsi="Abadi" w:cs="*Arial-5830-Identity-H"/>
          <w:color w:val="14131B"/>
          <w:sz w:val="21"/>
          <w:szCs w:val="21"/>
        </w:rPr>
      </w:pPr>
    </w:p>
    <w:p w14:paraId="52369B4B" w14:textId="77777777" w:rsidR="005D7CEF" w:rsidRPr="00C0364D" w:rsidRDefault="005D7CEF" w:rsidP="005D7CEF">
      <w:pPr>
        <w:autoSpaceDE w:val="0"/>
        <w:autoSpaceDN w:val="0"/>
        <w:adjustRightInd w:val="0"/>
        <w:ind w:firstLine="708"/>
        <w:jc w:val="both"/>
        <w:rPr>
          <w:rFonts w:ascii="Abadi" w:hAnsi="Abadi" w:cs="*Arial-4183-Identity-H"/>
          <w:color w:val="14131B"/>
          <w:sz w:val="21"/>
          <w:szCs w:val="21"/>
        </w:rPr>
      </w:pPr>
      <w:r w:rsidRPr="00C0364D">
        <w:rPr>
          <w:rFonts w:ascii="Abadi" w:hAnsi="Abadi" w:cs="*Arial-4183-Identity-H"/>
          <w:color w:val="14131B"/>
          <w:sz w:val="21"/>
          <w:szCs w:val="21"/>
        </w:rPr>
        <w:t>Por lo expuesto, con fundamento en el artículo 204 de la Ley Orgánica del</w:t>
      </w:r>
      <w:r>
        <w:rPr>
          <w:rFonts w:ascii="Abadi" w:hAnsi="Abadi" w:cs="*Arial-4183-Identity-H"/>
          <w:color w:val="14131B"/>
          <w:sz w:val="21"/>
          <w:szCs w:val="21"/>
        </w:rPr>
        <w:t xml:space="preserve"> </w:t>
      </w:r>
      <w:r w:rsidRPr="00C0364D">
        <w:rPr>
          <w:rFonts w:ascii="Abadi" w:hAnsi="Abadi" w:cs="*Arial-4183-Identity-H"/>
          <w:color w:val="14131B"/>
          <w:sz w:val="21"/>
          <w:szCs w:val="21"/>
        </w:rPr>
        <w:t>Poder Legislativo, nos permitimos someter a la consideración de la Asamblea, la</w:t>
      </w:r>
      <w:r>
        <w:rPr>
          <w:rFonts w:ascii="Abadi" w:hAnsi="Abadi" w:cs="*Arial-4183-Identity-H"/>
          <w:color w:val="14131B"/>
          <w:sz w:val="21"/>
          <w:szCs w:val="21"/>
        </w:rPr>
        <w:t xml:space="preserve"> </w:t>
      </w:r>
      <w:r w:rsidRPr="00C0364D">
        <w:rPr>
          <w:rFonts w:ascii="Abadi" w:hAnsi="Abadi" w:cs="*Arial-4183-Identity-H"/>
          <w:color w:val="14131B"/>
          <w:sz w:val="21"/>
          <w:szCs w:val="21"/>
        </w:rPr>
        <w:t>aprobación del siguiente:</w:t>
      </w:r>
    </w:p>
    <w:p w14:paraId="13F06CC2" w14:textId="77777777" w:rsidR="005D7CEF" w:rsidRDefault="005D7CEF" w:rsidP="005D7CEF">
      <w:pPr>
        <w:autoSpaceDE w:val="0"/>
        <w:autoSpaceDN w:val="0"/>
        <w:adjustRightInd w:val="0"/>
        <w:jc w:val="center"/>
        <w:rPr>
          <w:rFonts w:ascii="Abadi" w:hAnsi="Abadi" w:cs="*Arial-Bold-4184-Identity-H"/>
          <w:b/>
          <w:bCs/>
          <w:color w:val="15141D"/>
          <w:sz w:val="21"/>
          <w:szCs w:val="21"/>
        </w:rPr>
      </w:pPr>
    </w:p>
    <w:p w14:paraId="09890028" w14:textId="77777777" w:rsidR="005D7CEF" w:rsidRDefault="005D7CEF" w:rsidP="005D7CEF">
      <w:pPr>
        <w:autoSpaceDE w:val="0"/>
        <w:autoSpaceDN w:val="0"/>
        <w:adjustRightInd w:val="0"/>
        <w:jc w:val="center"/>
        <w:rPr>
          <w:rFonts w:ascii="Abadi" w:hAnsi="Abadi" w:cs="*Arial-Bold-4184-Identity-H"/>
          <w:b/>
          <w:bCs/>
          <w:color w:val="15141D"/>
          <w:sz w:val="21"/>
          <w:szCs w:val="21"/>
        </w:rPr>
      </w:pPr>
    </w:p>
    <w:p w14:paraId="67D7C26A" w14:textId="77777777" w:rsidR="005D7CEF" w:rsidRDefault="005D7CEF" w:rsidP="005D7CEF">
      <w:pPr>
        <w:autoSpaceDE w:val="0"/>
        <w:autoSpaceDN w:val="0"/>
        <w:adjustRightInd w:val="0"/>
        <w:jc w:val="center"/>
        <w:rPr>
          <w:rFonts w:ascii="Abadi" w:hAnsi="Abadi" w:cs="*Arial-Bold-4184-Identity-H"/>
          <w:b/>
          <w:bCs/>
          <w:color w:val="15141D"/>
          <w:sz w:val="21"/>
          <w:szCs w:val="21"/>
        </w:rPr>
      </w:pPr>
      <w:r w:rsidRPr="00C0364D">
        <w:rPr>
          <w:rFonts w:ascii="Abadi" w:hAnsi="Abadi" w:cs="*Arial-Bold-4184-Identity-H"/>
          <w:b/>
          <w:bCs/>
          <w:color w:val="15141D"/>
          <w:sz w:val="21"/>
          <w:szCs w:val="21"/>
        </w:rPr>
        <w:t>ACUERDO</w:t>
      </w:r>
    </w:p>
    <w:p w14:paraId="5B4A4C13" w14:textId="77777777" w:rsidR="005D7CEF" w:rsidRPr="00C0364D" w:rsidRDefault="005D7CEF" w:rsidP="005D7CEF">
      <w:pPr>
        <w:autoSpaceDE w:val="0"/>
        <w:autoSpaceDN w:val="0"/>
        <w:adjustRightInd w:val="0"/>
        <w:jc w:val="both"/>
        <w:rPr>
          <w:rFonts w:ascii="Abadi" w:hAnsi="Abadi" w:cs="*Arial-Bold-4184-Identity-H"/>
          <w:b/>
          <w:bCs/>
          <w:color w:val="15141D"/>
          <w:sz w:val="21"/>
          <w:szCs w:val="21"/>
        </w:rPr>
      </w:pPr>
    </w:p>
    <w:p w14:paraId="4C556080" w14:textId="77777777" w:rsidR="005D7CEF" w:rsidRDefault="005D7CEF" w:rsidP="005D7CEF">
      <w:pPr>
        <w:autoSpaceDE w:val="0"/>
        <w:autoSpaceDN w:val="0"/>
        <w:adjustRightInd w:val="0"/>
        <w:ind w:firstLine="708"/>
        <w:jc w:val="both"/>
        <w:rPr>
          <w:rFonts w:ascii="Abadi" w:hAnsi="Abadi" w:cs="*Arial-4183-Identity-H"/>
          <w:color w:val="14131B"/>
          <w:sz w:val="21"/>
          <w:szCs w:val="21"/>
        </w:rPr>
      </w:pPr>
      <w:r w:rsidRPr="00C0364D">
        <w:rPr>
          <w:rFonts w:ascii="Abadi" w:hAnsi="Abadi" w:cs="*Arial-Bold-4184-Identity-H"/>
          <w:b/>
          <w:bCs/>
          <w:color w:val="14131B"/>
          <w:sz w:val="21"/>
          <w:szCs w:val="21"/>
        </w:rPr>
        <w:t xml:space="preserve">Único. </w:t>
      </w:r>
      <w:r w:rsidRPr="00C0364D">
        <w:rPr>
          <w:rFonts w:ascii="Abadi" w:hAnsi="Abadi" w:cs="*Arial-4183-Identity-H"/>
          <w:color w:val="14131B"/>
          <w:sz w:val="21"/>
          <w:szCs w:val="21"/>
        </w:rPr>
        <w:t>Con fundamento en el artículo 63 fracción XIX de la Constitución</w:t>
      </w:r>
      <w:r>
        <w:rPr>
          <w:rFonts w:ascii="Abadi" w:hAnsi="Abadi" w:cs="*Arial-4183-Identity-H"/>
          <w:color w:val="14131B"/>
          <w:sz w:val="21"/>
          <w:szCs w:val="21"/>
        </w:rPr>
        <w:t xml:space="preserve"> </w:t>
      </w:r>
      <w:r w:rsidRPr="00C0364D">
        <w:rPr>
          <w:rFonts w:ascii="Abadi" w:hAnsi="Abadi" w:cs="*Arial-4183-Identity-H"/>
          <w:color w:val="14131B"/>
          <w:sz w:val="21"/>
          <w:szCs w:val="21"/>
        </w:rPr>
        <w:t>Política para el Estado, en relación con los artículos 3, fracción V, 5, fracción IV,</w:t>
      </w:r>
      <w:r>
        <w:rPr>
          <w:rFonts w:ascii="Abadi" w:hAnsi="Abadi" w:cs="*Arial-4183-Identity-H"/>
          <w:color w:val="14131B"/>
          <w:sz w:val="21"/>
          <w:szCs w:val="21"/>
        </w:rPr>
        <w:t xml:space="preserve"> </w:t>
      </w:r>
      <w:r w:rsidRPr="00C0364D">
        <w:rPr>
          <w:rFonts w:ascii="Abadi" w:hAnsi="Abadi" w:cs="*Arial-4183-Identity-H"/>
          <w:color w:val="14131B"/>
          <w:sz w:val="21"/>
          <w:szCs w:val="21"/>
        </w:rPr>
        <w:t>56, 59 y 60 de la Ley de Fiscalización Superior del Estado de Guanajuato y 28 del</w:t>
      </w:r>
      <w:r>
        <w:rPr>
          <w:rFonts w:ascii="Abadi" w:hAnsi="Abadi" w:cs="*Arial-4183-Identity-H"/>
          <w:color w:val="14131B"/>
          <w:sz w:val="21"/>
          <w:szCs w:val="21"/>
        </w:rPr>
        <w:t xml:space="preserve"> </w:t>
      </w:r>
      <w:r w:rsidRPr="00C0364D">
        <w:rPr>
          <w:rFonts w:ascii="Abadi" w:hAnsi="Abadi" w:cs="*Arial-4183-Identity-H"/>
          <w:color w:val="14131B"/>
          <w:sz w:val="21"/>
          <w:szCs w:val="21"/>
        </w:rPr>
        <w:t>Reglamento de la Ley de Fiscalización Superior del Estado de Guanajuato, se</w:t>
      </w:r>
      <w:r>
        <w:rPr>
          <w:rFonts w:ascii="Abadi" w:hAnsi="Abadi" w:cs="*Arial-4183-Identity-H"/>
          <w:color w:val="14131B"/>
          <w:sz w:val="21"/>
          <w:szCs w:val="21"/>
        </w:rPr>
        <w:t xml:space="preserve"> </w:t>
      </w:r>
      <w:r w:rsidRPr="00C0364D">
        <w:rPr>
          <w:rFonts w:ascii="Abadi" w:hAnsi="Abadi" w:cs="*Arial-4183-Identity-H"/>
          <w:color w:val="14131B"/>
          <w:sz w:val="21"/>
          <w:szCs w:val="21"/>
        </w:rPr>
        <w:t>aprueba el informe de resultados formulado por la Auditoría Superior del Estado</w:t>
      </w:r>
      <w:r>
        <w:rPr>
          <w:rFonts w:ascii="Abadi" w:hAnsi="Abadi" w:cs="*Arial-4183-Identity-H"/>
          <w:color w:val="14131B"/>
          <w:sz w:val="21"/>
          <w:szCs w:val="21"/>
        </w:rPr>
        <w:t xml:space="preserve"> </w:t>
      </w:r>
      <w:r w:rsidRPr="00C0364D">
        <w:rPr>
          <w:rFonts w:ascii="Abadi" w:hAnsi="Abadi" w:cs="*Arial-4183-Identity-H"/>
          <w:color w:val="14131B"/>
          <w:sz w:val="21"/>
          <w:szCs w:val="21"/>
        </w:rPr>
        <w:t xml:space="preserve">de Guanajuato, </w:t>
      </w:r>
      <w:r>
        <w:rPr>
          <w:rFonts w:ascii="Abadi" w:hAnsi="Abadi" w:cs="*Arial-4183-Identity-H"/>
          <w:color w:val="14131B"/>
          <w:sz w:val="21"/>
          <w:szCs w:val="21"/>
        </w:rPr>
        <w:t>d</w:t>
      </w:r>
      <w:r w:rsidRPr="00C0364D">
        <w:rPr>
          <w:rFonts w:ascii="Abadi" w:hAnsi="Abadi" w:cs="*Arial-4183-Identity-H"/>
          <w:color w:val="14131B"/>
          <w:sz w:val="21"/>
          <w:szCs w:val="21"/>
        </w:rPr>
        <w:t>e la auditoría de desempeño practicada a la administración</w:t>
      </w:r>
      <w:r>
        <w:rPr>
          <w:rFonts w:ascii="Abadi" w:hAnsi="Abadi" w:cs="*Arial-4183-Identity-H"/>
          <w:color w:val="14131B"/>
          <w:sz w:val="21"/>
          <w:szCs w:val="21"/>
        </w:rPr>
        <w:t xml:space="preserve"> </w:t>
      </w:r>
      <w:r w:rsidRPr="00C0364D">
        <w:rPr>
          <w:rFonts w:ascii="Abadi" w:hAnsi="Abadi" w:cs="*Arial-4183-Identity-H"/>
          <w:color w:val="14131B"/>
          <w:sz w:val="21"/>
          <w:szCs w:val="21"/>
        </w:rPr>
        <w:t>municipal de Acámbaro, Gto., con enfoque a resultados del servicio de alumbrado</w:t>
      </w:r>
      <w:r>
        <w:rPr>
          <w:rFonts w:ascii="Abadi" w:hAnsi="Abadi" w:cs="*Arial-4183-Identity-H"/>
          <w:color w:val="14131B"/>
          <w:sz w:val="21"/>
          <w:szCs w:val="21"/>
        </w:rPr>
        <w:t xml:space="preserve"> </w:t>
      </w:r>
      <w:r w:rsidRPr="00C0364D">
        <w:rPr>
          <w:rFonts w:ascii="Abadi" w:hAnsi="Abadi" w:cs="*Arial-4183-Identity-H"/>
          <w:color w:val="14131B"/>
          <w:sz w:val="21"/>
          <w:szCs w:val="21"/>
        </w:rPr>
        <w:t>público, por el periodo comprendido del 1 de enero al 31 de diciembre del ejercicio</w:t>
      </w:r>
      <w:r>
        <w:rPr>
          <w:rFonts w:ascii="Abadi" w:hAnsi="Abadi" w:cs="*Arial-4183-Identity-H"/>
          <w:color w:val="14131B"/>
          <w:sz w:val="21"/>
          <w:szCs w:val="21"/>
        </w:rPr>
        <w:t xml:space="preserve"> </w:t>
      </w:r>
      <w:r w:rsidRPr="00C0364D">
        <w:rPr>
          <w:rFonts w:ascii="Abadi" w:hAnsi="Abadi" w:cs="*Arial-4183-Identity-H"/>
          <w:color w:val="14131B"/>
          <w:sz w:val="21"/>
          <w:szCs w:val="21"/>
        </w:rPr>
        <w:t>fiscal del año 2020.</w:t>
      </w:r>
    </w:p>
    <w:p w14:paraId="0263E20D" w14:textId="77777777" w:rsidR="005D7CEF" w:rsidRPr="00C0364D" w:rsidRDefault="005D7CEF" w:rsidP="005D7CEF">
      <w:pPr>
        <w:autoSpaceDE w:val="0"/>
        <w:autoSpaceDN w:val="0"/>
        <w:adjustRightInd w:val="0"/>
        <w:jc w:val="both"/>
        <w:rPr>
          <w:rFonts w:ascii="Abadi" w:hAnsi="Abadi" w:cs="*Arial-4183-Identity-H"/>
          <w:color w:val="14131B"/>
          <w:sz w:val="21"/>
          <w:szCs w:val="21"/>
        </w:rPr>
      </w:pPr>
    </w:p>
    <w:p w14:paraId="4CE3AE24" w14:textId="7ADE6125" w:rsidR="005D7CEF" w:rsidRDefault="005D7CEF" w:rsidP="005D7CEF">
      <w:pPr>
        <w:autoSpaceDE w:val="0"/>
        <w:autoSpaceDN w:val="0"/>
        <w:adjustRightInd w:val="0"/>
        <w:ind w:firstLine="708"/>
        <w:jc w:val="both"/>
        <w:rPr>
          <w:rFonts w:ascii="Abadi" w:hAnsi="Abadi" w:cs="*Arial-4183-Identity-H"/>
          <w:color w:val="13141E"/>
          <w:sz w:val="21"/>
          <w:szCs w:val="21"/>
        </w:rPr>
      </w:pPr>
      <w:r w:rsidRPr="00C0364D">
        <w:rPr>
          <w:rFonts w:ascii="Abadi" w:hAnsi="Abadi" w:cs="*Arial-4183-Identity-H"/>
          <w:color w:val="13131B"/>
          <w:sz w:val="21"/>
          <w:szCs w:val="21"/>
        </w:rPr>
        <w:t>Se ordena dar vista del informe de resultados al ayuntamiento del municipio</w:t>
      </w:r>
      <w:r>
        <w:rPr>
          <w:rFonts w:ascii="Abadi" w:hAnsi="Abadi" w:cs="*Arial-4183-Identity-H"/>
          <w:color w:val="13131B"/>
          <w:sz w:val="21"/>
          <w:szCs w:val="21"/>
        </w:rPr>
        <w:t xml:space="preserve"> </w:t>
      </w:r>
      <w:r w:rsidRPr="00C0364D">
        <w:rPr>
          <w:rFonts w:ascii="Abadi" w:hAnsi="Abadi" w:cs="*Arial-4183-Identity-H"/>
          <w:color w:val="13131B"/>
          <w:sz w:val="21"/>
          <w:szCs w:val="21"/>
        </w:rPr>
        <w:t>de Acámbaro, Gto., a efecto de que se atiendan las recomendaciones contenidas</w:t>
      </w:r>
      <w:r>
        <w:rPr>
          <w:rFonts w:ascii="Abadi" w:hAnsi="Abadi" w:cs="*Arial-4183-Identity-H"/>
          <w:color w:val="13131B"/>
          <w:sz w:val="21"/>
          <w:szCs w:val="21"/>
        </w:rPr>
        <w:t xml:space="preserve"> </w:t>
      </w:r>
      <w:r w:rsidRPr="00C0364D">
        <w:rPr>
          <w:rFonts w:ascii="Abadi" w:hAnsi="Abadi" w:cs="*Arial-4183-Identity-H"/>
          <w:color w:val="13131B"/>
          <w:sz w:val="21"/>
          <w:szCs w:val="21"/>
        </w:rPr>
        <w:t>en el informe de resultados, informando a la Auditoría Superior del Estado de las</w:t>
      </w:r>
      <w:r>
        <w:rPr>
          <w:rFonts w:ascii="Abadi" w:hAnsi="Abadi" w:cs="*Arial-4183-Identity-H"/>
          <w:color w:val="13131B"/>
          <w:sz w:val="21"/>
          <w:szCs w:val="21"/>
        </w:rPr>
        <w:t xml:space="preserve"> </w:t>
      </w:r>
      <w:r w:rsidRPr="00C0364D">
        <w:rPr>
          <w:rFonts w:ascii="Abadi" w:hAnsi="Abadi" w:cs="*Arial-4183-Identity-H"/>
          <w:color w:val="13131B"/>
          <w:sz w:val="21"/>
          <w:szCs w:val="21"/>
        </w:rPr>
        <w:t>acciones realizadas para ello, con objeto de que esta última realice el seguimiento</w:t>
      </w:r>
      <w:r>
        <w:rPr>
          <w:rFonts w:ascii="Abadi" w:hAnsi="Abadi" w:cs="*Arial-4183-Identity-H"/>
          <w:color w:val="13131B"/>
          <w:sz w:val="21"/>
          <w:szCs w:val="21"/>
        </w:rPr>
        <w:t xml:space="preserve"> </w:t>
      </w:r>
      <w:r w:rsidRPr="00C0364D">
        <w:rPr>
          <w:rFonts w:ascii="Abadi" w:hAnsi="Abadi" w:cs="*Arial-4183-Identity-H"/>
          <w:color w:val="13131B"/>
          <w:sz w:val="21"/>
          <w:szCs w:val="21"/>
        </w:rPr>
        <w:t>correspondiente, previsto en los artículos 37, fracción VII, 65 y 66 de la Ley de</w:t>
      </w:r>
      <w:r>
        <w:rPr>
          <w:rFonts w:ascii="Abadi" w:hAnsi="Abadi" w:cs="*Arial-4183-Identity-H"/>
          <w:color w:val="13131B"/>
          <w:sz w:val="21"/>
          <w:szCs w:val="21"/>
        </w:rPr>
        <w:t xml:space="preserve"> </w:t>
      </w:r>
      <w:r w:rsidRPr="00C0364D">
        <w:rPr>
          <w:rFonts w:ascii="Abadi" w:hAnsi="Abadi" w:cs="*Arial-4183-Identity-H"/>
          <w:color w:val="13131B"/>
          <w:sz w:val="21"/>
          <w:szCs w:val="21"/>
        </w:rPr>
        <w:t>Fiscalización Superior del Estado de Guanajuato y 77 del Reglamento de dicha</w:t>
      </w:r>
      <w:r>
        <w:rPr>
          <w:rFonts w:ascii="Abadi" w:hAnsi="Abadi" w:cs="*Arial-4183-Identity-H"/>
          <w:color w:val="13131B"/>
          <w:sz w:val="21"/>
          <w:szCs w:val="21"/>
        </w:rPr>
        <w:t xml:space="preserve"> </w:t>
      </w:r>
      <w:r w:rsidRPr="00C0364D">
        <w:rPr>
          <w:rFonts w:ascii="Abadi" w:hAnsi="Abadi" w:cs="*Arial-4183-Identity-H"/>
          <w:color w:val="13141E"/>
          <w:sz w:val="21"/>
          <w:szCs w:val="21"/>
        </w:rPr>
        <w:t>Ley.</w:t>
      </w:r>
    </w:p>
    <w:p w14:paraId="4041B6F6" w14:textId="3414D236" w:rsidR="003542CE" w:rsidRDefault="003542CE" w:rsidP="005D7CEF">
      <w:pPr>
        <w:autoSpaceDE w:val="0"/>
        <w:autoSpaceDN w:val="0"/>
        <w:adjustRightInd w:val="0"/>
        <w:ind w:firstLine="708"/>
        <w:jc w:val="both"/>
        <w:rPr>
          <w:rFonts w:ascii="Abadi" w:hAnsi="Abadi" w:cs="*Arial-4183-Identity-H"/>
          <w:color w:val="13141E"/>
          <w:sz w:val="21"/>
          <w:szCs w:val="21"/>
        </w:rPr>
      </w:pPr>
    </w:p>
    <w:p w14:paraId="1DD1291A" w14:textId="7C2288DB" w:rsidR="003542CE" w:rsidRDefault="003542CE" w:rsidP="005D7CEF">
      <w:pPr>
        <w:autoSpaceDE w:val="0"/>
        <w:autoSpaceDN w:val="0"/>
        <w:adjustRightInd w:val="0"/>
        <w:ind w:firstLine="708"/>
        <w:jc w:val="both"/>
        <w:rPr>
          <w:rFonts w:ascii="Abadi" w:hAnsi="Abadi" w:cs="*Arial-4183-Identity-H"/>
          <w:color w:val="13141E"/>
          <w:sz w:val="21"/>
          <w:szCs w:val="21"/>
        </w:rPr>
      </w:pPr>
    </w:p>
    <w:p w14:paraId="073A1787" w14:textId="77777777" w:rsidR="003542CE" w:rsidRDefault="003542CE" w:rsidP="0032617D">
      <w:pPr>
        <w:autoSpaceDE w:val="0"/>
        <w:autoSpaceDN w:val="0"/>
        <w:adjustRightInd w:val="0"/>
        <w:jc w:val="center"/>
        <w:rPr>
          <w:rFonts w:ascii="Abadi" w:hAnsi="Abadi" w:cs="*Arial-6038-Identity-H"/>
          <w:b/>
          <w:bCs/>
          <w:color w:val="0E0D10"/>
          <w:sz w:val="21"/>
          <w:szCs w:val="21"/>
        </w:rPr>
      </w:pPr>
      <w:r>
        <w:rPr>
          <w:rFonts w:ascii="Abadi" w:hAnsi="Abadi" w:cs="*Arial-6038-Identity-H"/>
          <w:b/>
          <w:bCs/>
          <w:color w:val="0E0D10"/>
          <w:sz w:val="21"/>
          <w:szCs w:val="21"/>
        </w:rPr>
        <w:t>Guanajuato, Gto., 5 de abril de 2022</w:t>
      </w:r>
    </w:p>
    <w:p w14:paraId="5AA5591A" w14:textId="77777777" w:rsidR="003542CE" w:rsidRDefault="003542CE" w:rsidP="0032617D">
      <w:pPr>
        <w:autoSpaceDE w:val="0"/>
        <w:autoSpaceDN w:val="0"/>
        <w:adjustRightInd w:val="0"/>
        <w:jc w:val="center"/>
        <w:rPr>
          <w:rFonts w:ascii="Abadi" w:hAnsi="Abadi" w:cs="*Arial-6038-Identity-H"/>
          <w:b/>
          <w:bCs/>
          <w:color w:val="0E0D10"/>
          <w:sz w:val="21"/>
          <w:szCs w:val="21"/>
        </w:rPr>
      </w:pPr>
      <w:r>
        <w:rPr>
          <w:rFonts w:ascii="Abadi" w:hAnsi="Abadi" w:cs="*Arial-6038-Identity-H"/>
          <w:b/>
          <w:bCs/>
          <w:color w:val="0E0D10"/>
          <w:sz w:val="21"/>
          <w:szCs w:val="21"/>
        </w:rPr>
        <w:t>La Comisión de Hacienda y Fiscalización</w:t>
      </w:r>
    </w:p>
    <w:p w14:paraId="14582A17" w14:textId="77777777" w:rsidR="003542CE" w:rsidRDefault="003542CE" w:rsidP="003542CE">
      <w:pPr>
        <w:autoSpaceDE w:val="0"/>
        <w:autoSpaceDN w:val="0"/>
        <w:adjustRightInd w:val="0"/>
        <w:ind w:firstLine="708"/>
        <w:jc w:val="both"/>
        <w:rPr>
          <w:rFonts w:ascii="Abadi" w:hAnsi="Abadi" w:cs="*Arial-6038-Identity-H"/>
          <w:b/>
          <w:bCs/>
          <w:color w:val="0E0D10"/>
          <w:sz w:val="21"/>
          <w:szCs w:val="21"/>
        </w:rPr>
      </w:pPr>
    </w:p>
    <w:p w14:paraId="1553808F" w14:textId="77777777" w:rsidR="003542CE" w:rsidRDefault="003542CE" w:rsidP="003542CE">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 Víctor Manuel Zanella Huerta</w:t>
      </w:r>
    </w:p>
    <w:p w14:paraId="3F77BD60" w14:textId="77777777" w:rsidR="003542CE" w:rsidRDefault="003542CE" w:rsidP="003542CE">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Diputada Ruth Noemí Tiscareño Agoitia</w:t>
      </w:r>
    </w:p>
    <w:p w14:paraId="6FA8D407" w14:textId="77777777" w:rsidR="003542CE" w:rsidRDefault="003542CE" w:rsidP="003542CE">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Miguel ángel Salim Alle</w:t>
      </w:r>
    </w:p>
    <w:p w14:paraId="3ADB0DAD" w14:textId="77777777" w:rsidR="003542CE" w:rsidRDefault="003542CE" w:rsidP="003542CE">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José alonso Borja Pimentel</w:t>
      </w:r>
    </w:p>
    <w:p w14:paraId="00A86684" w14:textId="77777777" w:rsidR="003542CE" w:rsidRDefault="003542CE" w:rsidP="003542CE">
      <w:pPr>
        <w:autoSpaceDE w:val="0"/>
        <w:autoSpaceDN w:val="0"/>
        <w:adjustRightInd w:val="0"/>
        <w:jc w:val="both"/>
        <w:rPr>
          <w:rFonts w:ascii="Abadi" w:hAnsi="Abadi"/>
          <w:b/>
          <w:bCs/>
          <w:sz w:val="21"/>
          <w:szCs w:val="21"/>
        </w:rPr>
      </w:pPr>
      <w:r>
        <w:rPr>
          <w:rFonts w:ascii="Abadi" w:hAnsi="Abadi" w:cs="*Arial-6038-Identity-H"/>
          <w:b/>
          <w:bCs/>
          <w:color w:val="0E0D10"/>
          <w:sz w:val="21"/>
          <w:szCs w:val="21"/>
        </w:rPr>
        <w:t>Diputada Alma Edwviges Alcaraz Hernández</w:t>
      </w:r>
    </w:p>
    <w:p w14:paraId="53E94586" w14:textId="77777777" w:rsidR="003542CE" w:rsidRPr="00C0364D" w:rsidRDefault="003542CE" w:rsidP="005D7CEF">
      <w:pPr>
        <w:autoSpaceDE w:val="0"/>
        <w:autoSpaceDN w:val="0"/>
        <w:adjustRightInd w:val="0"/>
        <w:ind w:firstLine="708"/>
        <w:jc w:val="both"/>
        <w:rPr>
          <w:rFonts w:ascii="Abadi" w:hAnsi="Abadi"/>
          <w:sz w:val="21"/>
          <w:szCs w:val="21"/>
        </w:rPr>
      </w:pPr>
    </w:p>
    <w:p w14:paraId="546F5DFE" w14:textId="77777777" w:rsidR="006F3002" w:rsidRPr="00293312" w:rsidRDefault="006F3002" w:rsidP="006F3002">
      <w:pPr>
        <w:autoSpaceDE w:val="0"/>
        <w:autoSpaceDN w:val="0"/>
        <w:adjustRightInd w:val="0"/>
        <w:ind w:left="426"/>
        <w:jc w:val="both"/>
        <w:rPr>
          <w:rFonts w:ascii="Abadi" w:hAnsi="Abadi" w:cs="Arial-BoldMT"/>
          <w:b/>
          <w:bCs/>
          <w:sz w:val="20"/>
          <w:szCs w:val="21"/>
        </w:rPr>
      </w:pPr>
    </w:p>
    <w:p w14:paraId="4F75B177" w14:textId="77777777" w:rsidR="006F3002" w:rsidRP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SIGNADO POR LA COMISIÓN DE HACIENDA Y FISCALIZACIÓN RELATIVO AL INFORME DE RESULTADOS DE LA AUDITORÍA DE DESEMPEÑO PRACTICADA POR LA AUDITORÍA SUPERIOR DEL ESTADO DE  GUANAJUATO A LA ADMINISTRACIÓN MUNICIPAL DE HUANÍMARO, GTO., CON</w:t>
      </w:r>
    </w:p>
    <w:p w14:paraId="7125F40D" w14:textId="00A07CA8" w:rsidR="006F3002" w:rsidRDefault="006F3002" w:rsidP="008321AA">
      <w:pPr>
        <w:pStyle w:val="Prrafodelista"/>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ENFOQUE A RESULTADOS DEL SERVICIO DE ALUMBRADO PÚBLICO, POR EL PERIODO COMPRENDIDO DEL 1 DE ENERO AL 31 DE DICIEMBRE DEL EJERCICIO FISCAL DEL AÑO 2020.</w:t>
      </w:r>
    </w:p>
    <w:p w14:paraId="27DAE11F" w14:textId="12FB1C8F" w:rsidR="001E07D6" w:rsidRDefault="001E07D6" w:rsidP="008321AA">
      <w:pPr>
        <w:pStyle w:val="Prrafodelista"/>
        <w:autoSpaceDE w:val="0"/>
        <w:autoSpaceDN w:val="0"/>
        <w:adjustRightInd w:val="0"/>
        <w:ind w:left="426"/>
        <w:jc w:val="both"/>
        <w:rPr>
          <w:rFonts w:ascii="Abadi" w:hAnsi="Abadi" w:cs="ArialMT"/>
          <w:b/>
          <w:bCs/>
          <w:sz w:val="20"/>
          <w:szCs w:val="21"/>
        </w:rPr>
      </w:pPr>
    </w:p>
    <w:p w14:paraId="46836511" w14:textId="39C90778" w:rsidR="001E07D6" w:rsidRDefault="001E07D6" w:rsidP="008321AA">
      <w:pPr>
        <w:pStyle w:val="Prrafodelista"/>
        <w:autoSpaceDE w:val="0"/>
        <w:autoSpaceDN w:val="0"/>
        <w:adjustRightInd w:val="0"/>
        <w:ind w:left="426"/>
        <w:jc w:val="both"/>
        <w:rPr>
          <w:rFonts w:ascii="Abadi" w:hAnsi="Abadi" w:cs="ArialMT"/>
          <w:b/>
          <w:bCs/>
          <w:sz w:val="20"/>
          <w:szCs w:val="21"/>
        </w:rPr>
      </w:pPr>
    </w:p>
    <w:p w14:paraId="089D4EC5" w14:textId="77777777" w:rsidR="001E07D6" w:rsidRPr="009D2C14" w:rsidRDefault="001E07D6" w:rsidP="001E07D6">
      <w:pPr>
        <w:autoSpaceDE w:val="0"/>
        <w:autoSpaceDN w:val="0"/>
        <w:adjustRightInd w:val="0"/>
        <w:jc w:val="both"/>
        <w:rPr>
          <w:rFonts w:ascii="Abadi" w:hAnsi="Abadi" w:cs="*Arial-Bold-5504-Identity-H"/>
          <w:b/>
          <w:bCs/>
          <w:color w:val="14131D"/>
          <w:sz w:val="21"/>
          <w:szCs w:val="21"/>
        </w:rPr>
      </w:pPr>
      <w:r w:rsidRPr="009D2C14">
        <w:rPr>
          <w:rFonts w:ascii="Abadi" w:hAnsi="Abadi" w:cs="*Arial-Bold-5504-Identity-H"/>
          <w:b/>
          <w:bCs/>
          <w:color w:val="14131D"/>
          <w:sz w:val="21"/>
          <w:szCs w:val="21"/>
        </w:rPr>
        <w:t>C. PRESIDENTA DEL CONGRESO DEL ESTADO.</w:t>
      </w:r>
    </w:p>
    <w:p w14:paraId="15E397BD" w14:textId="77777777" w:rsidR="001E07D6" w:rsidRDefault="001E07D6" w:rsidP="001E07D6">
      <w:pPr>
        <w:autoSpaceDE w:val="0"/>
        <w:autoSpaceDN w:val="0"/>
        <w:adjustRightInd w:val="0"/>
        <w:jc w:val="both"/>
        <w:rPr>
          <w:rFonts w:ascii="Abadi" w:hAnsi="Abadi" w:cs="*Arial-Bold-5504-Identity-H"/>
          <w:b/>
          <w:bCs/>
          <w:color w:val="14131D"/>
          <w:sz w:val="21"/>
          <w:szCs w:val="21"/>
        </w:rPr>
      </w:pPr>
      <w:r w:rsidRPr="009D2C14">
        <w:rPr>
          <w:rFonts w:ascii="Abadi" w:hAnsi="Abadi" w:cs="*Arial-Bold-5504-Identity-H"/>
          <w:b/>
          <w:bCs/>
          <w:color w:val="14131D"/>
          <w:sz w:val="21"/>
          <w:szCs w:val="21"/>
        </w:rPr>
        <w:t>P R E S</w:t>
      </w:r>
      <w:r>
        <w:rPr>
          <w:rFonts w:ascii="Abadi" w:hAnsi="Abadi" w:cs="*Arial-Bold-5504-Identity-H"/>
          <w:b/>
          <w:bCs/>
          <w:color w:val="14131D"/>
          <w:sz w:val="21"/>
          <w:szCs w:val="21"/>
        </w:rPr>
        <w:t xml:space="preserve"> </w:t>
      </w:r>
      <w:r w:rsidRPr="009D2C14">
        <w:rPr>
          <w:rFonts w:ascii="Abadi" w:hAnsi="Abadi" w:cs="*Arial-Bold-5504-Identity-H"/>
          <w:b/>
          <w:bCs/>
          <w:color w:val="14131D"/>
          <w:sz w:val="21"/>
          <w:szCs w:val="21"/>
        </w:rPr>
        <w:t>E N T</w:t>
      </w:r>
      <w:r>
        <w:rPr>
          <w:rFonts w:ascii="Abadi" w:hAnsi="Abadi" w:cs="*Arial-Bold-5504-Identity-H"/>
          <w:b/>
          <w:bCs/>
          <w:color w:val="14131D"/>
          <w:sz w:val="21"/>
          <w:szCs w:val="21"/>
        </w:rPr>
        <w:t xml:space="preserve"> </w:t>
      </w:r>
      <w:r w:rsidRPr="009D2C14">
        <w:rPr>
          <w:rFonts w:ascii="Abadi" w:hAnsi="Abadi" w:cs="*Arial-Bold-5504-Identity-H"/>
          <w:b/>
          <w:bCs/>
          <w:color w:val="14131D"/>
          <w:sz w:val="21"/>
          <w:szCs w:val="21"/>
        </w:rPr>
        <w:t>E.</w:t>
      </w:r>
    </w:p>
    <w:p w14:paraId="5740DBAA" w14:textId="77777777" w:rsidR="001E07D6" w:rsidRPr="009D2C14" w:rsidRDefault="001E07D6" w:rsidP="001E07D6">
      <w:pPr>
        <w:autoSpaceDE w:val="0"/>
        <w:autoSpaceDN w:val="0"/>
        <w:adjustRightInd w:val="0"/>
        <w:jc w:val="both"/>
        <w:rPr>
          <w:rFonts w:ascii="Abadi" w:hAnsi="Abadi" w:cs="*Arial-Bold-5504-Identity-H"/>
          <w:b/>
          <w:bCs/>
          <w:color w:val="14131D"/>
          <w:sz w:val="21"/>
          <w:szCs w:val="21"/>
        </w:rPr>
      </w:pPr>
    </w:p>
    <w:p w14:paraId="6E37F6D3" w14:textId="77777777" w:rsidR="001E07D6" w:rsidRDefault="001E07D6" w:rsidP="001E07D6">
      <w:pPr>
        <w:autoSpaceDE w:val="0"/>
        <w:autoSpaceDN w:val="0"/>
        <w:adjustRightInd w:val="0"/>
        <w:ind w:firstLine="708"/>
        <w:jc w:val="both"/>
        <w:rPr>
          <w:rFonts w:ascii="Abadi" w:hAnsi="Abadi" w:cs="*Arial-5502-Identity-H"/>
          <w:color w:val="14131B"/>
          <w:sz w:val="21"/>
          <w:szCs w:val="21"/>
        </w:rPr>
      </w:pPr>
      <w:r w:rsidRPr="009D2C14">
        <w:rPr>
          <w:rFonts w:ascii="Abadi" w:hAnsi="Abadi" w:cs="*Arial-5502-Identity-H"/>
          <w:color w:val="14131B"/>
          <w:sz w:val="21"/>
          <w:szCs w:val="21"/>
        </w:rPr>
        <w:t>A esta Comisión de Hacienda y Fiscalización le fue turnado para su estudio</w:t>
      </w:r>
      <w:r>
        <w:rPr>
          <w:rFonts w:ascii="Abadi" w:hAnsi="Abadi" w:cs="*Arial-5502-Identity-H"/>
          <w:color w:val="14131B"/>
          <w:sz w:val="21"/>
          <w:szCs w:val="21"/>
        </w:rPr>
        <w:t xml:space="preserve"> </w:t>
      </w:r>
      <w:r w:rsidRPr="009D2C14">
        <w:rPr>
          <w:rFonts w:ascii="Abadi" w:hAnsi="Abadi" w:cs="*Arial-5502-Identity-H"/>
          <w:color w:val="14131B"/>
          <w:sz w:val="21"/>
          <w:szCs w:val="21"/>
        </w:rPr>
        <w:t>y dictamen, el informe de resultados de la auditoría de desempeño practicada por</w:t>
      </w:r>
      <w:r>
        <w:rPr>
          <w:rFonts w:ascii="Abadi" w:hAnsi="Abadi" w:cs="*Arial-5502-Identity-H"/>
          <w:color w:val="14131B"/>
          <w:sz w:val="21"/>
          <w:szCs w:val="21"/>
        </w:rPr>
        <w:t xml:space="preserve"> </w:t>
      </w:r>
      <w:r w:rsidRPr="009D2C14">
        <w:rPr>
          <w:rFonts w:ascii="Abadi" w:hAnsi="Abadi" w:cs="*Arial-5502-Identity-H"/>
          <w:color w:val="14131B"/>
          <w:sz w:val="21"/>
          <w:szCs w:val="21"/>
        </w:rPr>
        <w:t>la Auditoría Superior del Estado de Guanajuato a la administración municipal de</w:t>
      </w:r>
      <w:r>
        <w:rPr>
          <w:rFonts w:ascii="Abadi" w:hAnsi="Abadi" w:cs="*Arial-5502-Identity-H"/>
          <w:color w:val="14131B"/>
          <w:sz w:val="21"/>
          <w:szCs w:val="21"/>
        </w:rPr>
        <w:t xml:space="preserve"> </w:t>
      </w:r>
      <w:r w:rsidRPr="009D2C14">
        <w:rPr>
          <w:rFonts w:ascii="Abadi" w:hAnsi="Abadi" w:cs="*Arial-5502-Identity-H"/>
          <w:color w:val="14131B"/>
          <w:sz w:val="21"/>
          <w:szCs w:val="21"/>
        </w:rPr>
        <w:t>Huanímaro, Gto., con enfoque a resultados del servicio de alumbrado público, por</w:t>
      </w:r>
      <w:r>
        <w:rPr>
          <w:rFonts w:ascii="Abadi" w:hAnsi="Abadi" w:cs="*Arial-5502-Identity-H"/>
          <w:color w:val="14131B"/>
          <w:sz w:val="21"/>
          <w:szCs w:val="21"/>
        </w:rPr>
        <w:t xml:space="preserve"> </w:t>
      </w:r>
      <w:r w:rsidRPr="009D2C14">
        <w:rPr>
          <w:rFonts w:ascii="Abadi" w:hAnsi="Abadi" w:cs="*Arial-5502-Identity-H"/>
          <w:color w:val="14131B"/>
          <w:sz w:val="21"/>
          <w:szCs w:val="21"/>
        </w:rPr>
        <w:t>el periodo comprendido del 1 de enero al 31 de diciembre del ejercicio fiscal del</w:t>
      </w:r>
      <w:r>
        <w:rPr>
          <w:rFonts w:ascii="Abadi" w:hAnsi="Abadi" w:cs="*Arial-5502-Identity-H"/>
          <w:color w:val="14131B"/>
          <w:sz w:val="21"/>
          <w:szCs w:val="21"/>
        </w:rPr>
        <w:t xml:space="preserve"> </w:t>
      </w:r>
      <w:r w:rsidRPr="009D2C14">
        <w:rPr>
          <w:rFonts w:ascii="Abadi" w:hAnsi="Abadi" w:cs="*Arial-5502-Identity-H"/>
          <w:color w:val="14131B"/>
          <w:sz w:val="21"/>
          <w:szCs w:val="21"/>
        </w:rPr>
        <w:t>año 2020.</w:t>
      </w:r>
    </w:p>
    <w:p w14:paraId="7404F655" w14:textId="77777777" w:rsidR="001E07D6" w:rsidRPr="009D2C14" w:rsidRDefault="001E07D6" w:rsidP="001E07D6">
      <w:pPr>
        <w:autoSpaceDE w:val="0"/>
        <w:autoSpaceDN w:val="0"/>
        <w:adjustRightInd w:val="0"/>
        <w:jc w:val="both"/>
        <w:rPr>
          <w:rFonts w:ascii="Abadi" w:hAnsi="Abadi" w:cs="*Arial-5502-Identity-H"/>
          <w:color w:val="14131B"/>
          <w:sz w:val="21"/>
          <w:szCs w:val="21"/>
        </w:rPr>
      </w:pPr>
    </w:p>
    <w:p w14:paraId="7D6B1A7A" w14:textId="77777777" w:rsidR="001E07D6" w:rsidRPr="009D2C14" w:rsidRDefault="001E07D6" w:rsidP="001E07D6">
      <w:pPr>
        <w:autoSpaceDE w:val="0"/>
        <w:autoSpaceDN w:val="0"/>
        <w:adjustRightInd w:val="0"/>
        <w:ind w:firstLine="708"/>
        <w:jc w:val="both"/>
        <w:rPr>
          <w:rFonts w:ascii="Abadi" w:hAnsi="Abadi" w:cs="*Arial-5502-Identity-H"/>
          <w:color w:val="14141C"/>
          <w:sz w:val="21"/>
          <w:szCs w:val="21"/>
        </w:rPr>
      </w:pPr>
      <w:r w:rsidRPr="009D2C14">
        <w:rPr>
          <w:rFonts w:ascii="Abadi" w:hAnsi="Abadi" w:cs="*Arial-5502-Identity-H"/>
          <w:color w:val="14141C"/>
          <w:sz w:val="21"/>
          <w:szCs w:val="21"/>
        </w:rPr>
        <w:t>Una vez analizado el referido informe de resultados, con fundamento en los</w:t>
      </w:r>
      <w:r>
        <w:rPr>
          <w:rFonts w:ascii="Abadi" w:hAnsi="Abadi" w:cs="*Arial-5502-Identity-H"/>
          <w:color w:val="14141C"/>
          <w:sz w:val="21"/>
          <w:szCs w:val="21"/>
        </w:rPr>
        <w:t xml:space="preserve"> </w:t>
      </w:r>
      <w:r w:rsidRPr="009D2C14">
        <w:rPr>
          <w:rFonts w:ascii="Abadi" w:hAnsi="Abadi" w:cs="*Arial-5502-Identity-H"/>
          <w:color w:val="14141C"/>
          <w:sz w:val="21"/>
          <w:szCs w:val="21"/>
        </w:rPr>
        <w:t>artículos 112 fracción XII, primer párrafo y 171 de la Ley Orgánica del Poder</w:t>
      </w:r>
      <w:r>
        <w:rPr>
          <w:rFonts w:ascii="Abadi" w:hAnsi="Abadi" w:cs="*Arial-5502-Identity-H"/>
          <w:color w:val="14141C"/>
          <w:sz w:val="21"/>
          <w:szCs w:val="21"/>
        </w:rPr>
        <w:t xml:space="preserve"> </w:t>
      </w:r>
      <w:r w:rsidRPr="009D2C14">
        <w:rPr>
          <w:rFonts w:ascii="Abadi" w:hAnsi="Abadi" w:cs="*Arial-5502-Identity-H"/>
          <w:color w:val="14141C"/>
          <w:sz w:val="21"/>
          <w:szCs w:val="21"/>
        </w:rPr>
        <w:t>Legislativo, nos permitimos rendir el siguiente:</w:t>
      </w:r>
    </w:p>
    <w:p w14:paraId="10E3C76A" w14:textId="77777777" w:rsidR="001E07D6" w:rsidRDefault="001E07D6" w:rsidP="001E07D6">
      <w:pPr>
        <w:autoSpaceDE w:val="0"/>
        <w:autoSpaceDN w:val="0"/>
        <w:adjustRightInd w:val="0"/>
        <w:jc w:val="both"/>
        <w:rPr>
          <w:rFonts w:ascii="Abadi" w:hAnsi="Abadi" w:cs="*Arial-Bold-5503-Identity-H"/>
          <w:b/>
          <w:bCs/>
          <w:color w:val="14131F"/>
          <w:sz w:val="21"/>
          <w:szCs w:val="21"/>
        </w:rPr>
      </w:pPr>
    </w:p>
    <w:p w14:paraId="0D65E230" w14:textId="77777777" w:rsidR="001E07D6" w:rsidRPr="009D2C14" w:rsidRDefault="001E07D6" w:rsidP="001E07D6">
      <w:pPr>
        <w:autoSpaceDE w:val="0"/>
        <w:autoSpaceDN w:val="0"/>
        <w:adjustRightInd w:val="0"/>
        <w:jc w:val="center"/>
        <w:rPr>
          <w:rFonts w:ascii="Abadi" w:hAnsi="Abadi" w:cs="*Arial-Bold-5503-Identity-H"/>
          <w:b/>
          <w:bCs/>
          <w:color w:val="14131F"/>
          <w:sz w:val="21"/>
          <w:szCs w:val="21"/>
        </w:rPr>
      </w:pPr>
      <w:r w:rsidRPr="009D2C14">
        <w:rPr>
          <w:rFonts w:ascii="Abadi" w:hAnsi="Abadi" w:cs="*Arial-Bold-5503-Identity-H"/>
          <w:b/>
          <w:bCs/>
          <w:color w:val="14131F"/>
          <w:sz w:val="21"/>
          <w:szCs w:val="21"/>
        </w:rPr>
        <w:t>Dictamen</w:t>
      </w:r>
    </w:p>
    <w:p w14:paraId="18A2F327" w14:textId="77777777" w:rsidR="001E07D6" w:rsidRDefault="001E07D6" w:rsidP="001E07D6">
      <w:pPr>
        <w:autoSpaceDE w:val="0"/>
        <w:autoSpaceDN w:val="0"/>
        <w:adjustRightInd w:val="0"/>
        <w:jc w:val="both"/>
        <w:rPr>
          <w:rFonts w:ascii="Abadi" w:hAnsi="Abadi" w:cs="*Arial-Bold-5503-Identity-H"/>
          <w:b/>
          <w:bCs/>
          <w:color w:val="14131F"/>
          <w:sz w:val="21"/>
          <w:szCs w:val="21"/>
        </w:rPr>
      </w:pPr>
    </w:p>
    <w:p w14:paraId="3E56DCFC" w14:textId="77777777" w:rsidR="001E07D6" w:rsidRDefault="001E07D6" w:rsidP="001E07D6">
      <w:pPr>
        <w:autoSpaceDE w:val="0"/>
        <w:autoSpaceDN w:val="0"/>
        <w:adjustRightInd w:val="0"/>
        <w:ind w:firstLine="708"/>
        <w:jc w:val="both"/>
        <w:rPr>
          <w:rFonts w:ascii="Abadi" w:hAnsi="Abadi" w:cs="*Arial-Bold-5503-Identity-H"/>
          <w:b/>
          <w:bCs/>
          <w:color w:val="14131F"/>
          <w:sz w:val="21"/>
          <w:szCs w:val="21"/>
        </w:rPr>
      </w:pPr>
      <w:r w:rsidRPr="009D2C14">
        <w:rPr>
          <w:rFonts w:ascii="Abadi" w:hAnsi="Abadi" w:cs="*Arial-Bold-5503-Identity-H"/>
          <w:b/>
          <w:bCs/>
          <w:color w:val="14131F"/>
          <w:sz w:val="21"/>
          <w:szCs w:val="21"/>
        </w:rPr>
        <w:t>l. Competencia:</w:t>
      </w:r>
    </w:p>
    <w:p w14:paraId="256883C5" w14:textId="77777777" w:rsidR="001E07D6" w:rsidRPr="009D2C14" w:rsidRDefault="001E07D6" w:rsidP="001E07D6">
      <w:pPr>
        <w:autoSpaceDE w:val="0"/>
        <w:autoSpaceDN w:val="0"/>
        <w:adjustRightInd w:val="0"/>
        <w:jc w:val="both"/>
        <w:rPr>
          <w:rFonts w:ascii="Abadi" w:hAnsi="Abadi" w:cs="*Arial-Bold-5503-Identity-H"/>
          <w:b/>
          <w:bCs/>
          <w:color w:val="14131F"/>
          <w:sz w:val="21"/>
          <w:szCs w:val="21"/>
        </w:rPr>
      </w:pPr>
    </w:p>
    <w:p w14:paraId="3593D656" w14:textId="77777777" w:rsidR="001E07D6" w:rsidRDefault="001E07D6" w:rsidP="001E07D6">
      <w:pPr>
        <w:autoSpaceDE w:val="0"/>
        <w:autoSpaceDN w:val="0"/>
        <w:adjustRightInd w:val="0"/>
        <w:ind w:firstLine="708"/>
        <w:jc w:val="both"/>
        <w:rPr>
          <w:rFonts w:ascii="Abadi" w:hAnsi="Abadi" w:cs="*Arial-5502-Identity-H"/>
          <w:color w:val="15141D"/>
          <w:sz w:val="21"/>
          <w:szCs w:val="21"/>
        </w:rPr>
      </w:pPr>
      <w:r w:rsidRPr="009D2C14">
        <w:rPr>
          <w:rFonts w:ascii="Abadi" w:hAnsi="Abadi" w:cs="*Arial-5502-Identity-H"/>
          <w:color w:val="15141D"/>
          <w:sz w:val="21"/>
          <w:szCs w:val="21"/>
        </w:rPr>
        <w:t>Las facultades de la legislatura local en materia de fiscalización de las</w:t>
      </w:r>
      <w:r>
        <w:rPr>
          <w:rFonts w:ascii="Abadi" w:hAnsi="Abadi" w:cs="*Arial-5502-Identity-H"/>
          <w:color w:val="15141D"/>
          <w:sz w:val="21"/>
          <w:szCs w:val="21"/>
        </w:rPr>
        <w:t xml:space="preserve"> </w:t>
      </w:r>
      <w:r w:rsidRPr="009D2C14">
        <w:rPr>
          <w:rFonts w:ascii="Abadi" w:hAnsi="Abadi" w:cs="*Arial-5502-Identity-H"/>
          <w:color w:val="15141D"/>
          <w:sz w:val="21"/>
          <w:szCs w:val="21"/>
        </w:rPr>
        <w:t>cuentas públicas tienen su fundamento en lo dispuesto por el artículo 63</w:t>
      </w:r>
      <w:r>
        <w:rPr>
          <w:rFonts w:ascii="Abadi" w:hAnsi="Abadi" w:cs="*Arial-5502-Identity-H"/>
          <w:color w:val="15141D"/>
          <w:sz w:val="21"/>
          <w:szCs w:val="21"/>
        </w:rPr>
        <w:t xml:space="preserve"> </w:t>
      </w:r>
      <w:r w:rsidRPr="009D2C14">
        <w:rPr>
          <w:rFonts w:ascii="Abadi" w:hAnsi="Abadi" w:cs="*Arial-5502-Identity-H"/>
          <w:color w:val="15141D"/>
          <w:sz w:val="21"/>
          <w:szCs w:val="21"/>
        </w:rPr>
        <w:t>fracciones XVII</w:t>
      </w:r>
      <w:r>
        <w:rPr>
          <w:rFonts w:ascii="Abadi" w:hAnsi="Abadi" w:cs="*Arial-5502-Identity-H"/>
          <w:color w:val="15141D"/>
          <w:sz w:val="21"/>
          <w:szCs w:val="21"/>
        </w:rPr>
        <w:t xml:space="preserve">I, </w:t>
      </w:r>
      <w:r w:rsidRPr="009D2C14">
        <w:rPr>
          <w:rFonts w:ascii="Abadi" w:hAnsi="Abadi" w:cs="*Arial-5502-Identity-H"/>
          <w:color w:val="15141D"/>
          <w:sz w:val="21"/>
          <w:szCs w:val="21"/>
        </w:rPr>
        <w:t xml:space="preserve">XIX y </w:t>
      </w:r>
      <w:r w:rsidRPr="009D2C14">
        <w:rPr>
          <w:rFonts w:ascii="Abadi" w:hAnsi="Abadi" w:cs="*Arial-Bold-5503-Identity-H"/>
          <w:color w:val="15141D"/>
          <w:sz w:val="21"/>
          <w:szCs w:val="21"/>
        </w:rPr>
        <w:t xml:space="preserve">XXVIII </w:t>
      </w:r>
      <w:r w:rsidRPr="009D2C14">
        <w:rPr>
          <w:rFonts w:ascii="Abadi" w:hAnsi="Abadi" w:cs="*Arial-5502-Identity-H"/>
          <w:color w:val="15141D"/>
          <w:sz w:val="21"/>
          <w:szCs w:val="21"/>
        </w:rPr>
        <w:t>de la Constitución Política para el Estado de</w:t>
      </w:r>
      <w:r>
        <w:rPr>
          <w:rFonts w:ascii="Abadi" w:hAnsi="Abadi" w:cs="*Arial-5502-Identity-H"/>
          <w:color w:val="15141D"/>
          <w:sz w:val="21"/>
          <w:szCs w:val="21"/>
        </w:rPr>
        <w:t xml:space="preserve"> </w:t>
      </w:r>
      <w:r w:rsidRPr="009D2C14">
        <w:rPr>
          <w:rFonts w:ascii="Abadi" w:hAnsi="Abadi" w:cs="*Arial-5502-Identity-H"/>
          <w:color w:val="15141D"/>
          <w:sz w:val="21"/>
          <w:szCs w:val="21"/>
        </w:rPr>
        <w:t>Guanajuato. Estos dispositivos establecen que el Congreso del Estado tiene la</w:t>
      </w:r>
      <w:r>
        <w:rPr>
          <w:rFonts w:ascii="Abadi" w:hAnsi="Abadi" w:cs="*Arial-5502-Identity-H"/>
          <w:color w:val="15141D"/>
          <w:sz w:val="21"/>
          <w:szCs w:val="21"/>
        </w:rPr>
        <w:t xml:space="preserve"> </w:t>
      </w:r>
      <w:r w:rsidRPr="009D2C14">
        <w:rPr>
          <w:rFonts w:ascii="Abadi" w:hAnsi="Abadi" w:cs="*Arial-5502-Identity-H"/>
          <w:color w:val="15141D"/>
          <w:sz w:val="21"/>
          <w:szCs w:val="21"/>
        </w:rPr>
        <w:t>facultad de fiscalizar la cuenta pública del Poder Ejecutivo, incluyendo las de las</w:t>
      </w:r>
      <w:r>
        <w:rPr>
          <w:rFonts w:ascii="Abadi" w:hAnsi="Abadi" w:cs="*Arial-5502-Identity-H"/>
          <w:color w:val="15141D"/>
          <w:sz w:val="21"/>
          <w:szCs w:val="21"/>
        </w:rPr>
        <w:t xml:space="preserve"> </w:t>
      </w:r>
      <w:r w:rsidRPr="009D2C14">
        <w:rPr>
          <w:rFonts w:ascii="Abadi" w:hAnsi="Abadi" w:cs="*Arial-5502-Identity-H"/>
          <w:color w:val="15141D"/>
          <w:sz w:val="21"/>
          <w:szCs w:val="21"/>
        </w:rPr>
        <w:t>entidades y organismos de la administración pública paraestatal, las del Poder</w:t>
      </w:r>
      <w:r>
        <w:rPr>
          <w:rFonts w:ascii="Abadi" w:hAnsi="Abadi" w:cs="*Arial-5502-Identity-H"/>
          <w:color w:val="15141D"/>
          <w:sz w:val="21"/>
          <w:szCs w:val="21"/>
        </w:rPr>
        <w:t xml:space="preserve"> </w:t>
      </w:r>
      <w:r w:rsidRPr="009D2C14">
        <w:rPr>
          <w:rFonts w:ascii="Abadi" w:hAnsi="Abadi" w:cs="*Arial-5502-Identity-H"/>
          <w:color w:val="15141D"/>
          <w:sz w:val="21"/>
          <w:szCs w:val="21"/>
        </w:rPr>
        <w:t>Judicial y de los organismos autónomos; así como las cuentas públicas</w:t>
      </w:r>
      <w:r>
        <w:rPr>
          <w:rFonts w:ascii="Abadi" w:hAnsi="Abadi" w:cs="*Arial-5502-Identity-H"/>
          <w:color w:val="15141D"/>
          <w:sz w:val="21"/>
          <w:szCs w:val="21"/>
        </w:rPr>
        <w:t xml:space="preserve"> </w:t>
      </w:r>
      <w:r w:rsidRPr="009D2C14">
        <w:rPr>
          <w:rFonts w:ascii="Abadi" w:hAnsi="Abadi" w:cs="*Arial-5502-Identity-H"/>
          <w:color w:val="15141D"/>
          <w:sz w:val="21"/>
          <w:szCs w:val="21"/>
        </w:rPr>
        <w:t>municipales, incluyendo las de las entidades y organismos de la administración</w:t>
      </w:r>
      <w:r>
        <w:rPr>
          <w:rFonts w:ascii="Abadi" w:hAnsi="Abadi" w:cs="*Arial-5502-Identity-H"/>
          <w:color w:val="15141D"/>
          <w:sz w:val="21"/>
          <w:szCs w:val="21"/>
        </w:rPr>
        <w:t xml:space="preserve"> </w:t>
      </w:r>
      <w:r w:rsidRPr="009D2C14">
        <w:rPr>
          <w:rFonts w:ascii="Abadi" w:hAnsi="Abadi" w:cs="*Arial-5502-Identity-H"/>
          <w:color w:val="15141D"/>
          <w:sz w:val="21"/>
          <w:szCs w:val="21"/>
        </w:rPr>
        <w:t>pública paramunicipal; y verificar el desempeño en el cumplimiento de los</w:t>
      </w:r>
      <w:r>
        <w:rPr>
          <w:rFonts w:ascii="Abadi" w:hAnsi="Abadi" w:cs="*Arial-5502-Identity-H"/>
          <w:color w:val="15141D"/>
          <w:sz w:val="21"/>
          <w:szCs w:val="21"/>
        </w:rPr>
        <w:t xml:space="preserve"> </w:t>
      </w:r>
      <w:r w:rsidRPr="009D2C14">
        <w:rPr>
          <w:rFonts w:ascii="Abadi" w:hAnsi="Abadi" w:cs="*Arial-5502-Identity-H"/>
          <w:color w:val="15141D"/>
          <w:sz w:val="21"/>
          <w:szCs w:val="21"/>
        </w:rPr>
        <w:t>objetivos de los programas. De igual manera, puede acordar la práctica de</w:t>
      </w:r>
      <w:r>
        <w:rPr>
          <w:rFonts w:ascii="Abadi" w:hAnsi="Abadi" w:cs="*Arial-5502-Identity-H"/>
          <w:color w:val="15141D"/>
          <w:sz w:val="21"/>
          <w:szCs w:val="21"/>
        </w:rPr>
        <w:t xml:space="preserve"> </w:t>
      </w:r>
      <w:r w:rsidRPr="009D2C14">
        <w:rPr>
          <w:rFonts w:ascii="Abadi" w:hAnsi="Abadi" w:cs="*Arial-5502-Identity-H"/>
          <w:color w:val="15141D"/>
          <w:sz w:val="21"/>
          <w:szCs w:val="21"/>
        </w:rPr>
        <w:t>auditorías a los sujetos de fiscalización, cuando exista causa justificada para ello,</w:t>
      </w:r>
      <w:r>
        <w:rPr>
          <w:rFonts w:ascii="Abadi" w:hAnsi="Abadi" w:cs="*Arial-5502-Identity-H"/>
          <w:color w:val="15141D"/>
          <w:sz w:val="21"/>
          <w:szCs w:val="21"/>
        </w:rPr>
        <w:t xml:space="preserve"> </w:t>
      </w:r>
      <w:r w:rsidRPr="009D2C14">
        <w:rPr>
          <w:rFonts w:ascii="Abadi" w:hAnsi="Abadi" w:cs="*Arial-5502-Identity-H"/>
          <w:color w:val="15141D"/>
          <w:sz w:val="21"/>
          <w:szCs w:val="21"/>
        </w:rPr>
        <w:t>auxiliándose para el cumplimiento de dichas facultades por la Auditoría Superior</w:t>
      </w:r>
      <w:r>
        <w:rPr>
          <w:rFonts w:ascii="Abadi" w:hAnsi="Abadi" w:cs="*Arial-5502-Identity-H"/>
          <w:color w:val="15141D"/>
          <w:sz w:val="21"/>
          <w:szCs w:val="21"/>
        </w:rPr>
        <w:t xml:space="preserve"> </w:t>
      </w:r>
      <w:r w:rsidRPr="009D2C14">
        <w:rPr>
          <w:rFonts w:ascii="Abadi" w:hAnsi="Abadi" w:cs="*Arial-5502-Identity-H"/>
          <w:color w:val="15141D"/>
          <w:sz w:val="21"/>
          <w:szCs w:val="21"/>
        </w:rPr>
        <w:t>del Estado de Guanajuato.</w:t>
      </w:r>
    </w:p>
    <w:p w14:paraId="03927CCF" w14:textId="77777777" w:rsidR="001E07D6" w:rsidRPr="009D2C14" w:rsidRDefault="001E07D6" w:rsidP="001E07D6">
      <w:pPr>
        <w:autoSpaceDE w:val="0"/>
        <w:autoSpaceDN w:val="0"/>
        <w:adjustRightInd w:val="0"/>
        <w:jc w:val="both"/>
        <w:rPr>
          <w:rFonts w:ascii="Abadi" w:hAnsi="Abadi" w:cs="*Arial-5502-Identity-H"/>
          <w:color w:val="15141D"/>
          <w:sz w:val="21"/>
          <w:szCs w:val="21"/>
        </w:rPr>
      </w:pPr>
    </w:p>
    <w:p w14:paraId="25CAC354" w14:textId="77777777" w:rsidR="001E07D6" w:rsidRPr="009D2C14" w:rsidRDefault="001E07D6" w:rsidP="001E07D6">
      <w:pPr>
        <w:autoSpaceDE w:val="0"/>
        <w:autoSpaceDN w:val="0"/>
        <w:adjustRightInd w:val="0"/>
        <w:ind w:firstLine="708"/>
        <w:jc w:val="both"/>
        <w:rPr>
          <w:rFonts w:ascii="Abadi" w:hAnsi="Abadi" w:cs="*Arial-5502-Identity-H"/>
          <w:color w:val="14141C"/>
          <w:sz w:val="21"/>
          <w:szCs w:val="21"/>
        </w:rPr>
      </w:pPr>
      <w:r w:rsidRPr="009D2C14">
        <w:rPr>
          <w:rFonts w:ascii="Abadi" w:hAnsi="Abadi" w:cs="*Arial-5502-Identity-H"/>
          <w:color w:val="14141C"/>
          <w:sz w:val="21"/>
          <w:szCs w:val="21"/>
        </w:rPr>
        <w:t>Asimismo, el artículo 66 fracción VIII de dicho Ordenamiento Constitucional</w:t>
      </w:r>
      <w:r>
        <w:rPr>
          <w:rFonts w:ascii="Abadi" w:hAnsi="Abadi" w:cs="*Arial-5502-Identity-H"/>
          <w:color w:val="14141C"/>
          <w:sz w:val="21"/>
          <w:szCs w:val="21"/>
        </w:rPr>
        <w:t xml:space="preserve"> </w:t>
      </w:r>
      <w:r w:rsidRPr="009D2C14">
        <w:rPr>
          <w:rFonts w:ascii="Abadi" w:hAnsi="Abadi" w:cs="*Arial-5502-Identity-H"/>
          <w:color w:val="14141C"/>
          <w:sz w:val="21"/>
          <w:szCs w:val="21"/>
        </w:rPr>
        <w:t>establece que la Auditoría Superior del Estado de Guanajuato deberá informar al</w:t>
      </w:r>
      <w:r>
        <w:rPr>
          <w:rFonts w:ascii="Abadi" w:hAnsi="Abadi" w:cs="*Arial-5502-Identity-H"/>
          <w:color w:val="14141C"/>
          <w:sz w:val="21"/>
          <w:szCs w:val="21"/>
        </w:rPr>
        <w:t xml:space="preserve"> </w:t>
      </w:r>
      <w:r w:rsidRPr="009D2C14">
        <w:rPr>
          <w:rFonts w:ascii="Abadi" w:hAnsi="Abadi" w:cs="*Arial-5502-Identity-H"/>
          <w:color w:val="14141C"/>
          <w:sz w:val="21"/>
          <w:szCs w:val="21"/>
        </w:rPr>
        <w:t>Congreso del Estado del resultado de la revisión de la cuenta pública y demás</w:t>
      </w:r>
      <w:r>
        <w:rPr>
          <w:rFonts w:ascii="Abadi" w:hAnsi="Abadi" w:cs="*Arial-5502-Identity-H"/>
          <w:color w:val="14141C"/>
          <w:sz w:val="21"/>
          <w:szCs w:val="21"/>
        </w:rPr>
        <w:t xml:space="preserve"> </w:t>
      </w:r>
      <w:r w:rsidRPr="009D2C14">
        <w:rPr>
          <w:rFonts w:ascii="Abadi" w:hAnsi="Abadi" w:cs="*Arial-5502-Identity-H"/>
          <w:color w:val="14141C"/>
          <w:sz w:val="21"/>
          <w:szCs w:val="21"/>
        </w:rPr>
        <w:t>asuntos derivados de la fiscalización, incluyendo los dictámenes, informes de</w:t>
      </w:r>
      <w:r>
        <w:rPr>
          <w:rFonts w:ascii="Abadi" w:hAnsi="Abadi" w:cs="*Arial-5502-Identity-H"/>
          <w:color w:val="14141C"/>
          <w:sz w:val="21"/>
          <w:szCs w:val="21"/>
        </w:rPr>
        <w:t xml:space="preserve"> </w:t>
      </w:r>
      <w:r w:rsidRPr="009D2C14">
        <w:rPr>
          <w:rFonts w:ascii="Abadi" w:hAnsi="Abadi" w:cs="*Arial-5502-Identity-H"/>
          <w:color w:val="14141C"/>
          <w:sz w:val="21"/>
          <w:szCs w:val="21"/>
        </w:rPr>
        <w:t>resultados, comentarios y observaciones de las auditorías, constituyendo una de</w:t>
      </w:r>
      <w:r>
        <w:rPr>
          <w:rFonts w:ascii="Abadi" w:hAnsi="Abadi" w:cs="*Arial-5502-Identity-H"/>
          <w:color w:val="14141C"/>
          <w:sz w:val="21"/>
          <w:szCs w:val="21"/>
        </w:rPr>
        <w:t xml:space="preserve"> </w:t>
      </w:r>
      <w:r w:rsidRPr="009D2C14">
        <w:rPr>
          <w:rFonts w:ascii="Abadi" w:hAnsi="Abadi" w:cs="*Arial-5502-Identity-H"/>
          <w:color w:val="14141C"/>
          <w:sz w:val="21"/>
          <w:szCs w:val="21"/>
        </w:rPr>
        <w:t>las fases del proceso de fiscalización.</w:t>
      </w:r>
    </w:p>
    <w:p w14:paraId="6EB434D8" w14:textId="77777777" w:rsidR="001E07D6" w:rsidRDefault="001E07D6" w:rsidP="001E07D6">
      <w:pPr>
        <w:autoSpaceDE w:val="0"/>
        <w:autoSpaceDN w:val="0"/>
        <w:adjustRightInd w:val="0"/>
        <w:jc w:val="both"/>
        <w:rPr>
          <w:rFonts w:ascii="Abadi" w:hAnsi="Abadi" w:cs="*Arial-5287-Identity-H"/>
          <w:color w:val="14131B"/>
          <w:sz w:val="21"/>
          <w:szCs w:val="21"/>
        </w:rPr>
      </w:pPr>
    </w:p>
    <w:p w14:paraId="125C3FAD" w14:textId="77777777" w:rsidR="001E07D6" w:rsidRDefault="001E07D6" w:rsidP="001E07D6">
      <w:pPr>
        <w:autoSpaceDE w:val="0"/>
        <w:autoSpaceDN w:val="0"/>
        <w:adjustRightInd w:val="0"/>
        <w:ind w:firstLine="708"/>
        <w:jc w:val="both"/>
        <w:rPr>
          <w:rFonts w:ascii="Abadi" w:hAnsi="Abadi" w:cs="*Arial-5287-Identity-H"/>
          <w:color w:val="14131B"/>
          <w:sz w:val="21"/>
          <w:szCs w:val="21"/>
        </w:rPr>
      </w:pPr>
      <w:r w:rsidRPr="009D2C14">
        <w:rPr>
          <w:rFonts w:ascii="Abadi" w:hAnsi="Abadi" w:cs="*Arial-5287-Identity-H"/>
          <w:color w:val="14131B"/>
          <w:sz w:val="21"/>
          <w:szCs w:val="21"/>
        </w:rPr>
        <w:t xml:space="preserve">De igual forma, el artículo 82, fracción </w:t>
      </w:r>
      <w:r w:rsidRPr="009D2C14">
        <w:rPr>
          <w:rFonts w:ascii="Abadi" w:hAnsi="Abadi" w:cs="*Microsoft Sans Serif-Bold-5289"/>
          <w:color w:val="14131B"/>
          <w:sz w:val="21"/>
          <w:szCs w:val="21"/>
        </w:rPr>
        <w:t>XXIV</w:t>
      </w:r>
      <w:r w:rsidRPr="009D2C14">
        <w:rPr>
          <w:rFonts w:ascii="Abadi" w:hAnsi="Abadi" w:cs="*Microsoft Sans Serif-Bold-5289"/>
          <w:b/>
          <w:bCs/>
          <w:color w:val="14131B"/>
          <w:sz w:val="21"/>
          <w:szCs w:val="21"/>
        </w:rPr>
        <w:t xml:space="preserve"> </w:t>
      </w:r>
      <w:r w:rsidRPr="009D2C14">
        <w:rPr>
          <w:rFonts w:ascii="Abadi" w:hAnsi="Abadi" w:cs="*Arial-5287-Identity-H"/>
          <w:color w:val="14131B"/>
          <w:sz w:val="21"/>
          <w:szCs w:val="21"/>
        </w:rPr>
        <w:t>de la Ley de Fiscalización</w:t>
      </w:r>
      <w:r>
        <w:rPr>
          <w:rFonts w:ascii="Abadi" w:hAnsi="Abadi" w:cs="*Arial-5287-Identity-H"/>
          <w:color w:val="14131B"/>
          <w:sz w:val="21"/>
          <w:szCs w:val="21"/>
        </w:rPr>
        <w:t xml:space="preserve"> </w:t>
      </w:r>
      <w:r w:rsidRPr="009D2C14">
        <w:rPr>
          <w:rFonts w:ascii="Abadi" w:hAnsi="Abadi" w:cs="*Arial-5287-Identity-H"/>
          <w:color w:val="14131B"/>
          <w:sz w:val="21"/>
          <w:szCs w:val="21"/>
        </w:rPr>
        <w:t>Superior del Estado de Guanajuato establece como atribución de la Auditoría</w:t>
      </w:r>
      <w:r>
        <w:rPr>
          <w:rFonts w:ascii="Abadi" w:hAnsi="Abadi" w:cs="*Arial-5287-Identity-H"/>
          <w:color w:val="14131B"/>
          <w:sz w:val="21"/>
          <w:szCs w:val="21"/>
        </w:rPr>
        <w:t xml:space="preserve"> </w:t>
      </w:r>
      <w:r w:rsidRPr="009D2C14">
        <w:rPr>
          <w:rFonts w:ascii="Abadi" w:hAnsi="Abadi" w:cs="*Arial-5287-Identity-H"/>
          <w:color w:val="14131B"/>
          <w:sz w:val="21"/>
          <w:szCs w:val="21"/>
        </w:rPr>
        <w:t>Superior del Estado, rendir al Congreso, los informes derivados del ejercicio de la</w:t>
      </w:r>
      <w:r>
        <w:rPr>
          <w:rFonts w:ascii="Abadi" w:hAnsi="Abadi" w:cs="*Arial-5287-Identity-H"/>
          <w:color w:val="14131B"/>
          <w:sz w:val="21"/>
          <w:szCs w:val="21"/>
        </w:rPr>
        <w:t xml:space="preserve"> </w:t>
      </w:r>
      <w:r w:rsidRPr="009D2C14">
        <w:rPr>
          <w:rFonts w:ascii="Abadi" w:hAnsi="Abadi" w:cs="*Arial-5287-Identity-H"/>
          <w:color w:val="14131B"/>
          <w:sz w:val="21"/>
          <w:szCs w:val="21"/>
        </w:rPr>
        <w:t>función de fiscalización.</w:t>
      </w:r>
    </w:p>
    <w:p w14:paraId="78039767" w14:textId="77777777" w:rsidR="001E07D6" w:rsidRPr="009D2C14" w:rsidRDefault="001E07D6" w:rsidP="001E07D6">
      <w:pPr>
        <w:autoSpaceDE w:val="0"/>
        <w:autoSpaceDN w:val="0"/>
        <w:adjustRightInd w:val="0"/>
        <w:jc w:val="both"/>
        <w:rPr>
          <w:rFonts w:ascii="Abadi" w:hAnsi="Abadi" w:cs="*Arial-5287-Identity-H"/>
          <w:color w:val="14131B"/>
          <w:sz w:val="21"/>
          <w:szCs w:val="21"/>
        </w:rPr>
      </w:pPr>
    </w:p>
    <w:p w14:paraId="3CD4362A" w14:textId="77777777" w:rsidR="001E07D6" w:rsidRDefault="001E07D6" w:rsidP="001E07D6">
      <w:pPr>
        <w:autoSpaceDE w:val="0"/>
        <w:autoSpaceDN w:val="0"/>
        <w:adjustRightInd w:val="0"/>
        <w:ind w:firstLine="708"/>
        <w:jc w:val="both"/>
        <w:rPr>
          <w:rFonts w:ascii="Abadi" w:hAnsi="Abadi" w:cs="*Arial-5287-Identity-H"/>
          <w:color w:val="14131B"/>
          <w:sz w:val="21"/>
          <w:szCs w:val="21"/>
        </w:rPr>
      </w:pPr>
      <w:r w:rsidRPr="009D2C14">
        <w:rPr>
          <w:rFonts w:ascii="Abadi" w:hAnsi="Abadi" w:cs="*Arial-5287-Identity-H"/>
          <w:color w:val="14131B"/>
          <w:sz w:val="21"/>
          <w:szCs w:val="21"/>
        </w:rPr>
        <w:t>En razón de lo cual, la Ley de Fiscalización Superior del Estado de</w:t>
      </w:r>
      <w:r>
        <w:rPr>
          <w:rFonts w:ascii="Abadi" w:hAnsi="Abadi" w:cs="*Arial-5287-Identity-H"/>
          <w:color w:val="14131B"/>
          <w:sz w:val="21"/>
          <w:szCs w:val="21"/>
        </w:rPr>
        <w:t xml:space="preserve"> </w:t>
      </w:r>
      <w:r w:rsidRPr="009D2C14">
        <w:rPr>
          <w:rFonts w:ascii="Abadi" w:hAnsi="Abadi" w:cs="*Arial-5287-Identity-H"/>
          <w:color w:val="14131B"/>
          <w:sz w:val="21"/>
          <w:szCs w:val="21"/>
        </w:rPr>
        <w:t>Guanajuato establece que la Auditoría Superior debe remitir los informes de</w:t>
      </w:r>
      <w:r>
        <w:rPr>
          <w:rFonts w:ascii="Abadi" w:hAnsi="Abadi" w:cs="*Arial-5287-Identity-H"/>
          <w:color w:val="14131B"/>
          <w:sz w:val="21"/>
          <w:szCs w:val="21"/>
        </w:rPr>
        <w:t xml:space="preserve"> </w:t>
      </w:r>
      <w:r w:rsidRPr="009D2C14">
        <w:rPr>
          <w:rFonts w:ascii="Abadi" w:hAnsi="Abadi" w:cs="*Arial-5287-Identity-H"/>
          <w:color w:val="14131B"/>
          <w:sz w:val="21"/>
          <w:szCs w:val="21"/>
        </w:rPr>
        <w:t>resultados al Congreso del Estado, a efecto de que éste realice la declaratoria</w:t>
      </w:r>
      <w:r>
        <w:rPr>
          <w:rFonts w:ascii="Abadi" w:hAnsi="Abadi" w:cs="*Arial-5287-Identity-H"/>
          <w:color w:val="14131B"/>
          <w:sz w:val="21"/>
          <w:szCs w:val="21"/>
        </w:rPr>
        <w:t xml:space="preserve"> </w:t>
      </w:r>
      <w:r w:rsidRPr="009D2C14">
        <w:rPr>
          <w:rFonts w:ascii="Abadi" w:hAnsi="Abadi" w:cs="*Arial-5287-Identity-H"/>
          <w:color w:val="14131B"/>
          <w:sz w:val="21"/>
          <w:szCs w:val="21"/>
        </w:rPr>
        <w:t>correspondiente, señalándose en el artículo 38 que el informe de resultados</w:t>
      </w:r>
      <w:r>
        <w:rPr>
          <w:rFonts w:ascii="Abadi" w:hAnsi="Abadi" w:cs="*Arial-5287-Identity-H"/>
          <w:color w:val="14131B"/>
          <w:sz w:val="21"/>
          <w:szCs w:val="21"/>
        </w:rPr>
        <w:t xml:space="preserve"> </w:t>
      </w:r>
      <w:r w:rsidRPr="009D2C14">
        <w:rPr>
          <w:rFonts w:ascii="Abadi" w:hAnsi="Abadi" w:cs="*Arial-5287-Identity-H"/>
          <w:color w:val="14131B"/>
          <w:sz w:val="21"/>
          <w:szCs w:val="21"/>
        </w:rPr>
        <w:t>únicamente podrá ser observado por las dos terceras partes de los diputados</w:t>
      </w:r>
      <w:r>
        <w:rPr>
          <w:rFonts w:ascii="Abadi" w:hAnsi="Abadi" w:cs="*Arial-5287-Identity-H"/>
          <w:color w:val="14131B"/>
          <w:sz w:val="21"/>
          <w:szCs w:val="21"/>
        </w:rPr>
        <w:t xml:space="preserve"> </w:t>
      </w:r>
      <w:r w:rsidRPr="009D2C14">
        <w:rPr>
          <w:rFonts w:ascii="Abadi" w:hAnsi="Abadi" w:cs="*Arial-5287-Identity-H"/>
          <w:color w:val="14131B"/>
          <w:sz w:val="21"/>
          <w:szCs w:val="21"/>
        </w:rPr>
        <w:t>Integrantes</w:t>
      </w:r>
      <w:r>
        <w:rPr>
          <w:rFonts w:ascii="Abadi" w:hAnsi="Abadi" w:cs="*Arial-5287-Identity-H"/>
          <w:color w:val="14131B"/>
          <w:sz w:val="21"/>
          <w:szCs w:val="21"/>
        </w:rPr>
        <w:t xml:space="preserve"> </w:t>
      </w:r>
      <w:r w:rsidRPr="009D2C14">
        <w:rPr>
          <w:rFonts w:ascii="Abadi" w:hAnsi="Abadi" w:cs="*Arial-5287-Identity-H"/>
          <w:color w:val="14131B"/>
          <w:sz w:val="21"/>
          <w:szCs w:val="21"/>
        </w:rPr>
        <w:t>del Congreso, cuando no se observen las formalidades esenciales del</w:t>
      </w:r>
      <w:r>
        <w:rPr>
          <w:rFonts w:ascii="Abadi" w:hAnsi="Abadi" w:cs="*Arial-5287-Identity-H"/>
          <w:color w:val="14131B"/>
          <w:sz w:val="21"/>
          <w:szCs w:val="21"/>
        </w:rPr>
        <w:t xml:space="preserve"> </w:t>
      </w:r>
      <w:r w:rsidRPr="009D2C14">
        <w:rPr>
          <w:rFonts w:ascii="Abadi" w:hAnsi="Abadi" w:cs="*Arial-5287-Identity-H"/>
          <w:color w:val="14131B"/>
          <w:sz w:val="21"/>
          <w:szCs w:val="21"/>
        </w:rPr>
        <w:t>proceso de fiscalización.</w:t>
      </w:r>
    </w:p>
    <w:p w14:paraId="342ECAE4" w14:textId="77777777" w:rsidR="001E07D6" w:rsidRPr="009D2C14" w:rsidRDefault="001E07D6" w:rsidP="001E07D6">
      <w:pPr>
        <w:autoSpaceDE w:val="0"/>
        <w:autoSpaceDN w:val="0"/>
        <w:adjustRightInd w:val="0"/>
        <w:jc w:val="both"/>
        <w:rPr>
          <w:rFonts w:ascii="Abadi" w:hAnsi="Abadi" w:cs="*Arial-5287-Identity-H"/>
          <w:color w:val="14131B"/>
          <w:sz w:val="21"/>
          <w:szCs w:val="21"/>
        </w:rPr>
      </w:pPr>
    </w:p>
    <w:p w14:paraId="022A5A4F" w14:textId="77777777" w:rsidR="001E07D6" w:rsidRDefault="001E07D6" w:rsidP="001E07D6">
      <w:pPr>
        <w:autoSpaceDE w:val="0"/>
        <w:autoSpaceDN w:val="0"/>
        <w:adjustRightInd w:val="0"/>
        <w:ind w:firstLine="708"/>
        <w:jc w:val="both"/>
        <w:rPr>
          <w:rFonts w:ascii="Abadi" w:hAnsi="Abadi" w:cs="*Arial-5287-Identity-H"/>
          <w:color w:val="14131B"/>
          <w:sz w:val="21"/>
          <w:szCs w:val="21"/>
        </w:rPr>
      </w:pPr>
      <w:r w:rsidRPr="009D2C14">
        <w:rPr>
          <w:rFonts w:ascii="Abadi" w:hAnsi="Abadi" w:cs="*Arial-5287-Identity-H"/>
          <w:color w:val="14131B"/>
          <w:sz w:val="21"/>
          <w:szCs w:val="21"/>
        </w:rPr>
        <w:t>Con la finalidad de que el Congreso dé cumplimiento a lo señalado en el</w:t>
      </w:r>
      <w:r>
        <w:rPr>
          <w:rFonts w:ascii="Abadi" w:hAnsi="Abadi" w:cs="*Arial-5287-Identity-H"/>
          <w:color w:val="14131B"/>
          <w:sz w:val="21"/>
          <w:szCs w:val="21"/>
        </w:rPr>
        <w:t xml:space="preserve"> </w:t>
      </w:r>
      <w:r w:rsidRPr="009D2C14">
        <w:rPr>
          <w:rFonts w:ascii="Abadi" w:hAnsi="Abadi" w:cs="*Arial-5287-Identity-H"/>
          <w:color w:val="14131B"/>
          <w:sz w:val="21"/>
          <w:szCs w:val="21"/>
        </w:rPr>
        <w:t>párrafo anterior, la Ley Orgánica del Poder Legislativo del Estado de Guanajuato</w:t>
      </w:r>
      <w:r>
        <w:rPr>
          <w:rFonts w:ascii="Abadi" w:hAnsi="Abadi" w:cs="*Arial-5287-Identity-H"/>
          <w:color w:val="14131B"/>
          <w:sz w:val="21"/>
          <w:szCs w:val="21"/>
        </w:rPr>
        <w:t xml:space="preserve"> </w:t>
      </w:r>
      <w:r w:rsidRPr="009D2C14">
        <w:rPr>
          <w:rFonts w:ascii="Abadi" w:hAnsi="Abadi" w:cs="*Arial-5287-Identity-H"/>
          <w:color w:val="14131B"/>
          <w:sz w:val="21"/>
          <w:szCs w:val="21"/>
        </w:rPr>
        <w:t xml:space="preserve">establece en su artículo 112, fracción </w:t>
      </w:r>
      <w:r w:rsidRPr="009D2C14">
        <w:rPr>
          <w:rFonts w:ascii="Abadi" w:hAnsi="Abadi" w:cs="*Microsoft Sans Serif-Bold-5289"/>
          <w:color w:val="14131B"/>
          <w:sz w:val="21"/>
          <w:szCs w:val="21"/>
        </w:rPr>
        <w:t xml:space="preserve">XII, </w:t>
      </w:r>
      <w:r w:rsidRPr="009D2C14">
        <w:rPr>
          <w:rFonts w:ascii="Abadi" w:hAnsi="Abadi" w:cs="*Arial-5287-Identity-H"/>
          <w:color w:val="14131B"/>
          <w:sz w:val="21"/>
          <w:szCs w:val="21"/>
        </w:rPr>
        <w:t>primer párrafo que, a esta Comisión de</w:t>
      </w:r>
      <w:r>
        <w:rPr>
          <w:rFonts w:ascii="Abadi" w:hAnsi="Abadi" w:cs="*Arial-5287-Identity-H"/>
          <w:color w:val="14131B"/>
          <w:sz w:val="21"/>
          <w:szCs w:val="21"/>
        </w:rPr>
        <w:t xml:space="preserve"> </w:t>
      </w:r>
      <w:r w:rsidRPr="009D2C14">
        <w:rPr>
          <w:rFonts w:ascii="Abadi" w:hAnsi="Abadi" w:cs="*Arial-5287-Identity-H"/>
          <w:color w:val="14131B"/>
          <w:sz w:val="21"/>
          <w:szCs w:val="21"/>
        </w:rPr>
        <w:t>Hacienda y Fiscalización, le compete el conocimiento y dictamen de los asuntos</w:t>
      </w:r>
      <w:r>
        <w:rPr>
          <w:rFonts w:ascii="Abadi" w:hAnsi="Abadi" w:cs="*Arial-5287-Identity-H"/>
          <w:color w:val="14131B"/>
          <w:sz w:val="21"/>
          <w:szCs w:val="21"/>
        </w:rPr>
        <w:t xml:space="preserve"> </w:t>
      </w:r>
      <w:r w:rsidRPr="009D2C14">
        <w:rPr>
          <w:rFonts w:ascii="Abadi" w:hAnsi="Abadi" w:cs="*Arial-5287-Identity-H"/>
          <w:color w:val="14131B"/>
          <w:sz w:val="21"/>
          <w:szCs w:val="21"/>
        </w:rPr>
        <w:t>relativos a los informes de resultados que emita la Auditoría Superior del Estado.</w:t>
      </w:r>
      <w:r>
        <w:rPr>
          <w:rFonts w:ascii="Abadi" w:hAnsi="Abadi" w:cs="*Arial-5287-Identity-H"/>
          <w:color w:val="14131B"/>
          <w:sz w:val="21"/>
          <w:szCs w:val="21"/>
        </w:rPr>
        <w:t xml:space="preserve"> </w:t>
      </w:r>
    </w:p>
    <w:p w14:paraId="2DD73522" w14:textId="77777777" w:rsidR="001E07D6" w:rsidRDefault="001E07D6" w:rsidP="001E07D6">
      <w:pPr>
        <w:autoSpaceDE w:val="0"/>
        <w:autoSpaceDN w:val="0"/>
        <w:adjustRightInd w:val="0"/>
        <w:jc w:val="both"/>
        <w:rPr>
          <w:rFonts w:ascii="Abadi" w:hAnsi="Abadi" w:cs="*Arial-5287-Identity-H"/>
          <w:color w:val="14131B"/>
          <w:sz w:val="21"/>
          <w:szCs w:val="21"/>
        </w:rPr>
      </w:pPr>
    </w:p>
    <w:p w14:paraId="341E282E" w14:textId="77777777" w:rsidR="001E07D6" w:rsidRPr="009D2C14" w:rsidRDefault="001E07D6" w:rsidP="001E07D6">
      <w:pPr>
        <w:autoSpaceDE w:val="0"/>
        <w:autoSpaceDN w:val="0"/>
        <w:adjustRightInd w:val="0"/>
        <w:ind w:firstLine="708"/>
        <w:jc w:val="both"/>
        <w:rPr>
          <w:rFonts w:ascii="Abadi" w:hAnsi="Abadi" w:cs="*Arial-5287-Identity-H"/>
          <w:color w:val="13131A"/>
          <w:sz w:val="21"/>
          <w:szCs w:val="21"/>
        </w:rPr>
      </w:pPr>
      <w:r w:rsidRPr="009D2C14">
        <w:rPr>
          <w:rFonts w:ascii="Abadi" w:hAnsi="Abadi" w:cs="*Arial-5287-Identity-H"/>
          <w:color w:val="13131A"/>
          <w:sz w:val="21"/>
          <w:szCs w:val="21"/>
        </w:rPr>
        <w:t>A efecto de cumplir con las atribuciones conferidas a esta Comisión, y en</w:t>
      </w:r>
      <w:r>
        <w:rPr>
          <w:rFonts w:ascii="Abadi" w:hAnsi="Abadi" w:cs="*Arial-5287-Identity-H"/>
          <w:color w:val="13131A"/>
          <w:sz w:val="21"/>
          <w:szCs w:val="21"/>
        </w:rPr>
        <w:t xml:space="preserve"> </w:t>
      </w:r>
      <w:r w:rsidRPr="009D2C14">
        <w:rPr>
          <w:rFonts w:ascii="Abadi" w:hAnsi="Abadi" w:cs="*Arial-5287-Identity-H"/>
          <w:color w:val="13131A"/>
          <w:sz w:val="21"/>
          <w:szCs w:val="21"/>
        </w:rPr>
        <w:t>observancia a lo que establece la Ley de Fiscalización Superior del Estado de</w:t>
      </w:r>
      <w:r>
        <w:rPr>
          <w:rFonts w:ascii="Abadi" w:hAnsi="Abadi" w:cs="*Arial-5287-Identity-H"/>
          <w:color w:val="13131A"/>
          <w:sz w:val="21"/>
          <w:szCs w:val="21"/>
        </w:rPr>
        <w:t xml:space="preserve"> </w:t>
      </w:r>
      <w:r w:rsidRPr="009D2C14">
        <w:rPr>
          <w:rFonts w:ascii="Abadi" w:hAnsi="Abadi" w:cs="*Arial-5287-Identity-H"/>
          <w:color w:val="13131A"/>
          <w:sz w:val="21"/>
          <w:szCs w:val="21"/>
        </w:rPr>
        <w:t>Guanajuato, el presente dictamen se ocupará exclusivamente del aspecto que la</w:t>
      </w:r>
      <w:r>
        <w:rPr>
          <w:rFonts w:ascii="Abadi" w:hAnsi="Abadi" w:cs="*Arial-5287-Identity-H"/>
          <w:color w:val="13131A"/>
          <w:sz w:val="21"/>
          <w:szCs w:val="21"/>
        </w:rPr>
        <w:t xml:space="preserve"> </w:t>
      </w:r>
      <w:r w:rsidRPr="009D2C14">
        <w:rPr>
          <w:rFonts w:ascii="Abadi" w:hAnsi="Abadi" w:cs="*Arial-5287-Identity-H"/>
          <w:color w:val="13131A"/>
          <w:sz w:val="21"/>
          <w:szCs w:val="21"/>
        </w:rPr>
        <w:t>propia Ley señala y por el cual podría ser observado o no, el informe de</w:t>
      </w:r>
      <w:r>
        <w:rPr>
          <w:rFonts w:ascii="Abadi" w:hAnsi="Abadi" w:cs="*Arial-5287-Identity-H"/>
          <w:color w:val="13131A"/>
          <w:sz w:val="21"/>
          <w:szCs w:val="21"/>
        </w:rPr>
        <w:t xml:space="preserve"> </w:t>
      </w:r>
      <w:r w:rsidRPr="009D2C14">
        <w:rPr>
          <w:rFonts w:ascii="Abadi" w:hAnsi="Abadi" w:cs="*Arial-5287-Identity-H"/>
          <w:color w:val="13131A"/>
          <w:sz w:val="21"/>
          <w:szCs w:val="21"/>
        </w:rPr>
        <w:t>resultados.</w:t>
      </w:r>
    </w:p>
    <w:p w14:paraId="03F83A7E" w14:textId="77777777" w:rsidR="001E07D6" w:rsidRDefault="001E07D6" w:rsidP="001E07D6">
      <w:pPr>
        <w:autoSpaceDE w:val="0"/>
        <w:autoSpaceDN w:val="0"/>
        <w:adjustRightInd w:val="0"/>
        <w:jc w:val="both"/>
        <w:rPr>
          <w:rFonts w:ascii="Abadi" w:hAnsi="Abadi" w:cs="*Arial-Bold-5288-Identity-H"/>
          <w:b/>
          <w:bCs/>
          <w:color w:val="14131E"/>
          <w:sz w:val="21"/>
          <w:szCs w:val="21"/>
        </w:rPr>
      </w:pPr>
    </w:p>
    <w:p w14:paraId="64E895B7" w14:textId="77777777" w:rsidR="001E07D6" w:rsidRDefault="001E07D6" w:rsidP="001E07D6">
      <w:pPr>
        <w:autoSpaceDE w:val="0"/>
        <w:autoSpaceDN w:val="0"/>
        <w:adjustRightInd w:val="0"/>
        <w:ind w:firstLine="708"/>
        <w:jc w:val="both"/>
        <w:rPr>
          <w:rFonts w:ascii="Abadi" w:hAnsi="Abadi" w:cs="*Arial-Bold-5288-Identity-H"/>
          <w:b/>
          <w:bCs/>
          <w:color w:val="14131E"/>
          <w:sz w:val="21"/>
          <w:szCs w:val="21"/>
        </w:rPr>
      </w:pPr>
      <w:r>
        <w:rPr>
          <w:rFonts w:ascii="Abadi" w:hAnsi="Abadi" w:cs="*Arial-Bold-5288-Identity-H"/>
          <w:b/>
          <w:bCs/>
          <w:color w:val="14131E"/>
          <w:sz w:val="21"/>
          <w:szCs w:val="21"/>
        </w:rPr>
        <w:t>II</w:t>
      </w:r>
      <w:r w:rsidRPr="009D2C14">
        <w:rPr>
          <w:rFonts w:ascii="Abadi" w:hAnsi="Abadi" w:cs="*Arial-Bold-5288-Identity-H"/>
          <w:b/>
          <w:bCs/>
          <w:color w:val="14131E"/>
          <w:sz w:val="21"/>
          <w:szCs w:val="21"/>
        </w:rPr>
        <w:t>. Antecedentes:</w:t>
      </w:r>
    </w:p>
    <w:p w14:paraId="49C4722F" w14:textId="77777777" w:rsidR="001E07D6" w:rsidRPr="009D2C14" w:rsidRDefault="001E07D6" w:rsidP="001E07D6">
      <w:pPr>
        <w:autoSpaceDE w:val="0"/>
        <w:autoSpaceDN w:val="0"/>
        <w:adjustRightInd w:val="0"/>
        <w:jc w:val="both"/>
        <w:rPr>
          <w:rFonts w:ascii="Abadi" w:hAnsi="Abadi" w:cs="*Arial-Bold-5288-Identity-H"/>
          <w:b/>
          <w:bCs/>
          <w:color w:val="14131E"/>
          <w:sz w:val="21"/>
          <w:szCs w:val="21"/>
        </w:rPr>
      </w:pPr>
    </w:p>
    <w:p w14:paraId="105D53B6" w14:textId="77777777" w:rsidR="001E07D6" w:rsidRDefault="001E07D6" w:rsidP="001E07D6">
      <w:pPr>
        <w:autoSpaceDE w:val="0"/>
        <w:autoSpaceDN w:val="0"/>
        <w:adjustRightInd w:val="0"/>
        <w:ind w:firstLine="708"/>
        <w:jc w:val="both"/>
        <w:rPr>
          <w:rFonts w:ascii="Abadi" w:hAnsi="Abadi" w:cs="*Arial-5287-Identity-H"/>
          <w:color w:val="14131C"/>
          <w:sz w:val="21"/>
          <w:szCs w:val="21"/>
        </w:rPr>
      </w:pPr>
      <w:r w:rsidRPr="009D2C14">
        <w:rPr>
          <w:rFonts w:ascii="Abadi" w:hAnsi="Abadi" w:cs="*Arial-5287-Identity-H"/>
          <w:color w:val="14131C"/>
          <w:sz w:val="21"/>
          <w:szCs w:val="21"/>
        </w:rPr>
        <w:t>De conformidad con el artículo 66, fracción I de la Constitución Política para</w:t>
      </w:r>
      <w:r>
        <w:rPr>
          <w:rFonts w:ascii="Abadi" w:hAnsi="Abadi" w:cs="*Arial-5287-Identity-H"/>
          <w:color w:val="14131C"/>
          <w:sz w:val="21"/>
          <w:szCs w:val="21"/>
        </w:rPr>
        <w:t xml:space="preserve"> </w:t>
      </w:r>
      <w:r w:rsidRPr="009D2C14">
        <w:rPr>
          <w:rFonts w:ascii="Abadi" w:hAnsi="Abadi" w:cs="*Arial-5287-Identity-H"/>
          <w:color w:val="14131C"/>
          <w:sz w:val="21"/>
          <w:szCs w:val="21"/>
        </w:rPr>
        <w:t>el Estado de Guanajuato, es atribución de la Auditoría Superior del Estado realizar</w:t>
      </w:r>
      <w:r>
        <w:rPr>
          <w:rFonts w:ascii="Abadi" w:hAnsi="Abadi" w:cs="*Arial-5287-Identity-H"/>
          <w:color w:val="14131C"/>
          <w:sz w:val="21"/>
          <w:szCs w:val="21"/>
        </w:rPr>
        <w:t xml:space="preserve"> </w:t>
      </w:r>
      <w:r w:rsidRPr="009D2C14">
        <w:rPr>
          <w:rFonts w:ascii="Abadi" w:hAnsi="Abadi" w:cs="*Arial-5287-Identity-H"/>
          <w:color w:val="14131C"/>
          <w:sz w:val="21"/>
          <w:szCs w:val="21"/>
        </w:rPr>
        <w:t>auditorías de desempeño en el cumplimiento de objetivos y metas contenidos en</w:t>
      </w:r>
      <w:r>
        <w:rPr>
          <w:rFonts w:ascii="Abadi" w:hAnsi="Abadi" w:cs="*Arial-5287-Identity-H"/>
          <w:color w:val="14131C"/>
          <w:sz w:val="21"/>
          <w:szCs w:val="21"/>
        </w:rPr>
        <w:t xml:space="preserve"> </w:t>
      </w:r>
      <w:r w:rsidRPr="009D2C14">
        <w:rPr>
          <w:rFonts w:ascii="Abadi" w:hAnsi="Abadi" w:cs="*Arial-5287-Identity-H"/>
          <w:color w:val="14131C"/>
          <w:sz w:val="21"/>
          <w:szCs w:val="21"/>
        </w:rPr>
        <w:t>los programas, de las cuales sólo podrá emitir las recomendaciones para la mejora</w:t>
      </w:r>
      <w:r>
        <w:rPr>
          <w:rFonts w:ascii="Abadi" w:hAnsi="Abadi" w:cs="*Arial-5287-Identity-H"/>
          <w:color w:val="14131C"/>
          <w:sz w:val="21"/>
          <w:szCs w:val="21"/>
        </w:rPr>
        <w:t xml:space="preserve"> </w:t>
      </w:r>
      <w:r w:rsidRPr="009D2C14">
        <w:rPr>
          <w:rFonts w:ascii="Abadi" w:hAnsi="Abadi" w:cs="*Arial-5287-Identity-H"/>
          <w:color w:val="14131C"/>
          <w:sz w:val="21"/>
          <w:szCs w:val="21"/>
        </w:rPr>
        <w:t>en el desempeño, en los términos de la Ley.</w:t>
      </w:r>
    </w:p>
    <w:p w14:paraId="67613067" w14:textId="77777777" w:rsidR="001E07D6" w:rsidRPr="009D2C14" w:rsidRDefault="001E07D6" w:rsidP="001E07D6">
      <w:pPr>
        <w:autoSpaceDE w:val="0"/>
        <w:autoSpaceDN w:val="0"/>
        <w:adjustRightInd w:val="0"/>
        <w:jc w:val="both"/>
        <w:rPr>
          <w:rFonts w:ascii="Abadi" w:hAnsi="Abadi" w:cs="*Arial-5287-Identity-H"/>
          <w:color w:val="14131C"/>
          <w:sz w:val="21"/>
          <w:szCs w:val="21"/>
        </w:rPr>
      </w:pPr>
    </w:p>
    <w:p w14:paraId="168ABD9B" w14:textId="77777777" w:rsidR="001E07D6" w:rsidRPr="009D2C14" w:rsidRDefault="001E07D6" w:rsidP="001E07D6">
      <w:pPr>
        <w:autoSpaceDE w:val="0"/>
        <w:autoSpaceDN w:val="0"/>
        <w:adjustRightInd w:val="0"/>
        <w:ind w:firstLine="708"/>
        <w:jc w:val="both"/>
        <w:rPr>
          <w:rFonts w:ascii="Abadi" w:hAnsi="Abadi" w:cs="*Arial-5287-Identity-H"/>
          <w:color w:val="14131C"/>
          <w:sz w:val="21"/>
          <w:szCs w:val="21"/>
        </w:rPr>
      </w:pPr>
      <w:r w:rsidRPr="009D2C14">
        <w:rPr>
          <w:rFonts w:ascii="Abadi" w:hAnsi="Abadi" w:cs="*Arial-5287-Identity-H"/>
          <w:color w:val="14131C"/>
          <w:sz w:val="21"/>
          <w:szCs w:val="21"/>
        </w:rPr>
        <w:t>Por su parte, el artículo 3, fracción V de la Ley de Fiscalización Superior del</w:t>
      </w:r>
      <w:r>
        <w:rPr>
          <w:rFonts w:ascii="Abadi" w:hAnsi="Abadi" w:cs="*Arial-5287-Identity-H"/>
          <w:color w:val="14131C"/>
          <w:sz w:val="21"/>
          <w:szCs w:val="21"/>
        </w:rPr>
        <w:t xml:space="preserve"> </w:t>
      </w:r>
      <w:r w:rsidRPr="009D2C14">
        <w:rPr>
          <w:rFonts w:ascii="Abadi" w:hAnsi="Abadi" w:cs="*Arial-5287-Identity-H"/>
          <w:color w:val="14131C"/>
          <w:sz w:val="21"/>
          <w:szCs w:val="21"/>
        </w:rPr>
        <w:t>Estado de Guanajuato señala que la Auditoría Superior del Estado es competente</w:t>
      </w:r>
      <w:r>
        <w:rPr>
          <w:rFonts w:ascii="Abadi" w:hAnsi="Abadi" w:cs="*Arial-5287-Identity-H"/>
          <w:color w:val="14131C"/>
          <w:sz w:val="21"/>
          <w:szCs w:val="21"/>
        </w:rPr>
        <w:t xml:space="preserve"> </w:t>
      </w:r>
      <w:r w:rsidRPr="009D2C14">
        <w:rPr>
          <w:rFonts w:ascii="Abadi" w:hAnsi="Abadi" w:cs="*Arial-5287-Identity-H"/>
          <w:color w:val="14131C"/>
          <w:sz w:val="21"/>
          <w:szCs w:val="21"/>
        </w:rPr>
        <w:t>para practicar auditorías de desempeño para verificar el cumplimiento de los</w:t>
      </w:r>
      <w:r>
        <w:rPr>
          <w:rFonts w:ascii="Abadi" w:hAnsi="Abadi" w:cs="*Arial-5287-Identity-H"/>
          <w:color w:val="14131C"/>
          <w:sz w:val="21"/>
          <w:szCs w:val="21"/>
        </w:rPr>
        <w:t xml:space="preserve"> </w:t>
      </w:r>
      <w:r w:rsidRPr="009D2C14">
        <w:rPr>
          <w:rFonts w:ascii="Abadi" w:hAnsi="Abadi" w:cs="*Arial-5287-Identity-H"/>
          <w:color w:val="14131C"/>
          <w:sz w:val="21"/>
          <w:szCs w:val="21"/>
        </w:rPr>
        <w:t>objetivos y las metas de los programas estatales y municipales.</w:t>
      </w:r>
    </w:p>
    <w:p w14:paraId="6398A325" w14:textId="77777777" w:rsidR="001E07D6" w:rsidRDefault="001E07D6" w:rsidP="001E07D6">
      <w:pPr>
        <w:autoSpaceDE w:val="0"/>
        <w:autoSpaceDN w:val="0"/>
        <w:adjustRightInd w:val="0"/>
        <w:jc w:val="both"/>
        <w:rPr>
          <w:rFonts w:ascii="Abadi" w:hAnsi="Abadi" w:cs="*Arial-5158-Identity-H"/>
          <w:color w:val="14131C"/>
          <w:sz w:val="21"/>
          <w:szCs w:val="21"/>
        </w:rPr>
      </w:pPr>
    </w:p>
    <w:p w14:paraId="71B7B95A" w14:textId="77777777" w:rsidR="001E07D6" w:rsidRDefault="001E07D6" w:rsidP="001E07D6">
      <w:pPr>
        <w:autoSpaceDE w:val="0"/>
        <w:autoSpaceDN w:val="0"/>
        <w:adjustRightInd w:val="0"/>
        <w:ind w:firstLine="708"/>
        <w:jc w:val="both"/>
        <w:rPr>
          <w:rFonts w:ascii="Abadi" w:hAnsi="Abadi" w:cs="*Arial-5158-Identity-H"/>
          <w:color w:val="14131C"/>
          <w:sz w:val="21"/>
          <w:szCs w:val="21"/>
        </w:rPr>
      </w:pPr>
      <w:r w:rsidRPr="009D2C14">
        <w:rPr>
          <w:rFonts w:ascii="Abadi" w:hAnsi="Abadi" w:cs="*Arial-5158-Identity-H"/>
          <w:color w:val="14131C"/>
          <w:sz w:val="21"/>
          <w:szCs w:val="21"/>
        </w:rPr>
        <w:t>De igual forma, el artículo 56 de la Ley de Fiscalización Superior prevé que</w:t>
      </w:r>
      <w:r>
        <w:rPr>
          <w:rFonts w:ascii="Abadi" w:hAnsi="Abadi" w:cs="*Arial-5158-Identity-H"/>
          <w:color w:val="14131C"/>
          <w:sz w:val="21"/>
          <w:szCs w:val="21"/>
        </w:rPr>
        <w:t xml:space="preserve"> </w:t>
      </w:r>
      <w:r w:rsidRPr="009D2C14">
        <w:rPr>
          <w:rFonts w:ascii="Abadi" w:hAnsi="Abadi" w:cs="*Arial-5158-Identity-H"/>
          <w:color w:val="14131C"/>
          <w:sz w:val="21"/>
          <w:szCs w:val="21"/>
        </w:rPr>
        <w:t>las auditorías de desempeño comprenden la revisión del cumplimiento de las</w:t>
      </w:r>
      <w:r>
        <w:rPr>
          <w:rFonts w:ascii="Abadi" w:hAnsi="Abadi" w:cs="*Arial-5158-Identity-H"/>
          <w:color w:val="14131C"/>
          <w:sz w:val="21"/>
          <w:szCs w:val="21"/>
        </w:rPr>
        <w:t xml:space="preserve"> </w:t>
      </w:r>
      <w:r w:rsidRPr="009D2C14">
        <w:rPr>
          <w:rFonts w:ascii="Abadi" w:hAnsi="Abadi" w:cs="*Arial-5158-Identity-H"/>
          <w:color w:val="14131C"/>
          <w:sz w:val="21"/>
          <w:szCs w:val="21"/>
        </w:rPr>
        <w:t>metas y objetivos de los planes y programas, conforme a los principios de</w:t>
      </w:r>
      <w:r>
        <w:rPr>
          <w:rFonts w:ascii="Abadi" w:hAnsi="Abadi" w:cs="*Arial-5158-Identity-H"/>
          <w:color w:val="14131C"/>
          <w:sz w:val="21"/>
          <w:szCs w:val="21"/>
        </w:rPr>
        <w:t xml:space="preserve"> </w:t>
      </w:r>
      <w:r w:rsidRPr="009D2C14">
        <w:rPr>
          <w:rFonts w:ascii="Abadi" w:hAnsi="Abadi" w:cs="*Arial-5158-Identity-H"/>
          <w:color w:val="14131C"/>
          <w:sz w:val="21"/>
          <w:szCs w:val="21"/>
        </w:rPr>
        <w:t>eficiencia, eficacia y economía; así como la evaluación de las políticas públicas;</w:t>
      </w:r>
      <w:r>
        <w:rPr>
          <w:rFonts w:ascii="Abadi" w:hAnsi="Abadi" w:cs="*Arial-5158-Identity-H"/>
          <w:color w:val="14131C"/>
          <w:sz w:val="21"/>
          <w:szCs w:val="21"/>
        </w:rPr>
        <w:t xml:space="preserve"> </w:t>
      </w:r>
      <w:r w:rsidRPr="009D2C14">
        <w:rPr>
          <w:rFonts w:ascii="Abadi" w:hAnsi="Abadi" w:cs="*Arial-5158-Identity-H"/>
          <w:color w:val="14131C"/>
          <w:sz w:val="21"/>
          <w:szCs w:val="21"/>
        </w:rPr>
        <w:t>estableciendo además que la Auditoría Superior del Estado realizará las auditorías</w:t>
      </w:r>
      <w:r>
        <w:rPr>
          <w:rFonts w:ascii="Abadi" w:hAnsi="Abadi" w:cs="*Arial-5158-Identity-H"/>
          <w:color w:val="14131C"/>
          <w:sz w:val="21"/>
          <w:szCs w:val="21"/>
        </w:rPr>
        <w:t xml:space="preserve"> </w:t>
      </w:r>
      <w:r w:rsidRPr="009D2C14">
        <w:rPr>
          <w:rFonts w:ascii="Abadi" w:hAnsi="Abadi" w:cs="*Arial-5158-Identity-H"/>
          <w:color w:val="14131C"/>
          <w:sz w:val="21"/>
          <w:szCs w:val="21"/>
        </w:rPr>
        <w:t>de desempeño de manera anual y únicamente formulará recomendaciones que</w:t>
      </w:r>
      <w:r>
        <w:rPr>
          <w:rFonts w:ascii="Abadi" w:hAnsi="Abadi" w:cs="*Arial-5158-Identity-H"/>
          <w:color w:val="14131C"/>
          <w:sz w:val="21"/>
          <w:szCs w:val="21"/>
        </w:rPr>
        <w:t xml:space="preserve"> </w:t>
      </w:r>
      <w:r w:rsidRPr="009D2C14">
        <w:rPr>
          <w:rFonts w:ascii="Abadi" w:hAnsi="Abadi" w:cs="*Arial-5158-Identity-H"/>
          <w:color w:val="14131C"/>
          <w:sz w:val="21"/>
          <w:szCs w:val="21"/>
        </w:rPr>
        <w:t>incidan en mejorar sistemáticamente el diseño, operación e impacto de los</w:t>
      </w:r>
      <w:r>
        <w:rPr>
          <w:rFonts w:ascii="Abadi" w:hAnsi="Abadi" w:cs="*Arial-5158-Identity-H"/>
          <w:color w:val="14131C"/>
          <w:sz w:val="21"/>
          <w:szCs w:val="21"/>
        </w:rPr>
        <w:t xml:space="preserve"> </w:t>
      </w:r>
      <w:r w:rsidRPr="009D2C14">
        <w:rPr>
          <w:rFonts w:ascii="Abadi" w:hAnsi="Abadi" w:cs="*Arial-5158-Identity-H"/>
          <w:color w:val="14131C"/>
          <w:sz w:val="21"/>
          <w:szCs w:val="21"/>
        </w:rPr>
        <w:t>presupuestos programáticos y las políticas públicas en su caso.</w:t>
      </w:r>
      <w:r>
        <w:rPr>
          <w:rFonts w:ascii="Abadi" w:hAnsi="Abadi" w:cs="*Arial-5158-Identity-H"/>
          <w:color w:val="14131C"/>
          <w:sz w:val="21"/>
          <w:szCs w:val="21"/>
        </w:rPr>
        <w:t xml:space="preserve"> </w:t>
      </w:r>
    </w:p>
    <w:p w14:paraId="304E95A7" w14:textId="77777777" w:rsidR="001E07D6" w:rsidRDefault="001E07D6" w:rsidP="001E07D6">
      <w:pPr>
        <w:autoSpaceDE w:val="0"/>
        <w:autoSpaceDN w:val="0"/>
        <w:adjustRightInd w:val="0"/>
        <w:jc w:val="both"/>
        <w:rPr>
          <w:rFonts w:ascii="Abadi" w:hAnsi="Abadi" w:cs="*Arial-5158-Identity-H"/>
          <w:color w:val="14131C"/>
          <w:sz w:val="21"/>
          <w:szCs w:val="21"/>
        </w:rPr>
      </w:pPr>
    </w:p>
    <w:p w14:paraId="51CFE722" w14:textId="77777777" w:rsidR="001E07D6" w:rsidRDefault="001E07D6" w:rsidP="001E07D6">
      <w:pPr>
        <w:autoSpaceDE w:val="0"/>
        <w:autoSpaceDN w:val="0"/>
        <w:adjustRightInd w:val="0"/>
        <w:ind w:firstLine="708"/>
        <w:jc w:val="both"/>
        <w:rPr>
          <w:rFonts w:ascii="Abadi" w:hAnsi="Abadi" w:cs="*Arial-5158-Identity-H"/>
          <w:color w:val="14131B"/>
          <w:sz w:val="21"/>
          <w:szCs w:val="21"/>
        </w:rPr>
      </w:pPr>
      <w:r w:rsidRPr="009D2C14">
        <w:rPr>
          <w:rFonts w:ascii="Abadi" w:hAnsi="Abadi" w:cs="*Arial-5158-Identity-H"/>
          <w:color w:val="14131B"/>
          <w:sz w:val="21"/>
          <w:szCs w:val="21"/>
        </w:rPr>
        <w:t>Por su parte, los artículos 59 y 60 de la citada Ley refieren que los informes</w:t>
      </w:r>
      <w:r>
        <w:rPr>
          <w:rFonts w:ascii="Abadi" w:hAnsi="Abadi" w:cs="*Arial-5158-Identity-H"/>
          <w:color w:val="14131B"/>
          <w:sz w:val="21"/>
          <w:szCs w:val="21"/>
        </w:rPr>
        <w:t xml:space="preserve"> </w:t>
      </w:r>
      <w:r w:rsidRPr="009D2C14">
        <w:rPr>
          <w:rFonts w:ascii="Abadi" w:hAnsi="Abadi" w:cs="*Arial-5158-Identity-H"/>
          <w:color w:val="14131B"/>
          <w:sz w:val="21"/>
          <w:szCs w:val="21"/>
        </w:rPr>
        <w:t>de resultados de auditorías de desempeño contendrán los requisitos señalados en</w:t>
      </w:r>
      <w:r>
        <w:rPr>
          <w:rFonts w:ascii="Abadi" w:hAnsi="Abadi" w:cs="*Arial-5158-Identity-H"/>
          <w:color w:val="14131B"/>
          <w:sz w:val="21"/>
          <w:szCs w:val="21"/>
        </w:rPr>
        <w:t xml:space="preserve"> </w:t>
      </w:r>
      <w:r w:rsidRPr="009D2C14">
        <w:rPr>
          <w:rFonts w:ascii="Abadi" w:hAnsi="Abadi" w:cs="*Arial-5158-Identity-H"/>
          <w:color w:val="14131B"/>
          <w:sz w:val="21"/>
          <w:szCs w:val="21"/>
        </w:rPr>
        <w:t>el Reglamento de la Ley y que la Auditoría Superior del Estado, remitirá dichos</w:t>
      </w:r>
      <w:r>
        <w:rPr>
          <w:rFonts w:ascii="Abadi" w:hAnsi="Abadi" w:cs="*Arial-5158-Identity-H"/>
          <w:color w:val="14131B"/>
          <w:sz w:val="21"/>
          <w:szCs w:val="21"/>
        </w:rPr>
        <w:t xml:space="preserve"> </w:t>
      </w:r>
      <w:r w:rsidRPr="009D2C14">
        <w:rPr>
          <w:rFonts w:ascii="Abadi" w:hAnsi="Abadi" w:cs="*Arial-5158-Identity-H"/>
          <w:color w:val="14131B"/>
          <w:sz w:val="21"/>
          <w:szCs w:val="21"/>
        </w:rPr>
        <w:t>informes al Congreso a más tardar el 30 de septiembre del ejercicio fiscal de que</w:t>
      </w:r>
      <w:r>
        <w:rPr>
          <w:rFonts w:ascii="Abadi" w:hAnsi="Abadi" w:cs="*Arial-5158-Identity-H"/>
          <w:color w:val="14131B"/>
          <w:sz w:val="21"/>
          <w:szCs w:val="21"/>
        </w:rPr>
        <w:t xml:space="preserve"> </w:t>
      </w:r>
      <w:r w:rsidRPr="009D2C14">
        <w:rPr>
          <w:rFonts w:ascii="Abadi" w:hAnsi="Abadi" w:cs="*Arial-5158-Identity-H"/>
          <w:color w:val="14131B"/>
          <w:sz w:val="21"/>
          <w:szCs w:val="21"/>
        </w:rPr>
        <w:t>se trate.</w:t>
      </w:r>
    </w:p>
    <w:p w14:paraId="2FE2D76C" w14:textId="77777777" w:rsidR="001E07D6" w:rsidRPr="009D2C14" w:rsidRDefault="001E07D6" w:rsidP="001E07D6">
      <w:pPr>
        <w:autoSpaceDE w:val="0"/>
        <w:autoSpaceDN w:val="0"/>
        <w:adjustRightInd w:val="0"/>
        <w:jc w:val="both"/>
        <w:rPr>
          <w:rFonts w:ascii="Abadi" w:hAnsi="Abadi" w:cs="*Arial-5158-Identity-H"/>
          <w:color w:val="14131B"/>
          <w:sz w:val="21"/>
          <w:szCs w:val="21"/>
        </w:rPr>
      </w:pPr>
    </w:p>
    <w:p w14:paraId="2C6F1C6F" w14:textId="77777777" w:rsidR="001E07D6" w:rsidRDefault="001E07D6" w:rsidP="001E07D6">
      <w:pPr>
        <w:autoSpaceDE w:val="0"/>
        <w:autoSpaceDN w:val="0"/>
        <w:adjustRightInd w:val="0"/>
        <w:ind w:firstLine="708"/>
        <w:jc w:val="both"/>
        <w:rPr>
          <w:rFonts w:ascii="Abadi" w:hAnsi="Abadi" w:cs="*Arial-5158-Identity-H"/>
          <w:color w:val="14131B"/>
          <w:sz w:val="21"/>
          <w:szCs w:val="21"/>
        </w:rPr>
      </w:pPr>
      <w:r w:rsidRPr="009D2C14">
        <w:rPr>
          <w:rFonts w:ascii="Abadi" w:hAnsi="Abadi" w:cs="*Arial-5158-Identity-H"/>
          <w:color w:val="14131B"/>
          <w:sz w:val="21"/>
          <w:szCs w:val="21"/>
        </w:rPr>
        <w:t>De lo anterior podemos desprender que el Órgano Técnico realizará la</w:t>
      </w:r>
      <w:r>
        <w:rPr>
          <w:rFonts w:ascii="Abadi" w:hAnsi="Abadi" w:cs="*Arial-5158-Identity-H"/>
          <w:color w:val="14131B"/>
          <w:sz w:val="21"/>
          <w:szCs w:val="21"/>
        </w:rPr>
        <w:t xml:space="preserve"> </w:t>
      </w:r>
      <w:r w:rsidRPr="009D2C14">
        <w:rPr>
          <w:rFonts w:ascii="Abadi" w:hAnsi="Abadi" w:cs="*Arial-5158-Identity-H"/>
          <w:color w:val="14131B"/>
          <w:sz w:val="21"/>
          <w:szCs w:val="21"/>
        </w:rPr>
        <w:t>auditoría de desempeño de manera anual y únicamente formulará</w:t>
      </w:r>
      <w:r>
        <w:rPr>
          <w:rFonts w:ascii="Abadi" w:hAnsi="Abadi" w:cs="*Arial-5158-Identity-H"/>
          <w:color w:val="14131B"/>
          <w:sz w:val="21"/>
          <w:szCs w:val="21"/>
        </w:rPr>
        <w:t xml:space="preserve"> </w:t>
      </w:r>
      <w:r w:rsidRPr="009D2C14">
        <w:rPr>
          <w:rFonts w:ascii="Abadi" w:hAnsi="Abadi" w:cs="*Arial-5158-Identity-H"/>
          <w:color w:val="14131B"/>
          <w:sz w:val="21"/>
          <w:szCs w:val="21"/>
        </w:rPr>
        <w:t>recomendaciones que incidan en la mejora del diseño, operación e impacto de los</w:t>
      </w:r>
      <w:r>
        <w:rPr>
          <w:rFonts w:ascii="Abadi" w:hAnsi="Abadi" w:cs="*Arial-5158-Identity-H"/>
          <w:color w:val="14131B"/>
          <w:sz w:val="21"/>
          <w:szCs w:val="21"/>
        </w:rPr>
        <w:t xml:space="preserve"> </w:t>
      </w:r>
      <w:r w:rsidRPr="009D2C14">
        <w:rPr>
          <w:rFonts w:ascii="Abadi" w:hAnsi="Abadi" w:cs="*Arial-5158-Identity-H"/>
          <w:color w:val="14131B"/>
          <w:sz w:val="21"/>
          <w:szCs w:val="21"/>
        </w:rPr>
        <w:t>presupuestos programáticos y las políticas públicas en su caso.</w:t>
      </w:r>
    </w:p>
    <w:p w14:paraId="3DA28BC4" w14:textId="77777777" w:rsidR="001E07D6" w:rsidRPr="009D2C14" w:rsidRDefault="001E07D6" w:rsidP="001E07D6">
      <w:pPr>
        <w:autoSpaceDE w:val="0"/>
        <w:autoSpaceDN w:val="0"/>
        <w:adjustRightInd w:val="0"/>
        <w:jc w:val="both"/>
        <w:rPr>
          <w:rFonts w:ascii="Abadi" w:hAnsi="Abadi" w:cs="*Arial-5158-Identity-H"/>
          <w:color w:val="14131B"/>
          <w:sz w:val="21"/>
          <w:szCs w:val="21"/>
        </w:rPr>
      </w:pPr>
    </w:p>
    <w:p w14:paraId="1FD8B5F2" w14:textId="77777777" w:rsidR="001E07D6" w:rsidRDefault="001E07D6" w:rsidP="001E07D6">
      <w:pPr>
        <w:autoSpaceDE w:val="0"/>
        <w:autoSpaceDN w:val="0"/>
        <w:adjustRightInd w:val="0"/>
        <w:ind w:firstLine="708"/>
        <w:jc w:val="both"/>
        <w:rPr>
          <w:rFonts w:ascii="Abadi" w:hAnsi="Abadi" w:cs="*Arial-5158-Identity-H"/>
          <w:color w:val="14131A"/>
          <w:sz w:val="21"/>
          <w:szCs w:val="21"/>
        </w:rPr>
      </w:pPr>
      <w:r w:rsidRPr="009D2C14">
        <w:rPr>
          <w:rFonts w:ascii="Abadi" w:hAnsi="Abadi" w:cs="*Arial-5158-Identity-H"/>
          <w:color w:val="14131A"/>
          <w:sz w:val="21"/>
          <w:szCs w:val="21"/>
        </w:rPr>
        <w:t>Finalmente, el artículo 16 de la Ley de Fiscalización Superior del Estado de</w:t>
      </w:r>
      <w:r>
        <w:rPr>
          <w:rFonts w:ascii="Abadi" w:hAnsi="Abadi" w:cs="*Arial-5158-Identity-H"/>
          <w:color w:val="14131A"/>
          <w:sz w:val="21"/>
          <w:szCs w:val="21"/>
        </w:rPr>
        <w:t xml:space="preserve"> </w:t>
      </w:r>
      <w:r w:rsidRPr="009D2C14">
        <w:rPr>
          <w:rFonts w:ascii="Abadi" w:hAnsi="Abadi" w:cs="*Arial-5158-Identity-H"/>
          <w:color w:val="14131A"/>
          <w:sz w:val="21"/>
          <w:szCs w:val="21"/>
        </w:rPr>
        <w:t>Guanajuato, consigna que la Auditoría Superior establecerá un Programa General</w:t>
      </w:r>
      <w:r>
        <w:rPr>
          <w:rFonts w:ascii="Abadi" w:hAnsi="Abadi" w:cs="*Arial-5158-Identity-H"/>
          <w:color w:val="14131A"/>
          <w:sz w:val="21"/>
          <w:szCs w:val="21"/>
        </w:rPr>
        <w:t xml:space="preserve"> </w:t>
      </w:r>
      <w:r w:rsidRPr="009D2C14">
        <w:rPr>
          <w:rFonts w:ascii="Abadi" w:hAnsi="Abadi" w:cs="*Arial-5158-Identity-H"/>
          <w:color w:val="14131A"/>
          <w:sz w:val="21"/>
          <w:szCs w:val="21"/>
        </w:rPr>
        <w:t>de Fiscalización, señalando los actos y sujetos de fiscalización, los que serán</w:t>
      </w:r>
      <w:r>
        <w:rPr>
          <w:rFonts w:ascii="Abadi" w:hAnsi="Abadi" w:cs="*Arial-5158-Identity-H"/>
          <w:color w:val="14131A"/>
          <w:sz w:val="21"/>
          <w:szCs w:val="21"/>
        </w:rPr>
        <w:t xml:space="preserve"> </w:t>
      </w:r>
      <w:r w:rsidRPr="009D2C14">
        <w:rPr>
          <w:rFonts w:ascii="Abadi" w:hAnsi="Abadi" w:cs="*Arial-5158-Identity-H"/>
          <w:color w:val="14131A"/>
          <w:sz w:val="21"/>
          <w:szCs w:val="21"/>
        </w:rPr>
        <w:t>objeto de auditoría o revisión conforme a los criterios y normas que se establezcan</w:t>
      </w:r>
      <w:r>
        <w:rPr>
          <w:rFonts w:ascii="Abadi" w:hAnsi="Abadi" w:cs="*Arial-5158-Identity-H"/>
          <w:color w:val="14131A"/>
          <w:sz w:val="21"/>
          <w:szCs w:val="21"/>
        </w:rPr>
        <w:t xml:space="preserve"> </w:t>
      </w:r>
      <w:r w:rsidRPr="009D2C14">
        <w:rPr>
          <w:rFonts w:ascii="Abadi" w:hAnsi="Abadi" w:cs="*Arial-5158-Identity-H"/>
          <w:color w:val="14131A"/>
          <w:sz w:val="21"/>
          <w:szCs w:val="21"/>
        </w:rPr>
        <w:t>en el Reglamento de la Ley.</w:t>
      </w:r>
    </w:p>
    <w:p w14:paraId="57C8D34A" w14:textId="77777777" w:rsidR="001E07D6" w:rsidRPr="009D2C14" w:rsidRDefault="001E07D6" w:rsidP="001E07D6">
      <w:pPr>
        <w:autoSpaceDE w:val="0"/>
        <w:autoSpaceDN w:val="0"/>
        <w:adjustRightInd w:val="0"/>
        <w:jc w:val="both"/>
        <w:rPr>
          <w:rFonts w:ascii="Abadi" w:hAnsi="Abadi" w:cs="*Arial-5158-Identity-H"/>
          <w:color w:val="14131A"/>
          <w:sz w:val="21"/>
          <w:szCs w:val="21"/>
        </w:rPr>
      </w:pPr>
    </w:p>
    <w:p w14:paraId="4E5E9792" w14:textId="77777777" w:rsidR="001E07D6" w:rsidRDefault="001E07D6" w:rsidP="001E07D6">
      <w:pPr>
        <w:autoSpaceDE w:val="0"/>
        <w:autoSpaceDN w:val="0"/>
        <w:adjustRightInd w:val="0"/>
        <w:ind w:firstLine="708"/>
        <w:jc w:val="both"/>
        <w:rPr>
          <w:rFonts w:ascii="Abadi" w:hAnsi="Abadi" w:cs="*Arial-5158-Identity-H"/>
          <w:color w:val="14131B"/>
          <w:sz w:val="21"/>
          <w:szCs w:val="21"/>
        </w:rPr>
      </w:pPr>
      <w:r w:rsidRPr="009D2C14">
        <w:rPr>
          <w:rFonts w:ascii="Abadi" w:hAnsi="Abadi" w:cs="*Arial-5158-Identity-H"/>
          <w:color w:val="14131B"/>
          <w:sz w:val="21"/>
          <w:szCs w:val="21"/>
        </w:rPr>
        <w:t>En ejercicio de esta función, el Auditor Superior del Estado aprobó el</w:t>
      </w:r>
      <w:r>
        <w:rPr>
          <w:rFonts w:ascii="Abadi" w:hAnsi="Abadi" w:cs="*Arial-5158-Identity-H"/>
          <w:color w:val="14131B"/>
          <w:sz w:val="21"/>
          <w:szCs w:val="21"/>
        </w:rPr>
        <w:t xml:space="preserve"> programa</w:t>
      </w:r>
      <w:r w:rsidRPr="009D2C14">
        <w:rPr>
          <w:rFonts w:ascii="Abadi" w:hAnsi="Abadi" w:cs="*Arial-5158-Identity-H"/>
          <w:color w:val="14131B"/>
          <w:sz w:val="21"/>
          <w:szCs w:val="21"/>
        </w:rPr>
        <w:t xml:space="preserve"> General de Fiscalización 2021. En dicho Programa se contempló la</w:t>
      </w:r>
      <w:r>
        <w:rPr>
          <w:rFonts w:ascii="Abadi" w:hAnsi="Abadi" w:cs="*Arial-5158-Identity-H"/>
          <w:color w:val="14131B"/>
          <w:sz w:val="21"/>
          <w:szCs w:val="21"/>
        </w:rPr>
        <w:t xml:space="preserve"> </w:t>
      </w:r>
      <w:r w:rsidRPr="009D2C14">
        <w:rPr>
          <w:rFonts w:ascii="Abadi" w:hAnsi="Abadi" w:cs="*Arial-5158-Identity-H"/>
          <w:color w:val="14131B"/>
          <w:sz w:val="21"/>
          <w:szCs w:val="21"/>
        </w:rPr>
        <w:t>práctica de una auditoría de desempeño a la administración municipal de</w:t>
      </w:r>
      <w:r>
        <w:rPr>
          <w:rFonts w:ascii="Abadi" w:hAnsi="Abadi" w:cs="*Arial-5158-Identity-H"/>
          <w:color w:val="14131B"/>
          <w:sz w:val="21"/>
          <w:szCs w:val="21"/>
        </w:rPr>
        <w:t xml:space="preserve"> </w:t>
      </w:r>
      <w:r w:rsidRPr="009D2C14">
        <w:rPr>
          <w:rFonts w:ascii="Abadi" w:hAnsi="Abadi" w:cs="*Arial-5158-Identity-H"/>
          <w:color w:val="14131B"/>
          <w:sz w:val="21"/>
          <w:szCs w:val="21"/>
        </w:rPr>
        <w:t>Huanímaro, Gto., por el periodo comprendido del 1 de enero al 31 de diciembre</w:t>
      </w:r>
      <w:r>
        <w:rPr>
          <w:rFonts w:ascii="Abadi" w:hAnsi="Abadi" w:cs="*Arial-5158-Identity-H"/>
          <w:color w:val="14131B"/>
          <w:sz w:val="21"/>
          <w:szCs w:val="21"/>
        </w:rPr>
        <w:t xml:space="preserve"> </w:t>
      </w:r>
      <w:r w:rsidRPr="009D2C14">
        <w:rPr>
          <w:rFonts w:ascii="Abadi" w:hAnsi="Abadi" w:cs="*Arial-5158-Identity-H"/>
          <w:color w:val="14131B"/>
          <w:sz w:val="21"/>
          <w:szCs w:val="21"/>
        </w:rPr>
        <w:t>del ejercicio fiscal del año 2020, la cual se realizó con enfoque a resultados del</w:t>
      </w:r>
      <w:r>
        <w:rPr>
          <w:rFonts w:ascii="Abadi" w:hAnsi="Abadi" w:cs="*Arial-5158-Identity-H"/>
          <w:color w:val="14131B"/>
          <w:sz w:val="21"/>
          <w:szCs w:val="21"/>
        </w:rPr>
        <w:t xml:space="preserve"> </w:t>
      </w:r>
      <w:r w:rsidRPr="009D2C14">
        <w:rPr>
          <w:rFonts w:ascii="Abadi" w:hAnsi="Abadi" w:cs="*Arial-5158-Identity-H"/>
          <w:color w:val="14131B"/>
          <w:sz w:val="21"/>
          <w:szCs w:val="21"/>
        </w:rPr>
        <w:t>servicio de alumbrado público.</w:t>
      </w:r>
    </w:p>
    <w:p w14:paraId="1DE9A624" w14:textId="77777777" w:rsidR="001E07D6" w:rsidRPr="009D2C14" w:rsidRDefault="001E07D6" w:rsidP="001E07D6">
      <w:pPr>
        <w:autoSpaceDE w:val="0"/>
        <w:autoSpaceDN w:val="0"/>
        <w:adjustRightInd w:val="0"/>
        <w:jc w:val="both"/>
        <w:rPr>
          <w:rFonts w:ascii="Abadi" w:hAnsi="Abadi" w:cs="*Arial-5158-Identity-H"/>
          <w:color w:val="14131B"/>
          <w:sz w:val="21"/>
          <w:szCs w:val="21"/>
        </w:rPr>
      </w:pPr>
    </w:p>
    <w:p w14:paraId="27976E59" w14:textId="77777777" w:rsidR="001E07D6" w:rsidRPr="009D2C14" w:rsidRDefault="001E07D6" w:rsidP="001E07D6">
      <w:pPr>
        <w:autoSpaceDE w:val="0"/>
        <w:autoSpaceDN w:val="0"/>
        <w:adjustRightInd w:val="0"/>
        <w:ind w:firstLine="708"/>
        <w:jc w:val="both"/>
        <w:rPr>
          <w:rFonts w:ascii="Abadi" w:hAnsi="Abadi" w:cs="*Arial-5158-Identity-H"/>
          <w:color w:val="14141B"/>
          <w:sz w:val="21"/>
          <w:szCs w:val="21"/>
        </w:rPr>
      </w:pPr>
      <w:r w:rsidRPr="009D2C14">
        <w:rPr>
          <w:rFonts w:ascii="Abadi" w:hAnsi="Abadi" w:cs="*Arial-5158-Identity-H"/>
          <w:color w:val="14141B"/>
          <w:sz w:val="21"/>
          <w:szCs w:val="21"/>
        </w:rPr>
        <w:t>El 3 de septiembre de 2021 se notificó al sujeto fiscalizado el inicio de la</w:t>
      </w:r>
      <w:r>
        <w:rPr>
          <w:rFonts w:ascii="Abadi" w:hAnsi="Abadi" w:cs="*Arial-5158-Identity-H"/>
          <w:color w:val="14141B"/>
          <w:sz w:val="21"/>
          <w:szCs w:val="21"/>
        </w:rPr>
        <w:t xml:space="preserve"> </w:t>
      </w:r>
      <w:r w:rsidRPr="009D2C14">
        <w:rPr>
          <w:rFonts w:ascii="Abadi" w:hAnsi="Abadi" w:cs="*Arial-5158-Identity-H"/>
          <w:color w:val="14141B"/>
          <w:sz w:val="21"/>
          <w:szCs w:val="21"/>
        </w:rPr>
        <w:t>auditoría materia de-I presente dictamen.</w:t>
      </w:r>
    </w:p>
    <w:p w14:paraId="777119CE" w14:textId="77777777" w:rsidR="001E07D6" w:rsidRDefault="001E07D6" w:rsidP="001E07D6">
      <w:pPr>
        <w:autoSpaceDE w:val="0"/>
        <w:autoSpaceDN w:val="0"/>
        <w:adjustRightInd w:val="0"/>
        <w:jc w:val="both"/>
        <w:rPr>
          <w:rFonts w:ascii="Abadi" w:hAnsi="Abadi" w:cs="*Arial-5302-Identity-H"/>
          <w:color w:val="14131B"/>
          <w:sz w:val="21"/>
          <w:szCs w:val="21"/>
        </w:rPr>
      </w:pPr>
    </w:p>
    <w:p w14:paraId="48F7ECFF" w14:textId="77777777" w:rsidR="001E07D6" w:rsidRDefault="001E07D6" w:rsidP="001E07D6">
      <w:pPr>
        <w:autoSpaceDE w:val="0"/>
        <w:autoSpaceDN w:val="0"/>
        <w:adjustRightInd w:val="0"/>
        <w:ind w:firstLine="708"/>
        <w:jc w:val="both"/>
        <w:rPr>
          <w:rFonts w:ascii="Abadi" w:hAnsi="Abadi" w:cs="*Arial-5302-Identity-H"/>
          <w:color w:val="14131B"/>
          <w:sz w:val="21"/>
          <w:szCs w:val="21"/>
        </w:rPr>
      </w:pPr>
      <w:r w:rsidRPr="009D2C14">
        <w:rPr>
          <w:rFonts w:ascii="Abadi" w:hAnsi="Abadi" w:cs="*Arial-5302-Identity-H"/>
          <w:color w:val="14131B"/>
          <w:sz w:val="21"/>
          <w:szCs w:val="21"/>
        </w:rPr>
        <w:t>Mediante oficio notificado el 24 de septiembre de 2021, la Auditoría</w:t>
      </w:r>
      <w:r>
        <w:rPr>
          <w:rFonts w:ascii="Abadi" w:hAnsi="Abadi" w:cs="*Arial-5302-Identity-H"/>
          <w:color w:val="14131B"/>
          <w:sz w:val="21"/>
          <w:szCs w:val="21"/>
        </w:rPr>
        <w:t xml:space="preserve"> </w:t>
      </w:r>
      <w:r w:rsidRPr="009D2C14">
        <w:rPr>
          <w:rFonts w:ascii="Abadi" w:hAnsi="Abadi" w:cs="*Arial-5302-Identity-H"/>
          <w:color w:val="14131B"/>
          <w:sz w:val="21"/>
          <w:szCs w:val="21"/>
        </w:rPr>
        <w:t>Superior del Estado requirió al sujeto de fiscalización diversa información que se</w:t>
      </w:r>
      <w:r>
        <w:rPr>
          <w:rFonts w:ascii="Abadi" w:hAnsi="Abadi" w:cs="*Arial-5302-Identity-H"/>
          <w:color w:val="14131B"/>
          <w:sz w:val="21"/>
          <w:szCs w:val="21"/>
        </w:rPr>
        <w:t xml:space="preserve"> </w:t>
      </w:r>
      <w:r w:rsidRPr="009D2C14">
        <w:rPr>
          <w:rFonts w:ascii="Abadi" w:hAnsi="Abadi" w:cs="*Arial-5302-Identity-H"/>
          <w:color w:val="14131B"/>
          <w:sz w:val="21"/>
          <w:szCs w:val="21"/>
        </w:rPr>
        <w:t>consideró necesaria para llevar a cabo la auditoría, al cual se dio respuesta el 1 de</w:t>
      </w:r>
      <w:r>
        <w:rPr>
          <w:rFonts w:ascii="Abadi" w:hAnsi="Abadi" w:cs="*Arial-5302-Identity-H"/>
          <w:color w:val="14131B"/>
          <w:sz w:val="21"/>
          <w:szCs w:val="21"/>
        </w:rPr>
        <w:t xml:space="preserve"> </w:t>
      </w:r>
      <w:r w:rsidRPr="009D2C14">
        <w:rPr>
          <w:rFonts w:ascii="Abadi" w:hAnsi="Abadi" w:cs="*Arial-5302-Identity-H"/>
          <w:color w:val="14131B"/>
          <w:sz w:val="21"/>
          <w:szCs w:val="21"/>
        </w:rPr>
        <w:t>octubre de 2021. Asimismo, el 5 de enero de 2022, el Órgano Técnico realizó</w:t>
      </w:r>
      <w:r>
        <w:rPr>
          <w:rFonts w:ascii="Abadi" w:hAnsi="Abadi" w:cs="*Arial-5302-Identity-H"/>
          <w:color w:val="14131B"/>
          <w:sz w:val="21"/>
          <w:szCs w:val="21"/>
        </w:rPr>
        <w:t xml:space="preserve"> </w:t>
      </w:r>
      <w:r w:rsidRPr="009D2C14">
        <w:rPr>
          <w:rFonts w:ascii="Abadi" w:hAnsi="Abadi" w:cs="*Arial-5302-Identity-H"/>
          <w:color w:val="14131B"/>
          <w:sz w:val="21"/>
          <w:szCs w:val="21"/>
        </w:rPr>
        <w:t>entrevistas.</w:t>
      </w:r>
    </w:p>
    <w:p w14:paraId="6A4BC189" w14:textId="77777777" w:rsidR="001E07D6" w:rsidRPr="009D2C14" w:rsidRDefault="001E07D6" w:rsidP="001E07D6">
      <w:pPr>
        <w:autoSpaceDE w:val="0"/>
        <w:autoSpaceDN w:val="0"/>
        <w:adjustRightInd w:val="0"/>
        <w:jc w:val="both"/>
        <w:rPr>
          <w:rFonts w:ascii="Abadi" w:hAnsi="Abadi" w:cs="*Arial-5302-Identity-H"/>
          <w:color w:val="14131B"/>
          <w:sz w:val="21"/>
          <w:szCs w:val="21"/>
        </w:rPr>
      </w:pPr>
    </w:p>
    <w:p w14:paraId="774C88DF" w14:textId="77777777" w:rsidR="001E07D6" w:rsidRDefault="001E07D6" w:rsidP="001E07D6">
      <w:pPr>
        <w:autoSpaceDE w:val="0"/>
        <w:autoSpaceDN w:val="0"/>
        <w:adjustRightInd w:val="0"/>
        <w:ind w:firstLine="708"/>
        <w:jc w:val="both"/>
        <w:rPr>
          <w:rFonts w:ascii="Abadi" w:hAnsi="Abadi" w:cs="*Arial-5302-Identity-H"/>
          <w:color w:val="14131B"/>
          <w:sz w:val="21"/>
          <w:szCs w:val="21"/>
        </w:rPr>
      </w:pPr>
      <w:r w:rsidRPr="009D2C14">
        <w:rPr>
          <w:rFonts w:ascii="Abadi" w:hAnsi="Abadi" w:cs="*Arial-5302-Identity-H"/>
          <w:color w:val="14131B"/>
          <w:sz w:val="21"/>
          <w:szCs w:val="21"/>
        </w:rPr>
        <w:t>En fechas 24 de septiembre y 17 de diciembre de 2021 se notificó al sujeto</w:t>
      </w:r>
      <w:r>
        <w:rPr>
          <w:rFonts w:ascii="Abadi" w:hAnsi="Abadi" w:cs="*Arial-5302-Identity-H"/>
          <w:color w:val="14131B"/>
          <w:sz w:val="21"/>
          <w:szCs w:val="21"/>
        </w:rPr>
        <w:t xml:space="preserve"> </w:t>
      </w:r>
      <w:r w:rsidRPr="009D2C14">
        <w:rPr>
          <w:rFonts w:ascii="Abadi" w:hAnsi="Abadi" w:cs="*Arial-5302-Identity-H"/>
          <w:color w:val="14131B"/>
          <w:sz w:val="21"/>
          <w:szCs w:val="21"/>
        </w:rPr>
        <w:t>fiscalizado la suspensión del plazo de la auditoría materia del presente dictamen,</w:t>
      </w:r>
      <w:r>
        <w:rPr>
          <w:rFonts w:ascii="Abadi" w:hAnsi="Abadi" w:cs="*Arial-5302-Identity-H"/>
          <w:color w:val="14131B"/>
          <w:sz w:val="21"/>
          <w:szCs w:val="21"/>
        </w:rPr>
        <w:t xml:space="preserve"> </w:t>
      </w:r>
      <w:r w:rsidRPr="009D2C14">
        <w:rPr>
          <w:rFonts w:ascii="Abadi" w:hAnsi="Abadi" w:cs="*Arial-5302-Identity-H"/>
          <w:color w:val="14131B"/>
          <w:sz w:val="21"/>
          <w:szCs w:val="21"/>
        </w:rPr>
        <w:t>por los periodos comprendidos del 1 de octubre al 17 de diciembre de 2021; y del</w:t>
      </w:r>
      <w:r>
        <w:rPr>
          <w:rFonts w:ascii="Abadi" w:hAnsi="Abadi" w:cs="*Arial-5302-Identity-H"/>
          <w:color w:val="14131B"/>
          <w:sz w:val="21"/>
          <w:szCs w:val="21"/>
        </w:rPr>
        <w:t xml:space="preserve"> </w:t>
      </w:r>
      <w:r w:rsidRPr="009D2C14">
        <w:rPr>
          <w:rFonts w:ascii="Abadi" w:hAnsi="Abadi" w:cs="*Arial-5302-Identity-H"/>
          <w:color w:val="14131B"/>
          <w:sz w:val="21"/>
          <w:szCs w:val="21"/>
        </w:rPr>
        <w:t>3 de enero al 11 de marzo de 2022.</w:t>
      </w:r>
    </w:p>
    <w:p w14:paraId="4E2BC6A0" w14:textId="77777777" w:rsidR="001E07D6" w:rsidRPr="009D2C14" w:rsidRDefault="001E07D6" w:rsidP="001E07D6">
      <w:pPr>
        <w:autoSpaceDE w:val="0"/>
        <w:autoSpaceDN w:val="0"/>
        <w:adjustRightInd w:val="0"/>
        <w:jc w:val="both"/>
        <w:rPr>
          <w:rFonts w:ascii="Abadi" w:hAnsi="Abadi" w:cs="*Arial-5302-Identity-H"/>
          <w:color w:val="14131B"/>
          <w:sz w:val="21"/>
          <w:szCs w:val="21"/>
        </w:rPr>
      </w:pPr>
    </w:p>
    <w:p w14:paraId="006FCC75" w14:textId="77777777" w:rsidR="001E07D6" w:rsidRPr="009D2C14" w:rsidRDefault="001E07D6" w:rsidP="001E07D6">
      <w:pPr>
        <w:autoSpaceDE w:val="0"/>
        <w:autoSpaceDN w:val="0"/>
        <w:adjustRightInd w:val="0"/>
        <w:ind w:firstLine="708"/>
        <w:jc w:val="both"/>
        <w:rPr>
          <w:rFonts w:ascii="Abadi" w:hAnsi="Abadi" w:cs="*Arial-5302-Identity-H"/>
          <w:color w:val="14131B"/>
          <w:sz w:val="21"/>
          <w:szCs w:val="21"/>
        </w:rPr>
      </w:pPr>
      <w:r w:rsidRPr="009D2C14">
        <w:rPr>
          <w:rFonts w:ascii="Abadi" w:hAnsi="Abadi" w:cs="*Arial-5302-Identity-H"/>
          <w:color w:val="14131B"/>
          <w:sz w:val="21"/>
          <w:szCs w:val="21"/>
        </w:rPr>
        <w:t>Como parte del proceso de auditoría, el 25 de enero de 2022 se notificó al</w:t>
      </w:r>
      <w:r>
        <w:rPr>
          <w:rFonts w:ascii="Abadi" w:hAnsi="Abadi" w:cs="*Arial-5302-Identity-H"/>
          <w:color w:val="14131B"/>
          <w:sz w:val="21"/>
          <w:szCs w:val="21"/>
        </w:rPr>
        <w:t xml:space="preserve"> </w:t>
      </w:r>
      <w:r w:rsidRPr="009D2C14">
        <w:rPr>
          <w:rFonts w:ascii="Abadi" w:hAnsi="Abadi" w:cs="*Arial-5302-Identity-H"/>
          <w:color w:val="14131B"/>
          <w:sz w:val="21"/>
          <w:szCs w:val="21"/>
        </w:rPr>
        <w:t>sujeto fiscalizado el pliego de recomendaciones derivadas de la auditoría</w:t>
      </w:r>
      <w:r>
        <w:rPr>
          <w:rFonts w:ascii="Abadi" w:hAnsi="Abadi" w:cs="*Arial-5302-Identity-H"/>
          <w:color w:val="14131B"/>
          <w:sz w:val="21"/>
          <w:szCs w:val="21"/>
        </w:rPr>
        <w:t xml:space="preserve"> </w:t>
      </w:r>
      <w:r w:rsidRPr="009D2C14">
        <w:rPr>
          <w:rFonts w:ascii="Abadi" w:hAnsi="Abadi" w:cs="*Arial-5302-Identity-H"/>
          <w:color w:val="14131B"/>
          <w:sz w:val="21"/>
          <w:szCs w:val="21"/>
        </w:rPr>
        <w:t>practicada. Lo anterior, para dar cumplimiento a lo preceptuado por el artículo 58</w:t>
      </w:r>
      <w:r>
        <w:rPr>
          <w:rFonts w:ascii="Abadi" w:hAnsi="Abadi" w:cs="*Arial-5302-Identity-H"/>
          <w:color w:val="14131B"/>
          <w:sz w:val="21"/>
          <w:szCs w:val="21"/>
        </w:rPr>
        <w:t xml:space="preserve"> </w:t>
      </w:r>
      <w:r w:rsidRPr="009D2C14">
        <w:rPr>
          <w:rFonts w:ascii="Abadi" w:hAnsi="Abadi" w:cs="*Arial-5302-Identity-H"/>
          <w:color w:val="14131B"/>
          <w:sz w:val="21"/>
          <w:szCs w:val="21"/>
        </w:rPr>
        <w:t>de la Ley de Fiscalización Superior del Estado de Guanajuato.</w:t>
      </w:r>
    </w:p>
    <w:p w14:paraId="5C03604C" w14:textId="77777777" w:rsidR="001E07D6" w:rsidRDefault="001E07D6" w:rsidP="001E07D6">
      <w:pPr>
        <w:autoSpaceDE w:val="0"/>
        <w:autoSpaceDN w:val="0"/>
        <w:adjustRightInd w:val="0"/>
        <w:jc w:val="both"/>
        <w:rPr>
          <w:rFonts w:ascii="Abadi" w:hAnsi="Abadi" w:cs="*Arial-5302-Identity-H"/>
          <w:color w:val="13131A"/>
          <w:sz w:val="21"/>
          <w:szCs w:val="21"/>
        </w:rPr>
      </w:pPr>
      <w:r w:rsidRPr="009D2C14">
        <w:rPr>
          <w:rFonts w:ascii="Abadi" w:hAnsi="Abadi" w:cs="*Arial-5302-Identity-H"/>
          <w:color w:val="13131A"/>
          <w:sz w:val="21"/>
          <w:szCs w:val="21"/>
        </w:rPr>
        <w:t>El 9 de febrero de 2022, el sujeto fiscalizado dio respuesta a las</w:t>
      </w:r>
      <w:r>
        <w:rPr>
          <w:rFonts w:ascii="Abadi" w:hAnsi="Abadi" w:cs="*Arial-5302-Identity-H"/>
          <w:color w:val="13131A"/>
          <w:sz w:val="21"/>
          <w:szCs w:val="21"/>
        </w:rPr>
        <w:t xml:space="preserve"> </w:t>
      </w:r>
      <w:r w:rsidRPr="009D2C14">
        <w:rPr>
          <w:rFonts w:ascii="Abadi" w:hAnsi="Abadi" w:cs="*Arial-5302-Identity-H"/>
          <w:color w:val="13131A"/>
          <w:sz w:val="21"/>
          <w:szCs w:val="21"/>
        </w:rPr>
        <w:t>recomendaciones derivadas de la auditoría practicada, anexándose la información</w:t>
      </w:r>
      <w:r>
        <w:rPr>
          <w:rFonts w:ascii="Abadi" w:hAnsi="Abadi" w:cs="*Arial-5302-Identity-H"/>
          <w:color w:val="13131A"/>
          <w:sz w:val="21"/>
          <w:szCs w:val="21"/>
        </w:rPr>
        <w:t xml:space="preserve"> </w:t>
      </w:r>
      <w:r w:rsidRPr="009D2C14">
        <w:rPr>
          <w:rFonts w:ascii="Abadi" w:hAnsi="Abadi" w:cs="*Arial-5302-Identity-H"/>
          <w:color w:val="13131A"/>
          <w:sz w:val="21"/>
          <w:szCs w:val="21"/>
        </w:rPr>
        <w:t>y documentación que el mismo consideró suficiente para precisar las mejoras</w:t>
      </w:r>
      <w:r>
        <w:rPr>
          <w:rFonts w:ascii="Abadi" w:hAnsi="Abadi" w:cs="*Arial-5302-Identity-H"/>
          <w:color w:val="13131A"/>
          <w:sz w:val="21"/>
          <w:szCs w:val="21"/>
        </w:rPr>
        <w:t xml:space="preserve"> </w:t>
      </w:r>
      <w:r w:rsidRPr="009D2C14">
        <w:rPr>
          <w:rFonts w:ascii="Abadi" w:hAnsi="Abadi" w:cs="*Arial-5302-Identity-H"/>
          <w:color w:val="13131A"/>
          <w:sz w:val="21"/>
          <w:szCs w:val="21"/>
        </w:rPr>
        <w:t>efectuadas, las acciones a realizar o en su caso, justificar la improcedencia por la</w:t>
      </w:r>
      <w:r>
        <w:rPr>
          <w:rFonts w:ascii="Abadi" w:hAnsi="Abadi" w:cs="*Arial-5302-Identity-H"/>
          <w:color w:val="13131A"/>
          <w:sz w:val="21"/>
          <w:szCs w:val="21"/>
        </w:rPr>
        <w:t xml:space="preserve"> </w:t>
      </w:r>
      <w:r w:rsidRPr="009D2C14">
        <w:rPr>
          <w:rFonts w:ascii="Abadi" w:hAnsi="Abadi" w:cs="*Arial-5302-Identity-H"/>
          <w:color w:val="13131A"/>
          <w:sz w:val="21"/>
          <w:szCs w:val="21"/>
        </w:rPr>
        <w:t>cual no resulte factible su implementación. Una vez valorada la documentación</w:t>
      </w:r>
      <w:r>
        <w:rPr>
          <w:rFonts w:ascii="Abadi" w:hAnsi="Abadi" w:cs="*Arial-5302-Identity-H"/>
          <w:color w:val="13131A"/>
          <w:sz w:val="21"/>
          <w:szCs w:val="21"/>
        </w:rPr>
        <w:t xml:space="preserve"> </w:t>
      </w:r>
      <w:r w:rsidRPr="009D2C14">
        <w:rPr>
          <w:rFonts w:ascii="Abadi" w:hAnsi="Abadi" w:cs="*Arial-5302-Identity-H"/>
          <w:color w:val="13131A"/>
          <w:sz w:val="21"/>
          <w:szCs w:val="21"/>
        </w:rPr>
        <w:t>aportada se procedió a la elaboración del informe de resultados materia del</w:t>
      </w:r>
      <w:r>
        <w:rPr>
          <w:rFonts w:ascii="Abadi" w:hAnsi="Abadi" w:cs="*Arial-5302-Identity-H"/>
          <w:color w:val="13131A"/>
          <w:sz w:val="21"/>
          <w:szCs w:val="21"/>
        </w:rPr>
        <w:t xml:space="preserve"> </w:t>
      </w:r>
      <w:r w:rsidRPr="009D2C14">
        <w:rPr>
          <w:rFonts w:ascii="Abadi" w:hAnsi="Abadi" w:cs="*Arial-5302-Identity-H"/>
          <w:color w:val="13131A"/>
          <w:sz w:val="21"/>
          <w:szCs w:val="21"/>
        </w:rPr>
        <w:t>presente dictamen.</w:t>
      </w:r>
    </w:p>
    <w:p w14:paraId="08921B81" w14:textId="77777777" w:rsidR="001E07D6" w:rsidRPr="009D2C14" w:rsidRDefault="001E07D6" w:rsidP="001E07D6">
      <w:pPr>
        <w:autoSpaceDE w:val="0"/>
        <w:autoSpaceDN w:val="0"/>
        <w:adjustRightInd w:val="0"/>
        <w:jc w:val="both"/>
        <w:rPr>
          <w:rFonts w:ascii="Abadi" w:hAnsi="Abadi" w:cs="*Arial-5302-Identity-H"/>
          <w:color w:val="13131A"/>
          <w:sz w:val="21"/>
          <w:szCs w:val="21"/>
        </w:rPr>
      </w:pPr>
    </w:p>
    <w:p w14:paraId="6835E546" w14:textId="77777777" w:rsidR="001E07D6" w:rsidRDefault="001E07D6" w:rsidP="001E07D6">
      <w:pPr>
        <w:autoSpaceDE w:val="0"/>
        <w:autoSpaceDN w:val="0"/>
        <w:adjustRightInd w:val="0"/>
        <w:ind w:firstLine="708"/>
        <w:jc w:val="both"/>
        <w:rPr>
          <w:rFonts w:ascii="Abadi" w:hAnsi="Abadi" w:cs="*Arial-5302-Identity-H"/>
          <w:color w:val="14131B"/>
          <w:sz w:val="21"/>
          <w:szCs w:val="21"/>
        </w:rPr>
      </w:pPr>
      <w:r w:rsidRPr="009D2C14">
        <w:rPr>
          <w:rFonts w:ascii="Abadi" w:hAnsi="Abadi" w:cs="*Arial-5302-Identity-H"/>
          <w:color w:val="14131B"/>
          <w:sz w:val="21"/>
          <w:szCs w:val="21"/>
        </w:rPr>
        <w:t>El informe de resultados se notificó a la presidenta municipal de</w:t>
      </w:r>
      <w:r>
        <w:rPr>
          <w:rFonts w:ascii="Abadi" w:hAnsi="Abadi" w:cs="*Arial-5302-Identity-H"/>
          <w:color w:val="14131B"/>
          <w:sz w:val="21"/>
          <w:szCs w:val="21"/>
        </w:rPr>
        <w:t xml:space="preserve"> </w:t>
      </w:r>
      <w:r w:rsidRPr="009D2C14">
        <w:rPr>
          <w:rFonts w:ascii="Abadi" w:hAnsi="Abadi" w:cs="*Arial-5302-Identity-H"/>
          <w:color w:val="14131B"/>
          <w:sz w:val="21"/>
          <w:szCs w:val="21"/>
        </w:rPr>
        <w:t>Huanímaro,</w:t>
      </w:r>
      <w:r>
        <w:rPr>
          <w:rFonts w:ascii="Abadi" w:hAnsi="Abadi" w:cs="*Arial-5302-Identity-H"/>
          <w:color w:val="14131B"/>
          <w:sz w:val="21"/>
          <w:szCs w:val="21"/>
        </w:rPr>
        <w:t xml:space="preserve"> </w:t>
      </w:r>
      <w:r w:rsidRPr="009D2C14">
        <w:rPr>
          <w:rFonts w:ascii="Abadi" w:hAnsi="Abadi" w:cs="*Arial-5302-Identity-H"/>
          <w:color w:val="14131B"/>
          <w:sz w:val="21"/>
          <w:szCs w:val="21"/>
        </w:rPr>
        <w:t>Gto., el 22 de febrero de 2022.</w:t>
      </w:r>
    </w:p>
    <w:p w14:paraId="76A99E38" w14:textId="77777777" w:rsidR="001E07D6" w:rsidRPr="009D2C14" w:rsidRDefault="001E07D6" w:rsidP="001E07D6">
      <w:pPr>
        <w:autoSpaceDE w:val="0"/>
        <w:autoSpaceDN w:val="0"/>
        <w:adjustRightInd w:val="0"/>
        <w:jc w:val="both"/>
        <w:rPr>
          <w:rFonts w:ascii="Abadi" w:hAnsi="Abadi" w:cs="*Arial-5302-Identity-H"/>
          <w:color w:val="14131B"/>
          <w:sz w:val="21"/>
          <w:szCs w:val="21"/>
        </w:rPr>
      </w:pPr>
    </w:p>
    <w:p w14:paraId="6427CAD8" w14:textId="77777777" w:rsidR="001E07D6" w:rsidRDefault="001E07D6" w:rsidP="001E07D6">
      <w:pPr>
        <w:autoSpaceDE w:val="0"/>
        <w:autoSpaceDN w:val="0"/>
        <w:adjustRightInd w:val="0"/>
        <w:ind w:firstLine="708"/>
        <w:jc w:val="both"/>
        <w:rPr>
          <w:rFonts w:ascii="Abadi" w:hAnsi="Abadi" w:cs="*Arial-5302-Identity-H"/>
          <w:color w:val="14131B"/>
          <w:sz w:val="21"/>
          <w:szCs w:val="21"/>
        </w:rPr>
      </w:pPr>
      <w:r w:rsidRPr="009D2C14">
        <w:rPr>
          <w:rFonts w:ascii="Abadi" w:hAnsi="Abadi" w:cs="*Arial-5302-Identity-H"/>
          <w:color w:val="14131B"/>
          <w:sz w:val="21"/>
          <w:szCs w:val="21"/>
        </w:rPr>
        <w:t>Es importante señalar que de acuerdo a lo previsto en los artículos 60 de la</w:t>
      </w:r>
      <w:r>
        <w:rPr>
          <w:rFonts w:ascii="Abadi" w:hAnsi="Abadi" w:cs="*Arial-5302-Identity-H"/>
          <w:color w:val="14131B"/>
          <w:sz w:val="21"/>
          <w:szCs w:val="21"/>
        </w:rPr>
        <w:t xml:space="preserve"> </w:t>
      </w:r>
      <w:r w:rsidRPr="009D2C14">
        <w:rPr>
          <w:rFonts w:ascii="Abadi" w:hAnsi="Abadi" w:cs="*Arial-5302-Identity-H"/>
          <w:color w:val="14131B"/>
          <w:sz w:val="21"/>
          <w:szCs w:val="21"/>
        </w:rPr>
        <w:t>Ley de Fiscalización Superior del Estado de Guanajuato; y 60 del Reglamento de</w:t>
      </w:r>
      <w:r>
        <w:rPr>
          <w:rFonts w:ascii="Abadi" w:hAnsi="Abadi" w:cs="*Arial-5302-Identity-H"/>
          <w:color w:val="14131B"/>
          <w:sz w:val="21"/>
          <w:szCs w:val="21"/>
        </w:rPr>
        <w:t xml:space="preserve"> </w:t>
      </w:r>
      <w:r w:rsidRPr="009D2C14">
        <w:rPr>
          <w:rFonts w:ascii="Abadi" w:hAnsi="Abadi" w:cs="*Arial-5302-Identity-H"/>
          <w:color w:val="14131B"/>
          <w:sz w:val="21"/>
          <w:szCs w:val="21"/>
        </w:rPr>
        <w:t>la Ley de Fiscalización Superior del Estado de Guanajuato, tratándose de las</w:t>
      </w:r>
      <w:r>
        <w:rPr>
          <w:rFonts w:ascii="Abadi" w:hAnsi="Abadi" w:cs="*Arial-5302-Identity-H"/>
          <w:color w:val="14131B"/>
          <w:sz w:val="21"/>
          <w:szCs w:val="21"/>
        </w:rPr>
        <w:t xml:space="preserve"> </w:t>
      </w:r>
      <w:r w:rsidRPr="009D2C14">
        <w:rPr>
          <w:rFonts w:ascii="Abadi" w:hAnsi="Abadi" w:cs="*Arial-5302-Identity-H"/>
          <w:color w:val="14131B"/>
          <w:sz w:val="21"/>
          <w:szCs w:val="21"/>
        </w:rPr>
        <w:t>auditorías de desempeño es improcedente el recurso de reconsideración en contra</w:t>
      </w:r>
      <w:r>
        <w:rPr>
          <w:rFonts w:ascii="Abadi" w:hAnsi="Abadi" w:cs="*Arial-5302-Identity-H"/>
          <w:color w:val="14131B"/>
          <w:sz w:val="21"/>
          <w:szCs w:val="21"/>
        </w:rPr>
        <w:t xml:space="preserve"> </w:t>
      </w:r>
      <w:r w:rsidRPr="009D2C14">
        <w:rPr>
          <w:rFonts w:ascii="Abadi" w:hAnsi="Abadi" w:cs="*Arial-5302-Identity-H"/>
          <w:color w:val="14131B"/>
          <w:sz w:val="21"/>
          <w:szCs w:val="21"/>
        </w:rPr>
        <w:t>del informe de resultados, por lo que una vez notificado el mismo al sujeto de</w:t>
      </w:r>
      <w:r>
        <w:rPr>
          <w:rFonts w:ascii="Abadi" w:hAnsi="Abadi" w:cs="*Arial-5302-Identity-H"/>
          <w:color w:val="14131B"/>
          <w:sz w:val="21"/>
          <w:szCs w:val="21"/>
        </w:rPr>
        <w:t xml:space="preserve"> </w:t>
      </w:r>
      <w:r w:rsidRPr="009D2C14">
        <w:rPr>
          <w:rFonts w:ascii="Abadi" w:hAnsi="Abadi" w:cs="*Arial-5302-Identity-H"/>
          <w:color w:val="14131B"/>
          <w:sz w:val="21"/>
          <w:szCs w:val="21"/>
        </w:rPr>
        <w:t>fiscalización, se remite al Congreso para los efectos procedentes.</w:t>
      </w:r>
    </w:p>
    <w:p w14:paraId="659DAE16" w14:textId="77777777" w:rsidR="001E07D6" w:rsidRPr="009D2C14" w:rsidRDefault="001E07D6" w:rsidP="001E07D6">
      <w:pPr>
        <w:autoSpaceDE w:val="0"/>
        <w:autoSpaceDN w:val="0"/>
        <w:adjustRightInd w:val="0"/>
        <w:jc w:val="both"/>
        <w:rPr>
          <w:rFonts w:ascii="Abadi" w:hAnsi="Abadi" w:cs="*Arial-5302-Identity-H"/>
          <w:color w:val="14131B"/>
          <w:sz w:val="21"/>
          <w:szCs w:val="21"/>
        </w:rPr>
      </w:pPr>
    </w:p>
    <w:p w14:paraId="6D2C783A" w14:textId="77777777" w:rsidR="001E07D6" w:rsidRPr="009D2C14" w:rsidRDefault="001E07D6" w:rsidP="001E07D6">
      <w:pPr>
        <w:autoSpaceDE w:val="0"/>
        <w:autoSpaceDN w:val="0"/>
        <w:adjustRightInd w:val="0"/>
        <w:ind w:firstLine="708"/>
        <w:jc w:val="both"/>
        <w:rPr>
          <w:rFonts w:ascii="Abadi" w:hAnsi="Abadi" w:cs="*Arial-5302-Identity-H"/>
          <w:color w:val="14141B"/>
          <w:sz w:val="21"/>
          <w:szCs w:val="21"/>
        </w:rPr>
      </w:pPr>
      <w:r w:rsidRPr="009D2C14">
        <w:rPr>
          <w:rFonts w:ascii="Abadi" w:hAnsi="Abadi" w:cs="*Arial-5302-Identity-H"/>
          <w:color w:val="14141B"/>
          <w:sz w:val="21"/>
          <w:szCs w:val="21"/>
        </w:rPr>
        <w:t>En razón de lo anterior, el Auditor Superior del Estado remitió a este</w:t>
      </w:r>
      <w:r>
        <w:rPr>
          <w:rFonts w:ascii="Abadi" w:hAnsi="Abadi" w:cs="*Arial-5302-Identity-H"/>
          <w:color w:val="14141B"/>
          <w:sz w:val="21"/>
          <w:szCs w:val="21"/>
        </w:rPr>
        <w:t xml:space="preserve"> </w:t>
      </w:r>
      <w:r w:rsidRPr="009D2C14">
        <w:rPr>
          <w:rFonts w:ascii="Abadi" w:hAnsi="Abadi" w:cs="*Arial-5302-Identity-H"/>
          <w:color w:val="14141B"/>
          <w:sz w:val="21"/>
          <w:szCs w:val="21"/>
        </w:rPr>
        <w:t>Congreso del Estado, el informe de resultados, el cual se turnó a la Comisión de</w:t>
      </w:r>
      <w:r>
        <w:rPr>
          <w:rFonts w:ascii="Abadi" w:hAnsi="Abadi" w:cs="*Arial-5302-Identity-H"/>
          <w:color w:val="14141B"/>
          <w:sz w:val="21"/>
          <w:szCs w:val="21"/>
        </w:rPr>
        <w:t xml:space="preserve"> </w:t>
      </w:r>
      <w:r w:rsidRPr="009D2C14">
        <w:rPr>
          <w:rFonts w:ascii="Abadi" w:hAnsi="Abadi" w:cs="*Arial-5302-Identity-H"/>
          <w:color w:val="14141B"/>
          <w:sz w:val="21"/>
          <w:szCs w:val="21"/>
        </w:rPr>
        <w:t>Hacienda y Fiscalización el 1 O de marzo de 2022 para su estudio y dictamen,</w:t>
      </w:r>
      <w:r>
        <w:rPr>
          <w:rFonts w:ascii="Abadi" w:hAnsi="Abadi" w:cs="*Arial-5302-Identity-H"/>
          <w:color w:val="14141B"/>
          <w:sz w:val="21"/>
          <w:szCs w:val="21"/>
        </w:rPr>
        <w:t xml:space="preserve"> </w:t>
      </w:r>
      <w:r w:rsidRPr="009D2C14">
        <w:rPr>
          <w:rFonts w:ascii="Abadi" w:hAnsi="Abadi" w:cs="*Arial-5302-Identity-H"/>
          <w:color w:val="14141B"/>
          <w:sz w:val="21"/>
          <w:szCs w:val="21"/>
        </w:rPr>
        <w:t>siendo radicado el 15 de marzo del año en curso.</w:t>
      </w:r>
    </w:p>
    <w:p w14:paraId="5E0D3B09" w14:textId="77777777" w:rsidR="001E07D6" w:rsidRDefault="001E07D6" w:rsidP="001E07D6">
      <w:pPr>
        <w:autoSpaceDE w:val="0"/>
        <w:autoSpaceDN w:val="0"/>
        <w:adjustRightInd w:val="0"/>
        <w:jc w:val="both"/>
        <w:rPr>
          <w:rFonts w:ascii="Abadi" w:hAnsi="Abadi" w:cs="*Arial-Bold-6237-Identity-H"/>
          <w:b/>
          <w:bCs/>
          <w:color w:val="141320"/>
          <w:sz w:val="21"/>
          <w:szCs w:val="21"/>
        </w:rPr>
      </w:pPr>
    </w:p>
    <w:p w14:paraId="3C9EACC0" w14:textId="77777777" w:rsidR="001E07D6" w:rsidRPr="009D2C14" w:rsidRDefault="001E07D6" w:rsidP="001E07D6">
      <w:pPr>
        <w:autoSpaceDE w:val="0"/>
        <w:autoSpaceDN w:val="0"/>
        <w:adjustRightInd w:val="0"/>
        <w:ind w:firstLine="708"/>
        <w:jc w:val="both"/>
        <w:rPr>
          <w:rFonts w:ascii="Abadi" w:hAnsi="Abadi" w:cs="*Arial-Bold-6237-Identity-H"/>
          <w:b/>
          <w:bCs/>
          <w:color w:val="141320"/>
          <w:sz w:val="21"/>
          <w:szCs w:val="21"/>
        </w:rPr>
      </w:pPr>
      <w:r w:rsidRPr="009D2C14">
        <w:rPr>
          <w:rFonts w:ascii="Abadi" w:hAnsi="Abadi" w:cs="*Arial-Bold-6237-Identity-H"/>
          <w:b/>
          <w:bCs/>
          <w:color w:val="141320"/>
          <w:sz w:val="21"/>
          <w:szCs w:val="21"/>
        </w:rPr>
        <w:t>IV. Contenido del Informe de Resultados:</w:t>
      </w:r>
    </w:p>
    <w:p w14:paraId="2E560B7B" w14:textId="77777777" w:rsidR="001E07D6" w:rsidRPr="009D2C14" w:rsidRDefault="001E07D6" w:rsidP="001E07D6">
      <w:pPr>
        <w:autoSpaceDE w:val="0"/>
        <w:autoSpaceDN w:val="0"/>
        <w:adjustRightInd w:val="0"/>
        <w:jc w:val="both"/>
        <w:rPr>
          <w:rFonts w:ascii="Abadi" w:hAnsi="Abadi" w:cs="*Arial-6238-Identity-H"/>
          <w:color w:val="1A1A1A"/>
          <w:sz w:val="21"/>
          <w:szCs w:val="21"/>
        </w:rPr>
      </w:pPr>
    </w:p>
    <w:p w14:paraId="36033D55" w14:textId="77777777" w:rsidR="001E07D6" w:rsidRDefault="001E07D6" w:rsidP="001E07D6">
      <w:pPr>
        <w:autoSpaceDE w:val="0"/>
        <w:autoSpaceDN w:val="0"/>
        <w:adjustRightInd w:val="0"/>
        <w:ind w:firstLine="708"/>
        <w:jc w:val="both"/>
        <w:rPr>
          <w:rFonts w:ascii="Abadi" w:hAnsi="Abadi" w:cs="*Arial-6236-Identity-H"/>
          <w:color w:val="14131B"/>
          <w:sz w:val="21"/>
          <w:szCs w:val="21"/>
        </w:rPr>
      </w:pPr>
      <w:r w:rsidRPr="009D2C14">
        <w:rPr>
          <w:rFonts w:ascii="Abadi" w:hAnsi="Abadi" w:cs="*Arial-6236-Identity-H"/>
          <w:color w:val="14131B"/>
          <w:sz w:val="21"/>
          <w:szCs w:val="21"/>
        </w:rPr>
        <w:t>Con fundamento en los artículos 59 de la Ley de Fiscalización Superior del</w:t>
      </w:r>
      <w:r>
        <w:rPr>
          <w:rFonts w:ascii="Abadi" w:hAnsi="Abadi" w:cs="*Arial-6236-Identity-H"/>
          <w:color w:val="14131B"/>
          <w:sz w:val="21"/>
          <w:szCs w:val="21"/>
        </w:rPr>
        <w:t xml:space="preserve"> </w:t>
      </w:r>
      <w:r w:rsidRPr="009D2C14">
        <w:rPr>
          <w:rFonts w:ascii="Abadi" w:hAnsi="Abadi" w:cs="*Arial-6236-Identity-H"/>
          <w:color w:val="14131B"/>
          <w:sz w:val="21"/>
          <w:szCs w:val="21"/>
        </w:rPr>
        <w:t>Estado de Guanajuato y 26 del Reglamento de dicha Ley, el informe de resultados</w:t>
      </w:r>
      <w:r>
        <w:rPr>
          <w:rFonts w:ascii="Abadi" w:hAnsi="Abadi" w:cs="*Arial-6236-Identity-H"/>
          <w:color w:val="14131B"/>
          <w:sz w:val="21"/>
          <w:szCs w:val="21"/>
        </w:rPr>
        <w:t xml:space="preserve"> </w:t>
      </w:r>
      <w:r w:rsidRPr="009D2C14">
        <w:rPr>
          <w:rFonts w:ascii="Abadi" w:hAnsi="Abadi" w:cs="*Arial-6236-Identity-H"/>
          <w:color w:val="14131B"/>
          <w:sz w:val="21"/>
          <w:szCs w:val="21"/>
        </w:rPr>
        <w:t>contiene los siguientes apartados: Introducción; Resultado del Proceso de</w:t>
      </w:r>
      <w:r>
        <w:rPr>
          <w:rFonts w:ascii="Abadi" w:hAnsi="Abadi" w:cs="*Arial-6236-Identity-H"/>
          <w:color w:val="14131B"/>
          <w:sz w:val="21"/>
          <w:szCs w:val="21"/>
        </w:rPr>
        <w:t xml:space="preserve"> </w:t>
      </w:r>
      <w:r w:rsidRPr="009D2C14">
        <w:rPr>
          <w:rFonts w:ascii="Abadi" w:hAnsi="Abadi" w:cs="*Arial-6236-Identity-H"/>
          <w:color w:val="14131B"/>
          <w:sz w:val="21"/>
          <w:szCs w:val="21"/>
        </w:rPr>
        <w:t>Fiscalización; Resumen de las Recomendaciones; y Conclusión General.</w:t>
      </w:r>
      <w:r>
        <w:rPr>
          <w:rFonts w:ascii="Abadi" w:hAnsi="Abadi" w:cs="*Arial-6236-Identity-H"/>
          <w:color w:val="14131B"/>
          <w:sz w:val="21"/>
          <w:szCs w:val="21"/>
        </w:rPr>
        <w:t xml:space="preserve"> </w:t>
      </w:r>
    </w:p>
    <w:p w14:paraId="3554C2F1" w14:textId="77777777" w:rsidR="001E07D6" w:rsidRDefault="001E07D6" w:rsidP="001E07D6">
      <w:pPr>
        <w:autoSpaceDE w:val="0"/>
        <w:autoSpaceDN w:val="0"/>
        <w:adjustRightInd w:val="0"/>
        <w:jc w:val="both"/>
        <w:rPr>
          <w:rFonts w:ascii="Abadi" w:hAnsi="Abadi" w:cs="*Arial-Bold-6237-Identity-H"/>
          <w:b/>
          <w:bCs/>
          <w:color w:val="14121F"/>
          <w:sz w:val="21"/>
          <w:szCs w:val="21"/>
        </w:rPr>
      </w:pPr>
    </w:p>
    <w:p w14:paraId="0FC761F5" w14:textId="77777777" w:rsidR="001E07D6" w:rsidRDefault="001E07D6" w:rsidP="001E07D6">
      <w:pPr>
        <w:autoSpaceDE w:val="0"/>
        <w:autoSpaceDN w:val="0"/>
        <w:adjustRightInd w:val="0"/>
        <w:ind w:firstLine="708"/>
        <w:jc w:val="both"/>
        <w:rPr>
          <w:rFonts w:ascii="Abadi" w:hAnsi="Abadi" w:cs="*Arial-Bold-6237-Identity-H"/>
          <w:b/>
          <w:bCs/>
          <w:color w:val="14121F"/>
          <w:sz w:val="21"/>
          <w:szCs w:val="21"/>
        </w:rPr>
      </w:pPr>
      <w:r w:rsidRPr="009D2C14">
        <w:rPr>
          <w:rFonts w:ascii="Abadi" w:hAnsi="Abadi" w:cs="*Arial-Bold-6237-Identity-H"/>
          <w:b/>
          <w:bCs/>
          <w:color w:val="14121F"/>
          <w:sz w:val="21"/>
          <w:szCs w:val="21"/>
        </w:rPr>
        <w:t>a</w:t>
      </w:r>
      <w:r>
        <w:rPr>
          <w:rFonts w:ascii="Abadi" w:hAnsi="Abadi" w:cs="*Arial-Bold-6237-Identity-H"/>
          <w:b/>
          <w:bCs/>
          <w:color w:val="14121F"/>
          <w:sz w:val="21"/>
          <w:szCs w:val="21"/>
        </w:rPr>
        <w:t>)</w:t>
      </w:r>
      <w:r w:rsidRPr="009D2C14">
        <w:rPr>
          <w:rFonts w:ascii="Abadi" w:hAnsi="Abadi" w:cs="*Arial-Bold-6237-Identity-H"/>
          <w:b/>
          <w:bCs/>
          <w:color w:val="14121F"/>
          <w:sz w:val="21"/>
          <w:szCs w:val="21"/>
        </w:rPr>
        <w:t xml:space="preserve"> Introducción.</w:t>
      </w:r>
    </w:p>
    <w:p w14:paraId="6F05B5A3" w14:textId="77777777" w:rsidR="001E07D6" w:rsidRPr="009D2C14" w:rsidRDefault="001E07D6" w:rsidP="001E07D6">
      <w:pPr>
        <w:autoSpaceDE w:val="0"/>
        <w:autoSpaceDN w:val="0"/>
        <w:adjustRightInd w:val="0"/>
        <w:jc w:val="both"/>
        <w:rPr>
          <w:rFonts w:ascii="Abadi" w:hAnsi="Abadi" w:cs="*Arial-Bold-6237-Identity-H"/>
          <w:b/>
          <w:bCs/>
          <w:color w:val="14121F"/>
          <w:sz w:val="21"/>
          <w:szCs w:val="21"/>
        </w:rPr>
      </w:pPr>
    </w:p>
    <w:p w14:paraId="491632EA" w14:textId="77777777" w:rsidR="001E07D6" w:rsidRDefault="001E07D6" w:rsidP="001E07D6">
      <w:pPr>
        <w:autoSpaceDE w:val="0"/>
        <w:autoSpaceDN w:val="0"/>
        <w:adjustRightInd w:val="0"/>
        <w:ind w:firstLine="708"/>
        <w:jc w:val="both"/>
        <w:rPr>
          <w:rFonts w:ascii="Abadi" w:hAnsi="Abadi" w:cs="*Arial-6236-Identity-H"/>
          <w:color w:val="14131C"/>
          <w:sz w:val="21"/>
          <w:szCs w:val="21"/>
        </w:rPr>
      </w:pPr>
      <w:r w:rsidRPr="009D2C14">
        <w:rPr>
          <w:rFonts w:ascii="Abadi" w:hAnsi="Abadi" w:cs="*Arial-6236-Identity-H"/>
          <w:color w:val="14131C"/>
          <w:sz w:val="21"/>
          <w:szCs w:val="21"/>
        </w:rPr>
        <w:t>Por lo que se refiere a esta parte, se señala que las auditorías de</w:t>
      </w:r>
      <w:r>
        <w:rPr>
          <w:rFonts w:ascii="Abadi" w:hAnsi="Abadi" w:cs="*Arial-6236-Identity-H"/>
          <w:color w:val="14131C"/>
          <w:sz w:val="21"/>
          <w:szCs w:val="21"/>
        </w:rPr>
        <w:t xml:space="preserve"> </w:t>
      </w:r>
      <w:r w:rsidRPr="009D2C14">
        <w:rPr>
          <w:rFonts w:ascii="Abadi" w:hAnsi="Abadi" w:cs="*Arial-6236-Identity-H"/>
          <w:color w:val="14131C"/>
          <w:sz w:val="21"/>
          <w:szCs w:val="21"/>
        </w:rPr>
        <w:t>desempeño son actos de fiscalización, esa es su esencia.</w:t>
      </w:r>
    </w:p>
    <w:p w14:paraId="73AC08DB" w14:textId="77777777" w:rsidR="001E07D6" w:rsidRPr="009D2C14" w:rsidRDefault="001E07D6" w:rsidP="001E07D6">
      <w:pPr>
        <w:autoSpaceDE w:val="0"/>
        <w:autoSpaceDN w:val="0"/>
        <w:adjustRightInd w:val="0"/>
        <w:jc w:val="both"/>
        <w:rPr>
          <w:rFonts w:ascii="Abadi" w:hAnsi="Abadi" w:cs="*Arial-6236-Identity-H"/>
          <w:color w:val="14131C"/>
          <w:sz w:val="21"/>
          <w:szCs w:val="21"/>
        </w:rPr>
      </w:pPr>
    </w:p>
    <w:p w14:paraId="29DCAF33" w14:textId="77777777" w:rsidR="001E07D6" w:rsidRDefault="001E07D6" w:rsidP="001E07D6">
      <w:pPr>
        <w:autoSpaceDE w:val="0"/>
        <w:autoSpaceDN w:val="0"/>
        <w:adjustRightInd w:val="0"/>
        <w:ind w:firstLine="708"/>
        <w:jc w:val="both"/>
        <w:rPr>
          <w:rFonts w:ascii="Abadi" w:hAnsi="Abadi" w:cs="*Arial-6236-Identity-H"/>
          <w:color w:val="14131B"/>
          <w:sz w:val="21"/>
          <w:szCs w:val="21"/>
        </w:rPr>
      </w:pPr>
      <w:r w:rsidRPr="009D2C14">
        <w:rPr>
          <w:rFonts w:ascii="Abadi" w:hAnsi="Abadi" w:cs="*Arial-6236-Identity-H"/>
          <w:color w:val="14131B"/>
          <w:sz w:val="21"/>
          <w:szCs w:val="21"/>
        </w:rPr>
        <w:t>Es así, que la naturaleza técnico-jurídica de las auditorías de desempeño</w:t>
      </w:r>
      <w:r>
        <w:rPr>
          <w:rFonts w:ascii="Abadi" w:hAnsi="Abadi" w:cs="*Arial-6236-Identity-H"/>
          <w:color w:val="14131B"/>
          <w:sz w:val="21"/>
          <w:szCs w:val="21"/>
        </w:rPr>
        <w:t xml:space="preserve"> </w:t>
      </w:r>
      <w:r w:rsidRPr="009D2C14">
        <w:rPr>
          <w:rFonts w:ascii="Abadi" w:hAnsi="Abadi" w:cs="*Arial-6236-Identity-H"/>
          <w:color w:val="14131B"/>
          <w:sz w:val="21"/>
          <w:szCs w:val="21"/>
        </w:rPr>
        <w:t>difiere de otras auditorías, pues el resultado se expresa con la emisión, en su</w:t>
      </w:r>
      <w:r>
        <w:rPr>
          <w:rFonts w:ascii="Abadi" w:hAnsi="Abadi" w:cs="*Arial-6236-Identity-H"/>
          <w:color w:val="14131B"/>
          <w:sz w:val="21"/>
          <w:szCs w:val="21"/>
        </w:rPr>
        <w:t xml:space="preserve"> </w:t>
      </w:r>
      <w:r w:rsidRPr="009D2C14">
        <w:rPr>
          <w:rFonts w:ascii="Abadi" w:hAnsi="Abadi" w:cs="*Arial-6236-Identity-H"/>
          <w:color w:val="14131B"/>
          <w:sz w:val="21"/>
          <w:szCs w:val="21"/>
        </w:rPr>
        <w:t>caso, de exclusivamente recomendaciones, distinguiéndose de otros actos de</w:t>
      </w:r>
      <w:r>
        <w:rPr>
          <w:rFonts w:ascii="Abadi" w:hAnsi="Abadi" w:cs="*Arial-6236-Identity-H"/>
          <w:color w:val="14131B"/>
          <w:sz w:val="21"/>
          <w:szCs w:val="21"/>
        </w:rPr>
        <w:t xml:space="preserve"> </w:t>
      </w:r>
      <w:r w:rsidRPr="009D2C14">
        <w:rPr>
          <w:rFonts w:ascii="Abadi" w:hAnsi="Abadi" w:cs="*Arial-6236-Identity-H"/>
          <w:color w:val="14131B"/>
          <w:sz w:val="21"/>
          <w:szCs w:val="21"/>
        </w:rPr>
        <w:t>fiscalización o control que pueden arrojar observaciones. Se trata de una tarea</w:t>
      </w:r>
      <w:r>
        <w:rPr>
          <w:rFonts w:ascii="Abadi" w:hAnsi="Abadi" w:cs="*Arial-6236-Identity-H"/>
          <w:color w:val="14131B"/>
          <w:sz w:val="21"/>
          <w:szCs w:val="21"/>
        </w:rPr>
        <w:t xml:space="preserve"> </w:t>
      </w:r>
      <w:r w:rsidRPr="009D2C14">
        <w:rPr>
          <w:rFonts w:ascii="Abadi" w:hAnsi="Abadi" w:cs="*Arial-6236-Identity-H"/>
          <w:color w:val="14131B"/>
          <w:sz w:val="21"/>
          <w:szCs w:val="21"/>
        </w:rPr>
        <w:t>reglada y sistémica de evaluación para la mejora continua, detectando</w:t>
      </w:r>
      <w:r>
        <w:rPr>
          <w:rFonts w:ascii="Abadi" w:hAnsi="Abadi" w:cs="*Arial-6236-Identity-H"/>
          <w:color w:val="14131B"/>
          <w:sz w:val="21"/>
          <w:szCs w:val="21"/>
        </w:rPr>
        <w:t xml:space="preserve"> </w:t>
      </w:r>
      <w:r w:rsidRPr="009D2C14">
        <w:rPr>
          <w:rFonts w:ascii="Abadi" w:hAnsi="Abadi" w:cs="*Arial-6236-Identity-H"/>
          <w:color w:val="14131B"/>
          <w:sz w:val="21"/>
          <w:szCs w:val="21"/>
        </w:rPr>
        <w:t>debilidades, áreas de oportunidad, amenazas e incluso fortalezas en el ámbito</w:t>
      </w:r>
      <w:r>
        <w:rPr>
          <w:rFonts w:ascii="Abadi" w:hAnsi="Abadi" w:cs="*Arial-6236-Identity-H"/>
          <w:color w:val="14131B"/>
          <w:sz w:val="21"/>
          <w:szCs w:val="21"/>
        </w:rPr>
        <w:t xml:space="preserve"> </w:t>
      </w:r>
      <w:r w:rsidRPr="009D2C14">
        <w:rPr>
          <w:rFonts w:ascii="Abadi" w:hAnsi="Abadi" w:cs="*Arial-6236-Identity-H"/>
          <w:color w:val="14131B"/>
          <w:sz w:val="21"/>
          <w:szCs w:val="21"/>
        </w:rPr>
        <w:t>público, pero promoviendo además acciones concretas que permitan superar o</w:t>
      </w:r>
      <w:r>
        <w:rPr>
          <w:rFonts w:ascii="Abadi" w:hAnsi="Abadi" w:cs="*Arial-6236-Identity-H"/>
          <w:color w:val="14131B"/>
          <w:sz w:val="21"/>
          <w:szCs w:val="21"/>
        </w:rPr>
        <w:t xml:space="preserve"> </w:t>
      </w:r>
      <w:r w:rsidRPr="009D2C14">
        <w:rPr>
          <w:rFonts w:ascii="Abadi" w:hAnsi="Abadi" w:cs="*Arial-6236-Identity-H"/>
          <w:color w:val="14131B"/>
          <w:sz w:val="21"/>
          <w:szCs w:val="21"/>
        </w:rPr>
        <w:t>potenciar las mismas, dando adicionalmente seguimiento a su eventual</w:t>
      </w:r>
      <w:r>
        <w:rPr>
          <w:rFonts w:ascii="Abadi" w:hAnsi="Abadi" w:cs="*Arial-6236-Identity-H"/>
          <w:color w:val="14131B"/>
          <w:sz w:val="21"/>
          <w:szCs w:val="21"/>
        </w:rPr>
        <w:t xml:space="preserve"> </w:t>
      </w:r>
      <w:r w:rsidRPr="009D2C14">
        <w:rPr>
          <w:rFonts w:ascii="Abadi" w:hAnsi="Abadi" w:cs="*Arial-6236-Identity-H"/>
          <w:color w:val="14131B"/>
          <w:sz w:val="21"/>
          <w:szCs w:val="21"/>
        </w:rPr>
        <w:t>implementación por los sujetos públicos responsables.</w:t>
      </w:r>
    </w:p>
    <w:p w14:paraId="1239F1E6" w14:textId="77777777" w:rsidR="001E07D6" w:rsidRPr="009D2C14" w:rsidRDefault="001E07D6" w:rsidP="001E07D6">
      <w:pPr>
        <w:autoSpaceDE w:val="0"/>
        <w:autoSpaceDN w:val="0"/>
        <w:adjustRightInd w:val="0"/>
        <w:jc w:val="both"/>
        <w:rPr>
          <w:rFonts w:ascii="Abadi" w:hAnsi="Abadi" w:cs="*Arial-6236-Identity-H"/>
          <w:color w:val="14131B"/>
          <w:sz w:val="21"/>
          <w:szCs w:val="21"/>
        </w:rPr>
      </w:pPr>
    </w:p>
    <w:p w14:paraId="5401CB23" w14:textId="77777777" w:rsidR="001E07D6" w:rsidRDefault="001E07D6" w:rsidP="001E07D6">
      <w:pPr>
        <w:autoSpaceDE w:val="0"/>
        <w:autoSpaceDN w:val="0"/>
        <w:adjustRightInd w:val="0"/>
        <w:ind w:firstLine="708"/>
        <w:jc w:val="both"/>
        <w:rPr>
          <w:rFonts w:ascii="Abadi" w:hAnsi="Abadi" w:cs="*Arial-6236-Identity-H"/>
          <w:color w:val="13131A"/>
          <w:sz w:val="21"/>
          <w:szCs w:val="21"/>
        </w:rPr>
      </w:pPr>
      <w:r w:rsidRPr="009D2C14">
        <w:rPr>
          <w:rFonts w:ascii="Abadi" w:hAnsi="Abadi" w:cs="*Arial-6236-Identity-H"/>
          <w:color w:val="13131A"/>
          <w:sz w:val="21"/>
          <w:szCs w:val="21"/>
        </w:rPr>
        <w:t>En dichas auditorías, con independencia de su enfoque, se debe planear</w:t>
      </w:r>
      <w:r>
        <w:rPr>
          <w:rFonts w:ascii="Abadi" w:hAnsi="Abadi" w:cs="*Arial-6236-Identity-H"/>
          <w:color w:val="13131A"/>
          <w:sz w:val="21"/>
          <w:szCs w:val="21"/>
        </w:rPr>
        <w:t xml:space="preserve"> </w:t>
      </w:r>
      <w:r w:rsidRPr="009D2C14">
        <w:rPr>
          <w:rFonts w:ascii="Abadi" w:hAnsi="Abadi" w:cs="*Arial-6236-Identity-H"/>
          <w:color w:val="13131A"/>
          <w:sz w:val="21"/>
          <w:szCs w:val="21"/>
        </w:rPr>
        <w:t>con toda claridad y con base en la evidencia competente, suficiente, pertinente,</w:t>
      </w:r>
      <w:r>
        <w:rPr>
          <w:rFonts w:ascii="Abadi" w:hAnsi="Abadi" w:cs="*Arial-6236-Identity-H"/>
          <w:color w:val="13131A"/>
          <w:sz w:val="21"/>
          <w:szCs w:val="21"/>
        </w:rPr>
        <w:t xml:space="preserve"> </w:t>
      </w:r>
      <w:r w:rsidRPr="009D2C14">
        <w:rPr>
          <w:rFonts w:ascii="Abadi" w:hAnsi="Abadi" w:cs="*Arial-6236-Identity-H"/>
          <w:color w:val="13131A"/>
          <w:sz w:val="21"/>
          <w:szCs w:val="21"/>
        </w:rPr>
        <w:t>relevante y oportuna, las conclusiones del proceso de fiscalización,</w:t>
      </w:r>
      <w:r>
        <w:rPr>
          <w:rFonts w:ascii="Abadi" w:hAnsi="Abadi" w:cs="*Arial-6236-Identity-H"/>
          <w:color w:val="13131A"/>
          <w:sz w:val="21"/>
          <w:szCs w:val="21"/>
        </w:rPr>
        <w:t xml:space="preserve"> </w:t>
      </w:r>
      <w:r w:rsidRPr="009D2C14">
        <w:rPr>
          <w:rFonts w:ascii="Abadi" w:hAnsi="Abadi" w:cs="*Arial-6236-Identity-H"/>
          <w:color w:val="13131A"/>
          <w:sz w:val="21"/>
          <w:szCs w:val="21"/>
        </w:rPr>
        <w:t>puntualizándose las recomendaciones formuladas en su caso.</w:t>
      </w:r>
    </w:p>
    <w:p w14:paraId="63DADB99" w14:textId="77777777" w:rsidR="001E07D6" w:rsidRPr="009D2C14" w:rsidRDefault="001E07D6" w:rsidP="001E07D6">
      <w:pPr>
        <w:autoSpaceDE w:val="0"/>
        <w:autoSpaceDN w:val="0"/>
        <w:adjustRightInd w:val="0"/>
        <w:jc w:val="both"/>
        <w:rPr>
          <w:rFonts w:ascii="Abadi" w:hAnsi="Abadi" w:cs="*Arial-6236-Identity-H"/>
          <w:color w:val="13131A"/>
          <w:sz w:val="21"/>
          <w:szCs w:val="21"/>
        </w:rPr>
      </w:pPr>
    </w:p>
    <w:p w14:paraId="5E276D46" w14:textId="77777777" w:rsidR="001E07D6" w:rsidRPr="009D2C14" w:rsidRDefault="001E07D6" w:rsidP="001E07D6">
      <w:pPr>
        <w:autoSpaceDE w:val="0"/>
        <w:autoSpaceDN w:val="0"/>
        <w:adjustRightInd w:val="0"/>
        <w:ind w:firstLine="708"/>
        <w:jc w:val="both"/>
        <w:rPr>
          <w:rFonts w:ascii="Abadi" w:hAnsi="Abadi" w:cs="*Arial-6236-Identity-H"/>
          <w:color w:val="14131B"/>
          <w:sz w:val="21"/>
          <w:szCs w:val="21"/>
        </w:rPr>
      </w:pPr>
      <w:r w:rsidRPr="009D2C14">
        <w:rPr>
          <w:rFonts w:ascii="Abadi" w:hAnsi="Abadi" w:cs="*Arial-6236-Identity-H"/>
          <w:color w:val="14131B"/>
          <w:sz w:val="21"/>
          <w:szCs w:val="21"/>
        </w:rPr>
        <w:t>Respecto al marco competencia!, se precisa la normatividad aplicable a la</w:t>
      </w:r>
      <w:r>
        <w:rPr>
          <w:rFonts w:ascii="Abadi" w:hAnsi="Abadi" w:cs="*Arial-6236-Identity-H"/>
          <w:color w:val="14131B"/>
          <w:sz w:val="21"/>
          <w:szCs w:val="21"/>
        </w:rPr>
        <w:t xml:space="preserve"> </w:t>
      </w:r>
      <w:r w:rsidRPr="009D2C14">
        <w:rPr>
          <w:rFonts w:ascii="Abadi" w:hAnsi="Abadi" w:cs="*Arial-6236-Identity-H"/>
          <w:color w:val="14131B"/>
          <w:sz w:val="21"/>
          <w:szCs w:val="21"/>
        </w:rPr>
        <w:t>función de fiscalización a cargo del Poder Legislativo del Estado, siendo esta:</w:t>
      </w:r>
      <w:r>
        <w:rPr>
          <w:rFonts w:ascii="Abadi" w:hAnsi="Abadi" w:cs="*Arial-6236-Identity-H"/>
          <w:color w:val="14131B"/>
          <w:sz w:val="21"/>
          <w:szCs w:val="21"/>
        </w:rPr>
        <w:t xml:space="preserve"> </w:t>
      </w:r>
      <w:r w:rsidRPr="009D2C14">
        <w:rPr>
          <w:rFonts w:ascii="Abadi" w:hAnsi="Abadi" w:cs="*Arial-6236-Identity-H"/>
          <w:color w:val="14131B"/>
          <w:sz w:val="21"/>
          <w:szCs w:val="21"/>
        </w:rPr>
        <w:t xml:space="preserve">artículos 116, fracción </w:t>
      </w:r>
      <w:r w:rsidRPr="009D2C14">
        <w:rPr>
          <w:rFonts w:ascii="Abadi" w:hAnsi="Abadi" w:cs="*Arial-Bold-6237-Identity-H"/>
          <w:color w:val="14131B"/>
          <w:sz w:val="21"/>
          <w:szCs w:val="21"/>
        </w:rPr>
        <w:t xml:space="preserve">II </w:t>
      </w:r>
      <w:r w:rsidRPr="009D2C14">
        <w:rPr>
          <w:rFonts w:ascii="Abadi" w:hAnsi="Abadi" w:cs="*Arial-6236-Identity-H"/>
          <w:color w:val="14131B"/>
          <w:sz w:val="21"/>
          <w:szCs w:val="21"/>
        </w:rPr>
        <w:t>y 134 de la Constitución Política de los Estados Unidos</w:t>
      </w:r>
      <w:r>
        <w:rPr>
          <w:rFonts w:ascii="Abadi" w:hAnsi="Abadi" w:cs="*Arial-6236-Identity-H"/>
          <w:color w:val="14131B"/>
          <w:sz w:val="21"/>
          <w:szCs w:val="21"/>
        </w:rPr>
        <w:t xml:space="preserve"> </w:t>
      </w:r>
      <w:r w:rsidRPr="009D2C14">
        <w:rPr>
          <w:rFonts w:ascii="Abadi" w:hAnsi="Abadi" w:cs="*Arial-6236-Identity-H"/>
          <w:color w:val="14131B"/>
          <w:sz w:val="21"/>
          <w:szCs w:val="21"/>
        </w:rPr>
        <w:t xml:space="preserve">Mexicanos; 2, párrafo primero, 63, fracción XIX y 66, fracciones </w:t>
      </w:r>
      <w:r>
        <w:rPr>
          <w:rFonts w:ascii="Abadi" w:hAnsi="Abadi" w:cs="*Arial-Bold-6237-Identity-H"/>
          <w:color w:val="14131B"/>
          <w:sz w:val="21"/>
          <w:szCs w:val="21"/>
        </w:rPr>
        <w:t>I</w:t>
      </w:r>
      <w:r w:rsidRPr="009D2C14">
        <w:rPr>
          <w:rFonts w:ascii="Abadi" w:hAnsi="Abadi" w:cs="*Arial-Bold-6237-Identity-H"/>
          <w:color w:val="14131B"/>
          <w:sz w:val="21"/>
          <w:szCs w:val="21"/>
        </w:rPr>
        <w:t xml:space="preserve">, </w:t>
      </w:r>
      <w:r>
        <w:rPr>
          <w:rFonts w:ascii="Abadi" w:hAnsi="Abadi" w:cs="*Arial-Bold-6237-Identity-H"/>
          <w:color w:val="14131B"/>
          <w:sz w:val="21"/>
          <w:szCs w:val="21"/>
        </w:rPr>
        <w:t xml:space="preserve">II </w:t>
      </w:r>
      <w:r w:rsidRPr="009D2C14">
        <w:rPr>
          <w:rFonts w:ascii="Abadi" w:hAnsi="Abadi" w:cs="*Arial-6236-Identity-H"/>
          <w:color w:val="14131B"/>
          <w:sz w:val="21"/>
          <w:szCs w:val="21"/>
        </w:rPr>
        <w:t>y IV de la</w:t>
      </w:r>
      <w:r>
        <w:rPr>
          <w:rFonts w:ascii="Abadi" w:hAnsi="Abadi" w:cs="*Arial-6236-Identity-H"/>
          <w:color w:val="14131B"/>
          <w:sz w:val="21"/>
          <w:szCs w:val="21"/>
        </w:rPr>
        <w:t xml:space="preserve"> </w:t>
      </w:r>
      <w:r w:rsidRPr="009D2C14">
        <w:rPr>
          <w:rFonts w:ascii="Abadi" w:hAnsi="Abadi" w:cs="*Arial-6236-Identity-H"/>
          <w:color w:val="14131B"/>
          <w:sz w:val="21"/>
          <w:szCs w:val="21"/>
        </w:rPr>
        <w:t xml:space="preserve">Constitución Política para el Estado de Guanajuato; 1, 2, fracciones II y </w:t>
      </w:r>
      <w:r w:rsidRPr="009D2C14">
        <w:rPr>
          <w:rFonts w:ascii="Abadi" w:hAnsi="Abadi" w:cs="*Arial-Bold-6237-Identity-H"/>
          <w:color w:val="14131B"/>
          <w:sz w:val="21"/>
          <w:szCs w:val="21"/>
        </w:rPr>
        <w:t xml:space="preserve">III, </w:t>
      </w:r>
      <w:r w:rsidRPr="009D2C14">
        <w:rPr>
          <w:rFonts w:ascii="Abadi" w:hAnsi="Abadi" w:cs="*Arial-6236-Identity-H"/>
          <w:color w:val="14131B"/>
          <w:sz w:val="21"/>
          <w:szCs w:val="21"/>
        </w:rPr>
        <w:t xml:space="preserve">3, fracciones </w:t>
      </w:r>
      <w:r>
        <w:rPr>
          <w:rFonts w:ascii="Abadi" w:hAnsi="Abadi" w:cs="*Arial-6236-Identity-H"/>
          <w:color w:val="14131B"/>
          <w:sz w:val="21"/>
          <w:szCs w:val="21"/>
        </w:rPr>
        <w:t>I</w:t>
      </w:r>
      <w:r w:rsidRPr="009D2C14">
        <w:rPr>
          <w:rFonts w:ascii="Abadi" w:hAnsi="Abadi" w:cs="*Arial-6236-Identity-H"/>
          <w:color w:val="14131B"/>
          <w:sz w:val="21"/>
          <w:szCs w:val="21"/>
        </w:rPr>
        <w:t xml:space="preserve">, </w:t>
      </w:r>
      <w:r>
        <w:rPr>
          <w:rFonts w:ascii="Abadi" w:hAnsi="Abadi" w:cs="*Arial-6236-Identity-H"/>
          <w:color w:val="14131B"/>
          <w:sz w:val="21"/>
          <w:szCs w:val="21"/>
        </w:rPr>
        <w:t>II</w:t>
      </w:r>
      <w:r w:rsidRPr="009D2C14">
        <w:rPr>
          <w:rFonts w:ascii="Abadi" w:hAnsi="Abadi" w:cs="*Arial-6236-Identity-H"/>
          <w:color w:val="14131B"/>
          <w:sz w:val="21"/>
          <w:szCs w:val="21"/>
        </w:rPr>
        <w:t xml:space="preserve">, V y XI, 4, 6, 7, 11, 14, 16, 24, 25, 26, 30, 31, 37, fracción </w:t>
      </w:r>
      <w:r>
        <w:rPr>
          <w:rFonts w:ascii="Abadi" w:hAnsi="Abadi" w:cs="*Arial-6236-Identity-H"/>
          <w:color w:val="14131B"/>
          <w:sz w:val="21"/>
          <w:szCs w:val="21"/>
        </w:rPr>
        <w:t>III</w:t>
      </w:r>
      <w:r w:rsidRPr="009D2C14">
        <w:rPr>
          <w:rFonts w:ascii="Abadi" w:hAnsi="Abadi" w:cs="*Arial-6236-Identity-H"/>
          <w:color w:val="14131B"/>
          <w:sz w:val="21"/>
          <w:szCs w:val="21"/>
        </w:rPr>
        <w:t>, 56, 57,</w:t>
      </w:r>
      <w:r>
        <w:rPr>
          <w:rFonts w:ascii="Abadi" w:hAnsi="Abadi" w:cs="*Arial-6236-Identity-H"/>
          <w:color w:val="14131B"/>
          <w:sz w:val="21"/>
          <w:szCs w:val="21"/>
        </w:rPr>
        <w:t xml:space="preserve"> </w:t>
      </w:r>
      <w:r w:rsidRPr="009D2C14">
        <w:rPr>
          <w:rFonts w:ascii="Abadi" w:hAnsi="Abadi" w:cs="*Arial-6236-Identity-H"/>
          <w:color w:val="14131B"/>
          <w:sz w:val="21"/>
          <w:szCs w:val="21"/>
        </w:rPr>
        <w:t xml:space="preserve">58, 59, 60, 82, fracciones </w:t>
      </w:r>
      <w:r w:rsidRPr="009D2C14">
        <w:rPr>
          <w:rFonts w:ascii="Abadi" w:hAnsi="Abadi" w:cs="*Arial-Bold-6237-Identity-H"/>
          <w:color w:val="14131B"/>
          <w:sz w:val="21"/>
          <w:szCs w:val="21"/>
        </w:rPr>
        <w:t xml:space="preserve">III, </w:t>
      </w:r>
      <w:r w:rsidRPr="009D2C14">
        <w:rPr>
          <w:rFonts w:ascii="Abadi" w:hAnsi="Abadi" w:cs="*Arial-6236-Identity-H"/>
          <w:color w:val="14131B"/>
          <w:sz w:val="21"/>
          <w:szCs w:val="21"/>
        </w:rPr>
        <w:t xml:space="preserve">IV, </w:t>
      </w:r>
      <w:r w:rsidRPr="009D2C14">
        <w:rPr>
          <w:rFonts w:ascii="Abadi" w:hAnsi="Abadi" w:cs="*Arial-Bold-6237-Identity-H"/>
          <w:color w:val="14131B"/>
          <w:sz w:val="21"/>
          <w:szCs w:val="21"/>
        </w:rPr>
        <w:t xml:space="preserve">XXIX, XXXII </w:t>
      </w:r>
      <w:r w:rsidRPr="009D2C14">
        <w:rPr>
          <w:rFonts w:ascii="Abadi" w:hAnsi="Abadi" w:cs="*Arial-6236-Identity-H"/>
          <w:color w:val="14131B"/>
          <w:sz w:val="21"/>
          <w:szCs w:val="21"/>
        </w:rPr>
        <w:t xml:space="preserve">y </w:t>
      </w:r>
      <w:r w:rsidRPr="009D2C14">
        <w:rPr>
          <w:rFonts w:ascii="Abadi" w:hAnsi="Abadi" w:cs="*Arial-Bold-6237-Identity-H"/>
          <w:color w:val="14131B"/>
          <w:sz w:val="21"/>
          <w:szCs w:val="21"/>
        </w:rPr>
        <w:t xml:space="preserve">XXXV </w:t>
      </w:r>
      <w:r w:rsidRPr="009D2C14">
        <w:rPr>
          <w:rFonts w:ascii="Abadi" w:hAnsi="Abadi" w:cs="*Arial-6236-Identity-H"/>
          <w:color w:val="14131B"/>
          <w:sz w:val="21"/>
          <w:szCs w:val="21"/>
        </w:rPr>
        <w:t>y 87, fracciones V, XII y</w:t>
      </w:r>
      <w:r>
        <w:rPr>
          <w:rFonts w:ascii="Abadi" w:hAnsi="Abadi" w:cs="*Arial-6236-Identity-H"/>
          <w:color w:val="14131B"/>
          <w:sz w:val="21"/>
          <w:szCs w:val="21"/>
        </w:rPr>
        <w:t xml:space="preserve"> </w:t>
      </w:r>
      <w:r w:rsidRPr="009D2C14">
        <w:rPr>
          <w:rFonts w:ascii="Abadi" w:hAnsi="Abadi" w:cs="*Arial-6236-Identity-H"/>
          <w:color w:val="14131B"/>
          <w:sz w:val="21"/>
          <w:szCs w:val="21"/>
        </w:rPr>
        <w:t xml:space="preserve">XXVI de la Ley de Fiscalización Superior del Estado de Guanajuato; 1, 3, </w:t>
      </w:r>
      <w:r>
        <w:rPr>
          <w:rFonts w:ascii="Abadi" w:hAnsi="Abadi" w:cs="*Arial-6236-Identity-H"/>
          <w:color w:val="14131B"/>
          <w:sz w:val="21"/>
          <w:szCs w:val="21"/>
        </w:rPr>
        <w:t>10</w:t>
      </w:r>
      <w:r w:rsidRPr="009D2C14">
        <w:rPr>
          <w:rFonts w:ascii="Abadi" w:hAnsi="Abadi" w:cs="*Arial-6236-Identity-H"/>
          <w:color w:val="14131B"/>
          <w:sz w:val="21"/>
          <w:szCs w:val="21"/>
        </w:rPr>
        <w:t>, 13,</w:t>
      </w:r>
      <w:r>
        <w:rPr>
          <w:rFonts w:ascii="Abadi" w:hAnsi="Abadi" w:cs="*Arial-6236-Identity-H"/>
          <w:color w:val="14131B"/>
          <w:sz w:val="21"/>
          <w:szCs w:val="21"/>
        </w:rPr>
        <w:t xml:space="preserve"> </w:t>
      </w:r>
      <w:r w:rsidRPr="009D2C14">
        <w:rPr>
          <w:rFonts w:ascii="Abadi" w:hAnsi="Abadi" w:cs="*Arial-6236-Identity-H"/>
          <w:color w:val="14131B"/>
          <w:sz w:val="21"/>
          <w:szCs w:val="21"/>
        </w:rPr>
        <w:t>18, 20, 27, 43, 44, 45, 46, 47, 48 y 49 del Reglamento de la Ley de Fiscalización</w:t>
      </w:r>
      <w:r>
        <w:rPr>
          <w:rFonts w:ascii="Abadi" w:hAnsi="Abadi" w:cs="*Arial-6236-Identity-H"/>
          <w:color w:val="14131B"/>
          <w:sz w:val="21"/>
          <w:szCs w:val="21"/>
        </w:rPr>
        <w:t xml:space="preserve"> </w:t>
      </w:r>
      <w:r w:rsidRPr="009D2C14">
        <w:rPr>
          <w:rFonts w:ascii="Abadi" w:hAnsi="Abadi" w:cs="*Arial-6236-Identity-H"/>
          <w:color w:val="14131B"/>
          <w:sz w:val="21"/>
          <w:szCs w:val="21"/>
        </w:rPr>
        <w:t xml:space="preserve">Superior del Estado de Guanajuato; 1, 7, segundo párrafo, 8, fracción </w:t>
      </w:r>
      <w:r>
        <w:rPr>
          <w:rFonts w:ascii="Abadi" w:hAnsi="Abadi" w:cs="*Arial-Bold-6237-Identity-H"/>
          <w:color w:val="14131B"/>
          <w:sz w:val="21"/>
          <w:szCs w:val="21"/>
        </w:rPr>
        <w:t>I</w:t>
      </w:r>
      <w:r w:rsidRPr="009D2C14">
        <w:rPr>
          <w:rFonts w:ascii="Abadi" w:hAnsi="Abadi" w:cs="*Arial-Bold-6237-Identity-H"/>
          <w:color w:val="14131B"/>
          <w:sz w:val="21"/>
          <w:szCs w:val="21"/>
        </w:rPr>
        <w:t>,</w:t>
      </w:r>
      <w:r w:rsidRPr="009D2C14">
        <w:rPr>
          <w:rFonts w:ascii="Abadi" w:hAnsi="Abadi" w:cs="*Arial-Bold-6237-Identity-H"/>
          <w:b/>
          <w:bCs/>
          <w:color w:val="14131B"/>
          <w:sz w:val="21"/>
          <w:szCs w:val="21"/>
        </w:rPr>
        <w:t xml:space="preserve"> </w:t>
      </w:r>
      <w:r w:rsidRPr="009D2C14">
        <w:rPr>
          <w:rFonts w:ascii="Abadi" w:hAnsi="Abadi" w:cs="*Arial-6236-Identity-H"/>
          <w:color w:val="14131B"/>
          <w:sz w:val="21"/>
          <w:szCs w:val="21"/>
        </w:rPr>
        <w:t>9, fracción</w:t>
      </w:r>
      <w:r>
        <w:rPr>
          <w:rFonts w:ascii="Abadi" w:hAnsi="Abadi" w:cs="*Arial-6236-Identity-H"/>
          <w:color w:val="14131B"/>
          <w:sz w:val="21"/>
          <w:szCs w:val="21"/>
        </w:rPr>
        <w:t xml:space="preserve"> </w:t>
      </w:r>
      <w:r w:rsidRPr="009D2C14">
        <w:rPr>
          <w:rFonts w:ascii="Abadi" w:hAnsi="Abadi" w:cs="*Arial-6236-Identity-H"/>
          <w:color w:val="14131B"/>
          <w:sz w:val="21"/>
          <w:szCs w:val="21"/>
        </w:rPr>
        <w:t xml:space="preserve">XVII, 10 fracciones </w:t>
      </w:r>
      <w:r>
        <w:rPr>
          <w:rFonts w:ascii="Abadi" w:hAnsi="Abadi" w:cs="*Arial-Bold-6237-Identity-H"/>
          <w:color w:val="14131B"/>
          <w:sz w:val="21"/>
          <w:szCs w:val="21"/>
        </w:rPr>
        <w:t xml:space="preserve"> III</w:t>
      </w:r>
      <w:r w:rsidRPr="009D2C14">
        <w:rPr>
          <w:rFonts w:ascii="Abadi" w:hAnsi="Abadi" w:cs="*Arial-Bold-6237-Identity-H"/>
          <w:color w:val="14131B"/>
          <w:sz w:val="21"/>
          <w:szCs w:val="21"/>
        </w:rPr>
        <w:t xml:space="preserve">, </w:t>
      </w:r>
      <w:r w:rsidRPr="009D2C14">
        <w:rPr>
          <w:rFonts w:ascii="Abadi" w:hAnsi="Abadi" w:cs="*Arial-6236-Identity-H"/>
          <w:color w:val="14131B"/>
          <w:sz w:val="21"/>
          <w:szCs w:val="21"/>
        </w:rPr>
        <w:t>XVII, XIX y XX, 14 y 16 del Reglamento Interior de la</w:t>
      </w:r>
      <w:r>
        <w:rPr>
          <w:rFonts w:ascii="Abadi" w:hAnsi="Abadi" w:cs="*Arial-6236-Identity-H"/>
          <w:color w:val="14131B"/>
          <w:sz w:val="21"/>
          <w:szCs w:val="21"/>
        </w:rPr>
        <w:t xml:space="preserve"> </w:t>
      </w:r>
      <w:r w:rsidRPr="009D2C14">
        <w:rPr>
          <w:rFonts w:ascii="Abadi" w:hAnsi="Abadi" w:cs="*Arial-6236-Identity-H"/>
          <w:color w:val="14131B"/>
          <w:sz w:val="21"/>
          <w:szCs w:val="21"/>
        </w:rPr>
        <w:t>Auditoría Superior del Estado de Guanajuato; y 42 de la Ley General del Sistema</w:t>
      </w:r>
      <w:r>
        <w:rPr>
          <w:rFonts w:ascii="Abadi" w:hAnsi="Abadi" w:cs="*Arial-6236-Identity-H"/>
          <w:color w:val="14131B"/>
          <w:sz w:val="21"/>
          <w:szCs w:val="21"/>
        </w:rPr>
        <w:t xml:space="preserve"> </w:t>
      </w:r>
      <w:r w:rsidRPr="009D2C14">
        <w:rPr>
          <w:rFonts w:ascii="Abadi" w:hAnsi="Abadi" w:cs="*Arial-6236-Identity-H"/>
          <w:color w:val="14131B"/>
          <w:sz w:val="21"/>
          <w:szCs w:val="21"/>
        </w:rPr>
        <w:t>Nacional Anticorrupción.</w:t>
      </w:r>
    </w:p>
    <w:p w14:paraId="2997F777" w14:textId="77777777" w:rsidR="001E07D6" w:rsidRPr="009D2C14" w:rsidRDefault="001E07D6" w:rsidP="001E07D6">
      <w:pPr>
        <w:autoSpaceDE w:val="0"/>
        <w:autoSpaceDN w:val="0"/>
        <w:adjustRightInd w:val="0"/>
        <w:jc w:val="both"/>
        <w:rPr>
          <w:rFonts w:ascii="Abadi" w:hAnsi="Abadi" w:cs="*Arial-5790-Identity-H"/>
          <w:color w:val="212125"/>
          <w:sz w:val="21"/>
          <w:szCs w:val="21"/>
        </w:rPr>
      </w:pPr>
    </w:p>
    <w:p w14:paraId="45FD4C53" w14:textId="77777777" w:rsidR="001E07D6" w:rsidRDefault="001E07D6" w:rsidP="001E07D6">
      <w:pPr>
        <w:autoSpaceDE w:val="0"/>
        <w:autoSpaceDN w:val="0"/>
        <w:adjustRightInd w:val="0"/>
        <w:ind w:firstLine="708"/>
        <w:jc w:val="both"/>
        <w:rPr>
          <w:rFonts w:ascii="Abadi" w:hAnsi="Abadi" w:cs="*Arial-5789-Identity-H"/>
          <w:color w:val="15131C"/>
          <w:sz w:val="21"/>
          <w:szCs w:val="21"/>
        </w:rPr>
      </w:pPr>
      <w:r w:rsidRPr="009D2C14">
        <w:rPr>
          <w:rFonts w:ascii="Abadi" w:hAnsi="Abadi" w:cs="*Arial-5789-Identity-H"/>
          <w:color w:val="15131C"/>
          <w:sz w:val="21"/>
          <w:szCs w:val="21"/>
        </w:rPr>
        <w:t>Con base en lo anterior, la auditoría de desempeño materia del presente</w:t>
      </w:r>
      <w:r>
        <w:rPr>
          <w:rFonts w:ascii="Abadi" w:hAnsi="Abadi" w:cs="*Arial-5789-Identity-H"/>
          <w:color w:val="15131C"/>
          <w:sz w:val="21"/>
          <w:szCs w:val="21"/>
        </w:rPr>
        <w:t xml:space="preserve"> </w:t>
      </w:r>
      <w:r w:rsidRPr="009D2C14">
        <w:rPr>
          <w:rFonts w:ascii="Abadi" w:hAnsi="Abadi" w:cs="*Arial-5789-Identity-H"/>
          <w:color w:val="15131C"/>
          <w:sz w:val="21"/>
          <w:szCs w:val="21"/>
        </w:rPr>
        <w:t>dictamen, se ejecutó bajo los principios, conceptos y directrices de las actuales</w:t>
      </w:r>
      <w:r>
        <w:rPr>
          <w:rFonts w:ascii="Abadi" w:hAnsi="Abadi" w:cs="*Arial-5789-Identity-H"/>
          <w:color w:val="15131C"/>
          <w:sz w:val="21"/>
          <w:szCs w:val="21"/>
        </w:rPr>
        <w:t xml:space="preserve"> </w:t>
      </w:r>
      <w:r w:rsidRPr="009D2C14">
        <w:rPr>
          <w:rFonts w:ascii="Abadi" w:hAnsi="Abadi" w:cs="*Arial-5789-Identity-H"/>
          <w:color w:val="15131C"/>
          <w:sz w:val="21"/>
          <w:szCs w:val="21"/>
        </w:rPr>
        <w:t>Normas Profesionales de Auditoría del Sistema Nacional de Fiscalización,</w:t>
      </w:r>
      <w:r>
        <w:rPr>
          <w:rFonts w:ascii="Abadi" w:hAnsi="Abadi" w:cs="*Arial-5789-Identity-H"/>
          <w:color w:val="15131C"/>
          <w:sz w:val="21"/>
          <w:szCs w:val="21"/>
        </w:rPr>
        <w:t xml:space="preserve"> </w:t>
      </w:r>
      <w:r w:rsidRPr="009D2C14">
        <w:rPr>
          <w:rFonts w:ascii="Abadi" w:hAnsi="Abadi" w:cs="*Arial-5789-Identity-H"/>
          <w:color w:val="15131C"/>
          <w:sz w:val="21"/>
          <w:szCs w:val="21"/>
        </w:rPr>
        <w:t>compiladas y editadas por la Auditoría Superior de la Federación, de manera</w:t>
      </w:r>
      <w:r>
        <w:rPr>
          <w:rFonts w:ascii="Abadi" w:hAnsi="Abadi" w:cs="*Arial-5789-Identity-H"/>
          <w:color w:val="15131C"/>
          <w:sz w:val="21"/>
          <w:szCs w:val="21"/>
        </w:rPr>
        <w:t xml:space="preserve"> </w:t>
      </w:r>
      <w:r w:rsidRPr="009D2C14">
        <w:rPr>
          <w:rFonts w:ascii="Abadi" w:hAnsi="Abadi" w:cs="*Arial-5789-Identity-H"/>
          <w:color w:val="15131C"/>
          <w:sz w:val="21"/>
          <w:szCs w:val="21"/>
        </w:rPr>
        <w:t>particular por lo que hace a sus numerales 100 y 300.</w:t>
      </w:r>
    </w:p>
    <w:p w14:paraId="2165D98E" w14:textId="77777777" w:rsidR="001E07D6" w:rsidRPr="009D2C14" w:rsidRDefault="001E07D6" w:rsidP="001E07D6">
      <w:pPr>
        <w:autoSpaceDE w:val="0"/>
        <w:autoSpaceDN w:val="0"/>
        <w:adjustRightInd w:val="0"/>
        <w:jc w:val="both"/>
        <w:rPr>
          <w:rFonts w:ascii="Abadi" w:hAnsi="Abadi" w:cs="*Arial-5789-Identity-H"/>
          <w:color w:val="15131C"/>
          <w:sz w:val="21"/>
          <w:szCs w:val="21"/>
        </w:rPr>
      </w:pPr>
    </w:p>
    <w:p w14:paraId="5B57E869" w14:textId="77777777" w:rsidR="001E07D6" w:rsidRDefault="001E07D6" w:rsidP="001E07D6">
      <w:pPr>
        <w:autoSpaceDE w:val="0"/>
        <w:autoSpaceDN w:val="0"/>
        <w:adjustRightInd w:val="0"/>
        <w:ind w:firstLine="708"/>
        <w:jc w:val="both"/>
        <w:rPr>
          <w:rFonts w:ascii="Abadi" w:hAnsi="Abadi" w:cs="*Arial-5789-Identity-H"/>
          <w:color w:val="15141C"/>
          <w:sz w:val="21"/>
          <w:szCs w:val="21"/>
        </w:rPr>
      </w:pPr>
      <w:r w:rsidRPr="009D2C14">
        <w:rPr>
          <w:rFonts w:ascii="Abadi" w:hAnsi="Abadi" w:cs="*Arial-5789-Identity-H"/>
          <w:color w:val="15141C"/>
          <w:sz w:val="21"/>
          <w:szCs w:val="21"/>
        </w:rPr>
        <w:t>En esta parte también se puntualiza que las auditorías de desempeño que</w:t>
      </w:r>
      <w:r>
        <w:rPr>
          <w:rFonts w:ascii="Abadi" w:hAnsi="Abadi" w:cs="*Arial-5789-Identity-H"/>
          <w:color w:val="15141C"/>
          <w:sz w:val="21"/>
          <w:szCs w:val="21"/>
        </w:rPr>
        <w:t xml:space="preserve"> </w:t>
      </w:r>
      <w:r w:rsidRPr="009D2C14">
        <w:rPr>
          <w:rFonts w:ascii="Abadi" w:hAnsi="Abadi" w:cs="*Arial-5789-Identity-H"/>
          <w:color w:val="15141C"/>
          <w:sz w:val="21"/>
          <w:szCs w:val="21"/>
        </w:rPr>
        <w:t>se practican por la Auditoría Superior del Estado son congruentes con las</w:t>
      </w:r>
      <w:r>
        <w:rPr>
          <w:rFonts w:ascii="Abadi" w:hAnsi="Abadi" w:cs="*Arial-5789-Identity-H"/>
          <w:color w:val="15141C"/>
          <w:sz w:val="21"/>
          <w:szCs w:val="21"/>
        </w:rPr>
        <w:t xml:space="preserve"> </w:t>
      </w:r>
      <w:r w:rsidRPr="009D2C14">
        <w:rPr>
          <w:rFonts w:ascii="Abadi" w:hAnsi="Abadi" w:cs="*Arial-5789-Identity-H"/>
          <w:color w:val="15141C"/>
          <w:sz w:val="21"/>
          <w:szCs w:val="21"/>
        </w:rPr>
        <w:t>metodologías señaladas en las Normas Internacionales para Entidades</w:t>
      </w:r>
      <w:r>
        <w:rPr>
          <w:rFonts w:ascii="Abadi" w:hAnsi="Abadi" w:cs="*Arial-5789-Identity-H"/>
          <w:color w:val="15141C"/>
          <w:sz w:val="21"/>
          <w:szCs w:val="21"/>
        </w:rPr>
        <w:t xml:space="preserve"> </w:t>
      </w:r>
      <w:r w:rsidRPr="009D2C14">
        <w:rPr>
          <w:rFonts w:ascii="Abadi" w:hAnsi="Abadi" w:cs="*Arial-5789-Identity-H"/>
          <w:color w:val="15141C"/>
          <w:sz w:val="21"/>
          <w:szCs w:val="21"/>
        </w:rPr>
        <w:t>Fiscalizadoras Superiores 100, 300, 3000 y 3200, emitidas por la Organización</w:t>
      </w:r>
      <w:r>
        <w:rPr>
          <w:rFonts w:ascii="Abadi" w:hAnsi="Abadi" w:cs="*Arial-5789-Identity-H"/>
          <w:color w:val="15141C"/>
          <w:sz w:val="21"/>
          <w:szCs w:val="21"/>
        </w:rPr>
        <w:t xml:space="preserve"> </w:t>
      </w:r>
      <w:r w:rsidRPr="009D2C14">
        <w:rPr>
          <w:rFonts w:ascii="Abadi" w:hAnsi="Abadi" w:cs="*Arial-5789-Identity-H"/>
          <w:color w:val="15141C"/>
          <w:sz w:val="21"/>
          <w:szCs w:val="21"/>
        </w:rPr>
        <w:t>Internacional de las Entidades Fiscalizadoras Superiores, así como con los</w:t>
      </w:r>
      <w:r>
        <w:rPr>
          <w:rFonts w:ascii="Abadi" w:hAnsi="Abadi" w:cs="*Arial-5789-Identity-H"/>
          <w:color w:val="15141C"/>
          <w:sz w:val="21"/>
          <w:szCs w:val="21"/>
        </w:rPr>
        <w:t xml:space="preserve"> </w:t>
      </w:r>
      <w:r w:rsidRPr="009D2C14">
        <w:rPr>
          <w:rFonts w:ascii="Abadi" w:hAnsi="Abadi" w:cs="*Arial-5789-Identity-H"/>
          <w:color w:val="15141C"/>
          <w:sz w:val="21"/>
          <w:szCs w:val="21"/>
        </w:rPr>
        <w:t>lineamientos para la construcción y diseño de indicadores de desempeño</w:t>
      </w:r>
      <w:r>
        <w:rPr>
          <w:rFonts w:ascii="Abadi" w:hAnsi="Abadi" w:cs="*Arial-5789-Identity-H"/>
          <w:color w:val="15141C"/>
          <w:sz w:val="21"/>
          <w:szCs w:val="21"/>
        </w:rPr>
        <w:t xml:space="preserve"> m</w:t>
      </w:r>
      <w:r w:rsidRPr="009D2C14">
        <w:rPr>
          <w:rFonts w:ascii="Abadi" w:hAnsi="Abadi" w:cs="*Arial-5789-Identity-H"/>
          <w:color w:val="15141C"/>
          <w:sz w:val="21"/>
          <w:szCs w:val="21"/>
        </w:rPr>
        <w:t>ediante la Metodología del Marco Lógico, emitidos por el Consejo Nacional de</w:t>
      </w:r>
      <w:r>
        <w:rPr>
          <w:rFonts w:ascii="Abadi" w:hAnsi="Abadi" w:cs="*Arial-5789-Identity-H"/>
          <w:color w:val="15141C"/>
          <w:sz w:val="21"/>
          <w:szCs w:val="21"/>
        </w:rPr>
        <w:t xml:space="preserve"> </w:t>
      </w:r>
      <w:r w:rsidRPr="009D2C14">
        <w:rPr>
          <w:rFonts w:ascii="Abadi" w:hAnsi="Abadi" w:cs="*Arial-5789-Identity-H"/>
          <w:color w:val="15141C"/>
          <w:sz w:val="21"/>
          <w:szCs w:val="21"/>
        </w:rPr>
        <w:t>Armonización Contable, publicados en el Diario Oficial de la Federación el 15 de</w:t>
      </w:r>
      <w:r>
        <w:rPr>
          <w:rFonts w:ascii="Abadi" w:hAnsi="Abadi" w:cs="*Arial-5789-Identity-H"/>
          <w:color w:val="15141C"/>
          <w:sz w:val="21"/>
          <w:szCs w:val="21"/>
        </w:rPr>
        <w:t xml:space="preserve"> </w:t>
      </w:r>
      <w:r w:rsidRPr="009D2C14">
        <w:rPr>
          <w:rFonts w:ascii="Abadi" w:hAnsi="Abadi" w:cs="*Arial-5789-Identity-H"/>
          <w:color w:val="15141C"/>
          <w:sz w:val="21"/>
          <w:szCs w:val="21"/>
        </w:rPr>
        <w:t>mayo de 2013, entre otros.</w:t>
      </w:r>
    </w:p>
    <w:p w14:paraId="567BFD74" w14:textId="77777777" w:rsidR="001E07D6" w:rsidRPr="009D2C14" w:rsidRDefault="001E07D6" w:rsidP="001E07D6">
      <w:pPr>
        <w:autoSpaceDE w:val="0"/>
        <w:autoSpaceDN w:val="0"/>
        <w:adjustRightInd w:val="0"/>
        <w:jc w:val="both"/>
        <w:rPr>
          <w:rFonts w:ascii="Abadi" w:hAnsi="Abadi" w:cs="*Arial-5789-Identity-H"/>
          <w:color w:val="15141C"/>
          <w:sz w:val="21"/>
          <w:szCs w:val="21"/>
        </w:rPr>
      </w:pPr>
    </w:p>
    <w:p w14:paraId="6DB727E6" w14:textId="77777777" w:rsidR="001E07D6" w:rsidRDefault="001E07D6" w:rsidP="001E07D6">
      <w:pPr>
        <w:autoSpaceDE w:val="0"/>
        <w:autoSpaceDN w:val="0"/>
        <w:adjustRightInd w:val="0"/>
        <w:ind w:firstLine="708"/>
        <w:jc w:val="both"/>
        <w:rPr>
          <w:rFonts w:ascii="Abadi" w:hAnsi="Abadi" w:cs="*Arial-5789-Identity-H"/>
          <w:color w:val="15141C"/>
          <w:sz w:val="21"/>
          <w:szCs w:val="21"/>
        </w:rPr>
      </w:pPr>
      <w:r w:rsidRPr="009D2C14">
        <w:rPr>
          <w:rFonts w:ascii="Abadi" w:hAnsi="Abadi" w:cs="*Arial-5789-Identity-H"/>
          <w:color w:val="15141C"/>
          <w:sz w:val="21"/>
          <w:szCs w:val="21"/>
        </w:rPr>
        <w:t>En el punto correspondiente a estructura del informe y valoración, se señala</w:t>
      </w:r>
      <w:r>
        <w:rPr>
          <w:rFonts w:ascii="Abadi" w:hAnsi="Abadi" w:cs="*Arial-5789-Identity-H"/>
          <w:color w:val="15141C"/>
          <w:sz w:val="21"/>
          <w:szCs w:val="21"/>
        </w:rPr>
        <w:t xml:space="preserve"> </w:t>
      </w:r>
      <w:r w:rsidRPr="009D2C14">
        <w:rPr>
          <w:rFonts w:ascii="Abadi" w:hAnsi="Abadi" w:cs="*Arial-5789-Identity-H"/>
          <w:color w:val="15141C"/>
          <w:sz w:val="21"/>
          <w:szCs w:val="21"/>
        </w:rPr>
        <w:t>que el informe de resultados es el documento técnico en el que se presentan los</w:t>
      </w:r>
      <w:r>
        <w:rPr>
          <w:rFonts w:ascii="Abadi" w:hAnsi="Abadi" w:cs="*Arial-5789-Identity-H"/>
          <w:color w:val="15141C"/>
          <w:sz w:val="21"/>
          <w:szCs w:val="21"/>
        </w:rPr>
        <w:t xml:space="preserve"> </w:t>
      </w:r>
      <w:r w:rsidRPr="009D2C14">
        <w:rPr>
          <w:rFonts w:ascii="Abadi" w:hAnsi="Abadi" w:cs="*Arial-5789-Identity-H"/>
          <w:color w:val="15141C"/>
          <w:sz w:val="21"/>
          <w:szCs w:val="21"/>
        </w:rPr>
        <w:t>datos e información que identifican una revisión, las conclusiones y las</w:t>
      </w:r>
      <w:r>
        <w:rPr>
          <w:rFonts w:ascii="Abadi" w:hAnsi="Abadi" w:cs="*Arial-5789-Identity-H"/>
          <w:color w:val="15141C"/>
          <w:sz w:val="21"/>
          <w:szCs w:val="21"/>
        </w:rPr>
        <w:t xml:space="preserve"> </w:t>
      </w:r>
      <w:r w:rsidRPr="009D2C14">
        <w:rPr>
          <w:rFonts w:ascii="Abadi" w:hAnsi="Abadi" w:cs="*Arial-5789-Identity-H"/>
          <w:color w:val="15141C"/>
          <w:sz w:val="21"/>
          <w:szCs w:val="21"/>
        </w:rPr>
        <w:t>recomendaciones al desempeño que se propondrán al ente fiscalizado.</w:t>
      </w:r>
    </w:p>
    <w:p w14:paraId="26829DD0" w14:textId="77777777" w:rsidR="001E07D6" w:rsidRPr="009D2C14" w:rsidRDefault="001E07D6" w:rsidP="001E07D6">
      <w:pPr>
        <w:autoSpaceDE w:val="0"/>
        <w:autoSpaceDN w:val="0"/>
        <w:adjustRightInd w:val="0"/>
        <w:jc w:val="both"/>
        <w:rPr>
          <w:rFonts w:ascii="Abadi" w:hAnsi="Abadi" w:cs="*Arial-5789-Identity-H"/>
          <w:color w:val="15141C"/>
          <w:sz w:val="21"/>
          <w:szCs w:val="21"/>
        </w:rPr>
      </w:pPr>
    </w:p>
    <w:p w14:paraId="7BED06C1" w14:textId="77777777" w:rsidR="001E07D6" w:rsidRDefault="001E07D6" w:rsidP="001E07D6">
      <w:pPr>
        <w:autoSpaceDE w:val="0"/>
        <w:autoSpaceDN w:val="0"/>
        <w:adjustRightInd w:val="0"/>
        <w:ind w:firstLine="708"/>
        <w:jc w:val="both"/>
        <w:rPr>
          <w:rFonts w:ascii="Abadi" w:hAnsi="Abadi" w:cs="*Arial-5789-Identity-H"/>
          <w:color w:val="15141B"/>
          <w:sz w:val="21"/>
          <w:szCs w:val="21"/>
        </w:rPr>
      </w:pPr>
      <w:r w:rsidRPr="009D2C14">
        <w:rPr>
          <w:rFonts w:ascii="Abadi" w:hAnsi="Abadi" w:cs="*Arial-5789-Identity-H"/>
          <w:color w:val="15141B"/>
          <w:sz w:val="21"/>
          <w:szCs w:val="21"/>
        </w:rPr>
        <w:t>Asimismo, se refiere que el artículo 26 del Reglamento de la Ley de</w:t>
      </w:r>
      <w:r>
        <w:rPr>
          <w:rFonts w:ascii="Abadi" w:hAnsi="Abadi" w:cs="*Arial-5789-Identity-H"/>
          <w:color w:val="15141B"/>
          <w:sz w:val="21"/>
          <w:szCs w:val="21"/>
        </w:rPr>
        <w:t xml:space="preserve"> </w:t>
      </w:r>
      <w:r w:rsidRPr="009D2C14">
        <w:rPr>
          <w:rFonts w:ascii="Abadi" w:hAnsi="Abadi" w:cs="*Arial-5789-Identity-H"/>
          <w:color w:val="15141B"/>
          <w:sz w:val="21"/>
          <w:szCs w:val="21"/>
        </w:rPr>
        <w:t>Fiscalización Superior del Estado de Guanajuato establece los requisitos mínimos</w:t>
      </w:r>
      <w:r>
        <w:rPr>
          <w:rFonts w:ascii="Abadi" w:hAnsi="Abadi" w:cs="*Arial-5789-Identity-H"/>
          <w:color w:val="15141B"/>
          <w:sz w:val="21"/>
          <w:szCs w:val="21"/>
        </w:rPr>
        <w:t xml:space="preserve"> </w:t>
      </w:r>
      <w:r w:rsidRPr="009D2C14">
        <w:rPr>
          <w:rFonts w:ascii="Abadi" w:hAnsi="Abadi" w:cs="*Arial-5789-Identity-H"/>
          <w:color w:val="15141B"/>
          <w:sz w:val="21"/>
          <w:szCs w:val="21"/>
        </w:rPr>
        <w:t>que deben contener los informes de resultados de las auditorías de desempeño,</w:t>
      </w:r>
      <w:r>
        <w:rPr>
          <w:rFonts w:ascii="Abadi" w:hAnsi="Abadi" w:cs="*Arial-5789-Identity-H"/>
          <w:color w:val="15141B"/>
          <w:sz w:val="21"/>
          <w:szCs w:val="21"/>
        </w:rPr>
        <w:t xml:space="preserve"> </w:t>
      </w:r>
      <w:r w:rsidRPr="009D2C14">
        <w:rPr>
          <w:rFonts w:ascii="Abadi" w:hAnsi="Abadi" w:cs="*Arial-5789-Identity-H"/>
          <w:color w:val="15141B"/>
          <w:sz w:val="21"/>
          <w:szCs w:val="21"/>
        </w:rPr>
        <w:t>los cuales se cumplieron en la formulación del informe de resultados. También se</w:t>
      </w:r>
      <w:r>
        <w:rPr>
          <w:rFonts w:ascii="Abadi" w:hAnsi="Abadi" w:cs="*Arial-5789-Identity-H"/>
          <w:color w:val="15141B"/>
          <w:sz w:val="21"/>
          <w:szCs w:val="21"/>
        </w:rPr>
        <w:t xml:space="preserve"> </w:t>
      </w:r>
      <w:r w:rsidRPr="009D2C14">
        <w:rPr>
          <w:rFonts w:ascii="Abadi" w:hAnsi="Abadi" w:cs="*Arial-5789-Identity-H"/>
          <w:color w:val="15141B"/>
          <w:sz w:val="21"/>
          <w:szCs w:val="21"/>
        </w:rPr>
        <w:t>precisan los datos de identificación del acto de fiscalización, como son el título o</w:t>
      </w:r>
      <w:r>
        <w:rPr>
          <w:rFonts w:ascii="Abadi" w:hAnsi="Abadi" w:cs="*Arial-5789-Identity-H"/>
          <w:color w:val="15141B"/>
          <w:sz w:val="21"/>
          <w:szCs w:val="21"/>
        </w:rPr>
        <w:t xml:space="preserve"> </w:t>
      </w:r>
      <w:r w:rsidRPr="009D2C14">
        <w:rPr>
          <w:rFonts w:ascii="Abadi" w:hAnsi="Abadi" w:cs="*Arial-5789-Identity-H"/>
          <w:color w:val="15141B"/>
          <w:sz w:val="21"/>
          <w:szCs w:val="21"/>
        </w:rPr>
        <w:t>enfoque de la auditoría, el sujeto fiscalizado, el periodo de revisión y el programa</w:t>
      </w:r>
      <w:r>
        <w:rPr>
          <w:rFonts w:ascii="Abadi" w:hAnsi="Abadi" w:cs="*Arial-5789-Identity-H"/>
          <w:color w:val="15141B"/>
          <w:sz w:val="21"/>
          <w:szCs w:val="21"/>
        </w:rPr>
        <w:t xml:space="preserve"> </w:t>
      </w:r>
      <w:r w:rsidRPr="009D2C14">
        <w:rPr>
          <w:rFonts w:ascii="Abadi" w:hAnsi="Abadi" w:cs="*Arial-5789-Identity-H"/>
          <w:color w:val="15141B"/>
          <w:sz w:val="21"/>
          <w:szCs w:val="21"/>
        </w:rPr>
        <w:t>que se fiscaliza, en función de lo autorizado en el Programa General de</w:t>
      </w:r>
      <w:r>
        <w:rPr>
          <w:rFonts w:ascii="Abadi" w:hAnsi="Abadi" w:cs="*Arial-5789-Identity-H"/>
          <w:color w:val="15141B"/>
          <w:sz w:val="21"/>
          <w:szCs w:val="21"/>
        </w:rPr>
        <w:t xml:space="preserve"> </w:t>
      </w:r>
      <w:r w:rsidRPr="009D2C14">
        <w:rPr>
          <w:rFonts w:ascii="Abadi" w:hAnsi="Abadi" w:cs="*Arial-5789-Identity-H"/>
          <w:color w:val="15141B"/>
          <w:sz w:val="21"/>
          <w:szCs w:val="21"/>
        </w:rPr>
        <w:t>Fiscalización respectivo.</w:t>
      </w:r>
    </w:p>
    <w:p w14:paraId="4F292448" w14:textId="77777777" w:rsidR="001E07D6" w:rsidRPr="009D2C14" w:rsidRDefault="001E07D6" w:rsidP="001E07D6">
      <w:pPr>
        <w:autoSpaceDE w:val="0"/>
        <w:autoSpaceDN w:val="0"/>
        <w:adjustRightInd w:val="0"/>
        <w:jc w:val="both"/>
        <w:rPr>
          <w:rFonts w:ascii="Abadi" w:hAnsi="Abadi" w:cs="*Arial-5789-Identity-H"/>
          <w:color w:val="15141B"/>
          <w:sz w:val="21"/>
          <w:szCs w:val="21"/>
        </w:rPr>
      </w:pPr>
    </w:p>
    <w:p w14:paraId="7861B5E5" w14:textId="77777777" w:rsidR="001E07D6" w:rsidRPr="009D2C14" w:rsidRDefault="001E07D6" w:rsidP="001E07D6">
      <w:pPr>
        <w:autoSpaceDE w:val="0"/>
        <w:autoSpaceDN w:val="0"/>
        <w:adjustRightInd w:val="0"/>
        <w:ind w:firstLine="708"/>
        <w:jc w:val="both"/>
        <w:rPr>
          <w:rFonts w:ascii="Abadi" w:hAnsi="Abadi" w:cs="*Arial-5789-Identity-H"/>
          <w:color w:val="14141C"/>
          <w:sz w:val="21"/>
          <w:szCs w:val="21"/>
        </w:rPr>
      </w:pPr>
      <w:r w:rsidRPr="009D2C14">
        <w:rPr>
          <w:rFonts w:ascii="Abadi" w:hAnsi="Abadi" w:cs="*Arial-5789-Identity-H"/>
          <w:color w:val="14141C"/>
          <w:sz w:val="21"/>
          <w:szCs w:val="21"/>
        </w:rPr>
        <w:t>Por lo que hace a la valoración de la respuesta del sujeto fiscalizado, el</w:t>
      </w:r>
      <w:r>
        <w:rPr>
          <w:rFonts w:ascii="Abadi" w:hAnsi="Abadi" w:cs="*Arial-5789-Identity-H"/>
          <w:color w:val="14141C"/>
          <w:sz w:val="21"/>
          <w:szCs w:val="21"/>
        </w:rPr>
        <w:t xml:space="preserve"> </w:t>
      </w:r>
      <w:r w:rsidRPr="009D2C14">
        <w:rPr>
          <w:rFonts w:ascii="Abadi" w:hAnsi="Abadi" w:cs="*Arial-5789-Identity-H"/>
          <w:color w:val="14141C"/>
          <w:sz w:val="21"/>
          <w:szCs w:val="21"/>
        </w:rPr>
        <w:t>Órgano Técnico determinó lo conducente respecto a las recomendaciones</w:t>
      </w:r>
      <w:r>
        <w:rPr>
          <w:rFonts w:ascii="Abadi" w:hAnsi="Abadi" w:cs="*Arial-5789-Identity-H"/>
          <w:color w:val="14141C"/>
          <w:sz w:val="21"/>
          <w:szCs w:val="21"/>
        </w:rPr>
        <w:t xml:space="preserve"> </w:t>
      </w:r>
      <w:r w:rsidRPr="009D2C14">
        <w:rPr>
          <w:rFonts w:ascii="Abadi" w:hAnsi="Abadi" w:cs="*Arial-5789-Identity-H"/>
          <w:color w:val="14141C"/>
          <w:sz w:val="21"/>
          <w:szCs w:val="21"/>
        </w:rPr>
        <w:t>emitidas, para lo cual realizó un análisis de la documentación y evidencia</w:t>
      </w:r>
      <w:r>
        <w:rPr>
          <w:rFonts w:ascii="Abadi" w:hAnsi="Abadi" w:cs="*Arial-5789-Identity-H"/>
          <w:color w:val="14141C"/>
          <w:sz w:val="21"/>
          <w:szCs w:val="21"/>
        </w:rPr>
        <w:t xml:space="preserve"> </w:t>
      </w:r>
      <w:r w:rsidRPr="009D2C14">
        <w:rPr>
          <w:rFonts w:ascii="Abadi" w:hAnsi="Abadi" w:cs="*Arial-5789-Identity-H"/>
          <w:color w:val="14141C"/>
          <w:sz w:val="21"/>
          <w:szCs w:val="21"/>
        </w:rPr>
        <w:t>proporcionada por el sujeto fiscalizado, a fin de valorar si este efectuó mejoras, si</w:t>
      </w:r>
      <w:r>
        <w:rPr>
          <w:rFonts w:ascii="Abadi" w:hAnsi="Abadi" w:cs="*Arial-5789-Identity-H"/>
          <w:color w:val="14141C"/>
          <w:sz w:val="21"/>
          <w:szCs w:val="21"/>
        </w:rPr>
        <w:t xml:space="preserve"> </w:t>
      </w:r>
      <w:r w:rsidRPr="009D2C14">
        <w:rPr>
          <w:rFonts w:ascii="Abadi" w:hAnsi="Abadi" w:cs="*Arial-5789-Identity-H"/>
          <w:color w:val="14141C"/>
          <w:sz w:val="21"/>
          <w:szCs w:val="21"/>
        </w:rPr>
        <w:t>realizará alguna acción o emitió la justificación correspondiente sobre la</w:t>
      </w:r>
      <w:r>
        <w:rPr>
          <w:rFonts w:ascii="Abadi" w:hAnsi="Abadi" w:cs="*Arial-5789-Identity-H"/>
          <w:color w:val="14141C"/>
          <w:sz w:val="21"/>
          <w:szCs w:val="21"/>
        </w:rPr>
        <w:t xml:space="preserve"> </w:t>
      </w:r>
      <w:r w:rsidRPr="009D2C14">
        <w:rPr>
          <w:rFonts w:ascii="Abadi" w:hAnsi="Abadi" w:cs="*Arial-5789-Identity-H"/>
          <w:color w:val="14141C"/>
          <w:sz w:val="21"/>
          <w:szCs w:val="21"/>
        </w:rPr>
        <w:t>improcedencia por la cual no resulte factible su implementación o bien, la</w:t>
      </w:r>
      <w:r>
        <w:rPr>
          <w:rFonts w:ascii="Abadi" w:hAnsi="Abadi" w:cs="*Arial-5789-Identity-H"/>
          <w:color w:val="14141C"/>
          <w:sz w:val="21"/>
          <w:szCs w:val="21"/>
        </w:rPr>
        <w:t xml:space="preserve"> </w:t>
      </w:r>
      <w:r w:rsidRPr="009D2C14">
        <w:rPr>
          <w:rFonts w:ascii="Abadi" w:hAnsi="Abadi" w:cs="*Arial-5789-Identity-H"/>
          <w:color w:val="14141C"/>
          <w:sz w:val="21"/>
          <w:szCs w:val="21"/>
        </w:rPr>
        <w:t>consideración de medidas alternas que fortalezcan el desempeño de la gestión</w:t>
      </w:r>
      <w:r>
        <w:rPr>
          <w:rFonts w:ascii="Abadi" w:hAnsi="Abadi" w:cs="*Arial-5789-Identity-H"/>
          <w:color w:val="14141C"/>
          <w:sz w:val="21"/>
          <w:szCs w:val="21"/>
        </w:rPr>
        <w:t xml:space="preserve"> </w:t>
      </w:r>
      <w:r w:rsidRPr="009D2C14">
        <w:rPr>
          <w:rFonts w:ascii="Abadi" w:hAnsi="Abadi" w:cs="*Arial-5789-Identity-H"/>
          <w:color w:val="14141C"/>
          <w:sz w:val="21"/>
          <w:szCs w:val="21"/>
        </w:rPr>
        <w:t>pública. Asimismo, se señala que las recomendaciones efectuadas al sujeto</w:t>
      </w:r>
      <w:r>
        <w:rPr>
          <w:rFonts w:ascii="Abadi" w:hAnsi="Abadi" w:cs="*Arial-5789-Identity-H"/>
          <w:color w:val="14141C"/>
          <w:sz w:val="21"/>
          <w:szCs w:val="21"/>
        </w:rPr>
        <w:t xml:space="preserve"> </w:t>
      </w:r>
      <w:r w:rsidRPr="009D2C14">
        <w:rPr>
          <w:rFonts w:ascii="Abadi" w:hAnsi="Abadi" w:cs="*Arial-5789-Identity-H"/>
          <w:color w:val="14141C"/>
          <w:sz w:val="21"/>
          <w:szCs w:val="21"/>
        </w:rPr>
        <w:t>fiscalizado podrían considerarse como persistentes, cuando no sea posible</w:t>
      </w:r>
      <w:r>
        <w:rPr>
          <w:rFonts w:ascii="Abadi" w:hAnsi="Abadi" w:cs="*Arial-5789-Identity-H"/>
          <w:color w:val="14141C"/>
          <w:sz w:val="21"/>
          <w:szCs w:val="21"/>
        </w:rPr>
        <w:t xml:space="preserve"> </w:t>
      </w:r>
      <w:r w:rsidRPr="009D2C14">
        <w:rPr>
          <w:rFonts w:ascii="Abadi" w:hAnsi="Abadi" w:cs="*Arial-5789-Identity-H"/>
          <w:color w:val="14141C"/>
          <w:sz w:val="21"/>
          <w:szCs w:val="21"/>
        </w:rPr>
        <w:t>valorarlas en alguno de los supuestos antes referidos.</w:t>
      </w:r>
    </w:p>
    <w:p w14:paraId="578C06EE" w14:textId="77777777" w:rsidR="001E07D6" w:rsidRPr="009D2C14" w:rsidRDefault="001E07D6" w:rsidP="001E07D6">
      <w:pPr>
        <w:autoSpaceDE w:val="0"/>
        <w:autoSpaceDN w:val="0"/>
        <w:adjustRightInd w:val="0"/>
        <w:jc w:val="both"/>
        <w:rPr>
          <w:rFonts w:ascii="Abadi" w:hAnsi="Abadi" w:cs="*Arial-5652-Identity-H"/>
          <w:color w:val="1B171F"/>
          <w:sz w:val="21"/>
          <w:szCs w:val="21"/>
        </w:rPr>
      </w:pPr>
    </w:p>
    <w:p w14:paraId="31F2B24D" w14:textId="77777777" w:rsidR="001E07D6" w:rsidRPr="009D2C14" w:rsidRDefault="001E07D6" w:rsidP="001E07D6">
      <w:pPr>
        <w:autoSpaceDE w:val="0"/>
        <w:autoSpaceDN w:val="0"/>
        <w:adjustRightInd w:val="0"/>
        <w:ind w:firstLine="708"/>
        <w:jc w:val="both"/>
        <w:rPr>
          <w:rFonts w:ascii="Abadi" w:hAnsi="Abadi" w:cs="*Arial-5651-Identity-H"/>
          <w:color w:val="14131B"/>
          <w:sz w:val="21"/>
          <w:szCs w:val="21"/>
        </w:rPr>
      </w:pPr>
      <w:r w:rsidRPr="009D2C14">
        <w:rPr>
          <w:rFonts w:ascii="Abadi" w:hAnsi="Abadi" w:cs="*Arial-5651-Identity-H"/>
          <w:color w:val="14131B"/>
          <w:sz w:val="21"/>
          <w:szCs w:val="21"/>
        </w:rPr>
        <w:t>Es así, que la valoración realizada por la Auditoría Superior del Estado</w:t>
      </w:r>
      <w:r>
        <w:rPr>
          <w:rFonts w:ascii="Abadi" w:hAnsi="Abadi" w:cs="*Arial-5651-Identity-H"/>
          <w:color w:val="14131B"/>
          <w:sz w:val="21"/>
          <w:szCs w:val="21"/>
        </w:rPr>
        <w:t xml:space="preserve"> </w:t>
      </w:r>
      <w:r w:rsidRPr="009D2C14">
        <w:rPr>
          <w:rFonts w:ascii="Abadi" w:hAnsi="Abadi" w:cs="*Arial-5651-Identity-H"/>
          <w:color w:val="14131B"/>
          <w:sz w:val="21"/>
          <w:szCs w:val="21"/>
        </w:rPr>
        <w:t>redunda en las manifestaciones, argumentos, acciones y evidencia presentada en</w:t>
      </w:r>
      <w:r>
        <w:rPr>
          <w:rFonts w:ascii="Abadi" w:hAnsi="Abadi" w:cs="*Arial-5651-Identity-H"/>
          <w:color w:val="14131B"/>
          <w:sz w:val="21"/>
          <w:szCs w:val="21"/>
        </w:rPr>
        <w:t xml:space="preserve"> </w:t>
      </w:r>
      <w:r w:rsidRPr="009D2C14">
        <w:rPr>
          <w:rFonts w:ascii="Abadi" w:hAnsi="Abadi" w:cs="*Arial-5651-Identity-H"/>
          <w:color w:val="14131B"/>
          <w:sz w:val="21"/>
          <w:szCs w:val="21"/>
        </w:rPr>
        <w:t>la respuesta al pliego de recomendaciones, para lo cual la evidencia aportada por</w:t>
      </w:r>
      <w:r>
        <w:rPr>
          <w:rFonts w:ascii="Abadi" w:hAnsi="Abadi" w:cs="*Arial-5651-Identity-H"/>
          <w:color w:val="14131B"/>
          <w:sz w:val="21"/>
          <w:szCs w:val="21"/>
        </w:rPr>
        <w:t xml:space="preserve"> </w:t>
      </w:r>
      <w:r w:rsidRPr="009D2C14">
        <w:rPr>
          <w:rFonts w:ascii="Abadi" w:hAnsi="Abadi" w:cs="*Arial-5651-Identity-H"/>
          <w:color w:val="14131B"/>
          <w:sz w:val="21"/>
          <w:szCs w:val="21"/>
        </w:rPr>
        <w:t>el sujeto fiscalizado debe ser competente, pertinente, suficiente y relevante.</w:t>
      </w:r>
      <w:r>
        <w:rPr>
          <w:rFonts w:ascii="Abadi" w:hAnsi="Abadi" w:cs="*Arial-5651-Identity-H"/>
          <w:color w:val="14131B"/>
          <w:sz w:val="21"/>
          <w:szCs w:val="21"/>
        </w:rPr>
        <w:t xml:space="preserve"> </w:t>
      </w:r>
      <w:r w:rsidRPr="009D2C14">
        <w:rPr>
          <w:rFonts w:ascii="Abadi" w:hAnsi="Abadi" w:cs="*Arial-5651-Identity-H"/>
          <w:color w:val="14131B"/>
          <w:sz w:val="21"/>
          <w:szCs w:val="21"/>
        </w:rPr>
        <w:t>Respecto al objetivo y alcance de la auditoría se señala que de acuerdo a la</w:t>
      </w:r>
      <w:r>
        <w:rPr>
          <w:rFonts w:ascii="Abadi" w:hAnsi="Abadi" w:cs="*Arial-5651-Identity-H"/>
          <w:color w:val="14131B"/>
          <w:sz w:val="21"/>
          <w:szCs w:val="21"/>
        </w:rPr>
        <w:t xml:space="preserve"> </w:t>
      </w:r>
      <w:r w:rsidRPr="009D2C14">
        <w:rPr>
          <w:rFonts w:ascii="Abadi" w:hAnsi="Abadi" w:cs="*Arial-5651-Identity-H"/>
          <w:color w:val="14131B"/>
          <w:sz w:val="21"/>
          <w:szCs w:val="21"/>
        </w:rPr>
        <w:t>Organización Internacional de las Entidades Fiscalizadoras Superiores, para las</w:t>
      </w:r>
      <w:r>
        <w:rPr>
          <w:rFonts w:ascii="Abadi" w:hAnsi="Abadi" w:cs="*Arial-5651-Identity-H"/>
          <w:color w:val="14131B"/>
          <w:sz w:val="21"/>
          <w:szCs w:val="21"/>
        </w:rPr>
        <w:t xml:space="preserve"> </w:t>
      </w:r>
      <w:r w:rsidRPr="009D2C14">
        <w:rPr>
          <w:rFonts w:ascii="Abadi" w:hAnsi="Abadi" w:cs="*Arial-5651-Identity-H"/>
          <w:color w:val="14131B"/>
          <w:sz w:val="21"/>
          <w:szCs w:val="21"/>
        </w:rPr>
        <w:t>auditorías de</w:t>
      </w:r>
      <w:r>
        <w:rPr>
          <w:rFonts w:ascii="Abadi" w:hAnsi="Abadi" w:cs="*Arial-5651-Identity-H"/>
          <w:color w:val="14131B"/>
          <w:sz w:val="21"/>
          <w:szCs w:val="21"/>
        </w:rPr>
        <w:t xml:space="preserve"> </w:t>
      </w:r>
      <w:r w:rsidRPr="009D2C14">
        <w:rPr>
          <w:rFonts w:ascii="Abadi" w:hAnsi="Abadi" w:cs="*Arial-5651-Identity-H"/>
          <w:color w:val="14131B"/>
          <w:sz w:val="21"/>
          <w:szCs w:val="21"/>
        </w:rPr>
        <w:t>desempeño existen tres enfoques que están orientados a los</w:t>
      </w:r>
      <w:r>
        <w:rPr>
          <w:rFonts w:ascii="Abadi" w:hAnsi="Abadi" w:cs="*Arial-5651-Identity-H"/>
          <w:color w:val="14131B"/>
          <w:sz w:val="21"/>
          <w:szCs w:val="21"/>
        </w:rPr>
        <w:t xml:space="preserve"> </w:t>
      </w:r>
      <w:r w:rsidRPr="009D2C14">
        <w:rPr>
          <w:rFonts w:ascii="Abadi" w:hAnsi="Abadi" w:cs="*Arial-5651-Identity-H"/>
          <w:color w:val="14131B"/>
          <w:sz w:val="21"/>
          <w:szCs w:val="21"/>
        </w:rPr>
        <w:t>siguientes aspectos: Al sistema, el cual examina el funcionamiento adecuado de</w:t>
      </w:r>
      <w:r>
        <w:rPr>
          <w:rFonts w:ascii="Abadi" w:hAnsi="Abadi" w:cs="*Arial-5651-Identity-H"/>
          <w:color w:val="14131B"/>
          <w:sz w:val="21"/>
          <w:szCs w:val="21"/>
        </w:rPr>
        <w:t xml:space="preserve"> </w:t>
      </w:r>
      <w:r w:rsidRPr="009D2C14">
        <w:rPr>
          <w:rFonts w:ascii="Abadi" w:hAnsi="Abadi" w:cs="*Arial-5651-Identity-H"/>
          <w:color w:val="14131B"/>
          <w:sz w:val="21"/>
          <w:szCs w:val="21"/>
        </w:rPr>
        <w:t>los sistemas de gestión; a los resultados, en el que se evalúa si los objetivos en</w:t>
      </w:r>
      <w:r>
        <w:rPr>
          <w:rFonts w:ascii="Abadi" w:hAnsi="Abadi" w:cs="*Arial-5651-Identity-H"/>
          <w:color w:val="14131B"/>
          <w:sz w:val="21"/>
          <w:szCs w:val="21"/>
        </w:rPr>
        <w:t xml:space="preserve"> </w:t>
      </w:r>
      <w:r w:rsidRPr="009D2C14">
        <w:rPr>
          <w:rFonts w:ascii="Abadi" w:hAnsi="Abadi" w:cs="*Arial-5651-Identity-H"/>
          <w:color w:val="14131B"/>
          <w:sz w:val="21"/>
          <w:szCs w:val="21"/>
        </w:rPr>
        <w:t>términos de resultados o productos han sido alcanzados como se deseaba, o si</w:t>
      </w:r>
      <w:r>
        <w:rPr>
          <w:rFonts w:ascii="Abadi" w:hAnsi="Abadi" w:cs="*Arial-5651-Identity-H"/>
          <w:color w:val="14131B"/>
          <w:sz w:val="21"/>
          <w:szCs w:val="21"/>
        </w:rPr>
        <w:t xml:space="preserve"> </w:t>
      </w:r>
      <w:r w:rsidRPr="009D2C14">
        <w:rPr>
          <w:rFonts w:ascii="Abadi" w:hAnsi="Abadi" w:cs="*Arial-5651-Identity-H"/>
          <w:color w:val="14131B"/>
          <w:sz w:val="21"/>
          <w:szCs w:val="21"/>
        </w:rPr>
        <w:t>los programas y servicios operan como se esperaba; y al problema, el cual</w:t>
      </w:r>
    </w:p>
    <w:p w14:paraId="46AF05A5" w14:textId="77777777" w:rsidR="001E07D6" w:rsidRDefault="001E07D6" w:rsidP="001E07D6">
      <w:pPr>
        <w:autoSpaceDE w:val="0"/>
        <w:autoSpaceDN w:val="0"/>
        <w:adjustRightInd w:val="0"/>
        <w:jc w:val="both"/>
        <w:rPr>
          <w:rFonts w:ascii="Abadi" w:hAnsi="Abadi" w:cs="*Arial-5651-Identity-H"/>
          <w:color w:val="14131B"/>
          <w:sz w:val="21"/>
          <w:szCs w:val="21"/>
        </w:rPr>
      </w:pPr>
      <w:r w:rsidRPr="009D2C14">
        <w:rPr>
          <w:rFonts w:ascii="Abadi" w:hAnsi="Abadi" w:cs="*Arial-5651-Identity-H"/>
          <w:color w:val="14131B"/>
          <w:sz w:val="21"/>
          <w:szCs w:val="21"/>
        </w:rPr>
        <w:t>examina, verifica y analiza las causas de los problemas particulares o</w:t>
      </w:r>
      <w:r>
        <w:rPr>
          <w:rFonts w:ascii="Abadi" w:hAnsi="Abadi" w:cs="*Arial-5651-Identity-H"/>
          <w:color w:val="14131B"/>
          <w:sz w:val="21"/>
          <w:szCs w:val="21"/>
        </w:rPr>
        <w:t xml:space="preserve"> </w:t>
      </w:r>
      <w:r w:rsidRPr="009D2C14">
        <w:rPr>
          <w:rFonts w:ascii="Abadi" w:hAnsi="Abadi" w:cs="*Arial-5651-Identity-H"/>
          <w:color w:val="14131B"/>
          <w:sz w:val="21"/>
          <w:szCs w:val="21"/>
        </w:rPr>
        <w:t>desviaciones de los criterios establecidos.</w:t>
      </w:r>
    </w:p>
    <w:p w14:paraId="43786455" w14:textId="77777777" w:rsidR="001E07D6" w:rsidRPr="009D2C14" w:rsidRDefault="001E07D6" w:rsidP="001E07D6">
      <w:pPr>
        <w:autoSpaceDE w:val="0"/>
        <w:autoSpaceDN w:val="0"/>
        <w:adjustRightInd w:val="0"/>
        <w:jc w:val="both"/>
        <w:rPr>
          <w:rFonts w:ascii="Abadi" w:hAnsi="Abadi" w:cs="*Arial-5651-Identity-H"/>
          <w:color w:val="14131B"/>
          <w:sz w:val="21"/>
          <w:szCs w:val="21"/>
        </w:rPr>
      </w:pPr>
    </w:p>
    <w:p w14:paraId="7CADDF1A" w14:textId="77777777" w:rsidR="001E07D6" w:rsidRDefault="001E07D6" w:rsidP="001E07D6">
      <w:pPr>
        <w:autoSpaceDE w:val="0"/>
        <w:autoSpaceDN w:val="0"/>
        <w:adjustRightInd w:val="0"/>
        <w:ind w:firstLine="708"/>
        <w:jc w:val="both"/>
        <w:rPr>
          <w:rFonts w:ascii="Abadi" w:hAnsi="Abadi" w:cs="*Arial-5651-Identity-H"/>
          <w:color w:val="14131C"/>
          <w:sz w:val="21"/>
          <w:szCs w:val="21"/>
        </w:rPr>
      </w:pPr>
      <w:r w:rsidRPr="009D2C14">
        <w:rPr>
          <w:rFonts w:ascii="Abadi" w:hAnsi="Abadi" w:cs="*Arial-5651-Identity-H"/>
          <w:color w:val="14131B"/>
          <w:sz w:val="21"/>
          <w:szCs w:val="21"/>
        </w:rPr>
        <w:t>En las auditorías de desempeño practicadas por la Auditoría Superior del</w:t>
      </w:r>
      <w:r>
        <w:rPr>
          <w:rFonts w:ascii="Abadi" w:hAnsi="Abadi" w:cs="*Arial-5651-Identity-H"/>
          <w:color w:val="14131B"/>
          <w:sz w:val="21"/>
          <w:szCs w:val="21"/>
        </w:rPr>
        <w:t xml:space="preserve"> </w:t>
      </w:r>
      <w:r w:rsidRPr="009D2C14">
        <w:rPr>
          <w:rFonts w:ascii="Abadi" w:hAnsi="Abadi" w:cs="*Arial-5651-Identity-H"/>
          <w:color w:val="14131B"/>
          <w:sz w:val="21"/>
          <w:szCs w:val="21"/>
        </w:rPr>
        <w:t>Estado se consideran dichos enfoques, mediante las auditorías de cumplimiento</w:t>
      </w:r>
      <w:r>
        <w:rPr>
          <w:rFonts w:ascii="Abadi" w:hAnsi="Abadi" w:cs="*Arial-5651-Identity-H"/>
          <w:color w:val="14131B"/>
          <w:sz w:val="21"/>
          <w:szCs w:val="21"/>
        </w:rPr>
        <w:t xml:space="preserve"> </w:t>
      </w:r>
      <w:r w:rsidRPr="009D2C14">
        <w:rPr>
          <w:rFonts w:ascii="Abadi" w:hAnsi="Abadi" w:cs="*Arial-5651-Identity-H"/>
          <w:color w:val="14131B"/>
          <w:sz w:val="21"/>
          <w:szCs w:val="21"/>
        </w:rPr>
        <w:t>de objetivos o resultados, de diseño y de consistencia y resultados.</w:t>
      </w:r>
      <w:r>
        <w:rPr>
          <w:rFonts w:ascii="Abadi" w:hAnsi="Abadi" w:cs="*Arial-5651-Identity-H"/>
          <w:color w:val="14131B"/>
          <w:sz w:val="21"/>
          <w:szCs w:val="21"/>
        </w:rPr>
        <w:t xml:space="preserve"> </w:t>
      </w:r>
      <w:r w:rsidRPr="009D2C14">
        <w:rPr>
          <w:rFonts w:ascii="Abadi" w:hAnsi="Abadi" w:cs="*Arial-5651-Identity-H"/>
          <w:color w:val="131419"/>
          <w:sz w:val="21"/>
          <w:szCs w:val="21"/>
        </w:rPr>
        <w:t>En la auditoría que nos ocupa se aplicó un enfoque de resultados y se</w:t>
      </w:r>
      <w:r>
        <w:rPr>
          <w:rFonts w:ascii="Abadi" w:hAnsi="Abadi" w:cs="*Arial-5651-Identity-H"/>
          <w:color w:val="131419"/>
          <w:sz w:val="21"/>
          <w:szCs w:val="21"/>
        </w:rPr>
        <w:t xml:space="preserve"> </w:t>
      </w:r>
      <w:r w:rsidRPr="009D2C14">
        <w:rPr>
          <w:rFonts w:ascii="Abadi" w:hAnsi="Abadi" w:cs="*Arial-5651-Identity-H"/>
          <w:color w:val="131419"/>
          <w:sz w:val="21"/>
          <w:szCs w:val="21"/>
        </w:rPr>
        <w:t>incluyó en el Programa General de Fiscalización 2021, considerando diversos</w:t>
      </w:r>
      <w:r>
        <w:rPr>
          <w:rFonts w:ascii="Abadi" w:hAnsi="Abadi" w:cs="*Arial-5651-Identity-H"/>
          <w:color w:val="131419"/>
          <w:sz w:val="21"/>
          <w:szCs w:val="21"/>
        </w:rPr>
        <w:t xml:space="preserve"> </w:t>
      </w:r>
      <w:r w:rsidRPr="009D2C14">
        <w:rPr>
          <w:rFonts w:ascii="Abadi" w:hAnsi="Abadi" w:cs="*Arial-5651-Identity-H"/>
          <w:color w:val="131419"/>
          <w:sz w:val="21"/>
          <w:szCs w:val="21"/>
        </w:rPr>
        <w:t>criterios metodológicos expuestos en dicho Programa.</w:t>
      </w:r>
      <w:r>
        <w:rPr>
          <w:rFonts w:ascii="Abadi" w:hAnsi="Abadi" w:cs="*Arial-5651-Identity-H"/>
          <w:color w:val="131419"/>
          <w:sz w:val="21"/>
          <w:szCs w:val="21"/>
        </w:rPr>
        <w:t xml:space="preserve"> </w:t>
      </w:r>
      <w:r w:rsidRPr="009D2C14">
        <w:rPr>
          <w:rFonts w:ascii="Abadi" w:hAnsi="Abadi" w:cs="*Arial-5651-Identity-H"/>
          <w:color w:val="14131C"/>
          <w:sz w:val="21"/>
          <w:szCs w:val="21"/>
        </w:rPr>
        <w:t>Dicha auditoría tuvo como objetivo general verificar la capacidad del</w:t>
      </w:r>
      <w:r>
        <w:rPr>
          <w:rFonts w:ascii="Abadi" w:hAnsi="Abadi" w:cs="*Arial-5651-Identity-H"/>
          <w:color w:val="14131C"/>
          <w:sz w:val="21"/>
          <w:szCs w:val="21"/>
        </w:rPr>
        <w:t xml:space="preserve"> </w:t>
      </w:r>
      <w:r w:rsidRPr="009D2C14">
        <w:rPr>
          <w:rFonts w:ascii="Abadi" w:hAnsi="Abadi" w:cs="*Arial-5651-Identity-H"/>
          <w:color w:val="14131C"/>
          <w:sz w:val="21"/>
          <w:szCs w:val="21"/>
        </w:rPr>
        <w:t>Municipio para la prestación eficaz del servicio de alumbrado público y la eficiencia</w:t>
      </w:r>
      <w:r>
        <w:rPr>
          <w:rFonts w:ascii="Abadi" w:hAnsi="Abadi" w:cs="*Arial-5651-Identity-H"/>
          <w:color w:val="14131C"/>
          <w:sz w:val="21"/>
          <w:szCs w:val="21"/>
        </w:rPr>
        <w:t xml:space="preserve"> </w:t>
      </w:r>
      <w:r w:rsidRPr="009D2C14">
        <w:rPr>
          <w:rFonts w:ascii="Abadi" w:hAnsi="Abadi" w:cs="*Arial-5651-Identity-H"/>
          <w:color w:val="14131C"/>
          <w:sz w:val="21"/>
          <w:szCs w:val="21"/>
        </w:rPr>
        <w:t>en sus funciones de planificación, operación y seguimiento.</w:t>
      </w:r>
    </w:p>
    <w:p w14:paraId="3554DA90" w14:textId="77777777" w:rsidR="001E07D6" w:rsidRPr="009D2C14" w:rsidRDefault="001E07D6" w:rsidP="001E07D6">
      <w:pPr>
        <w:autoSpaceDE w:val="0"/>
        <w:autoSpaceDN w:val="0"/>
        <w:adjustRightInd w:val="0"/>
        <w:jc w:val="both"/>
        <w:rPr>
          <w:rFonts w:ascii="Abadi" w:hAnsi="Abadi" w:cs="*Arial-5651-Identity-H"/>
          <w:color w:val="14131C"/>
          <w:sz w:val="21"/>
          <w:szCs w:val="21"/>
        </w:rPr>
      </w:pPr>
    </w:p>
    <w:p w14:paraId="41A4FA9D" w14:textId="60E7DC7F" w:rsidR="001E07D6" w:rsidRDefault="001E07D6" w:rsidP="00AD1F0E">
      <w:pPr>
        <w:autoSpaceDE w:val="0"/>
        <w:autoSpaceDN w:val="0"/>
        <w:adjustRightInd w:val="0"/>
        <w:ind w:firstLine="708"/>
        <w:jc w:val="both"/>
        <w:rPr>
          <w:rFonts w:ascii="Abadi" w:hAnsi="Abadi" w:cs="*Arial-8155-Identity-H"/>
          <w:color w:val="14131C"/>
          <w:sz w:val="21"/>
          <w:szCs w:val="21"/>
        </w:rPr>
      </w:pPr>
      <w:r w:rsidRPr="009D2C14">
        <w:rPr>
          <w:rFonts w:ascii="Abadi" w:hAnsi="Abadi" w:cs="*Arial-5651-Identity-H"/>
          <w:color w:val="14131B"/>
          <w:sz w:val="21"/>
          <w:szCs w:val="21"/>
        </w:rPr>
        <w:t>En cuanto a la temporalidad, el alcance de la auditoría abarcó el periodo</w:t>
      </w:r>
      <w:r>
        <w:rPr>
          <w:rFonts w:ascii="Abadi" w:hAnsi="Abadi" w:cs="*Arial-5651-Identity-H"/>
          <w:color w:val="14131B"/>
          <w:sz w:val="21"/>
          <w:szCs w:val="21"/>
        </w:rPr>
        <w:t xml:space="preserve"> </w:t>
      </w:r>
      <w:r w:rsidRPr="009D2C14">
        <w:rPr>
          <w:rFonts w:ascii="Abadi" w:hAnsi="Abadi" w:cs="*Arial-5651-Identity-H"/>
          <w:color w:val="14131B"/>
          <w:sz w:val="21"/>
          <w:szCs w:val="21"/>
        </w:rPr>
        <w:t>comprendido de enero a diciembre del ejercicio fiscal 2020; asimismo, respecto a</w:t>
      </w:r>
      <w:r>
        <w:rPr>
          <w:rFonts w:ascii="Abadi" w:hAnsi="Abadi" w:cs="*Arial-5651-Identity-H"/>
          <w:color w:val="14131B"/>
          <w:sz w:val="21"/>
          <w:szCs w:val="21"/>
        </w:rPr>
        <w:t xml:space="preserve"> </w:t>
      </w:r>
      <w:r w:rsidRPr="009D2C14">
        <w:rPr>
          <w:rFonts w:ascii="Abadi" w:hAnsi="Abadi" w:cs="*Arial-5651-Identity-H"/>
          <w:color w:val="14131B"/>
          <w:sz w:val="21"/>
          <w:szCs w:val="21"/>
        </w:rPr>
        <w:t>la profundidad temática se revisó la eficiencia en la gestión de la información que</w:t>
      </w:r>
      <w:r>
        <w:rPr>
          <w:rFonts w:ascii="Abadi" w:hAnsi="Abadi" w:cs="*Arial-5651-Identity-H"/>
          <w:color w:val="14131B"/>
          <w:sz w:val="21"/>
          <w:szCs w:val="21"/>
        </w:rPr>
        <w:t xml:space="preserve"> </w:t>
      </w:r>
      <w:r w:rsidRPr="009D2C14">
        <w:rPr>
          <w:rFonts w:ascii="Abadi" w:hAnsi="Abadi" w:cs="*Arial-5651-Identity-H"/>
          <w:color w:val="14131B"/>
          <w:sz w:val="21"/>
          <w:szCs w:val="21"/>
        </w:rPr>
        <w:t>dispone el Municipio para identificar la estimación tanto de la oferta del servicio de</w:t>
      </w:r>
      <w:r>
        <w:rPr>
          <w:rFonts w:ascii="Abadi" w:hAnsi="Abadi" w:cs="*Arial-5651-Identity-H"/>
          <w:color w:val="14131B"/>
          <w:sz w:val="21"/>
          <w:szCs w:val="21"/>
        </w:rPr>
        <w:t xml:space="preserve"> </w:t>
      </w:r>
      <w:r w:rsidRPr="009D2C14">
        <w:rPr>
          <w:rFonts w:ascii="Abadi" w:hAnsi="Abadi" w:cs="*Arial-5651-Identity-H"/>
          <w:color w:val="14131B"/>
          <w:sz w:val="21"/>
          <w:szCs w:val="21"/>
        </w:rPr>
        <w:t>alumbrado público como de los recursos necesarios para su implementación;</w:t>
      </w:r>
      <w:r>
        <w:rPr>
          <w:rFonts w:ascii="Abadi" w:hAnsi="Abadi" w:cs="*Arial-5651-Identity-H"/>
          <w:color w:val="14131B"/>
          <w:sz w:val="21"/>
          <w:szCs w:val="21"/>
        </w:rPr>
        <w:t xml:space="preserve"> </w:t>
      </w:r>
      <w:r w:rsidRPr="009D2C14">
        <w:rPr>
          <w:rFonts w:ascii="Abadi" w:hAnsi="Abadi" w:cs="*Arial-5651-Identity-H"/>
          <w:color w:val="14131B"/>
          <w:sz w:val="21"/>
          <w:szCs w:val="21"/>
        </w:rPr>
        <w:t>sobre el estado que guarda la organización del Municipio para brindar el servicio</w:t>
      </w:r>
      <w:r w:rsidR="00095ABF">
        <w:rPr>
          <w:rFonts w:ascii="Abadi" w:hAnsi="Abadi" w:cs="*Arial-5651-Identity-H"/>
          <w:color w:val="14131B"/>
          <w:sz w:val="21"/>
          <w:szCs w:val="21"/>
        </w:rPr>
        <w:t xml:space="preserve"> </w:t>
      </w:r>
      <w:r w:rsidRPr="009D2C14">
        <w:rPr>
          <w:rFonts w:ascii="Abadi" w:hAnsi="Abadi" w:cs="*Arial-5651-Identity-H"/>
          <w:color w:val="14131B"/>
          <w:sz w:val="21"/>
          <w:szCs w:val="21"/>
        </w:rPr>
        <w:t>de alumbrado público y la gestión de la calidad sobre sus procesos clave; y el uso</w:t>
      </w:r>
      <w:r>
        <w:rPr>
          <w:rFonts w:ascii="Abadi" w:hAnsi="Abadi" w:cs="*Arial-5651-Identity-H"/>
          <w:color w:val="14131B"/>
          <w:sz w:val="21"/>
          <w:szCs w:val="21"/>
        </w:rPr>
        <w:t xml:space="preserve"> </w:t>
      </w:r>
      <w:r w:rsidRPr="009D2C14">
        <w:rPr>
          <w:rFonts w:ascii="Abadi" w:hAnsi="Abadi" w:cs="*Arial-5651-Identity-H"/>
          <w:color w:val="14131B"/>
          <w:sz w:val="21"/>
          <w:szCs w:val="21"/>
        </w:rPr>
        <w:t>de herramientas para la planificación operativa y el seguimiento de las actividades</w:t>
      </w:r>
      <w:r>
        <w:rPr>
          <w:rFonts w:ascii="Abadi" w:hAnsi="Abadi" w:cs="*Arial-5651-Identity-H"/>
          <w:color w:val="14131B"/>
          <w:sz w:val="21"/>
          <w:szCs w:val="21"/>
        </w:rPr>
        <w:t xml:space="preserve"> </w:t>
      </w:r>
      <w:r w:rsidRPr="009D2C14">
        <w:rPr>
          <w:rFonts w:ascii="Abadi" w:hAnsi="Abadi" w:cs="*Arial-5651-Identity-H"/>
          <w:color w:val="14131B"/>
          <w:sz w:val="21"/>
          <w:szCs w:val="21"/>
        </w:rPr>
        <w:t>vinculadas a la atención de reportes por fallas en el servicio. Así como, la eficacia</w:t>
      </w:r>
      <w:r>
        <w:rPr>
          <w:rFonts w:ascii="Abadi" w:hAnsi="Abadi" w:cs="*Arial-5651-Identity-H"/>
          <w:color w:val="14131B"/>
          <w:sz w:val="21"/>
          <w:szCs w:val="21"/>
        </w:rPr>
        <w:t xml:space="preserve"> </w:t>
      </w:r>
      <w:r w:rsidRPr="009D2C14">
        <w:rPr>
          <w:rFonts w:ascii="Abadi" w:hAnsi="Abadi" w:cs="*Arial-5651-Identity-H"/>
          <w:color w:val="14131B"/>
          <w:sz w:val="21"/>
          <w:szCs w:val="21"/>
        </w:rPr>
        <w:t>en los resultados de la capacidad municipal en la prestación del servicio de</w:t>
      </w:r>
      <w:r>
        <w:rPr>
          <w:rFonts w:ascii="Abadi" w:hAnsi="Abadi" w:cs="*Arial-5651-Identity-H"/>
          <w:color w:val="14131B"/>
          <w:sz w:val="21"/>
          <w:szCs w:val="21"/>
        </w:rPr>
        <w:t xml:space="preserve"> alumbrado</w:t>
      </w:r>
      <w:r w:rsidRPr="009D2C14">
        <w:rPr>
          <w:rFonts w:ascii="Abadi" w:hAnsi="Abadi" w:cs="*Arial-5651-Identity-H"/>
          <w:color w:val="14131B"/>
          <w:sz w:val="21"/>
          <w:szCs w:val="21"/>
        </w:rPr>
        <w:t xml:space="preserve"> público en el ejercicio 2020 a partir del grado de funcionamiento de las</w:t>
      </w:r>
      <w:r>
        <w:rPr>
          <w:rFonts w:ascii="Abadi" w:hAnsi="Abadi" w:cs="*Arial-5651-Identity-H"/>
          <w:color w:val="14131B"/>
          <w:sz w:val="21"/>
          <w:szCs w:val="21"/>
        </w:rPr>
        <w:t xml:space="preserve"> </w:t>
      </w:r>
      <w:r w:rsidRPr="009D2C14">
        <w:rPr>
          <w:rFonts w:ascii="Abadi" w:hAnsi="Abadi" w:cs="*Arial-5651-Identity-H"/>
          <w:color w:val="14131B"/>
          <w:sz w:val="21"/>
          <w:szCs w:val="21"/>
        </w:rPr>
        <w:t>luminarias que lo conforman, la cobertura lograda y la satisfacción ciudadana</w:t>
      </w:r>
      <w:r w:rsidR="00AD1F0E">
        <w:rPr>
          <w:rFonts w:ascii="Abadi" w:hAnsi="Abadi" w:cs="*Arial-5651-Identity-H"/>
          <w:color w:val="14131B"/>
          <w:sz w:val="21"/>
          <w:szCs w:val="21"/>
        </w:rPr>
        <w:t xml:space="preserve"> </w:t>
      </w:r>
      <w:r w:rsidRPr="009D2C14">
        <w:rPr>
          <w:rFonts w:ascii="Abadi" w:hAnsi="Abadi" w:cs="*Arial-8155-Identity-H"/>
          <w:color w:val="14131C"/>
          <w:sz w:val="21"/>
          <w:szCs w:val="21"/>
        </w:rPr>
        <w:t>sobre el servicio, y de la relevancia y suficiencia de los mecanismos que permiten</w:t>
      </w:r>
      <w:r>
        <w:rPr>
          <w:rFonts w:ascii="Abadi" w:hAnsi="Abadi" w:cs="*Arial-8155-Identity-H"/>
          <w:color w:val="14131C"/>
          <w:sz w:val="21"/>
          <w:szCs w:val="21"/>
        </w:rPr>
        <w:t xml:space="preserve"> </w:t>
      </w:r>
      <w:r w:rsidRPr="009D2C14">
        <w:rPr>
          <w:rFonts w:ascii="Abadi" w:hAnsi="Abadi" w:cs="*Arial-8155-Identity-H"/>
          <w:color w:val="14131C"/>
          <w:sz w:val="21"/>
          <w:szCs w:val="21"/>
        </w:rPr>
        <w:t>monitorear el desempeño y los resultados del servicio.</w:t>
      </w:r>
      <w:r>
        <w:rPr>
          <w:rFonts w:ascii="Abadi" w:hAnsi="Abadi" w:cs="*Arial-8155-Identity-H"/>
          <w:color w:val="14131C"/>
          <w:sz w:val="21"/>
          <w:szCs w:val="21"/>
        </w:rPr>
        <w:t xml:space="preserve"> </w:t>
      </w:r>
      <w:r w:rsidRPr="009D2C14">
        <w:rPr>
          <w:rFonts w:ascii="Abadi" w:hAnsi="Abadi" w:cs="*Arial-8155-Identity-H"/>
          <w:color w:val="14131C"/>
          <w:sz w:val="21"/>
          <w:szCs w:val="21"/>
        </w:rPr>
        <w:t>Respecto a los antecedentes del proceso de fiscalización, estos ya se</w:t>
      </w:r>
      <w:r>
        <w:rPr>
          <w:rFonts w:ascii="Abadi" w:hAnsi="Abadi" w:cs="*Arial-8155-Identity-H"/>
          <w:color w:val="14131C"/>
          <w:sz w:val="21"/>
          <w:szCs w:val="21"/>
        </w:rPr>
        <w:t xml:space="preserve"> </w:t>
      </w:r>
      <w:r w:rsidRPr="009D2C14">
        <w:rPr>
          <w:rFonts w:ascii="Abadi" w:hAnsi="Abadi" w:cs="*Arial-8155-Identity-H"/>
          <w:color w:val="14131C"/>
          <w:sz w:val="21"/>
          <w:szCs w:val="21"/>
        </w:rPr>
        <w:t>detallaron en el apartado correspondiente.</w:t>
      </w:r>
    </w:p>
    <w:p w14:paraId="712F2F0D" w14:textId="77777777" w:rsidR="001E07D6" w:rsidRPr="009D2C14" w:rsidRDefault="001E07D6" w:rsidP="001E07D6">
      <w:pPr>
        <w:autoSpaceDE w:val="0"/>
        <w:autoSpaceDN w:val="0"/>
        <w:adjustRightInd w:val="0"/>
        <w:jc w:val="both"/>
        <w:rPr>
          <w:rFonts w:ascii="Abadi" w:hAnsi="Abadi" w:cs="*Arial-8155-Identity-H"/>
          <w:color w:val="14131C"/>
          <w:sz w:val="21"/>
          <w:szCs w:val="21"/>
        </w:rPr>
      </w:pPr>
    </w:p>
    <w:p w14:paraId="3A2CF3A5" w14:textId="77777777" w:rsidR="001E07D6" w:rsidRDefault="001E07D6" w:rsidP="001E07D6">
      <w:pPr>
        <w:autoSpaceDE w:val="0"/>
        <w:autoSpaceDN w:val="0"/>
        <w:adjustRightInd w:val="0"/>
        <w:ind w:firstLine="708"/>
        <w:jc w:val="both"/>
        <w:rPr>
          <w:rFonts w:ascii="Abadi" w:hAnsi="Abadi" w:cs="*Arial-8155-Identity-H"/>
          <w:color w:val="14131C"/>
          <w:sz w:val="21"/>
          <w:szCs w:val="21"/>
        </w:rPr>
      </w:pPr>
      <w:r w:rsidRPr="009D2C14">
        <w:rPr>
          <w:rFonts w:ascii="Abadi" w:hAnsi="Abadi" w:cs="*Arial-8155-Identity-H"/>
          <w:color w:val="14131C"/>
          <w:sz w:val="21"/>
          <w:szCs w:val="21"/>
        </w:rPr>
        <w:t>En cuanto al contexto de la política pública de la materia a auditar, se</w:t>
      </w:r>
      <w:r>
        <w:rPr>
          <w:rFonts w:ascii="Abadi" w:hAnsi="Abadi" w:cs="*Arial-8155-Identity-H"/>
          <w:color w:val="14131C"/>
          <w:sz w:val="21"/>
          <w:szCs w:val="21"/>
        </w:rPr>
        <w:t xml:space="preserve"> </w:t>
      </w:r>
      <w:r w:rsidRPr="009D2C14">
        <w:rPr>
          <w:rFonts w:ascii="Abadi" w:hAnsi="Abadi" w:cs="*Arial-8155-Identity-H"/>
          <w:color w:val="14131C"/>
          <w:sz w:val="21"/>
          <w:szCs w:val="21"/>
        </w:rPr>
        <w:t>refiere que el Municipio libre es la base de la división territorial del Estado, de su</w:t>
      </w:r>
      <w:r>
        <w:rPr>
          <w:rFonts w:ascii="Abadi" w:hAnsi="Abadi" w:cs="*Arial-8155-Identity-H"/>
          <w:color w:val="14131C"/>
          <w:sz w:val="21"/>
          <w:szCs w:val="21"/>
        </w:rPr>
        <w:t xml:space="preserve"> </w:t>
      </w:r>
      <w:r w:rsidRPr="009D2C14">
        <w:rPr>
          <w:rFonts w:ascii="Abadi" w:hAnsi="Abadi" w:cs="*Arial-8155-Identity-H"/>
          <w:color w:val="14131C"/>
          <w:sz w:val="21"/>
          <w:szCs w:val="21"/>
        </w:rPr>
        <w:t>organización política y administrativa, y como principio de legalidad la autoridad</w:t>
      </w:r>
      <w:r>
        <w:rPr>
          <w:rFonts w:ascii="Abadi" w:hAnsi="Abadi" w:cs="*Arial-8155-Identity-H"/>
          <w:color w:val="14131C"/>
          <w:sz w:val="21"/>
          <w:szCs w:val="21"/>
        </w:rPr>
        <w:t xml:space="preserve"> </w:t>
      </w:r>
      <w:r w:rsidRPr="009D2C14">
        <w:rPr>
          <w:rFonts w:ascii="Abadi" w:hAnsi="Abadi" w:cs="*Arial-8155-Identity-H"/>
          <w:color w:val="14131C"/>
          <w:sz w:val="21"/>
          <w:szCs w:val="21"/>
        </w:rPr>
        <w:t>municipal puede hacer únicamente lo que la ley le concede, encontrándose dentro</w:t>
      </w:r>
      <w:r>
        <w:rPr>
          <w:rFonts w:ascii="Abadi" w:hAnsi="Abadi" w:cs="*Arial-8155-Identity-H"/>
          <w:color w:val="14131C"/>
          <w:sz w:val="21"/>
          <w:szCs w:val="21"/>
        </w:rPr>
        <w:t xml:space="preserve"> </w:t>
      </w:r>
      <w:r w:rsidRPr="009D2C14">
        <w:rPr>
          <w:rFonts w:ascii="Abadi" w:hAnsi="Abadi" w:cs="*Arial-8155-Identity-H"/>
          <w:color w:val="14131C"/>
          <w:sz w:val="21"/>
          <w:szCs w:val="21"/>
        </w:rPr>
        <w:t>de sus atribuciones la de otorgar los servicios públicos al Municipio.</w:t>
      </w:r>
    </w:p>
    <w:p w14:paraId="698BC666" w14:textId="77777777" w:rsidR="001E07D6" w:rsidRPr="009D2C14" w:rsidRDefault="001E07D6" w:rsidP="001E07D6">
      <w:pPr>
        <w:autoSpaceDE w:val="0"/>
        <w:autoSpaceDN w:val="0"/>
        <w:adjustRightInd w:val="0"/>
        <w:jc w:val="both"/>
        <w:rPr>
          <w:rFonts w:ascii="Abadi" w:hAnsi="Abadi" w:cs="*Arial-8155-Identity-H"/>
          <w:color w:val="14131C"/>
          <w:sz w:val="21"/>
          <w:szCs w:val="21"/>
        </w:rPr>
      </w:pPr>
    </w:p>
    <w:p w14:paraId="32471F82" w14:textId="13B8956D" w:rsidR="001E07D6" w:rsidRDefault="001E07D6" w:rsidP="001E07D6">
      <w:pPr>
        <w:autoSpaceDE w:val="0"/>
        <w:autoSpaceDN w:val="0"/>
        <w:adjustRightInd w:val="0"/>
        <w:ind w:firstLine="708"/>
        <w:jc w:val="both"/>
        <w:rPr>
          <w:rFonts w:ascii="Abadi" w:hAnsi="Abadi" w:cs="*Times New Roman-Italic-8148-Id"/>
          <w:i/>
          <w:iCs/>
          <w:color w:val="15141B"/>
          <w:sz w:val="21"/>
          <w:szCs w:val="21"/>
        </w:rPr>
      </w:pPr>
      <w:r w:rsidRPr="009D2C14">
        <w:rPr>
          <w:rFonts w:ascii="Abadi" w:hAnsi="Abadi" w:cs="*Arial-8155-Identity-H"/>
          <w:color w:val="15141B"/>
          <w:sz w:val="21"/>
          <w:szCs w:val="21"/>
        </w:rPr>
        <w:t xml:space="preserve">También se precisa que el servicio público </w:t>
      </w:r>
      <w:r w:rsidRPr="009D2C14">
        <w:rPr>
          <w:rFonts w:ascii="Abadi" w:hAnsi="Abadi" w:cs="*Arial-Italic-8156-Identity-H"/>
          <w:i/>
          <w:iCs/>
          <w:color w:val="15141B"/>
          <w:sz w:val="21"/>
          <w:szCs w:val="21"/>
        </w:rPr>
        <w:t>«es la institución jurídica</w:t>
      </w:r>
      <w:r>
        <w:rPr>
          <w:rFonts w:ascii="Abadi" w:hAnsi="Abadi" w:cs="*Arial-Italic-8156-Identity-H"/>
          <w:i/>
          <w:iCs/>
          <w:color w:val="15141B"/>
          <w:sz w:val="21"/>
          <w:szCs w:val="21"/>
        </w:rPr>
        <w:t xml:space="preserve"> </w:t>
      </w:r>
      <w:r w:rsidRPr="009D2C14">
        <w:rPr>
          <w:rFonts w:ascii="Abadi" w:hAnsi="Abadi" w:cs="*Arial-Italic-8156-Identity-H"/>
          <w:i/>
          <w:iCs/>
          <w:color w:val="15141B"/>
          <w:sz w:val="21"/>
          <w:szCs w:val="21"/>
        </w:rPr>
        <w:t>administrativa en la que el titular es el Estado (municipio) y cuya única finalidad</w:t>
      </w:r>
      <w:r>
        <w:rPr>
          <w:rFonts w:ascii="Abadi" w:hAnsi="Abadi" w:cs="*Arial-Italic-8156-Identity-H"/>
          <w:i/>
          <w:iCs/>
          <w:color w:val="15141B"/>
          <w:sz w:val="21"/>
          <w:szCs w:val="21"/>
        </w:rPr>
        <w:t xml:space="preserve"> </w:t>
      </w:r>
      <w:r w:rsidRPr="009D2C14">
        <w:rPr>
          <w:rFonts w:ascii="Abadi" w:hAnsi="Abadi" w:cs="*Arial-Italic-8156-Identity-H"/>
          <w:i/>
          <w:iCs/>
          <w:color w:val="15141B"/>
          <w:sz w:val="21"/>
          <w:szCs w:val="21"/>
        </w:rPr>
        <w:t>consiste en satisfacer de manera regular, continua y uniforme necesidades</w:t>
      </w:r>
      <w:r>
        <w:rPr>
          <w:rFonts w:ascii="Abadi" w:hAnsi="Abadi" w:cs="*Arial-Italic-8156-Identity-H"/>
          <w:i/>
          <w:iCs/>
          <w:color w:val="15141B"/>
          <w:sz w:val="21"/>
          <w:szCs w:val="21"/>
        </w:rPr>
        <w:t xml:space="preserve"> </w:t>
      </w:r>
      <w:r w:rsidRPr="009D2C14">
        <w:rPr>
          <w:rFonts w:ascii="Abadi" w:hAnsi="Abadi" w:cs="*Arial-Italic-8156-Identity-H"/>
          <w:i/>
          <w:iCs/>
          <w:color w:val="15141B"/>
          <w:sz w:val="21"/>
          <w:szCs w:val="21"/>
        </w:rPr>
        <w:t xml:space="preserve">públicas de carácter esencial, básico </w:t>
      </w:r>
      <w:r w:rsidRPr="009D2C14">
        <w:rPr>
          <w:rFonts w:ascii="Abadi" w:hAnsi="Abadi" w:cs="*Arial-8155-Identity-H"/>
          <w:color w:val="15141B"/>
          <w:sz w:val="21"/>
          <w:szCs w:val="21"/>
        </w:rPr>
        <w:t xml:space="preserve">o </w:t>
      </w:r>
      <w:r w:rsidRPr="009D2C14">
        <w:rPr>
          <w:rFonts w:ascii="Abadi" w:hAnsi="Abadi" w:cs="*Arial-Italic-8156-Identity-H"/>
          <w:i/>
          <w:iCs/>
          <w:color w:val="15141B"/>
          <w:sz w:val="21"/>
          <w:szCs w:val="21"/>
        </w:rPr>
        <w:t>fundamental; se concreta a través de las</w:t>
      </w:r>
      <w:r>
        <w:rPr>
          <w:rFonts w:ascii="Abadi" w:hAnsi="Abadi" w:cs="*Arial-Italic-8156-Identity-H"/>
          <w:i/>
          <w:iCs/>
          <w:color w:val="15141B"/>
          <w:sz w:val="21"/>
          <w:szCs w:val="21"/>
        </w:rPr>
        <w:t xml:space="preserve"> </w:t>
      </w:r>
      <w:r w:rsidRPr="009D2C14">
        <w:rPr>
          <w:rFonts w:ascii="Abadi" w:hAnsi="Abadi" w:cs="*Arial-Italic-8156-Identity-H"/>
          <w:i/>
          <w:iCs/>
          <w:color w:val="15141B"/>
          <w:sz w:val="21"/>
          <w:szCs w:val="21"/>
        </w:rPr>
        <w:t>prestaciones individua/izadas las cuales podrán ser suministradas directamente</w:t>
      </w:r>
      <w:r>
        <w:rPr>
          <w:rFonts w:ascii="Abadi" w:hAnsi="Abadi" w:cs="*Arial-Italic-8156-Identity-H"/>
          <w:i/>
          <w:iCs/>
          <w:color w:val="15141B"/>
          <w:sz w:val="21"/>
          <w:szCs w:val="21"/>
        </w:rPr>
        <w:t xml:space="preserve"> </w:t>
      </w:r>
      <w:r w:rsidRPr="009D2C14">
        <w:rPr>
          <w:rFonts w:ascii="Abadi" w:hAnsi="Abadi" w:cs="*Arial-Italic-8156-Identity-H"/>
          <w:i/>
          <w:iCs/>
          <w:color w:val="15141B"/>
          <w:sz w:val="21"/>
          <w:szCs w:val="21"/>
        </w:rPr>
        <w:t xml:space="preserve">por el Estado (municipio) </w:t>
      </w:r>
      <w:r w:rsidRPr="009D2C14">
        <w:rPr>
          <w:rFonts w:ascii="Abadi" w:hAnsi="Abadi" w:cs="*Arial-8155-Identity-H"/>
          <w:color w:val="15141B"/>
          <w:sz w:val="21"/>
          <w:szCs w:val="21"/>
        </w:rPr>
        <w:t xml:space="preserve">o </w:t>
      </w:r>
      <w:r w:rsidRPr="009D2C14">
        <w:rPr>
          <w:rFonts w:ascii="Abadi" w:hAnsi="Abadi" w:cs="*Arial-Italic-8156-Identity-H"/>
          <w:i/>
          <w:iCs/>
          <w:color w:val="15141B"/>
          <w:sz w:val="21"/>
          <w:szCs w:val="21"/>
        </w:rPr>
        <w:t>por los particulares mediante concesión. Por su</w:t>
      </w:r>
      <w:r>
        <w:rPr>
          <w:rFonts w:ascii="Abadi" w:hAnsi="Abadi" w:cs="*Arial-Italic-8156-Identity-H"/>
          <w:i/>
          <w:iCs/>
          <w:color w:val="15141B"/>
          <w:sz w:val="21"/>
          <w:szCs w:val="21"/>
        </w:rPr>
        <w:t xml:space="preserve"> </w:t>
      </w:r>
      <w:r w:rsidRPr="009D2C14">
        <w:rPr>
          <w:rFonts w:ascii="Abadi" w:hAnsi="Abadi" w:cs="*Arial-Italic-8156-Identity-H"/>
          <w:i/>
          <w:iCs/>
          <w:color w:val="15141B"/>
          <w:sz w:val="21"/>
          <w:szCs w:val="21"/>
        </w:rPr>
        <w:t xml:space="preserve">naturaleza, estará sujeta a normas y principios de derecho público». </w:t>
      </w:r>
      <w:r w:rsidR="00C62622">
        <w:rPr>
          <w:rStyle w:val="Refdenotaalpie"/>
          <w:rFonts w:ascii="Abadi" w:hAnsi="Abadi" w:cs="*Arial-Italic-8156-Identity-H"/>
          <w:i/>
          <w:iCs/>
          <w:color w:val="15141B"/>
          <w:sz w:val="21"/>
          <w:szCs w:val="21"/>
        </w:rPr>
        <w:footnoteReference w:id="32"/>
      </w:r>
    </w:p>
    <w:p w14:paraId="6D9079A4" w14:textId="77777777" w:rsidR="001E07D6" w:rsidRPr="009D2C14" w:rsidRDefault="001E07D6" w:rsidP="001E07D6">
      <w:pPr>
        <w:autoSpaceDE w:val="0"/>
        <w:autoSpaceDN w:val="0"/>
        <w:adjustRightInd w:val="0"/>
        <w:jc w:val="both"/>
        <w:rPr>
          <w:rFonts w:ascii="Abadi" w:hAnsi="Abadi" w:cs="*Times New Roman-Italic-8148-Id"/>
          <w:i/>
          <w:iCs/>
          <w:color w:val="15141B"/>
          <w:sz w:val="21"/>
          <w:szCs w:val="21"/>
        </w:rPr>
      </w:pPr>
    </w:p>
    <w:p w14:paraId="5A978A5A" w14:textId="77777777" w:rsidR="001E07D6" w:rsidRDefault="001E07D6" w:rsidP="001E07D6">
      <w:pPr>
        <w:autoSpaceDE w:val="0"/>
        <w:autoSpaceDN w:val="0"/>
        <w:adjustRightInd w:val="0"/>
        <w:ind w:firstLine="708"/>
        <w:jc w:val="both"/>
        <w:rPr>
          <w:rFonts w:ascii="Abadi" w:hAnsi="Abadi" w:cs="*Arial-8155-Identity-H"/>
          <w:color w:val="14131B"/>
          <w:sz w:val="21"/>
          <w:szCs w:val="21"/>
        </w:rPr>
      </w:pPr>
      <w:r w:rsidRPr="009D2C14">
        <w:rPr>
          <w:rFonts w:ascii="Abadi" w:hAnsi="Abadi" w:cs="*Arial-8155-Identity-H"/>
          <w:color w:val="14131B"/>
          <w:sz w:val="21"/>
          <w:szCs w:val="21"/>
        </w:rPr>
        <w:t>Por su parte, la Constitución Política de los Estados Unidos Mexicanos</w:t>
      </w:r>
      <w:r>
        <w:rPr>
          <w:rFonts w:ascii="Abadi" w:hAnsi="Abadi" w:cs="*Arial-8155-Identity-H"/>
          <w:color w:val="14131B"/>
          <w:sz w:val="21"/>
          <w:szCs w:val="21"/>
        </w:rPr>
        <w:t xml:space="preserve"> </w:t>
      </w:r>
      <w:r w:rsidRPr="009D2C14">
        <w:rPr>
          <w:rFonts w:ascii="Abadi" w:hAnsi="Abadi" w:cs="*Arial-8155-Identity-H"/>
          <w:color w:val="14131B"/>
          <w:sz w:val="21"/>
          <w:szCs w:val="21"/>
        </w:rPr>
        <w:t>establece en términos generales en su artículo 115 la base del municipio a través</w:t>
      </w:r>
      <w:r>
        <w:rPr>
          <w:rFonts w:ascii="Abadi" w:hAnsi="Abadi" w:cs="*Arial-8155-Identity-H"/>
          <w:color w:val="14131B"/>
          <w:sz w:val="21"/>
          <w:szCs w:val="21"/>
        </w:rPr>
        <w:t xml:space="preserve"> </w:t>
      </w:r>
      <w:r w:rsidRPr="009D2C14">
        <w:rPr>
          <w:rFonts w:ascii="Abadi" w:hAnsi="Abadi" w:cs="*Arial-8155-Identity-H"/>
          <w:color w:val="14131B"/>
          <w:sz w:val="21"/>
          <w:szCs w:val="21"/>
        </w:rPr>
        <w:t>de una organización política y administrativa, para lo cual ejercerá funciones</w:t>
      </w:r>
      <w:r>
        <w:rPr>
          <w:rFonts w:ascii="Abadi" w:hAnsi="Abadi" w:cs="*Arial-8155-Identity-H"/>
          <w:color w:val="14131B"/>
          <w:sz w:val="21"/>
          <w:szCs w:val="21"/>
        </w:rPr>
        <w:t xml:space="preserve"> </w:t>
      </w:r>
      <w:r w:rsidRPr="009D2C14">
        <w:rPr>
          <w:rFonts w:ascii="Abadi" w:hAnsi="Abadi" w:cs="*Arial-8155-Identity-H"/>
          <w:color w:val="14131B"/>
          <w:sz w:val="21"/>
          <w:szCs w:val="21"/>
        </w:rPr>
        <w:t>jurisdiccionales, legislativas y administrativas, contando con personalidad jurídica y</w:t>
      </w:r>
      <w:r>
        <w:rPr>
          <w:rFonts w:ascii="Abadi" w:hAnsi="Abadi" w:cs="*Arial-8155-Identity-H"/>
          <w:color w:val="14131B"/>
          <w:sz w:val="21"/>
          <w:szCs w:val="21"/>
        </w:rPr>
        <w:t xml:space="preserve"> </w:t>
      </w:r>
      <w:r w:rsidRPr="009D2C14">
        <w:rPr>
          <w:rFonts w:ascii="Abadi" w:hAnsi="Abadi" w:cs="*Arial-8155-Identity-H"/>
          <w:color w:val="14131B"/>
          <w:sz w:val="21"/>
          <w:szCs w:val="21"/>
        </w:rPr>
        <w:t>con facultades para manejar su patrimonio conforme a las leyes de la materia. En</w:t>
      </w:r>
      <w:r>
        <w:rPr>
          <w:rFonts w:ascii="Abadi" w:hAnsi="Abadi" w:cs="*Arial-8155-Identity-H"/>
          <w:color w:val="14131B"/>
          <w:sz w:val="21"/>
          <w:szCs w:val="21"/>
        </w:rPr>
        <w:t xml:space="preserve"> </w:t>
      </w:r>
      <w:r w:rsidRPr="009D2C14">
        <w:rPr>
          <w:rFonts w:ascii="Abadi" w:hAnsi="Abadi" w:cs="*Arial-8155-Identity-H"/>
          <w:color w:val="14131B"/>
          <w:sz w:val="21"/>
          <w:szCs w:val="21"/>
        </w:rPr>
        <w:t>este sentido, respecto a la prestación de los servicios públicos, el Municipio está</w:t>
      </w:r>
      <w:r>
        <w:rPr>
          <w:rFonts w:ascii="Abadi" w:hAnsi="Abadi" w:cs="*Arial-8155-Identity-H"/>
          <w:color w:val="14131B"/>
          <w:sz w:val="21"/>
          <w:szCs w:val="21"/>
        </w:rPr>
        <w:t xml:space="preserve"> </w:t>
      </w:r>
      <w:r w:rsidRPr="009D2C14">
        <w:rPr>
          <w:rFonts w:ascii="Abadi" w:hAnsi="Abadi" w:cs="*Arial-8155-Identity-H"/>
          <w:color w:val="14131B"/>
          <w:sz w:val="21"/>
          <w:szCs w:val="21"/>
        </w:rPr>
        <w:t>facultado para expedir reglamentos, circulares y disposiciones administrativas de</w:t>
      </w:r>
      <w:r>
        <w:rPr>
          <w:rFonts w:ascii="Abadi" w:hAnsi="Abadi" w:cs="*Arial-8155-Identity-H"/>
          <w:color w:val="14131B"/>
          <w:sz w:val="21"/>
          <w:szCs w:val="21"/>
        </w:rPr>
        <w:t xml:space="preserve"> </w:t>
      </w:r>
      <w:r w:rsidRPr="009D2C14">
        <w:rPr>
          <w:rFonts w:ascii="Abadi" w:hAnsi="Abadi" w:cs="*Arial-8155-Identity-H"/>
          <w:color w:val="14131B"/>
          <w:sz w:val="21"/>
          <w:szCs w:val="21"/>
        </w:rPr>
        <w:t>observancia general dentro de su jurisdicción, que organicen la administración</w:t>
      </w:r>
      <w:r>
        <w:rPr>
          <w:rFonts w:ascii="Abadi" w:hAnsi="Abadi" w:cs="*Arial-8155-Identity-H"/>
          <w:color w:val="14131B"/>
          <w:sz w:val="21"/>
          <w:szCs w:val="21"/>
        </w:rPr>
        <w:t xml:space="preserve"> </w:t>
      </w:r>
      <w:r w:rsidRPr="009D2C14">
        <w:rPr>
          <w:rFonts w:ascii="Abadi" w:hAnsi="Abadi" w:cs="*Arial-8155-Identity-H"/>
          <w:color w:val="14131B"/>
          <w:sz w:val="21"/>
          <w:szCs w:val="21"/>
        </w:rPr>
        <w:t>pública, regulen las materias, procedimiento, funciones y servicios públicos de su</w:t>
      </w:r>
      <w:r>
        <w:rPr>
          <w:rFonts w:ascii="Abadi" w:hAnsi="Abadi" w:cs="*Arial-8155-Identity-H"/>
          <w:color w:val="14131B"/>
          <w:sz w:val="21"/>
          <w:szCs w:val="21"/>
        </w:rPr>
        <w:t xml:space="preserve"> </w:t>
      </w:r>
      <w:r w:rsidRPr="009D2C14">
        <w:rPr>
          <w:rFonts w:ascii="Abadi" w:hAnsi="Abadi" w:cs="*Arial-8155-Identity-H"/>
          <w:color w:val="14131B"/>
          <w:sz w:val="21"/>
          <w:szCs w:val="21"/>
        </w:rPr>
        <w:t>competencia.</w:t>
      </w:r>
    </w:p>
    <w:p w14:paraId="57C9499C" w14:textId="77777777" w:rsidR="001E07D6" w:rsidRDefault="001E07D6" w:rsidP="001E07D6">
      <w:pPr>
        <w:autoSpaceDE w:val="0"/>
        <w:autoSpaceDN w:val="0"/>
        <w:adjustRightInd w:val="0"/>
        <w:ind w:firstLine="708"/>
        <w:jc w:val="both"/>
        <w:rPr>
          <w:rFonts w:ascii="Abadi" w:hAnsi="Abadi" w:cs="*Arial-8155-Identity-H"/>
          <w:color w:val="14131C"/>
          <w:sz w:val="21"/>
          <w:szCs w:val="21"/>
        </w:rPr>
      </w:pPr>
      <w:r w:rsidRPr="009D2C14">
        <w:rPr>
          <w:rFonts w:ascii="Abadi" w:hAnsi="Abadi" w:cs="*Arial-8155-Identity-H"/>
          <w:color w:val="14131C"/>
          <w:sz w:val="21"/>
          <w:szCs w:val="21"/>
        </w:rPr>
        <w:t>De manera específica, el artículo 115 de la Constitución Política de los</w:t>
      </w:r>
      <w:r>
        <w:rPr>
          <w:rFonts w:ascii="Abadi" w:hAnsi="Abadi" w:cs="*Arial-8155-Identity-H"/>
          <w:color w:val="14131C"/>
          <w:sz w:val="21"/>
          <w:szCs w:val="21"/>
        </w:rPr>
        <w:t xml:space="preserve"> </w:t>
      </w:r>
      <w:r w:rsidRPr="009D2C14">
        <w:rPr>
          <w:rFonts w:ascii="Abadi" w:hAnsi="Abadi" w:cs="*Arial-8155-Identity-H"/>
          <w:color w:val="14131C"/>
          <w:sz w:val="21"/>
          <w:szCs w:val="21"/>
        </w:rPr>
        <w:t xml:space="preserve">Estados Unidos Mexicanos, en su fracción </w:t>
      </w:r>
      <w:r>
        <w:rPr>
          <w:rFonts w:ascii="Abadi" w:hAnsi="Abadi" w:cs="*Arial-8155-Identity-H"/>
          <w:color w:val="14131C"/>
          <w:sz w:val="21"/>
          <w:szCs w:val="21"/>
        </w:rPr>
        <w:t>III</w:t>
      </w:r>
      <w:r w:rsidRPr="009D2C14">
        <w:rPr>
          <w:rFonts w:ascii="Abadi" w:hAnsi="Abadi" w:cs="*Arial-8155-Identity-H"/>
          <w:color w:val="14131C"/>
          <w:sz w:val="21"/>
          <w:szCs w:val="21"/>
        </w:rPr>
        <w:t xml:space="preserve"> consigna que los municipios tendrán</w:t>
      </w:r>
      <w:r>
        <w:rPr>
          <w:rFonts w:ascii="Abadi" w:hAnsi="Abadi" w:cs="*Arial-8155-Identity-H"/>
          <w:color w:val="14131C"/>
          <w:sz w:val="21"/>
          <w:szCs w:val="21"/>
        </w:rPr>
        <w:t xml:space="preserve"> </w:t>
      </w:r>
      <w:r w:rsidRPr="009D2C14">
        <w:rPr>
          <w:rFonts w:ascii="Abadi" w:hAnsi="Abadi" w:cs="*Arial-8155-Identity-H"/>
          <w:color w:val="14131C"/>
          <w:sz w:val="21"/>
          <w:szCs w:val="21"/>
        </w:rPr>
        <w:t>a su cargo las funciones y servicios públicos, entre los que señala en el inciso b, el</w:t>
      </w:r>
      <w:r>
        <w:rPr>
          <w:rFonts w:ascii="Abadi" w:hAnsi="Abadi" w:cs="*Arial-8155-Identity-H"/>
          <w:color w:val="14131C"/>
          <w:sz w:val="21"/>
          <w:szCs w:val="21"/>
        </w:rPr>
        <w:t xml:space="preserve"> </w:t>
      </w:r>
      <w:r w:rsidRPr="009D2C14">
        <w:rPr>
          <w:rFonts w:ascii="Abadi" w:hAnsi="Abadi" w:cs="*Arial-8155-Identity-H"/>
          <w:color w:val="14131C"/>
          <w:sz w:val="21"/>
          <w:szCs w:val="21"/>
        </w:rPr>
        <w:t>alumbrado público. Atribución ratificada en la Constitución Política Local en su</w:t>
      </w:r>
      <w:r>
        <w:rPr>
          <w:rFonts w:ascii="Abadi" w:hAnsi="Abadi" w:cs="*Arial-8155-Identity-H"/>
          <w:color w:val="14131C"/>
          <w:sz w:val="21"/>
          <w:szCs w:val="21"/>
        </w:rPr>
        <w:t xml:space="preserve"> </w:t>
      </w:r>
      <w:r w:rsidRPr="009D2C14">
        <w:rPr>
          <w:rFonts w:ascii="Abadi" w:hAnsi="Abadi" w:cs="*Arial-8155-Identity-H"/>
          <w:color w:val="14131C"/>
          <w:sz w:val="21"/>
          <w:szCs w:val="21"/>
        </w:rPr>
        <w:t xml:space="preserve">artículo 117, fracción </w:t>
      </w:r>
      <w:r>
        <w:rPr>
          <w:rFonts w:ascii="Abadi" w:hAnsi="Abadi" w:cs="*Arial-8155-Identity-H"/>
          <w:color w:val="14131C"/>
          <w:sz w:val="21"/>
          <w:szCs w:val="21"/>
        </w:rPr>
        <w:t>III</w:t>
      </w:r>
      <w:r w:rsidRPr="009D2C14">
        <w:rPr>
          <w:rFonts w:ascii="Abadi" w:hAnsi="Abadi" w:cs="*Arial-8155-Identity-H"/>
          <w:color w:val="14131C"/>
          <w:sz w:val="21"/>
          <w:szCs w:val="21"/>
        </w:rPr>
        <w:t>, inciso b.</w:t>
      </w:r>
    </w:p>
    <w:p w14:paraId="6019BBC4" w14:textId="77777777" w:rsidR="001E07D6" w:rsidRPr="009D2C14" w:rsidRDefault="001E07D6" w:rsidP="001E07D6">
      <w:pPr>
        <w:autoSpaceDE w:val="0"/>
        <w:autoSpaceDN w:val="0"/>
        <w:adjustRightInd w:val="0"/>
        <w:jc w:val="both"/>
        <w:rPr>
          <w:rFonts w:ascii="Abadi" w:hAnsi="Abadi" w:cs="*Arial-8155-Identity-H"/>
          <w:color w:val="14131C"/>
          <w:sz w:val="21"/>
          <w:szCs w:val="21"/>
        </w:rPr>
      </w:pPr>
    </w:p>
    <w:p w14:paraId="564533BB" w14:textId="77777777" w:rsidR="001E07D6" w:rsidRDefault="001E07D6" w:rsidP="001E07D6">
      <w:pPr>
        <w:autoSpaceDE w:val="0"/>
        <w:autoSpaceDN w:val="0"/>
        <w:adjustRightInd w:val="0"/>
        <w:ind w:firstLine="708"/>
        <w:jc w:val="both"/>
        <w:rPr>
          <w:rFonts w:ascii="Abadi" w:hAnsi="Abadi" w:cs="*Arial-6510-Identity-H"/>
          <w:color w:val="14131B"/>
          <w:sz w:val="21"/>
          <w:szCs w:val="21"/>
        </w:rPr>
      </w:pPr>
      <w:r w:rsidRPr="009D2C14">
        <w:rPr>
          <w:rFonts w:ascii="Abadi" w:hAnsi="Abadi" w:cs="*Arial-6510-Identity-H"/>
          <w:color w:val="14131B"/>
          <w:sz w:val="21"/>
          <w:szCs w:val="21"/>
        </w:rPr>
        <w:t>La Ley Orgánica Municipal para el Estado de Guanajuato prevé que el</w:t>
      </w:r>
      <w:r>
        <w:rPr>
          <w:rFonts w:ascii="Abadi" w:hAnsi="Abadi" w:cs="*Arial-6510-Identity-H"/>
          <w:color w:val="14131B"/>
          <w:sz w:val="21"/>
          <w:szCs w:val="21"/>
        </w:rPr>
        <w:t xml:space="preserve"> </w:t>
      </w:r>
      <w:r w:rsidRPr="009D2C14">
        <w:rPr>
          <w:rFonts w:ascii="Abadi" w:hAnsi="Abadi" w:cs="*Arial-6510-Identity-H"/>
          <w:color w:val="14131B"/>
          <w:sz w:val="21"/>
          <w:szCs w:val="21"/>
        </w:rPr>
        <w:t>Ayuntamiento deberá otorgar el servicio de alumbrado público a los habitantes del</w:t>
      </w:r>
      <w:r>
        <w:rPr>
          <w:rFonts w:ascii="Abadi" w:hAnsi="Abadi" w:cs="*Arial-6510-Identity-H"/>
          <w:color w:val="14131B"/>
          <w:sz w:val="21"/>
          <w:szCs w:val="21"/>
        </w:rPr>
        <w:t xml:space="preserve"> </w:t>
      </w:r>
      <w:r w:rsidRPr="009D2C14">
        <w:rPr>
          <w:rFonts w:ascii="Abadi" w:hAnsi="Abadi" w:cs="*Arial-6510-Identity-H"/>
          <w:color w:val="14131B"/>
          <w:sz w:val="21"/>
          <w:szCs w:val="21"/>
        </w:rPr>
        <w:t>Municipio e instrumentará los mecanismos necesarios para ampliar la cobertura y</w:t>
      </w:r>
      <w:r>
        <w:rPr>
          <w:rFonts w:ascii="Abadi" w:hAnsi="Abadi" w:cs="*Arial-6510-Identity-H"/>
          <w:color w:val="14131B"/>
          <w:sz w:val="21"/>
          <w:szCs w:val="21"/>
        </w:rPr>
        <w:t xml:space="preserve"> </w:t>
      </w:r>
      <w:r w:rsidRPr="009D2C14">
        <w:rPr>
          <w:rFonts w:ascii="Abadi" w:hAnsi="Abadi" w:cs="*Arial-6510-Identity-H"/>
          <w:color w:val="14131B"/>
          <w:sz w:val="21"/>
          <w:szCs w:val="21"/>
        </w:rPr>
        <w:t>mejorar la prestación de dicho servicio.</w:t>
      </w:r>
    </w:p>
    <w:p w14:paraId="37DE6B7E" w14:textId="77777777" w:rsidR="001E07D6" w:rsidRPr="009D2C14" w:rsidRDefault="001E07D6" w:rsidP="001E07D6">
      <w:pPr>
        <w:autoSpaceDE w:val="0"/>
        <w:autoSpaceDN w:val="0"/>
        <w:adjustRightInd w:val="0"/>
        <w:jc w:val="both"/>
        <w:rPr>
          <w:rFonts w:ascii="Abadi" w:hAnsi="Abadi" w:cs="*Arial-6510-Identity-H"/>
          <w:color w:val="14131B"/>
          <w:sz w:val="21"/>
          <w:szCs w:val="21"/>
        </w:rPr>
      </w:pPr>
    </w:p>
    <w:p w14:paraId="6ACEA374" w14:textId="77777777" w:rsidR="001E07D6" w:rsidRDefault="001E07D6" w:rsidP="001E07D6">
      <w:pPr>
        <w:autoSpaceDE w:val="0"/>
        <w:autoSpaceDN w:val="0"/>
        <w:adjustRightInd w:val="0"/>
        <w:ind w:firstLine="708"/>
        <w:jc w:val="both"/>
        <w:rPr>
          <w:rFonts w:ascii="Abadi" w:hAnsi="Abadi" w:cs="*Arial-6510-Identity-H"/>
          <w:color w:val="14131B"/>
          <w:sz w:val="21"/>
          <w:szCs w:val="21"/>
        </w:rPr>
      </w:pPr>
      <w:r w:rsidRPr="009D2C14">
        <w:rPr>
          <w:rFonts w:ascii="Abadi" w:hAnsi="Abadi" w:cs="*Arial-6510-Identity-H"/>
          <w:color w:val="14131B"/>
          <w:sz w:val="21"/>
          <w:szCs w:val="21"/>
        </w:rPr>
        <w:t xml:space="preserve">De igual forma, la referida </w:t>
      </w:r>
      <w:r w:rsidRPr="009D2C14">
        <w:rPr>
          <w:rFonts w:ascii="Abadi" w:hAnsi="Abadi" w:cs="*Arial-6510-Identity-H"/>
          <w:color w:val="858585"/>
          <w:sz w:val="21"/>
          <w:szCs w:val="21"/>
        </w:rPr>
        <w:t xml:space="preserve">· </w:t>
      </w:r>
      <w:r w:rsidRPr="009D2C14">
        <w:rPr>
          <w:rFonts w:ascii="Abadi" w:hAnsi="Abadi" w:cs="*Arial-6510-Identity-H"/>
          <w:color w:val="14131B"/>
          <w:sz w:val="21"/>
          <w:szCs w:val="21"/>
        </w:rPr>
        <w:t>ley en el artículo 83 establece que el</w:t>
      </w:r>
      <w:r>
        <w:rPr>
          <w:rFonts w:ascii="Abadi" w:hAnsi="Abadi" w:cs="*Arial-6510-Identity-H"/>
          <w:color w:val="14131B"/>
          <w:sz w:val="21"/>
          <w:szCs w:val="21"/>
        </w:rPr>
        <w:t xml:space="preserve"> </w:t>
      </w:r>
      <w:r w:rsidRPr="009D2C14">
        <w:rPr>
          <w:rFonts w:ascii="Abadi" w:hAnsi="Abadi" w:cs="*Arial-6510-Identity-H"/>
          <w:color w:val="14131B"/>
          <w:sz w:val="21"/>
          <w:szCs w:val="21"/>
        </w:rPr>
        <w:t>Ayuntamiento contará con una Comisión de Obra y Servicios Públicos, misma que</w:t>
      </w:r>
      <w:r>
        <w:rPr>
          <w:rFonts w:ascii="Abadi" w:hAnsi="Abadi" w:cs="*Arial-6510-Identity-H"/>
          <w:color w:val="14131B"/>
          <w:sz w:val="21"/>
          <w:szCs w:val="21"/>
        </w:rPr>
        <w:t xml:space="preserve"> </w:t>
      </w:r>
      <w:r w:rsidRPr="009D2C14">
        <w:rPr>
          <w:rFonts w:ascii="Abadi" w:hAnsi="Abadi" w:cs="*Arial-6510-Identity-H"/>
          <w:color w:val="14131B"/>
          <w:sz w:val="21"/>
          <w:szCs w:val="21"/>
        </w:rPr>
        <w:t>tendrá dentro de sus atribuciones la de promover la prestación puntual, oportuna y</w:t>
      </w:r>
      <w:r>
        <w:rPr>
          <w:rFonts w:ascii="Abadi" w:hAnsi="Abadi" w:cs="*Arial-6510-Identity-H"/>
          <w:color w:val="14131B"/>
          <w:sz w:val="21"/>
          <w:szCs w:val="21"/>
        </w:rPr>
        <w:t xml:space="preserve"> </w:t>
      </w:r>
      <w:r w:rsidRPr="009D2C14">
        <w:rPr>
          <w:rFonts w:ascii="Abadi" w:hAnsi="Abadi" w:cs="*Arial-6510-Identity-H"/>
          <w:color w:val="14131B"/>
          <w:sz w:val="21"/>
          <w:szCs w:val="21"/>
        </w:rPr>
        <w:t>eficiente de los servicios públicos municipales, de conformidad con las</w:t>
      </w:r>
      <w:r>
        <w:rPr>
          <w:rFonts w:ascii="Abadi" w:hAnsi="Abadi" w:cs="*Arial-6510-Identity-H"/>
          <w:color w:val="14131B"/>
          <w:sz w:val="21"/>
          <w:szCs w:val="21"/>
        </w:rPr>
        <w:t xml:space="preserve"> </w:t>
      </w:r>
      <w:r w:rsidRPr="009D2C14">
        <w:rPr>
          <w:rFonts w:ascii="Abadi" w:hAnsi="Abadi" w:cs="*Arial-6510-Identity-H"/>
          <w:color w:val="14131B"/>
          <w:sz w:val="21"/>
          <w:szCs w:val="21"/>
        </w:rPr>
        <w:t>disposiciones aplicables. En este sentido, la dependencia de Servicios Municipales</w:t>
      </w:r>
      <w:r>
        <w:rPr>
          <w:rFonts w:ascii="Abadi" w:hAnsi="Abadi" w:cs="*Arial-6510-Identity-H"/>
          <w:color w:val="14131B"/>
          <w:sz w:val="21"/>
          <w:szCs w:val="21"/>
        </w:rPr>
        <w:t xml:space="preserve"> </w:t>
      </w:r>
      <w:r w:rsidRPr="009D2C14">
        <w:rPr>
          <w:rFonts w:ascii="Abadi" w:hAnsi="Abadi" w:cs="*Arial-6510-Identity-H"/>
          <w:color w:val="14131B"/>
          <w:sz w:val="21"/>
          <w:szCs w:val="21"/>
        </w:rPr>
        <w:t>será la encargada de llevar a cabo la prestación del servicio de alumbrado público</w:t>
      </w:r>
      <w:r>
        <w:rPr>
          <w:rFonts w:ascii="Abadi" w:hAnsi="Abadi" w:cs="*Arial-6510-Identity-H"/>
          <w:color w:val="14131B"/>
          <w:sz w:val="21"/>
          <w:szCs w:val="21"/>
        </w:rPr>
        <w:t xml:space="preserve"> </w:t>
      </w:r>
      <w:r w:rsidRPr="009D2C14">
        <w:rPr>
          <w:rFonts w:ascii="Abadi" w:hAnsi="Abadi" w:cs="*Arial-6510-Identity-H"/>
          <w:color w:val="14131B"/>
          <w:sz w:val="21"/>
          <w:szCs w:val="21"/>
        </w:rPr>
        <w:t>en el Municipio, de acuerdo a lo establecido en la fracción V del artículo 124 de la</w:t>
      </w:r>
      <w:r>
        <w:rPr>
          <w:rFonts w:ascii="Abadi" w:hAnsi="Abadi" w:cs="*Arial-6510-Identity-H"/>
          <w:color w:val="14131B"/>
          <w:sz w:val="21"/>
          <w:szCs w:val="21"/>
        </w:rPr>
        <w:t xml:space="preserve"> </w:t>
      </w:r>
      <w:r w:rsidRPr="009D2C14">
        <w:rPr>
          <w:rFonts w:ascii="Abadi" w:hAnsi="Abadi" w:cs="*Arial-6510-Identity-H"/>
          <w:color w:val="14131B"/>
          <w:sz w:val="21"/>
          <w:szCs w:val="21"/>
        </w:rPr>
        <w:t>citada ley.</w:t>
      </w:r>
    </w:p>
    <w:p w14:paraId="14617B73" w14:textId="77777777" w:rsidR="001E07D6" w:rsidRPr="009D2C14" w:rsidRDefault="001E07D6" w:rsidP="001E07D6">
      <w:pPr>
        <w:autoSpaceDE w:val="0"/>
        <w:autoSpaceDN w:val="0"/>
        <w:adjustRightInd w:val="0"/>
        <w:jc w:val="both"/>
        <w:rPr>
          <w:rFonts w:ascii="Abadi" w:hAnsi="Abadi" w:cs="*Arial-6510-Identity-H"/>
          <w:color w:val="14131B"/>
          <w:sz w:val="21"/>
          <w:szCs w:val="21"/>
        </w:rPr>
      </w:pPr>
    </w:p>
    <w:p w14:paraId="7AC9AA3D" w14:textId="77777777" w:rsidR="001E07D6" w:rsidRDefault="001E07D6" w:rsidP="001E07D6">
      <w:pPr>
        <w:autoSpaceDE w:val="0"/>
        <w:autoSpaceDN w:val="0"/>
        <w:adjustRightInd w:val="0"/>
        <w:ind w:firstLine="708"/>
        <w:jc w:val="both"/>
        <w:rPr>
          <w:rFonts w:ascii="Abadi" w:hAnsi="Abadi" w:cs="*Arial-6510-Identity-H"/>
          <w:color w:val="14131B"/>
          <w:sz w:val="21"/>
          <w:szCs w:val="21"/>
        </w:rPr>
      </w:pPr>
      <w:r w:rsidRPr="009D2C14">
        <w:rPr>
          <w:rFonts w:ascii="Abadi" w:hAnsi="Abadi" w:cs="*Arial-6510-Identity-H"/>
          <w:color w:val="14131B"/>
          <w:sz w:val="21"/>
          <w:szCs w:val="21"/>
        </w:rPr>
        <w:t>También el artículo 165 de la referida Ley Orgánica Municipal prevé que:</w:t>
      </w:r>
    </w:p>
    <w:p w14:paraId="2594E098" w14:textId="77777777" w:rsidR="001E07D6" w:rsidRPr="009D2C14" w:rsidRDefault="001E07D6" w:rsidP="001E07D6">
      <w:pPr>
        <w:autoSpaceDE w:val="0"/>
        <w:autoSpaceDN w:val="0"/>
        <w:adjustRightInd w:val="0"/>
        <w:jc w:val="both"/>
        <w:rPr>
          <w:rFonts w:ascii="Abadi" w:hAnsi="Abadi" w:cs="*Arial-6510-Identity-H"/>
          <w:color w:val="14131B"/>
          <w:sz w:val="21"/>
          <w:szCs w:val="21"/>
        </w:rPr>
      </w:pPr>
    </w:p>
    <w:p w14:paraId="5B78F990" w14:textId="77777777" w:rsidR="001E07D6" w:rsidRPr="009D2C14" w:rsidRDefault="001E07D6" w:rsidP="001E07D6">
      <w:pPr>
        <w:autoSpaceDE w:val="0"/>
        <w:autoSpaceDN w:val="0"/>
        <w:adjustRightInd w:val="0"/>
        <w:ind w:firstLine="708"/>
        <w:jc w:val="both"/>
        <w:rPr>
          <w:rFonts w:ascii="Abadi" w:hAnsi="Abadi" w:cs="*Arial-6510-Identity-H"/>
          <w:color w:val="14141A"/>
          <w:sz w:val="21"/>
          <w:szCs w:val="21"/>
        </w:rPr>
      </w:pPr>
      <w:r w:rsidRPr="009D2C14">
        <w:rPr>
          <w:rFonts w:ascii="Abadi" w:hAnsi="Abadi" w:cs="*Arial-Italic-6511-Identity-H"/>
          <w:i/>
          <w:iCs/>
          <w:color w:val="14131B"/>
          <w:sz w:val="21"/>
          <w:szCs w:val="21"/>
        </w:rPr>
        <w:t xml:space="preserve">«Los ayuntamientos prestarán los servicios públicos, en igualdad de condiciones </w:t>
      </w:r>
      <w:r w:rsidRPr="009D2C14">
        <w:rPr>
          <w:rFonts w:ascii="Abadi" w:hAnsi="Abadi" w:cs="*Arial-6510-Identity-H"/>
          <w:color w:val="14131B"/>
          <w:sz w:val="21"/>
          <w:szCs w:val="21"/>
        </w:rPr>
        <w:t>a</w:t>
      </w:r>
      <w:r>
        <w:rPr>
          <w:rFonts w:ascii="Abadi" w:hAnsi="Abadi" w:cs="*Arial-6510-Identity-H"/>
          <w:color w:val="14131B"/>
          <w:sz w:val="21"/>
          <w:szCs w:val="21"/>
        </w:rPr>
        <w:t xml:space="preserve"> </w:t>
      </w:r>
      <w:r w:rsidRPr="009D2C14">
        <w:rPr>
          <w:rFonts w:ascii="Abadi" w:hAnsi="Abadi" w:cs="*Arial-Italic-6511-Identity-H"/>
          <w:i/>
          <w:iCs/>
          <w:color w:val="14131B"/>
          <w:sz w:val="21"/>
          <w:szCs w:val="21"/>
        </w:rPr>
        <w:t>todos los habitantes del municipio, en forma permanente, general, uniforme,</w:t>
      </w:r>
      <w:r>
        <w:rPr>
          <w:rFonts w:ascii="Abadi" w:hAnsi="Abadi" w:cs="*Arial-Italic-6511-Identity-H"/>
          <w:i/>
          <w:iCs/>
          <w:color w:val="14131B"/>
          <w:sz w:val="21"/>
          <w:szCs w:val="21"/>
        </w:rPr>
        <w:t xml:space="preserve"> </w:t>
      </w:r>
      <w:r w:rsidRPr="009D2C14">
        <w:rPr>
          <w:rFonts w:ascii="Abadi" w:hAnsi="Abadi" w:cs="*Arial-Italic-6511-Identity-H"/>
          <w:i/>
          <w:iCs/>
          <w:color w:val="14131B"/>
          <w:sz w:val="21"/>
          <w:szCs w:val="21"/>
        </w:rPr>
        <w:t>continua y de acuerdo con el Programa de Gobierno Municipal».</w:t>
      </w:r>
      <w:r>
        <w:rPr>
          <w:rFonts w:ascii="Abadi" w:hAnsi="Abadi" w:cs="*Arial-Italic-6511-Identity-H"/>
          <w:i/>
          <w:iCs/>
          <w:color w:val="14131B"/>
          <w:sz w:val="21"/>
          <w:szCs w:val="21"/>
        </w:rPr>
        <w:t xml:space="preserve"> </w:t>
      </w:r>
      <w:r w:rsidRPr="009D2C14">
        <w:rPr>
          <w:rFonts w:ascii="Abadi" w:hAnsi="Abadi" w:cs="*Arial-6510-Identity-H"/>
          <w:color w:val="14141A"/>
          <w:sz w:val="21"/>
          <w:szCs w:val="21"/>
        </w:rPr>
        <w:t xml:space="preserve">Asimismo, en el Capítulo denominado </w:t>
      </w:r>
      <w:r w:rsidRPr="009D2C14">
        <w:rPr>
          <w:rFonts w:ascii="Abadi" w:hAnsi="Abadi" w:cs="*Arial-Italic-6511-Identity-H"/>
          <w:i/>
          <w:iCs/>
          <w:color w:val="14141A"/>
          <w:sz w:val="21"/>
          <w:szCs w:val="21"/>
        </w:rPr>
        <w:t>«De los Servicios Públicos</w:t>
      </w:r>
      <w:r>
        <w:rPr>
          <w:rFonts w:ascii="Abadi" w:hAnsi="Abadi" w:cs="*Arial-Italic-6511-Identity-H"/>
          <w:i/>
          <w:iCs/>
          <w:color w:val="14141A"/>
          <w:sz w:val="21"/>
          <w:szCs w:val="21"/>
        </w:rPr>
        <w:t xml:space="preserve"> </w:t>
      </w:r>
      <w:r w:rsidRPr="009D2C14">
        <w:rPr>
          <w:rFonts w:ascii="Abadi" w:hAnsi="Abadi" w:cs="*Arial-Italic-6511-Identity-H"/>
          <w:i/>
          <w:iCs/>
          <w:color w:val="14141A"/>
          <w:sz w:val="21"/>
          <w:szCs w:val="21"/>
        </w:rPr>
        <w:t xml:space="preserve">Municipales» </w:t>
      </w:r>
      <w:r w:rsidRPr="009D2C14">
        <w:rPr>
          <w:rFonts w:ascii="Abadi" w:hAnsi="Abadi" w:cs="*Arial-6510-Identity-H"/>
          <w:color w:val="14141A"/>
          <w:sz w:val="21"/>
          <w:szCs w:val="21"/>
        </w:rPr>
        <w:t>se refiere que en el p</w:t>
      </w:r>
      <w:r>
        <w:rPr>
          <w:rFonts w:ascii="Abadi" w:hAnsi="Abadi" w:cs="*Arial-6510-Identity-H"/>
          <w:color w:val="14141A"/>
          <w:sz w:val="21"/>
          <w:szCs w:val="21"/>
        </w:rPr>
        <w:t>r</w:t>
      </w:r>
      <w:r w:rsidRPr="009D2C14">
        <w:rPr>
          <w:rFonts w:ascii="Abadi" w:hAnsi="Abadi" w:cs="*Arial-6510-Identity-H"/>
          <w:color w:val="14141A"/>
          <w:sz w:val="21"/>
          <w:szCs w:val="21"/>
        </w:rPr>
        <w:t>esupuesto de egresos deben preverse los</w:t>
      </w:r>
      <w:r>
        <w:rPr>
          <w:rFonts w:ascii="Abadi" w:hAnsi="Abadi" w:cs="*Arial-6510-Identity-H"/>
          <w:color w:val="14141A"/>
          <w:sz w:val="21"/>
          <w:szCs w:val="21"/>
        </w:rPr>
        <w:t xml:space="preserve"> </w:t>
      </w:r>
      <w:r w:rsidRPr="009D2C14">
        <w:rPr>
          <w:rFonts w:ascii="Abadi" w:hAnsi="Abadi" w:cs="*Arial-6510-Identity-H"/>
          <w:color w:val="14141A"/>
          <w:sz w:val="21"/>
          <w:szCs w:val="21"/>
        </w:rPr>
        <w:t>recursos materiales y humanos, necesarios y suficientes, para la prestación</w:t>
      </w:r>
      <w:r>
        <w:rPr>
          <w:rFonts w:ascii="Abadi" w:hAnsi="Abadi" w:cs="*Arial-6510-Identity-H"/>
          <w:color w:val="14141A"/>
          <w:sz w:val="21"/>
          <w:szCs w:val="21"/>
        </w:rPr>
        <w:t xml:space="preserve"> </w:t>
      </w:r>
      <w:r w:rsidRPr="009D2C14">
        <w:rPr>
          <w:rFonts w:ascii="Abadi" w:hAnsi="Abadi" w:cs="*Arial-6510-Identity-H"/>
          <w:color w:val="14141A"/>
          <w:sz w:val="21"/>
          <w:szCs w:val="21"/>
        </w:rPr>
        <w:t xml:space="preserve">eficiente y oportuna de </w:t>
      </w:r>
      <w:r w:rsidRPr="009D2C14">
        <w:rPr>
          <w:rFonts w:ascii="Abadi" w:hAnsi="Abadi" w:cs="*Arial-6510-Identity-H"/>
          <w:color w:val="A5A5A5"/>
          <w:sz w:val="21"/>
          <w:szCs w:val="21"/>
        </w:rPr>
        <w:t>·</w:t>
      </w:r>
      <w:r w:rsidRPr="009D2C14">
        <w:rPr>
          <w:rFonts w:ascii="Abadi" w:hAnsi="Abadi" w:cs="*Arial-6510-Identity-H"/>
          <w:color w:val="14141A"/>
          <w:sz w:val="21"/>
          <w:szCs w:val="21"/>
        </w:rPr>
        <w:t>1os servicios públicos; asimismo, se consigna la</w:t>
      </w:r>
      <w:r>
        <w:rPr>
          <w:rFonts w:ascii="Abadi" w:hAnsi="Abadi" w:cs="*Arial-6510-Identity-H"/>
          <w:color w:val="14141A"/>
          <w:sz w:val="21"/>
          <w:szCs w:val="21"/>
        </w:rPr>
        <w:t xml:space="preserve"> </w:t>
      </w:r>
      <w:r w:rsidRPr="009D2C14">
        <w:rPr>
          <w:rFonts w:ascii="Abadi" w:hAnsi="Abadi" w:cs="*Arial-6510-Identity-H"/>
          <w:color w:val="14141A"/>
          <w:sz w:val="21"/>
          <w:szCs w:val="21"/>
        </w:rPr>
        <w:t>obligatoriedad del Ayuntamiento de otorgar el servicio de alumbrado público,</w:t>
      </w:r>
      <w:r>
        <w:rPr>
          <w:rFonts w:ascii="Abadi" w:hAnsi="Abadi" w:cs="*Arial-6510-Identity-H"/>
          <w:color w:val="14141A"/>
          <w:sz w:val="21"/>
          <w:szCs w:val="21"/>
        </w:rPr>
        <w:t xml:space="preserve"> </w:t>
      </w:r>
      <w:r w:rsidRPr="009D2C14">
        <w:rPr>
          <w:rFonts w:ascii="Abadi" w:hAnsi="Abadi" w:cs="*Arial-6510-Identity-H"/>
          <w:color w:val="14141A"/>
          <w:sz w:val="21"/>
          <w:szCs w:val="21"/>
        </w:rPr>
        <w:t>señalando que podrá otorgarlo de manera directa a través de sus propias</w:t>
      </w:r>
      <w:r>
        <w:rPr>
          <w:rFonts w:ascii="Abadi" w:hAnsi="Abadi" w:cs="*Arial-6510-Identity-H"/>
          <w:color w:val="14141A"/>
          <w:sz w:val="21"/>
          <w:szCs w:val="21"/>
        </w:rPr>
        <w:t xml:space="preserve"> </w:t>
      </w:r>
      <w:r w:rsidRPr="009D2C14">
        <w:rPr>
          <w:rFonts w:ascii="Abadi" w:hAnsi="Abadi" w:cs="*Arial-6510-Identity-H"/>
          <w:color w:val="14141A"/>
          <w:sz w:val="21"/>
          <w:szCs w:val="21"/>
        </w:rPr>
        <w:t>dependencias, o bien por un medio indirecto.</w:t>
      </w:r>
    </w:p>
    <w:p w14:paraId="7F4E1795" w14:textId="77777777" w:rsidR="001E07D6" w:rsidRDefault="001E07D6" w:rsidP="001E07D6">
      <w:pPr>
        <w:autoSpaceDE w:val="0"/>
        <w:autoSpaceDN w:val="0"/>
        <w:adjustRightInd w:val="0"/>
        <w:ind w:firstLine="708"/>
        <w:jc w:val="both"/>
        <w:rPr>
          <w:rFonts w:ascii="Abadi" w:hAnsi="Abadi" w:cs="*Arial-6510-Identity-H"/>
          <w:color w:val="14131B"/>
          <w:sz w:val="21"/>
          <w:szCs w:val="21"/>
        </w:rPr>
      </w:pPr>
      <w:r w:rsidRPr="009D2C14">
        <w:rPr>
          <w:rFonts w:ascii="Abadi" w:hAnsi="Abadi" w:cs="*Arial-6510-Identity-H"/>
          <w:color w:val="14131C"/>
          <w:sz w:val="21"/>
          <w:szCs w:val="21"/>
        </w:rPr>
        <w:t>De conformidad con el artículo 169 de la referida Ley Orgánica Municipal, la</w:t>
      </w:r>
      <w:r>
        <w:rPr>
          <w:rFonts w:ascii="Abadi" w:hAnsi="Abadi" w:cs="*Arial-6510-Identity-H"/>
          <w:color w:val="14131C"/>
          <w:sz w:val="21"/>
          <w:szCs w:val="21"/>
        </w:rPr>
        <w:t xml:space="preserve"> </w:t>
      </w:r>
      <w:r w:rsidRPr="009D2C14">
        <w:rPr>
          <w:rFonts w:ascii="Abadi" w:hAnsi="Abadi" w:cs="*Arial-6510-Identity-H"/>
          <w:color w:val="14131B"/>
          <w:sz w:val="21"/>
          <w:szCs w:val="21"/>
        </w:rPr>
        <w:t>prestación de los servicios públicos municipales será supervisada por la comisión</w:t>
      </w:r>
      <w:r>
        <w:rPr>
          <w:rFonts w:ascii="Abadi" w:hAnsi="Abadi" w:cs="*Arial-6510-Identity-H"/>
          <w:color w:val="14131B"/>
          <w:sz w:val="21"/>
          <w:szCs w:val="21"/>
        </w:rPr>
        <w:t xml:space="preserve"> </w:t>
      </w:r>
      <w:r w:rsidRPr="009D2C14">
        <w:rPr>
          <w:rFonts w:ascii="Abadi" w:hAnsi="Abadi" w:cs="*Arial-6510-Identity-H"/>
          <w:color w:val="14131B"/>
          <w:sz w:val="21"/>
          <w:szCs w:val="21"/>
        </w:rPr>
        <w:t>correspondiente del Ayuntamiento y auditada por la Contraloría Municipal.</w:t>
      </w:r>
      <w:r>
        <w:rPr>
          <w:rFonts w:ascii="Abadi" w:hAnsi="Abadi" w:cs="*Arial-6510-Identity-H"/>
          <w:color w:val="14131B"/>
          <w:sz w:val="21"/>
          <w:szCs w:val="21"/>
        </w:rPr>
        <w:t xml:space="preserve"> </w:t>
      </w:r>
      <w:r w:rsidRPr="009D2C14">
        <w:rPr>
          <w:rFonts w:ascii="Abadi" w:hAnsi="Abadi" w:cs="*Arial-6510-Identity-H"/>
          <w:color w:val="14131B"/>
          <w:sz w:val="21"/>
          <w:szCs w:val="21"/>
        </w:rPr>
        <w:t>Es así que, se desprende la intervención estratégica del Ayuntamiento y de</w:t>
      </w:r>
      <w:r>
        <w:rPr>
          <w:rFonts w:ascii="Abadi" w:hAnsi="Abadi" w:cs="*Arial-6510-Identity-H"/>
          <w:color w:val="14131B"/>
          <w:sz w:val="21"/>
          <w:szCs w:val="21"/>
        </w:rPr>
        <w:t xml:space="preserve"> </w:t>
      </w:r>
      <w:r w:rsidRPr="009D2C14">
        <w:rPr>
          <w:rFonts w:ascii="Abadi" w:hAnsi="Abadi" w:cs="*Arial-6510-Identity-H"/>
          <w:color w:val="14131B"/>
          <w:sz w:val="21"/>
          <w:szCs w:val="21"/>
        </w:rPr>
        <w:t>la Dirección de Servicios Municipales para otorgar la prestación del servicio de</w:t>
      </w:r>
      <w:r>
        <w:rPr>
          <w:rFonts w:ascii="Abadi" w:hAnsi="Abadi" w:cs="*Arial-6510-Identity-H"/>
          <w:color w:val="14131B"/>
          <w:sz w:val="21"/>
          <w:szCs w:val="21"/>
        </w:rPr>
        <w:t xml:space="preserve"> </w:t>
      </w:r>
      <w:r w:rsidRPr="009D2C14">
        <w:rPr>
          <w:rFonts w:ascii="Abadi" w:hAnsi="Abadi" w:cs="*Arial-6510-Identity-H"/>
          <w:color w:val="14131B"/>
          <w:sz w:val="21"/>
          <w:szCs w:val="21"/>
        </w:rPr>
        <w:t>alumbrado público a los habitantes del Municipio, a través del conocimiento de la</w:t>
      </w:r>
      <w:r>
        <w:rPr>
          <w:rFonts w:ascii="Abadi" w:hAnsi="Abadi" w:cs="*Arial-6510-Identity-H"/>
          <w:color w:val="14131B"/>
          <w:sz w:val="21"/>
          <w:szCs w:val="21"/>
        </w:rPr>
        <w:t xml:space="preserve"> </w:t>
      </w:r>
      <w:r w:rsidRPr="009D2C14">
        <w:rPr>
          <w:rFonts w:ascii="Abadi" w:hAnsi="Abadi" w:cs="*Arial-6510-Identity-H"/>
          <w:color w:val="14131B"/>
          <w:sz w:val="21"/>
          <w:szCs w:val="21"/>
        </w:rPr>
        <w:t>situación de oferta del servicio, de su presupuestación, de un marco normativo de</w:t>
      </w:r>
      <w:r>
        <w:rPr>
          <w:rFonts w:ascii="Abadi" w:hAnsi="Abadi" w:cs="*Arial-6510-Identity-H"/>
          <w:color w:val="14131B"/>
          <w:sz w:val="21"/>
          <w:szCs w:val="21"/>
        </w:rPr>
        <w:t xml:space="preserve"> </w:t>
      </w:r>
      <w:r w:rsidRPr="009D2C14">
        <w:rPr>
          <w:rFonts w:ascii="Abadi" w:hAnsi="Abadi" w:cs="*Arial-6510-Identity-H"/>
          <w:color w:val="14131B"/>
          <w:sz w:val="21"/>
          <w:szCs w:val="21"/>
        </w:rPr>
        <w:t>operación, de una debida planeación a corto plazo, de la participación ciudadana</w:t>
      </w:r>
      <w:r>
        <w:rPr>
          <w:rFonts w:ascii="Abadi" w:hAnsi="Abadi" w:cs="*Arial-6510-Identity-H"/>
          <w:color w:val="14131B"/>
          <w:sz w:val="21"/>
          <w:szCs w:val="21"/>
        </w:rPr>
        <w:t xml:space="preserve"> </w:t>
      </w:r>
      <w:r w:rsidRPr="009D2C14">
        <w:rPr>
          <w:rFonts w:ascii="Abadi" w:hAnsi="Abadi" w:cs="*Arial-6510-Identity-H"/>
          <w:color w:val="14131B"/>
          <w:sz w:val="21"/>
          <w:szCs w:val="21"/>
        </w:rPr>
        <w:t>en el reporte de fallas del servicio, así como de los mecanismos de monitoreo y</w:t>
      </w:r>
      <w:r>
        <w:rPr>
          <w:rFonts w:ascii="Abadi" w:hAnsi="Abadi" w:cs="*Arial-6510-Identity-H"/>
          <w:color w:val="14131B"/>
          <w:sz w:val="21"/>
          <w:szCs w:val="21"/>
        </w:rPr>
        <w:t xml:space="preserve"> </w:t>
      </w:r>
      <w:r w:rsidRPr="009D2C14">
        <w:rPr>
          <w:rFonts w:ascii="Abadi" w:hAnsi="Abadi" w:cs="*Arial-6510-Identity-H"/>
          <w:color w:val="14131B"/>
          <w:sz w:val="21"/>
          <w:szCs w:val="21"/>
        </w:rPr>
        <w:t>evaluación para el logro de resultados. Lo anterior, con el objetivo de otorgar un</w:t>
      </w:r>
      <w:r>
        <w:rPr>
          <w:rFonts w:ascii="Abadi" w:hAnsi="Abadi" w:cs="*Arial-6510-Identity-H"/>
          <w:color w:val="14131B"/>
          <w:sz w:val="21"/>
          <w:szCs w:val="21"/>
        </w:rPr>
        <w:t xml:space="preserve"> </w:t>
      </w:r>
      <w:r w:rsidRPr="009D2C14">
        <w:rPr>
          <w:rFonts w:ascii="Abadi" w:hAnsi="Abadi" w:cs="*Arial-6510-Identity-H"/>
          <w:color w:val="14131B"/>
          <w:sz w:val="21"/>
          <w:szCs w:val="21"/>
        </w:rPr>
        <w:t>servicio público eficaz en el mantenimiento, cobertura y satisfacción del servicio.</w:t>
      </w:r>
    </w:p>
    <w:p w14:paraId="71EBA49D" w14:textId="77777777" w:rsidR="001E07D6" w:rsidRPr="009D2C14" w:rsidRDefault="001E07D6" w:rsidP="001E07D6">
      <w:pPr>
        <w:autoSpaceDE w:val="0"/>
        <w:autoSpaceDN w:val="0"/>
        <w:adjustRightInd w:val="0"/>
        <w:jc w:val="both"/>
        <w:rPr>
          <w:rFonts w:ascii="Abadi" w:hAnsi="Abadi" w:cs="*Arial-6510-Identity-H"/>
          <w:color w:val="14131B"/>
          <w:sz w:val="21"/>
          <w:szCs w:val="21"/>
        </w:rPr>
      </w:pPr>
    </w:p>
    <w:p w14:paraId="7817140B" w14:textId="77777777" w:rsidR="001E07D6" w:rsidRDefault="001E07D6" w:rsidP="001E07D6">
      <w:pPr>
        <w:autoSpaceDE w:val="0"/>
        <w:autoSpaceDN w:val="0"/>
        <w:adjustRightInd w:val="0"/>
        <w:ind w:firstLine="708"/>
        <w:jc w:val="both"/>
        <w:rPr>
          <w:rFonts w:ascii="Abadi" w:hAnsi="Abadi" w:cs="*Arial-7019-Identity-H"/>
          <w:color w:val="14131B"/>
          <w:sz w:val="21"/>
          <w:szCs w:val="21"/>
        </w:rPr>
      </w:pPr>
      <w:r w:rsidRPr="009D2C14">
        <w:rPr>
          <w:rFonts w:ascii="Abadi" w:hAnsi="Abadi" w:cs="*Arial-7019-Identity-H"/>
          <w:color w:val="14131B"/>
          <w:sz w:val="21"/>
          <w:szCs w:val="21"/>
        </w:rPr>
        <w:t>En congruencia con ello, el Programa de Gobierno Municipal de Huanímaro</w:t>
      </w:r>
      <w:r>
        <w:rPr>
          <w:rFonts w:ascii="Abadi" w:hAnsi="Abadi" w:cs="*Arial-7019-Identity-H"/>
          <w:color w:val="14131B"/>
          <w:sz w:val="21"/>
          <w:szCs w:val="21"/>
        </w:rPr>
        <w:t xml:space="preserve"> </w:t>
      </w:r>
      <w:r w:rsidRPr="009D2C14">
        <w:rPr>
          <w:rFonts w:ascii="Abadi" w:hAnsi="Abadi" w:cs="*Arial-7019-Identity-H"/>
          <w:color w:val="14131B"/>
          <w:sz w:val="21"/>
          <w:szCs w:val="21"/>
        </w:rPr>
        <w:t xml:space="preserve">2018-2021, en la </w:t>
      </w:r>
      <w:r w:rsidRPr="009D2C14">
        <w:rPr>
          <w:rFonts w:ascii="Abadi" w:hAnsi="Abadi" w:cs="*Arial-Italic-7020-Identity-H"/>
          <w:i/>
          <w:iCs/>
          <w:color w:val="14131B"/>
          <w:sz w:val="21"/>
          <w:szCs w:val="21"/>
        </w:rPr>
        <w:t xml:space="preserve">Dimensión III Desarrollo Ordenado, Sustentable </w:t>
      </w:r>
      <w:r w:rsidRPr="009D2C14">
        <w:rPr>
          <w:rFonts w:ascii="Abadi" w:hAnsi="Abadi" w:cs="*Microsoft Sans Serif-Italic-70"/>
          <w:i/>
          <w:iCs/>
          <w:color w:val="14131B"/>
          <w:sz w:val="21"/>
          <w:szCs w:val="21"/>
        </w:rPr>
        <w:t xml:space="preserve">y </w:t>
      </w:r>
      <w:r w:rsidRPr="009D2C14">
        <w:rPr>
          <w:rFonts w:ascii="Abadi" w:hAnsi="Abadi" w:cs="*Arial-Italic-7020-Identity-H"/>
          <w:i/>
          <w:iCs/>
          <w:color w:val="14131B"/>
          <w:sz w:val="21"/>
          <w:szCs w:val="21"/>
        </w:rPr>
        <w:t>Movilidad</w:t>
      </w:r>
      <w:r>
        <w:rPr>
          <w:rFonts w:ascii="Abadi" w:hAnsi="Abadi" w:cs="*Arial-Italic-7020-Identity-H"/>
          <w:i/>
          <w:iCs/>
          <w:color w:val="14131B"/>
          <w:sz w:val="21"/>
          <w:szCs w:val="21"/>
        </w:rPr>
        <w:t xml:space="preserve"> </w:t>
      </w:r>
      <w:r w:rsidRPr="009D2C14">
        <w:rPr>
          <w:rFonts w:ascii="Abadi" w:hAnsi="Abadi" w:cs="*Arial-7019-Identity-H"/>
          <w:color w:val="14131B"/>
          <w:sz w:val="21"/>
          <w:szCs w:val="21"/>
        </w:rPr>
        <w:t xml:space="preserve">estableció el Eje </w:t>
      </w:r>
      <w:r w:rsidRPr="009D2C14">
        <w:rPr>
          <w:rFonts w:ascii="Abadi" w:hAnsi="Abadi" w:cs="*Arial-Italic-7020-Identity-H"/>
          <w:i/>
          <w:iCs/>
          <w:color w:val="14131B"/>
          <w:sz w:val="21"/>
          <w:szCs w:val="21"/>
        </w:rPr>
        <w:t xml:space="preserve">7.3.2 Medio Ambiente, </w:t>
      </w:r>
      <w:r w:rsidRPr="009D2C14">
        <w:rPr>
          <w:rFonts w:ascii="Abadi" w:hAnsi="Abadi" w:cs="*Arial-7019-Identity-H"/>
          <w:color w:val="14131B"/>
          <w:sz w:val="21"/>
          <w:szCs w:val="21"/>
        </w:rPr>
        <w:t xml:space="preserve">así como la Línea Estratégica </w:t>
      </w:r>
      <w:r w:rsidRPr="009D2C14">
        <w:rPr>
          <w:rFonts w:ascii="Abadi" w:hAnsi="Abadi" w:cs="*Arial-Italic-7020-Identity-H"/>
          <w:i/>
          <w:iCs/>
          <w:color w:val="14131B"/>
          <w:sz w:val="21"/>
          <w:szCs w:val="21"/>
        </w:rPr>
        <w:t>7.3.2.3</w:t>
      </w:r>
      <w:r>
        <w:rPr>
          <w:rFonts w:ascii="Abadi" w:hAnsi="Abadi" w:cs="*Arial-Italic-7020-Identity-H"/>
          <w:i/>
          <w:iCs/>
          <w:color w:val="14131B"/>
          <w:sz w:val="21"/>
          <w:szCs w:val="21"/>
        </w:rPr>
        <w:t xml:space="preserve"> </w:t>
      </w:r>
      <w:r w:rsidRPr="009D2C14">
        <w:rPr>
          <w:rFonts w:ascii="Abadi" w:hAnsi="Abadi" w:cs="*Arial-Italic-7020-Identity-H"/>
          <w:i/>
          <w:iCs/>
          <w:color w:val="14131B"/>
          <w:sz w:val="21"/>
          <w:szCs w:val="21"/>
        </w:rPr>
        <w:t xml:space="preserve">Contribuir </w:t>
      </w:r>
      <w:r w:rsidRPr="009D2C14">
        <w:rPr>
          <w:rFonts w:ascii="Abadi" w:hAnsi="Abadi" w:cs="*Arial-7019-Identity-H"/>
          <w:color w:val="14131B"/>
          <w:sz w:val="21"/>
          <w:szCs w:val="21"/>
        </w:rPr>
        <w:t xml:space="preserve">a </w:t>
      </w:r>
      <w:r w:rsidRPr="009D2C14">
        <w:rPr>
          <w:rFonts w:ascii="Abadi" w:hAnsi="Abadi" w:cs="*Arial-Italic-7020-Identity-H"/>
          <w:i/>
          <w:iCs/>
          <w:color w:val="14131B"/>
          <w:sz w:val="21"/>
          <w:szCs w:val="21"/>
        </w:rPr>
        <w:t xml:space="preserve">la Preservación de un Medio Ambiente Sano, </w:t>
      </w:r>
      <w:r w:rsidRPr="009D2C14">
        <w:rPr>
          <w:rFonts w:ascii="Abadi" w:hAnsi="Abadi" w:cs="*Arial-7019-Identity-H"/>
          <w:color w:val="14131B"/>
          <w:sz w:val="21"/>
          <w:szCs w:val="21"/>
        </w:rPr>
        <w:t>de la que se deriva la</w:t>
      </w:r>
      <w:r>
        <w:rPr>
          <w:rFonts w:ascii="Abadi" w:hAnsi="Abadi" w:cs="*Arial-7019-Identity-H"/>
          <w:color w:val="14131B"/>
          <w:sz w:val="21"/>
          <w:szCs w:val="21"/>
        </w:rPr>
        <w:t xml:space="preserve"> </w:t>
      </w:r>
      <w:r w:rsidRPr="009D2C14">
        <w:rPr>
          <w:rFonts w:ascii="Abadi" w:hAnsi="Abadi" w:cs="*Arial-7019-Identity-H"/>
          <w:color w:val="14131B"/>
          <w:sz w:val="21"/>
          <w:szCs w:val="21"/>
        </w:rPr>
        <w:t xml:space="preserve">Estrategia 1 </w:t>
      </w:r>
      <w:r w:rsidRPr="009D2C14">
        <w:rPr>
          <w:rFonts w:ascii="Abadi" w:hAnsi="Abadi" w:cs="*Arial-Italic-7020-Identity-H"/>
          <w:i/>
          <w:iCs/>
          <w:color w:val="14131B"/>
          <w:sz w:val="21"/>
          <w:szCs w:val="21"/>
        </w:rPr>
        <w:t xml:space="preserve">Diseño </w:t>
      </w:r>
      <w:r w:rsidRPr="009D2C14">
        <w:rPr>
          <w:rFonts w:ascii="Abadi" w:hAnsi="Abadi" w:cs="*Microsoft Sans Serif-Italic-70"/>
          <w:i/>
          <w:iCs/>
          <w:color w:val="14131B"/>
          <w:sz w:val="21"/>
          <w:szCs w:val="21"/>
        </w:rPr>
        <w:t xml:space="preserve">y </w:t>
      </w:r>
      <w:r w:rsidRPr="009D2C14">
        <w:rPr>
          <w:rFonts w:ascii="Abadi" w:hAnsi="Abadi" w:cs="*Arial-Italic-7020-Identity-H"/>
          <w:i/>
          <w:iCs/>
          <w:color w:val="14131B"/>
          <w:sz w:val="21"/>
          <w:szCs w:val="21"/>
        </w:rPr>
        <w:t xml:space="preserve">difusión de planes, programas </w:t>
      </w:r>
      <w:r w:rsidRPr="009D2C14">
        <w:rPr>
          <w:rFonts w:ascii="Abadi" w:hAnsi="Abadi" w:cs="*Microsoft Sans Serif-Italic-70"/>
          <w:i/>
          <w:iCs/>
          <w:color w:val="14131B"/>
          <w:sz w:val="21"/>
          <w:szCs w:val="21"/>
        </w:rPr>
        <w:t xml:space="preserve">y </w:t>
      </w:r>
      <w:r w:rsidRPr="009D2C14">
        <w:rPr>
          <w:rFonts w:ascii="Abadi" w:hAnsi="Abadi" w:cs="*Arial-Italic-7020-Identity-H"/>
          <w:i/>
          <w:iCs/>
          <w:color w:val="14131B"/>
          <w:sz w:val="21"/>
          <w:szCs w:val="21"/>
        </w:rPr>
        <w:t>acciones para la promoción</w:t>
      </w:r>
      <w:r>
        <w:rPr>
          <w:rFonts w:ascii="Abadi" w:hAnsi="Abadi" w:cs="*Arial-Italic-7020-Identity-H"/>
          <w:i/>
          <w:iCs/>
          <w:color w:val="14131B"/>
          <w:sz w:val="21"/>
          <w:szCs w:val="21"/>
        </w:rPr>
        <w:t xml:space="preserve"> </w:t>
      </w:r>
      <w:r w:rsidRPr="009D2C14">
        <w:rPr>
          <w:rFonts w:ascii="Abadi" w:hAnsi="Abadi" w:cs="*Arial-Italic-7020-Identity-H"/>
          <w:i/>
          <w:iCs/>
          <w:color w:val="14131B"/>
          <w:sz w:val="21"/>
          <w:szCs w:val="21"/>
        </w:rPr>
        <w:t xml:space="preserve">de actividades sostenibles, </w:t>
      </w:r>
      <w:r w:rsidRPr="009D2C14">
        <w:rPr>
          <w:rFonts w:ascii="Abadi" w:hAnsi="Abadi" w:cs="*Arial-7019-Identity-H"/>
          <w:color w:val="14131B"/>
          <w:sz w:val="21"/>
          <w:szCs w:val="21"/>
        </w:rPr>
        <w:t xml:space="preserve">que a través de la acción número 7, establece </w:t>
      </w:r>
      <w:r w:rsidRPr="009D2C14">
        <w:rPr>
          <w:rFonts w:ascii="Abadi" w:hAnsi="Abadi" w:cs="*Arial-Italic-7020-Identity-H"/>
          <w:i/>
          <w:iCs/>
          <w:color w:val="14131B"/>
          <w:sz w:val="21"/>
          <w:szCs w:val="21"/>
        </w:rPr>
        <w:t>realizar</w:t>
      </w:r>
      <w:r>
        <w:rPr>
          <w:rFonts w:ascii="Abadi" w:hAnsi="Abadi" w:cs="*Arial-Italic-7020-Identity-H"/>
          <w:i/>
          <w:iCs/>
          <w:color w:val="14131B"/>
          <w:sz w:val="21"/>
          <w:szCs w:val="21"/>
        </w:rPr>
        <w:t xml:space="preserve"> </w:t>
      </w:r>
      <w:r w:rsidRPr="009D2C14">
        <w:rPr>
          <w:rFonts w:ascii="Abadi" w:hAnsi="Abadi" w:cs="*Arial-Italic-7020-Identity-H"/>
          <w:i/>
          <w:iCs/>
          <w:color w:val="14131B"/>
          <w:sz w:val="21"/>
          <w:szCs w:val="21"/>
        </w:rPr>
        <w:t xml:space="preserve">el cambio </w:t>
      </w:r>
      <w:r w:rsidRPr="009D2C14">
        <w:rPr>
          <w:rFonts w:ascii="Abadi" w:hAnsi="Abadi" w:cs="*Microsoft Sans Serif-Italic-70"/>
          <w:i/>
          <w:iCs/>
          <w:color w:val="14131B"/>
          <w:sz w:val="21"/>
          <w:szCs w:val="21"/>
        </w:rPr>
        <w:t xml:space="preserve">y </w:t>
      </w:r>
      <w:r w:rsidRPr="009D2C14">
        <w:rPr>
          <w:rFonts w:ascii="Abadi" w:hAnsi="Abadi" w:cs="*Arial-Italic-7020-Identity-H"/>
          <w:i/>
          <w:iCs/>
          <w:color w:val="14131B"/>
          <w:sz w:val="21"/>
          <w:szCs w:val="21"/>
        </w:rPr>
        <w:t>mantenimiento del alumbrado público con lámparas ahorradoras de</w:t>
      </w:r>
      <w:r>
        <w:rPr>
          <w:rFonts w:ascii="Abadi" w:hAnsi="Abadi" w:cs="*Arial-Italic-7020-Identity-H"/>
          <w:i/>
          <w:iCs/>
          <w:color w:val="14131B"/>
          <w:sz w:val="21"/>
          <w:szCs w:val="21"/>
        </w:rPr>
        <w:t xml:space="preserve"> </w:t>
      </w:r>
      <w:r w:rsidRPr="009D2C14">
        <w:rPr>
          <w:rFonts w:ascii="Abadi" w:hAnsi="Abadi" w:cs="*Arial-Italic-7020-Identity-H"/>
          <w:i/>
          <w:iCs/>
          <w:color w:val="14131B"/>
          <w:sz w:val="21"/>
          <w:szCs w:val="21"/>
        </w:rPr>
        <w:t xml:space="preserve">energía, </w:t>
      </w:r>
      <w:r w:rsidRPr="009D2C14">
        <w:rPr>
          <w:rFonts w:ascii="Abadi" w:hAnsi="Abadi" w:cs="*Arial-7019-Identity-H"/>
          <w:color w:val="14131B"/>
          <w:sz w:val="21"/>
          <w:szCs w:val="21"/>
        </w:rPr>
        <w:t>señalando como plazo 2019-2021, cuyo indicador refiere al porcentaje de</w:t>
      </w:r>
      <w:r>
        <w:rPr>
          <w:rFonts w:ascii="Abadi" w:hAnsi="Abadi" w:cs="*Arial-7019-Identity-H"/>
          <w:color w:val="14131B"/>
          <w:sz w:val="21"/>
          <w:szCs w:val="21"/>
        </w:rPr>
        <w:t xml:space="preserve"> </w:t>
      </w:r>
      <w:r w:rsidRPr="009D2C14">
        <w:rPr>
          <w:rFonts w:ascii="Abadi" w:hAnsi="Abadi" w:cs="*Arial-7019-Identity-H"/>
          <w:color w:val="14131B"/>
          <w:sz w:val="21"/>
          <w:szCs w:val="21"/>
        </w:rPr>
        <w:t>luminarias ahorradoras sustituidas y como meta el 60% de luminarias sustituidas,</w:t>
      </w:r>
      <w:r>
        <w:rPr>
          <w:rFonts w:ascii="Abadi" w:hAnsi="Abadi" w:cs="*Arial-7019-Identity-H"/>
          <w:color w:val="14131B"/>
          <w:sz w:val="21"/>
          <w:szCs w:val="21"/>
        </w:rPr>
        <w:t xml:space="preserve"> </w:t>
      </w:r>
      <w:r w:rsidRPr="009D2C14">
        <w:rPr>
          <w:rFonts w:ascii="Abadi" w:hAnsi="Abadi" w:cs="*Arial-7019-Identity-H"/>
          <w:color w:val="14131B"/>
          <w:sz w:val="21"/>
          <w:szCs w:val="21"/>
        </w:rPr>
        <w:t>quedando evidencia de que para la administración pública de Huanímaro, Gto., el</w:t>
      </w:r>
      <w:r>
        <w:rPr>
          <w:rFonts w:ascii="Abadi" w:hAnsi="Abadi" w:cs="*Arial-7019-Identity-H"/>
          <w:color w:val="14131B"/>
          <w:sz w:val="21"/>
          <w:szCs w:val="21"/>
        </w:rPr>
        <w:t xml:space="preserve"> </w:t>
      </w:r>
      <w:r w:rsidRPr="009D2C14">
        <w:rPr>
          <w:rFonts w:ascii="Abadi" w:hAnsi="Abadi" w:cs="*Arial-7019-Identity-H"/>
          <w:color w:val="14131B"/>
          <w:sz w:val="21"/>
          <w:szCs w:val="21"/>
        </w:rPr>
        <w:t>servicio de alumbrado público fue un tema prioritario.</w:t>
      </w:r>
    </w:p>
    <w:p w14:paraId="2868D153" w14:textId="77777777" w:rsidR="001E07D6" w:rsidRDefault="001E07D6" w:rsidP="001E07D6">
      <w:pPr>
        <w:autoSpaceDE w:val="0"/>
        <w:autoSpaceDN w:val="0"/>
        <w:adjustRightInd w:val="0"/>
        <w:jc w:val="both"/>
        <w:rPr>
          <w:rFonts w:ascii="Abadi" w:hAnsi="Abadi" w:cs="*Arial-7019-Identity-H"/>
          <w:color w:val="14131B"/>
          <w:sz w:val="21"/>
          <w:szCs w:val="21"/>
        </w:rPr>
      </w:pPr>
    </w:p>
    <w:p w14:paraId="3CDAA216" w14:textId="77777777" w:rsidR="001E07D6" w:rsidRDefault="001E07D6" w:rsidP="001E07D6">
      <w:pPr>
        <w:autoSpaceDE w:val="0"/>
        <w:autoSpaceDN w:val="0"/>
        <w:adjustRightInd w:val="0"/>
        <w:ind w:firstLine="708"/>
        <w:jc w:val="both"/>
        <w:rPr>
          <w:rFonts w:ascii="Abadi" w:hAnsi="Abadi" w:cs="*Arial-7019-Identity-H"/>
          <w:color w:val="14131C"/>
          <w:sz w:val="21"/>
          <w:szCs w:val="21"/>
        </w:rPr>
      </w:pPr>
      <w:r w:rsidRPr="009D2C14">
        <w:rPr>
          <w:rFonts w:ascii="Abadi" w:hAnsi="Abadi" w:cs="*Arial-7019-Identity-H"/>
          <w:color w:val="14131C"/>
          <w:sz w:val="21"/>
          <w:szCs w:val="21"/>
        </w:rPr>
        <w:t>El sujeto fiscalizado para contribuir a las metas y objetivos del Programa de</w:t>
      </w:r>
      <w:r>
        <w:rPr>
          <w:rFonts w:ascii="Abadi" w:hAnsi="Abadi" w:cs="*Arial-7019-Identity-H"/>
          <w:color w:val="14131C"/>
          <w:sz w:val="21"/>
          <w:szCs w:val="21"/>
        </w:rPr>
        <w:t xml:space="preserve"> </w:t>
      </w:r>
      <w:r w:rsidRPr="009D2C14">
        <w:rPr>
          <w:rFonts w:ascii="Abadi" w:hAnsi="Abadi" w:cs="*Arial-7019-Identity-H"/>
          <w:color w:val="14131C"/>
          <w:sz w:val="21"/>
          <w:szCs w:val="21"/>
        </w:rPr>
        <w:t>Gobierno Municipal incluyó, para el ejercicio 2020, el programa presupuestario</w:t>
      </w:r>
      <w:r>
        <w:rPr>
          <w:rFonts w:ascii="Abadi" w:hAnsi="Abadi" w:cs="*Arial-7019-Identity-H"/>
          <w:color w:val="14131C"/>
          <w:sz w:val="21"/>
          <w:szCs w:val="21"/>
        </w:rPr>
        <w:t xml:space="preserve"> </w:t>
      </w:r>
      <w:r w:rsidRPr="009D2C14">
        <w:rPr>
          <w:rFonts w:ascii="Abadi" w:hAnsi="Abadi" w:cs="*Arial-Italic-7020-Identity-H"/>
          <w:i/>
          <w:iCs/>
          <w:color w:val="14131C"/>
          <w:sz w:val="21"/>
          <w:szCs w:val="21"/>
        </w:rPr>
        <w:t xml:space="preserve">EOOB Servicios Públicos, </w:t>
      </w:r>
      <w:r w:rsidRPr="009D2C14">
        <w:rPr>
          <w:rFonts w:ascii="Abadi" w:hAnsi="Abadi" w:cs="*Arial-7019-Identity-H"/>
          <w:color w:val="14131C"/>
          <w:sz w:val="21"/>
          <w:szCs w:val="21"/>
        </w:rPr>
        <w:t>cuya unidad responsable es la Dirección General de</w:t>
      </w:r>
      <w:r>
        <w:rPr>
          <w:rFonts w:ascii="Abadi" w:hAnsi="Abadi" w:cs="*Arial-7019-Identity-H"/>
          <w:color w:val="14131C"/>
          <w:sz w:val="21"/>
          <w:szCs w:val="21"/>
        </w:rPr>
        <w:t xml:space="preserve"> </w:t>
      </w:r>
      <w:r w:rsidRPr="009D2C14">
        <w:rPr>
          <w:rFonts w:ascii="Abadi" w:hAnsi="Abadi" w:cs="*Arial-7019-Identity-H"/>
          <w:color w:val="14131C"/>
          <w:sz w:val="21"/>
          <w:szCs w:val="21"/>
        </w:rPr>
        <w:t>Servicios Públicos Municipales.</w:t>
      </w:r>
    </w:p>
    <w:p w14:paraId="2A890D2C" w14:textId="77777777" w:rsidR="001E07D6" w:rsidRDefault="001E07D6" w:rsidP="001E07D6">
      <w:pPr>
        <w:autoSpaceDE w:val="0"/>
        <w:autoSpaceDN w:val="0"/>
        <w:adjustRightInd w:val="0"/>
        <w:jc w:val="both"/>
        <w:rPr>
          <w:rFonts w:ascii="Abadi" w:hAnsi="Abadi" w:cs="*Arial-7019-Identity-H"/>
          <w:color w:val="14131C"/>
          <w:sz w:val="21"/>
          <w:szCs w:val="21"/>
        </w:rPr>
      </w:pPr>
    </w:p>
    <w:p w14:paraId="66CB0907" w14:textId="77777777" w:rsidR="001E07D6" w:rsidRPr="009D2C14" w:rsidRDefault="001E07D6" w:rsidP="001E07D6">
      <w:pPr>
        <w:autoSpaceDE w:val="0"/>
        <w:autoSpaceDN w:val="0"/>
        <w:adjustRightInd w:val="0"/>
        <w:jc w:val="both"/>
        <w:rPr>
          <w:rFonts w:ascii="Abadi" w:hAnsi="Abadi" w:cs="*Arial-7019-Identity-H"/>
          <w:color w:val="14131C"/>
          <w:sz w:val="21"/>
          <w:szCs w:val="21"/>
        </w:rPr>
      </w:pPr>
    </w:p>
    <w:p w14:paraId="16264CA7" w14:textId="77777777" w:rsidR="001E07D6" w:rsidRDefault="001E07D6" w:rsidP="001E07D6">
      <w:pPr>
        <w:autoSpaceDE w:val="0"/>
        <w:autoSpaceDN w:val="0"/>
        <w:adjustRightInd w:val="0"/>
        <w:jc w:val="both"/>
        <w:rPr>
          <w:rFonts w:ascii="Abadi" w:hAnsi="Abadi" w:cs="*Arial-7019-Identity-H"/>
          <w:color w:val="14131B"/>
          <w:sz w:val="21"/>
          <w:szCs w:val="21"/>
        </w:rPr>
      </w:pPr>
      <w:r w:rsidRPr="009D2C14">
        <w:rPr>
          <w:rFonts w:ascii="Abadi" w:hAnsi="Abadi" w:cs="*Arial-7019-Identity-H"/>
          <w:color w:val="14131B"/>
          <w:sz w:val="21"/>
          <w:szCs w:val="21"/>
        </w:rPr>
        <w:t>En razón de lo antes señalado, se planteó como objetivo general de la</w:t>
      </w:r>
      <w:r>
        <w:rPr>
          <w:rFonts w:ascii="Abadi" w:hAnsi="Abadi" w:cs="*Arial-7019-Identity-H"/>
          <w:color w:val="14131B"/>
          <w:sz w:val="21"/>
          <w:szCs w:val="21"/>
        </w:rPr>
        <w:t xml:space="preserve"> </w:t>
      </w:r>
      <w:r w:rsidRPr="009D2C14">
        <w:rPr>
          <w:rFonts w:ascii="Abadi" w:hAnsi="Abadi" w:cs="*Arial-7019-Identity-H"/>
          <w:color w:val="14131B"/>
          <w:sz w:val="21"/>
          <w:szCs w:val="21"/>
        </w:rPr>
        <w:t>auditoría el de verificar la capacidad del sujeto fiscalizado para la prestación eficaz</w:t>
      </w:r>
      <w:r>
        <w:rPr>
          <w:rFonts w:ascii="Abadi" w:hAnsi="Abadi" w:cs="*Arial-7019-Identity-H"/>
          <w:color w:val="14131B"/>
          <w:sz w:val="21"/>
          <w:szCs w:val="21"/>
        </w:rPr>
        <w:t xml:space="preserve"> </w:t>
      </w:r>
      <w:r w:rsidRPr="009D2C14">
        <w:rPr>
          <w:rFonts w:ascii="Abadi" w:hAnsi="Abadi" w:cs="*Arial-7019-Identity-H"/>
          <w:color w:val="14131B"/>
          <w:sz w:val="21"/>
          <w:szCs w:val="21"/>
        </w:rPr>
        <w:t>del servicio de alumbrado público y la eficiencia en sus funciones de planificación,</w:t>
      </w:r>
      <w:r>
        <w:rPr>
          <w:rFonts w:ascii="Abadi" w:hAnsi="Abadi" w:cs="*Arial-7019-Identity-H"/>
          <w:color w:val="14131B"/>
          <w:sz w:val="21"/>
          <w:szCs w:val="21"/>
        </w:rPr>
        <w:t xml:space="preserve"> </w:t>
      </w:r>
      <w:r w:rsidRPr="009D2C14">
        <w:rPr>
          <w:rFonts w:ascii="Abadi" w:hAnsi="Abadi" w:cs="*Arial-7019-Identity-H"/>
          <w:color w:val="14131B"/>
          <w:sz w:val="21"/>
          <w:szCs w:val="21"/>
        </w:rPr>
        <w:t>operación y seguimiento, en el ejercicio 2020.</w:t>
      </w:r>
    </w:p>
    <w:p w14:paraId="565766DA" w14:textId="77777777" w:rsidR="001E07D6" w:rsidRPr="009D2C14" w:rsidRDefault="001E07D6" w:rsidP="001E07D6">
      <w:pPr>
        <w:autoSpaceDE w:val="0"/>
        <w:autoSpaceDN w:val="0"/>
        <w:adjustRightInd w:val="0"/>
        <w:jc w:val="both"/>
        <w:rPr>
          <w:rFonts w:ascii="Abadi" w:hAnsi="Abadi" w:cs="*Arial-7019-Identity-H"/>
          <w:color w:val="14131B"/>
          <w:sz w:val="21"/>
          <w:szCs w:val="21"/>
        </w:rPr>
      </w:pPr>
    </w:p>
    <w:p w14:paraId="72119E45" w14:textId="77777777" w:rsidR="001E07D6" w:rsidRDefault="001E07D6" w:rsidP="001E07D6">
      <w:pPr>
        <w:autoSpaceDE w:val="0"/>
        <w:autoSpaceDN w:val="0"/>
        <w:adjustRightInd w:val="0"/>
        <w:ind w:firstLine="708"/>
        <w:jc w:val="both"/>
        <w:rPr>
          <w:rFonts w:ascii="Abadi" w:hAnsi="Abadi" w:cs="*Arial-7019-Identity-H"/>
          <w:color w:val="13131A"/>
          <w:sz w:val="21"/>
          <w:szCs w:val="21"/>
        </w:rPr>
      </w:pPr>
      <w:r w:rsidRPr="009D2C14">
        <w:rPr>
          <w:rFonts w:ascii="Abadi" w:hAnsi="Abadi" w:cs="*Arial-7019-Identity-H"/>
          <w:color w:val="13131A"/>
          <w:sz w:val="21"/>
          <w:szCs w:val="21"/>
        </w:rPr>
        <w:t>En el apartado correspondiente a la unidad responsable de la materia por</w:t>
      </w:r>
      <w:r>
        <w:rPr>
          <w:rFonts w:ascii="Abadi" w:hAnsi="Abadi" w:cs="*Arial-7019-Identity-H"/>
          <w:color w:val="13131A"/>
          <w:sz w:val="21"/>
          <w:szCs w:val="21"/>
        </w:rPr>
        <w:t xml:space="preserve"> </w:t>
      </w:r>
      <w:r w:rsidRPr="009D2C14">
        <w:rPr>
          <w:rFonts w:ascii="Abadi" w:hAnsi="Abadi" w:cs="*Arial-7019-Identity-H"/>
          <w:color w:val="13131A"/>
          <w:sz w:val="21"/>
          <w:szCs w:val="21"/>
        </w:rPr>
        <w:t>auditar se refiere que el artículo 124 de la Ley Orgánica Municipal para el Estado</w:t>
      </w:r>
      <w:r>
        <w:rPr>
          <w:rFonts w:ascii="Abadi" w:hAnsi="Abadi" w:cs="*Arial-7019-Identity-H"/>
          <w:color w:val="13131A"/>
          <w:sz w:val="21"/>
          <w:szCs w:val="21"/>
        </w:rPr>
        <w:t xml:space="preserve"> </w:t>
      </w:r>
      <w:r w:rsidRPr="009D2C14">
        <w:rPr>
          <w:rFonts w:ascii="Abadi" w:hAnsi="Abadi" w:cs="*Arial-7019-Identity-H"/>
          <w:color w:val="13131A"/>
          <w:sz w:val="21"/>
          <w:szCs w:val="21"/>
        </w:rPr>
        <w:t>de Guanajuato prevé que la dependencia de Servicios Municipales será la</w:t>
      </w:r>
      <w:r>
        <w:rPr>
          <w:rFonts w:ascii="Abadi" w:hAnsi="Abadi" w:cs="*Arial-7019-Identity-H"/>
          <w:color w:val="13131A"/>
          <w:sz w:val="21"/>
          <w:szCs w:val="21"/>
        </w:rPr>
        <w:t xml:space="preserve"> </w:t>
      </w:r>
      <w:r w:rsidRPr="009D2C14">
        <w:rPr>
          <w:rFonts w:ascii="Abadi" w:hAnsi="Abadi" w:cs="*Arial-7019-Identity-H"/>
          <w:color w:val="13131A"/>
          <w:sz w:val="21"/>
          <w:szCs w:val="21"/>
        </w:rPr>
        <w:t>encargada de llevar a cabo la prestación del servicio de alumbrado público en el</w:t>
      </w:r>
      <w:r>
        <w:rPr>
          <w:rFonts w:ascii="Abadi" w:hAnsi="Abadi" w:cs="*Arial-7019-Identity-H"/>
          <w:color w:val="13131A"/>
          <w:sz w:val="21"/>
          <w:szCs w:val="21"/>
        </w:rPr>
        <w:t xml:space="preserve"> </w:t>
      </w:r>
      <w:r w:rsidRPr="009D2C14">
        <w:rPr>
          <w:rFonts w:ascii="Abadi" w:hAnsi="Abadi" w:cs="*Arial-7019-Identity-H"/>
          <w:color w:val="13131A"/>
          <w:sz w:val="21"/>
          <w:szCs w:val="21"/>
        </w:rPr>
        <w:t>Municipio. Asimismo, los artículos 83 y 83-3 de la citada ley establecen que, el</w:t>
      </w:r>
      <w:r>
        <w:rPr>
          <w:rFonts w:ascii="Abadi" w:hAnsi="Abadi" w:cs="*Arial-7019-Identity-H"/>
          <w:color w:val="13131A"/>
          <w:sz w:val="21"/>
          <w:szCs w:val="21"/>
        </w:rPr>
        <w:t xml:space="preserve"> </w:t>
      </w:r>
      <w:r w:rsidRPr="009D2C14">
        <w:rPr>
          <w:rFonts w:ascii="Abadi" w:hAnsi="Abadi" w:cs="*Arial-7019-Identity-H"/>
          <w:color w:val="13131A"/>
          <w:sz w:val="21"/>
          <w:szCs w:val="21"/>
        </w:rPr>
        <w:t>Ayuntamiento contará con una Comisión de Obra y Servicios Públicos, la que</w:t>
      </w:r>
      <w:r>
        <w:rPr>
          <w:rFonts w:ascii="Abadi" w:hAnsi="Abadi" w:cs="*Arial-7019-Identity-H"/>
          <w:color w:val="13131A"/>
          <w:sz w:val="21"/>
          <w:szCs w:val="21"/>
        </w:rPr>
        <w:t xml:space="preserve"> </w:t>
      </w:r>
      <w:r w:rsidRPr="009D2C14">
        <w:rPr>
          <w:rFonts w:ascii="Abadi" w:hAnsi="Abadi" w:cs="*Arial-7019-Identity-H"/>
          <w:color w:val="13131A"/>
          <w:sz w:val="21"/>
          <w:szCs w:val="21"/>
        </w:rPr>
        <w:t>tendrá dentro de sus atribuciones la de promover la prestación puntual, oportuna y</w:t>
      </w:r>
      <w:r>
        <w:rPr>
          <w:rFonts w:ascii="Abadi" w:hAnsi="Abadi" w:cs="*Arial-7019-Identity-H"/>
          <w:color w:val="13131A"/>
          <w:sz w:val="21"/>
          <w:szCs w:val="21"/>
        </w:rPr>
        <w:t xml:space="preserve"> </w:t>
      </w:r>
      <w:r w:rsidRPr="009D2C14">
        <w:rPr>
          <w:rFonts w:ascii="Abadi" w:hAnsi="Abadi" w:cs="*Arial-7019-Identity-H"/>
          <w:color w:val="13131A"/>
          <w:sz w:val="21"/>
          <w:szCs w:val="21"/>
        </w:rPr>
        <w:t>eficiente de los servicios públicos municipales, de conformidad con las</w:t>
      </w:r>
      <w:r>
        <w:rPr>
          <w:rFonts w:ascii="Abadi" w:hAnsi="Abadi" w:cs="*Arial-7019-Identity-H"/>
          <w:color w:val="13131A"/>
          <w:sz w:val="21"/>
          <w:szCs w:val="21"/>
        </w:rPr>
        <w:t xml:space="preserve"> </w:t>
      </w:r>
      <w:r w:rsidRPr="009D2C14">
        <w:rPr>
          <w:rFonts w:ascii="Abadi" w:hAnsi="Abadi" w:cs="*Arial-7019-Identity-H"/>
          <w:color w:val="13131A"/>
          <w:sz w:val="21"/>
          <w:szCs w:val="21"/>
        </w:rPr>
        <w:t>disposiciones aplicables.</w:t>
      </w:r>
    </w:p>
    <w:p w14:paraId="28F1BE8B" w14:textId="77777777" w:rsidR="001E07D6" w:rsidRPr="009D2C14" w:rsidRDefault="001E07D6" w:rsidP="001E07D6">
      <w:pPr>
        <w:autoSpaceDE w:val="0"/>
        <w:autoSpaceDN w:val="0"/>
        <w:adjustRightInd w:val="0"/>
        <w:jc w:val="both"/>
        <w:rPr>
          <w:rFonts w:ascii="Abadi" w:hAnsi="Abadi" w:cs="*Arial-7019-Identity-H"/>
          <w:color w:val="13131A"/>
          <w:sz w:val="21"/>
          <w:szCs w:val="21"/>
        </w:rPr>
      </w:pPr>
    </w:p>
    <w:p w14:paraId="5D27AF8A" w14:textId="77777777" w:rsidR="001E07D6" w:rsidRDefault="001E07D6" w:rsidP="001E07D6">
      <w:pPr>
        <w:autoSpaceDE w:val="0"/>
        <w:autoSpaceDN w:val="0"/>
        <w:adjustRightInd w:val="0"/>
        <w:jc w:val="both"/>
        <w:rPr>
          <w:rFonts w:ascii="Abadi" w:hAnsi="Abadi" w:cs="*Arial-7019-Identity-H"/>
          <w:color w:val="14131B"/>
          <w:sz w:val="21"/>
          <w:szCs w:val="21"/>
        </w:rPr>
      </w:pPr>
      <w:r w:rsidRPr="009D2C14">
        <w:rPr>
          <w:rFonts w:ascii="Abadi" w:hAnsi="Abadi" w:cs="*Arial-7019-Identity-H"/>
          <w:color w:val="14131B"/>
          <w:sz w:val="21"/>
          <w:szCs w:val="21"/>
        </w:rPr>
        <w:t>En virtud de lo anterior, y de conformidad con lo establecido en los artículos</w:t>
      </w:r>
      <w:r>
        <w:rPr>
          <w:rFonts w:ascii="Abadi" w:hAnsi="Abadi" w:cs="*Arial-7019-Identity-H"/>
          <w:color w:val="14131B"/>
          <w:sz w:val="21"/>
          <w:szCs w:val="21"/>
        </w:rPr>
        <w:t xml:space="preserve"> </w:t>
      </w:r>
      <w:r w:rsidRPr="009D2C14">
        <w:rPr>
          <w:rFonts w:ascii="Abadi" w:hAnsi="Abadi" w:cs="*Arial-7019-Identity-H"/>
          <w:color w:val="14131B"/>
          <w:sz w:val="21"/>
          <w:szCs w:val="21"/>
        </w:rPr>
        <w:t xml:space="preserve">10, fracción </w:t>
      </w:r>
      <w:r>
        <w:rPr>
          <w:rFonts w:ascii="Abadi" w:hAnsi="Abadi" w:cs="*Arial-7019-Identity-H"/>
          <w:color w:val="14131B"/>
          <w:sz w:val="21"/>
          <w:szCs w:val="21"/>
        </w:rPr>
        <w:t>II</w:t>
      </w:r>
      <w:r w:rsidRPr="009D2C14">
        <w:rPr>
          <w:rFonts w:ascii="Abadi" w:hAnsi="Abadi" w:cs="*Arial-7019-Identity-H"/>
          <w:color w:val="14131B"/>
          <w:sz w:val="21"/>
          <w:szCs w:val="21"/>
        </w:rPr>
        <w:t>, 16, 17, fracción VIII, 71, apartado a, y 73, del Reglamento de la</w:t>
      </w:r>
      <w:r>
        <w:rPr>
          <w:rFonts w:ascii="Abadi" w:hAnsi="Abadi" w:cs="*Arial-7019-Identity-H"/>
          <w:color w:val="14131B"/>
          <w:sz w:val="21"/>
          <w:szCs w:val="21"/>
        </w:rPr>
        <w:t xml:space="preserve"> </w:t>
      </w:r>
      <w:r w:rsidRPr="009D2C14">
        <w:rPr>
          <w:rFonts w:ascii="Abadi" w:hAnsi="Abadi" w:cs="*Arial-7019-Identity-H"/>
          <w:color w:val="14131B"/>
          <w:sz w:val="21"/>
          <w:szCs w:val="21"/>
        </w:rPr>
        <w:t>Administración Pública Municipal de Huanímaro, Gto., la unidad responsable del</w:t>
      </w:r>
      <w:r>
        <w:rPr>
          <w:rFonts w:ascii="Abadi" w:hAnsi="Abadi" w:cs="*Arial-7019-Identity-H"/>
          <w:color w:val="14131B"/>
          <w:sz w:val="21"/>
          <w:szCs w:val="21"/>
        </w:rPr>
        <w:t xml:space="preserve"> </w:t>
      </w:r>
      <w:r w:rsidRPr="009D2C14">
        <w:rPr>
          <w:rFonts w:ascii="Abadi" w:hAnsi="Abadi" w:cs="*Arial-7019-Identity-H"/>
          <w:color w:val="14131B"/>
          <w:sz w:val="21"/>
          <w:szCs w:val="21"/>
        </w:rPr>
        <w:t>servicio de alumbrado público es la Dirección General de Servicios Públicos</w:t>
      </w:r>
      <w:r>
        <w:rPr>
          <w:rFonts w:ascii="Abadi" w:hAnsi="Abadi" w:cs="*Arial-7019-Identity-H"/>
          <w:color w:val="14131B"/>
          <w:sz w:val="21"/>
          <w:szCs w:val="21"/>
        </w:rPr>
        <w:t xml:space="preserve"> </w:t>
      </w:r>
      <w:r w:rsidRPr="009D2C14">
        <w:rPr>
          <w:rFonts w:ascii="Abadi" w:hAnsi="Abadi" w:cs="*Arial-7019-Identity-H"/>
          <w:color w:val="14131B"/>
          <w:sz w:val="21"/>
          <w:szCs w:val="21"/>
        </w:rPr>
        <w:t>Municipales, misma que cuenta con el Área de Alumbrado Público para tal efecto.</w:t>
      </w:r>
      <w:r>
        <w:rPr>
          <w:rFonts w:ascii="Abadi" w:hAnsi="Abadi" w:cs="*Arial-7019-Identity-H"/>
          <w:color w:val="14131B"/>
          <w:sz w:val="21"/>
          <w:szCs w:val="21"/>
        </w:rPr>
        <w:t xml:space="preserve"> </w:t>
      </w:r>
    </w:p>
    <w:p w14:paraId="56862131" w14:textId="77777777" w:rsidR="001E07D6" w:rsidRDefault="001E07D6" w:rsidP="001E07D6">
      <w:pPr>
        <w:autoSpaceDE w:val="0"/>
        <w:autoSpaceDN w:val="0"/>
        <w:adjustRightInd w:val="0"/>
        <w:jc w:val="both"/>
        <w:rPr>
          <w:rFonts w:ascii="Abadi" w:hAnsi="Abadi" w:cs="*Arial-7019-Identity-H"/>
          <w:color w:val="14131B"/>
          <w:sz w:val="21"/>
          <w:szCs w:val="21"/>
        </w:rPr>
      </w:pPr>
    </w:p>
    <w:p w14:paraId="72B42964" w14:textId="77777777" w:rsidR="001E07D6" w:rsidRDefault="001E07D6" w:rsidP="001E07D6">
      <w:pPr>
        <w:autoSpaceDE w:val="0"/>
        <w:autoSpaceDN w:val="0"/>
        <w:adjustRightInd w:val="0"/>
        <w:jc w:val="both"/>
        <w:rPr>
          <w:rFonts w:ascii="Abadi" w:hAnsi="Abadi" w:cs="*Arial-Bold-4460-Identity-H"/>
          <w:b/>
          <w:bCs/>
          <w:color w:val="14121E"/>
          <w:sz w:val="21"/>
          <w:szCs w:val="21"/>
        </w:rPr>
      </w:pPr>
    </w:p>
    <w:p w14:paraId="04A4E44F" w14:textId="77777777" w:rsidR="001E07D6" w:rsidRDefault="001E07D6" w:rsidP="001E07D6">
      <w:pPr>
        <w:autoSpaceDE w:val="0"/>
        <w:autoSpaceDN w:val="0"/>
        <w:adjustRightInd w:val="0"/>
        <w:ind w:firstLine="708"/>
        <w:jc w:val="both"/>
        <w:rPr>
          <w:rFonts w:ascii="Abadi" w:hAnsi="Abadi" w:cs="*Arial-Bold-4460-Identity-H"/>
          <w:b/>
          <w:bCs/>
          <w:color w:val="14121E"/>
          <w:sz w:val="21"/>
          <w:szCs w:val="21"/>
        </w:rPr>
      </w:pPr>
      <w:r w:rsidRPr="009D2C14">
        <w:rPr>
          <w:rFonts w:ascii="Abadi" w:hAnsi="Abadi" w:cs="*Arial-Bold-4460-Identity-H"/>
          <w:b/>
          <w:bCs/>
          <w:color w:val="14121E"/>
          <w:sz w:val="21"/>
          <w:szCs w:val="21"/>
        </w:rPr>
        <w:t>b) Resultado del proceso de fiscalización.</w:t>
      </w:r>
    </w:p>
    <w:p w14:paraId="44D74B4B" w14:textId="77777777" w:rsidR="001E07D6" w:rsidRPr="00DC260F" w:rsidRDefault="001E07D6" w:rsidP="001E07D6">
      <w:pPr>
        <w:autoSpaceDE w:val="0"/>
        <w:autoSpaceDN w:val="0"/>
        <w:adjustRightInd w:val="0"/>
        <w:jc w:val="both"/>
        <w:rPr>
          <w:rFonts w:ascii="Abadi" w:hAnsi="Abadi" w:cs="*Arial-Bold-4460-Identity-H"/>
          <w:b/>
          <w:bCs/>
          <w:color w:val="14121E"/>
          <w:sz w:val="21"/>
          <w:szCs w:val="21"/>
        </w:rPr>
      </w:pPr>
    </w:p>
    <w:p w14:paraId="1270569D" w14:textId="77777777" w:rsidR="001E07D6" w:rsidRPr="009D2C14" w:rsidRDefault="001E07D6" w:rsidP="001E07D6">
      <w:pPr>
        <w:autoSpaceDE w:val="0"/>
        <w:autoSpaceDN w:val="0"/>
        <w:adjustRightInd w:val="0"/>
        <w:jc w:val="both"/>
        <w:rPr>
          <w:rFonts w:ascii="Abadi" w:hAnsi="Abadi" w:cs="*Arial-4459-Identity-H"/>
          <w:color w:val="14131B"/>
          <w:sz w:val="21"/>
          <w:szCs w:val="21"/>
        </w:rPr>
      </w:pPr>
      <w:r w:rsidRPr="009D2C14">
        <w:rPr>
          <w:rFonts w:ascii="Abadi" w:hAnsi="Abadi" w:cs="*Arial-4459-Identity-H"/>
          <w:color w:val="14131B"/>
          <w:sz w:val="21"/>
          <w:szCs w:val="21"/>
        </w:rPr>
        <w:t>En esta parte se señala que los objetivos específicos se desarrollaron en la</w:t>
      </w:r>
      <w:r>
        <w:rPr>
          <w:rFonts w:ascii="Abadi" w:hAnsi="Abadi" w:cs="*Arial-4459-Identity-H"/>
          <w:color w:val="14131B"/>
          <w:sz w:val="21"/>
          <w:szCs w:val="21"/>
        </w:rPr>
        <w:t xml:space="preserve"> </w:t>
      </w:r>
      <w:r w:rsidRPr="009D2C14">
        <w:rPr>
          <w:rFonts w:ascii="Abadi" w:hAnsi="Abadi" w:cs="*Arial-4459-Identity-H"/>
          <w:color w:val="14131B"/>
          <w:sz w:val="21"/>
          <w:szCs w:val="21"/>
        </w:rPr>
        <w:t>auditoría en siete procedimientos, con los siguientes resultados:</w:t>
      </w:r>
    </w:p>
    <w:p w14:paraId="7AB77AC1" w14:textId="77777777" w:rsidR="001E07D6" w:rsidRDefault="001E07D6" w:rsidP="001E07D6">
      <w:pPr>
        <w:autoSpaceDE w:val="0"/>
        <w:autoSpaceDN w:val="0"/>
        <w:adjustRightInd w:val="0"/>
        <w:jc w:val="both"/>
        <w:rPr>
          <w:rFonts w:ascii="Abadi" w:hAnsi="Abadi" w:cs="*Arial-Bold-4460-Identity-H"/>
          <w:b/>
          <w:bCs/>
          <w:color w:val="14121E"/>
          <w:sz w:val="21"/>
          <w:szCs w:val="21"/>
        </w:rPr>
      </w:pPr>
    </w:p>
    <w:p w14:paraId="6BED4761" w14:textId="77777777" w:rsidR="001E07D6" w:rsidRDefault="001E07D6" w:rsidP="001E07D6">
      <w:pPr>
        <w:autoSpaceDE w:val="0"/>
        <w:autoSpaceDN w:val="0"/>
        <w:adjustRightInd w:val="0"/>
        <w:ind w:firstLine="426"/>
        <w:jc w:val="both"/>
        <w:rPr>
          <w:rFonts w:ascii="Abadi" w:hAnsi="Abadi" w:cs="*Arial-Bold-4460-Identity-H"/>
          <w:b/>
          <w:bCs/>
          <w:color w:val="14121E"/>
          <w:sz w:val="21"/>
          <w:szCs w:val="21"/>
        </w:rPr>
      </w:pPr>
      <w:r w:rsidRPr="009D2C14">
        <w:rPr>
          <w:rFonts w:ascii="Abadi" w:hAnsi="Abadi" w:cs="*Arial-Bold-4460-Identity-H"/>
          <w:b/>
          <w:bCs/>
          <w:color w:val="14121E"/>
          <w:sz w:val="21"/>
          <w:szCs w:val="21"/>
        </w:rPr>
        <w:t>Eficiencia:</w:t>
      </w:r>
    </w:p>
    <w:p w14:paraId="08D84B74" w14:textId="77777777" w:rsidR="001E07D6" w:rsidRPr="009D2C14" w:rsidRDefault="001E07D6" w:rsidP="001E07D6">
      <w:pPr>
        <w:autoSpaceDE w:val="0"/>
        <w:autoSpaceDN w:val="0"/>
        <w:adjustRightInd w:val="0"/>
        <w:ind w:firstLine="426"/>
        <w:jc w:val="both"/>
        <w:rPr>
          <w:rFonts w:ascii="Abadi" w:hAnsi="Abadi" w:cs="*Arial-Bold-4460-Identity-H"/>
          <w:b/>
          <w:bCs/>
          <w:color w:val="14121E"/>
          <w:sz w:val="21"/>
          <w:szCs w:val="21"/>
        </w:rPr>
      </w:pPr>
    </w:p>
    <w:p w14:paraId="6CD35450" w14:textId="77777777" w:rsidR="001E07D6" w:rsidRPr="009D2C14" w:rsidRDefault="001E07D6" w:rsidP="001E07D6">
      <w:pPr>
        <w:autoSpaceDE w:val="0"/>
        <w:autoSpaceDN w:val="0"/>
        <w:adjustRightInd w:val="0"/>
        <w:ind w:left="851"/>
        <w:jc w:val="both"/>
        <w:rPr>
          <w:rFonts w:ascii="Abadi" w:hAnsi="Abadi" w:cs="*Arial-4459-Identity-H"/>
          <w:color w:val="14131A"/>
          <w:sz w:val="21"/>
          <w:szCs w:val="21"/>
        </w:rPr>
      </w:pPr>
      <w:r w:rsidRPr="009D2C14">
        <w:rPr>
          <w:rFonts w:ascii="Abadi" w:hAnsi="Abadi" w:cs="*Arial-Bold-4460-Identity-H"/>
          <w:b/>
          <w:bCs/>
          <w:color w:val="14131A"/>
          <w:sz w:val="21"/>
          <w:szCs w:val="21"/>
        </w:rPr>
        <w:t xml:space="preserve">1. </w:t>
      </w:r>
      <w:r w:rsidRPr="009D2C14">
        <w:rPr>
          <w:rFonts w:ascii="Abadi" w:hAnsi="Abadi" w:cs="*Arial-4459-Identity-H"/>
          <w:color w:val="14131A"/>
          <w:sz w:val="21"/>
          <w:szCs w:val="21"/>
        </w:rPr>
        <w:t>Oferta del servicio de alumbrado público.</w:t>
      </w:r>
    </w:p>
    <w:p w14:paraId="02568397" w14:textId="77777777" w:rsidR="001E07D6" w:rsidRPr="009D2C14" w:rsidRDefault="001E07D6" w:rsidP="001E07D6">
      <w:pPr>
        <w:autoSpaceDE w:val="0"/>
        <w:autoSpaceDN w:val="0"/>
        <w:adjustRightInd w:val="0"/>
        <w:ind w:left="851"/>
        <w:jc w:val="both"/>
        <w:rPr>
          <w:rFonts w:ascii="Abadi" w:hAnsi="Abadi" w:cs="*Arial-4459-Identity-H"/>
          <w:color w:val="15141D"/>
          <w:sz w:val="21"/>
          <w:szCs w:val="21"/>
        </w:rPr>
      </w:pPr>
      <w:r w:rsidRPr="009D2C14">
        <w:rPr>
          <w:rFonts w:ascii="Abadi" w:hAnsi="Abadi" w:cs="*Arial-Bold-4460-Identity-H"/>
          <w:b/>
          <w:bCs/>
          <w:color w:val="15141D"/>
          <w:sz w:val="21"/>
          <w:szCs w:val="21"/>
        </w:rPr>
        <w:t xml:space="preserve">2. </w:t>
      </w:r>
      <w:r w:rsidRPr="009D2C14">
        <w:rPr>
          <w:rFonts w:ascii="Abadi" w:hAnsi="Abadi" w:cs="*Arial-4459-Identity-H"/>
          <w:color w:val="15141D"/>
          <w:sz w:val="21"/>
          <w:szCs w:val="21"/>
        </w:rPr>
        <w:t>Presupuestación del servicio.</w:t>
      </w:r>
    </w:p>
    <w:p w14:paraId="4C02FB84" w14:textId="77777777" w:rsidR="001E07D6" w:rsidRPr="009D2C14" w:rsidRDefault="001E07D6" w:rsidP="001E07D6">
      <w:pPr>
        <w:autoSpaceDE w:val="0"/>
        <w:autoSpaceDN w:val="0"/>
        <w:adjustRightInd w:val="0"/>
        <w:ind w:left="851"/>
        <w:jc w:val="both"/>
        <w:rPr>
          <w:rFonts w:ascii="Abadi" w:hAnsi="Abadi" w:cs="*Arial-4459-Identity-H"/>
          <w:color w:val="15131C"/>
          <w:sz w:val="21"/>
          <w:szCs w:val="21"/>
        </w:rPr>
      </w:pPr>
      <w:r w:rsidRPr="009D2C14">
        <w:rPr>
          <w:rFonts w:ascii="Abadi" w:hAnsi="Abadi" w:cs="*Arial-Bold-4460-Identity-H"/>
          <w:b/>
          <w:bCs/>
          <w:color w:val="15131C"/>
          <w:sz w:val="21"/>
          <w:szCs w:val="21"/>
        </w:rPr>
        <w:t xml:space="preserve">3. </w:t>
      </w:r>
      <w:r w:rsidRPr="009D2C14">
        <w:rPr>
          <w:rFonts w:ascii="Abadi" w:hAnsi="Abadi" w:cs="*Arial-4459-Identity-H"/>
          <w:color w:val="15131C"/>
          <w:sz w:val="21"/>
          <w:szCs w:val="21"/>
        </w:rPr>
        <w:t>Marco normativo para la prestación del servicio.</w:t>
      </w:r>
    </w:p>
    <w:p w14:paraId="2977D19F" w14:textId="77777777" w:rsidR="001E07D6" w:rsidRPr="009D2C14" w:rsidRDefault="001E07D6" w:rsidP="001E07D6">
      <w:pPr>
        <w:autoSpaceDE w:val="0"/>
        <w:autoSpaceDN w:val="0"/>
        <w:adjustRightInd w:val="0"/>
        <w:ind w:left="851"/>
        <w:jc w:val="both"/>
        <w:rPr>
          <w:rFonts w:ascii="Abadi" w:hAnsi="Abadi" w:cs="*Arial-4459-Identity-H"/>
          <w:color w:val="14141B"/>
          <w:sz w:val="21"/>
          <w:szCs w:val="21"/>
        </w:rPr>
      </w:pPr>
      <w:r w:rsidRPr="009D2C14">
        <w:rPr>
          <w:rFonts w:ascii="Abadi" w:hAnsi="Abadi" w:cs="*Arial-Bold-4460-Identity-H"/>
          <w:b/>
          <w:bCs/>
          <w:color w:val="14141B"/>
          <w:sz w:val="21"/>
          <w:szCs w:val="21"/>
        </w:rPr>
        <w:t xml:space="preserve">4. </w:t>
      </w:r>
      <w:r w:rsidRPr="009D2C14">
        <w:rPr>
          <w:rFonts w:ascii="Abadi" w:hAnsi="Abadi" w:cs="*Arial-4459-Identity-H"/>
          <w:color w:val="14141B"/>
          <w:sz w:val="21"/>
          <w:szCs w:val="21"/>
        </w:rPr>
        <w:t>Planeación del servicio de alumbrado público en el corto plazo.</w:t>
      </w:r>
    </w:p>
    <w:p w14:paraId="74B182FF" w14:textId="77777777" w:rsidR="001E07D6" w:rsidRPr="009D2C14" w:rsidRDefault="001E07D6" w:rsidP="001E07D6">
      <w:pPr>
        <w:autoSpaceDE w:val="0"/>
        <w:autoSpaceDN w:val="0"/>
        <w:adjustRightInd w:val="0"/>
        <w:ind w:left="851"/>
        <w:jc w:val="both"/>
        <w:rPr>
          <w:rFonts w:ascii="Abadi" w:hAnsi="Abadi" w:cs="*Arial-4459-Identity-H"/>
          <w:color w:val="14131B"/>
          <w:sz w:val="21"/>
          <w:szCs w:val="21"/>
        </w:rPr>
      </w:pPr>
      <w:r w:rsidRPr="009D2C14">
        <w:rPr>
          <w:rFonts w:ascii="Abadi" w:hAnsi="Abadi" w:cs="*Arial-Bold-4460-Identity-H"/>
          <w:b/>
          <w:bCs/>
          <w:color w:val="14131B"/>
          <w:sz w:val="21"/>
          <w:szCs w:val="21"/>
        </w:rPr>
        <w:t xml:space="preserve">5. </w:t>
      </w:r>
      <w:r w:rsidRPr="009D2C14">
        <w:rPr>
          <w:rFonts w:ascii="Abadi" w:hAnsi="Abadi" w:cs="*Arial-4459-Identity-H"/>
          <w:color w:val="14131B"/>
          <w:sz w:val="21"/>
          <w:szCs w:val="21"/>
        </w:rPr>
        <w:t>Participación-ciudadana en-el reporte de fallas del servicio.</w:t>
      </w:r>
    </w:p>
    <w:p w14:paraId="58FB605B" w14:textId="77777777" w:rsidR="001E07D6" w:rsidRDefault="001E07D6" w:rsidP="001E07D6">
      <w:pPr>
        <w:autoSpaceDE w:val="0"/>
        <w:autoSpaceDN w:val="0"/>
        <w:adjustRightInd w:val="0"/>
        <w:ind w:left="851"/>
        <w:jc w:val="both"/>
        <w:rPr>
          <w:rFonts w:ascii="Abadi" w:hAnsi="Abadi" w:cs="*Arial-Bold-4460-Identity-H"/>
          <w:b/>
          <w:bCs/>
          <w:color w:val="15131F"/>
          <w:sz w:val="21"/>
          <w:szCs w:val="21"/>
        </w:rPr>
      </w:pPr>
    </w:p>
    <w:p w14:paraId="3EAC564E" w14:textId="77777777" w:rsidR="001E07D6" w:rsidRDefault="001E07D6" w:rsidP="001E07D6">
      <w:pPr>
        <w:autoSpaceDE w:val="0"/>
        <w:autoSpaceDN w:val="0"/>
        <w:adjustRightInd w:val="0"/>
        <w:ind w:firstLine="426"/>
        <w:jc w:val="both"/>
        <w:rPr>
          <w:rFonts w:ascii="Abadi" w:hAnsi="Abadi" w:cs="*Arial-Bold-4460-Identity-H"/>
          <w:b/>
          <w:bCs/>
          <w:color w:val="15131F"/>
          <w:sz w:val="21"/>
          <w:szCs w:val="21"/>
        </w:rPr>
      </w:pPr>
      <w:r w:rsidRPr="009D2C14">
        <w:rPr>
          <w:rFonts w:ascii="Abadi" w:hAnsi="Abadi" w:cs="*Arial-Bold-4460-Identity-H"/>
          <w:b/>
          <w:bCs/>
          <w:color w:val="15131F"/>
          <w:sz w:val="21"/>
          <w:szCs w:val="21"/>
        </w:rPr>
        <w:t>Eficacia:</w:t>
      </w:r>
    </w:p>
    <w:p w14:paraId="7477C09B" w14:textId="77777777" w:rsidR="001E07D6" w:rsidRPr="009D2C14" w:rsidRDefault="001E07D6" w:rsidP="001E07D6">
      <w:pPr>
        <w:autoSpaceDE w:val="0"/>
        <w:autoSpaceDN w:val="0"/>
        <w:adjustRightInd w:val="0"/>
        <w:jc w:val="both"/>
        <w:rPr>
          <w:rFonts w:ascii="Abadi" w:hAnsi="Abadi" w:cs="*Arial-Bold-4460-Identity-H"/>
          <w:b/>
          <w:bCs/>
          <w:color w:val="15131F"/>
          <w:sz w:val="21"/>
          <w:szCs w:val="21"/>
        </w:rPr>
      </w:pPr>
    </w:p>
    <w:p w14:paraId="3124E515" w14:textId="77777777" w:rsidR="001E07D6" w:rsidRPr="009D2C14" w:rsidRDefault="001E07D6" w:rsidP="001E07D6">
      <w:pPr>
        <w:autoSpaceDE w:val="0"/>
        <w:autoSpaceDN w:val="0"/>
        <w:adjustRightInd w:val="0"/>
        <w:ind w:left="851"/>
        <w:jc w:val="both"/>
        <w:rPr>
          <w:rFonts w:ascii="Abadi" w:hAnsi="Abadi" w:cs="*Arial-4459-Identity-H"/>
          <w:color w:val="14131C"/>
          <w:sz w:val="21"/>
          <w:szCs w:val="21"/>
        </w:rPr>
      </w:pPr>
      <w:r w:rsidRPr="009D2C14">
        <w:rPr>
          <w:rFonts w:ascii="Abadi" w:hAnsi="Abadi" w:cs="*Arial-Bold-4460-Identity-H"/>
          <w:b/>
          <w:bCs/>
          <w:color w:val="14131C"/>
          <w:sz w:val="21"/>
          <w:szCs w:val="21"/>
        </w:rPr>
        <w:t xml:space="preserve">6. </w:t>
      </w:r>
      <w:r w:rsidRPr="009D2C14">
        <w:rPr>
          <w:rFonts w:ascii="Abadi" w:hAnsi="Abadi" w:cs="*Arial-4459-Identity-H"/>
          <w:color w:val="14131C"/>
          <w:sz w:val="21"/>
          <w:szCs w:val="21"/>
        </w:rPr>
        <w:t>Eficacia del servicio de alumbrado público.</w:t>
      </w:r>
    </w:p>
    <w:p w14:paraId="6F752A52" w14:textId="77777777" w:rsidR="001E07D6" w:rsidRPr="009D2C14" w:rsidRDefault="001E07D6" w:rsidP="001E07D6">
      <w:pPr>
        <w:autoSpaceDE w:val="0"/>
        <w:autoSpaceDN w:val="0"/>
        <w:adjustRightInd w:val="0"/>
        <w:ind w:left="851"/>
        <w:jc w:val="both"/>
        <w:rPr>
          <w:rFonts w:ascii="Abadi" w:hAnsi="Abadi" w:cs="*Arial-4459-Identity-H"/>
          <w:color w:val="15131A"/>
          <w:sz w:val="21"/>
          <w:szCs w:val="21"/>
        </w:rPr>
      </w:pPr>
      <w:r w:rsidRPr="009D2C14">
        <w:rPr>
          <w:rFonts w:ascii="Abadi" w:hAnsi="Abadi" w:cs="*Arial-Bold-4460-Identity-H"/>
          <w:b/>
          <w:bCs/>
          <w:color w:val="15131A"/>
          <w:sz w:val="21"/>
          <w:szCs w:val="21"/>
        </w:rPr>
        <w:t xml:space="preserve">7. </w:t>
      </w:r>
      <w:r w:rsidRPr="009D2C14">
        <w:rPr>
          <w:rFonts w:ascii="Abadi" w:hAnsi="Abadi" w:cs="*Arial-4459-Identity-H"/>
          <w:color w:val="15131A"/>
          <w:sz w:val="21"/>
          <w:szCs w:val="21"/>
        </w:rPr>
        <w:t>Monitoreo y evaluación de resultados.</w:t>
      </w:r>
    </w:p>
    <w:p w14:paraId="7CE587DE" w14:textId="77777777" w:rsidR="001E07D6" w:rsidRDefault="001E07D6" w:rsidP="001E07D6">
      <w:pPr>
        <w:autoSpaceDE w:val="0"/>
        <w:autoSpaceDN w:val="0"/>
        <w:adjustRightInd w:val="0"/>
        <w:jc w:val="both"/>
        <w:rPr>
          <w:rFonts w:ascii="Abadi" w:hAnsi="Abadi" w:cs="*Arial-4459-Identity-H"/>
          <w:color w:val="14131B"/>
          <w:sz w:val="21"/>
          <w:szCs w:val="21"/>
        </w:rPr>
      </w:pPr>
    </w:p>
    <w:p w14:paraId="0C9A4810" w14:textId="77777777" w:rsidR="001E07D6" w:rsidRDefault="001E07D6" w:rsidP="001E07D6">
      <w:pPr>
        <w:autoSpaceDE w:val="0"/>
        <w:autoSpaceDN w:val="0"/>
        <w:adjustRightInd w:val="0"/>
        <w:ind w:firstLine="708"/>
        <w:jc w:val="both"/>
        <w:rPr>
          <w:rFonts w:ascii="Abadi" w:hAnsi="Abadi" w:cs="*Arial-4459-Identity-H"/>
          <w:color w:val="14131B"/>
          <w:sz w:val="21"/>
          <w:szCs w:val="21"/>
        </w:rPr>
      </w:pPr>
      <w:r w:rsidRPr="009D2C14">
        <w:rPr>
          <w:rFonts w:ascii="Abadi" w:hAnsi="Abadi" w:cs="*Arial-4459-Identity-H"/>
          <w:color w:val="14131B"/>
          <w:sz w:val="21"/>
          <w:szCs w:val="21"/>
        </w:rPr>
        <w:t>Es así, que se presentan los resultados de la auditoría realizada,</w:t>
      </w:r>
      <w:r>
        <w:rPr>
          <w:rFonts w:ascii="Abadi" w:hAnsi="Abadi" w:cs="*Arial-4459-Identity-H"/>
          <w:color w:val="14131B"/>
          <w:sz w:val="21"/>
          <w:szCs w:val="21"/>
        </w:rPr>
        <w:t xml:space="preserve"> </w:t>
      </w:r>
      <w:r w:rsidRPr="009D2C14">
        <w:rPr>
          <w:rFonts w:ascii="Abadi" w:hAnsi="Abadi" w:cs="*Arial-4459-Identity-H"/>
          <w:color w:val="14131B"/>
          <w:sz w:val="21"/>
          <w:szCs w:val="21"/>
        </w:rPr>
        <w:t>estableciendo las recomendaciones formuladas al sujeto fiscalizado, plasmando</w:t>
      </w:r>
      <w:r>
        <w:rPr>
          <w:rFonts w:ascii="Abadi" w:hAnsi="Abadi" w:cs="*Arial-4459-Identity-H"/>
          <w:color w:val="14131B"/>
          <w:sz w:val="21"/>
          <w:szCs w:val="21"/>
        </w:rPr>
        <w:t xml:space="preserve"> </w:t>
      </w:r>
      <w:r w:rsidRPr="009D2C14">
        <w:rPr>
          <w:rFonts w:ascii="Abadi" w:hAnsi="Abadi" w:cs="*Arial-4459-Identity-H"/>
          <w:color w:val="14131B"/>
          <w:sz w:val="21"/>
          <w:szCs w:val="21"/>
        </w:rPr>
        <w:t>en cada una las acciones preventivas y correctivas que se deben llevar a cabo</w:t>
      </w:r>
      <w:r>
        <w:rPr>
          <w:rFonts w:ascii="Abadi" w:hAnsi="Abadi" w:cs="*Arial-4459-Identity-H"/>
          <w:color w:val="14131B"/>
          <w:sz w:val="21"/>
          <w:szCs w:val="21"/>
        </w:rPr>
        <w:t xml:space="preserve"> </w:t>
      </w:r>
      <w:r w:rsidRPr="009D2C14">
        <w:rPr>
          <w:rFonts w:ascii="Abadi" w:hAnsi="Abadi" w:cs="*Arial-4459-Identity-H"/>
          <w:color w:val="14131B"/>
          <w:sz w:val="21"/>
          <w:szCs w:val="21"/>
        </w:rPr>
        <w:t>para subsanar las situaciones detectadas durante el proceso de auditoría.</w:t>
      </w:r>
    </w:p>
    <w:p w14:paraId="15CB3D65" w14:textId="77777777" w:rsidR="001E07D6" w:rsidRPr="009D2C14" w:rsidRDefault="001E07D6" w:rsidP="001E07D6">
      <w:pPr>
        <w:autoSpaceDE w:val="0"/>
        <w:autoSpaceDN w:val="0"/>
        <w:adjustRightInd w:val="0"/>
        <w:ind w:firstLine="708"/>
        <w:jc w:val="both"/>
        <w:rPr>
          <w:rFonts w:ascii="Abadi" w:hAnsi="Abadi" w:cs="*Arial-4459-Identity-H"/>
          <w:color w:val="14131B"/>
          <w:sz w:val="21"/>
          <w:szCs w:val="21"/>
        </w:rPr>
      </w:pPr>
    </w:p>
    <w:p w14:paraId="30FF0C48" w14:textId="77777777" w:rsidR="001E07D6" w:rsidRDefault="001E07D6" w:rsidP="001E07D6">
      <w:pPr>
        <w:autoSpaceDE w:val="0"/>
        <w:autoSpaceDN w:val="0"/>
        <w:adjustRightInd w:val="0"/>
        <w:ind w:firstLine="708"/>
        <w:jc w:val="both"/>
        <w:rPr>
          <w:rFonts w:ascii="Abadi" w:hAnsi="Abadi" w:cs="*Arial-4459-Identity-H"/>
          <w:color w:val="14131A"/>
          <w:sz w:val="21"/>
          <w:szCs w:val="21"/>
        </w:rPr>
      </w:pPr>
      <w:r w:rsidRPr="009D2C14">
        <w:rPr>
          <w:rFonts w:ascii="Abadi" w:hAnsi="Abadi" w:cs="*Arial-4459-Identity-H"/>
          <w:color w:val="14131A"/>
          <w:sz w:val="21"/>
          <w:szCs w:val="21"/>
        </w:rPr>
        <w:t>Derivado de lo anterior, se formulan los resultados y recomendaciones</w:t>
      </w:r>
      <w:r>
        <w:rPr>
          <w:rFonts w:ascii="Abadi" w:hAnsi="Abadi" w:cs="*Arial-4459-Identity-H"/>
          <w:color w:val="14131A"/>
          <w:sz w:val="21"/>
          <w:szCs w:val="21"/>
        </w:rPr>
        <w:t xml:space="preserve"> </w:t>
      </w:r>
      <w:r w:rsidRPr="009D2C14">
        <w:rPr>
          <w:rFonts w:ascii="Abadi" w:hAnsi="Abadi" w:cs="*Arial-4459-Identity-H"/>
          <w:color w:val="14131A"/>
          <w:sz w:val="21"/>
          <w:szCs w:val="21"/>
        </w:rPr>
        <w:t>contenidos en los rubros de Eficiencia y Eficacia.</w:t>
      </w:r>
      <w:r>
        <w:rPr>
          <w:rFonts w:ascii="Abadi" w:hAnsi="Abadi" w:cs="*Arial-4459-Identity-H"/>
          <w:color w:val="14131A"/>
          <w:sz w:val="21"/>
          <w:szCs w:val="21"/>
        </w:rPr>
        <w:t xml:space="preserve"> </w:t>
      </w:r>
    </w:p>
    <w:p w14:paraId="4386EFA9" w14:textId="77777777" w:rsidR="001E07D6" w:rsidRDefault="001E07D6" w:rsidP="001E07D6">
      <w:pPr>
        <w:autoSpaceDE w:val="0"/>
        <w:autoSpaceDN w:val="0"/>
        <w:adjustRightInd w:val="0"/>
        <w:jc w:val="both"/>
        <w:rPr>
          <w:rFonts w:ascii="Abadi" w:hAnsi="Abadi" w:cs="*Arial-4459-Identity-H"/>
          <w:color w:val="14131A"/>
          <w:sz w:val="21"/>
          <w:szCs w:val="21"/>
        </w:rPr>
      </w:pPr>
    </w:p>
    <w:p w14:paraId="2AA50781" w14:textId="77777777" w:rsidR="001E07D6" w:rsidRPr="009D2C14" w:rsidRDefault="001E07D6" w:rsidP="001E07D6">
      <w:pPr>
        <w:autoSpaceDE w:val="0"/>
        <w:autoSpaceDN w:val="0"/>
        <w:adjustRightInd w:val="0"/>
        <w:jc w:val="both"/>
        <w:rPr>
          <w:rFonts w:ascii="Abadi" w:hAnsi="Abadi" w:cs="*Arial-4459-Identity-H"/>
          <w:color w:val="14131A"/>
          <w:sz w:val="21"/>
          <w:szCs w:val="21"/>
        </w:rPr>
      </w:pPr>
    </w:p>
    <w:p w14:paraId="181DA2ED" w14:textId="77777777" w:rsidR="001E07D6" w:rsidRDefault="001E07D6" w:rsidP="001E07D6">
      <w:pPr>
        <w:autoSpaceDE w:val="0"/>
        <w:autoSpaceDN w:val="0"/>
        <w:adjustRightInd w:val="0"/>
        <w:ind w:firstLine="708"/>
        <w:jc w:val="both"/>
        <w:rPr>
          <w:rFonts w:ascii="Abadi" w:hAnsi="Abadi" w:cs="*Arial-6135-Identity-H"/>
          <w:color w:val="14131B"/>
          <w:sz w:val="21"/>
          <w:szCs w:val="21"/>
        </w:rPr>
      </w:pPr>
      <w:r w:rsidRPr="009D2C14">
        <w:rPr>
          <w:rFonts w:ascii="Abadi" w:hAnsi="Abadi" w:cs="*Arial-4459-Identity-H"/>
          <w:color w:val="14131B"/>
          <w:sz w:val="21"/>
          <w:szCs w:val="21"/>
        </w:rPr>
        <w:t>En tal sentido, en el rubro de Eficiencia, se formularon las recomendaciones</w:t>
      </w:r>
      <w:r>
        <w:rPr>
          <w:rFonts w:ascii="Abadi" w:hAnsi="Abadi" w:cs="*Arial-4459-Identity-H"/>
          <w:color w:val="14131B"/>
          <w:sz w:val="21"/>
          <w:szCs w:val="21"/>
        </w:rPr>
        <w:t xml:space="preserve"> </w:t>
      </w:r>
      <w:r w:rsidRPr="009D2C14">
        <w:rPr>
          <w:rFonts w:ascii="Abadi" w:hAnsi="Abadi" w:cs="*Arial-4459-Identity-H"/>
          <w:color w:val="14131B"/>
          <w:sz w:val="21"/>
          <w:szCs w:val="21"/>
        </w:rPr>
        <w:t>plasmadas en los puntos 01 y 02 del resultado número 1, referente a oferta del</w:t>
      </w:r>
      <w:r>
        <w:rPr>
          <w:rFonts w:ascii="Abadi" w:hAnsi="Abadi" w:cs="*Arial-4459-Identity-H"/>
          <w:color w:val="14131B"/>
          <w:sz w:val="21"/>
          <w:szCs w:val="21"/>
        </w:rPr>
        <w:t xml:space="preserve"> </w:t>
      </w:r>
      <w:r w:rsidRPr="009D2C14">
        <w:rPr>
          <w:rFonts w:ascii="Abadi" w:hAnsi="Abadi" w:cs="*Arial-4459-Identity-H"/>
          <w:color w:val="14131B"/>
          <w:sz w:val="21"/>
          <w:szCs w:val="21"/>
        </w:rPr>
        <w:t>servicio de alumbrado público; 03, 04 y 05 del resultado número 2,</w:t>
      </w:r>
      <w:r>
        <w:rPr>
          <w:rFonts w:ascii="Abadi" w:hAnsi="Abadi" w:cs="*Arial-4459-Identity-H"/>
          <w:color w:val="14131B"/>
          <w:sz w:val="21"/>
          <w:szCs w:val="21"/>
        </w:rPr>
        <w:t xml:space="preserve"> </w:t>
      </w:r>
      <w:r w:rsidRPr="009D2C14">
        <w:rPr>
          <w:rFonts w:ascii="Abadi" w:hAnsi="Abadi" w:cs="*Arial-4459-Identity-H"/>
          <w:color w:val="14131B"/>
          <w:sz w:val="21"/>
          <w:szCs w:val="21"/>
        </w:rPr>
        <w:t>correspondiente a presupuestación del servicio; 06 y 07 del resultado número 3,</w:t>
      </w:r>
      <w:r>
        <w:rPr>
          <w:rFonts w:ascii="Abadi" w:hAnsi="Abadi" w:cs="*Arial-4459-Identity-H"/>
          <w:color w:val="14131B"/>
          <w:sz w:val="21"/>
          <w:szCs w:val="21"/>
        </w:rPr>
        <w:t xml:space="preserve"> </w:t>
      </w:r>
      <w:r w:rsidRPr="009D2C14">
        <w:rPr>
          <w:rFonts w:ascii="Abadi" w:hAnsi="Abadi" w:cs="*Arial-4459-Identity-H"/>
          <w:color w:val="14131B"/>
          <w:sz w:val="21"/>
          <w:szCs w:val="21"/>
        </w:rPr>
        <w:t>relativo a marco normativo para la prestación del servicio; 08 del resultado número</w:t>
      </w:r>
      <w:r>
        <w:rPr>
          <w:rFonts w:ascii="Abadi" w:hAnsi="Abadi" w:cs="*Arial-4459-Identity-H"/>
          <w:color w:val="14131B"/>
          <w:sz w:val="21"/>
          <w:szCs w:val="21"/>
        </w:rPr>
        <w:t xml:space="preserve"> </w:t>
      </w:r>
      <w:r w:rsidRPr="009D2C14">
        <w:rPr>
          <w:rFonts w:ascii="Abadi" w:hAnsi="Abadi" w:cs="*Arial-4459-Identity-H"/>
          <w:color w:val="14131B"/>
          <w:sz w:val="21"/>
          <w:szCs w:val="21"/>
        </w:rPr>
        <w:t>4, referido a planeación del servicio de alumbrado público en el corto plazo; y 09</w:t>
      </w:r>
      <w:r>
        <w:rPr>
          <w:rFonts w:ascii="Abadi" w:hAnsi="Abadi" w:cs="*Arial-4459-Identity-H"/>
          <w:color w:val="14131B"/>
          <w:sz w:val="21"/>
          <w:szCs w:val="21"/>
        </w:rPr>
        <w:t xml:space="preserve"> </w:t>
      </w:r>
      <w:r w:rsidRPr="009D2C14">
        <w:rPr>
          <w:rFonts w:ascii="Abadi" w:hAnsi="Abadi" w:cs="*Arial-4459-Identity-H"/>
          <w:color w:val="14131B"/>
          <w:sz w:val="21"/>
          <w:szCs w:val="21"/>
        </w:rPr>
        <w:t>del resultado número 5, referente a participación ciudadana en el reporte de fallas</w:t>
      </w:r>
      <w:r>
        <w:rPr>
          <w:rFonts w:ascii="Abadi" w:hAnsi="Abadi" w:cs="*Arial-4459-Identity-H"/>
          <w:color w:val="14131B"/>
          <w:sz w:val="21"/>
          <w:szCs w:val="21"/>
        </w:rPr>
        <w:t xml:space="preserve"> </w:t>
      </w:r>
      <w:r w:rsidRPr="009D2C14">
        <w:rPr>
          <w:rFonts w:ascii="Abadi" w:hAnsi="Abadi" w:cs="*Arial-4459-Identity-H"/>
          <w:color w:val="14131B"/>
          <w:sz w:val="21"/>
          <w:szCs w:val="21"/>
        </w:rPr>
        <w:t>del servicio. En el apartado de Eficacia, se formularon las recomendaciones</w:t>
      </w:r>
      <w:r>
        <w:rPr>
          <w:rFonts w:ascii="Abadi" w:hAnsi="Abadi" w:cs="*Arial-4459-Identity-H"/>
          <w:color w:val="14131B"/>
          <w:sz w:val="21"/>
          <w:szCs w:val="21"/>
        </w:rPr>
        <w:t xml:space="preserve"> </w:t>
      </w:r>
      <w:r w:rsidRPr="009D2C14">
        <w:rPr>
          <w:rFonts w:ascii="Abadi" w:hAnsi="Abadi" w:cs="*Arial-6135-Identity-H"/>
          <w:color w:val="14131B"/>
          <w:sz w:val="21"/>
          <w:szCs w:val="21"/>
        </w:rPr>
        <w:t>consignadas en los puntos 1 O del resultado número 6, correspondiente a eficacia</w:t>
      </w:r>
      <w:r>
        <w:rPr>
          <w:rFonts w:ascii="Abadi" w:hAnsi="Abadi" w:cs="*Arial-6135-Identity-H"/>
          <w:color w:val="14131B"/>
          <w:sz w:val="21"/>
          <w:szCs w:val="21"/>
        </w:rPr>
        <w:t xml:space="preserve"> </w:t>
      </w:r>
      <w:r w:rsidRPr="009D2C14">
        <w:rPr>
          <w:rFonts w:ascii="Abadi" w:hAnsi="Abadi" w:cs="*Arial-6135-Identity-H"/>
          <w:color w:val="14131B"/>
          <w:sz w:val="21"/>
          <w:szCs w:val="21"/>
        </w:rPr>
        <w:t>del servicio de alumbrado público; 11 y 12 del resultado número 7, relativo a</w:t>
      </w:r>
      <w:r>
        <w:rPr>
          <w:rFonts w:ascii="Abadi" w:hAnsi="Abadi" w:cs="*Arial-6135-Identity-H"/>
          <w:color w:val="14131B"/>
          <w:sz w:val="21"/>
          <w:szCs w:val="21"/>
        </w:rPr>
        <w:t xml:space="preserve"> </w:t>
      </w:r>
      <w:r w:rsidRPr="009D2C14">
        <w:rPr>
          <w:rFonts w:ascii="Abadi" w:hAnsi="Abadi" w:cs="*Arial-6135-Identity-H"/>
          <w:color w:val="14131B"/>
          <w:sz w:val="21"/>
          <w:szCs w:val="21"/>
        </w:rPr>
        <w:t>monitoreo y evaluación de resultados.</w:t>
      </w:r>
    </w:p>
    <w:p w14:paraId="44002761" w14:textId="77777777" w:rsidR="001E07D6" w:rsidRPr="009D2C14" w:rsidRDefault="001E07D6" w:rsidP="001E07D6">
      <w:pPr>
        <w:autoSpaceDE w:val="0"/>
        <w:autoSpaceDN w:val="0"/>
        <w:adjustRightInd w:val="0"/>
        <w:jc w:val="both"/>
        <w:rPr>
          <w:rFonts w:ascii="Abadi" w:hAnsi="Abadi" w:cs="*Arial-6135-Identity-H"/>
          <w:color w:val="14131B"/>
          <w:sz w:val="21"/>
          <w:szCs w:val="21"/>
        </w:rPr>
      </w:pPr>
    </w:p>
    <w:p w14:paraId="54F38070" w14:textId="77777777" w:rsidR="001E07D6" w:rsidRDefault="001E07D6" w:rsidP="001E07D6">
      <w:pPr>
        <w:autoSpaceDE w:val="0"/>
        <w:autoSpaceDN w:val="0"/>
        <w:adjustRightInd w:val="0"/>
        <w:ind w:firstLine="708"/>
        <w:jc w:val="both"/>
        <w:rPr>
          <w:rFonts w:ascii="Abadi" w:hAnsi="Abadi" w:cs="*Arial-6135-Identity-H"/>
          <w:color w:val="14131A"/>
          <w:sz w:val="21"/>
          <w:szCs w:val="21"/>
        </w:rPr>
      </w:pPr>
      <w:r w:rsidRPr="009D2C14">
        <w:rPr>
          <w:rFonts w:ascii="Abadi" w:hAnsi="Abadi" w:cs="*Arial-6135-Identity-H"/>
          <w:color w:val="14131A"/>
          <w:sz w:val="21"/>
          <w:szCs w:val="21"/>
        </w:rPr>
        <w:t xml:space="preserve">Finalmente, se establece un apartado denominado </w:t>
      </w:r>
      <w:r w:rsidRPr="009D2C14">
        <w:rPr>
          <w:rFonts w:ascii="Abadi" w:hAnsi="Abadi" w:cs="*Arial-Italic-6137-Identity-H"/>
          <w:i/>
          <w:iCs/>
          <w:color w:val="14131A"/>
          <w:sz w:val="21"/>
          <w:szCs w:val="21"/>
        </w:rPr>
        <w:t>Cuestiones clave de la</w:t>
      </w:r>
      <w:r>
        <w:rPr>
          <w:rFonts w:ascii="Abadi" w:hAnsi="Abadi" w:cs="*Arial-Italic-6137-Identity-H"/>
          <w:i/>
          <w:iCs/>
          <w:color w:val="14131A"/>
          <w:sz w:val="21"/>
          <w:szCs w:val="21"/>
        </w:rPr>
        <w:t xml:space="preserve"> </w:t>
      </w:r>
      <w:r w:rsidRPr="009D2C14">
        <w:rPr>
          <w:rFonts w:ascii="Abadi" w:hAnsi="Abadi" w:cs="*Arial-Italic-6137-Identity-H"/>
          <w:i/>
          <w:iCs/>
          <w:color w:val="14131A"/>
          <w:sz w:val="21"/>
          <w:szCs w:val="21"/>
        </w:rPr>
        <w:t xml:space="preserve">auditoría en contexto de la pandemia del virus SARS-CoV2 </w:t>
      </w:r>
      <w:r w:rsidRPr="009D2C14">
        <w:rPr>
          <w:rFonts w:ascii="Abadi" w:hAnsi="Abadi" w:cs="*Arial-6135-Identity-H"/>
          <w:color w:val="14131A"/>
          <w:sz w:val="21"/>
          <w:szCs w:val="21"/>
        </w:rPr>
        <w:t>en el que se señala</w:t>
      </w:r>
      <w:r>
        <w:rPr>
          <w:rFonts w:ascii="Abadi" w:hAnsi="Abadi" w:cs="*Arial-6135-Identity-H"/>
          <w:color w:val="14131A"/>
          <w:sz w:val="21"/>
          <w:szCs w:val="21"/>
        </w:rPr>
        <w:t xml:space="preserve"> </w:t>
      </w:r>
      <w:r w:rsidRPr="009D2C14">
        <w:rPr>
          <w:rFonts w:ascii="Abadi" w:hAnsi="Abadi" w:cs="*Arial-6135-Identity-H"/>
          <w:color w:val="14131A"/>
          <w:sz w:val="21"/>
          <w:szCs w:val="21"/>
        </w:rPr>
        <w:t>que con motivo de la emergencia sanitaria provocada por dicha pandemia y en</w:t>
      </w:r>
      <w:r>
        <w:rPr>
          <w:rFonts w:ascii="Abadi" w:hAnsi="Abadi" w:cs="*Arial-6135-Identity-H"/>
          <w:color w:val="14131A"/>
          <w:sz w:val="21"/>
          <w:szCs w:val="21"/>
        </w:rPr>
        <w:t xml:space="preserve"> </w:t>
      </w:r>
      <w:r w:rsidRPr="009D2C14">
        <w:rPr>
          <w:rFonts w:ascii="Abadi" w:hAnsi="Abadi" w:cs="*Arial-6135-Identity-H"/>
          <w:color w:val="14131A"/>
          <w:sz w:val="21"/>
          <w:szCs w:val="21"/>
        </w:rPr>
        <w:t>atención a diversas disposiciones en salud pública emitidas por las autoridades</w:t>
      </w:r>
      <w:r>
        <w:rPr>
          <w:rFonts w:ascii="Abadi" w:hAnsi="Abadi" w:cs="*Arial-6135-Identity-H"/>
          <w:color w:val="14131A"/>
          <w:sz w:val="21"/>
          <w:szCs w:val="21"/>
        </w:rPr>
        <w:t xml:space="preserve"> </w:t>
      </w:r>
      <w:r w:rsidRPr="009D2C14">
        <w:rPr>
          <w:rFonts w:ascii="Abadi" w:hAnsi="Abadi" w:cs="*Arial-6135-Identity-H"/>
          <w:color w:val="14131A"/>
          <w:sz w:val="21"/>
          <w:szCs w:val="21"/>
        </w:rPr>
        <w:t xml:space="preserve">federales y estatales competentes en la materia, </w:t>
      </w:r>
      <w:r w:rsidRPr="009D2C14">
        <w:rPr>
          <w:rFonts w:ascii="Abadi" w:hAnsi="Abadi" w:cs="*Arial-6135-Identity-H"/>
          <w:color w:val="B9B9B9"/>
          <w:sz w:val="21"/>
          <w:szCs w:val="21"/>
        </w:rPr>
        <w:t>·</w:t>
      </w:r>
      <w:r w:rsidRPr="009D2C14">
        <w:rPr>
          <w:rFonts w:ascii="Abadi" w:hAnsi="Abadi" w:cs="*Arial-6135-Identity-H"/>
          <w:color w:val="14131A"/>
          <w:sz w:val="21"/>
          <w:szCs w:val="21"/>
        </w:rPr>
        <w:t>se generaron cambios en el</w:t>
      </w:r>
      <w:r>
        <w:rPr>
          <w:rFonts w:ascii="Abadi" w:hAnsi="Abadi" w:cs="*Arial-6135-Identity-H"/>
          <w:color w:val="14131A"/>
          <w:sz w:val="21"/>
          <w:szCs w:val="21"/>
        </w:rPr>
        <w:t xml:space="preserve"> </w:t>
      </w:r>
      <w:r w:rsidRPr="009D2C14">
        <w:rPr>
          <w:rFonts w:ascii="Abadi" w:hAnsi="Abadi" w:cs="*Arial-6135-Identity-H"/>
          <w:color w:val="14131A"/>
          <w:sz w:val="21"/>
          <w:szCs w:val="21"/>
        </w:rPr>
        <w:t>desarrollo de los asuntos competencia de la Auditoría Superior del Estado de</w:t>
      </w:r>
      <w:r>
        <w:rPr>
          <w:rFonts w:ascii="Abadi" w:hAnsi="Abadi" w:cs="*Arial-6135-Identity-H"/>
          <w:color w:val="14131A"/>
          <w:sz w:val="21"/>
          <w:szCs w:val="21"/>
        </w:rPr>
        <w:t xml:space="preserve"> </w:t>
      </w:r>
      <w:r w:rsidRPr="009D2C14">
        <w:rPr>
          <w:rFonts w:ascii="Abadi" w:hAnsi="Abadi" w:cs="*Arial-6135-Identity-H"/>
          <w:color w:val="14131A"/>
          <w:sz w:val="21"/>
          <w:szCs w:val="21"/>
        </w:rPr>
        <w:t xml:space="preserve">Guanajuato, atendiendo al </w:t>
      </w:r>
      <w:r w:rsidRPr="009D2C14">
        <w:rPr>
          <w:rFonts w:ascii="Abadi" w:hAnsi="Abadi" w:cs="*Arial-Italic-6137-Identity-H"/>
          <w:i/>
          <w:iCs/>
          <w:color w:val="14131A"/>
          <w:sz w:val="21"/>
          <w:szCs w:val="21"/>
        </w:rPr>
        <w:t xml:space="preserve">Acuerdo relativo al trabajo </w:t>
      </w:r>
      <w:r w:rsidRPr="009D2C14">
        <w:rPr>
          <w:rFonts w:ascii="Abadi" w:hAnsi="Abadi" w:cs="*Arial-6135-Identity-H"/>
          <w:color w:val="14131A"/>
          <w:sz w:val="21"/>
          <w:szCs w:val="21"/>
        </w:rPr>
        <w:t xml:space="preserve">a </w:t>
      </w:r>
      <w:r w:rsidRPr="009D2C14">
        <w:rPr>
          <w:rFonts w:ascii="Abadi" w:hAnsi="Abadi" w:cs="*Arial-Italic-6137-Identity-H"/>
          <w:i/>
          <w:iCs/>
          <w:color w:val="14131A"/>
          <w:sz w:val="21"/>
          <w:szCs w:val="21"/>
        </w:rPr>
        <w:t xml:space="preserve">distancia </w:t>
      </w:r>
      <w:r w:rsidRPr="009D2C14">
        <w:rPr>
          <w:rFonts w:ascii="Abadi" w:hAnsi="Abadi" w:cs="*Arial-6135-Identity-H"/>
          <w:color w:val="14131A"/>
          <w:sz w:val="21"/>
          <w:szCs w:val="21"/>
        </w:rPr>
        <w:t>de fecha 17 de</w:t>
      </w:r>
      <w:r>
        <w:rPr>
          <w:rFonts w:ascii="Abadi" w:hAnsi="Abadi" w:cs="*Arial-6135-Identity-H"/>
          <w:color w:val="14131A"/>
          <w:sz w:val="21"/>
          <w:szCs w:val="21"/>
        </w:rPr>
        <w:t xml:space="preserve"> </w:t>
      </w:r>
      <w:r w:rsidRPr="009D2C14">
        <w:rPr>
          <w:rFonts w:ascii="Abadi" w:hAnsi="Abadi" w:cs="*Arial-6135-Identity-H"/>
          <w:color w:val="14131A"/>
          <w:sz w:val="21"/>
          <w:szCs w:val="21"/>
        </w:rPr>
        <w:t>marzo de 2020 y su décimo sexto acuerdo modificatorio, aprovechando las</w:t>
      </w:r>
      <w:r>
        <w:rPr>
          <w:rFonts w:ascii="Abadi" w:hAnsi="Abadi" w:cs="*Arial-6135-Identity-H"/>
          <w:color w:val="14131A"/>
          <w:sz w:val="21"/>
          <w:szCs w:val="21"/>
        </w:rPr>
        <w:t xml:space="preserve"> </w:t>
      </w:r>
      <w:r w:rsidRPr="009D2C14">
        <w:rPr>
          <w:rFonts w:ascii="Abadi" w:hAnsi="Abadi" w:cs="*Arial-6135-Identity-H"/>
          <w:color w:val="14131A"/>
          <w:sz w:val="21"/>
          <w:szCs w:val="21"/>
        </w:rPr>
        <w:t>herramientas tecnológicas de que dispone, así como la colaboración de los sujetos</w:t>
      </w:r>
      <w:r>
        <w:rPr>
          <w:rFonts w:ascii="Abadi" w:hAnsi="Abadi" w:cs="*Arial-6135-Identity-H"/>
          <w:color w:val="14131A"/>
          <w:sz w:val="21"/>
          <w:szCs w:val="21"/>
        </w:rPr>
        <w:t xml:space="preserve"> </w:t>
      </w:r>
      <w:r w:rsidRPr="009D2C14">
        <w:rPr>
          <w:rFonts w:ascii="Abadi" w:hAnsi="Abadi" w:cs="*Arial-6135-Identity-H"/>
          <w:color w:val="14131A"/>
          <w:sz w:val="21"/>
          <w:szCs w:val="21"/>
        </w:rPr>
        <w:t>de fiscalización.</w:t>
      </w:r>
    </w:p>
    <w:p w14:paraId="1C933E7A" w14:textId="77777777" w:rsidR="001E07D6" w:rsidRPr="009D2C14" w:rsidRDefault="001E07D6" w:rsidP="001E07D6">
      <w:pPr>
        <w:autoSpaceDE w:val="0"/>
        <w:autoSpaceDN w:val="0"/>
        <w:adjustRightInd w:val="0"/>
        <w:jc w:val="both"/>
        <w:rPr>
          <w:rFonts w:ascii="Abadi" w:hAnsi="Abadi" w:cs="*Arial-6135-Identity-H"/>
          <w:color w:val="14131A"/>
          <w:sz w:val="21"/>
          <w:szCs w:val="21"/>
        </w:rPr>
      </w:pPr>
    </w:p>
    <w:p w14:paraId="57D0967A" w14:textId="77777777" w:rsidR="001E07D6" w:rsidRDefault="001E07D6" w:rsidP="001E07D6">
      <w:pPr>
        <w:autoSpaceDE w:val="0"/>
        <w:autoSpaceDN w:val="0"/>
        <w:adjustRightInd w:val="0"/>
        <w:ind w:firstLine="708"/>
        <w:jc w:val="both"/>
        <w:rPr>
          <w:rFonts w:ascii="Abadi" w:hAnsi="Abadi" w:cs="*Arial-6135-Identity-H"/>
          <w:color w:val="14131B"/>
          <w:sz w:val="21"/>
          <w:szCs w:val="21"/>
        </w:rPr>
      </w:pPr>
      <w:r w:rsidRPr="009D2C14">
        <w:rPr>
          <w:rFonts w:ascii="Abadi" w:hAnsi="Abadi" w:cs="*Arial-6135-Identity-H"/>
          <w:color w:val="14131B"/>
          <w:sz w:val="21"/>
          <w:szCs w:val="21"/>
        </w:rPr>
        <w:t>Es así, que si bien, el proceso de fiscalización ha continuado observando</w:t>
      </w:r>
      <w:r>
        <w:rPr>
          <w:rFonts w:ascii="Abadi" w:hAnsi="Abadi" w:cs="*Arial-6135-Identity-H"/>
          <w:color w:val="14131B"/>
          <w:sz w:val="21"/>
          <w:szCs w:val="21"/>
        </w:rPr>
        <w:t xml:space="preserve"> </w:t>
      </w:r>
      <w:r w:rsidRPr="009D2C14">
        <w:rPr>
          <w:rFonts w:ascii="Abadi" w:hAnsi="Abadi" w:cs="*Arial-6135-Identity-H"/>
          <w:color w:val="14131B"/>
          <w:sz w:val="21"/>
          <w:szCs w:val="21"/>
        </w:rPr>
        <w:t>las medidas de confinamiento que las autoridades de salud han determinado y con</w:t>
      </w:r>
      <w:r>
        <w:rPr>
          <w:rFonts w:ascii="Abadi" w:hAnsi="Abadi" w:cs="*Arial-6135-Identity-H"/>
          <w:color w:val="14131B"/>
          <w:sz w:val="21"/>
          <w:szCs w:val="21"/>
        </w:rPr>
        <w:t xml:space="preserve"> </w:t>
      </w:r>
      <w:r w:rsidRPr="009D2C14">
        <w:rPr>
          <w:rFonts w:ascii="Abadi" w:hAnsi="Abadi" w:cs="*Arial-6135-Identity-H"/>
          <w:color w:val="14131B"/>
          <w:sz w:val="21"/>
          <w:szCs w:val="21"/>
        </w:rPr>
        <w:t>el uso de las tecnologías de la información, por la propia naturaleza de la</w:t>
      </w:r>
      <w:r>
        <w:rPr>
          <w:rFonts w:ascii="Abadi" w:hAnsi="Abadi" w:cs="*Arial-6135-Identity-H"/>
          <w:color w:val="14131B"/>
          <w:sz w:val="21"/>
          <w:szCs w:val="21"/>
        </w:rPr>
        <w:t xml:space="preserve"> </w:t>
      </w:r>
      <w:r w:rsidRPr="009D2C14">
        <w:rPr>
          <w:rFonts w:ascii="Abadi" w:hAnsi="Abadi" w:cs="*Arial-6135-Identity-H"/>
          <w:color w:val="14131B"/>
          <w:sz w:val="21"/>
          <w:szCs w:val="21"/>
        </w:rPr>
        <w:t>pandemia se generaron limitantes en la aplicación de los procedimientos de</w:t>
      </w:r>
      <w:r>
        <w:rPr>
          <w:rFonts w:ascii="Abadi" w:hAnsi="Abadi" w:cs="*Arial-6135-Identity-H"/>
          <w:color w:val="14131B"/>
          <w:sz w:val="21"/>
          <w:szCs w:val="21"/>
        </w:rPr>
        <w:t xml:space="preserve"> </w:t>
      </w:r>
      <w:r w:rsidRPr="009D2C14">
        <w:rPr>
          <w:rFonts w:ascii="Abadi" w:hAnsi="Abadi" w:cs="*Arial-6135-Identity-H"/>
          <w:color w:val="14131B"/>
          <w:sz w:val="21"/>
          <w:szCs w:val="21"/>
        </w:rPr>
        <w:t>auditoría.</w:t>
      </w:r>
    </w:p>
    <w:p w14:paraId="78299D16" w14:textId="77777777" w:rsidR="001E07D6" w:rsidRPr="009D2C14" w:rsidRDefault="001E07D6" w:rsidP="001E07D6">
      <w:pPr>
        <w:autoSpaceDE w:val="0"/>
        <w:autoSpaceDN w:val="0"/>
        <w:adjustRightInd w:val="0"/>
        <w:jc w:val="both"/>
        <w:rPr>
          <w:rFonts w:ascii="Abadi" w:hAnsi="Abadi" w:cs="*Arial-6135-Identity-H"/>
          <w:color w:val="14131B"/>
          <w:sz w:val="21"/>
          <w:szCs w:val="21"/>
        </w:rPr>
      </w:pPr>
    </w:p>
    <w:p w14:paraId="6F7C3BDE" w14:textId="77777777" w:rsidR="001E07D6" w:rsidRPr="009D2C14" w:rsidRDefault="001E07D6" w:rsidP="001E07D6">
      <w:pPr>
        <w:autoSpaceDE w:val="0"/>
        <w:autoSpaceDN w:val="0"/>
        <w:adjustRightInd w:val="0"/>
        <w:ind w:firstLine="708"/>
        <w:jc w:val="both"/>
        <w:rPr>
          <w:rFonts w:ascii="Abadi" w:hAnsi="Abadi" w:cs="*Arial-6135-Identity-H"/>
          <w:color w:val="14131A"/>
          <w:sz w:val="21"/>
          <w:szCs w:val="21"/>
        </w:rPr>
      </w:pPr>
      <w:r w:rsidRPr="009D2C14">
        <w:rPr>
          <w:rFonts w:ascii="Abadi" w:hAnsi="Abadi" w:cs="*Arial-6135-Identity-H"/>
          <w:color w:val="14131A"/>
          <w:sz w:val="21"/>
          <w:szCs w:val="21"/>
        </w:rPr>
        <w:t>En tal sentido se priorizó el enfoque de derechos humanos, velando por la</w:t>
      </w:r>
      <w:r>
        <w:rPr>
          <w:rFonts w:ascii="Abadi" w:hAnsi="Abadi" w:cs="*Arial-6135-Identity-H"/>
          <w:color w:val="14131A"/>
          <w:sz w:val="21"/>
          <w:szCs w:val="21"/>
        </w:rPr>
        <w:t xml:space="preserve"> </w:t>
      </w:r>
      <w:r w:rsidRPr="009D2C14">
        <w:rPr>
          <w:rFonts w:ascii="Abadi" w:hAnsi="Abadi" w:cs="*Arial-6135-Identity-H"/>
          <w:color w:val="14131A"/>
          <w:sz w:val="21"/>
          <w:szCs w:val="21"/>
        </w:rPr>
        <w:t>protección del derecho humano a la salud, respetando las limitaciones y</w:t>
      </w:r>
      <w:r>
        <w:rPr>
          <w:rFonts w:ascii="Abadi" w:hAnsi="Abadi" w:cs="*Arial-6135-Identity-H"/>
          <w:color w:val="14131A"/>
          <w:sz w:val="21"/>
          <w:szCs w:val="21"/>
        </w:rPr>
        <w:t xml:space="preserve"> </w:t>
      </w:r>
      <w:r w:rsidRPr="009D2C14">
        <w:rPr>
          <w:rFonts w:ascii="Abadi" w:hAnsi="Abadi" w:cs="*Arial-6135-Identity-H"/>
          <w:color w:val="14131A"/>
          <w:sz w:val="21"/>
          <w:szCs w:val="21"/>
        </w:rPr>
        <w:t>restricciones a los derechos humanos establecidas en la propia Constitución.</w:t>
      </w:r>
    </w:p>
    <w:p w14:paraId="0C119CA0" w14:textId="77777777" w:rsidR="001E07D6" w:rsidRDefault="001E07D6" w:rsidP="001E07D6">
      <w:pPr>
        <w:autoSpaceDE w:val="0"/>
        <w:autoSpaceDN w:val="0"/>
        <w:adjustRightInd w:val="0"/>
        <w:jc w:val="both"/>
        <w:rPr>
          <w:rFonts w:ascii="Abadi" w:hAnsi="Abadi" w:cs="*Arial-Bold-6136-Identity-H"/>
          <w:b/>
          <w:bCs/>
          <w:color w:val="14131E"/>
          <w:sz w:val="21"/>
          <w:szCs w:val="21"/>
        </w:rPr>
      </w:pPr>
    </w:p>
    <w:p w14:paraId="1AB26C09" w14:textId="77777777" w:rsidR="001E07D6" w:rsidRDefault="001E07D6" w:rsidP="001E07D6">
      <w:pPr>
        <w:autoSpaceDE w:val="0"/>
        <w:autoSpaceDN w:val="0"/>
        <w:adjustRightInd w:val="0"/>
        <w:ind w:firstLine="708"/>
        <w:jc w:val="both"/>
        <w:rPr>
          <w:rFonts w:ascii="Abadi" w:hAnsi="Abadi" w:cs="*Arial-Bold-6136-Identity-H"/>
          <w:b/>
          <w:bCs/>
          <w:color w:val="14131E"/>
          <w:sz w:val="21"/>
          <w:szCs w:val="21"/>
        </w:rPr>
      </w:pPr>
      <w:r w:rsidRPr="009D2C14">
        <w:rPr>
          <w:rFonts w:ascii="Abadi" w:hAnsi="Abadi" w:cs="*Arial-Bold-6136-Identity-H"/>
          <w:b/>
          <w:bCs/>
          <w:color w:val="14131E"/>
          <w:sz w:val="21"/>
          <w:szCs w:val="21"/>
        </w:rPr>
        <w:t>c) Resumen de las recomendaciones.</w:t>
      </w:r>
    </w:p>
    <w:p w14:paraId="49E75ACD" w14:textId="77777777" w:rsidR="001E07D6" w:rsidRPr="009D2C14" w:rsidRDefault="001E07D6" w:rsidP="001E07D6">
      <w:pPr>
        <w:autoSpaceDE w:val="0"/>
        <w:autoSpaceDN w:val="0"/>
        <w:adjustRightInd w:val="0"/>
        <w:jc w:val="both"/>
        <w:rPr>
          <w:rFonts w:ascii="Abadi" w:hAnsi="Abadi" w:cs="*Arial-Bold-6136-Identity-H"/>
          <w:b/>
          <w:bCs/>
          <w:color w:val="14131E"/>
          <w:sz w:val="21"/>
          <w:szCs w:val="21"/>
        </w:rPr>
      </w:pPr>
    </w:p>
    <w:p w14:paraId="4B9359E4" w14:textId="77777777" w:rsidR="001E07D6" w:rsidRPr="009D2C14" w:rsidRDefault="001E07D6" w:rsidP="001E07D6">
      <w:pPr>
        <w:autoSpaceDE w:val="0"/>
        <w:autoSpaceDN w:val="0"/>
        <w:adjustRightInd w:val="0"/>
        <w:ind w:firstLine="708"/>
        <w:jc w:val="both"/>
        <w:rPr>
          <w:rFonts w:ascii="Abadi" w:hAnsi="Abadi" w:cs="*Arial-6135-Identity-H"/>
          <w:color w:val="14131B"/>
          <w:sz w:val="21"/>
          <w:szCs w:val="21"/>
        </w:rPr>
      </w:pPr>
      <w:r w:rsidRPr="009D2C14">
        <w:rPr>
          <w:rFonts w:ascii="Abadi" w:hAnsi="Abadi" w:cs="*Arial-6135-Identity-H"/>
          <w:color w:val="14131B"/>
          <w:sz w:val="21"/>
          <w:szCs w:val="21"/>
        </w:rPr>
        <w:t>En este punto se establece un resumen exclusivamente de los resultados</w:t>
      </w:r>
      <w:r>
        <w:rPr>
          <w:rFonts w:ascii="Abadi" w:hAnsi="Abadi" w:cs="*Arial-6135-Identity-H"/>
          <w:color w:val="14131B"/>
          <w:sz w:val="21"/>
          <w:szCs w:val="21"/>
        </w:rPr>
        <w:t xml:space="preserve"> </w:t>
      </w:r>
      <w:r w:rsidRPr="009D2C14">
        <w:rPr>
          <w:rFonts w:ascii="Abadi" w:hAnsi="Abadi" w:cs="*Arial-6135-Identity-H"/>
          <w:color w:val="14131B"/>
          <w:sz w:val="21"/>
          <w:szCs w:val="21"/>
        </w:rPr>
        <w:t>que generaron recomendación producto de un área de oportunidad o mejora</w:t>
      </w:r>
      <w:r>
        <w:rPr>
          <w:rFonts w:ascii="Abadi" w:hAnsi="Abadi" w:cs="*Arial-6135-Identity-H"/>
          <w:color w:val="14131B"/>
          <w:sz w:val="21"/>
          <w:szCs w:val="21"/>
        </w:rPr>
        <w:t xml:space="preserve"> </w:t>
      </w:r>
      <w:r w:rsidRPr="009D2C14">
        <w:rPr>
          <w:rFonts w:ascii="Abadi" w:hAnsi="Abadi" w:cs="*Arial-6135-Identity-H"/>
          <w:color w:val="14131B"/>
          <w:sz w:val="21"/>
          <w:szCs w:val="21"/>
        </w:rPr>
        <w:t>sugerida por el Órgano Técnico, mismos se clasifican agrupados bajo su</w:t>
      </w:r>
      <w:r>
        <w:rPr>
          <w:rFonts w:ascii="Abadi" w:hAnsi="Abadi" w:cs="*Arial-6135-Identity-H"/>
          <w:color w:val="14131B"/>
          <w:sz w:val="21"/>
          <w:szCs w:val="21"/>
        </w:rPr>
        <w:t xml:space="preserve"> </w:t>
      </w:r>
      <w:r w:rsidRPr="009D2C14">
        <w:rPr>
          <w:rFonts w:ascii="Abadi" w:hAnsi="Abadi" w:cs="*Arial-6135-Identity-H"/>
          <w:color w:val="14131B"/>
          <w:sz w:val="21"/>
          <w:szCs w:val="21"/>
        </w:rPr>
        <w:t>respectiva vertiente, con su síntesis de la valoración efectuada, precisando que del</w:t>
      </w:r>
      <w:r>
        <w:rPr>
          <w:rFonts w:ascii="Abadi" w:hAnsi="Abadi" w:cs="*Arial-6135-Identity-H"/>
          <w:color w:val="14131B"/>
          <w:sz w:val="21"/>
          <w:szCs w:val="21"/>
        </w:rPr>
        <w:t xml:space="preserve"> </w:t>
      </w:r>
      <w:r w:rsidRPr="009D2C14">
        <w:rPr>
          <w:rFonts w:ascii="Abadi" w:hAnsi="Abadi" w:cs="*Arial-6135-Identity-H"/>
          <w:color w:val="14131B"/>
          <w:sz w:val="21"/>
          <w:szCs w:val="21"/>
        </w:rPr>
        <w:t>análisis a la respuesta del pliego de recomendaciones se desprende que el sujeto</w:t>
      </w:r>
      <w:r>
        <w:rPr>
          <w:rFonts w:ascii="Abadi" w:hAnsi="Abadi" w:cs="*Arial-6135-Identity-H"/>
          <w:color w:val="14131B"/>
          <w:sz w:val="21"/>
          <w:szCs w:val="21"/>
        </w:rPr>
        <w:t xml:space="preserve"> </w:t>
      </w:r>
      <w:r w:rsidRPr="009D2C14">
        <w:rPr>
          <w:rFonts w:ascii="Abadi" w:hAnsi="Abadi" w:cs="*Arial-6135-Identity-H"/>
          <w:color w:val="14131B"/>
          <w:sz w:val="21"/>
          <w:szCs w:val="21"/>
        </w:rPr>
        <w:t>fiscalizado en 11 recomendaciones se comprometió a realizar acciones en un</w:t>
      </w:r>
      <w:r>
        <w:rPr>
          <w:rFonts w:ascii="Abadi" w:hAnsi="Abadi" w:cs="*Arial-6135-Identity-H"/>
          <w:color w:val="14131B"/>
          <w:sz w:val="21"/>
          <w:szCs w:val="21"/>
        </w:rPr>
        <w:t xml:space="preserve"> </w:t>
      </w:r>
      <w:r w:rsidRPr="009D2C14">
        <w:rPr>
          <w:rFonts w:ascii="Abadi" w:hAnsi="Abadi" w:cs="*Arial-6135-Identity-H"/>
          <w:color w:val="14131B"/>
          <w:sz w:val="21"/>
          <w:szCs w:val="21"/>
        </w:rPr>
        <w:t>plazo futuro para su atención y en 1 persistió lo recomendado, debido a que las</w:t>
      </w:r>
      <w:r>
        <w:rPr>
          <w:rFonts w:ascii="Abadi" w:hAnsi="Abadi" w:cs="*Arial-6135-Identity-H"/>
          <w:color w:val="14131B"/>
          <w:sz w:val="21"/>
          <w:szCs w:val="21"/>
        </w:rPr>
        <w:t xml:space="preserve"> </w:t>
      </w:r>
      <w:r w:rsidRPr="009D2C14">
        <w:rPr>
          <w:rFonts w:ascii="Abadi" w:hAnsi="Abadi" w:cs="*Arial-6135-Identity-H"/>
          <w:color w:val="14131B"/>
          <w:sz w:val="21"/>
          <w:szCs w:val="21"/>
        </w:rPr>
        <w:t>evidencias proporcionadas resultaron insuficientes para atenderla. A dichas</w:t>
      </w:r>
      <w:r>
        <w:rPr>
          <w:rFonts w:ascii="Abadi" w:hAnsi="Abadi" w:cs="*Arial-6135-Identity-H"/>
          <w:color w:val="14131B"/>
          <w:sz w:val="21"/>
          <w:szCs w:val="21"/>
        </w:rPr>
        <w:t xml:space="preserve"> </w:t>
      </w:r>
      <w:r w:rsidRPr="009D2C14">
        <w:rPr>
          <w:rFonts w:ascii="Abadi" w:hAnsi="Abadi" w:cs="*Arial-6135-Identity-H"/>
          <w:color w:val="14131B"/>
          <w:sz w:val="21"/>
          <w:szCs w:val="21"/>
        </w:rPr>
        <w:t>recomendaciones dará seguimiento el Órgano Técnico en la etapa</w:t>
      </w:r>
      <w:r>
        <w:rPr>
          <w:rFonts w:ascii="Abadi" w:hAnsi="Abadi" w:cs="*Arial-6135-Identity-H"/>
          <w:color w:val="14131B"/>
          <w:sz w:val="21"/>
          <w:szCs w:val="21"/>
        </w:rPr>
        <w:t xml:space="preserve"> </w:t>
      </w:r>
      <w:r w:rsidRPr="009D2C14">
        <w:rPr>
          <w:rFonts w:ascii="Abadi" w:hAnsi="Abadi" w:cs="*Arial-6135-Identity-H"/>
          <w:color w:val="14131B"/>
          <w:sz w:val="21"/>
          <w:szCs w:val="21"/>
        </w:rPr>
        <w:t>correspondiente, de conformidad con el ordenamiento legal respectivo.</w:t>
      </w:r>
    </w:p>
    <w:p w14:paraId="6EEC5D7C" w14:textId="77777777" w:rsidR="001E07D6" w:rsidRDefault="001E07D6" w:rsidP="001E07D6">
      <w:pPr>
        <w:autoSpaceDE w:val="0"/>
        <w:autoSpaceDN w:val="0"/>
        <w:adjustRightInd w:val="0"/>
        <w:jc w:val="both"/>
        <w:rPr>
          <w:rFonts w:ascii="Abadi" w:hAnsi="Abadi" w:cs="*Arial-5166-Identity-H"/>
          <w:color w:val="14131C"/>
          <w:sz w:val="21"/>
          <w:szCs w:val="21"/>
        </w:rPr>
      </w:pPr>
    </w:p>
    <w:p w14:paraId="21364BA3" w14:textId="77777777" w:rsidR="001E07D6" w:rsidRDefault="001E07D6" w:rsidP="001E07D6">
      <w:pPr>
        <w:autoSpaceDE w:val="0"/>
        <w:autoSpaceDN w:val="0"/>
        <w:adjustRightInd w:val="0"/>
        <w:ind w:firstLine="708"/>
        <w:jc w:val="both"/>
        <w:rPr>
          <w:rFonts w:ascii="Abadi" w:hAnsi="Abadi" w:cs="*Arial-5166-Identity-H"/>
          <w:color w:val="14131C"/>
          <w:sz w:val="21"/>
          <w:szCs w:val="21"/>
        </w:rPr>
      </w:pPr>
      <w:r w:rsidRPr="009D2C14">
        <w:rPr>
          <w:rFonts w:ascii="Abadi" w:hAnsi="Abadi" w:cs="*Arial-5166-Identity-H"/>
          <w:color w:val="14131C"/>
          <w:sz w:val="21"/>
          <w:szCs w:val="21"/>
        </w:rPr>
        <w:t>La Auditoría Superior del Estado concluyó que los serv1c1os públicos se</w:t>
      </w:r>
      <w:r>
        <w:rPr>
          <w:rFonts w:ascii="Abadi" w:hAnsi="Abadi" w:cs="*Arial-5166-Identity-H"/>
          <w:color w:val="14131C"/>
          <w:sz w:val="21"/>
          <w:szCs w:val="21"/>
        </w:rPr>
        <w:t xml:space="preserve"> </w:t>
      </w:r>
      <w:r w:rsidRPr="009D2C14">
        <w:rPr>
          <w:rFonts w:ascii="Abadi" w:hAnsi="Abadi" w:cs="*Arial-5166-Identity-H"/>
          <w:color w:val="14131C"/>
          <w:sz w:val="21"/>
          <w:szCs w:val="21"/>
        </w:rPr>
        <w:t>pueden entender como toda prestación concreta que tienda a satisfacer, de</w:t>
      </w:r>
      <w:r>
        <w:rPr>
          <w:rFonts w:ascii="Abadi" w:hAnsi="Abadi" w:cs="*Arial-5166-Identity-H"/>
          <w:color w:val="14131C"/>
          <w:sz w:val="21"/>
          <w:szCs w:val="21"/>
        </w:rPr>
        <w:t xml:space="preserve"> </w:t>
      </w:r>
      <w:r w:rsidRPr="009D2C14">
        <w:rPr>
          <w:rFonts w:ascii="Abadi" w:hAnsi="Abadi" w:cs="*Arial-5166-Identity-H"/>
          <w:color w:val="14131C"/>
          <w:sz w:val="21"/>
          <w:szCs w:val="21"/>
        </w:rPr>
        <w:t>manera regular, continua y uniforme, las necesidades sociales de carácter</w:t>
      </w:r>
      <w:r>
        <w:rPr>
          <w:rFonts w:ascii="Abadi" w:hAnsi="Abadi" w:cs="*Arial-5166-Identity-H"/>
          <w:color w:val="14131C"/>
          <w:sz w:val="21"/>
          <w:szCs w:val="21"/>
        </w:rPr>
        <w:t xml:space="preserve"> </w:t>
      </w:r>
      <w:r w:rsidRPr="009D2C14">
        <w:rPr>
          <w:rFonts w:ascii="Abadi" w:hAnsi="Abadi" w:cs="*Arial-5166-Identity-H"/>
          <w:color w:val="14131C"/>
          <w:sz w:val="21"/>
          <w:szCs w:val="21"/>
        </w:rPr>
        <w:t>general, básico o fundamental, en beneficio indiscriminado de toda la ciudadanía.</w:t>
      </w:r>
      <w:r>
        <w:rPr>
          <w:rFonts w:ascii="Abadi" w:hAnsi="Abadi" w:cs="*Arial-5166-Identity-H"/>
          <w:color w:val="14131C"/>
          <w:sz w:val="21"/>
          <w:szCs w:val="21"/>
        </w:rPr>
        <w:t xml:space="preserve"> </w:t>
      </w:r>
    </w:p>
    <w:p w14:paraId="3B006E3A" w14:textId="77777777" w:rsidR="001E07D6" w:rsidRDefault="001E07D6" w:rsidP="001E07D6">
      <w:pPr>
        <w:autoSpaceDE w:val="0"/>
        <w:autoSpaceDN w:val="0"/>
        <w:adjustRightInd w:val="0"/>
        <w:jc w:val="both"/>
        <w:rPr>
          <w:rFonts w:ascii="Abadi" w:hAnsi="Abadi" w:cs="*Arial-5166-Identity-H"/>
          <w:color w:val="14131C"/>
          <w:sz w:val="21"/>
          <w:szCs w:val="21"/>
        </w:rPr>
      </w:pPr>
    </w:p>
    <w:p w14:paraId="1A9181E3" w14:textId="77777777" w:rsidR="001E07D6" w:rsidRDefault="001E07D6" w:rsidP="001E07D6">
      <w:pPr>
        <w:autoSpaceDE w:val="0"/>
        <w:autoSpaceDN w:val="0"/>
        <w:adjustRightInd w:val="0"/>
        <w:ind w:firstLine="708"/>
        <w:jc w:val="both"/>
        <w:rPr>
          <w:rFonts w:ascii="Abadi" w:hAnsi="Abadi" w:cs="*Arial-5166-Identity-H"/>
          <w:color w:val="14131C"/>
          <w:sz w:val="21"/>
          <w:szCs w:val="21"/>
        </w:rPr>
      </w:pPr>
      <w:r w:rsidRPr="009D2C14">
        <w:rPr>
          <w:rFonts w:ascii="Abadi" w:hAnsi="Abadi" w:cs="*Arial-5166-Identity-H"/>
          <w:color w:val="14131C"/>
          <w:sz w:val="21"/>
          <w:szCs w:val="21"/>
        </w:rPr>
        <w:t>De su adecuada prestación depende, en cierta medida, la calidad de vida de las</w:t>
      </w:r>
      <w:r>
        <w:rPr>
          <w:rFonts w:ascii="Abadi" w:hAnsi="Abadi" w:cs="*Arial-5166-Identity-H"/>
          <w:color w:val="14131C"/>
          <w:sz w:val="21"/>
          <w:szCs w:val="21"/>
        </w:rPr>
        <w:t xml:space="preserve"> </w:t>
      </w:r>
      <w:r w:rsidRPr="009D2C14">
        <w:rPr>
          <w:rFonts w:ascii="Abadi" w:hAnsi="Abadi" w:cs="*Arial-5166-Identity-H"/>
          <w:color w:val="14131C"/>
          <w:sz w:val="21"/>
          <w:szCs w:val="21"/>
        </w:rPr>
        <w:t>personas.</w:t>
      </w:r>
    </w:p>
    <w:p w14:paraId="5B309AA2" w14:textId="77777777" w:rsidR="001E07D6" w:rsidRPr="009D2C14" w:rsidRDefault="001E07D6" w:rsidP="001E07D6">
      <w:pPr>
        <w:autoSpaceDE w:val="0"/>
        <w:autoSpaceDN w:val="0"/>
        <w:adjustRightInd w:val="0"/>
        <w:jc w:val="both"/>
        <w:rPr>
          <w:rFonts w:ascii="Abadi" w:hAnsi="Abadi" w:cs="*Arial-5166-Identity-H"/>
          <w:color w:val="14131C"/>
          <w:sz w:val="21"/>
          <w:szCs w:val="21"/>
        </w:rPr>
      </w:pPr>
    </w:p>
    <w:p w14:paraId="72A92964" w14:textId="77777777" w:rsidR="001E07D6" w:rsidRDefault="001E07D6" w:rsidP="001E07D6">
      <w:pPr>
        <w:autoSpaceDE w:val="0"/>
        <w:autoSpaceDN w:val="0"/>
        <w:adjustRightInd w:val="0"/>
        <w:ind w:firstLine="708"/>
        <w:jc w:val="both"/>
        <w:rPr>
          <w:rFonts w:ascii="Abadi" w:hAnsi="Abadi" w:cs="*Arial-5166-Identity-H"/>
          <w:color w:val="14131C"/>
          <w:sz w:val="21"/>
          <w:szCs w:val="21"/>
        </w:rPr>
      </w:pPr>
      <w:r w:rsidRPr="009D2C14">
        <w:rPr>
          <w:rFonts w:ascii="Abadi" w:hAnsi="Abadi" w:cs="*Arial-5166-Identity-H"/>
          <w:color w:val="14131C"/>
          <w:sz w:val="21"/>
          <w:szCs w:val="21"/>
        </w:rPr>
        <w:t xml:space="preserve">De igual forma, se refiere que el artículo 115, fracción </w:t>
      </w:r>
      <w:r>
        <w:rPr>
          <w:rFonts w:ascii="Abadi" w:hAnsi="Abadi" w:cs="*Arial-5166-Identity-H"/>
          <w:color w:val="14131C"/>
          <w:sz w:val="21"/>
          <w:szCs w:val="21"/>
        </w:rPr>
        <w:t>III</w:t>
      </w:r>
      <w:r w:rsidRPr="009D2C14">
        <w:rPr>
          <w:rFonts w:ascii="Abadi" w:hAnsi="Abadi" w:cs="*Arial-5166-Identity-H"/>
          <w:color w:val="14131C"/>
          <w:sz w:val="21"/>
          <w:szCs w:val="21"/>
        </w:rPr>
        <w:t>, inciso b, de la</w:t>
      </w:r>
      <w:r>
        <w:rPr>
          <w:rFonts w:ascii="Abadi" w:hAnsi="Abadi" w:cs="*Arial-5166-Identity-H"/>
          <w:color w:val="14131C"/>
          <w:sz w:val="21"/>
          <w:szCs w:val="21"/>
        </w:rPr>
        <w:t xml:space="preserve"> </w:t>
      </w:r>
      <w:r w:rsidRPr="009D2C14">
        <w:rPr>
          <w:rFonts w:ascii="Abadi" w:hAnsi="Abadi" w:cs="*Arial-5166-Identity-H"/>
          <w:color w:val="14131C"/>
          <w:sz w:val="21"/>
          <w:szCs w:val="21"/>
        </w:rPr>
        <w:t>Constitución Política de los Estados Unidos Mexicanos establece al alumbrado</w:t>
      </w:r>
      <w:r>
        <w:rPr>
          <w:rFonts w:ascii="Abadi" w:hAnsi="Abadi" w:cs="*Arial-5166-Identity-H"/>
          <w:color w:val="14131C"/>
          <w:sz w:val="21"/>
          <w:szCs w:val="21"/>
        </w:rPr>
        <w:t xml:space="preserve"> </w:t>
      </w:r>
      <w:r w:rsidRPr="009D2C14">
        <w:rPr>
          <w:rFonts w:ascii="Abadi" w:hAnsi="Abadi" w:cs="*Arial-5166-Identity-H"/>
          <w:color w:val="14131C"/>
          <w:sz w:val="21"/>
          <w:szCs w:val="21"/>
        </w:rPr>
        <w:t>público como uno de los servicios públicos que los municipios tienen a su cargo.</w:t>
      </w:r>
      <w:r>
        <w:rPr>
          <w:rFonts w:ascii="Abadi" w:hAnsi="Abadi" w:cs="*Arial-5166-Identity-H"/>
          <w:color w:val="14131C"/>
          <w:sz w:val="21"/>
          <w:szCs w:val="21"/>
        </w:rPr>
        <w:t xml:space="preserve"> </w:t>
      </w:r>
      <w:r w:rsidRPr="009D2C14">
        <w:rPr>
          <w:rFonts w:ascii="Abadi" w:hAnsi="Abadi" w:cs="*Arial-5166-Identity-H"/>
          <w:color w:val="14131C"/>
          <w:sz w:val="21"/>
          <w:szCs w:val="21"/>
        </w:rPr>
        <w:t>Por su parte, a nivel local, en el artículo 117 de la Constitución Política para el</w:t>
      </w:r>
      <w:r>
        <w:rPr>
          <w:rFonts w:ascii="Abadi" w:hAnsi="Abadi" w:cs="*Arial-5166-Identity-H"/>
          <w:color w:val="14131C"/>
          <w:sz w:val="21"/>
          <w:szCs w:val="21"/>
        </w:rPr>
        <w:t xml:space="preserve"> </w:t>
      </w:r>
      <w:r w:rsidRPr="009D2C14">
        <w:rPr>
          <w:rFonts w:ascii="Abadi" w:hAnsi="Abadi" w:cs="*Arial-5166-Identity-H"/>
          <w:color w:val="14131C"/>
          <w:sz w:val="21"/>
          <w:szCs w:val="21"/>
        </w:rPr>
        <w:t>Estado de Guanajuato se dispone la misma responsabilidad para este ámbito de</w:t>
      </w:r>
      <w:r>
        <w:rPr>
          <w:rFonts w:ascii="Abadi" w:hAnsi="Abadi" w:cs="*Arial-5166-Identity-H"/>
          <w:color w:val="14131C"/>
          <w:sz w:val="21"/>
          <w:szCs w:val="21"/>
        </w:rPr>
        <w:t xml:space="preserve"> </w:t>
      </w:r>
      <w:r w:rsidRPr="009D2C14">
        <w:rPr>
          <w:rFonts w:ascii="Abadi" w:hAnsi="Abadi" w:cs="*Arial-5166-Identity-H"/>
          <w:color w:val="14131C"/>
          <w:sz w:val="21"/>
          <w:szCs w:val="21"/>
        </w:rPr>
        <w:t>gobierno.</w:t>
      </w:r>
    </w:p>
    <w:p w14:paraId="5EA5DAC9" w14:textId="77777777" w:rsidR="001E07D6" w:rsidRPr="009D2C14" w:rsidRDefault="001E07D6" w:rsidP="001E07D6">
      <w:pPr>
        <w:autoSpaceDE w:val="0"/>
        <w:autoSpaceDN w:val="0"/>
        <w:adjustRightInd w:val="0"/>
        <w:jc w:val="both"/>
        <w:rPr>
          <w:rFonts w:ascii="Abadi" w:hAnsi="Abadi" w:cs="*Arial-5166-Identity-H"/>
          <w:color w:val="14131C"/>
          <w:sz w:val="21"/>
          <w:szCs w:val="21"/>
        </w:rPr>
      </w:pPr>
    </w:p>
    <w:p w14:paraId="1BC73BCB" w14:textId="58F9DBF8" w:rsidR="001E07D6" w:rsidRDefault="001E07D6" w:rsidP="001E07D6">
      <w:pPr>
        <w:autoSpaceDE w:val="0"/>
        <w:autoSpaceDN w:val="0"/>
        <w:adjustRightInd w:val="0"/>
        <w:ind w:firstLine="708"/>
        <w:jc w:val="both"/>
        <w:rPr>
          <w:rFonts w:ascii="Abadi" w:hAnsi="Abadi" w:cs="*Arial-5166-Identity-H"/>
          <w:color w:val="15141C"/>
          <w:sz w:val="21"/>
          <w:szCs w:val="21"/>
        </w:rPr>
      </w:pPr>
      <w:r w:rsidRPr="009D2C14">
        <w:rPr>
          <w:rFonts w:ascii="Abadi" w:hAnsi="Abadi" w:cs="*Arial-5166-Identity-H"/>
          <w:color w:val="15141C"/>
          <w:sz w:val="21"/>
          <w:szCs w:val="21"/>
        </w:rPr>
        <w:t>En este sentido, el alumbrado público es un serv</w:t>
      </w:r>
      <w:r w:rsidR="00C62622">
        <w:rPr>
          <w:rFonts w:ascii="Abadi" w:hAnsi="Abadi" w:cs="*Arial-5166-Identity-H"/>
          <w:color w:val="15141C"/>
          <w:sz w:val="21"/>
          <w:szCs w:val="21"/>
        </w:rPr>
        <w:t xml:space="preserve">icio </w:t>
      </w:r>
      <w:r w:rsidRPr="009D2C14">
        <w:rPr>
          <w:rFonts w:ascii="Abadi" w:hAnsi="Abadi" w:cs="*Arial-5166-Identity-H"/>
          <w:color w:val="15141C"/>
          <w:sz w:val="21"/>
          <w:szCs w:val="21"/>
        </w:rPr>
        <w:t>que tiene como</w:t>
      </w:r>
      <w:r>
        <w:rPr>
          <w:rFonts w:ascii="Abadi" w:hAnsi="Abadi" w:cs="*Arial-5166-Identity-H"/>
          <w:color w:val="15141C"/>
          <w:sz w:val="21"/>
          <w:szCs w:val="21"/>
        </w:rPr>
        <w:t xml:space="preserve"> </w:t>
      </w:r>
      <w:r w:rsidRPr="009D2C14">
        <w:rPr>
          <w:rFonts w:ascii="Abadi" w:hAnsi="Abadi" w:cs="*Arial-5166-Identity-H"/>
          <w:color w:val="15141C"/>
          <w:sz w:val="21"/>
          <w:szCs w:val="21"/>
        </w:rPr>
        <w:t>objetivo el desarrollo de un entorno cómodo y seguro para facilitar la movilidad de</w:t>
      </w:r>
      <w:r>
        <w:rPr>
          <w:rFonts w:ascii="Abadi" w:hAnsi="Abadi" w:cs="*Arial-5166-Identity-H"/>
          <w:color w:val="15141C"/>
          <w:sz w:val="21"/>
          <w:szCs w:val="21"/>
        </w:rPr>
        <w:t xml:space="preserve"> </w:t>
      </w:r>
      <w:r w:rsidRPr="009D2C14">
        <w:rPr>
          <w:rFonts w:ascii="Abadi" w:hAnsi="Abadi" w:cs="*Arial-5166-Identity-H"/>
          <w:color w:val="15141C"/>
          <w:sz w:val="21"/>
          <w:szCs w:val="21"/>
        </w:rPr>
        <w:t>la población, el disfrute de la ciudad, del patrimonio cultural y de los espacios</w:t>
      </w:r>
      <w:r>
        <w:rPr>
          <w:rFonts w:ascii="Abadi" w:hAnsi="Abadi" w:cs="*Arial-5166-Identity-H"/>
          <w:color w:val="15141C"/>
          <w:sz w:val="21"/>
          <w:szCs w:val="21"/>
        </w:rPr>
        <w:t xml:space="preserve"> </w:t>
      </w:r>
      <w:r w:rsidRPr="009D2C14">
        <w:rPr>
          <w:rFonts w:ascii="Abadi" w:hAnsi="Abadi" w:cs="*Arial-5166-Identity-H"/>
          <w:color w:val="15141C"/>
          <w:sz w:val="21"/>
          <w:szCs w:val="21"/>
        </w:rPr>
        <w:t>públicos; a su vez, mantiene una estrecha relación con la creación de condiciones</w:t>
      </w:r>
      <w:r>
        <w:rPr>
          <w:rFonts w:ascii="Abadi" w:hAnsi="Abadi" w:cs="*Arial-5166-Identity-H"/>
          <w:color w:val="15141C"/>
          <w:sz w:val="21"/>
          <w:szCs w:val="21"/>
        </w:rPr>
        <w:t xml:space="preserve"> </w:t>
      </w:r>
      <w:r w:rsidRPr="009D2C14">
        <w:rPr>
          <w:rFonts w:ascii="Abadi" w:hAnsi="Abadi" w:cs="*Arial-5166-Identity-H"/>
          <w:color w:val="B9B9B9"/>
          <w:sz w:val="21"/>
          <w:szCs w:val="21"/>
        </w:rPr>
        <w:t xml:space="preserve">· </w:t>
      </w:r>
      <w:r w:rsidRPr="009D2C14">
        <w:rPr>
          <w:rFonts w:ascii="Abadi" w:hAnsi="Abadi" w:cs="*Arial-5166-Identity-H"/>
          <w:color w:val="15141C"/>
          <w:sz w:val="21"/>
          <w:szCs w:val="21"/>
        </w:rPr>
        <w:t>de seguridad en la vida cotidiana de la población, esto último por considerase un</w:t>
      </w:r>
      <w:r>
        <w:rPr>
          <w:rFonts w:ascii="Abadi" w:hAnsi="Abadi" w:cs="*Arial-5166-Identity-H"/>
          <w:color w:val="15141C"/>
          <w:sz w:val="21"/>
          <w:szCs w:val="21"/>
        </w:rPr>
        <w:t xml:space="preserve"> </w:t>
      </w:r>
      <w:r w:rsidRPr="009D2C14">
        <w:rPr>
          <w:rFonts w:ascii="Abadi" w:hAnsi="Abadi" w:cs="*Arial-5166-Identity-H"/>
          <w:color w:val="15141C"/>
          <w:sz w:val="21"/>
          <w:szCs w:val="21"/>
        </w:rPr>
        <w:t>factor que contribuye a reducir la percepción de inseguridad.</w:t>
      </w:r>
    </w:p>
    <w:p w14:paraId="454DAE5E" w14:textId="77777777" w:rsidR="001E07D6" w:rsidRDefault="001E07D6" w:rsidP="001E07D6">
      <w:pPr>
        <w:autoSpaceDE w:val="0"/>
        <w:autoSpaceDN w:val="0"/>
        <w:adjustRightInd w:val="0"/>
        <w:jc w:val="both"/>
        <w:rPr>
          <w:rFonts w:ascii="Abadi" w:hAnsi="Abadi" w:cs="*Arial-5166-Identity-H"/>
          <w:color w:val="15141C"/>
          <w:sz w:val="21"/>
          <w:szCs w:val="21"/>
        </w:rPr>
      </w:pPr>
    </w:p>
    <w:p w14:paraId="50271AE6" w14:textId="77777777" w:rsidR="001E07D6" w:rsidRPr="009D2C14" w:rsidRDefault="001E07D6" w:rsidP="001E07D6">
      <w:pPr>
        <w:autoSpaceDE w:val="0"/>
        <w:autoSpaceDN w:val="0"/>
        <w:adjustRightInd w:val="0"/>
        <w:jc w:val="both"/>
        <w:rPr>
          <w:rFonts w:ascii="Abadi" w:hAnsi="Abadi" w:cs="*Arial-5166-Identity-H"/>
          <w:color w:val="15141C"/>
          <w:sz w:val="21"/>
          <w:szCs w:val="21"/>
        </w:rPr>
      </w:pPr>
    </w:p>
    <w:p w14:paraId="073FBFBA" w14:textId="77777777" w:rsidR="001E07D6" w:rsidRDefault="001E07D6" w:rsidP="001E07D6">
      <w:pPr>
        <w:autoSpaceDE w:val="0"/>
        <w:autoSpaceDN w:val="0"/>
        <w:adjustRightInd w:val="0"/>
        <w:ind w:firstLine="708"/>
        <w:jc w:val="both"/>
        <w:rPr>
          <w:rFonts w:ascii="Abadi" w:hAnsi="Abadi" w:cs="*Arial-5166-Identity-H"/>
          <w:color w:val="14131C"/>
          <w:sz w:val="21"/>
          <w:szCs w:val="21"/>
        </w:rPr>
      </w:pPr>
      <w:r w:rsidRPr="009D2C14">
        <w:rPr>
          <w:rFonts w:ascii="Abadi" w:hAnsi="Abadi" w:cs="*Arial-5166-Identity-H"/>
          <w:color w:val="14131C"/>
          <w:sz w:val="21"/>
          <w:szCs w:val="21"/>
        </w:rPr>
        <w:t>Derivado de lo anterior, el adecuado desempeño de los servicios públicos</w:t>
      </w:r>
      <w:r>
        <w:rPr>
          <w:rFonts w:ascii="Abadi" w:hAnsi="Abadi" w:cs="*Arial-5166-Identity-H"/>
          <w:color w:val="14131C"/>
          <w:sz w:val="21"/>
          <w:szCs w:val="21"/>
        </w:rPr>
        <w:t xml:space="preserve"> </w:t>
      </w:r>
      <w:r w:rsidRPr="009D2C14">
        <w:rPr>
          <w:rFonts w:ascii="Abadi" w:hAnsi="Abadi" w:cs="*Arial-5166-Identity-H"/>
          <w:color w:val="14131C"/>
          <w:sz w:val="21"/>
          <w:szCs w:val="21"/>
        </w:rPr>
        <w:t>incide en la calidad de vida de los habitantes y, por ello, es conveniente que se</w:t>
      </w:r>
      <w:r>
        <w:rPr>
          <w:rFonts w:ascii="Abadi" w:hAnsi="Abadi" w:cs="*Arial-5166-Identity-H"/>
          <w:color w:val="14131C"/>
          <w:sz w:val="21"/>
          <w:szCs w:val="21"/>
        </w:rPr>
        <w:t xml:space="preserve"> </w:t>
      </w:r>
      <w:r w:rsidRPr="009D2C14">
        <w:rPr>
          <w:rFonts w:ascii="Abadi" w:hAnsi="Abadi" w:cs="*Arial-5166-Identity-H"/>
          <w:color w:val="14131C"/>
          <w:sz w:val="21"/>
          <w:szCs w:val="21"/>
        </w:rPr>
        <w:t>administre bajo modelos de gestión orientados a los resultados que garanticen su</w:t>
      </w:r>
      <w:r>
        <w:rPr>
          <w:rFonts w:ascii="Abadi" w:hAnsi="Abadi" w:cs="*Arial-5166-Identity-H"/>
          <w:color w:val="14131C"/>
          <w:sz w:val="21"/>
          <w:szCs w:val="21"/>
        </w:rPr>
        <w:t xml:space="preserve"> </w:t>
      </w:r>
      <w:r w:rsidRPr="009D2C14">
        <w:rPr>
          <w:rFonts w:ascii="Abadi" w:hAnsi="Abadi" w:cs="*Arial-5166-Identity-H"/>
          <w:color w:val="14131C"/>
          <w:sz w:val="21"/>
          <w:szCs w:val="21"/>
        </w:rPr>
        <w:t>adecuada operación, permanencia, continuidad, uniformidad e igualdad ante los</w:t>
      </w:r>
      <w:r>
        <w:rPr>
          <w:rFonts w:ascii="Abadi" w:hAnsi="Abadi" w:cs="*Arial-5166-Identity-H"/>
          <w:color w:val="14131C"/>
          <w:sz w:val="21"/>
          <w:szCs w:val="21"/>
        </w:rPr>
        <w:t xml:space="preserve"> </w:t>
      </w:r>
      <w:r w:rsidRPr="009D2C14">
        <w:rPr>
          <w:rFonts w:ascii="Abadi" w:hAnsi="Abadi" w:cs="*Arial-5166-Identity-H"/>
          <w:color w:val="14131C"/>
          <w:sz w:val="21"/>
          <w:szCs w:val="21"/>
        </w:rPr>
        <w:t>usuarios, asegurando una cobertura integral y una oferta al alcance de la</w:t>
      </w:r>
      <w:r>
        <w:rPr>
          <w:rFonts w:ascii="Abadi" w:hAnsi="Abadi" w:cs="*Arial-5166-Identity-H"/>
          <w:color w:val="14131C"/>
          <w:sz w:val="21"/>
          <w:szCs w:val="21"/>
        </w:rPr>
        <w:t xml:space="preserve"> </w:t>
      </w:r>
      <w:r w:rsidRPr="009D2C14">
        <w:rPr>
          <w:rFonts w:ascii="Abadi" w:hAnsi="Abadi" w:cs="*Arial-5166-Identity-H"/>
          <w:color w:val="14131C"/>
          <w:sz w:val="21"/>
          <w:szCs w:val="21"/>
        </w:rPr>
        <w:t>población municipal que lo requiera.</w:t>
      </w:r>
    </w:p>
    <w:p w14:paraId="33AAF1B4" w14:textId="77777777" w:rsidR="001E07D6" w:rsidRPr="009D2C14" w:rsidRDefault="001E07D6" w:rsidP="001E07D6">
      <w:pPr>
        <w:autoSpaceDE w:val="0"/>
        <w:autoSpaceDN w:val="0"/>
        <w:adjustRightInd w:val="0"/>
        <w:jc w:val="both"/>
        <w:rPr>
          <w:rFonts w:ascii="Abadi" w:hAnsi="Abadi" w:cs="*Arial-5166-Identity-H"/>
          <w:color w:val="14131C"/>
          <w:sz w:val="21"/>
          <w:szCs w:val="21"/>
        </w:rPr>
      </w:pPr>
      <w:r>
        <w:rPr>
          <w:rFonts w:ascii="Abadi" w:hAnsi="Abadi" w:cs="*Arial-5166-Identity-H"/>
          <w:color w:val="14131C"/>
          <w:sz w:val="21"/>
          <w:szCs w:val="21"/>
        </w:rPr>
        <w:t xml:space="preserve">                                                                                                                                                                                                                                                                                                                                                                                                                                                                                                                                                        </w:t>
      </w:r>
    </w:p>
    <w:p w14:paraId="40074388" w14:textId="5FA1559F" w:rsidR="001E07D6" w:rsidRPr="009D2C14" w:rsidRDefault="001E07D6" w:rsidP="001E07D6">
      <w:pPr>
        <w:autoSpaceDE w:val="0"/>
        <w:autoSpaceDN w:val="0"/>
        <w:adjustRightInd w:val="0"/>
        <w:ind w:firstLine="708"/>
        <w:jc w:val="both"/>
        <w:rPr>
          <w:rFonts w:ascii="Abadi" w:hAnsi="Abadi" w:cs="*Arial-5166-Identity-H"/>
          <w:color w:val="14131C"/>
          <w:sz w:val="21"/>
          <w:szCs w:val="21"/>
        </w:rPr>
      </w:pPr>
      <w:r w:rsidRPr="009D2C14">
        <w:rPr>
          <w:rFonts w:ascii="Abadi" w:hAnsi="Abadi" w:cs="*Arial-5166-Identity-H"/>
          <w:color w:val="14131C"/>
          <w:sz w:val="21"/>
          <w:szCs w:val="21"/>
        </w:rPr>
        <w:t>Es así que en el caso que nos ocupa, se definió el objetivo general de la</w:t>
      </w:r>
      <w:r>
        <w:rPr>
          <w:rFonts w:ascii="Abadi" w:hAnsi="Abadi" w:cs="*Arial-5166-Identity-H"/>
          <w:color w:val="14131C"/>
          <w:sz w:val="21"/>
          <w:szCs w:val="21"/>
        </w:rPr>
        <w:t xml:space="preserve"> </w:t>
      </w:r>
      <w:r w:rsidRPr="009D2C14">
        <w:rPr>
          <w:rFonts w:ascii="Abadi" w:hAnsi="Abadi" w:cs="*Arial-5166-Identity-H"/>
          <w:color w:val="14131C"/>
          <w:sz w:val="21"/>
          <w:szCs w:val="21"/>
        </w:rPr>
        <w:t>auditoría con el propósito de verificar la capacidad del municipio de Huanímaro,</w:t>
      </w:r>
      <w:r w:rsidR="00C62622">
        <w:rPr>
          <w:rFonts w:ascii="Abadi" w:hAnsi="Abadi" w:cs="*Arial-5166-Identity-H"/>
          <w:color w:val="14131C"/>
          <w:sz w:val="21"/>
          <w:szCs w:val="21"/>
        </w:rPr>
        <w:t xml:space="preserve"> </w:t>
      </w:r>
      <w:r w:rsidRPr="009D2C14">
        <w:rPr>
          <w:rFonts w:ascii="Abadi" w:hAnsi="Abadi" w:cs="*Arial-5166-Identity-H"/>
          <w:color w:val="14131C"/>
          <w:sz w:val="21"/>
          <w:szCs w:val="21"/>
        </w:rPr>
        <w:t>Gto., para lograr una prestación eficaz del servicio de alumbrado público a su</w:t>
      </w:r>
      <w:r>
        <w:rPr>
          <w:rFonts w:ascii="Abadi" w:hAnsi="Abadi" w:cs="*Arial-5166-Identity-H"/>
          <w:color w:val="14131C"/>
          <w:sz w:val="21"/>
          <w:szCs w:val="21"/>
        </w:rPr>
        <w:t xml:space="preserve"> </w:t>
      </w:r>
      <w:r w:rsidRPr="009D2C14">
        <w:rPr>
          <w:rFonts w:ascii="Abadi" w:hAnsi="Abadi" w:cs="*Arial-5166-Identity-H"/>
          <w:color w:val="14131C"/>
          <w:sz w:val="21"/>
          <w:szCs w:val="21"/>
        </w:rPr>
        <w:t>población, así como de conocer si las funciones de planificación, operación y</w:t>
      </w:r>
      <w:r>
        <w:rPr>
          <w:rFonts w:ascii="Abadi" w:hAnsi="Abadi" w:cs="*Arial-5166-Identity-H"/>
          <w:color w:val="14131C"/>
          <w:sz w:val="21"/>
          <w:szCs w:val="21"/>
        </w:rPr>
        <w:t xml:space="preserve"> </w:t>
      </w:r>
      <w:r w:rsidRPr="009D2C14">
        <w:rPr>
          <w:rFonts w:ascii="Abadi" w:hAnsi="Abadi" w:cs="*Arial-5166-Identity-H"/>
          <w:color w:val="14131C"/>
          <w:sz w:val="21"/>
          <w:szCs w:val="21"/>
        </w:rPr>
        <w:t>seguimiento se desarrollaron bajo el principio de eficiencia, ya que de ello</w:t>
      </w:r>
      <w:r>
        <w:rPr>
          <w:rFonts w:ascii="Abadi" w:hAnsi="Abadi" w:cs="*Arial-5166-Identity-H"/>
          <w:color w:val="14131C"/>
          <w:sz w:val="21"/>
          <w:szCs w:val="21"/>
        </w:rPr>
        <w:t xml:space="preserve"> </w:t>
      </w:r>
      <w:r w:rsidRPr="009D2C14">
        <w:rPr>
          <w:rFonts w:ascii="Abadi" w:hAnsi="Abadi" w:cs="*Arial-5166-Identity-H"/>
          <w:color w:val="14131C"/>
          <w:sz w:val="21"/>
          <w:szCs w:val="21"/>
        </w:rPr>
        <w:t>depende el grado de satisfacción de la comunidad.</w:t>
      </w:r>
    </w:p>
    <w:p w14:paraId="71B69AA2" w14:textId="77777777" w:rsidR="001E07D6" w:rsidRDefault="001E07D6" w:rsidP="001E07D6">
      <w:pPr>
        <w:autoSpaceDE w:val="0"/>
        <w:autoSpaceDN w:val="0"/>
        <w:adjustRightInd w:val="0"/>
        <w:jc w:val="both"/>
        <w:rPr>
          <w:rFonts w:ascii="Abadi" w:hAnsi="Abadi" w:cs="*Arial-6402-Identity-H"/>
          <w:color w:val="14131B"/>
          <w:sz w:val="21"/>
          <w:szCs w:val="21"/>
        </w:rPr>
      </w:pPr>
    </w:p>
    <w:p w14:paraId="05573E14" w14:textId="77777777" w:rsidR="001E07D6" w:rsidRDefault="001E07D6" w:rsidP="001E07D6">
      <w:pPr>
        <w:autoSpaceDE w:val="0"/>
        <w:autoSpaceDN w:val="0"/>
        <w:adjustRightInd w:val="0"/>
        <w:ind w:firstLine="708"/>
        <w:jc w:val="both"/>
        <w:rPr>
          <w:rFonts w:ascii="Abadi" w:hAnsi="Abadi" w:cs="*Arial-6402-Identity-H"/>
          <w:color w:val="14131B"/>
          <w:sz w:val="21"/>
          <w:szCs w:val="21"/>
        </w:rPr>
      </w:pPr>
      <w:r w:rsidRPr="009D2C14">
        <w:rPr>
          <w:rFonts w:ascii="Abadi" w:hAnsi="Abadi" w:cs="*Arial-6402-Identity-H"/>
          <w:color w:val="14131B"/>
          <w:sz w:val="21"/>
          <w:szCs w:val="21"/>
        </w:rPr>
        <w:t>Para su consecución, las labores de la Auditoría Superior del Estado</w:t>
      </w:r>
      <w:r>
        <w:rPr>
          <w:rFonts w:ascii="Abadi" w:hAnsi="Abadi" w:cs="*Arial-6402-Identity-H"/>
          <w:color w:val="14131B"/>
          <w:sz w:val="21"/>
          <w:szCs w:val="21"/>
        </w:rPr>
        <w:t xml:space="preserve"> </w:t>
      </w:r>
      <w:r w:rsidRPr="009D2C14">
        <w:rPr>
          <w:rFonts w:ascii="Abadi" w:hAnsi="Abadi" w:cs="*Arial-6402-Identity-H"/>
          <w:color w:val="14131B"/>
          <w:sz w:val="21"/>
          <w:szCs w:val="21"/>
        </w:rPr>
        <w:t>consideraron la verificación de la existencia de procesos diagnósticos o de</w:t>
      </w:r>
      <w:r>
        <w:rPr>
          <w:rFonts w:ascii="Abadi" w:hAnsi="Abadi" w:cs="*Arial-6402-Identity-H"/>
          <w:color w:val="14131B"/>
          <w:sz w:val="21"/>
          <w:szCs w:val="21"/>
        </w:rPr>
        <w:t xml:space="preserve"> </w:t>
      </w:r>
      <w:r w:rsidRPr="009D2C14">
        <w:rPr>
          <w:rFonts w:ascii="Abadi" w:hAnsi="Abadi" w:cs="*Arial-6402-Identity-H"/>
          <w:color w:val="14131B"/>
          <w:sz w:val="21"/>
          <w:szCs w:val="21"/>
        </w:rPr>
        <w:t>planificación que permitieran a la administración municipal conocer la oferta del</w:t>
      </w:r>
      <w:r>
        <w:rPr>
          <w:rFonts w:ascii="Abadi" w:hAnsi="Abadi" w:cs="*Arial-6402-Identity-H"/>
          <w:color w:val="14131B"/>
          <w:sz w:val="21"/>
          <w:szCs w:val="21"/>
        </w:rPr>
        <w:t xml:space="preserve"> </w:t>
      </w:r>
      <w:r w:rsidRPr="009D2C14">
        <w:rPr>
          <w:rFonts w:ascii="Abadi" w:hAnsi="Abadi" w:cs="*Arial-6402-Identity-H"/>
          <w:color w:val="14131B"/>
          <w:sz w:val="21"/>
          <w:szCs w:val="21"/>
        </w:rPr>
        <w:t>servicio y las brechas por cubrir, definir la estimación de recursos para una</w:t>
      </w:r>
      <w:r>
        <w:rPr>
          <w:rFonts w:ascii="Abadi" w:hAnsi="Abadi" w:cs="*Arial-6402-Identity-H"/>
          <w:color w:val="14131B"/>
          <w:sz w:val="21"/>
          <w:szCs w:val="21"/>
        </w:rPr>
        <w:t xml:space="preserve"> </w:t>
      </w:r>
      <w:r w:rsidRPr="009D2C14">
        <w:rPr>
          <w:rFonts w:ascii="Abadi" w:hAnsi="Abadi" w:cs="*Arial-6402-Identity-H"/>
          <w:color w:val="14131B"/>
          <w:sz w:val="21"/>
          <w:szCs w:val="21"/>
        </w:rPr>
        <w:t>adecuada operación y la definición de metas y objetivos orientados a la mejora del</w:t>
      </w:r>
      <w:r>
        <w:rPr>
          <w:rFonts w:ascii="Abadi" w:hAnsi="Abadi" w:cs="*Arial-6402-Identity-H"/>
          <w:color w:val="14131B"/>
          <w:sz w:val="21"/>
          <w:szCs w:val="21"/>
        </w:rPr>
        <w:t xml:space="preserve"> </w:t>
      </w:r>
      <w:r w:rsidRPr="009D2C14">
        <w:rPr>
          <w:rFonts w:ascii="Abadi" w:hAnsi="Abadi" w:cs="*Arial-6402-Identity-H"/>
          <w:color w:val="14131B"/>
          <w:sz w:val="21"/>
          <w:szCs w:val="21"/>
        </w:rPr>
        <w:t>servicio; respecto de la operación, se consideró la verificación del establecimiento</w:t>
      </w:r>
      <w:r>
        <w:rPr>
          <w:rFonts w:ascii="Abadi" w:hAnsi="Abadi" w:cs="*Arial-6402-Identity-H"/>
          <w:color w:val="14131B"/>
          <w:sz w:val="21"/>
          <w:szCs w:val="21"/>
        </w:rPr>
        <w:t xml:space="preserve"> </w:t>
      </w:r>
      <w:r w:rsidRPr="009D2C14">
        <w:rPr>
          <w:rFonts w:ascii="Abadi" w:hAnsi="Abadi" w:cs="*Arial-6402-Identity-H"/>
          <w:color w:val="14131B"/>
          <w:sz w:val="21"/>
          <w:szCs w:val="21"/>
        </w:rPr>
        <w:t>de un marco normativo adecuado y vigente, la programación de actividades y su</w:t>
      </w:r>
      <w:r>
        <w:rPr>
          <w:rFonts w:ascii="Abadi" w:hAnsi="Abadi" w:cs="*Arial-6402-Identity-H"/>
          <w:color w:val="14131B"/>
          <w:sz w:val="21"/>
          <w:szCs w:val="21"/>
        </w:rPr>
        <w:t xml:space="preserve"> </w:t>
      </w:r>
      <w:r w:rsidRPr="009D2C14">
        <w:rPr>
          <w:rFonts w:ascii="Abadi" w:hAnsi="Abadi" w:cs="*Arial-6402-Identity-H"/>
          <w:color w:val="14131B"/>
          <w:sz w:val="21"/>
          <w:szCs w:val="21"/>
        </w:rPr>
        <w:t>consecución, los mecanismos de atención ciudadana para el reporte de fallas y los</w:t>
      </w:r>
      <w:r>
        <w:rPr>
          <w:rFonts w:ascii="Abadi" w:hAnsi="Abadi" w:cs="*Arial-6402-Identity-H"/>
          <w:color w:val="14131B"/>
          <w:sz w:val="21"/>
          <w:szCs w:val="21"/>
        </w:rPr>
        <w:t xml:space="preserve"> </w:t>
      </w:r>
      <w:r w:rsidRPr="009D2C14">
        <w:rPr>
          <w:rFonts w:ascii="Abadi" w:hAnsi="Abadi" w:cs="*Arial-6402-Identity-H"/>
          <w:color w:val="14131B"/>
          <w:sz w:val="21"/>
          <w:szCs w:val="21"/>
        </w:rPr>
        <w:t>resultados en la cobertura, mantenimiento y satisfacción. También se revisaron los</w:t>
      </w:r>
      <w:r>
        <w:rPr>
          <w:rFonts w:ascii="Abadi" w:hAnsi="Abadi" w:cs="*Arial-6402-Identity-H"/>
          <w:color w:val="14131B"/>
          <w:sz w:val="21"/>
          <w:szCs w:val="21"/>
        </w:rPr>
        <w:t xml:space="preserve"> </w:t>
      </w:r>
      <w:r w:rsidRPr="009D2C14">
        <w:rPr>
          <w:rFonts w:ascii="Abadi" w:hAnsi="Abadi" w:cs="*Arial-6402-Identity-H"/>
          <w:color w:val="14131B"/>
          <w:sz w:val="21"/>
          <w:szCs w:val="21"/>
        </w:rPr>
        <w:t>mecanismos de monitoreo y evaluación, con el objetivo de analizar el desempeño</w:t>
      </w:r>
      <w:r>
        <w:rPr>
          <w:rFonts w:ascii="Abadi" w:hAnsi="Abadi" w:cs="*Arial-6402-Identity-H"/>
          <w:color w:val="14131B"/>
          <w:sz w:val="21"/>
          <w:szCs w:val="21"/>
        </w:rPr>
        <w:t xml:space="preserve"> </w:t>
      </w:r>
      <w:r w:rsidRPr="009D2C14">
        <w:rPr>
          <w:rFonts w:ascii="Abadi" w:hAnsi="Abadi" w:cs="*Arial-6402-Identity-H"/>
          <w:color w:val="14131B"/>
          <w:sz w:val="21"/>
          <w:szCs w:val="21"/>
        </w:rPr>
        <w:t>del Municipio en el otorgamiento del servicio, y verificar la eficiencia y la eficacia</w:t>
      </w:r>
      <w:r>
        <w:rPr>
          <w:rFonts w:ascii="Abadi" w:hAnsi="Abadi" w:cs="*Arial-6402-Identity-H"/>
          <w:color w:val="14131B"/>
          <w:sz w:val="21"/>
          <w:szCs w:val="21"/>
        </w:rPr>
        <w:t xml:space="preserve"> </w:t>
      </w:r>
      <w:r w:rsidRPr="009D2C14">
        <w:rPr>
          <w:rFonts w:ascii="Abadi" w:hAnsi="Abadi" w:cs="*Arial-6402-Identity-H"/>
          <w:color w:val="14131B"/>
          <w:sz w:val="21"/>
          <w:szCs w:val="21"/>
        </w:rPr>
        <w:t xml:space="preserve">del alumbrado público municipal en beneficio de la </w:t>
      </w:r>
      <w:r>
        <w:rPr>
          <w:rFonts w:ascii="Abadi" w:hAnsi="Abadi" w:cs="*Arial-6402-Identity-H"/>
          <w:color w:val="14131B"/>
          <w:sz w:val="21"/>
          <w:szCs w:val="21"/>
        </w:rPr>
        <w:t>ciudadanía.</w:t>
      </w:r>
    </w:p>
    <w:p w14:paraId="7EF5373D" w14:textId="77777777" w:rsidR="001E07D6" w:rsidRDefault="001E07D6" w:rsidP="001E07D6">
      <w:pPr>
        <w:autoSpaceDE w:val="0"/>
        <w:autoSpaceDN w:val="0"/>
        <w:adjustRightInd w:val="0"/>
        <w:jc w:val="both"/>
        <w:rPr>
          <w:rFonts w:ascii="Abadi" w:hAnsi="Abadi" w:cs="*Arial-6402-Identity-H"/>
          <w:color w:val="14131B"/>
          <w:sz w:val="21"/>
          <w:szCs w:val="21"/>
        </w:rPr>
      </w:pPr>
    </w:p>
    <w:p w14:paraId="7D841A63" w14:textId="55A2BFB5" w:rsidR="001E07D6" w:rsidRDefault="001E07D6" w:rsidP="00C62622">
      <w:pPr>
        <w:autoSpaceDE w:val="0"/>
        <w:autoSpaceDN w:val="0"/>
        <w:adjustRightInd w:val="0"/>
        <w:ind w:firstLine="708"/>
        <w:jc w:val="both"/>
        <w:rPr>
          <w:rFonts w:ascii="Abadi" w:hAnsi="Abadi" w:cs="*Arial-6402-Identity-H"/>
          <w:color w:val="13131A"/>
          <w:sz w:val="21"/>
          <w:szCs w:val="21"/>
        </w:rPr>
      </w:pPr>
      <w:r w:rsidRPr="009D2C14">
        <w:rPr>
          <w:rFonts w:ascii="Abadi" w:hAnsi="Abadi" w:cs="*Arial-6402-Identity-H"/>
          <w:color w:val="13131A"/>
          <w:sz w:val="21"/>
          <w:szCs w:val="21"/>
        </w:rPr>
        <w:t>Asimismo, se hace constar que la administración pública municipal de</w:t>
      </w:r>
      <w:r>
        <w:rPr>
          <w:rFonts w:ascii="Abadi" w:hAnsi="Abadi" w:cs="*Arial-6402-Identity-H"/>
          <w:color w:val="13131A"/>
          <w:sz w:val="21"/>
          <w:szCs w:val="21"/>
        </w:rPr>
        <w:t xml:space="preserve"> </w:t>
      </w:r>
      <w:r w:rsidRPr="009D2C14">
        <w:rPr>
          <w:rFonts w:ascii="Abadi" w:hAnsi="Abadi" w:cs="*Arial-6402-Identity-H"/>
          <w:color w:val="13131A"/>
          <w:sz w:val="21"/>
          <w:szCs w:val="21"/>
        </w:rPr>
        <w:t>Huanímaro, Gto., implementó acciones para otorgar el servicio de alumbrado</w:t>
      </w:r>
      <w:r>
        <w:rPr>
          <w:rFonts w:ascii="Abadi" w:hAnsi="Abadi" w:cs="*Arial-6402-Identity-H"/>
          <w:color w:val="13131A"/>
          <w:sz w:val="21"/>
          <w:szCs w:val="21"/>
        </w:rPr>
        <w:t xml:space="preserve"> </w:t>
      </w:r>
      <w:r w:rsidRPr="009D2C14">
        <w:rPr>
          <w:rFonts w:ascii="Abadi" w:hAnsi="Abadi" w:cs="*Arial-6402-Identity-H"/>
          <w:color w:val="13131A"/>
          <w:sz w:val="21"/>
          <w:szCs w:val="21"/>
        </w:rPr>
        <w:t>público a la población, destacando entre sus fortalezas, la incorporación como una</w:t>
      </w:r>
      <w:r>
        <w:rPr>
          <w:rFonts w:ascii="Abadi" w:hAnsi="Abadi" w:cs="*Arial-6402-Identity-H"/>
          <w:color w:val="13131A"/>
          <w:sz w:val="21"/>
          <w:szCs w:val="21"/>
        </w:rPr>
        <w:t xml:space="preserve"> </w:t>
      </w:r>
      <w:r w:rsidRPr="009D2C14">
        <w:rPr>
          <w:rFonts w:ascii="Abadi" w:hAnsi="Abadi" w:cs="*Arial-6402-Identity-H"/>
          <w:color w:val="13131A"/>
          <w:sz w:val="21"/>
          <w:szCs w:val="21"/>
        </w:rPr>
        <w:t>prioridad en el Plan Municipal de Desarrollo 2040, en el Programa de Gobierno</w:t>
      </w:r>
      <w:r>
        <w:rPr>
          <w:rFonts w:ascii="Abadi" w:hAnsi="Abadi" w:cs="*Arial-6402-Identity-H"/>
          <w:color w:val="13131A"/>
          <w:sz w:val="21"/>
          <w:szCs w:val="21"/>
        </w:rPr>
        <w:t xml:space="preserve"> </w:t>
      </w:r>
      <w:r w:rsidRPr="009D2C14">
        <w:rPr>
          <w:rFonts w:ascii="Abadi" w:hAnsi="Abadi" w:cs="*Arial-6402-Identity-H"/>
          <w:color w:val="13131A"/>
          <w:sz w:val="21"/>
          <w:szCs w:val="21"/>
        </w:rPr>
        <w:t>2018-2021 y en el Programa Municipal de Desarrollo Urbano y Ordenamiento</w:t>
      </w:r>
      <w:r>
        <w:rPr>
          <w:rFonts w:ascii="Abadi" w:hAnsi="Abadi" w:cs="*Arial-6402-Identity-H"/>
          <w:color w:val="13131A"/>
          <w:sz w:val="21"/>
          <w:szCs w:val="21"/>
        </w:rPr>
        <w:t xml:space="preserve"> </w:t>
      </w:r>
      <w:r w:rsidRPr="009D2C14">
        <w:rPr>
          <w:rFonts w:ascii="Abadi" w:hAnsi="Abadi" w:cs="*Arial-6402-Identity-H"/>
          <w:color w:val="13131A"/>
          <w:sz w:val="21"/>
          <w:szCs w:val="21"/>
        </w:rPr>
        <w:t>Ecológico Territorial, al definir objetivos, estrategias y acciones relacionados con la</w:t>
      </w:r>
      <w:r w:rsidR="00C62622">
        <w:rPr>
          <w:rFonts w:ascii="Abadi" w:hAnsi="Abadi" w:cs="*Arial-6402-Identity-H"/>
          <w:color w:val="13131A"/>
          <w:sz w:val="21"/>
          <w:szCs w:val="21"/>
        </w:rPr>
        <w:t xml:space="preserve"> </w:t>
      </w:r>
      <w:r w:rsidRPr="009D2C14">
        <w:rPr>
          <w:rFonts w:ascii="Abadi" w:hAnsi="Abadi" w:cs="*Arial-6402-Identity-H"/>
          <w:color w:val="13131A"/>
          <w:sz w:val="21"/>
          <w:szCs w:val="21"/>
        </w:rPr>
        <w:t>generación de energías alternas, el mantenimiento del alumbrado público, el</w:t>
      </w:r>
      <w:r>
        <w:rPr>
          <w:rFonts w:ascii="Abadi" w:hAnsi="Abadi" w:cs="*Arial-6402-Identity-H"/>
          <w:color w:val="13131A"/>
          <w:sz w:val="21"/>
          <w:szCs w:val="21"/>
        </w:rPr>
        <w:t xml:space="preserve"> </w:t>
      </w:r>
      <w:r w:rsidRPr="009D2C14">
        <w:rPr>
          <w:rFonts w:ascii="Abadi" w:hAnsi="Abadi" w:cs="*Arial-6402-Identity-H"/>
          <w:color w:val="13131A"/>
          <w:sz w:val="21"/>
          <w:szCs w:val="21"/>
        </w:rPr>
        <w:t>cambio a lámparas ahorradoras de energía y el ahorro en el consumo de energía</w:t>
      </w:r>
      <w:r>
        <w:rPr>
          <w:rFonts w:ascii="Abadi" w:hAnsi="Abadi" w:cs="*Arial-6402-Identity-H"/>
          <w:color w:val="13131A"/>
          <w:sz w:val="21"/>
          <w:szCs w:val="21"/>
        </w:rPr>
        <w:t xml:space="preserve"> </w:t>
      </w:r>
      <w:r w:rsidRPr="009D2C14">
        <w:rPr>
          <w:rFonts w:ascii="Abadi" w:hAnsi="Abadi" w:cs="*Arial-6402-Identity-H"/>
          <w:color w:val="13131A"/>
          <w:sz w:val="21"/>
          <w:szCs w:val="21"/>
        </w:rPr>
        <w:t>eléctrica. Para tal efecto, para el cumplimiento de sus objetivos, el sujeto</w:t>
      </w:r>
      <w:r>
        <w:rPr>
          <w:rFonts w:ascii="Abadi" w:hAnsi="Abadi" w:cs="*Arial-6402-Identity-H"/>
          <w:color w:val="13131A"/>
          <w:sz w:val="21"/>
          <w:szCs w:val="21"/>
        </w:rPr>
        <w:t xml:space="preserve"> </w:t>
      </w:r>
      <w:r w:rsidRPr="009D2C14">
        <w:rPr>
          <w:rFonts w:ascii="Abadi" w:hAnsi="Abadi" w:cs="*Arial-6402-Identity-H"/>
          <w:color w:val="13131A"/>
          <w:sz w:val="21"/>
          <w:szCs w:val="21"/>
        </w:rPr>
        <w:t xml:space="preserve">fiscalizado contó con el programa presupuestario </w:t>
      </w:r>
      <w:r w:rsidRPr="009D2C14">
        <w:rPr>
          <w:rFonts w:ascii="Abadi" w:hAnsi="Abadi" w:cs="*Arial-Italic-6403-Identity-H"/>
          <w:i/>
          <w:iCs/>
          <w:color w:val="13131A"/>
          <w:sz w:val="21"/>
          <w:szCs w:val="21"/>
        </w:rPr>
        <w:t xml:space="preserve">E00B Servicios Públicos. </w:t>
      </w:r>
      <w:r w:rsidRPr="009D2C14">
        <w:rPr>
          <w:rFonts w:ascii="Abadi" w:hAnsi="Abadi" w:cs="*Arial-6402-Identity-H"/>
          <w:color w:val="13131A"/>
          <w:sz w:val="21"/>
          <w:szCs w:val="21"/>
        </w:rPr>
        <w:t>No</w:t>
      </w:r>
      <w:r>
        <w:rPr>
          <w:rFonts w:ascii="Abadi" w:hAnsi="Abadi" w:cs="*Arial-6402-Identity-H"/>
          <w:color w:val="13131A"/>
          <w:sz w:val="21"/>
          <w:szCs w:val="21"/>
        </w:rPr>
        <w:t xml:space="preserve"> </w:t>
      </w:r>
      <w:r w:rsidRPr="009D2C14">
        <w:rPr>
          <w:rFonts w:ascii="Abadi" w:hAnsi="Abadi" w:cs="*Arial-6402-Identity-H"/>
          <w:color w:val="13131A"/>
          <w:sz w:val="21"/>
          <w:szCs w:val="21"/>
        </w:rPr>
        <w:t>obstante, quedó en evidencia que la gestión del servicio presentó diversas áreas</w:t>
      </w:r>
      <w:r>
        <w:rPr>
          <w:rFonts w:ascii="Abadi" w:hAnsi="Abadi" w:cs="*Arial-6402-Identity-H"/>
          <w:color w:val="13131A"/>
          <w:sz w:val="21"/>
          <w:szCs w:val="21"/>
        </w:rPr>
        <w:t xml:space="preserve"> de</w:t>
      </w:r>
      <w:r w:rsidRPr="009D2C14">
        <w:rPr>
          <w:rFonts w:ascii="Abadi" w:hAnsi="Abadi" w:cs="*Arial-6402-Identity-H"/>
          <w:color w:val="13131A"/>
          <w:sz w:val="21"/>
          <w:szCs w:val="21"/>
        </w:rPr>
        <w:t xml:space="preserve"> oportunidad.</w:t>
      </w:r>
    </w:p>
    <w:p w14:paraId="4FF542FF" w14:textId="77777777" w:rsidR="001E07D6" w:rsidRPr="009D2C14" w:rsidRDefault="001E07D6" w:rsidP="001E07D6">
      <w:pPr>
        <w:autoSpaceDE w:val="0"/>
        <w:autoSpaceDN w:val="0"/>
        <w:adjustRightInd w:val="0"/>
        <w:jc w:val="both"/>
        <w:rPr>
          <w:rFonts w:ascii="Abadi" w:hAnsi="Abadi" w:cs="*Arial-6402-Identity-H"/>
          <w:color w:val="13131A"/>
          <w:sz w:val="21"/>
          <w:szCs w:val="21"/>
        </w:rPr>
      </w:pPr>
    </w:p>
    <w:p w14:paraId="0F18145F" w14:textId="77777777" w:rsidR="001E07D6" w:rsidRPr="009D2C14" w:rsidRDefault="001E07D6" w:rsidP="001E07D6">
      <w:pPr>
        <w:autoSpaceDE w:val="0"/>
        <w:autoSpaceDN w:val="0"/>
        <w:adjustRightInd w:val="0"/>
        <w:ind w:firstLine="708"/>
        <w:jc w:val="both"/>
        <w:rPr>
          <w:rFonts w:ascii="Abadi" w:hAnsi="Abadi" w:cs="*Arial-6402-Identity-H"/>
          <w:color w:val="14131B"/>
          <w:sz w:val="21"/>
          <w:szCs w:val="21"/>
        </w:rPr>
      </w:pPr>
      <w:r w:rsidRPr="009D2C14">
        <w:rPr>
          <w:rFonts w:ascii="Abadi" w:hAnsi="Abadi" w:cs="*Arial-6402-Identity-H"/>
          <w:color w:val="14131B"/>
          <w:sz w:val="21"/>
          <w:szCs w:val="21"/>
        </w:rPr>
        <w:t>En cuanto a la gestión de la planificación se verificó que el sujeto fiscalizado</w:t>
      </w:r>
      <w:r>
        <w:rPr>
          <w:rFonts w:ascii="Abadi" w:hAnsi="Abadi" w:cs="*Arial-6402-Identity-H"/>
          <w:color w:val="14131B"/>
          <w:sz w:val="21"/>
          <w:szCs w:val="21"/>
        </w:rPr>
        <w:t xml:space="preserve"> </w:t>
      </w:r>
      <w:r w:rsidRPr="009D2C14">
        <w:rPr>
          <w:rFonts w:ascii="Abadi" w:hAnsi="Abadi" w:cs="*Arial-6402-Identity-H"/>
          <w:color w:val="14131B"/>
          <w:sz w:val="21"/>
          <w:szCs w:val="21"/>
        </w:rPr>
        <w:t>no contó con información censal actualizada del ejercicio 2020, sin embargo,</w:t>
      </w:r>
      <w:r>
        <w:rPr>
          <w:rFonts w:ascii="Abadi" w:hAnsi="Abadi" w:cs="*Arial-6402-Identity-H"/>
          <w:color w:val="14131B"/>
          <w:sz w:val="21"/>
          <w:szCs w:val="21"/>
        </w:rPr>
        <w:t xml:space="preserve"> </w:t>
      </w:r>
      <w:r w:rsidRPr="009D2C14">
        <w:rPr>
          <w:rFonts w:ascii="Abadi" w:hAnsi="Abadi" w:cs="*Arial-6402-Identity-H"/>
          <w:color w:val="14131B"/>
          <w:sz w:val="21"/>
          <w:szCs w:val="21"/>
        </w:rPr>
        <w:t>dispuso de un censo elaborado en 2021, el cual arroja como resultado el uso de</w:t>
      </w:r>
      <w:r>
        <w:rPr>
          <w:rFonts w:ascii="Abadi" w:hAnsi="Abadi" w:cs="*Arial-6402-Identity-H"/>
          <w:color w:val="14131B"/>
          <w:sz w:val="21"/>
          <w:szCs w:val="21"/>
        </w:rPr>
        <w:t xml:space="preserve"> </w:t>
      </w:r>
      <w:r w:rsidRPr="009D2C14">
        <w:rPr>
          <w:rFonts w:ascii="Abadi" w:hAnsi="Abadi" w:cs="*Arial-6402-Identity-H"/>
          <w:color w:val="14131B"/>
          <w:sz w:val="21"/>
          <w:szCs w:val="21"/>
        </w:rPr>
        <w:t>tecnologías poco eficientes, por lo que se tiene la oportunidad de identificar los</w:t>
      </w:r>
      <w:r>
        <w:rPr>
          <w:rFonts w:ascii="Abadi" w:hAnsi="Abadi" w:cs="*Arial-6402-Identity-H"/>
          <w:color w:val="14131B"/>
          <w:sz w:val="21"/>
          <w:szCs w:val="21"/>
        </w:rPr>
        <w:t xml:space="preserve"> </w:t>
      </w:r>
      <w:r w:rsidRPr="009D2C14">
        <w:rPr>
          <w:rFonts w:ascii="Abadi" w:hAnsi="Abadi" w:cs="*Arial-6402-Identity-H"/>
          <w:color w:val="14131B"/>
          <w:sz w:val="21"/>
          <w:szCs w:val="21"/>
        </w:rPr>
        <w:t>lugares en los que se requiere ampliar la cobertura o donde se necesita</w:t>
      </w:r>
      <w:r>
        <w:rPr>
          <w:rFonts w:ascii="Abadi" w:hAnsi="Abadi" w:cs="*Arial-6402-Identity-H"/>
          <w:color w:val="14131B"/>
          <w:sz w:val="21"/>
          <w:szCs w:val="21"/>
        </w:rPr>
        <w:t xml:space="preserve"> </w:t>
      </w:r>
      <w:r w:rsidRPr="009D2C14">
        <w:rPr>
          <w:rFonts w:ascii="Abadi" w:hAnsi="Abadi" w:cs="*Arial-6402-Identity-H"/>
          <w:color w:val="14131B"/>
          <w:sz w:val="21"/>
          <w:szCs w:val="21"/>
        </w:rPr>
        <w:t>implementar tecnologías que permitan generar ahorro energético. Por otra parte,</w:t>
      </w:r>
      <w:r>
        <w:rPr>
          <w:rFonts w:ascii="Abadi" w:hAnsi="Abadi" w:cs="*Arial-6402-Identity-H"/>
          <w:color w:val="14131B"/>
          <w:sz w:val="21"/>
          <w:szCs w:val="21"/>
        </w:rPr>
        <w:t xml:space="preserve"> </w:t>
      </w:r>
      <w:r w:rsidRPr="009D2C14">
        <w:rPr>
          <w:rFonts w:ascii="Abadi" w:hAnsi="Abadi" w:cs="*Arial-6402-Identity-H"/>
          <w:color w:val="14131B"/>
          <w:sz w:val="21"/>
          <w:szCs w:val="21"/>
        </w:rPr>
        <w:t>el sujeto fiscalizado no contó con una herramienta informática con la que pudiera</w:t>
      </w:r>
      <w:r>
        <w:rPr>
          <w:rFonts w:ascii="Abadi" w:hAnsi="Abadi" w:cs="*Arial-6402-Identity-H"/>
          <w:color w:val="14131B"/>
          <w:sz w:val="21"/>
          <w:szCs w:val="21"/>
        </w:rPr>
        <w:t xml:space="preserve"> </w:t>
      </w:r>
      <w:r w:rsidRPr="009D2C14">
        <w:rPr>
          <w:rFonts w:ascii="Abadi" w:hAnsi="Abadi" w:cs="*Arial-6402-Identity-H"/>
          <w:color w:val="14131B"/>
          <w:sz w:val="21"/>
          <w:szCs w:val="21"/>
        </w:rPr>
        <w:t>apoyarse para eficientar la gestión de la operación del servicio, por lo que</w:t>
      </w:r>
      <w:r>
        <w:rPr>
          <w:rFonts w:ascii="Abadi" w:hAnsi="Abadi" w:cs="*Arial-6402-Identity-H"/>
          <w:color w:val="14131B"/>
          <w:sz w:val="21"/>
          <w:szCs w:val="21"/>
        </w:rPr>
        <w:t xml:space="preserve"> </w:t>
      </w:r>
      <w:r w:rsidRPr="009D2C14">
        <w:rPr>
          <w:rFonts w:ascii="Abadi" w:hAnsi="Abadi" w:cs="*Arial-6402-Identity-H"/>
          <w:color w:val="14131B"/>
          <w:sz w:val="21"/>
          <w:szCs w:val="21"/>
        </w:rPr>
        <w:t>presenta la oportunidad de implementar un sistema informático que permita</w:t>
      </w:r>
      <w:r>
        <w:rPr>
          <w:rFonts w:ascii="Abadi" w:hAnsi="Abadi" w:cs="*Arial-6402-Identity-H"/>
          <w:color w:val="14131B"/>
          <w:sz w:val="21"/>
          <w:szCs w:val="21"/>
        </w:rPr>
        <w:t xml:space="preserve"> </w:t>
      </w:r>
      <w:r w:rsidRPr="009D2C14">
        <w:rPr>
          <w:rFonts w:ascii="Abadi" w:hAnsi="Abadi" w:cs="*Arial-6402-Identity-H"/>
          <w:color w:val="14131B"/>
          <w:sz w:val="21"/>
          <w:szCs w:val="21"/>
        </w:rPr>
        <w:t>optimizar y agilizar la atención de cualquier asunto relacionado con el servicio de</w:t>
      </w:r>
      <w:r>
        <w:rPr>
          <w:rFonts w:ascii="Abadi" w:hAnsi="Abadi" w:cs="*Arial-6402-Identity-H"/>
          <w:color w:val="14131B"/>
          <w:sz w:val="21"/>
          <w:szCs w:val="21"/>
        </w:rPr>
        <w:t xml:space="preserve"> </w:t>
      </w:r>
      <w:r w:rsidRPr="009D2C14">
        <w:rPr>
          <w:rFonts w:ascii="Abadi" w:hAnsi="Abadi" w:cs="*Arial-6402-Identity-H"/>
          <w:color w:val="14131B"/>
          <w:sz w:val="21"/>
          <w:szCs w:val="21"/>
        </w:rPr>
        <w:t>alumbrado público, así como almacenar, organizar y administrar la información</w:t>
      </w:r>
      <w:r>
        <w:rPr>
          <w:rFonts w:ascii="Abadi" w:hAnsi="Abadi" w:cs="*Arial-6402-Identity-H"/>
          <w:color w:val="14131B"/>
          <w:sz w:val="21"/>
          <w:szCs w:val="21"/>
        </w:rPr>
        <w:t xml:space="preserve"> </w:t>
      </w:r>
      <w:r w:rsidRPr="009D2C14">
        <w:rPr>
          <w:rFonts w:ascii="Abadi" w:hAnsi="Abadi" w:cs="*Arial-6402-Identity-H"/>
          <w:color w:val="14131B"/>
          <w:sz w:val="21"/>
          <w:szCs w:val="21"/>
        </w:rPr>
        <w:t>que se genere, derivado de los procesos de planeación, ejecución, mantenimiento</w:t>
      </w:r>
      <w:r>
        <w:rPr>
          <w:rFonts w:ascii="Abadi" w:hAnsi="Abadi" w:cs="*Arial-6402-Identity-H"/>
          <w:color w:val="14131B"/>
          <w:sz w:val="21"/>
          <w:szCs w:val="21"/>
        </w:rPr>
        <w:t xml:space="preserve"> </w:t>
      </w:r>
      <w:r w:rsidRPr="009D2C14">
        <w:rPr>
          <w:rFonts w:ascii="Abadi" w:hAnsi="Abadi" w:cs="*Arial-6402-Identity-H"/>
          <w:color w:val="14131B"/>
          <w:sz w:val="21"/>
          <w:szCs w:val="21"/>
        </w:rPr>
        <w:t>y supervisión del servicio.</w:t>
      </w:r>
    </w:p>
    <w:p w14:paraId="29D22AEC" w14:textId="77777777" w:rsidR="001E07D6" w:rsidRDefault="001E07D6" w:rsidP="001E07D6">
      <w:pPr>
        <w:autoSpaceDE w:val="0"/>
        <w:autoSpaceDN w:val="0"/>
        <w:adjustRightInd w:val="0"/>
        <w:jc w:val="both"/>
        <w:rPr>
          <w:rFonts w:ascii="Abadi" w:hAnsi="Abadi" w:cs="*Arial-7008-Identity-H"/>
          <w:color w:val="14131B"/>
          <w:sz w:val="21"/>
          <w:szCs w:val="21"/>
        </w:rPr>
      </w:pPr>
    </w:p>
    <w:p w14:paraId="77BC1ABF" w14:textId="2410A550" w:rsidR="001E07D6" w:rsidRDefault="001E07D6" w:rsidP="00C62622">
      <w:pPr>
        <w:autoSpaceDE w:val="0"/>
        <w:autoSpaceDN w:val="0"/>
        <w:adjustRightInd w:val="0"/>
        <w:ind w:firstLine="708"/>
        <w:jc w:val="both"/>
        <w:rPr>
          <w:rFonts w:ascii="Abadi" w:hAnsi="Abadi" w:cs="*Arial-7008-Identity-H"/>
          <w:color w:val="14131B"/>
          <w:sz w:val="21"/>
          <w:szCs w:val="21"/>
        </w:rPr>
      </w:pPr>
      <w:r w:rsidRPr="009D2C14">
        <w:rPr>
          <w:rFonts w:ascii="Abadi" w:hAnsi="Abadi" w:cs="*Arial-7008-Identity-H"/>
          <w:color w:val="14131B"/>
          <w:sz w:val="21"/>
          <w:szCs w:val="21"/>
        </w:rPr>
        <w:t>En cuanto a la planificación para el desarrollo se detectó que los</w:t>
      </w:r>
      <w:r>
        <w:rPr>
          <w:rFonts w:ascii="Abadi" w:hAnsi="Abadi" w:cs="*Arial-7008-Identity-H"/>
          <w:color w:val="14131B"/>
          <w:sz w:val="21"/>
          <w:szCs w:val="21"/>
        </w:rPr>
        <w:t xml:space="preserve"> </w:t>
      </w:r>
      <w:r w:rsidRPr="009D2C14">
        <w:rPr>
          <w:rFonts w:ascii="Abadi" w:hAnsi="Abadi" w:cs="*Arial-7008-Identity-H"/>
          <w:color w:val="14131B"/>
          <w:sz w:val="21"/>
          <w:szCs w:val="21"/>
        </w:rPr>
        <w:t>instrumentos de planeación del Municipio presentaron objetivos, estrategias, y</w:t>
      </w:r>
      <w:r>
        <w:rPr>
          <w:rFonts w:ascii="Abadi" w:hAnsi="Abadi" w:cs="*Arial-7008-Identity-H"/>
          <w:color w:val="14131B"/>
          <w:sz w:val="21"/>
          <w:szCs w:val="21"/>
        </w:rPr>
        <w:t xml:space="preserve"> </w:t>
      </w:r>
      <w:r w:rsidRPr="009D2C14">
        <w:rPr>
          <w:rFonts w:ascii="Abadi" w:hAnsi="Abadi" w:cs="*Arial-7008-Identity-H"/>
          <w:color w:val="14131B"/>
          <w:sz w:val="21"/>
          <w:szCs w:val="21"/>
        </w:rPr>
        <w:t>acciones con un reconocimiento de alineación del servicio de alumbrado público</w:t>
      </w:r>
      <w:r>
        <w:rPr>
          <w:rFonts w:ascii="Abadi" w:hAnsi="Abadi" w:cs="*Arial-7008-Identity-H"/>
          <w:color w:val="14131B"/>
          <w:sz w:val="21"/>
          <w:szCs w:val="21"/>
        </w:rPr>
        <w:t xml:space="preserve"> </w:t>
      </w:r>
      <w:r w:rsidRPr="009D2C14">
        <w:rPr>
          <w:rFonts w:ascii="Abadi" w:hAnsi="Abadi" w:cs="*Arial-7008-Identity-H"/>
          <w:color w:val="14131B"/>
          <w:sz w:val="21"/>
          <w:szCs w:val="21"/>
        </w:rPr>
        <w:t xml:space="preserve">con el objetivo 7 </w:t>
      </w:r>
      <w:r w:rsidRPr="009D2C14">
        <w:rPr>
          <w:rFonts w:ascii="Abadi" w:hAnsi="Abadi" w:cs="*Arial-Italic-7009-Identity-H"/>
          <w:i/>
          <w:iCs/>
          <w:color w:val="14131B"/>
          <w:sz w:val="21"/>
          <w:szCs w:val="21"/>
        </w:rPr>
        <w:t xml:space="preserve">Energía asequible y no contaminante </w:t>
      </w:r>
      <w:r w:rsidRPr="009D2C14">
        <w:rPr>
          <w:rFonts w:ascii="Abadi" w:hAnsi="Abadi" w:cs="*Arial-7008-Identity-H"/>
          <w:color w:val="14131B"/>
          <w:sz w:val="21"/>
          <w:szCs w:val="21"/>
        </w:rPr>
        <w:t>de la Agenda 2030, así</w:t>
      </w:r>
      <w:r>
        <w:rPr>
          <w:rFonts w:ascii="Abadi" w:hAnsi="Abadi" w:cs="*Arial-7008-Identity-H"/>
          <w:color w:val="14131B"/>
          <w:sz w:val="21"/>
          <w:szCs w:val="21"/>
        </w:rPr>
        <w:t xml:space="preserve"> </w:t>
      </w:r>
      <w:r w:rsidRPr="009D2C14">
        <w:rPr>
          <w:rFonts w:ascii="Abadi" w:hAnsi="Abadi" w:cs="*Arial-7008-Identity-H"/>
          <w:color w:val="14131B"/>
          <w:sz w:val="21"/>
          <w:szCs w:val="21"/>
        </w:rPr>
        <w:t>como con la meta 7n.2. y el indicador 7n.2.1. que corresponde a uno específico</w:t>
      </w:r>
      <w:r>
        <w:rPr>
          <w:rFonts w:ascii="Abadi" w:hAnsi="Abadi" w:cs="*Arial-7008-Identity-H"/>
          <w:color w:val="14131B"/>
          <w:sz w:val="21"/>
          <w:szCs w:val="21"/>
        </w:rPr>
        <w:t xml:space="preserve"> </w:t>
      </w:r>
      <w:r w:rsidRPr="009D2C14">
        <w:rPr>
          <w:rFonts w:ascii="Abadi" w:hAnsi="Abadi" w:cs="*Arial-7008-Identity-H"/>
          <w:color w:val="14131B"/>
          <w:sz w:val="21"/>
          <w:szCs w:val="21"/>
        </w:rPr>
        <w:t>para México, de acuerdo a lo establecido entre el Programa de las Naciones</w:t>
      </w:r>
      <w:r>
        <w:rPr>
          <w:rFonts w:ascii="Abadi" w:hAnsi="Abadi" w:cs="*Arial-7008-Identity-H"/>
          <w:color w:val="14131B"/>
          <w:sz w:val="21"/>
          <w:szCs w:val="21"/>
        </w:rPr>
        <w:t xml:space="preserve"> </w:t>
      </w:r>
      <w:r w:rsidRPr="009D2C14">
        <w:rPr>
          <w:rFonts w:ascii="Abadi" w:hAnsi="Abadi" w:cs="*Arial-7008-Identity-H"/>
          <w:color w:val="14131B"/>
          <w:sz w:val="21"/>
          <w:szCs w:val="21"/>
        </w:rPr>
        <w:t>Unidas y la Secretaría de Gobernación, sin que dicha alineación se incluyera de</w:t>
      </w:r>
      <w:r>
        <w:rPr>
          <w:rFonts w:ascii="Abadi" w:hAnsi="Abadi" w:cs="*Arial-7008-Identity-H"/>
          <w:color w:val="14131B"/>
          <w:sz w:val="21"/>
          <w:szCs w:val="21"/>
        </w:rPr>
        <w:t xml:space="preserve"> </w:t>
      </w:r>
      <w:r w:rsidRPr="009D2C14">
        <w:rPr>
          <w:rFonts w:ascii="Abadi" w:hAnsi="Abadi" w:cs="*Arial-7008-Identity-H"/>
          <w:color w:val="14131B"/>
          <w:sz w:val="21"/>
          <w:szCs w:val="21"/>
        </w:rPr>
        <w:t>una manera explícita en alguno de sus instrumentos de planeación, lo que deriva</w:t>
      </w:r>
      <w:r>
        <w:rPr>
          <w:rFonts w:ascii="Abadi" w:hAnsi="Abadi" w:cs="*Arial-7008-Identity-H"/>
          <w:color w:val="14131B"/>
          <w:sz w:val="21"/>
          <w:szCs w:val="21"/>
        </w:rPr>
        <w:t xml:space="preserve"> </w:t>
      </w:r>
      <w:r w:rsidRPr="009D2C14">
        <w:rPr>
          <w:rFonts w:ascii="Abadi" w:hAnsi="Abadi" w:cs="*Arial-7008-Identity-H"/>
          <w:color w:val="14131B"/>
          <w:sz w:val="21"/>
          <w:szCs w:val="21"/>
        </w:rPr>
        <w:t>en un área de oportunidad para hacer su reconocimiento de manera formal en las</w:t>
      </w:r>
      <w:r>
        <w:rPr>
          <w:rFonts w:ascii="Abadi" w:hAnsi="Abadi" w:cs="*Arial-7008-Identity-H"/>
          <w:color w:val="14131B"/>
          <w:sz w:val="21"/>
          <w:szCs w:val="21"/>
        </w:rPr>
        <w:t xml:space="preserve"> </w:t>
      </w:r>
      <w:r w:rsidRPr="009D2C14">
        <w:rPr>
          <w:rFonts w:ascii="Abadi" w:hAnsi="Abadi" w:cs="*Arial-7008-Identity-H"/>
          <w:color w:val="14131B"/>
          <w:sz w:val="21"/>
          <w:szCs w:val="21"/>
        </w:rPr>
        <w:t>futuras versiones de los instrumentos de planeación de la actual administración</w:t>
      </w:r>
      <w:r>
        <w:rPr>
          <w:rFonts w:ascii="Abadi" w:hAnsi="Abadi" w:cs="*Arial-7008-Identity-H"/>
          <w:color w:val="14131B"/>
          <w:sz w:val="21"/>
          <w:szCs w:val="21"/>
        </w:rPr>
        <w:t xml:space="preserve"> </w:t>
      </w:r>
      <w:r w:rsidRPr="009D2C14">
        <w:rPr>
          <w:rFonts w:ascii="Abadi" w:hAnsi="Abadi" w:cs="*Arial-7008-Identity-H"/>
          <w:color w:val="14131B"/>
          <w:sz w:val="21"/>
          <w:szCs w:val="21"/>
        </w:rPr>
        <w:t>(2021-2024). Asimismo, se identificó la oportunidad para que el sujeto fiscalizado</w:t>
      </w:r>
      <w:r w:rsidR="00C62622">
        <w:rPr>
          <w:rFonts w:ascii="Abadi" w:hAnsi="Abadi" w:cs="*Arial-7008-Identity-H"/>
          <w:color w:val="14131B"/>
          <w:sz w:val="21"/>
          <w:szCs w:val="21"/>
        </w:rPr>
        <w:t xml:space="preserve"> </w:t>
      </w:r>
      <w:r w:rsidRPr="009D2C14">
        <w:rPr>
          <w:rFonts w:ascii="Abadi" w:hAnsi="Abadi" w:cs="*Arial-7008-Identity-H"/>
          <w:color w:val="14131B"/>
          <w:sz w:val="21"/>
          <w:szCs w:val="21"/>
        </w:rPr>
        <w:t>incluya en dichos instrumentos, estrategias y acciones relacionadas con el acceso</w:t>
      </w:r>
      <w:r>
        <w:rPr>
          <w:rFonts w:ascii="Abadi" w:hAnsi="Abadi" w:cs="*Arial-7008-Identity-H"/>
          <w:color w:val="14131B"/>
          <w:sz w:val="21"/>
          <w:szCs w:val="21"/>
        </w:rPr>
        <w:t xml:space="preserve"> </w:t>
      </w:r>
      <w:r w:rsidRPr="009D2C14">
        <w:rPr>
          <w:rFonts w:ascii="Abadi" w:hAnsi="Abadi" w:cs="*Arial-7008-Identity-H"/>
          <w:color w:val="14131B"/>
          <w:sz w:val="21"/>
          <w:szCs w:val="21"/>
        </w:rPr>
        <w:t>a todas las personas a servicios básicos adecuados, seguros y asequibles como</w:t>
      </w:r>
      <w:r>
        <w:rPr>
          <w:rFonts w:ascii="Abadi" w:hAnsi="Abadi" w:cs="*Arial-7008-Identity-H"/>
          <w:color w:val="14131B"/>
          <w:sz w:val="21"/>
          <w:szCs w:val="21"/>
        </w:rPr>
        <w:t xml:space="preserve"> </w:t>
      </w:r>
      <w:r w:rsidRPr="009D2C14">
        <w:rPr>
          <w:rFonts w:ascii="Abadi" w:hAnsi="Abadi" w:cs="*Arial-7008-Identity-H"/>
          <w:color w:val="14131B"/>
          <w:sz w:val="21"/>
          <w:szCs w:val="21"/>
        </w:rPr>
        <w:t xml:space="preserve">se contempla en la meta 11.1 del objetivo 11 </w:t>
      </w:r>
      <w:r w:rsidRPr="009D2C14">
        <w:rPr>
          <w:rFonts w:ascii="Abadi" w:hAnsi="Abadi" w:cs="*Arial-Italic-7009-Identity-H"/>
          <w:i/>
          <w:iCs/>
          <w:color w:val="14131B"/>
          <w:sz w:val="21"/>
          <w:szCs w:val="21"/>
        </w:rPr>
        <w:t>Ciudades y comunidades</w:t>
      </w:r>
      <w:r>
        <w:rPr>
          <w:rFonts w:ascii="Abadi" w:hAnsi="Abadi" w:cs="*Arial-Italic-7009-Identity-H"/>
          <w:i/>
          <w:iCs/>
          <w:color w:val="14131B"/>
          <w:sz w:val="21"/>
          <w:szCs w:val="21"/>
        </w:rPr>
        <w:t xml:space="preserve"> </w:t>
      </w:r>
      <w:r w:rsidRPr="009D2C14">
        <w:rPr>
          <w:rFonts w:ascii="Abadi" w:hAnsi="Abadi" w:cs="*Arial-Italic-7009-Identity-H"/>
          <w:i/>
          <w:iCs/>
          <w:color w:val="14131B"/>
          <w:sz w:val="21"/>
          <w:szCs w:val="21"/>
        </w:rPr>
        <w:t xml:space="preserve">sostenibles, </w:t>
      </w:r>
      <w:r w:rsidRPr="009D2C14">
        <w:rPr>
          <w:rFonts w:ascii="Abadi" w:hAnsi="Abadi" w:cs="*Arial-7008-Identity-H"/>
          <w:color w:val="14131B"/>
          <w:sz w:val="21"/>
          <w:szCs w:val="21"/>
        </w:rPr>
        <w:t>en atención a que no se identificaron acciones tendientes a</w:t>
      </w:r>
      <w:r>
        <w:rPr>
          <w:rFonts w:ascii="Abadi" w:hAnsi="Abadi" w:cs="*Arial-7008-Identity-H"/>
          <w:color w:val="14131B"/>
          <w:sz w:val="21"/>
          <w:szCs w:val="21"/>
        </w:rPr>
        <w:t xml:space="preserve"> </w:t>
      </w:r>
      <w:r w:rsidRPr="009D2C14">
        <w:rPr>
          <w:rFonts w:ascii="Abadi" w:hAnsi="Abadi" w:cs="*Arial-7008-Identity-H"/>
          <w:color w:val="14131B"/>
          <w:sz w:val="21"/>
          <w:szCs w:val="21"/>
        </w:rPr>
        <w:t>incrementar la cobertura del servicio.</w:t>
      </w:r>
    </w:p>
    <w:p w14:paraId="065AFF03" w14:textId="77777777" w:rsidR="001E07D6" w:rsidRPr="009D2C14" w:rsidRDefault="001E07D6" w:rsidP="001E07D6">
      <w:pPr>
        <w:autoSpaceDE w:val="0"/>
        <w:autoSpaceDN w:val="0"/>
        <w:adjustRightInd w:val="0"/>
        <w:jc w:val="both"/>
        <w:rPr>
          <w:rFonts w:ascii="Abadi" w:hAnsi="Abadi" w:cs="*Arial-7008-Identity-H"/>
          <w:color w:val="14131B"/>
          <w:sz w:val="21"/>
          <w:szCs w:val="21"/>
        </w:rPr>
      </w:pPr>
      <w:r>
        <w:rPr>
          <w:rFonts w:ascii="Abadi" w:hAnsi="Abadi" w:cs="*Arial-7008-Identity-H"/>
          <w:color w:val="14131B"/>
          <w:sz w:val="21"/>
          <w:szCs w:val="21"/>
        </w:rPr>
        <w:t xml:space="preserve"> </w:t>
      </w:r>
    </w:p>
    <w:p w14:paraId="6BF5BFAC" w14:textId="77777777" w:rsidR="001E07D6" w:rsidRDefault="001E07D6" w:rsidP="001E07D6">
      <w:pPr>
        <w:autoSpaceDE w:val="0"/>
        <w:autoSpaceDN w:val="0"/>
        <w:adjustRightInd w:val="0"/>
        <w:ind w:firstLine="708"/>
        <w:jc w:val="both"/>
        <w:rPr>
          <w:rFonts w:ascii="Abadi" w:hAnsi="Abadi" w:cs="*Arial-7008-Identity-H"/>
          <w:color w:val="13131A"/>
          <w:sz w:val="21"/>
          <w:szCs w:val="21"/>
        </w:rPr>
      </w:pPr>
      <w:r w:rsidRPr="009D2C14">
        <w:rPr>
          <w:rFonts w:ascii="Abadi" w:hAnsi="Abadi" w:cs="*Arial-7008-Identity-H"/>
          <w:color w:val="13131A"/>
          <w:sz w:val="21"/>
          <w:szCs w:val="21"/>
        </w:rPr>
        <w:t>En lo que corresponde a la operación del servicio, se reconoció que su</w:t>
      </w:r>
      <w:r>
        <w:rPr>
          <w:rFonts w:ascii="Abadi" w:hAnsi="Abadi" w:cs="*Arial-7008-Identity-H"/>
          <w:color w:val="13131A"/>
          <w:sz w:val="21"/>
          <w:szCs w:val="21"/>
        </w:rPr>
        <w:t xml:space="preserve"> </w:t>
      </w:r>
      <w:r w:rsidRPr="009D2C14">
        <w:rPr>
          <w:rFonts w:ascii="Abadi" w:hAnsi="Abadi" w:cs="*Arial-7008-Identity-H"/>
          <w:color w:val="13131A"/>
          <w:sz w:val="21"/>
          <w:szCs w:val="21"/>
        </w:rPr>
        <w:t>finalidad es el eficiente y eficaz funcionamiento, lo cual depende de la definición</w:t>
      </w:r>
      <w:r>
        <w:rPr>
          <w:rFonts w:ascii="Abadi" w:hAnsi="Abadi" w:cs="*Arial-7008-Identity-H"/>
          <w:color w:val="13131A"/>
          <w:sz w:val="21"/>
          <w:szCs w:val="21"/>
        </w:rPr>
        <w:t xml:space="preserve"> </w:t>
      </w:r>
      <w:r w:rsidRPr="009D2C14">
        <w:rPr>
          <w:rFonts w:ascii="Abadi" w:hAnsi="Abadi" w:cs="*Arial-7008-Identity-H"/>
          <w:color w:val="13131A"/>
          <w:sz w:val="21"/>
          <w:szCs w:val="21"/>
        </w:rPr>
        <w:t>clara de procesos clave y documentos normativos que garanticen su operatividad;</w:t>
      </w:r>
      <w:r>
        <w:rPr>
          <w:rFonts w:ascii="Abadi" w:hAnsi="Abadi" w:cs="*Arial-7008-Identity-H"/>
          <w:color w:val="13131A"/>
          <w:sz w:val="21"/>
          <w:szCs w:val="21"/>
        </w:rPr>
        <w:t xml:space="preserve"> </w:t>
      </w:r>
      <w:r w:rsidRPr="009D2C14">
        <w:rPr>
          <w:rFonts w:ascii="Abadi" w:hAnsi="Abadi" w:cs="*Arial-7008-Identity-H"/>
          <w:color w:val="13131A"/>
          <w:sz w:val="21"/>
          <w:szCs w:val="21"/>
        </w:rPr>
        <w:t>de contar con programas anuales orientados a la mejora, y de brindar un servicio y</w:t>
      </w:r>
      <w:r>
        <w:rPr>
          <w:rFonts w:ascii="Abadi" w:hAnsi="Abadi" w:cs="*Arial-7008-Identity-H"/>
          <w:color w:val="13131A"/>
          <w:sz w:val="21"/>
          <w:szCs w:val="21"/>
        </w:rPr>
        <w:t xml:space="preserve"> </w:t>
      </w:r>
      <w:r w:rsidRPr="009D2C14">
        <w:rPr>
          <w:rFonts w:ascii="Abadi" w:hAnsi="Abadi" w:cs="*Arial-7008-Identity-H"/>
          <w:color w:val="13131A"/>
          <w:sz w:val="21"/>
          <w:szCs w:val="21"/>
        </w:rPr>
        <w:t>una atención de calidad a la población. En tal sentido, el sujeto fiscalizado contó</w:t>
      </w:r>
      <w:r>
        <w:rPr>
          <w:rFonts w:ascii="Abadi" w:hAnsi="Abadi" w:cs="*Arial-7008-Identity-H"/>
          <w:color w:val="13131A"/>
          <w:sz w:val="21"/>
          <w:szCs w:val="21"/>
        </w:rPr>
        <w:t xml:space="preserve"> </w:t>
      </w:r>
      <w:r w:rsidRPr="009D2C14">
        <w:rPr>
          <w:rFonts w:ascii="Abadi" w:hAnsi="Abadi" w:cs="*Arial-7008-Identity-H"/>
          <w:color w:val="13131A"/>
          <w:sz w:val="21"/>
          <w:szCs w:val="21"/>
        </w:rPr>
        <w:t>con el Reglamento de la Administración Pública Municipal de Huanímaro,</w:t>
      </w:r>
      <w:r>
        <w:rPr>
          <w:rFonts w:ascii="Abadi" w:hAnsi="Abadi" w:cs="*Arial-7008-Identity-H"/>
          <w:color w:val="13131A"/>
          <w:sz w:val="21"/>
          <w:szCs w:val="21"/>
        </w:rPr>
        <w:t xml:space="preserve"> </w:t>
      </w:r>
      <w:r w:rsidRPr="009D2C14">
        <w:rPr>
          <w:rFonts w:ascii="Abadi" w:hAnsi="Abadi" w:cs="*Arial-7008-Identity-H"/>
          <w:color w:val="13131A"/>
          <w:sz w:val="21"/>
          <w:szCs w:val="21"/>
        </w:rPr>
        <w:t>Guanajuato, como instrumento normativo, el cual reconoce como una entidad</w:t>
      </w:r>
      <w:r>
        <w:rPr>
          <w:rFonts w:ascii="Abadi" w:hAnsi="Abadi" w:cs="*Arial-7008-Identity-H"/>
          <w:color w:val="13131A"/>
          <w:sz w:val="21"/>
          <w:szCs w:val="21"/>
        </w:rPr>
        <w:t xml:space="preserve"> </w:t>
      </w:r>
      <w:r w:rsidRPr="009D2C14">
        <w:rPr>
          <w:rFonts w:ascii="Abadi" w:hAnsi="Abadi" w:cs="*Arial-7008-Identity-H"/>
          <w:color w:val="13131A"/>
          <w:sz w:val="21"/>
          <w:szCs w:val="21"/>
        </w:rPr>
        <w:t>centralizada de la administración pública a la Dirección General de Servicios</w:t>
      </w:r>
      <w:r>
        <w:rPr>
          <w:rFonts w:ascii="Abadi" w:hAnsi="Abadi" w:cs="*Arial-7008-Identity-H"/>
          <w:color w:val="13131A"/>
          <w:sz w:val="21"/>
          <w:szCs w:val="21"/>
        </w:rPr>
        <w:t xml:space="preserve"> </w:t>
      </w:r>
      <w:r w:rsidRPr="009D2C14">
        <w:rPr>
          <w:rFonts w:ascii="Abadi" w:hAnsi="Abadi" w:cs="*Arial-7008-Identity-H"/>
          <w:color w:val="13131A"/>
          <w:sz w:val="21"/>
          <w:szCs w:val="21"/>
        </w:rPr>
        <w:t>Públicos Municipales, misma que cuenta con un Área de Alumbrado Público; no</w:t>
      </w:r>
      <w:r>
        <w:rPr>
          <w:rFonts w:ascii="Abadi" w:hAnsi="Abadi" w:cs="*Arial-7008-Identity-H"/>
          <w:color w:val="13131A"/>
          <w:sz w:val="21"/>
          <w:szCs w:val="21"/>
        </w:rPr>
        <w:t xml:space="preserve"> </w:t>
      </w:r>
      <w:r w:rsidRPr="009D2C14">
        <w:rPr>
          <w:rFonts w:ascii="Abadi" w:hAnsi="Abadi" w:cs="*Arial-7008-Identity-H"/>
          <w:color w:val="13131A"/>
          <w:sz w:val="21"/>
          <w:szCs w:val="21"/>
        </w:rPr>
        <w:t>obstante, el sujeto fiscalizado cuenta con la oportunidad de fortalecer su</w:t>
      </w:r>
      <w:r>
        <w:rPr>
          <w:rFonts w:ascii="Abadi" w:hAnsi="Abadi" w:cs="*Arial-7008-Identity-H"/>
          <w:color w:val="13131A"/>
          <w:sz w:val="21"/>
          <w:szCs w:val="21"/>
        </w:rPr>
        <w:t xml:space="preserve"> </w:t>
      </w:r>
      <w:r w:rsidRPr="009D2C14">
        <w:rPr>
          <w:rFonts w:ascii="Abadi" w:hAnsi="Abadi" w:cs="*Arial-7008-Identity-H"/>
          <w:color w:val="13131A"/>
          <w:sz w:val="21"/>
          <w:szCs w:val="21"/>
        </w:rPr>
        <w:t>reglamento o elaborar uno específico, a efecto de establecer las bases para la</w:t>
      </w:r>
      <w:r>
        <w:rPr>
          <w:rFonts w:ascii="Abadi" w:hAnsi="Abadi" w:cs="*Arial-7008-Identity-H"/>
          <w:color w:val="13131A"/>
          <w:sz w:val="21"/>
          <w:szCs w:val="21"/>
        </w:rPr>
        <w:t xml:space="preserve"> </w:t>
      </w:r>
      <w:r w:rsidRPr="009D2C14">
        <w:rPr>
          <w:rFonts w:ascii="Abadi" w:hAnsi="Abadi" w:cs="*Arial-7008-Identity-H"/>
          <w:color w:val="13131A"/>
          <w:sz w:val="21"/>
          <w:szCs w:val="21"/>
        </w:rPr>
        <w:t>regulación, organización y estructura que garanticen la prestación del servicio de</w:t>
      </w:r>
      <w:r>
        <w:rPr>
          <w:rFonts w:ascii="Abadi" w:hAnsi="Abadi" w:cs="*Arial-7008-Identity-H"/>
          <w:color w:val="13131A"/>
          <w:sz w:val="21"/>
          <w:szCs w:val="21"/>
        </w:rPr>
        <w:t xml:space="preserve"> </w:t>
      </w:r>
      <w:r w:rsidRPr="009D2C14">
        <w:rPr>
          <w:rFonts w:ascii="Abadi" w:hAnsi="Abadi" w:cs="*Arial-7008-Identity-H"/>
          <w:color w:val="13131A"/>
          <w:sz w:val="21"/>
          <w:szCs w:val="21"/>
        </w:rPr>
        <w:t>alumbrado público, desde su planeación, instalación, monitoreo, mantenimiento y</w:t>
      </w:r>
      <w:r>
        <w:rPr>
          <w:rFonts w:ascii="Abadi" w:hAnsi="Abadi" w:cs="*Arial-7008-Identity-H"/>
          <w:color w:val="13131A"/>
          <w:sz w:val="21"/>
          <w:szCs w:val="21"/>
        </w:rPr>
        <w:t xml:space="preserve"> </w:t>
      </w:r>
      <w:r w:rsidRPr="009D2C14">
        <w:rPr>
          <w:rFonts w:ascii="Abadi" w:hAnsi="Abadi" w:cs="*Arial-7008-Identity-H"/>
          <w:color w:val="13131A"/>
          <w:sz w:val="21"/>
          <w:szCs w:val="21"/>
        </w:rPr>
        <w:t>hasta las actividades que se pretenden realizar para su modernización.</w:t>
      </w:r>
      <w:r>
        <w:rPr>
          <w:rFonts w:ascii="Abadi" w:hAnsi="Abadi" w:cs="*Arial-7008-Identity-H"/>
          <w:color w:val="13131A"/>
          <w:sz w:val="21"/>
          <w:szCs w:val="21"/>
        </w:rPr>
        <w:t xml:space="preserve"> </w:t>
      </w:r>
    </w:p>
    <w:p w14:paraId="4DC7226B" w14:textId="77777777" w:rsidR="001E07D6" w:rsidRDefault="001E07D6" w:rsidP="001E07D6">
      <w:pPr>
        <w:autoSpaceDE w:val="0"/>
        <w:autoSpaceDN w:val="0"/>
        <w:adjustRightInd w:val="0"/>
        <w:jc w:val="both"/>
        <w:rPr>
          <w:rFonts w:ascii="Abadi" w:hAnsi="Abadi" w:cs="*Arial-7008-Identity-H"/>
          <w:color w:val="13131A"/>
          <w:sz w:val="21"/>
          <w:szCs w:val="21"/>
        </w:rPr>
      </w:pPr>
    </w:p>
    <w:p w14:paraId="6B80434D" w14:textId="77777777" w:rsidR="001E07D6" w:rsidRDefault="001E07D6" w:rsidP="001E07D6">
      <w:pPr>
        <w:autoSpaceDE w:val="0"/>
        <w:autoSpaceDN w:val="0"/>
        <w:adjustRightInd w:val="0"/>
        <w:ind w:firstLine="708"/>
        <w:jc w:val="both"/>
        <w:rPr>
          <w:rFonts w:ascii="Abadi" w:hAnsi="Abadi" w:cs="*Arial-7008-Identity-H"/>
          <w:color w:val="13131A"/>
          <w:sz w:val="21"/>
          <w:szCs w:val="21"/>
        </w:rPr>
      </w:pPr>
      <w:r w:rsidRPr="009D2C14">
        <w:rPr>
          <w:rFonts w:ascii="Abadi" w:hAnsi="Abadi" w:cs="*Arial-7008-Identity-H"/>
          <w:color w:val="13131A"/>
          <w:sz w:val="21"/>
          <w:szCs w:val="21"/>
        </w:rPr>
        <w:t>Adicionalmente, el sujeto fiscalizado acreditó contar con un Manual de Funciones</w:t>
      </w:r>
      <w:r>
        <w:rPr>
          <w:rFonts w:ascii="Abadi" w:hAnsi="Abadi" w:cs="*Arial-7008-Identity-H"/>
          <w:color w:val="13131A"/>
          <w:sz w:val="21"/>
          <w:szCs w:val="21"/>
        </w:rPr>
        <w:t xml:space="preserve"> </w:t>
      </w:r>
      <w:r w:rsidRPr="009D2C14">
        <w:rPr>
          <w:rFonts w:ascii="Abadi" w:hAnsi="Abadi" w:cs="*Arial-7008-Identity-H"/>
          <w:color w:val="13131A"/>
          <w:sz w:val="21"/>
          <w:szCs w:val="21"/>
        </w:rPr>
        <w:t>y Descripción de Puestos, qu</w:t>
      </w:r>
      <w:r>
        <w:rPr>
          <w:rFonts w:ascii="Abadi" w:eastAsia="Abadi" w:hAnsi="Abadi" w:cs="Abadi"/>
          <w:color w:val="13131A"/>
          <w:sz w:val="21"/>
          <w:szCs w:val="21"/>
        </w:rPr>
        <w:t>e</w:t>
      </w:r>
      <w:r w:rsidRPr="009D2C14">
        <w:rPr>
          <w:rFonts w:ascii="Abadi" w:hAnsi="Abadi" w:cs="*Arial-7008-Identity-H"/>
          <w:color w:val="13131A"/>
          <w:sz w:val="21"/>
          <w:szCs w:val="21"/>
        </w:rPr>
        <w:t xml:space="preserve"> contiene en los apartados 1.2 y 1.4, el nombre del</w:t>
      </w:r>
      <w:r>
        <w:rPr>
          <w:rFonts w:ascii="Abadi" w:hAnsi="Abadi" w:cs="*Arial-7008-Identity-H"/>
          <w:color w:val="13131A"/>
          <w:sz w:val="21"/>
          <w:szCs w:val="21"/>
        </w:rPr>
        <w:t xml:space="preserve"> </w:t>
      </w:r>
      <w:r w:rsidRPr="009D2C14">
        <w:rPr>
          <w:rFonts w:ascii="Abadi" w:hAnsi="Abadi" w:cs="*Arial-7008-Identity-H"/>
          <w:color w:val="13131A"/>
          <w:sz w:val="21"/>
          <w:szCs w:val="21"/>
        </w:rPr>
        <w:t>puesto, el objetivo y naturaleza del puesto, el nivel de responsabilidad,</w:t>
      </w:r>
      <w:r>
        <w:rPr>
          <w:rFonts w:ascii="Abadi" w:hAnsi="Abadi" w:cs="*Arial-7008-Identity-H"/>
          <w:color w:val="13131A"/>
          <w:sz w:val="21"/>
          <w:szCs w:val="21"/>
        </w:rPr>
        <w:t xml:space="preserve"> </w:t>
      </w:r>
      <w:r w:rsidRPr="009D2C14">
        <w:rPr>
          <w:rFonts w:ascii="Abadi" w:hAnsi="Abadi" w:cs="*Arial-7008-Identity-H"/>
          <w:color w:val="13131A"/>
          <w:sz w:val="21"/>
          <w:szCs w:val="21"/>
        </w:rPr>
        <w:t>habilidades, capacidades y funciones; del electricista y del auxiliar de encendido.</w:t>
      </w:r>
      <w:r>
        <w:rPr>
          <w:rFonts w:ascii="Abadi" w:hAnsi="Abadi" w:cs="*Arial-7008-Identity-H"/>
          <w:color w:val="13131A"/>
          <w:sz w:val="21"/>
          <w:szCs w:val="21"/>
        </w:rPr>
        <w:t xml:space="preserve"> </w:t>
      </w:r>
      <w:r w:rsidRPr="009D2C14">
        <w:rPr>
          <w:rFonts w:ascii="Abadi" w:hAnsi="Abadi" w:cs="*Arial-7008-Identity-H"/>
          <w:color w:val="13131A"/>
          <w:sz w:val="21"/>
          <w:szCs w:val="21"/>
        </w:rPr>
        <w:t>Sin embargo, no presentó manuales de organización, de procesos y actividades,</w:t>
      </w:r>
      <w:r>
        <w:rPr>
          <w:rFonts w:ascii="Abadi" w:hAnsi="Abadi" w:cs="*Arial-7008-Identity-H"/>
          <w:color w:val="13131A"/>
          <w:sz w:val="21"/>
          <w:szCs w:val="21"/>
        </w:rPr>
        <w:t xml:space="preserve"> </w:t>
      </w:r>
      <w:r w:rsidRPr="009D2C14">
        <w:rPr>
          <w:rFonts w:ascii="Abadi" w:hAnsi="Abadi" w:cs="*Arial-7008-Identity-H"/>
          <w:color w:val="13131A"/>
          <w:sz w:val="21"/>
          <w:szCs w:val="21"/>
        </w:rPr>
        <w:t>por lo que cuenta con la oportunidad de elaborarlos, a efecto de integrar la</w:t>
      </w:r>
      <w:r>
        <w:rPr>
          <w:rFonts w:ascii="Abadi" w:hAnsi="Abadi" w:cs="*Arial-7008-Identity-H"/>
          <w:color w:val="13131A"/>
          <w:sz w:val="21"/>
          <w:szCs w:val="21"/>
        </w:rPr>
        <w:t xml:space="preserve"> </w:t>
      </w:r>
      <w:r w:rsidRPr="009D2C14">
        <w:rPr>
          <w:rFonts w:ascii="Abadi" w:hAnsi="Abadi" w:cs="*Arial-7008-Identity-H"/>
          <w:color w:val="13131A"/>
          <w:sz w:val="21"/>
          <w:szCs w:val="21"/>
        </w:rPr>
        <w:t>totalidad de los procesos clave para otorgar con eficiencia y eficacia el servicio de</w:t>
      </w:r>
      <w:r>
        <w:rPr>
          <w:rFonts w:ascii="Abadi" w:hAnsi="Abadi" w:cs="*Arial-7008-Identity-H"/>
          <w:color w:val="13131A"/>
          <w:sz w:val="21"/>
          <w:szCs w:val="21"/>
        </w:rPr>
        <w:t xml:space="preserve"> </w:t>
      </w:r>
      <w:r w:rsidRPr="009D2C14">
        <w:rPr>
          <w:rFonts w:ascii="Abadi" w:hAnsi="Abadi" w:cs="*Arial-7008-Identity-H"/>
          <w:color w:val="13131A"/>
          <w:sz w:val="21"/>
          <w:szCs w:val="21"/>
        </w:rPr>
        <w:t>alumbrado público a la población, así como incorporar la relación de los procesos</w:t>
      </w:r>
      <w:r>
        <w:rPr>
          <w:rFonts w:ascii="Abadi" w:hAnsi="Abadi" w:cs="*Arial-7008-Identity-H"/>
          <w:color w:val="13131A"/>
          <w:sz w:val="21"/>
          <w:szCs w:val="21"/>
        </w:rPr>
        <w:t xml:space="preserve"> </w:t>
      </w:r>
      <w:r w:rsidRPr="009D2C14">
        <w:rPr>
          <w:rFonts w:ascii="Abadi" w:hAnsi="Abadi" w:cs="*Arial-7008-Identity-H"/>
          <w:color w:val="13131A"/>
          <w:sz w:val="21"/>
          <w:szCs w:val="21"/>
        </w:rPr>
        <w:t>y procedimientos macro, y los formatos e instructivos derivados de estos.</w:t>
      </w:r>
    </w:p>
    <w:p w14:paraId="32A2D869" w14:textId="77777777" w:rsidR="001E07D6" w:rsidRPr="009D2C14" w:rsidRDefault="001E07D6" w:rsidP="001E07D6">
      <w:pPr>
        <w:autoSpaceDE w:val="0"/>
        <w:autoSpaceDN w:val="0"/>
        <w:adjustRightInd w:val="0"/>
        <w:jc w:val="both"/>
        <w:rPr>
          <w:rFonts w:ascii="Abadi" w:hAnsi="Abadi" w:cs="*Arial-7008-Identity-H"/>
          <w:color w:val="13131A"/>
          <w:sz w:val="21"/>
          <w:szCs w:val="21"/>
        </w:rPr>
      </w:pPr>
    </w:p>
    <w:p w14:paraId="2C54FC4D" w14:textId="77777777" w:rsidR="001E07D6" w:rsidRDefault="001E07D6" w:rsidP="001E07D6">
      <w:pPr>
        <w:autoSpaceDE w:val="0"/>
        <w:autoSpaceDN w:val="0"/>
        <w:adjustRightInd w:val="0"/>
        <w:ind w:firstLine="708"/>
        <w:jc w:val="both"/>
        <w:rPr>
          <w:rFonts w:ascii="Abadi" w:hAnsi="Abadi" w:cs="*Arial-6771-Identity-H"/>
          <w:color w:val="14131B"/>
          <w:sz w:val="21"/>
          <w:szCs w:val="21"/>
        </w:rPr>
      </w:pPr>
      <w:r w:rsidRPr="009D2C14">
        <w:rPr>
          <w:rFonts w:ascii="Abadi" w:hAnsi="Abadi" w:cs="*Arial-6771-Identity-H"/>
          <w:color w:val="14131B"/>
          <w:sz w:val="21"/>
          <w:szCs w:val="21"/>
        </w:rPr>
        <w:t>Respecto a los recursos para la prestación del servicio, el sujeto fiscalizado</w:t>
      </w:r>
      <w:r>
        <w:rPr>
          <w:rFonts w:ascii="Abadi" w:hAnsi="Abadi" w:cs="*Arial-6771-Identity-H"/>
          <w:color w:val="14131B"/>
          <w:sz w:val="21"/>
          <w:szCs w:val="21"/>
        </w:rPr>
        <w:t xml:space="preserve"> </w:t>
      </w:r>
      <w:r w:rsidRPr="009D2C14">
        <w:rPr>
          <w:rFonts w:ascii="Abadi" w:hAnsi="Abadi" w:cs="*Arial-6771-Identity-H"/>
          <w:color w:val="14131B"/>
          <w:sz w:val="21"/>
          <w:szCs w:val="21"/>
        </w:rPr>
        <w:t xml:space="preserve">definió en su presupuesto el programa </w:t>
      </w:r>
      <w:r w:rsidRPr="009D2C14">
        <w:rPr>
          <w:rFonts w:ascii="Abadi" w:hAnsi="Abadi" w:cs="*Arial-Italic-6772-Identity-H"/>
          <w:i/>
          <w:iCs/>
          <w:color w:val="14131B"/>
          <w:sz w:val="21"/>
          <w:szCs w:val="21"/>
        </w:rPr>
        <w:t xml:space="preserve">E00B Servicios Públicos, </w:t>
      </w:r>
      <w:r w:rsidRPr="009D2C14">
        <w:rPr>
          <w:rFonts w:ascii="Abadi" w:hAnsi="Abadi" w:cs="*Arial-6771-Identity-H"/>
          <w:color w:val="14131B"/>
          <w:sz w:val="21"/>
          <w:szCs w:val="21"/>
        </w:rPr>
        <w:t>en el que se</w:t>
      </w:r>
      <w:r>
        <w:rPr>
          <w:rFonts w:ascii="Abadi" w:hAnsi="Abadi" w:cs="*Arial-6771-Identity-H"/>
          <w:color w:val="14131B"/>
          <w:sz w:val="21"/>
          <w:szCs w:val="21"/>
        </w:rPr>
        <w:t xml:space="preserve"> </w:t>
      </w:r>
      <w:r w:rsidRPr="009D2C14">
        <w:rPr>
          <w:rFonts w:ascii="Abadi" w:hAnsi="Abadi" w:cs="*Arial-6771-Identity-H"/>
          <w:color w:val="14131B"/>
          <w:sz w:val="21"/>
          <w:szCs w:val="21"/>
        </w:rPr>
        <w:t>administraron los recursos para la ejecución de acciones relacionadas con la</w:t>
      </w:r>
      <w:r>
        <w:rPr>
          <w:rFonts w:ascii="Abadi" w:hAnsi="Abadi" w:cs="*Arial-6771-Identity-H"/>
          <w:color w:val="14131B"/>
          <w:sz w:val="21"/>
          <w:szCs w:val="21"/>
        </w:rPr>
        <w:t xml:space="preserve"> </w:t>
      </w:r>
      <w:r w:rsidRPr="009D2C14">
        <w:rPr>
          <w:rFonts w:ascii="Abadi" w:hAnsi="Abadi" w:cs="*Arial-6771-Identity-H"/>
          <w:color w:val="14131B"/>
          <w:sz w:val="21"/>
          <w:szCs w:val="21"/>
        </w:rPr>
        <w:t>eficiencia en la mejora del servicio de alumbrado. Sin embargo, cuenta con la</w:t>
      </w:r>
      <w:r>
        <w:rPr>
          <w:rFonts w:ascii="Abadi" w:hAnsi="Abadi" w:cs="*Arial-6771-Identity-H"/>
          <w:color w:val="14131B"/>
          <w:sz w:val="21"/>
          <w:szCs w:val="21"/>
        </w:rPr>
        <w:t xml:space="preserve"> </w:t>
      </w:r>
      <w:r w:rsidRPr="009D2C14">
        <w:rPr>
          <w:rFonts w:ascii="Abadi" w:hAnsi="Abadi" w:cs="*Arial-6771-Identity-H"/>
          <w:color w:val="14131B"/>
          <w:sz w:val="21"/>
          <w:szCs w:val="21"/>
        </w:rPr>
        <w:t>oportunidad de elaborar un Programa Operativo Anual para la prestación del</w:t>
      </w:r>
      <w:r>
        <w:rPr>
          <w:rFonts w:ascii="Abadi" w:hAnsi="Abadi" w:cs="*Arial-6771-Identity-H"/>
          <w:color w:val="14131B"/>
          <w:sz w:val="21"/>
          <w:szCs w:val="21"/>
        </w:rPr>
        <w:t xml:space="preserve"> </w:t>
      </w:r>
      <w:r w:rsidRPr="009D2C14">
        <w:rPr>
          <w:rFonts w:ascii="Abadi" w:hAnsi="Abadi" w:cs="*Arial-6771-Identity-H"/>
          <w:color w:val="14131B"/>
          <w:sz w:val="21"/>
          <w:szCs w:val="21"/>
        </w:rPr>
        <w:t>servicio de alumbrado público, como instrumento de planeación de corto plazo y</w:t>
      </w:r>
      <w:r>
        <w:rPr>
          <w:rFonts w:ascii="Abadi" w:hAnsi="Abadi" w:cs="*Arial-6771-Identity-H"/>
          <w:color w:val="14131B"/>
          <w:sz w:val="21"/>
          <w:szCs w:val="21"/>
        </w:rPr>
        <w:t xml:space="preserve"> </w:t>
      </w:r>
      <w:r w:rsidRPr="009D2C14">
        <w:rPr>
          <w:rFonts w:ascii="Abadi" w:hAnsi="Abadi" w:cs="*Arial-6771-Identity-H"/>
          <w:color w:val="14131B"/>
          <w:sz w:val="21"/>
          <w:szCs w:val="21"/>
        </w:rPr>
        <w:t>como insumo para la proyección del presupuesto de egresos, en el que se</w:t>
      </w:r>
      <w:r>
        <w:rPr>
          <w:rFonts w:ascii="Abadi" w:hAnsi="Abadi" w:cs="*Arial-6771-Identity-H"/>
          <w:color w:val="14131B"/>
          <w:sz w:val="21"/>
          <w:szCs w:val="21"/>
        </w:rPr>
        <w:t xml:space="preserve"> </w:t>
      </w:r>
      <w:r w:rsidRPr="009D2C14">
        <w:rPr>
          <w:rFonts w:ascii="Abadi" w:hAnsi="Abadi" w:cs="*Arial-6771-Identity-H"/>
          <w:color w:val="14131B"/>
          <w:sz w:val="21"/>
          <w:szCs w:val="21"/>
        </w:rPr>
        <w:t>establezcan las acciones clave para la administración, conservación, rehabilitación</w:t>
      </w:r>
      <w:r>
        <w:rPr>
          <w:rFonts w:ascii="Abadi" w:hAnsi="Abadi" w:cs="*Arial-6771-Identity-H"/>
          <w:color w:val="14131B"/>
          <w:sz w:val="21"/>
          <w:szCs w:val="21"/>
        </w:rPr>
        <w:t xml:space="preserve"> </w:t>
      </w:r>
      <w:r w:rsidRPr="009D2C14">
        <w:rPr>
          <w:rFonts w:ascii="Abadi" w:hAnsi="Abadi" w:cs="*Arial-6771-Identity-H"/>
          <w:color w:val="14131B"/>
          <w:sz w:val="21"/>
          <w:szCs w:val="21"/>
        </w:rPr>
        <w:t>y mejoramiento del servicio, así como los objetivos, responsables, cronograma de</w:t>
      </w:r>
      <w:r>
        <w:rPr>
          <w:rFonts w:ascii="Abadi" w:hAnsi="Abadi" w:cs="*Arial-6771-Identity-H"/>
          <w:color w:val="14131B"/>
          <w:sz w:val="21"/>
          <w:szCs w:val="21"/>
        </w:rPr>
        <w:t xml:space="preserve"> </w:t>
      </w:r>
      <w:r w:rsidRPr="009D2C14">
        <w:rPr>
          <w:rFonts w:ascii="Abadi" w:hAnsi="Abadi" w:cs="*Arial-6771-Identity-H"/>
          <w:color w:val="14131B"/>
          <w:sz w:val="21"/>
          <w:szCs w:val="21"/>
        </w:rPr>
        <w:t>actividades e indicadores.</w:t>
      </w:r>
    </w:p>
    <w:p w14:paraId="535FECBD" w14:textId="77777777" w:rsidR="001E07D6" w:rsidRPr="009D2C14" w:rsidRDefault="001E07D6" w:rsidP="001E07D6">
      <w:pPr>
        <w:autoSpaceDE w:val="0"/>
        <w:autoSpaceDN w:val="0"/>
        <w:adjustRightInd w:val="0"/>
        <w:jc w:val="both"/>
        <w:rPr>
          <w:rFonts w:ascii="Abadi" w:hAnsi="Abadi" w:cs="*Arial-6771-Identity-H"/>
          <w:color w:val="14131B"/>
          <w:sz w:val="21"/>
          <w:szCs w:val="21"/>
        </w:rPr>
      </w:pPr>
    </w:p>
    <w:p w14:paraId="2209F58A" w14:textId="77777777" w:rsidR="001E07D6" w:rsidRPr="009D2C14" w:rsidRDefault="001E07D6" w:rsidP="001E07D6">
      <w:pPr>
        <w:autoSpaceDE w:val="0"/>
        <w:autoSpaceDN w:val="0"/>
        <w:adjustRightInd w:val="0"/>
        <w:ind w:firstLine="708"/>
        <w:jc w:val="both"/>
        <w:rPr>
          <w:rFonts w:ascii="Abadi" w:hAnsi="Abadi" w:cs="*Arial-6771-Identity-H"/>
          <w:color w:val="14131B"/>
          <w:sz w:val="21"/>
          <w:szCs w:val="21"/>
        </w:rPr>
      </w:pPr>
      <w:r w:rsidRPr="009D2C14">
        <w:rPr>
          <w:rFonts w:ascii="Abadi" w:hAnsi="Abadi" w:cs="*Arial-6771-Identity-H"/>
          <w:color w:val="14131B"/>
          <w:sz w:val="21"/>
          <w:szCs w:val="21"/>
        </w:rPr>
        <w:t>Por lo que hace a la capacidad del sujeto fiscalizado para garantizar una</w:t>
      </w:r>
      <w:r>
        <w:rPr>
          <w:rFonts w:ascii="Abadi" w:hAnsi="Abadi" w:cs="*Arial-6771-Identity-H"/>
          <w:color w:val="14131B"/>
          <w:sz w:val="21"/>
          <w:szCs w:val="21"/>
        </w:rPr>
        <w:t xml:space="preserve"> </w:t>
      </w:r>
      <w:r w:rsidRPr="009D2C14">
        <w:rPr>
          <w:rFonts w:ascii="Abadi" w:hAnsi="Abadi" w:cs="*Arial-6771-Identity-H"/>
          <w:color w:val="14131B"/>
          <w:sz w:val="21"/>
          <w:szCs w:val="21"/>
        </w:rPr>
        <w:t>prestación permanente y efectiva del servicio de alumbrado público, se analizó la</w:t>
      </w:r>
      <w:r>
        <w:rPr>
          <w:rFonts w:ascii="Abadi" w:hAnsi="Abadi" w:cs="*Arial-6771-Identity-H"/>
          <w:color w:val="14131B"/>
          <w:sz w:val="21"/>
          <w:szCs w:val="21"/>
        </w:rPr>
        <w:t xml:space="preserve"> </w:t>
      </w:r>
      <w:r w:rsidRPr="009D2C14">
        <w:rPr>
          <w:rFonts w:ascii="Abadi" w:hAnsi="Abadi" w:cs="*Arial-6771-Identity-H"/>
          <w:color w:val="14131B"/>
          <w:sz w:val="21"/>
          <w:szCs w:val="21"/>
        </w:rPr>
        <w:t>calidad de la información relativa a los logros en materia de mantenimiento, así</w:t>
      </w:r>
      <w:r>
        <w:rPr>
          <w:rFonts w:ascii="Abadi" w:hAnsi="Abadi" w:cs="*Arial-6771-Identity-H"/>
          <w:color w:val="14131B"/>
          <w:sz w:val="21"/>
          <w:szCs w:val="21"/>
        </w:rPr>
        <w:t xml:space="preserve"> </w:t>
      </w:r>
      <w:r w:rsidRPr="009D2C14">
        <w:rPr>
          <w:rFonts w:ascii="Abadi" w:hAnsi="Abadi" w:cs="*Arial-6771-Identity-H"/>
          <w:color w:val="14131B"/>
          <w:sz w:val="21"/>
          <w:szCs w:val="21"/>
        </w:rPr>
        <w:t>como a la cobertura y satisfacción ciudadana, observándose que las acciones de</w:t>
      </w:r>
      <w:r>
        <w:rPr>
          <w:rFonts w:ascii="Abadi" w:hAnsi="Abadi" w:cs="*Arial-6771-Identity-H"/>
          <w:color w:val="14131B"/>
          <w:sz w:val="21"/>
          <w:szCs w:val="21"/>
        </w:rPr>
        <w:t xml:space="preserve"> </w:t>
      </w:r>
      <w:r w:rsidRPr="009D2C14">
        <w:rPr>
          <w:rFonts w:ascii="Abadi" w:hAnsi="Abadi" w:cs="*Arial-6771-Identity-H"/>
          <w:color w:val="14131B"/>
          <w:sz w:val="21"/>
          <w:szCs w:val="21"/>
        </w:rPr>
        <w:t>reparación a lámparas y luminarias no se derivaron de la implementación de</w:t>
      </w:r>
      <w:r>
        <w:rPr>
          <w:rFonts w:ascii="Abadi" w:hAnsi="Abadi" w:cs="*Arial-6771-Identity-H"/>
          <w:color w:val="14131B"/>
          <w:sz w:val="21"/>
          <w:szCs w:val="21"/>
        </w:rPr>
        <w:t xml:space="preserve"> </w:t>
      </w:r>
      <w:r w:rsidRPr="009D2C14">
        <w:rPr>
          <w:rFonts w:ascii="Abadi" w:hAnsi="Abadi" w:cs="*Arial-6771-Identity-H"/>
          <w:color w:val="14131B"/>
          <w:sz w:val="21"/>
          <w:szCs w:val="21"/>
        </w:rPr>
        <w:t>mecanismos preventivos para asegurar la eficacia del servicio, sino que, dichas</w:t>
      </w:r>
    </w:p>
    <w:p w14:paraId="731D71AB" w14:textId="77777777" w:rsidR="001E07D6" w:rsidRDefault="001E07D6" w:rsidP="001E07D6">
      <w:pPr>
        <w:autoSpaceDE w:val="0"/>
        <w:autoSpaceDN w:val="0"/>
        <w:adjustRightInd w:val="0"/>
        <w:jc w:val="both"/>
        <w:rPr>
          <w:rFonts w:ascii="Abadi" w:hAnsi="Abadi" w:cs="*Arial-6771-Identity-H"/>
          <w:color w:val="14131B"/>
          <w:sz w:val="21"/>
          <w:szCs w:val="21"/>
        </w:rPr>
      </w:pPr>
      <w:r w:rsidRPr="009D2C14">
        <w:rPr>
          <w:rFonts w:ascii="Abadi" w:hAnsi="Abadi" w:cs="*Arial-6771-Identity-H"/>
          <w:color w:val="14131B"/>
          <w:sz w:val="21"/>
          <w:szCs w:val="21"/>
        </w:rPr>
        <w:t>acciones se efectuaron en respuesta a los reportes ciudadanos (mantenimiento</w:t>
      </w:r>
      <w:r>
        <w:rPr>
          <w:rFonts w:ascii="Abadi" w:hAnsi="Abadi" w:cs="*Arial-6771-Identity-H"/>
          <w:color w:val="14131B"/>
          <w:sz w:val="21"/>
          <w:szCs w:val="21"/>
        </w:rPr>
        <w:t xml:space="preserve"> </w:t>
      </w:r>
      <w:r w:rsidRPr="009D2C14">
        <w:rPr>
          <w:rFonts w:ascii="Abadi" w:hAnsi="Abadi" w:cs="*Arial-6771-Identity-H"/>
          <w:color w:val="14131B"/>
          <w:sz w:val="21"/>
          <w:szCs w:val="21"/>
        </w:rPr>
        <w:t>correctivo). Adicionalmente, el sujeto fiscalizado no contó con información</w:t>
      </w:r>
      <w:r>
        <w:rPr>
          <w:rFonts w:ascii="Abadi" w:hAnsi="Abadi" w:cs="*Arial-6771-Identity-H"/>
          <w:color w:val="14131B"/>
          <w:sz w:val="21"/>
          <w:szCs w:val="21"/>
        </w:rPr>
        <w:t xml:space="preserve"> </w:t>
      </w:r>
      <w:r w:rsidRPr="009D2C14">
        <w:rPr>
          <w:rFonts w:ascii="Abadi" w:hAnsi="Abadi" w:cs="*Arial-6771-Identity-H"/>
          <w:color w:val="14131B"/>
          <w:sz w:val="21"/>
          <w:szCs w:val="21"/>
        </w:rPr>
        <w:t>digitalizada que permitiera constatar la cantidad de reportes que fueron atendidos,</w:t>
      </w:r>
      <w:r>
        <w:rPr>
          <w:rFonts w:ascii="Abadi" w:hAnsi="Abadi" w:cs="*Arial-6771-Identity-H"/>
          <w:color w:val="14131B"/>
          <w:sz w:val="21"/>
          <w:szCs w:val="21"/>
        </w:rPr>
        <w:t xml:space="preserve"> </w:t>
      </w:r>
      <w:r w:rsidRPr="009D2C14">
        <w:rPr>
          <w:rFonts w:ascii="Abadi" w:hAnsi="Abadi" w:cs="*Arial-6771-Identity-H"/>
          <w:color w:val="14131B"/>
          <w:sz w:val="21"/>
          <w:szCs w:val="21"/>
        </w:rPr>
        <w:t>así como la oportunidad en que se repararon las fallas, en el ejercicio 2020.</w:t>
      </w:r>
      <w:r>
        <w:rPr>
          <w:rFonts w:ascii="Abadi" w:hAnsi="Abadi" w:cs="*Arial-6771-Identity-H"/>
          <w:color w:val="14131B"/>
          <w:sz w:val="21"/>
          <w:szCs w:val="21"/>
        </w:rPr>
        <w:t xml:space="preserve"> </w:t>
      </w:r>
    </w:p>
    <w:p w14:paraId="4B9E9259" w14:textId="77777777" w:rsidR="001E07D6" w:rsidRDefault="001E07D6" w:rsidP="001E07D6">
      <w:pPr>
        <w:autoSpaceDE w:val="0"/>
        <w:autoSpaceDN w:val="0"/>
        <w:adjustRightInd w:val="0"/>
        <w:jc w:val="both"/>
        <w:rPr>
          <w:rFonts w:ascii="Abadi" w:hAnsi="Abadi" w:cs="*Arial-6771-Identity-H"/>
          <w:color w:val="14131B"/>
          <w:sz w:val="21"/>
          <w:szCs w:val="21"/>
        </w:rPr>
      </w:pPr>
    </w:p>
    <w:p w14:paraId="1D614975" w14:textId="77777777" w:rsidR="001E07D6" w:rsidRDefault="001E07D6" w:rsidP="001E07D6">
      <w:pPr>
        <w:autoSpaceDE w:val="0"/>
        <w:autoSpaceDN w:val="0"/>
        <w:adjustRightInd w:val="0"/>
        <w:ind w:firstLine="708"/>
        <w:jc w:val="both"/>
        <w:rPr>
          <w:rFonts w:ascii="Abadi" w:hAnsi="Abadi" w:cs="*Arial-6771-Identity-H"/>
          <w:color w:val="14131A"/>
          <w:sz w:val="21"/>
          <w:szCs w:val="21"/>
        </w:rPr>
      </w:pPr>
      <w:r w:rsidRPr="009D2C14">
        <w:rPr>
          <w:rFonts w:ascii="Abadi" w:hAnsi="Abadi" w:cs="*Arial-6771-Identity-H"/>
          <w:color w:val="14131A"/>
          <w:sz w:val="21"/>
          <w:szCs w:val="21"/>
        </w:rPr>
        <w:t>De igual forma, a efecto de verificar los mecanismos con los que contó el</w:t>
      </w:r>
      <w:r>
        <w:rPr>
          <w:rFonts w:ascii="Abadi" w:hAnsi="Abadi" w:cs="*Arial-6771-Identity-H"/>
          <w:color w:val="14131A"/>
          <w:sz w:val="21"/>
          <w:szCs w:val="21"/>
        </w:rPr>
        <w:t xml:space="preserve"> </w:t>
      </w:r>
      <w:r w:rsidRPr="009D2C14">
        <w:rPr>
          <w:rFonts w:ascii="Abadi" w:hAnsi="Abadi" w:cs="*Arial-6771-Identity-H"/>
          <w:color w:val="14131A"/>
          <w:sz w:val="21"/>
          <w:szCs w:val="21"/>
        </w:rPr>
        <w:t>sujeto fiscalizado para eficientar la atención de las quejas ciudadanas, se constató</w:t>
      </w:r>
      <w:r>
        <w:rPr>
          <w:rFonts w:ascii="Abadi" w:hAnsi="Abadi" w:cs="*Arial-6771-Identity-H"/>
          <w:color w:val="14131A"/>
          <w:sz w:val="21"/>
          <w:szCs w:val="21"/>
        </w:rPr>
        <w:t xml:space="preserve"> </w:t>
      </w:r>
      <w:r w:rsidRPr="009D2C14">
        <w:rPr>
          <w:rFonts w:ascii="Abadi" w:hAnsi="Abadi" w:cs="*Arial-6771-Identity-H"/>
          <w:color w:val="14131A"/>
          <w:sz w:val="21"/>
          <w:szCs w:val="21"/>
        </w:rPr>
        <w:t>que dispuso de un indicador en la Matriz de Indicadores para Resultados del</w:t>
      </w:r>
      <w:r>
        <w:rPr>
          <w:rFonts w:ascii="Abadi" w:hAnsi="Abadi" w:cs="*Arial-6771-Identity-H"/>
          <w:color w:val="14131A"/>
          <w:sz w:val="21"/>
          <w:szCs w:val="21"/>
        </w:rPr>
        <w:t xml:space="preserve"> </w:t>
      </w:r>
      <w:r w:rsidRPr="009D2C14">
        <w:rPr>
          <w:rFonts w:ascii="Abadi" w:hAnsi="Abadi" w:cs="*Arial-6771-Identity-H"/>
          <w:color w:val="14131A"/>
          <w:sz w:val="21"/>
          <w:szCs w:val="21"/>
        </w:rPr>
        <w:t xml:space="preserve">programa presupuestario </w:t>
      </w:r>
      <w:r w:rsidRPr="009D2C14">
        <w:rPr>
          <w:rFonts w:ascii="Abadi" w:hAnsi="Abadi" w:cs="*Arial-Italic-6772-Identity-H"/>
          <w:i/>
          <w:iCs/>
          <w:color w:val="14131A"/>
          <w:sz w:val="21"/>
          <w:szCs w:val="21"/>
        </w:rPr>
        <w:t xml:space="preserve">E000B Servicios Públicos, </w:t>
      </w:r>
      <w:r w:rsidRPr="009D2C14">
        <w:rPr>
          <w:rFonts w:ascii="Abadi" w:hAnsi="Abadi" w:cs="*Arial-6771-Identity-H"/>
          <w:color w:val="14131A"/>
          <w:sz w:val="21"/>
          <w:szCs w:val="21"/>
        </w:rPr>
        <w:t xml:space="preserve">denominado </w:t>
      </w:r>
      <w:r w:rsidRPr="009D2C14">
        <w:rPr>
          <w:rFonts w:ascii="Abadi" w:hAnsi="Abadi" w:cs="*Arial-Italic-6772-Identity-H"/>
          <w:i/>
          <w:iCs/>
          <w:color w:val="14131A"/>
          <w:sz w:val="21"/>
          <w:szCs w:val="21"/>
        </w:rPr>
        <w:t>porcentaje de</w:t>
      </w:r>
      <w:r>
        <w:rPr>
          <w:rFonts w:ascii="Abadi" w:hAnsi="Abadi" w:cs="*Arial-Italic-6772-Identity-H"/>
          <w:i/>
          <w:iCs/>
          <w:color w:val="14131A"/>
          <w:sz w:val="21"/>
          <w:szCs w:val="21"/>
        </w:rPr>
        <w:t xml:space="preserve"> </w:t>
      </w:r>
      <w:r w:rsidRPr="009D2C14">
        <w:rPr>
          <w:rFonts w:ascii="Abadi" w:hAnsi="Abadi" w:cs="*Arial-Italic-6772-Identity-H"/>
          <w:i/>
          <w:iCs/>
          <w:color w:val="14131A"/>
          <w:sz w:val="21"/>
          <w:szCs w:val="21"/>
        </w:rPr>
        <w:t xml:space="preserve">acciones realizadas, </w:t>
      </w:r>
      <w:r w:rsidRPr="009D2C14">
        <w:rPr>
          <w:rFonts w:ascii="Abadi" w:hAnsi="Abadi" w:cs="*Arial-6771-Identity-H"/>
          <w:color w:val="14131A"/>
          <w:sz w:val="21"/>
          <w:szCs w:val="21"/>
        </w:rPr>
        <w:t xml:space="preserve">establecido para las actividades </w:t>
      </w:r>
      <w:r w:rsidRPr="009D2C14">
        <w:rPr>
          <w:rFonts w:ascii="Abadi" w:hAnsi="Abadi" w:cs="*Arial-Italic-6772-Identity-H"/>
          <w:i/>
          <w:iCs/>
          <w:color w:val="14131A"/>
          <w:sz w:val="21"/>
          <w:szCs w:val="21"/>
        </w:rPr>
        <w:t>C2.A3. Realización de las</w:t>
      </w:r>
      <w:r>
        <w:rPr>
          <w:rFonts w:ascii="Abadi" w:hAnsi="Abadi" w:cs="*Arial-Italic-6772-Identity-H"/>
          <w:i/>
          <w:iCs/>
          <w:color w:val="14131A"/>
          <w:sz w:val="21"/>
          <w:szCs w:val="21"/>
        </w:rPr>
        <w:t xml:space="preserve"> </w:t>
      </w:r>
      <w:r w:rsidRPr="009D2C14">
        <w:rPr>
          <w:rFonts w:ascii="Abadi" w:hAnsi="Abadi" w:cs="*Arial-Italic-6772-Identity-H"/>
          <w:i/>
          <w:iCs/>
          <w:color w:val="14131A"/>
          <w:sz w:val="21"/>
          <w:szCs w:val="21"/>
        </w:rPr>
        <w:t xml:space="preserve">acciones de mejora en atención de fallas en el servicio de iluminación </w:t>
      </w:r>
      <w:r w:rsidRPr="009D2C14">
        <w:rPr>
          <w:rFonts w:ascii="Abadi" w:hAnsi="Abadi" w:cs="*Calibri-6769-Identity-H"/>
          <w:color w:val="14131A"/>
          <w:sz w:val="21"/>
          <w:szCs w:val="21"/>
        </w:rPr>
        <w:t xml:space="preserve">y </w:t>
      </w:r>
      <w:r w:rsidRPr="009D2C14">
        <w:rPr>
          <w:rFonts w:ascii="Abadi" w:hAnsi="Abadi" w:cs="*Arial-Italic-6772-Identity-H"/>
          <w:i/>
          <w:iCs/>
          <w:color w:val="14131A"/>
          <w:sz w:val="21"/>
          <w:szCs w:val="21"/>
        </w:rPr>
        <w:t>C2.A4.</w:t>
      </w:r>
      <w:r>
        <w:rPr>
          <w:rFonts w:ascii="Abadi" w:hAnsi="Abadi" w:cs="*Arial-Italic-6772-Identity-H"/>
          <w:i/>
          <w:iCs/>
          <w:color w:val="14131A"/>
          <w:sz w:val="21"/>
          <w:szCs w:val="21"/>
        </w:rPr>
        <w:t xml:space="preserve"> </w:t>
      </w:r>
      <w:r w:rsidRPr="009D2C14">
        <w:rPr>
          <w:rFonts w:ascii="Abadi" w:hAnsi="Abadi" w:cs="*Arial-Italic-6772-Identity-H"/>
          <w:i/>
          <w:iCs/>
          <w:color w:val="14131A"/>
          <w:sz w:val="21"/>
          <w:szCs w:val="21"/>
        </w:rPr>
        <w:t xml:space="preserve">Ejecución del proceso de atención de fallas en el servicio de iluminación. </w:t>
      </w:r>
      <w:r w:rsidRPr="009D2C14">
        <w:rPr>
          <w:rFonts w:ascii="Abadi" w:hAnsi="Abadi" w:cs="*Calibri-6769-Identity-H"/>
          <w:color w:val="14131A"/>
          <w:sz w:val="21"/>
          <w:szCs w:val="21"/>
        </w:rPr>
        <w:t>No</w:t>
      </w:r>
      <w:r>
        <w:rPr>
          <w:rFonts w:ascii="Abadi" w:hAnsi="Abadi" w:cs="*Calibri-6769-Identity-H"/>
          <w:color w:val="14131A"/>
          <w:sz w:val="21"/>
          <w:szCs w:val="21"/>
        </w:rPr>
        <w:t xml:space="preserve"> </w:t>
      </w:r>
      <w:r w:rsidRPr="009D2C14">
        <w:rPr>
          <w:rFonts w:ascii="Abadi" w:hAnsi="Abadi" w:cs="*Arial-6771-Identity-H"/>
          <w:color w:val="14131A"/>
          <w:sz w:val="21"/>
          <w:szCs w:val="21"/>
        </w:rPr>
        <w:t>obstante, no fue posible verificar su resultado ni el cumplimiento de sus metas,</w:t>
      </w:r>
      <w:r>
        <w:rPr>
          <w:rFonts w:ascii="Abadi" w:hAnsi="Abadi" w:cs="*Arial-6771-Identity-H"/>
          <w:color w:val="14131A"/>
          <w:sz w:val="21"/>
          <w:szCs w:val="21"/>
        </w:rPr>
        <w:t xml:space="preserve"> </w:t>
      </w:r>
      <w:r w:rsidRPr="009D2C14">
        <w:rPr>
          <w:rFonts w:ascii="Abadi" w:hAnsi="Abadi" w:cs="*Arial-6771-Identity-H"/>
          <w:color w:val="14131A"/>
          <w:sz w:val="21"/>
          <w:szCs w:val="21"/>
        </w:rPr>
        <w:t>dado que el sujeto fiscalizado no contó con la información correspondiente.</w:t>
      </w:r>
    </w:p>
    <w:p w14:paraId="384BE146" w14:textId="77777777" w:rsidR="001E07D6" w:rsidRPr="009D2C14" w:rsidRDefault="001E07D6" w:rsidP="001E07D6">
      <w:pPr>
        <w:autoSpaceDE w:val="0"/>
        <w:autoSpaceDN w:val="0"/>
        <w:adjustRightInd w:val="0"/>
        <w:jc w:val="both"/>
        <w:rPr>
          <w:rFonts w:ascii="Abadi" w:hAnsi="Abadi" w:cs="*Arial-6771-Identity-H"/>
          <w:color w:val="14131A"/>
          <w:sz w:val="21"/>
          <w:szCs w:val="21"/>
        </w:rPr>
      </w:pPr>
    </w:p>
    <w:p w14:paraId="520E171D" w14:textId="77777777" w:rsidR="001E07D6" w:rsidRDefault="001E07D6" w:rsidP="001E07D6">
      <w:pPr>
        <w:autoSpaceDE w:val="0"/>
        <w:autoSpaceDN w:val="0"/>
        <w:adjustRightInd w:val="0"/>
        <w:ind w:firstLine="708"/>
        <w:jc w:val="both"/>
        <w:rPr>
          <w:rFonts w:ascii="Abadi" w:hAnsi="Abadi" w:cs="*Arial-5755-Identity-H"/>
          <w:color w:val="14131B"/>
          <w:sz w:val="21"/>
          <w:szCs w:val="21"/>
        </w:rPr>
      </w:pPr>
      <w:r w:rsidRPr="009D2C14">
        <w:rPr>
          <w:rFonts w:ascii="Abadi" w:hAnsi="Abadi" w:cs="*Arial-6771-Identity-H"/>
          <w:color w:val="14131B"/>
          <w:sz w:val="21"/>
          <w:szCs w:val="21"/>
        </w:rPr>
        <w:t>En relación a la cobertura del servicio de alumbrado público, la ley</w:t>
      </w:r>
      <w:r>
        <w:rPr>
          <w:rFonts w:ascii="Abadi" w:hAnsi="Abadi" w:cs="*Arial-6771-Identity-H"/>
          <w:color w:val="14131B"/>
          <w:sz w:val="21"/>
          <w:szCs w:val="21"/>
        </w:rPr>
        <w:t xml:space="preserve"> </w:t>
      </w:r>
      <w:r w:rsidRPr="009D2C14">
        <w:rPr>
          <w:rFonts w:ascii="Abadi" w:hAnsi="Abadi" w:cs="*Arial-6771-Identity-H"/>
          <w:color w:val="14131B"/>
          <w:sz w:val="21"/>
          <w:szCs w:val="21"/>
        </w:rPr>
        <w:t>establece la obligación a los ayuntamientos de prestar los servicios en igualdad de</w:t>
      </w:r>
      <w:r>
        <w:rPr>
          <w:rFonts w:ascii="Abadi" w:hAnsi="Abadi" w:cs="*Arial-6771-Identity-H"/>
          <w:color w:val="14131B"/>
          <w:sz w:val="21"/>
          <w:szCs w:val="21"/>
        </w:rPr>
        <w:t xml:space="preserve"> </w:t>
      </w:r>
      <w:r w:rsidRPr="009D2C14">
        <w:rPr>
          <w:rFonts w:ascii="Abadi" w:hAnsi="Abadi" w:cs="*Arial-6771-Identity-H"/>
          <w:color w:val="14131B"/>
          <w:sz w:val="21"/>
          <w:szCs w:val="21"/>
        </w:rPr>
        <w:t>condiciones a todos los habitantes del Municipio de manera permanente, general,</w:t>
      </w:r>
      <w:r>
        <w:rPr>
          <w:rFonts w:ascii="Abadi" w:hAnsi="Abadi" w:cs="*Arial-6771-Identity-H"/>
          <w:color w:val="14131B"/>
          <w:sz w:val="21"/>
          <w:szCs w:val="21"/>
        </w:rPr>
        <w:t xml:space="preserve"> </w:t>
      </w:r>
      <w:r w:rsidRPr="009D2C14">
        <w:rPr>
          <w:rFonts w:ascii="Abadi" w:hAnsi="Abadi" w:cs="*Arial-6771-Identity-H"/>
          <w:color w:val="14131B"/>
          <w:sz w:val="21"/>
          <w:szCs w:val="21"/>
        </w:rPr>
        <w:t>uniforme y continua. Al respecto, el sujeto fiscalizado no determinó para el</w:t>
      </w:r>
      <w:r>
        <w:rPr>
          <w:rFonts w:ascii="Abadi" w:hAnsi="Abadi" w:cs="*Arial-6771-Identity-H"/>
          <w:color w:val="14131B"/>
          <w:sz w:val="21"/>
          <w:szCs w:val="21"/>
        </w:rPr>
        <w:t xml:space="preserve"> </w:t>
      </w:r>
      <w:r w:rsidRPr="009D2C14">
        <w:rPr>
          <w:rFonts w:ascii="Abadi" w:hAnsi="Abadi" w:cs="*Arial-6771-Identity-H"/>
          <w:color w:val="14131B"/>
          <w:sz w:val="21"/>
          <w:szCs w:val="21"/>
        </w:rPr>
        <w:t>ejercicio 2020, indicadores que permitieran conocer la cobertura del servicio de</w:t>
      </w:r>
      <w:r>
        <w:rPr>
          <w:rFonts w:ascii="Abadi" w:hAnsi="Abadi" w:cs="*Arial-6771-Identity-H"/>
          <w:color w:val="14131B"/>
          <w:sz w:val="21"/>
          <w:szCs w:val="21"/>
        </w:rPr>
        <w:t xml:space="preserve"> </w:t>
      </w:r>
      <w:r w:rsidRPr="009D2C14">
        <w:rPr>
          <w:rFonts w:ascii="Abadi" w:hAnsi="Abadi" w:cs="*Arial-6771-Identity-H"/>
          <w:color w:val="14131B"/>
          <w:sz w:val="21"/>
          <w:szCs w:val="21"/>
        </w:rPr>
        <w:t>alumbrado público en el Municipio. En cuanto a los mecanismos para medir la</w:t>
      </w:r>
      <w:r>
        <w:rPr>
          <w:rFonts w:ascii="Abadi" w:hAnsi="Abadi" w:cs="*Arial-6771-Identity-H"/>
          <w:color w:val="14131B"/>
          <w:sz w:val="21"/>
          <w:szCs w:val="21"/>
        </w:rPr>
        <w:t xml:space="preserve"> </w:t>
      </w:r>
      <w:r w:rsidRPr="009D2C14">
        <w:rPr>
          <w:rFonts w:ascii="Abadi" w:hAnsi="Abadi" w:cs="*Arial-6771-Identity-H"/>
          <w:color w:val="14131B"/>
          <w:sz w:val="21"/>
          <w:szCs w:val="21"/>
        </w:rPr>
        <w:t>satisfacción de los usuarios respecto al servicio de alumbrado público, el sujeto</w:t>
      </w:r>
      <w:r>
        <w:rPr>
          <w:rFonts w:ascii="Abadi" w:hAnsi="Abadi" w:cs="*Arial-6771-Identity-H"/>
          <w:color w:val="14131B"/>
          <w:sz w:val="21"/>
          <w:szCs w:val="21"/>
        </w:rPr>
        <w:t xml:space="preserve"> </w:t>
      </w:r>
      <w:r w:rsidRPr="009D2C14">
        <w:rPr>
          <w:rFonts w:ascii="Abadi" w:hAnsi="Abadi" w:cs="*Arial-6771-Identity-H"/>
          <w:color w:val="14131B"/>
          <w:sz w:val="21"/>
          <w:szCs w:val="21"/>
        </w:rPr>
        <w:t>fiscalizado no contó con una metodología para evaluarla, lo que no permitió</w:t>
      </w:r>
      <w:r>
        <w:rPr>
          <w:rFonts w:ascii="Abadi" w:hAnsi="Abadi" w:cs="*Arial-6771-Identity-H"/>
          <w:color w:val="14131B"/>
          <w:sz w:val="21"/>
          <w:szCs w:val="21"/>
        </w:rPr>
        <w:t xml:space="preserve"> </w:t>
      </w:r>
      <w:r w:rsidRPr="009D2C14">
        <w:rPr>
          <w:rFonts w:ascii="Abadi" w:hAnsi="Abadi" w:cs="*Arial-5755-Identity-H"/>
          <w:color w:val="14131B"/>
          <w:sz w:val="21"/>
          <w:szCs w:val="21"/>
        </w:rPr>
        <w:t>conocer el grado en que el servicio contribuye a mejorar las condiciones de su</w:t>
      </w:r>
      <w:r>
        <w:rPr>
          <w:rFonts w:ascii="Abadi" w:hAnsi="Abadi" w:cs="*Arial-5755-Identity-H"/>
          <w:color w:val="14131B"/>
          <w:sz w:val="21"/>
          <w:szCs w:val="21"/>
        </w:rPr>
        <w:t xml:space="preserve"> </w:t>
      </w:r>
      <w:r w:rsidRPr="009D2C14">
        <w:rPr>
          <w:rFonts w:ascii="Abadi" w:hAnsi="Abadi" w:cs="*Arial-5755-Identity-H"/>
          <w:color w:val="14131B"/>
          <w:sz w:val="21"/>
          <w:szCs w:val="21"/>
        </w:rPr>
        <w:t>ciudadanía, ya que el beneficiario es el mejor referente para conocer cómo• se</w:t>
      </w:r>
      <w:r>
        <w:rPr>
          <w:rFonts w:ascii="Abadi" w:hAnsi="Abadi" w:cs="*Arial-5755-Identity-H"/>
          <w:color w:val="14131B"/>
          <w:sz w:val="21"/>
          <w:szCs w:val="21"/>
        </w:rPr>
        <w:t xml:space="preserve"> </w:t>
      </w:r>
      <w:r w:rsidRPr="009D2C14">
        <w:rPr>
          <w:rFonts w:ascii="Abadi" w:hAnsi="Abadi" w:cs="*Arial-5755-Identity-H"/>
          <w:color w:val="14131B"/>
          <w:sz w:val="21"/>
          <w:szCs w:val="21"/>
        </w:rPr>
        <w:t>otorga el servicio de alumbrado público.</w:t>
      </w:r>
    </w:p>
    <w:p w14:paraId="0199A7D4" w14:textId="77777777" w:rsidR="001E07D6" w:rsidRPr="009D2C14" w:rsidRDefault="001E07D6" w:rsidP="001E07D6">
      <w:pPr>
        <w:autoSpaceDE w:val="0"/>
        <w:autoSpaceDN w:val="0"/>
        <w:adjustRightInd w:val="0"/>
        <w:jc w:val="both"/>
        <w:rPr>
          <w:rFonts w:ascii="Abadi" w:hAnsi="Abadi" w:cs="*Arial-5755-Identity-H"/>
          <w:color w:val="14131B"/>
          <w:sz w:val="21"/>
          <w:szCs w:val="21"/>
        </w:rPr>
      </w:pPr>
    </w:p>
    <w:p w14:paraId="7EC81FE4" w14:textId="77777777" w:rsidR="001E07D6" w:rsidRPr="009D2C14" w:rsidRDefault="001E07D6" w:rsidP="001E07D6">
      <w:pPr>
        <w:autoSpaceDE w:val="0"/>
        <w:autoSpaceDN w:val="0"/>
        <w:adjustRightInd w:val="0"/>
        <w:ind w:firstLine="708"/>
        <w:jc w:val="both"/>
        <w:rPr>
          <w:rFonts w:ascii="Abadi" w:hAnsi="Abadi" w:cs="*Arial-5755-Identity-H"/>
          <w:color w:val="14131B"/>
          <w:sz w:val="21"/>
          <w:szCs w:val="21"/>
        </w:rPr>
      </w:pPr>
      <w:r w:rsidRPr="009D2C14">
        <w:rPr>
          <w:rFonts w:ascii="Abadi" w:hAnsi="Abadi" w:cs="*Arial-5755-Identity-H"/>
          <w:color w:val="14131B"/>
          <w:sz w:val="21"/>
          <w:szCs w:val="21"/>
        </w:rPr>
        <w:t>En el caso de la función de seguimiento, la revisión se enfocó en constatar</w:t>
      </w:r>
      <w:r>
        <w:rPr>
          <w:rFonts w:ascii="Abadi" w:hAnsi="Abadi" w:cs="*Arial-5755-Identity-H"/>
          <w:color w:val="14131B"/>
          <w:sz w:val="21"/>
          <w:szCs w:val="21"/>
        </w:rPr>
        <w:t xml:space="preserve"> </w:t>
      </w:r>
      <w:r w:rsidRPr="009D2C14">
        <w:rPr>
          <w:rFonts w:ascii="Abadi" w:hAnsi="Abadi" w:cs="*Arial-5755-Identity-H"/>
          <w:color w:val="14131B"/>
          <w:sz w:val="21"/>
          <w:szCs w:val="21"/>
        </w:rPr>
        <w:t>si el sujeto fiscalizado contó con mecanismos que permitieran medir el desempeño</w:t>
      </w:r>
      <w:r>
        <w:rPr>
          <w:rFonts w:ascii="Abadi" w:hAnsi="Abadi" w:cs="*Arial-5755-Identity-H"/>
          <w:color w:val="14131B"/>
          <w:sz w:val="21"/>
          <w:szCs w:val="21"/>
        </w:rPr>
        <w:t xml:space="preserve"> </w:t>
      </w:r>
      <w:r w:rsidRPr="009D2C14">
        <w:rPr>
          <w:rFonts w:ascii="Abadi" w:hAnsi="Abadi" w:cs="*Arial-5755-Identity-H"/>
          <w:color w:val="14131B"/>
          <w:sz w:val="21"/>
          <w:szCs w:val="21"/>
        </w:rPr>
        <w:t>y los resultados del servicio de alumbrado público, obteniendo que diseñó e</w:t>
      </w:r>
      <w:r>
        <w:rPr>
          <w:rFonts w:ascii="Abadi" w:hAnsi="Abadi" w:cs="*Arial-5755-Identity-H"/>
          <w:color w:val="14131B"/>
          <w:sz w:val="21"/>
          <w:szCs w:val="21"/>
        </w:rPr>
        <w:t xml:space="preserve"> </w:t>
      </w:r>
      <w:r w:rsidRPr="009D2C14">
        <w:rPr>
          <w:rFonts w:ascii="Abadi" w:hAnsi="Abadi" w:cs="*Arial-5755-Identity-H"/>
          <w:color w:val="14131B"/>
          <w:sz w:val="21"/>
          <w:szCs w:val="21"/>
        </w:rPr>
        <w:t>implementó una Matriz de Indicadores para Resultados para el Programa</w:t>
      </w:r>
      <w:r>
        <w:rPr>
          <w:rFonts w:ascii="Abadi" w:hAnsi="Abadi" w:cs="*Arial-5755-Identity-H"/>
          <w:color w:val="14131B"/>
          <w:sz w:val="21"/>
          <w:szCs w:val="21"/>
        </w:rPr>
        <w:t xml:space="preserve"> </w:t>
      </w:r>
      <w:r w:rsidRPr="009D2C14">
        <w:rPr>
          <w:rFonts w:ascii="Abadi" w:hAnsi="Abadi" w:cs="*Arial-5755-Identity-H"/>
          <w:color w:val="14131B"/>
          <w:sz w:val="21"/>
          <w:szCs w:val="21"/>
        </w:rPr>
        <w:t xml:space="preserve">Presupuestario </w:t>
      </w:r>
      <w:r w:rsidRPr="009D2C14">
        <w:rPr>
          <w:rFonts w:ascii="Abadi" w:hAnsi="Abadi" w:cs="*Arial-Italic-5757-Identity-H"/>
          <w:i/>
          <w:iCs/>
          <w:color w:val="14131B"/>
          <w:sz w:val="21"/>
          <w:szCs w:val="21"/>
        </w:rPr>
        <w:t xml:space="preserve">E00B Servicios Públicos, </w:t>
      </w:r>
      <w:r w:rsidRPr="009D2C14">
        <w:rPr>
          <w:rFonts w:ascii="Abadi" w:hAnsi="Abadi" w:cs="*Arial-5755-Identity-H"/>
          <w:color w:val="14131B"/>
          <w:sz w:val="21"/>
          <w:szCs w:val="21"/>
        </w:rPr>
        <w:t>cuya unidad responsable es la Dirección</w:t>
      </w:r>
      <w:r>
        <w:rPr>
          <w:rFonts w:ascii="Abadi" w:hAnsi="Abadi" w:cs="*Arial-5755-Identity-H"/>
          <w:color w:val="14131B"/>
          <w:sz w:val="21"/>
          <w:szCs w:val="21"/>
        </w:rPr>
        <w:t xml:space="preserve"> </w:t>
      </w:r>
      <w:r w:rsidRPr="009D2C14">
        <w:rPr>
          <w:rFonts w:ascii="Abadi" w:hAnsi="Abadi" w:cs="*Arial-5755-Identity-H"/>
          <w:color w:val="14131B"/>
          <w:sz w:val="21"/>
          <w:szCs w:val="21"/>
        </w:rPr>
        <w:t>General de Servicios Públicos Municipales. De su análisis se observó que dicha</w:t>
      </w:r>
      <w:r>
        <w:rPr>
          <w:rFonts w:ascii="Abadi" w:hAnsi="Abadi" w:cs="*Arial-5755-Identity-H"/>
          <w:color w:val="14131B"/>
          <w:sz w:val="21"/>
          <w:szCs w:val="21"/>
        </w:rPr>
        <w:t xml:space="preserve"> </w:t>
      </w:r>
      <w:r w:rsidRPr="009D2C14">
        <w:rPr>
          <w:rFonts w:ascii="Abadi" w:hAnsi="Abadi" w:cs="*Arial-5755-Identity-H"/>
          <w:color w:val="14131B"/>
          <w:sz w:val="21"/>
          <w:szCs w:val="21"/>
        </w:rPr>
        <w:t>matriz corresponde a la totalidad de los servicios públicos municipales a cargo de</w:t>
      </w:r>
      <w:r>
        <w:rPr>
          <w:rFonts w:ascii="Abadi" w:hAnsi="Abadi" w:cs="*Arial-5755-Identity-H"/>
          <w:color w:val="14131B"/>
          <w:sz w:val="21"/>
          <w:szCs w:val="21"/>
        </w:rPr>
        <w:t xml:space="preserve"> </w:t>
      </w:r>
      <w:r w:rsidRPr="009D2C14">
        <w:rPr>
          <w:rFonts w:ascii="Abadi" w:hAnsi="Abadi" w:cs="*Arial-5755-Identity-H"/>
          <w:color w:val="14131B"/>
          <w:sz w:val="21"/>
          <w:szCs w:val="21"/>
        </w:rPr>
        <w:t>la citada Dirección y cuyo Componente 2 corresponde al servicio del alumbrado</w:t>
      </w:r>
      <w:r>
        <w:rPr>
          <w:rFonts w:ascii="Abadi" w:hAnsi="Abadi" w:cs="*Arial-5755-Identity-H"/>
          <w:color w:val="14131B"/>
          <w:sz w:val="21"/>
          <w:szCs w:val="21"/>
        </w:rPr>
        <w:t xml:space="preserve"> </w:t>
      </w:r>
      <w:r w:rsidRPr="009D2C14">
        <w:rPr>
          <w:rFonts w:ascii="Abadi" w:hAnsi="Abadi" w:cs="*Arial-5755-Identity-H"/>
          <w:color w:val="14131B"/>
          <w:sz w:val="21"/>
          <w:szCs w:val="21"/>
        </w:rPr>
        <w:t>público. En tal sentido, las actividades de dicho componente se centran en mejorar</w:t>
      </w:r>
      <w:r>
        <w:rPr>
          <w:rFonts w:ascii="Abadi" w:hAnsi="Abadi" w:cs="*Arial-5755-Identity-H"/>
          <w:color w:val="14131B"/>
          <w:sz w:val="21"/>
          <w:szCs w:val="21"/>
        </w:rPr>
        <w:t xml:space="preserve"> </w:t>
      </w:r>
      <w:r w:rsidRPr="009D2C14">
        <w:rPr>
          <w:rFonts w:ascii="Abadi" w:hAnsi="Abadi" w:cs="*Arial-5755-Identity-H"/>
          <w:color w:val="14131B"/>
          <w:sz w:val="21"/>
          <w:szCs w:val="21"/>
        </w:rPr>
        <w:t>el proceso de atención a las fallas en el alumbrado y no considera otros temas que</w:t>
      </w:r>
      <w:r>
        <w:rPr>
          <w:rFonts w:ascii="Abadi" w:hAnsi="Abadi" w:cs="*Arial-5755-Identity-H"/>
          <w:color w:val="14131B"/>
          <w:sz w:val="21"/>
          <w:szCs w:val="21"/>
        </w:rPr>
        <w:t xml:space="preserve"> </w:t>
      </w:r>
      <w:r w:rsidRPr="009D2C14">
        <w:rPr>
          <w:rFonts w:ascii="Abadi" w:hAnsi="Abadi" w:cs="*Arial-5755-Identity-H"/>
          <w:color w:val="14131B"/>
          <w:sz w:val="21"/>
          <w:szCs w:val="21"/>
        </w:rPr>
        <w:t>son relevantes, como la ampliación de la cobertura, la eficiencia energética y el</w:t>
      </w:r>
      <w:r>
        <w:rPr>
          <w:rFonts w:ascii="Abadi" w:hAnsi="Abadi" w:cs="*Arial-5755-Identity-H"/>
          <w:color w:val="14131B"/>
          <w:sz w:val="21"/>
          <w:szCs w:val="21"/>
        </w:rPr>
        <w:t xml:space="preserve"> </w:t>
      </w:r>
      <w:r w:rsidRPr="009D2C14">
        <w:rPr>
          <w:rFonts w:ascii="Abadi" w:hAnsi="Abadi" w:cs="*Arial-5755-Identity-H"/>
          <w:color w:val="14131B"/>
          <w:sz w:val="21"/>
          <w:szCs w:val="21"/>
        </w:rPr>
        <w:t>ahorro en el consumo de energía. Además de lo anterior, la Matriz de Indicadores</w:t>
      </w:r>
    </w:p>
    <w:p w14:paraId="5E7C70A7" w14:textId="77777777" w:rsidR="001E07D6" w:rsidRDefault="001E07D6" w:rsidP="001E07D6">
      <w:pPr>
        <w:autoSpaceDE w:val="0"/>
        <w:autoSpaceDN w:val="0"/>
        <w:adjustRightInd w:val="0"/>
        <w:jc w:val="both"/>
        <w:rPr>
          <w:rFonts w:ascii="Abadi" w:hAnsi="Abadi" w:cs="*Arial-5755-Identity-H"/>
          <w:color w:val="14131B"/>
          <w:sz w:val="21"/>
          <w:szCs w:val="21"/>
        </w:rPr>
      </w:pPr>
      <w:r w:rsidRPr="009D2C14">
        <w:rPr>
          <w:rFonts w:ascii="Abadi" w:hAnsi="Abadi" w:cs="*Arial-5755-Identity-H"/>
          <w:color w:val="14131B"/>
          <w:sz w:val="21"/>
          <w:szCs w:val="21"/>
        </w:rPr>
        <w:t>para Resultados presentó áreas de oportunidad en el planteamiento de sus</w:t>
      </w:r>
      <w:r>
        <w:rPr>
          <w:rFonts w:ascii="Abadi" w:hAnsi="Abadi" w:cs="*Arial-5755-Identity-H"/>
          <w:color w:val="14131B"/>
          <w:sz w:val="21"/>
          <w:szCs w:val="21"/>
        </w:rPr>
        <w:t xml:space="preserve"> </w:t>
      </w:r>
      <w:r w:rsidRPr="009D2C14">
        <w:rPr>
          <w:rFonts w:ascii="Abadi" w:hAnsi="Abadi" w:cs="*Arial-5755-Identity-H"/>
          <w:color w:val="14131B"/>
          <w:sz w:val="21"/>
          <w:szCs w:val="21"/>
        </w:rPr>
        <w:t>indicadores, derivado de que definió un solo indicador para las 5 actividades que</w:t>
      </w:r>
      <w:r>
        <w:rPr>
          <w:rFonts w:ascii="Abadi" w:hAnsi="Abadi" w:cs="*Arial-5755-Identity-H"/>
          <w:color w:val="14131B"/>
          <w:sz w:val="21"/>
          <w:szCs w:val="21"/>
        </w:rPr>
        <w:t xml:space="preserve"> </w:t>
      </w:r>
      <w:r w:rsidRPr="009D2C14">
        <w:rPr>
          <w:rFonts w:ascii="Abadi" w:hAnsi="Abadi" w:cs="*Arial-5755-Identity-H"/>
          <w:color w:val="14131B"/>
          <w:sz w:val="21"/>
          <w:szCs w:val="21"/>
        </w:rPr>
        <w:t>integran el citado Componente.</w:t>
      </w:r>
    </w:p>
    <w:p w14:paraId="66FAA197" w14:textId="77777777" w:rsidR="001E07D6" w:rsidRPr="009D2C14" w:rsidRDefault="001E07D6" w:rsidP="001E07D6">
      <w:pPr>
        <w:autoSpaceDE w:val="0"/>
        <w:autoSpaceDN w:val="0"/>
        <w:adjustRightInd w:val="0"/>
        <w:jc w:val="both"/>
        <w:rPr>
          <w:rFonts w:ascii="Abadi" w:hAnsi="Abadi" w:cs="*Arial-5755-Identity-H"/>
          <w:color w:val="14131B"/>
          <w:sz w:val="21"/>
          <w:szCs w:val="21"/>
        </w:rPr>
      </w:pPr>
    </w:p>
    <w:p w14:paraId="3815FF6A" w14:textId="77777777" w:rsidR="001E07D6" w:rsidRDefault="001E07D6" w:rsidP="001E07D6">
      <w:pPr>
        <w:autoSpaceDE w:val="0"/>
        <w:autoSpaceDN w:val="0"/>
        <w:adjustRightInd w:val="0"/>
        <w:ind w:firstLine="708"/>
        <w:jc w:val="both"/>
        <w:rPr>
          <w:rFonts w:ascii="Abadi" w:hAnsi="Abadi" w:cs="*Arial-5755-Identity-H"/>
          <w:color w:val="13131A"/>
          <w:sz w:val="21"/>
          <w:szCs w:val="21"/>
        </w:rPr>
      </w:pPr>
      <w:r w:rsidRPr="009D2C14">
        <w:rPr>
          <w:rFonts w:ascii="Abadi" w:hAnsi="Abadi" w:cs="*Arial-5755-Identity-H"/>
          <w:color w:val="13131A"/>
          <w:sz w:val="21"/>
          <w:szCs w:val="21"/>
        </w:rPr>
        <w:t>Derivado de las oportunidades referidas, se reconoce que la administración</w:t>
      </w:r>
      <w:r>
        <w:rPr>
          <w:rFonts w:ascii="Abadi" w:hAnsi="Abadi" w:cs="*Arial-5755-Identity-H"/>
          <w:color w:val="13131A"/>
          <w:sz w:val="21"/>
          <w:szCs w:val="21"/>
        </w:rPr>
        <w:t xml:space="preserve"> </w:t>
      </w:r>
      <w:r w:rsidRPr="009D2C14">
        <w:rPr>
          <w:rFonts w:ascii="Abadi" w:hAnsi="Abadi" w:cs="*Arial-5755-Identity-H"/>
          <w:color w:val="13131A"/>
          <w:sz w:val="21"/>
          <w:szCs w:val="21"/>
        </w:rPr>
        <w:t>pública municipal de Huanímaro, Gto., muestra una postura de apertura al cambio</w:t>
      </w:r>
      <w:r>
        <w:rPr>
          <w:rFonts w:ascii="Abadi" w:hAnsi="Abadi" w:cs="*Arial-5755-Identity-H"/>
          <w:color w:val="13131A"/>
          <w:sz w:val="21"/>
          <w:szCs w:val="21"/>
        </w:rPr>
        <w:t xml:space="preserve"> </w:t>
      </w:r>
      <w:r w:rsidRPr="009D2C14">
        <w:rPr>
          <w:rFonts w:ascii="Abadi" w:hAnsi="Abadi" w:cs="*Arial-5755-Identity-H"/>
          <w:color w:val="13131A"/>
          <w:sz w:val="21"/>
          <w:szCs w:val="21"/>
        </w:rPr>
        <w:t>con la intención de mejorar la planificación, operación y control de la prestación del</w:t>
      </w:r>
      <w:r>
        <w:rPr>
          <w:rFonts w:ascii="Abadi" w:hAnsi="Abadi" w:cs="*Arial-5755-Identity-H"/>
          <w:color w:val="13131A"/>
          <w:sz w:val="21"/>
          <w:szCs w:val="21"/>
        </w:rPr>
        <w:t xml:space="preserve"> </w:t>
      </w:r>
      <w:r w:rsidRPr="009D2C14">
        <w:rPr>
          <w:rFonts w:ascii="Abadi" w:hAnsi="Abadi" w:cs="*Arial-5755-Identity-H"/>
          <w:color w:val="13131A"/>
          <w:sz w:val="21"/>
          <w:szCs w:val="21"/>
        </w:rPr>
        <w:t>servicio de alumbrado público. Lo anterior, al presentar un plan de acción para</w:t>
      </w:r>
      <w:r>
        <w:rPr>
          <w:rFonts w:ascii="Abadi" w:hAnsi="Abadi" w:cs="*Arial-5755-Identity-H"/>
          <w:color w:val="13131A"/>
          <w:sz w:val="21"/>
          <w:szCs w:val="21"/>
        </w:rPr>
        <w:t xml:space="preserve"> </w:t>
      </w:r>
      <w:r w:rsidRPr="009D2C14">
        <w:rPr>
          <w:rFonts w:ascii="Abadi" w:hAnsi="Abadi" w:cs="*Arial-5755-Identity-H"/>
          <w:color w:val="13131A"/>
          <w:sz w:val="21"/>
          <w:szCs w:val="21"/>
        </w:rPr>
        <w:t>incidir en la mejora de las brechas identificadas.</w:t>
      </w:r>
    </w:p>
    <w:p w14:paraId="3EF44C04" w14:textId="77777777" w:rsidR="001E07D6" w:rsidRPr="009D2C14" w:rsidRDefault="001E07D6" w:rsidP="001E07D6">
      <w:pPr>
        <w:autoSpaceDE w:val="0"/>
        <w:autoSpaceDN w:val="0"/>
        <w:adjustRightInd w:val="0"/>
        <w:jc w:val="both"/>
        <w:rPr>
          <w:rFonts w:ascii="Abadi" w:hAnsi="Abadi" w:cs="*Arial-5755-Identity-H"/>
          <w:color w:val="13131A"/>
          <w:sz w:val="21"/>
          <w:szCs w:val="21"/>
        </w:rPr>
      </w:pPr>
    </w:p>
    <w:p w14:paraId="3D150C5F" w14:textId="77777777" w:rsidR="001E07D6" w:rsidRPr="009D2C14" w:rsidRDefault="001E07D6" w:rsidP="001E07D6">
      <w:pPr>
        <w:autoSpaceDE w:val="0"/>
        <w:autoSpaceDN w:val="0"/>
        <w:adjustRightInd w:val="0"/>
        <w:ind w:firstLine="708"/>
        <w:jc w:val="both"/>
        <w:rPr>
          <w:rFonts w:ascii="Abadi" w:hAnsi="Abadi" w:cs="*Arial-5755-Identity-H"/>
          <w:color w:val="14131B"/>
          <w:sz w:val="21"/>
          <w:szCs w:val="21"/>
        </w:rPr>
      </w:pPr>
      <w:r w:rsidRPr="009D2C14">
        <w:rPr>
          <w:rFonts w:ascii="Abadi" w:hAnsi="Abadi" w:cs="*Arial-5755-Identity-H"/>
          <w:color w:val="14131B"/>
          <w:sz w:val="21"/>
          <w:szCs w:val="21"/>
        </w:rPr>
        <w:t>El seguimiento de dichos compromisos se realizará por la Auditoría</w:t>
      </w:r>
      <w:r>
        <w:rPr>
          <w:rFonts w:ascii="Abadi" w:hAnsi="Abadi" w:cs="*Arial-5755-Identity-H"/>
          <w:color w:val="14131B"/>
          <w:sz w:val="21"/>
          <w:szCs w:val="21"/>
        </w:rPr>
        <w:t xml:space="preserve"> </w:t>
      </w:r>
      <w:r w:rsidRPr="009D2C14">
        <w:rPr>
          <w:rFonts w:ascii="Abadi" w:hAnsi="Abadi" w:cs="*Arial-5755-Identity-H"/>
          <w:color w:val="14131B"/>
          <w:sz w:val="21"/>
          <w:szCs w:val="21"/>
        </w:rPr>
        <w:t>Superior del Estado, respecto de las recomendaciones donde se valora que el</w:t>
      </w:r>
      <w:r>
        <w:rPr>
          <w:rFonts w:ascii="Abadi" w:hAnsi="Abadi" w:cs="*Arial-5755-Identity-H"/>
          <w:color w:val="14131B"/>
          <w:sz w:val="21"/>
          <w:szCs w:val="21"/>
        </w:rPr>
        <w:t xml:space="preserve"> </w:t>
      </w:r>
      <w:r w:rsidRPr="009D2C14">
        <w:rPr>
          <w:rFonts w:ascii="Abadi" w:hAnsi="Abadi" w:cs="*Arial-5755-Identity-H"/>
          <w:color w:val="14131B"/>
          <w:sz w:val="21"/>
          <w:szCs w:val="21"/>
        </w:rPr>
        <w:t>sujeto fiscalizado realizará acciones de mejora en un plazo determinado hasta su</w:t>
      </w:r>
      <w:r>
        <w:rPr>
          <w:rFonts w:ascii="Abadi" w:hAnsi="Abadi" w:cs="*Arial-5755-Identity-H"/>
          <w:color w:val="14131B"/>
          <w:sz w:val="21"/>
          <w:szCs w:val="21"/>
        </w:rPr>
        <w:t xml:space="preserve"> </w:t>
      </w:r>
      <w:r w:rsidRPr="009D2C14">
        <w:rPr>
          <w:rFonts w:ascii="Abadi" w:hAnsi="Abadi" w:cs="*Arial-5755-Identity-H"/>
          <w:color w:val="14131B"/>
          <w:sz w:val="21"/>
          <w:szCs w:val="21"/>
        </w:rPr>
        <w:t>total implementación, o en su caso, aquellas valoradas como persiste, acorde a la</w:t>
      </w:r>
      <w:r>
        <w:rPr>
          <w:rFonts w:ascii="Abadi" w:hAnsi="Abadi" w:cs="*Arial-5755-Identity-H"/>
          <w:color w:val="14131B"/>
          <w:sz w:val="21"/>
          <w:szCs w:val="21"/>
        </w:rPr>
        <w:t xml:space="preserve"> </w:t>
      </w:r>
      <w:r w:rsidRPr="009D2C14">
        <w:rPr>
          <w:rFonts w:ascii="Abadi" w:hAnsi="Abadi" w:cs="*Arial-5755-Identity-H"/>
          <w:color w:val="14131B"/>
          <w:sz w:val="21"/>
          <w:szCs w:val="21"/>
        </w:rPr>
        <w:t>normativa aplicable.</w:t>
      </w:r>
    </w:p>
    <w:p w14:paraId="6B8866F6" w14:textId="77777777" w:rsidR="001E07D6" w:rsidRDefault="001E07D6" w:rsidP="001E07D6">
      <w:pPr>
        <w:autoSpaceDE w:val="0"/>
        <w:autoSpaceDN w:val="0"/>
        <w:adjustRightInd w:val="0"/>
        <w:jc w:val="both"/>
        <w:rPr>
          <w:rFonts w:ascii="Abadi" w:hAnsi="Abadi" w:cs="*Arial-Bold-5756-Identity-H"/>
          <w:b/>
          <w:bCs/>
          <w:color w:val="14131E"/>
          <w:sz w:val="21"/>
          <w:szCs w:val="21"/>
        </w:rPr>
      </w:pPr>
    </w:p>
    <w:p w14:paraId="6AE2CC06" w14:textId="77777777" w:rsidR="001E07D6" w:rsidRDefault="001E07D6" w:rsidP="001E07D6">
      <w:pPr>
        <w:autoSpaceDE w:val="0"/>
        <w:autoSpaceDN w:val="0"/>
        <w:adjustRightInd w:val="0"/>
        <w:ind w:firstLine="708"/>
        <w:jc w:val="both"/>
        <w:rPr>
          <w:rFonts w:ascii="Abadi" w:hAnsi="Abadi" w:cs="*Arial-Bold-5756-Identity-H"/>
          <w:b/>
          <w:bCs/>
          <w:color w:val="14131E"/>
          <w:sz w:val="21"/>
          <w:szCs w:val="21"/>
        </w:rPr>
      </w:pPr>
      <w:r w:rsidRPr="009D2C14">
        <w:rPr>
          <w:rFonts w:ascii="Abadi" w:hAnsi="Abadi" w:cs="*Arial-Bold-5756-Identity-H"/>
          <w:b/>
          <w:bCs/>
          <w:color w:val="14131E"/>
          <w:sz w:val="21"/>
          <w:szCs w:val="21"/>
        </w:rPr>
        <w:t>V. Conclusiones:</w:t>
      </w:r>
    </w:p>
    <w:p w14:paraId="19B9E84F" w14:textId="77777777" w:rsidR="001E07D6" w:rsidRPr="009D2C14" w:rsidRDefault="001E07D6" w:rsidP="001E07D6">
      <w:pPr>
        <w:autoSpaceDE w:val="0"/>
        <w:autoSpaceDN w:val="0"/>
        <w:adjustRightInd w:val="0"/>
        <w:jc w:val="both"/>
        <w:rPr>
          <w:rFonts w:ascii="Abadi" w:hAnsi="Abadi" w:cs="*Arial-Bold-5756-Identity-H"/>
          <w:b/>
          <w:bCs/>
          <w:color w:val="14131E"/>
          <w:sz w:val="21"/>
          <w:szCs w:val="21"/>
        </w:rPr>
      </w:pPr>
    </w:p>
    <w:p w14:paraId="0C11E85B" w14:textId="77777777" w:rsidR="001E07D6" w:rsidRDefault="001E07D6" w:rsidP="001E07D6">
      <w:pPr>
        <w:autoSpaceDE w:val="0"/>
        <w:autoSpaceDN w:val="0"/>
        <w:adjustRightInd w:val="0"/>
        <w:ind w:firstLine="708"/>
        <w:jc w:val="both"/>
        <w:rPr>
          <w:rFonts w:ascii="Abadi" w:hAnsi="Abadi" w:cs="*Arial-5755-Identity-H"/>
          <w:color w:val="14131C"/>
          <w:sz w:val="21"/>
          <w:szCs w:val="21"/>
        </w:rPr>
      </w:pPr>
      <w:r w:rsidRPr="009D2C14">
        <w:rPr>
          <w:rFonts w:ascii="Abadi" w:hAnsi="Abadi" w:cs="*Arial-5755-Identity-H"/>
          <w:color w:val="14131C"/>
          <w:sz w:val="21"/>
          <w:szCs w:val="21"/>
        </w:rPr>
        <w:t>Como ya lo habíamos señalado en párrafos anteriores, el artículo 38 de la</w:t>
      </w:r>
      <w:r>
        <w:rPr>
          <w:rFonts w:ascii="Abadi" w:hAnsi="Abadi" w:cs="*Arial-5755-Identity-H"/>
          <w:color w:val="14131C"/>
          <w:sz w:val="21"/>
          <w:szCs w:val="21"/>
        </w:rPr>
        <w:t xml:space="preserve"> </w:t>
      </w:r>
      <w:r w:rsidRPr="009D2C14">
        <w:rPr>
          <w:rFonts w:ascii="Abadi" w:hAnsi="Abadi" w:cs="*Arial-5755-Identity-H"/>
          <w:color w:val="14131C"/>
          <w:sz w:val="21"/>
          <w:szCs w:val="21"/>
        </w:rPr>
        <w:t>Ley de Fiscalización Superior del Estado de Guanajuato establece que los</w:t>
      </w:r>
      <w:r>
        <w:rPr>
          <w:rFonts w:ascii="Abadi" w:hAnsi="Abadi" w:cs="*Arial-5755-Identity-H"/>
          <w:color w:val="14131C"/>
          <w:sz w:val="21"/>
          <w:szCs w:val="21"/>
        </w:rPr>
        <w:t xml:space="preserve"> </w:t>
      </w:r>
      <w:r w:rsidRPr="009D2C14">
        <w:rPr>
          <w:rFonts w:ascii="Abadi" w:hAnsi="Abadi" w:cs="*Arial-5755-Identity-H"/>
          <w:color w:val="14131C"/>
          <w:sz w:val="21"/>
          <w:szCs w:val="21"/>
        </w:rPr>
        <w:t>informes de resultados únicamente podrán ser observados por las dos terceras</w:t>
      </w:r>
      <w:r>
        <w:rPr>
          <w:rFonts w:ascii="Abadi" w:hAnsi="Abadi" w:cs="*Arial-5755-Identity-H"/>
          <w:color w:val="14131C"/>
          <w:sz w:val="21"/>
          <w:szCs w:val="21"/>
        </w:rPr>
        <w:t xml:space="preserve"> </w:t>
      </w:r>
      <w:r w:rsidRPr="009D2C14">
        <w:rPr>
          <w:rFonts w:ascii="Abadi" w:hAnsi="Abadi" w:cs="*Arial-5755-Identity-H"/>
          <w:color w:val="14131C"/>
          <w:sz w:val="21"/>
          <w:szCs w:val="21"/>
        </w:rPr>
        <w:t>partes de los diputados integrantes del Congreso, cuando no se observen las</w:t>
      </w:r>
      <w:r>
        <w:rPr>
          <w:rFonts w:ascii="Abadi" w:hAnsi="Abadi" w:cs="*Arial-5755-Identity-H"/>
          <w:color w:val="14131C"/>
          <w:sz w:val="21"/>
          <w:szCs w:val="21"/>
        </w:rPr>
        <w:t xml:space="preserve"> </w:t>
      </w:r>
      <w:r w:rsidRPr="009D2C14">
        <w:rPr>
          <w:rFonts w:ascii="Abadi" w:hAnsi="Abadi" w:cs="*Arial-5755-Identity-H"/>
          <w:color w:val="14131C"/>
          <w:sz w:val="21"/>
          <w:szCs w:val="21"/>
        </w:rPr>
        <w:t>formalidades esenciales del proceso de fiscalización.</w:t>
      </w:r>
    </w:p>
    <w:p w14:paraId="29FB3AD8" w14:textId="77777777" w:rsidR="001E07D6" w:rsidRDefault="001E07D6" w:rsidP="001E07D6">
      <w:pPr>
        <w:autoSpaceDE w:val="0"/>
        <w:autoSpaceDN w:val="0"/>
        <w:adjustRightInd w:val="0"/>
        <w:ind w:firstLine="708"/>
        <w:jc w:val="both"/>
        <w:rPr>
          <w:rFonts w:ascii="Abadi" w:hAnsi="Abadi" w:cs="*Arial-5019-Identity-H"/>
          <w:color w:val="14131C"/>
          <w:sz w:val="21"/>
          <w:szCs w:val="21"/>
        </w:rPr>
      </w:pPr>
      <w:r w:rsidRPr="009D2C14">
        <w:rPr>
          <w:rFonts w:ascii="Abadi" w:hAnsi="Abadi" w:cs="*Arial-5019-Identity-H"/>
          <w:color w:val="14131C"/>
          <w:sz w:val="21"/>
          <w:szCs w:val="21"/>
        </w:rPr>
        <w:t>En este sentido, quienes integramos esta Comisión analizamos el informe</w:t>
      </w:r>
      <w:r>
        <w:rPr>
          <w:rFonts w:ascii="Abadi" w:hAnsi="Abadi" w:cs="*Arial-5019-Identity-H"/>
          <w:color w:val="14131C"/>
          <w:sz w:val="21"/>
          <w:szCs w:val="21"/>
        </w:rPr>
        <w:t xml:space="preserve"> </w:t>
      </w:r>
      <w:r w:rsidRPr="009D2C14">
        <w:rPr>
          <w:rFonts w:ascii="Abadi" w:hAnsi="Abadi" w:cs="*Arial-5019-Identity-H"/>
          <w:color w:val="14131C"/>
          <w:sz w:val="21"/>
          <w:szCs w:val="21"/>
        </w:rPr>
        <w:t>de resultados materia del presente dictamen, considerando la hipótesis referida en</w:t>
      </w:r>
      <w:r>
        <w:rPr>
          <w:rFonts w:ascii="Abadi" w:hAnsi="Abadi" w:cs="*Arial-5019-Identity-H"/>
          <w:color w:val="14131C"/>
          <w:sz w:val="21"/>
          <w:szCs w:val="21"/>
        </w:rPr>
        <w:t xml:space="preserve"> </w:t>
      </w:r>
      <w:r w:rsidRPr="009D2C14">
        <w:rPr>
          <w:rFonts w:ascii="Abadi" w:hAnsi="Abadi" w:cs="*Arial-5019-Identity-H"/>
          <w:color w:val="14131C"/>
          <w:sz w:val="21"/>
          <w:szCs w:val="21"/>
        </w:rPr>
        <w:t>el precepto anteriormente señalado.</w:t>
      </w:r>
    </w:p>
    <w:p w14:paraId="260D3A80" w14:textId="77777777" w:rsidR="001E07D6" w:rsidRPr="009D2C14" w:rsidRDefault="001E07D6" w:rsidP="001E07D6">
      <w:pPr>
        <w:autoSpaceDE w:val="0"/>
        <w:autoSpaceDN w:val="0"/>
        <w:adjustRightInd w:val="0"/>
        <w:jc w:val="both"/>
        <w:rPr>
          <w:rFonts w:ascii="Abadi" w:hAnsi="Abadi" w:cs="*Arial-5019-Identity-H"/>
          <w:color w:val="14131C"/>
          <w:sz w:val="21"/>
          <w:szCs w:val="21"/>
        </w:rPr>
      </w:pPr>
    </w:p>
    <w:p w14:paraId="648A05A8" w14:textId="77777777" w:rsidR="001E07D6" w:rsidRDefault="001E07D6" w:rsidP="001E07D6">
      <w:pPr>
        <w:autoSpaceDE w:val="0"/>
        <w:autoSpaceDN w:val="0"/>
        <w:adjustRightInd w:val="0"/>
        <w:ind w:firstLine="708"/>
        <w:jc w:val="both"/>
        <w:rPr>
          <w:rFonts w:ascii="Abadi" w:hAnsi="Abadi" w:cs="*Arial-5019-Identity-H"/>
          <w:color w:val="14131C"/>
          <w:sz w:val="21"/>
          <w:szCs w:val="21"/>
        </w:rPr>
      </w:pPr>
      <w:r w:rsidRPr="009D2C14">
        <w:rPr>
          <w:rFonts w:ascii="Abadi" w:hAnsi="Abadi" w:cs="*Arial-5019-Identity-H"/>
          <w:color w:val="14131C"/>
          <w:sz w:val="21"/>
          <w:szCs w:val="21"/>
        </w:rPr>
        <w:t>Como se desprende del informe de resultados, el Órgano Técnico dio</w:t>
      </w:r>
      <w:r>
        <w:rPr>
          <w:rFonts w:ascii="Abadi" w:hAnsi="Abadi" w:cs="*Arial-5019-Identity-H"/>
          <w:color w:val="14131C"/>
          <w:sz w:val="21"/>
          <w:szCs w:val="21"/>
        </w:rPr>
        <w:t xml:space="preserve"> </w:t>
      </w:r>
      <w:r w:rsidRPr="009D2C14">
        <w:rPr>
          <w:rFonts w:ascii="Abadi" w:hAnsi="Abadi" w:cs="*Arial-5019-Identity-H"/>
          <w:color w:val="14131C"/>
          <w:sz w:val="21"/>
          <w:szCs w:val="21"/>
        </w:rPr>
        <w:t>cumplimiento al artículo 58 de la Ley de Fiscalización Superior del Estado de</w:t>
      </w:r>
      <w:r>
        <w:rPr>
          <w:rFonts w:ascii="Abadi" w:hAnsi="Abadi" w:cs="*Arial-5019-Identity-H"/>
          <w:color w:val="14131C"/>
          <w:sz w:val="21"/>
          <w:szCs w:val="21"/>
        </w:rPr>
        <w:t xml:space="preserve"> </w:t>
      </w:r>
      <w:r w:rsidRPr="009D2C14">
        <w:rPr>
          <w:rFonts w:ascii="Abadi" w:hAnsi="Abadi" w:cs="*Arial-5019-Identity-H"/>
          <w:color w:val="14131C"/>
          <w:sz w:val="21"/>
          <w:szCs w:val="21"/>
        </w:rPr>
        <w:t>Guanajuato, al haberse notificado las recomendaciones derivadas de la auditoría</w:t>
      </w:r>
      <w:r>
        <w:rPr>
          <w:rFonts w:ascii="Abadi" w:hAnsi="Abadi" w:cs="*Arial-5019-Identity-H"/>
          <w:color w:val="14131C"/>
          <w:sz w:val="21"/>
          <w:szCs w:val="21"/>
        </w:rPr>
        <w:t xml:space="preserve"> </w:t>
      </w:r>
      <w:r w:rsidRPr="009D2C14">
        <w:rPr>
          <w:rFonts w:ascii="Abadi" w:hAnsi="Abadi" w:cs="*Arial-5019-Identity-H"/>
          <w:color w:val="14131C"/>
          <w:sz w:val="21"/>
          <w:szCs w:val="21"/>
        </w:rPr>
        <w:t>al sujeto fiscalizado, concediéndole el plazo que establece la Ley para atender las</w:t>
      </w:r>
      <w:r>
        <w:rPr>
          <w:rFonts w:ascii="Abadi" w:hAnsi="Abadi" w:cs="*Arial-5019-Identity-H"/>
          <w:color w:val="14131C"/>
          <w:sz w:val="21"/>
          <w:szCs w:val="21"/>
        </w:rPr>
        <w:t xml:space="preserve"> </w:t>
      </w:r>
      <w:r w:rsidRPr="009D2C14">
        <w:rPr>
          <w:rFonts w:ascii="Abadi" w:hAnsi="Abadi" w:cs="*Arial-5019-Identity-H"/>
          <w:color w:val="14131C"/>
          <w:sz w:val="21"/>
          <w:szCs w:val="21"/>
        </w:rPr>
        <w:t>recomendaciones formuladas por el Órgano Técnico. Al respecto, se presentó la</w:t>
      </w:r>
      <w:r>
        <w:rPr>
          <w:rFonts w:ascii="Abadi" w:hAnsi="Abadi" w:cs="*Arial-5019-Identity-H"/>
          <w:color w:val="14131C"/>
          <w:sz w:val="21"/>
          <w:szCs w:val="21"/>
        </w:rPr>
        <w:t xml:space="preserve"> </w:t>
      </w:r>
      <w:r w:rsidRPr="009D2C14">
        <w:rPr>
          <w:rFonts w:ascii="Abadi" w:hAnsi="Abadi" w:cs="*Arial-5019-Identity-H"/>
          <w:color w:val="14131C"/>
          <w:sz w:val="21"/>
          <w:szCs w:val="21"/>
        </w:rPr>
        <w:t>información y documentación que se consideró suficiente para atender las</w:t>
      </w:r>
      <w:r>
        <w:rPr>
          <w:rFonts w:ascii="Abadi" w:hAnsi="Abadi" w:cs="*Arial-5019-Identity-H"/>
          <w:color w:val="14131C"/>
          <w:sz w:val="21"/>
          <w:szCs w:val="21"/>
        </w:rPr>
        <w:t xml:space="preserve"> </w:t>
      </w:r>
      <w:r w:rsidRPr="009D2C14">
        <w:rPr>
          <w:rFonts w:ascii="Abadi" w:hAnsi="Abadi" w:cs="*Arial-5019-Identity-H"/>
          <w:color w:val="14131C"/>
          <w:sz w:val="21"/>
          <w:szCs w:val="21"/>
        </w:rPr>
        <w:t>recomendaciones efectuadas.</w:t>
      </w:r>
    </w:p>
    <w:p w14:paraId="1E07F0F9" w14:textId="77777777" w:rsidR="001E07D6" w:rsidRPr="009D2C14" w:rsidRDefault="001E07D6" w:rsidP="001E07D6">
      <w:pPr>
        <w:autoSpaceDE w:val="0"/>
        <w:autoSpaceDN w:val="0"/>
        <w:adjustRightInd w:val="0"/>
        <w:jc w:val="both"/>
        <w:rPr>
          <w:rFonts w:ascii="Abadi" w:hAnsi="Abadi" w:cs="*Arial-5019-Identity-H"/>
          <w:color w:val="14131C"/>
          <w:sz w:val="21"/>
          <w:szCs w:val="21"/>
        </w:rPr>
      </w:pPr>
    </w:p>
    <w:p w14:paraId="31B44C5C" w14:textId="77777777" w:rsidR="001E07D6" w:rsidRDefault="001E07D6" w:rsidP="001E07D6">
      <w:pPr>
        <w:autoSpaceDE w:val="0"/>
        <w:autoSpaceDN w:val="0"/>
        <w:adjustRightInd w:val="0"/>
        <w:ind w:firstLine="708"/>
        <w:jc w:val="both"/>
        <w:rPr>
          <w:rFonts w:ascii="Abadi" w:hAnsi="Abadi" w:cs="*Arial-5019-Identity-H"/>
          <w:color w:val="14131B"/>
          <w:sz w:val="21"/>
          <w:szCs w:val="21"/>
        </w:rPr>
      </w:pPr>
      <w:r w:rsidRPr="009D2C14">
        <w:rPr>
          <w:rFonts w:ascii="Abadi" w:hAnsi="Abadi" w:cs="*Arial-5019-Identity-H"/>
          <w:color w:val="14131B"/>
          <w:sz w:val="21"/>
          <w:szCs w:val="21"/>
        </w:rPr>
        <w:t>De igual manera, existe en el informe de resultados la constancia de que</w:t>
      </w:r>
      <w:r>
        <w:rPr>
          <w:rFonts w:ascii="Abadi" w:hAnsi="Abadi" w:cs="*Arial-5019-Identity-H"/>
          <w:color w:val="14131B"/>
          <w:sz w:val="21"/>
          <w:szCs w:val="21"/>
        </w:rPr>
        <w:t xml:space="preserve"> </w:t>
      </w:r>
      <w:r w:rsidRPr="009D2C14">
        <w:rPr>
          <w:rFonts w:ascii="Abadi" w:hAnsi="Abadi" w:cs="*Arial-5019-Identity-H"/>
          <w:color w:val="14131B"/>
          <w:sz w:val="21"/>
          <w:szCs w:val="21"/>
        </w:rPr>
        <w:t>este se notificó al sujeto fiscalizado. En tal virtud, se considera que fue respetado</w:t>
      </w:r>
      <w:r>
        <w:rPr>
          <w:rFonts w:ascii="Abadi" w:hAnsi="Abadi" w:cs="*Arial-5019-Identity-H"/>
          <w:color w:val="14131B"/>
          <w:sz w:val="21"/>
          <w:szCs w:val="21"/>
        </w:rPr>
        <w:t xml:space="preserve"> </w:t>
      </w:r>
      <w:r w:rsidRPr="009D2C14">
        <w:rPr>
          <w:rFonts w:ascii="Abadi" w:hAnsi="Abadi" w:cs="*Arial-5019-Identity-H"/>
          <w:color w:val="14131B"/>
          <w:sz w:val="21"/>
          <w:szCs w:val="21"/>
        </w:rPr>
        <w:t>el derecho de audiencia o defensa por parte del Órgano Técnico.</w:t>
      </w:r>
    </w:p>
    <w:p w14:paraId="6CE23F55" w14:textId="77777777" w:rsidR="001E07D6" w:rsidRPr="009D2C14" w:rsidRDefault="001E07D6" w:rsidP="001E07D6">
      <w:pPr>
        <w:autoSpaceDE w:val="0"/>
        <w:autoSpaceDN w:val="0"/>
        <w:adjustRightInd w:val="0"/>
        <w:jc w:val="both"/>
        <w:rPr>
          <w:rFonts w:ascii="Abadi" w:hAnsi="Abadi" w:cs="*Arial-5019-Identity-H"/>
          <w:color w:val="14131B"/>
          <w:sz w:val="21"/>
          <w:szCs w:val="21"/>
        </w:rPr>
      </w:pPr>
    </w:p>
    <w:p w14:paraId="3EA49EE2" w14:textId="77777777" w:rsidR="001E07D6" w:rsidRPr="009D2C14" w:rsidRDefault="001E07D6" w:rsidP="001E07D6">
      <w:pPr>
        <w:autoSpaceDE w:val="0"/>
        <w:autoSpaceDN w:val="0"/>
        <w:adjustRightInd w:val="0"/>
        <w:ind w:firstLine="708"/>
        <w:jc w:val="both"/>
        <w:rPr>
          <w:rFonts w:ascii="Abadi" w:hAnsi="Abadi" w:cs="*Arial-5019-Identity-H"/>
          <w:color w:val="14131A"/>
          <w:sz w:val="21"/>
          <w:szCs w:val="21"/>
        </w:rPr>
      </w:pPr>
      <w:r w:rsidRPr="009D2C14">
        <w:rPr>
          <w:rFonts w:ascii="Abadi" w:hAnsi="Abadi" w:cs="*Arial-5019-Identity-H"/>
          <w:color w:val="14131A"/>
          <w:sz w:val="21"/>
          <w:szCs w:val="21"/>
        </w:rPr>
        <w:t>Asimismo, del informe de resultados podemos inferir que el Órgano Técnico</w:t>
      </w:r>
      <w:r>
        <w:rPr>
          <w:rFonts w:ascii="Abadi" w:hAnsi="Abadi" w:cs="*Arial-5019-Identity-H"/>
          <w:color w:val="14131A"/>
          <w:sz w:val="21"/>
          <w:szCs w:val="21"/>
        </w:rPr>
        <w:t xml:space="preserve"> </w:t>
      </w:r>
      <w:r w:rsidRPr="009D2C14">
        <w:rPr>
          <w:rFonts w:ascii="Abadi" w:hAnsi="Abadi" w:cs="*Arial-5019-Identity-H"/>
          <w:color w:val="14131A"/>
          <w:sz w:val="21"/>
          <w:szCs w:val="21"/>
        </w:rPr>
        <w:t>en el desarrollo del procedimiento de auditoría, dio cumplimiento a las</w:t>
      </w:r>
      <w:r>
        <w:rPr>
          <w:rFonts w:ascii="Abadi" w:hAnsi="Abadi" w:cs="*Arial-5019-Identity-H"/>
          <w:color w:val="14131A"/>
          <w:sz w:val="21"/>
          <w:szCs w:val="21"/>
        </w:rPr>
        <w:t xml:space="preserve"> </w:t>
      </w:r>
      <w:r w:rsidRPr="009D2C14">
        <w:rPr>
          <w:rFonts w:ascii="Abadi" w:hAnsi="Abadi" w:cs="*Arial-5019-Identity-H"/>
          <w:color w:val="14131A"/>
          <w:sz w:val="21"/>
          <w:szCs w:val="21"/>
        </w:rPr>
        <w:t>formalidades esenciales que la misma Ley establece para el proceso de</w:t>
      </w:r>
      <w:r>
        <w:rPr>
          <w:rFonts w:ascii="Abadi" w:hAnsi="Abadi" w:cs="*Arial-5019-Identity-H"/>
          <w:color w:val="14131A"/>
          <w:sz w:val="21"/>
          <w:szCs w:val="21"/>
        </w:rPr>
        <w:t xml:space="preserve"> </w:t>
      </w:r>
      <w:r w:rsidRPr="009D2C14">
        <w:rPr>
          <w:rFonts w:ascii="Abadi" w:hAnsi="Abadi" w:cs="*Arial-5019-Identity-H"/>
          <w:color w:val="14131A"/>
          <w:sz w:val="21"/>
          <w:szCs w:val="21"/>
        </w:rPr>
        <w:t>fiscalización, al haberse practicado la auditoría que estaba contemplada en el</w:t>
      </w:r>
      <w:r>
        <w:rPr>
          <w:rFonts w:ascii="Abadi" w:hAnsi="Abadi" w:cs="*Arial-5019-Identity-H"/>
          <w:color w:val="14131A"/>
          <w:sz w:val="21"/>
          <w:szCs w:val="21"/>
        </w:rPr>
        <w:t xml:space="preserve"> </w:t>
      </w:r>
      <w:r w:rsidRPr="009D2C14">
        <w:rPr>
          <w:rFonts w:ascii="Abadi" w:hAnsi="Abadi" w:cs="*Arial-5019-Identity-H"/>
          <w:color w:val="14131A"/>
          <w:sz w:val="21"/>
          <w:szCs w:val="21"/>
        </w:rPr>
        <w:t>Programa General de Fiscalización 2021, aprobado por el Auditor Superior del</w:t>
      </w:r>
    </w:p>
    <w:p w14:paraId="4C701972" w14:textId="77777777" w:rsidR="001E07D6" w:rsidRDefault="001E07D6" w:rsidP="001E07D6">
      <w:pPr>
        <w:autoSpaceDE w:val="0"/>
        <w:autoSpaceDN w:val="0"/>
        <w:adjustRightInd w:val="0"/>
        <w:jc w:val="both"/>
        <w:rPr>
          <w:rFonts w:ascii="Abadi" w:hAnsi="Abadi" w:cs="*Arial-5019-Identity-H"/>
          <w:color w:val="14131A"/>
          <w:sz w:val="21"/>
          <w:szCs w:val="21"/>
        </w:rPr>
      </w:pPr>
      <w:r w:rsidRPr="009D2C14">
        <w:rPr>
          <w:rFonts w:ascii="Abadi" w:hAnsi="Abadi" w:cs="*Arial-5019-Identity-H"/>
          <w:color w:val="14131A"/>
          <w:sz w:val="21"/>
          <w:szCs w:val="21"/>
        </w:rPr>
        <w:t>Estado. Asimismo, la auditoría se efectuó atendiendo a lo establecido en la</w:t>
      </w:r>
      <w:r>
        <w:rPr>
          <w:rFonts w:ascii="Abadi" w:hAnsi="Abadi" w:cs="*Arial-5019-Identity-H"/>
          <w:color w:val="14131A"/>
          <w:sz w:val="21"/>
          <w:szCs w:val="21"/>
        </w:rPr>
        <w:t xml:space="preserve"> </w:t>
      </w:r>
      <w:r w:rsidRPr="009D2C14">
        <w:rPr>
          <w:rFonts w:ascii="Abadi" w:hAnsi="Abadi" w:cs="*Arial-5019-Identity-H"/>
          <w:color w:val="14131A"/>
          <w:sz w:val="21"/>
          <w:szCs w:val="21"/>
        </w:rPr>
        <w:t>normatividad aplicable en la materia, cumpliendo lo estipulado por el artículo 3 y el</w:t>
      </w:r>
      <w:r>
        <w:rPr>
          <w:rFonts w:ascii="Abadi" w:hAnsi="Abadi" w:cs="*Arial-5019-Identity-H"/>
          <w:color w:val="14131A"/>
          <w:sz w:val="21"/>
          <w:szCs w:val="21"/>
        </w:rPr>
        <w:t xml:space="preserve"> </w:t>
      </w:r>
      <w:r w:rsidRPr="009D2C14">
        <w:rPr>
          <w:rFonts w:ascii="Abadi" w:hAnsi="Abadi" w:cs="*Arial-5019-Identity-H"/>
          <w:color w:val="14131A"/>
          <w:sz w:val="21"/>
          <w:szCs w:val="21"/>
        </w:rPr>
        <w:t>Capítulo VI del Título Segundo de la Ley de Fiscalización Superior del Estado de</w:t>
      </w:r>
      <w:r>
        <w:rPr>
          <w:rFonts w:ascii="Abadi" w:hAnsi="Abadi" w:cs="*Arial-5019-Identity-H"/>
          <w:color w:val="14131A"/>
          <w:sz w:val="21"/>
          <w:szCs w:val="21"/>
        </w:rPr>
        <w:t xml:space="preserve"> </w:t>
      </w:r>
      <w:r w:rsidRPr="009D2C14">
        <w:rPr>
          <w:rFonts w:ascii="Abadi" w:hAnsi="Abadi" w:cs="*Arial-5019-Identity-H"/>
          <w:color w:val="14131A"/>
          <w:sz w:val="21"/>
          <w:szCs w:val="21"/>
        </w:rPr>
        <w:t>Guanajuato, así como el artículo 28 del Reglamento de dicha Ley.</w:t>
      </w:r>
      <w:r>
        <w:rPr>
          <w:rFonts w:ascii="Abadi" w:hAnsi="Abadi" w:cs="*Arial-5019-Identity-H"/>
          <w:color w:val="14131A"/>
          <w:sz w:val="21"/>
          <w:szCs w:val="21"/>
        </w:rPr>
        <w:t xml:space="preserve"> </w:t>
      </w:r>
    </w:p>
    <w:p w14:paraId="038CFFFC" w14:textId="77777777" w:rsidR="001E07D6" w:rsidRDefault="001E07D6" w:rsidP="001E07D6">
      <w:pPr>
        <w:autoSpaceDE w:val="0"/>
        <w:autoSpaceDN w:val="0"/>
        <w:adjustRightInd w:val="0"/>
        <w:jc w:val="both"/>
        <w:rPr>
          <w:rFonts w:ascii="Abadi" w:hAnsi="Abadi" w:cs="*Arial-5019-Identity-H"/>
          <w:color w:val="14131A"/>
          <w:sz w:val="21"/>
          <w:szCs w:val="21"/>
        </w:rPr>
      </w:pPr>
    </w:p>
    <w:p w14:paraId="53452AA8" w14:textId="77777777" w:rsidR="001E07D6" w:rsidRPr="009D2C14" w:rsidRDefault="001E07D6" w:rsidP="001E07D6">
      <w:pPr>
        <w:autoSpaceDE w:val="0"/>
        <w:autoSpaceDN w:val="0"/>
        <w:adjustRightInd w:val="0"/>
        <w:ind w:firstLine="708"/>
        <w:jc w:val="both"/>
        <w:rPr>
          <w:rFonts w:ascii="Abadi" w:hAnsi="Abadi" w:cs="*Arial-5019-Identity-H"/>
          <w:color w:val="15131C"/>
          <w:sz w:val="21"/>
          <w:szCs w:val="21"/>
        </w:rPr>
      </w:pPr>
      <w:r w:rsidRPr="009D2C14">
        <w:rPr>
          <w:rFonts w:ascii="Abadi" w:hAnsi="Abadi" w:cs="*Arial-5019-Identity-H"/>
          <w:color w:val="15131C"/>
          <w:sz w:val="21"/>
          <w:szCs w:val="21"/>
        </w:rPr>
        <w:t>Finalmente, es de destacar que el cumplimiento de los Objetivos del</w:t>
      </w:r>
      <w:r>
        <w:rPr>
          <w:rFonts w:ascii="Abadi" w:hAnsi="Abadi" w:cs="*Arial-5019-Identity-H"/>
          <w:color w:val="15131C"/>
          <w:sz w:val="21"/>
          <w:szCs w:val="21"/>
        </w:rPr>
        <w:t xml:space="preserve"> </w:t>
      </w:r>
      <w:r w:rsidRPr="009D2C14">
        <w:rPr>
          <w:rFonts w:ascii="Abadi" w:hAnsi="Abadi" w:cs="*Arial-5019-Identity-H"/>
          <w:color w:val="15131C"/>
          <w:sz w:val="21"/>
          <w:szCs w:val="21"/>
        </w:rPr>
        <w:t>Desarrollo Sostenible de la Agenda 2030 está presente en el dictamen puesto a su</w:t>
      </w:r>
      <w:r>
        <w:rPr>
          <w:rFonts w:ascii="Abadi" w:hAnsi="Abadi" w:cs="*Arial-5019-Identity-H"/>
          <w:color w:val="15131C"/>
          <w:sz w:val="21"/>
          <w:szCs w:val="21"/>
        </w:rPr>
        <w:t xml:space="preserve"> </w:t>
      </w:r>
      <w:r w:rsidRPr="009D2C14">
        <w:rPr>
          <w:rFonts w:ascii="Abadi" w:hAnsi="Abadi" w:cs="*Arial-5019-Identity-H"/>
          <w:color w:val="15131C"/>
          <w:sz w:val="21"/>
          <w:szCs w:val="21"/>
        </w:rPr>
        <w:t>consideración, pues el mismo incide de manera directa en el Objetivo 16</w:t>
      </w:r>
      <w:r>
        <w:rPr>
          <w:rFonts w:ascii="Abadi" w:hAnsi="Abadi" w:cs="*Arial-5019-Identity-H"/>
          <w:color w:val="15131C"/>
          <w:sz w:val="21"/>
          <w:szCs w:val="21"/>
        </w:rPr>
        <w:t xml:space="preserve"> </w:t>
      </w:r>
      <w:r w:rsidRPr="009D2C14">
        <w:rPr>
          <w:rFonts w:ascii="Abadi" w:hAnsi="Abadi" w:cs="*Arial-5019-Identity-H"/>
          <w:color w:val="15131C"/>
          <w:sz w:val="21"/>
          <w:szCs w:val="21"/>
        </w:rPr>
        <w:t>denominado Paz, Justicia e Instituciones Sólidas. Promover sociedades justas,</w:t>
      </w:r>
      <w:r>
        <w:rPr>
          <w:rFonts w:ascii="Abadi" w:hAnsi="Abadi" w:cs="*Arial-5019-Identity-H"/>
          <w:color w:val="15131C"/>
          <w:sz w:val="21"/>
          <w:szCs w:val="21"/>
        </w:rPr>
        <w:t xml:space="preserve"> </w:t>
      </w:r>
      <w:r w:rsidRPr="009D2C14">
        <w:rPr>
          <w:rFonts w:ascii="Abadi" w:hAnsi="Abadi" w:cs="*Arial-5019-Identity-H"/>
          <w:color w:val="15131C"/>
          <w:sz w:val="21"/>
          <w:szCs w:val="21"/>
        </w:rPr>
        <w:t>pacíficas e inclusivas, respecto a la meta 16.6 Crear a todos los niveles</w:t>
      </w:r>
      <w:r>
        <w:rPr>
          <w:rFonts w:ascii="Abadi" w:hAnsi="Abadi" w:cs="*Arial-5019-Identity-H"/>
          <w:color w:val="15131C"/>
          <w:sz w:val="21"/>
          <w:szCs w:val="21"/>
        </w:rPr>
        <w:t xml:space="preserve"> </w:t>
      </w:r>
      <w:r w:rsidRPr="009D2C14">
        <w:rPr>
          <w:rFonts w:ascii="Abadi" w:hAnsi="Abadi" w:cs="*Arial-5019-Identity-H"/>
          <w:color w:val="15131C"/>
          <w:sz w:val="21"/>
          <w:szCs w:val="21"/>
        </w:rPr>
        <w:t>instituciones eficaces y transparentes, al abonar a la transparencia y rendición de</w:t>
      </w:r>
      <w:r>
        <w:rPr>
          <w:rFonts w:ascii="Abadi" w:hAnsi="Abadi" w:cs="*Arial-5019-Identity-H"/>
          <w:color w:val="15131C"/>
          <w:sz w:val="21"/>
          <w:szCs w:val="21"/>
        </w:rPr>
        <w:t xml:space="preserve"> cuentas</w:t>
      </w:r>
      <w:r w:rsidRPr="009D2C14">
        <w:rPr>
          <w:rFonts w:ascii="Abadi" w:hAnsi="Abadi" w:cs="*Arial-5019-Identity-H"/>
          <w:color w:val="15131C"/>
          <w:sz w:val="21"/>
          <w:szCs w:val="21"/>
        </w:rPr>
        <w:t>.</w:t>
      </w:r>
    </w:p>
    <w:p w14:paraId="1F824D25" w14:textId="77777777" w:rsidR="001E07D6" w:rsidRPr="009D2C14" w:rsidRDefault="001E07D6" w:rsidP="001E07D6">
      <w:pPr>
        <w:autoSpaceDE w:val="0"/>
        <w:autoSpaceDN w:val="0"/>
        <w:adjustRightInd w:val="0"/>
        <w:jc w:val="both"/>
        <w:rPr>
          <w:rFonts w:ascii="Abadi" w:hAnsi="Abadi" w:cs="*Arial-5190-Identity-H"/>
          <w:color w:val="1E1E23"/>
          <w:sz w:val="21"/>
          <w:szCs w:val="21"/>
        </w:rPr>
      </w:pPr>
    </w:p>
    <w:p w14:paraId="64D63D4F" w14:textId="77777777" w:rsidR="001E07D6" w:rsidRDefault="001E07D6" w:rsidP="001E07D6">
      <w:pPr>
        <w:autoSpaceDE w:val="0"/>
        <w:autoSpaceDN w:val="0"/>
        <w:adjustRightInd w:val="0"/>
        <w:ind w:firstLine="708"/>
        <w:jc w:val="both"/>
        <w:rPr>
          <w:rFonts w:ascii="Abadi" w:hAnsi="Abadi" w:cs="*Arial-5188-Identity-H"/>
          <w:color w:val="14131C"/>
          <w:sz w:val="21"/>
          <w:szCs w:val="21"/>
        </w:rPr>
      </w:pPr>
      <w:r w:rsidRPr="009D2C14">
        <w:rPr>
          <w:rFonts w:ascii="Abadi" w:hAnsi="Abadi" w:cs="*Arial-5188-Identity-H"/>
          <w:color w:val="14131C"/>
          <w:sz w:val="21"/>
          <w:szCs w:val="21"/>
        </w:rPr>
        <w:t>En razón de lo anteriormente señalado, concluimos que el informe de</w:t>
      </w:r>
      <w:r>
        <w:rPr>
          <w:rFonts w:ascii="Abadi" w:hAnsi="Abadi" w:cs="*Arial-5188-Identity-H"/>
          <w:color w:val="14131C"/>
          <w:sz w:val="21"/>
          <w:szCs w:val="21"/>
        </w:rPr>
        <w:t xml:space="preserve"> </w:t>
      </w:r>
      <w:r w:rsidRPr="009D2C14">
        <w:rPr>
          <w:rFonts w:ascii="Abadi" w:hAnsi="Abadi" w:cs="*Arial-5188-Identity-H"/>
          <w:color w:val="14131C"/>
          <w:sz w:val="21"/>
          <w:szCs w:val="21"/>
        </w:rPr>
        <w:t>resultados de la auditoría de desempeño practicada a la administración municipal</w:t>
      </w:r>
      <w:r>
        <w:rPr>
          <w:rFonts w:ascii="Abadi" w:hAnsi="Abadi" w:cs="*Arial-5188-Identity-H"/>
          <w:color w:val="14131C"/>
          <w:sz w:val="21"/>
          <w:szCs w:val="21"/>
        </w:rPr>
        <w:t xml:space="preserve"> </w:t>
      </w:r>
      <w:r w:rsidRPr="009D2C14">
        <w:rPr>
          <w:rFonts w:ascii="Abadi" w:hAnsi="Abadi" w:cs="*Arial-5188-Identity-H"/>
          <w:color w:val="14131C"/>
          <w:sz w:val="21"/>
          <w:szCs w:val="21"/>
        </w:rPr>
        <w:t>de Huanímaro, Gto., con enfoque a resultados del servicio de alumbrado público,</w:t>
      </w:r>
      <w:r>
        <w:rPr>
          <w:rFonts w:ascii="Abadi" w:hAnsi="Abadi" w:cs="*Arial-5188-Identity-H"/>
          <w:color w:val="14131C"/>
          <w:sz w:val="21"/>
          <w:szCs w:val="21"/>
        </w:rPr>
        <w:t xml:space="preserve"> </w:t>
      </w:r>
      <w:r w:rsidRPr="009D2C14">
        <w:rPr>
          <w:rFonts w:ascii="Abadi" w:hAnsi="Abadi" w:cs="*Arial-5188-Identity-H"/>
          <w:color w:val="14131C"/>
          <w:sz w:val="21"/>
          <w:szCs w:val="21"/>
        </w:rPr>
        <w:t>por el ejercicio fiscal del año 2020, debe sancionarse por el Congreso en los</w:t>
      </w:r>
      <w:r>
        <w:rPr>
          <w:rFonts w:ascii="Abadi" w:hAnsi="Abadi" w:cs="*Arial-5188-Identity-H"/>
          <w:color w:val="14131C"/>
          <w:sz w:val="21"/>
          <w:szCs w:val="21"/>
        </w:rPr>
        <w:t xml:space="preserve"> </w:t>
      </w:r>
      <w:r w:rsidRPr="009D2C14">
        <w:rPr>
          <w:rFonts w:ascii="Abadi" w:hAnsi="Abadi" w:cs="*Arial-5188-Identity-H"/>
          <w:color w:val="14131C"/>
          <w:sz w:val="21"/>
          <w:szCs w:val="21"/>
        </w:rPr>
        <w:t>términos presentados por la Auditoría Superior del Estado y proceder a su</w:t>
      </w:r>
      <w:r>
        <w:rPr>
          <w:rFonts w:ascii="Abadi" w:hAnsi="Abadi" w:cs="*Arial-5188-Identity-H"/>
          <w:color w:val="14131C"/>
          <w:sz w:val="21"/>
          <w:szCs w:val="21"/>
        </w:rPr>
        <w:t xml:space="preserve"> </w:t>
      </w:r>
      <w:r w:rsidRPr="009D2C14">
        <w:rPr>
          <w:rFonts w:ascii="Abadi" w:hAnsi="Abadi" w:cs="*Arial-5188-Identity-H"/>
          <w:color w:val="14131C"/>
          <w:sz w:val="21"/>
          <w:szCs w:val="21"/>
        </w:rPr>
        <w:t>aprobación, considerando que no se presenta el supuesto contenido en el artículo</w:t>
      </w:r>
      <w:r>
        <w:rPr>
          <w:rFonts w:ascii="Abadi" w:hAnsi="Abadi" w:cs="*Arial-5188-Identity-H"/>
          <w:color w:val="14131C"/>
          <w:sz w:val="21"/>
          <w:szCs w:val="21"/>
        </w:rPr>
        <w:t xml:space="preserve"> </w:t>
      </w:r>
      <w:r w:rsidRPr="009D2C14">
        <w:rPr>
          <w:rFonts w:ascii="Abadi" w:hAnsi="Abadi" w:cs="*Arial-5188-Identity-H"/>
          <w:color w:val="14131C"/>
          <w:sz w:val="21"/>
          <w:szCs w:val="21"/>
        </w:rPr>
        <w:t>38 de la Ley de Fiscalización Superior del Estado de Guanajuato, razón por la cual</w:t>
      </w:r>
      <w:r>
        <w:rPr>
          <w:rFonts w:ascii="Abadi" w:hAnsi="Abadi" w:cs="*Arial-5188-Identity-H"/>
          <w:color w:val="14131C"/>
          <w:sz w:val="21"/>
          <w:szCs w:val="21"/>
        </w:rPr>
        <w:t xml:space="preserve"> </w:t>
      </w:r>
      <w:r w:rsidRPr="009D2C14">
        <w:rPr>
          <w:rFonts w:ascii="Abadi" w:hAnsi="Abadi" w:cs="*Arial-5188-Identity-H"/>
          <w:color w:val="14131C"/>
          <w:sz w:val="21"/>
          <w:szCs w:val="21"/>
        </w:rPr>
        <w:t>no podría ser observado por el Pleno del Congreso.</w:t>
      </w:r>
      <w:r>
        <w:rPr>
          <w:rFonts w:ascii="Abadi" w:hAnsi="Abadi" w:cs="*Arial-5188-Identity-H"/>
          <w:color w:val="14131C"/>
          <w:sz w:val="21"/>
          <w:szCs w:val="21"/>
        </w:rPr>
        <w:t xml:space="preserve"> </w:t>
      </w:r>
    </w:p>
    <w:p w14:paraId="09FAFABC" w14:textId="77777777" w:rsidR="001E07D6" w:rsidRDefault="001E07D6" w:rsidP="001E07D6">
      <w:pPr>
        <w:autoSpaceDE w:val="0"/>
        <w:autoSpaceDN w:val="0"/>
        <w:adjustRightInd w:val="0"/>
        <w:jc w:val="both"/>
        <w:rPr>
          <w:rFonts w:ascii="Abadi" w:hAnsi="Abadi" w:cs="*Arial-5188-Identity-H"/>
          <w:color w:val="14131C"/>
          <w:sz w:val="21"/>
          <w:szCs w:val="21"/>
        </w:rPr>
      </w:pPr>
    </w:p>
    <w:p w14:paraId="7C71BB83" w14:textId="77777777" w:rsidR="001E07D6" w:rsidRPr="009D2C14" w:rsidRDefault="001E07D6" w:rsidP="001E07D6">
      <w:pPr>
        <w:autoSpaceDE w:val="0"/>
        <w:autoSpaceDN w:val="0"/>
        <w:adjustRightInd w:val="0"/>
        <w:ind w:firstLine="708"/>
        <w:jc w:val="both"/>
        <w:rPr>
          <w:rFonts w:ascii="Abadi" w:hAnsi="Abadi" w:cs="*Arial-5188-Identity-H"/>
          <w:color w:val="15141C"/>
          <w:sz w:val="21"/>
          <w:szCs w:val="21"/>
        </w:rPr>
      </w:pPr>
      <w:r w:rsidRPr="009D2C14">
        <w:rPr>
          <w:rFonts w:ascii="Abadi" w:hAnsi="Abadi" w:cs="*Arial-5188-Identity-H"/>
          <w:color w:val="15141C"/>
          <w:sz w:val="21"/>
          <w:szCs w:val="21"/>
        </w:rPr>
        <w:t>Por lo expuesto, con fundamento en el artículo 204 de la Ley Orgánica del</w:t>
      </w:r>
      <w:r>
        <w:rPr>
          <w:rFonts w:ascii="Abadi" w:hAnsi="Abadi" w:cs="*Arial-5188-Identity-H"/>
          <w:color w:val="15141C"/>
          <w:sz w:val="21"/>
          <w:szCs w:val="21"/>
        </w:rPr>
        <w:t xml:space="preserve"> </w:t>
      </w:r>
      <w:r w:rsidRPr="009D2C14">
        <w:rPr>
          <w:rFonts w:ascii="Abadi" w:hAnsi="Abadi" w:cs="*Arial-5188-Identity-H"/>
          <w:color w:val="15141C"/>
          <w:sz w:val="21"/>
          <w:szCs w:val="21"/>
        </w:rPr>
        <w:t>Poder Legislativo, nos permitimos someter a la consideración de la Asamblea, la</w:t>
      </w:r>
      <w:r>
        <w:rPr>
          <w:rFonts w:ascii="Abadi" w:hAnsi="Abadi" w:cs="*Arial-5188-Identity-H"/>
          <w:color w:val="15141C"/>
          <w:sz w:val="21"/>
          <w:szCs w:val="21"/>
        </w:rPr>
        <w:t xml:space="preserve"> </w:t>
      </w:r>
      <w:r w:rsidRPr="009D2C14">
        <w:rPr>
          <w:rFonts w:ascii="Abadi" w:hAnsi="Abadi" w:cs="*Arial-5188-Identity-H"/>
          <w:color w:val="15141C"/>
          <w:sz w:val="21"/>
          <w:szCs w:val="21"/>
        </w:rPr>
        <w:t>aprobación del siguiente:</w:t>
      </w:r>
    </w:p>
    <w:p w14:paraId="323379CA" w14:textId="77777777" w:rsidR="001E07D6" w:rsidRDefault="001E07D6" w:rsidP="001E07D6">
      <w:pPr>
        <w:autoSpaceDE w:val="0"/>
        <w:autoSpaceDN w:val="0"/>
        <w:adjustRightInd w:val="0"/>
        <w:jc w:val="both"/>
        <w:rPr>
          <w:rFonts w:ascii="Abadi" w:hAnsi="Abadi" w:cs="*Arial-Bold-5189-Identity-H"/>
          <w:b/>
          <w:bCs/>
          <w:color w:val="14141F"/>
          <w:sz w:val="21"/>
          <w:szCs w:val="21"/>
        </w:rPr>
      </w:pPr>
    </w:p>
    <w:p w14:paraId="7BD4151E" w14:textId="77777777" w:rsidR="001E07D6" w:rsidRDefault="001E07D6" w:rsidP="001E07D6">
      <w:pPr>
        <w:autoSpaceDE w:val="0"/>
        <w:autoSpaceDN w:val="0"/>
        <w:adjustRightInd w:val="0"/>
        <w:jc w:val="center"/>
        <w:rPr>
          <w:rFonts w:ascii="Abadi" w:hAnsi="Abadi" w:cs="*Arial-Bold-5189-Identity-H"/>
          <w:b/>
          <w:bCs/>
          <w:color w:val="14141F"/>
          <w:sz w:val="21"/>
          <w:szCs w:val="21"/>
        </w:rPr>
      </w:pPr>
      <w:r w:rsidRPr="009D2C14">
        <w:rPr>
          <w:rFonts w:ascii="Abadi" w:hAnsi="Abadi" w:cs="*Arial-Bold-5189-Identity-H"/>
          <w:b/>
          <w:bCs/>
          <w:color w:val="14141F"/>
          <w:sz w:val="21"/>
          <w:szCs w:val="21"/>
        </w:rPr>
        <w:t>ACUERDO</w:t>
      </w:r>
    </w:p>
    <w:p w14:paraId="123B1ED5" w14:textId="77777777" w:rsidR="001E07D6" w:rsidRPr="009D2C14" w:rsidRDefault="001E07D6" w:rsidP="001E07D6">
      <w:pPr>
        <w:autoSpaceDE w:val="0"/>
        <w:autoSpaceDN w:val="0"/>
        <w:adjustRightInd w:val="0"/>
        <w:jc w:val="center"/>
        <w:rPr>
          <w:rFonts w:ascii="Abadi" w:hAnsi="Abadi" w:cs="*Arial-Bold-5189-Identity-H"/>
          <w:b/>
          <w:bCs/>
          <w:color w:val="14141F"/>
          <w:sz w:val="21"/>
          <w:szCs w:val="21"/>
        </w:rPr>
      </w:pPr>
    </w:p>
    <w:p w14:paraId="011A7978" w14:textId="77777777" w:rsidR="001E07D6" w:rsidRDefault="001E07D6" w:rsidP="001E07D6">
      <w:pPr>
        <w:autoSpaceDE w:val="0"/>
        <w:autoSpaceDN w:val="0"/>
        <w:adjustRightInd w:val="0"/>
        <w:ind w:firstLine="708"/>
        <w:jc w:val="both"/>
        <w:rPr>
          <w:rFonts w:ascii="Abadi" w:hAnsi="Abadi" w:cs="*Arial-5188-Identity-H"/>
          <w:color w:val="14131B"/>
          <w:sz w:val="21"/>
          <w:szCs w:val="21"/>
        </w:rPr>
      </w:pPr>
      <w:r w:rsidRPr="009D2C14">
        <w:rPr>
          <w:rFonts w:ascii="Abadi" w:hAnsi="Abadi" w:cs="*Arial-Bold-5189-Identity-H"/>
          <w:b/>
          <w:bCs/>
          <w:color w:val="14131B"/>
          <w:sz w:val="21"/>
          <w:szCs w:val="21"/>
        </w:rPr>
        <w:t xml:space="preserve">Único. </w:t>
      </w:r>
      <w:r w:rsidRPr="009D2C14">
        <w:rPr>
          <w:rFonts w:ascii="Abadi" w:hAnsi="Abadi" w:cs="*Arial-5188-Identity-H"/>
          <w:color w:val="14131B"/>
          <w:sz w:val="21"/>
          <w:szCs w:val="21"/>
        </w:rPr>
        <w:t>Con fundamento en el artículo 63 fracción XIX de la Constitución</w:t>
      </w:r>
      <w:r>
        <w:rPr>
          <w:rFonts w:ascii="Abadi" w:hAnsi="Abadi" w:cs="*Arial-5188-Identity-H"/>
          <w:color w:val="14131B"/>
          <w:sz w:val="21"/>
          <w:szCs w:val="21"/>
        </w:rPr>
        <w:t xml:space="preserve"> </w:t>
      </w:r>
      <w:r w:rsidRPr="009D2C14">
        <w:rPr>
          <w:rFonts w:ascii="Abadi" w:hAnsi="Abadi" w:cs="*Arial-5188-Identity-H"/>
          <w:color w:val="14131B"/>
          <w:sz w:val="21"/>
          <w:szCs w:val="21"/>
        </w:rPr>
        <w:t>Política para el Estado, en relación con los artículos 3, fracción V, 5, fracción IV,</w:t>
      </w:r>
      <w:r>
        <w:rPr>
          <w:rFonts w:ascii="Abadi" w:hAnsi="Abadi" w:cs="*Arial-5188-Identity-H"/>
          <w:color w:val="14131B"/>
          <w:sz w:val="21"/>
          <w:szCs w:val="21"/>
        </w:rPr>
        <w:t xml:space="preserve"> </w:t>
      </w:r>
      <w:r w:rsidRPr="009D2C14">
        <w:rPr>
          <w:rFonts w:ascii="Abadi" w:hAnsi="Abadi" w:cs="*Arial-5188-Identity-H"/>
          <w:color w:val="14131B"/>
          <w:sz w:val="21"/>
          <w:szCs w:val="21"/>
        </w:rPr>
        <w:t>56, 59 y 60 de la Ley de Fiscalización Superior del Estado de Guanajuato y 28 del</w:t>
      </w:r>
      <w:r>
        <w:rPr>
          <w:rFonts w:ascii="Abadi" w:hAnsi="Abadi" w:cs="*Arial-5188-Identity-H"/>
          <w:color w:val="14131B"/>
          <w:sz w:val="21"/>
          <w:szCs w:val="21"/>
        </w:rPr>
        <w:t xml:space="preserve"> </w:t>
      </w:r>
      <w:r w:rsidRPr="009D2C14">
        <w:rPr>
          <w:rFonts w:ascii="Abadi" w:hAnsi="Abadi" w:cs="*Arial-5188-Identity-H"/>
          <w:color w:val="14131B"/>
          <w:sz w:val="21"/>
          <w:szCs w:val="21"/>
        </w:rPr>
        <w:t>Reglamento de la Ley de Fiscalización Superior del Estado de Guanajuato, se</w:t>
      </w:r>
      <w:r>
        <w:rPr>
          <w:rFonts w:ascii="Abadi" w:hAnsi="Abadi" w:cs="*Arial-5188-Identity-H"/>
          <w:color w:val="14131B"/>
          <w:sz w:val="21"/>
          <w:szCs w:val="21"/>
        </w:rPr>
        <w:t xml:space="preserve"> </w:t>
      </w:r>
      <w:r w:rsidRPr="009D2C14">
        <w:rPr>
          <w:rFonts w:ascii="Abadi" w:hAnsi="Abadi" w:cs="*Arial-5188-Identity-H"/>
          <w:color w:val="14131B"/>
          <w:sz w:val="21"/>
          <w:szCs w:val="21"/>
        </w:rPr>
        <w:t>aprueba el informe de resultados formulado por la Auditoría Superior del Estado</w:t>
      </w:r>
      <w:r>
        <w:rPr>
          <w:rFonts w:ascii="Abadi" w:hAnsi="Abadi" w:cs="*Arial-5188-Identity-H"/>
          <w:color w:val="14131B"/>
          <w:sz w:val="21"/>
          <w:szCs w:val="21"/>
        </w:rPr>
        <w:t xml:space="preserve"> </w:t>
      </w:r>
      <w:r w:rsidRPr="009D2C14">
        <w:rPr>
          <w:rFonts w:ascii="Abadi" w:hAnsi="Abadi" w:cs="*Arial-5188-Identity-H"/>
          <w:color w:val="14131B"/>
          <w:sz w:val="21"/>
          <w:szCs w:val="21"/>
        </w:rPr>
        <w:t>de Guanajuato, de la auditoría de desempeño practicada a la administración</w:t>
      </w:r>
      <w:r>
        <w:rPr>
          <w:rFonts w:ascii="Abadi" w:hAnsi="Abadi" w:cs="*Arial-5188-Identity-H"/>
          <w:color w:val="14131B"/>
          <w:sz w:val="21"/>
          <w:szCs w:val="21"/>
        </w:rPr>
        <w:t xml:space="preserve"> </w:t>
      </w:r>
      <w:r w:rsidRPr="009D2C14">
        <w:rPr>
          <w:rFonts w:ascii="Abadi" w:hAnsi="Abadi" w:cs="*Arial-5188-Identity-H"/>
          <w:color w:val="14131B"/>
          <w:sz w:val="21"/>
          <w:szCs w:val="21"/>
        </w:rPr>
        <w:t>municipal de Huanímaro, Gto., con enfoque a resultados del servicio de alumbrado</w:t>
      </w:r>
      <w:r>
        <w:rPr>
          <w:rFonts w:ascii="Abadi" w:hAnsi="Abadi" w:cs="*Arial-5188-Identity-H"/>
          <w:color w:val="14131B"/>
          <w:sz w:val="21"/>
          <w:szCs w:val="21"/>
        </w:rPr>
        <w:t xml:space="preserve"> </w:t>
      </w:r>
      <w:r w:rsidRPr="009D2C14">
        <w:rPr>
          <w:rFonts w:ascii="Abadi" w:hAnsi="Abadi" w:cs="*Arial-5188-Identity-H"/>
          <w:color w:val="14131B"/>
          <w:sz w:val="21"/>
          <w:szCs w:val="21"/>
        </w:rPr>
        <w:t>público, por el periodo comprendido del 1 de enero al 31 de diciembre del ejercicio</w:t>
      </w:r>
      <w:r>
        <w:rPr>
          <w:rFonts w:ascii="Abadi" w:hAnsi="Abadi" w:cs="*Arial-5188-Identity-H"/>
          <w:color w:val="14131B"/>
          <w:sz w:val="21"/>
          <w:szCs w:val="21"/>
        </w:rPr>
        <w:t xml:space="preserve"> </w:t>
      </w:r>
      <w:r w:rsidRPr="009D2C14">
        <w:rPr>
          <w:rFonts w:ascii="Abadi" w:hAnsi="Abadi" w:cs="*Arial-5188-Identity-H"/>
          <w:color w:val="14131B"/>
          <w:sz w:val="21"/>
          <w:szCs w:val="21"/>
        </w:rPr>
        <w:t>fiscal del año 2020.</w:t>
      </w:r>
    </w:p>
    <w:p w14:paraId="6FB2AAE3" w14:textId="77777777" w:rsidR="001E07D6" w:rsidRPr="009D2C14" w:rsidRDefault="001E07D6" w:rsidP="001E07D6">
      <w:pPr>
        <w:autoSpaceDE w:val="0"/>
        <w:autoSpaceDN w:val="0"/>
        <w:adjustRightInd w:val="0"/>
        <w:jc w:val="both"/>
        <w:rPr>
          <w:rFonts w:ascii="Abadi" w:hAnsi="Abadi" w:cs="*Arial-5188-Identity-H"/>
          <w:color w:val="14131B"/>
          <w:sz w:val="21"/>
          <w:szCs w:val="21"/>
        </w:rPr>
      </w:pPr>
    </w:p>
    <w:p w14:paraId="3452AC72" w14:textId="77777777" w:rsidR="001E07D6" w:rsidRDefault="001E07D6" w:rsidP="001E07D6">
      <w:pPr>
        <w:autoSpaceDE w:val="0"/>
        <w:autoSpaceDN w:val="0"/>
        <w:adjustRightInd w:val="0"/>
        <w:ind w:firstLine="708"/>
        <w:jc w:val="both"/>
        <w:rPr>
          <w:rFonts w:ascii="Abadi" w:hAnsi="Abadi" w:cs="*Arial-5188-Identity-H"/>
          <w:color w:val="15141C"/>
          <w:sz w:val="21"/>
          <w:szCs w:val="21"/>
        </w:rPr>
      </w:pPr>
      <w:r w:rsidRPr="009D2C14">
        <w:rPr>
          <w:rFonts w:ascii="Abadi" w:hAnsi="Abadi" w:cs="*Arial-5188-Identity-H"/>
          <w:color w:val="15141C"/>
          <w:sz w:val="21"/>
          <w:szCs w:val="21"/>
        </w:rPr>
        <w:t>Se ordena dar vista del informe de resultados al ayuntamiento del municipio</w:t>
      </w:r>
      <w:r>
        <w:rPr>
          <w:rFonts w:ascii="Abadi" w:hAnsi="Abadi" w:cs="*Arial-5188-Identity-H"/>
          <w:color w:val="15141C"/>
          <w:sz w:val="21"/>
          <w:szCs w:val="21"/>
        </w:rPr>
        <w:t xml:space="preserve"> </w:t>
      </w:r>
      <w:r w:rsidRPr="009D2C14">
        <w:rPr>
          <w:rFonts w:ascii="Abadi" w:hAnsi="Abadi" w:cs="*Arial-5188-Identity-H"/>
          <w:color w:val="15141C"/>
          <w:sz w:val="21"/>
          <w:szCs w:val="21"/>
        </w:rPr>
        <w:t>de Huanímaro, Gto., a efecto de que se atiendan las recomendaciones contenidas</w:t>
      </w:r>
      <w:r>
        <w:rPr>
          <w:rFonts w:ascii="Abadi" w:hAnsi="Abadi" w:cs="*Arial-5188-Identity-H"/>
          <w:color w:val="15141C"/>
          <w:sz w:val="21"/>
          <w:szCs w:val="21"/>
        </w:rPr>
        <w:t xml:space="preserve"> </w:t>
      </w:r>
      <w:r w:rsidRPr="009D2C14">
        <w:rPr>
          <w:rFonts w:ascii="Abadi" w:hAnsi="Abadi" w:cs="*Arial-5188-Identity-H"/>
          <w:color w:val="15141C"/>
          <w:sz w:val="21"/>
          <w:szCs w:val="21"/>
        </w:rPr>
        <w:t>en el informe de resultados, informando a la Auditoría Superior del Estado de las</w:t>
      </w:r>
      <w:r>
        <w:rPr>
          <w:rFonts w:ascii="Abadi" w:hAnsi="Abadi" w:cs="*Arial-5188-Identity-H"/>
          <w:color w:val="15141C"/>
          <w:sz w:val="21"/>
          <w:szCs w:val="21"/>
        </w:rPr>
        <w:t xml:space="preserve"> </w:t>
      </w:r>
      <w:r w:rsidRPr="009D2C14">
        <w:rPr>
          <w:rFonts w:ascii="Abadi" w:hAnsi="Abadi" w:cs="*Arial-5188-Identity-H"/>
          <w:color w:val="15141C"/>
          <w:sz w:val="21"/>
          <w:szCs w:val="21"/>
        </w:rPr>
        <w:t>acciones realizadas para ello, con objeto de que esta última realice el seguimiento</w:t>
      </w:r>
      <w:r>
        <w:rPr>
          <w:rFonts w:ascii="Abadi" w:hAnsi="Abadi" w:cs="*Arial-5188-Identity-H"/>
          <w:color w:val="15141C"/>
          <w:sz w:val="21"/>
          <w:szCs w:val="21"/>
        </w:rPr>
        <w:t xml:space="preserve"> </w:t>
      </w:r>
      <w:r w:rsidRPr="009D2C14">
        <w:rPr>
          <w:rFonts w:ascii="Abadi" w:hAnsi="Abadi" w:cs="*Arial-5188-Identity-H"/>
          <w:color w:val="15141C"/>
          <w:sz w:val="21"/>
          <w:szCs w:val="21"/>
        </w:rPr>
        <w:t>correspondiente, previsto en los artículos 37, fracción VII, 65 y 66 de la Ley de</w:t>
      </w:r>
      <w:r>
        <w:rPr>
          <w:rFonts w:ascii="Abadi" w:hAnsi="Abadi" w:cs="*Arial-5188-Identity-H"/>
          <w:color w:val="15141C"/>
          <w:sz w:val="21"/>
          <w:szCs w:val="21"/>
        </w:rPr>
        <w:t xml:space="preserve"> </w:t>
      </w:r>
      <w:r w:rsidRPr="009D2C14">
        <w:rPr>
          <w:rFonts w:ascii="Abadi" w:hAnsi="Abadi" w:cs="*Arial-5188-Identity-H"/>
          <w:color w:val="15141C"/>
          <w:sz w:val="21"/>
          <w:szCs w:val="21"/>
        </w:rPr>
        <w:t>Fiscalización Superior del Estado de Guanajuato y 77 del Reglamento de dicha</w:t>
      </w:r>
      <w:r>
        <w:rPr>
          <w:rFonts w:ascii="Abadi" w:hAnsi="Abadi" w:cs="*Arial-5188-Identity-H"/>
          <w:color w:val="15141C"/>
          <w:sz w:val="21"/>
          <w:szCs w:val="21"/>
        </w:rPr>
        <w:t xml:space="preserve"> </w:t>
      </w:r>
      <w:r w:rsidRPr="009D2C14">
        <w:rPr>
          <w:rFonts w:ascii="Abadi" w:hAnsi="Abadi" w:cs="*Arial-5188-Identity-H"/>
          <w:color w:val="15141C"/>
          <w:sz w:val="21"/>
          <w:szCs w:val="21"/>
        </w:rPr>
        <w:t>Ley.</w:t>
      </w:r>
    </w:p>
    <w:p w14:paraId="62AE58AB" w14:textId="77777777" w:rsidR="001E07D6" w:rsidRPr="009D2C14" w:rsidRDefault="001E07D6" w:rsidP="001E07D6">
      <w:pPr>
        <w:autoSpaceDE w:val="0"/>
        <w:autoSpaceDN w:val="0"/>
        <w:adjustRightInd w:val="0"/>
        <w:jc w:val="both"/>
        <w:rPr>
          <w:rFonts w:ascii="Abadi" w:hAnsi="Abadi" w:cs="*Arial-5188-Identity-H"/>
          <w:color w:val="15141C"/>
          <w:sz w:val="21"/>
          <w:szCs w:val="21"/>
        </w:rPr>
      </w:pPr>
    </w:p>
    <w:p w14:paraId="558C8E5B" w14:textId="4ED355B6" w:rsidR="001E07D6" w:rsidRDefault="001E07D6" w:rsidP="001E07D6">
      <w:pPr>
        <w:autoSpaceDE w:val="0"/>
        <w:autoSpaceDN w:val="0"/>
        <w:adjustRightInd w:val="0"/>
        <w:ind w:firstLine="708"/>
        <w:jc w:val="both"/>
        <w:rPr>
          <w:rFonts w:ascii="Abadi" w:hAnsi="Abadi" w:cs="*Arial-3734-Identity-H"/>
          <w:color w:val="14131C"/>
          <w:sz w:val="21"/>
          <w:szCs w:val="21"/>
        </w:rPr>
      </w:pPr>
      <w:r w:rsidRPr="009D2C14">
        <w:rPr>
          <w:rFonts w:ascii="Abadi" w:hAnsi="Abadi" w:cs="*Arial-3734-Identity-H"/>
          <w:color w:val="14131B"/>
          <w:sz w:val="21"/>
          <w:szCs w:val="21"/>
        </w:rPr>
        <w:t>De conformidad con el artículo 37, fracción VI de la Ley de Fiscalización</w:t>
      </w:r>
      <w:r>
        <w:rPr>
          <w:rFonts w:ascii="Abadi" w:hAnsi="Abadi" w:cs="*Arial-3734-Identity-H"/>
          <w:color w:val="14131B"/>
          <w:sz w:val="21"/>
          <w:szCs w:val="21"/>
        </w:rPr>
        <w:t xml:space="preserve"> Superior</w:t>
      </w:r>
      <w:r w:rsidRPr="009D2C14">
        <w:rPr>
          <w:rFonts w:ascii="Abadi" w:hAnsi="Abadi" w:cs="*Arial-3734-Identity-H"/>
          <w:color w:val="14131B"/>
          <w:sz w:val="21"/>
          <w:szCs w:val="21"/>
        </w:rPr>
        <w:t xml:space="preserve"> del Estado de Guanajuato, remítase el pre</w:t>
      </w:r>
      <w:r w:rsidR="00707093">
        <w:rPr>
          <w:rFonts w:ascii="Abadi" w:hAnsi="Abadi" w:cs="*Arial-3734-Identity-H"/>
          <w:color w:val="14131B"/>
          <w:sz w:val="21"/>
          <w:szCs w:val="21"/>
        </w:rPr>
        <w:t>s</w:t>
      </w:r>
      <w:r w:rsidRPr="009D2C14">
        <w:rPr>
          <w:rFonts w:ascii="Abadi" w:hAnsi="Abadi" w:cs="*Arial-3734-Identity-H"/>
          <w:color w:val="14131B"/>
          <w:sz w:val="21"/>
          <w:szCs w:val="21"/>
        </w:rPr>
        <w:t>ente acuerdo junto con su</w:t>
      </w:r>
      <w:r>
        <w:rPr>
          <w:rFonts w:ascii="Abadi" w:hAnsi="Abadi" w:cs="*Arial-3734-Identity-H"/>
          <w:color w:val="14131B"/>
          <w:sz w:val="21"/>
          <w:szCs w:val="21"/>
        </w:rPr>
        <w:t xml:space="preserve"> </w:t>
      </w:r>
      <w:r w:rsidRPr="009D2C14">
        <w:rPr>
          <w:rFonts w:ascii="Abadi" w:hAnsi="Abadi" w:cs="*Arial-3734-Identity-H"/>
          <w:color w:val="14131B"/>
          <w:sz w:val="21"/>
          <w:szCs w:val="21"/>
        </w:rPr>
        <w:t>dictamen y el informe de resultados a la Audito</w:t>
      </w:r>
      <w:r>
        <w:rPr>
          <w:rFonts w:ascii="Abadi" w:hAnsi="Abadi" w:cs="*Arial-3734-Identity-H"/>
          <w:color w:val="14131B"/>
          <w:sz w:val="21"/>
          <w:szCs w:val="21"/>
        </w:rPr>
        <w:t xml:space="preserve">ria Superior </w:t>
      </w:r>
      <w:r w:rsidRPr="009D2C14">
        <w:rPr>
          <w:rFonts w:ascii="Abadi" w:hAnsi="Abadi" w:cs="*Arial-3734-Identity-H"/>
          <w:color w:val="14131B"/>
          <w:sz w:val="21"/>
          <w:szCs w:val="21"/>
        </w:rPr>
        <w:t>del Estado, para</w:t>
      </w:r>
      <w:r>
        <w:rPr>
          <w:rFonts w:ascii="Abadi" w:hAnsi="Abadi" w:cs="*Arial-3734-Identity-H"/>
          <w:color w:val="14131B"/>
          <w:sz w:val="21"/>
          <w:szCs w:val="21"/>
        </w:rPr>
        <w:t xml:space="preserve"> </w:t>
      </w:r>
      <w:r w:rsidRPr="009D2C14">
        <w:rPr>
          <w:rFonts w:ascii="Abadi" w:hAnsi="Abadi" w:cs="*Arial-3734-Identity-H"/>
          <w:color w:val="14131C"/>
          <w:sz w:val="21"/>
          <w:szCs w:val="21"/>
        </w:rPr>
        <w:t>efectos de su notificación.</w:t>
      </w:r>
    </w:p>
    <w:p w14:paraId="29095FD1" w14:textId="67ADA685" w:rsidR="00600B0C" w:rsidRDefault="00600B0C" w:rsidP="001E07D6">
      <w:pPr>
        <w:autoSpaceDE w:val="0"/>
        <w:autoSpaceDN w:val="0"/>
        <w:adjustRightInd w:val="0"/>
        <w:ind w:firstLine="708"/>
        <w:jc w:val="both"/>
        <w:rPr>
          <w:rFonts w:ascii="Abadi" w:hAnsi="Abadi" w:cs="*Arial-3734-Identity-H"/>
          <w:color w:val="14131C"/>
          <w:sz w:val="21"/>
          <w:szCs w:val="21"/>
        </w:rPr>
      </w:pPr>
    </w:p>
    <w:p w14:paraId="4D33F8CB" w14:textId="77777777" w:rsidR="00600B0C" w:rsidRDefault="00600B0C" w:rsidP="00707093">
      <w:pPr>
        <w:autoSpaceDE w:val="0"/>
        <w:autoSpaceDN w:val="0"/>
        <w:adjustRightInd w:val="0"/>
        <w:jc w:val="center"/>
        <w:rPr>
          <w:rFonts w:ascii="Abadi" w:hAnsi="Abadi" w:cs="*Arial-6038-Identity-H"/>
          <w:b/>
          <w:bCs/>
          <w:color w:val="0E0D10"/>
          <w:sz w:val="21"/>
          <w:szCs w:val="21"/>
        </w:rPr>
      </w:pPr>
      <w:r>
        <w:rPr>
          <w:rFonts w:ascii="Abadi" w:hAnsi="Abadi" w:cs="*Arial-6038-Identity-H"/>
          <w:b/>
          <w:bCs/>
          <w:color w:val="0E0D10"/>
          <w:sz w:val="21"/>
          <w:szCs w:val="21"/>
        </w:rPr>
        <w:t>Guanajuato, Gto., 5 de abril de 2022</w:t>
      </w:r>
    </w:p>
    <w:p w14:paraId="5DDC4F1F" w14:textId="77777777" w:rsidR="00600B0C" w:rsidRDefault="00600B0C" w:rsidP="00707093">
      <w:pPr>
        <w:autoSpaceDE w:val="0"/>
        <w:autoSpaceDN w:val="0"/>
        <w:adjustRightInd w:val="0"/>
        <w:jc w:val="center"/>
        <w:rPr>
          <w:rFonts w:ascii="Abadi" w:hAnsi="Abadi" w:cs="*Arial-6038-Identity-H"/>
          <w:b/>
          <w:bCs/>
          <w:color w:val="0E0D10"/>
          <w:sz w:val="21"/>
          <w:szCs w:val="21"/>
        </w:rPr>
      </w:pPr>
      <w:r>
        <w:rPr>
          <w:rFonts w:ascii="Abadi" w:hAnsi="Abadi" w:cs="*Arial-6038-Identity-H"/>
          <w:b/>
          <w:bCs/>
          <w:color w:val="0E0D10"/>
          <w:sz w:val="21"/>
          <w:szCs w:val="21"/>
        </w:rPr>
        <w:t>La Comisión de Hacienda y Fiscalización</w:t>
      </w:r>
    </w:p>
    <w:p w14:paraId="67D44E1F" w14:textId="77777777" w:rsidR="00600B0C" w:rsidRDefault="00600B0C" w:rsidP="00600B0C">
      <w:pPr>
        <w:autoSpaceDE w:val="0"/>
        <w:autoSpaceDN w:val="0"/>
        <w:adjustRightInd w:val="0"/>
        <w:ind w:firstLine="708"/>
        <w:jc w:val="both"/>
        <w:rPr>
          <w:rFonts w:ascii="Abadi" w:hAnsi="Abadi" w:cs="*Arial-6038-Identity-H"/>
          <w:b/>
          <w:bCs/>
          <w:color w:val="0E0D10"/>
          <w:sz w:val="21"/>
          <w:szCs w:val="21"/>
        </w:rPr>
      </w:pPr>
    </w:p>
    <w:p w14:paraId="56C5F0C0"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 Víctor Manuel Zanella Huerta</w:t>
      </w:r>
    </w:p>
    <w:p w14:paraId="02B1C866"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Diputada Ruth Noemí Tiscareño Agoitia</w:t>
      </w:r>
    </w:p>
    <w:p w14:paraId="7961B1F0"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Miguel ángel Salim Alle</w:t>
      </w:r>
    </w:p>
    <w:p w14:paraId="33F44FEF"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José alonso Borja Pimentel</w:t>
      </w:r>
    </w:p>
    <w:p w14:paraId="3EAB4516" w14:textId="77777777" w:rsidR="00600B0C" w:rsidRDefault="00600B0C" w:rsidP="00600B0C">
      <w:pPr>
        <w:autoSpaceDE w:val="0"/>
        <w:autoSpaceDN w:val="0"/>
        <w:adjustRightInd w:val="0"/>
        <w:jc w:val="both"/>
        <w:rPr>
          <w:rFonts w:ascii="Abadi" w:hAnsi="Abadi"/>
          <w:b/>
          <w:bCs/>
          <w:sz w:val="21"/>
          <w:szCs w:val="21"/>
        </w:rPr>
      </w:pPr>
      <w:r>
        <w:rPr>
          <w:rFonts w:ascii="Abadi" w:hAnsi="Abadi" w:cs="*Arial-6038-Identity-H"/>
          <w:b/>
          <w:bCs/>
          <w:color w:val="0E0D10"/>
          <w:sz w:val="21"/>
          <w:szCs w:val="21"/>
        </w:rPr>
        <w:t>Diputada Alma Edwviges Alcaraz Hernández</w:t>
      </w:r>
    </w:p>
    <w:p w14:paraId="4B863ED9" w14:textId="77777777" w:rsidR="00600B0C" w:rsidRPr="00C0364D" w:rsidRDefault="00600B0C" w:rsidP="00600B0C">
      <w:pPr>
        <w:autoSpaceDE w:val="0"/>
        <w:autoSpaceDN w:val="0"/>
        <w:adjustRightInd w:val="0"/>
        <w:ind w:firstLine="708"/>
        <w:jc w:val="both"/>
        <w:rPr>
          <w:rFonts w:ascii="Abadi" w:hAnsi="Abadi"/>
          <w:sz w:val="21"/>
          <w:szCs w:val="21"/>
        </w:rPr>
      </w:pPr>
    </w:p>
    <w:p w14:paraId="5B1A8114" w14:textId="77777777" w:rsidR="0019269C" w:rsidRDefault="0019269C" w:rsidP="0019269C">
      <w:pPr>
        <w:pStyle w:val="Prrafodelista"/>
        <w:autoSpaceDE w:val="0"/>
        <w:autoSpaceDN w:val="0"/>
        <w:adjustRightInd w:val="0"/>
        <w:ind w:left="426"/>
        <w:jc w:val="both"/>
        <w:rPr>
          <w:rFonts w:ascii="Abadi" w:hAnsi="Abadi" w:cs="ArialMT"/>
          <w:b/>
          <w:bCs/>
          <w:sz w:val="20"/>
          <w:szCs w:val="21"/>
        </w:rPr>
      </w:pPr>
    </w:p>
    <w:p w14:paraId="0BC07EC9" w14:textId="22D6CC83" w:rsidR="006F3002" w:rsidRP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FORMULADO POR LA COMISIÓN DE HACIENDA Y FISCALIZACIÓN RELATIVO AL INFORME DE RESULTADOS DE LA AUDITORÍA DE DESEMPEÑO PRACTICADA POR LA AUDITORÍA SUPERIOR DEL ESTADO DE GUANAJUATO A LA ADMINISTRACIÓN MUNICIPAL DE IRAPUATO, GTO., CON</w:t>
      </w:r>
    </w:p>
    <w:p w14:paraId="72CC9220" w14:textId="18B4BFB0" w:rsidR="006F3002" w:rsidRDefault="006F3002" w:rsidP="001A0572">
      <w:pPr>
        <w:pStyle w:val="Prrafodelista"/>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ENFOQUE A RESULTADOS DEL SERVICIO DE ALUMBRADO PÚBLICO, POR EL PERIODO COMPRENDIDO DEL 1 DE ENERO AL 31 DE DICIEMBRE DEL EJERCICIO FISCAL DEL AÑO 2020.</w:t>
      </w:r>
    </w:p>
    <w:p w14:paraId="692A7FDA" w14:textId="1E77C1E3" w:rsidR="001A0572" w:rsidRDefault="001A0572" w:rsidP="001A0572">
      <w:pPr>
        <w:pStyle w:val="Prrafodelista"/>
        <w:autoSpaceDE w:val="0"/>
        <w:autoSpaceDN w:val="0"/>
        <w:adjustRightInd w:val="0"/>
        <w:ind w:left="426"/>
        <w:jc w:val="both"/>
        <w:rPr>
          <w:rFonts w:ascii="Abadi" w:hAnsi="Abadi" w:cs="ArialMT"/>
          <w:b/>
          <w:bCs/>
          <w:sz w:val="20"/>
          <w:szCs w:val="21"/>
        </w:rPr>
      </w:pPr>
    </w:p>
    <w:p w14:paraId="3DBDFF7C" w14:textId="77777777" w:rsidR="00600B0C" w:rsidRPr="00F64AE8" w:rsidRDefault="00600B0C" w:rsidP="00600B0C">
      <w:pPr>
        <w:autoSpaceDE w:val="0"/>
        <w:autoSpaceDN w:val="0"/>
        <w:adjustRightInd w:val="0"/>
        <w:jc w:val="both"/>
        <w:rPr>
          <w:rFonts w:ascii="Abadi" w:hAnsi="Abadi" w:cs="*Arial-Bold-5672-Identity-H"/>
          <w:b/>
          <w:bCs/>
          <w:color w:val="15131D"/>
          <w:sz w:val="21"/>
          <w:szCs w:val="21"/>
        </w:rPr>
      </w:pPr>
      <w:r w:rsidRPr="00F64AE8">
        <w:rPr>
          <w:rFonts w:ascii="Abadi" w:hAnsi="Abadi" w:cs="*Arial-Bold-5672-Identity-H"/>
          <w:b/>
          <w:bCs/>
          <w:color w:val="15131D"/>
          <w:sz w:val="21"/>
          <w:szCs w:val="21"/>
        </w:rPr>
        <w:t>C. PRESIDENTA DEL CONGRESO DEL ESTADO .</w:t>
      </w:r>
    </w:p>
    <w:p w14:paraId="3CFEFABC" w14:textId="77777777" w:rsidR="00600B0C" w:rsidRPr="00F64AE8" w:rsidRDefault="00600B0C" w:rsidP="00600B0C">
      <w:pPr>
        <w:autoSpaceDE w:val="0"/>
        <w:autoSpaceDN w:val="0"/>
        <w:adjustRightInd w:val="0"/>
        <w:jc w:val="both"/>
        <w:rPr>
          <w:rFonts w:ascii="Abadi" w:hAnsi="Abadi" w:cs="*Arial-Bold-5672-Identity-H"/>
          <w:b/>
          <w:bCs/>
          <w:color w:val="15131D"/>
          <w:sz w:val="21"/>
          <w:szCs w:val="21"/>
        </w:rPr>
      </w:pPr>
      <w:r w:rsidRPr="00F64AE8">
        <w:rPr>
          <w:rFonts w:ascii="Abadi" w:hAnsi="Abadi" w:cs="*Arial-Bold-5672-Identity-H"/>
          <w:b/>
          <w:bCs/>
          <w:color w:val="15131D"/>
          <w:sz w:val="21"/>
          <w:szCs w:val="21"/>
        </w:rPr>
        <w:t>P R E SENTE.</w:t>
      </w:r>
    </w:p>
    <w:p w14:paraId="1CE5CB1A" w14:textId="77777777" w:rsidR="00600B0C" w:rsidRPr="00F64AE8" w:rsidRDefault="00600B0C" w:rsidP="00600B0C">
      <w:pPr>
        <w:autoSpaceDE w:val="0"/>
        <w:autoSpaceDN w:val="0"/>
        <w:adjustRightInd w:val="0"/>
        <w:jc w:val="both"/>
        <w:rPr>
          <w:rFonts w:ascii="Abadi" w:hAnsi="Abadi" w:cs="*Arial-Bold-5672-Identity-H"/>
          <w:b/>
          <w:bCs/>
          <w:color w:val="15131D"/>
          <w:sz w:val="21"/>
          <w:szCs w:val="21"/>
        </w:rPr>
      </w:pPr>
    </w:p>
    <w:p w14:paraId="36AD5EE4" w14:textId="77777777" w:rsidR="00600B0C" w:rsidRDefault="00600B0C" w:rsidP="00600B0C">
      <w:pPr>
        <w:autoSpaceDE w:val="0"/>
        <w:autoSpaceDN w:val="0"/>
        <w:adjustRightInd w:val="0"/>
        <w:ind w:firstLine="708"/>
        <w:jc w:val="both"/>
        <w:rPr>
          <w:rFonts w:ascii="Abadi" w:hAnsi="Abadi" w:cs="*Arial-5670-Identity-H"/>
          <w:color w:val="14131C"/>
          <w:sz w:val="21"/>
          <w:szCs w:val="21"/>
        </w:rPr>
      </w:pPr>
      <w:r w:rsidRPr="00F64AE8">
        <w:rPr>
          <w:rFonts w:ascii="Abadi" w:hAnsi="Abadi" w:cs="*Arial-5670-Identity-H"/>
          <w:color w:val="14131C"/>
          <w:sz w:val="21"/>
          <w:szCs w:val="21"/>
        </w:rPr>
        <w:t>A esta Comisión de Hacienda y Fiscalización le fue turnado para su estudio</w:t>
      </w:r>
      <w:r>
        <w:rPr>
          <w:rFonts w:ascii="Abadi" w:hAnsi="Abadi" w:cs="*Arial-5670-Identity-H"/>
          <w:color w:val="14131C"/>
          <w:sz w:val="21"/>
          <w:szCs w:val="21"/>
        </w:rPr>
        <w:t xml:space="preserve"> </w:t>
      </w:r>
      <w:r w:rsidRPr="00F64AE8">
        <w:rPr>
          <w:rFonts w:ascii="Abadi" w:hAnsi="Abadi" w:cs="*Arial-5670-Identity-H"/>
          <w:color w:val="14131C"/>
          <w:sz w:val="21"/>
          <w:szCs w:val="21"/>
        </w:rPr>
        <w:t>y dictamen, el informe de resultados de la auditoría de desempeño practicada por</w:t>
      </w:r>
      <w:r>
        <w:rPr>
          <w:rFonts w:ascii="Abadi" w:hAnsi="Abadi" w:cs="*Arial-5670-Identity-H"/>
          <w:color w:val="14131C"/>
          <w:sz w:val="21"/>
          <w:szCs w:val="21"/>
        </w:rPr>
        <w:t xml:space="preserve"> </w:t>
      </w:r>
      <w:r w:rsidRPr="00F64AE8">
        <w:rPr>
          <w:rFonts w:ascii="Abadi" w:hAnsi="Abadi" w:cs="*Arial-5670-Identity-H"/>
          <w:color w:val="14131C"/>
          <w:sz w:val="21"/>
          <w:szCs w:val="21"/>
        </w:rPr>
        <w:t>la Auditoría Superior del Estado de Guanajuato a la administración municipal de</w:t>
      </w:r>
      <w:r>
        <w:rPr>
          <w:rFonts w:ascii="Abadi" w:hAnsi="Abadi" w:cs="*Arial-5670-Identity-H"/>
          <w:color w:val="14131C"/>
          <w:sz w:val="21"/>
          <w:szCs w:val="21"/>
        </w:rPr>
        <w:t xml:space="preserve"> </w:t>
      </w:r>
      <w:r w:rsidRPr="00F64AE8">
        <w:rPr>
          <w:rFonts w:ascii="Abadi" w:hAnsi="Abadi" w:cs="*Arial-5670-Identity-H"/>
          <w:color w:val="14131C"/>
          <w:sz w:val="21"/>
          <w:szCs w:val="21"/>
        </w:rPr>
        <w:t>lrapuato, Gto., con enfoque a resultados del servicio de alumbrado público, por el</w:t>
      </w:r>
      <w:r>
        <w:rPr>
          <w:rFonts w:ascii="Abadi" w:hAnsi="Abadi" w:cs="*Arial-5670-Identity-H"/>
          <w:color w:val="14131C"/>
          <w:sz w:val="21"/>
          <w:szCs w:val="21"/>
        </w:rPr>
        <w:t xml:space="preserve"> </w:t>
      </w:r>
      <w:r w:rsidRPr="00F64AE8">
        <w:rPr>
          <w:rFonts w:ascii="Abadi" w:hAnsi="Abadi" w:cs="*Arial-5670-Identity-H"/>
          <w:color w:val="14131C"/>
          <w:sz w:val="21"/>
          <w:szCs w:val="21"/>
        </w:rPr>
        <w:t>periodo comprendido del 1 de enero al 31 de diciembre del ejercicio fiscal del año</w:t>
      </w:r>
      <w:r>
        <w:rPr>
          <w:rFonts w:ascii="Abadi" w:hAnsi="Abadi" w:cs="*Arial-5670-Identity-H"/>
          <w:color w:val="14131C"/>
          <w:sz w:val="21"/>
          <w:szCs w:val="21"/>
        </w:rPr>
        <w:t xml:space="preserve"> </w:t>
      </w:r>
      <w:r w:rsidRPr="00F64AE8">
        <w:rPr>
          <w:rFonts w:ascii="Abadi" w:hAnsi="Abadi" w:cs="*Arial-5670-Identity-H"/>
          <w:color w:val="14131C"/>
          <w:sz w:val="21"/>
          <w:szCs w:val="21"/>
        </w:rPr>
        <w:t>2020.</w:t>
      </w:r>
    </w:p>
    <w:p w14:paraId="341E1E61" w14:textId="77777777" w:rsidR="00600B0C" w:rsidRPr="00F64AE8" w:rsidRDefault="00600B0C" w:rsidP="00600B0C">
      <w:pPr>
        <w:autoSpaceDE w:val="0"/>
        <w:autoSpaceDN w:val="0"/>
        <w:adjustRightInd w:val="0"/>
        <w:jc w:val="both"/>
        <w:rPr>
          <w:rFonts w:ascii="Abadi" w:hAnsi="Abadi" w:cs="*Arial-5670-Identity-H"/>
          <w:color w:val="14131C"/>
          <w:sz w:val="21"/>
          <w:szCs w:val="21"/>
        </w:rPr>
      </w:pPr>
    </w:p>
    <w:p w14:paraId="02804902" w14:textId="77777777" w:rsidR="00600B0C" w:rsidRPr="00F64AE8" w:rsidRDefault="00600B0C" w:rsidP="00600B0C">
      <w:pPr>
        <w:autoSpaceDE w:val="0"/>
        <w:autoSpaceDN w:val="0"/>
        <w:adjustRightInd w:val="0"/>
        <w:ind w:firstLine="708"/>
        <w:jc w:val="both"/>
        <w:rPr>
          <w:rFonts w:ascii="Abadi" w:hAnsi="Abadi" w:cs="*Arial-5670-Identity-H"/>
          <w:color w:val="15141C"/>
          <w:sz w:val="21"/>
          <w:szCs w:val="21"/>
        </w:rPr>
      </w:pPr>
      <w:r w:rsidRPr="00F64AE8">
        <w:rPr>
          <w:rFonts w:ascii="Abadi" w:hAnsi="Abadi" w:cs="*Arial-5670-Identity-H"/>
          <w:color w:val="15141C"/>
          <w:sz w:val="21"/>
          <w:szCs w:val="21"/>
        </w:rPr>
        <w:t>Una vez analizado el referido informe de resultados, con fundamento en los</w:t>
      </w:r>
      <w:r>
        <w:rPr>
          <w:rFonts w:ascii="Abadi" w:hAnsi="Abadi" w:cs="*Arial-5670-Identity-H"/>
          <w:color w:val="15141C"/>
          <w:sz w:val="21"/>
          <w:szCs w:val="21"/>
        </w:rPr>
        <w:t xml:space="preserve"> </w:t>
      </w:r>
      <w:r w:rsidRPr="00F64AE8">
        <w:rPr>
          <w:rFonts w:ascii="Abadi" w:hAnsi="Abadi" w:cs="*Arial-5670-Identity-H"/>
          <w:color w:val="15141C"/>
          <w:sz w:val="21"/>
          <w:szCs w:val="21"/>
        </w:rPr>
        <w:t>artículos 112 fracción XII, primer párrafo y 171 de la Ley Orgánica del Poder</w:t>
      </w:r>
      <w:r>
        <w:rPr>
          <w:rFonts w:ascii="Abadi" w:hAnsi="Abadi" w:cs="*Arial-5670-Identity-H"/>
          <w:color w:val="15141C"/>
          <w:sz w:val="21"/>
          <w:szCs w:val="21"/>
        </w:rPr>
        <w:t xml:space="preserve"> </w:t>
      </w:r>
      <w:r w:rsidRPr="00F64AE8">
        <w:rPr>
          <w:rFonts w:ascii="Abadi" w:hAnsi="Abadi" w:cs="*Arial-5670-Identity-H"/>
          <w:color w:val="15141C"/>
          <w:sz w:val="21"/>
          <w:szCs w:val="21"/>
        </w:rPr>
        <w:t>Legislativo, nos permitimos rendir el siguiente:</w:t>
      </w:r>
    </w:p>
    <w:p w14:paraId="0E7D7612" w14:textId="77777777" w:rsidR="00600B0C" w:rsidRDefault="00600B0C" w:rsidP="00600B0C">
      <w:pPr>
        <w:autoSpaceDE w:val="0"/>
        <w:autoSpaceDN w:val="0"/>
        <w:adjustRightInd w:val="0"/>
        <w:jc w:val="both"/>
        <w:rPr>
          <w:rFonts w:ascii="Abadi" w:hAnsi="Abadi" w:cs="*Arial-Bold-5671-Identity-H"/>
          <w:b/>
          <w:bCs/>
          <w:color w:val="14131D"/>
          <w:sz w:val="21"/>
          <w:szCs w:val="21"/>
        </w:rPr>
      </w:pPr>
    </w:p>
    <w:p w14:paraId="7E2747AF" w14:textId="77777777" w:rsidR="00600B0C" w:rsidRDefault="00600B0C" w:rsidP="00600B0C">
      <w:pPr>
        <w:autoSpaceDE w:val="0"/>
        <w:autoSpaceDN w:val="0"/>
        <w:adjustRightInd w:val="0"/>
        <w:jc w:val="center"/>
        <w:rPr>
          <w:rFonts w:ascii="Abadi" w:hAnsi="Abadi" w:cs="*Arial-Bold-5671-Identity-H"/>
          <w:b/>
          <w:bCs/>
          <w:color w:val="14131D"/>
          <w:sz w:val="21"/>
          <w:szCs w:val="21"/>
        </w:rPr>
      </w:pPr>
      <w:r w:rsidRPr="00F64AE8">
        <w:rPr>
          <w:rFonts w:ascii="Abadi" w:hAnsi="Abadi" w:cs="*Arial-Bold-5671-Identity-H"/>
          <w:b/>
          <w:bCs/>
          <w:color w:val="14131D"/>
          <w:sz w:val="21"/>
          <w:szCs w:val="21"/>
        </w:rPr>
        <w:t>Dictamen</w:t>
      </w:r>
    </w:p>
    <w:p w14:paraId="43F60FCB" w14:textId="77777777" w:rsidR="00600B0C" w:rsidRPr="00F64AE8" w:rsidRDefault="00600B0C" w:rsidP="00600B0C">
      <w:pPr>
        <w:autoSpaceDE w:val="0"/>
        <w:autoSpaceDN w:val="0"/>
        <w:adjustRightInd w:val="0"/>
        <w:jc w:val="both"/>
        <w:rPr>
          <w:rFonts w:ascii="Abadi" w:hAnsi="Abadi" w:cs="*Arial-Bold-5671-Identity-H"/>
          <w:b/>
          <w:bCs/>
          <w:color w:val="14131D"/>
          <w:sz w:val="21"/>
          <w:szCs w:val="21"/>
        </w:rPr>
      </w:pPr>
    </w:p>
    <w:p w14:paraId="51C8A51A" w14:textId="77777777" w:rsidR="00600B0C" w:rsidRDefault="00600B0C" w:rsidP="00600B0C">
      <w:pPr>
        <w:autoSpaceDE w:val="0"/>
        <w:autoSpaceDN w:val="0"/>
        <w:adjustRightInd w:val="0"/>
        <w:ind w:firstLine="708"/>
        <w:jc w:val="both"/>
        <w:rPr>
          <w:rFonts w:ascii="Abadi" w:hAnsi="Abadi" w:cs="*Arial-Bold-5671-Identity-H"/>
          <w:b/>
          <w:bCs/>
          <w:color w:val="14131D"/>
          <w:sz w:val="21"/>
          <w:szCs w:val="21"/>
        </w:rPr>
      </w:pPr>
      <w:r w:rsidRPr="00F64AE8">
        <w:rPr>
          <w:rFonts w:ascii="Abadi" w:hAnsi="Abadi" w:cs="*Arial-Bold-5671-Identity-H"/>
          <w:b/>
          <w:bCs/>
          <w:color w:val="14131D"/>
          <w:sz w:val="21"/>
          <w:szCs w:val="21"/>
        </w:rPr>
        <w:t>l. Competencia:</w:t>
      </w:r>
    </w:p>
    <w:p w14:paraId="1972C5CB" w14:textId="77777777" w:rsidR="00600B0C" w:rsidRPr="00F64AE8" w:rsidRDefault="00600B0C" w:rsidP="00600B0C">
      <w:pPr>
        <w:autoSpaceDE w:val="0"/>
        <w:autoSpaceDN w:val="0"/>
        <w:adjustRightInd w:val="0"/>
        <w:jc w:val="both"/>
        <w:rPr>
          <w:rFonts w:ascii="Abadi" w:hAnsi="Abadi" w:cs="*Arial-Bold-5671-Identity-H"/>
          <w:b/>
          <w:bCs/>
          <w:color w:val="14131D"/>
          <w:sz w:val="21"/>
          <w:szCs w:val="21"/>
        </w:rPr>
      </w:pPr>
    </w:p>
    <w:p w14:paraId="631AAD13" w14:textId="77777777" w:rsidR="00600B0C" w:rsidRDefault="00600B0C" w:rsidP="00600B0C">
      <w:pPr>
        <w:autoSpaceDE w:val="0"/>
        <w:autoSpaceDN w:val="0"/>
        <w:adjustRightInd w:val="0"/>
        <w:ind w:firstLine="708"/>
        <w:jc w:val="both"/>
        <w:rPr>
          <w:rFonts w:ascii="Abadi" w:hAnsi="Abadi" w:cs="*Arial-5670-Identity-H"/>
          <w:color w:val="15141B"/>
          <w:sz w:val="21"/>
          <w:szCs w:val="21"/>
        </w:rPr>
      </w:pPr>
      <w:r w:rsidRPr="00F64AE8">
        <w:rPr>
          <w:rFonts w:ascii="Abadi" w:hAnsi="Abadi" w:cs="*Arial-5670-Identity-H"/>
          <w:color w:val="15141B"/>
          <w:sz w:val="21"/>
          <w:szCs w:val="21"/>
        </w:rPr>
        <w:t>Las facultades de la legislatura local en materia de fiscalización de las</w:t>
      </w:r>
      <w:r>
        <w:rPr>
          <w:rFonts w:ascii="Abadi" w:hAnsi="Abadi" w:cs="*Arial-5670-Identity-H"/>
          <w:color w:val="15141B"/>
          <w:sz w:val="21"/>
          <w:szCs w:val="21"/>
        </w:rPr>
        <w:t xml:space="preserve"> </w:t>
      </w:r>
      <w:r w:rsidRPr="00F64AE8">
        <w:rPr>
          <w:rFonts w:ascii="Abadi" w:hAnsi="Abadi" w:cs="*Arial-5670-Identity-H"/>
          <w:color w:val="15141B"/>
          <w:sz w:val="21"/>
          <w:szCs w:val="21"/>
        </w:rPr>
        <w:t>cuentas públicas tienen su fundamento en lo dispuesto por el artículo 63</w:t>
      </w:r>
      <w:r>
        <w:rPr>
          <w:rFonts w:ascii="Abadi" w:hAnsi="Abadi" w:cs="*Arial-5670-Identity-H"/>
          <w:color w:val="15141B"/>
          <w:sz w:val="21"/>
          <w:szCs w:val="21"/>
        </w:rPr>
        <w:t xml:space="preserve"> </w:t>
      </w:r>
      <w:r w:rsidRPr="00F64AE8">
        <w:rPr>
          <w:rFonts w:ascii="Abadi" w:hAnsi="Abadi" w:cs="*Arial-5670-Identity-H"/>
          <w:color w:val="15141B"/>
          <w:sz w:val="21"/>
          <w:szCs w:val="21"/>
        </w:rPr>
        <w:t xml:space="preserve">fracciones XVII 1, XIX y </w:t>
      </w:r>
      <w:r w:rsidRPr="00F64AE8">
        <w:rPr>
          <w:rFonts w:ascii="Abadi" w:hAnsi="Abadi" w:cs="*Microsoft Sans Serif-Bold-5674"/>
          <w:color w:val="15141B"/>
          <w:sz w:val="21"/>
          <w:szCs w:val="21"/>
        </w:rPr>
        <w:t xml:space="preserve">XXVIII </w:t>
      </w:r>
      <w:r w:rsidRPr="00F64AE8">
        <w:rPr>
          <w:rFonts w:ascii="Abadi" w:hAnsi="Abadi" w:cs="*Arial-5670-Identity-H"/>
          <w:color w:val="15141B"/>
          <w:sz w:val="21"/>
          <w:szCs w:val="21"/>
        </w:rPr>
        <w:t>de la Constitución Política para el Estado de</w:t>
      </w:r>
      <w:r>
        <w:rPr>
          <w:rFonts w:ascii="Abadi" w:hAnsi="Abadi" w:cs="*Arial-5670-Identity-H"/>
          <w:color w:val="15141B"/>
          <w:sz w:val="21"/>
          <w:szCs w:val="21"/>
        </w:rPr>
        <w:t xml:space="preserve"> </w:t>
      </w:r>
      <w:r w:rsidRPr="00F64AE8">
        <w:rPr>
          <w:rFonts w:ascii="Abadi" w:hAnsi="Abadi" w:cs="*Arial-5670-Identity-H"/>
          <w:color w:val="15141B"/>
          <w:sz w:val="21"/>
          <w:szCs w:val="21"/>
        </w:rPr>
        <w:t>Guanajuato. Estos dispositivos establecen que el Congreso del Estado tiene la</w:t>
      </w:r>
      <w:r>
        <w:rPr>
          <w:rFonts w:ascii="Abadi" w:hAnsi="Abadi" w:cs="*Arial-5670-Identity-H"/>
          <w:color w:val="15141B"/>
          <w:sz w:val="21"/>
          <w:szCs w:val="21"/>
        </w:rPr>
        <w:t xml:space="preserve"> </w:t>
      </w:r>
      <w:r w:rsidRPr="00F64AE8">
        <w:rPr>
          <w:rFonts w:ascii="Abadi" w:hAnsi="Abadi" w:cs="*Arial-5670-Identity-H"/>
          <w:color w:val="15141B"/>
          <w:sz w:val="21"/>
          <w:szCs w:val="21"/>
        </w:rPr>
        <w:t>facultad de fiscalizar la cuenta pública del Poder Ejecutivo, incluyendo las de las</w:t>
      </w:r>
      <w:r>
        <w:rPr>
          <w:rFonts w:ascii="Abadi" w:hAnsi="Abadi" w:cs="*Arial-5670-Identity-H"/>
          <w:color w:val="15141B"/>
          <w:sz w:val="21"/>
          <w:szCs w:val="21"/>
        </w:rPr>
        <w:t xml:space="preserve"> </w:t>
      </w:r>
      <w:r w:rsidRPr="00F64AE8">
        <w:rPr>
          <w:rFonts w:ascii="Abadi" w:hAnsi="Abadi" w:cs="*Arial-5670-Identity-H"/>
          <w:color w:val="15141B"/>
          <w:sz w:val="21"/>
          <w:szCs w:val="21"/>
        </w:rPr>
        <w:t>Entidades y organismos de la administración pública paraestatal, las del Poder</w:t>
      </w:r>
      <w:r>
        <w:rPr>
          <w:rFonts w:ascii="Abadi" w:hAnsi="Abadi" w:cs="*Arial-5670-Identity-H"/>
          <w:color w:val="15141B"/>
          <w:sz w:val="21"/>
          <w:szCs w:val="21"/>
        </w:rPr>
        <w:t xml:space="preserve"> </w:t>
      </w:r>
      <w:r w:rsidRPr="00F64AE8">
        <w:rPr>
          <w:rFonts w:ascii="Abadi" w:hAnsi="Abadi" w:cs="*Arial-5670-Identity-H"/>
          <w:color w:val="15141B"/>
          <w:sz w:val="21"/>
          <w:szCs w:val="21"/>
        </w:rPr>
        <w:t>Judicial y de los organismos autónomos; así como las cuentas públicas</w:t>
      </w:r>
      <w:r>
        <w:rPr>
          <w:rFonts w:ascii="Abadi" w:hAnsi="Abadi" w:cs="*Arial-5670-Identity-H"/>
          <w:color w:val="15141B"/>
          <w:sz w:val="21"/>
          <w:szCs w:val="21"/>
        </w:rPr>
        <w:t xml:space="preserve"> </w:t>
      </w:r>
      <w:r w:rsidRPr="00F64AE8">
        <w:rPr>
          <w:rFonts w:ascii="Abadi" w:hAnsi="Abadi" w:cs="*Arial-5670-Identity-H"/>
          <w:color w:val="15141B"/>
          <w:sz w:val="21"/>
          <w:szCs w:val="21"/>
        </w:rPr>
        <w:t>municipales, incluyendo las de las entidades y organismos de la administración</w:t>
      </w:r>
      <w:r>
        <w:rPr>
          <w:rFonts w:ascii="Abadi" w:hAnsi="Abadi" w:cs="*Arial-5670-Identity-H"/>
          <w:color w:val="15141B"/>
          <w:sz w:val="21"/>
          <w:szCs w:val="21"/>
        </w:rPr>
        <w:t xml:space="preserve"> </w:t>
      </w:r>
      <w:r w:rsidRPr="00F64AE8">
        <w:rPr>
          <w:rFonts w:ascii="Abadi" w:hAnsi="Abadi" w:cs="*Arial-5670-Identity-H"/>
          <w:color w:val="15141B"/>
          <w:sz w:val="21"/>
          <w:szCs w:val="21"/>
        </w:rPr>
        <w:t>pública paramunicipal; y verificar el desempeño en el cumplimiento de los</w:t>
      </w:r>
      <w:r>
        <w:rPr>
          <w:rFonts w:ascii="Abadi" w:hAnsi="Abadi" w:cs="*Arial-5670-Identity-H"/>
          <w:color w:val="15141B"/>
          <w:sz w:val="21"/>
          <w:szCs w:val="21"/>
        </w:rPr>
        <w:t xml:space="preserve"> </w:t>
      </w:r>
      <w:r w:rsidRPr="00F64AE8">
        <w:rPr>
          <w:rFonts w:ascii="Abadi" w:hAnsi="Abadi" w:cs="*Arial-5670-Identity-H"/>
          <w:color w:val="15141B"/>
          <w:sz w:val="21"/>
          <w:szCs w:val="21"/>
        </w:rPr>
        <w:t>objetivos de los programas. De igual manera, puede acordar la práctica de</w:t>
      </w:r>
      <w:r>
        <w:rPr>
          <w:rFonts w:ascii="Abadi" w:hAnsi="Abadi" w:cs="*Arial-5670-Identity-H"/>
          <w:color w:val="15141B"/>
          <w:sz w:val="21"/>
          <w:szCs w:val="21"/>
        </w:rPr>
        <w:t xml:space="preserve"> </w:t>
      </w:r>
      <w:r w:rsidRPr="00F64AE8">
        <w:rPr>
          <w:rFonts w:ascii="Abadi" w:hAnsi="Abadi" w:cs="*Arial-5670-Identity-H"/>
          <w:color w:val="15141B"/>
          <w:sz w:val="21"/>
          <w:szCs w:val="21"/>
        </w:rPr>
        <w:t>auditorías a los sujetos de fiscalización, cuando exista causa justificada para ello,</w:t>
      </w:r>
      <w:r>
        <w:rPr>
          <w:rFonts w:ascii="Abadi" w:hAnsi="Abadi" w:cs="*Arial-5670-Identity-H"/>
          <w:color w:val="15141B"/>
          <w:sz w:val="21"/>
          <w:szCs w:val="21"/>
        </w:rPr>
        <w:t xml:space="preserve"> </w:t>
      </w:r>
      <w:r w:rsidRPr="00F64AE8">
        <w:rPr>
          <w:rFonts w:ascii="Abadi" w:hAnsi="Abadi" w:cs="*Arial-5670-Identity-H"/>
          <w:color w:val="15141B"/>
          <w:sz w:val="21"/>
          <w:szCs w:val="21"/>
        </w:rPr>
        <w:t>auxiliándose para el cumplimiento de dichas facultades por la Auditoría Superior</w:t>
      </w:r>
      <w:r>
        <w:rPr>
          <w:rFonts w:ascii="Abadi" w:hAnsi="Abadi" w:cs="*Arial-5670-Identity-H"/>
          <w:color w:val="15141B"/>
          <w:sz w:val="21"/>
          <w:szCs w:val="21"/>
        </w:rPr>
        <w:t xml:space="preserve"> </w:t>
      </w:r>
      <w:r w:rsidRPr="00F64AE8">
        <w:rPr>
          <w:rFonts w:ascii="Abadi" w:hAnsi="Abadi" w:cs="*Arial-5670-Identity-H"/>
          <w:color w:val="15141B"/>
          <w:sz w:val="21"/>
          <w:szCs w:val="21"/>
        </w:rPr>
        <w:t>del Estado de Guanajuato.</w:t>
      </w:r>
    </w:p>
    <w:p w14:paraId="116E91D0" w14:textId="77777777" w:rsidR="00600B0C" w:rsidRDefault="00600B0C" w:rsidP="00600B0C">
      <w:pPr>
        <w:autoSpaceDE w:val="0"/>
        <w:autoSpaceDN w:val="0"/>
        <w:adjustRightInd w:val="0"/>
        <w:jc w:val="both"/>
        <w:rPr>
          <w:rFonts w:ascii="Abadi" w:hAnsi="Abadi" w:cs="*Arial-5670-Identity-H"/>
          <w:color w:val="15141B"/>
          <w:sz w:val="21"/>
          <w:szCs w:val="21"/>
        </w:rPr>
      </w:pPr>
    </w:p>
    <w:p w14:paraId="59DC9F38" w14:textId="77777777" w:rsidR="00600B0C" w:rsidRPr="00F64AE8" w:rsidRDefault="00600B0C" w:rsidP="00600B0C">
      <w:pPr>
        <w:autoSpaceDE w:val="0"/>
        <w:autoSpaceDN w:val="0"/>
        <w:adjustRightInd w:val="0"/>
        <w:jc w:val="both"/>
        <w:rPr>
          <w:rFonts w:ascii="Abadi" w:hAnsi="Abadi" w:cs="*Arial-5670-Identity-H"/>
          <w:color w:val="15141B"/>
          <w:sz w:val="21"/>
          <w:szCs w:val="21"/>
        </w:rPr>
      </w:pPr>
    </w:p>
    <w:p w14:paraId="7FD50C32" w14:textId="77777777" w:rsidR="00600B0C" w:rsidRDefault="00600B0C" w:rsidP="00600B0C">
      <w:pPr>
        <w:autoSpaceDE w:val="0"/>
        <w:autoSpaceDN w:val="0"/>
        <w:adjustRightInd w:val="0"/>
        <w:ind w:firstLine="708"/>
        <w:jc w:val="both"/>
        <w:rPr>
          <w:rFonts w:ascii="Abadi" w:hAnsi="Abadi" w:cs="*Arial-5670-Identity-H"/>
          <w:color w:val="14131C"/>
          <w:sz w:val="21"/>
          <w:szCs w:val="21"/>
        </w:rPr>
      </w:pPr>
      <w:r w:rsidRPr="00F64AE8">
        <w:rPr>
          <w:rFonts w:ascii="Abadi" w:hAnsi="Abadi" w:cs="*Arial-5670-Identity-H"/>
          <w:color w:val="14131C"/>
          <w:sz w:val="21"/>
          <w:szCs w:val="21"/>
        </w:rPr>
        <w:t>Asimismo, el artículo 66 fracción VIII de dicho Ordenamiento Constitucional</w:t>
      </w:r>
      <w:r>
        <w:rPr>
          <w:rFonts w:ascii="Abadi" w:hAnsi="Abadi" w:cs="*Arial-5670-Identity-H"/>
          <w:color w:val="14131C"/>
          <w:sz w:val="21"/>
          <w:szCs w:val="21"/>
        </w:rPr>
        <w:t xml:space="preserve"> </w:t>
      </w:r>
      <w:r w:rsidRPr="00F64AE8">
        <w:rPr>
          <w:rFonts w:ascii="Abadi" w:hAnsi="Abadi" w:cs="*Arial-5670-Identity-H"/>
          <w:color w:val="14131C"/>
          <w:sz w:val="21"/>
          <w:szCs w:val="21"/>
        </w:rPr>
        <w:t>establece que la Auditoría Superior del Estado de Guanajuato deberá informar al</w:t>
      </w:r>
      <w:r>
        <w:rPr>
          <w:rFonts w:ascii="Abadi" w:hAnsi="Abadi" w:cs="*Arial-5670-Identity-H"/>
          <w:color w:val="14131C"/>
          <w:sz w:val="21"/>
          <w:szCs w:val="21"/>
        </w:rPr>
        <w:t xml:space="preserve"> </w:t>
      </w:r>
      <w:r w:rsidRPr="00F64AE8">
        <w:rPr>
          <w:rFonts w:ascii="Abadi" w:hAnsi="Abadi" w:cs="*Arial-5670-Identity-H"/>
          <w:color w:val="14131C"/>
          <w:sz w:val="21"/>
          <w:szCs w:val="21"/>
        </w:rPr>
        <w:t>Congreso del Estado del resultado de la revisión de la cuenta pública y demás</w:t>
      </w:r>
      <w:r>
        <w:rPr>
          <w:rFonts w:ascii="Abadi" w:hAnsi="Abadi" w:cs="*Arial-5670-Identity-H"/>
          <w:color w:val="14131C"/>
          <w:sz w:val="21"/>
          <w:szCs w:val="21"/>
        </w:rPr>
        <w:t xml:space="preserve"> </w:t>
      </w:r>
      <w:r w:rsidRPr="00F64AE8">
        <w:rPr>
          <w:rFonts w:ascii="Abadi" w:hAnsi="Abadi" w:cs="*Arial-5670-Identity-H"/>
          <w:color w:val="14131C"/>
          <w:sz w:val="21"/>
          <w:szCs w:val="21"/>
        </w:rPr>
        <w:t>asuntos derivados de la fiscalización, incluyendo los dictámenes, informes de</w:t>
      </w:r>
      <w:r>
        <w:rPr>
          <w:rFonts w:ascii="Abadi" w:hAnsi="Abadi" w:cs="*Arial-5670-Identity-H"/>
          <w:color w:val="14131C"/>
          <w:sz w:val="21"/>
          <w:szCs w:val="21"/>
        </w:rPr>
        <w:t xml:space="preserve"> </w:t>
      </w:r>
      <w:r w:rsidRPr="00F64AE8">
        <w:rPr>
          <w:rFonts w:ascii="Abadi" w:hAnsi="Abadi" w:cs="*Arial-5670-Identity-H"/>
          <w:color w:val="14131C"/>
          <w:sz w:val="21"/>
          <w:szCs w:val="21"/>
        </w:rPr>
        <w:t>resultados, comentarios y observaciones de las auditorías, constituyendo una de</w:t>
      </w:r>
      <w:r>
        <w:rPr>
          <w:rFonts w:ascii="Abadi" w:hAnsi="Abadi" w:cs="*Arial-5670-Identity-H"/>
          <w:color w:val="14131C"/>
          <w:sz w:val="21"/>
          <w:szCs w:val="21"/>
        </w:rPr>
        <w:t xml:space="preserve"> </w:t>
      </w:r>
      <w:r w:rsidRPr="00F64AE8">
        <w:rPr>
          <w:rFonts w:ascii="Abadi" w:hAnsi="Abadi" w:cs="*Arial-5670-Identity-H"/>
          <w:color w:val="14131C"/>
          <w:sz w:val="21"/>
          <w:szCs w:val="21"/>
        </w:rPr>
        <w:t>las fases del proceso de fiscalización.</w:t>
      </w:r>
    </w:p>
    <w:p w14:paraId="2B41C6BD" w14:textId="77777777" w:rsidR="00600B0C" w:rsidRPr="00F64AE8" w:rsidRDefault="00600B0C" w:rsidP="00600B0C">
      <w:pPr>
        <w:autoSpaceDE w:val="0"/>
        <w:autoSpaceDN w:val="0"/>
        <w:adjustRightInd w:val="0"/>
        <w:jc w:val="both"/>
        <w:rPr>
          <w:rFonts w:ascii="Abadi" w:hAnsi="Abadi" w:cs="*Arial-5670-Identity-H"/>
          <w:color w:val="14131C"/>
          <w:sz w:val="21"/>
          <w:szCs w:val="21"/>
        </w:rPr>
      </w:pPr>
    </w:p>
    <w:p w14:paraId="1571FBC8" w14:textId="77777777" w:rsidR="00600B0C" w:rsidRDefault="00600B0C" w:rsidP="00600B0C">
      <w:pPr>
        <w:autoSpaceDE w:val="0"/>
        <w:autoSpaceDN w:val="0"/>
        <w:adjustRightInd w:val="0"/>
        <w:ind w:firstLine="708"/>
        <w:jc w:val="both"/>
        <w:rPr>
          <w:rFonts w:ascii="Abadi" w:hAnsi="Abadi" w:cs="*Arial-5249-Identity-H"/>
          <w:color w:val="14131C"/>
          <w:sz w:val="21"/>
          <w:szCs w:val="21"/>
        </w:rPr>
      </w:pPr>
      <w:r w:rsidRPr="00F64AE8">
        <w:rPr>
          <w:rFonts w:ascii="Abadi" w:hAnsi="Abadi" w:cs="*Arial-5249-Identity-H"/>
          <w:color w:val="14131C"/>
          <w:sz w:val="21"/>
          <w:szCs w:val="21"/>
        </w:rPr>
        <w:t xml:space="preserve">De igual forma, el artículo 82, fracción </w:t>
      </w:r>
      <w:r w:rsidRPr="00F64AE8">
        <w:rPr>
          <w:rFonts w:ascii="Abadi" w:hAnsi="Abadi" w:cs="*Microsoft Sans Serif-Bold-5251"/>
          <w:color w:val="14131C"/>
          <w:sz w:val="21"/>
          <w:szCs w:val="21"/>
        </w:rPr>
        <w:t xml:space="preserve">XXIV </w:t>
      </w:r>
      <w:r w:rsidRPr="00F64AE8">
        <w:rPr>
          <w:rFonts w:ascii="Abadi" w:hAnsi="Abadi" w:cs="*Arial-5249-Identity-H"/>
          <w:color w:val="14131C"/>
          <w:sz w:val="21"/>
          <w:szCs w:val="21"/>
        </w:rPr>
        <w:t>de la Ley de Fiscalización</w:t>
      </w:r>
      <w:r>
        <w:rPr>
          <w:rFonts w:ascii="Abadi" w:hAnsi="Abadi" w:cs="*Arial-5249-Identity-H"/>
          <w:color w:val="14131C"/>
          <w:sz w:val="21"/>
          <w:szCs w:val="21"/>
        </w:rPr>
        <w:t xml:space="preserve"> </w:t>
      </w:r>
      <w:r w:rsidRPr="00F64AE8">
        <w:rPr>
          <w:rFonts w:ascii="Abadi" w:hAnsi="Abadi" w:cs="*Arial-5249-Identity-H"/>
          <w:color w:val="14131C"/>
          <w:sz w:val="21"/>
          <w:szCs w:val="21"/>
        </w:rPr>
        <w:t>Superior del Estado de Guanajuato establece como atribución de la Auditoría</w:t>
      </w:r>
      <w:r>
        <w:rPr>
          <w:rFonts w:ascii="Abadi" w:hAnsi="Abadi" w:cs="*Arial-5249-Identity-H"/>
          <w:color w:val="14131C"/>
          <w:sz w:val="21"/>
          <w:szCs w:val="21"/>
        </w:rPr>
        <w:t xml:space="preserve"> </w:t>
      </w:r>
      <w:r w:rsidRPr="00F64AE8">
        <w:rPr>
          <w:rFonts w:ascii="Abadi" w:hAnsi="Abadi" w:cs="*Arial-5249-Identity-H"/>
          <w:color w:val="14131C"/>
          <w:sz w:val="21"/>
          <w:szCs w:val="21"/>
        </w:rPr>
        <w:t>Superior del Estado, rendir al Congreso, los informes derivados del ejercicio de la</w:t>
      </w:r>
      <w:r>
        <w:rPr>
          <w:rFonts w:ascii="Abadi" w:hAnsi="Abadi" w:cs="*Arial-5249-Identity-H"/>
          <w:color w:val="14131C"/>
          <w:sz w:val="21"/>
          <w:szCs w:val="21"/>
        </w:rPr>
        <w:t xml:space="preserve"> </w:t>
      </w:r>
      <w:r w:rsidRPr="00F64AE8">
        <w:rPr>
          <w:rFonts w:ascii="Abadi" w:hAnsi="Abadi" w:cs="*Arial-5249-Identity-H"/>
          <w:color w:val="14131C"/>
          <w:sz w:val="21"/>
          <w:szCs w:val="21"/>
        </w:rPr>
        <w:t>función de fiscalización.</w:t>
      </w:r>
    </w:p>
    <w:p w14:paraId="50D4E732" w14:textId="77777777" w:rsidR="00600B0C" w:rsidRPr="00F64AE8" w:rsidRDefault="00600B0C" w:rsidP="00600B0C">
      <w:pPr>
        <w:autoSpaceDE w:val="0"/>
        <w:autoSpaceDN w:val="0"/>
        <w:adjustRightInd w:val="0"/>
        <w:jc w:val="both"/>
        <w:rPr>
          <w:rFonts w:ascii="Abadi" w:hAnsi="Abadi" w:cs="*Arial-5249-Identity-H"/>
          <w:color w:val="14131C"/>
          <w:sz w:val="21"/>
          <w:szCs w:val="21"/>
        </w:rPr>
      </w:pPr>
    </w:p>
    <w:p w14:paraId="12B64434" w14:textId="77777777" w:rsidR="00600B0C" w:rsidRDefault="00600B0C" w:rsidP="00600B0C">
      <w:pPr>
        <w:autoSpaceDE w:val="0"/>
        <w:autoSpaceDN w:val="0"/>
        <w:adjustRightInd w:val="0"/>
        <w:ind w:firstLine="708"/>
        <w:jc w:val="both"/>
        <w:rPr>
          <w:rFonts w:ascii="Abadi" w:hAnsi="Abadi" w:cs="*Arial-5249-Identity-H"/>
          <w:color w:val="15131C"/>
          <w:sz w:val="21"/>
          <w:szCs w:val="21"/>
        </w:rPr>
      </w:pPr>
      <w:r w:rsidRPr="00F64AE8">
        <w:rPr>
          <w:rFonts w:ascii="Abadi" w:hAnsi="Abadi" w:cs="*Arial-5249-Identity-H"/>
          <w:color w:val="15131C"/>
          <w:sz w:val="21"/>
          <w:szCs w:val="21"/>
        </w:rPr>
        <w:t>En razón de lo cual, la Ley de Fiscalización Superior del Estado de</w:t>
      </w:r>
      <w:r>
        <w:rPr>
          <w:rFonts w:ascii="Abadi" w:hAnsi="Abadi" w:cs="*Arial-5249-Identity-H"/>
          <w:color w:val="15131C"/>
          <w:sz w:val="21"/>
          <w:szCs w:val="21"/>
        </w:rPr>
        <w:t xml:space="preserve"> </w:t>
      </w:r>
      <w:r w:rsidRPr="00F64AE8">
        <w:rPr>
          <w:rFonts w:ascii="Abadi" w:hAnsi="Abadi" w:cs="*Arial-5249-Identity-H"/>
          <w:color w:val="15131C"/>
          <w:sz w:val="21"/>
          <w:szCs w:val="21"/>
        </w:rPr>
        <w:t>Guanajuato establece que la Auditoría Superior debe remitir los informes de</w:t>
      </w:r>
      <w:r>
        <w:rPr>
          <w:rFonts w:ascii="Abadi" w:hAnsi="Abadi" w:cs="*Arial-5249-Identity-H"/>
          <w:color w:val="15131C"/>
          <w:sz w:val="21"/>
          <w:szCs w:val="21"/>
        </w:rPr>
        <w:t xml:space="preserve"> </w:t>
      </w:r>
      <w:r w:rsidRPr="00F64AE8">
        <w:rPr>
          <w:rFonts w:ascii="Abadi" w:hAnsi="Abadi" w:cs="*Arial-5249-Identity-H"/>
          <w:color w:val="15131C"/>
          <w:sz w:val="21"/>
          <w:szCs w:val="21"/>
        </w:rPr>
        <w:t>resultados al Congreso del Estado, a efecto de que éste realice la declaratoria</w:t>
      </w:r>
      <w:r>
        <w:rPr>
          <w:rFonts w:ascii="Abadi" w:hAnsi="Abadi" w:cs="*Arial-5249-Identity-H"/>
          <w:color w:val="15131C"/>
          <w:sz w:val="21"/>
          <w:szCs w:val="21"/>
        </w:rPr>
        <w:t xml:space="preserve"> </w:t>
      </w:r>
      <w:r w:rsidRPr="00F64AE8">
        <w:rPr>
          <w:rFonts w:ascii="Abadi" w:hAnsi="Abadi" w:cs="*Arial-5249-Identity-H"/>
          <w:color w:val="15131C"/>
          <w:sz w:val="21"/>
          <w:szCs w:val="21"/>
        </w:rPr>
        <w:t>correspondiente, señ</w:t>
      </w:r>
      <w:r>
        <w:rPr>
          <w:rFonts w:ascii="Abadi" w:hAnsi="Abadi" w:cs="*Arial-5249-Identity-H"/>
          <w:color w:val="15131C"/>
          <w:sz w:val="21"/>
          <w:szCs w:val="21"/>
        </w:rPr>
        <w:t>alán</w:t>
      </w:r>
      <w:r w:rsidRPr="00F64AE8">
        <w:rPr>
          <w:rFonts w:ascii="Abadi" w:hAnsi="Abadi" w:cs="*Arial-5249-Identity-H"/>
          <w:color w:val="15131C"/>
          <w:sz w:val="21"/>
          <w:szCs w:val="21"/>
        </w:rPr>
        <w:t>dose en el artículo 38 que el informe de resultados</w:t>
      </w:r>
      <w:r>
        <w:rPr>
          <w:rFonts w:ascii="Abadi" w:hAnsi="Abadi" w:cs="*Arial-5249-Identity-H"/>
          <w:color w:val="15131C"/>
          <w:sz w:val="21"/>
          <w:szCs w:val="21"/>
        </w:rPr>
        <w:t xml:space="preserve"> </w:t>
      </w:r>
      <w:r w:rsidRPr="00F64AE8">
        <w:rPr>
          <w:rFonts w:ascii="Abadi" w:hAnsi="Abadi" w:cs="*Arial-5249-Identity-H"/>
          <w:color w:val="15131C"/>
          <w:sz w:val="21"/>
          <w:szCs w:val="21"/>
        </w:rPr>
        <w:t>únicamente podrá ser observado por las dos terceras partes de los diputados</w:t>
      </w:r>
      <w:r>
        <w:rPr>
          <w:rFonts w:ascii="Abadi" w:hAnsi="Abadi" w:cs="*Arial-5249-Identity-H"/>
          <w:color w:val="15131C"/>
          <w:sz w:val="21"/>
          <w:szCs w:val="21"/>
        </w:rPr>
        <w:t xml:space="preserve"> </w:t>
      </w:r>
      <w:r w:rsidRPr="00F64AE8">
        <w:rPr>
          <w:rFonts w:ascii="Abadi" w:hAnsi="Abadi" w:cs="*Arial-5249-Identity-H"/>
          <w:color w:val="15131C"/>
          <w:sz w:val="21"/>
          <w:szCs w:val="21"/>
        </w:rPr>
        <w:t>Integrantes</w:t>
      </w:r>
      <w:r>
        <w:rPr>
          <w:rFonts w:ascii="Abadi" w:hAnsi="Abadi" w:cs="*Arial-5249-Identity-H"/>
          <w:color w:val="15131C"/>
          <w:sz w:val="21"/>
          <w:szCs w:val="21"/>
        </w:rPr>
        <w:t xml:space="preserve"> </w:t>
      </w:r>
      <w:r w:rsidRPr="00F64AE8">
        <w:rPr>
          <w:rFonts w:ascii="Abadi" w:hAnsi="Abadi" w:cs="*Arial-5249-Identity-H"/>
          <w:color w:val="15131C"/>
          <w:sz w:val="21"/>
          <w:szCs w:val="21"/>
        </w:rPr>
        <w:t>del Congreso, cuando</w:t>
      </w:r>
      <w:r w:rsidRPr="00F64AE8">
        <w:rPr>
          <w:rFonts w:ascii="Abadi" w:hAnsi="Abadi" w:cs="*Arial-5249-Identity-H"/>
          <w:color w:val="707070"/>
          <w:sz w:val="21"/>
          <w:szCs w:val="21"/>
        </w:rPr>
        <w:t xml:space="preserve">· </w:t>
      </w:r>
      <w:r w:rsidRPr="00F64AE8">
        <w:rPr>
          <w:rFonts w:ascii="Abadi" w:hAnsi="Abadi" w:cs="*Arial-5249-Identity-H"/>
          <w:color w:val="15131C"/>
          <w:sz w:val="21"/>
          <w:szCs w:val="21"/>
        </w:rPr>
        <w:t>no se observen las formalidades esenciales del</w:t>
      </w:r>
      <w:r>
        <w:rPr>
          <w:rFonts w:ascii="Abadi" w:hAnsi="Abadi" w:cs="*Arial-5249-Identity-H"/>
          <w:color w:val="15131C"/>
          <w:sz w:val="21"/>
          <w:szCs w:val="21"/>
        </w:rPr>
        <w:t xml:space="preserve"> </w:t>
      </w:r>
      <w:r w:rsidRPr="00F64AE8">
        <w:rPr>
          <w:rFonts w:ascii="Abadi" w:hAnsi="Abadi" w:cs="*Arial-5249-Identity-H"/>
          <w:color w:val="15131C"/>
          <w:sz w:val="21"/>
          <w:szCs w:val="21"/>
        </w:rPr>
        <w:t>proceso de fiscalización.</w:t>
      </w:r>
    </w:p>
    <w:p w14:paraId="75634CF7" w14:textId="77777777" w:rsidR="00600B0C" w:rsidRPr="00F64AE8" w:rsidRDefault="00600B0C" w:rsidP="00600B0C">
      <w:pPr>
        <w:autoSpaceDE w:val="0"/>
        <w:autoSpaceDN w:val="0"/>
        <w:adjustRightInd w:val="0"/>
        <w:jc w:val="both"/>
        <w:rPr>
          <w:rFonts w:ascii="Abadi" w:hAnsi="Abadi" w:cs="*Arial-5249-Identity-H"/>
          <w:color w:val="15131C"/>
          <w:sz w:val="21"/>
          <w:szCs w:val="21"/>
        </w:rPr>
      </w:pPr>
    </w:p>
    <w:p w14:paraId="7D8C83E8" w14:textId="77777777" w:rsidR="00600B0C" w:rsidRDefault="00600B0C" w:rsidP="00600B0C">
      <w:pPr>
        <w:autoSpaceDE w:val="0"/>
        <w:autoSpaceDN w:val="0"/>
        <w:adjustRightInd w:val="0"/>
        <w:ind w:firstLine="708"/>
        <w:jc w:val="both"/>
        <w:rPr>
          <w:rFonts w:ascii="Abadi" w:hAnsi="Abadi" w:cs="*Arial-5249-Identity-H"/>
          <w:color w:val="14131B"/>
          <w:sz w:val="21"/>
          <w:szCs w:val="21"/>
        </w:rPr>
      </w:pPr>
      <w:r w:rsidRPr="00F64AE8">
        <w:rPr>
          <w:rFonts w:ascii="Abadi" w:hAnsi="Abadi" w:cs="*Arial-5249-Identity-H"/>
          <w:color w:val="14131B"/>
          <w:sz w:val="21"/>
          <w:szCs w:val="21"/>
        </w:rPr>
        <w:t>Con la finalidad de que el Congreso dé cumplimiento a lo señalado en el</w:t>
      </w:r>
      <w:r>
        <w:rPr>
          <w:rFonts w:ascii="Abadi" w:hAnsi="Abadi" w:cs="*Arial-5249-Identity-H"/>
          <w:color w:val="14131B"/>
          <w:sz w:val="21"/>
          <w:szCs w:val="21"/>
        </w:rPr>
        <w:t xml:space="preserve"> </w:t>
      </w:r>
      <w:r w:rsidRPr="00F64AE8">
        <w:rPr>
          <w:rFonts w:ascii="Abadi" w:hAnsi="Abadi" w:cs="*Arial-5249-Identity-H"/>
          <w:color w:val="14131B"/>
          <w:sz w:val="21"/>
          <w:szCs w:val="21"/>
        </w:rPr>
        <w:t>párrafo anterior, la Ley Orgánica del Poder Legislativo del Estado de Guanajuato</w:t>
      </w:r>
      <w:r>
        <w:rPr>
          <w:rFonts w:ascii="Abadi" w:hAnsi="Abadi" w:cs="*Arial-5249-Identity-H"/>
          <w:color w:val="14131B"/>
          <w:sz w:val="21"/>
          <w:szCs w:val="21"/>
        </w:rPr>
        <w:t xml:space="preserve"> </w:t>
      </w:r>
      <w:r w:rsidRPr="00F64AE8">
        <w:rPr>
          <w:rFonts w:ascii="Abadi" w:hAnsi="Abadi" w:cs="*Arial-5249-Identity-H"/>
          <w:color w:val="14131B"/>
          <w:sz w:val="21"/>
          <w:szCs w:val="21"/>
        </w:rPr>
        <w:t xml:space="preserve">establece en su artículo 112, fracción </w:t>
      </w:r>
      <w:r w:rsidRPr="00F64AE8">
        <w:rPr>
          <w:rFonts w:ascii="Abadi" w:hAnsi="Abadi" w:cs="*Microsoft Sans Serif-Bold-5251"/>
          <w:color w:val="14131B"/>
          <w:sz w:val="21"/>
          <w:szCs w:val="21"/>
        </w:rPr>
        <w:t>XII,</w:t>
      </w:r>
      <w:r w:rsidRPr="00F64AE8">
        <w:rPr>
          <w:rFonts w:ascii="Abadi" w:hAnsi="Abadi" w:cs="*Microsoft Sans Serif-Bold-5251"/>
          <w:b/>
          <w:bCs/>
          <w:color w:val="14131B"/>
          <w:sz w:val="21"/>
          <w:szCs w:val="21"/>
        </w:rPr>
        <w:t xml:space="preserve"> </w:t>
      </w:r>
      <w:r w:rsidRPr="00F64AE8">
        <w:rPr>
          <w:rFonts w:ascii="Abadi" w:hAnsi="Abadi" w:cs="*Arial-5249-Identity-H"/>
          <w:color w:val="14131B"/>
          <w:sz w:val="21"/>
          <w:szCs w:val="21"/>
        </w:rPr>
        <w:t>primer párrafo que, a esta Comisión de</w:t>
      </w:r>
      <w:r>
        <w:rPr>
          <w:rFonts w:ascii="Abadi" w:hAnsi="Abadi" w:cs="*Arial-5249-Identity-H"/>
          <w:color w:val="14131B"/>
          <w:sz w:val="21"/>
          <w:szCs w:val="21"/>
        </w:rPr>
        <w:t xml:space="preserve"> </w:t>
      </w:r>
      <w:r w:rsidRPr="00F64AE8">
        <w:rPr>
          <w:rFonts w:ascii="Abadi" w:hAnsi="Abadi" w:cs="*Arial-5249-Identity-H"/>
          <w:color w:val="14131B"/>
          <w:sz w:val="21"/>
          <w:szCs w:val="21"/>
        </w:rPr>
        <w:t>Hacienda y Fiscalización, le compete el conocimiento y dictamen de los asuntos</w:t>
      </w:r>
      <w:r>
        <w:rPr>
          <w:rFonts w:ascii="Abadi" w:hAnsi="Abadi" w:cs="*Arial-5249-Identity-H"/>
          <w:color w:val="14131B"/>
          <w:sz w:val="21"/>
          <w:szCs w:val="21"/>
        </w:rPr>
        <w:t xml:space="preserve"> </w:t>
      </w:r>
      <w:r w:rsidRPr="00F64AE8">
        <w:rPr>
          <w:rFonts w:ascii="Abadi" w:hAnsi="Abadi" w:cs="*Arial-5249-Identity-H"/>
          <w:color w:val="14131B"/>
          <w:sz w:val="21"/>
          <w:szCs w:val="21"/>
        </w:rPr>
        <w:t>relativos a los informes de resultados que emita la Auditoría Superior del Estado.</w:t>
      </w:r>
      <w:r>
        <w:rPr>
          <w:rFonts w:ascii="Abadi" w:hAnsi="Abadi" w:cs="*Arial-5249-Identity-H"/>
          <w:color w:val="14131B"/>
          <w:sz w:val="21"/>
          <w:szCs w:val="21"/>
        </w:rPr>
        <w:t xml:space="preserve"> </w:t>
      </w:r>
    </w:p>
    <w:p w14:paraId="12AD55F1" w14:textId="77777777" w:rsidR="00600B0C" w:rsidRDefault="00600B0C" w:rsidP="00600B0C">
      <w:pPr>
        <w:autoSpaceDE w:val="0"/>
        <w:autoSpaceDN w:val="0"/>
        <w:adjustRightInd w:val="0"/>
        <w:jc w:val="both"/>
        <w:rPr>
          <w:rFonts w:ascii="Abadi" w:hAnsi="Abadi" w:cs="*Arial-5249-Identity-H"/>
          <w:color w:val="14131B"/>
          <w:sz w:val="21"/>
          <w:szCs w:val="21"/>
        </w:rPr>
      </w:pPr>
    </w:p>
    <w:p w14:paraId="1EC6BF5E" w14:textId="77777777" w:rsidR="00600B0C" w:rsidRPr="00F64AE8" w:rsidRDefault="00600B0C" w:rsidP="00600B0C">
      <w:pPr>
        <w:autoSpaceDE w:val="0"/>
        <w:autoSpaceDN w:val="0"/>
        <w:adjustRightInd w:val="0"/>
        <w:ind w:firstLine="708"/>
        <w:jc w:val="both"/>
        <w:rPr>
          <w:rFonts w:ascii="Abadi" w:hAnsi="Abadi" w:cs="*Arial-5249-Identity-H"/>
          <w:color w:val="14131B"/>
          <w:sz w:val="21"/>
          <w:szCs w:val="21"/>
        </w:rPr>
      </w:pPr>
      <w:r w:rsidRPr="00F64AE8">
        <w:rPr>
          <w:rFonts w:ascii="Abadi" w:hAnsi="Abadi" w:cs="*Arial-5249-Identity-H"/>
          <w:color w:val="14131B"/>
          <w:sz w:val="21"/>
          <w:szCs w:val="21"/>
        </w:rPr>
        <w:t>A efecto de cumplir con las atribuciones conferidas a esta Comisión, y en</w:t>
      </w:r>
      <w:r>
        <w:rPr>
          <w:rFonts w:ascii="Abadi" w:hAnsi="Abadi" w:cs="*Arial-5249-Identity-H"/>
          <w:color w:val="14131B"/>
          <w:sz w:val="21"/>
          <w:szCs w:val="21"/>
        </w:rPr>
        <w:t xml:space="preserve"> </w:t>
      </w:r>
      <w:r w:rsidRPr="00F64AE8">
        <w:rPr>
          <w:rFonts w:ascii="Abadi" w:hAnsi="Abadi" w:cs="*Arial-5249-Identity-H"/>
          <w:color w:val="14131B"/>
          <w:sz w:val="21"/>
          <w:szCs w:val="21"/>
        </w:rPr>
        <w:t>observancia a lo que establece la Ley de Fiscalización Superior del Estado de</w:t>
      </w:r>
      <w:r>
        <w:rPr>
          <w:rFonts w:ascii="Abadi" w:hAnsi="Abadi" w:cs="*Arial-5249-Identity-H"/>
          <w:color w:val="14131B"/>
          <w:sz w:val="21"/>
          <w:szCs w:val="21"/>
        </w:rPr>
        <w:t xml:space="preserve"> </w:t>
      </w:r>
      <w:r w:rsidRPr="00F64AE8">
        <w:rPr>
          <w:rFonts w:ascii="Abadi" w:hAnsi="Abadi" w:cs="*Arial-5249-Identity-H"/>
          <w:color w:val="14131B"/>
          <w:sz w:val="21"/>
          <w:szCs w:val="21"/>
        </w:rPr>
        <w:t>Guanajuato, el presente dictamen se ocupará exclusivamente del aspecto que la</w:t>
      </w:r>
      <w:r>
        <w:rPr>
          <w:rFonts w:ascii="Abadi" w:hAnsi="Abadi" w:cs="*Arial-5249-Identity-H"/>
          <w:color w:val="14131B"/>
          <w:sz w:val="21"/>
          <w:szCs w:val="21"/>
        </w:rPr>
        <w:t xml:space="preserve"> </w:t>
      </w:r>
      <w:r w:rsidRPr="00F64AE8">
        <w:rPr>
          <w:rFonts w:ascii="Abadi" w:hAnsi="Abadi" w:cs="*Arial-5249-Identity-H"/>
          <w:color w:val="14131B"/>
          <w:sz w:val="21"/>
          <w:szCs w:val="21"/>
        </w:rPr>
        <w:t>propia Ley señala y por el cual podría ser observado o no, el informe de</w:t>
      </w:r>
    </w:p>
    <w:p w14:paraId="49A83132" w14:textId="77777777" w:rsidR="00600B0C" w:rsidRPr="00F64AE8" w:rsidRDefault="00600B0C" w:rsidP="00600B0C">
      <w:pPr>
        <w:autoSpaceDE w:val="0"/>
        <w:autoSpaceDN w:val="0"/>
        <w:adjustRightInd w:val="0"/>
        <w:jc w:val="both"/>
        <w:rPr>
          <w:rFonts w:ascii="Abadi" w:hAnsi="Abadi" w:cs="*Arial-5249-Identity-H"/>
          <w:color w:val="14131B"/>
          <w:sz w:val="21"/>
          <w:szCs w:val="21"/>
        </w:rPr>
      </w:pPr>
      <w:r w:rsidRPr="00F64AE8">
        <w:rPr>
          <w:rFonts w:ascii="Abadi" w:hAnsi="Abadi" w:cs="*Arial-5249-Identity-H"/>
          <w:color w:val="14131B"/>
          <w:sz w:val="21"/>
          <w:szCs w:val="21"/>
        </w:rPr>
        <w:t>resultados.</w:t>
      </w:r>
    </w:p>
    <w:p w14:paraId="54741FE8" w14:textId="77777777" w:rsidR="00600B0C" w:rsidRDefault="00600B0C" w:rsidP="00600B0C">
      <w:pPr>
        <w:autoSpaceDE w:val="0"/>
        <w:autoSpaceDN w:val="0"/>
        <w:adjustRightInd w:val="0"/>
        <w:jc w:val="both"/>
        <w:rPr>
          <w:rFonts w:ascii="Abadi" w:hAnsi="Abadi" w:cs="*Arial-Bold-5250-Identity-H"/>
          <w:b/>
          <w:bCs/>
          <w:color w:val="14131E"/>
          <w:sz w:val="21"/>
          <w:szCs w:val="21"/>
        </w:rPr>
      </w:pPr>
    </w:p>
    <w:p w14:paraId="05F8F1D5" w14:textId="77777777" w:rsidR="00600B0C" w:rsidRDefault="00600B0C" w:rsidP="00600B0C">
      <w:pPr>
        <w:autoSpaceDE w:val="0"/>
        <w:autoSpaceDN w:val="0"/>
        <w:adjustRightInd w:val="0"/>
        <w:ind w:firstLine="708"/>
        <w:jc w:val="both"/>
        <w:rPr>
          <w:rFonts w:ascii="Abadi" w:hAnsi="Abadi" w:cs="*Arial-Bold-5250-Identity-H"/>
          <w:b/>
          <w:bCs/>
          <w:color w:val="14131E"/>
          <w:sz w:val="21"/>
          <w:szCs w:val="21"/>
        </w:rPr>
      </w:pPr>
      <w:r>
        <w:rPr>
          <w:rFonts w:ascii="Abadi" w:hAnsi="Abadi" w:cs="*Arial-Bold-5250-Identity-H"/>
          <w:b/>
          <w:bCs/>
          <w:color w:val="14131E"/>
          <w:sz w:val="21"/>
          <w:szCs w:val="21"/>
        </w:rPr>
        <w:t>II</w:t>
      </w:r>
      <w:r w:rsidRPr="00F64AE8">
        <w:rPr>
          <w:rFonts w:ascii="Abadi" w:hAnsi="Abadi" w:cs="*Arial-Bold-5250-Identity-H"/>
          <w:b/>
          <w:bCs/>
          <w:color w:val="14131E"/>
          <w:sz w:val="21"/>
          <w:szCs w:val="21"/>
        </w:rPr>
        <w:t>. Antecedentes:</w:t>
      </w:r>
    </w:p>
    <w:p w14:paraId="3A623718" w14:textId="77777777" w:rsidR="00600B0C" w:rsidRPr="00F64AE8" w:rsidRDefault="00600B0C" w:rsidP="00600B0C">
      <w:pPr>
        <w:autoSpaceDE w:val="0"/>
        <w:autoSpaceDN w:val="0"/>
        <w:adjustRightInd w:val="0"/>
        <w:jc w:val="both"/>
        <w:rPr>
          <w:rFonts w:ascii="Abadi" w:hAnsi="Abadi" w:cs="*Arial-Bold-5250-Identity-H"/>
          <w:b/>
          <w:bCs/>
          <w:color w:val="14131E"/>
          <w:sz w:val="21"/>
          <w:szCs w:val="21"/>
        </w:rPr>
      </w:pPr>
    </w:p>
    <w:p w14:paraId="64E86ED4" w14:textId="77777777" w:rsidR="00600B0C" w:rsidRDefault="00600B0C" w:rsidP="00600B0C">
      <w:pPr>
        <w:autoSpaceDE w:val="0"/>
        <w:autoSpaceDN w:val="0"/>
        <w:adjustRightInd w:val="0"/>
        <w:ind w:firstLine="708"/>
        <w:jc w:val="both"/>
        <w:rPr>
          <w:rFonts w:ascii="Abadi" w:hAnsi="Abadi" w:cs="*Arial-5249-Identity-H"/>
          <w:color w:val="14131B"/>
          <w:sz w:val="21"/>
          <w:szCs w:val="21"/>
        </w:rPr>
      </w:pPr>
      <w:r w:rsidRPr="00F64AE8">
        <w:rPr>
          <w:rFonts w:ascii="Abadi" w:hAnsi="Abadi" w:cs="*Arial-5249-Identity-H"/>
          <w:color w:val="14131B"/>
          <w:sz w:val="21"/>
          <w:szCs w:val="21"/>
        </w:rPr>
        <w:t>De conformidad con el artículo 66, fracción I de la Constitución Política para</w:t>
      </w:r>
      <w:r>
        <w:rPr>
          <w:rFonts w:ascii="Abadi" w:hAnsi="Abadi" w:cs="*Arial-5249-Identity-H"/>
          <w:color w:val="14131B"/>
          <w:sz w:val="21"/>
          <w:szCs w:val="21"/>
        </w:rPr>
        <w:t xml:space="preserve"> </w:t>
      </w:r>
      <w:r w:rsidRPr="00F64AE8">
        <w:rPr>
          <w:rFonts w:ascii="Abadi" w:hAnsi="Abadi" w:cs="*Arial-5249-Identity-H"/>
          <w:color w:val="14131B"/>
          <w:sz w:val="21"/>
          <w:szCs w:val="21"/>
        </w:rPr>
        <w:t>el Estado de Guanajuato, es atribución de la Auditoría Superior del Estado realizar</w:t>
      </w:r>
      <w:r>
        <w:rPr>
          <w:rFonts w:ascii="Abadi" w:hAnsi="Abadi" w:cs="*Arial-5249-Identity-H"/>
          <w:color w:val="14131B"/>
          <w:sz w:val="21"/>
          <w:szCs w:val="21"/>
        </w:rPr>
        <w:t xml:space="preserve"> </w:t>
      </w:r>
      <w:r w:rsidRPr="00F64AE8">
        <w:rPr>
          <w:rFonts w:ascii="Abadi" w:hAnsi="Abadi" w:cs="*Arial-5249-Identity-H"/>
          <w:color w:val="14131B"/>
          <w:sz w:val="21"/>
          <w:szCs w:val="21"/>
        </w:rPr>
        <w:t>auditorías de desempeño en el cumplimiento de objetivos y metas contenidos en</w:t>
      </w:r>
      <w:r>
        <w:rPr>
          <w:rFonts w:ascii="Abadi" w:hAnsi="Abadi" w:cs="*Arial-5249-Identity-H"/>
          <w:color w:val="14131B"/>
          <w:sz w:val="21"/>
          <w:szCs w:val="21"/>
        </w:rPr>
        <w:t xml:space="preserve"> </w:t>
      </w:r>
      <w:r w:rsidRPr="00F64AE8">
        <w:rPr>
          <w:rFonts w:ascii="Abadi" w:hAnsi="Abadi" w:cs="*Arial-5249-Identity-H"/>
          <w:color w:val="14131B"/>
          <w:sz w:val="21"/>
          <w:szCs w:val="21"/>
        </w:rPr>
        <w:t>los programas, de las cuales sólo podrá emitir las recomendaciones para la mejora</w:t>
      </w:r>
      <w:r>
        <w:rPr>
          <w:rFonts w:ascii="Abadi" w:hAnsi="Abadi" w:cs="*Arial-5249-Identity-H"/>
          <w:color w:val="14131B"/>
          <w:sz w:val="21"/>
          <w:szCs w:val="21"/>
        </w:rPr>
        <w:t xml:space="preserve"> </w:t>
      </w:r>
      <w:r w:rsidRPr="00F64AE8">
        <w:rPr>
          <w:rFonts w:ascii="Abadi" w:hAnsi="Abadi" w:cs="*Arial-5249-Identity-H"/>
          <w:color w:val="14131B"/>
          <w:sz w:val="21"/>
          <w:szCs w:val="21"/>
        </w:rPr>
        <w:t>en el desempeño, en los términos de la Ley.</w:t>
      </w:r>
    </w:p>
    <w:p w14:paraId="43F0B66C" w14:textId="77777777" w:rsidR="00600B0C" w:rsidRPr="00F64AE8" w:rsidRDefault="00600B0C" w:rsidP="00600B0C">
      <w:pPr>
        <w:autoSpaceDE w:val="0"/>
        <w:autoSpaceDN w:val="0"/>
        <w:adjustRightInd w:val="0"/>
        <w:jc w:val="both"/>
        <w:rPr>
          <w:rFonts w:ascii="Abadi" w:hAnsi="Abadi" w:cs="*Arial-5249-Identity-H"/>
          <w:color w:val="14131B"/>
          <w:sz w:val="21"/>
          <w:szCs w:val="21"/>
        </w:rPr>
      </w:pPr>
    </w:p>
    <w:p w14:paraId="04932D4C" w14:textId="77777777" w:rsidR="00600B0C" w:rsidRDefault="00600B0C" w:rsidP="00600B0C">
      <w:pPr>
        <w:autoSpaceDE w:val="0"/>
        <w:autoSpaceDN w:val="0"/>
        <w:adjustRightInd w:val="0"/>
        <w:ind w:firstLine="708"/>
        <w:jc w:val="both"/>
        <w:rPr>
          <w:rFonts w:ascii="Abadi" w:hAnsi="Abadi" w:cs="*Arial-5249-Identity-H"/>
          <w:color w:val="14131B"/>
          <w:sz w:val="21"/>
          <w:szCs w:val="21"/>
        </w:rPr>
      </w:pPr>
      <w:r w:rsidRPr="00F64AE8">
        <w:rPr>
          <w:rFonts w:ascii="Abadi" w:hAnsi="Abadi" w:cs="*Arial-5249-Identity-H"/>
          <w:color w:val="14131B"/>
          <w:sz w:val="21"/>
          <w:szCs w:val="21"/>
        </w:rPr>
        <w:t>Por su parte, el artículo 3, fracción V de la Ley de Fiscalización Superior del</w:t>
      </w:r>
      <w:r>
        <w:rPr>
          <w:rFonts w:ascii="Abadi" w:hAnsi="Abadi" w:cs="*Arial-5249-Identity-H"/>
          <w:color w:val="14131B"/>
          <w:sz w:val="21"/>
          <w:szCs w:val="21"/>
        </w:rPr>
        <w:t xml:space="preserve"> </w:t>
      </w:r>
      <w:r w:rsidRPr="00F64AE8">
        <w:rPr>
          <w:rFonts w:ascii="Abadi" w:hAnsi="Abadi" w:cs="*Arial-5249-Identity-H"/>
          <w:color w:val="14131B"/>
          <w:sz w:val="21"/>
          <w:szCs w:val="21"/>
        </w:rPr>
        <w:t>Estado de Guanajuato señala que la Auditoría Superior del Estado es competente</w:t>
      </w:r>
      <w:r>
        <w:rPr>
          <w:rFonts w:ascii="Abadi" w:hAnsi="Abadi" w:cs="*Arial-5249-Identity-H"/>
          <w:color w:val="14131B"/>
          <w:sz w:val="21"/>
          <w:szCs w:val="21"/>
        </w:rPr>
        <w:t xml:space="preserve"> </w:t>
      </w:r>
      <w:r w:rsidRPr="00F64AE8">
        <w:rPr>
          <w:rFonts w:ascii="Abadi" w:hAnsi="Abadi" w:cs="*Arial-5249-Identity-H"/>
          <w:color w:val="14131B"/>
          <w:sz w:val="21"/>
          <w:szCs w:val="21"/>
        </w:rPr>
        <w:t>para practicar auditorías de desempeño para verificar el cumplimiento de los</w:t>
      </w:r>
      <w:r>
        <w:rPr>
          <w:rFonts w:ascii="Abadi" w:hAnsi="Abadi" w:cs="*Arial-5249-Identity-H"/>
          <w:color w:val="14131B"/>
          <w:sz w:val="21"/>
          <w:szCs w:val="21"/>
        </w:rPr>
        <w:t xml:space="preserve"> </w:t>
      </w:r>
      <w:r w:rsidRPr="00F64AE8">
        <w:rPr>
          <w:rFonts w:ascii="Abadi" w:hAnsi="Abadi" w:cs="*Arial-5249-Identity-H"/>
          <w:color w:val="14131B"/>
          <w:sz w:val="21"/>
          <w:szCs w:val="21"/>
        </w:rPr>
        <w:t>objetivos y las metas de los programas estatales y municipales.</w:t>
      </w:r>
    </w:p>
    <w:p w14:paraId="1D3D6AD8" w14:textId="77777777" w:rsidR="00600B0C" w:rsidRPr="00F64AE8" w:rsidRDefault="00600B0C" w:rsidP="00600B0C">
      <w:pPr>
        <w:autoSpaceDE w:val="0"/>
        <w:autoSpaceDN w:val="0"/>
        <w:adjustRightInd w:val="0"/>
        <w:jc w:val="both"/>
        <w:rPr>
          <w:rFonts w:ascii="Abadi" w:hAnsi="Abadi" w:cs="*Arial-5249-Identity-H"/>
          <w:color w:val="14131B"/>
          <w:sz w:val="21"/>
          <w:szCs w:val="21"/>
        </w:rPr>
      </w:pPr>
    </w:p>
    <w:p w14:paraId="583896B7" w14:textId="77777777" w:rsidR="00600B0C" w:rsidRDefault="00600B0C" w:rsidP="00600B0C">
      <w:pPr>
        <w:autoSpaceDE w:val="0"/>
        <w:autoSpaceDN w:val="0"/>
        <w:adjustRightInd w:val="0"/>
        <w:ind w:firstLine="708"/>
        <w:jc w:val="both"/>
        <w:rPr>
          <w:rFonts w:ascii="Abadi" w:hAnsi="Abadi" w:cs="*Arial-5209-Identity-H"/>
          <w:color w:val="14131B"/>
          <w:sz w:val="21"/>
          <w:szCs w:val="21"/>
        </w:rPr>
      </w:pPr>
      <w:r w:rsidRPr="00F64AE8">
        <w:rPr>
          <w:rFonts w:ascii="Abadi" w:hAnsi="Abadi" w:cs="*Arial-5209-Identity-H"/>
          <w:color w:val="14131B"/>
          <w:sz w:val="21"/>
          <w:szCs w:val="21"/>
        </w:rPr>
        <w:t>De igual forma, el artículo 56 de la Ley de Fiscalización Superior prevé que</w:t>
      </w:r>
      <w:r>
        <w:rPr>
          <w:rFonts w:ascii="Abadi" w:hAnsi="Abadi" w:cs="*Arial-5209-Identity-H"/>
          <w:color w:val="14131B"/>
          <w:sz w:val="21"/>
          <w:szCs w:val="21"/>
        </w:rPr>
        <w:t xml:space="preserve"> </w:t>
      </w:r>
      <w:r w:rsidRPr="00F64AE8">
        <w:rPr>
          <w:rFonts w:ascii="Abadi" w:hAnsi="Abadi" w:cs="*Arial-5209-Identity-H"/>
          <w:color w:val="14131B"/>
          <w:sz w:val="21"/>
          <w:szCs w:val="21"/>
        </w:rPr>
        <w:t>las auditorías de desempeño comprenden la revisión del cumplimiento de las</w:t>
      </w:r>
      <w:r>
        <w:rPr>
          <w:rFonts w:ascii="Abadi" w:hAnsi="Abadi" w:cs="*Arial-5209-Identity-H"/>
          <w:color w:val="14131B"/>
          <w:sz w:val="21"/>
          <w:szCs w:val="21"/>
        </w:rPr>
        <w:t xml:space="preserve"> </w:t>
      </w:r>
      <w:r w:rsidRPr="00F64AE8">
        <w:rPr>
          <w:rFonts w:ascii="Abadi" w:hAnsi="Abadi" w:cs="*Arial-5209-Identity-H"/>
          <w:color w:val="14131B"/>
          <w:sz w:val="21"/>
          <w:szCs w:val="21"/>
        </w:rPr>
        <w:t>metas y objetivos de los planes y programas, conforme a los principios de</w:t>
      </w:r>
      <w:r>
        <w:rPr>
          <w:rFonts w:ascii="Abadi" w:hAnsi="Abadi" w:cs="*Arial-5209-Identity-H"/>
          <w:color w:val="14131B"/>
          <w:sz w:val="21"/>
          <w:szCs w:val="21"/>
        </w:rPr>
        <w:t xml:space="preserve"> </w:t>
      </w:r>
      <w:r w:rsidRPr="00F64AE8">
        <w:rPr>
          <w:rFonts w:ascii="Abadi" w:hAnsi="Abadi" w:cs="*Arial-5209-Identity-H"/>
          <w:color w:val="14131B"/>
          <w:sz w:val="21"/>
          <w:szCs w:val="21"/>
        </w:rPr>
        <w:t>eficiencia, eficacia y economía; así como la evaluación de las políticas públicas;</w:t>
      </w:r>
      <w:r>
        <w:rPr>
          <w:rFonts w:ascii="Abadi" w:hAnsi="Abadi" w:cs="*Arial-5209-Identity-H"/>
          <w:color w:val="14131B"/>
          <w:sz w:val="21"/>
          <w:szCs w:val="21"/>
        </w:rPr>
        <w:t xml:space="preserve"> </w:t>
      </w:r>
      <w:r w:rsidRPr="00F64AE8">
        <w:rPr>
          <w:rFonts w:ascii="Abadi" w:hAnsi="Abadi" w:cs="*Arial-5209-Identity-H"/>
          <w:color w:val="14131B"/>
          <w:sz w:val="21"/>
          <w:szCs w:val="21"/>
        </w:rPr>
        <w:t>estableciendo además que la Auditoría Superior del Estado realizará las auditorías</w:t>
      </w:r>
      <w:r>
        <w:rPr>
          <w:rFonts w:ascii="Abadi" w:hAnsi="Abadi" w:cs="*Arial-5209-Identity-H"/>
          <w:color w:val="14131B"/>
          <w:sz w:val="21"/>
          <w:szCs w:val="21"/>
        </w:rPr>
        <w:t xml:space="preserve"> </w:t>
      </w:r>
      <w:r w:rsidRPr="00F64AE8">
        <w:rPr>
          <w:rFonts w:ascii="Abadi" w:hAnsi="Abadi" w:cs="*Arial-5209-Identity-H"/>
          <w:color w:val="14131B"/>
          <w:sz w:val="21"/>
          <w:szCs w:val="21"/>
        </w:rPr>
        <w:t>de desempeño de manera anual y únicamente formulará recomendaciones que</w:t>
      </w:r>
      <w:r>
        <w:rPr>
          <w:rFonts w:ascii="Abadi" w:hAnsi="Abadi" w:cs="*Arial-5209-Identity-H"/>
          <w:color w:val="14131B"/>
          <w:sz w:val="21"/>
          <w:szCs w:val="21"/>
        </w:rPr>
        <w:t xml:space="preserve"> </w:t>
      </w:r>
      <w:r w:rsidRPr="00F64AE8">
        <w:rPr>
          <w:rFonts w:ascii="Abadi" w:hAnsi="Abadi" w:cs="*Arial-5209-Identity-H"/>
          <w:color w:val="14131B"/>
          <w:sz w:val="21"/>
          <w:szCs w:val="21"/>
        </w:rPr>
        <w:t>incidan en mejorar sistemáticamente el diseño, operación e impacto de los</w:t>
      </w:r>
      <w:r>
        <w:rPr>
          <w:rFonts w:ascii="Abadi" w:hAnsi="Abadi" w:cs="*Arial-5209-Identity-H"/>
          <w:color w:val="14131B"/>
          <w:sz w:val="21"/>
          <w:szCs w:val="21"/>
        </w:rPr>
        <w:t xml:space="preserve"> </w:t>
      </w:r>
      <w:r w:rsidRPr="00F64AE8">
        <w:rPr>
          <w:rFonts w:ascii="Abadi" w:hAnsi="Abadi" w:cs="*Arial-5209-Identity-H"/>
          <w:color w:val="14131B"/>
          <w:sz w:val="21"/>
          <w:szCs w:val="21"/>
        </w:rPr>
        <w:t>presupuestos programáticos y las políticas públicas en su caso.</w:t>
      </w:r>
      <w:r>
        <w:rPr>
          <w:rFonts w:ascii="Abadi" w:hAnsi="Abadi" w:cs="*Arial-5209-Identity-H"/>
          <w:color w:val="14131B"/>
          <w:sz w:val="21"/>
          <w:szCs w:val="21"/>
        </w:rPr>
        <w:t xml:space="preserve"> </w:t>
      </w:r>
    </w:p>
    <w:p w14:paraId="0DFAD7CE" w14:textId="77777777" w:rsidR="00600B0C" w:rsidRDefault="00600B0C" w:rsidP="00600B0C">
      <w:pPr>
        <w:autoSpaceDE w:val="0"/>
        <w:autoSpaceDN w:val="0"/>
        <w:adjustRightInd w:val="0"/>
        <w:jc w:val="both"/>
        <w:rPr>
          <w:rFonts w:ascii="Abadi" w:hAnsi="Abadi" w:cs="*Arial-5209-Identity-H"/>
          <w:color w:val="14131B"/>
          <w:sz w:val="21"/>
          <w:szCs w:val="21"/>
        </w:rPr>
      </w:pPr>
    </w:p>
    <w:p w14:paraId="6B35ADD5" w14:textId="77777777" w:rsidR="00600B0C" w:rsidRPr="00F64AE8" w:rsidRDefault="00600B0C" w:rsidP="00600B0C">
      <w:pPr>
        <w:autoSpaceDE w:val="0"/>
        <w:autoSpaceDN w:val="0"/>
        <w:adjustRightInd w:val="0"/>
        <w:jc w:val="both"/>
        <w:rPr>
          <w:rFonts w:ascii="Abadi" w:hAnsi="Abadi" w:cs="*Arial-5209-Identity-H"/>
          <w:color w:val="14131B"/>
          <w:sz w:val="21"/>
          <w:szCs w:val="21"/>
        </w:rPr>
      </w:pPr>
    </w:p>
    <w:p w14:paraId="055AC6D5" w14:textId="77777777" w:rsidR="00600B0C" w:rsidRDefault="00600B0C" w:rsidP="00600B0C">
      <w:pPr>
        <w:autoSpaceDE w:val="0"/>
        <w:autoSpaceDN w:val="0"/>
        <w:adjustRightInd w:val="0"/>
        <w:ind w:firstLine="708"/>
        <w:jc w:val="both"/>
        <w:rPr>
          <w:rFonts w:ascii="Abadi" w:hAnsi="Abadi" w:cs="*Arial-5209-Identity-H"/>
          <w:color w:val="14131C"/>
          <w:sz w:val="21"/>
          <w:szCs w:val="21"/>
        </w:rPr>
      </w:pPr>
      <w:r w:rsidRPr="00F64AE8">
        <w:rPr>
          <w:rFonts w:ascii="Abadi" w:hAnsi="Abadi" w:cs="*Arial-5209-Identity-H"/>
          <w:color w:val="14131C"/>
          <w:sz w:val="21"/>
          <w:szCs w:val="21"/>
        </w:rPr>
        <w:t>Por su parte, los artículos 59 y 60 de la citada Ley refieren que los informes</w:t>
      </w:r>
      <w:r>
        <w:rPr>
          <w:rFonts w:ascii="Abadi" w:hAnsi="Abadi" w:cs="*Arial-5209-Identity-H"/>
          <w:color w:val="14131C"/>
          <w:sz w:val="21"/>
          <w:szCs w:val="21"/>
        </w:rPr>
        <w:t xml:space="preserve"> </w:t>
      </w:r>
      <w:r w:rsidRPr="00F64AE8">
        <w:rPr>
          <w:rFonts w:ascii="Abadi" w:hAnsi="Abadi" w:cs="*Arial-5209-Identity-H"/>
          <w:color w:val="14131C"/>
          <w:sz w:val="21"/>
          <w:szCs w:val="21"/>
        </w:rPr>
        <w:t>de resultados de auditorías de desempeño contendrán los requisitos señalados en</w:t>
      </w:r>
      <w:r>
        <w:rPr>
          <w:rFonts w:ascii="Abadi" w:hAnsi="Abadi" w:cs="*Arial-5209-Identity-H"/>
          <w:color w:val="14131C"/>
          <w:sz w:val="21"/>
          <w:szCs w:val="21"/>
        </w:rPr>
        <w:t xml:space="preserve"> </w:t>
      </w:r>
      <w:r w:rsidRPr="00F64AE8">
        <w:rPr>
          <w:rFonts w:ascii="Abadi" w:hAnsi="Abadi" w:cs="*Arial-5209-Identity-H"/>
          <w:color w:val="14131C"/>
          <w:sz w:val="21"/>
          <w:szCs w:val="21"/>
        </w:rPr>
        <w:t>el Reglamento de la Ley y que la Auditoría Superior del Estado, remitirá dichos</w:t>
      </w:r>
      <w:r>
        <w:rPr>
          <w:rFonts w:ascii="Abadi" w:hAnsi="Abadi" w:cs="*Arial-5209-Identity-H"/>
          <w:color w:val="14131C"/>
          <w:sz w:val="21"/>
          <w:szCs w:val="21"/>
        </w:rPr>
        <w:t xml:space="preserve"> </w:t>
      </w:r>
      <w:r w:rsidRPr="00F64AE8">
        <w:rPr>
          <w:rFonts w:ascii="Abadi" w:hAnsi="Abadi" w:cs="*Arial-5209-Identity-H"/>
          <w:color w:val="14131C"/>
          <w:sz w:val="21"/>
          <w:szCs w:val="21"/>
        </w:rPr>
        <w:t>informes al Congreso a más tardar el 30 de septiembre del ejercicio fiscal de que</w:t>
      </w:r>
      <w:r>
        <w:rPr>
          <w:rFonts w:ascii="Abadi" w:hAnsi="Abadi" w:cs="*Arial-5209-Identity-H"/>
          <w:color w:val="14131C"/>
          <w:sz w:val="21"/>
          <w:szCs w:val="21"/>
        </w:rPr>
        <w:t xml:space="preserve"> </w:t>
      </w:r>
      <w:r w:rsidRPr="00F64AE8">
        <w:rPr>
          <w:rFonts w:ascii="Abadi" w:hAnsi="Abadi" w:cs="*Arial-5209-Identity-H"/>
          <w:color w:val="14131C"/>
          <w:sz w:val="21"/>
          <w:szCs w:val="21"/>
        </w:rPr>
        <w:t>se trate.</w:t>
      </w:r>
    </w:p>
    <w:p w14:paraId="068A9600" w14:textId="77777777" w:rsidR="00600B0C" w:rsidRPr="00F64AE8" w:rsidRDefault="00600B0C" w:rsidP="00600B0C">
      <w:pPr>
        <w:autoSpaceDE w:val="0"/>
        <w:autoSpaceDN w:val="0"/>
        <w:adjustRightInd w:val="0"/>
        <w:jc w:val="both"/>
        <w:rPr>
          <w:rFonts w:ascii="Abadi" w:hAnsi="Abadi" w:cs="*Arial-5209-Identity-H"/>
          <w:color w:val="14131C"/>
          <w:sz w:val="21"/>
          <w:szCs w:val="21"/>
        </w:rPr>
      </w:pPr>
    </w:p>
    <w:p w14:paraId="0DA92F75" w14:textId="77777777" w:rsidR="00600B0C" w:rsidRDefault="00600B0C" w:rsidP="00600B0C">
      <w:pPr>
        <w:autoSpaceDE w:val="0"/>
        <w:autoSpaceDN w:val="0"/>
        <w:adjustRightInd w:val="0"/>
        <w:ind w:firstLine="708"/>
        <w:jc w:val="both"/>
        <w:rPr>
          <w:rFonts w:ascii="Abadi" w:hAnsi="Abadi" w:cs="*Arial-5209-Identity-H"/>
          <w:color w:val="14131B"/>
          <w:sz w:val="21"/>
          <w:szCs w:val="21"/>
        </w:rPr>
      </w:pPr>
      <w:r w:rsidRPr="00F64AE8">
        <w:rPr>
          <w:rFonts w:ascii="Abadi" w:hAnsi="Abadi" w:cs="*Arial-5209-Identity-H"/>
          <w:color w:val="14131B"/>
          <w:sz w:val="21"/>
          <w:szCs w:val="21"/>
        </w:rPr>
        <w:t>De lo anterior podemos desprender que el Órgano Técnico realizará la</w:t>
      </w:r>
      <w:r>
        <w:rPr>
          <w:rFonts w:ascii="Abadi" w:hAnsi="Abadi" w:cs="*Arial-5209-Identity-H"/>
          <w:color w:val="14131B"/>
          <w:sz w:val="21"/>
          <w:szCs w:val="21"/>
        </w:rPr>
        <w:t xml:space="preserve"> </w:t>
      </w:r>
      <w:r w:rsidRPr="00F64AE8">
        <w:rPr>
          <w:rFonts w:ascii="Abadi" w:hAnsi="Abadi" w:cs="*Arial-5209-Identity-H"/>
          <w:color w:val="14131B"/>
          <w:sz w:val="21"/>
          <w:szCs w:val="21"/>
        </w:rPr>
        <w:t>auditoría de desempeño de manera anual y únicamente formulará</w:t>
      </w:r>
      <w:r>
        <w:rPr>
          <w:rFonts w:ascii="Abadi" w:hAnsi="Abadi" w:cs="*Arial-5209-Identity-H"/>
          <w:color w:val="14131B"/>
          <w:sz w:val="21"/>
          <w:szCs w:val="21"/>
        </w:rPr>
        <w:t xml:space="preserve"> </w:t>
      </w:r>
      <w:r w:rsidRPr="00F64AE8">
        <w:rPr>
          <w:rFonts w:ascii="Abadi" w:hAnsi="Abadi" w:cs="*Arial-5209-Identity-H"/>
          <w:color w:val="14131B"/>
          <w:sz w:val="21"/>
          <w:szCs w:val="21"/>
        </w:rPr>
        <w:t>recomendaciones que incidan en la mejora del diseño, operación e impacto de los</w:t>
      </w:r>
      <w:r>
        <w:rPr>
          <w:rFonts w:ascii="Abadi" w:hAnsi="Abadi" w:cs="*Arial-5209-Identity-H"/>
          <w:color w:val="14131B"/>
          <w:sz w:val="21"/>
          <w:szCs w:val="21"/>
        </w:rPr>
        <w:t xml:space="preserve"> </w:t>
      </w:r>
      <w:r w:rsidRPr="00F64AE8">
        <w:rPr>
          <w:rFonts w:ascii="Abadi" w:hAnsi="Abadi" w:cs="*Arial-5209-Identity-H"/>
          <w:color w:val="14131B"/>
          <w:sz w:val="21"/>
          <w:szCs w:val="21"/>
        </w:rPr>
        <w:t>presupuestos programáticos y las políticas públicas en su caso.</w:t>
      </w:r>
    </w:p>
    <w:p w14:paraId="2E8E4A7C" w14:textId="77777777" w:rsidR="00600B0C" w:rsidRPr="00F64AE8" w:rsidRDefault="00600B0C" w:rsidP="00600B0C">
      <w:pPr>
        <w:autoSpaceDE w:val="0"/>
        <w:autoSpaceDN w:val="0"/>
        <w:adjustRightInd w:val="0"/>
        <w:jc w:val="both"/>
        <w:rPr>
          <w:rFonts w:ascii="Abadi" w:hAnsi="Abadi" w:cs="*Arial-5209-Identity-H"/>
          <w:color w:val="14131B"/>
          <w:sz w:val="21"/>
          <w:szCs w:val="21"/>
        </w:rPr>
      </w:pPr>
    </w:p>
    <w:p w14:paraId="23CC4C9E" w14:textId="77777777" w:rsidR="00600B0C" w:rsidRDefault="00600B0C" w:rsidP="00600B0C">
      <w:pPr>
        <w:autoSpaceDE w:val="0"/>
        <w:autoSpaceDN w:val="0"/>
        <w:adjustRightInd w:val="0"/>
        <w:ind w:firstLine="708"/>
        <w:jc w:val="both"/>
        <w:rPr>
          <w:rFonts w:ascii="Abadi" w:hAnsi="Abadi" w:cs="*Arial-5209-Identity-H"/>
          <w:color w:val="14131A"/>
          <w:sz w:val="21"/>
          <w:szCs w:val="21"/>
        </w:rPr>
      </w:pPr>
      <w:r w:rsidRPr="00F64AE8">
        <w:rPr>
          <w:rFonts w:ascii="Abadi" w:hAnsi="Abadi" w:cs="*Arial-5209-Identity-H"/>
          <w:color w:val="14131A"/>
          <w:sz w:val="21"/>
          <w:szCs w:val="21"/>
        </w:rPr>
        <w:t>Finalmente, el artículo 16 de la Ley de Fiscalización Superior del Estado de</w:t>
      </w:r>
      <w:r>
        <w:rPr>
          <w:rFonts w:ascii="Abadi" w:hAnsi="Abadi" w:cs="*Arial-5209-Identity-H"/>
          <w:color w:val="14131A"/>
          <w:sz w:val="21"/>
          <w:szCs w:val="21"/>
        </w:rPr>
        <w:t xml:space="preserve"> </w:t>
      </w:r>
      <w:r w:rsidRPr="00F64AE8">
        <w:rPr>
          <w:rFonts w:ascii="Abadi" w:hAnsi="Abadi" w:cs="*Arial-5209-Identity-H"/>
          <w:color w:val="14131A"/>
          <w:sz w:val="21"/>
          <w:szCs w:val="21"/>
        </w:rPr>
        <w:t>Guanajuato, consigna que la Auditoría Superior establecerá un Programa General</w:t>
      </w:r>
      <w:r>
        <w:rPr>
          <w:rFonts w:ascii="Abadi" w:hAnsi="Abadi" w:cs="*Arial-5209-Identity-H"/>
          <w:color w:val="14131A"/>
          <w:sz w:val="21"/>
          <w:szCs w:val="21"/>
        </w:rPr>
        <w:t xml:space="preserve"> </w:t>
      </w:r>
      <w:r w:rsidRPr="00F64AE8">
        <w:rPr>
          <w:rFonts w:ascii="Abadi" w:hAnsi="Abadi" w:cs="*Arial-5209-Identity-H"/>
          <w:color w:val="14131A"/>
          <w:sz w:val="21"/>
          <w:szCs w:val="21"/>
        </w:rPr>
        <w:t>de Fiscalización, señalando los actos y sujetos de fiscalización, los que serán</w:t>
      </w:r>
      <w:r>
        <w:rPr>
          <w:rFonts w:ascii="Abadi" w:hAnsi="Abadi" w:cs="*Arial-5209-Identity-H"/>
          <w:color w:val="14131A"/>
          <w:sz w:val="21"/>
          <w:szCs w:val="21"/>
        </w:rPr>
        <w:t xml:space="preserve"> </w:t>
      </w:r>
      <w:r w:rsidRPr="00F64AE8">
        <w:rPr>
          <w:rFonts w:ascii="Abadi" w:hAnsi="Abadi" w:cs="*Arial-5209-Identity-H"/>
          <w:color w:val="14131A"/>
          <w:sz w:val="21"/>
          <w:szCs w:val="21"/>
        </w:rPr>
        <w:t>objeto de auditoría o revisión conforme a los criterios y normas que se establezcan</w:t>
      </w:r>
      <w:r>
        <w:rPr>
          <w:rFonts w:ascii="Abadi" w:hAnsi="Abadi" w:cs="*Arial-5209-Identity-H"/>
          <w:color w:val="14131A"/>
          <w:sz w:val="21"/>
          <w:szCs w:val="21"/>
        </w:rPr>
        <w:t xml:space="preserve"> </w:t>
      </w:r>
      <w:r w:rsidRPr="00F64AE8">
        <w:rPr>
          <w:rFonts w:ascii="Abadi" w:hAnsi="Abadi" w:cs="*Arial-5209-Identity-H"/>
          <w:color w:val="14131A"/>
          <w:sz w:val="21"/>
          <w:szCs w:val="21"/>
        </w:rPr>
        <w:t>en el Reglamento de la Ley.</w:t>
      </w:r>
    </w:p>
    <w:p w14:paraId="6FA40D81" w14:textId="77777777" w:rsidR="00600B0C" w:rsidRPr="00F64AE8" w:rsidRDefault="00600B0C" w:rsidP="00600B0C">
      <w:pPr>
        <w:autoSpaceDE w:val="0"/>
        <w:autoSpaceDN w:val="0"/>
        <w:adjustRightInd w:val="0"/>
        <w:jc w:val="both"/>
        <w:rPr>
          <w:rFonts w:ascii="Abadi" w:hAnsi="Abadi" w:cs="*Arial-5209-Identity-H"/>
          <w:color w:val="14131A"/>
          <w:sz w:val="21"/>
          <w:szCs w:val="21"/>
        </w:rPr>
      </w:pPr>
    </w:p>
    <w:p w14:paraId="03A71257" w14:textId="77777777" w:rsidR="00600B0C" w:rsidRDefault="00600B0C" w:rsidP="00600B0C">
      <w:pPr>
        <w:autoSpaceDE w:val="0"/>
        <w:autoSpaceDN w:val="0"/>
        <w:adjustRightInd w:val="0"/>
        <w:ind w:firstLine="708"/>
        <w:jc w:val="both"/>
        <w:rPr>
          <w:rFonts w:ascii="Abadi" w:hAnsi="Abadi" w:cs="*Arial-5209-Identity-H"/>
          <w:color w:val="14131B"/>
          <w:sz w:val="21"/>
          <w:szCs w:val="21"/>
        </w:rPr>
      </w:pPr>
      <w:r w:rsidRPr="00F64AE8">
        <w:rPr>
          <w:rFonts w:ascii="Abadi" w:hAnsi="Abadi" w:cs="*Arial-5209-Identity-H"/>
          <w:color w:val="14131B"/>
          <w:sz w:val="21"/>
          <w:szCs w:val="21"/>
        </w:rPr>
        <w:t>En ejercicio de esta función, el Auditor Superior del Estado aprobó el</w:t>
      </w:r>
      <w:r>
        <w:rPr>
          <w:rFonts w:ascii="Abadi" w:hAnsi="Abadi" w:cs="*Arial-5209-Identity-H"/>
          <w:color w:val="14131B"/>
          <w:sz w:val="21"/>
          <w:szCs w:val="21"/>
        </w:rPr>
        <w:t xml:space="preserve"> </w:t>
      </w:r>
      <w:r w:rsidRPr="00F64AE8">
        <w:rPr>
          <w:rFonts w:ascii="Abadi" w:hAnsi="Abadi" w:cs="*Arial-5209-Identity-H"/>
          <w:color w:val="14131B"/>
          <w:sz w:val="21"/>
          <w:szCs w:val="21"/>
        </w:rPr>
        <w:t>Programa General de Fiscalización 2021. En dicho Programa se contempló la</w:t>
      </w:r>
      <w:r>
        <w:rPr>
          <w:rFonts w:ascii="Abadi" w:hAnsi="Abadi" w:cs="*Arial-5209-Identity-H"/>
          <w:color w:val="14131B"/>
          <w:sz w:val="21"/>
          <w:szCs w:val="21"/>
        </w:rPr>
        <w:t xml:space="preserve"> </w:t>
      </w:r>
      <w:r w:rsidRPr="00F64AE8">
        <w:rPr>
          <w:rFonts w:ascii="Abadi" w:hAnsi="Abadi" w:cs="*Arial-5209-Identity-H"/>
          <w:color w:val="14131B"/>
          <w:sz w:val="21"/>
          <w:szCs w:val="21"/>
        </w:rPr>
        <w:t>práctica de una auditoría de desempeño a la administración municipal de Irapuato,</w:t>
      </w:r>
      <w:r>
        <w:rPr>
          <w:rFonts w:ascii="Abadi" w:hAnsi="Abadi" w:cs="*Arial-5209-Identity-H"/>
          <w:color w:val="14131B"/>
          <w:sz w:val="21"/>
          <w:szCs w:val="21"/>
        </w:rPr>
        <w:t xml:space="preserve"> </w:t>
      </w:r>
      <w:r w:rsidRPr="00F64AE8">
        <w:rPr>
          <w:rFonts w:ascii="Abadi" w:hAnsi="Abadi" w:cs="*Arial-5209-Identity-H"/>
          <w:color w:val="14131B"/>
          <w:sz w:val="21"/>
          <w:szCs w:val="21"/>
        </w:rPr>
        <w:t>Gto., por el periodo comprendido del 1 de enero al 31 de diciembre del ejercicio</w:t>
      </w:r>
      <w:r>
        <w:rPr>
          <w:rFonts w:ascii="Abadi" w:hAnsi="Abadi" w:cs="*Arial-5209-Identity-H"/>
          <w:color w:val="14131B"/>
          <w:sz w:val="21"/>
          <w:szCs w:val="21"/>
        </w:rPr>
        <w:t xml:space="preserve"> </w:t>
      </w:r>
      <w:r w:rsidRPr="00F64AE8">
        <w:rPr>
          <w:rFonts w:ascii="Abadi" w:hAnsi="Abadi" w:cs="*Arial-5209-Identity-H"/>
          <w:color w:val="14131B"/>
          <w:sz w:val="21"/>
          <w:szCs w:val="21"/>
        </w:rPr>
        <w:t>fiscal del año 2020, la cual se realizó con enfoque a resultados del servicio de</w:t>
      </w:r>
      <w:r>
        <w:rPr>
          <w:rFonts w:ascii="Abadi" w:hAnsi="Abadi" w:cs="*Arial-5209-Identity-H"/>
          <w:color w:val="14131B"/>
          <w:sz w:val="21"/>
          <w:szCs w:val="21"/>
        </w:rPr>
        <w:t xml:space="preserve"> </w:t>
      </w:r>
      <w:r w:rsidRPr="00F64AE8">
        <w:rPr>
          <w:rFonts w:ascii="Abadi" w:hAnsi="Abadi" w:cs="*Arial-5209-Identity-H"/>
          <w:color w:val="14131B"/>
          <w:sz w:val="21"/>
          <w:szCs w:val="21"/>
        </w:rPr>
        <w:t>alumbrado público.</w:t>
      </w:r>
    </w:p>
    <w:p w14:paraId="3B774C7A" w14:textId="77777777" w:rsidR="00600B0C" w:rsidRPr="00F64AE8" w:rsidRDefault="00600B0C" w:rsidP="00600B0C">
      <w:pPr>
        <w:autoSpaceDE w:val="0"/>
        <w:autoSpaceDN w:val="0"/>
        <w:adjustRightInd w:val="0"/>
        <w:jc w:val="both"/>
        <w:rPr>
          <w:rFonts w:ascii="Abadi" w:hAnsi="Abadi" w:cs="*Arial-5209-Identity-H"/>
          <w:color w:val="14131B"/>
          <w:sz w:val="21"/>
          <w:szCs w:val="21"/>
        </w:rPr>
      </w:pPr>
    </w:p>
    <w:p w14:paraId="6ABDB8FD" w14:textId="77777777" w:rsidR="00600B0C" w:rsidRDefault="00600B0C" w:rsidP="00600B0C">
      <w:pPr>
        <w:autoSpaceDE w:val="0"/>
        <w:autoSpaceDN w:val="0"/>
        <w:adjustRightInd w:val="0"/>
        <w:ind w:firstLine="708"/>
        <w:jc w:val="both"/>
        <w:rPr>
          <w:rFonts w:ascii="Abadi" w:hAnsi="Abadi" w:cs="*Arial-5209-Identity-H"/>
          <w:color w:val="14131B"/>
          <w:sz w:val="21"/>
          <w:szCs w:val="21"/>
        </w:rPr>
      </w:pPr>
      <w:r w:rsidRPr="00F64AE8">
        <w:rPr>
          <w:rFonts w:ascii="Abadi" w:hAnsi="Abadi" w:cs="*Arial-5209-Identity-H"/>
          <w:color w:val="14131B"/>
          <w:sz w:val="21"/>
          <w:szCs w:val="21"/>
        </w:rPr>
        <w:t>El 16 de julio de 2021 se notificó al sujeto fiscalizado el inicio de la auditoría</w:t>
      </w:r>
      <w:r>
        <w:rPr>
          <w:rFonts w:ascii="Abadi" w:hAnsi="Abadi" w:cs="*Arial-5209-Identity-H"/>
          <w:color w:val="14131B"/>
          <w:sz w:val="21"/>
          <w:szCs w:val="21"/>
        </w:rPr>
        <w:t xml:space="preserve"> </w:t>
      </w:r>
      <w:r w:rsidRPr="00F64AE8">
        <w:rPr>
          <w:rFonts w:ascii="Abadi" w:hAnsi="Abadi" w:cs="*Arial-5209-Identity-H"/>
          <w:color w:val="14131B"/>
          <w:sz w:val="21"/>
          <w:szCs w:val="21"/>
        </w:rPr>
        <w:t>materia del presente dictamen.</w:t>
      </w:r>
    </w:p>
    <w:p w14:paraId="0B6EA57E" w14:textId="77777777" w:rsidR="00600B0C" w:rsidRPr="00F64AE8" w:rsidRDefault="00600B0C" w:rsidP="00600B0C">
      <w:pPr>
        <w:autoSpaceDE w:val="0"/>
        <w:autoSpaceDN w:val="0"/>
        <w:adjustRightInd w:val="0"/>
        <w:jc w:val="both"/>
        <w:rPr>
          <w:rFonts w:ascii="Abadi" w:hAnsi="Abadi" w:cs="*Arial-5209-Identity-H"/>
          <w:color w:val="14131B"/>
          <w:sz w:val="21"/>
          <w:szCs w:val="21"/>
        </w:rPr>
      </w:pPr>
    </w:p>
    <w:p w14:paraId="2ECF959C" w14:textId="77777777" w:rsidR="00600B0C" w:rsidRDefault="00600B0C" w:rsidP="00600B0C">
      <w:pPr>
        <w:autoSpaceDE w:val="0"/>
        <w:autoSpaceDN w:val="0"/>
        <w:adjustRightInd w:val="0"/>
        <w:ind w:firstLine="708"/>
        <w:jc w:val="both"/>
        <w:rPr>
          <w:rFonts w:ascii="Abadi" w:hAnsi="Abadi" w:cs="*Arial-5258-Identity-H"/>
          <w:color w:val="14131B"/>
          <w:sz w:val="21"/>
          <w:szCs w:val="21"/>
        </w:rPr>
      </w:pPr>
      <w:r w:rsidRPr="00F64AE8">
        <w:rPr>
          <w:rFonts w:ascii="Abadi" w:hAnsi="Abadi" w:cs="*Arial-5258-Identity-H"/>
          <w:color w:val="14131B"/>
          <w:sz w:val="21"/>
          <w:szCs w:val="21"/>
        </w:rPr>
        <w:t>Mediante oficios notificados el 23 de marzo y el 5 de octubre de 2021, la</w:t>
      </w:r>
      <w:r>
        <w:rPr>
          <w:rFonts w:ascii="Abadi" w:hAnsi="Abadi" w:cs="*Arial-5258-Identity-H"/>
          <w:color w:val="14131B"/>
          <w:sz w:val="21"/>
          <w:szCs w:val="21"/>
        </w:rPr>
        <w:t xml:space="preserve"> </w:t>
      </w:r>
      <w:r w:rsidRPr="00F64AE8">
        <w:rPr>
          <w:rFonts w:ascii="Abadi" w:hAnsi="Abadi" w:cs="*Arial-5258-Identity-H"/>
          <w:color w:val="14131B"/>
          <w:sz w:val="21"/>
          <w:szCs w:val="21"/>
        </w:rPr>
        <w:t>Auditoría Superior del Estado requirió al sujeto de fiscalización diversa información</w:t>
      </w:r>
      <w:r>
        <w:rPr>
          <w:rFonts w:ascii="Abadi" w:hAnsi="Abadi" w:cs="*Arial-5258-Identity-H"/>
          <w:color w:val="14131B"/>
          <w:sz w:val="21"/>
          <w:szCs w:val="21"/>
        </w:rPr>
        <w:t xml:space="preserve"> </w:t>
      </w:r>
      <w:r w:rsidRPr="00F64AE8">
        <w:rPr>
          <w:rFonts w:ascii="Abadi" w:hAnsi="Abadi" w:cs="*Arial-5258-Identity-H"/>
          <w:color w:val="14131B"/>
          <w:sz w:val="21"/>
          <w:szCs w:val="21"/>
        </w:rPr>
        <w:t>que se consideró necesaria para llevar a cabo la auditoría, a los cuales se dio</w:t>
      </w:r>
      <w:r>
        <w:rPr>
          <w:rFonts w:ascii="Abadi" w:hAnsi="Abadi" w:cs="*Arial-5258-Identity-H"/>
          <w:color w:val="14131B"/>
          <w:sz w:val="21"/>
          <w:szCs w:val="21"/>
        </w:rPr>
        <w:t xml:space="preserve"> </w:t>
      </w:r>
      <w:r w:rsidRPr="00F64AE8">
        <w:rPr>
          <w:rFonts w:ascii="Abadi" w:hAnsi="Abadi" w:cs="*Arial-5258-Identity-H"/>
          <w:color w:val="14131B"/>
          <w:sz w:val="21"/>
          <w:szCs w:val="21"/>
        </w:rPr>
        <w:t>respuesta en fechas 14 de abril y 12 de octubre de 2021. Asimismo, el 8 de</w:t>
      </w:r>
      <w:r>
        <w:rPr>
          <w:rFonts w:ascii="Abadi" w:hAnsi="Abadi" w:cs="*Arial-5258-Identity-H"/>
          <w:color w:val="14131B"/>
          <w:sz w:val="21"/>
          <w:szCs w:val="21"/>
        </w:rPr>
        <w:t xml:space="preserve"> </w:t>
      </w:r>
      <w:r w:rsidRPr="00F64AE8">
        <w:rPr>
          <w:rFonts w:ascii="Abadi" w:hAnsi="Abadi" w:cs="*Arial-5258-Identity-H"/>
          <w:color w:val="14131B"/>
          <w:sz w:val="21"/>
          <w:szCs w:val="21"/>
        </w:rPr>
        <w:t>noviembre del mismo año, el Órgano Técnico realizó entrevistas.</w:t>
      </w:r>
    </w:p>
    <w:p w14:paraId="6CAB5C68" w14:textId="77777777" w:rsidR="00600B0C" w:rsidRPr="00F64AE8" w:rsidRDefault="00600B0C" w:rsidP="00600B0C">
      <w:pPr>
        <w:autoSpaceDE w:val="0"/>
        <w:autoSpaceDN w:val="0"/>
        <w:adjustRightInd w:val="0"/>
        <w:jc w:val="both"/>
        <w:rPr>
          <w:rFonts w:ascii="Abadi" w:hAnsi="Abadi" w:cs="*Arial-5258-Identity-H"/>
          <w:color w:val="14131B"/>
          <w:sz w:val="21"/>
          <w:szCs w:val="21"/>
        </w:rPr>
      </w:pPr>
    </w:p>
    <w:p w14:paraId="050500B7" w14:textId="77777777" w:rsidR="00600B0C" w:rsidRDefault="00600B0C" w:rsidP="00600B0C">
      <w:pPr>
        <w:autoSpaceDE w:val="0"/>
        <w:autoSpaceDN w:val="0"/>
        <w:adjustRightInd w:val="0"/>
        <w:ind w:firstLine="708"/>
        <w:jc w:val="both"/>
        <w:rPr>
          <w:rFonts w:ascii="Abadi" w:hAnsi="Abadi" w:cs="*Arial-5258-Identity-H"/>
          <w:color w:val="14131B"/>
          <w:sz w:val="21"/>
          <w:szCs w:val="21"/>
        </w:rPr>
      </w:pPr>
      <w:r w:rsidRPr="00F64AE8">
        <w:rPr>
          <w:rFonts w:ascii="Abadi" w:hAnsi="Abadi" w:cs="*Arial-5258-Identity-H"/>
          <w:color w:val="14131B"/>
          <w:sz w:val="21"/>
          <w:szCs w:val="21"/>
        </w:rPr>
        <w:t>En fechas 24 de septiembre y 16 de diciembre de 2021 se notificó al sujeto</w:t>
      </w:r>
      <w:r>
        <w:rPr>
          <w:rFonts w:ascii="Abadi" w:hAnsi="Abadi" w:cs="*Arial-5258-Identity-H"/>
          <w:color w:val="14131B"/>
          <w:sz w:val="21"/>
          <w:szCs w:val="21"/>
        </w:rPr>
        <w:t xml:space="preserve"> </w:t>
      </w:r>
      <w:r w:rsidRPr="00F64AE8">
        <w:rPr>
          <w:rFonts w:ascii="Abadi" w:hAnsi="Abadi" w:cs="*Arial-5258-Identity-H"/>
          <w:color w:val="14131B"/>
          <w:sz w:val="21"/>
          <w:szCs w:val="21"/>
        </w:rPr>
        <w:t>fiscalizado la suspensión del plazo de la auditoría materia del presente dictamen,</w:t>
      </w:r>
      <w:r>
        <w:rPr>
          <w:rFonts w:ascii="Abadi" w:hAnsi="Abadi" w:cs="*Arial-5258-Identity-H"/>
          <w:color w:val="14131B"/>
          <w:sz w:val="21"/>
          <w:szCs w:val="21"/>
        </w:rPr>
        <w:t xml:space="preserve"> </w:t>
      </w:r>
      <w:r w:rsidRPr="00F64AE8">
        <w:rPr>
          <w:rFonts w:ascii="Abadi" w:hAnsi="Abadi" w:cs="*Arial-5258-Identity-H"/>
          <w:color w:val="14131B"/>
          <w:sz w:val="21"/>
          <w:szCs w:val="21"/>
        </w:rPr>
        <w:t>por los periodos comprendidos del 1 de octubre al 17 de diciembre de 2021; y del</w:t>
      </w:r>
      <w:r>
        <w:rPr>
          <w:rFonts w:ascii="Abadi" w:hAnsi="Abadi" w:cs="*Arial-5258-Identity-H"/>
          <w:color w:val="14131B"/>
          <w:sz w:val="21"/>
          <w:szCs w:val="21"/>
        </w:rPr>
        <w:t xml:space="preserve"> </w:t>
      </w:r>
      <w:r w:rsidRPr="00F64AE8">
        <w:rPr>
          <w:rFonts w:ascii="Abadi" w:hAnsi="Abadi" w:cs="*Arial-5258-Identity-H"/>
          <w:color w:val="14131B"/>
          <w:sz w:val="21"/>
          <w:szCs w:val="21"/>
        </w:rPr>
        <w:t>3 de enero al 11 de marzo de 2022.</w:t>
      </w:r>
    </w:p>
    <w:p w14:paraId="2BF91492" w14:textId="77777777" w:rsidR="00600B0C" w:rsidRPr="00F64AE8" w:rsidRDefault="00600B0C" w:rsidP="00600B0C">
      <w:pPr>
        <w:autoSpaceDE w:val="0"/>
        <w:autoSpaceDN w:val="0"/>
        <w:adjustRightInd w:val="0"/>
        <w:jc w:val="both"/>
        <w:rPr>
          <w:rFonts w:ascii="Abadi" w:hAnsi="Abadi" w:cs="*Arial-5258-Identity-H"/>
          <w:color w:val="14131B"/>
          <w:sz w:val="21"/>
          <w:szCs w:val="21"/>
        </w:rPr>
      </w:pPr>
    </w:p>
    <w:p w14:paraId="0D96DF56" w14:textId="77777777" w:rsidR="00600B0C" w:rsidRDefault="00600B0C" w:rsidP="00600B0C">
      <w:pPr>
        <w:autoSpaceDE w:val="0"/>
        <w:autoSpaceDN w:val="0"/>
        <w:adjustRightInd w:val="0"/>
        <w:ind w:firstLine="708"/>
        <w:jc w:val="both"/>
        <w:rPr>
          <w:rFonts w:ascii="Abadi" w:hAnsi="Abadi" w:cs="*Arial-5258-Identity-H"/>
          <w:color w:val="14131B"/>
          <w:sz w:val="21"/>
          <w:szCs w:val="21"/>
        </w:rPr>
      </w:pPr>
      <w:r w:rsidRPr="00F64AE8">
        <w:rPr>
          <w:rFonts w:ascii="Abadi" w:hAnsi="Abadi" w:cs="*Arial-5258-Identity-H"/>
          <w:color w:val="14131B"/>
          <w:sz w:val="21"/>
          <w:szCs w:val="21"/>
        </w:rPr>
        <w:t>Como parte del proceso de auditoría, el 12 de enero de 2022 se notificó al</w:t>
      </w:r>
      <w:r>
        <w:rPr>
          <w:rFonts w:ascii="Abadi" w:hAnsi="Abadi" w:cs="*Arial-5258-Identity-H"/>
          <w:color w:val="14131B"/>
          <w:sz w:val="21"/>
          <w:szCs w:val="21"/>
        </w:rPr>
        <w:t xml:space="preserve"> </w:t>
      </w:r>
      <w:r w:rsidRPr="00F64AE8">
        <w:rPr>
          <w:rFonts w:ascii="Abadi" w:hAnsi="Abadi" w:cs="*Arial-5258-Identity-H"/>
          <w:color w:val="14131B"/>
          <w:sz w:val="21"/>
          <w:szCs w:val="21"/>
        </w:rPr>
        <w:t>sujeto fiscalizado el pliego de recomendaciones derivadas de la auditoría</w:t>
      </w:r>
      <w:r>
        <w:rPr>
          <w:rFonts w:ascii="Abadi" w:hAnsi="Abadi" w:cs="*Arial-5258-Identity-H"/>
          <w:color w:val="14131B"/>
          <w:sz w:val="21"/>
          <w:szCs w:val="21"/>
        </w:rPr>
        <w:t xml:space="preserve"> </w:t>
      </w:r>
      <w:r w:rsidRPr="00F64AE8">
        <w:rPr>
          <w:rFonts w:ascii="Abadi" w:hAnsi="Abadi" w:cs="*Arial-5258-Identity-H"/>
          <w:color w:val="14131B"/>
          <w:sz w:val="21"/>
          <w:szCs w:val="21"/>
        </w:rPr>
        <w:t>practicada. Lo anterior, para dar cumplimiento a lo preceptuado por el artículo 58</w:t>
      </w:r>
      <w:r>
        <w:rPr>
          <w:rFonts w:ascii="Abadi" w:hAnsi="Abadi" w:cs="*Arial-5258-Identity-H"/>
          <w:color w:val="14131B"/>
          <w:sz w:val="21"/>
          <w:szCs w:val="21"/>
        </w:rPr>
        <w:t xml:space="preserve"> </w:t>
      </w:r>
      <w:r w:rsidRPr="00F64AE8">
        <w:rPr>
          <w:rFonts w:ascii="Abadi" w:hAnsi="Abadi" w:cs="*Arial-5258-Identity-H"/>
          <w:color w:val="14131B"/>
          <w:sz w:val="21"/>
          <w:szCs w:val="21"/>
        </w:rPr>
        <w:t>de la Ley de Fiscalización Superior del Estado de Guanajuato.</w:t>
      </w:r>
    </w:p>
    <w:p w14:paraId="7002A5DB" w14:textId="77777777" w:rsidR="00600B0C" w:rsidRPr="00F64AE8" w:rsidRDefault="00600B0C" w:rsidP="00600B0C">
      <w:pPr>
        <w:autoSpaceDE w:val="0"/>
        <w:autoSpaceDN w:val="0"/>
        <w:adjustRightInd w:val="0"/>
        <w:jc w:val="both"/>
        <w:rPr>
          <w:rFonts w:ascii="Abadi" w:hAnsi="Abadi" w:cs="*Arial-5258-Identity-H"/>
          <w:color w:val="14131B"/>
          <w:sz w:val="21"/>
          <w:szCs w:val="21"/>
        </w:rPr>
      </w:pPr>
    </w:p>
    <w:p w14:paraId="30A1A491" w14:textId="77777777" w:rsidR="00600B0C" w:rsidRDefault="00600B0C" w:rsidP="00600B0C">
      <w:pPr>
        <w:autoSpaceDE w:val="0"/>
        <w:autoSpaceDN w:val="0"/>
        <w:adjustRightInd w:val="0"/>
        <w:ind w:firstLine="708"/>
        <w:jc w:val="both"/>
        <w:rPr>
          <w:rFonts w:ascii="Abadi" w:hAnsi="Abadi" w:cs="*Arial-5258-Identity-H"/>
          <w:color w:val="14131B"/>
          <w:sz w:val="21"/>
          <w:szCs w:val="21"/>
        </w:rPr>
      </w:pPr>
      <w:r w:rsidRPr="00F64AE8">
        <w:rPr>
          <w:rFonts w:ascii="Abadi" w:hAnsi="Abadi" w:cs="*Arial-5258-Identity-H"/>
          <w:color w:val="14131B"/>
          <w:sz w:val="21"/>
          <w:szCs w:val="21"/>
        </w:rPr>
        <w:t>En fechas 25 de enero y 8 de febrero de 2022, el sujeto fiscalizado dio</w:t>
      </w:r>
      <w:r>
        <w:rPr>
          <w:rFonts w:ascii="Abadi" w:hAnsi="Abadi" w:cs="*Arial-5258-Identity-H"/>
          <w:color w:val="14131B"/>
          <w:sz w:val="21"/>
          <w:szCs w:val="21"/>
        </w:rPr>
        <w:t xml:space="preserve"> </w:t>
      </w:r>
      <w:r w:rsidRPr="00F64AE8">
        <w:rPr>
          <w:rFonts w:ascii="Abadi" w:hAnsi="Abadi" w:cs="*Arial-5258-Identity-H"/>
          <w:color w:val="14131B"/>
          <w:sz w:val="21"/>
          <w:szCs w:val="21"/>
        </w:rPr>
        <w:t>respuesta a las recomendaciones derivadas de la auditoría practicada,</w:t>
      </w:r>
      <w:r>
        <w:rPr>
          <w:rFonts w:ascii="Abadi" w:hAnsi="Abadi" w:cs="*Arial-5258-Identity-H"/>
          <w:color w:val="14131B"/>
          <w:sz w:val="21"/>
          <w:szCs w:val="21"/>
        </w:rPr>
        <w:t xml:space="preserve"> </w:t>
      </w:r>
      <w:r w:rsidRPr="00F64AE8">
        <w:rPr>
          <w:rFonts w:ascii="Abadi" w:hAnsi="Abadi" w:cs="*Arial-5258-Identity-H"/>
          <w:color w:val="14131B"/>
          <w:sz w:val="21"/>
          <w:szCs w:val="21"/>
        </w:rPr>
        <w:t>anexándose la información y documentación que el mismo consideró suficiente</w:t>
      </w:r>
      <w:r>
        <w:rPr>
          <w:rFonts w:ascii="Abadi" w:hAnsi="Abadi" w:cs="*Arial-5258-Identity-H"/>
          <w:color w:val="14131B"/>
          <w:sz w:val="21"/>
          <w:szCs w:val="21"/>
        </w:rPr>
        <w:t xml:space="preserve"> </w:t>
      </w:r>
      <w:r w:rsidRPr="00F64AE8">
        <w:rPr>
          <w:rFonts w:ascii="Abadi" w:hAnsi="Abadi" w:cs="*Arial-5258-Identity-H"/>
          <w:color w:val="14131B"/>
          <w:sz w:val="21"/>
          <w:szCs w:val="21"/>
        </w:rPr>
        <w:t>para precisar las mejoras efectuadas, las acciones a realizar o en su caso,</w:t>
      </w:r>
      <w:r>
        <w:rPr>
          <w:rFonts w:ascii="Abadi" w:hAnsi="Abadi" w:cs="*Arial-5258-Identity-H"/>
          <w:color w:val="14131B"/>
          <w:sz w:val="21"/>
          <w:szCs w:val="21"/>
        </w:rPr>
        <w:t xml:space="preserve"> </w:t>
      </w:r>
      <w:r w:rsidRPr="00F64AE8">
        <w:rPr>
          <w:rFonts w:ascii="Abadi" w:hAnsi="Abadi" w:cs="*Arial-5258-Identity-H"/>
          <w:color w:val="14131B"/>
          <w:sz w:val="21"/>
          <w:szCs w:val="21"/>
        </w:rPr>
        <w:t>justificar la improcedencia por la cual no resulte factible su implementación. Una</w:t>
      </w:r>
      <w:r>
        <w:rPr>
          <w:rFonts w:ascii="Abadi" w:hAnsi="Abadi" w:cs="*Arial-5258-Identity-H"/>
          <w:color w:val="14131B"/>
          <w:sz w:val="21"/>
          <w:szCs w:val="21"/>
        </w:rPr>
        <w:t xml:space="preserve"> </w:t>
      </w:r>
      <w:r w:rsidRPr="00F64AE8">
        <w:rPr>
          <w:rFonts w:ascii="Abadi" w:hAnsi="Abadi" w:cs="*Arial-5258-Identity-H"/>
          <w:color w:val="14131B"/>
          <w:sz w:val="21"/>
          <w:szCs w:val="21"/>
        </w:rPr>
        <w:t>vez valorada la documentación aportada se procedió a la elaboración del informe</w:t>
      </w:r>
      <w:r>
        <w:rPr>
          <w:rFonts w:ascii="Abadi" w:hAnsi="Abadi" w:cs="*Arial-5258-Identity-H"/>
          <w:color w:val="14131B"/>
          <w:sz w:val="21"/>
          <w:szCs w:val="21"/>
        </w:rPr>
        <w:t xml:space="preserve"> </w:t>
      </w:r>
      <w:r w:rsidRPr="00F64AE8">
        <w:rPr>
          <w:rFonts w:ascii="Abadi" w:hAnsi="Abadi" w:cs="*Arial-5258-Identity-H"/>
          <w:color w:val="14131B"/>
          <w:sz w:val="21"/>
          <w:szCs w:val="21"/>
        </w:rPr>
        <w:t>de resultados materia del presente dictamen.</w:t>
      </w:r>
      <w:r>
        <w:rPr>
          <w:rFonts w:ascii="Abadi" w:hAnsi="Abadi" w:cs="*Arial-5258-Identity-H"/>
          <w:color w:val="14131B"/>
          <w:sz w:val="21"/>
          <w:szCs w:val="21"/>
        </w:rPr>
        <w:t xml:space="preserve"> </w:t>
      </w:r>
    </w:p>
    <w:p w14:paraId="443318A1" w14:textId="77777777" w:rsidR="00600B0C" w:rsidRDefault="00600B0C" w:rsidP="00600B0C">
      <w:pPr>
        <w:autoSpaceDE w:val="0"/>
        <w:autoSpaceDN w:val="0"/>
        <w:adjustRightInd w:val="0"/>
        <w:jc w:val="both"/>
        <w:rPr>
          <w:rFonts w:ascii="Abadi" w:hAnsi="Abadi" w:cs="*Arial-5258-Identity-H"/>
          <w:color w:val="14131B"/>
          <w:sz w:val="21"/>
          <w:szCs w:val="21"/>
        </w:rPr>
      </w:pPr>
    </w:p>
    <w:p w14:paraId="7744BD0A" w14:textId="77777777" w:rsidR="00600B0C" w:rsidRPr="00F64AE8" w:rsidRDefault="00600B0C" w:rsidP="00600B0C">
      <w:pPr>
        <w:autoSpaceDE w:val="0"/>
        <w:autoSpaceDN w:val="0"/>
        <w:adjustRightInd w:val="0"/>
        <w:jc w:val="both"/>
        <w:rPr>
          <w:rFonts w:ascii="Abadi" w:hAnsi="Abadi" w:cs="*Arial-5258-Identity-H"/>
          <w:color w:val="14131B"/>
          <w:sz w:val="21"/>
          <w:szCs w:val="21"/>
        </w:rPr>
      </w:pPr>
    </w:p>
    <w:p w14:paraId="23151FB2" w14:textId="77777777" w:rsidR="00600B0C" w:rsidRDefault="00600B0C" w:rsidP="00600B0C">
      <w:pPr>
        <w:autoSpaceDE w:val="0"/>
        <w:autoSpaceDN w:val="0"/>
        <w:adjustRightInd w:val="0"/>
        <w:ind w:firstLine="708"/>
        <w:jc w:val="both"/>
        <w:rPr>
          <w:rFonts w:ascii="Abadi" w:hAnsi="Abadi" w:cs="*Arial-5258-Identity-H"/>
          <w:color w:val="14131B"/>
          <w:sz w:val="21"/>
          <w:szCs w:val="21"/>
        </w:rPr>
      </w:pPr>
      <w:r w:rsidRPr="00F64AE8">
        <w:rPr>
          <w:rFonts w:ascii="Abadi" w:hAnsi="Abadi" w:cs="*Arial-5258-Identity-H"/>
          <w:color w:val="14131B"/>
          <w:sz w:val="21"/>
          <w:szCs w:val="21"/>
        </w:rPr>
        <w:t>El informe de resultados se notificó a la presidenta municipal de lrapuato,</w:t>
      </w:r>
      <w:r>
        <w:rPr>
          <w:rFonts w:ascii="Abadi" w:hAnsi="Abadi" w:cs="*Arial-5258-Identity-H"/>
          <w:color w:val="14131B"/>
          <w:sz w:val="21"/>
          <w:szCs w:val="21"/>
        </w:rPr>
        <w:t xml:space="preserve"> </w:t>
      </w:r>
      <w:r w:rsidRPr="00F64AE8">
        <w:rPr>
          <w:rFonts w:ascii="Abadi" w:hAnsi="Abadi" w:cs="*Arial-5258-Identity-H"/>
          <w:color w:val="14131B"/>
          <w:sz w:val="21"/>
          <w:szCs w:val="21"/>
        </w:rPr>
        <w:t>Gto., el 11 de febrero de 2022.</w:t>
      </w:r>
    </w:p>
    <w:p w14:paraId="7C6DBB43" w14:textId="77777777" w:rsidR="00600B0C" w:rsidRPr="00F64AE8" w:rsidRDefault="00600B0C" w:rsidP="00600B0C">
      <w:pPr>
        <w:autoSpaceDE w:val="0"/>
        <w:autoSpaceDN w:val="0"/>
        <w:adjustRightInd w:val="0"/>
        <w:jc w:val="both"/>
        <w:rPr>
          <w:rFonts w:ascii="Abadi" w:hAnsi="Abadi" w:cs="*Arial-5258-Identity-H"/>
          <w:color w:val="14131B"/>
          <w:sz w:val="21"/>
          <w:szCs w:val="21"/>
        </w:rPr>
      </w:pPr>
    </w:p>
    <w:p w14:paraId="18B6041C" w14:textId="77777777" w:rsidR="00600B0C" w:rsidRDefault="00600B0C" w:rsidP="00600B0C">
      <w:pPr>
        <w:autoSpaceDE w:val="0"/>
        <w:autoSpaceDN w:val="0"/>
        <w:adjustRightInd w:val="0"/>
        <w:ind w:firstLine="708"/>
        <w:jc w:val="both"/>
        <w:rPr>
          <w:rFonts w:ascii="Abadi" w:hAnsi="Abadi" w:cs="*Arial-5258-Identity-H"/>
          <w:color w:val="14131B"/>
          <w:sz w:val="21"/>
          <w:szCs w:val="21"/>
        </w:rPr>
      </w:pPr>
      <w:r w:rsidRPr="00F64AE8">
        <w:rPr>
          <w:rFonts w:ascii="Abadi" w:hAnsi="Abadi" w:cs="*Arial-5258-Identity-H"/>
          <w:color w:val="14131B"/>
          <w:sz w:val="21"/>
          <w:szCs w:val="21"/>
        </w:rPr>
        <w:t>Es importante señalar que de acuerdo a lo previsto en los artículos 60 de la</w:t>
      </w:r>
      <w:r>
        <w:rPr>
          <w:rFonts w:ascii="Abadi" w:hAnsi="Abadi" w:cs="*Arial-5258-Identity-H"/>
          <w:color w:val="14131B"/>
          <w:sz w:val="21"/>
          <w:szCs w:val="21"/>
        </w:rPr>
        <w:t xml:space="preserve"> </w:t>
      </w:r>
      <w:r w:rsidRPr="00F64AE8">
        <w:rPr>
          <w:rFonts w:ascii="Abadi" w:hAnsi="Abadi" w:cs="*Arial-5258-Identity-H"/>
          <w:color w:val="14131B"/>
          <w:sz w:val="21"/>
          <w:szCs w:val="21"/>
        </w:rPr>
        <w:t>Ley de Fiscalización Superior del Estado de Guanajuato; y 60 del Reglamento de</w:t>
      </w:r>
      <w:r>
        <w:rPr>
          <w:rFonts w:ascii="Abadi" w:hAnsi="Abadi" w:cs="*Arial-5258-Identity-H"/>
          <w:color w:val="14131B"/>
          <w:sz w:val="21"/>
          <w:szCs w:val="21"/>
        </w:rPr>
        <w:t xml:space="preserve"> </w:t>
      </w:r>
      <w:r w:rsidRPr="00F64AE8">
        <w:rPr>
          <w:rFonts w:ascii="Abadi" w:hAnsi="Abadi" w:cs="*Arial-5258-Identity-H"/>
          <w:color w:val="14131B"/>
          <w:sz w:val="21"/>
          <w:szCs w:val="21"/>
        </w:rPr>
        <w:t>la Ley de Fiscalización Superior del Estado de Guanajuato, tratándose de las</w:t>
      </w:r>
      <w:r>
        <w:rPr>
          <w:rFonts w:ascii="Abadi" w:hAnsi="Abadi" w:cs="*Arial-5258-Identity-H"/>
          <w:color w:val="14131B"/>
          <w:sz w:val="21"/>
          <w:szCs w:val="21"/>
        </w:rPr>
        <w:t xml:space="preserve"> </w:t>
      </w:r>
      <w:r w:rsidRPr="00F64AE8">
        <w:rPr>
          <w:rFonts w:ascii="Abadi" w:hAnsi="Abadi" w:cs="*Arial-5258-Identity-H"/>
          <w:color w:val="14131B"/>
          <w:sz w:val="21"/>
          <w:szCs w:val="21"/>
        </w:rPr>
        <w:t>auditorías de desempeño es improcedente el recurso de reconsideración en contra</w:t>
      </w:r>
      <w:r>
        <w:rPr>
          <w:rFonts w:ascii="Abadi" w:hAnsi="Abadi" w:cs="*Arial-5258-Identity-H"/>
          <w:color w:val="14131B"/>
          <w:sz w:val="21"/>
          <w:szCs w:val="21"/>
        </w:rPr>
        <w:t xml:space="preserve"> </w:t>
      </w:r>
      <w:r w:rsidRPr="00F64AE8">
        <w:rPr>
          <w:rFonts w:ascii="Abadi" w:hAnsi="Abadi" w:cs="*Arial-5258-Identity-H"/>
          <w:color w:val="14131B"/>
          <w:sz w:val="21"/>
          <w:szCs w:val="21"/>
        </w:rPr>
        <w:t>del informe de resultados, por lo que una vez notificado el mismo al sujeto de</w:t>
      </w:r>
      <w:r>
        <w:rPr>
          <w:rFonts w:ascii="Abadi" w:hAnsi="Abadi" w:cs="*Arial-5258-Identity-H"/>
          <w:color w:val="14131B"/>
          <w:sz w:val="21"/>
          <w:szCs w:val="21"/>
        </w:rPr>
        <w:t xml:space="preserve"> </w:t>
      </w:r>
      <w:r w:rsidRPr="00F64AE8">
        <w:rPr>
          <w:rFonts w:ascii="Abadi" w:hAnsi="Abadi" w:cs="*Arial-5258-Identity-H"/>
          <w:color w:val="14131B"/>
          <w:sz w:val="21"/>
          <w:szCs w:val="21"/>
        </w:rPr>
        <w:t>fiscalización, se remite al Congreso para los efectos procedentes.</w:t>
      </w:r>
    </w:p>
    <w:p w14:paraId="19C868F0" w14:textId="77777777" w:rsidR="00600B0C" w:rsidRPr="00F64AE8" w:rsidRDefault="00600B0C" w:rsidP="00600B0C">
      <w:pPr>
        <w:autoSpaceDE w:val="0"/>
        <w:autoSpaceDN w:val="0"/>
        <w:adjustRightInd w:val="0"/>
        <w:jc w:val="both"/>
        <w:rPr>
          <w:rFonts w:ascii="Abadi" w:hAnsi="Abadi" w:cs="*Arial-5258-Identity-H"/>
          <w:color w:val="14131B"/>
          <w:sz w:val="21"/>
          <w:szCs w:val="21"/>
        </w:rPr>
      </w:pPr>
    </w:p>
    <w:p w14:paraId="386E6C98" w14:textId="77777777" w:rsidR="00600B0C" w:rsidRPr="00F64AE8" w:rsidRDefault="00600B0C" w:rsidP="00600B0C">
      <w:pPr>
        <w:autoSpaceDE w:val="0"/>
        <w:autoSpaceDN w:val="0"/>
        <w:adjustRightInd w:val="0"/>
        <w:ind w:firstLine="708"/>
        <w:jc w:val="both"/>
        <w:rPr>
          <w:rFonts w:ascii="Abadi" w:hAnsi="Abadi" w:cs="*Arial-5258-Identity-H"/>
          <w:color w:val="14131B"/>
          <w:sz w:val="21"/>
          <w:szCs w:val="21"/>
        </w:rPr>
      </w:pPr>
      <w:r w:rsidRPr="00F64AE8">
        <w:rPr>
          <w:rFonts w:ascii="Abadi" w:hAnsi="Abadi" w:cs="*Arial-5258-Identity-H"/>
          <w:color w:val="14131B"/>
          <w:sz w:val="21"/>
          <w:szCs w:val="21"/>
        </w:rPr>
        <w:t>En razón de lo anterior, el Auditor Superior del Estado remitió a este</w:t>
      </w:r>
      <w:r>
        <w:rPr>
          <w:rFonts w:ascii="Abadi" w:hAnsi="Abadi" w:cs="*Arial-5258-Identity-H"/>
          <w:color w:val="14131B"/>
          <w:sz w:val="21"/>
          <w:szCs w:val="21"/>
        </w:rPr>
        <w:t xml:space="preserve"> </w:t>
      </w:r>
      <w:r w:rsidRPr="00F64AE8">
        <w:rPr>
          <w:rFonts w:ascii="Abadi" w:hAnsi="Abadi" w:cs="*Arial-5258-Identity-H"/>
          <w:color w:val="14131B"/>
          <w:sz w:val="21"/>
          <w:szCs w:val="21"/>
        </w:rPr>
        <w:t>Congreso del Estado, el informe de resultados, el cual se turnó a la Comisión de</w:t>
      </w:r>
      <w:r>
        <w:rPr>
          <w:rFonts w:ascii="Abadi" w:hAnsi="Abadi" w:cs="*Arial-5258-Identity-H"/>
          <w:color w:val="14131B"/>
          <w:sz w:val="21"/>
          <w:szCs w:val="21"/>
        </w:rPr>
        <w:t xml:space="preserve"> </w:t>
      </w:r>
      <w:r w:rsidRPr="00F64AE8">
        <w:rPr>
          <w:rFonts w:ascii="Abadi" w:hAnsi="Abadi" w:cs="*Arial-5258-Identity-H"/>
          <w:color w:val="14131B"/>
          <w:sz w:val="21"/>
          <w:szCs w:val="21"/>
        </w:rPr>
        <w:t>Hacienda y Fiscalización el 1 O de marzo de 2022 para su estudio y dictamen,</w:t>
      </w:r>
      <w:r>
        <w:rPr>
          <w:rFonts w:ascii="Abadi" w:hAnsi="Abadi" w:cs="*Arial-5258-Identity-H"/>
          <w:color w:val="14131B"/>
          <w:sz w:val="21"/>
          <w:szCs w:val="21"/>
        </w:rPr>
        <w:t xml:space="preserve"> </w:t>
      </w:r>
      <w:r w:rsidRPr="00F64AE8">
        <w:rPr>
          <w:rFonts w:ascii="Abadi" w:hAnsi="Abadi" w:cs="*Arial-5258-Identity-H"/>
          <w:color w:val="14131B"/>
          <w:sz w:val="21"/>
          <w:szCs w:val="21"/>
        </w:rPr>
        <w:t>siendo radicado el 15 de marzo del año en curso.</w:t>
      </w:r>
    </w:p>
    <w:p w14:paraId="7F48DFE7" w14:textId="77777777" w:rsidR="00600B0C" w:rsidRDefault="00600B0C" w:rsidP="00600B0C">
      <w:pPr>
        <w:autoSpaceDE w:val="0"/>
        <w:autoSpaceDN w:val="0"/>
        <w:adjustRightInd w:val="0"/>
        <w:jc w:val="both"/>
        <w:rPr>
          <w:rFonts w:ascii="Abadi" w:hAnsi="Abadi" w:cs="*Arial-Bold-6179-Identity-H"/>
          <w:b/>
          <w:bCs/>
          <w:color w:val="14141E"/>
          <w:sz w:val="21"/>
          <w:szCs w:val="21"/>
        </w:rPr>
      </w:pPr>
    </w:p>
    <w:p w14:paraId="29C29535" w14:textId="77777777" w:rsidR="00600B0C" w:rsidRDefault="00600B0C" w:rsidP="00600B0C">
      <w:pPr>
        <w:autoSpaceDE w:val="0"/>
        <w:autoSpaceDN w:val="0"/>
        <w:adjustRightInd w:val="0"/>
        <w:ind w:firstLine="708"/>
        <w:jc w:val="both"/>
        <w:rPr>
          <w:rFonts w:ascii="Abadi" w:hAnsi="Abadi" w:cs="*Arial-Bold-6179-Identity-H"/>
          <w:b/>
          <w:bCs/>
          <w:color w:val="14141E"/>
          <w:sz w:val="21"/>
          <w:szCs w:val="21"/>
        </w:rPr>
      </w:pPr>
      <w:r w:rsidRPr="00F64AE8">
        <w:rPr>
          <w:rFonts w:ascii="Abadi" w:hAnsi="Abadi" w:cs="*Arial-Bold-6179-Identity-H"/>
          <w:b/>
          <w:bCs/>
          <w:color w:val="14141E"/>
          <w:sz w:val="21"/>
          <w:szCs w:val="21"/>
        </w:rPr>
        <w:t>IV. Contenido del Informe de Resultados:</w:t>
      </w:r>
    </w:p>
    <w:p w14:paraId="28E2E880" w14:textId="77777777" w:rsidR="00600B0C" w:rsidRPr="00F64AE8" w:rsidRDefault="00600B0C" w:rsidP="00600B0C">
      <w:pPr>
        <w:autoSpaceDE w:val="0"/>
        <w:autoSpaceDN w:val="0"/>
        <w:adjustRightInd w:val="0"/>
        <w:jc w:val="both"/>
        <w:rPr>
          <w:rFonts w:ascii="Abadi" w:hAnsi="Abadi" w:cs="*Arial-Bold-6179-Identity-H"/>
          <w:b/>
          <w:bCs/>
          <w:color w:val="14141E"/>
          <w:sz w:val="21"/>
          <w:szCs w:val="21"/>
        </w:rPr>
      </w:pPr>
    </w:p>
    <w:p w14:paraId="23FE2C9A" w14:textId="77777777" w:rsidR="00600B0C" w:rsidRPr="00F64AE8" w:rsidRDefault="00600B0C" w:rsidP="00600B0C">
      <w:pPr>
        <w:autoSpaceDE w:val="0"/>
        <w:autoSpaceDN w:val="0"/>
        <w:adjustRightInd w:val="0"/>
        <w:ind w:firstLine="708"/>
        <w:jc w:val="both"/>
        <w:rPr>
          <w:rFonts w:ascii="Abadi" w:hAnsi="Abadi" w:cs="*Arial-6178-Identity-H"/>
          <w:color w:val="15141C"/>
          <w:sz w:val="21"/>
          <w:szCs w:val="21"/>
        </w:rPr>
      </w:pPr>
      <w:r w:rsidRPr="00F64AE8">
        <w:rPr>
          <w:rFonts w:ascii="Abadi" w:hAnsi="Abadi" w:cs="*Arial-6178-Identity-H"/>
          <w:color w:val="15141C"/>
          <w:sz w:val="21"/>
          <w:szCs w:val="21"/>
        </w:rPr>
        <w:t>Con fundamento en los artículos 59 de la Ley de Fiscalización Superior del</w:t>
      </w:r>
      <w:r>
        <w:rPr>
          <w:rFonts w:ascii="Abadi" w:hAnsi="Abadi" w:cs="*Arial-6178-Identity-H"/>
          <w:color w:val="15141C"/>
          <w:sz w:val="21"/>
          <w:szCs w:val="21"/>
        </w:rPr>
        <w:t xml:space="preserve"> </w:t>
      </w:r>
      <w:r w:rsidRPr="00F64AE8">
        <w:rPr>
          <w:rFonts w:ascii="Abadi" w:hAnsi="Abadi" w:cs="*Arial-6178-Identity-H"/>
          <w:color w:val="15141C"/>
          <w:sz w:val="21"/>
          <w:szCs w:val="21"/>
        </w:rPr>
        <w:t>Estado de Guanajuato y 26 del Reglamento de dicha Ley, el informe de resultados</w:t>
      </w:r>
      <w:r>
        <w:rPr>
          <w:rFonts w:ascii="Abadi" w:hAnsi="Abadi" w:cs="*Arial-6178-Identity-H"/>
          <w:color w:val="15141C"/>
          <w:sz w:val="21"/>
          <w:szCs w:val="21"/>
        </w:rPr>
        <w:t xml:space="preserve"> </w:t>
      </w:r>
      <w:r w:rsidRPr="00F64AE8">
        <w:rPr>
          <w:rFonts w:ascii="Abadi" w:hAnsi="Abadi" w:cs="*Arial-6178-Identity-H"/>
          <w:color w:val="15141C"/>
          <w:sz w:val="21"/>
          <w:szCs w:val="21"/>
        </w:rPr>
        <w:t>contiene los siguientes apartados: Introducción; Resultado del Proceso de</w:t>
      </w:r>
      <w:r>
        <w:rPr>
          <w:rFonts w:ascii="Abadi" w:hAnsi="Abadi" w:cs="*Arial-6178-Identity-H"/>
          <w:color w:val="15141C"/>
          <w:sz w:val="21"/>
          <w:szCs w:val="21"/>
        </w:rPr>
        <w:t xml:space="preserve"> </w:t>
      </w:r>
      <w:r w:rsidRPr="00F64AE8">
        <w:rPr>
          <w:rFonts w:ascii="Abadi" w:hAnsi="Abadi" w:cs="*Arial-6178-Identity-H"/>
          <w:color w:val="15141C"/>
          <w:sz w:val="21"/>
          <w:szCs w:val="21"/>
        </w:rPr>
        <w:t>Fiscalización; Resumen de las Recomendaciones; y Conclusión General.</w:t>
      </w:r>
    </w:p>
    <w:p w14:paraId="6901C8F7" w14:textId="77777777" w:rsidR="00600B0C" w:rsidRDefault="00600B0C" w:rsidP="00600B0C">
      <w:pPr>
        <w:autoSpaceDE w:val="0"/>
        <w:autoSpaceDN w:val="0"/>
        <w:adjustRightInd w:val="0"/>
        <w:jc w:val="both"/>
        <w:rPr>
          <w:rFonts w:ascii="Abadi" w:hAnsi="Abadi" w:cs="*Arial-Bold-6179-Identity-H"/>
          <w:b/>
          <w:bCs/>
          <w:color w:val="141220"/>
          <w:sz w:val="21"/>
          <w:szCs w:val="21"/>
        </w:rPr>
      </w:pPr>
    </w:p>
    <w:p w14:paraId="04878E57" w14:textId="77777777" w:rsidR="00600B0C" w:rsidRDefault="00600B0C" w:rsidP="00600B0C">
      <w:pPr>
        <w:autoSpaceDE w:val="0"/>
        <w:autoSpaceDN w:val="0"/>
        <w:adjustRightInd w:val="0"/>
        <w:ind w:firstLine="708"/>
        <w:jc w:val="both"/>
        <w:rPr>
          <w:rFonts w:ascii="Abadi" w:hAnsi="Abadi" w:cs="*Arial-Bold-6179-Identity-H"/>
          <w:b/>
          <w:bCs/>
          <w:color w:val="141220"/>
          <w:sz w:val="21"/>
          <w:szCs w:val="21"/>
        </w:rPr>
      </w:pPr>
      <w:r w:rsidRPr="00F64AE8">
        <w:rPr>
          <w:rFonts w:ascii="Abadi" w:hAnsi="Abadi" w:cs="*Arial-Bold-6179-Identity-H"/>
          <w:b/>
          <w:bCs/>
          <w:color w:val="141220"/>
          <w:sz w:val="21"/>
          <w:szCs w:val="21"/>
        </w:rPr>
        <w:t>a) Introducción.</w:t>
      </w:r>
    </w:p>
    <w:p w14:paraId="5F6C5494" w14:textId="77777777" w:rsidR="00600B0C" w:rsidRPr="00F64AE8" w:rsidRDefault="00600B0C" w:rsidP="00600B0C">
      <w:pPr>
        <w:autoSpaceDE w:val="0"/>
        <w:autoSpaceDN w:val="0"/>
        <w:adjustRightInd w:val="0"/>
        <w:jc w:val="both"/>
        <w:rPr>
          <w:rFonts w:ascii="Abadi" w:hAnsi="Abadi" w:cs="*Arial-Bold-6179-Identity-H"/>
          <w:b/>
          <w:bCs/>
          <w:color w:val="141220"/>
          <w:sz w:val="21"/>
          <w:szCs w:val="21"/>
        </w:rPr>
      </w:pPr>
    </w:p>
    <w:p w14:paraId="59F59BB7" w14:textId="77777777" w:rsidR="00600B0C" w:rsidRDefault="00600B0C" w:rsidP="00600B0C">
      <w:pPr>
        <w:autoSpaceDE w:val="0"/>
        <w:autoSpaceDN w:val="0"/>
        <w:adjustRightInd w:val="0"/>
        <w:ind w:firstLine="708"/>
        <w:jc w:val="both"/>
        <w:rPr>
          <w:rFonts w:ascii="Abadi" w:hAnsi="Abadi" w:cs="*Arial-6178-Identity-H"/>
          <w:color w:val="17161E"/>
          <w:sz w:val="21"/>
          <w:szCs w:val="21"/>
        </w:rPr>
      </w:pPr>
      <w:r w:rsidRPr="00F64AE8">
        <w:rPr>
          <w:rFonts w:ascii="Abadi" w:hAnsi="Abadi" w:cs="*Arial-6178-Identity-H"/>
          <w:color w:val="17161E"/>
          <w:sz w:val="21"/>
          <w:szCs w:val="21"/>
        </w:rPr>
        <w:t>Por lo que se refiere a esta parte, se señala que las auditoría</w:t>
      </w:r>
      <w:r w:rsidRPr="00F64AE8">
        <w:rPr>
          <w:rFonts w:ascii="Abadi" w:hAnsi="Abadi" w:cs="*Arial-6178-Identity-H"/>
          <w:color w:val="818188"/>
          <w:sz w:val="21"/>
          <w:szCs w:val="21"/>
        </w:rPr>
        <w:t xml:space="preserve">. </w:t>
      </w:r>
      <w:r w:rsidRPr="00F64AE8">
        <w:rPr>
          <w:rFonts w:ascii="Abadi" w:hAnsi="Abadi" w:cs="*Arial-6178-Identity-H"/>
          <w:color w:val="17161E"/>
          <w:sz w:val="21"/>
          <w:szCs w:val="21"/>
        </w:rPr>
        <w:t>s de</w:t>
      </w:r>
      <w:r>
        <w:rPr>
          <w:rFonts w:ascii="Abadi" w:hAnsi="Abadi" w:cs="*Arial-6178-Identity-H"/>
          <w:color w:val="17161E"/>
          <w:sz w:val="21"/>
          <w:szCs w:val="21"/>
        </w:rPr>
        <w:t xml:space="preserve"> </w:t>
      </w:r>
      <w:r w:rsidRPr="00F64AE8">
        <w:rPr>
          <w:rFonts w:ascii="Abadi" w:hAnsi="Abadi" w:cs="*Arial-6178-Identity-H"/>
          <w:color w:val="17161E"/>
          <w:sz w:val="21"/>
          <w:szCs w:val="21"/>
        </w:rPr>
        <w:t>desempeño son actos de fiscalización, esa es su esencia.</w:t>
      </w:r>
    </w:p>
    <w:p w14:paraId="3E638F2D" w14:textId="77777777" w:rsidR="00600B0C" w:rsidRPr="00F64AE8" w:rsidRDefault="00600B0C" w:rsidP="00600B0C">
      <w:pPr>
        <w:autoSpaceDE w:val="0"/>
        <w:autoSpaceDN w:val="0"/>
        <w:adjustRightInd w:val="0"/>
        <w:jc w:val="both"/>
        <w:rPr>
          <w:rFonts w:ascii="Abadi" w:hAnsi="Abadi" w:cs="*Arial-6178-Identity-H"/>
          <w:color w:val="17161E"/>
          <w:sz w:val="21"/>
          <w:szCs w:val="21"/>
        </w:rPr>
      </w:pPr>
    </w:p>
    <w:p w14:paraId="0C788712" w14:textId="77777777" w:rsidR="00600B0C" w:rsidRDefault="00600B0C" w:rsidP="00600B0C">
      <w:pPr>
        <w:autoSpaceDE w:val="0"/>
        <w:autoSpaceDN w:val="0"/>
        <w:adjustRightInd w:val="0"/>
        <w:ind w:firstLine="708"/>
        <w:jc w:val="both"/>
        <w:rPr>
          <w:rFonts w:ascii="Abadi" w:hAnsi="Abadi" w:cs="*Arial-6178-Identity-H"/>
          <w:color w:val="14141C"/>
          <w:sz w:val="21"/>
          <w:szCs w:val="21"/>
        </w:rPr>
      </w:pPr>
      <w:r w:rsidRPr="00F64AE8">
        <w:rPr>
          <w:rFonts w:ascii="Abadi" w:hAnsi="Abadi" w:cs="*Arial-6178-Identity-H"/>
          <w:color w:val="14141C"/>
          <w:sz w:val="21"/>
          <w:szCs w:val="21"/>
        </w:rPr>
        <w:t>Es así, que la naturaleza técnico-jurídica de las auditorías de desempeño</w:t>
      </w:r>
      <w:r>
        <w:rPr>
          <w:rFonts w:ascii="Abadi" w:hAnsi="Abadi" w:cs="*Arial-6178-Identity-H"/>
          <w:color w:val="14141C"/>
          <w:sz w:val="21"/>
          <w:szCs w:val="21"/>
        </w:rPr>
        <w:t xml:space="preserve"> </w:t>
      </w:r>
      <w:r w:rsidRPr="00F64AE8">
        <w:rPr>
          <w:rFonts w:ascii="Abadi" w:hAnsi="Abadi" w:cs="*Arial-6178-Identity-H"/>
          <w:color w:val="14141C"/>
          <w:sz w:val="21"/>
          <w:szCs w:val="21"/>
        </w:rPr>
        <w:t>difiere de otras auditorías, pues el resultado se expresa con la emisión, en su</w:t>
      </w:r>
      <w:r>
        <w:rPr>
          <w:rFonts w:ascii="Abadi" w:hAnsi="Abadi" w:cs="*Arial-6178-Identity-H"/>
          <w:color w:val="14141C"/>
          <w:sz w:val="21"/>
          <w:szCs w:val="21"/>
        </w:rPr>
        <w:t xml:space="preserve"> </w:t>
      </w:r>
      <w:r w:rsidRPr="00F64AE8">
        <w:rPr>
          <w:rFonts w:ascii="Abadi" w:hAnsi="Abadi" w:cs="*Arial-6178-Identity-H"/>
          <w:color w:val="14141C"/>
          <w:sz w:val="21"/>
          <w:szCs w:val="21"/>
        </w:rPr>
        <w:t>caso, de exclusivamente recomendaciones, distinguiéndose de otros actos de</w:t>
      </w:r>
      <w:r>
        <w:rPr>
          <w:rFonts w:ascii="Abadi" w:hAnsi="Abadi" w:cs="*Arial-6178-Identity-H"/>
          <w:color w:val="14141C"/>
          <w:sz w:val="21"/>
          <w:szCs w:val="21"/>
        </w:rPr>
        <w:t xml:space="preserve"> </w:t>
      </w:r>
      <w:r w:rsidRPr="00F64AE8">
        <w:rPr>
          <w:rFonts w:ascii="Abadi" w:hAnsi="Abadi" w:cs="*Arial-6178-Identity-H"/>
          <w:color w:val="14141C"/>
          <w:sz w:val="21"/>
          <w:szCs w:val="21"/>
        </w:rPr>
        <w:t>fiscalización o control que pueden arrojar observaciones. Se trata de una tarea</w:t>
      </w:r>
      <w:r>
        <w:rPr>
          <w:rFonts w:ascii="Abadi" w:hAnsi="Abadi" w:cs="*Arial-6178-Identity-H"/>
          <w:color w:val="14141C"/>
          <w:sz w:val="21"/>
          <w:szCs w:val="21"/>
        </w:rPr>
        <w:t xml:space="preserve"> </w:t>
      </w:r>
      <w:r w:rsidRPr="00F64AE8">
        <w:rPr>
          <w:rFonts w:ascii="Abadi" w:hAnsi="Abadi" w:cs="*Arial-6178-Identity-H"/>
          <w:color w:val="14141C"/>
          <w:sz w:val="21"/>
          <w:szCs w:val="21"/>
        </w:rPr>
        <w:t>reglada y sistémica de evaluación para la mejora continua, detectando</w:t>
      </w:r>
      <w:r>
        <w:rPr>
          <w:rFonts w:ascii="Abadi" w:hAnsi="Abadi" w:cs="*Arial-6178-Identity-H"/>
          <w:color w:val="14141C"/>
          <w:sz w:val="21"/>
          <w:szCs w:val="21"/>
        </w:rPr>
        <w:t xml:space="preserve"> </w:t>
      </w:r>
      <w:r w:rsidRPr="00F64AE8">
        <w:rPr>
          <w:rFonts w:ascii="Abadi" w:hAnsi="Abadi" w:cs="*Arial-6178-Identity-H"/>
          <w:color w:val="14141C"/>
          <w:sz w:val="21"/>
          <w:szCs w:val="21"/>
        </w:rPr>
        <w:t>debilidades, áreas de oportunidad, amenazas e incluso fortalezas en el ámbito</w:t>
      </w:r>
      <w:r>
        <w:rPr>
          <w:rFonts w:ascii="Abadi" w:hAnsi="Abadi" w:cs="*Arial-6178-Identity-H"/>
          <w:color w:val="14141C"/>
          <w:sz w:val="21"/>
          <w:szCs w:val="21"/>
        </w:rPr>
        <w:t xml:space="preserve"> </w:t>
      </w:r>
      <w:r w:rsidRPr="00F64AE8">
        <w:rPr>
          <w:rFonts w:ascii="Abadi" w:hAnsi="Abadi" w:cs="*Arial-6178-Identity-H"/>
          <w:color w:val="14141C"/>
          <w:sz w:val="21"/>
          <w:szCs w:val="21"/>
        </w:rPr>
        <w:t>público, pero promoviendo además acciones concretas que permitan superar o</w:t>
      </w:r>
      <w:r>
        <w:rPr>
          <w:rFonts w:ascii="Abadi" w:hAnsi="Abadi" w:cs="*Arial-6178-Identity-H"/>
          <w:color w:val="14141C"/>
          <w:sz w:val="21"/>
          <w:szCs w:val="21"/>
        </w:rPr>
        <w:t xml:space="preserve"> </w:t>
      </w:r>
      <w:r w:rsidRPr="00F64AE8">
        <w:rPr>
          <w:rFonts w:ascii="Abadi" w:hAnsi="Abadi" w:cs="*Arial-6178-Identity-H"/>
          <w:color w:val="14141C"/>
          <w:sz w:val="21"/>
          <w:szCs w:val="21"/>
        </w:rPr>
        <w:t>potenciar las mismas, dando adicionalmente seguimiento a su eventual</w:t>
      </w:r>
      <w:r>
        <w:rPr>
          <w:rFonts w:ascii="Abadi" w:hAnsi="Abadi" w:cs="*Arial-6178-Identity-H"/>
          <w:color w:val="14141C"/>
          <w:sz w:val="21"/>
          <w:szCs w:val="21"/>
        </w:rPr>
        <w:t xml:space="preserve"> </w:t>
      </w:r>
      <w:r w:rsidRPr="00F64AE8">
        <w:rPr>
          <w:rFonts w:ascii="Abadi" w:hAnsi="Abadi" w:cs="*Arial-6178-Identity-H"/>
          <w:color w:val="14141C"/>
          <w:sz w:val="21"/>
          <w:szCs w:val="21"/>
        </w:rPr>
        <w:t>implementación por los sujetos públicos responsables.</w:t>
      </w:r>
    </w:p>
    <w:p w14:paraId="06E2693A" w14:textId="77777777" w:rsidR="00600B0C" w:rsidRPr="00F64AE8" w:rsidRDefault="00600B0C" w:rsidP="00600B0C">
      <w:pPr>
        <w:autoSpaceDE w:val="0"/>
        <w:autoSpaceDN w:val="0"/>
        <w:adjustRightInd w:val="0"/>
        <w:jc w:val="both"/>
        <w:rPr>
          <w:rFonts w:ascii="Abadi" w:hAnsi="Abadi" w:cs="*Arial-6178-Identity-H"/>
          <w:color w:val="14141C"/>
          <w:sz w:val="21"/>
          <w:szCs w:val="21"/>
        </w:rPr>
      </w:pPr>
    </w:p>
    <w:p w14:paraId="36EB8593" w14:textId="77777777" w:rsidR="00600B0C" w:rsidRDefault="00600B0C" w:rsidP="00600B0C">
      <w:pPr>
        <w:autoSpaceDE w:val="0"/>
        <w:autoSpaceDN w:val="0"/>
        <w:adjustRightInd w:val="0"/>
        <w:ind w:firstLine="708"/>
        <w:jc w:val="both"/>
        <w:rPr>
          <w:rFonts w:ascii="Abadi" w:hAnsi="Abadi" w:cs="*Arial-6178-Identity-H"/>
          <w:color w:val="14141B"/>
          <w:sz w:val="21"/>
          <w:szCs w:val="21"/>
        </w:rPr>
      </w:pPr>
      <w:r w:rsidRPr="00F64AE8">
        <w:rPr>
          <w:rFonts w:ascii="Abadi" w:hAnsi="Abadi" w:cs="*Arial-6178-Identity-H"/>
          <w:color w:val="14141B"/>
          <w:sz w:val="21"/>
          <w:szCs w:val="21"/>
        </w:rPr>
        <w:t>En dichas auditorías, con independencia de su enfoque, se debe planear</w:t>
      </w:r>
      <w:r>
        <w:rPr>
          <w:rFonts w:ascii="Abadi" w:hAnsi="Abadi" w:cs="*Arial-6178-Identity-H"/>
          <w:color w:val="14141B"/>
          <w:sz w:val="21"/>
          <w:szCs w:val="21"/>
        </w:rPr>
        <w:t xml:space="preserve"> </w:t>
      </w:r>
      <w:r w:rsidRPr="00F64AE8">
        <w:rPr>
          <w:rFonts w:ascii="Abadi" w:hAnsi="Abadi" w:cs="*Arial-6178-Identity-H"/>
          <w:color w:val="14141B"/>
          <w:sz w:val="21"/>
          <w:szCs w:val="21"/>
        </w:rPr>
        <w:t>con toda claridad y con base en la evidencia competente, suficiente, pertinente,</w:t>
      </w:r>
      <w:r>
        <w:rPr>
          <w:rFonts w:ascii="Abadi" w:hAnsi="Abadi" w:cs="*Arial-6178-Identity-H"/>
          <w:color w:val="14141B"/>
          <w:sz w:val="21"/>
          <w:szCs w:val="21"/>
        </w:rPr>
        <w:t xml:space="preserve"> </w:t>
      </w:r>
      <w:r w:rsidRPr="00F64AE8">
        <w:rPr>
          <w:rFonts w:ascii="Abadi" w:hAnsi="Abadi" w:cs="*Arial-6178-Identity-H"/>
          <w:color w:val="14141B"/>
          <w:sz w:val="21"/>
          <w:szCs w:val="21"/>
        </w:rPr>
        <w:t>relevante y oportuna, las conclusiones del proceso de fiscalización,</w:t>
      </w:r>
      <w:r>
        <w:rPr>
          <w:rFonts w:ascii="Abadi" w:hAnsi="Abadi" w:cs="*Arial-6178-Identity-H"/>
          <w:color w:val="14141B"/>
          <w:sz w:val="21"/>
          <w:szCs w:val="21"/>
        </w:rPr>
        <w:t xml:space="preserve"> </w:t>
      </w:r>
      <w:r w:rsidRPr="00F64AE8">
        <w:rPr>
          <w:rFonts w:ascii="Abadi" w:hAnsi="Abadi" w:cs="*Arial-6178-Identity-H"/>
          <w:color w:val="14141B"/>
          <w:sz w:val="21"/>
          <w:szCs w:val="21"/>
        </w:rPr>
        <w:t>puntualizándose las recomendaciones formuladas en su caso.</w:t>
      </w:r>
    </w:p>
    <w:p w14:paraId="04703864" w14:textId="77777777" w:rsidR="00600B0C" w:rsidRPr="00F64AE8" w:rsidRDefault="00600B0C" w:rsidP="00600B0C">
      <w:pPr>
        <w:autoSpaceDE w:val="0"/>
        <w:autoSpaceDN w:val="0"/>
        <w:adjustRightInd w:val="0"/>
        <w:jc w:val="both"/>
        <w:rPr>
          <w:rFonts w:ascii="Abadi" w:hAnsi="Abadi" w:cs="*Arial-6178-Identity-H"/>
          <w:color w:val="14141B"/>
          <w:sz w:val="21"/>
          <w:szCs w:val="21"/>
        </w:rPr>
      </w:pPr>
    </w:p>
    <w:p w14:paraId="602FFB97" w14:textId="77777777" w:rsidR="00600B0C" w:rsidRDefault="00600B0C" w:rsidP="00600B0C">
      <w:pPr>
        <w:autoSpaceDE w:val="0"/>
        <w:autoSpaceDN w:val="0"/>
        <w:adjustRightInd w:val="0"/>
        <w:ind w:firstLine="708"/>
        <w:jc w:val="both"/>
        <w:rPr>
          <w:rFonts w:ascii="Abadi" w:hAnsi="Abadi" w:cs="*Arial-6178-Identity-H"/>
          <w:color w:val="15131C"/>
          <w:sz w:val="21"/>
          <w:szCs w:val="21"/>
        </w:rPr>
      </w:pPr>
      <w:r w:rsidRPr="00F64AE8">
        <w:rPr>
          <w:rFonts w:ascii="Abadi" w:hAnsi="Abadi" w:cs="*Arial-6178-Identity-H"/>
          <w:color w:val="15131C"/>
          <w:sz w:val="21"/>
          <w:szCs w:val="21"/>
        </w:rPr>
        <w:t>Respecto al marco competencia!, se precisa la normatividad aplicable a la</w:t>
      </w:r>
      <w:r>
        <w:rPr>
          <w:rFonts w:ascii="Abadi" w:hAnsi="Abadi" w:cs="*Arial-6178-Identity-H"/>
          <w:color w:val="15131C"/>
          <w:sz w:val="21"/>
          <w:szCs w:val="21"/>
        </w:rPr>
        <w:t xml:space="preserve"> </w:t>
      </w:r>
      <w:r w:rsidRPr="00F64AE8">
        <w:rPr>
          <w:rFonts w:ascii="Abadi" w:hAnsi="Abadi" w:cs="*Arial-6178-Identity-H"/>
          <w:color w:val="15131C"/>
          <w:sz w:val="21"/>
          <w:szCs w:val="21"/>
        </w:rPr>
        <w:t>función de fiscalización a cargo del Poder Legislativo del Estado, siendo esta:</w:t>
      </w:r>
    </w:p>
    <w:p w14:paraId="2BD3B097" w14:textId="77777777" w:rsidR="00600B0C" w:rsidRPr="00F64AE8" w:rsidRDefault="00600B0C" w:rsidP="00600B0C">
      <w:pPr>
        <w:autoSpaceDE w:val="0"/>
        <w:autoSpaceDN w:val="0"/>
        <w:adjustRightInd w:val="0"/>
        <w:jc w:val="both"/>
        <w:rPr>
          <w:rFonts w:ascii="Abadi" w:hAnsi="Abadi" w:cs="*Arial-6178-Identity-H"/>
          <w:color w:val="15131C"/>
          <w:sz w:val="21"/>
          <w:szCs w:val="21"/>
        </w:rPr>
      </w:pPr>
    </w:p>
    <w:p w14:paraId="732A576F" w14:textId="77777777" w:rsidR="00600B0C" w:rsidRDefault="00600B0C" w:rsidP="00600B0C">
      <w:pPr>
        <w:autoSpaceDE w:val="0"/>
        <w:autoSpaceDN w:val="0"/>
        <w:adjustRightInd w:val="0"/>
        <w:jc w:val="both"/>
        <w:rPr>
          <w:rFonts w:ascii="Abadi" w:hAnsi="Abadi" w:cs="*Arial-6178-Identity-H"/>
          <w:color w:val="15131C"/>
          <w:sz w:val="21"/>
          <w:szCs w:val="21"/>
        </w:rPr>
      </w:pPr>
      <w:r w:rsidRPr="00F64AE8">
        <w:rPr>
          <w:rFonts w:ascii="Abadi" w:hAnsi="Abadi" w:cs="*Arial-6178-Identity-H"/>
          <w:color w:val="15131C"/>
          <w:sz w:val="21"/>
          <w:szCs w:val="21"/>
        </w:rPr>
        <w:t>artículos 116, fracción II y 134 de la Constitución Política de los Estados Unidos</w:t>
      </w:r>
      <w:r>
        <w:rPr>
          <w:rFonts w:ascii="Abadi" w:hAnsi="Abadi" w:cs="*Arial-6178-Identity-H"/>
          <w:color w:val="15131C"/>
          <w:sz w:val="21"/>
          <w:szCs w:val="21"/>
        </w:rPr>
        <w:t xml:space="preserve"> </w:t>
      </w:r>
      <w:r w:rsidRPr="00F64AE8">
        <w:rPr>
          <w:rFonts w:ascii="Abadi" w:hAnsi="Abadi" w:cs="*Arial-6178-Identity-H"/>
          <w:color w:val="15131C"/>
          <w:sz w:val="21"/>
          <w:szCs w:val="21"/>
        </w:rPr>
        <w:t xml:space="preserve">Mexicanos; 2, párrafo primero, 63, fracción XIX y 66, fracciones </w:t>
      </w:r>
      <w:r>
        <w:rPr>
          <w:rFonts w:ascii="Abadi" w:hAnsi="Abadi" w:cs="*Arial-6178-Identity-H"/>
          <w:color w:val="15131C"/>
          <w:sz w:val="21"/>
          <w:szCs w:val="21"/>
        </w:rPr>
        <w:t>I</w:t>
      </w:r>
      <w:r w:rsidRPr="00F64AE8">
        <w:rPr>
          <w:rFonts w:ascii="Abadi" w:hAnsi="Abadi" w:cs="*Arial-6178-Identity-H"/>
          <w:color w:val="15131C"/>
          <w:sz w:val="21"/>
          <w:szCs w:val="21"/>
        </w:rPr>
        <w:t xml:space="preserve">, </w:t>
      </w:r>
      <w:r>
        <w:rPr>
          <w:rFonts w:ascii="Abadi" w:hAnsi="Abadi" w:cs="*Arial-6178-Identity-H"/>
          <w:color w:val="15131C"/>
          <w:sz w:val="21"/>
          <w:szCs w:val="21"/>
        </w:rPr>
        <w:t>II</w:t>
      </w:r>
      <w:r w:rsidRPr="00F64AE8">
        <w:rPr>
          <w:rFonts w:ascii="Abadi" w:hAnsi="Abadi" w:cs="*Arial-6178-Identity-H"/>
          <w:color w:val="15131C"/>
          <w:sz w:val="21"/>
          <w:szCs w:val="21"/>
        </w:rPr>
        <w:t xml:space="preserve"> y IV de la</w:t>
      </w:r>
      <w:r>
        <w:rPr>
          <w:rFonts w:ascii="Abadi" w:hAnsi="Abadi" w:cs="*Arial-6178-Identity-H"/>
          <w:color w:val="15131C"/>
          <w:sz w:val="21"/>
          <w:szCs w:val="21"/>
        </w:rPr>
        <w:t xml:space="preserve"> </w:t>
      </w:r>
      <w:r w:rsidRPr="00F64AE8">
        <w:rPr>
          <w:rFonts w:ascii="Abadi" w:hAnsi="Abadi" w:cs="*Arial-6178-Identity-H"/>
          <w:color w:val="15131C"/>
          <w:sz w:val="21"/>
          <w:szCs w:val="21"/>
        </w:rPr>
        <w:t xml:space="preserve">Constitución Política para el Estado de Guanajuato; 1, 2, fracciones </w:t>
      </w:r>
      <w:r>
        <w:rPr>
          <w:rFonts w:ascii="Abadi" w:hAnsi="Abadi" w:cs="*Arial-6178-Identity-H"/>
          <w:color w:val="15131C"/>
          <w:sz w:val="21"/>
          <w:szCs w:val="21"/>
        </w:rPr>
        <w:t>II</w:t>
      </w:r>
      <w:r w:rsidRPr="00F64AE8">
        <w:rPr>
          <w:rFonts w:ascii="Abadi" w:hAnsi="Abadi" w:cs="*Microsoft Sans Serif-Bold-6180"/>
          <w:b/>
          <w:bCs/>
          <w:color w:val="15131C"/>
          <w:sz w:val="21"/>
          <w:szCs w:val="21"/>
        </w:rPr>
        <w:t xml:space="preserve"> </w:t>
      </w:r>
      <w:r w:rsidRPr="00F64AE8">
        <w:rPr>
          <w:rFonts w:ascii="Abadi" w:hAnsi="Abadi" w:cs="*Arial-6178-Identity-H"/>
          <w:color w:val="15131C"/>
          <w:sz w:val="21"/>
          <w:szCs w:val="21"/>
        </w:rPr>
        <w:t xml:space="preserve">y </w:t>
      </w:r>
      <w:r>
        <w:rPr>
          <w:rFonts w:ascii="Abadi" w:hAnsi="Abadi" w:cs="*Arial-6178-Identity-H"/>
          <w:color w:val="15131C"/>
          <w:sz w:val="21"/>
          <w:szCs w:val="21"/>
        </w:rPr>
        <w:t>III</w:t>
      </w:r>
      <w:r w:rsidRPr="00F64AE8">
        <w:rPr>
          <w:rFonts w:ascii="Abadi" w:hAnsi="Abadi" w:cs="*Microsoft Sans Serif-Bold-6180"/>
          <w:b/>
          <w:bCs/>
          <w:color w:val="15131C"/>
          <w:sz w:val="21"/>
          <w:szCs w:val="21"/>
        </w:rPr>
        <w:t xml:space="preserve">, </w:t>
      </w:r>
      <w:r w:rsidRPr="00F64AE8">
        <w:rPr>
          <w:rFonts w:ascii="Abadi" w:hAnsi="Abadi" w:cs="*Arial-6178-Identity-H"/>
          <w:color w:val="15131C"/>
          <w:sz w:val="21"/>
          <w:szCs w:val="21"/>
        </w:rPr>
        <w:t>3,</w:t>
      </w:r>
      <w:r>
        <w:rPr>
          <w:rFonts w:ascii="Abadi" w:hAnsi="Abadi" w:cs="*Arial-6178-Identity-H"/>
          <w:color w:val="15131C"/>
          <w:sz w:val="21"/>
          <w:szCs w:val="21"/>
        </w:rPr>
        <w:t xml:space="preserve"> </w:t>
      </w:r>
      <w:r w:rsidRPr="00F64AE8">
        <w:rPr>
          <w:rFonts w:ascii="Abadi" w:hAnsi="Abadi" w:cs="*Arial-6178-Identity-H"/>
          <w:color w:val="15131C"/>
          <w:sz w:val="21"/>
          <w:szCs w:val="21"/>
        </w:rPr>
        <w:t xml:space="preserve">fracciones </w:t>
      </w:r>
      <w:r>
        <w:rPr>
          <w:rFonts w:ascii="Abadi" w:hAnsi="Abadi" w:cs="*Arial-6178-Identity-H"/>
          <w:color w:val="15131C"/>
          <w:sz w:val="21"/>
          <w:szCs w:val="21"/>
        </w:rPr>
        <w:t>I</w:t>
      </w:r>
      <w:r w:rsidRPr="00F64AE8">
        <w:rPr>
          <w:rFonts w:ascii="Abadi" w:hAnsi="Abadi" w:cs="*Arial-6178-Identity-H"/>
          <w:color w:val="15131C"/>
          <w:sz w:val="21"/>
          <w:szCs w:val="21"/>
        </w:rPr>
        <w:t xml:space="preserve">, </w:t>
      </w:r>
      <w:r>
        <w:rPr>
          <w:rFonts w:ascii="Abadi" w:hAnsi="Abadi" w:cs="*Arial-6178-Identity-H"/>
          <w:color w:val="15131C"/>
          <w:sz w:val="21"/>
          <w:szCs w:val="21"/>
        </w:rPr>
        <w:t>II</w:t>
      </w:r>
      <w:r w:rsidRPr="00F64AE8">
        <w:rPr>
          <w:rFonts w:ascii="Abadi" w:hAnsi="Abadi" w:cs="*Arial-6178-Identity-H"/>
          <w:color w:val="15131C"/>
          <w:sz w:val="21"/>
          <w:szCs w:val="21"/>
        </w:rPr>
        <w:t xml:space="preserve">, V y XI, 4, 6, 7, </w:t>
      </w:r>
      <w:r>
        <w:rPr>
          <w:rFonts w:ascii="Abadi" w:hAnsi="Abadi" w:cs="*Arial-6178-Identity-H"/>
          <w:color w:val="15131C"/>
          <w:sz w:val="21"/>
          <w:szCs w:val="21"/>
        </w:rPr>
        <w:t>II</w:t>
      </w:r>
      <w:r w:rsidRPr="00F64AE8">
        <w:rPr>
          <w:rFonts w:ascii="Abadi" w:hAnsi="Abadi" w:cs="*Arial-6178-Identity-H"/>
          <w:color w:val="15131C"/>
          <w:sz w:val="21"/>
          <w:szCs w:val="21"/>
        </w:rPr>
        <w:t xml:space="preserve">, 14, 16, 24, 25, 26, 30, 31, 37, fracción </w:t>
      </w:r>
      <w:r>
        <w:rPr>
          <w:rFonts w:ascii="Abadi" w:hAnsi="Abadi" w:cs="*Arial-6178-Identity-H"/>
          <w:color w:val="15131C"/>
          <w:sz w:val="21"/>
          <w:szCs w:val="21"/>
        </w:rPr>
        <w:t>III,</w:t>
      </w:r>
      <w:r w:rsidRPr="00F64AE8">
        <w:rPr>
          <w:rFonts w:ascii="Abadi" w:hAnsi="Abadi" w:cs="*Microsoft Sans Serif-Bold-6180"/>
          <w:b/>
          <w:bCs/>
          <w:color w:val="15131C"/>
          <w:sz w:val="21"/>
          <w:szCs w:val="21"/>
        </w:rPr>
        <w:t xml:space="preserve"> </w:t>
      </w:r>
      <w:r w:rsidRPr="00F64AE8">
        <w:rPr>
          <w:rFonts w:ascii="Abadi" w:hAnsi="Abadi" w:cs="*Arial-6178-Identity-H"/>
          <w:color w:val="15131C"/>
          <w:sz w:val="21"/>
          <w:szCs w:val="21"/>
        </w:rPr>
        <w:t>56, 57,</w:t>
      </w:r>
      <w:r>
        <w:rPr>
          <w:rFonts w:ascii="Abadi" w:hAnsi="Abadi" w:cs="*Arial-6178-Identity-H"/>
          <w:color w:val="15131C"/>
          <w:sz w:val="21"/>
          <w:szCs w:val="21"/>
        </w:rPr>
        <w:t xml:space="preserve"> </w:t>
      </w:r>
      <w:r w:rsidRPr="00F64AE8">
        <w:rPr>
          <w:rFonts w:ascii="Abadi" w:hAnsi="Abadi" w:cs="*Arial-6178-Identity-H"/>
          <w:color w:val="15131C"/>
          <w:sz w:val="21"/>
          <w:szCs w:val="21"/>
        </w:rPr>
        <w:t xml:space="preserve">58, 59, 60, 82, fracciones </w:t>
      </w:r>
      <w:r>
        <w:rPr>
          <w:rFonts w:ascii="Abadi" w:hAnsi="Abadi" w:cs="*Arial-6178-Identity-H"/>
          <w:color w:val="15131C"/>
          <w:sz w:val="21"/>
          <w:szCs w:val="21"/>
        </w:rPr>
        <w:t xml:space="preserve">III, </w:t>
      </w:r>
      <w:r w:rsidRPr="00C42E8C">
        <w:rPr>
          <w:rFonts w:ascii="Abadi" w:hAnsi="Abadi" w:cs="*Arial-6178-Identity-H"/>
          <w:color w:val="15131C"/>
          <w:sz w:val="21"/>
          <w:szCs w:val="21"/>
        </w:rPr>
        <w:t xml:space="preserve">IV, </w:t>
      </w:r>
      <w:r w:rsidRPr="00C42E8C">
        <w:rPr>
          <w:rFonts w:ascii="Abadi" w:hAnsi="Abadi" w:cs="*Microsoft Sans Serif-Bold-6180"/>
          <w:color w:val="15131C"/>
          <w:sz w:val="21"/>
          <w:szCs w:val="21"/>
        </w:rPr>
        <w:t xml:space="preserve">XXIX, XXXII </w:t>
      </w:r>
      <w:r w:rsidRPr="00C42E8C">
        <w:rPr>
          <w:rFonts w:ascii="Abadi" w:hAnsi="Abadi" w:cs="*Arial-6178-Identity-H"/>
          <w:color w:val="15131C"/>
          <w:sz w:val="21"/>
          <w:szCs w:val="21"/>
        </w:rPr>
        <w:t xml:space="preserve">y </w:t>
      </w:r>
      <w:r w:rsidRPr="00C42E8C">
        <w:rPr>
          <w:rFonts w:ascii="Abadi" w:hAnsi="Abadi" w:cs="*Microsoft Sans Serif-Bold-6180"/>
          <w:color w:val="15131C"/>
          <w:sz w:val="21"/>
          <w:szCs w:val="21"/>
        </w:rPr>
        <w:t>XXXV</w:t>
      </w:r>
      <w:r w:rsidRPr="00F64AE8">
        <w:rPr>
          <w:rFonts w:ascii="Abadi" w:hAnsi="Abadi" w:cs="*Microsoft Sans Serif-Bold-6180"/>
          <w:b/>
          <w:bCs/>
          <w:color w:val="15131C"/>
          <w:sz w:val="21"/>
          <w:szCs w:val="21"/>
        </w:rPr>
        <w:t xml:space="preserve"> </w:t>
      </w:r>
      <w:r w:rsidRPr="00F64AE8">
        <w:rPr>
          <w:rFonts w:ascii="Abadi" w:hAnsi="Abadi" w:cs="*Arial-6178-Identity-H"/>
          <w:color w:val="15131C"/>
          <w:sz w:val="21"/>
          <w:szCs w:val="21"/>
        </w:rPr>
        <w:t>y 87, fracciones V, XII y</w:t>
      </w:r>
      <w:r>
        <w:rPr>
          <w:rFonts w:ascii="Abadi" w:hAnsi="Abadi" w:cs="*Arial-6178-Identity-H"/>
          <w:color w:val="15131C"/>
          <w:sz w:val="21"/>
          <w:szCs w:val="21"/>
        </w:rPr>
        <w:t xml:space="preserve"> </w:t>
      </w:r>
      <w:r w:rsidRPr="00F64AE8">
        <w:rPr>
          <w:rFonts w:ascii="Abadi" w:hAnsi="Abadi" w:cs="*Arial-6178-Identity-H"/>
          <w:color w:val="15131C"/>
          <w:sz w:val="21"/>
          <w:szCs w:val="21"/>
        </w:rPr>
        <w:t xml:space="preserve">XXVI de la Ley de Fiscalización Superior del Estado de Guanajuato; 1, 3, </w:t>
      </w:r>
      <w:r>
        <w:rPr>
          <w:rFonts w:ascii="Abadi" w:hAnsi="Abadi" w:cs="*Arial-6178-Identity-H"/>
          <w:color w:val="15131C"/>
          <w:sz w:val="21"/>
          <w:szCs w:val="21"/>
        </w:rPr>
        <w:t>10</w:t>
      </w:r>
      <w:r w:rsidRPr="00F64AE8">
        <w:rPr>
          <w:rFonts w:ascii="Abadi" w:hAnsi="Abadi" w:cs="*Arial-6178-Identity-H"/>
          <w:color w:val="15131C"/>
          <w:sz w:val="21"/>
          <w:szCs w:val="21"/>
        </w:rPr>
        <w:t>, 13,</w:t>
      </w:r>
      <w:r>
        <w:rPr>
          <w:rFonts w:ascii="Abadi" w:hAnsi="Abadi" w:cs="*Arial-6178-Identity-H"/>
          <w:color w:val="15131C"/>
          <w:sz w:val="21"/>
          <w:szCs w:val="21"/>
        </w:rPr>
        <w:t xml:space="preserve"> </w:t>
      </w:r>
      <w:r w:rsidRPr="00F64AE8">
        <w:rPr>
          <w:rFonts w:ascii="Abadi" w:hAnsi="Abadi" w:cs="*Arial-6178-Identity-H"/>
          <w:color w:val="15131C"/>
          <w:sz w:val="21"/>
          <w:szCs w:val="21"/>
        </w:rPr>
        <w:t>18, 20, 27, 43, 44, 45, 46, 47, 48 y 49 del Reglamento de la Ley de Fiscalización</w:t>
      </w:r>
      <w:r>
        <w:rPr>
          <w:rFonts w:ascii="Abadi" w:hAnsi="Abadi" w:cs="*Arial-6178-Identity-H"/>
          <w:color w:val="15131C"/>
          <w:sz w:val="21"/>
          <w:szCs w:val="21"/>
        </w:rPr>
        <w:t xml:space="preserve"> </w:t>
      </w:r>
      <w:r w:rsidRPr="00F64AE8">
        <w:rPr>
          <w:rFonts w:ascii="Abadi" w:hAnsi="Abadi" w:cs="*Arial-6178-Identity-H"/>
          <w:color w:val="15131C"/>
          <w:sz w:val="21"/>
          <w:szCs w:val="21"/>
        </w:rPr>
        <w:t xml:space="preserve">Superior del Estado de Guanajuato; 1, 7, segundo párrafo, 8, fracción </w:t>
      </w:r>
      <w:r>
        <w:rPr>
          <w:rFonts w:ascii="Abadi" w:hAnsi="Abadi" w:cs="*Microsoft Sans Serif-Bold-6180"/>
          <w:color w:val="15131C"/>
          <w:sz w:val="21"/>
          <w:szCs w:val="21"/>
        </w:rPr>
        <w:t>I</w:t>
      </w:r>
      <w:r w:rsidRPr="00C42E8C">
        <w:rPr>
          <w:rFonts w:ascii="Abadi" w:hAnsi="Abadi" w:cs="*Microsoft Sans Serif-Bold-6180"/>
          <w:color w:val="15131C"/>
          <w:sz w:val="21"/>
          <w:szCs w:val="21"/>
        </w:rPr>
        <w:t>,</w:t>
      </w:r>
      <w:r w:rsidRPr="00F64AE8">
        <w:rPr>
          <w:rFonts w:ascii="Abadi" w:hAnsi="Abadi" w:cs="*Microsoft Sans Serif-Bold-6180"/>
          <w:b/>
          <w:bCs/>
          <w:color w:val="15131C"/>
          <w:sz w:val="21"/>
          <w:szCs w:val="21"/>
        </w:rPr>
        <w:t xml:space="preserve"> </w:t>
      </w:r>
      <w:r w:rsidRPr="00F64AE8">
        <w:rPr>
          <w:rFonts w:ascii="Abadi" w:hAnsi="Abadi" w:cs="*Arial-6178-Identity-H"/>
          <w:color w:val="15131C"/>
          <w:sz w:val="21"/>
          <w:szCs w:val="21"/>
        </w:rPr>
        <w:t>9, fracción</w:t>
      </w:r>
      <w:r>
        <w:rPr>
          <w:rFonts w:ascii="Abadi" w:hAnsi="Abadi" w:cs="*Arial-6178-Identity-H"/>
          <w:color w:val="15131C"/>
          <w:sz w:val="21"/>
          <w:szCs w:val="21"/>
        </w:rPr>
        <w:t xml:space="preserve"> </w:t>
      </w:r>
      <w:r w:rsidRPr="00F64AE8">
        <w:rPr>
          <w:rFonts w:ascii="Abadi" w:hAnsi="Abadi" w:cs="*Arial-6178-Identity-H"/>
          <w:color w:val="15131C"/>
          <w:sz w:val="21"/>
          <w:szCs w:val="21"/>
        </w:rPr>
        <w:t xml:space="preserve">XVII, 10 fracciones </w:t>
      </w:r>
      <w:r>
        <w:rPr>
          <w:rFonts w:ascii="Abadi" w:hAnsi="Abadi" w:cs="*Arial-6178-Identity-H"/>
          <w:color w:val="15131C"/>
          <w:sz w:val="21"/>
          <w:szCs w:val="21"/>
        </w:rPr>
        <w:t>III,</w:t>
      </w:r>
      <w:r w:rsidRPr="00F64AE8">
        <w:rPr>
          <w:rFonts w:ascii="Abadi" w:hAnsi="Abadi" w:cs="*Microsoft Sans Serif-Bold-6180"/>
          <w:b/>
          <w:bCs/>
          <w:color w:val="15131C"/>
          <w:sz w:val="21"/>
          <w:szCs w:val="21"/>
        </w:rPr>
        <w:t xml:space="preserve"> </w:t>
      </w:r>
      <w:r w:rsidRPr="00F64AE8">
        <w:rPr>
          <w:rFonts w:ascii="Abadi" w:hAnsi="Abadi" w:cs="*Arial-6178-Identity-H"/>
          <w:color w:val="15131C"/>
          <w:sz w:val="21"/>
          <w:szCs w:val="21"/>
        </w:rPr>
        <w:t>XVII, XIX y XX, 14 y 16 del Reglamento Interior de la</w:t>
      </w:r>
      <w:r>
        <w:rPr>
          <w:rFonts w:ascii="Abadi" w:hAnsi="Abadi" w:cs="*Arial-6178-Identity-H"/>
          <w:color w:val="15131C"/>
          <w:sz w:val="21"/>
          <w:szCs w:val="21"/>
        </w:rPr>
        <w:t xml:space="preserve"> </w:t>
      </w:r>
      <w:r w:rsidRPr="00F64AE8">
        <w:rPr>
          <w:rFonts w:ascii="Abadi" w:hAnsi="Abadi" w:cs="*Arial-6178-Identity-H"/>
          <w:color w:val="15131C"/>
          <w:sz w:val="21"/>
          <w:szCs w:val="21"/>
        </w:rPr>
        <w:t>Auditoría Superior del Estado de Guanajuato; y 42 de la Ley General del Sistema</w:t>
      </w:r>
      <w:r>
        <w:rPr>
          <w:rFonts w:ascii="Abadi" w:hAnsi="Abadi" w:cs="*Arial-6178-Identity-H"/>
          <w:color w:val="15131C"/>
          <w:sz w:val="21"/>
          <w:szCs w:val="21"/>
        </w:rPr>
        <w:t xml:space="preserve">  </w:t>
      </w:r>
      <w:r w:rsidRPr="00F64AE8">
        <w:rPr>
          <w:rFonts w:ascii="Abadi" w:hAnsi="Abadi" w:cs="*Arial-6178-Identity-H"/>
          <w:color w:val="15131C"/>
          <w:sz w:val="21"/>
          <w:szCs w:val="21"/>
        </w:rPr>
        <w:t>Nacional Anticorrupción.</w:t>
      </w:r>
    </w:p>
    <w:p w14:paraId="3A694193" w14:textId="77777777" w:rsidR="00600B0C" w:rsidRPr="00F64AE8" w:rsidRDefault="00600B0C" w:rsidP="00600B0C">
      <w:pPr>
        <w:autoSpaceDE w:val="0"/>
        <w:autoSpaceDN w:val="0"/>
        <w:adjustRightInd w:val="0"/>
        <w:jc w:val="both"/>
        <w:rPr>
          <w:rFonts w:ascii="Abadi" w:hAnsi="Abadi" w:cs="*Arial-6178-Identity-H"/>
          <w:color w:val="15131C"/>
          <w:sz w:val="21"/>
          <w:szCs w:val="21"/>
        </w:rPr>
      </w:pPr>
    </w:p>
    <w:p w14:paraId="73056ECE" w14:textId="77777777" w:rsidR="00600B0C" w:rsidRDefault="00600B0C" w:rsidP="00600B0C">
      <w:pPr>
        <w:autoSpaceDE w:val="0"/>
        <w:autoSpaceDN w:val="0"/>
        <w:adjustRightInd w:val="0"/>
        <w:ind w:firstLine="708"/>
        <w:jc w:val="both"/>
        <w:rPr>
          <w:rFonts w:ascii="Abadi" w:hAnsi="Abadi" w:cs="*Arial-5843-Identity-H"/>
          <w:color w:val="15141C"/>
          <w:sz w:val="21"/>
          <w:szCs w:val="21"/>
        </w:rPr>
      </w:pPr>
      <w:r w:rsidRPr="00F64AE8">
        <w:rPr>
          <w:rFonts w:ascii="Abadi" w:hAnsi="Abadi" w:cs="*Arial-5843-Identity-H"/>
          <w:color w:val="15141C"/>
          <w:sz w:val="21"/>
          <w:szCs w:val="21"/>
        </w:rPr>
        <w:t>Con base en lo anterior, la auditoría de desempeño materia del presente</w:t>
      </w:r>
      <w:r>
        <w:rPr>
          <w:rFonts w:ascii="Abadi" w:hAnsi="Abadi" w:cs="*Arial-5843-Identity-H"/>
          <w:color w:val="15141C"/>
          <w:sz w:val="21"/>
          <w:szCs w:val="21"/>
        </w:rPr>
        <w:t xml:space="preserve"> </w:t>
      </w:r>
      <w:r w:rsidRPr="00F64AE8">
        <w:rPr>
          <w:rFonts w:ascii="Abadi" w:hAnsi="Abadi" w:cs="*Arial-5843-Identity-H"/>
          <w:color w:val="15141C"/>
          <w:sz w:val="21"/>
          <w:szCs w:val="21"/>
        </w:rPr>
        <w:t>dictamen, se ejecutó bajo los principios, conceptos y directrices de las actuales</w:t>
      </w:r>
      <w:r>
        <w:rPr>
          <w:rFonts w:ascii="Abadi" w:hAnsi="Abadi" w:cs="*Arial-5843-Identity-H"/>
          <w:color w:val="15141C"/>
          <w:sz w:val="21"/>
          <w:szCs w:val="21"/>
        </w:rPr>
        <w:t xml:space="preserve"> </w:t>
      </w:r>
      <w:r w:rsidRPr="00F64AE8">
        <w:rPr>
          <w:rFonts w:ascii="Abadi" w:hAnsi="Abadi" w:cs="*Arial-5843-Identity-H"/>
          <w:color w:val="15141C"/>
          <w:sz w:val="21"/>
          <w:szCs w:val="21"/>
        </w:rPr>
        <w:t>Normas Profesionales de Auditoría del Sistema Nacional de Fiscalización,</w:t>
      </w:r>
      <w:r>
        <w:rPr>
          <w:rFonts w:ascii="Abadi" w:hAnsi="Abadi" w:cs="*Arial-5843-Identity-H"/>
          <w:color w:val="15141C"/>
          <w:sz w:val="21"/>
          <w:szCs w:val="21"/>
        </w:rPr>
        <w:t xml:space="preserve"> </w:t>
      </w:r>
      <w:r w:rsidRPr="00F64AE8">
        <w:rPr>
          <w:rFonts w:ascii="Abadi" w:hAnsi="Abadi" w:cs="*Arial-5843-Identity-H"/>
          <w:color w:val="15141C"/>
          <w:sz w:val="21"/>
          <w:szCs w:val="21"/>
        </w:rPr>
        <w:t>compiladas y</w:t>
      </w:r>
      <w:r w:rsidRPr="00F64AE8">
        <w:rPr>
          <w:rFonts w:ascii="Abadi" w:hAnsi="Abadi" w:cs="*Arial-5843-Identity-H"/>
          <w:color w:val="858585"/>
          <w:sz w:val="21"/>
          <w:szCs w:val="21"/>
        </w:rPr>
        <w:t>,</w:t>
      </w:r>
      <w:r>
        <w:rPr>
          <w:rFonts w:ascii="Abadi" w:hAnsi="Abadi" w:cs="*Arial-5843-Identity-H"/>
          <w:color w:val="858585"/>
          <w:sz w:val="21"/>
          <w:szCs w:val="21"/>
        </w:rPr>
        <w:t xml:space="preserve"> </w:t>
      </w:r>
      <w:r w:rsidRPr="00F64AE8">
        <w:rPr>
          <w:rFonts w:ascii="Abadi" w:hAnsi="Abadi" w:cs="*Arial-5843-Identity-H"/>
          <w:color w:val="15141C"/>
          <w:sz w:val="21"/>
          <w:szCs w:val="21"/>
        </w:rPr>
        <w:t>editadas por la Auditoría Superior de la Federación, de manera</w:t>
      </w:r>
      <w:r>
        <w:rPr>
          <w:rFonts w:ascii="Abadi" w:hAnsi="Abadi" w:cs="*Arial-5843-Identity-H"/>
          <w:color w:val="15141C"/>
          <w:sz w:val="21"/>
          <w:szCs w:val="21"/>
        </w:rPr>
        <w:t xml:space="preserve"> </w:t>
      </w:r>
      <w:r w:rsidRPr="00F64AE8">
        <w:rPr>
          <w:rFonts w:ascii="Abadi" w:hAnsi="Abadi" w:cs="*Arial-5843-Identity-H"/>
          <w:color w:val="15141C"/>
          <w:sz w:val="21"/>
          <w:szCs w:val="21"/>
        </w:rPr>
        <w:t>particular por lo que hace a sus numerales 100 y 300.</w:t>
      </w:r>
    </w:p>
    <w:p w14:paraId="3278BCD6" w14:textId="77777777" w:rsidR="00600B0C" w:rsidRPr="00F64AE8" w:rsidRDefault="00600B0C" w:rsidP="00600B0C">
      <w:pPr>
        <w:autoSpaceDE w:val="0"/>
        <w:autoSpaceDN w:val="0"/>
        <w:adjustRightInd w:val="0"/>
        <w:jc w:val="both"/>
        <w:rPr>
          <w:rFonts w:ascii="Abadi" w:hAnsi="Abadi" w:cs="*Arial-5843-Identity-H"/>
          <w:color w:val="15141C"/>
          <w:sz w:val="21"/>
          <w:szCs w:val="21"/>
        </w:rPr>
      </w:pPr>
    </w:p>
    <w:p w14:paraId="5CF13C13" w14:textId="77777777" w:rsidR="00600B0C" w:rsidRDefault="00600B0C" w:rsidP="00600B0C">
      <w:pPr>
        <w:autoSpaceDE w:val="0"/>
        <w:autoSpaceDN w:val="0"/>
        <w:adjustRightInd w:val="0"/>
        <w:ind w:firstLine="708"/>
        <w:jc w:val="both"/>
        <w:rPr>
          <w:rFonts w:ascii="Abadi" w:hAnsi="Abadi" w:cs="*Arial-5843-Identity-H"/>
          <w:color w:val="14131B"/>
          <w:sz w:val="21"/>
          <w:szCs w:val="21"/>
        </w:rPr>
      </w:pPr>
      <w:r w:rsidRPr="00F64AE8">
        <w:rPr>
          <w:rFonts w:ascii="Abadi" w:hAnsi="Abadi" w:cs="*Arial-5843-Identity-H"/>
          <w:color w:val="14131B"/>
          <w:sz w:val="21"/>
          <w:szCs w:val="21"/>
        </w:rPr>
        <w:t>En esta parte también se puntualiza que las auditorías de desempeño que</w:t>
      </w:r>
      <w:r>
        <w:rPr>
          <w:rFonts w:ascii="Abadi" w:hAnsi="Abadi" w:cs="*Arial-5843-Identity-H"/>
          <w:color w:val="14131B"/>
          <w:sz w:val="21"/>
          <w:szCs w:val="21"/>
        </w:rPr>
        <w:t xml:space="preserve"> </w:t>
      </w:r>
      <w:r w:rsidRPr="00F64AE8">
        <w:rPr>
          <w:rFonts w:ascii="Abadi" w:hAnsi="Abadi" w:cs="*Arial-5843-Identity-H"/>
          <w:color w:val="14131B"/>
          <w:sz w:val="21"/>
          <w:szCs w:val="21"/>
        </w:rPr>
        <w:t>se practican por la Auditoría Superior del Estado son congruentes con las</w:t>
      </w:r>
      <w:r>
        <w:rPr>
          <w:rFonts w:ascii="Abadi" w:hAnsi="Abadi" w:cs="*Arial-5843-Identity-H"/>
          <w:color w:val="14131B"/>
          <w:sz w:val="21"/>
          <w:szCs w:val="21"/>
        </w:rPr>
        <w:t xml:space="preserve"> </w:t>
      </w:r>
      <w:r w:rsidRPr="00F64AE8">
        <w:rPr>
          <w:rFonts w:ascii="Abadi" w:hAnsi="Abadi" w:cs="*Arial-5843-Identity-H"/>
          <w:color w:val="14131B"/>
          <w:sz w:val="21"/>
          <w:szCs w:val="21"/>
        </w:rPr>
        <w:t>metodologías señaladas en las Normas Internacionales para Entidades</w:t>
      </w:r>
      <w:r>
        <w:rPr>
          <w:rFonts w:ascii="Abadi" w:hAnsi="Abadi" w:cs="*Arial-5843-Identity-H"/>
          <w:color w:val="14131B"/>
          <w:sz w:val="21"/>
          <w:szCs w:val="21"/>
        </w:rPr>
        <w:t xml:space="preserve"> </w:t>
      </w:r>
      <w:r w:rsidRPr="00F64AE8">
        <w:rPr>
          <w:rFonts w:ascii="Abadi" w:hAnsi="Abadi" w:cs="*Arial-5843-Identity-H"/>
          <w:color w:val="14131B"/>
          <w:sz w:val="21"/>
          <w:szCs w:val="21"/>
        </w:rPr>
        <w:t>Fiscalizadoras Superiores 100, 300, 3000 y 3200, emitidas por la Organización</w:t>
      </w:r>
      <w:r>
        <w:rPr>
          <w:rFonts w:ascii="Abadi" w:hAnsi="Abadi" w:cs="*Arial-5843-Identity-H"/>
          <w:color w:val="14131B"/>
          <w:sz w:val="21"/>
          <w:szCs w:val="21"/>
        </w:rPr>
        <w:t xml:space="preserve"> </w:t>
      </w:r>
      <w:r w:rsidRPr="00F64AE8">
        <w:rPr>
          <w:rFonts w:ascii="Abadi" w:hAnsi="Abadi" w:cs="*Arial-5843-Identity-H"/>
          <w:color w:val="14131B"/>
          <w:sz w:val="21"/>
          <w:szCs w:val="21"/>
        </w:rPr>
        <w:t>Internacional de las Entidades Fiscalizadoras Superiores, así como con los</w:t>
      </w:r>
      <w:r>
        <w:rPr>
          <w:rFonts w:ascii="Abadi" w:hAnsi="Abadi" w:cs="*Arial-5843-Identity-H"/>
          <w:color w:val="14131B"/>
          <w:sz w:val="21"/>
          <w:szCs w:val="21"/>
        </w:rPr>
        <w:t xml:space="preserve"> </w:t>
      </w:r>
      <w:r w:rsidRPr="00F64AE8">
        <w:rPr>
          <w:rFonts w:ascii="Abadi" w:hAnsi="Abadi" w:cs="*Arial-5843-Identity-H"/>
          <w:color w:val="14131B"/>
          <w:sz w:val="21"/>
          <w:szCs w:val="21"/>
        </w:rPr>
        <w:t>lineamientos para la construcción y diseño de indicadores de desempeño</w:t>
      </w:r>
      <w:r>
        <w:rPr>
          <w:rFonts w:ascii="Abadi" w:hAnsi="Abadi" w:cs="*Arial-5843-Identity-H"/>
          <w:color w:val="14131B"/>
          <w:sz w:val="21"/>
          <w:szCs w:val="21"/>
        </w:rPr>
        <w:t xml:space="preserve"> </w:t>
      </w:r>
      <w:r w:rsidRPr="00F64AE8">
        <w:rPr>
          <w:rFonts w:ascii="Abadi" w:hAnsi="Abadi" w:cs="*Arial-5843-Identity-H"/>
          <w:color w:val="14131B"/>
          <w:sz w:val="21"/>
          <w:szCs w:val="21"/>
        </w:rPr>
        <w:t>mediante la Metodología del Marco Lógico, emitidos por el Consejo Nacional de</w:t>
      </w:r>
      <w:r>
        <w:rPr>
          <w:rFonts w:ascii="Abadi" w:hAnsi="Abadi" w:cs="*Arial-5843-Identity-H"/>
          <w:color w:val="14131B"/>
          <w:sz w:val="21"/>
          <w:szCs w:val="21"/>
        </w:rPr>
        <w:t xml:space="preserve"> </w:t>
      </w:r>
      <w:r w:rsidRPr="00F64AE8">
        <w:rPr>
          <w:rFonts w:ascii="Abadi" w:hAnsi="Abadi" w:cs="*Arial-5843-Identity-H"/>
          <w:color w:val="14131B"/>
          <w:sz w:val="21"/>
          <w:szCs w:val="21"/>
        </w:rPr>
        <w:t>Armonización Contable, publicados en el Diario Oficial de la Federación el 15 de</w:t>
      </w:r>
      <w:r>
        <w:rPr>
          <w:rFonts w:ascii="Abadi" w:hAnsi="Abadi" w:cs="*Arial-5843-Identity-H"/>
          <w:color w:val="14131B"/>
          <w:sz w:val="21"/>
          <w:szCs w:val="21"/>
        </w:rPr>
        <w:t xml:space="preserve"> </w:t>
      </w:r>
      <w:r w:rsidRPr="00F64AE8">
        <w:rPr>
          <w:rFonts w:ascii="Abadi" w:hAnsi="Abadi" w:cs="*Arial-5843-Identity-H"/>
          <w:color w:val="14131B"/>
          <w:sz w:val="21"/>
          <w:szCs w:val="21"/>
        </w:rPr>
        <w:t>mayo de 2013, entre otros.</w:t>
      </w:r>
    </w:p>
    <w:p w14:paraId="2D9A990B" w14:textId="77777777" w:rsidR="00600B0C" w:rsidRPr="00F64AE8" w:rsidRDefault="00600B0C" w:rsidP="00600B0C">
      <w:pPr>
        <w:autoSpaceDE w:val="0"/>
        <w:autoSpaceDN w:val="0"/>
        <w:adjustRightInd w:val="0"/>
        <w:jc w:val="both"/>
        <w:rPr>
          <w:rFonts w:ascii="Abadi" w:hAnsi="Abadi" w:cs="*Arial-5843-Identity-H"/>
          <w:color w:val="14131B"/>
          <w:sz w:val="21"/>
          <w:szCs w:val="21"/>
        </w:rPr>
      </w:pPr>
    </w:p>
    <w:p w14:paraId="1EEE034E" w14:textId="77777777" w:rsidR="00600B0C" w:rsidRDefault="00600B0C" w:rsidP="00600B0C">
      <w:pPr>
        <w:autoSpaceDE w:val="0"/>
        <w:autoSpaceDN w:val="0"/>
        <w:adjustRightInd w:val="0"/>
        <w:ind w:firstLine="708"/>
        <w:jc w:val="both"/>
        <w:rPr>
          <w:rFonts w:ascii="Abadi" w:hAnsi="Abadi" w:cs="*Arial-5843-Identity-H"/>
          <w:color w:val="14131B"/>
          <w:sz w:val="21"/>
          <w:szCs w:val="21"/>
        </w:rPr>
      </w:pPr>
      <w:r w:rsidRPr="00F64AE8">
        <w:rPr>
          <w:rFonts w:ascii="Abadi" w:hAnsi="Abadi" w:cs="*Arial-5843-Identity-H"/>
          <w:color w:val="14131B"/>
          <w:sz w:val="21"/>
          <w:szCs w:val="21"/>
        </w:rPr>
        <w:t>En el punto correspondiente a estructura del informe y valoración, se señala</w:t>
      </w:r>
      <w:r>
        <w:rPr>
          <w:rFonts w:ascii="Abadi" w:hAnsi="Abadi" w:cs="*Arial-5843-Identity-H"/>
          <w:color w:val="14131B"/>
          <w:sz w:val="21"/>
          <w:szCs w:val="21"/>
        </w:rPr>
        <w:t xml:space="preserve"> </w:t>
      </w:r>
      <w:r w:rsidRPr="00F64AE8">
        <w:rPr>
          <w:rFonts w:ascii="Abadi" w:hAnsi="Abadi" w:cs="*Arial-5843-Identity-H"/>
          <w:color w:val="14131B"/>
          <w:sz w:val="21"/>
          <w:szCs w:val="21"/>
        </w:rPr>
        <w:t>que el informe de resultados es el documento técnico en el que se presentan los</w:t>
      </w:r>
      <w:r>
        <w:rPr>
          <w:rFonts w:ascii="Abadi" w:hAnsi="Abadi" w:cs="*Arial-5843-Identity-H"/>
          <w:color w:val="14131B"/>
          <w:sz w:val="21"/>
          <w:szCs w:val="21"/>
        </w:rPr>
        <w:t xml:space="preserve"> </w:t>
      </w:r>
      <w:r w:rsidRPr="00F64AE8">
        <w:rPr>
          <w:rFonts w:ascii="Abadi" w:hAnsi="Abadi" w:cs="*Arial-5843-Identity-H"/>
          <w:color w:val="14131B"/>
          <w:sz w:val="21"/>
          <w:szCs w:val="21"/>
        </w:rPr>
        <w:t>datos e información que identifican una revisión, las conclusiones y las</w:t>
      </w:r>
      <w:r>
        <w:rPr>
          <w:rFonts w:ascii="Abadi" w:hAnsi="Abadi" w:cs="*Arial-5843-Identity-H"/>
          <w:color w:val="14131B"/>
          <w:sz w:val="21"/>
          <w:szCs w:val="21"/>
        </w:rPr>
        <w:t xml:space="preserve"> </w:t>
      </w:r>
      <w:r w:rsidRPr="00F64AE8">
        <w:rPr>
          <w:rFonts w:ascii="Abadi" w:hAnsi="Abadi" w:cs="*Arial-5843-Identity-H"/>
          <w:color w:val="14131B"/>
          <w:sz w:val="21"/>
          <w:szCs w:val="21"/>
        </w:rPr>
        <w:t>recomendaciones al desempeño que se propondrán al ente fiscalizado.</w:t>
      </w:r>
      <w:r>
        <w:rPr>
          <w:rFonts w:ascii="Abadi" w:hAnsi="Abadi" w:cs="*Arial-5843-Identity-H"/>
          <w:color w:val="14131B"/>
          <w:sz w:val="21"/>
          <w:szCs w:val="21"/>
        </w:rPr>
        <w:t xml:space="preserve"> </w:t>
      </w:r>
    </w:p>
    <w:p w14:paraId="2C0185AE" w14:textId="77777777" w:rsidR="00600B0C" w:rsidRDefault="00600B0C" w:rsidP="00600B0C">
      <w:pPr>
        <w:autoSpaceDE w:val="0"/>
        <w:autoSpaceDN w:val="0"/>
        <w:adjustRightInd w:val="0"/>
        <w:jc w:val="both"/>
        <w:rPr>
          <w:rFonts w:ascii="Abadi" w:hAnsi="Abadi" w:cs="*Arial-5843-Identity-H"/>
          <w:color w:val="14131B"/>
          <w:sz w:val="21"/>
          <w:szCs w:val="21"/>
        </w:rPr>
      </w:pPr>
    </w:p>
    <w:p w14:paraId="51721C7B" w14:textId="77777777" w:rsidR="00600B0C" w:rsidRDefault="00600B0C" w:rsidP="00600B0C">
      <w:pPr>
        <w:autoSpaceDE w:val="0"/>
        <w:autoSpaceDN w:val="0"/>
        <w:adjustRightInd w:val="0"/>
        <w:ind w:firstLine="708"/>
        <w:jc w:val="both"/>
        <w:rPr>
          <w:rFonts w:ascii="Abadi" w:hAnsi="Abadi" w:cs="*Arial-5843-Identity-H"/>
          <w:color w:val="14131B"/>
          <w:sz w:val="21"/>
          <w:szCs w:val="21"/>
        </w:rPr>
      </w:pPr>
      <w:r w:rsidRPr="00F64AE8">
        <w:rPr>
          <w:rFonts w:ascii="Abadi" w:hAnsi="Abadi" w:cs="*Arial-5843-Identity-H"/>
          <w:color w:val="14131B"/>
          <w:sz w:val="21"/>
          <w:szCs w:val="21"/>
        </w:rPr>
        <w:t>Asimismo, se refiere que el artículo 26 del Reglamento de la Ley de</w:t>
      </w:r>
      <w:r>
        <w:rPr>
          <w:rFonts w:ascii="Abadi" w:hAnsi="Abadi" w:cs="*Arial-5843-Identity-H"/>
          <w:color w:val="14131B"/>
          <w:sz w:val="21"/>
          <w:szCs w:val="21"/>
        </w:rPr>
        <w:t xml:space="preserve"> </w:t>
      </w:r>
      <w:r w:rsidRPr="00F64AE8">
        <w:rPr>
          <w:rFonts w:ascii="Abadi" w:hAnsi="Abadi" w:cs="*Arial-5843-Identity-H"/>
          <w:color w:val="14131B"/>
          <w:sz w:val="21"/>
          <w:szCs w:val="21"/>
        </w:rPr>
        <w:t>Fiscalización Superior del Estado de Guanajuato establece los requisitos mínimos</w:t>
      </w:r>
      <w:r>
        <w:rPr>
          <w:rFonts w:ascii="Abadi" w:hAnsi="Abadi" w:cs="*Arial-5843-Identity-H"/>
          <w:color w:val="14131B"/>
          <w:sz w:val="21"/>
          <w:szCs w:val="21"/>
        </w:rPr>
        <w:t xml:space="preserve"> </w:t>
      </w:r>
      <w:r w:rsidRPr="00F64AE8">
        <w:rPr>
          <w:rFonts w:ascii="Abadi" w:hAnsi="Abadi" w:cs="*Arial-5843-Identity-H"/>
          <w:color w:val="14131B"/>
          <w:sz w:val="21"/>
          <w:szCs w:val="21"/>
        </w:rPr>
        <w:t>que deben contener los informes de resultados de las auditorías de desempeño,</w:t>
      </w:r>
      <w:r>
        <w:rPr>
          <w:rFonts w:ascii="Abadi" w:hAnsi="Abadi" w:cs="*Arial-5843-Identity-H"/>
          <w:color w:val="14131B"/>
          <w:sz w:val="21"/>
          <w:szCs w:val="21"/>
        </w:rPr>
        <w:t xml:space="preserve"> </w:t>
      </w:r>
      <w:r w:rsidRPr="00F64AE8">
        <w:rPr>
          <w:rFonts w:ascii="Abadi" w:hAnsi="Abadi" w:cs="*Arial-5843-Identity-H"/>
          <w:color w:val="14131B"/>
          <w:sz w:val="21"/>
          <w:szCs w:val="21"/>
        </w:rPr>
        <w:t>los cuales se cumplieron en la formulación del informe de resultados. También se</w:t>
      </w:r>
      <w:r>
        <w:rPr>
          <w:rFonts w:ascii="Abadi" w:hAnsi="Abadi" w:cs="*Arial-5843-Identity-H"/>
          <w:color w:val="14131B"/>
          <w:sz w:val="21"/>
          <w:szCs w:val="21"/>
        </w:rPr>
        <w:t xml:space="preserve"> </w:t>
      </w:r>
      <w:r w:rsidRPr="00F64AE8">
        <w:rPr>
          <w:rFonts w:ascii="Abadi" w:hAnsi="Abadi" w:cs="*Arial-5843-Identity-H"/>
          <w:color w:val="14131B"/>
          <w:sz w:val="21"/>
          <w:szCs w:val="21"/>
        </w:rPr>
        <w:t>precisan los datos de identificación del acto de fiscalización, como son el título o</w:t>
      </w:r>
      <w:r>
        <w:rPr>
          <w:rFonts w:ascii="Abadi" w:hAnsi="Abadi" w:cs="*Arial-5843-Identity-H"/>
          <w:color w:val="14131B"/>
          <w:sz w:val="21"/>
          <w:szCs w:val="21"/>
        </w:rPr>
        <w:t xml:space="preserve"> enfoque</w:t>
      </w:r>
      <w:r w:rsidRPr="00F64AE8">
        <w:rPr>
          <w:rFonts w:ascii="Abadi" w:hAnsi="Abadi" w:cs="*Arial-5843-Identity-H"/>
          <w:color w:val="14131B"/>
          <w:sz w:val="21"/>
          <w:szCs w:val="21"/>
        </w:rPr>
        <w:t xml:space="preserve"> de la auditoría, el sujeto fiscalizado, el periodo de revisión y el programa</w:t>
      </w:r>
      <w:r>
        <w:rPr>
          <w:rFonts w:ascii="Abadi" w:hAnsi="Abadi" w:cs="*Arial-5843-Identity-H"/>
          <w:color w:val="14131B"/>
          <w:sz w:val="21"/>
          <w:szCs w:val="21"/>
        </w:rPr>
        <w:t xml:space="preserve"> </w:t>
      </w:r>
      <w:r w:rsidRPr="00F64AE8">
        <w:rPr>
          <w:rFonts w:ascii="Abadi" w:hAnsi="Abadi" w:cs="*Arial-5843-Identity-H"/>
          <w:color w:val="14131B"/>
          <w:sz w:val="21"/>
          <w:szCs w:val="21"/>
        </w:rPr>
        <w:t>que se fiscaliza, en función de lo autorizado en el Programa General de</w:t>
      </w:r>
      <w:r>
        <w:rPr>
          <w:rFonts w:ascii="Abadi" w:hAnsi="Abadi" w:cs="*Arial-5843-Identity-H"/>
          <w:color w:val="14131B"/>
          <w:sz w:val="21"/>
          <w:szCs w:val="21"/>
        </w:rPr>
        <w:t xml:space="preserve"> </w:t>
      </w:r>
      <w:r w:rsidRPr="00F64AE8">
        <w:rPr>
          <w:rFonts w:ascii="Abadi" w:hAnsi="Abadi" w:cs="*Arial-5843-Identity-H"/>
          <w:color w:val="14131B"/>
          <w:sz w:val="21"/>
          <w:szCs w:val="21"/>
        </w:rPr>
        <w:t>Fiscalización respectivo.</w:t>
      </w:r>
    </w:p>
    <w:p w14:paraId="21BB8456" w14:textId="77777777" w:rsidR="00600B0C" w:rsidRDefault="00600B0C" w:rsidP="00600B0C">
      <w:pPr>
        <w:autoSpaceDE w:val="0"/>
        <w:autoSpaceDN w:val="0"/>
        <w:adjustRightInd w:val="0"/>
        <w:jc w:val="both"/>
        <w:rPr>
          <w:rFonts w:ascii="Abadi" w:hAnsi="Abadi" w:cs="*Arial-5843-Identity-H"/>
          <w:color w:val="14131B"/>
          <w:sz w:val="21"/>
          <w:szCs w:val="21"/>
        </w:rPr>
      </w:pPr>
    </w:p>
    <w:p w14:paraId="31D08F11" w14:textId="77777777" w:rsidR="00600B0C" w:rsidRPr="00F64AE8" w:rsidRDefault="00600B0C" w:rsidP="00600B0C">
      <w:pPr>
        <w:autoSpaceDE w:val="0"/>
        <w:autoSpaceDN w:val="0"/>
        <w:adjustRightInd w:val="0"/>
        <w:jc w:val="both"/>
        <w:rPr>
          <w:rFonts w:ascii="Abadi" w:hAnsi="Abadi" w:cs="*Arial-5843-Identity-H"/>
          <w:color w:val="14131B"/>
          <w:sz w:val="21"/>
          <w:szCs w:val="21"/>
        </w:rPr>
      </w:pPr>
    </w:p>
    <w:p w14:paraId="290D3F04" w14:textId="77777777" w:rsidR="00600B0C" w:rsidRPr="00F64AE8" w:rsidRDefault="00600B0C" w:rsidP="00600B0C">
      <w:pPr>
        <w:autoSpaceDE w:val="0"/>
        <w:autoSpaceDN w:val="0"/>
        <w:adjustRightInd w:val="0"/>
        <w:ind w:firstLine="708"/>
        <w:jc w:val="both"/>
        <w:rPr>
          <w:rFonts w:ascii="Abadi" w:hAnsi="Abadi" w:cs="*Arial-5843-Identity-H"/>
          <w:color w:val="14131B"/>
          <w:sz w:val="21"/>
          <w:szCs w:val="21"/>
        </w:rPr>
      </w:pPr>
      <w:r w:rsidRPr="00F64AE8">
        <w:rPr>
          <w:rFonts w:ascii="Abadi" w:hAnsi="Abadi" w:cs="*Arial-5843-Identity-H"/>
          <w:color w:val="14131B"/>
          <w:sz w:val="21"/>
          <w:szCs w:val="21"/>
        </w:rPr>
        <w:t>Por lo que hace a la valoración de la respuesta del sujeto fiscalizado, el</w:t>
      </w:r>
      <w:r>
        <w:rPr>
          <w:rFonts w:ascii="Abadi" w:hAnsi="Abadi" w:cs="*Arial-5843-Identity-H"/>
          <w:color w:val="14131B"/>
          <w:sz w:val="21"/>
          <w:szCs w:val="21"/>
        </w:rPr>
        <w:t xml:space="preserve"> </w:t>
      </w:r>
      <w:r w:rsidRPr="00F64AE8">
        <w:rPr>
          <w:rFonts w:ascii="Abadi" w:hAnsi="Abadi" w:cs="*Arial-5843-Identity-H"/>
          <w:color w:val="14131B"/>
          <w:sz w:val="21"/>
          <w:szCs w:val="21"/>
        </w:rPr>
        <w:t>Órgano Técnico determinó lo conducente respecto a las recomendaciones</w:t>
      </w:r>
      <w:r>
        <w:rPr>
          <w:rFonts w:ascii="Abadi" w:hAnsi="Abadi" w:cs="*Arial-5843-Identity-H"/>
          <w:color w:val="14131B"/>
          <w:sz w:val="21"/>
          <w:szCs w:val="21"/>
        </w:rPr>
        <w:t xml:space="preserve"> </w:t>
      </w:r>
      <w:r w:rsidRPr="00F64AE8">
        <w:rPr>
          <w:rFonts w:ascii="Abadi" w:hAnsi="Abadi" w:cs="*Arial-5843-Identity-H"/>
          <w:color w:val="14131B"/>
          <w:sz w:val="21"/>
          <w:szCs w:val="21"/>
        </w:rPr>
        <w:t>emitidas, para lo cual realizó un análisis de la documentación y evidencia</w:t>
      </w:r>
      <w:r>
        <w:rPr>
          <w:rFonts w:ascii="Abadi" w:hAnsi="Abadi" w:cs="*Arial-5843-Identity-H"/>
          <w:color w:val="14131B"/>
          <w:sz w:val="21"/>
          <w:szCs w:val="21"/>
        </w:rPr>
        <w:t xml:space="preserve"> </w:t>
      </w:r>
      <w:r w:rsidRPr="00F64AE8">
        <w:rPr>
          <w:rFonts w:ascii="Abadi" w:hAnsi="Abadi" w:cs="*Arial-5843-Identity-H"/>
          <w:color w:val="14131B"/>
          <w:sz w:val="21"/>
          <w:szCs w:val="21"/>
        </w:rPr>
        <w:t>proporcionada por el sujeto fiscalizado, a fin de valorar si este efectuó mejoras, si</w:t>
      </w:r>
      <w:r>
        <w:rPr>
          <w:rFonts w:ascii="Abadi" w:hAnsi="Abadi" w:cs="*Arial-5843-Identity-H"/>
          <w:color w:val="14131B"/>
          <w:sz w:val="21"/>
          <w:szCs w:val="21"/>
        </w:rPr>
        <w:t xml:space="preserve"> </w:t>
      </w:r>
      <w:r w:rsidRPr="00F64AE8">
        <w:rPr>
          <w:rFonts w:ascii="Abadi" w:hAnsi="Abadi" w:cs="*Arial-5843-Identity-H"/>
          <w:color w:val="14131B"/>
          <w:sz w:val="21"/>
          <w:szCs w:val="21"/>
        </w:rPr>
        <w:t>realizará alguna acción o emitió la justificación correspondiente sobre la</w:t>
      </w:r>
      <w:r>
        <w:rPr>
          <w:rFonts w:ascii="Abadi" w:hAnsi="Abadi" w:cs="*Arial-5843-Identity-H"/>
          <w:color w:val="14131B"/>
          <w:sz w:val="21"/>
          <w:szCs w:val="21"/>
        </w:rPr>
        <w:t xml:space="preserve"> </w:t>
      </w:r>
      <w:r w:rsidRPr="00F64AE8">
        <w:rPr>
          <w:rFonts w:ascii="Abadi" w:hAnsi="Abadi" w:cs="*Arial-5843-Identity-H"/>
          <w:color w:val="14131B"/>
          <w:sz w:val="21"/>
          <w:szCs w:val="21"/>
        </w:rPr>
        <w:t>improcedencia por la cual no resulte factible su implementación o bien, la</w:t>
      </w:r>
      <w:r>
        <w:rPr>
          <w:rFonts w:ascii="Abadi" w:hAnsi="Abadi" w:cs="*Arial-5843-Identity-H"/>
          <w:color w:val="14131B"/>
          <w:sz w:val="21"/>
          <w:szCs w:val="21"/>
        </w:rPr>
        <w:t xml:space="preserve"> </w:t>
      </w:r>
      <w:r w:rsidRPr="00F64AE8">
        <w:rPr>
          <w:rFonts w:ascii="Abadi" w:hAnsi="Abadi" w:cs="*Arial-5843-Identity-H"/>
          <w:color w:val="14131B"/>
          <w:sz w:val="21"/>
          <w:szCs w:val="21"/>
        </w:rPr>
        <w:t>consideración de medidas alternas que fortalezcan el desempeño de la gestión</w:t>
      </w:r>
      <w:r>
        <w:rPr>
          <w:rFonts w:ascii="Abadi" w:hAnsi="Abadi" w:cs="*Arial-5843-Identity-H"/>
          <w:color w:val="14131B"/>
          <w:sz w:val="21"/>
          <w:szCs w:val="21"/>
        </w:rPr>
        <w:t xml:space="preserve"> </w:t>
      </w:r>
      <w:r w:rsidRPr="00F64AE8">
        <w:rPr>
          <w:rFonts w:ascii="Abadi" w:hAnsi="Abadi" w:cs="*Arial-5843-Identity-H"/>
          <w:color w:val="14131B"/>
          <w:sz w:val="21"/>
          <w:szCs w:val="21"/>
        </w:rPr>
        <w:t>pública. Asimismo, se señala que las recomendaciones efectuadas al sujeto</w:t>
      </w:r>
      <w:r>
        <w:rPr>
          <w:rFonts w:ascii="Abadi" w:hAnsi="Abadi" w:cs="*Arial-5843-Identity-H"/>
          <w:color w:val="14131B"/>
          <w:sz w:val="21"/>
          <w:szCs w:val="21"/>
        </w:rPr>
        <w:t xml:space="preserve"> </w:t>
      </w:r>
      <w:r w:rsidRPr="00F64AE8">
        <w:rPr>
          <w:rFonts w:ascii="Abadi" w:hAnsi="Abadi" w:cs="*Arial-5843-Identity-H"/>
          <w:color w:val="14131B"/>
          <w:sz w:val="21"/>
          <w:szCs w:val="21"/>
        </w:rPr>
        <w:t>fiscalizado podrían considerarse como persistentes, cuando no sea posible</w:t>
      </w:r>
      <w:r>
        <w:rPr>
          <w:rFonts w:ascii="Abadi" w:hAnsi="Abadi" w:cs="*Arial-5843-Identity-H"/>
          <w:color w:val="14131B"/>
          <w:sz w:val="21"/>
          <w:szCs w:val="21"/>
        </w:rPr>
        <w:t xml:space="preserve"> </w:t>
      </w:r>
      <w:r w:rsidRPr="00F64AE8">
        <w:rPr>
          <w:rFonts w:ascii="Abadi" w:hAnsi="Abadi" w:cs="*Arial-5843-Identity-H"/>
          <w:color w:val="14131B"/>
          <w:sz w:val="21"/>
          <w:szCs w:val="21"/>
        </w:rPr>
        <w:t>valorarlas en alguno de los supuestos antes referidos.</w:t>
      </w:r>
    </w:p>
    <w:p w14:paraId="7C374CFF" w14:textId="77777777" w:rsidR="00600B0C" w:rsidRPr="00F64AE8" w:rsidRDefault="00600B0C" w:rsidP="00600B0C">
      <w:pPr>
        <w:autoSpaceDE w:val="0"/>
        <w:autoSpaceDN w:val="0"/>
        <w:adjustRightInd w:val="0"/>
        <w:jc w:val="both"/>
        <w:rPr>
          <w:rFonts w:ascii="Abadi" w:hAnsi="Abadi" w:cs="*Arial-5764-Identity-H"/>
          <w:color w:val="181818"/>
          <w:sz w:val="21"/>
          <w:szCs w:val="21"/>
        </w:rPr>
      </w:pPr>
    </w:p>
    <w:p w14:paraId="7091DCF4" w14:textId="77777777" w:rsidR="00600B0C" w:rsidRDefault="00600B0C" w:rsidP="00600B0C">
      <w:pPr>
        <w:autoSpaceDE w:val="0"/>
        <w:autoSpaceDN w:val="0"/>
        <w:adjustRightInd w:val="0"/>
        <w:ind w:firstLine="708"/>
        <w:jc w:val="both"/>
        <w:rPr>
          <w:rFonts w:ascii="Abadi" w:hAnsi="Abadi" w:cs="*Arial-5763-Identity-H"/>
          <w:color w:val="14131B"/>
          <w:sz w:val="21"/>
          <w:szCs w:val="21"/>
        </w:rPr>
      </w:pPr>
      <w:r w:rsidRPr="00F64AE8">
        <w:rPr>
          <w:rFonts w:ascii="Abadi" w:hAnsi="Abadi" w:cs="*Arial-5763-Identity-H"/>
          <w:color w:val="14131B"/>
          <w:sz w:val="21"/>
          <w:szCs w:val="21"/>
        </w:rPr>
        <w:t>Es así, que la valoración realizada por la Auditoría Superior del Estado</w:t>
      </w:r>
      <w:r>
        <w:rPr>
          <w:rFonts w:ascii="Abadi" w:hAnsi="Abadi" w:cs="*Arial-5763-Identity-H"/>
          <w:color w:val="14131B"/>
          <w:sz w:val="21"/>
          <w:szCs w:val="21"/>
        </w:rPr>
        <w:t xml:space="preserve"> </w:t>
      </w:r>
      <w:r w:rsidRPr="00F64AE8">
        <w:rPr>
          <w:rFonts w:ascii="Abadi" w:hAnsi="Abadi" w:cs="*Arial-5763-Identity-H"/>
          <w:color w:val="14131B"/>
          <w:sz w:val="21"/>
          <w:szCs w:val="21"/>
        </w:rPr>
        <w:t>redunda en las manifestaciones, argumentos, acciones y evidencia presentada en</w:t>
      </w:r>
      <w:r>
        <w:rPr>
          <w:rFonts w:ascii="Abadi" w:hAnsi="Abadi" w:cs="*Arial-5763-Identity-H"/>
          <w:color w:val="14131B"/>
          <w:sz w:val="21"/>
          <w:szCs w:val="21"/>
        </w:rPr>
        <w:t xml:space="preserve"> </w:t>
      </w:r>
      <w:r w:rsidRPr="00F64AE8">
        <w:rPr>
          <w:rFonts w:ascii="Abadi" w:hAnsi="Abadi" w:cs="*Arial-5763-Identity-H"/>
          <w:color w:val="14131B"/>
          <w:sz w:val="21"/>
          <w:szCs w:val="21"/>
        </w:rPr>
        <w:t>la respuesta al pliego de recomendaciones, para lo cual la evidencia aportada por</w:t>
      </w:r>
      <w:r>
        <w:rPr>
          <w:rFonts w:ascii="Abadi" w:hAnsi="Abadi" w:cs="*Arial-5763-Identity-H"/>
          <w:color w:val="14131B"/>
          <w:sz w:val="21"/>
          <w:szCs w:val="21"/>
        </w:rPr>
        <w:t xml:space="preserve"> </w:t>
      </w:r>
      <w:r w:rsidRPr="00F64AE8">
        <w:rPr>
          <w:rFonts w:ascii="Abadi" w:hAnsi="Abadi" w:cs="*Arial-5763-Identity-H"/>
          <w:color w:val="14131B"/>
          <w:sz w:val="21"/>
          <w:szCs w:val="21"/>
        </w:rPr>
        <w:t>el sujeto fiscalizado debe ser competente, pertinente, suficiente y relevante.</w:t>
      </w:r>
      <w:r>
        <w:rPr>
          <w:rFonts w:ascii="Abadi" w:hAnsi="Abadi" w:cs="*Arial-5763-Identity-H"/>
          <w:color w:val="14131B"/>
          <w:sz w:val="21"/>
          <w:szCs w:val="21"/>
        </w:rPr>
        <w:t xml:space="preserve"> </w:t>
      </w:r>
    </w:p>
    <w:p w14:paraId="26D66278" w14:textId="77777777" w:rsidR="00600B0C" w:rsidRDefault="00600B0C" w:rsidP="00600B0C">
      <w:pPr>
        <w:autoSpaceDE w:val="0"/>
        <w:autoSpaceDN w:val="0"/>
        <w:adjustRightInd w:val="0"/>
        <w:ind w:firstLine="708"/>
        <w:jc w:val="both"/>
        <w:rPr>
          <w:rFonts w:ascii="Abadi" w:hAnsi="Abadi" w:cs="*Arial-5763-Identity-H"/>
          <w:color w:val="14131B"/>
          <w:sz w:val="21"/>
          <w:szCs w:val="21"/>
        </w:rPr>
      </w:pPr>
    </w:p>
    <w:p w14:paraId="098C69BE" w14:textId="77777777" w:rsidR="00600B0C" w:rsidRDefault="00600B0C" w:rsidP="00600B0C">
      <w:pPr>
        <w:autoSpaceDE w:val="0"/>
        <w:autoSpaceDN w:val="0"/>
        <w:adjustRightInd w:val="0"/>
        <w:ind w:firstLine="708"/>
        <w:jc w:val="both"/>
        <w:rPr>
          <w:rFonts w:ascii="Abadi" w:hAnsi="Abadi" w:cs="*Arial-5763-Identity-H"/>
          <w:color w:val="14131B"/>
          <w:sz w:val="21"/>
          <w:szCs w:val="21"/>
        </w:rPr>
      </w:pPr>
      <w:r w:rsidRPr="00F64AE8">
        <w:rPr>
          <w:rFonts w:ascii="Abadi" w:hAnsi="Abadi" w:cs="*Arial-5763-Identity-H"/>
          <w:color w:val="14131B"/>
          <w:sz w:val="21"/>
          <w:szCs w:val="21"/>
        </w:rPr>
        <w:t>Respecto al objetivo y alcance de la auditoría se señala que de acuerdo a la</w:t>
      </w:r>
      <w:r>
        <w:rPr>
          <w:rFonts w:ascii="Abadi" w:hAnsi="Abadi" w:cs="*Arial-5763-Identity-H"/>
          <w:color w:val="14131B"/>
          <w:sz w:val="21"/>
          <w:szCs w:val="21"/>
        </w:rPr>
        <w:t xml:space="preserve"> </w:t>
      </w:r>
      <w:r w:rsidRPr="00F64AE8">
        <w:rPr>
          <w:rFonts w:ascii="Abadi" w:hAnsi="Abadi" w:cs="*Arial-5763-Identity-H"/>
          <w:color w:val="14131B"/>
          <w:sz w:val="21"/>
          <w:szCs w:val="21"/>
        </w:rPr>
        <w:t>Organización Internacional de las Entidades Fiscalizadoras Superiores, para las</w:t>
      </w:r>
      <w:r>
        <w:rPr>
          <w:rFonts w:ascii="Abadi" w:hAnsi="Abadi" w:cs="*Arial-5763-Identity-H"/>
          <w:color w:val="14131B"/>
          <w:sz w:val="21"/>
          <w:szCs w:val="21"/>
        </w:rPr>
        <w:t xml:space="preserve"> </w:t>
      </w:r>
      <w:r w:rsidRPr="00F64AE8">
        <w:rPr>
          <w:rFonts w:ascii="Abadi" w:hAnsi="Abadi" w:cs="*Arial-5763-Identity-H"/>
          <w:color w:val="14131B"/>
          <w:sz w:val="21"/>
          <w:szCs w:val="21"/>
        </w:rPr>
        <w:t>auditorías de desempeño existen tres enfoques que están orientados a los</w:t>
      </w:r>
      <w:r>
        <w:rPr>
          <w:rFonts w:ascii="Abadi" w:hAnsi="Abadi" w:cs="*Arial-5763-Identity-H"/>
          <w:color w:val="14131B"/>
          <w:sz w:val="21"/>
          <w:szCs w:val="21"/>
        </w:rPr>
        <w:t xml:space="preserve"> </w:t>
      </w:r>
      <w:r w:rsidRPr="00F64AE8">
        <w:rPr>
          <w:rFonts w:ascii="Abadi" w:hAnsi="Abadi" w:cs="*Arial-5763-Identity-H"/>
          <w:color w:val="14131B"/>
          <w:sz w:val="21"/>
          <w:szCs w:val="21"/>
        </w:rPr>
        <w:t>siguientes aspectos: Al sistema, el cual examina el funcionamiento adecuado de</w:t>
      </w:r>
      <w:r>
        <w:rPr>
          <w:rFonts w:ascii="Abadi" w:hAnsi="Abadi" w:cs="*Arial-5763-Identity-H"/>
          <w:color w:val="14131B"/>
          <w:sz w:val="21"/>
          <w:szCs w:val="21"/>
        </w:rPr>
        <w:t xml:space="preserve"> </w:t>
      </w:r>
      <w:r w:rsidRPr="00F64AE8">
        <w:rPr>
          <w:rFonts w:ascii="Abadi" w:hAnsi="Abadi" w:cs="*Arial-5763-Identity-H"/>
          <w:color w:val="14131B"/>
          <w:sz w:val="21"/>
          <w:szCs w:val="21"/>
        </w:rPr>
        <w:t>los sistemas de gestión; a los resultados, en el que se evalúa si los objetivos en</w:t>
      </w:r>
      <w:r>
        <w:rPr>
          <w:rFonts w:ascii="Abadi" w:hAnsi="Abadi" w:cs="*Arial-5763-Identity-H"/>
          <w:color w:val="14131B"/>
          <w:sz w:val="21"/>
          <w:szCs w:val="21"/>
        </w:rPr>
        <w:t xml:space="preserve"> </w:t>
      </w:r>
      <w:r w:rsidRPr="00F64AE8">
        <w:rPr>
          <w:rFonts w:ascii="Abadi" w:hAnsi="Abadi" w:cs="*Arial-5763-Identity-H"/>
          <w:color w:val="14131B"/>
          <w:sz w:val="21"/>
          <w:szCs w:val="21"/>
        </w:rPr>
        <w:t>términos de resultados o productos han sido alcanzados como se deseaba, o si</w:t>
      </w:r>
      <w:r>
        <w:rPr>
          <w:rFonts w:ascii="Abadi" w:hAnsi="Abadi" w:cs="*Arial-5763-Identity-H"/>
          <w:color w:val="14131B"/>
          <w:sz w:val="21"/>
          <w:szCs w:val="21"/>
        </w:rPr>
        <w:t xml:space="preserve"> </w:t>
      </w:r>
      <w:r w:rsidRPr="00F64AE8">
        <w:rPr>
          <w:rFonts w:ascii="Abadi" w:hAnsi="Abadi" w:cs="*Arial-5763-Identity-H"/>
          <w:color w:val="14131B"/>
          <w:sz w:val="21"/>
          <w:szCs w:val="21"/>
        </w:rPr>
        <w:t>los programas y servicios operan como se esperaba; y al problema, el cual</w:t>
      </w:r>
      <w:r>
        <w:rPr>
          <w:rFonts w:ascii="Abadi" w:hAnsi="Abadi" w:cs="*Arial-5763-Identity-H"/>
          <w:color w:val="14131B"/>
          <w:sz w:val="21"/>
          <w:szCs w:val="21"/>
        </w:rPr>
        <w:t xml:space="preserve"> </w:t>
      </w:r>
      <w:r w:rsidRPr="00F64AE8">
        <w:rPr>
          <w:rFonts w:ascii="Abadi" w:hAnsi="Abadi" w:cs="*Arial-5763-Identity-H"/>
          <w:color w:val="14131B"/>
          <w:sz w:val="21"/>
          <w:szCs w:val="21"/>
        </w:rPr>
        <w:t>examina, verifica y analiza las causas de los problemas particulares o</w:t>
      </w:r>
      <w:r>
        <w:rPr>
          <w:rFonts w:ascii="Abadi" w:hAnsi="Abadi" w:cs="*Arial-5763-Identity-H"/>
          <w:color w:val="14131B"/>
          <w:sz w:val="21"/>
          <w:szCs w:val="21"/>
        </w:rPr>
        <w:t xml:space="preserve"> </w:t>
      </w:r>
      <w:r w:rsidRPr="00F64AE8">
        <w:rPr>
          <w:rFonts w:ascii="Abadi" w:hAnsi="Abadi" w:cs="*Arial-5763-Identity-H"/>
          <w:color w:val="14131B"/>
          <w:sz w:val="21"/>
          <w:szCs w:val="21"/>
        </w:rPr>
        <w:t>desviaciones de los criterios establecidos.</w:t>
      </w:r>
    </w:p>
    <w:p w14:paraId="6AC150D3" w14:textId="77777777" w:rsidR="00600B0C" w:rsidRPr="00F64AE8" w:rsidRDefault="00600B0C" w:rsidP="00600B0C">
      <w:pPr>
        <w:autoSpaceDE w:val="0"/>
        <w:autoSpaceDN w:val="0"/>
        <w:adjustRightInd w:val="0"/>
        <w:jc w:val="both"/>
        <w:rPr>
          <w:rFonts w:ascii="Abadi" w:hAnsi="Abadi" w:cs="*Arial-5763-Identity-H"/>
          <w:color w:val="14131B"/>
          <w:sz w:val="21"/>
          <w:szCs w:val="21"/>
        </w:rPr>
      </w:pPr>
    </w:p>
    <w:p w14:paraId="15468E57" w14:textId="77777777" w:rsidR="00600B0C" w:rsidRDefault="00600B0C" w:rsidP="00600B0C">
      <w:pPr>
        <w:autoSpaceDE w:val="0"/>
        <w:autoSpaceDN w:val="0"/>
        <w:adjustRightInd w:val="0"/>
        <w:ind w:firstLine="708"/>
        <w:jc w:val="both"/>
        <w:rPr>
          <w:rFonts w:ascii="Abadi" w:hAnsi="Abadi" w:cs="*Arial-5763-Identity-H"/>
          <w:color w:val="14131B"/>
          <w:sz w:val="21"/>
          <w:szCs w:val="21"/>
        </w:rPr>
      </w:pPr>
      <w:r w:rsidRPr="00F64AE8">
        <w:rPr>
          <w:rFonts w:ascii="Abadi" w:hAnsi="Abadi" w:cs="*Arial-5763-Identity-H"/>
          <w:color w:val="14131B"/>
          <w:sz w:val="21"/>
          <w:szCs w:val="21"/>
        </w:rPr>
        <w:t>En las auditorías de desempeño practicadas por la Auditoría Superior del</w:t>
      </w:r>
      <w:r>
        <w:rPr>
          <w:rFonts w:ascii="Abadi" w:hAnsi="Abadi" w:cs="*Arial-5763-Identity-H"/>
          <w:color w:val="14131B"/>
          <w:sz w:val="21"/>
          <w:szCs w:val="21"/>
        </w:rPr>
        <w:t xml:space="preserve"> </w:t>
      </w:r>
      <w:r w:rsidRPr="00F64AE8">
        <w:rPr>
          <w:rFonts w:ascii="Abadi" w:hAnsi="Abadi" w:cs="*Arial-5763-Identity-H"/>
          <w:color w:val="14131B"/>
          <w:sz w:val="21"/>
          <w:szCs w:val="21"/>
        </w:rPr>
        <w:t>Estado se consideran dichos enfoques, mediante las auditorías de cumplimiento</w:t>
      </w:r>
      <w:r>
        <w:rPr>
          <w:rFonts w:ascii="Abadi" w:hAnsi="Abadi" w:cs="*Arial-5763-Identity-H"/>
          <w:color w:val="14131B"/>
          <w:sz w:val="21"/>
          <w:szCs w:val="21"/>
        </w:rPr>
        <w:t xml:space="preserve"> </w:t>
      </w:r>
      <w:r w:rsidRPr="00F64AE8">
        <w:rPr>
          <w:rFonts w:ascii="Abadi" w:hAnsi="Abadi" w:cs="*Arial-5763-Identity-H"/>
          <w:color w:val="14131B"/>
          <w:sz w:val="21"/>
          <w:szCs w:val="21"/>
        </w:rPr>
        <w:t>de objetivos o resultados, de diseño y de consistencia y resultados.</w:t>
      </w:r>
      <w:r>
        <w:rPr>
          <w:rFonts w:ascii="Abadi" w:hAnsi="Abadi" w:cs="*Arial-5763-Identity-H"/>
          <w:color w:val="14131B"/>
          <w:sz w:val="21"/>
          <w:szCs w:val="21"/>
        </w:rPr>
        <w:t xml:space="preserve"> </w:t>
      </w:r>
    </w:p>
    <w:p w14:paraId="4ECF515B" w14:textId="77777777" w:rsidR="00600B0C" w:rsidRDefault="00600B0C" w:rsidP="00600B0C">
      <w:pPr>
        <w:autoSpaceDE w:val="0"/>
        <w:autoSpaceDN w:val="0"/>
        <w:adjustRightInd w:val="0"/>
        <w:jc w:val="both"/>
        <w:rPr>
          <w:rFonts w:ascii="Abadi" w:hAnsi="Abadi" w:cs="*Arial-5763-Identity-H"/>
          <w:color w:val="14131B"/>
          <w:sz w:val="21"/>
          <w:szCs w:val="21"/>
        </w:rPr>
      </w:pPr>
    </w:p>
    <w:p w14:paraId="02710148" w14:textId="77777777" w:rsidR="00600B0C" w:rsidRDefault="00600B0C" w:rsidP="00600B0C">
      <w:pPr>
        <w:autoSpaceDE w:val="0"/>
        <w:autoSpaceDN w:val="0"/>
        <w:adjustRightInd w:val="0"/>
        <w:ind w:firstLine="708"/>
        <w:jc w:val="both"/>
        <w:rPr>
          <w:rFonts w:ascii="Abadi" w:hAnsi="Abadi" w:cs="*Arial-5763-Identity-H"/>
          <w:color w:val="14131A"/>
          <w:sz w:val="21"/>
          <w:szCs w:val="21"/>
        </w:rPr>
      </w:pPr>
      <w:r w:rsidRPr="00F64AE8">
        <w:rPr>
          <w:rFonts w:ascii="Abadi" w:hAnsi="Abadi" w:cs="*Arial-5763-Identity-H"/>
          <w:color w:val="14131A"/>
          <w:sz w:val="21"/>
          <w:szCs w:val="21"/>
        </w:rPr>
        <w:t>En la auditoría que nos ocupa se aplicó un enfoque de resultados y se</w:t>
      </w:r>
      <w:r>
        <w:rPr>
          <w:rFonts w:ascii="Abadi" w:hAnsi="Abadi" w:cs="*Arial-5763-Identity-H"/>
          <w:color w:val="14131A"/>
          <w:sz w:val="21"/>
          <w:szCs w:val="21"/>
        </w:rPr>
        <w:t xml:space="preserve"> </w:t>
      </w:r>
      <w:r w:rsidRPr="00F64AE8">
        <w:rPr>
          <w:rFonts w:ascii="Abadi" w:hAnsi="Abadi" w:cs="*Arial-5763-Identity-H"/>
          <w:color w:val="14131A"/>
          <w:sz w:val="21"/>
          <w:szCs w:val="21"/>
        </w:rPr>
        <w:t>incluyó en el Programa General de Fiscalización 2021, considerando diversos</w:t>
      </w:r>
      <w:r>
        <w:rPr>
          <w:rFonts w:ascii="Abadi" w:hAnsi="Abadi" w:cs="*Arial-5763-Identity-H"/>
          <w:color w:val="14131A"/>
          <w:sz w:val="21"/>
          <w:szCs w:val="21"/>
        </w:rPr>
        <w:t xml:space="preserve"> </w:t>
      </w:r>
      <w:r w:rsidRPr="00F64AE8">
        <w:rPr>
          <w:rFonts w:ascii="Abadi" w:hAnsi="Abadi" w:cs="*Arial-5763-Identity-H"/>
          <w:color w:val="14131A"/>
          <w:sz w:val="21"/>
          <w:szCs w:val="21"/>
        </w:rPr>
        <w:t>criterios metodológicos expuestos en dicho Programa.</w:t>
      </w:r>
    </w:p>
    <w:p w14:paraId="444AC5E0" w14:textId="77777777" w:rsidR="00600B0C" w:rsidRPr="00F64AE8" w:rsidRDefault="00600B0C" w:rsidP="00600B0C">
      <w:pPr>
        <w:autoSpaceDE w:val="0"/>
        <w:autoSpaceDN w:val="0"/>
        <w:adjustRightInd w:val="0"/>
        <w:jc w:val="both"/>
        <w:rPr>
          <w:rFonts w:ascii="Abadi" w:hAnsi="Abadi" w:cs="*Arial-5763-Identity-H"/>
          <w:color w:val="14131A"/>
          <w:sz w:val="21"/>
          <w:szCs w:val="21"/>
        </w:rPr>
      </w:pPr>
    </w:p>
    <w:p w14:paraId="03960E5A" w14:textId="77777777" w:rsidR="00600B0C" w:rsidRDefault="00600B0C" w:rsidP="00600B0C">
      <w:pPr>
        <w:autoSpaceDE w:val="0"/>
        <w:autoSpaceDN w:val="0"/>
        <w:adjustRightInd w:val="0"/>
        <w:ind w:firstLine="708"/>
        <w:jc w:val="both"/>
        <w:rPr>
          <w:rFonts w:ascii="Abadi" w:hAnsi="Abadi" w:cs="*Arial-5763-Identity-H"/>
          <w:color w:val="14131C"/>
          <w:sz w:val="21"/>
          <w:szCs w:val="21"/>
        </w:rPr>
      </w:pPr>
      <w:r w:rsidRPr="00F64AE8">
        <w:rPr>
          <w:rFonts w:ascii="Abadi" w:hAnsi="Abadi" w:cs="*Arial-5763-Identity-H"/>
          <w:color w:val="14131C"/>
          <w:sz w:val="21"/>
          <w:szCs w:val="21"/>
        </w:rPr>
        <w:t>Dicha auditoría tuvo como objetivo general verificar la capacidad del</w:t>
      </w:r>
      <w:r>
        <w:rPr>
          <w:rFonts w:ascii="Abadi" w:hAnsi="Abadi" w:cs="*Arial-5763-Identity-H"/>
          <w:color w:val="14131C"/>
          <w:sz w:val="21"/>
          <w:szCs w:val="21"/>
        </w:rPr>
        <w:t xml:space="preserve"> </w:t>
      </w:r>
      <w:r w:rsidRPr="00F64AE8">
        <w:rPr>
          <w:rFonts w:ascii="Abadi" w:hAnsi="Abadi" w:cs="*Arial-5763-Identity-H"/>
          <w:color w:val="14131C"/>
          <w:sz w:val="21"/>
          <w:szCs w:val="21"/>
        </w:rPr>
        <w:t>Municipio para la prestación eficaz del servicio de alumbrado público y la eficiencia</w:t>
      </w:r>
      <w:r>
        <w:rPr>
          <w:rFonts w:ascii="Abadi" w:hAnsi="Abadi" w:cs="*Arial-5763-Identity-H"/>
          <w:color w:val="14131C"/>
          <w:sz w:val="21"/>
          <w:szCs w:val="21"/>
        </w:rPr>
        <w:t xml:space="preserve"> </w:t>
      </w:r>
      <w:r w:rsidRPr="00F64AE8">
        <w:rPr>
          <w:rFonts w:ascii="Abadi" w:hAnsi="Abadi" w:cs="*Arial-5763-Identity-H"/>
          <w:color w:val="14131C"/>
          <w:sz w:val="21"/>
          <w:szCs w:val="21"/>
        </w:rPr>
        <w:t>en sus funciones de planificación, operación y seguimiento.</w:t>
      </w:r>
    </w:p>
    <w:p w14:paraId="2EB1535C" w14:textId="77777777" w:rsidR="00600B0C" w:rsidRPr="00F64AE8" w:rsidRDefault="00600B0C" w:rsidP="00600B0C">
      <w:pPr>
        <w:autoSpaceDE w:val="0"/>
        <w:autoSpaceDN w:val="0"/>
        <w:adjustRightInd w:val="0"/>
        <w:jc w:val="both"/>
        <w:rPr>
          <w:rFonts w:ascii="Abadi" w:hAnsi="Abadi" w:cs="*Arial-5763-Identity-H"/>
          <w:color w:val="14131C"/>
          <w:sz w:val="21"/>
          <w:szCs w:val="21"/>
        </w:rPr>
      </w:pPr>
    </w:p>
    <w:p w14:paraId="670FEE2D" w14:textId="7657C914" w:rsidR="00600B0C" w:rsidRDefault="00600B0C" w:rsidP="00CF1A19">
      <w:pPr>
        <w:autoSpaceDE w:val="0"/>
        <w:autoSpaceDN w:val="0"/>
        <w:adjustRightInd w:val="0"/>
        <w:ind w:firstLine="708"/>
        <w:jc w:val="both"/>
        <w:rPr>
          <w:rFonts w:ascii="Abadi" w:hAnsi="Abadi" w:cs="*Arial-5763-Identity-H"/>
          <w:color w:val="14131B"/>
          <w:sz w:val="21"/>
          <w:szCs w:val="21"/>
        </w:rPr>
      </w:pPr>
      <w:r w:rsidRPr="00F64AE8">
        <w:rPr>
          <w:rFonts w:ascii="Abadi" w:hAnsi="Abadi" w:cs="*Arial-5763-Identity-H"/>
          <w:color w:val="14131B"/>
          <w:sz w:val="21"/>
          <w:szCs w:val="21"/>
        </w:rPr>
        <w:t>En cuanto a la temporalidad, el alcance de la auditoría abarcó el periodo</w:t>
      </w:r>
      <w:r>
        <w:rPr>
          <w:rFonts w:ascii="Abadi" w:hAnsi="Abadi" w:cs="*Arial-5763-Identity-H"/>
          <w:color w:val="14131B"/>
          <w:sz w:val="21"/>
          <w:szCs w:val="21"/>
        </w:rPr>
        <w:t xml:space="preserve"> </w:t>
      </w:r>
      <w:r w:rsidRPr="00F64AE8">
        <w:rPr>
          <w:rFonts w:ascii="Abadi" w:hAnsi="Abadi" w:cs="*Arial-5763-Identity-H"/>
          <w:color w:val="14131B"/>
          <w:sz w:val="21"/>
          <w:szCs w:val="21"/>
        </w:rPr>
        <w:t>comprendido de enero a diciembre del ejercicio fiscal 2020; asimismo, respecto a</w:t>
      </w:r>
      <w:r>
        <w:rPr>
          <w:rFonts w:ascii="Abadi" w:hAnsi="Abadi" w:cs="*Arial-5763-Identity-H"/>
          <w:color w:val="14131B"/>
          <w:sz w:val="21"/>
          <w:szCs w:val="21"/>
        </w:rPr>
        <w:t xml:space="preserve"> </w:t>
      </w:r>
      <w:r w:rsidRPr="00F64AE8">
        <w:rPr>
          <w:rFonts w:ascii="Abadi" w:hAnsi="Abadi" w:cs="*Arial-5763-Identity-H"/>
          <w:color w:val="14131B"/>
          <w:sz w:val="21"/>
          <w:szCs w:val="21"/>
        </w:rPr>
        <w:t>la profundidad temática se revisó la eficiencia en la gestión de la información que</w:t>
      </w:r>
      <w:r>
        <w:rPr>
          <w:rFonts w:ascii="Abadi" w:hAnsi="Abadi" w:cs="*Arial-5763-Identity-H"/>
          <w:color w:val="14131B"/>
          <w:sz w:val="21"/>
          <w:szCs w:val="21"/>
        </w:rPr>
        <w:t xml:space="preserve"> </w:t>
      </w:r>
      <w:r w:rsidRPr="00F64AE8">
        <w:rPr>
          <w:rFonts w:ascii="Abadi" w:hAnsi="Abadi" w:cs="*Arial-5763-Identity-H"/>
          <w:color w:val="14131B"/>
          <w:sz w:val="21"/>
          <w:szCs w:val="21"/>
        </w:rPr>
        <w:t>dispone el Municipio para identificar la estimación tanto de la oferta del servicio de</w:t>
      </w:r>
      <w:r>
        <w:rPr>
          <w:rFonts w:ascii="Abadi" w:hAnsi="Abadi" w:cs="*Arial-5763-Identity-H"/>
          <w:color w:val="14131B"/>
          <w:sz w:val="21"/>
          <w:szCs w:val="21"/>
        </w:rPr>
        <w:t xml:space="preserve"> </w:t>
      </w:r>
      <w:r w:rsidRPr="00F64AE8">
        <w:rPr>
          <w:rFonts w:ascii="Abadi" w:hAnsi="Abadi" w:cs="*Arial-5763-Identity-H"/>
          <w:color w:val="14131B"/>
          <w:sz w:val="21"/>
          <w:szCs w:val="21"/>
        </w:rPr>
        <w:t>alumbrado público como de los recursos necesarios para su implementación;</w:t>
      </w:r>
      <w:r>
        <w:rPr>
          <w:rFonts w:ascii="Abadi" w:hAnsi="Abadi" w:cs="*Arial-5763-Identity-H"/>
          <w:color w:val="14131B"/>
          <w:sz w:val="21"/>
          <w:szCs w:val="21"/>
        </w:rPr>
        <w:t xml:space="preserve"> </w:t>
      </w:r>
      <w:r w:rsidRPr="00F64AE8">
        <w:rPr>
          <w:rFonts w:ascii="Abadi" w:hAnsi="Abadi" w:cs="*Arial-5763-Identity-H"/>
          <w:color w:val="14131B"/>
          <w:sz w:val="21"/>
          <w:szCs w:val="21"/>
        </w:rPr>
        <w:t>sobre el estado que guarda la organización del Municipio para brindar el servicio</w:t>
      </w:r>
      <w:r w:rsidR="00CF1A19">
        <w:rPr>
          <w:rFonts w:ascii="Abadi" w:hAnsi="Abadi" w:cs="*Arial-5763-Identity-H"/>
          <w:color w:val="14131B"/>
          <w:sz w:val="21"/>
          <w:szCs w:val="21"/>
        </w:rPr>
        <w:t xml:space="preserve"> </w:t>
      </w:r>
      <w:r w:rsidRPr="00F64AE8">
        <w:rPr>
          <w:rFonts w:ascii="Abadi" w:hAnsi="Abadi" w:cs="*Arial-5763-Identity-H"/>
          <w:color w:val="14131B"/>
          <w:sz w:val="21"/>
          <w:szCs w:val="21"/>
        </w:rPr>
        <w:t>de alumbrado público y la gestión de la calidad sobre sus procesos clave; y el uso</w:t>
      </w:r>
      <w:r>
        <w:rPr>
          <w:rFonts w:ascii="Abadi" w:hAnsi="Abadi" w:cs="*Arial-5763-Identity-H"/>
          <w:color w:val="14131B"/>
          <w:sz w:val="21"/>
          <w:szCs w:val="21"/>
        </w:rPr>
        <w:t xml:space="preserve"> </w:t>
      </w:r>
      <w:r w:rsidRPr="00F64AE8">
        <w:rPr>
          <w:rFonts w:ascii="Abadi" w:hAnsi="Abadi" w:cs="*Arial-5763-Identity-H"/>
          <w:color w:val="14131B"/>
          <w:sz w:val="21"/>
          <w:szCs w:val="21"/>
        </w:rPr>
        <w:t>de herramientas para la planificación operativa y el seguimiento de las actividades</w:t>
      </w:r>
      <w:r>
        <w:rPr>
          <w:rFonts w:ascii="Abadi" w:hAnsi="Abadi" w:cs="*Arial-5763-Identity-H"/>
          <w:color w:val="14131B"/>
          <w:sz w:val="21"/>
          <w:szCs w:val="21"/>
        </w:rPr>
        <w:t xml:space="preserve"> </w:t>
      </w:r>
      <w:r w:rsidRPr="00F64AE8">
        <w:rPr>
          <w:rFonts w:ascii="Abadi" w:hAnsi="Abadi" w:cs="*Arial-5763-Identity-H"/>
          <w:color w:val="14131B"/>
          <w:sz w:val="21"/>
          <w:szCs w:val="21"/>
        </w:rPr>
        <w:t>vinculadas a la atención de reportes por fallas en el servicio.</w:t>
      </w:r>
    </w:p>
    <w:p w14:paraId="69311E25" w14:textId="77777777" w:rsidR="00600B0C" w:rsidRDefault="00600B0C" w:rsidP="00600B0C">
      <w:pPr>
        <w:autoSpaceDE w:val="0"/>
        <w:autoSpaceDN w:val="0"/>
        <w:adjustRightInd w:val="0"/>
        <w:jc w:val="both"/>
        <w:rPr>
          <w:rFonts w:ascii="Abadi" w:hAnsi="Abadi" w:cs="*Arial-5763-Identity-H"/>
          <w:color w:val="14131B"/>
          <w:sz w:val="21"/>
          <w:szCs w:val="21"/>
        </w:rPr>
      </w:pPr>
    </w:p>
    <w:p w14:paraId="6B383B45" w14:textId="7EE84A95" w:rsidR="00600B0C" w:rsidRDefault="00600B0C" w:rsidP="00CF1A19">
      <w:pPr>
        <w:autoSpaceDE w:val="0"/>
        <w:autoSpaceDN w:val="0"/>
        <w:adjustRightInd w:val="0"/>
        <w:ind w:firstLine="708"/>
        <w:jc w:val="both"/>
        <w:rPr>
          <w:rFonts w:ascii="Abadi" w:hAnsi="Abadi" w:cs="*Arial-7621-Identity-H"/>
          <w:color w:val="14131B"/>
          <w:sz w:val="21"/>
          <w:szCs w:val="21"/>
        </w:rPr>
      </w:pPr>
      <w:r w:rsidRPr="00F64AE8">
        <w:rPr>
          <w:rFonts w:ascii="Abadi" w:hAnsi="Abadi" w:cs="*Arial-5763-Identity-H"/>
          <w:color w:val="14131B"/>
          <w:sz w:val="21"/>
          <w:szCs w:val="21"/>
        </w:rPr>
        <w:t xml:space="preserve"> Así como, la eficacia</w:t>
      </w:r>
      <w:r>
        <w:rPr>
          <w:rFonts w:ascii="Abadi" w:hAnsi="Abadi" w:cs="*Arial-5763-Identity-H"/>
          <w:color w:val="14131B"/>
          <w:sz w:val="21"/>
          <w:szCs w:val="21"/>
        </w:rPr>
        <w:t xml:space="preserve"> </w:t>
      </w:r>
      <w:r w:rsidRPr="00F64AE8">
        <w:rPr>
          <w:rFonts w:ascii="Abadi" w:hAnsi="Abadi" w:cs="*Arial-5763-Identity-H"/>
          <w:color w:val="14131B"/>
          <w:sz w:val="21"/>
          <w:szCs w:val="21"/>
        </w:rPr>
        <w:t>en los resultados de la capacidad municipal en la prestación del servicio de</w:t>
      </w:r>
      <w:r>
        <w:rPr>
          <w:rFonts w:ascii="Abadi" w:hAnsi="Abadi" w:cs="*Arial-5763-Identity-H"/>
          <w:color w:val="14131B"/>
          <w:sz w:val="21"/>
          <w:szCs w:val="21"/>
        </w:rPr>
        <w:t xml:space="preserve"> </w:t>
      </w:r>
      <w:r w:rsidRPr="00F64AE8">
        <w:rPr>
          <w:rFonts w:ascii="Abadi" w:hAnsi="Abadi" w:cs="*Arial-5763-Identity-H"/>
          <w:color w:val="14131B"/>
          <w:sz w:val="21"/>
          <w:szCs w:val="21"/>
        </w:rPr>
        <w:t>alumbrado público en el ejercicio 2020 a partir del grado de funcionamiento de las</w:t>
      </w:r>
      <w:r>
        <w:rPr>
          <w:rFonts w:ascii="Abadi" w:hAnsi="Abadi" w:cs="*Arial-5763-Identity-H"/>
          <w:color w:val="14131B"/>
          <w:sz w:val="21"/>
          <w:szCs w:val="21"/>
        </w:rPr>
        <w:t xml:space="preserve"> </w:t>
      </w:r>
      <w:r w:rsidRPr="00F64AE8">
        <w:rPr>
          <w:rFonts w:ascii="Abadi" w:hAnsi="Abadi" w:cs="*Arial-5763-Identity-H"/>
          <w:color w:val="14131B"/>
          <w:sz w:val="21"/>
          <w:szCs w:val="21"/>
        </w:rPr>
        <w:t>luminarias que lo conforman, la cobertura lograda y la satisfacción ciudadana</w:t>
      </w:r>
      <w:r w:rsidR="00CF1A19">
        <w:rPr>
          <w:rFonts w:ascii="Abadi" w:hAnsi="Abadi" w:cs="*Arial-5763-Identity-H"/>
          <w:color w:val="14131B"/>
          <w:sz w:val="21"/>
          <w:szCs w:val="21"/>
        </w:rPr>
        <w:t xml:space="preserve"> </w:t>
      </w:r>
      <w:r w:rsidRPr="00F64AE8">
        <w:rPr>
          <w:rFonts w:ascii="Abadi" w:hAnsi="Abadi" w:cs="*Arial-7621-Identity-H"/>
          <w:color w:val="15131C"/>
          <w:sz w:val="21"/>
          <w:szCs w:val="21"/>
        </w:rPr>
        <w:t>sobre el servicio, y de la relevancia y suficiencia de los mecanismos que permiten</w:t>
      </w:r>
      <w:r>
        <w:rPr>
          <w:rFonts w:ascii="Abadi" w:hAnsi="Abadi" w:cs="*Arial-7621-Identity-H"/>
          <w:color w:val="15131C"/>
          <w:sz w:val="21"/>
          <w:szCs w:val="21"/>
        </w:rPr>
        <w:t xml:space="preserve"> </w:t>
      </w:r>
      <w:r w:rsidRPr="00F64AE8">
        <w:rPr>
          <w:rFonts w:ascii="Abadi" w:hAnsi="Abadi" w:cs="*Arial-7621-Identity-H"/>
          <w:color w:val="15141C"/>
          <w:sz w:val="21"/>
          <w:szCs w:val="21"/>
        </w:rPr>
        <w:t>monitorear el desempeño y los resultados del servicio.</w:t>
      </w:r>
      <w:r>
        <w:rPr>
          <w:rFonts w:ascii="Abadi" w:hAnsi="Abadi" w:cs="*Arial-7621-Identity-H"/>
          <w:color w:val="15141C"/>
          <w:sz w:val="21"/>
          <w:szCs w:val="21"/>
        </w:rPr>
        <w:t xml:space="preserve"> </w:t>
      </w:r>
      <w:r w:rsidRPr="00F64AE8">
        <w:rPr>
          <w:rFonts w:ascii="Abadi" w:hAnsi="Abadi" w:cs="*Arial-7621-Identity-H"/>
          <w:color w:val="14131B"/>
          <w:sz w:val="21"/>
          <w:szCs w:val="21"/>
        </w:rPr>
        <w:t>Respecto a los antecedentes del proceso de fiscalización, estos ya se</w:t>
      </w:r>
      <w:r>
        <w:rPr>
          <w:rFonts w:ascii="Abadi" w:hAnsi="Abadi" w:cs="*Arial-7621-Identity-H"/>
          <w:color w:val="14131B"/>
          <w:sz w:val="21"/>
          <w:szCs w:val="21"/>
        </w:rPr>
        <w:t xml:space="preserve"> </w:t>
      </w:r>
      <w:r w:rsidRPr="00F64AE8">
        <w:rPr>
          <w:rFonts w:ascii="Abadi" w:hAnsi="Abadi" w:cs="*Arial-7621-Identity-H"/>
          <w:color w:val="14131B"/>
          <w:sz w:val="21"/>
          <w:szCs w:val="21"/>
        </w:rPr>
        <w:t>detallaron en el apartado correspondiente.</w:t>
      </w:r>
    </w:p>
    <w:p w14:paraId="6746BDBA" w14:textId="77777777" w:rsidR="00600B0C" w:rsidRDefault="00600B0C" w:rsidP="00600B0C">
      <w:pPr>
        <w:autoSpaceDE w:val="0"/>
        <w:autoSpaceDN w:val="0"/>
        <w:adjustRightInd w:val="0"/>
        <w:jc w:val="both"/>
        <w:rPr>
          <w:rFonts w:ascii="Abadi" w:hAnsi="Abadi" w:cs="*Arial-7621-Identity-H"/>
          <w:color w:val="14131B"/>
          <w:sz w:val="21"/>
          <w:szCs w:val="21"/>
        </w:rPr>
      </w:pPr>
    </w:p>
    <w:p w14:paraId="1FE9658F" w14:textId="77777777" w:rsidR="00600B0C" w:rsidRPr="00F64AE8" w:rsidRDefault="00600B0C" w:rsidP="00600B0C">
      <w:pPr>
        <w:autoSpaceDE w:val="0"/>
        <w:autoSpaceDN w:val="0"/>
        <w:adjustRightInd w:val="0"/>
        <w:jc w:val="both"/>
        <w:rPr>
          <w:rFonts w:ascii="Abadi" w:hAnsi="Abadi" w:cs="*Arial-7621-Identity-H"/>
          <w:color w:val="14131B"/>
          <w:sz w:val="21"/>
          <w:szCs w:val="21"/>
        </w:rPr>
      </w:pPr>
    </w:p>
    <w:p w14:paraId="57E9E262" w14:textId="77777777" w:rsidR="00600B0C" w:rsidRDefault="00600B0C" w:rsidP="00600B0C">
      <w:pPr>
        <w:autoSpaceDE w:val="0"/>
        <w:autoSpaceDN w:val="0"/>
        <w:adjustRightInd w:val="0"/>
        <w:ind w:firstLine="708"/>
        <w:jc w:val="both"/>
        <w:rPr>
          <w:rFonts w:ascii="Abadi" w:hAnsi="Abadi" w:cs="*Arial-7621-Identity-H"/>
          <w:color w:val="14131B"/>
          <w:sz w:val="21"/>
          <w:szCs w:val="21"/>
        </w:rPr>
      </w:pPr>
      <w:r w:rsidRPr="00F64AE8">
        <w:rPr>
          <w:rFonts w:ascii="Abadi" w:hAnsi="Abadi" w:cs="*Arial-7621-Identity-H"/>
          <w:color w:val="14131B"/>
          <w:sz w:val="21"/>
          <w:szCs w:val="21"/>
        </w:rPr>
        <w:t>En cuanto al contexto de la política pública de la materia a auditar, se</w:t>
      </w:r>
      <w:r>
        <w:rPr>
          <w:rFonts w:ascii="Abadi" w:hAnsi="Abadi" w:cs="*Arial-7621-Identity-H"/>
          <w:color w:val="14131B"/>
          <w:sz w:val="21"/>
          <w:szCs w:val="21"/>
        </w:rPr>
        <w:t xml:space="preserve"> </w:t>
      </w:r>
      <w:r w:rsidRPr="00F64AE8">
        <w:rPr>
          <w:rFonts w:ascii="Abadi" w:hAnsi="Abadi" w:cs="*Arial-7621-Identity-H"/>
          <w:color w:val="14131B"/>
          <w:sz w:val="21"/>
          <w:szCs w:val="21"/>
        </w:rPr>
        <w:t>refiere que el Municipio libre es la base de la división territorial del Estado, de su</w:t>
      </w:r>
      <w:r>
        <w:rPr>
          <w:rFonts w:ascii="Abadi" w:hAnsi="Abadi" w:cs="*Arial-7621-Identity-H"/>
          <w:color w:val="14131B"/>
          <w:sz w:val="21"/>
          <w:szCs w:val="21"/>
        </w:rPr>
        <w:t xml:space="preserve"> </w:t>
      </w:r>
      <w:r w:rsidRPr="00F64AE8">
        <w:rPr>
          <w:rFonts w:ascii="Abadi" w:hAnsi="Abadi" w:cs="*Arial-7621-Identity-H"/>
          <w:color w:val="14131B"/>
          <w:sz w:val="21"/>
          <w:szCs w:val="21"/>
        </w:rPr>
        <w:t>organización política y administrativa, y como principio de legalidad la autoridad</w:t>
      </w:r>
      <w:r>
        <w:rPr>
          <w:rFonts w:ascii="Abadi" w:hAnsi="Abadi" w:cs="*Arial-7621-Identity-H"/>
          <w:color w:val="14131B"/>
          <w:sz w:val="21"/>
          <w:szCs w:val="21"/>
        </w:rPr>
        <w:t xml:space="preserve"> </w:t>
      </w:r>
      <w:r w:rsidRPr="00F64AE8">
        <w:rPr>
          <w:rFonts w:ascii="Abadi" w:hAnsi="Abadi" w:cs="*Arial-7621-Identity-H"/>
          <w:color w:val="14131B"/>
          <w:sz w:val="21"/>
          <w:szCs w:val="21"/>
        </w:rPr>
        <w:t>municipal puede hacer únicamente lo que la ley le concede, encontrándose dentro</w:t>
      </w:r>
      <w:r>
        <w:rPr>
          <w:rFonts w:ascii="Abadi" w:hAnsi="Abadi" w:cs="*Arial-7621-Identity-H"/>
          <w:color w:val="14131B"/>
          <w:sz w:val="21"/>
          <w:szCs w:val="21"/>
        </w:rPr>
        <w:t xml:space="preserve"> </w:t>
      </w:r>
      <w:r w:rsidRPr="00F64AE8">
        <w:rPr>
          <w:rFonts w:ascii="Abadi" w:hAnsi="Abadi" w:cs="*Arial-7621-Identity-H"/>
          <w:color w:val="14131B"/>
          <w:sz w:val="21"/>
          <w:szCs w:val="21"/>
        </w:rPr>
        <w:t>de sus atribuciones la de otorgar los servicios públicos al Municipio.</w:t>
      </w:r>
    </w:p>
    <w:p w14:paraId="429EB5B9" w14:textId="77777777" w:rsidR="00600B0C" w:rsidRPr="00F64AE8" w:rsidRDefault="00600B0C" w:rsidP="00600B0C">
      <w:pPr>
        <w:autoSpaceDE w:val="0"/>
        <w:autoSpaceDN w:val="0"/>
        <w:adjustRightInd w:val="0"/>
        <w:jc w:val="both"/>
        <w:rPr>
          <w:rFonts w:ascii="Abadi" w:hAnsi="Abadi" w:cs="*Arial-7621-Identity-H"/>
          <w:color w:val="14131B"/>
          <w:sz w:val="21"/>
          <w:szCs w:val="21"/>
        </w:rPr>
      </w:pPr>
    </w:p>
    <w:p w14:paraId="5DAE582A" w14:textId="68E89B6E" w:rsidR="00600B0C" w:rsidRDefault="00600B0C" w:rsidP="00600B0C">
      <w:pPr>
        <w:autoSpaceDE w:val="0"/>
        <w:autoSpaceDN w:val="0"/>
        <w:adjustRightInd w:val="0"/>
        <w:ind w:firstLine="708"/>
        <w:jc w:val="both"/>
        <w:rPr>
          <w:rFonts w:ascii="Abadi" w:hAnsi="Abadi" w:cs="*Times New Roman-Italic-7618-Id"/>
          <w:i/>
          <w:iCs/>
          <w:color w:val="15131B"/>
          <w:sz w:val="21"/>
          <w:szCs w:val="21"/>
        </w:rPr>
      </w:pPr>
      <w:r w:rsidRPr="00F64AE8">
        <w:rPr>
          <w:rFonts w:ascii="Abadi" w:hAnsi="Abadi" w:cs="*Arial-7621-Identity-H"/>
          <w:color w:val="15131B"/>
          <w:sz w:val="21"/>
          <w:szCs w:val="21"/>
        </w:rPr>
        <w:t xml:space="preserve">También se precisa que el servicio público </w:t>
      </w:r>
      <w:r w:rsidRPr="00F64AE8">
        <w:rPr>
          <w:rFonts w:ascii="Abadi" w:hAnsi="Abadi" w:cs="*Arial-Italic-7622-Identity-H"/>
          <w:i/>
          <w:iCs/>
          <w:color w:val="15131B"/>
          <w:sz w:val="21"/>
          <w:szCs w:val="21"/>
        </w:rPr>
        <w:t>«es la institución jurídica</w:t>
      </w:r>
      <w:r>
        <w:rPr>
          <w:rFonts w:ascii="Abadi" w:hAnsi="Abadi" w:cs="*Arial-Italic-7622-Identity-H"/>
          <w:i/>
          <w:iCs/>
          <w:color w:val="15131B"/>
          <w:sz w:val="21"/>
          <w:szCs w:val="21"/>
        </w:rPr>
        <w:t xml:space="preserve"> </w:t>
      </w:r>
      <w:r w:rsidRPr="00F64AE8">
        <w:rPr>
          <w:rFonts w:ascii="Abadi" w:hAnsi="Abadi" w:cs="*Arial-Italic-7622-Identity-H"/>
          <w:i/>
          <w:iCs/>
          <w:color w:val="15131B"/>
          <w:sz w:val="21"/>
          <w:szCs w:val="21"/>
        </w:rPr>
        <w:t>administrativa en la que el titular es el Estado (municipio) y cuya única finalidad</w:t>
      </w:r>
      <w:r>
        <w:rPr>
          <w:rFonts w:ascii="Abadi" w:hAnsi="Abadi" w:cs="*Arial-Italic-7622-Identity-H"/>
          <w:i/>
          <w:iCs/>
          <w:color w:val="15131B"/>
          <w:sz w:val="21"/>
          <w:szCs w:val="21"/>
        </w:rPr>
        <w:t xml:space="preserve"> </w:t>
      </w:r>
      <w:r w:rsidRPr="00F64AE8">
        <w:rPr>
          <w:rFonts w:ascii="Abadi" w:hAnsi="Abadi" w:cs="*Arial-Italic-7622-Identity-H"/>
          <w:i/>
          <w:iCs/>
          <w:color w:val="15131B"/>
          <w:sz w:val="21"/>
          <w:szCs w:val="21"/>
        </w:rPr>
        <w:t>consiste en satisfacer de manera regular, continua y uniforme necesidades</w:t>
      </w:r>
      <w:r>
        <w:rPr>
          <w:rFonts w:ascii="Abadi" w:hAnsi="Abadi" w:cs="*Arial-Italic-7622-Identity-H"/>
          <w:i/>
          <w:iCs/>
          <w:color w:val="15131B"/>
          <w:sz w:val="21"/>
          <w:szCs w:val="21"/>
        </w:rPr>
        <w:t xml:space="preserve"> </w:t>
      </w:r>
      <w:r w:rsidRPr="00F64AE8">
        <w:rPr>
          <w:rFonts w:ascii="Abadi" w:hAnsi="Abadi" w:cs="*Arial-Italic-7622-Identity-H"/>
          <w:i/>
          <w:iCs/>
          <w:color w:val="15131B"/>
          <w:sz w:val="21"/>
          <w:szCs w:val="21"/>
        </w:rPr>
        <w:t>públicas de carácter esencial, básico o fundamental; se concreta a través de las</w:t>
      </w:r>
      <w:r>
        <w:rPr>
          <w:rFonts w:ascii="Abadi" w:hAnsi="Abadi" w:cs="*Arial-Italic-7622-Identity-H"/>
          <w:i/>
          <w:iCs/>
          <w:color w:val="15131B"/>
          <w:sz w:val="21"/>
          <w:szCs w:val="21"/>
        </w:rPr>
        <w:t xml:space="preserve"> </w:t>
      </w:r>
      <w:r w:rsidRPr="00F64AE8">
        <w:rPr>
          <w:rFonts w:ascii="Abadi" w:hAnsi="Abadi" w:cs="*Arial-Italic-7622-Identity-H"/>
          <w:i/>
          <w:iCs/>
          <w:color w:val="15131B"/>
          <w:sz w:val="21"/>
          <w:szCs w:val="21"/>
        </w:rPr>
        <w:t>prestaciones individualizadas las cuales podrán ser suministradas directamente</w:t>
      </w:r>
      <w:r>
        <w:rPr>
          <w:rFonts w:ascii="Abadi" w:hAnsi="Abadi" w:cs="*Arial-Italic-7622-Identity-H"/>
          <w:i/>
          <w:iCs/>
          <w:color w:val="15131B"/>
          <w:sz w:val="21"/>
          <w:szCs w:val="21"/>
        </w:rPr>
        <w:t xml:space="preserve"> </w:t>
      </w:r>
      <w:r w:rsidRPr="00F64AE8">
        <w:rPr>
          <w:rFonts w:ascii="Abadi" w:hAnsi="Abadi" w:cs="*Arial-Italic-7622-Identity-H"/>
          <w:i/>
          <w:iCs/>
          <w:color w:val="15131B"/>
          <w:sz w:val="21"/>
          <w:szCs w:val="21"/>
        </w:rPr>
        <w:t>por el Estado (municipio) o por los particulares mediante concesión. Por su</w:t>
      </w:r>
      <w:r>
        <w:rPr>
          <w:rFonts w:ascii="Abadi" w:hAnsi="Abadi" w:cs="*Arial-Italic-7622-Identity-H"/>
          <w:i/>
          <w:iCs/>
          <w:color w:val="15131B"/>
          <w:sz w:val="21"/>
          <w:szCs w:val="21"/>
        </w:rPr>
        <w:t xml:space="preserve"> </w:t>
      </w:r>
      <w:r w:rsidRPr="00F64AE8">
        <w:rPr>
          <w:rFonts w:ascii="Abadi" w:hAnsi="Abadi" w:cs="*Arial-Italic-7622-Identity-H"/>
          <w:i/>
          <w:iCs/>
          <w:color w:val="15131B"/>
          <w:sz w:val="21"/>
          <w:szCs w:val="21"/>
        </w:rPr>
        <w:t xml:space="preserve">naturaleza, estará sujeta a normas y principios de derecho público». </w:t>
      </w:r>
      <w:r>
        <w:rPr>
          <w:rStyle w:val="Refdenotaalpie"/>
          <w:rFonts w:ascii="Abadi" w:hAnsi="Abadi" w:cs="*Arial-Italic-7622-Identity-H"/>
          <w:i/>
          <w:iCs/>
          <w:color w:val="15131B"/>
          <w:sz w:val="21"/>
          <w:szCs w:val="21"/>
        </w:rPr>
        <w:footnoteReference w:id="33"/>
      </w:r>
    </w:p>
    <w:p w14:paraId="04793AEC" w14:textId="77777777" w:rsidR="00600B0C" w:rsidRPr="00F64AE8" w:rsidRDefault="00600B0C" w:rsidP="00600B0C">
      <w:pPr>
        <w:autoSpaceDE w:val="0"/>
        <w:autoSpaceDN w:val="0"/>
        <w:adjustRightInd w:val="0"/>
        <w:jc w:val="both"/>
        <w:rPr>
          <w:rFonts w:ascii="Abadi" w:hAnsi="Abadi" w:cs="*Times New Roman-Italic-7618-Id"/>
          <w:i/>
          <w:iCs/>
          <w:color w:val="15131B"/>
          <w:sz w:val="21"/>
          <w:szCs w:val="21"/>
        </w:rPr>
      </w:pPr>
    </w:p>
    <w:p w14:paraId="39D62648" w14:textId="77777777" w:rsidR="00600B0C" w:rsidRDefault="00600B0C" w:rsidP="00600B0C">
      <w:pPr>
        <w:autoSpaceDE w:val="0"/>
        <w:autoSpaceDN w:val="0"/>
        <w:adjustRightInd w:val="0"/>
        <w:ind w:firstLine="708"/>
        <w:jc w:val="both"/>
        <w:rPr>
          <w:rFonts w:ascii="Abadi" w:hAnsi="Abadi" w:cs="*Arial-7621-Identity-H"/>
          <w:color w:val="14131B"/>
          <w:sz w:val="21"/>
          <w:szCs w:val="21"/>
        </w:rPr>
      </w:pPr>
      <w:r w:rsidRPr="00F64AE8">
        <w:rPr>
          <w:rFonts w:ascii="Abadi" w:hAnsi="Abadi" w:cs="*Arial-7621-Identity-H"/>
          <w:color w:val="14131B"/>
          <w:sz w:val="21"/>
          <w:szCs w:val="21"/>
        </w:rPr>
        <w:t>Por su parte, la Constitución Política de los Estados Unidos Mexicanos</w:t>
      </w:r>
      <w:r>
        <w:rPr>
          <w:rFonts w:ascii="Abadi" w:hAnsi="Abadi" w:cs="*Arial-7621-Identity-H"/>
          <w:color w:val="14131B"/>
          <w:sz w:val="21"/>
          <w:szCs w:val="21"/>
        </w:rPr>
        <w:t xml:space="preserve"> </w:t>
      </w:r>
      <w:r w:rsidRPr="00F64AE8">
        <w:rPr>
          <w:rFonts w:ascii="Abadi" w:hAnsi="Abadi" w:cs="*Arial-7621-Identity-H"/>
          <w:color w:val="14131B"/>
          <w:sz w:val="21"/>
          <w:szCs w:val="21"/>
        </w:rPr>
        <w:t>establece en términos generales en su artículo 115 la base del municipio a través</w:t>
      </w:r>
      <w:r>
        <w:rPr>
          <w:rFonts w:ascii="Abadi" w:hAnsi="Abadi" w:cs="*Arial-7621-Identity-H"/>
          <w:color w:val="14131B"/>
          <w:sz w:val="21"/>
          <w:szCs w:val="21"/>
        </w:rPr>
        <w:t xml:space="preserve"> </w:t>
      </w:r>
      <w:r w:rsidRPr="00F64AE8">
        <w:rPr>
          <w:rFonts w:ascii="Abadi" w:hAnsi="Abadi" w:cs="*Arial-7621-Identity-H"/>
          <w:color w:val="14131B"/>
          <w:sz w:val="21"/>
          <w:szCs w:val="21"/>
        </w:rPr>
        <w:t>de una organización política y administrativa, para lo cual ejercerá funciones</w:t>
      </w:r>
      <w:r>
        <w:rPr>
          <w:rFonts w:ascii="Abadi" w:hAnsi="Abadi" w:cs="*Arial-7621-Identity-H"/>
          <w:color w:val="14131B"/>
          <w:sz w:val="21"/>
          <w:szCs w:val="21"/>
        </w:rPr>
        <w:t xml:space="preserve"> </w:t>
      </w:r>
      <w:r w:rsidRPr="00F64AE8">
        <w:rPr>
          <w:rFonts w:ascii="Abadi" w:hAnsi="Abadi" w:cs="*Arial-7621-Identity-H"/>
          <w:color w:val="14131B"/>
          <w:sz w:val="21"/>
          <w:szCs w:val="21"/>
        </w:rPr>
        <w:t>jurisdiccionales, legislativas y administrativas, contando con personalidad jurídica y</w:t>
      </w:r>
      <w:r>
        <w:rPr>
          <w:rFonts w:ascii="Abadi" w:hAnsi="Abadi" w:cs="*Arial-7621-Identity-H"/>
          <w:color w:val="14131B"/>
          <w:sz w:val="21"/>
          <w:szCs w:val="21"/>
        </w:rPr>
        <w:t xml:space="preserve"> </w:t>
      </w:r>
      <w:r w:rsidRPr="00F64AE8">
        <w:rPr>
          <w:rFonts w:ascii="Abadi" w:hAnsi="Abadi" w:cs="*Arial-7621-Identity-H"/>
          <w:color w:val="14131B"/>
          <w:sz w:val="21"/>
          <w:szCs w:val="21"/>
        </w:rPr>
        <w:t>con facultades para manejar su patrimonio conforme a las leyes de la materia. En</w:t>
      </w:r>
      <w:r>
        <w:rPr>
          <w:rFonts w:ascii="Abadi" w:hAnsi="Abadi" w:cs="*Arial-7621-Identity-H"/>
          <w:color w:val="14131B"/>
          <w:sz w:val="21"/>
          <w:szCs w:val="21"/>
        </w:rPr>
        <w:t xml:space="preserve"> </w:t>
      </w:r>
      <w:r w:rsidRPr="00F64AE8">
        <w:rPr>
          <w:rFonts w:ascii="Abadi" w:hAnsi="Abadi" w:cs="*Arial-7621-Identity-H"/>
          <w:color w:val="14131B"/>
          <w:sz w:val="21"/>
          <w:szCs w:val="21"/>
        </w:rPr>
        <w:t>este sentido, respecto a la prestación de los servicios públicos, el Municipio está</w:t>
      </w:r>
      <w:r>
        <w:rPr>
          <w:rFonts w:ascii="Abadi" w:hAnsi="Abadi" w:cs="*Arial-7621-Identity-H"/>
          <w:color w:val="14131B"/>
          <w:sz w:val="21"/>
          <w:szCs w:val="21"/>
        </w:rPr>
        <w:t xml:space="preserve"> </w:t>
      </w:r>
      <w:r w:rsidRPr="00F64AE8">
        <w:rPr>
          <w:rFonts w:ascii="Abadi" w:hAnsi="Abadi" w:cs="*Arial-7621-Identity-H"/>
          <w:color w:val="14131B"/>
          <w:sz w:val="21"/>
          <w:szCs w:val="21"/>
        </w:rPr>
        <w:t>facultado para expedir reglamentos, circulares y disposiciones administrativas de</w:t>
      </w:r>
      <w:r>
        <w:rPr>
          <w:rFonts w:ascii="Abadi" w:hAnsi="Abadi" w:cs="*Arial-7621-Identity-H"/>
          <w:color w:val="14131B"/>
          <w:sz w:val="21"/>
          <w:szCs w:val="21"/>
        </w:rPr>
        <w:t xml:space="preserve"> </w:t>
      </w:r>
      <w:r w:rsidRPr="00F64AE8">
        <w:rPr>
          <w:rFonts w:ascii="Abadi" w:hAnsi="Abadi" w:cs="*Arial-7621-Identity-H"/>
          <w:color w:val="14131B"/>
          <w:sz w:val="21"/>
          <w:szCs w:val="21"/>
        </w:rPr>
        <w:t>observancia general dentro de su jurisdicción, que organicen la administración</w:t>
      </w:r>
      <w:r>
        <w:rPr>
          <w:rFonts w:ascii="Abadi" w:hAnsi="Abadi" w:cs="*Arial-7621-Identity-H"/>
          <w:color w:val="14131B"/>
          <w:sz w:val="21"/>
          <w:szCs w:val="21"/>
        </w:rPr>
        <w:t xml:space="preserve"> </w:t>
      </w:r>
      <w:r w:rsidRPr="00F64AE8">
        <w:rPr>
          <w:rFonts w:ascii="Abadi" w:hAnsi="Abadi" w:cs="*Arial-7621-Identity-H"/>
          <w:color w:val="14131B"/>
          <w:sz w:val="21"/>
          <w:szCs w:val="21"/>
        </w:rPr>
        <w:t>pública, regulen las materias, procedimiento, funciones y servicios públicos de su</w:t>
      </w:r>
      <w:r>
        <w:rPr>
          <w:rFonts w:ascii="Abadi" w:hAnsi="Abadi" w:cs="*Arial-7621-Identity-H"/>
          <w:color w:val="14131B"/>
          <w:sz w:val="21"/>
          <w:szCs w:val="21"/>
        </w:rPr>
        <w:t xml:space="preserve"> </w:t>
      </w:r>
      <w:r w:rsidRPr="00F64AE8">
        <w:rPr>
          <w:rFonts w:ascii="Abadi" w:hAnsi="Abadi" w:cs="*Arial-7621-Identity-H"/>
          <w:color w:val="14131B"/>
          <w:sz w:val="21"/>
          <w:szCs w:val="21"/>
        </w:rPr>
        <w:t>competencia.</w:t>
      </w:r>
    </w:p>
    <w:p w14:paraId="67877AFC" w14:textId="77777777" w:rsidR="00600B0C" w:rsidRPr="00F64AE8" w:rsidRDefault="00600B0C" w:rsidP="00600B0C">
      <w:pPr>
        <w:autoSpaceDE w:val="0"/>
        <w:autoSpaceDN w:val="0"/>
        <w:adjustRightInd w:val="0"/>
        <w:ind w:firstLine="708"/>
        <w:jc w:val="both"/>
        <w:rPr>
          <w:rFonts w:ascii="Abadi" w:hAnsi="Abadi" w:cs="*Arial-7621-Identity-H"/>
          <w:color w:val="14131B"/>
          <w:sz w:val="21"/>
          <w:szCs w:val="21"/>
        </w:rPr>
      </w:pPr>
    </w:p>
    <w:p w14:paraId="538605CA" w14:textId="77777777" w:rsidR="00600B0C" w:rsidRDefault="00600B0C" w:rsidP="00600B0C">
      <w:pPr>
        <w:autoSpaceDE w:val="0"/>
        <w:autoSpaceDN w:val="0"/>
        <w:adjustRightInd w:val="0"/>
        <w:ind w:firstLine="708"/>
        <w:jc w:val="both"/>
        <w:rPr>
          <w:rFonts w:ascii="Abadi" w:hAnsi="Abadi" w:cs="*Arial-7621-Identity-H"/>
          <w:color w:val="14131B"/>
          <w:sz w:val="21"/>
          <w:szCs w:val="21"/>
        </w:rPr>
      </w:pPr>
      <w:r w:rsidRPr="00F64AE8">
        <w:rPr>
          <w:rFonts w:ascii="Abadi" w:hAnsi="Abadi" w:cs="*Arial-7621-Identity-H"/>
          <w:color w:val="14131B"/>
          <w:sz w:val="21"/>
          <w:szCs w:val="21"/>
        </w:rPr>
        <w:t>De manera específica, el artículo 115 de la Constitución Política de los</w:t>
      </w:r>
      <w:r>
        <w:rPr>
          <w:rFonts w:ascii="Abadi" w:hAnsi="Abadi" w:cs="*Arial-7621-Identity-H"/>
          <w:color w:val="14131B"/>
          <w:sz w:val="21"/>
          <w:szCs w:val="21"/>
        </w:rPr>
        <w:t xml:space="preserve"> </w:t>
      </w:r>
      <w:r w:rsidRPr="00F64AE8">
        <w:rPr>
          <w:rFonts w:ascii="Abadi" w:hAnsi="Abadi" w:cs="*Arial-7621-Identity-H"/>
          <w:color w:val="14131B"/>
          <w:sz w:val="21"/>
          <w:szCs w:val="21"/>
        </w:rPr>
        <w:t xml:space="preserve">Estados Unidos Mexicanos, en su fracción </w:t>
      </w:r>
      <w:r>
        <w:rPr>
          <w:rFonts w:ascii="Abadi" w:hAnsi="Abadi" w:cs="*Arial-7621-Identity-H"/>
          <w:color w:val="14131B"/>
          <w:sz w:val="21"/>
          <w:szCs w:val="21"/>
        </w:rPr>
        <w:t>III</w:t>
      </w:r>
      <w:r w:rsidRPr="00F64AE8">
        <w:rPr>
          <w:rFonts w:ascii="Abadi" w:hAnsi="Abadi" w:cs="*Arial-7621-Identity-H"/>
          <w:color w:val="14131B"/>
          <w:sz w:val="21"/>
          <w:szCs w:val="21"/>
        </w:rPr>
        <w:t xml:space="preserve"> consigna que los municipios tendrán</w:t>
      </w:r>
      <w:r>
        <w:rPr>
          <w:rFonts w:ascii="Abadi" w:hAnsi="Abadi" w:cs="*Arial-7621-Identity-H"/>
          <w:color w:val="14131B"/>
          <w:sz w:val="21"/>
          <w:szCs w:val="21"/>
        </w:rPr>
        <w:t xml:space="preserve"> </w:t>
      </w:r>
      <w:r w:rsidRPr="00F64AE8">
        <w:rPr>
          <w:rFonts w:ascii="Abadi" w:hAnsi="Abadi" w:cs="*Arial-7621-Identity-H"/>
          <w:color w:val="14131B"/>
          <w:sz w:val="21"/>
          <w:szCs w:val="21"/>
        </w:rPr>
        <w:t>a su cargo las funciones y servicios públicos, entre los que señala en el inciso b, el</w:t>
      </w:r>
      <w:r>
        <w:rPr>
          <w:rFonts w:ascii="Abadi" w:hAnsi="Abadi" w:cs="*Arial-7621-Identity-H"/>
          <w:color w:val="14131B"/>
          <w:sz w:val="21"/>
          <w:szCs w:val="21"/>
        </w:rPr>
        <w:t xml:space="preserve"> </w:t>
      </w:r>
      <w:r w:rsidRPr="00F64AE8">
        <w:rPr>
          <w:rFonts w:ascii="Abadi" w:hAnsi="Abadi" w:cs="*Arial-7621-Identity-H"/>
          <w:color w:val="14131B"/>
          <w:sz w:val="21"/>
          <w:szCs w:val="21"/>
        </w:rPr>
        <w:t>alumbrado público. Atribución ratificada en la Constitución Política Local en su</w:t>
      </w:r>
      <w:r>
        <w:rPr>
          <w:rFonts w:ascii="Abadi" w:hAnsi="Abadi" w:cs="*Arial-7621-Identity-H"/>
          <w:color w:val="14131B"/>
          <w:sz w:val="21"/>
          <w:szCs w:val="21"/>
        </w:rPr>
        <w:t xml:space="preserve"> </w:t>
      </w:r>
      <w:r w:rsidRPr="00F64AE8">
        <w:rPr>
          <w:rFonts w:ascii="Abadi" w:hAnsi="Abadi" w:cs="*Arial-7621-Identity-H"/>
          <w:color w:val="14131B"/>
          <w:sz w:val="21"/>
          <w:szCs w:val="21"/>
        </w:rPr>
        <w:t>artículo 117, fracción</w:t>
      </w:r>
      <w:r>
        <w:rPr>
          <w:rFonts w:ascii="Abadi" w:hAnsi="Abadi" w:cs="*Arial-7621-Identity-H"/>
          <w:color w:val="14131B"/>
          <w:sz w:val="21"/>
          <w:szCs w:val="21"/>
        </w:rPr>
        <w:t xml:space="preserve"> III</w:t>
      </w:r>
      <w:r w:rsidRPr="00F64AE8">
        <w:rPr>
          <w:rFonts w:ascii="Abadi" w:hAnsi="Abadi" w:cs="*Arial-7621-Identity-H"/>
          <w:color w:val="14131B"/>
          <w:sz w:val="21"/>
          <w:szCs w:val="21"/>
        </w:rPr>
        <w:t>, inciso b.</w:t>
      </w:r>
    </w:p>
    <w:p w14:paraId="5798F3F8" w14:textId="77777777" w:rsidR="00600B0C" w:rsidRPr="00F64AE8" w:rsidRDefault="00600B0C" w:rsidP="00600B0C">
      <w:pPr>
        <w:autoSpaceDE w:val="0"/>
        <w:autoSpaceDN w:val="0"/>
        <w:adjustRightInd w:val="0"/>
        <w:jc w:val="both"/>
        <w:rPr>
          <w:rFonts w:ascii="Abadi" w:hAnsi="Abadi" w:cs="*Arial-7621-Identity-H"/>
          <w:color w:val="14131B"/>
          <w:sz w:val="21"/>
          <w:szCs w:val="21"/>
        </w:rPr>
      </w:pPr>
    </w:p>
    <w:p w14:paraId="21D445EA" w14:textId="77777777" w:rsidR="00600B0C" w:rsidRDefault="00600B0C" w:rsidP="00600B0C">
      <w:pPr>
        <w:autoSpaceDE w:val="0"/>
        <w:autoSpaceDN w:val="0"/>
        <w:adjustRightInd w:val="0"/>
        <w:ind w:firstLine="708"/>
        <w:jc w:val="both"/>
        <w:rPr>
          <w:rFonts w:ascii="Abadi" w:hAnsi="Abadi" w:cs="*Arial-6343-Identity-H"/>
          <w:color w:val="14131C"/>
          <w:sz w:val="21"/>
          <w:szCs w:val="21"/>
        </w:rPr>
      </w:pPr>
      <w:r w:rsidRPr="00F64AE8">
        <w:rPr>
          <w:rFonts w:ascii="Abadi" w:hAnsi="Abadi" w:cs="*Arial-6343-Identity-H"/>
          <w:color w:val="14131C"/>
          <w:sz w:val="21"/>
          <w:szCs w:val="21"/>
        </w:rPr>
        <w:t>La Ley Orgánica Municipal para el Estado de Guanajuato prevé que el</w:t>
      </w:r>
      <w:r>
        <w:rPr>
          <w:rFonts w:ascii="Abadi" w:hAnsi="Abadi" w:cs="*Arial-6343-Identity-H"/>
          <w:color w:val="14131C"/>
          <w:sz w:val="21"/>
          <w:szCs w:val="21"/>
        </w:rPr>
        <w:t xml:space="preserve"> </w:t>
      </w:r>
      <w:r w:rsidRPr="00F64AE8">
        <w:rPr>
          <w:rFonts w:ascii="Abadi" w:hAnsi="Abadi" w:cs="*Arial-6343-Identity-H"/>
          <w:color w:val="14131C"/>
          <w:sz w:val="21"/>
          <w:szCs w:val="21"/>
        </w:rPr>
        <w:t>Ayuntamiento deberá otorgar el servicio de alumbrado público a los habitantes del</w:t>
      </w:r>
      <w:r>
        <w:rPr>
          <w:rFonts w:ascii="Abadi" w:hAnsi="Abadi" w:cs="*Arial-6343-Identity-H"/>
          <w:color w:val="14131C"/>
          <w:sz w:val="21"/>
          <w:szCs w:val="21"/>
        </w:rPr>
        <w:t xml:space="preserve"> </w:t>
      </w:r>
      <w:r w:rsidRPr="00F64AE8">
        <w:rPr>
          <w:rFonts w:ascii="Abadi" w:hAnsi="Abadi" w:cs="*Arial-6343-Identity-H"/>
          <w:color w:val="14131C"/>
          <w:sz w:val="21"/>
          <w:szCs w:val="21"/>
        </w:rPr>
        <w:t>Municipio e instrumentará los mecanismos necesarios para ampliar la cobertura y</w:t>
      </w:r>
      <w:r>
        <w:rPr>
          <w:rFonts w:ascii="Abadi" w:hAnsi="Abadi" w:cs="*Arial-6343-Identity-H"/>
          <w:color w:val="14131C"/>
          <w:sz w:val="21"/>
          <w:szCs w:val="21"/>
        </w:rPr>
        <w:t xml:space="preserve"> </w:t>
      </w:r>
      <w:r w:rsidRPr="00F64AE8">
        <w:rPr>
          <w:rFonts w:ascii="Abadi" w:hAnsi="Abadi" w:cs="*Arial-6343-Identity-H"/>
          <w:color w:val="14131C"/>
          <w:sz w:val="21"/>
          <w:szCs w:val="21"/>
        </w:rPr>
        <w:t>mejorar la prestación de dicho servicio.</w:t>
      </w:r>
    </w:p>
    <w:p w14:paraId="678AED29" w14:textId="77777777" w:rsidR="00600B0C" w:rsidRPr="00F64AE8" w:rsidRDefault="00600B0C" w:rsidP="00600B0C">
      <w:pPr>
        <w:autoSpaceDE w:val="0"/>
        <w:autoSpaceDN w:val="0"/>
        <w:adjustRightInd w:val="0"/>
        <w:jc w:val="both"/>
        <w:rPr>
          <w:rFonts w:ascii="Abadi" w:hAnsi="Abadi" w:cs="*Arial-6343-Identity-H"/>
          <w:color w:val="14131C"/>
          <w:sz w:val="21"/>
          <w:szCs w:val="21"/>
        </w:rPr>
      </w:pPr>
    </w:p>
    <w:p w14:paraId="57B91EDA" w14:textId="77777777" w:rsidR="00600B0C" w:rsidRDefault="00600B0C" w:rsidP="00600B0C">
      <w:pPr>
        <w:autoSpaceDE w:val="0"/>
        <w:autoSpaceDN w:val="0"/>
        <w:adjustRightInd w:val="0"/>
        <w:ind w:firstLine="708"/>
        <w:jc w:val="both"/>
        <w:rPr>
          <w:rFonts w:ascii="Abadi" w:hAnsi="Abadi" w:cs="*Arial-6343-Identity-H"/>
          <w:color w:val="14131A"/>
          <w:sz w:val="21"/>
          <w:szCs w:val="21"/>
        </w:rPr>
      </w:pPr>
      <w:r w:rsidRPr="00F64AE8">
        <w:rPr>
          <w:rFonts w:ascii="Abadi" w:hAnsi="Abadi" w:cs="*Arial-6343-Identity-H"/>
          <w:color w:val="14131A"/>
          <w:sz w:val="21"/>
          <w:szCs w:val="21"/>
        </w:rPr>
        <w:t>De igual forma, la referida ley en el artículo 8</w:t>
      </w:r>
      <w:r>
        <w:rPr>
          <w:rFonts w:ascii="Abadi" w:eastAsia="Abadi" w:hAnsi="Abadi" w:cs="Abadi"/>
          <w:color w:val="14131A"/>
          <w:sz w:val="21"/>
          <w:szCs w:val="21"/>
        </w:rPr>
        <w:t>o</w:t>
      </w:r>
      <w:r w:rsidRPr="00F64AE8">
        <w:rPr>
          <w:rFonts w:ascii="Abadi" w:hAnsi="Abadi" w:cs="*Arial-6343-Identity-H"/>
          <w:color w:val="14131A"/>
          <w:sz w:val="21"/>
          <w:szCs w:val="21"/>
        </w:rPr>
        <w:t xml:space="preserve"> establece que el</w:t>
      </w:r>
      <w:r>
        <w:rPr>
          <w:rFonts w:ascii="Abadi" w:hAnsi="Abadi" w:cs="*Arial-6343-Identity-H"/>
          <w:color w:val="14131A"/>
          <w:sz w:val="21"/>
          <w:szCs w:val="21"/>
        </w:rPr>
        <w:t xml:space="preserve"> </w:t>
      </w:r>
      <w:r w:rsidRPr="00F64AE8">
        <w:rPr>
          <w:rFonts w:ascii="Abadi" w:hAnsi="Abadi" w:cs="*Arial-6343-Identity-H"/>
          <w:color w:val="14131A"/>
          <w:sz w:val="21"/>
          <w:szCs w:val="21"/>
        </w:rPr>
        <w:t>Ayuntamiento contará con una Comisión de Obra y Servicios Públicos, misma que</w:t>
      </w:r>
      <w:r>
        <w:rPr>
          <w:rFonts w:ascii="Abadi" w:hAnsi="Abadi" w:cs="*Arial-6343-Identity-H"/>
          <w:color w:val="14131A"/>
          <w:sz w:val="21"/>
          <w:szCs w:val="21"/>
        </w:rPr>
        <w:t xml:space="preserve"> </w:t>
      </w:r>
      <w:r w:rsidRPr="00F64AE8">
        <w:rPr>
          <w:rFonts w:ascii="Abadi" w:hAnsi="Abadi" w:cs="*Arial-6343-Identity-H"/>
          <w:color w:val="14131A"/>
          <w:sz w:val="21"/>
          <w:szCs w:val="21"/>
        </w:rPr>
        <w:t>tendrá dentro de sus atribuciones la de promover la prestación puntual, oportuna y</w:t>
      </w:r>
      <w:r>
        <w:rPr>
          <w:rFonts w:ascii="Abadi" w:hAnsi="Abadi" w:cs="*Arial-6343-Identity-H"/>
          <w:color w:val="14131A"/>
          <w:sz w:val="21"/>
          <w:szCs w:val="21"/>
        </w:rPr>
        <w:t xml:space="preserve"> </w:t>
      </w:r>
      <w:r w:rsidRPr="00F64AE8">
        <w:rPr>
          <w:rFonts w:ascii="Abadi" w:hAnsi="Abadi" w:cs="*Arial-6343-Identity-H"/>
          <w:color w:val="14131A"/>
          <w:sz w:val="21"/>
          <w:szCs w:val="21"/>
        </w:rPr>
        <w:t>eficiente de los servicios públicos municipales, de conformidad con las</w:t>
      </w:r>
      <w:r>
        <w:rPr>
          <w:rFonts w:ascii="Abadi" w:hAnsi="Abadi" w:cs="*Arial-6343-Identity-H"/>
          <w:color w:val="14131A"/>
          <w:sz w:val="21"/>
          <w:szCs w:val="21"/>
        </w:rPr>
        <w:t xml:space="preserve"> </w:t>
      </w:r>
      <w:r w:rsidRPr="00F64AE8">
        <w:rPr>
          <w:rFonts w:ascii="Abadi" w:hAnsi="Abadi" w:cs="*Arial-6343-Identity-H"/>
          <w:color w:val="14131A"/>
          <w:sz w:val="21"/>
          <w:szCs w:val="21"/>
        </w:rPr>
        <w:t>disposiciones aplicables. En este sentido, la dependencia de Servicios Municipales</w:t>
      </w:r>
      <w:r>
        <w:rPr>
          <w:rFonts w:ascii="Abadi" w:hAnsi="Abadi" w:cs="*Arial-6343-Identity-H"/>
          <w:color w:val="14131A"/>
          <w:sz w:val="21"/>
          <w:szCs w:val="21"/>
        </w:rPr>
        <w:t xml:space="preserve"> </w:t>
      </w:r>
      <w:r w:rsidRPr="00F64AE8">
        <w:rPr>
          <w:rFonts w:ascii="Abadi" w:hAnsi="Abadi" w:cs="*Arial-6343-Identity-H"/>
          <w:color w:val="14131A"/>
          <w:sz w:val="21"/>
          <w:szCs w:val="21"/>
        </w:rPr>
        <w:t>será la encargada de llevar a cabo la prestación del servicio de alumbrado público</w:t>
      </w:r>
      <w:r>
        <w:rPr>
          <w:rFonts w:ascii="Abadi" w:hAnsi="Abadi" w:cs="*Arial-6343-Identity-H"/>
          <w:color w:val="14131A"/>
          <w:sz w:val="21"/>
          <w:szCs w:val="21"/>
        </w:rPr>
        <w:t xml:space="preserve"> </w:t>
      </w:r>
      <w:r w:rsidRPr="00F64AE8">
        <w:rPr>
          <w:rFonts w:ascii="Abadi" w:hAnsi="Abadi" w:cs="*Arial-6343-Identity-H"/>
          <w:color w:val="14131A"/>
          <w:sz w:val="21"/>
          <w:szCs w:val="21"/>
        </w:rPr>
        <w:t>en el Municipio, de acuerdo a lo establecido en la fracción V del artículo 124 de la</w:t>
      </w:r>
      <w:r>
        <w:rPr>
          <w:rFonts w:ascii="Abadi" w:hAnsi="Abadi" w:cs="*Arial-6343-Identity-H"/>
          <w:color w:val="14131A"/>
          <w:sz w:val="21"/>
          <w:szCs w:val="21"/>
        </w:rPr>
        <w:t xml:space="preserve"> </w:t>
      </w:r>
      <w:r w:rsidRPr="00F64AE8">
        <w:rPr>
          <w:rFonts w:ascii="Abadi" w:hAnsi="Abadi" w:cs="*Arial-6343-Identity-H"/>
          <w:color w:val="14131A"/>
          <w:sz w:val="21"/>
          <w:szCs w:val="21"/>
        </w:rPr>
        <w:t>citada ley.</w:t>
      </w:r>
      <w:r>
        <w:rPr>
          <w:rFonts w:ascii="Abadi" w:hAnsi="Abadi" w:cs="*Arial-6343-Identity-H"/>
          <w:color w:val="14131A"/>
          <w:sz w:val="21"/>
          <w:szCs w:val="21"/>
        </w:rPr>
        <w:t xml:space="preserve"> </w:t>
      </w:r>
    </w:p>
    <w:p w14:paraId="73E16CAE" w14:textId="77777777" w:rsidR="00600B0C" w:rsidRPr="00F64AE8" w:rsidRDefault="00600B0C" w:rsidP="00600B0C">
      <w:pPr>
        <w:autoSpaceDE w:val="0"/>
        <w:autoSpaceDN w:val="0"/>
        <w:adjustRightInd w:val="0"/>
        <w:jc w:val="both"/>
        <w:rPr>
          <w:rFonts w:ascii="Abadi" w:hAnsi="Abadi" w:cs="*Arial-6343-Identity-H"/>
          <w:color w:val="14131A"/>
          <w:sz w:val="21"/>
          <w:szCs w:val="21"/>
        </w:rPr>
      </w:pPr>
    </w:p>
    <w:p w14:paraId="2A134719" w14:textId="77777777" w:rsidR="00600B0C" w:rsidRDefault="00600B0C" w:rsidP="00600B0C">
      <w:pPr>
        <w:autoSpaceDE w:val="0"/>
        <w:autoSpaceDN w:val="0"/>
        <w:adjustRightInd w:val="0"/>
        <w:ind w:firstLine="708"/>
        <w:jc w:val="both"/>
        <w:rPr>
          <w:rFonts w:ascii="Abadi" w:hAnsi="Abadi" w:cs="*Arial-6343-Identity-H"/>
          <w:color w:val="14131B"/>
          <w:sz w:val="21"/>
          <w:szCs w:val="21"/>
        </w:rPr>
      </w:pPr>
      <w:r w:rsidRPr="00F64AE8">
        <w:rPr>
          <w:rFonts w:ascii="Abadi" w:hAnsi="Abadi" w:cs="*Arial-6343-Identity-H"/>
          <w:color w:val="14131B"/>
          <w:sz w:val="21"/>
          <w:szCs w:val="21"/>
        </w:rPr>
        <w:t>También el artículo 165 de la referida Ley Orgánica Municipal prevé que:</w:t>
      </w:r>
    </w:p>
    <w:p w14:paraId="409B5589" w14:textId="77777777" w:rsidR="00600B0C" w:rsidRPr="00F64AE8" w:rsidRDefault="00600B0C" w:rsidP="00600B0C">
      <w:pPr>
        <w:autoSpaceDE w:val="0"/>
        <w:autoSpaceDN w:val="0"/>
        <w:adjustRightInd w:val="0"/>
        <w:jc w:val="both"/>
        <w:rPr>
          <w:rFonts w:ascii="Abadi" w:hAnsi="Abadi" w:cs="*Arial-6343-Identity-H"/>
          <w:color w:val="14131B"/>
          <w:sz w:val="21"/>
          <w:szCs w:val="21"/>
        </w:rPr>
      </w:pPr>
    </w:p>
    <w:p w14:paraId="222D3F3D" w14:textId="77777777" w:rsidR="00600B0C" w:rsidRDefault="00600B0C" w:rsidP="00600B0C">
      <w:pPr>
        <w:autoSpaceDE w:val="0"/>
        <w:autoSpaceDN w:val="0"/>
        <w:adjustRightInd w:val="0"/>
        <w:ind w:firstLine="708"/>
        <w:jc w:val="both"/>
        <w:rPr>
          <w:rFonts w:ascii="Abadi" w:hAnsi="Abadi" w:cs="*Arial-6343-Identity-H"/>
          <w:color w:val="14131A"/>
          <w:sz w:val="21"/>
          <w:szCs w:val="21"/>
        </w:rPr>
      </w:pPr>
      <w:r w:rsidRPr="00F64AE8">
        <w:rPr>
          <w:rFonts w:ascii="Abadi" w:hAnsi="Abadi" w:cs="*Arial-Italic-6344-Identity-H"/>
          <w:i/>
          <w:iCs/>
          <w:color w:val="14131B"/>
          <w:sz w:val="21"/>
          <w:szCs w:val="21"/>
        </w:rPr>
        <w:t>«Los ayuntamientos prestarán los servicios públicos, en igualdad de condiciones a</w:t>
      </w:r>
      <w:r>
        <w:rPr>
          <w:rFonts w:ascii="Abadi" w:hAnsi="Abadi" w:cs="*Arial-Italic-6344-Identity-H"/>
          <w:i/>
          <w:iCs/>
          <w:color w:val="14131B"/>
          <w:sz w:val="21"/>
          <w:szCs w:val="21"/>
        </w:rPr>
        <w:t xml:space="preserve"> </w:t>
      </w:r>
      <w:r w:rsidRPr="00F64AE8">
        <w:rPr>
          <w:rFonts w:ascii="Abadi" w:hAnsi="Abadi" w:cs="*Arial-Italic-6344-Identity-H"/>
          <w:i/>
          <w:iCs/>
          <w:color w:val="14131B"/>
          <w:sz w:val="21"/>
          <w:szCs w:val="21"/>
        </w:rPr>
        <w:t>todos los habitantes del municipio, en forma permanente, general, uniforme,</w:t>
      </w:r>
      <w:r>
        <w:rPr>
          <w:rFonts w:ascii="Abadi" w:hAnsi="Abadi" w:cs="*Arial-Italic-6344-Identity-H"/>
          <w:i/>
          <w:iCs/>
          <w:color w:val="14131B"/>
          <w:sz w:val="21"/>
          <w:szCs w:val="21"/>
        </w:rPr>
        <w:t xml:space="preserve"> </w:t>
      </w:r>
      <w:r w:rsidRPr="00F64AE8">
        <w:rPr>
          <w:rFonts w:ascii="Abadi" w:hAnsi="Abadi" w:cs="*Arial-Italic-6344-Identity-H"/>
          <w:i/>
          <w:iCs/>
          <w:color w:val="14131B"/>
          <w:sz w:val="21"/>
          <w:szCs w:val="21"/>
        </w:rPr>
        <w:t>continua y de acuerdo con el Programa de Gobierno Municipal».</w:t>
      </w:r>
      <w:r>
        <w:rPr>
          <w:rFonts w:ascii="Abadi" w:hAnsi="Abadi" w:cs="*Arial-Italic-6344-Identity-H"/>
          <w:i/>
          <w:iCs/>
          <w:color w:val="14131B"/>
          <w:sz w:val="21"/>
          <w:szCs w:val="21"/>
        </w:rPr>
        <w:t xml:space="preserve"> </w:t>
      </w:r>
      <w:r w:rsidRPr="00F64AE8">
        <w:rPr>
          <w:rFonts w:ascii="Abadi" w:hAnsi="Abadi" w:cs="*Arial-6343-Identity-H"/>
          <w:color w:val="14131A"/>
          <w:sz w:val="21"/>
          <w:szCs w:val="21"/>
        </w:rPr>
        <w:t xml:space="preserve">Asimismo, en el Capítulo denominado </w:t>
      </w:r>
      <w:r w:rsidRPr="00F64AE8">
        <w:rPr>
          <w:rFonts w:ascii="Abadi" w:hAnsi="Abadi" w:cs="*Arial-Italic-6344-Identity-H"/>
          <w:i/>
          <w:iCs/>
          <w:color w:val="14131A"/>
          <w:sz w:val="21"/>
          <w:szCs w:val="21"/>
        </w:rPr>
        <w:t>«De los Servicios Públicos</w:t>
      </w:r>
      <w:r>
        <w:rPr>
          <w:rFonts w:ascii="Abadi" w:hAnsi="Abadi" w:cs="*Arial-Italic-6344-Identity-H"/>
          <w:i/>
          <w:iCs/>
          <w:color w:val="14131A"/>
          <w:sz w:val="21"/>
          <w:szCs w:val="21"/>
        </w:rPr>
        <w:t xml:space="preserve"> </w:t>
      </w:r>
      <w:r w:rsidRPr="00F64AE8">
        <w:rPr>
          <w:rFonts w:ascii="Abadi" w:hAnsi="Abadi" w:cs="*Arial-Italic-6344-Identity-H"/>
          <w:i/>
          <w:iCs/>
          <w:color w:val="14131A"/>
          <w:sz w:val="21"/>
          <w:szCs w:val="21"/>
        </w:rPr>
        <w:t xml:space="preserve">Municipales» </w:t>
      </w:r>
      <w:r w:rsidRPr="00F64AE8">
        <w:rPr>
          <w:rFonts w:ascii="Abadi" w:hAnsi="Abadi" w:cs="*Arial-6343-Identity-H"/>
          <w:color w:val="14131A"/>
          <w:sz w:val="21"/>
          <w:szCs w:val="21"/>
        </w:rPr>
        <w:t>se refiere que en el presupuesto de egresos deben preverse los</w:t>
      </w:r>
      <w:r>
        <w:rPr>
          <w:rFonts w:ascii="Abadi" w:hAnsi="Abadi" w:cs="*Arial-6343-Identity-H"/>
          <w:color w:val="14131A"/>
          <w:sz w:val="21"/>
          <w:szCs w:val="21"/>
        </w:rPr>
        <w:t xml:space="preserve"> </w:t>
      </w:r>
      <w:r w:rsidRPr="00F64AE8">
        <w:rPr>
          <w:rFonts w:ascii="Abadi" w:hAnsi="Abadi" w:cs="*Arial-6343-Identity-H"/>
          <w:color w:val="14131A"/>
          <w:sz w:val="21"/>
          <w:szCs w:val="21"/>
        </w:rPr>
        <w:t>recursos materiales y humanos, necesarios y suficientes, para la prestación</w:t>
      </w:r>
      <w:r>
        <w:rPr>
          <w:rFonts w:ascii="Abadi" w:hAnsi="Abadi" w:cs="*Arial-6343-Identity-H"/>
          <w:color w:val="14131A"/>
          <w:sz w:val="21"/>
          <w:szCs w:val="21"/>
        </w:rPr>
        <w:t xml:space="preserve"> </w:t>
      </w:r>
      <w:r w:rsidRPr="00F64AE8">
        <w:rPr>
          <w:rFonts w:ascii="Abadi" w:hAnsi="Abadi" w:cs="*Arial-6343-Identity-H"/>
          <w:color w:val="14131A"/>
          <w:sz w:val="21"/>
          <w:szCs w:val="21"/>
        </w:rPr>
        <w:t>eficiente y oportuna de los servicios públicos; asimismo, se consigna la</w:t>
      </w:r>
      <w:r>
        <w:rPr>
          <w:rFonts w:ascii="Abadi" w:hAnsi="Abadi" w:cs="*Arial-6343-Identity-H"/>
          <w:color w:val="14131A"/>
          <w:sz w:val="21"/>
          <w:szCs w:val="21"/>
        </w:rPr>
        <w:t xml:space="preserve"> </w:t>
      </w:r>
      <w:r w:rsidRPr="00F64AE8">
        <w:rPr>
          <w:rFonts w:ascii="Abadi" w:hAnsi="Abadi" w:cs="*Arial-6343-Identity-H"/>
          <w:color w:val="14131A"/>
          <w:sz w:val="21"/>
          <w:szCs w:val="21"/>
        </w:rPr>
        <w:t>obligatoriedad del Ayuntamiento de otorgar el servicio de alumbrado público,</w:t>
      </w:r>
      <w:r>
        <w:rPr>
          <w:rFonts w:ascii="Abadi" w:hAnsi="Abadi" w:cs="*Arial-6343-Identity-H"/>
          <w:color w:val="14131A"/>
          <w:sz w:val="21"/>
          <w:szCs w:val="21"/>
        </w:rPr>
        <w:t xml:space="preserve"> </w:t>
      </w:r>
      <w:r w:rsidRPr="00F64AE8">
        <w:rPr>
          <w:rFonts w:ascii="Abadi" w:hAnsi="Abadi" w:cs="*Arial-6343-Identity-H"/>
          <w:color w:val="14131A"/>
          <w:sz w:val="21"/>
          <w:szCs w:val="21"/>
        </w:rPr>
        <w:t>señalando que podrá otorgarlo de manera directa a través de sus propias</w:t>
      </w:r>
      <w:r>
        <w:rPr>
          <w:rFonts w:ascii="Abadi" w:hAnsi="Abadi" w:cs="*Arial-6343-Identity-H"/>
          <w:color w:val="14131A"/>
          <w:sz w:val="21"/>
          <w:szCs w:val="21"/>
        </w:rPr>
        <w:t xml:space="preserve"> </w:t>
      </w:r>
      <w:r w:rsidRPr="00F64AE8">
        <w:rPr>
          <w:rFonts w:ascii="Abadi" w:hAnsi="Abadi" w:cs="*Arial-6343-Identity-H"/>
          <w:color w:val="14131A"/>
          <w:sz w:val="21"/>
          <w:szCs w:val="21"/>
        </w:rPr>
        <w:t>dependencias, o bien por un medio indirecto.</w:t>
      </w:r>
    </w:p>
    <w:p w14:paraId="3CDFD22A" w14:textId="77777777" w:rsidR="00600B0C" w:rsidRPr="00F64AE8" w:rsidRDefault="00600B0C" w:rsidP="00600B0C">
      <w:pPr>
        <w:autoSpaceDE w:val="0"/>
        <w:autoSpaceDN w:val="0"/>
        <w:adjustRightInd w:val="0"/>
        <w:jc w:val="both"/>
        <w:rPr>
          <w:rFonts w:ascii="Abadi" w:hAnsi="Abadi" w:cs="*Arial-6343-Identity-H"/>
          <w:color w:val="14131A"/>
          <w:sz w:val="21"/>
          <w:szCs w:val="21"/>
        </w:rPr>
      </w:pPr>
    </w:p>
    <w:p w14:paraId="718E6847" w14:textId="77777777" w:rsidR="00600B0C" w:rsidRDefault="00600B0C" w:rsidP="00600B0C">
      <w:pPr>
        <w:autoSpaceDE w:val="0"/>
        <w:autoSpaceDN w:val="0"/>
        <w:adjustRightInd w:val="0"/>
        <w:ind w:firstLine="708"/>
        <w:jc w:val="both"/>
        <w:rPr>
          <w:rFonts w:ascii="Abadi" w:hAnsi="Abadi" w:cs="*Arial-6343-Identity-H"/>
          <w:color w:val="14131B"/>
          <w:sz w:val="21"/>
          <w:szCs w:val="21"/>
        </w:rPr>
      </w:pPr>
      <w:r w:rsidRPr="00F64AE8">
        <w:rPr>
          <w:rFonts w:ascii="Abadi" w:hAnsi="Abadi" w:cs="*Arial-6343-Identity-H"/>
          <w:color w:val="14131B"/>
          <w:sz w:val="21"/>
          <w:szCs w:val="21"/>
        </w:rPr>
        <w:t>De conformidad con el artículo 169 de la referida Ley Orgánica Municipal, la</w:t>
      </w:r>
      <w:r>
        <w:rPr>
          <w:rFonts w:ascii="Abadi" w:hAnsi="Abadi" w:cs="*Arial-6343-Identity-H"/>
          <w:color w:val="14131B"/>
          <w:sz w:val="21"/>
          <w:szCs w:val="21"/>
        </w:rPr>
        <w:t xml:space="preserve"> </w:t>
      </w:r>
      <w:r w:rsidRPr="00F64AE8">
        <w:rPr>
          <w:rFonts w:ascii="Abadi" w:hAnsi="Abadi" w:cs="*Arial-6343-Identity-H"/>
          <w:color w:val="14131B"/>
          <w:sz w:val="21"/>
          <w:szCs w:val="21"/>
        </w:rPr>
        <w:t>prestación de los servicios públicos municipales será supervisada por la comisión</w:t>
      </w:r>
      <w:r>
        <w:rPr>
          <w:rFonts w:ascii="Abadi" w:hAnsi="Abadi" w:cs="*Arial-6343-Identity-H"/>
          <w:color w:val="14131B"/>
          <w:sz w:val="21"/>
          <w:szCs w:val="21"/>
        </w:rPr>
        <w:t xml:space="preserve"> </w:t>
      </w:r>
      <w:r w:rsidRPr="00F64AE8">
        <w:rPr>
          <w:rFonts w:ascii="Abadi" w:hAnsi="Abadi" w:cs="*Arial-6343-Identity-H"/>
          <w:color w:val="14131B"/>
          <w:sz w:val="21"/>
          <w:szCs w:val="21"/>
        </w:rPr>
        <w:t>correspondiente del Ayuntamiento y auditada por la Contraloría Municipal.</w:t>
      </w:r>
      <w:r>
        <w:rPr>
          <w:rFonts w:ascii="Abadi" w:hAnsi="Abadi" w:cs="*Arial-6343-Identity-H"/>
          <w:color w:val="14131B"/>
          <w:sz w:val="21"/>
          <w:szCs w:val="21"/>
        </w:rPr>
        <w:t xml:space="preserve"> </w:t>
      </w:r>
      <w:r w:rsidRPr="00F64AE8">
        <w:rPr>
          <w:rFonts w:ascii="Abadi" w:hAnsi="Abadi" w:cs="*Arial-6343-Identity-H"/>
          <w:color w:val="14131B"/>
          <w:sz w:val="21"/>
          <w:szCs w:val="21"/>
        </w:rPr>
        <w:t>Es así que, se desprende la intervención estratégica del Ayuntamiento y de</w:t>
      </w:r>
      <w:r>
        <w:rPr>
          <w:rFonts w:ascii="Abadi" w:hAnsi="Abadi" w:cs="*Arial-6343-Identity-H"/>
          <w:color w:val="14131B"/>
          <w:sz w:val="21"/>
          <w:szCs w:val="21"/>
        </w:rPr>
        <w:t xml:space="preserve"> </w:t>
      </w:r>
      <w:r w:rsidRPr="00F64AE8">
        <w:rPr>
          <w:rFonts w:ascii="Abadi" w:hAnsi="Abadi" w:cs="*Arial-6343-Identity-H"/>
          <w:color w:val="14131B"/>
          <w:sz w:val="21"/>
          <w:szCs w:val="21"/>
        </w:rPr>
        <w:t>la Dirección de Servicios Municipales para otorgar la prestación del servicio de</w:t>
      </w:r>
      <w:r>
        <w:rPr>
          <w:rFonts w:ascii="Abadi" w:hAnsi="Abadi" w:cs="*Arial-6343-Identity-H"/>
          <w:color w:val="14131B"/>
          <w:sz w:val="21"/>
          <w:szCs w:val="21"/>
        </w:rPr>
        <w:t xml:space="preserve"> </w:t>
      </w:r>
      <w:r w:rsidRPr="00F64AE8">
        <w:rPr>
          <w:rFonts w:ascii="Abadi" w:hAnsi="Abadi" w:cs="*Arial-6343-Identity-H"/>
          <w:color w:val="14131B"/>
          <w:sz w:val="21"/>
          <w:szCs w:val="21"/>
        </w:rPr>
        <w:t>alumbrado público</w:t>
      </w:r>
      <w:r>
        <w:rPr>
          <w:rFonts w:ascii="Abadi" w:hAnsi="Abadi" w:cs="*Arial-6343-Identity-H"/>
          <w:color w:val="14131B"/>
          <w:sz w:val="21"/>
          <w:szCs w:val="21"/>
        </w:rPr>
        <w:t xml:space="preserve"> </w:t>
      </w:r>
      <w:r w:rsidRPr="00F64AE8">
        <w:rPr>
          <w:rFonts w:ascii="Abadi" w:hAnsi="Abadi" w:cs="*Arial-6343-Identity-H"/>
          <w:color w:val="14131B"/>
          <w:sz w:val="21"/>
          <w:szCs w:val="21"/>
        </w:rPr>
        <w:t>a los habitantes del Municipio, a través del conocimiento de la</w:t>
      </w:r>
      <w:r>
        <w:rPr>
          <w:rFonts w:ascii="Abadi" w:hAnsi="Abadi" w:cs="*Arial-6343-Identity-H"/>
          <w:color w:val="14131B"/>
          <w:sz w:val="21"/>
          <w:szCs w:val="21"/>
        </w:rPr>
        <w:t xml:space="preserve"> </w:t>
      </w:r>
      <w:r w:rsidRPr="00F64AE8">
        <w:rPr>
          <w:rFonts w:ascii="Abadi" w:hAnsi="Abadi" w:cs="*Arial-6343-Identity-H"/>
          <w:color w:val="14131B"/>
          <w:sz w:val="21"/>
          <w:szCs w:val="21"/>
        </w:rPr>
        <w:t>situación de oferta del servicio, de su presupuestación, de un marco normativo de</w:t>
      </w:r>
      <w:r>
        <w:rPr>
          <w:rFonts w:ascii="Abadi" w:hAnsi="Abadi" w:cs="*Arial-6343-Identity-H"/>
          <w:color w:val="14131B"/>
          <w:sz w:val="21"/>
          <w:szCs w:val="21"/>
        </w:rPr>
        <w:t xml:space="preserve"> </w:t>
      </w:r>
      <w:r w:rsidRPr="00F64AE8">
        <w:rPr>
          <w:rFonts w:ascii="Abadi" w:hAnsi="Abadi" w:cs="*Arial-6343-Identity-H"/>
          <w:color w:val="14131B"/>
          <w:sz w:val="21"/>
          <w:szCs w:val="21"/>
        </w:rPr>
        <w:t>operación, de una debida planeación a corto plazo, de la participación ciudadana</w:t>
      </w:r>
      <w:r>
        <w:rPr>
          <w:rFonts w:ascii="Abadi" w:hAnsi="Abadi" w:cs="*Arial-6343-Identity-H"/>
          <w:color w:val="14131B"/>
          <w:sz w:val="21"/>
          <w:szCs w:val="21"/>
        </w:rPr>
        <w:t xml:space="preserve"> </w:t>
      </w:r>
      <w:r w:rsidRPr="00F64AE8">
        <w:rPr>
          <w:rFonts w:ascii="Abadi" w:hAnsi="Abadi" w:cs="*Arial-6343-Identity-H"/>
          <w:color w:val="14131B"/>
          <w:sz w:val="21"/>
          <w:szCs w:val="21"/>
        </w:rPr>
        <w:t>en el reporte de fallas del servicio, así como de los mecanismos de monitoreo y</w:t>
      </w:r>
      <w:r>
        <w:rPr>
          <w:rFonts w:ascii="Abadi" w:hAnsi="Abadi" w:cs="*Arial-6343-Identity-H"/>
          <w:color w:val="14131B"/>
          <w:sz w:val="21"/>
          <w:szCs w:val="21"/>
        </w:rPr>
        <w:t xml:space="preserve"> </w:t>
      </w:r>
      <w:r w:rsidRPr="00F64AE8">
        <w:rPr>
          <w:rFonts w:ascii="Abadi" w:hAnsi="Abadi" w:cs="*Arial-6343-Identity-H"/>
          <w:color w:val="14131B"/>
          <w:sz w:val="21"/>
          <w:szCs w:val="21"/>
        </w:rPr>
        <w:t>evaluación para el logro de resultados. Lo anterior, con el objetivo de otorgar un</w:t>
      </w:r>
      <w:r>
        <w:rPr>
          <w:rFonts w:ascii="Abadi" w:hAnsi="Abadi" w:cs="*Arial-6343-Identity-H"/>
          <w:color w:val="14131B"/>
          <w:sz w:val="21"/>
          <w:szCs w:val="21"/>
        </w:rPr>
        <w:t xml:space="preserve"> </w:t>
      </w:r>
      <w:r w:rsidRPr="00F64AE8">
        <w:rPr>
          <w:rFonts w:ascii="Abadi" w:hAnsi="Abadi" w:cs="*Arial-6343-Identity-H"/>
          <w:color w:val="14131B"/>
          <w:sz w:val="21"/>
          <w:szCs w:val="21"/>
        </w:rPr>
        <w:t>servicio público eficaz en el mantenimiento, cobertura y satisfacción del servicio.</w:t>
      </w:r>
    </w:p>
    <w:p w14:paraId="7F434F85" w14:textId="77777777" w:rsidR="00600B0C" w:rsidRPr="00F64AE8" w:rsidRDefault="00600B0C" w:rsidP="00600B0C">
      <w:pPr>
        <w:autoSpaceDE w:val="0"/>
        <w:autoSpaceDN w:val="0"/>
        <w:adjustRightInd w:val="0"/>
        <w:jc w:val="both"/>
        <w:rPr>
          <w:rFonts w:ascii="Abadi" w:hAnsi="Abadi" w:cs="*Arial-6343-Identity-H"/>
          <w:color w:val="14131B"/>
          <w:sz w:val="21"/>
          <w:szCs w:val="21"/>
        </w:rPr>
      </w:pPr>
    </w:p>
    <w:p w14:paraId="544E9887" w14:textId="77777777" w:rsidR="00600B0C" w:rsidRPr="00F64AE8" w:rsidRDefault="00600B0C" w:rsidP="00600B0C">
      <w:pPr>
        <w:autoSpaceDE w:val="0"/>
        <w:autoSpaceDN w:val="0"/>
        <w:adjustRightInd w:val="0"/>
        <w:jc w:val="both"/>
        <w:rPr>
          <w:rFonts w:ascii="Abadi" w:hAnsi="Abadi" w:cs="*Arial-4406-Identity-H"/>
          <w:color w:val="16161E"/>
          <w:sz w:val="21"/>
          <w:szCs w:val="21"/>
        </w:rPr>
      </w:pPr>
    </w:p>
    <w:p w14:paraId="663E4C95" w14:textId="77777777" w:rsidR="00600B0C" w:rsidRDefault="00600B0C" w:rsidP="00600B0C">
      <w:pPr>
        <w:autoSpaceDE w:val="0"/>
        <w:autoSpaceDN w:val="0"/>
        <w:adjustRightInd w:val="0"/>
        <w:ind w:firstLine="708"/>
        <w:jc w:val="both"/>
        <w:rPr>
          <w:rFonts w:ascii="Abadi" w:hAnsi="Abadi" w:cs="*Arial-4404-Identity-H"/>
          <w:color w:val="14131D"/>
          <w:sz w:val="21"/>
          <w:szCs w:val="21"/>
        </w:rPr>
      </w:pPr>
      <w:r w:rsidRPr="00F64AE8">
        <w:rPr>
          <w:rFonts w:ascii="Abadi" w:hAnsi="Abadi" w:cs="*Arial-4404-Identity-H"/>
          <w:color w:val="14131D"/>
          <w:sz w:val="21"/>
          <w:szCs w:val="21"/>
        </w:rPr>
        <w:t>En el apartado correspondiente a la unidad responsable de la materia por</w:t>
      </w:r>
      <w:r>
        <w:rPr>
          <w:rFonts w:ascii="Abadi" w:hAnsi="Abadi" w:cs="*Arial-4404-Identity-H"/>
          <w:color w:val="14131D"/>
          <w:sz w:val="21"/>
          <w:szCs w:val="21"/>
        </w:rPr>
        <w:t xml:space="preserve"> </w:t>
      </w:r>
      <w:r w:rsidRPr="00F64AE8">
        <w:rPr>
          <w:rFonts w:ascii="Abadi" w:hAnsi="Abadi" w:cs="*Arial-4404-Identity-H"/>
          <w:color w:val="14131D"/>
          <w:sz w:val="21"/>
          <w:szCs w:val="21"/>
        </w:rPr>
        <w:t>auditar se refiere que el artículo 124 de la Ley Orgánica Municipal para el Estado</w:t>
      </w:r>
      <w:r>
        <w:rPr>
          <w:rFonts w:ascii="Abadi" w:hAnsi="Abadi" w:cs="*Arial-4404-Identity-H"/>
          <w:color w:val="14131D"/>
          <w:sz w:val="21"/>
          <w:szCs w:val="21"/>
        </w:rPr>
        <w:t xml:space="preserve"> </w:t>
      </w:r>
      <w:r w:rsidRPr="00F64AE8">
        <w:rPr>
          <w:rFonts w:ascii="Abadi" w:hAnsi="Abadi" w:cs="*Arial-4404-Identity-H"/>
          <w:color w:val="14131D"/>
          <w:sz w:val="21"/>
          <w:szCs w:val="21"/>
        </w:rPr>
        <w:t>de Guanajuato prevé</w:t>
      </w:r>
      <w:r w:rsidRPr="00F64AE8">
        <w:rPr>
          <w:rFonts w:ascii="Abadi" w:hAnsi="Abadi" w:cs="*Arial-4404-Identity-H"/>
          <w:color w:val="A1A1A1"/>
          <w:sz w:val="21"/>
          <w:szCs w:val="21"/>
        </w:rPr>
        <w:t xml:space="preserve">. </w:t>
      </w:r>
      <w:r w:rsidRPr="00F64AE8">
        <w:rPr>
          <w:rFonts w:ascii="Abadi" w:hAnsi="Abadi" w:cs="*Arial-4404-Identity-H"/>
          <w:color w:val="14131D"/>
          <w:sz w:val="21"/>
          <w:szCs w:val="21"/>
        </w:rPr>
        <w:t>que la dependencia de Servicios Municipales será la</w:t>
      </w:r>
      <w:r>
        <w:rPr>
          <w:rFonts w:ascii="Abadi" w:hAnsi="Abadi" w:cs="*Arial-4404-Identity-H"/>
          <w:color w:val="14131D"/>
          <w:sz w:val="21"/>
          <w:szCs w:val="21"/>
        </w:rPr>
        <w:t xml:space="preserve"> </w:t>
      </w:r>
      <w:r w:rsidRPr="00F64AE8">
        <w:rPr>
          <w:rFonts w:ascii="Abadi" w:hAnsi="Abadi" w:cs="*Arial-4404-Identity-H"/>
          <w:color w:val="14131D"/>
          <w:sz w:val="21"/>
          <w:szCs w:val="21"/>
        </w:rPr>
        <w:t>encargada de llevar a cabo la prestación del servicio de alumbrado público en el</w:t>
      </w:r>
      <w:r>
        <w:rPr>
          <w:rFonts w:ascii="Abadi" w:hAnsi="Abadi" w:cs="*Arial-4404-Identity-H"/>
          <w:color w:val="14131D"/>
          <w:sz w:val="21"/>
          <w:szCs w:val="21"/>
        </w:rPr>
        <w:t xml:space="preserve"> </w:t>
      </w:r>
      <w:r w:rsidRPr="00F64AE8">
        <w:rPr>
          <w:rFonts w:ascii="Abadi" w:hAnsi="Abadi" w:cs="*Arial-4404-Identity-H"/>
          <w:color w:val="14131D"/>
          <w:sz w:val="21"/>
          <w:szCs w:val="21"/>
        </w:rPr>
        <w:t>Municipio. Asimismo, los artículos 83 y 83-3 de la citada ley establecen que, el</w:t>
      </w:r>
      <w:r>
        <w:rPr>
          <w:rFonts w:ascii="Abadi" w:hAnsi="Abadi" w:cs="*Arial-4404-Identity-H"/>
          <w:color w:val="14131D"/>
          <w:sz w:val="21"/>
          <w:szCs w:val="21"/>
        </w:rPr>
        <w:t xml:space="preserve"> </w:t>
      </w:r>
      <w:r w:rsidRPr="00F64AE8">
        <w:rPr>
          <w:rFonts w:ascii="Abadi" w:hAnsi="Abadi" w:cs="*Arial-4404-Identity-H"/>
          <w:color w:val="14131D"/>
          <w:sz w:val="21"/>
          <w:szCs w:val="21"/>
        </w:rPr>
        <w:t>Ayuntamiento contará con una Comisión de Obra y Servicios Públicos, la que</w:t>
      </w:r>
      <w:r>
        <w:rPr>
          <w:rFonts w:ascii="Abadi" w:hAnsi="Abadi" w:cs="*Arial-4404-Identity-H"/>
          <w:color w:val="14131D"/>
          <w:sz w:val="21"/>
          <w:szCs w:val="21"/>
        </w:rPr>
        <w:t xml:space="preserve"> </w:t>
      </w:r>
      <w:r w:rsidRPr="00F64AE8">
        <w:rPr>
          <w:rFonts w:ascii="Abadi" w:hAnsi="Abadi" w:cs="*Arial-4404-Identity-H"/>
          <w:color w:val="14131D"/>
          <w:sz w:val="21"/>
          <w:szCs w:val="21"/>
        </w:rPr>
        <w:t>tendrá dentro de sus atribuciones la de promover la prestación puntual, oportuna y</w:t>
      </w:r>
      <w:r>
        <w:rPr>
          <w:rFonts w:ascii="Abadi" w:hAnsi="Abadi" w:cs="*Arial-4404-Identity-H"/>
          <w:color w:val="14131D"/>
          <w:sz w:val="21"/>
          <w:szCs w:val="21"/>
        </w:rPr>
        <w:t xml:space="preserve"> </w:t>
      </w:r>
      <w:r w:rsidRPr="00F64AE8">
        <w:rPr>
          <w:rFonts w:ascii="Abadi" w:hAnsi="Abadi" w:cs="*Arial-4404-Identity-H"/>
          <w:color w:val="14131D"/>
          <w:sz w:val="21"/>
          <w:szCs w:val="21"/>
        </w:rPr>
        <w:t>eficiente de los servicios públicos municipales, de conformidad con las</w:t>
      </w:r>
      <w:r>
        <w:rPr>
          <w:rFonts w:ascii="Abadi" w:hAnsi="Abadi" w:cs="*Arial-4404-Identity-H"/>
          <w:color w:val="14131D"/>
          <w:sz w:val="21"/>
          <w:szCs w:val="21"/>
        </w:rPr>
        <w:t xml:space="preserve"> </w:t>
      </w:r>
      <w:r w:rsidRPr="00F64AE8">
        <w:rPr>
          <w:rFonts w:ascii="Abadi" w:hAnsi="Abadi" w:cs="*Arial-4404-Identity-H"/>
          <w:color w:val="14131D"/>
          <w:sz w:val="21"/>
          <w:szCs w:val="21"/>
        </w:rPr>
        <w:t>disposiciones aplicables.</w:t>
      </w:r>
    </w:p>
    <w:p w14:paraId="7F0CCC4A" w14:textId="77777777" w:rsidR="00600B0C" w:rsidRPr="00F64AE8" w:rsidRDefault="00600B0C" w:rsidP="00600B0C">
      <w:pPr>
        <w:autoSpaceDE w:val="0"/>
        <w:autoSpaceDN w:val="0"/>
        <w:adjustRightInd w:val="0"/>
        <w:jc w:val="both"/>
        <w:rPr>
          <w:rFonts w:ascii="Abadi" w:hAnsi="Abadi" w:cs="*Arial-4404-Identity-H"/>
          <w:color w:val="14131D"/>
          <w:sz w:val="21"/>
          <w:szCs w:val="21"/>
        </w:rPr>
      </w:pPr>
    </w:p>
    <w:p w14:paraId="29061CC2" w14:textId="331B3189" w:rsidR="00600B0C" w:rsidRDefault="00600B0C" w:rsidP="00600B0C">
      <w:pPr>
        <w:autoSpaceDE w:val="0"/>
        <w:autoSpaceDN w:val="0"/>
        <w:adjustRightInd w:val="0"/>
        <w:jc w:val="both"/>
        <w:rPr>
          <w:rFonts w:ascii="Abadi" w:hAnsi="Abadi" w:cs="*Arial-4404-Identity-H"/>
          <w:color w:val="14131C"/>
          <w:sz w:val="21"/>
          <w:szCs w:val="21"/>
        </w:rPr>
      </w:pPr>
      <w:r w:rsidRPr="00F64AE8">
        <w:rPr>
          <w:rFonts w:ascii="Abadi" w:hAnsi="Abadi" w:cs="*Arial-4404-Identity-H"/>
          <w:color w:val="14131C"/>
          <w:sz w:val="21"/>
          <w:szCs w:val="21"/>
        </w:rPr>
        <w:t>En virtud de lo anterior, para el ejercicio 2020, la unidad responsable de</w:t>
      </w:r>
      <w:r>
        <w:rPr>
          <w:rFonts w:ascii="Abadi" w:hAnsi="Abadi" w:cs="*Arial-4404-Identity-H"/>
          <w:color w:val="14131C"/>
          <w:sz w:val="21"/>
          <w:szCs w:val="21"/>
        </w:rPr>
        <w:t xml:space="preserve"> </w:t>
      </w:r>
      <w:r w:rsidRPr="00F64AE8">
        <w:rPr>
          <w:rFonts w:ascii="Abadi" w:hAnsi="Abadi" w:cs="*Arial-4404-Identity-H"/>
          <w:color w:val="14131C"/>
          <w:sz w:val="21"/>
          <w:szCs w:val="21"/>
        </w:rPr>
        <w:t>otorgar el servicio de alumbrado público en el municipio de lrapuato,</w:t>
      </w:r>
      <w:r>
        <w:rPr>
          <w:rFonts w:ascii="Abadi" w:hAnsi="Abadi" w:cs="*Arial-4404-Identity-H"/>
          <w:color w:val="14131C"/>
          <w:sz w:val="21"/>
          <w:szCs w:val="21"/>
        </w:rPr>
        <w:t xml:space="preserve"> </w:t>
      </w:r>
      <w:r w:rsidRPr="00F64AE8">
        <w:rPr>
          <w:rFonts w:ascii="Abadi" w:hAnsi="Abadi" w:cs="*Arial-4404-Identity-H"/>
          <w:color w:val="14131C"/>
          <w:sz w:val="21"/>
          <w:szCs w:val="21"/>
        </w:rPr>
        <w:t>Gto., fue la</w:t>
      </w:r>
      <w:r>
        <w:rPr>
          <w:rFonts w:ascii="Abadi" w:hAnsi="Abadi" w:cs="*Arial-4404-Identity-H"/>
          <w:color w:val="14131C"/>
          <w:sz w:val="21"/>
          <w:szCs w:val="21"/>
        </w:rPr>
        <w:t xml:space="preserve"> </w:t>
      </w:r>
      <w:r w:rsidRPr="00F64AE8">
        <w:rPr>
          <w:rFonts w:ascii="Abadi" w:hAnsi="Abadi" w:cs="*Arial-4404-Identity-H"/>
          <w:color w:val="14131C"/>
          <w:sz w:val="21"/>
          <w:szCs w:val="21"/>
        </w:rPr>
        <w:t>Dirección de Alumbrado Público, adscrita a la Dirección General de Servicios</w:t>
      </w:r>
      <w:r>
        <w:rPr>
          <w:rFonts w:ascii="Abadi" w:hAnsi="Abadi" w:cs="*Arial-4404-Identity-H"/>
          <w:color w:val="14131C"/>
          <w:sz w:val="21"/>
          <w:szCs w:val="21"/>
        </w:rPr>
        <w:t xml:space="preserve"> </w:t>
      </w:r>
      <w:r w:rsidRPr="00F64AE8">
        <w:rPr>
          <w:rFonts w:ascii="Abadi" w:hAnsi="Abadi" w:cs="*Arial-4404-Identity-H"/>
          <w:color w:val="14131C"/>
          <w:sz w:val="21"/>
          <w:szCs w:val="21"/>
        </w:rPr>
        <w:t>Públicos.</w:t>
      </w:r>
    </w:p>
    <w:p w14:paraId="6A8A0B47" w14:textId="77777777" w:rsidR="00600B0C" w:rsidRPr="00F64AE8" w:rsidRDefault="00600B0C" w:rsidP="00600B0C">
      <w:pPr>
        <w:autoSpaceDE w:val="0"/>
        <w:autoSpaceDN w:val="0"/>
        <w:adjustRightInd w:val="0"/>
        <w:jc w:val="both"/>
        <w:rPr>
          <w:rFonts w:ascii="Abadi" w:hAnsi="Abadi" w:cs="*Arial-4404-Identity-H"/>
          <w:color w:val="14131C"/>
          <w:sz w:val="21"/>
          <w:szCs w:val="21"/>
        </w:rPr>
      </w:pPr>
    </w:p>
    <w:p w14:paraId="4CDF839A" w14:textId="77777777" w:rsidR="00600B0C" w:rsidRDefault="00600B0C" w:rsidP="00600B0C">
      <w:pPr>
        <w:autoSpaceDE w:val="0"/>
        <w:autoSpaceDN w:val="0"/>
        <w:adjustRightInd w:val="0"/>
        <w:ind w:firstLine="708"/>
        <w:jc w:val="both"/>
        <w:rPr>
          <w:rFonts w:ascii="Abadi" w:hAnsi="Abadi" w:cs="*Arial-Bold-4405-Identity-H"/>
          <w:b/>
          <w:bCs/>
          <w:color w:val="14131D"/>
          <w:sz w:val="21"/>
          <w:szCs w:val="21"/>
        </w:rPr>
      </w:pPr>
      <w:r w:rsidRPr="00F64AE8">
        <w:rPr>
          <w:rFonts w:ascii="Abadi" w:hAnsi="Abadi" w:cs="*Arial-Bold-4405-Identity-H"/>
          <w:b/>
          <w:bCs/>
          <w:color w:val="14131D"/>
          <w:sz w:val="21"/>
          <w:szCs w:val="21"/>
        </w:rPr>
        <w:t>b) Resultado del proceso de fiscalización.</w:t>
      </w:r>
    </w:p>
    <w:p w14:paraId="35C8787F" w14:textId="77777777" w:rsidR="00600B0C" w:rsidRPr="00F64AE8" w:rsidRDefault="00600B0C" w:rsidP="00600B0C">
      <w:pPr>
        <w:autoSpaceDE w:val="0"/>
        <w:autoSpaceDN w:val="0"/>
        <w:adjustRightInd w:val="0"/>
        <w:jc w:val="both"/>
        <w:rPr>
          <w:rFonts w:ascii="Abadi" w:hAnsi="Abadi" w:cs="*Arial-Bold-4405-Identity-H"/>
          <w:b/>
          <w:bCs/>
          <w:color w:val="14131D"/>
          <w:sz w:val="21"/>
          <w:szCs w:val="21"/>
        </w:rPr>
      </w:pPr>
    </w:p>
    <w:p w14:paraId="66C379E6" w14:textId="77777777" w:rsidR="00600B0C" w:rsidRPr="00F64AE8" w:rsidRDefault="00600B0C" w:rsidP="00600B0C">
      <w:pPr>
        <w:autoSpaceDE w:val="0"/>
        <w:autoSpaceDN w:val="0"/>
        <w:adjustRightInd w:val="0"/>
        <w:ind w:firstLine="708"/>
        <w:jc w:val="both"/>
        <w:rPr>
          <w:rFonts w:ascii="Abadi" w:hAnsi="Abadi" w:cs="*Arial-4404-Identity-H"/>
          <w:color w:val="15131B"/>
          <w:sz w:val="21"/>
          <w:szCs w:val="21"/>
        </w:rPr>
      </w:pPr>
      <w:r w:rsidRPr="00F64AE8">
        <w:rPr>
          <w:rFonts w:ascii="Abadi" w:hAnsi="Abadi" w:cs="*Arial-4404-Identity-H"/>
          <w:color w:val="15131B"/>
          <w:sz w:val="21"/>
          <w:szCs w:val="21"/>
        </w:rPr>
        <w:t>En esta parte se señala que los objetivos específicos se desarrollaron en la</w:t>
      </w:r>
      <w:r>
        <w:rPr>
          <w:rFonts w:ascii="Abadi" w:hAnsi="Abadi" w:cs="*Arial-4404-Identity-H"/>
          <w:color w:val="15131B"/>
          <w:sz w:val="21"/>
          <w:szCs w:val="21"/>
        </w:rPr>
        <w:t xml:space="preserve"> </w:t>
      </w:r>
      <w:r w:rsidRPr="00F64AE8">
        <w:rPr>
          <w:rFonts w:ascii="Abadi" w:hAnsi="Abadi" w:cs="*Arial-4404-Identity-H"/>
          <w:color w:val="15131B"/>
          <w:sz w:val="21"/>
          <w:szCs w:val="21"/>
        </w:rPr>
        <w:t>auditoría en siete procedimientos, con los siguientes resultados:</w:t>
      </w:r>
    </w:p>
    <w:p w14:paraId="74285D9E" w14:textId="77777777" w:rsidR="00600B0C" w:rsidRDefault="00600B0C" w:rsidP="00600B0C">
      <w:pPr>
        <w:autoSpaceDE w:val="0"/>
        <w:autoSpaceDN w:val="0"/>
        <w:adjustRightInd w:val="0"/>
        <w:ind w:firstLine="708"/>
        <w:jc w:val="both"/>
        <w:rPr>
          <w:rFonts w:ascii="Abadi" w:hAnsi="Abadi" w:cs="*Arial-Bold-4405-Identity-H"/>
          <w:b/>
          <w:bCs/>
          <w:color w:val="13131F"/>
          <w:sz w:val="21"/>
          <w:szCs w:val="21"/>
        </w:rPr>
      </w:pPr>
    </w:p>
    <w:p w14:paraId="4B9C7A46" w14:textId="77777777" w:rsidR="00600B0C" w:rsidRPr="00F64AE8" w:rsidRDefault="00600B0C" w:rsidP="00600B0C">
      <w:pPr>
        <w:autoSpaceDE w:val="0"/>
        <w:autoSpaceDN w:val="0"/>
        <w:adjustRightInd w:val="0"/>
        <w:ind w:firstLine="708"/>
        <w:jc w:val="both"/>
        <w:rPr>
          <w:rFonts w:ascii="Abadi" w:hAnsi="Abadi" w:cs="*Arial-Bold-4405-Identity-H"/>
          <w:b/>
          <w:bCs/>
          <w:color w:val="13131F"/>
          <w:sz w:val="21"/>
          <w:szCs w:val="21"/>
        </w:rPr>
      </w:pPr>
      <w:r w:rsidRPr="00F64AE8">
        <w:rPr>
          <w:rFonts w:ascii="Abadi" w:hAnsi="Abadi" w:cs="*Arial-Bold-4405-Identity-H"/>
          <w:b/>
          <w:bCs/>
          <w:color w:val="13131F"/>
          <w:sz w:val="21"/>
          <w:szCs w:val="21"/>
        </w:rPr>
        <w:t>Eficiencia:</w:t>
      </w:r>
    </w:p>
    <w:p w14:paraId="4D0B9D48" w14:textId="77777777" w:rsidR="00600B0C" w:rsidRPr="00F64AE8" w:rsidRDefault="00600B0C" w:rsidP="00600B0C">
      <w:pPr>
        <w:autoSpaceDE w:val="0"/>
        <w:autoSpaceDN w:val="0"/>
        <w:adjustRightInd w:val="0"/>
        <w:ind w:left="1134"/>
        <w:jc w:val="both"/>
        <w:rPr>
          <w:rFonts w:ascii="Abadi" w:hAnsi="Abadi" w:cs="*Arial-4404-Identity-H"/>
          <w:color w:val="14131A"/>
          <w:sz w:val="21"/>
          <w:szCs w:val="21"/>
        </w:rPr>
      </w:pPr>
      <w:r w:rsidRPr="00F64AE8">
        <w:rPr>
          <w:rFonts w:ascii="Abadi" w:hAnsi="Abadi" w:cs="*Arial-Bold-4405-Identity-H"/>
          <w:b/>
          <w:bCs/>
          <w:color w:val="14131A"/>
          <w:sz w:val="21"/>
          <w:szCs w:val="21"/>
        </w:rPr>
        <w:t xml:space="preserve">1. </w:t>
      </w:r>
      <w:r w:rsidRPr="00F64AE8">
        <w:rPr>
          <w:rFonts w:ascii="Abadi" w:hAnsi="Abadi" w:cs="*Arial-4404-Identity-H"/>
          <w:color w:val="14131A"/>
          <w:sz w:val="21"/>
          <w:szCs w:val="21"/>
        </w:rPr>
        <w:t>Oferta del servicio de alumbrado público.</w:t>
      </w:r>
    </w:p>
    <w:p w14:paraId="519DA26E" w14:textId="77777777" w:rsidR="00600B0C" w:rsidRPr="00F64AE8" w:rsidRDefault="00600B0C" w:rsidP="00600B0C">
      <w:pPr>
        <w:autoSpaceDE w:val="0"/>
        <w:autoSpaceDN w:val="0"/>
        <w:adjustRightInd w:val="0"/>
        <w:ind w:left="1134"/>
        <w:jc w:val="both"/>
        <w:rPr>
          <w:rFonts w:ascii="Abadi" w:hAnsi="Abadi" w:cs="*Arial-4404-Identity-H"/>
          <w:color w:val="15131B"/>
          <w:sz w:val="21"/>
          <w:szCs w:val="21"/>
        </w:rPr>
      </w:pPr>
      <w:r w:rsidRPr="00F64AE8">
        <w:rPr>
          <w:rFonts w:ascii="Abadi" w:hAnsi="Abadi" w:cs="*Arial-Bold-4405-Identity-H"/>
          <w:b/>
          <w:bCs/>
          <w:color w:val="15131B"/>
          <w:sz w:val="21"/>
          <w:szCs w:val="21"/>
        </w:rPr>
        <w:t xml:space="preserve">2. </w:t>
      </w:r>
      <w:r w:rsidRPr="00F64AE8">
        <w:rPr>
          <w:rFonts w:ascii="Abadi" w:hAnsi="Abadi" w:cs="*Arial-4404-Identity-H"/>
          <w:color w:val="15131B"/>
          <w:sz w:val="21"/>
          <w:szCs w:val="21"/>
        </w:rPr>
        <w:t>Presupuestación del servicio.</w:t>
      </w:r>
    </w:p>
    <w:p w14:paraId="276D368C" w14:textId="77777777" w:rsidR="00600B0C" w:rsidRPr="00F64AE8" w:rsidRDefault="00600B0C" w:rsidP="00600B0C">
      <w:pPr>
        <w:autoSpaceDE w:val="0"/>
        <w:autoSpaceDN w:val="0"/>
        <w:adjustRightInd w:val="0"/>
        <w:ind w:left="1134"/>
        <w:jc w:val="both"/>
        <w:rPr>
          <w:rFonts w:ascii="Abadi" w:hAnsi="Abadi" w:cs="*Arial-4404-Identity-H"/>
          <w:color w:val="14131C"/>
          <w:sz w:val="21"/>
          <w:szCs w:val="21"/>
        </w:rPr>
      </w:pPr>
      <w:r w:rsidRPr="00F64AE8">
        <w:rPr>
          <w:rFonts w:ascii="Abadi" w:hAnsi="Abadi" w:cs="*Arial-Bold-4405-Identity-H"/>
          <w:b/>
          <w:bCs/>
          <w:color w:val="14131C"/>
          <w:sz w:val="21"/>
          <w:szCs w:val="21"/>
        </w:rPr>
        <w:t xml:space="preserve">3. </w:t>
      </w:r>
      <w:r w:rsidRPr="00F64AE8">
        <w:rPr>
          <w:rFonts w:ascii="Abadi" w:hAnsi="Abadi" w:cs="*Arial-4404-Identity-H"/>
          <w:color w:val="14131C"/>
          <w:sz w:val="21"/>
          <w:szCs w:val="21"/>
        </w:rPr>
        <w:t>Marco normativo para la prestación del servicio.</w:t>
      </w:r>
    </w:p>
    <w:p w14:paraId="23D25182" w14:textId="77777777" w:rsidR="00600B0C" w:rsidRPr="00F64AE8" w:rsidRDefault="00600B0C" w:rsidP="00600B0C">
      <w:pPr>
        <w:autoSpaceDE w:val="0"/>
        <w:autoSpaceDN w:val="0"/>
        <w:adjustRightInd w:val="0"/>
        <w:ind w:left="1134"/>
        <w:jc w:val="both"/>
        <w:rPr>
          <w:rFonts w:ascii="Abadi" w:hAnsi="Abadi" w:cs="*Arial-4404-Identity-H"/>
          <w:color w:val="14141C"/>
          <w:sz w:val="21"/>
          <w:szCs w:val="21"/>
        </w:rPr>
      </w:pPr>
      <w:r w:rsidRPr="00F64AE8">
        <w:rPr>
          <w:rFonts w:ascii="Abadi" w:hAnsi="Abadi" w:cs="*Arial-Bold-4405-Identity-H"/>
          <w:b/>
          <w:bCs/>
          <w:color w:val="14141C"/>
          <w:sz w:val="21"/>
          <w:szCs w:val="21"/>
        </w:rPr>
        <w:t xml:space="preserve">4. </w:t>
      </w:r>
      <w:r w:rsidRPr="00F64AE8">
        <w:rPr>
          <w:rFonts w:ascii="Abadi" w:hAnsi="Abadi" w:cs="*Arial-4404-Identity-H"/>
          <w:color w:val="14141C"/>
          <w:sz w:val="21"/>
          <w:szCs w:val="21"/>
        </w:rPr>
        <w:t>Planeación del servicio de alumbrado público en el corto plazo.</w:t>
      </w:r>
    </w:p>
    <w:p w14:paraId="568DA7FD" w14:textId="77777777" w:rsidR="00600B0C" w:rsidRPr="00F64AE8" w:rsidRDefault="00600B0C" w:rsidP="00600B0C">
      <w:pPr>
        <w:autoSpaceDE w:val="0"/>
        <w:autoSpaceDN w:val="0"/>
        <w:adjustRightInd w:val="0"/>
        <w:ind w:left="1134"/>
        <w:jc w:val="both"/>
        <w:rPr>
          <w:rFonts w:ascii="Abadi" w:hAnsi="Abadi" w:cs="*Arial-4404-Identity-H"/>
          <w:color w:val="14131B"/>
          <w:sz w:val="21"/>
          <w:szCs w:val="21"/>
        </w:rPr>
      </w:pPr>
      <w:r w:rsidRPr="00F64AE8">
        <w:rPr>
          <w:rFonts w:ascii="Abadi" w:hAnsi="Abadi" w:cs="*Arial-Bold-4405-Identity-H"/>
          <w:b/>
          <w:bCs/>
          <w:color w:val="14131B"/>
          <w:sz w:val="21"/>
          <w:szCs w:val="21"/>
        </w:rPr>
        <w:t xml:space="preserve">5. </w:t>
      </w:r>
      <w:r w:rsidRPr="00F64AE8">
        <w:rPr>
          <w:rFonts w:ascii="Abadi" w:hAnsi="Abadi" w:cs="*Arial-4404-Identity-H"/>
          <w:color w:val="14131B"/>
          <w:sz w:val="21"/>
          <w:szCs w:val="21"/>
        </w:rPr>
        <w:t>Participación ciudadana en el reporte de fallas del servicio.</w:t>
      </w:r>
    </w:p>
    <w:p w14:paraId="137284DB" w14:textId="77777777" w:rsidR="00600B0C" w:rsidRDefault="00600B0C" w:rsidP="00600B0C">
      <w:pPr>
        <w:autoSpaceDE w:val="0"/>
        <w:autoSpaceDN w:val="0"/>
        <w:adjustRightInd w:val="0"/>
        <w:ind w:firstLine="708"/>
        <w:jc w:val="both"/>
        <w:rPr>
          <w:rFonts w:ascii="Abadi" w:hAnsi="Abadi" w:cs="*Arial-Bold-4405-Identity-H"/>
          <w:b/>
          <w:bCs/>
          <w:color w:val="14131D"/>
          <w:sz w:val="21"/>
          <w:szCs w:val="21"/>
        </w:rPr>
      </w:pPr>
    </w:p>
    <w:p w14:paraId="2B5F8746" w14:textId="30823968" w:rsidR="00600B0C" w:rsidRDefault="00600B0C" w:rsidP="00600B0C">
      <w:pPr>
        <w:autoSpaceDE w:val="0"/>
        <w:autoSpaceDN w:val="0"/>
        <w:adjustRightInd w:val="0"/>
        <w:ind w:firstLine="708"/>
        <w:jc w:val="both"/>
        <w:rPr>
          <w:rFonts w:ascii="Abadi" w:hAnsi="Abadi" w:cs="*Arial-Bold-4405-Identity-H"/>
          <w:b/>
          <w:bCs/>
          <w:color w:val="14131D"/>
          <w:sz w:val="21"/>
          <w:szCs w:val="21"/>
        </w:rPr>
      </w:pPr>
      <w:r w:rsidRPr="00F64AE8">
        <w:rPr>
          <w:rFonts w:ascii="Abadi" w:hAnsi="Abadi" w:cs="*Arial-Bold-4405-Identity-H"/>
          <w:b/>
          <w:bCs/>
          <w:color w:val="14131D"/>
          <w:sz w:val="21"/>
          <w:szCs w:val="21"/>
        </w:rPr>
        <w:t>Eficacia:</w:t>
      </w:r>
    </w:p>
    <w:p w14:paraId="0EE10740" w14:textId="77777777" w:rsidR="00CF1A19" w:rsidRPr="00F64AE8" w:rsidRDefault="00CF1A19" w:rsidP="00600B0C">
      <w:pPr>
        <w:autoSpaceDE w:val="0"/>
        <w:autoSpaceDN w:val="0"/>
        <w:adjustRightInd w:val="0"/>
        <w:ind w:firstLine="708"/>
        <w:jc w:val="both"/>
        <w:rPr>
          <w:rFonts w:ascii="Abadi" w:hAnsi="Abadi" w:cs="*Arial-Bold-4405-Identity-H"/>
          <w:b/>
          <w:bCs/>
          <w:color w:val="14131D"/>
          <w:sz w:val="21"/>
          <w:szCs w:val="21"/>
        </w:rPr>
      </w:pPr>
    </w:p>
    <w:p w14:paraId="0AD5475F" w14:textId="77777777" w:rsidR="00600B0C" w:rsidRPr="00F64AE8" w:rsidRDefault="00600B0C" w:rsidP="00600B0C">
      <w:pPr>
        <w:autoSpaceDE w:val="0"/>
        <w:autoSpaceDN w:val="0"/>
        <w:adjustRightInd w:val="0"/>
        <w:ind w:left="1134"/>
        <w:jc w:val="both"/>
        <w:rPr>
          <w:rFonts w:ascii="Abadi" w:hAnsi="Abadi" w:cs="*Arial-4404-Identity-H"/>
          <w:color w:val="14131C"/>
          <w:sz w:val="21"/>
          <w:szCs w:val="21"/>
        </w:rPr>
      </w:pPr>
      <w:r w:rsidRPr="0052395C">
        <w:rPr>
          <w:rFonts w:ascii="Abadi" w:hAnsi="Abadi" w:cs="*Arial-4404-Identity-H"/>
          <w:b/>
          <w:bCs/>
          <w:color w:val="14131C"/>
          <w:sz w:val="21"/>
          <w:szCs w:val="21"/>
        </w:rPr>
        <w:t>6.</w:t>
      </w:r>
      <w:r w:rsidRPr="00F64AE8">
        <w:rPr>
          <w:rFonts w:ascii="Abadi" w:hAnsi="Abadi" w:cs="*Arial-4404-Identity-H"/>
          <w:color w:val="14131C"/>
          <w:sz w:val="21"/>
          <w:szCs w:val="21"/>
        </w:rPr>
        <w:t xml:space="preserve"> Eficacia del servicio de alumbrado público.</w:t>
      </w:r>
    </w:p>
    <w:p w14:paraId="331FD12B" w14:textId="77777777" w:rsidR="00600B0C" w:rsidRPr="00F64AE8" w:rsidRDefault="00600B0C" w:rsidP="00600B0C">
      <w:pPr>
        <w:autoSpaceDE w:val="0"/>
        <w:autoSpaceDN w:val="0"/>
        <w:adjustRightInd w:val="0"/>
        <w:ind w:left="1134"/>
        <w:jc w:val="both"/>
        <w:rPr>
          <w:rFonts w:ascii="Abadi" w:hAnsi="Abadi" w:cs="*Arial-4404-Identity-H"/>
          <w:color w:val="14131C"/>
          <w:sz w:val="21"/>
          <w:szCs w:val="21"/>
        </w:rPr>
      </w:pPr>
      <w:r w:rsidRPr="0052395C">
        <w:rPr>
          <w:rFonts w:ascii="Abadi" w:hAnsi="Abadi" w:cs="*Arial-4404-Identity-H"/>
          <w:b/>
          <w:bCs/>
          <w:color w:val="14131C"/>
          <w:sz w:val="21"/>
          <w:szCs w:val="21"/>
        </w:rPr>
        <w:t>7.</w:t>
      </w:r>
      <w:r w:rsidRPr="00F64AE8">
        <w:rPr>
          <w:rFonts w:ascii="Abadi" w:hAnsi="Abadi" w:cs="*Arial-4404-Identity-H"/>
          <w:color w:val="14131C"/>
          <w:sz w:val="21"/>
          <w:szCs w:val="21"/>
        </w:rPr>
        <w:t xml:space="preserve"> Mecanismos de monitoreo y evaluación de resultados.</w:t>
      </w:r>
    </w:p>
    <w:p w14:paraId="66A8274D" w14:textId="77777777" w:rsidR="00600B0C" w:rsidRDefault="00600B0C" w:rsidP="00600B0C">
      <w:pPr>
        <w:autoSpaceDE w:val="0"/>
        <w:autoSpaceDN w:val="0"/>
        <w:adjustRightInd w:val="0"/>
        <w:jc w:val="both"/>
        <w:rPr>
          <w:rFonts w:ascii="Abadi" w:hAnsi="Abadi" w:cs="*Arial-5879-Identity-H"/>
          <w:color w:val="14131C"/>
          <w:sz w:val="21"/>
          <w:szCs w:val="21"/>
        </w:rPr>
      </w:pPr>
    </w:p>
    <w:p w14:paraId="5BF89627" w14:textId="77777777" w:rsidR="00600B0C" w:rsidRDefault="00600B0C" w:rsidP="00600B0C">
      <w:pPr>
        <w:autoSpaceDE w:val="0"/>
        <w:autoSpaceDN w:val="0"/>
        <w:adjustRightInd w:val="0"/>
        <w:ind w:firstLine="708"/>
        <w:jc w:val="both"/>
        <w:rPr>
          <w:rFonts w:ascii="Abadi" w:hAnsi="Abadi" w:cs="*Arial-5879-Identity-H"/>
          <w:color w:val="14131C"/>
          <w:sz w:val="21"/>
          <w:szCs w:val="21"/>
        </w:rPr>
      </w:pPr>
      <w:r w:rsidRPr="00F64AE8">
        <w:rPr>
          <w:rFonts w:ascii="Abadi" w:hAnsi="Abadi" w:cs="*Arial-5879-Identity-H"/>
          <w:color w:val="14131C"/>
          <w:sz w:val="21"/>
          <w:szCs w:val="21"/>
        </w:rPr>
        <w:t>Es así, que se presentan los resultados de la auditoría realizada,</w:t>
      </w:r>
      <w:r>
        <w:rPr>
          <w:rFonts w:ascii="Abadi" w:hAnsi="Abadi" w:cs="*Arial-5879-Identity-H"/>
          <w:color w:val="14131C"/>
          <w:sz w:val="21"/>
          <w:szCs w:val="21"/>
        </w:rPr>
        <w:t xml:space="preserve"> </w:t>
      </w:r>
      <w:r w:rsidRPr="00F64AE8">
        <w:rPr>
          <w:rFonts w:ascii="Abadi" w:hAnsi="Abadi" w:cs="*Arial-5879-Identity-H"/>
          <w:color w:val="14131C"/>
          <w:sz w:val="21"/>
          <w:szCs w:val="21"/>
        </w:rPr>
        <w:t xml:space="preserve">estableciendo las recomendaciones </w:t>
      </w:r>
      <w:r>
        <w:rPr>
          <w:rFonts w:ascii="Abadi" w:hAnsi="Abadi" w:cs="*Arial-5879-Identity-H"/>
          <w:color w:val="14131C"/>
          <w:sz w:val="21"/>
          <w:szCs w:val="21"/>
        </w:rPr>
        <w:t>formuladas</w:t>
      </w:r>
      <w:r w:rsidRPr="00F64AE8">
        <w:rPr>
          <w:rFonts w:ascii="Abadi" w:hAnsi="Abadi" w:cs="*Arial-5879-Identity-H"/>
          <w:color w:val="14131C"/>
          <w:sz w:val="21"/>
          <w:szCs w:val="21"/>
        </w:rPr>
        <w:t xml:space="preserve"> al sujeto fiscalizado, plasmando</w:t>
      </w:r>
      <w:r>
        <w:rPr>
          <w:rFonts w:ascii="Abadi" w:hAnsi="Abadi" w:cs="*Arial-5879-Identity-H"/>
          <w:color w:val="14131C"/>
          <w:sz w:val="21"/>
          <w:szCs w:val="21"/>
        </w:rPr>
        <w:t xml:space="preserve"> </w:t>
      </w:r>
      <w:r w:rsidRPr="00F64AE8">
        <w:rPr>
          <w:rFonts w:ascii="Abadi" w:hAnsi="Abadi" w:cs="*Arial-5879-Identity-H"/>
          <w:color w:val="14131C"/>
          <w:sz w:val="21"/>
          <w:szCs w:val="21"/>
        </w:rPr>
        <w:t xml:space="preserve">en cada una las acciones preventivas </w:t>
      </w:r>
      <w:r w:rsidRPr="00F64AE8">
        <w:rPr>
          <w:rFonts w:ascii="Abadi" w:hAnsi="Abadi" w:cs="*Microsoft Sans Serif-5882-Iden"/>
          <w:color w:val="14131C"/>
          <w:sz w:val="21"/>
          <w:szCs w:val="21"/>
        </w:rPr>
        <w:t xml:space="preserve">y </w:t>
      </w:r>
      <w:r w:rsidRPr="00F64AE8">
        <w:rPr>
          <w:rFonts w:ascii="Abadi" w:hAnsi="Abadi" w:cs="*Arial-5879-Identity-H"/>
          <w:color w:val="14131C"/>
          <w:sz w:val="21"/>
          <w:szCs w:val="21"/>
        </w:rPr>
        <w:t>correctivas que se deben llevar a cabo</w:t>
      </w:r>
      <w:r>
        <w:rPr>
          <w:rFonts w:ascii="Abadi" w:hAnsi="Abadi" w:cs="*Arial-5879-Identity-H"/>
          <w:color w:val="14131C"/>
          <w:sz w:val="21"/>
          <w:szCs w:val="21"/>
        </w:rPr>
        <w:t xml:space="preserve"> </w:t>
      </w:r>
      <w:r w:rsidRPr="00F64AE8">
        <w:rPr>
          <w:rFonts w:ascii="Abadi" w:hAnsi="Abadi" w:cs="*Arial-5879-Identity-H"/>
          <w:color w:val="14131C"/>
          <w:sz w:val="21"/>
          <w:szCs w:val="21"/>
        </w:rPr>
        <w:t>para subsanar las situaciones detectadas durante el proceso de auditoría.</w:t>
      </w:r>
    </w:p>
    <w:p w14:paraId="6AA5468F" w14:textId="77777777" w:rsidR="00600B0C" w:rsidRPr="00F64AE8" w:rsidRDefault="00600B0C" w:rsidP="00600B0C">
      <w:pPr>
        <w:autoSpaceDE w:val="0"/>
        <w:autoSpaceDN w:val="0"/>
        <w:adjustRightInd w:val="0"/>
        <w:ind w:firstLine="708"/>
        <w:jc w:val="both"/>
        <w:rPr>
          <w:rFonts w:ascii="Abadi" w:hAnsi="Abadi" w:cs="*Arial-5879-Identity-H"/>
          <w:color w:val="14131C"/>
          <w:sz w:val="21"/>
          <w:szCs w:val="21"/>
        </w:rPr>
      </w:pPr>
    </w:p>
    <w:p w14:paraId="6190C778" w14:textId="77777777" w:rsidR="00600B0C" w:rsidRDefault="00600B0C" w:rsidP="00600B0C">
      <w:pPr>
        <w:autoSpaceDE w:val="0"/>
        <w:autoSpaceDN w:val="0"/>
        <w:adjustRightInd w:val="0"/>
        <w:ind w:firstLine="708"/>
        <w:jc w:val="both"/>
        <w:rPr>
          <w:rFonts w:ascii="Abadi" w:hAnsi="Abadi" w:cs="*Arial-5879-Identity-H"/>
          <w:color w:val="14131C"/>
          <w:sz w:val="21"/>
          <w:szCs w:val="21"/>
        </w:rPr>
      </w:pPr>
      <w:r w:rsidRPr="00F64AE8">
        <w:rPr>
          <w:rFonts w:ascii="Abadi" w:hAnsi="Abadi" w:cs="*Arial-5879-Identity-H"/>
          <w:color w:val="14131C"/>
          <w:sz w:val="21"/>
          <w:szCs w:val="21"/>
        </w:rPr>
        <w:t xml:space="preserve">Derivado de lo anterior, se formulan los resultados </w:t>
      </w:r>
      <w:r w:rsidRPr="00F64AE8">
        <w:rPr>
          <w:rFonts w:ascii="Abadi" w:hAnsi="Abadi" w:cs="*Microsoft Sans Serif-5882-Iden"/>
          <w:color w:val="14131C"/>
          <w:sz w:val="21"/>
          <w:szCs w:val="21"/>
        </w:rPr>
        <w:t xml:space="preserve">y </w:t>
      </w:r>
      <w:r w:rsidRPr="00F64AE8">
        <w:rPr>
          <w:rFonts w:ascii="Abadi" w:hAnsi="Abadi" w:cs="*Arial-5879-Identity-H"/>
          <w:color w:val="14131C"/>
          <w:sz w:val="21"/>
          <w:szCs w:val="21"/>
        </w:rPr>
        <w:t>recomendaciones</w:t>
      </w:r>
      <w:r>
        <w:rPr>
          <w:rFonts w:ascii="Abadi" w:hAnsi="Abadi" w:cs="*Arial-5879-Identity-H"/>
          <w:color w:val="14131C"/>
          <w:sz w:val="21"/>
          <w:szCs w:val="21"/>
        </w:rPr>
        <w:t xml:space="preserve"> </w:t>
      </w:r>
      <w:r w:rsidRPr="00F64AE8">
        <w:rPr>
          <w:rFonts w:ascii="Abadi" w:hAnsi="Abadi" w:cs="*Arial-5879-Identity-H"/>
          <w:color w:val="14131C"/>
          <w:sz w:val="21"/>
          <w:szCs w:val="21"/>
        </w:rPr>
        <w:t xml:space="preserve">contenidos en los rubros de Eficiencia </w:t>
      </w:r>
      <w:r w:rsidRPr="00F64AE8">
        <w:rPr>
          <w:rFonts w:ascii="Abadi" w:hAnsi="Abadi" w:cs="*Microsoft Sans Serif-5882-Iden"/>
          <w:color w:val="14131C"/>
          <w:sz w:val="21"/>
          <w:szCs w:val="21"/>
        </w:rPr>
        <w:t xml:space="preserve">y </w:t>
      </w:r>
      <w:r w:rsidRPr="00F64AE8">
        <w:rPr>
          <w:rFonts w:ascii="Abadi" w:hAnsi="Abadi" w:cs="*Arial-5879-Identity-H"/>
          <w:color w:val="14131C"/>
          <w:sz w:val="21"/>
          <w:szCs w:val="21"/>
        </w:rPr>
        <w:t>Eficacia.</w:t>
      </w:r>
    </w:p>
    <w:p w14:paraId="0A41398A" w14:textId="77777777" w:rsidR="00600B0C" w:rsidRPr="00F64AE8" w:rsidRDefault="00600B0C" w:rsidP="00600B0C">
      <w:pPr>
        <w:autoSpaceDE w:val="0"/>
        <w:autoSpaceDN w:val="0"/>
        <w:adjustRightInd w:val="0"/>
        <w:jc w:val="both"/>
        <w:rPr>
          <w:rFonts w:ascii="Abadi" w:hAnsi="Abadi" w:cs="*Arial-5879-Identity-H"/>
          <w:color w:val="14131C"/>
          <w:sz w:val="21"/>
          <w:szCs w:val="21"/>
        </w:rPr>
      </w:pPr>
    </w:p>
    <w:p w14:paraId="034908AD" w14:textId="77777777" w:rsidR="00600B0C" w:rsidRDefault="00600B0C" w:rsidP="00600B0C">
      <w:pPr>
        <w:autoSpaceDE w:val="0"/>
        <w:autoSpaceDN w:val="0"/>
        <w:adjustRightInd w:val="0"/>
        <w:ind w:firstLine="708"/>
        <w:jc w:val="both"/>
        <w:rPr>
          <w:rFonts w:ascii="Abadi" w:hAnsi="Abadi" w:cs="*Arial-5879-Identity-H"/>
          <w:color w:val="14131B"/>
          <w:sz w:val="21"/>
          <w:szCs w:val="21"/>
        </w:rPr>
      </w:pPr>
      <w:r w:rsidRPr="00F64AE8">
        <w:rPr>
          <w:rFonts w:ascii="Abadi" w:hAnsi="Abadi" w:cs="*Arial-5879-Identity-H"/>
          <w:color w:val="14131B"/>
          <w:sz w:val="21"/>
          <w:szCs w:val="21"/>
        </w:rPr>
        <w:t>En tal sentido, en el rubro de Eficiencia, se formularon las recomendaciones</w:t>
      </w:r>
      <w:r>
        <w:rPr>
          <w:rFonts w:ascii="Abadi" w:hAnsi="Abadi" w:cs="*Arial-5879-Identity-H"/>
          <w:color w:val="14131B"/>
          <w:sz w:val="21"/>
          <w:szCs w:val="21"/>
        </w:rPr>
        <w:t xml:space="preserve"> </w:t>
      </w:r>
      <w:r w:rsidRPr="00F64AE8">
        <w:rPr>
          <w:rFonts w:ascii="Abadi" w:hAnsi="Abadi" w:cs="*Arial-5879-Identity-H"/>
          <w:color w:val="14131B"/>
          <w:sz w:val="21"/>
          <w:szCs w:val="21"/>
        </w:rPr>
        <w:t>plasmadas en los puntos 01 del resultado número 01, referente a oferta del</w:t>
      </w:r>
      <w:r>
        <w:rPr>
          <w:rFonts w:ascii="Abadi" w:hAnsi="Abadi" w:cs="*Arial-5879-Identity-H"/>
          <w:color w:val="14131B"/>
          <w:sz w:val="21"/>
          <w:szCs w:val="21"/>
        </w:rPr>
        <w:t xml:space="preserve"> </w:t>
      </w:r>
      <w:r w:rsidRPr="00F64AE8">
        <w:rPr>
          <w:rFonts w:ascii="Abadi" w:hAnsi="Abadi" w:cs="*Arial-5879-Identity-H"/>
          <w:color w:val="14131B"/>
          <w:sz w:val="21"/>
          <w:szCs w:val="21"/>
        </w:rPr>
        <w:t xml:space="preserve">servicio de alumbrado público; 02 </w:t>
      </w:r>
      <w:r w:rsidRPr="00F64AE8">
        <w:rPr>
          <w:rFonts w:ascii="Abadi" w:hAnsi="Abadi" w:cs="*Microsoft Sans Serif-5882-Iden"/>
          <w:color w:val="14131B"/>
          <w:sz w:val="21"/>
          <w:szCs w:val="21"/>
        </w:rPr>
        <w:t xml:space="preserve">y </w:t>
      </w:r>
      <w:r w:rsidRPr="00F64AE8">
        <w:rPr>
          <w:rFonts w:ascii="Abadi" w:hAnsi="Abadi" w:cs="*Arial-5879-Identity-H"/>
          <w:color w:val="14131B"/>
          <w:sz w:val="21"/>
          <w:szCs w:val="21"/>
        </w:rPr>
        <w:t>03 del resultado número 02, correspondiente a</w:t>
      </w:r>
      <w:r>
        <w:rPr>
          <w:rFonts w:ascii="Abadi" w:hAnsi="Abadi" w:cs="*Arial-5879-Identity-H"/>
          <w:color w:val="14131B"/>
          <w:sz w:val="21"/>
          <w:szCs w:val="21"/>
        </w:rPr>
        <w:t xml:space="preserve"> </w:t>
      </w:r>
      <w:r w:rsidRPr="00F64AE8">
        <w:rPr>
          <w:rFonts w:ascii="Abadi" w:hAnsi="Abadi" w:cs="*Arial-5879-Identity-H"/>
          <w:color w:val="14131B"/>
          <w:sz w:val="21"/>
          <w:szCs w:val="21"/>
        </w:rPr>
        <w:t>presupuestación del servicio; 04 del resultado número 03, ·relativo a marco</w:t>
      </w:r>
      <w:r>
        <w:rPr>
          <w:rFonts w:ascii="Abadi" w:hAnsi="Abadi" w:cs="*Arial-5879-Identity-H"/>
          <w:color w:val="14131B"/>
          <w:sz w:val="21"/>
          <w:szCs w:val="21"/>
        </w:rPr>
        <w:t xml:space="preserve"> </w:t>
      </w:r>
      <w:r w:rsidRPr="00F64AE8">
        <w:rPr>
          <w:rFonts w:ascii="Abadi" w:hAnsi="Abadi" w:cs="*Arial-5879-Identity-H"/>
          <w:color w:val="14131B"/>
          <w:sz w:val="21"/>
          <w:szCs w:val="21"/>
        </w:rPr>
        <w:t>normativo para la prestación del servicio; 05 del resultado número 04, referido a</w:t>
      </w:r>
      <w:r>
        <w:rPr>
          <w:rFonts w:ascii="Abadi" w:hAnsi="Abadi" w:cs="*Arial-5879-Identity-H"/>
          <w:color w:val="14131B"/>
          <w:sz w:val="21"/>
          <w:szCs w:val="21"/>
        </w:rPr>
        <w:t xml:space="preserve"> </w:t>
      </w:r>
      <w:r w:rsidRPr="00F64AE8">
        <w:rPr>
          <w:rFonts w:ascii="Abadi" w:hAnsi="Abadi" w:cs="*Arial-5879-Identity-H"/>
          <w:color w:val="14131B"/>
          <w:sz w:val="21"/>
          <w:szCs w:val="21"/>
        </w:rPr>
        <w:t xml:space="preserve">planeación del servicio de alumbrado público en el corto plazo; </w:t>
      </w:r>
      <w:r w:rsidRPr="00F64AE8">
        <w:rPr>
          <w:rFonts w:ascii="Abadi" w:hAnsi="Abadi" w:cs="*Microsoft Sans Serif-5882-Iden"/>
          <w:color w:val="14131B"/>
          <w:sz w:val="21"/>
          <w:szCs w:val="21"/>
        </w:rPr>
        <w:t xml:space="preserve">y </w:t>
      </w:r>
      <w:r w:rsidRPr="00F64AE8">
        <w:rPr>
          <w:rFonts w:ascii="Abadi" w:hAnsi="Abadi" w:cs="*Arial-5879-Identity-H"/>
          <w:color w:val="14131B"/>
          <w:sz w:val="21"/>
          <w:szCs w:val="21"/>
        </w:rPr>
        <w:t>06 del resultado</w:t>
      </w:r>
      <w:r>
        <w:rPr>
          <w:rFonts w:ascii="Abadi" w:hAnsi="Abadi" w:cs="*Arial-5879-Identity-H"/>
          <w:color w:val="14131B"/>
          <w:sz w:val="21"/>
          <w:szCs w:val="21"/>
        </w:rPr>
        <w:t xml:space="preserve"> </w:t>
      </w:r>
      <w:r w:rsidRPr="00F64AE8">
        <w:rPr>
          <w:rFonts w:ascii="Abadi" w:hAnsi="Abadi" w:cs="*Arial-5879-Identity-H"/>
          <w:color w:val="14131B"/>
          <w:sz w:val="21"/>
          <w:szCs w:val="21"/>
        </w:rPr>
        <w:t>número 05, referente a participación ciudadana en el reporte de fallas del servicio.</w:t>
      </w:r>
    </w:p>
    <w:p w14:paraId="23DE8866" w14:textId="77777777" w:rsidR="00600B0C" w:rsidRDefault="00600B0C" w:rsidP="00600B0C">
      <w:pPr>
        <w:autoSpaceDE w:val="0"/>
        <w:autoSpaceDN w:val="0"/>
        <w:adjustRightInd w:val="0"/>
        <w:jc w:val="both"/>
        <w:rPr>
          <w:rFonts w:ascii="Abadi" w:hAnsi="Abadi" w:cs="*Arial-5879-Identity-H"/>
          <w:color w:val="14131B"/>
          <w:sz w:val="21"/>
          <w:szCs w:val="21"/>
        </w:rPr>
      </w:pPr>
    </w:p>
    <w:p w14:paraId="2B2389B3" w14:textId="77777777" w:rsidR="00600B0C" w:rsidRDefault="00600B0C" w:rsidP="00600B0C">
      <w:pPr>
        <w:autoSpaceDE w:val="0"/>
        <w:autoSpaceDN w:val="0"/>
        <w:adjustRightInd w:val="0"/>
        <w:jc w:val="both"/>
        <w:rPr>
          <w:rFonts w:ascii="Abadi" w:hAnsi="Abadi" w:cs="*Arial-5879-Identity-H"/>
          <w:color w:val="14131B"/>
          <w:sz w:val="21"/>
          <w:szCs w:val="21"/>
        </w:rPr>
      </w:pPr>
      <w:r>
        <w:rPr>
          <w:rFonts w:ascii="Abadi" w:hAnsi="Abadi" w:cs="*Arial-5879-Identity-H"/>
          <w:color w:val="14131B"/>
          <w:sz w:val="21"/>
          <w:szCs w:val="21"/>
        </w:rPr>
        <w:t xml:space="preserve"> </w:t>
      </w:r>
      <w:r>
        <w:rPr>
          <w:rFonts w:ascii="Abadi" w:hAnsi="Abadi" w:cs="*Arial-5879-Identity-H"/>
          <w:color w:val="14131B"/>
          <w:sz w:val="21"/>
          <w:szCs w:val="21"/>
        </w:rPr>
        <w:tab/>
      </w:r>
      <w:r w:rsidRPr="00F64AE8">
        <w:rPr>
          <w:rFonts w:ascii="Abadi" w:hAnsi="Abadi" w:cs="*Arial-5879-Identity-H"/>
          <w:color w:val="14131B"/>
          <w:sz w:val="21"/>
          <w:szCs w:val="21"/>
        </w:rPr>
        <w:t>En el apartado de Eficacia, se formuló la recomendación consignada en el punto</w:t>
      </w:r>
      <w:r>
        <w:rPr>
          <w:rFonts w:ascii="Abadi" w:hAnsi="Abadi" w:cs="*Arial-5879-Identity-H"/>
          <w:color w:val="14131B"/>
          <w:sz w:val="21"/>
          <w:szCs w:val="21"/>
        </w:rPr>
        <w:t xml:space="preserve"> </w:t>
      </w:r>
      <w:r w:rsidRPr="00F64AE8">
        <w:rPr>
          <w:rFonts w:ascii="Abadi" w:hAnsi="Abadi" w:cs="*Arial-5879-Identity-H"/>
          <w:color w:val="14131B"/>
          <w:sz w:val="21"/>
          <w:szCs w:val="21"/>
        </w:rPr>
        <w:t xml:space="preserve">07 del resultado número 07, relativo a mecanismos de monitoreo </w:t>
      </w:r>
      <w:r w:rsidRPr="00F64AE8">
        <w:rPr>
          <w:rFonts w:ascii="Abadi" w:hAnsi="Abadi" w:cs="*Microsoft Sans Serif-5882-Iden"/>
          <w:color w:val="14131B"/>
          <w:sz w:val="21"/>
          <w:szCs w:val="21"/>
        </w:rPr>
        <w:t xml:space="preserve">y </w:t>
      </w:r>
      <w:r w:rsidRPr="00F64AE8">
        <w:rPr>
          <w:rFonts w:ascii="Abadi" w:hAnsi="Abadi" w:cs="*Arial-5879-Identity-H"/>
          <w:color w:val="14131B"/>
          <w:sz w:val="21"/>
          <w:szCs w:val="21"/>
        </w:rPr>
        <w:t>evaluación de</w:t>
      </w:r>
      <w:r>
        <w:rPr>
          <w:rFonts w:ascii="Abadi" w:hAnsi="Abadi" w:cs="*Arial-5879-Identity-H"/>
          <w:color w:val="14131B"/>
          <w:sz w:val="21"/>
          <w:szCs w:val="21"/>
        </w:rPr>
        <w:t xml:space="preserve"> </w:t>
      </w:r>
      <w:r w:rsidRPr="00F64AE8">
        <w:rPr>
          <w:rFonts w:ascii="Abadi" w:hAnsi="Abadi" w:cs="*Arial-5879-Identity-H"/>
          <w:color w:val="14131B"/>
          <w:sz w:val="21"/>
          <w:szCs w:val="21"/>
        </w:rPr>
        <w:t>resultados.</w:t>
      </w:r>
    </w:p>
    <w:p w14:paraId="0D665DF0" w14:textId="77777777" w:rsidR="00600B0C" w:rsidRPr="00F64AE8" w:rsidRDefault="00600B0C" w:rsidP="00600B0C">
      <w:pPr>
        <w:autoSpaceDE w:val="0"/>
        <w:autoSpaceDN w:val="0"/>
        <w:adjustRightInd w:val="0"/>
        <w:jc w:val="both"/>
        <w:rPr>
          <w:rFonts w:ascii="Abadi" w:hAnsi="Abadi" w:cs="*Arial-5879-Identity-H"/>
          <w:color w:val="14131B"/>
          <w:sz w:val="21"/>
          <w:szCs w:val="21"/>
        </w:rPr>
      </w:pPr>
    </w:p>
    <w:p w14:paraId="2B2E85B9" w14:textId="77777777" w:rsidR="00600B0C" w:rsidRDefault="00600B0C" w:rsidP="00600B0C">
      <w:pPr>
        <w:autoSpaceDE w:val="0"/>
        <w:autoSpaceDN w:val="0"/>
        <w:adjustRightInd w:val="0"/>
        <w:ind w:firstLine="708"/>
        <w:jc w:val="both"/>
        <w:rPr>
          <w:rFonts w:ascii="Abadi" w:hAnsi="Abadi" w:cs="*Arial-5879-Identity-H"/>
          <w:color w:val="14131B"/>
          <w:sz w:val="21"/>
          <w:szCs w:val="21"/>
        </w:rPr>
      </w:pPr>
      <w:r w:rsidRPr="00F64AE8">
        <w:rPr>
          <w:rFonts w:ascii="Abadi" w:hAnsi="Abadi" w:cs="*Arial-5879-Identity-H"/>
          <w:color w:val="14131B"/>
          <w:sz w:val="21"/>
          <w:szCs w:val="21"/>
        </w:rPr>
        <w:t>En el caso del resultado número 06, referente a eficacia del servicio de</w:t>
      </w:r>
      <w:r>
        <w:rPr>
          <w:rFonts w:ascii="Abadi" w:hAnsi="Abadi" w:cs="*Arial-5879-Identity-H"/>
          <w:color w:val="14131B"/>
          <w:sz w:val="21"/>
          <w:szCs w:val="21"/>
        </w:rPr>
        <w:t xml:space="preserve"> </w:t>
      </w:r>
      <w:r w:rsidRPr="00F64AE8">
        <w:rPr>
          <w:rFonts w:ascii="Abadi" w:hAnsi="Abadi" w:cs="*Arial-5879-Identity-H"/>
          <w:color w:val="14131B"/>
          <w:sz w:val="21"/>
          <w:szCs w:val="21"/>
        </w:rPr>
        <w:t>alumbrado público del rubro de Eficacia, este no generó recomendaciones por</w:t>
      </w:r>
      <w:r>
        <w:rPr>
          <w:rFonts w:ascii="Abadi" w:hAnsi="Abadi" w:cs="*Arial-5879-Identity-H"/>
          <w:color w:val="14131B"/>
          <w:sz w:val="21"/>
          <w:szCs w:val="21"/>
        </w:rPr>
        <w:t xml:space="preserve"> </w:t>
      </w:r>
      <w:r w:rsidRPr="00F64AE8">
        <w:rPr>
          <w:rFonts w:ascii="Abadi" w:hAnsi="Abadi" w:cs="*Arial-5879-Identity-H"/>
          <w:color w:val="14131B"/>
          <w:sz w:val="21"/>
          <w:szCs w:val="21"/>
        </w:rPr>
        <w:t>parte de la Auditoría Superior del Estado.</w:t>
      </w:r>
    </w:p>
    <w:p w14:paraId="32CCD343" w14:textId="77777777" w:rsidR="00600B0C" w:rsidRPr="00F64AE8" w:rsidRDefault="00600B0C" w:rsidP="00600B0C">
      <w:pPr>
        <w:autoSpaceDE w:val="0"/>
        <w:autoSpaceDN w:val="0"/>
        <w:adjustRightInd w:val="0"/>
        <w:jc w:val="both"/>
        <w:rPr>
          <w:rFonts w:ascii="Abadi" w:hAnsi="Abadi" w:cs="*Arial-5879-Identity-H"/>
          <w:color w:val="14131B"/>
          <w:sz w:val="21"/>
          <w:szCs w:val="21"/>
        </w:rPr>
      </w:pPr>
    </w:p>
    <w:p w14:paraId="76D18EFF" w14:textId="77777777" w:rsidR="00600B0C" w:rsidRDefault="00600B0C" w:rsidP="00600B0C">
      <w:pPr>
        <w:autoSpaceDE w:val="0"/>
        <w:autoSpaceDN w:val="0"/>
        <w:adjustRightInd w:val="0"/>
        <w:ind w:firstLine="708"/>
        <w:jc w:val="both"/>
        <w:rPr>
          <w:rFonts w:ascii="Abadi" w:hAnsi="Abadi" w:cs="*Arial-5879-Identity-H"/>
          <w:color w:val="14131B"/>
          <w:sz w:val="21"/>
          <w:szCs w:val="21"/>
        </w:rPr>
      </w:pPr>
      <w:r w:rsidRPr="00F64AE8">
        <w:rPr>
          <w:rFonts w:ascii="Abadi" w:hAnsi="Abadi" w:cs="*Arial-5879-Identity-H"/>
          <w:color w:val="14131B"/>
          <w:sz w:val="21"/>
          <w:szCs w:val="21"/>
        </w:rPr>
        <w:t xml:space="preserve">Finalmente, se establece un apartado denominado </w:t>
      </w:r>
      <w:r w:rsidRPr="00F64AE8">
        <w:rPr>
          <w:rFonts w:ascii="Abadi" w:hAnsi="Abadi" w:cs="*Arial-Italic-5880-Identity-H"/>
          <w:i/>
          <w:iCs/>
          <w:color w:val="14131B"/>
          <w:sz w:val="21"/>
          <w:szCs w:val="21"/>
        </w:rPr>
        <w:t>Cuestiones clave de la</w:t>
      </w:r>
      <w:r>
        <w:rPr>
          <w:rFonts w:ascii="Abadi" w:hAnsi="Abadi" w:cs="*Arial-Italic-5880-Identity-H"/>
          <w:i/>
          <w:iCs/>
          <w:color w:val="14131B"/>
          <w:sz w:val="21"/>
          <w:szCs w:val="21"/>
        </w:rPr>
        <w:t xml:space="preserve"> </w:t>
      </w:r>
      <w:r w:rsidRPr="00F64AE8">
        <w:rPr>
          <w:rFonts w:ascii="Abadi" w:hAnsi="Abadi" w:cs="*Arial-Italic-5880-Identity-H"/>
          <w:i/>
          <w:iCs/>
          <w:color w:val="14131B"/>
          <w:sz w:val="21"/>
          <w:szCs w:val="21"/>
        </w:rPr>
        <w:t xml:space="preserve">auditoría en contexto de la pandemia del virus SARS-CoV2 </w:t>
      </w:r>
      <w:r w:rsidRPr="00F64AE8">
        <w:rPr>
          <w:rFonts w:ascii="Abadi" w:hAnsi="Abadi" w:cs="*Arial-5879-Identity-H"/>
          <w:color w:val="14131B"/>
          <w:sz w:val="21"/>
          <w:szCs w:val="21"/>
        </w:rPr>
        <w:t>en el que se señala</w:t>
      </w:r>
      <w:r>
        <w:rPr>
          <w:rFonts w:ascii="Abadi" w:hAnsi="Abadi" w:cs="*Arial-5879-Identity-H"/>
          <w:color w:val="14131B"/>
          <w:sz w:val="21"/>
          <w:szCs w:val="21"/>
        </w:rPr>
        <w:t xml:space="preserve"> </w:t>
      </w:r>
      <w:r w:rsidRPr="00F64AE8">
        <w:rPr>
          <w:rFonts w:ascii="Abadi" w:hAnsi="Abadi" w:cs="*Arial-5879-Identity-H"/>
          <w:color w:val="14131B"/>
          <w:sz w:val="21"/>
          <w:szCs w:val="21"/>
        </w:rPr>
        <w:t xml:space="preserve">que con motivo de la emergencia sanitaria provocada por dicha pandemia </w:t>
      </w:r>
      <w:r w:rsidRPr="00F64AE8">
        <w:rPr>
          <w:rFonts w:ascii="Abadi" w:hAnsi="Abadi" w:cs="*Microsoft Sans Serif-5882-Iden"/>
          <w:color w:val="14131B"/>
          <w:sz w:val="21"/>
          <w:szCs w:val="21"/>
        </w:rPr>
        <w:t xml:space="preserve">y </w:t>
      </w:r>
      <w:r w:rsidRPr="00F64AE8">
        <w:rPr>
          <w:rFonts w:ascii="Abadi" w:hAnsi="Abadi" w:cs="*Arial-5879-Identity-H"/>
          <w:color w:val="14131B"/>
          <w:sz w:val="21"/>
          <w:szCs w:val="21"/>
        </w:rPr>
        <w:t>en</w:t>
      </w:r>
      <w:r>
        <w:rPr>
          <w:rFonts w:ascii="Abadi" w:hAnsi="Abadi" w:cs="*Arial-5879-Identity-H"/>
          <w:color w:val="14131B"/>
          <w:sz w:val="21"/>
          <w:szCs w:val="21"/>
        </w:rPr>
        <w:t xml:space="preserve"> </w:t>
      </w:r>
      <w:r w:rsidRPr="00F64AE8">
        <w:rPr>
          <w:rFonts w:ascii="Abadi" w:hAnsi="Abadi" w:cs="*Arial-5879-Identity-H"/>
          <w:color w:val="14131B"/>
          <w:sz w:val="21"/>
          <w:szCs w:val="21"/>
        </w:rPr>
        <w:t>atención a diversas disposiciones en salud pública emitidas por las autoridades</w:t>
      </w:r>
      <w:r>
        <w:rPr>
          <w:rFonts w:ascii="Abadi" w:hAnsi="Abadi" w:cs="*Arial-5879-Identity-H"/>
          <w:color w:val="14131B"/>
          <w:sz w:val="21"/>
          <w:szCs w:val="21"/>
        </w:rPr>
        <w:t xml:space="preserve"> </w:t>
      </w:r>
      <w:r w:rsidRPr="00F64AE8">
        <w:rPr>
          <w:rFonts w:ascii="Abadi" w:hAnsi="Abadi" w:cs="*Arial-5879-Identity-H"/>
          <w:color w:val="14131B"/>
          <w:sz w:val="21"/>
          <w:szCs w:val="21"/>
        </w:rPr>
        <w:t xml:space="preserve">federales </w:t>
      </w:r>
      <w:r w:rsidRPr="00F64AE8">
        <w:rPr>
          <w:rFonts w:ascii="Abadi" w:hAnsi="Abadi" w:cs="*Microsoft Sans Serif-5882-Iden"/>
          <w:color w:val="14131B"/>
          <w:sz w:val="21"/>
          <w:szCs w:val="21"/>
        </w:rPr>
        <w:t xml:space="preserve">y </w:t>
      </w:r>
      <w:r w:rsidRPr="00F64AE8">
        <w:rPr>
          <w:rFonts w:ascii="Abadi" w:hAnsi="Abadi" w:cs="*Arial-5879-Identity-H"/>
          <w:color w:val="14131B"/>
          <w:sz w:val="21"/>
          <w:szCs w:val="21"/>
        </w:rPr>
        <w:t>estatales competentes en la materia, se generaron cambios en el</w:t>
      </w:r>
      <w:r>
        <w:rPr>
          <w:rFonts w:ascii="Abadi" w:hAnsi="Abadi" w:cs="*Arial-5879-Identity-H"/>
          <w:color w:val="14131B"/>
          <w:sz w:val="21"/>
          <w:szCs w:val="21"/>
        </w:rPr>
        <w:t xml:space="preserve"> </w:t>
      </w:r>
      <w:r w:rsidRPr="00F64AE8">
        <w:rPr>
          <w:rFonts w:ascii="Abadi" w:hAnsi="Abadi" w:cs="*Arial-5879-Identity-H"/>
          <w:color w:val="14131B"/>
          <w:sz w:val="21"/>
          <w:szCs w:val="21"/>
        </w:rPr>
        <w:t>desarrollo de los asuntos competencia de la Auditoría Superior del Estado de</w:t>
      </w:r>
      <w:r>
        <w:rPr>
          <w:rFonts w:ascii="Abadi" w:hAnsi="Abadi" w:cs="*Arial-5879-Identity-H"/>
          <w:color w:val="14131B"/>
          <w:sz w:val="21"/>
          <w:szCs w:val="21"/>
        </w:rPr>
        <w:t xml:space="preserve"> </w:t>
      </w:r>
      <w:r w:rsidRPr="00F64AE8">
        <w:rPr>
          <w:rFonts w:ascii="Abadi" w:hAnsi="Abadi" w:cs="*Arial-5879-Identity-H"/>
          <w:color w:val="14131B"/>
          <w:sz w:val="21"/>
          <w:szCs w:val="21"/>
        </w:rPr>
        <w:t xml:space="preserve">Guanajuato, atendiendo al </w:t>
      </w:r>
      <w:r w:rsidRPr="00F64AE8">
        <w:rPr>
          <w:rFonts w:ascii="Abadi" w:hAnsi="Abadi" w:cs="*Arial-Italic-5880-Identity-H"/>
          <w:i/>
          <w:iCs/>
          <w:color w:val="14131B"/>
          <w:sz w:val="21"/>
          <w:szCs w:val="21"/>
        </w:rPr>
        <w:t xml:space="preserve">Acuerdo relativo al trabajo </w:t>
      </w:r>
      <w:r w:rsidRPr="00F64AE8">
        <w:rPr>
          <w:rFonts w:ascii="Abadi" w:hAnsi="Abadi" w:cs="*Arial-5879-Identity-H"/>
          <w:color w:val="14131B"/>
          <w:sz w:val="21"/>
          <w:szCs w:val="21"/>
        </w:rPr>
        <w:t xml:space="preserve">a </w:t>
      </w:r>
      <w:r w:rsidRPr="00F64AE8">
        <w:rPr>
          <w:rFonts w:ascii="Abadi" w:hAnsi="Abadi" w:cs="*Arial-Italic-5880-Identity-H"/>
          <w:i/>
          <w:iCs/>
          <w:color w:val="14131B"/>
          <w:sz w:val="21"/>
          <w:szCs w:val="21"/>
        </w:rPr>
        <w:t xml:space="preserve">distancia </w:t>
      </w:r>
      <w:r w:rsidRPr="00F64AE8">
        <w:rPr>
          <w:rFonts w:ascii="Abadi" w:hAnsi="Abadi" w:cs="*Arial-5879-Identity-H"/>
          <w:color w:val="14131B"/>
          <w:sz w:val="21"/>
          <w:szCs w:val="21"/>
        </w:rPr>
        <w:t>de fecha 17 de</w:t>
      </w:r>
      <w:r>
        <w:rPr>
          <w:rFonts w:ascii="Abadi" w:hAnsi="Abadi" w:cs="*Arial-5879-Identity-H"/>
          <w:color w:val="14131B"/>
          <w:sz w:val="21"/>
          <w:szCs w:val="21"/>
        </w:rPr>
        <w:t xml:space="preserve"> </w:t>
      </w:r>
      <w:r w:rsidRPr="00F64AE8">
        <w:rPr>
          <w:rFonts w:ascii="Abadi" w:hAnsi="Abadi" w:cs="*Arial-5879-Identity-H"/>
          <w:color w:val="14131B"/>
          <w:sz w:val="21"/>
          <w:szCs w:val="21"/>
        </w:rPr>
        <w:t>marzo de 2020 y su décimo sexto acuerdo modificatorio, aprovechando las</w:t>
      </w:r>
      <w:r>
        <w:rPr>
          <w:rFonts w:ascii="Abadi" w:hAnsi="Abadi" w:cs="*Arial-5879-Identity-H"/>
          <w:color w:val="14131B"/>
          <w:sz w:val="21"/>
          <w:szCs w:val="21"/>
        </w:rPr>
        <w:t xml:space="preserve"> </w:t>
      </w:r>
      <w:r w:rsidRPr="00F64AE8">
        <w:rPr>
          <w:rFonts w:ascii="Abadi" w:hAnsi="Abadi" w:cs="*Arial-5879-Identity-H"/>
          <w:color w:val="14131B"/>
          <w:sz w:val="21"/>
          <w:szCs w:val="21"/>
        </w:rPr>
        <w:t>herramientas tecnológicas de que dispone, así como la colaboración de los sujetos</w:t>
      </w:r>
      <w:r>
        <w:rPr>
          <w:rFonts w:ascii="Abadi" w:hAnsi="Abadi" w:cs="*Arial-5879-Identity-H"/>
          <w:color w:val="14131B"/>
          <w:sz w:val="21"/>
          <w:szCs w:val="21"/>
        </w:rPr>
        <w:t xml:space="preserve"> </w:t>
      </w:r>
      <w:r w:rsidRPr="00F64AE8">
        <w:rPr>
          <w:rFonts w:ascii="Abadi" w:hAnsi="Abadi" w:cs="*Arial-5879-Identity-H"/>
          <w:color w:val="14131B"/>
          <w:sz w:val="21"/>
          <w:szCs w:val="21"/>
        </w:rPr>
        <w:t>de fiscalización.</w:t>
      </w:r>
    </w:p>
    <w:p w14:paraId="6067CEC9" w14:textId="77777777" w:rsidR="00600B0C" w:rsidRPr="00F64AE8" w:rsidRDefault="00600B0C" w:rsidP="00600B0C">
      <w:pPr>
        <w:autoSpaceDE w:val="0"/>
        <w:autoSpaceDN w:val="0"/>
        <w:adjustRightInd w:val="0"/>
        <w:jc w:val="both"/>
        <w:rPr>
          <w:rFonts w:ascii="Abadi" w:hAnsi="Abadi" w:cs="*Arial-5879-Identity-H"/>
          <w:color w:val="14131B"/>
          <w:sz w:val="21"/>
          <w:szCs w:val="21"/>
        </w:rPr>
      </w:pPr>
    </w:p>
    <w:p w14:paraId="0974E27E" w14:textId="77777777" w:rsidR="00600B0C" w:rsidRDefault="00600B0C" w:rsidP="00600B0C">
      <w:pPr>
        <w:autoSpaceDE w:val="0"/>
        <w:autoSpaceDN w:val="0"/>
        <w:adjustRightInd w:val="0"/>
        <w:ind w:firstLine="708"/>
        <w:jc w:val="both"/>
        <w:rPr>
          <w:rFonts w:ascii="Abadi" w:hAnsi="Abadi" w:cs="*Arial-5879-Identity-H"/>
          <w:color w:val="14131B"/>
          <w:sz w:val="21"/>
          <w:szCs w:val="21"/>
        </w:rPr>
      </w:pPr>
      <w:r w:rsidRPr="00F64AE8">
        <w:rPr>
          <w:rFonts w:ascii="Abadi" w:hAnsi="Abadi" w:cs="*Arial-5879-Identity-H"/>
          <w:color w:val="14131B"/>
          <w:sz w:val="21"/>
          <w:szCs w:val="21"/>
        </w:rPr>
        <w:t>Es así, que si bien, el proceso de fiscalización ha continuado observando</w:t>
      </w:r>
      <w:r>
        <w:rPr>
          <w:rFonts w:ascii="Abadi" w:hAnsi="Abadi" w:cs="*Arial-5879-Identity-H"/>
          <w:color w:val="14131B"/>
          <w:sz w:val="21"/>
          <w:szCs w:val="21"/>
        </w:rPr>
        <w:t xml:space="preserve"> </w:t>
      </w:r>
      <w:r w:rsidRPr="00F64AE8">
        <w:rPr>
          <w:rFonts w:ascii="Abadi" w:hAnsi="Abadi" w:cs="*Arial-5879-Identity-H"/>
          <w:color w:val="14131B"/>
          <w:sz w:val="21"/>
          <w:szCs w:val="21"/>
        </w:rPr>
        <w:t xml:space="preserve">las medidas de confinamiento que las autoridades de salud han determinado </w:t>
      </w:r>
      <w:r w:rsidRPr="00F64AE8">
        <w:rPr>
          <w:rFonts w:ascii="Abadi" w:hAnsi="Abadi" w:cs="*Microsoft Sans Serif-5882-Iden"/>
          <w:color w:val="14131B"/>
          <w:sz w:val="21"/>
          <w:szCs w:val="21"/>
        </w:rPr>
        <w:t xml:space="preserve">y </w:t>
      </w:r>
      <w:r w:rsidRPr="00F64AE8">
        <w:rPr>
          <w:rFonts w:ascii="Abadi" w:hAnsi="Abadi" w:cs="*Arial-5879-Identity-H"/>
          <w:color w:val="14131B"/>
          <w:sz w:val="21"/>
          <w:szCs w:val="21"/>
        </w:rPr>
        <w:t>con</w:t>
      </w:r>
      <w:r>
        <w:rPr>
          <w:rFonts w:ascii="Abadi" w:hAnsi="Abadi" w:cs="*Arial-5879-Identity-H"/>
          <w:color w:val="14131B"/>
          <w:sz w:val="21"/>
          <w:szCs w:val="21"/>
        </w:rPr>
        <w:t xml:space="preserve"> </w:t>
      </w:r>
      <w:r w:rsidRPr="00F64AE8">
        <w:rPr>
          <w:rFonts w:ascii="Abadi" w:hAnsi="Abadi" w:cs="*Arial-5879-Identity-H"/>
          <w:color w:val="14131B"/>
          <w:sz w:val="21"/>
          <w:szCs w:val="21"/>
        </w:rPr>
        <w:t>el uso de las tecnologías de la información, por la propia naturaleza de la</w:t>
      </w:r>
      <w:r>
        <w:rPr>
          <w:rFonts w:ascii="Abadi" w:hAnsi="Abadi" w:cs="*Arial-5879-Identity-H"/>
          <w:color w:val="14131B"/>
          <w:sz w:val="21"/>
          <w:szCs w:val="21"/>
        </w:rPr>
        <w:t xml:space="preserve"> </w:t>
      </w:r>
      <w:r w:rsidRPr="00F64AE8">
        <w:rPr>
          <w:rFonts w:ascii="Abadi" w:hAnsi="Abadi" w:cs="*Arial-5879-Identity-H"/>
          <w:color w:val="14131B"/>
          <w:sz w:val="21"/>
          <w:szCs w:val="21"/>
        </w:rPr>
        <w:t>pandemia se generaron limitantes en la aplicación de los procedimientos de</w:t>
      </w:r>
      <w:r>
        <w:rPr>
          <w:rFonts w:ascii="Abadi" w:hAnsi="Abadi" w:cs="*Arial-5879-Identity-H"/>
          <w:color w:val="14131B"/>
          <w:sz w:val="21"/>
          <w:szCs w:val="21"/>
        </w:rPr>
        <w:t xml:space="preserve"> </w:t>
      </w:r>
      <w:r w:rsidRPr="00F64AE8">
        <w:rPr>
          <w:rFonts w:ascii="Abadi" w:hAnsi="Abadi" w:cs="*Arial-5879-Identity-H"/>
          <w:color w:val="14131B"/>
          <w:sz w:val="21"/>
          <w:szCs w:val="21"/>
        </w:rPr>
        <w:t>auditoría.</w:t>
      </w:r>
    </w:p>
    <w:p w14:paraId="6421BDB5" w14:textId="77777777" w:rsidR="00600B0C" w:rsidRPr="00F64AE8" w:rsidRDefault="00600B0C" w:rsidP="00600B0C">
      <w:pPr>
        <w:autoSpaceDE w:val="0"/>
        <w:autoSpaceDN w:val="0"/>
        <w:adjustRightInd w:val="0"/>
        <w:jc w:val="both"/>
        <w:rPr>
          <w:rFonts w:ascii="Abadi" w:hAnsi="Abadi" w:cs="*Arial-5879-Identity-H"/>
          <w:color w:val="14131B"/>
          <w:sz w:val="21"/>
          <w:szCs w:val="21"/>
        </w:rPr>
      </w:pPr>
    </w:p>
    <w:p w14:paraId="7D77C2F5" w14:textId="77777777" w:rsidR="00600B0C" w:rsidRDefault="00600B0C" w:rsidP="00600B0C">
      <w:pPr>
        <w:autoSpaceDE w:val="0"/>
        <w:autoSpaceDN w:val="0"/>
        <w:adjustRightInd w:val="0"/>
        <w:ind w:firstLine="708"/>
        <w:jc w:val="both"/>
        <w:rPr>
          <w:rFonts w:ascii="Abadi" w:hAnsi="Abadi" w:cs="*Arial-5410-Identity-H"/>
          <w:color w:val="14131B"/>
          <w:sz w:val="21"/>
          <w:szCs w:val="21"/>
        </w:rPr>
      </w:pPr>
      <w:r w:rsidRPr="00F64AE8">
        <w:rPr>
          <w:rFonts w:ascii="Abadi" w:hAnsi="Abadi" w:cs="*Arial-5410-Identity-H"/>
          <w:color w:val="14131B"/>
          <w:sz w:val="21"/>
          <w:szCs w:val="21"/>
        </w:rPr>
        <w:t>En tal sentido se priorizó el enfoque de derechos humanos, velando por la</w:t>
      </w:r>
      <w:r>
        <w:rPr>
          <w:rFonts w:ascii="Abadi" w:hAnsi="Abadi" w:cs="*Arial-5410-Identity-H"/>
          <w:color w:val="14131B"/>
          <w:sz w:val="21"/>
          <w:szCs w:val="21"/>
        </w:rPr>
        <w:t xml:space="preserve"> </w:t>
      </w:r>
      <w:r w:rsidRPr="00F64AE8">
        <w:rPr>
          <w:rFonts w:ascii="Abadi" w:hAnsi="Abadi" w:cs="*Arial-5410-Identity-H"/>
          <w:color w:val="14131B"/>
          <w:sz w:val="21"/>
          <w:szCs w:val="21"/>
        </w:rPr>
        <w:t>protección del derecho humano a la salud, respetando las limitaciones y</w:t>
      </w:r>
      <w:r>
        <w:rPr>
          <w:rFonts w:ascii="Abadi" w:hAnsi="Abadi" w:cs="*Arial-5410-Identity-H"/>
          <w:color w:val="14131B"/>
          <w:sz w:val="21"/>
          <w:szCs w:val="21"/>
        </w:rPr>
        <w:t xml:space="preserve"> </w:t>
      </w:r>
      <w:r w:rsidRPr="00F64AE8">
        <w:rPr>
          <w:rFonts w:ascii="Abadi" w:hAnsi="Abadi" w:cs="*Arial-5410-Identity-H"/>
          <w:color w:val="14131B"/>
          <w:sz w:val="21"/>
          <w:szCs w:val="21"/>
        </w:rPr>
        <w:t>restricciones a los derechos humanos establecidas en la propia Constitución.</w:t>
      </w:r>
      <w:r>
        <w:rPr>
          <w:rFonts w:ascii="Abadi" w:hAnsi="Abadi" w:cs="*Arial-5410-Identity-H"/>
          <w:color w:val="14131B"/>
          <w:sz w:val="21"/>
          <w:szCs w:val="21"/>
        </w:rPr>
        <w:t xml:space="preserve"> </w:t>
      </w:r>
    </w:p>
    <w:p w14:paraId="767F3B05" w14:textId="77777777" w:rsidR="00600B0C" w:rsidRDefault="00600B0C" w:rsidP="00600B0C">
      <w:pPr>
        <w:autoSpaceDE w:val="0"/>
        <w:autoSpaceDN w:val="0"/>
        <w:adjustRightInd w:val="0"/>
        <w:jc w:val="both"/>
        <w:rPr>
          <w:rFonts w:ascii="Abadi" w:hAnsi="Abadi" w:cs="*Arial-5410-Identity-H"/>
          <w:color w:val="14131B"/>
          <w:sz w:val="21"/>
          <w:szCs w:val="21"/>
        </w:rPr>
      </w:pPr>
    </w:p>
    <w:p w14:paraId="0A081F23" w14:textId="77777777" w:rsidR="00600B0C" w:rsidRDefault="00600B0C" w:rsidP="00600B0C">
      <w:pPr>
        <w:autoSpaceDE w:val="0"/>
        <w:autoSpaceDN w:val="0"/>
        <w:adjustRightInd w:val="0"/>
        <w:jc w:val="both"/>
        <w:rPr>
          <w:rFonts w:ascii="Abadi" w:hAnsi="Abadi" w:cs="*Arial-Bold-5411-Identity-H"/>
          <w:b/>
          <w:bCs/>
          <w:color w:val="14131E"/>
          <w:sz w:val="21"/>
          <w:szCs w:val="21"/>
        </w:rPr>
      </w:pPr>
    </w:p>
    <w:p w14:paraId="749F3FFA" w14:textId="77777777" w:rsidR="00600B0C" w:rsidRDefault="00600B0C" w:rsidP="00600B0C">
      <w:pPr>
        <w:autoSpaceDE w:val="0"/>
        <w:autoSpaceDN w:val="0"/>
        <w:adjustRightInd w:val="0"/>
        <w:ind w:firstLine="708"/>
        <w:jc w:val="both"/>
        <w:rPr>
          <w:rFonts w:ascii="Abadi" w:hAnsi="Abadi" w:cs="*Arial-Bold-5411-Identity-H"/>
          <w:b/>
          <w:bCs/>
          <w:color w:val="14131E"/>
          <w:sz w:val="21"/>
          <w:szCs w:val="21"/>
        </w:rPr>
      </w:pPr>
      <w:r w:rsidRPr="00F64AE8">
        <w:rPr>
          <w:rFonts w:ascii="Abadi" w:hAnsi="Abadi" w:cs="*Arial-Bold-5411-Identity-H"/>
          <w:b/>
          <w:bCs/>
          <w:color w:val="14131E"/>
          <w:sz w:val="21"/>
          <w:szCs w:val="21"/>
        </w:rPr>
        <w:t>c) Resumen de las recomendaciones.</w:t>
      </w:r>
    </w:p>
    <w:p w14:paraId="1C6657DA" w14:textId="77777777" w:rsidR="00600B0C" w:rsidRPr="00F64AE8" w:rsidRDefault="00600B0C" w:rsidP="00600B0C">
      <w:pPr>
        <w:autoSpaceDE w:val="0"/>
        <w:autoSpaceDN w:val="0"/>
        <w:adjustRightInd w:val="0"/>
        <w:jc w:val="both"/>
        <w:rPr>
          <w:rFonts w:ascii="Abadi" w:hAnsi="Abadi" w:cs="*Arial-Bold-5411-Identity-H"/>
          <w:b/>
          <w:bCs/>
          <w:color w:val="14131E"/>
          <w:sz w:val="21"/>
          <w:szCs w:val="21"/>
        </w:rPr>
      </w:pPr>
    </w:p>
    <w:p w14:paraId="1D450DC1" w14:textId="77777777" w:rsidR="00600B0C" w:rsidRPr="00F64AE8" w:rsidRDefault="00600B0C" w:rsidP="00600B0C">
      <w:pPr>
        <w:autoSpaceDE w:val="0"/>
        <w:autoSpaceDN w:val="0"/>
        <w:adjustRightInd w:val="0"/>
        <w:ind w:firstLine="708"/>
        <w:jc w:val="both"/>
        <w:rPr>
          <w:rFonts w:ascii="Abadi" w:hAnsi="Abadi" w:cs="*Arial-5410-Identity-H"/>
          <w:color w:val="14131C"/>
          <w:sz w:val="21"/>
          <w:szCs w:val="21"/>
        </w:rPr>
      </w:pPr>
      <w:r w:rsidRPr="00F64AE8">
        <w:rPr>
          <w:rFonts w:ascii="Abadi" w:hAnsi="Abadi" w:cs="*Arial-5410-Identity-H"/>
          <w:color w:val="14131C"/>
          <w:sz w:val="21"/>
          <w:szCs w:val="21"/>
        </w:rPr>
        <w:t>En este punto se establece un resumen exclusivamente de los resultados</w:t>
      </w:r>
      <w:r>
        <w:rPr>
          <w:rFonts w:ascii="Abadi" w:hAnsi="Abadi" w:cs="*Arial-5410-Identity-H"/>
          <w:color w:val="14131C"/>
          <w:sz w:val="21"/>
          <w:szCs w:val="21"/>
        </w:rPr>
        <w:t xml:space="preserve"> </w:t>
      </w:r>
      <w:r w:rsidRPr="00F64AE8">
        <w:rPr>
          <w:rFonts w:ascii="Abadi" w:hAnsi="Abadi" w:cs="*Arial-5410-Identity-H"/>
          <w:color w:val="14131C"/>
          <w:sz w:val="21"/>
          <w:szCs w:val="21"/>
        </w:rPr>
        <w:t>que generaron recomendación producto de un área de oportunidad o mejora</w:t>
      </w:r>
      <w:r>
        <w:rPr>
          <w:rFonts w:ascii="Abadi" w:hAnsi="Abadi" w:cs="*Arial-5410-Identity-H"/>
          <w:color w:val="14131C"/>
          <w:sz w:val="21"/>
          <w:szCs w:val="21"/>
        </w:rPr>
        <w:t xml:space="preserve"> </w:t>
      </w:r>
      <w:r w:rsidRPr="00F64AE8">
        <w:rPr>
          <w:rFonts w:ascii="Abadi" w:hAnsi="Abadi" w:cs="*Arial-5410-Identity-H"/>
          <w:color w:val="14131C"/>
          <w:sz w:val="21"/>
          <w:szCs w:val="21"/>
        </w:rPr>
        <w:t>sugerida por el Órgano Técnico, mismos se clasifican agrupados bajo su</w:t>
      </w:r>
      <w:r>
        <w:rPr>
          <w:rFonts w:ascii="Abadi" w:hAnsi="Abadi" w:cs="*Arial-5410-Identity-H"/>
          <w:color w:val="14131C"/>
          <w:sz w:val="21"/>
          <w:szCs w:val="21"/>
        </w:rPr>
        <w:t xml:space="preserve"> </w:t>
      </w:r>
      <w:r w:rsidRPr="00F64AE8">
        <w:rPr>
          <w:rFonts w:ascii="Abadi" w:hAnsi="Abadi" w:cs="*Arial-5410-Identity-H"/>
          <w:color w:val="14131C"/>
          <w:sz w:val="21"/>
          <w:szCs w:val="21"/>
        </w:rPr>
        <w:t>respectiva vertiente, con su síntesis de la valoración efectuada, precisando que del</w:t>
      </w:r>
      <w:r>
        <w:rPr>
          <w:rFonts w:ascii="Abadi" w:hAnsi="Abadi" w:cs="*Arial-5410-Identity-H"/>
          <w:color w:val="14131C"/>
          <w:sz w:val="21"/>
          <w:szCs w:val="21"/>
        </w:rPr>
        <w:t xml:space="preserve"> </w:t>
      </w:r>
      <w:r w:rsidRPr="00F64AE8">
        <w:rPr>
          <w:rFonts w:ascii="Abadi" w:hAnsi="Abadi" w:cs="*Arial-5410-Identity-H"/>
          <w:color w:val="14131C"/>
          <w:sz w:val="21"/>
          <w:szCs w:val="21"/>
        </w:rPr>
        <w:t>análisis a la respuesta del pliego de recomendaciones se desprende que el sujeto</w:t>
      </w:r>
      <w:r>
        <w:rPr>
          <w:rFonts w:ascii="Abadi" w:hAnsi="Abadi" w:cs="*Arial-5410-Identity-H"/>
          <w:color w:val="14131C"/>
          <w:sz w:val="21"/>
          <w:szCs w:val="21"/>
        </w:rPr>
        <w:t xml:space="preserve"> </w:t>
      </w:r>
      <w:r w:rsidRPr="00F64AE8">
        <w:rPr>
          <w:rFonts w:ascii="Abadi" w:hAnsi="Abadi" w:cs="*Arial-5410-Identity-H"/>
          <w:color w:val="14131C"/>
          <w:sz w:val="21"/>
          <w:szCs w:val="21"/>
        </w:rPr>
        <w:t>fiscalizado en 3 recomendaciones realizó las acciones suficientes para su atención</w:t>
      </w:r>
      <w:r>
        <w:rPr>
          <w:rFonts w:ascii="Abadi" w:hAnsi="Abadi" w:cs="*Arial-5410-Identity-H"/>
          <w:color w:val="14131C"/>
          <w:sz w:val="21"/>
          <w:szCs w:val="21"/>
        </w:rPr>
        <w:t xml:space="preserve"> </w:t>
      </w:r>
      <w:r w:rsidRPr="00F64AE8">
        <w:rPr>
          <w:rFonts w:ascii="Abadi" w:hAnsi="Abadi" w:cs="*Arial-5410-Identity-H"/>
          <w:color w:val="14131C"/>
          <w:sz w:val="21"/>
          <w:szCs w:val="21"/>
        </w:rPr>
        <w:t>y en 4 se comprometió a realizar acciones en un plazo futuro para su atención. A</w:t>
      </w:r>
      <w:r>
        <w:rPr>
          <w:rFonts w:ascii="Abadi" w:hAnsi="Abadi" w:cs="*Arial-5410-Identity-H"/>
          <w:color w:val="14131C"/>
          <w:sz w:val="21"/>
          <w:szCs w:val="21"/>
        </w:rPr>
        <w:t xml:space="preserve"> </w:t>
      </w:r>
      <w:r w:rsidRPr="00F64AE8">
        <w:rPr>
          <w:rFonts w:ascii="Abadi" w:hAnsi="Abadi" w:cs="*Arial-5410-Identity-H"/>
          <w:color w:val="14131C"/>
          <w:sz w:val="21"/>
          <w:szCs w:val="21"/>
        </w:rPr>
        <w:t>dichas recomendaciones dará seguimiento el Órgano Técnico en la etapa</w:t>
      </w:r>
      <w:r>
        <w:rPr>
          <w:rFonts w:ascii="Abadi" w:hAnsi="Abadi" w:cs="*Arial-5410-Identity-H"/>
          <w:color w:val="14131C"/>
          <w:sz w:val="21"/>
          <w:szCs w:val="21"/>
        </w:rPr>
        <w:t xml:space="preserve"> </w:t>
      </w:r>
      <w:r w:rsidRPr="00F64AE8">
        <w:rPr>
          <w:rFonts w:ascii="Abadi" w:hAnsi="Abadi" w:cs="*Arial-5410-Identity-H"/>
          <w:color w:val="14131C"/>
          <w:sz w:val="21"/>
          <w:szCs w:val="21"/>
        </w:rPr>
        <w:t>correspondiente, de conformidad con el ordenamiento legal respectivo.</w:t>
      </w:r>
    </w:p>
    <w:p w14:paraId="7D2D6A7E" w14:textId="77777777" w:rsidR="00600B0C" w:rsidRDefault="00600B0C" w:rsidP="00600B0C">
      <w:pPr>
        <w:autoSpaceDE w:val="0"/>
        <w:autoSpaceDN w:val="0"/>
        <w:adjustRightInd w:val="0"/>
        <w:jc w:val="both"/>
        <w:rPr>
          <w:rFonts w:ascii="Abadi" w:hAnsi="Abadi" w:cs="*Arial-Bold-5411-Identity-H"/>
          <w:b/>
          <w:bCs/>
          <w:color w:val="14131E"/>
          <w:sz w:val="21"/>
          <w:szCs w:val="21"/>
        </w:rPr>
      </w:pPr>
    </w:p>
    <w:p w14:paraId="525B6B9E" w14:textId="77777777" w:rsidR="00600B0C" w:rsidRDefault="00600B0C" w:rsidP="00600B0C">
      <w:pPr>
        <w:autoSpaceDE w:val="0"/>
        <w:autoSpaceDN w:val="0"/>
        <w:adjustRightInd w:val="0"/>
        <w:ind w:firstLine="708"/>
        <w:jc w:val="both"/>
        <w:rPr>
          <w:rFonts w:ascii="Abadi" w:hAnsi="Abadi" w:cs="*Arial-Bold-5411-Identity-H"/>
          <w:b/>
          <w:bCs/>
          <w:color w:val="14131E"/>
          <w:sz w:val="21"/>
          <w:szCs w:val="21"/>
        </w:rPr>
      </w:pPr>
      <w:r w:rsidRPr="00F64AE8">
        <w:rPr>
          <w:rFonts w:ascii="Abadi" w:hAnsi="Abadi" w:cs="*Arial-Bold-5411-Identity-H"/>
          <w:b/>
          <w:bCs/>
          <w:color w:val="14131E"/>
          <w:sz w:val="21"/>
          <w:szCs w:val="21"/>
        </w:rPr>
        <w:t>d) Conclusión General.</w:t>
      </w:r>
    </w:p>
    <w:p w14:paraId="183C7261" w14:textId="77777777" w:rsidR="00600B0C" w:rsidRPr="00F64AE8" w:rsidRDefault="00600B0C" w:rsidP="00600B0C">
      <w:pPr>
        <w:autoSpaceDE w:val="0"/>
        <w:autoSpaceDN w:val="0"/>
        <w:adjustRightInd w:val="0"/>
        <w:jc w:val="both"/>
        <w:rPr>
          <w:rFonts w:ascii="Abadi" w:hAnsi="Abadi" w:cs="*Arial-Bold-5411-Identity-H"/>
          <w:b/>
          <w:bCs/>
          <w:color w:val="14131E"/>
          <w:sz w:val="21"/>
          <w:szCs w:val="21"/>
        </w:rPr>
      </w:pPr>
    </w:p>
    <w:p w14:paraId="61FCAEE1" w14:textId="77777777" w:rsidR="00600B0C" w:rsidRDefault="00600B0C" w:rsidP="00600B0C">
      <w:pPr>
        <w:autoSpaceDE w:val="0"/>
        <w:autoSpaceDN w:val="0"/>
        <w:adjustRightInd w:val="0"/>
        <w:ind w:firstLine="708"/>
        <w:jc w:val="both"/>
        <w:rPr>
          <w:rFonts w:ascii="Abadi" w:hAnsi="Abadi" w:cs="*Arial-5410-Identity-H"/>
          <w:color w:val="14131A"/>
          <w:sz w:val="21"/>
          <w:szCs w:val="21"/>
        </w:rPr>
      </w:pPr>
      <w:r w:rsidRPr="00F64AE8">
        <w:rPr>
          <w:rFonts w:ascii="Abadi" w:hAnsi="Abadi" w:cs="*Arial-5410-Identity-H"/>
          <w:color w:val="14131A"/>
          <w:sz w:val="21"/>
          <w:szCs w:val="21"/>
        </w:rPr>
        <w:t>La Auditoría Superior del Estado concluyó que los serv1c1os públicos se</w:t>
      </w:r>
      <w:r>
        <w:rPr>
          <w:rFonts w:ascii="Abadi" w:hAnsi="Abadi" w:cs="*Arial-5410-Identity-H"/>
          <w:color w:val="14131A"/>
          <w:sz w:val="21"/>
          <w:szCs w:val="21"/>
        </w:rPr>
        <w:t xml:space="preserve"> </w:t>
      </w:r>
      <w:r w:rsidRPr="00F64AE8">
        <w:rPr>
          <w:rFonts w:ascii="Abadi" w:hAnsi="Abadi" w:cs="*Arial-5410-Identity-H"/>
          <w:color w:val="14131A"/>
          <w:sz w:val="21"/>
          <w:szCs w:val="21"/>
        </w:rPr>
        <w:t>pueden entender como toda prestación concreta q</w:t>
      </w:r>
      <w:r>
        <w:rPr>
          <w:rFonts w:ascii="Abadi" w:hAnsi="Abadi" w:cs="*Arial-5410-Identity-H"/>
          <w:color w:val="14131A"/>
          <w:sz w:val="21"/>
          <w:szCs w:val="21"/>
        </w:rPr>
        <w:t>u</w:t>
      </w:r>
      <w:r w:rsidRPr="00F64AE8">
        <w:rPr>
          <w:rFonts w:ascii="Abadi" w:hAnsi="Abadi" w:cs="*Arial-5410-Identity-H"/>
          <w:color w:val="14131A"/>
          <w:sz w:val="21"/>
          <w:szCs w:val="21"/>
        </w:rPr>
        <w:t>e tienda a satisfacer, de</w:t>
      </w:r>
      <w:r>
        <w:rPr>
          <w:rFonts w:ascii="Abadi" w:hAnsi="Abadi" w:cs="*Arial-5410-Identity-H"/>
          <w:color w:val="14131A"/>
          <w:sz w:val="21"/>
          <w:szCs w:val="21"/>
        </w:rPr>
        <w:t xml:space="preserve"> </w:t>
      </w:r>
      <w:r w:rsidRPr="00F64AE8">
        <w:rPr>
          <w:rFonts w:ascii="Abadi" w:hAnsi="Abadi" w:cs="*Arial-5410-Identity-H"/>
          <w:color w:val="14131A"/>
          <w:sz w:val="21"/>
          <w:szCs w:val="21"/>
        </w:rPr>
        <w:t>manera regular, continua y uniforme, las necesidades sociales de carácter</w:t>
      </w:r>
      <w:r>
        <w:rPr>
          <w:rFonts w:ascii="Abadi" w:hAnsi="Abadi" w:cs="*Arial-5410-Identity-H"/>
          <w:color w:val="14131A"/>
          <w:sz w:val="21"/>
          <w:szCs w:val="21"/>
        </w:rPr>
        <w:t xml:space="preserve"> </w:t>
      </w:r>
      <w:r w:rsidRPr="00F64AE8">
        <w:rPr>
          <w:rFonts w:ascii="Abadi" w:hAnsi="Abadi" w:cs="*Arial-5410-Identity-H"/>
          <w:color w:val="14131A"/>
          <w:sz w:val="21"/>
          <w:szCs w:val="21"/>
        </w:rPr>
        <w:t>general, básico o fundamental, en beneficio indiscriminado de toda la ciudadanía.</w:t>
      </w:r>
      <w:r>
        <w:rPr>
          <w:rFonts w:ascii="Abadi" w:hAnsi="Abadi" w:cs="*Arial-5410-Identity-H"/>
          <w:color w:val="14131A"/>
          <w:sz w:val="21"/>
          <w:szCs w:val="21"/>
        </w:rPr>
        <w:t xml:space="preserve"> </w:t>
      </w:r>
    </w:p>
    <w:p w14:paraId="35CDDE0F" w14:textId="77777777" w:rsidR="00600B0C" w:rsidRDefault="00600B0C" w:rsidP="00600B0C">
      <w:pPr>
        <w:autoSpaceDE w:val="0"/>
        <w:autoSpaceDN w:val="0"/>
        <w:adjustRightInd w:val="0"/>
        <w:jc w:val="both"/>
        <w:rPr>
          <w:rFonts w:ascii="Abadi" w:hAnsi="Abadi" w:cs="*Arial-5410-Identity-H"/>
          <w:color w:val="14131A"/>
          <w:sz w:val="21"/>
          <w:szCs w:val="21"/>
        </w:rPr>
      </w:pPr>
    </w:p>
    <w:p w14:paraId="35CCA3A4" w14:textId="77777777" w:rsidR="00600B0C" w:rsidRDefault="00600B0C" w:rsidP="00600B0C">
      <w:pPr>
        <w:autoSpaceDE w:val="0"/>
        <w:autoSpaceDN w:val="0"/>
        <w:adjustRightInd w:val="0"/>
        <w:ind w:firstLine="708"/>
        <w:jc w:val="both"/>
        <w:rPr>
          <w:rFonts w:ascii="Abadi" w:hAnsi="Abadi" w:cs="*Arial-5410-Identity-H"/>
          <w:color w:val="14131A"/>
          <w:sz w:val="21"/>
          <w:szCs w:val="21"/>
        </w:rPr>
      </w:pPr>
      <w:r w:rsidRPr="00F64AE8">
        <w:rPr>
          <w:rFonts w:ascii="Abadi" w:hAnsi="Abadi" w:cs="*Arial-5410-Identity-H"/>
          <w:color w:val="14131A"/>
          <w:sz w:val="21"/>
          <w:szCs w:val="21"/>
        </w:rPr>
        <w:t>De su adecuada prestación depende, en cierta medida, la calidad de vida de las</w:t>
      </w:r>
      <w:r>
        <w:rPr>
          <w:rFonts w:ascii="Abadi" w:hAnsi="Abadi" w:cs="*Arial-5410-Identity-H"/>
          <w:color w:val="14131A"/>
          <w:sz w:val="21"/>
          <w:szCs w:val="21"/>
        </w:rPr>
        <w:t xml:space="preserve"> </w:t>
      </w:r>
      <w:r w:rsidRPr="00F64AE8">
        <w:rPr>
          <w:rFonts w:ascii="Abadi" w:hAnsi="Abadi" w:cs="*Arial-5410-Identity-H"/>
          <w:color w:val="14131A"/>
          <w:sz w:val="21"/>
          <w:szCs w:val="21"/>
        </w:rPr>
        <w:t>personas.</w:t>
      </w:r>
    </w:p>
    <w:p w14:paraId="06AE9B48" w14:textId="77777777" w:rsidR="00600B0C" w:rsidRPr="00F64AE8" w:rsidRDefault="00600B0C" w:rsidP="00600B0C">
      <w:pPr>
        <w:autoSpaceDE w:val="0"/>
        <w:autoSpaceDN w:val="0"/>
        <w:adjustRightInd w:val="0"/>
        <w:jc w:val="both"/>
        <w:rPr>
          <w:rFonts w:ascii="Abadi" w:hAnsi="Abadi" w:cs="*Arial-5410-Identity-H"/>
          <w:color w:val="14131A"/>
          <w:sz w:val="21"/>
          <w:szCs w:val="21"/>
        </w:rPr>
      </w:pPr>
      <w:r>
        <w:rPr>
          <w:rFonts w:ascii="Abadi" w:hAnsi="Abadi" w:cs="*Arial-5410-Identity-H"/>
          <w:color w:val="14131A"/>
          <w:sz w:val="21"/>
          <w:szCs w:val="21"/>
        </w:rPr>
        <w:tab/>
      </w:r>
    </w:p>
    <w:p w14:paraId="7387BE51" w14:textId="77777777" w:rsidR="00600B0C" w:rsidRPr="00F64AE8" w:rsidRDefault="00600B0C" w:rsidP="00600B0C">
      <w:pPr>
        <w:autoSpaceDE w:val="0"/>
        <w:autoSpaceDN w:val="0"/>
        <w:adjustRightInd w:val="0"/>
        <w:ind w:firstLine="708"/>
        <w:jc w:val="both"/>
        <w:rPr>
          <w:rFonts w:ascii="Abadi" w:hAnsi="Abadi" w:cs="*Arial-5410-Identity-H"/>
          <w:color w:val="14131C"/>
          <w:sz w:val="21"/>
          <w:szCs w:val="21"/>
        </w:rPr>
      </w:pPr>
      <w:r w:rsidRPr="00F64AE8">
        <w:rPr>
          <w:rFonts w:ascii="Abadi" w:hAnsi="Abadi" w:cs="*Arial-5410-Identity-H"/>
          <w:color w:val="14131C"/>
          <w:sz w:val="21"/>
          <w:szCs w:val="21"/>
        </w:rPr>
        <w:t xml:space="preserve">De igual forma, se refiere que el artículo 115, fracción </w:t>
      </w:r>
      <w:r>
        <w:rPr>
          <w:rFonts w:ascii="Abadi" w:hAnsi="Abadi" w:cs="*Arial-5410-Identity-H"/>
          <w:color w:val="14131C"/>
          <w:sz w:val="21"/>
          <w:szCs w:val="21"/>
        </w:rPr>
        <w:t>III</w:t>
      </w:r>
      <w:r w:rsidRPr="00F64AE8">
        <w:rPr>
          <w:rFonts w:ascii="Abadi" w:hAnsi="Abadi" w:cs="*Arial-5410-Identity-H"/>
          <w:color w:val="14131C"/>
          <w:sz w:val="21"/>
          <w:szCs w:val="21"/>
        </w:rPr>
        <w:t>, inciso b, de la</w:t>
      </w:r>
      <w:r>
        <w:rPr>
          <w:rFonts w:ascii="Abadi" w:hAnsi="Abadi" w:cs="*Arial-5410-Identity-H"/>
          <w:color w:val="14131C"/>
          <w:sz w:val="21"/>
          <w:szCs w:val="21"/>
        </w:rPr>
        <w:t xml:space="preserve"> </w:t>
      </w:r>
      <w:r w:rsidRPr="00F64AE8">
        <w:rPr>
          <w:rFonts w:ascii="Abadi" w:hAnsi="Abadi" w:cs="*Arial-5410-Identity-H"/>
          <w:color w:val="14131C"/>
          <w:sz w:val="21"/>
          <w:szCs w:val="21"/>
        </w:rPr>
        <w:t>Constitución Política de los Estados Unidos Mexicanos establece al alumbrado</w:t>
      </w:r>
      <w:r>
        <w:rPr>
          <w:rFonts w:ascii="Abadi" w:hAnsi="Abadi" w:cs="*Arial-5410-Identity-H"/>
          <w:color w:val="14131C"/>
          <w:sz w:val="21"/>
          <w:szCs w:val="21"/>
        </w:rPr>
        <w:t xml:space="preserve"> </w:t>
      </w:r>
      <w:r w:rsidRPr="00F64AE8">
        <w:rPr>
          <w:rFonts w:ascii="Abadi" w:hAnsi="Abadi" w:cs="*Arial-5410-Identity-H"/>
          <w:color w:val="14131C"/>
          <w:sz w:val="21"/>
          <w:szCs w:val="21"/>
        </w:rPr>
        <w:t>público como uno de los servicios públicos que los municipios tienen a su cargo.</w:t>
      </w:r>
      <w:r>
        <w:rPr>
          <w:rFonts w:ascii="Abadi" w:hAnsi="Abadi" w:cs="*Arial-5410-Identity-H"/>
          <w:color w:val="14131C"/>
          <w:sz w:val="21"/>
          <w:szCs w:val="21"/>
        </w:rPr>
        <w:t xml:space="preserve"> </w:t>
      </w:r>
      <w:r w:rsidRPr="00F64AE8">
        <w:rPr>
          <w:rFonts w:ascii="Abadi" w:hAnsi="Abadi" w:cs="*Arial-5410-Identity-H"/>
          <w:color w:val="14131C"/>
          <w:sz w:val="21"/>
          <w:szCs w:val="21"/>
        </w:rPr>
        <w:t>Por su parte, a nivel local, en el artículo 117 de la Constitución Política para el</w:t>
      </w:r>
      <w:r>
        <w:rPr>
          <w:rFonts w:ascii="Abadi" w:hAnsi="Abadi" w:cs="*Arial-5410-Identity-H"/>
          <w:color w:val="14131C"/>
          <w:sz w:val="21"/>
          <w:szCs w:val="21"/>
        </w:rPr>
        <w:t xml:space="preserve"> </w:t>
      </w:r>
      <w:r w:rsidRPr="00F64AE8">
        <w:rPr>
          <w:rFonts w:ascii="Abadi" w:hAnsi="Abadi" w:cs="*Arial-5410-Identity-H"/>
          <w:color w:val="14131C"/>
          <w:sz w:val="21"/>
          <w:szCs w:val="21"/>
        </w:rPr>
        <w:t>Estado de Guanajuato se dispone la misma responsabilidad para este ámbito de</w:t>
      </w:r>
    </w:p>
    <w:p w14:paraId="399D2D3A" w14:textId="77777777" w:rsidR="00600B0C" w:rsidRDefault="00600B0C" w:rsidP="00600B0C">
      <w:pPr>
        <w:autoSpaceDE w:val="0"/>
        <w:autoSpaceDN w:val="0"/>
        <w:adjustRightInd w:val="0"/>
        <w:jc w:val="both"/>
        <w:rPr>
          <w:rFonts w:ascii="Abadi" w:hAnsi="Abadi" w:cs="*Arial-5410-Identity-H"/>
          <w:color w:val="14131C"/>
          <w:sz w:val="21"/>
          <w:szCs w:val="21"/>
        </w:rPr>
      </w:pPr>
      <w:r w:rsidRPr="00F64AE8">
        <w:rPr>
          <w:rFonts w:ascii="Abadi" w:hAnsi="Abadi" w:cs="*Arial-5410-Identity-H"/>
          <w:color w:val="14131C"/>
          <w:sz w:val="21"/>
          <w:szCs w:val="21"/>
        </w:rPr>
        <w:t>gobierno.</w:t>
      </w:r>
    </w:p>
    <w:p w14:paraId="5DDCD107" w14:textId="77777777" w:rsidR="00600B0C" w:rsidRPr="00F64AE8" w:rsidRDefault="00600B0C" w:rsidP="00600B0C">
      <w:pPr>
        <w:autoSpaceDE w:val="0"/>
        <w:autoSpaceDN w:val="0"/>
        <w:adjustRightInd w:val="0"/>
        <w:jc w:val="both"/>
        <w:rPr>
          <w:rFonts w:ascii="Abadi" w:hAnsi="Abadi" w:cs="*Arial-5410-Identity-H"/>
          <w:color w:val="14131C"/>
          <w:sz w:val="21"/>
          <w:szCs w:val="21"/>
        </w:rPr>
      </w:pPr>
    </w:p>
    <w:p w14:paraId="7B4BD3E7" w14:textId="77777777" w:rsidR="00600B0C" w:rsidRPr="00F64AE8" w:rsidRDefault="00600B0C" w:rsidP="00600B0C">
      <w:pPr>
        <w:autoSpaceDE w:val="0"/>
        <w:autoSpaceDN w:val="0"/>
        <w:adjustRightInd w:val="0"/>
        <w:ind w:firstLine="708"/>
        <w:jc w:val="both"/>
        <w:rPr>
          <w:rFonts w:ascii="Abadi" w:hAnsi="Abadi" w:cs="*Arial-5410-Identity-H"/>
          <w:color w:val="14131B"/>
          <w:sz w:val="21"/>
          <w:szCs w:val="21"/>
        </w:rPr>
      </w:pPr>
      <w:r w:rsidRPr="00F64AE8">
        <w:rPr>
          <w:rFonts w:ascii="Abadi" w:hAnsi="Abadi" w:cs="*Arial-5410-Identity-H"/>
          <w:color w:val="14131B"/>
          <w:sz w:val="21"/>
          <w:szCs w:val="21"/>
        </w:rPr>
        <w:t>En este sentido, el alumbrado público es un serv</w:t>
      </w:r>
      <w:r>
        <w:rPr>
          <w:rFonts w:ascii="Abadi" w:hAnsi="Abadi" w:cs="*Arial-5410-Identity-H"/>
          <w:color w:val="14131B"/>
          <w:sz w:val="21"/>
          <w:szCs w:val="21"/>
        </w:rPr>
        <w:t>icio</w:t>
      </w:r>
      <w:r w:rsidRPr="00F64AE8">
        <w:rPr>
          <w:rFonts w:ascii="Abadi" w:hAnsi="Abadi" w:cs="*Arial-5410-Identity-H"/>
          <w:color w:val="14131B"/>
          <w:sz w:val="21"/>
          <w:szCs w:val="21"/>
        </w:rPr>
        <w:t xml:space="preserve"> que tiene como</w:t>
      </w:r>
      <w:r>
        <w:rPr>
          <w:rFonts w:ascii="Abadi" w:hAnsi="Abadi" w:cs="*Arial-5410-Identity-H"/>
          <w:color w:val="14131B"/>
          <w:sz w:val="21"/>
          <w:szCs w:val="21"/>
        </w:rPr>
        <w:t xml:space="preserve"> </w:t>
      </w:r>
      <w:r w:rsidRPr="00F64AE8">
        <w:rPr>
          <w:rFonts w:ascii="Abadi" w:hAnsi="Abadi" w:cs="*Arial-5410-Identity-H"/>
          <w:color w:val="14131B"/>
          <w:sz w:val="21"/>
          <w:szCs w:val="21"/>
        </w:rPr>
        <w:t>objetivo el desarrollo de un entorno cómodo y seguro para facilitar la movilidad de</w:t>
      </w:r>
      <w:r>
        <w:rPr>
          <w:rFonts w:ascii="Abadi" w:hAnsi="Abadi" w:cs="*Arial-5410-Identity-H"/>
          <w:color w:val="14131B"/>
          <w:sz w:val="21"/>
          <w:szCs w:val="21"/>
        </w:rPr>
        <w:t xml:space="preserve"> </w:t>
      </w:r>
      <w:r w:rsidRPr="00F64AE8">
        <w:rPr>
          <w:rFonts w:ascii="Abadi" w:hAnsi="Abadi" w:cs="*Arial-5410-Identity-H"/>
          <w:color w:val="14131B"/>
          <w:sz w:val="21"/>
          <w:szCs w:val="21"/>
        </w:rPr>
        <w:t>la población, el disfrute de, la ciudad, del patrimonio cultural y de los espacios</w:t>
      </w:r>
      <w:r>
        <w:rPr>
          <w:rFonts w:ascii="Abadi" w:hAnsi="Abadi" w:cs="*Arial-5410-Identity-H"/>
          <w:color w:val="14131B"/>
          <w:sz w:val="21"/>
          <w:szCs w:val="21"/>
        </w:rPr>
        <w:t xml:space="preserve"> </w:t>
      </w:r>
      <w:r w:rsidRPr="00F64AE8">
        <w:rPr>
          <w:rFonts w:ascii="Abadi" w:hAnsi="Abadi" w:cs="*Arial-5410-Identity-H"/>
          <w:color w:val="14131B"/>
          <w:sz w:val="21"/>
          <w:szCs w:val="21"/>
        </w:rPr>
        <w:t>públicos; a su vez, mantiene una estrecha relación con la creación de condiciones</w:t>
      </w:r>
      <w:r>
        <w:rPr>
          <w:rFonts w:ascii="Abadi" w:hAnsi="Abadi" w:cs="*Arial-5410-Identity-H"/>
          <w:color w:val="14131B"/>
          <w:sz w:val="21"/>
          <w:szCs w:val="21"/>
        </w:rPr>
        <w:t xml:space="preserve"> </w:t>
      </w:r>
      <w:r w:rsidRPr="00F64AE8">
        <w:rPr>
          <w:rFonts w:ascii="Abadi" w:hAnsi="Abadi" w:cs="*Arial-5410-Identity-H"/>
          <w:color w:val="14131B"/>
          <w:sz w:val="21"/>
          <w:szCs w:val="21"/>
        </w:rPr>
        <w:t>de seguridad en la vida cotidiana de la población, esto último por considerase un</w:t>
      </w:r>
      <w:r>
        <w:rPr>
          <w:rFonts w:ascii="Abadi" w:hAnsi="Abadi" w:cs="*Arial-5410-Identity-H"/>
          <w:color w:val="14131B"/>
          <w:sz w:val="21"/>
          <w:szCs w:val="21"/>
        </w:rPr>
        <w:t xml:space="preserve"> </w:t>
      </w:r>
      <w:r w:rsidRPr="00F64AE8">
        <w:rPr>
          <w:rFonts w:ascii="Abadi" w:hAnsi="Abadi" w:cs="*Arial-5410-Identity-H"/>
          <w:color w:val="14131B"/>
          <w:sz w:val="21"/>
          <w:szCs w:val="21"/>
        </w:rPr>
        <w:t>factor que contribuye a reducir la percepción de inseguridad.</w:t>
      </w:r>
    </w:p>
    <w:p w14:paraId="270D475F" w14:textId="77777777" w:rsidR="00600B0C" w:rsidRDefault="00600B0C" w:rsidP="00600B0C">
      <w:pPr>
        <w:autoSpaceDE w:val="0"/>
        <w:autoSpaceDN w:val="0"/>
        <w:adjustRightInd w:val="0"/>
        <w:jc w:val="both"/>
        <w:rPr>
          <w:rFonts w:ascii="Abadi" w:hAnsi="Abadi" w:cs="*Arial-6054-Identity-H"/>
          <w:color w:val="14131C"/>
          <w:sz w:val="21"/>
          <w:szCs w:val="21"/>
        </w:rPr>
      </w:pPr>
    </w:p>
    <w:p w14:paraId="4377C421" w14:textId="77777777" w:rsidR="00600B0C" w:rsidRDefault="00600B0C" w:rsidP="00600B0C">
      <w:pPr>
        <w:autoSpaceDE w:val="0"/>
        <w:autoSpaceDN w:val="0"/>
        <w:adjustRightInd w:val="0"/>
        <w:ind w:firstLine="708"/>
        <w:jc w:val="both"/>
        <w:rPr>
          <w:rFonts w:ascii="Abadi" w:hAnsi="Abadi" w:cs="*Arial-6054-Identity-H"/>
          <w:color w:val="14131C"/>
          <w:sz w:val="21"/>
          <w:szCs w:val="21"/>
        </w:rPr>
      </w:pPr>
      <w:r w:rsidRPr="00F64AE8">
        <w:rPr>
          <w:rFonts w:ascii="Abadi" w:hAnsi="Abadi" w:cs="*Arial-6054-Identity-H"/>
          <w:color w:val="14131C"/>
          <w:sz w:val="21"/>
          <w:szCs w:val="21"/>
        </w:rPr>
        <w:t>Derivado de lo anterior, el adecuado desempeño de los servicios públicos</w:t>
      </w:r>
      <w:r>
        <w:rPr>
          <w:rFonts w:ascii="Abadi" w:hAnsi="Abadi" w:cs="*Arial-6054-Identity-H"/>
          <w:color w:val="14131C"/>
          <w:sz w:val="21"/>
          <w:szCs w:val="21"/>
        </w:rPr>
        <w:t xml:space="preserve"> </w:t>
      </w:r>
      <w:r w:rsidRPr="00F64AE8">
        <w:rPr>
          <w:rFonts w:ascii="Abadi" w:hAnsi="Abadi" w:cs="*Arial-6054-Identity-H"/>
          <w:color w:val="14131C"/>
          <w:sz w:val="21"/>
          <w:szCs w:val="21"/>
        </w:rPr>
        <w:t>incide en la calidad de vida de los habitantes y, por ello, es conveniente que se</w:t>
      </w:r>
      <w:r>
        <w:rPr>
          <w:rFonts w:ascii="Abadi" w:hAnsi="Abadi" w:cs="*Arial-6054-Identity-H"/>
          <w:color w:val="14131C"/>
          <w:sz w:val="21"/>
          <w:szCs w:val="21"/>
        </w:rPr>
        <w:t xml:space="preserve"> </w:t>
      </w:r>
      <w:r w:rsidRPr="00F64AE8">
        <w:rPr>
          <w:rFonts w:ascii="Abadi" w:hAnsi="Abadi" w:cs="*Arial-6054-Identity-H"/>
          <w:color w:val="14131C"/>
          <w:sz w:val="21"/>
          <w:szCs w:val="21"/>
        </w:rPr>
        <w:t>administre bajo modelos de gestión orientados a los resultados que garanticen su</w:t>
      </w:r>
      <w:r>
        <w:rPr>
          <w:rFonts w:ascii="Abadi" w:hAnsi="Abadi" w:cs="*Arial-6054-Identity-H"/>
          <w:color w:val="14131C"/>
          <w:sz w:val="21"/>
          <w:szCs w:val="21"/>
        </w:rPr>
        <w:t xml:space="preserve"> </w:t>
      </w:r>
      <w:r w:rsidRPr="00F64AE8">
        <w:rPr>
          <w:rFonts w:ascii="Abadi" w:hAnsi="Abadi" w:cs="*Arial-6054-Identity-H"/>
          <w:color w:val="14131C"/>
          <w:sz w:val="21"/>
          <w:szCs w:val="21"/>
        </w:rPr>
        <w:t>adecuada operación, permanencia, continuidad, uniformidad e igualdad ante los</w:t>
      </w:r>
      <w:r>
        <w:rPr>
          <w:rFonts w:ascii="Abadi" w:hAnsi="Abadi" w:cs="*Arial-6054-Identity-H"/>
          <w:color w:val="14131C"/>
          <w:sz w:val="21"/>
          <w:szCs w:val="21"/>
        </w:rPr>
        <w:t xml:space="preserve"> </w:t>
      </w:r>
      <w:r w:rsidRPr="00F64AE8">
        <w:rPr>
          <w:rFonts w:ascii="Abadi" w:hAnsi="Abadi" w:cs="*Arial-6054-Identity-H"/>
          <w:color w:val="14131C"/>
          <w:sz w:val="21"/>
          <w:szCs w:val="21"/>
        </w:rPr>
        <w:t>usuarios, asegurando una cobertura integral y una oferta al alcance de la</w:t>
      </w:r>
      <w:r>
        <w:rPr>
          <w:rFonts w:ascii="Abadi" w:hAnsi="Abadi" w:cs="*Arial-6054-Identity-H"/>
          <w:color w:val="14131C"/>
          <w:sz w:val="21"/>
          <w:szCs w:val="21"/>
        </w:rPr>
        <w:t xml:space="preserve"> </w:t>
      </w:r>
      <w:r w:rsidRPr="00F64AE8">
        <w:rPr>
          <w:rFonts w:ascii="Abadi" w:hAnsi="Abadi" w:cs="*Arial-6054-Identity-H"/>
          <w:color w:val="14131C"/>
          <w:sz w:val="21"/>
          <w:szCs w:val="21"/>
        </w:rPr>
        <w:t>población municipal que lo requiera.</w:t>
      </w:r>
    </w:p>
    <w:p w14:paraId="64ABFDCD" w14:textId="77777777" w:rsidR="00600B0C" w:rsidRPr="00F64AE8" w:rsidRDefault="00600B0C" w:rsidP="00600B0C">
      <w:pPr>
        <w:autoSpaceDE w:val="0"/>
        <w:autoSpaceDN w:val="0"/>
        <w:adjustRightInd w:val="0"/>
        <w:jc w:val="both"/>
        <w:rPr>
          <w:rFonts w:ascii="Abadi" w:hAnsi="Abadi" w:cs="*Arial-6054-Identity-H"/>
          <w:color w:val="14131C"/>
          <w:sz w:val="21"/>
          <w:szCs w:val="21"/>
        </w:rPr>
      </w:pPr>
    </w:p>
    <w:p w14:paraId="35349D2E" w14:textId="77777777" w:rsidR="00600B0C" w:rsidRDefault="00600B0C" w:rsidP="00600B0C">
      <w:pPr>
        <w:autoSpaceDE w:val="0"/>
        <w:autoSpaceDN w:val="0"/>
        <w:adjustRightInd w:val="0"/>
        <w:ind w:firstLine="708"/>
        <w:jc w:val="both"/>
        <w:rPr>
          <w:rFonts w:ascii="Abadi" w:hAnsi="Abadi" w:cs="*Arial-6054-Identity-H"/>
          <w:color w:val="15141D"/>
          <w:sz w:val="21"/>
          <w:szCs w:val="21"/>
        </w:rPr>
      </w:pPr>
      <w:r w:rsidRPr="00F64AE8">
        <w:rPr>
          <w:rFonts w:ascii="Abadi" w:hAnsi="Abadi" w:cs="*Arial-6054-Identity-H"/>
          <w:color w:val="15141D"/>
          <w:sz w:val="21"/>
          <w:szCs w:val="21"/>
        </w:rPr>
        <w:t>Es así que en el caso que nos ocupa, se definió el objetivo general de la</w:t>
      </w:r>
      <w:r>
        <w:rPr>
          <w:rFonts w:ascii="Abadi" w:hAnsi="Abadi" w:cs="*Arial-6054-Identity-H"/>
          <w:color w:val="15141D"/>
          <w:sz w:val="21"/>
          <w:szCs w:val="21"/>
        </w:rPr>
        <w:t xml:space="preserve"> </w:t>
      </w:r>
      <w:r w:rsidRPr="00F64AE8">
        <w:rPr>
          <w:rFonts w:ascii="Abadi" w:hAnsi="Abadi" w:cs="*Arial-6054-Identity-H"/>
          <w:color w:val="15141D"/>
          <w:sz w:val="21"/>
          <w:szCs w:val="21"/>
        </w:rPr>
        <w:t>auditoría con el propósito de verificar la capacidad del municipio de Irapuato, Gto.,</w:t>
      </w:r>
      <w:r>
        <w:rPr>
          <w:rFonts w:ascii="Abadi" w:hAnsi="Abadi" w:cs="*Arial-6054-Identity-H"/>
          <w:color w:val="15141D"/>
          <w:sz w:val="21"/>
          <w:szCs w:val="21"/>
        </w:rPr>
        <w:t xml:space="preserve"> </w:t>
      </w:r>
      <w:r w:rsidRPr="00F64AE8">
        <w:rPr>
          <w:rFonts w:ascii="Abadi" w:hAnsi="Abadi" w:cs="*Arial-6054-Identity-H"/>
          <w:color w:val="15141D"/>
          <w:sz w:val="21"/>
          <w:szCs w:val="21"/>
        </w:rPr>
        <w:t>para lograr una prestación eficaz del servicio de alumbrado público a su población,</w:t>
      </w:r>
      <w:r>
        <w:rPr>
          <w:rFonts w:ascii="Abadi" w:hAnsi="Abadi" w:cs="*Arial-6054-Identity-H"/>
          <w:color w:val="15141D"/>
          <w:sz w:val="21"/>
          <w:szCs w:val="21"/>
        </w:rPr>
        <w:t xml:space="preserve"> </w:t>
      </w:r>
      <w:r w:rsidRPr="00F64AE8">
        <w:rPr>
          <w:rFonts w:ascii="Abadi" w:hAnsi="Abadi" w:cs="*Arial-6054-Identity-H"/>
          <w:color w:val="15141D"/>
          <w:sz w:val="21"/>
          <w:szCs w:val="21"/>
        </w:rPr>
        <w:t>así como de conocer si las funciones de planificación, operación y seguimiento se</w:t>
      </w:r>
      <w:r>
        <w:rPr>
          <w:rFonts w:ascii="Abadi" w:hAnsi="Abadi" w:cs="*Arial-6054-Identity-H"/>
          <w:color w:val="15141D"/>
          <w:sz w:val="21"/>
          <w:szCs w:val="21"/>
        </w:rPr>
        <w:t xml:space="preserve"> </w:t>
      </w:r>
      <w:r w:rsidRPr="00F64AE8">
        <w:rPr>
          <w:rFonts w:ascii="Abadi" w:hAnsi="Abadi" w:cs="*Arial-6054-Identity-H"/>
          <w:color w:val="15141D"/>
          <w:sz w:val="21"/>
          <w:szCs w:val="21"/>
        </w:rPr>
        <w:t>desarrollaron bajo el principio de eficiencia, ya que de ello depende el grado de</w:t>
      </w:r>
      <w:r>
        <w:rPr>
          <w:rFonts w:ascii="Abadi" w:hAnsi="Abadi" w:cs="*Arial-6054-Identity-H"/>
          <w:color w:val="15141D"/>
          <w:sz w:val="21"/>
          <w:szCs w:val="21"/>
        </w:rPr>
        <w:t xml:space="preserve"> </w:t>
      </w:r>
      <w:r w:rsidRPr="00F64AE8">
        <w:rPr>
          <w:rFonts w:ascii="Abadi" w:hAnsi="Abadi" w:cs="*Arial-6054-Identity-H"/>
          <w:color w:val="15141D"/>
          <w:sz w:val="21"/>
          <w:szCs w:val="21"/>
        </w:rPr>
        <w:t>satisfacción de la comunidad.</w:t>
      </w:r>
    </w:p>
    <w:p w14:paraId="3E7EC348" w14:textId="77777777" w:rsidR="00600B0C" w:rsidRPr="00F64AE8" w:rsidRDefault="00600B0C" w:rsidP="00600B0C">
      <w:pPr>
        <w:autoSpaceDE w:val="0"/>
        <w:autoSpaceDN w:val="0"/>
        <w:adjustRightInd w:val="0"/>
        <w:jc w:val="both"/>
        <w:rPr>
          <w:rFonts w:ascii="Abadi" w:hAnsi="Abadi" w:cs="*Arial-6054-Identity-H"/>
          <w:color w:val="15141D"/>
          <w:sz w:val="21"/>
          <w:szCs w:val="21"/>
        </w:rPr>
      </w:pPr>
    </w:p>
    <w:p w14:paraId="20166545" w14:textId="77777777" w:rsidR="00600B0C" w:rsidRDefault="00600B0C" w:rsidP="00600B0C">
      <w:pPr>
        <w:autoSpaceDE w:val="0"/>
        <w:autoSpaceDN w:val="0"/>
        <w:adjustRightInd w:val="0"/>
        <w:ind w:firstLine="708"/>
        <w:jc w:val="both"/>
        <w:rPr>
          <w:rFonts w:ascii="Abadi" w:hAnsi="Abadi" w:cs="*Arial-6054-Identity-H"/>
          <w:color w:val="14141B"/>
          <w:sz w:val="21"/>
          <w:szCs w:val="21"/>
        </w:rPr>
      </w:pPr>
      <w:r w:rsidRPr="00F64AE8">
        <w:rPr>
          <w:rFonts w:ascii="Abadi" w:hAnsi="Abadi" w:cs="*Arial-6054-Identity-H"/>
          <w:color w:val="14141B"/>
          <w:sz w:val="21"/>
          <w:szCs w:val="21"/>
        </w:rPr>
        <w:t>Para su consecución, las labores de la Auditoría Superior del Estado</w:t>
      </w:r>
      <w:r>
        <w:rPr>
          <w:rFonts w:ascii="Abadi" w:hAnsi="Abadi" w:cs="*Arial-6054-Identity-H"/>
          <w:color w:val="14141B"/>
          <w:sz w:val="21"/>
          <w:szCs w:val="21"/>
        </w:rPr>
        <w:t xml:space="preserve"> </w:t>
      </w:r>
      <w:r w:rsidRPr="00F64AE8">
        <w:rPr>
          <w:rFonts w:ascii="Abadi" w:hAnsi="Abadi" w:cs="*Arial-6054-Identity-H"/>
          <w:color w:val="14141B"/>
          <w:sz w:val="21"/>
          <w:szCs w:val="21"/>
        </w:rPr>
        <w:t>consideraron la verificación de la existencia de procesos diagnósticos o de</w:t>
      </w:r>
      <w:r>
        <w:rPr>
          <w:rFonts w:ascii="Abadi" w:hAnsi="Abadi" w:cs="*Arial-6054-Identity-H"/>
          <w:color w:val="14141B"/>
          <w:sz w:val="21"/>
          <w:szCs w:val="21"/>
        </w:rPr>
        <w:t xml:space="preserve"> </w:t>
      </w:r>
      <w:r w:rsidRPr="00F64AE8">
        <w:rPr>
          <w:rFonts w:ascii="Abadi" w:hAnsi="Abadi" w:cs="*Arial-6054-Identity-H"/>
          <w:color w:val="14141B"/>
          <w:sz w:val="21"/>
          <w:szCs w:val="21"/>
        </w:rPr>
        <w:t>planificación que permitieran a la administración municipal conocer la oferta del</w:t>
      </w:r>
      <w:r>
        <w:rPr>
          <w:rFonts w:ascii="Abadi" w:hAnsi="Abadi" w:cs="*Arial-6054-Identity-H"/>
          <w:color w:val="14141B"/>
          <w:sz w:val="21"/>
          <w:szCs w:val="21"/>
        </w:rPr>
        <w:t xml:space="preserve"> </w:t>
      </w:r>
      <w:r w:rsidRPr="00F64AE8">
        <w:rPr>
          <w:rFonts w:ascii="Abadi" w:hAnsi="Abadi" w:cs="*Arial-6054-Identity-H"/>
          <w:color w:val="14141B"/>
          <w:sz w:val="21"/>
          <w:szCs w:val="21"/>
        </w:rPr>
        <w:t>servicio y las brechas por cubrir, definir la estimación de recursos para una</w:t>
      </w:r>
      <w:r>
        <w:rPr>
          <w:rFonts w:ascii="Abadi" w:hAnsi="Abadi" w:cs="*Arial-6054-Identity-H"/>
          <w:color w:val="14141B"/>
          <w:sz w:val="21"/>
          <w:szCs w:val="21"/>
        </w:rPr>
        <w:t xml:space="preserve"> </w:t>
      </w:r>
      <w:r w:rsidRPr="00F64AE8">
        <w:rPr>
          <w:rFonts w:ascii="Abadi" w:hAnsi="Abadi" w:cs="*Arial-6054-Identity-H"/>
          <w:color w:val="14141B"/>
          <w:sz w:val="21"/>
          <w:szCs w:val="21"/>
        </w:rPr>
        <w:t>adecuada operación y la definición de metas y objetivos orientados a la mejora del</w:t>
      </w:r>
      <w:r>
        <w:rPr>
          <w:rFonts w:ascii="Abadi" w:hAnsi="Abadi" w:cs="*Arial-6054-Identity-H"/>
          <w:color w:val="14141B"/>
          <w:sz w:val="21"/>
          <w:szCs w:val="21"/>
        </w:rPr>
        <w:t xml:space="preserve"> </w:t>
      </w:r>
      <w:r w:rsidRPr="00F64AE8">
        <w:rPr>
          <w:rFonts w:ascii="Abadi" w:hAnsi="Abadi" w:cs="*Arial-6054-Identity-H"/>
          <w:color w:val="14141B"/>
          <w:sz w:val="21"/>
          <w:szCs w:val="21"/>
        </w:rPr>
        <w:t>servicio; respecto de la operación, se consideró la verificación del establecimiento</w:t>
      </w:r>
      <w:r>
        <w:rPr>
          <w:rFonts w:ascii="Abadi" w:hAnsi="Abadi" w:cs="*Arial-6054-Identity-H"/>
          <w:color w:val="14141B"/>
          <w:sz w:val="21"/>
          <w:szCs w:val="21"/>
        </w:rPr>
        <w:t xml:space="preserve"> </w:t>
      </w:r>
      <w:r w:rsidRPr="00F64AE8">
        <w:rPr>
          <w:rFonts w:ascii="Abadi" w:hAnsi="Abadi" w:cs="*Arial-6054-Identity-H"/>
          <w:color w:val="14141B"/>
          <w:sz w:val="21"/>
          <w:szCs w:val="21"/>
        </w:rPr>
        <w:t>de un marco normativo adecuado y vigente, la programación de actividades y su</w:t>
      </w:r>
      <w:r>
        <w:rPr>
          <w:rFonts w:ascii="Abadi" w:hAnsi="Abadi" w:cs="*Arial-6054-Identity-H"/>
          <w:color w:val="14141B"/>
          <w:sz w:val="21"/>
          <w:szCs w:val="21"/>
        </w:rPr>
        <w:t xml:space="preserve"> </w:t>
      </w:r>
      <w:r w:rsidRPr="00F64AE8">
        <w:rPr>
          <w:rFonts w:ascii="Abadi" w:hAnsi="Abadi" w:cs="*Arial-6054-Identity-H"/>
          <w:color w:val="14141B"/>
          <w:sz w:val="21"/>
          <w:szCs w:val="21"/>
        </w:rPr>
        <w:t>consecución, los mecanismos de atención ciudadana para el reporte de fallas y los</w:t>
      </w:r>
      <w:r>
        <w:rPr>
          <w:rFonts w:ascii="Abadi" w:hAnsi="Abadi" w:cs="*Arial-6054-Identity-H"/>
          <w:color w:val="14141B"/>
          <w:sz w:val="21"/>
          <w:szCs w:val="21"/>
        </w:rPr>
        <w:t xml:space="preserve"> </w:t>
      </w:r>
      <w:r w:rsidRPr="00F64AE8">
        <w:rPr>
          <w:rFonts w:ascii="Abadi" w:hAnsi="Abadi" w:cs="*Arial-6054-Identity-H"/>
          <w:color w:val="14141B"/>
          <w:sz w:val="21"/>
          <w:szCs w:val="21"/>
        </w:rPr>
        <w:t>resultados en la cobertura, mantenimiento y satisfacción. También se revisaron los</w:t>
      </w:r>
      <w:r>
        <w:rPr>
          <w:rFonts w:ascii="Abadi" w:hAnsi="Abadi" w:cs="*Arial-6054-Identity-H"/>
          <w:color w:val="14141B"/>
          <w:sz w:val="21"/>
          <w:szCs w:val="21"/>
        </w:rPr>
        <w:t xml:space="preserve"> </w:t>
      </w:r>
      <w:r w:rsidRPr="00F64AE8">
        <w:rPr>
          <w:rFonts w:ascii="Abadi" w:hAnsi="Abadi" w:cs="*Arial-6054-Identity-H"/>
          <w:color w:val="14141B"/>
          <w:sz w:val="21"/>
          <w:szCs w:val="21"/>
        </w:rPr>
        <w:t>mecanismos de monitoreo y evaluación, con el objetivo de analizar el desempeño</w:t>
      </w:r>
      <w:r>
        <w:rPr>
          <w:rFonts w:ascii="Abadi" w:hAnsi="Abadi" w:cs="*Arial-6054-Identity-H"/>
          <w:color w:val="14141B"/>
          <w:sz w:val="21"/>
          <w:szCs w:val="21"/>
        </w:rPr>
        <w:t xml:space="preserve"> </w:t>
      </w:r>
      <w:r w:rsidRPr="00F64AE8">
        <w:rPr>
          <w:rFonts w:ascii="Abadi" w:hAnsi="Abadi" w:cs="*Arial-6054-Identity-H"/>
          <w:color w:val="14141B"/>
          <w:sz w:val="21"/>
          <w:szCs w:val="21"/>
        </w:rPr>
        <w:t>del Municipio en el otorgamiento del servicio, y verificar la eficiencia y la eficacia</w:t>
      </w:r>
      <w:r>
        <w:rPr>
          <w:rFonts w:ascii="Abadi" w:hAnsi="Abadi" w:cs="*Arial-6054-Identity-H"/>
          <w:color w:val="14141B"/>
          <w:sz w:val="21"/>
          <w:szCs w:val="21"/>
        </w:rPr>
        <w:t xml:space="preserve"> </w:t>
      </w:r>
      <w:r w:rsidRPr="00F64AE8">
        <w:rPr>
          <w:rFonts w:ascii="Abadi" w:hAnsi="Abadi" w:cs="*Arial-6054-Identity-H"/>
          <w:color w:val="14141B"/>
          <w:sz w:val="21"/>
          <w:szCs w:val="21"/>
        </w:rPr>
        <w:t>del alumbrado público municipal en beneficio de la ciudadanía.</w:t>
      </w:r>
    </w:p>
    <w:p w14:paraId="73C66DCB" w14:textId="77777777" w:rsidR="00600B0C" w:rsidRDefault="00600B0C" w:rsidP="00600B0C">
      <w:pPr>
        <w:autoSpaceDE w:val="0"/>
        <w:autoSpaceDN w:val="0"/>
        <w:adjustRightInd w:val="0"/>
        <w:jc w:val="both"/>
        <w:rPr>
          <w:rFonts w:ascii="Abadi" w:hAnsi="Abadi" w:cs="*Arial-6054-Identity-H"/>
          <w:color w:val="14141B"/>
          <w:sz w:val="21"/>
          <w:szCs w:val="21"/>
        </w:rPr>
      </w:pPr>
    </w:p>
    <w:p w14:paraId="23575906" w14:textId="77777777" w:rsidR="00600B0C" w:rsidRDefault="00600B0C" w:rsidP="00600B0C">
      <w:pPr>
        <w:autoSpaceDE w:val="0"/>
        <w:autoSpaceDN w:val="0"/>
        <w:adjustRightInd w:val="0"/>
        <w:ind w:firstLine="708"/>
        <w:jc w:val="both"/>
        <w:rPr>
          <w:rFonts w:ascii="Abadi" w:hAnsi="Abadi" w:cs="*Arial-4805-Identity-H"/>
          <w:color w:val="15131C"/>
          <w:sz w:val="21"/>
          <w:szCs w:val="21"/>
        </w:rPr>
      </w:pPr>
      <w:r w:rsidRPr="00F64AE8">
        <w:rPr>
          <w:rFonts w:ascii="Abadi" w:hAnsi="Abadi" w:cs="*Arial-6054-Identity-H"/>
          <w:color w:val="15141C"/>
          <w:sz w:val="21"/>
          <w:szCs w:val="21"/>
        </w:rPr>
        <w:t>Asimismo, se hace constar que la administración pública municipal de</w:t>
      </w:r>
      <w:r>
        <w:rPr>
          <w:rFonts w:ascii="Abadi" w:hAnsi="Abadi" w:cs="*Arial-6054-Identity-H"/>
          <w:color w:val="15141C"/>
          <w:sz w:val="21"/>
          <w:szCs w:val="21"/>
        </w:rPr>
        <w:t xml:space="preserve"> </w:t>
      </w:r>
      <w:r w:rsidRPr="00F64AE8">
        <w:rPr>
          <w:rFonts w:ascii="Abadi" w:hAnsi="Abadi" w:cs="*Arial-6054-Identity-H"/>
          <w:color w:val="15141C"/>
          <w:sz w:val="21"/>
          <w:szCs w:val="21"/>
        </w:rPr>
        <w:t>lrapuato, Gto., implementó acciones para otorgar el servicio de alumbrado público</w:t>
      </w:r>
      <w:r>
        <w:rPr>
          <w:rFonts w:ascii="Abadi" w:hAnsi="Abadi" w:cs="*Arial-6054-Identity-H"/>
          <w:color w:val="15141C"/>
          <w:sz w:val="21"/>
          <w:szCs w:val="21"/>
        </w:rPr>
        <w:t xml:space="preserve"> </w:t>
      </w:r>
      <w:r w:rsidRPr="00F64AE8">
        <w:rPr>
          <w:rFonts w:ascii="Abadi" w:hAnsi="Abadi" w:cs="*Arial-6054-Identity-H"/>
          <w:color w:val="15141C"/>
          <w:sz w:val="21"/>
          <w:szCs w:val="21"/>
        </w:rPr>
        <w:t>a la población, destacando entre sus fortalezas, la definición de un programa</w:t>
      </w:r>
      <w:r>
        <w:rPr>
          <w:rFonts w:ascii="Abadi" w:hAnsi="Abadi" w:cs="*Arial-6054-Identity-H"/>
          <w:color w:val="15141C"/>
          <w:sz w:val="21"/>
          <w:szCs w:val="21"/>
        </w:rPr>
        <w:t xml:space="preserve"> </w:t>
      </w:r>
      <w:r w:rsidRPr="00F64AE8">
        <w:rPr>
          <w:rFonts w:ascii="Abadi" w:hAnsi="Abadi" w:cs="*Arial-6054-Identity-H"/>
          <w:color w:val="15141C"/>
          <w:sz w:val="21"/>
          <w:szCs w:val="21"/>
        </w:rPr>
        <w:t xml:space="preserve">específico del servicio de alumbrado </w:t>
      </w:r>
      <w:r w:rsidRPr="00F64AE8">
        <w:rPr>
          <w:rFonts w:ascii="Abadi" w:hAnsi="Abadi" w:cs="*Arial-Italic-6055-Identity-H"/>
          <w:i/>
          <w:iCs/>
          <w:color w:val="15141C"/>
          <w:sz w:val="21"/>
          <w:szCs w:val="21"/>
        </w:rPr>
        <w:t xml:space="preserve">-E1407-, </w:t>
      </w:r>
      <w:r w:rsidRPr="00F64AE8">
        <w:rPr>
          <w:rFonts w:ascii="Abadi" w:hAnsi="Abadi" w:cs="*Arial-6054-Identity-H"/>
          <w:color w:val="15141C"/>
          <w:sz w:val="21"/>
          <w:szCs w:val="21"/>
        </w:rPr>
        <w:t>la medición de la cobertura del</w:t>
      </w:r>
      <w:r>
        <w:rPr>
          <w:rFonts w:ascii="Abadi" w:hAnsi="Abadi" w:cs="*Arial-6054-Identity-H"/>
          <w:color w:val="15141C"/>
          <w:sz w:val="21"/>
          <w:szCs w:val="21"/>
        </w:rPr>
        <w:t xml:space="preserve"> </w:t>
      </w:r>
      <w:r w:rsidRPr="00F64AE8">
        <w:rPr>
          <w:rFonts w:ascii="Abadi" w:hAnsi="Abadi" w:cs="*Arial-6054-Identity-H"/>
          <w:color w:val="15141C"/>
          <w:sz w:val="21"/>
          <w:szCs w:val="21"/>
        </w:rPr>
        <w:t>alumbrado conforme a las mejores prácticas en la materia, el reconocimiento en</w:t>
      </w:r>
      <w:r>
        <w:rPr>
          <w:rFonts w:ascii="Abadi" w:hAnsi="Abadi" w:cs="*Arial-6054-Identity-H"/>
          <w:color w:val="15141C"/>
          <w:sz w:val="21"/>
          <w:szCs w:val="21"/>
        </w:rPr>
        <w:t xml:space="preserve"> </w:t>
      </w:r>
      <w:r w:rsidRPr="00F64AE8">
        <w:rPr>
          <w:rFonts w:ascii="Abadi" w:hAnsi="Abadi" w:cs="*Arial-6054-Identity-H"/>
          <w:color w:val="15141C"/>
          <w:sz w:val="21"/>
          <w:szCs w:val="21"/>
        </w:rPr>
        <w:t>sus instrumentos de planeación, respecto de la mejora de la infraestructura,</w:t>
      </w:r>
      <w:r>
        <w:rPr>
          <w:rFonts w:ascii="Abadi" w:hAnsi="Abadi" w:cs="*Arial-6054-Identity-H"/>
          <w:color w:val="15141C"/>
          <w:sz w:val="21"/>
          <w:szCs w:val="21"/>
        </w:rPr>
        <w:t xml:space="preserve"> </w:t>
      </w:r>
      <w:r w:rsidRPr="00F64AE8">
        <w:rPr>
          <w:rFonts w:ascii="Abadi" w:hAnsi="Abadi" w:cs="*Arial-6054-Identity-H"/>
          <w:color w:val="15141C"/>
          <w:sz w:val="21"/>
          <w:szCs w:val="21"/>
        </w:rPr>
        <w:t>modernización de luminarias y promoción de uso de energías limpias, así como la</w:t>
      </w:r>
      <w:r>
        <w:rPr>
          <w:rFonts w:ascii="Abadi" w:hAnsi="Abadi" w:cs="*Arial-6054-Identity-H"/>
          <w:color w:val="15141C"/>
          <w:sz w:val="21"/>
          <w:szCs w:val="21"/>
        </w:rPr>
        <w:t xml:space="preserve"> </w:t>
      </w:r>
      <w:r w:rsidRPr="00F64AE8">
        <w:rPr>
          <w:rFonts w:ascii="Abadi" w:hAnsi="Abadi" w:cs="*Arial-6054-Identity-H"/>
          <w:color w:val="15141C"/>
          <w:sz w:val="21"/>
          <w:szCs w:val="21"/>
        </w:rPr>
        <w:t>identificación de los procesos claves del servicio, mediante la definición de cartas</w:t>
      </w:r>
      <w:r>
        <w:rPr>
          <w:rFonts w:ascii="Abadi" w:hAnsi="Abadi" w:cs="*Arial-6054-Identity-H"/>
          <w:color w:val="15141C"/>
          <w:sz w:val="21"/>
          <w:szCs w:val="21"/>
        </w:rPr>
        <w:t xml:space="preserve"> </w:t>
      </w:r>
      <w:r w:rsidRPr="00F64AE8">
        <w:rPr>
          <w:rFonts w:ascii="Abadi" w:hAnsi="Abadi" w:cs="*Arial-6054-Identity-H"/>
          <w:color w:val="15141C"/>
          <w:sz w:val="21"/>
          <w:szCs w:val="21"/>
        </w:rPr>
        <w:t>proceso, la existencia de un marco normativo específico del servicio de</w:t>
      </w:r>
      <w:r>
        <w:rPr>
          <w:rFonts w:ascii="Abadi" w:hAnsi="Abadi" w:cs="*Arial-6054-Identity-H"/>
          <w:color w:val="15141C"/>
          <w:sz w:val="21"/>
          <w:szCs w:val="21"/>
        </w:rPr>
        <w:t xml:space="preserve"> </w:t>
      </w:r>
      <w:r w:rsidRPr="00F64AE8">
        <w:rPr>
          <w:rFonts w:ascii="Abadi" w:hAnsi="Abadi" w:cs="*Arial-6054-Identity-H"/>
          <w:color w:val="15141C"/>
          <w:sz w:val="21"/>
          <w:szCs w:val="21"/>
        </w:rPr>
        <w:t>alumbrado, la atención de reportes de fallas en los primeros 20 días una vez que</w:t>
      </w:r>
      <w:r>
        <w:rPr>
          <w:rFonts w:ascii="Abadi" w:hAnsi="Abadi" w:cs="*Arial-6054-Identity-H"/>
          <w:color w:val="15141C"/>
          <w:sz w:val="21"/>
          <w:szCs w:val="21"/>
        </w:rPr>
        <w:t xml:space="preserve"> </w:t>
      </w:r>
      <w:r w:rsidRPr="00F64AE8">
        <w:rPr>
          <w:rFonts w:ascii="Abadi" w:hAnsi="Abadi" w:cs="*Arial-6054-Identity-H"/>
          <w:color w:val="15141C"/>
          <w:sz w:val="21"/>
          <w:szCs w:val="21"/>
        </w:rPr>
        <w:t>el ciudadano levantó la solicitud, y los mecanismos para medir la satisfacción de</w:t>
      </w:r>
      <w:r>
        <w:rPr>
          <w:rFonts w:ascii="Abadi" w:hAnsi="Abadi" w:cs="*Arial-6054-Identity-H"/>
          <w:color w:val="15141C"/>
          <w:sz w:val="21"/>
          <w:szCs w:val="21"/>
        </w:rPr>
        <w:t xml:space="preserve"> </w:t>
      </w:r>
      <w:r w:rsidRPr="00F64AE8">
        <w:rPr>
          <w:rFonts w:ascii="Abadi" w:hAnsi="Abadi" w:cs="*Arial-6054-Identity-H"/>
          <w:color w:val="15141C"/>
          <w:sz w:val="21"/>
          <w:szCs w:val="21"/>
        </w:rPr>
        <w:t xml:space="preserve">los </w:t>
      </w:r>
      <w:r>
        <w:rPr>
          <w:rFonts w:ascii="Abadi" w:hAnsi="Abadi" w:cs="*Arial-6054-Identity-H"/>
          <w:color w:val="15141C"/>
          <w:sz w:val="21"/>
          <w:szCs w:val="21"/>
        </w:rPr>
        <w:t>I</w:t>
      </w:r>
      <w:r w:rsidRPr="00F64AE8">
        <w:rPr>
          <w:rFonts w:ascii="Abadi" w:hAnsi="Abadi" w:cs="*Arial-6054-Identity-H"/>
          <w:color w:val="15141C"/>
          <w:sz w:val="21"/>
          <w:szCs w:val="21"/>
        </w:rPr>
        <w:t>rapuatenses respecto del servicio de alumbrado público otorgado. No</w:t>
      </w:r>
      <w:r>
        <w:rPr>
          <w:rFonts w:ascii="Abadi" w:hAnsi="Abadi" w:cs="*Arial-6054-Identity-H"/>
          <w:color w:val="15141C"/>
          <w:sz w:val="21"/>
          <w:szCs w:val="21"/>
        </w:rPr>
        <w:t xml:space="preserve"> </w:t>
      </w:r>
      <w:r w:rsidRPr="00F64AE8">
        <w:rPr>
          <w:rFonts w:ascii="Abadi" w:hAnsi="Abadi" w:cs="*Arial-4805-Identity-H"/>
          <w:color w:val="15131C"/>
          <w:sz w:val="21"/>
          <w:szCs w:val="21"/>
        </w:rPr>
        <w:t>obstante, existe evidencia que la gestión del servicio presento áreas de</w:t>
      </w:r>
      <w:r>
        <w:rPr>
          <w:rFonts w:ascii="Abadi" w:hAnsi="Abadi" w:cs="*Arial-4805-Identity-H"/>
          <w:color w:val="15131C"/>
          <w:sz w:val="21"/>
          <w:szCs w:val="21"/>
        </w:rPr>
        <w:t xml:space="preserve"> </w:t>
      </w:r>
      <w:r w:rsidRPr="00F64AE8">
        <w:rPr>
          <w:rFonts w:ascii="Abadi" w:hAnsi="Abadi" w:cs="*Arial-4805-Identity-H"/>
          <w:color w:val="15131C"/>
          <w:sz w:val="21"/>
          <w:szCs w:val="21"/>
        </w:rPr>
        <w:t>oportunidad.</w:t>
      </w:r>
    </w:p>
    <w:p w14:paraId="68FF0BF3" w14:textId="77777777" w:rsidR="00600B0C" w:rsidRPr="00F64AE8" w:rsidRDefault="00600B0C" w:rsidP="00600B0C">
      <w:pPr>
        <w:autoSpaceDE w:val="0"/>
        <w:autoSpaceDN w:val="0"/>
        <w:adjustRightInd w:val="0"/>
        <w:jc w:val="both"/>
        <w:rPr>
          <w:rFonts w:ascii="Abadi" w:hAnsi="Abadi" w:cs="*Arial-4805-Identity-H"/>
          <w:color w:val="15131C"/>
          <w:sz w:val="21"/>
          <w:szCs w:val="21"/>
        </w:rPr>
      </w:pPr>
    </w:p>
    <w:p w14:paraId="1B7A6224" w14:textId="77777777" w:rsidR="00600B0C" w:rsidRDefault="00600B0C" w:rsidP="00600B0C">
      <w:pPr>
        <w:autoSpaceDE w:val="0"/>
        <w:autoSpaceDN w:val="0"/>
        <w:adjustRightInd w:val="0"/>
        <w:ind w:firstLine="708"/>
        <w:jc w:val="both"/>
        <w:rPr>
          <w:rFonts w:ascii="Abadi" w:hAnsi="Abadi" w:cs="*Arial-4805-Identity-H"/>
          <w:color w:val="14131C"/>
          <w:sz w:val="21"/>
          <w:szCs w:val="21"/>
        </w:rPr>
      </w:pPr>
      <w:r w:rsidRPr="00F64AE8">
        <w:rPr>
          <w:rFonts w:ascii="Abadi" w:hAnsi="Abadi" w:cs="*Arial-4805-Identity-H"/>
          <w:color w:val="14131C"/>
          <w:sz w:val="21"/>
          <w:szCs w:val="21"/>
        </w:rPr>
        <w:t xml:space="preserve">En cuanto a la gestión </w:t>
      </w:r>
      <w:r w:rsidRPr="00F64AE8">
        <w:rPr>
          <w:rFonts w:ascii="Abadi" w:hAnsi="Abadi" w:cs="*Arial-4805-Identity-H"/>
          <w:color w:val="B9B9B9"/>
          <w:sz w:val="21"/>
          <w:szCs w:val="21"/>
        </w:rPr>
        <w:t>.</w:t>
      </w:r>
      <w:r w:rsidRPr="00F64AE8">
        <w:rPr>
          <w:rFonts w:ascii="Abadi" w:hAnsi="Abadi" w:cs="*Arial-4805-Identity-H"/>
          <w:color w:val="14131C"/>
          <w:sz w:val="21"/>
          <w:szCs w:val="21"/>
        </w:rPr>
        <w:t>de la planificación se verificó que en las actividades</w:t>
      </w:r>
      <w:r>
        <w:rPr>
          <w:rFonts w:ascii="Abadi" w:hAnsi="Abadi" w:cs="*Arial-4805-Identity-H"/>
          <w:color w:val="14131C"/>
          <w:sz w:val="21"/>
          <w:szCs w:val="21"/>
        </w:rPr>
        <w:t xml:space="preserve"> </w:t>
      </w:r>
      <w:r w:rsidRPr="00F64AE8">
        <w:rPr>
          <w:rFonts w:ascii="Abadi" w:hAnsi="Abadi" w:cs="*Arial-4805-Identity-H"/>
          <w:color w:val="14131C"/>
          <w:sz w:val="21"/>
          <w:szCs w:val="21"/>
        </w:rPr>
        <w:t>llevadas a cabo el sujeto fiscalizado no le permitió identificar con precisión la</w:t>
      </w:r>
      <w:r>
        <w:rPr>
          <w:rFonts w:ascii="Abadi" w:hAnsi="Abadi" w:cs="*Arial-4805-Identity-H"/>
          <w:color w:val="14131C"/>
          <w:sz w:val="21"/>
          <w:szCs w:val="21"/>
        </w:rPr>
        <w:t xml:space="preserve"> </w:t>
      </w:r>
      <w:r w:rsidRPr="00F64AE8">
        <w:rPr>
          <w:rFonts w:ascii="Abadi" w:hAnsi="Abadi" w:cs="*Arial-4805-Identity-H"/>
          <w:color w:val="14131C"/>
          <w:sz w:val="21"/>
          <w:szCs w:val="21"/>
        </w:rPr>
        <w:t xml:space="preserve">cobertura de atención en la zona rural </w:t>
      </w:r>
      <w:r w:rsidRPr="00F64AE8">
        <w:rPr>
          <w:rFonts w:ascii="Abadi" w:hAnsi="Abadi" w:cs="*Microsoft Sans Serif-4807-Iden"/>
          <w:color w:val="14131C"/>
          <w:sz w:val="21"/>
          <w:szCs w:val="21"/>
        </w:rPr>
        <w:t xml:space="preserve">y </w:t>
      </w:r>
      <w:r w:rsidRPr="00F64AE8">
        <w:rPr>
          <w:rFonts w:ascii="Abadi" w:hAnsi="Abadi" w:cs="*Arial-4805-Identity-H"/>
          <w:color w:val="14131C"/>
          <w:sz w:val="21"/>
          <w:szCs w:val="21"/>
        </w:rPr>
        <w:t>urbana, debido a que el censo de 2020 no</w:t>
      </w:r>
      <w:r>
        <w:rPr>
          <w:rFonts w:ascii="Abadi" w:hAnsi="Abadi" w:cs="*Arial-4805-Identity-H"/>
          <w:color w:val="14131C"/>
          <w:sz w:val="21"/>
          <w:szCs w:val="21"/>
        </w:rPr>
        <w:t xml:space="preserve"> </w:t>
      </w:r>
      <w:r w:rsidRPr="00F64AE8">
        <w:rPr>
          <w:rFonts w:ascii="Abadi" w:hAnsi="Abadi" w:cs="*Arial-4805-Identity-H"/>
          <w:color w:val="14131C"/>
          <w:sz w:val="21"/>
          <w:szCs w:val="21"/>
        </w:rPr>
        <w:t>contempló, de manera integral, información de todas las comunidades del</w:t>
      </w:r>
      <w:r>
        <w:rPr>
          <w:rFonts w:ascii="Abadi" w:hAnsi="Abadi" w:cs="*Arial-4805-Identity-H"/>
          <w:color w:val="14131C"/>
          <w:sz w:val="21"/>
          <w:szCs w:val="21"/>
        </w:rPr>
        <w:t xml:space="preserve"> </w:t>
      </w:r>
      <w:r w:rsidRPr="00F64AE8">
        <w:rPr>
          <w:rFonts w:ascii="Abadi" w:hAnsi="Abadi" w:cs="*Arial-4805-Identity-H"/>
          <w:color w:val="14131C"/>
          <w:sz w:val="21"/>
          <w:szCs w:val="21"/>
        </w:rPr>
        <w:t>Municipio, aunado a la mejora del sistema de georreferenciación para el</w:t>
      </w:r>
      <w:r>
        <w:rPr>
          <w:rFonts w:ascii="Abadi" w:hAnsi="Abadi" w:cs="*Arial-4805-Identity-H"/>
          <w:color w:val="14131C"/>
          <w:sz w:val="21"/>
          <w:szCs w:val="21"/>
        </w:rPr>
        <w:t xml:space="preserve"> </w:t>
      </w:r>
      <w:r w:rsidRPr="00F64AE8">
        <w:rPr>
          <w:rFonts w:ascii="Abadi" w:hAnsi="Abadi" w:cs="*Arial-4805-Identity-H"/>
          <w:color w:val="14131C"/>
          <w:sz w:val="21"/>
          <w:szCs w:val="21"/>
        </w:rPr>
        <w:t>tratamiento de los datos que le permita conocer la cobertura de las zonas</w:t>
      </w:r>
      <w:r>
        <w:rPr>
          <w:rFonts w:ascii="Abadi" w:hAnsi="Abadi" w:cs="*Arial-4805-Identity-H"/>
          <w:color w:val="14131C"/>
          <w:sz w:val="21"/>
          <w:szCs w:val="21"/>
        </w:rPr>
        <w:t xml:space="preserve"> </w:t>
      </w:r>
      <w:r w:rsidRPr="00F64AE8">
        <w:rPr>
          <w:rFonts w:ascii="Abadi" w:hAnsi="Abadi" w:cs="*Arial-4805-Identity-H"/>
          <w:color w:val="14131C"/>
          <w:sz w:val="21"/>
          <w:szCs w:val="21"/>
        </w:rPr>
        <w:t>señaladas.</w:t>
      </w:r>
    </w:p>
    <w:p w14:paraId="4113B208" w14:textId="77777777" w:rsidR="00600B0C" w:rsidRPr="00F64AE8" w:rsidRDefault="00600B0C" w:rsidP="00600B0C">
      <w:pPr>
        <w:autoSpaceDE w:val="0"/>
        <w:autoSpaceDN w:val="0"/>
        <w:adjustRightInd w:val="0"/>
        <w:jc w:val="both"/>
        <w:rPr>
          <w:rFonts w:ascii="Abadi" w:hAnsi="Abadi" w:cs="*Arial-4805-Identity-H"/>
          <w:color w:val="14131C"/>
          <w:sz w:val="21"/>
          <w:szCs w:val="21"/>
        </w:rPr>
      </w:pPr>
    </w:p>
    <w:p w14:paraId="2BA1A42A" w14:textId="77777777" w:rsidR="00600B0C" w:rsidRDefault="00600B0C" w:rsidP="00600B0C">
      <w:pPr>
        <w:autoSpaceDE w:val="0"/>
        <w:autoSpaceDN w:val="0"/>
        <w:adjustRightInd w:val="0"/>
        <w:ind w:firstLine="708"/>
        <w:jc w:val="both"/>
        <w:rPr>
          <w:rFonts w:ascii="Abadi" w:hAnsi="Abadi" w:cs="*Arial-4805-Identity-H"/>
          <w:color w:val="15131C"/>
          <w:sz w:val="21"/>
          <w:szCs w:val="21"/>
        </w:rPr>
      </w:pPr>
      <w:r w:rsidRPr="00F64AE8">
        <w:rPr>
          <w:rFonts w:ascii="Abadi" w:hAnsi="Abadi" w:cs="*Arial-4805-Identity-H"/>
          <w:color w:val="15131C"/>
          <w:sz w:val="21"/>
          <w:szCs w:val="21"/>
        </w:rPr>
        <w:t>Respecto a la función de la operación del servicio de alumbrado público, se</w:t>
      </w:r>
      <w:r>
        <w:rPr>
          <w:rFonts w:ascii="Abadi" w:hAnsi="Abadi" w:cs="*Arial-4805-Identity-H"/>
          <w:color w:val="15131C"/>
          <w:sz w:val="21"/>
          <w:szCs w:val="21"/>
        </w:rPr>
        <w:t xml:space="preserve"> </w:t>
      </w:r>
      <w:r w:rsidRPr="00F64AE8">
        <w:rPr>
          <w:rFonts w:ascii="Abadi" w:hAnsi="Abadi" w:cs="*Arial-4805-Identity-H"/>
          <w:color w:val="15131C"/>
          <w:sz w:val="21"/>
          <w:szCs w:val="21"/>
        </w:rPr>
        <w:t xml:space="preserve">reconoció que su finalidad es su eficiente </w:t>
      </w:r>
      <w:r w:rsidRPr="00F64AE8">
        <w:rPr>
          <w:rFonts w:ascii="Abadi" w:hAnsi="Abadi" w:cs="*Microsoft Sans Serif-4807-Iden"/>
          <w:color w:val="15131C"/>
          <w:sz w:val="21"/>
          <w:szCs w:val="21"/>
        </w:rPr>
        <w:t xml:space="preserve">y </w:t>
      </w:r>
      <w:r w:rsidRPr="00F64AE8">
        <w:rPr>
          <w:rFonts w:ascii="Abadi" w:hAnsi="Abadi" w:cs="*Arial-4805-Identity-H"/>
          <w:color w:val="15131C"/>
          <w:sz w:val="21"/>
          <w:szCs w:val="21"/>
        </w:rPr>
        <w:t>eficaz funcionamiento, lo cual depende</w:t>
      </w:r>
      <w:r>
        <w:rPr>
          <w:rFonts w:ascii="Abadi" w:hAnsi="Abadi" w:cs="*Arial-4805-Identity-H"/>
          <w:color w:val="15131C"/>
          <w:sz w:val="21"/>
          <w:szCs w:val="21"/>
        </w:rPr>
        <w:t xml:space="preserve"> </w:t>
      </w:r>
      <w:r w:rsidRPr="00F64AE8">
        <w:rPr>
          <w:rFonts w:ascii="Abadi" w:hAnsi="Abadi" w:cs="*Arial-4805-Identity-H"/>
          <w:color w:val="15131C"/>
          <w:sz w:val="21"/>
          <w:szCs w:val="21"/>
        </w:rPr>
        <w:t>de la definición clara de procesos clave y documentos normativos que garanticen</w:t>
      </w:r>
      <w:r>
        <w:rPr>
          <w:rFonts w:ascii="Abadi" w:hAnsi="Abadi" w:cs="*Arial-4805-Identity-H"/>
          <w:color w:val="15131C"/>
          <w:sz w:val="21"/>
          <w:szCs w:val="21"/>
        </w:rPr>
        <w:t xml:space="preserve"> </w:t>
      </w:r>
      <w:r w:rsidRPr="00F64AE8">
        <w:rPr>
          <w:rFonts w:ascii="Abadi" w:hAnsi="Abadi" w:cs="*Arial-4805-Identity-H"/>
          <w:color w:val="15131C"/>
          <w:sz w:val="21"/>
          <w:szCs w:val="21"/>
        </w:rPr>
        <w:t xml:space="preserve">su operatividad; de contar con programas anuales orientados a la mejora, </w:t>
      </w:r>
      <w:r w:rsidRPr="00F64AE8">
        <w:rPr>
          <w:rFonts w:ascii="Abadi" w:hAnsi="Abadi" w:cs="*Microsoft Sans Serif-4807-Iden"/>
          <w:color w:val="15131C"/>
          <w:sz w:val="21"/>
          <w:szCs w:val="21"/>
        </w:rPr>
        <w:t xml:space="preserve">y </w:t>
      </w:r>
      <w:r w:rsidRPr="00F64AE8">
        <w:rPr>
          <w:rFonts w:ascii="Abadi" w:hAnsi="Abadi" w:cs="*Arial-4805-Identity-H"/>
          <w:color w:val="15131C"/>
          <w:sz w:val="21"/>
          <w:szCs w:val="21"/>
        </w:rPr>
        <w:t>de</w:t>
      </w:r>
      <w:r>
        <w:rPr>
          <w:rFonts w:ascii="Abadi" w:hAnsi="Abadi" w:cs="*Arial-4805-Identity-H"/>
          <w:color w:val="15131C"/>
          <w:sz w:val="21"/>
          <w:szCs w:val="21"/>
        </w:rPr>
        <w:t xml:space="preserve"> </w:t>
      </w:r>
      <w:r w:rsidRPr="00F64AE8">
        <w:rPr>
          <w:rFonts w:ascii="Abadi" w:hAnsi="Abadi" w:cs="*Arial-4805-Identity-H"/>
          <w:color w:val="15131C"/>
          <w:sz w:val="21"/>
          <w:szCs w:val="21"/>
        </w:rPr>
        <w:t>brindar un servicio y una atención de calidad a la población. En tal sentido, se</w:t>
      </w:r>
      <w:r>
        <w:rPr>
          <w:rFonts w:ascii="Abadi" w:hAnsi="Abadi" w:cs="*Arial-4805-Identity-H"/>
          <w:color w:val="15131C"/>
          <w:sz w:val="21"/>
          <w:szCs w:val="21"/>
        </w:rPr>
        <w:t xml:space="preserve"> </w:t>
      </w:r>
      <w:r w:rsidRPr="00F64AE8">
        <w:rPr>
          <w:rFonts w:ascii="Abadi" w:hAnsi="Abadi" w:cs="*Arial-4805-Identity-H"/>
          <w:color w:val="15131C"/>
          <w:sz w:val="21"/>
          <w:szCs w:val="21"/>
        </w:rPr>
        <w:t>constató que, si bien el sujeto fiscalizado contó con una estructura organizacional,</w:t>
      </w:r>
      <w:r>
        <w:rPr>
          <w:rFonts w:ascii="Abadi" w:hAnsi="Abadi" w:cs="*Arial-4805-Identity-H"/>
          <w:color w:val="15131C"/>
          <w:sz w:val="21"/>
          <w:szCs w:val="21"/>
        </w:rPr>
        <w:t xml:space="preserve"> </w:t>
      </w:r>
      <w:r w:rsidRPr="00F64AE8">
        <w:rPr>
          <w:rFonts w:ascii="Abadi" w:hAnsi="Abadi" w:cs="*Arial-4805-Identity-H"/>
          <w:color w:val="15131C"/>
          <w:sz w:val="21"/>
          <w:szCs w:val="21"/>
        </w:rPr>
        <w:t>en la que se describe de manera clara la unidad administrativa encargada de la</w:t>
      </w:r>
      <w:r>
        <w:rPr>
          <w:rFonts w:ascii="Abadi" w:hAnsi="Abadi" w:cs="*Arial-4805-Identity-H"/>
          <w:color w:val="15131C"/>
          <w:sz w:val="21"/>
          <w:szCs w:val="21"/>
        </w:rPr>
        <w:t xml:space="preserve"> </w:t>
      </w:r>
      <w:r w:rsidRPr="00F64AE8">
        <w:rPr>
          <w:rFonts w:ascii="Abadi" w:hAnsi="Abadi" w:cs="*Arial-4805-Identity-H"/>
          <w:color w:val="15131C"/>
          <w:sz w:val="21"/>
          <w:szCs w:val="21"/>
        </w:rPr>
        <w:t>operación del servicio de alumbrado, no detalló la descripción de funciones, el</w:t>
      </w:r>
      <w:r>
        <w:rPr>
          <w:rFonts w:ascii="Abadi" w:hAnsi="Abadi" w:cs="*Arial-4805-Identity-H"/>
          <w:color w:val="15131C"/>
          <w:sz w:val="21"/>
          <w:szCs w:val="21"/>
        </w:rPr>
        <w:t xml:space="preserve"> </w:t>
      </w:r>
      <w:r w:rsidRPr="00F64AE8">
        <w:rPr>
          <w:rFonts w:ascii="Abadi" w:hAnsi="Abadi" w:cs="*Arial-4805-Identity-H"/>
          <w:color w:val="15131C"/>
          <w:sz w:val="21"/>
          <w:szCs w:val="21"/>
        </w:rPr>
        <w:t>perfil de cada uno de los puestos, ni las atribuciones conforme a la normativa</w:t>
      </w:r>
      <w:r>
        <w:rPr>
          <w:rFonts w:ascii="Abadi" w:hAnsi="Abadi" w:cs="*Arial-4805-Identity-H"/>
          <w:color w:val="15131C"/>
          <w:sz w:val="21"/>
          <w:szCs w:val="21"/>
        </w:rPr>
        <w:t xml:space="preserve"> </w:t>
      </w:r>
      <w:r w:rsidRPr="00F64AE8">
        <w:rPr>
          <w:rFonts w:ascii="Abadi" w:hAnsi="Abadi" w:cs="*Arial-4805-Identity-H"/>
          <w:color w:val="15131C"/>
          <w:sz w:val="21"/>
          <w:szCs w:val="21"/>
        </w:rPr>
        <w:t>vigente.</w:t>
      </w:r>
    </w:p>
    <w:p w14:paraId="7323AF21" w14:textId="77777777" w:rsidR="00600B0C" w:rsidRPr="00F64AE8" w:rsidRDefault="00600B0C" w:rsidP="00600B0C">
      <w:pPr>
        <w:autoSpaceDE w:val="0"/>
        <w:autoSpaceDN w:val="0"/>
        <w:adjustRightInd w:val="0"/>
        <w:jc w:val="both"/>
        <w:rPr>
          <w:rFonts w:ascii="Abadi" w:hAnsi="Abadi" w:cs="*Arial-4805-Identity-H"/>
          <w:color w:val="15131C"/>
          <w:sz w:val="21"/>
          <w:szCs w:val="21"/>
        </w:rPr>
      </w:pPr>
    </w:p>
    <w:p w14:paraId="3B0276F4" w14:textId="77777777" w:rsidR="00600B0C" w:rsidRDefault="00600B0C" w:rsidP="00600B0C">
      <w:pPr>
        <w:autoSpaceDE w:val="0"/>
        <w:autoSpaceDN w:val="0"/>
        <w:adjustRightInd w:val="0"/>
        <w:ind w:firstLine="708"/>
        <w:jc w:val="both"/>
        <w:rPr>
          <w:rFonts w:ascii="Abadi" w:hAnsi="Abadi" w:cs="*Arial-4805-Identity-H"/>
          <w:color w:val="14131B"/>
          <w:sz w:val="21"/>
          <w:szCs w:val="21"/>
        </w:rPr>
      </w:pPr>
      <w:r w:rsidRPr="00F64AE8">
        <w:rPr>
          <w:rFonts w:ascii="Abadi" w:hAnsi="Abadi" w:cs="*Arial-4805-Identity-H"/>
          <w:color w:val="14131B"/>
          <w:sz w:val="21"/>
          <w:szCs w:val="21"/>
        </w:rPr>
        <w:t xml:space="preserve">Adicionalmente, se identificó que el sujeto fiscalizado no contó con </w:t>
      </w:r>
      <w:r>
        <w:rPr>
          <w:rFonts w:ascii="Abadi" w:hAnsi="Abadi" w:cs="*Arial-4805-Identity-H"/>
          <w:color w:val="14131B"/>
          <w:sz w:val="21"/>
          <w:szCs w:val="21"/>
        </w:rPr>
        <w:t xml:space="preserve">una </w:t>
      </w:r>
      <w:r w:rsidRPr="00F64AE8">
        <w:rPr>
          <w:rFonts w:ascii="Abadi" w:hAnsi="Abadi" w:cs="*Arial-4805-Identity-H"/>
          <w:color w:val="14131B"/>
          <w:sz w:val="21"/>
          <w:szCs w:val="21"/>
        </w:rPr>
        <w:t>adecuada programación de actividades del servicio, en razón de que los</w:t>
      </w:r>
      <w:r>
        <w:rPr>
          <w:rFonts w:ascii="Abadi" w:hAnsi="Abadi" w:cs="*Arial-4805-Identity-H"/>
          <w:color w:val="14131B"/>
          <w:sz w:val="21"/>
          <w:szCs w:val="21"/>
        </w:rPr>
        <w:t xml:space="preserve"> </w:t>
      </w:r>
      <w:r w:rsidRPr="00F64AE8">
        <w:rPr>
          <w:rFonts w:ascii="Abadi" w:hAnsi="Abadi" w:cs="*Arial-4805-Identity-H"/>
          <w:color w:val="14131B"/>
          <w:sz w:val="21"/>
          <w:szCs w:val="21"/>
        </w:rPr>
        <w:t>elementos de la planeación a corto plazo se identificaron en varios documentos</w:t>
      </w:r>
      <w:r>
        <w:rPr>
          <w:rFonts w:ascii="Abadi" w:hAnsi="Abadi" w:cs="*Arial-4805-Identity-H"/>
          <w:color w:val="14131B"/>
          <w:sz w:val="21"/>
          <w:szCs w:val="21"/>
        </w:rPr>
        <w:t xml:space="preserve"> </w:t>
      </w:r>
      <w:r w:rsidRPr="00F64AE8">
        <w:rPr>
          <w:rFonts w:ascii="Abadi" w:hAnsi="Abadi" w:cs="*Arial-4805-Identity-H"/>
          <w:color w:val="14131B"/>
          <w:sz w:val="21"/>
          <w:szCs w:val="21"/>
        </w:rPr>
        <w:t>aislados, lo que limitó la realización del seguimiento de la operación del servicio de</w:t>
      </w:r>
      <w:r>
        <w:rPr>
          <w:rFonts w:ascii="Abadi" w:hAnsi="Abadi" w:cs="*Arial-4805-Identity-H"/>
          <w:color w:val="14131B"/>
          <w:sz w:val="21"/>
          <w:szCs w:val="21"/>
        </w:rPr>
        <w:t xml:space="preserve"> </w:t>
      </w:r>
      <w:r w:rsidRPr="00F64AE8">
        <w:rPr>
          <w:rFonts w:ascii="Abadi" w:hAnsi="Abadi" w:cs="*Arial-4805-Identity-H"/>
          <w:color w:val="14131B"/>
          <w:sz w:val="21"/>
          <w:szCs w:val="21"/>
        </w:rPr>
        <w:t>manera adecuada.</w:t>
      </w:r>
    </w:p>
    <w:p w14:paraId="689A531E" w14:textId="77777777" w:rsidR="00600B0C" w:rsidRPr="00F64AE8" w:rsidRDefault="00600B0C" w:rsidP="00600B0C">
      <w:pPr>
        <w:autoSpaceDE w:val="0"/>
        <w:autoSpaceDN w:val="0"/>
        <w:adjustRightInd w:val="0"/>
        <w:jc w:val="both"/>
        <w:rPr>
          <w:rFonts w:ascii="Abadi" w:hAnsi="Abadi" w:cs="*Arial-4805-Identity-H"/>
          <w:color w:val="14131B"/>
          <w:sz w:val="21"/>
          <w:szCs w:val="21"/>
        </w:rPr>
      </w:pPr>
    </w:p>
    <w:p w14:paraId="037395FF" w14:textId="77777777" w:rsidR="00600B0C" w:rsidRPr="00F64AE8" w:rsidRDefault="00600B0C" w:rsidP="00600B0C">
      <w:pPr>
        <w:autoSpaceDE w:val="0"/>
        <w:autoSpaceDN w:val="0"/>
        <w:adjustRightInd w:val="0"/>
        <w:ind w:firstLine="708"/>
        <w:jc w:val="both"/>
        <w:rPr>
          <w:rFonts w:ascii="Abadi" w:hAnsi="Abadi" w:cs="*Arial-4805-Identity-H"/>
          <w:color w:val="14131C"/>
          <w:sz w:val="21"/>
          <w:szCs w:val="21"/>
        </w:rPr>
      </w:pPr>
      <w:r w:rsidRPr="00F64AE8">
        <w:rPr>
          <w:rFonts w:ascii="Abadi" w:hAnsi="Abadi" w:cs="*Arial-4805-Identity-H"/>
          <w:color w:val="14131C"/>
          <w:sz w:val="21"/>
          <w:szCs w:val="21"/>
        </w:rPr>
        <w:t>Por lo que hace a la capacidad del sujeto fiscalizado para garantizar una</w:t>
      </w:r>
      <w:r>
        <w:rPr>
          <w:rFonts w:ascii="Abadi" w:hAnsi="Abadi" w:cs="*Arial-4805-Identity-H"/>
          <w:color w:val="14131C"/>
          <w:sz w:val="21"/>
          <w:szCs w:val="21"/>
        </w:rPr>
        <w:t xml:space="preserve"> </w:t>
      </w:r>
      <w:r w:rsidRPr="00F64AE8">
        <w:rPr>
          <w:rFonts w:ascii="Abadi" w:hAnsi="Abadi" w:cs="*Arial-4805-Identity-H"/>
          <w:color w:val="14131C"/>
          <w:sz w:val="21"/>
          <w:szCs w:val="21"/>
        </w:rPr>
        <w:t xml:space="preserve">prestación permanente </w:t>
      </w:r>
      <w:r w:rsidRPr="00F64AE8">
        <w:rPr>
          <w:rFonts w:ascii="Abadi" w:hAnsi="Abadi" w:cs="*Microsoft Sans Serif-4807-Iden"/>
          <w:color w:val="14131C"/>
          <w:sz w:val="21"/>
          <w:szCs w:val="21"/>
        </w:rPr>
        <w:t xml:space="preserve">y </w:t>
      </w:r>
      <w:r w:rsidRPr="00F64AE8">
        <w:rPr>
          <w:rFonts w:ascii="Abadi" w:hAnsi="Abadi" w:cs="*Arial-4805-Identity-H"/>
          <w:color w:val="14131C"/>
          <w:sz w:val="21"/>
          <w:szCs w:val="21"/>
        </w:rPr>
        <w:t>efectiva del servicio de alumbrado público, se analizó la</w:t>
      </w:r>
      <w:r>
        <w:rPr>
          <w:rFonts w:ascii="Abadi" w:hAnsi="Abadi" w:cs="*Arial-4805-Identity-H"/>
          <w:color w:val="14131C"/>
          <w:sz w:val="21"/>
          <w:szCs w:val="21"/>
        </w:rPr>
        <w:t xml:space="preserve"> </w:t>
      </w:r>
      <w:r w:rsidRPr="00F64AE8">
        <w:rPr>
          <w:rFonts w:ascii="Abadi" w:hAnsi="Abadi" w:cs="*Arial-4805-Identity-H"/>
          <w:color w:val="14131C"/>
          <w:sz w:val="21"/>
          <w:szCs w:val="21"/>
        </w:rPr>
        <w:t>calidad de la información relativa a los logros en materia de mantenimiento,</w:t>
      </w:r>
      <w:r>
        <w:rPr>
          <w:rFonts w:ascii="Abadi" w:hAnsi="Abadi" w:cs="*Arial-4805-Identity-H"/>
          <w:color w:val="14131C"/>
          <w:sz w:val="21"/>
          <w:szCs w:val="21"/>
        </w:rPr>
        <w:t xml:space="preserve"> </w:t>
      </w:r>
      <w:r w:rsidRPr="00F64AE8">
        <w:rPr>
          <w:rFonts w:ascii="Abadi" w:hAnsi="Abadi" w:cs="*Arial-4805-Identity-H"/>
          <w:color w:val="14131C"/>
          <w:sz w:val="21"/>
          <w:szCs w:val="21"/>
        </w:rPr>
        <w:t>observándose que el sujeto fiscalizado realizó acciones de mantenimiento</w:t>
      </w:r>
      <w:r>
        <w:rPr>
          <w:rFonts w:ascii="Abadi" w:hAnsi="Abadi" w:cs="*Arial-4805-Identity-H"/>
          <w:color w:val="14131C"/>
          <w:sz w:val="21"/>
          <w:szCs w:val="21"/>
        </w:rPr>
        <w:t xml:space="preserve"> </w:t>
      </w:r>
      <w:r w:rsidRPr="00F64AE8">
        <w:rPr>
          <w:rFonts w:ascii="Abadi" w:hAnsi="Abadi" w:cs="*Arial-4805-Identity-H"/>
          <w:color w:val="14131C"/>
          <w:sz w:val="21"/>
          <w:szCs w:val="21"/>
        </w:rPr>
        <w:t>preventivo y correctivo; identificándose que las cifras reportadas en la evidencia e</w:t>
      </w:r>
      <w:r>
        <w:rPr>
          <w:rFonts w:ascii="Abadi" w:hAnsi="Abadi" w:cs="*Arial-4805-Identity-H"/>
          <w:color w:val="14131C"/>
          <w:sz w:val="21"/>
          <w:szCs w:val="21"/>
        </w:rPr>
        <w:t xml:space="preserve"> </w:t>
      </w:r>
      <w:r w:rsidRPr="00F64AE8">
        <w:rPr>
          <w:rFonts w:ascii="Abadi" w:hAnsi="Abadi" w:cs="*Arial-4805-Identity-H"/>
          <w:color w:val="14131C"/>
          <w:sz w:val="21"/>
          <w:szCs w:val="21"/>
        </w:rPr>
        <w:t>indicadores fueron inconsistentes entre sí, no acreditándose los resultados</w:t>
      </w:r>
      <w:r>
        <w:rPr>
          <w:rFonts w:ascii="Abadi" w:hAnsi="Abadi" w:cs="*Arial-4805-Identity-H"/>
          <w:color w:val="14131C"/>
          <w:sz w:val="21"/>
          <w:szCs w:val="21"/>
        </w:rPr>
        <w:t xml:space="preserve"> </w:t>
      </w:r>
      <w:r w:rsidRPr="00F64AE8">
        <w:rPr>
          <w:rFonts w:ascii="Abadi" w:hAnsi="Abadi" w:cs="*Arial-4805-Identity-H"/>
          <w:color w:val="14131C"/>
          <w:sz w:val="21"/>
          <w:szCs w:val="21"/>
        </w:rPr>
        <w:t>alcanzados en la materia.</w:t>
      </w:r>
    </w:p>
    <w:p w14:paraId="044E00ED" w14:textId="77777777" w:rsidR="00600B0C" w:rsidRPr="00F64AE8" w:rsidRDefault="00600B0C" w:rsidP="00600B0C">
      <w:pPr>
        <w:autoSpaceDE w:val="0"/>
        <w:autoSpaceDN w:val="0"/>
        <w:adjustRightInd w:val="0"/>
        <w:jc w:val="both"/>
        <w:rPr>
          <w:rFonts w:ascii="Abadi" w:hAnsi="Abadi" w:cs="*Arial-5727-Identity-H"/>
          <w:color w:val="181620"/>
          <w:sz w:val="21"/>
          <w:szCs w:val="21"/>
        </w:rPr>
      </w:pPr>
    </w:p>
    <w:p w14:paraId="3F863ACC" w14:textId="77777777" w:rsidR="00600B0C" w:rsidRDefault="00600B0C" w:rsidP="00600B0C">
      <w:pPr>
        <w:autoSpaceDE w:val="0"/>
        <w:autoSpaceDN w:val="0"/>
        <w:adjustRightInd w:val="0"/>
        <w:ind w:firstLine="708"/>
        <w:jc w:val="both"/>
        <w:rPr>
          <w:rFonts w:ascii="Abadi" w:hAnsi="Abadi" w:cs="*Arial-5725-Identity-H"/>
          <w:color w:val="14131B"/>
          <w:sz w:val="21"/>
          <w:szCs w:val="21"/>
        </w:rPr>
      </w:pPr>
      <w:r w:rsidRPr="00F64AE8">
        <w:rPr>
          <w:rFonts w:ascii="Abadi" w:hAnsi="Abadi" w:cs="*Arial-5725-Identity-H"/>
          <w:color w:val="14131B"/>
          <w:sz w:val="21"/>
          <w:szCs w:val="21"/>
        </w:rPr>
        <w:t>En relación a la cobertura y satisfacción del servicio de alumbrado público,</w:t>
      </w:r>
      <w:r>
        <w:rPr>
          <w:rFonts w:ascii="Abadi" w:hAnsi="Abadi" w:cs="*Arial-5725-Identity-H"/>
          <w:color w:val="14131B"/>
          <w:sz w:val="21"/>
          <w:szCs w:val="21"/>
        </w:rPr>
        <w:t xml:space="preserve"> </w:t>
      </w:r>
      <w:r w:rsidRPr="00F64AE8">
        <w:rPr>
          <w:rFonts w:ascii="Abadi" w:hAnsi="Abadi" w:cs="*Arial-5725-Identity-H"/>
          <w:color w:val="14131B"/>
          <w:sz w:val="21"/>
          <w:szCs w:val="21"/>
        </w:rPr>
        <w:t>se refiere que el sujeto fiscalizado contó con mecanismos que le permitieron</w:t>
      </w:r>
      <w:r>
        <w:rPr>
          <w:rFonts w:ascii="Abadi" w:hAnsi="Abadi" w:cs="*Arial-5725-Identity-H"/>
          <w:color w:val="14131B"/>
          <w:sz w:val="21"/>
          <w:szCs w:val="21"/>
        </w:rPr>
        <w:t xml:space="preserve"> </w:t>
      </w:r>
      <w:r w:rsidRPr="00F64AE8">
        <w:rPr>
          <w:rFonts w:ascii="Abadi" w:hAnsi="Abadi" w:cs="*Arial-5725-Identity-H"/>
          <w:color w:val="14131B"/>
          <w:sz w:val="21"/>
          <w:szCs w:val="21"/>
        </w:rPr>
        <w:t>conocer la cobertura del sistema de alumbrado público y la satisfacción del</w:t>
      </w:r>
      <w:r>
        <w:rPr>
          <w:rFonts w:ascii="Abadi" w:hAnsi="Abadi" w:cs="*Arial-5725-Identity-H"/>
          <w:color w:val="14131B"/>
          <w:sz w:val="21"/>
          <w:szCs w:val="21"/>
        </w:rPr>
        <w:t xml:space="preserve"> </w:t>
      </w:r>
      <w:r w:rsidRPr="00F64AE8">
        <w:rPr>
          <w:rFonts w:ascii="Abadi" w:hAnsi="Abadi" w:cs="*Arial-5725-Identity-H"/>
          <w:color w:val="14131B"/>
          <w:sz w:val="21"/>
          <w:szCs w:val="21"/>
        </w:rPr>
        <w:t>servicio en 2020.</w:t>
      </w:r>
    </w:p>
    <w:p w14:paraId="1B8A6E84" w14:textId="77777777" w:rsidR="00600B0C" w:rsidRPr="00F64AE8" w:rsidRDefault="00600B0C" w:rsidP="00600B0C">
      <w:pPr>
        <w:autoSpaceDE w:val="0"/>
        <w:autoSpaceDN w:val="0"/>
        <w:adjustRightInd w:val="0"/>
        <w:jc w:val="both"/>
        <w:rPr>
          <w:rFonts w:ascii="Abadi" w:hAnsi="Abadi" w:cs="*Arial-5725-Identity-H"/>
          <w:color w:val="14131B"/>
          <w:sz w:val="21"/>
          <w:szCs w:val="21"/>
        </w:rPr>
      </w:pPr>
    </w:p>
    <w:p w14:paraId="28BE7F98" w14:textId="77777777" w:rsidR="00600B0C" w:rsidRDefault="00600B0C" w:rsidP="00600B0C">
      <w:pPr>
        <w:autoSpaceDE w:val="0"/>
        <w:autoSpaceDN w:val="0"/>
        <w:adjustRightInd w:val="0"/>
        <w:jc w:val="both"/>
        <w:rPr>
          <w:rFonts w:ascii="Abadi" w:hAnsi="Abadi" w:cs="*Arial-5725-Identity-H"/>
          <w:color w:val="14131B"/>
          <w:sz w:val="21"/>
          <w:szCs w:val="21"/>
        </w:rPr>
      </w:pPr>
      <w:r w:rsidRPr="00F64AE8">
        <w:rPr>
          <w:rFonts w:ascii="Abadi" w:hAnsi="Abadi" w:cs="*Arial-5725-Identity-H"/>
          <w:color w:val="14131B"/>
          <w:sz w:val="21"/>
          <w:szCs w:val="21"/>
        </w:rPr>
        <w:t>En el caso de la función de seguimiento, la revisión se enfocó en constatar</w:t>
      </w:r>
      <w:r>
        <w:rPr>
          <w:rFonts w:ascii="Abadi" w:hAnsi="Abadi" w:cs="*Arial-5725-Identity-H"/>
          <w:color w:val="14131B"/>
          <w:sz w:val="21"/>
          <w:szCs w:val="21"/>
        </w:rPr>
        <w:t xml:space="preserve"> </w:t>
      </w:r>
      <w:r w:rsidRPr="00F64AE8">
        <w:rPr>
          <w:rFonts w:ascii="Abadi" w:hAnsi="Abadi" w:cs="*Arial-5725-Identity-H"/>
          <w:color w:val="14131B"/>
          <w:sz w:val="21"/>
          <w:szCs w:val="21"/>
        </w:rPr>
        <w:t>si el sujeto fiscalizado contó con mecanismos que permitieran medir el desempeño</w:t>
      </w:r>
      <w:r>
        <w:rPr>
          <w:rFonts w:ascii="Abadi" w:hAnsi="Abadi" w:cs="*Arial-5725-Identity-H"/>
          <w:color w:val="14131B"/>
          <w:sz w:val="21"/>
          <w:szCs w:val="21"/>
        </w:rPr>
        <w:t xml:space="preserve"> </w:t>
      </w:r>
      <w:r w:rsidRPr="00F64AE8">
        <w:rPr>
          <w:rFonts w:ascii="Abadi" w:hAnsi="Abadi" w:cs="*Arial-5725-Identity-H"/>
          <w:color w:val="14131B"/>
          <w:sz w:val="21"/>
          <w:szCs w:val="21"/>
        </w:rPr>
        <w:t>y los resultados del servicio de alumbrado público, obteniendo como principal</w:t>
      </w:r>
      <w:r>
        <w:rPr>
          <w:rFonts w:ascii="Abadi" w:hAnsi="Abadi" w:cs="*Arial-5725-Identity-H"/>
          <w:color w:val="14131B"/>
          <w:sz w:val="21"/>
          <w:szCs w:val="21"/>
        </w:rPr>
        <w:t xml:space="preserve"> </w:t>
      </w:r>
      <w:r w:rsidRPr="00F64AE8">
        <w:rPr>
          <w:rFonts w:ascii="Abadi" w:hAnsi="Abadi" w:cs="*Arial-5725-Identity-H"/>
          <w:color w:val="14131B"/>
          <w:sz w:val="21"/>
          <w:szCs w:val="21"/>
        </w:rPr>
        <w:t>hallazgo que se dispuso de una Matriz de indicadores para Resultados para el</w:t>
      </w:r>
      <w:r>
        <w:rPr>
          <w:rFonts w:ascii="Abadi" w:hAnsi="Abadi" w:cs="*Arial-5725-Identity-H"/>
          <w:color w:val="14131B"/>
          <w:sz w:val="21"/>
          <w:szCs w:val="21"/>
        </w:rPr>
        <w:t xml:space="preserve"> </w:t>
      </w:r>
      <w:r w:rsidRPr="00F64AE8">
        <w:rPr>
          <w:rFonts w:ascii="Abadi" w:hAnsi="Abadi" w:cs="*Arial-5725-Identity-H"/>
          <w:color w:val="14131B"/>
          <w:sz w:val="21"/>
          <w:szCs w:val="21"/>
        </w:rPr>
        <w:t xml:space="preserve">programa </w:t>
      </w:r>
      <w:r w:rsidRPr="00F64AE8">
        <w:rPr>
          <w:rFonts w:ascii="Abadi" w:hAnsi="Abadi" w:cs="*Arial-Italic-5726-Identity-H"/>
          <w:i/>
          <w:iCs/>
          <w:color w:val="14131B"/>
          <w:sz w:val="21"/>
          <w:szCs w:val="21"/>
        </w:rPr>
        <w:t xml:space="preserve">E1407, </w:t>
      </w:r>
      <w:r w:rsidRPr="00F64AE8">
        <w:rPr>
          <w:rFonts w:ascii="Abadi" w:hAnsi="Abadi" w:cs="*Arial-5725-Identity-H"/>
          <w:color w:val="14131B"/>
          <w:sz w:val="21"/>
          <w:szCs w:val="21"/>
        </w:rPr>
        <w:t>la cual integró seis indicadores para conocer la eficiencia y</w:t>
      </w:r>
      <w:r>
        <w:rPr>
          <w:rFonts w:ascii="Abadi" w:hAnsi="Abadi" w:cs="*Arial-5725-Identity-H"/>
          <w:color w:val="14131B"/>
          <w:sz w:val="21"/>
          <w:szCs w:val="21"/>
        </w:rPr>
        <w:t xml:space="preserve"> </w:t>
      </w:r>
      <w:r w:rsidRPr="00F64AE8">
        <w:rPr>
          <w:rFonts w:ascii="Abadi" w:hAnsi="Abadi" w:cs="*Arial-5725-Identity-H"/>
          <w:color w:val="14131B"/>
          <w:sz w:val="21"/>
          <w:szCs w:val="21"/>
        </w:rPr>
        <w:t>eficacia del servicio; sin embargo, se identificaron aspectos de mejora en la</w:t>
      </w:r>
      <w:r>
        <w:rPr>
          <w:rFonts w:ascii="Abadi" w:hAnsi="Abadi" w:cs="*Arial-5725-Identity-H"/>
          <w:color w:val="14131B"/>
          <w:sz w:val="21"/>
          <w:szCs w:val="21"/>
        </w:rPr>
        <w:t xml:space="preserve">  </w:t>
      </w:r>
      <w:r w:rsidRPr="00F64AE8">
        <w:rPr>
          <w:rFonts w:ascii="Abadi" w:hAnsi="Abadi" w:cs="*Arial-5725-Identity-H"/>
          <w:color w:val="14131B"/>
          <w:sz w:val="21"/>
          <w:szCs w:val="21"/>
        </w:rPr>
        <w:t>sintaxis y en la secuencia lógica de los tres primeros niveles, así como en la</w:t>
      </w:r>
      <w:r>
        <w:rPr>
          <w:rFonts w:ascii="Abadi" w:hAnsi="Abadi" w:cs="*Arial-5725-Identity-H"/>
          <w:color w:val="14131B"/>
          <w:sz w:val="21"/>
          <w:szCs w:val="21"/>
        </w:rPr>
        <w:t xml:space="preserve"> </w:t>
      </w:r>
      <w:r w:rsidRPr="00F64AE8">
        <w:rPr>
          <w:rFonts w:ascii="Abadi" w:hAnsi="Abadi" w:cs="*Arial-5725-Identity-H"/>
          <w:color w:val="14131B"/>
          <w:sz w:val="21"/>
          <w:szCs w:val="21"/>
        </w:rPr>
        <w:t>existencia de indicadores y metas pertinentes que no sólo midan modernización y</w:t>
      </w:r>
      <w:r>
        <w:rPr>
          <w:rFonts w:ascii="Abadi" w:hAnsi="Abadi" w:cs="*Arial-5725-Identity-H"/>
          <w:color w:val="14131B"/>
          <w:sz w:val="21"/>
          <w:szCs w:val="21"/>
        </w:rPr>
        <w:t xml:space="preserve"> </w:t>
      </w:r>
      <w:r w:rsidRPr="00F64AE8">
        <w:rPr>
          <w:rFonts w:ascii="Abadi" w:hAnsi="Abadi" w:cs="*Arial-5725-Identity-H"/>
          <w:color w:val="14131B"/>
          <w:sz w:val="21"/>
          <w:szCs w:val="21"/>
        </w:rPr>
        <w:t>mantenimiento, sino también la cobertura, la calidad en el servicio, la eficiencia</w:t>
      </w:r>
      <w:r>
        <w:rPr>
          <w:rFonts w:ascii="Abadi" w:hAnsi="Abadi" w:cs="*Arial-5725-Identity-H"/>
          <w:color w:val="14131B"/>
          <w:sz w:val="21"/>
          <w:szCs w:val="21"/>
        </w:rPr>
        <w:t xml:space="preserve"> </w:t>
      </w:r>
      <w:r w:rsidRPr="00F64AE8">
        <w:rPr>
          <w:rFonts w:ascii="Abadi" w:hAnsi="Abadi" w:cs="*Arial-5725-Identity-H"/>
          <w:color w:val="14131B"/>
          <w:sz w:val="21"/>
          <w:szCs w:val="21"/>
        </w:rPr>
        <w:t>energética y la oportunidad en la atención de reportes. Específicamente del</w:t>
      </w:r>
      <w:r>
        <w:rPr>
          <w:rFonts w:ascii="Abadi" w:hAnsi="Abadi" w:cs="*Arial-5725-Identity-H"/>
          <w:color w:val="14131B"/>
          <w:sz w:val="21"/>
          <w:szCs w:val="21"/>
        </w:rPr>
        <w:t xml:space="preserve"> </w:t>
      </w:r>
      <w:r w:rsidRPr="00F64AE8">
        <w:rPr>
          <w:rFonts w:ascii="Abadi" w:hAnsi="Abadi" w:cs="*Arial-5725-Identity-H"/>
          <w:color w:val="14131B"/>
          <w:sz w:val="21"/>
          <w:szCs w:val="21"/>
        </w:rPr>
        <w:t>avance de metas se observó que en 3 de los 6 indicadores se superaron en más</w:t>
      </w:r>
      <w:r>
        <w:rPr>
          <w:rFonts w:ascii="Abadi" w:hAnsi="Abadi" w:cs="*Arial-5725-Identity-H"/>
          <w:color w:val="14131B"/>
          <w:sz w:val="21"/>
          <w:szCs w:val="21"/>
        </w:rPr>
        <w:t xml:space="preserve"> </w:t>
      </w:r>
      <w:r w:rsidRPr="00F64AE8">
        <w:rPr>
          <w:rFonts w:ascii="Abadi" w:hAnsi="Abadi" w:cs="*Arial-5725-Identity-H"/>
          <w:color w:val="14131B"/>
          <w:sz w:val="21"/>
          <w:szCs w:val="21"/>
        </w:rPr>
        <w:t>de 100%, no obstante, no estuvieron documentados con evidencia formal y</w:t>
      </w:r>
      <w:r>
        <w:rPr>
          <w:rFonts w:ascii="Abadi" w:hAnsi="Abadi" w:cs="*Arial-5725-Identity-H"/>
          <w:color w:val="14131B"/>
          <w:sz w:val="21"/>
          <w:szCs w:val="21"/>
        </w:rPr>
        <w:t xml:space="preserve"> </w:t>
      </w:r>
      <w:r w:rsidRPr="00F64AE8">
        <w:rPr>
          <w:rFonts w:ascii="Abadi" w:hAnsi="Abadi" w:cs="*Arial-5725-Identity-H"/>
          <w:color w:val="14131B"/>
          <w:sz w:val="21"/>
          <w:szCs w:val="21"/>
        </w:rPr>
        <w:t>consistente.</w:t>
      </w:r>
    </w:p>
    <w:p w14:paraId="2F31A231" w14:textId="77777777" w:rsidR="00600B0C" w:rsidRPr="00F64AE8" w:rsidRDefault="00600B0C" w:rsidP="00600B0C">
      <w:pPr>
        <w:autoSpaceDE w:val="0"/>
        <w:autoSpaceDN w:val="0"/>
        <w:adjustRightInd w:val="0"/>
        <w:jc w:val="both"/>
        <w:rPr>
          <w:rFonts w:ascii="Abadi" w:hAnsi="Abadi" w:cs="*Arial-5725-Identity-H"/>
          <w:color w:val="14131B"/>
          <w:sz w:val="21"/>
          <w:szCs w:val="21"/>
        </w:rPr>
      </w:pPr>
    </w:p>
    <w:p w14:paraId="1E27FF94" w14:textId="77777777" w:rsidR="00600B0C" w:rsidRPr="00F64AE8" w:rsidRDefault="00600B0C" w:rsidP="00600B0C">
      <w:pPr>
        <w:autoSpaceDE w:val="0"/>
        <w:autoSpaceDN w:val="0"/>
        <w:adjustRightInd w:val="0"/>
        <w:ind w:firstLine="708"/>
        <w:jc w:val="both"/>
        <w:rPr>
          <w:rFonts w:ascii="Abadi" w:hAnsi="Abadi" w:cs="*Arial-5725-Identity-H"/>
          <w:color w:val="14131B"/>
          <w:sz w:val="21"/>
          <w:szCs w:val="21"/>
        </w:rPr>
      </w:pPr>
      <w:r w:rsidRPr="00F64AE8">
        <w:rPr>
          <w:rFonts w:ascii="Abadi" w:hAnsi="Abadi" w:cs="*Arial-5725-Identity-H"/>
          <w:color w:val="14131B"/>
          <w:sz w:val="21"/>
          <w:szCs w:val="21"/>
        </w:rPr>
        <w:t>Lo antes señalado, limitó conocer la eficacia -en su totalidad- en el</w:t>
      </w:r>
      <w:r>
        <w:rPr>
          <w:rFonts w:ascii="Abadi" w:hAnsi="Abadi" w:cs="*Arial-5725-Identity-H"/>
          <w:color w:val="14131B"/>
          <w:sz w:val="21"/>
          <w:szCs w:val="21"/>
        </w:rPr>
        <w:t xml:space="preserve"> </w:t>
      </w:r>
      <w:r w:rsidRPr="00F64AE8">
        <w:rPr>
          <w:rFonts w:ascii="Abadi" w:hAnsi="Abadi" w:cs="*Arial-5725-Identity-H"/>
          <w:color w:val="14131B"/>
          <w:sz w:val="21"/>
          <w:szCs w:val="21"/>
        </w:rPr>
        <w:t>otorgamiento del servicio de alumbrado público, al no contar con información</w:t>
      </w:r>
      <w:r>
        <w:rPr>
          <w:rFonts w:ascii="Abadi" w:hAnsi="Abadi" w:cs="*Arial-5725-Identity-H"/>
          <w:color w:val="14131B"/>
          <w:sz w:val="21"/>
          <w:szCs w:val="21"/>
        </w:rPr>
        <w:t xml:space="preserve"> </w:t>
      </w:r>
      <w:r w:rsidRPr="00F64AE8">
        <w:rPr>
          <w:rFonts w:ascii="Abadi" w:hAnsi="Abadi" w:cs="*Arial-5725-Identity-H"/>
          <w:color w:val="14131B"/>
          <w:sz w:val="21"/>
          <w:szCs w:val="21"/>
        </w:rPr>
        <w:t>suficiente, pertinente y consistente del total de luminarias del municipio al 2020, la</w:t>
      </w:r>
      <w:r>
        <w:rPr>
          <w:rFonts w:ascii="Abadi" w:hAnsi="Abadi" w:cs="*Arial-5725-Identity-H"/>
          <w:color w:val="14131B"/>
          <w:sz w:val="21"/>
          <w:szCs w:val="21"/>
        </w:rPr>
        <w:t xml:space="preserve"> </w:t>
      </w:r>
      <w:r w:rsidRPr="00F64AE8">
        <w:rPr>
          <w:rFonts w:ascii="Abadi" w:hAnsi="Abadi" w:cs="*Arial-5725-Identity-H"/>
          <w:color w:val="14131B"/>
          <w:sz w:val="21"/>
          <w:szCs w:val="21"/>
        </w:rPr>
        <w:t>cobertura de atención por tipo de zona (rural/urbana), el tipo de mantenimiento,</w:t>
      </w:r>
      <w:r>
        <w:rPr>
          <w:rFonts w:ascii="Abadi" w:hAnsi="Abadi" w:cs="*Arial-5725-Identity-H"/>
          <w:color w:val="14131B"/>
          <w:sz w:val="21"/>
          <w:szCs w:val="21"/>
        </w:rPr>
        <w:t xml:space="preserve"> </w:t>
      </w:r>
      <w:r w:rsidRPr="00F64AE8">
        <w:rPr>
          <w:rFonts w:ascii="Abadi" w:hAnsi="Abadi" w:cs="*Arial-5725-Identity-H"/>
          <w:color w:val="14131B"/>
          <w:sz w:val="21"/>
          <w:szCs w:val="21"/>
        </w:rPr>
        <w:t>aunado a la carencia de mecanismos de control para asegurar la consecución de</w:t>
      </w:r>
    </w:p>
    <w:p w14:paraId="7F849911" w14:textId="77777777" w:rsidR="00600B0C" w:rsidRDefault="00600B0C" w:rsidP="00600B0C">
      <w:pPr>
        <w:autoSpaceDE w:val="0"/>
        <w:autoSpaceDN w:val="0"/>
        <w:adjustRightInd w:val="0"/>
        <w:jc w:val="both"/>
        <w:rPr>
          <w:rFonts w:ascii="Abadi" w:hAnsi="Abadi" w:cs="*Arial-5725-Identity-H"/>
          <w:color w:val="14131B"/>
          <w:sz w:val="21"/>
          <w:szCs w:val="21"/>
        </w:rPr>
      </w:pPr>
      <w:r w:rsidRPr="00F64AE8">
        <w:rPr>
          <w:rFonts w:ascii="Abadi" w:hAnsi="Abadi" w:cs="*Arial-5725-Identity-H"/>
          <w:color w:val="14131B"/>
          <w:sz w:val="21"/>
          <w:szCs w:val="21"/>
        </w:rPr>
        <w:t>los objetivos establecidos en la Matriz de Indicadores para Resultados, lo que</w:t>
      </w:r>
      <w:r>
        <w:rPr>
          <w:rFonts w:ascii="Abadi" w:hAnsi="Abadi" w:cs="*Arial-5725-Identity-H"/>
          <w:color w:val="14131B"/>
          <w:sz w:val="21"/>
          <w:szCs w:val="21"/>
        </w:rPr>
        <w:t xml:space="preserve"> imitó</w:t>
      </w:r>
      <w:r w:rsidRPr="00F64AE8">
        <w:rPr>
          <w:rFonts w:ascii="Abadi" w:hAnsi="Abadi" w:cs="*Arial-5725-Identity-H"/>
          <w:color w:val="14131B"/>
          <w:sz w:val="21"/>
          <w:szCs w:val="21"/>
        </w:rPr>
        <w:t xml:space="preserve"> conocer con certeza los resultados logrados por el sujeto fiscalizado en la</w:t>
      </w:r>
      <w:r>
        <w:rPr>
          <w:rFonts w:ascii="Abadi" w:hAnsi="Abadi" w:cs="*Arial-5725-Identity-H"/>
          <w:color w:val="14131B"/>
          <w:sz w:val="21"/>
          <w:szCs w:val="21"/>
        </w:rPr>
        <w:t xml:space="preserve"> </w:t>
      </w:r>
      <w:r w:rsidRPr="00F64AE8">
        <w:rPr>
          <w:rFonts w:ascii="Abadi" w:hAnsi="Abadi" w:cs="*Arial-5725-Identity-H"/>
          <w:color w:val="14131B"/>
          <w:sz w:val="21"/>
          <w:szCs w:val="21"/>
        </w:rPr>
        <w:t>materia.</w:t>
      </w:r>
    </w:p>
    <w:p w14:paraId="1CF12C3F" w14:textId="77777777" w:rsidR="00600B0C" w:rsidRPr="00F64AE8" w:rsidRDefault="00600B0C" w:rsidP="00600B0C">
      <w:pPr>
        <w:autoSpaceDE w:val="0"/>
        <w:autoSpaceDN w:val="0"/>
        <w:adjustRightInd w:val="0"/>
        <w:jc w:val="both"/>
        <w:rPr>
          <w:rFonts w:ascii="Abadi" w:hAnsi="Abadi" w:cs="*Arial-5725-Identity-H"/>
          <w:color w:val="14131B"/>
          <w:sz w:val="21"/>
          <w:szCs w:val="21"/>
        </w:rPr>
      </w:pPr>
    </w:p>
    <w:p w14:paraId="6B3B2528" w14:textId="77777777" w:rsidR="00600B0C" w:rsidRDefault="00600B0C" w:rsidP="00600B0C">
      <w:pPr>
        <w:autoSpaceDE w:val="0"/>
        <w:autoSpaceDN w:val="0"/>
        <w:adjustRightInd w:val="0"/>
        <w:ind w:firstLine="708"/>
        <w:jc w:val="both"/>
        <w:rPr>
          <w:rFonts w:ascii="Abadi" w:hAnsi="Abadi" w:cs="*Arial-5725-Identity-H"/>
          <w:color w:val="14131B"/>
          <w:sz w:val="21"/>
          <w:szCs w:val="21"/>
        </w:rPr>
      </w:pPr>
      <w:r w:rsidRPr="00F64AE8">
        <w:rPr>
          <w:rFonts w:ascii="Abadi" w:hAnsi="Abadi" w:cs="*Arial-5725-Identity-H"/>
          <w:color w:val="14131B"/>
          <w:sz w:val="21"/>
          <w:szCs w:val="21"/>
        </w:rPr>
        <w:t>Derivado de las oportunidades referidas, se reconoce el compromiso</w:t>
      </w:r>
      <w:r>
        <w:rPr>
          <w:rFonts w:ascii="Abadi" w:hAnsi="Abadi" w:cs="*Arial-5725-Identity-H"/>
          <w:color w:val="14131B"/>
          <w:sz w:val="21"/>
          <w:szCs w:val="21"/>
        </w:rPr>
        <w:t xml:space="preserve"> </w:t>
      </w:r>
      <w:r w:rsidRPr="00F64AE8">
        <w:rPr>
          <w:rFonts w:ascii="Abadi" w:hAnsi="Abadi" w:cs="*Arial-5725-Identity-H"/>
          <w:color w:val="14131B"/>
          <w:sz w:val="21"/>
          <w:szCs w:val="21"/>
        </w:rPr>
        <w:t>mostrado por la administración pública municipal de Irapuato, Gto., para mejorar la</w:t>
      </w:r>
      <w:r>
        <w:rPr>
          <w:rFonts w:ascii="Abadi" w:hAnsi="Abadi" w:cs="*Arial-5725-Identity-H"/>
          <w:color w:val="14131B"/>
          <w:sz w:val="21"/>
          <w:szCs w:val="21"/>
        </w:rPr>
        <w:t xml:space="preserve"> </w:t>
      </w:r>
      <w:r w:rsidRPr="00F64AE8">
        <w:rPr>
          <w:rFonts w:ascii="Abadi" w:hAnsi="Abadi" w:cs="*Arial-5725-Identity-H"/>
          <w:color w:val="14131B"/>
          <w:sz w:val="21"/>
          <w:szCs w:val="21"/>
        </w:rPr>
        <w:t>gestión y los resultados de la prestación del servicio de alumbrado público a la</w:t>
      </w:r>
      <w:r>
        <w:rPr>
          <w:rFonts w:ascii="Abadi" w:hAnsi="Abadi" w:cs="*Arial-5725-Identity-H"/>
          <w:color w:val="14131B"/>
          <w:sz w:val="21"/>
          <w:szCs w:val="21"/>
        </w:rPr>
        <w:t xml:space="preserve"> </w:t>
      </w:r>
      <w:r w:rsidRPr="00F64AE8">
        <w:rPr>
          <w:rFonts w:ascii="Abadi" w:hAnsi="Abadi" w:cs="*Arial-5725-Identity-H"/>
          <w:color w:val="14131B"/>
          <w:sz w:val="21"/>
          <w:szCs w:val="21"/>
        </w:rPr>
        <w:t>población, al presentarse acciones a efecto de mejorar el servicio público, entre</w:t>
      </w:r>
      <w:r>
        <w:rPr>
          <w:rFonts w:ascii="Abadi" w:hAnsi="Abadi" w:cs="*Arial-5725-Identity-H"/>
          <w:color w:val="14131B"/>
          <w:sz w:val="21"/>
          <w:szCs w:val="21"/>
        </w:rPr>
        <w:t xml:space="preserve"> </w:t>
      </w:r>
      <w:r w:rsidRPr="00F64AE8">
        <w:rPr>
          <w:rFonts w:ascii="Abadi" w:hAnsi="Abadi" w:cs="*Arial-5725-Identity-H"/>
          <w:color w:val="14131B"/>
          <w:sz w:val="21"/>
          <w:szCs w:val="21"/>
        </w:rPr>
        <w:t>las que destacan las acciones para contar con un Manual de Organización</w:t>
      </w:r>
      <w:r>
        <w:rPr>
          <w:rFonts w:ascii="Abadi" w:hAnsi="Abadi" w:cs="*Arial-5725-Identity-H"/>
          <w:color w:val="14131B"/>
          <w:sz w:val="21"/>
          <w:szCs w:val="21"/>
        </w:rPr>
        <w:t xml:space="preserve"> </w:t>
      </w:r>
      <w:r w:rsidRPr="00F64AE8">
        <w:rPr>
          <w:rFonts w:ascii="Abadi" w:hAnsi="Abadi" w:cs="*Arial-5725-Identity-H"/>
          <w:color w:val="14131B"/>
          <w:sz w:val="21"/>
          <w:szCs w:val="21"/>
        </w:rPr>
        <w:t>actualizado y vinculado con la prestación del servicio de alumbrado público, con</w:t>
      </w:r>
      <w:r>
        <w:rPr>
          <w:rFonts w:ascii="Abadi" w:hAnsi="Abadi" w:cs="*Arial-5725-Identity-H"/>
          <w:color w:val="14131B"/>
          <w:sz w:val="21"/>
          <w:szCs w:val="21"/>
        </w:rPr>
        <w:t xml:space="preserve"> </w:t>
      </w:r>
      <w:r w:rsidRPr="00F64AE8">
        <w:rPr>
          <w:rFonts w:ascii="Abadi" w:hAnsi="Abadi" w:cs="*Arial-5725-Identity-H"/>
          <w:color w:val="14131B"/>
          <w:sz w:val="21"/>
          <w:szCs w:val="21"/>
        </w:rPr>
        <w:t xml:space="preserve">las funciones </w:t>
      </w:r>
      <w:r>
        <w:rPr>
          <w:rFonts w:ascii="Abadi" w:hAnsi="Abadi" w:cs="*Arial-5725-Identity-H"/>
          <w:color w:val="14131B"/>
          <w:sz w:val="21"/>
          <w:szCs w:val="21"/>
        </w:rPr>
        <w:t xml:space="preserve"> </w:t>
      </w:r>
      <w:r w:rsidRPr="00F64AE8">
        <w:rPr>
          <w:rFonts w:ascii="Abadi" w:hAnsi="Abadi" w:cs="*Arial-5725-Identity-H"/>
          <w:color w:val="14131B"/>
          <w:sz w:val="21"/>
          <w:szCs w:val="21"/>
        </w:rPr>
        <w:t>y perfiles del personal encargado de prestar el servicio que</w:t>
      </w:r>
      <w:r>
        <w:rPr>
          <w:rFonts w:ascii="Abadi" w:hAnsi="Abadi" w:cs="*Arial-5725-Identity-H"/>
          <w:color w:val="14131B"/>
          <w:sz w:val="21"/>
          <w:szCs w:val="21"/>
        </w:rPr>
        <w:t xml:space="preserve"> </w:t>
      </w:r>
      <w:r w:rsidRPr="00F64AE8">
        <w:rPr>
          <w:rFonts w:ascii="Abadi" w:hAnsi="Abadi" w:cs="*Arial-5725-Identity-H"/>
          <w:color w:val="14131B"/>
          <w:sz w:val="21"/>
          <w:szCs w:val="21"/>
        </w:rPr>
        <w:t>permitirán el aseguramiento de la adecuada organización y prestación del servicio</w:t>
      </w:r>
      <w:r>
        <w:rPr>
          <w:rFonts w:ascii="Abadi" w:hAnsi="Abadi" w:cs="*Arial-5725-Identity-H"/>
          <w:color w:val="14131B"/>
          <w:sz w:val="21"/>
          <w:szCs w:val="21"/>
        </w:rPr>
        <w:t xml:space="preserve"> </w:t>
      </w:r>
      <w:r w:rsidRPr="00F64AE8">
        <w:rPr>
          <w:rFonts w:ascii="Abadi" w:hAnsi="Abadi" w:cs="*Arial-5725-Identity-H"/>
          <w:color w:val="14131B"/>
          <w:sz w:val="21"/>
          <w:szCs w:val="21"/>
        </w:rPr>
        <w:t>con calidad; así como el fortalecimiento del sistema de reportes del servicio de</w:t>
      </w:r>
      <w:r>
        <w:rPr>
          <w:rFonts w:ascii="Abadi" w:hAnsi="Abadi" w:cs="*Arial-5725-Identity-H"/>
          <w:color w:val="14131B"/>
          <w:sz w:val="21"/>
          <w:szCs w:val="21"/>
        </w:rPr>
        <w:t xml:space="preserve"> </w:t>
      </w:r>
      <w:r w:rsidRPr="00F64AE8">
        <w:rPr>
          <w:rFonts w:ascii="Abadi" w:hAnsi="Abadi" w:cs="*Arial-5725-Identity-H"/>
          <w:color w:val="14131B"/>
          <w:sz w:val="21"/>
          <w:szCs w:val="21"/>
        </w:rPr>
        <w:t>alumbrado público y la diversificación de medios por los cuales los habitantes del</w:t>
      </w:r>
      <w:r>
        <w:rPr>
          <w:rFonts w:ascii="Abadi" w:hAnsi="Abadi" w:cs="*Arial-5725-Identity-H"/>
          <w:color w:val="14131B"/>
          <w:sz w:val="21"/>
          <w:szCs w:val="21"/>
        </w:rPr>
        <w:t xml:space="preserve"> </w:t>
      </w:r>
      <w:r w:rsidRPr="00F64AE8">
        <w:rPr>
          <w:rFonts w:ascii="Abadi" w:hAnsi="Abadi" w:cs="*Arial-5725-Identity-H"/>
          <w:color w:val="14131B"/>
          <w:sz w:val="21"/>
          <w:szCs w:val="21"/>
        </w:rPr>
        <w:t>municipio de Irapuato pueden realizar un reporte de falla o queja en el servicio.</w:t>
      </w:r>
      <w:r>
        <w:rPr>
          <w:rFonts w:ascii="Abadi" w:hAnsi="Abadi" w:cs="*Arial-5725-Identity-H"/>
          <w:color w:val="14131B"/>
          <w:sz w:val="21"/>
          <w:szCs w:val="21"/>
        </w:rPr>
        <w:t xml:space="preserve"> </w:t>
      </w:r>
    </w:p>
    <w:p w14:paraId="570D592E" w14:textId="77777777" w:rsidR="00600B0C" w:rsidRPr="00F64AE8" w:rsidRDefault="00600B0C" w:rsidP="00600B0C">
      <w:pPr>
        <w:autoSpaceDE w:val="0"/>
        <w:autoSpaceDN w:val="0"/>
        <w:adjustRightInd w:val="0"/>
        <w:jc w:val="both"/>
        <w:rPr>
          <w:rFonts w:ascii="Abadi" w:hAnsi="Abadi" w:cs="*Arial-5725-Identity-H"/>
          <w:color w:val="14131B"/>
          <w:sz w:val="21"/>
          <w:szCs w:val="21"/>
        </w:rPr>
      </w:pPr>
    </w:p>
    <w:p w14:paraId="3623180C" w14:textId="77777777" w:rsidR="00600B0C" w:rsidRDefault="00600B0C" w:rsidP="00600B0C">
      <w:pPr>
        <w:autoSpaceDE w:val="0"/>
        <w:autoSpaceDN w:val="0"/>
        <w:adjustRightInd w:val="0"/>
        <w:ind w:firstLine="708"/>
        <w:jc w:val="both"/>
        <w:rPr>
          <w:rFonts w:ascii="Abadi" w:hAnsi="Abadi" w:cs="*Arial-5077-Identity-H"/>
          <w:color w:val="14131B"/>
          <w:sz w:val="21"/>
          <w:szCs w:val="21"/>
        </w:rPr>
      </w:pPr>
      <w:r w:rsidRPr="00F64AE8">
        <w:rPr>
          <w:rFonts w:ascii="Abadi" w:hAnsi="Abadi" w:cs="*Arial-5077-Identity-H"/>
          <w:color w:val="14131B"/>
          <w:sz w:val="21"/>
          <w:szCs w:val="21"/>
        </w:rPr>
        <w:t>Finalmente, se establece que, de atenderse las recomendaciones</w:t>
      </w:r>
      <w:r>
        <w:rPr>
          <w:rFonts w:ascii="Abadi" w:hAnsi="Abadi" w:cs="*Arial-5077-Identity-H"/>
          <w:color w:val="14131B"/>
          <w:sz w:val="21"/>
          <w:szCs w:val="21"/>
        </w:rPr>
        <w:t xml:space="preserve"> </w:t>
      </w:r>
      <w:r w:rsidRPr="00F64AE8">
        <w:rPr>
          <w:rFonts w:ascii="Abadi" w:hAnsi="Abadi" w:cs="*Arial-5077-Identity-H"/>
          <w:color w:val="14131B"/>
          <w:sz w:val="21"/>
          <w:szCs w:val="21"/>
        </w:rPr>
        <w:t>formuladas, el sujeto fiscalizado estará en condiciones de optimizar la gestión</w:t>
      </w:r>
      <w:r>
        <w:rPr>
          <w:rFonts w:ascii="Abadi" w:hAnsi="Abadi" w:cs="*Arial-5077-Identity-H"/>
          <w:color w:val="14131B"/>
          <w:sz w:val="21"/>
          <w:szCs w:val="21"/>
        </w:rPr>
        <w:t xml:space="preserve"> </w:t>
      </w:r>
      <w:r w:rsidRPr="00F64AE8">
        <w:rPr>
          <w:rFonts w:ascii="Abadi" w:hAnsi="Abadi" w:cs="*Arial-5077-Identity-H"/>
          <w:color w:val="14131B"/>
          <w:sz w:val="21"/>
          <w:szCs w:val="21"/>
        </w:rPr>
        <w:t>pública para fortalecer la prestación del servicio de alumbrado público con una</w:t>
      </w:r>
      <w:r>
        <w:rPr>
          <w:rFonts w:ascii="Abadi" w:hAnsi="Abadi" w:cs="*Arial-5077-Identity-H"/>
          <w:color w:val="14131B"/>
          <w:sz w:val="21"/>
          <w:szCs w:val="21"/>
        </w:rPr>
        <w:t xml:space="preserve"> </w:t>
      </w:r>
      <w:r w:rsidRPr="00F64AE8">
        <w:rPr>
          <w:rFonts w:ascii="Abadi" w:hAnsi="Abadi" w:cs="*Arial-5077-Identity-H"/>
          <w:color w:val="14131B"/>
          <w:sz w:val="21"/>
          <w:szCs w:val="21"/>
        </w:rPr>
        <w:t>mayor orientación a principios de eficacia y eficiencia, incentivando la adecuación</w:t>
      </w:r>
      <w:r>
        <w:rPr>
          <w:rFonts w:ascii="Abadi" w:hAnsi="Abadi" w:cs="*Arial-5077-Identity-H"/>
          <w:color w:val="14131B"/>
          <w:sz w:val="21"/>
          <w:szCs w:val="21"/>
        </w:rPr>
        <w:t xml:space="preserve"> </w:t>
      </w:r>
      <w:r w:rsidRPr="00F64AE8">
        <w:rPr>
          <w:rFonts w:ascii="Abadi" w:hAnsi="Abadi" w:cs="*Arial-5077-Identity-H"/>
          <w:color w:val="14131B"/>
          <w:sz w:val="21"/>
          <w:szCs w:val="21"/>
        </w:rPr>
        <w:t>y atención de la normativa y el de logro de los propósitos, objetivos y metas,</w:t>
      </w:r>
      <w:r>
        <w:rPr>
          <w:rFonts w:ascii="Abadi" w:hAnsi="Abadi" w:cs="*Arial-5077-Identity-H"/>
          <w:color w:val="14131B"/>
          <w:sz w:val="21"/>
          <w:szCs w:val="21"/>
        </w:rPr>
        <w:t xml:space="preserve"> </w:t>
      </w:r>
      <w:r w:rsidRPr="00F64AE8">
        <w:rPr>
          <w:rFonts w:ascii="Abadi" w:hAnsi="Abadi" w:cs="*Arial-5077-Identity-H"/>
          <w:color w:val="14131B"/>
          <w:sz w:val="21"/>
          <w:szCs w:val="21"/>
        </w:rPr>
        <w:t>mediante la gestión de programas.</w:t>
      </w:r>
    </w:p>
    <w:p w14:paraId="7B5E5222" w14:textId="77777777" w:rsidR="00600B0C" w:rsidRPr="00F64AE8" w:rsidRDefault="00600B0C" w:rsidP="00600B0C">
      <w:pPr>
        <w:autoSpaceDE w:val="0"/>
        <w:autoSpaceDN w:val="0"/>
        <w:adjustRightInd w:val="0"/>
        <w:jc w:val="both"/>
        <w:rPr>
          <w:rFonts w:ascii="Abadi" w:hAnsi="Abadi" w:cs="*Arial-5077-Identity-H"/>
          <w:color w:val="14131B"/>
          <w:sz w:val="21"/>
          <w:szCs w:val="21"/>
        </w:rPr>
      </w:pPr>
    </w:p>
    <w:p w14:paraId="6C81D105" w14:textId="77777777" w:rsidR="00600B0C" w:rsidRPr="00F64AE8" w:rsidRDefault="00600B0C" w:rsidP="00600B0C">
      <w:pPr>
        <w:autoSpaceDE w:val="0"/>
        <w:autoSpaceDN w:val="0"/>
        <w:adjustRightInd w:val="0"/>
        <w:ind w:firstLine="708"/>
        <w:jc w:val="both"/>
        <w:rPr>
          <w:rFonts w:ascii="Abadi" w:hAnsi="Abadi" w:cs="*Arial-5077-Identity-H"/>
          <w:color w:val="14131B"/>
          <w:sz w:val="21"/>
          <w:szCs w:val="21"/>
        </w:rPr>
      </w:pPr>
      <w:r w:rsidRPr="00F64AE8">
        <w:rPr>
          <w:rFonts w:ascii="Abadi" w:hAnsi="Abadi" w:cs="*Arial-5077-Identity-H"/>
          <w:color w:val="14131B"/>
          <w:sz w:val="21"/>
          <w:szCs w:val="21"/>
        </w:rPr>
        <w:t>El seguimiento de dichos compromisos se realizará por la Auditoría</w:t>
      </w:r>
      <w:r>
        <w:rPr>
          <w:rFonts w:ascii="Abadi" w:hAnsi="Abadi" w:cs="*Arial-5077-Identity-H"/>
          <w:color w:val="14131B"/>
          <w:sz w:val="21"/>
          <w:szCs w:val="21"/>
        </w:rPr>
        <w:t xml:space="preserve"> </w:t>
      </w:r>
      <w:r w:rsidRPr="00F64AE8">
        <w:rPr>
          <w:rFonts w:ascii="Abadi" w:hAnsi="Abadi" w:cs="*Arial-5077-Identity-H"/>
          <w:color w:val="14131B"/>
          <w:sz w:val="21"/>
          <w:szCs w:val="21"/>
        </w:rPr>
        <w:t>Superior del Estado, respecto de las recomendaciones donde se valora que el</w:t>
      </w:r>
      <w:r>
        <w:rPr>
          <w:rFonts w:ascii="Abadi" w:hAnsi="Abadi" w:cs="*Arial-5077-Identity-H"/>
          <w:color w:val="14131B"/>
          <w:sz w:val="21"/>
          <w:szCs w:val="21"/>
        </w:rPr>
        <w:t xml:space="preserve"> </w:t>
      </w:r>
      <w:r w:rsidRPr="00F64AE8">
        <w:rPr>
          <w:rFonts w:ascii="Abadi" w:hAnsi="Abadi" w:cs="*Arial-5077-Identity-H"/>
          <w:color w:val="14131B"/>
          <w:sz w:val="21"/>
          <w:szCs w:val="21"/>
        </w:rPr>
        <w:t>sujeto fiscalizado realizará acciones de mejora en un plazo determinado hasta su</w:t>
      </w:r>
      <w:r>
        <w:rPr>
          <w:rFonts w:ascii="Abadi" w:hAnsi="Abadi" w:cs="*Arial-5077-Identity-H"/>
          <w:color w:val="14131B"/>
          <w:sz w:val="21"/>
          <w:szCs w:val="21"/>
        </w:rPr>
        <w:t xml:space="preserve"> </w:t>
      </w:r>
      <w:r w:rsidRPr="00F64AE8">
        <w:rPr>
          <w:rFonts w:ascii="Abadi" w:hAnsi="Abadi" w:cs="*Arial-5077-Identity-H"/>
          <w:color w:val="14131B"/>
          <w:sz w:val="21"/>
          <w:szCs w:val="21"/>
        </w:rPr>
        <w:t>total implementación, acorde a la normativa aplicable.</w:t>
      </w:r>
    </w:p>
    <w:p w14:paraId="4B3C9198" w14:textId="77777777" w:rsidR="00600B0C" w:rsidRDefault="00600B0C" w:rsidP="00600B0C">
      <w:pPr>
        <w:autoSpaceDE w:val="0"/>
        <w:autoSpaceDN w:val="0"/>
        <w:adjustRightInd w:val="0"/>
        <w:jc w:val="both"/>
        <w:rPr>
          <w:rFonts w:ascii="Abadi" w:hAnsi="Abadi" w:cs="*Arial-Bold-5078-Identity-H"/>
          <w:b/>
          <w:bCs/>
          <w:color w:val="14141E"/>
          <w:sz w:val="21"/>
          <w:szCs w:val="21"/>
        </w:rPr>
      </w:pPr>
    </w:p>
    <w:p w14:paraId="6DAA59E5" w14:textId="77777777" w:rsidR="00600B0C" w:rsidRDefault="00600B0C" w:rsidP="00600B0C">
      <w:pPr>
        <w:autoSpaceDE w:val="0"/>
        <w:autoSpaceDN w:val="0"/>
        <w:adjustRightInd w:val="0"/>
        <w:ind w:firstLine="708"/>
        <w:jc w:val="both"/>
        <w:rPr>
          <w:rFonts w:ascii="Abadi" w:hAnsi="Abadi" w:cs="*Arial-Bold-5078-Identity-H"/>
          <w:b/>
          <w:bCs/>
          <w:color w:val="14141E"/>
          <w:sz w:val="21"/>
          <w:szCs w:val="21"/>
        </w:rPr>
      </w:pPr>
      <w:r w:rsidRPr="00F64AE8">
        <w:rPr>
          <w:rFonts w:ascii="Abadi" w:hAnsi="Abadi" w:cs="*Arial-Bold-5078-Identity-H"/>
          <w:b/>
          <w:bCs/>
          <w:color w:val="14141E"/>
          <w:sz w:val="21"/>
          <w:szCs w:val="21"/>
        </w:rPr>
        <w:t>V. Conclusiones:</w:t>
      </w:r>
    </w:p>
    <w:p w14:paraId="3B4792B0" w14:textId="77777777" w:rsidR="00600B0C" w:rsidRPr="00F64AE8" w:rsidRDefault="00600B0C" w:rsidP="00600B0C">
      <w:pPr>
        <w:autoSpaceDE w:val="0"/>
        <w:autoSpaceDN w:val="0"/>
        <w:adjustRightInd w:val="0"/>
        <w:jc w:val="both"/>
        <w:rPr>
          <w:rFonts w:ascii="Abadi" w:hAnsi="Abadi" w:cs="*Arial-Bold-5078-Identity-H"/>
          <w:b/>
          <w:bCs/>
          <w:color w:val="14141E"/>
          <w:sz w:val="21"/>
          <w:szCs w:val="21"/>
        </w:rPr>
      </w:pPr>
    </w:p>
    <w:p w14:paraId="43D34460" w14:textId="77777777" w:rsidR="00600B0C" w:rsidRDefault="00600B0C" w:rsidP="00600B0C">
      <w:pPr>
        <w:autoSpaceDE w:val="0"/>
        <w:autoSpaceDN w:val="0"/>
        <w:adjustRightInd w:val="0"/>
        <w:ind w:firstLine="708"/>
        <w:jc w:val="both"/>
        <w:rPr>
          <w:rFonts w:ascii="Abadi" w:hAnsi="Abadi" w:cs="*Arial-5077-Identity-H"/>
          <w:color w:val="14131B"/>
          <w:sz w:val="21"/>
          <w:szCs w:val="21"/>
        </w:rPr>
      </w:pPr>
      <w:r w:rsidRPr="00F64AE8">
        <w:rPr>
          <w:rFonts w:ascii="Abadi" w:hAnsi="Abadi" w:cs="*Arial-5077-Identity-H"/>
          <w:color w:val="14131B"/>
          <w:sz w:val="21"/>
          <w:szCs w:val="21"/>
        </w:rPr>
        <w:t>Como ya lo habíamos señalado en párrafos anteriores, el artículo 38 de la</w:t>
      </w:r>
      <w:r>
        <w:rPr>
          <w:rFonts w:ascii="Abadi" w:hAnsi="Abadi" w:cs="*Arial-5077-Identity-H"/>
          <w:color w:val="14131B"/>
          <w:sz w:val="21"/>
          <w:szCs w:val="21"/>
        </w:rPr>
        <w:t xml:space="preserve"> </w:t>
      </w:r>
      <w:r w:rsidRPr="00F64AE8">
        <w:rPr>
          <w:rFonts w:ascii="Abadi" w:hAnsi="Abadi" w:cs="*Arial-5077-Identity-H"/>
          <w:color w:val="14131B"/>
          <w:sz w:val="21"/>
          <w:szCs w:val="21"/>
        </w:rPr>
        <w:t>Ley de Fiscalización Superior del Estado de Guanajuato establece que los</w:t>
      </w:r>
      <w:r>
        <w:rPr>
          <w:rFonts w:ascii="Abadi" w:hAnsi="Abadi" w:cs="*Arial-5077-Identity-H"/>
          <w:color w:val="14131B"/>
          <w:sz w:val="21"/>
          <w:szCs w:val="21"/>
        </w:rPr>
        <w:t xml:space="preserve"> </w:t>
      </w:r>
      <w:r w:rsidRPr="00F64AE8">
        <w:rPr>
          <w:rFonts w:ascii="Abadi" w:hAnsi="Abadi" w:cs="*Arial-5077-Identity-H"/>
          <w:color w:val="14131B"/>
          <w:sz w:val="21"/>
          <w:szCs w:val="21"/>
        </w:rPr>
        <w:t>informes de resultados únicamente podrán ser observados por las dos terceras</w:t>
      </w:r>
      <w:r>
        <w:rPr>
          <w:rFonts w:ascii="Abadi" w:hAnsi="Abadi" w:cs="*Arial-5077-Identity-H"/>
          <w:color w:val="14131B"/>
          <w:sz w:val="21"/>
          <w:szCs w:val="21"/>
        </w:rPr>
        <w:t xml:space="preserve"> </w:t>
      </w:r>
      <w:r w:rsidRPr="00F64AE8">
        <w:rPr>
          <w:rFonts w:ascii="Abadi" w:hAnsi="Abadi" w:cs="*Arial-5077-Identity-H"/>
          <w:color w:val="14131B"/>
          <w:sz w:val="21"/>
          <w:szCs w:val="21"/>
        </w:rPr>
        <w:t>partes de los diputados integrantes del Congreso, cuando no se observen las</w:t>
      </w:r>
      <w:r>
        <w:rPr>
          <w:rFonts w:ascii="Abadi" w:hAnsi="Abadi" w:cs="*Arial-5077-Identity-H"/>
          <w:color w:val="14131B"/>
          <w:sz w:val="21"/>
          <w:szCs w:val="21"/>
        </w:rPr>
        <w:t xml:space="preserve"> </w:t>
      </w:r>
      <w:r w:rsidRPr="00F64AE8">
        <w:rPr>
          <w:rFonts w:ascii="Abadi" w:hAnsi="Abadi" w:cs="*Arial-5077-Identity-H"/>
          <w:color w:val="14131B"/>
          <w:sz w:val="21"/>
          <w:szCs w:val="21"/>
        </w:rPr>
        <w:t>formalidades esenciales del proceso de fiscalización.</w:t>
      </w:r>
    </w:p>
    <w:p w14:paraId="1AF2F9EF" w14:textId="77777777" w:rsidR="00600B0C" w:rsidRPr="00F64AE8" w:rsidRDefault="00600B0C" w:rsidP="00600B0C">
      <w:pPr>
        <w:autoSpaceDE w:val="0"/>
        <w:autoSpaceDN w:val="0"/>
        <w:adjustRightInd w:val="0"/>
        <w:jc w:val="both"/>
        <w:rPr>
          <w:rFonts w:ascii="Abadi" w:hAnsi="Abadi" w:cs="*Arial-5077-Identity-H"/>
          <w:color w:val="14131B"/>
          <w:sz w:val="21"/>
          <w:szCs w:val="21"/>
        </w:rPr>
      </w:pPr>
    </w:p>
    <w:p w14:paraId="766AFE3E" w14:textId="77777777" w:rsidR="00600B0C" w:rsidRDefault="00600B0C" w:rsidP="00600B0C">
      <w:pPr>
        <w:autoSpaceDE w:val="0"/>
        <w:autoSpaceDN w:val="0"/>
        <w:adjustRightInd w:val="0"/>
        <w:ind w:firstLine="708"/>
        <w:jc w:val="both"/>
        <w:rPr>
          <w:rFonts w:ascii="Abadi" w:hAnsi="Abadi" w:cs="*Arial-5077-Identity-H"/>
          <w:color w:val="14131A"/>
          <w:sz w:val="21"/>
          <w:szCs w:val="21"/>
        </w:rPr>
      </w:pPr>
      <w:r w:rsidRPr="00F64AE8">
        <w:rPr>
          <w:rFonts w:ascii="Abadi" w:hAnsi="Abadi" w:cs="*Arial-5077-Identity-H"/>
          <w:color w:val="14131A"/>
          <w:sz w:val="21"/>
          <w:szCs w:val="21"/>
        </w:rPr>
        <w:t>En este sentido, quienes integramos esta Comisión analizamos el informe</w:t>
      </w:r>
      <w:r>
        <w:rPr>
          <w:rFonts w:ascii="Abadi" w:hAnsi="Abadi" w:cs="*Arial-5077-Identity-H"/>
          <w:color w:val="14131A"/>
          <w:sz w:val="21"/>
          <w:szCs w:val="21"/>
        </w:rPr>
        <w:t xml:space="preserve"> </w:t>
      </w:r>
      <w:r w:rsidRPr="00F64AE8">
        <w:rPr>
          <w:rFonts w:ascii="Abadi" w:hAnsi="Abadi" w:cs="*Arial-5077-Identity-H"/>
          <w:color w:val="14131A"/>
          <w:sz w:val="21"/>
          <w:szCs w:val="21"/>
        </w:rPr>
        <w:t>de resultados materia del presente dictamen, considerando la hipótesis referida en</w:t>
      </w:r>
      <w:r>
        <w:rPr>
          <w:rFonts w:ascii="Abadi" w:hAnsi="Abadi" w:cs="*Arial-5077-Identity-H"/>
          <w:color w:val="14131A"/>
          <w:sz w:val="21"/>
          <w:szCs w:val="21"/>
        </w:rPr>
        <w:t xml:space="preserve"> </w:t>
      </w:r>
      <w:r w:rsidRPr="00F64AE8">
        <w:rPr>
          <w:rFonts w:ascii="Abadi" w:hAnsi="Abadi" w:cs="*Arial-5077-Identity-H"/>
          <w:color w:val="14131A"/>
          <w:sz w:val="21"/>
          <w:szCs w:val="21"/>
        </w:rPr>
        <w:t>el precepto anteriormente señalado.</w:t>
      </w:r>
    </w:p>
    <w:p w14:paraId="397A701E" w14:textId="77777777" w:rsidR="00600B0C" w:rsidRPr="00F64AE8" w:rsidRDefault="00600B0C" w:rsidP="00600B0C">
      <w:pPr>
        <w:autoSpaceDE w:val="0"/>
        <w:autoSpaceDN w:val="0"/>
        <w:adjustRightInd w:val="0"/>
        <w:ind w:firstLine="708"/>
        <w:jc w:val="both"/>
        <w:rPr>
          <w:rFonts w:ascii="Abadi" w:hAnsi="Abadi" w:cs="*Arial-5077-Identity-H"/>
          <w:color w:val="14131B"/>
          <w:sz w:val="21"/>
          <w:szCs w:val="21"/>
        </w:rPr>
      </w:pPr>
      <w:r w:rsidRPr="00F64AE8">
        <w:rPr>
          <w:rFonts w:ascii="Abadi" w:hAnsi="Abadi" w:cs="*Arial-5077-Identity-H"/>
          <w:color w:val="14131B"/>
          <w:sz w:val="21"/>
          <w:szCs w:val="21"/>
        </w:rPr>
        <w:t>Como se desprende del informe de resultados, el Órgano Técnico dio</w:t>
      </w:r>
      <w:r>
        <w:rPr>
          <w:rFonts w:ascii="Abadi" w:hAnsi="Abadi" w:cs="*Arial-5077-Identity-H"/>
          <w:color w:val="14131B"/>
          <w:sz w:val="21"/>
          <w:szCs w:val="21"/>
        </w:rPr>
        <w:t xml:space="preserve"> </w:t>
      </w:r>
      <w:r w:rsidRPr="00F64AE8">
        <w:rPr>
          <w:rFonts w:ascii="Abadi" w:hAnsi="Abadi" w:cs="*Arial-5077-Identity-H"/>
          <w:color w:val="14131B"/>
          <w:sz w:val="21"/>
          <w:szCs w:val="21"/>
        </w:rPr>
        <w:t>cumplimiento 'al artículo 58 de la Ley de Fiscalización Superior del Estado de</w:t>
      </w:r>
      <w:r>
        <w:rPr>
          <w:rFonts w:ascii="Abadi" w:hAnsi="Abadi" w:cs="*Arial-5077-Identity-H"/>
          <w:color w:val="14131B"/>
          <w:sz w:val="21"/>
          <w:szCs w:val="21"/>
        </w:rPr>
        <w:t xml:space="preserve"> </w:t>
      </w:r>
      <w:r w:rsidRPr="00F64AE8">
        <w:rPr>
          <w:rFonts w:ascii="Abadi" w:hAnsi="Abadi" w:cs="*Arial-5077-Identity-H"/>
          <w:color w:val="14131B"/>
          <w:sz w:val="21"/>
          <w:szCs w:val="21"/>
        </w:rPr>
        <w:t>Guanajuato, al haberse notificado las recomendaciones derivadas de la auditoría</w:t>
      </w:r>
      <w:r>
        <w:rPr>
          <w:rFonts w:ascii="Abadi" w:hAnsi="Abadi" w:cs="*Arial-5077-Identity-H"/>
          <w:color w:val="14131B"/>
          <w:sz w:val="21"/>
          <w:szCs w:val="21"/>
        </w:rPr>
        <w:t xml:space="preserve"> </w:t>
      </w:r>
      <w:r w:rsidRPr="00F64AE8">
        <w:rPr>
          <w:rFonts w:ascii="Abadi" w:hAnsi="Abadi" w:cs="*Arial-5077-Identity-H"/>
          <w:color w:val="14131B"/>
          <w:sz w:val="21"/>
          <w:szCs w:val="21"/>
        </w:rPr>
        <w:t>al sujeto fiscalizado, concediéndole el plazo que establece la Ley para atender las</w:t>
      </w:r>
      <w:r>
        <w:rPr>
          <w:rFonts w:ascii="Abadi" w:hAnsi="Abadi" w:cs="*Arial-5077-Identity-H"/>
          <w:color w:val="14131B"/>
          <w:sz w:val="21"/>
          <w:szCs w:val="21"/>
        </w:rPr>
        <w:t xml:space="preserve"> </w:t>
      </w:r>
      <w:r w:rsidRPr="00F64AE8">
        <w:rPr>
          <w:rFonts w:ascii="Abadi" w:hAnsi="Abadi" w:cs="*Arial-5077-Identity-H"/>
          <w:color w:val="14131B"/>
          <w:sz w:val="21"/>
          <w:szCs w:val="21"/>
        </w:rPr>
        <w:t>recomendaciones formuladas por el Órgano Técnico. Al respecto, se presentó la</w:t>
      </w:r>
      <w:r>
        <w:rPr>
          <w:rFonts w:ascii="Abadi" w:hAnsi="Abadi" w:cs="*Arial-5077-Identity-H"/>
          <w:color w:val="14131B"/>
          <w:sz w:val="21"/>
          <w:szCs w:val="21"/>
        </w:rPr>
        <w:t xml:space="preserve"> </w:t>
      </w:r>
      <w:r w:rsidRPr="00F64AE8">
        <w:rPr>
          <w:rFonts w:ascii="Abadi" w:hAnsi="Abadi" w:cs="*Arial-5077-Identity-H"/>
          <w:color w:val="14131B"/>
          <w:sz w:val="21"/>
          <w:szCs w:val="21"/>
        </w:rPr>
        <w:t>información y documentación que se consideró suficiente para atender las</w:t>
      </w:r>
    </w:p>
    <w:p w14:paraId="292BEF7D" w14:textId="77777777" w:rsidR="00600B0C" w:rsidRDefault="00600B0C" w:rsidP="00600B0C">
      <w:pPr>
        <w:autoSpaceDE w:val="0"/>
        <w:autoSpaceDN w:val="0"/>
        <w:adjustRightInd w:val="0"/>
        <w:jc w:val="both"/>
        <w:rPr>
          <w:rFonts w:ascii="Abadi" w:hAnsi="Abadi" w:cs="*Arial-5077-Identity-H"/>
          <w:color w:val="14131B"/>
          <w:sz w:val="21"/>
          <w:szCs w:val="21"/>
        </w:rPr>
      </w:pPr>
      <w:r w:rsidRPr="00F64AE8">
        <w:rPr>
          <w:rFonts w:ascii="Abadi" w:hAnsi="Abadi" w:cs="*Arial-5077-Identity-H"/>
          <w:color w:val="14131B"/>
          <w:sz w:val="21"/>
          <w:szCs w:val="21"/>
        </w:rPr>
        <w:t>recomendaciones efectuadas.</w:t>
      </w:r>
    </w:p>
    <w:p w14:paraId="158F6362" w14:textId="77777777" w:rsidR="00600B0C" w:rsidRPr="00F64AE8" w:rsidRDefault="00600B0C" w:rsidP="00600B0C">
      <w:pPr>
        <w:autoSpaceDE w:val="0"/>
        <w:autoSpaceDN w:val="0"/>
        <w:adjustRightInd w:val="0"/>
        <w:jc w:val="both"/>
        <w:rPr>
          <w:rFonts w:ascii="Abadi" w:hAnsi="Abadi" w:cs="*Arial-5077-Identity-H"/>
          <w:color w:val="14131B"/>
          <w:sz w:val="21"/>
          <w:szCs w:val="21"/>
        </w:rPr>
      </w:pPr>
    </w:p>
    <w:p w14:paraId="38E45954" w14:textId="77777777" w:rsidR="00600B0C" w:rsidRPr="00F64AE8" w:rsidRDefault="00600B0C" w:rsidP="00600B0C">
      <w:pPr>
        <w:autoSpaceDE w:val="0"/>
        <w:autoSpaceDN w:val="0"/>
        <w:adjustRightInd w:val="0"/>
        <w:ind w:firstLine="708"/>
        <w:jc w:val="both"/>
        <w:rPr>
          <w:rFonts w:ascii="Abadi" w:hAnsi="Abadi" w:cs="*Arial-5077-Identity-H"/>
          <w:color w:val="14131B"/>
          <w:sz w:val="21"/>
          <w:szCs w:val="21"/>
        </w:rPr>
      </w:pPr>
      <w:r w:rsidRPr="00F64AE8">
        <w:rPr>
          <w:rFonts w:ascii="Abadi" w:hAnsi="Abadi" w:cs="*Arial-5077-Identity-H"/>
          <w:color w:val="14131B"/>
          <w:sz w:val="21"/>
          <w:szCs w:val="21"/>
        </w:rPr>
        <w:t>De igual manera, existe en el informe de resultados la constancia de que</w:t>
      </w:r>
      <w:r>
        <w:rPr>
          <w:rFonts w:ascii="Abadi" w:hAnsi="Abadi" w:cs="*Arial-5077-Identity-H"/>
          <w:color w:val="14131B"/>
          <w:sz w:val="21"/>
          <w:szCs w:val="21"/>
        </w:rPr>
        <w:t xml:space="preserve"> </w:t>
      </w:r>
      <w:r w:rsidRPr="00F64AE8">
        <w:rPr>
          <w:rFonts w:ascii="Abadi" w:hAnsi="Abadi" w:cs="*Arial-5077-Identity-H"/>
          <w:color w:val="14131B"/>
          <w:sz w:val="21"/>
          <w:szCs w:val="21"/>
        </w:rPr>
        <w:t>este se notificó al sujeto fiscalizado. En tal virtud, se considera que fue respetado</w:t>
      </w:r>
      <w:r>
        <w:rPr>
          <w:rFonts w:ascii="Abadi" w:hAnsi="Abadi" w:cs="*Arial-5077-Identity-H"/>
          <w:color w:val="14131B"/>
          <w:sz w:val="21"/>
          <w:szCs w:val="21"/>
        </w:rPr>
        <w:t xml:space="preserve"> </w:t>
      </w:r>
      <w:r w:rsidRPr="00F64AE8">
        <w:rPr>
          <w:rFonts w:ascii="Abadi" w:hAnsi="Abadi" w:cs="*Arial-5077-Identity-H"/>
          <w:color w:val="14131B"/>
          <w:sz w:val="21"/>
          <w:szCs w:val="21"/>
        </w:rPr>
        <w:t>el derecho de audiencia o defensa por parte del Órgano Técnico.</w:t>
      </w:r>
    </w:p>
    <w:p w14:paraId="2B43C43B" w14:textId="77777777" w:rsidR="00600B0C" w:rsidRDefault="00600B0C" w:rsidP="00600B0C">
      <w:pPr>
        <w:autoSpaceDE w:val="0"/>
        <w:autoSpaceDN w:val="0"/>
        <w:adjustRightInd w:val="0"/>
        <w:jc w:val="both"/>
        <w:rPr>
          <w:rFonts w:ascii="Abadi" w:hAnsi="Abadi" w:cs="*Arial-6102-Identity-H"/>
          <w:color w:val="15141C"/>
          <w:sz w:val="21"/>
          <w:szCs w:val="21"/>
        </w:rPr>
      </w:pPr>
    </w:p>
    <w:p w14:paraId="61CBE7AB" w14:textId="77777777" w:rsidR="00600B0C" w:rsidRPr="00F64AE8" w:rsidRDefault="00600B0C" w:rsidP="00600B0C">
      <w:pPr>
        <w:autoSpaceDE w:val="0"/>
        <w:autoSpaceDN w:val="0"/>
        <w:adjustRightInd w:val="0"/>
        <w:ind w:firstLine="708"/>
        <w:jc w:val="both"/>
        <w:rPr>
          <w:rFonts w:ascii="Abadi" w:hAnsi="Abadi" w:cs="*Arial-6102-Identity-H"/>
          <w:color w:val="15141C"/>
          <w:sz w:val="21"/>
          <w:szCs w:val="21"/>
        </w:rPr>
      </w:pPr>
      <w:r w:rsidRPr="00F64AE8">
        <w:rPr>
          <w:rFonts w:ascii="Abadi" w:hAnsi="Abadi" w:cs="*Arial-6102-Identity-H"/>
          <w:color w:val="15141C"/>
          <w:sz w:val="21"/>
          <w:szCs w:val="21"/>
        </w:rPr>
        <w:t>Asimismo, del informe de resultados podemos inferir que el Órgano Técnico</w:t>
      </w:r>
      <w:r>
        <w:rPr>
          <w:rFonts w:ascii="Abadi" w:hAnsi="Abadi" w:cs="*Arial-6102-Identity-H"/>
          <w:color w:val="15141C"/>
          <w:sz w:val="21"/>
          <w:szCs w:val="21"/>
        </w:rPr>
        <w:t xml:space="preserve"> </w:t>
      </w:r>
      <w:r w:rsidRPr="00F64AE8">
        <w:rPr>
          <w:rFonts w:ascii="Abadi" w:hAnsi="Abadi" w:cs="*Arial-6102-Identity-H"/>
          <w:color w:val="15141C"/>
          <w:sz w:val="21"/>
          <w:szCs w:val="21"/>
        </w:rPr>
        <w:t>en el desarrollo del procedimiento de auditoría, dio cumplimiento a las</w:t>
      </w:r>
      <w:r>
        <w:rPr>
          <w:rFonts w:ascii="Abadi" w:hAnsi="Abadi" w:cs="*Arial-6102-Identity-H"/>
          <w:color w:val="15141C"/>
          <w:sz w:val="21"/>
          <w:szCs w:val="21"/>
        </w:rPr>
        <w:t xml:space="preserve"> </w:t>
      </w:r>
      <w:r w:rsidRPr="00F64AE8">
        <w:rPr>
          <w:rFonts w:ascii="Abadi" w:hAnsi="Abadi" w:cs="*Arial-6102-Identity-H"/>
          <w:color w:val="15141C"/>
          <w:sz w:val="21"/>
          <w:szCs w:val="21"/>
        </w:rPr>
        <w:t>formalidades esenciales que la misma Ley establece para el proceso de</w:t>
      </w:r>
      <w:r>
        <w:rPr>
          <w:rFonts w:ascii="Abadi" w:hAnsi="Abadi" w:cs="*Arial-6102-Identity-H"/>
          <w:color w:val="15141C"/>
          <w:sz w:val="21"/>
          <w:szCs w:val="21"/>
        </w:rPr>
        <w:t xml:space="preserve"> </w:t>
      </w:r>
      <w:r w:rsidRPr="00F64AE8">
        <w:rPr>
          <w:rFonts w:ascii="Abadi" w:hAnsi="Abadi" w:cs="*Arial-6102-Identity-H"/>
          <w:color w:val="15141C"/>
          <w:sz w:val="21"/>
          <w:szCs w:val="21"/>
        </w:rPr>
        <w:t>fiscalización, al haberse practicado la auditoría que estaba contemplada en el</w:t>
      </w:r>
      <w:r>
        <w:rPr>
          <w:rFonts w:ascii="Abadi" w:hAnsi="Abadi" w:cs="*Arial-6102-Identity-H"/>
          <w:color w:val="15141C"/>
          <w:sz w:val="21"/>
          <w:szCs w:val="21"/>
        </w:rPr>
        <w:t xml:space="preserve"> </w:t>
      </w:r>
      <w:r w:rsidRPr="00F64AE8">
        <w:rPr>
          <w:rFonts w:ascii="Abadi" w:hAnsi="Abadi" w:cs="*Arial-6102-Identity-H"/>
          <w:color w:val="15141C"/>
          <w:sz w:val="21"/>
          <w:szCs w:val="21"/>
        </w:rPr>
        <w:t>Programa General de Fiscalización 2021, aprobado por el Auditor Superior del</w:t>
      </w:r>
    </w:p>
    <w:p w14:paraId="66837BF6" w14:textId="77777777" w:rsidR="00600B0C" w:rsidRDefault="00600B0C" w:rsidP="00600B0C">
      <w:pPr>
        <w:autoSpaceDE w:val="0"/>
        <w:autoSpaceDN w:val="0"/>
        <w:adjustRightInd w:val="0"/>
        <w:jc w:val="both"/>
        <w:rPr>
          <w:rFonts w:ascii="Abadi" w:hAnsi="Abadi" w:cs="*Arial-6102-Identity-H"/>
          <w:color w:val="15141C"/>
          <w:sz w:val="21"/>
          <w:szCs w:val="21"/>
        </w:rPr>
      </w:pPr>
      <w:r w:rsidRPr="00F64AE8">
        <w:rPr>
          <w:rFonts w:ascii="Abadi" w:hAnsi="Abadi" w:cs="*Arial-6102-Identity-H"/>
          <w:color w:val="15141C"/>
          <w:sz w:val="21"/>
          <w:szCs w:val="21"/>
        </w:rPr>
        <w:t>Estado. Asimismo, la auditoría se efectuó atendiendo a lo establecido en la</w:t>
      </w:r>
      <w:r>
        <w:rPr>
          <w:rFonts w:ascii="Abadi" w:hAnsi="Abadi" w:cs="*Arial-6102-Identity-H"/>
          <w:color w:val="15141C"/>
          <w:sz w:val="21"/>
          <w:szCs w:val="21"/>
        </w:rPr>
        <w:t xml:space="preserve"> </w:t>
      </w:r>
      <w:r w:rsidRPr="00F64AE8">
        <w:rPr>
          <w:rFonts w:ascii="Abadi" w:hAnsi="Abadi" w:cs="*Arial-6102-Identity-H"/>
          <w:color w:val="15141C"/>
          <w:sz w:val="21"/>
          <w:szCs w:val="21"/>
        </w:rPr>
        <w:t>normatividad aplicable en la materia, cumpliendo lo estipulado por el artículo 3 y el</w:t>
      </w:r>
      <w:r>
        <w:rPr>
          <w:rFonts w:ascii="Abadi" w:hAnsi="Abadi" w:cs="*Arial-6102-Identity-H"/>
          <w:color w:val="15141C"/>
          <w:sz w:val="21"/>
          <w:szCs w:val="21"/>
        </w:rPr>
        <w:t xml:space="preserve"> </w:t>
      </w:r>
      <w:r w:rsidRPr="00F64AE8">
        <w:rPr>
          <w:rFonts w:ascii="Abadi" w:hAnsi="Abadi" w:cs="*Arial-6102-Identity-H"/>
          <w:color w:val="15141C"/>
          <w:sz w:val="21"/>
          <w:szCs w:val="21"/>
        </w:rPr>
        <w:t>Capítulo VI del Título Segundo de la Ley de Fiscalización Superior del Estado de</w:t>
      </w:r>
      <w:r>
        <w:rPr>
          <w:rFonts w:ascii="Abadi" w:hAnsi="Abadi" w:cs="*Arial-6102-Identity-H"/>
          <w:color w:val="15141C"/>
          <w:sz w:val="21"/>
          <w:szCs w:val="21"/>
        </w:rPr>
        <w:t xml:space="preserve"> </w:t>
      </w:r>
      <w:r w:rsidRPr="00F64AE8">
        <w:rPr>
          <w:rFonts w:ascii="Abadi" w:hAnsi="Abadi" w:cs="*Arial-6102-Identity-H"/>
          <w:color w:val="15141C"/>
          <w:sz w:val="21"/>
          <w:szCs w:val="21"/>
        </w:rPr>
        <w:t>Guanajuato, así como el artículo 28 del Reglamento de dicha Ley.</w:t>
      </w:r>
    </w:p>
    <w:p w14:paraId="5D377B56" w14:textId="77777777" w:rsidR="00600B0C" w:rsidRPr="00F64AE8" w:rsidRDefault="00600B0C" w:rsidP="00600B0C">
      <w:pPr>
        <w:autoSpaceDE w:val="0"/>
        <w:autoSpaceDN w:val="0"/>
        <w:adjustRightInd w:val="0"/>
        <w:jc w:val="both"/>
        <w:rPr>
          <w:rFonts w:ascii="Abadi" w:hAnsi="Abadi" w:cs="*Arial-6102-Identity-H"/>
          <w:color w:val="15141C"/>
          <w:sz w:val="21"/>
          <w:szCs w:val="21"/>
        </w:rPr>
      </w:pPr>
    </w:p>
    <w:p w14:paraId="34836C75" w14:textId="77777777" w:rsidR="00600B0C" w:rsidRDefault="00600B0C" w:rsidP="00600B0C">
      <w:pPr>
        <w:autoSpaceDE w:val="0"/>
        <w:autoSpaceDN w:val="0"/>
        <w:adjustRightInd w:val="0"/>
        <w:ind w:firstLine="708"/>
        <w:jc w:val="both"/>
        <w:rPr>
          <w:rFonts w:ascii="Abadi" w:hAnsi="Abadi" w:cs="*Arial-6102-Identity-H"/>
          <w:color w:val="15141C"/>
          <w:sz w:val="21"/>
          <w:szCs w:val="21"/>
        </w:rPr>
      </w:pPr>
      <w:r w:rsidRPr="00F64AE8">
        <w:rPr>
          <w:rFonts w:ascii="Abadi" w:hAnsi="Abadi" w:cs="*Arial-6102-Identity-H"/>
          <w:color w:val="15141C"/>
          <w:sz w:val="21"/>
          <w:szCs w:val="21"/>
        </w:rPr>
        <w:t>Finalmente, es de destacar que el cumplimiento de los Objetivos del</w:t>
      </w:r>
      <w:r>
        <w:rPr>
          <w:rFonts w:ascii="Abadi" w:hAnsi="Abadi" w:cs="*Arial-6102-Identity-H"/>
          <w:color w:val="15141C"/>
          <w:sz w:val="21"/>
          <w:szCs w:val="21"/>
        </w:rPr>
        <w:t xml:space="preserve"> </w:t>
      </w:r>
      <w:r w:rsidRPr="00F64AE8">
        <w:rPr>
          <w:rFonts w:ascii="Abadi" w:hAnsi="Abadi" w:cs="*Arial-6102-Identity-H"/>
          <w:color w:val="15141C"/>
          <w:sz w:val="21"/>
          <w:szCs w:val="21"/>
        </w:rPr>
        <w:t>Desarrollo Sostenible de la Agenda 2030 está presente en el dictamen puesto a su</w:t>
      </w:r>
      <w:r>
        <w:rPr>
          <w:rFonts w:ascii="Abadi" w:hAnsi="Abadi" w:cs="*Arial-6102-Identity-H"/>
          <w:color w:val="15141C"/>
          <w:sz w:val="21"/>
          <w:szCs w:val="21"/>
        </w:rPr>
        <w:t xml:space="preserve"> </w:t>
      </w:r>
      <w:r w:rsidRPr="00F64AE8">
        <w:rPr>
          <w:rFonts w:ascii="Abadi" w:hAnsi="Abadi" w:cs="*Arial-6102-Identity-H"/>
          <w:color w:val="15141C"/>
          <w:sz w:val="21"/>
          <w:szCs w:val="21"/>
        </w:rPr>
        <w:t>consideración, pues el mismo incide de manera directa en el Objetivo 16</w:t>
      </w:r>
      <w:r>
        <w:rPr>
          <w:rFonts w:ascii="Abadi" w:hAnsi="Abadi" w:cs="*Arial-6102-Identity-H"/>
          <w:color w:val="15141C"/>
          <w:sz w:val="21"/>
          <w:szCs w:val="21"/>
        </w:rPr>
        <w:t xml:space="preserve"> </w:t>
      </w:r>
      <w:r w:rsidRPr="00F64AE8">
        <w:rPr>
          <w:rFonts w:ascii="Abadi" w:hAnsi="Abadi" w:cs="*Arial-6102-Identity-H"/>
          <w:color w:val="15141C"/>
          <w:sz w:val="21"/>
          <w:szCs w:val="21"/>
        </w:rPr>
        <w:t>denominado Paz, Ju</w:t>
      </w:r>
      <w:r>
        <w:rPr>
          <w:rFonts w:ascii="Abadi" w:hAnsi="Abadi" w:cs="*Arial-6102-Identity-H"/>
          <w:color w:val="15141C"/>
          <w:sz w:val="21"/>
          <w:szCs w:val="21"/>
        </w:rPr>
        <w:t>sticia</w:t>
      </w:r>
      <w:r w:rsidRPr="00F64AE8">
        <w:rPr>
          <w:rFonts w:ascii="Abadi" w:hAnsi="Abadi" w:cs="*Arial-6102-Identity-H"/>
          <w:color w:val="15141C"/>
          <w:sz w:val="21"/>
          <w:szCs w:val="21"/>
        </w:rPr>
        <w:t xml:space="preserve"> e Instituciones Sólidas. Promover sociedades justas,</w:t>
      </w:r>
      <w:r>
        <w:rPr>
          <w:rFonts w:ascii="Abadi" w:hAnsi="Abadi" w:cs="*Arial-6102-Identity-H"/>
          <w:color w:val="15141C"/>
          <w:sz w:val="21"/>
          <w:szCs w:val="21"/>
        </w:rPr>
        <w:t xml:space="preserve"> </w:t>
      </w:r>
      <w:r w:rsidRPr="00F64AE8">
        <w:rPr>
          <w:rFonts w:ascii="Abadi" w:hAnsi="Abadi" w:cs="*Arial-6102-Identity-H"/>
          <w:color w:val="15141C"/>
          <w:sz w:val="21"/>
          <w:szCs w:val="21"/>
        </w:rPr>
        <w:t>pacíficas e inclusivas, respecto a la meta 16.6 Crear a todos los niveles</w:t>
      </w:r>
      <w:r>
        <w:rPr>
          <w:rFonts w:ascii="Abadi" w:hAnsi="Abadi" w:cs="*Arial-6102-Identity-H"/>
          <w:color w:val="15141C"/>
          <w:sz w:val="21"/>
          <w:szCs w:val="21"/>
        </w:rPr>
        <w:t xml:space="preserve"> </w:t>
      </w:r>
      <w:r w:rsidRPr="00F64AE8">
        <w:rPr>
          <w:rFonts w:ascii="Abadi" w:hAnsi="Abadi" w:cs="*Arial-6102-Identity-H"/>
          <w:color w:val="15141C"/>
          <w:sz w:val="21"/>
          <w:szCs w:val="21"/>
        </w:rPr>
        <w:t>instituciones eficaces y transparentes, al abonar a la transparencia y rendición de</w:t>
      </w:r>
      <w:r>
        <w:rPr>
          <w:rFonts w:ascii="Abadi" w:hAnsi="Abadi" w:cs="*Arial-6102-Identity-H"/>
          <w:color w:val="15141C"/>
          <w:sz w:val="21"/>
          <w:szCs w:val="21"/>
        </w:rPr>
        <w:t xml:space="preserve"> </w:t>
      </w:r>
      <w:r w:rsidRPr="00F64AE8">
        <w:rPr>
          <w:rFonts w:ascii="Abadi" w:hAnsi="Abadi" w:cs="*Arial-6102-Identity-H"/>
          <w:color w:val="15141C"/>
          <w:sz w:val="21"/>
          <w:szCs w:val="21"/>
        </w:rPr>
        <w:t>cuentas.</w:t>
      </w:r>
    </w:p>
    <w:p w14:paraId="30E492A8" w14:textId="77777777" w:rsidR="00600B0C" w:rsidRPr="00F64AE8" w:rsidRDefault="00600B0C" w:rsidP="00600B0C">
      <w:pPr>
        <w:autoSpaceDE w:val="0"/>
        <w:autoSpaceDN w:val="0"/>
        <w:adjustRightInd w:val="0"/>
        <w:jc w:val="both"/>
        <w:rPr>
          <w:rFonts w:ascii="Abadi" w:hAnsi="Abadi" w:cs="*Arial-6102-Identity-H"/>
          <w:color w:val="15141C"/>
          <w:sz w:val="21"/>
          <w:szCs w:val="21"/>
        </w:rPr>
      </w:pPr>
    </w:p>
    <w:p w14:paraId="4BDAFBD1" w14:textId="77777777" w:rsidR="00600B0C" w:rsidRDefault="00600B0C" w:rsidP="00600B0C">
      <w:pPr>
        <w:autoSpaceDE w:val="0"/>
        <w:autoSpaceDN w:val="0"/>
        <w:adjustRightInd w:val="0"/>
        <w:ind w:firstLine="708"/>
        <w:jc w:val="both"/>
        <w:rPr>
          <w:rFonts w:ascii="Abadi" w:hAnsi="Abadi" w:cs="*Arial-6102-Identity-H"/>
          <w:color w:val="16151C"/>
          <w:sz w:val="21"/>
          <w:szCs w:val="21"/>
        </w:rPr>
      </w:pPr>
      <w:r w:rsidRPr="00F64AE8">
        <w:rPr>
          <w:rFonts w:ascii="Abadi" w:hAnsi="Abadi" w:cs="*Arial-6102-Identity-H"/>
          <w:color w:val="16151C"/>
          <w:sz w:val="21"/>
          <w:szCs w:val="21"/>
        </w:rPr>
        <w:t>En razón de lo anteriormente señalado, concluimos que el informe de</w:t>
      </w:r>
      <w:r>
        <w:rPr>
          <w:rFonts w:ascii="Abadi" w:hAnsi="Abadi" w:cs="*Arial-6102-Identity-H"/>
          <w:color w:val="16151C"/>
          <w:sz w:val="21"/>
          <w:szCs w:val="21"/>
        </w:rPr>
        <w:t xml:space="preserve"> </w:t>
      </w:r>
      <w:r w:rsidRPr="00F64AE8">
        <w:rPr>
          <w:rFonts w:ascii="Abadi" w:hAnsi="Abadi" w:cs="*Arial-6102-Identity-H"/>
          <w:color w:val="16151C"/>
          <w:sz w:val="21"/>
          <w:szCs w:val="21"/>
        </w:rPr>
        <w:t>resultados de la auditoría de desempeño practicada a la administración municipal</w:t>
      </w:r>
      <w:r>
        <w:rPr>
          <w:rFonts w:ascii="Abadi" w:hAnsi="Abadi" w:cs="*Arial-6102-Identity-H"/>
          <w:color w:val="16151C"/>
          <w:sz w:val="21"/>
          <w:szCs w:val="21"/>
        </w:rPr>
        <w:t xml:space="preserve"> </w:t>
      </w:r>
      <w:r w:rsidRPr="00F64AE8">
        <w:rPr>
          <w:rFonts w:ascii="Abadi" w:hAnsi="Abadi" w:cs="*Arial-6102-Identity-H"/>
          <w:color w:val="16151C"/>
          <w:sz w:val="21"/>
          <w:szCs w:val="21"/>
        </w:rPr>
        <w:t>de lrapuato, Gto., con enfoque a resultados del servicio de alumbrado público, por</w:t>
      </w:r>
      <w:r>
        <w:rPr>
          <w:rFonts w:ascii="Abadi" w:hAnsi="Abadi" w:cs="*Arial-6102-Identity-H"/>
          <w:color w:val="16151C"/>
          <w:sz w:val="21"/>
          <w:szCs w:val="21"/>
        </w:rPr>
        <w:t xml:space="preserve"> </w:t>
      </w:r>
      <w:r w:rsidRPr="00F64AE8">
        <w:rPr>
          <w:rFonts w:ascii="Abadi" w:hAnsi="Abadi" w:cs="*Arial-6102-Identity-H"/>
          <w:color w:val="16151C"/>
          <w:sz w:val="21"/>
          <w:szCs w:val="21"/>
        </w:rPr>
        <w:t>el ejercicio fiscal del año 2020, debe sancionarse por el Congreso en los términos</w:t>
      </w:r>
      <w:r>
        <w:rPr>
          <w:rFonts w:ascii="Abadi" w:hAnsi="Abadi" w:cs="*Arial-6102-Identity-H"/>
          <w:color w:val="16151C"/>
          <w:sz w:val="21"/>
          <w:szCs w:val="21"/>
        </w:rPr>
        <w:t xml:space="preserve"> </w:t>
      </w:r>
      <w:r w:rsidRPr="00F64AE8">
        <w:rPr>
          <w:rFonts w:ascii="Abadi" w:hAnsi="Abadi" w:cs="*Arial-6102-Identity-H"/>
          <w:color w:val="16151C"/>
          <w:sz w:val="21"/>
          <w:szCs w:val="21"/>
        </w:rPr>
        <w:t>presentados por la Auditoría Superior del Estado y proceder a su aprobación,</w:t>
      </w:r>
      <w:r>
        <w:rPr>
          <w:rFonts w:ascii="Abadi" w:hAnsi="Abadi" w:cs="*Arial-6102-Identity-H"/>
          <w:color w:val="16151C"/>
          <w:sz w:val="21"/>
          <w:szCs w:val="21"/>
        </w:rPr>
        <w:t xml:space="preserve"> </w:t>
      </w:r>
      <w:r w:rsidRPr="00F64AE8">
        <w:rPr>
          <w:rFonts w:ascii="Abadi" w:hAnsi="Abadi" w:cs="*Arial-6102-Identity-H"/>
          <w:color w:val="16151C"/>
          <w:sz w:val="21"/>
          <w:szCs w:val="21"/>
        </w:rPr>
        <w:t>considerando que no se presenta el supuesto contenido en el artículo 38 de la Ley</w:t>
      </w:r>
      <w:r>
        <w:rPr>
          <w:rFonts w:ascii="Abadi" w:hAnsi="Abadi" w:cs="*Arial-6102-Identity-H"/>
          <w:color w:val="16151C"/>
          <w:sz w:val="21"/>
          <w:szCs w:val="21"/>
        </w:rPr>
        <w:t xml:space="preserve"> </w:t>
      </w:r>
      <w:r w:rsidRPr="00F64AE8">
        <w:rPr>
          <w:rFonts w:ascii="Abadi" w:hAnsi="Abadi" w:cs="*Arial-6102-Identity-H"/>
          <w:color w:val="16151C"/>
          <w:sz w:val="21"/>
          <w:szCs w:val="21"/>
        </w:rPr>
        <w:t>de Fiscalización Superior del Estado de Guanajuato, razón por la cual no podría</w:t>
      </w:r>
      <w:r>
        <w:rPr>
          <w:rFonts w:ascii="Abadi" w:hAnsi="Abadi" w:cs="*Arial-6102-Identity-H"/>
          <w:color w:val="16151C"/>
          <w:sz w:val="21"/>
          <w:szCs w:val="21"/>
        </w:rPr>
        <w:t xml:space="preserve"> </w:t>
      </w:r>
      <w:r w:rsidRPr="00F64AE8">
        <w:rPr>
          <w:rFonts w:ascii="Abadi" w:hAnsi="Abadi" w:cs="*Arial-6102-Identity-H"/>
          <w:color w:val="16151C"/>
          <w:sz w:val="21"/>
          <w:szCs w:val="21"/>
        </w:rPr>
        <w:t>ser observado por el</w:t>
      </w:r>
      <w:r w:rsidRPr="00F64AE8">
        <w:rPr>
          <w:rFonts w:ascii="Abadi" w:hAnsi="Abadi" w:cs="*Arial-6102-Identity-H"/>
          <w:color w:val="999999"/>
          <w:sz w:val="21"/>
          <w:szCs w:val="21"/>
        </w:rPr>
        <w:t xml:space="preserve">• </w:t>
      </w:r>
      <w:r w:rsidRPr="00F64AE8">
        <w:rPr>
          <w:rFonts w:ascii="Abadi" w:hAnsi="Abadi" w:cs="*Arial-6102-Identity-H"/>
          <w:color w:val="16151C"/>
          <w:sz w:val="21"/>
          <w:szCs w:val="21"/>
        </w:rPr>
        <w:t>Pleno del Congreso.</w:t>
      </w:r>
    </w:p>
    <w:p w14:paraId="2AFB5107" w14:textId="77777777" w:rsidR="00600B0C" w:rsidRPr="00F64AE8" w:rsidRDefault="00600B0C" w:rsidP="00600B0C">
      <w:pPr>
        <w:autoSpaceDE w:val="0"/>
        <w:autoSpaceDN w:val="0"/>
        <w:adjustRightInd w:val="0"/>
        <w:jc w:val="both"/>
        <w:rPr>
          <w:rFonts w:ascii="Abadi" w:hAnsi="Abadi" w:cs="*Arial-6102-Identity-H"/>
          <w:color w:val="16151C"/>
          <w:sz w:val="21"/>
          <w:szCs w:val="21"/>
        </w:rPr>
      </w:pPr>
    </w:p>
    <w:p w14:paraId="066033B1" w14:textId="77777777" w:rsidR="00600B0C" w:rsidRPr="00F64AE8" w:rsidRDefault="00600B0C" w:rsidP="00600B0C">
      <w:pPr>
        <w:autoSpaceDE w:val="0"/>
        <w:autoSpaceDN w:val="0"/>
        <w:adjustRightInd w:val="0"/>
        <w:ind w:firstLine="708"/>
        <w:jc w:val="both"/>
        <w:rPr>
          <w:rFonts w:ascii="Abadi" w:hAnsi="Abadi" w:cs="*Arial-6102-Identity-H"/>
          <w:color w:val="14141C"/>
          <w:sz w:val="21"/>
          <w:szCs w:val="21"/>
        </w:rPr>
      </w:pPr>
      <w:r w:rsidRPr="00F64AE8">
        <w:rPr>
          <w:rFonts w:ascii="Abadi" w:hAnsi="Abadi" w:cs="*Arial-6102-Identity-H"/>
          <w:color w:val="14141C"/>
          <w:sz w:val="21"/>
          <w:szCs w:val="21"/>
        </w:rPr>
        <w:t>Por lo expuesto, con fundamento en el artículo 204 de la Ley Orgánica del</w:t>
      </w:r>
      <w:r>
        <w:rPr>
          <w:rFonts w:ascii="Abadi" w:hAnsi="Abadi" w:cs="*Arial-6102-Identity-H"/>
          <w:color w:val="14141C"/>
          <w:sz w:val="21"/>
          <w:szCs w:val="21"/>
        </w:rPr>
        <w:t xml:space="preserve"> </w:t>
      </w:r>
      <w:r w:rsidRPr="00F64AE8">
        <w:rPr>
          <w:rFonts w:ascii="Abadi" w:hAnsi="Abadi" w:cs="*Arial-6102-Identity-H"/>
          <w:color w:val="14141C"/>
          <w:sz w:val="21"/>
          <w:szCs w:val="21"/>
        </w:rPr>
        <w:t>Poder Legislativo, nos permitimos someter a la consideración de la Asamblea, la</w:t>
      </w:r>
      <w:r>
        <w:rPr>
          <w:rFonts w:ascii="Abadi" w:hAnsi="Abadi" w:cs="*Arial-6102-Identity-H"/>
          <w:color w:val="14141C"/>
          <w:sz w:val="21"/>
          <w:szCs w:val="21"/>
        </w:rPr>
        <w:t xml:space="preserve"> </w:t>
      </w:r>
      <w:r w:rsidRPr="00F64AE8">
        <w:rPr>
          <w:rFonts w:ascii="Abadi" w:hAnsi="Abadi" w:cs="*Arial-6102-Identity-H"/>
          <w:color w:val="14141C"/>
          <w:sz w:val="21"/>
          <w:szCs w:val="21"/>
        </w:rPr>
        <w:t>aprobación del siguiente:</w:t>
      </w:r>
    </w:p>
    <w:p w14:paraId="33ABBEFB" w14:textId="77777777" w:rsidR="00600B0C" w:rsidRDefault="00600B0C" w:rsidP="00600B0C">
      <w:pPr>
        <w:autoSpaceDE w:val="0"/>
        <w:autoSpaceDN w:val="0"/>
        <w:adjustRightInd w:val="0"/>
        <w:jc w:val="both"/>
        <w:rPr>
          <w:rFonts w:ascii="Abadi" w:hAnsi="Abadi" w:cs="*Arial-Bold-6104-Identity-H"/>
          <w:b/>
          <w:bCs/>
          <w:color w:val="141421"/>
          <w:sz w:val="21"/>
          <w:szCs w:val="21"/>
        </w:rPr>
      </w:pPr>
    </w:p>
    <w:p w14:paraId="5ECA6711" w14:textId="77777777" w:rsidR="00600B0C" w:rsidRPr="00F64AE8" w:rsidRDefault="00600B0C" w:rsidP="00600B0C">
      <w:pPr>
        <w:autoSpaceDE w:val="0"/>
        <w:autoSpaceDN w:val="0"/>
        <w:adjustRightInd w:val="0"/>
        <w:jc w:val="center"/>
        <w:rPr>
          <w:rFonts w:ascii="Abadi" w:hAnsi="Abadi" w:cs="*Arial-Bold-6104-Identity-H"/>
          <w:b/>
          <w:bCs/>
          <w:color w:val="141421"/>
          <w:sz w:val="21"/>
          <w:szCs w:val="21"/>
        </w:rPr>
      </w:pPr>
      <w:r w:rsidRPr="00F64AE8">
        <w:rPr>
          <w:rFonts w:ascii="Abadi" w:hAnsi="Abadi" w:cs="*Arial-Bold-6104-Identity-H"/>
          <w:b/>
          <w:bCs/>
          <w:color w:val="141421"/>
          <w:sz w:val="21"/>
          <w:szCs w:val="21"/>
        </w:rPr>
        <w:t>ACUERDO</w:t>
      </w:r>
    </w:p>
    <w:p w14:paraId="15E0E6BF" w14:textId="77777777" w:rsidR="00600B0C" w:rsidRDefault="00600B0C" w:rsidP="00600B0C">
      <w:pPr>
        <w:autoSpaceDE w:val="0"/>
        <w:autoSpaceDN w:val="0"/>
        <w:adjustRightInd w:val="0"/>
        <w:jc w:val="both"/>
        <w:rPr>
          <w:rFonts w:ascii="Abadi" w:hAnsi="Abadi" w:cs="*Arial-Bold-6103-Identity-H"/>
          <w:b/>
          <w:bCs/>
          <w:color w:val="14141C"/>
          <w:sz w:val="21"/>
          <w:szCs w:val="21"/>
        </w:rPr>
      </w:pPr>
    </w:p>
    <w:p w14:paraId="7000F29E" w14:textId="77777777" w:rsidR="00600B0C" w:rsidRDefault="00600B0C" w:rsidP="00600B0C">
      <w:pPr>
        <w:autoSpaceDE w:val="0"/>
        <w:autoSpaceDN w:val="0"/>
        <w:adjustRightInd w:val="0"/>
        <w:ind w:firstLine="708"/>
        <w:jc w:val="both"/>
        <w:rPr>
          <w:rFonts w:ascii="Abadi" w:hAnsi="Abadi" w:cs="*Arial-5122-Identity-H"/>
          <w:color w:val="15131C"/>
          <w:sz w:val="21"/>
          <w:szCs w:val="21"/>
        </w:rPr>
      </w:pPr>
      <w:r w:rsidRPr="00F64AE8">
        <w:rPr>
          <w:rFonts w:ascii="Abadi" w:hAnsi="Abadi" w:cs="*Arial-Bold-6103-Identity-H"/>
          <w:b/>
          <w:bCs/>
          <w:color w:val="14141C"/>
          <w:sz w:val="21"/>
          <w:szCs w:val="21"/>
        </w:rPr>
        <w:t xml:space="preserve">Único. </w:t>
      </w:r>
      <w:r w:rsidRPr="00F64AE8">
        <w:rPr>
          <w:rFonts w:ascii="Abadi" w:hAnsi="Abadi" w:cs="*Arial-6102-Identity-H"/>
          <w:color w:val="14141C"/>
          <w:sz w:val="21"/>
          <w:szCs w:val="21"/>
        </w:rPr>
        <w:t>Con fundamento en el artículo 63 fracción XIX de la Constitución</w:t>
      </w:r>
      <w:r>
        <w:rPr>
          <w:rFonts w:ascii="Abadi" w:hAnsi="Abadi" w:cs="*Arial-6102-Identity-H"/>
          <w:color w:val="14141C"/>
          <w:sz w:val="21"/>
          <w:szCs w:val="21"/>
        </w:rPr>
        <w:t xml:space="preserve"> </w:t>
      </w:r>
      <w:r w:rsidRPr="00F64AE8">
        <w:rPr>
          <w:rFonts w:ascii="Abadi" w:hAnsi="Abadi" w:cs="*Arial-6102-Identity-H"/>
          <w:color w:val="14141C"/>
          <w:sz w:val="21"/>
          <w:szCs w:val="21"/>
        </w:rPr>
        <w:t>Política para el Estado, en relación con los artículos 3, fracción V, 5, fracción IV,</w:t>
      </w:r>
      <w:r>
        <w:rPr>
          <w:rFonts w:ascii="Abadi" w:hAnsi="Abadi" w:cs="*Arial-6102-Identity-H"/>
          <w:color w:val="14141C"/>
          <w:sz w:val="21"/>
          <w:szCs w:val="21"/>
        </w:rPr>
        <w:t xml:space="preserve"> </w:t>
      </w:r>
      <w:r w:rsidRPr="00F64AE8">
        <w:rPr>
          <w:rFonts w:ascii="Abadi" w:hAnsi="Abadi" w:cs="*Arial-6102-Identity-H"/>
          <w:color w:val="14141C"/>
          <w:sz w:val="21"/>
          <w:szCs w:val="21"/>
        </w:rPr>
        <w:t>56, 59 y 60 de la Ley de Fiscalización Superior del Estado de Guanajuato y 28 del</w:t>
      </w:r>
      <w:r>
        <w:rPr>
          <w:rFonts w:ascii="Abadi" w:hAnsi="Abadi" w:cs="*Arial-6102-Identity-H"/>
          <w:color w:val="14141C"/>
          <w:sz w:val="21"/>
          <w:szCs w:val="21"/>
        </w:rPr>
        <w:t xml:space="preserve"> </w:t>
      </w:r>
      <w:r w:rsidRPr="00F64AE8">
        <w:rPr>
          <w:rFonts w:ascii="Abadi" w:hAnsi="Abadi" w:cs="*Arial-6102-Identity-H"/>
          <w:color w:val="14141C"/>
          <w:sz w:val="21"/>
          <w:szCs w:val="21"/>
        </w:rPr>
        <w:t>Reglamento de la Ley de Fiscalización Superior del Estado de Guanajuato, se</w:t>
      </w:r>
      <w:r>
        <w:rPr>
          <w:rFonts w:ascii="Abadi" w:hAnsi="Abadi" w:cs="*Arial-6102-Identity-H"/>
          <w:color w:val="14141C"/>
          <w:sz w:val="21"/>
          <w:szCs w:val="21"/>
        </w:rPr>
        <w:t xml:space="preserve"> </w:t>
      </w:r>
      <w:r w:rsidRPr="00F64AE8">
        <w:rPr>
          <w:rFonts w:ascii="Abadi" w:hAnsi="Abadi" w:cs="*Arial-6102-Identity-H"/>
          <w:color w:val="14141C"/>
          <w:sz w:val="21"/>
          <w:szCs w:val="21"/>
        </w:rPr>
        <w:t>aprueba el informe de resultados formulado por la Auditoría Superior del Estado</w:t>
      </w:r>
      <w:r>
        <w:rPr>
          <w:rFonts w:ascii="Abadi" w:hAnsi="Abadi" w:cs="*Arial-6102-Identity-H"/>
          <w:color w:val="14141C"/>
          <w:sz w:val="21"/>
          <w:szCs w:val="21"/>
        </w:rPr>
        <w:t xml:space="preserve"> </w:t>
      </w:r>
      <w:r w:rsidRPr="00F64AE8">
        <w:rPr>
          <w:rFonts w:ascii="Abadi" w:hAnsi="Abadi" w:cs="*Arial-6102-Identity-H"/>
          <w:color w:val="14141C"/>
          <w:sz w:val="21"/>
          <w:szCs w:val="21"/>
        </w:rPr>
        <w:t>de Guanajuato, de la auditoría de desempeño practicada a la administración</w:t>
      </w:r>
      <w:r>
        <w:rPr>
          <w:rFonts w:ascii="Abadi" w:hAnsi="Abadi" w:cs="*Arial-6102-Identity-H"/>
          <w:color w:val="14141C"/>
          <w:sz w:val="21"/>
          <w:szCs w:val="21"/>
        </w:rPr>
        <w:t xml:space="preserve"> </w:t>
      </w:r>
      <w:r w:rsidRPr="00F64AE8">
        <w:rPr>
          <w:rFonts w:ascii="Abadi" w:hAnsi="Abadi" w:cs="*Arial-6102-Identity-H"/>
          <w:color w:val="14141C"/>
          <w:sz w:val="21"/>
          <w:szCs w:val="21"/>
        </w:rPr>
        <w:t>municipal de Irapuato, Gto., con enfoque a resultados del servicio de alumbrado</w:t>
      </w:r>
      <w:r>
        <w:rPr>
          <w:rFonts w:ascii="Abadi" w:hAnsi="Abadi" w:cs="*Arial-6102-Identity-H"/>
          <w:color w:val="14141C"/>
          <w:sz w:val="21"/>
          <w:szCs w:val="21"/>
        </w:rPr>
        <w:t xml:space="preserve"> </w:t>
      </w:r>
      <w:r w:rsidRPr="00F64AE8">
        <w:rPr>
          <w:rFonts w:ascii="Abadi" w:hAnsi="Abadi" w:cs="*Arial-5122-Identity-H"/>
          <w:color w:val="15131C"/>
          <w:sz w:val="21"/>
          <w:szCs w:val="21"/>
        </w:rPr>
        <w:t>público, por el periodo comprendido del 1 de enero al 31 de diciembre del ejercicio</w:t>
      </w:r>
      <w:r>
        <w:rPr>
          <w:rFonts w:ascii="Abadi" w:hAnsi="Abadi" w:cs="*Arial-5122-Identity-H"/>
          <w:color w:val="15131C"/>
          <w:sz w:val="21"/>
          <w:szCs w:val="21"/>
        </w:rPr>
        <w:t xml:space="preserve"> </w:t>
      </w:r>
      <w:r w:rsidRPr="00F64AE8">
        <w:rPr>
          <w:rFonts w:ascii="Abadi" w:hAnsi="Abadi" w:cs="*Arial-5122-Identity-H"/>
          <w:color w:val="15131C"/>
          <w:sz w:val="21"/>
          <w:szCs w:val="21"/>
        </w:rPr>
        <w:t>fiscal del año 2020.</w:t>
      </w:r>
    </w:p>
    <w:p w14:paraId="6F68914E" w14:textId="77777777" w:rsidR="00600B0C" w:rsidRPr="00F64AE8" w:rsidRDefault="00600B0C" w:rsidP="00600B0C">
      <w:pPr>
        <w:autoSpaceDE w:val="0"/>
        <w:autoSpaceDN w:val="0"/>
        <w:adjustRightInd w:val="0"/>
        <w:jc w:val="both"/>
        <w:rPr>
          <w:rFonts w:ascii="Abadi" w:hAnsi="Abadi" w:cs="*Arial-5122-Identity-H"/>
          <w:color w:val="15131C"/>
          <w:sz w:val="21"/>
          <w:szCs w:val="21"/>
        </w:rPr>
      </w:pPr>
    </w:p>
    <w:p w14:paraId="199B4B8F" w14:textId="77777777" w:rsidR="00600B0C" w:rsidRPr="00F64AE8" w:rsidRDefault="00600B0C" w:rsidP="00600B0C">
      <w:pPr>
        <w:autoSpaceDE w:val="0"/>
        <w:autoSpaceDN w:val="0"/>
        <w:adjustRightInd w:val="0"/>
        <w:ind w:firstLine="708"/>
        <w:jc w:val="both"/>
        <w:rPr>
          <w:rFonts w:ascii="Abadi" w:hAnsi="Abadi" w:cs="*Arial-5122-Identity-H"/>
          <w:color w:val="15141C"/>
          <w:sz w:val="21"/>
          <w:szCs w:val="21"/>
        </w:rPr>
      </w:pPr>
      <w:r w:rsidRPr="00F64AE8">
        <w:rPr>
          <w:rFonts w:ascii="Abadi" w:hAnsi="Abadi" w:cs="*Arial-5122-Identity-H"/>
          <w:color w:val="15141C"/>
          <w:sz w:val="21"/>
          <w:szCs w:val="21"/>
        </w:rPr>
        <w:t>Se ordena dar vista del informe de resultados al ayuntamiento del municipio</w:t>
      </w:r>
      <w:r>
        <w:rPr>
          <w:rFonts w:ascii="Abadi" w:hAnsi="Abadi" w:cs="*Arial-5122-Identity-H"/>
          <w:color w:val="15141C"/>
          <w:sz w:val="21"/>
          <w:szCs w:val="21"/>
        </w:rPr>
        <w:t xml:space="preserve"> </w:t>
      </w:r>
      <w:r w:rsidRPr="00F64AE8">
        <w:rPr>
          <w:rFonts w:ascii="Abadi" w:hAnsi="Abadi" w:cs="*Arial-5122-Identity-H"/>
          <w:color w:val="15141C"/>
          <w:sz w:val="21"/>
          <w:szCs w:val="21"/>
        </w:rPr>
        <w:t>de Irapuato, Gto., a efecto de que se atiendan las recomendaciones contenidas en</w:t>
      </w:r>
      <w:r>
        <w:rPr>
          <w:rFonts w:ascii="Abadi" w:hAnsi="Abadi" w:cs="*Arial-5122-Identity-H"/>
          <w:color w:val="15141C"/>
          <w:sz w:val="21"/>
          <w:szCs w:val="21"/>
        </w:rPr>
        <w:t xml:space="preserve"> </w:t>
      </w:r>
      <w:r w:rsidRPr="00F64AE8">
        <w:rPr>
          <w:rFonts w:ascii="Abadi" w:hAnsi="Abadi" w:cs="*Arial-5122-Identity-H"/>
          <w:color w:val="15141C"/>
          <w:sz w:val="21"/>
          <w:szCs w:val="21"/>
        </w:rPr>
        <w:t>el informe de resultados, informando a la Auditoría Superior del Estado de las</w:t>
      </w:r>
      <w:r>
        <w:rPr>
          <w:rFonts w:ascii="Abadi" w:hAnsi="Abadi" w:cs="*Arial-5122-Identity-H"/>
          <w:color w:val="15141C"/>
          <w:sz w:val="21"/>
          <w:szCs w:val="21"/>
        </w:rPr>
        <w:t xml:space="preserve"> </w:t>
      </w:r>
      <w:r w:rsidRPr="00F64AE8">
        <w:rPr>
          <w:rFonts w:ascii="Abadi" w:hAnsi="Abadi" w:cs="*Arial-5122-Identity-H"/>
          <w:color w:val="15141C"/>
          <w:sz w:val="21"/>
          <w:szCs w:val="21"/>
        </w:rPr>
        <w:t>acciones realizadas para ello, con objeto de que esta última realice el seguimiento</w:t>
      </w:r>
      <w:r>
        <w:rPr>
          <w:rFonts w:ascii="Abadi" w:hAnsi="Abadi" w:cs="*Arial-5122-Identity-H"/>
          <w:color w:val="15141C"/>
          <w:sz w:val="21"/>
          <w:szCs w:val="21"/>
        </w:rPr>
        <w:t xml:space="preserve"> </w:t>
      </w:r>
      <w:r w:rsidRPr="00F64AE8">
        <w:rPr>
          <w:rFonts w:ascii="Abadi" w:hAnsi="Abadi" w:cs="*Arial-5122-Identity-H"/>
          <w:color w:val="15141C"/>
          <w:sz w:val="21"/>
          <w:szCs w:val="21"/>
        </w:rPr>
        <w:t>correspondiente, previsto en los artículos 37, fracción VII, 65 y 66 de la Ley de</w:t>
      </w:r>
      <w:r>
        <w:rPr>
          <w:rFonts w:ascii="Abadi" w:hAnsi="Abadi" w:cs="*Arial-5122-Identity-H"/>
          <w:color w:val="15141C"/>
          <w:sz w:val="21"/>
          <w:szCs w:val="21"/>
        </w:rPr>
        <w:t xml:space="preserve"> </w:t>
      </w:r>
      <w:r w:rsidRPr="00F64AE8">
        <w:rPr>
          <w:rFonts w:ascii="Abadi" w:hAnsi="Abadi" w:cs="*Arial-5122-Identity-H"/>
          <w:color w:val="15141C"/>
          <w:sz w:val="21"/>
          <w:szCs w:val="21"/>
        </w:rPr>
        <w:t>Fiscalización Superior del Estado de Guanajuato y 77 del Reglamento de dicha</w:t>
      </w:r>
      <w:r>
        <w:rPr>
          <w:rFonts w:ascii="Abadi" w:hAnsi="Abadi" w:cs="*Arial-5122-Identity-H"/>
          <w:color w:val="15141C"/>
          <w:sz w:val="21"/>
          <w:szCs w:val="21"/>
        </w:rPr>
        <w:t xml:space="preserve"> </w:t>
      </w:r>
      <w:r w:rsidRPr="00F64AE8">
        <w:rPr>
          <w:rFonts w:ascii="Abadi" w:hAnsi="Abadi" w:cs="*Arial-5122-Identity-H"/>
          <w:color w:val="15141C"/>
          <w:sz w:val="21"/>
          <w:szCs w:val="21"/>
        </w:rPr>
        <w:t>Ley.</w:t>
      </w:r>
    </w:p>
    <w:p w14:paraId="75AE67EA" w14:textId="77777777" w:rsidR="00600B0C" w:rsidRDefault="00600B0C" w:rsidP="00600B0C">
      <w:pPr>
        <w:autoSpaceDE w:val="0"/>
        <w:autoSpaceDN w:val="0"/>
        <w:adjustRightInd w:val="0"/>
        <w:jc w:val="both"/>
        <w:rPr>
          <w:rFonts w:ascii="Abadi" w:hAnsi="Abadi" w:cs="*Arial-5122-Identity-H"/>
          <w:color w:val="16141D"/>
          <w:sz w:val="21"/>
          <w:szCs w:val="21"/>
        </w:rPr>
      </w:pPr>
      <w:r>
        <w:rPr>
          <w:rFonts w:ascii="Abadi" w:hAnsi="Abadi" w:cs="*Arial-5122-Identity-H"/>
          <w:color w:val="16141D"/>
          <w:sz w:val="21"/>
          <w:szCs w:val="21"/>
        </w:rPr>
        <w:tab/>
      </w:r>
    </w:p>
    <w:p w14:paraId="3ED57A56" w14:textId="7825ED36" w:rsidR="00600B0C" w:rsidRDefault="00600B0C" w:rsidP="00600B0C">
      <w:pPr>
        <w:autoSpaceDE w:val="0"/>
        <w:autoSpaceDN w:val="0"/>
        <w:adjustRightInd w:val="0"/>
        <w:jc w:val="both"/>
        <w:rPr>
          <w:rFonts w:ascii="Abadi" w:hAnsi="Abadi" w:cs="*Arial-5122-Identity-H"/>
          <w:color w:val="15141C"/>
          <w:sz w:val="21"/>
          <w:szCs w:val="21"/>
        </w:rPr>
      </w:pPr>
      <w:r w:rsidRPr="00F64AE8">
        <w:rPr>
          <w:rFonts w:ascii="Abadi" w:hAnsi="Abadi" w:cs="*Arial-5122-Identity-H"/>
          <w:color w:val="16141D"/>
          <w:sz w:val="21"/>
          <w:szCs w:val="21"/>
        </w:rPr>
        <w:t>De conformidad con el artículo 37, fracción de la Ley de Fiscalización</w:t>
      </w:r>
      <w:r>
        <w:rPr>
          <w:rFonts w:ascii="Abadi" w:hAnsi="Abadi" w:cs="*Arial-5122-Identity-H"/>
          <w:color w:val="16141D"/>
          <w:sz w:val="21"/>
          <w:szCs w:val="21"/>
        </w:rPr>
        <w:t xml:space="preserve"> </w:t>
      </w:r>
      <w:r w:rsidRPr="00F64AE8">
        <w:rPr>
          <w:rFonts w:ascii="Abadi" w:hAnsi="Abadi" w:cs="*Arial-5122-Identity-H"/>
          <w:color w:val="15141C"/>
          <w:sz w:val="21"/>
          <w:szCs w:val="21"/>
        </w:rPr>
        <w:t xml:space="preserve">Superior del Estado de Guanajuato, remítase el </w:t>
      </w:r>
      <w:r>
        <w:rPr>
          <w:rFonts w:ascii="Abadi" w:hAnsi="Abadi" w:cs="*Arial-5122-Identity-H"/>
          <w:color w:val="15141C"/>
          <w:sz w:val="21"/>
          <w:szCs w:val="21"/>
        </w:rPr>
        <w:t xml:space="preserve">presente </w:t>
      </w:r>
      <w:r w:rsidRPr="00F64AE8">
        <w:rPr>
          <w:rFonts w:ascii="Abadi" w:hAnsi="Abadi" w:cs="*Arial-5122-Identity-H"/>
          <w:color w:val="15141C"/>
          <w:sz w:val="21"/>
          <w:szCs w:val="21"/>
        </w:rPr>
        <w:t>acuerdo junto con su</w:t>
      </w:r>
      <w:r>
        <w:rPr>
          <w:rFonts w:ascii="Abadi" w:hAnsi="Abadi" w:cs="*Arial-5122-Identity-H"/>
          <w:color w:val="15141C"/>
          <w:sz w:val="21"/>
          <w:szCs w:val="21"/>
        </w:rPr>
        <w:t xml:space="preserve"> </w:t>
      </w:r>
      <w:r w:rsidRPr="00F64AE8">
        <w:rPr>
          <w:rFonts w:ascii="Abadi" w:hAnsi="Abadi" w:cs="*Arial-5122-Identity-H"/>
          <w:color w:val="15141C"/>
          <w:sz w:val="21"/>
          <w:szCs w:val="21"/>
        </w:rPr>
        <w:t>dictamen y el informe de resultados a la Au</w:t>
      </w:r>
      <w:r>
        <w:rPr>
          <w:rFonts w:ascii="Abadi" w:hAnsi="Abadi" w:cs="*Arial-5122-Identity-H"/>
          <w:color w:val="15141C"/>
          <w:sz w:val="21"/>
          <w:szCs w:val="21"/>
        </w:rPr>
        <w:t xml:space="preserve">ditoria Superior </w:t>
      </w:r>
      <w:r w:rsidRPr="00F64AE8">
        <w:rPr>
          <w:rFonts w:ascii="Abadi" w:hAnsi="Abadi" w:cs="*Arial-5122-Identity-H"/>
          <w:color w:val="15141C"/>
          <w:sz w:val="21"/>
          <w:szCs w:val="21"/>
        </w:rPr>
        <w:t>para</w:t>
      </w:r>
      <w:r>
        <w:rPr>
          <w:rFonts w:ascii="Abadi" w:hAnsi="Abadi" w:cs="*Arial-5122-Identity-H"/>
          <w:color w:val="15141C"/>
          <w:sz w:val="21"/>
          <w:szCs w:val="21"/>
        </w:rPr>
        <w:t xml:space="preserve"> efectos de su notificación.</w:t>
      </w:r>
    </w:p>
    <w:p w14:paraId="620A1D69" w14:textId="39173B75" w:rsidR="00600B0C" w:rsidRDefault="00600B0C" w:rsidP="00600B0C">
      <w:pPr>
        <w:autoSpaceDE w:val="0"/>
        <w:autoSpaceDN w:val="0"/>
        <w:adjustRightInd w:val="0"/>
        <w:jc w:val="both"/>
        <w:rPr>
          <w:rFonts w:ascii="Abadi" w:hAnsi="Abadi" w:cs="*Arial-5122-Identity-H"/>
          <w:color w:val="15141C"/>
          <w:sz w:val="21"/>
          <w:szCs w:val="21"/>
        </w:rPr>
      </w:pPr>
    </w:p>
    <w:p w14:paraId="75651B2F"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Guanajuato, Gto., 5 de abril de 2022</w:t>
      </w:r>
    </w:p>
    <w:p w14:paraId="42D0C393"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La Comisión de Hacienda y Fiscalización</w:t>
      </w:r>
    </w:p>
    <w:p w14:paraId="5DEBAEA6" w14:textId="77777777" w:rsidR="00600B0C" w:rsidRDefault="00600B0C" w:rsidP="00600B0C">
      <w:pPr>
        <w:autoSpaceDE w:val="0"/>
        <w:autoSpaceDN w:val="0"/>
        <w:adjustRightInd w:val="0"/>
        <w:ind w:firstLine="708"/>
        <w:jc w:val="both"/>
        <w:rPr>
          <w:rFonts w:ascii="Abadi" w:hAnsi="Abadi" w:cs="*Arial-6038-Identity-H"/>
          <w:b/>
          <w:bCs/>
          <w:color w:val="0E0D10"/>
          <w:sz w:val="21"/>
          <w:szCs w:val="21"/>
        </w:rPr>
      </w:pPr>
    </w:p>
    <w:p w14:paraId="359804C0"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 Víctor Manuel Zanella Huerta</w:t>
      </w:r>
    </w:p>
    <w:p w14:paraId="23FB098D"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Diputada Ruth Noemí Tiscareño Agoitia</w:t>
      </w:r>
    </w:p>
    <w:p w14:paraId="70AA2ADB"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Miguel ángel Salim Alle</w:t>
      </w:r>
    </w:p>
    <w:p w14:paraId="4B3AFC15" w14:textId="77777777" w:rsidR="00600B0C" w:rsidRDefault="00600B0C" w:rsidP="00600B0C">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José alonso Borja Pimentel</w:t>
      </w:r>
    </w:p>
    <w:p w14:paraId="30E59A74" w14:textId="55C89026" w:rsidR="00600B0C" w:rsidRDefault="00600B0C" w:rsidP="00600B0C">
      <w:pPr>
        <w:autoSpaceDE w:val="0"/>
        <w:autoSpaceDN w:val="0"/>
        <w:adjustRightInd w:val="0"/>
        <w:jc w:val="both"/>
        <w:rPr>
          <w:rFonts w:ascii="Abadi" w:hAnsi="Abadi"/>
          <w:b/>
          <w:bCs/>
          <w:sz w:val="21"/>
          <w:szCs w:val="21"/>
        </w:rPr>
      </w:pPr>
      <w:r>
        <w:rPr>
          <w:rFonts w:ascii="Abadi" w:hAnsi="Abadi" w:cs="*Arial-6038-Identity-H"/>
          <w:b/>
          <w:bCs/>
          <w:color w:val="0E0D10"/>
          <w:sz w:val="21"/>
          <w:szCs w:val="21"/>
        </w:rPr>
        <w:t>Diputada Alma Edwviges Alcaraz Hernández</w:t>
      </w:r>
    </w:p>
    <w:p w14:paraId="73633266" w14:textId="77777777" w:rsidR="00600B0C" w:rsidRPr="00C0364D" w:rsidRDefault="00600B0C" w:rsidP="00600B0C">
      <w:pPr>
        <w:autoSpaceDE w:val="0"/>
        <w:autoSpaceDN w:val="0"/>
        <w:adjustRightInd w:val="0"/>
        <w:ind w:firstLine="708"/>
        <w:jc w:val="both"/>
        <w:rPr>
          <w:rFonts w:ascii="Abadi" w:hAnsi="Abadi"/>
          <w:sz w:val="21"/>
          <w:szCs w:val="21"/>
        </w:rPr>
      </w:pPr>
    </w:p>
    <w:p w14:paraId="2D0EBCCE" w14:textId="77777777" w:rsidR="006F3002" w:rsidRPr="00293312" w:rsidRDefault="006F3002" w:rsidP="006F3002">
      <w:pPr>
        <w:autoSpaceDE w:val="0"/>
        <w:autoSpaceDN w:val="0"/>
        <w:adjustRightInd w:val="0"/>
        <w:ind w:left="426"/>
        <w:jc w:val="both"/>
        <w:rPr>
          <w:rFonts w:ascii="Abadi" w:hAnsi="Abadi" w:cs="Arial-BoldMT"/>
          <w:b/>
          <w:bCs/>
          <w:sz w:val="20"/>
          <w:szCs w:val="21"/>
        </w:rPr>
      </w:pPr>
    </w:p>
    <w:p w14:paraId="296DE2F5" w14:textId="6955D99F"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SUSCRITO POR LA COMISIÓN DE HACIENDA Y FISCALIZACIÓN RELATIVO AL INFORME DE RESULTADOS DE LA AUDITORÍA DE DESEMPEÑO PRACTICADA POR LA AUDITORÍA SUPERIOR DEL ESTADO DE GUANAJUATO A LA ADMINISTRACIÓN MUNICIPAL DE OCAMPO, GTO., CON ENFOQUE A RESULTADOS DEL SERVICIO DE ALUMBRADO PÚBLICO, POR EL PERIODO COMPRENDIDO DEL 1 DE ENERO AL 31 DE DICIEMBRE DEL EJERCICIO FISCAL DEL AÑO 2020.</w:t>
      </w:r>
    </w:p>
    <w:p w14:paraId="1D8A9017" w14:textId="6F35CC25" w:rsidR="00C54578" w:rsidRDefault="00C54578" w:rsidP="00C54578">
      <w:pPr>
        <w:autoSpaceDE w:val="0"/>
        <w:autoSpaceDN w:val="0"/>
        <w:adjustRightInd w:val="0"/>
        <w:jc w:val="both"/>
        <w:rPr>
          <w:rFonts w:ascii="Abadi" w:hAnsi="Abadi" w:cs="ArialMT"/>
          <w:b/>
          <w:bCs/>
          <w:sz w:val="20"/>
          <w:szCs w:val="21"/>
        </w:rPr>
      </w:pPr>
    </w:p>
    <w:p w14:paraId="7DE5ABE9" w14:textId="6F010F3D" w:rsidR="00C54578" w:rsidRDefault="00C54578" w:rsidP="00C54578">
      <w:pPr>
        <w:autoSpaceDE w:val="0"/>
        <w:autoSpaceDN w:val="0"/>
        <w:adjustRightInd w:val="0"/>
        <w:jc w:val="both"/>
        <w:rPr>
          <w:rFonts w:ascii="Abadi" w:hAnsi="Abadi" w:cs="ArialMT"/>
          <w:b/>
          <w:bCs/>
          <w:sz w:val="20"/>
          <w:szCs w:val="21"/>
        </w:rPr>
      </w:pPr>
    </w:p>
    <w:p w14:paraId="5BA22553" w14:textId="77777777" w:rsidR="00C54578" w:rsidRPr="00D9374F" w:rsidRDefault="00C54578" w:rsidP="00C54578">
      <w:pPr>
        <w:autoSpaceDE w:val="0"/>
        <w:autoSpaceDN w:val="0"/>
        <w:adjustRightInd w:val="0"/>
        <w:jc w:val="both"/>
        <w:rPr>
          <w:rFonts w:ascii="Abadi" w:hAnsi="Abadi" w:cs="*Arial-Bold-5436-Identity-H"/>
          <w:b/>
          <w:bCs/>
          <w:color w:val="14131D"/>
          <w:sz w:val="21"/>
          <w:szCs w:val="21"/>
        </w:rPr>
      </w:pPr>
      <w:r w:rsidRPr="00D9374F">
        <w:rPr>
          <w:rFonts w:ascii="Abadi" w:hAnsi="Abadi" w:cs="*Arial-Bold-5436-Identity-H"/>
          <w:b/>
          <w:bCs/>
          <w:color w:val="14131D"/>
          <w:sz w:val="21"/>
          <w:szCs w:val="21"/>
        </w:rPr>
        <w:t>C. PRESIDENTA DEL CONGRESO DEL ESTADO.</w:t>
      </w:r>
    </w:p>
    <w:p w14:paraId="767ECD32" w14:textId="77777777" w:rsidR="00C54578" w:rsidRPr="00D9374F" w:rsidRDefault="00C54578" w:rsidP="00C54578">
      <w:pPr>
        <w:autoSpaceDE w:val="0"/>
        <w:autoSpaceDN w:val="0"/>
        <w:adjustRightInd w:val="0"/>
        <w:jc w:val="both"/>
        <w:rPr>
          <w:rFonts w:ascii="Abadi" w:hAnsi="Abadi" w:cs="*Arial-Bold-5436-Identity-H"/>
          <w:b/>
          <w:bCs/>
          <w:color w:val="14131D"/>
          <w:sz w:val="21"/>
          <w:szCs w:val="21"/>
        </w:rPr>
      </w:pPr>
      <w:r w:rsidRPr="00D9374F">
        <w:rPr>
          <w:rFonts w:ascii="Abadi" w:hAnsi="Abadi" w:cs="*Arial-Bold-5436-Identity-H"/>
          <w:b/>
          <w:bCs/>
          <w:color w:val="14131D"/>
          <w:sz w:val="21"/>
          <w:szCs w:val="21"/>
        </w:rPr>
        <w:t>P R E S</w:t>
      </w:r>
      <w:r>
        <w:rPr>
          <w:rFonts w:ascii="Abadi" w:hAnsi="Abadi" w:cs="*Arial-Bold-5436-Identity-H"/>
          <w:b/>
          <w:bCs/>
          <w:color w:val="14131D"/>
          <w:sz w:val="21"/>
          <w:szCs w:val="21"/>
        </w:rPr>
        <w:t xml:space="preserve"> </w:t>
      </w:r>
      <w:r w:rsidRPr="00D9374F">
        <w:rPr>
          <w:rFonts w:ascii="Abadi" w:hAnsi="Abadi" w:cs="*Arial-Bold-5436-Identity-H"/>
          <w:b/>
          <w:bCs/>
          <w:color w:val="14131D"/>
          <w:sz w:val="21"/>
          <w:szCs w:val="21"/>
        </w:rPr>
        <w:t>E N T</w:t>
      </w:r>
      <w:r>
        <w:rPr>
          <w:rFonts w:ascii="Abadi" w:hAnsi="Abadi" w:cs="*Arial-Bold-5436-Identity-H"/>
          <w:b/>
          <w:bCs/>
          <w:color w:val="14131D"/>
          <w:sz w:val="21"/>
          <w:szCs w:val="21"/>
        </w:rPr>
        <w:t xml:space="preserve"> </w:t>
      </w:r>
      <w:r w:rsidRPr="00D9374F">
        <w:rPr>
          <w:rFonts w:ascii="Abadi" w:hAnsi="Abadi" w:cs="*Arial-Bold-5436-Identity-H"/>
          <w:b/>
          <w:bCs/>
          <w:color w:val="14131D"/>
          <w:sz w:val="21"/>
          <w:szCs w:val="21"/>
        </w:rPr>
        <w:t>E.</w:t>
      </w:r>
    </w:p>
    <w:p w14:paraId="7992F484" w14:textId="77777777" w:rsidR="00C54578" w:rsidRDefault="00C54578" w:rsidP="00C54578">
      <w:pPr>
        <w:autoSpaceDE w:val="0"/>
        <w:autoSpaceDN w:val="0"/>
        <w:adjustRightInd w:val="0"/>
        <w:jc w:val="both"/>
        <w:rPr>
          <w:rFonts w:ascii="Abadi" w:hAnsi="Abadi" w:cs="*Arial-5434-Identity-H"/>
          <w:color w:val="14131B"/>
          <w:sz w:val="21"/>
          <w:szCs w:val="21"/>
        </w:rPr>
      </w:pPr>
    </w:p>
    <w:p w14:paraId="15BB67D0" w14:textId="77777777" w:rsidR="00C54578" w:rsidRPr="00D9374F" w:rsidRDefault="00C54578" w:rsidP="00C54578">
      <w:pPr>
        <w:autoSpaceDE w:val="0"/>
        <w:autoSpaceDN w:val="0"/>
        <w:adjustRightInd w:val="0"/>
        <w:ind w:firstLine="708"/>
        <w:jc w:val="both"/>
        <w:rPr>
          <w:rFonts w:ascii="Abadi" w:hAnsi="Abadi" w:cs="*Arial-5434-Identity-H"/>
          <w:color w:val="14131B"/>
          <w:sz w:val="21"/>
          <w:szCs w:val="21"/>
        </w:rPr>
      </w:pPr>
      <w:r w:rsidRPr="00D9374F">
        <w:rPr>
          <w:rFonts w:ascii="Abadi" w:hAnsi="Abadi" w:cs="*Arial-5434-Identity-H"/>
          <w:color w:val="14131B"/>
          <w:sz w:val="21"/>
          <w:szCs w:val="21"/>
        </w:rPr>
        <w:t>A esta Comisión de Hacienda y Fiscalización le fue turnado para su estudio</w:t>
      </w:r>
      <w:r>
        <w:rPr>
          <w:rFonts w:ascii="Abadi" w:hAnsi="Abadi" w:cs="*Arial-5434-Identity-H"/>
          <w:color w:val="14131B"/>
          <w:sz w:val="21"/>
          <w:szCs w:val="21"/>
        </w:rPr>
        <w:t xml:space="preserve"> </w:t>
      </w:r>
      <w:r w:rsidRPr="00D9374F">
        <w:rPr>
          <w:rFonts w:ascii="Abadi" w:hAnsi="Abadi" w:cs="*Arial-5434-Identity-H"/>
          <w:color w:val="14131B"/>
          <w:sz w:val="21"/>
          <w:szCs w:val="21"/>
        </w:rPr>
        <w:t>y dictamen, el informe de resultados de la auditoría de desempeño practicada por</w:t>
      </w:r>
      <w:r>
        <w:rPr>
          <w:rFonts w:ascii="Abadi" w:hAnsi="Abadi" w:cs="*Arial-5434-Identity-H"/>
          <w:color w:val="14131B"/>
          <w:sz w:val="21"/>
          <w:szCs w:val="21"/>
        </w:rPr>
        <w:t xml:space="preserve"> </w:t>
      </w:r>
      <w:r w:rsidRPr="00D9374F">
        <w:rPr>
          <w:rFonts w:ascii="Abadi" w:hAnsi="Abadi" w:cs="*Arial-5434-Identity-H"/>
          <w:color w:val="14131B"/>
          <w:sz w:val="21"/>
          <w:szCs w:val="21"/>
        </w:rPr>
        <w:t>la Auditoría Superior del Estado de Guanajuato a la administración municipal de</w:t>
      </w:r>
      <w:r>
        <w:rPr>
          <w:rFonts w:ascii="Abadi" w:hAnsi="Abadi" w:cs="*Arial-5434-Identity-H"/>
          <w:color w:val="14131B"/>
          <w:sz w:val="21"/>
          <w:szCs w:val="21"/>
        </w:rPr>
        <w:t xml:space="preserve"> </w:t>
      </w:r>
      <w:r w:rsidRPr="00D9374F">
        <w:rPr>
          <w:rFonts w:ascii="Abadi" w:hAnsi="Abadi" w:cs="*Arial-5434-Identity-H"/>
          <w:color w:val="14131B"/>
          <w:sz w:val="21"/>
          <w:szCs w:val="21"/>
        </w:rPr>
        <w:t>Ocampo, Gto., con enfoque a resultados del servicio de alumbrado público, por el</w:t>
      </w:r>
      <w:r>
        <w:rPr>
          <w:rFonts w:ascii="Abadi" w:hAnsi="Abadi" w:cs="*Arial-5434-Identity-H"/>
          <w:color w:val="14131B"/>
          <w:sz w:val="21"/>
          <w:szCs w:val="21"/>
        </w:rPr>
        <w:t xml:space="preserve"> </w:t>
      </w:r>
      <w:r w:rsidRPr="00D9374F">
        <w:rPr>
          <w:rFonts w:ascii="Abadi" w:hAnsi="Abadi" w:cs="*Arial-5434-Identity-H"/>
          <w:color w:val="14131B"/>
          <w:sz w:val="21"/>
          <w:szCs w:val="21"/>
        </w:rPr>
        <w:t>periodo comprendido del 1 de enero al 31 de diciembre del ejercicio fiscal del año</w:t>
      </w:r>
      <w:r>
        <w:rPr>
          <w:rFonts w:ascii="Abadi" w:hAnsi="Abadi" w:cs="*Arial-5434-Identity-H"/>
          <w:color w:val="14131B"/>
          <w:sz w:val="21"/>
          <w:szCs w:val="21"/>
        </w:rPr>
        <w:t xml:space="preserve"> </w:t>
      </w:r>
      <w:r w:rsidRPr="00D9374F">
        <w:rPr>
          <w:rFonts w:ascii="Abadi" w:hAnsi="Abadi" w:cs="*Arial-5434-Identity-H"/>
          <w:color w:val="14131B"/>
          <w:sz w:val="21"/>
          <w:szCs w:val="21"/>
        </w:rPr>
        <w:t>2020.</w:t>
      </w:r>
    </w:p>
    <w:p w14:paraId="518A53C7" w14:textId="77777777" w:rsidR="00C54578" w:rsidRDefault="00C54578" w:rsidP="00C54578">
      <w:pPr>
        <w:autoSpaceDE w:val="0"/>
        <w:autoSpaceDN w:val="0"/>
        <w:adjustRightInd w:val="0"/>
        <w:jc w:val="both"/>
        <w:rPr>
          <w:rFonts w:ascii="Abadi" w:hAnsi="Abadi" w:cs="*Arial-5434-Identity-H"/>
          <w:color w:val="15131C"/>
          <w:sz w:val="21"/>
          <w:szCs w:val="21"/>
        </w:rPr>
      </w:pPr>
    </w:p>
    <w:p w14:paraId="42BCE27E" w14:textId="77777777" w:rsidR="00C54578" w:rsidRPr="00D9374F" w:rsidRDefault="00C54578" w:rsidP="00C54578">
      <w:pPr>
        <w:autoSpaceDE w:val="0"/>
        <w:autoSpaceDN w:val="0"/>
        <w:adjustRightInd w:val="0"/>
        <w:ind w:firstLine="708"/>
        <w:jc w:val="both"/>
        <w:rPr>
          <w:rFonts w:ascii="Abadi" w:hAnsi="Abadi" w:cs="*Arial-5434-Identity-H"/>
          <w:color w:val="15131C"/>
          <w:sz w:val="21"/>
          <w:szCs w:val="21"/>
        </w:rPr>
      </w:pPr>
      <w:r w:rsidRPr="00D9374F">
        <w:rPr>
          <w:rFonts w:ascii="Abadi" w:hAnsi="Abadi" w:cs="*Arial-5434-Identity-H"/>
          <w:color w:val="15131C"/>
          <w:sz w:val="21"/>
          <w:szCs w:val="21"/>
        </w:rPr>
        <w:t>Una vez analizado el referido informe de resultados, con fundamento en los</w:t>
      </w:r>
      <w:r>
        <w:rPr>
          <w:rFonts w:ascii="Abadi" w:hAnsi="Abadi" w:cs="*Arial-5434-Identity-H"/>
          <w:color w:val="15131C"/>
          <w:sz w:val="21"/>
          <w:szCs w:val="21"/>
        </w:rPr>
        <w:t xml:space="preserve"> </w:t>
      </w:r>
      <w:r w:rsidRPr="00D9374F">
        <w:rPr>
          <w:rFonts w:ascii="Abadi" w:hAnsi="Abadi" w:cs="*Arial-5434-Identity-H"/>
          <w:color w:val="15131C"/>
          <w:sz w:val="21"/>
          <w:szCs w:val="21"/>
        </w:rPr>
        <w:t>artículos 112 fracción XII, primer párrafo y 171 de la Ley Orgánica del Poder</w:t>
      </w:r>
      <w:r>
        <w:rPr>
          <w:rFonts w:ascii="Abadi" w:hAnsi="Abadi" w:cs="*Arial-5434-Identity-H"/>
          <w:color w:val="15131C"/>
          <w:sz w:val="21"/>
          <w:szCs w:val="21"/>
        </w:rPr>
        <w:t xml:space="preserve"> </w:t>
      </w:r>
      <w:r w:rsidRPr="00D9374F">
        <w:rPr>
          <w:rFonts w:ascii="Abadi" w:hAnsi="Abadi" w:cs="*Arial-5434-Identity-H"/>
          <w:color w:val="15131C"/>
          <w:sz w:val="21"/>
          <w:szCs w:val="21"/>
        </w:rPr>
        <w:t>Legislativo, nos permitimos rendir el siguiente:</w:t>
      </w:r>
    </w:p>
    <w:p w14:paraId="6349D683" w14:textId="77777777" w:rsidR="00C54578" w:rsidRDefault="00C54578" w:rsidP="00C54578">
      <w:pPr>
        <w:autoSpaceDE w:val="0"/>
        <w:autoSpaceDN w:val="0"/>
        <w:adjustRightInd w:val="0"/>
        <w:jc w:val="both"/>
        <w:rPr>
          <w:rFonts w:ascii="Abadi" w:hAnsi="Abadi" w:cs="*Arial-Bold-5435-Identity-H"/>
          <w:b/>
          <w:bCs/>
          <w:color w:val="14121F"/>
          <w:sz w:val="21"/>
          <w:szCs w:val="21"/>
        </w:rPr>
      </w:pPr>
    </w:p>
    <w:p w14:paraId="22B73828" w14:textId="77777777" w:rsidR="00C54578" w:rsidRPr="00D9374F" w:rsidRDefault="00C54578" w:rsidP="00C54578">
      <w:pPr>
        <w:autoSpaceDE w:val="0"/>
        <w:autoSpaceDN w:val="0"/>
        <w:adjustRightInd w:val="0"/>
        <w:jc w:val="center"/>
        <w:rPr>
          <w:rFonts w:ascii="Abadi" w:hAnsi="Abadi" w:cs="*Arial-Bold-5435-Identity-H"/>
          <w:b/>
          <w:bCs/>
          <w:color w:val="14121F"/>
          <w:sz w:val="21"/>
          <w:szCs w:val="21"/>
        </w:rPr>
      </w:pPr>
      <w:r w:rsidRPr="00D9374F">
        <w:rPr>
          <w:rFonts w:ascii="Abadi" w:hAnsi="Abadi" w:cs="*Arial-Bold-5435-Identity-H"/>
          <w:b/>
          <w:bCs/>
          <w:color w:val="14121F"/>
          <w:sz w:val="21"/>
          <w:szCs w:val="21"/>
        </w:rPr>
        <w:t>Dictamen</w:t>
      </w:r>
    </w:p>
    <w:p w14:paraId="69F224D4" w14:textId="77777777" w:rsidR="00C54578" w:rsidRDefault="00C54578" w:rsidP="00C54578">
      <w:pPr>
        <w:autoSpaceDE w:val="0"/>
        <w:autoSpaceDN w:val="0"/>
        <w:adjustRightInd w:val="0"/>
        <w:jc w:val="center"/>
        <w:rPr>
          <w:rFonts w:ascii="Abadi" w:hAnsi="Abadi" w:cs="*Arial-Bold-5435-Identity-H"/>
          <w:b/>
          <w:bCs/>
          <w:color w:val="14121F"/>
          <w:sz w:val="21"/>
          <w:szCs w:val="21"/>
        </w:rPr>
      </w:pPr>
      <w:r>
        <w:rPr>
          <w:rFonts w:ascii="Abadi" w:hAnsi="Abadi" w:cs="*Arial-Bold-5435-Identity-H"/>
          <w:b/>
          <w:bCs/>
          <w:color w:val="14121F"/>
          <w:sz w:val="21"/>
          <w:szCs w:val="21"/>
        </w:rPr>
        <w:tab/>
      </w:r>
    </w:p>
    <w:p w14:paraId="097BD21A" w14:textId="77777777" w:rsidR="00C54578" w:rsidRDefault="00C54578" w:rsidP="00C54578">
      <w:pPr>
        <w:autoSpaceDE w:val="0"/>
        <w:autoSpaceDN w:val="0"/>
        <w:adjustRightInd w:val="0"/>
        <w:ind w:firstLine="708"/>
        <w:jc w:val="both"/>
        <w:rPr>
          <w:rFonts w:ascii="Abadi" w:hAnsi="Abadi" w:cs="*Arial-Bold-5435-Identity-H"/>
          <w:b/>
          <w:bCs/>
          <w:color w:val="14121F"/>
          <w:sz w:val="21"/>
          <w:szCs w:val="21"/>
        </w:rPr>
      </w:pPr>
      <w:r w:rsidRPr="00D9374F">
        <w:rPr>
          <w:rFonts w:ascii="Abadi" w:hAnsi="Abadi" w:cs="*Arial-Bold-5435-Identity-H"/>
          <w:b/>
          <w:bCs/>
          <w:color w:val="14121F"/>
          <w:sz w:val="21"/>
          <w:szCs w:val="21"/>
        </w:rPr>
        <w:t>l. Competencia:</w:t>
      </w:r>
    </w:p>
    <w:p w14:paraId="6E37F74D" w14:textId="77777777" w:rsidR="00C54578" w:rsidRPr="00D9374F" w:rsidRDefault="00C54578" w:rsidP="00C54578">
      <w:pPr>
        <w:autoSpaceDE w:val="0"/>
        <w:autoSpaceDN w:val="0"/>
        <w:adjustRightInd w:val="0"/>
        <w:jc w:val="both"/>
        <w:rPr>
          <w:rFonts w:ascii="Abadi" w:hAnsi="Abadi" w:cs="*Arial-Bold-5435-Identity-H"/>
          <w:b/>
          <w:bCs/>
          <w:color w:val="14121F"/>
          <w:sz w:val="21"/>
          <w:szCs w:val="21"/>
        </w:rPr>
      </w:pPr>
    </w:p>
    <w:p w14:paraId="7417263A" w14:textId="77777777" w:rsidR="00C54578" w:rsidRPr="00D9374F" w:rsidRDefault="00C54578" w:rsidP="00C54578">
      <w:pPr>
        <w:autoSpaceDE w:val="0"/>
        <w:autoSpaceDN w:val="0"/>
        <w:adjustRightInd w:val="0"/>
        <w:ind w:firstLine="708"/>
        <w:jc w:val="both"/>
        <w:rPr>
          <w:rFonts w:ascii="Abadi" w:hAnsi="Abadi" w:cs="*Arial-5434-Identity-H"/>
          <w:color w:val="14131B"/>
          <w:sz w:val="21"/>
          <w:szCs w:val="21"/>
        </w:rPr>
      </w:pPr>
      <w:r w:rsidRPr="00D9374F">
        <w:rPr>
          <w:rFonts w:ascii="Abadi" w:hAnsi="Abadi" w:cs="*Arial-5434-Identity-H"/>
          <w:color w:val="14131B"/>
          <w:sz w:val="21"/>
          <w:szCs w:val="21"/>
        </w:rPr>
        <w:t>Las facultades de la legislatura local en materia de fiscalización de las</w:t>
      </w:r>
      <w:r>
        <w:rPr>
          <w:rFonts w:ascii="Abadi" w:hAnsi="Abadi" w:cs="*Arial-5434-Identity-H"/>
          <w:color w:val="14131B"/>
          <w:sz w:val="21"/>
          <w:szCs w:val="21"/>
        </w:rPr>
        <w:t xml:space="preserve"> </w:t>
      </w:r>
      <w:r w:rsidRPr="00D9374F">
        <w:rPr>
          <w:rFonts w:ascii="Abadi" w:hAnsi="Abadi" w:cs="*Arial-5434-Identity-H"/>
          <w:color w:val="14131B"/>
          <w:sz w:val="21"/>
          <w:szCs w:val="21"/>
        </w:rPr>
        <w:t>cuentas públicas tienen su fundamento en lo dispuesto por el artículo 63</w:t>
      </w:r>
      <w:r>
        <w:rPr>
          <w:rFonts w:ascii="Abadi" w:hAnsi="Abadi" w:cs="*Arial-5434-Identity-H"/>
          <w:color w:val="14131B"/>
          <w:sz w:val="21"/>
          <w:szCs w:val="21"/>
        </w:rPr>
        <w:t xml:space="preserve"> </w:t>
      </w:r>
      <w:r w:rsidRPr="005144B3">
        <w:rPr>
          <w:rFonts w:ascii="Abadi" w:hAnsi="Abadi" w:cs="*Arial-5434-Identity-H"/>
          <w:color w:val="14131B"/>
          <w:sz w:val="21"/>
          <w:szCs w:val="21"/>
        </w:rPr>
        <w:t xml:space="preserve">fracciones </w:t>
      </w:r>
      <w:r w:rsidRPr="005144B3">
        <w:rPr>
          <w:rFonts w:ascii="Abadi" w:hAnsi="Abadi" w:cs="*Arial-Bold-5435-Identity-H"/>
          <w:color w:val="14131B"/>
          <w:sz w:val="21"/>
          <w:szCs w:val="21"/>
        </w:rPr>
        <w:t xml:space="preserve">XVIII, XIX </w:t>
      </w:r>
      <w:r w:rsidRPr="005144B3">
        <w:rPr>
          <w:rFonts w:ascii="Abadi" w:hAnsi="Abadi" w:cs="*Arial-5434-Identity-H"/>
          <w:color w:val="14131B"/>
          <w:sz w:val="21"/>
          <w:szCs w:val="21"/>
        </w:rPr>
        <w:t xml:space="preserve">y </w:t>
      </w:r>
      <w:r w:rsidRPr="005144B3">
        <w:rPr>
          <w:rFonts w:ascii="Abadi" w:hAnsi="Abadi" w:cs="*Arial-Bold-5435-Identity-H"/>
          <w:color w:val="14131B"/>
          <w:sz w:val="21"/>
          <w:szCs w:val="21"/>
        </w:rPr>
        <w:t xml:space="preserve">XXVIII </w:t>
      </w:r>
      <w:r w:rsidRPr="005144B3">
        <w:rPr>
          <w:rFonts w:ascii="Abadi" w:hAnsi="Abadi" w:cs="*Arial-5434-Identity-H"/>
          <w:color w:val="14131B"/>
          <w:sz w:val="21"/>
          <w:szCs w:val="21"/>
        </w:rPr>
        <w:t>de</w:t>
      </w:r>
      <w:r w:rsidRPr="00D9374F">
        <w:rPr>
          <w:rFonts w:ascii="Abadi" w:hAnsi="Abadi" w:cs="*Arial-5434-Identity-H"/>
          <w:color w:val="14131B"/>
          <w:sz w:val="21"/>
          <w:szCs w:val="21"/>
        </w:rPr>
        <w:t xml:space="preserve"> la Constitución Política para el Estado de</w:t>
      </w:r>
      <w:r>
        <w:rPr>
          <w:rFonts w:ascii="Abadi" w:hAnsi="Abadi" w:cs="*Arial-5434-Identity-H"/>
          <w:color w:val="14131B"/>
          <w:sz w:val="21"/>
          <w:szCs w:val="21"/>
        </w:rPr>
        <w:t xml:space="preserve"> </w:t>
      </w:r>
      <w:r w:rsidRPr="00D9374F">
        <w:rPr>
          <w:rFonts w:ascii="Abadi" w:hAnsi="Abadi" w:cs="*Arial-5434-Identity-H"/>
          <w:color w:val="14131B"/>
          <w:sz w:val="21"/>
          <w:szCs w:val="21"/>
        </w:rPr>
        <w:t>Guanajuato. Estos dispositivos establecen que el Congreso del Estado tiene la</w:t>
      </w:r>
      <w:r>
        <w:rPr>
          <w:rFonts w:ascii="Abadi" w:hAnsi="Abadi" w:cs="*Arial-5434-Identity-H"/>
          <w:color w:val="14131B"/>
          <w:sz w:val="21"/>
          <w:szCs w:val="21"/>
        </w:rPr>
        <w:t xml:space="preserve"> </w:t>
      </w:r>
      <w:r w:rsidRPr="00D9374F">
        <w:rPr>
          <w:rFonts w:ascii="Abadi" w:hAnsi="Abadi" w:cs="*Arial-5434-Identity-H"/>
          <w:color w:val="14131B"/>
          <w:sz w:val="21"/>
          <w:szCs w:val="21"/>
        </w:rPr>
        <w:t>facultad de fiscalizar la cuenta pública del Poder Ejecutivo, incluyendo las de las</w:t>
      </w:r>
    </w:p>
    <w:p w14:paraId="37227695" w14:textId="77777777" w:rsidR="00C54578" w:rsidRDefault="00C54578" w:rsidP="00C54578">
      <w:pPr>
        <w:autoSpaceDE w:val="0"/>
        <w:autoSpaceDN w:val="0"/>
        <w:adjustRightInd w:val="0"/>
        <w:jc w:val="both"/>
        <w:rPr>
          <w:rFonts w:ascii="Abadi" w:hAnsi="Abadi" w:cs="*Arial-5434-Identity-H"/>
          <w:color w:val="14131B"/>
          <w:sz w:val="21"/>
          <w:szCs w:val="21"/>
        </w:rPr>
      </w:pPr>
      <w:r w:rsidRPr="00D9374F">
        <w:rPr>
          <w:rFonts w:ascii="Abadi" w:hAnsi="Abadi" w:cs="*Arial-5434-Identity-H"/>
          <w:color w:val="14131B"/>
          <w:sz w:val="21"/>
          <w:szCs w:val="21"/>
        </w:rPr>
        <w:t>entidades y organismos de la administración pública paraestatal, las del Poder</w:t>
      </w:r>
      <w:r>
        <w:rPr>
          <w:rFonts w:ascii="Abadi" w:hAnsi="Abadi" w:cs="*Arial-5434-Identity-H"/>
          <w:color w:val="14131B"/>
          <w:sz w:val="21"/>
          <w:szCs w:val="21"/>
        </w:rPr>
        <w:t xml:space="preserve"> </w:t>
      </w:r>
      <w:r w:rsidRPr="00D9374F">
        <w:rPr>
          <w:rFonts w:ascii="Abadi" w:hAnsi="Abadi" w:cs="*Arial-5434-Identity-H"/>
          <w:color w:val="14131B"/>
          <w:sz w:val="21"/>
          <w:szCs w:val="21"/>
        </w:rPr>
        <w:t xml:space="preserve">Judicial y de los organismos </w:t>
      </w:r>
      <w:r w:rsidRPr="00D9374F">
        <w:rPr>
          <w:rFonts w:ascii="Abadi" w:hAnsi="Abadi" w:cs="*Arial-5434-Identity-H"/>
          <w:color w:val="C5C5C5"/>
          <w:sz w:val="21"/>
          <w:szCs w:val="21"/>
        </w:rPr>
        <w:t xml:space="preserve">· </w:t>
      </w:r>
      <w:r w:rsidRPr="00D9374F">
        <w:rPr>
          <w:rFonts w:ascii="Abadi" w:hAnsi="Abadi" w:cs="*Arial-5434-Identity-H"/>
          <w:color w:val="14131B"/>
          <w:sz w:val="21"/>
          <w:szCs w:val="21"/>
        </w:rPr>
        <w:t>autónomos; así como las cuentas públicas</w:t>
      </w:r>
      <w:r>
        <w:rPr>
          <w:rFonts w:ascii="Abadi" w:hAnsi="Abadi" w:cs="*Arial-5434-Identity-H"/>
          <w:color w:val="14131B"/>
          <w:sz w:val="21"/>
          <w:szCs w:val="21"/>
        </w:rPr>
        <w:t xml:space="preserve"> </w:t>
      </w:r>
      <w:r w:rsidRPr="00D9374F">
        <w:rPr>
          <w:rFonts w:ascii="Abadi" w:hAnsi="Abadi" w:cs="*Arial-5434-Identity-H"/>
          <w:color w:val="14131B"/>
          <w:sz w:val="21"/>
          <w:szCs w:val="21"/>
        </w:rPr>
        <w:t>municipales, incluyendo l</w:t>
      </w:r>
      <w:r>
        <w:rPr>
          <w:rFonts w:ascii="Abadi" w:hAnsi="Abadi" w:cs="*Arial-5434-Identity-H"/>
          <w:color w:val="14131B"/>
          <w:sz w:val="21"/>
          <w:szCs w:val="21"/>
        </w:rPr>
        <w:t>a</w:t>
      </w:r>
      <w:r w:rsidRPr="00D9374F">
        <w:rPr>
          <w:rFonts w:ascii="Abadi" w:hAnsi="Abadi" w:cs="*Arial-5434-Identity-H"/>
          <w:color w:val="14131B"/>
          <w:sz w:val="21"/>
          <w:szCs w:val="21"/>
        </w:rPr>
        <w:t>s de las entidades y organismos de la administración</w:t>
      </w:r>
      <w:r>
        <w:rPr>
          <w:rFonts w:ascii="Abadi" w:hAnsi="Abadi" w:cs="*Arial-5434-Identity-H"/>
          <w:color w:val="14131B"/>
          <w:sz w:val="21"/>
          <w:szCs w:val="21"/>
        </w:rPr>
        <w:t xml:space="preserve"> </w:t>
      </w:r>
      <w:r w:rsidRPr="00D9374F">
        <w:rPr>
          <w:rFonts w:ascii="Abadi" w:hAnsi="Abadi" w:cs="*Arial-5434-Identity-H"/>
          <w:color w:val="14131B"/>
          <w:sz w:val="21"/>
          <w:szCs w:val="21"/>
        </w:rPr>
        <w:t>pública paramunicipal; y verificar el desempeño en el cumplimiento de los</w:t>
      </w:r>
      <w:r>
        <w:rPr>
          <w:rFonts w:ascii="Abadi" w:hAnsi="Abadi" w:cs="*Arial-5434-Identity-H"/>
          <w:color w:val="14131B"/>
          <w:sz w:val="21"/>
          <w:szCs w:val="21"/>
        </w:rPr>
        <w:t xml:space="preserve"> </w:t>
      </w:r>
      <w:r w:rsidRPr="00D9374F">
        <w:rPr>
          <w:rFonts w:ascii="Abadi" w:hAnsi="Abadi" w:cs="*Arial-5434-Identity-H"/>
          <w:color w:val="14131B"/>
          <w:sz w:val="21"/>
          <w:szCs w:val="21"/>
        </w:rPr>
        <w:t>objetivos de los programas. De igual manera, puede acordar la práctica de</w:t>
      </w:r>
      <w:r>
        <w:rPr>
          <w:rFonts w:ascii="Abadi" w:hAnsi="Abadi" w:cs="*Arial-5434-Identity-H"/>
          <w:color w:val="14131B"/>
          <w:sz w:val="21"/>
          <w:szCs w:val="21"/>
        </w:rPr>
        <w:t xml:space="preserve"> </w:t>
      </w:r>
      <w:r w:rsidRPr="00D9374F">
        <w:rPr>
          <w:rFonts w:ascii="Abadi" w:hAnsi="Abadi" w:cs="*Arial-5434-Identity-H"/>
          <w:color w:val="14131B"/>
          <w:sz w:val="21"/>
          <w:szCs w:val="21"/>
        </w:rPr>
        <w:t>auditorías a los sujetos de fiscalización, cuando exista causa justificada para ello,</w:t>
      </w:r>
      <w:r>
        <w:rPr>
          <w:rFonts w:ascii="Abadi" w:hAnsi="Abadi" w:cs="*Arial-5434-Identity-H"/>
          <w:color w:val="14131B"/>
          <w:sz w:val="21"/>
          <w:szCs w:val="21"/>
        </w:rPr>
        <w:t xml:space="preserve"> </w:t>
      </w:r>
      <w:r w:rsidRPr="00D9374F">
        <w:rPr>
          <w:rFonts w:ascii="Abadi" w:hAnsi="Abadi" w:cs="*Arial-5434-Identity-H"/>
          <w:color w:val="14131B"/>
          <w:sz w:val="21"/>
          <w:szCs w:val="21"/>
        </w:rPr>
        <w:t>auxiliándose para el cumplimiento de dichas facultades por la Auditoría Superior</w:t>
      </w:r>
      <w:r>
        <w:rPr>
          <w:rFonts w:ascii="Abadi" w:hAnsi="Abadi" w:cs="*Arial-5434-Identity-H"/>
          <w:color w:val="14131B"/>
          <w:sz w:val="21"/>
          <w:szCs w:val="21"/>
        </w:rPr>
        <w:t xml:space="preserve"> </w:t>
      </w:r>
      <w:r w:rsidRPr="00D9374F">
        <w:rPr>
          <w:rFonts w:ascii="Abadi" w:hAnsi="Abadi" w:cs="*Arial-5434-Identity-H"/>
          <w:color w:val="14131B"/>
          <w:sz w:val="21"/>
          <w:szCs w:val="21"/>
        </w:rPr>
        <w:t>del Estado de Guanajuato.</w:t>
      </w:r>
    </w:p>
    <w:p w14:paraId="402C012E" w14:textId="77777777" w:rsidR="00C54578" w:rsidRPr="00D9374F" w:rsidRDefault="00C54578" w:rsidP="00C54578">
      <w:pPr>
        <w:autoSpaceDE w:val="0"/>
        <w:autoSpaceDN w:val="0"/>
        <w:adjustRightInd w:val="0"/>
        <w:jc w:val="both"/>
        <w:rPr>
          <w:rFonts w:ascii="Abadi" w:hAnsi="Abadi" w:cs="*Arial-5434-Identity-H"/>
          <w:color w:val="14131B"/>
          <w:sz w:val="21"/>
          <w:szCs w:val="21"/>
        </w:rPr>
      </w:pPr>
    </w:p>
    <w:p w14:paraId="73360D63" w14:textId="77777777" w:rsidR="00C54578" w:rsidRPr="00D9374F" w:rsidRDefault="00C54578" w:rsidP="00C54578">
      <w:pPr>
        <w:autoSpaceDE w:val="0"/>
        <w:autoSpaceDN w:val="0"/>
        <w:adjustRightInd w:val="0"/>
        <w:ind w:firstLine="708"/>
        <w:jc w:val="both"/>
        <w:rPr>
          <w:rFonts w:ascii="Abadi" w:hAnsi="Abadi" w:cs="*Arial-5434-Identity-H"/>
          <w:color w:val="14131C"/>
          <w:sz w:val="21"/>
          <w:szCs w:val="21"/>
        </w:rPr>
      </w:pPr>
      <w:r w:rsidRPr="00D9374F">
        <w:rPr>
          <w:rFonts w:ascii="Abadi" w:hAnsi="Abadi" w:cs="*Arial-5434-Identity-H"/>
          <w:color w:val="14131C"/>
          <w:sz w:val="21"/>
          <w:szCs w:val="21"/>
        </w:rPr>
        <w:t>Asimismo, el artículo 66 fracción VIII de dicho Ordenamiento Constitucional</w:t>
      </w:r>
      <w:r>
        <w:rPr>
          <w:rFonts w:ascii="Abadi" w:hAnsi="Abadi" w:cs="*Arial-5434-Identity-H"/>
          <w:color w:val="14131C"/>
          <w:sz w:val="21"/>
          <w:szCs w:val="21"/>
        </w:rPr>
        <w:t xml:space="preserve"> </w:t>
      </w:r>
      <w:r w:rsidRPr="00D9374F">
        <w:rPr>
          <w:rFonts w:ascii="Abadi" w:hAnsi="Abadi" w:cs="*Arial-5434-Identity-H"/>
          <w:color w:val="14131C"/>
          <w:sz w:val="21"/>
          <w:szCs w:val="21"/>
        </w:rPr>
        <w:t>establece que la Auditoría Superior del Estado de Guanajuato deberá informar al</w:t>
      </w:r>
      <w:r>
        <w:rPr>
          <w:rFonts w:ascii="Abadi" w:hAnsi="Abadi" w:cs="*Arial-5434-Identity-H"/>
          <w:color w:val="14131C"/>
          <w:sz w:val="21"/>
          <w:szCs w:val="21"/>
        </w:rPr>
        <w:t xml:space="preserve"> </w:t>
      </w:r>
      <w:r w:rsidRPr="00D9374F">
        <w:rPr>
          <w:rFonts w:ascii="Abadi" w:hAnsi="Abadi" w:cs="*Arial-5434-Identity-H"/>
          <w:color w:val="14131C"/>
          <w:sz w:val="21"/>
          <w:szCs w:val="21"/>
        </w:rPr>
        <w:t>Congreso del Estado del resultado de la revisión de la cuenta pública y demás</w:t>
      </w:r>
      <w:r>
        <w:rPr>
          <w:rFonts w:ascii="Abadi" w:hAnsi="Abadi" w:cs="*Arial-5434-Identity-H"/>
          <w:color w:val="14131C"/>
          <w:sz w:val="21"/>
          <w:szCs w:val="21"/>
        </w:rPr>
        <w:t xml:space="preserve"> </w:t>
      </w:r>
      <w:r w:rsidRPr="00D9374F">
        <w:rPr>
          <w:rFonts w:ascii="Abadi" w:hAnsi="Abadi" w:cs="*Arial-5434-Identity-H"/>
          <w:color w:val="14131C"/>
          <w:sz w:val="21"/>
          <w:szCs w:val="21"/>
        </w:rPr>
        <w:t>asuntos derivados de la fiscalización, incluyendo los dictámenes, informes de</w:t>
      </w:r>
      <w:r>
        <w:rPr>
          <w:rFonts w:ascii="Abadi" w:hAnsi="Abadi" w:cs="*Arial-5434-Identity-H"/>
          <w:color w:val="14131C"/>
          <w:sz w:val="21"/>
          <w:szCs w:val="21"/>
        </w:rPr>
        <w:t xml:space="preserve"> </w:t>
      </w:r>
      <w:r w:rsidRPr="00D9374F">
        <w:rPr>
          <w:rFonts w:ascii="Abadi" w:hAnsi="Abadi" w:cs="*Arial-5434-Identity-H"/>
          <w:color w:val="14131C"/>
          <w:sz w:val="21"/>
          <w:szCs w:val="21"/>
        </w:rPr>
        <w:t>resultados, comentarios y observaciones de las auditorías, constituyendo una de</w:t>
      </w:r>
      <w:r>
        <w:rPr>
          <w:rFonts w:ascii="Abadi" w:hAnsi="Abadi" w:cs="*Arial-5434-Identity-H"/>
          <w:color w:val="14131C"/>
          <w:sz w:val="21"/>
          <w:szCs w:val="21"/>
        </w:rPr>
        <w:t xml:space="preserve"> </w:t>
      </w:r>
      <w:r w:rsidRPr="00D9374F">
        <w:rPr>
          <w:rFonts w:ascii="Abadi" w:hAnsi="Abadi" w:cs="*Arial-5434-Identity-H"/>
          <w:color w:val="14131C"/>
          <w:sz w:val="21"/>
          <w:szCs w:val="21"/>
        </w:rPr>
        <w:t>las fases del proceso de fiscalización.</w:t>
      </w:r>
    </w:p>
    <w:p w14:paraId="7BAC7A55" w14:textId="77777777" w:rsidR="00C54578" w:rsidRDefault="00C54578" w:rsidP="00C54578">
      <w:pPr>
        <w:autoSpaceDE w:val="0"/>
        <w:autoSpaceDN w:val="0"/>
        <w:adjustRightInd w:val="0"/>
        <w:jc w:val="both"/>
        <w:rPr>
          <w:rFonts w:ascii="Abadi" w:hAnsi="Abadi" w:cs="*Arial-5139-Identity-H"/>
          <w:color w:val="14131B"/>
          <w:sz w:val="21"/>
          <w:szCs w:val="21"/>
        </w:rPr>
      </w:pPr>
    </w:p>
    <w:p w14:paraId="22DE1A53" w14:textId="77777777" w:rsidR="00C54578" w:rsidRPr="00D9374F" w:rsidRDefault="00C54578" w:rsidP="00C54578">
      <w:pPr>
        <w:autoSpaceDE w:val="0"/>
        <w:autoSpaceDN w:val="0"/>
        <w:adjustRightInd w:val="0"/>
        <w:ind w:firstLine="708"/>
        <w:jc w:val="both"/>
        <w:rPr>
          <w:rFonts w:ascii="Abadi" w:hAnsi="Abadi" w:cs="*Arial-5139-Identity-H"/>
          <w:color w:val="14131B"/>
          <w:sz w:val="21"/>
          <w:szCs w:val="21"/>
        </w:rPr>
      </w:pPr>
      <w:r w:rsidRPr="00D9374F">
        <w:rPr>
          <w:rFonts w:ascii="Abadi" w:hAnsi="Abadi" w:cs="*Arial-5139-Identity-H"/>
          <w:color w:val="14131B"/>
          <w:sz w:val="21"/>
          <w:szCs w:val="21"/>
        </w:rPr>
        <w:t xml:space="preserve">De igual forma, el artículo 82, fracción </w:t>
      </w:r>
      <w:r w:rsidRPr="00D9374F">
        <w:rPr>
          <w:rFonts w:ascii="Abadi" w:hAnsi="Abadi" w:cs="*Arial-Bold-5141-Identity-H"/>
          <w:color w:val="14131B"/>
          <w:sz w:val="21"/>
          <w:szCs w:val="21"/>
        </w:rPr>
        <w:t xml:space="preserve">XXIV </w:t>
      </w:r>
      <w:r w:rsidRPr="00D9374F">
        <w:rPr>
          <w:rFonts w:ascii="Abadi" w:hAnsi="Abadi" w:cs="*Arial-5139-Identity-H"/>
          <w:color w:val="14131B"/>
          <w:sz w:val="21"/>
          <w:szCs w:val="21"/>
        </w:rPr>
        <w:t>de la Ley de Fiscalización</w:t>
      </w:r>
      <w:r>
        <w:rPr>
          <w:rFonts w:ascii="Abadi" w:hAnsi="Abadi" w:cs="*Arial-5139-Identity-H"/>
          <w:color w:val="14131B"/>
          <w:sz w:val="21"/>
          <w:szCs w:val="21"/>
        </w:rPr>
        <w:t xml:space="preserve"> </w:t>
      </w:r>
      <w:r w:rsidRPr="00D9374F">
        <w:rPr>
          <w:rFonts w:ascii="Abadi" w:hAnsi="Abadi" w:cs="*Arial-5139-Identity-H"/>
          <w:color w:val="14131B"/>
          <w:sz w:val="21"/>
          <w:szCs w:val="21"/>
        </w:rPr>
        <w:t>Superior del Estado de Guanajuato establece como atribución de la Auditoría</w:t>
      </w:r>
      <w:r>
        <w:rPr>
          <w:rFonts w:ascii="Abadi" w:hAnsi="Abadi" w:cs="*Arial-5139-Identity-H"/>
          <w:color w:val="14131B"/>
          <w:sz w:val="21"/>
          <w:szCs w:val="21"/>
        </w:rPr>
        <w:t xml:space="preserve"> </w:t>
      </w:r>
      <w:r w:rsidRPr="00D9374F">
        <w:rPr>
          <w:rFonts w:ascii="Abadi" w:hAnsi="Abadi" w:cs="*Arial-5139-Identity-H"/>
          <w:color w:val="14131B"/>
          <w:sz w:val="21"/>
          <w:szCs w:val="21"/>
        </w:rPr>
        <w:t>Superior del Estado, rendir al Congreso, los informes derivados del ejercicio de la</w:t>
      </w:r>
      <w:r>
        <w:rPr>
          <w:rFonts w:ascii="Abadi" w:hAnsi="Abadi" w:cs="*Arial-5139-Identity-H"/>
          <w:color w:val="14131B"/>
          <w:sz w:val="21"/>
          <w:szCs w:val="21"/>
        </w:rPr>
        <w:t xml:space="preserve"> </w:t>
      </w:r>
      <w:r w:rsidRPr="00D9374F">
        <w:rPr>
          <w:rFonts w:ascii="Abadi" w:hAnsi="Abadi" w:cs="*Arial-5139-Identity-H"/>
          <w:color w:val="14131B"/>
          <w:sz w:val="21"/>
          <w:szCs w:val="21"/>
        </w:rPr>
        <w:t>función de fiscalización.</w:t>
      </w:r>
    </w:p>
    <w:p w14:paraId="3DA496FA" w14:textId="77777777" w:rsidR="00C54578" w:rsidRDefault="00C54578" w:rsidP="00C54578">
      <w:pPr>
        <w:autoSpaceDE w:val="0"/>
        <w:autoSpaceDN w:val="0"/>
        <w:adjustRightInd w:val="0"/>
        <w:jc w:val="both"/>
        <w:rPr>
          <w:rFonts w:ascii="Abadi" w:hAnsi="Abadi" w:cs="*Arial-5139-Identity-H"/>
          <w:color w:val="14131B"/>
          <w:sz w:val="21"/>
          <w:szCs w:val="21"/>
        </w:rPr>
      </w:pPr>
    </w:p>
    <w:p w14:paraId="6E40D0D4" w14:textId="77777777" w:rsidR="00C54578" w:rsidRDefault="00C54578" w:rsidP="00C54578">
      <w:pPr>
        <w:autoSpaceDE w:val="0"/>
        <w:autoSpaceDN w:val="0"/>
        <w:adjustRightInd w:val="0"/>
        <w:ind w:firstLine="708"/>
        <w:jc w:val="both"/>
        <w:rPr>
          <w:rFonts w:ascii="Abadi" w:hAnsi="Abadi" w:cs="*Arial-5139-Identity-H"/>
          <w:color w:val="14131B"/>
          <w:sz w:val="21"/>
          <w:szCs w:val="21"/>
        </w:rPr>
      </w:pPr>
      <w:r w:rsidRPr="00D9374F">
        <w:rPr>
          <w:rFonts w:ascii="Abadi" w:hAnsi="Abadi" w:cs="*Arial-5139-Identity-H"/>
          <w:color w:val="14131B"/>
          <w:sz w:val="21"/>
          <w:szCs w:val="21"/>
        </w:rPr>
        <w:t>En razón de lo cual, la Ley de Fiscalización Superior del Estado de</w:t>
      </w:r>
      <w:r>
        <w:rPr>
          <w:rFonts w:ascii="Abadi" w:hAnsi="Abadi" w:cs="*Arial-5139-Identity-H"/>
          <w:color w:val="14131B"/>
          <w:sz w:val="21"/>
          <w:szCs w:val="21"/>
        </w:rPr>
        <w:t xml:space="preserve"> </w:t>
      </w:r>
      <w:r w:rsidRPr="00D9374F">
        <w:rPr>
          <w:rFonts w:ascii="Abadi" w:hAnsi="Abadi" w:cs="*Arial-5139-Identity-H"/>
          <w:color w:val="14131B"/>
          <w:sz w:val="21"/>
          <w:szCs w:val="21"/>
        </w:rPr>
        <w:t>Guanajuato establece que la Auditoría Superior debe remitir los informes de</w:t>
      </w:r>
      <w:r>
        <w:rPr>
          <w:rFonts w:ascii="Abadi" w:hAnsi="Abadi" w:cs="*Arial-5139-Identity-H"/>
          <w:color w:val="14131B"/>
          <w:sz w:val="21"/>
          <w:szCs w:val="21"/>
        </w:rPr>
        <w:t xml:space="preserve"> </w:t>
      </w:r>
      <w:r w:rsidRPr="00D9374F">
        <w:rPr>
          <w:rFonts w:ascii="Abadi" w:hAnsi="Abadi" w:cs="*Arial-5139-Identity-H"/>
          <w:color w:val="14131B"/>
          <w:sz w:val="21"/>
          <w:szCs w:val="21"/>
        </w:rPr>
        <w:t>resultados al Congreso del Estado, a efecto de que éste realice la declaratoria</w:t>
      </w:r>
      <w:r>
        <w:rPr>
          <w:rFonts w:ascii="Abadi" w:hAnsi="Abadi" w:cs="*Arial-5139-Identity-H"/>
          <w:color w:val="14131B"/>
          <w:sz w:val="21"/>
          <w:szCs w:val="21"/>
        </w:rPr>
        <w:t xml:space="preserve"> </w:t>
      </w:r>
      <w:r w:rsidRPr="00D9374F">
        <w:rPr>
          <w:rFonts w:ascii="Abadi" w:hAnsi="Abadi" w:cs="*Arial-5139-Identity-H"/>
          <w:color w:val="14131B"/>
          <w:sz w:val="21"/>
          <w:szCs w:val="21"/>
        </w:rPr>
        <w:t>correspondiente, señalándose en el artículo 38 que el informe de resultados</w:t>
      </w:r>
      <w:r>
        <w:rPr>
          <w:rFonts w:ascii="Abadi" w:hAnsi="Abadi" w:cs="*Arial-5139-Identity-H"/>
          <w:color w:val="14131B"/>
          <w:sz w:val="21"/>
          <w:szCs w:val="21"/>
        </w:rPr>
        <w:t xml:space="preserve"> </w:t>
      </w:r>
      <w:r w:rsidRPr="00D9374F">
        <w:rPr>
          <w:rFonts w:ascii="Abadi" w:hAnsi="Abadi" w:cs="*Arial-5139-Identity-H"/>
          <w:color w:val="14131B"/>
          <w:sz w:val="21"/>
          <w:szCs w:val="21"/>
        </w:rPr>
        <w:t>únicamente podrá ser observado por las dos terceras partes de los diputados</w:t>
      </w:r>
      <w:r>
        <w:rPr>
          <w:rFonts w:ascii="Abadi" w:hAnsi="Abadi" w:cs="*Arial-5139-Identity-H"/>
          <w:color w:val="14131B"/>
          <w:sz w:val="21"/>
          <w:szCs w:val="21"/>
        </w:rPr>
        <w:t xml:space="preserve"> </w:t>
      </w:r>
      <w:r w:rsidRPr="00D9374F">
        <w:rPr>
          <w:rFonts w:ascii="Abadi" w:hAnsi="Abadi" w:cs="*Arial-5139-Identity-H"/>
          <w:color w:val="14131B"/>
          <w:sz w:val="21"/>
          <w:szCs w:val="21"/>
        </w:rPr>
        <w:t>integrantes del Congreso, cuando no se observen las formalidades esenciales del</w:t>
      </w:r>
      <w:r>
        <w:rPr>
          <w:rFonts w:ascii="Abadi" w:hAnsi="Abadi" w:cs="*Arial-5139-Identity-H"/>
          <w:color w:val="14131B"/>
          <w:sz w:val="21"/>
          <w:szCs w:val="21"/>
        </w:rPr>
        <w:t xml:space="preserve"> </w:t>
      </w:r>
      <w:r w:rsidRPr="00D9374F">
        <w:rPr>
          <w:rFonts w:ascii="Abadi" w:hAnsi="Abadi" w:cs="*Arial-5139-Identity-H"/>
          <w:color w:val="14131B"/>
          <w:sz w:val="21"/>
          <w:szCs w:val="21"/>
        </w:rPr>
        <w:t>proceso de fiscalización.</w:t>
      </w:r>
    </w:p>
    <w:p w14:paraId="47985751" w14:textId="77777777" w:rsidR="00C54578" w:rsidRPr="00D9374F" w:rsidRDefault="00C54578" w:rsidP="00C54578">
      <w:pPr>
        <w:autoSpaceDE w:val="0"/>
        <w:autoSpaceDN w:val="0"/>
        <w:adjustRightInd w:val="0"/>
        <w:jc w:val="both"/>
        <w:rPr>
          <w:rFonts w:ascii="Abadi" w:hAnsi="Abadi" w:cs="*Arial-5139-Identity-H"/>
          <w:color w:val="14131B"/>
          <w:sz w:val="21"/>
          <w:szCs w:val="21"/>
        </w:rPr>
      </w:pPr>
    </w:p>
    <w:p w14:paraId="3A5A9378" w14:textId="77777777" w:rsidR="00C54578" w:rsidRDefault="00C54578" w:rsidP="00C54578">
      <w:pPr>
        <w:autoSpaceDE w:val="0"/>
        <w:autoSpaceDN w:val="0"/>
        <w:adjustRightInd w:val="0"/>
        <w:ind w:firstLine="708"/>
        <w:jc w:val="both"/>
        <w:rPr>
          <w:rFonts w:ascii="Abadi" w:hAnsi="Abadi" w:cs="*Arial-5139-Identity-H"/>
          <w:color w:val="14131B"/>
          <w:sz w:val="21"/>
          <w:szCs w:val="21"/>
        </w:rPr>
      </w:pPr>
      <w:r w:rsidRPr="00D9374F">
        <w:rPr>
          <w:rFonts w:ascii="Abadi" w:hAnsi="Abadi" w:cs="*Arial-5139-Identity-H"/>
          <w:color w:val="14131B"/>
          <w:sz w:val="21"/>
          <w:szCs w:val="21"/>
        </w:rPr>
        <w:t>Con la finalidad de que el Congreso dé cumplimiento a lo señalado en el</w:t>
      </w:r>
      <w:r>
        <w:rPr>
          <w:rFonts w:ascii="Abadi" w:hAnsi="Abadi" w:cs="*Arial-5139-Identity-H"/>
          <w:color w:val="14131B"/>
          <w:sz w:val="21"/>
          <w:szCs w:val="21"/>
        </w:rPr>
        <w:t xml:space="preserve"> </w:t>
      </w:r>
      <w:r w:rsidRPr="00D9374F">
        <w:rPr>
          <w:rFonts w:ascii="Abadi" w:hAnsi="Abadi" w:cs="*Arial-5139-Identity-H"/>
          <w:color w:val="14131B"/>
          <w:sz w:val="21"/>
          <w:szCs w:val="21"/>
        </w:rPr>
        <w:t>párrafo anterior, la Ley Orgánica del Poder Legislativo del Estado de Guanajuato</w:t>
      </w:r>
      <w:r>
        <w:rPr>
          <w:rFonts w:ascii="Abadi" w:hAnsi="Abadi" w:cs="*Arial-5139-Identity-H"/>
          <w:color w:val="14131B"/>
          <w:sz w:val="21"/>
          <w:szCs w:val="21"/>
        </w:rPr>
        <w:t xml:space="preserve"> </w:t>
      </w:r>
      <w:r w:rsidRPr="00D9374F">
        <w:rPr>
          <w:rFonts w:ascii="Abadi" w:hAnsi="Abadi" w:cs="*Arial-5139-Identity-H"/>
          <w:color w:val="14131B"/>
          <w:sz w:val="21"/>
          <w:szCs w:val="21"/>
        </w:rPr>
        <w:t xml:space="preserve">establece en su artículo 112, fracción </w:t>
      </w:r>
      <w:r w:rsidRPr="00D9374F">
        <w:rPr>
          <w:rFonts w:ascii="Abadi" w:hAnsi="Abadi" w:cs="*Arial-Bold-5141-Identity-H"/>
          <w:color w:val="14131B"/>
          <w:sz w:val="21"/>
          <w:szCs w:val="21"/>
        </w:rPr>
        <w:t>XII,</w:t>
      </w:r>
      <w:r w:rsidRPr="00D9374F">
        <w:rPr>
          <w:rFonts w:ascii="Abadi" w:hAnsi="Abadi" w:cs="*Arial-Bold-5141-Identity-H"/>
          <w:b/>
          <w:bCs/>
          <w:color w:val="14131B"/>
          <w:sz w:val="21"/>
          <w:szCs w:val="21"/>
        </w:rPr>
        <w:t xml:space="preserve"> </w:t>
      </w:r>
      <w:r w:rsidRPr="00D9374F">
        <w:rPr>
          <w:rFonts w:ascii="Abadi" w:hAnsi="Abadi" w:cs="*Arial-5139-Identity-H"/>
          <w:color w:val="14131B"/>
          <w:sz w:val="21"/>
          <w:szCs w:val="21"/>
        </w:rPr>
        <w:t>primer párrafo que, a esta Comisión de</w:t>
      </w:r>
      <w:r>
        <w:rPr>
          <w:rFonts w:ascii="Abadi" w:hAnsi="Abadi" w:cs="*Arial-5139-Identity-H"/>
          <w:color w:val="14131B"/>
          <w:sz w:val="21"/>
          <w:szCs w:val="21"/>
        </w:rPr>
        <w:t xml:space="preserve"> </w:t>
      </w:r>
      <w:r w:rsidRPr="00D9374F">
        <w:rPr>
          <w:rFonts w:ascii="Abadi" w:hAnsi="Abadi" w:cs="*Arial-5139-Identity-H"/>
          <w:color w:val="14131B"/>
          <w:sz w:val="21"/>
          <w:szCs w:val="21"/>
        </w:rPr>
        <w:t>Hacienda y Fiscalización, le compete el conocimiento y dictamen de los asuntos</w:t>
      </w:r>
      <w:r>
        <w:rPr>
          <w:rFonts w:ascii="Abadi" w:hAnsi="Abadi" w:cs="*Arial-5139-Identity-H"/>
          <w:color w:val="14131B"/>
          <w:sz w:val="21"/>
          <w:szCs w:val="21"/>
        </w:rPr>
        <w:t xml:space="preserve"> </w:t>
      </w:r>
      <w:r w:rsidRPr="00D9374F">
        <w:rPr>
          <w:rFonts w:ascii="Abadi" w:hAnsi="Abadi" w:cs="*Arial-5139-Identity-H"/>
          <w:color w:val="14131B"/>
          <w:sz w:val="21"/>
          <w:szCs w:val="21"/>
        </w:rPr>
        <w:t>relativos a los informes de resultados que emita la Auditoría Superior del Estado.</w:t>
      </w:r>
      <w:r>
        <w:rPr>
          <w:rFonts w:ascii="Abadi" w:hAnsi="Abadi" w:cs="*Arial-5139-Identity-H"/>
          <w:color w:val="14131B"/>
          <w:sz w:val="21"/>
          <w:szCs w:val="21"/>
        </w:rPr>
        <w:t xml:space="preserve"> </w:t>
      </w:r>
    </w:p>
    <w:p w14:paraId="3FD842A7" w14:textId="77777777" w:rsidR="00C54578" w:rsidRDefault="00C54578" w:rsidP="00C54578">
      <w:pPr>
        <w:autoSpaceDE w:val="0"/>
        <w:autoSpaceDN w:val="0"/>
        <w:adjustRightInd w:val="0"/>
        <w:ind w:firstLine="708"/>
        <w:jc w:val="both"/>
        <w:rPr>
          <w:rFonts w:ascii="Abadi" w:hAnsi="Abadi" w:cs="*Arial-5139-Identity-H"/>
          <w:color w:val="14131B"/>
          <w:sz w:val="21"/>
          <w:szCs w:val="21"/>
        </w:rPr>
      </w:pPr>
    </w:p>
    <w:p w14:paraId="6681D543" w14:textId="77777777" w:rsidR="00C54578" w:rsidRPr="00D9374F" w:rsidRDefault="00C54578" w:rsidP="00C54578">
      <w:pPr>
        <w:autoSpaceDE w:val="0"/>
        <w:autoSpaceDN w:val="0"/>
        <w:adjustRightInd w:val="0"/>
        <w:ind w:firstLine="708"/>
        <w:jc w:val="both"/>
        <w:rPr>
          <w:rFonts w:ascii="Abadi" w:hAnsi="Abadi" w:cs="*Arial-5139-Identity-H"/>
          <w:color w:val="14131A"/>
          <w:sz w:val="21"/>
          <w:szCs w:val="21"/>
        </w:rPr>
      </w:pPr>
      <w:r w:rsidRPr="00D9374F">
        <w:rPr>
          <w:rFonts w:ascii="Abadi" w:hAnsi="Abadi" w:cs="*Arial-5139-Identity-H"/>
          <w:color w:val="14131A"/>
          <w:sz w:val="21"/>
          <w:szCs w:val="21"/>
        </w:rPr>
        <w:t>A efecto de cumplir con las atribuciones conferidas a esta Comisión, y en</w:t>
      </w:r>
      <w:r>
        <w:rPr>
          <w:rFonts w:ascii="Abadi" w:hAnsi="Abadi" w:cs="*Arial-5139-Identity-H"/>
          <w:color w:val="14131A"/>
          <w:sz w:val="21"/>
          <w:szCs w:val="21"/>
        </w:rPr>
        <w:t xml:space="preserve"> </w:t>
      </w:r>
      <w:r w:rsidRPr="00D9374F">
        <w:rPr>
          <w:rFonts w:ascii="Abadi" w:hAnsi="Abadi" w:cs="*Arial-5139-Identity-H"/>
          <w:color w:val="14131A"/>
          <w:sz w:val="21"/>
          <w:szCs w:val="21"/>
        </w:rPr>
        <w:t>observancia a lo que establece la Ley de Fiscalización Superior del Estado de</w:t>
      </w:r>
      <w:r>
        <w:rPr>
          <w:rFonts w:ascii="Abadi" w:hAnsi="Abadi" w:cs="*Arial-5139-Identity-H"/>
          <w:color w:val="14131A"/>
          <w:sz w:val="21"/>
          <w:szCs w:val="21"/>
        </w:rPr>
        <w:t xml:space="preserve"> </w:t>
      </w:r>
      <w:r w:rsidRPr="00D9374F">
        <w:rPr>
          <w:rFonts w:ascii="Abadi" w:hAnsi="Abadi" w:cs="*Arial-5139-Identity-H"/>
          <w:color w:val="14131A"/>
          <w:sz w:val="21"/>
          <w:szCs w:val="21"/>
        </w:rPr>
        <w:t>Guanajuato, el presente dictamen se ocupará exclusivamente del aspecto que la</w:t>
      </w:r>
      <w:r>
        <w:rPr>
          <w:rFonts w:ascii="Abadi" w:hAnsi="Abadi" w:cs="*Arial-5139-Identity-H"/>
          <w:color w:val="14131A"/>
          <w:sz w:val="21"/>
          <w:szCs w:val="21"/>
        </w:rPr>
        <w:t xml:space="preserve"> </w:t>
      </w:r>
      <w:r w:rsidRPr="00D9374F">
        <w:rPr>
          <w:rFonts w:ascii="Abadi" w:hAnsi="Abadi" w:cs="*Arial-5139-Identity-H"/>
          <w:color w:val="14131A"/>
          <w:sz w:val="21"/>
          <w:szCs w:val="21"/>
        </w:rPr>
        <w:t>propia Ley señala y por el cual podría ser observado o no, el informe de</w:t>
      </w:r>
      <w:r>
        <w:rPr>
          <w:rFonts w:ascii="Abadi" w:hAnsi="Abadi" w:cs="*Arial-5139-Identity-H"/>
          <w:color w:val="14131A"/>
          <w:sz w:val="21"/>
          <w:szCs w:val="21"/>
        </w:rPr>
        <w:t xml:space="preserve"> </w:t>
      </w:r>
      <w:r w:rsidRPr="00D9374F">
        <w:rPr>
          <w:rFonts w:ascii="Abadi" w:hAnsi="Abadi" w:cs="*Arial-5139-Identity-H"/>
          <w:color w:val="14131A"/>
          <w:sz w:val="21"/>
          <w:szCs w:val="21"/>
        </w:rPr>
        <w:t>resultados.</w:t>
      </w:r>
    </w:p>
    <w:p w14:paraId="1DDF47F4" w14:textId="77777777" w:rsidR="00C54578" w:rsidRDefault="00C54578" w:rsidP="00C54578">
      <w:pPr>
        <w:autoSpaceDE w:val="0"/>
        <w:autoSpaceDN w:val="0"/>
        <w:adjustRightInd w:val="0"/>
        <w:jc w:val="both"/>
        <w:rPr>
          <w:rFonts w:ascii="Abadi" w:hAnsi="Abadi" w:cs="*Arial-Bold-5140-Identity-H"/>
          <w:b/>
          <w:bCs/>
          <w:color w:val="14131E"/>
          <w:sz w:val="21"/>
          <w:szCs w:val="21"/>
        </w:rPr>
      </w:pPr>
    </w:p>
    <w:p w14:paraId="19D8229A" w14:textId="77777777" w:rsidR="00C54578" w:rsidRDefault="00C54578" w:rsidP="00C54578">
      <w:pPr>
        <w:autoSpaceDE w:val="0"/>
        <w:autoSpaceDN w:val="0"/>
        <w:adjustRightInd w:val="0"/>
        <w:ind w:firstLine="708"/>
        <w:jc w:val="both"/>
        <w:rPr>
          <w:rFonts w:ascii="Abadi" w:hAnsi="Abadi" w:cs="*Arial-Bold-5140-Identity-H"/>
          <w:b/>
          <w:bCs/>
          <w:color w:val="14131E"/>
          <w:sz w:val="21"/>
          <w:szCs w:val="21"/>
        </w:rPr>
      </w:pPr>
      <w:r>
        <w:rPr>
          <w:rFonts w:ascii="Abadi" w:hAnsi="Abadi" w:cs="*Arial-Bold-5140-Identity-H"/>
          <w:b/>
          <w:bCs/>
          <w:color w:val="14131E"/>
          <w:sz w:val="21"/>
          <w:szCs w:val="21"/>
        </w:rPr>
        <w:t>II</w:t>
      </w:r>
      <w:r w:rsidRPr="00D9374F">
        <w:rPr>
          <w:rFonts w:ascii="Abadi" w:hAnsi="Abadi" w:cs="*Arial-Bold-5140-Identity-H"/>
          <w:b/>
          <w:bCs/>
          <w:color w:val="14131E"/>
          <w:sz w:val="21"/>
          <w:szCs w:val="21"/>
        </w:rPr>
        <w:t>. Antecedentes:</w:t>
      </w:r>
    </w:p>
    <w:p w14:paraId="13B421F3" w14:textId="77777777" w:rsidR="00C54578" w:rsidRPr="00D9374F" w:rsidRDefault="00C54578" w:rsidP="00C54578">
      <w:pPr>
        <w:autoSpaceDE w:val="0"/>
        <w:autoSpaceDN w:val="0"/>
        <w:adjustRightInd w:val="0"/>
        <w:jc w:val="both"/>
        <w:rPr>
          <w:rFonts w:ascii="Abadi" w:hAnsi="Abadi" w:cs="*Arial-Bold-5140-Identity-H"/>
          <w:b/>
          <w:bCs/>
          <w:color w:val="14131E"/>
          <w:sz w:val="21"/>
          <w:szCs w:val="21"/>
        </w:rPr>
      </w:pPr>
    </w:p>
    <w:p w14:paraId="00871D01" w14:textId="77777777" w:rsidR="00C54578" w:rsidRDefault="00C54578" w:rsidP="00C54578">
      <w:pPr>
        <w:autoSpaceDE w:val="0"/>
        <w:autoSpaceDN w:val="0"/>
        <w:adjustRightInd w:val="0"/>
        <w:ind w:firstLine="708"/>
        <w:jc w:val="both"/>
        <w:rPr>
          <w:rFonts w:ascii="Abadi" w:hAnsi="Abadi" w:cs="*Arial-5139-Identity-H"/>
          <w:color w:val="14131B"/>
          <w:sz w:val="21"/>
          <w:szCs w:val="21"/>
        </w:rPr>
      </w:pPr>
      <w:r w:rsidRPr="00D9374F">
        <w:rPr>
          <w:rFonts w:ascii="Abadi" w:hAnsi="Abadi" w:cs="*Arial-5139-Identity-H"/>
          <w:color w:val="14131B"/>
          <w:sz w:val="21"/>
          <w:szCs w:val="21"/>
        </w:rPr>
        <w:t>De conformidad con el artículo 66, fracción I de la Constitución Política para</w:t>
      </w:r>
      <w:r>
        <w:rPr>
          <w:rFonts w:ascii="Abadi" w:hAnsi="Abadi" w:cs="*Arial-5139-Identity-H"/>
          <w:color w:val="14131B"/>
          <w:sz w:val="21"/>
          <w:szCs w:val="21"/>
        </w:rPr>
        <w:t xml:space="preserve"> </w:t>
      </w:r>
      <w:r w:rsidRPr="00D9374F">
        <w:rPr>
          <w:rFonts w:ascii="Abadi" w:hAnsi="Abadi" w:cs="*Arial-5139-Identity-H"/>
          <w:color w:val="14131B"/>
          <w:sz w:val="21"/>
          <w:szCs w:val="21"/>
        </w:rPr>
        <w:t>el Estado de Guanajuato, es atribución de la Auditoría Superior del Estado realizar</w:t>
      </w:r>
      <w:r>
        <w:rPr>
          <w:rFonts w:ascii="Abadi" w:hAnsi="Abadi" w:cs="*Arial-5139-Identity-H"/>
          <w:color w:val="14131B"/>
          <w:sz w:val="21"/>
          <w:szCs w:val="21"/>
        </w:rPr>
        <w:t xml:space="preserve"> </w:t>
      </w:r>
      <w:r w:rsidRPr="00D9374F">
        <w:rPr>
          <w:rFonts w:ascii="Abadi" w:hAnsi="Abadi" w:cs="*Arial-5139-Identity-H"/>
          <w:color w:val="14131B"/>
          <w:sz w:val="21"/>
          <w:szCs w:val="21"/>
        </w:rPr>
        <w:t>auditorías de desempeño en el cumplimiento de objetivos y metas contenidos en</w:t>
      </w:r>
      <w:r>
        <w:rPr>
          <w:rFonts w:ascii="Abadi" w:hAnsi="Abadi" w:cs="*Arial-5139-Identity-H"/>
          <w:color w:val="14131B"/>
          <w:sz w:val="21"/>
          <w:szCs w:val="21"/>
        </w:rPr>
        <w:t xml:space="preserve"> </w:t>
      </w:r>
      <w:r w:rsidRPr="00D9374F">
        <w:rPr>
          <w:rFonts w:ascii="Abadi" w:hAnsi="Abadi" w:cs="*Arial-5139-Identity-H"/>
          <w:color w:val="14131B"/>
          <w:sz w:val="21"/>
          <w:szCs w:val="21"/>
        </w:rPr>
        <w:t>los programas, de las cuales sólo podrá emitir las recomendaciones para la mejora</w:t>
      </w:r>
      <w:r>
        <w:rPr>
          <w:rFonts w:ascii="Abadi" w:hAnsi="Abadi" w:cs="*Arial-5139-Identity-H"/>
          <w:color w:val="14131B"/>
          <w:sz w:val="21"/>
          <w:szCs w:val="21"/>
        </w:rPr>
        <w:t xml:space="preserve"> </w:t>
      </w:r>
      <w:r w:rsidRPr="00D9374F">
        <w:rPr>
          <w:rFonts w:ascii="Abadi" w:hAnsi="Abadi" w:cs="*Arial-5139-Identity-H"/>
          <w:color w:val="14131B"/>
          <w:sz w:val="21"/>
          <w:szCs w:val="21"/>
        </w:rPr>
        <w:t>en el desempeño, en los términos de la Ley.</w:t>
      </w:r>
    </w:p>
    <w:p w14:paraId="5A706BE7" w14:textId="77777777" w:rsidR="00C54578" w:rsidRPr="00D9374F" w:rsidRDefault="00C54578" w:rsidP="00C54578">
      <w:pPr>
        <w:autoSpaceDE w:val="0"/>
        <w:autoSpaceDN w:val="0"/>
        <w:adjustRightInd w:val="0"/>
        <w:jc w:val="both"/>
        <w:rPr>
          <w:rFonts w:ascii="Abadi" w:hAnsi="Abadi" w:cs="*Arial-5139-Identity-H"/>
          <w:color w:val="14131B"/>
          <w:sz w:val="21"/>
          <w:szCs w:val="21"/>
        </w:rPr>
      </w:pPr>
    </w:p>
    <w:p w14:paraId="25E87422" w14:textId="77777777" w:rsidR="00C54578" w:rsidRPr="00D9374F" w:rsidRDefault="00C54578" w:rsidP="00C54578">
      <w:pPr>
        <w:autoSpaceDE w:val="0"/>
        <w:autoSpaceDN w:val="0"/>
        <w:adjustRightInd w:val="0"/>
        <w:ind w:firstLine="708"/>
        <w:jc w:val="both"/>
        <w:rPr>
          <w:rFonts w:ascii="Abadi" w:hAnsi="Abadi" w:cs="*Arial-5139-Identity-H"/>
          <w:color w:val="14131B"/>
          <w:sz w:val="21"/>
          <w:szCs w:val="21"/>
        </w:rPr>
      </w:pPr>
      <w:r w:rsidRPr="00D9374F">
        <w:rPr>
          <w:rFonts w:ascii="Abadi" w:hAnsi="Abadi" w:cs="*Arial-5139-Identity-H"/>
          <w:color w:val="14131B"/>
          <w:sz w:val="21"/>
          <w:szCs w:val="21"/>
        </w:rPr>
        <w:t>Por su parte, el artículo 3, fracción V de la Ley de Fiscalización Superior del</w:t>
      </w:r>
      <w:r>
        <w:rPr>
          <w:rFonts w:ascii="Abadi" w:hAnsi="Abadi" w:cs="*Arial-5139-Identity-H"/>
          <w:color w:val="14131B"/>
          <w:sz w:val="21"/>
          <w:szCs w:val="21"/>
        </w:rPr>
        <w:t xml:space="preserve"> </w:t>
      </w:r>
      <w:r w:rsidRPr="00D9374F">
        <w:rPr>
          <w:rFonts w:ascii="Abadi" w:hAnsi="Abadi" w:cs="*Arial-5139-Identity-H"/>
          <w:color w:val="14131B"/>
          <w:sz w:val="21"/>
          <w:szCs w:val="21"/>
        </w:rPr>
        <w:t>Estado de Guanajuato señala que la Auditoría Superior del Estado es competente</w:t>
      </w:r>
      <w:r>
        <w:rPr>
          <w:rFonts w:ascii="Abadi" w:hAnsi="Abadi" w:cs="*Arial-5139-Identity-H"/>
          <w:color w:val="14131B"/>
          <w:sz w:val="21"/>
          <w:szCs w:val="21"/>
        </w:rPr>
        <w:t xml:space="preserve"> </w:t>
      </w:r>
      <w:r w:rsidRPr="00D9374F">
        <w:rPr>
          <w:rFonts w:ascii="Abadi" w:hAnsi="Abadi" w:cs="*Arial-5139-Identity-H"/>
          <w:color w:val="14131B"/>
          <w:sz w:val="21"/>
          <w:szCs w:val="21"/>
        </w:rPr>
        <w:t>para practicar auditorías de desempeño para verificar el cumplimiento de los</w:t>
      </w:r>
      <w:r>
        <w:rPr>
          <w:rFonts w:ascii="Abadi" w:hAnsi="Abadi" w:cs="*Arial-5139-Identity-H"/>
          <w:color w:val="14131B"/>
          <w:sz w:val="21"/>
          <w:szCs w:val="21"/>
        </w:rPr>
        <w:t xml:space="preserve"> </w:t>
      </w:r>
      <w:r w:rsidRPr="00D9374F">
        <w:rPr>
          <w:rFonts w:ascii="Abadi" w:hAnsi="Abadi" w:cs="*Arial-5139-Identity-H"/>
          <w:color w:val="14131B"/>
          <w:sz w:val="21"/>
          <w:szCs w:val="21"/>
        </w:rPr>
        <w:t>objetivos y las metas de los programas estatales y municipales.</w:t>
      </w:r>
    </w:p>
    <w:p w14:paraId="61BBFAEA" w14:textId="77777777" w:rsidR="00C54578" w:rsidRDefault="00C54578" w:rsidP="00C54578">
      <w:pPr>
        <w:autoSpaceDE w:val="0"/>
        <w:autoSpaceDN w:val="0"/>
        <w:adjustRightInd w:val="0"/>
        <w:jc w:val="both"/>
        <w:rPr>
          <w:rFonts w:ascii="Abadi" w:hAnsi="Abadi" w:cs="*Arial-5241-Identity-H"/>
          <w:color w:val="15131C"/>
          <w:sz w:val="21"/>
          <w:szCs w:val="21"/>
        </w:rPr>
      </w:pPr>
    </w:p>
    <w:p w14:paraId="0395D68D" w14:textId="77777777" w:rsidR="00C54578" w:rsidRDefault="00C54578" w:rsidP="00C54578">
      <w:pPr>
        <w:autoSpaceDE w:val="0"/>
        <w:autoSpaceDN w:val="0"/>
        <w:adjustRightInd w:val="0"/>
        <w:ind w:firstLine="708"/>
        <w:jc w:val="both"/>
        <w:rPr>
          <w:rFonts w:ascii="Abadi" w:hAnsi="Abadi" w:cs="*Arial-5241-Identity-H"/>
          <w:color w:val="15131C"/>
          <w:sz w:val="21"/>
          <w:szCs w:val="21"/>
        </w:rPr>
      </w:pPr>
      <w:r w:rsidRPr="00D9374F">
        <w:rPr>
          <w:rFonts w:ascii="Abadi" w:hAnsi="Abadi" w:cs="*Arial-5241-Identity-H"/>
          <w:color w:val="15131C"/>
          <w:sz w:val="21"/>
          <w:szCs w:val="21"/>
        </w:rPr>
        <w:t>De igual forma, el artículo 56 de la Ley de Fiscalización Superior prevé que</w:t>
      </w:r>
      <w:r>
        <w:rPr>
          <w:rFonts w:ascii="Abadi" w:hAnsi="Abadi" w:cs="*Arial-5241-Identity-H"/>
          <w:color w:val="15131C"/>
          <w:sz w:val="21"/>
          <w:szCs w:val="21"/>
        </w:rPr>
        <w:t xml:space="preserve"> </w:t>
      </w:r>
      <w:r w:rsidRPr="00D9374F">
        <w:rPr>
          <w:rFonts w:ascii="Abadi" w:hAnsi="Abadi" w:cs="*Arial-5241-Identity-H"/>
          <w:color w:val="15131C"/>
          <w:sz w:val="21"/>
          <w:szCs w:val="21"/>
        </w:rPr>
        <w:t>las auditorías de desempeño comprenden la revisión del cumplimiento de las</w:t>
      </w:r>
      <w:r>
        <w:rPr>
          <w:rFonts w:ascii="Abadi" w:hAnsi="Abadi" w:cs="*Arial-5241-Identity-H"/>
          <w:color w:val="15131C"/>
          <w:sz w:val="21"/>
          <w:szCs w:val="21"/>
        </w:rPr>
        <w:t xml:space="preserve"> </w:t>
      </w:r>
      <w:r w:rsidRPr="00D9374F">
        <w:rPr>
          <w:rFonts w:ascii="Abadi" w:hAnsi="Abadi" w:cs="*Arial-5241-Identity-H"/>
          <w:color w:val="15131C"/>
          <w:sz w:val="21"/>
          <w:szCs w:val="21"/>
        </w:rPr>
        <w:t>metas y objetivos de los planes y programas, conforme a los principios de</w:t>
      </w:r>
      <w:r>
        <w:rPr>
          <w:rFonts w:ascii="Abadi" w:hAnsi="Abadi" w:cs="*Arial-5241-Identity-H"/>
          <w:color w:val="15131C"/>
          <w:sz w:val="21"/>
          <w:szCs w:val="21"/>
        </w:rPr>
        <w:t xml:space="preserve"> </w:t>
      </w:r>
      <w:r w:rsidRPr="00D9374F">
        <w:rPr>
          <w:rFonts w:ascii="Abadi" w:hAnsi="Abadi" w:cs="*Arial-5241-Identity-H"/>
          <w:color w:val="15131C"/>
          <w:sz w:val="21"/>
          <w:szCs w:val="21"/>
        </w:rPr>
        <w:t>eficiencia, eficacia y economía; así como la evaluación de las políticas públicas;</w:t>
      </w:r>
      <w:r>
        <w:rPr>
          <w:rFonts w:ascii="Abadi" w:hAnsi="Abadi" w:cs="*Arial-5241-Identity-H"/>
          <w:color w:val="15131C"/>
          <w:sz w:val="21"/>
          <w:szCs w:val="21"/>
        </w:rPr>
        <w:t xml:space="preserve"> </w:t>
      </w:r>
      <w:r w:rsidRPr="00D9374F">
        <w:rPr>
          <w:rFonts w:ascii="Abadi" w:hAnsi="Abadi" w:cs="*Arial-5241-Identity-H"/>
          <w:color w:val="15131C"/>
          <w:sz w:val="21"/>
          <w:szCs w:val="21"/>
        </w:rPr>
        <w:t>estableciendo además que la Auditoría Superior del Estado realizará las auditorías</w:t>
      </w:r>
      <w:r>
        <w:rPr>
          <w:rFonts w:ascii="Abadi" w:hAnsi="Abadi" w:cs="*Arial-5241-Identity-H"/>
          <w:color w:val="15131C"/>
          <w:sz w:val="21"/>
          <w:szCs w:val="21"/>
        </w:rPr>
        <w:t xml:space="preserve"> </w:t>
      </w:r>
      <w:r w:rsidRPr="00D9374F">
        <w:rPr>
          <w:rFonts w:ascii="Abadi" w:hAnsi="Abadi" w:cs="*Arial-5241-Identity-H"/>
          <w:color w:val="15131C"/>
          <w:sz w:val="21"/>
          <w:szCs w:val="21"/>
        </w:rPr>
        <w:t>de desempeño de manera anual y únicamente formulará recomendaciones que</w:t>
      </w:r>
      <w:r>
        <w:rPr>
          <w:rFonts w:ascii="Abadi" w:hAnsi="Abadi" w:cs="*Arial-5241-Identity-H"/>
          <w:color w:val="15131C"/>
          <w:sz w:val="21"/>
          <w:szCs w:val="21"/>
        </w:rPr>
        <w:t xml:space="preserve"> </w:t>
      </w:r>
      <w:r w:rsidRPr="00D9374F">
        <w:rPr>
          <w:rFonts w:ascii="Abadi" w:hAnsi="Abadi" w:cs="*Arial-5241-Identity-H"/>
          <w:color w:val="15131C"/>
          <w:sz w:val="21"/>
          <w:szCs w:val="21"/>
        </w:rPr>
        <w:t>incidan en mejorar sistemáticamente el diseño, operación e impacto de los</w:t>
      </w:r>
      <w:r>
        <w:rPr>
          <w:rFonts w:ascii="Abadi" w:hAnsi="Abadi" w:cs="*Arial-5241-Identity-H"/>
          <w:color w:val="15131C"/>
          <w:sz w:val="21"/>
          <w:szCs w:val="21"/>
        </w:rPr>
        <w:t xml:space="preserve"> </w:t>
      </w:r>
      <w:r w:rsidRPr="00D9374F">
        <w:rPr>
          <w:rFonts w:ascii="Abadi" w:hAnsi="Abadi" w:cs="*Arial-5241-Identity-H"/>
          <w:color w:val="15131C"/>
          <w:sz w:val="21"/>
          <w:szCs w:val="21"/>
        </w:rPr>
        <w:t>presupuestos programáticos y las políticas públicas en su caso.</w:t>
      </w:r>
      <w:r>
        <w:rPr>
          <w:rFonts w:ascii="Abadi" w:hAnsi="Abadi" w:cs="*Arial-5241-Identity-H"/>
          <w:color w:val="15131C"/>
          <w:sz w:val="21"/>
          <w:szCs w:val="21"/>
        </w:rPr>
        <w:t xml:space="preserve"> </w:t>
      </w:r>
    </w:p>
    <w:p w14:paraId="26549626" w14:textId="77777777" w:rsidR="00C54578" w:rsidRDefault="00C54578" w:rsidP="00C54578">
      <w:pPr>
        <w:autoSpaceDE w:val="0"/>
        <w:autoSpaceDN w:val="0"/>
        <w:adjustRightInd w:val="0"/>
        <w:jc w:val="both"/>
        <w:rPr>
          <w:rFonts w:ascii="Abadi" w:hAnsi="Abadi" w:cs="*Arial-5241-Identity-H"/>
          <w:color w:val="15131C"/>
          <w:sz w:val="21"/>
          <w:szCs w:val="21"/>
        </w:rPr>
      </w:pPr>
    </w:p>
    <w:p w14:paraId="1610E8C1" w14:textId="77777777" w:rsidR="00C54578" w:rsidRDefault="00C54578" w:rsidP="00C54578">
      <w:pPr>
        <w:autoSpaceDE w:val="0"/>
        <w:autoSpaceDN w:val="0"/>
        <w:adjustRightInd w:val="0"/>
        <w:ind w:firstLine="708"/>
        <w:jc w:val="both"/>
        <w:rPr>
          <w:rFonts w:ascii="Abadi" w:hAnsi="Abadi" w:cs="*Arial-5241-Identity-H"/>
          <w:color w:val="15141C"/>
          <w:sz w:val="21"/>
          <w:szCs w:val="21"/>
        </w:rPr>
      </w:pPr>
      <w:r w:rsidRPr="00D9374F">
        <w:rPr>
          <w:rFonts w:ascii="Abadi" w:hAnsi="Abadi" w:cs="*Arial-5241-Identity-H"/>
          <w:color w:val="15141C"/>
          <w:sz w:val="21"/>
          <w:szCs w:val="21"/>
        </w:rPr>
        <w:t>Por su parte, los artículos 59 y 60 de la citada Ley refieren que los informes</w:t>
      </w:r>
      <w:r>
        <w:rPr>
          <w:rFonts w:ascii="Abadi" w:hAnsi="Abadi" w:cs="*Arial-5241-Identity-H"/>
          <w:color w:val="15141C"/>
          <w:sz w:val="21"/>
          <w:szCs w:val="21"/>
        </w:rPr>
        <w:t xml:space="preserve"> </w:t>
      </w:r>
      <w:r w:rsidRPr="00D9374F">
        <w:rPr>
          <w:rFonts w:ascii="Abadi" w:hAnsi="Abadi" w:cs="*Arial-5241-Identity-H"/>
          <w:color w:val="15141C"/>
          <w:sz w:val="21"/>
          <w:szCs w:val="21"/>
        </w:rPr>
        <w:t>de resultados de auditorías de desempeño contendrán los requisitos señalados en</w:t>
      </w:r>
      <w:r>
        <w:rPr>
          <w:rFonts w:ascii="Abadi" w:hAnsi="Abadi" w:cs="*Arial-5241-Identity-H"/>
          <w:color w:val="15141C"/>
          <w:sz w:val="21"/>
          <w:szCs w:val="21"/>
        </w:rPr>
        <w:t xml:space="preserve"> </w:t>
      </w:r>
      <w:r w:rsidRPr="00D9374F">
        <w:rPr>
          <w:rFonts w:ascii="Abadi" w:hAnsi="Abadi" w:cs="*Arial-5241-Identity-H"/>
          <w:color w:val="15141C"/>
          <w:sz w:val="21"/>
          <w:szCs w:val="21"/>
        </w:rPr>
        <w:t>el Reglamento de la Ley y que la Auditoría Superior del Estado, remitirá dichos</w:t>
      </w:r>
      <w:r>
        <w:rPr>
          <w:rFonts w:ascii="Abadi" w:hAnsi="Abadi" w:cs="*Arial-5241-Identity-H"/>
          <w:color w:val="15141C"/>
          <w:sz w:val="21"/>
          <w:szCs w:val="21"/>
        </w:rPr>
        <w:t xml:space="preserve"> </w:t>
      </w:r>
      <w:r w:rsidRPr="00D9374F">
        <w:rPr>
          <w:rFonts w:ascii="Abadi" w:hAnsi="Abadi" w:cs="*Arial-5241-Identity-H"/>
          <w:color w:val="15141C"/>
          <w:sz w:val="21"/>
          <w:szCs w:val="21"/>
        </w:rPr>
        <w:t>informes al Congreso a más tardar el 30 de septiembre del ejercicio fiscal de que</w:t>
      </w:r>
      <w:r>
        <w:rPr>
          <w:rFonts w:ascii="Abadi" w:hAnsi="Abadi" w:cs="*Arial-5241-Identity-H"/>
          <w:color w:val="15141C"/>
          <w:sz w:val="21"/>
          <w:szCs w:val="21"/>
        </w:rPr>
        <w:t xml:space="preserve"> </w:t>
      </w:r>
      <w:r w:rsidRPr="00D9374F">
        <w:rPr>
          <w:rFonts w:ascii="Abadi" w:hAnsi="Abadi" w:cs="*Arial-5241-Identity-H"/>
          <w:color w:val="15141C"/>
          <w:sz w:val="21"/>
          <w:szCs w:val="21"/>
        </w:rPr>
        <w:t>se trate.</w:t>
      </w:r>
    </w:p>
    <w:p w14:paraId="21BDE964" w14:textId="77777777" w:rsidR="00C54578" w:rsidRPr="00D9374F" w:rsidRDefault="00C54578" w:rsidP="00C54578">
      <w:pPr>
        <w:autoSpaceDE w:val="0"/>
        <w:autoSpaceDN w:val="0"/>
        <w:adjustRightInd w:val="0"/>
        <w:jc w:val="both"/>
        <w:rPr>
          <w:rFonts w:ascii="Abadi" w:hAnsi="Abadi" w:cs="*Arial-5241-Identity-H"/>
          <w:color w:val="15141C"/>
          <w:sz w:val="21"/>
          <w:szCs w:val="21"/>
        </w:rPr>
      </w:pPr>
    </w:p>
    <w:p w14:paraId="0DAF5A6D" w14:textId="77777777" w:rsidR="00C54578" w:rsidRDefault="00C54578" w:rsidP="00C54578">
      <w:pPr>
        <w:autoSpaceDE w:val="0"/>
        <w:autoSpaceDN w:val="0"/>
        <w:adjustRightInd w:val="0"/>
        <w:ind w:firstLine="708"/>
        <w:jc w:val="both"/>
        <w:rPr>
          <w:rFonts w:ascii="Abadi" w:hAnsi="Abadi" w:cs="*Arial-5241-Identity-H"/>
          <w:color w:val="15141C"/>
          <w:sz w:val="21"/>
          <w:szCs w:val="21"/>
        </w:rPr>
      </w:pPr>
      <w:r w:rsidRPr="00D9374F">
        <w:rPr>
          <w:rFonts w:ascii="Abadi" w:hAnsi="Abadi" w:cs="*Arial-5241-Identity-H"/>
          <w:color w:val="15141C"/>
          <w:sz w:val="21"/>
          <w:szCs w:val="21"/>
        </w:rPr>
        <w:t>De lo anterior podemos desprender que el Órgano Técnico realizará la</w:t>
      </w:r>
      <w:r>
        <w:rPr>
          <w:rFonts w:ascii="Abadi" w:hAnsi="Abadi" w:cs="*Arial-5241-Identity-H"/>
          <w:color w:val="15141C"/>
          <w:sz w:val="21"/>
          <w:szCs w:val="21"/>
        </w:rPr>
        <w:t xml:space="preserve"> </w:t>
      </w:r>
      <w:r w:rsidRPr="00D9374F">
        <w:rPr>
          <w:rFonts w:ascii="Abadi" w:hAnsi="Abadi" w:cs="*Arial-5241-Identity-H"/>
          <w:color w:val="15141C"/>
          <w:sz w:val="21"/>
          <w:szCs w:val="21"/>
        </w:rPr>
        <w:t>auditoría de desempeño de manera anual y únicamente formulará</w:t>
      </w:r>
      <w:r>
        <w:rPr>
          <w:rFonts w:ascii="Abadi" w:hAnsi="Abadi" w:cs="*Arial-5241-Identity-H"/>
          <w:color w:val="15141C"/>
          <w:sz w:val="21"/>
          <w:szCs w:val="21"/>
        </w:rPr>
        <w:t xml:space="preserve"> </w:t>
      </w:r>
      <w:r w:rsidRPr="00D9374F">
        <w:rPr>
          <w:rFonts w:ascii="Abadi" w:hAnsi="Abadi" w:cs="*Arial-5241-Identity-H"/>
          <w:color w:val="15141C"/>
          <w:sz w:val="21"/>
          <w:szCs w:val="21"/>
        </w:rPr>
        <w:t>recomendaciones que incidan en la mejora del diseño, operación e impacto de los</w:t>
      </w:r>
      <w:r>
        <w:rPr>
          <w:rFonts w:ascii="Abadi" w:hAnsi="Abadi" w:cs="*Arial-5241-Identity-H"/>
          <w:color w:val="15141C"/>
          <w:sz w:val="21"/>
          <w:szCs w:val="21"/>
        </w:rPr>
        <w:t xml:space="preserve"> </w:t>
      </w:r>
      <w:r w:rsidRPr="00D9374F">
        <w:rPr>
          <w:rFonts w:ascii="Abadi" w:hAnsi="Abadi" w:cs="*Arial-5241-Identity-H"/>
          <w:color w:val="15141C"/>
          <w:sz w:val="21"/>
          <w:szCs w:val="21"/>
        </w:rPr>
        <w:t>presupuestos programáticos y las políticas públicas en su caso.</w:t>
      </w:r>
    </w:p>
    <w:p w14:paraId="1B2CCAD0" w14:textId="77777777" w:rsidR="00C54578" w:rsidRPr="00D9374F" w:rsidRDefault="00C54578" w:rsidP="00C54578">
      <w:pPr>
        <w:autoSpaceDE w:val="0"/>
        <w:autoSpaceDN w:val="0"/>
        <w:adjustRightInd w:val="0"/>
        <w:jc w:val="both"/>
        <w:rPr>
          <w:rFonts w:ascii="Abadi" w:hAnsi="Abadi" w:cs="*Arial-5241-Identity-H"/>
          <w:color w:val="15141C"/>
          <w:sz w:val="21"/>
          <w:szCs w:val="21"/>
        </w:rPr>
      </w:pPr>
    </w:p>
    <w:p w14:paraId="206D3E6B" w14:textId="77777777" w:rsidR="00C54578" w:rsidRDefault="00C54578" w:rsidP="00C54578">
      <w:pPr>
        <w:autoSpaceDE w:val="0"/>
        <w:autoSpaceDN w:val="0"/>
        <w:adjustRightInd w:val="0"/>
        <w:ind w:firstLine="708"/>
        <w:jc w:val="both"/>
        <w:rPr>
          <w:rFonts w:ascii="Abadi" w:hAnsi="Abadi" w:cs="*Arial-5241-Identity-H"/>
          <w:color w:val="14141C"/>
          <w:sz w:val="21"/>
          <w:szCs w:val="21"/>
        </w:rPr>
      </w:pPr>
      <w:r w:rsidRPr="00D9374F">
        <w:rPr>
          <w:rFonts w:ascii="Abadi" w:hAnsi="Abadi" w:cs="*Arial-5241-Identity-H"/>
          <w:color w:val="14141C"/>
          <w:sz w:val="21"/>
          <w:szCs w:val="21"/>
        </w:rPr>
        <w:t>Finalmente, el artículo 16 d</w:t>
      </w:r>
      <w:r>
        <w:rPr>
          <w:rFonts w:ascii="Abadi" w:hAnsi="Abadi" w:cs="*Arial-5241-Identity-H"/>
          <w:color w:val="14141C"/>
          <w:sz w:val="21"/>
          <w:szCs w:val="21"/>
        </w:rPr>
        <w:t>e</w:t>
      </w:r>
      <w:r w:rsidRPr="00D9374F">
        <w:rPr>
          <w:rFonts w:ascii="Abadi" w:hAnsi="Abadi" w:cs="*Arial-5241-Identity-H"/>
          <w:color w:val="14141C"/>
          <w:sz w:val="21"/>
          <w:szCs w:val="21"/>
        </w:rPr>
        <w:t xml:space="preserve"> la Ley de Fiscalización Superior del Estado de</w:t>
      </w:r>
      <w:r>
        <w:rPr>
          <w:rFonts w:ascii="Abadi" w:hAnsi="Abadi" w:cs="*Arial-5241-Identity-H"/>
          <w:color w:val="14141C"/>
          <w:sz w:val="21"/>
          <w:szCs w:val="21"/>
        </w:rPr>
        <w:t xml:space="preserve"> </w:t>
      </w:r>
      <w:r w:rsidRPr="00D9374F">
        <w:rPr>
          <w:rFonts w:ascii="Abadi" w:hAnsi="Abadi" w:cs="*Arial-5241-Identity-H"/>
          <w:color w:val="14141C"/>
          <w:sz w:val="21"/>
          <w:szCs w:val="21"/>
        </w:rPr>
        <w:t>Guanajuato, consigna que la Auditoría Superior establecerá un Programa General</w:t>
      </w:r>
      <w:r>
        <w:rPr>
          <w:rFonts w:ascii="Abadi" w:hAnsi="Abadi" w:cs="*Arial-5241-Identity-H"/>
          <w:color w:val="14141C"/>
          <w:sz w:val="21"/>
          <w:szCs w:val="21"/>
        </w:rPr>
        <w:t xml:space="preserve"> </w:t>
      </w:r>
      <w:r w:rsidRPr="00D9374F">
        <w:rPr>
          <w:rFonts w:ascii="Abadi" w:hAnsi="Abadi" w:cs="*Arial-5241-Identity-H"/>
          <w:color w:val="14141C"/>
          <w:sz w:val="21"/>
          <w:szCs w:val="21"/>
        </w:rPr>
        <w:t>de Fiscalización, señalando los actos y sujetos de fiscalización, los que serán</w:t>
      </w:r>
      <w:r>
        <w:rPr>
          <w:rFonts w:ascii="Abadi" w:hAnsi="Abadi" w:cs="*Arial-5241-Identity-H"/>
          <w:color w:val="14141C"/>
          <w:sz w:val="21"/>
          <w:szCs w:val="21"/>
        </w:rPr>
        <w:t xml:space="preserve"> </w:t>
      </w:r>
      <w:r w:rsidRPr="00D9374F">
        <w:rPr>
          <w:rFonts w:ascii="Abadi" w:hAnsi="Abadi" w:cs="*Arial-5241-Identity-H"/>
          <w:color w:val="14141C"/>
          <w:sz w:val="21"/>
          <w:szCs w:val="21"/>
        </w:rPr>
        <w:t>objeto de auditoría o revisión conforme a los criterios y normas que se establezcan</w:t>
      </w:r>
      <w:r>
        <w:rPr>
          <w:rFonts w:ascii="Abadi" w:hAnsi="Abadi" w:cs="*Arial-5241-Identity-H"/>
          <w:color w:val="14141C"/>
          <w:sz w:val="21"/>
          <w:szCs w:val="21"/>
        </w:rPr>
        <w:t xml:space="preserve"> </w:t>
      </w:r>
      <w:r w:rsidRPr="00D9374F">
        <w:rPr>
          <w:rFonts w:ascii="Abadi" w:hAnsi="Abadi" w:cs="*Arial-5241-Identity-H"/>
          <w:color w:val="14141C"/>
          <w:sz w:val="21"/>
          <w:szCs w:val="21"/>
        </w:rPr>
        <w:t>en el Reglamento de la Ley.</w:t>
      </w:r>
    </w:p>
    <w:p w14:paraId="1A0052D5" w14:textId="77777777" w:rsidR="00C54578" w:rsidRPr="00D9374F" w:rsidRDefault="00C54578" w:rsidP="00C54578">
      <w:pPr>
        <w:autoSpaceDE w:val="0"/>
        <w:autoSpaceDN w:val="0"/>
        <w:adjustRightInd w:val="0"/>
        <w:jc w:val="both"/>
        <w:rPr>
          <w:rFonts w:ascii="Abadi" w:hAnsi="Abadi" w:cs="*Arial-5241-Identity-H"/>
          <w:color w:val="14141C"/>
          <w:sz w:val="21"/>
          <w:szCs w:val="21"/>
        </w:rPr>
      </w:pPr>
    </w:p>
    <w:p w14:paraId="1976858E" w14:textId="77777777" w:rsidR="00C54578" w:rsidRDefault="00C54578" w:rsidP="00C54578">
      <w:pPr>
        <w:autoSpaceDE w:val="0"/>
        <w:autoSpaceDN w:val="0"/>
        <w:adjustRightInd w:val="0"/>
        <w:ind w:firstLine="708"/>
        <w:jc w:val="both"/>
        <w:rPr>
          <w:rFonts w:ascii="Abadi" w:hAnsi="Abadi" w:cs="*Arial-5241-Identity-H"/>
          <w:color w:val="14131D"/>
          <w:sz w:val="21"/>
          <w:szCs w:val="21"/>
        </w:rPr>
      </w:pPr>
      <w:r w:rsidRPr="00D9374F">
        <w:rPr>
          <w:rFonts w:ascii="Abadi" w:hAnsi="Abadi" w:cs="*Arial-5241-Identity-H"/>
          <w:color w:val="14131D"/>
          <w:sz w:val="21"/>
          <w:szCs w:val="21"/>
        </w:rPr>
        <w:t>En ejercicio de esta función, el Auditor Superior del Estado aprobó el</w:t>
      </w:r>
      <w:r>
        <w:rPr>
          <w:rFonts w:ascii="Abadi" w:hAnsi="Abadi" w:cs="*Arial-5241-Identity-H"/>
          <w:color w:val="14131D"/>
          <w:sz w:val="21"/>
          <w:szCs w:val="21"/>
        </w:rPr>
        <w:t xml:space="preserve"> </w:t>
      </w:r>
      <w:r w:rsidRPr="00D9374F">
        <w:rPr>
          <w:rFonts w:ascii="Abadi" w:hAnsi="Abadi" w:cs="*Arial-5241-Identity-H"/>
          <w:color w:val="14131D"/>
          <w:sz w:val="21"/>
          <w:szCs w:val="21"/>
        </w:rPr>
        <w:t>Programa General de Fiscalización 2021. En dicho Programa se contempló la</w:t>
      </w:r>
      <w:r>
        <w:rPr>
          <w:rFonts w:ascii="Abadi" w:hAnsi="Abadi" w:cs="*Arial-5241-Identity-H"/>
          <w:color w:val="14131D"/>
          <w:sz w:val="21"/>
          <w:szCs w:val="21"/>
        </w:rPr>
        <w:t xml:space="preserve"> </w:t>
      </w:r>
      <w:r w:rsidRPr="00D9374F">
        <w:rPr>
          <w:rFonts w:ascii="Abadi" w:hAnsi="Abadi" w:cs="*Arial-5241-Identity-H"/>
          <w:color w:val="14131D"/>
          <w:sz w:val="21"/>
          <w:szCs w:val="21"/>
        </w:rPr>
        <w:t>práctica de una auditoría de desempeño a la administración municipal de Ocampo,</w:t>
      </w:r>
      <w:r>
        <w:rPr>
          <w:rFonts w:ascii="Abadi" w:hAnsi="Abadi" w:cs="*Arial-5241-Identity-H"/>
          <w:color w:val="14131D"/>
          <w:sz w:val="21"/>
          <w:szCs w:val="21"/>
        </w:rPr>
        <w:t xml:space="preserve"> </w:t>
      </w:r>
      <w:r w:rsidRPr="00D9374F">
        <w:rPr>
          <w:rFonts w:ascii="Abadi" w:hAnsi="Abadi" w:cs="*Arial-5241-Identity-H"/>
          <w:color w:val="14131D"/>
          <w:sz w:val="21"/>
          <w:szCs w:val="21"/>
        </w:rPr>
        <w:t>Gto., por el periodo comprendido del 1 de enero al 31 de diciembre del ejercicio</w:t>
      </w:r>
      <w:r>
        <w:rPr>
          <w:rFonts w:ascii="Abadi" w:hAnsi="Abadi" w:cs="*Arial-5241-Identity-H"/>
          <w:color w:val="14131D"/>
          <w:sz w:val="21"/>
          <w:szCs w:val="21"/>
        </w:rPr>
        <w:t xml:space="preserve"> </w:t>
      </w:r>
      <w:r w:rsidRPr="00D9374F">
        <w:rPr>
          <w:rFonts w:ascii="Abadi" w:hAnsi="Abadi" w:cs="*Arial-5241-Identity-H"/>
          <w:color w:val="14131D"/>
          <w:sz w:val="21"/>
          <w:szCs w:val="21"/>
        </w:rPr>
        <w:t>fiscal del año 2020, la cual se realizó con enfoque a resultados del servicio de</w:t>
      </w:r>
      <w:r>
        <w:rPr>
          <w:rFonts w:ascii="Abadi" w:hAnsi="Abadi" w:cs="*Arial-5241-Identity-H"/>
          <w:color w:val="14131D"/>
          <w:sz w:val="21"/>
          <w:szCs w:val="21"/>
        </w:rPr>
        <w:t xml:space="preserve"> </w:t>
      </w:r>
      <w:r w:rsidRPr="00D9374F">
        <w:rPr>
          <w:rFonts w:ascii="Abadi" w:hAnsi="Abadi" w:cs="*Arial-5241-Identity-H"/>
          <w:color w:val="14131D"/>
          <w:sz w:val="21"/>
          <w:szCs w:val="21"/>
        </w:rPr>
        <w:t>alumbrado público.</w:t>
      </w:r>
    </w:p>
    <w:p w14:paraId="72EE59B2" w14:textId="77777777" w:rsidR="00C54578" w:rsidRPr="00D9374F" w:rsidRDefault="00C54578" w:rsidP="00C54578">
      <w:pPr>
        <w:autoSpaceDE w:val="0"/>
        <w:autoSpaceDN w:val="0"/>
        <w:adjustRightInd w:val="0"/>
        <w:jc w:val="both"/>
        <w:rPr>
          <w:rFonts w:ascii="Abadi" w:hAnsi="Abadi" w:cs="*Arial-5241-Identity-H"/>
          <w:color w:val="14131D"/>
          <w:sz w:val="21"/>
          <w:szCs w:val="21"/>
        </w:rPr>
      </w:pPr>
    </w:p>
    <w:p w14:paraId="3CF3FBF3" w14:textId="77777777" w:rsidR="00C54578" w:rsidRDefault="00C54578" w:rsidP="00C54578">
      <w:pPr>
        <w:autoSpaceDE w:val="0"/>
        <w:autoSpaceDN w:val="0"/>
        <w:adjustRightInd w:val="0"/>
        <w:ind w:firstLine="708"/>
        <w:jc w:val="both"/>
        <w:rPr>
          <w:rFonts w:ascii="Abadi" w:hAnsi="Abadi" w:cs="*Arial-5241-Identity-H"/>
          <w:color w:val="14141C"/>
          <w:sz w:val="21"/>
          <w:szCs w:val="21"/>
        </w:rPr>
      </w:pPr>
      <w:r w:rsidRPr="00D9374F">
        <w:rPr>
          <w:rFonts w:ascii="Abadi" w:hAnsi="Abadi" w:cs="*Arial-5241-Identity-H"/>
          <w:color w:val="14141C"/>
          <w:sz w:val="21"/>
          <w:szCs w:val="21"/>
        </w:rPr>
        <w:t>El 16 de julio de 2021 se notificó al sujeto fiscalizado el inicio de la auditoría</w:t>
      </w:r>
      <w:r>
        <w:rPr>
          <w:rFonts w:ascii="Abadi" w:hAnsi="Abadi" w:cs="*Arial-5241-Identity-H"/>
          <w:color w:val="14141C"/>
          <w:sz w:val="21"/>
          <w:szCs w:val="21"/>
        </w:rPr>
        <w:t xml:space="preserve"> </w:t>
      </w:r>
      <w:r w:rsidRPr="00D9374F">
        <w:rPr>
          <w:rFonts w:ascii="Abadi" w:hAnsi="Abadi" w:cs="*Arial-5241-Identity-H"/>
          <w:color w:val="14141C"/>
          <w:sz w:val="21"/>
          <w:szCs w:val="21"/>
        </w:rPr>
        <w:t>materia del presente dictamen.</w:t>
      </w:r>
    </w:p>
    <w:p w14:paraId="77155D89" w14:textId="77777777" w:rsidR="00C54578" w:rsidRPr="00D9374F" w:rsidRDefault="00C54578" w:rsidP="00C54578">
      <w:pPr>
        <w:autoSpaceDE w:val="0"/>
        <w:autoSpaceDN w:val="0"/>
        <w:adjustRightInd w:val="0"/>
        <w:jc w:val="both"/>
        <w:rPr>
          <w:rFonts w:ascii="Abadi" w:hAnsi="Abadi" w:cs="*Arial-5241-Identity-H"/>
          <w:color w:val="14141C"/>
          <w:sz w:val="21"/>
          <w:szCs w:val="21"/>
        </w:rPr>
      </w:pPr>
    </w:p>
    <w:p w14:paraId="09B23CD2" w14:textId="77777777" w:rsidR="00C54578" w:rsidRDefault="00C54578" w:rsidP="00C54578">
      <w:pPr>
        <w:autoSpaceDE w:val="0"/>
        <w:autoSpaceDN w:val="0"/>
        <w:adjustRightInd w:val="0"/>
        <w:ind w:firstLine="708"/>
        <w:jc w:val="both"/>
        <w:rPr>
          <w:rFonts w:ascii="Abadi" w:hAnsi="Abadi" w:cs="*Arial-5247-Identity-H"/>
          <w:color w:val="14131C"/>
          <w:sz w:val="21"/>
          <w:szCs w:val="21"/>
        </w:rPr>
      </w:pPr>
      <w:r w:rsidRPr="00D9374F">
        <w:rPr>
          <w:rFonts w:ascii="Abadi" w:hAnsi="Abadi" w:cs="*Arial-5247-Identity-H"/>
          <w:color w:val="14131C"/>
          <w:sz w:val="21"/>
          <w:szCs w:val="21"/>
        </w:rPr>
        <w:t>Mediante oficios notificados el 13 de abril y el 20 de septiembre de 2021, la</w:t>
      </w:r>
      <w:r>
        <w:rPr>
          <w:rFonts w:ascii="Abadi" w:hAnsi="Abadi" w:cs="*Arial-5247-Identity-H"/>
          <w:color w:val="14131C"/>
          <w:sz w:val="21"/>
          <w:szCs w:val="21"/>
        </w:rPr>
        <w:t xml:space="preserve"> </w:t>
      </w:r>
      <w:r w:rsidRPr="00D9374F">
        <w:rPr>
          <w:rFonts w:ascii="Abadi" w:hAnsi="Abadi" w:cs="*Arial-5247-Identity-H"/>
          <w:color w:val="14131C"/>
          <w:sz w:val="21"/>
          <w:szCs w:val="21"/>
        </w:rPr>
        <w:t>Auditoría Superior del Estado requirió al sujeto de fiscalización diversa información</w:t>
      </w:r>
      <w:r>
        <w:rPr>
          <w:rFonts w:ascii="Abadi" w:hAnsi="Abadi" w:cs="*Arial-5247-Identity-H"/>
          <w:color w:val="14131C"/>
          <w:sz w:val="21"/>
          <w:szCs w:val="21"/>
        </w:rPr>
        <w:t xml:space="preserve"> </w:t>
      </w:r>
      <w:r w:rsidRPr="00D9374F">
        <w:rPr>
          <w:rFonts w:ascii="Abadi" w:hAnsi="Abadi" w:cs="*Arial-5247-Identity-H"/>
          <w:color w:val="14131C"/>
          <w:sz w:val="21"/>
          <w:szCs w:val="21"/>
        </w:rPr>
        <w:t>que se consideró necesaria para llevar a cabo la auditoría, a los cuales se dio</w:t>
      </w:r>
      <w:r>
        <w:rPr>
          <w:rFonts w:ascii="Abadi" w:hAnsi="Abadi" w:cs="*Arial-5247-Identity-H"/>
          <w:color w:val="14131C"/>
          <w:sz w:val="21"/>
          <w:szCs w:val="21"/>
        </w:rPr>
        <w:t xml:space="preserve"> </w:t>
      </w:r>
      <w:r w:rsidRPr="00D9374F">
        <w:rPr>
          <w:rFonts w:ascii="Abadi" w:hAnsi="Abadi" w:cs="*Arial-5247-Identity-H"/>
          <w:color w:val="14131C"/>
          <w:sz w:val="21"/>
          <w:szCs w:val="21"/>
        </w:rPr>
        <w:t>respuesta en fechas 20 de abril, 16 de junio y 28 de septiembre de 2021.</w:t>
      </w:r>
      <w:r>
        <w:rPr>
          <w:rFonts w:ascii="Abadi" w:hAnsi="Abadi" w:cs="*Arial-5247-Identity-H"/>
          <w:color w:val="14131C"/>
          <w:sz w:val="21"/>
          <w:szCs w:val="21"/>
        </w:rPr>
        <w:t xml:space="preserve"> </w:t>
      </w:r>
      <w:r w:rsidRPr="00D9374F">
        <w:rPr>
          <w:rFonts w:ascii="Abadi" w:hAnsi="Abadi" w:cs="*Arial-5247-Identity-H"/>
          <w:color w:val="14131C"/>
          <w:sz w:val="21"/>
          <w:szCs w:val="21"/>
        </w:rPr>
        <w:t>Asimismo, el 13 de enero de 2022, el Órgano Técnico realizó entrevistas.</w:t>
      </w:r>
    </w:p>
    <w:p w14:paraId="15D3F512" w14:textId="77777777" w:rsidR="00C54578" w:rsidRPr="00D9374F" w:rsidRDefault="00C54578" w:rsidP="00C54578">
      <w:pPr>
        <w:autoSpaceDE w:val="0"/>
        <w:autoSpaceDN w:val="0"/>
        <w:adjustRightInd w:val="0"/>
        <w:jc w:val="both"/>
        <w:rPr>
          <w:rFonts w:ascii="Abadi" w:hAnsi="Abadi" w:cs="*Arial-5247-Identity-H"/>
          <w:color w:val="14131C"/>
          <w:sz w:val="21"/>
          <w:szCs w:val="21"/>
        </w:rPr>
      </w:pPr>
    </w:p>
    <w:p w14:paraId="7F6D7087" w14:textId="77777777" w:rsidR="00C54578" w:rsidRDefault="00C54578" w:rsidP="00C54578">
      <w:pPr>
        <w:autoSpaceDE w:val="0"/>
        <w:autoSpaceDN w:val="0"/>
        <w:adjustRightInd w:val="0"/>
        <w:ind w:firstLine="708"/>
        <w:jc w:val="both"/>
        <w:rPr>
          <w:rFonts w:ascii="Abadi" w:hAnsi="Abadi" w:cs="*Arial-5247-Identity-H"/>
          <w:color w:val="14131B"/>
          <w:sz w:val="21"/>
          <w:szCs w:val="21"/>
        </w:rPr>
      </w:pPr>
      <w:r w:rsidRPr="00D9374F">
        <w:rPr>
          <w:rFonts w:ascii="Abadi" w:hAnsi="Abadi" w:cs="*Arial-5247-Identity-H"/>
          <w:color w:val="14131B"/>
          <w:sz w:val="21"/>
          <w:szCs w:val="21"/>
        </w:rPr>
        <w:t>En fechas 28 de septiembre y 17 de diciembre de 2021 se notificó al sujeto</w:t>
      </w:r>
      <w:r>
        <w:rPr>
          <w:rFonts w:ascii="Abadi" w:hAnsi="Abadi" w:cs="*Arial-5247-Identity-H"/>
          <w:color w:val="14131B"/>
          <w:sz w:val="21"/>
          <w:szCs w:val="21"/>
        </w:rPr>
        <w:t xml:space="preserve"> </w:t>
      </w:r>
      <w:r w:rsidRPr="00D9374F">
        <w:rPr>
          <w:rFonts w:ascii="Abadi" w:hAnsi="Abadi" w:cs="*Arial-5247-Identity-H"/>
          <w:color w:val="14131B"/>
          <w:sz w:val="21"/>
          <w:szCs w:val="21"/>
        </w:rPr>
        <w:t>fiscalizado la suspensión del plazo de la auditoría materia del presente dictamen,</w:t>
      </w:r>
      <w:r>
        <w:rPr>
          <w:rFonts w:ascii="Abadi" w:hAnsi="Abadi" w:cs="*Arial-5247-Identity-H"/>
          <w:color w:val="14131B"/>
          <w:sz w:val="21"/>
          <w:szCs w:val="21"/>
        </w:rPr>
        <w:t xml:space="preserve"> </w:t>
      </w:r>
      <w:r w:rsidRPr="00D9374F">
        <w:rPr>
          <w:rFonts w:ascii="Abadi" w:hAnsi="Abadi" w:cs="*Arial-5247-Identity-H"/>
          <w:color w:val="14131B"/>
          <w:sz w:val="21"/>
          <w:szCs w:val="21"/>
        </w:rPr>
        <w:t>por los periodos comprendidos del 1 de octubre al 17 de diciembre de 2021; y del</w:t>
      </w:r>
      <w:r>
        <w:rPr>
          <w:rFonts w:ascii="Abadi" w:hAnsi="Abadi" w:cs="*Arial-5247-Identity-H"/>
          <w:color w:val="14131B"/>
          <w:sz w:val="21"/>
          <w:szCs w:val="21"/>
        </w:rPr>
        <w:t xml:space="preserve"> </w:t>
      </w:r>
      <w:r w:rsidRPr="00D9374F">
        <w:rPr>
          <w:rFonts w:ascii="Abadi" w:hAnsi="Abadi" w:cs="*Arial-5247-Identity-H"/>
          <w:color w:val="14131B"/>
          <w:sz w:val="21"/>
          <w:szCs w:val="21"/>
        </w:rPr>
        <w:t>3 de enero al 11 de marzo de 2022.</w:t>
      </w:r>
    </w:p>
    <w:p w14:paraId="2482E5B4" w14:textId="77777777" w:rsidR="00C54578" w:rsidRPr="00D9374F" w:rsidRDefault="00C54578" w:rsidP="00C54578">
      <w:pPr>
        <w:autoSpaceDE w:val="0"/>
        <w:autoSpaceDN w:val="0"/>
        <w:adjustRightInd w:val="0"/>
        <w:ind w:firstLine="708"/>
        <w:jc w:val="both"/>
        <w:rPr>
          <w:rFonts w:ascii="Abadi" w:hAnsi="Abadi" w:cs="*Arial-5247-Identity-H"/>
          <w:color w:val="14131B"/>
          <w:sz w:val="21"/>
          <w:szCs w:val="21"/>
        </w:rPr>
      </w:pPr>
    </w:p>
    <w:p w14:paraId="4CB2EB34" w14:textId="77777777" w:rsidR="00C54578" w:rsidRDefault="00C54578" w:rsidP="00C54578">
      <w:pPr>
        <w:autoSpaceDE w:val="0"/>
        <w:autoSpaceDN w:val="0"/>
        <w:adjustRightInd w:val="0"/>
        <w:ind w:firstLine="708"/>
        <w:jc w:val="both"/>
        <w:rPr>
          <w:rFonts w:ascii="Abadi" w:hAnsi="Abadi" w:cs="*Arial-5247-Identity-H"/>
          <w:color w:val="14131B"/>
          <w:sz w:val="21"/>
          <w:szCs w:val="21"/>
        </w:rPr>
      </w:pPr>
      <w:r w:rsidRPr="00D9374F">
        <w:rPr>
          <w:rFonts w:ascii="Abadi" w:hAnsi="Abadi" w:cs="*Arial-5247-Identity-H"/>
          <w:color w:val="14131B"/>
          <w:sz w:val="21"/>
          <w:szCs w:val="21"/>
        </w:rPr>
        <w:t>Como parte del proceso de auditoría, el 28 de enero de 2022 se notificó al</w:t>
      </w:r>
      <w:r>
        <w:rPr>
          <w:rFonts w:ascii="Abadi" w:hAnsi="Abadi" w:cs="*Arial-5247-Identity-H"/>
          <w:color w:val="14131B"/>
          <w:sz w:val="21"/>
          <w:szCs w:val="21"/>
        </w:rPr>
        <w:t xml:space="preserve"> </w:t>
      </w:r>
      <w:r w:rsidRPr="00D9374F">
        <w:rPr>
          <w:rFonts w:ascii="Abadi" w:hAnsi="Abadi" w:cs="*Arial-5247-Identity-H"/>
          <w:color w:val="14131B"/>
          <w:sz w:val="21"/>
          <w:szCs w:val="21"/>
        </w:rPr>
        <w:t>sujeto fiscalizado el pliego de recomendaciones derivadas de la auditoría</w:t>
      </w:r>
      <w:r>
        <w:rPr>
          <w:rFonts w:ascii="Abadi" w:hAnsi="Abadi" w:cs="*Arial-5247-Identity-H"/>
          <w:color w:val="14131B"/>
          <w:sz w:val="21"/>
          <w:szCs w:val="21"/>
        </w:rPr>
        <w:t xml:space="preserve"> </w:t>
      </w:r>
      <w:r w:rsidRPr="00D9374F">
        <w:rPr>
          <w:rFonts w:ascii="Abadi" w:hAnsi="Abadi" w:cs="*Arial-5247-Identity-H"/>
          <w:color w:val="14131B"/>
          <w:sz w:val="21"/>
          <w:szCs w:val="21"/>
        </w:rPr>
        <w:t>practicada. Lo anterior, para dar cumplimiento a lo preceptuado por el artículo 58</w:t>
      </w:r>
      <w:r>
        <w:rPr>
          <w:rFonts w:ascii="Abadi" w:hAnsi="Abadi" w:cs="*Arial-5247-Identity-H"/>
          <w:color w:val="14131B"/>
          <w:sz w:val="21"/>
          <w:szCs w:val="21"/>
        </w:rPr>
        <w:t xml:space="preserve"> </w:t>
      </w:r>
      <w:r w:rsidRPr="00D9374F">
        <w:rPr>
          <w:rFonts w:ascii="Abadi" w:hAnsi="Abadi" w:cs="*Arial-5247-Identity-H"/>
          <w:color w:val="14131B"/>
          <w:sz w:val="21"/>
          <w:szCs w:val="21"/>
        </w:rPr>
        <w:t>de la Ley de Fiscalización Superior del Estado de Guanajuato.</w:t>
      </w:r>
    </w:p>
    <w:p w14:paraId="06F6084E" w14:textId="77777777" w:rsidR="00C54578" w:rsidRPr="00D9374F" w:rsidRDefault="00C54578" w:rsidP="00C54578">
      <w:pPr>
        <w:autoSpaceDE w:val="0"/>
        <w:autoSpaceDN w:val="0"/>
        <w:adjustRightInd w:val="0"/>
        <w:jc w:val="both"/>
        <w:rPr>
          <w:rFonts w:ascii="Abadi" w:hAnsi="Abadi" w:cs="*Arial-5247-Identity-H"/>
          <w:color w:val="14131B"/>
          <w:sz w:val="21"/>
          <w:szCs w:val="21"/>
        </w:rPr>
      </w:pPr>
    </w:p>
    <w:p w14:paraId="240AC508" w14:textId="34B6B649" w:rsidR="00C54578" w:rsidRDefault="00C54578" w:rsidP="00C54578">
      <w:pPr>
        <w:autoSpaceDE w:val="0"/>
        <w:autoSpaceDN w:val="0"/>
        <w:adjustRightInd w:val="0"/>
        <w:jc w:val="both"/>
        <w:rPr>
          <w:rFonts w:ascii="Abadi" w:hAnsi="Abadi" w:cs="*Arial-5247-Identity-H"/>
          <w:color w:val="14131A"/>
          <w:sz w:val="21"/>
          <w:szCs w:val="21"/>
        </w:rPr>
      </w:pPr>
      <w:r w:rsidRPr="00D9374F">
        <w:rPr>
          <w:rFonts w:ascii="Abadi" w:hAnsi="Abadi" w:cs="*Arial-5247-Identity-H"/>
          <w:color w:val="14131A"/>
          <w:sz w:val="21"/>
          <w:szCs w:val="21"/>
        </w:rPr>
        <w:t>En fechas 14 y 15 de febrero de 2022, el sujeto fiscalizado dio respuesta a</w:t>
      </w:r>
      <w:r>
        <w:rPr>
          <w:rFonts w:ascii="Abadi" w:hAnsi="Abadi" w:cs="*Arial-5247-Identity-H"/>
          <w:color w:val="14131A"/>
          <w:sz w:val="21"/>
          <w:szCs w:val="21"/>
        </w:rPr>
        <w:t xml:space="preserve"> </w:t>
      </w:r>
      <w:r w:rsidRPr="00D9374F">
        <w:rPr>
          <w:rFonts w:ascii="Abadi" w:hAnsi="Abadi" w:cs="*Arial-5247-Identity-H"/>
          <w:color w:val="14131A"/>
          <w:sz w:val="21"/>
          <w:szCs w:val="21"/>
        </w:rPr>
        <w:t>las recomendaciones derivadas de la auditoría practicada, anexándose la</w:t>
      </w:r>
      <w:r>
        <w:rPr>
          <w:rFonts w:ascii="Abadi" w:hAnsi="Abadi" w:cs="*Arial-5247-Identity-H"/>
          <w:color w:val="14131A"/>
          <w:sz w:val="21"/>
          <w:szCs w:val="21"/>
        </w:rPr>
        <w:t xml:space="preserve"> </w:t>
      </w:r>
      <w:r w:rsidRPr="00D9374F">
        <w:rPr>
          <w:rFonts w:ascii="Abadi" w:hAnsi="Abadi" w:cs="*Arial-5247-Identity-H"/>
          <w:color w:val="14131A"/>
          <w:sz w:val="21"/>
          <w:szCs w:val="21"/>
        </w:rPr>
        <w:t>información y documentación que el mismo consideró suficiente para precisar las</w:t>
      </w:r>
      <w:r>
        <w:rPr>
          <w:rFonts w:ascii="Abadi" w:hAnsi="Abadi" w:cs="*Arial-5247-Identity-H"/>
          <w:color w:val="14131A"/>
          <w:sz w:val="21"/>
          <w:szCs w:val="21"/>
        </w:rPr>
        <w:t xml:space="preserve"> </w:t>
      </w:r>
      <w:r w:rsidRPr="00D9374F">
        <w:rPr>
          <w:rFonts w:ascii="Abadi" w:hAnsi="Abadi" w:cs="*Arial-5247-Identity-H"/>
          <w:color w:val="14131A"/>
          <w:sz w:val="21"/>
          <w:szCs w:val="21"/>
        </w:rPr>
        <w:t>mejoras efectuadas, las acciones a realizar o en su caso, justificar la</w:t>
      </w:r>
      <w:r>
        <w:rPr>
          <w:rFonts w:ascii="Abadi" w:hAnsi="Abadi" w:cs="*Arial-5247-Identity-H"/>
          <w:color w:val="14131A"/>
          <w:sz w:val="21"/>
          <w:szCs w:val="21"/>
        </w:rPr>
        <w:t xml:space="preserve"> </w:t>
      </w:r>
      <w:r w:rsidRPr="00D9374F">
        <w:rPr>
          <w:rFonts w:ascii="Abadi" w:hAnsi="Abadi" w:cs="*Arial-5247-Identity-H"/>
          <w:color w:val="14131A"/>
          <w:sz w:val="21"/>
          <w:szCs w:val="21"/>
        </w:rPr>
        <w:t>improcedencia por la cual no resulte factible su implementación. Una vez valorada</w:t>
      </w:r>
      <w:r>
        <w:rPr>
          <w:rFonts w:ascii="Abadi" w:hAnsi="Abadi" w:cs="*Arial-5247-Identity-H"/>
          <w:color w:val="14131A"/>
          <w:sz w:val="21"/>
          <w:szCs w:val="21"/>
        </w:rPr>
        <w:t xml:space="preserve"> </w:t>
      </w:r>
      <w:r w:rsidRPr="00D9374F">
        <w:rPr>
          <w:rFonts w:ascii="Abadi" w:hAnsi="Abadi" w:cs="*Arial-5247-Identity-H"/>
          <w:color w:val="14131A"/>
          <w:sz w:val="21"/>
          <w:szCs w:val="21"/>
        </w:rPr>
        <w:t>la documentación aportada se procedió a la elaboración del informe de resultados</w:t>
      </w:r>
      <w:r w:rsidR="00313CE6">
        <w:rPr>
          <w:rFonts w:ascii="Abadi" w:hAnsi="Abadi" w:cs="*Arial-5247-Identity-H"/>
          <w:color w:val="14131A"/>
          <w:sz w:val="21"/>
          <w:szCs w:val="21"/>
        </w:rPr>
        <w:t xml:space="preserve"> </w:t>
      </w:r>
      <w:r w:rsidRPr="00D9374F">
        <w:rPr>
          <w:rFonts w:ascii="Abadi" w:hAnsi="Abadi" w:cs="*Arial-5247-Identity-H"/>
          <w:color w:val="14131A"/>
          <w:sz w:val="21"/>
          <w:szCs w:val="21"/>
        </w:rPr>
        <w:t>materia del presente dictamen.</w:t>
      </w:r>
    </w:p>
    <w:p w14:paraId="4C35829F" w14:textId="77777777" w:rsidR="00C54578" w:rsidRPr="00D9374F" w:rsidRDefault="00C54578" w:rsidP="00C54578">
      <w:pPr>
        <w:autoSpaceDE w:val="0"/>
        <w:autoSpaceDN w:val="0"/>
        <w:adjustRightInd w:val="0"/>
        <w:jc w:val="both"/>
        <w:rPr>
          <w:rFonts w:ascii="Abadi" w:hAnsi="Abadi" w:cs="*Arial-5247-Identity-H"/>
          <w:color w:val="14131A"/>
          <w:sz w:val="21"/>
          <w:szCs w:val="21"/>
        </w:rPr>
      </w:pPr>
    </w:p>
    <w:p w14:paraId="3BE0E8E0" w14:textId="77777777" w:rsidR="00C54578" w:rsidRDefault="00C54578" w:rsidP="00C54578">
      <w:pPr>
        <w:autoSpaceDE w:val="0"/>
        <w:autoSpaceDN w:val="0"/>
        <w:adjustRightInd w:val="0"/>
        <w:ind w:firstLine="708"/>
        <w:jc w:val="both"/>
        <w:rPr>
          <w:rFonts w:ascii="Abadi" w:hAnsi="Abadi" w:cs="*Arial-5247-Identity-H"/>
          <w:color w:val="14131C"/>
          <w:sz w:val="21"/>
          <w:szCs w:val="21"/>
        </w:rPr>
      </w:pPr>
      <w:r w:rsidRPr="00D9374F">
        <w:rPr>
          <w:rFonts w:ascii="Abadi" w:hAnsi="Abadi" w:cs="*Arial-5247-Identity-H"/>
          <w:color w:val="14131C"/>
          <w:sz w:val="21"/>
          <w:szCs w:val="21"/>
        </w:rPr>
        <w:t>El informe de resultados se notificó al presidente municipal de Ocampo,</w:t>
      </w:r>
      <w:r>
        <w:rPr>
          <w:rFonts w:ascii="Abadi" w:hAnsi="Abadi" w:cs="*Arial-5247-Identity-H"/>
          <w:color w:val="14131C"/>
          <w:sz w:val="21"/>
          <w:szCs w:val="21"/>
        </w:rPr>
        <w:t xml:space="preserve"> </w:t>
      </w:r>
      <w:r w:rsidRPr="00D9374F">
        <w:rPr>
          <w:rFonts w:ascii="Abadi" w:hAnsi="Abadi" w:cs="*Arial-5247-Identity-H"/>
          <w:color w:val="14131C"/>
          <w:sz w:val="21"/>
          <w:szCs w:val="21"/>
        </w:rPr>
        <w:t>Gto., el 24 de febrero de 2022.</w:t>
      </w:r>
    </w:p>
    <w:p w14:paraId="3E52AE6B" w14:textId="77777777" w:rsidR="00C54578" w:rsidRPr="00D9374F" w:rsidRDefault="00C54578" w:rsidP="00C54578">
      <w:pPr>
        <w:autoSpaceDE w:val="0"/>
        <w:autoSpaceDN w:val="0"/>
        <w:adjustRightInd w:val="0"/>
        <w:jc w:val="both"/>
        <w:rPr>
          <w:rFonts w:ascii="Abadi" w:hAnsi="Abadi" w:cs="*Arial-5247-Identity-H"/>
          <w:color w:val="14131C"/>
          <w:sz w:val="21"/>
          <w:szCs w:val="21"/>
        </w:rPr>
      </w:pPr>
    </w:p>
    <w:p w14:paraId="04FA1EEF" w14:textId="77777777" w:rsidR="00C54578" w:rsidRDefault="00C54578" w:rsidP="00C54578">
      <w:pPr>
        <w:autoSpaceDE w:val="0"/>
        <w:autoSpaceDN w:val="0"/>
        <w:adjustRightInd w:val="0"/>
        <w:ind w:firstLine="708"/>
        <w:jc w:val="both"/>
        <w:rPr>
          <w:rFonts w:ascii="Abadi" w:hAnsi="Abadi" w:cs="*Arial-5247-Identity-H"/>
          <w:color w:val="14131C"/>
          <w:sz w:val="21"/>
          <w:szCs w:val="21"/>
        </w:rPr>
      </w:pPr>
      <w:r w:rsidRPr="00D9374F">
        <w:rPr>
          <w:rFonts w:ascii="Abadi" w:hAnsi="Abadi" w:cs="*Arial-5247-Identity-H"/>
          <w:color w:val="14131C"/>
          <w:sz w:val="21"/>
          <w:szCs w:val="21"/>
        </w:rPr>
        <w:t>Es importante señalar que de acuerdo a lo previsto en los artículos 60 de la</w:t>
      </w:r>
      <w:r>
        <w:rPr>
          <w:rFonts w:ascii="Abadi" w:hAnsi="Abadi" w:cs="*Arial-5247-Identity-H"/>
          <w:color w:val="14131C"/>
          <w:sz w:val="21"/>
          <w:szCs w:val="21"/>
        </w:rPr>
        <w:t xml:space="preserve"> </w:t>
      </w:r>
      <w:r w:rsidRPr="00D9374F">
        <w:rPr>
          <w:rFonts w:ascii="Abadi" w:hAnsi="Abadi" w:cs="*Arial-5247-Identity-H"/>
          <w:color w:val="14131C"/>
          <w:sz w:val="21"/>
          <w:szCs w:val="21"/>
        </w:rPr>
        <w:t>Ley de Fiscalización Superior del Estado de Guanajuato; y 60 del Reglamento de</w:t>
      </w:r>
      <w:r>
        <w:rPr>
          <w:rFonts w:ascii="Abadi" w:hAnsi="Abadi" w:cs="*Arial-5247-Identity-H"/>
          <w:color w:val="14131C"/>
          <w:sz w:val="21"/>
          <w:szCs w:val="21"/>
        </w:rPr>
        <w:t xml:space="preserve"> </w:t>
      </w:r>
      <w:r w:rsidRPr="00D9374F">
        <w:rPr>
          <w:rFonts w:ascii="Abadi" w:hAnsi="Abadi" w:cs="*Arial-5247-Identity-H"/>
          <w:color w:val="14131C"/>
          <w:sz w:val="21"/>
          <w:szCs w:val="21"/>
        </w:rPr>
        <w:t>la Ley de Fiscalización Superior del Estado de Guanajuato, tratándose de las</w:t>
      </w:r>
      <w:r>
        <w:rPr>
          <w:rFonts w:ascii="Abadi" w:hAnsi="Abadi" w:cs="*Arial-5247-Identity-H"/>
          <w:color w:val="14131C"/>
          <w:sz w:val="21"/>
          <w:szCs w:val="21"/>
        </w:rPr>
        <w:t xml:space="preserve"> </w:t>
      </w:r>
      <w:r w:rsidRPr="00D9374F">
        <w:rPr>
          <w:rFonts w:ascii="Abadi" w:hAnsi="Abadi" w:cs="*Arial-5247-Identity-H"/>
          <w:color w:val="14131C"/>
          <w:sz w:val="21"/>
          <w:szCs w:val="21"/>
        </w:rPr>
        <w:t>auditorías de desempeño es improcedente el recurso de reconsideración en contra</w:t>
      </w:r>
      <w:r>
        <w:rPr>
          <w:rFonts w:ascii="Abadi" w:hAnsi="Abadi" w:cs="*Arial-5247-Identity-H"/>
          <w:color w:val="14131C"/>
          <w:sz w:val="21"/>
          <w:szCs w:val="21"/>
        </w:rPr>
        <w:t xml:space="preserve"> </w:t>
      </w:r>
      <w:r w:rsidRPr="00D9374F">
        <w:rPr>
          <w:rFonts w:ascii="Abadi" w:hAnsi="Abadi" w:cs="*Arial-5247-Identity-H"/>
          <w:color w:val="14131C"/>
          <w:sz w:val="21"/>
          <w:szCs w:val="21"/>
        </w:rPr>
        <w:t>del informe de resultados, por lo que una vez notificado el mismo al sujeto de</w:t>
      </w:r>
      <w:r>
        <w:rPr>
          <w:rFonts w:ascii="Abadi" w:hAnsi="Abadi" w:cs="*Arial-5247-Identity-H"/>
          <w:color w:val="14131C"/>
          <w:sz w:val="21"/>
          <w:szCs w:val="21"/>
        </w:rPr>
        <w:t xml:space="preserve"> </w:t>
      </w:r>
      <w:r w:rsidRPr="00D9374F">
        <w:rPr>
          <w:rFonts w:ascii="Abadi" w:hAnsi="Abadi" w:cs="*Arial-5247-Identity-H"/>
          <w:color w:val="14131C"/>
          <w:sz w:val="21"/>
          <w:szCs w:val="21"/>
        </w:rPr>
        <w:t>fiscalización, se remite al Congreso para los efectos procedentes.</w:t>
      </w:r>
    </w:p>
    <w:p w14:paraId="0A81650F" w14:textId="77777777" w:rsidR="00C54578" w:rsidRPr="00D9374F" w:rsidRDefault="00C54578" w:rsidP="00C54578">
      <w:pPr>
        <w:autoSpaceDE w:val="0"/>
        <w:autoSpaceDN w:val="0"/>
        <w:adjustRightInd w:val="0"/>
        <w:jc w:val="both"/>
        <w:rPr>
          <w:rFonts w:ascii="Abadi" w:hAnsi="Abadi" w:cs="*Arial-5247-Identity-H"/>
          <w:color w:val="14131C"/>
          <w:sz w:val="21"/>
          <w:szCs w:val="21"/>
        </w:rPr>
      </w:pPr>
    </w:p>
    <w:p w14:paraId="210EA6B3" w14:textId="77777777" w:rsidR="00C54578" w:rsidRPr="00D9374F" w:rsidRDefault="00C54578" w:rsidP="00C54578">
      <w:pPr>
        <w:autoSpaceDE w:val="0"/>
        <w:autoSpaceDN w:val="0"/>
        <w:adjustRightInd w:val="0"/>
        <w:ind w:firstLine="708"/>
        <w:jc w:val="both"/>
        <w:rPr>
          <w:rFonts w:ascii="Abadi" w:hAnsi="Abadi" w:cs="*Arial-5247-Identity-H"/>
          <w:color w:val="14131B"/>
          <w:sz w:val="21"/>
          <w:szCs w:val="21"/>
        </w:rPr>
      </w:pPr>
      <w:r w:rsidRPr="00D9374F">
        <w:rPr>
          <w:rFonts w:ascii="Abadi" w:hAnsi="Abadi" w:cs="*Arial-5247-Identity-H"/>
          <w:color w:val="14131B"/>
          <w:sz w:val="21"/>
          <w:szCs w:val="21"/>
        </w:rPr>
        <w:t>En razón de lo anterior, el Auditor Superior del Estado remitió a este</w:t>
      </w:r>
      <w:r>
        <w:rPr>
          <w:rFonts w:ascii="Abadi" w:hAnsi="Abadi" w:cs="*Arial-5247-Identity-H"/>
          <w:color w:val="14131B"/>
          <w:sz w:val="21"/>
          <w:szCs w:val="21"/>
        </w:rPr>
        <w:t xml:space="preserve"> </w:t>
      </w:r>
      <w:r w:rsidRPr="00D9374F">
        <w:rPr>
          <w:rFonts w:ascii="Abadi" w:hAnsi="Abadi" w:cs="*Arial-5247-Identity-H"/>
          <w:color w:val="14131B"/>
          <w:sz w:val="21"/>
          <w:szCs w:val="21"/>
        </w:rPr>
        <w:t>Congreso del Estado, el informe de resultados, el cual se turnó a la Comisión de</w:t>
      </w:r>
      <w:r>
        <w:rPr>
          <w:rFonts w:ascii="Abadi" w:hAnsi="Abadi" w:cs="*Arial-5247-Identity-H"/>
          <w:color w:val="14131B"/>
          <w:sz w:val="21"/>
          <w:szCs w:val="21"/>
        </w:rPr>
        <w:t xml:space="preserve"> </w:t>
      </w:r>
      <w:r w:rsidRPr="00D9374F">
        <w:rPr>
          <w:rFonts w:ascii="Abadi" w:hAnsi="Abadi" w:cs="*Arial-5247-Identity-H"/>
          <w:color w:val="14131B"/>
          <w:sz w:val="21"/>
          <w:szCs w:val="21"/>
        </w:rPr>
        <w:t>Hacienda y Fiscalización el 1 O de marzo de 2022 para su estudio y dictamen,</w:t>
      </w:r>
      <w:r>
        <w:rPr>
          <w:rFonts w:ascii="Abadi" w:hAnsi="Abadi" w:cs="*Arial-5247-Identity-H"/>
          <w:color w:val="14131B"/>
          <w:sz w:val="21"/>
          <w:szCs w:val="21"/>
        </w:rPr>
        <w:t xml:space="preserve"> </w:t>
      </w:r>
      <w:r w:rsidRPr="00D9374F">
        <w:rPr>
          <w:rFonts w:ascii="Abadi" w:hAnsi="Abadi" w:cs="*Arial-5247-Identity-H"/>
          <w:color w:val="14131B"/>
          <w:sz w:val="21"/>
          <w:szCs w:val="21"/>
        </w:rPr>
        <w:t>siendo radicado el 15 de marzo del año en curso.</w:t>
      </w:r>
    </w:p>
    <w:p w14:paraId="4A1DE7FC" w14:textId="77777777" w:rsidR="00C54578" w:rsidRPr="00D9374F" w:rsidRDefault="00C54578" w:rsidP="00C54578">
      <w:pPr>
        <w:autoSpaceDE w:val="0"/>
        <w:autoSpaceDN w:val="0"/>
        <w:adjustRightInd w:val="0"/>
        <w:jc w:val="both"/>
        <w:rPr>
          <w:rFonts w:ascii="Abadi" w:hAnsi="Abadi" w:cs="*Arial-6269-Identity-H"/>
          <w:color w:val="202028"/>
          <w:sz w:val="21"/>
          <w:szCs w:val="21"/>
        </w:rPr>
      </w:pPr>
    </w:p>
    <w:p w14:paraId="785988E8" w14:textId="77777777" w:rsidR="00C54578" w:rsidRPr="00D9374F" w:rsidRDefault="00C54578" w:rsidP="00C54578">
      <w:pPr>
        <w:autoSpaceDE w:val="0"/>
        <w:autoSpaceDN w:val="0"/>
        <w:adjustRightInd w:val="0"/>
        <w:ind w:firstLine="708"/>
        <w:jc w:val="both"/>
        <w:rPr>
          <w:rFonts w:ascii="Abadi" w:hAnsi="Abadi" w:cs="*Arial-6266-Identity-H"/>
          <w:color w:val="15141C"/>
          <w:sz w:val="21"/>
          <w:szCs w:val="21"/>
        </w:rPr>
      </w:pPr>
      <w:r w:rsidRPr="00D9374F">
        <w:rPr>
          <w:rFonts w:ascii="Abadi" w:hAnsi="Abadi" w:cs="*Arial-6266-Identity-H"/>
          <w:color w:val="15141C"/>
          <w:sz w:val="21"/>
          <w:szCs w:val="21"/>
        </w:rPr>
        <w:t>Con fundamento en los artículos 59 de la Ley de Fiscalización Superior del</w:t>
      </w:r>
      <w:r>
        <w:rPr>
          <w:rFonts w:ascii="Abadi" w:hAnsi="Abadi" w:cs="*Arial-6266-Identity-H"/>
          <w:color w:val="15141C"/>
          <w:sz w:val="21"/>
          <w:szCs w:val="21"/>
        </w:rPr>
        <w:t xml:space="preserve"> </w:t>
      </w:r>
      <w:r w:rsidRPr="00D9374F">
        <w:rPr>
          <w:rFonts w:ascii="Abadi" w:hAnsi="Abadi" w:cs="*Arial-6266-Identity-H"/>
          <w:color w:val="15141C"/>
          <w:sz w:val="21"/>
          <w:szCs w:val="21"/>
        </w:rPr>
        <w:t>Estado de Guanajuato y 26 del Reglamento de dicha Ley, el informe de resultados</w:t>
      </w:r>
      <w:r>
        <w:rPr>
          <w:rFonts w:ascii="Abadi" w:hAnsi="Abadi" w:cs="*Arial-6266-Identity-H"/>
          <w:color w:val="15141C"/>
          <w:sz w:val="21"/>
          <w:szCs w:val="21"/>
        </w:rPr>
        <w:t xml:space="preserve"> </w:t>
      </w:r>
      <w:r w:rsidRPr="00D9374F">
        <w:rPr>
          <w:rFonts w:ascii="Abadi" w:hAnsi="Abadi" w:cs="*Arial-6266-Identity-H"/>
          <w:color w:val="15141C"/>
          <w:sz w:val="21"/>
          <w:szCs w:val="21"/>
        </w:rPr>
        <w:t>contiene los siguientes apartados: Introducción; Resultado del Proceso de</w:t>
      </w:r>
      <w:r>
        <w:rPr>
          <w:rFonts w:ascii="Abadi" w:hAnsi="Abadi" w:cs="*Arial-6266-Identity-H"/>
          <w:color w:val="15141C"/>
          <w:sz w:val="21"/>
          <w:szCs w:val="21"/>
        </w:rPr>
        <w:t xml:space="preserve"> </w:t>
      </w:r>
      <w:r w:rsidRPr="00D9374F">
        <w:rPr>
          <w:rFonts w:ascii="Abadi" w:hAnsi="Abadi" w:cs="*Arial-6266-Identity-H"/>
          <w:color w:val="15141C"/>
          <w:sz w:val="21"/>
          <w:szCs w:val="21"/>
        </w:rPr>
        <w:t>Fiscalización; Resumen de las Recomendaciones; y Conclusión General.</w:t>
      </w:r>
    </w:p>
    <w:p w14:paraId="1DE62EBC" w14:textId="77777777" w:rsidR="00C54578" w:rsidRDefault="00C54578" w:rsidP="00C54578">
      <w:pPr>
        <w:autoSpaceDE w:val="0"/>
        <w:autoSpaceDN w:val="0"/>
        <w:adjustRightInd w:val="0"/>
        <w:jc w:val="both"/>
        <w:rPr>
          <w:rFonts w:ascii="Abadi" w:hAnsi="Abadi" w:cs="*Arial-Bold-6268-Identity-H"/>
          <w:b/>
          <w:bCs/>
          <w:color w:val="14131F"/>
          <w:sz w:val="21"/>
          <w:szCs w:val="21"/>
        </w:rPr>
      </w:pPr>
    </w:p>
    <w:p w14:paraId="229B9EEA" w14:textId="77777777" w:rsidR="00C54578" w:rsidRDefault="00C54578" w:rsidP="00C54578">
      <w:pPr>
        <w:autoSpaceDE w:val="0"/>
        <w:autoSpaceDN w:val="0"/>
        <w:adjustRightInd w:val="0"/>
        <w:ind w:firstLine="708"/>
        <w:jc w:val="both"/>
        <w:rPr>
          <w:rFonts w:ascii="Abadi" w:hAnsi="Abadi" w:cs="*Arial-Bold-6268-Identity-H"/>
          <w:b/>
          <w:bCs/>
          <w:color w:val="14131F"/>
          <w:sz w:val="21"/>
          <w:szCs w:val="21"/>
        </w:rPr>
      </w:pPr>
      <w:r w:rsidRPr="00D9374F">
        <w:rPr>
          <w:rFonts w:ascii="Abadi" w:hAnsi="Abadi" w:cs="*Arial-Bold-6268-Identity-H"/>
          <w:b/>
          <w:bCs/>
          <w:color w:val="14131F"/>
          <w:sz w:val="21"/>
          <w:szCs w:val="21"/>
        </w:rPr>
        <w:t>a) Introducción.</w:t>
      </w:r>
    </w:p>
    <w:p w14:paraId="472C4ED3" w14:textId="77777777" w:rsidR="00C54578" w:rsidRPr="00D9374F" w:rsidRDefault="00C54578" w:rsidP="00C54578">
      <w:pPr>
        <w:autoSpaceDE w:val="0"/>
        <w:autoSpaceDN w:val="0"/>
        <w:adjustRightInd w:val="0"/>
        <w:jc w:val="both"/>
        <w:rPr>
          <w:rFonts w:ascii="Abadi" w:hAnsi="Abadi" w:cs="*Arial-Bold-6268-Identity-H"/>
          <w:b/>
          <w:bCs/>
          <w:color w:val="14131F"/>
          <w:sz w:val="21"/>
          <w:szCs w:val="21"/>
        </w:rPr>
      </w:pPr>
    </w:p>
    <w:p w14:paraId="09D8CA00" w14:textId="77777777" w:rsidR="00C54578" w:rsidRDefault="00C54578" w:rsidP="00C54578">
      <w:pPr>
        <w:autoSpaceDE w:val="0"/>
        <w:autoSpaceDN w:val="0"/>
        <w:adjustRightInd w:val="0"/>
        <w:ind w:firstLine="708"/>
        <w:jc w:val="both"/>
        <w:rPr>
          <w:rFonts w:ascii="Abadi" w:hAnsi="Abadi" w:cs="*Arial-6266-Identity-H"/>
          <w:color w:val="15141C"/>
          <w:sz w:val="21"/>
          <w:szCs w:val="21"/>
        </w:rPr>
      </w:pPr>
      <w:r w:rsidRPr="00D9374F">
        <w:rPr>
          <w:rFonts w:ascii="Abadi" w:hAnsi="Abadi" w:cs="*Arial-6266-Identity-H"/>
          <w:color w:val="15141C"/>
          <w:sz w:val="21"/>
          <w:szCs w:val="21"/>
        </w:rPr>
        <w:t>Por lo que se refiere a esta parte, se señala que las auditorías de</w:t>
      </w:r>
      <w:r>
        <w:rPr>
          <w:rFonts w:ascii="Abadi" w:hAnsi="Abadi" w:cs="*Arial-6266-Identity-H"/>
          <w:color w:val="15141C"/>
          <w:sz w:val="21"/>
          <w:szCs w:val="21"/>
        </w:rPr>
        <w:t xml:space="preserve"> </w:t>
      </w:r>
      <w:r w:rsidRPr="00D9374F">
        <w:rPr>
          <w:rFonts w:ascii="Abadi" w:hAnsi="Abadi" w:cs="*Arial-6266-Identity-H"/>
          <w:color w:val="15141C"/>
          <w:sz w:val="21"/>
          <w:szCs w:val="21"/>
        </w:rPr>
        <w:t>desempeño son actos de fiscalización, esa es su esencia.</w:t>
      </w:r>
    </w:p>
    <w:p w14:paraId="5CCA1134" w14:textId="77777777" w:rsidR="00C54578" w:rsidRPr="00D9374F" w:rsidRDefault="00C54578" w:rsidP="00C54578">
      <w:pPr>
        <w:autoSpaceDE w:val="0"/>
        <w:autoSpaceDN w:val="0"/>
        <w:adjustRightInd w:val="0"/>
        <w:jc w:val="both"/>
        <w:rPr>
          <w:rFonts w:ascii="Abadi" w:hAnsi="Abadi" w:cs="*Arial-6266-Identity-H"/>
          <w:color w:val="15141C"/>
          <w:sz w:val="21"/>
          <w:szCs w:val="21"/>
        </w:rPr>
      </w:pPr>
    </w:p>
    <w:p w14:paraId="4F02E25D" w14:textId="77777777" w:rsidR="00C54578" w:rsidRDefault="00C54578" w:rsidP="00C54578">
      <w:pPr>
        <w:autoSpaceDE w:val="0"/>
        <w:autoSpaceDN w:val="0"/>
        <w:adjustRightInd w:val="0"/>
        <w:ind w:firstLine="708"/>
        <w:jc w:val="both"/>
        <w:rPr>
          <w:rFonts w:ascii="Abadi" w:hAnsi="Abadi" w:cs="*Arial-6266-Identity-H"/>
          <w:color w:val="14141C"/>
          <w:sz w:val="21"/>
          <w:szCs w:val="21"/>
        </w:rPr>
      </w:pPr>
      <w:r w:rsidRPr="00D9374F">
        <w:rPr>
          <w:rFonts w:ascii="Abadi" w:hAnsi="Abadi" w:cs="*Arial-6266-Identity-H"/>
          <w:color w:val="14141C"/>
          <w:sz w:val="21"/>
          <w:szCs w:val="21"/>
        </w:rPr>
        <w:t>Es así, que la naturaleza técnico-jurídica de las auditorías de desempeño</w:t>
      </w:r>
      <w:r>
        <w:rPr>
          <w:rFonts w:ascii="Abadi" w:hAnsi="Abadi" w:cs="*Arial-6266-Identity-H"/>
          <w:color w:val="14141C"/>
          <w:sz w:val="21"/>
          <w:szCs w:val="21"/>
        </w:rPr>
        <w:t xml:space="preserve"> </w:t>
      </w:r>
      <w:r w:rsidRPr="00D9374F">
        <w:rPr>
          <w:rFonts w:ascii="Abadi" w:hAnsi="Abadi" w:cs="*Arial-6266-Identity-H"/>
          <w:color w:val="14141C"/>
          <w:sz w:val="21"/>
          <w:szCs w:val="21"/>
        </w:rPr>
        <w:t>difiere de otras auditorías, pues el resultado se expresa con la emisión, en su</w:t>
      </w:r>
      <w:r>
        <w:rPr>
          <w:rFonts w:ascii="Abadi" w:hAnsi="Abadi" w:cs="*Arial-6266-Identity-H"/>
          <w:color w:val="14141C"/>
          <w:sz w:val="21"/>
          <w:szCs w:val="21"/>
        </w:rPr>
        <w:t xml:space="preserve"> </w:t>
      </w:r>
      <w:r w:rsidRPr="00D9374F">
        <w:rPr>
          <w:rFonts w:ascii="Abadi" w:hAnsi="Abadi" w:cs="*Arial-6266-Identity-H"/>
          <w:color w:val="14141C"/>
          <w:sz w:val="21"/>
          <w:szCs w:val="21"/>
        </w:rPr>
        <w:t>caso, de exclusivamente recomendaciones, distinguiéndose de otros actos de</w:t>
      </w:r>
      <w:r>
        <w:rPr>
          <w:rFonts w:ascii="Abadi" w:hAnsi="Abadi" w:cs="*Arial-6266-Identity-H"/>
          <w:color w:val="14141C"/>
          <w:sz w:val="21"/>
          <w:szCs w:val="21"/>
        </w:rPr>
        <w:t xml:space="preserve"> </w:t>
      </w:r>
      <w:r w:rsidRPr="00D9374F">
        <w:rPr>
          <w:rFonts w:ascii="Abadi" w:hAnsi="Abadi" w:cs="*Arial-6266-Identity-H"/>
          <w:color w:val="14141C"/>
          <w:sz w:val="21"/>
          <w:szCs w:val="21"/>
        </w:rPr>
        <w:t>fiscalización o control que pueden arrojar observaciones. Se trata de una tarea</w:t>
      </w:r>
      <w:r>
        <w:rPr>
          <w:rFonts w:ascii="Abadi" w:hAnsi="Abadi" w:cs="*Arial-6266-Identity-H"/>
          <w:color w:val="14141C"/>
          <w:sz w:val="21"/>
          <w:szCs w:val="21"/>
        </w:rPr>
        <w:t xml:space="preserve"> </w:t>
      </w:r>
      <w:r w:rsidRPr="00D9374F">
        <w:rPr>
          <w:rFonts w:ascii="Abadi" w:hAnsi="Abadi" w:cs="*Arial-6266-Identity-H"/>
          <w:color w:val="14141C"/>
          <w:sz w:val="21"/>
          <w:szCs w:val="21"/>
        </w:rPr>
        <w:t>reglada y sistémica de evaluación para la mejora continua, detectando</w:t>
      </w:r>
      <w:r>
        <w:rPr>
          <w:rFonts w:ascii="Abadi" w:hAnsi="Abadi" w:cs="*Arial-6266-Identity-H"/>
          <w:color w:val="14141C"/>
          <w:sz w:val="21"/>
          <w:szCs w:val="21"/>
        </w:rPr>
        <w:t xml:space="preserve"> </w:t>
      </w:r>
      <w:r w:rsidRPr="00D9374F">
        <w:rPr>
          <w:rFonts w:ascii="Abadi" w:hAnsi="Abadi" w:cs="*Arial-6266-Identity-H"/>
          <w:color w:val="14141C"/>
          <w:sz w:val="21"/>
          <w:szCs w:val="21"/>
        </w:rPr>
        <w:t>debilidades, áreas de oportunidad, amenazas e incluso fortalezas en el ámbito</w:t>
      </w:r>
      <w:r>
        <w:rPr>
          <w:rFonts w:ascii="Abadi" w:hAnsi="Abadi" w:cs="*Arial-6266-Identity-H"/>
          <w:color w:val="14141C"/>
          <w:sz w:val="21"/>
          <w:szCs w:val="21"/>
        </w:rPr>
        <w:t xml:space="preserve"> </w:t>
      </w:r>
      <w:r w:rsidRPr="00D9374F">
        <w:rPr>
          <w:rFonts w:ascii="Abadi" w:hAnsi="Abadi" w:cs="*Arial-6266-Identity-H"/>
          <w:color w:val="14141C"/>
          <w:sz w:val="21"/>
          <w:szCs w:val="21"/>
        </w:rPr>
        <w:t>público, pero promoviendo además acciones concretas que permitan superar o</w:t>
      </w:r>
      <w:r>
        <w:rPr>
          <w:rFonts w:ascii="Abadi" w:hAnsi="Abadi" w:cs="*Arial-6266-Identity-H"/>
          <w:color w:val="14141C"/>
          <w:sz w:val="21"/>
          <w:szCs w:val="21"/>
        </w:rPr>
        <w:t xml:space="preserve"> </w:t>
      </w:r>
      <w:r w:rsidRPr="00D9374F">
        <w:rPr>
          <w:rFonts w:ascii="Abadi" w:hAnsi="Abadi" w:cs="*Arial-6266-Identity-H"/>
          <w:color w:val="14141C"/>
          <w:sz w:val="21"/>
          <w:szCs w:val="21"/>
        </w:rPr>
        <w:t>potenciar las mismas, dando adicionalmente seguimiento a su eventual</w:t>
      </w:r>
      <w:r>
        <w:rPr>
          <w:rFonts w:ascii="Abadi" w:hAnsi="Abadi" w:cs="*Arial-6266-Identity-H"/>
          <w:color w:val="14141C"/>
          <w:sz w:val="21"/>
          <w:szCs w:val="21"/>
        </w:rPr>
        <w:t xml:space="preserve"> </w:t>
      </w:r>
      <w:r w:rsidRPr="00D9374F">
        <w:rPr>
          <w:rFonts w:ascii="Abadi" w:hAnsi="Abadi" w:cs="*Arial-6266-Identity-H"/>
          <w:color w:val="14141C"/>
          <w:sz w:val="21"/>
          <w:szCs w:val="21"/>
        </w:rPr>
        <w:t>implementación por los sujetos públicos responsables.</w:t>
      </w:r>
    </w:p>
    <w:p w14:paraId="3CB2E7E5" w14:textId="77777777" w:rsidR="00C54578" w:rsidRPr="00D9374F" w:rsidRDefault="00C54578" w:rsidP="00C54578">
      <w:pPr>
        <w:autoSpaceDE w:val="0"/>
        <w:autoSpaceDN w:val="0"/>
        <w:adjustRightInd w:val="0"/>
        <w:jc w:val="both"/>
        <w:rPr>
          <w:rFonts w:ascii="Abadi" w:hAnsi="Abadi" w:cs="*Arial-6266-Identity-H"/>
          <w:color w:val="14141C"/>
          <w:sz w:val="21"/>
          <w:szCs w:val="21"/>
        </w:rPr>
      </w:pPr>
    </w:p>
    <w:p w14:paraId="36771B6D" w14:textId="77777777" w:rsidR="00C54578" w:rsidRPr="00D9374F" w:rsidRDefault="00C54578" w:rsidP="00C54578">
      <w:pPr>
        <w:autoSpaceDE w:val="0"/>
        <w:autoSpaceDN w:val="0"/>
        <w:adjustRightInd w:val="0"/>
        <w:ind w:firstLine="708"/>
        <w:jc w:val="both"/>
        <w:rPr>
          <w:rFonts w:ascii="Abadi" w:hAnsi="Abadi" w:cs="*Arial-6266-Identity-H"/>
          <w:color w:val="15141C"/>
          <w:sz w:val="21"/>
          <w:szCs w:val="21"/>
        </w:rPr>
      </w:pPr>
      <w:r w:rsidRPr="00D9374F">
        <w:rPr>
          <w:rFonts w:ascii="Abadi" w:hAnsi="Abadi" w:cs="*Arial-6266-Identity-H"/>
          <w:color w:val="14141B"/>
          <w:sz w:val="21"/>
          <w:szCs w:val="21"/>
        </w:rPr>
        <w:t>En dichas auditorías, con independencia de su enfoque, se debe planear</w:t>
      </w:r>
      <w:r>
        <w:rPr>
          <w:rFonts w:ascii="Abadi" w:hAnsi="Abadi" w:cs="*Arial-6266-Identity-H"/>
          <w:color w:val="14141B"/>
          <w:sz w:val="21"/>
          <w:szCs w:val="21"/>
        </w:rPr>
        <w:t xml:space="preserve"> </w:t>
      </w:r>
      <w:r w:rsidRPr="00D9374F">
        <w:rPr>
          <w:rFonts w:ascii="Abadi" w:hAnsi="Abadi" w:cs="*Arial-6266-Identity-H"/>
          <w:color w:val="14141B"/>
          <w:sz w:val="21"/>
          <w:szCs w:val="21"/>
        </w:rPr>
        <w:t>con toda claridad y con base en la evidencia competente, suficiente, pertinente,</w:t>
      </w:r>
      <w:r>
        <w:rPr>
          <w:rFonts w:ascii="Abadi" w:hAnsi="Abadi" w:cs="*Arial-6266-Identity-H"/>
          <w:color w:val="14141B"/>
          <w:sz w:val="21"/>
          <w:szCs w:val="21"/>
        </w:rPr>
        <w:t xml:space="preserve"> </w:t>
      </w:r>
      <w:r w:rsidRPr="00D9374F">
        <w:rPr>
          <w:rFonts w:ascii="Abadi" w:hAnsi="Abadi" w:cs="*Arial-6266-Identity-H"/>
          <w:color w:val="14141B"/>
          <w:sz w:val="21"/>
          <w:szCs w:val="21"/>
        </w:rPr>
        <w:t>relevante y oportuna, las conclusiones del proceso de fiscalización,</w:t>
      </w:r>
      <w:r>
        <w:rPr>
          <w:rFonts w:ascii="Abadi" w:hAnsi="Abadi" w:cs="*Arial-6266-Identity-H"/>
          <w:color w:val="14141B"/>
          <w:sz w:val="21"/>
          <w:szCs w:val="21"/>
        </w:rPr>
        <w:t xml:space="preserve"> </w:t>
      </w:r>
      <w:r w:rsidRPr="00D9374F">
        <w:rPr>
          <w:rFonts w:ascii="Abadi" w:hAnsi="Abadi" w:cs="*Arial-6266-Identity-H"/>
          <w:color w:val="14141B"/>
          <w:sz w:val="21"/>
          <w:szCs w:val="21"/>
        </w:rPr>
        <w:t>puntualizándose las recomendaciones formuladas en su caso.</w:t>
      </w:r>
      <w:r>
        <w:rPr>
          <w:rFonts w:ascii="Abadi" w:hAnsi="Abadi" w:cs="*Arial-6266-Identity-H"/>
          <w:color w:val="14141B"/>
          <w:sz w:val="21"/>
          <w:szCs w:val="21"/>
        </w:rPr>
        <w:t xml:space="preserve"> </w:t>
      </w:r>
      <w:r w:rsidRPr="00D9374F">
        <w:rPr>
          <w:rFonts w:ascii="Abadi" w:hAnsi="Abadi" w:cs="*Arial-6266-Identity-H"/>
          <w:color w:val="15141C"/>
          <w:sz w:val="21"/>
          <w:szCs w:val="21"/>
        </w:rPr>
        <w:t>Respect</w:t>
      </w:r>
      <w:r>
        <w:rPr>
          <w:rFonts w:ascii="Abadi" w:eastAsia="Abadi" w:hAnsi="Abadi" w:cs="Abadi"/>
          <w:color w:val="15141C"/>
          <w:sz w:val="21"/>
          <w:szCs w:val="21"/>
        </w:rPr>
        <w:t>o</w:t>
      </w:r>
      <w:r w:rsidRPr="00D9374F">
        <w:rPr>
          <w:rFonts w:ascii="Abadi" w:hAnsi="Abadi" w:cs="*Arial-6266-Identity-H"/>
          <w:color w:val="15141C"/>
          <w:sz w:val="21"/>
          <w:szCs w:val="21"/>
        </w:rPr>
        <w:t xml:space="preserve"> al marco competencia!, se precisa la normatividad aplicable a la</w:t>
      </w:r>
      <w:r>
        <w:rPr>
          <w:rFonts w:ascii="Abadi" w:hAnsi="Abadi" w:cs="*Arial-6266-Identity-H"/>
          <w:color w:val="15141C"/>
          <w:sz w:val="21"/>
          <w:szCs w:val="21"/>
        </w:rPr>
        <w:t xml:space="preserve"> </w:t>
      </w:r>
      <w:r w:rsidRPr="00D9374F">
        <w:rPr>
          <w:rFonts w:ascii="Abadi" w:hAnsi="Abadi" w:cs="*Arial-6266-Identity-H"/>
          <w:color w:val="15141C"/>
          <w:sz w:val="21"/>
          <w:szCs w:val="21"/>
        </w:rPr>
        <w:t>función de fiscalización a cargo del Poder Legislativo del Estado, siendo esta:</w:t>
      </w:r>
      <w:r>
        <w:rPr>
          <w:rFonts w:ascii="Abadi" w:hAnsi="Abadi" w:cs="*Arial-6266-Identity-H"/>
          <w:color w:val="15141C"/>
          <w:sz w:val="21"/>
          <w:szCs w:val="21"/>
        </w:rPr>
        <w:t xml:space="preserve"> </w:t>
      </w:r>
      <w:r w:rsidRPr="00D9374F">
        <w:rPr>
          <w:rFonts w:ascii="Abadi" w:hAnsi="Abadi" w:cs="*Arial-6266-Identity-H"/>
          <w:color w:val="15141C"/>
          <w:sz w:val="21"/>
          <w:szCs w:val="21"/>
        </w:rPr>
        <w:t>artículos 116, fracción II y 134 de la Constitución Política de los Estados Unidos</w:t>
      </w:r>
      <w:r>
        <w:rPr>
          <w:rFonts w:ascii="Abadi" w:hAnsi="Abadi" w:cs="*Arial-6266-Identity-H"/>
          <w:color w:val="15141C"/>
          <w:sz w:val="21"/>
          <w:szCs w:val="21"/>
        </w:rPr>
        <w:t xml:space="preserve"> </w:t>
      </w:r>
      <w:r w:rsidRPr="00D9374F">
        <w:rPr>
          <w:rFonts w:ascii="Abadi" w:hAnsi="Abadi" w:cs="*Arial-6266-Identity-H"/>
          <w:color w:val="15141C"/>
          <w:sz w:val="21"/>
          <w:szCs w:val="21"/>
        </w:rPr>
        <w:t xml:space="preserve">Mexicanos; 2, párrafo primero, 63, fracción XIX y 66, fracciones </w:t>
      </w:r>
      <w:r>
        <w:rPr>
          <w:rFonts w:ascii="Abadi" w:hAnsi="Abadi" w:cs="*Arial-6266-Identity-H"/>
          <w:color w:val="15141C"/>
          <w:sz w:val="21"/>
          <w:szCs w:val="21"/>
        </w:rPr>
        <w:t>I</w:t>
      </w:r>
      <w:r w:rsidRPr="00D9374F">
        <w:rPr>
          <w:rFonts w:ascii="Abadi" w:hAnsi="Abadi" w:cs="*Arial-6266-Identity-H"/>
          <w:color w:val="15141C"/>
          <w:sz w:val="21"/>
          <w:szCs w:val="21"/>
        </w:rPr>
        <w:t xml:space="preserve">, </w:t>
      </w:r>
      <w:r>
        <w:rPr>
          <w:rFonts w:ascii="Abadi" w:hAnsi="Abadi" w:cs="*Arial-6266-Identity-H"/>
          <w:color w:val="15141C"/>
          <w:sz w:val="21"/>
          <w:szCs w:val="21"/>
        </w:rPr>
        <w:t>II</w:t>
      </w:r>
      <w:r w:rsidRPr="00D9374F">
        <w:rPr>
          <w:rFonts w:ascii="Abadi" w:hAnsi="Abadi" w:cs="*Arial-6266-Identity-H"/>
          <w:color w:val="15141C"/>
          <w:sz w:val="21"/>
          <w:szCs w:val="21"/>
        </w:rPr>
        <w:t xml:space="preserve"> y IV de la</w:t>
      </w:r>
      <w:r>
        <w:rPr>
          <w:rFonts w:ascii="Abadi" w:hAnsi="Abadi" w:cs="*Arial-6266-Identity-H"/>
          <w:color w:val="15141C"/>
          <w:sz w:val="21"/>
          <w:szCs w:val="21"/>
        </w:rPr>
        <w:t xml:space="preserve"> </w:t>
      </w:r>
      <w:r w:rsidRPr="00D9374F">
        <w:rPr>
          <w:rFonts w:ascii="Abadi" w:hAnsi="Abadi" w:cs="*Arial-6266-Identity-H"/>
          <w:color w:val="15141C"/>
          <w:sz w:val="21"/>
          <w:szCs w:val="21"/>
        </w:rPr>
        <w:t xml:space="preserve">Constitución Política para el Estado de Guanajuato; 1, 2, fracciones II y </w:t>
      </w:r>
      <w:r>
        <w:rPr>
          <w:rFonts w:ascii="Abadi" w:hAnsi="Abadi" w:cs="*Arial-6266-Identity-H"/>
          <w:color w:val="15141C"/>
          <w:sz w:val="21"/>
          <w:szCs w:val="21"/>
        </w:rPr>
        <w:t>III</w:t>
      </w:r>
      <w:r w:rsidRPr="00D9374F">
        <w:rPr>
          <w:rFonts w:ascii="Abadi" w:hAnsi="Abadi" w:cs="*Arial-6266-Identity-H"/>
          <w:color w:val="15141C"/>
          <w:sz w:val="21"/>
          <w:szCs w:val="21"/>
        </w:rPr>
        <w:t>, 3,</w:t>
      </w:r>
      <w:r>
        <w:rPr>
          <w:rFonts w:ascii="Abadi" w:hAnsi="Abadi" w:cs="*Arial-6266-Identity-H"/>
          <w:color w:val="15141C"/>
          <w:sz w:val="21"/>
          <w:szCs w:val="21"/>
        </w:rPr>
        <w:t xml:space="preserve"> </w:t>
      </w:r>
      <w:r w:rsidRPr="00D9374F">
        <w:rPr>
          <w:rFonts w:ascii="Abadi" w:hAnsi="Abadi" w:cs="*Arial-6266-Identity-H"/>
          <w:color w:val="15141C"/>
          <w:sz w:val="21"/>
          <w:szCs w:val="21"/>
        </w:rPr>
        <w:t xml:space="preserve">fracciones </w:t>
      </w:r>
      <w:r>
        <w:rPr>
          <w:rFonts w:ascii="Abadi" w:hAnsi="Abadi" w:cs="*Arial-6266-Identity-H"/>
          <w:color w:val="15141C"/>
          <w:sz w:val="21"/>
          <w:szCs w:val="21"/>
        </w:rPr>
        <w:t>I</w:t>
      </w:r>
      <w:r w:rsidRPr="00D9374F">
        <w:rPr>
          <w:rFonts w:ascii="Abadi" w:hAnsi="Abadi" w:cs="*Arial-6266-Identity-H"/>
          <w:color w:val="15141C"/>
          <w:sz w:val="21"/>
          <w:szCs w:val="21"/>
        </w:rPr>
        <w:t xml:space="preserve">, </w:t>
      </w:r>
      <w:r>
        <w:rPr>
          <w:rFonts w:ascii="Abadi" w:hAnsi="Abadi" w:cs="*Arial-6266-Identity-H"/>
          <w:color w:val="15141C"/>
          <w:sz w:val="21"/>
          <w:szCs w:val="21"/>
        </w:rPr>
        <w:t>II</w:t>
      </w:r>
      <w:r w:rsidRPr="00D9374F">
        <w:rPr>
          <w:rFonts w:ascii="Abadi" w:hAnsi="Abadi" w:cs="*Arial-6266-Identity-H"/>
          <w:color w:val="15141C"/>
          <w:sz w:val="21"/>
          <w:szCs w:val="21"/>
        </w:rPr>
        <w:t xml:space="preserve">, V y XI, 4, 6, 7, </w:t>
      </w:r>
      <w:r>
        <w:rPr>
          <w:rFonts w:ascii="Abadi" w:hAnsi="Abadi" w:cs="*Arial-6266-Identity-H"/>
          <w:color w:val="15141C"/>
          <w:sz w:val="21"/>
          <w:szCs w:val="21"/>
        </w:rPr>
        <w:t>II</w:t>
      </w:r>
      <w:r w:rsidRPr="00D9374F">
        <w:rPr>
          <w:rFonts w:ascii="Abadi" w:hAnsi="Abadi" w:cs="*Arial-6266-Identity-H"/>
          <w:color w:val="15141C"/>
          <w:sz w:val="21"/>
          <w:szCs w:val="21"/>
        </w:rPr>
        <w:t xml:space="preserve">, 14, 16, 24, 25, 26, 30, 31, 37, fracción </w:t>
      </w:r>
      <w:r>
        <w:rPr>
          <w:rFonts w:ascii="Abadi" w:hAnsi="Abadi" w:cs="*Arial-6266-Identity-H"/>
          <w:color w:val="15141C"/>
          <w:sz w:val="21"/>
          <w:szCs w:val="21"/>
        </w:rPr>
        <w:t>III</w:t>
      </w:r>
      <w:r w:rsidRPr="00D9374F">
        <w:rPr>
          <w:rFonts w:ascii="Abadi" w:hAnsi="Abadi" w:cs="*Arial-6266-Identity-H"/>
          <w:color w:val="15141C"/>
          <w:sz w:val="21"/>
          <w:szCs w:val="21"/>
        </w:rPr>
        <w:t>, 56, 57,</w:t>
      </w:r>
      <w:r>
        <w:rPr>
          <w:rFonts w:ascii="Abadi" w:hAnsi="Abadi" w:cs="*Arial-6266-Identity-H"/>
          <w:color w:val="15141C"/>
          <w:sz w:val="21"/>
          <w:szCs w:val="21"/>
        </w:rPr>
        <w:t xml:space="preserve"> </w:t>
      </w:r>
      <w:r w:rsidRPr="00D9374F">
        <w:rPr>
          <w:rFonts w:ascii="Abadi" w:hAnsi="Abadi" w:cs="*Arial-6266-Identity-H"/>
          <w:color w:val="15141C"/>
          <w:sz w:val="21"/>
          <w:szCs w:val="21"/>
        </w:rPr>
        <w:t xml:space="preserve">58, 59, 60, 82, fracciones </w:t>
      </w:r>
      <w:r>
        <w:rPr>
          <w:rFonts w:ascii="Abadi" w:hAnsi="Abadi" w:cs="*Arial-6266-Identity-H"/>
          <w:color w:val="15141C"/>
          <w:sz w:val="21"/>
          <w:szCs w:val="21"/>
        </w:rPr>
        <w:t>II</w:t>
      </w:r>
      <w:r w:rsidRPr="00D9374F">
        <w:rPr>
          <w:rFonts w:ascii="Abadi" w:hAnsi="Abadi" w:cs="*Arial-6266-Identity-H"/>
          <w:color w:val="15141C"/>
          <w:sz w:val="21"/>
          <w:szCs w:val="21"/>
        </w:rPr>
        <w:t xml:space="preserve">, IV, </w:t>
      </w:r>
      <w:r w:rsidRPr="00B826AF">
        <w:rPr>
          <w:rFonts w:ascii="Abadi" w:hAnsi="Abadi" w:cs="*Arial-Bold-6267-Identity-H"/>
          <w:color w:val="15141C"/>
          <w:sz w:val="21"/>
          <w:szCs w:val="21"/>
        </w:rPr>
        <w:t xml:space="preserve">XXIX, XXXII </w:t>
      </w:r>
      <w:r w:rsidRPr="00B826AF">
        <w:rPr>
          <w:rFonts w:ascii="Abadi" w:hAnsi="Abadi" w:cs="*Arial-6266-Identity-H"/>
          <w:color w:val="15141C"/>
          <w:sz w:val="21"/>
          <w:szCs w:val="21"/>
        </w:rPr>
        <w:t xml:space="preserve">y </w:t>
      </w:r>
      <w:r w:rsidRPr="00B826AF">
        <w:rPr>
          <w:rFonts w:ascii="Abadi" w:hAnsi="Abadi" w:cs="*Arial-Bold-6267-Identity-H"/>
          <w:color w:val="15141C"/>
          <w:sz w:val="21"/>
          <w:szCs w:val="21"/>
        </w:rPr>
        <w:t xml:space="preserve">XXXV </w:t>
      </w:r>
      <w:r w:rsidRPr="00B826AF">
        <w:rPr>
          <w:rFonts w:ascii="Abadi" w:hAnsi="Abadi" w:cs="*Arial-6266-Identity-H"/>
          <w:color w:val="15141C"/>
          <w:sz w:val="21"/>
          <w:szCs w:val="21"/>
        </w:rPr>
        <w:t>y 87, fracciones V, XII y XXVI de la Ley de Fiscalización Superior del Estado de</w:t>
      </w:r>
      <w:r w:rsidRPr="00D9374F">
        <w:rPr>
          <w:rFonts w:ascii="Abadi" w:hAnsi="Abadi" w:cs="*Arial-6266-Identity-H"/>
          <w:color w:val="15141C"/>
          <w:sz w:val="21"/>
          <w:szCs w:val="21"/>
        </w:rPr>
        <w:t xml:space="preserve"> Guanajuato; 1, 3, </w:t>
      </w:r>
      <w:r>
        <w:rPr>
          <w:rFonts w:ascii="Abadi" w:hAnsi="Abadi" w:cs="*Arial-6266-Identity-H"/>
          <w:color w:val="15141C"/>
          <w:sz w:val="21"/>
          <w:szCs w:val="21"/>
        </w:rPr>
        <w:t>10</w:t>
      </w:r>
      <w:r w:rsidRPr="00D9374F">
        <w:rPr>
          <w:rFonts w:ascii="Abadi" w:hAnsi="Abadi" w:cs="*Arial-6266-Identity-H"/>
          <w:color w:val="15141C"/>
          <w:sz w:val="21"/>
          <w:szCs w:val="21"/>
        </w:rPr>
        <w:t>, 13,</w:t>
      </w:r>
      <w:r>
        <w:rPr>
          <w:rFonts w:ascii="Abadi" w:hAnsi="Abadi" w:cs="*Arial-6266-Identity-H"/>
          <w:color w:val="15141C"/>
          <w:sz w:val="21"/>
          <w:szCs w:val="21"/>
        </w:rPr>
        <w:t xml:space="preserve"> </w:t>
      </w:r>
      <w:r w:rsidRPr="00D9374F">
        <w:rPr>
          <w:rFonts w:ascii="Abadi" w:hAnsi="Abadi" w:cs="*Arial-6266-Identity-H"/>
          <w:color w:val="15141C"/>
          <w:sz w:val="21"/>
          <w:szCs w:val="21"/>
        </w:rPr>
        <w:t>18, 20, 27, 43, 44, 45, 46, 47, 48 y 49 del Reglamento de la Ley de Fiscalización</w:t>
      </w:r>
      <w:r>
        <w:rPr>
          <w:rFonts w:ascii="Abadi" w:hAnsi="Abadi" w:cs="*Arial-6266-Identity-H"/>
          <w:color w:val="15141C"/>
          <w:sz w:val="21"/>
          <w:szCs w:val="21"/>
        </w:rPr>
        <w:t xml:space="preserve"> </w:t>
      </w:r>
      <w:r w:rsidRPr="00D9374F">
        <w:rPr>
          <w:rFonts w:ascii="Abadi" w:hAnsi="Abadi" w:cs="*Arial-6266-Identity-H"/>
          <w:color w:val="15141C"/>
          <w:sz w:val="21"/>
          <w:szCs w:val="21"/>
        </w:rPr>
        <w:t xml:space="preserve">Superior del Estado de Guanajuato; 1, 7, segundo párrafo, 8, fracción </w:t>
      </w:r>
      <w:r>
        <w:rPr>
          <w:rFonts w:ascii="Abadi" w:hAnsi="Abadi" w:cs="*Arial-6266-Identity-H"/>
          <w:color w:val="15141C"/>
          <w:sz w:val="21"/>
          <w:szCs w:val="21"/>
        </w:rPr>
        <w:t>I</w:t>
      </w:r>
      <w:r w:rsidRPr="00D9374F">
        <w:rPr>
          <w:rFonts w:ascii="Abadi" w:hAnsi="Abadi" w:cs="*Arial-6266-Identity-H"/>
          <w:color w:val="15141C"/>
          <w:sz w:val="21"/>
          <w:szCs w:val="21"/>
        </w:rPr>
        <w:t>, 9, fracción</w:t>
      </w:r>
      <w:r>
        <w:rPr>
          <w:rFonts w:ascii="Abadi" w:hAnsi="Abadi" w:cs="*Arial-6266-Identity-H"/>
          <w:color w:val="15141C"/>
          <w:sz w:val="21"/>
          <w:szCs w:val="21"/>
        </w:rPr>
        <w:t xml:space="preserve"> </w:t>
      </w:r>
      <w:r w:rsidRPr="00D9374F">
        <w:rPr>
          <w:rFonts w:ascii="Abadi" w:hAnsi="Abadi" w:cs="*Arial-6266-Identity-H"/>
          <w:color w:val="15141C"/>
          <w:sz w:val="21"/>
          <w:szCs w:val="21"/>
        </w:rPr>
        <w:t xml:space="preserve">XVII, 10 fracciones </w:t>
      </w:r>
      <w:r>
        <w:rPr>
          <w:rFonts w:ascii="Abadi" w:hAnsi="Abadi" w:cs="*Arial-6266-Identity-H"/>
          <w:color w:val="15141C"/>
          <w:sz w:val="21"/>
          <w:szCs w:val="21"/>
        </w:rPr>
        <w:t>III</w:t>
      </w:r>
      <w:r w:rsidRPr="00D9374F">
        <w:rPr>
          <w:rFonts w:ascii="Abadi" w:hAnsi="Abadi" w:cs="*Arial-6266-Identity-H"/>
          <w:color w:val="15141C"/>
          <w:sz w:val="21"/>
          <w:szCs w:val="21"/>
        </w:rPr>
        <w:t>; XVII, XIX y XX, 14 y 16 del Reglamento Interior de la</w:t>
      </w:r>
      <w:r>
        <w:rPr>
          <w:rFonts w:ascii="Abadi" w:hAnsi="Abadi" w:cs="*Arial-6266-Identity-H"/>
          <w:color w:val="15141C"/>
          <w:sz w:val="21"/>
          <w:szCs w:val="21"/>
        </w:rPr>
        <w:t xml:space="preserve"> </w:t>
      </w:r>
      <w:r w:rsidRPr="00D9374F">
        <w:rPr>
          <w:rFonts w:ascii="Abadi" w:hAnsi="Abadi" w:cs="*Arial-6266-Identity-H"/>
          <w:color w:val="15141C"/>
          <w:sz w:val="21"/>
          <w:szCs w:val="21"/>
        </w:rPr>
        <w:t>Auditoría Superior del Estado de Guanajuato; y 42 de la Ley General del Sistema</w:t>
      </w:r>
      <w:r>
        <w:rPr>
          <w:rFonts w:ascii="Abadi" w:hAnsi="Abadi" w:cs="*Arial-6266-Identity-H"/>
          <w:color w:val="15141C"/>
          <w:sz w:val="21"/>
          <w:szCs w:val="21"/>
        </w:rPr>
        <w:t xml:space="preserve"> </w:t>
      </w:r>
      <w:r w:rsidRPr="00D9374F">
        <w:rPr>
          <w:rFonts w:ascii="Abadi" w:hAnsi="Abadi" w:cs="*Arial-6266-Identity-H"/>
          <w:color w:val="15141C"/>
          <w:sz w:val="21"/>
          <w:szCs w:val="21"/>
        </w:rPr>
        <w:t>Nacional Anticorrupción.</w:t>
      </w:r>
    </w:p>
    <w:p w14:paraId="1263F945" w14:textId="77777777" w:rsidR="00C54578" w:rsidRDefault="00C54578" w:rsidP="00C54578">
      <w:pPr>
        <w:autoSpaceDE w:val="0"/>
        <w:autoSpaceDN w:val="0"/>
        <w:adjustRightInd w:val="0"/>
        <w:jc w:val="both"/>
        <w:rPr>
          <w:rFonts w:ascii="Abadi" w:hAnsi="Abadi" w:cs="*Arial-5829-Identity-H"/>
          <w:color w:val="14131B"/>
          <w:sz w:val="21"/>
          <w:szCs w:val="21"/>
        </w:rPr>
      </w:pPr>
    </w:p>
    <w:p w14:paraId="205E8949" w14:textId="77777777" w:rsidR="00C54578" w:rsidRDefault="00C54578" w:rsidP="00C54578">
      <w:pPr>
        <w:autoSpaceDE w:val="0"/>
        <w:autoSpaceDN w:val="0"/>
        <w:adjustRightInd w:val="0"/>
        <w:ind w:firstLine="708"/>
        <w:jc w:val="both"/>
        <w:rPr>
          <w:rFonts w:ascii="Abadi" w:hAnsi="Abadi" w:cs="*Arial-5829-Identity-H"/>
          <w:color w:val="14131B"/>
          <w:sz w:val="21"/>
          <w:szCs w:val="21"/>
        </w:rPr>
      </w:pPr>
      <w:r w:rsidRPr="00D9374F">
        <w:rPr>
          <w:rFonts w:ascii="Abadi" w:hAnsi="Abadi" w:cs="*Arial-5829-Identity-H"/>
          <w:color w:val="14131B"/>
          <w:sz w:val="21"/>
          <w:szCs w:val="21"/>
        </w:rPr>
        <w:t>Con base en lo anterior, la auditoría de desempeño materia del presente</w:t>
      </w:r>
      <w:r>
        <w:rPr>
          <w:rFonts w:ascii="Abadi" w:hAnsi="Abadi" w:cs="*Arial-5829-Identity-H"/>
          <w:color w:val="14131B"/>
          <w:sz w:val="21"/>
          <w:szCs w:val="21"/>
        </w:rPr>
        <w:t xml:space="preserve"> </w:t>
      </w:r>
      <w:r w:rsidRPr="00D9374F">
        <w:rPr>
          <w:rFonts w:ascii="Abadi" w:hAnsi="Abadi" w:cs="*Arial-5829-Identity-H"/>
          <w:color w:val="14131B"/>
          <w:sz w:val="21"/>
          <w:szCs w:val="21"/>
        </w:rPr>
        <w:t>dictamen, se ejecutó bajo los principios, conceptos y directrices de las actuales</w:t>
      </w:r>
      <w:r>
        <w:rPr>
          <w:rFonts w:ascii="Abadi" w:hAnsi="Abadi" w:cs="*Arial-5829-Identity-H"/>
          <w:color w:val="14131B"/>
          <w:sz w:val="21"/>
          <w:szCs w:val="21"/>
        </w:rPr>
        <w:t xml:space="preserve"> </w:t>
      </w:r>
      <w:r w:rsidRPr="00D9374F">
        <w:rPr>
          <w:rFonts w:ascii="Abadi" w:hAnsi="Abadi" w:cs="*Arial-5829-Identity-H"/>
          <w:color w:val="14131B"/>
          <w:sz w:val="21"/>
          <w:szCs w:val="21"/>
        </w:rPr>
        <w:t>Normas Profesionales de Auditoría del Sistema Nacional de Fiscalización,</w:t>
      </w:r>
      <w:r>
        <w:rPr>
          <w:rFonts w:ascii="Abadi" w:hAnsi="Abadi" w:cs="*Arial-5829-Identity-H"/>
          <w:color w:val="14131B"/>
          <w:sz w:val="21"/>
          <w:szCs w:val="21"/>
        </w:rPr>
        <w:t xml:space="preserve"> </w:t>
      </w:r>
      <w:r w:rsidRPr="00D9374F">
        <w:rPr>
          <w:rFonts w:ascii="Abadi" w:hAnsi="Abadi" w:cs="*Arial-5829-Identity-H"/>
          <w:color w:val="14131B"/>
          <w:sz w:val="21"/>
          <w:szCs w:val="21"/>
        </w:rPr>
        <w:t>compiladas y editadas por la Auditoría Superior de la Federación, de manera</w:t>
      </w:r>
      <w:r>
        <w:rPr>
          <w:rFonts w:ascii="Abadi" w:hAnsi="Abadi" w:cs="*Arial-5829-Identity-H"/>
          <w:color w:val="14131B"/>
          <w:sz w:val="21"/>
          <w:szCs w:val="21"/>
        </w:rPr>
        <w:t xml:space="preserve"> </w:t>
      </w:r>
      <w:r w:rsidRPr="00D9374F">
        <w:rPr>
          <w:rFonts w:ascii="Abadi" w:hAnsi="Abadi" w:cs="*Arial-5829-Identity-H"/>
          <w:color w:val="14131B"/>
          <w:sz w:val="21"/>
          <w:szCs w:val="21"/>
        </w:rPr>
        <w:t>particular por lo que hace a sus numerales 100 y 300.</w:t>
      </w:r>
    </w:p>
    <w:p w14:paraId="65C5785B" w14:textId="77777777" w:rsidR="00C54578" w:rsidRPr="00D9374F" w:rsidRDefault="00C54578" w:rsidP="00C54578">
      <w:pPr>
        <w:autoSpaceDE w:val="0"/>
        <w:autoSpaceDN w:val="0"/>
        <w:adjustRightInd w:val="0"/>
        <w:jc w:val="both"/>
        <w:rPr>
          <w:rFonts w:ascii="Abadi" w:hAnsi="Abadi" w:cs="*Arial-5829-Identity-H"/>
          <w:color w:val="14131B"/>
          <w:sz w:val="21"/>
          <w:szCs w:val="21"/>
        </w:rPr>
      </w:pPr>
    </w:p>
    <w:p w14:paraId="63A715CB" w14:textId="77777777" w:rsidR="00C54578" w:rsidRDefault="00C54578" w:rsidP="00C54578">
      <w:pPr>
        <w:autoSpaceDE w:val="0"/>
        <w:autoSpaceDN w:val="0"/>
        <w:adjustRightInd w:val="0"/>
        <w:ind w:firstLine="708"/>
        <w:jc w:val="both"/>
        <w:rPr>
          <w:rFonts w:ascii="Abadi" w:hAnsi="Abadi" w:cs="*Arial-5829-Identity-H"/>
          <w:color w:val="14131B"/>
          <w:sz w:val="21"/>
          <w:szCs w:val="21"/>
        </w:rPr>
      </w:pPr>
      <w:r w:rsidRPr="00D9374F">
        <w:rPr>
          <w:rFonts w:ascii="Abadi" w:hAnsi="Abadi" w:cs="*Arial-5829-Identity-H"/>
          <w:color w:val="14131B"/>
          <w:sz w:val="21"/>
          <w:szCs w:val="21"/>
        </w:rPr>
        <w:t>En esta parte también se puntualiza que las auditorías de desempeño que</w:t>
      </w:r>
      <w:r>
        <w:rPr>
          <w:rFonts w:ascii="Abadi" w:hAnsi="Abadi" w:cs="*Arial-5829-Identity-H"/>
          <w:color w:val="14131B"/>
          <w:sz w:val="21"/>
          <w:szCs w:val="21"/>
        </w:rPr>
        <w:t xml:space="preserve"> </w:t>
      </w:r>
      <w:r w:rsidRPr="00D9374F">
        <w:rPr>
          <w:rFonts w:ascii="Abadi" w:hAnsi="Abadi" w:cs="*Arial-5829-Identity-H"/>
          <w:color w:val="14131B"/>
          <w:sz w:val="21"/>
          <w:szCs w:val="21"/>
        </w:rPr>
        <w:t>se practican por la Auditoría Superior del Estado son congruentes con las</w:t>
      </w:r>
      <w:r>
        <w:rPr>
          <w:rFonts w:ascii="Abadi" w:hAnsi="Abadi" w:cs="*Arial-5829-Identity-H"/>
          <w:color w:val="14131B"/>
          <w:sz w:val="21"/>
          <w:szCs w:val="21"/>
        </w:rPr>
        <w:t xml:space="preserve"> </w:t>
      </w:r>
      <w:r w:rsidRPr="00D9374F">
        <w:rPr>
          <w:rFonts w:ascii="Abadi" w:hAnsi="Abadi" w:cs="*Arial-5829-Identity-H"/>
          <w:color w:val="14131B"/>
          <w:sz w:val="21"/>
          <w:szCs w:val="21"/>
        </w:rPr>
        <w:t>metodologías señaladas en las Normas Internacionales para Entidades</w:t>
      </w:r>
      <w:r>
        <w:rPr>
          <w:rFonts w:ascii="Abadi" w:hAnsi="Abadi" w:cs="*Arial-5829-Identity-H"/>
          <w:color w:val="14131B"/>
          <w:sz w:val="21"/>
          <w:szCs w:val="21"/>
        </w:rPr>
        <w:t xml:space="preserve"> </w:t>
      </w:r>
      <w:r w:rsidRPr="00D9374F">
        <w:rPr>
          <w:rFonts w:ascii="Abadi" w:hAnsi="Abadi" w:cs="*Arial-5829-Identity-H"/>
          <w:color w:val="14131B"/>
          <w:sz w:val="21"/>
          <w:szCs w:val="21"/>
        </w:rPr>
        <w:t>Fiscalizadoras Superiores 100, 300, 3000 y 3200, emitidas por la Organización</w:t>
      </w:r>
      <w:r>
        <w:rPr>
          <w:rFonts w:ascii="Abadi" w:hAnsi="Abadi" w:cs="*Arial-5829-Identity-H"/>
          <w:color w:val="14131B"/>
          <w:sz w:val="21"/>
          <w:szCs w:val="21"/>
        </w:rPr>
        <w:t xml:space="preserve"> </w:t>
      </w:r>
      <w:r w:rsidRPr="00D9374F">
        <w:rPr>
          <w:rFonts w:ascii="Abadi" w:hAnsi="Abadi" w:cs="*Arial-5829-Identity-H"/>
          <w:color w:val="14131B"/>
          <w:sz w:val="21"/>
          <w:szCs w:val="21"/>
        </w:rPr>
        <w:t>Internacional de las Entidades Fiscalizadoras Superiores, así como con los</w:t>
      </w:r>
      <w:r>
        <w:rPr>
          <w:rFonts w:ascii="Abadi" w:hAnsi="Abadi" w:cs="*Arial-5829-Identity-H"/>
          <w:color w:val="14131B"/>
          <w:sz w:val="21"/>
          <w:szCs w:val="21"/>
        </w:rPr>
        <w:t xml:space="preserve"> </w:t>
      </w:r>
      <w:r w:rsidRPr="00D9374F">
        <w:rPr>
          <w:rFonts w:ascii="Abadi" w:hAnsi="Abadi" w:cs="*Arial-5829-Identity-H"/>
          <w:color w:val="14131B"/>
          <w:sz w:val="21"/>
          <w:szCs w:val="21"/>
        </w:rPr>
        <w:t>lineamientos para la construcción y diseño de indicadores de desempeño</w:t>
      </w:r>
      <w:r>
        <w:rPr>
          <w:rFonts w:ascii="Abadi" w:hAnsi="Abadi" w:cs="*Arial-5829-Identity-H"/>
          <w:color w:val="14131B"/>
          <w:sz w:val="21"/>
          <w:szCs w:val="21"/>
        </w:rPr>
        <w:t xml:space="preserve"> </w:t>
      </w:r>
      <w:r w:rsidRPr="00D9374F">
        <w:rPr>
          <w:rFonts w:ascii="Abadi" w:hAnsi="Abadi" w:cs="*Arial-5829-Identity-H"/>
          <w:color w:val="14131B"/>
          <w:sz w:val="21"/>
          <w:szCs w:val="21"/>
        </w:rPr>
        <w:t>mediante la Metodología del Marco Lógico, emitidos por el Consejo Nacional de</w:t>
      </w:r>
      <w:r>
        <w:rPr>
          <w:rFonts w:ascii="Abadi" w:hAnsi="Abadi" w:cs="*Arial-5829-Identity-H"/>
          <w:color w:val="14131B"/>
          <w:sz w:val="21"/>
          <w:szCs w:val="21"/>
        </w:rPr>
        <w:t xml:space="preserve"> </w:t>
      </w:r>
      <w:r w:rsidRPr="00D9374F">
        <w:rPr>
          <w:rFonts w:ascii="Abadi" w:hAnsi="Abadi" w:cs="*Arial-5829-Identity-H"/>
          <w:color w:val="14131B"/>
          <w:sz w:val="21"/>
          <w:szCs w:val="21"/>
        </w:rPr>
        <w:t>Armonización Contable, publicados en el Diario Oficial de la Federación el 15 de</w:t>
      </w:r>
      <w:r>
        <w:rPr>
          <w:rFonts w:ascii="Abadi" w:hAnsi="Abadi" w:cs="*Arial-5829-Identity-H"/>
          <w:color w:val="14131B"/>
          <w:sz w:val="21"/>
          <w:szCs w:val="21"/>
        </w:rPr>
        <w:t xml:space="preserve"> </w:t>
      </w:r>
      <w:r w:rsidRPr="00D9374F">
        <w:rPr>
          <w:rFonts w:ascii="Abadi" w:hAnsi="Abadi" w:cs="*Arial-5829-Identity-H"/>
          <w:color w:val="14131B"/>
          <w:sz w:val="21"/>
          <w:szCs w:val="21"/>
        </w:rPr>
        <w:t>mayo de 2013, entre otros.</w:t>
      </w:r>
    </w:p>
    <w:p w14:paraId="1BFC0BAD" w14:textId="77777777" w:rsidR="00C54578" w:rsidRPr="00D9374F" w:rsidRDefault="00C54578" w:rsidP="00C54578">
      <w:pPr>
        <w:autoSpaceDE w:val="0"/>
        <w:autoSpaceDN w:val="0"/>
        <w:adjustRightInd w:val="0"/>
        <w:jc w:val="both"/>
        <w:rPr>
          <w:rFonts w:ascii="Abadi" w:hAnsi="Abadi" w:cs="*Arial-5829-Identity-H"/>
          <w:color w:val="14131B"/>
          <w:sz w:val="21"/>
          <w:szCs w:val="21"/>
        </w:rPr>
      </w:pPr>
    </w:p>
    <w:p w14:paraId="2F58BA26" w14:textId="77777777" w:rsidR="00C54578" w:rsidRDefault="00C54578" w:rsidP="00C54578">
      <w:pPr>
        <w:autoSpaceDE w:val="0"/>
        <w:autoSpaceDN w:val="0"/>
        <w:adjustRightInd w:val="0"/>
        <w:ind w:firstLine="708"/>
        <w:jc w:val="both"/>
        <w:rPr>
          <w:rFonts w:ascii="Abadi" w:hAnsi="Abadi" w:cs="*Arial-5829-Identity-H"/>
          <w:color w:val="15141C"/>
          <w:sz w:val="21"/>
          <w:szCs w:val="21"/>
        </w:rPr>
      </w:pPr>
      <w:r w:rsidRPr="00D9374F">
        <w:rPr>
          <w:rFonts w:ascii="Abadi" w:hAnsi="Abadi" w:cs="*Arial-5829-Identity-H"/>
          <w:color w:val="15141C"/>
          <w:sz w:val="21"/>
          <w:szCs w:val="21"/>
        </w:rPr>
        <w:t>En el punto correspondiente a estructura del informe y valoración, se señala</w:t>
      </w:r>
      <w:r>
        <w:rPr>
          <w:rFonts w:ascii="Abadi" w:hAnsi="Abadi" w:cs="*Arial-5829-Identity-H"/>
          <w:color w:val="15141C"/>
          <w:sz w:val="21"/>
          <w:szCs w:val="21"/>
        </w:rPr>
        <w:t xml:space="preserve"> </w:t>
      </w:r>
      <w:r w:rsidRPr="00D9374F">
        <w:rPr>
          <w:rFonts w:ascii="Abadi" w:hAnsi="Abadi" w:cs="*Arial-5829-Identity-H"/>
          <w:color w:val="15141C"/>
          <w:sz w:val="21"/>
          <w:szCs w:val="21"/>
        </w:rPr>
        <w:t>que el informe de resultados es el documento técnico e11</w:t>
      </w:r>
      <w:r w:rsidRPr="00D9374F">
        <w:rPr>
          <w:rFonts w:ascii="Abadi" w:hAnsi="Abadi" w:cs="*Arial-5829-Identity-H"/>
          <w:color w:val="C1C1C1"/>
          <w:sz w:val="21"/>
          <w:szCs w:val="21"/>
        </w:rPr>
        <w:t xml:space="preserve">. </w:t>
      </w:r>
      <w:r w:rsidRPr="00D9374F">
        <w:rPr>
          <w:rFonts w:ascii="Abadi" w:hAnsi="Abadi" w:cs="*Arial-5829-Identity-H"/>
          <w:color w:val="15141C"/>
          <w:sz w:val="21"/>
          <w:szCs w:val="21"/>
        </w:rPr>
        <w:t>el que se presentan los</w:t>
      </w:r>
      <w:r>
        <w:rPr>
          <w:rFonts w:ascii="Abadi" w:hAnsi="Abadi" w:cs="*Arial-5829-Identity-H"/>
          <w:color w:val="15141C"/>
          <w:sz w:val="21"/>
          <w:szCs w:val="21"/>
        </w:rPr>
        <w:t xml:space="preserve"> </w:t>
      </w:r>
      <w:r w:rsidRPr="00D9374F">
        <w:rPr>
          <w:rFonts w:ascii="Abadi" w:hAnsi="Abadi" w:cs="*Arial-5829-Identity-H"/>
          <w:color w:val="15141C"/>
          <w:sz w:val="21"/>
          <w:szCs w:val="21"/>
        </w:rPr>
        <w:t>datos e información que identifican una revisión, las conclusiones y las</w:t>
      </w:r>
      <w:r>
        <w:rPr>
          <w:rFonts w:ascii="Abadi" w:hAnsi="Abadi" w:cs="*Arial-5829-Identity-H"/>
          <w:color w:val="15141C"/>
          <w:sz w:val="21"/>
          <w:szCs w:val="21"/>
        </w:rPr>
        <w:t xml:space="preserve"> </w:t>
      </w:r>
      <w:r w:rsidRPr="00D9374F">
        <w:rPr>
          <w:rFonts w:ascii="Abadi" w:hAnsi="Abadi" w:cs="*Arial-5829-Identity-H"/>
          <w:color w:val="15141C"/>
          <w:sz w:val="21"/>
          <w:szCs w:val="21"/>
        </w:rPr>
        <w:t>recomendaciones al desempeño que se propondrán al ente fiscalizado.</w:t>
      </w:r>
      <w:r>
        <w:rPr>
          <w:rFonts w:ascii="Abadi" w:hAnsi="Abadi" w:cs="*Arial-5829-Identity-H"/>
          <w:color w:val="15141C"/>
          <w:sz w:val="21"/>
          <w:szCs w:val="21"/>
        </w:rPr>
        <w:t xml:space="preserve"> </w:t>
      </w:r>
    </w:p>
    <w:p w14:paraId="79EA1686" w14:textId="77777777" w:rsidR="00C54578" w:rsidRDefault="00C54578" w:rsidP="00C54578">
      <w:pPr>
        <w:autoSpaceDE w:val="0"/>
        <w:autoSpaceDN w:val="0"/>
        <w:adjustRightInd w:val="0"/>
        <w:jc w:val="both"/>
        <w:rPr>
          <w:rFonts w:ascii="Abadi" w:hAnsi="Abadi" w:cs="*Arial-5829-Identity-H"/>
          <w:color w:val="15141C"/>
          <w:sz w:val="21"/>
          <w:szCs w:val="21"/>
        </w:rPr>
      </w:pPr>
    </w:p>
    <w:p w14:paraId="246F00E7" w14:textId="77777777" w:rsidR="00C54578" w:rsidRDefault="00C54578" w:rsidP="00C54578">
      <w:pPr>
        <w:autoSpaceDE w:val="0"/>
        <w:autoSpaceDN w:val="0"/>
        <w:adjustRightInd w:val="0"/>
        <w:ind w:firstLine="708"/>
        <w:jc w:val="both"/>
        <w:rPr>
          <w:rFonts w:ascii="Abadi" w:hAnsi="Abadi" w:cs="*Arial-5829-Identity-H"/>
          <w:color w:val="14131B"/>
          <w:sz w:val="21"/>
          <w:szCs w:val="21"/>
        </w:rPr>
      </w:pPr>
      <w:r w:rsidRPr="00D9374F">
        <w:rPr>
          <w:rFonts w:ascii="Abadi" w:hAnsi="Abadi" w:cs="*Arial-5829-Identity-H"/>
          <w:color w:val="14131B"/>
          <w:sz w:val="21"/>
          <w:szCs w:val="21"/>
        </w:rPr>
        <w:t>Asimismo, se refiere que el artículo 26 del Reglamento de la Ley de</w:t>
      </w:r>
      <w:r>
        <w:rPr>
          <w:rFonts w:ascii="Abadi" w:hAnsi="Abadi" w:cs="*Arial-5829-Identity-H"/>
          <w:color w:val="14131B"/>
          <w:sz w:val="21"/>
          <w:szCs w:val="21"/>
        </w:rPr>
        <w:t xml:space="preserve"> </w:t>
      </w:r>
      <w:r w:rsidRPr="00D9374F">
        <w:rPr>
          <w:rFonts w:ascii="Abadi" w:hAnsi="Abadi" w:cs="*Arial-5829-Identity-H"/>
          <w:color w:val="14131B"/>
          <w:sz w:val="21"/>
          <w:szCs w:val="21"/>
        </w:rPr>
        <w:t>Fiscalización Superior del Estado de Guanajuato establece los requisitos mínimos</w:t>
      </w:r>
      <w:r>
        <w:rPr>
          <w:rFonts w:ascii="Abadi" w:hAnsi="Abadi" w:cs="*Arial-5829-Identity-H"/>
          <w:color w:val="14131B"/>
          <w:sz w:val="21"/>
          <w:szCs w:val="21"/>
        </w:rPr>
        <w:t xml:space="preserve"> </w:t>
      </w:r>
      <w:r w:rsidRPr="00D9374F">
        <w:rPr>
          <w:rFonts w:ascii="Abadi" w:hAnsi="Abadi" w:cs="*Arial-5829-Identity-H"/>
          <w:color w:val="14131B"/>
          <w:sz w:val="21"/>
          <w:szCs w:val="21"/>
        </w:rPr>
        <w:t>que deben contener los informes de resultados de las auditorías de desempeño,</w:t>
      </w:r>
      <w:r>
        <w:rPr>
          <w:rFonts w:ascii="Abadi" w:hAnsi="Abadi" w:cs="*Arial-5829-Identity-H"/>
          <w:color w:val="14131B"/>
          <w:sz w:val="21"/>
          <w:szCs w:val="21"/>
        </w:rPr>
        <w:t xml:space="preserve"> </w:t>
      </w:r>
      <w:r w:rsidRPr="00D9374F">
        <w:rPr>
          <w:rFonts w:ascii="Abadi" w:hAnsi="Abadi" w:cs="*Arial-5829-Identity-H"/>
          <w:color w:val="14131B"/>
          <w:sz w:val="21"/>
          <w:szCs w:val="21"/>
        </w:rPr>
        <w:t>los cuales se cumplieron en la formulación del informe de resultados. También se</w:t>
      </w:r>
      <w:r>
        <w:rPr>
          <w:rFonts w:ascii="Abadi" w:hAnsi="Abadi" w:cs="*Arial-5829-Identity-H"/>
          <w:color w:val="14131B"/>
          <w:sz w:val="21"/>
          <w:szCs w:val="21"/>
        </w:rPr>
        <w:t xml:space="preserve"> </w:t>
      </w:r>
      <w:r w:rsidRPr="00D9374F">
        <w:rPr>
          <w:rFonts w:ascii="Abadi" w:hAnsi="Abadi" w:cs="*Arial-5829-Identity-H"/>
          <w:color w:val="14131B"/>
          <w:sz w:val="21"/>
          <w:szCs w:val="21"/>
        </w:rPr>
        <w:t>precisan los datos de identificación del acto de fiscalización, como son el título o</w:t>
      </w:r>
      <w:r>
        <w:rPr>
          <w:rFonts w:ascii="Abadi" w:hAnsi="Abadi" w:cs="*Arial-5829-Identity-H"/>
          <w:color w:val="14131B"/>
          <w:sz w:val="21"/>
          <w:szCs w:val="21"/>
        </w:rPr>
        <w:t xml:space="preserve"> </w:t>
      </w:r>
      <w:r w:rsidRPr="00D9374F">
        <w:rPr>
          <w:rFonts w:ascii="Abadi" w:hAnsi="Abadi" w:cs="*Arial-5829-Identity-H"/>
          <w:color w:val="14131B"/>
          <w:sz w:val="21"/>
          <w:szCs w:val="21"/>
        </w:rPr>
        <w:t>enfoque de la auditoría, el sujeto fiscalizado, el periodo de revisión y el programa</w:t>
      </w:r>
      <w:r>
        <w:rPr>
          <w:rFonts w:ascii="Abadi" w:hAnsi="Abadi" w:cs="*Arial-5829-Identity-H"/>
          <w:color w:val="14131B"/>
          <w:sz w:val="21"/>
          <w:szCs w:val="21"/>
        </w:rPr>
        <w:t xml:space="preserve"> </w:t>
      </w:r>
      <w:r w:rsidRPr="00D9374F">
        <w:rPr>
          <w:rFonts w:ascii="Abadi" w:hAnsi="Abadi" w:cs="*Arial-5829-Identity-H"/>
          <w:color w:val="14131B"/>
          <w:sz w:val="21"/>
          <w:szCs w:val="21"/>
        </w:rPr>
        <w:t>que se fiscaliza, en función de lo autorizado en el Programa General de</w:t>
      </w:r>
      <w:r>
        <w:rPr>
          <w:rFonts w:ascii="Abadi" w:hAnsi="Abadi" w:cs="*Arial-5829-Identity-H"/>
          <w:color w:val="14131B"/>
          <w:sz w:val="21"/>
          <w:szCs w:val="21"/>
        </w:rPr>
        <w:t xml:space="preserve"> </w:t>
      </w:r>
      <w:r w:rsidRPr="00D9374F">
        <w:rPr>
          <w:rFonts w:ascii="Abadi" w:hAnsi="Abadi" w:cs="*Arial-5829-Identity-H"/>
          <w:color w:val="14131B"/>
          <w:sz w:val="21"/>
          <w:szCs w:val="21"/>
        </w:rPr>
        <w:t>Fiscalización</w:t>
      </w:r>
      <w:r>
        <w:rPr>
          <w:rFonts w:ascii="Abadi" w:hAnsi="Abadi" w:cs="*Arial-5829-Identity-H"/>
          <w:color w:val="14131B"/>
          <w:sz w:val="21"/>
          <w:szCs w:val="21"/>
        </w:rPr>
        <w:t xml:space="preserve"> </w:t>
      </w:r>
      <w:r w:rsidRPr="00D9374F">
        <w:rPr>
          <w:rFonts w:ascii="Abadi" w:hAnsi="Abadi" w:cs="*Arial-5829-Identity-H"/>
          <w:color w:val="14131B"/>
          <w:sz w:val="21"/>
          <w:szCs w:val="21"/>
        </w:rPr>
        <w:t>respectivo.</w:t>
      </w:r>
    </w:p>
    <w:p w14:paraId="518258E3" w14:textId="77777777" w:rsidR="00C54578" w:rsidRPr="00D9374F" w:rsidRDefault="00C54578" w:rsidP="00C54578">
      <w:pPr>
        <w:autoSpaceDE w:val="0"/>
        <w:autoSpaceDN w:val="0"/>
        <w:adjustRightInd w:val="0"/>
        <w:jc w:val="both"/>
        <w:rPr>
          <w:rFonts w:ascii="Abadi" w:hAnsi="Abadi" w:cs="*Arial-5829-Identity-H"/>
          <w:color w:val="14131B"/>
          <w:sz w:val="21"/>
          <w:szCs w:val="21"/>
        </w:rPr>
      </w:pPr>
    </w:p>
    <w:p w14:paraId="1098D46F" w14:textId="77777777" w:rsidR="00C54578" w:rsidRPr="00D9374F" w:rsidRDefault="00C54578" w:rsidP="00C54578">
      <w:pPr>
        <w:autoSpaceDE w:val="0"/>
        <w:autoSpaceDN w:val="0"/>
        <w:adjustRightInd w:val="0"/>
        <w:ind w:firstLine="708"/>
        <w:jc w:val="both"/>
        <w:rPr>
          <w:rFonts w:ascii="Abadi" w:hAnsi="Abadi" w:cs="*Arial-5829-Identity-H"/>
          <w:color w:val="14131B"/>
          <w:sz w:val="21"/>
          <w:szCs w:val="21"/>
        </w:rPr>
      </w:pPr>
      <w:r w:rsidRPr="00D9374F">
        <w:rPr>
          <w:rFonts w:ascii="Abadi" w:hAnsi="Abadi" w:cs="*Arial-5829-Identity-H"/>
          <w:color w:val="14131B"/>
          <w:sz w:val="21"/>
          <w:szCs w:val="21"/>
        </w:rPr>
        <w:t>Por lo que hace a la valoración de la respuesta del sujeto fiscalizado, el</w:t>
      </w:r>
      <w:r>
        <w:rPr>
          <w:rFonts w:ascii="Abadi" w:hAnsi="Abadi" w:cs="*Arial-5829-Identity-H"/>
          <w:color w:val="14131B"/>
          <w:sz w:val="21"/>
          <w:szCs w:val="21"/>
        </w:rPr>
        <w:t xml:space="preserve"> </w:t>
      </w:r>
      <w:r w:rsidRPr="00D9374F">
        <w:rPr>
          <w:rFonts w:ascii="Abadi" w:hAnsi="Abadi" w:cs="*Arial-5829-Identity-H"/>
          <w:color w:val="14131B"/>
          <w:sz w:val="21"/>
          <w:szCs w:val="21"/>
        </w:rPr>
        <w:t>Órgano Técnico determinó lo conducente respecto a las recomendaciones</w:t>
      </w:r>
      <w:r>
        <w:rPr>
          <w:rFonts w:ascii="Abadi" w:hAnsi="Abadi" w:cs="*Arial-5829-Identity-H"/>
          <w:color w:val="14131B"/>
          <w:sz w:val="21"/>
          <w:szCs w:val="21"/>
        </w:rPr>
        <w:t xml:space="preserve"> </w:t>
      </w:r>
      <w:r w:rsidRPr="00D9374F">
        <w:rPr>
          <w:rFonts w:ascii="Abadi" w:hAnsi="Abadi" w:cs="*Arial-5829-Identity-H"/>
          <w:color w:val="14131B"/>
          <w:sz w:val="21"/>
          <w:szCs w:val="21"/>
        </w:rPr>
        <w:t>emitidas, para lo cual realizó un análisis de la documentación y evidencia</w:t>
      </w:r>
      <w:r>
        <w:rPr>
          <w:rFonts w:ascii="Abadi" w:hAnsi="Abadi" w:cs="*Arial-5829-Identity-H"/>
          <w:color w:val="14131B"/>
          <w:sz w:val="21"/>
          <w:szCs w:val="21"/>
        </w:rPr>
        <w:t xml:space="preserve"> </w:t>
      </w:r>
      <w:r w:rsidRPr="00D9374F">
        <w:rPr>
          <w:rFonts w:ascii="Abadi" w:hAnsi="Abadi" w:cs="*Arial-5829-Identity-H"/>
          <w:color w:val="14131B"/>
          <w:sz w:val="21"/>
          <w:szCs w:val="21"/>
        </w:rPr>
        <w:t>proporcionada por el sujeto fiscalizado, a fin de valorar si este efectuó mejoras, si</w:t>
      </w:r>
      <w:r>
        <w:rPr>
          <w:rFonts w:ascii="Abadi" w:hAnsi="Abadi" w:cs="*Arial-5829-Identity-H"/>
          <w:color w:val="14131B"/>
          <w:sz w:val="21"/>
          <w:szCs w:val="21"/>
        </w:rPr>
        <w:t xml:space="preserve"> </w:t>
      </w:r>
      <w:r w:rsidRPr="00D9374F">
        <w:rPr>
          <w:rFonts w:ascii="Abadi" w:hAnsi="Abadi" w:cs="*Arial-5829-Identity-H"/>
          <w:color w:val="14131B"/>
          <w:sz w:val="21"/>
          <w:szCs w:val="21"/>
        </w:rPr>
        <w:t>realizará alguna acción o emitió la justificación correspondiente sobre la</w:t>
      </w:r>
      <w:r>
        <w:rPr>
          <w:rFonts w:ascii="Abadi" w:hAnsi="Abadi" w:cs="*Arial-5829-Identity-H"/>
          <w:color w:val="14131B"/>
          <w:sz w:val="21"/>
          <w:szCs w:val="21"/>
        </w:rPr>
        <w:t xml:space="preserve"> </w:t>
      </w:r>
      <w:r w:rsidRPr="00D9374F">
        <w:rPr>
          <w:rFonts w:ascii="Abadi" w:hAnsi="Abadi" w:cs="*Arial-5829-Identity-H"/>
          <w:color w:val="14131B"/>
          <w:sz w:val="21"/>
          <w:szCs w:val="21"/>
        </w:rPr>
        <w:t>improcedencia por la cual no resulte factible su implementación o bien, la</w:t>
      </w:r>
      <w:r>
        <w:rPr>
          <w:rFonts w:ascii="Abadi" w:hAnsi="Abadi" w:cs="*Arial-5829-Identity-H"/>
          <w:color w:val="14131B"/>
          <w:sz w:val="21"/>
          <w:szCs w:val="21"/>
        </w:rPr>
        <w:t xml:space="preserve"> </w:t>
      </w:r>
      <w:r w:rsidRPr="00D9374F">
        <w:rPr>
          <w:rFonts w:ascii="Abadi" w:hAnsi="Abadi" w:cs="*Arial-5829-Identity-H"/>
          <w:color w:val="14131B"/>
          <w:sz w:val="21"/>
          <w:szCs w:val="21"/>
        </w:rPr>
        <w:t>consideración de medidas alternas que fortalezcan el desempeño de la gestión</w:t>
      </w:r>
      <w:r>
        <w:rPr>
          <w:rFonts w:ascii="Abadi" w:hAnsi="Abadi" w:cs="*Arial-5829-Identity-H"/>
          <w:color w:val="14131B"/>
          <w:sz w:val="21"/>
          <w:szCs w:val="21"/>
        </w:rPr>
        <w:t xml:space="preserve"> </w:t>
      </w:r>
      <w:r w:rsidRPr="00D9374F">
        <w:rPr>
          <w:rFonts w:ascii="Abadi" w:hAnsi="Abadi" w:cs="*Arial-5829-Identity-H"/>
          <w:color w:val="14131B"/>
          <w:sz w:val="21"/>
          <w:szCs w:val="21"/>
        </w:rPr>
        <w:t>pública. Asimismo, se señala que las recomendaciones efectuadas al sujeto</w:t>
      </w:r>
      <w:r>
        <w:rPr>
          <w:rFonts w:ascii="Abadi" w:hAnsi="Abadi" w:cs="*Arial-5829-Identity-H"/>
          <w:color w:val="14131B"/>
          <w:sz w:val="21"/>
          <w:szCs w:val="21"/>
        </w:rPr>
        <w:t xml:space="preserve"> </w:t>
      </w:r>
      <w:r w:rsidRPr="00D9374F">
        <w:rPr>
          <w:rFonts w:ascii="Abadi" w:hAnsi="Abadi" w:cs="*Arial-5829-Identity-H"/>
          <w:color w:val="14131B"/>
          <w:sz w:val="21"/>
          <w:szCs w:val="21"/>
        </w:rPr>
        <w:t>fiscalizado podrían considerarse como persistentes, cuando no sea posible</w:t>
      </w:r>
      <w:r>
        <w:rPr>
          <w:rFonts w:ascii="Abadi" w:hAnsi="Abadi" w:cs="*Arial-5829-Identity-H"/>
          <w:color w:val="14131B"/>
          <w:sz w:val="21"/>
          <w:szCs w:val="21"/>
        </w:rPr>
        <w:t xml:space="preserve"> </w:t>
      </w:r>
      <w:r w:rsidRPr="00D9374F">
        <w:rPr>
          <w:rFonts w:ascii="Abadi" w:hAnsi="Abadi" w:cs="*Arial-5829-Identity-H"/>
          <w:color w:val="14131B"/>
          <w:sz w:val="21"/>
          <w:szCs w:val="21"/>
        </w:rPr>
        <w:t>valorarlas en alguno de los supuestos antes referidos.</w:t>
      </w:r>
    </w:p>
    <w:p w14:paraId="521A633D" w14:textId="77777777" w:rsidR="00C54578" w:rsidRPr="00D9374F" w:rsidRDefault="00C54578" w:rsidP="00C54578">
      <w:pPr>
        <w:autoSpaceDE w:val="0"/>
        <w:autoSpaceDN w:val="0"/>
        <w:adjustRightInd w:val="0"/>
        <w:jc w:val="both"/>
        <w:rPr>
          <w:rFonts w:ascii="Abadi" w:hAnsi="Abadi" w:cs="*Arial-5809-Identity-H"/>
          <w:color w:val="28282C"/>
          <w:sz w:val="21"/>
          <w:szCs w:val="21"/>
        </w:rPr>
      </w:pPr>
    </w:p>
    <w:p w14:paraId="595E0ED9" w14:textId="77777777" w:rsidR="00C54578" w:rsidRDefault="00C54578" w:rsidP="00C54578">
      <w:pPr>
        <w:autoSpaceDE w:val="0"/>
        <w:autoSpaceDN w:val="0"/>
        <w:adjustRightInd w:val="0"/>
        <w:ind w:firstLine="708"/>
        <w:jc w:val="both"/>
        <w:rPr>
          <w:rFonts w:ascii="Abadi" w:hAnsi="Abadi" w:cs="*Arial-5808-Identity-H"/>
          <w:color w:val="15141C"/>
          <w:sz w:val="21"/>
          <w:szCs w:val="21"/>
        </w:rPr>
      </w:pPr>
      <w:r w:rsidRPr="00D9374F">
        <w:rPr>
          <w:rFonts w:ascii="Abadi" w:hAnsi="Abadi" w:cs="*Arial-5808-Identity-H"/>
          <w:color w:val="15141C"/>
          <w:sz w:val="21"/>
          <w:szCs w:val="21"/>
        </w:rPr>
        <w:t>Es así, que la valoración realizada por la Auditoría Superior del Estado</w:t>
      </w:r>
      <w:r>
        <w:rPr>
          <w:rFonts w:ascii="Abadi" w:hAnsi="Abadi" w:cs="*Arial-5808-Identity-H"/>
          <w:color w:val="15141C"/>
          <w:sz w:val="21"/>
          <w:szCs w:val="21"/>
        </w:rPr>
        <w:t xml:space="preserve"> </w:t>
      </w:r>
      <w:r w:rsidRPr="00D9374F">
        <w:rPr>
          <w:rFonts w:ascii="Abadi" w:hAnsi="Abadi" w:cs="*Arial-5808-Identity-H"/>
          <w:color w:val="15141C"/>
          <w:sz w:val="21"/>
          <w:szCs w:val="21"/>
        </w:rPr>
        <w:t>e</w:t>
      </w:r>
      <w:r>
        <w:rPr>
          <w:rFonts w:ascii="Abadi" w:hAnsi="Abadi" w:cs="*Arial-5808-Identity-H"/>
          <w:color w:val="15141C"/>
          <w:sz w:val="21"/>
          <w:szCs w:val="21"/>
        </w:rPr>
        <w:t xml:space="preserve">n </w:t>
      </w:r>
      <w:r w:rsidRPr="00D9374F">
        <w:rPr>
          <w:rFonts w:ascii="Abadi" w:hAnsi="Abadi" w:cs="*Arial-5808-Identity-H"/>
          <w:color w:val="15141C"/>
          <w:sz w:val="21"/>
          <w:szCs w:val="21"/>
        </w:rPr>
        <w:t>dunda en las manifestaciones, argumentos, acciones y evidencia presentada en</w:t>
      </w:r>
      <w:r>
        <w:rPr>
          <w:rFonts w:ascii="Abadi" w:hAnsi="Abadi" w:cs="*Arial-5808-Identity-H"/>
          <w:color w:val="15141C"/>
          <w:sz w:val="21"/>
          <w:szCs w:val="21"/>
        </w:rPr>
        <w:t xml:space="preserve"> </w:t>
      </w:r>
      <w:r w:rsidRPr="00D9374F">
        <w:rPr>
          <w:rFonts w:ascii="Abadi" w:hAnsi="Abadi" w:cs="*Arial-5808-Identity-H"/>
          <w:color w:val="15141C"/>
          <w:sz w:val="21"/>
          <w:szCs w:val="21"/>
        </w:rPr>
        <w:t>la respuesta al pliego de recomendaciones, para lo cual la evidencia aportada por</w:t>
      </w:r>
      <w:r>
        <w:rPr>
          <w:rFonts w:ascii="Abadi" w:hAnsi="Abadi" w:cs="*Arial-5808-Identity-H"/>
          <w:color w:val="15141C"/>
          <w:sz w:val="21"/>
          <w:szCs w:val="21"/>
        </w:rPr>
        <w:t xml:space="preserve"> </w:t>
      </w:r>
      <w:r w:rsidRPr="00D9374F">
        <w:rPr>
          <w:rFonts w:ascii="Abadi" w:hAnsi="Abadi" w:cs="*Arial-5808-Identity-H"/>
          <w:color w:val="15141C"/>
          <w:sz w:val="21"/>
          <w:szCs w:val="21"/>
        </w:rPr>
        <w:t>el sujeto fiscalizado debe ser competente, pertinente, suficiente y relevante.</w:t>
      </w:r>
    </w:p>
    <w:p w14:paraId="086C860F" w14:textId="77777777" w:rsidR="00C54578" w:rsidRPr="00D9374F" w:rsidRDefault="00C54578" w:rsidP="00C54578">
      <w:pPr>
        <w:autoSpaceDE w:val="0"/>
        <w:autoSpaceDN w:val="0"/>
        <w:adjustRightInd w:val="0"/>
        <w:jc w:val="both"/>
        <w:rPr>
          <w:rFonts w:ascii="Abadi" w:hAnsi="Abadi" w:cs="*Arial-5808-Identity-H"/>
          <w:color w:val="15141C"/>
          <w:sz w:val="21"/>
          <w:szCs w:val="21"/>
        </w:rPr>
      </w:pPr>
      <w:r>
        <w:rPr>
          <w:rFonts w:ascii="Abadi" w:hAnsi="Abadi" w:cs="*Arial-5808-Identity-H"/>
          <w:color w:val="15141C"/>
          <w:sz w:val="21"/>
          <w:szCs w:val="21"/>
        </w:rPr>
        <w:t xml:space="preserve"> </w:t>
      </w:r>
    </w:p>
    <w:p w14:paraId="465F9E27" w14:textId="77777777" w:rsidR="00C54578" w:rsidRDefault="00C54578" w:rsidP="00C54578">
      <w:pPr>
        <w:autoSpaceDE w:val="0"/>
        <w:autoSpaceDN w:val="0"/>
        <w:adjustRightInd w:val="0"/>
        <w:ind w:firstLine="708"/>
        <w:jc w:val="both"/>
        <w:rPr>
          <w:rFonts w:ascii="Abadi" w:hAnsi="Abadi" w:cs="*Arial-5808-Identity-H"/>
          <w:color w:val="15141C"/>
          <w:sz w:val="21"/>
          <w:szCs w:val="21"/>
        </w:rPr>
      </w:pPr>
      <w:r w:rsidRPr="00D9374F">
        <w:rPr>
          <w:rFonts w:ascii="Abadi" w:hAnsi="Abadi" w:cs="*Arial-5808-Identity-H"/>
          <w:color w:val="15141C"/>
          <w:sz w:val="21"/>
          <w:szCs w:val="21"/>
        </w:rPr>
        <w:t>Respecto al objetivo y alcance de la auditoría se señala que de acuerdo a la</w:t>
      </w:r>
      <w:r>
        <w:rPr>
          <w:rFonts w:ascii="Abadi" w:hAnsi="Abadi" w:cs="*Arial-5808-Identity-H"/>
          <w:color w:val="15141C"/>
          <w:sz w:val="21"/>
          <w:szCs w:val="21"/>
        </w:rPr>
        <w:t xml:space="preserve"> </w:t>
      </w:r>
      <w:r w:rsidRPr="00D9374F">
        <w:rPr>
          <w:rFonts w:ascii="Abadi" w:hAnsi="Abadi" w:cs="*Arial-5808-Identity-H"/>
          <w:color w:val="15141C"/>
          <w:sz w:val="21"/>
          <w:szCs w:val="21"/>
        </w:rPr>
        <w:t>Organización Internacional de las Entidades Fiscalizadoras Superiores, para las</w:t>
      </w:r>
      <w:r>
        <w:rPr>
          <w:rFonts w:ascii="Abadi" w:hAnsi="Abadi" w:cs="*Arial-5808-Identity-H"/>
          <w:color w:val="15141C"/>
          <w:sz w:val="21"/>
          <w:szCs w:val="21"/>
        </w:rPr>
        <w:t xml:space="preserve"> </w:t>
      </w:r>
      <w:r w:rsidRPr="00D9374F">
        <w:rPr>
          <w:rFonts w:ascii="Abadi" w:hAnsi="Abadi" w:cs="*Arial-5808-Identity-H"/>
          <w:color w:val="15141C"/>
          <w:sz w:val="21"/>
          <w:szCs w:val="21"/>
        </w:rPr>
        <w:t>auditorías de desempeño existen tres enfoques que están orientados a los</w:t>
      </w:r>
      <w:r>
        <w:rPr>
          <w:rFonts w:ascii="Abadi" w:hAnsi="Abadi" w:cs="*Arial-5808-Identity-H"/>
          <w:color w:val="15141C"/>
          <w:sz w:val="21"/>
          <w:szCs w:val="21"/>
        </w:rPr>
        <w:t xml:space="preserve"> </w:t>
      </w:r>
      <w:r w:rsidRPr="00D9374F">
        <w:rPr>
          <w:rFonts w:ascii="Abadi" w:hAnsi="Abadi" w:cs="*Arial-5808-Identity-H"/>
          <w:color w:val="15141C"/>
          <w:sz w:val="21"/>
          <w:szCs w:val="21"/>
        </w:rPr>
        <w:t>siguientes aspectos: Al sistema, el cual examina el funcionamiento adecuado de</w:t>
      </w:r>
      <w:r>
        <w:rPr>
          <w:rFonts w:ascii="Abadi" w:hAnsi="Abadi" w:cs="*Arial-5808-Identity-H"/>
          <w:color w:val="15141C"/>
          <w:sz w:val="21"/>
          <w:szCs w:val="21"/>
        </w:rPr>
        <w:t xml:space="preserve"> </w:t>
      </w:r>
      <w:r w:rsidRPr="00D9374F">
        <w:rPr>
          <w:rFonts w:ascii="Abadi" w:hAnsi="Abadi" w:cs="*Arial-5808-Identity-H"/>
          <w:color w:val="15141C"/>
          <w:sz w:val="21"/>
          <w:szCs w:val="21"/>
        </w:rPr>
        <w:t>los sistemas de gestión; a los resultados, en el que se evalúa si los objetivos en</w:t>
      </w:r>
      <w:r>
        <w:rPr>
          <w:rFonts w:ascii="Abadi" w:hAnsi="Abadi" w:cs="*Arial-5808-Identity-H"/>
          <w:color w:val="15141C"/>
          <w:sz w:val="21"/>
          <w:szCs w:val="21"/>
        </w:rPr>
        <w:t xml:space="preserve"> </w:t>
      </w:r>
      <w:r w:rsidRPr="00D9374F">
        <w:rPr>
          <w:rFonts w:ascii="Abadi" w:hAnsi="Abadi" w:cs="*Arial-5808-Identity-H"/>
          <w:color w:val="15141C"/>
          <w:sz w:val="21"/>
          <w:szCs w:val="21"/>
        </w:rPr>
        <w:t>términos de resultados o productos han sido alcanzados como se deseaba, o si</w:t>
      </w:r>
      <w:r>
        <w:rPr>
          <w:rFonts w:ascii="Abadi" w:hAnsi="Abadi" w:cs="*Arial-5808-Identity-H"/>
          <w:color w:val="15141C"/>
          <w:sz w:val="21"/>
          <w:szCs w:val="21"/>
        </w:rPr>
        <w:t xml:space="preserve"> </w:t>
      </w:r>
      <w:r w:rsidRPr="00D9374F">
        <w:rPr>
          <w:rFonts w:ascii="Abadi" w:hAnsi="Abadi" w:cs="*Arial-5808-Identity-H"/>
          <w:color w:val="15141C"/>
          <w:sz w:val="21"/>
          <w:szCs w:val="21"/>
        </w:rPr>
        <w:t>los programas y servicios operan como se esperaba; y al problema, el cual</w:t>
      </w:r>
      <w:r>
        <w:rPr>
          <w:rFonts w:ascii="Abadi" w:hAnsi="Abadi" w:cs="*Arial-5808-Identity-H"/>
          <w:color w:val="15141C"/>
          <w:sz w:val="21"/>
          <w:szCs w:val="21"/>
        </w:rPr>
        <w:t xml:space="preserve"> </w:t>
      </w:r>
      <w:r w:rsidRPr="00D9374F">
        <w:rPr>
          <w:rFonts w:ascii="Abadi" w:hAnsi="Abadi" w:cs="*Arial-5808-Identity-H"/>
          <w:color w:val="15141C"/>
          <w:sz w:val="21"/>
          <w:szCs w:val="21"/>
        </w:rPr>
        <w:t>examina, verifica y analiza las causas de los problemas particulares o</w:t>
      </w:r>
      <w:r>
        <w:rPr>
          <w:rFonts w:ascii="Abadi" w:hAnsi="Abadi" w:cs="*Arial-5808-Identity-H"/>
          <w:color w:val="15141C"/>
          <w:sz w:val="21"/>
          <w:szCs w:val="21"/>
        </w:rPr>
        <w:t xml:space="preserve"> </w:t>
      </w:r>
      <w:r w:rsidRPr="00D9374F">
        <w:rPr>
          <w:rFonts w:ascii="Abadi" w:hAnsi="Abadi" w:cs="*Arial-5808-Identity-H"/>
          <w:color w:val="15141C"/>
          <w:sz w:val="21"/>
          <w:szCs w:val="21"/>
        </w:rPr>
        <w:t>desviaciones de los criterios establecidos.</w:t>
      </w:r>
    </w:p>
    <w:p w14:paraId="5D431A8E" w14:textId="77777777" w:rsidR="00C54578" w:rsidRPr="00D9374F" w:rsidRDefault="00C54578" w:rsidP="00C54578">
      <w:pPr>
        <w:autoSpaceDE w:val="0"/>
        <w:autoSpaceDN w:val="0"/>
        <w:adjustRightInd w:val="0"/>
        <w:jc w:val="both"/>
        <w:rPr>
          <w:rFonts w:ascii="Abadi" w:hAnsi="Abadi" w:cs="*Arial-5808-Identity-H"/>
          <w:color w:val="15141C"/>
          <w:sz w:val="21"/>
          <w:szCs w:val="21"/>
        </w:rPr>
      </w:pPr>
    </w:p>
    <w:p w14:paraId="725E9200" w14:textId="77777777" w:rsidR="00C54578" w:rsidRDefault="00C54578" w:rsidP="00C54578">
      <w:pPr>
        <w:autoSpaceDE w:val="0"/>
        <w:autoSpaceDN w:val="0"/>
        <w:adjustRightInd w:val="0"/>
        <w:ind w:firstLine="708"/>
        <w:jc w:val="both"/>
        <w:rPr>
          <w:rFonts w:ascii="Abadi" w:hAnsi="Abadi" w:cs="*Arial-5808-Identity-H"/>
          <w:color w:val="14141C"/>
          <w:sz w:val="21"/>
          <w:szCs w:val="21"/>
        </w:rPr>
      </w:pPr>
      <w:r w:rsidRPr="00D9374F">
        <w:rPr>
          <w:rFonts w:ascii="Abadi" w:hAnsi="Abadi" w:cs="*Arial-5808-Identity-H"/>
          <w:color w:val="14141C"/>
          <w:sz w:val="21"/>
          <w:szCs w:val="21"/>
        </w:rPr>
        <w:t>En las auditorías de desempeño practicadas por la Auditoría Superior del</w:t>
      </w:r>
      <w:r>
        <w:rPr>
          <w:rFonts w:ascii="Abadi" w:hAnsi="Abadi" w:cs="*Arial-5808-Identity-H"/>
          <w:color w:val="14141C"/>
          <w:sz w:val="21"/>
          <w:szCs w:val="21"/>
        </w:rPr>
        <w:t xml:space="preserve"> </w:t>
      </w:r>
      <w:r w:rsidRPr="00D9374F">
        <w:rPr>
          <w:rFonts w:ascii="Abadi" w:hAnsi="Abadi" w:cs="*Arial-5808-Identity-H"/>
          <w:color w:val="14141C"/>
          <w:sz w:val="21"/>
          <w:szCs w:val="21"/>
        </w:rPr>
        <w:t>Estado se consideran dichos enfoques, mediante las auditorías de cumplimiento</w:t>
      </w:r>
      <w:r>
        <w:rPr>
          <w:rFonts w:ascii="Abadi" w:hAnsi="Abadi" w:cs="*Arial-5808-Identity-H"/>
          <w:color w:val="14141C"/>
          <w:sz w:val="21"/>
          <w:szCs w:val="21"/>
        </w:rPr>
        <w:t xml:space="preserve"> </w:t>
      </w:r>
      <w:r w:rsidRPr="00D9374F">
        <w:rPr>
          <w:rFonts w:ascii="Abadi" w:hAnsi="Abadi" w:cs="*Arial-5808-Identity-H"/>
          <w:color w:val="14141C"/>
          <w:sz w:val="21"/>
          <w:szCs w:val="21"/>
        </w:rPr>
        <w:t>de objetivos o resultados, de diseño y de consistencia y resultados.</w:t>
      </w:r>
    </w:p>
    <w:p w14:paraId="3113F0BA" w14:textId="77777777" w:rsidR="00C54578" w:rsidRPr="00D9374F" w:rsidRDefault="00C54578" w:rsidP="00C54578">
      <w:pPr>
        <w:autoSpaceDE w:val="0"/>
        <w:autoSpaceDN w:val="0"/>
        <w:adjustRightInd w:val="0"/>
        <w:jc w:val="both"/>
        <w:rPr>
          <w:rFonts w:ascii="Abadi" w:hAnsi="Abadi" w:cs="*Arial-5808-Identity-H"/>
          <w:color w:val="14141C"/>
          <w:sz w:val="21"/>
          <w:szCs w:val="21"/>
        </w:rPr>
      </w:pPr>
    </w:p>
    <w:p w14:paraId="6506EA9B" w14:textId="77777777" w:rsidR="00C54578" w:rsidRDefault="00C54578" w:rsidP="00C54578">
      <w:pPr>
        <w:autoSpaceDE w:val="0"/>
        <w:autoSpaceDN w:val="0"/>
        <w:adjustRightInd w:val="0"/>
        <w:ind w:firstLine="708"/>
        <w:jc w:val="both"/>
        <w:rPr>
          <w:rFonts w:ascii="Abadi" w:hAnsi="Abadi" w:cs="*Arial-5808-Identity-H"/>
          <w:color w:val="15141B"/>
          <w:sz w:val="21"/>
          <w:szCs w:val="21"/>
        </w:rPr>
      </w:pPr>
      <w:r w:rsidRPr="00D9374F">
        <w:rPr>
          <w:rFonts w:ascii="Abadi" w:hAnsi="Abadi" w:cs="*Arial-5808-Identity-H"/>
          <w:color w:val="15141B"/>
          <w:sz w:val="21"/>
          <w:szCs w:val="21"/>
        </w:rPr>
        <w:t>En la auditoría que nos ocupa se aplicó un enfoque de resultados y se</w:t>
      </w:r>
      <w:r>
        <w:rPr>
          <w:rFonts w:ascii="Abadi" w:hAnsi="Abadi" w:cs="*Arial-5808-Identity-H"/>
          <w:color w:val="15141B"/>
          <w:sz w:val="21"/>
          <w:szCs w:val="21"/>
        </w:rPr>
        <w:t xml:space="preserve"> </w:t>
      </w:r>
      <w:r w:rsidRPr="00D9374F">
        <w:rPr>
          <w:rFonts w:ascii="Abadi" w:hAnsi="Abadi" w:cs="*Arial-5808-Identity-H"/>
          <w:color w:val="15141B"/>
          <w:sz w:val="21"/>
          <w:szCs w:val="21"/>
        </w:rPr>
        <w:t>incluyó en el Programa General de Fiscalización 2021, considerando diversos</w:t>
      </w:r>
      <w:r>
        <w:rPr>
          <w:rFonts w:ascii="Abadi" w:hAnsi="Abadi" w:cs="*Arial-5808-Identity-H"/>
          <w:color w:val="15141B"/>
          <w:sz w:val="21"/>
          <w:szCs w:val="21"/>
        </w:rPr>
        <w:t xml:space="preserve"> </w:t>
      </w:r>
      <w:r w:rsidRPr="00D9374F">
        <w:rPr>
          <w:rFonts w:ascii="Abadi" w:hAnsi="Abadi" w:cs="*Arial-5808-Identity-H"/>
          <w:color w:val="15141B"/>
          <w:sz w:val="21"/>
          <w:szCs w:val="21"/>
        </w:rPr>
        <w:t>criterios metodológicos expuestos en dicho Programa.</w:t>
      </w:r>
    </w:p>
    <w:p w14:paraId="556330BF" w14:textId="77777777" w:rsidR="00C54578" w:rsidRPr="00D9374F" w:rsidRDefault="00C54578" w:rsidP="00C54578">
      <w:pPr>
        <w:autoSpaceDE w:val="0"/>
        <w:autoSpaceDN w:val="0"/>
        <w:adjustRightInd w:val="0"/>
        <w:jc w:val="both"/>
        <w:rPr>
          <w:rFonts w:ascii="Abadi" w:hAnsi="Abadi" w:cs="*Arial-5808-Identity-H"/>
          <w:color w:val="15141B"/>
          <w:sz w:val="21"/>
          <w:szCs w:val="21"/>
        </w:rPr>
      </w:pPr>
    </w:p>
    <w:p w14:paraId="5951F391" w14:textId="77777777" w:rsidR="00C54578" w:rsidRDefault="00C54578" w:rsidP="00C54578">
      <w:pPr>
        <w:autoSpaceDE w:val="0"/>
        <w:autoSpaceDN w:val="0"/>
        <w:adjustRightInd w:val="0"/>
        <w:ind w:firstLine="708"/>
        <w:jc w:val="both"/>
        <w:rPr>
          <w:rFonts w:ascii="Abadi" w:hAnsi="Abadi" w:cs="*Arial-5808-Identity-H"/>
          <w:color w:val="15141C"/>
          <w:sz w:val="21"/>
          <w:szCs w:val="21"/>
        </w:rPr>
      </w:pPr>
      <w:r w:rsidRPr="00D9374F">
        <w:rPr>
          <w:rFonts w:ascii="Abadi" w:hAnsi="Abadi" w:cs="*Arial-5808-Identity-H"/>
          <w:color w:val="15141C"/>
          <w:sz w:val="21"/>
          <w:szCs w:val="21"/>
        </w:rPr>
        <w:t>Dicha auditoría tuvo como objetivo general verificar la capacidad del</w:t>
      </w:r>
      <w:r>
        <w:rPr>
          <w:rFonts w:ascii="Abadi" w:hAnsi="Abadi" w:cs="*Arial-5808-Identity-H"/>
          <w:color w:val="15141C"/>
          <w:sz w:val="21"/>
          <w:szCs w:val="21"/>
        </w:rPr>
        <w:t xml:space="preserve"> </w:t>
      </w:r>
      <w:r w:rsidRPr="00D9374F">
        <w:rPr>
          <w:rFonts w:ascii="Abadi" w:hAnsi="Abadi" w:cs="*Arial-5808-Identity-H"/>
          <w:color w:val="15141C"/>
          <w:sz w:val="21"/>
          <w:szCs w:val="21"/>
        </w:rPr>
        <w:t>Municipio para la prestación eficaz del servicio de alumbrado público y la eficiencia</w:t>
      </w:r>
      <w:r>
        <w:rPr>
          <w:rFonts w:ascii="Abadi" w:hAnsi="Abadi" w:cs="*Arial-5808-Identity-H"/>
          <w:color w:val="15141C"/>
          <w:sz w:val="21"/>
          <w:szCs w:val="21"/>
        </w:rPr>
        <w:t xml:space="preserve"> </w:t>
      </w:r>
      <w:r w:rsidRPr="00D9374F">
        <w:rPr>
          <w:rFonts w:ascii="Abadi" w:hAnsi="Abadi" w:cs="*Arial-5808-Identity-H"/>
          <w:color w:val="15141C"/>
          <w:sz w:val="21"/>
          <w:szCs w:val="21"/>
        </w:rPr>
        <w:t>en sus funciones de planificación, operación y seguimiento.</w:t>
      </w:r>
    </w:p>
    <w:p w14:paraId="37F9D5E5" w14:textId="77777777" w:rsidR="00C54578" w:rsidRPr="00D9374F" w:rsidRDefault="00C54578" w:rsidP="00C54578">
      <w:pPr>
        <w:autoSpaceDE w:val="0"/>
        <w:autoSpaceDN w:val="0"/>
        <w:adjustRightInd w:val="0"/>
        <w:jc w:val="both"/>
        <w:rPr>
          <w:rFonts w:ascii="Abadi" w:hAnsi="Abadi" w:cs="*Arial-5808-Identity-H"/>
          <w:color w:val="15141C"/>
          <w:sz w:val="21"/>
          <w:szCs w:val="21"/>
        </w:rPr>
      </w:pPr>
    </w:p>
    <w:p w14:paraId="068F9254" w14:textId="77777777" w:rsidR="00C54578" w:rsidRDefault="00C54578" w:rsidP="00C54578">
      <w:pPr>
        <w:autoSpaceDE w:val="0"/>
        <w:autoSpaceDN w:val="0"/>
        <w:adjustRightInd w:val="0"/>
        <w:ind w:firstLine="708"/>
        <w:jc w:val="both"/>
        <w:rPr>
          <w:rFonts w:ascii="Abadi" w:hAnsi="Abadi" w:cs="*Arial-7921-Identity-H"/>
          <w:color w:val="14131C"/>
          <w:sz w:val="21"/>
          <w:szCs w:val="21"/>
        </w:rPr>
      </w:pPr>
      <w:r w:rsidRPr="00D9374F">
        <w:rPr>
          <w:rFonts w:ascii="Abadi" w:hAnsi="Abadi" w:cs="*Arial-5808-Identity-H"/>
          <w:color w:val="14141C"/>
          <w:sz w:val="21"/>
          <w:szCs w:val="21"/>
        </w:rPr>
        <w:t>En cuanto a la temporalidad, el alcance de la auditoría abarcó el periodo</w:t>
      </w:r>
      <w:r>
        <w:rPr>
          <w:rFonts w:ascii="Abadi" w:hAnsi="Abadi" w:cs="*Arial-5808-Identity-H"/>
          <w:color w:val="14141C"/>
          <w:sz w:val="21"/>
          <w:szCs w:val="21"/>
        </w:rPr>
        <w:t xml:space="preserve"> </w:t>
      </w:r>
      <w:r w:rsidRPr="00D9374F">
        <w:rPr>
          <w:rFonts w:ascii="Abadi" w:hAnsi="Abadi" w:cs="*Arial-5808-Identity-H"/>
          <w:color w:val="14141C"/>
          <w:sz w:val="21"/>
          <w:szCs w:val="21"/>
        </w:rPr>
        <w:t>comprendido de enero a diciembre del ejercicio fiscal 2020; asimismo, respecto a</w:t>
      </w:r>
      <w:r>
        <w:rPr>
          <w:rFonts w:ascii="Abadi" w:hAnsi="Abadi" w:cs="*Arial-5808-Identity-H"/>
          <w:color w:val="14141C"/>
          <w:sz w:val="21"/>
          <w:szCs w:val="21"/>
        </w:rPr>
        <w:t xml:space="preserve"> </w:t>
      </w:r>
      <w:r w:rsidRPr="00D9374F">
        <w:rPr>
          <w:rFonts w:ascii="Abadi" w:hAnsi="Abadi" w:cs="*Arial-5808-Identity-H"/>
          <w:color w:val="14141C"/>
          <w:sz w:val="21"/>
          <w:szCs w:val="21"/>
        </w:rPr>
        <w:t>la profundidad temática se revisó la eficiencia en la gestión de la información que</w:t>
      </w:r>
      <w:r>
        <w:rPr>
          <w:rFonts w:ascii="Abadi" w:hAnsi="Abadi" w:cs="*Arial-5808-Identity-H"/>
          <w:color w:val="14141C"/>
          <w:sz w:val="21"/>
          <w:szCs w:val="21"/>
        </w:rPr>
        <w:t xml:space="preserve"> </w:t>
      </w:r>
      <w:r w:rsidRPr="00D9374F">
        <w:rPr>
          <w:rFonts w:ascii="Abadi" w:hAnsi="Abadi" w:cs="*Arial-5808-Identity-H"/>
          <w:color w:val="14141C"/>
          <w:sz w:val="21"/>
          <w:szCs w:val="21"/>
        </w:rPr>
        <w:t>dispone el Municipio para identificar la estimación tanto de la oferta del servicio de</w:t>
      </w:r>
      <w:r>
        <w:rPr>
          <w:rFonts w:ascii="Abadi" w:hAnsi="Abadi" w:cs="*Arial-5808-Identity-H"/>
          <w:color w:val="14141C"/>
          <w:sz w:val="21"/>
          <w:szCs w:val="21"/>
        </w:rPr>
        <w:t xml:space="preserve"> </w:t>
      </w:r>
      <w:r w:rsidRPr="00D9374F">
        <w:rPr>
          <w:rFonts w:ascii="Abadi" w:hAnsi="Abadi" w:cs="*Arial-5808-Identity-H"/>
          <w:color w:val="14141C"/>
          <w:sz w:val="21"/>
          <w:szCs w:val="21"/>
        </w:rPr>
        <w:t>alumbrado público como de los recursos necesarios para su implementación;</w:t>
      </w:r>
      <w:r>
        <w:rPr>
          <w:rFonts w:ascii="Abadi" w:hAnsi="Abadi" w:cs="*Arial-5808-Identity-H"/>
          <w:color w:val="14141C"/>
          <w:sz w:val="21"/>
          <w:szCs w:val="21"/>
        </w:rPr>
        <w:t xml:space="preserve"> </w:t>
      </w:r>
      <w:r w:rsidRPr="00D9374F">
        <w:rPr>
          <w:rFonts w:ascii="Abadi" w:hAnsi="Abadi" w:cs="*Arial-5808-Identity-H"/>
          <w:color w:val="14141C"/>
          <w:sz w:val="21"/>
          <w:szCs w:val="21"/>
        </w:rPr>
        <w:t>sobre el estado que guarda la organización del Municipio para brindar el servicio</w:t>
      </w:r>
      <w:r>
        <w:rPr>
          <w:rFonts w:ascii="Abadi" w:hAnsi="Abadi" w:cs="*Arial-5808-Identity-H"/>
          <w:color w:val="14141C"/>
          <w:sz w:val="21"/>
          <w:szCs w:val="21"/>
        </w:rPr>
        <w:t xml:space="preserve"> </w:t>
      </w:r>
      <w:r w:rsidRPr="00D9374F">
        <w:rPr>
          <w:rFonts w:ascii="Abadi" w:hAnsi="Abadi" w:cs="*Arial-5808-Identity-H"/>
          <w:color w:val="14141C"/>
          <w:sz w:val="21"/>
          <w:szCs w:val="21"/>
        </w:rPr>
        <w:t>de alumbrado público y la gestión de la calidad sobre sus procesos clave; y el uso</w:t>
      </w:r>
      <w:r>
        <w:rPr>
          <w:rFonts w:ascii="Abadi" w:hAnsi="Abadi" w:cs="*Arial-5808-Identity-H"/>
          <w:color w:val="14141C"/>
          <w:sz w:val="21"/>
          <w:szCs w:val="21"/>
        </w:rPr>
        <w:t xml:space="preserve"> </w:t>
      </w:r>
      <w:r w:rsidRPr="00D9374F">
        <w:rPr>
          <w:rFonts w:ascii="Abadi" w:hAnsi="Abadi" w:cs="*Arial-5808-Identity-H"/>
          <w:color w:val="14141C"/>
          <w:sz w:val="21"/>
          <w:szCs w:val="21"/>
        </w:rPr>
        <w:t>de herramientas para la planificación operativa y el seguimiento de las actividades</w:t>
      </w:r>
      <w:r>
        <w:rPr>
          <w:rFonts w:ascii="Abadi" w:hAnsi="Abadi" w:cs="*Arial-5808-Identity-H"/>
          <w:color w:val="14141C"/>
          <w:sz w:val="21"/>
          <w:szCs w:val="21"/>
        </w:rPr>
        <w:t xml:space="preserve"> </w:t>
      </w:r>
      <w:r w:rsidRPr="00D9374F">
        <w:rPr>
          <w:rFonts w:ascii="Abadi" w:hAnsi="Abadi" w:cs="*Arial-5808-Identity-H"/>
          <w:color w:val="14141C"/>
          <w:sz w:val="21"/>
          <w:szCs w:val="21"/>
        </w:rPr>
        <w:t>vinculadas a la atención de reportes por fallas en el servicio. Así como, la eficacia</w:t>
      </w:r>
      <w:r>
        <w:rPr>
          <w:rFonts w:ascii="Abadi" w:hAnsi="Abadi" w:cs="*Arial-5808-Identity-H"/>
          <w:color w:val="14141C"/>
          <w:sz w:val="21"/>
          <w:szCs w:val="21"/>
        </w:rPr>
        <w:t xml:space="preserve"> </w:t>
      </w:r>
      <w:r w:rsidRPr="00D9374F">
        <w:rPr>
          <w:rFonts w:ascii="Abadi" w:hAnsi="Abadi" w:cs="*Arial-5808-Identity-H"/>
          <w:color w:val="14141C"/>
          <w:sz w:val="21"/>
          <w:szCs w:val="21"/>
        </w:rPr>
        <w:t>en los resultados de la capacidad municipal en la prestación del servicio de</w:t>
      </w:r>
      <w:r>
        <w:rPr>
          <w:rFonts w:ascii="Abadi" w:hAnsi="Abadi" w:cs="*Arial-5808-Identity-H"/>
          <w:color w:val="14141C"/>
          <w:sz w:val="21"/>
          <w:szCs w:val="21"/>
        </w:rPr>
        <w:t xml:space="preserve"> </w:t>
      </w:r>
      <w:r w:rsidRPr="00D9374F">
        <w:rPr>
          <w:rFonts w:ascii="Abadi" w:hAnsi="Abadi" w:cs="*Arial-5808-Identity-H"/>
          <w:color w:val="14141C"/>
          <w:sz w:val="21"/>
          <w:szCs w:val="21"/>
        </w:rPr>
        <w:t>alumbrado público en el ejercicio 2020 a partir del grado de funcionamiento de las</w:t>
      </w:r>
      <w:r>
        <w:rPr>
          <w:rFonts w:ascii="Abadi" w:hAnsi="Abadi" w:cs="*Arial-5808-Identity-H"/>
          <w:color w:val="14141C"/>
          <w:sz w:val="21"/>
          <w:szCs w:val="21"/>
        </w:rPr>
        <w:t xml:space="preserve"> </w:t>
      </w:r>
      <w:r w:rsidRPr="00D9374F">
        <w:rPr>
          <w:rFonts w:ascii="Abadi" w:hAnsi="Abadi" w:cs="*Arial-5808-Identity-H"/>
          <w:color w:val="14141C"/>
          <w:sz w:val="21"/>
          <w:szCs w:val="21"/>
        </w:rPr>
        <w:t>luminarias que lo conforman, la cobertura lograda y la satisfacción ciudadana</w:t>
      </w:r>
      <w:r>
        <w:rPr>
          <w:rFonts w:ascii="Abadi" w:hAnsi="Abadi" w:cs="*Arial-5808-Identity-H"/>
          <w:color w:val="14141C"/>
          <w:sz w:val="21"/>
          <w:szCs w:val="21"/>
        </w:rPr>
        <w:t xml:space="preserve"> </w:t>
      </w:r>
      <w:r w:rsidRPr="00D9374F">
        <w:rPr>
          <w:rFonts w:ascii="Abadi" w:hAnsi="Abadi" w:cs="*Arial-7921-Identity-H"/>
          <w:color w:val="14131C"/>
          <w:sz w:val="21"/>
          <w:szCs w:val="21"/>
        </w:rPr>
        <w:t>sobre el servicio, y de la relevancia y suficiencia de los mecanismos que permiten</w:t>
      </w:r>
      <w:r>
        <w:rPr>
          <w:rFonts w:ascii="Abadi" w:hAnsi="Abadi" w:cs="*Arial-7921-Identity-H"/>
          <w:color w:val="14131C"/>
          <w:sz w:val="21"/>
          <w:szCs w:val="21"/>
        </w:rPr>
        <w:t xml:space="preserve"> </w:t>
      </w:r>
      <w:r w:rsidRPr="00D9374F">
        <w:rPr>
          <w:rFonts w:ascii="Abadi" w:hAnsi="Abadi" w:cs="*Arial-7921-Identity-H"/>
          <w:color w:val="14131C"/>
          <w:sz w:val="21"/>
          <w:szCs w:val="21"/>
        </w:rPr>
        <w:t>monitorear el desempeño y los resultados del servicio.</w:t>
      </w:r>
    </w:p>
    <w:p w14:paraId="4CED55B7" w14:textId="77777777" w:rsidR="00C54578" w:rsidRPr="00D9374F" w:rsidRDefault="00C54578" w:rsidP="00C54578">
      <w:pPr>
        <w:autoSpaceDE w:val="0"/>
        <w:autoSpaceDN w:val="0"/>
        <w:adjustRightInd w:val="0"/>
        <w:jc w:val="both"/>
        <w:rPr>
          <w:rFonts w:ascii="Abadi" w:hAnsi="Abadi" w:cs="*Arial-7921-Identity-H"/>
          <w:color w:val="14131C"/>
          <w:sz w:val="21"/>
          <w:szCs w:val="21"/>
        </w:rPr>
      </w:pPr>
    </w:p>
    <w:p w14:paraId="47FE25F8" w14:textId="77777777" w:rsidR="00C54578" w:rsidRDefault="00C54578" w:rsidP="00C54578">
      <w:pPr>
        <w:autoSpaceDE w:val="0"/>
        <w:autoSpaceDN w:val="0"/>
        <w:adjustRightInd w:val="0"/>
        <w:ind w:firstLine="708"/>
        <w:jc w:val="both"/>
        <w:rPr>
          <w:rFonts w:ascii="Abadi" w:hAnsi="Abadi" w:cs="*Arial-7921-Identity-H"/>
          <w:color w:val="14131B"/>
          <w:sz w:val="21"/>
          <w:szCs w:val="21"/>
        </w:rPr>
      </w:pPr>
      <w:r w:rsidRPr="00D9374F">
        <w:rPr>
          <w:rFonts w:ascii="Abadi" w:hAnsi="Abadi" w:cs="*Arial-7921-Identity-H"/>
          <w:color w:val="14131B"/>
          <w:sz w:val="21"/>
          <w:szCs w:val="21"/>
        </w:rPr>
        <w:t>Respecto a los antecedentes del proceso de fiscalización, estos ya se</w:t>
      </w:r>
      <w:r>
        <w:rPr>
          <w:rFonts w:ascii="Abadi" w:hAnsi="Abadi" w:cs="*Arial-7921-Identity-H"/>
          <w:color w:val="14131B"/>
          <w:sz w:val="21"/>
          <w:szCs w:val="21"/>
        </w:rPr>
        <w:t xml:space="preserve"> </w:t>
      </w:r>
      <w:r w:rsidRPr="00D9374F">
        <w:rPr>
          <w:rFonts w:ascii="Abadi" w:hAnsi="Abadi" w:cs="*Arial-7921-Identity-H"/>
          <w:color w:val="14131B"/>
          <w:sz w:val="21"/>
          <w:szCs w:val="21"/>
        </w:rPr>
        <w:t>detallaron en el apartado correspondiente.</w:t>
      </w:r>
    </w:p>
    <w:p w14:paraId="7C0388C9" w14:textId="77777777" w:rsidR="00C54578" w:rsidRPr="00D9374F" w:rsidRDefault="00C54578" w:rsidP="00C54578">
      <w:pPr>
        <w:autoSpaceDE w:val="0"/>
        <w:autoSpaceDN w:val="0"/>
        <w:adjustRightInd w:val="0"/>
        <w:jc w:val="both"/>
        <w:rPr>
          <w:rFonts w:ascii="Abadi" w:hAnsi="Abadi" w:cs="*Arial-7921-Identity-H"/>
          <w:color w:val="14131B"/>
          <w:sz w:val="21"/>
          <w:szCs w:val="21"/>
        </w:rPr>
      </w:pPr>
      <w:r>
        <w:rPr>
          <w:rFonts w:ascii="Abadi" w:hAnsi="Abadi" w:cs="*Arial-7921-Identity-H"/>
          <w:color w:val="14131B"/>
          <w:sz w:val="21"/>
          <w:szCs w:val="21"/>
        </w:rPr>
        <w:t xml:space="preserve"> </w:t>
      </w:r>
    </w:p>
    <w:p w14:paraId="2EA3843A" w14:textId="77777777" w:rsidR="00C54578" w:rsidRDefault="00C54578" w:rsidP="00C54578">
      <w:pPr>
        <w:autoSpaceDE w:val="0"/>
        <w:autoSpaceDN w:val="0"/>
        <w:adjustRightInd w:val="0"/>
        <w:ind w:firstLine="708"/>
        <w:jc w:val="both"/>
        <w:rPr>
          <w:rFonts w:ascii="Abadi" w:hAnsi="Abadi" w:cs="*Arial-7921-Identity-H"/>
          <w:color w:val="14131B"/>
          <w:sz w:val="21"/>
          <w:szCs w:val="21"/>
        </w:rPr>
      </w:pPr>
      <w:r w:rsidRPr="00D9374F">
        <w:rPr>
          <w:rFonts w:ascii="Abadi" w:hAnsi="Abadi" w:cs="*Arial-7921-Identity-H"/>
          <w:color w:val="14131B"/>
          <w:sz w:val="21"/>
          <w:szCs w:val="21"/>
        </w:rPr>
        <w:t>En cuanto al contexto de la política pública de la materia a auditar, se</w:t>
      </w:r>
      <w:r>
        <w:rPr>
          <w:rFonts w:ascii="Abadi" w:hAnsi="Abadi" w:cs="*Arial-7921-Identity-H"/>
          <w:color w:val="14131B"/>
          <w:sz w:val="21"/>
          <w:szCs w:val="21"/>
        </w:rPr>
        <w:t xml:space="preserve"> </w:t>
      </w:r>
      <w:r w:rsidRPr="00D9374F">
        <w:rPr>
          <w:rFonts w:ascii="Abadi" w:hAnsi="Abadi" w:cs="*Arial-7921-Identity-H"/>
          <w:color w:val="14131B"/>
          <w:sz w:val="21"/>
          <w:szCs w:val="21"/>
        </w:rPr>
        <w:t>refiere que el Municipio libre es la base de la división territorial del Estado, de su</w:t>
      </w:r>
      <w:r>
        <w:rPr>
          <w:rFonts w:ascii="Abadi" w:hAnsi="Abadi" w:cs="*Arial-7921-Identity-H"/>
          <w:color w:val="14131B"/>
          <w:sz w:val="21"/>
          <w:szCs w:val="21"/>
        </w:rPr>
        <w:t xml:space="preserve"> </w:t>
      </w:r>
      <w:r w:rsidRPr="00D9374F">
        <w:rPr>
          <w:rFonts w:ascii="Abadi" w:hAnsi="Abadi" w:cs="*Arial-7921-Identity-H"/>
          <w:color w:val="14131B"/>
          <w:sz w:val="21"/>
          <w:szCs w:val="21"/>
        </w:rPr>
        <w:t>organización política y administrativa, y como principio de legalidad la autoridad</w:t>
      </w:r>
      <w:r>
        <w:rPr>
          <w:rFonts w:ascii="Abadi" w:hAnsi="Abadi" w:cs="*Arial-7921-Identity-H"/>
          <w:color w:val="14131B"/>
          <w:sz w:val="21"/>
          <w:szCs w:val="21"/>
        </w:rPr>
        <w:t xml:space="preserve"> </w:t>
      </w:r>
      <w:r w:rsidRPr="00D9374F">
        <w:rPr>
          <w:rFonts w:ascii="Abadi" w:hAnsi="Abadi" w:cs="*Arial-7921-Identity-H"/>
          <w:color w:val="14131B"/>
          <w:sz w:val="21"/>
          <w:szCs w:val="21"/>
        </w:rPr>
        <w:t>municipal puede hacer únicamente lo que la ley le concede, encontrándose dentro</w:t>
      </w:r>
      <w:r>
        <w:rPr>
          <w:rFonts w:ascii="Abadi" w:hAnsi="Abadi" w:cs="*Arial-7921-Identity-H"/>
          <w:color w:val="14131B"/>
          <w:sz w:val="21"/>
          <w:szCs w:val="21"/>
        </w:rPr>
        <w:t xml:space="preserve"> </w:t>
      </w:r>
      <w:r w:rsidRPr="00D9374F">
        <w:rPr>
          <w:rFonts w:ascii="Abadi" w:hAnsi="Abadi" w:cs="*Arial-7921-Identity-H"/>
          <w:color w:val="14131B"/>
          <w:sz w:val="21"/>
          <w:szCs w:val="21"/>
        </w:rPr>
        <w:t>de sus atribuciones la de otorgar los servicios públicos al Municipio.</w:t>
      </w:r>
    </w:p>
    <w:p w14:paraId="52146CA0" w14:textId="77777777" w:rsidR="00C54578" w:rsidRPr="00D9374F" w:rsidRDefault="00C54578" w:rsidP="00C54578">
      <w:pPr>
        <w:autoSpaceDE w:val="0"/>
        <w:autoSpaceDN w:val="0"/>
        <w:adjustRightInd w:val="0"/>
        <w:jc w:val="both"/>
        <w:rPr>
          <w:rFonts w:ascii="Abadi" w:hAnsi="Abadi" w:cs="*Arial-7921-Identity-H"/>
          <w:color w:val="14131B"/>
          <w:sz w:val="21"/>
          <w:szCs w:val="21"/>
        </w:rPr>
      </w:pPr>
    </w:p>
    <w:p w14:paraId="749821DE" w14:textId="62E7476B" w:rsidR="00C54578" w:rsidRDefault="00C54578" w:rsidP="00C54578">
      <w:pPr>
        <w:autoSpaceDE w:val="0"/>
        <w:autoSpaceDN w:val="0"/>
        <w:adjustRightInd w:val="0"/>
        <w:ind w:firstLine="708"/>
        <w:jc w:val="both"/>
        <w:rPr>
          <w:rFonts w:ascii="Abadi" w:hAnsi="Abadi" w:cs="*Times New Roman-Italic-7919-Id"/>
          <w:i/>
          <w:iCs/>
          <w:color w:val="15141B"/>
          <w:sz w:val="21"/>
          <w:szCs w:val="21"/>
        </w:rPr>
      </w:pPr>
      <w:r w:rsidRPr="00D9374F">
        <w:rPr>
          <w:rFonts w:ascii="Abadi" w:hAnsi="Abadi" w:cs="*Arial-7921-Identity-H"/>
          <w:color w:val="15141B"/>
          <w:sz w:val="21"/>
          <w:szCs w:val="21"/>
        </w:rPr>
        <w:t xml:space="preserve">También se precisa que el servicio público </w:t>
      </w:r>
      <w:r w:rsidRPr="00D9374F">
        <w:rPr>
          <w:rFonts w:ascii="Abadi" w:hAnsi="Abadi" w:cs="*Arial-Italic-7922-Identity-H"/>
          <w:i/>
          <w:iCs/>
          <w:color w:val="15141B"/>
          <w:sz w:val="21"/>
          <w:szCs w:val="21"/>
        </w:rPr>
        <w:t>«es la institución jurídica</w:t>
      </w:r>
      <w:r>
        <w:rPr>
          <w:rFonts w:ascii="Abadi" w:hAnsi="Abadi" w:cs="*Arial-Italic-7922-Identity-H"/>
          <w:i/>
          <w:iCs/>
          <w:color w:val="15141B"/>
          <w:sz w:val="21"/>
          <w:szCs w:val="21"/>
        </w:rPr>
        <w:t xml:space="preserve"> </w:t>
      </w:r>
      <w:r w:rsidRPr="00D9374F">
        <w:rPr>
          <w:rFonts w:ascii="Abadi" w:hAnsi="Abadi" w:cs="*Arial-Italic-7922-Identity-H"/>
          <w:i/>
          <w:iCs/>
          <w:color w:val="15141B"/>
          <w:sz w:val="21"/>
          <w:szCs w:val="21"/>
        </w:rPr>
        <w:t>administrativa en la que el titular es el Estado (municipio) y cuya única finalidad</w:t>
      </w:r>
      <w:r>
        <w:rPr>
          <w:rFonts w:ascii="Abadi" w:hAnsi="Abadi" w:cs="*Arial-Italic-7922-Identity-H"/>
          <w:i/>
          <w:iCs/>
          <w:color w:val="15141B"/>
          <w:sz w:val="21"/>
          <w:szCs w:val="21"/>
        </w:rPr>
        <w:t xml:space="preserve"> </w:t>
      </w:r>
      <w:r w:rsidRPr="00D9374F">
        <w:rPr>
          <w:rFonts w:ascii="Abadi" w:hAnsi="Abadi" w:cs="*Arial-Italic-7922-Identity-H"/>
          <w:i/>
          <w:iCs/>
          <w:color w:val="15141B"/>
          <w:sz w:val="21"/>
          <w:szCs w:val="21"/>
        </w:rPr>
        <w:t>consiste en satisfacer de manera regular, continua y uniforme necesidades</w:t>
      </w:r>
      <w:r>
        <w:rPr>
          <w:rFonts w:ascii="Abadi" w:hAnsi="Abadi" w:cs="*Arial-Italic-7922-Identity-H"/>
          <w:i/>
          <w:iCs/>
          <w:color w:val="15141B"/>
          <w:sz w:val="21"/>
          <w:szCs w:val="21"/>
        </w:rPr>
        <w:t xml:space="preserve"> </w:t>
      </w:r>
      <w:r w:rsidRPr="00D9374F">
        <w:rPr>
          <w:rFonts w:ascii="Abadi" w:hAnsi="Abadi" w:cs="*Arial-Italic-7922-Identity-H"/>
          <w:i/>
          <w:iCs/>
          <w:color w:val="15141B"/>
          <w:sz w:val="21"/>
          <w:szCs w:val="21"/>
        </w:rPr>
        <w:t xml:space="preserve">públicas de carácter esencial, básico o fundamental; se concreta </w:t>
      </w:r>
      <w:r w:rsidRPr="00D9374F">
        <w:rPr>
          <w:rFonts w:ascii="Abadi" w:hAnsi="Abadi" w:cs="*Arial-7921-Identity-H"/>
          <w:color w:val="15141B"/>
          <w:sz w:val="21"/>
          <w:szCs w:val="21"/>
        </w:rPr>
        <w:t xml:space="preserve">a </w:t>
      </w:r>
      <w:r w:rsidRPr="00D9374F">
        <w:rPr>
          <w:rFonts w:ascii="Abadi" w:hAnsi="Abadi" w:cs="*Arial-Italic-7922-Identity-H"/>
          <w:i/>
          <w:iCs/>
          <w:color w:val="15141B"/>
          <w:sz w:val="21"/>
          <w:szCs w:val="21"/>
        </w:rPr>
        <w:t>través de las</w:t>
      </w:r>
      <w:r>
        <w:rPr>
          <w:rFonts w:ascii="Abadi" w:hAnsi="Abadi" w:cs="*Arial-Italic-7922-Identity-H"/>
          <w:i/>
          <w:iCs/>
          <w:color w:val="15141B"/>
          <w:sz w:val="21"/>
          <w:szCs w:val="21"/>
        </w:rPr>
        <w:t xml:space="preserve"> </w:t>
      </w:r>
      <w:r w:rsidRPr="00D9374F">
        <w:rPr>
          <w:rFonts w:ascii="Abadi" w:hAnsi="Abadi" w:cs="*Arial-Italic-7922-Identity-H"/>
          <w:i/>
          <w:iCs/>
          <w:color w:val="15141B"/>
          <w:sz w:val="21"/>
          <w:szCs w:val="21"/>
        </w:rPr>
        <w:t>prestaciones individualizadas las cuales podrán ser sumini</w:t>
      </w:r>
      <w:r>
        <w:rPr>
          <w:rFonts w:ascii="Abadi" w:hAnsi="Abadi" w:cs="*Arial-Italic-7922-Identity-H"/>
          <w:i/>
          <w:iCs/>
          <w:color w:val="15141B"/>
          <w:sz w:val="21"/>
          <w:szCs w:val="21"/>
        </w:rPr>
        <w:t>stradas</w:t>
      </w:r>
      <w:r w:rsidRPr="00D9374F">
        <w:rPr>
          <w:rFonts w:ascii="Abadi" w:hAnsi="Abadi" w:cs="*Arial-Italic-7922-Identity-H"/>
          <w:i/>
          <w:iCs/>
          <w:color w:val="15141B"/>
          <w:sz w:val="21"/>
          <w:szCs w:val="21"/>
        </w:rPr>
        <w:t xml:space="preserve"> directamente</w:t>
      </w:r>
      <w:r>
        <w:rPr>
          <w:rFonts w:ascii="Abadi" w:hAnsi="Abadi" w:cs="*Arial-Italic-7922-Identity-H"/>
          <w:i/>
          <w:iCs/>
          <w:color w:val="15141B"/>
          <w:sz w:val="21"/>
          <w:szCs w:val="21"/>
        </w:rPr>
        <w:t xml:space="preserve"> </w:t>
      </w:r>
      <w:r w:rsidRPr="00D9374F">
        <w:rPr>
          <w:rFonts w:ascii="Abadi" w:hAnsi="Abadi" w:cs="*Arial-Italic-7922-Identity-H"/>
          <w:i/>
          <w:iCs/>
          <w:color w:val="15141B"/>
          <w:sz w:val="21"/>
          <w:szCs w:val="21"/>
        </w:rPr>
        <w:t>por el Estado (municipio) o por los particulares mediante concesión. Por su</w:t>
      </w:r>
      <w:r>
        <w:rPr>
          <w:rFonts w:ascii="Abadi" w:hAnsi="Abadi" w:cs="*Arial-Italic-7922-Identity-H"/>
          <w:i/>
          <w:iCs/>
          <w:color w:val="15141B"/>
          <w:sz w:val="21"/>
          <w:szCs w:val="21"/>
        </w:rPr>
        <w:t xml:space="preserve"> </w:t>
      </w:r>
      <w:r w:rsidRPr="00D9374F">
        <w:rPr>
          <w:rFonts w:ascii="Abadi" w:hAnsi="Abadi" w:cs="*Arial-Italic-7922-Identity-H"/>
          <w:i/>
          <w:iCs/>
          <w:color w:val="15141B"/>
          <w:sz w:val="21"/>
          <w:szCs w:val="21"/>
        </w:rPr>
        <w:t xml:space="preserve">naturaleza, estará sujeta </w:t>
      </w:r>
      <w:r w:rsidRPr="00D9374F">
        <w:rPr>
          <w:rFonts w:ascii="Abadi" w:hAnsi="Abadi" w:cs="*Arial-7921-Identity-H"/>
          <w:color w:val="15141B"/>
          <w:sz w:val="21"/>
          <w:szCs w:val="21"/>
        </w:rPr>
        <w:t xml:space="preserve">a </w:t>
      </w:r>
      <w:r w:rsidRPr="00D9374F">
        <w:rPr>
          <w:rFonts w:ascii="Abadi" w:hAnsi="Abadi" w:cs="*Arial-Italic-7922-Identity-H"/>
          <w:i/>
          <w:iCs/>
          <w:color w:val="15141B"/>
          <w:sz w:val="21"/>
          <w:szCs w:val="21"/>
        </w:rPr>
        <w:t xml:space="preserve">normas y principios de derecho público». </w:t>
      </w:r>
      <w:r w:rsidR="00BC6307">
        <w:rPr>
          <w:rStyle w:val="Refdenotaalpie"/>
          <w:rFonts w:ascii="Abadi" w:hAnsi="Abadi" w:cs="*Arial-Italic-7922-Identity-H"/>
          <w:i/>
          <w:iCs/>
          <w:color w:val="15141B"/>
          <w:sz w:val="21"/>
          <w:szCs w:val="21"/>
        </w:rPr>
        <w:footnoteReference w:id="34"/>
      </w:r>
    </w:p>
    <w:p w14:paraId="0B58497F" w14:textId="77777777" w:rsidR="00C54578" w:rsidRPr="00D9374F" w:rsidRDefault="00C54578" w:rsidP="00C54578">
      <w:pPr>
        <w:autoSpaceDE w:val="0"/>
        <w:autoSpaceDN w:val="0"/>
        <w:adjustRightInd w:val="0"/>
        <w:jc w:val="both"/>
        <w:rPr>
          <w:rFonts w:ascii="Abadi" w:hAnsi="Abadi" w:cs="*Times New Roman-Italic-7919-Id"/>
          <w:i/>
          <w:iCs/>
          <w:color w:val="15141B"/>
          <w:sz w:val="21"/>
          <w:szCs w:val="21"/>
        </w:rPr>
      </w:pPr>
    </w:p>
    <w:p w14:paraId="55084CC0" w14:textId="77777777" w:rsidR="00C54578" w:rsidRDefault="00C54578" w:rsidP="00C54578">
      <w:pPr>
        <w:autoSpaceDE w:val="0"/>
        <w:autoSpaceDN w:val="0"/>
        <w:adjustRightInd w:val="0"/>
        <w:ind w:firstLine="708"/>
        <w:jc w:val="both"/>
        <w:rPr>
          <w:rFonts w:ascii="Abadi" w:hAnsi="Abadi" w:cs="*Arial-7921-Identity-H"/>
          <w:color w:val="14131B"/>
          <w:sz w:val="21"/>
          <w:szCs w:val="21"/>
        </w:rPr>
      </w:pPr>
      <w:r w:rsidRPr="00D9374F">
        <w:rPr>
          <w:rFonts w:ascii="Abadi" w:hAnsi="Abadi" w:cs="*Arial-7921-Identity-H"/>
          <w:color w:val="14131B"/>
          <w:sz w:val="21"/>
          <w:szCs w:val="21"/>
        </w:rPr>
        <w:t>Por su parte, la Constitución Política de los Estados Unidos Mexicanos</w:t>
      </w:r>
      <w:r>
        <w:rPr>
          <w:rFonts w:ascii="Abadi" w:hAnsi="Abadi" w:cs="*Arial-7921-Identity-H"/>
          <w:color w:val="14131B"/>
          <w:sz w:val="21"/>
          <w:szCs w:val="21"/>
        </w:rPr>
        <w:t xml:space="preserve"> </w:t>
      </w:r>
      <w:r w:rsidRPr="00D9374F">
        <w:rPr>
          <w:rFonts w:ascii="Abadi" w:hAnsi="Abadi" w:cs="*Arial-7921-Identity-H"/>
          <w:color w:val="14131B"/>
          <w:sz w:val="21"/>
          <w:szCs w:val="21"/>
        </w:rPr>
        <w:t>establece en términos generales en su artículo 115 la base del municipio a través</w:t>
      </w:r>
      <w:r>
        <w:rPr>
          <w:rFonts w:ascii="Abadi" w:hAnsi="Abadi" w:cs="*Arial-7921-Identity-H"/>
          <w:color w:val="14131B"/>
          <w:sz w:val="21"/>
          <w:szCs w:val="21"/>
        </w:rPr>
        <w:t xml:space="preserve"> </w:t>
      </w:r>
      <w:r w:rsidRPr="00D9374F">
        <w:rPr>
          <w:rFonts w:ascii="Abadi" w:hAnsi="Abadi" w:cs="*Arial-7921-Identity-H"/>
          <w:color w:val="14131B"/>
          <w:sz w:val="21"/>
          <w:szCs w:val="21"/>
        </w:rPr>
        <w:t>de una organización política y administrativa, para lo cual ejercerá funciones</w:t>
      </w:r>
      <w:r>
        <w:rPr>
          <w:rFonts w:ascii="Abadi" w:hAnsi="Abadi" w:cs="*Arial-7921-Identity-H"/>
          <w:color w:val="14131B"/>
          <w:sz w:val="21"/>
          <w:szCs w:val="21"/>
        </w:rPr>
        <w:t xml:space="preserve"> </w:t>
      </w:r>
      <w:r w:rsidRPr="00D9374F">
        <w:rPr>
          <w:rFonts w:ascii="Abadi" w:hAnsi="Abadi" w:cs="*Arial-7921-Identity-H"/>
          <w:color w:val="14131B"/>
          <w:sz w:val="21"/>
          <w:szCs w:val="21"/>
        </w:rPr>
        <w:t>jurisdiccionales, legislativas y administrativas, contando con personalidad jurídica y</w:t>
      </w:r>
      <w:r>
        <w:rPr>
          <w:rFonts w:ascii="Abadi" w:hAnsi="Abadi" w:cs="*Arial-7921-Identity-H"/>
          <w:color w:val="14131B"/>
          <w:sz w:val="21"/>
          <w:szCs w:val="21"/>
        </w:rPr>
        <w:t xml:space="preserve"> </w:t>
      </w:r>
      <w:r w:rsidRPr="00D9374F">
        <w:rPr>
          <w:rFonts w:ascii="Abadi" w:hAnsi="Abadi" w:cs="*Arial-7921-Identity-H"/>
          <w:color w:val="14131B"/>
          <w:sz w:val="21"/>
          <w:szCs w:val="21"/>
        </w:rPr>
        <w:t>con facultades para manejar su patrimonio conforme a las leyes de la materia. En</w:t>
      </w:r>
      <w:r>
        <w:rPr>
          <w:rFonts w:ascii="Abadi" w:hAnsi="Abadi" w:cs="*Arial-7921-Identity-H"/>
          <w:color w:val="14131B"/>
          <w:sz w:val="21"/>
          <w:szCs w:val="21"/>
        </w:rPr>
        <w:t xml:space="preserve"> </w:t>
      </w:r>
      <w:r w:rsidRPr="00D9374F">
        <w:rPr>
          <w:rFonts w:ascii="Abadi" w:hAnsi="Abadi" w:cs="*Arial-7921-Identity-H"/>
          <w:color w:val="14131B"/>
          <w:sz w:val="21"/>
          <w:szCs w:val="21"/>
        </w:rPr>
        <w:t>este sentido, respecto a la prestación de los servicios públicos, el Municipio está</w:t>
      </w:r>
      <w:r>
        <w:rPr>
          <w:rFonts w:ascii="Abadi" w:hAnsi="Abadi" w:cs="*Arial-7921-Identity-H"/>
          <w:color w:val="14131B"/>
          <w:sz w:val="21"/>
          <w:szCs w:val="21"/>
        </w:rPr>
        <w:t xml:space="preserve"> </w:t>
      </w:r>
      <w:r w:rsidRPr="00D9374F">
        <w:rPr>
          <w:rFonts w:ascii="Abadi" w:hAnsi="Abadi" w:cs="*Arial-7921-Identity-H"/>
          <w:color w:val="14131B"/>
          <w:sz w:val="21"/>
          <w:szCs w:val="21"/>
        </w:rPr>
        <w:t>facultado para expedir reglamentos, circulares y disposiciones administrativas de</w:t>
      </w:r>
      <w:r>
        <w:rPr>
          <w:rFonts w:ascii="Abadi" w:hAnsi="Abadi" w:cs="*Arial-7921-Identity-H"/>
          <w:color w:val="14131B"/>
          <w:sz w:val="21"/>
          <w:szCs w:val="21"/>
        </w:rPr>
        <w:t xml:space="preserve"> observancia</w:t>
      </w:r>
      <w:r w:rsidRPr="00D9374F">
        <w:rPr>
          <w:rFonts w:ascii="Abadi" w:hAnsi="Abadi" w:cs="*Arial-7921-Identity-H"/>
          <w:color w:val="14131B"/>
          <w:sz w:val="21"/>
          <w:szCs w:val="21"/>
        </w:rPr>
        <w:t xml:space="preserve"> general dentro de su jurisdicción, que organicen la administración</w:t>
      </w:r>
      <w:r>
        <w:rPr>
          <w:rFonts w:ascii="Abadi" w:hAnsi="Abadi" w:cs="*Arial-7921-Identity-H"/>
          <w:color w:val="14131B"/>
          <w:sz w:val="21"/>
          <w:szCs w:val="21"/>
        </w:rPr>
        <w:t xml:space="preserve"> </w:t>
      </w:r>
      <w:r w:rsidRPr="00D9374F">
        <w:rPr>
          <w:rFonts w:ascii="Abadi" w:hAnsi="Abadi" w:cs="*Arial-7921-Identity-H"/>
          <w:color w:val="14131B"/>
          <w:sz w:val="21"/>
          <w:szCs w:val="21"/>
        </w:rPr>
        <w:t>pública, regulen las materias, procedimiento, funciones y servicios públicos de su</w:t>
      </w:r>
      <w:r>
        <w:rPr>
          <w:rFonts w:ascii="Abadi" w:hAnsi="Abadi" w:cs="*Arial-7921-Identity-H"/>
          <w:color w:val="14131B"/>
          <w:sz w:val="21"/>
          <w:szCs w:val="21"/>
        </w:rPr>
        <w:t xml:space="preserve"> </w:t>
      </w:r>
      <w:r w:rsidRPr="00D9374F">
        <w:rPr>
          <w:rFonts w:ascii="Abadi" w:hAnsi="Abadi" w:cs="*Arial-7921-Identity-H"/>
          <w:color w:val="14131B"/>
          <w:sz w:val="21"/>
          <w:szCs w:val="21"/>
        </w:rPr>
        <w:t>competencia.</w:t>
      </w:r>
    </w:p>
    <w:p w14:paraId="3A7543C2" w14:textId="77777777" w:rsidR="00C54578" w:rsidRPr="00D9374F" w:rsidRDefault="00C54578" w:rsidP="00C54578">
      <w:pPr>
        <w:autoSpaceDE w:val="0"/>
        <w:autoSpaceDN w:val="0"/>
        <w:adjustRightInd w:val="0"/>
        <w:jc w:val="both"/>
        <w:rPr>
          <w:rFonts w:ascii="Abadi" w:hAnsi="Abadi" w:cs="*Arial-7921-Identity-H"/>
          <w:color w:val="14131B"/>
          <w:sz w:val="21"/>
          <w:szCs w:val="21"/>
        </w:rPr>
      </w:pPr>
    </w:p>
    <w:p w14:paraId="3FB5336E" w14:textId="77777777" w:rsidR="00C54578" w:rsidRDefault="00C54578" w:rsidP="00C54578">
      <w:pPr>
        <w:autoSpaceDE w:val="0"/>
        <w:autoSpaceDN w:val="0"/>
        <w:adjustRightInd w:val="0"/>
        <w:ind w:firstLine="708"/>
        <w:jc w:val="both"/>
        <w:rPr>
          <w:rFonts w:ascii="Abadi" w:hAnsi="Abadi" w:cs="*Arial-7921-Identity-H"/>
          <w:color w:val="14131B"/>
          <w:sz w:val="21"/>
          <w:szCs w:val="21"/>
        </w:rPr>
      </w:pPr>
      <w:r w:rsidRPr="00D9374F">
        <w:rPr>
          <w:rFonts w:ascii="Abadi" w:hAnsi="Abadi" w:cs="*Arial-7921-Identity-H"/>
          <w:color w:val="14131B"/>
          <w:sz w:val="21"/>
          <w:szCs w:val="21"/>
        </w:rPr>
        <w:t>De manera específica, el artículo 115 de la Constitución Política de los</w:t>
      </w:r>
      <w:r>
        <w:rPr>
          <w:rFonts w:ascii="Abadi" w:hAnsi="Abadi" w:cs="*Arial-7921-Identity-H"/>
          <w:color w:val="14131B"/>
          <w:sz w:val="21"/>
          <w:szCs w:val="21"/>
        </w:rPr>
        <w:t xml:space="preserve"> </w:t>
      </w:r>
      <w:r w:rsidRPr="00D9374F">
        <w:rPr>
          <w:rFonts w:ascii="Abadi" w:hAnsi="Abadi" w:cs="*Arial-7921-Identity-H"/>
          <w:color w:val="14131B"/>
          <w:sz w:val="21"/>
          <w:szCs w:val="21"/>
        </w:rPr>
        <w:t xml:space="preserve">Estados Unidos Mexicanos, en su fracción </w:t>
      </w:r>
      <w:r>
        <w:rPr>
          <w:rFonts w:ascii="Abadi" w:hAnsi="Abadi" w:cs="*Arial-7921-Identity-H"/>
          <w:color w:val="14131B"/>
          <w:sz w:val="21"/>
          <w:szCs w:val="21"/>
        </w:rPr>
        <w:t>III</w:t>
      </w:r>
      <w:r w:rsidRPr="00D9374F">
        <w:rPr>
          <w:rFonts w:ascii="Abadi" w:hAnsi="Abadi" w:cs="*Arial-7921-Identity-H"/>
          <w:color w:val="14131B"/>
          <w:sz w:val="21"/>
          <w:szCs w:val="21"/>
        </w:rPr>
        <w:t xml:space="preserve"> consigna que los municipios tendrán</w:t>
      </w:r>
      <w:r>
        <w:rPr>
          <w:rFonts w:ascii="Abadi" w:hAnsi="Abadi" w:cs="*Arial-7921-Identity-H"/>
          <w:color w:val="14131B"/>
          <w:sz w:val="21"/>
          <w:szCs w:val="21"/>
        </w:rPr>
        <w:t xml:space="preserve"> </w:t>
      </w:r>
      <w:r w:rsidRPr="00D9374F">
        <w:rPr>
          <w:rFonts w:ascii="Abadi" w:hAnsi="Abadi" w:cs="*Arial-7921-Identity-H"/>
          <w:color w:val="14131B"/>
          <w:sz w:val="21"/>
          <w:szCs w:val="21"/>
        </w:rPr>
        <w:t>a su cargo las funciones y servicios públicos, entre los que señala en el inciso b, el</w:t>
      </w:r>
      <w:r>
        <w:rPr>
          <w:rFonts w:ascii="Abadi" w:hAnsi="Abadi" w:cs="*Arial-7921-Identity-H"/>
          <w:color w:val="14131B"/>
          <w:sz w:val="21"/>
          <w:szCs w:val="21"/>
        </w:rPr>
        <w:t xml:space="preserve"> </w:t>
      </w:r>
      <w:r w:rsidRPr="00D9374F">
        <w:rPr>
          <w:rFonts w:ascii="Abadi" w:hAnsi="Abadi" w:cs="*Arial-7921-Identity-H"/>
          <w:color w:val="14131B"/>
          <w:sz w:val="21"/>
          <w:szCs w:val="21"/>
        </w:rPr>
        <w:t>alumbrado público. Atribución ratificada en la Constitución Política Local en su</w:t>
      </w:r>
      <w:r>
        <w:rPr>
          <w:rFonts w:ascii="Abadi" w:hAnsi="Abadi" w:cs="*Arial-7921-Identity-H"/>
          <w:color w:val="14131B"/>
          <w:sz w:val="21"/>
          <w:szCs w:val="21"/>
        </w:rPr>
        <w:t xml:space="preserve"> </w:t>
      </w:r>
      <w:r w:rsidRPr="00D9374F">
        <w:rPr>
          <w:rFonts w:ascii="Abadi" w:hAnsi="Abadi" w:cs="*Arial-7921-Identity-H"/>
          <w:color w:val="14131B"/>
          <w:sz w:val="21"/>
          <w:szCs w:val="21"/>
        </w:rPr>
        <w:t xml:space="preserve">artículo 117, fracción </w:t>
      </w:r>
      <w:r>
        <w:rPr>
          <w:rFonts w:ascii="Abadi" w:hAnsi="Abadi" w:cs="*Arial-7921-Identity-H"/>
          <w:color w:val="14131B"/>
          <w:sz w:val="21"/>
          <w:szCs w:val="21"/>
        </w:rPr>
        <w:t>III</w:t>
      </w:r>
      <w:r w:rsidRPr="00D9374F">
        <w:rPr>
          <w:rFonts w:ascii="Abadi" w:hAnsi="Abadi" w:cs="*Arial-7921-Identity-H"/>
          <w:color w:val="14131B"/>
          <w:sz w:val="21"/>
          <w:szCs w:val="21"/>
        </w:rPr>
        <w:t>, inciso b.</w:t>
      </w:r>
    </w:p>
    <w:p w14:paraId="2582E784" w14:textId="77777777" w:rsidR="00C54578" w:rsidRPr="00D9374F" w:rsidRDefault="00C54578" w:rsidP="00C54578">
      <w:pPr>
        <w:autoSpaceDE w:val="0"/>
        <w:autoSpaceDN w:val="0"/>
        <w:adjustRightInd w:val="0"/>
        <w:jc w:val="both"/>
        <w:rPr>
          <w:rFonts w:ascii="Abadi" w:hAnsi="Abadi" w:cs="*Arial-7921-Identity-H"/>
          <w:color w:val="14131B"/>
          <w:sz w:val="21"/>
          <w:szCs w:val="21"/>
        </w:rPr>
      </w:pPr>
    </w:p>
    <w:p w14:paraId="29F883A7" w14:textId="77777777" w:rsidR="00C54578" w:rsidRDefault="00C54578" w:rsidP="00C54578">
      <w:pPr>
        <w:autoSpaceDE w:val="0"/>
        <w:autoSpaceDN w:val="0"/>
        <w:adjustRightInd w:val="0"/>
        <w:ind w:firstLine="708"/>
        <w:jc w:val="both"/>
        <w:rPr>
          <w:rFonts w:ascii="Abadi" w:hAnsi="Abadi" w:cs="*Arial-6654-Identity-H"/>
          <w:color w:val="15141C"/>
          <w:sz w:val="21"/>
          <w:szCs w:val="21"/>
        </w:rPr>
      </w:pPr>
      <w:r w:rsidRPr="00D9374F">
        <w:rPr>
          <w:rFonts w:ascii="Abadi" w:hAnsi="Abadi" w:cs="*Arial-6654-Identity-H"/>
          <w:color w:val="15141C"/>
          <w:sz w:val="21"/>
          <w:szCs w:val="21"/>
        </w:rPr>
        <w:t>La Ley Orgánica Municipal para el Estado de Guanajuato prevé que el</w:t>
      </w:r>
      <w:r>
        <w:rPr>
          <w:rFonts w:ascii="Abadi" w:hAnsi="Abadi" w:cs="*Arial-6654-Identity-H"/>
          <w:color w:val="15141C"/>
          <w:sz w:val="21"/>
          <w:szCs w:val="21"/>
        </w:rPr>
        <w:t xml:space="preserve"> </w:t>
      </w:r>
      <w:r w:rsidRPr="00D9374F">
        <w:rPr>
          <w:rFonts w:ascii="Abadi" w:hAnsi="Abadi" w:cs="*Arial-6654-Identity-H"/>
          <w:color w:val="15141C"/>
          <w:sz w:val="21"/>
          <w:szCs w:val="21"/>
        </w:rPr>
        <w:t>Ayuntamiento deberá otorgar el servicio de alumbrado público a los habitantes del</w:t>
      </w:r>
      <w:r>
        <w:rPr>
          <w:rFonts w:ascii="Abadi" w:hAnsi="Abadi" w:cs="*Arial-6654-Identity-H"/>
          <w:color w:val="15141C"/>
          <w:sz w:val="21"/>
          <w:szCs w:val="21"/>
        </w:rPr>
        <w:t xml:space="preserve"> </w:t>
      </w:r>
      <w:r w:rsidRPr="00D9374F">
        <w:rPr>
          <w:rFonts w:ascii="Abadi" w:hAnsi="Abadi" w:cs="*Arial-6654-Identity-H"/>
          <w:color w:val="15141C"/>
          <w:sz w:val="21"/>
          <w:szCs w:val="21"/>
        </w:rPr>
        <w:t>Municipio e instrumentará los mecanismos necesarios para ampliar la cobertura y</w:t>
      </w:r>
      <w:r>
        <w:rPr>
          <w:rFonts w:ascii="Abadi" w:hAnsi="Abadi" w:cs="*Arial-6654-Identity-H"/>
          <w:color w:val="15141C"/>
          <w:sz w:val="21"/>
          <w:szCs w:val="21"/>
        </w:rPr>
        <w:t xml:space="preserve"> </w:t>
      </w:r>
      <w:r w:rsidRPr="00D9374F">
        <w:rPr>
          <w:rFonts w:ascii="Abadi" w:hAnsi="Abadi" w:cs="*Arial-6654-Identity-H"/>
          <w:color w:val="15141C"/>
          <w:sz w:val="21"/>
          <w:szCs w:val="21"/>
        </w:rPr>
        <w:t>mejorar la prestación de dicho servicio.</w:t>
      </w:r>
    </w:p>
    <w:p w14:paraId="3DDF6932" w14:textId="77777777" w:rsidR="00C54578" w:rsidRDefault="00C54578" w:rsidP="00C54578">
      <w:pPr>
        <w:autoSpaceDE w:val="0"/>
        <w:autoSpaceDN w:val="0"/>
        <w:adjustRightInd w:val="0"/>
        <w:jc w:val="both"/>
        <w:rPr>
          <w:rFonts w:ascii="Abadi" w:hAnsi="Abadi" w:cs="*Arial-6654-Identity-H"/>
          <w:color w:val="15141C"/>
          <w:sz w:val="21"/>
          <w:szCs w:val="21"/>
        </w:rPr>
      </w:pPr>
    </w:p>
    <w:p w14:paraId="3ED3809A" w14:textId="77777777" w:rsidR="00C54578" w:rsidRPr="00D9374F" w:rsidRDefault="00C54578" w:rsidP="00C54578">
      <w:pPr>
        <w:autoSpaceDE w:val="0"/>
        <w:autoSpaceDN w:val="0"/>
        <w:adjustRightInd w:val="0"/>
        <w:jc w:val="both"/>
        <w:rPr>
          <w:rFonts w:ascii="Abadi" w:hAnsi="Abadi" w:cs="*Arial-6654-Identity-H"/>
          <w:color w:val="15141C"/>
          <w:sz w:val="21"/>
          <w:szCs w:val="21"/>
        </w:rPr>
      </w:pPr>
    </w:p>
    <w:p w14:paraId="52F95AD4" w14:textId="77777777" w:rsidR="00C54578" w:rsidRDefault="00C54578" w:rsidP="00C54578">
      <w:pPr>
        <w:autoSpaceDE w:val="0"/>
        <w:autoSpaceDN w:val="0"/>
        <w:adjustRightInd w:val="0"/>
        <w:ind w:firstLine="708"/>
        <w:jc w:val="both"/>
        <w:rPr>
          <w:rFonts w:ascii="Abadi" w:hAnsi="Abadi" w:cs="*Arial-6654-Identity-H"/>
          <w:color w:val="15141C"/>
          <w:sz w:val="21"/>
          <w:szCs w:val="21"/>
        </w:rPr>
      </w:pPr>
      <w:r w:rsidRPr="00D9374F">
        <w:rPr>
          <w:rFonts w:ascii="Abadi" w:hAnsi="Abadi" w:cs="*Arial-6654-Identity-H"/>
          <w:color w:val="15141C"/>
          <w:sz w:val="21"/>
          <w:szCs w:val="21"/>
        </w:rPr>
        <w:t>De igual forma, la referida ley en el artículo 83 establece que el</w:t>
      </w:r>
      <w:r>
        <w:rPr>
          <w:rFonts w:ascii="Abadi" w:hAnsi="Abadi" w:cs="*Arial-6654-Identity-H"/>
          <w:color w:val="15141C"/>
          <w:sz w:val="21"/>
          <w:szCs w:val="21"/>
        </w:rPr>
        <w:t xml:space="preserve"> </w:t>
      </w:r>
      <w:r w:rsidRPr="00D9374F">
        <w:rPr>
          <w:rFonts w:ascii="Abadi" w:hAnsi="Abadi" w:cs="*Arial-6654-Identity-H"/>
          <w:color w:val="15141C"/>
          <w:sz w:val="21"/>
          <w:szCs w:val="21"/>
        </w:rPr>
        <w:t>Ayuntamiento contará con una Comisión de Obra y Servicios Públicos, misma que</w:t>
      </w:r>
      <w:r>
        <w:rPr>
          <w:rFonts w:ascii="Abadi" w:hAnsi="Abadi" w:cs="*Arial-6654-Identity-H"/>
          <w:color w:val="15141C"/>
          <w:sz w:val="21"/>
          <w:szCs w:val="21"/>
        </w:rPr>
        <w:t xml:space="preserve"> </w:t>
      </w:r>
      <w:r w:rsidRPr="00D9374F">
        <w:rPr>
          <w:rFonts w:ascii="Abadi" w:hAnsi="Abadi" w:cs="*Arial-6654-Identity-H"/>
          <w:color w:val="15141C"/>
          <w:sz w:val="21"/>
          <w:szCs w:val="21"/>
        </w:rPr>
        <w:t>tendrá dentro de sus atribuciones la de promover la prestación puntual, oportuna y</w:t>
      </w:r>
      <w:r>
        <w:rPr>
          <w:rFonts w:ascii="Abadi" w:hAnsi="Abadi" w:cs="*Arial-6654-Identity-H"/>
          <w:color w:val="15141C"/>
          <w:sz w:val="21"/>
          <w:szCs w:val="21"/>
        </w:rPr>
        <w:t xml:space="preserve"> </w:t>
      </w:r>
      <w:r w:rsidRPr="00D9374F">
        <w:rPr>
          <w:rFonts w:ascii="Abadi" w:hAnsi="Abadi" w:cs="*Arial-6654-Identity-H"/>
          <w:color w:val="15141C"/>
          <w:sz w:val="21"/>
          <w:szCs w:val="21"/>
        </w:rPr>
        <w:t>eficiente de los servicios públicos municipales, de conformidad con las</w:t>
      </w:r>
      <w:r>
        <w:rPr>
          <w:rFonts w:ascii="Abadi" w:hAnsi="Abadi" w:cs="*Arial-6654-Identity-H"/>
          <w:color w:val="15141C"/>
          <w:sz w:val="21"/>
          <w:szCs w:val="21"/>
        </w:rPr>
        <w:t xml:space="preserve"> </w:t>
      </w:r>
      <w:r w:rsidRPr="00D9374F">
        <w:rPr>
          <w:rFonts w:ascii="Abadi" w:hAnsi="Abadi" w:cs="*Arial-6654-Identity-H"/>
          <w:color w:val="15141C"/>
          <w:sz w:val="21"/>
          <w:szCs w:val="21"/>
        </w:rPr>
        <w:t>disposiciones aplicables. En este sentido, la dependencia de Servicios Municipales</w:t>
      </w:r>
      <w:r>
        <w:rPr>
          <w:rFonts w:ascii="Abadi" w:hAnsi="Abadi" w:cs="*Arial-6654-Identity-H"/>
          <w:color w:val="15141C"/>
          <w:sz w:val="21"/>
          <w:szCs w:val="21"/>
        </w:rPr>
        <w:t xml:space="preserve"> </w:t>
      </w:r>
      <w:r w:rsidRPr="00D9374F">
        <w:rPr>
          <w:rFonts w:ascii="Abadi" w:hAnsi="Abadi" w:cs="*Arial-6654-Identity-H"/>
          <w:color w:val="15141C"/>
          <w:sz w:val="21"/>
          <w:szCs w:val="21"/>
        </w:rPr>
        <w:t>será la encargada de llevar a cabo la prestación del servicio de alumbrado público</w:t>
      </w:r>
      <w:r>
        <w:rPr>
          <w:rFonts w:ascii="Abadi" w:hAnsi="Abadi" w:cs="*Arial-6654-Identity-H"/>
          <w:color w:val="15141C"/>
          <w:sz w:val="21"/>
          <w:szCs w:val="21"/>
        </w:rPr>
        <w:t xml:space="preserve"> </w:t>
      </w:r>
      <w:r w:rsidRPr="00D9374F">
        <w:rPr>
          <w:rFonts w:ascii="Abadi" w:hAnsi="Abadi" w:cs="*Arial-6654-Identity-H"/>
          <w:color w:val="15141C"/>
          <w:sz w:val="21"/>
          <w:szCs w:val="21"/>
        </w:rPr>
        <w:t>en el Municipio, de acuerdo a lo establecido en la fracción V del artículo 124 de la</w:t>
      </w:r>
      <w:r>
        <w:rPr>
          <w:rFonts w:ascii="Abadi" w:hAnsi="Abadi" w:cs="*Arial-6654-Identity-H"/>
          <w:color w:val="15141C"/>
          <w:sz w:val="21"/>
          <w:szCs w:val="21"/>
        </w:rPr>
        <w:t xml:space="preserve"> </w:t>
      </w:r>
      <w:r w:rsidRPr="00D9374F">
        <w:rPr>
          <w:rFonts w:ascii="Abadi" w:hAnsi="Abadi" w:cs="*Arial-6654-Identity-H"/>
          <w:color w:val="15141C"/>
          <w:sz w:val="21"/>
          <w:szCs w:val="21"/>
        </w:rPr>
        <w:t>citada ley.</w:t>
      </w:r>
    </w:p>
    <w:p w14:paraId="431E4A69" w14:textId="77777777" w:rsidR="00C54578" w:rsidRPr="00D9374F" w:rsidRDefault="00C54578" w:rsidP="00C54578">
      <w:pPr>
        <w:autoSpaceDE w:val="0"/>
        <w:autoSpaceDN w:val="0"/>
        <w:adjustRightInd w:val="0"/>
        <w:jc w:val="both"/>
        <w:rPr>
          <w:rFonts w:ascii="Abadi" w:hAnsi="Abadi" w:cs="*Arial-6654-Identity-H"/>
          <w:color w:val="15141C"/>
          <w:sz w:val="21"/>
          <w:szCs w:val="21"/>
        </w:rPr>
      </w:pPr>
    </w:p>
    <w:p w14:paraId="7C197E59" w14:textId="77777777" w:rsidR="00C54578" w:rsidRDefault="00C54578" w:rsidP="00C54578">
      <w:pPr>
        <w:autoSpaceDE w:val="0"/>
        <w:autoSpaceDN w:val="0"/>
        <w:adjustRightInd w:val="0"/>
        <w:ind w:firstLine="708"/>
        <w:jc w:val="both"/>
        <w:rPr>
          <w:rFonts w:ascii="Abadi" w:hAnsi="Abadi" w:cs="*Arial-6654-Identity-H"/>
          <w:color w:val="15141C"/>
          <w:sz w:val="21"/>
          <w:szCs w:val="21"/>
        </w:rPr>
      </w:pPr>
      <w:r w:rsidRPr="00D9374F">
        <w:rPr>
          <w:rFonts w:ascii="Abadi" w:hAnsi="Abadi" w:cs="*Arial-6654-Identity-H"/>
          <w:color w:val="15141C"/>
          <w:sz w:val="21"/>
          <w:szCs w:val="21"/>
        </w:rPr>
        <w:t>También el artículo 165 de la referida Ley Orgánica Municipal prevé que:</w:t>
      </w:r>
    </w:p>
    <w:p w14:paraId="79112539" w14:textId="77777777" w:rsidR="00C54578" w:rsidRPr="00D9374F" w:rsidRDefault="00C54578" w:rsidP="00C54578">
      <w:pPr>
        <w:autoSpaceDE w:val="0"/>
        <w:autoSpaceDN w:val="0"/>
        <w:adjustRightInd w:val="0"/>
        <w:jc w:val="both"/>
        <w:rPr>
          <w:rFonts w:ascii="Abadi" w:hAnsi="Abadi" w:cs="*Arial-6654-Identity-H"/>
          <w:color w:val="15141C"/>
          <w:sz w:val="21"/>
          <w:szCs w:val="21"/>
        </w:rPr>
      </w:pPr>
    </w:p>
    <w:p w14:paraId="21CDF684" w14:textId="77777777" w:rsidR="00C54578" w:rsidRDefault="00C54578" w:rsidP="00C54578">
      <w:pPr>
        <w:autoSpaceDE w:val="0"/>
        <w:autoSpaceDN w:val="0"/>
        <w:adjustRightInd w:val="0"/>
        <w:ind w:firstLine="708"/>
        <w:jc w:val="both"/>
        <w:rPr>
          <w:rFonts w:ascii="Abadi" w:hAnsi="Abadi" w:cs="*Arial-6654-Identity-H"/>
          <w:color w:val="15141C"/>
          <w:sz w:val="21"/>
          <w:szCs w:val="21"/>
        </w:rPr>
      </w:pPr>
      <w:r w:rsidRPr="00D9374F">
        <w:rPr>
          <w:rFonts w:ascii="Abadi" w:hAnsi="Abadi" w:cs="*Arial-Italic-6655-Identity-H"/>
          <w:i/>
          <w:iCs/>
          <w:color w:val="15141C"/>
          <w:sz w:val="21"/>
          <w:szCs w:val="21"/>
        </w:rPr>
        <w:t>«Los ayuntamientos prestarán los servicios públicos, en igualdad de condiciones a</w:t>
      </w:r>
      <w:r>
        <w:rPr>
          <w:rFonts w:ascii="Abadi" w:hAnsi="Abadi" w:cs="*Arial-Italic-6655-Identity-H"/>
          <w:i/>
          <w:iCs/>
          <w:color w:val="15141C"/>
          <w:sz w:val="21"/>
          <w:szCs w:val="21"/>
        </w:rPr>
        <w:t xml:space="preserve"> </w:t>
      </w:r>
      <w:r w:rsidRPr="00D9374F">
        <w:rPr>
          <w:rFonts w:ascii="Abadi" w:hAnsi="Abadi" w:cs="*Arial-Italic-6655-Identity-H"/>
          <w:i/>
          <w:iCs/>
          <w:color w:val="15141C"/>
          <w:sz w:val="21"/>
          <w:szCs w:val="21"/>
        </w:rPr>
        <w:t>todos los habitantes del municipio, en forma permanente, general, uniforme,</w:t>
      </w:r>
      <w:r>
        <w:rPr>
          <w:rFonts w:ascii="Abadi" w:hAnsi="Abadi" w:cs="*Arial-Italic-6655-Identity-H"/>
          <w:i/>
          <w:iCs/>
          <w:color w:val="15141C"/>
          <w:sz w:val="21"/>
          <w:szCs w:val="21"/>
        </w:rPr>
        <w:t xml:space="preserve"> </w:t>
      </w:r>
      <w:r w:rsidRPr="00D9374F">
        <w:rPr>
          <w:rFonts w:ascii="Abadi" w:hAnsi="Abadi" w:cs="*Arial-Italic-6655-Identity-H"/>
          <w:i/>
          <w:iCs/>
          <w:color w:val="15141C"/>
          <w:sz w:val="21"/>
          <w:szCs w:val="21"/>
        </w:rPr>
        <w:t>continua y de acuerdo con el Programa de Gobierno Municipal».</w:t>
      </w:r>
      <w:r>
        <w:rPr>
          <w:rFonts w:ascii="Abadi" w:hAnsi="Abadi" w:cs="*Arial-Italic-6655-Identity-H"/>
          <w:i/>
          <w:iCs/>
          <w:color w:val="15141C"/>
          <w:sz w:val="21"/>
          <w:szCs w:val="21"/>
        </w:rPr>
        <w:t xml:space="preserve"> </w:t>
      </w:r>
      <w:r w:rsidRPr="00D9374F">
        <w:rPr>
          <w:rFonts w:ascii="Abadi" w:hAnsi="Abadi" w:cs="*Arial-6654-Identity-H"/>
          <w:color w:val="15141C"/>
          <w:sz w:val="21"/>
          <w:szCs w:val="21"/>
        </w:rPr>
        <w:t xml:space="preserve">Asimismo, en el Capítulo denominado </w:t>
      </w:r>
      <w:r w:rsidRPr="00D9374F">
        <w:rPr>
          <w:rFonts w:ascii="Abadi" w:hAnsi="Abadi" w:cs="*Arial-Italic-6655-Identity-H"/>
          <w:i/>
          <w:iCs/>
          <w:color w:val="15141C"/>
          <w:sz w:val="21"/>
          <w:szCs w:val="21"/>
        </w:rPr>
        <w:t>«De los Servicios Públicos</w:t>
      </w:r>
      <w:r>
        <w:rPr>
          <w:rFonts w:ascii="Abadi" w:hAnsi="Abadi" w:cs="*Arial-Italic-6655-Identity-H"/>
          <w:i/>
          <w:iCs/>
          <w:color w:val="15141C"/>
          <w:sz w:val="21"/>
          <w:szCs w:val="21"/>
        </w:rPr>
        <w:t xml:space="preserve"> </w:t>
      </w:r>
      <w:r w:rsidRPr="00D9374F">
        <w:rPr>
          <w:rFonts w:ascii="Abadi" w:hAnsi="Abadi" w:cs="*Arial-Italic-6655-Identity-H"/>
          <w:i/>
          <w:iCs/>
          <w:color w:val="15141C"/>
          <w:sz w:val="21"/>
          <w:szCs w:val="21"/>
        </w:rPr>
        <w:t xml:space="preserve">Municipales» </w:t>
      </w:r>
      <w:r w:rsidRPr="00D9374F">
        <w:rPr>
          <w:rFonts w:ascii="Abadi" w:hAnsi="Abadi" w:cs="*Arial-6654-Identity-H"/>
          <w:color w:val="15141C"/>
          <w:sz w:val="21"/>
          <w:szCs w:val="21"/>
        </w:rPr>
        <w:t>se refiere que en el presupuesto de egresos deben preverse los</w:t>
      </w:r>
      <w:r>
        <w:rPr>
          <w:rFonts w:ascii="Abadi" w:hAnsi="Abadi" w:cs="*Arial-6654-Identity-H"/>
          <w:color w:val="15141C"/>
          <w:sz w:val="21"/>
          <w:szCs w:val="21"/>
        </w:rPr>
        <w:t xml:space="preserve"> </w:t>
      </w:r>
      <w:r w:rsidRPr="00D9374F">
        <w:rPr>
          <w:rFonts w:ascii="Abadi" w:hAnsi="Abadi" w:cs="*Arial-6654-Identity-H"/>
          <w:color w:val="15141C"/>
          <w:sz w:val="21"/>
          <w:szCs w:val="21"/>
        </w:rPr>
        <w:t>recursos materiales y humanos, necesarios y suficientes, para la prestación</w:t>
      </w:r>
      <w:r>
        <w:rPr>
          <w:rFonts w:ascii="Abadi" w:hAnsi="Abadi" w:cs="*Arial-6654-Identity-H"/>
          <w:color w:val="15141C"/>
          <w:sz w:val="21"/>
          <w:szCs w:val="21"/>
        </w:rPr>
        <w:t xml:space="preserve"> </w:t>
      </w:r>
      <w:r w:rsidRPr="00D9374F">
        <w:rPr>
          <w:rFonts w:ascii="Abadi" w:hAnsi="Abadi" w:cs="*Arial-6654-Identity-H"/>
          <w:color w:val="15141C"/>
          <w:sz w:val="21"/>
          <w:szCs w:val="21"/>
        </w:rPr>
        <w:t>eficiente y oportuna de los servicios públicos; asimismo, se consigna la</w:t>
      </w:r>
      <w:r>
        <w:rPr>
          <w:rFonts w:ascii="Abadi" w:hAnsi="Abadi" w:cs="*Arial-6654-Identity-H"/>
          <w:color w:val="15141C"/>
          <w:sz w:val="21"/>
          <w:szCs w:val="21"/>
        </w:rPr>
        <w:t xml:space="preserve"> </w:t>
      </w:r>
      <w:r w:rsidRPr="00D9374F">
        <w:rPr>
          <w:rFonts w:ascii="Abadi" w:hAnsi="Abadi" w:cs="*Arial-6654-Identity-H"/>
          <w:color w:val="15141C"/>
          <w:sz w:val="21"/>
          <w:szCs w:val="21"/>
        </w:rPr>
        <w:t>obligatoriedad del Ayuntamiento de otorgar el servicio de alumbrado público,</w:t>
      </w:r>
      <w:r>
        <w:rPr>
          <w:rFonts w:ascii="Abadi" w:hAnsi="Abadi" w:cs="*Arial-6654-Identity-H"/>
          <w:color w:val="15141C"/>
          <w:sz w:val="21"/>
          <w:szCs w:val="21"/>
        </w:rPr>
        <w:t xml:space="preserve"> </w:t>
      </w:r>
      <w:r w:rsidRPr="00D9374F">
        <w:rPr>
          <w:rFonts w:ascii="Abadi" w:hAnsi="Abadi" w:cs="*Arial-6654-Identity-H"/>
          <w:color w:val="15141C"/>
          <w:sz w:val="21"/>
          <w:szCs w:val="21"/>
        </w:rPr>
        <w:t>señalando que podrá otorgarlo de manera directa a través de sus propias</w:t>
      </w:r>
      <w:r>
        <w:rPr>
          <w:rFonts w:ascii="Abadi" w:hAnsi="Abadi" w:cs="*Arial-6654-Identity-H"/>
          <w:color w:val="15141C"/>
          <w:sz w:val="21"/>
          <w:szCs w:val="21"/>
        </w:rPr>
        <w:t xml:space="preserve"> </w:t>
      </w:r>
      <w:r w:rsidRPr="00D9374F">
        <w:rPr>
          <w:rFonts w:ascii="Abadi" w:hAnsi="Abadi" w:cs="*Arial-6654-Identity-H"/>
          <w:color w:val="15141C"/>
          <w:sz w:val="21"/>
          <w:szCs w:val="21"/>
        </w:rPr>
        <w:t>dependencias, o bien por un medio indirecto.</w:t>
      </w:r>
      <w:r>
        <w:rPr>
          <w:rFonts w:ascii="Abadi" w:hAnsi="Abadi" w:cs="*Arial-6654-Identity-H"/>
          <w:color w:val="15141C"/>
          <w:sz w:val="21"/>
          <w:szCs w:val="21"/>
        </w:rPr>
        <w:t xml:space="preserve"> </w:t>
      </w:r>
    </w:p>
    <w:p w14:paraId="7576F4B3" w14:textId="77777777" w:rsidR="00C54578" w:rsidRDefault="00C54578" w:rsidP="00C54578">
      <w:pPr>
        <w:autoSpaceDE w:val="0"/>
        <w:autoSpaceDN w:val="0"/>
        <w:adjustRightInd w:val="0"/>
        <w:jc w:val="both"/>
        <w:rPr>
          <w:rFonts w:ascii="Abadi" w:hAnsi="Abadi" w:cs="*Arial-6654-Identity-H"/>
          <w:color w:val="15141C"/>
          <w:sz w:val="21"/>
          <w:szCs w:val="21"/>
        </w:rPr>
      </w:pPr>
    </w:p>
    <w:p w14:paraId="6F96738E" w14:textId="77777777" w:rsidR="00C54578" w:rsidRPr="00D9374F" w:rsidRDefault="00C54578" w:rsidP="00C54578">
      <w:pPr>
        <w:autoSpaceDE w:val="0"/>
        <w:autoSpaceDN w:val="0"/>
        <w:adjustRightInd w:val="0"/>
        <w:ind w:firstLine="708"/>
        <w:jc w:val="both"/>
        <w:rPr>
          <w:rFonts w:ascii="Abadi" w:hAnsi="Abadi" w:cs="*Arial-6654-Identity-H"/>
          <w:color w:val="15131C"/>
          <w:sz w:val="21"/>
          <w:szCs w:val="21"/>
        </w:rPr>
      </w:pPr>
      <w:r w:rsidRPr="00D9374F">
        <w:rPr>
          <w:rFonts w:ascii="Abadi" w:hAnsi="Abadi" w:cs="*Arial-6654-Identity-H"/>
          <w:color w:val="14131D"/>
          <w:sz w:val="21"/>
          <w:szCs w:val="21"/>
        </w:rPr>
        <w:t>De conformidad con el artículo 169 de la referida Ley Orgánica Municipal, la</w:t>
      </w:r>
      <w:r>
        <w:rPr>
          <w:rFonts w:ascii="Abadi" w:hAnsi="Abadi" w:cs="*Arial-6654-Identity-H"/>
          <w:color w:val="14131D"/>
          <w:sz w:val="21"/>
          <w:szCs w:val="21"/>
        </w:rPr>
        <w:t xml:space="preserve"> </w:t>
      </w:r>
      <w:r w:rsidRPr="00D9374F">
        <w:rPr>
          <w:rFonts w:ascii="Abadi" w:hAnsi="Abadi" w:cs="*Arial-6654-Identity-H"/>
          <w:color w:val="14131D"/>
          <w:sz w:val="21"/>
          <w:szCs w:val="21"/>
        </w:rPr>
        <w:t>prestación de los servicios públicos municipales será supervisada por la comisión</w:t>
      </w:r>
      <w:r>
        <w:rPr>
          <w:rFonts w:ascii="Abadi" w:hAnsi="Abadi" w:cs="*Arial-6654-Identity-H"/>
          <w:color w:val="14131D"/>
          <w:sz w:val="21"/>
          <w:szCs w:val="21"/>
        </w:rPr>
        <w:t xml:space="preserve"> </w:t>
      </w:r>
      <w:r w:rsidRPr="00D9374F">
        <w:rPr>
          <w:rFonts w:ascii="Abadi" w:hAnsi="Abadi" w:cs="*Arial-6654-Identity-H"/>
          <w:color w:val="14131D"/>
          <w:sz w:val="21"/>
          <w:szCs w:val="21"/>
        </w:rPr>
        <w:t>correspondiente del Ayuntamiento y auditada por la Contraloría Municipal.</w:t>
      </w:r>
      <w:r>
        <w:rPr>
          <w:rFonts w:ascii="Abadi" w:hAnsi="Abadi" w:cs="*Arial-6654-Identity-H"/>
          <w:color w:val="14131D"/>
          <w:sz w:val="21"/>
          <w:szCs w:val="21"/>
        </w:rPr>
        <w:t xml:space="preserve"> </w:t>
      </w:r>
      <w:r w:rsidRPr="00D9374F">
        <w:rPr>
          <w:rFonts w:ascii="Abadi" w:hAnsi="Abadi" w:cs="*Arial-6654-Identity-H"/>
          <w:color w:val="15131C"/>
          <w:sz w:val="21"/>
          <w:szCs w:val="21"/>
        </w:rPr>
        <w:t>Es así que, se desprende la intervención estratégica del Ayuntamiento y de</w:t>
      </w:r>
      <w:r>
        <w:rPr>
          <w:rFonts w:ascii="Abadi" w:hAnsi="Abadi" w:cs="*Arial-6654-Identity-H"/>
          <w:color w:val="15131C"/>
          <w:sz w:val="21"/>
          <w:szCs w:val="21"/>
        </w:rPr>
        <w:t xml:space="preserve"> </w:t>
      </w:r>
      <w:r w:rsidRPr="00D9374F">
        <w:rPr>
          <w:rFonts w:ascii="Abadi" w:hAnsi="Abadi" w:cs="*Arial-6654-Identity-H"/>
          <w:color w:val="15131C"/>
          <w:sz w:val="21"/>
          <w:szCs w:val="21"/>
        </w:rPr>
        <w:t>la Dirección de Servicios Municipales para otorgar la prestación del servicio de</w:t>
      </w:r>
      <w:r>
        <w:rPr>
          <w:rFonts w:ascii="Abadi" w:hAnsi="Abadi" w:cs="*Arial-6654-Identity-H"/>
          <w:color w:val="15131C"/>
          <w:sz w:val="21"/>
          <w:szCs w:val="21"/>
        </w:rPr>
        <w:t xml:space="preserve"> </w:t>
      </w:r>
      <w:r w:rsidRPr="00D9374F">
        <w:rPr>
          <w:rFonts w:ascii="Abadi" w:hAnsi="Abadi" w:cs="*Arial-6654-Identity-H"/>
          <w:color w:val="15131C"/>
          <w:sz w:val="21"/>
          <w:szCs w:val="21"/>
        </w:rPr>
        <w:t xml:space="preserve">alumbrado público </w:t>
      </w:r>
      <w:r>
        <w:rPr>
          <w:rFonts w:ascii="Abadi" w:hAnsi="Abadi" w:cs="*Arial-6654-Identity-H"/>
          <w:color w:val="15131C"/>
          <w:sz w:val="21"/>
          <w:szCs w:val="21"/>
        </w:rPr>
        <w:t>los</w:t>
      </w:r>
      <w:r w:rsidRPr="00D9374F">
        <w:rPr>
          <w:rFonts w:ascii="Abadi" w:hAnsi="Abadi" w:cs="*Arial-6654-Identity-H"/>
          <w:color w:val="15131C"/>
          <w:sz w:val="21"/>
          <w:szCs w:val="21"/>
        </w:rPr>
        <w:t xml:space="preserve"> habitantes del Municipio, a través del conocimiento de la</w:t>
      </w:r>
      <w:r>
        <w:rPr>
          <w:rFonts w:ascii="Abadi" w:hAnsi="Abadi" w:cs="*Arial-6654-Identity-H"/>
          <w:color w:val="15131C"/>
          <w:sz w:val="21"/>
          <w:szCs w:val="21"/>
        </w:rPr>
        <w:t xml:space="preserve"> </w:t>
      </w:r>
      <w:r w:rsidRPr="00D9374F">
        <w:rPr>
          <w:rFonts w:ascii="Abadi" w:hAnsi="Abadi" w:cs="*Arial-6654-Identity-H"/>
          <w:color w:val="15131C"/>
          <w:sz w:val="21"/>
          <w:szCs w:val="21"/>
        </w:rPr>
        <w:t>situación de oferta del servicio, de su presupuestación, de un marco normativo de</w:t>
      </w:r>
      <w:r>
        <w:rPr>
          <w:rFonts w:ascii="Abadi" w:hAnsi="Abadi" w:cs="*Arial-6654-Identity-H"/>
          <w:color w:val="15131C"/>
          <w:sz w:val="21"/>
          <w:szCs w:val="21"/>
        </w:rPr>
        <w:t xml:space="preserve"> </w:t>
      </w:r>
      <w:r w:rsidRPr="00D9374F">
        <w:rPr>
          <w:rFonts w:ascii="Abadi" w:hAnsi="Abadi" w:cs="*Arial-6654-Identity-H"/>
          <w:color w:val="15131C"/>
          <w:sz w:val="21"/>
          <w:szCs w:val="21"/>
        </w:rPr>
        <w:t>operación, de una debida planeación a corto plazo, de la participación ciudadana</w:t>
      </w:r>
      <w:r>
        <w:rPr>
          <w:rFonts w:ascii="Abadi" w:hAnsi="Abadi" w:cs="*Arial-6654-Identity-H"/>
          <w:color w:val="15131C"/>
          <w:sz w:val="21"/>
          <w:szCs w:val="21"/>
        </w:rPr>
        <w:t xml:space="preserve"> </w:t>
      </w:r>
      <w:r w:rsidRPr="00D9374F">
        <w:rPr>
          <w:rFonts w:ascii="Abadi" w:hAnsi="Abadi" w:cs="*Arial-6654-Identity-H"/>
          <w:color w:val="15131C"/>
          <w:sz w:val="21"/>
          <w:szCs w:val="21"/>
        </w:rPr>
        <w:t>en el reporte de fallas. del servicio, así como de los mecanismos de monitoreo y</w:t>
      </w:r>
      <w:r>
        <w:rPr>
          <w:rFonts w:ascii="Abadi" w:hAnsi="Abadi" w:cs="*Arial-6654-Identity-H"/>
          <w:color w:val="15131C"/>
          <w:sz w:val="21"/>
          <w:szCs w:val="21"/>
        </w:rPr>
        <w:t xml:space="preserve"> </w:t>
      </w:r>
      <w:r w:rsidRPr="00D9374F">
        <w:rPr>
          <w:rFonts w:ascii="Abadi" w:hAnsi="Abadi" w:cs="*Arial-6654-Identity-H"/>
          <w:color w:val="15131C"/>
          <w:sz w:val="21"/>
          <w:szCs w:val="21"/>
        </w:rPr>
        <w:t>evaluación para el logro de resultados. Lo anterior, con el objetivo de otorgar un</w:t>
      </w:r>
      <w:r>
        <w:rPr>
          <w:rFonts w:ascii="Abadi" w:hAnsi="Abadi" w:cs="*Arial-6654-Identity-H"/>
          <w:color w:val="15131C"/>
          <w:sz w:val="21"/>
          <w:szCs w:val="21"/>
        </w:rPr>
        <w:t xml:space="preserve"> </w:t>
      </w:r>
      <w:r w:rsidRPr="00D9374F">
        <w:rPr>
          <w:rFonts w:ascii="Abadi" w:hAnsi="Abadi" w:cs="*Arial-6654-Identity-H"/>
          <w:color w:val="15131C"/>
          <w:sz w:val="21"/>
          <w:szCs w:val="21"/>
        </w:rPr>
        <w:t>servicio público eficaz en el mantenimiento, cobertura y satisfacción del servicio.</w:t>
      </w:r>
    </w:p>
    <w:p w14:paraId="79DC0A97" w14:textId="77777777" w:rsidR="00C54578" w:rsidRPr="00D9374F" w:rsidRDefault="00C54578" w:rsidP="00C54578">
      <w:pPr>
        <w:autoSpaceDE w:val="0"/>
        <w:autoSpaceDN w:val="0"/>
        <w:adjustRightInd w:val="0"/>
        <w:jc w:val="both"/>
        <w:rPr>
          <w:rFonts w:ascii="Abadi" w:hAnsi="Abadi" w:cs="*Arial-4288-Identity-H"/>
          <w:color w:val="18161F"/>
          <w:sz w:val="21"/>
          <w:szCs w:val="21"/>
        </w:rPr>
      </w:pPr>
    </w:p>
    <w:p w14:paraId="098F3460" w14:textId="77777777" w:rsidR="00C54578" w:rsidRPr="00D9374F" w:rsidRDefault="00C54578" w:rsidP="00C54578">
      <w:pPr>
        <w:autoSpaceDE w:val="0"/>
        <w:autoSpaceDN w:val="0"/>
        <w:adjustRightInd w:val="0"/>
        <w:ind w:firstLine="708"/>
        <w:jc w:val="both"/>
        <w:rPr>
          <w:rFonts w:ascii="Abadi" w:hAnsi="Abadi" w:cs="*Arial-4286-Identity-H"/>
          <w:color w:val="14131B"/>
          <w:sz w:val="21"/>
          <w:szCs w:val="21"/>
        </w:rPr>
      </w:pPr>
      <w:r w:rsidRPr="00D9374F">
        <w:rPr>
          <w:rFonts w:ascii="Abadi" w:hAnsi="Abadi" w:cs="*Arial-4286-Identity-H"/>
          <w:color w:val="14131B"/>
          <w:sz w:val="21"/>
          <w:szCs w:val="21"/>
        </w:rPr>
        <w:t>En el apartado correspondiente a la unidad responsable de la materia por</w:t>
      </w:r>
      <w:r>
        <w:rPr>
          <w:rFonts w:ascii="Abadi" w:hAnsi="Abadi" w:cs="*Arial-4286-Identity-H"/>
          <w:color w:val="14131B"/>
          <w:sz w:val="21"/>
          <w:szCs w:val="21"/>
        </w:rPr>
        <w:t xml:space="preserve"> </w:t>
      </w:r>
      <w:r w:rsidRPr="00D9374F">
        <w:rPr>
          <w:rFonts w:ascii="Abadi" w:hAnsi="Abadi" w:cs="*Arial-4286-Identity-H"/>
          <w:color w:val="14131B"/>
          <w:sz w:val="21"/>
          <w:szCs w:val="21"/>
        </w:rPr>
        <w:t>auditar se refiere que el artículo 124 de la Ley Orgánica Municipal para el Estado</w:t>
      </w:r>
      <w:r>
        <w:rPr>
          <w:rFonts w:ascii="Abadi" w:hAnsi="Abadi" w:cs="*Arial-4286-Identity-H"/>
          <w:color w:val="14131B"/>
          <w:sz w:val="21"/>
          <w:szCs w:val="21"/>
        </w:rPr>
        <w:t xml:space="preserve"> </w:t>
      </w:r>
      <w:r w:rsidRPr="00D9374F">
        <w:rPr>
          <w:rFonts w:ascii="Abadi" w:hAnsi="Abadi" w:cs="*Arial-4286-Identity-H"/>
          <w:color w:val="14131B"/>
          <w:sz w:val="21"/>
          <w:szCs w:val="21"/>
        </w:rPr>
        <w:t>de Guanajuato prevé que la dependencia de Servicios Municipales será la</w:t>
      </w:r>
      <w:r>
        <w:rPr>
          <w:rFonts w:ascii="Abadi" w:hAnsi="Abadi" w:cs="*Arial-4286-Identity-H"/>
          <w:color w:val="14131B"/>
          <w:sz w:val="21"/>
          <w:szCs w:val="21"/>
        </w:rPr>
        <w:t xml:space="preserve"> </w:t>
      </w:r>
      <w:r w:rsidRPr="00D9374F">
        <w:rPr>
          <w:rFonts w:ascii="Abadi" w:hAnsi="Abadi" w:cs="*Arial-4286-Identity-H"/>
          <w:color w:val="14131B"/>
          <w:sz w:val="21"/>
          <w:szCs w:val="21"/>
        </w:rPr>
        <w:t>encargada de llevar a cabo la prestación del servicio de alumbrado público en el</w:t>
      </w:r>
      <w:r>
        <w:rPr>
          <w:rFonts w:ascii="Abadi" w:hAnsi="Abadi" w:cs="*Arial-4286-Identity-H"/>
          <w:color w:val="14131B"/>
          <w:sz w:val="21"/>
          <w:szCs w:val="21"/>
        </w:rPr>
        <w:t xml:space="preserve"> </w:t>
      </w:r>
      <w:r w:rsidRPr="00D9374F">
        <w:rPr>
          <w:rFonts w:ascii="Abadi" w:hAnsi="Abadi" w:cs="*Arial-4286-Identity-H"/>
          <w:color w:val="14131B"/>
          <w:sz w:val="21"/>
          <w:szCs w:val="21"/>
        </w:rPr>
        <w:t>Municipio. Asimismo, los artículos 83 y 83-3 de la citada ley establecen que, el</w:t>
      </w:r>
      <w:r>
        <w:rPr>
          <w:rFonts w:ascii="Abadi" w:hAnsi="Abadi" w:cs="*Arial-4286-Identity-H"/>
          <w:color w:val="14131B"/>
          <w:sz w:val="21"/>
          <w:szCs w:val="21"/>
        </w:rPr>
        <w:t xml:space="preserve"> </w:t>
      </w:r>
      <w:r w:rsidRPr="00D9374F">
        <w:rPr>
          <w:rFonts w:ascii="Abadi" w:hAnsi="Abadi" w:cs="*Arial-4286-Identity-H"/>
          <w:color w:val="14131B"/>
          <w:sz w:val="21"/>
          <w:szCs w:val="21"/>
        </w:rPr>
        <w:t>Ayuntamiento contará con una Comisión de Obra y Servicios Públicos, la que</w:t>
      </w:r>
      <w:r>
        <w:rPr>
          <w:rFonts w:ascii="Abadi" w:hAnsi="Abadi" w:cs="*Arial-4286-Identity-H"/>
          <w:color w:val="14131B"/>
          <w:sz w:val="21"/>
          <w:szCs w:val="21"/>
        </w:rPr>
        <w:t xml:space="preserve"> </w:t>
      </w:r>
      <w:r w:rsidRPr="00D9374F">
        <w:rPr>
          <w:rFonts w:ascii="Abadi" w:hAnsi="Abadi" w:cs="*Arial-4286-Identity-H"/>
          <w:color w:val="14131B"/>
          <w:sz w:val="21"/>
          <w:szCs w:val="21"/>
        </w:rPr>
        <w:t>tendrá dentro de sus atribuciones la de promover la prestación puntual, oportuna y</w:t>
      </w:r>
      <w:r>
        <w:rPr>
          <w:rFonts w:ascii="Abadi" w:hAnsi="Abadi" w:cs="*Arial-4286-Identity-H"/>
          <w:color w:val="14131B"/>
          <w:sz w:val="21"/>
          <w:szCs w:val="21"/>
        </w:rPr>
        <w:t xml:space="preserve"> </w:t>
      </w:r>
      <w:r w:rsidRPr="00D9374F">
        <w:rPr>
          <w:rFonts w:ascii="Abadi" w:hAnsi="Abadi" w:cs="*Arial-4286-Identity-H"/>
          <w:color w:val="14131B"/>
          <w:sz w:val="21"/>
          <w:szCs w:val="21"/>
        </w:rPr>
        <w:t>eficiente de los servicios públicos municipales, de conformidad con las</w:t>
      </w:r>
      <w:r>
        <w:rPr>
          <w:rFonts w:ascii="Abadi" w:hAnsi="Abadi" w:cs="*Arial-4286-Identity-H"/>
          <w:color w:val="14131B"/>
          <w:sz w:val="21"/>
          <w:szCs w:val="21"/>
        </w:rPr>
        <w:t xml:space="preserve"> </w:t>
      </w:r>
      <w:r w:rsidRPr="00D9374F">
        <w:rPr>
          <w:rFonts w:ascii="Abadi" w:hAnsi="Abadi" w:cs="*Arial-4286-Identity-H"/>
          <w:color w:val="14131B"/>
          <w:sz w:val="21"/>
          <w:szCs w:val="21"/>
        </w:rPr>
        <w:t>disposiciones aplicables.</w:t>
      </w:r>
      <w:r>
        <w:rPr>
          <w:rFonts w:ascii="Abadi" w:hAnsi="Abadi" w:cs="*Arial-4286-Identity-H"/>
          <w:color w:val="14131B"/>
          <w:sz w:val="21"/>
          <w:szCs w:val="21"/>
        </w:rPr>
        <w:t xml:space="preserve"> </w:t>
      </w:r>
      <w:r w:rsidRPr="00D9374F">
        <w:rPr>
          <w:rFonts w:ascii="Abadi" w:hAnsi="Abadi" w:cs="*Arial-4286-Identity-H"/>
          <w:color w:val="14131B"/>
          <w:sz w:val="21"/>
          <w:szCs w:val="21"/>
        </w:rPr>
        <w:t>En virtud de lo anterior, para el ejercicio 2020, la unidad responsable de</w:t>
      </w:r>
      <w:r>
        <w:rPr>
          <w:rFonts w:ascii="Abadi" w:hAnsi="Abadi" w:cs="*Arial-4286-Identity-H"/>
          <w:color w:val="14131B"/>
          <w:sz w:val="21"/>
          <w:szCs w:val="21"/>
        </w:rPr>
        <w:t xml:space="preserve"> </w:t>
      </w:r>
      <w:r w:rsidRPr="00D9374F">
        <w:rPr>
          <w:rFonts w:ascii="Abadi" w:hAnsi="Abadi" w:cs="*Arial-4286-Identity-H"/>
          <w:color w:val="14131B"/>
          <w:sz w:val="21"/>
          <w:szCs w:val="21"/>
        </w:rPr>
        <w:t>otorgar el servicio de alumbrado público en el municipio de Ocampo, Gto., fue la</w:t>
      </w:r>
      <w:r>
        <w:rPr>
          <w:rFonts w:ascii="Abadi" w:hAnsi="Abadi" w:cs="*Arial-4286-Identity-H"/>
          <w:color w:val="14131B"/>
          <w:sz w:val="21"/>
          <w:szCs w:val="21"/>
        </w:rPr>
        <w:t xml:space="preserve"> </w:t>
      </w:r>
      <w:r w:rsidRPr="00D9374F">
        <w:rPr>
          <w:rFonts w:ascii="Abadi" w:hAnsi="Abadi" w:cs="*Arial-4286-Identity-H"/>
          <w:color w:val="14131B"/>
          <w:sz w:val="21"/>
          <w:szCs w:val="21"/>
        </w:rPr>
        <w:t>Dirección de Servicios Públicos Municipales.</w:t>
      </w:r>
    </w:p>
    <w:p w14:paraId="55D9018B" w14:textId="77777777" w:rsidR="00C54578" w:rsidRDefault="00C54578" w:rsidP="00C54578">
      <w:pPr>
        <w:autoSpaceDE w:val="0"/>
        <w:autoSpaceDN w:val="0"/>
        <w:adjustRightInd w:val="0"/>
        <w:jc w:val="both"/>
        <w:rPr>
          <w:rFonts w:ascii="Abadi" w:hAnsi="Abadi" w:cs="*Arial-Bold-4287-Identity-H"/>
          <w:b/>
          <w:bCs/>
          <w:color w:val="14131F"/>
          <w:sz w:val="21"/>
          <w:szCs w:val="21"/>
        </w:rPr>
      </w:pPr>
    </w:p>
    <w:p w14:paraId="011D13F5" w14:textId="77777777" w:rsidR="00C54578" w:rsidRDefault="00C54578" w:rsidP="00C54578">
      <w:pPr>
        <w:autoSpaceDE w:val="0"/>
        <w:autoSpaceDN w:val="0"/>
        <w:adjustRightInd w:val="0"/>
        <w:jc w:val="both"/>
        <w:rPr>
          <w:rFonts w:ascii="Abadi" w:hAnsi="Abadi" w:cs="*Arial-Bold-4287-Identity-H"/>
          <w:b/>
          <w:bCs/>
          <w:color w:val="14131F"/>
          <w:sz w:val="21"/>
          <w:szCs w:val="21"/>
        </w:rPr>
      </w:pPr>
    </w:p>
    <w:p w14:paraId="5393450A" w14:textId="77777777" w:rsidR="00C54578" w:rsidRPr="00D9374F" w:rsidRDefault="00C54578" w:rsidP="00C54578">
      <w:pPr>
        <w:autoSpaceDE w:val="0"/>
        <w:autoSpaceDN w:val="0"/>
        <w:adjustRightInd w:val="0"/>
        <w:ind w:firstLine="708"/>
        <w:jc w:val="both"/>
        <w:rPr>
          <w:rFonts w:ascii="Abadi" w:hAnsi="Abadi" w:cs="*Arial-Bold-4287-Identity-H"/>
          <w:b/>
          <w:bCs/>
          <w:color w:val="14131F"/>
          <w:sz w:val="21"/>
          <w:szCs w:val="21"/>
        </w:rPr>
      </w:pPr>
      <w:r w:rsidRPr="00D9374F">
        <w:rPr>
          <w:rFonts w:ascii="Abadi" w:hAnsi="Abadi" w:cs="*Arial-Bold-4287-Identity-H"/>
          <w:b/>
          <w:bCs/>
          <w:color w:val="14131F"/>
          <w:sz w:val="21"/>
          <w:szCs w:val="21"/>
        </w:rPr>
        <w:t>b</w:t>
      </w:r>
      <w:r>
        <w:rPr>
          <w:rFonts w:ascii="Abadi" w:hAnsi="Abadi" w:cs="*Arial-Bold-4287-Identity-H"/>
          <w:b/>
          <w:bCs/>
          <w:color w:val="14131F"/>
          <w:sz w:val="21"/>
          <w:szCs w:val="21"/>
        </w:rPr>
        <w:t>)</w:t>
      </w:r>
      <w:r w:rsidRPr="00D9374F">
        <w:rPr>
          <w:rFonts w:ascii="Abadi" w:hAnsi="Abadi" w:cs="*Arial-Bold-4287-Identity-H"/>
          <w:b/>
          <w:bCs/>
          <w:color w:val="14131F"/>
          <w:sz w:val="21"/>
          <w:szCs w:val="21"/>
        </w:rPr>
        <w:t xml:space="preserve"> Resultado del proceso de fiscalización.</w:t>
      </w:r>
    </w:p>
    <w:p w14:paraId="53CC82D3" w14:textId="77777777" w:rsidR="00C54578" w:rsidRDefault="00C54578" w:rsidP="00C54578">
      <w:pPr>
        <w:autoSpaceDE w:val="0"/>
        <w:autoSpaceDN w:val="0"/>
        <w:adjustRightInd w:val="0"/>
        <w:ind w:firstLine="708"/>
        <w:jc w:val="both"/>
        <w:rPr>
          <w:rFonts w:ascii="Abadi" w:hAnsi="Abadi" w:cs="*Arial-4286-Identity-H"/>
          <w:color w:val="14131C"/>
          <w:sz w:val="21"/>
          <w:szCs w:val="21"/>
        </w:rPr>
      </w:pPr>
    </w:p>
    <w:p w14:paraId="67C3B70F" w14:textId="77777777" w:rsidR="00C54578" w:rsidRPr="00D9374F" w:rsidRDefault="00C54578" w:rsidP="00C54578">
      <w:pPr>
        <w:autoSpaceDE w:val="0"/>
        <w:autoSpaceDN w:val="0"/>
        <w:adjustRightInd w:val="0"/>
        <w:ind w:firstLine="708"/>
        <w:jc w:val="both"/>
        <w:rPr>
          <w:rFonts w:ascii="Abadi" w:hAnsi="Abadi" w:cs="*Arial-4286-Identity-H"/>
          <w:color w:val="14131C"/>
          <w:sz w:val="21"/>
          <w:szCs w:val="21"/>
        </w:rPr>
      </w:pPr>
      <w:r w:rsidRPr="00D9374F">
        <w:rPr>
          <w:rFonts w:ascii="Abadi" w:hAnsi="Abadi" w:cs="*Arial-4286-Identity-H"/>
          <w:color w:val="14131C"/>
          <w:sz w:val="21"/>
          <w:szCs w:val="21"/>
        </w:rPr>
        <w:t>En esta parte se señala que los objetivos específicos se desarrollaron en la</w:t>
      </w:r>
      <w:r>
        <w:rPr>
          <w:rFonts w:ascii="Abadi" w:hAnsi="Abadi" w:cs="*Arial-4286-Identity-H"/>
          <w:color w:val="14131C"/>
          <w:sz w:val="21"/>
          <w:szCs w:val="21"/>
        </w:rPr>
        <w:t xml:space="preserve"> </w:t>
      </w:r>
      <w:r w:rsidRPr="00D9374F">
        <w:rPr>
          <w:rFonts w:ascii="Abadi" w:hAnsi="Abadi" w:cs="*Arial-4286-Identity-H"/>
          <w:color w:val="14131C"/>
          <w:sz w:val="21"/>
          <w:szCs w:val="21"/>
        </w:rPr>
        <w:t>auditoría en siete procedimientos, con los siguientes resultados:</w:t>
      </w:r>
    </w:p>
    <w:p w14:paraId="5A52B58E" w14:textId="77777777" w:rsidR="00C54578" w:rsidRDefault="00C54578" w:rsidP="00C54578">
      <w:pPr>
        <w:autoSpaceDE w:val="0"/>
        <w:autoSpaceDN w:val="0"/>
        <w:adjustRightInd w:val="0"/>
        <w:jc w:val="both"/>
        <w:rPr>
          <w:rFonts w:ascii="Abadi" w:hAnsi="Abadi" w:cs="*Arial-Bold-4287-Identity-H"/>
          <w:b/>
          <w:bCs/>
          <w:color w:val="13121D"/>
          <w:sz w:val="21"/>
          <w:szCs w:val="21"/>
        </w:rPr>
      </w:pPr>
    </w:p>
    <w:p w14:paraId="320BF323" w14:textId="77777777" w:rsidR="00C54578" w:rsidRDefault="00C54578" w:rsidP="00C54578">
      <w:pPr>
        <w:autoSpaceDE w:val="0"/>
        <w:autoSpaceDN w:val="0"/>
        <w:adjustRightInd w:val="0"/>
        <w:ind w:firstLine="708"/>
        <w:jc w:val="both"/>
        <w:rPr>
          <w:rFonts w:ascii="Abadi" w:hAnsi="Abadi" w:cs="*Arial-Bold-4287-Identity-H"/>
          <w:b/>
          <w:bCs/>
          <w:color w:val="13121D"/>
          <w:sz w:val="21"/>
          <w:szCs w:val="21"/>
        </w:rPr>
      </w:pPr>
      <w:r w:rsidRPr="00D9374F">
        <w:rPr>
          <w:rFonts w:ascii="Abadi" w:hAnsi="Abadi" w:cs="*Arial-Bold-4287-Identity-H"/>
          <w:b/>
          <w:bCs/>
          <w:color w:val="13121D"/>
          <w:sz w:val="21"/>
          <w:szCs w:val="21"/>
        </w:rPr>
        <w:t>Eficiencia:</w:t>
      </w:r>
    </w:p>
    <w:p w14:paraId="0F7B446F" w14:textId="77777777" w:rsidR="00C54578" w:rsidRPr="00D9374F" w:rsidRDefault="00C54578" w:rsidP="00C54578">
      <w:pPr>
        <w:autoSpaceDE w:val="0"/>
        <w:autoSpaceDN w:val="0"/>
        <w:adjustRightInd w:val="0"/>
        <w:ind w:firstLine="708"/>
        <w:jc w:val="both"/>
        <w:rPr>
          <w:rFonts w:ascii="Abadi" w:hAnsi="Abadi" w:cs="*Arial-Bold-4287-Identity-H"/>
          <w:b/>
          <w:bCs/>
          <w:color w:val="13121D"/>
          <w:sz w:val="21"/>
          <w:szCs w:val="21"/>
        </w:rPr>
      </w:pPr>
    </w:p>
    <w:p w14:paraId="06FD0B14" w14:textId="77777777" w:rsidR="00C54578" w:rsidRPr="00D9374F" w:rsidRDefault="00C54578" w:rsidP="00C54578">
      <w:pPr>
        <w:autoSpaceDE w:val="0"/>
        <w:autoSpaceDN w:val="0"/>
        <w:adjustRightInd w:val="0"/>
        <w:ind w:left="1134"/>
        <w:jc w:val="both"/>
        <w:rPr>
          <w:rFonts w:ascii="Abadi" w:hAnsi="Abadi" w:cs="*Arial-4286-Identity-H"/>
          <w:color w:val="14131B"/>
          <w:sz w:val="21"/>
          <w:szCs w:val="21"/>
        </w:rPr>
      </w:pPr>
      <w:r w:rsidRPr="00D70924">
        <w:rPr>
          <w:rFonts w:ascii="Abadi" w:hAnsi="Abadi" w:cs="*Arial-4286-Identity-H"/>
          <w:b/>
          <w:bCs/>
          <w:color w:val="14131B"/>
          <w:sz w:val="21"/>
          <w:szCs w:val="21"/>
        </w:rPr>
        <w:t>1.</w:t>
      </w:r>
      <w:r w:rsidRPr="00D9374F">
        <w:rPr>
          <w:rFonts w:ascii="Abadi" w:hAnsi="Abadi" w:cs="*Arial-4286-Identity-H"/>
          <w:color w:val="14131B"/>
          <w:sz w:val="21"/>
          <w:szCs w:val="21"/>
        </w:rPr>
        <w:t xml:space="preserve"> Oferta del servicio de alumbrado público.</w:t>
      </w:r>
    </w:p>
    <w:p w14:paraId="349EACF2" w14:textId="77777777" w:rsidR="00C54578" w:rsidRPr="00D9374F" w:rsidRDefault="00C54578" w:rsidP="00C54578">
      <w:pPr>
        <w:autoSpaceDE w:val="0"/>
        <w:autoSpaceDN w:val="0"/>
        <w:adjustRightInd w:val="0"/>
        <w:ind w:left="1134"/>
        <w:jc w:val="both"/>
        <w:rPr>
          <w:rFonts w:ascii="Abadi" w:hAnsi="Abadi" w:cs="*Arial-4286-Identity-H"/>
          <w:color w:val="15141B"/>
          <w:sz w:val="21"/>
          <w:szCs w:val="21"/>
        </w:rPr>
      </w:pPr>
      <w:r w:rsidRPr="00D9374F">
        <w:rPr>
          <w:rFonts w:ascii="Abadi" w:hAnsi="Abadi" w:cs="*Arial-Bold-4287-Identity-H"/>
          <w:b/>
          <w:bCs/>
          <w:color w:val="15141B"/>
          <w:sz w:val="21"/>
          <w:szCs w:val="21"/>
        </w:rPr>
        <w:t xml:space="preserve">2. </w:t>
      </w:r>
      <w:r w:rsidRPr="00D9374F">
        <w:rPr>
          <w:rFonts w:ascii="Abadi" w:hAnsi="Abadi" w:cs="*Arial-4286-Identity-H"/>
          <w:color w:val="15141B"/>
          <w:sz w:val="21"/>
          <w:szCs w:val="21"/>
        </w:rPr>
        <w:t>Presupuestación del servicio.</w:t>
      </w:r>
    </w:p>
    <w:p w14:paraId="465D9FF9" w14:textId="77777777" w:rsidR="00C54578" w:rsidRPr="00D9374F" w:rsidRDefault="00C54578" w:rsidP="00C54578">
      <w:pPr>
        <w:autoSpaceDE w:val="0"/>
        <w:autoSpaceDN w:val="0"/>
        <w:adjustRightInd w:val="0"/>
        <w:ind w:left="1134"/>
        <w:jc w:val="both"/>
        <w:rPr>
          <w:rFonts w:ascii="Abadi" w:hAnsi="Abadi" w:cs="*Arial-4286-Identity-H"/>
          <w:color w:val="15131C"/>
          <w:sz w:val="21"/>
          <w:szCs w:val="21"/>
        </w:rPr>
      </w:pPr>
      <w:r w:rsidRPr="00D70924">
        <w:rPr>
          <w:rFonts w:ascii="Abadi" w:hAnsi="Abadi" w:cs="*Arial-4286-Identity-H"/>
          <w:b/>
          <w:bCs/>
          <w:color w:val="15131C"/>
          <w:sz w:val="21"/>
          <w:szCs w:val="21"/>
        </w:rPr>
        <w:t>3.</w:t>
      </w:r>
      <w:r w:rsidRPr="00D9374F">
        <w:rPr>
          <w:rFonts w:ascii="Abadi" w:hAnsi="Abadi" w:cs="*Arial-4286-Identity-H"/>
          <w:color w:val="15131C"/>
          <w:sz w:val="21"/>
          <w:szCs w:val="21"/>
        </w:rPr>
        <w:t xml:space="preserve"> Marco normativo para la prestación del servicio.</w:t>
      </w:r>
    </w:p>
    <w:p w14:paraId="10CEE80E" w14:textId="77777777" w:rsidR="00C54578" w:rsidRPr="00D9374F" w:rsidRDefault="00C54578" w:rsidP="00C54578">
      <w:pPr>
        <w:autoSpaceDE w:val="0"/>
        <w:autoSpaceDN w:val="0"/>
        <w:adjustRightInd w:val="0"/>
        <w:ind w:left="1134"/>
        <w:jc w:val="both"/>
        <w:rPr>
          <w:rFonts w:ascii="Abadi" w:hAnsi="Abadi" w:cs="*Arial-4286-Identity-H"/>
          <w:color w:val="14141A"/>
          <w:sz w:val="21"/>
          <w:szCs w:val="21"/>
        </w:rPr>
      </w:pPr>
      <w:r w:rsidRPr="00D70924">
        <w:rPr>
          <w:rFonts w:ascii="Abadi" w:hAnsi="Abadi" w:cs="*Arial-4286-Identity-H"/>
          <w:b/>
          <w:bCs/>
          <w:color w:val="14141A"/>
          <w:sz w:val="21"/>
          <w:szCs w:val="21"/>
        </w:rPr>
        <w:t>4.</w:t>
      </w:r>
      <w:r w:rsidRPr="00D9374F">
        <w:rPr>
          <w:rFonts w:ascii="Abadi" w:hAnsi="Abadi" w:cs="*Arial-4286-Identity-H"/>
          <w:color w:val="14141A"/>
          <w:sz w:val="21"/>
          <w:szCs w:val="21"/>
        </w:rPr>
        <w:t xml:space="preserve"> Planeación del servicio de alumbrado público en el corto plazo.</w:t>
      </w:r>
    </w:p>
    <w:p w14:paraId="6CA91755" w14:textId="77777777" w:rsidR="00C54578" w:rsidRDefault="00C54578" w:rsidP="00C54578">
      <w:pPr>
        <w:autoSpaceDE w:val="0"/>
        <w:autoSpaceDN w:val="0"/>
        <w:adjustRightInd w:val="0"/>
        <w:ind w:left="1134"/>
        <w:jc w:val="both"/>
        <w:rPr>
          <w:rFonts w:ascii="Abadi" w:hAnsi="Abadi" w:cs="*Arial-4286-Identity-H"/>
          <w:color w:val="14131C"/>
          <w:sz w:val="21"/>
          <w:szCs w:val="21"/>
        </w:rPr>
      </w:pPr>
      <w:r w:rsidRPr="00D70924">
        <w:rPr>
          <w:rFonts w:ascii="Abadi" w:hAnsi="Abadi" w:cs="*Arial-4286-Identity-H"/>
          <w:b/>
          <w:bCs/>
          <w:color w:val="14131C"/>
          <w:sz w:val="21"/>
          <w:szCs w:val="21"/>
        </w:rPr>
        <w:t>5.</w:t>
      </w:r>
      <w:r w:rsidRPr="00D9374F">
        <w:rPr>
          <w:rFonts w:ascii="Abadi" w:hAnsi="Abadi" w:cs="*Arial-4286-Identity-H"/>
          <w:color w:val="14131C"/>
          <w:sz w:val="21"/>
          <w:szCs w:val="21"/>
        </w:rPr>
        <w:t xml:space="preserve"> Participación ciudadana en el reporte de fallas del servicio.</w:t>
      </w:r>
    </w:p>
    <w:p w14:paraId="2DF10533" w14:textId="77777777" w:rsidR="00C54578" w:rsidRPr="001C4A81" w:rsidRDefault="00C54578" w:rsidP="00C54578">
      <w:pPr>
        <w:autoSpaceDE w:val="0"/>
        <w:autoSpaceDN w:val="0"/>
        <w:adjustRightInd w:val="0"/>
        <w:ind w:firstLine="708"/>
        <w:jc w:val="both"/>
        <w:rPr>
          <w:rFonts w:ascii="Abadi" w:hAnsi="Abadi" w:cs="*Arial-4286-Identity-H"/>
          <w:color w:val="14131C"/>
          <w:sz w:val="21"/>
          <w:szCs w:val="21"/>
        </w:rPr>
      </w:pPr>
      <w:r w:rsidRPr="00D9374F">
        <w:rPr>
          <w:rFonts w:ascii="Abadi" w:hAnsi="Abadi" w:cs="*Arial-Bold-4287-Identity-H"/>
          <w:b/>
          <w:bCs/>
          <w:color w:val="14131E"/>
          <w:sz w:val="21"/>
          <w:szCs w:val="21"/>
        </w:rPr>
        <w:t>Eficacia:</w:t>
      </w:r>
    </w:p>
    <w:p w14:paraId="12614FF8" w14:textId="77777777" w:rsidR="00C54578" w:rsidRDefault="00C54578" w:rsidP="00C54578">
      <w:pPr>
        <w:autoSpaceDE w:val="0"/>
        <w:autoSpaceDN w:val="0"/>
        <w:adjustRightInd w:val="0"/>
        <w:jc w:val="both"/>
        <w:rPr>
          <w:rFonts w:ascii="Abadi" w:hAnsi="Abadi" w:cs="*Arial-4286-Identity-H"/>
          <w:b/>
          <w:bCs/>
          <w:color w:val="15141C"/>
          <w:sz w:val="21"/>
          <w:szCs w:val="21"/>
        </w:rPr>
      </w:pPr>
    </w:p>
    <w:p w14:paraId="3A4599C9" w14:textId="77777777" w:rsidR="00C54578" w:rsidRPr="00D9374F" w:rsidRDefault="00C54578" w:rsidP="00C54578">
      <w:pPr>
        <w:autoSpaceDE w:val="0"/>
        <w:autoSpaceDN w:val="0"/>
        <w:adjustRightInd w:val="0"/>
        <w:ind w:left="1134"/>
        <w:jc w:val="both"/>
        <w:rPr>
          <w:rFonts w:ascii="Abadi" w:hAnsi="Abadi" w:cs="*Arial-4286-Identity-H"/>
          <w:color w:val="15141C"/>
          <w:sz w:val="21"/>
          <w:szCs w:val="21"/>
        </w:rPr>
      </w:pPr>
      <w:r w:rsidRPr="00D70924">
        <w:rPr>
          <w:rFonts w:ascii="Abadi" w:hAnsi="Abadi" w:cs="*Arial-4286-Identity-H"/>
          <w:b/>
          <w:bCs/>
          <w:color w:val="15141C"/>
          <w:sz w:val="21"/>
          <w:szCs w:val="21"/>
        </w:rPr>
        <w:t>6.</w:t>
      </w:r>
      <w:r w:rsidRPr="00D9374F">
        <w:rPr>
          <w:rFonts w:ascii="Abadi" w:hAnsi="Abadi" w:cs="*Arial-4286-Identity-H"/>
          <w:color w:val="15141C"/>
          <w:sz w:val="21"/>
          <w:szCs w:val="21"/>
        </w:rPr>
        <w:t xml:space="preserve"> Eficacia del servicio de alumbrado público.</w:t>
      </w:r>
    </w:p>
    <w:p w14:paraId="1B2992CE" w14:textId="77777777" w:rsidR="00C54578" w:rsidRPr="00D9374F" w:rsidRDefault="00C54578" w:rsidP="00C54578">
      <w:pPr>
        <w:autoSpaceDE w:val="0"/>
        <w:autoSpaceDN w:val="0"/>
        <w:adjustRightInd w:val="0"/>
        <w:ind w:left="1134"/>
        <w:jc w:val="both"/>
        <w:rPr>
          <w:rFonts w:ascii="Abadi" w:hAnsi="Abadi" w:cs="*Arial-4286-Identity-H"/>
          <w:color w:val="14131C"/>
          <w:sz w:val="21"/>
          <w:szCs w:val="21"/>
        </w:rPr>
      </w:pPr>
      <w:r w:rsidRPr="00D70924">
        <w:rPr>
          <w:rFonts w:ascii="Abadi" w:hAnsi="Abadi" w:cs="*Arial-4286-Identity-H"/>
          <w:b/>
          <w:bCs/>
          <w:color w:val="14131C"/>
          <w:sz w:val="21"/>
          <w:szCs w:val="21"/>
        </w:rPr>
        <w:t>7.</w:t>
      </w:r>
      <w:r w:rsidRPr="00D9374F">
        <w:rPr>
          <w:rFonts w:ascii="Abadi" w:hAnsi="Abadi" w:cs="*Arial-4286-Identity-H"/>
          <w:color w:val="14131C"/>
          <w:sz w:val="21"/>
          <w:szCs w:val="21"/>
        </w:rPr>
        <w:t xml:space="preserve"> Monitoreo y evaluación de resultados.</w:t>
      </w:r>
    </w:p>
    <w:p w14:paraId="24F1BA0F" w14:textId="77777777" w:rsidR="00C54578" w:rsidRDefault="00C54578" w:rsidP="00C54578">
      <w:pPr>
        <w:autoSpaceDE w:val="0"/>
        <w:autoSpaceDN w:val="0"/>
        <w:adjustRightInd w:val="0"/>
        <w:jc w:val="both"/>
        <w:rPr>
          <w:rFonts w:ascii="Abadi" w:hAnsi="Abadi" w:cs="*Arial-6343-Identity-H"/>
          <w:color w:val="15141C"/>
          <w:sz w:val="21"/>
          <w:szCs w:val="21"/>
        </w:rPr>
      </w:pPr>
    </w:p>
    <w:p w14:paraId="687BA764" w14:textId="77777777" w:rsidR="00C54578" w:rsidRDefault="00C54578" w:rsidP="00C54578">
      <w:pPr>
        <w:autoSpaceDE w:val="0"/>
        <w:autoSpaceDN w:val="0"/>
        <w:adjustRightInd w:val="0"/>
        <w:ind w:firstLine="708"/>
        <w:jc w:val="both"/>
        <w:rPr>
          <w:rFonts w:ascii="Abadi" w:hAnsi="Abadi" w:cs="*Arial-6343-Identity-H"/>
          <w:color w:val="15131C"/>
          <w:sz w:val="21"/>
          <w:szCs w:val="21"/>
        </w:rPr>
      </w:pPr>
      <w:r w:rsidRPr="00D9374F">
        <w:rPr>
          <w:rFonts w:ascii="Abadi" w:hAnsi="Abadi" w:cs="*Arial-6343-Identity-H"/>
          <w:color w:val="15141C"/>
          <w:sz w:val="21"/>
          <w:szCs w:val="21"/>
        </w:rPr>
        <w:t>Es así, que se</w:t>
      </w:r>
      <w:r w:rsidRPr="00D9374F">
        <w:rPr>
          <w:rFonts w:ascii="Abadi" w:hAnsi="Abadi" w:cs="*Arial-6343-Identity-H"/>
          <w:color w:val="B9B9B9"/>
          <w:sz w:val="21"/>
          <w:szCs w:val="21"/>
        </w:rPr>
        <w:t xml:space="preserve">· </w:t>
      </w:r>
      <w:r w:rsidRPr="00D9374F">
        <w:rPr>
          <w:rFonts w:ascii="Abadi" w:hAnsi="Abadi" w:cs="*Arial-6343-Identity-H"/>
          <w:color w:val="15141C"/>
          <w:sz w:val="21"/>
          <w:szCs w:val="21"/>
        </w:rPr>
        <w:t>presentan los resultados de la auditoría realizada,</w:t>
      </w:r>
      <w:r>
        <w:rPr>
          <w:rFonts w:ascii="Abadi" w:hAnsi="Abadi" w:cs="*Arial-6343-Identity-H"/>
          <w:color w:val="15141C"/>
          <w:sz w:val="21"/>
          <w:szCs w:val="21"/>
        </w:rPr>
        <w:t xml:space="preserve"> </w:t>
      </w:r>
      <w:r w:rsidRPr="00D9374F">
        <w:rPr>
          <w:rFonts w:ascii="Abadi" w:hAnsi="Abadi" w:cs="*Arial-6343-Identity-H"/>
          <w:color w:val="15141C"/>
          <w:sz w:val="21"/>
          <w:szCs w:val="21"/>
        </w:rPr>
        <w:t>estableciendo las recomendaciones formuladas al sujeto fiscalizado, plasmando</w:t>
      </w:r>
      <w:r>
        <w:rPr>
          <w:rFonts w:ascii="Abadi" w:hAnsi="Abadi" w:cs="*Arial-6343-Identity-H"/>
          <w:color w:val="15141C"/>
          <w:sz w:val="21"/>
          <w:szCs w:val="21"/>
        </w:rPr>
        <w:t xml:space="preserve"> </w:t>
      </w:r>
      <w:r w:rsidRPr="00D9374F">
        <w:rPr>
          <w:rFonts w:ascii="Abadi" w:hAnsi="Abadi" w:cs="*Arial-6343-Identity-H"/>
          <w:color w:val="15141C"/>
          <w:sz w:val="21"/>
          <w:szCs w:val="21"/>
        </w:rPr>
        <w:t xml:space="preserve">en cada una las acciones preventivas </w:t>
      </w:r>
      <w:r w:rsidRPr="00D9374F">
        <w:rPr>
          <w:rFonts w:ascii="Abadi" w:hAnsi="Abadi" w:cs="*Microsoft Sans Serif-6346-Iden"/>
          <w:color w:val="15141C"/>
          <w:sz w:val="21"/>
          <w:szCs w:val="21"/>
        </w:rPr>
        <w:t xml:space="preserve">y </w:t>
      </w:r>
      <w:r w:rsidRPr="00D9374F">
        <w:rPr>
          <w:rFonts w:ascii="Abadi" w:hAnsi="Abadi" w:cs="*Arial-6343-Identity-H"/>
          <w:color w:val="15141C"/>
          <w:sz w:val="21"/>
          <w:szCs w:val="21"/>
        </w:rPr>
        <w:t>correctivas que se deben llevar a cabo</w:t>
      </w:r>
      <w:r>
        <w:rPr>
          <w:rFonts w:ascii="Abadi" w:hAnsi="Abadi" w:cs="*Arial-6343-Identity-H"/>
          <w:color w:val="15141C"/>
          <w:sz w:val="21"/>
          <w:szCs w:val="21"/>
        </w:rPr>
        <w:t xml:space="preserve"> </w:t>
      </w:r>
      <w:r w:rsidRPr="00D9374F">
        <w:rPr>
          <w:rFonts w:ascii="Abadi" w:hAnsi="Abadi" w:cs="*Arial-6343-Identity-H"/>
          <w:color w:val="15141C"/>
          <w:sz w:val="21"/>
          <w:szCs w:val="21"/>
        </w:rPr>
        <w:t>para subsanar las situaciones detectadas durante el proceso de auditoría.</w:t>
      </w:r>
      <w:r>
        <w:rPr>
          <w:rFonts w:ascii="Abadi" w:hAnsi="Abadi" w:cs="*Arial-6343-Identity-H"/>
          <w:color w:val="15141C"/>
          <w:sz w:val="21"/>
          <w:szCs w:val="21"/>
        </w:rPr>
        <w:t xml:space="preserve"> </w:t>
      </w:r>
      <w:r w:rsidRPr="00D9374F">
        <w:rPr>
          <w:rFonts w:ascii="Abadi" w:hAnsi="Abadi" w:cs="*Arial-6343-Identity-H"/>
          <w:color w:val="15131C"/>
          <w:sz w:val="21"/>
          <w:szCs w:val="21"/>
        </w:rPr>
        <w:t xml:space="preserve">Derivado de lo anterior, se formulan los resultados </w:t>
      </w:r>
      <w:r w:rsidRPr="00D9374F">
        <w:rPr>
          <w:rFonts w:ascii="Abadi" w:hAnsi="Abadi" w:cs="*Microsoft Sans Serif-6346-Iden"/>
          <w:color w:val="15131C"/>
          <w:sz w:val="21"/>
          <w:szCs w:val="21"/>
        </w:rPr>
        <w:t xml:space="preserve">y </w:t>
      </w:r>
      <w:r w:rsidRPr="00D9374F">
        <w:rPr>
          <w:rFonts w:ascii="Abadi" w:hAnsi="Abadi" w:cs="*Arial-6343-Identity-H"/>
          <w:color w:val="15131C"/>
          <w:sz w:val="21"/>
          <w:szCs w:val="21"/>
        </w:rPr>
        <w:t>recomendaciones</w:t>
      </w:r>
      <w:r>
        <w:rPr>
          <w:rFonts w:ascii="Abadi" w:hAnsi="Abadi" w:cs="*Arial-6343-Identity-H"/>
          <w:color w:val="15131C"/>
          <w:sz w:val="21"/>
          <w:szCs w:val="21"/>
        </w:rPr>
        <w:t xml:space="preserve"> </w:t>
      </w:r>
      <w:r w:rsidRPr="00D9374F">
        <w:rPr>
          <w:rFonts w:ascii="Abadi" w:hAnsi="Abadi" w:cs="*Arial-6343-Identity-H"/>
          <w:color w:val="15131C"/>
          <w:sz w:val="21"/>
          <w:szCs w:val="21"/>
        </w:rPr>
        <w:t>contenidos en los rubros de Eficiencia y Eficacia.</w:t>
      </w:r>
    </w:p>
    <w:p w14:paraId="6AD18E47" w14:textId="77777777" w:rsidR="00C54578" w:rsidRPr="00D9374F" w:rsidRDefault="00C54578" w:rsidP="00C54578">
      <w:pPr>
        <w:autoSpaceDE w:val="0"/>
        <w:autoSpaceDN w:val="0"/>
        <w:adjustRightInd w:val="0"/>
        <w:jc w:val="both"/>
        <w:rPr>
          <w:rFonts w:ascii="Abadi" w:hAnsi="Abadi" w:cs="*Arial-6343-Identity-H"/>
          <w:color w:val="15131C"/>
          <w:sz w:val="21"/>
          <w:szCs w:val="21"/>
        </w:rPr>
      </w:pPr>
    </w:p>
    <w:p w14:paraId="044C29AA" w14:textId="77777777" w:rsidR="00C54578" w:rsidRDefault="00C54578" w:rsidP="00C54578">
      <w:pPr>
        <w:autoSpaceDE w:val="0"/>
        <w:autoSpaceDN w:val="0"/>
        <w:adjustRightInd w:val="0"/>
        <w:ind w:firstLine="708"/>
        <w:jc w:val="both"/>
        <w:rPr>
          <w:rFonts w:ascii="Abadi" w:hAnsi="Abadi" w:cs="*Arial-6343-Identity-H"/>
          <w:color w:val="14131B"/>
          <w:sz w:val="21"/>
          <w:szCs w:val="21"/>
        </w:rPr>
      </w:pPr>
      <w:r w:rsidRPr="00D9374F">
        <w:rPr>
          <w:rFonts w:ascii="Abadi" w:hAnsi="Abadi" w:cs="*Arial-6343-Identity-H"/>
          <w:color w:val="14131B"/>
          <w:sz w:val="21"/>
          <w:szCs w:val="21"/>
        </w:rPr>
        <w:t>En tal sentido, en el rubro de Eficiencia, se formularon las recomendaciones</w:t>
      </w:r>
      <w:r>
        <w:rPr>
          <w:rFonts w:ascii="Abadi" w:hAnsi="Abadi" w:cs="*Arial-6343-Identity-H"/>
          <w:color w:val="14131B"/>
          <w:sz w:val="21"/>
          <w:szCs w:val="21"/>
        </w:rPr>
        <w:t xml:space="preserve"> </w:t>
      </w:r>
      <w:r w:rsidRPr="00D9374F">
        <w:rPr>
          <w:rFonts w:ascii="Abadi" w:hAnsi="Abadi" w:cs="*Arial-6343-Identity-H"/>
          <w:color w:val="14131B"/>
          <w:sz w:val="21"/>
          <w:szCs w:val="21"/>
        </w:rPr>
        <w:t>plasmadas en los puntos 01 y 02 del resultado número 01, referente a oferta del</w:t>
      </w:r>
      <w:r>
        <w:rPr>
          <w:rFonts w:ascii="Abadi" w:hAnsi="Abadi" w:cs="*Arial-6343-Identity-H"/>
          <w:color w:val="14131B"/>
          <w:sz w:val="21"/>
          <w:szCs w:val="21"/>
        </w:rPr>
        <w:t xml:space="preserve"> </w:t>
      </w:r>
      <w:r w:rsidRPr="00D9374F">
        <w:rPr>
          <w:rFonts w:ascii="Abadi" w:hAnsi="Abadi" w:cs="*Arial-6343-Identity-H"/>
          <w:color w:val="14131B"/>
          <w:sz w:val="21"/>
          <w:szCs w:val="21"/>
        </w:rPr>
        <w:t>servicio de alumbrado público; 03 y 04 del resultado número 02, correspondiente a</w:t>
      </w:r>
      <w:r>
        <w:rPr>
          <w:rFonts w:ascii="Abadi" w:hAnsi="Abadi" w:cs="*Arial-6343-Identity-H"/>
          <w:color w:val="14131B"/>
          <w:sz w:val="21"/>
          <w:szCs w:val="21"/>
        </w:rPr>
        <w:t xml:space="preserve"> </w:t>
      </w:r>
      <w:r w:rsidRPr="00D9374F">
        <w:rPr>
          <w:rFonts w:ascii="Abadi" w:hAnsi="Abadi" w:cs="*Arial-6343-Identity-H"/>
          <w:color w:val="14131B"/>
          <w:sz w:val="21"/>
          <w:szCs w:val="21"/>
        </w:rPr>
        <w:t>presupuestación del servicio; 05 y 06 del resultado número 03, relativo a marco</w:t>
      </w:r>
      <w:r>
        <w:rPr>
          <w:rFonts w:ascii="Abadi" w:hAnsi="Abadi" w:cs="*Arial-6343-Identity-H"/>
          <w:color w:val="14131B"/>
          <w:sz w:val="21"/>
          <w:szCs w:val="21"/>
        </w:rPr>
        <w:t xml:space="preserve"> </w:t>
      </w:r>
      <w:r w:rsidRPr="00D9374F">
        <w:rPr>
          <w:rFonts w:ascii="Abadi" w:hAnsi="Abadi" w:cs="*Arial-6343-Identity-H"/>
          <w:color w:val="14131B"/>
          <w:sz w:val="21"/>
          <w:szCs w:val="21"/>
        </w:rPr>
        <w:t>normativo para la prestación del servicio; 07 del resultado número 04, referido a</w:t>
      </w:r>
      <w:r>
        <w:rPr>
          <w:rFonts w:ascii="Abadi" w:hAnsi="Abadi" w:cs="*Arial-6343-Identity-H"/>
          <w:color w:val="14131B"/>
          <w:sz w:val="21"/>
          <w:szCs w:val="21"/>
        </w:rPr>
        <w:t xml:space="preserve"> </w:t>
      </w:r>
      <w:r w:rsidRPr="00D9374F">
        <w:rPr>
          <w:rFonts w:ascii="Abadi" w:hAnsi="Abadi" w:cs="*Arial-6343-Identity-H"/>
          <w:color w:val="14131B"/>
          <w:sz w:val="21"/>
          <w:szCs w:val="21"/>
        </w:rPr>
        <w:t>planeación del servicio de alumbrado público en el corto plazo; y 08 del resultado</w:t>
      </w:r>
      <w:r>
        <w:rPr>
          <w:rFonts w:ascii="Abadi" w:hAnsi="Abadi" w:cs="*Arial-6343-Identity-H"/>
          <w:color w:val="14131B"/>
          <w:sz w:val="21"/>
          <w:szCs w:val="21"/>
        </w:rPr>
        <w:t xml:space="preserve"> </w:t>
      </w:r>
      <w:r w:rsidRPr="00D9374F">
        <w:rPr>
          <w:rFonts w:ascii="Abadi" w:hAnsi="Abadi" w:cs="*Arial-6343-Identity-H"/>
          <w:color w:val="14131B"/>
          <w:sz w:val="21"/>
          <w:szCs w:val="21"/>
        </w:rPr>
        <w:t>número 05, referente a reportes de fallas en el servicio de alumbrado público. En</w:t>
      </w:r>
      <w:r>
        <w:rPr>
          <w:rFonts w:ascii="Abadi" w:hAnsi="Abadi" w:cs="*Arial-6343-Identity-H"/>
          <w:color w:val="14131B"/>
          <w:sz w:val="21"/>
          <w:szCs w:val="21"/>
        </w:rPr>
        <w:t xml:space="preserve"> </w:t>
      </w:r>
      <w:r w:rsidRPr="00D9374F">
        <w:rPr>
          <w:rFonts w:ascii="Abadi" w:hAnsi="Abadi" w:cs="*Arial-6343-Identity-H"/>
          <w:color w:val="14131B"/>
          <w:sz w:val="21"/>
          <w:szCs w:val="21"/>
        </w:rPr>
        <w:t>el apartado de Eficacia, se formularon las recomendaciones consignadas en los</w:t>
      </w:r>
      <w:r>
        <w:rPr>
          <w:rFonts w:ascii="Abadi" w:hAnsi="Abadi" w:cs="*Arial-6343-Identity-H"/>
          <w:color w:val="14131B"/>
          <w:sz w:val="21"/>
          <w:szCs w:val="21"/>
        </w:rPr>
        <w:t xml:space="preserve"> </w:t>
      </w:r>
      <w:r w:rsidRPr="00D9374F">
        <w:rPr>
          <w:rFonts w:ascii="Abadi" w:hAnsi="Abadi" w:cs="*Arial-6343-Identity-H"/>
          <w:color w:val="14131B"/>
          <w:sz w:val="21"/>
          <w:szCs w:val="21"/>
        </w:rPr>
        <w:t>puntos 09 del resultado número 06, correspondiente a eficacia en la planeación,</w:t>
      </w:r>
      <w:r>
        <w:rPr>
          <w:rFonts w:ascii="Abadi" w:hAnsi="Abadi" w:cs="*Arial-6343-Identity-H"/>
          <w:color w:val="14131B"/>
          <w:sz w:val="21"/>
          <w:szCs w:val="21"/>
        </w:rPr>
        <w:t xml:space="preserve"> </w:t>
      </w:r>
      <w:r w:rsidRPr="00D9374F">
        <w:rPr>
          <w:rFonts w:ascii="Abadi" w:hAnsi="Abadi" w:cs="*Arial-6343-Identity-H"/>
          <w:color w:val="14131B"/>
          <w:sz w:val="21"/>
          <w:szCs w:val="21"/>
        </w:rPr>
        <w:t xml:space="preserve">operación </w:t>
      </w:r>
      <w:r w:rsidRPr="00D9374F">
        <w:rPr>
          <w:rFonts w:ascii="Abadi" w:hAnsi="Abadi" w:cs="*Microsoft Sans Serif-6346-Iden"/>
          <w:color w:val="14131B"/>
          <w:sz w:val="21"/>
          <w:szCs w:val="21"/>
        </w:rPr>
        <w:t xml:space="preserve">y </w:t>
      </w:r>
      <w:r w:rsidRPr="00D9374F">
        <w:rPr>
          <w:rFonts w:ascii="Abadi" w:hAnsi="Abadi" w:cs="*Arial-6343-Identity-H"/>
          <w:color w:val="14131B"/>
          <w:sz w:val="21"/>
          <w:szCs w:val="21"/>
        </w:rPr>
        <w:t xml:space="preserve">control del servicio de alumbrado público; </w:t>
      </w:r>
      <w:r w:rsidRPr="00D9374F">
        <w:rPr>
          <w:rFonts w:ascii="Abadi" w:hAnsi="Abadi" w:cs="*Microsoft Sans Serif-6346-Iden"/>
          <w:color w:val="14131B"/>
          <w:sz w:val="21"/>
          <w:szCs w:val="21"/>
        </w:rPr>
        <w:t xml:space="preserve">y </w:t>
      </w:r>
      <w:r w:rsidRPr="00D9374F">
        <w:rPr>
          <w:rFonts w:ascii="Abadi" w:hAnsi="Abadi" w:cs="*Arial-6343-Identity-H"/>
          <w:color w:val="14131B"/>
          <w:sz w:val="21"/>
          <w:szCs w:val="21"/>
        </w:rPr>
        <w:t>1 O del resultado número</w:t>
      </w:r>
      <w:r>
        <w:rPr>
          <w:rFonts w:ascii="Abadi" w:hAnsi="Abadi" w:cs="*Arial-6343-Identity-H"/>
          <w:color w:val="14131B"/>
          <w:sz w:val="21"/>
          <w:szCs w:val="21"/>
        </w:rPr>
        <w:t xml:space="preserve"> </w:t>
      </w:r>
      <w:r w:rsidRPr="00D9374F">
        <w:rPr>
          <w:rFonts w:ascii="Abadi" w:hAnsi="Abadi" w:cs="*Arial-6343-Identity-H"/>
          <w:color w:val="14131B"/>
          <w:sz w:val="21"/>
          <w:szCs w:val="21"/>
        </w:rPr>
        <w:t>07, relativo a mecanismos de monitoreo y evaluación del municipio de Ocampo.</w:t>
      </w:r>
    </w:p>
    <w:p w14:paraId="78E71993" w14:textId="77777777" w:rsidR="00C54578" w:rsidRPr="00D9374F" w:rsidRDefault="00C54578" w:rsidP="00C54578">
      <w:pPr>
        <w:autoSpaceDE w:val="0"/>
        <w:autoSpaceDN w:val="0"/>
        <w:adjustRightInd w:val="0"/>
        <w:jc w:val="both"/>
        <w:rPr>
          <w:rFonts w:ascii="Abadi" w:hAnsi="Abadi" w:cs="*Arial-6343-Identity-H"/>
          <w:color w:val="14131B"/>
          <w:sz w:val="21"/>
          <w:szCs w:val="21"/>
        </w:rPr>
      </w:pPr>
    </w:p>
    <w:p w14:paraId="54CD0CCB" w14:textId="77777777" w:rsidR="00C54578" w:rsidRDefault="00C54578" w:rsidP="00C54578">
      <w:pPr>
        <w:autoSpaceDE w:val="0"/>
        <w:autoSpaceDN w:val="0"/>
        <w:adjustRightInd w:val="0"/>
        <w:ind w:firstLine="708"/>
        <w:jc w:val="both"/>
        <w:rPr>
          <w:rFonts w:ascii="Abadi" w:hAnsi="Abadi" w:cs="*Arial-6343-Identity-H"/>
          <w:color w:val="14131C"/>
          <w:sz w:val="21"/>
          <w:szCs w:val="21"/>
        </w:rPr>
      </w:pPr>
      <w:r w:rsidRPr="00D9374F">
        <w:rPr>
          <w:rFonts w:ascii="Abadi" w:hAnsi="Abadi" w:cs="*Arial-6343-Identity-H"/>
          <w:color w:val="14131A"/>
          <w:sz w:val="21"/>
          <w:szCs w:val="21"/>
        </w:rPr>
        <w:t xml:space="preserve">Finalmente, se establece un apartado denominado </w:t>
      </w:r>
      <w:r w:rsidRPr="00D9374F">
        <w:rPr>
          <w:rFonts w:ascii="Abadi" w:hAnsi="Abadi" w:cs="*Arial-Italic-6344-Identity-H"/>
          <w:i/>
          <w:iCs/>
          <w:color w:val="14131A"/>
          <w:sz w:val="21"/>
          <w:szCs w:val="21"/>
        </w:rPr>
        <w:t>Cuestiones clave de la</w:t>
      </w:r>
      <w:r>
        <w:rPr>
          <w:rFonts w:ascii="Abadi" w:hAnsi="Abadi" w:cs="*Arial-Italic-6344-Identity-H"/>
          <w:i/>
          <w:iCs/>
          <w:color w:val="14131A"/>
          <w:sz w:val="21"/>
          <w:szCs w:val="21"/>
        </w:rPr>
        <w:t xml:space="preserve"> </w:t>
      </w:r>
      <w:r w:rsidRPr="00D9374F">
        <w:rPr>
          <w:rFonts w:ascii="Abadi" w:hAnsi="Abadi" w:cs="*Arial-Italic-6344-Identity-H"/>
          <w:i/>
          <w:iCs/>
          <w:color w:val="14131A"/>
          <w:sz w:val="21"/>
          <w:szCs w:val="21"/>
        </w:rPr>
        <w:t xml:space="preserve">auditoría en contexto de la pandemia del virus SARS-CoV2 </w:t>
      </w:r>
      <w:r w:rsidRPr="00D9374F">
        <w:rPr>
          <w:rFonts w:ascii="Abadi" w:hAnsi="Abadi" w:cs="*Arial-6343-Identity-H"/>
          <w:color w:val="14131A"/>
          <w:sz w:val="21"/>
          <w:szCs w:val="21"/>
        </w:rPr>
        <w:t>en el que se señala</w:t>
      </w:r>
      <w:r>
        <w:rPr>
          <w:rFonts w:ascii="Abadi" w:hAnsi="Abadi" w:cs="*Arial-6343-Identity-H"/>
          <w:color w:val="14131A"/>
          <w:sz w:val="21"/>
          <w:szCs w:val="21"/>
        </w:rPr>
        <w:t xml:space="preserve"> </w:t>
      </w:r>
      <w:r w:rsidRPr="00D9374F">
        <w:rPr>
          <w:rFonts w:ascii="Abadi" w:hAnsi="Abadi" w:cs="*Arial-6343-Identity-H"/>
          <w:color w:val="14131A"/>
          <w:sz w:val="21"/>
          <w:szCs w:val="21"/>
        </w:rPr>
        <w:t xml:space="preserve">que con motivo de la emergencia sanitaria provocada por dicha pandemia </w:t>
      </w:r>
      <w:r w:rsidRPr="00D9374F">
        <w:rPr>
          <w:rFonts w:ascii="Abadi" w:hAnsi="Abadi" w:cs="*Microsoft Sans Serif-6346-Iden"/>
          <w:color w:val="14131A"/>
          <w:sz w:val="21"/>
          <w:szCs w:val="21"/>
        </w:rPr>
        <w:t xml:space="preserve">y </w:t>
      </w:r>
      <w:r w:rsidRPr="00D9374F">
        <w:rPr>
          <w:rFonts w:ascii="Abadi" w:hAnsi="Abadi" w:cs="*Arial-6343-Identity-H"/>
          <w:color w:val="14131A"/>
          <w:sz w:val="21"/>
          <w:szCs w:val="21"/>
        </w:rPr>
        <w:t>en</w:t>
      </w:r>
      <w:r>
        <w:rPr>
          <w:rFonts w:ascii="Abadi" w:hAnsi="Abadi" w:cs="*Arial-6343-Identity-H"/>
          <w:color w:val="14131A"/>
          <w:sz w:val="21"/>
          <w:szCs w:val="21"/>
        </w:rPr>
        <w:t xml:space="preserve"> </w:t>
      </w:r>
      <w:r w:rsidRPr="00D9374F">
        <w:rPr>
          <w:rFonts w:ascii="Abadi" w:hAnsi="Abadi" w:cs="*Arial-6343-Identity-H"/>
          <w:color w:val="14131A"/>
          <w:sz w:val="21"/>
          <w:szCs w:val="21"/>
        </w:rPr>
        <w:t>atención a diversas disposiciones en salud pública emitidas por las autoridades</w:t>
      </w:r>
      <w:r>
        <w:rPr>
          <w:rFonts w:ascii="Abadi" w:hAnsi="Abadi" w:cs="*Arial-6343-Identity-H"/>
          <w:color w:val="14131A"/>
          <w:sz w:val="21"/>
          <w:szCs w:val="21"/>
        </w:rPr>
        <w:t xml:space="preserve"> </w:t>
      </w:r>
      <w:r w:rsidRPr="00D9374F">
        <w:rPr>
          <w:rFonts w:ascii="Abadi" w:hAnsi="Abadi" w:cs="*Arial-6343-Identity-H"/>
          <w:color w:val="14131C"/>
          <w:sz w:val="21"/>
          <w:szCs w:val="21"/>
        </w:rPr>
        <w:t xml:space="preserve">federales </w:t>
      </w:r>
      <w:r w:rsidRPr="00D9374F">
        <w:rPr>
          <w:rFonts w:ascii="Abadi" w:hAnsi="Abadi" w:cs="*Microsoft Sans Serif-6346-Iden"/>
          <w:color w:val="14131C"/>
          <w:sz w:val="21"/>
          <w:szCs w:val="21"/>
        </w:rPr>
        <w:t xml:space="preserve">y </w:t>
      </w:r>
      <w:r w:rsidRPr="00D9374F">
        <w:rPr>
          <w:rFonts w:ascii="Abadi" w:hAnsi="Abadi" w:cs="*Arial-6343-Identity-H"/>
          <w:color w:val="14131C"/>
          <w:sz w:val="21"/>
          <w:szCs w:val="21"/>
        </w:rPr>
        <w:t>estatales competentes en la materia, se generaron cambios en el</w:t>
      </w:r>
      <w:r>
        <w:rPr>
          <w:rFonts w:ascii="Abadi" w:hAnsi="Abadi" w:cs="*Arial-6343-Identity-H"/>
          <w:color w:val="14131C"/>
          <w:sz w:val="21"/>
          <w:szCs w:val="21"/>
        </w:rPr>
        <w:t xml:space="preserve"> </w:t>
      </w:r>
      <w:r w:rsidRPr="00D9374F">
        <w:rPr>
          <w:rFonts w:ascii="Abadi" w:hAnsi="Abadi" w:cs="*Arial-6343-Identity-H"/>
          <w:color w:val="14131C"/>
          <w:sz w:val="21"/>
          <w:szCs w:val="21"/>
        </w:rPr>
        <w:t>desarrollo de los asuntos competencia de la Auditoría Superior del Estado de</w:t>
      </w:r>
      <w:r>
        <w:rPr>
          <w:rFonts w:ascii="Abadi" w:hAnsi="Abadi" w:cs="*Arial-6343-Identity-H"/>
          <w:color w:val="14131C"/>
          <w:sz w:val="21"/>
          <w:szCs w:val="21"/>
        </w:rPr>
        <w:t xml:space="preserve"> </w:t>
      </w:r>
      <w:r w:rsidRPr="00D9374F">
        <w:rPr>
          <w:rFonts w:ascii="Abadi" w:hAnsi="Abadi" w:cs="*Arial-6343-Identity-H"/>
          <w:color w:val="14131C"/>
          <w:sz w:val="21"/>
          <w:szCs w:val="21"/>
        </w:rPr>
        <w:t xml:space="preserve">Guanajuato, atendiendo al </w:t>
      </w:r>
      <w:r w:rsidRPr="00D9374F">
        <w:rPr>
          <w:rFonts w:ascii="Abadi" w:hAnsi="Abadi" w:cs="*Arial-Italic-6344-Identity-H"/>
          <w:i/>
          <w:iCs/>
          <w:color w:val="14131C"/>
          <w:sz w:val="21"/>
          <w:szCs w:val="21"/>
        </w:rPr>
        <w:t xml:space="preserve">Acuerdo relativo al trabajo a distancia </w:t>
      </w:r>
      <w:r w:rsidRPr="00D9374F">
        <w:rPr>
          <w:rFonts w:ascii="Abadi" w:hAnsi="Abadi" w:cs="*Arial-6343-Identity-H"/>
          <w:color w:val="14131C"/>
          <w:sz w:val="21"/>
          <w:szCs w:val="21"/>
        </w:rPr>
        <w:t>de fecha 17 de</w:t>
      </w:r>
      <w:r>
        <w:rPr>
          <w:rFonts w:ascii="Abadi" w:hAnsi="Abadi" w:cs="*Arial-6343-Identity-H"/>
          <w:color w:val="14131C"/>
          <w:sz w:val="21"/>
          <w:szCs w:val="21"/>
        </w:rPr>
        <w:t xml:space="preserve"> </w:t>
      </w:r>
      <w:r w:rsidRPr="00D9374F">
        <w:rPr>
          <w:rFonts w:ascii="Abadi" w:hAnsi="Abadi" w:cs="*Arial-6343-Identity-H"/>
          <w:color w:val="14131C"/>
          <w:sz w:val="21"/>
          <w:szCs w:val="21"/>
        </w:rPr>
        <w:t xml:space="preserve">marzo de 2020 </w:t>
      </w:r>
      <w:r w:rsidRPr="00D9374F">
        <w:rPr>
          <w:rFonts w:ascii="Abadi" w:hAnsi="Abadi" w:cs="*Microsoft Sans Serif-6346-Iden"/>
          <w:color w:val="14131C"/>
          <w:sz w:val="21"/>
          <w:szCs w:val="21"/>
        </w:rPr>
        <w:t xml:space="preserve">y </w:t>
      </w:r>
      <w:r w:rsidRPr="00D9374F">
        <w:rPr>
          <w:rFonts w:ascii="Abadi" w:hAnsi="Abadi" w:cs="*Arial-6343-Identity-H"/>
          <w:color w:val="14131C"/>
          <w:sz w:val="21"/>
          <w:szCs w:val="21"/>
        </w:rPr>
        <w:t>su décimo sexto acuerdo modificatorio, aprovechando las</w:t>
      </w:r>
      <w:r>
        <w:rPr>
          <w:rFonts w:ascii="Abadi" w:hAnsi="Abadi" w:cs="*Arial-6343-Identity-H"/>
          <w:color w:val="14131C"/>
          <w:sz w:val="21"/>
          <w:szCs w:val="21"/>
        </w:rPr>
        <w:t xml:space="preserve"> </w:t>
      </w:r>
      <w:r w:rsidRPr="00D9374F">
        <w:rPr>
          <w:rFonts w:ascii="Abadi" w:hAnsi="Abadi" w:cs="*Arial-6343-Identity-H"/>
          <w:color w:val="14131C"/>
          <w:sz w:val="21"/>
          <w:szCs w:val="21"/>
        </w:rPr>
        <w:t>herramientas tecnológicas de que dispone, así como la colaboración de los sujetos</w:t>
      </w:r>
      <w:r>
        <w:rPr>
          <w:rFonts w:ascii="Abadi" w:hAnsi="Abadi" w:cs="*Arial-6343-Identity-H"/>
          <w:color w:val="14131C"/>
          <w:sz w:val="21"/>
          <w:szCs w:val="21"/>
        </w:rPr>
        <w:t xml:space="preserve"> </w:t>
      </w:r>
      <w:r w:rsidRPr="00D9374F">
        <w:rPr>
          <w:rFonts w:ascii="Abadi" w:hAnsi="Abadi" w:cs="*Arial-6343-Identity-H"/>
          <w:color w:val="14131C"/>
          <w:sz w:val="21"/>
          <w:szCs w:val="21"/>
        </w:rPr>
        <w:t>de fiscalización.</w:t>
      </w:r>
    </w:p>
    <w:p w14:paraId="5970B344" w14:textId="77777777" w:rsidR="00C54578" w:rsidRPr="00D9374F" w:rsidRDefault="00C54578" w:rsidP="00C54578">
      <w:pPr>
        <w:autoSpaceDE w:val="0"/>
        <w:autoSpaceDN w:val="0"/>
        <w:adjustRightInd w:val="0"/>
        <w:jc w:val="both"/>
        <w:rPr>
          <w:rFonts w:ascii="Abadi" w:hAnsi="Abadi" w:cs="*Arial-6343-Identity-H"/>
          <w:color w:val="14131C"/>
          <w:sz w:val="21"/>
          <w:szCs w:val="21"/>
        </w:rPr>
      </w:pPr>
    </w:p>
    <w:p w14:paraId="539A2AA4" w14:textId="77777777" w:rsidR="00C54578" w:rsidRDefault="00C54578" w:rsidP="00C54578">
      <w:pPr>
        <w:autoSpaceDE w:val="0"/>
        <w:autoSpaceDN w:val="0"/>
        <w:adjustRightInd w:val="0"/>
        <w:ind w:firstLine="708"/>
        <w:jc w:val="both"/>
        <w:rPr>
          <w:rFonts w:ascii="Abadi" w:hAnsi="Abadi" w:cs="*Arial-6343-Identity-H"/>
          <w:color w:val="14131C"/>
          <w:sz w:val="21"/>
          <w:szCs w:val="21"/>
        </w:rPr>
      </w:pPr>
      <w:r w:rsidRPr="00D9374F">
        <w:rPr>
          <w:rFonts w:ascii="Abadi" w:hAnsi="Abadi" w:cs="*Arial-6343-Identity-H"/>
          <w:color w:val="14131C"/>
          <w:sz w:val="21"/>
          <w:szCs w:val="21"/>
        </w:rPr>
        <w:t>Es así, que si bien, el proceso de fiscalización ha continuado observando</w:t>
      </w:r>
      <w:r>
        <w:rPr>
          <w:rFonts w:ascii="Abadi" w:hAnsi="Abadi" w:cs="*Arial-6343-Identity-H"/>
          <w:color w:val="14131C"/>
          <w:sz w:val="21"/>
          <w:szCs w:val="21"/>
        </w:rPr>
        <w:t xml:space="preserve"> </w:t>
      </w:r>
      <w:r w:rsidRPr="00D9374F">
        <w:rPr>
          <w:rFonts w:ascii="Abadi" w:hAnsi="Abadi" w:cs="*Arial-6343-Identity-H"/>
          <w:color w:val="14131C"/>
          <w:sz w:val="21"/>
          <w:szCs w:val="21"/>
        </w:rPr>
        <w:t>las medidas de confinamiento que las autoridades de salud han determinado y con</w:t>
      </w:r>
      <w:r>
        <w:rPr>
          <w:rFonts w:ascii="Abadi" w:hAnsi="Abadi" w:cs="*Arial-6343-Identity-H"/>
          <w:color w:val="14131C"/>
          <w:sz w:val="21"/>
          <w:szCs w:val="21"/>
        </w:rPr>
        <w:t xml:space="preserve"> </w:t>
      </w:r>
      <w:r w:rsidRPr="00D9374F">
        <w:rPr>
          <w:rFonts w:ascii="Abadi" w:hAnsi="Abadi" w:cs="*Arial-6343-Identity-H"/>
          <w:color w:val="14131C"/>
          <w:sz w:val="21"/>
          <w:szCs w:val="21"/>
        </w:rPr>
        <w:t>el uso de las tecnologías de la información, por la propia naturaleza de la</w:t>
      </w:r>
      <w:r>
        <w:rPr>
          <w:rFonts w:ascii="Abadi" w:hAnsi="Abadi" w:cs="*Arial-6343-Identity-H"/>
          <w:color w:val="14131C"/>
          <w:sz w:val="21"/>
          <w:szCs w:val="21"/>
        </w:rPr>
        <w:t xml:space="preserve"> </w:t>
      </w:r>
      <w:r w:rsidRPr="00D9374F">
        <w:rPr>
          <w:rFonts w:ascii="Abadi" w:hAnsi="Abadi" w:cs="*Arial-6343-Identity-H"/>
          <w:color w:val="14131C"/>
          <w:sz w:val="21"/>
          <w:szCs w:val="21"/>
        </w:rPr>
        <w:t>pandemia se generaron limitantes en la aplicación de los procedimientos de</w:t>
      </w:r>
      <w:r>
        <w:rPr>
          <w:rFonts w:ascii="Abadi" w:hAnsi="Abadi" w:cs="*Arial-6343-Identity-H"/>
          <w:color w:val="14131C"/>
          <w:sz w:val="21"/>
          <w:szCs w:val="21"/>
        </w:rPr>
        <w:t xml:space="preserve"> </w:t>
      </w:r>
      <w:r w:rsidRPr="00D9374F">
        <w:rPr>
          <w:rFonts w:ascii="Abadi" w:hAnsi="Abadi" w:cs="*Arial-6343-Identity-H"/>
          <w:color w:val="14131C"/>
          <w:sz w:val="21"/>
          <w:szCs w:val="21"/>
        </w:rPr>
        <w:t>auditoría.</w:t>
      </w:r>
    </w:p>
    <w:p w14:paraId="5C62C7D8" w14:textId="77777777" w:rsidR="00C54578" w:rsidRPr="00D9374F" w:rsidRDefault="00C54578" w:rsidP="00C54578">
      <w:pPr>
        <w:autoSpaceDE w:val="0"/>
        <w:autoSpaceDN w:val="0"/>
        <w:adjustRightInd w:val="0"/>
        <w:jc w:val="both"/>
        <w:rPr>
          <w:rFonts w:ascii="Abadi" w:hAnsi="Abadi" w:cs="*Arial-6343-Identity-H"/>
          <w:color w:val="14131C"/>
          <w:sz w:val="21"/>
          <w:szCs w:val="21"/>
        </w:rPr>
      </w:pPr>
    </w:p>
    <w:p w14:paraId="54998362" w14:textId="77777777" w:rsidR="00C54578" w:rsidRDefault="00C54578" w:rsidP="00C54578">
      <w:pPr>
        <w:autoSpaceDE w:val="0"/>
        <w:autoSpaceDN w:val="0"/>
        <w:adjustRightInd w:val="0"/>
        <w:ind w:firstLine="708"/>
        <w:jc w:val="both"/>
        <w:rPr>
          <w:rFonts w:ascii="Abadi" w:hAnsi="Abadi" w:cs="*Arial-6343-Identity-H"/>
          <w:color w:val="14131C"/>
          <w:sz w:val="21"/>
          <w:szCs w:val="21"/>
        </w:rPr>
      </w:pPr>
      <w:r w:rsidRPr="00D9374F">
        <w:rPr>
          <w:rFonts w:ascii="Abadi" w:hAnsi="Abadi" w:cs="*Arial-6343-Identity-H"/>
          <w:color w:val="14131C"/>
          <w:sz w:val="21"/>
          <w:szCs w:val="21"/>
        </w:rPr>
        <w:t>En tal sentido se priorizó el enfoque de derechos humanos, velando por la</w:t>
      </w:r>
      <w:r>
        <w:rPr>
          <w:rFonts w:ascii="Abadi" w:hAnsi="Abadi" w:cs="*Arial-6343-Identity-H"/>
          <w:color w:val="14131C"/>
          <w:sz w:val="21"/>
          <w:szCs w:val="21"/>
        </w:rPr>
        <w:t xml:space="preserve"> </w:t>
      </w:r>
      <w:r w:rsidRPr="00D9374F">
        <w:rPr>
          <w:rFonts w:ascii="Abadi" w:hAnsi="Abadi" w:cs="*Arial-6343-Identity-H"/>
          <w:color w:val="14131C"/>
          <w:sz w:val="21"/>
          <w:szCs w:val="21"/>
        </w:rPr>
        <w:t xml:space="preserve">protección del derecho humano a la salud, respetando las limitaciones </w:t>
      </w:r>
      <w:r w:rsidRPr="00D9374F">
        <w:rPr>
          <w:rFonts w:ascii="Abadi" w:hAnsi="Abadi" w:cs="*Microsoft Sans Serif-6346-Iden"/>
          <w:color w:val="14131C"/>
          <w:sz w:val="21"/>
          <w:szCs w:val="21"/>
        </w:rPr>
        <w:t>y</w:t>
      </w:r>
      <w:r>
        <w:rPr>
          <w:rFonts w:ascii="Abadi" w:hAnsi="Abadi" w:cs="*Microsoft Sans Serif-6346-Iden"/>
          <w:color w:val="14131C"/>
          <w:sz w:val="21"/>
          <w:szCs w:val="21"/>
        </w:rPr>
        <w:t xml:space="preserve"> </w:t>
      </w:r>
      <w:r w:rsidRPr="00D9374F">
        <w:rPr>
          <w:rFonts w:ascii="Abadi" w:hAnsi="Abadi" w:cs="*Arial-6343-Identity-H"/>
          <w:color w:val="14131C"/>
          <w:sz w:val="21"/>
          <w:szCs w:val="21"/>
        </w:rPr>
        <w:t>restricciones a los derechos humanos establecidas en la propia Constitución.</w:t>
      </w:r>
      <w:r>
        <w:rPr>
          <w:rFonts w:ascii="Abadi" w:hAnsi="Abadi" w:cs="*Arial-6343-Identity-H"/>
          <w:color w:val="14131C"/>
          <w:sz w:val="21"/>
          <w:szCs w:val="21"/>
        </w:rPr>
        <w:t xml:space="preserve"> </w:t>
      </w:r>
    </w:p>
    <w:p w14:paraId="20521F3E" w14:textId="77777777" w:rsidR="00C54578" w:rsidRDefault="00C54578" w:rsidP="00C54578">
      <w:pPr>
        <w:autoSpaceDE w:val="0"/>
        <w:autoSpaceDN w:val="0"/>
        <w:adjustRightInd w:val="0"/>
        <w:jc w:val="both"/>
        <w:rPr>
          <w:rFonts w:ascii="Abadi" w:hAnsi="Abadi" w:cs="*Arial-6343-Identity-H"/>
          <w:color w:val="14131C"/>
          <w:sz w:val="21"/>
          <w:szCs w:val="21"/>
        </w:rPr>
      </w:pPr>
    </w:p>
    <w:p w14:paraId="098562CC" w14:textId="77777777" w:rsidR="00C54578" w:rsidRDefault="00C54578" w:rsidP="00C54578">
      <w:pPr>
        <w:autoSpaceDE w:val="0"/>
        <w:autoSpaceDN w:val="0"/>
        <w:adjustRightInd w:val="0"/>
        <w:jc w:val="both"/>
        <w:rPr>
          <w:rFonts w:ascii="Abadi" w:hAnsi="Abadi" w:cs="*Arial-Bold-4832-Identity-H"/>
          <w:b/>
          <w:bCs/>
          <w:color w:val="14121F"/>
          <w:sz w:val="21"/>
          <w:szCs w:val="21"/>
        </w:rPr>
      </w:pPr>
    </w:p>
    <w:p w14:paraId="5D2BD458" w14:textId="77777777" w:rsidR="00C54578" w:rsidRDefault="00C54578" w:rsidP="00C54578">
      <w:pPr>
        <w:autoSpaceDE w:val="0"/>
        <w:autoSpaceDN w:val="0"/>
        <w:adjustRightInd w:val="0"/>
        <w:ind w:firstLine="708"/>
        <w:jc w:val="both"/>
        <w:rPr>
          <w:rFonts w:ascii="Abadi" w:hAnsi="Abadi" w:cs="*Arial-Bold-4832-Identity-H"/>
          <w:b/>
          <w:bCs/>
          <w:color w:val="14121F"/>
          <w:sz w:val="21"/>
          <w:szCs w:val="21"/>
        </w:rPr>
      </w:pPr>
      <w:r w:rsidRPr="00D9374F">
        <w:rPr>
          <w:rFonts w:ascii="Abadi" w:hAnsi="Abadi" w:cs="*Arial-Bold-4832-Identity-H"/>
          <w:b/>
          <w:bCs/>
          <w:color w:val="14121F"/>
          <w:sz w:val="21"/>
          <w:szCs w:val="21"/>
        </w:rPr>
        <w:t>c) Resumen de las recomendaciones.</w:t>
      </w:r>
    </w:p>
    <w:p w14:paraId="757E228F" w14:textId="77777777" w:rsidR="00C54578" w:rsidRDefault="00C54578" w:rsidP="00C54578">
      <w:pPr>
        <w:autoSpaceDE w:val="0"/>
        <w:autoSpaceDN w:val="0"/>
        <w:adjustRightInd w:val="0"/>
        <w:jc w:val="both"/>
        <w:rPr>
          <w:rFonts w:ascii="Abadi" w:hAnsi="Abadi" w:cs="*Arial-Bold-4832-Identity-H"/>
          <w:b/>
          <w:bCs/>
          <w:color w:val="14121F"/>
          <w:sz w:val="21"/>
          <w:szCs w:val="21"/>
        </w:rPr>
      </w:pPr>
    </w:p>
    <w:p w14:paraId="0300CC0D" w14:textId="77777777" w:rsidR="00C54578" w:rsidRPr="00D9374F" w:rsidRDefault="00C54578" w:rsidP="00C54578">
      <w:pPr>
        <w:autoSpaceDE w:val="0"/>
        <w:autoSpaceDN w:val="0"/>
        <w:adjustRightInd w:val="0"/>
        <w:jc w:val="both"/>
        <w:rPr>
          <w:rFonts w:ascii="Abadi" w:hAnsi="Abadi" w:cs="*Arial-Bold-4832-Identity-H"/>
          <w:b/>
          <w:bCs/>
          <w:color w:val="14121F"/>
          <w:sz w:val="21"/>
          <w:szCs w:val="21"/>
        </w:rPr>
      </w:pPr>
    </w:p>
    <w:p w14:paraId="50A0CB30" w14:textId="77777777" w:rsidR="00C54578" w:rsidRDefault="00C54578" w:rsidP="00C54578">
      <w:pPr>
        <w:autoSpaceDE w:val="0"/>
        <w:autoSpaceDN w:val="0"/>
        <w:adjustRightInd w:val="0"/>
        <w:ind w:firstLine="708"/>
        <w:jc w:val="both"/>
        <w:rPr>
          <w:rFonts w:ascii="Abadi" w:hAnsi="Abadi" w:cs="*Arial-4831-Identity-H"/>
          <w:color w:val="14131B"/>
          <w:sz w:val="21"/>
          <w:szCs w:val="21"/>
        </w:rPr>
      </w:pPr>
      <w:r w:rsidRPr="00D9374F">
        <w:rPr>
          <w:rFonts w:ascii="Abadi" w:hAnsi="Abadi" w:cs="*Arial-4831-Identity-H"/>
          <w:color w:val="14131B"/>
          <w:sz w:val="21"/>
          <w:szCs w:val="21"/>
        </w:rPr>
        <w:t>En este punto se establece un resumen exclusivamente de los resultados</w:t>
      </w:r>
      <w:r>
        <w:rPr>
          <w:rFonts w:ascii="Abadi" w:hAnsi="Abadi" w:cs="*Arial-4831-Identity-H"/>
          <w:color w:val="14131B"/>
          <w:sz w:val="21"/>
          <w:szCs w:val="21"/>
        </w:rPr>
        <w:t xml:space="preserve"> </w:t>
      </w:r>
      <w:r w:rsidRPr="00D9374F">
        <w:rPr>
          <w:rFonts w:ascii="Abadi" w:hAnsi="Abadi" w:cs="*Arial-4831-Identity-H"/>
          <w:color w:val="14131B"/>
          <w:sz w:val="21"/>
          <w:szCs w:val="21"/>
        </w:rPr>
        <w:t>que generaron recomendación producto de un área de oportunidad o mejora</w:t>
      </w:r>
      <w:r>
        <w:rPr>
          <w:rFonts w:ascii="Abadi" w:hAnsi="Abadi" w:cs="*Arial-4831-Identity-H"/>
          <w:color w:val="14131B"/>
          <w:sz w:val="21"/>
          <w:szCs w:val="21"/>
        </w:rPr>
        <w:t xml:space="preserve"> </w:t>
      </w:r>
      <w:r w:rsidRPr="00D9374F">
        <w:rPr>
          <w:rFonts w:ascii="Abadi" w:hAnsi="Abadi" w:cs="*Arial-4831-Identity-H"/>
          <w:color w:val="14131B"/>
          <w:sz w:val="21"/>
          <w:szCs w:val="21"/>
        </w:rPr>
        <w:t>sugerida por el Órgano Técnico, mismos se clasifican agrupados bajo su</w:t>
      </w:r>
      <w:r>
        <w:rPr>
          <w:rFonts w:ascii="Abadi" w:hAnsi="Abadi" w:cs="*Arial-4831-Identity-H"/>
          <w:color w:val="14131B"/>
          <w:sz w:val="21"/>
          <w:szCs w:val="21"/>
        </w:rPr>
        <w:t xml:space="preserve"> </w:t>
      </w:r>
      <w:r w:rsidRPr="00D9374F">
        <w:rPr>
          <w:rFonts w:ascii="Abadi" w:hAnsi="Abadi" w:cs="*Arial-4831-Identity-H"/>
          <w:color w:val="14131B"/>
          <w:sz w:val="21"/>
          <w:szCs w:val="21"/>
        </w:rPr>
        <w:t>respectiva vertiente, con su síntesis de la valoración efectuada, precisando que del</w:t>
      </w:r>
      <w:r>
        <w:rPr>
          <w:rFonts w:ascii="Abadi" w:hAnsi="Abadi" w:cs="*Arial-4831-Identity-H"/>
          <w:color w:val="14131B"/>
          <w:sz w:val="21"/>
          <w:szCs w:val="21"/>
        </w:rPr>
        <w:t xml:space="preserve"> </w:t>
      </w:r>
      <w:r w:rsidRPr="00D9374F">
        <w:rPr>
          <w:rFonts w:ascii="Abadi" w:hAnsi="Abadi" w:cs="*Arial-4831-Identity-H"/>
          <w:color w:val="14131B"/>
          <w:sz w:val="21"/>
          <w:szCs w:val="21"/>
        </w:rPr>
        <w:t>análisis a la respuesta del pliego de recomendaciones se desprende que el sujeto</w:t>
      </w:r>
      <w:r>
        <w:rPr>
          <w:rFonts w:ascii="Abadi" w:hAnsi="Abadi" w:cs="*Arial-4831-Identity-H"/>
          <w:color w:val="14131B"/>
          <w:sz w:val="21"/>
          <w:szCs w:val="21"/>
        </w:rPr>
        <w:t xml:space="preserve"> </w:t>
      </w:r>
      <w:r w:rsidRPr="00D9374F">
        <w:rPr>
          <w:rFonts w:ascii="Abadi" w:hAnsi="Abadi" w:cs="*Arial-4831-Identity-H"/>
          <w:color w:val="14131B"/>
          <w:sz w:val="21"/>
          <w:szCs w:val="21"/>
        </w:rPr>
        <w:t>fiscalizado en las 1 O recomendaciones formuladas se comprometió a realizar</w:t>
      </w:r>
      <w:r>
        <w:rPr>
          <w:rFonts w:ascii="Abadi" w:hAnsi="Abadi" w:cs="*Arial-4831-Identity-H"/>
          <w:color w:val="14131B"/>
          <w:sz w:val="21"/>
          <w:szCs w:val="21"/>
        </w:rPr>
        <w:t xml:space="preserve"> </w:t>
      </w:r>
      <w:r w:rsidRPr="00D9374F">
        <w:rPr>
          <w:rFonts w:ascii="Abadi" w:hAnsi="Abadi" w:cs="*Arial-4831-Identity-H"/>
          <w:color w:val="14131B"/>
          <w:sz w:val="21"/>
          <w:szCs w:val="21"/>
        </w:rPr>
        <w:t>acciones en un plazo futuro para su atención. A dichas recomendaciones dará</w:t>
      </w:r>
      <w:r>
        <w:rPr>
          <w:rFonts w:ascii="Abadi" w:hAnsi="Abadi" w:cs="*Arial-4831-Identity-H"/>
          <w:color w:val="14131B"/>
          <w:sz w:val="21"/>
          <w:szCs w:val="21"/>
        </w:rPr>
        <w:t xml:space="preserve"> </w:t>
      </w:r>
      <w:r w:rsidRPr="00D9374F">
        <w:rPr>
          <w:rFonts w:ascii="Abadi" w:hAnsi="Abadi" w:cs="*Arial-4831-Identity-H"/>
          <w:color w:val="14131B"/>
          <w:sz w:val="21"/>
          <w:szCs w:val="21"/>
        </w:rPr>
        <w:t>seguimiento el Órgano Técnico en la etapa correspondiente, de conformidad con</w:t>
      </w:r>
      <w:r>
        <w:rPr>
          <w:rFonts w:ascii="Abadi" w:hAnsi="Abadi" w:cs="*Arial-4831-Identity-H"/>
          <w:color w:val="14131B"/>
          <w:sz w:val="21"/>
          <w:szCs w:val="21"/>
        </w:rPr>
        <w:t xml:space="preserve"> </w:t>
      </w:r>
      <w:r w:rsidRPr="00D9374F">
        <w:rPr>
          <w:rFonts w:ascii="Abadi" w:hAnsi="Abadi" w:cs="*Arial-4831-Identity-H"/>
          <w:color w:val="14131B"/>
          <w:sz w:val="21"/>
          <w:szCs w:val="21"/>
        </w:rPr>
        <w:t>el ordenamiento legal respectivo.</w:t>
      </w:r>
    </w:p>
    <w:p w14:paraId="439FE0AF" w14:textId="77777777" w:rsidR="00C54578" w:rsidRPr="00D9374F" w:rsidRDefault="00C54578" w:rsidP="00C54578">
      <w:pPr>
        <w:autoSpaceDE w:val="0"/>
        <w:autoSpaceDN w:val="0"/>
        <w:adjustRightInd w:val="0"/>
        <w:jc w:val="both"/>
        <w:rPr>
          <w:rFonts w:ascii="Abadi" w:hAnsi="Abadi" w:cs="*Arial-4831-Identity-H"/>
          <w:color w:val="14131B"/>
          <w:sz w:val="21"/>
          <w:szCs w:val="21"/>
        </w:rPr>
      </w:pPr>
    </w:p>
    <w:p w14:paraId="677B67CC" w14:textId="77777777" w:rsidR="00C54578" w:rsidRDefault="00C54578" w:rsidP="00C54578">
      <w:pPr>
        <w:autoSpaceDE w:val="0"/>
        <w:autoSpaceDN w:val="0"/>
        <w:adjustRightInd w:val="0"/>
        <w:jc w:val="both"/>
        <w:rPr>
          <w:rFonts w:ascii="Abadi" w:hAnsi="Abadi" w:cs="*Arial-Bold-4832-Identity-H"/>
          <w:b/>
          <w:bCs/>
          <w:color w:val="14121F"/>
          <w:sz w:val="21"/>
          <w:szCs w:val="21"/>
        </w:rPr>
      </w:pPr>
    </w:p>
    <w:p w14:paraId="0449EF3B" w14:textId="77777777" w:rsidR="00C54578" w:rsidRDefault="00C54578" w:rsidP="00C54578">
      <w:pPr>
        <w:autoSpaceDE w:val="0"/>
        <w:autoSpaceDN w:val="0"/>
        <w:adjustRightInd w:val="0"/>
        <w:ind w:firstLine="708"/>
        <w:jc w:val="both"/>
        <w:rPr>
          <w:rFonts w:ascii="Abadi" w:hAnsi="Abadi" w:cs="*Arial-Bold-4832-Identity-H"/>
          <w:b/>
          <w:bCs/>
          <w:color w:val="14121F"/>
          <w:sz w:val="21"/>
          <w:szCs w:val="21"/>
        </w:rPr>
      </w:pPr>
      <w:r w:rsidRPr="00D9374F">
        <w:rPr>
          <w:rFonts w:ascii="Abadi" w:hAnsi="Abadi" w:cs="*Arial-Bold-4832-Identity-H"/>
          <w:b/>
          <w:bCs/>
          <w:color w:val="14121F"/>
          <w:sz w:val="21"/>
          <w:szCs w:val="21"/>
        </w:rPr>
        <w:t>d) Conclusión General.</w:t>
      </w:r>
    </w:p>
    <w:p w14:paraId="236B500D" w14:textId="77777777" w:rsidR="00C54578" w:rsidRPr="00D9374F" w:rsidRDefault="00C54578" w:rsidP="00C54578">
      <w:pPr>
        <w:autoSpaceDE w:val="0"/>
        <w:autoSpaceDN w:val="0"/>
        <w:adjustRightInd w:val="0"/>
        <w:jc w:val="both"/>
        <w:rPr>
          <w:rFonts w:ascii="Abadi" w:hAnsi="Abadi" w:cs="*Arial-Bold-4832-Identity-H"/>
          <w:b/>
          <w:bCs/>
          <w:color w:val="14121F"/>
          <w:sz w:val="21"/>
          <w:szCs w:val="21"/>
        </w:rPr>
      </w:pPr>
      <w:r>
        <w:rPr>
          <w:rFonts w:ascii="Abadi" w:hAnsi="Abadi" w:cs="*Arial-Bold-4832-Identity-H"/>
          <w:b/>
          <w:bCs/>
          <w:color w:val="14121F"/>
          <w:sz w:val="21"/>
          <w:szCs w:val="21"/>
        </w:rPr>
        <w:tab/>
        <w:t xml:space="preserve"> </w:t>
      </w:r>
    </w:p>
    <w:p w14:paraId="66EABD3D" w14:textId="77777777" w:rsidR="00C54578" w:rsidRDefault="00C54578" w:rsidP="00C54578">
      <w:pPr>
        <w:autoSpaceDE w:val="0"/>
        <w:autoSpaceDN w:val="0"/>
        <w:adjustRightInd w:val="0"/>
        <w:ind w:firstLine="708"/>
        <w:jc w:val="both"/>
        <w:rPr>
          <w:rFonts w:ascii="Abadi" w:hAnsi="Abadi" w:cs="*Arial-4831-Identity-H"/>
          <w:color w:val="14131B"/>
          <w:sz w:val="21"/>
          <w:szCs w:val="21"/>
        </w:rPr>
      </w:pPr>
      <w:r w:rsidRPr="00D9374F">
        <w:rPr>
          <w:rFonts w:ascii="Abadi" w:hAnsi="Abadi" w:cs="*Arial-4831-Identity-H"/>
          <w:color w:val="14131B"/>
          <w:sz w:val="21"/>
          <w:szCs w:val="21"/>
        </w:rPr>
        <w:t>La Auditoría Superior del Estado concluyó que los serv1c1os públicos se</w:t>
      </w:r>
      <w:r>
        <w:rPr>
          <w:rFonts w:ascii="Abadi" w:hAnsi="Abadi" w:cs="*Arial-4831-Identity-H"/>
          <w:color w:val="14131B"/>
          <w:sz w:val="21"/>
          <w:szCs w:val="21"/>
        </w:rPr>
        <w:t xml:space="preserve"> </w:t>
      </w:r>
      <w:r w:rsidRPr="00D9374F">
        <w:rPr>
          <w:rFonts w:ascii="Abadi" w:hAnsi="Abadi" w:cs="*Arial-4831-Identity-H"/>
          <w:color w:val="14131B"/>
          <w:sz w:val="21"/>
          <w:szCs w:val="21"/>
        </w:rPr>
        <w:t>pueden entender como toda prestación concreta que tienda a satisfacer, de</w:t>
      </w:r>
      <w:r>
        <w:rPr>
          <w:rFonts w:ascii="Abadi" w:hAnsi="Abadi" w:cs="*Arial-4831-Identity-H"/>
          <w:color w:val="14131B"/>
          <w:sz w:val="21"/>
          <w:szCs w:val="21"/>
        </w:rPr>
        <w:t xml:space="preserve"> </w:t>
      </w:r>
      <w:r w:rsidRPr="00D9374F">
        <w:rPr>
          <w:rFonts w:ascii="Abadi" w:hAnsi="Abadi" w:cs="*Arial-4831-Identity-H"/>
          <w:color w:val="14131B"/>
          <w:sz w:val="21"/>
          <w:szCs w:val="21"/>
        </w:rPr>
        <w:t>manera regular, continua y uniforme, las necesidades sociales de carácter</w:t>
      </w:r>
      <w:r>
        <w:rPr>
          <w:rFonts w:ascii="Abadi" w:hAnsi="Abadi" w:cs="*Arial-4831-Identity-H"/>
          <w:color w:val="14131B"/>
          <w:sz w:val="21"/>
          <w:szCs w:val="21"/>
        </w:rPr>
        <w:t xml:space="preserve"> </w:t>
      </w:r>
      <w:r w:rsidRPr="00D9374F">
        <w:rPr>
          <w:rFonts w:ascii="Abadi" w:hAnsi="Abadi" w:cs="*Arial-4831-Identity-H"/>
          <w:color w:val="14131B"/>
          <w:sz w:val="21"/>
          <w:szCs w:val="21"/>
        </w:rPr>
        <w:t>general, básico o fundamental, en beneficio indiscriminado de toda la ciudadanía.</w:t>
      </w:r>
      <w:r>
        <w:rPr>
          <w:rFonts w:ascii="Abadi" w:hAnsi="Abadi" w:cs="*Arial-4831-Identity-H"/>
          <w:color w:val="14131B"/>
          <w:sz w:val="21"/>
          <w:szCs w:val="21"/>
        </w:rPr>
        <w:t xml:space="preserve"> </w:t>
      </w:r>
    </w:p>
    <w:p w14:paraId="566AC80B" w14:textId="77777777" w:rsidR="00C54578" w:rsidRDefault="00C54578" w:rsidP="00C54578">
      <w:pPr>
        <w:autoSpaceDE w:val="0"/>
        <w:autoSpaceDN w:val="0"/>
        <w:adjustRightInd w:val="0"/>
        <w:jc w:val="both"/>
        <w:rPr>
          <w:rFonts w:ascii="Abadi" w:hAnsi="Abadi" w:cs="*Arial-4831-Identity-H"/>
          <w:color w:val="14131B"/>
          <w:sz w:val="21"/>
          <w:szCs w:val="21"/>
        </w:rPr>
      </w:pPr>
    </w:p>
    <w:p w14:paraId="598923A3" w14:textId="77777777" w:rsidR="00C54578" w:rsidRDefault="00C54578" w:rsidP="00C54578">
      <w:pPr>
        <w:autoSpaceDE w:val="0"/>
        <w:autoSpaceDN w:val="0"/>
        <w:adjustRightInd w:val="0"/>
        <w:ind w:firstLine="708"/>
        <w:jc w:val="both"/>
        <w:rPr>
          <w:rFonts w:ascii="Abadi" w:hAnsi="Abadi" w:cs="*Arial-4831-Identity-H"/>
          <w:color w:val="14131B"/>
          <w:sz w:val="21"/>
          <w:szCs w:val="21"/>
        </w:rPr>
      </w:pPr>
      <w:r w:rsidRPr="00D9374F">
        <w:rPr>
          <w:rFonts w:ascii="Abadi" w:hAnsi="Abadi" w:cs="*Arial-4831-Identity-H"/>
          <w:color w:val="14131B"/>
          <w:sz w:val="21"/>
          <w:szCs w:val="21"/>
        </w:rPr>
        <w:t>De su adecuada prestación depende, en cierta medida, la calidad de vida de las</w:t>
      </w:r>
      <w:r>
        <w:rPr>
          <w:rFonts w:ascii="Abadi" w:hAnsi="Abadi" w:cs="*Arial-4831-Identity-H"/>
          <w:color w:val="14131B"/>
          <w:sz w:val="21"/>
          <w:szCs w:val="21"/>
        </w:rPr>
        <w:t xml:space="preserve"> </w:t>
      </w:r>
      <w:r w:rsidRPr="00D9374F">
        <w:rPr>
          <w:rFonts w:ascii="Abadi" w:hAnsi="Abadi" w:cs="*Arial-4831-Identity-H"/>
          <w:color w:val="14131B"/>
          <w:sz w:val="21"/>
          <w:szCs w:val="21"/>
        </w:rPr>
        <w:t>personas.</w:t>
      </w:r>
    </w:p>
    <w:p w14:paraId="7D2915A7" w14:textId="77777777" w:rsidR="00C54578" w:rsidRPr="00D9374F" w:rsidRDefault="00C54578" w:rsidP="00C54578">
      <w:pPr>
        <w:autoSpaceDE w:val="0"/>
        <w:autoSpaceDN w:val="0"/>
        <w:adjustRightInd w:val="0"/>
        <w:jc w:val="both"/>
        <w:rPr>
          <w:rFonts w:ascii="Abadi" w:hAnsi="Abadi" w:cs="*Arial-4831-Identity-H"/>
          <w:color w:val="14131B"/>
          <w:sz w:val="21"/>
          <w:szCs w:val="21"/>
        </w:rPr>
      </w:pPr>
    </w:p>
    <w:p w14:paraId="2C30A806" w14:textId="77777777" w:rsidR="00C54578" w:rsidRDefault="00C54578" w:rsidP="00C54578">
      <w:pPr>
        <w:autoSpaceDE w:val="0"/>
        <w:autoSpaceDN w:val="0"/>
        <w:adjustRightInd w:val="0"/>
        <w:ind w:firstLine="708"/>
        <w:jc w:val="both"/>
        <w:rPr>
          <w:rFonts w:ascii="Abadi" w:hAnsi="Abadi" w:cs="*Arial-4831-Identity-H"/>
          <w:color w:val="13131A"/>
          <w:sz w:val="21"/>
          <w:szCs w:val="21"/>
        </w:rPr>
      </w:pPr>
      <w:r w:rsidRPr="00D9374F">
        <w:rPr>
          <w:rFonts w:ascii="Abadi" w:hAnsi="Abadi" w:cs="*Arial-4831-Identity-H"/>
          <w:color w:val="13131A"/>
          <w:sz w:val="21"/>
          <w:szCs w:val="21"/>
        </w:rPr>
        <w:t xml:space="preserve">De igual forma, se refiere que el artículo 115, fracción </w:t>
      </w:r>
      <w:r>
        <w:rPr>
          <w:rFonts w:ascii="Abadi" w:hAnsi="Abadi" w:cs="*Arial-4831-Identity-H"/>
          <w:color w:val="13131A"/>
          <w:sz w:val="21"/>
          <w:szCs w:val="21"/>
        </w:rPr>
        <w:t>III</w:t>
      </w:r>
      <w:r w:rsidRPr="00D9374F">
        <w:rPr>
          <w:rFonts w:ascii="Abadi" w:hAnsi="Abadi" w:cs="*Arial-4831-Identity-H"/>
          <w:color w:val="13131A"/>
          <w:sz w:val="21"/>
          <w:szCs w:val="21"/>
        </w:rPr>
        <w:t>, inciso b, de la</w:t>
      </w:r>
      <w:r>
        <w:rPr>
          <w:rFonts w:ascii="Abadi" w:hAnsi="Abadi" w:cs="*Arial-4831-Identity-H"/>
          <w:color w:val="13131A"/>
          <w:sz w:val="21"/>
          <w:szCs w:val="21"/>
        </w:rPr>
        <w:t xml:space="preserve"> </w:t>
      </w:r>
      <w:r w:rsidRPr="00D9374F">
        <w:rPr>
          <w:rFonts w:ascii="Abadi" w:hAnsi="Abadi" w:cs="*Arial-4831-Identity-H"/>
          <w:color w:val="13131A"/>
          <w:sz w:val="21"/>
          <w:szCs w:val="21"/>
        </w:rPr>
        <w:t>Constitución Política de los Estados Unidos Mexicanos establece al alumbrado</w:t>
      </w:r>
      <w:r>
        <w:rPr>
          <w:rFonts w:ascii="Abadi" w:hAnsi="Abadi" w:cs="*Arial-4831-Identity-H"/>
          <w:color w:val="13131A"/>
          <w:sz w:val="21"/>
          <w:szCs w:val="21"/>
        </w:rPr>
        <w:t xml:space="preserve"> </w:t>
      </w:r>
      <w:r w:rsidRPr="00D9374F">
        <w:rPr>
          <w:rFonts w:ascii="Abadi" w:hAnsi="Abadi" w:cs="*Arial-4831-Identity-H"/>
          <w:color w:val="13131A"/>
          <w:sz w:val="21"/>
          <w:szCs w:val="21"/>
        </w:rPr>
        <w:t>público como uno de los servicios públicos que los municipios tienen a su cargo.</w:t>
      </w:r>
      <w:r>
        <w:rPr>
          <w:rFonts w:ascii="Abadi" w:hAnsi="Abadi" w:cs="*Arial-4831-Identity-H"/>
          <w:color w:val="13131A"/>
          <w:sz w:val="21"/>
          <w:szCs w:val="21"/>
        </w:rPr>
        <w:t xml:space="preserve"> </w:t>
      </w:r>
    </w:p>
    <w:p w14:paraId="61AAA780" w14:textId="77777777" w:rsidR="00C54578" w:rsidRDefault="00C54578" w:rsidP="00C54578">
      <w:pPr>
        <w:autoSpaceDE w:val="0"/>
        <w:autoSpaceDN w:val="0"/>
        <w:adjustRightInd w:val="0"/>
        <w:jc w:val="both"/>
        <w:rPr>
          <w:rFonts w:ascii="Abadi" w:hAnsi="Abadi" w:cs="*Arial-4831-Identity-H"/>
          <w:color w:val="13131A"/>
          <w:sz w:val="21"/>
          <w:szCs w:val="21"/>
        </w:rPr>
      </w:pPr>
    </w:p>
    <w:p w14:paraId="6AE8B19D" w14:textId="77777777" w:rsidR="00C54578" w:rsidRDefault="00C54578" w:rsidP="00C54578">
      <w:pPr>
        <w:autoSpaceDE w:val="0"/>
        <w:autoSpaceDN w:val="0"/>
        <w:adjustRightInd w:val="0"/>
        <w:ind w:firstLine="708"/>
        <w:jc w:val="both"/>
        <w:rPr>
          <w:rFonts w:ascii="Abadi" w:hAnsi="Abadi" w:cs="*Arial-4831-Identity-H"/>
          <w:color w:val="13131A"/>
          <w:sz w:val="21"/>
          <w:szCs w:val="21"/>
        </w:rPr>
      </w:pPr>
      <w:r w:rsidRPr="00D9374F">
        <w:rPr>
          <w:rFonts w:ascii="Abadi" w:hAnsi="Abadi" w:cs="*Arial-4831-Identity-H"/>
          <w:color w:val="13131A"/>
          <w:sz w:val="21"/>
          <w:szCs w:val="21"/>
        </w:rPr>
        <w:t>Por su parte, a nivel local, en el artículo 117 de la Constitución Política para el</w:t>
      </w:r>
      <w:r>
        <w:rPr>
          <w:rFonts w:ascii="Abadi" w:hAnsi="Abadi" w:cs="*Arial-4831-Identity-H"/>
          <w:color w:val="13131A"/>
          <w:sz w:val="21"/>
          <w:szCs w:val="21"/>
        </w:rPr>
        <w:t xml:space="preserve"> </w:t>
      </w:r>
      <w:r w:rsidRPr="00D9374F">
        <w:rPr>
          <w:rFonts w:ascii="Abadi" w:hAnsi="Abadi" w:cs="*Arial-4831-Identity-H"/>
          <w:color w:val="13131A"/>
          <w:sz w:val="21"/>
          <w:szCs w:val="21"/>
        </w:rPr>
        <w:t>Estado de Guanajuato se dispone la misma responsabilidad para este ámbito de</w:t>
      </w:r>
      <w:r>
        <w:rPr>
          <w:rFonts w:ascii="Abadi" w:hAnsi="Abadi" w:cs="*Arial-4831-Identity-H"/>
          <w:color w:val="13131A"/>
          <w:sz w:val="21"/>
          <w:szCs w:val="21"/>
        </w:rPr>
        <w:t xml:space="preserve"> </w:t>
      </w:r>
      <w:r w:rsidRPr="00D9374F">
        <w:rPr>
          <w:rFonts w:ascii="Abadi" w:hAnsi="Abadi" w:cs="*Arial-4831-Identity-H"/>
          <w:color w:val="13131A"/>
          <w:sz w:val="21"/>
          <w:szCs w:val="21"/>
        </w:rPr>
        <w:t>gobierno.</w:t>
      </w:r>
    </w:p>
    <w:p w14:paraId="7BF2C540" w14:textId="77777777" w:rsidR="00C54578" w:rsidRPr="00D9374F" w:rsidRDefault="00C54578" w:rsidP="00C54578">
      <w:pPr>
        <w:autoSpaceDE w:val="0"/>
        <w:autoSpaceDN w:val="0"/>
        <w:adjustRightInd w:val="0"/>
        <w:jc w:val="both"/>
        <w:rPr>
          <w:rFonts w:ascii="Abadi" w:hAnsi="Abadi" w:cs="*Arial-4831-Identity-H"/>
          <w:color w:val="13131A"/>
          <w:sz w:val="21"/>
          <w:szCs w:val="21"/>
        </w:rPr>
      </w:pPr>
    </w:p>
    <w:p w14:paraId="2B8613C6" w14:textId="77777777" w:rsidR="00C54578" w:rsidRPr="00D9374F" w:rsidRDefault="00C54578" w:rsidP="00C54578">
      <w:pPr>
        <w:autoSpaceDE w:val="0"/>
        <w:autoSpaceDN w:val="0"/>
        <w:adjustRightInd w:val="0"/>
        <w:ind w:firstLine="708"/>
        <w:jc w:val="both"/>
        <w:rPr>
          <w:rFonts w:ascii="Abadi" w:hAnsi="Abadi" w:cs="*Arial-4831-Identity-H"/>
          <w:color w:val="15141B"/>
          <w:sz w:val="21"/>
          <w:szCs w:val="21"/>
        </w:rPr>
      </w:pPr>
      <w:r w:rsidRPr="00D9374F">
        <w:rPr>
          <w:rFonts w:ascii="Abadi" w:hAnsi="Abadi" w:cs="*Arial-4831-Identity-H"/>
          <w:color w:val="15141B"/>
          <w:sz w:val="21"/>
          <w:szCs w:val="21"/>
        </w:rPr>
        <w:t>En este sentido, el alumbrado público es un serv1c10 que tiene como</w:t>
      </w:r>
      <w:r>
        <w:rPr>
          <w:rFonts w:ascii="Abadi" w:hAnsi="Abadi" w:cs="*Arial-4831-Identity-H"/>
          <w:color w:val="15141B"/>
          <w:sz w:val="21"/>
          <w:szCs w:val="21"/>
        </w:rPr>
        <w:t xml:space="preserve"> </w:t>
      </w:r>
      <w:r w:rsidRPr="00D9374F">
        <w:rPr>
          <w:rFonts w:ascii="Abadi" w:hAnsi="Abadi" w:cs="*Arial-4831-Identity-H"/>
          <w:color w:val="15141B"/>
          <w:sz w:val="21"/>
          <w:szCs w:val="21"/>
        </w:rPr>
        <w:t>objetivo el desarrollo de un entorno cómodo y seguro para facilitar la movilidad de</w:t>
      </w:r>
      <w:r>
        <w:rPr>
          <w:rFonts w:ascii="Abadi" w:hAnsi="Abadi" w:cs="*Arial-4831-Identity-H"/>
          <w:color w:val="15141B"/>
          <w:sz w:val="21"/>
          <w:szCs w:val="21"/>
        </w:rPr>
        <w:t xml:space="preserve"> </w:t>
      </w:r>
      <w:r w:rsidRPr="00D9374F">
        <w:rPr>
          <w:rFonts w:ascii="Abadi" w:hAnsi="Abadi" w:cs="*Arial-4831-Identity-H"/>
          <w:color w:val="15141B"/>
          <w:sz w:val="21"/>
          <w:szCs w:val="21"/>
        </w:rPr>
        <w:t>la población, el disfrute de la ciudad, del patrimonio cultural y de los espacios</w:t>
      </w:r>
      <w:r>
        <w:rPr>
          <w:rFonts w:ascii="Abadi" w:hAnsi="Abadi" w:cs="*Arial-4831-Identity-H"/>
          <w:color w:val="15141B"/>
          <w:sz w:val="21"/>
          <w:szCs w:val="21"/>
        </w:rPr>
        <w:t xml:space="preserve"> </w:t>
      </w:r>
      <w:r w:rsidRPr="00D9374F">
        <w:rPr>
          <w:rFonts w:ascii="Abadi" w:hAnsi="Abadi" w:cs="*Arial-4831-Identity-H"/>
          <w:color w:val="15141B"/>
          <w:sz w:val="21"/>
          <w:szCs w:val="21"/>
        </w:rPr>
        <w:t>públicos; a su vez, mantiene una estrecha relación con la creación de condiciones</w:t>
      </w:r>
      <w:r>
        <w:rPr>
          <w:rFonts w:ascii="Abadi" w:hAnsi="Abadi" w:cs="*Arial-4831-Identity-H"/>
          <w:color w:val="15141B"/>
          <w:sz w:val="21"/>
          <w:szCs w:val="21"/>
        </w:rPr>
        <w:t xml:space="preserve"> </w:t>
      </w:r>
      <w:r w:rsidRPr="00D9374F">
        <w:rPr>
          <w:rFonts w:ascii="Abadi" w:hAnsi="Abadi" w:cs="*Arial-4831-Identity-H"/>
          <w:color w:val="15141B"/>
          <w:sz w:val="21"/>
          <w:szCs w:val="21"/>
        </w:rPr>
        <w:t>de seguridad en la vida cotidiana de la población, esto último por considerase un</w:t>
      </w:r>
      <w:r>
        <w:rPr>
          <w:rFonts w:ascii="Abadi" w:hAnsi="Abadi" w:cs="*Arial-4831-Identity-H"/>
          <w:color w:val="15141B"/>
          <w:sz w:val="21"/>
          <w:szCs w:val="21"/>
        </w:rPr>
        <w:t xml:space="preserve"> </w:t>
      </w:r>
      <w:r w:rsidRPr="00D9374F">
        <w:rPr>
          <w:rFonts w:ascii="Abadi" w:hAnsi="Abadi" w:cs="*Arial-4831-Identity-H"/>
          <w:color w:val="15141B"/>
          <w:sz w:val="21"/>
          <w:szCs w:val="21"/>
        </w:rPr>
        <w:t>factor que contribuye a reducir la percepción de inseguridad.</w:t>
      </w:r>
    </w:p>
    <w:p w14:paraId="51B15F95" w14:textId="77777777" w:rsidR="00C54578" w:rsidRDefault="00C54578" w:rsidP="00C54578">
      <w:pPr>
        <w:autoSpaceDE w:val="0"/>
        <w:autoSpaceDN w:val="0"/>
        <w:adjustRightInd w:val="0"/>
        <w:jc w:val="both"/>
        <w:rPr>
          <w:rFonts w:ascii="Abadi" w:hAnsi="Abadi" w:cs="*Arial-5526-Identity-H"/>
          <w:color w:val="14131B"/>
          <w:sz w:val="21"/>
          <w:szCs w:val="21"/>
        </w:rPr>
      </w:pPr>
    </w:p>
    <w:p w14:paraId="1CACAA01" w14:textId="77777777" w:rsidR="00C54578" w:rsidRDefault="00C54578" w:rsidP="00C54578">
      <w:pPr>
        <w:autoSpaceDE w:val="0"/>
        <w:autoSpaceDN w:val="0"/>
        <w:adjustRightInd w:val="0"/>
        <w:ind w:firstLine="708"/>
        <w:jc w:val="both"/>
        <w:rPr>
          <w:rFonts w:ascii="Abadi" w:hAnsi="Abadi" w:cs="*Arial-5526-Identity-H"/>
          <w:color w:val="14131B"/>
          <w:sz w:val="21"/>
          <w:szCs w:val="21"/>
        </w:rPr>
      </w:pPr>
      <w:r w:rsidRPr="00D9374F">
        <w:rPr>
          <w:rFonts w:ascii="Abadi" w:hAnsi="Abadi" w:cs="*Arial-5526-Identity-H"/>
          <w:color w:val="14131B"/>
          <w:sz w:val="21"/>
          <w:szCs w:val="21"/>
        </w:rPr>
        <w:t>Derivado de lo anterior, el adecuado desempeño de los servicios públicos</w:t>
      </w:r>
      <w:r>
        <w:rPr>
          <w:rFonts w:ascii="Abadi" w:hAnsi="Abadi" w:cs="*Arial-5526-Identity-H"/>
          <w:color w:val="14131B"/>
          <w:sz w:val="21"/>
          <w:szCs w:val="21"/>
        </w:rPr>
        <w:t xml:space="preserve"> </w:t>
      </w:r>
      <w:r w:rsidRPr="00D9374F">
        <w:rPr>
          <w:rFonts w:ascii="Abadi" w:hAnsi="Abadi" w:cs="*Arial-5526-Identity-H"/>
          <w:color w:val="14131B"/>
          <w:sz w:val="21"/>
          <w:szCs w:val="21"/>
        </w:rPr>
        <w:t>incide en la calidad de vida de los habitantes y, por ello, es conveniente que se</w:t>
      </w:r>
      <w:r>
        <w:rPr>
          <w:rFonts w:ascii="Abadi" w:hAnsi="Abadi" w:cs="*Arial-5526-Identity-H"/>
          <w:color w:val="14131B"/>
          <w:sz w:val="21"/>
          <w:szCs w:val="21"/>
        </w:rPr>
        <w:t xml:space="preserve"> </w:t>
      </w:r>
      <w:r w:rsidRPr="00D9374F">
        <w:rPr>
          <w:rFonts w:ascii="Abadi" w:hAnsi="Abadi" w:cs="*Arial-5526-Identity-H"/>
          <w:color w:val="14131B"/>
          <w:sz w:val="21"/>
          <w:szCs w:val="21"/>
        </w:rPr>
        <w:t>administre bajo modelos de gestión orientados a los resultados que garanticen su</w:t>
      </w:r>
      <w:r>
        <w:rPr>
          <w:rFonts w:ascii="Abadi" w:hAnsi="Abadi" w:cs="*Arial-5526-Identity-H"/>
          <w:color w:val="14131B"/>
          <w:sz w:val="21"/>
          <w:szCs w:val="21"/>
        </w:rPr>
        <w:t xml:space="preserve"> </w:t>
      </w:r>
      <w:r w:rsidRPr="00D9374F">
        <w:rPr>
          <w:rFonts w:ascii="Abadi" w:hAnsi="Abadi" w:cs="*Arial-5526-Identity-H"/>
          <w:color w:val="14131B"/>
          <w:sz w:val="21"/>
          <w:szCs w:val="21"/>
        </w:rPr>
        <w:t>adecuada operación, permanencia, continuidad, uniformidad e igualdad ante los</w:t>
      </w:r>
      <w:r>
        <w:rPr>
          <w:rFonts w:ascii="Abadi" w:hAnsi="Abadi" w:cs="*Arial-5526-Identity-H"/>
          <w:color w:val="14131B"/>
          <w:sz w:val="21"/>
          <w:szCs w:val="21"/>
        </w:rPr>
        <w:t xml:space="preserve"> </w:t>
      </w:r>
      <w:r w:rsidRPr="00D9374F">
        <w:rPr>
          <w:rFonts w:ascii="Abadi" w:hAnsi="Abadi" w:cs="*Arial-5526-Identity-H"/>
          <w:color w:val="14131B"/>
          <w:sz w:val="21"/>
          <w:szCs w:val="21"/>
        </w:rPr>
        <w:t>usuarios, asegurando una cobertura integral y una oferta al alcance de la</w:t>
      </w:r>
      <w:r>
        <w:rPr>
          <w:rFonts w:ascii="Abadi" w:hAnsi="Abadi" w:cs="*Arial-5526-Identity-H"/>
          <w:color w:val="14131B"/>
          <w:sz w:val="21"/>
          <w:szCs w:val="21"/>
        </w:rPr>
        <w:t xml:space="preserve"> </w:t>
      </w:r>
      <w:r w:rsidRPr="00D9374F">
        <w:rPr>
          <w:rFonts w:ascii="Abadi" w:hAnsi="Abadi" w:cs="*Arial-5526-Identity-H"/>
          <w:color w:val="14131B"/>
          <w:sz w:val="21"/>
          <w:szCs w:val="21"/>
        </w:rPr>
        <w:t>población municipal que lo requiera.</w:t>
      </w:r>
    </w:p>
    <w:p w14:paraId="270297CB" w14:textId="77777777" w:rsidR="00C54578" w:rsidRPr="00D9374F" w:rsidRDefault="00C54578" w:rsidP="00C54578">
      <w:pPr>
        <w:autoSpaceDE w:val="0"/>
        <w:autoSpaceDN w:val="0"/>
        <w:adjustRightInd w:val="0"/>
        <w:jc w:val="both"/>
        <w:rPr>
          <w:rFonts w:ascii="Abadi" w:hAnsi="Abadi" w:cs="*Arial-5526-Identity-H"/>
          <w:color w:val="14131B"/>
          <w:sz w:val="21"/>
          <w:szCs w:val="21"/>
        </w:rPr>
      </w:pPr>
    </w:p>
    <w:p w14:paraId="29861FC3" w14:textId="77777777" w:rsidR="00C54578" w:rsidRDefault="00C54578" w:rsidP="00C54578">
      <w:pPr>
        <w:autoSpaceDE w:val="0"/>
        <w:autoSpaceDN w:val="0"/>
        <w:adjustRightInd w:val="0"/>
        <w:ind w:firstLine="708"/>
        <w:jc w:val="both"/>
        <w:rPr>
          <w:rFonts w:ascii="Abadi" w:hAnsi="Abadi" w:cs="*Arial-5526-Identity-H"/>
          <w:color w:val="14131B"/>
          <w:sz w:val="21"/>
          <w:szCs w:val="21"/>
        </w:rPr>
      </w:pPr>
      <w:r w:rsidRPr="00D9374F">
        <w:rPr>
          <w:rFonts w:ascii="Abadi" w:hAnsi="Abadi" w:cs="*Arial-5526-Identity-H"/>
          <w:color w:val="14131B"/>
          <w:sz w:val="21"/>
          <w:szCs w:val="21"/>
        </w:rPr>
        <w:t>Es así que en el caso que nos ocupa, se definió el objetivo general de la</w:t>
      </w:r>
      <w:r>
        <w:rPr>
          <w:rFonts w:ascii="Abadi" w:hAnsi="Abadi" w:cs="*Arial-5526-Identity-H"/>
          <w:color w:val="14131B"/>
          <w:sz w:val="21"/>
          <w:szCs w:val="21"/>
        </w:rPr>
        <w:t xml:space="preserve"> </w:t>
      </w:r>
      <w:r w:rsidRPr="00D9374F">
        <w:rPr>
          <w:rFonts w:ascii="Abadi" w:hAnsi="Abadi" w:cs="*Arial-5526-Identity-H"/>
          <w:color w:val="14131B"/>
          <w:sz w:val="21"/>
          <w:szCs w:val="21"/>
        </w:rPr>
        <w:t>auditoría con el propósito de verificar la capacidad del municipio de Ocampo, Gto.,</w:t>
      </w:r>
      <w:r>
        <w:rPr>
          <w:rFonts w:ascii="Abadi" w:hAnsi="Abadi" w:cs="*Arial-5526-Identity-H"/>
          <w:color w:val="14131B"/>
          <w:sz w:val="21"/>
          <w:szCs w:val="21"/>
        </w:rPr>
        <w:t xml:space="preserve"> </w:t>
      </w:r>
      <w:r w:rsidRPr="00D9374F">
        <w:rPr>
          <w:rFonts w:ascii="Abadi" w:hAnsi="Abadi" w:cs="*Arial-5526-Identity-H"/>
          <w:color w:val="14131B"/>
          <w:sz w:val="21"/>
          <w:szCs w:val="21"/>
        </w:rPr>
        <w:t>para lograr una prestación eficaz del servicio de alumbrado público a su población,</w:t>
      </w:r>
      <w:r>
        <w:rPr>
          <w:rFonts w:ascii="Abadi" w:hAnsi="Abadi" w:cs="*Arial-5526-Identity-H"/>
          <w:color w:val="14131B"/>
          <w:sz w:val="21"/>
          <w:szCs w:val="21"/>
        </w:rPr>
        <w:t xml:space="preserve"> </w:t>
      </w:r>
      <w:r w:rsidRPr="00D9374F">
        <w:rPr>
          <w:rFonts w:ascii="Abadi" w:hAnsi="Abadi" w:cs="*Arial-5526-Identity-H"/>
          <w:color w:val="14131B"/>
          <w:sz w:val="21"/>
          <w:szCs w:val="21"/>
        </w:rPr>
        <w:t>así como de conocer si las funciones de planificación, operación y seguimiento se</w:t>
      </w:r>
      <w:r>
        <w:rPr>
          <w:rFonts w:ascii="Abadi" w:hAnsi="Abadi" w:cs="*Arial-5526-Identity-H"/>
          <w:color w:val="14131B"/>
          <w:sz w:val="21"/>
          <w:szCs w:val="21"/>
        </w:rPr>
        <w:t xml:space="preserve"> </w:t>
      </w:r>
      <w:r w:rsidRPr="00D9374F">
        <w:rPr>
          <w:rFonts w:ascii="Abadi" w:hAnsi="Abadi" w:cs="*Arial-5526-Identity-H"/>
          <w:color w:val="14131B"/>
          <w:sz w:val="21"/>
          <w:szCs w:val="21"/>
        </w:rPr>
        <w:t>desarrollaron bajo el principio de eficiencia, ya que de ello depende el grado de</w:t>
      </w:r>
      <w:r>
        <w:rPr>
          <w:rFonts w:ascii="Abadi" w:hAnsi="Abadi" w:cs="*Arial-5526-Identity-H"/>
          <w:color w:val="14131B"/>
          <w:sz w:val="21"/>
          <w:szCs w:val="21"/>
        </w:rPr>
        <w:t xml:space="preserve"> </w:t>
      </w:r>
      <w:r w:rsidRPr="00D9374F">
        <w:rPr>
          <w:rFonts w:ascii="Abadi" w:hAnsi="Abadi" w:cs="*Arial-5526-Identity-H"/>
          <w:color w:val="14131B"/>
          <w:sz w:val="21"/>
          <w:szCs w:val="21"/>
        </w:rPr>
        <w:t>satisfacción de la comunidad.</w:t>
      </w:r>
    </w:p>
    <w:p w14:paraId="197D4D97" w14:textId="77777777" w:rsidR="00C54578" w:rsidRPr="00D9374F" w:rsidRDefault="00C54578" w:rsidP="00C54578">
      <w:pPr>
        <w:autoSpaceDE w:val="0"/>
        <w:autoSpaceDN w:val="0"/>
        <w:adjustRightInd w:val="0"/>
        <w:jc w:val="both"/>
        <w:rPr>
          <w:rFonts w:ascii="Abadi" w:hAnsi="Abadi" w:cs="*Arial-5526-Identity-H"/>
          <w:color w:val="14131B"/>
          <w:sz w:val="21"/>
          <w:szCs w:val="21"/>
        </w:rPr>
      </w:pPr>
    </w:p>
    <w:p w14:paraId="771653D9" w14:textId="77777777" w:rsidR="00C54578" w:rsidRDefault="00C54578" w:rsidP="00C54578">
      <w:pPr>
        <w:autoSpaceDE w:val="0"/>
        <w:autoSpaceDN w:val="0"/>
        <w:adjustRightInd w:val="0"/>
        <w:ind w:firstLine="708"/>
        <w:jc w:val="both"/>
        <w:rPr>
          <w:rFonts w:ascii="Abadi" w:hAnsi="Abadi" w:cs="*Arial-5526-Identity-H"/>
          <w:color w:val="14131B"/>
          <w:sz w:val="21"/>
          <w:szCs w:val="21"/>
        </w:rPr>
      </w:pPr>
      <w:r w:rsidRPr="00D9374F">
        <w:rPr>
          <w:rFonts w:ascii="Abadi" w:hAnsi="Abadi" w:cs="*Arial-5526-Identity-H"/>
          <w:color w:val="14131B"/>
          <w:sz w:val="21"/>
          <w:szCs w:val="21"/>
        </w:rPr>
        <w:t>Para su consecución, las labores de la Auditoría Superior del Estado</w:t>
      </w:r>
      <w:r>
        <w:rPr>
          <w:rFonts w:ascii="Abadi" w:hAnsi="Abadi" w:cs="*Arial-5526-Identity-H"/>
          <w:color w:val="14131B"/>
          <w:sz w:val="21"/>
          <w:szCs w:val="21"/>
        </w:rPr>
        <w:t xml:space="preserve"> </w:t>
      </w:r>
      <w:r w:rsidRPr="00D9374F">
        <w:rPr>
          <w:rFonts w:ascii="Abadi" w:hAnsi="Abadi" w:cs="*Arial-5526-Identity-H"/>
          <w:color w:val="14131B"/>
          <w:sz w:val="21"/>
          <w:szCs w:val="21"/>
        </w:rPr>
        <w:t xml:space="preserve">consideraron la verificación de la existencia de procesos diagnósticos o </w:t>
      </w:r>
      <w:r w:rsidRPr="00D9374F">
        <w:rPr>
          <w:rFonts w:ascii="Abadi" w:hAnsi="Abadi" w:cs="*Arial-5526-Identity-H"/>
          <w:color w:val="C9C9B1"/>
          <w:sz w:val="21"/>
          <w:szCs w:val="21"/>
        </w:rPr>
        <w:t xml:space="preserve">· </w:t>
      </w:r>
      <w:r w:rsidRPr="00D9374F">
        <w:rPr>
          <w:rFonts w:ascii="Abadi" w:hAnsi="Abadi" w:cs="*Arial-5526-Identity-H"/>
          <w:color w:val="14131B"/>
          <w:sz w:val="21"/>
          <w:szCs w:val="21"/>
        </w:rPr>
        <w:t>de</w:t>
      </w:r>
      <w:r>
        <w:rPr>
          <w:rFonts w:ascii="Abadi" w:hAnsi="Abadi" w:cs="*Arial-5526-Identity-H"/>
          <w:color w:val="14131B"/>
          <w:sz w:val="21"/>
          <w:szCs w:val="21"/>
        </w:rPr>
        <w:t xml:space="preserve"> </w:t>
      </w:r>
      <w:r w:rsidRPr="00D9374F">
        <w:rPr>
          <w:rFonts w:ascii="Abadi" w:hAnsi="Abadi" w:cs="*Arial-5526-Identity-H"/>
          <w:color w:val="14131B"/>
          <w:sz w:val="21"/>
          <w:szCs w:val="21"/>
        </w:rPr>
        <w:t>planificación que permitieran a la administración municipal conocer la oferta del</w:t>
      </w:r>
      <w:r>
        <w:rPr>
          <w:rFonts w:ascii="Abadi" w:hAnsi="Abadi" w:cs="*Arial-5526-Identity-H"/>
          <w:color w:val="14131B"/>
          <w:sz w:val="21"/>
          <w:szCs w:val="21"/>
        </w:rPr>
        <w:t xml:space="preserve"> </w:t>
      </w:r>
      <w:r w:rsidRPr="00D9374F">
        <w:rPr>
          <w:rFonts w:ascii="Abadi" w:hAnsi="Abadi" w:cs="*Arial-5526-Identity-H"/>
          <w:color w:val="14131B"/>
          <w:sz w:val="21"/>
          <w:szCs w:val="21"/>
        </w:rPr>
        <w:t>servicio y las brechas por cubrir, definir la estimación de recursos para una</w:t>
      </w:r>
      <w:r>
        <w:rPr>
          <w:rFonts w:ascii="Abadi" w:hAnsi="Abadi" w:cs="*Arial-5526-Identity-H"/>
          <w:color w:val="14131B"/>
          <w:sz w:val="21"/>
          <w:szCs w:val="21"/>
        </w:rPr>
        <w:t xml:space="preserve"> </w:t>
      </w:r>
      <w:r w:rsidRPr="00D9374F">
        <w:rPr>
          <w:rFonts w:ascii="Abadi" w:hAnsi="Abadi" w:cs="*Arial-5526-Identity-H"/>
          <w:color w:val="14131B"/>
          <w:sz w:val="21"/>
          <w:szCs w:val="21"/>
        </w:rPr>
        <w:t>adecuada operación y la definición de metas y objetivos orientados a la mejora del</w:t>
      </w:r>
      <w:r>
        <w:rPr>
          <w:rFonts w:ascii="Abadi" w:hAnsi="Abadi" w:cs="*Arial-5526-Identity-H"/>
          <w:color w:val="14131B"/>
          <w:sz w:val="21"/>
          <w:szCs w:val="21"/>
        </w:rPr>
        <w:t xml:space="preserve"> </w:t>
      </w:r>
      <w:r w:rsidRPr="00D9374F">
        <w:rPr>
          <w:rFonts w:ascii="Abadi" w:hAnsi="Abadi" w:cs="*Arial-5526-Identity-H"/>
          <w:color w:val="14131B"/>
          <w:sz w:val="21"/>
          <w:szCs w:val="21"/>
        </w:rPr>
        <w:t>servicio; respecto de la operación, se consideró la verificación del establecimiento</w:t>
      </w:r>
      <w:r>
        <w:rPr>
          <w:rFonts w:ascii="Abadi" w:hAnsi="Abadi" w:cs="*Arial-5526-Identity-H"/>
          <w:color w:val="14131B"/>
          <w:sz w:val="21"/>
          <w:szCs w:val="21"/>
        </w:rPr>
        <w:t xml:space="preserve"> </w:t>
      </w:r>
      <w:r w:rsidRPr="00D9374F">
        <w:rPr>
          <w:rFonts w:ascii="Abadi" w:hAnsi="Abadi" w:cs="*Arial-5526-Identity-H"/>
          <w:color w:val="14131B"/>
          <w:sz w:val="21"/>
          <w:szCs w:val="21"/>
        </w:rPr>
        <w:t>de un marco normativo adecuado y vigente, la programación de actividades y su</w:t>
      </w:r>
      <w:r>
        <w:rPr>
          <w:rFonts w:ascii="Abadi" w:hAnsi="Abadi" w:cs="*Arial-5526-Identity-H"/>
          <w:color w:val="14131B"/>
          <w:sz w:val="21"/>
          <w:szCs w:val="21"/>
        </w:rPr>
        <w:t xml:space="preserve"> </w:t>
      </w:r>
      <w:r w:rsidRPr="00D9374F">
        <w:rPr>
          <w:rFonts w:ascii="Abadi" w:hAnsi="Abadi" w:cs="*Arial-5526-Identity-H"/>
          <w:color w:val="14131B"/>
          <w:sz w:val="21"/>
          <w:szCs w:val="21"/>
        </w:rPr>
        <w:t>consecución, los mecanismos de atención ciudadana para el reporte de fallas y los</w:t>
      </w:r>
      <w:r>
        <w:rPr>
          <w:rFonts w:ascii="Abadi" w:hAnsi="Abadi" w:cs="*Arial-5526-Identity-H"/>
          <w:color w:val="14131B"/>
          <w:sz w:val="21"/>
          <w:szCs w:val="21"/>
        </w:rPr>
        <w:t xml:space="preserve"> </w:t>
      </w:r>
      <w:r w:rsidRPr="00D9374F">
        <w:rPr>
          <w:rFonts w:ascii="Abadi" w:hAnsi="Abadi" w:cs="*Arial-5526-Identity-H"/>
          <w:color w:val="14131B"/>
          <w:sz w:val="21"/>
          <w:szCs w:val="21"/>
        </w:rPr>
        <w:t>resultados en la cobertura, mantenimiento y satisfacción. También se revisaron los</w:t>
      </w:r>
      <w:r>
        <w:rPr>
          <w:rFonts w:ascii="Abadi" w:hAnsi="Abadi" w:cs="*Arial-5526-Identity-H"/>
          <w:color w:val="14131B"/>
          <w:sz w:val="21"/>
          <w:szCs w:val="21"/>
        </w:rPr>
        <w:t xml:space="preserve"> </w:t>
      </w:r>
      <w:r w:rsidRPr="00D9374F">
        <w:rPr>
          <w:rFonts w:ascii="Abadi" w:hAnsi="Abadi" w:cs="*Arial-5526-Identity-H"/>
          <w:color w:val="14131B"/>
          <w:sz w:val="21"/>
          <w:szCs w:val="21"/>
        </w:rPr>
        <w:t>mecanismos de monitoreo y evaluación, con el objetivo de analizar el desempeño</w:t>
      </w:r>
      <w:r>
        <w:rPr>
          <w:rFonts w:ascii="Abadi" w:hAnsi="Abadi" w:cs="*Arial-5526-Identity-H"/>
          <w:color w:val="14131B"/>
          <w:sz w:val="21"/>
          <w:szCs w:val="21"/>
        </w:rPr>
        <w:t xml:space="preserve"> </w:t>
      </w:r>
      <w:r w:rsidRPr="00D9374F">
        <w:rPr>
          <w:rFonts w:ascii="Abadi" w:hAnsi="Abadi" w:cs="*Arial-5526-Identity-H"/>
          <w:color w:val="14131B"/>
          <w:sz w:val="21"/>
          <w:szCs w:val="21"/>
        </w:rPr>
        <w:t>del Municipio en el otorgamiento del servicio; y verificar la eficiencia y la eficacia</w:t>
      </w:r>
      <w:r>
        <w:rPr>
          <w:rFonts w:ascii="Abadi" w:hAnsi="Abadi" w:cs="*Arial-5526-Identity-H"/>
          <w:color w:val="14131B"/>
          <w:sz w:val="21"/>
          <w:szCs w:val="21"/>
        </w:rPr>
        <w:t xml:space="preserve"> </w:t>
      </w:r>
      <w:r w:rsidRPr="00D9374F">
        <w:rPr>
          <w:rFonts w:ascii="Abadi" w:hAnsi="Abadi" w:cs="*Arial-5526-Identity-H"/>
          <w:color w:val="14131B"/>
          <w:sz w:val="21"/>
          <w:szCs w:val="21"/>
        </w:rPr>
        <w:t>del alumbrado público municipal en beneficio de la ciudadanía.</w:t>
      </w:r>
    </w:p>
    <w:p w14:paraId="2E9B9C4D" w14:textId="77777777" w:rsidR="00C54578" w:rsidRPr="00D9374F" w:rsidRDefault="00C54578" w:rsidP="00C54578">
      <w:pPr>
        <w:autoSpaceDE w:val="0"/>
        <w:autoSpaceDN w:val="0"/>
        <w:adjustRightInd w:val="0"/>
        <w:jc w:val="both"/>
        <w:rPr>
          <w:rFonts w:ascii="Abadi" w:hAnsi="Abadi" w:cs="*Arial-5526-Identity-H"/>
          <w:color w:val="14131B"/>
          <w:sz w:val="21"/>
          <w:szCs w:val="21"/>
        </w:rPr>
      </w:pPr>
    </w:p>
    <w:p w14:paraId="22C8022D" w14:textId="77777777" w:rsidR="00C54578" w:rsidRDefault="00C54578" w:rsidP="00C54578">
      <w:pPr>
        <w:autoSpaceDE w:val="0"/>
        <w:autoSpaceDN w:val="0"/>
        <w:adjustRightInd w:val="0"/>
        <w:ind w:firstLine="708"/>
        <w:jc w:val="both"/>
        <w:rPr>
          <w:rFonts w:ascii="Abadi" w:hAnsi="Abadi" w:cs="*Arial-5526-Identity-H"/>
          <w:color w:val="14131B"/>
          <w:sz w:val="21"/>
          <w:szCs w:val="21"/>
        </w:rPr>
      </w:pPr>
      <w:r w:rsidRPr="00D9374F">
        <w:rPr>
          <w:rFonts w:ascii="Abadi" w:hAnsi="Abadi" w:cs="*Arial-5526-Identity-H"/>
          <w:color w:val="14131B"/>
          <w:sz w:val="21"/>
          <w:szCs w:val="21"/>
        </w:rPr>
        <w:t>Asimismo, se hace constar que la administración pública municipal de</w:t>
      </w:r>
      <w:r>
        <w:rPr>
          <w:rFonts w:ascii="Abadi" w:hAnsi="Abadi" w:cs="*Arial-5526-Identity-H"/>
          <w:color w:val="14131B"/>
          <w:sz w:val="21"/>
          <w:szCs w:val="21"/>
        </w:rPr>
        <w:t xml:space="preserve"> </w:t>
      </w:r>
      <w:r w:rsidRPr="00D9374F">
        <w:rPr>
          <w:rFonts w:ascii="Abadi" w:hAnsi="Abadi" w:cs="*Arial-5526-Identity-H"/>
          <w:color w:val="14131B"/>
          <w:sz w:val="21"/>
          <w:szCs w:val="21"/>
        </w:rPr>
        <w:t>Ocampo, Gto., implementó acciones para otorgar el servicio de alumbrado público</w:t>
      </w:r>
      <w:r>
        <w:rPr>
          <w:rFonts w:ascii="Abadi" w:hAnsi="Abadi" w:cs="*Arial-5526-Identity-H"/>
          <w:color w:val="14131B"/>
          <w:sz w:val="21"/>
          <w:szCs w:val="21"/>
        </w:rPr>
        <w:t xml:space="preserve"> </w:t>
      </w:r>
      <w:r w:rsidRPr="00D9374F">
        <w:rPr>
          <w:rFonts w:ascii="Abadi" w:hAnsi="Abadi" w:cs="*Arial-5526-Identity-H"/>
          <w:color w:val="14131B"/>
          <w:sz w:val="21"/>
          <w:szCs w:val="21"/>
        </w:rPr>
        <w:t>a la población. No obstante, existe evidencia que la gestión del servicio presentó</w:t>
      </w:r>
      <w:r>
        <w:rPr>
          <w:rFonts w:ascii="Abadi" w:hAnsi="Abadi" w:cs="*Arial-5526-Identity-H"/>
          <w:color w:val="14131B"/>
          <w:sz w:val="21"/>
          <w:szCs w:val="21"/>
        </w:rPr>
        <w:t xml:space="preserve"> </w:t>
      </w:r>
      <w:r w:rsidRPr="00D9374F">
        <w:rPr>
          <w:rFonts w:ascii="Abadi" w:hAnsi="Abadi" w:cs="*Arial-5526-Identity-H"/>
          <w:color w:val="14131B"/>
          <w:sz w:val="21"/>
          <w:szCs w:val="21"/>
        </w:rPr>
        <w:t>áreas de oportunidad.</w:t>
      </w:r>
    </w:p>
    <w:p w14:paraId="6E0847C5" w14:textId="77777777" w:rsidR="00C54578" w:rsidRPr="00D9374F" w:rsidRDefault="00C54578" w:rsidP="00C54578">
      <w:pPr>
        <w:autoSpaceDE w:val="0"/>
        <w:autoSpaceDN w:val="0"/>
        <w:adjustRightInd w:val="0"/>
        <w:jc w:val="both"/>
        <w:rPr>
          <w:rFonts w:ascii="Abadi" w:hAnsi="Abadi" w:cs="*Arial-5526-Identity-H"/>
          <w:color w:val="14131B"/>
          <w:sz w:val="21"/>
          <w:szCs w:val="21"/>
        </w:rPr>
      </w:pPr>
    </w:p>
    <w:p w14:paraId="4EB63F16" w14:textId="77777777" w:rsidR="00C54578" w:rsidRDefault="00C54578" w:rsidP="00C54578">
      <w:pPr>
        <w:autoSpaceDE w:val="0"/>
        <w:autoSpaceDN w:val="0"/>
        <w:adjustRightInd w:val="0"/>
        <w:ind w:firstLine="708"/>
        <w:jc w:val="both"/>
        <w:rPr>
          <w:rFonts w:ascii="Abadi" w:hAnsi="Abadi" w:cs="*Arial-5526-Identity-H"/>
          <w:color w:val="14131C"/>
          <w:sz w:val="21"/>
          <w:szCs w:val="21"/>
        </w:rPr>
      </w:pPr>
      <w:r w:rsidRPr="00D9374F">
        <w:rPr>
          <w:rFonts w:ascii="Abadi" w:hAnsi="Abadi" w:cs="*Arial-5526-Identity-H"/>
          <w:color w:val="14131C"/>
          <w:sz w:val="21"/>
          <w:szCs w:val="21"/>
        </w:rPr>
        <w:t>En cuanto a la gestión de la planificación se identificó que el sujeto</w:t>
      </w:r>
      <w:r>
        <w:rPr>
          <w:rFonts w:ascii="Abadi" w:hAnsi="Abadi" w:cs="*Arial-5526-Identity-H"/>
          <w:color w:val="14131C"/>
          <w:sz w:val="21"/>
          <w:szCs w:val="21"/>
        </w:rPr>
        <w:t xml:space="preserve"> </w:t>
      </w:r>
      <w:r w:rsidRPr="00D9374F">
        <w:rPr>
          <w:rFonts w:ascii="Abadi" w:hAnsi="Abadi" w:cs="*Arial-5526-Identity-H"/>
          <w:color w:val="14131C"/>
          <w:sz w:val="21"/>
          <w:szCs w:val="21"/>
        </w:rPr>
        <w:t>fiscalizado para conocer la oferta total de luminarias en 2020, contó con un censo</w:t>
      </w:r>
      <w:r>
        <w:rPr>
          <w:rFonts w:ascii="Abadi" w:hAnsi="Abadi" w:cs="*Arial-5526-Identity-H"/>
          <w:color w:val="14131C"/>
          <w:sz w:val="21"/>
          <w:szCs w:val="21"/>
        </w:rPr>
        <w:t xml:space="preserve"> </w:t>
      </w:r>
      <w:r w:rsidRPr="00D9374F">
        <w:rPr>
          <w:rFonts w:ascii="Abadi" w:hAnsi="Abadi" w:cs="*Arial-5526-Identity-H"/>
          <w:color w:val="14131C"/>
          <w:sz w:val="21"/>
          <w:szCs w:val="21"/>
        </w:rPr>
        <w:t>realizado por la Comisión Federal de Electricidad; sin embargo, no acreditó contar</w:t>
      </w:r>
      <w:r>
        <w:rPr>
          <w:rFonts w:ascii="Abadi" w:hAnsi="Abadi" w:cs="*Arial-5526-Identity-H"/>
          <w:color w:val="14131C"/>
          <w:sz w:val="21"/>
          <w:szCs w:val="21"/>
        </w:rPr>
        <w:t xml:space="preserve"> </w:t>
      </w:r>
      <w:r w:rsidRPr="00D9374F">
        <w:rPr>
          <w:rFonts w:ascii="Abadi" w:hAnsi="Abadi" w:cs="*Arial-5526-Identity-H"/>
          <w:color w:val="14131C"/>
          <w:sz w:val="21"/>
          <w:szCs w:val="21"/>
        </w:rPr>
        <w:t>con elementos metodológicos para estimar la cobertura del servicio del alumbrado</w:t>
      </w:r>
      <w:r>
        <w:rPr>
          <w:rFonts w:ascii="Abadi" w:hAnsi="Abadi" w:cs="*Arial-5526-Identity-H"/>
          <w:color w:val="14131C"/>
          <w:sz w:val="21"/>
          <w:szCs w:val="21"/>
        </w:rPr>
        <w:t xml:space="preserve"> </w:t>
      </w:r>
      <w:r w:rsidRPr="00D9374F">
        <w:rPr>
          <w:rFonts w:ascii="Abadi" w:hAnsi="Abadi" w:cs="*Arial-5526-Identity-H"/>
          <w:color w:val="14131C"/>
          <w:sz w:val="21"/>
          <w:szCs w:val="21"/>
        </w:rPr>
        <w:t>público, lo que limitó conocer el grado de atención en la prestación del servicio a</w:t>
      </w:r>
      <w:r>
        <w:rPr>
          <w:rFonts w:ascii="Abadi" w:hAnsi="Abadi" w:cs="*Arial-5526-Identity-H"/>
          <w:color w:val="14131C"/>
          <w:sz w:val="21"/>
          <w:szCs w:val="21"/>
        </w:rPr>
        <w:t xml:space="preserve"> </w:t>
      </w:r>
      <w:r w:rsidRPr="00D9374F">
        <w:rPr>
          <w:rFonts w:ascii="Abadi" w:hAnsi="Abadi" w:cs="*Arial-5526-Identity-H"/>
          <w:color w:val="14131C"/>
          <w:sz w:val="21"/>
          <w:szCs w:val="21"/>
        </w:rPr>
        <w:t>los beneficiarios.</w:t>
      </w:r>
    </w:p>
    <w:p w14:paraId="409F05D6" w14:textId="77777777" w:rsidR="00C54578" w:rsidRPr="00D9374F" w:rsidRDefault="00C54578" w:rsidP="00C54578">
      <w:pPr>
        <w:autoSpaceDE w:val="0"/>
        <w:autoSpaceDN w:val="0"/>
        <w:adjustRightInd w:val="0"/>
        <w:jc w:val="both"/>
        <w:rPr>
          <w:rFonts w:ascii="Abadi" w:hAnsi="Abadi" w:cs="*Arial-5526-Identity-H"/>
          <w:color w:val="14131C"/>
          <w:sz w:val="21"/>
          <w:szCs w:val="21"/>
        </w:rPr>
      </w:pPr>
    </w:p>
    <w:p w14:paraId="2FAFAA3A" w14:textId="77777777" w:rsidR="00C54578" w:rsidRDefault="00C54578" w:rsidP="00C54578">
      <w:pPr>
        <w:autoSpaceDE w:val="0"/>
        <w:autoSpaceDN w:val="0"/>
        <w:adjustRightInd w:val="0"/>
        <w:ind w:firstLine="708"/>
        <w:jc w:val="both"/>
        <w:rPr>
          <w:rFonts w:ascii="Abadi" w:hAnsi="Abadi" w:cs="*Arial-6972-Identity-H"/>
          <w:color w:val="14131C"/>
          <w:sz w:val="21"/>
          <w:szCs w:val="21"/>
        </w:rPr>
      </w:pPr>
      <w:r w:rsidRPr="00D9374F">
        <w:rPr>
          <w:rFonts w:ascii="Abadi" w:hAnsi="Abadi" w:cs="*Arial-6972-Identity-H"/>
          <w:color w:val="14131C"/>
          <w:sz w:val="21"/>
          <w:szCs w:val="21"/>
        </w:rPr>
        <w:t>De igual forma, se identificó que los instrumentos de planeación de mediano</w:t>
      </w:r>
      <w:r>
        <w:rPr>
          <w:rFonts w:ascii="Abadi" w:hAnsi="Abadi" w:cs="*Arial-6972-Identity-H"/>
          <w:color w:val="14131C"/>
          <w:sz w:val="21"/>
          <w:szCs w:val="21"/>
        </w:rPr>
        <w:t xml:space="preserve"> </w:t>
      </w:r>
      <w:r w:rsidRPr="00D9374F">
        <w:rPr>
          <w:rFonts w:ascii="Abadi" w:hAnsi="Abadi" w:cs="*Arial-6972-Identity-H"/>
          <w:color w:val="14131C"/>
          <w:sz w:val="21"/>
          <w:szCs w:val="21"/>
        </w:rPr>
        <w:t>y largo plazos del municipio de Ocampo, Gto., incluyeron el tema de alumbrado</w:t>
      </w:r>
      <w:r>
        <w:rPr>
          <w:rFonts w:ascii="Abadi" w:hAnsi="Abadi" w:cs="*Arial-6972-Identity-H"/>
          <w:color w:val="14131C"/>
          <w:sz w:val="21"/>
          <w:szCs w:val="21"/>
        </w:rPr>
        <w:t xml:space="preserve"> </w:t>
      </w:r>
      <w:r w:rsidRPr="00D9374F">
        <w:rPr>
          <w:rFonts w:ascii="Abadi" w:hAnsi="Abadi" w:cs="*Arial-6972-Identity-H"/>
          <w:color w:val="14131C"/>
          <w:sz w:val="21"/>
          <w:szCs w:val="21"/>
        </w:rPr>
        <w:t>público como un asunto prioritario y de atención inmediata, al definir objetivos,</w:t>
      </w:r>
      <w:r>
        <w:rPr>
          <w:rFonts w:ascii="Abadi" w:hAnsi="Abadi" w:cs="*Arial-6972-Identity-H"/>
          <w:color w:val="14131C"/>
          <w:sz w:val="21"/>
          <w:szCs w:val="21"/>
        </w:rPr>
        <w:t xml:space="preserve"> </w:t>
      </w:r>
      <w:r w:rsidRPr="00D9374F">
        <w:rPr>
          <w:rFonts w:ascii="Abadi" w:hAnsi="Abadi" w:cs="*Arial-6972-Identity-H"/>
          <w:color w:val="14131C"/>
          <w:sz w:val="21"/>
          <w:szCs w:val="21"/>
        </w:rPr>
        <w:t xml:space="preserve">estrategias, metas y </w:t>
      </w:r>
      <w:r>
        <w:rPr>
          <w:rFonts w:ascii="Abadi" w:hAnsi="Abadi" w:cs="*Arial-6972-Identity-H"/>
          <w:color w:val="14131C"/>
          <w:sz w:val="21"/>
          <w:szCs w:val="21"/>
        </w:rPr>
        <w:t>lín</w:t>
      </w:r>
      <w:r w:rsidRPr="00D9374F">
        <w:rPr>
          <w:rFonts w:ascii="Abadi" w:hAnsi="Abadi" w:cs="*Arial-6972-Identity-H"/>
          <w:color w:val="14131C"/>
          <w:sz w:val="21"/>
          <w:szCs w:val="21"/>
        </w:rPr>
        <w:t>eas de acción. También contó con un programa</w:t>
      </w:r>
      <w:r>
        <w:rPr>
          <w:rFonts w:ascii="Abadi" w:hAnsi="Abadi" w:cs="*Arial-6972-Identity-H"/>
          <w:color w:val="14131C"/>
          <w:sz w:val="21"/>
          <w:szCs w:val="21"/>
        </w:rPr>
        <w:t xml:space="preserve"> </w:t>
      </w:r>
      <w:r w:rsidRPr="00D9374F">
        <w:rPr>
          <w:rFonts w:ascii="Abadi" w:hAnsi="Abadi" w:cs="*Arial-6972-Identity-H"/>
          <w:color w:val="14131C"/>
          <w:sz w:val="21"/>
          <w:szCs w:val="21"/>
        </w:rPr>
        <w:t>presupuestario definido para la prestación del servicio; sin embargo, no acreditó la</w:t>
      </w:r>
      <w:r>
        <w:rPr>
          <w:rFonts w:ascii="Abadi" w:hAnsi="Abadi" w:cs="*Arial-6972-Identity-H"/>
          <w:color w:val="14131C"/>
          <w:sz w:val="21"/>
          <w:szCs w:val="21"/>
        </w:rPr>
        <w:t xml:space="preserve"> </w:t>
      </w:r>
      <w:r w:rsidRPr="00D9374F">
        <w:rPr>
          <w:rFonts w:ascii="Abadi" w:hAnsi="Abadi" w:cs="*Arial-6972-Identity-H"/>
          <w:color w:val="14131C"/>
          <w:sz w:val="21"/>
          <w:szCs w:val="21"/>
        </w:rPr>
        <w:t>elaboración de un proceso integral que le permitiera estimar el financiamiento,</w:t>
      </w:r>
      <w:r>
        <w:rPr>
          <w:rFonts w:ascii="Abadi" w:hAnsi="Abadi" w:cs="*Arial-6972-Identity-H"/>
          <w:color w:val="14131C"/>
          <w:sz w:val="21"/>
          <w:szCs w:val="21"/>
        </w:rPr>
        <w:t xml:space="preserve"> </w:t>
      </w:r>
      <w:r w:rsidRPr="00D9374F">
        <w:rPr>
          <w:rFonts w:ascii="Abadi" w:hAnsi="Abadi" w:cs="*Arial-6972-Identity-H"/>
          <w:color w:val="14131C"/>
          <w:sz w:val="21"/>
          <w:szCs w:val="21"/>
        </w:rPr>
        <w:t>para las actividades inherentes a la operación, mantenimiento y modernización de</w:t>
      </w:r>
      <w:r>
        <w:rPr>
          <w:rFonts w:ascii="Abadi" w:hAnsi="Abadi" w:cs="*Arial-6972-Identity-H"/>
          <w:color w:val="14131C"/>
          <w:sz w:val="21"/>
          <w:szCs w:val="21"/>
        </w:rPr>
        <w:t xml:space="preserve"> </w:t>
      </w:r>
      <w:r w:rsidRPr="00D9374F">
        <w:rPr>
          <w:rFonts w:ascii="Abadi" w:hAnsi="Abadi" w:cs="*Arial-6972-Identity-H"/>
          <w:color w:val="14131C"/>
          <w:sz w:val="21"/>
          <w:szCs w:val="21"/>
        </w:rPr>
        <w:t>los servicios de iluminación, durante el ejercicio 2020, como aspectos</w:t>
      </w:r>
      <w:r w:rsidRPr="00D9374F">
        <w:rPr>
          <w:rFonts w:ascii="Abadi" w:hAnsi="Abadi" w:cs="*Arial-6972-Identity-H"/>
          <w:color w:val="949494"/>
          <w:sz w:val="21"/>
          <w:szCs w:val="21"/>
        </w:rPr>
        <w:t xml:space="preserve">. </w:t>
      </w:r>
      <w:r w:rsidRPr="00D9374F">
        <w:rPr>
          <w:rFonts w:ascii="Abadi" w:hAnsi="Abadi" w:cs="*Arial-6972-Identity-H"/>
          <w:color w:val="14131C"/>
          <w:sz w:val="21"/>
          <w:szCs w:val="21"/>
        </w:rPr>
        <w:t>Prioritarios</w:t>
      </w:r>
      <w:r>
        <w:rPr>
          <w:rFonts w:ascii="Abadi" w:hAnsi="Abadi" w:cs="*Arial-6972-Identity-H"/>
          <w:color w:val="14131C"/>
          <w:sz w:val="21"/>
          <w:szCs w:val="21"/>
        </w:rPr>
        <w:t xml:space="preserve"> </w:t>
      </w:r>
      <w:r w:rsidRPr="00D9374F">
        <w:rPr>
          <w:rFonts w:ascii="Abadi" w:hAnsi="Abadi" w:cs="*Arial-6972-Identity-H"/>
          <w:color w:val="14131C"/>
          <w:sz w:val="21"/>
          <w:szCs w:val="21"/>
        </w:rPr>
        <w:t>definidos en la planeación municipal. Asimismo, se precisa que el Programa de</w:t>
      </w:r>
      <w:r>
        <w:rPr>
          <w:rFonts w:ascii="Abadi" w:hAnsi="Abadi" w:cs="*Arial-6972-Identity-H"/>
          <w:color w:val="14131C"/>
          <w:sz w:val="21"/>
          <w:szCs w:val="21"/>
        </w:rPr>
        <w:t xml:space="preserve"> </w:t>
      </w:r>
      <w:r w:rsidRPr="00D9374F">
        <w:rPr>
          <w:rFonts w:ascii="Abadi" w:hAnsi="Abadi" w:cs="*Arial-6972-Identity-H"/>
          <w:color w:val="14131C"/>
          <w:sz w:val="21"/>
          <w:szCs w:val="21"/>
        </w:rPr>
        <w:t>Gobierno Municipal 2018-2021, incluyó únicamente un reconocimiento explícito de</w:t>
      </w:r>
      <w:r>
        <w:rPr>
          <w:rFonts w:ascii="Abadi" w:hAnsi="Abadi" w:cs="*Arial-6972-Identity-H"/>
          <w:color w:val="14131C"/>
          <w:sz w:val="21"/>
          <w:szCs w:val="21"/>
        </w:rPr>
        <w:t xml:space="preserve"> </w:t>
      </w:r>
      <w:r w:rsidRPr="00D9374F">
        <w:rPr>
          <w:rFonts w:ascii="Abadi" w:hAnsi="Abadi" w:cs="*Arial-6972-Identity-H"/>
          <w:color w:val="14131C"/>
          <w:sz w:val="21"/>
          <w:szCs w:val="21"/>
        </w:rPr>
        <w:t xml:space="preserve">alineación del Eje 111 </w:t>
      </w:r>
      <w:r w:rsidRPr="00D9374F">
        <w:rPr>
          <w:rFonts w:ascii="Abadi" w:hAnsi="Abadi" w:cs="*Arial-Italic-6973-Identity-H"/>
          <w:i/>
          <w:iCs/>
          <w:color w:val="14131C"/>
          <w:sz w:val="21"/>
          <w:szCs w:val="21"/>
        </w:rPr>
        <w:t xml:space="preserve">Sustentabilidad Ambiental </w:t>
      </w:r>
      <w:r w:rsidRPr="00D9374F">
        <w:rPr>
          <w:rFonts w:ascii="Abadi" w:hAnsi="Abadi" w:cs="*Arial-6972-Identity-H"/>
          <w:color w:val="14131C"/>
          <w:sz w:val="21"/>
          <w:szCs w:val="21"/>
        </w:rPr>
        <w:t>con los Objetivos de Desarrollo</w:t>
      </w:r>
      <w:r>
        <w:rPr>
          <w:rFonts w:ascii="Abadi" w:hAnsi="Abadi" w:cs="*Arial-6972-Identity-H"/>
          <w:color w:val="14131C"/>
          <w:sz w:val="21"/>
          <w:szCs w:val="21"/>
        </w:rPr>
        <w:t xml:space="preserve"> </w:t>
      </w:r>
      <w:r w:rsidRPr="00D9374F">
        <w:rPr>
          <w:rFonts w:ascii="Abadi" w:hAnsi="Abadi" w:cs="*Arial-6972-Identity-H"/>
          <w:color w:val="14131C"/>
          <w:sz w:val="21"/>
          <w:szCs w:val="21"/>
        </w:rPr>
        <w:t xml:space="preserve">Sostenible denominados 7 </w:t>
      </w:r>
      <w:r w:rsidRPr="00D9374F">
        <w:rPr>
          <w:rFonts w:ascii="Abadi" w:hAnsi="Abadi" w:cs="*Arial-Italic-6973-Identity-H"/>
          <w:i/>
          <w:iCs/>
          <w:color w:val="14131C"/>
          <w:sz w:val="21"/>
          <w:szCs w:val="21"/>
        </w:rPr>
        <w:t xml:space="preserve">Energía asequible </w:t>
      </w:r>
      <w:r w:rsidRPr="00D9374F">
        <w:rPr>
          <w:rFonts w:ascii="Abadi" w:hAnsi="Abadi" w:cs="*Microsoft Sans Serif-Italic-69"/>
          <w:i/>
          <w:iCs/>
          <w:color w:val="14131C"/>
          <w:sz w:val="21"/>
          <w:szCs w:val="21"/>
        </w:rPr>
        <w:t xml:space="preserve">y </w:t>
      </w:r>
      <w:r w:rsidRPr="00D9374F">
        <w:rPr>
          <w:rFonts w:ascii="Abadi" w:hAnsi="Abadi" w:cs="*Arial-Italic-6973-Identity-H"/>
          <w:i/>
          <w:iCs/>
          <w:color w:val="14131C"/>
          <w:sz w:val="21"/>
          <w:szCs w:val="21"/>
        </w:rPr>
        <w:t xml:space="preserve">no contaminante, 11 Ciudades </w:t>
      </w:r>
      <w:r w:rsidRPr="00D9374F">
        <w:rPr>
          <w:rFonts w:ascii="Abadi" w:hAnsi="Abadi" w:cs="*Microsoft Sans Serif-Italic-69"/>
          <w:i/>
          <w:iCs/>
          <w:color w:val="14131C"/>
          <w:sz w:val="21"/>
          <w:szCs w:val="21"/>
        </w:rPr>
        <w:t>y</w:t>
      </w:r>
      <w:r>
        <w:rPr>
          <w:rFonts w:ascii="Abadi" w:hAnsi="Abadi" w:cs="*Microsoft Sans Serif-Italic-69"/>
          <w:i/>
          <w:iCs/>
          <w:color w:val="14131C"/>
          <w:sz w:val="21"/>
          <w:szCs w:val="21"/>
        </w:rPr>
        <w:t xml:space="preserve"> </w:t>
      </w:r>
      <w:r w:rsidRPr="00D9374F">
        <w:rPr>
          <w:rFonts w:ascii="Abadi" w:hAnsi="Abadi" w:cs="*Arial-Italic-6973-Identity-H"/>
          <w:i/>
          <w:iCs/>
          <w:color w:val="14131C"/>
          <w:sz w:val="21"/>
          <w:szCs w:val="21"/>
        </w:rPr>
        <w:t xml:space="preserve">comunidades sostenibles </w:t>
      </w:r>
      <w:r w:rsidRPr="00D9374F">
        <w:rPr>
          <w:rFonts w:ascii="Abadi" w:hAnsi="Abadi" w:cs="*Arial-6972-Identity-H"/>
          <w:color w:val="14131C"/>
          <w:sz w:val="21"/>
          <w:szCs w:val="21"/>
        </w:rPr>
        <w:t xml:space="preserve">y </w:t>
      </w:r>
      <w:r w:rsidRPr="00D9374F">
        <w:rPr>
          <w:rFonts w:ascii="Abadi" w:hAnsi="Abadi" w:cs="*Arial-Italic-6973-Identity-H"/>
          <w:i/>
          <w:iCs/>
          <w:color w:val="14131C"/>
          <w:sz w:val="21"/>
          <w:szCs w:val="21"/>
        </w:rPr>
        <w:t xml:space="preserve">13 Acciones por el clima. </w:t>
      </w:r>
      <w:r w:rsidRPr="00D9374F">
        <w:rPr>
          <w:rFonts w:ascii="Abadi" w:hAnsi="Abadi" w:cs="*Arial-6972-Identity-H"/>
          <w:color w:val="14131C"/>
          <w:sz w:val="21"/>
          <w:szCs w:val="21"/>
        </w:rPr>
        <w:t>No obstante, no identificó a</w:t>
      </w:r>
      <w:r>
        <w:rPr>
          <w:rFonts w:ascii="Abadi" w:hAnsi="Abadi" w:cs="*Arial-6972-Identity-H"/>
          <w:color w:val="14131C"/>
          <w:sz w:val="21"/>
          <w:szCs w:val="21"/>
        </w:rPr>
        <w:t xml:space="preserve"> </w:t>
      </w:r>
      <w:r w:rsidRPr="00D9374F">
        <w:rPr>
          <w:rFonts w:ascii="Abadi" w:hAnsi="Abadi" w:cs="*Arial-6972-Identity-H"/>
          <w:color w:val="14131C"/>
          <w:sz w:val="21"/>
          <w:szCs w:val="21"/>
        </w:rPr>
        <w:t>qué metas e indicadores de la Agenda 2030 se alineó, lo que denotó un área de</w:t>
      </w:r>
      <w:r>
        <w:rPr>
          <w:rFonts w:ascii="Abadi" w:hAnsi="Abadi" w:cs="*Arial-6972-Identity-H"/>
          <w:color w:val="14131C"/>
          <w:sz w:val="21"/>
          <w:szCs w:val="21"/>
        </w:rPr>
        <w:t xml:space="preserve"> </w:t>
      </w:r>
      <w:r w:rsidRPr="00D9374F">
        <w:rPr>
          <w:rFonts w:ascii="Abadi" w:hAnsi="Abadi" w:cs="*Arial-6972-Identity-H"/>
          <w:color w:val="14131C"/>
          <w:sz w:val="21"/>
          <w:szCs w:val="21"/>
        </w:rPr>
        <w:t>oportunidad para que el sujeto fiscalizado considere su inclusión en el logro de ese</w:t>
      </w:r>
      <w:r>
        <w:rPr>
          <w:rFonts w:ascii="Abadi" w:hAnsi="Abadi" w:cs="*Arial-6972-Identity-H"/>
          <w:color w:val="14131C"/>
          <w:sz w:val="21"/>
          <w:szCs w:val="21"/>
        </w:rPr>
        <w:t xml:space="preserve"> </w:t>
      </w:r>
      <w:r w:rsidRPr="00D9374F">
        <w:rPr>
          <w:rFonts w:ascii="Abadi" w:hAnsi="Abadi" w:cs="*Arial-6972-Identity-H"/>
          <w:color w:val="14131C"/>
          <w:sz w:val="21"/>
          <w:szCs w:val="21"/>
        </w:rPr>
        <w:t>compromiso internacional.</w:t>
      </w:r>
    </w:p>
    <w:p w14:paraId="0122317D" w14:textId="77777777" w:rsidR="00C54578" w:rsidRPr="00D9374F" w:rsidRDefault="00C54578" w:rsidP="00C54578">
      <w:pPr>
        <w:autoSpaceDE w:val="0"/>
        <w:autoSpaceDN w:val="0"/>
        <w:adjustRightInd w:val="0"/>
        <w:jc w:val="both"/>
        <w:rPr>
          <w:rFonts w:ascii="Abadi" w:hAnsi="Abadi" w:cs="*Arial-6972-Identity-H"/>
          <w:color w:val="14131C"/>
          <w:sz w:val="21"/>
          <w:szCs w:val="21"/>
        </w:rPr>
      </w:pPr>
    </w:p>
    <w:p w14:paraId="40DF2571" w14:textId="5FECBFFA" w:rsidR="00C54578" w:rsidRPr="00D9374F" w:rsidRDefault="00C54578" w:rsidP="00BC6307">
      <w:pPr>
        <w:autoSpaceDE w:val="0"/>
        <w:autoSpaceDN w:val="0"/>
        <w:adjustRightInd w:val="0"/>
        <w:ind w:firstLine="708"/>
        <w:jc w:val="both"/>
        <w:rPr>
          <w:rFonts w:ascii="Abadi" w:hAnsi="Abadi" w:cs="*Arial-6972-Identity-H"/>
          <w:color w:val="14131B"/>
          <w:sz w:val="21"/>
          <w:szCs w:val="21"/>
        </w:rPr>
      </w:pPr>
      <w:r w:rsidRPr="00D9374F">
        <w:rPr>
          <w:rFonts w:ascii="Abadi" w:hAnsi="Abadi" w:cs="*Arial-6972-Identity-H"/>
          <w:color w:val="14131B"/>
          <w:sz w:val="21"/>
          <w:szCs w:val="21"/>
        </w:rPr>
        <w:t>Por lo que hace a la operación del serv1c10 de alumbrado público, se</w:t>
      </w:r>
      <w:r>
        <w:rPr>
          <w:rFonts w:ascii="Abadi" w:hAnsi="Abadi" w:cs="*Arial-6972-Identity-H"/>
          <w:color w:val="14131B"/>
          <w:sz w:val="21"/>
          <w:szCs w:val="21"/>
        </w:rPr>
        <w:t xml:space="preserve"> </w:t>
      </w:r>
      <w:r w:rsidRPr="00D9374F">
        <w:rPr>
          <w:rFonts w:ascii="Abadi" w:hAnsi="Abadi" w:cs="*Arial-6972-Identity-H"/>
          <w:color w:val="14131B"/>
          <w:sz w:val="21"/>
          <w:szCs w:val="21"/>
        </w:rPr>
        <w:t>reconoce que su finalidad es su eficiente y eficaz funcionamiento, de lo cual</w:t>
      </w:r>
      <w:r>
        <w:rPr>
          <w:rFonts w:ascii="Abadi" w:hAnsi="Abadi" w:cs="*Arial-6972-Identity-H"/>
          <w:color w:val="14131B"/>
          <w:sz w:val="21"/>
          <w:szCs w:val="21"/>
        </w:rPr>
        <w:t xml:space="preserve"> depende</w:t>
      </w:r>
      <w:r w:rsidRPr="00D9374F">
        <w:rPr>
          <w:rFonts w:ascii="Abadi" w:hAnsi="Abadi" w:cs="*Arial-6972-Identity-H"/>
          <w:color w:val="14131B"/>
          <w:sz w:val="21"/>
          <w:szCs w:val="21"/>
        </w:rPr>
        <w:t xml:space="preserve"> la definición clara de procesos clave y documentos normativos que</w:t>
      </w:r>
      <w:r>
        <w:rPr>
          <w:rFonts w:ascii="Abadi" w:hAnsi="Abadi" w:cs="*Arial-6972-Identity-H"/>
          <w:color w:val="14131B"/>
          <w:sz w:val="21"/>
          <w:szCs w:val="21"/>
        </w:rPr>
        <w:t xml:space="preserve"> </w:t>
      </w:r>
      <w:r w:rsidRPr="00D9374F">
        <w:rPr>
          <w:rFonts w:ascii="Abadi" w:hAnsi="Abadi" w:cs="*Arial-6972-Identity-H"/>
          <w:color w:val="14131B"/>
          <w:sz w:val="21"/>
          <w:szCs w:val="21"/>
        </w:rPr>
        <w:t>garanticen su operatividad; la definición de programas anuales orientados a la</w:t>
      </w:r>
      <w:r>
        <w:rPr>
          <w:rFonts w:ascii="Abadi" w:hAnsi="Abadi" w:cs="*Arial-6972-Identity-H"/>
          <w:color w:val="14131B"/>
          <w:sz w:val="21"/>
          <w:szCs w:val="21"/>
        </w:rPr>
        <w:t xml:space="preserve"> </w:t>
      </w:r>
      <w:r w:rsidRPr="00D9374F">
        <w:rPr>
          <w:rFonts w:ascii="Abadi" w:hAnsi="Abadi" w:cs="*Arial-6972-Identity-H"/>
          <w:color w:val="14131B"/>
          <w:sz w:val="21"/>
          <w:szCs w:val="21"/>
        </w:rPr>
        <w:t>mejora, y el otorgamiento de un servicio de calidad a la población. En tal sentido,</w:t>
      </w:r>
      <w:r w:rsidR="00BC6307">
        <w:rPr>
          <w:rFonts w:ascii="Abadi" w:hAnsi="Abadi" w:cs="*Arial-6972-Identity-H"/>
          <w:color w:val="14131B"/>
          <w:sz w:val="21"/>
          <w:szCs w:val="21"/>
        </w:rPr>
        <w:t xml:space="preserve"> </w:t>
      </w:r>
      <w:r w:rsidRPr="00D9374F">
        <w:rPr>
          <w:rFonts w:ascii="Abadi" w:hAnsi="Abadi" w:cs="*Arial-6972-Identity-H"/>
          <w:color w:val="14131B"/>
          <w:sz w:val="21"/>
          <w:szCs w:val="21"/>
        </w:rPr>
        <w:t>de la situación observada en la operación del servicio, se constató que el sujeto</w:t>
      </w:r>
      <w:r>
        <w:rPr>
          <w:rFonts w:ascii="Abadi" w:hAnsi="Abadi" w:cs="*Arial-6972-Identity-H"/>
          <w:color w:val="14131B"/>
          <w:sz w:val="21"/>
          <w:szCs w:val="21"/>
        </w:rPr>
        <w:t xml:space="preserve"> </w:t>
      </w:r>
      <w:r w:rsidRPr="00D9374F">
        <w:rPr>
          <w:rFonts w:ascii="Abadi" w:hAnsi="Abadi" w:cs="*Arial-6972-Identity-H"/>
          <w:color w:val="14131B"/>
          <w:sz w:val="21"/>
          <w:szCs w:val="21"/>
        </w:rPr>
        <w:t>fiscalizado careció de un marco normativo sólido para garantizar que el servicio de</w:t>
      </w:r>
      <w:r>
        <w:rPr>
          <w:rFonts w:ascii="Abadi" w:hAnsi="Abadi" w:cs="*Arial-6972-Identity-H"/>
          <w:color w:val="14131B"/>
          <w:sz w:val="21"/>
          <w:szCs w:val="21"/>
        </w:rPr>
        <w:t xml:space="preserve"> </w:t>
      </w:r>
      <w:r w:rsidRPr="00D9374F">
        <w:rPr>
          <w:rFonts w:ascii="Abadi" w:hAnsi="Abadi" w:cs="*Arial-6972-Identity-H"/>
          <w:color w:val="14131B"/>
          <w:sz w:val="21"/>
          <w:szCs w:val="21"/>
        </w:rPr>
        <w:t>alumbrado público se realice de manera eficiente y que exista una adecuada</w:t>
      </w:r>
      <w:r>
        <w:rPr>
          <w:rFonts w:ascii="Abadi" w:hAnsi="Abadi" w:cs="*Arial-6972-Identity-H"/>
          <w:color w:val="14131B"/>
          <w:sz w:val="21"/>
          <w:szCs w:val="21"/>
        </w:rPr>
        <w:t xml:space="preserve"> </w:t>
      </w:r>
      <w:r w:rsidRPr="00D9374F">
        <w:rPr>
          <w:rFonts w:ascii="Abadi" w:hAnsi="Abadi" w:cs="*Arial-6972-Identity-H"/>
          <w:color w:val="14131B"/>
          <w:sz w:val="21"/>
          <w:szCs w:val="21"/>
        </w:rPr>
        <w:t>organización y operación; ya que, aun cuando contó con un Reglamento Orgánico</w:t>
      </w:r>
      <w:r>
        <w:rPr>
          <w:rFonts w:ascii="Abadi" w:hAnsi="Abadi" w:cs="*Arial-6972-Identity-H"/>
          <w:color w:val="14131B"/>
          <w:sz w:val="21"/>
          <w:szCs w:val="21"/>
        </w:rPr>
        <w:t xml:space="preserve"> </w:t>
      </w:r>
      <w:r w:rsidRPr="00D9374F">
        <w:rPr>
          <w:rFonts w:ascii="Abadi" w:hAnsi="Abadi" w:cs="*Arial-6972-Identity-H"/>
          <w:color w:val="14131B"/>
          <w:sz w:val="21"/>
          <w:szCs w:val="21"/>
        </w:rPr>
        <w:t>que faculta a la Dirección de Servicios Públicos Municipales para cumplir con el</w:t>
      </w:r>
      <w:r>
        <w:rPr>
          <w:rFonts w:ascii="Abadi" w:hAnsi="Abadi" w:cs="*Arial-6972-Identity-H"/>
          <w:color w:val="14131B"/>
          <w:sz w:val="21"/>
          <w:szCs w:val="21"/>
        </w:rPr>
        <w:t xml:space="preserve"> </w:t>
      </w:r>
      <w:r w:rsidRPr="00D9374F">
        <w:rPr>
          <w:rFonts w:ascii="Abadi" w:hAnsi="Abadi" w:cs="*Arial-6972-Identity-H"/>
          <w:color w:val="14131B"/>
          <w:sz w:val="21"/>
          <w:szCs w:val="21"/>
        </w:rPr>
        <w:t>mandato de proporcionar a la población el servicio de alumbrado público, no contó</w:t>
      </w:r>
      <w:r w:rsidR="00BC6307">
        <w:rPr>
          <w:rFonts w:ascii="Abadi" w:hAnsi="Abadi" w:cs="*Arial-6972-Identity-H"/>
          <w:color w:val="14131B"/>
          <w:sz w:val="21"/>
          <w:szCs w:val="21"/>
        </w:rPr>
        <w:t xml:space="preserve"> </w:t>
      </w:r>
      <w:r w:rsidRPr="00D9374F">
        <w:rPr>
          <w:rFonts w:ascii="Abadi" w:hAnsi="Abadi" w:cs="*Arial-6972-Identity-H"/>
          <w:color w:val="14131B"/>
          <w:sz w:val="21"/>
          <w:szCs w:val="21"/>
        </w:rPr>
        <w:t>con un reglamento específico en la materia, lo que provocó que no existiera una</w:t>
      </w:r>
      <w:r>
        <w:rPr>
          <w:rFonts w:ascii="Abadi" w:hAnsi="Abadi" w:cs="*Arial-6972-Identity-H"/>
          <w:color w:val="14131B"/>
          <w:sz w:val="21"/>
          <w:szCs w:val="21"/>
        </w:rPr>
        <w:t xml:space="preserve"> </w:t>
      </w:r>
      <w:r w:rsidRPr="00D9374F">
        <w:rPr>
          <w:rFonts w:ascii="Abadi" w:hAnsi="Abadi" w:cs="*Arial-6972-Identity-H"/>
          <w:color w:val="14131B"/>
          <w:sz w:val="21"/>
          <w:szCs w:val="21"/>
        </w:rPr>
        <w:t>manifestación expresa y obligatoria por parte de la autoridad municipal para</w:t>
      </w:r>
      <w:r>
        <w:rPr>
          <w:rFonts w:ascii="Abadi" w:hAnsi="Abadi" w:cs="*Arial-6972-Identity-H"/>
          <w:color w:val="14131B"/>
          <w:sz w:val="21"/>
          <w:szCs w:val="21"/>
        </w:rPr>
        <w:t xml:space="preserve"> </w:t>
      </w:r>
      <w:r w:rsidRPr="00D9374F">
        <w:rPr>
          <w:rFonts w:ascii="Abadi" w:hAnsi="Abadi" w:cs="*Arial-6972-Identity-H"/>
          <w:color w:val="14131B"/>
          <w:sz w:val="21"/>
          <w:szCs w:val="21"/>
        </w:rPr>
        <w:t>determinar de manera clara y específica la prestación del servicio en cuanto a</w:t>
      </w:r>
      <w:r>
        <w:rPr>
          <w:rFonts w:ascii="Abadi" w:hAnsi="Abadi" w:cs="*Arial-6972-Identity-H"/>
          <w:color w:val="14131B"/>
          <w:sz w:val="21"/>
          <w:szCs w:val="21"/>
        </w:rPr>
        <w:t xml:space="preserve"> </w:t>
      </w:r>
      <w:r w:rsidRPr="00D9374F">
        <w:rPr>
          <w:rFonts w:ascii="Abadi" w:hAnsi="Abadi" w:cs="*Arial-6972-Identity-H"/>
          <w:color w:val="14131B"/>
          <w:sz w:val="21"/>
          <w:szCs w:val="21"/>
        </w:rPr>
        <w:t>atribuciones, obligaciones, organización, administración, inspección y vigilancia del</w:t>
      </w:r>
      <w:r>
        <w:rPr>
          <w:rFonts w:ascii="Abadi" w:hAnsi="Abadi" w:cs="*Arial-6972-Identity-H"/>
          <w:color w:val="14131B"/>
          <w:sz w:val="21"/>
          <w:szCs w:val="21"/>
        </w:rPr>
        <w:t xml:space="preserve"> </w:t>
      </w:r>
      <w:r w:rsidRPr="00D9374F">
        <w:rPr>
          <w:rFonts w:ascii="Abadi" w:hAnsi="Abadi" w:cs="*Arial-6972-Identity-H"/>
          <w:color w:val="14131B"/>
          <w:sz w:val="21"/>
          <w:szCs w:val="21"/>
        </w:rPr>
        <w:t>servicio y, en complemento a dicho documento, se elaboren los manuales</w:t>
      </w:r>
      <w:r>
        <w:rPr>
          <w:rFonts w:ascii="Abadi" w:hAnsi="Abadi" w:cs="*Arial-6972-Identity-H"/>
          <w:color w:val="14131B"/>
          <w:sz w:val="21"/>
          <w:szCs w:val="21"/>
        </w:rPr>
        <w:t xml:space="preserve"> </w:t>
      </w:r>
      <w:r w:rsidRPr="00D9374F">
        <w:rPr>
          <w:rFonts w:ascii="Abadi" w:hAnsi="Abadi" w:cs="*Arial-6972-Identity-H"/>
          <w:color w:val="14131B"/>
          <w:sz w:val="21"/>
          <w:szCs w:val="21"/>
        </w:rPr>
        <w:t>administrativos en los que se definan las funciones y las responsabilidades de los</w:t>
      </w:r>
      <w:r>
        <w:rPr>
          <w:rFonts w:ascii="Abadi" w:hAnsi="Abadi" w:cs="*Arial-6972-Identity-H"/>
          <w:color w:val="14131B"/>
          <w:sz w:val="21"/>
          <w:szCs w:val="21"/>
        </w:rPr>
        <w:t xml:space="preserve"> </w:t>
      </w:r>
      <w:r w:rsidRPr="00D9374F">
        <w:rPr>
          <w:rFonts w:ascii="Abadi" w:hAnsi="Abadi" w:cs="*Arial-6972-Identity-H"/>
          <w:color w:val="14131B"/>
          <w:sz w:val="21"/>
          <w:szCs w:val="21"/>
        </w:rPr>
        <w:t>servidores públicos que participan en el desarrollo de las actividades, así como la</w:t>
      </w:r>
      <w:r>
        <w:rPr>
          <w:rFonts w:ascii="Abadi" w:hAnsi="Abadi" w:cs="*Arial-6972-Identity-H"/>
          <w:color w:val="14131B"/>
          <w:sz w:val="21"/>
          <w:szCs w:val="21"/>
        </w:rPr>
        <w:t xml:space="preserve"> </w:t>
      </w:r>
      <w:r w:rsidRPr="00D9374F">
        <w:rPr>
          <w:rFonts w:ascii="Abadi" w:hAnsi="Abadi" w:cs="*Arial-6972-Identity-H"/>
          <w:color w:val="14131B"/>
          <w:sz w:val="21"/>
          <w:szCs w:val="21"/>
        </w:rPr>
        <w:t>especificación de los procesos sustantivos y adjetivos que contribuyan al</w:t>
      </w:r>
      <w:r>
        <w:rPr>
          <w:rFonts w:ascii="Abadi" w:hAnsi="Abadi" w:cs="*Arial-6972-Identity-H"/>
          <w:color w:val="14131B"/>
          <w:sz w:val="21"/>
          <w:szCs w:val="21"/>
        </w:rPr>
        <w:t xml:space="preserve"> </w:t>
      </w:r>
      <w:r w:rsidRPr="00D9374F">
        <w:rPr>
          <w:rFonts w:ascii="Abadi" w:hAnsi="Abadi" w:cs="*Arial-6972-Identity-H"/>
          <w:color w:val="14131B"/>
          <w:sz w:val="21"/>
          <w:szCs w:val="21"/>
        </w:rPr>
        <w:t>cumplimiento de los objetivos y metas establecidos en la materia.</w:t>
      </w:r>
    </w:p>
    <w:p w14:paraId="4BAC2AFB" w14:textId="77777777" w:rsidR="00C54578" w:rsidRDefault="00C54578" w:rsidP="00C54578">
      <w:pPr>
        <w:autoSpaceDE w:val="0"/>
        <w:autoSpaceDN w:val="0"/>
        <w:adjustRightInd w:val="0"/>
        <w:jc w:val="both"/>
        <w:rPr>
          <w:rFonts w:ascii="Abadi" w:hAnsi="Abadi" w:cs="*Calibri-5419-Identity-H"/>
          <w:color w:val="292833"/>
          <w:sz w:val="21"/>
          <w:szCs w:val="21"/>
        </w:rPr>
      </w:pPr>
    </w:p>
    <w:p w14:paraId="532B04A6" w14:textId="77777777" w:rsidR="00C54578" w:rsidRPr="00D9374F" w:rsidRDefault="00C54578" w:rsidP="00C54578">
      <w:pPr>
        <w:autoSpaceDE w:val="0"/>
        <w:autoSpaceDN w:val="0"/>
        <w:adjustRightInd w:val="0"/>
        <w:ind w:firstLine="708"/>
        <w:jc w:val="both"/>
        <w:rPr>
          <w:rFonts w:ascii="Abadi" w:hAnsi="Abadi" w:cs="*Arial-5420-Identity-H"/>
          <w:color w:val="14131B"/>
          <w:sz w:val="21"/>
          <w:szCs w:val="21"/>
        </w:rPr>
      </w:pPr>
      <w:r w:rsidRPr="00D9374F">
        <w:rPr>
          <w:rFonts w:ascii="Abadi" w:hAnsi="Abadi" w:cs="*Arial-5420-Identity-H"/>
          <w:color w:val="14131B"/>
          <w:sz w:val="21"/>
          <w:szCs w:val="21"/>
        </w:rPr>
        <w:t>En relación a la planeación operativa para el servicio de alumbrado público,</w:t>
      </w:r>
      <w:r>
        <w:rPr>
          <w:rFonts w:ascii="Abadi" w:hAnsi="Abadi" w:cs="*Arial-5420-Identity-H"/>
          <w:color w:val="14131B"/>
          <w:sz w:val="21"/>
          <w:szCs w:val="21"/>
        </w:rPr>
        <w:t xml:space="preserve"> </w:t>
      </w:r>
      <w:r w:rsidRPr="00D9374F">
        <w:rPr>
          <w:rFonts w:ascii="Abadi" w:hAnsi="Abadi" w:cs="*Arial-5420-Identity-H"/>
          <w:color w:val="14131B"/>
          <w:sz w:val="21"/>
          <w:szCs w:val="21"/>
        </w:rPr>
        <w:t>la administración municipal de Ocampo, Gto., proporcionó un Programa Operativo</w:t>
      </w:r>
      <w:r>
        <w:rPr>
          <w:rFonts w:ascii="Abadi" w:hAnsi="Abadi" w:cs="*Arial-5420-Identity-H"/>
          <w:color w:val="14131B"/>
          <w:sz w:val="21"/>
          <w:szCs w:val="21"/>
        </w:rPr>
        <w:t xml:space="preserve"> </w:t>
      </w:r>
      <w:r w:rsidRPr="00D9374F">
        <w:rPr>
          <w:rFonts w:ascii="Abadi" w:hAnsi="Abadi" w:cs="*Arial-5420-Identity-H"/>
          <w:color w:val="14131B"/>
          <w:sz w:val="21"/>
          <w:szCs w:val="21"/>
        </w:rPr>
        <w:t>Anual y un Plan de Trabajo; sin embargo, estos presentaron áreas de mejora en</w:t>
      </w:r>
      <w:r>
        <w:rPr>
          <w:rFonts w:ascii="Abadi" w:hAnsi="Abadi" w:cs="*Arial-5420-Identity-H"/>
          <w:color w:val="14131B"/>
          <w:sz w:val="21"/>
          <w:szCs w:val="21"/>
        </w:rPr>
        <w:t xml:space="preserve"> </w:t>
      </w:r>
      <w:r w:rsidRPr="00D9374F">
        <w:rPr>
          <w:rFonts w:ascii="Abadi" w:hAnsi="Abadi" w:cs="*Arial-5420-Identity-H"/>
          <w:color w:val="14131B"/>
          <w:sz w:val="21"/>
          <w:szCs w:val="21"/>
        </w:rPr>
        <w:t>su contenido, por lo que se cuenta con el área de oportunidad para diseñarlos e</w:t>
      </w:r>
      <w:r>
        <w:rPr>
          <w:rFonts w:ascii="Abadi" w:hAnsi="Abadi" w:cs="*Arial-5420-Identity-H"/>
          <w:color w:val="14131B"/>
          <w:sz w:val="21"/>
          <w:szCs w:val="21"/>
        </w:rPr>
        <w:t xml:space="preserve"> </w:t>
      </w:r>
      <w:r w:rsidRPr="00D9374F">
        <w:rPr>
          <w:rFonts w:ascii="Abadi" w:hAnsi="Abadi" w:cs="*Arial-5420-Identity-H"/>
          <w:color w:val="14131B"/>
          <w:sz w:val="21"/>
          <w:szCs w:val="21"/>
        </w:rPr>
        <w:t>implementarlos, considerando los elementos relacionados con el objetivo que se</w:t>
      </w:r>
      <w:r>
        <w:rPr>
          <w:rFonts w:ascii="Abadi" w:hAnsi="Abadi" w:cs="*Arial-5420-Identity-H"/>
          <w:color w:val="14131B"/>
          <w:sz w:val="21"/>
          <w:szCs w:val="21"/>
        </w:rPr>
        <w:t xml:space="preserve"> </w:t>
      </w:r>
      <w:r w:rsidRPr="00D9374F">
        <w:rPr>
          <w:rFonts w:ascii="Abadi" w:hAnsi="Abadi" w:cs="*Arial-5420-Identity-H"/>
          <w:color w:val="14131B"/>
          <w:sz w:val="21"/>
          <w:szCs w:val="21"/>
        </w:rPr>
        <w:t>persigue con la prestación del servicio de alumbrado público, su alineación con lo</w:t>
      </w:r>
      <w:r>
        <w:rPr>
          <w:rFonts w:ascii="Abadi" w:hAnsi="Abadi" w:cs="*Arial-5420-Identity-H"/>
          <w:color w:val="14131B"/>
          <w:sz w:val="21"/>
          <w:szCs w:val="21"/>
        </w:rPr>
        <w:t xml:space="preserve"> </w:t>
      </w:r>
      <w:r w:rsidRPr="00D9374F">
        <w:rPr>
          <w:rFonts w:ascii="Abadi" w:hAnsi="Abadi" w:cs="*Arial-5420-Identity-H"/>
          <w:color w:val="14131B"/>
          <w:sz w:val="21"/>
          <w:szCs w:val="21"/>
        </w:rPr>
        <w:t>establecido en los instrumentos de planeación municipal, el proyecto de inversión</w:t>
      </w:r>
      <w:r>
        <w:rPr>
          <w:rFonts w:ascii="Abadi" w:hAnsi="Abadi" w:cs="*Arial-5420-Identity-H"/>
          <w:color w:val="14131B"/>
          <w:sz w:val="21"/>
          <w:szCs w:val="21"/>
        </w:rPr>
        <w:t xml:space="preserve"> </w:t>
      </w:r>
      <w:r w:rsidRPr="00D9374F">
        <w:rPr>
          <w:rFonts w:ascii="Abadi" w:hAnsi="Abadi" w:cs="*Arial-5420-Identity-H"/>
          <w:color w:val="14131B"/>
          <w:sz w:val="21"/>
          <w:szCs w:val="21"/>
        </w:rPr>
        <w:t>con el que se identifica el servicio de alumbrado, los indicadores y metas para su</w:t>
      </w:r>
      <w:r>
        <w:rPr>
          <w:rFonts w:ascii="Abadi" w:hAnsi="Abadi" w:cs="*Arial-5420-Identity-H"/>
          <w:color w:val="14131B"/>
          <w:sz w:val="21"/>
          <w:szCs w:val="21"/>
        </w:rPr>
        <w:t xml:space="preserve"> </w:t>
      </w:r>
      <w:r w:rsidRPr="00D9374F">
        <w:rPr>
          <w:rFonts w:ascii="Abadi" w:hAnsi="Abadi" w:cs="*Arial-5420-Identity-H"/>
          <w:color w:val="14131B"/>
          <w:sz w:val="21"/>
          <w:szCs w:val="21"/>
        </w:rPr>
        <w:t>medición, el cronograma en el que se detallen las actividades clave, la asignación</w:t>
      </w:r>
      <w:r>
        <w:rPr>
          <w:rFonts w:ascii="Abadi" w:hAnsi="Abadi" w:cs="*Arial-5420-Identity-H"/>
          <w:color w:val="14131B"/>
          <w:sz w:val="21"/>
          <w:szCs w:val="21"/>
        </w:rPr>
        <w:t xml:space="preserve"> </w:t>
      </w:r>
      <w:r w:rsidRPr="00D9374F">
        <w:rPr>
          <w:rFonts w:ascii="Abadi" w:hAnsi="Abadi" w:cs="*Arial-5420-Identity-H"/>
          <w:color w:val="14131B"/>
          <w:sz w:val="21"/>
          <w:szCs w:val="21"/>
        </w:rPr>
        <w:t>de responsables de cada actividad, así como las fechas de su realización. Lo</w:t>
      </w:r>
      <w:r>
        <w:rPr>
          <w:rFonts w:ascii="Abadi" w:hAnsi="Abadi" w:cs="*Arial-5420-Identity-H"/>
          <w:color w:val="14131B"/>
          <w:sz w:val="21"/>
          <w:szCs w:val="21"/>
        </w:rPr>
        <w:t xml:space="preserve"> </w:t>
      </w:r>
      <w:r w:rsidRPr="00D9374F">
        <w:rPr>
          <w:rFonts w:ascii="Abadi" w:hAnsi="Abadi" w:cs="*Arial-5420-Identity-H"/>
          <w:color w:val="14131B"/>
          <w:sz w:val="21"/>
          <w:szCs w:val="21"/>
        </w:rPr>
        <w:t>anterior, permitirá a la Dirección de Servicios Públicos Municipales contar con una</w:t>
      </w:r>
      <w:r>
        <w:rPr>
          <w:rFonts w:ascii="Abadi" w:hAnsi="Abadi" w:cs="*Arial-5420-Identity-H"/>
          <w:color w:val="14131B"/>
          <w:sz w:val="21"/>
          <w:szCs w:val="21"/>
        </w:rPr>
        <w:t xml:space="preserve"> </w:t>
      </w:r>
      <w:r w:rsidRPr="00D9374F">
        <w:rPr>
          <w:rFonts w:ascii="Abadi" w:hAnsi="Abadi" w:cs="*Arial-5420-Identity-H"/>
          <w:color w:val="14131B"/>
          <w:sz w:val="21"/>
          <w:szCs w:val="21"/>
        </w:rPr>
        <w:t>herramienta de planeación, seguimiento y monitoreo para la gestión del servicio de</w:t>
      </w:r>
    </w:p>
    <w:p w14:paraId="345E24B4" w14:textId="77777777" w:rsidR="00C54578" w:rsidRDefault="00C54578" w:rsidP="00C54578">
      <w:pPr>
        <w:autoSpaceDE w:val="0"/>
        <w:autoSpaceDN w:val="0"/>
        <w:adjustRightInd w:val="0"/>
        <w:jc w:val="both"/>
        <w:rPr>
          <w:rFonts w:ascii="Abadi" w:hAnsi="Abadi" w:cs="*Arial-5420-Identity-H"/>
          <w:color w:val="14131B"/>
          <w:sz w:val="21"/>
          <w:szCs w:val="21"/>
        </w:rPr>
      </w:pPr>
      <w:r w:rsidRPr="00D9374F">
        <w:rPr>
          <w:rFonts w:ascii="Abadi" w:hAnsi="Abadi" w:cs="*Arial-5420-Identity-H"/>
          <w:color w:val="14131B"/>
          <w:sz w:val="21"/>
          <w:szCs w:val="21"/>
        </w:rPr>
        <w:t>alumbrado público municipal que garantice la prestación eficiente del servicio</w:t>
      </w:r>
      <w:r>
        <w:rPr>
          <w:rFonts w:ascii="Abadi" w:hAnsi="Abadi" w:cs="*Arial-5420-Identity-H"/>
          <w:color w:val="14131B"/>
          <w:sz w:val="21"/>
          <w:szCs w:val="21"/>
        </w:rPr>
        <w:t xml:space="preserve"> </w:t>
      </w:r>
      <w:r w:rsidRPr="00D9374F">
        <w:rPr>
          <w:rFonts w:ascii="Abadi" w:hAnsi="Abadi" w:cs="*Arial-5420-Identity-H"/>
          <w:color w:val="14131B"/>
          <w:sz w:val="21"/>
          <w:szCs w:val="21"/>
        </w:rPr>
        <w:t>público.</w:t>
      </w:r>
    </w:p>
    <w:p w14:paraId="1AB2E369" w14:textId="77777777" w:rsidR="00C54578" w:rsidRPr="00D9374F" w:rsidRDefault="00C54578" w:rsidP="00C54578">
      <w:pPr>
        <w:autoSpaceDE w:val="0"/>
        <w:autoSpaceDN w:val="0"/>
        <w:adjustRightInd w:val="0"/>
        <w:jc w:val="both"/>
        <w:rPr>
          <w:rFonts w:ascii="Abadi" w:hAnsi="Abadi" w:cs="*Arial-5420-Identity-H"/>
          <w:color w:val="14131B"/>
          <w:sz w:val="21"/>
          <w:szCs w:val="21"/>
        </w:rPr>
      </w:pPr>
    </w:p>
    <w:p w14:paraId="5BCAFAB3" w14:textId="77777777" w:rsidR="00C54578" w:rsidRDefault="00C54578" w:rsidP="00C54578">
      <w:pPr>
        <w:autoSpaceDE w:val="0"/>
        <w:autoSpaceDN w:val="0"/>
        <w:adjustRightInd w:val="0"/>
        <w:ind w:firstLine="708"/>
        <w:jc w:val="both"/>
        <w:rPr>
          <w:rFonts w:ascii="Abadi" w:hAnsi="Abadi" w:cs="*Arial-5420-Identity-H"/>
          <w:color w:val="14131B"/>
          <w:sz w:val="21"/>
          <w:szCs w:val="21"/>
        </w:rPr>
      </w:pPr>
      <w:r w:rsidRPr="00D9374F">
        <w:rPr>
          <w:rFonts w:ascii="Abadi" w:hAnsi="Abadi" w:cs="*Arial-5420-Identity-H"/>
          <w:color w:val="14131B"/>
          <w:sz w:val="21"/>
          <w:szCs w:val="21"/>
        </w:rPr>
        <w:t>De la verificación de la atención de los reportes de fallas, se identificó que el</w:t>
      </w:r>
      <w:r>
        <w:rPr>
          <w:rFonts w:ascii="Abadi" w:hAnsi="Abadi" w:cs="*Arial-5420-Identity-H"/>
          <w:color w:val="14131B"/>
          <w:sz w:val="21"/>
          <w:szCs w:val="21"/>
        </w:rPr>
        <w:t xml:space="preserve"> </w:t>
      </w:r>
      <w:r w:rsidRPr="00D9374F">
        <w:rPr>
          <w:rFonts w:ascii="Abadi" w:hAnsi="Abadi" w:cs="*Arial-5420-Identity-H"/>
          <w:color w:val="14131B"/>
          <w:sz w:val="21"/>
          <w:szCs w:val="21"/>
        </w:rPr>
        <w:t>sujeto fiscalizado informó que recibió reportes ciudadanos de manera presencial y</w:t>
      </w:r>
      <w:r>
        <w:rPr>
          <w:rFonts w:ascii="Abadi" w:hAnsi="Abadi" w:cs="*Arial-5420-Identity-H"/>
          <w:color w:val="14131B"/>
          <w:sz w:val="21"/>
          <w:szCs w:val="21"/>
        </w:rPr>
        <w:t xml:space="preserve"> </w:t>
      </w:r>
      <w:r w:rsidRPr="00D9374F">
        <w:rPr>
          <w:rFonts w:ascii="Abadi" w:hAnsi="Abadi" w:cs="*Arial-5420-Identity-H"/>
          <w:color w:val="14131B"/>
          <w:sz w:val="21"/>
          <w:szCs w:val="21"/>
        </w:rPr>
        <w:t>vía telefónica. Sin embargo, no acreditó contar con un mecanismo de registro</w:t>
      </w:r>
      <w:r>
        <w:rPr>
          <w:rFonts w:ascii="Abadi" w:hAnsi="Abadi" w:cs="*Arial-5420-Identity-H"/>
          <w:color w:val="14131B"/>
          <w:sz w:val="21"/>
          <w:szCs w:val="21"/>
        </w:rPr>
        <w:t xml:space="preserve"> </w:t>
      </w:r>
      <w:r w:rsidRPr="00D9374F">
        <w:rPr>
          <w:rFonts w:ascii="Abadi" w:hAnsi="Abadi" w:cs="*Arial-5420-Identity-H"/>
          <w:color w:val="14131B"/>
          <w:sz w:val="21"/>
          <w:szCs w:val="21"/>
        </w:rPr>
        <w:t>referente al reporte de fallas en el servicio de alumbrado público, ni el seguimiento</w:t>
      </w:r>
      <w:r>
        <w:rPr>
          <w:rFonts w:ascii="Abadi" w:hAnsi="Abadi" w:cs="*Arial-5420-Identity-H"/>
          <w:color w:val="14131B"/>
          <w:sz w:val="21"/>
          <w:szCs w:val="21"/>
        </w:rPr>
        <w:t xml:space="preserve"> </w:t>
      </w:r>
      <w:r w:rsidRPr="00D9374F">
        <w:rPr>
          <w:rFonts w:ascii="Abadi" w:hAnsi="Abadi" w:cs="*Arial-5420-Identity-H"/>
          <w:color w:val="14131B"/>
          <w:sz w:val="21"/>
          <w:szCs w:val="21"/>
        </w:rPr>
        <w:t>en la atención de estos, lo que limitó conocer si, en 2020 hubo reportes</w:t>
      </w:r>
      <w:r>
        <w:rPr>
          <w:rFonts w:ascii="Abadi" w:hAnsi="Abadi" w:cs="*Arial-5420-Identity-H"/>
          <w:color w:val="14131B"/>
          <w:sz w:val="21"/>
          <w:szCs w:val="21"/>
        </w:rPr>
        <w:t xml:space="preserve"> </w:t>
      </w:r>
      <w:r w:rsidRPr="00D9374F">
        <w:rPr>
          <w:rFonts w:ascii="Abadi" w:hAnsi="Abadi" w:cs="*Arial-5420-Identity-H"/>
          <w:color w:val="14131B"/>
          <w:sz w:val="21"/>
          <w:szCs w:val="21"/>
        </w:rPr>
        <w:t>cancelados, e identificar la brecha existente entre la totalidad de reportes recibidos</w:t>
      </w:r>
      <w:r>
        <w:rPr>
          <w:rFonts w:ascii="Abadi" w:hAnsi="Abadi" w:cs="*Arial-5420-Identity-H"/>
          <w:color w:val="14131B"/>
          <w:sz w:val="21"/>
          <w:szCs w:val="21"/>
        </w:rPr>
        <w:t xml:space="preserve"> </w:t>
      </w:r>
      <w:r w:rsidRPr="00D9374F">
        <w:rPr>
          <w:rFonts w:ascii="Abadi" w:hAnsi="Abadi" w:cs="*Arial-5420-Identity-H"/>
          <w:color w:val="14131B"/>
          <w:sz w:val="21"/>
          <w:szCs w:val="21"/>
        </w:rPr>
        <w:t>y la proporción de solicitudes atendidas; por lo que, no fue posible determinar el</w:t>
      </w:r>
      <w:r>
        <w:rPr>
          <w:rFonts w:ascii="Abadi" w:hAnsi="Abadi" w:cs="*Arial-5420-Identity-H"/>
          <w:color w:val="14131B"/>
          <w:sz w:val="21"/>
          <w:szCs w:val="21"/>
        </w:rPr>
        <w:t xml:space="preserve"> </w:t>
      </w:r>
      <w:r w:rsidRPr="00D9374F">
        <w:rPr>
          <w:rFonts w:ascii="Abadi" w:hAnsi="Abadi" w:cs="*Arial-5420-Identity-H"/>
          <w:color w:val="14131B"/>
          <w:sz w:val="21"/>
          <w:szCs w:val="21"/>
        </w:rPr>
        <w:t>alcance de cobertura en la solución de reportes atendidos en beneficio de la</w:t>
      </w:r>
      <w:r>
        <w:rPr>
          <w:rFonts w:ascii="Abadi" w:hAnsi="Abadi" w:cs="*Arial-5420-Identity-H"/>
          <w:color w:val="14131B"/>
          <w:sz w:val="21"/>
          <w:szCs w:val="21"/>
        </w:rPr>
        <w:t xml:space="preserve"> </w:t>
      </w:r>
      <w:r w:rsidRPr="00D9374F">
        <w:rPr>
          <w:rFonts w:ascii="Abadi" w:hAnsi="Abadi" w:cs="*Arial-5420-Identity-H"/>
          <w:color w:val="14131B"/>
          <w:sz w:val="21"/>
          <w:szCs w:val="21"/>
        </w:rPr>
        <w:t>población del Municipio. Asimismo, la información proporcionada por el sujeto</w:t>
      </w:r>
      <w:r>
        <w:rPr>
          <w:rFonts w:ascii="Abadi" w:hAnsi="Abadi" w:cs="*Arial-5420-Identity-H"/>
          <w:color w:val="14131B"/>
          <w:sz w:val="21"/>
          <w:szCs w:val="21"/>
        </w:rPr>
        <w:t xml:space="preserve"> </w:t>
      </w:r>
      <w:r w:rsidRPr="00D9374F">
        <w:rPr>
          <w:rFonts w:ascii="Abadi" w:hAnsi="Abadi" w:cs="*Arial-5420-Identity-H"/>
          <w:color w:val="14131B"/>
          <w:sz w:val="21"/>
          <w:szCs w:val="21"/>
        </w:rPr>
        <w:t>fiscalizado no permitió identificar la oportunidad con la que se dio atención al</w:t>
      </w:r>
      <w:r>
        <w:rPr>
          <w:rFonts w:ascii="Abadi" w:hAnsi="Abadi" w:cs="*Arial-5420-Identity-H"/>
          <w:color w:val="14131B"/>
          <w:sz w:val="21"/>
          <w:szCs w:val="21"/>
        </w:rPr>
        <w:t xml:space="preserve"> </w:t>
      </w:r>
      <w:r w:rsidRPr="00D9374F">
        <w:rPr>
          <w:rFonts w:ascii="Abadi" w:hAnsi="Abadi" w:cs="*Arial-5420-Identity-H"/>
          <w:color w:val="14131B"/>
          <w:sz w:val="21"/>
          <w:szCs w:val="21"/>
        </w:rPr>
        <w:t>reporte ciudadano por la falla reportada.</w:t>
      </w:r>
    </w:p>
    <w:p w14:paraId="150090C7" w14:textId="77777777" w:rsidR="00C54578" w:rsidRPr="00D9374F" w:rsidRDefault="00C54578" w:rsidP="00C54578">
      <w:pPr>
        <w:autoSpaceDE w:val="0"/>
        <w:autoSpaceDN w:val="0"/>
        <w:adjustRightInd w:val="0"/>
        <w:jc w:val="both"/>
        <w:rPr>
          <w:rFonts w:ascii="Abadi" w:hAnsi="Abadi" w:cs="*Arial-5420-Identity-H"/>
          <w:color w:val="14131B"/>
          <w:sz w:val="21"/>
          <w:szCs w:val="21"/>
        </w:rPr>
      </w:pPr>
    </w:p>
    <w:p w14:paraId="51BEDD69" w14:textId="77777777" w:rsidR="00C54578" w:rsidRPr="00D9374F" w:rsidRDefault="00C54578" w:rsidP="00C54578">
      <w:pPr>
        <w:autoSpaceDE w:val="0"/>
        <w:autoSpaceDN w:val="0"/>
        <w:adjustRightInd w:val="0"/>
        <w:ind w:firstLine="708"/>
        <w:jc w:val="both"/>
        <w:rPr>
          <w:rFonts w:ascii="Abadi" w:hAnsi="Abadi" w:cs="*Arial-5420-Identity-H"/>
          <w:color w:val="15141C"/>
          <w:sz w:val="21"/>
          <w:szCs w:val="21"/>
        </w:rPr>
      </w:pPr>
      <w:r w:rsidRPr="00D9374F">
        <w:rPr>
          <w:rFonts w:ascii="Abadi" w:hAnsi="Abadi" w:cs="*Arial-5420-Identity-H"/>
          <w:color w:val="15141C"/>
          <w:sz w:val="21"/>
          <w:szCs w:val="21"/>
        </w:rPr>
        <w:t>Por lo que hace a la capacidad del sujeto fiscalizado para garantizar una</w:t>
      </w:r>
      <w:r>
        <w:rPr>
          <w:rFonts w:ascii="Abadi" w:hAnsi="Abadi" w:cs="*Arial-5420-Identity-H"/>
          <w:color w:val="15141C"/>
          <w:sz w:val="21"/>
          <w:szCs w:val="21"/>
        </w:rPr>
        <w:t xml:space="preserve"> </w:t>
      </w:r>
      <w:r w:rsidRPr="00D9374F">
        <w:rPr>
          <w:rFonts w:ascii="Abadi" w:hAnsi="Abadi" w:cs="*Arial-5420-Identity-H"/>
          <w:color w:val="15141C"/>
          <w:sz w:val="21"/>
          <w:szCs w:val="21"/>
        </w:rPr>
        <w:t>prestación permanente y efectiva del servicio de alumbrado público, se analizó la</w:t>
      </w:r>
      <w:r>
        <w:rPr>
          <w:rFonts w:ascii="Abadi" w:hAnsi="Abadi" w:cs="*Arial-5420-Identity-H"/>
          <w:color w:val="15141C"/>
          <w:sz w:val="21"/>
          <w:szCs w:val="21"/>
        </w:rPr>
        <w:t xml:space="preserve"> </w:t>
      </w:r>
      <w:r w:rsidRPr="00D9374F">
        <w:rPr>
          <w:rFonts w:ascii="Abadi" w:hAnsi="Abadi" w:cs="*Arial-5420-Identity-H"/>
          <w:color w:val="15141C"/>
          <w:sz w:val="21"/>
          <w:szCs w:val="21"/>
        </w:rPr>
        <w:t>calidad de la información relativa a los logros en materia de mantenimiento, así</w:t>
      </w:r>
      <w:r>
        <w:rPr>
          <w:rFonts w:ascii="Abadi" w:hAnsi="Abadi" w:cs="*Arial-5420-Identity-H"/>
          <w:color w:val="15141C"/>
          <w:sz w:val="21"/>
          <w:szCs w:val="21"/>
        </w:rPr>
        <w:t xml:space="preserve"> </w:t>
      </w:r>
      <w:r w:rsidRPr="00D9374F">
        <w:rPr>
          <w:rFonts w:ascii="Abadi" w:hAnsi="Abadi" w:cs="*Arial-5420-Identity-H"/>
          <w:color w:val="15141C"/>
          <w:sz w:val="21"/>
          <w:szCs w:val="21"/>
        </w:rPr>
        <w:t>como la correspondiente a la cobertura y satisfacción ciudadana observándose</w:t>
      </w:r>
      <w:r>
        <w:rPr>
          <w:rFonts w:ascii="Abadi" w:hAnsi="Abadi" w:cs="*Arial-5420-Identity-H"/>
          <w:color w:val="15141C"/>
          <w:sz w:val="21"/>
          <w:szCs w:val="21"/>
        </w:rPr>
        <w:t xml:space="preserve"> </w:t>
      </w:r>
      <w:r w:rsidRPr="00D9374F">
        <w:rPr>
          <w:rFonts w:ascii="Abadi" w:hAnsi="Abadi" w:cs="*Arial-5420-Identity-H"/>
          <w:color w:val="15141C"/>
          <w:sz w:val="21"/>
          <w:szCs w:val="21"/>
        </w:rPr>
        <w:t>que la información integrada por el sujeto fiscalizado no permitió conocer la</w:t>
      </w:r>
      <w:r>
        <w:rPr>
          <w:rFonts w:ascii="Abadi" w:hAnsi="Abadi" w:cs="*Arial-5420-Identity-H"/>
          <w:color w:val="15141C"/>
          <w:sz w:val="21"/>
          <w:szCs w:val="21"/>
        </w:rPr>
        <w:t xml:space="preserve"> </w:t>
      </w:r>
      <w:r w:rsidRPr="00D9374F">
        <w:rPr>
          <w:rFonts w:ascii="Abadi" w:hAnsi="Abadi" w:cs="*Arial-5420-Identity-H"/>
          <w:color w:val="15141C"/>
          <w:sz w:val="21"/>
          <w:szCs w:val="21"/>
        </w:rPr>
        <w:t>eficiencia en la atención de los reportes de fallas, lo que limitó identificar la</w:t>
      </w:r>
      <w:r>
        <w:rPr>
          <w:rFonts w:ascii="Abadi" w:hAnsi="Abadi" w:cs="*Arial-5420-Identity-H"/>
          <w:color w:val="15141C"/>
          <w:sz w:val="21"/>
          <w:szCs w:val="21"/>
        </w:rPr>
        <w:t xml:space="preserve"> </w:t>
      </w:r>
      <w:r w:rsidRPr="00D9374F">
        <w:rPr>
          <w:rFonts w:ascii="Abadi" w:hAnsi="Abadi" w:cs="*Arial-5420-Identity-H"/>
          <w:color w:val="15141C"/>
          <w:sz w:val="21"/>
          <w:szCs w:val="21"/>
        </w:rPr>
        <w:t>oportunidad con la que se resolvieron dichos reportes, aun cuando reportó</w:t>
      </w:r>
      <w:r>
        <w:rPr>
          <w:rFonts w:ascii="Abadi" w:hAnsi="Abadi" w:cs="*Arial-5420-Identity-H"/>
          <w:color w:val="15141C"/>
          <w:sz w:val="21"/>
          <w:szCs w:val="21"/>
        </w:rPr>
        <w:t xml:space="preserve"> </w:t>
      </w:r>
      <w:r w:rsidRPr="00D9374F">
        <w:rPr>
          <w:rFonts w:ascii="Abadi" w:hAnsi="Abadi" w:cs="*Arial-5420-Identity-H"/>
          <w:color w:val="15141C"/>
          <w:sz w:val="21"/>
          <w:szCs w:val="21"/>
        </w:rPr>
        <w:t>atender, en 202</w:t>
      </w:r>
      <w:r w:rsidRPr="00D9374F">
        <w:rPr>
          <w:rFonts w:ascii="Abadi" w:hAnsi="Abadi" w:cs="*Arial-5420-Identity-H"/>
          <w:color w:val="B5B5B5"/>
          <w:sz w:val="21"/>
          <w:szCs w:val="21"/>
        </w:rPr>
        <w:t>.</w:t>
      </w:r>
      <w:r w:rsidRPr="00D9374F">
        <w:rPr>
          <w:rFonts w:ascii="Abadi" w:hAnsi="Abadi" w:cs="*Arial-5420-Identity-H"/>
          <w:color w:val="15141C"/>
          <w:sz w:val="21"/>
          <w:szCs w:val="21"/>
        </w:rPr>
        <w:t>0, 171 luminarias asociadas a 88 incidencias de falla.</w:t>
      </w:r>
      <w:r>
        <w:rPr>
          <w:rFonts w:ascii="Abadi" w:hAnsi="Abadi" w:cs="*Arial-5420-Identity-H"/>
          <w:color w:val="15141C"/>
          <w:sz w:val="21"/>
          <w:szCs w:val="21"/>
        </w:rPr>
        <w:t xml:space="preserve"> </w:t>
      </w:r>
    </w:p>
    <w:p w14:paraId="2F860666" w14:textId="77777777" w:rsidR="00C54578" w:rsidRPr="00D9374F" w:rsidRDefault="00C54578" w:rsidP="00C54578">
      <w:pPr>
        <w:autoSpaceDE w:val="0"/>
        <w:autoSpaceDN w:val="0"/>
        <w:adjustRightInd w:val="0"/>
        <w:ind w:firstLine="708"/>
        <w:jc w:val="both"/>
        <w:rPr>
          <w:rFonts w:ascii="Abadi" w:hAnsi="Abadi" w:cs="*Arial-5578-Identity-H"/>
          <w:color w:val="14131B"/>
          <w:sz w:val="21"/>
          <w:szCs w:val="21"/>
        </w:rPr>
      </w:pPr>
      <w:r w:rsidRPr="00D9374F">
        <w:rPr>
          <w:rFonts w:ascii="Abadi" w:hAnsi="Abadi" w:cs="*Arial-5578-Identity-H"/>
          <w:color w:val="14131B"/>
          <w:sz w:val="21"/>
          <w:szCs w:val="21"/>
        </w:rPr>
        <w:t>Además, la falta de información sistematizada, oportuna y confiable,</w:t>
      </w:r>
      <w:r>
        <w:rPr>
          <w:rFonts w:ascii="Abadi" w:hAnsi="Abadi" w:cs="*Arial-5578-Identity-H"/>
          <w:color w:val="14131B"/>
          <w:sz w:val="21"/>
          <w:szCs w:val="21"/>
        </w:rPr>
        <w:t xml:space="preserve"> </w:t>
      </w:r>
      <w:r w:rsidRPr="00D9374F">
        <w:rPr>
          <w:rFonts w:ascii="Abadi" w:hAnsi="Abadi" w:cs="*Arial-5578-Identity-H"/>
          <w:color w:val="14131B"/>
          <w:sz w:val="21"/>
          <w:szCs w:val="21"/>
        </w:rPr>
        <w:t>respecto de la totalidad de luminarias instaladas, tanto en la cabecera como en las</w:t>
      </w:r>
      <w:r>
        <w:rPr>
          <w:rFonts w:ascii="Abadi" w:hAnsi="Abadi" w:cs="*Arial-5578-Identity-H"/>
          <w:color w:val="14131B"/>
          <w:sz w:val="21"/>
          <w:szCs w:val="21"/>
        </w:rPr>
        <w:t xml:space="preserve"> </w:t>
      </w:r>
      <w:r w:rsidRPr="00D9374F">
        <w:rPr>
          <w:rFonts w:ascii="Abadi" w:hAnsi="Abadi" w:cs="*Arial-5578-Identity-H"/>
          <w:color w:val="14131B"/>
          <w:sz w:val="21"/>
          <w:szCs w:val="21"/>
        </w:rPr>
        <w:t>localidades que integran al Municipio, y de una metodología para la determinación</w:t>
      </w:r>
      <w:r>
        <w:rPr>
          <w:rFonts w:ascii="Abadi" w:hAnsi="Abadi" w:cs="*Arial-5578-Identity-H"/>
          <w:color w:val="14131B"/>
          <w:sz w:val="21"/>
          <w:szCs w:val="21"/>
        </w:rPr>
        <w:t xml:space="preserve"> </w:t>
      </w:r>
      <w:r w:rsidRPr="00D9374F">
        <w:rPr>
          <w:rFonts w:ascii="Abadi" w:hAnsi="Abadi" w:cs="*Arial-5578-Identity-H"/>
          <w:color w:val="14131B"/>
          <w:sz w:val="21"/>
          <w:szCs w:val="21"/>
        </w:rPr>
        <w:t>de la cobertura, impidió conocer en qué medida el sujeto fiscalizado logró la</w:t>
      </w:r>
      <w:r>
        <w:rPr>
          <w:rFonts w:ascii="Abadi" w:hAnsi="Abadi" w:cs="*Arial-5578-Identity-H"/>
          <w:color w:val="14131B"/>
          <w:sz w:val="21"/>
          <w:szCs w:val="21"/>
        </w:rPr>
        <w:t xml:space="preserve"> </w:t>
      </w:r>
      <w:r w:rsidRPr="00D9374F">
        <w:rPr>
          <w:rFonts w:ascii="Abadi" w:hAnsi="Abadi" w:cs="*Arial-5578-Identity-H"/>
          <w:color w:val="14131B"/>
          <w:sz w:val="21"/>
          <w:szCs w:val="21"/>
        </w:rPr>
        <w:t>consecución de sus objetivos, en términos de la cobertura de la prestación del</w:t>
      </w:r>
    </w:p>
    <w:p w14:paraId="43B04521" w14:textId="77777777" w:rsidR="00C54578" w:rsidRDefault="00C54578" w:rsidP="00C54578">
      <w:pPr>
        <w:autoSpaceDE w:val="0"/>
        <w:autoSpaceDN w:val="0"/>
        <w:adjustRightInd w:val="0"/>
        <w:jc w:val="both"/>
        <w:rPr>
          <w:rFonts w:ascii="Abadi" w:hAnsi="Abadi" w:cs="*Arial-5578-Identity-H"/>
          <w:color w:val="14131B"/>
          <w:sz w:val="21"/>
          <w:szCs w:val="21"/>
        </w:rPr>
      </w:pPr>
      <w:r w:rsidRPr="00D9374F">
        <w:rPr>
          <w:rFonts w:ascii="Abadi" w:hAnsi="Abadi" w:cs="*Arial-5578-Identity-H"/>
          <w:color w:val="14131B"/>
          <w:sz w:val="21"/>
          <w:szCs w:val="21"/>
        </w:rPr>
        <w:t>servicio de alumbrado público a los habitantes del Municipio.</w:t>
      </w:r>
    </w:p>
    <w:p w14:paraId="5C58E72A" w14:textId="77777777" w:rsidR="00C54578" w:rsidRPr="00D9374F" w:rsidRDefault="00C54578" w:rsidP="00C54578">
      <w:pPr>
        <w:autoSpaceDE w:val="0"/>
        <w:autoSpaceDN w:val="0"/>
        <w:adjustRightInd w:val="0"/>
        <w:jc w:val="both"/>
        <w:rPr>
          <w:rFonts w:ascii="Abadi" w:hAnsi="Abadi" w:cs="*Arial-5578-Identity-H"/>
          <w:color w:val="14131B"/>
          <w:sz w:val="21"/>
          <w:szCs w:val="21"/>
        </w:rPr>
      </w:pPr>
    </w:p>
    <w:p w14:paraId="59A930D7" w14:textId="77777777" w:rsidR="00C54578" w:rsidRDefault="00C54578" w:rsidP="00C54578">
      <w:pPr>
        <w:autoSpaceDE w:val="0"/>
        <w:autoSpaceDN w:val="0"/>
        <w:adjustRightInd w:val="0"/>
        <w:ind w:firstLine="708"/>
        <w:jc w:val="both"/>
        <w:rPr>
          <w:rFonts w:ascii="Abadi" w:hAnsi="Abadi" w:cs="*Arial-5578-Identity-H"/>
          <w:color w:val="14131B"/>
          <w:sz w:val="21"/>
          <w:szCs w:val="21"/>
        </w:rPr>
      </w:pPr>
      <w:r w:rsidRPr="00D9374F">
        <w:rPr>
          <w:rFonts w:ascii="Abadi" w:hAnsi="Abadi" w:cs="*Arial-5578-Identity-H"/>
          <w:color w:val="14131B"/>
          <w:sz w:val="21"/>
          <w:szCs w:val="21"/>
        </w:rPr>
        <w:t>Asimismo, en 2020, el sujeto fiscalizado careció de mecanismos para medir</w:t>
      </w:r>
      <w:r>
        <w:rPr>
          <w:rFonts w:ascii="Abadi" w:hAnsi="Abadi" w:cs="*Arial-5578-Identity-H"/>
          <w:color w:val="14131B"/>
          <w:sz w:val="21"/>
          <w:szCs w:val="21"/>
        </w:rPr>
        <w:t xml:space="preserve"> </w:t>
      </w:r>
      <w:r w:rsidRPr="00D9374F">
        <w:rPr>
          <w:rFonts w:ascii="Abadi" w:hAnsi="Abadi" w:cs="*Arial-5578-Identity-H"/>
          <w:color w:val="14131B"/>
          <w:sz w:val="21"/>
          <w:szCs w:val="21"/>
        </w:rPr>
        <w:t>la percepción de los ciudadanos respecto de la calidad del servicio público no</w:t>
      </w:r>
      <w:r>
        <w:rPr>
          <w:rFonts w:ascii="Abadi" w:hAnsi="Abadi" w:cs="*Arial-5578-Identity-H"/>
          <w:color w:val="14131B"/>
          <w:sz w:val="21"/>
          <w:szCs w:val="21"/>
        </w:rPr>
        <w:t xml:space="preserve"> </w:t>
      </w:r>
      <w:r w:rsidRPr="00D9374F">
        <w:rPr>
          <w:rFonts w:ascii="Abadi" w:hAnsi="Abadi" w:cs="*Arial-5578-Identity-H"/>
          <w:color w:val="14131B"/>
          <w:sz w:val="21"/>
          <w:szCs w:val="21"/>
        </w:rPr>
        <w:t xml:space="preserve">obstante que su Programa de Gobierno 2018-2021 incluyó la meta </w:t>
      </w:r>
      <w:r w:rsidRPr="00D9374F">
        <w:rPr>
          <w:rFonts w:ascii="Abadi" w:hAnsi="Abadi" w:cs="*Arial-Italic-5579-Identity-H"/>
          <w:i/>
          <w:iCs/>
          <w:color w:val="14131B"/>
          <w:sz w:val="21"/>
          <w:szCs w:val="21"/>
        </w:rPr>
        <w:t>percepción</w:t>
      </w:r>
      <w:r>
        <w:rPr>
          <w:rFonts w:ascii="Abadi" w:hAnsi="Abadi" w:cs="*Arial-Italic-5579-Identity-H"/>
          <w:i/>
          <w:iCs/>
          <w:color w:val="14131B"/>
          <w:sz w:val="21"/>
          <w:szCs w:val="21"/>
        </w:rPr>
        <w:t xml:space="preserve"> </w:t>
      </w:r>
      <w:r w:rsidRPr="00D9374F">
        <w:rPr>
          <w:rFonts w:ascii="Abadi" w:hAnsi="Abadi" w:cs="*Arial-Italic-5579-Identity-H"/>
          <w:i/>
          <w:iCs/>
          <w:color w:val="14131B"/>
          <w:sz w:val="21"/>
          <w:szCs w:val="21"/>
        </w:rPr>
        <w:t>ciudadana Contar con una calificación ciudadana en términos de imagen urbana</w:t>
      </w:r>
      <w:r>
        <w:rPr>
          <w:rFonts w:ascii="Abadi" w:hAnsi="Abadi" w:cs="*Arial-Italic-5579-Identity-H"/>
          <w:i/>
          <w:iCs/>
          <w:color w:val="14131B"/>
          <w:sz w:val="21"/>
          <w:szCs w:val="21"/>
        </w:rPr>
        <w:t xml:space="preserve"> </w:t>
      </w:r>
      <w:r w:rsidRPr="00D9374F">
        <w:rPr>
          <w:rFonts w:ascii="Abadi" w:hAnsi="Abadi" w:cs="*Arial-Italic-5579-Identity-H"/>
          <w:i/>
          <w:iCs/>
          <w:color w:val="14131B"/>
          <w:sz w:val="21"/>
          <w:szCs w:val="21"/>
        </w:rPr>
        <w:t xml:space="preserve">de mínimo 8, </w:t>
      </w:r>
      <w:r w:rsidRPr="00D9374F">
        <w:rPr>
          <w:rFonts w:ascii="Abadi" w:hAnsi="Abadi" w:cs="*Arial-5578-Identity-H"/>
          <w:color w:val="14131B"/>
          <w:sz w:val="21"/>
          <w:szCs w:val="21"/>
        </w:rPr>
        <w:t>lo que denotó la falta de mecanismos de control para asegurar el</w:t>
      </w:r>
      <w:r>
        <w:rPr>
          <w:rFonts w:ascii="Abadi" w:hAnsi="Abadi" w:cs="*Arial-5578-Identity-H"/>
          <w:color w:val="14131B"/>
          <w:sz w:val="21"/>
          <w:szCs w:val="21"/>
        </w:rPr>
        <w:t xml:space="preserve"> </w:t>
      </w:r>
      <w:r w:rsidRPr="00D9374F">
        <w:rPr>
          <w:rFonts w:ascii="Abadi" w:hAnsi="Abadi" w:cs="*Arial-5578-Identity-H"/>
          <w:color w:val="14131B"/>
          <w:sz w:val="21"/>
          <w:szCs w:val="21"/>
        </w:rPr>
        <w:t>cumplimiento de los objetivos y metas vinculados con el alumbrado público.</w:t>
      </w:r>
    </w:p>
    <w:p w14:paraId="4AC3883D" w14:textId="77777777" w:rsidR="00C54578" w:rsidRPr="00D9374F" w:rsidRDefault="00C54578" w:rsidP="00C54578">
      <w:pPr>
        <w:autoSpaceDE w:val="0"/>
        <w:autoSpaceDN w:val="0"/>
        <w:adjustRightInd w:val="0"/>
        <w:jc w:val="both"/>
        <w:rPr>
          <w:rFonts w:ascii="Abadi" w:hAnsi="Abadi" w:cs="*Arial-5578-Identity-H"/>
          <w:color w:val="14131B"/>
          <w:sz w:val="21"/>
          <w:szCs w:val="21"/>
        </w:rPr>
      </w:pPr>
    </w:p>
    <w:p w14:paraId="4A4E67B9" w14:textId="77777777" w:rsidR="00C54578" w:rsidRDefault="00C54578" w:rsidP="00C54578">
      <w:pPr>
        <w:autoSpaceDE w:val="0"/>
        <w:autoSpaceDN w:val="0"/>
        <w:adjustRightInd w:val="0"/>
        <w:ind w:firstLine="708"/>
        <w:jc w:val="both"/>
        <w:rPr>
          <w:rFonts w:ascii="Abadi" w:hAnsi="Abadi" w:cs="*Arial-5578-Identity-H"/>
          <w:color w:val="14131A"/>
          <w:sz w:val="21"/>
          <w:szCs w:val="21"/>
        </w:rPr>
      </w:pPr>
      <w:r w:rsidRPr="00D9374F">
        <w:rPr>
          <w:rFonts w:ascii="Abadi" w:hAnsi="Abadi" w:cs="*Arial-5578-Identity-H"/>
          <w:color w:val="14131A"/>
          <w:sz w:val="21"/>
          <w:szCs w:val="21"/>
        </w:rPr>
        <w:t>En el caso de la función de seguimiento, la revisión se enfocó en constatar</w:t>
      </w:r>
      <w:r>
        <w:rPr>
          <w:rFonts w:ascii="Abadi" w:hAnsi="Abadi" w:cs="*Arial-5578-Identity-H"/>
          <w:color w:val="14131A"/>
          <w:sz w:val="21"/>
          <w:szCs w:val="21"/>
        </w:rPr>
        <w:t xml:space="preserve"> </w:t>
      </w:r>
      <w:r w:rsidRPr="00D9374F">
        <w:rPr>
          <w:rFonts w:ascii="Abadi" w:hAnsi="Abadi" w:cs="*Arial-5578-Identity-H"/>
          <w:color w:val="14131A"/>
          <w:sz w:val="21"/>
          <w:szCs w:val="21"/>
        </w:rPr>
        <w:t>si el sujeto fiscalizado contó con mecanismos que permitieran medir el desempeño</w:t>
      </w:r>
      <w:r>
        <w:rPr>
          <w:rFonts w:ascii="Abadi" w:hAnsi="Abadi" w:cs="*Arial-5578-Identity-H"/>
          <w:color w:val="14131A"/>
          <w:sz w:val="21"/>
          <w:szCs w:val="21"/>
        </w:rPr>
        <w:t xml:space="preserve"> </w:t>
      </w:r>
      <w:r w:rsidRPr="00D9374F">
        <w:rPr>
          <w:rFonts w:ascii="Abadi" w:hAnsi="Abadi" w:cs="*Arial-5578-Identity-H"/>
          <w:color w:val="14131A"/>
          <w:sz w:val="21"/>
          <w:szCs w:val="21"/>
        </w:rPr>
        <w:t>y los resultados del servicio de alumbrado público, obteniendo como principal</w:t>
      </w:r>
      <w:r>
        <w:rPr>
          <w:rFonts w:ascii="Abadi" w:hAnsi="Abadi" w:cs="*Arial-5578-Identity-H"/>
          <w:color w:val="14131A"/>
          <w:sz w:val="21"/>
          <w:szCs w:val="21"/>
        </w:rPr>
        <w:t xml:space="preserve"> </w:t>
      </w:r>
      <w:r w:rsidRPr="00D9374F">
        <w:rPr>
          <w:rFonts w:ascii="Abadi" w:hAnsi="Abadi" w:cs="*Arial-5578-Identity-H"/>
          <w:color w:val="14131A"/>
          <w:sz w:val="21"/>
          <w:szCs w:val="21"/>
        </w:rPr>
        <w:t>hallazgo que la instancia responsable no contó con mecanismos que permitieran</w:t>
      </w:r>
      <w:r>
        <w:rPr>
          <w:rFonts w:ascii="Abadi" w:hAnsi="Abadi" w:cs="*Arial-5578-Identity-H"/>
          <w:color w:val="14131A"/>
          <w:sz w:val="21"/>
          <w:szCs w:val="21"/>
        </w:rPr>
        <w:t xml:space="preserve"> </w:t>
      </w:r>
      <w:r w:rsidRPr="00D9374F">
        <w:rPr>
          <w:rFonts w:ascii="Abadi" w:hAnsi="Abadi" w:cs="*Arial-5578-Identity-H"/>
          <w:color w:val="14131A"/>
          <w:sz w:val="21"/>
          <w:szCs w:val="21"/>
        </w:rPr>
        <w:t>realizar un monitoreo y evaluación sobre la eficiencia, eficacia y calidad del</w:t>
      </w:r>
      <w:r>
        <w:rPr>
          <w:rFonts w:ascii="Abadi" w:hAnsi="Abadi" w:cs="*Arial-5578-Identity-H"/>
          <w:color w:val="14131A"/>
          <w:sz w:val="21"/>
          <w:szCs w:val="21"/>
        </w:rPr>
        <w:t xml:space="preserve"> </w:t>
      </w:r>
      <w:r w:rsidRPr="00D9374F">
        <w:rPr>
          <w:rFonts w:ascii="Abadi" w:hAnsi="Abadi" w:cs="*Arial-5578-Identity-H"/>
          <w:color w:val="14131A"/>
          <w:sz w:val="21"/>
          <w:szCs w:val="21"/>
        </w:rPr>
        <w:t>servicio de alumbrado público, lo cual limitó la evaluación en el desempeño del</w:t>
      </w:r>
      <w:r>
        <w:rPr>
          <w:rFonts w:ascii="Abadi" w:hAnsi="Abadi" w:cs="*Arial-5578-Identity-H"/>
          <w:color w:val="14131A"/>
          <w:sz w:val="21"/>
          <w:szCs w:val="21"/>
        </w:rPr>
        <w:t xml:space="preserve"> </w:t>
      </w:r>
      <w:r w:rsidRPr="00D9374F">
        <w:rPr>
          <w:rFonts w:ascii="Abadi" w:hAnsi="Abadi" w:cs="*Arial-5578-Identity-H"/>
          <w:color w:val="14131A"/>
          <w:sz w:val="21"/>
          <w:szCs w:val="21"/>
        </w:rPr>
        <w:t>Municipio con elementos medibles, en términos de relevancia y pertinencia de las</w:t>
      </w:r>
      <w:r>
        <w:rPr>
          <w:rFonts w:ascii="Abadi" w:hAnsi="Abadi" w:cs="*Arial-5578-Identity-H"/>
          <w:color w:val="14131A"/>
          <w:sz w:val="21"/>
          <w:szCs w:val="21"/>
        </w:rPr>
        <w:t xml:space="preserve"> </w:t>
      </w:r>
      <w:r w:rsidRPr="00D9374F">
        <w:rPr>
          <w:rFonts w:ascii="Abadi" w:hAnsi="Abadi" w:cs="*Arial-5578-Identity-H"/>
          <w:color w:val="14131A"/>
          <w:sz w:val="21"/>
          <w:szCs w:val="21"/>
        </w:rPr>
        <w:t>acciones realizadas por el Ayuntamiento en la prestación del servicio de</w:t>
      </w:r>
      <w:r>
        <w:rPr>
          <w:rFonts w:ascii="Abadi" w:hAnsi="Abadi" w:cs="*Arial-5578-Identity-H"/>
          <w:color w:val="14131A"/>
          <w:sz w:val="21"/>
          <w:szCs w:val="21"/>
        </w:rPr>
        <w:t xml:space="preserve"> </w:t>
      </w:r>
      <w:r w:rsidRPr="00D9374F">
        <w:rPr>
          <w:rFonts w:ascii="Abadi" w:hAnsi="Abadi" w:cs="*Arial-5578-Identity-H"/>
          <w:color w:val="14131A"/>
          <w:sz w:val="21"/>
          <w:szCs w:val="21"/>
        </w:rPr>
        <w:t>alumbrado público. Si bien, el sujeto fiscalizado contó con un documento en el que</w:t>
      </w:r>
      <w:r>
        <w:rPr>
          <w:rFonts w:ascii="Abadi" w:hAnsi="Abadi" w:cs="*Arial-5578-Identity-H"/>
          <w:color w:val="14131A"/>
          <w:sz w:val="21"/>
          <w:szCs w:val="21"/>
        </w:rPr>
        <w:t xml:space="preserve"> </w:t>
      </w:r>
      <w:r w:rsidRPr="00D9374F">
        <w:rPr>
          <w:rFonts w:ascii="Abadi" w:hAnsi="Abadi" w:cs="*Arial-5578-Identity-H"/>
          <w:color w:val="14131A"/>
          <w:sz w:val="21"/>
          <w:szCs w:val="21"/>
        </w:rPr>
        <w:t>se incluyeron indicadores semejantes a los de una Matriz de Indicadores para</w:t>
      </w:r>
      <w:r>
        <w:rPr>
          <w:rFonts w:ascii="Abadi" w:hAnsi="Abadi" w:cs="*Arial-5578-Identity-H"/>
          <w:color w:val="14131A"/>
          <w:sz w:val="21"/>
          <w:szCs w:val="21"/>
        </w:rPr>
        <w:t xml:space="preserve"> </w:t>
      </w:r>
      <w:r w:rsidRPr="00D9374F">
        <w:rPr>
          <w:rFonts w:ascii="Abadi" w:hAnsi="Abadi" w:cs="*Arial-5578-Identity-H"/>
          <w:color w:val="14131A"/>
          <w:sz w:val="21"/>
          <w:szCs w:val="21"/>
        </w:rPr>
        <w:t>Resultados, estos no cumplieron con los requisitos mínimos para funcionar de</w:t>
      </w:r>
      <w:r>
        <w:rPr>
          <w:rFonts w:ascii="Abadi" w:hAnsi="Abadi" w:cs="*Arial-5578-Identity-H"/>
          <w:color w:val="14131A"/>
          <w:sz w:val="21"/>
          <w:szCs w:val="21"/>
        </w:rPr>
        <w:t xml:space="preserve"> </w:t>
      </w:r>
      <w:r w:rsidRPr="00D9374F">
        <w:rPr>
          <w:rFonts w:ascii="Abadi" w:hAnsi="Abadi" w:cs="*Arial-5578-Identity-H"/>
          <w:color w:val="14131A"/>
          <w:sz w:val="21"/>
          <w:szCs w:val="21"/>
        </w:rPr>
        <w:t>manera idónea. Además, el sujeto fiscalizado no acreditó utilizar el referido</w:t>
      </w:r>
      <w:r>
        <w:rPr>
          <w:rFonts w:ascii="Abadi" w:hAnsi="Abadi" w:cs="*Arial-5578-Identity-H"/>
          <w:color w:val="14131A"/>
          <w:sz w:val="21"/>
          <w:szCs w:val="21"/>
        </w:rPr>
        <w:t xml:space="preserve"> </w:t>
      </w:r>
      <w:r w:rsidRPr="00D9374F">
        <w:rPr>
          <w:rFonts w:ascii="Abadi" w:hAnsi="Abadi" w:cs="*Arial-5578-Identity-H"/>
          <w:color w:val="14131A"/>
          <w:sz w:val="21"/>
          <w:szCs w:val="21"/>
        </w:rPr>
        <w:t>instrumento, ni reportó resultados de los indicadores proporcionados.</w:t>
      </w:r>
      <w:r>
        <w:rPr>
          <w:rFonts w:ascii="Abadi" w:hAnsi="Abadi" w:cs="*Arial-5578-Identity-H"/>
          <w:color w:val="14131A"/>
          <w:sz w:val="21"/>
          <w:szCs w:val="21"/>
        </w:rPr>
        <w:t xml:space="preserve"> </w:t>
      </w:r>
    </w:p>
    <w:p w14:paraId="3CEDFCB3" w14:textId="77777777" w:rsidR="00C54578" w:rsidRDefault="00C54578" w:rsidP="00C54578">
      <w:pPr>
        <w:autoSpaceDE w:val="0"/>
        <w:autoSpaceDN w:val="0"/>
        <w:adjustRightInd w:val="0"/>
        <w:ind w:firstLine="708"/>
        <w:jc w:val="both"/>
        <w:rPr>
          <w:rFonts w:ascii="Abadi" w:hAnsi="Abadi" w:cs="*Arial-5578-Identity-H"/>
          <w:color w:val="14131A"/>
          <w:sz w:val="21"/>
          <w:szCs w:val="21"/>
        </w:rPr>
      </w:pPr>
    </w:p>
    <w:p w14:paraId="1104265D" w14:textId="77777777" w:rsidR="00C54578" w:rsidRDefault="00C54578" w:rsidP="00C54578">
      <w:pPr>
        <w:autoSpaceDE w:val="0"/>
        <w:autoSpaceDN w:val="0"/>
        <w:adjustRightInd w:val="0"/>
        <w:ind w:firstLine="708"/>
        <w:jc w:val="both"/>
        <w:rPr>
          <w:rFonts w:ascii="Abadi" w:hAnsi="Abadi" w:cs="*Arial-5578-Identity-H"/>
          <w:color w:val="14131B"/>
          <w:sz w:val="21"/>
          <w:szCs w:val="21"/>
        </w:rPr>
      </w:pPr>
      <w:r w:rsidRPr="00D9374F">
        <w:rPr>
          <w:rFonts w:ascii="Abadi" w:hAnsi="Abadi" w:cs="*Arial-5578-Identity-H"/>
          <w:color w:val="14131B"/>
          <w:sz w:val="21"/>
          <w:szCs w:val="21"/>
        </w:rPr>
        <w:t>Derivado de las oportunidades referidas, se reconoce que la administración</w:t>
      </w:r>
      <w:r>
        <w:rPr>
          <w:rFonts w:ascii="Abadi" w:hAnsi="Abadi" w:cs="*Arial-5578-Identity-H"/>
          <w:color w:val="14131B"/>
          <w:sz w:val="21"/>
          <w:szCs w:val="21"/>
        </w:rPr>
        <w:t xml:space="preserve"> </w:t>
      </w:r>
      <w:r w:rsidRPr="00D9374F">
        <w:rPr>
          <w:rFonts w:ascii="Abadi" w:hAnsi="Abadi" w:cs="*Arial-5578-Identity-H"/>
          <w:color w:val="14131B"/>
          <w:sz w:val="21"/>
          <w:szCs w:val="21"/>
        </w:rPr>
        <w:t>pública municipal de Ocampo, Gto., presentó una postura proactiva, asumiendo</w:t>
      </w:r>
      <w:r>
        <w:rPr>
          <w:rFonts w:ascii="Abadi" w:hAnsi="Abadi" w:cs="*Arial-5578-Identity-H"/>
          <w:color w:val="14131B"/>
          <w:sz w:val="21"/>
          <w:szCs w:val="21"/>
        </w:rPr>
        <w:t xml:space="preserve"> </w:t>
      </w:r>
      <w:r w:rsidRPr="00D9374F">
        <w:rPr>
          <w:rFonts w:ascii="Abadi" w:hAnsi="Abadi" w:cs="*Arial-5578-Identity-H"/>
          <w:color w:val="14131B"/>
          <w:sz w:val="21"/>
          <w:szCs w:val="21"/>
        </w:rPr>
        <w:t>compromisos para mejorar la operación de la prestación del servicio de alumbrado</w:t>
      </w:r>
      <w:r>
        <w:rPr>
          <w:rFonts w:ascii="Abadi" w:hAnsi="Abadi" w:cs="*Arial-5578-Identity-H"/>
          <w:color w:val="14131B"/>
          <w:sz w:val="21"/>
          <w:szCs w:val="21"/>
        </w:rPr>
        <w:t xml:space="preserve"> </w:t>
      </w:r>
      <w:r w:rsidRPr="00D9374F">
        <w:rPr>
          <w:rFonts w:ascii="Abadi" w:hAnsi="Abadi" w:cs="*Arial-5578-Identity-H"/>
          <w:color w:val="14131B"/>
          <w:sz w:val="21"/>
          <w:szCs w:val="21"/>
        </w:rPr>
        <w:t>público.</w:t>
      </w:r>
    </w:p>
    <w:p w14:paraId="67406E43" w14:textId="77777777" w:rsidR="00C54578" w:rsidRPr="00D9374F" w:rsidRDefault="00C54578" w:rsidP="00C54578">
      <w:pPr>
        <w:autoSpaceDE w:val="0"/>
        <w:autoSpaceDN w:val="0"/>
        <w:adjustRightInd w:val="0"/>
        <w:jc w:val="both"/>
        <w:rPr>
          <w:rFonts w:ascii="Abadi" w:hAnsi="Abadi" w:cs="*Arial-5578-Identity-H"/>
          <w:color w:val="14131B"/>
          <w:sz w:val="21"/>
          <w:szCs w:val="21"/>
        </w:rPr>
      </w:pPr>
    </w:p>
    <w:p w14:paraId="2DD2EE30" w14:textId="77777777" w:rsidR="00C54578" w:rsidRDefault="00C54578" w:rsidP="00C54578">
      <w:pPr>
        <w:autoSpaceDE w:val="0"/>
        <w:autoSpaceDN w:val="0"/>
        <w:adjustRightInd w:val="0"/>
        <w:ind w:firstLine="708"/>
        <w:jc w:val="both"/>
        <w:rPr>
          <w:rFonts w:ascii="Abadi" w:hAnsi="Abadi" w:cs="*Arial-4954-Identity-H"/>
          <w:color w:val="14131B"/>
          <w:sz w:val="21"/>
          <w:szCs w:val="21"/>
        </w:rPr>
      </w:pPr>
      <w:r w:rsidRPr="00D9374F">
        <w:rPr>
          <w:rFonts w:ascii="Abadi" w:hAnsi="Abadi" w:cs="*Arial-4954-Identity-H"/>
          <w:color w:val="14131B"/>
          <w:sz w:val="21"/>
          <w:szCs w:val="21"/>
        </w:rPr>
        <w:t>Finalmente, se establece que, de atenderse la totalidad de las</w:t>
      </w:r>
      <w:r>
        <w:rPr>
          <w:rFonts w:ascii="Abadi" w:hAnsi="Abadi" w:cs="*Arial-4954-Identity-H"/>
          <w:color w:val="14131B"/>
          <w:sz w:val="21"/>
          <w:szCs w:val="21"/>
        </w:rPr>
        <w:t xml:space="preserve"> </w:t>
      </w:r>
      <w:r w:rsidRPr="00D9374F">
        <w:rPr>
          <w:rFonts w:ascii="Abadi" w:hAnsi="Abadi" w:cs="*Arial-4954-Identity-H"/>
          <w:color w:val="14131B"/>
          <w:sz w:val="21"/>
          <w:szCs w:val="21"/>
        </w:rPr>
        <w:t>recomendaciones formuladas, el sujeto fiscalizado estará en condiciones de</w:t>
      </w:r>
      <w:r>
        <w:rPr>
          <w:rFonts w:ascii="Abadi" w:hAnsi="Abadi" w:cs="*Arial-4954-Identity-H"/>
          <w:color w:val="14131B"/>
          <w:sz w:val="21"/>
          <w:szCs w:val="21"/>
        </w:rPr>
        <w:t xml:space="preserve"> </w:t>
      </w:r>
      <w:r w:rsidRPr="00D9374F">
        <w:rPr>
          <w:rFonts w:ascii="Abadi" w:hAnsi="Abadi" w:cs="*Arial-4954-Identity-H"/>
          <w:color w:val="14131B"/>
          <w:sz w:val="21"/>
          <w:szCs w:val="21"/>
        </w:rPr>
        <w:t>mejorar la gestión pública municipal al fortalecer la prestación del servicio de</w:t>
      </w:r>
      <w:r>
        <w:rPr>
          <w:rFonts w:ascii="Abadi" w:hAnsi="Abadi" w:cs="*Arial-4954-Identity-H"/>
          <w:color w:val="14131B"/>
          <w:sz w:val="21"/>
          <w:szCs w:val="21"/>
        </w:rPr>
        <w:t xml:space="preserve"> </w:t>
      </w:r>
      <w:r w:rsidRPr="00D9374F">
        <w:rPr>
          <w:rFonts w:ascii="Abadi" w:hAnsi="Abadi" w:cs="*Arial-4954-Identity-H"/>
          <w:color w:val="14131B"/>
          <w:sz w:val="21"/>
          <w:szCs w:val="21"/>
        </w:rPr>
        <w:t>alumbrado público con una mayor orientación a los principios de eficiencia y</w:t>
      </w:r>
      <w:r>
        <w:rPr>
          <w:rFonts w:ascii="Abadi" w:hAnsi="Abadi" w:cs="*Arial-4954-Identity-H"/>
          <w:color w:val="14131B"/>
          <w:sz w:val="21"/>
          <w:szCs w:val="21"/>
        </w:rPr>
        <w:t xml:space="preserve"> </w:t>
      </w:r>
      <w:r w:rsidRPr="00D9374F">
        <w:rPr>
          <w:rFonts w:ascii="Abadi" w:hAnsi="Abadi" w:cs="*Arial-4954-Identity-H"/>
          <w:color w:val="14131B"/>
          <w:sz w:val="21"/>
          <w:szCs w:val="21"/>
        </w:rPr>
        <w:t>eficacia, por el contrario, la no atención a lo recomendado mantendría los</w:t>
      </w:r>
      <w:r>
        <w:rPr>
          <w:rFonts w:ascii="Abadi" w:hAnsi="Abadi" w:cs="*Arial-4954-Identity-H"/>
          <w:color w:val="14131B"/>
          <w:sz w:val="21"/>
          <w:szCs w:val="21"/>
        </w:rPr>
        <w:t xml:space="preserve"> </w:t>
      </w:r>
      <w:r w:rsidRPr="00D9374F">
        <w:rPr>
          <w:rFonts w:ascii="Abadi" w:hAnsi="Abadi" w:cs="*Arial-4954-Identity-H"/>
          <w:color w:val="14131B"/>
          <w:sz w:val="21"/>
          <w:szCs w:val="21"/>
        </w:rPr>
        <w:t>hallazgos observados lo que incrementaría el riesgo de otorgar un servicio</w:t>
      </w:r>
      <w:r>
        <w:rPr>
          <w:rFonts w:ascii="Abadi" w:hAnsi="Abadi" w:cs="*Arial-4954-Identity-H"/>
          <w:color w:val="14131B"/>
          <w:sz w:val="21"/>
          <w:szCs w:val="21"/>
        </w:rPr>
        <w:t xml:space="preserve"> </w:t>
      </w:r>
      <w:r w:rsidRPr="00D9374F">
        <w:rPr>
          <w:rFonts w:ascii="Abadi" w:hAnsi="Abadi" w:cs="*Arial-4954-Identity-H"/>
          <w:color w:val="14131B"/>
          <w:sz w:val="21"/>
          <w:szCs w:val="21"/>
        </w:rPr>
        <w:t>ineficiente e ineficaz.</w:t>
      </w:r>
    </w:p>
    <w:p w14:paraId="100865DB" w14:textId="77777777" w:rsidR="00C54578" w:rsidRPr="00D9374F" w:rsidRDefault="00C54578" w:rsidP="00C54578">
      <w:pPr>
        <w:autoSpaceDE w:val="0"/>
        <w:autoSpaceDN w:val="0"/>
        <w:adjustRightInd w:val="0"/>
        <w:jc w:val="both"/>
        <w:rPr>
          <w:rFonts w:ascii="Abadi" w:hAnsi="Abadi" w:cs="*Arial-4954-Identity-H"/>
          <w:color w:val="14131B"/>
          <w:sz w:val="21"/>
          <w:szCs w:val="21"/>
        </w:rPr>
      </w:pPr>
    </w:p>
    <w:p w14:paraId="2D3841CD" w14:textId="77777777" w:rsidR="00C54578" w:rsidRPr="00D9374F" w:rsidRDefault="00C54578" w:rsidP="00C54578">
      <w:pPr>
        <w:autoSpaceDE w:val="0"/>
        <w:autoSpaceDN w:val="0"/>
        <w:adjustRightInd w:val="0"/>
        <w:ind w:firstLine="708"/>
        <w:jc w:val="both"/>
        <w:rPr>
          <w:rFonts w:ascii="Abadi" w:hAnsi="Abadi" w:cs="*Arial-4954-Identity-H"/>
          <w:color w:val="14131C"/>
          <w:sz w:val="21"/>
          <w:szCs w:val="21"/>
        </w:rPr>
      </w:pPr>
      <w:r w:rsidRPr="00D9374F">
        <w:rPr>
          <w:rFonts w:ascii="Abadi" w:hAnsi="Abadi" w:cs="*Arial-4954-Identity-H"/>
          <w:color w:val="14131C"/>
          <w:sz w:val="21"/>
          <w:szCs w:val="21"/>
        </w:rPr>
        <w:t>El seguimiento de dichos compromisos se realizará por la Auditoría</w:t>
      </w:r>
      <w:r>
        <w:rPr>
          <w:rFonts w:ascii="Abadi" w:hAnsi="Abadi" w:cs="*Arial-4954-Identity-H"/>
          <w:color w:val="14131C"/>
          <w:sz w:val="21"/>
          <w:szCs w:val="21"/>
        </w:rPr>
        <w:t xml:space="preserve"> </w:t>
      </w:r>
      <w:r w:rsidRPr="00D9374F">
        <w:rPr>
          <w:rFonts w:ascii="Abadi" w:hAnsi="Abadi" w:cs="*Arial-4954-Identity-H"/>
          <w:color w:val="14131C"/>
          <w:sz w:val="21"/>
          <w:szCs w:val="21"/>
        </w:rPr>
        <w:t>Superior del Estado, respecto de las recomendaciones donde se valora que el</w:t>
      </w:r>
      <w:r>
        <w:rPr>
          <w:rFonts w:ascii="Abadi" w:hAnsi="Abadi" w:cs="*Arial-4954-Identity-H"/>
          <w:color w:val="14131C"/>
          <w:sz w:val="21"/>
          <w:szCs w:val="21"/>
        </w:rPr>
        <w:t xml:space="preserve"> </w:t>
      </w:r>
      <w:r w:rsidRPr="00D9374F">
        <w:rPr>
          <w:rFonts w:ascii="Abadi" w:hAnsi="Abadi" w:cs="*Arial-4954-Identity-H"/>
          <w:color w:val="14131C"/>
          <w:sz w:val="21"/>
          <w:szCs w:val="21"/>
        </w:rPr>
        <w:t>sujeto fiscalizado realizará acciones de mejora en un plazo determinado hasta su</w:t>
      </w:r>
      <w:r>
        <w:rPr>
          <w:rFonts w:ascii="Abadi" w:hAnsi="Abadi" w:cs="*Arial-4954-Identity-H"/>
          <w:color w:val="14131C"/>
          <w:sz w:val="21"/>
          <w:szCs w:val="21"/>
        </w:rPr>
        <w:t xml:space="preserve"> total</w:t>
      </w:r>
      <w:r w:rsidRPr="00D9374F">
        <w:rPr>
          <w:rFonts w:ascii="Abadi" w:hAnsi="Abadi" w:cs="*Arial-4954-Identity-H"/>
          <w:color w:val="14131C"/>
          <w:sz w:val="21"/>
          <w:szCs w:val="21"/>
        </w:rPr>
        <w:t xml:space="preserve"> implementación, acorde a la normativa aplicable.</w:t>
      </w:r>
    </w:p>
    <w:p w14:paraId="624114A3" w14:textId="77777777" w:rsidR="00C54578" w:rsidRDefault="00C54578" w:rsidP="00C54578">
      <w:pPr>
        <w:autoSpaceDE w:val="0"/>
        <w:autoSpaceDN w:val="0"/>
        <w:adjustRightInd w:val="0"/>
        <w:jc w:val="both"/>
        <w:rPr>
          <w:rFonts w:ascii="Abadi" w:hAnsi="Abadi" w:cs="*Arial-Bold-4955-Identity-H"/>
          <w:b/>
          <w:bCs/>
          <w:color w:val="14141D"/>
          <w:sz w:val="21"/>
          <w:szCs w:val="21"/>
        </w:rPr>
      </w:pPr>
    </w:p>
    <w:p w14:paraId="75C18FC5" w14:textId="77777777" w:rsidR="00C54578" w:rsidRDefault="00C54578" w:rsidP="00C54578">
      <w:pPr>
        <w:autoSpaceDE w:val="0"/>
        <w:autoSpaceDN w:val="0"/>
        <w:adjustRightInd w:val="0"/>
        <w:ind w:firstLine="708"/>
        <w:jc w:val="both"/>
        <w:rPr>
          <w:rFonts w:ascii="Abadi" w:hAnsi="Abadi" w:cs="*Arial-Bold-4955-Identity-H"/>
          <w:b/>
          <w:bCs/>
          <w:color w:val="14141D"/>
          <w:sz w:val="21"/>
          <w:szCs w:val="21"/>
        </w:rPr>
      </w:pPr>
      <w:r w:rsidRPr="00D9374F">
        <w:rPr>
          <w:rFonts w:ascii="Abadi" w:hAnsi="Abadi" w:cs="*Arial-Bold-4955-Identity-H"/>
          <w:b/>
          <w:bCs/>
          <w:color w:val="14141D"/>
          <w:sz w:val="21"/>
          <w:szCs w:val="21"/>
        </w:rPr>
        <w:t>V. Conclusiones:</w:t>
      </w:r>
    </w:p>
    <w:p w14:paraId="1DB5819D" w14:textId="77777777" w:rsidR="00C54578" w:rsidRPr="00D9374F" w:rsidRDefault="00C54578" w:rsidP="00C54578">
      <w:pPr>
        <w:autoSpaceDE w:val="0"/>
        <w:autoSpaceDN w:val="0"/>
        <w:adjustRightInd w:val="0"/>
        <w:jc w:val="both"/>
        <w:rPr>
          <w:rFonts w:ascii="Abadi" w:hAnsi="Abadi" w:cs="*Arial-Bold-4955-Identity-H"/>
          <w:b/>
          <w:bCs/>
          <w:color w:val="14141D"/>
          <w:sz w:val="21"/>
          <w:szCs w:val="21"/>
        </w:rPr>
      </w:pPr>
    </w:p>
    <w:p w14:paraId="573A200D" w14:textId="77777777" w:rsidR="00C54578" w:rsidRDefault="00C54578" w:rsidP="00C54578">
      <w:pPr>
        <w:autoSpaceDE w:val="0"/>
        <w:autoSpaceDN w:val="0"/>
        <w:adjustRightInd w:val="0"/>
        <w:ind w:firstLine="708"/>
        <w:jc w:val="both"/>
        <w:rPr>
          <w:rFonts w:ascii="Abadi" w:hAnsi="Abadi" w:cs="*Arial-4954-Identity-H"/>
          <w:color w:val="14131B"/>
          <w:sz w:val="21"/>
          <w:szCs w:val="21"/>
        </w:rPr>
      </w:pPr>
      <w:r w:rsidRPr="00D9374F">
        <w:rPr>
          <w:rFonts w:ascii="Abadi" w:hAnsi="Abadi" w:cs="*Arial-4954-Identity-H"/>
          <w:color w:val="14131B"/>
          <w:sz w:val="21"/>
          <w:szCs w:val="21"/>
        </w:rPr>
        <w:t>Como ya lo habíamos señalado en párrafos anteriores, el artículo 38 de la</w:t>
      </w:r>
      <w:r>
        <w:rPr>
          <w:rFonts w:ascii="Abadi" w:hAnsi="Abadi" w:cs="*Arial-4954-Identity-H"/>
          <w:color w:val="14131B"/>
          <w:sz w:val="21"/>
          <w:szCs w:val="21"/>
        </w:rPr>
        <w:t xml:space="preserve"> </w:t>
      </w:r>
      <w:r w:rsidRPr="00D9374F">
        <w:rPr>
          <w:rFonts w:ascii="Abadi" w:hAnsi="Abadi" w:cs="*Arial-4954-Identity-H"/>
          <w:color w:val="14131B"/>
          <w:sz w:val="21"/>
          <w:szCs w:val="21"/>
        </w:rPr>
        <w:t>Ley de Fiscalización Superior. del Estado de Guanajuato establece que los</w:t>
      </w:r>
      <w:r>
        <w:rPr>
          <w:rFonts w:ascii="Abadi" w:hAnsi="Abadi" w:cs="*Arial-4954-Identity-H"/>
          <w:color w:val="14131B"/>
          <w:sz w:val="21"/>
          <w:szCs w:val="21"/>
        </w:rPr>
        <w:t xml:space="preserve"> </w:t>
      </w:r>
      <w:r w:rsidRPr="00D9374F">
        <w:rPr>
          <w:rFonts w:ascii="Abadi" w:hAnsi="Abadi" w:cs="*Arial-4954-Identity-H"/>
          <w:color w:val="14131B"/>
          <w:sz w:val="21"/>
          <w:szCs w:val="21"/>
        </w:rPr>
        <w:t>informes de resultados únicamente podrán ser observados por las dos terceras</w:t>
      </w:r>
      <w:r>
        <w:rPr>
          <w:rFonts w:ascii="Abadi" w:hAnsi="Abadi" w:cs="*Arial-4954-Identity-H"/>
          <w:color w:val="14131B"/>
          <w:sz w:val="21"/>
          <w:szCs w:val="21"/>
        </w:rPr>
        <w:t xml:space="preserve"> </w:t>
      </w:r>
      <w:r w:rsidRPr="00D9374F">
        <w:rPr>
          <w:rFonts w:ascii="Abadi" w:hAnsi="Abadi" w:cs="*Arial-4954-Identity-H"/>
          <w:color w:val="14131B"/>
          <w:sz w:val="21"/>
          <w:szCs w:val="21"/>
        </w:rPr>
        <w:t>partes de los diputados integrantes del Congreso, cuando no se observen las</w:t>
      </w:r>
      <w:r>
        <w:rPr>
          <w:rFonts w:ascii="Abadi" w:hAnsi="Abadi" w:cs="*Arial-4954-Identity-H"/>
          <w:color w:val="14131B"/>
          <w:sz w:val="21"/>
          <w:szCs w:val="21"/>
        </w:rPr>
        <w:t xml:space="preserve"> </w:t>
      </w:r>
      <w:r w:rsidRPr="00D9374F">
        <w:rPr>
          <w:rFonts w:ascii="Abadi" w:hAnsi="Abadi" w:cs="*Arial-4954-Identity-H"/>
          <w:color w:val="14131B"/>
          <w:sz w:val="21"/>
          <w:szCs w:val="21"/>
        </w:rPr>
        <w:t>formalidades esenciales del proceso de fiscalización.</w:t>
      </w:r>
    </w:p>
    <w:p w14:paraId="6BEC7F84" w14:textId="77777777" w:rsidR="00C54578" w:rsidRPr="00D9374F" w:rsidRDefault="00C54578" w:rsidP="00C54578">
      <w:pPr>
        <w:autoSpaceDE w:val="0"/>
        <w:autoSpaceDN w:val="0"/>
        <w:adjustRightInd w:val="0"/>
        <w:ind w:firstLine="708"/>
        <w:jc w:val="both"/>
        <w:rPr>
          <w:rFonts w:ascii="Abadi" w:hAnsi="Abadi" w:cs="*Arial-4954-Identity-H"/>
          <w:color w:val="14131B"/>
          <w:sz w:val="21"/>
          <w:szCs w:val="21"/>
        </w:rPr>
      </w:pPr>
    </w:p>
    <w:p w14:paraId="6AE4E143" w14:textId="77777777" w:rsidR="00C54578" w:rsidRDefault="00C54578" w:rsidP="00C54578">
      <w:pPr>
        <w:autoSpaceDE w:val="0"/>
        <w:autoSpaceDN w:val="0"/>
        <w:adjustRightInd w:val="0"/>
        <w:ind w:firstLine="708"/>
        <w:jc w:val="both"/>
        <w:rPr>
          <w:rFonts w:ascii="Abadi" w:hAnsi="Abadi" w:cs="*Arial-4954-Identity-H"/>
          <w:color w:val="14131B"/>
          <w:sz w:val="21"/>
          <w:szCs w:val="21"/>
        </w:rPr>
      </w:pPr>
      <w:r w:rsidRPr="00D9374F">
        <w:rPr>
          <w:rFonts w:ascii="Abadi" w:hAnsi="Abadi" w:cs="*Arial-4954-Identity-H"/>
          <w:color w:val="14131B"/>
          <w:sz w:val="21"/>
          <w:szCs w:val="21"/>
        </w:rPr>
        <w:t>En este sentido, quienes integramos esta Comisión analizamos el informe</w:t>
      </w:r>
      <w:r>
        <w:rPr>
          <w:rFonts w:ascii="Abadi" w:hAnsi="Abadi" w:cs="*Arial-4954-Identity-H"/>
          <w:color w:val="14131B"/>
          <w:sz w:val="21"/>
          <w:szCs w:val="21"/>
        </w:rPr>
        <w:t xml:space="preserve"> </w:t>
      </w:r>
      <w:r w:rsidRPr="00D9374F">
        <w:rPr>
          <w:rFonts w:ascii="Abadi" w:hAnsi="Abadi" w:cs="*Arial-4954-Identity-H"/>
          <w:color w:val="14131B"/>
          <w:sz w:val="21"/>
          <w:szCs w:val="21"/>
        </w:rPr>
        <w:t>de resultados materia del presente dictamen, considerando la hipótesis referida en</w:t>
      </w:r>
      <w:r>
        <w:rPr>
          <w:rFonts w:ascii="Abadi" w:hAnsi="Abadi" w:cs="*Arial-4954-Identity-H"/>
          <w:color w:val="14131B"/>
          <w:sz w:val="21"/>
          <w:szCs w:val="21"/>
        </w:rPr>
        <w:t xml:space="preserve"> </w:t>
      </w:r>
      <w:r w:rsidRPr="00D9374F">
        <w:rPr>
          <w:rFonts w:ascii="Abadi" w:hAnsi="Abadi" w:cs="*Arial-4954-Identity-H"/>
          <w:color w:val="14131B"/>
          <w:sz w:val="21"/>
          <w:szCs w:val="21"/>
        </w:rPr>
        <w:t>el precepto anteriormente señalado.</w:t>
      </w:r>
    </w:p>
    <w:p w14:paraId="69A2C059" w14:textId="77777777" w:rsidR="00C54578" w:rsidRPr="00D9374F" w:rsidRDefault="00C54578" w:rsidP="00C54578">
      <w:pPr>
        <w:autoSpaceDE w:val="0"/>
        <w:autoSpaceDN w:val="0"/>
        <w:adjustRightInd w:val="0"/>
        <w:jc w:val="both"/>
        <w:rPr>
          <w:rFonts w:ascii="Abadi" w:hAnsi="Abadi" w:cs="*Arial-4954-Identity-H"/>
          <w:color w:val="14131B"/>
          <w:sz w:val="21"/>
          <w:szCs w:val="21"/>
        </w:rPr>
      </w:pPr>
    </w:p>
    <w:p w14:paraId="23B9FDA9" w14:textId="77777777" w:rsidR="00C54578" w:rsidRDefault="00C54578" w:rsidP="00C54578">
      <w:pPr>
        <w:autoSpaceDE w:val="0"/>
        <w:autoSpaceDN w:val="0"/>
        <w:adjustRightInd w:val="0"/>
        <w:ind w:firstLine="708"/>
        <w:jc w:val="both"/>
        <w:rPr>
          <w:rFonts w:ascii="Abadi" w:hAnsi="Abadi" w:cs="*Arial-4954-Identity-H"/>
          <w:color w:val="14131B"/>
          <w:sz w:val="21"/>
          <w:szCs w:val="21"/>
        </w:rPr>
      </w:pPr>
      <w:r w:rsidRPr="00D9374F">
        <w:rPr>
          <w:rFonts w:ascii="Abadi" w:hAnsi="Abadi" w:cs="*Arial-4954-Identity-H"/>
          <w:color w:val="14131B"/>
          <w:sz w:val="21"/>
          <w:szCs w:val="21"/>
        </w:rPr>
        <w:t>Como se desprende del informe de resultados, el Órgano Técnico dio</w:t>
      </w:r>
      <w:r>
        <w:rPr>
          <w:rFonts w:ascii="Abadi" w:hAnsi="Abadi" w:cs="*Arial-4954-Identity-H"/>
          <w:color w:val="14131B"/>
          <w:sz w:val="21"/>
          <w:szCs w:val="21"/>
        </w:rPr>
        <w:t xml:space="preserve"> </w:t>
      </w:r>
      <w:r w:rsidRPr="00D9374F">
        <w:rPr>
          <w:rFonts w:ascii="Abadi" w:hAnsi="Abadi" w:cs="*Arial-4954-Identity-H"/>
          <w:color w:val="14131B"/>
          <w:sz w:val="21"/>
          <w:szCs w:val="21"/>
        </w:rPr>
        <w:t>cumplimiento al artículo 58 de la Ley de Fiscalización Superior del Estado de</w:t>
      </w:r>
      <w:r>
        <w:rPr>
          <w:rFonts w:ascii="Abadi" w:hAnsi="Abadi" w:cs="*Arial-4954-Identity-H"/>
          <w:color w:val="14131B"/>
          <w:sz w:val="21"/>
          <w:szCs w:val="21"/>
        </w:rPr>
        <w:t xml:space="preserve"> </w:t>
      </w:r>
      <w:r w:rsidRPr="00D9374F">
        <w:rPr>
          <w:rFonts w:ascii="Abadi" w:hAnsi="Abadi" w:cs="*Arial-4954-Identity-H"/>
          <w:color w:val="14131B"/>
          <w:sz w:val="21"/>
          <w:szCs w:val="21"/>
        </w:rPr>
        <w:t>Guanajuato, al haberse notificado las recomendaciones derivadas de la auditoría</w:t>
      </w:r>
      <w:r>
        <w:rPr>
          <w:rFonts w:ascii="Abadi" w:hAnsi="Abadi" w:cs="*Arial-4954-Identity-H"/>
          <w:color w:val="14131B"/>
          <w:sz w:val="21"/>
          <w:szCs w:val="21"/>
        </w:rPr>
        <w:t xml:space="preserve"> </w:t>
      </w:r>
      <w:r w:rsidRPr="00D9374F">
        <w:rPr>
          <w:rFonts w:ascii="Abadi" w:hAnsi="Abadi" w:cs="*Arial-4954-Identity-H"/>
          <w:color w:val="14131B"/>
          <w:sz w:val="21"/>
          <w:szCs w:val="21"/>
        </w:rPr>
        <w:t>al sujeto fiscalizado, concediéndole el plazo que establece la Ley para atender las</w:t>
      </w:r>
      <w:r>
        <w:rPr>
          <w:rFonts w:ascii="Abadi" w:hAnsi="Abadi" w:cs="*Arial-4954-Identity-H"/>
          <w:color w:val="14131B"/>
          <w:sz w:val="21"/>
          <w:szCs w:val="21"/>
        </w:rPr>
        <w:t xml:space="preserve"> </w:t>
      </w:r>
      <w:r w:rsidRPr="00D9374F">
        <w:rPr>
          <w:rFonts w:ascii="Abadi" w:hAnsi="Abadi" w:cs="*Arial-4954-Identity-H"/>
          <w:color w:val="14131B"/>
          <w:sz w:val="21"/>
          <w:szCs w:val="21"/>
        </w:rPr>
        <w:t>recomendaciones formuladas por el Órgano Técnico. Al respecto, se presentó la</w:t>
      </w:r>
      <w:r>
        <w:rPr>
          <w:rFonts w:ascii="Abadi" w:hAnsi="Abadi" w:cs="*Arial-4954-Identity-H"/>
          <w:color w:val="14131B"/>
          <w:sz w:val="21"/>
          <w:szCs w:val="21"/>
        </w:rPr>
        <w:t xml:space="preserve"> </w:t>
      </w:r>
      <w:r w:rsidRPr="00D9374F">
        <w:rPr>
          <w:rFonts w:ascii="Abadi" w:hAnsi="Abadi" w:cs="*Arial-4954-Identity-H"/>
          <w:color w:val="14131B"/>
          <w:sz w:val="21"/>
          <w:szCs w:val="21"/>
        </w:rPr>
        <w:t>información y documentación que se consideró suficiente para atender las</w:t>
      </w:r>
      <w:r>
        <w:rPr>
          <w:rFonts w:ascii="Abadi" w:hAnsi="Abadi" w:cs="*Arial-4954-Identity-H"/>
          <w:color w:val="14131B"/>
          <w:sz w:val="21"/>
          <w:szCs w:val="21"/>
        </w:rPr>
        <w:t xml:space="preserve"> </w:t>
      </w:r>
      <w:r w:rsidRPr="00D9374F">
        <w:rPr>
          <w:rFonts w:ascii="Abadi" w:hAnsi="Abadi" w:cs="*Arial-4954-Identity-H"/>
          <w:color w:val="14131B"/>
          <w:sz w:val="21"/>
          <w:szCs w:val="21"/>
        </w:rPr>
        <w:t>recomendaciones efectuadas.</w:t>
      </w:r>
    </w:p>
    <w:p w14:paraId="31450261" w14:textId="77777777" w:rsidR="00C54578" w:rsidRPr="00D9374F" w:rsidRDefault="00C54578" w:rsidP="00C54578">
      <w:pPr>
        <w:autoSpaceDE w:val="0"/>
        <w:autoSpaceDN w:val="0"/>
        <w:adjustRightInd w:val="0"/>
        <w:jc w:val="both"/>
        <w:rPr>
          <w:rFonts w:ascii="Abadi" w:hAnsi="Abadi" w:cs="*Arial-4954-Identity-H"/>
          <w:color w:val="14131B"/>
          <w:sz w:val="21"/>
          <w:szCs w:val="21"/>
        </w:rPr>
      </w:pPr>
    </w:p>
    <w:p w14:paraId="3F790FBE" w14:textId="77777777" w:rsidR="00C54578" w:rsidRPr="00D9374F" w:rsidRDefault="00C54578" w:rsidP="00C54578">
      <w:pPr>
        <w:autoSpaceDE w:val="0"/>
        <w:autoSpaceDN w:val="0"/>
        <w:adjustRightInd w:val="0"/>
        <w:ind w:firstLine="708"/>
        <w:jc w:val="both"/>
        <w:rPr>
          <w:rFonts w:ascii="Abadi" w:hAnsi="Abadi" w:cs="*Arial-4954-Identity-H"/>
          <w:color w:val="14131B"/>
          <w:sz w:val="21"/>
          <w:szCs w:val="21"/>
        </w:rPr>
      </w:pPr>
      <w:r w:rsidRPr="00D9374F">
        <w:rPr>
          <w:rFonts w:ascii="Abadi" w:hAnsi="Abadi" w:cs="*Arial-4954-Identity-H"/>
          <w:color w:val="14131B"/>
          <w:sz w:val="21"/>
          <w:szCs w:val="21"/>
        </w:rPr>
        <w:t>De igual manera, existe en el informe de resultados la constancia de que</w:t>
      </w:r>
      <w:r>
        <w:rPr>
          <w:rFonts w:ascii="Abadi" w:hAnsi="Abadi" w:cs="*Arial-4954-Identity-H"/>
          <w:color w:val="14131B"/>
          <w:sz w:val="21"/>
          <w:szCs w:val="21"/>
        </w:rPr>
        <w:t xml:space="preserve"> </w:t>
      </w:r>
      <w:r w:rsidRPr="00D9374F">
        <w:rPr>
          <w:rFonts w:ascii="Abadi" w:hAnsi="Abadi" w:cs="*Arial-4954-Identity-H"/>
          <w:color w:val="14131B"/>
          <w:sz w:val="21"/>
          <w:szCs w:val="21"/>
        </w:rPr>
        <w:t>este se notificó al sujeto fiscalizado. En tal virtud, se considera que fue respetado</w:t>
      </w:r>
      <w:r>
        <w:rPr>
          <w:rFonts w:ascii="Abadi" w:hAnsi="Abadi" w:cs="*Arial-4954-Identity-H"/>
          <w:color w:val="14131B"/>
          <w:sz w:val="21"/>
          <w:szCs w:val="21"/>
        </w:rPr>
        <w:t xml:space="preserve"> </w:t>
      </w:r>
      <w:r w:rsidRPr="00D9374F">
        <w:rPr>
          <w:rFonts w:ascii="Abadi" w:hAnsi="Abadi" w:cs="*Arial-4954-Identity-H"/>
          <w:color w:val="14131B"/>
          <w:sz w:val="21"/>
          <w:szCs w:val="21"/>
        </w:rPr>
        <w:t>el derecho de audiencia o defensa por parte del Órgano Técnico.</w:t>
      </w:r>
    </w:p>
    <w:p w14:paraId="225DB0F6" w14:textId="77777777" w:rsidR="00C54578" w:rsidRPr="00D9374F" w:rsidRDefault="00C54578" w:rsidP="00C54578">
      <w:pPr>
        <w:autoSpaceDE w:val="0"/>
        <w:autoSpaceDN w:val="0"/>
        <w:adjustRightInd w:val="0"/>
        <w:jc w:val="both"/>
        <w:rPr>
          <w:rFonts w:ascii="Abadi" w:hAnsi="Abadi" w:cs="*Arial-5992-Identity-H"/>
          <w:color w:val="1D1B26"/>
          <w:sz w:val="21"/>
          <w:szCs w:val="21"/>
        </w:rPr>
      </w:pPr>
    </w:p>
    <w:p w14:paraId="7F5A8509" w14:textId="77777777" w:rsidR="00C54578" w:rsidRPr="00D9374F" w:rsidRDefault="00C54578" w:rsidP="00C54578">
      <w:pPr>
        <w:autoSpaceDE w:val="0"/>
        <w:autoSpaceDN w:val="0"/>
        <w:adjustRightInd w:val="0"/>
        <w:ind w:firstLine="708"/>
        <w:jc w:val="both"/>
        <w:rPr>
          <w:rFonts w:ascii="Abadi" w:hAnsi="Abadi" w:cs="*Arial-5990-Identity-H"/>
          <w:color w:val="14131C"/>
          <w:sz w:val="21"/>
          <w:szCs w:val="21"/>
        </w:rPr>
      </w:pPr>
      <w:r w:rsidRPr="00D9374F">
        <w:rPr>
          <w:rFonts w:ascii="Abadi" w:hAnsi="Abadi" w:cs="*Arial-5990-Identity-H"/>
          <w:color w:val="14131C"/>
          <w:sz w:val="21"/>
          <w:szCs w:val="21"/>
        </w:rPr>
        <w:t>Asimismo, del informe de resultados podemos inferir que el Órgano Técnico</w:t>
      </w:r>
      <w:r>
        <w:rPr>
          <w:rFonts w:ascii="Abadi" w:hAnsi="Abadi" w:cs="*Arial-5990-Identity-H"/>
          <w:color w:val="14131C"/>
          <w:sz w:val="21"/>
          <w:szCs w:val="21"/>
        </w:rPr>
        <w:t xml:space="preserve"> </w:t>
      </w:r>
      <w:r w:rsidRPr="00D9374F">
        <w:rPr>
          <w:rFonts w:ascii="Abadi" w:hAnsi="Abadi" w:cs="*Arial-5990-Identity-H"/>
          <w:color w:val="14131C"/>
          <w:sz w:val="21"/>
          <w:szCs w:val="21"/>
        </w:rPr>
        <w:t>en el desarrollo del procedimiento de auditoría, dio cumplimiento a las</w:t>
      </w:r>
      <w:r>
        <w:rPr>
          <w:rFonts w:ascii="Abadi" w:hAnsi="Abadi" w:cs="*Arial-5990-Identity-H"/>
          <w:color w:val="14131C"/>
          <w:sz w:val="21"/>
          <w:szCs w:val="21"/>
        </w:rPr>
        <w:t xml:space="preserve"> </w:t>
      </w:r>
      <w:r w:rsidRPr="00D9374F">
        <w:rPr>
          <w:rFonts w:ascii="Abadi" w:hAnsi="Abadi" w:cs="*Arial-5990-Identity-H"/>
          <w:color w:val="14131C"/>
          <w:sz w:val="21"/>
          <w:szCs w:val="21"/>
        </w:rPr>
        <w:t>formalidades esenciales que la misma Ley establece para el proceso de</w:t>
      </w:r>
      <w:r>
        <w:rPr>
          <w:rFonts w:ascii="Abadi" w:hAnsi="Abadi" w:cs="*Arial-5990-Identity-H"/>
          <w:color w:val="14131C"/>
          <w:sz w:val="21"/>
          <w:szCs w:val="21"/>
        </w:rPr>
        <w:t xml:space="preserve"> </w:t>
      </w:r>
      <w:r w:rsidRPr="00D9374F">
        <w:rPr>
          <w:rFonts w:ascii="Abadi" w:hAnsi="Abadi" w:cs="*Arial-5990-Identity-H"/>
          <w:color w:val="14131C"/>
          <w:sz w:val="21"/>
          <w:szCs w:val="21"/>
        </w:rPr>
        <w:t>fiscalización, al haberse practicado la auditoría que estaba contemplada en el</w:t>
      </w:r>
      <w:r>
        <w:rPr>
          <w:rFonts w:ascii="Abadi" w:hAnsi="Abadi" w:cs="*Arial-5990-Identity-H"/>
          <w:color w:val="14131C"/>
          <w:sz w:val="21"/>
          <w:szCs w:val="21"/>
        </w:rPr>
        <w:t xml:space="preserve"> </w:t>
      </w:r>
      <w:r w:rsidRPr="00D9374F">
        <w:rPr>
          <w:rFonts w:ascii="Abadi" w:hAnsi="Abadi" w:cs="*Arial-5990-Identity-H"/>
          <w:color w:val="14131C"/>
          <w:sz w:val="21"/>
          <w:szCs w:val="21"/>
        </w:rPr>
        <w:t>Programa General de Fiscalización 2021, aprobado por el Auditor Superior del</w:t>
      </w:r>
    </w:p>
    <w:p w14:paraId="4EAEA8E6" w14:textId="77777777" w:rsidR="00C54578" w:rsidRDefault="00C54578" w:rsidP="00C54578">
      <w:pPr>
        <w:autoSpaceDE w:val="0"/>
        <w:autoSpaceDN w:val="0"/>
        <w:adjustRightInd w:val="0"/>
        <w:jc w:val="both"/>
        <w:rPr>
          <w:rFonts w:ascii="Abadi" w:hAnsi="Abadi" w:cs="*Arial-5990-Identity-H"/>
          <w:color w:val="14131C"/>
          <w:sz w:val="21"/>
          <w:szCs w:val="21"/>
        </w:rPr>
      </w:pPr>
      <w:r w:rsidRPr="00D9374F">
        <w:rPr>
          <w:rFonts w:ascii="Abadi" w:hAnsi="Abadi" w:cs="*Arial-5990-Identity-H"/>
          <w:color w:val="14131C"/>
          <w:sz w:val="21"/>
          <w:szCs w:val="21"/>
        </w:rPr>
        <w:t>Estado. Asimismo, la auditoría se efectuó atendiendo a lo establecido en la</w:t>
      </w:r>
      <w:r>
        <w:rPr>
          <w:rFonts w:ascii="Abadi" w:hAnsi="Abadi" w:cs="*Arial-5990-Identity-H"/>
          <w:color w:val="14131C"/>
          <w:sz w:val="21"/>
          <w:szCs w:val="21"/>
        </w:rPr>
        <w:t xml:space="preserve"> </w:t>
      </w:r>
      <w:r w:rsidRPr="00D9374F">
        <w:rPr>
          <w:rFonts w:ascii="Abadi" w:hAnsi="Abadi" w:cs="*Arial-5990-Identity-H"/>
          <w:color w:val="14131C"/>
          <w:sz w:val="21"/>
          <w:szCs w:val="21"/>
        </w:rPr>
        <w:t>normatividad aplicable en la materia, cumpliendo lo estipulado por el artículo 3 y el</w:t>
      </w:r>
      <w:r>
        <w:rPr>
          <w:rFonts w:ascii="Abadi" w:hAnsi="Abadi" w:cs="*Arial-5990-Identity-H"/>
          <w:color w:val="14131C"/>
          <w:sz w:val="21"/>
          <w:szCs w:val="21"/>
        </w:rPr>
        <w:t xml:space="preserve"> </w:t>
      </w:r>
      <w:r w:rsidRPr="00D9374F">
        <w:rPr>
          <w:rFonts w:ascii="Abadi" w:hAnsi="Abadi" w:cs="*Arial-5990-Identity-H"/>
          <w:color w:val="14131C"/>
          <w:sz w:val="21"/>
          <w:szCs w:val="21"/>
        </w:rPr>
        <w:t>Capítulo VI del Título Segundo de la Ley de Fiscalización Superior del Estado de</w:t>
      </w:r>
      <w:r>
        <w:rPr>
          <w:rFonts w:ascii="Abadi" w:hAnsi="Abadi" w:cs="*Arial-5990-Identity-H"/>
          <w:color w:val="14131C"/>
          <w:sz w:val="21"/>
          <w:szCs w:val="21"/>
        </w:rPr>
        <w:t xml:space="preserve"> </w:t>
      </w:r>
      <w:r w:rsidRPr="00D9374F">
        <w:rPr>
          <w:rFonts w:ascii="Abadi" w:hAnsi="Abadi" w:cs="*Arial-5990-Identity-H"/>
          <w:color w:val="14131C"/>
          <w:sz w:val="21"/>
          <w:szCs w:val="21"/>
        </w:rPr>
        <w:t>Guanajuato, así como el artículo 28 del Reglamento de dicha Ley.</w:t>
      </w:r>
      <w:r>
        <w:rPr>
          <w:rFonts w:ascii="Abadi" w:hAnsi="Abadi" w:cs="*Arial-5990-Identity-H"/>
          <w:color w:val="14131C"/>
          <w:sz w:val="21"/>
          <w:szCs w:val="21"/>
        </w:rPr>
        <w:t xml:space="preserve"> </w:t>
      </w:r>
    </w:p>
    <w:p w14:paraId="1D92587F" w14:textId="77777777" w:rsidR="00C54578" w:rsidRDefault="00C54578" w:rsidP="00C54578">
      <w:pPr>
        <w:autoSpaceDE w:val="0"/>
        <w:autoSpaceDN w:val="0"/>
        <w:adjustRightInd w:val="0"/>
        <w:jc w:val="both"/>
        <w:rPr>
          <w:rFonts w:ascii="Abadi" w:hAnsi="Abadi" w:cs="*Arial-5990-Identity-H"/>
          <w:color w:val="14131C"/>
          <w:sz w:val="21"/>
          <w:szCs w:val="21"/>
        </w:rPr>
      </w:pPr>
    </w:p>
    <w:p w14:paraId="1259CAEB" w14:textId="77777777" w:rsidR="00C54578" w:rsidRDefault="00C54578" w:rsidP="00C54578">
      <w:pPr>
        <w:autoSpaceDE w:val="0"/>
        <w:autoSpaceDN w:val="0"/>
        <w:adjustRightInd w:val="0"/>
        <w:ind w:firstLine="708"/>
        <w:jc w:val="both"/>
        <w:rPr>
          <w:rFonts w:ascii="Abadi" w:hAnsi="Abadi" w:cs="*Arial-5990-Identity-H"/>
          <w:color w:val="15141C"/>
          <w:sz w:val="21"/>
          <w:szCs w:val="21"/>
        </w:rPr>
      </w:pPr>
      <w:r w:rsidRPr="00D9374F">
        <w:rPr>
          <w:rFonts w:ascii="Abadi" w:hAnsi="Abadi" w:cs="*Arial-5990-Identity-H"/>
          <w:color w:val="15141C"/>
          <w:sz w:val="21"/>
          <w:szCs w:val="21"/>
        </w:rPr>
        <w:t>Finalmente, es de destacar que el cumplimiento de los Objetivos del</w:t>
      </w:r>
      <w:r>
        <w:rPr>
          <w:rFonts w:ascii="Abadi" w:hAnsi="Abadi" w:cs="*Arial-5990-Identity-H"/>
          <w:color w:val="15141C"/>
          <w:sz w:val="21"/>
          <w:szCs w:val="21"/>
        </w:rPr>
        <w:t xml:space="preserve"> </w:t>
      </w:r>
      <w:r w:rsidRPr="00D9374F">
        <w:rPr>
          <w:rFonts w:ascii="Abadi" w:hAnsi="Abadi" w:cs="*Arial-5990-Identity-H"/>
          <w:color w:val="15141C"/>
          <w:sz w:val="21"/>
          <w:szCs w:val="21"/>
        </w:rPr>
        <w:t>Desarrollo Sostenible de la Agenda 2030 está presente en el dictamen puesto a su</w:t>
      </w:r>
      <w:r>
        <w:rPr>
          <w:rFonts w:ascii="Abadi" w:hAnsi="Abadi" w:cs="*Arial-5990-Identity-H"/>
          <w:color w:val="15141C"/>
          <w:sz w:val="21"/>
          <w:szCs w:val="21"/>
        </w:rPr>
        <w:t xml:space="preserve"> </w:t>
      </w:r>
      <w:r w:rsidRPr="00D9374F">
        <w:rPr>
          <w:rFonts w:ascii="Abadi" w:hAnsi="Abadi" w:cs="*Arial-5990-Identity-H"/>
          <w:color w:val="15141C"/>
          <w:sz w:val="21"/>
          <w:szCs w:val="21"/>
        </w:rPr>
        <w:t>consideración, pues el mismo incide de manera directa en el Objetivo 16</w:t>
      </w:r>
      <w:r>
        <w:rPr>
          <w:rFonts w:ascii="Abadi" w:hAnsi="Abadi" w:cs="*Arial-5990-Identity-H"/>
          <w:color w:val="15141C"/>
          <w:sz w:val="21"/>
          <w:szCs w:val="21"/>
        </w:rPr>
        <w:t xml:space="preserve"> </w:t>
      </w:r>
      <w:r w:rsidRPr="00D9374F">
        <w:rPr>
          <w:rFonts w:ascii="Abadi" w:hAnsi="Abadi" w:cs="*Arial-5990-Identity-H"/>
          <w:color w:val="15141C"/>
          <w:sz w:val="21"/>
          <w:szCs w:val="21"/>
        </w:rPr>
        <w:t>denominado Paz, Justicia e Instituciones Sólidas. Promover sociedades justas,</w:t>
      </w:r>
      <w:r>
        <w:rPr>
          <w:rFonts w:ascii="Abadi" w:hAnsi="Abadi" w:cs="*Arial-5990-Identity-H"/>
          <w:color w:val="15141C"/>
          <w:sz w:val="21"/>
          <w:szCs w:val="21"/>
        </w:rPr>
        <w:t xml:space="preserve"> </w:t>
      </w:r>
      <w:r w:rsidRPr="00D9374F">
        <w:rPr>
          <w:rFonts w:ascii="Abadi" w:hAnsi="Abadi" w:cs="*Arial-5990-Identity-H"/>
          <w:color w:val="15141C"/>
          <w:sz w:val="21"/>
          <w:szCs w:val="21"/>
        </w:rPr>
        <w:t>pacíficas e inclusivas, respecto a la meta 16.6 Crear a todos los niveles</w:t>
      </w:r>
      <w:r>
        <w:rPr>
          <w:rFonts w:ascii="Abadi" w:hAnsi="Abadi" w:cs="*Arial-5990-Identity-H"/>
          <w:color w:val="15141C"/>
          <w:sz w:val="21"/>
          <w:szCs w:val="21"/>
        </w:rPr>
        <w:t xml:space="preserve"> </w:t>
      </w:r>
      <w:r w:rsidRPr="00D9374F">
        <w:rPr>
          <w:rFonts w:ascii="Abadi" w:hAnsi="Abadi" w:cs="*Arial-5990-Identity-H"/>
          <w:color w:val="15141C"/>
          <w:sz w:val="21"/>
          <w:szCs w:val="21"/>
        </w:rPr>
        <w:t>instituciones eficaces y transparentes, al abonar a la transparencia y rendición de</w:t>
      </w:r>
      <w:r>
        <w:rPr>
          <w:rFonts w:ascii="Abadi" w:hAnsi="Abadi" w:cs="*Arial-5990-Identity-H"/>
          <w:color w:val="15141C"/>
          <w:sz w:val="21"/>
          <w:szCs w:val="21"/>
        </w:rPr>
        <w:t xml:space="preserve"> </w:t>
      </w:r>
      <w:r w:rsidRPr="00D9374F">
        <w:rPr>
          <w:rFonts w:ascii="Abadi" w:hAnsi="Abadi" w:cs="*Arial-5990-Identity-H"/>
          <w:color w:val="15141C"/>
          <w:sz w:val="21"/>
          <w:szCs w:val="21"/>
        </w:rPr>
        <w:t>cuentas.</w:t>
      </w:r>
    </w:p>
    <w:p w14:paraId="19CA577D" w14:textId="77777777" w:rsidR="00C54578" w:rsidRPr="00D9374F" w:rsidRDefault="00C54578" w:rsidP="00C54578">
      <w:pPr>
        <w:autoSpaceDE w:val="0"/>
        <w:autoSpaceDN w:val="0"/>
        <w:adjustRightInd w:val="0"/>
        <w:jc w:val="both"/>
        <w:rPr>
          <w:rFonts w:ascii="Abadi" w:hAnsi="Abadi" w:cs="*Arial-5990-Identity-H"/>
          <w:color w:val="15141C"/>
          <w:sz w:val="21"/>
          <w:szCs w:val="21"/>
        </w:rPr>
      </w:pPr>
    </w:p>
    <w:p w14:paraId="028B2025" w14:textId="77777777" w:rsidR="00C54578" w:rsidRPr="00D9374F" w:rsidRDefault="00C54578" w:rsidP="00C54578">
      <w:pPr>
        <w:autoSpaceDE w:val="0"/>
        <w:autoSpaceDN w:val="0"/>
        <w:adjustRightInd w:val="0"/>
        <w:ind w:firstLine="708"/>
        <w:jc w:val="both"/>
        <w:rPr>
          <w:rFonts w:ascii="Abadi" w:hAnsi="Abadi" w:cs="*Arial-5990-Identity-H"/>
          <w:color w:val="14131B"/>
          <w:sz w:val="21"/>
          <w:szCs w:val="21"/>
        </w:rPr>
      </w:pPr>
      <w:r w:rsidRPr="00D9374F">
        <w:rPr>
          <w:rFonts w:ascii="Abadi" w:hAnsi="Abadi" w:cs="*Arial-5990-Identity-H"/>
          <w:color w:val="14131B"/>
          <w:sz w:val="21"/>
          <w:szCs w:val="21"/>
        </w:rPr>
        <w:t>En razón de lo anteriormente señalado, concluimos que el informe de</w:t>
      </w:r>
      <w:r>
        <w:rPr>
          <w:rFonts w:ascii="Abadi" w:hAnsi="Abadi" w:cs="*Arial-5990-Identity-H"/>
          <w:color w:val="14131B"/>
          <w:sz w:val="21"/>
          <w:szCs w:val="21"/>
        </w:rPr>
        <w:t xml:space="preserve"> </w:t>
      </w:r>
      <w:r w:rsidRPr="00D9374F">
        <w:rPr>
          <w:rFonts w:ascii="Abadi" w:hAnsi="Abadi" w:cs="*Arial-5990-Identity-H"/>
          <w:color w:val="14131B"/>
          <w:sz w:val="21"/>
          <w:szCs w:val="21"/>
        </w:rPr>
        <w:t>resultados de la auditoría de desempeño practicada a la administración municipal</w:t>
      </w:r>
      <w:r>
        <w:rPr>
          <w:rFonts w:ascii="Abadi" w:hAnsi="Abadi" w:cs="*Arial-5990-Identity-H"/>
          <w:color w:val="14131B"/>
          <w:sz w:val="21"/>
          <w:szCs w:val="21"/>
        </w:rPr>
        <w:t xml:space="preserve"> </w:t>
      </w:r>
      <w:r w:rsidRPr="00D9374F">
        <w:rPr>
          <w:rFonts w:ascii="Abadi" w:hAnsi="Abadi" w:cs="*Arial-5990-Identity-H"/>
          <w:color w:val="14131B"/>
          <w:sz w:val="21"/>
          <w:szCs w:val="21"/>
        </w:rPr>
        <w:t>de Ocampo, Gto., con enfoque a resultados del servicio de alumbrado público, por</w:t>
      </w:r>
      <w:r>
        <w:rPr>
          <w:rFonts w:ascii="Abadi" w:hAnsi="Abadi" w:cs="*Arial-5990-Identity-H"/>
          <w:color w:val="14131B"/>
          <w:sz w:val="21"/>
          <w:szCs w:val="21"/>
        </w:rPr>
        <w:t xml:space="preserve"> </w:t>
      </w:r>
      <w:r w:rsidRPr="00D9374F">
        <w:rPr>
          <w:rFonts w:ascii="Abadi" w:hAnsi="Abadi" w:cs="*Arial-5990-Identity-H"/>
          <w:color w:val="14131B"/>
          <w:sz w:val="21"/>
          <w:szCs w:val="21"/>
        </w:rPr>
        <w:t>el ejercicio fiscal del año 2020, debe sancionarse por el Congreso en los términos</w:t>
      </w:r>
      <w:r>
        <w:rPr>
          <w:rFonts w:ascii="Abadi" w:hAnsi="Abadi" w:cs="*Arial-5990-Identity-H"/>
          <w:color w:val="14131B"/>
          <w:sz w:val="21"/>
          <w:szCs w:val="21"/>
        </w:rPr>
        <w:t xml:space="preserve"> </w:t>
      </w:r>
      <w:r w:rsidRPr="00D9374F">
        <w:rPr>
          <w:rFonts w:ascii="Abadi" w:hAnsi="Abadi" w:cs="*Arial-5990-Identity-H"/>
          <w:color w:val="14131B"/>
          <w:sz w:val="21"/>
          <w:szCs w:val="21"/>
        </w:rPr>
        <w:t>presentados por la Auditoría Superior del Estado y proceder a su aprobación,</w:t>
      </w:r>
      <w:r>
        <w:rPr>
          <w:rFonts w:ascii="Abadi" w:hAnsi="Abadi" w:cs="*Arial-5990-Identity-H"/>
          <w:color w:val="14131B"/>
          <w:sz w:val="21"/>
          <w:szCs w:val="21"/>
        </w:rPr>
        <w:t xml:space="preserve"> </w:t>
      </w:r>
      <w:r w:rsidRPr="00D9374F">
        <w:rPr>
          <w:rFonts w:ascii="Abadi" w:hAnsi="Abadi" w:cs="*Arial-5990-Identity-H"/>
          <w:color w:val="14131B"/>
          <w:sz w:val="21"/>
          <w:szCs w:val="21"/>
        </w:rPr>
        <w:t>considerando que no se presenta el supuesto contenido en el artículo 38 de la Ley</w:t>
      </w:r>
    </w:p>
    <w:p w14:paraId="2E5CD4BA" w14:textId="77777777" w:rsidR="00C54578" w:rsidRDefault="00C54578" w:rsidP="00C54578">
      <w:pPr>
        <w:autoSpaceDE w:val="0"/>
        <w:autoSpaceDN w:val="0"/>
        <w:adjustRightInd w:val="0"/>
        <w:jc w:val="both"/>
        <w:rPr>
          <w:rFonts w:ascii="Abadi" w:hAnsi="Abadi" w:cs="*Arial-5990-Identity-H"/>
          <w:color w:val="15141D"/>
          <w:sz w:val="21"/>
          <w:szCs w:val="21"/>
        </w:rPr>
      </w:pPr>
      <w:r w:rsidRPr="00D9374F">
        <w:rPr>
          <w:rFonts w:ascii="Abadi" w:hAnsi="Abadi" w:cs="*Arial-5990-Identity-H"/>
          <w:color w:val="14131B"/>
          <w:sz w:val="21"/>
          <w:szCs w:val="21"/>
        </w:rPr>
        <w:t>de Fiscalización Superior del Estado de Guanajuato, razón por la cual no podría</w:t>
      </w:r>
      <w:r>
        <w:rPr>
          <w:rFonts w:ascii="Abadi" w:hAnsi="Abadi" w:cs="*Arial-5990-Identity-H"/>
          <w:color w:val="14131B"/>
          <w:sz w:val="21"/>
          <w:szCs w:val="21"/>
        </w:rPr>
        <w:t xml:space="preserve"> </w:t>
      </w:r>
      <w:r w:rsidRPr="00D9374F">
        <w:rPr>
          <w:rFonts w:ascii="Abadi" w:hAnsi="Abadi" w:cs="*Arial-5990-Identity-H"/>
          <w:color w:val="15141D"/>
          <w:sz w:val="21"/>
          <w:szCs w:val="21"/>
        </w:rPr>
        <w:t>ser observado por el Pleno del Congreso.</w:t>
      </w:r>
      <w:r>
        <w:rPr>
          <w:rFonts w:ascii="Abadi" w:hAnsi="Abadi" w:cs="*Arial-5990-Identity-H"/>
          <w:color w:val="15141D"/>
          <w:sz w:val="21"/>
          <w:szCs w:val="21"/>
        </w:rPr>
        <w:t xml:space="preserve"> </w:t>
      </w:r>
    </w:p>
    <w:p w14:paraId="3A59C0A2" w14:textId="77777777" w:rsidR="00C54578" w:rsidRDefault="00C54578" w:rsidP="00C54578">
      <w:pPr>
        <w:autoSpaceDE w:val="0"/>
        <w:autoSpaceDN w:val="0"/>
        <w:adjustRightInd w:val="0"/>
        <w:jc w:val="both"/>
        <w:rPr>
          <w:rFonts w:ascii="Abadi" w:hAnsi="Abadi" w:cs="*Arial-5990-Identity-H"/>
          <w:color w:val="15141D"/>
          <w:sz w:val="21"/>
          <w:szCs w:val="21"/>
        </w:rPr>
      </w:pPr>
    </w:p>
    <w:p w14:paraId="203FE843" w14:textId="77777777" w:rsidR="00C54578" w:rsidRPr="00D9374F" w:rsidRDefault="00C54578" w:rsidP="00C54578">
      <w:pPr>
        <w:autoSpaceDE w:val="0"/>
        <w:autoSpaceDN w:val="0"/>
        <w:adjustRightInd w:val="0"/>
        <w:jc w:val="both"/>
        <w:rPr>
          <w:rFonts w:ascii="Abadi" w:hAnsi="Abadi" w:cs="*Arial-5990-Identity-H"/>
          <w:color w:val="15141D"/>
          <w:sz w:val="21"/>
          <w:szCs w:val="21"/>
        </w:rPr>
      </w:pPr>
    </w:p>
    <w:p w14:paraId="4EBE0AE9" w14:textId="77777777" w:rsidR="00C54578" w:rsidRPr="00D9374F" w:rsidRDefault="00C54578" w:rsidP="00C54578">
      <w:pPr>
        <w:autoSpaceDE w:val="0"/>
        <w:autoSpaceDN w:val="0"/>
        <w:adjustRightInd w:val="0"/>
        <w:ind w:firstLine="708"/>
        <w:jc w:val="both"/>
        <w:rPr>
          <w:rFonts w:ascii="Abadi" w:hAnsi="Abadi" w:cs="*Arial-5990-Identity-H"/>
          <w:color w:val="14141C"/>
          <w:sz w:val="21"/>
          <w:szCs w:val="21"/>
        </w:rPr>
      </w:pPr>
      <w:r w:rsidRPr="00D9374F">
        <w:rPr>
          <w:rFonts w:ascii="Abadi" w:hAnsi="Abadi" w:cs="*Arial-5990-Identity-H"/>
          <w:color w:val="14141C"/>
          <w:sz w:val="21"/>
          <w:szCs w:val="21"/>
        </w:rPr>
        <w:t>Por lo expuesto, con fundamento en el artículo 204 de la Ley Orgánica del</w:t>
      </w:r>
      <w:r>
        <w:rPr>
          <w:rFonts w:ascii="Abadi" w:hAnsi="Abadi" w:cs="*Arial-5990-Identity-H"/>
          <w:color w:val="14141C"/>
          <w:sz w:val="21"/>
          <w:szCs w:val="21"/>
        </w:rPr>
        <w:t xml:space="preserve"> </w:t>
      </w:r>
      <w:r w:rsidRPr="00D9374F">
        <w:rPr>
          <w:rFonts w:ascii="Abadi" w:hAnsi="Abadi" w:cs="*Arial-5990-Identity-H"/>
          <w:color w:val="14141C"/>
          <w:sz w:val="21"/>
          <w:szCs w:val="21"/>
        </w:rPr>
        <w:t>Poder Legislativo, nos permitimos someter a la consideración de la Asamblea, la</w:t>
      </w:r>
      <w:r>
        <w:rPr>
          <w:rFonts w:ascii="Abadi" w:hAnsi="Abadi" w:cs="*Arial-5990-Identity-H"/>
          <w:color w:val="14141C"/>
          <w:sz w:val="21"/>
          <w:szCs w:val="21"/>
        </w:rPr>
        <w:t xml:space="preserve"> </w:t>
      </w:r>
      <w:r w:rsidRPr="00D9374F">
        <w:rPr>
          <w:rFonts w:ascii="Abadi" w:hAnsi="Abadi" w:cs="*Arial-5990-Identity-H"/>
          <w:color w:val="14141C"/>
          <w:sz w:val="21"/>
          <w:szCs w:val="21"/>
        </w:rPr>
        <w:t>aprobación del siguiente:</w:t>
      </w:r>
    </w:p>
    <w:p w14:paraId="6BB56BCD" w14:textId="77777777" w:rsidR="00C54578" w:rsidRDefault="00C54578" w:rsidP="00C54578">
      <w:pPr>
        <w:autoSpaceDE w:val="0"/>
        <w:autoSpaceDN w:val="0"/>
        <w:adjustRightInd w:val="0"/>
        <w:jc w:val="both"/>
        <w:rPr>
          <w:rFonts w:ascii="Abadi" w:hAnsi="Abadi" w:cs="*Arial-Bold-5991-Identity-H"/>
          <w:b/>
          <w:bCs/>
          <w:color w:val="151422"/>
          <w:sz w:val="21"/>
          <w:szCs w:val="21"/>
        </w:rPr>
      </w:pPr>
    </w:p>
    <w:p w14:paraId="29F58B8A" w14:textId="77777777" w:rsidR="00C54578" w:rsidRDefault="00C54578" w:rsidP="00C54578">
      <w:pPr>
        <w:autoSpaceDE w:val="0"/>
        <w:autoSpaceDN w:val="0"/>
        <w:adjustRightInd w:val="0"/>
        <w:jc w:val="center"/>
        <w:rPr>
          <w:rFonts w:ascii="Abadi" w:hAnsi="Abadi" w:cs="*Arial-Bold-5991-Identity-H"/>
          <w:b/>
          <w:bCs/>
          <w:color w:val="151422"/>
          <w:sz w:val="21"/>
          <w:szCs w:val="21"/>
        </w:rPr>
      </w:pPr>
      <w:r w:rsidRPr="00D9374F">
        <w:rPr>
          <w:rFonts w:ascii="Abadi" w:hAnsi="Abadi" w:cs="*Arial-Bold-5991-Identity-H"/>
          <w:b/>
          <w:bCs/>
          <w:color w:val="151422"/>
          <w:sz w:val="21"/>
          <w:szCs w:val="21"/>
        </w:rPr>
        <w:t>ACUERDO</w:t>
      </w:r>
    </w:p>
    <w:p w14:paraId="4BF6EE8B" w14:textId="77777777" w:rsidR="00C54578" w:rsidRPr="00D9374F" w:rsidRDefault="00C54578" w:rsidP="00C54578">
      <w:pPr>
        <w:autoSpaceDE w:val="0"/>
        <w:autoSpaceDN w:val="0"/>
        <w:adjustRightInd w:val="0"/>
        <w:jc w:val="center"/>
        <w:rPr>
          <w:rFonts w:ascii="Abadi" w:hAnsi="Abadi" w:cs="*Arial-Bold-5991-Identity-H"/>
          <w:b/>
          <w:bCs/>
          <w:color w:val="151422"/>
          <w:sz w:val="21"/>
          <w:szCs w:val="21"/>
        </w:rPr>
      </w:pPr>
    </w:p>
    <w:p w14:paraId="5B2A3A4A" w14:textId="77777777" w:rsidR="00C54578" w:rsidRDefault="00C54578" w:rsidP="00C54578">
      <w:pPr>
        <w:autoSpaceDE w:val="0"/>
        <w:autoSpaceDN w:val="0"/>
        <w:adjustRightInd w:val="0"/>
        <w:ind w:firstLine="708"/>
        <w:jc w:val="both"/>
        <w:rPr>
          <w:rFonts w:ascii="Abadi" w:hAnsi="Abadi" w:cs="*Arial-5218-Identity-H"/>
          <w:color w:val="15141D"/>
          <w:sz w:val="21"/>
          <w:szCs w:val="21"/>
        </w:rPr>
      </w:pPr>
      <w:r w:rsidRPr="00D9374F">
        <w:rPr>
          <w:rFonts w:ascii="Abadi" w:hAnsi="Abadi" w:cs="*Arial-Bold-5991-Identity-H"/>
          <w:b/>
          <w:bCs/>
          <w:color w:val="15141C"/>
          <w:sz w:val="21"/>
          <w:szCs w:val="21"/>
        </w:rPr>
        <w:t xml:space="preserve">Único. </w:t>
      </w:r>
      <w:r w:rsidRPr="00D9374F">
        <w:rPr>
          <w:rFonts w:ascii="Abadi" w:hAnsi="Abadi" w:cs="*Arial-5990-Identity-H"/>
          <w:color w:val="15141C"/>
          <w:sz w:val="21"/>
          <w:szCs w:val="21"/>
        </w:rPr>
        <w:t>Con fundamento en el artículo 63 fracción XIX de la Constitución</w:t>
      </w:r>
      <w:r>
        <w:rPr>
          <w:rFonts w:ascii="Abadi" w:hAnsi="Abadi" w:cs="*Arial-5990-Identity-H"/>
          <w:color w:val="15141C"/>
          <w:sz w:val="21"/>
          <w:szCs w:val="21"/>
        </w:rPr>
        <w:t xml:space="preserve"> </w:t>
      </w:r>
      <w:r w:rsidRPr="00D9374F">
        <w:rPr>
          <w:rFonts w:ascii="Abadi" w:hAnsi="Abadi" w:cs="*Arial-5990-Identity-H"/>
          <w:color w:val="15141C"/>
          <w:sz w:val="21"/>
          <w:szCs w:val="21"/>
        </w:rPr>
        <w:t>Política para el Estado, en relación con los artículos 3, fracción V, 5, fracción IV,</w:t>
      </w:r>
      <w:r>
        <w:rPr>
          <w:rFonts w:ascii="Abadi" w:hAnsi="Abadi" w:cs="*Arial-5990-Identity-H"/>
          <w:color w:val="15141C"/>
          <w:sz w:val="21"/>
          <w:szCs w:val="21"/>
        </w:rPr>
        <w:t xml:space="preserve"> </w:t>
      </w:r>
      <w:r w:rsidRPr="00D9374F">
        <w:rPr>
          <w:rFonts w:ascii="Abadi" w:hAnsi="Abadi" w:cs="*Arial-5990-Identity-H"/>
          <w:color w:val="15141C"/>
          <w:sz w:val="21"/>
          <w:szCs w:val="21"/>
        </w:rPr>
        <w:t>56, 59 y 60 de la Ley de Fiscalización Superior del Estado de Guanajuato y 28 del</w:t>
      </w:r>
      <w:r>
        <w:rPr>
          <w:rFonts w:ascii="Abadi" w:hAnsi="Abadi" w:cs="*Arial-5990-Identity-H"/>
          <w:color w:val="15141C"/>
          <w:sz w:val="21"/>
          <w:szCs w:val="21"/>
        </w:rPr>
        <w:t xml:space="preserve"> </w:t>
      </w:r>
      <w:r w:rsidRPr="00D9374F">
        <w:rPr>
          <w:rFonts w:ascii="Abadi" w:hAnsi="Abadi" w:cs="*Arial-5990-Identity-H"/>
          <w:color w:val="15141C"/>
          <w:sz w:val="21"/>
          <w:szCs w:val="21"/>
        </w:rPr>
        <w:t>Reglamento de la Ley de Fiscalización Superior del Estado de Guanajuato, se</w:t>
      </w:r>
      <w:r>
        <w:rPr>
          <w:rFonts w:ascii="Abadi" w:hAnsi="Abadi" w:cs="*Arial-5990-Identity-H"/>
          <w:color w:val="15141C"/>
          <w:sz w:val="21"/>
          <w:szCs w:val="21"/>
        </w:rPr>
        <w:t xml:space="preserve"> </w:t>
      </w:r>
      <w:r w:rsidRPr="00D9374F">
        <w:rPr>
          <w:rFonts w:ascii="Abadi" w:hAnsi="Abadi" w:cs="*Arial-5990-Identity-H"/>
          <w:color w:val="15141C"/>
          <w:sz w:val="21"/>
          <w:szCs w:val="21"/>
        </w:rPr>
        <w:t>aprueba el informe de resultados formulado por la Auditoría Superior del Estado</w:t>
      </w:r>
      <w:r>
        <w:rPr>
          <w:rFonts w:ascii="Abadi" w:hAnsi="Abadi" w:cs="*Arial-5990-Identity-H"/>
          <w:color w:val="15141C"/>
          <w:sz w:val="21"/>
          <w:szCs w:val="21"/>
        </w:rPr>
        <w:t xml:space="preserve"> </w:t>
      </w:r>
      <w:r w:rsidRPr="00D9374F">
        <w:rPr>
          <w:rFonts w:ascii="Abadi" w:hAnsi="Abadi" w:cs="*Arial-5990-Identity-H"/>
          <w:color w:val="15141C"/>
          <w:sz w:val="21"/>
          <w:szCs w:val="21"/>
        </w:rPr>
        <w:t>de Guanajuato, de la auditoría de desempeño practicada a la administración</w:t>
      </w:r>
      <w:r>
        <w:rPr>
          <w:rFonts w:ascii="Abadi" w:hAnsi="Abadi" w:cs="*Arial-5990-Identity-H"/>
          <w:color w:val="15141C"/>
          <w:sz w:val="21"/>
          <w:szCs w:val="21"/>
        </w:rPr>
        <w:t xml:space="preserve"> </w:t>
      </w:r>
      <w:r w:rsidRPr="00D9374F">
        <w:rPr>
          <w:rFonts w:ascii="Abadi" w:hAnsi="Abadi" w:cs="*Arial-5990-Identity-H"/>
          <w:color w:val="15141C"/>
          <w:sz w:val="21"/>
          <w:szCs w:val="21"/>
        </w:rPr>
        <w:t>municipal de Ocamp</w:t>
      </w:r>
      <w:r>
        <w:rPr>
          <w:rFonts w:ascii="Abadi" w:hAnsi="Abadi" w:cs="*Arial-5990-Identity-H"/>
          <w:color w:val="15141C"/>
          <w:sz w:val="21"/>
          <w:szCs w:val="21"/>
        </w:rPr>
        <w:t>o</w:t>
      </w:r>
      <w:r w:rsidRPr="00D9374F">
        <w:rPr>
          <w:rFonts w:ascii="Abadi" w:hAnsi="Abadi" w:cs="*Arial-5990-Identity-H"/>
          <w:color w:val="15141C"/>
          <w:sz w:val="21"/>
          <w:szCs w:val="21"/>
        </w:rPr>
        <w:t>, Gto., con enfoque a resultados del servicio de alumbrado</w:t>
      </w:r>
      <w:r>
        <w:rPr>
          <w:rFonts w:ascii="Abadi" w:hAnsi="Abadi" w:cs="*Arial-5990-Identity-H"/>
          <w:color w:val="15141C"/>
          <w:sz w:val="21"/>
          <w:szCs w:val="21"/>
        </w:rPr>
        <w:t xml:space="preserve"> </w:t>
      </w:r>
      <w:r w:rsidRPr="00D9374F">
        <w:rPr>
          <w:rFonts w:ascii="Abadi" w:hAnsi="Abadi" w:cs="*Arial-5218-Identity-H"/>
          <w:color w:val="15141D"/>
          <w:sz w:val="21"/>
          <w:szCs w:val="21"/>
        </w:rPr>
        <w:t>público, por el periodo comprendido del 1 de enero al 31 de diciembre del ejercicio</w:t>
      </w:r>
      <w:r>
        <w:rPr>
          <w:rFonts w:ascii="Abadi" w:hAnsi="Abadi" w:cs="*Arial-5218-Identity-H"/>
          <w:color w:val="15141D"/>
          <w:sz w:val="21"/>
          <w:szCs w:val="21"/>
        </w:rPr>
        <w:t xml:space="preserve"> </w:t>
      </w:r>
      <w:r w:rsidRPr="00D9374F">
        <w:rPr>
          <w:rFonts w:ascii="Abadi" w:hAnsi="Abadi" w:cs="*Arial-5218-Identity-H"/>
          <w:color w:val="15141D"/>
          <w:sz w:val="21"/>
          <w:szCs w:val="21"/>
        </w:rPr>
        <w:t>fiscal del año 2020.</w:t>
      </w:r>
    </w:p>
    <w:p w14:paraId="7E0B0305" w14:textId="77777777" w:rsidR="00C54578" w:rsidRPr="00D9374F" w:rsidRDefault="00C54578" w:rsidP="00C54578">
      <w:pPr>
        <w:autoSpaceDE w:val="0"/>
        <w:autoSpaceDN w:val="0"/>
        <w:adjustRightInd w:val="0"/>
        <w:jc w:val="both"/>
        <w:rPr>
          <w:rFonts w:ascii="Abadi" w:hAnsi="Abadi" w:cs="*Arial-5218-Identity-H"/>
          <w:color w:val="15141D"/>
          <w:sz w:val="21"/>
          <w:szCs w:val="21"/>
        </w:rPr>
      </w:pPr>
    </w:p>
    <w:p w14:paraId="077FC45E" w14:textId="77777777" w:rsidR="00C54578" w:rsidRDefault="00C54578" w:rsidP="00C54578">
      <w:pPr>
        <w:autoSpaceDE w:val="0"/>
        <w:autoSpaceDN w:val="0"/>
        <w:adjustRightInd w:val="0"/>
        <w:ind w:firstLine="708"/>
        <w:jc w:val="both"/>
        <w:rPr>
          <w:rFonts w:ascii="Abadi" w:hAnsi="Abadi" w:cs="*Arial-5218-Identity-H"/>
          <w:color w:val="14141C"/>
          <w:sz w:val="21"/>
          <w:szCs w:val="21"/>
        </w:rPr>
      </w:pPr>
      <w:r w:rsidRPr="00D9374F">
        <w:rPr>
          <w:rFonts w:ascii="Abadi" w:hAnsi="Abadi" w:cs="*Arial-5218-Identity-H"/>
          <w:color w:val="14141C"/>
          <w:sz w:val="21"/>
          <w:szCs w:val="21"/>
        </w:rPr>
        <w:t>Se ordena dar vista del informe de resultados al ayuntamiento del municipio</w:t>
      </w:r>
      <w:r>
        <w:rPr>
          <w:rFonts w:ascii="Abadi" w:hAnsi="Abadi" w:cs="*Arial-5218-Identity-H"/>
          <w:color w:val="14141C"/>
          <w:sz w:val="21"/>
          <w:szCs w:val="21"/>
        </w:rPr>
        <w:t xml:space="preserve"> </w:t>
      </w:r>
      <w:r w:rsidRPr="00D9374F">
        <w:rPr>
          <w:rFonts w:ascii="Abadi" w:hAnsi="Abadi" w:cs="*Arial-5218-Identity-H"/>
          <w:color w:val="14141C"/>
          <w:sz w:val="21"/>
          <w:szCs w:val="21"/>
        </w:rPr>
        <w:t>de Ocampo, Gto., a efecto de que se atiendan las recomendaciones contenidas en</w:t>
      </w:r>
      <w:r>
        <w:rPr>
          <w:rFonts w:ascii="Abadi" w:hAnsi="Abadi" w:cs="*Arial-5218-Identity-H"/>
          <w:color w:val="14141C"/>
          <w:sz w:val="21"/>
          <w:szCs w:val="21"/>
        </w:rPr>
        <w:t xml:space="preserve"> </w:t>
      </w:r>
      <w:r w:rsidRPr="00D9374F">
        <w:rPr>
          <w:rFonts w:ascii="Abadi" w:hAnsi="Abadi" w:cs="*Arial-5218-Identity-H"/>
          <w:color w:val="14141C"/>
          <w:sz w:val="21"/>
          <w:szCs w:val="21"/>
        </w:rPr>
        <w:t>el informe de resultados, informando a la Auditoría Superior del Estado de las</w:t>
      </w:r>
      <w:r>
        <w:rPr>
          <w:rFonts w:ascii="Abadi" w:hAnsi="Abadi" w:cs="*Arial-5218-Identity-H"/>
          <w:color w:val="14141C"/>
          <w:sz w:val="21"/>
          <w:szCs w:val="21"/>
        </w:rPr>
        <w:t xml:space="preserve"> </w:t>
      </w:r>
      <w:r w:rsidRPr="00D9374F">
        <w:rPr>
          <w:rFonts w:ascii="Abadi" w:hAnsi="Abadi" w:cs="*Arial-5218-Identity-H"/>
          <w:color w:val="14141C"/>
          <w:sz w:val="21"/>
          <w:szCs w:val="21"/>
        </w:rPr>
        <w:t>acciones realizadas para ello, con objeto de que esta última realice el seguimiento</w:t>
      </w:r>
      <w:r>
        <w:rPr>
          <w:rFonts w:ascii="Abadi" w:hAnsi="Abadi" w:cs="*Arial-5218-Identity-H"/>
          <w:color w:val="14141C"/>
          <w:sz w:val="21"/>
          <w:szCs w:val="21"/>
        </w:rPr>
        <w:t xml:space="preserve"> </w:t>
      </w:r>
      <w:r w:rsidRPr="00D9374F">
        <w:rPr>
          <w:rFonts w:ascii="Abadi" w:hAnsi="Abadi" w:cs="*Arial-5218-Identity-H"/>
          <w:color w:val="14141C"/>
          <w:sz w:val="21"/>
          <w:szCs w:val="21"/>
        </w:rPr>
        <w:t>correspondiente, previsto en los artículos 37, fracción VII, 65 y 66 de la Ley de</w:t>
      </w:r>
      <w:r>
        <w:rPr>
          <w:rFonts w:ascii="Abadi" w:hAnsi="Abadi" w:cs="*Arial-5218-Identity-H"/>
          <w:color w:val="14141C"/>
          <w:sz w:val="21"/>
          <w:szCs w:val="21"/>
        </w:rPr>
        <w:t xml:space="preserve"> </w:t>
      </w:r>
      <w:r w:rsidRPr="00D9374F">
        <w:rPr>
          <w:rFonts w:ascii="Abadi" w:hAnsi="Abadi" w:cs="*Arial-5218-Identity-H"/>
          <w:color w:val="14141C"/>
          <w:sz w:val="21"/>
          <w:szCs w:val="21"/>
        </w:rPr>
        <w:t>Fiscalización Superior del Estado de Guanajuato y 77 del Reglamento de dicha</w:t>
      </w:r>
      <w:r>
        <w:rPr>
          <w:rFonts w:ascii="Abadi" w:hAnsi="Abadi" w:cs="*Arial-5218-Identity-H"/>
          <w:color w:val="14141C"/>
          <w:sz w:val="21"/>
          <w:szCs w:val="21"/>
        </w:rPr>
        <w:t xml:space="preserve"> </w:t>
      </w:r>
      <w:r w:rsidRPr="00D9374F">
        <w:rPr>
          <w:rFonts w:ascii="Abadi" w:hAnsi="Abadi" w:cs="*Arial-5218-Identity-H"/>
          <w:color w:val="14141C"/>
          <w:sz w:val="21"/>
          <w:szCs w:val="21"/>
        </w:rPr>
        <w:t>Ley.</w:t>
      </w:r>
    </w:p>
    <w:p w14:paraId="4B9CECD7" w14:textId="77777777" w:rsidR="00C54578" w:rsidRPr="00D9374F" w:rsidRDefault="00C54578" w:rsidP="00C54578">
      <w:pPr>
        <w:autoSpaceDE w:val="0"/>
        <w:autoSpaceDN w:val="0"/>
        <w:adjustRightInd w:val="0"/>
        <w:jc w:val="both"/>
        <w:rPr>
          <w:rFonts w:ascii="Abadi" w:hAnsi="Abadi" w:cs="*Arial-5218-Identity-H"/>
          <w:color w:val="14141C"/>
          <w:sz w:val="21"/>
          <w:szCs w:val="21"/>
        </w:rPr>
      </w:pPr>
    </w:p>
    <w:p w14:paraId="5E36D1C4" w14:textId="1E12800D" w:rsidR="00C54578" w:rsidRDefault="00C54578" w:rsidP="00C54578">
      <w:pPr>
        <w:autoSpaceDE w:val="0"/>
        <w:autoSpaceDN w:val="0"/>
        <w:adjustRightInd w:val="0"/>
        <w:ind w:firstLine="708"/>
        <w:jc w:val="both"/>
        <w:rPr>
          <w:rFonts w:ascii="Abadi" w:hAnsi="Abadi" w:cs="*Arial-5218-Identity-H"/>
          <w:color w:val="16141D"/>
          <w:sz w:val="21"/>
          <w:szCs w:val="21"/>
        </w:rPr>
      </w:pPr>
      <w:r w:rsidRPr="00D9374F">
        <w:rPr>
          <w:rFonts w:ascii="Abadi" w:hAnsi="Abadi" w:cs="*Arial-5218-Identity-H"/>
          <w:color w:val="15151E"/>
          <w:sz w:val="21"/>
          <w:szCs w:val="21"/>
        </w:rPr>
        <w:t>De conformidad con el artículo 37, fracción VI e la Ley de Fiscalización</w:t>
      </w:r>
      <w:r>
        <w:rPr>
          <w:rFonts w:ascii="Abadi" w:hAnsi="Abadi" w:cs="*Arial-5218-Identity-H"/>
          <w:color w:val="15151E"/>
          <w:sz w:val="21"/>
          <w:szCs w:val="21"/>
        </w:rPr>
        <w:t xml:space="preserve"> </w:t>
      </w:r>
      <w:r w:rsidRPr="00D9374F">
        <w:rPr>
          <w:rFonts w:ascii="Abadi" w:hAnsi="Abadi" w:cs="*Arial-5218-Identity-H"/>
          <w:color w:val="15151E"/>
          <w:sz w:val="21"/>
          <w:szCs w:val="21"/>
        </w:rPr>
        <w:t xml:space="preserve">Superior del Estado de Guanajuato, remítase el </w:t>
      </w:r>
      <w:r>
        <w:rPr>
          <w:rFonts w:ascii="Abadi" w:hAnsi="Abadi" w:cs="*Arial-5218-Identity-H"/>
          <w:color w:val="15151E"/>
          <w:sz w:val="21"/>
          <w:szCs w:val="21"/>
        </w:rPr>
        <w:t xml:space="preserve">presente acuerdo </w:t>
      </w:r>
      <w:r w:rsidRPr="00D9374F">
        <w:rPr>
          <w:rFonts w:ascii="Abadi" w:hAnsi="Abadi" w:cs="*Arial-5218-Identity-H"/>
          <w:color w:val="15151E"/>
          <w:sz w:val="21"/>
          <w:szCs w:val="21"/>
        </w:rPr>
        <w:t>junto con su</w:t>
      </w:r>
      <w:r>
        <w:rPr>
          <w:rFonts w:ascii="Abadi" w:hAnsi="Abadi" w:cs="*Arial-5218-Identity-H"/>
          <w:color w:val="15151E"/>
          <w:sz w:val="21"/>
          <w:szCs w:val="21"/>
        </w:rPr>
        <w:t xml:space="preserve"> </w:t>
      </w:r>
      <w:r w:rsidRPr="00D9374F">
        <w:rPr>
          <w:rFonts w:ascii="Abadi" w:hAnsi="Abadi" w:cs="*Arial-5218-Identity-H"/>
          <w:color w:val="15151E"/>
          <w:sz w:val="21"/>
          <w:szCs w:val="21"/>
        </w:rPr>
        <w:t>dictamen y el informe de resultados a la Audi</w:t>
      </w:r>
      <w:r>
        <w:rPr>
          <w:rFonts w:ascii="Abadi" w:hAnsi="Abadi" w:cs="*Arial-5218-Identity-H"/>
          <w:color w:val="15151E"/>
          <w:sz w:val="21"/>
          <w:szCs w:val="21"/>
        </w:rPr>
        <w:t>toria</w:t>
      </w:r>
      <w:r w:rsidRPr="00D9374F">
        <w:rPr>
          <w:rFonts w:ascii="Abadi" w:hAnsi="Abadi" w:cs="*Arial-5218-Identity-H"/>
          <w:color w:val="15151E"/>
          <w:sz w:val="21"/>
          <w:szCs w:val="21"/>
        </w:rPr>
        <w:t xml:space="preserve"> S</w:t>
      </w:r>
      <w:r>
        <w:rPr>
          <w:rFonts w:ascii="Abadi" w:hAnsi="Abadi" w:cs="*Arial-5218-Identity-H"/>
          <w:color w:val="15151E"/>
          <w:sz w:val="21"/>
          <w:szCs w:val="21"/>
        </w:rPr>
        <w:t>uperior</w:t>
      </w:r>
      <w:r w:rsidRPr="00D9374F">
        <w:rPr>
          <w:rFonts w:ascii="Abadi" w:hAnsi="Abadi" w:cs="*Arial-5218-Identity-H"/>
          <w:color w:val="15151E"/>
          <w:sz w:val="21"/>
          <w:szCs w:val="21"/>
        </w:rPr>
        <w:t xml:space="preserve"> del Estado, para</w:t>
      </w:r>
      <w:r>
        <w:rPr>
          <w:rFonts w:ascii="Abadi" w:hAnsi="Abadi" w:cs="*Arial-5218-Identity-H"/>
          <w:color w:val="15151E"/>
          <w:sz w:val="21"/>
          <w:szCs w:val="21"/>
        </w:rPr>
        <w:t xml:space="preserve"> </w:t>
      </w:r>
      <w:r w:rsidRPr="00D9374F">
        <w:rPr>
          <w:rFonts w:ascii="Abadi" w:hAnsi="Abadi" w:cs="*Arial-5218-Identity-H"/>
          <w:color w:val="16141D"/>
          <w:sz w:val="21"/>
          <w:szCs w:val="21"/>
        </w:rPr>
        <w:t>efectos de su notificación.</w:t>
      </w:r>
    </w:p>
    <w:p w14:paraId="46C736FB" w14:textId="10B80005" w:rsidR="00C54578" w:rsidRDefault="00C54578" w:rsidP="00C54578">
      <w:pPr>
        <w:autoSpaceDE w:val="0"/>
        <w:autoSpaceDN w:val="0"/>
        <w:adjustRightInd w:val="0"/>
        <w:ind w:firstLine="708"/>
        <w:jc w:val="both"/>
        <w:rPr>
          <w:rFonts w:ascii="Abadi" w:hAnsi="Abadi" w:cs="*Arial-5218-Identity-H"/>
          <w:color w:val="16141D"/>
          <w:sz w:val="21"/>
          <w:szCs w:val="21"/>
        </w:rPr>
      </w:pPr>
    </w:p>
    <w:p w14:paraId="502BCE55" w14:textId="77777777" w:rsidR="00C54578" w:rsidRDefault="00C54578" w:rsidP="00C54578">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Guanajuato, Gto., 5 de abril de 2022</w:t>
      </w:r>
    </w:p>
    <w:p w14:paraId="3B977B54" w14:textId="77777777" w:rsidR="00C54578" w:rsidRDefault="00C54578" w:rsidP="00C54578">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La Comisión de Hacienda y Fiscalización</w:t>
      </w:r>
    </w:p>
    <w:p w14:paraId="3D63274C" w14:textId="77777777" w:rsidR="00C54578" w:rsidRDefault="00C54578" w:rsidP="00C54578">
      <w:pPr>
        <w:autoSpaceDE w:val="0"/>
        <w:autoSpaceDN w:val="0"/>
        <w:adjustRightInd w:val="0"/>
        <w:ind w:firstLine="708"/>
        <w:jc w:val="both"/>
        <w:rPr>
          <w:rFonts w:ascii="Abadi" w:hAnsi="Abadi" w:cs="*Arial-6038-Identity-H"/>
          <w:b/>
          <w:bCs/>
          <w:color w:val="0E0D10"/>
          <w:sz w:val="21"/>
          <w:szCs w:val="21"/>
        </w:rPr>
      </w:pPr>
    </w:p>
    <w:p w14:paraId="1FE76A06" w14:textId="77777777" w:rsidR="00C54578" w:rsidRDefault="00C54578" w:rsidP="00C54578">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 Víctor Manuel Zanella Huerta</w:t>
      </w:r>
    </w:p>
    <w:p w14:paraId="0BDB32BD" w14:textId="77777777" w:rsidR="00C54578" w:rsidRDefault="00C54578" w:rsidP="00C54578">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Diputada Ruth Noemí Tiscareño Agoitia</w:t>
      </w:r>
    </w:p>
    <w:p w14:paraId="733625DE" w14:textId="77777777" w:rsidR="00C54578" w:rsidRDefault="00C54578" w:rsidP="00C54578">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Miguel ángel Salim Alle</w:t>
      </w:r>
    </w:p>
    <w:p w14:paraId="7F57B21A" w14:textId="77777777" w:rsidR="00C54578" w:rsidRDefault="00C54578" w:rsidP="00C54578">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José alonso Borja Pimentel</w:t>
      </w:r>
    </w:p>
    <w:p w14:paraId="62588468" w14:textId="77777777" w:rsidR="00C54578" w:rsidRDefault="00C54578" w:rsidP="00C54578">
      <w:pPr>
        <w:autoSpaceDE w:val="0"/>
        <w:autoSpaceDN w:val="0"/>
        <w:adjustRightInd w:val="0"/>
        <w:jc w:val="both"/>
        <w:rPr>
          <w:rFonts w:ascii="Abadi" w:hAnsi="Abadi"/>
          <w:b/>
          <w:bCs/>
          <w:sz w:val="21"/>
          <w:szCs w:val="21"/>
        </w:rPr>
      </w:pPr>
      <w:r>
        <w:rPr>
          <w:rFonts w:ascii="Abadi" w:hAnsi="Abadi" w:cs="*Arial-6038-Identity-H"/>
          <w:b/>
          <w:bCs/>
          <w:color w:val="0E0D10"/>
          <w:sz w:val="21"/>
          <w:szCs w:val="21"/>
        </w:rPr>
        <w:t>Diputada Alma Edwviges Alcaraz Hernández</w:t>
      </w:r>
    </w:p>
    <w:p w14:paraId="7DE575FC" w14:textId="77777777" w:rsidR="00C54578" w:rsidRPr="00D9374F" w:rsidRDefault="00C54578" w:rsidP="00C54578">
      <w:pPr>
        <w:autoSpaceDE w:val="0"/>
        <w:autoSpaceDN w:val="0"/>
        <w:adjustRightInd w:val="0"/>
        <w:ind w:firstLine="708"/>
        <w:jc w:val="both"/>
        <w:rPr>
          <w:rFonts w:ascii="Abadi" w:hAnsi="Abadi"/>
          <w:sz w:val="21"/>
          <w:szCs w:val="21"/>
        </w:rPr>
      </w:pPr>
    </w:p>
    <w:p w14:paraId="1CF6CEE9" w14:textId="77777777" w:rsidR="006F3002" w:rsidRPr="00293312" w:rsidRDefault="006F3002" w:rsidP="006F3002">
      <w:pPr>
        <w:autoSpaceDE w:val="0"/>
        <w:autoSpaceDN w:val="0"/>
        <w:adjustRightInd w:val="0"/>
        <w:jc w:val="both"/>
        <w:rPr>
          <w:rFonts w:ascii="Abadi" w:hAnsi="Abadi" w:cs="Arial-BoldMT"/>
          <w:b/>
          <w:bCs/>
          <w:sz w:val="20"/>
          <w:szCs w:val="21"/>
        </w:rPr>
      </w:pPr>
    </w:p>
    <w:p w14:paraId="347006C2" w14:textId="607BDB9E" w:rsidR="006F3002" w:rsidRDefault="006F3002" w:rsidP="005C6EBB">
      <w:pPr>
        <w:pStyle w:val="Prrafodelista"/>
        <w:numPr>
          <w:ilvl w:val="0"/>
          <w:numId w:val="8"/>
        </w:numPr>
        <w:autoSpaceDE w:val="0"/>
        <w:autoSpaceDN w:val="0"/>
        <w:adjustRightInd w:val="0"/>
        <w:ind w:left="426"/>
        <w:jc w:val="both"/>
        <w:rPr>
          <w:rFonts w:ascii="Abadi" w:hAnsi="Abadi" w:cs="ArialMT"/>
          <w:b/>
          <w:bCs/>
          <w:sz w:val="20"/>
          <w:szCs w:val="21"/>
        </w:rPr>
      </w:pPr>
      <w:r w:rsidRPr="006F3002">
        <w:rPr>
          <w:rFonts w:ascii="Abadi" w:hAnsi="Abadi" w:cs="ArialMT"/>
          <w:b/>
          <w:bCs/>
          <w:sz w:val="20"/>
          <w:szCs w:val="21"/>
        </w:rPr>
        <w:t>DISCUSIÓN Y, EN SU CASO, APROBACIÓN DEL DICTAMEN EMITIDO POR LA COMISIÓN DE HACIENDA Y FISCALIZACIÓN RELATIVO AL INFORME DE RESULTADOS DE LA AUDITORÍA DE DESEMPEÑO PRACTICADA POR LA AUDITORÍA SUPERIOR DEL ESTADO DE GUANAJUATO A LA ADMINISTRACIÓN MUNICIPAL DE GUANAJUATO, GTO., CON ENFOQUE A RESULTADOS DEL SERVICIO DE ALUMBRADO PÚBLICO, POR EL PERIODO COMPRENDIDO DEL 1 DE ENERO AL 31 DE DICIEMBRE DEL EJERCICIO FISCAL DEL AÑO 2020.</w:t>
      </w:r>
    </w:p>
    <w:p w14:paraId="0AA53915" w14:textId="18FE6C6F" w:rsidR="00313CE6" w:rsidRDefault="00313CE6" w:rsidP="00313CE6">
      <w:pPr>
        <w:autoSpaceDE w:val="0"/>
        <w:autoSpaceDN w:val="0"/>
        <w:adjustRightInd w:val="0"/>
        <w:jc w:val="both"/>
        <w:rPr>
          <w:rFonts w:ascii="Abadi" w:hAnsi="Abadi" w:cs="ArialMT"/>
          <w:b/>
          <w:bCs/>
          <w:sz w:val="20"/>
          <w:szCs w:val="21"/>
        </w:rPr>
      </w:pPr>
    </w:p>
    <w:p w14:paraId="5A602697" w14:textId="77777777" w:rsidR="00313CE6" w:rsidRPr="00C45D54" w:rsidRDefault="00313CE6" w:rsidP="00313CE6">
      <w:pPr>
        <w:autoSpaceDE w:val="0"/>
        <w:autoSpaceDN w:val="0"/>
        <w:adjustRightInd w:val="0"/>
        <w:jc w:val="both"/>
        <w:rPr>
          <w:rFonts w:ascii="Abadi" w:hAnsi="Abadi" w:cs="*Arial-Bold-5465-Identity-H"/>
          <w:b/>
          <w:bCs/>
          <w:color w:val="15131E"/>
          <w:sz w:val="21"/>
          <w:szCs w:val="21"/>
        </w:rPr>
      </w:pPr>
      <w:r w:rsidRPr="00C45D54">
        <w:rPr>
          <w:rFonts w:ascii="Abadi" w:hAnsi="Abadi" w:cs="*Arial-Bold-5465-Identity-H"/>
          <w:b/>
          <w:bCs/>
          <w:color w:val="15131E"/>
          <w:sz w:val="21"/>
          <w:szCs w:val="21"/>
        </w:rPr>
        <w:t>C. PRESIDENTA DEL CONGRESO DEL ESTADO.</w:t>
      </w:r>
    </w:p>
    <w:p w14:paraId="35B551FD" w14:textId="77777777" w:rsidR="00313CE6" w:rsidRDefault="00313CE6" w:rsidP="00313CE6">
      <w:pPr>
        <w:autoSpaceDE w:val="0"/>
        <w:autoSpaceDN w:val="0"/>
        <w:adjustRightInd w:val="0"/>
        <w:jc w:val="both"/>
        <w:rPr>
          <w:rFonts w:ascii="Abadi" w:hAnsi="Abadi" w:cs="*Arial-Bold-5465-Identity-H"/>
          <w:b/>
          <w:bCs/>
          <w:color w:val="15131E"/>
          <w:sz w:val="21"/>
          <w:szCs w:val="21"/>
        </w:rPr>
      </w:pPr>
      <w:r w:rsidRPr="00C45D54">
        <w:rPr>
          <w:rFonts w:ascii="Abadi" w:hAnsi="Abadi" w:cs="*Arial-Bold-5465-Identity-H"/>
          <w:b/>
          <w:bCs/>
          <w:color w:val="15131E"/>
          <w:sz w:val="21"/>
          <w:szCs w:val="21"/>
        </w:rPr>
        <w:t>P R E S</w:t>
      </w:r>
      <w:r>
        <w:rPr>
          <w:rFonts w:ascii="Abadi" w:hAnsi="Abadi" w:cs="*Arial-Bold-5465-Identity-H"/>
          <w:b/>
          <w:bCs/>
          <w:color w:val="15131E"/>
          <w:sz w:val="21"/>
          <w:szCs w:val="21"/>
        </w:rPr>
        <w:t xml:space="preserve"> </w:t>
      </w:r>
      <w:r w:rsidRPr="00C45D54">
        <w:rPr>
          <w:rFonts w:ascii="Abadi" w:hAnsi="Abadi" w:cs="*Arial-Bold-5465-Identity-H"/>
          <w:b/>
          <w:bCs/>
          <w:color w:val="15131E"/>
          <w:sz w:val="21"/>
          <w:szCs w:val="21"/>
        </w:rPr>
        <w:t>E N T</w:t>
      </w:r>
      <w:r>
        <w:rPr>
          <w:rFonts w:ascii="Abadi" w:hAnsi="Abadi" w:cs="*Arial-Bold-5465-Identity-H"/>
          <w:b/>
          <w:bCs/>
          <w:color w:val="15131E"/>
          <w:sz w:val="21"/>
          <w:szCs w:val="21"/>
        </w:rPr>
        <w:t xml:space="preserve"> </w:t>
      </w:r>
      <w:r w:rsidRPr="00C45D54">
        <w:rPr>
          <w:rFonts w:ascii="Abadi" w:hAnsi="Abadi" w:cs="*Arial-Bold-5465-Identity-H"/>
          <w:b/>
          <w:bCs/>
          <w:color w:val="15131E"/>
          <w:sz w:val="21"/>
          <w:szCs w:val="21"/>
        </w:rPr>
        <w:t>E.</w:t>
      </w:r>
    </w:p>
    <w:p w14:paraId="0817164E" w14:textId="77777777" w:rsidR="00313CE6" w:rsidRPr="00C45D54" w:rsidRDefault="00313CE6" w:rsidP="00313CE6">
      <w:pPr>
        <w:autoSpaceDE w:val="0"/>
        <w:autoSpaceDN w:val="0"/>
        <w:adjustRightInd w:val="0"/>
        <w:jc w:val="both"/>
        <w:rPr>
          <w:rFonts w:ascii="Abadi" w:hAnsi="Abadi" w:cs="*Arial-Bold-5465-Identity-H"/>
          <w:b/>
          <w:bCs/>
          <w:color w:val="15131E"/>
          <w:sz w:val="21"/>
          <w:szCs w:val="21"/>
        </w:rPr>
      </w:pPr>
    </w:p>
    <w:p w14:paraId="78BF5512" w14:textId="77777777" w:rsidR="00313CE6" w:rsidRPr="00C45D54" w:rsidRDefault="00313CE6" w:rsidP="00313CE6">
      <w:pPr>
        <w:autoSpaceDE w:val="0"/>
        <w:autoSpaceDN w:val="0"/>
        <w:adjustRightInd w:val="0"/>
        <w:ind w:firstLine="708"/>
        <w:jc w:val="both"/>
        <w:rPr>
          <w:rFonts w:ascii="Abadi" w:hAnsi="Abadi" w:cs="*Arial-5463-Identity-H"/>
          <w:color w:val="15141C"/>
          <w:sz w:val="21"/>
          <w:szCs w:val="21"/>
        </w:rPr>
      </w:pPr>
      <w:r w:rsidRPr="00C45D54">
        <w:rPr>
          <w:rFonts w:ascii="Abadi" w:hAnsi="Abadi" w:cs="*Arial-5463-Identity-H"/>
          <w:color w:val="15141C"/>
          <w:sz w:val="21"/>
          <w:szCs w:val="21"/>
        </w:rPr>
        <w:t>A esta Comisión de Hacienda y Fiscalización le fue turnado para su estudio</w:t>
      </w:r>
      <w:r>
        <w:rPr>
          <w:rFonts w:ascii="Abadi" w:hAnsi="Abadi" w:cs="*Arial-5463-Identity-H"/>
          <w:color w:val="15141C"/>
          <w:sz w:val="21"/>
          <w:szCs w:val="21"/>
        </w:rPr>
        <w:t xml:space="preserve"> </w:t>
      </w:r>
      <w:r w:rsidRPr="00C45D54">
        <w:rPr>
          <w:rFonts w:ascii="Abadi" w:hAnsi="Abadi" w:cs="*Arial-5463-Identity-H"/>
          <w:color w:val="15141C"/>
          <w:sz w:val="21"/>
          <w:szCs w:val="21"/>
        </w:rPr>
        <w:t>y dictamen, el informe de resultados de la auditoría de desempeño practicada por</w:t>
      </w:r>
      <w:r>
        <w:rPr>
          <w:rFonts w:ascii="Abadi" w:hAnsi="Abadi" w:cs="*Arial-5463-Identity-H"/>
          <w:color w:val="15141C"/>
          <w:sz w:val="21"/>
          <w:szCs w:val="21"/>
        </w:rPr>
        <w:t xml:space="preserve"> </w:t>
      </w:r>
      <w:r w:rsidRPr="00C45D54">
        <w:rPr>
          <w:rFonts w:ascii="Abadi" w:hAnsi="Abadi" w:cs="*Arial-5463-Identity-H"/>
          <w:color w:val="15141C"/>
          <w:sz w:val="21"/>
          <w:szCs w:val="21"/>
        </w:rPr>
        <w:t>la Auditoría Superior del Estado de Guanajuato a la administración municipal de</w:t>
      </w:r>
      <w:r>
        <w:rPr>
          <w:rFonts w:ascii="Abadi" w:hAnsi="Abadi" w:cs="*Arial-5463-Identity-H"/>
          <w:color w:val="15141C"/>
          <w:sz w:val="21"/>
          <w:szCs w:val="21"/>
        </w:rPr>
        <w:t xml:space="preserve"> </w:t>
      </w:r>
      <w:r w:rsidRPr="00C45D54">
        <w:rPr>
          <w:rFonts w:ascii="Abadi" w:hAnsi="Abadi" w:cs="*Arial-5463-Identity-H"/>
          <w:color w:val="15141C"/>
          <w:sz w:val="21"/>
          <w:szCs w:val="21"/>
        </w:rPr>
        <w:t>Guanajuato, Gto., con enfoque a resultados del servicio de alumbrado público, por</w:t>
      </w:r>
      <w:r>
        <w:rPr>
          <w:rFonts w:ascii="Abadi" w:hAnsi="Abadi" w:cs="*Arial-5463-Identity-H"/>
          <w:color w:val="15141C"/>
          <w:sz w:val="21"/>
          <w:szCs w:val="21"/>
        </w:rPr>
        <w:t xml:space="preserve"> </w:t>
      </w:r>
      <w:r w:rsidRPr="00C45D54">
        <w:rPr>
          <w:rFonts w:ascii="Abadi" w:hAnsi="Abadi" w:cs="*Arial-5463-Identity-H"/>
          <w:color w:val="15141C"/>
          <w:sz w:val="21"/>
          <w:szCs w:val="21"/>
        </w:rPr>
        <w:t>el periodo comprendido del 1 de enero al 31 de diciembre del ejercicio fiscal del</w:t>
      </w:r>
    </w:p>
    <w:p w14:paraId="5F2F9038" w14:textId="77777777" w:rsidR="00313CE6" w:rsidRDefault="00313CE6" w:rsidP="00313CE6">
      <w:pPr>
        <w:autoSpaceDE w:val="0"/>
        <w:autoSpaceDN w:val="0"/>
        <w:adjustRightInd w:val="0"/>
        <w:jc w:val="both"/>
        <w:rPr>
          <w:rFonts w:ascii="Abadi" w:hAnsi="Abadi" w:cs="*Arial-5463-Identity-H"/>
          <w:color w:val="15141C"/>
          <w:sz w:val="21"/>
          <w:szCs w:val="21"/>
        </w:rPr>
      </w:pPr>
      <w:r w:rsidRPr="00C45D54">
        <w:rPr>
          <w:rFonts w:ascii="Abadi" w:hAnsi="Abadi" w:cs="*Arial-5463-Identity-H"/>
          <w:color w:val="15141C"/>
          <w:sz w:val="21"/>
          <w:szCs w:val="21"/>
        </w:rPr>
        <w:t>año 2020.</w:t>
      </w:r>
    </w:p>
    <w:p w14:paraId="3EBC97C6" w14:textId="77777777" w:rsidR="00313CE6" w:rsidRPr="00C45D54" w:rsidRDefault="00313CE6" w:rsidP="00313CE6">
      <w:pPr>
        <w:autoSpaceDE w:val="0"/>
        <w:autoSpaceDN w:val="0"/>
        <w:adjustRightInd w:val="0"/>
        <w:jc w:val="both"/>
        <w:rPr>
          <w:rFonts w:ascii="Abadi" w:hAnsi="Abadi" w:cs="*Arial-5463-Identity-H"/>
          <w:color w:val="15141C"/>
          <w:sz w:val="21"/>
          <w:szCs w:val="21"/>
        </w:rPr>
      </w:pPr>
    </w:p>
    <w:p w14:paraId="64176231" w14:textId="77777777" w:rsidR="00313CE6" w:rsidRDefault="00313CE6" w:rsidP="00313CE6">
      <w:pPr>
        <w:autoSpaceDE w:val="0"/>
        <w:autoSpaceDN w:val="0"/>
        <w:adjustRightInd w:val="0"/>
        <w:ind w:firstLine="708"/>
        <w:jc w:val="both"/>
        <w:rPr>
          <w:rFonts w:ascii="Abadi" w:hAnsi="Abadi" w:cs="*Arial-5463-Identity-H"/>
          <w:color w:val="15141D"/>
          <w:sz w:val="21"/>
          <w:szCs w:val="21"/>
        </w:rPr>
      </w:pPr>
      <w:r w:rsidRPr="00C45D54">
        <w:rPr>
          <w:rFonts w:ascii="Abadi" w:hAnsi="Abadi" w:cs="*Arial-5463-Identity-H"/>
          <w:color w:val="15141D"/>
          <w:sz w:val="21"/>
          <w:szCs w:val="21"/>
        </w:rPr>
        <w:t>Una vez analizado el referido informe de resultados, con fundamento en los</w:t>
      </w:r>
      <w:r>
        <w:rPr>
          <w:rFonts w:ascii="Abadi" w:hAnsi="Abadi" w:cs="*Arial-5463-Identity-H"/>
          <w:color w:val="15141D"/>
          <w:sz w:val="21"/>
          <w:szCs w:val="21"/>
        </w:rPr>
        <w:t xml:space="preserve"> </w:t>
      </w:r>
      <w:r w:rsidRPr="00C45D54">
        <w:rPr>
          <w:rFonts w:ascii="Abadi" w:hAnsi="Abadi" w:cs="*Arial-5463-Identity-H"/>
          <w:color w:val="15141D"/>
          <w:sz w:val="21"/>
          <w:szCs w:val="21"/>
        </w:rPr>
        <w:t>artículos 112 fracción XII, primer párrafo y 171 de la Ley Orgánica del Poder</w:t>
      </w:r>
      <w:r>
        <w:rPr>
          <w:rFonts w:ascii="Abadi" w:hAnsi="Abadi" w:cs="*Arial-5463-Identity-H"/>
          <w:color w:val="15141D"/>
          <w:sz w:val="21"/>
          <w:szCs w:val="21"/>
        </w:rPr>
        <w:t xml:space="preserve"> </w:t>
      </w:r>
      <w:r w:rsidRPr="00C45D54">
        <w:rPr>
          <w:rFonts w:ascii="Abadi" w:hAnsi="Abadi" w:cs="*Arial-5463-Identity-H"/>
          <w:color w:val="15141D"/>
          <w:sz w:val="21"/>
          <w:szCs w:val="21"/>
        </w:rPr>
        <w:t>Legislativo, nos permitimos rendir el siguiente:</w:t>
      </w:r>
    </w:p>
    <w:p w14:paraId="701ED4C7" w14:textId="77777777" w:rsidR="00313CE6" w:rsidRPr="00C45D54" w:rsidRDefault="00313CE6" w:rsidP="00313CE6">
      <w:pPr>
        <w:autoSpaceDE w:val="0"/>
        <w:autoSpaceDN w:val="0"/>
        <w:adjustRightInd w:val="0"/>
        <w:jc w:val="both"/>
        <w:rPr>
          <w:rFonts w:ascii="Abadi" w:hAnsi="Abadi" w:cs="*Arial-5463-Identity-H"/>
          <w:color w:val="15141D"/>
          <w:sz w:val="21"/>
          <w:szCs w:val="21"/>
        </w:rPr>
      </w:pPr>
    </w:p>
    <w:p w14:paraId="69D5D478" w14:textId="77777777" w:rsidR="00313CE6" w:rsidRDefault="00313CE6" w:rsidP="00313CE6">
      <w:pPr>
        <w:autoSpaceDE w:val="0"/>
        <w:autoSpaceDN w:val="0"/>
        <w:adjustRightInd w:val="0"/>
        <w:jc w:val="center"/>
        <w:rPr>
          <w:rFonts w:ascii="Abadi" w:hAnsi="Abadi" w:cs="*Arial-Bold-5464-Identity-H"/>
          <w:b/>
          <w:bCs/>
          <w:color w:val="141321"/>
          <w:sz w:val="21"/>
          <w:szCs w:val="21"/>
        </w:rPr>
      </w:pPr>
      <w:r w:rsidRPr="00C45D54">
        <w:rPr>
          <w:rFonts w:ascii="Abadi" w:hAnsi="Abadi" w:cs="*Arial-Bold-5464-Identity-H"/>
          <w:b/>
          <w:bCs/>
          <w:color w:val="141321"/>
          <w:sz w:val="21"/>
          <w:szCs w:val="21"/>
        </w:rPr>
        <w:t>Dictamen</w:t>
      </w:r>
    </w:p>
    <w:p w14:paraId="4B44FB4D" w14:textId="77777777" w:rsidR="00313CE6" w:rsidRPr="00C45D54" w:rsidRDefault="00313CE6" w:rsidP="00313CE6">
      <w:pPr>
        <w:autoSpaceDE w:val="0"/>
        <w:autoSpaceDN w:val="0"/>
        <w:adjustRightInd w:val="0"/>
        <w:jc w:val="both"/>
        <w:rPr>
          <w:rFonts w:ascii="Abadi" w:hAnsi="Abadi" w:cs="*Arial-Bold-5464-Identity-H"/>
          <w:b/>
          <w:bCs/>
          <w:color w:val="141321"/>
          <w:sz w:val="21"/>
          <w:szCs w:val="21"/>
        </w:rPr>
      </w:pPr>
    </w:p>
    <w:p w14:paraId="30698E8B" w14:textId="77777777" w:rsidR="00313CE6" w:rsidRDefault="00313CE6" w:rsidP="00313CE6">
      <w:pPr>
        <w:autoSpaceDE w:val="0"/>
        <w:autoSpaceDN w:val="0"/>
        <w:adjustRightInd w:val="0"/>
        <w:ind w:firstLine="708"/>
        <w:jc w:val="both"/>
        <w:rPr>
          <w:rFonts w:ascii="Abadi" w:hAnsi="Abadi" w:cs="*Arial-Bold-5464-Identity-H"/>
          <w:b/>
          <w:bCs/>
          <w:color w:val="14131F"/>
          <w:sz w:val="21"/>
          <w:szCs w:val="21"/>
        </w:rPr>
      </w:pPr>
      <w:r w:rsidRPr="00C45D54">
        <w:rPr>
          <w:rFonts w:ascii="Abadi" w:hAnsi="Abadi" w:cs="*Arial-Bold-5464-Identity-H"/>
          <w:b/>
          <w:bCs/>
          <w:color w:val="14131F"/>
          <w:sz w:val="21"/>
          <w:szCs w:val="21"/>
        </w:rPr>
        <w:t>l. Competencia:</w:t>
      </w:r>
    </w:p>
    <w:p w14:paraId="5C8E2E9B" w14:textId="77777777" w:rsidR="00313CE6" w:rsidRPr="00C45D54" w:rsidRDefault="00313CE6" w:rsidP="00313CE6">
      <w:pPr>
        <w:autoSpaceDE w:val="0"/>
        <w:autoSpaceDN w:val="0"/>
        <w:adjustRightInd w:val="0"/>
        <w:jc w:val="both"/>
        <w:rPr>
          <w:rFonts w:ascii="Abadi" w:hAnsi="Abadi" w:cs="*Arial-Bold-5464-Identity-H"/>
          <w:b/>
          <w:bCs/>
          <w:color w:val="14131F"/>
          <w:sz w:val="21"/>
          <w:szCs w:val="21"/>
        </w:rPr>
      </w:pPr>
    </w:p>
    <w:p w14:paraId="559ECE6B" w14:textId="77777777" w:rsidR="00313CE6" w:rsidRDefault="00313CE6" w:rsidP="00313CE6">
      <w:pPr>
        <w:autoSpaceDE w:val="0"/>
        <w:autoSpaceDN w:val="0"/>
        <w:adjustRightInd w:val="0"/>
        <w:ind w:firstLine="708"/>
        <w:jc w:val="both"/>
        <w:rPr>
          <w:rFonts w:ascii="Abadi" w:hAnsi="Abadi" w:cs="*Arial-5463-Identity-H"/>
          <w:color w:val="14131C"/>
          <w:sz w:val="21"/>
          <w:szCs w:val="21"/>
        </w:rPr>
      </w:pPr>
      <w:r w:rsidRPr="00C45D54">
        <w:rPr>
          <w:rFonts w:ascii="Abadi" w:hAnsi="Abadi" w:cs="*Arial-5463-Identity-H"/>
          <w:color w:val="14131C"/>
          <w:sz w:val="21"/>
          <w:szCs w:val="21"/>
        </w:rPr>
        <w:t>Las facultades de la legislatura local en materia de fiscalización de las</w:t>
      </w:r>
      <w:r>
        <w:rPr>
          <w:rFonts w:ascii="Abadi" w:hAnsi="Abadi" w:cs="*Arial-5463-Identity-H"/>
          <w:color w:val="14131C"/>
          <w:sz w:val="21"/>
          <w:szCs w:val="21"/>
        </w:rPr>
        <w:t xml:space="preserve"> </w:t>
      </w:r>
      <w:r w:rsidRPr="00C45D54">
        <w:rPr>
          <w:rFonts w:ascii="Abadi" w:hAnsi="Abadi" w:cs="*Arial-5463-Identity-H"/>
          <w:color w:val="14131C"/>
          <w:sz w:val="21"/>
          <w:szCs w:val="21"/>
        </w:rPr>
        <w:t>cuentas públicas tienen su fundamento en lo dispuesto por el artículo 63</w:t>
      </w:r>
      <w:r>
        <w:rPr>
          <w:rFonts w:ascii="Abadi" w:hAnsi="Abadi" w:cs="*Arial-5463-Identity-H"/>
          <w:color w:val="14131C"/>
          <w:sz w:val="21"/>
          <w:szCs w:val="21"/>
        </w:rPr>
        <w:t xml:space="preserve"> </w:t>
      </w:r>
      <w:r w:rsidRPr="00C45D54">
        <w:rPr>
          <w:rFonts w:ascii="Abadi" w:hAnsi="Abadi" w:cs="*Arial-5463-Identity-H"/>
          <w:color w:val="14131C"/>
          <w:sz w:val="21"/>
          <w:szCs w:val="21"/>
        </w:rPr>
        <w:t>fracciones XVI</w:t>
      </w:r>
      <w:r>
        <w:rPr>
          <w:rFonts w:ascii="Abadi" w:hAnsi="Abadi" w:cs="*Arial-5463-Identity-H"/>
          <w:color w:val="14131C"/>
          <w:sz w:val="21"/>
          <w:szCs w:val="21"/>
        </w:rPr>
        <w:t>II</w:t>
      </w:r>
      <w:r w:rsidRPr="00C45D54">
        <w:rPr>
          <w:rFonts w:ascii="Abadi" w:hAnsi="Abadi" w:cs="*Arial-5463-Identity-H"/>
          <w:color w:val="14131C"/>
          <w:sz w:val="21"/>
          <w:szCs w:val="21"/>
        </w:rPr>
        <w:t xml:space="preserve">, </w:t>
      </w:r>
      <w:r w:rsidRPr="005E6BFA">
        <w:rPr>
          <w:rFonts w:ascii="Abadi" w:hAnsi="Abadi" w:cs="*Arial-5463-Identity-H"/>
          <w:color w:val="14131C"/>
          <w:sz w:val="21"/>
          <w:szCs w:val="21"/>
        </w:rPr>
        <w:t xml:space="preserve">XIX y </w:t>
      </w:r>
      <w:r w:rsidRPr="005E6BFA">
        <w:rPr>
          <w:rFonts w:ascii="Abadi" w:hAnsi="Abadi" w:cs="*Microsoft Sans Serif-Bold-5466"/>
          <w:color w:val="14131C"/>
          <w:sz w:val="21"/>
          <w:szCs w:val="21"/>
        </w:rPr>
        <w:t xml:space="preserve">XXVIII </w:t>
      </w:r>
      <w:r w:rsidRPr="005E6BFA">
        <w:rPr>
          <w:rFonts w:ascii="Abadi" w:hAnsi="Abadi" w:cs="*Arial-5463-Identity-H"/>
          <w:color w:val="14131C"/>
          <w:sz w:val="21"/>
          <w:szCs w:val="21"/>
        </w:rPr>
        <w:t>de la</w:t>
      </w:r>
      <w:r w:rsidRPr="00C45D54">
        <w:rPr>
          <w:rFonts w:ascii="Abadi" w:hAnsi="Abadi" w:cs="*Arial-5463-Identity-H"/>
          <w:color w:val="14131C"/>
          <w:sz w:val="21"/>
          <w:szCs w:val="21"/>
        </w:rPr>
        <w:t xml:space="preserve"> Constitución Política para el Estado de</w:t>
      </w:r>
      <w:r>
        <w:rPr>
          <w:rFonts w:ascii="Abadi" w:hAnsi="Abadi" w:cs="*Arial-5463-Identity-H"/>
          <w:color w:val="14131C"/>
          <w:sz w:val="21"/>
          <w:szCs w:val="21"/>
        </w:rPr>
        <w:t xml:space="preserve"> </w:t>
      </w:r>
      <w:r w:rsidRPr="00C45D54">
        <w:rPr>
          <w:rFonts w:ascii="Abadi" w:hAnsi="Abadi" w:cs="*Arial-5463-Identity-H"/>
          <w:color w:val="14131C"/>
          <w:sz w:val="21"/>
          <w:szCs w:val="21"/>
        </w:rPr>
        <w:t>Guanajuato. Estos dispositivos establecen que el Congreso del Estado tiene la</w:t>
      </w:r>
      <w:r>
        <w:rPr>
          <w:rFonts w:ascii="Abadi" w:hAnsi="Abadi" w:cs="*Arial-5463-Identity-H"/>
          <w:color w:val="14131C"/>
          <w:sz w:val="21"/>
          <w:szCs w:val="21"/>
        </w:rPr>
        <w:t xml:space="preserve"> </w:t>
      </w:r>
      <w:r w:rsidRPr="00C45D54">
        <w:rPr>
          <w:rFonts w:ascii="Abadi" w:hAnsi="Abadi" w:cs="*Arial-5463-Identity-H"/>
          <w:color w:val="14131C"/>
          <w:sz w:val="21"/>
          <w:szCs w:val="21"/>
        </w:rPr>
        <w:t>facultad de fiscalizar la cuenta pública del Poder Ejecutivo, incluyendo las de las</w:t>
      </w:r>
      <w:r>
        <w:rPr>
          <w:rFonts w:ascii="Abadi" w:hAnsi="Abadi" w:cs="*Arial-5463-Identity-H"/>
          <w:color w:val="14131C"/>
          <w:sz w:val="21"/>
          <w:szCs w:val="21"/>
        </w:rPr>
        <w:t xml:space="preserve"> </w:t>
      </w:r>
      <w:r w:rsidRPr="00C45D54">
        <w:rPr>
          <w:rFonts w:ascii="Abadi" w:hAnsi="Abadi" w:cs="*Arial-5463-Identity-H"/>
          <w:color w:val="14131C"/>
          <w:sz w:val="21"/>
          <w:szCs w:val="21"/>
        </w:rPr>
        <w:t>entidades y organismos de la administración pública paraestatal, las del Poder</w:t>
      </w:r>
      <w:r>
        <w:rPr>
          <w:rFonts w:ascii="Abadi" w:hAnsi="Abadi" w:cs="*Arial-5463-Identity-H"/>
          <w:color w:val="14131C"/>
          <w:sz w:val="21"/>
          <w:szCs w:val="21"/>
        </w:rPr>
        <w:t xml:space="preserve"> </w:t>
      </w:r>
      <w:r w:rsidRPr="00C45D54">
        <w:rPr>
          <w:rFonts w:ascii="Abadi" w:hAnsi="Abadi" w:cs="*Arial-5463-Identity-H"/>
          <w:color w:val="14131C"/>
          <w:sz w:val="21"/>
          <w:szCs w:val="21"/>
        </w:rPr>
        <w:t>Judicial y de los organismos autónomos; así como las cuentas públicas</w:t>
      </w:r>
      <w:r>
        <w:rPr>
          <w:rFonts w:ascii="Abadi" w:hAnsi="Abadi" w:cs="*Arial-5463-Identity-H"/>
          <w:color w:val="14131C"/>
          <w:sz w:val="21"/>
          <w:szCs w:val="21"/>
        </w:rPr>
        <w:t xml:space="preserve"> </w:t>
      </w:r>
      <w:r w:rsidRPr="00C45D54">
        <w:rPr>
          <w:rFonts w:ascii="Abadi" w:hAnsi="Abadi" w:cs="*Arial-5463-Identity-H"/>
          <w:color w:val="14131C"/>
          <w:sz w:val="21"/>
          <w:szCs w:val="21"/>
        </w:rPr>
        <w:t>municipales, incluyendo las de las entidades y organismos de la administración</w:t>
      </w:r>
      <w:r>
        <w:rPr>
          <w:rFonts w:ascii="Abadi" w:hAnsi="Abadi" w:cs="*Arial-5463-Identity-H"/>
          <w:color w:val="14131C"/>
          <w:sz w:val="21"/>
          <w:szCs w:val="21"/>
        </w:rPr>
        <w:t xml:space="preserve"> </w:t>
      </w:r>
      <w:r w:rsidRPr="00C45D54">
        <w:rPr>
          <w:rFonts w:ascii="Abadi" w:hAnsi="Abadi" w:cs="*Arial-5463-Identity-H"/>
          <w:color w:val="14131C"/>
          <w:sz w:val="21"/>
          <w:szCs w:val="21"/>
        </w:rPr>
        <w:t>pública paramunicipal; y verificar el desempeño en el cumplimiento de los</w:t>
      </w:r>
      <w:r>
        <w:rPr>
          <w:rFonts w:ascii="Abadi" w:hAnsi="Abadi" w:cs="*Arial-5463-Identity-H"/>
          <w:color w:val="14131C"/>
          <w:sz w:val="21"/>
          <w:szCs w:val="21"/>
        </w:rPr>
        <w:t xml:space="preserve"> </w:t>
      </w:r>
      <w:r w:rsidRPr="00C45D54">
        <w:rPr>
          <w:rFonts w:ascii="Abadi" w:hAnsi="Abadi" w:cs="*Arial-5463-Identity-H"/>
          <w:color w:val="14131C"/>
          <w:sz w:val="21"/>
          <w:szCs w:val="21"/>
        </w:rPr>
        <w:t>objetivos de los programas. De igual manera, puede acordar la práctica de</w:t>
      </w:r>
      <w:r>
        <w:rPr>
          <w:rFonts w:ascii="Abadi" w:hAnsi="Abadi" w:cs="*Arial-5463-Identity-H"/>
          <w:color w:val="14131C"/>
          <w:sz w:val="21"/>
          <w:szCs w:val="21"/>
        </w:rPr>
        <w:t xml:space="preserve"> </w:t>
      </w:r>
      <w:r w:rsidRPr="00C45D54">
        <w:rPr>
          <w:rFonts w:ascii="Abadi" w:hAnsi="Abadi" w:cs="*Arial-5463-Identity-H"/>
          <w:color w:val="14131C"/>
          <w:sz w:val="21"/>
          <w:szCs w:val="21"/>
        </w:rPr>
        <w:t>auditorías a los sujetos de fiscalización, cuando exista causa justificada para ello,</w:t>
      </w:r>
      <w:r>
        <w:rPr>
          <w:rFonts w:ascii="Abadi" w:hAnsi="Abadi" w:cs="*Arial-5463-Identity-H"/>
          <w:color w:val="14131C"/>
          <w:sz w:val="21"/>
          <w:szCs w:val="21"/>
        </w:rPr>
        <w:t xml:space="preserve"> </w:t>
      </w:r>
      <w:r w:rsidRPr="00C45D54">
        <w:rPr>
          <w:rFonts w:ascii="Abadi" w:hAnsi="Abadi" w:cs="*Arial-5463-Identity-H"/>
          <w:color w:val="14131C"/>
          <w:sz w:val="21"/>
          <w:szCs w:val="21"/>
        </w:rPr>
        <w:t>auxiliándose para el cumplimiento de dichas facultades por la Auditoría Superior</w:t>
      </w:r>
      <w:r>
        <w:rPr>
          <w:rFonts w:ascii="Abadi" w:hAnsi="Abadi" w:cs="*Arial-5463-Identity-H"/>
          <w:color w:val="14131C"/>
          <w:sz w:val="21"/>
          <w:szCs w:val="21"/>
        </w:rPr>
        <w:t xml:space="preserve"> </w:t>
      </w:r>
      <w:r w:rsidRPr="00C45D54">
        <w:rPr>
          <w:rFonts w:ascii="Abadi" w:hAnsi="Abadi" w:cs="*Arial-5463-Identity-H"/>
          <w:color w:val="14131C"/>
          <w:sz w:val="21"/>
          <w:szCs w:val="21"/>
        </w:rPr>
        <w:t>del Estado de Guanajuato.</w:t>
      </w:r>
    </w:p>
    <w:p w14:paraId="4861BE1B" w14:textId="77777777" w:rsidR="00313CE6" w:rsidRPr="00C45D54" w:rsidRDefault="00313CE6" w:rsidP="00313CE6">
      <w:pPr>
        <w:autoSpaceDE w:val="0"/>
        <w:autoSpaceDN w:val="0"/>
        <w:adjustRightInd w:val="0"/>
        <w:jc w:val="both"/>
        <w:rPr>
          <w:rFonts w:ascii="Abadi" w:hAnsi="Abadi" w:cs="*Arial-5463-Identity-H"/>
          <w:color w:val="14131C"/>
          <w:sz w:val="21"/>
          <w:szCs w:val="21"/>
        </w:rPr>
      </w:pPr>
    </w:p>
    <w:p w14:paraId="68C6E67A" w14:textId="77777777" w:rsidR="00313CE6" w:rsidRPr="00C45D54" w:rsidRDefault="00313CE6" w:rsidP="00313CE6">
      <w:pPr>
        <w:autoSpaceDE w:val="0"/>
        <w:autoSpaceDN w:val="0"/>
        <w:adjustRightInd w:val="0"/>
        <w:ind w:firstLine="708"/>
        <w:jc w:val="both"/>
        <w:rPr>
          <w:rFonts w:ascii="Abadi" w:hAnsi="Abadi" w:cs="*Arial-5463-Identity-H"/>
          <w:color w:val="15141C"/>
          <w:sz w:val="21"/>
          <w:szCs w:val="21"/>
        </w:rPr>
      </w:pPr>
      <w:r w:rsidRPr="00C45D54">
        <w:rPr>
          <w:rFonts w:ascii="Abadi" w:hAnsi="Abadi" w:cs="*Arial-5463-Identity-H"/>
          <w:color w:val="15141C"/>
          <w:sz w:val="21"/>
          <w:szCs w:val="21"/>
        </w:rPr>
        <w:t>Asimismo, el artículo 66 fracción VIII de dicho Ordenamiento Constitucional</w:t>
      </w:r>
      <w:r>
        <w:rPr>
          <w:rFonts w:ascii="Abadi" w:hAnsi="Abadi" w:cs="*Arial-5463-Identity-H"/>
          <w:color w:val="15141C"/>
          <w:sz w:val="21"/>
          <w:szCs w:val="21"/>
        </w:rPr>
        <w:t xml:space="preserve"> </w:t>
      </w:r>
      <w:r w:rsidRPr="00C45D54">
        <w:rPr>
          <w:rFonts w:ascii="Abadi" w:hAnsi="Abadi" w:cs="*Arial-5463-Identity-H"/>
          <w:color w:val="15141C"/>
          <w:sz w:val="21"/>
          <w:szCs w:val="21"/>
        </w:rPr>
        <w:t>establece que la Auditoría Superior del Estado de Guanajuato deberá informar al</w:t>
      </w:r>
      <w:r>
        <w:rPr>
          <w:rFonts w:ascii="Abadi" w:hAnsi="Abadi" w:cs="*Arial-5463-Identity-H"/>
          <w:color w:val="15141C"/>
          <w:sz w:val="21"/>
          <w:szCs w:val="21"/>
        </w:rPr>
        <w:t xml:space="preserve"> </w:t>
      </w:r>
      <w:r w:rsidRPr="00C45D54">
        <w:rPr>
          <w:rFonts w:ascii="Abadi" w:hAnsi="Abadi" w:cs="*Arial-5463-Identity-H"/>
          <w:color w:val="15141C"/>
          <w:sz w:val="21"/>
          <w:szCs w:val="21"/>
        </w:rPr>
        <w:t>Congreso del Estado del resultado de la revisión de la cuenta pública y demás</w:t>
      </w:r>
      <w:r>
        <w:rPr>
          <w:rFonts w:ascii="Abadi" w:hAnsi="Abadi" w:cs="*Arial-5463-Identity-H"/>
          <w:color w:val="15141C"/>
          <w:sz w:val="21"/>
          <w:szCs w:val="21"/>
        </w:rPr>
        <w:t xml:space="preserve"> </w:t>
      </w:r>
      <w:r w:rsidRPr="00C45D54">
        <w:rPr>
          <w:rFonts w:ascii="Abadi" w:hAnsi="Abadi" w:cs="*Arial-5463-Identity-H"/>
          <w:color w:val="15141C"/>
          <w:sz w:val="21"/>
          <w:szCs w:val="21"/>
        </w:rPr>
        <w:t>asuntos derivados de la fiscalización, incluyendo los dictámenes, informes de</w:t>
      </w:r>
      <w:r>
        <w:rPr>
          <w:rFonts w:ascii="Abadi" w:hAnsi="Abadi" w:cs="*Arial-5463-Identity-H"/>
          <w:color w:val="15141C"/>
          <w:sz w:val="21"/>
          <w:szCs w:val="21"/>
        </w:rPr>
        <w:t xml:space="preserve"> </w:t>
      </w:r>
      <w:r w:rsidRPr="00C45D54">
        <w:rPr>
          <w:rFonts w:ascii="Abadi" w:hAnsi="Abadi" w:cs="*Arial-5463-Identity-H"/>
          <w:color w:val="15141C"/>
          <w:sz w:val="21"/>
          <w:szCs w:val="21"/>
        </w:rPr>
        <w:t>resultados, comentarios y observaciones de las auditorías, constituyendo una de</w:t>
      </w:r>
      <w:r>
        <w:rPr>
          <w:rFonts w:ascii="Abadi" w:hAnsi="Abadi" w:cs="*Arial-5463-Identity-H"/>
          <w:color w:val="15141C"/>
          <w:sz w:val="21"/>
          <w:szCs w:val="21"/>
        </w:rPr>
        <w:t xml:space="preserve"> </w:t>
      </w:r>
      <w:r w:rsidRPr="00C45D54">
        <w:rPr>
          <w:rFonts w:ascii="Abadi" w:hAnsi="Abadi" w:cs="*Arial-5463-Identity-H"/>
          <w:color w:val="15141C"/>
          <w:sz w:val="21"/>
          <w:szCs w:val="21"/>
        </w:rPr>
        <w:t>las fases del proceso de fiscalización.</w:t>
      </w:r>
    </w:p>
    <w:p w14:paraId="3184B9E7" w14:textId="77777777" w:rsidR="00313CE6" w:rsidRDefault="00313CE6" w:rsidP="00313CE6">
      <w:pPr>
        <w:autoSpaceDE w:val="0"/>
        <w:autoSpaceDN w:val="0"/>
        <w:adjustRightInd w:val="0"/>
        <w:jc w:val="both"/>
        <w:rPr>
          <w:rFonts w:ascii="Abadi" w:hAnsi="Abadi" w:cs="*Arial-5275-Identity-H"/>
          <w:color w:val="14131C"/>
          <w:sz w:val="21"/>
          <w:szCs w:val="21"/>
        </w:rPr>
      </w:pPr>
    </w:p>
    <w:p w14:paraId="4BDC95C1" w14:textId="77777777" w:rsidR="00313CE6" w:rsidRDefault="00313CE6" w:rsidP="00313CE6">
      <w:pPr>
        <w:autoSpaceDE w:val="0"/>
        <w:autoSpaceDN w:val="0"/>
        <w:adjustRightInd w:val="0"/>
        <w:ind w:firstLine="708"/>
        <w:jc w:val="both"/>
        <w:rPr>
          <w:rFonts w:ascii="Abadi" w:hAnsi="Abadi" w:cs="*Arial-5275-Identity-H"/>
          <w:color w:val="14131C"/>
          <w:sz w:val="21"/>
          <w:szCs w:val="21"/>
        </w:rPr>
      </w:pPr>
      <w:r w:rsidRPr="00C45D54">
        <w:rPr>
          <w:rFonts w:ascii="Abadi" w:hAnsi="Abadi" w:cs="*Arial-5275-Identity-H"/>
          <w:color w:val="14131C"/>
          <w:sz w:val="21"/>
          <w:szCs w:val="21"/>
        </w:rPr>
        <w:t xml:space="preserve">De igual forma, el artículo 82, </w:t>
      </w:r>
      <w:r w:rsidRPr="005E6BFA">
        <w:rPr>
          <w:rFonts w:ascii="Abadi" w:hAnsi="Abadi" w:cs="*Arial-5275-Identity-H"/>
          <w:color w:val="14131C"/>
          <w:sz w:val="21"/>
          <w:szCs w:val="21"/>
        </w:rPr>
        <w:t xml:space="preserve">fracción </w:t>
      </w:r>
      <w:r w:rsidRPr="005E6BFA">
        <w:rPr>
          <w:rFonts w:ascii="Abadi" w:hAnsi="Abadi" w:cs="*Microsoft Sans Serif-Bold-5277"/>
          <w:color w:val="14131C"/>
          <w:sz w:val="21"/>
          <w:szCs w:val="21"/>
        </w:rPr>
        <w:t xml:space="preserve">XXIV </w:t>
      </w:r>
      <w:r w:rsidRPr="005E6BFA">
        <w:rPr>
          <w:rFonts w:ascii="Abadi" w:hAnsi="Abadi" w:cs="*Arial-5275-Identity-H"/>
          <w:color w:val="14131C"/>
          <w:sz w:val="21"/>
          <w:szCs w:val="21"/>
        </w:rPr>
        <w:t>de la</w:t>
      </w:r>
      <w:r w:rsidRPr="00C45D54">
        <w:rPr>
          <w:rFonts w:ascii="Abadi" w:hAnsi="Abadi" w:cs="*Arial-5275-Identity-H"/>
          <w:color w:val="14131C"/>
          <w:sz w:val="21"/>
          <w:szCs w:val="21"/>
        </w:rPr>
        <w:t xml:space="preserve"> Ley de Fiscalización</w:t>
      </w:r>
      <w:r>
        <w:rPr>
          <w:rFonts w:ascii="Abadi" w:hAnsi="Abadi" w:cs="*Arial-5275-Identity-H"/>
          <w:color w:val="14131C"/>
          <w:sz w:val="21"/>
          <w:szCs w:val="21"/>
        </w:rPr>
        <w:t xml:space="preserve"> </w:t>
      </w:r>
      <w:r w:rsidRPr="00C45D54">
        <w:rPr>
          <w:rFonts w:ascii="Abadi" w:hAnsi="Abadi" w:cs="*Arial-5275-Identity-H"/>
          <w:color w:val="14131C"/>
          <w:sz w:val="21"/>
          <w:szCs w:val="21"/>
        </w:rPr>
        <w:t>Superior del Estado de Guanajuato establece como atribución de la Auditoría</w:t>
      </w:r>
      <w:r>
        <w:rPr>
          <w:rFonts w:ascii="Abadi" w:hAnsi="Abadi" w:cs="*Arial-5275-Identity-H"/>
          <w:color w:val="14131C"/>
          <w:sz w:val="21"/>
          <w:szCs w:val="21"/>
        </w:rPr>
        <w:t xml:space="preserve"> </w:t>
      </w:r>
      <w:r w:rsidRPr="00C45D54">
        <w:rPr>
          <w:rFonts w:ascii="Abadi" w:hAnsi="Abadi" w:cs="*Arial-5275-Identity-H"/>
          <w:color w:val="14131C"/>
          <w:sz w:val="21"/>
          <w:szCs w:val="21"/>
        </w:rPr>
        <w:t>Superior del Estado, rendir al Congreso, los informes derivados del ejercicio de la</w:t>
      </w:r>
      <w:r>
        <w:rPr>
          <w:rFonts w:ascii="Abadi" w:hAnsi="Abadi" w:cs="*Arial-5275-Identity-H"/>
          <w:color w:val="14131C"/>
          <w:sz w:val="21"/>
          <w:szCs w:val="21"/>
        </w:rPr>
        <w:t xml:space="preserve"> </w:t>
      </w:r>
      <w:r w:rsidRPr="00C45D54">
        <w:rPr>
          <w:rFonts w:ascii="Abadi" w:hAnsi="Abadi" w:cs="*Arial-5275-Identity-H"/>
          <w:color w:val="14131C"/>
          <w:sz w:val="21"/>
          <w:szCs w:val="21"/>
        </w:rPr>
        <w:t>función de fiscalización.</w:t>
      </w:r>
    </w:p>
    <w:p w14:paraId="6869E7D9" w14:textId="77777777" w:rsidR="00313CE6" w:rsidRPr="00C45D54" w:rsidRDefault="00313CE6" w:rsidP="00313CE6">
      <w:pPr>
        <w:autoSpaceDE w:val="0"/>
        <w:autoSpaceDN w:val="0"/>
        <w:adjustRightInd w:val="0"/>
        <w:jc w:val="both"/>
        <w:rPr>
          <w:rFonts w:ascii="Abadi" w:hAnsi="Abadi" w:cs="*Arial-5275-Identity-H"/>
          <w:color w:val="14131C"/>
          <w:sz w:val="21"/>
          <w:szCs w:val="21"/>
        </w:rPr>
      </w:pPr>
    </w:p>
    <w:p w14:paraId="41F06EC3" w14:textId="77777777" w:rsidR="00313CE6" w:rsidRDefault="00313CE6" w:rsidP="00313CE6">
      <w:pPr>
        <w:autoSpaceDE w:val="0"/>
        <w:autoSpaceDN w:val="0"/>
        <w:adjustRightInd w:val="0"/>
        <w:ind w:firstLine="708"/>
        <w:jc w:val="both"/>
        <w:rPr>
          <w:rFonts w:ascii="Abadi" w:hAnsi="Abadi" w:cs="*Arial-5275-Identity-H"/>
          <w:color w:val="14131B"/>
          <w:sz w:val="21"/>
          <w:szCs w:val="21"/>
        </w:rPr>
      </w:pPr>
      <w:r w:rsidRPr="00C45D54">
        <w:rPr>
          <w:rFonts w:ascii="Abadi" w:hAnsi="Abadi" w:cs="*Arial-5275-Identity-H"/>
          <w:color w:val="14131B"/>
          <w:sz w:val="21"/>
          <w:szCs w:val="21"/>
        </w:rPr>
        <w:t>En razón de lo cual, la Ley de Fiscalización Superior del Estado de</w:t>
      </w:r>
      <w:r>
        <w:rPr>
          <w:rFonts w:ascii="Abadi" w:hAnsi="Abadi" w:cs="*Arial-5275-Identity-H"/>
          <w:color w:val="14131B"/>
          <w:sz w:val="21"/>
          <w:szCs w:val="21"/>
        </w:rPr>
        <w:t xml:space="preserve"> </w:t>
      </w:r>
      <w:r w:rsidRPr="00C45D54">
        <w:rPr>
          <w:rFonts w:ascii="Abadi" w:hAnsi="Abadi" w:cs="*Arial-5275-Identity-H"/>
          <w:color w:val="14131B"/>
          <w:sz w:val="21"/>
          <w:szCs w:val="21"/>
        </w:rPr>
        <w:t>Guanajuato establece que la Auditoría Superior debe remitir los informes de</w:t>
      </w:r>
      <w:r>
        <w:rPr>
          <w:rFonts w:ascii="Abadi" w:hAnsi="Abadi" w:cs="*Arial-5275-Identity-H"/>
          <w:color w:val="14131B"/>
          <w:sz w:val="21"/>
          <w:szCs w:val="21"/>
        </w:rPr>
        <w:t xml:space="preserve"> </w:t>
      </w:r>
      <w:r w:rsidRPr="00C45D54">
        <w:rPr>
          <w:rFonts w:ascii="Abadi" w:hAnsi="Abadi" w:cs="*Arial-5275-Identity-H"/>
          <w:color w:val="14131B"/>
          <w:sz w:val="21"/>
          <w:szCs w:val="21"/>
        </w:rPr>
        <w:t>resultados al Congreso del Estado, a efecto de que éste realice la declaratoria</w:t>
      </w:r>
      <w:r>
        <w:rPr>
          <w:rFonts w:ascii="Abadi" w:hAnsi="Abadi" w:cs="*Arial-5275-Identity-H"/>
          <w:color w:val="14131B"/>
          <w:sz w:val="21"/>
          <w:szCs w:val="21"/>
        </w:rPr>
        <w:t xml:space="preserve"> </w:t>
      </w:r>
      <w:r w:rsidRPr="00C45D54">
        <w:rPr>
          <w:rFonts w:ascii="Abadi" w:hAnsi="Abadi" w:cs="*Arial-5275-Identity-H"/>
          <w:color w:val="14131B"/>
          <w:sz w:val="21"/>
          <w:szCs w:val="21"/>
        </w:rPr>
        <w:t>correspondiente, señalándose en el artículo 38 que el informe de resultados</w:t>
      </w:r>
      <w:r>
        <w:rPr>
          <w:rFonts w:ascii="Abadi" w:hAnsi="Abadi" w:cs="*Arial-5275-Identity-H"/>
          <w:color w:val="14131B"/>
          <w:sz w:val="21"/>
          <w:szCs w:val="21"/>
        </w:rPr>
        <w:t xml:space="preserve"> </w:t>
      </w:r>
      <w:r w:rsidRPr="00C45D54">
        <w:rPr>
          <w:rFonts w:ascii="Abadi" w:hAnsi="Abadi" w:cs="*Arial-5275-Identity-H"/>
          <w:color w:val="14131B"/>
          <w:sz w:val="21"/>
          <w:szCs w:val="21"/>
        </w:rPr>
        <w:t>únicamente podrá ser observado por las dos terceras partes de los diputados</w:t>
      </w:r>
      <w:r>
        <w:rPr>
          <w:rFonts w:ascii="Abadi" w:hAnsi="Abadi" w:cs="*Arial-5275-Identity-H"/>
          <w:color w:val="14131B"/>
          <w:sz w:val="21"/>
          <w:szCs w:val="21"/>
        </w:rPr>
        <w:t xml:space="preserve"> </w:t>
      </w:r>
      <w:r w:rsidRPr="00C45D54">
        <w:rPr>
          <w:rFonts w:ascii="Abadi" w:hAnsi="Abadi" w:cs="*Arial-5275-Identity-H"/>
          <w:color w:val="14131B"/>
          <w:sz w:val="21"/>
          <w:szCs w:val="21"/>
        </w:rPr>
        <w:t>integrantes del Congreso, cuando no se observen las formalidades esenciales del</w:t>
      </w:r>
      <w:r>
        <w:rPr>
          <w:rFonts w:ascii="Abadi" w:hAnsi="Abadi" w:cs="*Arial-5275-Identity-H"/>
          <w:color w:val="14131B"/>
          <w:sz w:val="21"/>
          <w:szCs w:val="21"/>
        </w:rPr>
        <w:t xml:space="preserve"> </w:t>
      </w:r>
      <w:r w:rsidRPr="00C45D54">
        <w:rPr>
          <w:rFonts w:ascii="Abadi" w:hAnsi="Abadi" w:cs="*Arial-5275-Identity-H"/>
          <w:color w:val="14131B"/>
          <w:sz w:val="21"/>
          <w:szCs w:val="21"/>
        </w:rPr>
        <w:t>proceso de fiscalización.</w:t>
      </w:r>
    </w:p>
    <w:p w14:paraId="3FD5FD24" w14:textId="77777777" w:rsidR="00313CE6" w:rsidRPr="00C45D54" w:rsidRDefault="00313CE6" w:rsidP="00313CE6">
      <w:pPr>
        <w:autoSpaceDE w:val="0"/>
        <w:autoSpaceDN w:val="0"/>
        <w:adjustRightInd w:val="0"/>
        <w:jc w:val="both"/>
        <w:rPr>
          <w:rFonts w:ascii="Abadi" w:hAnsi="Abadi" w:cs="*Arial-5275-Identity-H"/>
          <w:color w:val="14131B"/>
          <w:sz w:val="21"/>
          <w:szCs w:val="21"/>
        </w:rPr>
      </w:pPr>
    </w:p>
    <w:p w14:paraId="0F5D20CD" w14:textId="77777777" w:rsidR="00313CE6" w:rsidRDefault="00313CE6" w:rsidP="00313CE6">
      <w:pPr>
        <w:autoSpaceDE w:val="0"/>
        <w:autoSpaceDN w:val="0"/>
        <w:adjustRightInd w:val="0"/>
        <w:ind w:firstLine="708"/>
        <w:jc w:val="both"/>
        <w:rPr>
          <w:rFonts w:ascii="Abadi" w:hAnsi="Abadi" w:cs="*Arial-5275-Identity-H"/>
          <w:color w:val="16151C"/>
          <w:sz w:val="21"/>
          <w:szCs w:val="21"/>
        </w:rPr>
      </w:pPr>
      <w:r w:rsidRPr="00C45D54">
        <w:rPr>
          <w:rFonts w:ascii="Abadi" w:hAnsi="Abadi" w:cs="*Arial-5275-Identity-H"/>
          <w:color w:val="16151C"/>
          <w:sz w:val="21"/>
          <w:szCs w:val="21"/>
        </w:rPr>
        <w:t>Con la finalidad de que el Congreso dé cumplimiento a lo señalado en el</w:t>
      </w:r>
      <w:r>
        <w:rPr>
          <w:rFonts w:ascii="Abadi" w:hAnsi="Abadi" w:cs="*Arial-5275-Identity-H"/>
          <w:color w:val="16151C"/>
          <w:sz w:val="21"/>
          <w:szCs w:val="21"/>
        </w:rPr>
        <w:t xml:space="preserve"> </w:t>
      </w:r>
      <w:r w:rsidRPr="00C45D54">
        <w:rPr>
          <w:rFonts w:ascii="Abadi" w:hAnsi="Abadi" w:cs="*Arial-5275-Identity-H"/>
          <w:color w:val="16151C"/>
          <w:sz w:val="21"/>
          <w:szCs w:val="21"/>
        </w:rPr>
        <w:t>párrafo anterior, la Ley Orgánica del Poder Legislativo del Estado de Guanajuato</w:t>
      </w:r>
      <w:r>
        <w:rPr>
          <w:rFonts w:ascii="Abadi" w:hAnsi="Abadi" w:cs="*Arial-5275-Identity-H"/>
          <w:color w:val="16151C"/>
          <w:sz w:val="21"/>
          <w:szCs w:val="21"/>
        </w:rPr>
        <w:t xml:space="preserve"> </w:t>
      </w:r>
      <w:r w:rsidRPr="00C45D54">
        <w:rPr>
          <w:rFonts w:ascii="Abadi" w:hAnsi="Abadi" w:cs="*Arial-5275-Identity-H"/>
          <w:color w:val="16151C"/>
          <w:sz w:val="21"/>
          <w:szCs w:val="21"/>
        </w:rPr>
        <w:t>establece en su artículo 112, fracción XII, primer párrafo que, a esta Comisión de</w:t>
      </w:r>
      <w:r>
        <w:rPr>
          <w:rFonts w:ascii="Abadi" w:hAnsi="Abadi" w:cs="*Arial-5275-Identity-H"/>
          <w:color w:val="16151C"/>
          <w:sz w:val="21"/>
          <w:szCs w:val="21"/>
        </w:rPr>
        <w:t xml:space="preserve"> </w:t>
      </w:r>
      <w:r w:rsidRPr="00C45D54">
        <w:rPr>
          <w:rFonts w:ascii="Abadi" w:hAnsi="Abadi" w:cs="*Arial-5275-Identity-H"/>
          <w:color w:val="16151C"/>
          <w:sz w:val="21"/>
          <w:szCs w:val="21"/>
        </w:rPr>
        <w:t>Hacienda y Fiscalización, le compete el conocimiento y dictamen de los asuntos</w:t>
      </w:r>
      <w:r>
        <w:rPr>
          <w:rFonts w:ascii="Abadi" w:hAnsi="Abadi" w:cs="*Arial-5275-Identity-H"/>
          <w:color w:val="16151C"/>
          <w:sz w:val="21"/>
          <w:szCs w:val="21"/>
        </w:rPr>
        <w:t xml:space="preserve"> </w:t>
      </w:r>
      <w:r w:rsidRPr="00C45D54">
        <w:rPr>
          <w:rFonts w:ascii="Abadi" w:hAnsi="Abadi" w:cs="*Arial-5275-Identity-H"/>
          <w:color w:val="16151C"/>
          <w:sz w:val="21"/>
          <w:szCs w:val="21"/>
        </w:rPr>
        <w:t>relativos a los informes de resultados que emita la Auditoría Superior del Estado.</w:t>
      </w:r>
      <w:r>
        <w:rPr>
          <w:rFonts w:ascii="Abadi" w:hAnsi="Abadi" w:cs="*Arial-5275-Identity-H"/>
          <w:color w:val="16151C"/>
          <w:sz w:val="21"/>
          <w:szCs w:val="21"/>
        </w:rPr>
        <w:t xml:space="preserve"> </w:t>
      </w:r>
    </w:p>
    <w:p w14:paraId="02C02055" w14:textId="77777777" w:rsidR="00313CE6" w:rsidRDefault="00313CE6" w:rsidP="00313CE6">
      <w:pPr>
        <w:autoSpaceDE w:val="0"/>
        <w:autoSpaceDN w:val="0"/>
        <w:adjustRightInd w:val="0"/>
        <w:jc w:val="both"/>
        <w:rPr>
          <w:rFonts w:ascii="Abadi" w:hAnsi="Abadi" w:cs="*Arial-5275-Identity-H"/>
          <w:color w:val="16151C"/>
          <w:sz w:val="21"/>
          <w:szCs w:val="21"/>
        </w:rPr>
      </w:pPr>
    </w:p>
    <w:p w14:paraId="1FA517C6" w14:textId="77777777" w:rsidR="00313CE6" w:rsidRDefault="00313CE6" w:rsidP="00313CE6">
      <w:pPr>
        <w:autoSpaceDE w:val="0"/>
        <w:autoSpaceDN w:val="0"/>
        <w:adjustRightInd w:val="0"/>
        <w:ind w:firstLine="708"/>
        <w:jc w:val="both"/>
        <w:rPr>
          <w:rFonts w:ascii="Abadi" w:hAnsi="Abadi" w:cs="*Arial-5275-Identity-H"/>
          <w:color w:val="14131A"/>
          <w:sz w:val="21"/>
          <w:szCs w:val="21"/>
        </w:rPr>
      </w:pPr>
      <w:r w:rsidRPr="00C45D54">
        <w:rPr>
          <w:rFonts w:ascii="Abadi" w:hAnsi="Abadi" w:cs="*Arial-5275-Identity-H"/>
          <w:color w:val="14131A"/>
          <w:sz w:val="21"/>
          <w:szCs w:val="21"/>
        </w:rPr>
        <w:t>A efecto de cumplir con las atribuciones conferidas a esta Comisión, y en</w:t>
      </w:r>
      <w:r>
        <w:rPr>
          <w:rFonts w:ascii="Abadi" w:hAnsi="Abadi" w:cs="*Arial-5275-Identity-H"/>
          <w:color w:val="14131A"/>
          <w:sz w:val="21"/>
          <w:szCs w:val="21"/>
        </w:rPr>
        <w:t xml:space="preserve"> </w:t>
      </w:r>
      <w:r w:rsidRPr="00C45D54">
        <w:rPr>
          <w:rFonts w:ascii="Abadi" w:hAnsi="Abadi" w:cs="*Arial-5275-Identity-H"/>
          <w:color w:val="14131A"/>
          <w:sz w:val="21"/>
          <w:szCs w:val="21"/>
        </w:rPr>
        <w:t>observancia a lo que establece la Ley de Fiscalización Superior del Estado de</w:t>
      </w:r>
      <w:r>
        <w:rPr>
          <w:rFonts w:ascii="Abadi" w:hAnsi="Abadi" w:cs="*Arial-5275-Identity-H"/>
          <w:color w:val="14131A"/>
          <w:sz w:val="21"/>
          <w:szCs w:val="21"/>
        </w:rPr>
        <w:t xml:space="preserve"> </w:t>
      </w:r>
      <w:r w:rsidRPr="00C45D54">
        <w:rPr>
          <w:rFonts w:ascii="Abadi" w:hAnsi="Abadi" w:cs="*Arial-5275-Identity-H"/>
          <w:color w:val="14131A"/>
          <w:sz w:val="21"/>
          <w:szCs w:val="21"/>
        </w:rPr>
        <w:t>Guanajuato, el presente dictamen se ocupará exclusivamente del aspecto que la</w:t>
      </w:r>
      <w:r>
        <w:rPr>
          <w:rFonts w:ascii="Abadi" w:hAnsi="Abadi" w:cs="*Arial-5275-Identity-H"/>
          <w:color w:val="14131A"/>
          <w:sz w:val="21"/>
          <w:szCs w:val="21"/>
        </w:rPr>
        <w:t xml:space="preserve"> </w:t>
      </w:r>
      <w:r w:rsidRPr="00C45D54">
        <w:rPr>
          <w:rFonts w:ascii="Abadi" w:hAnsi="Abadi" w:cs="*Arial-5275-Identity-H"/>
          <w:color w:val="14131A"/>
          <w:sz w:val="21"/>
          <w:szCs w:val="21"/>
        </w:rPr>
        <w:t>propia Ley señala y por el cual podría ser observado o no, el informe de</w:t>
      </w:r>
      <w:r>
        <w:rPr>
          <w:rFonts w:ascii="Abadi" w:hAnsi="Abadi" w:cs="*Arial-5275-Identity-H"/>
          <w:color w:val="14131A"/>
          <w:sz w:val="21"/>
          <w:szCs w:val="21"/>
        </w:rPr>
        <w:t xml:space="preserve"> </w:t>
      </w:r>
      <w:r w:rsidRPr="00C45D54">
        <w:rPr>
          <w:rFonts w:ascii="Abadi" w:hAnsi="Abadi" w:cs="*Arial-5275-Identity-H"/>
          <w:color w:val="14131A"/>
          <w:sz w:val="21"/>
          <w:szCs w:val="21"/>
        </w:rPr>
        <w:t>resultados.</w:t>
      </w:r>
    </w:p>
    <w:p w14:paraId="1B8DD7EF" w14:textId="77777777" w:rsidR="00313CE6" w:rsidRPr="00C45D54" w:rsidRDefault="00313CE6" w:rsidP="00313CE6">
      <w:pPr>
        <w:autoSpaceDE w:val="0"/>
        <w:autoSpaceDN w:val="0"/>
        <w:adjustRightInd w:val="0"/>
        <w:jc w:val="both"/>
        <w:rPr>
          <w:rFonts w:ascii="Abadi" w:hAnsi="Abadi" w:cs="*Arial-5275-Identity-H"/>
          <w:color w:val="14131A"/>
          <w:sz w:val="21"/>
          <w:szCs w:val="21"/>
        </w:rPr>
      </w:pPr>
    </w:p>
    <w:p w14:paraId="2BA19D81" w14:textId="77777777" w:rsidR="00313CE6" w:rsidRDefault="00313CE6" w:rsidP="00313CE6">
      <w:pPr>
        <w:autoSpaceDE w:val="0"/>
        <w:autoSpaceDN w:val="0"/>
        <w:adjustRightInd w:val="0"/>
        <w:ind w:firstLine="708"/>
        <w:jc w:val="both"/>
        <w:rPr>
          <w:rFonts w:ascii="Abadi" w:hAnsi="Abadi" w:cs="*Arial-Bold-5276-Identity-H"/>
          <w:b/>
          <w:bCs/>
          <w:color w:val="141220"/>
          <w:sz w:val="21"/>
          <w:szCs w:val="21"/>
        </w:rPr>
      </w:pPr>
      <w:r>
        <w:rPr>
          <w:rFonts w:ascii="Abadi" w:hAnsi="Abadi" w:cs="*Arial-Bold-5276-Identity-H"/>
          <w:b/>
          <w:bCs/>
          <w:color w:val="141220"/>
          <w:sz w:val="21"/>
          <w:szCs w:val="21"/>
        </w:rPr>
        <w:t>II</w:t>
      </w:r>
      <w:r w:rsidRPr="00C45D54">
        <w:rPr>
          <w:rFonts w:ascii="Abadi" w:hAnsi="Abadi" w:cs="*Arial-Bold-5276-Identity-H"/>
          <w:b/>
          <w:bCs/>
          <w:color w:val="141220"/>
          <w:sz w:val="21"/>
          <w:szCs w:val="21"/>
        </w:rPr>
        <w:t>. Antecedentes:</w:t>
      </w:r>
    </w:p>
    <w:p w14:paraId="722421BF" w14:textId="77777777" w:rsidR="00313CE6" w:rsidRPr="00C45D54" w:rsidRDefault="00313CE6" w:rsidP="00313CE6">
      <w:pPr>
        <w:autoSpaceDE w:val="0"/>
        <w:autoSpaceDN w:val="0"/>
        <w:adjustRightInd w:val="0"/>
        <w:jc w:val="both"/>
        <w:rPr>
          <w:rFonts w:ascii="Abadi" w:hAnsi="Abadi" w:cs="*Arial-Bold-5276-Identity-H"/>
          <w:b/>
          <w:bCs/>
          <w:color w:val="141220"/>
          <w:sz w:val="21"/>
          <w:szCs w:val="21"/>
        </w:rPr>
      </w:pPr>
    </w:p>
    <w:p w14:paraId="6F2F8BF4" w14:textId="77777777" w:rsidR="00313CE6" w:rsidRDefault="00313CE6" w:rsidP="00313CE6">
      <w:pPr>
        <w:autoSpaceDE w:val="0"/>
        <w:autoSpaceDN w:val="0"/>
        <w:adjustRightInd w:val="0"/>
        <w:ind w:firstLine="708"/>
        <w:jc w:val="both"/>
        <w:rPr>
          <w:rFonts w:ascii="Abadi" w:hAnsi="Abadi" w:cs="*Arial-5275-Identity-H"/>
          <w:color w:val="13131B"/>
          <w:sz w:val="21"/>
          <w:szCs w:val="21"/>
        </w:rPr>
      </w:pPr>
      <w:r w:rsidRPr="00C45D54">
        <w:rPr>
          <w:rFonts w:ascii="Abadi" w:hAnsi="Abadi" w:cs="*Arial-5275-Identity-H"/>
          <w:color w:val="13131B"/>
          <w:sz w:val="21"/>
          <w:szCs w:val="21"/>
        </w:rPr>
        <w:t>De conformidad con el artículo 66, fracción I de la Constitución Política para</w:t>
      </w:r>
      <w:r>
        <w:rPr>
          <w:rFonts w:ascii="Abadi" w:hAnsi="Abadi" w:cs="*Arial-5275-Identity-H"/>
          <w:color w:val="13131B"/>
          <w:sz w:val="21"/>
          <w:szCs w:val="21"/>
        </w:rPr>
        <w:t xml:space="preserve"> </w:t>
      </w:r>
      <w:r w:rsidRPr="00C45D54">
        <w:rPr>
          <w:rFonts w:ascii="Abadi" w:hAnsi="Abadi" w:cs="*Arial-5275-Identity-H"/>
          <w:color w:val="13131B"/>
          <w:sz w:val="21"/>
          <w:szCs w:val="21"/>
        </w:rPr>
        <w:t>el Estado de Guanajuato, es atribución de la Auditoría Superior del Estado realizar</w:t>
      </w:r>
      <w:r>
        <w:rPr>
          <w:rFonts w:ascii="Abadi" w:hAnsi="Abadi" w:cs="*Arial-5275-Identity-H"/>
          <w:color w:val="13131B"/>
          <w:sz w:val="21"/>
          <w:szCs w:val="21"/>
        </w:rPr>
        <w:t xml:space="preserve"> </w:t>
      </w:r>
      <w:r w:rsidRPr="00C45D54">
        <w:rPr>
          <w:rFonts w:ascii="Abadi" w:hAnsi="Abadi" w:cs="*Arial-5275-Identity-H"/>
          <w:color w:val="13131B"/>
          <w:sz w:val="21"/>
          <w:szCs w:val="21"/>
        </w:rPr>
        <w:t>auditorías de desempeño en el cumplimiento de objetivos y metas contenidos en</w:t>
      </w:r>
      <w:r>
        <w:rPr>
          <w:rFonts w:ascii="Abadi" w:hAnsi="Abadi" w:cs="*Arial-5275-Identity-H"/>
          <w:color w:val="13131B"/>
          <w:sz w:val="21"/>
          <w:szCs w:val="21"/>
        </w:rPr>
        <w:t xml:space="preserve"> </w:t>
      </w:r>
      <w:r w:rsidRPr="00C45D54">
        <w:rPr>
          <w:rFonts w:ascii="Abadi" w:hAnsi="Abadi" w:cs="*Arial-5275-Identity-H"/>
          <w:color w:val="13131B"/>
          <w:sz w:val="21"/>
          <w:szCs w:val="21"/>
        </w:rPr>
        <w:t>los programas, de las cuales sólo podrá emitir las recomendaciones para la mejora</w:t>
      </w:r>
      <w:r>
        <w:rPr>
          <w:rFonts w:ascii="Abadi" w:hAnsi="Abadi" w:cs="*Arial-5275-Identity-H"/>
          <w:color w:val="13131B"/>
          <w:sz w:val="21"/>
          <w:szCs w:val="21"/>
        </w:rPr>
        <w:t xml:space="preserve"> </w:t>
      </w:r>
      <w:r w:rsidRPr="00C45D54">
        <w:rPr>
          <w:rFonts w:ascii="Abadi" w:hAnsi="Abadi" w:cs="*Arial-5275-Identity-H"/>
          <w:color w:val="13131B"/>
          <w:sz w:val="21"/>
          <w:szCs w:val="21"/>
        </w:rPr>
        <w:t>en el desempeño, en los términos de la Ley.</w:t>
      </w:r>
    </w:p>
    <w:p w14:paraId="0E18FB51" w14:textId="77777777" w:rsidR="00313CE6" w:rsidRPr="00C45D54" w:rsidRDefault="00313CE6" w:rsidP="00313CE6">
      <w:pPr>
        <w:autoSpaceDE w:val="0"/>
        <w:autoSpaceDN w:val="0"/>
        <w:adjustRightInd w:val="0"/>
        <w:jc w:val="both"/>
        <w:rPr>
          <w:rFonts w:ascii="Abadi" w:hAnsi="Abadi" w:cs="*Arial-5275-Identity-H"/>
          <w:color w:val="13131B"/>
          <w:sz w:val="21"/>
          <w:szCs w:val="21"/>
        </w:rPr>
      </w:pPr>
    </w:p>
    <w:p w14:paraId="6F6E06A6" w14:textId="77777777" w:rsidR="00313CE6" w:rsidRPr="00C45D54" w:rsidRDefault="00313CE6" w:rsidP="00313CE6">
      <w:pPr>
        <w:autoSpaceDE w:val="0"/>
        <w:autoSpaceDN w:val="0"/>
        <w:adjustRightInd w:val="0"/>
        <w:ind w:firstLine="708"/>
        <w:jc w:val="both"/>
        <w:rPr>
          <w:rFonts w:ascii="Abadi" w:hAnsi="Abadi" w:cs="*Arial-5275-Identity-H"/>
          <w:color w:val="14131B"/>
          <w:sz w:val="21"/>
          <w:szCs w:val="21"/>
        </w:rPr>
      </w:pPr>
      <w:r w:rsidRPr="00C45D54">
        <w:rPr>
          <w:rFonts w:ascii="Abadi" w:hAnsi="Abadi" w:cs="*Arial-5275-Identity-H"/>
          <w:color w:val="14131B"/>
          <w:sz w:val="21"/>
          <w:szCs w:val="21"/>
        </w:rPr>
        <w:t>Por su parte, el artículo 3, fracción V de la Ley de Fiscalización Superior del</w:t>
      </w:r>
      <w:r>
        <w:rPr>
          <w:rFonts w:ascii="Abadi" w:hAnsi="Abadi" w:cs="*Arial-5275-Identity-H"/>
          <w:color w:val="14131B"/>
          <w:sz w:val="21"/>
          <w:szCs w:val="21"/>
        </w:rPr>
        <w:t xml:space="preserve"> </w:t>
      </w:r>
      <w:r w:rsidRPr="00C45D54">
        <w:rPr>
          <w:rFonts w:ascii="Abadi" w:hAnsi="Abadi" w:cs="*Arial-5275-Identity-H"/>
          <w:color w:val="14131B"/>
          <w:sz w:val="21"/>
          <w:szCs w:val="21"/>
        </w:rPr>
        <w:t>Estado de Guanajuato señala que la Auditoría Superior del Estado es competente</w:t>
      </w:r>
      <w:r>
        <w:rPr>
          <w:rFonts w:ascii="Abadi" w:hAnsi="Abadi" w:cs="*Arial-5275-Identity-H"/>
          <w:color w:val="14131B"/>
          <w:sz w:val="21"/>
          <w:szCs w:val="21"/>
        </w:rPr>
        <w:t xml:space="preserve"> </w:t>
      </w:r>
      <w:r w:rsidRPr="00C45D54">
        <w:rPr>
          <w:rFonts w:ascii="Abadi" w:hAnsi="Abadi" w:cs="*Arial-5275-Identity-H"/>
          <w:color w:val="14131B"/>
          <w:sz w:val="21"/>
          <w:szCs w:val="21"/>
        </w:rPr>
        <w:t>para practicar auditorías de desempeño para verificar el cumplimiento de los</w:t>
      </w:r>
      <w:r>
        <w:rPr>
          <w:rFonts w:ascii="Abadi" w:hAnsi="Abadi" w:cs="*Arial-5275-Identity-H"/>
          <w:color w:val="14131B"/>
          <w:sz w:val="21"/>
          <w:szCs w:val="21"/>
        </w:rPr>
        <w:t xml:space="preserve"> </w:t>
      </w:r>
      <w:r w:rsidRPr="00C45D54">
        <w:rPr>
          <w:rFonts w:ascii="Abadi" w:hAnsi="Abadi" w:cs="*Arial-5275-Identity-H"/>
          <w:color w:val="14131B"/>
          <w:sz w:val="21"/>
          <w:szCs w:val="21"/>
        </w:rPr>
        <w:t>objetivos y las metas de los programas estatales y municipales.</w:t>
      </w:r>
    </w:p>
    <w:p w14:paraId="6B01FF4B" w14:textId="77777777" w:rsidR="00313CE6" w:rsidRPr="00C45D54" w:rsidRDefault="00313CE6" w:rsidP="00313CE6">
      <w:pPr>
        <w:autoSpaceDE w:val="0"/>
        <w:autoSpaceDN w:val="0"/>
        <w:adjustRightInd w:val="0"/>
        <w:jc w:val="both"/>
        <w:rPr>
          <w:rFonts w:ascii="Abadi" w:hAnsi="Abadi" w:cs="*Microsoft Sans Serif-5100-Iden"/>
          <w:color w:val="262626"/>
          <w:sz w:val="21"/>
          <w:szCs w:val="21"/>
        </w:rPr>
      </w:pPr>
      <w:r>
        <w:rPr>
          <w:rFonts w:ascii="Abadi" w:hAnsi="Abadi" w:cs="*Microsoft Sans Serif-5100-Iden"/>
          <w:color w:val="262626"/>
          <w:sz w:val="21"/>
          <w:szCs w:val="21"/>
        </w:rPr>
        <w:t xml:space="preserve"> </w:t>
      </w:r>
    </w:p>
    <w:p w14:paraId="46ABDD27" w14:textId="77777777" w:rsidR="00313CE6" w:rsidRDefault="00313CE6" w:rsidP="00313CE6">
      <w:pPr>
        <w:autoSpaceDE w:val="0"/>
        <w:autoSpaceDN w:val="0"/>
        <w:adjustRightInd w:val="0"/>
        <w:ind w:firstLine="708"/>
        <w:jc w:val="both"/>
        <w:rPr>
          <w:rFonts w:ascii="Abadi" w:hAnsi="Abadi" w:cs="*Arial-5099-Identity-H"/>
          <w:color w:val="15131D"/>
          <w:sz w:val="21"/>
          <w:szCs w:val="21"/>
        </w:rPr>
      </w:pPr>
      <w:r w:rsidRPr="00C45D54">
        <w:rPr>
          <w:rFonts w:ascii="Abadi" w:hAnsi="Abadi" w:cs="*Arial-5099-Identity-H"/>
          <w:color w:val="15131D"/>
          <w:sz w:val="21"/>
          <w:szCs w:val="21"/>
        </w:rPr>
        <w:t>De igual forma, el artículo 56 de la Ley de Fiscalización Superior prevé que</w:t>
      </w:r>
      <w:r>
        <w:rPr>
          <w:rFonts w:ascii="Abadi" w:hAnsi="Abadi" w:cs="*Arial-5099-Identity-H"/>
          <w:color w:val="15131D"/>
          <w:sz w:val="21"/>
          <w:szCs w:val="21"/>
        </w:rPr>
        <w:t xml:space="preserve"> </w:t>
      </w:r>
      <w:r w:rsidRPr="00C45D54">
        <w:rPr>
          <w:rFonts w:ascii="Abadi" w:hAnsi="Abadi" w:cs="*Arial-5099-Identity-H"/>
          <w:color w:val="15131D"/>
          <w:sz w:val="21"/>
          <w:szCs w:val="21"/>
        </w:rPr>
        <w:t>las auditorías de desempeño comprenden la revisión del cumplimiento de las</w:t>
      </w:r>
      <w:r>
        <w:rPr>
          <w:rFonts w:ascii="Abadi" w:hAnsi="Abadi" w:cs="*Arial-5099-Identity-H"/>
          <w:color w:val="15131D"/>
          <w:sz w:val="21"/>
          <w:szCs w:val="21"/>
        </w:rPr>
        <w:t xml:space="preserve"> </w:t>
      </w:r>
      <w:r w:rsidRPr="00C45D54">
        <w:rPr>
          <w:rFonts w:ascii="Abadi" w:hAnsi="Abadi" w:cs="*Arial-5099-Identity-H"/>
          <w:color w:val="15131D"/>
          <w:sz w:val="21"/>
          <w:szCs w:val="21"/>
        </w:rPr>
        <w:t>metas y objetivos de los planes y programas, conforme a los principios de</w:t>
      </w:r>
      <w:r>
        <w:rPr>
          <w:rFonts w:ascii="Abadi" w:hAnsi="Abadi" w:cs="*Arial-5099-Identity-H"/>
          <w:color w:val="15131D"/>
          <w:sz w:val="21"/>
          <w:szCs w:val="21"/>
        </w:rPr>
        <w:t xml:space="preserve"> </w:t>
      </w:r>
      <w:r w:rsidRPr="00C45D54">
        <w:rPr>
          <w:rFonts w:ascii="Abadi" w:hAnsi="Abadi" w:cs="*Arial-5099-Identity-H"/>
          <w:color w:val="15131D"/>
          <w:sz w:val="21"/>
          <w:szCs w:val="21"/>
        </w:rPr>
        <w:t>eficiencia, eficacia y economía; así como la evaluación de las políticas públicas;</w:t>
      </w:r>
      <w:r>
        <w:rPr>
          <w:rFonts w:ascii="Abadi" w:hAnsi="Abadi" w:cs="*Arial-5099-Identity-H"/>
          <w:color w:val="15131D"/>
          <w:sz w:val="21"/>
          <w:szCs w:val="21"/>
        </w:rPr>
        <w:t xml:space="preserve"> </w:t>
      </w:r>
      <w:r w:rsidRPr="00C45D54">
        <w:rPr>
          <w:rFonts w:ascii="Abadi" w:hAnsi="Abadi" w:cs="*Arial-5099-Identity-H"/>
          <w:color w:val="15131D"/>
          <w:sz w:val="21"/>
          <w:szCs w:val="21"/>
        </w:rPr>
        <w:t>estableciendo además que la Auditoría Superior del Estado realizará las auditorías</w:t>
      </w:r>
      <w:r>
        <w:rPr>
          <w:rFonts w:ascii="Abadi" w:hAnsi="Abadi" w:cs="*Arial-5099-Identity-H"/>
          <w:color w:val="15131D"/>
          <w:sz w:val="21"/>
          <w:szCs w:val="21"/>
        </w:rPr>
        <w:t xml:space="preserve"> </w:t>
      </w:r>
      <w:r w:rsidRPr="00C45D54">
        <w:rPr>
          <w:rFonts w:ascii="Abadi" w:hAnsi="Abadi" w:cs="*Arial-5099-Identity-H"/>
          <w:color w:val="15131D"/>
          <w:sz w:val="21"/>
          <w:szCs w:val="21"/>
        </w:rPr>
        <w:t>de desempeño de manera anual y únicamente formulará recomendaciones que</w:t>
      </w:r>
      <w:r>
        <w:rPr>
          <w:rFonts w:ascii="Abadi" w:hAnsi="Abadi" w:cs="*Arial-5099-Identity-H"/>
          <w:color w:val="15131D"/>
          <w:sz w:val="21"/>
          <w:szCs w:val="21"/>
        </w:rPr>
        <w:t xml:space="preserve"> </w:t>
      </w:r>
      <w:r w:rsidRPr="00C45D54">
        <w:rPr>
          <w:rFonts w:ascii="Abadi" w:hAnsi="Abadi" w:cs="*Arial-5099-Identity-H"/>
          <w:color w:val="15131D"/>
          <w:sz w:val="21"/>
          <w:szCs w:val="21"/>
        </w:rPr>
        <w:t>incidan en mejorar sistemáticamente el diseño, operación e impacto de los</w:t>
      </w:r>
      <w:r>
        <w:rPr>
          <w:rFonts w:ascii="Abadi" w:hAnsi="Abadi" w:cs="*Arial-5099-Identity-H"/>
          <w:color w:val="15131D"/>
          <w:sz w:val="21"/>
          <w:szCs w:val="21"/>
        </w:rPr>
        <w:t xml:space="preserve"> </w:t>
      </w:r>
      <w:r w:rsidRPr="00C45D54">
        <w:rPr>
          <w:rFonts w:ascii="Abadi" w:hAnsi="Abadi" w:cs="*Arial-5099-Identity-H"/>
          <w:color w:val="15131D"/>
          <w:sz w:val="21"/>
          <w:szCs w:val="21"/>
        </w:rPr>
        <w:t>presupuestos programáticos y las políticas públicas en su caso.</w:t>
      </w:r>
    </w:p>
    <w:p w14:paraId="4A4FF337" w14:textId="77777777" w:rsidR="00313CE6" w:rsidRPr="00C45D54" w:rsidRDefault="00313CE6" w:rsidP="00313CE6">
      <w:pPr>
        <w:autoSpaceDE w:val="0"/>
        <w:autoSpaceDN w:val="0"/>
        <w:adjustRightInd w:val="0"/>
        <w:jc w:val="both"/>
        <w:rPr>
          <w:rFonts w:ascii="Abadi" w:hAnsi="Abadi" w:cs="*Arial-5099-Identity-H"/>
          <w:color w:val="15131D"/>
          <w:sz w:val="21"/>
          <w:szCs w:val="21"/>
        </w:rPr>
      </w:pPr>
    </w:p>
    <w:p w14:paraId="78325AD8" w14:textId="77777777" w:rsidR="00313CE6" w:rsidRDefault="00313CE6" w:rsidP="00313CE6">
      <w:pPr>
        <w:autoSpaceDE w:val="0"/>
        <w:autoSpaceDN w:val="0"/>
        <w:adjustRightInd w:val="0"/>
        <w:ind w:firstLine="708"/>
        <w:jc w:val="both"/>
        <w:rPr>
          <w:rFonts w:ascii="Abadi" w:hAnsi="Abadi" w:cs="*Arial-5099-Identity-H"/>
          <w:color w:val="15141B"/>
          <w:sz w:val="21"/>
          <w:szCs w:val="21"/>
        </w:rPr>
      </w:pPr>
      <w:r w:rsidRPr="00C45D54">
        <w:rPr>
          <w:rFonts w:ascii="Abadi" w:hAnsi="Abadi" w:cs="*Arial-5099-Identity-H"/>
          <w:color w:val="15141B"/>
          <w:sz w:val="21"/>
          <w:szCs w:val="21"/>
        </w:rPr>
        <w:t>Por su parte, los artículos 59 y 60 de la citada Ley refieren que los informes</w:t>
      </w:r>
      <w:r>
        <w:rPr>
          <w:rFonts w:ascii="Abadi" w:hAnsi="Abadi" w:cs="*Arial-5099-Identity-H"/>
          <w:color w:val="15141B"/>
          <w:sz w:val="21"/>
          <w:szCs w:val="21"/>
        </w:rPr>
        <w:t xml:space="preserve"> </w:t>
      </w:r>
      <w:r w:rsidRPr="00C45D54">
        <w:rPr>
          <w:rFonts w:ascii="Abadi" w:hAnsi="Abadi" w:cs="*Arial-5099-Identity-H"/>
          <w:color w:val="15141B"/>
          <w:sz w:val="21"/>
          <w:szCs w:val="21"/>
        </w:rPr>
        <w:t>de resultados de auditorías de desempeño contendrán los requisitos señalados en</w:t>
      </w:r>
      <w:r>
        <w:rPr>
          <w:rFonts w:ascii="Abadi" w:hAnsi="Abadi" w:cs="*Arial-5099-Identity-H"/>
          <w:color w:val="15141B"/>
          <w:sz w:val="21"/>
          <w:szCs w:val="21"/>
        </w:rPr>
        <w:t xml:space="preserve"> </w:t>
      </w:r>
      <w:r w:rsidRPr="00C45D54">
        <w:rPr>
          <w:rFonts w:ascii="Abadi" w:hAnsi="Abadi" w:cs="*Arial-5099-Identity-H"/>
          <w:color w:val="15141B"/>
          <w:sz w:val="21"/>
          <w:szCs w:val="21"/>
        </w:rPr>
        <w:t>el Reglamento de la Ley y que la Auditoría Superior del Estado, remitirá dichos</w:t>
      </w:r>
      <w:r>
        <w:rPr>
          <w:rFonts w:ascii="Abadi" w:hAnsi="Abadi" w:cs="*Arial-5099-Identity-H"/>
          <w:color w:val="15141B"/>
          <w:sz w:val="21"/>
          <w:szCs w:val="21"/>
        </w:rPr>
        <w:t xml:space="preserve"> </w:t>
      </w:r>
      <w:r w:rsidRPr="00C45D54">
        <w:rPr>
          <w:rFonts w:ascii="Abadi" w:hAnsi="Abadi" w:cs="*Arial-5099-Identity-H"/>
          <w:color w:val="15141B"/>
          <w:sz w:val="21"/>
          <w:szCs w:val="21"/>
        </w:rPr>
        <w:t>informes al Congreso a más tardar el 30 de septiembre del ejercicio fiscal de que</w:t>
      </w:r>
      <w:r>
        <w:rPr>
          <w:rFonts w:ascii="Abadi" w:hAnsi="Abadi" w:cs="*Arial-5099-Identity-H"/>
          <w:color w:val="15141B"/>
          <w:sz w:val="21"/>
          <w:szCs w:val="21"/>
        </w:rPr>
        <w:t xml:space="preserve"> </w:t>
      </w:r>
      <w:r w:rsidRPr="00C45D54">
        <w:rPr>
          <w:rFonts w:ascii="Abadi" w:hAnsi="Abadi" w:cs="*Arial-5099-Identity-H"/>
          <w:color w:val="15141B"/>
          <w:sz w:val="21"/>
          <w:szCs w:val="21"/>
        </w:rPr>
        <w:t>se trate.</w:t>
      </w:r>
    </w:p>
    <w:p w14:paraId="3ED416D1" w14:textId="77777777" w:rsidR="00313CE6" w:rsidRPr="00C45D54" w:rsidRDefault="00313CE6" w:rsidP="00313CE6">
      <w:pPr>
        <w:autoSpaceDE w:val="0"/>
        <w:autoSpaceDN w:val="0"/>
        <w:adjustRightInd w:val="0"/>
        <w:jc w:val="both"/>
        <w:rPr>
          <w:rFonts w:ascii="Abadi" w:hAnsi="Abadi" w:cs="*Arial-5099-Identity-H"/>
          <w:color w:val="15141B"/>
          <w:sz w:val="21"/>
          <w:szCs w:val="21"/>
        </w:rPr>
      </w:pPr>
    </w:p>
    <w:p w14:paraId="697C1DA0" w14:textId="77777777" w:rsidR="00313CE6" w:rsidRDefault="00313CE6" w:rsidP="00313CE6">
      <w:pPr>
        <w:autoSpaceDE w:val="0"/>
        <w:autoSpaceDN w:val="0"/>
        <w:adjustRightInd w:val="0"/>
        <w:ind w:firstLine="708"/>
        <w:jc w:val="both"/>
        <w:rPr>
          <w:rFonts w:ascii="Abadi" w:hAnsi="Abadi" w:cs="*Arial-5099-Identity-H"/>
          <w:color w:val="15141C"/>
          <w:sz w:val="21"/>
          <w:szCs w:val="21"/>
        </w:rPr>
      </w:pPr>
      <w:r w:rsidRPr="00C45D54">
        <w:rPr>
          <w:rFonts w:ascii="Abadi" w:hAnsi="Abadi" w:cs="*Arial-5099-Identity-H"/>
          <w:color w:val="15141C"/>
          <w:sz w:val="21"/>
          <w:szCs w:val="21"/>
        </w:rPr>
        <w:t>De lo anterior podemos desprender que el Órgano Técnico realizará la</w:t>
      </w:r>
      <w:r>
        <w:rPr>
          <w:rFonts w:ascii="Abadi" w:hAnsi="Abadi" w:cs="*Arial-5099-Identity-H"/>
          <w:color w:val="15141C"/>
          <w:sz w:val="21"/>
          <w:szCs w:val="21"/>
        </w:rPr>
        <w:t xml:space="preserve"> auditoría</w:t>
      </w:r>
      <w:r w:rsidRPr="00C45D54">
        <w:rPr>
          <w:rFonts w:ascii="Abadi" w:hAnsi="Abadi" w:cs="*Arial-5099-Identity-H"/>
          <w:color w:val="15141C"/>
          <w:sz w:val="21"/>
          <w:szCs w:val="21"/>
        </w:rPr>
        <w:t xml:space="preserve"> de desempeño de manera anual y únicamente formulará</w:t>
      </w:r>
      <w:r>
        <w:rPr>
          <w:rFonts w:ascii="Abadi" w:hAnsi="Abadi" w:cs="*Arial-5099-Identity-H"/>
          <w:color w:val="15141C"/>
          <w:sz w:val="21"/>
          <w:szCs w:val="21"/>
        </w:rPr>
        <w:t xml:space="preserve"> </w:t>
      </w:r>
      <w:r w:rsidRPr="00C45D54">
        <w:rPr>
          <w:rFonts w:ascii="Abadi" w:hAnsi="Abadi" w:cs="*Arial-5099-Identity-H"/>
          <w:color w:val="15141C"/>
          <w:sz w:val="21"/>
          <w:szCs w:val="21"/>
        </w:rPr>
        <w:t>recomendaciones que incidan en la mejora del diseño, operación e impacto de los</w:t>
      </w:r>
      <w:r>
        <w:rPr>
          <w:rFonts w:ascii="Abadi" w:hAnsi="Abadi" w:cs="*Arial-5099-Identity-H"/>
          <w:color w:val="15141C"/>
          <w:sz w:val="21"/>
          <w:szCs w:val="21"/>
        </w:rPr>
        <w:t xml:space="preserve"> </w:t>
      </w:r>
      <w:r w:rsidRPr="00C45D54">
        <w:rPr>
          <w:rFonts w:ascii="Abadi" w:hAnsi="Abadi" w:cs="*Arial-5099-Identity-H"/>
          <w:color w:val="15141C"/>
          <w:sz w:val="21"/>
          <w:szCs w:val="21"/>
        </w:rPr>
        <w:t>presupuestos programáticos y las políticas públicas en su caso.</w:t>
      </w:r>
    </w:p>
    <w:p w14:paraId="59896AD3" w14:textId="77777777" w:rsidR="00313CE6" w:rsidRPr="00C45D54" w:rsidRDefault="00313CE6" w:rsidP="00313CE6">
      <w:pPr>
        <w:autoSpaceDE w:val="0"/>
        <w:autoSpaceDN w:val="0"/>
        <w:adjustRightInd w:val="0"/>
        <w:jc w:val="both"/>
        <w:rPr>
          <w:rFonts w:ascii="Abadi" w:hAnsi="Abadi" w:cs="*Arial-5099-Identity-H"/>
          <w:color w:val="15141C"/>
          <w:sz w:val="21"/>
          <w:szCs w:val="21"/>
        </w:rPr>
      </w:pPr>
    </w:p>
    <w:p w14:paraId="07D4097B" w14:textId="77777777" w:rsidR="00313CE6" w:rsidRDefault="00313CE6" w:rsidP="00313CE6">
      <w:pPr>
        <w:autoSpaceDE w:val="0"/>
        <w:autoSpaceDN w:val="0"/>
        <w:adjustRightInd w:val="0"/>
        <w:ind w:firstLine="708"/>
        <w:jc w:val="both"/>
        <w:rPr>
          <w:rFonts w:ascii="Abadi" w:hAnsi="Abadi" w:cs="*Arial-5099-Identity-H"/>
          <w:color w:val="14141B"/>
          <w:sz w:val="21"/>
          <w:szCs w:val="21"/>
        </w:rPr>
      </w:pPr>
      <w:r w:rsidRPr="00C45D54">
        <w:rPr>
          <w:rFonts w:ascii="Abadi" w:hAnsi="Abadi" w:cs="*Arial-5099-Identity-H"/>
          <w:color w:val="14141B"/>
          <w:sz w:val="21"/>
          <w:szCs w:val="21"/>
        </w:rPr>
        <w:t>Finalmente, el artículo 16 de la Ley de Fiscalización Superior del Estado de</w:t>
      </w:r>
      <w:r>
        <w:rPr>
          <w:rFonts w:ascii="Abadi" w:hAnsi="Abadi" w:cs="*Arial-5099-Identity-H"/>
          <w:color w:val="14141B"/>
          <w:sz w:val="21"/>
          <w:szCs w:val="21"/>
        </w:rPr>
        <w:t xml:space="preserve"> </w:t>
      </w:r>
      <w:r w:rsidRPr="00C45D54">
        <w:rPr>
          <w:rFonts w:ascii="Abadi" w:hAnsi="Abadi" w:cs="*Arial-5099-Identity-H"/>
          <w:color w:val="14141B"/>
          <w:sz w:val="21"/>
          <w:szCs w:val="21"/>
        </w:rPr>
        <w:t>Guanajuato, consigna que la Auditoría Superior establecerá un Programa General</w:t>
      </w:r>
      <w:r>
        <w:rPr>
          <w:rFonts w:ascii="Abadi" w:hAnsi="Abadi" w:cs="*Arial-5099-Identity-H"/>
          <w:color w:val="14141B"/>
          <w:sz w:val="21"/>
          <w:szCs w:val="21"/>
        </w:rPr>
        <w:t xml:space="preserve"> </w:t>
      </w:r>
      <w:r w:rsidRPr="00C45D54">
        <w:rPr>
          <w:rFonts w:ascii="Abadi" w:hAnsi="Abadi" w:cs="*Arial-5099-Identity-H"/>
          <w:color w:val="14141B"/>
          <w:sz w:val="21"/>
          <w:szCs w:val="21"/>
        </w:rPr>
        <w:t>de Fiscalización, señalando los actos y sujetos de fiscalización, los que serán</w:t>
      </w:r>
      <w:r>
        <w:rPr>
          <w:rFonts w:ascii="Abadi" w:hAnsi="Abadi" w:cs="*Arial-5099-Identity-H"/>
          <w:color w:val="14141B"/>
          <w:sz w:val="21"/>
          <w:szCs w:val="21"/>
        </w:rPr>
        <w:t xml:space="preserve"> </w:t>
      </w:r>
      <w:r w:rsidRPr="00C45D54">
        <w:rPr>
          <w:rFonts w:ascii="Abadi" w:hAnsi="Abadi" w:cs="*Arial-5099-Identity-H"/>
          <w:color w:val="14141B"/>
          <w:sz w:val="21"/>
          <w:szCs w:val="21"/>
        </w:rPr>
        <w:t>objeto de auditoría o revisión conforme a los criterios y normas que se establezcan</w:t>
      </w:r>
      <w:r>
        <w:rPr>
          <w:rFonts w:ascii="Abadi" w:hAnsi="Abadi" w:cs="*Arial-5099-Identity-H"/>
          <w:color w:val="14141B"/>
          <w:sz w:val="21"/>
          <w:szCs w:val="21"/>
        </w:rPr>
        <w:t xml:space="preserve"> </w:t>
      </w:r>
      <w:r w:rsidRPr="00C45D54">
        <w:rPr>
          <w:rFonts w:ascii="Abadi" w:hAnsi="Abadi" w:cs="*Arial-5099-Identity-H"/>
          <w:color w:val="14141B"/>
          <w:sz w:val="21"/>
          <w:szCs w:val="21"/>
        </w:rPr>
        <w:t>en el Reglamento de la Ley.</w:t>
      </w:r>
    </w:p>
    <w:p w14:paraId="6C7C6B94" w14:textId="77777777" w:rsidR="00313CE6" w:rsidRPr="00C45D54" w:rsidRDefault="00313CE6" w:rsidP="00313CE6">
      <w:pPr>
        <w:autoSpaceDE w:val="0"/>
        <w:autoSpaceDN w:val="0"/>
        <w:adjustRightInd w:val="0"/>
        <w:jc w:val="both"/>
        <w:rPr>
          <w:rFonts w:ascii="Abadi" w:hAnsi="Abadi" w:cs="*Arial-5099-Identity-H"/>
          <w:color w:val="14141B"/>
          <w:sz w:val="21"/>
          <w:szCs w:val="21"/>
        </w:rPr>
      </w:pPr>
    </w:p>
    <w:p w14:paraId="7C37F9EF" w14:textId="77777777" w:rsidR="00313CE6" w:rsidRPr="00C45D54" w:rsidRDefault="00313CE6" w:rsidP="00313CE6">
      <w:pPr>
        <w:autoSpaceDE w:val="0"/>
        <w:autoSpaceDN w:val="0"/>
        <w:adjustRightInd w:val="0"/>
        <w:ind w:firstLine="708"/>
        <w:jc w:val="both"/>
        <w:rPr>
          <w:rFonts w:ascii="Abadi" w:hAnsi="Abadi" w:cs="*Arial-5099-Identity-H"/>
          <w:color w:val="14131C"/>
          <w:sz w:val="21"/>
          <w:szCs w:val="21"/>
        </w:rPr>
      </w:pPr>
      <w:r w:rsidRPr="00C45D54">
        <w:rPr>
          <w:rFonts w:ascii="Abadi" w:hAnsi="Abadi" w:cs="*Arial-5099-Identity-H"/>
          <w:color w:val="14131C"/>
          <w:sz w:val="21"/>
          <w:szCs w:val="21"/>
        </w:rPr>
        <w:t>En ejercicio de esta función, el Auditor Superior del Estado aprobó el</w:t>
      </w:r>
      <w:r>
        <w:rPr>
          <w:rFonts w:ascii="Abadi" w:hAnsi="Abadi" w:cs="*Arial-5099-Identity-H"/>
          <w:color w:val="14131C"/>
          <w:sz w:val="21"/>
          <w:szCs w:val="21"/>
        </w:rPr>
        <w:t xml:space="preserve"> </w:t>
      </w:r>
      <w:r w:rsidRPr="00C45D54">
        <w:rPr>
          <w:rFonts w:ascii="Abadi" w:hAnsi="Abadi" w:cs="*Arial-5099-Identity-H"/>
          <w:color w:val="14131C"/>
          <w:sz w:val="21"/>
          <w:szCs w:val="21"/>
        </w:rPr>
        <w:t>Programa General de Fiscalización 2021. En dicho Programa se contempló la</w:t>
      </w:r>
      <w:r>
        <w:rPr>
          <w:rFonts w:ascii="Abadi" w:hAnsi="Abadi" w:cs="*Arial-5099-Identity-H"/>
          <w:color w:val="14131C"/>
          <w:sz w:val="21"/>
          <w:szCs w:val="21"/>
        </w:rPr>
        <w:t xml:space="preserve"> </w:t>
      </w:r>
      <w:r w:rsidRPr="00C45D54">
        <w:rPr>
          <w:rFonts w:ascii="Abadi" w:hAnsi="Abadi" w:cs="*Arial-5099-Identity-H"/>
          <w:color w:val="14131C"/>
          <w:sz w:val="21"/>
          <w:szCs w:val="21"/>
        </w:rPr>
        <w:t>práctica de una auditoría de desempeño a la administración municipal de</w:t>
      </w:r>
      <w:r>
        <w:rPr>
          <w:rFonts w:ascii="Abadi" w:hAnsi="Abadi" w:cs="*Arial-5099-Identity-H"/>
          <w:color w:val="14131C"/>
          <w:sz w:val="21"/>
          <w:szCs w:val="21"/>
        </w:rPr>
        <w:t xml:space="preserve"> </w:t>
      </w:r>
      <w:r w:rsidRPr="00C45D54">
        <w:rPr>
          <w:rFonts w:ascii="Abadi" w:hAnsi="Abadi" w:cs="*Arial-5099-Identity-H"/>
          <w:color w:val="14131C"/>
          <w:sz w:val="21"/>
          <w:szCs w:val="21"/>
        </w:rPr>
        <w:t>Guanajuato, Gto., por el periodo comprendido del 1 de enero al 31 de diciembre</w:t>
      </w:r>
      <w:r>
        <w:rPr>
          <w:rFonts w:ascii="Abadi" w:hAnsi="Abadi" w:cs="*Arial-5099-Identity-H"/>
          <w:color w:val="14131C"/>
          <w:sz w:val="21"/>
          <w:szCs w:val="21"/>
        </w:rPr>
        <w:t xml:space="preserve"> </w:t>
      </w:r>
      <w:r w:rsidRPr="00C45D54">
        <w:rPr>
          <w:rFonts w:ascii="Abadi" w:hAnsi="Abadi" w:cs="*Arial-5099-Identity-H"/>
          <w:color w:val="14131C"/>
          <w:sz w:val="21"/>
          <w:szCs w:val="21"/>
        </w:rPr>
        <w:t>del ejercicio fiscal del. año 2020, la cual se realizó con enfoque a resultados del</w:t>
      </w:r>
    </w:p>
    <w:p w14:paraId="0A7C38B1" w14:textId="77777777" w:rsidR="00313CE6" w:rsidRDefault="00313CE6" w:rsidP="00313CE6">
      <w:pPr>
        <w:autoSpaceDE w:val="0"/>
        <w:autoSpaceDN w:val="0"/>
        <w:adjustRightInd w:val="0"/>
        <w:jc w:val="both"/>
        <w:rPr>
          <w:rFonts w:ascii="Abadi" w:hAnsi="Abadi" w:cs="*Arial-5099-Identity-H"/>
          <w:color w:val="14131C"/>
          <w:sz w:val="21"/>
          <w:szCs w:val="21"/>
        </w:rPr>
      </w:pPr>
      <w:r w:rsidRPr="00C45D54">
        <w:rPr>
          <w:rFonts w:ascii="Abadi" w:hAnsi="Abadi" w:cs="*Arial-5099-Identity-H"/>
          <w:color w:val="14131C"/>
          <w:sz w:val="21"/>
          <w:szCs w:val="21"/>
        </w:rPr>
        <w:t>servicio de alumbrado público.</w:t>
      </w:r>
    </w:p>
    <w:p w14:paraId="5A97A34F" w14:textId="77777777" w:rsidR="00313CE6" w:rsidRPr="00C45D54" w:rsidRDefault="00313CE6" w:rsidP="00313CE6">
      <w:pPr>
        <w:autoSpaceDE w:val="0"/>
        <w:autoSpaceDN w:val="0"/>
        <w:adjustRightInd w:val="0"/>
        <w:jc w:val="both"/>
        <w:rPr>
          <w:rFonts w:ascii="Abadi" w:hAnsi="Abadi" w:cs="*Arial-5099-Identity-H"/>
          <w:color w:val="14131C"/>
          <w:sz w:val="21"/>
          <w:szCs w:val="21"/>
        </w:rPr>
      </w:pPr>
    </w:p>
    <w:p w14:paraId="0660F2B5" w14:textId="77777777" w:rsidR="00313CE6" w:rsidRPr="00C45D54" w:rsidRDefault="00313CE6" w:rsidP="00313CE6">
      <w:pPr>
        <w:autoSpaceDE w:val="0"/>
        <w:autoSpaceDN w:val="0"/>
        <w:adjustRightInd w:val="0"/>
        <w:ind w:firstLine="708"/>
        <w:jc w:val="both"/>
        <w:rPr>
          <w:rFonts w:ascii="Abadi" w:hAnsi="Abadi" w:cs="*Arial-5099-Identity-H"/>
          <w:color w:val="15141D"/>
          <w:sz w:val="21"/>
          <w:szCs w:val="21"/>
        </w:rPr>
      </w:pPr>
      <w:r w:rsidRPr="00C45D54">
        <w:rPr>
          <w:rFonts w:ascii="Abadi" w:hAnsi="Abadi" w:cs="*Arial-5099-Identity-H"/>
          <w:color w:val="15141D"/>
          <w:sz w:val="21"/>
          <w:szCs w:val="21"/>
        </w:rPr>
        <w:t>El 16 de julio de 2021 se notificó al sujeto fiscalizado el inicio de la auditoría</w:t>
      </w:r>
      <w:r>
        <w:rPr>
          <w:rFonts w:ascii="Abadi" w:hAnsi="Abadi" w:cs="*Arial-5099-Identity-H"/>
          <w:color w:val="15141D"/>
          <w:sz w:val="21"/>
          <w:szCs w:val="21"/>
        </w:rPr>
        <w:t xml:space="preserve"> </w:t>
      </w:r>
      <w:r w:rsidRPr="00C45D54">
        <w:rPr>
          <w:rFonts w:ascii="Abadi" w:hAnsi="Abadi" w:cs="*Arial-5099-Identity-H"/>
          <w:color w:val="15141D"/>
          <w:sz w:val="21"/>
          <w:szCs w:val="21"/>
        </w:rPr>
        <w:t>materia del presente dictamen.</w:t>
      </w:r>
      <w:r>
        <w:rPr>
          <w:rFonts w:ascii="Abadi" w:hAnsi="Abadi" w:cs="*Arial-5099-Identity-H"/>
          <w:color w:val="15141D"/>
          <w:sz w:val="21"/>
          <w:szCs w:val="21"/>
        </w:rPr>
        <w:t xml:space="preserve"> </w:t>
      </w:r>
    </w:p>
    <w:p w14:paraId="504BB789" w14:textId="77777777" w:rsidR="00313CE6" w:rsidRPr="00C45D54" w:rsidRDefault="00313CE6" w:rsidP="00313CE6">
      <w:pPr>
        <w:autoSpaceDE w:val="0"/>
        <w:autoSpaceDN w:val="0"/>
        <w:adjustRightInd w:val="0"/>
        <w:jc w:val="both"/>
        <w:rPr>
          <w:rFonts w:ascii="Abadi" w:hAnsi="Abadi" w:cs="*Microsoft Sans Serif-5420-Iden"/>
          <w:color w:val="16161A"/>
          <w:sz w:val="21"/>
          <w:szCs w:val="21"/>
        </w:rPr>
      </w:pPr>
    </w:p>
    <w:p w14:paraId="03CCDBF0" w14:textId="77777777" w:rsidR="00313CE6" w:rsidRDefault="00313CE6" w:rsidP="00313CE6">
      <w:pPr>
        <w:autoSpaceDE w:val="0"/>
        <w:autoSpaceDN w:val="0"/>
        <w:adjustRightInd w:val="0"/>
        <w:ind w:firstLine="708"/>
        <w:jc w:val="both"/>
        <w:rPr>
          <w:rFonts w:ascii="Abadi" w:hAnsi="Abadi" w:cs="*Arial-5419-Identity-H"/>
          <w:color w:val="14131C"/>
          <w:sz w:val="21"/>
          <w:szCs w:val="21"/>
        </w:rPr>
      </w:pPr>
      <w:r w:rsidRPr="00C45D54">
        <w:rPr>
          <w:rFonts w:ascii="Abadi" w:hAnsi="Abadi" w:cs="*Arial-5419-Identity-H"/>
          <w:color w:val="14131C"/>
          <w:sz w:val="21"/>
          <w:szCs w:val="21"/>
        </w:rPr>
        <w:t>Mediante oficios notificados el 12 de abril y el 23 de septiembre de 2021, la</w:t>
      </w:r>
      <w:r>
        <w:rPr>
          <w:rFonts w:ascii="Abadi" w:hAnsi="Abadi" w:cs="*Arial-5419-Identity-H"/>
          <w:color w:val="14131C"/>
          <w:sz w:val="21"/>
          <w:szCs w:val="21"/>
        </w:rPr>
        <w:t xml:space="preserve"> </w:t>
      </w:r>
      <w:r w:rsidRPr="00C45D54">
        <w:rPr>
          <w:rFonts w:ascii="Abadi" w:hAnsi="Abadi" w:cs="*Arial-5419-Identity-H"/>
          <w:color w:val="14131C"/>
          <w:sz w:val="21"/>
          <w:szCs w:val="21"/>
        </w:rPr>
        <w:t>Auditoría Superior del Estado requirió al sujeto de fiscalización diversa información</w:t>
      </w:r>
      <w:r>
        <w:rPr>
          <w:rFonts w:ascii="Abadi" w:hAnsi="Abadi" w:cs="*Arial-5419-Identity-H"/>
          <w:color w:val="14131C"/>
          <w:sz w:val="21"/>
          <w:szCs w:val="21"/>
        </w:rPr>
        <w:t xml:space="preserve"> </w:t>
      </w:r>
      <w:r w:rsidRPr="00C45D54">
        <w:rPr>
          <w:rFonts w:ascii="Abadi" w:hAnsi="Abadi" w:cs="*Arial-5419-Identity-H"/>
          <w:color w:val="14131C"/>
          <w:sz w:val="21"/>
          <w:szCs w:val="21"/>
        </w:rPr>
        <w:t>que se consideró necesaria para llevar a cabo la auditoría, a los cuales se dio</w:t>
      </w:r>
      <w:r>
        <w:rPr>
          <w:rFonts w:ascii="Abadi" w:hAnsi="Abadi" w:cs="*Arial-5419-Identity-H"/>
          <w:color w:val="14131C"/>
          <w:sz w:val="21"/>
          <w:szCs w:val="21"/>
        </w:rPr>
        <w:t xml:space="preserve"> </w:t>
      </w:r>
      <w:r w:rsidRPr="00C45D54">
        <w:rPr>
          <w:rFonts w:ascii="Abadi" w:hAnsi="Abadi" w:cs="*Arial-5419-Identity-H"/>
          <w:color w:val="14131C"/>
          <w:sz w:val="21"/>
          <w:szCs w:val="21"/>
        </w:rPr>
        <w:t>respuesta en fechas 23 de abril y 8 de octubre de 2021. Asimismo, los días 11 y</w:t>
      </w:r>
      <w:r>
        <w:rPr>
          <w:rFonts w:ascii="Abadi" w:hAnsi="Abadi" w:cs="*Arial-5419-Identity-H"/>
          <w:color w:val="14131C"/>
          <w:sz w:val="21"/>
          <w:szCs w:val="21"/>
        </w:rPr>
        <w:t xml:space="preserve"> </w:t>
      </w:r>
      <w:r w:rsidRPr="00C45D54">
        <w:rPr>
          <w:rFonts w:ascii="Abadi" w:hAnsi="Abadi" w:cs="*Arial-5419-Identity-H"/>
          <w:color w:val="14131C"/>
          <w:sz w:val="21"/>
          <w:szCs w:val="21"/>
        </w:rPr>
        <w:t>12 de noviembre del mismo año, el Órgano Técnico realizó entrevistas.</w:t>
      </w:r>
    </w:p>
    <w:p w14:paraId="651E3F81" w14:textId="77777777" w:rsidR="00313CE6" w:rsidRDefault="00313CE6" w:rsidP="00313CE6">
      <w:pPr>
        <w:autoSpaceDE w:val="0"/>
        <w:autoSpaceDN w:val="0"/>
        <w:adjustRightInd w:val="0"/>
        <w:jc w:val="both"/>
        <w:rPr>
          <w:rFonts w:ascii="Abadi" w:hAnsi="Abadi" w:cs="*Arial-5419-Identity-H"/>
          <w:color w:val="14131C"/>
          <w:sz w:val="21"/>
          <w:szCs w:val="21"/>
        </w:rPr>
      </w:pPr>
    </w:p>
    <w:p w14:paraId="54773657" w14:textId="77777777" w:rsidR="00313CE6" w:rsidRPr="00C45D54" w:rsidRDefault="00313CE6" w:rsidP="00313CE6">
      <w:pPr>
        <w:autoSpaceDE w:val="0"/>
        <w:autoSpaceDN w:val="0"/>
        <w:adjustRightInd w:val="0"/>
        <w:jc w:val="both"/>
        <w:rPr>
          <w:rFonts w:ascii="Abadi" w:hAnsi="Abadi" w:cs="*Arial-5419-Identity-H"/>
          <w:color w:val="14131C"/>
          <w:sz w:val="21"/>
          <w:szCs w:val="21"/>
        </w:rPr>
      </w:pPr>
    </w:p>
    <w:p w14:paraId="7C6C98D2" w14:textId="77777777" w:rsidR="00313CE6" w:rsidRDefault="00313CE6" w:rsidP="00313CE6">
      <w:pPr>
        <w:autoSpaceDE w:val="0"/>
        <w:autoSpaceDN w:val="0"/>
        <w:adjustRightInd w:val="0"/>
        <w:ind w:firstLine="708"/>
        <w:jc w:val="both"/>
        <w:rPr>
          <w:rFonts w:ascii="Abadi" w:hAnsi="Abadi" w:cs="*Arial-5419-Identity-H"/>
          <w:color w:val="14131B"/>
          <w:sz w:val="21"/>
          <w:szCs w:val="21"/>
        </w:rPr>
      </w:pPr>
      <w:r w:rsidRPr="00C45D54">
        <w:rPr>
          <w:rFonts w:ascii="Abadi" w:hAnsi="Abadi" w:cs="*Arial-5419-Identity-H"/>
          <w:color w:val="14131B"/>
          <w:sz w:val="21"/>
          <w:szCs w:val="21"/>
        </w:rPr>
        <w:t>En fechas 24 de septiembre y 17 de diciembre de 2021 se notificó al sujeto</w:t>
      </w:r>
      <w:r>
        <w:rPr>
          <w:rFonts w:ascii="Abadi" w:hAnsi="Abadi" w:cs="*Arial-5419-Identity-H"/>
          <w:color w:val="14131B"/>
          <w:sz w:val="21"/>
          <w:szCs w:val="21"/>
        </w:rPr>
        <w:t xml:space="preserve"> </w:t>
      </w:r>
      <w:r w:rsidRPr="00C45D54">
        <w:rPr>
          <w:rFonts w:ascii="Abadi" w:hAnsi="Abadi" w:cs="*Arial-5419-Identity-H"/>
          <w:color w:val="14131B"/>
          <w:sz w:val="21"/>
          <w:szCs w:val="21"/>
        </w:rPr>
        <w:t>fiscalizado la suspensión del plazo de la auditoría materia del presente dictamen,</w:t>
      </w:r>
      <w:r>
        <w:rPr>
          <w:rFonts w:ascii="Abadi" w:hAnsi="Abadi" w:cs="*Arial-5419-Identity-H"/>
          <w:color w:val="14131B"/>
          <w:sz w:val="21"/>
          <w:szCs w:val="21"/>
        </w:rPr>
        <w:t xml:space="preserve"> </w:t>
      </w:r>
      <w:r w:rsidRPr="00C45D54">
        <w:rPr>
          <w:rFonts w:ascii="Abadi" w:hAnsi="Abadi" w:cs="*Arial-5419-Identity-H"/>
          <w:color w:val="14131B"/>
          <w:sz w:val="21"/>
          <w:szCs w:val="21"/>
        </w:rPr>
        <w:t>por los periodos comprendidos del 1 de octubre al 17 de diciembre de 2021; y del</w:t>
      </w:r>
      <w:r>
        <w:rPr>
          <w:rFonts w:ascii="Abadi" w:hAnsi="Abadi" w:cs="*Arial-5419-Identity-H"/>
          <w:color w:val="14131B"/>
          <w:sz w:val="21"/>
          <w:szCs w:val="21"/>
        </w:rPr>
        <w:t xml:space="preserve"> </w:t>
      </w:r>
      <w:r w:rsidRPr="00C45D54">
        <w:rPr>
          <w:rFonts w:ascii="Abadi" w:hAnsi="Abadi" w:cs="*Arial-5419-Identity-H"/>
          <w:color w:val="14131B"/>
          <w:sz w:val="21"/>
          <w:szCs w:val="21"/>
        </w:rPr>
        <w:t>3 de enero al 11 de marzo de 2022.</w:t>
      </w:r>
    </w:p>
    <w:p w14:paraId="6D2F9BBC" w14:textId="77777777" w:rsidR="00313CE6" w:rsidRDefault="00313CE6" w:rsidP="00313CE6">
      <w:pPr>
        <w:autoSpaceDE w:val="0"/>
        <w:autoSpaceDN w:val="0"/>
        <w:adjustRightInd w:val="0"/>
        <w:jc w:val="both"/>
        <w:rPr>
          <w:rFonts w:ascii="Abadi" w:hAnsi="Abadi" w:cs="*Arial-5419-Identity-H"/>
          <w:color w:val="14131B"/>
          <w:sz w:val="21"/>
          <w:szCs w:val="21"/>
        </w:rPr>
      </w:pPr>
      <w:r>
        <w:rPr>
          <w:rFonts w:ascii="Abadi" w:hAnsi="Abadi" w:cs="*Arial-5419-Identity-H"/>
          <w:color w:val="14131B"/>
          <w:sz w:val="21"/>
          <w:szCs w:val="21"/>
        </w:rPr>
        <w:t xml:space="preserve"> </w:t>
      </w:r>
    </w:p>
    <w:p w14:paraId="5676676B" w14:textId="77777777" w:rsidR="00313CE6" w:rsidRDefault="00313CE6" w:rsidP="00313CE6">
      <w:pPr>
        <w:autoSpaceDE w:val="0"/>
        <w:autoSpaceDN w:val="0"/>
        <w:adjustRightInd w:val="0"/>
        <w:jc w:val="both"/>
        <w:rPr>
          <w:rFonts w:ascii="Abadi" w:hAnsi="Abadi" w:cs="*Arial-5419-Identity-H"/>
          <w:color w:val="14131B"/>
          <w:sz w:val="21"/>
          <w:szCs w:val="21"/>
        </w:rPr>
      </w:pPr>
    </w:p>
    <w:p w14:paraId="176A51E9" w14:textId="77777777" w:rsidR="00313CE6" w:rsidRDefault="00313CE6" w:rsidP="00313CE6">
      <w:pPr>
        <w:autoSpaceDE w:val="0"/>
        <w:autoSpaceDN w:val="0"/>
        <w:adjustRightInd w:val="0"/>
        <w:ind w:firstLine="708"/>
        <w:jc w:val="both"/>
        <w:rPr>
          <w:rFonts w:ascii="Abadi" w:hAnsi="Abadi" w:cs="*Arial-5419-Identity-H"/>
          <w:color w:val="14131B"/>
          <w:sz w:val="21"/>
          <w:szCs w:val="21"/>
        </w:rPr>
      </w:pPr>
      <w:r w:rsidRPr="00C45D54">
        <w:rPr>
          <w:rFonts w:ascii="Abadi" w:hAnsi="Abadi" w:cs="*Arial-5419-Identity-H"/>
          <w:color w:val="14131B"/>
          <w:sz w:val="21"/>
          <w:szCs w:val="21"/>
        </w:rPr>
        <w:t>Como parte del proceso de auditoría, el 12 de enero de 2022 se notificó al</w:t>
      </w:r>
      <w:r>
        <w:rPr>
          <w:rFonts w:ascii="Abadi" w:hAnsi="Abadi" w:cs="*Arial-5419-Identity-H"/>
          <w:color w:val="14131B"/>
          <w:sz w:val="21"/>
          <w:szCs w:val="21"/>
        </w:rPr>
        <w:t xml:space="preserve"> </w:t>
      </w:r>
      <w:r w:rsidRPr="00C45D54">
        <w:rPr>
          <w:rFonts w:ascii="Abadi" w:hAnsi="Abadi" w:cs="*Arial-5419-Identity-H"/>
          <w:color w:val="14131B"/>
          <w:sz w:val="21"/>
          <w:szCs w:val="21"/>
        </w:rPr>
        <w:t>sujeto fiscalizado el pliego de recomendaciones derivadas de la auditoría</w:t>
      </w:r>
      <w:r>
        <w:rPr>
          <w:rFonts w:ascii="Abadi" w:hAnsi="Abadi" w:cs="*Arial-5419-Identity-H"/>
          <w:color w:val="14131B"/>
          <w:sz w:val="21"/>
          <w:szCs w:val="21"/>
        </w:rPr>
        <w:t xml:space="preserve"> </w:t>
      </w:r>
      <w:r w:rsidRPr="00C45D54">
        <w:rPr>
          <w:rFonts w:ascii="Abadi" w:hAnsi="Abadi" w:cs="*Arial-5419-Identity-H"/>
          <w:color w:val="14131B"/>
          <w:sz w:val="21"/>
          <w:szCs w:val="21"/>
        </w:rPr>
        <w:t>practicada. Lo anterior, para dar cumplimiento a lo preceptuado por el artículo 58</w:t>
      </w:r>
      <w:r>
        <w:rPr>
          <w:rFonts w:ascii="Abadi" w:hAnsi="Abadi" w:cs="*Arial-5419-Identity-H"/>
          <w:color w:val="14131B"/>
          <w:sz w:val="21"/>
          <w:szCs w:val="21"/>
        </w:rPr>
        <w:t xml:space="preserve"> </w:t>
      </w:r>
      <w:r w:rsidRPr="00C45D54">
        <w:rPr>
          <w:rFonts w:ascii="Abadi" w:hAnsi="Abadi" w:cs="*Arial-5419-Identity-H"/>
          <w:color w:val="14131B"/>
          <w:sz w:val="21"/>
          <w:szCs w:val="21"/>
        </w:rPr>
        <w:t>de la Ley de Fiscalización Superior del Estado de Guanajuato.</w:t>
      </w:r>
    </w:p>
    <w:p w14:paraId="64D5098B" w14:textId="77777777" w:rsidR="00313CE6" w:rsidRPr="00C45D54" w:rsidRDefault="00313CE6" w:rsidP="00313CE6">
      <w:pPr>
        <w:autoSpaceDE w:val="0"/>
        <w:autoSpaceDN w:val="0"/>
        <w:adjustRightInd w:val="0"/>
        <w:jc w:val="both"/>
        <w:rPr>
          <w:rFonts w:ascii="Abadi" w:hAnsi="Abadi" w:cs="*Arial-5419-Identity-H"/>
          <w:color w:val="14131B"/>
          <w:sz w:val="21"/>
          <w:szCs w:val="21"/>
        </w:rPr>
      </w:pPr>
    </w:p>
    <w:p w14:paraId="5BDC18A6" w14:textId="77777777" w:rsidR="00313CE6" w:rsidRDefault="00313CE6" w:rsidP="00313CE6">
      <w:pPr>
        <w:autoSpaceDE w:val="0"/>
        <w:autoSpaceDN w:val="0"/>
        <w:adjustRightInd w:val="0"/>
        <w:ind w:firstLine="708"/>
        <w:jc w:val="both"/>
        <w:rPr>
          <w:rFonts w:ascii="Abadi" w:hAnsi="Abadi" w:cs="*Arial-5419-Identity-H"/>
          <w:color w:val="13131A"/>
          <w:sz w:val="21"/>
          <w:szCs w:val="21"/>
        </w:rPr>
      </w:pPr>
      <w:r w:rsidRPr="00C45D54">
        <w:rPr>
          <w:rFonts w:ascii="Abadi" w:hAnsi="Abadi" w:cs="*Arial-5419-Identity-H"/>
          <w:color w:val="13131A"/>
          <w:sz w:val="21"/>
          <w:szCs w:val="21"/>
        </w:rPr>
        <w:t>El 26 de enero de 2022, el sujeto fiscalizado dio respuesta a las</w:t>
      </w:r>
      <w:r>
        <w:rPr>
          <w:rFonts w:ascii="Abadi" w:hAnsi="Abadi" w:cs="*Arial-5419-Identity-H"/>
          <w:color w:val="13131A"/>
          <w:sz w:val="21"/>
          <w:szCs w:val="21"/>
        </w:rPr>
        <w:t xml:space="preserve"> </w:t>
      </w:r>
      <w:r w:rsidRPr="00C45D54">
        <w:rPr>
          <w:rFonts w:ascii="Abadi" w:hAnsi="Abadi" w:cs="*Arial-5419-Identity-H"/>
          <w:color w:val="13131A"/>
          <w:sz w:val="21"/>
          <w:szCs w:val="21"/>
        </w:rPr>
        <w:t>recomendaciones derivadas de la auditoría practicada, anexándose la información</w:t>
      </w:r>
      <w:r>
        <w:rPr>
          <w:rFonts w:ascii="Abadi" w:hAnsi="Abadi" w:cs="*Arial-5419-Identity-H"/>
          <w:color w:val="13131A"/>
          <w:sz w:val="21"/>
          <w:szCs w:val="21"/>
        </w:rPr>
        <w:t xml:space="preserve"> </w:t>
      </w:r>
      <w:r w:rsidRPr="00C45D54">
        <w:rPr>
          <w:rFonts w:ascii="Abadi" w:hAnsi="Abadi" w:cs="*Arial-5419-Identity-H"/>
          <w:color w:val="13131A"/>
          <w:sz w:val="21"/>
          <w:szCs w:val="21"/>
        </w:rPr>
        <w:t>y documentación que el mismo consideró suficiente para precisar las mejoras</w:t>
      </w:r>
      <w:r>
        <w:rPr>
          <w:rFonts w:ascii="Abadi" w:hAnsi="Abadi" w:cs="*Arial-5419-Identity-H"/>
          <w:color w:val="13131A"/>
          <w:sz w:val="21"/>
          <w:szCs w:val="21"/>
        </w:rPr>
        <w:t xml:space="preserve"> </w:t>
      </w:r>
      <w:r w:rsidRPr="00C45D54">
        <w:rPr>
          <w:rFonts w:ascii="Abadi" w:hAnsi="Abadi" w:cs="*Arial-5419-Identity-H"/>
          <w:color w:val="13131A"/>
          <w:sz w:val="21"/>
          <w:szCs w:val="21"/>
        </w:rPr>
        <w:t>efectuadas, las acciones a realizar o en su caso, justificar la improcedencia por la</w:t>
      </w:r>
      <w:r>
        <w:rPr>
          <w:rFonts w:ascii="Abadi" w:hAnsi="Abadi" w:cs="*Arial-5419-Identity-H"/>
          <w:color w:val="13131A"/>
          <w:sz w:val="21"/>
          <w:szCs w:val="21"/>
        </w:rPr>
        <w:t xml:space="preserve"> </w:t>
      </w:r>
      <w:r w:rsidRPr="00C45D54">
        <w:rPr>
          <w:rFonts w:ascii="Abadi" w:hAnsi="Abadi" w:cs="*Arial-5419-Identity-H"/>
          <w:color w:val="13131A"/>
          <w:sz w:val="21"/>
          <w:szCs w:val="21"/>
        </w:rPr>
        <w:t>cual no resulte factible su implementación. Una vez valorada la documentación</w:t>
      </w:r>
      <w:r>
        <w:rPr>
          <w:rFonts w:ascii="Abadi" w:hAnsi="Abadi" w:cs="*Arial-5419-Identity-H"/>
          <w:color w:val="13131A"/>
          <w:sz w:val="21"/>
          <w:szCs w:val="21"/>
        </w:rPr>
        <w:t xml:space="preserve"> </w:t>
      </w:r>
      <w:r w:rsidRPr="00C45D54">
        <w:rPr>
          <w:rFonts w:ascii="Abadi" w:hAnsi="Abadi" w:cs="*Arial-5419-Identity-H"/>
          <w:color w:val="13131A"/>
          <w:sz w:val="21"/>
          <w:szCs w:val="21"/>
        </w:rPr>
        <w:t>aportada se procedió a la elaboración del informe de resultados materia del</w:t>
      </w:r>
      <w:r>
        <w:rPr>
          <w:rFonts w:ascii="Abadi" w:hAnsi="Abadi" w:cs="*Arial-5419-Identity-H"/>
          <w:color w:val="13131A"/>
          <w:sz w:val="21"/>
          <w:szCs w:val="21"/>
        </w:rPr>
        <w:t xml:space="preserve"> </w:t>
      </w:r>
      <w:r w:rsidRPr="00C45D54">
        <w:rPr>
          <w:rFonts w:ascii="Abadi" w:hAnsi="Abadi" w:cs="*Arial-5419-Identity-H"/>
          <w:color w:val="13131A"/>
          <w:sz w:val="21"/>
          <w:szCs w:val="21"/>
        </w:rPr>
        <w:t>presente dictamen.</w:t>
      </w:r>
    </w:p>
    <w:p w14:paraId="25AA7B83" w14:textId="77777777" w:rsidR="00313CE6" w:rsidRPr="00C45D54" w:rsidRDefault="00313CE6" w:rsidP="00313CE6">
      <w:pPr>
        <w:autoSpaceDE w:val="0"/>
        <w:autoSpaceDN w:val="0"/>
        <w:adjustRightInd w:val="0"/>
        <w:jc w:val="both"/>
        <w:rPr>
          <w:rFonts w:ascii="Abadi" w:hAnsi="Abadi" w:cs="*Arial-5419-Identity-H"/>
          <w:color w:val="13131A"/>
          <w:sz w:val="21"/>
          <w:szCs w:val="21"/>
        </w:rPr>
      </w:pPr>
    </w:p>
    <w:p w14:paraId="185116F3" w14:textId="77777777" w:rsidR="00313CE6" w:rsidRDefault="00313CE6" w:rsidP="00313CE6">
      <w:pPr>
        <w:autoSpaceDE w:val="0"/>
        <w:autoSpaceDN w:val="0"/>
        <w:adjustRightInd w:val="0"/>
        <w:ind w:firstLine="708"/>
        <w:jc w:val="both"/>
        <w:rPr>
          <w:rFonts w:ascii="Abadi" w:hAnsi="Abadi" w:cs="*Arial-5419-Identity-H"/>
          <w:color w:val="15131D"/>
          <w:sz w:val="21"/>
          <w:szCs w:val="21"/>
        </w:rPr>
      </w:pPr>
      <w:r w:rsidRPr="00C45D54">
        <w:rPr>
          <w:rFonts w:ascii="Abadi" w:hAnsi="Abadi" w:cs="*Arial-5419-Identity-H"/>
          <w:color w:val="15131D"/>
          <w:sz w:val="21"/>
          <w:szCs w:val="21"/>
        </w:rPr>
        <w:t>El informe de resultados se notificó al presidente municipal de Guanajuato,</w:t>
      </w:r>
      <w:r>
        <w:rPr>
          <w:rFonts w:ascii="Abadi" w:hAnsi="Abadi" w:cs="*Arial-5419-Identity-H"/>
          <w:color w:val="15131D"/>
          <w:sz w:val="21"/>
          <w:szCs w:val="21"/>
        </w:rPr>
        <w:t xml:space="preserve"> </w:t>
      </w:r>
      <w:r w:rsidRPr="00C45D54">
        <w:rPr>
          <w:rFonts w:ascii="Abadi" w:hAnsi="Abadi" w:cs="*Arial-5419-Identity-H"/>
          <w:color w:val="15131D"/>
          <w:sz w:val="21"/>
          <w:szCs w:val="21"/>
        </w:rPr>
        <w:t>Gto., el 25 de febrero de 2022.</w:t>
      </w:r>
    </w:p>
    <w:p w14:paraId="79EA3141" w14:textId="77777777" w:rsidR="00313CE6" w:rsidRPr="00C45D54" w:rsidRDefault="00313CE6" w:rsidP="00313CE6">
      <w:pPr>
        <w:autoSpaceDE w:val="0"/>
        <w:autoSpaceDN w:val="0"/>
        <w:adjustRightInd w:val="0"/>
        <w:jc w:val="both"/>
        <w:rPr>
          <w:rFonts w:ascii="Abadi" w:hAnsi="Abadi" w:cs="*Arial-5419-Identity-H"/>
          <w:color w:val="15131D"/>
          <w:sz w:val="21"/>
          <w:szCs w:val="21"/>
        </w:rPr>
      </w:pPr>
    </w:p>
    <w:p w14:paraId="287087AC" w14:textId="77777777" w:rsidR="00313CE6" w:rsidRDefault="00313CE6" w:rsidP="00313CE6">
      <w:pPr>
        <w:autoSpaceDE w:val="0"/>
        <w:autoSpaceDN w:val="0"/>
        <w:adjustRightInd w:val="0"/>
        <w:ind w:firstLine="708"/>
        <w:jc w:val="both"/>
        <w:rPr>
          <w:rFonts w:ascii="Abadi" w:hAnsi="Abadi" w:cs="*Arial-5419-Identity-H"/>
          <w:color w:val="14131B"/>
          <w:sz w:val="21"/>
          <w:szCs w:val="21"/>
        </w:rPr>
      </w:pPr>
      <w:r w:rsidRPr="00C45D54">
        <w:rPr>
          <w:rFonts w:ascii="Abadi" w:hAnsi="Abadi" w:cs="*Arial-5419-Identity-H"/>
          <w:color w:val="14131B"/>
          <w:sz w:val="21"/>
          <w:szCs w:val="21"/>
        </w:rPr>
        <w:t>Es importante señalar que de acuerdo a lo previsto en los artículos 60 de la</w:t>
      </w:r>
      <w:r>
        <w:rPr>
          <w:rFonts w:ascii="Abadi" w:hAnsi="Abadi" w:cs="*Arial-5419-Identity-H"/>
          <w:color w:val="14131B"/>
          <w:sz w:val="21"/>
          <w:szCs w:val="21"/>
        </w:rPr>
        <w:t xml:space="preserve"> </w:t>
      </w:r>
      <w:r w:rsidRPr="00C45D54">
        <w:rPr>
          <w:rFonts w:ascii="Abadi" w:hAnsi="Abadi" w:cs="*Arial-5419-Identity-H"/>
          <w:color w:val="14131B"/>
          <w:sz w:val="21"/>
          <w:szCs w:val="21"/>
        </w:rPr>
        <w:t>Ley de Fiscalización Superior del Estado de Guanajuato; y 60 del Reglamento de</w:t>
      </w:r>
      <w:r>
        <w:rPr>
          <w:rFonts w:ascii="Abadi" w:hAnsi="Abadi" w:cs="*Arial-5419-Identity-H"/>
          <w:color w:val="14131B"/>
          <w:sz w:val="21"/>
          <w:szCs w:val="21"/>
        </w:rPr>
        <w:t xml:space="preserve"> </w:t>
      </w:r>
      <w:r w:rsidRPr="00C45D54">
        <w:rPr>
          <w:rFonts w:ascii="Abadi" w:hAnsi="Abadi" w:cs="*Arial-5419-Identity-H"/>
          <w:color w:val="14131B"/>
          <w:sz w:val="21"/>
          <w:szCs w:val="21"/>
        </w:rPr>
        <w:t>la Ley de Fiscalización Superior del Estado de Guanajuato, tratándose de las</w:t>
      </w:r>
      <w:r>
        <w:rPr>
          <w:rFonts w:ascii="Abadi" w:hAnsi="Abadi" w:cs="*Arial-5419-Identity-H"/>
          <w:color w:val="14131B"/>
          <w:sz w:val="21"/>
          <w:szCs w:val="21"/>
        </w:rPr>
        <w:t xml:space="preserve"> </w:t>
      </w:r>
      <w:r w:rsidRPr="00C45D54">
        <w:rPr>
          <w:rFonts w:ascii="Abadi" w:hAnsi="Abadi" w:cs="*Arial-5419-Identity-H"/>
          <w:color w:val="14131B"/>
          <w:sz w:val="21"/>
          <w:szCs w:val="21"/>
        </w:rPr>
        <w:t>auditorías de desempeño es improcedente el recurso de reconsideración en contra</w:t>
      </w:r>
      <w:r>
        <w:rPr>
          <w:rFonts w:ascii="Abadi" w:hAnsi="Abadi" w:cs="*Arial-5419-Identity-H"/>
          <w:color w:val="14131B"/>
          <w:sz w:val="21"/>
          <w:szCs w:val="21"/>
        </w:rPr>
        <w:t xml:space="preserve"> </w:t>
      </w:r>
      <w:r w:rsidRPr="00C45D54">
        <w:rPr>
          <w:rFonts w:ascii="Abadi" w:hAnsi="Abadi" w:cs="*Arial-5419-Identity-H"/>
          <w:color w:val="14131B"/>
          <w:sz w:val="21"/>
          <w:szCs w:val="21"/>
        </w:rPr>
        <w:t>del informe de resultados, por lo que una vez notificado el mismo al sujeto de</w:t>
      </w:r>
      <w:r>
        <w:rPr>
          <w:rFonts w:ascii="Abadi" w:hAnsi="Abadi" w:cs="*Arial-5419-Identity-H"/>
          <w:color w:val="14131B"/>
          <w:sz w:val="21"/>
          <w:szCs w:val="21"/>
        </w:rPr>
        <w:t xml:space="preserve"> </w:t>
      </w:r>
      <w:r w:rsidRPr="00C45D54">
        <w:rPr>
          <w:rFonts w:ascii="Abadi" w:hAnsi="Abadi" w:cs="*Arial-5419-Identity-H"/>
          <w:color w:val="14131B"/>
          <w:sz w:val="21"/>
          <w:szCs w:val="21"/>
        </w:rPr>
        <w:t>fiscalización, se remite al Congreso para los efectos procedentes.</w:t>
      </w:r>
    </w:p>
    <w:p w14:paraId="00118B1C" w14:textId="77777777" w:rsidR="00313CE6" w:rsidRPr="00C45D54" w:rsidRDefault="00313CE6" w:rsidP="00313CE6">
      <w:pPr>
        <w:autoSpaceDE w:val="0"/>
        <w:autoSpaceDN w:val="0"/>
        <w:adjustRightInd w:val="0"/>
        <w:jc w:val="both"/>
        <w:rPr>
          <w:rFonts w:ascii="Abadi" w:hAnsi="Abadi" w:cs="*Arial-5419-Identity-H"/>
          <w:color w:val="14131B"/>
          <w:sz w:val="21"/>
          <w:szCs w:val="21"/>
        </w:rPr>
      </w:pPr>
    </w:p>
    <w:p w14:paraId="3C12586F" w14:textId="77777777" w:rsidR="00313CE6" w:rsidRPr="00C45D54" w:rsidRDefault="00313CE6" w:rsidP="00313CE6">
      <w:pPr>
        <w:autoSpaceDE w:val="0"/>
        <w:autoSpaceDN w:val="0"/>
        <w:adjustRightInd w:val="0"/>
        <w:ind w:firstLine="708"/>
        <w:jc w:val="both"/>
        <w:rPr>
          <w:rFonts w:ascii="Abadi" w:hAnsi="Abadi" w:cs="*Arial-5419-Identity-H"/>
          <w:color w:val="14131B"/>
          <w:sz w:val="21"/>
          <w:szCs w:val="21"/>
        </w:rPr>
      </w:pPr>
      <w:r w:rsidRPr="00C45D54">
        <w:rPr>
          <w:rFonts w:ascii="Abadi" w:hAnsi="Abadi" w:cs="*Arial-5419-Identity-H"/>
          <w:color w:val="14131B"/>
          <w:sz w:val="21"/>
          <w:szCs w:val="21"/>
        </w:rPr>
        <w:t>En razón de lo anterior, el Auditor Superior del Estado remitió a este</w:t>
      </w:r>
      <w:r>
        <w:rPr>
          <w:rFonts w:ascii="Abadi" w:hAnsi="Abadi" w:cs="*Arial-5419-Identity-H"/>
          <w:color w:val="14131B"/>
          <w:sz w:val="21"/>
          <w:szCs w:val="21"/>
        </w:rPr>
        <w:t xml:space="preserve"> </w:t>
      </w:r>
      <w:r w:rsidRPr="00C45D54">
        <w:rPr>
          <w:rFonts w:ascii="Abadi" w:hAnsi="Abadi" w:cs="*Arial-5419-Identity-H"/>
          <w:color w:val="14131B"/>
          <w:sz w:val="21"/>
          <w:szCs w:val="21"/>
        </w:rPr>
        <w:t>Congreso del Estado, el informe de resultados, el cual se turnó a la Comisión de</w:t>
      </w:r>
      <w:r>
        <w:rPr>
          <w:rFonts w:ascii="Abadi" w:hAnsi="Abadi" w:cs="*Arial-5419-Identity-H"/>
          <w:color w:val="14131B"/>
          <w:sz w:val="21"/>
          <w:szCs w:val="21"/>
        </w:rPr>
        <w:t xml:space="preserve"> </w:t>
      </w:r>
      <w:r w:rsidRPr="00C45D54">
        <w:rPr>
          <w:rFonts w:ascii="Abadi" w:hAnsi="Abadi" w:cs="*Arial-5419-Identity-H"/>
          <w:color w:val="14131B"/>
          <w:sz w:val="21"/>
          <w:szCs w:val="21"/>
        </w:rPr>
        <w:t>Hacienda y Fiscalización el 1 O de marzo de 2022 para su estudio y dictamen,</w:t>
      </w:r>
      <w:r>
        <w:rPr>
          <w:rFonts w:ascii="Abadi" w:hAnsi="Abadi" w:cs="*Arial-5419-Identity-H"/>
          <w:color w:val="14131B"/>
          <w:sz w:val="21"/>
          <w:szCs w:val="21"/>
        </w:rPr>
        <w:t xml:space="preserve"> </w:t>
      </w:r>
      <w:r w:rsidRPr="00C45D54">
        <w:rPr>
          <w:rFonts w:ascii="Abadi" w:hAnsi="Abadi" w:cs="*Arial-5419-Identity-H"/>
          <w:color w:val="14131B"/>
          <w:sz w:val="21"/>
          <w:szCs w:val="21"/>
        </w:rPr>
        <w:t>siendo radicado el 15 de marzo del año en curso.</w:t>
      </w:r>
    </w:p>
    <w:p w14:paraId="26D77B0F" w14:textId="77777777" w:rsidR="00313CE6" w:rsidRDefault="00313CE6" w:rsidP="00313CE6">
      <w:pPr>
        <w:autoSpaceDE w:val="0"/>
        <w:autoSpaceDN w:val="0"/>
        <w:adjustRightInd w:val="0"/>
        <w:jc w:val="both"/>
        <w:rPr>
          <w:rFonts w:ascii="Abadi" w:hAnsi="Abadi" w:cs="*Minion Pro-6172-Identity-H"/>
          <w:color w:val="2B2A37"/>
          <w:sz w:val="21"/>
          <w:szCs w:val="21"/>
        </w:rPr>
      </w:pPr>
    </w:p>
    <w:p w14:paraId="3398C2AB" w14:textId="77777777" w:rsidR="00313CE6" w:rsidRPr="00C45D54" w:rsidRDefault="00313CE6" w:rsidP="00313CE6">
      <w:pPr>
        <w:autoSpaceDE w:val="0"/>
        <w:autoSpaceDN w:val="0"/>
        <w:adjustRightInd w:val="0"/>
        <w:ind w:firstLine="708"/>
        <w:jc w:val="both"/>
        <w:rPr>
          <w:rFonts w:ascii="Abadi" w:hAnsi="Abadi" w:cs="*Arial-Bold-6170-Identity-H"/>
          <w:b/>
          <w:bCs/>
          <w:color w:val="15141E"/>
          <w:sz w:val="21"/>
          <w:szCs w:val="21"/>
        </w:rPr>
      </w:pPr>
      <w:r w:rsidRPr="00C45D54">
        <w:rPr>
          <w:rFonts w:ascii="Abadi" w:hAnsi="Abadi" w:cs="*Arial-Bold-6170-Identity-H"/>
          <w:b/>
          <w:bCs/>
          <w:color w:val="15141E"/>
          <w:sz w:val="21"/>
          <w:szCs w:val="21"/>
        </w:rPr>
        <w:t>IV. Contenido del Informe de Resultados:</w:t>
      </w:r>
    </w:p>
    <w:p w14:paraId="0670FA42" w14:textId="77777777" w:rsidR="00313CE6" w:rsidRPr="00C45D54" w:rsidRDefault="00313CE6" w:rsidP="00313CE6">
      <w:pPr>
        <w:autoSpaceDE w:val="0"/>
        <w:autoSpaceDN w:val="0"/>
        <w:adjustRightInd w:val="0"/>
        <w:jc w:val="both"/>
        <w:rPr>
          <w:rFonts w:ascii="Abadi" w:hAnsi="Abadi" w:cs="*Microsoft Sans Serif-6171-Iden"/>
          <w:color w:val="222223"/>
          <w:sz w:val="21"/>
          <w:szCs w:val="21"/>
        </w:rPr>
      </w:pPr>
    </w:p>
    <w:p w14:paraId="373D6B2D" w14:textId="77777777" w:rsidR="00313CE6" w:rsidRPr="00C45D54" w:rsidRDefault="00313CE6" w:rsidP="00313CE6">
      <w:pPr>
        <w:autoSpaceDE w:val="0"/>
        <w:autoSpaceDN w:val="0"/>
        <w:adjustRightInd w:val="0"/>
        <w:ind w:firstLine="360"/>
        <w:jc w:val="both"/>
        <w:rPr>
          <w:rFonts w:ascii="Abadi" w:hAnsi="Abadi" w:cs="*Arial-6169-Identity-H"/>
          <w:color w:val="14141C"/>
          <w:sz w:val="21"/>
          <w:szCs w:val="21"/>
        </w:rPr>
      </w:pPr>
      <w:r w:rsidRPr="00C45D54">
        <w:rPr>
          <w:rFonts w:ascii="Abadi" w:hAnsi="Abadi" w:cs="*Arial-6169-Identity-H"/>
          <w:color w:val="14141C"/>
          <w:sz w:val="21"/>
          <w:szCs w:val="21"/>
        </w:rPr>
        <w:t>Con fundamento en los artículos 59 de la Ley de Fiscalización Superior del</w:t>
      </w:r>
      <w:r>
        <w:rPr>
          <w:rFonts w:ascii="Abadi" w:hAnsi="Abadi" w:cs="*Arial-6169-Identity-H"/>
          <w:color w:val="14141C"/>
          <w:sz w:val="21"/>
          <w:szCs w:val="21"/>
        </w:rPr>
        <w:t xml:space="preserve"> </w:t>
      </w:r>
      <w:r w:rsidRPr="00C45D54">
        <w:rPr>
          <w:rFonts w:ascii="Abadi" w:hAnsi="Abadi" w:cs="*Arial-6169-Identity-H"/>
          <w:color w:val="14141C"/>
          <w:sz w:val="21"/>
          <w:szCs w:val="21"/>
        </w:rPr>
        <w:t>Estado de Guanajuato y 26 del Reglamento de dicha Ley, el informe de resultados</w:t>
      </w:r>
      <w:r>
        <w:rPr>
          <w:rFonts w:ascii="Abadi" w:hAnsi="Abadi" w:cs="*Arial-6169-Identity-H"/>
          <w:color w:val="14141C"/>
          <w:sz w:val="21"/>
          <w:szCs w:val="21"/>
        </w:rPr>
        <w:t xml:space="preserve"> </w:t>
      </w:r>
      <w:r w:rsidRPr="00C45D54">
        <w:rPr>
          <w:rFonts w:ascii="Abadi" w:hAnsi="Abadi" w:cs="*Arial-6169-Identity-H"/>
          <w:color w:val="14141C"/>
          <w:sz w:val="21"/>
          <w:szCs w:val="21"/>
        </w:rPr>
        <w:t>contiene los siguientes apartados: Introducción; Resultado del Proceso de</w:t>
      </w:r>
      <w:r>
        <w:rPr>
          <w:rFonts w:ascii="Abadi" w:hAnsi="Abadi" w:cs="*Arial-6169-Identity-H"/>
          <w:color w:val="14141C"/>
          <w:sz w:val="21"/>
          <w:szCs w:val="21"/>
        </w:rPr>
        <w:t xml:space="preserve"> </w:t>
      </w:r>
      <w:r w:rsidRPr="00C45D54">
        <w:rPr>
          <w:rFonts w:ascii="Abadi" w:hAnsi="Abadi" w:cs="*Arial-6169-Identity-H"/>
          <w:color w:val="14141C"/>
          <w:sz w:val="21"/>
          <w:szCs w:val="21"/>
        </w:rPr>
        <w:t>Fiscalización; Resumen de las Recomendaciones; y Conclusión General.</w:t>
      </w:r>
    </w:p>
    <w:p w14:paraId="4A4575D6" w14:textId="77777777" w:rsidR="00313CE6" w:rsidRDefault="00313CE6" w:rsidP="00313CE6">
      <w:pPr>
        <w:autoSpaceDE w:val="0"/>
        <w:autoSpaceDN w:val="0"/>
        <w:adjustRightInd w:val="0"/>
        <w:jc w:val="both"/>
        <w:rPr>
          <w:rFonts w:ascii="Abadi" w:hAnsi="Abadi" w:cs="*Arial-Bold-6170-Identity-H"/>
          <w:b/>
          <w:bCs/>
          <w:color w:val="141320"/>
          <w:sz w:val="21"/>
          <w:szCs w:val="21"/>
        </w:rPr>
      </w:pPr>
    </w:p>
    <w:p w14:paraId="65C6806F" w14:textId="77777777" w:rsidR="00313CE6" w:rsidRPr="00C45D54" w:rsidRDefault="00313CE6" w:rsidP="00313CE6">
      <w:pPr>
        <w:pStyle w:val="Prrafodelista"/>
        <w:numPr>
          <w:ilvl w:val="0"/>
          <w:numId w:val="71"/>
        </w:numPr>
        <w:autoSpaceDE w:val="0"/>
        <w:autoSpaceDN w:val="0"/>
        <w:adjustRightInd w:val="0"/>
        <w:contextualSpacing/>
        <w:jc w:val="both"/>
        <w:rPr>
          <w:rFonts w:ascii="Abadi" w:hAnsi="Abadi" w:cs="*Arial-Bold-6170-Identity-H"/>
          <w:b/>
          <w:bCs/>
          <w:color w:val="141320"/>
          <w:sz w:val="21"/>
          <w:szCs w:val="21"/>
        </w:rPr>
      </w:pPr>
      <w:r w:rsidRPr="00C45D54">
        <w:rPr>
          <w:rFonts w:ascii="Abadi" w:hAnsi="Abadi" w:cs="*Arial-Bold-6170-Identity-H"/>
          <w:b/>
          <w:bCs/>
          <w:color w:val="141320"/>
          <w:sz w:val="21"/>
          <w:szCs w:val="21"/>
        </w:rPr>
        <w:t>Introducción.</w:t>
      </w:r>
    </w:p>
    <w:p w14:paraId="0B3A1F88" w14:textId="77777777" w:rsidR="00313CE6" w:rsidRPr="00C45D54" w:rsidRDefault="00313CE6" w:rsidP="00313CE6">
      <w:pPr>
        <w:pStyle w:val="Prrafodelista"/>
        <w:autoSpaceDE w:val="0"/>
        <w:autoSpaceDN w:val="0"/>
        <w:adjustRightInd w:val="0"/>
        <w:jc w:val="both"/>
        <w:rPr>
          <w:rFonts w:ascii="Abadi" w:hAnsi="Abadi" w:cs="*Arial-Bold-6170-Identity-H"/>
          <w:b/>
          <w:bCs/>
          <w:color w:val="141320"/>
          <w:sz w:val="21"/>
          <w:szCs w:val="21"/>
        </w:rPr>
      </w:pPr>
    </w:p>
    <w:p w14:paraId="4FD86BE3" w14:textId="77777777" w:rsidR="00313CE6" w:rsidRDefault="00313CE6" w:rsidP="00313CE6">
      <w:pPr>
        <w:autoSpaceDE w:val="0"/>
        <w:autoSpaceDN w:val="0"/>
        <w:adjustRightInd w:val="0"/>
        <w:ind w:firstLine="360"/>
        <w:jc w:val="both"/>
        <w:rPr>
          <w:rFonts w:ascii="Abadi" w:hAnsi="Abadi" w:cs="*Arial-6169-Identity-H"/>
          <w:color w:val="15141C"/>
          <w:sz w:val="21"/>
          <w:szCs w:val="21"/>
        </w:rPr>
      </w:pPr>
      <w:r w:rsidRPr="00C45D54">
        <w:rPr>
          <w:rFonts w:ascii="Abadi" w:hAnsi="Abadi" w:cs="*Arial-6169-Identity-H"/>
          <w:color w:val="15141C"/>
          <w:sz w:val="21"/>
          <w:szCs w:val="21"/>
        </w:rPr>
        <w:t>Por lo que se refiere a esta parte, se señala que las auditorías de</w:t>
      </w:r>
      <w:r>
        <w:rPr>
          <w:rFonts w:ascii="Abadi" w:hAnsi="Abadi" w:cs="*Arial-6169-Identity-H"/>
          <w:color w:val="15141C"/>
          <w:sz w:val="21"/>
          <w:szCs w:val="21"/>
        </w:rPr>
        <w:t xml:space="preserve"> </w:t>
      </w:r>
      <w:r w:rsidRPr="00C45D54">
        <w:rPr>
          <w:rFonts w:ascii="Abadi" w:hAnsi="Abadi" w:cs="*Arial-6169-Identity-H"/>
          <w:color w:val="15141C"/>
          <w:sz w:val="21"/>
          <w:szCs w:val="21"/>
        </w:rPr>
        <w:t>desempeño son actos de fiscalización, esa es su esencia.</w:t>
      </w:r>
    </w:p>
    <w:p w14:paraId="3CAFC83E" w14:textId="77777777" w:rsidR="00313CE6" w:rsidRPr="00C45D54" w:rsidRDefault="00313CE6" w:rsidP="00313CE6">
      <w:pPr>
        <w:autoSpaceDE w:val="0"/>
        <w:autoSpaceDN w:val="0"/>
        <w:adjustRightInd w:val="0"/>
        <w:jc w:val="both"/>
        <w:rPr>
          <w:rFonts w:ascii="Abadi" w:hAnsi="Abadi" w:cs="*Arial-6169-Identity-H"/>
          <w:color w:val="15141C"/>
          <w:sz w:val="21"/>
          <w:szCs w:val="21"/>
        </w:rPr>
      </w:pPr>
    </w:p>
    <w:p w14:paraId="3EA1D820" w14:textId="77777777" w:rsidR="00313CE6" w:rsidRDefault="00313CE6" w:rsidP="00313CE6">
      <w:pPr>
        <w:autoSpaceDE w:val="0"/>
        <w:autoSpaceDN w:val="0"/>
        <w:adjustRightInd w:val="0"/>
        <w:ind w:firstLine="360"/>
        <w:jc w:val="both"/>
        <w:rPr>
          <w:rFonts w:ascii="Abadi" w:hAnsi="Abadi" w:cs="*Arial-6169-Identity-H"/>
          <w:color w:val="14141C"/>
          <w:sz w:val="21"/>
          <w:szCs w:val="21"/>
        </w:rPr>
      </w:pPr>
      <w:r w:rsidRPr="00C45D54">
        <w:rPr>
          <w:rFonts w:ascii="Abadi" w:hAnsi="Abadi" w:cs="*Arial-6169-Identity-H"/>
          <w:color w:val="14141C"/>
          <w:sz w:val="21"/>
          <w:szCs w:val="21"/>
        </w:rPr>
        <w:t>Es así, que la naturaleza técnico-jurídica de las auditorías de desempeño</w:t>
      </w:r>
      <w:r>
        <w:rPr>
          <w:rFonts w:ascii="Abadi" w:hAnsi="Abadi" w:cs="*Arial-6169-Identity-H"/>
          <w:color w:val="14141C"/>
          <w:sz w:val="21"/>
          <w:szCs w:val="21"/>
        </w:rPr>
        <w:t xml:space="preserve"> </w:t>
      </w:r>
      <w:r w:rsidRPr="00C45D54">
        <w:rPr>
          <w:rFonts w:ascii="Abadi" w:hAnsi="Abadi" w:cs="*Arial-6169-Identity-H"/>
          <w:color w:val="14141C"/>
          <w:sz w:val="21"/>
          <w:szCs w:val="21"/>
        </w:rPr>
        <w:t>difiere de otras auditorías, pues el resultado se expresa con la emisión, en su</w:t>
      </w:r>
      <w:r>
        <w:rPr>
          <w:rFonts w:ascii="Abadi" w:hAnsi="Abadi" w:cs="*Arial-6169-Identity-H"/>
          <w:color w:val="14141C"/>
          <w:sz w:val="21"/>
          <w:szCs w:val="21"/>
        </w:rPr>
        <w:t xml:space="preserve"> </w:t>
      </w:r>
      <w:r w:rsidRPr="00C45D54">
        <w:rPr>
          <w:rFonts w:ascii="Abadi" w:hAnsi="Abadi" w:cs="*Arial-6169-Identity-H"/>
          <w:color w:val="14141C"/>
          <w:sz w:val="21"/>
          <w:szCs w:val="21"/>
        </w:rPr>
        <w:t>caso, de exclusivamente recomendaciones, distinguiéndose de otros actos de</w:t>
      </w:r>
      <w:r>
        <w:rPr>
          <w:rFonts w:ascii="Abadi" w:hAnsi="Abadi" w:cs="*Arial-6169-Identity-H"/>
          <w:color w:val="14141C"/>
          <w:sz w:val="21"/>
          <w:szCs w:val="21"/>
        </w:rPr>
        <w:t xml:space="preserve"> </w:t>
      </w:r>
      <w:r w:rsidRPr="00C45D54">
        <w:rPr>
          <w:rFonts w:ascii="Abadi" w:hAnsi="Abadi" w:cs="*Arial-6169-Identity-H"/>
          <w:color w:val="14141C"/>
          <w:sz w:val="21"/>
          <w:szCs w:val="21"/>
        </w:rPr>
        <w:t>fiscalización o control que pueden arrojar observaciones. Se trata de una tarea</w:t>
      </w:r>
      <w:r>
        <w:rPr>
          <w:rFonts w:ascii="Abadi" w:hAnsi="Abadi" w:cs="*Arial-6169-Identity-H"/>
          <w:color w:val="14141C"/>
          <w:sz w:val="21"/>
          <w:szCs w:val="21"/>
        </w:rPr>
        <w:t xml:space="preserve"> </w:t>
      </w:r>
      <w:r w:rsidRPr="00C45D54">
        <w:rPr>
          <w:rFonts w:ascii="Abadi" w:hAnsi="Abadi" w:cs="*Arial-6169-Identity-H"/>
          <w:color w:val="14141C"/>
          <w:sz w:val="21"/>
          <w:szCs w:val="21"/>
        </w:rPr>
        <w:t>reglada y sistémica de evaluación para la mejora continua, detectando</w:t>
      </w:r>
      <w:r>
        <w:rPr>
          <w:rFonts w:ascii="Abadi" w:hAnsi="Abadi" w:cs="*Arial-6169-Identity-H"/>
          <w:color w:val="14141C"/>
          <w:sz w:val="21"/>
          <w:szCs w:val="21"/>
        </w:rPr>
        <w:t xml:space="preserve"> </w:t>
      </w:r>
      <w:r w:rsidRPr="00C45D54">
        <w:rPr>
          <w:rFonts w:ascii="Abadi" w:hAnsi="Abadi" w:cs="*Arial-6169-Identity-H"/>
          <w:color w:val="14141C"/>
          <w:sz w:val="21"/>
          <w:szCs w:val="21"/>
        </w:rPr>
        <w:t>debilidades, áreas de oportunidad, amenazas e incluso fortalezas en el ámbito</w:t>
      </w:r>
      <w:r>
        <w:rPr>
          <w:rFonts w:ascii="Abadi" w:hAnsi="Abadi" w:cs="*Arial-6169-Identity-H"/>
          <w:color w:val="14141C"/>
          <w:sz w:val="21"/>
          <w:szCs w:val="21"/>
        </w:rPr>
        <w:t xml:space="preserve"> </w:t>
      </w:r>
      <w:r w:rsidRPr="00C45D54">
        <w:rPr>
          <w:rFonts w:ascii="Abadi" w:hAnsi="Abadi" w:cs="*Arial-6169-Identity-H"/>
          <w:color w:val="14141C"/>
          <w:sz w:val="21"/>
          <w:szCs w:val="21"/>
        </w:rPr>
        <w:t>público, pero promoviendo además acciones concretas que permitan superar o</w:t>
      </w:r>
      <w:r>
        <w:rPr>
          <w:rFonts w:ascii="Abadi" w:hAnsi="Abadi" w:cs="*Arial-6169-Identity-H"/>
          <w:color w:val="14141C"/>
          <w:sz w:val="21"/>
          <w:szCs w:val="21"/>
        </w:rPr>
        <w:t xml:space="preserve"> </w:t>
      </w:r>
    </w:p>
    <w:p w14:paraId="61ED2927" w14:textId="77777777" w:rsidR="00313CE6" w:rsidRPr="00C45D54" w:rsidRDefault="00313CE6" w:rsidP="00313CE6">
      <w:pPr>
        <w:autoSpaceDE w:val="0"/>
        <w:autoSpaceDN w:val="0"/>
        <w:adjustRightInd w:val="0"/>
        <w:jc w:val="both"/>
        <w:rPr>
          <w:rFonts w:ascii="Abadi" w:hAnsi="Abadi" w:cs="*Arial-6169-Identity-H"/>
          <w:color w:val="14141C"/>
          <w:sz w:val="21"/>
          <w:szCs w:val="21"/>
        </w:rPr>
      </w:pPr>
    </w:p>
    <w:p w14:paraId="62509BBA" w14:textId="77777777" w:rsidR="00313CE6" w:rsidRDefault="00313CE6" w:rsidP="00313CE6">
      <w:pPr>
        <w:autoSpaceDE w:val="0"/>
        <w:autoSpaceDN w:val="0"/>
        <w:adjustRightInd w:val="0"/>
        <w:ind w:firstLine="360"/>
        <w:jc w:val="both"/>
        <w:rPr>
          <w:rFonts w:ascii="Abadi" w:hAnsi="Abadi" w:cs="*Arial-6169-Identity-H"/>
          <w:color w:val="14141C"/>
          <w:sz w:val="21"/>
          <w:szCs w:val="21"/>
        </w:rPr>
      </w:pPr>
      <w:r w:rsidRPr="00C45D54">
        <w:rPr>
          <w:rFonts w:ascii="Abadi" w:hAnsi="Abadi" w:cs="*Arial-6169-Identity-H"/>
          <w:color w:val="14141C"/>
          <w:sz w:val="21"/>
          <w:szCs w:val="21"/>
        </w:rPr>
        <w:t>potenciar las mismas, dando adicionalmente seguimiento a su eventual</w:t>
      </w:r>
      <w:r>
        <w:rPr>
          <w:rFonts w:ascii="Abadi" w:hAnsi="Abadi" w:cs="*Arial-6169-Identity-H"/>
          <w:color w:val="14141C"/>
          <w:sz w:val="21"/>
          <w:szCs w:val="21"/>
        </w:rPr>
        <w:t xml:space="preserve"> </w:t>
      </w:r>
      <w:r w:rsidRPr="00C45D54">
        <w:rPr>
          <w:rFonts w:ascii="Abadi" w:hAnsi="Abadi" w:cs="*Arial-6169-Identity-H"/>
          <w:color w:val="14141C"/>
          <w:sz w:val="21"/>
          <w:szCs w:val="21"/>
        </w:rPr>
        <w:t>implementación por los sujetos públicos responsables.</w:t>
      </w:r>
    </w:p>
    <w:p w14:paraId="49731140" w14:textId="77777777" w:rsidR="00313CE6" w:rsidRPr="00C45D54" w:rsidRDefault="00313CE6" w:rsidP="00313CE6">
      <w:pPr>
        <w:autoSpaceDE w:val="0"/>
        <w:autoSpaceDN w:val="0"/>
        <w:adjustRightInd w:val="0"/>
        <w:jc w:val="both"/>
        <w:rPr>
          <w:rFonts w:ascii="Abadi" w:hAnsi="Abadi" w:cs="*Arial-6169-Identity-H"/>
          <w:color w:val="14141C"/>
          <w:sz w:val="21"/>
          <w:szCs w:val="21"/>
        </w:rPr>
      </w:pPr>
    </w:p>
    <w:p w14:paraId="5E69A68E" w14:textId="77777777" w:rsidR="00313CE6" w:rsidRDefault="00313CE6" w:rsidP="00313CE6">
      <w:pPr>
        <w:autoSpaceDE w:val="0"/>
        <w:autoSpaceDN w:val="0"/>
        <w:adjustRightInd w:val="0"/>
        <w:ind w:firstLine="360"/>
        <w:jc w:val="both"/>
        <w:rPr>
          <w:rFonts w:ascii="Abadi" w:hAnsi="Abadi" w:cs="*Arial-6169-Identity-H"/>
          <w:color w:val="17151D"/>
          <w:sz w:val="21"/>
          <w:szCs w:val="21"/>
        </w:rPr>
      </w:pPr>
      <w:r w:rsidRPr="00C45D54">
        <w:rPr>
          <w:rFonts w:ascii="Abadi" w:hAnsi="Abadi" w:cs="*Arial-6169-Identity-H"/>
          <w:color w:val="17151D"/>
          <w:sz w:val="21"/>
          <w:szCs w:val="21"/>
        </w:rPr>
        <w:t>En dichas auditorías</w:t>
      </w:r>
      <w:r w:rsidRPr="00C45D54">
        <w:rPr>
          <w:rFonts w:ascii="Abadi" w:hAnsi="Abadi" w:cs="*Arial-6169-Identity-H"/>
          <w:color w:val="1B3B2F"/>
          <w:sz w:val="21"/>
          <w:szCs w:val="21"/>
        </w:rPr>
        <w:t xml:space="preserve">, </w:t>
      </w:r>
      <w:r w:rsidRPr="00C45D54">
        <w:rPr>
          <w:rFonts w:ascii="Abadi" w:hAnsi="Abadi" w:cs="*Arial-6169-Identity-H"/>
          <w:color w:val="17151D"/>
          <w:sz w:val="21"/>
          <w:szCs w:val="21"/>
        </w:rPr>
        <w:t>con independencia de su enfoque, se debe planear</w:t>
      </w:r>
      <w:r>
        <w:rPr>
          <w:rFonts w:ascii="Abadi" w:hAnsi="Abadi" w:cs="*Arial-6169-Identity-H"/>
          <w:color w:val="17151D"/>
          <w:sz w:val="21"/>
          <w:szCs w:val="21"/>
        </w:rPr>
        <w:t xml:space="preserve"> </w:t>
      </w:r>
      <w:r w:rsidRPr="00C45D54">
        <w:rPr>
          <w:rFonts w:ascii="Abadi" w:hAnsi="Abadi" w:cs="*Arial-6169-Identity-H"/>
          <w:color w:val="17151D"/>
          <w:sz w:val="21"/>
          <w:szCs w:val="21"/>
        </w:rPr>
        <w:t>con toda claridad y con base en la evidencia competente, suficiente, pertinente,</w:t>
      </w:r>
      <w:r>
        <w:rPr>
          <w:rFonts w:ascii="Abadi" w:hAnsi="Abadi" w:cs="*Arial-6169-Identity-H"/>
          <w:color w:val="17151D"/>
          <w:sz w:val="21"/>
          <w:szCs w:val="21"/>
        </w:rPr>
        <w:t xml:space="preserve"> </w:t>
      </w:r>
      <w:r w:rsidRPr="00C45D54">
        <w:rPr>
          <w:rFonts w:ascii="Abadi" w:hAnsi="Abadi" w:cs="*Arial-6169-Identity-H"/>
          <w:color w:val="17151D"/>
          <w:sz w:val="21"/>
          <w:szCs w:val="21"/>
        </w:rPr>
        <w:t>relevante y oportuna, las conclusiones del proceso de fiscalización,</w:t>
      </w:r>
      <w:r>
        <w:rPr>
          <w:rFonts w:ascii="Abadi" w:hAnsi="Abadi" w:cs="*Arial-6169-Identity-H"/>
          <w:color w:val="17151D"/>
          <w:sz w:val="21"/>
          <w:szCs w:val="21"/>
        </w:rPr>
        <w:t xml:space="preserve"> </w:t>
      </w:r>
      <w:r w:rsidRPr="00C45D54">
        <w:rPr>
          <w:rFonts w:ascii="Abadi" w:hAnsi="Abadi" w:cs="*Arial-6169-Identity-H"/>
          <w:color w:val="17151D"/>
          <w:sz w:val="21"/>
          <w:szCs w:val="21"/>
        </w:rPr>
        <w:t>puntualizándose las recomendaciones formuladas en su caso.</w:t>
      </w:r>
    </w:p>
    <w:p w14:paraId="16277B6B" w14:textId="77777777" w:rsidR="00313CE6" w:rsidRPr="00C45D54" w:rsidRDefault="00313CE6" w:rsidP="00313CE6">
      <w:pPr>
        <w:autoSpaceDE w:val="0"/>
        <w:autoSpaceDN w:val="0"/>
        <w:adjustRightInd w:val="0"/>
        <w:jc w:val="both"/>
        <w:rPr>
          <w:rFonts w:ascii="Abadi" w:hAnsi="Abadi" w:cs="*Arial-6169-Identity-H"/>
          <w:color w:val="17151D"/>
          <w:sz w:val="21"/>
          <w:szCs w:val="21"/>
        </w:rPr>
      </w:pPr>
    </w:p>
    <w:p w14:paraId="03B66595" w14:textId="77777777" w:rsidR="00313CE6" w:rsidRDefault="00313CE6" w:rsidP="00313CE6">
      <w:pPr>
        <w:autoSpaceDE w:val="0"/>
        <w:autoSpaceDN w:val="0"/>
        <w:adjustRightInd w:val="0"/>
        <w:jc w:val="both"/>
        <w:rPr>
          <w:rFonts w:ascii="Abadi" w:hAnsi="Abadi" w:cs="*Arial-6169-Identity-H"/>
          <w:color w:val="15141C"/>
          <w:sz w:val="21"/>
          <w:szCs w:val="21"/>
        </w:rPr>
      </w:pPr>
      <w:r w:rsidRPr="00C45D54">
        <w:rPr>
          <w:rFonts w:ascii="Abadi" w:hAnsi="Abadi" w:cs="*Arial-6169-Identity-H"/>
          <w:color w:val="15141C"/>
          <w:sz w:val="21"/>
          <w:szCs w:val="21"/>
        </w:rPr>
        <w:t>Respecto al marco competencia!, se precisa la normatividad aplicable a la</w:t>
      </w:r>
      <w:r>
        <w:rPr>
          <w:rFonts w:ascii="Abadi" w:hAnsi="Abadi" w:cs="*Arial-6169-Identity-H"/>
          <w:color w:val="15141C"/>
          <w:sz w:val="21"/>
          <w:szCs w:val="21"/>
        </w:rPr>
        <w:t xml:space="preserve"> </w:t>
      </w:r>
      <w:r w:rsidRPr="00C45D54">
        <w:rPr>
          <w:rFonts w:ascii="Abadi" w:hAnsi="Abadi" w:cs="*Arial-6169-Identity-H"/>
          <w:color w:val="15141C"/>
          <w:sz w:val="21"/>
          <w:szCs w:val="21"/>
        </w:rPr>
        <w:t>función de fiscalización a cargo del Poder Legislativo del Estado, siendo esta:</w:t>
      </w:r>
      <w:r>
        <w:rPr>
          <w:rFonts w:ascii="Abadi" w:hAnsi="Abadi" w:cs="*Arial-6169-Identity-H"/>
          <w:color w:val="15141C"/>
          <w:sz w:val="21"/>
          <w:szCs w:val="21"/>
        </w:rPr>
        <w:t xml:space="preserve"> </w:t>
      </w:r>
      <w:r w:rsidRPr="00C45D54">
        <w:rPr>
          <w:rFonts w:ascii="Abadi" w:hAnsi="Abadi" w:cs="*Arial-6169-Identity-H"/>
          <w:color w:val="15141C"/>
          <w:sz w:val="21"/>
          <w:szCs w:val="21"/>
        </w:rPr>
        <w:t xml:space="preserve">artículos 116, fracción </w:t>
      </w:r>
      <w:r>
        <w:rPr>
          <w:rFonts w:ascii="Abadi" w:hAnsi="Abadi" w:cs="*Arial-6169-Identity-H"/>
          <w:color w:val="15141C"/>
          <w:sz w:val="21"/>
          <w:szCs w:val="21"/>
        </w:rPr>
        <w:t>II</w:t>
      </w:r>
      <w:r w:rsidRPr="00C45D54">
        <w:rPr>
          <w:rFonts w:ascii="Abadi" w:hAnsi="Abadi" w:cs="*Arial-6169-Identity-H"/>
          <w:color w:val="15141C"/>
          <w:sz w:val="21"/>
          <w:szCs w:val="21"/>
        </w:rPr>
        <w:t xml:space="preserve"> y 134 de la Constitución Política de los Estados Unidos</w:t>
      </w:r>
      <w:r>
        <w:rPr>
          <w:rFonts w:ascii="Abadi" w:hAnsi="Abadi" w:cs="*Arial-6169-Identity-H"/>
          <w:color w:val="15141C"/>
          <w:sz w:val="21"/>
          <w:szCs w:val="21"/>
        </w:rPr>
        <w:t xml:space="preserve"> </w:t>
      </w:r>
      <w:r w:rsidRPr="00C45D54">
        <w:rPr>
          <w:rFonts w:ascii="Abadi" w:hAnsi="Abadi" w:cs="*Arial-6169-Identity-H"/>
          <w:color w:val="15141C"/>
          <w:sz w:val="21"/>
          <w:szCs w:val="21"/>
        </w:rPr>
        <w:t xml:space="preserve">Mexicanos; 2, párrafo primero, 63, fracción XIX y 66, fracciones </w:t>
      </w:r>
      <w:r>
        <w:rPr>
          <w:rFonts w:ascii="Abadi" w:hAnsi="Abadi" w:cs="*Arial-6169-Identity-H"/>
          <w:color w:val="15141C"/>
          <w:sz w:val="21"/>
          <w:szCs w:val="21"/>
        </w:rPr>
        <w:t>I</w:t>
      </w:r>
      <w:r w:rsidRPr="00C45D54">
        <w:rPr>
          <w:rFonts w:ascii="Abadi" w:hAnsi="Abadi" w:cs="*Arial-6169-Identity-H"/>
          <w:color w:val="15141C"/>
          <w:sz w:val="21"/>
          <w:szCs w:val="21"/>
        </w:rPr>
        <w:t xml:space="preserve">, </w:t>
      </w:r>
      <w:r>
        <w:rPr>
          <w:rFonts w:ascii="Abadi" w:hAnsi="Abadi" w:cs="*Arial-6169-Identity-H"/>
          <w:color w:val="15141C"/>
          <w:sz w:val="21"/>
          <w:szCs w:val="21"/>
        </w:rPr>
        <w:t>II</w:t>
      </w:r>
      <w:r w:rsidRPr="00C45D54">
        <w:rPr>
          <w:rFonts w:ascii="Abadi" w:hAnsi="Abadi" w:cs="*Arial-6169-Identity-H"/>
          <w:color w:val="15141C"/>
          <w:sz w:val="21"/>
          <w:szCs w:val="21"/>
        </w:rPr>
        <w:t xml:space="preserve"> y IV de la</w:t>
      </w:r>
      <w:r>
        <w:rPr>
          <w:rFonts w:ascii="Abadi" w:hAnsi="Abadi" w:cs="*Arial-6169-Identity-H"/>
          <w:color w:val="15141C"/>
          <w:sz w:val="21"/>
          <w:szCs w:val="21"/>
        </w:rPr>
        <w:t xml:space="preserve"> </w:t>
      </w:r>
      <w:r w:rsidRPr="00C45D54">
        <w:rPr>
          <w:rFonts w:ascii="Abadi" w:hAnsi="Abadi" w:cs="*Arial-6169-Identity-H"/>
          <w:color w:val="15141C"/>
          <w:sz w:val="21"/>
          <w:szCs w:val="21"/>
        </w:rPr>
        <w:t xml:space="preserve">Constitución Política para el Estado de Guanajuato; 1, 2, fracciones </w:t>
      </w:r>
      <w:r>
        <w:rPr>
          <w:rFonts w:ascii="Abadi" w:hAnsi="Abadi" w:cs="*Arial-6169-Identity-H"/>
          <w:color w:val="15141C"/>
          <w:sz w:val="21"/>
          <w:szCs w:val="21"/>
        </w:rPr>
        <w:t>II</w:t>
      </w:r>
      <w:r w:rsidRPr="00C45D54">
        <w:rPr>
          <w:rFonts w:ascii="Abadi" w:hAnsi="Abadi" w:cs="*Arial-6169-Identity-H"/>
          <w:color w:val="15141C"/>
          <w:sz w:val="21"/>
          <w:szCs w:val="21"/>
        </w:rPr>
        <w:t xml:space="preserve"> y </w:t>
      </w:r>
      <w:r>
        <w:rPr>
          <w:rFonts w:ascii="Abadi" w:hAnsi="Abadi" w:cs="*Arial-6169-Identity-H"/>
          <w:color w:val="15141C"/>
          <w:sz w:val="21"/>
          <w:szCs w:val="21"/>
        </w:rPr>
        <w:t>III</w:t>
      </w:r>
      <w:r w:rsidRPr="00C45D54">
        <w:rPr>
          <w:rFonts w:ascii="Abadi" w:hAnsi="Abadi" w:cs="*Arial-6169-Identity-H"/>
          <w:color w:val="15141C"/>
          <w:sz w:val="21"/>
          <w:szCs w:val="21"/>
        </w:rPr>
        <w:t>, 3,</w:t>
      </w:r>
      <w:r>
        <w:rPr>
          <w:rFonts w:ascii="Abadi" w:hAnsi="Abadi" w:cs="*Arial-6169-Identity-H"/>
          <w:color w:val="15141C"/>
          <w:sz w:val="21"/>
          <w:szCs w:val="21"/>
        </w:rPr>
        <w:t xml:space="preserve"> </w:t>
      </w:r>
      <w:r w:rsidRPr="00C45D54">
        <w:rPr>
          <w:rFonts w:ascii="Abadi" w:hAnsi="Abadi" w:cs="*Arial-6169-Identity-H"/>
          <w:color w:val="15141C"/>
          <w:sz w:val="21"/>
          <w:szCs w:val="21"/>
        </w:rPr>
        <w:t xml:space="preserve">fracciones </w:t>
      </w:r>
      <w:r>
        <w:rPr>
          <w:rFonts w:ascii="Abadi" w:hAnsi="Abadi" w:cs="*Arial-6169-Identity-H"/>
          <w:color w:val="15141C"/>
          <w:sz w:val="21"/>
          <w:szCs w:val="21"/>
        </w:rPr>
        <w:t>I</w:t>
      </w:r>
      <w:r w:rsidRPr="00C45D54">
        <w:rPr>
          <w:rFonts w:ascii="Abadi" w:hAnsi="Abadi" w:cs="*Arial-6169-Identity-H"/>
          <w:color w:val="15141C"/>
          <w:sz w:val="21"/>
          <w:szCs w:val="21"/>
        </w:rPr>
        <w:t xml:space="preserve">, </w:t>
      </w:r>
      <w:r>
        <w:rPr>
          <w:rFonts w:ascii="Abadi" w:hAnsi="Abadi" w:cs="*Arial-6169-Identity-H"/>
          <w:color w:val="15141C"/>
          <w:sz w:val="21"/>
          <w:szCs w:val="21"/>
        </w:rPr>
        <w:t>II</w:t>
      </w:r>
      <w:r w:rsidRPr="00C45D54">
        <w:rPr>
          <w:rFonts w:ascii="Abadi" w:hAnsi="Abadi" w:cs="*Arial-6169-Identity-H"/>
          <w:color w:val="15141C"/>
          <w:sz w:val="21"/>
          <w:szCs w:val="21"/>
        </w:rPr>
        <w:t xml:space="preserve">, V y XI, 4, 6, 7, 11, 14, 16, 24, 25, 26, 30, 31, 37, fracción </w:t>
      </w:r>
      <w:r>
        <w:rPr>
          <w:rFonts w:ascii="Abadi" w:hAnsi="Abadi" w:cs="*Arial-6169-Identity-H"/>
          <w:color w:val="15141C"/>
          <w:sz w:val="21"/>
          <w:szCs w:val="21"/>
        </w:rPr>
        <w:t>III</w:t>
      </w:r>
      <w:r w:rsidRPr="00C45D54">
        <w:rPr>
          <w:rFonts w:ascii="Abadi" w:hAnsi="Abadi" w:cs="*Arial-6169-Identity-H"/>
          <w:color w:val="15141C"/>
          <w:sz w:val="21"/>
          <w:szCs w:val="21"/>
        </w:rPr>
        <w:t>, 56, 57,</w:t>
      </w:r>
      <w:r>
        <w:rPr>
          <w:rFonts w:ascii="Abadi" w:hAnsi="Abadi" w:cs="*Arial-6169-Identity-H"/>
          <w:color w:val="15141C"/>
          <w:sz w:val="21"/>
          <w:szCs w:val="21"/>
        </w:rPr>
        <w:t xml:space="preserve"> </w:t>
      </w:r>
      <w:r w:rsidRPr="00C45D54">
        <w:rPr>
          <w:rFonts w:ascii="Abadi" w:hAnsi="Abadi" w:cs="*Arial-6169-Identity-H"/>
          <w:color w:val="15141C"/>
          <w:sz w:val="21"/>
          <w:szCs w:val="21"/>
        </w:rPr>
        <w:t xml:space="preserve">58, 59, 60, 82, fracciones </w:t>
      </w:r>
      <w:r>
        <w:rPr>
          <w:rFonts w:ascii="Abadi" w:hAnsi="Abadi" w:cs="*Arial-6169-Identity-H"/>
          <w:color w:val="15141C"/>
          <w:sz w:val="21"/>
          <w:szCs w:val="21"/>
        </w:rPr>
        <w:t>III</w:t>
      </w:r>
      <w:r w:rsidRPr="00C45D54">
        <w:rPr>
          <w:rFonts w:ascii="Abadi" w:hAnsi="Abadi" w:cs="*Arial-6169-Identity-H"/>
          <w:color w:val="15141C"/>
          <w:sz w:val="21"/>
          <w:szCs w:val="21"/>
        </w:rPr>
        <w:t>, IV, XXIX, XXXII y XXXV y 87, fracciones V, XII y</w:t>
      </w:r>
      <w:r>
        <w:rPr>
          <w:rFonts w:ascii="Abadi" w:hAnsi="Abadi" w:cs="*Arial-6169-Identity-H"/>
          <w:color w:val="15141C"/>
          <w:sz w:val="21"/>
          <w:szCs w:val="21"/>
        </w:rPr>
        <w:t xml:space="preserve"> </w:t>
      </w:r>
      <w:r w:rsidRPr="00C45D54">
        <w:rPr>
          <w:rFonts w:ascii="Abadi" w:hAnsi="Abadi" w:cs="*Arial-6169-Identity-H"/>
          <w:color w:val="15141C"/>
          <w:sz w:val="21"/>
          <w:szCs w:val="21"/>
        </w:rPr>
        <w:t xml:space="preserve">XXVI de la Ley de Fiscalización Superior del Estado de Guanajuato; 1, 3, </w:t>
      </w:r>
      <w:r>
        <w:rPr>
          <w:rFonts w:ascii="Abadi" w:hAnsi="Abadi" w:cs="*Arial-6169-Identity-H"/>
          <w:color w:val="15141C"/>
          <w:sz w:val="21"/>
          <w:szCs w:val="21"/>
        </w:rPr>
        <w:t>10</w:t>
      </w:r>
      <w:r w:rsidRPr="00C45D54">
        <w:rPr>
          <w:rFonts w:ascii="Abadi" w:hAnsi="Abadi" w:cs="*Arial-6169-Identity-H"/>
          <w:color w:val="15141C"/>
          <w:sz w:val="21"/>
          <w:szCs w:val="21"/>
        </w:rPr>
        <w:t>, 13,</w:t>
      </w:r>
      <w:r>
        <w:rPr>
          <w:rFonts w:ascii="Abadi" w:hAnsi="Abadi" w:cs="*Arial-6169-Identity-H"/>
          <w:color w:val="15141C"/>
          <w:sz w:val="21"/>
          <w:szCs w:val="21"/>
        </w:rPr>
        <w:t xml:space="preserve"> </w:t>
      </w:r>
      <w:r w:rsidRPr="00C45D54">
        <w:rPr>
          <w:rFonts w:ascii="Abadi" w:hAnsi="Abadi" w:cs="*Arial-6169-Identity-H"/>
          <w:color w:val="15141C"/>
          <w:sz w:val="21"/>
          <w:szCs w:val="21"/>
        </w:rPr>
        <w:t>18, 20, 27, 43, 44, 45, 46, 47, 48 y 49 del Reglamento de la Ley de Fiscalización</w:t>
      </w:r>
      <w:r>
        <w:rPr>
          <w:rFonts w:ascii="Abadi" w:hAnsi="Abadi" w:cs="*Arial-6169-Identity-H"/>
          <w:color w:val="15141C"/>
          <w:sz w:val="21"/>
          <w:szCs w:val="21"/>
        </w:rPr>
        <w:t xml:space="preserve"> </w:t>
      </w:r>
      <w:r w:rsidRPr="00C45D54">
        <w:rPr>
          <w:rFonts w:ascii="Abadi" w:hAnsi="Abadi" w:cs="*Arial-6169-Identity-H"/>
          <w:color w:val="15141C"/>
          <w:sz w:val="21"/>
          <w:szCs w:val="21"/>
        </w:rPr>
        <w:t xml:space="preserve">Superior del Estado de Guanajuato; 1, 7, segundo párrafo, 8, fracción </w:t>
      </w:r>
      <w:r>
        <w:rPr>
          <w:rFonts w:ascii="Abadi" w:hAnsi="Abadi" w:cs="*Arial-6169-Identity-H"/>
          <w:color w:val="15141C"/>
          <w:sz w:val="21"/>
          <w:szCs w:val="21"/>
        </w:rPr>
        <w:t>I</w:t>
      </w:r>
      <w:r w:rsidRPr="00C45D54">
        <w:rPr>
          <w:rFonts w:ascii="Abadi" w:hAnsi="Abadi" w:cs="*Arial-6169-Identity-H"/>
          <w:color w:val="15141C"/>
          <w:sz w:val="21"/>
          <w:szCs w:val="21"/>
        </w:rPr>
        <w:t>, 9, fracción</w:t>
      </w:r>
      <w:r>
        <w:rPr>
          <w:rFonts w:ascii="Abadi" w:hAnsi="Abadi" w:cs="*Arial-6169-Identity-H"/>
          <w:color w:val="15141C"/>
          <w:sz w:val="21"/>
          <w:szCs w:val="21"/>
        </w:rPr>
        <w:t xml:space="preserve"> </w:t>
      </w:r>
      <w:r w:rsidRPr="00C45D54">
        <w:rPr>
          <w:rFonts w:ascii="Abadi" w:hAnsi="Abadi" w:cs="*Arial-6169-Identity-H"/>
          <w:color w:val="15141C"/>
          <w:sz w:val="21"/>
          <w:szCs w:val="21"/>
        </w:rPr>
        <w:t xml:space="preserve">XVII, 10 fracciones </w:t>
      </w:r>
      <w:r>
        <w:rPr>
          <w:rFonts w:ascii="Abadi" w:hAnsi="Abadi" w:cs="*Arial-6169-Identity-H"/>
          <w:color w:val="15141C"/>
          <w:sz w:val="21"/>
          <w:szCs w:val="21"/>
        </w:rPr>
        <w:t>III</w:t>
      </w:r>
      <w:r w:rsidRPr="00C45D54">
        <w:rPr>
          <w:rFonts w:ascii="Abadi" w:hAnsi="Abadi" w:cs="*Arial-6169-Identity-H"/>
          <w:color w:val="15141C"/>
          <w:sz w:val="21"/>
          <w:szCs w:val="21"/>
        </w:rPr>
        <w:t>, XVII, XIX y XX, 14 y 16 del Reglamento Interior de la</w:t>
      </w:r>
      <w:r>
        <w:rPr>
          <w:rFonts w:ascii="Abadi" w:hAnsi="Abadi" w:cs="*Arial-6169-Identity-H"/>
          <w:color w:val="15141C"/>
          <w:sz w:val="21"/>
          <w:szCs w:val="21"/>
        </w:rPr>
        <w:t xml:space="preserve"> </w:t>
      </w:r>
      <w:r w:rsidRPr="00C45D54">
        <w:rPr>
          <w:rFonts w:ascii="Abadi" w:hAnsi="Abadi" w:cs="*Arial-6169-Identity-H"/>
          <w:color w:val="15141C"/>
          <w:sz w:val="21"/>
          <w:szCs w:val="21"/>
        </w:rPr>
        <w:t>Auditoría Superior del Estado de Guanajuato; y 42 de la Ley General del Sistema</w:t>
      </w:r>
      <w:r>
        <w:rPr>
          <w:rFonts w:ascii="Abadi" w:hAnsi="Abadi" w:cs="*Arial-6169-Identity-H"/>
          <w:color w:val="15141C"/>
          <w:sz w:val="21"/>
          <w:szCs w:val="21"/>
        </w:rPr>
        <w:t xml:space="preserve"> </w:t>
      </w:r>
      <w:r w:rsidRPr="00C45D54">
        <w:rPr>
          <w:rFonts w:ascii="Abadi" w:hAnsi="Abadi" w:cs="*Arial-6169-Identity-H"/>
          <w:color w:val="15141C"/>
          <w:sz w:val="21"/>
          <w:szCs w:val="21"/>
        </w:rPr>
        <w:t>Nacional Anticorrupción.</w:t>
      </w:r>
    </w:p>
    <w:p w14:paraId="0763B0F7" w14:textId="77777777" w:rsidR="00313CE6" w:rsidRPr="00C45D54" w:rsidRDefault="00313CE6" w:rsidP="00313CE6">
      <w:pPr>
        <w:autoSpaceDE w:val="0"/>
        <w:autoSpaceDN w:val="0"/>
        <w:adjustRightInd w:val="0"/>
        <w:jc w:val="both"/>
        <w:rPr>
          <w:rFonts w:ascii="Abadi" w:hAnsi="Abadi" w:cs="*Arial-6169-Identity-H"/>
          <w:color w:val="15141C"/>
          <w:sz w:val="21"/>
          <w:szCs w:val="21"/>
        </w:rPr>
      </w:pPr>
    </w:p>
    <w:p w14:paraId="1688B12D" w14:textId="77777777" w:rsidR="00313CE6" w:rsidRDefault="00313CE6" w:rsidP="00313CE6">
      <w:pPr>
        <w:autoSpaceDE w:val="0"/>
        <w:autoSpaceDN w:val="0"/>
        <w:adjustRightInd w:val="0"/>
        <w:ind w:firstLine="708"/>
        <w:jc w:val="both"/>
        <w:rPr>
          <w:rFonts w:ascii="Abadi" w:hAnsi="Abadi" w:cs="*Arial-5671-Identity-H"/>
          <w:color w:val="15141C"/>
          <w:sz w:val="21"/>
          <w:szCs w:val="21"/>
        </w:rPr>
      </w:pPr>
      <w:r w:rsidRPr="00C45D54">
        <w:rPr>
          <w:rFonts w:ascii="Abadi" w:hAnsi="Abadi" w:cs="*Arial-5671-Identity-H"/>
          <w:color w:val="15141C"/>
          <w:sz w:val="21"/>
          <w:szCs w:val="21"/>
        </w:rPr>
        <w:t>Con base en lo anterior, la auditoría de desempeño materia del presente</w:t>
      </w:r>
      <w:r>
        <w:rPr>
          <w:rFonts w:ascii="Abadi" w:hAnsi="Abadi" w:cs="*Arial-5671-Identity-H"/>
          <w:color w:val="15141C"/>
          <w:sz w:val="21"/>
          <w:szCs w:val="21"/>
        </w:rPr>
        <w:t xml:space="preserve"> </w:t>
      </w:r>
      <w:r w:rsidRPr="00C45D54">
        <w:rPr>
          <w:rFonts w:ascii="Abadi" w:hAnsi="Abadi" w:cs="*Arial-5671-Identity-H"/>
          <w:color w:val="15141C"/>
          <w:sz w:val="21"/>
          <w:szCs w:val="21"/>
        </w:rPr>
        <w:t>dictamen, se ejecutó bajo los principios, conceptos y directrices de las actuales</w:t>
      </w:r>
      <w:r>
        <w:rPr>
          <w:rFonts w:ascii="Abadi" w:hAnsi="Abadi" w:cs="*Arial-5671-Identity-H"/>
          <w:color w:val="15141C"/>
          <w:sz w:val="21"/>
          <w:szCs w:val="21"/>
        </w:rPr>
        <w:t xml:space="preserve"> </w:t>
      </w:r>
      <w:r w:rsidRPr="00C45D54">
        <w:rPr>
          <w:rFonts w:ascii="Abadi" w:hAnsi="Abadi" w:cs="*Arial-5671-Identity-H"/>
          <w:color w:val="15141C"/>
          <w:sz w:val="21"/>
          <w:szCs w:val="21"/>
        </w:rPr>
        <w:t>Normas Profesionales de Auditoría del Sistema Nacional de Fiscalización,</w:t>
      </w:r>
      <w:r>
        <w:rPr>
          <w:rFonts w:ascii="Abadi" w:hAnsi="Abadi" w:cs="*Arial-5671-Identity-H"/>
          <w:color w:val="15141C"/>
          <w:sz w:val="21"/>
          <w:szCs w:val="21"/>
        </w:rPr>
        <w:t xml:space="preserve"> </w:t>
      </w:r>
      <w:r w:rsidRPr="00C45D54">
        <w:rPr>
          <w:rFonts w:ascii="Abadi" w:hAnsi="Abadi" w:cs="*Arial-5671-Identity-H"/>
          <w:color w:val="15141C"/>
          <w:sz w:val="21"/>
          <w:szCs w:val="21"/>
        </w:rPr>
        <w:t>compiladas y editadas por la Auditoría Superior de la Federación, de manera</w:t>
      </w:r>
      <w:r>
        <w:rPr>
          <w:rFonts w:ascii="Abadi" w:hAnsi="Abadi" w:cs="*Arial-5671-Identity-H"/>
          <w:color w:val="15141C"/>
          <w:sz w:val="21"/>
          <w:szCs w:val="21"/>
        </w:rPr>
        <w:t xml:space="preserve"> </w:t>
      </w:r>
      <w:r w:rsidRPr="00C45D54">
        <w:rPr>
          <w:rFonts w:ascii="Abadi" w:hAnsi="Abadi" w:cs="*Arial-5671-Identity-H"/>
          <w:color w:val="15141C"/>
          <w:sz w:val="21"/>
          <w:szCs w:val="21"/>
        </w:rPr>
        <w:t>particular por lo que hace a sus numerales 100 y 300.</w:t>
      </w:r>
    </w:p>
    <w:p w14:paraId="1501BCBA" w14:textId="77777777" w:rsidR="00313CE6" w:rsidRPr="00C45D54" w:rsidRDefault="00313CE6" w:rsidP="00313CE6">
      <w:pPr>
        <w:autoSpaceDE w:val="0"/>
        <w:autoSpaceDN w:val="0"/>
        <w:adjustRightInd w:val="0"/>
        <w:jc w:val="both"/>
        <w:rPr>
          <w:rFonts w:ascii="Abadi" w:hAnsi="Abadi" w:cs="*Arial-5671-Identity-H"/>
          <w:color w:val="15141C"/>
          <w:sz w:val="21"/>
          <w:szCs w:val="21"/>
        </w:rPr>
      </w:pPr>
    </w:p>
    <w:p w14:paraId="7EB1F9F1" w14:textId="77777777" w:rsidR="00313CE6" w:rsidRDefault="00313CE6" w:rsidP="00313CE6">
      <w:pPr>
        <w:autoSpaceDE w:val="0"/>
        <w:autoSpaceDN w:val="0"/>
        <w:adjustRightInd w:val="0"/>
        <w:ind w:firstLine="708"/>
        <w:jc w:val="both"/>
        <w:rPr>
          <w:rFonts w:ascii="Abadi" w:hAnsi="Abadi" w:cs="*Arial-5671-Identity-H"/>
          <w:color w:val="15141C"/>
          <w:sz w:val="21"/>
          <w:szCs w:val="21"/>
        </w:rPr>
      </w:pPr>
      <w:r w:rsidRPr="00C45D54">
        <w:rPr>
          <w:rFonts w:ascii="Abadi" w:hAnsi="Abadi" w:cs="*Arial-5671-Identity-H"/>
          <w:color w:val="15141C"/>
          <w:sz w:val="21"/>
          <w:szCs w:val="21"/>
        </w:rPr>
        <w:t>En esta parte también se puntualiza que las auditorías de desempeño que</w:t>
      </w:r>
      <w:r>
        <w:rPr>
          <w:rFonts w:ascii="Abadi" w:hAnsi="Abadi" w:cs="*Arial-5671-Identity-H"/>
          <w:color w:val="15141C"/>
          <w:sz w:val="21"/>
          <w:szCs w:val="21"/>
        </w:rPr>
        <w:t xml:space="preserve"> </w:t>
      </w:r>
      <w:r w:rsidRPr="00C45D54">
        <w:rPr>
          <w:rFonts w:ascii="Abadi" w:hAnsi="Abadi" w:cs="*Arial-5671-Identity-H"/>
          <w:color w:val="15141C"/>
          <w:sz w:val="21"/>
          <w:szCs w:val="21"/>
        </w:rPr>
        <w:t>se practican por la Auditoría Superior del Estado son congruentes con las</w:t>
      </w:r>
      <w:r>
        <w:rPr>
          <w:rFonts w:ascii="Abadi" w:hAnsi="Abadi" w:cs="*Arial-5671-Identity-H"/>
          <w:color w:val="15141C"/>
          <w:sz w:val="21"/>
          <w:szCs w:val="21"/>
        </w:rPr>
        <w:t xml:space="preserve"> </w:t>
      </w:r>
      <w:r w:rsidRPr="00C45D54">
        <w:rPr>
          <w:rFonts w:ascii="Abadi" w:hAnsi="Abadi" w:cs="*Arial-5671-Identity-H"/>
          <w:color w:val="15141C"/>
          <w:sz w:val="21"/>
          <w:szCs w:val="21"/>
        </w:rPr>
        <w:t>metodologías señaladas en las Normas Internacionales para Entidades</w:t>
      </w:r>
      <w:r>
        <w:rPr>
          <w:rFonts w:ascii="Abadi" w:hAnsi="Abadi" w:cs="*Arial-5671-Identity-H"/>
          <w:color w:val="15141C"/>
          <w:sz w:val="21"/>
          <w:szCs w:val="21"/>
        </w:rPr>
        <w:t xml:space="preserve"> </w:t>
      </w:r>
      <w:r w:rsidRPr="00C45D54">
        <w:rPr>
          <w:rFonts w:ascii="Abadi" w:hAnsi="Abadi" w:cs="*Arial-5671-Identity-H"/>
          <w:color w:val="15141C"/>
          <w:sz w:val="21"/>
          <w:szCs w:val="21"/>
        </w:rPr>
        <w:t>Fiscalizadoras Superiores 100, 300, 3000 y 3200, emitidas por la Organización</w:t>
      </w:r>
      <w:r>
        <w:rPr>
          <w:rFonts w:ascii="Abadi" w:hAnsi="Abadi" w:cs="*Arial-5671-Identity-H"/>
          <w:color w:val="15141C"/>
          <w:sz w:val="21"/>
          <w:szCs w:val="21"/>
        </w:rPr>
        <w:t xml:space="preserve"> </w:t>
      </w:r>
      <w:r w:rsidRPr="00C45D54">
        <w:rPr>
          <w:rFonts w:ascii="Abadi" w:hAnsi="Abadi" w:cs="*Arial-5671-Identity-H"/>
          <w:color w:val="15141C"/>
          <w:sz w:val="21"/>
          <w:szCs w:val="21"/>
        </w:rPr>
        <w:t>Internacional de las Entidades Fiscalizadoras Superiores, así como con los</w:t>
      </w:r>
      <w:r>
        <w:rPr>
          <w:rFonts w:ascii="Abadi" w:hAnsi="Abadi" w:cs="*Arial-5671-Identity-H"/>
          <w:color w:val="15141C"/>
          <w:sz w:val="21"/>
          <w:szCs w:val="21"/>
        </w:rPr>
        <w:t xml:space="preserve"> </w:t>
      </w:r>
      <w:r w:rsidRPr="00C45D54">
        <w:rPr>
          <w:rFonts w:ascii="Abadi" w:hAnsi="Abadi" w:cs="*Arial-5671-Identity-H"/>
          <w:color w:val="15141C"/>
          <w:sz w:val="21"/>
          <w:szCs w:val="21"/>
        </w:rPr>
        <w:t>lineamientos para la construcción y diseño de indicadores de desempeño</w:t>
      </w:r>
      <w:r>
        <w:rPr>
          <w:rFonts w:ascii="Abadi" w:hAnsi="Abadi" w:cs="*Arial-5671-Identity-H"/>
          <w:color w:val="15141C"/>
          <w:sz w:val="21"/>
          <w:szCs w:val="21"/>
        </w:rPr>
        <w:t xml:space="preserve"> </w:t>
      </w:r>
      <w:r w:rsidRPr="00C45D54">
        <w:rPr>
          <w:rFonts w:ascii="Abadi" w:hAnsi="Abadi" w:cs="*Arial-5671-Identity-H"/>
          <w:color w:val="15141C"/>
          <w:sz w:val="21"/>
          <w:szCs w:val="21"/>
        </w:rPr>
        <w:t>mediante la Metodología del Marco Lógico, emitidos por el Consejo Nacional de</w:t>
      </w:r>
      <w:r>
        <w:rPr>
          <w:rFonts w:ascii="Abadi" w:hAnsi="Abadi" w:cs="*Arial-5671-Identity-H"/>
          <w:color w:val="15141C"/>
          <w:sz w:val="21"/>
          <w:szCs w:val="21"/>
        </w:rPr>
        <w:t xml:space="preserve"> </w:t>
      </w:r>
      <w:r w:rsidRPr="00C45D54">
        <w:rPr>
          <w:rFonts w:ascii="Abadi" w:hAnsi="Abadi" w:cs="*Arial-5671-Identity-H"/>
          <w:color w:val="15141C"/>
          <w:sz w:val="21"/>
          <w:szCs w:val="21"/>
        </w:rPr>
        <w:t>Armonización Contable, publicados en el Diario Oficial de la Federación el 15 de</w:t>
      </w:r>
      <w:r>
        <w:rPr>
          <w:rFonts w:ascii="Abadi" w:hAnsi="Abadi" w:cs="*Arial-5671-Identity-H"/>
          <w:color w:val="15141C"/>
          <w:sz w:val="21"/>
          <w:szCs w:val="21"/>
        </w:rPr>
        <w:t xml:space="preserve"> </w:t>
      </w:r>
      <w:r w:rsidRPr="00C45D54">
        <w:rPr>
          <w:rFonts w:ascii="Abadi" w:hAnsi="Abadi" w:cs="*Arial-5671-Identity-H"/>
          <w:color w:val="15141C"/>
          <w:sz w:val="21"/>
          <w:szCs w:val="21"/>
        </w:rPr>
        <w:t>mayo de 2013, entre otros.</w:t>
      </w:r>
    </w:p>
    <w:p w14:paraId="0CCE929B" w14:textId="77777777" w:rsidR="00313CE6" w:rsidRPr="00C45D54" w:rsidRDefault="00313CE6" w:rsidP="00313CE6">
      <w:pPr>
        <w:autoSpaceDE w:val="0"/>
        <w:autoSpaceDN w:val="0"/>
        <w:adjustRightInd w:val="0"/>
        <w:jc w:val="both"/>
        <w:rPr>
          <w:rFonts w:ascii="Abadi" w:hAnsi="Abadi" w:cs="*Arial-5671-Identity-H"/>
          <w:color w:val="15141C"/>
          <w:sz w:val="21"/>
          <w:szCs w:val="21"/>
        </w:rPr>
      </w:pPr>
    </w:p>
    <w:p w14:paraId="6BDB081E" w14:textId="77777777" w:rsidR="00313CE6" w:rsidRDefault="00313CE6" w:rsidP="00313CE6">
      <w:pPr>
        <w:autoSpaceDE w:val="0"/>
        <w:autoSpaceDN w:val="0"/>
        <w:adjustRightInd w:val="0"/>
        <w:ind w:firstLine="708"/>
        <w:jc w:val="both"/>
        <w:rPr>
          <w:rFonts w:ascii="Abadi" w:hAnsi="Abadi" w:cs="*Arial-5671-Identity-H"/>
          <w:color w:val="15141C"/>
          <w:sz w:val="21"/>
          <w:szCs w:val="21"/>
        </w:rPr>
      </w:pPr>
      <w:r w:rsidRPr="00C45D54">
        <w:rPr>
          <w:rFonts w:ascii="Abadi" w:hAnsi="Abadi" w:cs="*Arial-5671-Identity-H"/>
          <w:color w:val="15141C"/>
          <w:sz w:val="21"/>
          <w:szCs w:val="21"/>
        </w:rPr>
        <w:t>En el punto correspondiente a estructura del informe y valoración, se señala</w:t>
      </w:r>
      <w:r>
        <w:rPr>
          <w:rFonts w:ascii="Abadi" w:hAnsi="Abadi" w:cs="*Arial-5671-Identity-H"/>
          <w:color w:val="15141C"/>
          <w:sz w:val="21"/>
          <w:szCs w:val="21"/>
        </w:rPr>
        <w:t xml:space="preserve"> </w:t>
      </w:r>
      <w:r w:rsidRPr="00C45D54">
        <w:rPr>
          <w:rFonts w:ascii="Abadi" w:hAnsi="Abadi" w:cs="*Arial-5671-Identity-H"/>
          <w:color w:val="15141C"/>
          <w:sz w:val="21"/>
          <w:szCs w:val="21"/>
        </w:rPr>
        <w:t>que el informe de resultados es el documento técnico en el que se presentan los</w:t>
      </w:r>
      <w:r>
        <w:rPr>
          <w:rFonts w:ascii="Abadi" w:hAnsi="Abadi" w:cs="*Arial-5671-Identity-H"/>
          <w:color w:val="15141C"/>
          <w:sz w:val="21"/>
          <w:szCs w:val="21"/>
        </w:rPr>
        <w:t xml:space="preserve"> </w:t>
      </w:r>
      <w:r w:rsidRPr="00C45D54">
        <w:rPr>
          <w:rFonts w:ascii="Abadi" w:hAnsi="Abadi" w:cs="*Arial-5671-Identity-H"/>
          <w:color w:val="15141C"/>
          <w:sz w:val="21"/>
          <w:szCs w:val="21"/>
        </w:rPr>
        <w:t>datos e información que identifican una revisión, las conclusiones y las</w:t>
      </w:r>
      <w:r>
        <w:rPr>
          <w:rFonts w:ascii="Abadi" w:hAnsi="Abadi" w:cs="*Arial-5671-Identity-H"/>
          <w:color w:val="15141C"/>
          <w:sz w:val="21"/>
          <w:szCs w:val="21"/>
        </w:rPr>
        <w:t xml:space="preserve"> </w:t>
      </w:r>
      <w:r w:rsidRPr="00C45D54">
        <w:rPr>
          <w:rFonts w:ascii="Abadi" w:hAnsi="Abadi" w:cs="*Arial-5671-Identity-H"/>
          <w:color w:val="15141C"/>
          <w:sz w:val="21"/>
          <w:szCs w:val="21"/>
        </w:rPr>
        <w:t>recomendaciones al desempeño que se propondrán al ente fiscalizado.</w:t>
      </w:r>
      <w:r>
        <w:rPr>
          <w:rFonts w:ascii="Abadi" w:hAnsi="Abadi" w:cs="*Arial-5671-Identity-H"/>
          <w:color w:val="15141C"/>
          <w:sz w:val="21"/>
          <w:szCs w:val="21"/>
        </w:rPr>
        <w:t xml:space="preserve"> </w:t>
      </w:r>
    </w:p>
    <w:p w14:paraId="4CD34F7F" w14:textId="77777777" w:rsidR="00313CE6" w:rsidRDefault="00313CE6" w:rsidP="00313CE6">
      <w:pPr>
        <w:autoSpaceDE w:val="0"/>
        <w:autoSpaceDN w:val="0"/>
        <w:adjustRightInd w:val="0"/>
        <w:jc w:val="both"/>
        <w:rPr>
          <w:rFonts w:ascii="Abadi" w:hAnsi="Abadi" w:cs="*Arial-5671-Identity-H"/>
          <w:color w:val="15141C"/>
          <w:sz w:val="21"/>
          <w:szCs w:val="21"/>
        </w:rPr>
      </w:pPr>
    </w:p>
    <w:p w14:paraId="619DAADA" w14:textId="77777777" w:rsidR="00313CE6" w:rsidRDefault="00313CE6" w:rsidP="00313CE6">
      <w:pPr>
        <w:autoSpaceDE w:val="0"/>
        <w:autoSpaceDN w:val="0"/>
        <w:adjustRightInd w:val="0"/>
        <w:ind w:firstLine="708"/>
        <w:jc w:val="both"/>
        <w:rPr>
          <w:rFonts w:ascii="Abadi" w:hAnsi="Abadi" w:cs="*Arial-5671-Identity-H"/>
          <w:color w:val="15141C"/>
          <w:sz w:val="21"/>
          <w:szCs w:val="21"/>
        </w:rPr>
      </w:pPr>
      <w:r w:rsidRPr="00C45D54">
        <w:rPr>
          <w:rFonts w:ascii="Abadi" w:hAnsi="Abadi" w:cs="*Arial-5671-Identity-H"/>
          <w:color w:val="15141C"/>
          <w:sz w:val="21"/>
          <w:szCs w:val="21"/>
        </w:rPr>
        <w:t>Asimismo, se refiere que el artículo 26 del Reglamento de la Ley de</w:t>
      </w:r>
      <w:r>
        <w:rPr>
          <w:rFonts w:ascii="Abadi" w:hAnsi="Abadi" w:cs="*Arial-5671-Identity-H"/>
          <w:color w:val="15141C"/>
          <w:sz w:val="21"/>
          <w:szCs w:val="21"/>
        </w:rPr>
        <w:t xml:space="preserve"> </w:t>
      </w:r>
      <w:r w:rsidRPr="00C45D54">
        <w:rPr>
          <w:rFonts w:ascii="Abadi" w:hAnsi="Abadi" w:cs="*Arial-5671-Identity-H"/>
          <w:color w:val="15141C"/>
          <w:sz w:val="21"/>
          <w:szCs w:val="21"/>
        </w:rPr>
        <w:t>Fiscalización Superior del Estado de Guanajuato establece los requisitos mínimos</w:t>
      </w:r>
      <w:r>
        <w:rPr>
          <w:rFonts w:ascii="Abadi" w:hAnsi="Abadi" w:cs="*Arial-5671-Identity-H"/>
          <w:color w:val="15141C"/>
          <w:sz w:val="21"/>
          <w:szCs w:val="21"/>
        </w:rPr>
        <w:t xml:space="preserve"> </w:t>
      </w:r>
      <w:r w:rsidRPr="00C45D54">
        <w:rPr>
          <w:rFonts w:ascii="Abadi" w:hAnsi="Abadi" w:cs="*Arial-5671-Identity-H"/>
          <w:color w:val="15141C"/>
          <w:sz w:val="21"/>
          <w:szCs w:val="21"/>
        </w:rPr>
        <w:t>que deben contener los informes de resultados de las auditorías de desempeño,</w:t>
      </w:r>
      <w:r>
        <w:rPr>
          <w:rFonts w:ascii="Abadi" w:hAnsi="Abadi" w:cs="*Arial-5671-Identity-H"/>
          <w:color w:val="15141C"/>
          <w:sz w:val="21"/>
          <w:szCs w:val="21"/>
        </w:rPr>
        <w:t xml:space="preserve"> </w:t>
      </w:r>
      <w:r w:rsidRPr="00C45D54">
        <w:rPr>
          <w:rFonts w:ascii="Abadi" w:hAnsi="Abadi" w:cs="*Arial-5671-Identity-H"/>
          <w:color w:val="15141C"/>
          <w:sz w:val="21"/>
          <w:szCs w:val="21"/>
        </w:rPr>
        <w:t>los cuales se cumplieron en la formulación del informe de resultados. También se</w:t>
      </w:r>
      <w:r>
        <w:rPr>
          <w:rFonts w:ascii="Abadi" w:hAnsi="Abadi" w:cs="*Arial-5671-Identity-H"/>
          <w:color w:val="15141C"/>
          <w:sz w:val="21"/>
          <w:szCs w:val="21"/>
        </w:rPr>
        <w:t xml:space="preserve"> </w:t>
      </w:r>
      <w:r w:rsidRPr="00C45D54">
        <w:rPr>
          <w:rFonts w:ascii="Abadi" w:hAnsi="Abadi" w:cs="*Arial-5671-Identity-H"/>
          <w:color w:val="15141C"/>
          <w:sz w:val="21"/>
          <w:szCs w:val="21"/>
        </w:rPr>
        <w:t>precisan los datos de identificación del acto de fiscalización, como son el título o</w:t>
      </w:r>
      <w:r>
        <w:rPr>
          <w:rFonts w:ascii="Abadi" w:hAnsi="Abadi" w:cs="*Arial-5671-Identity-H"/>
          <w:color w:val="15141C"/>
          <w:sz w:val="21"/>
          <w:szCs w:val="21"/>
        </w:rPr>
        <w:t xml:space="preserve"> </w:t>
      </w:r>
      <w:r w:rsidRPr="00C45D54">
        <w:rPr>
          <w:rFonts w:ascii="Abadi" w:hAnsi="Abadi" w:cs="*Arial-5671-Identity-H"/>
          <w:color w:val="15141C"/>
          <w:sz w:val="21"/>
          <w:szCs w:val="21"/>
        </w:rPr>
        <w:t>enfoque de la auditoría, el sujeto fiscalizado, el periodo de revisión y el programa</w:t>
      </w:r>
      <w:r>
        <w:rPr>
          <w:rFonts w:ascii="Abadi" w:hAnsi="Abadi" w:cs="*Arial-5671-Identity-H"/>
          <w:color w:val="15141C"/>
          <w:sz w:val="21"/>
          <w:szCs w:val="21"/>
        </w:rPr>
        <w:t xml:space="preserve"> </w:t>
      </w:r>
      <w:r w:rsidRPr="00C45D54">
        <w:rPr>
          <w:rFonts w:ascii="Abadi" w:hAnsi="Abadi" w:cs="*Arial-5671-Identity-H"/>
          <w:color w:val="15141C"/>
          <w:sz w:val="21"/>
          <w:szCs w:val="21"/>
        </w:rPr>
        <w:t>que se fiscaliza, en función de lo autorizado en el Programa General de</w:t>
      </w:r>
      <w:r>
        <w:rPr>
          <w:rFonts w:ascii="Abadi" w:hAnsi="Abadi" w:cs="*Arial-5671-Identity-H"/>
          <w:color w:val="15141C"/>
          <w:sz w:val="21"/>
          <w:szCs w:val="21"/>
        </w:rPr>
        <w:t xml:space="preserve"> </w:t>
      </w:r>
      <w:r w:rsidRPr="00C45D54">
        <w:rPr>
          <w:rFonts w:ascii="Abadi" w:hAnsi="Abadi" w:cs="*Arial-5671-Identity-H"/>
          <w:color w:val="15141C"/>
          <w:sz w:val="21"/>
          <w:szCs w:val="21"/>
        </w:rPr>
        <w:t>Fiscalización respectivo.</w:t>
      </w:r>
    </w:p>
    <w:p w14:paraId="78B066BA" w14:textId="77777777" w:rsidR="00313CE6" w:rsidRPr="00C45D54" w:rsidRDefault="00313CE6" w:rsidP="00313CE6">
      <w:pPr>
        <w:autoSpaceDE w:val="0"/>
        <w:autoSpaceDN w:val="0"/>
        <w:adjustRightInd w:val="0"/>
        <w:jc w:val="both"/>
        <w:rPr>
          <w:rFonts w:ascii="Abadi" w:hAnsi="Abadi" w:cs="*Arial-5671-Identity-H"/>
          <w:color w:val="15141C"/>
          <w:sz w:val="21"/>
          <w:szCs w:val="21"/>
        </w:rPr>
      </w:pPr>
    </w:p>
    <w:p w14:paraId="2261DF3D" w14:textId="77777777" w:rsidR="00313CE6" w:rsidRPr="00C45D54" w:rsidRDefault="00313CE6" w:rsidP="00313CE6">
      <w:pPr>
        <w:autoSpaceDE w:val="0"/>
        <w:autoSpaceDN w:val="0"/>
        <w:adjustRightInd w:val="0"/>
        <w:ind w:firstLine="708"/>
        <w:jc w:val="both"/>
        <w:rPr>
          <w:rFonts w:ascii="Abadi" w:hAnsi="Abadi" w:cs="*Arial-5671-Identity-H"/>
          <w:color w:val="15141C"/>
          <w:sz w:val="21"/>
          <w:szCs w:val="21"/>
        </w:rPr>
      </w:pPr>
      <w:r w:rsidRPr="00C45D54">
        <w:rPr>
          <w:rFonts w:ascii="Abadi" w:hAnsi="Abadi" w:cs="*Arial-5671-Identity-H"/>
          <w:color w:val="15141C"/>
          <w:sz w:val="21"/>
          <w:szCs w:val="21"/>
        </w:rPr>
        <w:t>Por lo que hace a la valoración de la respuesta del sujeto fiscalizado, el</w:t>
      </w:r>
      <w:r>
        <w:rPr>
          <w:rFonts w:ascii="Abadi" w:hAnsi="Abadi" w:cs="*Arial-5671-Identity-H"/>
          <w:color w:val="15141C"/>
          <w:sz w:val="21"/>
          <w:szCs w:val="21"/>
        </w:rPr>
        <w:t xml:space="preserve"> </w:t>
      </w:r>
      <w:r w:rsidRPr="00C45D54">
        <w:rPr>
          <w:rFonts w:ascii="Abadi" w:hAnsi="Abadi" w:cs="*Arial-5671-Identity-H"/>
          <w:color w:val="15141C"/>
          <w:sz w:val="21"/>
          <w:szCs w:val="21"/>
        </w:rPr>
        <w:t>Órgano Técnico determinó lo conducente respecto a las recomendaciones</w:t>
      </w:r>
      <w:r>
        <w:rPr>
          <w:rFonts w:ascii="Abadi" w:hAnsi="Abadi" w:cs="*Arial-5671-Identity-H"/>
          <w:color w:val="15141C"/>
          <w:sz w:val="21"/>
          <w:szCs w:val="21"/>
        </w:rPr>
        <w:t xml:space="preserve"> </w:t>
      </w:r>
      <w:r w:rsidRPr="00C45D54">
        <w:rPr>
          <w:rFonts w:ascii="Abadi" w:hAnsi="Abadi" w:cs="*Arial-5671-Identity-H"/>
          <w:color w:val="15141C"/>
          <w:sz w:val="21"/>
          <w:szCs w:val="21"/>
        </w:rPr>
        <w:t>emitidas, para lo cual realizó un análisis de la documentación y evidencia</w:t>
      </w:r>
      <w:r>
        <w:rPr>
          <w:rFonts w:ascii="Abadi" w:hAnsi="Abadi" w:cs="*Arial-5671-Identity-H"/>
          <w:color w:val="15141C"/>
          <w:sz w:val="21"/>
          <w:szCs w:val="21"/>
        </w:rPr>
        <w:t xml:space="preserve"> </w:t>
      </w:r>
      <w:r w:rsidRPr="00C45D54">
        <w:rPr>
          <w:rFonts w:ascii="Abadi" w:hAnsi="Abadi" w:cs="*Arial-5671-Identity-H"/>
          <w:color w:val="15141C"/>
          <w:sz w:val="21"/>
          <w:szCs w:val="21"/>
        </w:rPr>
        <w:t>proporcionada por el sujeto fiscalizado, a fin de valorar si este efectuó mejoras, si</w:t>
      </w:r>
      <w:r>
        <w:rPr>
          <w:rFonts w:ascii="Abadi" w:hAnsi="Abadi" w:cs="*Arial-5671-Identity-H"/>
          <w:color w:val="15141C"/>
          <w:sz w:val="21"/>
          <w:szCs w:val="21"/>
        </w:rPr>
        <w:t xml:space="preserve"> </w:t>
      </w:r>
      <w:r w:rsidRPr="00C45D54">
        <w:rPr>
          <w:rFonts w:ascii="Abadi" w:hAnsi="Abadi" w:cs="*Arial-5671-Identity-H"/>
          <w:color w:val="15141C"/>
          <w:sz w:val="21"/>
          <w:szCs w:val="21"/>
        </w:rPr>
        <w:t>realizará alguna acción o emitió la justificación correspondiente sobre la</w:t>
      </w:r>
      <w:r>
        <w:rPr>
          <w:rFonts w:ascii="Abadi" w:hAnsi="Abadi" w:cs="*Arial-5671-Identity-H"/>
          <w:color w:val="15141C"/>
          <w:sz w:val="21"/>
          <w:szCs w:val="21"/>
        </w:rPr>
        <w:t xml:space="preserve"> </w:t>
      </w:r>
      <w:r w:rsidRPr="00C45D54">
        <w:rPr>
          <w:rFonts w:ascii="Abadi" w:hAnsi="Abadi" w:cs="*Arial-5671-Identity-H"/>
          <w:color w:val="15141C"/>
          <w:sz w:val="21"/>
          <w:szCs w:val="21"/>
        </w:rPr>
        <w:t>improcedencia por la cual no resulte factible su implementación o bien, la</w:t>
      </w:r>
      <w:r>
        <w:rPr>
          <w:rFonts w:ascii="Abadi" w:hAnsi="Abadi" w:cs="*Arial-5671-Identity-H"/>
          <w:color w:val="15141C"/>
          <w:sz w:val="21"/>
          <w:szCs w:val="21"/>
        </w:rPr>
        <w:t xml:space="preserve">  </w:t>
      </w:r>
      <w:r w:rsidRPr="00C45D54">
        <w:rPr>
          <w:rFonts w:ascii="Abadi" w:hAnsi="Abadi" w:cs="*Arial-5671-Identity-H"/>
          <w:color w:val="15141C"/>
          <w:sz w:val="21"/>
          <w:szCs w:val="21"/>
        </w:rPr>
        <w:t>consideración de medidas alternas que fortalezcan el desempeño de la gestión</w:t>
      </w:r>
      <w:r>
        <w:rPr>
          <w:rFonts w:ascii="Abadi" w:hAnsi="Abadi" w:cs="*Arial-5671-Identity-H"/>
          <w:color w:val="15141C"/>
          <w:sz w:val="21"/>
          <w:szCs w:val="21"/>
        </w:rPr>
        <w:t xml:space="preserve"> </w:t>
      </w:r>
      <w:r w:rsidRPr="00C45D54">
        <w:rPr>
          <w:rFonts w:ascii="Abadi" w:hAnsi="Abadi" w:cs="*Arial-5671-Identity-H"/>
          <w:color w:val="15141C"/>
          <w:sz w:val="21"/>
          <w:szCs w:val="21"/>
        </w:rPr>
        <w:t>pública. Asimismo, se señala que las recomendaciones efectuadas al sujeto</w:t>
      </w:r>
      <w:r>
        <w:rPr>
          <w:rFonts w:ascii="Abadi" w:hAnsi="Abadi" w:cs="*Arial-5671-Identity-H"/>
          <w:color w:val="15141C"/>
          <w:sz w:val="21"/>
          <w:szCs w:val="21"/>
        </w:rPr>
        <w:t xml:space="preserve"> </w:t>
      </w:r>
      <w:r w:rsidRPr="00C45D54">
        <w:rPr>
          <w:rFonts w:ascii="Abadi" w:hAnsi="Abadi" w:cs="*Arial-5671-Identity-H"/>
          <w:color w:val="15141C"/>
          <w:sz w:val="21"/>
          <w:szCs w:val="21"/>
        </w:rPr>
        <w:t>fiscalizado podrían considerarse como persistentes, cuando no sea posible</w:t>
      </w:r>
      <w:r>
        <w:rPr>
          <w:rFonts w:ascii="Abadi" w:hAnsi="Abadi" w:cs="*Arial-5671-Identity-H"/>
          <w:color w:val="15141C"/>
          <w:sz w:val="21"/>
          <w:szCs w:val="21"/>
        </w:rPr>
        <w:t xml:space="preserve"> </w:t>
      </w:r>
      <w:r w:rsidRPr="00C45D54">
        <w:rPr>
          <w:rFonts w:ascii="Abadi" w:hAnsi="Abadi" w:cs="*Arial-5671-Identity-H"/>
          <w:color w:val="15141C"/>
          <w:sz w:val="21"/>
          <w:szCs w:val="21"/>
        </w:rPr>
        <w:t>valorarlas en alguno de los supuestos antes referidos.</w:t>
      </w:r>
    </w:p>
    <w:p w14:paraId="1FBDEFC5" w14:textId="77777777" w:rsidR="00313CE6" w:rsidRPr="00C45D54" w:rsidRDefault="00313CE6" w:rsidP="00313CE6">
      <w:pPr>
        <w:autoSpaceDE w:val="0"/>
        <w:autoSpaceDN w:val="0"/>
        <w:adjustRightInd w:val="0"/>
        <w:jc w:val="both"/>
        <w:rPr>
          <w:rFonts w:ascii="Abadi" w:hAnsi="Abadi" w:cs="*Calibri-5717-Identity-H"/>
          <w:color w:val="1B1B23"/>
          <w:sz w:val="21"/>
          <w:szCs w:val="21"/>
        </w:rPr>
      </w:pPr>
    </w:p>
    <w:p w14:paraId="54A40C6A" w14:textId="77777777" w:rsidR="00313CE6" w:rsidRDefault="00313CE6" w:rsidP="00313CE6">
      <w:pPr>
        <w:autoSpaceDE w:val="0"/>
        <w:autoSpaceDN w:val="0"/>
        <w:adjustRightInd w:val="0"/>
        <w:ind w:firstLine="708"/>
        <w:jc w:val="both"/>
        <w:rPr>
          <w:rFonts w:ascii="Abadi" w:hAnsi="Abadi" w:cs="*Arial-5718-Identity-H"/>
          <w:color w:val="15141C"/>
          <w:sz w:val="21"/>
          <w:szCs w:val="21"/>
        </w:rPr>
      </w:pPr>
      <w:r w:rsidRPr="00C45D54">
        <w:rPr>
          <w:rFonts w:ascii="Abadi" w:hAnsi="Abadi" w:cs="*Arial-5718-Identity-H"/>
          <w:color w:val="15141C"/>
          <w:sz w:val="21"/>
          <w:szCs w:val="21"/>
        </w:rPr>
        <w:t>Es así, que la valoración realizada por la Auditoría Superior del Estado</w:t>
      </w:r>
      <w:r>
        <w:rPr>
          <w:rFonts w:ascii="Abadi" w:hAnsi="Abadi" w:cs="*Arial-5718-Identity-H"/>
          <w:color w:val="15141C"/>
          <w:sz w:val="21"/>
          <w:szCs w:val="21"/>
        </w:rPr>
        <w:t xml:space="preserve"> </w:t>
      </w:r>
      <w:r w:rsidRPr="00C45D54">
        <w:rPr>
          <w:rFonts w:ascii="Abadi" w:hAnsi="Abadi" w:cs="*Arial-5718-Identity-H"/>
          <w:color w:val="15141C"/>
          <w:sz w:val="21"/>
          <w:szCs w:val="21"/>
        </w:rPr>
        <w:t>redunda en las manifestaciones, argumentos, acciones y evidencia presentada en</w:t>
      </w:r>
      <w:r>
        <w:rPr>
          <w:rFonts w:ascii="Abadi" w:hAnsi="Abadi" w:cs="*Arial-5718-Identity-H"/>
          <w:color w:val="15141C"/>
          <w:sz w:val="21"/>
          <w:szCs w:val="21"/>
        </w:rPr>
        <w:t xml:space="preserve"> </w:t>
      </w:r>
      <w:r w:rsidRPr="00C45D54">
        <w:rPr>
          <w:rFonts w:ascii="Abadi" w:hAnsi="Abadi" w:cs="*Arial-5718-Identity-H"/>
          <w:color w:val="15141C"/>
          <w:sz w:val="21"/>
          <w:szCs w:val="21"/>
        </w:rPr>
        <w:t>la respuesta al pliego de recomendaciones, para lo cual la evidencia aportada por</w:t>
      </w:r>
      <w:r>
        <w:rPr>
          <w:rFonts w:ascii="Abadi" w:hAnsi="Abadi" w:cs="*Arial-5718-Identity-H"/>
          <w:color w:val="15141C"/>
          <w:sz w:val="21"/>
          <w:szCs w:val="21"/>
        </w:rPr>
        <w:t xml:space="preserve"> </w:t>
      </w:r>
      <w:r w:rsidRPr="00C45D54">
        <w:rPr>
          <w:rFonts w:ascii="Abadi" w:hAnsi="Abadi" w:cs="*Arial-5718-Identity-H"/>
          <w:color w:val="15141C"/>
          <w:sz w:val="21"/>
          <w:szCs w:val="21"/>
        </w:rPr>
        <w:t>el sujeto fiscalizado debe ser competente, pertinente, suficiente y relevante.</w:t>
      </w:r>
    </w:p>
    <w:p w14:paraId="347D3306" w14:textId="77777777" w:rsidR="00313CE6" w:rsidRPr="00C45D54" w:rsidRDefault="00313CE6" w:rsidP="00313CE6">
      <w:pPr>
        <w:autoSpaceDE w:val="0"/>
        <w:autoSpaceDN w:val="0"/>
        <w:adjustRightInd w:val="0"/>
        <w:jc w:val="both"/>
        <w:rPr>
          <w:rFonts w:ascii="Abadi" w:hAnsi="Abadi" w:cs="*Arial-5718-Identity-H"/>
          <w:color w:val="15141C"/>
          <w:sz w:val="21"/>
          <w:szCs w:val="21"/>
        </w:rPr>
      </w:pPr>
    </w:p>
    <w:p w14:paraId="421B31F7" w14:textId="77777777" w:rsidR="00313CE6" w:rsidRDefault="00313CE6" w:rsidP="00313CE6">
      <w:pPr>
        <w:autoSpaceDE w:val="0"/>
        <w:autoSpaceDN w:val="0"/>
        <w:adjustRightInd w:val="0"/>
        <w:jc w:val="both"/>
        <w:rPr>
          <w:rFonts w:ascii="Abadi" w:hAnsi="Abadi" w:cs="*Arial-5718-Identity-H"/>
          <w:color w:val="14131C"/>
          <w:sz w:val="21"/>
          <w:szCs w:val="21"/>
        </w:rPr>
      </w:pPr>
      <w:r w:rsidRPr="00C45D54">
        <w:rPr>
          <w:rFonts w:ascii="Abadi" w:hAnsi="Abadi" w:cs="*Arial-5718-Identity-H"/>
          <w:color w:val="14131C"/>
          <w:sz w:val="21"/>
          <w:szCs w:val="21"/>
        </w:rPr>
        <w:t>Respecto al objetivo y alcance de la auditoría se señala que de acuerdo a la</w:t>
      </w:r>
      <w:r>
        <w:rPr>
          <w:rFonts w:ascii="Abadi" w:hAnsi="Abadi" w:cs="*Arial-5718-Identity-H"/>
          <w:color w:val="14131C"/>
          <w:sz w:val="21"/>
          <w:szCs w:val="21"/>
        </w:rPr>
        <w:t xml:space="preserve"> </w:t>
      </w:r>
      <w:r w:rsidRPr="00C45D54">
        <w:rPr>
          <w:rFonts w:ascii="Abadi" w:hAnsi="Abadi" w:cs="*Arial-5718-Identity-H"/>
          <w:color w:val="14131C"/>
          <w:sz w:val="21"/>
          <w:szCs w:val="21"/>
        </w:rPr>
        <w:t>Organización Internacional de las Entidades Fiscalizadoras Superiores, para las</w:t>
      </w:r>
      <w:r>
        <w:rPr>
          <w:rFonts w:ascii="Abadi" w:hAnsi="Abadi" w:cs="*Arial-5718-Identity-H"/>
          <w:color w:val="14131C"/>
          <w:sz w:val="21"/>
          <w:szCs w:val="21"/>
        </w:rPr>
        <w:t xml:space="preserve"> </w:t>
      </w:r>
      <w:r w:rsidRPr="00C45D54">
        <w:rPr>
          <w:rFonts w:ascii="Abadi" w:hAnsi="Abadi" w:cs="*Arial-5718-Identity-H"/>
          <w:color w:val="14131C"/>
          <w:sz w:val="21"/>
          <w:szCs w:val="21"/>
        </w:rPr>
        <w:t>auditorías de desempeño existen tres enfoques que están orientados a los</w:t>
      </w:r>
      <w:r>
        <w:rPr>
          <w:rFonts w:ascii="Abadi" w:hAnsi="Abadi" w:cs="*Arial-5718-Identity-H"/>
          <w:color w:val="14131C"/>
          <w:sz w:val="21"/>
          <w:szCs w:val="21"/>
        </w:rPr>
        <w:t xml:space="preserve"> </w:t>
      </w:r>
      <w:r w:rsidRPr="00C45D54">
        <w:rPr>
          <w:rFonts w:ascii="Abadi" w:hAnsi="Abadi" w:cs="*Arial-5718-Identity-H"/>
          <w:color w:val="14131C"/>
          <w:sz w:val="21"/>
          <w:szCs w:val="21"/>
        </w:rPr>
        <w:t>siguientes aspectos: Al sistema, el cual examina el funcionamiento adecuado de</w:t>
      </w:r>
      <w:r>
        <w:rPr>
          <w:rFonts w:ascii="Abadi" w:hAnsi="Abadi" w:cs="*Arial-5718-Identity-H"/>
          <w:color w:val="14131C"/>
          <w:sz w:val="21"/>
          <w:szCs w:val="21"/>
        </w:rPr>
        <w:t xml:space="preserve"> </w:t>
      </w:r>
      <w:r w:rsidRPr="00C45D54">
        <w:rPr>
          <w:rFonts w:ascii="Abadi" w:hAnsi="Abadi" w:cs="*Arial-5718-Identity-H"/>
          <w:color w:val="14131C"/>
          <w:sz w:val="21"/>
          <w:szCs w:val="21"/>
        </w:rPr>
        <w:t>los sistemas de gestión; a los resultados, en el que se evalúa si los objetivos en</w:t>
      </w:r>
      <w:r>
        <w:rPr>
          <w:rFonts w:ascii="Abadi" w:hAnsi="Abadi" w:cs="*Arial-5718-Identity-H"/>
          <w:color w:val="14131C"/>
          <w:sz w:val="21"/>
          <w:szCs w:val="21"/>
        </w:rPr>
        <w:t xml:space="preserve"> </w:t>
      </w:r>
      <w:r w:rsidRPr="00C45D54">
        <w:rPr>
          <w:rFonts w:ascii="Abadi" w:hAnsi="Abadi" w:cs="*Arial-5718-Identity-H"/>
          <w:color w:val="14131C"/>
          <w:sz w:val="21"/>
          <w:szCs w:val="21"/>
        </w:rPr>
        <w:t>términos de resultados o productos han sido alcanzados como se deseaba, o si</w:t>
      </w:r>
      <w:r>
        <w:rPr>
          <w:rFonts w:ascii="Abadi" w:hAnsi="Abadi" w:cs="*Arial-5718-Identity-H"/>
          <w:color w:val="14131C"/>
          <w:sz w:val="21"/>
          <w:szCs w:val="21"/>
        </w:rPr>
        <w:t xml:space="preserve"> </w:t>
      </w:r>
      <w:r w:rsidRPr="00C45D54">
        <w:rPr>
          <w:rFonts w:ascii="Abadi" w:hAnsi="Abadi" w:cs="*Arial-5718-Identity-H"/>
          <w:color w:val="14131C"/>
          <w:sz w:val="21"/>
          <w:szCs w:val="21"/>
        </w:rPr>
        <w:t>los programas y servicios operan como se esperaba; y al problema, el cual</w:t>
      </w:r>
      <w:r>
        <w:rPr>
          <w:rFonts w:ascii="Abadi" w:hAnsi="Abadi" w:cs="*Arial-5718-Identity-H"/>
          <w:color w:val="14131C"/>
          <w:sz w:val="21"/>
          <w:szCs w:val="21"/>
        </w:rPr>
        <w:t xml:space="preserve"> </w:t>
      </w:r>
      <w:r w:rsidRPr="00C45D54">
        <w:rPr>
          <w:rFonts w:ascii="Abadi" w:hAnsi="Abadi" w:cs="*Arial-5718-Identity-H"/>
          <w:color w:val="14131C"/>
          <w:sz w:val="21"/>
          <w:szCs w:val="21"/>
        </w:rPr>
        <w:t>examina, verifica y analiza las causas de los problemas particulares o</w:t>
      </w:r>
      <w:r>
        <w:rPr>
          <w:rFonts w:ascii="Abadi" w:hAnsi="Abadi" w:cs="*Arial-5718-Identity-H"/>
          <w:color w:val="14131C"/>
          <w:sz w:val="21"/>
          <w:szCs w:val="21"/>
        </w:rPr>
        <w:t xml:space="preserve"> </w:t>
      </w:r>
      <w:r w:rsidRPr="00C45D54">
        <w:rPr>
          <w:rFonts w:ascii="Abadi" w:hAnsi="Abadi" w:cs="*Arial-5718-Identity-H"/>
          <w:color w:val="14131C"/>
          <w:sz w:val="21"/>
          <w:szCs w:val="21"/>
        </w:rPr>
        <w:t>desviaciones de los criterios establecidos.</w:t>
      </w:r>
    </w:p>
    <w:p w14:paraId="2858A0D5" w14:textId="77777777" w:rsidR="00313CE6" w:rsidRPr="00C45D54" w:rsidRDefault="00313CE6" w:rsidP="00313CE6">
      <w:pPr>
        <w:autoSpaceDE w:val="0"/>
        <w:autoSpaceDN w:val="0"/>
        <w:adjustRightInd w:val="0"/>
        <w:jc w:val="both"/>
        <w:rPr>
          <w:rFonts w:ascii="Abadi" w:hAnsi="Abadi" w:cs="*Arial-5718-Identity-H"/>
          <w:color w:val="14131C"/>
          <w:sz w:val="21"/>
          <w:szCs w:val="21"/>
        </w:rPr>
      </w:pPr>
    </w:p>
    <w:p w14:paraId="6B1EC585" w14:textId="77777777" w:rsidR="00313CE6" w:rsidRDefault="00313CE6" w:rsidP="00313CE6">
      <w:pPr>
        <w:autoSpaceDE w:val="0"/>
        <w:autoSpaceDN w:val="0"/>
        <w:adjustRightInd w:val="0"/>
        <w:ind w:firstLine="708"/>
        <w:jc w:val="both"/>
        <w:rPr>
          <w:rFonts w:ascii="Abadi" w:hAnsi="Abadi" w:cs="*Arial-5718-Identity-H"/>
          <w:color w:val="15141C"/>
          <w:sz w:val="21"/>
          <w:szCs w:val="21"/>
        </w:rPr>
      </w:pPr>
      <w:r w:rsidRPr="00C45D54">
        <w:rPr>
          <w:rFonts w:ascii="Abadi" w:hAnsi="Abadi" w:cs="*Arial-5718-Identity-H"/>
          <w:color w:val="15141C"/>
          <w:sz w:val="21"/>
          <w:szCs w:val="21"/>
        </w:rPr>
        <w:t>En las auditorías de desempeño practicadas por la Auditoría Superior del</w:t>
      </w:r>
      <w:r>
        <w:rPr>
          <w:rFonts w:ascii="Abadi" w:hAnsi="Abadi" w:cs="*Arial-5718-Identity-H"/>
          <w:color w:val="15141C"/>
          <w:sz w:val="21"/>
          <w:szCs w:val="21"/>
        </w:rPr>
        <w:t xml:space="preserve"> </w:t>
      </w:r>
      <w:r w:rsidRPr="00C45D54">
        <w:rPr>
          <w:rFonts w:ascii="Abadi" w:hAnsi="Abadi" w:cs="*Arial-5718-Identity-H"/>
          <w:color w:val="15141C"/>
          <w:sz w:val="21"/>
          <w:szCs w:val="21"/>
        </w:rPr>
        <w:t>Estado se consideran dichos enfoques, mediante las auditorías de cumplimiento</w:t>
      </w:r>
      <w:r>
        <w:rPr>
          <w:rFonts w:ascii="Abadi" w:hAnsi="Abadi" w:cs="*Arial-5718-Identity-H"/>
          <w:color w:val="15141C"/>
          <w:sz w:val="21"/>
          <w:szCs w:val="21"/>
        </w:rPr>
        <w:t xml:space="preserve"> </w:t>
      </w:r>
      <w:r w:rsidRPr="00C45D54">
        <w:rPr>
          <w:rFonts w:ascii="Abadi" w:hAnsi="Abadi" w:cs="*Arial-5718-Identity-H"/>
          <w:color w:val="15141C"/>
          <w:sz w:val="21"/>
          <w:szCs w:val="21"/>
        </w:rPr>
        <w:t>de objetivos o resultados, de diseño y de consistencia y resultados.</w:t>
      </w:r>
    </w:p>
    <w:p w14:paraId="168C7DB9" w14:textId="77777777" w:rsidR="00313CE6" w:rsidRDefault="00313CE6" w:rsidP="00313CE6">
      <w:pPr>
        <w:autoSpaceDE w:val="0"/>
        <w:autoSpaceDN w:val="0"/>
        <w:adjustRightInd w:val="0"/>
        <w:jc w:val="both"/>
        <w:rPr>
          <w:rFonts w:ascii="Abadi" w:hAnsi="Abadi" w:cs="*Arial-5718-Identity-H"/>
          <w:color w:val="15141C"/>
          <w:sz w:val="21"/>
          <w:szCs w:val="21"/>
        </w:rPr>
      </w:pPr>
    </w:p>
    <w:p w14:paraId="26BFE62B" w14:textId="77777777" w:rsidR="00313CE6" w:rsidRDefault="00313CE6" w:rsidP="00313CE6">
      <w:pPr>
        <w:autoSpaceDE w:val="0"/>
        <w:autoSpaceDN w:val="0"/>
        <w:adjustRightInd w:val="0"/>
        <w:ind w:firstLine="708"/>
        <w:jc w:val="both"/>
        <w:rPr>
          <w:rFonts w:ascii="Abadi" w:hAnsi="Abadi" w:cs="*Arial-5718-Identity-H"/>
          <w:color w:val="14141B"/>
          <w:sz w:val="21"/>
          <w:szCs w:val="21"/>
        </w:rPr>
      </w:pPr>
      <w:r w:rsidRPr="00C45D54">
        <w:rPr>
          <w:rFonts w:ascii="Abadi" w:hAnsi="Abadi" w:cs="*Arial-5718-Identity-H"/>
          <w:color w:val="14141B"/>
          <w:sz w:val="21"/>
          <w:szCs w:val="21"/>
        </w:rPr>
        <w:t>En la auditoría que nos ocupa se aplicó un enfoque de resultados y se</w:t>
      </w:r>
      <w:r>
        <w:rPr>
          <w:rFonts w:ascii="Abadi" w:hAnsi="Abadi" w:cs="*Arial-5718-Identity-H"/>
          <w:color w:val="14141B"/>
          <w:sz w:val="21"/>
          <w:szCs w:val="21"/>
        </w:rPr>
        <w:t xml:space="preserve"> </w:t>
      </w:r>
      <w:r w:rsidRPr="00C45D54">
        <w:rPr>
          <w:rFonts w:ascii="Abadi" w:hAnsi="Abadi" w:cs="*Arial-5718-Identity-H"/>
          <w:color w:val="14141B"/>
          <w:sz w:val="21"/>
          <w:szCs w:val="21"/>
        </w:rPr>
        <w:t>incluyó en el Programa General de Fiscalización 2021, considerando diversos</w:t>
      </w:r>
      <w:r>
        <w:rPr>
          <w:rFonts w:ascii="Abadi" w:hAnsi="Abadi" w:cs="*Arial-5718-Identity-H"/>
          <w:color w:val="14141B"/>
          <w:sz w:val="21"/>
          <w:szCs w:val="21"/>
        </w:rPr>
        <w:t xml:space="preserve"> </w:t>
      </w:r>
      <w:r w:rsidRPr="00C45D54">
        <w:rPr>
          <w:rFonts w:ascii="Abadi" w:hAnsi="Abadi" w:cs="*Arial-5718-Identity-H"/>
          <w:color w:val="14141B"/>
          <w:sz w:val="21"/>
          <w:szCs w:val="21"/>
        </w:rPr>
        <w:t>criterios metodológicos expuestos en dicho Programa.</w:t>
      </w:r>
      <w:r>
        <w:rPr>
          <w:rFonts w:ascii="Abadi" w:hAnsi="Abadi" w:cs="*Arial-5718-Identity-H"/>
          <w:color w:val="14141B"/>
          <w:sz w:val="21"/>
          <w:szCs w:val="21"/>
        </w:rPr>
        <w:t xml:space="preserve"> </w:t>
      </w:r>
    </w:p>
    <w:p w14:paraId="2AEDCFCC" w14:textId="77777777" w:rsidR="00313CE6" w:rsidRDefault="00313CE6" w:rsidP="00313CE6">
      <w:pPr>
        <w:autoSpaceDE w:val="0"/>
        <w:autoSpaceDN w:val="0"/>
        <w:adjustRightInd w:val="0"/>
        <w:jc w:val="both"/>
        <w:rPr>
          <w:rFonts w:ascii="Abadi" w:hAnsi="Abadi" w:cs="*Arial-5718-Identity-H"/>
          <w:color w:val="14141B"/>
          <w:sz w:val="21"/>
          <w:szCs w:val="21"/>
        </w:rPr>
      </w:pPr>
    </w:p>
    <w:p w14:paraId="0049863A" w14:textId="77777777" w:rsidR="00313CE6" w:rsidRPr="00C45D54" w:rsidRDefault="00313CE6" w:rsidP="00313CE6">
      <w:pPr>
        <w:autoSpaceDE w:val="0"/>
        <w:autoSpaceDN w:val="0"/>
        <w:adjustRightInd w:val="0"/>
        <w:jc w:val="both"/>
        <w:rPr>
          <w:rFonts w:ascii="Abadi" w:hAnsi="Abadi" w:cs="*Arial-5718-Identity-H"/>
          <w:color w:val="14141B"/>
          <w:sz w:val="21"/>
          <w:szCs w:val="21"/>
        </w:rPr>
      </w:pPr>
    </w:p>
    <w:p w14:paraId="1FAF0CA1" w14:textId="77777777" w:rsidR="00313CE6" w:rsidRDefault="00313CE6" w:rsidP="00313CE6">
      <w:pPr>
        <w:autoSpaceDE w:val="0"/>
        <w:autoSpaceDN w:val="0"/>
        <w:adjustRightInd w:val="0"/>
        <w:ind w:firstLine="708"/>
        <w:jc w:val="both"/>
        <w:rPr>
          <w:rFonts w:ascii="Abadi" w:hAnsi="Abadi" w:cs="*Arial-5718-Identity-H"/>
          <w:color w:val="15141C"/>
          <w:sz w:val="21"/>
          <w:szCs w:val="21"/>
        </w:rPr>
      </w:pPr>
      <w:r w:rsidRPr="00C45D54">
        <w:rPr>
          <w:rFonts w:ascii="Abadi" w:hAnsi="Abadi" w:cs="*Arial-5718-Identity-H"/>
          <w:color w:val="15141C"/>
          <w:sz w:val="21"/>
          <w:szCs w:val="21"/>
        </w:rPr>
        <w:t>Dicha auditoría tuvo como objetivo general verificar la capacidad del</w:t>
      </w:r>
      <w:r>
        <w:rPr>
          <w:rFonts w:ascii="Abadi" w:hAnsi="Abadi" w:cs="*Arial-5718-Identity-H"/>
          <w:color w:val="15141C"/>
          <w:sz w:val="21"/>
          <w:szCs w:val="21"/>
        </w:rPr>
        <w:t xml:space="preserve"> </w:t>
      </w:r>
      <w:r w:rsidRPr="00C45D54">
        <w:rPr>
          <w:rFonts w:ascii="Abadi" w:hAnsi="Abadi" w:cs="*Arial-5718-Identity-H"/>
          <w:color w:val="15141C"/>
          <w:sz w:val="21"/>
          <w:szCs w:val="21"/>
        </w:rPr>
        <w:t>Municipio para la prestación eficaz del servicio de alumbrado público y la eficiencia</w:t>
      </w:r>
      <w:r>
        <w:rPr>
          <w:rFonts w:ascii="Abadi" w:hAnsi="Abadi" w:cs="*Arial-5718-Identity-H"/>
          <w:color w:val="15141C"/>
          <w:sz w:val="21"/>
          <w:szCs w:val="21"/>
        </w:rPr>
        <w:t xml:space="preserve"> </w:t>
      </w:r>
      <w:r w:rsidRPr="00C45D54">
        <w:rPr>
          <w:rFonts w:ascii="Abadi" w:hAnsi="Abadi" w:cs="*Arial-5718-Identity-H"/>
          <w:color w:val="15141C"/>
          <w:sz w:val="21"/>
          <w:szCs w:val="21"/>
        </w:rPr>
        <w:t>en sus funciones de planificación, operación y seguimiento.</w:t>
      </w:r>
    </w:p>
    <w:p w14:paraId="198440C1" w14:textId="77777777" w:rsidR="00313CE6" w:rsidRPr="00C45D54" w:rsidRDefault="00313CE6" w:rsidP="00313CE6">
      <w:pPr>
        <w:autoSpaceDE w:val="0"/>
        <w:autoSpaceDN w:val="0"/>
        <w:adjustRightInd w:val="0"/>
        <w:jc w:val="both"/>
        <w:rPr>
          <w:rFonts w:ascii="Abadi" w:hAnsi="Abadi" w:cs="*Arial-5718-Identity-H"/>
          <w:color w:val="15141C"/>
          <w:sz w:val="21"/>
          <w:szCs w:val="21"/>
        </w:rPr>
      </w:pPr>
    </w:p>
    <w:p w14:paraId="4F65BBDA" w14:textId="76621EB0" w:rsidR="00313CE6" w:rsidRDefault="00313CE6" w:rsidP="00707093">
      <w:pPr>
        <w:autoSpaceDE w:val="0"/>
        <w:autoSpaceDN w:val="0"/>
        <w:adjustRightInd w:val="0"/>
        <w:ind w:firstLine="708"/>
        <w:jc w:val="both"/>
        <w:rPr>
          <w:rFonts w:ascii="Abadi" w:hAnsi="Abadi" w:cs="*Arial-8049-Identity-H"/>
          <w:color w:val="14131C"/>
          <w:sz w:val="21"/>
          <w:szCs w:val="21"/>
        </w:rPr>
      </w:pPr>
      <w:r w:rsidRPr="00C45D54">
        <w:rPr>
          <w:rFonts w:ascii="Abadi" w:hAnsi="Abadi" w:cs="*Arial-5718-Identity-H"/>
          <w:color w:val="14131C"/>
          <w:sz w:val="21"/>
          <w:szCs w:val="21"/>
        </w:rPr>
        <w:t>En cuanto a la temporalidad, el alcance de la auditoría abarcó el periodo</w:t>
      </w:r>
      <w:r>
        <w:rPr>
          <w:rFonts w:ascii="Abadi" w:hAnsi="Abadi" w:cs="*Arial-5718-Identity-H"/>
          <w:color w:val="14131C"/>
          <w:sz w:val="21"/>
          <w:szCs w:val="21"/>
        </w:rPr>
        <w:t xml:space="preserve"> </w:t>
      </w:r>
      <w:r w:rsidRPr="00C45D54">
        <w:rPr>
          <w:rFonts w:ascii="Abadi" w:hAnsi="Abadi" w:cs="*Arial-5718-Identity-H"/>
          <w:color w:val="14131C"/>
          <w:sz w:val="21"/>
          <w:szCs w:val="21"/>
        </w:rPr>
        <w:t>comprendido de enero a diciembre del ejercicio fiscal 2020; asimismo, respecto a</w:t>
      </w:r>
      <w:r>
        <w:rPr>
          <w:rFonts w:ascii="Abadi" w:hAnsi="Abadi" w:cs="*Arial-5718-Identity-H"/>
          <w:color w:val="14131C"/>
          <w:sz w:val="21"/>
          <w:szCs w:val="21"/>
        </w:rPr>
        <w:t xml:space="preserve"> </w:t>
      </w:r>
      <w:r w:rsidRPr="00C45D54">
        <w:rPr>
          <w:rFonts w:ascii="Abadi" w:hAnsi="Abadi" w:cs="*Arial-5718-Identity-H"/>
          <w:color w:val="14131C"/>
          <w:sz w:val="21"/>
          <w:szCs w:val="21"/>
        </w:rPr>
        <w:t>la profundidad temática se revisó la eficiencia en la gestión de la información que</w:t>
      </w:r>
      <w:r>
        <w:rPr>
          <w:rFonts w:ascii="Abadi" w:hAnsi="Abadi" w:cs="*Arial-5718-Identity-H"/>
          <w:color w:val="14131C"/>
          <w:sz w:val="21"/>
          <w:szCs w:val="21"/>
        </w:rPr>
        <w:t xml:space="preserve"> </w:t>
      </w:r>
      <w:r w:rsidRPr="00C45D54">
        <w:rPr>
          <w:rFonts w:ascii="Abadi" w:hAnsi="Abadi" w:cs="*Arial-5718-Identity-H"/>
          <w:color w:val="14131C"/>
          <w:sz w:val="21"/>
          <w:szCs w:val="21"/>
        </w:rPr>
        <w:t>dispone el Municipio para identificar la estimación tanto de la oferta del servicio de</w:t>
      </w:r>
      <w:r>
        <w:rPr>
          <w:rFonts w:ascii="Abadi" w:hAnsi="Abadi" w:cs="*Arial-5718-Identity-H"/>
          <w:color w:val="14131C"/>
          <w:sz w:val="21"/>
          <w:szCs w:val="21"/>
        </w:rPr>
        <w:t xml:space="preserve"> </w:t>
      </w:r>
      <w:r w:rsidRPr="00C45D54">
        <w:rPr>
          <w:rFonts w:ascii="Abadi" w:hAnsi="Abadi" w:cs="*Arial-5718-Identity-H"/>
          <w:color w:val="14131C"/>
          <w:sz w:val="21"/>
          <w:szCs w:val="21"/>
        </w:rPr>
        <w:t>alumbrado público como de los recursos necesarios para su implementación;</w:t>
      </w:r>
      <w:r>
        <w:rPr>
          <w:rFonts w:ascii="Abadi" w:hAnsi="Abadi" w:cs="*Arial-5718-Identity-H"/>
          <w:color w:val="14131C"/>
          <w:sz w:val="21"/>
          <w:szCs w:val="21"/>
        </w:rPr>
        <w:t xml:space="preserve"> </w:t>
      </w:r>
      <w:r w:rsidRPr="00C45D54">
        <w:rPr>
          <w:rFonts w:ascii="Abadi" w:hAnsi="Abadi" w:cs="*Arial-5718-Identity-H"/>
          <w:color w:val="14131C"/>
          <w:sz w:val="21"/>
          <w:szCs w:val="21"/>
        </w:rPr>
        <w:t>sobre el estado que guarda la organización del Municipio para brindar el servicio</w:t>
      </w:r>
      <w:r w:rsidR="00707093">
        <w:rPr>
          <w:rFonts w:ascii="Abadi" w:hAnsi="Abadi" w:cs="*Arial-5718-Identity-H"/>
          <w:color w:val="14131C"/>
          <w:sz w:val="21"/>
          <w:szCs w:val="21"/>
        </w:rPr>
        <w:t xml:space="preserve"> </w:t>
      </w:r>
      <w:r w:rsidRPr="00C45D54">
        <w:rPr>
          <w:rFonts w:ascii="Abadi" w:hAnsi="Abadi" w:cs="*Arial-5718-Identity-H"/>
          <w:color w:val="14131C"/>
          <w:sz w:val="21"/>
          <w:szCs w:val="21"/>
        </w:rPr>
        <w:t>de alumbrado público y la gestión de la calidad sobre sus procesos clave; y el uso</w:t>
      </w:r>
      <w:r>
        <w:rPr>
          <w:rFonts w:ascii="Abadi" w:hAnsi="Abadi" w:cs="*Arial-5718-Identity-H"/>
          <w:color w:val="14131C"/>
          <w:sz w:val="21"/>
          <w:szCs w:val="21"/>
        </w:rPr>
        <w:t xml:space="preserve"> </w:t>
      </w:r>
      <w:r w:rsidRPr="00C45D54">
        <w:rPr>
          <w:rFonts w:ascii="Abadi" w:hAnsi="Abadi" w:cs="*Arial-5718-Identity-H"/>
          <w:color w:val="14131C"/>
          <w:sz w:val="21"/>
          <w:szCs w:val="21"/>
        </w:rPr>
        <w:t>de herramientas para la planificación operativa y el seguimiento de las actividades</w:t>
      </w:r>
      <w:r>
        <w:rPr>
          <w:rFonts w:ascii="Abadi" w:hAnsi="Abadi" w:cs="*Arial-5718-Identity-H"/>
          <w:color w:val="14131C"/>
          <w:sz w:val="21"/>
          <w:szCs w:val="21"/>
        </w:rPr>
        <w:t xml:space="preserve"> </w:t>
      </w:r>
      <w:r w:rsidRPr="00C45D54">
        <w:rPr>
          <w:rFonts w:ascii="Abadi" w:hAnsi="Abadi" w:cs="*Arial-5718-Identity-H"/>
          <w:color w:val="14131C"/>
          <w:sz w:val="21"/>
          <w:szCs w:val="21"/>
        </w:rPr>
        <w:t>vinculadas a la atención de reportes por fallas en el 'servicio. Así como, la eficacia</w:t>
      </w:r>
      <w:r>
        <w:rPr>
          <w:rFonts w:ascii="Abadi" w:hAnsi="Abadi" w:cs="*Arial-5718-Identity-H"/>
          <w:color w:val="14131C"/>
          <w:sz w:val="21"/>
          <w:szCs w:val="21"/>
        </w:rPr>
        <w:t xml:space="preserve"> </w:t>
      </w:r>
      <w:r w:rsidRPr="00C45D54">
        <w:rPr>
          <w:rFonts w:ascii="Abadi" w:hAnsi="Abadi" w:cs="*Arial-5718-Identity-H"/>
          <w:color w:val="14131C"/>
          <w:sz w:val="21"/>
          <w:szCs w:val="21"/>
        </w:rPr>
        <w:t>en los resultados de la capacidad municipal en la prestación del servicio de</w:t>
      </w:r>
      <w:r>
        <w:rPr>
          <w:rFonts w:ascii="Abadi" w:hAnsi="Abadi" w:cs="*Arial-5718-Identity-H"/>
          <w:color w:val="14131C"/>
          <w:sz w:val="21"/>
          <w:szCs w:val="21"/>
        </w:rPr>
        <w:t xml:space="preserve"> </w:t>
      </w:r>
      <w:r w:rsidRPr="00C45D54">
        <w:rPr>
          <w:rFonts w:ascii="Abadi" w:hAnsi="Abadi" w:cs="*Arial-5718-Identity-H"/>
          <w:color w:val="14131C"/>
          <w:sz w:val="21"/>
          <w:szCs w:val="21"/>
        </w:rPr>
        <w:t>alumbrado público en el ejercicio 2020 a partir del grado de funcionamiento de las</w:t>
      </w:r>
      <w:r>
        <w:rPr>
          <w:rFonts w:ascii="Abadi" w:hAnsi="Abadi" w:cs="*Arial-5718-Identity-H"/>
          <w:color w:val="14131C"/>
          <w:sz w:val="21"/>
          <w:szCs w:val="21"/>
        </w:rPr>
        <w:t xml:space="preserve"> </w:t>
      </w:r>
      <w:r w:rsidRPr="00C45D54">
        <w:rPr>
          <w:rFonts w:ascii="Abadi" w:hAnsi="Abadi" w:cs="*Arial-5718-Identity-H"/>
          <w:color w:val="14131C"/>
          <w:sz w:val="21"/>
          <w:szCs w:val="21"/>
        </w:rPr>
        <w:t>luminarias que lo conforman, la cobertura lograda y la satisfacción ciudadana</w:t>
      </w:r>
      <w:r w:rsidR="00707093">
        <w:rPr>
          <w:rFonts w:ascii="Abadi" w:hAnsi="Abadi" w:cs="*Arial-5718-Identity-H"/>
          <w:color w:val="14131C"/>
          <w:sz w:val="21"/>
          <w:szCs w:val="21"/>
        </w:rPr>
        <w:t xml:space="preserve"> </w:t>
      </w:r>
      <w:r w:rsidRPr="00C45D54">
        <w:rPr>
          <w:rFonts w:ascii="Abadi" w:hAnsi="Abadi" w:cs="*Arial-8049-Identity-H"/>
          <w:color w:val="14131C"/>
          <w:sz w:val="21"/>
          <w:szCs w:val="21"/>
        </w:rPr>
        <w:t>sobre el servicio, y de la relevancia y suficiencia de los mecanismos que permiten</w:t>
      </w:r>
      <w:r>
        <w:rPr>
          <w:rFonts w:ascii="Abadi" w:hAnsi="Abadi" w:cs="*Arial-8049-Identity-H"/>
          <w:color w:val="14131C"/>
          <w:sz w:val="21"/>
          <w:szCs w:val="21"/>
        </w:rPr>
        <w:t xml:space="preserve"> </w:t>
      </w:r>
      <w:r w:rsidRPr="00C45D54">
        <w:rPr>
          <w:rFonts w:ascii="Abadi" w:hAnsi="Abadi" w:cs="*Arial-8049-Identity-H"/>
          <w:color w:val="14131C"/>
          <w:sz w:val="21"/>
          <w:szCs w:val="21"/>
        </w:rPr>
        <w:t>monitorear el desempeño y los resultados del servicio.</w:t>
      </w:r>
      <w:r>
        <w:rPr>
          <w:rFonts w:ascii="Abadi" w:hAnsi="Abadi" w:cs="*Arial-8049-Identity-H"/>
          <w:color w:val="14131C"/>
          <w:sz w:val="21"/>
          <w:szCs w:val="21"/>
        </w:rPr>
        <w:t xml:space="preserve"> </w:t>
      </w:r>
    </w:p>
    <w:p w14:paraId="0CE488F1" w14:textId="77777777" w:rsidR="00313CE6" w:rsidRDefault="00313CE6" w:rsidP="00313CE6">
      <w:pPr>
        <w:autoSpaceDE w:val="0"/>
        <w:autoSpaceDN w:val="0"/>
        <w:adjustRightInd w:val="0"/>
        <w:jc w:val="both"/>
        <w:rPr>
          <w:rFonts w:ascii="Abadi" w:hAnsi="Abadi" w:cs="*Arial-8049-Identity-H"/>
          <w:color w:val="14131C"/>
          <w:sz w:val="21"/>
          <w:szCs w:val="21"/>
        </w:rPr>
      </w:pPr>
    </w:p>
    <w:p w14:paraId="36664ADC" w14:textId="77777777" w:rsidR="00313CE6" w:rsidRDefault="00313CE6" w:rsidP="00313CE6">
      <w:pPr>
        <w:autoSpaceDE w:val="0"/>
        <w:autoSpaceDN w:val="0"/>
        <w:adjustRightInd w:val="0"/>
        <w:ind w:firstLine="708"/>
        <w:jc w:val="both"/>
        <w:rPr>
          <w:rFonts w:ascii="Abadi" w:hAnsi="Abadi" w:cs="*Arial-8049-Identity-H"/>
          <w:color w:val="14131B"/>
          <w:sz w:val="21"/>
          <w:szCs w:val="21"/>
        </w:rPr>
      </w:pPr>
      <w:r w:rsidRPr="00C45D54">
        <w:rPr>
          <w:rFonts w:ascii="Abadi" w:hAnsi="Abadi" w:cs="*Arial-8049-Identity-H"/>
          <w:color w:val="14131B"/>
          <w:sz w:val="21"/>
          <w:szCs w:val="21"/>
        </w:rPr>
        <w:t>Respecto a los antecedentes del proceso de fiscalización, estos ya se</w:t>
      </w:r>
      <w:r>
        <w:rPr>
          <w:rFonts w:ascii="Abadi" w:hAnsi="Abadi" w:cs="*Arial-8049-Identity-H"/>
          <w:color w:val="14131B"/>
          <w:sz w:val="21"/>
          <w:szCs w:val="21"/>
        </w:rPr>
        <w:t xml:space="preserve"> </w:t>
      </w:r>
      <w:r w:rsidRPr="00C45D54">
        <w:rPr>
          <w:rFonts w:ascii="Abadi" w:hAnsi="Abadi" w:cs="*Arial-8049-Identity-H"/>
          <w:color w:val="14131B"/>
          <w:sz w:val="21"/>
          <w:szCs w:val="21"/>
        </w:rPr>
        <w:t>detallaron en el apartado correspondiente.</w:t>
      </w:r>
    </w:p>
    <w:p w14:paraId="0D52B470" w14:textId="77777777" w:rsidR="00313CE6" w:rsidRPr="00C45D54" w:rsidRDefault="00313CE6" w:rsidP="00313CE6">
      <w:pPr>
        <w:autoSpaceDE w:val="0"/>
        <w:autoSpaceDN w:val="0"/>
        <w:adjustRightInd w:val="0"/>
        <w:jc w:val="both"/>
        <w:rPr>
          <w:rFonts w:ascii="Abadi" w:hAnsi="Abadi" w:cs="*Arial-8049-Identity-H"/>
          <w:color w:val="14131B"/>
          <w:sz w:val="21"/>
          <w:szCs w:val="21"/>
        </w:rPr>
      </w:pPr>
    </w:p>
    <w:p w14:paraId="38E0F059" w14:textId="77777777" w:rsidR="00313CE6" w:rsidRDefault="00313CE6" w:rsidP="00313CE6">
      <w:pPr>
        <w:autoSpaceDE w:val="0"/>
        <w:autoSpaceDN w:val="0"/>
        <w:adjustRightInd w:val="0"/>
        <w:ind w:firstLine="708"/>
        <w:jc w:val="both"/>
        <w:rPr>
          <w:rFonts w:ascii="Abadi" w:hAnsi="Abadi" w:cs="*Arial-8049-Identity-H"/>
          <w:color w:val="14131B"/>
          <w:sz w:val="21"/>
          <w:szCs w:val="21"/>
        </w:rPr>
      </w:pPr>
      <w:r w:rsidRPr="00C45D54">
        <w:rPr>
          <w:rFonts w:ascii="Abadi" w:hAnsi="Abadi" w:cs="*Arial-8049-Identity-H"/>
          <w:color w:val="14131B"/>
          <w:sz w:val="21"/>
          <w:szCs w:val="21"/>
        </w:rPr>
        <w:t>En cuanto al contexto de la política pública de la materia a auditar, se</w:t>
      </w:r>
      <w:r>
        <w:rPr>
          <w:rFonts w:ascii="Abadi" w:hAnsi="Abadi" w:cs="*Arial-8049-Identity-H"/>
          <w:color w:val="14131B"/>
          <w:sz w:val="21"/>
          <w:szCs w:val="21"/>
        </w:rPr>
        <w:t xml:space="preserve"> </w:t>
      </w:r>
      <w:r w:rsidRPr="00C45D54">
        <w:rPr>
          <w:rFonts w:ascii="Abadi" w:hAnsi="Abadi" w:cs="*Arial-8049-Identity-H"/>
          <w:color w:val="14131B"/>
          <w:sz w:val="21"/>
          <w:szCs w:val="21"/>
        </w:rPr>
        <w:t>refiere que el Municipio libre es la base de la división territorial del Estado, de su</w:t>
      </w:r>
      <w:r>
        <w:rPr>
          <w:rFonts w:ascii="Abadi" w:hAnsi="Abadi" w:cs="*Arial-8049-Identity-H"/>
          <w:color w:val="14131B"/>
          <w:sz w:val="21"/>
          <w:szCs w:val="21"/>
        </w:rPr>
        <w:t xml:space="preserve"> </w:t>
      </w:r>
      <w:r w:rsidRPr="00C45D54">
        <w:rPr>
          <w:rFonts w:ascii="Abadi" w:hAnsi="Abadi" w:cs="*Arial-8049-Identity-H"/>
          <w:color w:val="14131B"/>
          <w:sz w:val="21"/>
          <w:szCs w:val="21"/>
        </w:rPr>
        <w:t>organización política y administrativa, y como principio de legalidad la autoridad</w:t>
      </w:r>
      <w:r>
        <w:rPr>
          <w:rFonts w:ascii="Abadi" w:hAnsi="Abadi" w:cs="*Arial-8049-Identity-H"/>
          <w:color w:val="14131B"/>
          <w:sz w:val="21"/>
          <w:szCs w:val="21"/>
        </w:rPr>
        <w:t xml:space="preserve"> </w:t>
      </w:r>
      <w:r w:rsidRPr="00C45D54">
        <w:rPr>
          <w:rFonts w:ascii="Abadi" w:hAnsi="Abadi" w:cs="*Arial-8049-Identity-H"/>
          <w:color w:val="14131B"/>
          <w:sz w:val="21"/>
          <w:szCs w:val="21"/>
        </w:rPr>
        <w:t>municipal puede hacer únicamente lo que la ley le concede, encontrándose dentro</w:t>
      </w:r>
      <w:r>
        <w:rPr>
          <w:rFonts w:ascii="Abadi" w:hAnsi="Abadi" w:cs="*Arial-8049-Identity-H"/>
          <w:color w:val="14131B"/>
          <w:sz w:val="21"/>
          <w:szCs w:val="21"/>
        </w:rPr>
        <w:t xml:space="preserve"> </w:t>
      </w:r>
      <w:r w:rsidRPr="00C45D54">
        <w:rPr>
          <w:rFonts w:ascii="Abadi" w:hAnsi="Abadi" w:cs="*Arial-8049-Identity-H"/>
          <w:color w:val="14131B"/>
          <w:sz w:val="21"/>
          <w:szCs w:val="21"/>
        </w:rPr>
        <w:t>de sus atribuciones la de otorgar los servicios públicos al Municipio.</w:t>
      </w:r>
    </w:p>
    <w:p w14:paraId="287160FF" w14:textId="77777777" w:rsidR="00313CE6" w:rsidRPr="00C45D54" w:rsidRDefault="00313CE6" w:rsidP="00313CE6">
      <w:pPr>
        <w:autoSpaceDE w:val="0"/>
        <w:autoSpaceDN w:val="0"/>
        <w:adjustRightInd w:val="0"/>
        <w:jc w:val="both"/>
        <w:rPr>
          <w:rFonts w:ascii="Abadi" w:hAnsi="Abadi" w:cs="*Arial-8049-Identity-H"/>
          <w:color w:val="14131B"/>
          <w:sz w:val="21"/>
          <w:szCs w:val="21"/>
        </w:rPr>
      </w:pPr>
    </w:p>
    <w:p w14:paraId="20A2E83C" w14:textId="77777777" w:rsidR="00313CE6" w:rsidRDefault="00313CE6" w:rsidP="00313CE6">
      <w:pPr>
        <w:autoSpaceDE w:val="0"/>
        <w:autoSpaceDN w:val="0"/>
        <w:adjustRightInd w:val="0"/>
        <w:ind w:firstLine="708"/>
        <w:jc w:val="both"/>
        <w:rPr>
          <w:rFonts w:ascii="Abadi" w:hAnsi="Abadi" w:cs="*Times New Roman-Italic-8040-Id"/>
          <w:i/>
          <w:iCs/>
          <w:color w:val="14131B"/>
          <w:sz w:val="21"/>
          <w:szCs w:val="21"/>
        </w:rPr>
      </w:pPr>
      <w:r w:rsidRPr="00C45D54">
        <w:rPr>
          <w:rFonts w:ascii="Abadi" w:hAnsi="Abadi" w:cs="*Arial-8049-Identity-H"/>
          <w:color w:val="14131B"/>
          <w:sz w:val="21"/>
          <w:szCs w:val="21"/>
        </w:rPr>
        <w:t xml:space="preserve">También se precisa que el servicio público </w:t>
      </w:r>
      <w:r w:rsidRPr="00C45D54">
        <w:rPr>
          <w:rFonts w:ascii="Abadi" w:hAnsi="Abadi" w:cs="*Arial-Italic-8050-Identity-H"/>
          <w:i/>
          <w:iCs/>
          <w:color w:val="14131B"/>
          <w:sz w:val="21"/>
          <w:szCs w:val="21"/>
        </w:rPr>
        <w:t>«es la institución jurídica</w:t>
      </w:r>
      <w:r>
        <w:rPr>
          <w:rFonts w:ascii="Abadi" w:hAnsi="Abadi" w:cs="*Arial-Italic-8050-Identity-H"/>
          <w:i/>
          <w:iCs/>
          <w:color w:val="14131B"/>
          <w:sz w:val="21"/>
          <w:szCs w:val="21"/>
        </w:rPr>
        <w:t xml:space="preserve"> </w:t>
      </w:r>
      <w:r w:rsidRPr="00C45D54">
        <w:rPr>
          <w:rFonts w:ascii="Abadi" w:hAnsi="Abadi" w:cs="*Arial-Italic-8050-Identity-H"/>
          <w:i/>
          <w:iCs/>
          <w:color w:val="14131B"/>
          <w:sz w:val="21"/>
          <w:szCs w:val="21"/>
        </w:rPr>
        <w:t>administrativa en la que el titular es el Estado (municipio) y cuya única finalidad</w:t>
      </w:r>
      <w:r>
        <w:rPr>
          <w:rFonts w:ascii="Abadi" w:hAnsi="Abadi" w:cs="*Arial-Italic-8050-Identity-H"/>
          <w:i/>
          <w:iCs/>
          <w:color w:val="14131B"/>
          <w:sz w:val="21"/>
          <w:szCs w:val="21"/>
        </w:rPr>
        <w:t xml:space="preserve"> </w:t>
      </w:r>
      <w:r w:rsidRPr="00C45D54">
        <w:rPr>
          <w:rFonts w:ascii="Abadi" w:hAnsi="Abadi" w:cs="*Arial-Italic-8050-Identity-H"/>
          <w:i/>
          <w:iCs/>
          <w:color w:val="14131B"/>
          <w:sz w:val="21"/>
          <w:szCs w:val="21"/>
        </w:rPr>
        <w:t>consiste en satisfacer de manera regular, continua y uniforme necesidades</w:t>
      </w:r>
      <w:r>
        <w:rPr>
          <w:rFonts w:ascii="Abadi" w:hAnsi="Abadi" w:cs="*Arial-Italic-8050-Identity-H"/>
          <w:i/>
          <w:iCs/>
          <w:color w:val="14131B"/>
          <w:sz w:val="21"/>
          <w:szCs w:val="21"/>
        </w:rPr>
        <w:t xml:space="preserve"> </w:t>
      </w:r>
      <w:r w:rsidRPr="00C45D54">
        <w:rPr>
          <w:rFonts w:ascii="Abadi" w:hAnsi="Abadi" w:cs="*Arial-Italic-8050-Identity-H"/>
          <w:i/>
          <w:iCs/>
          <w:color w:val="14131B"/>
          <w:sz w:val="21"/>
          <w:szCs w:val="21"/>
        </w:rPr>
        <w:t>públicas de carácter esencial, básico o fundamental; se concreta a través de las</w:t>
      </w:r>
      <w:r>
        <w:rPr>
          <w:rFonts w:ascii="Abadi" w:hAnsi="Abadi" w:cs="*Arial-Italic-8050-Identity-H"/>
          <w:i/>
          <w:iCs/>
          <w:color w:val="14131B"/>
          <w:sz w:val="21"/>
          <w:szCs w:val="21"/>
        </w:rPr>
        <w:t xml:space="preserve"> </w:t>
      </w:r>
      <w:r w:rsidRPr="00C45D54">
        <w:rPr>
          <w:rFonts w:ascii="Abadi" w:hAnsi="Abadi" w:cs="*Arial-Italic-8050-Identity-H"/>
          <w:i/>
          <w:iCs/>
          <w:color w:val="14131B"/>
          <w:sz w:val="21"/>
          <w:szCs w:val="21"/>
        </w:rPr>
        <w:t>prestaciones individua</w:t>
      </w:r>
      <w:r>
        <w:rPr>
          <w:rFonts w:ascii="Abadi" w:hAnsi="Abadi" w:cs="*Arial-Italic-8050-Identity-H"/>
          <w:i/>
          <w:iCs/>
          <w:color w:val="14131B"/>
          <w:sz w:val="21"/>
          <w:szCs w:val="21"/>
        </w:rPr>
        <w:t>li</w:t>
      </w:r>
      <w:r w:rsidRPr="00C45D54">
        <w:rPr>
          <w:rFonts w:ascii="Abadi" w:hAnsi="Abadi" w:cs="*Arial-Italic-8050-Identity-H"/>
          <w:i/>
          <w:iCs/>
          <w:color w:val="14131B"/>
          <w:sz w:val="21"/>
          <w:szCs w:val="21"/>
        </w:rPr>
        <w:t>zadas las cuales podrán ser suministradas directamente</w:t>
      </w:r>
      <w:r>
        <w:rPr>
          <w:rFonts w:ascii="Abadi" w:hAnsi="Abadi" w:cs="*Arial-Italic-8050-Identity-H"/>
          <w:i/>
          <w:iCs/>
          <w:color w:val="14131B"/>
          <w:sz w:val="21"/>
          <w:szCs w:val="21"/>
        </w:rPr>
        <w:t xml:space="preserve"> </w:t>
      </w:r>
      <w:r w:rsidRPr="00C45D54">
        <w:rPr>
          <w:rFonts w:ascii="Abadi" w:hAnsi="Abadi" w:cs="*Arial-Italic-8050-Identity-H"/>
          <w:i/>
          <w:iCs/>
          <w:color w:val="14131B"/>
          <w:sz w:val="21"/>
          <w:szCs w:val="21"/>
        </w:rPr>
        <w:t xml:space="preserve">por el Estado (municipio) </w:t>
      </w:r>
      <w:r w:rsidRPr="00C45D54">
        <w:rPr>
          <w:rFonts w:ascii="Abadi" w:hAnsi="Abadi" w:cs="*Arial-8049-Identity-H"/>
          <w:color w:val="14131B"/>
          <w:sz w:val="21"/>
          <w:szCs w:val="21"/>
        </w:rPr>
        <w:t xml:space="preserve">o </w:t>
      </w:r>
      <w:r w:rsidRPr="00C45D54">
        <w:rPr>
          <w:rFonts w:ascii="Abadi" w:hAnsi="Abadi" w:cs="*Arial-Italic-8050-Identity-H"/>
          <w:i/>
          <w:iCs/>
          <w:color w:val="14131B"/>
          <w:sz w:val="21"/>
          <w:szCs w:val="21"/>
        </w:rPr>
        <w:t>por los particulares mediante concesión. Por su</w:t>
      </w:r>
      <w:r>
        <w:rPr>
          <w:rFonts w:ascii="Abadi" w:hAnsi="Abadi" w:cs="*Arial-Italic-8050-Identity-H"/>
          <w:i/>
          <w:iCs/>
          <w:color w:val="14131B"/>
          <w:sz w:val="21"/>
          <w:szCs w:val="21"/>
        </w:rPr>
        <w:t xml:space="preserve"> </w:t>
      </w:r>
      <w:r w:rsidRPr="00C45D54">
        <w:rPr>
          <w:rFonts w:ascii="Abadi" w:hAnsi="Abadi" w:cs="*Arial-Italic-8050-Identity-H"/>
          <w:i/>
          <w:iCs/>
          <w:color w:val="14131B"/>
          <w:sz w:val="21"/>
          <w:szCs w:val="21"/>
        </w:rPr>
        <w:t xml:space="preserve">naturaleza, estará sujeta a normas y principios de derecho público». </w:t>
      </w:r>
      <w:r w:rsidRPr="00C45D54">
        <w:rPr>
          <w:rFonts w:ascii="Abadi" w:hAnsi="Abadi" w:cs="*Times New Roman-Italic-8040-Id"/>
          <w:i/>
          <w:iCs/>
          <w:color w:val="14131B"/>
          <w:sz w:val="21"/>
          <w:szCs w:val="21"/>
        </w:rPr>
        <w:t>1</w:t>
      </w:r>
    </w:p>
    <w:p w14:paraId="24B41838" w14:textId="77777777" w:rsidR="00313CE6" w:rsidRPr="00C45D54" w:rsidRDefault="00313CE6" w:rsidP="00313CE6">
      <w:pPr>
        <w:autoSpaceDE w:val="0"/>
        <w:autoSpaceDN w:val="0"/>
        <w:adjustRightInd w:val="0"/>
        <w:jc w:val="both"/>
        <w:rPr>
          <w:rFonts w:ascii="Abadi" w:hAnsi="Abadi" w:cs="*Times New Roman-Italic-8040-Id"/>
          <w:i/>
          <w:iCs/>
          <w:color w:val="14131B"/>
          <w:sz w:val="21"/>
          <w:szCs w:val="21"/>
        </w:rPr>
      </w:pPr>
    </w:p>
    <w:p w14:paraId="2C11EEB1" w14:textId="77777777" w:rsidR="00313CE6" w:rsidRDefault="00313CE6" w:rsidP="00313CE6">
      <w:pPr>
        <w:autoSpaceDE w:val="0"/>
        <w:autoSpaceDN w:val="0"/>
        <w:adjustRightInd w:val="0"/>
        <w:ind w:firstLine="708"/>
        <w:jc w:val="both"/>
        <w:rPr>
          <w:rFonts w:ascii="Abadi" w:hAnsi="Abadi" w:cs="*Arial-8049-Identity-H"/>
          <w:color w:val="14131B"/>
          <w:sz w:val="21"/>
          <w:szCs w:val="21"/>
        </w:rPr>
      </w:pPr>
      <w:r w:rsidRPr="00C45D54">
        <w:rPr>
          <w:rFonts w:ascii="Abadi" w:hAnsi="Abadi" w:cs="*Arial-8049-Identity-H"/>
          <w:color w:val="14131B"/>
          <w:sz w:val="21"/>
          <w:szCs w:val="21"/>
        </w:rPr>
        <w:t>Por su parte, la Constitución Política de los Estados Unidos Mexicanos</w:t>
      </w:r>
      <w:r>
        <w:rPr>
          <w:rFonts w:ascii="Abadi" w:hAnsi="Abadi" w:cs="*Arial-8049-Identity-H"/>
          <w:color w:val="14131B"/>
          <w:sz w:val="21"/>
          <w:szCs w:val="21"/>
        </w:rPr>
        <w:t xml:space="preserve"> </w:t>
      </w:r>
      <w:r w:rsidRPr="00C45D54">
        <w:rPr>
          <w:rFonts w:ascii="Abadi" w:hAnsi="Abadi" w:cs="*Arial-8049-Identity-H"/>
          <w:color w:val="14131B"/>
          <w:sz w:val="21"/>
          <w:szCs w:val="21"/>
        </w:rPr>
        <w:t>establece en términos generales en su artículo 115 la base del municipio a través</w:t>
      </w:r>
      <w:r>
        <w:rPr>
          <w:rFonts w:ascii="Abadi" w:hAnsi="Abadi" w:cs="*Arial-8049-Identity-H"/>
          <w:color w:val="14131B"/>
          <w:sz w:val="21"/>
          <w:szCs w:val="21"/>
        </w:rPr>
        <w:t xml:space="preserve"> </w:t>
      </w:r>
      <w:r w:rsidRPr="00C45D54">
        <w:rPr>
          <w:rFonts w:ascii="Abadi" w:hAnsi="Abadi" w:cs="*Arial-8049-Identity-H"/>
          <w:color w:val="14131B"/>
          <w:sz w:val="21"/>
          <w:szCs w:val="21"/>
        </w:rPr>
        <w:t>de una organización política y administrativa, para lo cual ejercerá funciones</w:t>
      </w:r>
      <w:r>
        <w:rPr>
          <w:rFonts w:ascii="Abadi" w:hAnsi="Abadi" w:cs="*Arial-8049-Identity-H"/>
          <w:color w:val="14131B"/>
          <w:sz w:val="21"/>
          <w:szCs w:val="21"/>
        </w:rPr>
        <w:t xml:space="preserve"> </w:t>
      </w:r>
      <w:r w:rsidRPr="00C45D54">
        <w:rPr>
          <w:rFonts w:ascii="Abadi" w:hAnsi="Abadi" w:cs="*Arial-8049-Identity-H"/>
          <w:color w:val="14131B"/>
          <w:sz w:val="21"/>
          <w:szCs w:val="21"/>
        </w:rPr>
        <w:t>jurisdiccionales, legislativas y administrativas, contando con personalidad jurídica y</w:t>
      </w:r>
      <w:r>
        <w:rPr>
          <w:rFonts w:ascii="Abadi" w:hAnsi="Abadi" w:cs="*Arial-8049-Identity-H"/>
          <w:color w:val="14131B"/>
          <w:sz w:val="21"/>
          <w:szCs w:val="21"/>
        </w:rPr>
        <w:t xml:space="preserve"> </w:t>
      </w:r>
      <w:r w:rsidRPr="00C45D54">
        <w:rPr>
          <w:rFonts w:ascii="Abadi" w:hAnsi="Abadi" w:cs="*Arial-8049-Identity-H"/>
          <w:color w:val="14131B"/>
          <w:sz w:val="21"/>
          <w:szCs w:val="21"/>
        </w:rPr>
        <w:t>con facultades para manejar su patrimonio conforme a las leyes de la materia. En</w:t>
      </w:r>
      <w:r>
        <w:rPr>
          <w:rFonts w:ascii="Abadi" w:hAnsi="Abadi" w:cs="*Arial-8049-Identity-H"/>
          <w:color w:val="14131B"/>
          <w:sz w:val="21"/>
          <w:szCs w:val="21"/>
        </w:rPr>
        <w:t xml:space="preserve"> </w:t>
      </w:r>
      <w:r w:rsidRPr="00C45D54">
        <w:rPr>
          <w:rFonts w:ascii="Abadi" w:hAnsi="Abadi" w:cs="*Arial-8049-Identity-H"/>
          <w:color w:val="14131B"/>
          <w:sz w:val="21"/>
          <w:szCs w:val="21"/>
        </w:rPr>
        <w:t>este sentido, respecto a la prestación de los servicios públicos, el Municipio está</w:t>
      </w:r>
      <w:r>
        <w:rPr>
          <w:rFonts w:ascii="Abadi" w:hAnsi="Abadi" w:cs="*Arial-8049-Identity-H"/>
          <w:color w:val="14131B"/>
          <w:sz w:val="21"/>
          <w:szCs w:val="21"/>
        </w:rPr>
        <w:t xml:space="preserve"> </w:t>
      </w:r>
      <w:r w:rsidRPr="00C45D54">
        <w:rPr>
          <w:rFonts w:ascii="Abadi" w:hAnsi="Abadi" w:cs="*Arial-8049-Identity-H"/>
          <w:color w:val="14131B"/>
          <w:sz w:val="21"/>
          <w:szCs w:val="21"/>
        </w:rPr>
        <w:t>facultado para expedir reglamentos, circulares y disposiciones administrativas de</w:t>
      </w:r>
      <w:r>
        <w:rPr>
          <w:rFonts w:ascii="Abadi" w:hAnsi="Abadi" w:cs="*Arial-8049-Identity-H"/>
          <w:color w:val="14131B"/>
          <w:sz w:val="21"/>
          <w:szCs w:val="21"/>
        </w:rPr>
        <w:t xml:space="preserve"> </w:t>
      </w:r>
      <w:r w:rsidRPr="00C45D54">
        <w:rPr>
          <w:rFonts w:ascii="Abadi" w:hAnsi="Abadi" w:cs="*Arial-8049-Identity-H"/>
          <w:color w:val="14131B"/>
          <w:sz w:val="21"/>
          <w:szCs w:val="21"/>
        </w:rPr>
        <w:t>observancia general dentro de su jurisdicción, que organicen la administración</w:t>
      </w:r>
      <w:r>
        <w:rPr>
          <w:rFonts w:ascii="Abadi" w:hAnsi="Abadi" w:cs="*Arial-8049-Identity-H"/>
          <w:color w:val="14131B"/>
          <w:sz w:val="21"/>
          <w:szCs w:val="21"/>
        </w:rPr>
        <w:t xml:space="preserve"> </w:t>
      </w:r>
      <w:r w:rsidRPr="00C45D54">
        <w:rPr>
          <w:rFonts w:ascii="Abadi" w:hAnsi="Abadi" w:cs="*Arial-8049-Identity-H"/>
          <w:color w:val="14131B"/>
          <w:sz w:val="21"/>
          <w:szCs w:val="21"/>
        </w:rPr>
        <w:t>pública, regulen las materias, procedimiento, funciones y servicios públicos de su</w:t>
      </w:r>
      <w:r>
        <w:rPr>
          <w:rFonts w:ascii="Abadi" w:hAnsi="Abadi" w:cs="*Arial-8049-Identity-H"/>
          <w:color w:val="14131B"/>
          <w:sz w:val="21"/>
          <w:szCs w:val="21"/>
        </w:rPr>
        <w:t xml:space="preserve"> </w:t>
      </w:r>
      <w:r w:rsidRPr="00C45D54">
        <w:rPr>
          <w:rFonts w:ascii="Abadi" w:hAnsi="Abadi" w:cs="*Arial-8049-Identity-H"/>
          <w:color w:val="14131B"/>
          <w:sz w:val="21"/>
          <w:szCs w:val="21"/>
        </w:rPr>
        <w:t>competencia.</w:t>
      </w:r>
    </w:p>
    <w:p w14:paraId="46FEC7AE" w14:textId="77777777" w:rsidR="00313CE6" w:rsidRPr="00C45D54" w:rsidRDefault="00313CE6" w:rsidP="00313CE6">
      <w:pPr>
        <w:autoSpaceDE w:val="0"/>
        <w:autoSpaceDN w:val="0"/>
        <w:adjustRightInd w:val="0"/>
        <w:jc w:val="both"/>
        <w:rPr>
          <w:rFonts w:ascii="Abadi" w:hAnsi="Abadi" w:cs="*Arial-8049-Identity-H"/>
          <w:color w:val="14131B"/>
          <w:sz w:val="21"/>
          <w:szCs w:val="21"/>
        </w:rPr>
      </w:pPr>
    </w:p>
    <w:p w14:paraId="373F2DB6" w14:textId="77777777" w:rsidR="00313CE6" w:rsidRDefault="00313CE6" w:rsidP="00313CE6">
      <w:pPr>
        <w:autoSpaceDE w:val="0"/>
        <w:autoSpaceDN w:val="0"/>
        <w:adjustRightInd w:val="0"/>
        <w:ind w:firstLine="708"/>
        <w:jc w:val="both"/>
        <w:rPr>
          <w:rFonts w:ascii="Abadi" w:hAnsi="Abadi" w:cs="*Arial-8049-Identity-H"/>
          <w:color w:val="15131D"/>
          <w:sz w:val="21"/>
          <w:szCs w:val="21"/>
        </w:rPr>
      </w:pPr>
      <w:r w:rsidRPr="00C45D54">
        <w:rPr>
          <w:rFonts w:ascii="Abadi" w:hAnsi="Abadi" w:cs="*Arial-8049-Identity-H"/>
          <w:color w:val="15131D"/>
          <w:sz w:val="21"/>
          <w:szCs w:val="21"/>
        </w:rPr>
        <w:t>De manera específica, el artículo 115 de la Constitución Política de los</w:t>
      </w:r>
      <w:r>
        <w:rPr>
          <w:rFonts w:ascii="Abadi" w:hAnsi="Abadi" w:cs="*Arial-8049-Identity-H"/>
          <w:color w:val="15131D"/>
          <w:sz w:val="21"/>
          <w:szCs w:val="21"/>
        </w:rPr>
        <w:t xml:space="preserve"> </w:t>
      </w:r>
      <w:r w:rsidRPr="00C45D54">
        <w:rPr>
          <w:rFonts w:ascii="Abadi" w:hAnsi="Abadi" w:cs="*Arial-8049-Identity-H"/>
          <w:color w:val="15131D"/>
          <w:sz w:val="21"/>
          <w:szCs w:val="21"/>
        </w:rPr>
        <w:t xml:space="preserve">Estados Unidos Mexicanos, en su fracción </w:t>
      </w:r>
      <w:r>
        <w:rPr>
          <w:rFonts w:ascii="Abadi" w:hAnsi="Abadi" w:cs="*Arial-8049-Identity-H"/>
          <w:color w:val="15131D"/>
          <w:sz w:val="21"/>
          <w:szCs w:val="21"/>
        </w:rPr>
        <w:t>III</w:t>
      </w:r>
      <w:r w:rsidRPr="00C45D54">
        <w:rPr>
          <w:rFonts w:ascii="Abadi" w:hAnsi="Abadi" w:cs="*Arial-8049-Identity-H"/>
          <w:color w:val="15131D"/>
          <w:sz w:val="21"/>
          <w:szCs w:val="21"/>
        </w:rPr>
        <w:t xml:space="preserve"> consigna que los municipios tendrán</w:t>
      </w:r>
      <w:r>
        <w:rPr>
          <w:rFonts w:ascii="Abadi" w:hAnsi="Abadi" w:cs="*Arial-8049-Identity-H"/>
          <w:color w:val="15131D"/>
          <w:sz w:val="21"/>
          <w:szCs w:val="21"/>
        </w:rPr>
        <w:t xml:space="preserve"> </w:t>
      </w:r>
      <w:r w:rsidRPr="00C45D54">
        <w:rPr>
          <w:rFonts w:ascii="Abadi" w:hAnsi="Abadi" w:cs="*Arial-8049-Identity-H"/>
          <w:color w:val="15131D"/>
          <w:sz w:val="21"/>
          <w:szCs w:val="21"/>
        </w:rPr>
        <w:t xml:space="preserve">a su cargo las funciones y servicios públicos, entre los </w:t>
      </w:r>
      <w:r>
        <w:rPr>
          <w:rFonts w:ascii="Abadi" w:hAnsi="Abadi" w:cs="*Arial-8049-Identity-H"/>
          <w:color w:val="15131D"/>
          <w:sz w:val="21"/>
          <w:szCs w:val="21"/>
        </w:rPr>
        <w:t>que</w:t>
      </w:r>
      <w:r w:rsidRPr="00C45D54">
        <w:rPr>
          <w:rFonts w:ascii="Abadi" w:hAnsi="Abadi" w:cs="*Arial-8049-Identity-H"/>
          <w:color w:val="15131D"/>
          <w:sz w:val="21"/>
          <w:szCs w:val="21"/>
        </w:rPr>
        <w:t xml:space="preserve"> señala en el inciso b, el</w:t>
      </w:r>
      <w:r>
        <w:rPr>
          <w:rFonts w:ascii="Abadi" w:hAnsi="Abadi" w:cs="*Arial-8049-Identity-H"/>
          <w:color w:val="15131D"/>
          <w:sz w:val="21"/>
          <w:szCs w:val="21"/>
        </w:rPr>
        <w:t xml:space="preserve"> </w:t>
      </w:r>
      <w:r w:rsidRPr="00C45D54">
        <w:rPr>
          <w:rFonts w:ascii="Abadi" w:hAnsi="Abadi" w:cs="*Arial-8049-Identity-H"/>
          <w:color w:val="15131D"/>
          <w:sz w:val="21"/>
          <w:szCs w:val="21"/>
        </w:rPr>
        <w:t>alumbrado público. Atribución ratificada en la Constitución Política Local en su</w:t>
      </w:r>
      <w:r>
        <w:rPr>
          <w:rFonts w:ascii="Abadi" w:hAnsi="Abadi" w:cs="*Arial-8049-Identity-H"/>
          <w:color w:val="15131D"/>
          <w:sz w:val="21"/>
          <w:szCs w:val="21"/>
        </w:rPr>
        <w:t xml:space="preserve"> </w:t>
      </w:r>
      <w:r w:rsidRPr="00C45D54">
        <w:rPr>
          <w:rFonts w:ascii="Abadi" w:hAnsi="Abadi" w:cs="*Arial-8049-Identity-H"/>
          <w:color w:val="15131D"/>
          <w:sz w:val="21"/>
          <w:szCs w:val="21"/>
        </w:rPr>
        <w:t xml:space="preserve">artículo 117, fracción </w:t>
      </w:r>
      <w:r>
        <w:rPr>
          <w:rFonts w:ascii="Abadi" w:hAnsi="Abadi" w:cs="*Arial-8049-Identity-H"/>
          <w:color w:val="15131D"/>
          <w:sz w:val="21"/>
          <w:szCs w:val="21"/>
        </w:rPr>
        <w:t>III</w:t>
      </w:r>
      <w:r w:rsidRPr="00C45D54">
        <w:rPr>
          <w:rFonts w:ascii="Abadi" w:hAnsi="Abadi" w:cs="*Arial-8049-Identity-H"/>
          <w:color w:val="15131D"/>
          <w:sz w:val="21"/>
          <w:szCs w:val="21"/>
        </w:rPr>
        <w:t>, inciso b.</w:t>
      </w:r>
    </w:p>
    <w:p w14:paraId="0DC96E3F" w14:textId="77777777" w:rsidR="00313CE6" w:rsidRPr="00C45D54" w:rsidRDefault="00313CE6" w:rsidP="00313CE6">
      <w:pPr>
        <w:autoSpaceDE w:val="0"/>
        <w:autoSpaceDN w:val="0"/>
        <w:adjustRightInd w:val="0"/>
        <w:jc w:val="both"/>
        <w:rPr>
          <w:rFonts w:ascii="Abadi" w:hAnsi="Abadi" w:cs="*Arial-8049-Identity-H"/>
          <w:color w:val="15131D"/>
          <w:sz w:val="21"/>
          <w:szCs w:val="21"/>
        </w:rPr>
      </w:pPr>
    </w:p>
    <w:p w14:paraId="0397132C" w14:textId="77777777" w:rsidR="00313CE6" w:rsidRPr="00C45D54" w:rsidRDefault="00313CE6" w:rsidP="00313CE6">
      <w:pPr>
        <w:autoSpaceDE w:val="0"/>
        <w:autoSpaceDN w:val="0"/>
        <w:adjustRightInd w:val="0"/>
        <w:jc w:val="both"/>
        <w:rPr>
          <w:rFonts w:ascii="Abadi" w:hAnsi="Abadi" w:cs="*Arial-5559-Identity-H"/>
          <w:color w:val="1A171F"/>
          <w:sz w:val="21"/>
          <w:szCs w:val="21"/>
        </w:rPr>
      </w:pPr>
    </w:p>
    <w:p w14:paraId="55C73FDF" w14:textId="77777777" w:rsidR="00313CE6" w:rsidRDefault="00313CE6" w:rsidP="00313CE6">
      <w:pPr>
        <w:autoSpaceDE w:val="0"/>
        <w:autoSpaceDN w:val="0"/>
        <w:adjustRightInd w:val="0"/>
        <w:ind w:firstLine="708"/>
        <w:jc w:val="both"/>
        <w:rPr>
          <w:rFonts w:ascii="Abadi" w:hAnsi="Abadi" w:cs="*Arial-5557-Identity-H"/>
          <w:color w:val="14131B"/>
          <w:sz w:val="21"/>
          <w:szCs w:val="21"/>
        </w:rPr>
      </w:pPr>
      <w:r w:rsidRPr="00C45D54">
        <w:rPr>
          <w:rFonts w:ascii="Abadi" w:hAnsi="Abadi" w:cs="*Arial-5557-Identity-H"/>
          <w:color w:val="14131B"/>
          <w:sz w:val="21"/>
          <w:szCs w:val="21"/>
        </w:rPr>
        <w:t>La Ley Orgánica Municipal para el Estado de Guanajuato prevé que el</w:t>
      </w:r>
      <w:r>
        <w:rPr>
          <w:rFonts w:ascii="Abadi" w:hAnsi="Abadi" w:cs="*Arial-5557-Identity-H"/>
          <w:color w:val="14131B"/>
          <w:sz w:val="21"/>
          <w:szCs w:val="21"/>
        </w:rPr>
        <w:t xml:space="preserve"> Ayuntamiento</w:t>
      </w:r>
      <w:r w:rsidRPr="00C45D54">
        <w:rPr>
          <w:rFonts w:ascii="Abadi" w:hAnsi="Abadi" w:cs="*Arial-5557-Identity-H"/>
          <w:color w:val="14131B"/>
          <w:sz w:val="21"/>
          <w:szCs w:val="21"/>
        </w:rPr>
        <w:t xml:space="preserve"> deberá otorgar el servicio de alumbrado público a los habitantes del</w:t>
      </w:r>
      <w:r>
        <w:rPr>
          <w:rFonts w:ascii="Abadi" w:hAnsi="Abadi" w:cs="*Arial-5557-Identity-H"/>
          <w:color w:val="14131B"/>
          <w:sz w:val="21"/>
          <w:szCs w:val="21"/>
        </w:rPr>
        <w:t xml:space="preserve"> </w:t>
      </w:r>
      <w:r w:rsidRPr="00C45D54">
        <w:rPr>
          <w:rFonts w:ascii="Abadi" w:hAnsi="Abadi" w:cs="*Arial-5557-Identity-H"/>
          <w:color w:val="14131B"/>
          <w:sz w:val="21"/>
          <w:szCs w:val="21"/>
        </w:rPr>
        <w:t>Municipio e instrumentará los mecanismos necesarios para ampliar la cobertura y</w:t>
      </w:r>
      <w:r>
        <w:rPr>
          <w:rFonts w:ascii="Abadi" w:hAnsi="Abadi" w:cs="*Arial-5557-Identity-H"/>
          <w:color w:val="14131B"/>
          <w:sz w:val="21"/>
          <w:szCs w:val="21"/>
        </w:rPr>
        <w:t xml:space="preserve"> </w:t>
      </w:r>
      <w:r w:rsidRPr="00C45D54">
        <w:rPr>
          <w:rFonts w:ascii="Abadi" w:hAnsi="Abadi" w:cs="*Arial-5557-Identity-H"/>
          <w:color w:val="14131B"/>
          <w:sz w:val="21"/>
          <w:szCs w:val="21"/>
        </w:rPr>
        <w:t>mejorar la prestación de dicho servicio.</w:t>
      </w:r>
    </w:p>
    <w:p w14:paraId="57EA3363" w14:textId="77777777" w:rsidR="00313CE6" w:rsidRPr="00C45D54" w:rsidRDefault="00313CE6" w:rsidP="00313CE6">
      <w:pPr>
        <w:autoSpaceDE w:val="0"/>
        <w:autoSpaceDN w:val="0"/>
        <w:adjustRightInd w:val="0"/>
        <w:jc w:val="both"/>
        <w:rPr>
          <w:rFonts w:ascii="Abadi" w:hAnsi="Abadi" w:cs="*Arial-5557-Identity-H"/>
          <w:color w:val="14131B"/>
          <w:sz w:val="21"/>
          <w:szCs w:val="21"/>
        </w:rPr>
      </w:pPr>
    </w:p>
    <w:p w14:paraId="4EC253F3" w14:textId="77777777" w:rsidR="00313CE6" w:rsidRDefault="00313CE6" w:rsidP="00313CE6">
      <w:pPr>
        <w:autoSpaceDE w:val="0"/>
        <w:autoSpaceDN w:val="0"/>
        <w:adjustRightInd w:val="0"/>
        <w:ind w:firstLine="708"/>
        <w:jc w:val="both"/>
        <w:rPr>
          <w:rFonts w:ascii="Abadi" w:hAnsi="Abadi" w:cs="*Arial-5557-Identity-H"/>
          <w:color w:val="14131B"/>
          <w:sz w:val="21"/>
          <w:szCs w:val="21"/>
        </w:rPr>
      </w:pPr>
      <w:r w:rsidRPr="00C45D54">
        <w:rPr>
          <w:rFonts w:ascii="Abadi" w:hAnsi="Abadi" w:cs="*Arial-5557-Identity-H"/>
          <w:color w:val="14131B"/>
          <w:sz w:val="21"/>
          <w:szCs w:val="21"/>
        </w:rPr>
        <w:t>También el artículo 165 de la referida Ley Orgánica Municipal prevé que:</w:t>
      </w:r>
    </w:p>
    <w:p w14:paraId="101B7C34" w14:textId="77777777" w:rsidR="00313CE6" w:rsidRPr="00C45D54" w:rsidRDefault="00313CE6" w:rsidP="00313CE6">
      <w:pPr>
        <w:autoSpaceDE w:val="0"/>
        <w:autoSpaceDN w:val="0"/>
        <w:adjustRightInd w:val="0"/>
        <w:jc w:val="both"/>
        <w:rPr>
          <w:rFonts w:ascii="Abadi" w:hAnsi="Abadi" w:cs="*Arial-5557-Identity-H"/>
          <w:color w:val="14131B"/>
          <w:sz w:val="21"/>
          <w:szCs w:val="21"/>
        </w:rPr>
      </w:pPr>
    </w:p>
    <w:p w14:paraId="09789216" w14:textId="77777777" w:rsidR="00313CE6" w:rsidRDefault="00313CE6" w:rsidP="00313CE6">
      <w:pPr>
        <w:autoSpaceDE w:val="0"/>
        <w:autoSpaceDN w:val="0"/>
        <w:adjustRightInd w:val="0"/>
        <w:ind w:firstLine="708"/>
        <w:jc w:val="both"/>
        <w:rPr>
          <w:rFonts w:ascii="Abadi" w:hAnsi="Abadi" w:cs="*Arial-Italic-5558-Identity-H"/>
          <w:i/>
          <w:iCs/>
          <w:color w:val="14131B"/>
          <w:sz w:val="21"/>
          <w:szCs w:val="21"/>
        </w:rPr>
      </w:pPr>
      <w:r w:rsidRPr="00C45D54">
        <w:rPr>
          <w:rFonts w:ascii="Abadi" w:hAnsi="Abadi" w:cs="*Arial-Italic-5558-Identity-H"/>
          <w:i/>
          <w:iCs/>
          <w:color w:val="14131B"/>
          <w:sz w:val="21"/>
          <w:szCs w:val="21"/>
        </w:rPr>
        <w:t xml:space="preserve">«Los ayuntamientos prestarán los servicios públicos, en igualdad de condiciones </w:t>
      </w:r>
      <w:r w:rsidRPr="00C45D54">
        <w:rPr>
          <w:rFonts w:ascii="Abadi" w:hAnsi="Abadi" w:cs="*Arial-5557-Identity-H"/>
          <w:color w:val="14131B"/>
          <w:sz w:val="21"/>
          <w:szCs w:val="21"/>
        </w:rPr>
        <w:t>a</w:t>
      </w:r>
      <w:r>
        <w:rPr>
          <w:rFonts w:ascii="Abadi" w:hAnsi="Abadi" w:cs="*Arial-5557-Identity-H"/>
          <w:color w:val="14131B"/>
          <w:sz w:val="21"/>
          <w:szCs w:val="21"/>
        </w:rPr>
        <w:t xml:space="preserve"> </w:t>
      </w:r>
      <w:r w:rsidRPr="00C45D54">
        <w:rPr>
          <w:rFonts w:ascii="Abadi" w:hAnsi="Abadi" w:cs="*Arial-Italic-5558-Identity-H"/>
          <w:i/>
          <w:iCs/>
          <w:color w:val="14131B"/>
          <w:sz w:val="21"/>
          <w:szCs w:val="21"/>
        </w:rPr>
        <w:t>todos los habitantes del municipio, en forma permanente, general, uniforme,</w:t>
      </w:r>
      <w:r>
        <w:rPr>
          <w:rFonts w:ascii="Abadi" w:hAnsi="Abadi" w:cs="*Arial-Italic-5558-Identity-H"/>
          <w:i/>
          <w:iCs/>
          <w:color w:val="14131B"/>
          <w:sz w:val="21"/>
          <w:szCs w:val="21"/>
        </w:rPr>
        <w:t xml:space="preserve"> </w:t>
      </w:r>
      <w:r w:rsidRPr="00C45D54">
        <w:rPr>
          <w:rFonts w:ascii="Abadi" w:hAnsi="Abadi" w:cs="*Arial-Italic-5558-Identity-H"/>
          <w:i/>
          <w:iCs/>
          <w:color w:val="14131B"/>
          <w:sz w:val="21"/>
          <w:szCs w:val="21"/>
        </w:rPr>
        <w:t>continua y de acuerdo con el Programa de Gobierno Municipal».</w:t>
      </w:r>
      <w:r>
        <w:rPr>
          <w:rFonts w:ascii="Abadi" w:hAnsi="Abadi" w:cs="*Arial-Italic-5558-Identity-H"/>
          <w:i/>
          <w:iCs/>
          <w:color w:val="14131B"/>
          <w:sz w:val="21"/>
          <w:szCs w:val="21"/>
        </w:rPr>
        <w:t xml:space="preserve"> </w:t>
      </w:r>
    </w:p>
    <w:p w14:paraId="71891C7F" w14:textId="77777777" w:rsidR="00313CE6" w:rsidRPr="00C45D54" w:rsidRDefault="00313CE6" w:rsidP="00313CE6">
      <w:pPr>
        <w:autoSpaceDE w:val="0"/>
        <w:autoSpaceDN w:val="0"/>
        <w:adjustRightInd w:val="0"/>
        <w:jc w:val="both"/>
        <w:rPr>
          <w:rFonts w:ascii="Abadi" w:hAnsi="Abadi" w:cs="*Arial-Italic-5558-Identity-H"/>
          <w:i/>
          <w:iCs/>
          <w:color w:val="14131B"/>
          <w:sz w:val="21"/>
          <w:szCs w:val="21"/>
        </w:rPr>
      </w:pPr>
    </w:p>
    <w:p w14:paraId="3417316B" w14:textId="77777777" w:rsidR="00313CE6" w:rsidRDefault="00313CE6" w:rsidP="00313CE6">
      <w:pPr>
        <w:autoSpaceDE w:val="0"/>
        <w:autoSpaceDN w:val="0"/>
        <w:adjustRightInd w:val="0"/>
        <w:ind w:firstLine="708"/>
        <w:jc w:val="both"/>
        <w:rPr>
          <w:rFonts w:ascii="Abadi" w:hAnsi="Abadi" w:cs="*Arial-5557-Identity-H"/>
          <w:color w:val="14131B"/>
          <w:sz w:val="21"/>
          <w:szCs w:val="21"/>
        </w:rPr>
      </w:pPr>
      <w:r w:rsidRPr="00C45D54">
        <w:rPr>
          <w:rFonts w:ascii="Abadi" w:hAnsi="Abadi" w:cs="*Arial-5557-Identity-H"/>
          <w:color w:val="14131B"/>
          <w:sz w:val="21"/>
          <w:szCs w:val="21"/>
        </w:rPr>
        <w:t xml:space="preserve">Asimismo, en el Capítulo denominado </w:t>
      </w:r>
      <w:r w:rsidRPr="00C45D54">
        <w:rPr>
          <w:rFonts w:ascii="Abadi" w:hAnsi="Abadi" w:cs="*Arial-Italic-5558-Identity-H"/>
          <w:i/>
          <w:iCs/>
          <w:color w:val="14131B"/>
          <w:sz w:val="21"/>
          <w:szCs w:val="21"/>
        </w:rPr>
        <w:t>«De los Servicios Públicos</w:t>
      </w:r>
      <w:r>
        <w:rPr>
          <w:rFonts w:ascii="Abadi" w:hAnsi="Abadi" w:cs="*Arial-Italic-5558-Identity-H"/>
          <w:i/>
          <w:iCs/>
          <w:color w:val="14131B"/>
          <w:sz w:val="21"/>
          <w:szCs w:val="21"/>
        </w:rPr>
        <w:t xml:space="preserve"> </w:t>
      </w:r>
      <w:r w:rsidRPr="00C45D54">
        <w:rPr>
          <w:rFonts w:ascii="Abadi" w:hAnsi="Abadi" w:cs="*Arial-Italic-5558-Identity-H"/>
          <w:i/>
          <w:iCs/>
          <w:color w:val="14131B"/>
          <w:sz w:val="21"/>
          <w:szCs w:val="21"/>
        </w:rPr>
        <w:t xml:space="preserve">Municipales» </w:t>
      </w:r>
      <w:r w:rsidRPr="00C45D54">
        <w:rPr>
          <w:rFonts w:ascii="Abadi" w:hAnsi="Abadi" w:cs="*Arial-5557-Identity-H"/>
          <w:color w:val="14131B"/>
          <w:sz w:val="21"/>
          <w:szCs w:val="21"/>
        </w:rPr>
        <w:t>se refiere que en el presupuesto de egresos deben preverse los</w:t>
      </w:r>
      <w:r>
        <w:rPr>
          <w:rFonts w:ascii="Abadi" w:hAnsi="Abadi" w:cs="*Arial-5557-Identity-H"/>
          <w:color w:val="14131B"/>
          <w:sz w:val="21"/>
          <w:szCs w:val="21"/>
        </w:rPr>
        <w:t xml:space="preserve"> </w:t>
      </w:r>
      <w:r w:rsidRPr="00C45D54">
        <w:rPr>
          <w:rFonts w:ascii="Abadi" w:hAnsi="Abadi" w:cs="*Arial-5557-Identity-H"/>
          <w:color w:val="14131B"/>
          <w:sz w:val="21"/>
          <w:szCs w:val="21"/>
        </w:rPr>
        <w:t>recursos materiales y humanos, necesarios y suficientes, para la prestación</w:t>
      </w:r>
      <w:r>
        <w:rPr>
          <w:rFonts w:ascii="Abadi" w:hAnsi="Abadi" w:cs="*Arial-5557-Identity-H"/>
          <w:color w:val="14131B"/>
          <w:sz w:val="21"/>
          <w:szCs w:val="21"/>
        </w:rPr>
        <w:t xml:space="preserve"> </w:t>
      </w:r>
      <w:r w:rsidRPr="00C45D54">
        <w:rPr>
          <w:rFonts w:ascii="Abadi" w:hAnsi="Abadi" w:cs="*Arial-5557-Identity-H"/>
          <w:color w:val="14131B"/>
          <w:sz w:val="21"/>
          <w:szCs w:val="21"/>
        </w:rPr>
        <w:t>eficiente y oportuna de los servicios públicos; asimismo, se consigna la</w:t>
      </w:r>
      <w:r>
        <w:rPr>
          <w:rFonts w:ascii="Abadi" w:hAnsi="Abadi" w:cs="*Arial-5557-Identity-H"/>
          <w:color w:val="14131B"/>
          <w:sz w:val="21"/>
          <w:szCs w:val="21"/>
        </w:rPr>
        <w:t xml:space="preserve"> </w:t>
      </w:r>
      <w:r w:rsidRPr="00C45D54">
        <w:rPr>
          <w:rFonts w:ascii="Abadi" w:hAnsi="Abadi" w:cs="*Arial-5557-Identity-H"/>
          <w:color w:val="14131B"/>
          <w:sz w:val="21"/>
          <w:szCs w:val="21"/>
        </w:rPr>
        <w:t>obligatoriedad del Ayuntamiento de otorgar el servicio ge alumbrado público,</w:t>
      </w:r>
      <w:r>
        <w:rPr>
          <w:rFonts w:ascii="Abadi" w:hAnsi="Abadi" w:cs="*Arial-5557-Identity-H"/>
          <w:color w:val="14131B"/>
          <w:sz w:val="21"/>
          <w:szCs w:val="21"/>
        </w:rPr>
        <w:t xml:space="preserve"> </w:t>
      </w:r>
      <w:r w:rsidRPr="00C45D54">
        <w:rPr>
          <w:rFonts w:ascii="Abadi" w:hAnsi="Abadi" w:cs="*Arial-5557-Identity-H"/>
          <w:color w:val="14131B"/>
          <w:sz w:val="21"/>
          <w:szCs w:val="21"/>
        </w:rPr>
        <w:t>señalando que podrá otorgarlo de manera directa a través de sus propias</w:t>
      </w:r>
      <w:r>
        <w:rPr>
          <w:rFonts w:ascii="Abadi" w:hAnsi="Abadi" w:cs="*Arial-5557-Identity-H"/>
          <w:color w:val="14131B"/>
          <w:sz w:val="21"/>
          <w:szCs w:val="21"/>
        </w:rPr>
        <w:t xml:space="preserve"> </w:t>
      </w:r>
      <w:r w:rsidRPr="00C45D54">
        <w:rPr>
          <w:rFonts w:ascii="Abadi" w:hAnsi="Abadi" w:cs="*Arial-5557-Identity-H"/>
          <w:color w:val="14131B"/>
          <w:sz w:val="21"/>
          <w:szCs w:val="21"/>
        </w:rPr>
        <w:t>dependencias, o bien por un medio indirecto.</w:t>
      </w:r>
    </w:p>
    <w:p w14:paraId="78CFA451" w14:textId="77777777" w:rsidR="00313CE6" w:rsidRPr="00C45D54" w:rsidRDefault="00313CE6" w:rsidP="00313CE6">
      <w:pPr>
        <w:autoSpaceDE w:val="0"/>
        <w:autoSpaceDN w:val="0"/>
        <w:adjustRightInd w:val="0"/>
        <w:jc w:val="both"/>
        <w:rPr>
          <w:rFonts w:ascii="Abadi" w:hAnsi="Abadi" w:cs="*Arial-5557-Identity-H"/>
          <w:color w:val="14131B"/>
          <w:sz w:val="21"/>
          <w:szCs w:val="21"/>
        </w:rPr>
      </w:pPr>
    </w:p>
    <w:p w14:paraId="50DFBE72" w14:textId="77777777" w:rsidR="00313CE6" w:rsidRDefault="00313CE6" w:rsidP="00313CE6">
      <w:pPr>
        <w:autoSpaceDE w:val="0"/>
        <w:autoSpaceDN w:val="0"/>
        <w:adjustRightInd w:val="0"/>
        <w:ind w:firstLine="708"/>
        <w:jc w:val="both"/>
        <w:rPr>
          <w:rFonts w:ascii="Abadi" w:hAnsi="Abadi" w:cs="*Arial-5557-Identity-H"/>
          <w:color w:val="14131C"/>
          <w:sz w:val="21"/>
          <w:szCs w:val="21"/>
        </w:rPr>
      </w:pPr>
      <w:r w:rsidRPr="00C45D54">
        <w:rPr>
          <w:rFonts w:ascii="Abadi" w:hAnsi="Abadi" w:cs="*Arial-5557-Identity-H"/>
          <w:color w:val="14131C"/>
          <w:sz w:val="21"/>
          <w:szCs w:val="21"/>
        </w:rPr>
        <w:t>Es así que, se desprende la intervención estratégica del Ayuntamiento y de</w:t>
      </w:r>
      <w:r w:rsidRPr="00C45D54">
        <w:rPr>
          <w:rFonts w:ascii="Abadi" w:hAnsi="Abadi" w:cs="*Arial-5557-Identity-H"/>
          <w:color w:val="C1C1C1"/>
          <w:sz w:val="21"/>
          <w:szCs w:val="21"/>
        </w:rPr>
        <w:t>·</w:t>
      </w:r>
      <w:r>
        <w:rPr>
          <w:rFonts w:ascii="Abadi" w:hAnsi="Abadi" w:cs="*Arial-5557-Identity-H"/>
          <w:color w:val="C1C1C1"/>
          <w:sz w:val="21"/>
          <w:szCs w:val="21"/>
        </w:rPr>
        <w:t xml:space="preserve"> </w:t>
      </w:r>
      <w:r w:rsidRPr="00C45D54">
        <w:rPr>
          <w:rFonts w:ascii="Abadi" w:hAnsi="Abadi" w:cs="*Arial-5557-Identity-H"/>
          <w:color w:val="14131C"/>
          <w:sz w:val="21"/>
          <w:szCs w:val="21"/>
        </w:rPr>
        <w:t>la Dirección de Servicios Municipales para otorgar la prestación del servicio de</w:t>
      </w:r>
      <w:r>
        <w:rPr>
          <w:rFonts w:ascii="Abadi" w:hAnsi="Abadi" w:cs="*Arial-5557-Identity-H"/>
          <w:color w:val="14131C"/>
          <w:sz w:val="21"/>
          <w:szCs w:val="21"/>
        </w:rPr>
        <w:t xml:space="preserve"> </w:t>
      </w:r>
      <w:r w:rsidRPr="00C45D54">
        <w:rPr>
          <w:rFonts w:ascii="Abadi" w:hAnsi="Abadi" w:cs="*Arial-5557-Identity-H"/>
          <w:color w:val="14131C"/>
          <w:sz w:val="21"/>
          <w:szCs w:val="21"/>
        </w:rPr>
        <w:t>alumbrado público a los habitantes del Municipio, a través del conocimiento de la</w:t>
      </w:r>
      <w:r>
        <w:rPr>
          <w:rFonts w:ascii="Abadi" w:hAnsi="Abadi" w:cs="*Arial-5557-Identity-H"/>
          <w:color w:val="14131C"/>
          <w:sz w:val="21"/>
          <w:szCs w:val="21"/>
        </w:rPr>
        <w:t xml:space="preserve"> </w:t>
      </w:r>
      <w:r w:rsidRPr="00C45D54">
        <w:rPr>
          <w:rFonts w:ascii="Abadi" w:hAnsi="Abadi" w:cs="*Arial-5557-Identity-H"/>
          <w:color w:val="14131C"/>
          <w:sz w:val="21"/>
          <w:szCs w:val="21"/>
        </w:rPr>
        <w:t>situación de oferta del servicio, de su presupuestación, de un marco normativo de</w:t>
      </w:r>
      <w:r>
        <w:rPr>
          <w:rFonts w:ascii="Abadi" w:hAnsi="Abadi" w:cs="*Arial-5557-Identity-H"/>
          <w:color w:val="14131C"/>
          <w:sz w:val="21"/>
          <w:szCs w:val="21"/>
        </w:rPr>
        <w:t xml:space="preserve"> </w:t>
      </w:r>
      <w:r w:rsidRPr="00C45D54">
        <w:rPr>
          <w:rFonts w:ascii="Abadi" w:hAnsi="Abadi" w:cs="*Arial-5557-Identity-H"/>
          <w:color w:val="14131C"/>
          <w:sz w:val="21"/>
          <w:szCs w:val="21"/>
        </w:rPr>
        <w:t>operación, de una debida planeación a corto plazo, de la participación ciudadana</w:t>
      </w:r>
      <w:r>
        <w:rPr>
          <w:rFonts w:ascii="Abadi" w:hAnsi="Abadi" w:cs="*Arial-5557-Identity-H"/>
          <w:color w:val="14131C"/>
          <w:sz w:val="21"/>
          <w:szCs w:val="21"/>
        </w:rPr>
        <w:t xml:space="preserve"> </w:t>
      </w:r>
      <w:r w:rsidRPr="00C45D54">
        <w:rPr>
          <w:rFonts w:ascii="Abadi" w:hAnsi="Abadi" w:cs="*Arial-5557-Identity-H"/>
          <w:color w:val="14131C"/>
          <w:sz w:val="21"/>
          <w:szCs w:val="21"/>
        </w:rPr>
        <w:t>en el reporte de fallas del servicio, así como de los mecanismos de monitoreo y</w:t>
      </w:r>
      <w:r>
        <w:rPr>
          <w:rFonts w:ascii="Abadi" w:hAnsi="Abadi" w:cs="*Arial-5557-Identity-H"/>
          <w:color w:val="14131C"/>
          <w:sz w:val="21"/>
          <w:szCs w:val="21"/>
        </w:rPr>
        <w:t xml:space="preserve"> </w:t>
      </w:r>
      <w:r w:rsidRPr="00C45D54">
        <w:rPr>
          <w:rFonts w:ascii="Abadi" w:hAnsi="Abadi" w:cs="*Arial-5557-Identity-H"/>
          <w:color w:val="14131C"/>
          <w:sz w:val="21"/>
          <w:szCs w:val="21"/>
        </w:rPr>
        <w:t>evaluación para el logro de resultados. Lo anterior, con el objetivo de otorgar un</w:t>
      </w:r>
      <w:r>
        <w:rPr>
          <w:rFonts w:ascii="Abadi" w:hAnsi="Abadi" w:cs="*Arial-5557-Identity-H"/>
          <w:color w:val="14131C"/>
          <w:sz w:val="21"/>
          <w:szCs w:val="21"/>
        </w:rPr>
        <w:t xml:space="preserve"> </w:t>
      </w:r>
      <w:r w:rsidRPr="00C45D54">
        <w:rPr>
          <w:rFonts w:ascii="Abadi" w:hAnsi="Abadi" w:cs="*Arial-5557-Identity-H"/>
          <w:color w:val="14131C"/>
          <w:sz w:val="21"/>
          <w:szCs w:val="21"/>
        </w:rPr>
        <w:t>servicio público eficaz en el mantenimiento, cobertura y satisfacción del servicio.</w:t>
      </w:r>
      <w:r>
        <w:rPr>
          <w:rFonts w:ascii="Abadi" w:hAnsi="Abadi" w:cs="*Arial-5557-Identity-H"/>
          <w:color w:val="14131C"/>
          <w:sz w:val="21"/>
          <w:szCs w:val="21"/>
        </w:rPr>
        <w:t xml:space="preserve"> </w:t>
      </w:r>
    </w:p>
    <w:p w14:paraId="329A018B" w14:textId="77777777" w:rsidR="00313CE6" w:rsidRDefault="00313CE6" w:rsidP="00313CE6">
      <w:pPr>
        <w:autoSpaceDE w:val="0"/>
        <w:autoSpaceDN w:val="0"/>
        <w:adjustRightInd w:val="0"/>
        <w:jc w:val="both"/>
        <w:rPr>
          <w:rFonts w:ascii="Abadi" w:hAnsi="Abadi" w:cs="*Arial-5557-Identity-H"/>
          <w:color w:val="14131C"/>
          <w:sz w:val="21"/>
          <w:szCs w:val="21"/>
        </w:rPr>
      </w:pPr>
    </w:p>
    <w:p w14:paraId="5939FB13" w14:textId="77777777" w:rsidR="00313CE6" w:rsidRPr="00C45D54" w:rsidRDefault="00313CE6" w:rsidP="00313CE6">
      <w:pPr>
        <w:autoSpaceDE w:val="0"/>
        <w:autoSpaceDN w:val="0"/>
        <w:adjustRightInd w:val="0"/>
        <w:ind w:firstLine="708"/>
        <w:jc w:val="both"/>
        <w:rPr>
          <w:rFonts w:ascii="Abadi" w:hAnsi="Abadi" w:cs="*Arial-5557-Identity-H"/>
          <w:color w:val="13131C"/>
          <w:sz w:val="21"/>
          <w:szCs w:val="21"/>
        </w:rPr>
      </w:pPr>
      <w:r w:rsidRPr="00C45D54">
        <w:rPr>
          <w:rFonts w:ascii="Abadi" w:hAnsi="Abadi" w:cs="*Arial-5557-Identity-H"/>
          <w:color w:val="13131C"/>
          <w:sz w:val="21"/>
          <w:szCs w:val="21"/>
        </w:rPr>
        <w:t>En razón de lo antes señalado, se planteó como objetivo general de la</w:t>
      </w:r>
      <w:r>
        <w:rPr>
          <w:rFonts w:ascii="Abadi" w:hAnsi="Abadi" w:cs="*Arial-5557-Identity-H"/>
          <w:color w:val="13131C"/>
          <w:sz w:val="21"/>
          <w:szCs w:val="21"/>
        </w:rPr>
        <w:t xml:space="preserve"> </w:t>
      </w:r>
      <w:r w:rsidRPr="00C45D54">
        <w:rPr>
          <w:rFonts w:ascii="Abadi" w:hAnsi="Abadi" w:cs="*Arial-5557-Identity-H"/>
          <w:color w:val="13131C"/>
          <w:sz w:val="21"/>
          <w:szCs w:val="21"/>
        </w:rPr>
        <w:t>auditoría el de verificar la eficacia en los resultados de la capacidad municipal en</w:t>
      </w:r>
      <w:r>
        <w:rPr>
          <w:rFonts w:ascii="Abadi" w:hAnsi="Abadi" w:cs="*Arial-5557-Identity-H"/>
          <w:color w:val="13131C"/>
          <w:sz w:val="21"/>
          <w:szCs w:val="21"/>
        </w:rPr>
        <w:t xml:space="preserve"> </w:t>
      </w:r>
      <w:r w:rsidRPr="00C45D54">
        <w:rPr>
          <w:rFonts w:ascii="Abadi" w:hAnsi="Abadi" w:cs="*Arial-5557-Identity-H"/>
          <w:color w:val="13131C"/>
          <w:sz w:val="21"/>
          <w:szCs w:val="21"/>
        </w:rPr>
        <w:t>la prestación del servicio de alumbrado público en el ejercicio 2020.</w:t>
      </w:r>
    </w:p>
    <w:p w14:paraId="2061EFFB" w14:textId="77777777" w:rsidR="00313CE6" w:rsidRDefault="00313CE6" w:rsidP="00313CE6">
      <w:pPr>
        <w:autoSpaceDE w:val="0"/>
        <w:autoSpaceDN w:val="0"/>
        <w:adjustRightInd w:val="0"/>
        <w:jc w:val="both"/>
        <w:rPr>
          <w:rFonts w:ascii="Abadi" w:hAnsi="Abadi" w:cs="*Arial-4448-Identity-H"/>
          <w:color w:val="14131B"/>
          <w:sz w:val="21"/>
          <w:szCs w:val="21"/>
        </w:rPr>
      </w:pPr>
    </w:p>
    <w:p w14:paraId="68402F1F" w14:textId="77777777" w:rsidR="00313CE6" w:rsidRPr="00C45D54" w:rsidRDefault="00313CE6" w:rsidP="00313CE6">
      <w:pPr>
        <w:autoSpaceDE w:val="0"/>
        <w:autoSpaceDN w:val="0"/>
        <w:adjustRightInd w:val="0"/>
        <w:ind w:firstLine="708"/>
        <w:jc w:val="both"/>
        <w:rPr>
          <w:rFonts w:ascii="Abadi" w:hAnsi="Abadi" w:cs="*Arial-4448-Identity-H"/>
          <w:color w:val="14131B"/>
          <w:sz w:val="21"/>
          <w:szCs w:val="21"/>
        </w:rPr>
      </w:pPr>
      <w:r w:rsidRPr="00C45D54">
        <w:rPr>
          <w:rFonts w:ascii="Abadi" w:hAnsi="Abadi" w:cs="*Arial-4448-Identity-H"/>
          <w:color w:val="14131B"/>
          <w:sz w:val="21"/>
          <w:szCs w:val="21"/>
        </w:rPr>
        <w:t>En el apartado correspondiente a la unidad responsable de la materia por</w:t>
      </w:r>
      <w:r>
        <w:rPr>
          <w:rFonts w:ascii="Abadi" w:hAnsi="Abadi" w:cs="*Arial-4448-Identity-H"/>
          <w:color w:val="14131B"/>
          <w:sz w:val="21"/>
          <w:szCs w:val="21"/>
        </w:rPr>
        <w:t xml:space="preserve"> </w:t>
      </w:r>
      <w:r w:rsidRPr="00C45D54">
        <w:rPr>
          <w:rFonts w:ascii="Abadi" w:hAnsi="Abadi" w:cs="*Arial-4448-Identity-H"/>
          <w:color w:val="14131B"/>
          <w:sz w:val="21"/>
          <w:szCs w:val="21"/>
        </w:rPr>
        <w:t>auditar se refiere que en el artículo 101 del Reglamento Orgánico de la</w:t>
      </w:r>
      <w:r>
        <w:rPr>
          <w:rFonts w:ascii="Abadi" w:hAnsi="Abadi" w:cs="*Arial-4448-Identity-H"/>
          <w:color w:val="14131B"/>
          <w:sz w:val="21"/>
          <w:szCs w:val="21"/>
        </w:rPr>
        <w:t xml:space="preserve"> </w:t>
      </w:r>
      <w:r w:rsidRPr="00C45D54">
        <w:rPr>
          <w:rFonts w:ascii="Abadi" w:hAnsi="Abadi" w:cs="*Arial-4448-Identity-H"/>
          <w:color w:val="14131B"/>
          <w:sz w:val="21"/>
          <w:szCs w:val="21"/>
        </w:rPr>
        <w:t>Administración Pública Municipal de Guanajuato, Gto., se establece que le</w:t>
      </w:r>
      <w:r>
        <w:rPr>
          <w:rFonts w:ascii="Abadi" w:hAnsi="Abadi" w:cs="*Arial-4448-Identity-H"/>
          <w:color w:val="14131B"/>
          <w:sz w:val="21"/>
          <w:szCs w:val="21"/>
        </w:rPr>
        <w:t xml:space="preserve"> </w:t>
      </w:r>
      <w:r w:rsidRPr="00C45D54">
        <w:rPr>
          <w:rFonts w:ascii="Abadi" w:hAnsi="Abadi" w:cs="*Arial-4448-Identity-H"/>
          <w:color w:val="14131B"/>
          <w:sz w:val="21"/>
          <w:szCs w:val="21"/>
        </w:rPr>
        <w:t>corresponde a la Dirección General de Servicios Públicos supervisar la prestación</w:t>
      </w:r>
      <w:r>
        <w:rPr>
          <w:rFonts w:ascii="Abadi" w:hAnsi="Abadi" w:cs="*Arial-4448-Identity-H"/>
          <w:color w:val="14131B"/>
          <w:sz w:val="21"/>
          <w:szCs w:val="21"/>
        </w:rPr>
        <w:t xml:space="preserve"> </w:t>
      </w:r>
      <w:r w:rsidRPr="00C45D54">
        <w:rPr>
          <w:rFonts w:ascii="Abadi" w:hAnsi="Abadi" w:cs="*Arial-4448-Identity-H"/>
          <w:color w:val="14131B"/>
          <w:sz w:val="21"/>
          <w:szCs w:val="21"/>
        </w:rPr>
        <w:t>del servicio de alumbrado público y el mantenimiento al mobiliario urbano. Por su</w:t>
      </w:r>
      <w:r>
        <w:rPr>
          <w:rFonts w:ascii="Abadi" w:hAnsi="Abadi" w:cs="*Arial-4448-Identity-H"/>
          <w:color w:val="14131B"/>
          <w:sz w:val="21"/>
          <w:szCs w:val="21"/>
        </w:rPr>
        <w:t xml:space="preserve"> </w:t>
      </w:r>
      <w:r w:rsidRPr="00C45D54">
        <w:rPr>
          <w:rFonts w:ascii="Abadi" w:hAnsi="Abadi" w:cs="*Arial-4448-Identity-H"/>
          <w:color w:val="14131B"/>
          <w:sz w:val="21"/>
          <w:szCs w:val="21"/>
        </w:rPr>
        <w:t>parte, el artículo 105 de dicho Reglamento prevé que la Dirección de Alumbrado</w:t>
      </w:r>
      <w:r>
        <w:rPr>
          <w:rFonts w:ascii="Abadi" w:hAnsi="Abadi" w:cs="*Arial-4448-Identity-H"/>
          <w:color w:val="14131B"/>
          <w:sz w:val="21"/>
          <w:szCs w:val="21"/>
        </w:rPr>
        <w:t xml:space="preserve"> </w:t>
      </w:r>
      <w:r w:rsidRPr="00C45D54">
        <w:rPr>
          <w:rFonts w:ascii="Abadi" w:hAnsi="Abadi" w:cs="*Arial-4448-Identity-H"/>
          <w:color w:val="14131B"/>
          <w:sz w:val="21"/>
          <w:szCs w:val="21"/>
        </w:rPr>
        <w:t>Público es la encargada de proponer e implementar programas en la materia;</w:t>
      </w:r>
      <w:r>
        <w:rPr>
          <w:rFonts w:ascii="Abadi" w:hAnsi="Abadi" w:cs="*Arial-4448-Identity-H"/>
          <w:color w:val="14131B"/>
          <w:sz w:val="21"/>
          <w:szCs w:val="21"/>
        </w:rPr>
        <w:t xml:space="preserve"> </w:t>
      </w:r>
      <w:r w:rsidRPr="00C45D54">
        <w:rPr>
          <w:rFonts w:ascii="Abadi" w:hAnsi="Abadi" w:cs="*Arial-4448-Identity-H"/>
          <w:color w:val="14131B"/>
          <w:sz w:val="21"/>
          <w:szCs w:val="21"/>
        </w:rPr>
        <w:t>realizar actividades de mantenimiento preventivo y correctivo; registrar y analizar</w:t>
      </w:r>
      <w:r>
        <w:rPr>
          <w:rFonts w:ascii="Abadi" w:hAnsi="Abadi" w:cs="*Arial-4448-Identity-H"/>
          <w:color w:val="14131B"/>
          <w:sz w:val="21"/>
          <w:szCs w:val="21"/>
        </w:rPr>
        <w:t xml:space="preserve"> </w:t>
      </w:r>
      <w:r w:rsidRPr="00C45D54">
        <w:rPr>
          <w:rFonts w:ascii="Abadi" w:hAnsi="Abadi" w:cs="*Arial-4448-Identity-H"/>
          <w:color w:val="14131B"/>
          <w:sz w:val="21"/>
          <w:szCs w:val="21"/>
        </w:rPr>
        <w:t>el consumo de energía eléctrica, así como administrar, regular, operar y controlar</w:t>
      </w:r>
      <w:r>
        <w:rPr>
          <w:rFonts w:ascii="Abadi" w:hAnsi="Abadi" w:cs="*Arial-4448-Identity-H"/>
          <w:color w:val="14131B"/>
          <w:sz w:val="21"/>
          <w:szCs w:val="21"/>
        </w:rPr>
        <w:t xml:space="preserve"> </w:t>
      </w:r>
      <w:r w:rsidRPr="00C45D54">
        <w:rPr>
          <w:rFonts w:ascii="Abadi" w:hAnsi="Abadi" w:cs="*Arial-4448-Identity-H"/>
          <w:color w:val="14131B"/>
          <w:sz w:val="21"/>
          <w:szCs w:val="21"/>
        </w:rPr>
        <w:t>las instalaciones de alumbrado en la vía pública y áreas de uso común.</w:t>
      </w:r>
    </w:p>
    <w:p w14:paraId="015CA849" w14:textId="77777777" w:rsidR="00313CE6" w:rsidRDefault="00313CE6" w:rsidP="00313CE6">
      <w:pPr>
        <w:autoSpaceDE w:val="0"/>
        <w:autoSpaceDN w:val="0"/>
        <w:adjustRightInd w:val="0"/>
        <w:jc w:val="both"/>
        <w:rPr>
          <w:rFonts w:ascii="Abadi" w:hAnsi="Abadi" w:cs="*Arial-Bold-4449-Identity-H"/>
          <w:b/>
          <w:bCs/>
          <w:color w:val="14121F"/>
          <w:sz w:val="21"/>
          <w:szCs w:val="21"/>
        </w:rPr>
      </w:pPr>
    </w:p>
    <w:p w14:paraId="5AB09AD6" w14:textId="77777777" w:rsidR="00313CE6" w:rsidRDefault="00313CE6" w:rsidP="00313CE6">
      <w:pPr>
        <w:autoSpaceDE w:val="0"/>
        <w:autoSpaceDN w:val="0"/>
        <w:adjustRightInd w:val="0"/>
        <w:ind w:firstLine="708"/>
        <w:jc w:val="both"/>
        <w:rPr>
          <w:rFonts w:ascii="Abadi" w:hAnsi="Abadi" w:cs="*Arial-Bold-4449-Identity-H"/>
          <w:b/>
          <w:bCs/>
          <w:color w:val="14121F"/>
          <w:sz w:val="21"/>
          <w:szCs w:val="21"/>
        </w:rPr>
      </w:pPr>
      <w:r w:rsidRPr="00C45D54">
        <w:rPr>
          <w:rFonts w:ascii="Abadi" w:hAnsi="Abadi" w:cs="*Arial-Bold-4449-Identity-H"/>
          <w:b/>
          <w:bCs/>
          <w:color w:val="14121F"/>
          <w:sz w:val="21"/>
          <w:szCs w:val="21"/>
        </w:rPr>
        <w:t>b) Resultado del proceso de fiscalización.</w:t>
      </w:r>
    </w:p>
    <w:p w14:paraId="4430E4ED" w14:textId="77777777" w:rsidR="00313CE6" w:rsidRPr="00C45D54" w:rsidRDefault="00313CE6" w:rsidP="00313CE6">
      <w:pPr>
        <w:autoSpaceDE w:val="0"/>
        <w:autoSpaceDN w:val="0"/>
        <w:adjustRightInd w:val="0"/>
        <w:jc w:val="both"/>
        <w:rPr>
          <w:rFonts w:ascii="Abadi" w:hAnsi="Abadi" w:cs="*Arial-Bold-4449-Identity-H"/>
          <w:b/>
          <w:bCs/>
          <w:color w:val="14121F"/>
          <w:sz w:val="21"/>
          <w:szCs w:val="21"/>
        </w:rPr>
      </w:pPr>
    </w:p>
    <w:p w14:paraId="22CB2D98" w14:textId="77777777" w:rsidR="00313CE6" w:rsidRPr="00C45D54" w:rsidRDefault="00313CE6" w:rsidP="00313CE6">
      <w:pPr>
        <w:autoSpaceDE w:val="0"/>
        <w:autoSpaceDN w:val="0"/>
        <w:adjustRightInd w:val="0"/>
        <w:ind w:firstLine="708"/>
        <w:jc w:val="both"/>
        <w:rPr>
          <w:rFonts w:ascii="Abadi" w:hAnsi="Abadi" w:cs="*Arial-4448-Identity-H"/>
          <w:color w:val="14131B"/>
          <w:sz w:val="21"/>
          <w:szCs w:val="21"/>
        </w:rPr>
      </w:pPr>
      <w:r w:rsidRPr="00C45D54">
        <w:rPr>
          <w:rFonts w:ascii="Abadi" w:hAnsi="Abadi" w:cs="*Arial-4448-Identity-H"/>
          <w:color w:val="14131B"/>
          <w:sz w:val="21"/>
          <w:szCs w:val="21"/>
        </w:rPr>
        <w:t>En esta parte se señala que los objetivos específicos se desarrollaron en la</w:t>
      </w:r>
      <w:r>
        <w:rPr>
          <w:rFonts w:ascii="Abadi" w:hAnsi="Abadi" w:cs="*Arial-4448-Identity-H"/>
          <w:color w:val="14131B"/>
          <w:sz w:val="21"/>
          <w:szCs w:val="21"/>
        </w:rPr>
        <w:t xml:space="preserve"> </w:t>
      </w:r>
      <w:r w:rsidRPr="00C45D54">
        <w:rPr>
          <w:rFonts w:ascii="Abadi" w:hAnsi="Abadi" w:cs="*Arial-4448-Identity-H"/>
          <w:color w:val="14131B"/>
          <w:sz w:val="21"/>
          <w:szCs w:val="21"/>
        </w:rPr>
        <w:t>auditoría en siete procedimientos, con los siguientes resultados:</w:t>
      </w:r>
    </w:p>
    <w:p w14:paraId="67A0DD5C" w14:textId="77777777" w:rsidR="00313CE6" w:rsidRDefault="00313CE6" w:rsidP="00313CE6">
      <w:pPr>
        <w:autoSpaceDE w:val="0"/>
        <w:autoSpaceDN w:val="0"/>
        <w:adjustRightInd w:val="0"/>
        <w:jc w:val="both"/>
        <w:rPr>
          <w:rFonts w:ascii="Abadi" w:hAnsi="Abadi" w:cs="*Arial-Bold-4449-Identity-H"/>
          <w:b/>
          <w:bCs/>
          <w:color w:val="14121E"/>
          <w:sz w:val="21"/>
          <w:szCs w:val="21"/>
        </w:rPr>
      </w:pPr>
    </w:p>
    <w:p w14:paraId="2158F4A8" w14:textId="77777777" w:rsidR="00313CE6" w:rsidRPr="00C45D54" w:rsidRDefault="00313CE6" w:rsidP="00313CE6">
      <w:pPr>
        <w:autoSpaceDE w:val="0"/>
        <w:autoSpaceDN w:val="0"/>
        <w:adjustRightInd w:val="0"/>
        <w:ind w:firstLine="708"/>
        <w:jc w:val="both"/>
        <w:rPr>
          <w:rFonts w:ascii="Abadi" w:hAnsi="Abadi" w:cs="*Arial-Bold-4449-Identity-H"/>
          <w:b/>
          <w:bCs/>
          <w:color w:val="14121E"/>
          <w:sz w:val="21"/>
          <w:szCs w:val="21"/>
        </w:rPr>
      </w:pPr>
      <w:r w:rsidRPr="00C45D54">
        <w:rPr>
          <w:rFonts w:ascii="Abadi" w:hAnsi="Abadi" w:cs="*Arial-Bold-4449-Identity-H"/>
          <w:b/>
          <w:bCs/>
          <w:color w:val="14121E"/>
          <w:sz w:val="21"/>
          <w:szCs w:val="21"/>
        </w:rPr>
        <w:t>Eficiencia:</w:t>
      </w:r>
    </w:p>
    <w:p w14:paraId="6CAE8986" w14:textId="77777777" w:rsidR="00313CE6" w:rsidRDefault="00313CE6" w:rsidP="00313CE6">
      <w:pPr>
        <w:autoSpaceDE w:val="0"/>
        <w:autoSpaceDN w:val="0"/>
        <w:adjustRightInd w:val="0"/>
        <w:jc w:val="both"/>
        <w:rPr>
          <w:rFonts w:ascii="Abadi" w:hAnsi="Abadi" w:cs="*Arial-Bold-4449-Identity-H"/>
          <w:b/>
          <w:bCs/>
          <w:color w:val="14141C"/>
          <w:sz w:val="21"/>
          <w:szCs w:val="21"/>
        </w:rPr>
      </w:pPr>
    </w:p>
    <w:p w14:paraId="7EDED83B" w14:textId="77777777" w:rsidR="00313CE6" w:rsidRPr="00C45D54" w:rsidRDefault="00313CE6" w:rsidP="00313CE6">
      <w:pPr>
        <w:autoSpaceDE w:val="0"/>
        <w:autoSpaceDN w:val="0"/>
        <w:adjustRightInd w:val="0"/>
        <w:ind w:left="1134"/>
        <w:jc w:val="both"/>
        <w:rPr>
          <w:rFonts w:ascii="Abadi" w:hAnsi="Abadi" w:cs="*Arial-4448-Identity-H"/>
          <w:color w:val="14141C"/>
          <w:sz w:val="21"/>
          <w:szCs w:val="21"/>
        </w:rPr>
      </w:pPr>
      <w:r w:rsidRPr="00C45D54">
        <w:rPr>
          <w:rFonts w:ascii="Abadi" w:hAnsi="Abadi" w:cs="*Arial-Bold-4449-Identity-H"/>
          <w:b/>
          <w:bCs/>
          <w:color w:val="14141C"/>
          <w:sz w:val="21"/>
          <w:szCs w:val="21"/>
        </w:rPr>
        <w:t xml:space="preserve">1. </w:t>
      </w:r>
      <w:r w:rsidRPr="00C45D54">
        <w:rPr>
          <w:rFonts w:ascii="Abadi" w:hAnsi="Abadi" w:cs="*Arial-4448-Identity-H"/>
          <w:color w:val="14141C"/>
          <w:sz w:val="21"/>
          <w:szCs w:val="21"/>
        </w:rPr>
        <w:t>Oferta del servicio de alumbrado público.</w:t>
      </w:r>
    </w:p>
    <w:p w14:paraId="461A47B2" w14:textId="77777777" w:rsidR="00313CE6" w:rsidRPr="00C45D54" w:rsidRDefault="00313CE6" w:rsidP="00313CE6">
      <w:pPr>
        <w:autoSpaceDE w:val="0"/>
        <w:autoSpaceDN w:val="0"/>
        <w:adjustRightInd w:val="0"/>
        <w:ind w:left="1134"/>
        <w:jc w:val="both"/>
        <w:rPr>
          <w:rFonts w:ascii="Abadi" w:hAnsi="Abadi" w:cs="*Arial-4448-Identity-H"/>
          <w:color w:val="14131B"/>
          <w:sz w:val="21"/>
          <w:szCs w:val="21"/>
        </w:rPr>
      </w:pPr>
      <w:r w:rsidRPr="00C45D54">
        <w:rPr>
          <w:rFonts w:ascii="Abadi" w:hAnsi="Abadi" w:cs="*Arial-Bold-4449-Identity-H"/>
          <w:b/>
          <w:bCs/>
          <w:color w:val="14131B"/>
          <w:sz w:val="21"/>
          <w:szCs w:val="21"/>
        </w:rPr>
        <w:t xml:space="preserve">2. </w:t>
      </w:r>
      <w:r w:rsidRPr="00C45D54">
        <w:rPr>
          <w:rFonts w:ascii="Abadi" w:hAnsi="Abadi" w:cs="*Arial-4448-Identity-H"/>
          <w:color w:val="14131B"/>
          <w:sz w:val="21"/>
          <w:szCs w:val="21"/>
        </w:rPr>
        <w:t>Presupuestación del servicio.</w:t>
      </w:r>
    </w:p>
    <w:p w14:paraId="793D3FAB" w14:textId="77777777" w:rsidR="00313CE6" w:rsidRPr="00C45D54" w:rsidRDefault="00313CE6" w:rsidP="00313CE6">
      <w:pPr>
        <w:autoSpaceDE w:val="0"/>
        <w:autoSpaceDN w:val="0"/>
        <w:adjustRightInd w:val="0"/>
        <w:ind w:left="1134"/>
        <w:jc w:val="both"/>
        <w:rPr>
          <w:rFonts w:ascii="Abadi" w:hAnsi="Abadi" w:cs="*Arial-4448-Identity-H"/>
          <w:color w:val="141418"/>
          <w:sz w:val="21"/>
          <w:szCs w:val="21"/>
        </w:rPr>
      </w:pPr>
      <w:r w:rsidRPr="003E67A0">
        <w:rPr>
          <w:rFonts w:ascii="Abadi" w:hAnsi="Abadi" w:cs="*Arial-4448-Identity-H"/>
          <w:b/>
          <w:bCs/>
          <w:color w:val="141418"/>
          <w:sz w:val="21"/>
          <w:szCs w:val="21"/>
        </w:rPr>
        <w:t>3.</w:t>
      </w:r>
      <w:r w:rsidRPr="00C45D54">
        <w:rPr>
          <w:rFonts w:ascii="Abadi" w:hAnsi="Abadi" w:cs="*Arial-4448-Identity-H"/>
          <w:color w:val="141418"/>
          <w:sz w:val="21"/>
          <w:szCs w:val="21"/>
        </w:rPr>
        <w:t xml:space="preserve"> Marco normativo para la prestación del servicio.</w:t>
      </w:r>
    </w:p>
    <w:p w14:paraId="3DC07251" w14:textId="77777777" w:rsidR="00313CE6" w:rsidRPr="00C45D54" w:rsidRDefault="00313CE6" w:rsidP="00313CE6">
      <w:pPr>
        <w:autoSpaceDE w:val="0"/>
        <w:autoSpaceDN w:val="0"/>
        <w:adjustRightInd w:val="0"/>
        <w:ind w:left="1134"/>
        <w:jc w:val="both"/>
        <w:rPr>
          <w:rFonts w:ascii="Abadi" w:hAnsi="Abadi" w:cs="*Arial-4448-Identity-H"/>
          <w:color w:val="14131C"/>
          <w:sz w:val="21"/>
          <w:szCs w:val="21"/>
        </w:rPr>
      </w:pPr>
      <w:r w:rsidRPr="00C45D54">
        <w:rPr>
          <w:rFonts w:ascii="Abadi" w:hAnsi="Abadi" w:cs="*Arial-Bold-4449-Identity-H"/>
          <w:b/>
          <w:bCs/>
          <w:color w:val="14131C"/>
          <w:sz w:val="21"/>
          <w:szCs w:val="21"/>
        </w:rPr>
        <w:t xml:space="preserve">4. </w:t>
      </w:r>
      <w:r w:rsidRPr="00C45D54">
        <w:rPr>
          <w:rFonts w:ascii="Abadi" w:hAnsi="Abadi" w:cs="*Arial-4448-Identity-H"/>
          <w:color w:val="14131C"/>
          <w:sz w:val="21"/>
          <w:szCs w:val="21"/>
        </w:rPr>
        <w:t>Planeación del servicio de alumbrado público en el corto plazo.</w:t>
      </w:r>
    </w:p>
    <w:p w14:paraId="1AEE562F" w14:textId="77777777" w:rsidR="00313CE6" w:rsidRPr="00C45D54" w:rsidRDefault="00313CE6" w:rsidP="00313CE6">
      <w:pPr>
        <w:autoSpaceDE w:val="0"/>
        <w:autoSpaceDN w:val="0"/>
        <w:adjustRightInd w:val="0"/>
        <w:ind w:left="1134"/>
        <w:jc w:val="both"/>
        <w:rPr>
          <w:rFonts w:ascii="Abadi" w:hAnsi="Abadi" w:cs="*Arial-4448-Identity-H"/>
          <w:color w:val="14131B"/>
          <w:sz w:val="21"/>
          <w:szCs w:val="21"/>
        </w:rPr>
      </w:pPr>
      <w:r w:rsidRPr="00C45D54">
        <w:rPr>
          <w:rFonts w:ascii="Abadi" w:hAnsi="Abadi" w:cs="*Arial-Bold-4449-Identity-H"/>
          <w:b/>
          <w:bCs/>
          <w:color w:val="14131B"/>
          <w:sz w:val="21"/>
          <w:szCs w:val="21"/>
        </w:rPr>
        <w:t xml:space="preserve">5. </w:t>
      </w:r>
      <w:r w:rsidRPr="00C45D54">
        <w:rPr>
          <w:rFonts w:ascii="Abadi" w:hAnsi="Abadi" w:cs="*Arial-4448-Identity-H"/>
          <w:color w:val="14131B"/>
          <w:sz w:val="21"/>
          <w:szCs w:val="21"/>
        </w:rPr>
        <w:t>Participación ciudadana en el reporte de fallas del servicio.</w:t>
      </w:r>
    </w:p>
    <w:p w14:paraId="446D0ADC" w14:textId="77777777" w:rsidR="00313CE6" w:rsidRDefault="00313CE6" w:rsidP="00313CE6">
      <w:pPr>
        <w:autoSpaceDE w:val="0"/>
        <w:autoSpaceDN w:val="0"/>
        <w:adjustRightInd w:val="0"/>
        <w:ind w:left="1134"/>
        <w:jc w:val="both"/>
        <w:rPr>
          <w:rFonts w:ascii="Abadi" w:hAnsi="Abadi" w:cs="*Arial-Bold-4449-Identity-H"/>
          <w:b/>
          <w:bCs/>
          <w:color w:val="14131F"/>
          <w:sz w:val="21"/>
          <w:szCs w:val="21"/>
        </w:rPr>
      </w:pPr>
    </w:p>
    <w:p w14:paraId="26468632" w14:textId="77777777" w:rsidR="00313CE6" w:rsidRPr="00C45D54" w:rsidRDefault="00313CE6" w:rsidP="00313CE6">
      <w:pPr>
        <w:autoSpaceDE w:val="0"/>
        <w:autoSpaceDN w:val="0"/>
        <w:adjustRightInd w:val="0"/>
        <w:ind w:firstLine="708"/>
        <w:jc w:val="both"/>
        <w:rPr>
          <w:rFonts w:ascii="Abadi" w:hAnsi="Abadi" w:cs="*Arial-Bold-4449-Identity-H"/>
          <w:b/>
          <w:bCs/>
          <w:color w:val="14131F"/>
          <w:sz w:val="21"/>
          <w:szCs w:val="21"/>
        </w:rPr>
      </w:pPr>
      <w:r w:rsidRPr="00C45D54">
        <w:rPr>
          <w:rFonts w:ascii="Abadi" w:hAnsi="Abadi" w:cs="*Arial-Bold-4449-Identity-H"/>
          <w:b/>
          <w:bCs/>
          <w:color w:val="14131F"/>
          <w:sz w:val="21"/>
          <w:szCs w:val="21"/>
        </w:rPr>
        <w:t>Eficacia:</w:t>
      </w:r>
    </w:p>
    <w:p w14:paraId="7A96F1B2" w14:textId="77777777" w:rsidR="00313CE6" w:rsidRDefault="00313CE6" w:rsidP="00313CE6">
      <w:pPr>
        <w:autoSpaceDE w:val="0"/>
        <w:autoSpaceDN w:val="0"/>
        <w:adjustRightInd w:val="0"/>
        <w:jc w:val="both"/>
        <w:rPr>
          <w:rFonts w:ascii="Abadi" w:hAnsi="Abadi" w:cs="*Arial-4448-Identity-H"/>
          <w:color w:val="14131C"/>
          <w:sz w:val="21"/>
          <w:szCs w:val="21"/>
        </w:rPr>
      </w:pPr>
      <w:r>
        <w:rPr>
          <w:rFonts w:ascii="Abadi" w:hAnsi="Abadi" w:cs="*Arial-4448-Identity-H"/>
          <w:color w:val="14131C"/>
          <w:sz w:val="21"/>
          <w:szCs w:val="21"/>
        </w:rPr>
        <w:tab/>
      </w:r>
      <w:r>
        <w:rPr>
          <w:rFonts w:ascii="Abadi" w:hAnsi="Abadi" w:cs="*Arial-4448-Identity-H"/>
          <w:color w:val="14131C"/>
          <w:sz w:val="21"/>
          <w:szCs w:val="21"/>
        </w:rPr>
        <w:tab/>
      </w:r>
    </w:p>
    <w:p w14:paraId="0BC32916" w14:textId="77777777" w:rsidR="00313CE6" w:rsidRPr="00C45D54" w:rsidRDefault="00313CE6" w:rsidP="00313CE6">
      <w:pPr>
        <w:autoSpaceDE w:val="0"/>
        <w:autoSpaceDN w:val="0"/>
        <w:adjustRightInd w:val="0"/>
        <w:ind w:left="1134"/>
        <w:jc w:val="both"/>
        <w:rPr>
          <w:rFonts w:ascii="Abadi" w:hAnsi="Abadi" w:cs="*Arial-4448-Identity-H"/>
          <w:color w:val="14131C"/>
          <w:sz w:val="21"/>
          <w:szCs w:val="21"/>
        </w:rPr>
      </w:pPr>
      <w:r w:rsidRPr="003E67A0">
        <w:rPr>
          <w:rFonts w:ascii="Abadi" w:hAnsi="Abadi" w:cs="*Arial-4448-Identity-H"/>
          <w:b/>
          <w:bCs/>
          <w:color w:val="14131C"/>
          <w:sz w:val="21"/>
          <w:szCs w:val="21"/>
        </w:rPr>
        <w:t>6.</w:t>
      </w:r>
      <w:r w:rsidRPr="00C45D54">
        <w:rPr>
          <w:rFonts w:ascii="Abadi" w:hAnsi="Abadi" w:cs="*Arial-4448-Identity-H"/>
          <w:color w:val="14131C"/>
          <w:sz w:val="21"/>
          <w:szCs w:val="21"/>
        </w:rPr>
        <w:t xml:space="preserve"> Eficacia del servicio de alumbrado público.</w:t>
      </w:r>
    </w:p>
    <w:p w14:paraId="590BE85D" w14:textId="77777777" w:rsidR="00313CE6" w:rsidRPr="00C45D54" w:rsidRDefault="00313CE6" w:rsidP="00313CE6">
      <w:pPr>
        <w:autoSpaceDE w:val="0"/>
        <w:autoSpaceDN w:val="0"/>
        <w:adjustRightInd w:val="0"/>
        <w:ind w:left="1134"/>
        <w:jc w:val="both"/>
        <w:rPr>
          <w:rFonts w:ascii="Abadi" w:hAnsi="Abadi" w:cs="*Arial-4448-Identity-H"/>
          <w:color w:val="15141C"/>
          <w:sz w:val="21"/>
          <w:szCs w:val="21"/>
        </w:rPr>
      </w:pPr>
      <w:r w:rsidRPr="00C45D54">
        <w:rPr>
          <w:rFonts w:ascii="Abadi" w:hAnsi="Abadi" w:cs="*Arial-Bold-4449-Identity-H"/>
          <w:b/>
          <w:bCs/>
          <w:color w:val="15141C"/>
          <w:sz w:val="21"/>
          <w:szCs w:val="21"/>
        </w:rPr>
        <w:t xml:space="preserve">7. </w:t>
      </w:r>
      <w:r w:rsidRPr="00C45D54">
        <w:rPr>
          <w:rFonts w:ascii="Abadi" w:hAnsi="Abadi" w:cs="*Arial-4448-Identity-H"/>
          <w:color w:val="15141C"/>
          <w:sz w:val="21"/>
          <w:szCs w:val="21"/>
        </w:rPr>
        <w:t>Monitoreo y evaluación de resultados.</w:t>
      </w:r>
    </w:p>
    <w:p w14:paraId="38DE1A8B" w14:textId="77777777" w:rsidR="00313CE6" w:rsidRDefault="00313CE6" w:rsidP="00313CE6">
      <w:pPr>
        <w:autoSpaceDE w:val="0"/>
        <w:autoSpaceDN w:val="0"/>
        <w:adjustRightInd w:val="0"/>
        <w:jc w:val="both"/>
        <w:rPr>
          <w:rFonts w:ascii="Abadi" w:hAnsi="Abadi" w:cs="*Arial-4448-Identity-H"/>
          <w:color w:val="14131B"/>
          <w:sz w:val="21"/>
          <w:szCs w:val="21"/>
        </w:rPr>
      </w:pPr>
    </w:p>
    <w:p w14:paraId="3BAD0968" w14:textId="77777777" w:rsidR="00313CE6" w:rsidRPr="00C45D54" w:rsidRDefault="00313CE6" w:rsidP="00313CE6">
      <w:pPr>
        <w:autoSpaceDE w:val="0"/>
        <w:autoSpaceDN w:val="0"/>
        <w:adjustRightInd w:val="0"/>
        <w:ind w:firstLine="708"/>
        <w:jc w:val="both"/>
        <w:rPr>
          <w:rFonts w:ascii="Abadi" w:hAnsi="Abadi" w:cs="*Arial-4448-Identity-H"/>
          <w:color w:val="14131B"/>
          <w:sz w:val="21"/>
          <w:szCs w:val="21"/>
        </w:rPr>
      </w:pPr>
      <w:r w:rsidRPr="00C45D54">
        <w:rPr>
          <w:rFonts w:ascii="Abadi" w:hAnsi="Abadi" w:cs="*Arial-4448-Identity-H"/>
          <w:color w:val="14131B"/>
          <w:sz w:val="21"/>
          <w:szCs w:val="21"/>
        </w:rPr>
        <w:t>Es así, que se presentan los resultados de la auditoría realizada,</w:t>
      </w:r>
      <w:r>
        <w:rPr>
          <w:rFonts w:ascii="Abadi" w:hAnsi="Abadi" w:cs="*Arial-4448-Identity-H"/>
          <w:color w:val="14131B"/>
          <w:sz w:val="21"/>
          <w:szCs w:val="21"/>
        </w:rPr>
        <w:t xml:space="preserve"> </w:t>
      </w:r>
      <w:r w:rsidRPr="00C45D54">
        <w:rPr>
          <w:rFonts w:ascii="Abadi" w:hAnsi="Abadi" w:cs="*Arial-4448-Identity-H"/>
          <w:color w:val="14131B"/>
          <w:sz w:val="21"/>
          <w:szCs w:val="21"/>
        </w:rPr>
        <w:t>estableciendo las recomendaciones formuladas al sujeto fiscalizado, plasmando</w:t>
      </w:r>
      <w:r>
        <w:rPr>
          <w:rFonts w:ascii="Abadi" w:hAnsi="Abadi" w:cs="*Arial-4448-Identity-H"/>
          <w:color w:val="14131B"/>
          <w:sz w:val="21"/>
          <w:szCs w:val="21"/>
        </w:rPr>
        <w:t xml:space="preserve"> </w:t>
      </w:r>
      <w:r w:rsidRPr="00C45D54">
        <w:rPr>
          <w:rFonts w:ascii="Abadi" w:hAnsi="Abadi" w:cs="*Arial-4448-Identity-H"/>
          <w:color w:val="14131B"/>
          <w:sz w:val="21"/>
          <w:szCs w:val="21"/>
        </w:rPr>
        <w:t>en cada una las acciones preventivas y correctivas que se deben llevar a cabo</w:t>
      </w:r>
      <w:r>
        <w:rPr>
          <w:rFonts w:ascii="Abadi" w:hAnsi="Abadi" w:cs="*Arial-4448-Identity-H"/>
          <w:color w:val="14131B"/>
          <w:sz w:val="21"/>
          <w:szCs w:val="21"/>
        </w:rPr>
        <w:t xml:space="preserve"> </w:t>
      </w:r>
      <w:r w:rsidRPr="00C45D54">
        <w:rPr>
          <w:rFonts w:ascii="Abadi" w:hAnsi="Abadi" w:cs="*Arial-4448-Identity-H"/>
          <w:color w:val="14131B"/>
          <w:sz w:val="21"/>
          <w:szCs w:val="21"/>
        </w:rPr>
        <w:t>para subsanar las situaciones detectadas durante el proceso de auditoría.</w:t>
      </w:r>
    </w:p>
    <w:p w14:paraId="784EBC7C" w14:textId="77777777" w:rsidR="00313CE6" w:rsidRDefault="00313CE6" w:rsidP="00313CE6">
      <w:pPr>
        <w:autoSpaceDE w:val="0"/>
        <w:autoSpaceDN w:val="0"/>
        <w:adjustRightInd w:val="0"/>
        <w:jc w:val="both"/>
        <w:rPr>
          <w:rFonts w:ascii="Abadi" w:hAnsi="Abadi" w:cs="*Arial-5871-Identity-H"/>
          <w:color w:val="15141C"/>
          <w:sz w:val="21"/>
          <w:szCs w:val="21"/>
        </w:rPr>
      </w:pPr>
    </w:p>
    <w:p w14:paraId="7FA1DBDA" w14:textId="77777777" w:rsidR="00313CE6" w:rsidRDefault="00313CE6" w:rsidP="00313CE6">
      <w:pPr>
        <w:autoSpaceDE w:val="0"/>
        <w:autoSpaceDN w:val="0"/>
        <w:adjustRightInd w:val="0"/>
        <w:ind w:firstLine="708"/>
        <w:jc w:val="both"/>
        <w:rPr>
          <w:rFonts w:ascii="Abadi" w:hAnsi="Abadi" w:cs="*Arial-5871-Identity-H"/>
          <w:color w:val="15141C"/>
          <w:sz w:val="21"/>
          <w:szCs w:val="21"/>
        </w:rPr>
      </w:pPr>
      <w:r w:rsidRPr="00C45D54">
        <w:rPr>
          <w:rFonts w:ascii="Abadi" w:hAnsi="Abadi" w:cs="*Arial-5871-Identity-H"/>
          <w:color w:val="15141C"/>
          <w:sz w:val="21"/>
          <w:szCs w:val="21"/>
        </w:rPr>
        <w:t xml:space="preserve">Derivado de lo anterior, se formulan los resultados </w:t>
      </w:r>
      <w:r w:rsidRPr="00C45D54">
        <w:rPr>
          <w:rFonts w:ascii="Abadi" w:hAnsi="Abadi" w:cs="*Microsoft Sans Serif-5874-Iden"/>
          <w:color w:val="15141C"/>
          <w:sz w:val="21"/>
          <w:szCs w:val="21"/>
        </w:rPr>
        <w:t xml:space="preserve">y </w:t>
      </w:r>
      <w:r w:rsidRPr="00C45D54">
        <w:rPr>
          <w:rFonts w:ascii="Abadi" w:hAnsi="Abadi" w:cs="*Arial-5871-Identity-H"/>
          <w:color w:val="15141C"/>
          <w:sz w:val="21"/>
          <w:szCs w:val="21"/>
        </w:rPr>
        <w:t>recomendaciones</w:t>
      </w:r>
      <w:r>
        <w:rPr>
          <w:rFonts w:ascii="Abadi" w:hAnsi="Abadi" w:cs="*Arial-5871-Identity-H"/>
          <w:color w:val="15141C"/>
          <w:sz w:val="21"/>
          <w:szCs w:val="21"/>
        </w:rPr>
        <w:t xml:space="preserve"> </w:t>
      </w:r>
      <w:r w:rsidRPr="00C45D54">
        <w:rPr>
          <w:rFonts w:ascii="Abadi" w:hAnsi="Abadi" w:cs="*Arial-5871-Identity-H"/>
          <w:color w:val="15141C"/>
          <w:sz w:val="21"/>
          <w:szCs w:val="21"/>
        </w:rPr>
        <w:t>contenidos en los rubros de Eficiencia y Eficacia.</w:t>
      </w:r>
    </w:p>
    <w:p w14:paraId="7F7C2F4E" w14:textId="77777777" w:rsidR="00313CE6" w:rsidRPr="00C45D54" w:rsidRDefault="00313CE6" w:rsidP="00313CE6">
      <w:pPr>
        <w:autoSpaceDE w:val="0"/>
        <w:autoSpaceDN w:val="0"/>
        <w:adjustRightInd w:val="0"/>
        <w:jc w:val="both"/>
        <w:rPr>
          <w:rFonts w:ascii="Abadi" w:hAnsi="Abadi" w:cs="*Arial-5871-Identity-H"/>
          <w:color w:val="15141C"/>
          <w:sz w:val="21"/>
          <w:szCs w:val="21"/>
        </w:rPr>
      </w:pPr>
    </w:p>
    <w:p w14:paraId="5A2FBFF1" w14:textId="77777777" w:rsidR="00313CE6" w:rsidRDefault="00313CE6" w:rsidP="00313CE6">
      <w:pPr>
        <w:autoSpaceDE w:val="0"/>
        <w:autoSpaceDN w:val="0"/>
        <w:adjustRightInd w:val="0"/>
        <w:ind w:firstLine="708"/>
        <w:jc w:val="both"/>
        <w:rPr>
          <w:rFonts w:ascii="Abadi" w:hAnsi="Abadi" w:cs="*Arial-5871-Identity-H"/>
          <w:color w:val="14141D"/>
          <w:sz w:val="21"/>
          <w:szCs w:val="21"/>
        </w:rPr>
      </w:pPr>
      <w:r w:rsidRPr="00C45D54">
        <w:rPr>
          <w:rFonts w:ascii="Abadi" w:hAnsi="Abadi" w:cs="*Arial-5871-Identity-H"/>
          <w:color w:val="14141D"/>
          <w:sz w:val="21"/>
          <w:szCs w:val="21"/>
        </w:rPr>
        <w:t>En tal sentido, en el rubro de Eficiencia, se formularon las recomendaciones</w:t>
      </w:r>
      <w:r>
        <w:rPr>
          <w:rFonts w:ascii="Abadi" w:hAnsi="Abadi" w:cs="*Arial-5871-Identity-H"/>
          <w:color w:val="14141D"/>
          <w:sz w:val="21"/>
          <w:szCs w:val="21"/>
        </w:rPr>
        <w:t xml:space="preserve"> </w:t>
      </w:r>
      <w:r w:rsidRPr="00C45D54">
        <w:rPr>
          <w:rFonts w:ascii="Abadi" w:hAnsi="Abadi" w:cs="*Arial-5871-Identity-H"/>
          <w:color w:val="14141D"/>
          <w:sz w:val="21"/>
          <w:szCs w:val="21"/>
        </w:rPr>
        <w:t>plasmadas en los puntos 01 del resultado número 1, referente a oferta del servicio</w:t>
      </w:r>
      <w:r>
        <w:rPr>
          <w:rFonts w:ascii="Abadi" w:hAnsi="Abadi" w:cs="*Arial-5871-Identity-H"/>
          <w:color w:val="14141D"/>
          <w:sz w:val="21"/>
          <w:szCs w:val="21"/>
        </w:rPr>
        <w:t xml:space="preserve"> </w:t>
      </w:r>
      <w:r w:rsidRPr="00C45D54">
        <w:rPr>
          <w:rFonts w:ascii="Abadi" w:hAnsi="Abadi" w:cs="*Arial-5871-Identity-H"/>
          <w:color w:val="14141D"/>
          <w:sz w:val="21"/>
          <w:szCs w:val="21"/>
        </w:rPr>
        <w:t>de alumbrado público; 02 del resultado número 02, correspondiente a</w:t>
      </w:r>
      <w:r>
        <w:rPr>
          <w:rFonts w:ascii="Abadi" w:hAnsi="Abadi" w:cs="*Arial-5871-Identity-H"/>
          <w:color w:val="14141D"/>
          <w:sz w:val="21"/>
          <w:szCs w:val="21"/>
        </w:rPr>
        <w:t xml:space="preserve"> </w:t>
      </w:r>
      <w:r w:rsidRPr="00C45D54">
        <w:rPr>
          <w:rFonts w:ascii="Abadi" w:hAnsi="Abadi" w:cs="*Arial-5871-Identity-H"/>
          <w:color w:val="14141D"/>
          <w:sz w:val="21"/>
          <w:szCs w:val="21"/>
        </w:rPr>
        <w:t>presupuestación del servicio; 03 y 04 del resultado número 3, relativo a marco</w:t>
      </w:r>
      <w:r>
        <w:rPr>
          <w:rFonts w:ascii="Abadi" w:hAnsi="Abadi" w:cs="*Arial-5871-Identity-H"/>
          <w:color w:val="14141D"/>
          <w:sz w:val="21"/>
          <w:szCs w:val="21"/>
        </w:rPr>
        <w:t xml:space="preserve"> </w:t>
      </w:r>
      <w:r w:rsidRPr="00C45D54">
        <w:rPr>
          <w:rFonts w:ascii="Abadi" w:hAnsi="Abadi" w:cs="*Arial-5871-Identity-H"/>
          <w:color w:val="14141D"/>
          <w:sz w:val="21"/>
          <w:szCs w:val="21"/>
        </w:rPr>
        <w:t>normativo para la prestación del servicio; 05 del resultado número 04, referido a</w:t>
      </w:r>
      <w:r>
        <w:rPr>
          <w:rFonts w:ascii="Abadi" w:hAnsi="Abadi" w:cs="*Arial-5871-Identity-H"/>
          <w:color w:val="14141D"/>
          <w:sz w:val="21"/>
          <w:szCs w:val="21"/>
        </w:rPr>
        <w:t xml:space="preserve"> </w:t>
      </w:r>
      <w:r w:rsidRPr="00C45D54">
        <w:rPr>
          <w:rFonts w:ascii="Abadi" w:hAnsi="Abadi" w:cs="*Arial-5871-Identity-H"/>
          <w:color w:val="14141D"/>
          <w:sz w:val="21"/>
          <w:szCs w:val="21"/>
        </w:rPr>
        <w:t>planeación del servicio de alumbrado público en el corto plazo; y 06 del resultado</w:t>
      </w:r>
      <w:r>
        <w:rPr>
          <w:rFonts w:ascii="Abadi" w:hAnsi="Abadi" w:cs="*Arial-5871-Identity-H"/>
          <w:color w:val="14141D"/>
          <w:sz w:val="21"/>
          <w:szCs w:val="21"/>
        </w:rPr>
        <w:t xml:space="preserve"> </w:t>
      </w:r>
      <w:r w:rsidRPr="00C45D54">
        <w:rPr>
          <w:rFonts w:ascii="Abadi" w:hAnsi="Abadi" w:cs="*Arial-5871-Identity-H"/>
          <w:color w:val="14141D"/>
          <w:sz w:val="21"/>
          <w:szCs w:val="21"/>
        </w:rPr>
        <w:t>número 05, referente a participación ciudadana en el reporte de fallas del servicio.</w:t>
      </w:r>
    </w:p>
    <w:p w14:paraId="74E35D16" w14:textId="77777777" w:rsidR="00313CE6" w:rsidRPr="00C45D54" w:rsidRDefault="00313CE6" w:rsidP="00313CE6">
      <w:pPr>
        <w:autoSpaceDE w:val="0"/>
        <w:autoSpaceDN w:val="0"/>
        <w:adjustRightInd w:val="0"/>
        <w:jc w:val="both"/>
        <w:rPr>
          <w:rFonts w:ascii="Abadi" w:hAnsi="Abadi" w:cs="*Arial-5871-Identity-H"/>
          <w:color w:val="14141D"/>
          <w:sz w:val="21"/>
          <w:szCs w:val="21"/>
        </w:rPr>
      </w:pPr>
    </w:p>
    <w:p w14:paraId="5176FB58" w14:textId="77777777" w:rsidR="00313CE6" w:rsidRDefault="00313CE6" w:rsidP="00313CE6">
      <w:pPr>
        <w:autoSpaceDE w:val="0"/>
        <w:autoSpaceDN w:val="0"/>
        <w:adjustRightInd w:val="0"/>
        <w:ind w:firstLine="708"/>
        <w:jc w:val="both"/>
        <w:rPr>
          <w:rFonts w:ascii="Abadi" w:hAnsi="Abadi" w:cs="*Arial-5871-Identity-H"/>
          <w:color w:val="14141D"/>
          <w:sz w:val="21"/>
          <w:szCs w:val="21"/>
        </w:rPr>
      </w:pPr>
      <w:r w:rsidRPr="00C45D54">
        <w:rPr>
          <w:rFonts w:ascii="Abadi" w:hAnsi="Abadi" w:cs="*Arial-5871-Identity-H"/>
          <w:color w:val="14141D"/>
          <w:sz w:val="21"/>
          <w:szCs w:val="21"/>
        </w:rPr>
        <w:t>En</w:t>
      </w:r>
      <w:r w:rsidRPr="00C45D54">
        <w:rPr>
          <w:rFonts w:ascii="Abadi" w:hAnsi="Abadi" w:cs="*Arial-5871-Identity-H"/>
          <w:color w:val="B1B1B1"/>
          <w:sz w:val="21"/>
          <w:szCs w:val="21"/>
        </w:rPr>
        <w:t xml:space="preserve">. </w:t>
      </w:r>
      <w:r w:rsidRPr="00C45D54">
        <w:rPr>
          <w:rFonts w:ascii="Abadi" w:hAnsi="Abadi" w:cs="*Arial-5871-Identity-H"/>
          <w:color w:val="14141D"/>
          <w:sz w:val="21"/>
          <w:szCs w:val="21"/>
        </w:rPr>
        <w:t>el apartado de Eficacia, se formularon las recomendaciones consignadas en</w:t>
      </w:r>
      <w:r>
        <w:rPr>
          <w:rFonts w:ascii="Abadi" w:hAnsi="Abadi" w:cs="*Arial-5871-Identity-H"/>
          <w:color w:val="14141D"/>
          <w:sz w:val="21"/>
          <w:szCs w:val="21"/>
        </w:rPr>
        <w:t xml:space="preserve"> </w:t>
      </w:r>
      <w:r w:rsidRPr="00C45D54">
        <w:rPr>
          <w:rFonts w:ascii="Abadi" w:hAnsi="Abadi" w:cs="*Arial-5871-Identity-H"/>
          <w:color w:val="14141D"/>
          <w:sz w:val="21"/>
          <w:szCs w:val="21"/>
        </w:rPr>
        <w:t>los puntos 07 y 08 del resultado número 06, correspondiente a eficacia del servicio</w:t>
      </w:r>
      <w:r>
        <w:rPr>
          <w:rFonts w:ascii="Abadi" w:hAnsi="Abadi" w:cs="*Arial-5871-Identity-H"/>
          <w:color w:val="14141D"/>
          <w:sz w:val="21"/>
          <w:szCs w:val="21"/>
        </w:rPr>
        <w:t xml:space="preserve"> </w:t>
      </w:r>
      <w:r w:rsidRPr="00C45D54">
        <w:rPr>
          <w:rFonts w:ascii="Abadi" w:hAnsi="Abadi" w:cs="*Arial-5871-Identity-H"/>
          <w:color w:val="14141D"/>
          <w:sz w:val="21"/>
          <w:szCs w:val="21"/>
        </w:rPr>
        <w:t>de alumbrado público; y 09 del resultado número 07, relativo a mecanismos de</w:t>
      </w:r>
      <w:r>
        <w:rPr>
          <w:rFonts w:ascii="Abadi" w:hAnsi="Abadi" w:cs="*Arial-5871-Identity-H"/>
          <w:color w:val="14141D"/>
          <w:sz w:val="21"/>
          <w:szCs w:val="21"/>
        </w:rPr>
        <w:t xml:space="preserve"> </w:t>
      </w:r>
      <w:r w:rsidRPr="00C45D54">
        <w:rPr>
          <w:rFonts w:ascii="Abadi" w:hAnsi="Abadi" w:cs="*Arial-5871-Identity-H"/>
          <w:color w:val="14141D"/>
          <w:sz w:val="21"/>
          <w:szCs w:val="21"/>
        </w:rPr>
        <w:t>monitoreo y evaluación del municipio de Guanajuato.</w:t>
      </w:r>
    </w:p>
    <w:p w14:paraId="5C953D9A" w14:textId="77777777" w:rsidR="00313CE6" w:rsidRPr="00C45D54" w:rsidRDefault="00313CE6" w:rsidP="00313CE6">
      <w:pPr>
        <w:autoSpaceDE w:val="0"/>
        <w:autoSpaceDN w:val="0"/>
        <w:adjustRightInd w:val="0"/>
        <w:jc w:val="both"/>
        <w:rPr>
          <w:rFonts w:ascii="Abadi" w:hAnsi="Abadi" w:cs="*Arial-5871-Identity-H"/>
          <w:color w:val="14141D"/>
          <w:sz w:val="21"/>
          <w:szCs w:val="21"/>
        </w:rPr>
      </w:pPr>
    </w:p>
    <w:p w14:paraId="64692698" w14:textId="77777777" w:rsidR="00313CE6" w:rsidRPr="00C45D54" w:rsidRDefault="00313CE6" w:rsidP="00313CE6">
      <w:pPr>
        <w:autoSpaceDE w:val="0"/>
        <w:autoSpaceDN w:val="0"/>
        <w:adjustRightInd w:val="0"/>
        <w:ind w:firstLine="708"/>
        <w:jc w:val="both"/>
        <w:rPr>
          <w:rFonts w:ascii="Abadi" w:hAnsi="Abadi" w:cs="*Arial-5871-Identity-H"/>
          <w:color w:val="15141B"/>
          <w:sz w:val="21"/>
          <w:szCs w:val="21"/>
        </w:rPr>
      </w:pPr>
      <w:r w:rsidRPr="00C45D54">
        <w:rPr>
          <w:rFonts w:ascii="Abadi" w:hAnsi="Abadi" w:cs="*Arial-5871-Identity-H"/>
          <w:color w:val="15141B"/>
          <w:sz w:val="21"/>
          <w:szCs w:val="21"/>
        </w:rPr>
        <w:t xml:space="preserve">Finalmente, se establece un apartado denominado </w:t>
      </w:r>
      <w:r w:rsidRPr="00C45D54">
        <w:rPr>
          <w:rFonts w:ascii="Abadi" w:hAnsi="Abadi" w:cs="*Arial-Italic-5872-Identity-H"/>
          <w:i/>
          <w:iCs/>
          <w:color w:val="15141B"/>
          <w:sz w:val="21"/>
          <w:szCs w:val="21"/>
        </w:rPr>
        <w:t>Cuestiones clave de la</w:t>
      </w:r>
      <w:r>
        <w:rPr>
          <w:rFonts w:ascii="Abadi" w:hAnsi="Abadi" w:cs="*Arial-Italic-5872-Identity-H"/>
          <w:i/>
          <w:iCs/>
          <w:color w:val="15141B"/>
          <w:sz w:val="21"/>
          <w:szCs w:val="21"/>
        </w:rPr>
        <w:t xml:space="preserve"> </w:t>
      </w:r>
      <w:r w:rsidRPr="00C45D54">
        <w:rPr>
          <w:rFonts w:ascii="Abadi" w:hAnsi="Abadi" w:cs="*Arial-Italic-5872-Identity-H"/>
          <w:i/>
          <w:iCs/>
          <w:color w:val="15141B"/>
          <w:sz w:val="21"/>
          <w:szCs w:val="21"/>
        </w:rPr>
        <w:t xml:space="preserve">auditoría en contexto de la pandemia del virus SARS-CoV2 </w:t>
      </w:r>
      <w:r w:rsidRPr="00C45D54">
        <w:rPr>
          <w:rFonts w:ascii="Abadi" w:hAnsi="Abadi" w:cs="*Arial-5871-Identity-H"/>
          <w:color w:val="15141B"/>
          <w:sz w:val="21"/>
          <w:szCs w:val="21"/>
        </w:rPr>
        <w:t>en el que se señala</w:t>
      </w:r>
      <w:r>
        <w:rPr>
          <w:rFonts w:ascii="Abadi" w:hAnsi="Abadi" w:cs="*Arial-5871-Identity-H"/>
          <w:color w:val="15141B"/>
          <w:sz w:val="21"/>
          <w:szCs w:val="21"/>
        </w:rPr>
        <w:t xml:space="preserve"> </w:t>
      </w:r>
      <w:r w:rsidRPr="00C45D54">
        <w:rPr>
          <w:rFonts w:ascii="Abadi" w:hAnsi="Abadi" w:cs="*Arial-5871-Identity-H"/>
          <w:color w:val="15141B"/>
          <w:sz w:val="21"/>
          <w:szCs w:val="21"/>
        </w:rPr>
        <w:t xml:space="preserve">que con motivo de la emergencia sanitaria provocada por dicha pandemia </w:t>
      </w:r>
      <w:r w:rsidRPr="00C45D54">
        <w:rPr>
          <w:rFonts w:ascii="Abadi" w:hAnsi="Abadi" w:cs="*Microsoft Sans Serif-5874-Iden"/>
          <w:color w:val="15141B"/>
          <w:sz w:val="21"/>
          <w:szCs w:val="21"/>
        </w:rPr>
        <w:t xml:space="preserve">y </w:t>
      </w:r>
      <w:r w:rsidRPr="00C45D54">
        <w:rPr>
          <w:rFonts w:ascii="Abadi" w:hAnsi="Abadi" w:cs="*Arial-5871-Identity-H"/>
          <w:color w:val="15141B"/>
          <w:sz w:val="21"/>
          <w:szCs w:val="21"/>
        </w:rPr>
        <w:t>en</w:t>
      </w:r>
      <w:r>
        <w:rPr>
          <w:rFonts w:ascii="Abadi" w:hAnsi="Abadi" w:cs="*Arial-5871-Identity-H"/>
          <w:color w:val="15141B"/>
          <w:sz w:val="21"/>
          <w:szCs w:val="21"/>
        </w:rPr>
        <w:t xml:space="preserve"> </w:t>
      </w:r>
      <w:r w:rsidRPr="00C45D54">
        <w:rPr>
          <w:rFonts w:ascii="Abadi" w:hAnsi="Abadi" w:cs="*Arial-5871-Identity-H"/>
          <w:color w:val="15141B"/>
          <w:sz w:val="21"/>
          <w:szCs w:val="21"/>
        </w:rPr>
        <w:t>atención a diversas disposiciones en salud pública emitidas por las autoridades</w:t>
      </w:r>
      <w:r>
        <w:rPr>
          <w:rFonts w:ascii="Abadi" w:hAnsi="Abadi" w:cs="*Arial-5871-Identity-H"/>
          <w:color w:val="15141B"/>
          <w:sz w:val="21"/>
          <w:szCs w:val="21"/>
        </w:rPr>
        <w:t xml:space="preserve"> </w:t>
      </w:r>
      <w:r w:rsidRPr="00C45D54">
        <w:rPr>
          <w:rFonts w:ascii="Abadi" w:hAnsi="Abadi" w:cs="*Arial-5871-Identity-H"/>
          <w:color w:val="15141B"/>
          <w:sz w:val="21"/>
          <w:szCs w:val="21"/>
        </w:rPr>
        <w:t>federales y estatales competentes en la materia, se generaron cambios en el</w:t>
      </w:r>
      <w:r>
        <w:rPr>
          <w:rFonts w:ascii="Abadi" w:hAnsi="Abadi" w:cs="*Arial-5871-Identity-H"/>
          <w:color w:val="15141B"/>
          <w:sz w:val="21"/>
          <w:szCs w:val="21"/>
        </w:rPr>
        <w:t xml:space="preserve">   </w:t>
      </w:r>
      <w:r w:rsidRPr="00C45D54">
        <w:rPr>
          <w:rFonts w:ascii="Abadi" w:hAnsi="Abadi" w:cs="*Arial-5871-Identity-H"/>
          <w:color w:val="15141B"/>
          <w:sz w:val="21"/>
          <w:szCs w:val="21"/>
        </w:rPr>
        <w:t>desarrollo de los asuntos competencia de la Auditoría Superior del Estado de</w:t>
      </w:r>
      <w:r>
        <w:rPr>
          <w:rFonts w:ascii="Abadi" w:hAnsi="Abadi" w:cs="*Arial-5871-Identity-H"/>
          <w:color w:val="15141B"/>
          <w:sz w:val="21"/>
          <w:szCs w:val="21"/>
        </w:rPr>
        <w:t xml:space="preserve"> </w:t>
      </w:r>
      <w:r w:rsidRPr="00C45D54">
        <w:rPr>
          <w:rFonts w:ascii="Abadi" w:hAnsi="Abadi" w:cs="*Arial-5871-Identity-H"/>
          <w:color w:val="15141B"/>
          <w:sz w:val="21"/>
          <w:szCs w:val="21"/>
        </w:rPr>
        <w:t xml:space="preserve">Guanajuato, atendiendo al </w:t>
      </w:r>
      <w:r w:rsidRPr="00C45D54">
        <w:rPr>
          <w:rFonts w:ascii="Abadi" w:hAnsi="Abadi" w:cs="*Arial-Italic-5872-Identity-H"/>
          <w:i/>
          <w:iCs/>
          <w:color w:val="15141B"/>
          <w:sz w:val="21"/>
          <w:szCs w:val="21"/>
        </w:rPr>
        <w:t xml:space="preserve">Acuerdo relativo al trabajo </w:t>
      </w:r>
      <w:r w:rsidRPr="00C45D54">
        <w:rPr>
          <w:rFonts w:ascii="Abadi" w:hAnsi="Abadi" w:cs="*Arial-5871-Identity-H"/>
          <w:color w:val="15141B"/>
          <w:sz w:val="21"/>
          <w:szCs w:val="21"/>
        </w:rPr>
        <w:t xml:space="preserve">a </w:t>
      </w:r>
      <w:r w:rsidRPr="00C45D54">
        <w:rPr>
          <w:rFonts w:ascii="Abadi" w:hAnsi="Abadi" w:cs="*Arial-Italic-5872-Identity-H"/>
          <w:i/>
          <w:iCs/>
          <w:color w:val="15141B"/>
          <w:sz w:val="21"/>
          <w:szCs w:val="21"/>
        </w:rPr>
        <w:t xml:space="preserve">distancia </w:t>
      </w:r>
      <w:r w:rsidRPr="00C45D54">
        <w:rPr>
          <w:rFonts w:ascii="Abadi" w:hAnsi="Abadi" w:cs="*Arial-5871-Identity-H"/>
          <w:color w:val="15141B"/>
          <w:sz w:val="21"/>
          <w:szCs w:val="21"/>
        </w:rPr>
        <w:t>de fecha 17 de</w:t>
      </w:r>
      <w:r>
        <w:rPr>
          <w:rFonts w:ascii="Abadi" w:hAnsi="Abadi" w:cs="*Arial-5871-Identity-H"/>
          <w:color w:val="15141B"/>
          <w:sz w:val="21"/>
          <w:szCs w:val="21"/>
        </w:rPr>
        <w:t xml:space="preserve"> </w:t>
      </w:r>
      <w:r w:rsidRPr="00C45D54">
        <w:rPr>
          <w:rFonts w:ascii="Abadi" w:hAnsi="Abadi" w:cs="*Arial-5871-Identity-H"/>
          <w:color w:val="15141B"/>
          <w:sz w:val="21"/>
          <w:szCs w:val="21"/>
        </w:rPr>
        <w:t xml:space="preserve">marzo de 2020 </w:t>
      </w:r>
      <w:r w:rsidRPr="00C45D54">
        <w:rPr>
          <w:rFonts w:ascii="Abadi" w:hAnsi="Abadi" w:cs="*Microsoft Sans Serif-5874-Iden"/>
          <w:color w:val="15141B"/>
          <w:sz w:val="21"/>
          <w:szCs w:val="21"/>
        </w:rPr>
        <w:t xml:space="preserve">y </w:t>
      </w:r>
      <w:r w:rsidRPr="00C45D54">
        <w:rPr>
          <w:rFonts w:ascii="Abadi" w:hAnsi="Abadi" w:cs="*Arial-5871-Identity-H"/>
          <w:color w:val="15141B"/>
          <w:sz w:val="21"/>
          <w:szCs w:val="21"/>
        </w:rPr>
        <w:t>su décimo sexto acuerdo modificatorio, aprovechando las</w:t>
      </w:r>
      <w:r>
        <w:rPr>
          <w:rFonts w:ascii="Abadi" w:hAnsi="Abadi" w:cs="*Arial-5871-Identity-H"/>
          <w:color w:val="15141B"/>
          <w:sz w:val="21"/>
          <w:szCs w:val="21"/>
        </w:rPr>
        <w:t xml:space="preserve"> </w:t>
      </w:r>
      <w:r w:rsidRPr="00C45D54">
        <w:rPr>
          <w:rFonts w:ascii="Abadi" w:hAnsi="Abadi" w:cs="*Arial-5871-Identity-H"/>
          <w:color w:val="15141B"/>
          <w:sz w:val="21"/>
          <w:szCs w:val="21"/>
        </w:rPr>
        <w:t>herramientas tecnológicas de que dispone, así como la colaboración de los sujetos</w:t>
      </w:r>
      <w:r>
        <w:rPr>
          <w:rFonts w:ascii="Abadi" w:hAnsi="Abadi" w:cs="*Arial-5871-Identity-H"/>
          <w:color w:val="15141B"/>
          <w:sz w:val="21"/>
          <w:szCs w:val="21"/>
        </w:rPr>
        <w:t xml:space="preserve"> </w:t>
      </w:r>
      <w:r w:rsidRPr="00C45D54">
        <w:rPr>
          <w:rFonts w:ascii="Abadi" w:hAnsi="Abadi" w:cs="*Arial-5871-Identity-H"/>
          <w:color w:val="15141B"/>
          <w:sz w:val="21"/>
          <w:szCs w:val="21"/>
        </w:rPr>
        <w:t>de fiscalización.</w:t>
      </w:r>
    </w:p>
    <w:p w14:paraId="30FA7368" w14:textId="77777777" w:rsidR="00313CE6" w:rsidRDefault="00313CE6" w:rsidP="00313CE6">
      <w:pPr>
        <w:autoSpaceDE w:val="0"/>
        <w:autoSpaceDN w:val="0"/>
        <w:adjustRightInd w:val="0"/>
        <w:jc w:val="both"/>
        <w:rPr>
          <w:rFonts w:ascii="Abadi" w:hAnsi="Abadi" w:cs="*Arial-5871-Identity-H"/>
          <w:color w:val="15141C"/>
          <w:sz w:val="21"/>
          <w:szCs w:val="21"/>
        </w:rPr>
      </w:pPr>
    </w:p>
    <w:p w14:paraId="132A1CA0" w14:textId="77777777" w:rsidR="00313CE6" w:rsidRPr="00C45D54" w:rsidRDefault="00313CE6" w:rsidP="00313CE6">
      <w:pPr>
        <w:autoSpaceDE w:val="0"/>
        <w:autoSpaceDN w:val="0"/>
        <w:adjustRightInd w:val="0"/>
        <w:ind w:firstLine="708"/>
        <w:jc w:val="both"/>
        <w:rPr>
          <w:rFonts w:ascii="Abadi" w:hAnsi="Abadi" w:cs="*Arial-5871-Identity-H"/>
          <w:color w:val="15141C"/>
          <w:sz w:val="21"/>
          <w:szCs w:val="21"/>
        </w:rPr>
      </w:pPr>
      <w:r w:rsidRPr="00C45D54">
        <w:rPr>
          <w:rFonts w:ascii="Abadi" w:hAnsi="Abadi" w:cs="*Arial-5871-Identity-H"/>
          <w:color w:val="15141C"/>
          <w:sz w:val="21"/>
          <w:szCs w:val="21"/>
        </w:rPr>
        <w:t>Es así, que si bien, el proceso de fiscalización ha continuado observando</w:t>
      </w:r>
      <w:r>
        <w:rPr>
          <w:rFonts w:ascii="Abadi" w:hAnsi="Abadi" w:cs="*Arial-5871-Identity-H"/>
          <w:color w:val="15141C"/>
          <w:sz w:val="21"/>
          <w:szCs w:val="21"/>
        </w:rPr>
        <w:t xml:space="preserve"> </w:t>
      </w:r>
      <w:r w:rsidRPr="00C45D54">
        <w:rPr>
          <w:rFonts w:ascii="Abadi" w:hAnsi="Abadi" w:cs="*Arial-5871-Identity-H"/>
          <w:color w:val="15141C"/>
          <w:sz w:val="21"/>
          <w:szCs w:val="21"/>
        </w:rPr>
        <w:t xml:space="preserve">las medidas de confinamiento que las autoridades de salud han determinado </w:t>
      </w:r>
      <w:r w:rsidRPr="00C45D54">
        <w:rPr>
          <w:rFonts w:ascii="Abadi" w:hAnsi="Abadi" w:cs="*Microsoft Sans Serif-5874-Iden"/>
          <w:color w:val="15141C"/>
          <w:sz w:val="21"/>
          <w:szCs w:val="21"/>
        </w:rPr>
        <w:t xml:space="preserve">y </w:t>
      </w:r>
      <w:r w:rsidRPr="00C45D54">
        <w:rPr>
          <w:rFonts w:ascii="Abadi" w:hAnsi="Abadi" w:cs="*Arial-5871-Identity-H"/>
          <w:color w:val="15141C"/>
          <w:sz w:val="21"/>
          <w:szCs w:val="21"/>
        </w:rPr>
        <w:t>con</w:t>
      </w:r>
      <w:r>
        <w:rPr>
          <w:rFonts w:ascii="Abadi" w:hAnsi="Abadi" w:cs="*Arial-5871-Identity-H"/>
          <w:color w:val="15141C"/>
          <w:sz w:val="21"/>
          <w:szCs w:val="21"/>
        </w:rPr>
        <w:t xml:space="preserve"> </w:t>
      </w:r>
      <w:r w:rsidRPr="00C45D54">
        <w:rPr>
          <w:rFonts w:ascii="Abadi" w:hAnsi="Abadi" w:cs="*Arial-5871-Identity-H"/>
          <w:color w:val="15141C"/>
          <w:sz w:val="21"/>
          <w:szCs w:val="21"/>
        </w:rPr>
        <w:t>el uso de las tecnologías de la información, por la propia naturaleza de la</w:t>
      </w:r>
      <w:r>
        <w:rPr>
          <w:rFonts w:ascii="Abadi" w:hAnsi="Abadi" w:cs="*Arial-5871-Identity-H"/>
          <w:color w:val="15141C"/>
          <w:sz w:val="21"/>
          <w:szCs w:val="21"/>
        </w:rPr>
        <w:t xml:space="preserve"> </w:t>
      </w:r>
      <w:r w:rsidRPr="00C45D54">
        <w:rPr>
          <w:rFonts w:ascii="Abadi" w:hAnsi="Abadi" w:cs="*Arial-5871-Identity-H"/>
          <w:color w:val="15141C"/>
          <w:sz w:val="21"/>
          <w:szCs w:val="21"/>
        </w:rPr>
        <w:t>pandemia se generaron limitantes en la aplicación de los procedimientos de</w:t>
      </w:r>
      <w:r>
        <w:rPr>
          <w:rFonts w:ascii="Abadi" w:hAnsi="Abadi" w:cs="*Arial-5871-Identity-H"/>
          <w:color w:val="15141C"/>
          <w:sz w:val="21"/>
          <w:szCs w:val="21"/>
        </w:rPr>
        <w:t xml:space="preserve"> </w:t>
      </w:r>
      <w:r w:rsidRPr="00C45D54">
        <w:rPr>
          <w:rFonts w:ascii="Abadi" w:hAnsi="Abadi" w:cs="*Arial-5871-Identity-H"/>
          <w:color w:val="15141C"/>
          <w:sz w:val="21"/>
          <w:szCs w:val="21"/>
        </w:rPr>
        <w:t>auditoría.</w:t>
      </w:r>
    </w:p>
    <w:p w14:paraId="5198D04F" w14:textId="77777777" w:rsidR="00313CE6" w:rsidRDefault="00313CE6" w:rsidP="00313CE6">
      <w:pPr>
        <w:autoSpaceDE w:val="0"/>
        <w:autoSpaceDN w:val="0"/>
        <w:adjustRightInd w:val="0"/>
        <w:jc w:val="both"/>
        <w:rPr>
          <w:rFonts w:ascii="Abadi" w:hAnsi="Abadi" w:cs="*Arial-5871-Identity-H"/>
          <w:color w:val="14141C"/>
          <w:sz w:val="21"/>
          <w:szCs w:val="21"/>
        </w:rPr>
      </w:pPr>
    </w:p>
    <w:p w14:paraId="6E7C4AA7" w14:textId="77777777" w:rsidR="00313CE6" w:rsidRPr="00C45D54" w:rsidRDefault="00313CE6" w:rsidP="00313CE6">
      <w:pPr>
        <w:autoSpaceDE w:val="0"/>
        <w:autoSpaceDN w:val="0"/>
        <w:adjustRightInd w:val="0"/>
        <w:ind w:firstLine="708"/>
        <w:jc w:val="both"/>
        <w:rPr>
          <w:rFonts w:ascii="Abadi" w:hAnsi="Abadi" w:cs="*Arial-5871-Identity-H"/>
          <w:color w:val="14141C"/>
          <w:sz w:val="21"/>
          <w:szCs w:val="21"/>
        </w:rPr>
      </w:pPr>
      <w:r w:rsidRPr="00C45D54">
        <w:rPr>
          <w:rFonts w:ascii="Abadi" w:hAnsi="Abadi" w:cs="*Arial-5871-Identity-H"/>
          <w:color w:val="14141C"/>
          <w:sz w:val="21"/>
          <w:szCs w:val="21"/>
        </w:rPr>
        <w:t>En tal sentido se priorizó el enfoque de derechos humanos, velando por la</w:t>
      </w:r>
      <w:r>
        <w:rPr>
          <w:rFonts w:ascii="Abadi" w:hAnsi="Abadi" w:cs="*Arial-5871-Identity-H"/>
          <w:color w:val="14141C"/>
          <w:sz w:val="21"/>
          <w:szCs w:val="21"/>
        </w:rPr>
        <w:t xml:space="preserve"> </w:t>
      </w:r>
      <w:r w:rsidRPr="00C45D54">
        <w:rPr>
          <w:rFonts w:ascii="Abadi" w:hAnsi="Abadi" w:cs="*Arial-5871-Identity-H"/>
          <w:color w:val="14141C"/>
          <w:sz w:val="21"/>
          <w:szCs w:val="21"/>
        </w:rPr>
        <w:t>protección del derecho humano a la salud, respetando las limitaciones y</w:t>
      </w:r>
      <w:r>
        <w:rPr>
          <w:rFonts w:ascii="Abadi" w:hAnsi="Abadi" w:cs="*Arial-5871-Identity-H"/>
          <w:color w:val="14141C"/>
          <w:sz w:val="21"/>
          <w:szCs w:val="21"/>
        </w:rPr>
        <w:t xml:space="preserve"> </w:t>
      </w:r>
      <w:r w:rsidRPr="00C45D54">
        <w:rPr>
          <w:rFonts w:ascii="Abadi" w:hAnsi="Abadi" w:cs="*Arial-5871-Identity-H"/>
          <w:color w:val="14141C"/>
          <w:sz w:val="21"/>
          <w:szCs w:val="21"/>
        </w:rPr>
        <w:t>restricciones a los derechos humanos establecidas en la propia Constitución.</w:t>
      </w:r>
    </w:p>
    <w:p w14:paraId="3148CE59" w14:textId="77777777" w:rsidR="00313CE6" w:rsidRDefault="00313CE6" w:rsidP="00313CE6">
      <w:pPr>
        <w:autoSpaceDE w:val="0"/>
        <w:autoSpaceDN w:val="0"/>
        <w:adjustRightInd w:val="0"/>
        <w:jc w:val="both"/>
        <w:rPr>
          <w:rFonts w:ascii="Abadi" w:hAnsi="Abadi" w:cs="*Calibri-4969-Identity-H"/>
          <w:color w:val="252530"/>
          <w:sz w:val="21"/>
          <w:szCs w:val="21"/>
        </w:rPr>
      </w:pPr>
    </w:p>
    <w:p w14:paraId="5120F28A" w14:textId="77777777" w:rsidR="00313CE6" w:rsidRPr="00C45D54" w:rsidRDefault="00313CE6" w:rsidP="00313CE6">
      <w:pPr>
        <w:autoSpaceDE w:val="0"/>
        <w:autoSpaceDN w:val="0"/>
        <w:adjustRightInd w:val="0"/>
        <w:ind w:firstLine="708"/>
        <w:jc w:val="both"/>
        <w:rPr>
          <w:rFonts w:ascii="Abadi" w:hAnsi="Abadi" w:cs="*Arial-Bold-4971-Identity-H"/>
          <w:b/>
          <w:bCs/>
          <w:color w:val="14131F"/>
          <w:sz w:val="21"/>
          <w:szCs w:val="21"/>
        </w:rPr>
      </w:pPr>
      <w:r w:rsidRPr="00C45D54">
        <w:rPr>
          <w:rFonts w:ascii="Abadi" w:hAnsi="Abadi" w:cs="*Arial-Bold-4971-Identity-H"/>
          <w:b/>
          <w:bCs/>
          <w:color w:val="14131F"/>
          <w:sz w:val="21"/>
          <w:szCs w:val="21"/>
        </w:rPr>
        <w:t>c) Resumen de las recomendaciones.</w:t>
      </w:r>
    </w:p>
    <w:p w14:paraId="78057989" w14:textId="77777777" w:rsidR="00313CE6" w:rsidRDefault="00313CE6" w:rsidP="00313CE6">
      <w:pPr>
        <w:autoSpaceDE w:val="0"/>
        <w:autoSpaceDN w:val="0"/>
        <w:adjustRightInd w:val="0"/>
        <w:jc w:val="both"/>
        <w:rPr>
          <w:rFonts w:ascii="Abadi" w:hAnsi="Abadi" w:cs="*Arial-4970-Identity-H"/>
          <w:color w:val="14131B"/>
          <w:sz w:val="21"/>
          <w:szCs w:val="21"/>
        </w:rPr>
      </w:pPr>
    </w:p>
    <w:p w14:paraId="05148212" w14:textId="77777777" w:rsidR="00313CE6" w:rsidRPr="00C45D54" w:rsidRDefault="00313CE6" w:rsidP="00313CE6">
      <w:pPr>
        <w:autoSpaceDE w:val="0"/>
        <w:autoSpaceDN w:val="0"/>
        <w:adjustRightInd w:val="0"/>
        <w:jc w:val="both"/>
        <w:rPr>
          <w:rFonts w:ascii="Abadi" w:hAnsi="Abadi" w:cs="*Arial-4970-Identity-H"/>
          <w:color w:val="14131B"/>
          <w:sz w:val="21"/>
          <w:szCs w:val="21"/>
        </w:rPr>
      </w:pPr>
      <w:r w:rsidRPr="00C45D54">
        <w:rPr>
          <w:rFonts w:ascii="Abadi" w:hAnsi="Abadi" w:cs="*Arial-4970-Identity-H"/>
          <w:color w:val="14131B"/>
          <w:sz w:val="21"/>
          <w:szCs w:val="21"/>
        </w:rPr>
        <w:t>En este punto se establece un resumen exclusivamente de los resultados</w:t>
      </w:r>
      <w:r>
        <w:rPr>
          <w:rFonts w:ascii="Abadi" w:hAnsi="Abadi" w:cs="*Arial-4970-Identity-H"/>
          <w:color w:val="14131B"/>
          <w:sz w:val="21"/>
          <w:szCs w:val="21"/>
        </w:rPr>
        <w:t xml:space="preserve"> </w:t>
      </w:r>
      <w:r w:rsidRPr="00C45D54">
        <w:rPr>
          <w:rFonts w:ascii="Abadi" w:hAnsi="Abadi" w:cs="*Arial-4970-Identity-H"/>
          <w:color w:val="14131B"/>
          <w:sz w:val="21"/>
          <w:szCs w:val="21"/>
        </w:rPr>
        <w:t>que generaron recomendación producto de un área de oportunidad o mejora</w:t>
      </w:r>
      <w:r>
        <w:rPr>
          <w:rFonts w:ascii="Abadi" w:hAnsi="Abadi" w:cs="*Arial-4970-Identity-H"/>
          <w:color w:val="14131B"/>
          <w:sz w:val="21"/>
          <w:szCs w:val="21"/>
        </w:rPr>
        <w:t xml:space="preserve"> </w:t>
      </w:r>
      <w:r w:rsidRPr="00C45D54">
        <w:rPr>
          <w:rFonts w:ascii="Abadi" w:hAnsi="Abadi" w:cs="*Arial-4970-Identity-H"/>
          <w:color w:val="14131B"/>
          <w:sz w:val="21"/>
          <w:szCs w:val="21"/>
        </w:rPr>
        <w:t>sugerida por el Órgano Técnico, mismos se clasifican agrupados bajo su</w:t>
      </w:r>
      <w:r>
        <w:rPr>
          <w:rFonts w:ascii="Abadi" w:hAnsi="Abadi" w:cs="*Arial-4970-Identity-H"/>
          <w:color w:val="14131B"/>
          <w:sz w:val="21"/>
          <w:szCs w:val="21"/>
        </w:rPr>
        <w:t xml:space="preserve"> </w:t>
      </w:r>
      <w:r w:rsidRPr="00C45D54">
        <w:rPr>
          <w:rFonts w:ascii="Abadi" w:hAnsi="Abadi" w:cs="*Arial-4970-Identity-H"/>
          <w:color w:val="14131B"/>
          <w:sz w:val="21"/>
          <w:szCs w:val="21"/>
        </w:rPr>
        <w:t>respectiva vertiente, con su síntesis de la valoración efectuada, precisando que del</w:t>
      </w:r>
      <w:r>
        <w:rPr>
          <w:rFonts w:ascii="Abadi" w:hAnsi="Abadi" w:cs="*Arial-4970-Identity-H"/>
          <w:color w:val="14131B"/>
          <w:sz w:val="21"/>
          <w:szCs w:val="21"/>
        </w:rPr>
        <w:t xml:space="preserve"> </w:t>
      </w:r>
      <w:r w:rsidRPr="00C45D54">
        <w:rPr>
          <w:rFonts w:ascii="Abadi" w:hAnsi="Abadi" w:cs="*Arial-4970-Identity-H"/>
          <w:color w:val="14131B"/>
          <w:sz w:val="21"/>
          <w:szCs w:val="21"/>
        </w:rPr>
        <w:t>análisis a la respuesta del pliego de recomendaciones se desprende que el sujeto</w:t>
      </w:r>
      <w:r>
        <w:rPr>
          <w:rFonts w:ascii="Abadi" w:hAnsi="Abadi" w:cs="*Arial-4970-Identity-H"/>
          <w:color w:val="14131B"/>
          <w:sz w:val="21"/>
          <w:szCs w:val="21"/>
        </w:rPr>
        <w:t xml:space="preserve"> </w:t>
      </w:r>
      <w:r w:rsidRPr="00C45D54">
        <w:rPr>
          <w:rFonts w:ascii="Abadi" w:hAnsi="Abadi" w:cs="*Arial-4970-Identity-H"/>
          <w:color w:val="14131B"/>
          <w:sz w:val="21"/>
          <w:szCs w:val="21"/>
        </w:rPr>
        <w:t>fiscalizado en 7 recomendaciones se comprometió a realizar acciones en un plazo</w:t>
      </w:r>
    </w:p>
    <w:p w14:paraId="7ECEA568" w14:textId="77777777" w:rsidR="00313CE6" w:rsidRPr="00C45D54" w:rsidRDefault="00313CE6" w:rsidP="00313CE6">
      <w:pPr>
        <w:autoSpaceDE w:val="0"/>
        <w:autoSpaceDN w:val="0"/>
        <w:adjustRightInd w:val="0"/>
        <w:jc w:val="both"/>
        <w:rPr>
          <w:rFonts w:ascii="Abadi" w:hAnsi="Abadi" w:cs="*Arial-4970-Identity-H"/>
          <w:color w:val="14131B"/>
          <w:sz w:val="21"/>
          <w:szCs w:val="21"/>
        </w:rPr>
      </w:pPr>
      <w:r w:rsidRPr="00C45D54">
        <w:rPr>
          <w:rFonts w:ascii="Abadi" w:hAnsi="Abadi" w:cs="*Arial-4970-Identity-H"/>
          <w:color w:val="14131B"/>
          <w:sz w:val="21"/>
          <w:szCs w:val="21"/>
        </w:rPr>
        <w:t>futuro para su atención y en 2 persistieron las deficiencias identificadas. A dichas</w:t>
      </w:r>
      <w:r>
        <w:rPr>
          <w:rFonts w:ascii="Abadi" w:hAnsi="Abadi" w:cs="*Arial-4970-Identity-H"/>
          <w:color w:val="14131B"/>
          <w:sz w:val="21"/>
          <w:szCs w:val="21"/>
        </w:rPr>
        <w:t xml:space="preserve"> </w:t>
      </w:r>
      <w:r w:rsidRPr="00C45D54">
        <w:rPr>
          <w:rFonts w:ascii="Abadi" w:hAnsi="Abadi" w:cs="*Arial-4970-Identity-H"/>
          <w:color w:val="14131B"/>
          <w:sz w:val="21"/>
          <w:szCs w:val="21"/>
        </w:rPr>
        <w:t>recomendaciones dará seguimiento el Órgano Técnico en la etapa</w:t>
      </w:r>
      <w:r>
        <w:rPr>
          <w:rFonts w:ascii="Abadi" w:hAnsi="Abadi" w:cs="*Arial-4970-Identity-H"/>
          <w:color w:val="14131B"/>
          <w:sz w:val="21"/>
          <w:szCs w:val="21"/>
        </w:rPr>
        <w:t xml:space="preserve"> </w:t>
      </w:r>
      <w:r w:rsidRPr="00C45D54">
        <w:rPr>
          <w:rFonts w:ascii="Abadi" w:hAnsi="Abadi" w:cs="*Arial-4970-Identity-H"/>
          <w:color w:val="14131B"/>
          <w:sz w:val="21"/>
          <w:szCs w:val="21"/>
        </w:rPr>
        <w:t>correspondiente, de conformidad con el ordenamiento legal respectivo.</w:t>
      </w:r>
    </w:p>
    <w:p w14:paraId="58AC81D0" w14:textId="77777777" w:rsidR="00313CE6" w:rsidRDefault="00313CE6" w:rsidP="00313CE6">
      <w:pPr>
        <w:autoSpaceDE w:val="0"/>
        <w:autoSpaceDN w:val="0"/>
        <w:adjustRightInd w:val="0"/>
        <w:jc w:val="both"/>
        <w:rPr>
          <w:rFonts w:ascii="Abadi" w:hAnsi="Abadi" w:cs="*Arial-Bold-4971-Identity-H"/>
          <w:b/>
          <w:bCs/>
          <w:color w:val="14121F"/>
          <w:sz w:val="21"/>
          <w:szCs w:val="21"/>
        </w:rPr>
      </w:pPr>
    </w:p>
    <w:p w14:paraId="6CFCEC4A" w14:textId="77777777" w:rsidR="00313CE6" w:rsidRDefault="00313CE6" w:rsidP="00313CE6">
      <w:pPr>
        <w:autoSpaceDE w:val="0"/>
        <w:autoSpaceDN w:val="0"/>
        <w:adjustRightInd w:val="0"/>
        <w:ind w:firstLine="708"/>
        <w:jc w:val="both"/>
        <w:rPr>
          <w:rFonts w:ascii="Abadi" w:hAnsi="Abadi" w:cs="*Arial-Bold-4971-Identity-H"/>
          <w:b/>
          <w:bCs/>
          <w:color w:val="14121F"/>
          <w:sz w:val="21"/>
          <w:szCs w:val="21"/>
        </w:rPr>
      </w:pPr>
      <w:r w:rsidRPr="00C45D54">
        <w:rPr>
          <w:rFonts w:ascii="Abadi" w:hAnsi="Abadi" w:cs="*Arial-Bold-4971-Identity-H"/>
          <w:b/>
          <w:bCs/>
          <w:color w:val="14121F"/>
          <w:sz w:val="21"/>
          <w:szCs w:val="21"/>
        </w:rPr>
        <w:t>d) Conclusión General.</w:t>
      </w:r>
    </w:p>
    <w:p w14:paraId="3E01CA05" w14:textId="77777777" w:rsidR="00313CE6" w:rsidRPr="00C45D54" w:rsidRDefault="00313CE6" w:rsidP="00313CE6">
      <w:pPr>
        <w:autoSpaceDE w:val="0"/>
        <w:autoSpaceDN w:val="0"/>
        <w:adjustRightInd w:val="0"/>
        <w:jc w:val="both"/>
        <w:rPr>
          <w:rFonts w:ascii="Abadi" w:hAnsi="Abadi" w:cs="*Arial-Bold-4971-Identity-H"/>
          <w:b/>
          <w:bCs/>
          <w:color w:val="14121F"/>
          <w:sz w:val="21"/>
          <w:szCs w:val="21"/>
        </w:rPr>
      </w:pPr>
    </w:p>
    <w:p w14:paraId="65AFF476" w14:textId="77777777" w:rsidR="00313CE6" w:rsidRDefault="00313CE6" w:rsidP="00313CE6">
      <w:pPr>
        <w:autoSpaceDE w:val="0"/>
        <w:autoSpaceDN w:val="0"/>
        <w:adjustRightInd w:val="0"/>
        <w:ind w:firstLine="708"/>
        <w:jc w:val="both"/>
        <w:rPr>
          <w:rFonts w:ascii="Abadi" w:hAnsi="Abadi" w:cs="*Arial-4970-Identity-H"/>
          <w:color w:val="14131B"/>
          <w:sz w:val="21"/>
          <w:szCs w:val="21"/>
        </w:rPr>
      </w:pPr>
      <w:r w:rsidRPr="00C45D54">
        <w:rPr>
          <w:rFonts w:ascii="Abadi" w:hAnsi="Abadi" w:cs="*Arial-4970-Identity-H"/>
          <w:color w:val="14131B"/>
          <w:sz w:val="21"/>
          <w:szCs w:val="21"/>
        </w:rPr>
        <w:t>La Auditoría Superior del Estado concluyó que los serv</w:t>
      </w:r>
      <w:r>
        <w:rPr>
          <w:rFonts w:ascii="Abadi" w:hAnsi="Abadi" w:cs="*Arial-4970-Identity-H"/>
          <w:color w:val="14131B"/>
          <w:sz w:val="21"/>
          <w:szCs w:val="21"/>
        </w:rPr>
        <w:t>icios</w:t>
      </w:r>
      <w:r w:rsidRPr="00C45D54">
        <w:rPr>
          <w:rFonts w:ascii="Abadi" w:hAnsi="Abadi" w:cs="*Arial-4970-Identity-H"/>
          <w:color w:val="14131B"/>
          <w:sz w:val="21"/>
          <w:szCs w:val="21"/>
        </w:rPr>
        <w:t xml:space="preserve"> públicos se</w:t>
      </w:r>
      <w:r>
        <w:rPr>
          <w:rFonts w:ascii="Abadi" w:hAnsi="Abadi" w:cs="*Arial-4970-Identity-H"/>
          <w:color w:val="14131B"/>
          <w:sz w:val="21"/>
          <w:szCs w:val="21"/>
        </w:rPr>
        <w:t xml:space="preserve"> </w:t>
      </w:r>
      <w:r w:rsidRPr="00C45D54">
        <w:rPr>
          <w:rFonts w:ascii="Abadi" w:hAnsi="Abadi" w:cs="*Arial-4970-Identity-H"/>
          <w:color w:val="14131B"/>
          <w:sz w:val="21"/>
          <w:szCs w:val="21"/>
        </w:rPr>
        <w:t>pueden entender como toda prestación concreta que tienda a satisfacer, de</w:t>
      </w:r>
      <w:r>
        <w:rPr>
          <w:rFonts w:ascii="Abadi" w:hAnsi="Abadi" w:cs="*Arial-4970-Identity-H"/>
          <w:color w:val="14131B"/>
          <w:sz w:val="21"/>
          <w:szCs w:val="21"/>
        </w:rPr>
        <w:t xml:space="preserve"> </w:t>
      </w:r>
      <w:r w:rsidRPr="00C45D54">
        <w:rPr>
          <w:rFonts w:ascii="Abadi" w:hAnsi="Abadi" w:cs="*Arial-4970-Identity-H"/>
          <w:color w:val="14131B"/>
          <w:sz w:val="21"/>
          <w:szCs w:val="21"/>
        </w:rPr>
        <w:t>manera regular, continua y uniforme, las necesidades sociales de carácter</w:t>
      </w:r>
      <w:r>
        <w:rPr>
          <w:rFonts w:ascii="Abadi" w:hAnsi="Abadi" w:cs="*Arial-4970-Identity-H"/>
          <w:color w:val="14131B"/>
          <w:sz w:val="21"/>
          <w:szCs w:val="21"/>
        </w:rPr>
        <w:t xml:space="preserve"> </w:t>
      </w:r>
      <w:r w:rsidRPr="00C45D54">
        <w:rPr>
          <w:rFonts w:ascii="Abadi" w:hAnsi="Abadi" w:cs="*Arial-4970-Identity-H"/>
          <w:color w:val="14131B"/>
          <w:sz w:val="21"/>
          <w:szCs w:val="21"/>
        </w:rPr>
        <w:t>general, básico o fundamental, en beneficio indiscriminado de toda la ciudadanía.</w:t>
      </w:r>
      <w:r>
        <w:rPr>
          <w:rFonts w:ascii="Abadi" w:hAnsi="Abadi" w:cs="*Arial-4970-Identity-H"/>
          <w:color w:val="14131B"/>
          <w:sz w:val="21"/>
          <w:szCs w:val="21"/>
        </w:rPr>
        <w:t xml:space="preserve"> </w:t>
      </w:r>
    </w:p>
    <w:p w14:paraId="2A423A1F" w14:textId="77777777" w:rsidR="00313CE6" w:rsidRDefault="00313CE6" w:rsidP="00313CE6">
      <w:pPr>
        <w:autoSpaceDE w:val="0"/>
        <w:autoSpaceDN w:val="0"/>
        <w:adjustRightInd w:val="0"/>
        <w:jc w:val="both"/>
        <w:rPr>
          <w:rFonts w:ascii="Abadi" w:hAnsi="Abadi" w:cs="*Arial-4970-Identity-H"/>
          <w:color w:val="14131B"/>
          <w:sz w:val="21"/>
          <w:szCs w:val="21"/>
        </w:rPr>
      </w:pPr>
    </w:p>
    <w:p w14:paraId="49BC7647" w14:textId="77777777" w:rsidR="00313CE6" w:rsidRPr="00C45D54" w:rsidRDefault="00313CE6" w:rsidP="00313CE6">
      <w:pPr>
        <w:autoSpaceDE w:val="0"/>
        <w:autoSpaceDN w:val="0"/>
        <w:adjustRightInd w:val="0"/>
        <w:ind w:firstLine="708"/>
        <w:jc w:val="both"/>
        <w:rPr>
          <w:rFonts w:ascii="Abadi" w:hAnsi="Abadi" w:cs="*Arial-4970-Identity-H"/>
          <w:color w:val="15141C"/>
          <w:sz w:val="21"/>
          <w:szCs w:val="21"/>
        </w:rPr>
      </w:pPr>
      <w:r w:rsidRPr="00C45D54">
        <w:rPr>
          <w:rFonts w:ascii="Abadi" w:hAnsi="Abadi" w:cs="*Arial-4970-Identity-H"/>
          <w:color w:val="14131B"/>
          <w:sz w:val="21"/>
          <w:szCs w:val="21"/>
        </w:rPr>
        <w:t>De su adecuada prestación depende, en cierta medida, la calidad de vida de las</w:t>
      </w:r>
      <w:r>
        <w:rPr>
          <w:rFonts w:ascii="Abadi" w:hAnsi="Abadi" w:cs="*Arial-4970-Identity-H"/>
          <w:color w:val="14131B"/>
          <w:sz w:val="21"/>
          <w:szCs w:val="21"/>
        </w:rPr>
        <w:t xml:space="preserve"> </w:t>
      </w:r>
      <w:r w:rsidRPr="00C45D54">
        <w:rPr>
          <w:rFonts w:ascii="Abadi" w:hAnsi="Abadi" w:cs="*Arial-4970-Identity-H"/>
          <w:color w:val="15141C"/>
          <w:sz w:val="21"/>
          <w:szCs w:val="21"/>
        </w:rPr>
        <w:t>personas.</w:t>
      </w:r>
    </w:p>
    <w:p w14:paraId="5E12526A" w14:textId="77777777" w:rsidR="00313CE6" w:rsidRDefault="00313CE6" w:rsidP="00313CE6">
      <w:pPr>
        <w:autoSpaceDE w:val="0"/>
        <w:autoSpaceDN w:val="0"/>
        <w:adjustRightInd w:val="0"/>
        <w:jc w:val="both"/>
        <w:rPr>
          <w:rFonts w:ascii="Abadi" w:hAnsi="Abadi" w:cs="*Arial-4970-Identity-H"/>
          <w:color w:val="14131B"/>
          <w:sz w:val="21"/>
          <w:szCs w:val="21"/>
        </w:rPr>
      </w:pPr>
    </w:p>
    <w:p w14:paraId="7FF0976D" w14:textId="77777777" w:rsidR="00313CE6" w:rsidRDefault="00313CE6" w:rsidP="00313CE6">
      <w:pPr>
        <w:autoSpaceDE w:val="0"/>
        <w:autoSpaceDN w:val="0"/>
        <w:adjustRightInd w:val="0"/>
        <w:ind w:firstLine="708"/>
        <w:jc w:val="both"/>
        <w:rPr>
          <w:rFonts w:ascii="Abadi" w:hAnsi="Abadi" w:cs="*Arial-4970-Identity-H"/>
          <w:color w:val="14131B"/>
          <w:sz w:val="21"/>
          <w:szCs w:val="21"/>
        </w:rPr>
      </w:pPr>
      <w:r w:rsidRPr="00C45D54">
        <w:rPr>
          <w:rFonts w:ascii="Abadi" w:hAnsi="Abadi" w:cs="*Arial-4970-Identity-H"/>
          <w:color w:val="14131B"/>
          <w:sz w:val="21"/>
          <w:szCs w:val="21"/>
        </w:rPr>
        <w:t xml:space="preserve">De igual forma, se refiere que el artículo 115, fracción </w:t>
      </w:r>
      <w:r>
        <w:rPr>
          <w:rFonts w:ascii="Abadi" w:hAnsi="Abadi" w:cs="*Arial-4970-Identity-H"/>
          <w:color w:val="14131B"/>
          <w:sz w:val="21"/>
          <w:szCs w:val="21"/>
        </w:rPr>
        <w:t>III</w:t>
      </w:r>
      <w:r w:rsidRPr="00C45D54">
        <w:rPr>
          <w:rFonts w:ascii="Abadi" w:hAnsi="Abadi" w:cs="*Arial-4970-Identity-H"/>
          <w:color w:val="14131B"/>
          <w:sz w:val="21"/>
          <w:szCs w:val="21"/>
        </w:rPr>
        <w:t>, inciso b, de la</w:t>
      </w:r>
      <w:r>
        <w:rPr>
          <w:rFonts w:ascii="Abadi" w:hAnsi="Abadi" w:cs="*Arial-4970-Identity-H"/>
          <w:color w:val="14131B"/>
          <w:sz w:val="21"/>
          <w:szCs w:val="21"/>
        </w:rPr>
        <w:t xml:space="preserve"> </w:t>
      </w:r>
      <w:r w:rsidRPr="00C45D54">
        <w:rPr>
          <w:rFonts w:ascii="Abadi" w:hAnsi="Abadi" w:cs="*Arial-4970-Identity-H"/>
          <w:color w:val="14131B"/>
          <w:sz w:val="21"/>
          <w:szCs w:val="21"/>
        </w:rPr>
        <w:t>Constitución Política de los Estados Unidos Mexicanos establece al alumbrado</w:t>
      </w:r>
      <w:r>
        <w:rPr>
          <w:rFonts w:ascii="Abadi" w:hAnsi="Abadi" w:cs="*Arial-4970-Identity-H"/>
          <w:color w:val="14131B"/>
          <w:sz w:val="21"/>
          <w:szCs w:val="21"/>
        </w:rPr>
        <w:t xml:space="preserve"> </w:t>
      </w:r>
      <w:r w:rsidRPr="00C45D54">
        <w:rPr>
          <w:rFonts w:ascii="Abadi" w:hAnsi="Abadi" w:cs="*Arial-4970-Identity-H"/>
          <w:color w:val="14131B"/>
          <w:sz w:val="21"/>
          <w:szCs w:val="21"/>
        </w:rPr>
        <w:t>público como uno de los servicios públicos que los municipios tienen a su cargo.</w:t>
      </w:r>
    </w:p>
    <w:p w14:paraId="4BEE3884" w14:textId="77777777" w:rsidR="00313CE6" w:rsidRPr="00C45D54" w:rsidRDefault="00313CE6" w:rsidP="00313CE6">
      <w:pPr>
        <w:autoSpaceDE w:val="0"/>
        <w:autoSpaceDN w:val="0"/>
        <w:adjustRightInd w:val="0"/>
        <w:ind w:firstLine="708"/>
        <w:jc w:val="both"/>
        <w:rPr>
          <w:rFonts w:ascii="Abadi" w:hAnsi="Abadi" w:cs="*Arial-4970-Identity-H"/>
          <w:color w:val="14131B"/>
          <w:sz w:val="21"/>
          <w:szCs w:val="21"/>
        </w:rPr>
      </w:pPr>
    </w:p>
    <w:p w14:paraId="0CFB0CFA" w14:textId="77777777" w:rsidR="00313CE6" w:rsidRPr="00C45D54" w:rsidRDefault="00313CE6" w:rsidP="00313CE6">
      <w:pPr>
        <w:autoSpaceDE w:val="0"/>
        <w:autoSpaceDN w:val="0"/>
        <w:adjustRightInd w:val="0"/>
        <w:ind w:firstLine="708"/>
        <w:jc w:val="both"/>
        <w:rPr>
          <w:rFonts w:ascii="Abadi" w:hAnsi="Abadi" w:cs="*Arial-4970-Identity-H"/>
          <w:color w:val="14131B"/>
          <w:sz w:val="21"/>
          <w:szCs w:val="21"/>
        </w:rPr>
      </w:pPr>
      <w:r w:rsidRPr="00C45D54">
        <w:rPr>
          <w:rFonts w:ascii="Abadi" w:hAnsi="Abadi" w:cs="*Arial-4970-Identity-H"/>
          <w:color w:val="14131B"/>
          <w:sz w:val="21"/>
          <w:szCs w:val="21"/>
        </w:rPr>
        <w:t xml:space="preserve">Por su parte, a nivel local, en </w:t>
      </w:r>
      <w:r>
        <w:rPr>
          <w:rFonts w:ascii="Abadi" w:hAnsi="Abadi" w:cs="*Arial-4970-Identity-H"/>
          <w:color w:val="14131B"/>
          <w:sz w:val="21"/>
          <w:szCs w:val="21"/>
        </w:rPr>
        <w:t>e</w:t>
      </w:r>
      <w:r w:rsidRPr="00C45D54">
        <w:rPr>
          <w:rFonts w:ascii="Abadi" w:hAnsi="Abadi" w:cs="*Arial-4970-Identity-H"/>
          <w:color w:val="14131B"/>
          <w:sz w:val="21"/>
          <w:szCs w:val="21"/>
        </w:rPr>
        <w:t>l artículo 117 de la Constitución Política para el</w:t>
      </w:r>
      <w:r>
        <w:rPr>
          <w:rFonts w:ascii="Abadi" w:hAnsi="Abadi" w:cs="*Arial-4970-Identity-H"/>
          <w:color w:val="14131B"/>
          <w:sz w:val="21"/>
          <w:szCs w:val="21"/>
        </w:rPr>
        <w:t xml:space="preserve"> </w:t>
      </w:r>
      <w:r w:rsidRPr="00C45D54">
        <w:rPr>
          <w:rFonts w:ascii="Abadi" w:hAnsi="Abadi" w:cs="*Arial-4970-Identity-H"/>
          <w:color w:val="14131B"/>
          <w:sz w:val="21"/>
          <w:szCs w:val="21"/>
        </w:rPr>
        <w:t>Estado de Guanajuato se dispone la misma responsabilidad para este ámbito de</w:t>
      </w:r>
      <w:r>
        <w:rPr>
          <w:rFonts w:ascii="Abadi" w:hAnsi="Abadi" w:cs="*Arial-4970-Identity-H"/>
          <w:color w:val="14131B"/>
          <w:sz w:val="21"/>
          <w:szCs w:val="21"/>
        </w:rPr>
        <w:t xml:space="preserve"> </w:t>
      </w:r>
      <w:r w:rsidRPr="00C45D54">
        <w:rPr>
          <w:rFonts w:ascii="Abadi" w:hAnsi="Abadi" w:cs="*Arial-4970-Identity-H"/>
          <w:color w:val="14131B"/>
          <w:sz w:val="21"/>
          <w:szCs w:val="21"/>
        </w:rPr>
        <w:t>gobierno.</w:t>
      </w:r>
    </w:p>
    <w:p w14:paraId="162D9150" w14:textId="77777777" w:rsidR="00313CE6" w:rsidRDefault="00313CE6" w:rsidP="00313CE6">
      <w:pPr>
        <w:autoSpaceDE w:val="0"/>
        <w:autoSpaceDN w:val="0"/>
        <w:adjustRightInd w:val="0"/>
        <w:jc w:val="both"/>
        <w:rPr>
          <w:rFonts w:ascii="Abadi" w:hAnsi="Abadi" w:cs="*Arial-4970-Identity-H"/>
          <w:color w:val="14131B"/>
          <w:sz w:val="21"/>
          <w:szCs w:val="21"/>
        </w:rPr>
      </w:pPr>
    </w:p>
    <w:p w14:paraId="6D2C7045" w14:textId="77777777" w:rsidR="00313CE6" w:rsidRPr="00C45D54" w:rsidRDefault="00313CE6" w:rsidP="00313CE6">
      <w:pPr>
        <w:autoSpaceDE w:val="0"/>
        <w:autoSpaceDN w:val="0"/>
        <w:adjustRightInd w:val="0"/>
        <w:jc w:val="both"/>
        <w:rPr>
          <w:rFonts w:ascii="Abadi" w:hAnsi="Abadi" w:cs="*Arial-4970-Identity-H"/>
          <w:color w:val="14131B"/>
          <w:sz w:val="21"/>
          <w:szCs w:val="21"/>
        </w:rPr>
      </w:pPr>
      <w:r w:rsidRPr="00C45D54">
        <w:rPr>
          <w:rFonts w:ascii="Abadi" w:hAnsi="Abadi" w:cs="*Arial-4970-Identity-H"/>
          <w:color w:val="14131B"/>
          <w:sz w:val="21"/>
          <w:szCs w:val="21"/>
        </w:rPr>
        <w:t>En este sentido, el alumbrado público es un ser</w:t>
      </w:r>
      <w:r>
        <w:rPr>
          <w:rFonts w:ascii="Abadi" w:hAnsi="Abadi" w:cs="*Arial-4970-Identity-H"/>
          <w:color w:val="14131B"/>
          <w:sz w:val="21"/>
          <w:szCs w:val="21"/>
        </w:rPr>
        <w:t>vicio</w:t>
      </w:r>
      <w:r w:rsidRPr="00C45D54">
        <w:rPr>
          <w:rFonts w:ascii="Abadi" w:hAnsi="Abadi" w:cs="*Arial-4970-Identity-H"/>
          <w:color w:val="14131B"/>
          <w:sz w:val="21"/>
          <w:szCs w:val="21"/>
        </w:rPr>
        <w:t xml:space="preserve"> que tiene como</w:t>
      </w:r>
      <w:r>
        <w:rPr>
          <w:rFonts w:ascii="Abadi" w:hAnsi="Abadi" w:cs="*Arial-4970-Identity-H"/>
          <w:color w:val="14131B"/>
          <w:sz w:val="21"/>
          <w:szCs w:val="21"/>
        </w:rPr>
        <w:t xml:space="preserve"> objetivo</w:t>
      </w:r>
      <w:r w:rsidRPr="00C45D54">
        <w:rPr>
          <w:rFonts w:ascii="Abadi" w:hAnsi="Abadi" w:cs="*Arial-4970-Identity-H"/>
          <w:color w:val="14131B"/>
          <w:sz w:val="21"/>
          <w:szCs w:val="21"/>
        </w:rPr>
        <w:t xml:space="preserve"> el desarrollo de un entorno cómodo y seguro para facilitar la movilidad de</w:t>
      </w:r>
      <w:r>
        <w:rPr>
          <w:rFonts w:ascii="Abadi" w:hAnsi="Abadi" w:cs="*Arial-4970-Identity-H"/>
          <w:color w:val="14131B"/>
          <w:sz w:val="21"/>
          <w:szCs w:val="21"/>
        </w:rPr>
        <w:t xml:space="preserve"> </w:t>
      </w:r>
      <w:r w:rsidRPr="00C45D54">
        <w:rPr>
          <w:rFonts w:ascii="Abadi" w:hAnsi="Abadi" w:cs="*Arial-4970-Identity-H"/>
          <w:color w:val="14131B"/>
          <w:sz w:val="21"/>
          <w:szCs w:val="21"/>
        </w:rPr>
        <w:t>la población, el disfrute de la ciudad, del patrimonio cultural y de los espacios</w:t>
      </w:r>
      <w:r>
        <w:rPr>
          <w:rFonts w:ascii="Abadi" w:hAnsi="Abadi" w:cs="*Arial-4970-Identity-H"/>
          <w:color w:val="14131B"/>
          <w:sz w:val="21"/>
          <w:szCs w:val="21"/>
        </w:rPr>
        <w:t xml:space="preserve"> </w:t>
      </w:r>
      <w:r w:rsidRPr="00C45D54">
        <w:rPr>
          <w:rFonts w:ascii="Abadi" w:hAnsi="Abadi" w:cs="*Arial-4970-Identity-H"/>
          <w:color w:val="14131B"/>
          <w:sz w:val="21"/>
          <w:szCs w:val="21"/>
        </w:rPr>
        <w:t>públicos; a su vez, mantiene una estrecha relación con la creación de condiciones</w:t>
      </w:r>
      <w:r>
        <w:rPr>
          <w:rFonts w:ascii="Abadi" w:hAnsi="Abadi" w:cs="*Arial-4970-Identity-H"/>
          <w:color w:val="14131B"/>
          <w:sz w:val="21"/>
          <w:szCs w:val="21"/>
        </w:rPr>
        <w:t xml:space="preserve"> </w:t>
      </w:r>
      <w:r w:rsidRPr="00C45D54">
        <w:rPr>
          <w:rFonts w:ascii="Abadi" w:hAnsi="Abadi" w:cs="*Arial-4970-Identity-H"/>
          <w:color w:val="14131B"/>
          <w:sz w:val="21"/>
          <w:szCs w:val="21"/>
        </w:rPr>
        <w:t>de seguridad en la vida cotidiana de la población, esto último por considerase un</w:t>
      </w:r>
      <w:r>
        <w:rPr>
          <w:rFonts w:ascii="Abadi" w:hAnsi="Abadi" w:cs="*Arial-4970-Identity-H"/>
          <w:color w:val="14131B"/>
          <w:sz w:val="21"/>
          <w:szCs w:val="21"/>
        </w:rPr>
        <w:t xml:space="preserve"> </w:t>
      </w:r>
      <w:r w:rsidRPr="00C45D54">
        <w:rPr>
          <w:rFonts w:ascii="Abadi" w:hAnsi="Abadi" w:cs="*Arial-4970-Identity-H"/>
          <w:color w:val="14131B"/>
          <w:sz w:val="21"/>
          <w:szCs w:val="21"/>
        </w:rPr>
        <w:t>factor que contribuye a reducir la percepción de inseguridad.</w:t>
      </w:r>
    </w:p>
    <w:p w14:paraId="5CDBE879" w14:textId="77777777" w:rsidR="00313CE6" w:rsidRDefault="00313CE6" w:rsidP="00313CE6">
      <w:pPr>
        <w:autoSpaceDE w:val="0"/>
        <w:autoSpaceDN w:val="0"/>
        <w:adjustRightInd w:val="0"/>
        <w:jc w:val="both"/>
        <w:rPr>
          <w:rFonts w:ascii="Abadi" w:hAnsi="Abadi" w:cs="*Arial-5239-Identity-H"/>
          <w:color w:val="1C1C1F"/>
          <w:sz w:val="21"/>
          <w:szCs w:val="21"/>
        </w:rPr>
      </w:pPr>
    </w:p>
    <w:p w14:paraId="7B7248E3" w14:textId="77777777" w:rsidR="00313CE6" w:rsidRPr="00C45D54" w:rsidRDefault="00313CE6" w:rsidP="00313CE6">
      <w:pPr>
        <w:autoSpaceDE w:val="0"/>
        <w:autoSpaceDN w:val="0"/>
        <w:adjustRightInd w:val="0"/>
        <w:jc w:val="both"/>
        <w:rPr>
          <w:rFonts w:ascii="Abadi" w:hAnsi="Abadi" w:cs="*Arial-5239-Identity-H"/>
          <w:color w:val="1C1C1F"/>
          <w:sz w:val="21"/>
          <w:szCs w:val="21"/>
        </w:rPr>
      </w:pPr>
    </w:p>
    <w:p w14:paraId="6A6331FC" w14:textId="77777777" w:rsidR="00313CE6" w:rsidRDefault="00313CE6" w:rsidP="00313CE6">
      <w:pPr>
        <w:autoSpaceDE w:val="0"/>
        <w:autoSpaceDN w:val="0"/>
        <w:adjustRightInd w:val="0"/>
        <w:ind w:firstLine="708"/>
        <w:jc w:val="both"/>
        <w:rPr>
          <w:rFonts w:ascii="Abadi" w:hAnsi="Abadi" w:cs="*Arial-5238-Identity-H"/>
          <w:color w:val="14131C"/>
          <w:sz w:val="21"/>
          <w:szCs w:val="21"/>
        </w:rPr>
      </w:pPr>
      <w:r w:rsidRPr="00C45D54">
        <w:rPr>
          <w:rFonts w:ascii="Abadi" w:hAnsi="Abadi" w:cs="*Arial-5238-Identity-H"/>
          <w:color w:val="14131C"/>
          <w:sz w:val="21"/>
          <w:szCs w:val="21"/>
        </w:rPr>
        <w:t>Derivado de lo anterior, el adecuado desempeño de los servicios públicos</w:t>
      </w:r>
      <w:r>
        <w:rPr>
          <w:rFonts w:ascii="Abadi" w:hAnsi="Abadi" w:cs="*Arial-5238-Identity-H"/>
          <w:color w:val="14131C"/>
          <w:sz w:val="21"/>
          <w:szCs w:val="21"/>
        </w:rPr>
        <w:t xml:space="preserve"> </w:t>
      </w:r>
      <w:r w:rsidRPr="00C45D54">
        <w:rPr>
          <w:rFonts w:ascii="Abadi" w:hAnsi="Abadi" w:cs="*Arial-5238-Identity-H"/>
          <w:color w:val="14131C"/>
          <w:sz w:val="21"/>
          <w:szCs w:val="21"/>
        </w:rPr>
        <w:t>incide en la calidad de vida de los habitantes y, por ello, es conveniente que se</w:t>
      </w:r>
      <w:r>
        <w:rPr>
          <w:rFonts w:ascii="Abadi" w:hAnsi="Abadi" w:cs="*Arial-5238-Identity-H"/>
          <w:color w:val="14131C"/>
          <w:sz w:val="21"/>
          <w:szCs w:val="21"/>
        </w:rPr>
        <w:t xml:space="preserve"> </w:t>
      </w:r>
      <w:r w:rsidRPr="00C45D54">
        <w:rPr>
          <w:rFonts w:ascii="Abadi" w:hAnsi="Abadi" w:cs="*Arial-5238-Identity-H"/>
          <w:color w:val="14131C"/>
          <w:sz w:val="21"/>
          <w:szCs w:val="21"/>
        </w:rPr>
        <w:t>administre bajo modelos de gestión orientados a los resultados que garanticen su</w:t>
      </w:r>
      <w:r>
        <w:rPr>
          <w:rFonts w:ascii="Abadi" w:hAnsi="Abadi" w:cs="*Arial-5238-Identity-H"/>
          <w:color w:val="14131C"/>
          <w:sz w:val="21"/>
          <w:szCs w:val="21"/>
        </w:rPr>
        <w:t xml:space="preserve"> </w:t>
      </w:r>
      <w:r w:rsidRPr="00C45D54">
        <w:rPr>
          <w:rFonts w:ascii="Abadi" w:hAnsi="Abadi" w:cs="*Arial-5238-Identity-H"/>
          <w:color w:val="14131C"/>
          <w:sz w:val="21"/>
          <w:szCs w:val="21"/>
        </w:rPr>
        <w:t>adecuada operación, permanencia, continuidad, uniformidad e igualdad ante los</w:t>
      </w:r>
      <w:r>
        <w:rPr>
          <w:rFonts w:ascii="Abadi" w:hAnsi="Abadi" w:cs="*Arial-5238-Identity-H"/>
          <w:color w:val="14131C"/>
          <w:sz w:val="21"/>
          <w:szCs w:val="21"/>
        </w:rPr>
        <w:t xml:space="preserve"> </w:t>
      </w:r>
      <w:r w:rsidRPr="00C45D54">
        <w:rPr>
          <w:rFonts w:ascii="Abadi" w:hAnsi="Abadi" w:cs="*Arial-5238-Identity-H"/>
          <w:color w:val="14131C"/>
          <w:sz w:val="21"/>
          <w:szCs w:val="21"/>
        </w:rPr>
        <w:t>usuarios, asegurando una cobertura integral y una oferta al alcance de la</w:t>
      </w:r>
      <w:r>
        <w:rPr>
          <w:rFonts w:ascii="Abadi" w:hAnsi="Abadi" w:cs="*Arial-5238-Identity-H"/>
          <w:color w:val="14131C"/>
          <w:sz w:val="21"/>
          <w:szCs w:val="21"/>
        </w:rPr>
        <w:t xml:space="preserve"> </w:t>
      </w:r>
      <w:r w:rsidRPr="00C45D54">
        <w:rPr>
          <w:rFonts w:ascii="Abadi" w:hAnsi="Abadi" w:cs="*Arial-5238-Identity-H"/>
          <w:color w:val="14131C"/>
          <w:sz w:val="21"/>
          <w:szCs w:val="21"/>
        </w:rPr>
        <w:t>población municipal que lo requiera.</w:t>
      </w:r>
    </w:p>
    <w:p w14:paraId="7A8184C2" w14:textId="77777777" w:rsidR="00313CE6" w:rsidRPr="00C45D54" w:rsidRDefault="00313CE6" w:rsidP="00313CE6">
      <w:pPr>
        <w:autoSpaceDE w:val="0"/>
        <w:autoSpaceDN w:val="0"/>
        <w:adjustRightInd w:val="0"/>
        <w:jc w:val="both"/>
        <w:rPr>
          <w:rFonts w:ascii="Abadi" w:hAnsi="Abadi" w:cs="*Arial-5238-Identity-H"/>
          <w:color w:val="14131C"/>
          <w:sz w:val="21"/>
          <w:szCs w:val="21"/>
        </w:rPr>
      </w:pPr>
    </w:p>
    <w:p w14:paraId="55CEFC1D" w14:textId="77777777" w:rsidR="00313CE6" w:rsidRDefault="00313CE6" w:rsidP="00313CE6">
      <w:pPr>
        <w:autoSpaceDE w:val="0"/>
        <w:autoSpaceDN w:val="0"/>
        <w:adjustRightInd w:val="0"/>
        <w:ind w:firstLine="708"/>
        <w:jc w:val="both"/>
        <w:rPr>
          <w:rFonts w:ascii="Abadi" w:hAnsi="Abadi" w:cs="*Arial-5238-Identity-H"/>
          <w:color w:val="15131C"/>
          <w:sz w:val="21"/>
          <w:szCs w:val="21"/>
        </w:rPr>
      </w:pPr>
      <w:r w:rsidRPr="00C45D54">
        <w:rPr>
          <w:rFonts w:ascii="Abadi" w:hAnsi="Abadi" w:cs="*Arial-5238-Identity-H"/>
          <w:color w:val="15131C"/>
          <w:sz w:val="21"/>
          <w:szCs w:val="21"/>
        </w:rPr>
        <w:t>Es así que en el caso que nos ocupa, se definió el objetivo general de la</w:t>
      </w:r>
      <w:r>
        <w:rPr>
          <w:rFonts w:ascii="Abadi" w:hAnsi="Abadi" w:cs="*Arial-5238-Identity-H"/>
          <w:color w:val="15131C"/>
          <w:sz w:val="21"/>
          <w:szCs w:val="21"/>
        </w:rPr>
        <w:t xml:space="preserve"> </w:t>
      </w:r>
      <w:r w:rsidRPr="00C45D54">
        <w:rPr>
          <w:rFonts w:ascii="Abadi" w:hAnsi="Abadi" w:cs="*Arial-5238-Identity-H"/>
          <w:color w:val="15131C"/>
          <w:sz w:val="21"/>
          <w:szCs w:val="21"/>
        </w:rPr>
        <w:t>auditoría con el propósito de verificar la capacidad del municipio de Guanajuato,</w:t>
      </w:r>
      <w:r>
        <w:rPr>
          <w:rFonts w:ascii="Abadi" w:hAnsi="Abadi" w:cs="*Arial-5238-Identity-H"/>
          <w:color w:val="15131C"/>
          <w:sz w:val="21"/>
          <w:szCs w:val="21"/>
        </w:rPr>
        <w:t xml:space="preserve"> </w:t>
      </w:r>
      <w:r w:rsidRPr="00C45D54">
        <w:rPr>
          <w:rFonts w:ascii="Abadi" w:hAnsi="Abadi" w:cs="*Arial-5238-Identity-H"/>
          <w:color w:val="15131C"/>
          <w:sz w:val="21"/>
          <w:szCs w:val="21"/>
        </w:rPr>
        <w:t>Gto., para lograr una prestación eficaz del servicio de alumbrado público a su</w:t>
      </w:r>
      <w:r>
        <w:rPr>
          <w:rFonts w:ascii="Abadi" w:hAnsi="Abadi" w:cs="*Arial-5238-Identity-H"/>
          <w:color w:val="15131C"/>
          <w:sz w:val="21"/>
          <w:szCs w:val="21"/>
        </w:rPr>
        <w:t xml:space="preserve"> </w:t>
      </w:r>
      <w:r w:rsidRPr="00C45D54">
        <w:rPr>
          <w:rFonts w:ascii="Abadi" w:hAnsi="Abadi" w:cs="*Arial-5238-Identity-H"/>
          <w:color w:val="15131C"/>
          <w:sz w:val="21"/>
          <w:szCs w:val="21"/>
        </w:rPr>
        <w:t>población, así como de conocer si las funciones de planificación, operación y</w:t>
      </w:r>
      <w:r>
        <w:rPr>
          <w:rFonts w:ascii="Abadi" w:hAnsi="Abadi" w:cs="*Arial-5238-Identity-H"/>
          <w:color w:val="15131C"/>
          <w:sz w:val="21"/>
          <w:szCs w:val="21"/>
        </w:rPr>
        <w:t xml:space="preserve"> </w:t>
      </w:r>
      <w:r w:rsidRPr="00C45D54">
        <w:rPr>
          <w:rFonts w:ascii="Abadi" w:hAnsi="Abadi" w:cs="*Arial-5238-Identity-H"/>
          <w:color w:val="15131C"/>
          <w:sz w:val="21"/>
          <w:szCs w:val="21"/>
        </w:rPr>
        <w:t>seguimiento se desarrollaron bajo el principio de eficiencia, ya que de ello</w:t>
      </w:r>
      <w:r>
        <w:rPr>
          <w:rFonts w:ascii="Abadi" w:hAnsi="Abadi" w:cs="*Arial-5238-Identity-H"/>
          <w:color w:val="15131C"/>
          <w:sz w:val="21"/>
          <w:szCs w:val="21"/>
        </w:rPr>
        <w:t xml:space="preserve"> </w:t>
      </w:r>
      <w:r w:rsidRPr="00C45D54">
        <w:rPr>
          <w:rFonts w:ascii="Abadi" w:hAnsi="Abadi" w:cs="*Arial-5238-Identity-H"/>
          <w:color w:val="15131C"/>
          <w:sz w:val="21"/>
          <w:szCs w:val="21"/>
        </w:rPr>
        <w:t>depende el grado de satisfacción de la comunidad.</w:t>
      </w:r>
    </w:p>
    <w:p w14:paraId="00AAC546" w14:textId="77777777" w:rsidR="00313CE6" w:rsidRPr="00C45D54" w:rsidRDefault="00313CE6" w:rsidP="00313CE6">
      <w:pPr>
        <w:autoSpaceDE w:val="0"/>
        <w:autoSpaceDN w:val="0"/>
        <w:adjustRightInd w:val="0"/>
        <w:jc w:val="both"/>
        <w:rPr>
          <w:rFonts w:ascii="Abadi" w:hAnsi="Abadi" w:cs="*Arial-5238-Identity-H"/>
          <w:color w:val="15131C"/>
          <w:sz w:val="21"/>
          <w:szCs w:val="21"/>
        </w:rPr>
      </w:pPr>
    </w:p>
    <w:p w14:paraId="325EAEA6" w14:textId="77777777" w:rsidR="00313CE6" w:rsidRDefault="00313CE6" w:rsidP="00313CE6">
      <w:pPr>
        <w:autoSpaceDE w:val="0"/>
        <w:autoSpaceDN w:val="0"/>
        <w:adjustRightInd w:val="0"/>
        <w:ind w:firstLine="708"/>
        <w:jc w:val="both"/>
        <w:rPr>
          <w:rFonts w:ascii="Abadi" w:hAnsi="Abadi" w:cs="*Arial-5238-Identity-H"/>
          <w:color w:val="15141B"/>
          <w:sz w:val="21"/>
          <w:szCs w:val="21"/>
        </w:rPr>
      </w:pPr>
      <w:r w:rsidRPr="00C45D54">
        <w:rPr>
          <w:rFonts w:ascii="Abadi" w:hAnsi="Abadi" w:cs="*Arial-5238-Identity-H"/>
          <w:color w:val="15141B"/>
          <w:sz w:val="21"/>
          <w:szCs w:val="21"/>
        </w:rPr>
        <w:t>Para su consecución, las labores de la Auditoría Superior del Estado</w:t>
      </w:r>
      <w:r>
        <w:rPr>
          <w:rFonts w:ascii="Abadi" w:hAnsi="Abadi" w:cs="*Arial-5238-Identity-H"/>
          <w:color w:val="15141B"/>
          <w:sz w:val="21"/>
          <w:szCs w:val="21"/>
        </w:rPr>
        <w:t xml:space="preserve"> </w:t>
      </w:r>
      <w:r w:rsidRPr="00C45D54">
        <w:rPr>
          <w:rFonts w:ascii="Abadi" w:hAnsi="Abadi" w:cs="*Arial-5238-Identity-H"/>
          <w:color w:val="15141B"/>
          <w:sz w:val="21"/>
          <w:szCs w:val="21"/>
        </w:rPr>
        <w:t>consideraron la verificación de la existencia de procesos diagnósticos o de</w:t>
      </w:r>
      <w:r>
        <w:rPr>
          <w:rFonts w:ascii="Abadi" w:hAnsi="Abadi" w:cs="*Arial-5238-Identity-H"/>
          <w:color w:val="15141B"/>
          <w:sz w:val="21"/>
          <w:szCs w:val="21"/>
        </w:rPr>
        <w:t xml:space="preserve"> </w:t>
      </w:r>
      <w:r w:rsidRPr="00C45D54">
        <w:rPr>
          <w:rFonts w:ascii="Abadi" w:hAnsi="Abadi" w:cs="*Arial-5238-Identity-H"/>
          <w:color w:val="15141B"/>
          <w:sz w:val="21"/>
          <w:szCs w:val="21"/>
        </w:rPr>
        <w:t>planificación que permitieran a la administración municipal conocer la oferta del</w:t>
      </w:r>
      <w:r>
        <w:rPr>
          <w:rFonts w:ascii="Abadi" w:hAnsi="Abadi" w:cs="*Arial-5238-Identity-H"/>
          <w:color w:val="15141B"/>
          <w:sz w:val="21"/>
          <w:szCs w:val="21"/>
        </w:rPr>
        <w:t xml:space="preserve"> </w:t>
      </w:r>
      <w:r w:rsidRPr="00C45D54">
        <w:rPr>
          <w:rFonts w:ascii="Abadi" w:hAnsi="Abadi" w:cs="*Arial-5238-Identity-H"/>
          <w:color w:val="15141B"/>
          <w:sz w:val="21"/>
          <w:szCs w:val="21"/>
        </w:rPr>
        <w:t>servicio y las brechas por cubrir, definir la estimación de recursos para una</w:t>
      </w:r>
      <w:r>
        <w:rPr>
          <w:rFonts w:ascii="Abadi" w:hAnsi="Abadi" w:cs="*Arial-5238-Identity-H"/>
          <w:color w:val="15141B"/>
          <w:sz w:val="21"/>
          <w:szCs w:val="21"/>
        </w:rPr>
        <w:t xml:space="preserve"> </w:t>
      </w:r>
      <w:r w:rsidRPr="00C45D54">
        <w:rPr>
          <w:rFonts w:ascii="Abadi" w:hAnsi="Abadi" w:cs="*Arial-5238-Identity-H"/>
          <w:color w:val="15141B"/>
          <w:sz w:val="21"/>
          <w:szCs w:val="21"/>
        </w:rPr>
        <w:t>adecuada operación y la definición de metas y objetivos orientados a la mejora del</w:t>
      </w:r>
      <w:r>
        <w:rPr>
          <w:rFonts w:ascii="Abadi" w:hAnsi="Abadi" w:cs="*Arial-5238-Identity-H"/>
          <w:color w:val="15141B"/>
          <w:sz w:val="21"/>
          <w:szCs w:val="21"/>
        </w:rPr>
        <w:t xml:space="preserve"> </w:t>
      </w:r>
      <w:r w:rsidRPr="00C45D54">
        <w:rPr>
          <w:rFonts w:ascii="Abadi" w:hAnsi="Abadi" w:cs="*Arial-5238-Identity-H"/>
          <w:color w:val="15141B"/>
          <w:sz w:val="21"/>
          <w:szCs w:val="21"/>
        </w:rPr>
        <w:t>servicio; respecto de la operación, se consideró la verificación del establecimiento</w:t>
      </w:r>
      <w:r>
        <w:rPr>
          <w:rFonts w:ascii="Abadi" w:hAnsi="Abadi" w:cs="*Arial-5238-Identity-H"/>
          <w:color w:val="15141B"/>
          <w:sz w:val="21"/>
          <w:szCs w:val="21"/>
        </w:rPr>
        <w:t xml:space="preserve"> </w:t>
      </w:r>
      <w:r w:rsidRPr="00C45D54">
        <w:rPr>
          <w:rFonts w:ascii="Abadi" w:hAnsi="Abadi" w:cs="*Arial-5238-Identity-H"/>
          <w:color w:val="15141B"/>
          <w:sz w:val="21"/>
          <w:szCs w:val="21"/>
        </w:rPr>
        <w:t>de un marco normativo adecuado y vigente, la programación de actividades y su</w:t>
      </w:r>
      <w:r>
        <w:rPr>
          <w:rFonts w:ascii="Abadi" w:hAnsi="Abadi" w:cs="*Arial-5238-Identity-H"/>
          <w:color w:val="15141B"/>
          <w:sz w:val="21"/>
          <w:szCs w:val="21"/>
        </w:rPr>
        <w:t xml:space="preserve"> </w:t>
      </w:r>
      <w:r w:rsidRPr="00C45D54">
        <w:rPr>
          <w:rFonts w:ascii="Abadi" w:hAnsi="Abadi" w:cs="*Arial-5238-Identity-H"/>
          <w:color w:val="15141B"/>
          <w:sz w:val="21"/>
          <w:szCs w:val="21"/>
        </w:rPr>
        <w:t>consecución, los mecanismos de atención ciudadana para el reporte de fallas y los</w:t>
      </w:r>
      <w:r>
        <w:rPr>
          <w:rFonts w:ascii="Abadi" w:hAnsi="Abadi" w:cs="*Arial-5238-Identity-H"/>
          <w:color w:val="15141B"/>
          <w:sz w:val="21"/>
          <w:szCs w:val="21"/>
        </w:rPr>
        <w:t xml:space="preserve"> </w:t>
      </w:r>
      <w:r w:rsidRPr="00C45D54">
        <w:rPr>
          <w:rFonts w:ascii="Abadi" w:hAnsi="Abadi" w:cs="*Arial-5238-Identity-H"/>
          <w:color w:val="15141B"/>
          <w:sz w:val="21"/>
          <w:szCs w:val="21"/>
        </w:rPr>
        <w:t>resultados en la cobertura, mantenimiento y satisfacción. También se revisaron los</w:t>
      </w:r>
      <w:r>
        <w:rPr>
          <w:rFonts w:ascii="Abadi" w:hAnsi="Abadi" w:cs="*Arial-5238-Identity-H"/>
          <w:color w:val="15141B"/>
          <w:sz w:val="21"/>
          <w:szCs w:val="21"/>
        </w:rPr>
        <w:t xml:space="preserve"> </w:t>
      </w:r>
      <w:r w:rsidRPr="00C45D54">
        <w:rPr>
          <w:rFonts w:ascii="Abadi" w:hAnsi="Abadi" w:cs="*Arial-5238-Identity-H"/>
          <w:color w:val="15141B"/>
          <w:sz w:val="21"/>
          <w:szCs w:val="21"/>
        </w:rPr>
        <w:t>mecanismos de monitoreo y evaluación, con el objetivo de analizar el desempeño</w:t>
      </w:r>
      <w:r>
        <w:rPr>
          <w:rFonts w:ascii="Abadi" w:hAnsi="Abadi" w:cs="*Arial-5238-Identity-H"/>
          <w:color w:val="15141B"/>
          <w:sz w:val="21"/>
          <w:szCs w:val="21"/>
        </w:rPr>
        <w:t xml:space="preserve"> </w:t>
      </w:r>
      <w:r w:rsidRPr="00C45D54">
        <w:rPr>
          <w:rFonts w:ascii="Abadi" w:hAnsi="Abadi" w:cs="*Arial-5238-Identity-H"/>
          <w:color w:val="15141B"/>
          <w:sz w:val="21"/>
          <w:szCs w:val="21"/>
        </w:rPr>
        <w:t>del Municipio en el otorgamiento del servicio, y verificar la eficiencia y la eficacia</w:t>
      </w:r>
      <w:r>
        <w:rPr>
          <w:rFonts w:ascii="Abadi" w:hAnsi="Abadi" w:cs="*Arial-5238-Identity-H"/>
          <w:color w:val="15141B"/>
          <w:sz w:val="21"/>
          <w:szCs w:val="21"/>
        </w:rPr>
        <w:t xml:space="preserve"> </w:t>
      </w:r>
      <w:r w:rsidRPr="00C45D54">
        <w:rPr>
          <w:rFonts w:ascii="Abadi" w:hAnsi="Abadi" w:cs="*Arial-5238-Identity-H"/>
          <w:color w:val="15141B"/>
          <w:sz w:val="21"/>
          <w:szCs w:val="21"/>
        </w:rPr>
        <w:t>del alumbrado público municipal en beneficio de la ciudadanía.</w:t>
      </w:r>
    </w:p>
    <w:p w14:paraId="755EF430" w14:textId="77777777" w:rsidR="00313CE6" w:rsidRPr="00C45D54" w:rsidRDefault="00313CE6" w:rsidP="00313CE6">
      <w:pPr>
        <w:autoSpaceDE w:val="0"/>
        <w:autoSpaceDN w:val="0"/>
        <w:adjustRightInd w:val="0"/>
        <w:jc w:val="both"/>
        <w:rPr>
          <w:rFonts w:ascii="Abadi" w:hAnsi="Abadi" w:cs="*Arial-5238-Identity-H"/>
          <w:color w:val="15141B"/>
          <w:sz w:val="21"/>
          <w:szCs w:val="21"/>
        </w:rPr>
      </w:pPr>
    </w:p>
    <w:p w14:paraId="56CAD1A1" w14:textId="77777777" w:rsidR="00313CE6" w:rsidRPr="00C45D54" w:rsidRDefault="00313CE6" w:rsidP="00313CE6">
      <w:pPr>
        <w:autoSpaceDE w:val="0"/>
        <w:autoSpaceDN w:val="0"/>
        <w:adjustRightInd w:val="0"/>
        <w:ind w:firstLine="708"/>
        <w:jc w:val="both"/>
        <w:rPr>
          <w:rFonts w:ascii="Abadi" w:hAnsi="Abadi" w:cs="*Arial-5238-Identity-H"/>
          <w:color w:val="14141C"/>
          <w:sz w:val="21"/>
          <w:szCs w:val="21"/>
        </w:rPr>
      </w:pPr>
      <w:r w:rsidRPr="00C45D54">
        <w:rPr>
          <w:rFonts w:ascii="Abadi" w:hAnsi="Abadi" w:cs="*Arial-5238-Identity-H"/>
          <w:color w:val="14141C"/>
          <w:sz w:val="21"/>
          <w:szCs w:val="21"/>
        </w:rPr>
        <w:t>Asimismo, se hace constar que la administración pública municipal de</w:t>
      </w:r>
      <w:r>
        <w:rPr>
          <w:rFonts w:ascii="Abadi" w:hAnsi="Abadi" w:cs="*Arial-5238-Identity-H"/>
          <w:color w:val="14141C"/>
          <w:sz w:val="21"/>
          <w:szCs w:val="21"/>
        </w:rPr>
        <w:t xml:space="preserve"> </w:t>
      </w:r>
      <w:r w:rsidRPr="00C45D54">
        <w:rPr>
          <w:rFonts w:ascii="Abadi" w:hAnsi="Abadi" w:cs="*Arial-5238-Identity-H"/>
          <w:color w:val="14141C"/>
          <w:sz w:val="21"/>
          <w:szCs w:val="21"/>
        </w:rPr>
        <w:t>Guanajuato, Gto., implementó acciones para otorgar el servicio de alumbrado</w:t>
      </w:r>
      <w:r>
        <w:rPr>
          <w:rFonts w:ascii="Abadi" w:hAnsi="Abadi" w:cs="*Arial-5238-Identity-H"/>
          <w:color w:val="14141C"/>
          <w:sz w:val="21"/>
          <w:szCs w:val="21"/>
        </w:rPr>
        <w:t xml:space="preserve"> </w:t>
      </w:r>
      <w:r w:rsidRPr="00C45D54">
        <w:rPr>
          <w:rFonts w:ascii="Abadi" w:hAnsi="Abadi" w:cs="*Arial-5238-Identity-H"/>
          <w:color w:val="14141C"/>
          <w:sz w:val="21"/>
          <w:szCs w:val="21"/>
        </w:rPr>
        <w:t>público a la población, destacando entre sus fortalezas, la implementación de</w:t>
      </w:r>
      <w:r>
        <w:rPr>
          <w:rFonts w:ascii="Abadi" w:hAnsi="Abadi" w:cs="*Arial-5238-Identity-H"/>
          <w:color w:val="14141C"/>
          <w:sz w:val="21"/>
          <w:szCs w:val="21"/>
        </w:rPr>
        <w:t xml:space="preserve"> </w:t>
      </w:r>
      <w:r w:rsidRPr="00C45D54">
        <w:rPr>
          <w:rFonts w:ascii="Abadi" w:hAnsi="Abadi" w:cs="*Arial-5238-Identity-H"/>
          <w:color w:val="14141C"/>
          <w:sz w:val="21"/>
          <w:szCs w:val="21"/>
        </w:rPr>
        <w:t>acciones para llevar a cabo la actualización de la información censal para conocer</w:t>
      </w:r>
      <w:r>
        <w:rPr>
          <w:rFonts w:ascii="Abadi" w:hAnsi="Abadi" w:cs="*Arial-5238-Identity-H"/>
          <w:color w:val="14141C"/>
          <w:sz w:val="21"/>
          <w:szCs w:val="21"/>
        </w:rPr>
        <w:t xml:space="preserve"> </w:t>
      </w:r>
      <w:r w:rsidRPr="00C45D54">
        <w:rPr>
          <w:rFonts w:ascii="Abadi" w:hAnsi="Abadi" w:cs="*Arial-5238-Identity-H"/>
          <w:color w:val="14141C"/>
          <w:sz w:val="21"/>
          <w:szCs w:val="21"/>
        </w:rPr>
        <w:t>el número, ubicación y tipo de lámparas, así como la ejecución de recorridos</w:t>
      </w:r>
      <w:r>
        <w:rPr>
          <w:rFonts w:ascii="Abadi" w:hAnsi="Abadi" w:cs="*Arial-5238-Identity-H"/>
          <w:color w:val="14141C"/>
          <w:sz w:val="21"/>
          <w:szCs w:val="21"/>
        </w:rPr>
        <w:t xml:space="preserve"> </w:t>
      </w:r>
      <w:r w:rsidRPr="00C45D54">
        <w:rPr>
          <w:rFonts w:ascii="Abadi" w:hAnsi="Abadi" w:cs="*Arial-5238-Identity-H"/>
          <w:color w:val="14141C"/>
          <w:sz w:val="21"/>
          <w:szCs w:val="21"/>
        </w:rPr>
        <w:t>nocturnos diarios que le permitieron identificar puntos oscuros y, con ello, realizar</w:t>
      </w:r>
      <w:r>
        <w:rPr>
          <w:rFonts w:ascii="Abadi" w:hAnsi="Abadi" w:cs="*Arial-5238-Identity-H"/>
          <w:color w:val="14141C"/>
          <w:sz w:val="21"/>
          <w:szCs w:val="21"/>
        </w:rPr>
        <w:t xml:space="preserve"> </w:t>
      </w:r>
      <w:r w:rsidRPr="00C45D54">
        <w:rPr>
          <w:rFonts w:ascii="Abadi" w:hAnsi="Abadi" w:cs="*Arial-5238-Identity-H"/>
          <w:color w:val="14141C"/>
          <w:sz w:val="21"/>
          <w:szCs w:val="21"/>
        </w:rPr>
        <w:t>acciones pertinentes para asegurar su funcionamiento.</w:t>
      </w:r>
    </w:p>
    <w:p w14:paraId="3DD8FD35" w14:textId="77777777" w:rsidR="00313CE6" w:rsidRDefault="00313CE6" w:rsidP="00313CE6">
      <w:pPr>
        <w:autoSpaceDE w:val="0"/>
        <w:autoSpaceDN w:val="0"/>
        <w:adjustRightInd w:val="0"/>
        <w:jc w:val="both"/>
        <w:rPr>
          <w:rFonts w:ascii="Abadi" w:hAnsi="Abadi" w:cs="*Arial-5454-Identity-H"/>
          <w:color w:val="14131B"/>
          <w:sz w:val="21"/>
          <w:szCs w:val="21"/>
        </w:rPr>
      </w:pPr>
    </w:p>
    <w:p w14:paraId="4876AD6D" w14:textId="77777777" w:rsidR="00313CE6" w:rsidRDefault="00313CE6" w:rsidP="00313CE6">
      <w:pPr>
        <w:autoSpaceDE w:val="0"/>
        <w:autoSpaceDN w:val="0"/>
        <w:adjustRightInd w:val="0"/>
        <w:ind w:firstLine="708"/>
        <w:jc w:val="both"/>
        <w:rPr>
          <w:rFonts w:ascii="Abadi" w:hAnsi="Abadi" w:cs="*Arial-5454-Identity-H"/>
          <w:color w:val="14131B"/>
          <w:sz w:val="21"/>
          <w:szCs w:val="21"/>
        </w:rPr>
      </w:pPr>
      <w:r w:rsidRPr="00C45D54">
        <w:rPr>
          <w:rFonts w:ascii="Abadi" w:hAnsi="Abadi" w:cs="*Arial-5454-Identity-H"/>
          <w:color w:val="14131B"/>
          <w:sz w:val="21"/>
          <w:szCs w:val="21"/>
        </w:rPr>
        <w:t>En cuanto a la gestión de la planificación se verificó que el sujeto fiscalizado</w:t>
      </w:r>
      <w:r>
        <w:rPr>
          <w:rFonts w:ascii="Abadi" w:hAnsi="Abadi" w:cs="*Arial-5454-Identity-H"/>
          <w:color w:val="14131B"/>
          <w:sz w:val="21"/>
          <w:szCs w:val="21"/>
        </w:rPr>
        <w:t xml:space="preserve"> </w:t>
      </w:r>
      <w:r w:rsidRPr="00C45D54">
        <w:rPr>
          <w:rFonts w:ascii="Abadi" w:hAnsi="Abadi" w:cs="*Arial-5454-Identity-H"/>
          <w:color w:val="14131B"/>
          <w:sz w:val="21"/>
          <w:szCs w:val="21"/>
        </w:rPr>
        <w:t>no previó acciones para la ampliación de la oferta en el servicio de alumbrado</w:t>
      </w:r>
      <w:r>
        <w:rPr>
          <w:rFonts w:ascii="Abadi" w:hAnsi="Abadi" w:cs="*Arial-5454-Identity-H"/>
          <w:color w:val="14131B"/>
          <w:sz w:val="21"/>
          <w:szCs w:val="21"/>
        </w:rPr>
        <w:t xml:space="preserve"> </w:t>
      </w:r>
      <w:r w:rsidRPr="00C45D54">
        <w:rPr>
          <w:rFonts w:ascii="Abadi" w:hAnsi="Abadi" w:cs="*Arial-5454-Identity-H"/>
          <w:color w:val="14131B"/>
          <w:sz w:val="21"/>
          <w:szCs w:val="21"/>
        </w:rPr>
        <w:t>público, ni para la modernización de las lámparas y luminarias que se encontraron</w:t>
      </w:r>
      <w:r>
        <w:rPr>
          <w:rFonts w:ascii="Abadi" w:hAnsi="Abadi" w:cs="*Arial-5454-Identity-H"/>
          <w:color w:val="14131B"/>
          <w:sz w:val="21"/>
          <w:szCs w:val="21"/>
        </w:rPr>
        <w:t xml:space="preserve"> </w:t>
      </w:r>
      <w:r w:rsidRPr="00C45D54">
        <w:rPr>
          <w:rFonts w:ascii="Abadi" w:hAnsi="Abadi" w:cs="*Arial-5454-Identity-H"/>
          <w:color w:val="14131B"/>
          <w:sz w:val="21"/>
          <w:szCs w:val="21"/>
        </w:rPr>
        <w:t>instaladas en el Municipio y, aun cuando inició la ejecución del censo de bienes</w:t>
      </w:r>
      <w:r>
        <w:rPr>
          <w:rFonts w:ascii="Abadi" w:hAnsi="Abadi" w:cs="*Arial-5454-Identity-H"/>
          <w:color w:val="14131B"/>
          <w:sz w:val="21"/>
          <w:szCs w:val="21"/>
        </w:rPr>
        <w:t xml:space="preserve"> l</w:t>
      </w:r>
      <w:r w:rsidRPr="00C45D54">
        <w:rPr>
          <w:rFonts w:ascii="Abadi" w:hAnsi="Abadi" w:cs="*Arial-5454-Identity-H"/>
          <w:color w:val="14131B"/>
          <w:sz w:val="21"/>
          <w:szCs w:val="21"/>
        </w:rPr>
        <w:t>umínicos y llevó a cabo su registro en una plataforma sistematizada que le</w:t>
      </w:r>
      <w:r>
        <w:rPr>
          <w:rFonts w:ascii="Abadi" w:hAnsi="Abadi" w:cs="*Arial-5454-Identity-H"/>
          <w:color w:val="14131B"/>
          <w:sz w:val="21"/>
          <w:szCs w:val="21"/>
        </w:rPr>
        <w:t xml:space="preserve"> </w:t>
      </w:r>
      <w:r w:rsidRPr="00C45D54">
        <w:rPr>
          <w:rFonts w:ascii="Abadi" w:hAnsi="Abadi" w:cs="*Arial-5454-Identity-H"/>
          <w:color w:val="14131B"/>
          <w:sz w:val="21"/>
          <w:szCs w:val="21"/>
        </w:rPr>
        <w:t>permitiría conocer, entre otros datos, la georreferenciación y ubicación exacta de</w:t>
      </w:r>
      <w:r>
        <w:rPr>
          <w:rFonts w:ascii="Abadi" w:hAnsi="Abadi" w:cs="*Arial-5454-Identity-H"/>
          <w:color w:val="14131B"/>
          <w:sz w:val="21"/>
          <w:szCs w:val="21"/>
        </w:rPr>
        <w:t xml:space="preserve"> </w:t>
      </w:r>
      <w:r w:rsidRPr="00C45D54">
        <w:rPr>
          <w:rFonts w:ascii="Abadi" w:hAnsi="Abadi" w:cs="*Arial-5454-Identity-H"/>
          <w:color w:val="14131B"/>
          <w:sz w:val="21"/>
          <w:szCs w:val="21"/>
        </w:rPr>
        <w:t>cada uno de estos, no se estimó la inclusión de la información relacionada con su</w:t>
      </w:r>
      <w:r>
        <w:rPr>
          <w:rFonts w:ascii="Abadi" w:hAnsi="Abadi" w:cs="*Arial-5454-Identity-H"/>
          <w:color w:val="14131B"/>
          <w:sz w:val="21"/>
          <w:szCs w:val="21"/>
        </w:rPr>
        <w:t xml:space="preserve"> </w:t>
      </w:r>
      <w:r w:rsidRPr="00C45D54">
        <w:rPr>
          <w:rFonts w:ascii="Abadi" w:hAnsi="Abadi" w:cs="*Arial-5454-Identity-H"/>
          <w:color w:val="14131B"/>
          <w:sz w:val="21"/>
          <w:szCs w:val="21"/>
        </w:rPr>
        <w:t>funcionamiento, dato que, de acuerdo con el Instituto Nacional para el Federalismo</w:t>
      </w:r>
      <w:r>
        <w:rPr>
          <w:rFonts w:ascii="Abadi" w:hAnsi="Abadi" w:cs="*Arial-5454-Identity-H"/>
          <w:color w:val="14131B"/>
          <w:sz w:val="21"/>
          <w:szCs w:val="21"/>
        </w:rPr>
        <w:t xml:space="preserve"> </w:t>
      </w:r>
      <w:r w:rsidRPr="00C45D54">
        <w:rPr>
          <w:rFonts w:ascii="Abadi" w:hAnsi="Abadi" w:cs="*Arial-5454-Identity-H"/>
          <w:color w:val="14131B"/>
          <w:sz w:val="21"/>
          <w:szCs w:val="21"/>
        </w:rPr>
        <w:t xml:space="preserve">y el Desarrollo Municipal es relevante para que </w:t>
      </w:r>
      <w:r>
        <w:rPr>
          <w:rFonts w:ascii="Abadi" w:hAnsi="Abadi" w:cs="*Arial-5454-Identity-H"/>
          <w:color w:val="14131B"/>
          <w:sz w:val="21"/>
          <w:szCs w:val="21"/>
        </w:rPr>
        <w:t>la</w:t>
      </w:r>
      <w:r w:rsidRPr="00C45D54">
        <w:rPr>
          <w:rFonts w:ascii="Abadi" w:hAnsi="Abadi" w:cs="*Arial-5454-Identity-H"/>
          <w:color w:val="14131B"/>
          <w:sz w:val="21"/>
          <w:szCs w:val="21"/>
        </w:rPr>
        <w:t>s autoridades puedan conocer el</w:t>
      </w:r>
      <w:r>
        <w:rPr>
          <w:rFonts w:ascii="Abadi" w:hAnsi="Abadi" w:cs="*Arial-5454-Identity-H"/>
          <w:color w:val="14131B"/>
          <w:sz w:val="21"/>
          <w:szCs w:val="21"/>
        </w:rPr>
        <w:t xml:space="preserve"> </w:t>
      </w:r>
      <w:r w:rsidRPr="00C45D54">
        <w:rPr>
          <w:rFonts w:ascii="Abadi" w:hAnsi="Abadi" w:cs="*Arial-5454-Identity-H"/>
          <w:color w:val="14131B"/>
          <w:sz w:val="21"/>
          <w:szCs w:val="21"/>
        </w:rPr>
        <w:t>nivel de cobertura en su territorio.</w:t>
      </w:r>
    </w:p>
    <w:p w14:paraId="0BE7F9E7" w14:textId="77777777" w:rsidR="00313CE6" w:rsidRPr="00C45D54" w:rsidRDefault="00313CE6" w:rsidP="00313CE6">
      <w:pPr>
        <w:autoSpaceDE w:val="0"/>
        <w:autoSpaceDN w:val="0"/>
        <w:adjustRightInd w:val="0"/>
        <w:jc w:val="both"/>
        <w:rPr>
          <w:rFonts w:ascii="Abadi" w:hAnsi="Abadi" w:cs="*Arial-5454-Identity-H"/>
          <w:color w:val="14131B"/>
          <w:sz w:val="21"/>
          <w:szCs w:val="21"/>
        </w:rPr>
      </w:pPr>
    </w:p>
    <w:p w14:paraId="5D6ADB72" w14:textId="77777777" w:rsidR="00313CE6" w:rsidRDefault="00313CE6" w:rsidP="00313CE6">
      <w:pPr>
        <w:autoSpaceDE w:val="0"/>
        <w:autoSpaceDN w:val="0"/>
        <w:adjustRightInd w:val="0"/>
        <w:ind w:firstLine="708"/>
        <w:jc w:val="both"/>
        <w:rPr>
          <w:rFonts w:ascii="Abadi" w:hAnsi="Abadi" w:cs="*Arial-5454-Identity-H"/>
          <w:color w:val="14131B"/>
          <w:sz w:val="21"/>
          <w:szCs w:val="21"/>
        </w:rPr>
      </w:pPr>
      <w:r w:rsidRPr="00C45D54">
        <w:rPr>
          <w:rFonts w:ascii="Abadi" w:hAnsi="Abadi" w:cs="*Arial-5454-Identity-H"/>
          <w:color w:val="14131B"/>
          <w:sz w:val="21"/>
          <w:szCs w:val="21"/>
        </w:rPr>
        <w:t>En lo que corresponde a la operación del servicio, se constató que el sujeto</w:t>
      </w:r>
      <w:r>
        <w:rPr>
          <w:rFonts w:ascii="Abadi" w:hAnsi="Abadi" w:cs="*Arial-5454-Identity-H"/>
          <w:color w:val="14131B"/>
          <w:sz w:val="21"/>
          <w:szCs w:val="21"/>
        </w:rPr>
        <w:t xml:space="preserve"> </w:t>
      </w:r>
      <w:r w:rsidRPr="00C45D54">
        <w:rPr>
          <w:rFonts w:ascii="Abadi" w:hAnsi="Abadi" w:cs="*Arial-5454-Identity-H"/>
          <w:color w:val="14131B"/>
          <w:sz w:val="21"/>
          <w:szCs w:val="21"/>
        </w:rPr>
        <w:t>fiscalizado no dispuso de los documentos normativos que le permitieran regular,</w:t>
      </w:r>
      <w:r>
        <w:rPr>
          <w:rFonts w:ascii="Abadi" w:hAnsi="Abadi" w:cs="*Arial-5454-Identity-H"/>
          <w:color w:val="14131B"/>
          <w:sz w:val="21"/>
          <w:szCs w:val="21"/>
        </w:rPr>
        <w:t xml:space="preserve"> </w:t>
      </w:r>
      <w:r w:rsidRPr="00C45D54">
        <w:rPr>
          <w:rFonts w:ascii="Abadi" w:hAnsi="Abadi" w:cs="*Arial-5454-Identity-H"/>
          <w:color w:val="14131B"/>
          <w:sz w:val="21"/>
          <w:szCs w:val="21"/>
        </w:rPr>
        <w:t>de manera específica, la prestación de este, los niveles de responsabilidad, ni las</w:t>
      </w:r>
      <w:r>
        <w:rPr>
          <w:rFonts w:ascii="Abadi" w:hAnsi="Abadi" w:cs="*Arial-5454-Identity-H"/>
          <w:color w:val="14131B"/>
          <w:sz w:val="21"/>
          <w:szCs w:val="21"/>
        </w:rPr>
        <w:t xml:space="preserve"> </w:t>
      </w:r>
      <w:r w:rsidRPr="00C45D54">
        <w:rPr>
          <w:rFonts w:ascii="Abadi" w:hAnsi="Abadi" w:cs="*Arial-5454-Identity-H"/>
          <w:color w:val="14131B"/>
          <w:sz w:val="21"/>
          <w:szCs w:val="21"/>
        </w:rPr>
        <w:t>actividades que debía realizar la Dirección de Alumbrado Público para garantizar</w:t>
      </w:r>
      <w:r>
        <w:rPr>
          <w:rFonts w:ascii="Abadi" w:hAnsi="Abadi" w:cs="*Arial-5454-Identity-H"/>
          <w:color w:val="14131B"/>
          <w:sz w:val="21"/>
          <w:szCs w:val="21"/>
        </w:rPr>
        <w:t xml:space="preserve"> </w:t>
      </w:r>
      <w:r w:rsidRPr="00C45D54">
        <w:rPr>
          <w:rFonts w:ascii="Abadi" w:hAnsi="Abadi" w:cs="*Arial-5454-Identity-H"/>
          <w:color w:val="14131B"/>
          <w:sz w:val="21"/>
          <w:szCs w:val="21"/>
        </w:rPr>
        <w:t>su otorgamiento.</w:t>
      </w:r>
    </w:p>
    <w:p w14:paraId="67719E05" w14:textId="77777777" w:rsidR="00313CE6" w:rsidRPr="00C45D54" w:rsidRDefault="00313CE6" w:rsidP="00313CE6">
      <w:pPr>
        <w:autoSpaceDE w:val="0"/>
        <w:autoSpaceDN w:val="0"/>
        <w:adjustRightInd w:val="0"/>
        <w:jc w:val="both"/>
        <w:rPr>
          <w:rFonts w:ascii="Abadi" w:hAnsi="Abadi" w:cs="*Arial-5454-Identity-H"/>
          <w:color w:val="14131B"/>
          <w:sz w:val="21"/>
          <w:szCs w:val="21"/>
        </w:rPr>
      </w:pPr>
    </w:p>
    <w:p w14:paraId="0CC81E74" w14:textId="77777777" w:rsidR="00313CE6" w:rsidRDefault="00313CE6" w:rsidP="00313CE6">
      <w:pPr>
        <w:autoSpaceDE w:val="0"/>
        <w:autoSpaceDN w:val="0"/>
        <w:adjustRightInd w:val="0"/>
        <w:ind w:firstLine="708"/>
        <w:jc w:val="both"/>
        <w:rPr>
          <w:rFonts w:ascii="Abadi" w:hAnsi="Abadi" w:cs="*Arial-5454-Identity-H"/>
          <w:color w:val="14131B"/>
          <w:sz w:val="21"/>
          <w:szCs w:val="21"/>
        </w:rPr>
      </w:pPr>
      <w:r w:rsidRPr="00C45D54">
        <w:rPr>
          <w:rFonts w:ascii="Abadi" w:hAnsi="Abadi" w:cs="*Arial-5454-Identity-H"/>
          <w:color w:val="14131B"/>
          <w:sz w:val="21"/>
          <w:szCs w:val="21"/>
        </w:rPr>
        <w:t>Por lo que hace a la capacidad del sujeto fiscalizado para garantizar una</w:t>
      </w:r>
      <w:r>
        <w:rPr>
          <w:rFonts w:ascii="Abadi" w:hAnsi="Abadi" w:cs="*Arial-5454-Identity-H"/>
          <w:color w:val="14131B"/>
          <w:sz w:val="21"/>
          <w:szCs w:val="21"/>
        </w:rPr>
        <w:t xml:space="preserve"> </w:t>
      </w:r>
      <w:r w:rsidRPr="00C45D54">
        <w:rPr>
          <w:rFonts w:ascii="Abadi" w:hAnsi="Abadi" w:cs="*Arial-5454-Identity-H"/>
          <w:color w:val="14131B"/>
          <w:sz w:val="21"/>
          <w:szCs w:val="21"/>
        </w:rPr>
        <w:t>prestación permanente y efectiva del servicio de alumbrado público, se evaluó la</w:t>
      </w:r>
      <w:r>
        <w:rPr>
          <w:rFonts w:ascii="Abadi" w:hAnsi="Abadi" w:cs="*Arial-5454-Identity-H"/>
          <w:color w:val="14131B"/>
          <w:sz w:val="21"/>
          <w:szCs w:val="21"/>
        </w:rPr>
        <w:t xml:space="preserve"> </w:t>
      </w:r>
      <w:r w:rsidRPr="00C45D54">
        <w:rPr>
          <w:rFonts w:ascii="Abadi" w:hAnsi="Abadi" w:cs="*Arial-5454-Identity-H"/>
          <w:color w:val="14131B"/>
          <w:sz w:val="21"/>
          <w:szCs w:val="21"/>
        </w:rPr>
        <w:t>calidad de la información relativa al mantenimiento, así como la correspondiente a</w:t>
      </w:r>
      <w:r>
        <w:rPr>
          <w:rFonts w:ascii="Abadi" w:hAnsi="Abadi" w:cs="*Arial-5454-Identity-H"/>
          <w:color w:val="14131B"/>
          <w:sz w:val="21"/>
          <w:szCs w:val="21"/>
        </w:rPr>
        <w:t xml:space="preserve"> </w:t>
      </w:r>
      <w:r w:rsidRPr="00C45D54">
        <w:rPr>
          <w:rFonts w:ascii="Abadi" w:hAnsi="Abadi" w:cs="*Arial-5454-Identity-H"/>
          <w:color w:val="14131B"/>
          <w:sz w:val="21"/>
          <w:szCs w:val="21"/>
        </w:rPr>
        <w:t>la cobertura y satisfacción ciudadana, con lo que se identificaron deficiencias en</w:t>
      </w:r>
      <w:r>
        <w:rPr>
          <w:rFonts w:ascii="Abadi" w:hAnsi="Abadi" w:cs="*Arial-5454-Identity-H"/>
          <w:color w:val="14131B"/>
          <w:sz w:val="21"/>
          <w:szCs w:val="21"/>
        </w:rPr>
        <w:t xml:space="preserve"> </w:t>
      </w:r>
      <w:r w:rsidRPr="00C45D54">
        <w:rPr>
          <w:rFonts w:ascii="Abadi" w:hAnsi="Abadi" w:cs="*Arial-5454-Identity-H"/>
          <w:color w:val="14131B"/>
          <w:sz w:val="21"/>
          <w:szCs w:val="21"/>
        </w:rPr>
        <w:t>las estrategias implementadas por el sujeto fiscalizado para dar atención a las</w:t>
      </w:r>
      <w:r>
        <w:rPr>
          <w:rFonts w:ascii="Abadi" w:hAnsi="Abadi" w:cs="*Arial-5454-Identity-H"/>
          <w:color w:val="14131B"/>
          <w:sz w:val="21"/>
          <w:szCs w:val="21"/>
        </w:rPr>
        <w:t xml:space="preserve"> </w:t>
      </w:r>
      <w:r w:rsidRPr="00C45D54">
        <w:rPr>
          <w:rFonts w:ascii="Abadi" w:hAnsi="Abadi" w:cs="*Arial-5454-Identity-H"/>
          <w:color w:val="14131B"/>
          <w:sz w:val="21"/>
          <w:szCs w:val="21"/>
        </w:rPr>
        <w:t>fallas reportadas por los habitantes del Municipio, en razón de que, aun cuando se</w:t>
      </w:r>
      <w:r>
        <w:rPr>
          <w:rFonts w:ascii="Abadi" w:hAnsi="Abadi" w:cs="*Arial-5454-Identity-H"/>
          <w:color w:val="14131B"/>
          <w:sz w:val="21"/>
          <w:szCs w:val="21"/>
        </w:rPr>
        <w:t xml:space="preserve"> </w:t>
      </w:r>
      <w:r w:rsidRPr="00C45D54">
        <w:rPr>
          <w:rFonts w:ascii="Abadi" w:hAnsi="Abadi" w:cs="*Arial-5454-Identity-H"/>
          <w:color w:val="14131B"/>
          <w:sz w:val="21"/>
          <w:szCs w:val="21"/>
        </w:rPr>
        <w:t>establecieron mecanismos para promover y garantizar la recepción de las quejas,</w:t>
      </w:r>
      <w:r>
        <w:rPr>
          <w:rFonts w:ascii="Abadi" w:hAnsi="Abadi" w:cs="*Arial-5454-Identity-H"/>
          <w:color w:val="14131B"/>
          <w:sz w:val="21"/>
          <w:szCs w:val="21"/>
        </w:rPr>
        <w:t xml:space="preserve"> </w:t>
      </w:r>
      <w:r w:rsidRPr="00C45D54">
        <w:rPr>
          <w:rFonts w:ascii="Abadi" w:hAnsi="Abadi" w:cs="*Arial-5454-Identity-H"/>
          <w:color w:val="14131B"/>
          <w:sz w:val="21"/>
          <w:szCs w:val="21"/>
        </w:rPr>
        <w:t>no en todos los casos se registró la información útil y de calidad necesaria para</w:t>
      </w:r>
      <w:r>
        <w:rPr>
          <w:rFonts w:ascii="Abadi" w:hAnsi="Abadi" w:cs="*Arial-5454-Identity-H"/>
          <w:color w:val="14131B"/>
          <w:sz w:val="21"/>
          <w:szCs w:val="21"/>
        </w:rPr>
        <w:t xml:space="preserve"> </w:t>
      </w:r>
      <w:r w:rsidRPr="00C45D54">
        <w:rPr>
          <w:rFonts w:ascii="Abadi" w:hAnsi="Abadi" w:cs="*Arial-5454-Identity-H"/>
          <w:color w:val="14131B"/>
          <w:sz w:val="21"/>
          <w:szCs w:val="21"/>
        </w:rPr>
        <w:t>dar seguimiento a los reportes recibidos, lo que impidió garantizar que se</w:t>
      </w:r>
      <w:r>
        <w:rPr>
          <w:rFonts w:ascii="Abadi" w:hAnsi="Abadi" w:cs="*Arial-5454-Identity-H"/>
          <w:color w:val="14131B"/>
          <w:sz w:val="21"/>
          <w:szCs w:val="21"/>
        </w:rPr>
        <w:t xml:space="preserve"> </w:t>
      </w:r>
      <w:r w:rsidRPr="00C45D54">
        <w:rPr>
          <w:rFonts w:ascii="Abadi" w:hAnsi="Abadi" w:cs="*Arial-5454-Identity-H"/>
          <w:color w:val="14131B"/>
          <w:sz w:val="21"/>
          <w:szCs w:val="21"/>
        </w:rPr>
        <w:t>mejoraran, de manera oportuna, las condiciones en las que se otorgó el servicio.</w:t>
      </w:r>
      <w:r>
        <w:rPr>
          <w:rFonts w:ascii="Abadi" w:hAnsi="Abadi" w:cs="*Arial-5454-Identity-H"/>
          <w:color w:val="14131B"/>
          <w:sz w:val="21"/>
          <w:szCs w:val="21"/>
        </w:rPr>
        <w:t xml:space="preserve"> </w:t>
      </w:r>
    </w:p>
    <w:p w14:paraId="74450C8C" w14:textId="77777777" w:rsidR="00313CE6" w:rsidRDefault="00313CE6" w:rsidP="00313CE6">
      <w:pPr>
        <w:autoSpaceDE w:val="0"/>
        <w:autoSpaceDN w:val="0"/>
        <w:adjustRightInd w:val="0"/>
        <w:jc w:val="both"/>
        <w:rPr>
          <w:rFonts w:ascii="Abadi" w:hAnsi="Abadi" w:cs="*Arial-5454-Identity-H"/>
          <w:color w:val="14131B"/>
          <w:sz w:val="21"/>
          <w:szCs w:val="21"/>
        </w:rPr>
      </w:pPr>
    </w:p>
    <w:p w14:paraId="38CD3D38" w14:textId="77777777" w:rsidR="00313CE6" w:rsidRPr="00C45D54" w:rsidRDefault="00313CE6" w:rsidP="00313CE6">
      <w:pPr>
        <w:autoSpaceDE w:val="0"/>
        <w:autoSpaceDN w:val="0"/>
        <w:adjustRightInd w:val="0"/>
        <w:ind w:firstLine="708"/>
        <w:jc w:val="both"/>
        <w:rPr>
          <w:rFonts w:ascii="Abadi" w:hAnsi="Abadi" w:cs="*Arial-5454-Identity-H"/>
          <w:color w:val="14131C"/>
          <w:sz w:val="21"/>
          <w:szCs w:val="21"/>
        </w:rPr>
      </w:pPr>
      <w:r w:rsidRPr="00C45D54">
        <w:rPr>
          <w:rFonts w:ascii="Abadi" w:hAnsi="Abadi" w:cs="*Arial-5454-Identity-H"/>
          <w:color w:val="14131C"/>
          <w:sz w:val="21"/>
          <w:szCs w:val="21"/>
        </w:rPr>
        <w:t>Respecto</w:t>
      </w:r>
      <w:r>
        <w:rPr>
          <w:rFonts w:ascii="Abadi" w:hAnsi="Abadi" w:cs="*Arial-5454-Identity-H"/>
          <w:color w:val="14131C"/>
          <w:sz w:val="21"/>
          <w:szCs w:val="21"/>
        </w:rPr>
        <w:t xml:space="preserve"> </w:t>
      </w:r>
      <w:r w:rsidRPr="00C45D54">
        <w:rPr>
          <w:rFonts w:ascii="Abadi" w:hAnsi="Abadi" w:cs="*Arial-5454-Identity-H"/>
          <w:color w:val="14131C"/>
          <w:sz w:val="21"/>
          <w:szCs w:val="21"/>
        </w:rPr>
        <w:t>a la función de seguimiento, la revisión se enfocó en constatar si</w:t>
      </w:r>
      <w:r>
        <w:rPr>
          <w:rFonts w:ascii="Abadi" w:hAnsi="Abadi" w:cs="*Arial-5454-Identity-H"/>
          <w:color w:val="14131C"/>
          <w:sz w:val="21"/>
          <w:szCs w:val="21"/>
        </w:rPr>
        <w:t xml:space="preserve"> </w:t>
      </w:r>
      <w:r w:rsidRPr="00C45D54">
        <w:rPr>
          <w:rFonts w:ascii="Abadi" w:hAnsi="Abadi" w:cs="*Arial-5454-Identity-H"/>
          <w:color w:val="14131C"/>
          <w:sz w:val="21"/>
          <w:szCs w:val="21"/>
        </w:rPr>
        <w:t>el sujeto fiscalizado contó con mecanismos que permitieran medir el desempeño y</w:t>
      </w:r>
      <w:r>
        <w:rPr>
          <w:rFonts w:ascii="Abadi" w:hAnsi="Abadi" w:cs="*Arial-5454-Identity-H"/>
          <w:color w:val="14131C"/>
          <w:sz w:val="21"/>
          <w:szCs w:val="21"/>
        </w:rPr>
        <w:t xml:space="preserve"> </w:t>
      </w:r>
      <w:r w:rsidRPr="00C45D54">
        <w:rPr>
          <w:rFonts w:ascii="Abadi" w:hAnsi="Abadi" w:cs="*Arial-5454-Identity-H"/>
          <w:color w:val="14131C"/>
          <w:sz w:val="21"/>
          <w:szCs w:val="21"/>
        </w:rPr>
        <w:t>los resultados del servicio de alumbrado público, obteniendo como principal</w:t>
      </w:r>
      <w:r>
        <w:rPr>
          <w:rFonts w:ascii="Abadi" w:hAnsi="Abadi" w:cs="*Arial-5454-Identity-H"/>
          <w:color w:val="14131C"/>
          <w:sz w:val="21"/>
          <w:szCs w:val="21"/>
        </w:rPr>
        <w:t xml:space="preserve"> </w:t>
      </w:r>
      <w:r w:rsidRPr="00C45D54">
        <w:rPr>
          <w:rFonts w:ascii="Abadi" w:hAnsi="Abadi" w:cs="*Arial-5454-Identity-H"/>
          <w:color w:val="14131C"/>
          <w:sz w:val="21"/>
          <w:szCs w:val="21"/>
        </w:rPr>
        <w:t>hallazgo que la instancia responsable contó con una Matriz de Indicadores para</w:t>
      </w:r>
      <w:r>
        <w:rPr>
          <w:rFonts w:ascii="Abadi" w:hAnsi="Abadi" w:cs="*Arial-5454-Identity-H"/>
          <w:color w:val="14131C"/>
          <w:sz w:val="21"/>
          <w:szCs w:val="21"/>
        </w:rPr>
        <w:t xml:space="preserve">   </w:t>
      </w:r>
      <w:r w:rsidRPr="00C45D54">
        <w:rPr>
          <w:rFonts w:ascii="Abadi" w:hAnsi="Abadi" w:cs="*Arial-5454-Identity-H"/>
          <w:color w:val="14131C"/>
          <w:sz w:val="21"/>
          <w:szCs w:val="21"/>
        </w:rPr>
        <w:t>Resultados del programa presupuestario enfocado a los servicios públicos, en la</w:t>
      </w:r>
      <w:r>
        <w:rPr>
          <w:rFonts w:ascii="Abadi" w:hAnsi="Abadi" w:cs="*Arial-5454-Identity-H"/>
          <w:color w:val="14131C"/>
          <w:sz w:val="21"/>
          <w:szCs w:val="21"/>
        </w:rPr>
        <w:t xml:space="preserve"> </w:t>
      </w:r>
      <w:r w:rsidRPr="00C45D54">
        <w:rPr>
          <w:rFonts w:ascii="Abadi" w:hAnsi="Abadi" w:cs="*Arial-5454-Identity-H"/>
          <w:color w:val="14131C"/>
          <w:sz w:val="21"/>
          <w:szCs w:val="21"/>
        </w:rPr>
        <w:t>cual se incluyeron seis indicadores relacionados con el servicio de alumbrado</w:t>
      </w:r>
      <w:r>
        <w:rPr>
          <w:rFonts w:ascii="Abadi" w:hAnsi="Abadi" w:cs="*Arial-5454-Identity-H"/>
          <w:color w:val="14131C"/>
          <w:sz w:val="21"/>
          <w:szCs w:val="21"/>
        </w:rPr>
        <w:t xml:space="preserve"> </w:t>
      </w:r>
      <w:r w:rsidRPr="00C45D54">
        <w:rPr>
          <w:rFonts w:ascii="Abadi" w:hAnsi="Abadi" w:cs="*Arial-5454-Identity-H"/>
          <w:color w:val="14131C"/>
          <w:sz w:val="21"/>
          <w:szCs w:val="21"/>
        </w:rPr>
        <w:t>público; no obstante, estos presentaron deficiencias metodológicas y de diseño</w:t>
      </w:r>
      <w:r>
        <w:rPr>
          <w:rFonts w:ascii="Abadi" w:hAnsi="Abadi" w:cs="*Arial-5454-Identity-H"/>
          <w:color w:val="14131C"/>
          <w:sz w:val="21"/>
          <w:szCs w:val="21"/>
        </w:rPr>
        <w:t xml:space="preserve"> </w:t>
      </w:r>
      <w:r w:rsidRPr="00C45D54">
        <w:rPr>
          <w:rFonts w:ascii="Abadi" w:hAnsi="Abadi" w:cs="*Arial-5454-Identity-H"/>
          <w:color w:val="14131C"/>
          <w:sz w:val="21"/>
          <w:szCs w:val="21"/>
        </w:rPr>
        <w:t>que imposibilitaron conocer y medir los resultados logrados.</w:t>
      </w:r>
    </w:p>
    <w:p w14:paraId="34B26383" w14:textId="77777777" w:rsidR="00313CE6" w:rsidRDefault="00313CE6" w:rsidP="00313CE6">
      <w:pPr>
        <w:autoSpaceDE w:val="0"/>
        <w:autoSpaceDN w:val="0"/>
        <w:adjustRightInd w:val="0"/>
        <w:jc w:val="both"/>
        <w:rPr>
          <w:rFonts w:ascii="Abadi" w:hAnsi="Abadi" w:cs="*Arial-4683-Identity-H"/>
          <w:color w:val="15141C"/>
          <w:sz w:val="21"/>
          <w:szCs w:val="21"/>
        </w:rPr>
      </w:pPr>
    </w:p>
    <w:p w14:paraId="3AA06E15" w14:textId="77777777" w:rsidR="00313CE6" w:rsidRPr="00C45D54" w:rsidRDefault="00313CE6" w:rsidP="00313CE6">
      <w:pPr>
        <w:autoSpaceDE w:val="0"/>
        <w:autoSpaceDN w:val="0"/>
        <w:adjustRightInd w:val="0"/>
        <w:ind w:firstLine="708"/>
        <w:jc w:val="both"/>
        <w:rPr>
          <w:rFonts w:ascii="Abadi" w:hAnsi="Abadi" w:cs="*Arial-4683-Identity-H"/>
          <w:color w:val="15141C"/>
          <w:sz w:val="21"/>
          <w:szCs w:val="21"/>
        </w:rPr>
      </w:pPr>
      <w:r w:rsidRPr="00C45D54">
        <w:rPr>
          <w:rFonts w:ascii="Abadi" w:hAnsi="Abadi" w:cs="*Arial-4683-Identity-H"/>
          <w:color w:val="15141C"/>
          <w:sz w:val="21"/>
          <w:szCs w:val="21"/>
        </w:rPr>
        <w:t>Con base en las deficiencias referidas, se establece que no fue posible</w:t>
      </w:r>
      <w:r>
        <w:rPr>
          <w:rFonts w:ascii="Abadi" w:hAnsi="Abadi" w:cs="*Arial-4683-Identity-H"/>
          <w:color w:val="15141C"/>
          <w:sz w:val="21"/>
          <w:szCs w:val="21"/>
        </w:rPr>
        <w:t xml:space="preserve"> </w:t>
      </w:r>
      <w:r w:rsidRPr="00C45D54">
        <w:rPr>
          <w:rFonts w:ascii="Abadi" w:hAnsi="Abadi" w:cs="*Arial-4683-Identity-H"/>
          <w:color w:val="15141C"/>
          <w:sz w:val="21"/>
          <w:szCs w:val="21"/>
        </w:rPr>
        <w:t>determinar la eficacia en el otorgamiento del servicio de alumbrado público en el</w:t>
      </w:r>
      <w:r>
        <w:rPr>
          <w:rFonts w:ascii="Abadi" w:hAnsi="Abadi" w:cs="*Arial-4683-Identity-H"/>
          <w:color w:val="15141C"/>
          <w:sz w:val="21"/>
          <w:szCs w:val="21"/>
        </w:rPr>
        <w:t xml:space="preserve"> </w:t>
      </w:r>
      <w:r w:rsidRPr="00C45D54">
        <w:rPr>
          <w:rFonts w:ascii="Abadi" w:hAnsi="Abadi" w:cs="*Arial-4683-Identity-H"/>
          <w:color w:val="15141C"/>
          <w:sz w:val="21"/>
          <w:szCs w:val="21"/>
        </w:rPr>
        <w:t>municipio de Guanajuato, Gto., debido principalmente a que se desconoció el</w:t>
      </w:r>
      <w:r>
        <w:rPr>
          <w:rFonts w:ascii="Abadi" w:hAnsi="Abadi" w:cs="*Arial-4683-Identity-H"/>
          <w:color w:val="15141C"/>
          <w:sz w:val="21"/>
          <w:szCs w:val="21"/>
        </w:rPr>
        <w:t xml:space="preserve"> </w:t>
      </w:r>
      <w:r w:rsidRPr="00C45D54">
        <w:rPr>
          <w:rFonts w:ascii="Abadi" w:hAnsi="Abadi" w:cs="*Arial-4683-Identity-H"/>
          <w:color w:val="15141C"/>
          <w:sz w:val="21"/>
          <w:szCs w:val="21"/>
        </w:rPr>
        <w:t>estado de funcionamiento y la condición física y operativa de las lámparas</w:t>
      </w:r>
      <w:r>
        <w:rPr>
          <w:rFonts w:ascii="Abadi" w:hAnsi="Abadi" w:cs="*Arial-4683-Identity-H"/>
          <w:color w:val="15141C"/>
          <w:sz w:val="21"/>
          <w:szCs w:val="21"/>
        </w:rPr>
        <w:t xml:space="preserve"> </w:t>
      </w:r>
      <w:r w:rsidRPr="00C45D54">
        <w:rPr>
          <w:rFonts w:ascii="Abadi" w:hAnsi="Abadi" w:cs="*Arial-4683-Identity-H"/>
          <w:color w:val="15141C"/>
          <w:sz w:val="21"/>
          <w:szCs w:val="21"/>
        </w:rPr>
        <w:t>instaladas; se careció de documentos normativos que regularan el servicio, de</w:t>
      </w:r>
      <w:r>
        <w:rPr>
          <w:rFonts w:ascii="Abadi" w:hAnsi="Abadi" w:cs="*Arial-4683-Identity-H"/>
          <w:color w:val="15141C"/>
          <w:sz w:val="21"/>
          <w:szCs w:val="21"/>
        </w:rPr>
        <w:t xml:space="preserve"> </w:t>
      </w:r>
      <w:r w:rsidRPr="00C45D54">
        <w:rPr>
          <w:rFonts w:ascii="Abadi" w:hAnsi="Abadi" w:cs="*Arial-4683-Identity-H"/>
          <w:color w:val="15141C"/>
          <w:sz w:val="21"/>
          <w:szCs w:val="21"/>
        </w:rPr>
        <w:t>indicadores para dar seguimiento a las actividades realizadas en materia de</w:t>
      </w:r>
      <w:r>
        <w:rPr>
          <w:rFonts w:ascii="Abadi" w:hAnsi="Abadi" w:cs="*Arial-4683-Identity-H"/>
          <w:color w:val="15141C"/>
          <w:sz w:val="21"/>
          <w:szCs w:val="21"/>
        </w:rPr>
        <w:t xml:space="preserve"> </w:t>
      </w:r>
      <w:r w:rsidRPr="00C45D54">
        <w:rPr>
          <w:rFonts w:ascii="Abadi" w:hAnsi="Abadi" w:cs="*Arial-4683-Identity-H"/>
          <w:color w:val="15141C"/>
          <w:sz w:val="21"/>
          <w:szCs w:val="21"/>
        </w:rPr>
        <w:t>alumbrado públic</w:t>
      </w:r>
      <w:r>
        <w:rPr>
          <w:rFonts w:ascii="Abadi" w:hAnsi="Abadi" w:cs="*Arial-4683-Identity-H"/>
          <w:color w:val="15141C"/>
          <w:sz w:val="21"/>
          <w:szCs w:val="21"/>
        </w:rPr>
        <w:t>o</w:t>
      </w:r>
      <w:r w:rsidRPr="00C45D54">
        <w:rPr>
          <w:rFonts w:ascii="Abadi" w:hAnsi="Abadi" w:cs="*Arial-4683-Identity-H"/>
          <w:color w:val="15141C"/>
          <w:sz w:val="21"/>
          <w:szCs w:val="21"/>
        </w:rPr>
        <w:t>, así como de información clara, útil y confiable para operar,</w:t>
      </w:r>
      <w:r>
        <w:rPr>
          <w:rFonts w:ascii="Abadi" w:hAnsi="Abadi" w:cs="*Arial-4683-Identity-H"/>
          <w:color w:val="15141C"/>
          <w:sz w:val="21"/>
          <w:szCs w:val="21"/>
        </w:rPr>
        <w:t xml:space="preserve"> </w:t>
      </w:r>
      <w:r w:rsidRPr="00C45D54">
        <w:rPr>
          <w:rFonts w:ascii="Abadi" w:hAnsi="Abadi" w:cs="*Arial-4683-Identity-H"/>
          <w:color w:val="15141C"/>
          <w:sz w:val="21"/>
          <w:szCs w:val="21"/>
        </w:rPr>
        <w:t>mantener y garantizar el servicio.</w:t>
      </w:r>
    </w:p>
    <w:p w14:paraId="37ABFF22" w14:textId="77777777" w:rsidR="00313CE6" w:rsidRDefault="00313CE6" w:rsidP="00313CE6">
      <w:pPr>
        <w:autoSpaceDE w:val="0"/>
        <w:autoSpaceDN w:val="0"/>
        <w:adjustRightInd w:val="0"/>
        <w:jc w:val="both"/>
        <w:rPr>
          <w:rFonts w:ascii="Abadi" w:hAnsi="Abadi" w:cs="*Arial-4683-Identity-H"/>
          <w:color w:val="15141C"/>
          <w:sz w:val="21"/>
          <w:szCs w:val="21"/>
        </w:rPr>
      </w:pPr>
    </w:p>
    <w:p w14:paraId="5C679D95" w14:textId="77777777" w:rsidR="00313CE6" w:rsidRDefault="00313CE6" w:rsidP="00313CE6">
      <w:pPr>
        <w:autoSpaceDE w:val="0"/>
        <w:autoSpaceDN w:val="0"/>
        <w:adjustRightInd w:val="0"/>
        <w:ind w:firstLine="708"/>
        <w:jc w:val="both"/>
        <w:rPr>
          <w:rFonts w:ascii="Abadi" w:hAnsi="Abadi" w:cs="*Arial-4683-Identity-H"/>
          <w:color w:val="15141C"/>
          <w:sz w:val="21"/>
          <w:szCs w:val="21"/>
        </w:rPr>
      </w:pPr>
      <w:r w:rsidRPr="00C45D54">
        <w:rPr>
          <w:rFonts w:ascii="Abadi" w:hAnsi="Abadi" w:cs="*Arial-4683-Identity-H"/>
          <w:color w:val="15141C"/>
          <w:sz w:val="21"/>
          <w:szCs w:val="21"/>
        </w:rPr>
        <w:t>Derivado de las oportunidades referidas, se reconoce que la administración</w:t>
      </w:r>
      <w:r>
        <w:rPr>
          <w:rFonts w:ascii="Abadi" w:hAnsi="Abadi" w:cs="*Arial-4683-Identity-H"/>
          <w:color w:val="15141C"/>
          <w:sz w:val="21"/>
          <w:szCs w:val="21"/>
        </w:rPr>
        <w:t xml:space="preserve"> </w:t>
      </w:r>
      <w:r w:rsidRPr="00C45D54">
        <w:rPr>
          <w:rFonts w:ascii="Abadi" w:hAnsi="Abadi" w:cs="*Arial-4683-Identity-H"/>
          <w:color w:val="15141C"/>
          <w:sz w:val="21"/>
          <w:szCs w:val="21"/>
        </w:rPr>
        <w:t>pública municipal de Guanajuato, Gto., muestra una postura tendiente a mejorar la</w:t>
      </w:r>
      <w:r>
        <w:rPr>
          <w:rFonts w:ascii="Abadi" w:hAnsi="Abadi" w:cs="*Arial-4683-Identity-H"/>
          <w:color w:val="15141C"/>
          <w:sz w:val="21"/>
          <w:szCs w:val="21"/>
        </w:rPr>
        <w:t xml:space="preserve"> </w:t>
      </w:r>
      <w:r w:rsidRPr="00C45D54">
        <w:rPr>
          <w:rFonts w:ascii="Abadi" w:hAnsi="Abadi" w:cs="*Arial-4683-Identity-H"/>
          <w:color w:val="15141C"/>
          <w:sz w:val="21"/>
          <w:szCs w:val="21"/>
        </w:rPr>
        <w:t>operación y control de la prestación del servicio de alumbrado público, al presentar</w:t>
      </w:r>
      <w:r>
        <w:rPr>
          <w:rFonts w:ascii="Abadi" w:hAnsi="Abadi" w:cs="*Arial-4683-Identity-H"/>
          <w:color w:val="15141C"/>
          <w:sz w:val="21"/>
          <w:szCs w:val="21"/>
        </w:rPr>
        <w:t xml:space="preserve"> </w:t>
      </w:r>
      <w:r w:rsidRPr="00C45D54">
        <w:rPr>
          <w:rFonts w:ascii="Abadi" w:hAnsi="Abadi" w:cs="*Arial-4683-Identity-H"/>
          <w:color w:val="15141C"/>
          <w:sz w:val="21"/>
          <w:szCs w:val="21"/>
        </w:rPr>
        <w:t>un plan de acción para incidir en la atención de los hallazgos identificados en las</w:t>
      </w:r>
      <w:r>
        <w:rPr>
          <w:rFonts w:ascii="Abadi" w:hAnsi="Abadi" w:cs="*Arial-4683-Identity-H"/>
          <w:color w:val="15141C"/>
          <w:sz w:val="21"/>
          <w:szCs w:val="21"/>
        </w:rPr>
        <w:t xml:space="preserve"> </w:t>
      </w:r>
      <w:r w:rsidRPr="00C45D54">
        <w:rPr>
          <w:rFonts w:ascii="Abadi" w:hAnsi="Abadi" w:cs="*Arial-4683-Identity-H"/>
          <w:color w:val="15141C"/>
          <w:sz w:val="21"/>
          <w:szCs w:val="21"/>
        </w:rPr>
        <w:t>recomendaciones formuladas, lo que le permitirá optimizar la gestión pública.</w:t>
      </w:r>
      <w:r>
        <w:rPr>
          <w:rFonts w:ascii="Abadi" w:hAnsi="Abadi" w:cs="*Arial-4683-Identity-H"/>
          <w:color w:val="15141C"/>
          <w:sz w:val="21"/>
          <w:szCs w:val="21"/>
        </w:rPr>
        <w:t xml:space="preserve"> </w:t>
      </w:r>
    </w:p>
    <w:p w14:paraId="0E153BFE" w14:textId="77777777" w:rsidR="00313CE6" w:rsidRDefault="00313CE6" w:rsidP="00313CE6">
      <w:pPr>
        <w:autoSpaceDE w:val="0"/>
        <w:autoSpaceDN w:val="0"/>
        <w:adjustRightInd w:val="0"/>
        <w:jc w:val="both"/>
        <w:rPr>
          <w:rFonts w:ascii="Abadi" w:hAnsi="Abadi" w:cs="*Arial-4683-Identity-H"/>
          <w:color w:val="15141C"/>
          <w:sz w:val="21"/>
          <w:szCs w:val="21"/>
        </w:rPr>
      </w:pPr>
    </w:p>
    <w:p w14:paraId="5FAB3119" w14:textId="77777777" w:rsidR="00313CE6" w:rsidRPr="00C45D54" w:rsidRDefault="00313CE6" w:rsidP="00313CE6">
      <w:pPr>
        <w:autoSpaceDE w:val="0"/>
        <w:autoSpaceDN w:val="0"/>
        <w:adjustRightInd w:val="0"/>
        <w:ind w:firstLine="708"/>
        <w:jc w:val="both"/>
        <w:rPr>
          <w:rFonts w:ascii="Abadi" w:hAnsi="Abadi" w:cs="*Arial-4683-Identity-H"/>
          <w:color w:val="15141C"/>
          <w:sz w:val="21"/>
          <w:szCs w:val="21"/>
        </w:rPr>
      </w:pPr>
      <w:r w:rsidRPr="00C45D54">
        <w:rPr>
          <w:rFonts w:ascii="Abadi" w:hAnsi="Abadi" w:cs="*Arial-4683-Identity-H"/>
          <w:color w:val="15141C"/>
          <w:sz w:val="21"/>
          <w:szCs w:val="21"/>
        </w:rPr>
        <w:t>El seguimiento de dichos compromisos se realizará por la Auditoría</w:t>
      </w:r>
      <w:r>
        <w:rPr>
          <w:rFonts w:ascii="Abadi" w:hAnsi="Abadi" w:cs="*Arial-4683-Identity-H"/>
          <w:color w:val="15141C"/>
          <w:sz w:val="21"/>
          <w:szCs w:val="21"/>
        </w:rPr>
        <w:t xml:space="preserve"> </w:t>
      </w:r>
      <w:r w:rsidRPr="00C45D54">
        <w:rPr>
          <w:rFonts w:ascii="Abadi" w:hAnsi="Abadi" w:cs="*Arial-4683-Identity-H"/>
          <w:color w:val="15141C"/>
          <w:sz w:val="21"/>
          <w:szCs w:val="21"/>
        </w:rPr>
        <w:t>Superior del Estado, respecto de las recomendaciones donde se valora que el</w:t>
      </w:r>
      <w:r>
        <w:rPr>
          <w:rFonts w:ascii="Abadi" w:hAnsi="Abadi" w:cs="*Arial-4683-Identity-H"/>
          <w:color w:val="15141C"/>
          <w:sz w:val="21"/>
          <w:szCs w:val="21"/>
        </w:rPr>
        <w:t xml:space="preserve"> </w:t>
      </w:r>
      <w:r w:rsidRPr="00C45D54">
        <w:rPr>
          <w:rFonts w:ascii="Abadi" w:hAnsi="Abadi" w:cs="*Arial-4683-Identity-H"/>
          <w:color w:val="15141C"/>
          <w:sz w:val="21"/>
          <w:szCs w:val="21"/>
        </w:rPr>
        <w:t>sujeto fiscalizado realizará acciones de mejora en un plazo determinado hasta su</w:t>
      </w:r>
      <w:r>
        <w:rPr>
          <w:rFonts w:ascii="Abadi" w:hAnsi="Abadi" w:cs="*Arial-4683-Identity-H"/>
          <w:color w:val="15141C"/>
          <w:sz w:val="21"/>
          <w:szCs w:val="21"/>
        </w:rPr>
        <w:t xml:space="preserve"> </w:t>
      </w:r>
      <w:r w:rsidRPr="00C45D54">
        <w:rPr>
          <w:rFonts w:ascii="Abadi" w:hAnsi="Abadi" w:cs="*Arial-4683-Identity-H"/>
          <w:color w:val="15141C"/>
          <w:sz w:val="21"/>
          <w:szCs w:val="21"/>
        </w:rPr>
        <w:t>total implementación, o en su caso, aquellas valoradas como persiste, acorde a la</w:t>
      </w:r>
      <w:r>
        <w:rPr>
          <w:rFonts w:ascii="Abadi" w:hAnsi="Abadi" w:cs="*Arial-4683-Identity-H"/>
          <w:color w:val="15141C"/>
          <w:sz w:val="21"/>
          <w:szCs w:val="21"/>
        </w:rPr>
        <w:t xml:space="preserve"> </w:t>
      </w:r>
      <w:r w:rsidRPr="00C45D54">
        <w:rPr>
          <w:rFonts w:ascii="Abadi" w:hAnsi="Abadi" w:cs="*Arial-4683-Identity-H"/>
          <w:color w:val="15141C"/>
          <w:sz w:val="21"/>
          <w:szCs w:val="21"/>
        </w:rPr>
        <w:t>normativa aplicable.</w:t>
      </w:r>
    </w:p>
    <w:p w14:paraId="45878444" w14:textId="77777777" w:rsidR="00313CE6" w:rsidRDefault="00313CE6" w:rsidP="00313CE6">
      <w:pPr>
        <w:autoSpaceDE w:val="0"/>
        <w:autoSpaceDN w:val="0"/>
        <w:adjustRightInd w:val="0"/>
        <w:jc w:val="both"/>
        <w:rPr>
          <w:rFonts w:ascii="Abadi" w:hAnsi="Abadi" w:cs="*Arial-Bold-4684-Identity-H"/>
          <w:b/>
          <w:bCs/>
          <w:color w:val="14141D"/>
          <w:sz w:val="21"/>
          <w:szCs w:val="21"/>
        </w:rPr>
      </w:pPr>
    </w:p>
    <w:p w14:paraId="7AEA0C07" w14:textId="77777777" w:rsidR="00313CE6" w:rsidRDefault="00313CE6" w:rsidP="00313CE6">
      <w:pPr>
        <w:autoSpaceDE w:val="0"/>
        <w:autoSpaceDN w:val="0"/>
        <w:adjustRightInd w:val="0"/>
        <w:ind w:firstLine="708"/>
        <w:jc w:val="both"/>
        <w:rPr>
          <w:rFonts w:ascii="Abadi" w:hAnsi="Abadi" w:cs="*Arial-Bold-4684-Identity-H"/>
          <w:b/>
          <w:bCs/>
          <w:color w:val="14141D"/>
          <w:sz w:val="21"/>
          <w:szCs w:val="21"/>
        </w:rPr>
      </w:pPr>
      <w:r w:rsidRPr="00C45D54">
        <w:rPr>
          <w:rFonts w:ascii="Abadi" w:hAnsi="Abadi" w:cs="*Arial-Bold-4684-Identity-H"/>
          <w:b/>
          <w:bCs/>
          <w:color w:val="14141D"/>
          <w:sz w:val="21"/>
          <w:szCs w:val="21"/>
        </w:rPr>
        <w:t>V. Conclusiones:</w:t>
      </w:r>
    </w:p>
    <w:p w14:paraId="7FDC54E3" w14:textId="77777777" w:rsidR="00313CE6" w:rsidRPr="00C45D54" w:rsidRDefault="00313CE6" w:rsidP="00313CE6">
      <w:pPr>
        <w:autoSpaceDE w:val="0"/>
        <w:autoSpaceDN w:val="0"/>
        <w:adjustRightInd w:val="0"/>
        <w:jc w:val="both"/>
        <w:rPr>
          <w:rFonts w:ascii="Abadi" w:hAnsi="Abadi" w:cs="*Arial-Bold-4684-Identity-H"/>
          <w:b/>
          <w:bCs/>
          <w:color w:val="14141D"/>
          <w:sz w:val="21"/>
          <w:szCs w:val="21"/>
        </w:rPr>
      </w:pPr>
    </w:p>
    <w:p w14:paraId="42B17B7B" w14:textId="77777777" w:rsidR="00313CE6" w:rsidRDefault="00313CE6" w:rsidP="00313CE6">
      <w:pPr>
        <w:autoSpaceDE w:val="0"/>
        <w:autoSpaceDN w:val="0"/>
        <w:adjustRightInd w:val="0"/>
        <w:ind w:firstLine="708"/>
        <w:jc w:val="both"/>
        <w:rPr>
          <w:rFonts w:ascii="Abadi" w:hAnsi="Abadi" w:cs="*Arial-4683-Identity-H"/>
          <w:color w:val="15141E"/>
          <w:sz w:val="21"/>
          <w:szCs w:val="21"/>
        </w:rPr>
      </w:pPr>
      <w:r w:rsidRPr="00C45D54">
        <w:rPr>
          <w:rFonts w:ascii="Abadi" w:hAnsi="Abadi" w:cs="*Arial-4683-Identity-H"/>
          <w:color w:val="14141B"/>
          <w:sz w:val="21"/>
          <w:szCs w:val="21"/>
        </w:rPr>
        <w:t>Como ya lo habíamos señalado en párrafos anteriores, el artículo 38 de la</w:t>
      </w:r>
      <w:r>
        <w:rPr>
          <w:rFonts w:ascii="Abadi" w:hAnsi="Abadi" w:cs="*Arial-4683-Identity-H"/>
          <w:color w:val="14141B"/>
          <w:sz w:val="21"/>
          <w:szCs w:val="21"/>
        </w:rPr>
        <w:t xml:space="preserve"> </w:t>
      </w:r>
      <w:r w:rsidRPr="00C45D54">
        <w:rPr>
          <w:rFonts w:ascii="Abadi" w:hAnsi="Abadi" w:cs="*Arial-4683-Identity-H"/>
          <w:color w:val="14141B"/>
          <w:sz w:val="21"/>
          <w:szCs w:val="21"/>
        </w:rPr>
        <w:t>Ley de Fiscalización Superior del Estado de Guanajuato establece que los</w:t>
      </w:r>
      <w:r>
        <w:rPr>
          <w:rFonts w:ascii="Abadi" w:hAnsi="Abadi" w:cs="*Arial-4683-Identity-H"/>
          <w:color w:val="14141B"/>
          <w:sz w:val="21"/>
          <w:szCs w:val="21"/>
        </w:rPr>
        <w:t xml:space="preserve"> </w:t>
      </w:r>
      <w:r w:rsidRPr="00C45D54">
        <w:rPr>
          <w:rFonts w:ascii="Abadi" w:hAnsi="Abadi" w:cs="*Arial-4683-Identity-H"/>
          <w:color w:val="14141B"/>
          <w:sz w:val="21"/>
          <w:szCs w:val="21"/>
        </w:rPr>
        <w:t>informes de resultados únicamente podrán ser observados por las dos terceras</w:t>
      </w:r>
      <w:r>
        <w:rPr>
          <w:rFonts w:ascii="Abadi" w:hAnsi="Abadi" w:cs="*Arial-4683-Identity-H"/>
          <w:color w:val="14141B"/>
          <w:sz w:val="21"/>
          <w:szCs w:val="21"/>
        </w:rPr>
        <w:t xml:space="preserve"> </w:t>
      </w:r>
      <w:r w:rsidRPr="00C45D54">
        <w:rPr>
          <w:rFonts w:ascii="Abadi" w:hAnsi="Abadi" w:cs="*Arial-4683-Identity-H"/>
          <w:color w:val="14141B"/>
          <w:sz w:val="21"/>
          <w:szCs w:val="21"/>
        </w:rPr>
        <w:t>partes de los diputados integrantes del Congreso, cuando no se observen las</w:t>
      </w:r>
      <w:r>
        <w:rPr>
          <w:rFonts w:ascii="Abadi" w:hAnsi="Abadi" w:cs="*Arial-4683-Identity-H"/>
          <w:color w:val="14141B"/>
          <w:sz w:val="21"/>
          <w:szCs w:val="21"/>
        </w:rPr>
        <w:t xml:space="preserve"> </w:t>
      </w:r>
      <w:r w:rsidRPr="00C45D54">
        <w:rPr>
          <w:rFonts w:ascii="Abadi" w:hAnsi="Abadi" w:cs="*Arial-4683-Identity-H"/>
          <w:color w:val="15141E"/>
          <w:sz w:val="21"/>
          <w:szCs w:val="21"/>
        </w:rPr>
        <w:t>formalidades esenciales del proceso de fiscalización.</w:t>
      </w:r>
    </w:p>
    <w:p w14:paraId="434E2D40" w14:textId="77777777" w:rsidR="00313CE6" w:rsidRDefault="00313CE6" w:rsidP="00313CE6">
      <w:pPr>
        <w:autoSpaceDE w:val="0"/>
        <w:autoSpaceDN w:val="0"/>
        <w:adjustRightInd w:val="0"/>
        <w:ind w:firstLine="708"/>
        <w:jc w:val="both"/>
        <w:rPr>
          <w:rFonts w:ascii="Abadi" w:hAnsi="Abadi" w:cs="*Arial-4683-Identity-H"/>
          <w:color w:val="14141C"/>
          <w:sz w:val="21"/>
          <w:szCs w:val="21"/>
        </w:rPr>
      </w:pPr>
      <w:r w:rsidRPr="00C45D54">
        <w:rPr>
          <w:rFonts w:ascii="Abadi" w:hAnsi="Abadi" w:cs="*Arial-4683-Identity-H"/>
          <w:color w:val="14141C"/>
          <w:sz w:val="21"/>
          <w:szCs w:val="21"/>
        </w:rPr>
        <w:t>En este sentido, quienes integramos esta Comisión analizamos el informe</w:t>
      </w:r>
      <w:r>
        <w:rPr>
          <w:rFonts w:ascii="Abadi" w:hAnsi="Abadi" w:cs="*Arial-4683-Identity-H"/>
          <w:color w:val="14141C"/>
          <w:sz w:val="21"/>
          <w:szCs w:val="21"/>
        </w:rPr>
        <w:t xml:space="preserve"> </w:t>
      </w:r>
      <w:r w:rsidRPr="00C45D54">
        <w:rPr>
          <w:rFonts w:ascii="Abadi" w:hAnsi="Abadi" w:cs="*Arial-4683-Identity-H"/>
          <w:color w:val="14141C"/>
          <w:sz w:val="21"/>
          <w:szCs w:val="21"/>
        </w:rPr>
        <w:t>de resultados materia del presente dictamen, considerando la hipótesis referida en</w:t>
      </w:r>
      <w:r>
        <w:rPr>
          <w:rFonts w:ascii="Abadi" w:hAnsi="Abadi" w:cs="*Arial-4683-Identity-H"/>
          <w:color w:val="14141C"/>
          <w:sz w:val="21"/>
          <w:szCs w:val="21"/>
        </w:rPr>
        <w:t xml:space="preserve"> </w:t>
      </w:r>
      <w:r w:rsidRPr="00C45D54">
        <w:rPr>
          <w:rFonts w:ascii="Abadi" w:hAnsi="Abadi" w:cs="*Arial-4683-Identity-H"/>
          <w:color w:val="14141C"/>
          <w:sz w:val="21"/>
          <w:szCs w:val="21"/>
        </w:rPr>
        <w:t>el precepto anteriormente señalado.</w:t>
      </w:r>
    </w:p>
    <w:p w14:paraId="292AC525" w14:textId="77777777" w:rsidR="00313CE6" w:rsidRPr="00C45D54" w:rsidRDefault="00313CE6" w:rsidP="00313CE6">
      <w:pPr>
        <w:autoSpaceDE w:val="0"/>
        <w:autoSpaceDN w:val="0"/>
        <w:adjustRightInd w:val="0"/>
        <w:jc w:val="both"/>
        <w:rPr>
          <w:rFonts w:ascii="Abadi" w:hAnsi="Abadi" w:cs="*Arial-4683-Identity-H"/>
          <w:color w:val="14141C"/>
          <w:sz w:val="21"/>
          <w:szCs w:val="21"/>
        </w:rPr>
      </w:pPr>
    </w:p>
    <w:p w14:paraId="68D9EE90" w14:textId="77777777" w:rsidR="00313CE6" w:rsidRDefault="00313CE6" w:rsidP="00313CE6">
      <w:pPr>
        <w:autoSpaceDE w:val="0"/>
        <w:autoSpaceDN w:val="0"/>
        <w:adjustRightInd w:val="0"/>
        <w:ind w:firstLine="708"/>
        <w:jc w:val="both"/>
        <w:rPr>
          <w:rFonts w:ascii="Abadi" w:hAnsi="Abadi" w:cs="*Arial-5724-Identity-H"/>
          <w:color w:val="14141C"/>
          <w:sz w:val="21"/>
          <w:szCs w:val="21"/>
        </w:rPr>
      </w:pPr>
      <w:r w:rsidRPr="00C45D54">
        <w:rPr>
          <w:rFonts w:ascii="Abadi" w:hAnsi="Abadi" w:cs="*Arial-5724-Identity-H"/>
          <w:color w:val="14141C"/>
          <w:sz w:val="21"/>
          <w:szCs w:val="21"/>
        </w:rPr>
        <w:t>Como se desprende del informe de resultados, el Órgano Técnico dio</w:t>
      </w:r>
      <w:r>
        <w:rPr>
          <w:rFonts w:ascii="Abadi" w:hAnsi="Abadi" w:cs="*Arial-5724-Identity-H"/>
          <w:color w:val="14141C"/>
          <w:sz w:val="21"/>
          <w:szCs w:val="21"/>
        </w:rPr>
        <w:t xml:space="preserve"> </w:t>
      </w:r>
      <w:r w:rsidRPr="00C45D54">
        <w:rPr>
          <w:rFonts w:ascii="Abadi" w:hAnsi="Abadi" w:cs="*Arial-5724-Identity-H"/>
          <w:color w:val="14141C"/>
          <w:sz w:val="21"/>
          <w:szCs w:val="21"/>
        </w:rPr>
        <w:t>cumplimiento al artículo 58 de la Ley de Fiscalización Superior del Estado de</w:t>
      </w:r>
      <w:r>
        <w:rPr>
          <w:rFonts w:ascii="Abadi" w:hAnsi="Abadi" w:cs="*Arial-5724-Identity-H"/>
          <w:color w:val="14141C"/>
          <w:sz w:val="21"/>
          <w:szCs w:val="21"/>
        </w:rPr>
        <w:t xml:space="preserve"> </w:t>
      </w:r>
      <w:r w:rsidRPr="00C45D54">
        <w:rPr>
          <w:rFonts w:ascii="Abadi" w:hAnsi="Abadi" w:cs="*Arial-5724-Identity-H"/>
          <w:color w:val="14141C"/>
          <w:sz w:val="21"/>
          <w:szCs w:val="21"/>
        </w:rPr>
        <w:t>Guanajuato, al haberse notificado las recomendaciones derivadas de la auditoría</w:t>
      </w:r>
      <w:r>
        <w:rPr>
          <w:rFonts w:ascii="Abadi" w:hAnsi="Abadi" w:cs="*Arial-5724-Identity-H"/>
          <w:color w:val="14141C"/>
          <w:sz w:val="21"/>
          <w:szCs w:val="21"/>
        </w:rPr>
        <w:t xml:space="preserve"> </w:t>
      </w:r>
      <w:r w:rsidRPr="00C45D54">
        <w:rPr>
          <w:rFonts w:ascii="Abadi" w:hAnsi="Abadi" w:cs="*Arial-5724-Identity-H"/>
          <w:color w:val="14141C"/>
          <w:sz w:val="21"/>
          <w:szCs w:val="21"/>
        </w:rPr>
        <w:t>al sujeto fiscalizado, concediéndole el plazo que establece la Ley para atender las</w:t>
      </w:r>
      <w:r>
        <w:rPr>
          <w:rFonts w:ascii="Abadi" w:hAnsi="Abadi" w:cs="*Arial-5724-Identity-H"/>
          <w:color w:val="14141C"/>
          <w:sz w:val="21"/>
          <w:szCs w:val="21"/>
        </w:rPr>
        <w:t xml:space="preserve"> </w:t>
      </w:r>
      <w:r w:rsidRPr="00C45D54">
        <w:rPr>
          <w:rFonts w:ascii="Abadi" w:hAnsi="Abadi" w:cs="*Arial-5724-Identity-H"/>
          <w:color w:val="14141C"/>
          <w:sz w:val="21"/>
          <w:szCs w:val="21"/>
        </w:rPr>
        <w:t>recomendaciones formuladas por el Órgano Técnico. Al respecto, se presentó la</w:t>
      </w:r>
      <w:r>
        <w:rPr>
          <w:rFonts w:ascii="Abadi" w:hAnsi="Abadi" w:cs="*Arial-5724-Identity-H"/>
          <w:color w:val="14141C"/>
          <w:sz w:val="21"/>
          <w:szCs w:val="21"/>
        </w:rPr>
        <w:t xml:space="preserve"> </w:t>
      </w:r>
      <w:r w:rsidRPr="00C45D54">
        <w:rPr>
          <w:rFonts w:ascii="Abadi" w:hAnsi="Abadi" w:cs="*Arial-5724-Identity-H"/>
          <w:color w:val="14141C"/>
          <w:sz w:val="21"/>
          <w:szCs w:val="21"/>
        </w:rPr>
        <w:t>información y documentación que se consideró suficiente para atender las</w:t>
      </w:r>
      <w:r>
        <w:rPr>
          <w:rFonts w:ascii="Abadi" w:hAnsi="Abadi" w:cs="*Arial-5724-Identity-H"/>
          <w:color w:val="14141C"/>
          <w:sz w:val="21"/>
          <w:szCs w:val="21"/>
        </w:rPr>
        <w:t xml:space="preserve"> </w:t>
      </w:r>
      <w:r w:rsidRPr="00C45D54">
        <w:rPr>
          <w:rFonts w:ascii="Abadi" w:hAnsi="Abadi" w:cs="*Arial-5724-Identity-H"/>
          <w:color w:val="14141C"/>
          <w:sz w:val="21"/>
          <w:szCs w:val="21"/>
        </w:rPr>
        <w:t>recomendaciones efectuadas.</w:t>
      </w:r>
    </w:p>
    <w:p w14:paraId="0BA1E727" w14:textId="77777777" w:rsidR="00313CE6" w:rsidRPr="00C45D54" w:rsidRDefault="00313CE6" w:rsidP="00313CE6">
      <w:pPr>
        <w:autoSpaceDE w:val="0"/>
        <w:autoSpaceDN w:val="0"/>
        <w:adjustRightInd w:val="0"/>
        <w:jc w:val="both"/>
        <w:rPr>
          <w:rFonts w:ascii="Abadi" w:hAnsi="Abadi" w:cs="*Arial-5724-Identity-H"/>
          <w:color w:val="14141C"/>
          <w:sz w:val="21"/>
          <w:szCs w:val="21"/>
        </w:rPr>
      </w:pPr>
    </w:p>
    <w:p w14:paraId="5D2D78AA" w14:textId="77777777" w:rsidR="00313CE6" w:rsidRDefault="00313CE6" w:rsidP="00313CE6">
      <w:pPr>
        <w:autoSpaceDE w:val="0"/>
        <w:autoSpaceDN w:val="0"/>
        <w:adjustRightInd w:val="0"/>
        <w:ind w:firstLine="708"/>
        <w:jc w:val="both"/>
        <w:rPr>
          <w:rFonts w:ascii="Abadi" w:hAnsi="Abadi" w:cs="*Arial-5724-Identity-H"/>
          <w:color w:val="15141C"/>
          <w:sz w:val="21"/>
          <w:szCs w:val="21"/>
        </w:rPr>
      </w:pPr>
      <w:r w:rsidRPr="00C45D54">
        <w:rPr>
          <w:rFonts w:ascii="Abadi" w:hAnsi="Abadi" w:cs="*Arial-5724-Identity-H"/>
          <w:color w:val="15141C"/>
          <w:sz w:val="21"/>
          <w:szCs w:val="21"/>
        </w:rPr>
        <w:t>De igual manera, existe en el informe de resultados la constancia de que</w:t>
      </w:r>
      <w:r>
        <w:rPr>
          <w:rFonts w:ascii="Abadi" w:hAnsi="Abadi" w:cs="*Arial-5724-Identity-H"/>
          <w:color w:val="15141C"/>
          <w:sz w:val="21"/>
          <w:szCs w:val="21"/>
        </w:rPr>
        <w:t xml:space="preserve"> </w:t>
      </w:r>
      <w:r w:rsidRPr="00C45D54">
        <w:rPr>
          <w:rFonts w:ascii="Abadi" w:hAnsi="Abadi" w:cs="*Arial-5724-Identity-H"/>
          <w:color w:val="15141C"/>
          <w:sz w:val="21"/>
          <w:szCs w:val="21"/>
        </w:rPr>
        <w:t>este se notificó al sujeto fiscalizado. En tal virtud, se considera que fue respetado</w:t>
      </w:r>
      <w:r>
        <w:rPr>
          <w:rFonts w:ascii="Abadi" w:hAnsi="Abadi" w:cs="*Arial-5724-Identity-H"/>
          <w:color w:val="15141C"/>
          <w:sz w:val="21"/>
          <w:szCs w:val="21"/>
        </w:rPr>
        <w:t xml:space="preserve"> </w:t>
      </w:r>
      <w:r w:rsidRPr="00C45D54">
        <w:rPr>
          <w:rFonts w:ascii="Abadi" w:hAnsi="Abadi" w:cs="*Arial-5724-Identity-H"/>
          <w:color w:val="15141C"/>
          <w:sz w:val="21"/>
          <w:szCs w:val="21"/>
        </w:rPr>
        <w:t>el derecho de audiencia o defensa por parte del Órgano Técnico.</w:t>
      </w:r>
    </w:p>
    <w:p w14:paraId="347B061F" w14:textId="77777777" w:rsidR="00313CE6" w:rsidRPr="00C45D54" w:rsidRDefault="00313CE6" w:rsidP="00313CE6">
      <w:pPr>
        <w:autoSpaceDE w:val="0"/>
        <w:autoSpaceDN w:val="0"/>
        <w:adjustRightInd w:val="0"/>
        <w:jc w:val="both"/>
        <w:rPr>
          <w:rFonts w:ascii="Abadi" w:hAnsi="Abadi" w:cs="*Arial-5724-Identity-H"/>
          <w:color w:val="15141C"/>
          <w:sz w:val="21"/>
          <w:szCs w:val="21"/>
        </w:rPr>
      </w:pPr>
    </w:p>
    <w:p w14:paraId="0BCCEA4D" w14:textId="6FA5CA69" w:rsidR="00313CE6" w:rsidRDefault="00313CE6" w:rsidP="00313CE6">
      <w:pPr>
        <w:autoSpaceDE w:val="0"/>
        <w:autoSpaceDN w:val="0"/>
        <w:adjustRightInd w:val="0"/>
        <w:ind w:firstLine="708"/>
        <w:jc w:val="both"/>
        <w:rPr>
          <w:rFonts w:ascii="Abadi" w:hAnsi="Abadi" w:cs="*Arial-5724-Identity-H"/>
          <w:color w:val="15141C"/>
          <w:sz w:val="21"/>
          <w:szCs w:val="21"/>
        </w:rPr>
      </w:pPr>
      <w:r w:rsidRPr="00C45D54">
        <w:rPr>
          <w:rFonts w:ascii="Abadi" w:hAnsi="Abadi" w:cs="*Arial-5724-Identity-H"/>
          <w:color w:val="15141C"/>
          <w:sz w:val="21"/>
          <w:szCs w:val="21"/>
        </w:rPr>
        <w:t>Asimismo, del informe de resultados podemos inferir que el Órgano Técnico</w:t>
      </w:r>
      <w:r>
        <w:rPr>
          <w:rFonts w:ascii="Abadi" w:hAnsi="Abadi" w:cs="*Arial-5724-Identity-H"/>
          <w:color w:val="15141C"/>
          <w:sz w:val="21"/>
          <w:szCs w:val="21"/>
        </w:rPr>
        <w:t xml:space="preserve"> </w:t>
      </w:r>
      <w:r w:rsidRPr="00C45D54">
        <w:rPr>
          <w:rFonts w:ascii="Abadi" w:hAnsi="Abadi" w:cs="*Arial-5724-Identity-H"/>
          <w:color w:val="15141C"/>
          <w:sz w:val="21"/>
          <w:szCs w:val="21"/>
        </w:rPr>
        <w:t>en el desarrollo del procedimiento de auditoría, dio cumplimiento a las</w:t>
      </w:r>
      <w:r>
        <w:rPr>
          <w:rFonts w:ascii="Abadi" w:hAnsi="Abadi" w:cs="*Arial-5724-Identity-H"/>
          <w:color w:val="15141C"/>
          <w:sz w:val="21"/>
          <w:szCs w:val="21"/>
        </w:rPr>
        <w:t xml:space="preserve"> </w:t>
      </w:r>
      <w:r w:rsidRPr="00C45D54">
        <w:rPr>
          <w:rFonts w:ascii="Abadi" w:hAnsi="Abadi" w:cs="*Arial-5724-Identity-H"/>
          <w:color w:val="15141C"/>
          <w:sz w:val="21"/>
          <w:szCs w:val="21"/>
        </w:rPr>
        <w:t>formalidades esenciales que la misma Ley establece para el proceso de</w:t>
      </w:r>
      <w:r>
        <w:rPr>
          <w:rFonts w:ascii="Abadi" w:hAnsi="Abadi" w:cs="*Arial-5724-Identity-H"/>
          <w:color w:val="15141C"/>
          <w:sz w:val="21"/>
          <w:szCs w:val="21"/>
        </w:rPr>
        <w:t xml:space="preserve"> </w:t>
      </w:r>
      <w:r w:rsidRPr="00C45D54">
        <w:rPr>
          <w:rFonts w:ascii="Abadi" w:hAnsi="Abadi" w:cs="*Arial-5724-Identity-H"/>
          <w:color w:val="15141C"/>
          <w:sz w:val="21"/>
          <w:szCs w:val="21"/>
        </w:rPr>
        <w:t>fiscalización, al haberse practicado la auditoría que estaba contemplada en el</w:t>
      </w:r>
      <w:r>
        <w:rPr>
          <w:rFonts w:ascii="Abadi" w:hAnsi="Abadi" w:cs="*Arial-5724-Identity-H"/>
          <w:color w:val="15141C"/>
          <w:sz w:val="21"/>
          <w:szCs w:val="21"/>
        </w:rPr>
        <w:t xml:space="preserve"> </w:t>
      </w:r>
      <w:r w:rsidRPr="00C45D54">
        <w:rPr>
          <w:rFonts w:ascii="Abadi" w:hAnsi="Abadi" w:cs="*Arial-5724-Identity-H"/>
          <w:color w:val="15141C"/>
          <w:sz w:val="21"/>
          <w:szCs w:val="21"/>
        </w:rPr>
        <w:t>Programa General de Fiscalización 2021, aprobado por el Auditor Superior del</w:t>
      </w:r>
      <w:r>
        <w:rPr>
          <w:rFonts w:ascii="Abadi" w:hAnsi="Abadi" w:cs="*Arial-5724-Identity-H"/>
          <w:color w:val="15141C"/>
          <w:sz w:val="21"/>
          <w:szCs w:val="21"/>
        </w:rPr>
        <w:t xml:space="preserve"> </w:t>
      </w:r>
      <w:r w:rsidRPr="00C45D54">
        <w:rPr>
          <w:rFonts w:ascii="Abadi" w:hAnsi="Abadi" w:cs="*Arial-5724-Identity-H"/>
          <w:color w:val="15141C"/>
          <w:sz w:val="21"/>
          <w:szCs w:val="21"/>
        </w:rPr>
        <w:t>Estado. Asimismo, la auditoría se efectuó atendiendo a lo establecido en la</w:t>
      </w:r>
      <w:r>
        <w:rPr>
          <w:rFonts w:ascii="Abadi" w:hAnsi="Abadi" w:cs="*Arial-5724-Identity-H"/>
          <w:color w:val="15141C"/>
          <w:sz w:val="21"/>
          <w:szCs w:val="21"/>
        </w:rPr>
        <w:t xml:space="preserve"> </w:t>
      </w:r>
      <w:r w:rsidRPr="00C45D54">
        <w:rPr>
          <w:rFonts w:ascii="Abadi" w:hAnsi="Abadi" w:cs="*Arial-5724-Identity-H"/>
          <w:color w:val="15141C"/>
          <w:sz w:val="21"/>
          <w:szCs w:val="21"/>
        </w:rPr>
        <w:t>normatividad aplicable en la materia, cumpliendo lo estipulado por el artículo 3 y el</w:t>
      </w:r>
      <w:r>
        <w:rPr>
          <w:rFonts w:ascii="Abadi" w:hAnsi="Abadi" w:cs="*Arial-5724-Identity-H"/>
          <w:color w:val="15141C"/>
          <w:sz w:val="21"/>
          <w:szCs w:val="21"/>
        </w:rPr>
        <w:t xml:space="preserve">    </w:t>
      </w:r>
      <w:r w:rsidRPr="00C45D54">
        <w:rPr>
          <w:rFonts w:ascii="Abadi" w:hAnsi="Abadi" w:cs="*Arial-5724-Identity-H"/>
          <w:color w:val="15141C"/>
          <w:sz w:val="21"/>
          <w:szCs w:val="21"/>
        </w:rPr>
        <w:t>Capítulo VI del Título Segundo de la Ley de Fiscalización Superior del Estado de</w:t>
      </w:r>
      <w:r>
        <w:rPr>
          <w:rFonts w:ascii="Abadi" w:hAnsi="Abadi" w:cs="*Arial-5724-Identity-H"/>
          <w:color w:val="15141C"/>
          <w:sz w:val="21"/>
          <w:szCs w:val="21"/>
        </w:rPr>
        <w:t xml:space="preserve"> </w:t>
      </w:r>
      <w:r w:rsidRPr="00C45D54">
        <w:rPr>
          <w:rFonts w:ascii="Abadi" w:hAnsi="Abadi" w:cs="*Arial-5724-Identity-H"/>
          <w:color w:val="15141C"/>
          <w:sz w:val="21"/>
          <w:szCs w:val="21"/>
        </w:rPr>
        <w:t>Guanajuato, así como el artículo 28 del Reglamento de dicha Ley.</w:t>
      </w:r>
    </w:p>
    <w:p w14:paraId="4F454571" w14:textId="77777777" w:rsidR="00313CE6" w:rsidRPr="00C45D54" w:rsidRDefault="00313CE6" w:rsidP="00313CE6">
      <w:pPr>
        <w:autoSpaceDE w:val="0"/>
        <w:autoSpaceDN w:val="0"/>
        <w:adjustRightInd w:val="0"/>
        <w:jc w:val="both"/>
        <w:rPr>
          <w:rFonts w:ascii="Abadi" w:hAnsi="Abadi" w:cs="*Arial-5724-Identity-H"/>
          <w:color w:val="15141C"/>
          <w:sz w:val="21"/>
          <w:szCs w:val="21"/>
        </w:rPr>
      </w:pPr>
    </w:p>
    <w:p w14:paraId="2F85E61B" w14:textId="77777777" w:rsidR="00313CE6" w:rsidRDefault="00313CE6" w:rsidP="00313CE6">
      <w:pPr>
        <w:autoSpaceDE w:val="0"/>
        <w:autoSpaceDN w:val="0"/>
        <w:adjustRightInd w:val="0"/>
        <w:ind w:firstLine="708"/>
        <w:jc w:val="both"/>
        <w:rPr>
          <w:rFonts w:ascii="Abadi" w:hAnsi="Abadi" w:cs="*Arial-5724-Identity-H"/>
          <w:color w:val="15141C"/>
          <w:sz w:val="21"/>
          <w:szCs w:val="21"/>
        </w:rPr>
      </w:pPr>
      <w:r w:rsidRPr="00C45D54">
        <w:rPr>
          <w:rFonts w:ascii="Abadi" w:hAnsi="Abadi" w:cs="*Arial-5724-Identity-H"/>
          <w:color w:val="15141C"/>
          <w:sz w:val="21"/>
          <w:szCs w:val="21"/>
        </w:rPr>
        <w:t>Finalmente, es de destacar que el cumplimiento de los Objetivos del</w:t>
      </w:r>
      <w:r>
        <w:rPr>
          <w:rFonts w:ascii="Abadi" w:hAnsi="Abadi" w:cs="*Arial-5724-Identity-H"/>
          <w:color w:val="15141C"/>
          <w:sz w:val="21"/>
          <w:szCs w:val="21"/>
        </w:rPr>
        <w:t xml:space="preserve"> </w:t>
      </w:r>
      <w:r w:rsidRPr="00C45D54">
        <w:rPr>
          <w:rFonts w:ascii="Abadi" w:hAnsi="Abadi" w:cs="*Arial-5724-Identity-H"/>
          <w:color w:val="15141C"/>
          <w:sz w:val="21"/>
          <w:szCs w:val="21"/>
        </w:rPr>
        <w:t>Desarrollo Sostenible de la Agenda 2030 está presente en el dictamen puesto a su</w:t>
      </w:r>
      <w:r>
        <w:rPr>
          <w:rFonts w:ascii="Abadi" w:hAnsi="Abadi" w:cs="*Arial-5724-Identity-H"/>
          <w:color w:val="15141C"/>
          <w:sz w:val="21"/>
          <w:szCs w:val="21"/>
        </w:rPr>
        <w:t xml:space="preserve"> </w:t>
      </w:r>
      <w:r w:rsidRPr="00C45D54">
        <w:rPr>
          <w:rFonts w:ascii="Abadi" w:hAnsi="Abadi" w:cs="*Arial-5724-Identity-H"/>
          <w:color w:val="15141C"/>
          <w:sz w:val="21"/>
          <w:szCs w:val="21"/>
        </w:rPr>
        <w:t>consideración, pues el mismo incide de manera directa en el Objetivo 16</w:t>
      </w:r>
      <w:r>
        <w:rPr>
          <w:rFonts w:ascii="Abadi" w:hAnsi="Abadi" w:cs="*Arial-5724-Identity-H"/>
          <w:color w:val="15141C"/>
          <w:sz w:val="21"/>
          <w:szCs w:val="21"/>
        </w:rPr>
        <w:t xml:space="preserve"> </w:t>
      </w:r>
      <w:r w:rsidRPr="00C45D54">
        <w:rPr>
          <w:rFonts w:ascii="Abadi" w:hAnsi="Abadi" w:cs="*Arial-5724-Identity-H"/>
          <w:color w:val="15141C"/>
          <w:sz w:val="21"/>
          <w:szCs w:val="21"/>
        </w:rPr>
        <w:t>denominado Paz, Justicia e Instituciones Sólidas. Promover sociedades justas,</w:t>
      </w:r>
      <w:r>
        <w:rPr>
          <w:rFonts w:ascii="Abadi" w:hAnsi="Abadi" w:cs="*Arial-5724-Identity-H"/>
          <w:color w:val="15141C"/>
          <w:sz w:val="21"/>
          <w:szCs w:val="21"/>
        </w:rPr>
        <w:t xml:space="preserve"> </w:t>
      </w:r>
      <w:r w:rsidRPr="00C45D54">
        <w:rPr>
          <w:rFonts w:ascii="Abadi" w:hAnsi="Abadi" w:cs="*Arial-5724-Identity-H"/>
          <w:color w:val="15141C"/>
          <w:sz w:val="21"/>
          <w:szCs w:val="21"/>
        </w:rPr>
        <w:t>pacíficas e inclusivas, respecto a la meta 16.6 Crear a todos los niveles</w:t>
      </w:r>
      <w:r>
        <w:rPr>
          <w:rFonts w:ascii="Abadi" w:hAnsi="Abadi" w:cs="*Arial-5724-Identity-H"/>
          <w:color w:val="15141C"/>
          <w:sz w:val="21"/>
          <w:szCs w:val="21"/>
        </w:rPr>
        <w:t xml:space="preserve"> </w:t>
      </w:r>
      <w:r w:rsidRPr="00C45D54">
        <w:rPr>
          <w:rFonts w:ascii="Abadi" w:hAnsi="Abadi" w:cs="*Arial-5724-Identity-H"/>
          <w:color w:val="15141C"/>
          <w:sz w:val="21"/>
          <w:szCs w:val="21"/>
        </w:rPr>
        <w:t>instituciones eficaces y transparentes, al abonar a la transparencia y rendición de</w:t>
      </w:r>
      <w:r>
        <w:rPr>
          <w:rFonts w:ascii="Abadi" w:hAnsi="Abadi" w:cs="*Arial-5724-Identity-H"/>
          <w:color w:val="15141C"/>
          <w:sz w:val="21"/>
          <w:szCs w:val="21"/>
        </w:rPr>
        <w:t xml:space="preserve"> </w:t>
      </w:r>
      <w:r w:rsidRPr="00C45D54">
        <w:rPr>
          <w:rFonts w:ascii="Abadi" w:hAnsi="Abadi" w:cs="*Arial-5724-Identity-H"/>
          <w:color w:val="15141C"/>
          <w:sz w:val="21"/>
          <w:szCs w:val="21"/>
        </w:rPr>
        <w:t>cuentas.</w:t>
      </w:r>
    </w:p>
    <w:p w14:paraId="3ED95C6C" w14:textId="77777777" w:rsidR="00313CE6" w:rsidRPr="00C45D54" w:rsidRDefault="00313CE6" w:rsidP="00313CE6">
      <w:pPr>
        <w:autoSpaceDE w:val="0"/>
        <w:autoSpaceDN w:val="0"/>
        <w:adjustRightInd w:val="0"/>
        <w:jc w:val="both"/>
        <w:rPr>
          <w:rFonts w:ascii="Abadi" w:hAnsi="Abadi" w:cs="*Arial-5724-Identity-H"/>
          <w:color w:val="15141C"/>
          <w:sz w:val="21"/>
          <w:szCs w:val="21"/>
        </w:rPr>
      </w:pPr>
    </w:p>
    <w:p w14:paraId="33BB6112" w14:textId="77777777" w:rsidR="00313CE6" w:rsidRDefault="00313CE6" w:rsidP="00313CE6">
      <w:pPr>
        <w:autoSpaceDE w:val="0"/>
        <w:autoSpaceDN w:val="0"/>
        <w:adjustRightInd w:val="0"/>
        <w:ind w:firstLine="708"/>
        <w:jc w:val="both"/>
        <w:rPr>
          <w:rFonts w:ascii="Abadi" w:hAnsi="Abadi" w:cs="*Arial-5724-Identity-H"/>
          <w:color w:val="14131C"/>
          <w:sz w:val="21"/>
          <w:szCs w:val="21"/>
        </w:rPr>
      </w:pPr>
      <w:r w:rsidRPr="00C45D54">
        <w:rPr>
          <w:rFonts w:ascii="Abadi" w:hAnsi="Abadi" w:cs="*Arial-5724-Identity-H"/>
          <w:color w:val="14131C"/>
          <w:sz w:val="21"/>
          <w:szCs w:val="21"/>
        </w:rPr>
        <w:t>En razón de lo anteriormente señalado; concluimos que el informe de</w:t>
      </w:r>
      <w:r>
        <w:rPr>
          <w:rFonts w:ascii="Abadi" w:hAnsi="Abadi" w:cs="*Arial-5724-Identity-H"/>
          <w:color w:val="14131C"/>
          <w:sz w:val="21"/>
          <w:szCs w:val="21"/>
        </w:rPr>
        <w:t xml:space="preserve"> </w:t>
      </w:r>
      <w:r w:rsidRPr="00C45D54">
        <w:rPr>
          <w:rFonts w:ascii="Abadi" w:hAnsi="Abadi" w:cs="*Arial-5724-Identity-H"/>
          <w:color w:val="14131C"/>
          <w:sz w:val="21"/>
          <w:szCs w:val="21"/>
        </w:rPr>
        <w:t>resultados de la auditoría de desempeño practicada a la administración municipal</w:t>
      </w:r>
      <w:r>
        <w:rPr>
          <w:rFonts w:ascii="Abadi" w:hAnsi="Abadi" w:cs="*Arial-5724-Identity-H"/>
          <w:color w:val="14131C"/>
          <w:sz w:val="21"/>
          <w:szCs w:val="21"/>
        </w:rPr>
        <w:t xml:space="preserve"> </w:t>
      </w:r>
      <w:r w:rsidRPr="00C45D54">
        <w:rPr>
          <w:rFonts w:ascii="Abadi" w:hAnsi="Abadi" w:cs="*Arial-5724-Identity-H"/>
          <w:color w:val="14131C"/>
          <w:sz w:val="21"/>
          <w:szCs w:val="21"/>
        </w:rPr>
        <w:t>de Guanajuato, Gto., con enfoque a resultados del servicio de alumbrado público,</w:t>
      </w:r>
      <w:r>
        <w:rPr>
          <w:rFonts w:ascii="Abadi" w:hAnsi="Abadi" w:cs="*Arial-5724-Identity-H"/>
          <w:color w:val="14131C"/>
          <w:sz w:val="21"/>
          <w:szCs w:val="21"/>
        </w:rPr>
        <w:t xml:space="preserve"> </w:t>
      </w:r>
      <w:r w:rsidRPr="00C45D54">
        <w:rPr>
          <w:rFonts w:ascii="Abadi" w:hAnsi="Abadi" w:cs="*Arial-5724-Identity-H"/>
          <w:color w:val="14131C"/>
          <w:sz w:val="21"/>
          <w:szCs w:val="21"/>
        </w:rPr>
        <w:t>por el ejercicio fiscal del año 2020, debe sancionarse por el Congreso en los</w:t>
      </w:r>
      <w:r>
        <w:rPr>
          <w:rFonts w:ascii="Abadi" w:hAnsi="Abadi" w:cs="*Arial-5724-Identity-H"/>
          <w:color w:val="14131C"/>
          <w:sz w:val="21"/>
          <w:szCs w:val="21"/>
        </w:rPr>
        <w:t xml:space="preserve"> </w:t>
      </w:r>
      <w:r w:rsidRPr="00C45D54">
        <w:rPr>
          <w:rFonts w:ascii="Abadi" w:hAnsi="Abadi" w:cs="*Arial-5724-Identity-H"/>
          <w:color w:val="14131C"/>
          <w:sz w:val="21"/>
          <w:szCs w:val="21"/>
        </w:rPr>
        <w:t>términos presentados por la Auditoría Superior del Estado y proceder a su</w:t>
      </w:r>
      <w:r>
        <w:rPr>
          <w:rFonts w:ascii="Abadi" w:hAnsi="Abadi" w:cs="*Arial-5724-Identity-H"/>
          <w:color w:val="14131C"/>
          <w:sz w:val="21"/>
          <w:szCs w:val="21"/>
        </w:rPr>
        <w:t xml:space="preserve"> </w:t>
      </w:r>
      <w:r w:rsidRPr="00C45D54">
        <w:rPr>
          <w:rFonts w:ascii="Abadi" w:hAnsi="Abadi" w:cs="*Arial-5724-Identity-H"/>
          <w:color w:val="14131C"/>
          <w:sz w:val="21"/>
          <w:szCs w:val="21"/>
        </w:rPr>
        <w:t>aprobación, considerando que no se presenta el supuesto contenido en el artículo</w:t>
      </w:r>
      <w:r>
        <w:rPr>
          <w:rFonts w:ascii="Abadi" w:hAnsi="Abadi" w:cs="*Arial-5724-Identity-H"/>
          <w:color w:val="14131C"/>
          <w:sz w:val="21"/>
          <w:szCs w:val="21"/>
        </w:rPr>
        <w:t xml:space="preserve"> </w:t>
      </w:r>
      <w:r w:rsidRPr="00C45D54">
        <w:rPr>
          <w:rFonts w:ascii="Abadi" w:hAnsi="Abadi" w:cs="*Arial-5724-Identity-H"/>
          <w:color w:val="14131C"/>
          <w:sz w:val="21"/>
          <w:szCs w:val="21"/>
        </w:rPr>
        <w:t>38 de la Ley de Fiscalización Superior del Estado de Guanajuato, razón por la cual</w:t>
      </w:r>
      <w:r>
        <w:rPr>
          <w:rFonts w:ascii="Abadi" w:hAnsi="Abadi" w:cs="*Arial-5724-Identity-H"/>
          <w:color w:val="14131C"/>
          <w:sz w:val="21"/>
          <w:szCs w:val="21"/>
        </w:rPr>
        <w:t xml:space="preserve"> </w:t>
      </w:r>
      <w:r w:rsidRPr="00C45D54">
        <w:rPr>
          <w:rFonts w:ascii="Abadi" w:hAnsi="Abadi" w:cs="*Arial-5724-Identity-H"/>
          <w:color w:val="14131C"/>
          <w:sz w:val="21"/>
          <w:szCs w:val="21"/>
        </w:rPr>
        <w:t>no podría ser observado por el Pleno del Congreso.</w:t>
      </w:r>
    </w:p>
    <w:p w14:paraId="3687AE1B" w14:textId="77777777" w:rsidR="00313CE6" w:rsidRPr="00C45D54" w:rsidRDefault="00313CE6" w:rsidP="00313CE6">
      <w:pPr>
        <w:autoSpaceDE w:val="0"/>
        <w:autoSpaceDN w:val="0"/>
        <w:adjustRightInd w:val="0"/>
        <w:jc w:val="both"/>
        <w:rPr>
          <w:rFonts w:ascii="Abadi" w:hAnsi="Abadi" w:cs="*Arial-5724-Identity-H"/>
          <w:color w:val="14131C"/>
          <w:sz w:val="21"/>
          <w:szCs w:val="21"/>
        </w:rPr>
      </w:pPr>
    </w:p>
    <w:p w14:paraId="0E2F0EFD" w14:textId="77777777" w:rsidR="00313CE6" w:rsidRPr="00C45D54" w:rsidRDefault="00313CE6" w:rsidP="00313CE6">
      <w:pPr>
        <w:autoSpaceDE w:val="0"/>
        <w:autoSpaceDN w:val="0"/>
        <w:adjustRightInd w:val="0"/>
        <w:jc w:val="both"/>
        <w:rPr>
          <w:rFonts w:ascii="Abadi" w:hAnsi="Abadi" w:cs="*Arial-4045-Identity-H"/>
          <w:color w:val="15141C"/>
          <w:sz w:val="21"/>
          <w:szCs w:val="21"/>
        </w:rPr>
      </w:pPr>
      <w:r w:rsidRPr="00C45D54">
        <w:rPr>
          <w:rFonts w:ascii="Abadi" w:hAnsi="Abadi" w:cs="*Arial-4045-Identity-H"/>
          <w:color w:val="15141C"/>
          <w:sz w:val="21"/>
          <w:szCs w:val="21"/>
        </w:rPr>
        <w:t>Por lo expuesto, con fundamento en el artículo 204 de la Ley Orgánica del</w:t>
      </w:r>
      <w:r>
        <w:rPr>
          <w:rFonts w:ascii="Abadi" w:hAnsi="Abadi" w:cs="*Arial-4045-Identity-H"/>
          <w:color w:val="15141C"/>
          <w:sz w:val="21"/>
          <w:szCs w:val="21"/>
        </w:rPr>
        <w:t xml:space="preserve"> </w:t>
      </w:r>
      <w:r w:rsidRPr="00C45D54">
        <w:rPr>
          <w:rFonts w:ascii="Abadi" w:hAnsi="Abadi" w:cs="*Arial-4045-Identity-H"/>
          <w:color w:val="15141C"/>
          <w:sz w:val="21"/>
          <w:szCs w:val="21"/>
        </w:rPr>
        <w:t>Poder Legislativo, nos permitimos someter a la consideración de la Asamblea, la</w:t>
      </w:r>
      <w:r>
        <w:rPr>
          <w:rFonts w:ascii="Abadi" w:hAnsi="Abadi" w:cs="*Arial-4045-Identity-H"/>
          <w:color w:val="15141C"/>
          <w:sz w:val="21"/>
          <w:szCs w:val="21"/>
        </w:rPr>
        <w:t xml:space="preserve"> </w:t>
      </w:r>
      <w:r w:rsidRPr="00C45D54">
        <w:rPr>
          <w:rFonts w:ascii="Abadi" w:hAnsi="Abadi" w:cs="*Arial-4045-Identity-H"/>
          <w:color w:val="15141C"/>
          <w:sz w:val="21"/>
          <w:szCs w:val="21"/>
        </w:rPr>
        <w:t>aprobación del siguiente:</w:t>
      </w:r>
    </w:p>
    <w:p w14:paraId="3E5EB6D5" w14:textId="77777777" w:rsidR="00313CE6" w:rsidRDefault="00313CE6" w:rsidP="00313CE6">
      <w:pPr>
        <w:autoSpaceDE w:val="0"/>
        <w:autoSpaceDN w:val="0"/>
        <w:adjustRightInd w:val="0"/>
        <w:jc w:val="both"/>
        <w:rPr>
          <w:rFonts w:ascii="Abadi" w:hAnsi="Abadi" w:cs="*Arial-Bold-4046-Identity-H"/>
          <w:b/>
          <w:bCs/>
          <w:color w:val="15141F"/>
          <w:sz w:val="21"/>
          <w:szCs w:val="21"/>
        </w:rPr>
      </w:pPr>
    </w:p>
    <w:p w14:paraId="5298E8B0" w14:textId="77777777" w:rsidR="00313CE6" w:rsidRDefault="00313CE6" w:rsidP="00313CE6">
      <w:pPr>
        <w:autoSpaceDE w:val="0"/>
        <w:autoSpaceDN w:val="0"/>
        <w:adjustRightInd w:val="0"/>
        <w:jc w:val="center"/>
        <w:rPr>
          <w:rFonts w:ascii="Abadi" w:hAnsi="Abadi" w:cs="*Arial-Bold-4046-Identity-H"/>
          <w:b/>
          <w:bCs/>
          <w:color w:val="15141F"/>
          <w:sz w:val="21"/>
          <w:szCs w:val="21"/>
        </w:rPr>
      </w:pPr>
      <w:r w:rsidRPr="00C45D54">
        <w:rPr>
          <w:rFonts w:ascii="Abadi" w:hAnsi="Abadi" w:cs="*Arial-Bold-4046-Identity-H"/>
          <w:b/>
          <w:bCs/>
          <w:color w:val="15141F"/>
          <w:sz w:val="21"/>
          <w:szCs w:val="21"/>
        </w:rPr>
        <w:t>ACUERDO</w:t>
      </w:r>
    </w:p>
    <w:p w14:paraId="4F238393" w14:textId="77777777" w:rsidR="00313CE6" w:rsidRPr="00C45D54" w:rsidRDefault="00313CE6" w:rsidP="00313CE6">
      <w:pPr>
        <w:autoSpaceDE w:val="0"/>
        <w:autoSpaceDN w:val="0"/>
        <w:adjustRightInd w:val="0"/>
        <w:jc w:val="both"/>
        <w:rPr>
          <w:rFonts w:ascii="Abadi" w:hAnsi="Abadi" w:cs="*Arial-Bold-4046-Identity-H"/>
          <w:b/>
          <w:bCs/>
          <w:color w:val="15141F"/>
          <w:sz w:val="21"/>
          <w:szCs w:val="21"/>
        </w:rPr>
      </w:pPr>
    </w:p>
    <w:p w14:paraId="207B7DDD" w14:textId="77777777" w:rsidR="00313CE6" w:rsidRDefault="00313CE6" w:rsidP="00313CE6">
      <w:pPr>
        <w:autoSpaceDE w:val="0"/>
        <w:autoSpaceDN w:val="0"/>
        <w:adjustRightInd w:val="0"/>
        <w:ind w:firstLine="708"/>
        <w:jc w:val="both"/>
        <w:rPr>
          <w:rFonts w:ascii="Abadi" w:hAnsi="Abadi" w:cs="*Arial-4045-Identity-H"/>
          <w:color w:val="14131C"/>
          <w:sz w:val="21"/>
          <w:szCs w:val="21"/>
        </w:rPr>
      </w:pPr>
      <w:r w:rsidRPr="00C45D54">
        <w:rPr>
          <w:rFonts w:ascii="Abadi" w:hAnsi="Abadi" w:cs="*Arial-Bold-4046-Identity-H"/>
          <w:b/>
          <w:bCs/>
          <w:color w:val="14131C"/>
          <w:sz w:val="21"/>
          <w:szCs w:val="21"/>
        </w:rPr>
        <w:t xml:space="preserve">Único. </w:t>
      </w:r>
      <w:r w:rsidRPr="00C45D54">
        <w:rPr>
          <w:rFonts w:ascii="Abadi" w:hAnsi="Abadi" w:cs="*Arial-4045-Identity-H"/>
          <w:color w:val="14131C"/>
          <w:sz w:val="21"/>
          <w:szCs w:val="21"/>
        </w:rPr>
        <w:t>Con fundamento en el artículo 63 fracción XIX de la Constitución</w:t>
      </w:r>
      <w:r>
        <w:rPr>
          <w:rFonts w:ascii="Abadi" w:hAnsi="Abadi" w:cs="*Arial-4045-Identity-H"/>
          <w:color w:val="14131C"/>
          <w:sz w:val="21"/>
          <w:szCs w:val="21"/>
        </w:rPr>
        <w:t xml:space="preserve"> </w:t>
      </w:r>
      <w:r w:rsidRPr="00C45D54">
        <w:rPr>
          <w:rFonts w:ascii="Abadi" w:hAnsi="Abadi" w:cs="*Arial-4045-Identity-H"/>
          <w:color w:val="14131C"/>
          <w:sz w:val="21"/>
          <w:szCs w:val="21"/>
        </w:rPr>
        <w:t>Política para el Estado, en relación con los artículos 3, fracción V, 5, fracción IV,</w:t>
      </w:r>
      <w:r>
        <w:rPr>
          <w:rFonts w:ascii="Abadi" w:hAnsi="Abadi" w:cs="*Arial-4045-Identity-H"/>
          <w:color w:val="14131C"/>
          <w:sz w:val="21"/>
          <w:szCs w:val="21"/>
        </w:rPr>
        <w:t xml:space="preserve"> </w:t>
      </w:r>
      <w:r w:rsidRPr="00C45D54">
        <w:rPr>
          <w:rFonts w:ascii="Abadi" w:hAnsi="Abadi" w:cs="*Arial-4045-Identity-H"/>
          <w:color w:val="14131C"/>
          <w:sz w:val="21"/>
          <w:szCs w:val="21"/>
        </w:rPr>
        <w:t>56, 59 y 60 de la Ley de Fiscalización Superior del Estado de Guanajuato y 28 del</w:t>
      </w:r>
      <w:r>
        <w:rPr>
          <w:rFonts w:ascii="Abadi" w:hAnsi="Abadi" w:cs="*Arial-4045-Identity-H"/>
          <w:color w:val="14131C"/>
          <w:sz w:val="21"/>
          <w:szCs w:val="21"/>
        </w:rPr>
        <w:t xml:space="preserve"> </w:t>
      </w:r>
      <w:r w:rsidRPr="00C45D54">
        <w:rPr>
          <w:rFonts w:ascii="Abadi" w:hAnsi="Abadi" w:cs="*Arial-4045-Identity-H"/>
          <w:color w:val="14131C"/>
          <w:sz w:val="21"/>
          <w:szCs w:val="21"/>
        </w:rPr>
        <w:t>Reglamento de la Ley de Fiscalización Superior del Estado de Guanajuato, se</w:t>
      </w:r>
      <w:r>
        <w:rPr>
          <w:rFonts w:ascii="Abadi" w:hAnsi="Abadi" w:cs="*Arial-4045-Identity-H"/>
          <w:color w:val="14131C"/>
          <w:sz w:val="21"/>
          <w:szCs w:val="21"/>
        </w:rPr>
        <w:t xml:space="preserve"> </w:t>
      </w:r>
      <w:r w:rsidRPr="00C45D54">
        <w:rPr>
          <w:rFonts w:ascii="Abadi" w:hAnsi="Abadi" w:cs="*Arial-4045-Identity-H"/>
          <w:color w:val="14131C"/>
          <w:sz w:val="21"/>
          <w:szCs w:val="21"/>
        </w:rPr>
        <w:t>aprueba el informe de resultados f</w:t>
      </w:r>
      <w:r>
        <w:rPr>
          <w:rFonts w:ascii="Abadi" w:eastAsia="Abadi" w:hAnsi="Abadi" w:cs="Abadi"/>
          <w:color w:val="14131C"/>
          <w:sz w:val="21"/>
          <w:szCs w:val="21"/>
        </w:rPr>
        <w:t>o</w:t>
      </w:r>
      <w:r w:rsidRPr="00C45D54">
        <w:rPr>
          <w:rFonts w:ascii="Abadi" w:hAnsi="Abadi" w:cs="*Arial-4045-Identity-H"/>
          <w:color w:val="14131C"/>
          <w:sz w:val="21"/>
          <w:szCs w:val="21"/>
        </w:rPr>
        <w:t>rmulado por la Auditoría Superior del Estado</w:t>
      </w:r>
      <w:r>
        <w:rPr>
          <w:rFonts w:ascii="Abadi" w:hAnsi="Abadi" w:cs="*Arial-4045-Identity-H"/>
          <w:color w:val="14131C"/>
          <w:sz w:val="21"/>
          <w:szCs w:val="21"/>
        </w:rPr>
        <w:t xml:space="preserve"> </w:t>
      </w:r>
      <w:r w:rsidRPr="00C45D54">
        <w:rPr>
          <w:rFonts w:ascii="Abadi" w:hAnsi="Abadi" w:cs="*Arial-4045-Identity-H"/>
          <w:color w:val="14131C"/>
          <w:sz w:val="21"/>
          <w:szCs w:val="21"/>
        </w:rPr>
        <w:t>de Guanajuato, de la auditoría de desempeño practicada a la administración</w:t>
      </w:r>
      <w:r>
        <w:rPr>
          <w:rFonts w:ascii="Abadi" w:hAnsi="Abadi" w:cs="*Arial-4045-Identity-H"/>
          <w:color w:val="14131C"/>
          <w:sz w:val="21"/>
          <w:szCs w:val="21"/>
        </w:rPr>
        <w:t xml:space="preserve"> </w:t>
      </w:r>
      <w:r w:rsidRPr="00C45D54">
        <w:rPr>
          <w:rFonts w:ascii="Abadi" w:hAnsi="Abadi" w:cs="*Arial-4045-Identity-H"/>
          <w:color w:val="14131C"/>
          <w:sz w:val="21"/>
          <w:szCs w:val="21"/>
        </w:rPr>
        <w:t>municipal de Guanajuato, Gto., con enfoque a resultados del servicio de</w:t>
      </w:r>
      <w:r>
        <w:rPr>
          <w:rFonts w:ascii="Abadi" w:hAnsi="Abadi" w:cs="*Arial-4045-Identity-H"/>
          <w:color w:val="14131C"/>
          <w:sz w:val="21"/>
          <w:szCs w:val="21"/>
        </w:rPr>
        <w:t xml:space="preserve"> </w:t>
      </w:r>
      <w:r w:rsidRPr="00C45D54">
        <w:rPr>
          <w:rFonts w:ascii="Abadi" w:hAnsi="Abadi" w:cs="*Arial-4045-Identity-H"/>
          <w:color w:val="14131C"/>
          <w:sz w:val="21"/>
          <w:szCs w:val="21"/>
        </w:rPr>
        <w:t>alumbrado público, por el periodo comprendido del 1 de enero al 31 de diciembre</w:t>
      </w:r>
      <w:r>
        <w:rPr>
          <w:rFonts w:ascii="Abadi" w:hAnsi="Abadi" w:cs="*Arial-4045-Identity-H"/>
          <w:color w:val="14131C"/>
          <w:sz w:val="21"/>
          <w:szCs w:val="21"/>
        </w:rPr>
        <w:t xml:space="preserve"> </w:t>
      </w:r>
      <w:r w:rsidRPr="00C45D54">
        <w:rPr>
          <w:rFonts w:ascii="Abadi" w:hAnsi="Abadi" w:cs="*Arial-4045-Identity-H"/>
          <w:color w:val="14131C"/>
          <w:sz w:val="21"/>
          <w:szCs w:val="21"/>
        </w:rPr>
        <w:t>del ejercicio fiscal del año 2020.</w:t>
      </w:r>
    </w:p>
    <w:p w14:paraId="3C984A7F" w14:textId="77777777" w:rsidR="00313CE6" w:rsidRPr="00C45D54" w:rsidRDefault="00313CE6" w:rsidP="00313CE6">
      <w:pPr>
        <w:autoSpaceDE w:val="0"/>
        <w:autoSpaceDN w:val="0"/>
        <w:adjustRightInd w:val="0"/>
        <w:jc w:val="both"/>
        <w:rPr>
          <w:rFonts w:ascii="Abadi" w:hAnsi="Abadi" w:cs="*Arial-4045-Identity-H"/>
          <w:color w:val="14131C"/>
          <w:sz w:val="21"/>
          <w:szCs w:val="21"/>
        </w:rPr>
      </w:pPr>
    </w:p>
    <w:p w14:paraId="396EC15B" w14:textId="77777777" w:rsidR="00313CE6" w:rsidRPr="00C45D54" w:rsidRDefault="00313CE6" w:rsidP="00313CE6">
      <w:pPr>
        <w:autoSpaceDE w:val="0"/>
        <w:autoSpaceDN w:val="0"/>
        <w:adjustRightInd w:val="0"/>
        <w:ind w:firstLine="708"/>
        <w:jc w:val="both"/>
        <w:rPr>
          <w:rFonts w:ascii="Abadi" w:hAnsi="Abadi" w:cs="*Arial-4045-Identity-H"/>
          <w:color w:val="15131C"/>
          <w:sz w:val="21"/>
          <w:szCs w:val="21"/>
        </w:rPr>
      </w:pPr>
      <w:r w:rsidRPr="00C45D54">
        <w:rPr>
          <w:rFonts w:ascii="Abadi" w:hAnsi="Abadi" w:cs="*Arial-4045-Identity-H"/>
          <w:color w:val="15131C"/>
          <w:sz w:val="21"/>
          <w:szCs w:val="21"/>
        </w:rPr>
        <w:t>Se ordena dar vista del informe de resultados al ayuntamiento del municipio</w:t>
      </w:r>
      <w:r>
        <w:rPr>
          <w:rFonts w:ascii="Abadi" w:hAnsi="Abadi" w:cs="*Arial-4045-Identity-H"/>
          <w:color w:val="15131C"/>
          <w:sz w:val="21"/>
          <w:szCs w:val="21"/>
        </w:rPr>
        <w:t xml:space="preserve"> </w:t>
      </w:r>
      <w:r w:rsidRPr="00C45D54">
        <w:rPr>
          <w:rFonts w:ascii="Abadi" w:hAnsi="Abadi" w:cs="*Arial-4045-Identity-H"/>
          <w:color w:val="15131C"/>
          <w:sz w:val="21"/>
          <w:szCs w:val="21"/>
        </w:rPr>
        <w:t>de Guanajuato, Gto., a efecto de que se atiendan las recomendaciones contenidas</w:t>
      </w:r>
      <w:r>
        <w:rPr>
          <w:rFonts w:ascii="Abadi" w:hAnsi="Abadi" w:cs="*Arial-4045-Identity-H"/>
          <w:color w:val="15131C"/>
          <w:sz w:val="21"/>
          <w:szCs w:val="21"/>
        </w:rPr>
        <w:t xml:space="preserve"> </w:t>
      </w:r>
      <w:r w:rsidRPr="00C45D54">
        <w:rPr>
          <w:rFonts w:ascii="Abadi" w:hAnsi="Abadi" w:cs="*Arial-4045-Identity-H"/>
          <w:color w:val="15131C"/>
          <w:sz w:val="21"/>
          <w:szCs w:val="21"/>
        </w:rPr>
        <w:t>en el informe de resultados, informando a la Auditoría Superior del Estado de las</w:t>
      </w:r>
      <w:r>
        <w:rPr>
          <w:rFonts w:ascii="Abadi" w:hAnsi="Abadi" w:cs="*Arial-4045-Identity-H"/>
          <w:color w:val="15131C"/>
          <w:sz w:val="21"/>
          <w:szCs w:val="21"/>
        </w:rPr>
        <w:t xml:space="preserve"> </w:t>
      </w:r>
      <w:r w:rsidRPr="00C45D54">
        <w:rPr>
          <w:rFonts w:ascii="Abadi" w:hAnsi="Abadi" w:cs="*Arial-4045-Identity-H"/>
          <w:color w:val="15131C"/>
          <w:sz w:val="21"/>
          <w:szCs w:val="21"/>
        </w:rPr>
        <w:t>acciones realizadas para ello, con objeto de que esta última realice el seguimiento</w:t>
      </w:r>
      <w:r>
        <w:rPr>
          <w:rFonts w:ascii="Abadi" w:hAnsi="Abadi" w:cs="*Arial-4045-Identity-H"/>
          <w:color w:val="15131C"/>
          <w:sz w:val="21"/>
          <w:szCs w:val="21"/>
        </w:rPr>
        <w:t xml:space="preserve"> </w:t>
      </w:r>
      <w:r w:rsidRPr="00C45D54">
        <w:rPr>
          <w:rFonts w:ascii="Abadi" w:hAnsi="Abadi" w:cs="*Arial-4045-Identity-H"/>
          <w:color w:val="15131C"/>
          <w:sz w:val="21"/>
          <w:szCs w:val="21"/>
        </w:rPr>
        <w:t xml:space="preserve">correspondiente, previsto en </w:t>
      </w:r>
      <w:r>
        <w:rPr>
          <w:rFonts w:ascii="Abadi" w:hAnsi="Abadi" w:cs="*Arial-4045-Identity-H"/>
          <w:color w:val="15131C"/>
          <w:sz w:val="21"/>
          <w:szCs w:val="21"/>
        </w:rPr>
        <w:t xml:space="preserve">los </w:t>
      </w:r>
      <w:r w:rsidRPr="00C45D54">
        <w:rPr>
          <w:rFonts w:ascii="Abadi" w:hAnsi="Abadi" w:cs="*Arial-4045-Identity-H"/>
          <w:color w:val="15131C"/>
          <w:sz w:val="21"/>
          <w:szCs w:val="21"/>
        </w:rPr>
        <w:t>artículos 37, fracción VII, 65 y 66 de la Ley de</w:t>
      </w:r>
      <w:r>
        <w:rPr>
          <w:rFonts w:ascii="Abadi" w:hAnsi="Abadi" w:cs="*Arial-4045-Identity-H"/>
          <w:color w:val="15131C"/>
          <w:sz w:val="21"/>
          <w:szCs w:val="21"/>
        </w:rPr>
        <w:t xml:space="preserve"> </w:t>
      </w:r>
      <w:r w:rsidRPr="00C45D54">
        <w:rPr>
          <w:rFonts w:ascii="Abadi" w:hAnsi="Abadi" w:cs="*Arial-4045-Identity-H"/>
          <w:color w:val="15131C"/>
          <w:sz w:val="21"/>
          <w:szCs w:val="21"/>
        </w:rPr>
        <w:t>Fiscalización Superior del Estado de Guanajuato y 77 del Reglamento de dicha</w:t>
      </w:r>
    </w:p>
    <w:p w14:paraId="68FC8404" w14:textId="77777777" w:rsidR="00313CE6" w:rsidRDefault="00313CE6" w:rsidP="00313CE6">
      <w:pPr>
        <w:autoSpaceDE w:val="0"/>
        <w:autoSpaceDN w:val="0"/>
        <w:adjustRightInd w:val="0"/>
        <w:jc w:val="both"/>
        <w:rPr>
          <w:rFonts w:ascii="Abadi" w:hAnsi="Abadi" w:cs="*Arial-4045-Identity-H"/>
          <w:color w:val="15131C"/>
          <w:sz w:val="21"/>
          <w:szCs w:val="21"/>
        </w:rPr>
      </w:pPr>
      <w:r w:rsidRPr="00C45D54">
        <w:rPr>
          <w:rFonts w:ascii="Abadi" w:hAnsi="Abadi" w:cs="*Arial-4045-Identity-H"/>
          <w:color w:val="15131C"/>
          <w:sz w:val="21"/>
          <w:szCs w:val="21"/>
        </w:rPr>
        <w:t>Ley.</w:t>
      </w:r>
    </w:p>
    <w:p w14:paraId="3A6183FE" w14:textId="77777777" w:rsidR="00313CE6" w:rsidRPr="00C45D54" w:rsidRDefault="00313CE6" w:rsidP="00313CE6">
      <w:pPr>
        <w:autoSpaceDE w:val="0"/>
        <w:autoSpaceDN w:val="0"/>
        <w:adjustRightInd w:val="0"/>
        <w:jc w:val="both"/>
        <w:rPr>
          <w:rFonts w:ascii="Abadi" w:hAnsi="Abadi" w:cs="*Arial-4045-Identity-H"/>
          <w:color w:val="15131C"/>
          <w:sz w:val="21"/>
          <w:szCs w:val="21"/>
        </w:rPr>
      </w:pPr>
    </w:p>
    <w:p w14:paraId="4A116863" w14:textId="51AA64DA" w:rsidR="00313CE6" w:rsidRDefault="00313CE6" w:rsidP="00313CE6">
      <w:pPr>
        <w:autoSpaceDE w:val="0"/>
        <w:autoSpaceDN w:val="0"/>
        <w:adjustRightInd w:val="0"/>
        <w:ind w:firstLine="708"/>
        <w:jc w:val="both"/>
        <w:rPr>
          <w:rFonts w:ascii="Abadi" w:hAnsi="Abadi" w:cs="*Arial-3788-Identity-H"/>
          <w:color w:val="15141C"/>
          <w:sz w:val="21"/>
          <w:szCs w:val="21"/>
        </w:rPr>
      </w:pPr>
      <w:r w:rsidRPr="00C45D54">
        <w:rPr>
          <w:rFonts w:ascii="Abadi" w:hAnsi="Abadi" w:cs="*Arial-3788-Identity-H"/>
          <w:color w:val="15141C"/>
          <w:sz w:val="21"/>
          <w:szCs w:val="21"/>
        </w:rPr>
        <w:t>De conformidad con el artículo 37, fracción VI de la Ley de Fiscalización</w:t>
      </w:r>
      <w:r>
        <w:rPr>
          <w:rFonts w:ascii="Abadi" w:hAnsi="Abadi" w:cs="*Arial-3788-Identity-H"/>
          <w:color w:val="15141C"/>
          <w:sz w:val="21"/>
          <w:szCs w:val="21"/>
        </w:rPr>
        <w:t xml:space="preserve"> </w:t>
      </w:r>
      <w:r w:rsidRPr="00C45D54">
        <w:rPr>
          <w:rFonts w:ascii="Abadi" w:hAnsi="Abadi" w:cs="*Arial-3788-Identity-H"/>
          <w:color w:val="15141C"/>
          <w:sz w:val="21"/>
          <w:szCs w:val="21"/>
        </w:rPr>
        <w:t>Superior del Estado de Guanajuato, remítase e</w:t>
      </w:r>
      <w:r>
        <w:rPr>
          <w:rFonts w:ascii="Abadi" w:hAnsi="Abadi" w:cs="*Arial-3788-Identity-H"/>
          <w:color w:val="15141C"/>
          <w:sz w:val="21"/>
          <w:szCs w:val="21"/>
        </w:rPr>
        <w:t>l</w:t>
      </w:r>
      <w:r w:rsidRPr="00C45D54">
        <w:rPr>
          <w:rFonts w:ascii="Abadi" w:hAnsi="Abadi" w:cs="*Arial-3788-Identity-H"/>
          <w:color w:val="15141C"/>
          <w:sz w:val="21"/>
          <w:szCs w:val="21"/>
        </w:rPr>
        <w:t xml:space="preserve"> p</w:t>
      </w:r>
      <w:r>
        <w:rPr>
          <w:rFonts w:ascii="Abadi" w:hAnsi="Abadi" w:cs="*Arial-3788-Identity-H"/>
          <w:color w:val="15141C"/>
          <w:sz w:val="21"/>
          <w:szCs w:val="21"/>
        </w:rPr>
        <w:t>res</w:t>
      </w:r>
      <w:r w:rsidRPr="00C45D54">
        <w:rPr>
          <w:rFonts w:ascii="Abadi" w:hAnsi="Abadi" w:cs="*Arial-3788-Identity-H"/>
          <w:color w:val="15141C"/>
          <w:sz w:val="21"/>
          <w:szCs w:val="21"/>
        </w:rPr>
        <w:t>ente acuerdo junto con su</w:t>
      </w:r>
      <w:r>
        <w:rPr>
          <w:rFonts w:ascii="Abadi" w:hAnsi="Abadi" w:cs="*Arial-3788-Identity-H"/>
          <w:color w:val="15141C"/>
          <w:sz w:val="21"/>
          <w:szCs w:val="21"/>
        </w:rPr>
        <w:t xml:space="preserve"> </w:t>
      </w:r>
      <w:r w:rsidRPr="00C45D54">
        <w:rPr>
          <w:rFonts w:ascii="Abadi" w:hAnsi="Abadi" w:cs="*Arial-3788-Identity-H"/>
          <w:color w:val="15141C"/>
          <w:sz w:val="21"/>
          <w:szCs w:val="21"/>
        </w:rPr>
        <w:t>dictamen y el informe de resultados a la A</w:t>
      </w:r>
      <w:r>
        <w:rPr>
          <w:rFonts w:ascii="Abadi" w:hAnsi="Abadi" w:cs="*Arial-3788-Identity-H"/>
          <w:color w:val="15141C"/>
          <w:sz w:val="21"/>
          <w:szCs w:val="21"/>
        </w:rPr>
        <w:t>uditoria</w:t>
      </w:r>
      <w:r w:rsidRPr="00C45D54">
        <w:rPr>
          <w:rFonts w:ascii="Abadi" w:hAnsi="Abadi" w:cs="*Arial-3788-Identity-H"/>
          <w:color w:val="15141C"/>
          <w:sz w:val="21"/>
          <w:szCs w:val="21"/>
        </w:rPr>
        <w:t xml:space="preserve"> Superior del Estado, para</w:t>
      </w:r>
      <w:r>
        <w:rPr>
          <w:rFonts w:ascii="Abadi" w:hAnsi="Abadi" w:cs="*Arial-3788-Identity-H"/>
          <w:color w:val="15141C"/>
          <w:sz w:val="21"/>
          <w:szCs w:val="21"/>
        </w:rPr>
        <w:t xml:space="preserve"> </w:t>
      </w:r>
      <w:r w:rsidRPr="00C45D54">
        <w:rPr>
          <w:rFonts w:ascii="Abadi" w:hAnsi="Abadi" w:cs="*Arial-3788-Identity-H"/>
          <w:color w:val="15141C"/>
          <w:sz w:val="21"/>
          <w:szCs w:val="21"/>
        </w:rPr>
        <w:t>efectos de su notificación.</w:t>
      </w:r>
    </w:p>
    <w:p w14:paraId="7A010266" w14:textId="13C5F074" w:rsidR="00313CE6" w:rsidRDefault="00313CE6" w:rsidP="00313CE6">
      <w:pPr>
        <w:autoSpaceDE w:val="0"/>
        <w:autoSpaceDN w:val="0"/>
        <w:adjustRightInd w:val="0"/>
        <w:ind w:firstLine="708"/>
        <w:jc w:val="both"/>
        <w:rPr>
          <w:rFonts w:ascii="Abadi" w:hAnsi="Abadi" w:cs="*Arial-3788-Identity-H"/>
          <w:color w:val="15141C"/>
          <w:sz w:val="21"/>
          <w:szCs w:val="21"/>
        </w:rPr>
      </w:pPr>
    </w:p>
    <w:p w14:paraId="25E90324" w14:textId="77777777" w:rsidR="00313CE6" w:rsidRDefault="00313CE6" w:rsidP="00313CE6">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Guanajuato, Gto., 5 de abril de 2022</w:t>
      </w:r>
    </w:p>
    <w:p w14:paraId="772A38FE" w14:textId="77777777" w:rsidR="00313CE6" w:rsidRDefault="00313CE6" w:rsidP="00313CE6">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La Comisión de Hacienda y Fiscalización</w:t>
      </w:r>
    </w:p>
    <w:p w14:paraId="29D95BF7" w14:textId="77777777" w:rsidR="00313CE6" w:rsidRDefault="00313CE6" w:rsidP="00313CE6">
      <w:pPr>
        <w:autoSpaceDE w:val="0"/>
        <w:autoSpaceDN w:val="0"/>
        <w:adjustRightInd w:val="0"/>
        <w:ind w:firstLine="708"/>
        <w:jc w:val="both"/>
        <w:rPr>
          <w:rFonts w:ascii="Abadi" w:hAnsi="Abadi" w:cs="*Arial-6038-Identity-H"/>
          <w:b/>
          <w:bCs/>
          <w:color w:val="0E0D10"/>
          <w:sz w:val="21"/>
          <w:szCs w:val="21"/>
        </w:rPr>
      </w:pPr>
    </w:p>
    <w:p w14:paraId="12A9D798" w14:textId="77777777" w:rsidR="00313CE6" w:rsidRDefault="00313CE6" w:rsidP="00313CE6">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 Víctor Manuel Zanella Huerta</w:t>
      </w:r>
    </w:p>
    <w:p w14:paraId="18C092ED" w14:textId="77777777" w:rsidR="00313CE6" w:rsidRDefault="00313CE6" w:rsidP="00313CE6">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Diputada Ruth Noemí Tiscareño Agoitia</w:t>
      </w:r>
    </w:p>
    <w:p w14:paraId="2ED1441F" w14:textId="77777777" w:rsidR="00313CE6" w:rsidRDefault="00313CE6" w:rsidP="00313CE6">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Miguel ángel Salim Alle</w:t>
      </w:r>
    </w:p>
    <w:p w14:paraId="2D2F31AE" w14:textId="77777777" w:rsidR="00313CE6" w:rsidRDefault="00313CE6" w:rsidP="00313CE6">
      <w:pPr>
        <w:autoSpaceDE w:val="0"/>
        <w:autoSpaceDN w:val="0"/>
        <w:adjustRightInd w:val="0"/>
        <w:jc w:val="both"/>
        <w:rPr>
          <w:rFonts w:ascii="Abadi" w:hAnsi="Abadi" w:cs="*Arial-6038-Identity-H"/>
          <w:b/>
          <w:bCs/>
          <w:color w:val="0E0D10"/>
          <w:sz w:val="21"/>
          <w:szCs w:val="21"/>
        </w:rPr>
      </w:pPr>
      <w:r>
        <w:rPr>
          <w:rFonts w:ascii="Abadi" w:hAnsi="Abadi" w:cs="*Arial-6038-Identity-H"/>
          <w:b/>
          <w:bCs/>
          <w:color w:val="0E0D10"/>
          <w:sz w:val="21"/>
          <w:szCs w:val="21"/>
        </w:rPr>
        <w:t>Diputado José alonso Borja Pimentel</w:t>
      </w:r>
    </w:p>
    <w:p w14:paraId="0691A094" w14:textId="77777777" w:rsidR="00313CE6" w:rsidRDefault="00313CE6" w:rsidP="00313CE6">
      <w:pPr>
        <w:autoSpaceDE w:val="0"/>
        <w:autoSpaceDN w:val="0"/>
        <w:adjustRightInd w:val="0"/>
        <w:jc w:val="both"/>
        <w:rPr>
          <w:rFonts w:ascii="Abadi" w:hAnsi="Abadi"/>
          <w:b/>
          <w:bCs/>
          <w:sz w:val="21"/>
          <w:szCs w:val="21"/>
        </w:rPr>
      </w:pPr>
      <w:r>
        <w:rPr>
          <w:rFonts w:ascii="Abadi" w:hAnsi="Abadi" w:cs="*Arial-6038-Identity-H"/>
          <w:b/>
          <w:bCs/>
          <w:color w:val="0E0D10"/>
          <w:sz w:val="21"/>
          <w:szCs w:val="21"/>
        </w:rPr>
        <w:t>Diputada Alma Edwviges Alcaraz Hernández</w:t>
      </w:r>
    </w:p>
    <w:p w14:paraId="1BCA025E" w14:textId="77777777" w:rsidR="00313CE6" w:rsidRPr="00D9374F" w:rsidRDefault="00313CE6" w:rsidP="00313CE6">
      <w:pPr>
        <w:autoSpaceDE w:val="0"/>
        <w:autoSpaceDN w:val="0"/>
        <w:adjustRightInd w:val="0"/>
        <w:ind w:firstLine="708"/>
        <w:jc w:val="both"/>
        <w:rPr>
          <w:rFonts w:ascii="Abadi" w:hAnsi="Abadi"/>
          <w:sz w:val="21"/>
          <w:szCs w:val="21"/>
        </w:rPr>
      </w:pPr>
    </w:p>
    <w:p w14:paraId="2FC99742" w14:textId="77777777" w:rsidR="00313CE6" w:rsidRPr="00293312" w:rsidRDefault="00313CE6" w:rsidP="00313CE6">
      <w:pPr>
        <w:autoSpaceDE w:val="0"/>
        <w:autoSpaceDN w:val="0"/>
        <w:adjustRightInd w:val="0"/>
        <w:jc w:val="both"/>
        <w:rPr>
          <w:rFonts w:ascii="Abadi" w:hAnsi="Abadi" w:cs="Arial-BoldMT"/>
          <w:b/>
          <w:bCs/>
          <w:sz w:val="20"/>
          <w:szCs w:val="21"/>
        </w:rPr>
      </w:pPr>
    </w:p>
    <w:p w14:paraId="0E1197D7" w14:textId="47A0CC89" w:rsidR="006F3002" w:rsidRDefault="006F3002" w:rsidP="005C6EBB">
      <w:pPr>
        <w:pStyle w:val="Prrafodelista"/>
        <w:numPr>
          <w:ilvl w:val="0"/>
          <w:numId w:val="8"/>
        </w:numPr>
        <w:ind w:left="426"/>
        <w:jc w:val="both"/>
        <w:rPr>
          <w:rFonts w:ascii="Abadi" w:hAnsi="Abadi" w:cs="ArialMT"/>
          <w:b/>
          <w:bCs/>
          <w:sz w:val="20"/>
          <w:szCs w:val="21"/>
        </w:rPr>
      </w:pPr>
      <w:r w:rsidRPr="006F3002">
        <w:rPr>
          <w:rFonts w:ascii="Abadi" w:hAnsi="Abadi" w:cs="ArialMT"/>
          <w:b/>
          <w:bCs/>
          <w:sz w:val="20"/>
          <w:szCs w:val="21"/>
        </w:rPr>
        <w:t>ASUNTOS GENERALES.</w:t>
      </w:r>
    </w:p>
    <w:p w14:paraId="301F5F77" w14:textId="146CBC7F" w:rsidR="00600B0C" w:rsidRDefault="00600B0C" w:rsidP="00600B0C">
      <w:pPr>
        <w:pStyle w:val="Prrafodelista"/>
        <w:ind w:left="426"/>
        <w:jc w:val="both"/>
        <w:rPr>
          <w:rFonts w:ascii="Abadi" w:hAnsi="Abadi" w:cs="ArialMT"/>
          <w:b/>
          <w:bCs/>
          <w:sz w:val="20"/>
          <w:szCs w:val="21"/>
        </w:rPr>
      </w:pPr>
    </w:p>
    <w:p w14:paraId="3F2C0874" w14:textId="1A1011E1" w:rsidR="00836DFB" w:rsidRPr="00535962" w:rsidRDefault="00046716" w:rsidP="00535962">
      <w:pPr>
        <w:pStyle w:val="Prrafodelista"/>
        <w:ind w:left="0"/>
        <w:jc w:val="both"/>
        <w:rPr>
          <w:rFonts w:ascii="Abadi" w:hAnsi="Abadi"/>
          <w:sz w:val="21"/>
          <w:szCs w:val="21"/>
        </w:rPr>
      </w:pPr>
      <w:r w:rsidRPr="00535962">
        <w:rPr>
          <w:rFonts w:ascii="Abadi" w:hAnsi="Abadi"/>
        </w:rPr>
        <w:t xml:space="preserve">                      </w:t>
      </w:r>
      <w:r w:rsidRPr="00535962">
        <w:rPr>
          <w:rFonts w:ascii="Lato" w:hAnsi="Lato"/>
          <w:i/>
          <w:color w:val="212529"/>
          <w:shd w:val="clear" w:color="auto" w:fill="FFFFFF"/>
        </w:rPr>
        <w:t xml:space="preserve">                  </w:t>
      </w:r>
    </w:p>
    <w:p w14:paraId="7B372148" w14:textId="356DC9BF" w:rsidR="004D14FE" w:rsidRDefault="00E73ECD" w:rsidP="004D14FE">
      <w:pPr>
        <w:ind w:firstLine="426"/>
        <w:jc w:val="both"/>
        <w:rPr>
          <w:rFonts w:ascii="Abadi" w:hAnsi="Abadi" w:cs="*Arial-4045-Identity-H"/>
          <w:color w:val="15131C"/>
          <w:sz w:val="21"/>
          <w:szCs w:val="21"/>
        </w:rPr>
      </w:pPr>
      <w:r w:rsidRPr="004D14FE">
        <w:rPr>
          <w:rFonts w:ascii="Abadi" w:hAnsi="Abadi" w:cs="*Arial-4045-Identity-H"/>
          <w:b/>
          <w:bCs/>
          <w:color w:val="15131C"/>
          <w:sz w:val="21"/>
          <w:szCs w:val="21"/>
        </w:rPr>
        <w:t xml:space="preserve">- </w:t>
      </w:r>
      <w:r w:rsidR="00A974E1" w:rsidRPr="004D14FE">
        <w:rPr>
          <w:rFonts w:ascii="Abadi" w:hAnsi="Abadi" w:cs="*Arial-4045-Identity-H"/>
          <w:b/>
          <w:bCs/>
          <w:color w:val="15131C"/>
          <w:sz w:val="21"/>
          <w:szCs w:val="21"/>
        </w:rPr>
        <w:t>La Presidencia</w:t>
      </w:r>
      <w:r w:rsidR="004D14FE">
        <w:rPr>
          <w:rFonts w:ascii="Abadi" w:hAnsi="Abadi" w:cs="*Arial-4045-Identity-H"/>
          <w:b/>
          <w:bCs/>
          <w:color w:val="15131C"/>
          <w:sz w:val="21"/>
          <w:szCs w:val="21"/>
        </w:rPr>
        <w:t xml:space="preserve">.- </w:t>
      </w:r>
      <w:r w:rsidR="004D14FE" w:rsidRPr="004D14FE">
        <w:rPr>
          <w:rFonts w:ascii="Abadi" w:hAnsi="Abadi" w:cs="*Arial-4045-Identity-H"/>
          <w:color w:val="15131C"/>
          <w:sz w:val="21"/>
          <w:szCs w:val="21"/>
        </w:rPr>
        <w:t xml:space="preserve">Corresponde abrir el registro para tratar asuntos de interés general. </w:t>
      </w:r>
    </w:p>
    <w:p w14:paraId="4FE169D8" w14:textId="15A66BEC" w:rsidR="00B079CC" w:rsidRDefault="00B079CC" w:rsidP="004D14FE">
      <w:pPr>
        <w:ind w:firstLine="426"/>
        <w:jc w:val="both"/>
        <w:rPr>
          <w:rFonts w:ascii="Abadi" w:hAnsi="Abadi" w:cs="*Arial-4045-Identity-H"/>
          <w:color w:val="15131C"/>
          <w:sz w:val="21"/>
          <w:szCs w:val="21"/>
        </w:rPr>
      </w:pPr>
    </w:p>
    <w:p w14:paraId="456000AC" w14:textId="227C6FE9" w:rsidR="00B079CC" w:rsidRPr="00B079CC" w:rsidRDefault="00B079CC" w:rsidP="00B079CC">
      <w:pPr>
        <w:ind w:firstLine="426"/>
        <w:jc w:val="both"/>
        <w:rPr>
          <w:rFonts w:ascii="Abadi" w:hAnsi="Abadi"/>
          <w:sz w:val="21"/>
          <w:szCs w:val="21"/>
        </w:rPr>
      </w:pPr>
      <w:r>
        <w:rPr>
          <w:rFonts w:ascii="Abadi" w:hAnsi="Abadi"/>
          <w:b/>
          <w:bCs/>
          <w:sz w:val="21"/>
          <w:szCs w:val="21"/>
        </w:rPr>
        <w:t xml:space="preserve">- </w:t>
      </w:r>
      <w:r w:rsidRPr="00B079CC">
        <w:rPr>
          <w:rFonts w:ascii="Abadi" w:hAnsi="Abadi"/>
          <w:b/>
          <w:bCs/>
          <w:sz w:val="21"/>
          <w:szCs w:val="21"/>
        </w:rPr>
        <w:t>La Presidencia.-</w:t>
      </w:r>
      <w:r w:rsidRPr="00B079CC">
        <w:rPr>
          <w:rFonts w:ascii="Abadi" w:hAnsi="Abadi"/>
          <w:sz w:val="21"/>
          <w:szCs w:val="21"/>
        </w:rPr>
        <w:t xml:space="preserve"> </w:t>
      </w:r>
      <w:bookmarkStart w:id="11" w:name="_Hlk108471869"/>
      <w:r w:rsidRPr="00B079CC">
        <w:rPr>
          <w:rFonts w:ascii="Abadi" w:hAnsi="Abadi"/>
          <w:sz w:val="21"/>
          <w:szCs w:val="21"/>
        </w:rPr>
        <w:t xml:space="preserve">Corresponde abrir el registro para tratar asuntos de interés general. </w:t>
      </w:r>
    </w:p>
    <w:bookmarkEnd w:id="11"/>
    <w:p w14:paraId="0F069BE8" w14:textId="027BB76F" w:rsidR="00B079CC" w:rsidRDefault="00B079CC" w:rsidP="00B079CC">
      <w:pPr>
        <w:ind w:firstLine="426"/>
        <w:jc w:val="both"/>
        <w:rPr>
          <w:rFonts w:ascii="Abadi" w:hAnsi="Abadi"/>
          <w:sz w:val="21"/>
          <w:szCs w:val="21"/>
        </w:rPr>
      </w:pPr>
      <w:r>
        <w:rPr>
          <w:rFonts w:ascii="Abadi" w:hAnsi="Abadi"/>
          <w:sz w:val="21"/>
          <w:szCs w:val="21"/>
        </w:rPr>
        <w:t xml:space="preserve">- </w:t>
      </w:r>
      <w:r w:rsidRPr="00B079CC">
        <w:rPr>
          <w:rFonts w:ascii="Abadi" w:hAnsi="Abadi"/>
          <w:sz w:val="21"/>
          <w:szCs w:val="21"/>
        </w:rPr>
        <w:t>Me permit</w:t>
      </w:r>
      <w:r>
        <w:rPr>
          <w:rFonts w:ascii="Abadi" w:hAnsi="Abadi"/>
          <w:sz w:val="21"/>
          <w:szCs w:val="21"/>
        </w:rPr>
        <w:t>o</w:t>
      </w:r>
      <w:r w:rsidRPr="00B079CC">
        <w:rPr>
          <w:rFonts w:ascii="Abadi" w:hAnsi="Abadi"/>
          <w:sz w:val="21"/>
          <w:szCs w:val="21"/>
        </w:rPr>
        <w:t xml:space="preserve"> informar que previamente se han inscrito la diputada, el Diputado ¡Perdón! el diputado Gerardo Fernández González con el tema </w:t>
      </w:r>
      <w:bookmarkStart w:id="12" w:name="_Hlk108472224"/>
      <w:r w:rsidRPr="00B079CC">
        <w:rPr>
          <w:rFonts w:ascii="Abadi" w:hAnsi="Abadi"/>
          <w:sz w:val="21"/>
          <w:szCs w:val="21"/>
        </w:rPr>
        <w:t>Día del Maestro</w:t>
      </w:r>
      <w:bookmarkEnd w:id="12"/>
      <w:r w:rsidRPr="00B079CC">
        <w:rPr>
          <w:rFonts w:ascii="Abadi" w:hAnsi="Abadi"/>
          <w:sz w:val="21"/>
          <w:szCs w:val="21"/>
        </w:rPr>
        <w:t xml:space="preserve">. La diputada Angélica Casillas Martínez, con el tema Efemérides, el diputado Ernesto Millán Soberanes con el tema Otros datos. </w:t>
      </w:r>
    </w:p>
    <w:p w14:paraId="4581C270" w14:textId="77777777" w:rsidR="00B079CC" w:rsidRPr="00B079CC" w:rsidRDefault="00B079CC" w:rsidP="00B079CC">
      <w:pPr>
        <w:ind w:firstLine="426"/>
        <w:jc w:val="both"/>
        <w:rPr>
          <w:rFonts w:ascii="Abadi" w:hAnsi="Abadi"/>
          <w:sz w:val="21"/>
          <w:szCs w:val="21"/>
        </w:rPr>
      </w:pPr>
    </w:p>
    <w:p w14:paraId="0B97C975" w14:textId="7ACF58E6" w:rsidR="00B079CC" w:rsidRDefault="00B079CC" w:rsidP="00B079CC">
      <w:pPr>
        <w:ind w:firstLine="426"/>
        <w:jc w:val="both"/>
        <w:rPr>
          <w:rFonts w:ascii="Abadi" w:hAnsi="Abadi"/>
          <w:sz w:val="21"/>
          <w:szCs w:val="21"/>
        </w:rPr>
      </w:pPr>
      <w:r>
        <w:rPr>
          <w:rFonts w:ascii="Abadi" w:hAnsi="Abadi"/>
          <w:sz w:val="21"/>
          <w:szCs w:val="21"/>
        </w:rPr>
        <w:t xml:space="preserve">- </w:t>
      </w:r>
      <w:r w:rsidRPr="00B079CC">
        <w:rPr>
          <w:rFonts w:ascii="Abadi" w:hAnsi="Abadi"/>
          <w:sz w:val="21"/>
          <w:szCs w:val="21"/>
        </w:rPr>
        <w:t xml:space="preserve">Si alguna otra diputada o algún otro diputado desea inscribirse, favor de indicarlo esta presidencia. </w:t>
      </w:r>
    </w:p>
    <w:p w14:paraId="35C46AFB" w14:textId="77777777" w:rsidR="00B079CC" w:rsidRPr="00B079CC" w:rsidRDefault="00B079CC" w:rsidP="00B079CC">
      <w:pPr>
        <w:jc w:val="both"/>
        <w:rPr>
          <w:rFonts w:ascii="Abadi" w:hAnsi="Abadi"/>
          <w:sz w:val="21"/>
          <w:szCs w:val="21"/>
        </w:rPr>
      </w:pPr>
    </w:p>
    <w:p w14:paraId="59184D7E" w14:textId="72824549" w:rsidR="00B079CC" w:rsidRDefault="00B079CC" w:rsidP="00B079CC">
      <w:pPr>
        <w:ind w:firstLine="426"/>
        <w:jc w:val="both"/>
        <w:rPr>
          <w:rFonts w:ascii="Abadi" w:hAnsi="Abadi"/>
          <w:sz w:val="21"/>
          <w:szCs w:val="21"/>
        </w:rPr>
      </w:pPr>
      <w:r>
        <w:rPr>
          <w:rFonts w:ascii="Abadi" w:hAnsi="Abadi"/>
          <w:sz w:val="21"/>
          <w:szCs w:val="21"/>
        </w:rPr>
        <w:t xml:space="preserve">- </w:t>
      </w:r>
      <w:r w:rsidRPr="00B079CC">
        <w:rPr>
          <w:rFonts w:ascii="Abadi" w:hAnsi="Abadi"/>
          <w:sz w:val="21"/>
          <w:szCs w:val="21"/>
        </w:rPr>
        <w:t xml:space="preserve">La lista de participantes ha quedado con formada de la siguiente manera: en primer término, el diputado Gerardo Fernández González. Después la diputada Angélica Casillas. Le sigue el diputado Ernesto Millán Soberanes, y con eso terminaríamos los asuntos generales. </w:t>
      </w:r>
    </w:p>
    <w:p w14:paraId="0AA8F7D6" w14:textId="0F387907" w:rsidR="00D32170" w:rsidRDefault="00D32170" w:rsidP="00B079CC">
      <w:pPr>
        <w:ind w:firstLine="426"/>
        <w:jc w:val="both"/>
        <w:rPr>
          <w:rFonts w:ascii="Abadi" w:hAnsi="Abadi"/>
          <w:sz w:val="21"/>
          <w:szCs w:val="21"/>
        </w:rPr>
      </w:pPr>
    </w:p>
    <w:tbl>
      <w:tblPr>
        <w:tblStyle w:val="Tablaconcuadrcula"/>
        <w:tblpPr w:leftFromText="141" w:rightFromText="141" w:vertAnchor="text" w:horzAnchor="margin" w:tblpXSpec="right" w:tblpY="-37"/>
        <w:tblW w:w="3912" w:type="dxa"/>
        <w:tblLook w:val="04A0" w:firstRow="1" w:lastRow="0" w:firstColumn="1" w:lastColumn="0" w:noHBand="0" w:noVBand="1"/>
      </w:tblPr>
      <w:tblGrid>
        <w:gridCol w:w="678"/>
        <w:gridCol w:w="1906"/>
        <w:gridCol w:w="1328"/>
      </w:tblGrid>
      <w:tr w:rsidR="00D32170" w14:paraId="25D4FEE3" w14:textId="77777777" w:rsidTr="0018683D">
        <w:trPr>
          <w:trHeight w:val="341"/>
        </w:trPr>
        <w:tc>
          <w:tcPr>
            <w:tcW w:w="0" w:type="auto"/>
            <w:tcBorders>
              <w:top w:val="single" w:sz="4" w:space="0" w:color="auto"/>
              <w:left w:val="single" w:sz="4" w:space="0" w:color="auto"/>
              <w:bottom w:val="single" w:sz="4" w:space="0" w:color="auto"/>
              <w:right w:val="single" w:sz="4" w:space="0" w:color="auto"/>
            </w:tcBorders>
            <w:shd w:val="clear" w:color="auto" w:fill="262626" w:themeFill="text1" w:themeFillTint="D9"/>
            <w:hideMark/>
          </w:tcPr>
          <w:p w14:paraId="673ADB56" w14:textId="77777777" w:rsidR="00D32170" w:rsidRDefault="00D32170" w:rsidP="0018683D">
            <w:pPr>
              <w:jc w:val="center"/>
              <w:rPr>
                <w:rFonts w:ascii="Abadi" w:hAnsi="Abadi"/>
                <w:b/>
                <w:bCs/>
                <w:sz w:val="21"/>
                <w:szCs w:val="21"/>
              </w:rPr>
            </w:pPr>
            <w:r>
              <w:rPr>
                <w:rFonts w:ascii="Abadi" w:hAnsi="Abadi"/>
                <w:b/>
                <w:bCs/>
                <w:sz w:val="21"/>
                <w:szCs w:val="21"/>
              </w:rPr>
              <w:t xml:space="preserve">Núm. </w:t>
            </w:r>
          </w:p>
        </w:tc>
        <w:tc>
          <w:tcPr>
            <w:tcW w:w="0" w:type="auto"/>
            <w:tcBorders>
              <w:top w:val="single" w:sz="4" w:space="0" w:color="auto"/>
              <w:left w:val="single" w:sz="4" w:space="0" w:color="auto"/>
              <w:bottom w:val="single" w:sz="4" w:space="0" w:color="auto"/>
              <w:right w:val="single" w:sz="4" w:space="0" w:color="auto"/>
            </w:tcBorders>
            <w:shd w:val="clear" w:color="auto" w:fill="262626" w:themeFill="text1" w:themeFillTint="D9"/>
          </w:tcPr>
          <w:p w14:paraId="57FD693A" w14:textId="77777777" w:rsidR="00D32170" w:rsidRDefault="00D32170" w:rsidP="0018683D">
            <w:pPr>
              <w:jc w:val="center"/>
              <w:rPr>
                <w:rFonts w:ascii="Abadi" w:hAnsi="Abadi"/>
                <w:b/>
                <w:bCs/>
                <w:sz w:val="21"/>
                <w:szCs w:val="21"/>
              </w:rPr>
            </w:pPr>
            <w:r>
              <w:rPr>
                <w:rFonts w:ascii="Abadi" w:hAnsi="Abadi"/>
                <w:b/>
                <w:bCs/>
                <w:sz w:val="21"/>
                <w:szCs w:val="21"/>
              </w:rPr>
              <w:t>NOMBRE</w:t>
            </w:r>
          </w:p>
          <w:p w14:paraId="2FBAC0FF" w14:textId="77777777" w:rsidR="00D32170" w:rsidRDefault="00D32170" w:rsidP="0018683D">
            <w:pPr>
              <w:jc w:val="center"/>
              <w:rPr>
                <w:rFonts w:ascii="Abadi" w:hAnsi="Abadi"/>
                <w:sz w:val="21"/>
                <w:szCs w:val="21"/>
              </w:rPr>
            </w:pPr>
          </w:p>
        </w:tc>
        <w:tc>
          <w:tcPr>
            <w:tcW w:w="0" w:type="auto"/>
            <w:tcBorders>
              <w:top w:val="single" w:sz="4" w:space="0" w:color="auto"/>
              <w:left w:val="single" w:sz="4" w:space="0" w:color="auto"/>
              <w:bottom w:val="single" w:sz="4" w:space="0" w:color="auto"/>
              <w:right w:val="single" w:sz="4" w:space="0" w:color="auto"/>
            </w:tcBorders>
            <w:shd w:val="clear" w:color="auto" w:fill="262626" w:themeFill="text1" w:themeFillTint="D9"/>
            <w:hideMark/>
          </w:tcPr>
          <w:p w14:paraId="2A8AB1D5" w14:textId="77777777" w:rsidR="00D32170" w:rsidRDefault="00D32170" w:rsidP="0018683D">
            <w:pPr>
              <w:jc w:val="center"/>
              <w:rPr>
                <w:rFonts w:ascii="Abadi" w:hAnsi="Abadi"/>
                <w:b/>
                <w:bCs/>
                <w:sz w:val="21"/>
                <w:szCs w:val="21"/>
              </w:rPr>
            </w:pPr>
            <w:r>
              <w:rPr>
                <w:rFonts w:ascii="Abadi" w:hAnsi="Abadi"/>
                <w:b/>
                <w:bCs/>
                <w:sz w:val="21"/>
                <w:szCs w:val="21"/>
              </w:rPr>
              <w:t>TEMA:</w:t>
            </w:r>
          </w:p>
        </w:tc>
      </w:tr>
      <w:tr w:rsidR="00D32170" w14:paraId="32868916" w14:textId="77777777" w:rsidTr="0018683D">
        <w:trPr>
          <w:trHeight w:val="680"/>
        </w:trPr>
        <w:tc>
          <w:tcPr>
            <w:tcW w:w="0" w:type="auto"/>
            <w:tcBorders>
              <w:top w:val="single" w:sz="4" w:space="0" w:color="auto"/>
              <w:left w:val="single" w:sz="4" w:space="0" w:color="auto"/>
              <w:bottom w:val="single" w:sz="4" w:space="0" w:color="auto"/>
              <w:right w:val="single" w:sz="4" w:space="0" w:color="auto"/>
            </w:tcBorders>
            <w:hideMark/>
          </w:tcPr>
          <w:p w14:paraId="77432161" w14:textId="77777777" w:rsidR="00D32170" w:rsidRDefault="00D32170" w:rsidP="0018683D">
            <w:pPr>
              <w:jc w:val="both"/>
              <w:rPr>
                <w:rFonts w:ascii="Abadi" w:hAnsi="Abadi"/>
                <w:b/>
                <w:bCs/>
                <w:sz w:val="21"/>
                <w:szCs w:val="21"/>
              </w:rPr>
            </w:pPr>
            <w:r>
              <w:rPr>
                <w:rFonts w:ascii="Abadi" w:hAnsi="Abadi"/>
                <w:b/>
                <w:bCs/>
                <w:sz w:val="21"/>
                <w:szCs w:val="21"/>
              </w:rPr>
              <w:t>1.-</w:t>
            </w:r>
          </w:p>
        </w:tc>
        <w:tc>
          <w:tcPr>
            <w:tcW w:w="0" w:type="auto"/>
            <w:tcBorders>
              <w:top w:val="single" w:sz="4" w:space="0" w:color="auto"/>
              <w:left w:val="single" w:sz="4" w:space="0" w:color="auto"/>
              <w:bottom w:val="single" w:sz="4" w:space="0" w:color="auto"/>
              <w:right w:val="single" w:sz="4" w:space="0" w:color="auto"/>
            </w:tcBorders>
          </w:tcPr>
          <w:p w14:paraId="65647B0D" w14:textId="77777777" w:rsidR="00D32170" w:rsidRPr="004D14FE" w:rsidRDefault="00D32170" w:rsidP="0018683D">
            <w:pPr>
              <w:jc w:val="both"/>
              <w:rPr>
                <w:rFonts w:ascii="Abadi" w:hAnsi="Abadi" w:cs="*Arial-4045-Identity-H"/>
                <w:color w:val="15131C"/>
                <w:sz w:val="21"/>
                <w:szCs w:val="21"/>
              </w:rPr>
            </w:pPr>
            <w:r>
              <w:rPr>
                <w:rFonts w:ascii="Abadi" w:hAnsi="Abadi" w:cs="*Arial-4045-Identity-H"/>
                <w:color w:val="15131C"/>
                <w:sz w:val="21"/>
                <w:szCs w:val="21"/>
              </w:rPr>
              <w:t>D</w:t>
            </w:r>
            <w:r w:rsidRPr="004D14FE">
              <w:rPr>
                <w:rFonts w:ascii="Abadi" w:hAnsi="Abadi" w:cs="*Arial-4045-Identity-H"/>
                <w:color w:val="15131C"/>
                <w:sz w:val="21"/>
                <w:szCs w:val="21"/>
              </w:rPr>
              <w:t>iputado Gerardo Fernández González</w:t>
            </w:r>
          </w:p>
        </w:tc>
        <w:tc>
          <w:tcPr>
            <w:tcW w:w="0" w:type="auto"/>
            <w:tcBorders>
              <w:top w:val="single" w:sz="4" w:space="0" w:color="auto"/>
              <w:left w:val="single" w:sz="4" w:space="0" w:color="auto"/>
              <w:bottom w:val="single" w:sz="4" w:space="0" w:color="auto"/>
              <w:right w:val="single" w:sz="4" w:space="0" w:color="auto"/>
            </w:tcBorders>
          </w:tcPr>
          <w:p w14:paraId="5AD18274" w14:textId="77777777" w:rsidR="00D32170" w:rsidRPr="004D14FE" w:rsidRDefault="00D32170" w:rsidP="0018683D">
            <w:pPr>
              <w:jc w:val="both"/>
              <w:rPr>
                <w:rFonts w:ascii="Abadi" w:hAnsi="Abadi" w:cs="*Arial-4045-Identity-H"/>
                <w:color w:val="15131C"/>
                <w:sz w:val="21"/>
                <w:szCs w:val="21"/>
              </w:rPr>
            </w:pPr>
            <w:r w:rsidRPr="004D14FE">
              <w:rPr>
                <w:rFonts w:ascii="Abadi" w:hAnsi="Abadi" w:cs="*Arial-4045-Identity-H"/>
                <w:color w:val="15131C"/>
                <w:sz w:val="21"/>
                <w:szCs w:val="21"/>
              </w:rPr>
              <w:t>Día del Maestro</w:t>
            </w:r>
          </w:p>
        </w:tc>
      </w:tr>
      <w:tr w:rsidR="00D32170" w14:paraId="58A924B5" w14:textId="77777777" w:rsidTr="0018683D">
        <w:trPr>
          <w:trHeight w:val="517"/>
        </w:trPr>
        <w:tc>
          <w:tcPr>
            <w:tcW w:w="0" w:type="auto"/>
            <w:tcBorders>
              <w:top w:val="single" w:sz="4" w:space="0" w:color="auto"/>
              <w:left w:val="single" w:sz="4" w:space="0" w:color="auto"/>
              <w:bottom w:val="single" w:sz="4" w:space="0" w:color="auto"/>
              <w:right w:val="single" w:sz="4" w:space="0" w:color="auto"/>
            </w:tcBorders>
          </w:tcPr>
          <w:p w14:paraId="6E45EEE0" w14:textId="77777777" w:rsidR="00D32170" w:rsidRDefault="00D32170" w:rsidP="0018683D">
            <w:pPr>
              <w:jc w:val="both"/>
              <w:rPr>
                <w:rFonts w:ascii="Abadi" w:hAnsi="Abadi"/>
                <w:b/>
                <w:bCs/>
                <w:sz w:val="21"/>
                <w:szCs w:val="21"/>
              </w:rPr>
            </w:pPr>
            <w:r>
              <w:rPr>
                <w:rFonts w:ascii="Abadi" w:hAnsi="Abadi"/>
                <w:b/>
                <w:bCs/>
                <w:sz w:val="21"/>
                <w:szCs w:val="21"/>
              </w:rPr>
              <w:t>2.-</w:t>
            </w:r>
          </w:p>
        </w:tc>
        <w:tc>
          <w:tcPr>
            <w:tcW w:w="0" w:type="auto"/>
            <w:tcBorders>
              <w:top w:val="single" w:sz="4" w:space="0" w:color="auto"/>
              <w:left w:val="single" w:sz="4" w:space="0" w:color="auto"/>
              <w:bottom w:val="single" w:sz="4" w:space="0" w:color="auto"/>
              <w:right w:val="single" w:sz="4" w:space="0" w:color="auto"/>
            </w:tcBorders>
          </w:tcPr>
          <w:p w14:paraId="0BE9F812" w14:textId="77777777" w:rsidR="00D32170" w:rsidRPr="004D14FE" w:rsidRDefault="00D32170" w:rsidP="0018683D">
            <w:pPr>
              <w:jc w:val="both"/>
              <w:rPr>
                <w:rFonts w:ascii="Abadi" w:hAnsi="Abadi" w:cs="*Arial-4045-Identity-H"/>
                <w:color w:val="15131C"/>
                <w:sz w:val="21"/>
                <w:szCs w:val="21"/>
              </w:rPr>
            </w:pPr>
            <w:r>
              <w:rPr>
                <w:rFonts w:ascii="Abadi" w:hAnsi="Abadi" w:cs="*Arial-4045-Identity-H"/>
                <w:color w:val="15131C"/>
                <w:sz w:val="21"/>
                <w:szCs w:val="21"/>
              </w:rPr>
              <w:t>D</w:t>
            </w:r>
            <w:r w:rsidRPr="004D14FE">
              <w:rPr>
                <w:rFonts w:ascii="Abadi" w:hAnsi="Abadi" w:cs="*Arial-4045-Identity-H"/>
                <w:color w:val="15131C"/>
                <w:sz w:val="21"/>
                <w:szCs w:val="21"/>
              </w:rPr>
              <w:t>iputada Angélica Casillas Martínez,</w:t>
            </w:r>
          </w:p>
        </w:tc>
        <w:tc>
          <w:tcPr>
            <w:tcW w:w="0" w:type="auto"/>
            <w:tcBorders>
              <w:top w:val="single" w:sz="4" w:space="0" w:color="auto"/>
              <w:left w:val="single" w:sz="4" w:space="0" w:color="auto"/>
              <w:bottom w:val="single" w:sz="4" w:space="0" w:color="auto"/>
              <w:right w:val="single" w:sz="4" w:space="0" w:color="auto"/>
            </w:tcBorders>
          </w:tcPr>
          <w:p w14:paraId="29DE8536" w14:textId="77777777" w:rsidR="00D32170" w:rsidRPr="004D14FE" w:rsidRDefault="00D32170" w:rsidP="0018683D">
            <w:pPr>
              <w:jc w:val="both"/>
              <w:rPr>
                <w:rFonts w:ascii="Abadi" w:hAnsi="Abadi" w:cs="*Arial-4045-Identity-H"/>
                <w:color w:val="15131C"/>
                <w:sz w:val="21"/>
                <w:szCs w:val="21"/>
              </w:rPr>
            </w:pPr>
            <w:bookmarkStart w:id="13" w:name="_Hlk108473079"/>
            <w:r w:rsidRPr="004D14FE">
              <w:rPr>
                <w:rFonts w:ascii="Abadi" w:hAnsi="Abadi" w:cs="*Arial-4045-Identity-H"/>
                <w:color w:val="15131C"/>
                <w:sz w:val="21"/>
                <w:szCs w:val="21"/>
              </w:rPr>
              <w:t>Efemérides</w:t>
            </w:r>
            <w:bookmarkEnd w:id="13"/>
          </w:p>
        </w:tc>
      </w:tr>
      <w:tr w:rsidR="00D32170" w14:paraId="58CCA59D" w14:textId="77777777" w:rsidTr="0018683D">
        <w:trPr>
          <w:trHeight w:val="517"/>
        </w:trPr>
        <w:tc>
          <w:tcPr>
            <w:tcW w:w="0" w:type="auto"/>
            <w:tcBorders>
              <w:top w:val="single" w:sz="4" w:space="0" w:color="auto"/>
              <w:left w:val="single" w:sz="4" w:space="0" w:color="auto"/>
              <w:bottom w:val="single" w:sz="4" w:space="0" w:color="auto"/>
              <w:right w:val="single" w:sz="4" w:space="0" w:color="auto"/>
            </w:tcBorders>
          </w:tcPr>
          <w:p w14:paraId="6BF22784" w14:textId="77777777" w:rsidR="00D32170" w:rsidRDefault="00D32170" w:rsidP="0018683D">
            <w:pPr>
              <w:jc w:val="both"/>
              <w:rPr>
                <w:rFonts w:ascii="Abadi" w:hAnsi="Abadi"/>
                <w:b/>
                <w:bCs/>
                <w:sz w:val="21"/>
                <w:szCs w:val="21"/>
              </w:rPr>
            </w:pPr>
          </w:p>
          <w:p w14:paraId="43E2E525" w14:textId="77777777" w:rsidR="00D32170" w:rsidRDefault="00D32170" w:rsidP="0018683D">
            <w:pPr>
              <w:jc w:val="both"/>
              <w:rPr>
                <w:rFonts w:ascii="Abadi" w:hAnsi="Abadi"/>
                <w:b/>
                <w:bCs/>
                <w:sz w:val="21"/>
                <w:szCs w:val="21"/>
              </w:rPr>
            </w:pPr>
            <w:r>
              <w:rPr>
                <w:rFonts w:ascii="Abadi" w:hAnsi="Abadi"/>
                <w:b/>
                <w:bCs/>
                <w:sz w:val="21"/>
                <w:szCs w:val="21"/>
              </w:rPr>
              <w:t>3.-</w:t>
            </w:r>
          </w:p>
        </w:tc>
        <w:tc>
          <w:tcPr>
            <w:tcW w:w="0" w:type="auto"/>
            <w:tcBorders>
              <w:top w:val="single" w:sz="4" w:space="0" w:color="auto"/>
              <w:left w:val="single" w:sz="4" w:space="0" w:color="auto"/>
              <w:bottom w:val="single" w:sz="4" w:space="0" w:color="auto"/>
              <w:right w:val="single" w:sz="4" w:space="0" w:color="auto"/>
            </w:tcBorders>
          </w:tcPr>
          <w:p w14:paraId="727D8F62" w14:textId="77777777" w:rsidR="00D32170" w:rsidRPr="004D14FE" w:rsidRDefault="00D32170" w:rsidP="0018683D">
            <w:pPr>
              <w:jc w:val="both"/>
              <w:rPr>
                <w:rFonts w:ascii="Abadi" w:hAnsi="Abadi" w:cs="*Arial-4045-Identity-H"/>
                <w:color w:val="15131C"/>
                <w:sz w:val="21"/>
                <w:szCs w:val="21"/>
              </w:rPr>
            </w:pPr>
            <w:r>
              <w:rPr>
                <w:rFonts w:ascii="Abadi" w:hAnsi="Abadi" w:cs="*Arial-4045-Identity-H"/>
                <w:color w:val="15131C"/>
                <w:sz w:val="21"/>
                <w:szCs w:val="21"/>
              </w:rPr>
              <w:t>D</w:t>
            </w:r>
            <w:r w:rsidRPr="004D14FE">
              <w:rPr>
                <w:rFonts w:ascii="Abadi" w:hAnsi="Abadi" w:cs="*Arial-4045-Identity-H"/>
                <w:color w:val="15131C"/>
                <w:sz w:val="21"/>
                <w:szCs w:val="21"/>
              </w:rPr>
              <w:t>iputado Ernesto Millán Soberanes</w:t>
            </w:r>
          </w:p>
        </w:tc>
        <w:tc>
          <w:tcPr>
            <w:tcW w:w="0" w:type="auto"/>
            <w:tcBorders>
              <w:top w:val="single" w:sz="4" w:space="0" w:color="auto"/>
              <w:left w:val="single" w:sz="4" w:space="0" w:color="auto"/>
              <w:bottom w:val="single" w:sz="4" w:space="0" w:color="auto"/>
              <w:right w:val="single" w:sz="4" w:space="0" w:color="auto"/>
            </w:tcBorders>
          </w:tcPr>
          <w:p w14:paraId="55F2A5BA" w14:textId="77777777" w:rsidR="00D32170" w:rsidRPr="004D14FE" w:rsidRDefault="00D32170" w:rsidP="0018683D">
            <w:pPr>
              <w:jc w:val="both"/>
              <w:rPr>
                <w:rFonts w:ascii="Abadi" w:hAnsi="Abadi" w:cs="*Arial-4045-Identity-H"/>
                <w:color w:val="15131C"/>
                <w:sz w:val="21"/>
                <w:szCs w:val="21"/>
              </w:rPr>
            </w:pPr>
            <w:bookmarkStart w:id="14" w:name="_Hlk108473773"/>
            <w:r w:rsidRPr="004D14FE">
              <w:rPr>
                <w:rFonts w:ascii="Abadi" w:hAnsi="Abadi" w:cs="*Arial-4045-Identity-H"/>
                <w:color w:val="15131C"/>
                <w:sz w:val="21"/>
                <w:szCs w:val="21"/>
              </w:rPr>
              <w:t>Otros datos</w:t>
            </w:r>
            <w:bookmarkEnd w:id="14"/>
          </w:p>
        </w:tc>
      </w:tr>
    </w:tbl>
    <w:p w14:paraId="20EBA2F1" w14:textId="77777777" w:rsidR="00B079CC" w:rsidRPr="00B079CC" w:rsidRDefault="00B079CC" w:rsidP="00B079CC">
      <w:pPr>
        <w:ind w:firstLine="426"/>
        <w:jc w:val="both"/>
        <w:rPr>
          <w:rFonts w:ascii="Abadi" w:hAnsi="Abadi"/>
          <w:sz w:val="21"/>
          <w:szCs w:val="21"/>
        </w:rPr>
      </w:pPr>
    </w:p>
    <w:p w14:paraId="1461B943" w14:textId="04C58AAE" w:rsidR="00B079CC" w:rsidRDefault="00B079CC" w:rsidP="00B079CC">
      <w:pPr>
        <w:ind w:firstLine="426"/>
        <w:jc w:val="both"/>
        <w:rPr>
          <w:rFonts w:ascii="Abadi" w:hAnsi="Abadi"/>
          <w:sz w:val="21"/>
          <w:szCs w:val="21"/>
        </w:rPr>
      </w:pPr>
      <w:r>
        <w:rPr>
          <w:rFonts w:ascii="Abadi" w:hAnsi="Abadi"/>
          <w:sz w:val="21"/>
          <w:szCs w:val="21"/>
        </w:rPr>
        <w:t xml:space="preserve">- </w:t>
      </w:r>
      <w:r w:rsidRPr="00B079CC">
        <w:rPr>
          <w:rFonts w:ascii="Abadi" w:hAnsi="Abadi"/>
          <w:sz w:val="21"/>
          <w:szCs w:val="21"/>
        </w:rPr>
        <w:t xml:space="preserve">Adelante, </w:t>
      </w:r>
      <w:r w:rsidR="00A87596">
        <w:rPr>
          <w:rFonts w:ascii="Abadi" w:hAnsi="Abadi"/>
          <w:sz w:val="21"/>
          <w:szCs w:val="21"/>
        </w:rPr>
        <w:t>d</w:t>
      </w:r>
      <w:r w:rsidRPr="00B079CC">
        <w:rPr>
          <w:rFonts w:ascii="Abadi" w:hAnsi="Abadi"/>
          <w:sz w:val="21"/>
          <w:szCs w:val="21"/>
        </w:rPr>
        <w:t xml:space="preserve">iputado Gerardo. </w:t>
      </w:r>
    </w:p>
    <w:p w14:paraId="2965D5CE" w14:textId="42C81A33" w:rsidR="00D32170" w:rsidRDefault="00D32170" w:rsidP="00B079CC">
      <w:pPr>
        <w:ind w:firstLine="426"/>
        <w:jc w:val="both"/>
        <w:rPr>
          <w:rFonts w:ascii="Abadi" w:hAnsi="Abadi"/>
          <w:sz w:val="21"/>
          <w:szCs w:val="21"/>
        </w:rPr>
      </w:pPr>
    </w:p>
    <w:p w14:paraId="11A1F29E" w14:textId="77777777" w:rsidR="00D32170" w:rsidRPr="00B079CC" w:rsidRDefault="00D32170" w:rsidP="00B079CC">
      <w:pPr>
        <w:ind w:firstLine="426"/>
        <w:jc w:val="both"/>
        <w:rPr>
          <w:rFonts w:ascii="Abadi" w:hAnsi="Abadi"/>
          <w:sz w:val="21"/>
          <w:szCs w:val="21"/>
        </w:rPr>
      </w:pPr>
    </w:p>
    <w:p w14:paraId="77B1BF87" w14:textId="54698B8E" w:rsidR="00787F80" w:rsidRDefault="00787F80" w:rsidP="00787F80">
      <w:pPr>
        <w:jc w:val="both"/>
        <w:rPr>
          <w:rFonts w:ascii="Abadi" w:hAnsi="Abadi" w:cstheme="minorBidi"/>
          <w:b/>
          <w:bCs/>
          <w:sz w:val="21"/>
          <w:szCs w:val="21"/>
        </w:rPr>
      </w:pPr>
      <w:r w:rsidRPr="00787F80">
        <w:rPr>
          <w:rFonts w:ascii="Abadi" w:hAnsi="Abadi"/>
          <w:b/>
          <w:bCs/>
          <w:sz w:val="21"/>
          <w:szCs w:val="21"/>
        </w:rPr>
        <w:t xml:space="preserve">(Sube a tribuna el diputado Gerardo Fernández, en asuntos de interés general, con el tema: </w:t>
      </w:r>
      <w:r w:rsidRPr="00787F80">
        <w:rPr>
          <w:rFonts w:ascii="Abadi" w:hAnsi="Abadi" w:cstheme="minorBidi"/>
          <w:b/>
          <w:bCs/>
          <w:sz w:val="21"/>
          <w:szCs w:val="21"/>
        </w:rPr>
        <w:t>«</w:t>
      </w:r>
      <w:r w:rsidRPr="00787F80">
        <w:rPr>
          <w:rFonts w:ascii="Abadi" w:hAnsi="Abadi"/>
          <w:b/>
          <w:bCs/>
          <w:sz w:val="21"/>
          <w:szCs w:val="21"/>
        </w:rPr>
        <w:t>Día del Maestro</w:t>
      </w:r>
      <w:r w:rsidRPr="00787F80">
        <w:rPr>
          <w:rFonts w:ascii="Abadi" w:hAnsi="Abadi" w:cstheme="minorBidi"/>
          <w:b/>
          <w:bCs/>
          <w:sz w:val="21"/>
          <w:szCs w:val="21"/>
        </w:rPr>
        <w:t>»)</w:t>
      </w:r>
    </w:p>
    <w:p w14:paraId="701BBB8C" w14:textId="72F6D873" w:rsidR="00787F80" w:rsidRDefault="00787F80" w:rsidP="00787F80">
      <w:pPr>
        <w:jc w:val="both"/>
        <w:rPr>
          <w:rFonts w:ascii="Abadi" w:hAnsi="Abadi" w:cstheme="minorBidi"/>
          <w:b/>
          <w:bCs/>
          <w:sz w:val="21"/>
          <w:szCs w:val="21"/>
        </w:rPr>
      </w:pPr>
    </w:p>
    <w:p w14:paraId="02DAB7E1" w14:textId="0DE2A861" w:rsidR="00787F80" w:rsidRPr="00787F80" w:rsidRDefault="00787F80" w:rsidP="00787F80">
      <w:pPr>
        <w:jc w:val="both"/>
        <w:rPr>
          <w:rFonts w:ascii="Abadi" w:hAnsi="Abadi" w:cstheme="minorBidi"/>
          <w:b/>
          <w:bCs/>
          <w:sz w:val="21"/>
          <w:szCs w:val="21"/>
        </w:rPr>
      </w:pPr>
      <w:r w:rsidRPr="00787F80">
        <w:rPr>
          <w:rFonts w:ascii="Abadi" w:hAnsi="Abadi"/>
          <w:noProof/>
          <w:sz w:val="21"/>
          <w:szCs w:val="21"/>
        </w:rPr>
        <w:drawing>
          <wp:anchor distT="0" distB="0" distL="114300" distR="114300" simplePos="0" relativeHeight="251704320" behindDoc="1" locked="0" layoutInCell="1" allowOverlap="1" wp14:anchorId="3E4D0914" wp14:editId="542E506A">
            <wp:simplePos x="0" y="0"/>
            <wp:positionH relativeFrom="column">
              <wp:posOffset>173990</wp:posOffset>
            </wp:positionH>
            <wp:positionV relativeFrom="paragraph">
              <wp:posOffset>141605</wp:posOffset>
            </wp:positionV>
            <wp:extent cx="1905000" cy="982892"/>
            <wp:effectExtent l="0" t="133350" r="0" b="770255"/>
            <wp:wrapTight wrapText="bothSides">
              <wp:wrapPolygon edited="0">
                <wp:start x="11880" y="-2932"/>
                <wp:lineTo x="0" y="-2094"/>
                <wp:lineTo x="432" y="38118"/>
                <wp:lineTo x="2160" y="38118"/>
                <wp:lineTo x="2376" y="37280"/>
                <wp:lineTo x="19872" y="31416"/>
                <wp:lineTo x="20088" y="4608"/>
                <wp:lineTo x="19440" y="-1676"/>
                <wp:lineTo x="19440" y="-2932"/>
                <wp:lineTo x="11880" y="-2932"/>
              </wp:wrapPolygon>
            </wp:wrapTight>
            <wp:docPr id="131" name="Imagen 131"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Un hombre con un traje de color negro con letras blancas&#10;&#10;Descripción generada automáticamente con confianza media"/>
                    <pic:cNvPicPr/>
                  </pic:nvPicPr>
                  <pic:blipFill rotWithShape="1">
                    <a:blip r:embed="rId69" cstate="print">
                      <a:extLst>
                        <a:ext uri="{28A0092B-C50C-407E-A947-70E740481C1C}">
                          <a14:useLocalDpi xmlns:a14="http://schemas.microsoft.com/office/drawing/2010/main" val="0"/>
                        </a:ext>
                      </a:extLst>
                    </a:blip>
                    <a:srcRect b="8231"/>
                    <a:stretch/>
                  </pic:blipFill>
                  <pic:spPr bwMode="auto">
                    <a:xfrm>
                      <a:off x="0" y="0"/>
                      <a:ext cx="1905000" cy="982892"/>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20018E23" w14:textId="77777777" w:rsidR="00787F80" w:rsidRDefault="00787F80" w:rsidP="00787F80">
      <w:pPr>
        <w:jc w:val="both"/>
        <w:rPr>
          <w:rFonts w:ascii="Abadi" w:hAnsi="Abadi"/>
          <w:b/>
          <w:bCs/>
          <w:sz w:val="21"/>
          <w:szCs w:val="21"/>
        </w:rPr>
      </w:pPr>
    </w:p>
    <w:p w14:paraId="5795C34D" w14:textId="5288417F" w:rsidR="00787F80" w:rsidRDefault="00787F80" w:rsidP="00787F80">
      <w:pPr>
        <w:jc w:val="both"/>
        <w:rPr>
          <w:rFonts w:ascii="Abadi" w:hAnsi="Abadi"/>
          <w:b/>
          <w:bCs/>
          <w:sz w:val="21"/>
          <w:szCs w:val="21"/>
        </w:rPr>
      </w:pPr>
    </w:p>
    <w:p w14:paraId="67F5E4D0" w14:textId="77777777" w:rsidR="00787F80" w:rsidRDefault="00787F80" w:rsidP="00787F80">
      <w:pPr>
        <w:jc w:val="both"/>
        <w:rPr>
          <w:rFonts w:ascii="Abadi" w:hAnsi="Abadi"/>
          <w:b/>
          <w:bCs/>
          <w:sz w:val="21"/>
          <w:szCs w:val="21"/>
        </w:rPr>
      </w:pPr>
    </w:p>
    <w:p w14:paraId="4C91A42B" w14:textId="77777777" w:rsidR="00787F80" w:rsidRDefault="00787F80" w:rsidP="00787F80">
      <w:pPr>
        <w:jc w:val="both"/>
        <w:rPr>
          <w:rFonts w:ascii="Abadi" w:hAnsi="Abadi"/>
          <w:b/>
          <w:bCs/>
          <w:sz w:val="21"/>
          <w:szCs w:val="21"/>
        </w:rPr>
      </w:pPr>
    </w:p>
    <w:p w14:paraId="51B2E0E1" w14:textId="77777777" w:rsidR="00787F80" w:rsidRDefault="00787F80" w:rsidP="00787F80">
      <w:pPr>
        <w:jc w:val="both"/>
        <w:rPr>
          <w:rFonts w:ascii="Abadi" w:hAnsi="Abadi"/>
          <w:b/>
          <w:bCs/>
          <w:sz w:val="21"/>
          <w:szCs w:val="21"/>
        </w:rPr>
      </w:pPr>
    </w:p>
    <w:p w14:paraId="790D98FF" w14:textId="1955DBEC" w:rsidR="00787F80" w:rsidRPr="00787F80" w:rsidRDefault="00787F80" w:rsidP="00787F80">
      <w:pPr>
        <w:jc w:val="both"/>
        <w:rPr>
          <w:rFonts w:ascii="Abadi" w:hAnsi="Abadi"/>
          <w:b/>
          <w:bCs/>
          <w:sz w:val="21"/>
          <w:szCs w:val="21"/>
        </w:rPr>
      </w:pPr>
    </w:p>
    <w:p w14:paraId="17514B5B" w14:textId="77777777" w:rsidR="00787F80" w:rsidRDefault="00787F80" w:rsidP="00787F80">
      <w:pPr>
        <w:jc w:val="both"/>
        <w:rPr>
          <w:rFonts w:ascii="Abadi" w:hAnsi="Abadi"/>
          <w:sz w:val="21"/>
          <w:szCs w:val="21"/>
        </w:rPr>
      </w:pPr>
    </w:p>
    <w:p w14:paraId="290A8802" w14:textId="77777777" w:rsidR="00787F80" w:rsidRDefault="00787F80" w:rsidP="00787F80">
      <w:pPr>
        <w:jc w:val="both"/>
        <w:rPr>
          <w:rFonts w:ascii="Abadi" w:hAnsi="Abadi"/>
          <w:sz w:val="21"/>
          <w:szCs w:val="21"/>
        </w:rPr>
      </w:pPr>
    </w:p>
    <w:p w14:paraId="55045E5B" w14:textId="77777777" w:rsidR="00787F80" w:rsidRDefault="00787F80" w:rsidP="00787F80">
      <w:pPr>
        <w:jc w:val="both"/>
        <w:rPr>
          <w:rFonts w:ascii="Abadi" w:hAnsi="Abadi"/>
          <w:sz w:val="21"/>
          <w:szCs w:val="21"/>
        </w:rPr>
      </w:pPr>
    </w:p>
    <w:p w14:paraId="7D12EE58" w14:textId="77777777" w:rsidR="00787F80" w:rsidRDefault="00787F80" w:rsidP="00787F80">
      <w:pPr>
        <w:jc w:val="both"/>
        <w:rPr>
          <w:rFonts w:ascii="Abadi" w:hAnsi="Abadi"/>
          <w:sz w:val="21"/>
          <w:szCs w:val="21"/>
        </w:rPr>
      </w:pPr>
    </w:p>
    <w:p w14:paraId="179728BB" w14:textId="77777777" w:rsidR="00787F80" w:rsidRDefault="00787F80" w:rsidP="00787F80">
      <w:pPr>
        <w:jc w:val="both"/>
        <w:rPr>
          <w:rFonts w:ascii="Abadi" w:hAnsi="Abadi"/>
          <w:sz w:val="21"/>
          <w:szCs w:val="21"/>
        </w:rPr>
      </w:pPr>
    </w:p>
    <w:p w14:paraId="7EA79BDE" w14:textId="77777777" w:rsidR="00787F80" w:rsidRDefault="00787F80" w:rsidP="00787F80">
      <w:pPr>
        <w:jc w:val="both"/>
        <w:rPr>
          <w:rFonts w:ascii="Abadi" w:hAnsi="Abadi"/>
          <w:sz w:val="21"/>
          <w:szCs w:val="21"/>
        </w:rPr>
      </w:pPr>
    </w:p>
    <w:p w14:paraId="19B371B0" w14:textId="7F13939F" w:rsidR="00787F80" w:rsidRDefault="00787F80" w:rsidP="00787F80">
      <w:pPr>
        <w:jc w:val="both"/>
        <w:rPr>
          <w:rFonts w:ascii="Abadi" w:hAnsi="Abadi"/>
          <w:sz w:val="21"/>
          <w:szCs w:val="21"/>
        </w:rPr>
      </w:pPr>
      <w:r w:rsidRPr="00787F80">
        <w:rPr>
          <w:rFonts w:ascii="Abadi" w:hAnsi="Abadi"/>
          <w:sz w:val="21"/>
          <w:szCs w:val="21"/>
        </w:rPr>
        <w:t xml:space="preserve">- Muchas gracias, Presidenta, con su permiso y de la Mesa Directiva otra vez saludo a mis compañeras, de mis compañeros, a los medios que nos acompañan y a los que nos siguen por medios remotos. El día de hoy quiero hablar de una, de un maestro que esta semana fue ampliamente elogiado en esta soberanía. Me refiero al maestro Carlos Zamarripa Aguirre y su informe. La realidad es ineludible, por más que quisieran maquillar el informe de la Fiscalía con imágenes atractivas, resaltando con bombo y platillo el reconocimiento de organismos nacionales e internacionales diciendo sin cansancio que están dentro de los primeros lugares., en casi todos los rubros, en materia de procuración de justicia no pueden engañar a los guanajuatenses tal pareciera que el Fiscal tiene otros datos por algo es maestro, pero de la negación, ya que, según él, desconoce la realidad que viven la mayoría de los guanajuatenses, no confía en las instituciones, no es capaz de percibir que vivimos en un Estado donde reina la impunidad. </w:t>
      </w:r>
    </w:p>
    <w:p w14:paraId="2D134442" w14:textId="77777777" w:rsidR="00787F80" w:rsidRPr="00787F80" w:rsidRDefault="00787F80" w:rsidP="00787F80">
      <w:pPr>
        <w:jc w:val="both"/>
        <w:rPr>
          <w:rFonts w:ascii="Abadi" w:hAnsi="Abadi"/>
          <w:sz w:val="21"/>
          <w:szCs w:val="21"/>
        </w:rPr>
      </w:pPr>
    </w:p>
    <w:p w14:paraId="141D3AF1" w14:textId="6555754E" w:rsidR="00787F80" w:rsidRDefault="00787F80" w:rsidP="00787F80">
      <w:pPr>
        <w:jc w:val="both"/>
        <w:rPr>
          <w:rFonts w:ascii="Abadi" w:hAnsi="Abadi"/>
          <w:sz w:val="21"/>
          <w:szCs w:val="21"/>
        </w:rPr>
      </w:pPr>
      <w:r w:rsidRPr="00787F80">
        <w:rPr>
          <w:rFonts w:ascii="Abadi" w:hAnsi="Abadi"/>
          <w:sz w:val="21"/>
          <w:szCs w:val="21"/>
        </w:rPr>
        <w:t xml:space="preserve">- El pasado lunes llegamos a la comparecencia con la esperanza ingenua de recibir información clara respecto a las dudas que surgieron de la revisión que realizamos a su tercer informe de actividades desafortunadamente, sus respuestas fueron esquivas de a modo, nos dimos cuenta de que dicho ejercicio no era más que un espectáculo cómodo para presumir un elefante reumático. </w:t>
      </w:r>
    </w:p>
    <w:p w14:paraId="1A822F71" w14:textId="77777777" w:rsidR="00787F80" w:rsidRPr="00787F80" w:rsidRDefault="00787F80" w:rsidP="00787F80">
      <w:pPr>
        <w:jc w:val="both"/>
        <w:rPr>
          <w:rFonts w:ascii="Abadi" w:hAnsi="Abadi"/>
          <w:sz w:val="21"/>
          <w:szCs w:val="21"/>
        </w:rPr>
      </w:pPr>
    </w:p>
    <w:p w14:paraId="406AE666" w14:textId="0F62D06E" w:rsidR="00787F80" w:rsidRDefault="00787F80" w:rsidP="00787F80">
      <w:pPr>
        <w:jc w:val="both"/>
        <w:rPr>
          <w:rFonts w:ascii="Abadi" w:hAnsi="Abadi"/>
          <w:sz w:val="21"/>
          <w:szCs w:val="21"/>
        </w:rPr>
      </w:pPr>
      <w:r w:rsidRPr="00787F80">
        <w:rPr>
          <w:rFonts w:ascii="Abadi" w:hAnsi="Abadi"/>
          <w:sz w:val="21"/>
          <w:szCs w:val="21"/>
        </w:rPr>
        <w:t xml:space="preserve">- Desde el Grupo Parlamentario del Partido Verde realizamos preguntas concretas que no tenían otro fin más que entender y comprender las notables deficiencias en materia de impunidad de cómo se prioriza el recurso en la Fiscalía. </w:t>
      </w:r>
    </w:p>
    <w:p w14:paraId="5CE2BF49" w14:textId="77777777" w:rsidR="00787F80" w:rsidRPr="00787F80" w:rsidRDefault="00787F80" w:rsidP="00787F80">
      <w:pPr>
        <w:jc w:val="both"/>
        <w:rPr>
          <w:rFonts w:ascii="Abadi" w:hAnsi="Abadi"/>
          <w:sz w:val="21"/>
          <w:szCs w:val="21"/>
        </w:rPr>
      </w:pPr>
    </w:p>
    <w:p w14:paraId="6015AF65" w14:textId="01D13D9F" w:rsidR="00787F80" w:rsidRDefault="00787F80" w:rsidP="00787F80">
      <w:pPr>
        <w:jc w:val="both"/>
        <w:rPr>
          <w:rFonts w:ascii="Abadi" w:hAnsi="Abadi"/>
          <w:sz w:val="21"/>
          <w:szCs w:val="21"/>
        </w:rPr>
      </w:pPr>
      <w:r w:rsidRPr="00787F80">
        <w:rPr>
          <w:rFonts w:ascii="Abadi" w:hAnsi="Abadi"/>
          <w:sz w:val="21"/>
          <w:szCs w:val="21"/>
        </w:rPr>
        <w:t>- Lo anterior, ya que no podemos entender como puede ser prioridad invertir en infraestructura para la Fiscalía, que dar suficiencia presupuestal a los apoyos a las víctimas del delito. Por otro lado, en su informe no pudimos encontrar datos concretos que nos garantizarán la disminución de la impunidad en el Estado.</w:t>
      </w:r>
    </w:p>
    <w:p w14:paraId="5335B807" w14:textId="77777777" w:rsidR="00787F80" w:rsidRPr="00787F80" w:rsidRDefault="00787F80" w:rsidP="00787F80">
      <w:pPr>
        <w:jc w:val="both"/>
        <w:rPr>
          <w:rFonts w:ascii="Abadi" w:hAnsi="Abadi"/>
          <w:sz w:val="21"/>
          <w:szCs w:val="21"/>
        </w:rPr>
      </w:pPr>
    </w:p>
    <w:p w14:paraId="3AF69573" w14:textId="4EE1D862" w:rsidR="00787F80" w:rsidRDefault="00787F80" w:rsidP="00787F80">
      <w:pPr>
        <w:jc w:val="both"/>
        <w:rPr>
          <w:rFonts w:ascii="Abadi" w:hAnsi="Abadi"/>
          <w:sz w:val="21"/>
          <w:szCs w:val="21"/>
        </w:rPr>
      </w:pPr>
      <w:r w:rsidRPr="00787F80">
        <w:rPr>
          <w:rFonts w:ascii="Abadi" w:hAnsi="Abadi"/>
          <w:sz w:val="21"/>
          <w:szCs w:val="21"/>
        </w:rPr>
        <w:t xml:space="preserve">- Lo que si vimos fueron acciones cuya obligación está en la propia ley, así como los resultados de investigaciones que en su mayoría fueron mediáticas, algunas otras por su propia temporalidad, no coinciden al periodo que correspondió revisar y ¿qué no respondió? Tal parece que también es maestro, pero de dar pretexto, pues en primer término, con el tema presupuestal nos encontramos ante un discurso redundante, firme en su postura de que nunca negó dar información y que sin duda alguna tenía la capacidad de conocimiento suficiente para contestar cualquier pregunta de seis preguntas que hicimos. Una respondió más respondido. </w:t>
      </w:r>
    </w:p>
    <w:p w14:paraId="49371166" w14:textId="77777777" w:rsidR="00787F80" w:rsidRPr="00787F80" w:rsidRDefault="00787F80" w:rsidP="00787F80">
      <w:pPr>
        <w:jc w:val="both"/>
        <w:rPr>
          <w:rFonts w:ascii="Abadi" w:hAnsi="Abadi"/>
          <w:sz w:val="21"/>
          <w:szCs w:val="21"/>
        </w:rPr>
      </w:pPr>
    </w:p>
    <w:p w14:paraId="20D03BDD" w14:textId="60A3622D" w:rsidR="00787F80" w:rsidRDefault="00787F80" w:rsidP="00787F80">
      <w:pPr>
        <w:jc w:val="both"/>
        <w:rPr>
          <w:rFonts w:ascii="Abadi" w:hAnsi="Abadi"/>
          <w:sz w:val="21"/>
          <w:szCs w:val="21"/>
        </w:rPr>
      </w:pPr>
      <w:r w:rsidRPr="00787F80">
        <w:rPr>
          <w:rFonts w:ascii="Abadi" w:hAnsi="Abadi"/>
          <w:sz w:val="21"/>
          <w:szCs w:val="21"/>
        </w:rPr>
        <w:t xml:space="preserve">- Mencionó además que las diferencias presupuestales que observamos y que eran evidentes no eran ciertas. Era cuestión de sacar la calculadora, sumar los números que él mismo ponía en el informe ¡no daban! y que priorizó la infraestructura, ya que el presupuesto para las víctimas era auto sustentable, hágame el favor, también es maestro de la sustentabilidad económica. Pero bueno, sí es más importante invertir en otras áreas que en cumplir con sus obligaciones de contratar elementos suficientes para cumplir con la media nacional. Podemos entender el tema. Sinceramente no nos sorprende. La mayor parte de las preguntas hechas por esta soberanía fueron contestadas de la misma manera y en varias ocasiones se negó a hablar acerca del tema del diputado Romero. </w:t>
      </w:r>
    </w:p>
    <w:p w14:paraId="76FA364E" w14:textId="77777777" w:rsidR="00787F80" w:rsidRPr="00787F80" w:rsidRDefault="00787F80" w:rsidP="00787F80">
      <w:pPr>
        <w:jc w:val="both"/>
        <w:rPr>
          <w:rFonts w:ascii="Abadi" w:hAnsi="Abadi"/>
          <w:sz w:val="21"/>
          <w:szCs w:val="21"/>
        </w:rPr>
      </w:pPr>
    </w:p>
    <w:p w14:paraId="6F955404" w14:textId="780245FE" w:rsidR="00787F80" w:rsidRDefault="00787F80" w:rsidP="00787F80">
      <w:pPr>
        <w:jc w:val="both"/>
        <w:rPr>
          <w:rFonts w:ascii="Abadi" w:hAnsi="Abadi"/>
          <w:sz w:val="21"/>
          <w:szCs w:val="21"/>
        </w:rPr>
      </w:pPr>
      <w:r w:rsidRPr="00787F80">
        <w:rPr>
          <w:rFonts w:ascii="Abadi" w:hAnsi="Abadi"/>
          <w:sz w:val="21"/>
          <w:szCs w:val="21"/>
        </w:rPr>
        <w:t xml:space="preserve">- Sin embargo, en algunos otros procesos que tampoco tienen sentencia firme sí se pronunció. Tal es el caso del restaurante Barra dieciséis cero cuatro mil seiscientos cuatro, maestro de la conveniencia. El Fiscal tampoco contestó sobre a la utilización de logros obtenidos en 2020 en su informe 2021 o sobre su tendencia de exhibir casos particulares sobre algunos otros que son igual o más importante, pero menos cómodos para él. Algo que nos quedó claro es que tiene una maestría en dar escusas, pues convenientemente utilizó el informe de hallazgos dos mil veinte en reiteradas ocasiones para enfatizar los logros. </w:t>
      </w:r>
    </w:p>
    <w:p w14:paraId="0A4424A0" w14:textId="77777777" w:rsidR="00787F80" w:rsidRPr="00787F80" w:rsidRDefault="00787F80" w:rsidP="00787F80">
      <w:pPr>
        <w:jc w:val="both"/>
        <w:rPr>
          <w:rFonts w:ascii="Abadi" w:hAnsi="Abadi"/>
          <w:sz w:val="21"/>
          <w:szCs w:val="21"/>
        </w:rPr>
      </w:pPr>
    </w:p>
    <w:p w14:paraId="4EC50946" w14:textId="733DD1A2" w:rsidR="00787F80" w:rsidRDefault="00787F80" w:rsidP="00787F80">
      <w:pPr>
        <w:jc w:val="both"/>
        <w:rPr>
          <w:rFonts w:ascii="Abadi" w:hAnsi="Abadi"/>
          <w:sz w:val="21"/>
          <w:szCs w:val="21"/>
        </w:rPr>
      </w:pPr>
      <w:r w:rsidRPr="00787F80">
        <w:rPr>
          <w:rFonts w:ascii="Abadi" w:hAnsi="Abadi"/>
          <w:sz w:val="21"/>
          <w:szCs w:val="21"/>
        </w:rPr>
        <w:t xml:space="preserve">- Sin embargo, en los temas negativos el reporte de hallazgos es un documento extemporáneo. ¿Existirán los maestros de los tiempos? Mismo supuesto con el tema de las carpetas de investigación, que es del conocimiento de todos, la existencia de un déficit en la integración de las carpetas, el sustento lo vemos todos los días en estos casos, en los medios de comunicación que por tecnicismos o por opacidad de la Fiscalía, no se registran o se registran por delitos distintos, tal es el caso del feminicidio que el lunes el fiscal dijo fuerte y claro. No hay antecedentes en Guanajuato de denuncias previas de violencia a un hecho delictivo, único Estado con ese supuesto en el país. </w:t>
      </w:r>
    </w:p>
    <w:p w14:paraId="25A026F1" w14:textId="77777777" w:rsidR="00787F80" w:rsidRPr="00787F80" w:rsidRDefault="00787F80" w:rsidP="00787F80">
      <w:pPr>
        <w:jc w:val="both"/>
        <w:rPr>
          <w:rFonts w:ascii="Abadi" w:hAnsi="Abadi"/>
          <w:sz w:val="21"/>
          <w:szCs w:val="21"/>
        </w:rPr>
      </w:pPr>
    </w:p>
    <w:p w14:paraId="7801AAF4" w14:textId="0C02C565" w:rsidR="00787F80" w:rsidRDefault="00787F80" w:rsidP="00787F80">
      <w:pPr>
        <w:jc w:val="both"/>
        <w:rPr>
          <w:rFonts w:ascii="Abadi" w:hAnsi="Abadi"/>
          <w:sz w:val="21"/>
          <w:szCs w:val="21"/>
        </w:rPr>
      </w:pPr>
      <w:r w:rsidRPr="00787F80">
        <w:rPr>
          <w:rFonts w:ascii="Abadi" w:hAnsi="Abadi"/>
          <w:sz w:val="21"/>
          <w:szCs w:val="21"/>
        </w:rPr>
        <w:t xml:space="preserve">- Reiteramos lo que dijimos en la comparecencia, el documento que nos presentaron evasivo es básicamente y defiende simplemente la propaganda de un funcionario lleno de aplausos y cifras conocidas. </w:t>
      </w:r>
    </w:p>
    <w:p w14:paraId="615B5F00" w14:textId="77777777" w:rsidR="00787F80" w:rsidRPr="00787F80" w:rsidRDefault="00787F80" w:rsidP="00787F80">
      <w:pPr>
        <w:jc w:val="both"/>
        <w:rPr>
          <w:rFonts w:ascii="Abadi" w:hAnsi="Abadi"/>
          <w:sz w:val="21"/>
          <w:szCs w:val="21"/>
        </w:rPr>
      </w:pPr>
    </w:p>
    <w:p w14:paraId="73083B63" w14:textId="09585C65" w:rsidR="00787F80" w:rsidRDefault="00787F80" w:rsidP="00787F80">
      <w:pPr>
        <w:jc w:val="both"/>
        <w:rPr>
          <w:rFonts w:ascii="Abadi" w:hAnsi="Abadi"/>
          <w:sz w:val="21"/>
          <w:szCs w:val="21"/>
        </w:rPr>
      </w:pPr>
      <w:r w:rsidRPr="00787F80">
        <w:rPr>
          <w:rFonts w:ascii="Abadi" w:hAnsi="Abadi"/>
          <w:sz w:val="21"/>
          <w:szCs w:val="21"/>
        </w:rPr>
        <w:t xml:space="preserve">- Lamentamos profundamente que un ejercicio que por naturaleza sirve como acto de transparencia, revisión de cuenta y democracia terminó siendo una mesa de aplausos para una institución que nos ha quedado a deber a todos los Guanajuatenses. </w:t>
      </w:r>
    </w:p>
    <w:p w14:paraId="1DDD368E" w14:textId="77777777" w:rsidR="00787F80" w:rsidRPr="00787F80" w:rsidRDefault="00787F80" w:rsidP="00787F80">
      <w:pPr>
        <w:jc w:val="both"/>
        <w:rPr>
          <w:rFonts w:ascii="Abadi" w:hAnsi="Abadi"/>
          <w:sz w:val="21"/>
          <w:szCs w:val="21"/>
        </w:rPr>
      </w:pPr>
    </w:p>
    <w:p w14:paraId="1DDB42C6"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Antes de concluir, quiero utilizar este espacio para aprovechar y felicitar a los verdaderos maestros en su día que este domingo 15 de mayo sea, un día que disfruten muchos compañeros. Muchas gracias por seguir informando y enseñando con su experiencia y conocimiento a nuestros estudiantes. </w:t>
      </w:r>
    </w:p>
    <w:p w14:paraId="12DA2296" w14:textId="77777777" w:rsidR="00787F80" w:rsidRDefault="00787F80" w:rsidP="00787F80">
      <w:pPr>
        <w:jc w:val="both"/>
        <w:rPr>
          <w:rFonts w:ascii="Abadi" w:hAnsi="Abadi"/>
          <w:sz w:val="21"/>
          <w:szCs w:val="21"/>
        </w:rPr>
      </w:pPr>
    </w:p>
    <w:p w14:paraId="7F9D5881" w14:textId="7D67D2ED" w:rsidR="00787F80" w:rsidRDefault="00787F80" w:rsidP="00787F80">
      <w:pPr>
        <w:jc w:val="both"/>
        <w:rPr>
          <w:rFonts w:ascii="Abadi" w:hAnsi="Abadi"/>
          <w:sz w:val="21"/>
          <w:szCs w:val="21"/>
        </w:rPr>
      </w:pPr>
      <w:r>
        <w:rPr>
          <w:rFonts w:ascii="Abadi" w:hAnsi="Abadi"/>
          <w:sz w:val="21"/>
          <w:szCs w:val="21"/>
        </w:rPr>
        <w:t xml:space="preserve">- </w:t>
      </w:r>
      <w:r w:rsidRPr="00787F80">
        <w:rPr>
          <w:rFonts w:ascii="Abadi" w:hAnsi="Abadi"/>
          <w:sz w:val="21"/>
          <w:szCs w:val="21"/>
        </w:rPr>
        <w:t>Es cuánto.</w:t>
      </w:r>
    </w:p>
    <w:p w14:paraId="1313CE61" w14:textId="77777777" w:rsidR="00787F80" w:rsidRPr="00787F80" w:rsidRDefault="00787F80" w:rsidP="00787F80">
      <w:pPr>
        <w:jc w:val="both"/>
        <w:rPr>
          <w:rFonts w:ascii="Abadi" w:hAnsi="Abadi"/>
          <w:sz w:val="21"/>
          <w:szCs w:val="21"/>
        </w:rPr>
      </w:pPr>
    </w:p>
    <w:p w14:paraId="52593E01" w14:textId="56F32959" w:rsidR="00787F80" w:rsidRDefault="00787F80" w:rsidP="00787F80">
      <w:pPr>
        <w:ind w:firstLine="708"/>
        <w:jc w:val="both"/>
        <w:rPr>
          <w:rFonts w:ascii="Abadi" w:hAnsi="Abadi"/>
          <w:sz w:val="21"/>
          <w:szCs w:val="21"/>
        </w:rPr>
      </w:pPr>
      <w:r>
        <w:rPr>
          <w:rFonts w:ascii="Abadi" w:hAnsi="Abadi"/>
          <w:b/>
          <w:bCs/>
          <w:sz w:val="21"/>
          <w:szCs w:val="21"/>
        </w:rPr>
        <w:t xml:space="preserve">- </w:t>
      </w:r>
      <w:r w:rsidRPr="00787F80">
        <w:rPr>
          <w:rFonts w:ascii="Abadi" w:hAnsi="Abadi"/>
          <w:b/>
          <w:bCs/>
          <w:sz w:val="21"/>
          <w:szCs w:val="21"/>
        </w:rPr>
        <w:t>La Presidencia.-</w:t>
      </w:r>
      <w:r w:rsidRPr="00787F80">
        <w:rPr>
          <w:rFonts w:ascii="Abadi" w:hAnsi="Abadi"/>
          <w:sz w:val="21"/>
          <w:szCs w:val="21"/>
        </w:rPr>
        <w:t xml:space="preserve"> Muchas gracias, diputado. </w:t>
      </w:r>
    </w:p>
    <w:p w14:paraId="498626A1" w14:textId="77777777" w:rsidR="00787F80" w:rsidRPr="00787F80" w:rsidRDefault="00787F80" w:rsidP="00787F80">
      <w:pPr>
        <w:ind w:firstLine="708"/>
        <w:jc w:val="both"/>
        <w:rPr>
          <w:rFonts w:ascii="Abadi" w:hAnsi="Abadi"/>
          <w:sz w:val="21"/>
          <w:szCs w:val="21"/>
        </w:rPr>
      </w:pPr>
    </w:p>
    <w:p w14:paraId="44AC90FE" w14:textId="10FC2D49" w:rsidR="00787F80" w:rsidRDefault="00787F80" w:rsidP="00787F80">
      <w:pPr>
        <w:ind w:firstLine="708"/>
        <w:jc w:val="both"/>
        <w:rPr>
          <w:rFonts w:ascii="Abadi" w:hAnsi="Abadi"/>
          <w:sz w:val="21"/>
          <w:szCs w:val="21"/>
        </w:rPr>
      </w:pPr>
      <w:r>
        <w:rPr>
          <w:rFonts w:ascii="Abadi" w:hAnsi="Abadi"/>
          <w:sz w:val="21"/>
          <w:szCs w:val="21"/>
        </w:rPr>
        <w:t xml:space="preserve">- </w:t>
      </w:r>
      <w:r w:rsidRPr="00787F80">
        <w:rPr>
          <w:rFonts w:ascii="Abadi" w:hAnsi="Abadi"/>
          <w:sz w:val="21"/>
          <w:szCs w:val="21"/>
        </w:rPr>
        <w:t>Y es turno de la diputada Angélica Casillas, hasta por 10 minutos tiene el uso de la palabra.</w:t>
      </w:r>
    </w:p>
    <w:p w14:paraId="4A69CA39" w14:textId="77777777" w:rsidR="00787F80" w:rsidRPr="00787F80" w:rsidRDefault="00787F80" w:rsidP="00787F80">
      <w:pPr>
        <w:jc w:val="both"/>
        <w:rPr>
          <w:rFonts w:ascii="Abadi" w:hAnsi="Abadi"/>
          <w:sz w:val="21"/>
          <w:szCs w:val="21"/>
        </w:rPr>
      </w:pPr>
    </w:p>
    <w:p w14:paraId="4CC5DFF5" w14:textId="1223D6BB" w:rsidR="00787F80" w:rsidRPr="00787F80" w:rsidRDefault="00787F80" w:rsidP="00787F80">
      <w:pPr>
        <w:jc w:val="both"/>
        <w:rPr>
          <w:rFonts w:ascii="Abadi" w:hAnsi="Abadi"/>
          <w:b/>
          <w:bCs/>
          <w:sz w:val="21"/>
          <w:szCs w:val="21"/>
        </w:rPr>
      </w:pPr>
      <w:r w:rsidRPr="00787F80">
        <w:rPr>
          <w:rFonts w:ascii="Abadi" w:hAnsi="Abadi"/>
          <w:b/>
          <w:bCs/>
          <w:sz w:val="21"/>
          <w:szCs w:val="21"/>
        </w:rPr>
        <w:t xml:space="preserve">(Sube a tribuna la Diputada Angélica Casillas, en asuntos de interés general, con el tema: </w:t>
      </w:r>
      <w:r w:rsidRPr="00787F80">
        <w:rPr>
          <w:rFonts w:ascii="Abadi" w:hAnsi="Abadi" w:cstheme="minorBidi"/>
          <w:b/>
          <w:bCs/>
          <w:sz w:val="21"/>
          <w:szCs w:val="21"/>
        </w:rPr>
        <w:t>«Efemérides»)</w:t>
      </w:r>
    </w:p>
    <w:p w14:paraId="5E2D97D0" w14:textId="77777777" w:rsidR="00787F80" w:rsidRPr="00787F80" w:rsidRDefault="00787F80" w:rsidP="00787F80">
      <w:pPr>
        <w:jc w:val="both"/>
        <w:rPr>
          <w:rFonts w:ascii="Abadi" w:hAnsi="Abadi"/>
          <w:b/>
          <w:bCs/>
          <w:sz w:val="21"/>
          <w:szCs w:val="21"/>
        </w:rPr>
      </w:pPr>
    </w:p>
    <w:p w14:paraId="1625F04A" w14:textId="77777777" w:rsidR="00787F80" w:rsidRPr="00787F80" w:rsidRDefault="00787F80" w:rsidP="00787F80">
      <w:pPr>
        <w:jc w:val="both"/>
        <w:rPr>
          <w:rFonts w:ascii="Abadi" w:hAnsi="Abadi" w:cstheme="minorBidi"/>
          <w:b/>
          <w:bCs/>
          <w:sz w:val="21"/>
          <w:szCs w:val="21"/>
        </w:rPr>
      </w:pPr>
      <w:r w:rsidRPr="00787F80">
        <w:rPr>
          <w:rFonts w:ascii="Abadi" w:hAnsi="Abadi"/>
          <w:noProof/>
          <w:sz w:val="21"/>
          <w:szCs w:val="21"/>
        </w:rPr>
        <w:drawing>
          <wp:inline distT="0" distB="0" distL="0" distR="0" wp14:anchorId="49FED0EE" wp14:editId="4FA21A72">
            <wp:extent cx="1952625" cy="1007464"/>
            <wp:effectExtent l="0" t="114300" r="0" b="783590"/>
            <wp:docPr id="132" name="Imagen 132" descr="Imagen que contiene mujer, computadora, frente,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magen que contiene mujer, computadora, frente, hombre&#10;&#10;Descripción generada automáticamente"/>
                    <pic:cNvPicPr/>
                  </pic:nvPicPr>
                  <pic:blipFill rotWithShape="1">
                    <a:blip r:embed="rId70"/>
                    <a:srcRect b="8231"/>
                    <a:stretch/>
                  </pic:blipFill>
                  <pic:spPr bwMode="auto">
                    <a:xfrm>
                      <a:off x="0" y="0"/>
                      <a:ext cx="1971616" cy="1017262"/>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inline>
        </w:drawing>
      </w:r>
    </w:p>
    <w:p w14:paraId="488005AC" w14:textId="77777777" w:rsidR="00787F80" w:rsidRPr="00787F80" w:rsidRDefault="00787F80" w:rsidP="00787F80">
      <w:pPr>
        <w:jc w:val="both"/>
        <w:rPr>
          <w:rFonts w:ascii="Abadi" w:hAnsi="Abadi"/>
          <w:sz w:val="21"/>
          <w:szCs w:val="21"/>
        </w:rPr>
      </w:pPr>
      <w:r w:rsidRPr="00787F80">
        <w:rPr>
          <w:rFonts w:ascii="Abadi" w:hAnsi="Abadi"/>
          <w:b/>
          <w:bCs/>
          <w:sz w:val="21"/>
          <w:szCs w:val="21"/>
        </w:rPr>
        <w:t xml:space="preserve"> </w:t>
      </w:r>
    </w:p>
    <w:p w14:paraId="72667990" w14:textId="03F18F9D" w:rsidR="00787F80" w:rsidRDefault="00787F80" w:rsidP="00787F80">
      <w:pPr>
        <w:jc w:val="both"/>
        <w:rPr>
          <w:rFonts w:ascii="Abadi" w:hAnsi="Abadi"/>
          <w:sz w:val="21"/>
          <w:szCs w:val="21"/>
        </w:rPr>
      </w:pPr>
      <w:r w:rsidRPr="00787F80">
        <w:rPr>
          <w:rFonts w:ascii="Abadi" w:hAnsi="Abadi"/>
          <w:sz w:val="21"/>
          <w:szCs w:val="21"/>
        </w:rPr>
        <w:t xml:space="preserve">- Con el permiso de las diputadas integrantes de la Mesa Directiva, agradezco la atención de las y los compañeros diputados, de las y los ciudadanos que no se acompañan, a quién nos siguen a través de los diversos medios digital. </w:t>
      </w:r>
    </w:p>
    <w:p w14:paraId="651F3F0B" w14:textId="77777777" w:rsidR="00940499" w:rsidRPr="00787F80" w:rsidRDefault="00940499" w:rsidP="00787F80">
      <w:pPr>
        <w:jc w:val="both"/>
        <w:rPr>
          <w:rFonts w:ascii="Abadi" w:hAnsi="Abadi"/>
          <w:sz w:val="21"/>
          <w:szCs w:val="21"/>
        </w:rPr>
      </w:pPr>
    </w:p>
    <w:p w14:paraId="60528099"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El día de hoy jueves 12 de mayo, como cada año, se conmemora el Día Internacional de la Enfermería. Es por ello que, desde esta tribuna, el Grupo Parlamentario del Partido Acción Nacional le enviamos un gran y respetuoso aplauso. Esta conmemoración se lleva a cabo por el aniversario del nacimiento de Florencia Nightingale conocida como </w:t>
      </w:r>
      <w:r w:rsidRPr="00787F80">
        <w:rPr>
          <w:rFonts w:ascii="Abadi" w:hAnsi="Abadi" w:cstheme="minorBidi"/>
          <w:b/>
          <w:bCs/>
          <w:sz w:val="21"/>
          <w:szCs w:val="21"/>
        </w:rPr>
        <w:t>«</w:t>
      </w:r>
      <w:r w:rsidRPr="00787F80">
        <w:rPr>
          <w:rFonts w:ascii="Abadi" w:hAnsi="Abadi"/>
          <w:sz w:val="21"/>
          <w:szCs w:val="21"/>
        </w:rPr>
        <w:t>La dama de la lámpara</w:t>
      </w:r>
      <w:r w:rsidRPr="00787F80">
        <w:rPr>
          <w:rFonts w:ascii="Abadi" w:hAnsi="Abadi" w:cstheme="minorBidi"/>
          <w:b/>
          <w:bCs/>
          <w:sz w:val="21"/>
          <w:szCs w:val="21"/>
        </w:rPr>
        <w:t>»</w:t>
      </w:r>
      <w:r w:rsidRPr="00787F80">
        <w:rPr>
          <w:rFonts w:ascii="Abadi" w:hAnsi="Abadi"/>
          <w:b/>
          <w:bCs/>
          <w:sz w:val="21"/>
          <w:szCs w:val="21"/>
        </w:rPr>
        <w:t xml:space="preserve"> </w:t>
      </w:r>
      <w:r w:rsidRPr="00787F80">
        <w:rPr>
          <w:rFonts w:ascii="Abadi" w:hAnsi="Abadi"/>
          <w:sz w:val="21"/>
          <w:szCs w:val="21"/>
        </w:rPr>
        <w:t xml:space="preserve">quién nació el 12 de mayo de 1820 en Florencia y es considerada la fundadora de la enfermería moderna. </w:t>
      </w:r>
    </w:p>
    <w:p w14:paraId="581C4E03" w14:textId="77777777" w:rsidR="00787F80" w:rsidRPr="00787F80" w:rsidRDefault="00787F80" w:rsidP="00787F80">
      <w:pPr>
        <w:jc w:val="both"/>
        <w:rPr>
          <w:rFonts w:ascii="Abadi" w:hAnsi="Abadi"/>
          <w:sz w:val="21"/>
          <w:szCs w:val="21"/>
        </w:rPr>
      </w:pPr>
    </w:p>
    <w:p w14:paraId="50E9C086"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No queda duda que hay mucho que contar de su dedicación, pasión y altruismo que desde sus inicios tuvo la visión de instruir a las mujeres para ejercer tan notable oficio, dejando un valioso legado a las nuevas generaciones a las y los nuevos profesionistas. </w:t>
      </w:r>
    </w:p>
    <w:p w14:paraId="328BC30D" w14:textId="77777777" w:rsidR="00787F80" w:rsidRPr="00787F80" w:rsidRDefault="00787F80" w:rsidP="00787F80">
      <w:pPr>
        <w:jc w:val="both"/>
        <w:rPr>
          <w:rFonts w:ascii="Abadi" w:hAnsi="Abadi"/>
          <w:sz w:val="21"/>
          <w:szCs w:val="21"/>
        </w:rPr>
      </w:pPr>
    </w:p>
    <w:p w14:paraId="36C6928E"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La enfermería actualmente es considerada una profesión que, a pesar de existir desde los orígenes de la sociedad, le ha costado llegar a ser reconocida de un simple oficio hacer una profesión, pues en sus inicios, en aquellos años de 1837, el oficio de enfermería o cuidadora no se consideraba necesaria una formación profesional. </w:t>
      </w:r>
    </w:p>
    <w:p w14:paraId="7AF11A57" w14:textId="77777777" w:rsidR="00787F80" w:rsidRPr="00787F80" w:rsidRDefault="00787F80" w:rsidP="00787F80">
      <w:pPr>
        <w:jc w:val="both"/>
        <w:rPr>
          <w:rFonts w:ascii="Abadi" w:hAnsi="Abadi"/>
          <w:sz w:val="21"/>
          <w:szCs w:val="21"/>
        </w:rPr>
      </w:pPr>
    </w:p>
    <w:p w14:paraId="0E8C63C2"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El objetivo de conmemorar este día es rendir un merecido homenaje a todas las enfermeras y enfermeros que a nivel mundial realizan esta labor para toda la humanidad derivado de la pandemia del COVID-19, es de reconocer y admirar la gran contribución que de manera desinteresada millones del personal de enfermería en el mundo y que representa más de la mitad del personal de salud, entregaron en cuerpo y alma a cuidar a los pacientes, aun a costa del riesgo personal y de la incertidumbre de ser los portadores de posibles contagios a su seres queridos. </w:t>
      </w:r>
    </w:p>
    <w:p w14:paraId="3ADBCF89" w14:textId="77777777" w:rsidR="00787F80" w:rsidRPr="00787F80" w:rsidRDefault="00787F80" w:rsidP="00787F80">
      <w:pPr>
        <w:jc w:val="both"/>
        <w:rPr>
          <w:rFonts w:ascii="Abadi" w:hAnsi="Abadi"/>
          <w:sz w:val="21"/>
          <w:szCs w:val="21"/>
        </w:rPr>
      </w:pPr>
    </w:p>
    <w:p w14:paraId="1DB58E3E"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A lo largo de la historia, el personal de enfermería ha estado en primera línea de la lucha contra las epidemias, pandemias o cualquier otra calamidad sanitaria que amenaza a la salud a nivel mundial. </w:t>
      </w:r>
    </w:p>
    <w:p w14:paraId="591EA156" w14:textId="77777777" w:rsidR="00787F80" w:rsidRPr="00787F80" w:rsidRDefault="00787F80" w:rsidP="00787F80">
      <w:pPr>
        <w:jc w:val="both"/>
        <w:rPr>
          <w:rFonts w:ascii="Abadi" w:hAnsi="Abadi"/>
          <w:sz w:val="21"/>
          <w:szCs w:val="21"/>
        </w:rPr>
      </w:pPr>
    </w:p>
    <w:p w14:paraId="07203EA8" w14:textId="5611C6AE" w:rsidR="00787F80" w:rsidRPr="00787F80" w:rsidRDefault="00787F80" w:rsidP="00787F80">
      <w:pPr>
        <w:jc w:val="both"/>
        <w:rPr>
          <w:rFonts w:ascii="Abadi" w:hAnsi="Abadi"/>
          <w:sz w:val="21"/>
          <w:szCs w:val="21"/>
        </w:rPr>
      </w:pPr>
      <w:r w:rsidRPr="00787F80">
        <w:rPr>
          <w:rFonts w:ascii="Abadi" w:hAnsi="Abadi"/>
          <w:sz w:val="21"/>
          <w:szCs w:val="21"/>
        </w:rPr>
        <w:t xml:space="preserve">- En todos los lugares del mundo día con día nos demuestran su compasión, valentía y compromiso en la respuesta a los distintos escenarios que se les presentan, donde nunca se había puesto más claramente la </w:t>
      </w:r>
      <w:r w:rsidR="00940499" w:rsidRPr="00787F80">
        <w:rPr>
          <w:rFonts w:ascii="Abadi" w:hAnsi="Abadi"/>
          <w:sz w:val="21"/>
          <w:szCs w:val="21"/>
        </w:rPr>
        <w:t>notoriedad</w:t>
      </w:r>
      <w:r w:rsidRPr="00787F80">
        <w:rPr>
          <w:rFonts w:ascii="Abadi" w:hAnsi="Abadi"/>
          <w:sz w:val="21"/>
          <w:szCs w:val="21"/>
        </w:rPr>
        <w:t xml:space="preserve"> de su servicio y sacrificio en favor del prójimo. No habrá palabras ni actos suficientes para agradecer su entrega. Desde el Grupo Parlamentario de Acción Nacional enviamos un mensaje de solidaridad a todas nuestras enfermeras y enfermeros que prestan cuidados y consuelo a sus pacientes y muy especialmente a nuestras 7,684 enfermeras y 1,102 enfermeros. </w:t>
      </w:r>
    </w:p>
    <w:p w14:paraId="7B106169" w14:textId="77777777" w:rsidR="00787F80" w:rsidRPr="00787F80" w:rsidRDefault="00787F80" w:rsidP="00787F80">
      <w:pPr>
        <w:jc w:val="both"/>
        <w:rPr>
          <w:rFonts w:ascii="Abadi" w:hAnsi="Abadi"/>
          <w:sz w:val="21"/>
          <w:szCs w:val="21"/>
        </w:rPr>
      </w:pPr>
    </w:p>
    <w:p w14:paraId="3E75E3B1"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A quién le reconocemos el sacrificio, la dedicación y la pasión en favor de los guanajuatenses. Gracias a ustedes, Guanajuato, libro, muchas batallas. </w:t>
      </w:r>
    </w:p>
    <w:p w14:paraId="4BACE287" w14:textId="77777777" w:rsidR="00787F80" w:rsidRPr="00787F80" w:rsidRDefault="00787F80" w:rsidP="00787F80">
      <w:pPr>
        <w:jc w:val="both"/>
        <w:rPr>
          <w:rFonts w:ascii="Abadi" w:hAnsi="Abadi"/>
          <w:sz w:val="21"/>
          <w:szCs w:val="21"/>
        </w:rPr>
      </w:pPr>
    </w:p>
    <w:p w14:paraId="427B3E18"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Muchas, muchas gracias. Desde nuestra trinchera seguiremos trabajando en favor del personal de enfermería del sector salud de Guanajuato. </w:t>
      </w:r>
    </w:p>
    <w:p w14:paraId="0D09EB86" w14:textId="77777777" w:rsidR="00787F80" w:rsidRPr="00787F80" w:rsidRDefault="00787F80" w:rsidP="00787F80">
      <w:pPr>
        <w:jc w:val="both"/>
        <w:rPr>
          <w:rFonts w:ascii="Abadi" w:hAnsi="Abadi"/>
          <w:sz w:val="21"/>
          <w:szCs w:val="21"/>
        </w:rPr>
      </w:pPr>
    </w:p>
    <w:p w14:paraId="509D2E20"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Es cuánto presidenta. </w:t>
      </w:r>
    </w:p>
    <w:p w14:paraId="38FF4F2D" w14:textId="77777777" w:rsidR="00787F80" w:rsidRPr="00787F80" w:rsidRDefault="00787F80" w:rsidP="00787F80">
      <w:pPr>
        <w:jc w:val="both"/>
        <w:rPr>
          <w:rFonts w:ascii="Abadi" w:hAnsi="Abadi"/>
          <w:sz w:val="21"/>
          <w:szCs w:val="21"/>
        </w:rPr>
      </w:pPr>
    </w:p>
    <w:p w14:paraId="35DBDD7D" w14:textId="77777777" w:rsidR="0069068F" w:rsidRDefault="00940499" w:rsidP="00940499">
      <w:pPr>
        <w:ind w:firstLine="708"/>
        <w:jc w:val="both"/>
        <w:rPr>
          <w:rFonts w:ascii="Abadi" w:hAnsi="Abadi"/>
          <w:sz w:val="21"/>
          <w:szCs w:val="21"/>
        </w:rPr>
      </w:pPr>
      <w:r>
        <w:rPr>
          <w:rFonts w:ascii="Abadi" w:hAnsi="Abadi"/>
          <w:b/>
          <w:bCs/>
          <w:sz w:val="21"/>
          <w:szCs w:val="21"/>
        </w:rPr>
        <w:t xml:space="preserve">- </w:t>
      </w:r>
      <w:r w:rsidR="00787F80" w:rsidRPr="00787F80">
        <w:rPr>
          <w:rFonts w:ascii="Abadi" w:hAnsi="Abadi"/>
          <w:b/>
          <w:bCs/>
          <w:sz w:val="21"/>
          <w:szCs w:val="21"/>
        </w:rPr>
        <w:t>La Presidencia.-</w:t>
      </w:r>
      <w:r w:rsidR="00787F80" w:rsidRPr="00787F80">
        <w:rPr>
          <w:rFonts w:ascii="Abadi" w:hAnsi="Abadi"/>
          <w:sz w:val="21"/>
          <w:szCs w:val="21"/>
        </w:rPr>
        <w:t xml:space="preserve"> Gracias. </w:t>
      </w:r>
    </w:p>
    <w:p w14:paraId="204F7EC6" w14:textId="77777777" w:rsidR="0069068F" w:rsidRDefault="0069068F" w:rsidP="00940499">
      <w:pPr>
        <w:ind w:firstLine="708"/>
        <w:jc w:val="both"/>
        <w:rPr>
          <w:rFonts w:ascii="Abadi" w:hAnsi="Abadi"/>
          <w:sz w:val="21"/>
          <w:szCs w:val="21"/>
        </w:rPr>
      </w:pPr>
    </w:p>
    <w:p w14:paraId="358D4B1D" w14:textId="5843A7D3" w:rsidR="00787F80" w:rsidRDefault="0069068F" w:rsidP="00940499">
      <w:pPr>
        <w:ind w:firstLine="708"/>
        <w:jc w:val="both"/>
        <w:rPr>
          <w:rFonts w:ascii="Abadi" w:hAnsi="Abadi"/>
          <w:sz w:val="21"/>
          <w:szCs w:val="21"/>
        </w:rPr>
      </w:pPr>
      <w:r>
        <w:rPr>
          <w:rFonts w:ascii="Abadi" w:hAnsi="Abadi"/>
          <w:sz w:val="21"/>
          <w:szCs w:val="21"/>
        </w:rPr>
        <w:t xml:space="preserve">- </w:t>
      </w:r>
      <w:r w:rsidR="00787F80" w:rsidRPr="00787F80">
        <w:rPr>
          <w:rFonts w:ascii="Abadi" w:hAnsi="Abadi"/>
          <w:sz w:val="21"/>
          <w:szCs w:val="21"/>
        </w:rPr>
        <w:t xml:space="preserve">Y es momento de darle la voz, el uso de la voz al diputado Ernesto Millán Soberanes, hasta por diez minutos. </w:t>
      </w:r>
    </w:p>
    <w:p w14:paraId="606EB62C" w14:textId="77777777" w:rsidR="00940499" w:rsidRPr="00787F80" w:rsidRDefault="00940499" w:rsidP="00940499">
      <w:pPr>
        <w:ind w:firstLine="708"/>
        <w:jc w:val="both"/>
        <w:rPr>
          <w:rFonts w:ascii="Abadi" w:hAnsi="Abadi"/>
          <w:sz w:val="21"/>
          <w:szCs w:val="21"/>
        </w:rPr>
      </w:pPr>
    </w:p>
    <w:p w14:paraId="1615EC3C" w14:textId="77777777" w:rsidR="00940499" w:rsidRDefault="00940499" w:rsidP="00787F80">
      <w:pPr>
        <w:jc w:val="both"/>
        <w:rPr>
          <w:rFonts w:ascii="Abadi" w:hAnsi="Abadi"/>
          <w:sz w:val="21"/>
          <w:szCs w:val="21"/>
        </w:rPr>
      </w:pPr>
    </w:p>
    <w:p w14:paraId="0887623E" w14:textId="046ED7F6" w:rsidR="00787F80" w:rsidRPr="00940499" w:rsidRDefault="00787F80" w:rsidP="00940499">
      <w:pPr>
        <w:pStyle w:val="Prrafodelista"/>
        <w:numPr>
          <w:ilvl w:val="0"/>
          <w:numId w:val="72"/>
        </w:numPr>
        <w:jc w:val="both"/>
        <w:rPr>
          <w:rFonts w:ascii="Abadi" w:hAnsi="Abadi"/>
          <w:sz w:val="21"/>
          <w:szCs w:val="21"/>
        </w:rPr>
      </w:pPr>
      <w:r w:rsidRPr="00940499">
        <w:rPr>
          <w:rFonts w:ascii="Abadi" w:hAnsi="Abadi"/>
          <w:sz w:val="21"/>
          <w:szCs w:val="21"/>
        </w:rPr>
        <w:t xml:space="preserve">Adelante, diputado. </w:t>
      </w:r>
    </w:p>
    <w:p w14:paraId="45FE591A" w14:textId="77777777" w:rsidR="00940499" w:rsidRPr="00787F80" w:rsidRDefault="00940499" w:rsidP="00787F80">
      <w:pPr>
        <w:jc w:val="both"/>
        <w:rPr>
          <w:rFonts w:ascii="Abadi" w:hAnsi="Abadi"/>
          <w:sz w:val="21"/>
          <w:szCs w:val="21"/>
        </w:rPr>
      </w:pPr>
    </w:p>
    <w:p w14:paraId="79F0E355" w14:textId="6C9F5191" w:rsidR="00787F80" w:rsidRPr="00787F80" w:rsidRDefault="00787F80" w:rsidP="00787F80">
      <w:pPr>
        <w:jc w:val="both"/>
        <w:rPr>
          <w:rFonts w:ascii="Abadi" w:hAnsi="Abadi"/>
          <w:b/>
          <w:bCs/>
          <w:sz w:val="21"/>
          <w:szCs w:val="21"/>
        </w:rPr>
      </w:pPr>
      <w:r w:rsidRPr="00787F80">
        <w:rPr>
          <w:rFonts w:ascii="Abadi" w:hAnsi="Abadi"/>
          <w:b/>
          <w:bCs/>
          <w:sz w:val="21"/>
          <w:szCs w:val="21"/>
        </w:rPr>
        <w:t xml:space="preserve">(Sube a tribuna el Diputado Ernesto Millán, para hablar de asuntos de interés general, con el tema: </w:t>
      </w:r>
      <w:r w:rsidR="0069068F">
        <w:rPr>
          <w:rFonts w:ascii="Abadi" w:hAnsi="Abadi"/>
          <w:b/>
          <w:bCs/>
          <w:sz w:val="21"/>
          <w:szCs w:val="21"/>
        </w:rPr>
        <w:t xml:space="preserve"> </w:t>
      </w:r>
      <w:r w:rsidRPr="00787F80">
        <w:rPr>
          <w:rFonts w:ascii="Abadi" w:hAnsi="Abadi" w:cstheme="minorBidi"/>
          <w:b/>
          <w:bCs/>
          <w:sz w:val="21"/>
          <w:szCs w:val="21"/>
        </w:rPr>
        <w:t>«Otros datos»)</w:t>
      </w:r>
    </w:p>
    <w:p w14:paraId="294E2985" w14:textId="2C89106C" w:rsidR="00787F80" w:rsidRPr="00787F80" w:rsidRDefault="00940499" w:rsidP="00787F80">
      <w:pPr>
        <w:jc w:val="both"/>
        <w:rPr>
          <w:rFonts w:ascii="Abadi" w:hAnsi="Abadi"/>
          <w:b/>
          <w:bCs/>
          <w:sz w:val="21"/>
          <w:szCs w:val="21"/>
        </w:rPr>
      </w:pPr>
      <w:r w:rsidRPr="00787F80">
        <w:rPr>
          <w:rFonts w:ascii="Abadi" w:hAnsi="Abadi"/>
          <w:noProof/>
          <w:sz w:val="21"/>
          <w:szCs w:val="21"/>
        </w:rPr>
        <w:drawing>
          <wp:anchor distT="0" distB="0" distL="114300" distR="114300" simplePos="0" relativeHeight="251705344" behindDoc="1" locked="0" layoutInCell="1" allowOverlap="1" wp14:anchorId="18DD550B" wp14:editId="4415B4BE">
            <wp:simplePos x="0" y="0"/>
            <wp:positionH relativeFrom="column">
              <wp:posOffset>250190</wp:posOffset>
            </wp:positionH>
            <wp:positionV relativeFrom="paragraph">
              <wp:posOffset>256540</wp:posOffset>
            </wp:positionV>
            <wp:extent cx="2085975" cy="1076266"/>
            <wp:effectExtent l="0" t="114300" r="0" b="829310"/>
            <wp:wrapTight wrapText="bothSides">
              <wp:wrapPolygon edited="0">
                <wp:start x="197" y="-2295"/>
                <wp:lineTo x="197" y="35192"/>
                <wp:lineTo x="592" y="37870"/>
                <wp:lineTo x="1381" y="37870"/>
                <wp:lineTo x="1578" y="37105"/>
                <wp:lineTo x="14203" y="35192"/>
                <wp:lineTo x="15584" y="35192"/>
                <wp:lineTo x="20121" y="30602"/>
                <wp:lineTo x="20121" y="-2295"/>
                <wp:lineTo x="197" y="-2295"/>
              </wp:wrapPolygon>
            </wp:wrapTight>
            <wp:docPr id="133" name="Imagen 133" descr="Hombre de pie con traje de color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Hombre de pie con traje de color negro&#10;&#10;Descripción generada automáticamente con confianza media"/>
                    <pic:cNvPicPr/>
                  </pic:nvPicPr>
                  <pic:blipFill rotWithShape="1">
                    <a:blip r:embed="rId71" cstate="print">
                      <a:extLst>
                        <a:ext uri="{28A0092B-C50C-407E-A947-70E740481C1C}">
                          <a14:useLocalDpi xmlns:a14="http://schemas.microsoft.com/office/drawing/2010/main" val="0"/>
                        </a:ext>
                      </a:extLst>
                    </a:blip>
                    <a:srcRect b="8231"/>
                    <a:stretch/>
                  </pic:blipFill>
                  <pic:spPr bwMode="auto">
                    <a:xfrm>
                      <a:off x="0" y="0"/>
                      <a:ext cx="2085975" cy="1076266"/>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369B8DB0" w14:textId="7CB0FA8E" w:rsidR="00787F80" w:rsidRPr="00787F80" w:rsidRDefault="00787F80" w:rsidP="00787F80">
      <w:pPr>
        <w:jc w:val="both"/>
        <w:rPr>
          <w:rFonts w:ascii="Abadi" w:hAnsi="Abadi"/>
          <w:b/>
          <w:bCs/>
          <w:sz w:val="21"/>
          <w:szCs w:val="21"/>
        </w:rPr>
      </w:pPr>
    </w:p>
    <w:p w14:paraId="35434838" w14:textId="77777777" w:rsidR="00787F80" w:rsidRPr="00787F80" w:rsidRDefault="00787F80" w:rsidP="00787F80">
      <w:pPr>
        <w:jc w:val="both"/>
        <w:rPr>
          <w:rFonts w:ascii="Abadi" w:hAnsi="Abadi"/>
          <w:b/>
          <w:bCs/>
          <w:sz w:val="21"/>
          <w:szCs w:val="21"/>
        </w:rPr>
      </w:pPr>
    </w:p>
    <w:p w14:paraId="71366D60" w14:textId="2147DC5F" w:rsidR="00787F80" w:rsidRDefault="00787F80" w:rsidP="00787F80">
      <w:pPr>
        <w:jc w:val="both"/>
        <w:rPr>
          <w:rFonts w:ascii="Abadi" w:hAnsi="Abadi"/>
          <w:sz w:val="21"/>
          <w:szCs w:val="21"/>
        </w:rPr>
      </w:pPr>
      <w:r w:rsidRPr="00787F80">
        <w:rPr>
          <w:rFonts w:ascii="Abadi" w:hAnsi="Abadi"/>
          <w:sz w:val="21"/>
          <w:szCs w:val="21"/>
        </w:rPr>
        <w:t>- Nuevamente los saludo con mucho gusto a las compañeras compañeros, a los medios que aún se encuentran por acá con el permiso de la Mesa Directiva y su Presidencia.</w:t>
      </w:r>
    </w:p>
    <w:p w14:paraId="5CDDF9E2" w14:textId="77777777" w:rsidR="00940499" w:rsidRPr="00787F80" w:rsidRDefault="00940499" w:rsidP="00787F80">
      <w:pPr>
        <w:jc w:val="both"/>
        <w:rPr>
          <w:rFonts w:ascii="Abadi" w:hAnsi="Abadi"/>
          <w:sz w:val="21"/>
          <w:szCs w:val="21"/>
        </w:rPr>
      </w:pPr>
    </w:p>
    <w:p w14:paraId="500EDE55" w14:textId="4AC836FB" w:rsidR="00787F80" w:rsidRDefault="00787F80" w:rsidP="00787F80">
      <w:pPr>
        <w:jc w:val="both"/>
        <w:rPr>
          <w:rFonts w:ascii="Abadi" w:hAnsi="Abadi"/>
          <w:sz w:val="21"/>
          <w:szCs w:val="21"/>
        </w:rPr>
      </w:pPr>
      <w:r w:rsidRPr="00787F80">
        <w:rPr>
          <w:rFonts w:ascii="Abadi" w:hAnsi="Abadi"/>
          <w:sz w:val="21"/>
          <w:szCs w:val="21"/>
        </w:rPr>
        <w:t xml:space="preserve">- El pasado 4 de mayo y gracias a una violación a la Constitución, el Gobierno del Estado de Guanajuato y por supuesto, el Congreso, y, por supuesto, ¡perdón! el Gobernador Diego Sinhue Rodríguez Vallejo, desplegaron todo un aparato de comunicación y mercadotecnia para dar el cuarto informe, donde hubo mucho show y en el cual quien se llevó la noche fue un avión. Simplemente un avión, fue lo más resaltante de ese informe. </w:t>
      </w:r>
    </w:p>
    <w:p w14:paraId="7DF219E4" w14:textId="77777777" w:rsidR="00940499" w:rsidRPr="00787F80" w:rsidRDefault="00940499" w:rsidP="00787F80">
      <w:pPr>
        <w:jc w:val="both"/>
        <w:rPr>
          <w:rFonts w:ascii="Abadi" w:hAnsi="Abadi"/>
          <w:sz w:val="21"/>
          <w:szCs w:val="21"/>
        </w:rPr>
      </w:pPr>
    </w:p>
    <w:p w14:paraId="6574306D" w14:textId="734120AE" w:rsidR="00787F80" w:rsidRDefault="00787F80" w:rsidP="00787F80">
      <w:pPr>
        <w:jc w:val="both"/>
        <w:rPr>
          <w:rFonts w:ascii="Abadi" w:hAnsi="Abadi"/>
          <w:sz w:val="21"/>
          <w:szCs w:val="21"/>
        </w:rPr>
      </w:pPr>
      <w:r w:rsidRPr="00787F80">
        <w:rPr>
          <w:rFonts w:ascii="Abadi" w:hAnsi="Abadi"/>
          <w:sz w:val="21"/>
          <w:szCs w:val="21"/>
        </w:rPr>
        <w:t xml:space="preserve">- Ante la falta de datos y cifras que realmente benefician a los guanajuatenses, el gobernador prefirió aplaudir a las empresas y los logros de ellas, no de su gobierno. Porque pues hay muchos y los datos fríos son más catastróficos que todas las imágenes y vídeos bonitos que, por cierto, </w:t>
      </w:r>
      <w:r w:rsidR="00940499" w:rsidRPr="00787F80">
        <w:rPr>
          <w:rFonts w:ascii="Abadi" w:hAnsi="Abadi"/>
          <w:sz w:val="21"/>
          <w:szCs w:val="21"/>
        </w:rPr>
        <w:t>les</w:t>
      </w:r>
      <w:r w:rsidRPr="00787F80">
        <w:rPr>
          <w:rFonts w:ascii="Abadi" w:hAnsi="Abadi"/>
          <w:sz w:val="21"/>
          <w:szCs w:val="21"/>
        </w:rPr>
        <w:t xml:space="preserve"> costaron millones a los guanajuatenses. </w:t>
      </w:r>
    </w:p>
    <w:p w14:paraId="3FC75F8E" w14:textId="77777777" w:rsidR="00940499" w:rsidRPr="00787F80" w:rsidRDefault="00940499" w:rsidP="00787F80">
      <w:pPr>
        <w:jc w:val="both"/>
        <w:rPr>
          <w:rFonts w:ascii="Abadi" w:hAnsi="Abadi"/>
          <w:sz w:val="21"/>
          <w:szCs w:val="21"/>
        </w:rPr>
      </w:pPr>
    </w:p>
    <w:p w14:paraId="3572C5BA" w14:textId="248F973E" w:rsidR="00787F80" w:rsidRDefault="00787F80" w:rsidP="00787F80">
      <w:pPr>
        <w:jc w:val="both"/>
        <w:rPr>
          <w:rFonts w:ascii="Abadi" w:hAnsi="Abadi"/>
          <w:sz w:val="21"/>
          <w:szCs w:val="21"/>
        </w:rPr>
      </w:pPr>
      <w:r w:rsidRPr="00787F80">
        <w:rPr>
          <w:rFonts w:ascii="Abadi" w:hAnsi="Abadi"/>
          <w:sz w:val="21"/>
          <w:szCs w:val="21"/>
        </w:rPr>
        <w:t>- Sólo hay que sacar cuentas de los costos de unos souvenirs que dieron en el informe y me llamó mucho la atención una concretamente y me llama más la atención porque hace un momento, se estuvo hablando mucho aquí de que es la austeridad. ¿Esto es austeridad? ¿realmente esto es austeridad? Qué buen concepto tenemos, y la cual se repartió para los más de mil quinientos invitados.</w:t>
      </w:r>
    </w:p>
    <w:p w14:paraId="33A9EBE2" w14:textId="77777777" w:rsidR="00940499" w:rsidRPr="00787F80" w:rsidRDefault="00940499" w:rsidP="00787F80">
      <w:pPr>
        <w:jc w:val="both"/>
        <w:rPr>
          <w:rFonts w:ascii="Abadi" w:hAnsi="Abadi"/>
          <w:sz w:val="21"/>
          <w:szCs w:val="21"/>
        </w:rPr>
      </w:pPr>
    </w:p>
    <w:p w14:paraId="0F183B47" w14:textId="18CB0616" w:rsidR="00787F80" w:rsidRDefault="00787F80" w:rsidP="00787F80">
      <w:pPr>
        <w:jc w:val="both"/>
        <w:rPr>
          <w:rFonts w:ascii="Abadi" w:hAnsi="Abadi"/>
          <w:sz w:val="21"/>
          <w:szCs w:val="21"/>
        </w:rPr>
      </w:pPr>
      <w:r w:rsidRPr="00787F80">
        <w:rPr>
          <w:rFonts w:ascii="Abadi" w:hAnsi="Abadi"/>
          <w:sz w:val="21"/>
          <w:szCs w:val="21"/>
        </w:rPr>
        <w:t xml:space="preserve">-  Vamos echándole números, pero entremos de materia sin datos maquilladas en seguridad en el año dos mil veintiuno, primer lugar en homicidios dolosos en el país con 2,823 muertes, por cierto, nos llevamos a este no honroso lugar por tercer año consecutivo, Celaya, Irapuato y Guanajuato, todas gobernadas por el PAN, están dentro de las ciudades con más homicidios en el país, con la capital del Estado gobernado por Navarro a la cabeza de la ciudades de Guanajuato, con ochenta y uno muertes por este delito. </w:t>
      </w:r>
    </w:p>
    <w:p w14:paraId="3FB52A52" w14:textId="77777777" w:rsidR="00940499" w:rsidRPr="00787F80" w:rsidRDefault="00940499" w:rsidP="00787F80">
      <w:pPr>
        <w:jc w:val="both"/>
        <w:rPr>
          <w:rFonts w:ascii="Abadi" w:hAnsi="Abadi"/>
          <w:sz w:val="21"/>
          <w:szCs w:val="21"/>
        </w:rPr>
      </w:pPr>
    </w:p>
    <w:p w14:paraId="2FA6C9F1" w14:textId="24256BB3" w:rsidR="00787F80" w:rsidRDefault="00787F80" w:rsidP="00787F80">
      <w:pPr>
        <w:jc w:val="both"/>
        <w:rPr>
          <w:rFonts w:ascii="Abadi" w:hAnsi="Abadi"/>
          <w:sz w:val="21"/>
          <w:szCs w:val="21"/>
        </w:rPr>
      </w:pPr>
      <w:r w:rsidRPr="00787F80">
        <w:rPr>
          <w:rFonts w:ascii="Abadi" w:hAnsi="Abadi"/>
          <w:sz w:val="21"/>
          <w:szCs w:val="21"/>
        </w:rPr>
        <w:t xml:space="preserve">- León y Celaya fueron colocadas por el INCO como las ciudades peor calificadas en el índice de competitividad urbana dos mil veintiuno. Esto debido a su sido altos índices de homicidios. </w:t>
      </w:r>
    </w:p>
    <w:p w14:paraId="4AA178AF" w14:textId="77777777" w:rsidR="00940499" w:rsidRPr="00787F80" w:rsidRDefault="00940499" w:rsidP="00787F80">
      <w:pPr>
        <w:jc w:val="both"/>
        <w:rPr>
          <w:rFonts w:ascii="Abadi" w:hAnsi="Abadi"/>
          <w:sz w:val="21"/>
          <w:szCs w:val="21"/>
        </w:rPr>
      </w:pPr>
    </w:p>
    <w:p w14:paraId="2C9DF067" w14:textId="2F9FB66E" w:rsidR="00787F80" w:rsidRDefault="00787F80" w:rsidP="00787F80">
      <w:pPr>
        <w:jc w:val="both"/>
        <w:rPr>
          <w:rFonts w:ascii="Abadi" w:hAnsi="Abadi"/>
          <w:sz w:val="21"/>
          <w:szCs w:val="21"/>
        </w:rPr>
      </w:pPr>
      <w:r w:rsidRPr="00787F80">
        <w:rPr>
          <w:rFonts w:ascii="Abadi" w:hAnsi="Abadi"/>
          <w:sz w:val="21"/>
          <w:szCs w:val="21"/>
        </w:rPr>
        <w:t>- Apenas el lunes pasado, el fiscal comentó que prácticamente no había feminicidios en el Estado y el informe nos dice otra cosa homicidios dolosos y feminicidios hay entre ambos más de novecientos. ¿Cuál de los dos tiene mal el dato? La extorsión creció en el año 2021 creció un 1,611%, 4,160 delitos de robo a casa habitación, colocando al Estado como el segundo lugar a nivel nacional.</w:t>
      </w:r>
    </w:p>
    <w:p w14:paraId="1D26602C" w14:textId="77777777" w:rsidR="00940499" w:rsidRPr="00787F80" w:rsidRDefault="00940499" w:rsidP="00787F80">
      <w:pPr>
        <w:jc w:val="both"/>
        <w:rPr>
          <w:rFonts w:ascii="Abadi" w:hAnsi="Abadi"/>
          <w:sz w:val="21"/>
          <w:szCs w:val="21"/>
        </w:rPr>
      </w:pPr>
    </w:p>
    <w:p w14:paraId="421C6EB1" w14:textId="64443307" w:rsidR="00787F80" w:rsidRDefault="00787F80" w:rsidP="00787F80">
      <w:pPr>
        <w:jc w:val="both"/>
        <w:rPr>
          <w:rFonts w:ascii="Abadi" w:hAnsi="Abadi"/>
          <w:sz w:val="21"/>
          <w:szCs w:val="21"/>
        </w:rPr>
      </w:pPr>
      <w:r w:rsidRPr="00787F80">
        <w:rPr>
          <w:rFonts w:ascii="Abadi" w:hAnsi="Abadi"/>
          <w:sz w:val="21"/>
          <w:szCs w:val="21"/>
        </w:rPr>
        <w:t>-  Otro pódium de inseguridad, durante el año 2021, la corrupción de menores pasó de 22 carpetas por mes a 32 carpetas por mes para dar un total de más de trescientos delitos contra niños, niñas y adolescentes. Mucho por mejorar y poco que presumir en materia de seguridad, señor Gobernador.</w:t>
      </w:r>
    </w:p>
    <w:p w14:paraId="2766727B" w14:textId="77777777" w:rsidR="00940499" w:rsidRPr="00787F80" w:rsidRDefault="00940499" w:rsidP="00787F80">
      <w:pPr>
        <w:jc w:val="both"/>
        <w:rPr>
          <w:rFonts w:ascii="Abadi" w:hAnsi="Abadi"/>
          <w:sz w:val="21"/>
          <w:szCs w:val="21"/>
        </w:rPr>
      </w:pPr>
    </w:p>
    <w:p w14:paraId="57CF5CE2" w14:textId="2042917B" w:rsidR="00787F80" w:rsidRDefault="00787F80" w:rsidP="00787F80">
      <w:pPr>
        <w:jc w:val="both"/>
        <w:rPr>
          <w:rFonts w:ascii="Abadi" w:hAnsi="Abadi"/>
          <w:sz w:val="21"/>
          <w:szCs w:val="21"/>
        </w:rPr>
      </w:pPr>
      <w:r w:rsidRPr="00787F80">
        <w:rPr>
          <w:rFonts w:ascii="Abadi" w:hAnsi="Abadi"/>
          <w:sz w:val="21"/>
          <w:szCs w:val="21"/>
        </w:rPr>
        <w:t xml:space="preserve">- Y en educación tampoco andamos tan bien como se dice, tercer lugar nacional en deserción escolar. Otro pódium. Noveno lugar en rezago educativo con León, Irapuato y Celaya, tienen los primeros lugares del Estado, todos del corredor industrial, ese que les gusta tanto presumir por la inversión. Décimo lugar con mayor tasa de analfabetismo. </w:t>
      </w:r>
    </w:p>
    <w:p w14:paraId="34D3E963" w14:textId="77777777" w:rsidR="00940499" w:rsidRPr="00787F80" w:rsidRDefault="00940499" w:rsidP="00787F80">
      <w:pPr>
        <w:jc w:val="both"/>
        <w:rPr>
          <w:rFonts w:ascii="Abadi" w:hAnsi="Abadi"/>
          <w:sz w:val="21"/>
          <w:szCs w:val="21"/>
        </w:rPr>
      </w:pPr>
    </w:p>
    <w:p w14:paraId="492B291C" w14:textId="40AD3C4D" w:rsidR="00787F80" w:rsidRDefault="00787F80" w:rsidP="00787F80">
      <w:pPr>
        <w:jc w:val="both"/>
        <w:rPr>
          <w:rFonts w:ascii="Abadi" w:hAnsi="Abadi"/>
          <w:sz w:val="21"/>
          <w:szCs w:val="21"/>
        </w:rPr>
      </w:pPr>
      <w:r w:rsidRPr="00787F80">
        <w:rPr>
          <w:rFonts w:ascii="Abadi" w:hAnsi="Abadi"/>
          <w:sz w:val="21"/>
          <w:szCs w:val="21"/>
        </w:rPr>
        <w:t xml:space="preserve">- Pero como no vamos a estar así en educación, sí. En municipios como Ocampo, Doctor Mora, Cuerámaro y Santa Caterina se invierten menos de dos millones de pesos para infraestructura educativa, mientras que en León, Celaya, Irapuato en conjunto invierte en más de cien millones sin verse reflejados los resultados. El medio ambiente es preocuparte la situación en la que nos encontramos. Muchas, muchas empresas se han instalado, mucha inversión se ha tenido, pero sin ningún tipo de respeto para el Guanajuatense y la salud. </w:t>
      </w:r>
    </w:p>
    <w:p w14:paraId="50EF3ECC" w14:textId="77777777" w:rsidR="00940499" w:rsidRPr="00787F80" w:rsidRDefault="00940499" w:rsidP="00787F80">
      <w:pPr>
        <w:jc w:val="both"/>
        <w:rPr>
          <w:rFonts w:ascii="Abadi" w:hAnsi="Abadi"/>
          <w:sz w:val="21"/>
          <w:szCs w:val="21"/>
        </w:rPr>
      </w:pPr>
    </w:p>
    <w:p w14:paraId="17D4FD4D" w14:textId="0548F660" w:rsidR="00787F80" w:rsidRDefault="00787F80" w:rsidP="00787F80">
      <w:pPr>
        <w:jc w:val="both"/>
        <w:rPr>
          <w:rFonts w:ascii="Abadi" w:hAnsi="Abadi"/>
          <w:sz w:val="21"/>
          <w:szCs w:val="21"/>
        </w:rPr>
      </w:pPr>
      <w:r w:rsidRPr="00787F80">
        <w:rPr>
          <w:rFonts w:ascii="Abadi" w:hAnsi="Abadi"/>
          <w:sz w:val="21"/>
          <w:szCs w:val="21"/>
        </w:rPr>
        <w:t xml:space="preserve">- Guanajuato en el 2021. tuvo las tres ciudades más contaminadas de México, el COHAIRE no está funcionando. La misma Secretaría de Medio Ambiente del Estado desde el año dos mil diecinueve mencionó con los cuarenta y seis municipios estaban en estado crítico por su alto nivel de contaminación y al 2021, solo nueve, si sólo de municipios cuentan con los rellenos sanitarios, con las especificaciones, métodos e ingeniería requeridos. </w:t>
      </w:r>
    </w:p>
    <w:p w14:paraId="61063C8D" w14:textId="04425338" w:rsidR="00787F80" w:rsidRDefault="00787F80" w:rsidP="00787F80">
      <w:pPr>
        <w:jc w:val="both"/>
        <w:rPr>
          <w:rFonts w:ascii="Abadi" w:hAnsi="Abadi"/>
          <w:sz w:val="21"/>
          <w:szCs w:val="21"/>
        </w:rPr>
      </w:pPr>
      <w:r w:rsidRPr="00787F80">
        <w:rPr>
          <w:rFonts w:ascii="Abadi" w:hAnsi="Abadi"/>
          <w:sz w:val="21"/>
          <w:szCs w:val="21"/>
        </w:rPr>
        <w:t xml:space="preserve">- Es decir, el ochenta por ciento de los residuos sólidos domésticos, basura o industriales no cuentan con las especificaciones, no tienen métodos e ingeniería requeridos. </w:t>
      </w:r>
    </w:p>
    <w:p w14:paraId="7F7F494E" w14:textId="77777777" w:rsidR="00940499" w:rsidRPr="00787F80" w:rsidRDefault="00940499" w:rsidP="00787F80">
      <w:pPr>
        <w:jc w:val="both"/>
        <w:rPr>
          <w:rFonts w:ascii="Abadi" w:hAnsi="Abadi"/>
          <w:sz w:val="21"/>
          <w:szCs w:val="21"/>
        </w:rPr>
      </w:pPr>
    </w:p>
    <w:p w14:paraId="474DD54C" w14:textId="512C3DDB" w:rsidR="00787F80" w:rsidRDefault="00787F80" w:rsidP="00787F80">
      <w:pPr>
        <w:jc w:val="both"/>
        <w:rPr>
          <w:rFonts w:ascii="Abadi" w:hAnsi="Abadi"/>
          <w:sz w:val="21"/>
          <w:szCs w:val="21"/>
        </w:rPr>
      </w:pPr>
      <w:r w:rsidRPr="00787F80">
        <w:rPr>
          <w:rFonts w:ascii="Abadi" w:hAnsi="Abadi"/>
          <w:sz w:val="21"/>
          <w:szCs w:val="21"/>
        </w:rPr>
        <w:t xml:space="preserve">- Eso solamente ahí se queda como un dato más que nos da la misma Secretaría de Medio Ambiente. </w:t>
      </w:r>
    </w:p>
    <w:p w14:paraId="294DD29A" w14:textId="77777777" w:rsidR="00940499" w:rsidRPr="00787F80" w:rsidRDefault="00940499" w:rsidP="00787F80">
      <w:pPr>
        <w:jc w:val="both"/>
        <w:rPr>
          <w:rFonts w:ascii="Abadi" w:hAnsi="Abadi"/>
          <w:sz w:val="21"/>
          <w:szCs w:val="21"/>
        </w:rPr>
      </w:pPr>
    </w:p>
    <w:p w14:paraId="0FFCA9EA" w14:textId="299521D5" w:rsidR="00787F80" w:rsidRDefault="00787F80" w:rsidP="00787F80">
      <w:pPr>
        <w:jc w:val="both"/>
        <w:rPr>
          <w:rFonts w:ascii="Abadi" w:hAnsi="Abadi"/>
          <w:sz w:val="21"/>
          <w:szCs w:val="21"/>
        </w:rPr>
      </w:pPr>
      <w:r w:rsidRPr="00787F80">
        <w:rPr>
          <w:rFonts w:ascii="Abadi" w:hAnsi="Abadi"/>
          <w:sz w:val="21"/>
          <w:szCs w:val="21"/>
        </w:rPr>
        <w:t xml:space="preserve">- Es preocupante y urgente atender el tema de la contaminación en ríos, lagunas, presas, sierras y, por supuesto, el aire en Guanajuato. </w:t>
      </w:r>
    </w:p>
    <w:p w14:paraId="593FB195" w14:textId="77777777" w:rsidR="00940499" w:rsidRPr="00787F80" w:rsidRDefault="00940499" w:rsidP="00787F80">
      <w:pPr>
        <w:jc w:val="both"/>
        <w:rPr>
          <w:rFonts w:ascii="Abadi" w:hAnsi="Abadi"/>
          <w:sz w:val="21"/>
          <w:szCs w:val="21"/>
        </w:rPr>
      </w:pPr>
    </w:p>
    <w:p w14:paraId="6B0F3FA9" w14:textId="7B8C8CB9" w:rsidR="00787F80" w:rsidRDefault="00787F80" w:rsidP="00787F80">
      <w:pPr>
        <w:jc w:val="both"/>
        <w:rPr>
          <w:rFonts w:ascii="Abadi" w:hAnsi="Abadi"/>
          <w:sz w:val="21"/>
          <w:szCs w:val="21"/>
        </w:rPr>
      </w:pPr>
      <w:r w:rsidRPr="00787F80">
        <w:rPr>
          <w:rFonts w:ascii="Abadi" w:hAnsi="Abadi"/>
          <w:sz w:val="21"/>
          <w:szCs w:val="21"/>
        </w:rPr>
        <w:t xml:space="preserve">- Las políticas públicas que han estado implementando el desarrollo social, el Gobierno del Estado de Guanajuato han fallado y no han abonado en lo más mismo a los guanajuatenses que más lo necesitan. Y no hablaré de los millones y millones que se gastan en intentar mejorar la calidad de vida de los ciudadanos. Hablaremos de datos que demuestran que no funcionan, impulso, ni impulso dos punto cero, ni el número de impulso que le quieren poner. ¿Por qué? simplemente porque no se tiene el conocimiento real de lo que la población está necesitando de lo que la a la ciudadanía realmente le duele. </w:t>
      </w:r>
    </w:p>
    <w:p w14:paraId="59FF8F1D" w14:textId="77777777" w:rsidR="00940499" w:rsidRPr="00787F80" w:rsidRDefault="00940499" w:rsidP="00787F80">
      <w:pPr>
        <w:jc w:val="both"/>
        <w:rPr>
          <w:rFonts w:ascii="Abadi" w:hAnsi="Abadi"/>
          <w:sz w:val="21"/>
          <w:szCs w:val="21"/>
        </w:rPr>
      </w:pPr>
    </w:p>
    <w:p w14:paraId="430A2570" w14:textId="3C2239C1" w:rsidR="00787F80" w:rsidRDefault="00787F80" w:rsidP="00787F80">
      <w:pPr>
        <w:jc w:val="both"/>
        <w:rPr>
          <w:rFonts w:ascii="Abadi" w:hAnsi="Abadi"/>
          <w:sz w:val="21"/>
          <w:szCs w:val="21"/>
        </w:rPr>
      </w:pPr>
      <w:r w:rsidRPr="00787F80">
        <w:rPr>
          <w:rFonts w:ascii="Abadi" w:hAnsi="Abadi"/>
          <w:sz w:val="21"/>
          <w:szCs w:val="21"/>
        </w:rPr>
        <w:t xml:space="preserve">- Han estado siempre tan enfocados en beneficiarse ellos y a las empresas, y atraer a traer cada vez más. Y al tratar de seguir atrayendo cada vez más empresas, se les olvidó que no todo es poder y dinero. Repito mucha inversión en Celaya, Irapuato, Silao, León ¡bien! pero la pobreza crece y crece cada año, lo que indica que esa inversión no abona al combate, la pobreza, los programas que simplemente no van bien desarrollados implementados en el censo 2020 del INEGI se estableció que el Estado cuenta con una población de 6,666,934 personas, colocándolos en el sexto lugar a nivel nacional. </w:t>
      </w:r>
    </w:p>
    <w:p w14:paraId="080E8260" w14:textId="77777777" w:rsidR="00940499" w:rsidRPr="00787F80" w:rsidRDefault="00940499" w:rsidP="00787F80">
      <w:pPr>
        <w:jc w:val="both"/>
        <w:rPr>
          <w:rFonts w:ascii="Abadi" w:hAnsi="Abadi"/>
          <w:sz w:val="21"/>
          <w:szCs w:val="21"/>
        </w:rPr>
      </w:pPr>
    </w:p>
    <w:p w14:paraId="774B1B04" w14:textId="2FAC4783" w:rsidR="00787F80" w:rsidRDefault="00787F80" w:rsidP="00787F80">
      <w:pPr>
        <w:jc w:val="both"/>
        <w:rPr>
          <w:rFonts w:ascii="Abadi" w:hAnsi="Abadi"/>
          <w:sz w:val="21"/>
          <w:szCs w:val="21"/>
        </w:rPr>
      </w:pPr>
      <w:r w:rsidRPr="00787F80">
        <w:rPr>
          <w:rFonts w:ascii="Abadi" w:hAnsi="Abadi"/>
          <w:sz w:val="21"/>
          <w:szCs w:val="21"/>
        </w:rPr>
        <w:t>- El año pasado, 2021 el entonces Secretario de Desarrollo Social y Humano del Estado, declaró que había más de 2.500.000 Estado, que representaba el cuarenta y cuatro por ciento de la población. prácticamente la mitad del Estado lo conforma familias pobres, y el cincuenta y cinco por ciento de las de las personas de pobreza viven curiosamente, en los municipios de corredor industrial, León se convirtió en la ciudad con más pobres a nivel nacional, con más de ochocientos mil ciudadanos en esta lamentable situación, 30 años de gobierno panista a nivel estatal y para los ciudadanos guanajuatenses han atraído horarios mal pagados con horarios agotadores y pobreza.</w:t>
      </w:r>
    </w:p>
    <w:p w14:paraId="7F402DA0" w14:textId="77777777" w:rsidR="00940499" w:rsidRPr="00787F80" w:rsidRDefault="00940499" w:rsidP="00787F80">
      <w:pPr>
        <w:jc w:val="both"/>
        <w:rPr>
          <w:rFonts w:ascii="Abadi" w:hAnsi="Abadi"/>
          <w:sz w:val="21"/>
          <w:szCs w:val="21"/>
        </w:rPr>
      </w:pPr>
    </w:p>
    <w:p w14:paraId="175866C9" w14:textId="5C234670" w:rsidR="00787F80" w:rsidRDefault="00787F80" w:rsidP="00787F80">
      <w:pPr>
        <w:jc w:val="both"/>
        <w:rPr>
          <w:rFonts w:ascii="Abadi" w:hAnsi="Abadi"/>
          <w:sz w:val="21"/>
          <w:szCs w:val="21"/>
        </w:rPr>
      </w:pPr>
      <w:r w:rsidRPr="00787F80">
        <w:rPr>
          <w:rFonts w:ascii="Abadi" w:hAnsi="Abadi"/>
          <w:sz w:val="21"/>
          <w:szCs w:val="21"/>
        </w:rPr>
        <w:t xml:space="preserve">- Seamos más honestos, dineros para unas cuantas carencias para los demás. </w:t>
      </w:r>
    </w:p>
    <w:p w14:paraId="50522581" w14:textId="77777777" w:rsidR="00940499" w:rsidRPr="00787F80" w:rsidRDefault="00940499" w:rsidP="00787F80">
      <w:pPr>
        <w:jc w:val="both"/>
        <w:rPr>
          <w:rFonts w:ascii="Abadi" w:hAnsi="Abadi"/>
          <w:sz w:val="21"/>
          <w:szCs w:val="21"/>
        </w:rPr>
      </w:pPr>
    </w:p>
    <w:p w14:paraId="356BEA16" w14:textId="7A75B880" w:rsidR="00787F80" w:rsidRDefault="00787F80" w:rsidP="00787F80">
      <w:pPr>
        <w:jc w:val="both"/>
        <w:rPr>
          <w:rFonts w:ascii="Abadi" w:hAnsi="Abadi"/>
          <w:sz w:val="21"/>
          <w:szCs w:val="21"/>
        </w:rPr>
      </w:pPr>
      <w:r w:rsidRPr="00787F80">
        <w:rPr>
          <w:rFonts w:ascii="Abadi" w:hAnsi="Abadi"/>
          <w:sz w:val="21"/>
          <w:szCs w:val="21"/>
        </w:rPr>
        <w:t xml:space="preserve">- Y como bien lo dijeron en esta tribuna, el gasto debe de ser transparente y funcional, pero no sólo de los municipios, también el Gobierno del Estado, porque escuchamos que dijeron que recibieron millones de la Federación, lo cual es falso, el dinero llega a Guanajuato, que no recibieron ¡perdón! el recurso de la Federación, lo cual es falso. Rectifico ¿no? lo cual es falso, si ha llegado, ha llegado Guanajuato, pero nada más que hay un detalle. Lo que se molesta o no les agrada es que como llega directamente en los programas, ya no se les puede dar el zarpazo de León y rasurar esos presupuestos. </w:t>
      </w:r>
    </w:p>
    <w:p w14:paraId="11340342" w14:textId="77777777" w:rsidR="00940499" w:rsidRPr="00787F80" w:rsidRDefault="00940499" w:rsidP="00787F80">
      <w:pPr>
        <w:jc w:val="both"/>
        <w:rPr>
          <w:rFonts w:ascii="Abadi" w:hAnsi="Abadi"/>
          <w:sz w:val="21"/>
          <w:szCs w:val="21"/>
        </w:rPr>
      </w:pPr>
    </w:p>
    <w:p w14:paraId="08002942" w14:textId="0260E69E" w:rsidR="00787F80" w:rsidRDefault="00787F80" w:rsidP="00787F80">
      <w:pPr>
        <w:jc w:val="both"/>
        <w:rPr>
          <w:rFonts w:ascii="Abadi" w:hAnsi="Abadi"/>
          <w:sz w:val="21"/>
          <w:szCs w:val="21"/>
        </w:rPr>
      </w:pPr>
      <w:r w:rsidRPr="00787F80">
        <w:rPr>
          <w:rFonts w:ascii="Abadi" w:hAnsi="Abadi"/>
          <w:sz w:val="21"/>
          <w:szCs w:val="21"/>
        </w:rPr>
        <w:t xml:space="preserve">- Pero, sin embargo, si se gastan más de quinientos o casi quinientos millones de personas en comunicación social y nadie dice nada. Nueve millones para una oficina en México y nadie se queja o le dan tres millones, a una fiscalía carente de resultados o por qué no darle ochenta y cinco millones al secretario particular del Gobernador. Setenta millones, setenta millones a TV4 y cuarenta y cinco millones a la Procuraduría Ambiental y al mismo tiempo tender un subejercicio de cinco mil millones de pesos. Y aun así se </w:t>
      </w:r>
      <w:r w:rsidR="00940499" w:rsidRPr="00787F80">
        <w:rPr>
          <w:rFonts w:ascii="Abadi" w:hAnsi="Abadi"/>
          <w:sz w:val="21"/>
          <w:szCs w:val="21"/>
        </w:rPr>
        <w:t>les</w:t>
      </w:r>
      <w:r w:rsidRPr="00787F80">
        <w:rPr>
          <w:rFonts w:ascii="Abadi" w:hAnsi="Abadi"/>
          <w:sz w:val="21"/>
          <w:szCs w:val="21"/>
        </w:rPr>
        <w:t xml:space="preserve"> pide a los municipios que se endeuden. Eso, eso es grandeza para los bolsillos del Gobierno del Estado. </w:t>
      </w:r>
    </w:p>
    <w:p w14:paraId="138AE901" w14:textId="77777777" w:rsidR="00940499" w:rsidRPr="00787F80" w:rsidRDefault="00940499" w:rsidP="00787F80">
      <w:pPr>
        <w:jc w:val="both"/>
        <w:rPr>
          <w:rFonts w:ascii="Abadi" w:hAnsi="Abadi"/>
          <w:sz w:val="21"/>
          <w:szCs w:val="21"/>
        </w:rPr>
      </w:pPr>
    </w:p>
    <w:p w14:paraId="093B8599" w14:textId="70D687E6" w:rsidR="00787F80" w:rsidRPr="00787F80" w:rsidRDefault="0069068F" w:rsidP="00787F80">
      <w:pPr>
        <w:jc w:val="both"/>
        <w:rPr>
          <w:rFonts w:ascii="Abadi" w:hAnsi="Abadi"/>
          <w:sz w:val="21"/>
          <w:szCs w:val="21"/>
        </w:rPr>
      </w:pPr>
      <w:r>
        <w:rPr>
          <w:rFonts w:ascii="Abadi" w:hAnsi="Abadi"/>
          <w:sz w:val="21"/>
          <w:szCs w:val="21"/>
        </w:rPr>
        <w:t xml:space="preserve">- </w:t>
      </w:r>
      <w:r w:rsidR="00787F80" w:rsidRPr="00787F80">
        <w:rPr>
          <w:rFonts w:ascii="Abadi" w:hAnsi="Abadi"/>
          <w:sz w:val="21"/>
          <w:szCs w:val="21"/>
        </w:rPr>
        <w:t xml:space="preserve">Es </w:t>
      </w:r>
      <w:r w:rsidR="00940499" w:rsidRPr="00787F80">
        <w:rPr>
          <w:rFonts w:ascii="Abadi" w:hAnsi="Abadi"/>
          <w:sz w:val="21"/>
          <w:szCs w:val="21"/>
        </w:rPr>
        <w:t>cuánto</w:t>
      </w:r>
      <w:r w:rsidR="00787F80" w:rsidRPr="00787F80">
        <w:rPr>
          <w:rFonts w:ascii="Abadi" w:hAnsi="Abadi"/>
          <w:sz w:val="21"/>
          <w:szCs w:val="21"/>
        </w:rPr>
        <w:t>.</w:t>
      </w:r>
    </w:p>
    <w:p w14:paraId="4B80F009" w14:textId="77777777" w:rsidR="00787F80" w:rsidRPr="00787F80" w:rsidRDefault="00787F80" w:rsidP="00787F80">
      <w:pPr>
        <w:jc w:val="both"/>
        <w:rPr>
          <w:rFonts w:ascii="Abadi" w:hAnsi="Abadi"/>
          <w:sz w:val="21"/>
          <w:szCs w:val="21"/>
        </w:rPr>
      </w:pPr>
      <w:r w:rsidRPr="00787F80">
        <w:rPr>
          <w:rFonts w:ascii="Abadi" w:hAnsi="Abadi"/>
          <w:sz w:val="21"/>
          <w:szCs w:val="21"/>
        </w:rPr>
        <w:t xml:space="preserve"> </w:t>
      </w:r>
    </w:p>
    <w:p w14:paraId="2C855E9D" w14:textId="2C6DC10E" w:rsidR="00787F80" w:rsidRDefault="0069068F" w:rsidP="0069068F">
      <w:pPr>
        <w:ind w:firstLine="708"/>
        <w:jc w:val="both"/>
        <w:rPr>
          <w:rFonts w:ascii="Abadi" w:hAnsi="Abadi"/>
          <w:sz w:val="21"/>
          <w:szCs w:val="21"/>
        </w:rPr>
      </w:pPr>
      <w:r>
        <w:rPr>
          <w:rFonts w:ascii="Abadi" w:hAnsi="Abadi"/>
          <w:b/>
          <w:bCs/>
          <w:sz w:val="21"/>
          <w:szCs w:val="21"/>
        </w:rPr>
        <w:t xml:space="preserve">- </w:t>
      </w:r>
      <w:r w:rsidR="00787F80" w:rsidRPr="00787F80">
        <w:rPr>
          <w:rFonts w:ascii="Abadi" w:hAnsi="Abadi"/>
          <w:b/>
          <w:bCs/>
          <w:sz w:val="21"/>
          <w:szCs w:val="21"/>
        </w:rPr>
        <w:t xml:space="preserve">La Presidenta.- </w:t>
      </w:r>
      <w:r w:rsidR="00787F80" w:rsidRPr="00787F80">
        <w:rPr>
          <w:rFonts w:ascii="Abadi" w:hAnsi="Abadi"/>
          <w:sz w:val="21"/>
          <w:szCs w:val="21"/>
        </w:rPr>
        <w:t>Diputada Presidenta, diputada Cristina ¿para qué efecto? (Voz) diputada Cristina, muchas gracias diputada Presidenta, para rectificación de hechos (Voz) diputada Presidenta ¿qué hechos diputada? (Voz) diputada Cristina, datos sobre el informe. (Voz) diputada Presidenta.</w:t>
      </w:r>
    </w:p>
    <w:p w14:paraId="138B829B" w14:textId="65A45FEC" w:rsidR="00787F80" w:rsidRDefault="00477D6C" w:rsidP="00477D6C">
      <w:pPr>
        <w:ind w:firstLine="708"/>
        <w:jc w:val="both"/>
        <w:rPr>
          <w:rFonts w:ascii="Abadi" w:hAnsi="Abadi"/>
          <w:sz w:val="21"/>
          <w:szCs w:val="21"/>
        </w:rPr>
      </w:pPr>
      <w:r>
        <w:rPr>
          <w:rFonts w:ascii="Abadi" w:hAnsi="Abadi"/>
          <w:sz w:val="21"/>
          <w:szCs w:val="21"/>
        </w:rPr>
        <w:t xml:space="preserve">- </w:t>
      </w:r>
      <w:r w:rsidR="00787F80" w:rsidRPr="00787F80">
        <w:rPr>
          <w:rFonts w:ascii="Abadi" w:hAnsi="Abadi"/>
          <w:sz w:val="21"/>
          <w:szCs w:val="21"/>
        </w:rPr>
        <w:t>Adelante, diputada</w:t>
      </w:r>
      <w:r w:rsidR="0069068F">
        <w:rPr>
          <w:rFonts w:ascii="Abadi" w:hAnsi="Abadi"/>
          <w:sz w:val="21"/>
          <w:szCs w:val="21"/>
        </w:rPr>
        <w:t>.</w:t>
      </w:r>
    </w:p>
    <w:p w14:paraId="020263BB" w14:textId="77777777" w:rsidR="0069068F" w:rsidRPr="00787F80" w:rsidRDefault="0069068F" w:rsidP="00787F80">
      <w:pPr>
        <w:jc w:val="both"/>
        <w:rPr>
          <w:rFonts w:ascii="Abadi" w:hAnsi="Abadi"/>
          <w:sz w:val="21"/>
          <w:szCs w:val="21"/>
        </w:rPr>
      </w:pPr>
    </w:p>
    <w:p w14:paraId="6A1E386B" w14:textId="62DC47D1" w:rsidR="00787F80" w:rsidRDefault="00787F80" w:rsidP="00787F80">
      <w:pPr>
        <w:jc w:val="both"/>
        <w:rPr>
          <w:rFonts w:ascii="Abadi" w:hAnsi="Abadi"/>
          <w:b/>
          <w:bCs/>
          <w:sz w:val="21"/>
          <w:szCs w:val="21"/>
        </w:rPr>
      </w:pPr>
      <w:r w:rsidRPr="00787F80">
        <w:rPr>
          <w:rFonts w:ascii="Abadi" w:hAnsi="Abadi"/>
          <w:b/>
          <w:bCs/>
          <w:sz w:val="21"/>
          <w:szCs w:val="21"/>
        </w:rPr>
        <w:t>(Sube a tribuna la diputada Cristina Márquez, para rectificación de hechos del diputado que le antecedió, referente a datos sobre el informe)</w:t>
      </w:r>
    </w:p>
    <w:p w14:paraId="37BC15A3" w14:textId="4596D998" w:rsidR="00926F5F" w:rsidRDefault="00926F5F" w:rsidP="00787F80">
      <w:pPr>
        <w:jc w:val="both"/>
        <w:rPr>
          <w:rFonts w:ascii="Abadi" w:hAnsi="Abadi"/>
          <w:b/>
          <w:bCs/>
          <w:sz w:val="21"/>
          <w:szCs w:val="21"/>
        </w:rPr>
      </w:pPr>
    </w:p>
    <w:p w14:paraId="703C088A" w14:textId="7EDABCAA" w:rsidR="00926F5F" w:rsidRDefault="00926F5F" w:rsidP="00787F80">
      <w:pPr>
        <w:jc w:val="both"/>
        <w:rPr>
          <w:rFonts w:ascii="Abadi" w:hAnsi="Abadi"/>
          <w:b/>
          <w:bCs/>
          <w:sz w:val="21"/>
          <w:szCs w:val="21"/>
        </w:rPr>
      </w:pPr>
      <w:r>
        <w:rPr>
          <w:noProof/>
        </w:rPr>
        <w:drawing>
          <wp:anchor distT="0" distB="0" distL="114300" distR="114300" simplePos="0" relativeHeight="251713536" behindDoc="1" locked="0" layoutInCell="1" allowOverlap="1" wp14:anchorId="4058B270" wp14:editId="0C1F86C5">
            <wp:simplePos x="0" y="0"/>
            <wp:positionH relativeFrom="column">
              <wp:posOffset>307340</wp:posOffset>
            </wp:positionH>
            <wp:positionV relativeFrom="paragraph">
              <wp:posOffset>150495</wp:posOffset>
            </wp:positionV>
            <wp:extent cx="1724025" cy="895370"/>
            <wp:effectExtent l="19050" t="133350" r="0" b="704850"/>
            <wp:wrapTight wrapText="bothSides">
              <wp:wrapPolygon edited="0">
                <wp:start x="11695" y="-3217"/>
                <wp:lineTo x="-239" y="-2298"/>
                <wp:lineTo x="0" y="34468"/>
                <wp:lineTo x="239" y="38145"/>
                <wp:lineTo x="3341" y="38145"/>
                <wp:lineTo x="3580" y="37226"/>
                <wp:lineTo x="20049" y="34468"/>
                <wp:lineTo x="20287" y="5055"/>
                <wp:lineTo x="19810" y="-1838"/>
                <wp:lineTo x="19810" y="-3217"/>
                <wp:lineTo x="11695" y="-3217"/>
              </wp:wrapPolygon>
            </wp:wrapTight>
            <wp:docPr id="135" name="Imagen 135" descr="Imagen que contiene frente, sostener, joven,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magen que contiene frente, sostener, joven, firmar&#10;&#10;Descripción generada automáticamente"/>
                    <pic:cNvPicPr/>
                  </pic:nvPicPr>
                  <pic:blipFill rotWithShape="1">
                    <a:blip r:embed="rId72" cstate="print">
                      <a:extLst>
                        <a:ext uri="{28A0092B-C50C-407E-A947-70E740481C1C}">
                          <a14:useLocalDpi xmlns:a14="http://schemas.microsoft.com/office/drawing/2010/main" val="0"/>
                        </a:ext>
                      </a:extLst>
                    </a:blip>
                    <a:srcRect b="7627"/>
                    <a:stretch/>
                  </pic:blipFill>
                  <pic:spPr bwMode="auto">
                    <a:xfrm>
                      <a:off x="0" y="0"/>
                      <a:ext cx="1724025" cy="895370"/>
                    </a:xfrm>
                    <a:prstGeom prst="rect">
                      <a:avLst/>
                    </a:prstGeom>
                    <a:ln>
                      <a:noFill/>
                    </a:ln>
                    <a:effectLst>
                      <a:outerShdw blurRad="50800" dist="38100" dir="16200000" rotWithShape="0">
                        <a:prstClr val="black">
                          <a:alpha val="40000"/>
                        </a:prstClr>
                      </a:outerShdw>
                      <a:reflection blurRad="6350" stA="50000" endA="300" endPos="55500" dist="1016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a:ext>
                    </a:extLst>
                  </pic:spPr>
                </pic:pic>
              </a:graphicData>
            </a:graphic>
          </wp:anchor>
        </w:drawing>
      </w:r>
    </w:p>
    <w:p w14:paraId="5ED83720" w14:textId="08E340AC" w:rsidR="00926F5F" w:rsidRDefault="00926F5F" w:rsidP="00787F80">
      <w:pPr>
        <w:jc w:val="both"/>
        <w:rPr>
          <w:rFonts w:ascii="Abadi" w:hAnsi="Abadi"/>
          <w:b/>
          <w:bCs/>
          <w:sz w:val="21"/>
          <w:szCs w:val="21"/>
        </w:rPr>
      </w:pPr>
    </w:p>
    <w:p w14:paraId="33E1BEAF" w14:textId="77777777" w:rsidR="00926F5F" w:rsidRDefault="00926F5F" w:rsidP="00787F80">
      <w:pPr>
        <w:jc w:val="both"/>
        <w:rPr>
          <w:rFonts w:ascii="Abadi" w:hAnsi="Abadi"/>
          <w:b/>
          <w:bCs/>
          <w:sz w:val="21"/>
          <w:szCs w:val="21"/>
        </w:rPr>
      </w:pPr>
    </w:p>
    <w:p w14:paraId="6A3AC4FC" w14:textId="403ED292" w:rsidR="00926F5F" w:rsidRDefault="00926F5F" w:rsidP="00787F80">
      <w:pPr>
        <w:jc w:val="both"/>
        <w:rPr>
          <w:rFonts w:ascii="Abadi" w:hAnsi="Abadi"/>
          <w:b/>
          <w:bCs/>
          <w:sz w:val="21"/>
          <w:szCs w:val="21"/>
        </w:rPr>
      </w:pPr>
    </w:p>
    <w:p w14:paraId="47266BB8" w14:textId="54A952CF" w:rsidR="00926F5F" w:rsidRDefault="00926F5F" w:rsidP="00787F80">
      <w:pPr>
        <w:jc w:val="both"/>
        <w:rPr>
          <w:rFonts w:ascii="Abadi" w:hAnsi="Abadi"/>
          <w:b/>
          <w:bCs/>
          <w:sz w:val="21"/>
          <w:szCs w:val="21"/>
        </w:rPr>
      </w:pPr>
    </w:p>
    <w:p w14:paraId="7D65D0F4" w14:textId="2884D46C" w:rsidR="00940499" w:rsidRDefault="00940499" w:rsidP="00787F80">
      <w:pPr>
        <w:jc w:val="both"/>
        <w:rPr>
          <w:rFonts w:ascii="Abadi" w:hAnsi="Abadi"/>
          <w:b/>
          <w:bCs/>
          <w:sz w:val="21"/>
          <w:szCs w:val="21"/>
        </w:rPr>
      </w:pPr>
    </w:p>
    <w:p w14:paraId="0AD60715" w14:textId="79F452B0" w:rsidR="00926F5F" w:rsidRDefault="00926F5F" w:rsidP="00787F80">
      <w:pPr>
        <w:jc w:val="both"/>
        <w:rPr>
          <w:rFonts w:ascii="Abadi" w:hAnsi="Abadi"/>
          <w:b/>
          <w:bCs/>
          <w:sz w:val="21"/>
          <w:szCs w:val="21"/>
        </w:rPr>
      </w:pPr>
    </w:p>
    <w:p w14:paraId="2D151B15" w14:textId="1DBCB2E6" w:rsidR="00926F5F" w:rsidRDefault="00926F5F" w:rsidP="00787F80">
      <w:pPr>
        <w:jc w:val="both"/>
        <w:rPr>
          <w:rFonts w:ascii="Abadi" w:hAnsi="Abadi"/>
          <w:b/>
          <w:bCs/>
          <w:sz w:val="21"/>
          <w:szCs w:val="21"/>
        </w:rPr>
      </w:pPr>
    </w:p>
    <w:p w14:paraId="6B27D2DB" w14:textId="71D10953" w:rsidR="00926F5F" w:rsidRDefault="00926F5F" w:rsidP="00787F80">
      <w:pPr>
        <w:jc w:val="both"/>
        <w:rPr>
          <w:rFonts w:ascii="Abadi" w:hAnsi="Abadi"/>
          <w:b/>
          <w:bCs/>
          <w:sz w:val="21"/>
          <w:szCs w:val="21"/>
        </w:rPr>
      </w:pPr>
    </w:p>
    <w:p w14:paraId="7B5FB966" w14:textId="22586ED3" w:rsidR="00926F5F" w:rsidRDefault="00926F5F" w:rsidP="00787F80">
      <w:pPr>
        <w:jc w:val="both"/>
        <w:rPr>
          <w:rFonts w:ascii="Abadi" w:hAnsi="Abadi"/>
          <w:b/>
          <w:bCs/>
          <w:sz w:val="21"/>
          <w:szCs w:val="21"/>
        </w:rPr>
      </w:pPr>
    </w:p>
    <w:p w14:paraId="35A0565E" w14:textId="631E1316" w:rsidR="00926F5F" w:rsidRDefault="00926F5F" w:rsidP="00787F80">
      <w:pPr>
        <w:jc w:val="both"/>
        <w:rPr>
          <w:rFonts w:ascii="Abadi" w:hAnsi="Abadi"/>
          <w:b/>
          <w:bCs/>
          <w:sz w:val="21"/>
          <w:szCs w:val="21"/>
        </w:rPr>
      </w:pPr>
    </w:p>
    <w:p w14:paraId="13CF2303" w14:textId="77777777" w:rsidR="00926F5F" w:rsidRPr="00787F80" w:rsidRDefault="00926F5F" w:rsidP="00787F80">
      <w:pPr>
        <w:jc w:val="both"/>
        <w:rPr>
          <w:rFonts w:ascii="Abadi" w:hAnsi="Abadi"/>
          <w:b/>
          <w:bCs/>
          <w:sz w:val="21"/>
          <w:szCs w:val="21"/>
        </w:rPr>
      </w:pPr>
    </w:p>
    <w:p w14:paraId="24673EFC" w14:textId="3A68658F" w:rsidR="00787F80" w:rsidRDefault="00940499" w:rsidP="00787F80">
      <w:pPr>
        <w:jc w:val="both"/>
        <w:rPr>
          <w:rFonts w:ascii="Abadi" w:hAnsi="Abadi"/>
          <w:sz w:val="21"/>
          <w:szCs w:val="21"/>
        </w:rPr>
      </w:pPr>
      <w:r>
        <w:rPr>
          <w:rFonts w:ascii="Abadi" w:hAnsi="Abadi"/>
          <w:sz w:val="21"/>
          <w:szCs w:val="21"/>
        </w:rPr>
        <w:t xml:space="preserve">- </w:t>
      </w:r>
      <w:r w:rsidR="00787F80" w:rsidRPr="00787F80">
        <w:rPr>
          <w:rFonts w:ascii="Abadi" w:hAnsi="Abadi"/>
          <w:sz w:val="21"/>
          <w:szCs w:val="21"/>
        </w:rPr>
        <w:t>Muy buenas tardes, no, no voy a decir si es falso, cierto. Simplemente voy a manifestar la sorpresa que me genera el extraordinario trabajo que han hecho con esta prontitud. Ojalá así lo hiciéramos o lo hubiéramos</w:t>
      </w:r>
      <w:r w:rsidR="0069068F">
        <w:rPr>
          <w:rFonts w:ascii="Abadi" w:hAnsi="Abadi"/>
          <w:sz w:val="21"/>
          <w:szCs w:val="21"/>
        </w:rPr>
        <w:t xml:space="preserve"> de</w:t>
      </w:r>
      <w:r w:rsidR="00787F80" w:rsidRPr="00787F80">
        <w:rPr>
          <w:rFonts w:ascii="Abadi" w:hAnsi="Abadi"/>
          <w:sz w:val="21"/>
          <w:szCs w:val="21"/>
        </w:rPr>
        <w:t xml:space="preserve"> hacer, pues reiterada irregularmente en los trabajos de las Comisiones y de este Pleno, la revisión de los dictámenes. </w:t>
      </w:r>
    </w:p>
    <w:p w14:paraId="74488D19" w14:textId="77777777" w:rsidR="00940499" w:rsidRPr="00787F80" w:rsidRDefault="00940499" w:rsidP="00787F80">
      <w:pPr>
        <w:jc w:val="both"/>
        <w:rPr>
          <w:rFonts w:ascii="Abadi" w:hAnsi="Abadi"/>
          <w:sz w:val="21"/>
          <w:szCs w:val="21"/>
        </w:rPr>
      </w:pPr>
    </w:p>
    <w:p w14:paraId="27E8026B" w14:textId="00D622C1" w:rsidR="00787F80" w:rsidRDefault="00940499" w:rsidP="00787F80">
      <w:pPr>
        <w:jc w:val="both"/>
        <w:rPr>
          <w:rFonts w:ascii="Abadi" w:hAnsi="Abadi"/>
          <w:sz w:val="21"/>
          <w:szCs w:val="21"/>
        </w:rPr>
      </w:pPr>
      <w:r>
        <w:rPr>
          <w:rFonts w:ascii="Abadi" w:hAnsi="Abadi"/>
          <w:sz w:val="21"/>
          <w:szCs w:val="21"/>
        </w:rPr>
        <w:t xml:space="preserve">- </w:t>
      </w:r>
      <w:r w:rsidR="00787F80" w:rsidRPr="00787F80">
        <w:rPr>
          <w:rFonts w:ascii="Abadi" w:hAnsi="Abadi"/>
          <w:sz w:val="21"/>
          <w:szCs w:val="21"/>
        </w:rPr>
        <w:t xml:space="preserve">Yo nada más para no adelantarme a los trabajos que vamos a hacer de glosa, no con ellos quiero decir que no hemos visto el documento que se ha presentado en nuestra consideración por parte del Ejecutivo. Algunos datos para ejemplificar la lectura a la que deberíamos estar nos enfocando en torno a estos documentos de estos datos que se presentan. </w:t>
      </w:r>
    </w:p>
    <w:p w14:paraId="5D3D736E" w14:textId="77777777" w:rsidR="00940499" w:rsidRPr="00787F80" w:rsidRDefault="00940499" w:rsidP="00787F80">
      <w:pPr>
        <w:jc w:val="both"/>
        <w:rPr>
          <w:rFonts w:ascii="Abadi" w:hAnsi="Abadi"/>
          <w:sz w:val="21"/>
          <w:szCs w:val="21"/>
        </w:rPr>
      </w:pPr>
    </w:p>
    <w:p w14:paraId="0AB1978B" w14:textId="4A5B003D" w:rsidR="00787F80" w:rsidRDefault="00787F80" w:rsidP="00787F80">
      <w:pPr>
        <w:jc w:val="both"/>
        <w:rPr>
          <w:rFonts w:ascii="Abadi" w:hAnsi="Abadi"/>
          <w:sz w:val="21"/>
          <w:szCs w:val="21"/>
        </w:rPr>
      </w:pPr>
      <w:r w:rsidRPr="00787F80">
        <w:rPr>
          <w:rFonts w:ascii="Abadi" w:hAnsi="Abadi"/>
          <w:sz w:val="21"/>
          <w:szCs w:val="21"/>
        </w:rPr>
        <w:t xml:space="preserve">- Que bueno, que se haga un estudio y un contraste, que bueno que tomemos datos que vienen de la Federación, que tomemos datos de los estudios que se realizan, por ejemplo por instancias como el IMCO y que bueno que eso no sabrá la oportunidad de desarrollar las acciones, el discurso de manera propositiva por el bien de Guanajuato. No queremos nosotros que esto se convierte en una politiquería barata, como hemos visto que sucede en otras ocasiones. Pero si tenemos que saber cómo darle el enfoque a lo que nosotros estamos recibiendo como legislativo y un tema muy importante para mí en este momento quiero dejarlo, dejarlo desde esta tribuna es el tema de la extorsión. Evidentemente, ha habido un incremento extraordinario y no es algo que nos encanta, pero reconocemos que se debe a las acciones que han derivado de este Poder Legislativo, porque se ha mejorado la redacción del tipo penal de la extorsión y se incentivado entonces la denuncia de este tipo penal. </w:t>
      </w:r>
    </w:p>
    <w:p w14:paraId="2024FC6E" w14:textId="77777777" w:rsidR="00940499" w:rsidRPr="00787F80" w:rsidRDefault="00940499" w:rsidP="00787F80">
      <w:pPr>
        <w:jc w:val="both"/>
        <w:rPr>
          <w:rFonts w:ascii="Abadi" w:hAnsi="Abadi"/>
          <w:sz w:val="21"/>
          <w:szCs w:val="21"/>
        </w:rPr>
      </w:pPr>
    </w:p>
    <w:p w14:paraId="5A0F6CB6" w14:textId="45F4BA63" w:rsidR="00787F80" w:rsidRDefault="00787F80" w:rsidP="00787F80">
      <w:pPr>
        <w:jc w:val="both"/>
        <w:rPr>
          <w:rFonts w:ascii="Abadi" w:hAnsi="Abadi"/>
          <w:sz w:val="21"/>
          <w:szCs w:val="21"/>
        </w:rPr>
      </w:pPr>
      <w:r w:rsidRPr="00787F80">
        <w:rPr>
          <w:rFonts w:ascii="Abadi" w:hAnsi="Abadi"/>
          <w:sz w:val="21"/>
          <w:szCs w:val="21"/>
        </w:rPr>
        <w:t xml:space="preserve">- Y también se han abierto carpetas de investigación y se están haciendo las investigaciones necesarias para llevarlo a cabo. Entonces, mil seiscientos por ciento arriba sí, pero desde este legislativo se perfeccionó el tipo penal para que pudiera darse el seguimiento debido y la atención a las víctimas este tremendo delito aquí lo aprobamos hace algunas semanas. </w:t>
      </w:r>
    </w:p>
    <w:p w14:paraId="589F4B2B" w14:textId="77777777" w:rsidR="00940499" w:rsidRPr="00787F80" w:rsidRDefault="00940499" w:rsidP="00787F80">
      <w:pPr>
        <w:jc w:val="both"/>
        <w:rPr>
          <w:rFonts w:ascii="Abadi" w:hAnsi="Abadi"/>
          <w:sz w:val="21"/>
          <w:szCs w:val="21"/>
        </w:rPr>
      </w:pPr>
    </w:p>
    <w:p w14:paraId="1CCA6B52" w14:textId="72139D57" w:rsidR="00787F80" w:rsidRDefault="00787F80" w:rsidP="00787F80">
      <w:pPr>
        <w:jc w:val="both"/>
        <w:rPr>
          <w:rFonts w:ascii="Abadi" w:hAnsi="Abadi"/>
          <w:sz w:val="21"/>
          <w:szCs w:val="21"/>
        </w:rPr>
      </w:pPr>
      <w:r w:rsidRPr="00787F80">
        <w:rPr>
          <w:rFonts w:ascii="Abadi" w:hAnsi="Abadi"/>
          <w:sz w:val="21"/>
          <w:szCs w:val="21"/>
        </w:rPr>
        <w:t xml:space="preserve">- Entonces cuando el tipo penal no funcionaba porque estaba quedado porque no se había tocado, pues no había denuncia porque no había delito que perseguir. Ahora estamos viendo el resultado de una acción legislativa contundente. Qué bueno que veamos esos datos, que bueno también que podamos darnos cuenta de que tenemos áreas de oportunidad. Tenemos un rezago importante en materia educativa. Por supuesto que es así, pero también tenemos otros retos que nos tienen que ayudar a mitigarlo. </w:t>
      </w:r>
    </w:p>
    <w:p w14:paraId="758801F2" w14:textId="77777777" w:rsidR="00940499" w:rsidRPr="00787F80" w:rsidRDefault="00940499" w:rsidP="00787F80">
      <w:pPr>
        <w:jc w:val="both"/>
        <w:rPr>
          <w:rFonts w:ascii="Abadi" w:hAnsi="Abadi"/>
          <w:sz w:val="21"/>
          <w:szCs w:val="21"/>
        </w:rPr>
      </w:pPr>
    </w:p>
    <w:p w14:paraId="1C83DD2B" w14:textId="7DBF9E1E" w:rsidR="00787F80" w:rsidRDefault="00787F80" w:rsidP="00787F80">
      <w:pPr>
        <w:jc w:val="both"/>
        <w:rPr>
          <w:rFonts w:ascii="Abadi" w:hAnsi="Abadi"/>
          <w:sz w:val="21"/>
          <w:szCs w:val="21"/>
        </w:rPr>
      </w:pPr>
      <w:r w:rsidRPr="00787F80">
        <w:rPr>
          <w:rFonts w:ascii="Abadi" w:hAnsi="Abadi"/>
          <w:sz w:val="21"/>
          <w:szCs w:val="21"/>
        </w:rPr>
        <w:t xml:space="preserve">- No podemos hablar del rezago sin referirnos a los recursos para infraestructuras, a las mejores condiciones para los maestros. </w:t>
      </w:r>
    </w:p>
    <w:p w14:paraId="3B21D2D2" w14:textId="77777777" w:rsidR="00940499" w:rsidRPr="00787F80" w:rsidRDefault="00940499" w:rsidP="00787F80">
      <w:pPr>
        <w:jc w:val="both"/>
        <w:rPr>
          <w:rFonts w:ascii="Abadi" w:hAnsi="Abadi"/>
          <w:sz w:val="21"/>
          <w:szCs w:val="21"/>
        </w:rPr>
      </w:pPr>
    </w:p>
    <w:p w14:paraId="09C86CD4" w14:textId="1BA187C0" w:rsidR="00787F80" w:rsidRDefault="00787F80" w:rsidP="00787F80">
      <w:pPr>
        <w:jc w:val="both"/>
        <w:rPr>
          <w:rFonts w:ascii="Abadi" w:hAnsi="Abadi"/>
          <w:sz w:val="21"/>
          <w:szCs w:val="21"/>
        </w:rPr>
      </w:pPr>
      <w:r w:rsidRPr="00787F80">
        <w:rPr>
          <w:rFonts w:ascii="Abadi" w:hAnsi="Abadi"/>
          <w:sz w:val="21"/>
          <w:szCs w:val="21"/>
        </w:rPr>
        <w:t>- No podemos hablar del rezago educativo sin poner el dedo en el tema de la evaluación, también porque es importante y ustedes lo han dicho todos lo sabemos y lo dijimos reiteradamente. Lo que no se mide, lo que no se va, el bueno se puede mejorar.</w:t>
      </w:r>
    </w:p>
    <w:p w14:paraId="1EE192D7" w14:textId="77777777" w:rsidR="00940499" w:rsidRPr="00787F80" w:rsidRDefault="00940499" w:rsidP="00787F80">
      <w:pPr>
        <w:jc w:val="both"/>
        <w:rPr>
          <w:rFonts w:ascii="Abadi" w:hAnsi="Abadi"/>
          <w:sz w:val="21"/>
          <w:szCs w:val="21"/>
        </w:rPr>
      </w:pPr>
    </w:p>
    <w:p w14:paraId="6903A8F3" w14:textId="4ECAFD86" w:rsidR="00787F80" w:rsidRDefault="00787F80" w:rsidP="00787F80">
      <w:pPr>
        <w:jc w:val="both"/>
        <w:rPr>
          <w:rFonts w:ascii="Abadi" w:hAnsi="Abadi"/>
          <w:sz w:val="21"/>
          <w:szCs w:val="21"/>
        </w:rPr>
      </w:pPr>
      <w:r w:rsidRPr="00787F80">
        <w:rPr>
          <w:rFonts w:ascii="Abadi" w:hAnsi="Abadi"/>
          <w:sz w:val="21"/>
          <w:szCs w:val="21"/>
        </w:rPr>
        <w:t xml:space="preserve">- Y aquí hemos ido dando pasos atrás, no aquí en el Congreso, digo allá en la Federación de los que son los rectores de las políticas, como lo es salud y como lo es también educación. </w:t>
      </w:r>
    </w:p>
    <w:p w14:paraId="5C6CD917" w14:textId="77777777" w:rsidR="00940499" w:rsidRPr="00787F80" w:rsidRDefault="00940499" w:rsidP="00787F80">
      <w:pPr>
        <w:jc w:val="both"/>
        <w:rPr>
          <w:rFonts w:ascii="Abadi" w:hAnsi="Abadi"/>
          <w:sz w:val="21"/>
          <w:szCs w:val="21"/>
        </w:rPr>
      </w:pPr>
    </w:p>
    <w:p w14:paraId="4C756B5C" w14:textId="56D13845" w:rsidR="00787F80" w:rsidRDefault="00787F80" w:rsidP="00787F80">
      <w:pPr>
        <w:jc w:val="both"/>
        <w:rPr>
          <w:rFonts w:ascii="Abadi" w:hAnsi="Abadi"/>
          <w:sz w:val="21"/>
          <w:szCs w:val="21"/>
        </w:rPr>
      </w:pPr>
      <w:r w:rsidRPr="00787F80">
        <w:rPr>
          <w:rFonts w:ascii="Abadi" w:hAnsi="Abadi"/>
          <w:sz w:val="21"/>
          <w:szCs w:val="21"/>
        </w:rPr>
        <w:t xml:space="preserve">- Y tenemos, porque no tocamos el tema de salud bueno, pues porque eso estás muy bien hecho. aquí en Guanajuato, también tenemos que reconocer lo que se hace bien, que bueno, que bueno que veamos qué grata sorpresa, un trabajo previo. </w:t>
      </w:r>
    </w:p>
    <w:p w14:paraId="3368A501" w14:textId="3A773A9D" w:rsidR="00940499" w:rsidRPr="00787F80" w:rsidRDefault="00940499" w:rsidP="00787F80">
      <w:pPr>
        <w:jc w:val="both"/>
        <w:rPr>
          <w:rFonts w:ascii="Abadi" w:hAnsi="Abadi"/>
          <w:sz w:val="21"/>
          <w:szCs w:val="21"/>
        </w:rPr>
      </w:pPr>
    </w:p>
    <w:p w14:paraId="4FA496A4" w14:textId="508EED75" w:rsidR="00787F80" w:rsidRDefault="00787F80" w:rsidP="00787F80">
      <w:pPr>
        <w:jc w:val="both"/>
        <w:rPr>
          <w:rFonts w:ascii="Abadi" w:hAnsi="Abadi"/>
          <w:sz w:val="21"/>
          <w:szCs w:val="21"/>
        </w:rPr>
      </w:pPr>
      <w:r w:rsidRPr="00787F80">
        <w:rPr>
          <w:rFonts w:ascii="Abadi" w:hAnsi="Abadi"/>
          <w:sz w:val="21"/>
          <w:szCs w:val="21"/>
        </w:rPr>
        <w:t xml:space="preserve">- Esperemos ver también las propuestas y los mecanismos de seguimiento para poder mejorar las cosas. </w:t>
      </w:r>
    </w:p>
    <w:p w14:paraId="16387008" w14:textId="77777777" w:rsidR="00940499" w:rsidRPr="00787F80" w:rsidRDefault="00940499" w:rsidP="00787F80">
      <w:pPr>
        <w:jc w:val="both"/>
        <w:rPr>
          <w:rFonts w:ascii="Abadi" w:hAnsi="Abadi"/>
          <w:sz w:val="21"/>
          <w:szCs w:val="21"/>
        </w:rPr>
      </w:pPr>
    </w:p>
    <w:p w14:paraId="7833F2D5" w14:textId="0E2EA42C" w:rsidR="00787F80" w:rsidRDefault="00787F80" w:rsidP="00787F80">
      <w:pPr>
        <w:jc w:val="both"/>
        <w:rPr>
          <w:rFonts w:ascii="Abadi" w:hAnsi="Abadi"/>
          <w:sz w:val="21"/>
          <w:szCs w:val="21"/>
        </w:rPr>
      </w:pPr>
      <w:r w:rsidRPr="00787F80">
        <w:rPr>
          <w:rFonts w:ascii="Abadi" w:hAnsi="Abadi"/>
          <w:sz w:val="21"/>
          <w:szCs w:val="21"/>
        </w:rPr>
        <w:t xml:space="preserve">- Los puntos de coincidencia son los que van a hacer que este congreso y que este Estado avancen. Y lo mismo para la Federación. Todo lo que le abona el crecimiento y el desarrollo de nuestro país será apoyado y avalado por los diputados de Acción Nacional. Y espero que por este congreso también y todo lo que no debe ser señalado, pero con un efecto propositivo para construir juntos. </w:t>
      </w:r>
    </w:p>
    <w:p w14:paraId="2E5CE77B" w14:textId="77777777" w:rsidR="00940499" w:rsidRPr="00787F80" w:rsidRDefault="00940499" w:rsidP="00787F80">
      <w:pPr>
        <w:jc w:val="both"/>
        <w:rPr>
          <w:rFonts w:ascii="Abadi" w:hAnsi="Abadi"/>
          <w:sz w:val="21"/>
          <w:szCs w:val="21"/>
        </w:rPr>
      </w:pPr>
    </w:p>
    <w:p w14:paraId="7BF7CCBD" w14:textId="57093C97" w:rsidR="00787F80" w:rsidRDefault="00940499" w:rsidP="00940499">
      <w:pPr>
        <w:ind w:firstLine="708"/>
        <w:jc w:val="both"/>
        <w:rPr>
          <w:rFonts w:ascii="Abadi" w:hAnsi="Abadi"/>
          <w:sz w:val="21"/>
          <w:szCs w:val="21"/>
        </w:rPr>
      </w:pPr>
      <w:r>
        <w:rPr>
          <w:rFonts w:ascii="Abadi" w:hAnsi="Abadi"/>
          <w:b/>
          <w:bCs/>
          <w:sz w:val="21"/>
          <w:szCs w:val="21"/>
        </w:rPr>
        <w:t xml:space="preserve">- </w:t>
      </w:r>
      <w:r w:rsidR="00787F80" w:rsidRPr="00787F80">
        <w:rPr>
          <w:rFonts w:ascii="Abadi" w:hAnsi="Abadi"/>
          <w:b/>
          <w:bCs/>
          <w:sz w:val="21"/>
          <w:szCs w:val="21"/>
        </w:rPr>
        <w:t>La Presidencia.-</w:t>
      </w:r>
      <w:r w:rsidR="00787F80" w:rsidRPr="00787F80">
        <w:rPr>
          <w:rFonts w:ascii="Abadi" w:hAnsi="Abadi"/>
          <w:sz w:val="21"/>
          <w:szCs w:val="21"/>
        </w:rPr>
        <w:t xml:space="preserve"> Gracias, diputada. </w:t>
      </w:r>
    </w:p>
    <w:p w14:paraId="6C765622" w14:textId="13F57C1D" w:rsidR="00787F80" w:rsidRDefault="00940499" w:rsidP="00940499">
      <w:pPr>
        <w:ind w:firstLine="708"/>
        <w:jc w:val="both"/>
        <w:rPr>
          <w:rFonts w:ascii="Abadi" w:hAnsi="Abadi"/>
          <w:sz w:val="21"/>
          <w:szCs w:val="21"/>
        </w:rPr>
      </w:pPr>
      <w:r>
        <w:rPr>
          <w:rFonts w:ascii="Abadi" w:hAnsi="Abadi"/>
          <w:b/>
          <w:bCs/>
          <w:sz w:val="21"/>
          <w:szCs w:val="21"/>
        </w:rPr>
        <w:t xml:space="preserve">- </w:t>
      </w:r>
      <w:r w:rsidR="00787F80" w:rsidRPr="00787F80">
        <w:rPr>
          <w:rFonts w:ascii="Abadi" w:hAnsi="Abadi"/>
          <w:b/>
          <w:bCs/>
          <w:sz w:val="21"/>
          <w:szCs w:val="21"/>
        </w:rPr>
        <w:t>La Secretaria.-</w:t>
      </w:r>
      <w:r w:rsidR="00787F80" w:rsidRPr="00787F80">
        <w:rPr>
          <w:rFonts w:ascii="Abadi" w:hAnsi="Abadi"/>
          <w:sz w:val="21"/>
          <w:szCs w:val="21"/>
        </w:rPr>
        <w:t xml:space="preserve"> Señora Presidenta, me permite informarle que se han agotado todos los asuntos listados en el orden del día. </w:t>
      </w:r>
    </w:p>
    <w:p w14:paraId="4BA72EF0" w14:textId="77777777" w:rsidR="00940499" w:rsidRPr="00787F80" w:rsidRDefault="00940499" w:rsidP="00940499">
      <w:pPr>
        <w:ind w:firstLine="708"/>
        <w:jc w:val="both"/>
        <w:rPr>
          <w:rFonts w:ascii="Abadi" w:hAnsi="Abadi"/>
          <w:sz w:val="21"/>
          <w:szCs w:val="21"/>
        </w:rPr>
      </w:pPr>
    </w:p>
    <w:p w14:paraId="12D350B6" w14:textId="48D707DE" w:rsidR="00787F80" w:rsidRDefault="00940499" w:rsidP="00940499">
      <w:pPr>
        <w:ind w:firstLine="708"/>
        <w:jc w:val="both"/>
        <w:rPr>
          <w:rFonts w:ascii="Abadi" w:hAnsi="Abadi"/>
          <w:sz w:val="21"/>
          <w:szCs w:val="21"/>
        </w:rPr>
      </w:pPr>
      <w:r>
        <w:rPr>
          <w:rFonts w:ascii="Abadi" w:hAnsi="Abadi"/>
          <w:sz w:val="21"/>
          <w:szCs w:val="21"/>
        </w:rPr>
        <w:t xml:space="preserve">- </w:t>
      </w:r>
      <w:r w:rsidR="00787F80" w:rsidRPr="00787F80">
        <w:rPr>
          <w:rFonts w:ascii="Abadi" w:hAnsi="Abadi"/>
          <w:sz w:val="21"/>
          <w:szCs w:val="21"/>
        </w:rPr>
        <w:t xml:space="preserve">Así mismo, le informo que la asistencia a la presente sesión fue de 34 diputadas y diputados. </w:t>
      </w:r>
    </w:p>
    <w:p w14:paraId="7C55B553" w14:textId="77777777" w:rsidR="00940499" w:rsidRPr="00787F80" w:rsidRDefault="00940499" w:rsidP="00787F80">
      <w:pPr>
        <w:jc w:val="both"/>
        <w:rPr>
          <w:rFonts w:ascii="Abadi" w:hAnsi="Abadi"/>
          <w:sz w:val="21"/>
          <w:szCs w:val="21"/>
        </w:rPr>
      </w:pPr>
    </w:p>
    <w:p w14:paraId="4FCC216B" w14:textId="7F1A1DA5" w:rsidR="00787F80" w:rsidRDefault="00787F80" w:rsidP="00940499">
      <w:pPr>
        <w:ind w:firstLine="708"/>
        <w:jc w:val="both"/>
        <w:rPr>
          <w:rFonts w:ascii="Abadi" w:hAnsi="Abadi"/>
          <w:sz w:val="21"/>
          <w:szCs w:val="21"/>
        </w:rPr>
      </w:pPr>
      <w:r w:rsidRPr="00787F80">
        <w:rPr>
          <w:rFonts w:ascii="Abadi" w:hAnsi="Abadi"/>
          <w:sz w:val="21"/>
          <w:szCs w:val="21"/>
        </w:rPr>
        <w:t xml:space="preserve">Así, también le informo que se registraron las inasistencias de las diputadas Janeth Melani Murillo Chávez y Noemí Márquez Márquez, y que se retiró con permiso de la Presidencia, el diputado Gustavo Adolfo Alfaro Reyes. </w:t>
      </w:r>
    </w:p>
    <w:p w14:paraId="27F043BF" w14:textId="77777777" w:rsidR="00940499" w:rsidRPr="00787F80" w:rsidRDefault="00940499" w:rsidP="00940499">
      <w:pPr>
        <w:ind w:firstLine="708"/>
        <w:jc w:val="both"/>
        <w:rPr>
          <w:rFonts w:ascii="Abadi" w:hAnsi="Abadi"/>
          <w:sz w:val="21"/>
          <w:szCs w:val="21"/>
        </w:rPr>
      </w:pPr>
    </w:p>
    <w:p w14:paraId="652AF4C3" w14:textId="08635D8D" w:rsidR="00787F80" w:rsidRDefault="00940499" w:rsidP="00940499">
      <w:pPr>
        <w:ind w:firstLine="708"/>
        <w:jc w:val="both"/>
        <w:rPr>
          <w:rFonts w:ascii="Abadi" w:hAnsi="Abadi"/>
          <w:sz w:val="21"/>
          <w:szCs w:val="21"/>
        </w:rPr>
      </w:pPr>
      <w:r>
        <w:rPr>
          <w:rFonts w:ascii="Abadi" w:hAnsi="Abadi"/>
          <w:b/>
          <w:bCs/>
          <w:sz w:val="21"/>
          <w:szCs w:val="21"/>
        </w:rPr>
        <w:t xml:space="preserve">- </w:t>
      </w:r>
      <w:r w:rsidR="00787F80" w:rsidRPr="00787F80">
        <w:rPr>
          <w:rFonts w:ascii="Abadi" w:hAnsi="Abadi"/>
          <w:b/>
          <w:bCs/>
          <w:sz w:val="21"/>
          <w:szCs w:val="21"/>
        </w:rPr>
        <w:t>La Presidencia.-</w:t>
      </w:r>
      <w:r w:rsidR="00787F80" w:rsidRPr="00787F80">
        <w:rPr>
          <w:rFonts w:ascii="Abadi" w:hAnsi="Abadi"/>
          <w:sz w:val="21"/>
          <w:szCs w:val="21"/>
        </w:rPr>
        <w:t xml:space="preserve"> Muchas gracias, esta presidencia califica de justificaba las inasistencias de las diputadas Janeth Melanie Murillo Chávez y Noemí Márquez Márquez, en virtud de los justificantes remitidos en términos del artículo 28 de nuestra Ley Orgánica, en virtud de que el cuórum de asistencia a la presente sesión se ha mantenido hasta el momento, no procede instruir a un nuevo pase de lista. </w:t>
      </w:r>
    </w:p>
    <w:p w14:paraId="6708B1A1" w14:textId="77777777" w:rsidR="0069068F" w:rsidRPr="00787F80" w:rsidRDefault="0069068F" w:rsidP="00940499">
      <w:pPr>
        <w:ind w:firstLine="708"/>
        <w:jc w:val="both"/>
        <w:rPr>
          <w:rFonts w:ascii="Abadi" w:hAnsi="Abadi"/>
          <w:sz w:val="21"/>
          <w:szCs w:val="21"/>
        </w:rPr>
      </w:pPr>
    </w:p>
    <w:p w14:paraId="6D8F1E7B" w14:textId="2FF288A2" w:rsidR="0063247A" w:rsidRDefault="0069068F" w:rsidP="0069068F">
      <w:pPr>
        <w:ind w:firstLine="708"/>
        <w:jc w:val="both"/>
        <w:rPr>
          <w:rFonts w:ascii="Abadi" w:hAnsi="Abadi"/>
          <w:sz w:val="21"/>
          <w:szCs w:val="21"/>
        </w:rPr>
      </w:pPr>
      <w:r>
        <w:rPr>
          <w:rFonts w:ascii="Abadi" w:hAnsi="Abadi"/>
          <w:sz w:val="21"/>
          <w:szCs w:val="21"/>
        </w:rPr>
        <w:t xml:space="preserve">- </w:t>
      </w:r>
      <w:r w:rsidR="00787F80" w:rsidRPr="00787F80">
        <w:rPr>
          <w:rFonts w:ascii="Abadi" w:hAnsi="Abadi"/>
          <w:sz w:val="21"/>
          <w:szCs w:val="21"/>
        </w:rPr>
        <w:t>Se levanta la sesión siendo las 15:06 (quince horas con seis minutos) y se comunica a la diputada y a los diputados que se le citara para la siguiente por conducto de la Secretaría General, que tengan todos un excelente día y un fuerte abrazo a todas las y los enfermeros de nuestro país y del mundo también porque no muchísimas gracias y mis felicitaciones.</w:t>
      </w:r>
      <w:r w:rsidR="002000AC">
        <w:rPr>
          <w:rFonts w:ascii="Abadi" w:hAnsi="Abadi"/>
          <w:sz w:val="21"/>
          <w:szCs w:val="21"/>
        </w:rPr>
        <w:t xml:space="preserve"> </w:t>
      </w:r>
      <w:r w:rsidR="002000AC">
        <w:rPr>
          <w:rStyle w:val="Refdenotaalpie"/>
          <w:rFonts w:ascii="Abadi" w:hAnsi="Abadi"/>
          <w:sz w:val="21"/>
          <w:szCs w:val="21"/>
        </w:rPr>
        <w:footnoteReference w:id="35"/>
      </w:r>
    </w:p>
    <w:p w14:paraId="0E226FB5" w14:textId="1F181478" w:rsidR="008321AA" w:rsidRDefault="008321AA" w:rsidP="00E73ECD">
      <w:pPr>
        <w:jc w:val="both"/>
        <w:rPr>
          <w:rFonts w:ascii="Abadi" w:hAnsi="Abadi"/>
          <w:sz w:val="21"/>
          <w:szCs w:val="21"/>
        </w:rPr>
      </w:pPr>
    </w:p>
    <w:p w14:paraId="50A56D82" w14:textId="480F5558" w:rsidR="00707093" w:rsidRDefault="00707093" w:rsidP="00E73ECD">
      <w:pPr>
        <w:jc w:val="both"/>
        <w:rPr>
          <w:rFonts w:ascii="Abadi" w:hAnsi="Abadi"/>
          <w:sz w:val="21"/>
          <w:szCs w:val="21"/>
        </w:rPr>
      </w:pPr>
    </w:p>
    <w:p w14:paraId="09F5A646" w14:textId="338848E9" w:rsidR="00707093" w:rsidRDefault="00707093" w:rsidP="00E73ECD">
      <w:pPr>
        <w:jc w:val="both"/>
        <w:rPr>
          <w:rFonts w:ascii="Abadi" w:hAnsi="Abadi"/>
          <w:sz w:val="21"/>
          <w:szCs w:val="21"/>
        </w:rPr>
      </w:pPr>
    </w:p>
    <w:p w14:paraId="697FEF17" w14:textId="1A835251" w:rsidR="00707093" w:rsidRDefault="00707093" w:rsidP="00E73ECD">
      <w:pPr>
        <w:jc w:val="both"/>
        <w:rPr>
          <w:rFonts w:ascii="Abadi" w:hAnsi="Abadi"/>
          <w:sz w:val="21"/>
          <w:szCs w:val="21"/>
        </w:rPr>
      </w:pPr>
    </w:p>
    <w:p w14:paraId="7A46981E" w14:textId="490C84B5" w:rsidR="00707093" w:rsidRDefault="00707093" w:rsidP="00E73ECD">
      <w:pPr>
        <w:jc w:val="both"/>
        <w:rPr>
          <w:rFonts w:ascii="Abadi" w:hAnsi="Abadi"/>
          <w:sz w:val="21"/>
          <w:szCs w:val="21"/>
        </w:rPr>
      </w:pPr>
    </w:p>
    <w:p w14:paraId="122D23B6" w14:textId="68BFB5E9" w:rsidR="00707093" w:rsidRDefault="00707093" w:rsidP="00E73ECD">
      <w:pPr>
        <w:jc w:val="both"/>
        <w:rPr>
          <w:rFonts w:ascii="Abadi" w:hAnsi="Abadi"/>
          <w:sz w:val="21"/>
          <w:szCs w:val="21"/>
        </w:rPr>
      </w:pPr>
    </w:p>
    <w:p w14:paraId="1DB2AB36" w14:textId="3930FB46" w:rsidR="00707093" w:rsidRDefault="00707093" w:rsidP="00E73ECD">
      <w:pPr>
        <w:jc w:val="both"/>
        <w:rPr>
          <w:rFonts w:ascii="Abadi" w:hAnsi="Abadi"/>
          <w:sz w:val="21"/>
          <w:szCs w:val="21"/>
        </w:rPr>
      </w:pPr>
    </w:p>
    <w:p w14:paraId="5A8E9B1E" w14:textId="0B81676B" w:rsidR="00707093" w:rsidRDefault="00707093" w:rsidP="00E73ECD">
      <w:pPr>
        <w:jc w:val="both"/>
        <w:rPr>
          <w:rFonts w:ascii="Abadi" w:hAnsi="Abadi"/>
          <w:sz w:val="21"/>
          <w:szCs w:val="21"/>
        </w:rPr>
      </w:pPr>
    </w:p>
    <w:p w14:paraId="0B45EB54" w14:textId="7F076643" w:rsidR="00707093" w:rsidRDefault="00707093" w:rsidP="00E73ECD">
      <w:pPr>
        <w:jc w:val="both"/>
        <w:rPr>
          <w:rFonts w:ascii="Abadi" w:hAnsi="Abadi"/>
          <w:sz w:val="21"/>
          <w:szCs w:val="21"/>
        </w:rPr>
      </w:pPr>
    </w:p>
    <w:p w14:paraId="7FA5E093" w14:textId="19A55F71" w:rsidR="00707093" w:rsidRDefault="00707093" w:rsidP="00E73ECD">
      <w:pPr>
        <w:jc w:val="both"/>
        <w:rPr>
          <w:rFonts w:ascii="Abadi" w:hAnsi="Abadi"/>
          <w:sz w:val="21"/>
          <w:szCs w:val="21"/>
        </w:rPr>
      </w:pPr>
    </w:p>
    <w:p w14:paraId="784B2539" w14:textId="75DFFE3B" w:rsidR="00707093" w:rsidRDefault="00707093" w:rsidP="00E73ECD">
      <w:pPr>
        <w:jc w:val="both"/>
        <w:rPr>
          <w:rFonts w:ascii="Abadi" w:hAnsi="Abadi"/>
          <w:sz w:val="21"/>
          <w:szCs w:val="21"/>
        </w:rPr>
      </w:pPr>
    </w:p>
    <w:p w14:paraId="2D290775" w14:textId="77777777" w:rsidR="00707093" w:rsidRDefault="00707093" w:rsidP="00E73ECD">
      <w:pPr>
        <w:jc w:val="both"/>
        <w:rPr>
          <w:rFonts w:ascii="Abadi" w:hAnsi="Abadi"/>
          <w:sz w:val="21"/>
          <w:szCs w:val="21"/>
        </w:rPr>
      </w:pPr>
    </w:p>
    <w:p w14:paraId="3859F16A" w14:textId="1AB0EDE9" w:rsidR="008321AA" w:rsidRDefault="008321AA" w:rsidP="00E73ECD">
      <w:pPr>
        <w:jc w:val="both"/>
        <w:rPr>
          <w:rFonts w:ascii="Abadi" w:hAnsi="Abadi"/>
          <w:sz w:val="21"/>
          <w:szCs w:val="21"/>
        </w:rPr>
      </w:pPr>
    </w:p>
    <w:p w14:paraId="2E7EDBAD" w14:textId="53BE461A" w:rsidR="008321AA" w:rsidRDefault="008321AA" w:rsidP="00E73ECD">
      <w:pPr>
        <w:jc w:val="both"/>
        <w:rPr>
          <w:rFonts w:ascii="Abadi" w:hAnsi="Abadi"/>
          <w:sz w:val="21"/>
          <w:szCs w:val="21"/>
        </w:rPr>
      </w:pPr>
    </w:p>
    <w:p w14:paraId="45942D82" w14:textId="169409C2" w:rsidR="008321AA" w:rsidRDefault="008321AA" w:rsidP="00E73ECD">
      <w:pPr>
        <w:jc w:val="both"/>
        <w:rPr>
          <w:rFonts w:ascii="Abadi" w:hAnsi="Abadi"/>
          <w:sz w:val="21"/>
          <w:szCs w:val="21"/>
        </w:rPr>
      </w:pPr>
    </w:p>
    <w:p w14:paraId="5DE53DDC" w14:textId="2B6FD66F" w:rsidR="008321AA" w:rsidRDefault="008321AA" w:rsidP="00E73ECD">
      <w:pPr>
        <w:jc w:val="both"/>
        <w:rPr>
          <w:rFonts w:ascii="Abadi" w:hAnsi="Abadi"/>
          <w:sz w:val="21"/>
          <w:szCs w:val="21"/>
        </w:rPr>
      </w:pPr>
    </w:p>
    <w:p w14:paraId="46082C67" w14:textId="2BE97291" w:rsidR="008321AA" w:rsidRDefault="008321AA" w:rsidP="00E73ECD">
      <w:pPr>
        <w:jc w:val="both"/>
        <w:rPr>
          <w:rFonts w:ascii="Abadi" w:hAnsi="Abadi"/>
          <w:sz w:val="21"/>
          <w:szCs w:val="21"/>
        </w:rPr>
      </w:pPr>
    </w:p>
    <w:p w14:paraId="004204D8" w14:textId="170895ED" w:rsidR="008321AA" w:rsidRDefault="008321AA" w:rsidP="00E73ECD">
      <w:pPr>
        <w:jc w:val="both"/>
        <w:rPr>
          <w:rFonts w:ascii="Abadi" w:hAnsi="Abadi"/>
          <w:sz w:val="21"/>
          <w:szCs w:val="21"/>
        </w:rPr>
      </w:pPr>
    </w:p>
    <w:p w14:paraId="14E888BB" w14:textId="64C2CB11" w:rsidR="008321AA" w:rsidRPr="00FB0D27" w:rsidRDefault="008321AA" w:rsidP="00E73ECD">
      <w:pPr>
        <w:jc w:val="both"/>
        <w:rPr>
          <w:rFonts w:ascii="Abadi" w:hAnsi="Abadi"/>
          <w:sz w:val="21"/>
          <w:szCs w:val="21"/>
        </w:rPr>
      </w:pPr>
      <w:r>
        <w:rPr>
          <w:rFonts w:ascii="Abadi" w:hAnsi="Abadi"/>
          <w:sz w:val="21"/>
          <w:szCs w:val="21"/>
        </w:rPr>
        <w:t xml:space="preserve"> </w:t>
      </w:r>
      <w:r w:rsidR="00E52A9C">
        <w:rPr>
          <w:rFonts w:ascii="Abadi" w:hAnsi="Abadi"/>
          <w:noProof/>
          <w:sz w:val="21"/>
          <w:szCs w:val="21"/>
        </w:rPr>
        <mc:AlternateContent>
          <mc:Choice Requires="wpg">
            <w:drawing>
              <wp:anchor distT="0" distB="0" distL="114300" distR="114300" simplePos="0" relativeHeight="251715584" behindDoc="0" locked="0" layoutInCell="1" allowOverlap="1" wp14:anchorId="1FF52731" wp14:editId="1AED3861">
                <wp:simplePos x="0" y="0"/>
                <wp:positionH relativeFrom="column">
                  <wp:posOffset>0</wp:posOffset>
                </wp:positionH>
                <wp:positionV relativeFrom="paragraph">
                  <wp:posOffset>-635</wp:posOffset>
                </wp:positionV>
                <wp:extent cx="2573655" cy="3174581"/>
                <wp:effectExtent l="0" t="0" r="17145" b="26035"/>
                <wp:wrapNone/>
                <wp:docPr id="5" name="Grupo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3655" cy="3174581"/>
                          <a:chOff x="0" y="0"/>
                          <a:chExt cx="2696210" cy="3597275"/>
                        </a:xfrm>
                      </wpg:grpSpPr>
                      <wps:wsp>
                        <wps:cNvPr id="12" name="Diagrama de flujo: multidocumento 45"/>
                        <wps:cNvSpPr/>
                        <wps:spPr>
                          <a:xfrm>
                            <a:off x="0" y="0"/>
                            <a:ext cx="2696210" cy="3597275"/>
                          </a:xfrm>
                          <a:prstGeom prst="flowChartMultidocument">
                            <a:avLst/>
                          </a:prstGeom>
                          <a:noFill/>
                          <a:ln w="12700" cap="flat" cmpd="sng" algn="ctr">
                            <a:solidFill>
                              <a:sysClr val="windowText" lastClr="000000"/>
                            </a:solidFill>
                            <a:prstDash val="solid"/>
                          </a:ln>
                          <a:effectLst/>
                        </wps:spPr>
                        <wps:txbx>
                          <w:txbxContent>
                            <w:p w14:paraId="073C2182" w14:textId="77777777" w:rsidR="00E52A9C" w:rsidRPr="001040DC" w:rsidRDefault="00E52A9C" w:rsidP="00E52A9C">
                              <w:pPr>
                                <w:suppressOverlap/>
                                <w:jc w:val="center"/>
                                <w:rPr>
                                  <w:rFonts w:ascii="Abadi" w:hAnsi="Abadi" w:cs="Arial"/>
                                  <w:b/>
                                  <w:sz w:val="18"/>
                                  <w:szCs w:val="18"/>
                                  <w:lang w:val="pt-PT"/>
                                </w:rPr>
                              </w:pPr>
                            </w:p>
                            <w:p w14:paraId="28DE27A9" w14:textId="77777777" w:rsidR="00E52A9C" w:rsidRPr="001040DC" w:rsidRDefault="00E52A9C" w:rsidP="00E52A9C">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6DA4480A"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526C876E"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28945676"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5DC5BBFD" w14:textId="77777777" w:rsidR="00E52A9C" w:rsidRPr="001040DC" w:rsidRDefault="00E52A9C" w:rsidP="00E52A9C">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 xml:space="preserve">Dessiré Ángel Rocha </w:t>
                              </w:r>
                            </w:p>
                            <w:p w14:paraId="05C9D1EC" w14:textId="77777777" w:rsidR="00E52A9C" w:rsidRPr="001040DC" w:rsidRDefault="00E52A9C" w:rsidP="00E52A9C">
                              <w:pPr>
                                <w:suppressOverlap/>
                                <w:jc w:val="center"/>
                                <w:rPr>
                                  <w:rFonts w:ascii="Abadi" w:hAnsi="Abadi" w:cs="Arial"/>
                                  <w:b/>
                                  <w:sz w:val="18"/>
                                  <w:szCs w:val="18"/>
                                  <w:lang w:val="pt-PT"/>
                                </w:rPr>
                              </w:pPr>
                            </w:p>
                            <w:p w14:paraId="2A870BA0"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19D5B824"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37060DB4"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7E4876F2" w14:textId="77777777" w:rsidR="00E52A9C" w:rsidRPr="001040DC" w:rsidRDefault="00E52A9C" w:rsidP="00E52A9C">
                              <w:pPr>
                                <w:suppressOverlap/>
                                <w:jc w:val="center"/>
                                <w:rPr>
                                  <w:rFonts w:ascii="Abadi" w:hAnsi="Abadi" w:cs="Arial"/>
                                  <w:b/>
                                  <w:sz w:val="18"/>
                                  <w:szCs w:val="18"/>
                                  <w:lang w:val="pt-PT"/>
                                </w:rPr>
                              </w:pPr>
                            </w:p>
                            <w:p w14:paraId="3D0829D6"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7D39BD65"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2B23D6E9"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18F86F01" w14:textId="77777777" w:rsidR="00E52A9C" w:rsidRPr="001040DC" w:rsidRDefault="00E52A9C" w:rsidP="00E52A9C">
                              <w:pPr>
                                <w:suppressOverlap/>
                                <w:jc w:val="center"/>
                                <w:rPr>
                                  <w:rFonts w:ascii="Abadi" w:hAnsi="Abadi" w:cs="Arial"/>
                                  <w:b/>
                                  <w:sz w:val="18"/>
                                  <w:szCs w:val="18"/>
                                  <w:lang w:val="pt-PT"/>
                                </w:rPr>
                              </w:pPr>
                            </w:p>
                            <w:p w14:paraId="0DC74259"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04900A9"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BAB334D" w14:textId="77777777" w:rsidR="00E52A9C" w:rsidRPr="001040DC" w:rsidRDefault="00E52A9C" w:rsidP="00E52A9C">
                              <w:pPr>
                                <w:jc w:val="center"/>
                              </w:pPr>
                            </w:p>
                            <w:p w14:paraId="71DBFDFE" w14:textId="77777777" w:rsidR="00E52A9C" w:rsidRPr="00495760" w:rsidRDefault="00E52A9C" w:rsidP="00E52A9C">
                              <w:pPr>
                                <w:pStyle w:val="Prrafodelista"/>
                                <w:numPr>
                                  <w:ilvl w:val="0"/>
                                  <w:numId w:val="70"/>
                                </w:numPr>
                                <w:tabs>
                                  <w:tab w:val="num" w:pos="360"/>
                                </w:tabs>
                                <w:spacing w:after="160" w:line="259" w:lineRule="auto"/>
                                <w:ind w:left="0" w:firstLine="0"/>
                                <w:suppressOverlap/>
                                <w:jc w:val="center"/>
                                <w:rPr>
                                  <w:rFonts w:ascii="Abadi" w:hAnsi="Abadi" w:cs="Arial"/>
                                  <w:b/>
                                  <w:sz w:val="18"/>
                                  <w:szCs w:val="18"/>
                                  <w:lang w:val="pt-PT"/>
                                </w:rPr>
                              </w:pPr>
                            </w:p>
                            <w:p w14:paraId="1FABDE34" w14:textId="77777777" w:rsidR="00E52A9C" w:rsidRPr="001040DC" w:rsidRDefault="00E52A9C" w:rsidP="00E52A9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 name="Imagen 46" descr="Interfaz de usuario gráfica&#10;&#10;Descripción generada automáticamente con confianza media"/>
                          <pic:cNvPicPr>
                            <a:picLocks noChangeAspect="1"/>
                          </pic:cNvPicPr>
                        </pic:nvPicPr>
                        <pic:blipFill>
                          <a:blip r:embed="rId73" cstate="print"/>
                          <a:stretch>
                            <a:fillRect/>
                          </a:stretch>
                        </pic:blipFill>
                        <pic:spPr>
                          <a:xfrm>
                            <a:off x="1047750" y="0"/>
                            <a:ext cx="662940" cy="276225"/>
                          </a:xfrm>
                          <a:prstGeom prst="rect">
                            <a:avLst/>
                          </a:prstGeom>
                        </pic:spPr>
                      </pic:pic>
                      <wps:wsp>
                        <wps:cNvPr id="14" name="Cuadro de texto 2"/>
                        <wps:cNvSpPr txBox="1">
                          <a:spLocks noChangeArrowheads="1"/>
                        </wps:cNvSpPr>
                        <wps:spPr bwMode="auto">
                          <a:xfrm>
                            <a:off x="257175" y="295275"/>
                            <a:ext cx="2095500" cy="390525"/>
                          </a:xfrm>
                          <a:prstGeom prst="rect">
                            <a:avLst/>
                          </a:prstGeom>
                          <a:noFill/>
                          <a:ln w="9525">
                            <a:noFill/>
                            <a:miter lim="800000"/>
                            <a:headEnd/>
                            <a:tailEnd/>
                          </a:ln>
                        </wps:spPr>
                        <wps:txbx>
                          <w:txbxContent>
                            <w:p w14:paraId="1F783E25" w14:textId="77777777" w:rsidR="00E52A9C" w:rsidRPr="00544C73" w:rsidRDefault="00E52A9C" w:rsidP="00E52A9C">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62F4CF55" w14:textId="77777777" w:rsidR="00E52A9C" w:rsidRPr="00EE0581" w:rsidRDefault="00E52A9C" w:rsidP="00E52A9C">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1FF52731" id="Grupo 5" o:spid="_x0000_s1026" style="position:absolute;left:0;text-align:left;margin-left:0;margin-top:-.05pt;width:202.65pt;height:249.95pt;z-index:251715584;mso-width-relative:margin" coordsize="26962,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width:26962;height:35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" filled="f" strokecolor="windowText" strokeweight="1pt">
                  <v:textbox>
                    <w:txbxContent>
                      <w:p w14:paraId="073C2182" w14:textId="77777777" w:rsidR="00E52A9C" w:rsidRPr="001040DC" w:rsidRDefault="00E52A9C" w:rsidP="00E52A9C">
                        <w:pPr>
                          <w:suppressOverlap/>
                          <w:jc w:val="center"/>
                          <w:rPr>
                            <w:rFonts w:ascii="Abadi" w:hAnsi="Abadi" w:cs="Arial"/>
                            <w:b/>
                            <w:sz w:val="18"/>
                            <w:szCs w:val="18"/>
                            <w:lang w:val="pt-PT"/>
                          </w:rPr>
                        </w:pPr>
                      </w:p>
                      <w:p w14:paraId="28DE27A9" w14:textId="77777777" w:rsidR="00E52A9C" w:rsidRPr="001040DC" w:rsidRDefault="00E52A9C" w:rsidP="00E52A9C">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6DA4480A"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526C876E"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28945676"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5DC5BBFD" w14:textId="77777777" w:rsidR="00E52A9C" w:rsidRPr="001040DC" w:rsidRDefault="00E52A9C" w:rsidP="00E52A9C">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 xml:space="preserve">Dessiré Ángel Rocha </w:t>
                        </w:r>
                      </w:p>
                      <w:p w14:paraId="05C9D1EC" w14:textId="77777777" w:rsidR="00E52A9C" w:rsidRPr="001040DC" w:rsidRDefault="00E52A9C" w:rsidP="00E52A9C">
                        <w:pPr>
                          <w:suppressOverlap/>
                          <w:jc w:val="center"/>
                          <w:rPr>
                            <w:rFonts w:ascii="Abadi" w:hAnsi="Abadi" w:cs="Arial"/>
                            <w:b/>
                            <w:sz w:val="18"/>
                            <w:szCs w:val="18"/>
                            <w:lang w:val="pt-PT"/>
                          </w:rPr>
                        </w:pPr>
                      </w:p>
                      <w:p w14:paraId="2A870BA0"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19D5B824"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37060DB4"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7E4876F2" w14:textId="77777777" w:rsidR="00E52A9C" w:rsidRPr="001040DC" w:rsidRDefault="00E52A9C" w:rsidP="00E52A9C">
                        <w:pPr>
                          <w:suppressOverlap/>
                          <w:jc w:val="center"/>
                          <w:rPr>
                            <w:rFonts w:ascii="Abadi" w:hAnsi="Abadi" w:cs="Arial"/>
                            <w:b/>
                            <w:sz w:val="18"/>
                            <w:szCs w:val="18"/>
                            <w:lang w:val="pt-PT"/>
                          </w:rPr>
                        </w:pPr>
                      </w:p>
                      <w:p w14:paraId="3D0829D6"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7D39BD65"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2B23D6E9"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18F86F01" w14:textId="77777777" w:rsidR="00E52A9C" w:rsidRPr="001040DC" w:rsidRDefault="00E52A9C" w:rsidP="00E52A9C">
                        <w:pPr>
                          <w:suppressOverlap/>
                          <w:jc w:val="center"/>
                          <w:rPr>
                            <w:rFonts w:ascii="Abadi" w:hAnsi="Abadi" w:cs="Arial"/>
                            <w:b/>
                            <w:sz w:val="18"/>
                            <w:szCs w:val="18"/>
                            <w:lang w:val="pt-PT"/>
                          </w:rPr>
                        </w:pPr>
                      </w:p>
                      <w:p w14:paraId="0DC74259"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304900A9" w14:textId="77777777" w:rsidR="00E52A9C" w:rsidRPr="001040DC" w:rsidRDefault="00E52A9C" w:rsidP="00E52A9C">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BAB334D" w14:textId="77777777" w:rsidR="00E52A9C" w:rsidRPr="001040DC" w:rsidRDefault="00E52A9C" w:rsidP="00E52A9C">
                        <w:pPr>
                          <w:jc w:val="center"/>
                        </w:pPr>
                      </w:p>
                      <w:p w14:paraId="71DBFDFE" w14:textId="77777777" w:rsidR="00E52A9C" w:rsidRPr="00495760" w:rsidRDefault="00E52A9C" w:rsidP="00E52A9C">
                        <w:pPr>
                          <w:pStyle w:val="Prrafodelista"/>
                          <w:numPr>
                            <w:ilvl w:val="0"/>
                            <w:numId w:val="70"/>
                          </w:numPr>
                          <w:tabs>
                            <w:tab w:val="num" w:pos="360"/>
                          </w:tabs>
                          <w:spacing w:after="160" w:line="259" w:lineRule="auto"/>
                          <w:ind w:left="0" w:firstLine="0"/>
                          <w:suppressOverlap/>
                          <w:jc w:val="center"/>
                          <w:rPr>
                            <w:rFonts w:ascii="Abadi" w:hAnsi="Abadi" w:cs="Arial"/>
                            <w:b/>
                            <w:sz w:val="18"/>
                            <w:szCs w:val="18"/>
                            <w:lang w:val="pt-PT"/>
                          </w:rPr>
                        </w:pPr>
                      </w:p>
                      <w:p w14:paraId="1FABDE34" w14:textId="77777777" w:rsidR="00E52A9C" w:rsidRPr="001040DC" w:rsidRDefault="00E52A9C" w:rsidP="00E52A9C"/>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10477;width:6629;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">
                  <v:imagedata r:id="rId74"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571;top:2952;width:2095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1F783E25" w14:textId="77777777" w:rsidR="00E52A9C" w:rsidRPr="00544C73" w:rsidRDefault="00E52A9C" w:rsidP="00E52A9C">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62F4CF55" w14:textId="77777777" w:rsidR="00E52A9C" w:rsidRPr="00EE0581" w:rsidRDefault="00E52A9C" w:rsidP="00E52A9C">
                        <w:pPr>
                          <w:rPr>
                            <w:sz w:val="16"/>
                            <w:szCs w:val="16"/>
                          </w:rPr>
                        </w:pPr>
                      </w:p>
                    </w:txbxContent>
                  </v:textbox>
                </v:shape>
              </v:group>
            </w:pict>
          </mc:Fallback>
        </mc:AlternateContent>
      </w:r>
    </w:p>
    <w:sectPr w:rsidR="008321AA" w:rsidRPr="00FB0D27" w:rsidSect="008A5268">
      <w:footnotePr>
        <w:pos w:val="beneathText"/>
        <w:numStart w:val="2"/>
      </w:footnotePr>
      <w:type w:val="continuous"/>
      <w:pgSz w:w="12240" w:h="15840" w:code="1"/>
      <w:pgMar w:top="709" w:right="1892" w:bottom="425" w:left="993" w:header="714" w:footer="1196"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1701"/>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DDE124" w14:textId="77777777" w:rsidR="004023A6" w:rsidRDefault="004023A6">
      <w:r>
        <w:separator/>
      </w:r>
    </w:p>
  </w:endnote>
  <w:endnote w:type="continuationSeparator" w:id="0">
    <w:p w14:paraId="6A3230BE" w14:textId="77777777" w:rsidR="004023A6" w:rsidRDefault="004023A6">
      <w:r>
        <w:continuationSeparator/>
      </w:r>
    </w:p>
  </w:endnote>
  <w:endnote w:type="continuationNotice" w:id="1">
    <w:p w14:paraId="5D1CE876" w14:textId="77777777" w:rsidR="004023A6" w:rsidRDefault="004023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altName w:val="Abadi"/>
    <w:charset w:val="00"/>
    <w:family w:val="swiss"/>
    <w:pitch w:val="variable"/>
    <w:sig w:usb0="8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Microsoft Sans Serif-Bold-1218">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ItalicMT">
    <w:altName w:val="Arial"/>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TrebuchetMS-Bold">
    <w:altName w:val="Calibri"/>
    <w:panose1 w:val="00000000000000000000"/>
    <w:charset w:val="00"/>
    <w:family w:val="swiss"/>
    <w:notTrueType/>
    <w:pitch w:val="default"/>
    <w:sig w:usb0="00000003" w:usb1="00000000" w:usb2="00000000" w:usb3="00000000" w:csb0="00000001" w:csb1="00000000"/>
  </w:font>
  <w:font w:name="TrebuchetMS">
    <w:altName w:val="Calibri"/>
    <w:panose1 w:val="00000000000000000000"/>
    <w:charset w:val="00"/>
    <w:family w:val="swiss"/>
    <w:notTrueType/>
    <w:pitch w:val="default"/>
    <w:sig w:usb0="00000003" w:usb1="00000000" w:usb2="00000000" w:usb3="00000000" w:csb0="00000001" w:csb1="00000000"/>
  </w:font>
  <w:font w:name="*Calibri-Bold-13698-Identity-H">
    <w:altName w:val="Calibri"/>
    <w:panose1 w:val="00000000000000000000"/>
    <w:charset w:val="00"/>
    <w:family w:val="auto"/>
    <w:notTrueType/>
    <w:pitch w:val="default"/>
    <w:sig w:usb0="00000003" w:usb1="00000000" w:usb2="00000000" w:usb3="00000000" w:csb0="00000001" w:csb1="00000000"/>
  </w:font>
  <w:font w:name="*Arial-13703-Identity-H">
    <w:altName w:val="Calibri"/>
    <w:panose1 w:val="00000000000000000000"/>
    <w:charset w:val="00"/>
    <w:family w:val="auto"/>
    <w:notTrueType/>
    <w:pitch w:val="default"/>
    <w:sig w:usb0="00000003" w:usb1="00000000" w:usb2="00000000" w:usb3="00000000" w:csb0="00000001" w:csb1="00000000"/>
  </w:font>
  <w:font w:name="*Calibri-12049-Identity-H">
    <w:altName w:val="Calibri"/>
    <w:panose1 w:val="00000000000000000000"/>
    <w:charset w:val="00"/>
    <w:family w:val="auto"/>
    <w:notTrueType/>
    <w:pitch w:val="default"/>
    <w:sig w:usb0="00000003" w:usb1="00000000" w:usb2="00000000" w:usb3="00000000" w:csb0="00000001" w:csb1="00000000"/>
  </w:font>
  <w:font w:name="*Times New Roman-Italic-13688-I">
    <w:altName w:val="Calibri"/>
    <w:panose1 w:val="00000000000000000000"/>
    <w:charset w:val="00"/>
    <w:family w:val="auto"/>
    <w:notTrueType/>
    <w:pitch w:val="default"/>
    <w:sig w:usb0="00000003" w:usb1="00000000" w:usb2="00000000" w:usb3="00000000" w:csb0="00000001" w:csb1="00000000"/>
  </w:font>
  <w:font w:name="*Calibri-12050-Identity-H">
    <w:altName w:val="Calibri"/>
    <w:panose1 w:val="00000000000000000000"/>
    <w:charset w:val="00"/>
    <w:family w:val="auto"/>
    <w:notTrueType/>
    <w:pitch w:val="default"/>
    <w:sig w:usb0="00000003" w:usb1="00000000" w:usb2="00000000" w:usb3="00000000" w:csb0="00000001" w:csb1="00000000"/>
  </w:font>
  <w:font w:name="*Microsoft Sans Serif-12594-Ide">
    <w:altName w:val="Calibri"/>
    <w:panose1 w:val="00000000000000000000"/>
    <w:charset w:val="00"/>
    <w:family w:val="auto"/>
    <w:notTrueType/>
    <w:pitch w:val="default"/>
    <w:sig w:usb0="00000003" w:usb1="00000000" w:usb2="00000000" w:usb3="00000000" w:csb0="00000001" w:csb1="00000000"/>
  </w:font>
  <w:font w:name="*Courier New-BoldItalic-12592-I">
    <w:altName w:val="Calibri"/>
    <w:panose1 w:val="00000000000000000000"/>
    <w:charset w:val="00"/>
    <w:family w:val="auto"/>
    <w:notTrueType/>
    <w:pitch w:val="default"/>
    <w:sig w:usb0="00000003" w:usb1="00000000" w:usb2="00000000" w:usb3="00000000" w:csb0="00000001" w:csb1="00000000"/>
  </w:font>
  <w:font w:name="*Arial-11045-Identity-H">
    <w:altName w:val="Calibri"/>
    <w:panose1 w:val="00000000000000000000"/>
    <w:charset w:val="00"/>
    <w:family w:val="auto"/>
    <w:notTrueType/>
    <w:pitch w:val="default"/>
    <w:sig w:usb0="00000003" w:usb1="00000000" w:usb2="00000000" w:usb3="00000000" w:csb0="00000001" w:csb1="00000000"/>
  </w:font>
  <w:font w:name="*Microsoft Sans Serif-Italic-11">
    <w:altName w:val="Calibri"/>
    <w:panose1 w:val="00000000000000000000"/>
    <w:charset w:val="00"/>
    <w:family w:val="auto"/>
    <w:notTrueType/>
    <w:pitch w:val="default"/>
    <w:sig w:usb0="00000003" w:usb1="00000000" w:usb2="00000000" w:usb3="00000000" w:csb0="00000001" w:csb1="00000000"/>
  </w:font>
  <w:font w:name="*Calibri-11044-Identity-H">
    <w:altName w:val="Calibri"/>
    <w:panose1 w:val="00000000000000000000"/>
    <w:charset w:val="00"/>
    <w:family w:val="auto"/>
    <w:notTrueType/>
    <w:pitch w:val="default"/>
    <w:sig w:usb0="00000003" w:usb1="00000000" w:usb2="00000000" w:usb3="00000000" w:csb0="00000001" w:csb1="00000000"/>
  </w:font>
  <w:font w:name="*Microsoft Sans Serif-13496-Ide">
    <w:altName w:val="Calibri"/>
    <w:panose1 w:val="00000000000000000000"/>
    <w:charset w:val="00"/>
    <w:family w:val="auto"/>
    <w:notTrueType/>
    <w:pitch w:val="default"/>
    <w:sig w:usb0="00000003" w:usb1="00000000" w:usb2="00000000" w:usb3="00000000" w:csb0="00000001" w:csb1="00000000"/>
  </w:font>
  <w:font w:name="*Calibri-13495-Identity-H">
    <w:altName w:val="Calibri"/>
    <w:panose1 w:val="00000000000000000000"/>
    <w:charset w:val="00"/>
    <w:family w:val="auto"/>
    <w:notTrueType/>
    <w:pitch w:val="default"/>
    <w:sig w:usb0="00000003" w:usb1="00000000" w:usb2="00000000" w:usb3="00000000" w:csb0="00000001" w:csb1="00000000"/>
  </w:font>
  <w:font w:name="*Calibri-12654-Identity-H">
    <w:altName w:val="Calibri"/>
    <w:panose1 w:val="00000000000000000000"/>
    <w:charset w:val="00"/>
    <w:family w:val="auto"/>
    <w:notTrueType/>
    <w:pitch w:val="default"/>
    <w:sig w:usb0="00000003" w:usb1="00000000" w:usb2="00000000" w:usb3="00000000" w:csb0="00000001" w:csb1="00000000"/>
  </w:font>
  <w:font w:name="*Arial-11140-Identity-H">
    <w:altName w:val="Calibri"/>
    <w:panose1 w:val="00000000000000000000"/>
    <w:charset w:val="00"/>
    <w:family w:val="auto"/>
    <w:notTrueType/>
    <w:pitch w:val="default"/>
    <w:sig w:usb0="00000003" w:usb1="00000000" w:usb2="00000000" w:usb3="00000000" w:csb0="00000001" w:csb1="00000000"/>
  </w:font>
  <w:font w:name="*Calibri-11139-Identity-H">
    <w:altName w:val="Calibri"/>
    <w:panose1 w:val="00000000000000000000"/>
    <w:charset w:val="00"/>
    <w:family w:val="auto"/>
    <w:notTrueType/>
    <w:pitch w:val="default"/>
    <w:sig w:usb0="00000003" w:usb1="00000000" w:usb2="00000000" w:usb3="00000000" w:csb0="00000001" w:csb1="00000000"/>
  </w:font>
  <w:font w:name="*Times New Roman-Italic-11137-I">
    <w:altName w:val="Calibri"/>
    <w:panose1 w:val="00000000000000000000"/>
    <w:charset w:val="00"/>
    <w:family w:val="auto"/>
    <w:notTrueType/>
    <w:pitch w:val="default"/>
    <w:sig w:usb0="00000003" w:usb1="00000000" w:usb2="00000000" w:usb3="00000000" w:csb0="00000001" w:csb1="00000000"/>
  </w:font>
  <w:font w:name="*Calibri-11534-Identity-H">
    <w:altName w:val="Calibri"/>
    <w:panose1 w:val="00000000000000000000"/>
    <w:charset w:val="00"/>
    <w:family w:val="auto"/>
    <w:notTrueType/>
    <w:pitch w:val="default"/>
    <w:sig w:usb0="00000003" w:usb1="00000000" w:usb2="00000000" w:usb3="00000000" w:csb0="00000001" w:csb1="00000000"/>
  </w:font>
  <w:font w:name="*Calibri-11535-Identity-H">
    <w:altName w:val="Calibri"/>
    <w:panose1 w:val="00000000000000000000"/>
    <w:charset w:val="00"/>
    <w:family w:val="auto"/>
    <w:notTrueType/>
    <w:pitch w:val="default"/>
    <w:sig w:usb0="00000003" w:usb1="00000000" w:usb2="00000000" w:usb3="00000000" w:csb0="00000001" w:csb1="00000000"/>
  </w:font>
  <w:font w:name="*Times New Roman-Italic-11531-I">
    <w:altName w:val="Calibri"/>
    <w:panose1 w:val="00000000000000000000"/>
    <w:charset w:val="00"/>
    <w:family w:val="auto"/>
    <w:notTrueType/>
    <w:pitch w:val="default"/>
    <w:sig w:usb0="00000003" w:usb1="00000000" w:usb2="00000000" w:usb3="00000000" w:csb0="00000001" w:csb1="00000000"/>
  </w:font>
  <w:font w:name="*Microsoft Sans Serif-12347-Ide">
    <w:altName w:val="Calibri"/>
    <w:panose1 w:val="00000000000000000000"/>
    <w:charset w:val="00"/>
    <w:family w:val="auto"/>
    <w:notTrueType/>
    <w:pitch w:val="default"/>
    <w:sig w:usb0="00000003" w:usb1="00000000" w:usb2="00000000" w:usb3="00000000" w:csb0="00000001" w:csb1="00000000"/>
  </w:font>
  <w:font w:name="*Times New Roman-Italic-12343-I">
    <w:altName w:val="Calibri"/>
    <w:panose1 w:val="00000000000000000000"/>
    <w:charset w:val="00"/>
    <w:family w:val="auto"/>
    <w:notTrueType/>
    <w:pitch w:val="default"/>
    <w:sig w:usb0="00000003" w:usb1="00000000" w:usb2="00000000" w:usb3="00000000" w:csb0="00000001" w:csb1="00000000"/>
  </w:font>
  <w:font w:name="*Microsoft Sans Serif-11357-Ide">
    <w:altName w:val="Calibri"/>
    <w:panose1 w:val="00000000000000000000"/>
    <w:charset w:val="00"/>
    <w:family w:val="auto"/>
    <w:notTrueType/>
    <w:pitch w:val="default"/>
    <w:sig w:usb0="00000003" w:usb1="00000000" w:usb2="00000000" w:usb3="00000000" w:csb0="00000001" w:csb1="00000000"/>
  </w:font>
  <w:font w:name="*Calibri-11356-Identity-H">
    <w:altName w:val="Calibri"/>
    <w:panose1 w:val="00000000000000000000"/>
    <w:charset w:val="00"/>
    <w:family w:val="auto"/>
    <w:notTrueType/>
    <w:pitch w:val="default"/>
    <w:sig w:usb0="00000003" w:usb1="00000000" w:usb2="00000000" w:usb3="00000000" w:csb0="00000001" w:csb1="00000000"/>
  </w:font>
  <w:font w:name="*Microsoft Sans Serif-10611-Ide">
    <w:altName w:val="Calibri"/>
    <w:panose1 w:val="00000000000000000000"/>
    <w:charset w:val="00"/>
    <w:family w:val="auto"/>
    <w:notTrueType/>
    <w:pitch w:val="default"/>
    <w:sig w:usb0="00000003" w:usb1="00000000" w:usb2="00000000" w:usb3="00000000" w:csb0="00000001" w:csb1="00000000"/>
  </w:font>
  <w:font w:name="*Arial-10610-Identity-H">
    <w:altName w:val="Calibri"/>
    <w:panose1 w:val="00000000000000000000"/>
    <w:charset w:val="00"/>
    <w:family w:val="auto"/>
    <w:notTrueType/>
    <w:pitch w:val="default"/>
    <w:sig w:usb0="00000003" w:usb1="00000000" w:usb2="00000000" w:usb3="00000000" w:csb0="00000001" w:csb1="00000000"/>
  </w:font>
  <w:font w:name="*Times New Roman-Italic-10606-I">
    <w:altName w:val="Calibri"/>
    <w:panose1 w:val="00000000000000000000"/>
    <w:charset w:val="00"/>
    <w:family w:val="auto"/>
    <w:notTrueType/>
    <w:pitch w:val="default"/>
    <w:sig w:usb0="00000003" w:usb1="00000000" w:usb2="00000000" w:usb3="00000000" w:csb0="00000001" w:csb1="00000000"/>
  </w:font>
  <w:font w:name="*Times New Roman-Italic-10607-I">
    <w:altName w:val="Calibri"/>
    <w:panose1 w:val="00000000000000000000"/>
    <w:charset w:val="00"/>
    <w:family w:val="auto"/>
    <w:notTrueType/>
    <w:pitch w:val="default"/>
    <w:sig w:usb0="00000003" w:usb1="00000000" w:usb2="00000000" w:usb3="00000000" w:csb0="00000001" w:csb1="00000000"/>
  </w:font>
  <w:font w:name="*Microsoft Sans Serif-11450-Ide">
    <w:altName w:val="Calibri"/>
    <w:panose1 w:val="00000000000000000000"/>
    <w:charset w:val="00"/>
    <w:family w:val="auto"/>
    <w:notTrueType/>
    <w:pitch w:val="default"/>
    <w:sig w:usb0="00000003" w:usb1="00000000" w:usb2="00000000" w:usb3="00000000" w:csb0="00000001" w:csb1="00000000"/>
  </w:font>
  <w:font w:name="*Calibri-Bold-11449-Identity-H">
    <w:altName w:val="Calibri"/>
    <w:panose1 w:val="00000000000000000000"/>
    <w:charset w:val="00"/>
    <w:family w:val="auto"/>
    <w:notTrueType/>
    <w:pitch w:val="default"/>
    <w:sig w:usb0="00000003" w:usb1="00000000" w:usb2="00000000" w:usb3="00000000" w:csb0="00000001" w:csb1="00000000"/>
  </w:font>
  <w:font w:name="*Times New Roman-Italic-11446-I">
    <w:altName w:val="Calibri"/>
    <w:panose1 w:val="00000000000000000000"/>
    <w:charset w:val="00"/>
    <w:family w:val="auto"/>
    <w:notTrueType/>
    <w:pitch w:val="default"/>
    <w:sig w:usb0="00000003" w:usb1="00000000" w:usb2="00000000" w:usb3="00000000" w:csb0="00000001" w:csb1="00000000"/>
  </w:font>
  <w:font w:name="*Calibri-10248-Identity-H">
    <w:altName w:val="Calibri"/>
    <w:panose1 w:val="00000000000000000000"/>
    <w:charset w:val="00"/>
    <w:family w:val="auto"/>
    <w:notTrueType/>
    <w:pitch w:val="default"/>
    <w:sig w:usb0="00000003" w:usb1="00000000" w:usb2="00000000" w:usb3="00000000" w:csb0="00000001" w:csb1="00000000"/>
  </w:font>
  <w:font w:name="*Calibri-Bold-10250-Identity-H">
    <w:altName w:val="Calibri"/>
    <w:panose1 w:val="00000000000000000000"/>
    <w:charset w:val="00"/>
    <w:family w:val="auto"/>
    <w:notTrueType/>
    <w:pitch w:val="default"/>
    <w:sig w:usb0="00000003" w:usb1="00000000" w:usb2="00000000" w:usb3="00000000" w:csb0="00000001" w:csb1="00000000"/>
  </w:font>
  <w:font w:name="*Arial-Bold-10251-Identity-H">
    <w:altName w:val="Calibri"/>
    <w:panose1 w:val="00000000000000000000"/>
    <w:charset w:val="00"/>
    <w:family w:val="auto"/>
    <w:notTrueType/>
    <w:pitch w:val="default"/>
    <w:sig w:usb0="00000003" w:usb1="00000000" w:usb2="00000000" w:usb3="00000000" w:csb0="00000001" w:csb1="00000000"/>
  </w:font>
  <w:font w:name="*Calibri-BoldItalic-10249-Ident">
    <w:altName w:val="Calibri"/>
    <w:panose1 w:val="00000000000000000000"/>
    <w:charset w:val="00"/>
    <w:family w:val="auto"/>
    <w:notTrueType/>
    <w:pitch w:val="default"/>
    <w:sig w:usb0="00000003" w:usb1="00000000" w:usb2="00000000" w:usb3="00000000" w:csb0="00000001" w:csb1="00000000"/>
  </w:font>
  <w:font w:name="*Comic Sans MS-Bold-10252-Ident">
    <w:altName w:val="Calibri"/>
    <w:panose1 w:val="00000000000000000000"/>
    <w:charset w:val="00"/>
    <w:family w:val="auto"/>
    <w:notTrueType/>
    <w:pitch w:val="default"/>
    <w:sig w:usb0="00000003" w:usb1="00000000" w:usb2="00000000" w:usb3="00000000" w:csb0="00000001" w:csb1="00000000"/>
  </w:font>
  <w:font w:name="*Verdana-Bold-12126-Identity-H">
    <w:altName w:val="Calibri"/>
    <w:panose1 w:val="00000000000000000000"/>
    <w:charset w:val="00"/>
    <w:family w:val="auto"/>
    <w:notTrueType/>
    <w:pitch w:val="default"/>
    <w:sig w:usb0="00000003" w:usb1="00000000" w:usb2="00000000" w:usb3="00000000" w:csb0="00000001" w:csb1="00000000"/>
  </w:font>
  <w:font w:name="*Arial-BoldItalic-12124-Identit">
    <w:altName w:val="Calibri"/>
    <w:panose1 w:val="00000000000000000000"/>
    <w:charset w:val="00"/>
    <w:family w:val="auto"/>
    <w:notTrueType/>
    <w:pitch w:val="default"/>
    <w:sig w:usb0="00000003" w:usb1="00000000" w:usb2="00000000" w:usb3="00000000" w:csb0="00000001" w:csb1="00000000"/>
  </w:font>
  <w:font w:name="*Microsoft Sans Serif-Bold-1212">
    <w:altName w:val="Calibri"/>
    <w:panose1 w:val="00000000000000000000"/>
    <w:charset w:val="00"/>
    <w:family w:val="auto"/>
    <w:notTrueType/>
    <w:pitch w:val="default"/>
    <w:sig w:usb0="00000003" w:usb1="00000000" w:usb2="00000000" w:usb3="00000000" w:csb0="00000001" w:csb1="00000000"/>
  </w:font>
  <w:font w:name="*Calibri-12123-Identity-H">
    <w:altName w:val="Calibri"/>
    <w:panose1 w:val="00000000000000000000"/>
    <w:charset w:val="00"/>
    <w:family w:val="auto"/>
    <w:notTrueType/>
    <w:pitch w:val="default"/>
    <w:sig w:usb0="00000003" w:usb1="00000000" w:usb2="00000000" w:usb3="00000000" w:csb0="00000001" w:csb1="00000000"/>
  </w:font>
  <w:font w:name="*Arial-BoldItalic-12125-Identit">
    <w:altName w:val="Calibri"/>
    <w:panose1 w:val="00000000000000000000"/>
    <w:charset w:val="00"/>
    <w:family w:val="auto"/>
    <w:notTrueType/>
    <w:pitch w:val="default"/>
    <w:sig w:usb0="00000003" w:usb1="00000000" w:usb2="00000000" w:usb3="00000000" w:csb0="00000001" w:csb1="00000000"/>
  </w:font>
  <w:font w:name="*Calibri-13160-Identity-H">
    <w:altName w:val="Calibri"/>
    <w:panose1 w:val="00000000000000000000"/>
    <w:charset w:val="00"/>
    <w:family w:val="auto"/>
    <w:notTrueType/>
    <w:pitch w:val="default"/>
    <w:sig w:usb0="00000003" w:usb1="00000000" w:usb2="00000000" w:usb3="00000000" w:csb0="00000001" w:csb1="00000000"/>
  </w:font>
  <w:font w:name="*Arial-13164-Identity-H">
    <w:altName w:val="Calibri"/>
    <w:panose1 w:val="00000000000000000000"/>
    <w:charset w:val="00"/>
    <w:family w:val="auto"/>
    <w:notTrueType/>
    <w:pitch w:val="default"/>
    <w:sig w:usb0="00000003" w:usb1="00000000" w:usb2="00000000" w:usb3="00000000" w:csb0="00000001" w:csb1="00000000"/>
  </w:font>
  <w:font w:name="*Times New Roman-Italic-13157-I">
    <w:altName w:val="Calibri"/>
    <w:panose1 w:val="00000000000000000000"/>
    <w:charset w:val="00"/>
    <w:family w:val="auto"/>
    <w:notTrueType/>
    <w:pitch w:val="default"/>
    <w:sig w:usb0="00000003" w:usb1="00000000" w:usb2="00000000" w:usb3="00000000" w:csb0="00000001" w:csb1="00000000"/>
  </w:font>
  <w:font w:name="*Arial-BoldItalic-13163-Identit">
    <w:altName w:val="Calibri"/>
    <w:panose1 w:val="00000000000000000000"/>
    <w:charset w:val="00"/>
    <w:family w:val="auto"/>
    <w:notTrueType/>
    <w:pitch w:val="default"/>
    <w:sig w:usb0="00000003" w:usb1="00000000" w:usb2="00000000" w:usb3="00000000" w:csb0="00000001" w:csb1="00000000"/>
  </w:font>
  <w:font w:name="*Calibri-Bold-13162-Identity-H">
    <w:altName w:val="Calibri"/>
    <w:panose1 w:val="00000000000000000000"/>
    <w:charset w:val="00"/>
    <w:family w:val="auto"/>
    <w:notTrueType/>
    <w:pitch w:val="default"/>
    <w:sig w:usb0="00000003" w:usb1="00000000" w:usb2="00000000" w:usb3="00000000" w:csb0="00000001" w:csb1="00000000"/>
  </w:font>
  <w:font w:name="*Calibri-Bold-13161-Identity-H">
    <w:altName w:val="Calibri"/>
    <w:panose1 w:val="00000000000000000000"/>
    <w:charset w:val="00"/>
    <w:family w:val="auto"/>
    <w:notTrueType/>
    <w:pitch w:val="default"/>
    <w:sig w:usb0="00000003" w:usb1="00000000" w:usb2="00000000" w:usb3="00000000" w:csb0="00000001" w:csb1="00000000"/>
  </w:font>
  <w:font w:name="*Times New Roman-Italic-13156-I">
    <w:altName w:val="Calibri"/>
    <w:panose1 w:val="00000000000000000000"/>
    <w:charset w:val="00"/>
    <w:family w:val="auto"/>
    <w:notTrueType/>
    <w:pitch w:val="default"/>
    <w:sig w:usb0="00000003" w:usb1="00000000" w:usb2="00000000" w:usb3="00000000" w:csb0="00000001" w:csb1="00000000"/>
  </w:font>
  <w:font w:name="*Calibri-BoldItalic-11634-Ident">
    <w:altName w:val="Calibri"/>
    <w:panose1 w:val="00000000000000000000"/>
    <w:charset w:val="00"/>
    <w:family w:val="auto"/>
    <w:notTrueType/>
    <w:pitch w:val="default"/>
    <w:sig w:usb0="00000003" w:usb1="00000000" w:usb2="00000000" w:usb3="00000000" w:csb0="00000001" w:csb1="00000000"/>
  </w:font>
  <w:font w:name="*Calibri-Bold-11633-Identity-H">
    <w:altName w:val="Calibri"/>
    <w:panose1 w:val="00000000000000000000"/>
    <w:charset w:val="00"/>
    <w:family w:val="auto"/>
    <w:notTrueType/>
    <w:pitch w:val="default"/>
    <w:sig w:usb0="00000003" w:usb1="00000000" w:usb2="00000000" w:usb3="00000000" w:csb0="00000001" w:csb1="00000000"/>
  </w:font>
  <w:font w:name="*Calibri-11632-Identity-H">
    <w:altName w:val="Calibri"/>
    <w:panose1 w:val="00000000000000000000"/>
    <w:charset w:val="00"/>
    <w:family w:val="auto"/>
    <w:notTrueType/>
    <w:pitch w:val="default"/>
    <w:sig w:usb0="00000003" w:usb1="00000000" w:usb2="00000000" w:usb3="00000000" w:csb0="00000001" w:csb1="00000000"/>
  </w:font>
  <w:font w:name="*Times New Roman-11629-Identity">
    <w:altName w:val="Calibri"/>
    <w:panose1 w:val="00000000000000000000"/>
    <w:charset w:val="00"/>
    <w:family w:val="auto"/>
    <w:notTrueType/>
    <w:pitch w:val="default"/>
    <w:sig w:usb0="00000003" w:usb1="00000000" w:usb2="00000000" w:usb3="00000000" w:csb0="00000001" w:csb1="00000000"/>
  </w:font>
  <w:font w:name="*Verdana-11635-Identity-H">
    <w:altName w:val="Calibri"/>
    <w:panose1 w:val="00000000000000000000"/>
    <w:charset w:val="00"/>
    <w:family w:val="auto"/>
    <w:notTrueType/>
    <w:pitch w:val="default"/>
    <w:sig w:usb0="00000003" w:usb1="00000000" w:usb2="00000000" w:usb3="00000000" w:csb0="00000001" w:csb1="00000000"/>
  </w:font>
  <w:font w:name="*Tahoma-11636-Identity-H">
    <w:altName w:val="Calibri"/>
    <w:panose1 w:val="00000000000000000000"/>
    <w:charset w:val="00"/>
    <w:family w:val="auto"/>
    <w:notTrueType/>
    <w:pitch w:val="default"/>
    <w:sig w:usb0="00000003" w:usb1="00000000" w:usb2="00000000" w:usb3="00000000" w:csb0="00000001" w:csb1="00000000"/>
  </w:font>
  <w:font w:name="*Calibri-12071-Identity-H">
    <w:altName w:val="Calibri"/>
    <w:panose1 w:val="00000000000000000000"/>
    <w:charset w:val="00"/>
    <w:family w:val="auto"/>
    <w:notTrueType/>
    <w:pitch w:val="default"/>
    <w:sig w:usb0="00000003" w:usb1="00000000" w:usb2="00000000" w:usb3="00000000" w:csb0="00000001" w:csb1="00000000"/>
  </w:font>
  <w:font w:name="*Times New Roman-12068-Identity">
    <w:altName w:val="Calibri"/>
    <w:panose1 w:val="00000000000000000000"/>
    <w:charset w:val="00"/>
    <w:family w:val="auto"/>
    <w:notTrueType/>
    <w:pitch w:val="default"/>
    <w:sig w:usb0="00000003" w:usb1="00000000" w:usb2="00000000" w:usb3="00000000" w:csb0="00000001" w:csb1="00000000"/>
  </w:font>
  <w:font w:name="*Arial-BoldItalic-12073-Identit">
    <w:altName w:val="Calibri"/>
    <w:panose1 w:val="00000000000000000000"/>
    <w:charset w:val="00"/>
    <w:family w:val="auto"/>
    <w:notTrueType/>
    <w:pitch w:val="default"/>
    <w:sig w:usb0="00000003" w:usb1="00000000" w:usb2="00000000" w:usb3="00000000" w:csb0="00000001" w:csb1="00000000"/>
  </w:font>
  <w:font w:name="*Calibri-Bold-12072-Identity-H">
    <w:altName w:val="Calibri"/>
    <w:panose1 w:val="00000000000000000000"/>
    <w:charset w:val="00"/>
    <w:family w:val="auto"/>
    <w:notTrueType/>
    <w:pitch w:val="default"/>
    <w:sig w:usb0="00000003" w:usb1="00000000" w:usb2="00000000" w:usb3="00000000" w:csb0="00000001" w:csb1="00000000"/>
  </w:font>
  <w:font w:name="*Times New Roman-Italic-12067-I">
    <w:altName w:val="Calibri"/>
    <w:panose1 w:val="00000000000000000000"/>
    <w:charset w:val="00"/>
    <w:family w:val="auto"/>
    <w:notTrueType/>
    <w:pitch w:val="default"/>
    <w:sig w:usb0="00000003" w:usb1="00000000" w:usb2="00000000" w:usb3="00000000" w:csb0="00000001" w:csb1="00000000"/>
  </w:font>
  <w:font w:name="*Comic Sans MS-Bold-11585-Ident">
    <w:altName w:val="Calibri"/>
    <w:panose1 w:val="00000000000000000000"/>
    <w:charset w:val="00"/>
    <w:family w:val="auto"/>
    <w:notTrueType/>
    <w:pitch w:val="default"/>
    <w:sig w:usb0="00000003" w:usb1="00000000" w:usb2="00000000" w:usb3="00000000" w:csb0="00000001" w:csb1="00000000"/>
  </w:font>
  <w:font w:name="*Microsoft Sans Serif-11586-Ide">
    <w:altName w:val="Calibri"/>
    <w:panose1 w:val="00000000000000000000"/>
    <w:charset w:val="00"/>
    <w:family w:val="auto"/>
    <w:notTrueType/>
    <w:pitch w:val="default"/>
    <w:sig w:usb0="00000003" w:usb1="00000000" w:usb2="00000000" w:usb3="00000000" w:csb0="00000001" w:csb1="00000000"/>
  </w:font>
  <w:font w:name="*Microsoft Sans Serif-Bold-1158">
    <w:altName w:val="Calibri"/>
    <w:panose1 w:val="00000000000000000000"/>
    <w:charset w:val="00"/>
    <w:family w:val="auto"/>
    <w:notTrueType/>
    <w:pitch w:val="default"/>
    <w:sig w:usb0="00000003" w:usb1="00000000" w:usb2="00000000" w:usb3="00000000" w:csb0="00000001" w:csb1="00000000"/>
  </w:font>
  <w:font w:name="*Arial-Italic-11584-Identity-H">
    <w:altName w:val="Calibri"/>
    <w:panose1 w:val="00000000000000000000"/>
    <w:charset w:val="00"/>
    <w:family w:val="auto"/>
    <w:notTrueType/>
    <w:pitch w:val="default"/>
    <w:sig w:usb0="00000003" w:usb1="00000000" w:usb2="00000000" w:usb3="00000000" w:csb0="00000001" w:csb1="00000000"/>
  </w:font>
  <w:font w:name="*Microsoft Sans Serif-11538-Ide">
    <w:altName w:val="Calibri"/>
    <w:panose1 w:val="00000000000000000000"/>
    <w:charset w:val="00"/>
    <w:family w:val="auto"/>
    <w:notTrueType/>
    <w:pitch w:val="default"/>
    <w:sig w:usb0="00000003" w:usb1="00000000" w:usb2="00000000" w:usb3="00000000" w:csb0="00000001" w:csb1="00000000"/>
  </w:font>
  <w:font w:name="*Times New Roman-Italic-11532-I">
    <w:altName w:val="Calibri"/>
    <w:panose1 w:val="00000000000000000000"/>
    <w:charset w:val="00"/>
    <w:family w:val="auto"/>
    <w:notTrueType/>
    <w:pitch w:val="default"/>
    <w:sig w:usb0="00000003" w:usb1="00000000" w:usb2="00000000" w:usb3="00000000" w:csb0="00000001" w:csb1="00000000"/>
  </w:font>
  <w:font w:name="*Calibri-11536-Identity-H">
    <w:altName w:val="Calibri"/>
    <w:panose1 w:val="00000000000000000000"/>
    <w:charset w:val="00"/>
    <w:family w:val="auto"/>
    <w:notTrueType/>
    <w:pitch w:val="default"/>
    <w:sig w:usb0="00000003" w:usb1="00000000" w:usb2="00000000" w:usb3="00000000" w:csb0="00000001" w:csb1="00000000"/>
  </w:font>
  <w:font w:name="*Arial-Bold-11537-Identity-H">
    <w:altName w:val="Calibri"/>
    <w:panose1 w:val="00000000000000000000"/>
    <w:charset w:val="00"/>
    <w:family w:val="auto"/>
    <w:notTrueType/>
    <w:pitch w:val="default"/>
    <w:sig w:usb0="00000003" w:usb1="00000000" w:usb2="00000000" w:usb3="00000000" w:csb0="00000001" w:csb1="00000000"/>
  </w:font>
  <w:font w:name="*Times New Roman-11533-Identity">
    <w:altName w:val="Calibri"/>
    <w:panose1 w:val="00000000000000000000"/>
    <w:charset w:val="00"/>
    <w:family w:val="auto"/>
    <w:notTrueType/>
    <w:pitch w:val="default"/>
    <w:sig w:usb0="00000003" w:usb1="00000000" w:usb2="00000000" w:usb3="00000000" w:csb0="00000001" w:csb1="00000000"/>
  </w:font>
  <w:font w:name="*Calibri-Bold-11153-Identity-H">
    <w:altName w:val="Calibri"/>
    <w:panose1 w:val="00000000000000000000"/>
    <w:charset w:val="00"/>
    <w:family w:val="auto"/>
    <w:notTrueType/>
    <w:pitch w:val="default"/>
    <w:sig w:usb0="00000003" w:usb1="00000000" w:usb2="00000000" w:usb3="00000000" w:csb0="00000001" w:csb1="00000000"/>
  </w:font>
  <w:font w:name="*Arial-11154-Identity-H">
    <w:altName w:val="Calibri"/>
    <w:panose1 w:val="00000000000000000000"/>
    <w:charset w:val="00"/>
    <w:family w:val="auto"/>
    <w:notTrueType/>
    <w:pitch w:val="default"/>
    <w:sig w:usb0="00000003" w:usb1="00000000" w:usb2="00000000" w:usb3="00000000" w:csb0="00000001" w:csb1="00000000"/>
  </w:font>
  <w:font w:name="*Calibri-Bold-11763-Identity-H">
    <w:altName w:val="Calibri"/>
    <w:panose1 w:val="00000000000000000000"/>
    <w:charset w:val="00"/>
    <w:family w:val="auto"/>
    <w:notTrueType/>
    <w:pitch w:val="default"/>
    <w:sig w:usb0="00000003" w:usb1="00000000" w:usb2="00000000" w:usb3="00000000" w:csb0="00000001" w:csb1="00000000"/>
  </w:font>
  <w:font w:name="*Microsoft Sans Serif-11765-Ide">
    <w:altName w:val="Calibri"/>
    <w:panose1 w:val="00000000000000000000"/>
    <w:charset w:val="00"/>
    <w:family w:val="auto"/>
    <w:notTrueType/>
    <w:pitch w:val="default"/>
    <w:sig w:usb0="00000003" w:usb1="00000000" w:usb2="00000000" w:usb3="00000000" w:csb0="00000001" w:csb1="00000000"/>
  </w:font>
  <w:font w:name="*Calibri-11764-Identity-H">
    <w:altName w:val="Calibri"/>
    <w:panose1 w:val="00000000000000000000"/>
    <w:charset w:val="00"/>
    <w:family w:val="auto"/>
    <w:notTrueType/>
    <w:pitch w:val="default"/>
    <w:sig w:usb0="00000003" w:usb1="00000000" w:usb2="00000000" w:usb3="00000000" w:csb0="00000001" w:csb1="00000000"/>
  </w:font>
  <w:font w:name="*Microsoft Sans Serif-BoldItali">
    <w:altName w:val="Calibri"/>
    <w:panose1 w:val="00000000000000000000"/>
    <w:charset w:val="00"/>
    <w:family w:val="auto"/>
    <w:notTrueType/>
    <w:pitch w:val="default"/>
    <w:sig w:usb0="00000003" w:usb1="00000000" w:usb2="00000000" w:usb3="00000000" w:csb0="00000001" w:csb1="00000000"/>
  </w:font>
  <w:font w:name="*Arial-11727-Identity-H">
    <w:altName w:val="Calibri"/>
    <w:panose1 w:val="00000000000000000000"/>
    <w:charset w:val="00"/>
    <w:family w:val="auto"/>
    <w:notTrueType/>
    <w:pitch w:val="default"/>
    <w:sig w:usb0="00000003" w:usb1="00000000" w:usb2="00000000" w:usb3="00000000" w:csb0="00000001" w:csb1="00000000"/>
  </w:font>
  <w:font w:name="*Times New Roman-11760-Identity">
    <w:altName w:val="Calibri"/>
    <w:panose1 w:val="00000000000000000000"/>
    <w:charset w:val="00"/>
    <w:family w:val="auto"/>
    <w:notTrueType/>
    <w:pitch w:val="default"/>
    <w:sig w:usb0="00000003" w:usb1="00000000" w:usb2="00000000" w:usb3="00000000" w:csb0="00000001" w:csb1="00000000"/>
  </w:font>
  <w:font w:name="*Times New Roman-Italic-11722-I">
    <w:altName w:val="Calibri"/>
    <w:panose1 w:val="00000000000000000000"/>
    <w:charset w:val="00"/>
    <w:family w:val="auto"/>
    <w:notTrueType/>
    <w:pitch w:val="default"/>
    <w:sig w:usb0="00000003" w:usb1="00000000" w:usb2="00000000" w:usb3="00000000" w:csb0="00000001" w:csb1="00000000"/>
  </w:font>
  <w:font w:name="*Calibri-Bold-11726-Identity-H">
    <w:altName w:val="Calibri"/>
    <w:panose1 w:val="00000000000000000000"/>
    <w:charset w:val="00"/>
    <w:family w:val="auto"/>
    <w:notTrueType/>
    <w:pitch w:val="default"/>
    <w:sig w:usb0="00000003" w:usb1="00000000" w:usb2="00000000" w:usb3="00000000" w:csb0="00000001" w:csb1="00000000"/>
  </w:font>
  <w:font w:name="*Microsoft Sans Serif-11392-Ide">
    <w:altName w:val="Calibri"/>
    <w:panose1 w:val="00000000000000000000"/>
    <w:charset w:val="00"/>
    <w:family w:val="auto"/>
    <w:notTrueType/>
    <w:pitch w:val="default"/>
    <w:sig w:usb0="00000003" w:usb1="00000000" w:usb2="00000000" w:usb3="00000000" w:csb0="00000001" w:csb1="00000000"/>
  </w:font>
  <w:font w:name="*Times New Roman-11720-Identity">
    <w:altName w:val="Calibri"/>
    <w:panose1 w:val="00000000000000000000"/>
    <w:charset w:val="00"/>
    <w:family w:val="auto"/>
    <w:notTrueType/>
    <w:pitch w:val="default"/>
    <w:sig w:usb0="00000003" w:usb1="00000000" w:usb2="00000000" w:usb3="00000000" w:csb0="00000001" w:csb1="00000000"/>
  </w:font>
  <w:font w:name="*Calibri-11389-Identity-H">
    <w:altName w:val="Calibri"/>
    <w:panose1 w:val="00000000000000000000"/>
    <w:charset w:val="00"/>
    <w:family w:val="auto"/>
    <w:notTrueType/>
    <w:pitch w:val="default"/>
    <w:sig w:usb0="00000003" w:usb1="00000000" w:usb2="00000000" w:usb3="00000000" w:csb0="00000001" w:csb1="00000000"/>
  </w:font>
  <w:font w:name="*Times New Roman-Italic-11386-I">
    <w:altName w:val="Calibri"/>
    <w:panose1 w:val="00000000000000000000"/>
    <w:charset w:val="00"/>
    <w:family w:val="auto"/>
    <w:notTrueType/>
    <w:pitch w:val="default"/>
    <w:sig w:usb0="00000003" w:usb1="00000000" w:usb2="00000000" w:usb3="00000000" w:csb0="00000001" w:csb1="00000000"/>
  </w:font>
  <w:font w:name="*Arial-Bold-11390-Identity-H">
    <w:altName w:val="Calibri"/>
    <w:panose1 w:val="00000000000000000000"/>
    <w:charset w:val="00"/>
    <w:family w:val="auto"/>
    <w:notTrueType/>
    <w:pitch w:val="default"/>
    <w:sig w:usb0="00000003" w:usb1="00000000" w:usb2="00000000" w:usb3="00000000" w:csb0="00000001" w:csb1="00000000"/>
  </w:font>
  <w:font w:name="*Arial-BoldItalic-11391-Identit">
    <w:altName w:val="Calibri"/>
    <w:panose1 w:val="00000000000000000000"/>
    <w:charset w:val="00"/>
    <w:family w:val="auto"/>
    <w:notTrueType/>
    <w:pitch w:val="default"/>
    <w:sig w:usb0="00000003" w:usb1="00000000" w:usb2="00000000" w:usb3="00000000" w:csb0="00000001" w:csb1="00000000"/>
  </w:font>
  <w:font w:name="*Times New Roman-11385-Identity">
    <w:altName w:val="Calibri"/>
    <w:panose1 w:val="00000000000000000000"/>
    <w:charset w:val="00"/>
    <w:family w:val="auto"/>
    <w:notTrueType/>
    <w:pitch w:val="default"/>
    <w:sig w:usb0="00000003" w:usb1="00000000" w:usb2="00000000" w:usb3="00000000" w:csb0="00000001" w:csb1="00000000"/>
  </w:font>
  <w:font w:name="*Microsoft Sans Serif-11252-Ide">
    <w:altName w:val="Calibri"/>
    <w:panose1 w:val="00000000000000000000"/>
    <w:charset w:val="00"/>
    <w:family w:val="auto"/>
    <w:notTrueType/>
    <w:pitch w:val="default"/>
    <w:sig w:usb0="00000003" w:usb1="00000000" w:usb2="00000000" w:usb3="00000000" w:csb0="00000001" w:csb1="00000000"/>
  </w:font>
  <w:font w:name="*Arial-BoldItalic-11251-Identit">
    <w:altName w:val="Calibri"/>
    <w:panose1 w:val="00000000000000000000"/>
    <w:charset w:val="00"/>
    <w:family w:val="auto"/>
    <w:notTrueType/>
    <w:pitch w:val="default"/>
    <w:sig w:usb0="00000003" w:usb1="00000000" w:usb2="00000000" w:usb3="00000000" w:csb0="00000001" w:csb1="00000000"/>
  </w:font>
  <w:font w:name="*Arial-Bold-11250-Identity-H">
    <w:altName w:val="Calibri"/>
    <w:panose1 w:val="00000000000000000000"/>
    <w:charset w:val="00"/>
    <w:family w:val="auto"/>
    <w:notTrueType/>
    <w:pitch w:val="default"/>
    <w:sig w:usb0="00000003" w:usb1="00000000" w:usb2="00000000" w:usb3="00000000" w:csb0="00000001" w:csb1="00000000"/>
  </w:font>
  <w:font w:name="*Times New Roman-Italic-11247-I">
    <w:altName w:val="Calibri"/>
    <w:panose1 w:val="00000000000000000000"/>
    <w:charset w:val="00"/>
    <w:family w:val="auto"/>
    <w:notTrueType/>
    <w:pitch w:val="default"/>
    <w:sig w:usb0="00000003" w:usb1="00000000" w:usb2="00000000" w:usb3="00000000" w:csb0="00000001" w:csb1="00000000"/>
  </w:font>
  <w:font w:name="*Times New Roman-BoldItalic-112">
    <w:altName w:val="Calibri"/>
    <w:panose1 w:val="00000000000000000000"/>
    <w:charset w:val="00"/>
    <w:family w:val="auto"/>
    <w:notTrueType/>
    <w:pitch w:val="default"/>
    <w:sig w:usb0="00000003" w:usb1="00000000" w:usb2="00000000" w:usb3="00000000" w:csb0="00000001" w:csb1="00000000"/>
  </w:font>
  <w:font w:name="*Tahoma-BoldItalic-11253-Identi">
    <w:altName w:val="Calibri"/>
    <w:panose1 w:val="00000000000000000000"/>
    <w:charset w:val="00"/>
    <w:family w:val="auto"/>
    <w:notTrueType/>
    <w:pitch w:val="default"/>
    <w:sig w:usb0="00000003" w:usb1="00000000" w:usb2="00000000" w:usb3="00000000" w:csb0="00000001" w:csb1="00000000"/>
  </w:font>
  <w:font w:name="*Microsoft Sans Serif-11626-Ide">
    <w:altName w:val="Calibri"/>
    <w:panose1 w:val="00000000000000000000"/>
    <w:charset w:val="00"/>
    <w:family w:val="auto"/>
    <w:notTrueType/>
    <w:pitch w:val="default"/>
    <w:sig w:usb0="00000003" w:usb1="00000000" w:usb2="00000000" w:usb3="00000000" w:csb0="00000001" w:csb1="00000000"/>
  </w:font>
  <w:font w:name="*Comic Sans MS-Bold-11625-Ident">
    <w:altName w:val="Calibri"/>
    <w:panose1 w:val="00000000000000000000"/>
    <w:charset w:val="00"/>
    <w:family w:val="auto"/>
    <w:notTrueType/>
    <w:pitch w:val="default"/>
    <w:sig w:usb0="00000003" w:usb1="00000000" w:usb2="00000000" w:usb3="00000000" w:csb0="00000001" w:csb1="00000000"/>
  </w:font>
  <w:font w:name="*Calibri-BoldItalic-11639-Ident">
    <w:altName w:val="Calibri"/>
    <w:panose1 w:val="00000000000000000000"/>
    <w:charset w:val="00"/>
    <w:family w:val="auto"/>
    <w:notTrueType/>
    <w:pitch w:val="default"/>
    <w:sig w:usb0="00000003" w:usb1="00000000" w:usb2="00000000" w:usb3="00000000" w:csb0="00000001" w:csb1="00000000"/>
  </w:font>
  <w:font w:name="*Microsoft Sans Serif-Bold-1164">
    <w:altName w:val="Calibri"/>
    <w:panose1 w:val="00000000000000000000"/>
    <w:charset w:val="00"/>
    <w:family w:val="auto"/>
    <w:notTrueType/>
    <w:pitch w:val="default"/>
    <w:sig w:usb0="00000003" w:usb1="00000000" w:usb2="00000000" w:usb3="00000000" w:csb0="00000001" w:csb1="00000000"/>
  </w:font>
  <w:font w:name="*Calibri-11637-Identity-H">
    <w:altName w:val="Calibri"/>
    <w:panose1 w:val="00000000000000000000"/>
    <w:charset w:val="00"/>
    <w:family w:val="auto"/>
    <w:notTrueType/>
    <w:pitch w:val="default"/>
    <w:sig w:usb0="00000003" w:usb1="00000000" w:usb2="00000000" w:usb3="00000000" w:csb0="00000001" w:csb1="00000000"/>
  </w:font>
  <w:font w:name="*Times New Roman-11634-Identity">
    <w:altName w:val="Calibri"/>
    <w:panose1 w:val="00000000000000000000"/>
    <w:charset w:val="00"/>
    <w:family w:val="auto"/>
    <w:notTrueType/>
    <w:pitch w:val="default"/>
    <w:sig w:usb0="00000003" w:usb1="00000000" w:usb2="00000000" w:usb3="00000000" w:csb0="00000001" w:csb1="00000000"/>
  </w:font>
  <w:font w:name="*Arial-12084-Identity-H">
    <w:altName w:val="Calibri"/>
    <w:panose1 w:val="00000000000000000000"/>
    <w:charset w:val="00"/>
    <w:family w:val="auto"/>
    <w:notTrueType/>
    <w:pitch w:val="default"/>
    <w:sig w:usb0="00000003" w:usb1="00000000" w:usb2="00000000" w:usb3="00000000" w:csb0="00000001" w:csb1="00000000"/>
  </w:font>
  <w:font w:name="*Arial-12085-Identity-H">
    <w:altName w:val="Calibri"/>
    <w:panose1 w:val="00000000000000000000"/>
    <w:charset w:val="00"/>
    <w:family w:val="auto"/>
    <w:notTrueType/>
    <w:pitch w:val="default"/>
    <w:sig w:usb0="00000003" w:usb1="00000000" w:usb2="00000000" w:usb3="00000000" w:csb0="00000001" w:csb1="00000000"/>
  </w:font>
  <w:font w:name="*Times New Roman-Italic-12081-I">
    <w:altName w:val="Calibri"/>
    <w:panose1 w:val="00000000000000000000"/>
    <w:charset w:val="00"/>
    <w:family w:val="auto"/>
    <w:notTrueType/>
    <w:pitch w:val="default"/>
    <w:sig w:usb0="00000003" w:usb1="00000000" w:usb2="00000000" w:usb3="00000000" w:csb0="00000001" w:csb1="00000000"/>
  </w:font>
  <w:font w:name="*Times New Roman-Italic-12080-I">
    <w:altName w:val="Calibri"/>
    <w:panose1 w:val="00000000000000000000"/>
    <w:charset w:val="00"/>
    <w:family w:val="auto"/>
    <w:notTrueType/>
    <w:pitch w:val="default"/>
    <w:sig w:usb0="00000003" w:usb1="00000000" w:usb2="00000000" w:usb3="00000000" w:csb0="00000001" w:csb1="00000000"/>
  </w:font>
  <w:font w:name="*Times New Roman-12079-Identity">
    <w:altName w:val="Calibri"/>
    <w:panose1 w:val="00000000000000000000"/>
    <w:charset w:val="00"/>
    <w:family w:val="auto"/>
    <w:notTrueType/>
    <w:pitch w:val="default"/>
    <w:sig w:usb0="00000003" w:usb1="00000000" w:usb2="00000000" w:usb3="00000000" w:csb0="00000001" w:csb1="00000000"/>
  </w:font>
  <w:font w:name="*Calibri-11770-Identity-H">
    <w:altName w:val="Calibri"/>
    <w:panose1 w:val="00000000000000000000"/>
    <w:charset w:val="00"/>
    <w:family w:val="auto"/>
    <w:notTrueType/>
    <w:pitch w:val="default"/>
    <w:sig w:usb0="00000003" w:usb1="00000000" w:usb2="00000000" w:usb3="00000000" w:csb0="00000001" w:csb1="00000000"/>
  </w:font>
  <w:font w:name="*Calibri-11772-Identity-H">
    <w:altName w:val="Calibri"/>
    <w:panose1 w:val="00000000000000000000"/>
    <w:charset w:val="00"/>
    <w:family w:val="auto"/>
    <w:notTrueType/>
    <w:pitch w:val="default"/>
    <w:sig w:usb0="00000003" w:usb1="00000000" w:usb2="00000000" w:usb3="00000000" w:csb0="00000001" w:csb1="00000000"/>
  </w:font>
  <w:font w:name="*Microsoft Sans Serif-12130-Ide">
    <w:altName w:val="Calibri"/>
    <w:panose1 w:val="00000000000000000000"/>
    <w:charset w:val="00"/>
    <w:family w:val="auto"/>
    <w:notTrueType/>
    <w:pitch w:val="default"/>
    <w:sig w:usb0="00000003" w:usb1="00000000" w:usb2="00000000" w:usb3="00000000" w:csb0="00000001" w:csb1="00000000"/>
  </w:font>
  <w:font w:name="*Tahoma-12131-Identity-H">
    <w:altName w:val="Calibri"/>
    <w:panose1 w:val="00000000000000000000"/>
    <w:charset w:val="00"/>
    <w:family w:val="auto"/>
    <w:notTrueType/>
    <w:pitch w:val="default"/>
    <w:sig w:usb0="00000003" w:usb1="00000000" w:usb2="00000000" w:usb3="00000000" w:csb0="00000001" w:csb1="00000000"/>
  </w:font>
  <w:font w:name="*Calibri-Bold-12128-Identity-H">
    <w:altName w:val="Calibri"/>
    <w:panose1 w:val="00000000000000000000"/>
    <w:charset w:val="00"/>
    <w:family w:val="auto"/>
    <w:notTrueType/>
    <w:pitch w:val="default"/>
    <w:sig w:usb0="00000003" w:usb1="00000000" w:usb2="00000000" w:usb3="00000000" w:csb0="00000001" w:csb1="00000000"/>
  </w:font>
  <w:font w:name="*Calibri-11645-Identity-H">
    <w:altName w:val="Calibri"/>
    <w:panose1 w:val="00000000000000000000"/>
    <w:charset w:val="00"/>
    <w:family w:val="auto"/>
    <w:notTrueType/>
    <w:pitch w:val="default"/>
    <w:sig w:usb0="00000003" w:usb1="00000000" w:usb2="00000000" w:usb3="00000000" w:csb0="00000001" w:csb1="00000000"/>
  </w:font>
  <w:font w:name="*Calibri-11646-Identity-H">
    <w:altName w:val="Calibri"/>
    <w:panose1 w:val="00000000000000000000"/>
    <w:charset w:val="00"/>
    <w:family w:val="auto"/>
    <w:notTrueType/>
    <w:pitch w:val="default"/>
    <w:sig w:usb0="00000003" w:usb1="00000000" w:usb2="00000000" w:usb3="00000000" w:csb0="00000001" w:csb1="00000000"/>
  </w:font>
  <w:font w:name="*Calibri-Bold-11647-Identity-H">
    <w:altName w:val="Calibri"/>
    <w:panose1 w:val="00000000000000000000"/>
    <w:charset w:val="00"/>
    <w:family w:val="auto"/>
    <w:notTrueType/>
    <w:pitch w:val="default"/>
    <w:sig w:usb0="00000003" w:usb1="00000000" w:usb2="00000000" w:usb3="00000000" w:csb0="00000001" w:csb1="00000000"/>
  </w:font>
  <w:font w:name="*Calibri-Bold-10230-Identity-H">
    <w:altName w:val="Calibri"/>
    <w:panose1 w:val="00000000000000000000"/>
    <w:charset w:val="00"/>
    <w:family w:val="auto"/>
    <w:notTrueType/>
    <w:pitch w:val="default"/>
    <w:sig w:usb0="00000003" w:usb1="00000000" w:usb2="00000000" w:usb3="00000000" w:csb0="00000001" w:csb1="00000000"/>
  </w:font>
  <w:font w:name="*Microsoft Sans Serif-10231-Ide">
    <w:altName w:val="Calibri"/>
    <w:panose1 w:val="00000000000000000000"/>
    <w:charset w:val="00"/>
    <w:family w:val="auto"/>
    <w:notTrueType/>
    <w:pitch w:val="default"/>
    <w:sig w:usb0="00000003" w:usb1="00000000" w:usb2="00000000" w:usb3="00000000" w:csb0="00000001" w:csb1="00000000"/>
  </w:font>
  <w:font w:name="*Times New Roman-Italic-10227-I">
    <w:altName w:val="Calibri"/>
    <w:panose1 w:val="00000000000000000000"/>
    <w:charset w:val="00"/>
    <w:family w:val="auto"/>
    <w:notTrueType/>
    <w:pitch w:val="default"/>
    <w:sig w:usb0="00000003" w:usb1="00000000" w:usb2="00000000" w:usb3="00000000" w:csb0="00000001" w:csb1="00000000"/>
  </w:font>
  <w:font w:name="*Microsoft Sans Serif-11342-Ide">
    <w:altName w:val="Calibri"/>
    <w:panose1 w:val="00000000000000000000"/>
    <w:charset w:val="00"/>
    <w:family w:val="auto"/>
    <w:notTrueType/>
    <w:pitch w:val="default"/>
    <w:sig w:usb0="00000003" w:usb1="00000000" w:usb2="00000000" w:usb3="00000000" w:csb0="00000001" w:csb1="00000000"/>
  </w:font>
  <w:font w:name="*Calibri-11338-Identity-H">
    <w:altName w:val="Calibri"/>
    <w:panose1 w:val="00000000000000000000"/>
    <w:charset w:val="00"/>
    <w:family w:val="auto"/>
    <w:notTrueType/>
    <w:pitch w:val="default"/>
    <w:sig w:usb0="00000003" w:usb1="00000000" w:usb2="00000000" w:usb3="00000000" w:csb0="00000001" w:csb1="00000000"/>
  </w:font>
  <w:font w:name="*Microsoft Sans Serif-11343-Ide">
    <w:altName w:val="Calibri"/>
    <w:panose1 w:val="00000000000000000000"/>
    <w:charset w:val="00"/>
    <w:family w:val="auto"/>
    <w:notTrueType/>
    <w:pitch w:val="default"/>
    <w:sig w:usb0="00000003" w:usb1="00000000" w:usb2="00000000" w:usb3="00000000" w:csb0="00000001" w:csb1="00000000"/>
  </w:font>
  <w:font w:name="*Comic Sans MS-BoldItalic-11341">
    <w:altName w:val="Calibri"/>
    <w:panose1 w:val="00000000000000000000"/>
    <w:charset w:val="00"/>
    <w:family w:val="auto"/>
    <w:notTrueType/>
    <w:pitch w:val="default"/>
    <w:sig w:usb0="00000003" w:usb1="00000000" w:usb2="00000000" w:usb3="00000000" w:csb0="00000001" w:csb1="00000000"/>
  </w:font>
  <w:font w:name="*Arial-Bold-11340-Identity-H">
    <w:altName w:val="Calibri"/>
    <w:panose1 w:val="00000000000000000000"/>
    <w:charset w:val="00"/>
    <w:family w:val="auto"/>
    <w:notTrueType/>
    <w:pitch w:val="default"/>
    <w:sig w:usb0="00000003" w:usb1="00000000" w:usb2="00000000" w:usb3="00000000" w:csb0="00000001" w:csb1="00000000"/>
  </w:font>
  <w:font w:name="*Microsoft Sans Serif-12540-Ide">
    <w:altName w:val="Calibri"/>
    <w:panose1 w:val="00000000000000000000"/>
    <w:charset w:val="00"/>
    <w:family w:val="auto"/>
    <w:notTrueType/>
    <w:pitch w:val="default"/>
    <w:sig w:usb0="00000003" w:usb1="00000000" w:usb2="00000000" w:usb3="00000000" w:csb0="00000001" w:csb1="00000000"/>
  </w:font>
  <w:font w:name="*Times New Roman-Italic-12536-I">
    <w:altName w:val="Calibri"/>
    <w:panose1 w:val="00000000000000000000"/>
    <w:charset w:val="00"/>
    <w:family w:val="auto"/>
    <w:notTrueType/>
    <w:pitch w:val="default"/>
    <w:sig w:usb0="00000003" w:usb1="00000000" w:usb2="00000000" w:usb3="00000000" w:csb0="00000001" w:csb1="00000000"/>
  </w:font>
  <w:font w:name="*Calibri-11961-Identity-H">
    <w:altName w:val="Calibri"/>
    <w:panose1 w:val="00000000000000000000"/>
    <w:charset w:val="00"/>
    <w:family w:val="auto"/>
    <w:notTrueType/>
    <w:pitch w:val="default"/>
    <w:sig w:usb0="00000003" w:usb1="00000000" w:usb2="00000000" w:usb3="00000000" w:csb0="00000001" w:csb1="00000000"/>
  </w:font>
  <w:font w:name="*Times New Roman-Italic-11957-I">
    <w:altName w:val="Calibri"/>
    <w:panose1 w:val="00000000000000000000"/>
    <w:charset w:val="00"/>
    <w:family w:val="auto"/>
    <w:notTrueType/>
    <w:pitch w:val="default"/>
    <w:sig w:usb0="00000003" w:usb1="00000000" w:usb2="00000000" w:usb3="00000000" w:csb0="00000001" w:csb1="00000000"/>
  </w:font>
  <w:font w:name="*Times New Roman-Italic-11958-I">
    <w:altName w:val="Calibri"/>
    <w:panose1 w:val="00000000000000000000"/>
    <w:charset w:val="00"/>
    <w:family w:val="auto"/>
    <w:notTrueType/>
    <w:pitch w:val="default"/>
    <w:sig w:usb0="00000003" w:usb1="00000000" w:usb2="00000000" w:usb3="00000000" w:csb0="00000001" w:csb1="00000000"/>
  </w:font>
  <w:font w:name="*Calibri-11963-Identity-H">
    <w:altName w:val="Calibri"/>
    <w:panose1 w:val="00000000000000000000"/>
    <w:charset w:val="00"/>
    <w:family w:val="auto"/>
    <w:notTrueType/>
    <w:pitch w:val="default"/>
    <w:sig w:usb0="00000003" w:usb1="00000000" w:usb2="00000000" w:usb3="00000000" w:csb0="00000001" w:csb1="00000000"/>
  </w:font>
  <w:font w:name="*Microsoft Sans Serif-11873-Ide">
    <w:altName w:val="Calibri"/>
    <w:panose1 w:val="00000000000000000000"/>
    <w:charset w:val="00"/>
    <w:family w:val="auto"/>
    <w:notTrueType/>
    <w:pitch w:val="default"/>
    <w:sig w:usb0="00000003" w:usb1="00000000" w:usb2="00000000" w:usb3="00000000" w:csb0="00000001" w:csb1="00000000"/>
  </w:font>
  <w:font w:name="*Times New Roman-Italic-11868-I">
    <w:altName w:val="Calibri"/>
    <w:panose1 w:val="00000000000000000000"/>
    <w:charset w:val="00"/>
    <w:family w:val="auto"/>
    <w:notTrueType/>
    <w:pitch w:val="default"/>
    <w:sig w:usb0="00000003" w:usb1="00000000" w:usb2="00000000" w:usb3="00000000" w:csb0="00000001" w:csb1="00000000"/>
  </w:font>
  <w:font w:name="*Arial-11551-Identity-H">
    <w:altName w:val="Calibri"/>
    <w:panose1 w:val="00000000000000000000"/>
    <w:charset w:val="00"/>
    <w:family w:val="auto"/>
    <w:notTrueType/>
    <w:pitch w:val="default"/>
    <w:sig w:usb0="00000003" w:usb1="00000000" w:usb2="00000000" w:usb3="00000000" w:csb0="00000001" w:csb1="00000000"/>
  </w:font>
  <w:font w:name="*Calibri-Bold-11550-Identity-H">
    <w:altName w:val="Calibri"/>
    <w:panose1 w:val="00000000000000000000"/>
    <w:charset w:val="00"/>
    <w:family w:val="auto"/>
    <w:notTrueType/>
    <w:pitch w:val="default"/>
    <w:sig w:usb0="00000003" w:usb1="00000000" w:usb2="00000000" w:usb3="00000000" w:csb0="00000001" w:csb1="00000000"/>
  </w:font>
  <w:font w:name="*Arial-BoldItalic-11552-Identit">
    <w:altName w:val="Calibri"/>
    <w:panose1 w:val="00000000000000000000"/>
    <w:charset w:val="00"/>
    <w:family w:val="auto"/>
    <w:notTrueType/>
    <w:pitch w:val="default"/>
    <w:sig w:usb0="00000003" w:usb1="00000000" w:usb2="00000000" w:usb3="00000000" w:csb0="00000001" w:csb1="00000000"/>
  </w:font>
  <w:font w:name="*Calibri-Bold-11549-Identity-H">
    <w:altName w:val="Calibri"/>
    <w:panose1 w:val="00000000000000000000"/>
    <w:charset w:val="00"/>
    <w:family w:val="auto"/>
    <w:notTrueType/>
    <w:pitch w:val="default"/>
    <w:sig w:usb0="00000003" w:usb1="00000000" w:usb2="00000000" w:usb3="00000000" w:csb0="00000001" w:csb1="00000000"/>
  </w:font>
  <w:font w:name="*Times New Roman-BoldItalic-115">
    <w:altName w:val="Calibri"/>
    <w:panose1 w:val="00000000000000000000"/>
    <w:charset w:val="00"/>
    <w:family w:val="auto"/>
    <w:notTrueType/>
    <w:pitch w:val="default"/>
    <w:sig w:usb0="00000003" w:usb1="00000000" w:usb2="00000000" w:usb3="00000000" w:csb0="00000001" w:csb1="00000000"/>
  </w:font>
  <w:font w:name="*Calibri-11548-Identity-H">
    <w:altName w:val="Calibri"/>
    <w:panose1 w:val="00000000000000000000"/>
    <w:charset w:val="00"/>
    <w:family w:val="auto"/>
    <w:notTrueType/>
    <w:pitch w:val="default"/>
    <w:sig w:usb0="00000003" w:usb1="00000000" w:usb2="00000000" w:usb3="00000000" w:csb0="00000001" w:csb1="00000000"/>
  </w:font>
  <w:font w:name="*Arial-11571-Identity-H">
    <w:altName w:val="Calibri"/>
    <w:panose1 w:val="00000000000000000000"/>
    <w:charset w:val="00"/>
    <w:family w:val="auto"/>
    <w:notTrueType/>
    <w:pitch w:val="default"/>
    <w:sig w:usb0="00000003" w:usb1="00000000" w:usb2="00000000" w:usb3="00000000" w:csb0="00000001" w:csb1="00000000"/>
  </w:font>
  <w:font w:name="*Times New Roman-Italic-11569-I">
    <w:altName w:val="Calibri"/>
    <w:panose1 w:val="00000000000000000000"/>
    <w:charset w:val="00"/>
    <w:family w:val="auto"/>
    <w:notTrueType/>
    <w:pitch w:val="default"/>
    <w:sig w:usb0="00000003" w:usb1="00000000" w:usb2="00000000" w:usb3="00000000" w:csb0="00000001" w:csb1="00000000"/>
  </w:font>
  <w:font w:name="*Microsoft Sans Serif-Bold-1157">
    <w:altName w:val="Calibri"/>
    <w:panose1 w:val="00000000000000000000"/>
    <w:charset w:val="00"/>
    <w:family w:val="auto"/>
    <w:notTrueType/>
    <w:pitch w:val="default"/>
    <w:sig w:usb0="00000003" w:usb1="00000000" w:usb2="00000000" w:usb3="00000000" w:csb0="00000001" w:csb1="00000000"/>
  </w:font>
  <w:font w:name="*Calibri-12028-Identity-H">
    <w:altName w:val="Calibri"/>
    <w:panose1 w:val="00000000000000000000"/>
    <w:charset w:val="00"/>
    <w:family w:val="auto"/>
    <w:notTrueType/>
    <w:pitch w:val="default"/>
    <w:sig w:usb0="00000003" w:usb1="00000000" w:usb2="00000000" w:usb3="00000000" w:csb0="00000001" w:csb1="00000000"/>
  </w:font>
  <w:font w:name="*Times New Roman-Italic-12025-I">
    <w:altName w:val="Calibri"/>
    <w:panose1 w:val="00000000000000000000"/>
    <w:charset w:val="00"/>
    <w:family w:val="auto"/>
    <w:notTrueType/>
    <w:pitch w:val="default"/>
    <w:sig w:usb0="00000003" w:usb1="00000000" w:usb2="00000000" w:usb3="00000000" w:csb0="00000001" w:csb1="00000000"/>
  </w:font>
  <w:font w:name="*Tahoma-12031-Identity-H">
    <w:altName w:val="Calibri"/>
    <w:panose1 w:val="00000000000000000000"/>
    <w:charset w:val="00"/>
    <w:family w:val="auto"/>
    <w:notTrueType/>
    <w:pitch w:val="default"/>
    <w:sig w:usb0="00000003" w:usb1="00000000" w:usb2="00000000" w:usb3="00000000" w:csb0="00000001" w:csb1="00000000"/>
  </w:font>
  <w:font w:name="*Tahoma-BoldItalic-12032-Identi">
    <w:altName w:val="Calibri"/>
    <w:panose1 w:val="00000000000000000000"/>
    <w:charset w:val="00"/>
    <w:family w:val="auto"/>
    <w:notTrueType/>
    <w:pitch w:val="default"/>
    <w:sig w:usb0="00000003" w:usb1="00000000" w:usb2="00000000" w:usb3="00000000" w:csb0="00000001" w:csb1="00000000"/>
  </w:font>
  <w:font w:name="*Arial-Bold-12029-Identity-H">
    <w:altName w:val="Calibri"/>
    <w:panose1 w:val="00000000000000000000"/>
    <w:charset w:val="00"/>
    <w:family w:val="auto"/>
    <w:notTrueType/>
    <w:pitch w:val="default"/>
    <w:sig w:usb0="00000003" w:usb1="00000000" w:usb2="00000000" w:usb3="00000000" w:csb0="00000001" w:csb1="00000000"/>
  </w:font>
  <w:font w:name="*Microsoft Sans Serif-Bold-1203">
    <w:altName w:val="Calibri"/>
    <w:panose1 w:val="00000000000000000000"/>
    <w:charset w:val="00"/>
    <w:family w:val="auto"/>
    <w:notTrueType/>
    <w:pitch w:val="default"/>
    <w:sig w:usb0="00000003" w:usb1="00000000" w:usb2="00000000" w:usb3="00000000" w:csb0="00000001" w:csb1="00000000"/>
  </w:font>
  <w:font w:name="*Microsoft Sans Serif-11829-Ide">
    <w:altName w:val="Calibri"/>
    <w:panose1 w:val="00000000000000000000"/>
    <w:charset w:val="00"/>
    <w:family w:val="auto"/>
    <w:notTrueType/>
    <w:pitch w:val="default"/>
    <w:sig w:usb0="00000003" w:usb1="00000000" w:usb2="00000000" w:usb3="00000000" w:csb0="00000001" w:csb1="00000000"/>
  </w:font>
  <w:font w:name="*Calibri-Bold-11828-Identity-H">
    <w:altName w:val="Calibri"/>
    <w:panose1 w:val="00000000000000000000"/>
    <w:charset w:val="00"/>
    <w:family w:val="auto"/>
    <w:notTrueType/>
    <w:pitch w:val="default"/>
    <w:sig w:usb0="00000003" w:usb1="00000000" w:usb2="00000000" w:usb3="00000000" w:csb0="00000001" w:csb1="00000000"/>
  </w:font>
  <w:font w:name="*Times New Roman-Italic-11822-I">
    <w:altName w:val="Calibri"/>
    <w:panose1 w:val="00000000000000000000"/>
    <w:charset w:val="00"/>
    <w:family w:val="auto"/>
    <w:notTrueType/>
    <w:pitch w:val="default"/>
    <w:sig w:usb0="00000003" w:usb1="00000000" w:usb2="00000000" w:usb3="00000000" w:csb0="00000001" w:csb1="00000000"/>
  </w:font>
  <w:font w:name="*Calibri-BoldItalic-11827-Ident">
    <w:altName w:val="Calibri"/>
    <w:panose1 w:val="00000000000000000000"/>
    <w:charset w:val="00"/>
    <w:family w:val="auto"/>
    <w:notTrueType/>
    <w:pitch w:val="default"/>
    <w:sig w:usb0="00000003" w:usb1="00000000" w:usb2="00000000" w:usb3="00000000" w:csb0="00000001" w:csb1="00000000"/>
  </w:font>
  <w:font w:name="*Calibri-Bold-11826-Identity-H">
    <w:altName w:val="Calibri"/>
    <w:panose1 w:val="00000000000000000000"/>
    <w:charset w:val="00"/>
    <w:family w:val="auto"/>
    <w:notTrueType/>
    <w:pitch w:val="default"/>
    <w:sig w:usb0="00000003" w:usb1="00000000" w:usb2="00000000" w:usb3="00000000" w:csb0="00000001" w:csb1="00000000"/>
  </w:font>
  <w:font w:name="*Microsoft Sans Serif-11830-Ide">
    <w:altName w:val="Calibri"/>
    <w:panose1 w:val="00000000000000000000"/>
    <w:charset w:val="00"/>
    <w:family w:val="auto"/>
    <w:notTrueType/>
    <w:pitch w:val="default"/>
    <w:sig w:usb0="00000003" w:usb1="00000000" w:usb2="00000000" w:usb3="00000000" w:csb0="00000001" w:csb1="00000000"/>
  </w:font>
  <w:font w:name="*Tahoma-BoldItalic-11831-Identi">
    <w:altName w:val="Calibri"/>
    <w:panose1 w:val="00000000000000000000"/>
    <w:charset w:val="00"/>
    <w:family w:val="auto"/>
    <w:notTrueType/>
    <w:pitch w:val="default"/>
    <w:sig w:usb0="00000003" w:usb1="00000000" w:usb2="00000000" w:usb3="00000000" w:csb0="00000001" w:csb1="00000000"/>
  </w:font>
  <w:font w:name="*Times New Roman-Italic-11823-I">
    <w:altName w:val="Calibri"/>
    <w:panose1 w:val="00000000000000000000"/>
    <w:charset w:val="00"/>
    <w:family w:val="auto"/>
    <w:notTrueType/>
    <w:pitch w:val="default"/>
    <w:sig w:usb0="00000003" w:usb1="00000000" w:usb2="00000000" w:usb3="00000000" w:csb0="00000001" w:csb1="00000000"/>
  </w:font>
  <w:font w:name="*Microsoft Sans Serif-12479-Ide">
    <w:altName w:val="Calibri"/>
    <w:panose1 w:val="00000000000000000000"/>
    <w:charset w:val="00"/>
    <w:family w:val="auto"/>
    <w:notTrueType/>
    <w:pitch w:val="default"/>
    <w:sig w:usb0="00000003" w:usb1="00000000" w:usb2="00000000" w:usb3="00000000" w:csb0="00000001" w:csb1="00000000"/>
  </w:font>
  <w:font w:name="*Tahoma-BoldItalic-12480-Identi">
    <w:altName w:val="Calibri"/>
    <w:panose1 w:val="00000000000000000000"/>
    <w:charset w:val="00"/>
    <w:family w:val="auto"/>
    <w:notTrueType/>
    <w:pitch w:val="default"/>
    <w:sig w:usb0="00000003" w:usb1="00000000" w:usb2="00000000" w:usb3="00000000" w:csb0="00000001" w:csb1="00000000"/>
  </w:font>
  <w:font w:name="*Verdana-Bold-12478-Identity-H">
    <w:altName w:val="Calibri"/>
    <w:panose1 w:val="00000000000000000000"/>
    <w:charset w:val="00"/>
    <w:family w:val="auto"/>
    <w:notTrueType/>
    <w:pitch w:val="default"/>
    <w:sig w:usb0="00000003" w:usb1="00000000" w:usb2="00000000" w:usb3="00000000" w:csb0="00000001" w:csb1="00000000"/>
  </w:font>
  <w:font w:name="*Times New Roman-Italic-12474-I">
    <w:altName w:val="Calibri"/>
    <w:panose1 w:val="00000000000000000000"/>
    <w:charset w:val="00"/>
    <w:family w:val="auto"/>
    <w:notTrueType/>
    <w:pitch w:val="default"/>
    <w:sig w:usb0="00000003" w:usb1="00000000" w:usb2="00000000" w:usb3="00000000" w:csb0="00000001" w:csb1="00000000"/>
  </w:font>
  <w:font w:name="*Arial-BoldItalic-12477-Identit">
    <w:altName w:val="Calibri"/>
    <w:panose1 w:val="00000000000000000000"/>
    <w:charset w:val="00"/>
    <w:family w:val="auto"/>
    <w:notTrueType/>
    <w:pitch w:val="default"/>
    <w:sig w:usb0="00000003" w:usb1="00000000" w:usb2="00000000" w:usb3="00000000" w:csb0="00000001" w:csb1="00000000"/>
  </w:font>
  <w:font w:name="*Arial-11263-Identity-H">
    <w:altName w:val="Calibri"/>
    <w:panose1 w:val="00000000000000000000"/>
    <w:charset w:val="00"/>
    <w:family w:val="auto"/>
    <w:notTrueType/>
    <w:pitch w:val="default"/>
    <w:sig w:usb0="00000003" w:usb1="00000000" w:usb2="00000000" w:usb3="00000000" w:csb0="00000001" w:csb1="00000000"/>
  </w:font>
  <w:font w:name="*Times New Roman-Italic-11258-I">
    <w:altName w:val="Calibri"/>
    <w:panose1 w:val="00000000000000000000"/>
    <w:charset w:val="00"/>
    <w:family w:val="auto"/>
    <w:notTrueType/>
    <w:pitch w:val="default"/>
    <w:sig w:usb0="00000003" w:usb1="00000000" w:usb2="00000000" w:usb3="00000000" w:csb0="00000001" w:csb1="00000000"/>
  </w:font>
  <w:font w:name="*Calibri-Bold-11261-Identity-H">
    <w:altName w:val="Calibri"/>
    <w:panose1 w:val="00000000000000000000"/>
    <w:charset w:val="00"/>
    <w:family w:val="auto"/>
    <w:notTrueType/>
    <w:pitch w:val="default"/>
    <w:sig w:usb0="00000003" w:usb1="00000000" w:usb2="00000000" w:usb3="00000000" w:csb0="00000001" w:csb1="00000000"/>
  </w:font>
  <w:font w:name="*Calibri-Bold-11262-Identity-H">
    <w:altName w:val="Calibri"/>
    <w:panose1 w:val="00000000000000000000"/>
    <w:charset w:val="00"/>
    <w:family w:val="auto"/>
    <w:notTrueType/>
    <w:pitch w:val="default"/>
    <w:sig w:usb0="00000003" w:usb1="00000000" w:usb2="00000000" w:usb3="00000000" w:csb0="00000001" w:csb1="00000000"/>
  </w:font>
  <w:font w:name="*Calibri-11451-Identity-H">
    <w:altName w:val="Calibri"/>
    <w:panose1 w:val="00000000000000000000"/>
    <w:charset w:val="00"/>
    <w:family w:val="auto"/>
    <w:notTrueType/>
    <w:pitch w:val="default"/>
    <w:sig w:usb0="00000003" w:usb1="00000000" w:usb2="00000000" w:usb3="00000000" w:csb0="00000001" w:csb1="00000000"/>
  </w:font>
  <w:font w:name="*Calibri-11450-Identity-H">
    <w:altName w:val="Calibri"/>
    <w:panose1 w:val="00000000000000000000"/>
    <w:charset w:val="00"/>
    <w:family w:val="auto"/>
    <w:notTrueType/>
    <w:pitch w:val="default"/>
    <w:sig w:usb0="00000003" w:usb1="00000000" w:usb2="00000000" w:usb3="00000000" w:csb0="00000001" w:csb1="00000000"/>
  </w:font>
  <w:font w:name="*Calibri-11454-Identity-H">
    <w:altName w:val="Calibri"/>
    <w:panose1 w:val="00000000000000000000"/>
    <w:charset w:val="00"/>
    <w:family w:val="auto"/>
    <w:notTrueType/>
    <w:pitch w:val="default"/>
    <w:sig w:usb0="00000003" w:usb1="00000000" w:usb2="00000000" w:usb3="00000000" w:csb0="00000001" w:csb1="00000000"/>
  </w:font>
  <w:font w:name="*Microsoft Sans Serif-12140-Ide">
    <w:altName w:val="Calibri"/>
    <w:panose1 w:val="00000000000000000000"/>
    <w:charset w:val="00"/>
    <w:family w:val="auto"/>
    <w:notTrueType/>
    <w:pitch w:val="default"/>
    <w:sig w:usb0="00000003" w:usb1="00000000" w:usb2="00000000" w:usb3="00000000" w:csb0="00000001" w:csb1="00000000"/>
  </w:font>
  <w:font w:name="*Arial-BoldItalic-12138-Identit">
    <w:altName w:val="Calibri"/>
    <w:panose1 w:val="00000000000000000000"/>
    <w:charset w:val="00"/>
    <w:family w:val="auto"/>
    <w:notTrueType/>
    <w:pitch w:val="default"/>
    <w:sig w:usb0="00000003" w:usb1="00000000" w:usb2="00000000" w:usb3="00000000" w:csb0="00000001" w:csb1="00000000"/>
  </w:font>
  <w:font w:name="*Comic Sans MS-Bold-12139-Ident">
    <w:altName w:val="Calibri"/>
    <w:panose1 w:val="00000000000000000000"/>
    <w:charset w:val="00"/>
    <w:family w:val="auto"/>
    <w:notTrueType/>
    <w:pitch w:val="default"/>
    <w:sig w:usb0="00000003" w:usb1="00000000" w:usb2="00000000" w:usb3="00000000" w:csb0="00000001" w:csb1="00000000"/>
  </w:font>
  <w:font w:name="*Times New Roman-Italic-12133-I">
    <w:altName w:val="Calibri"/>
    <w:panose1 w:val="00000000000000000000"/>
    <w:charset w:val="00"/>
    <w:family w:val="auto"/>
    <w:notTrueType/>
    <w:pitch w:val="default"/>
    <w:sig w:usb0="00000003" w:usb1="00000000" w:usb2="00000000" w:usb3="00000000" w:csb0="00000001" w:csb1="00000000"/>
  </w:font>
  <w:font w:name="*Times New Roman-BoldItalic-121">
    <w:altName w:val="Calibri"/>
    <w:panose1 w:val="00000000000000000000"/>
    <w:charset w:val="00"/>
    <w:family w:val="auto"/>
    <w:notTrueType/>
    <w:pitch w:val="default"/>
    <w:sig w:usb0="00000003" w:usb1="00000000" w:usb2="00000000" w:usb3="00000000" w:csb0="00000001" w:csb1="00000000"/>
  </w:font>
  <w:font w:name="*Calibri-Bold-10357-Identity-H">
    <w:altName w:val="Calibri"/>
    <w:panose1 w:val="00000000000000000000"/>
    <w:charset w:val="00"/>
    <w:family w:val="auto"/>
    <w:notTrueType/>
    <w:pitch w:val="default"/>
    <w:sig w:usb0="00000003" w:usb1="00000000" w:usb2="00000000" w:usb3="00000000" w:csb0="00000001" w:csb1="00000000"/>
  </w:font>
  <w:font w:name="*Microsoft Sans Serif-Bold-1036">
    <w:altName w:val="Calibri"/>
    <w:panose1 w:val="00000000000000000000"/>
    <w:charset w:val="00"/>
    <w:family w:val="auto"/>
    <w:notTrueType/>
    <w:pitch w:val="default"/>
    <w:sig w:usb0="00000003" w:usb1="00000000" w:usb2="00000000" w:usb3="00000000" w:csb0="00000001" w:csb1="00000000"/>
  </w:font>
  <w:font w:name="*Verdana-BoldItalic-10359-Ident">
    <w:altName w:val="Calibri"/>
    <w:panose1 w:val="00000000000000000000"/>
    <w:charset w:val="00"/>
    <w:family w:val="auto"/>
    <w:notTrueType/>
    <w:pitch w:val="default"/>
    <w:sig w:usb0="00000003" w:usb1="00000000" w:usb2="00000000" w:usb3="00000000" w:csb0="00000001" w:csb1="00000000"/>
  </w:font>
  <w:font w:name="*Arial-10358-Identity-H">
    <w:altName w:val="Calibri"/>
    <w:panose1 w:val="00000000000000000000"/>
    <w:charset w:val="00"/>
    <w:family w:val="auto"/>
    <w:notTrueType/>
    <w:pitch w:val="default"/>
    <w:sig w:usb0="00000003" w:usb1="00000000" w:usb2="00000000" w:usb3="00000000" w:csb0="00000001" w:csb1="00000000"/>
  </w:font>
  <w:font w:name="*Microsoft Sans Serif-Italic-10">
    <w:altName w:val="Calibri"/>
    <w:panose1 w:val="00000000000000000000"/>
    <w:charset w:val="00"/>
    <w:family w:val="auto"/>
    <w:notTrueType/>
    <w:pitch w:val="default"/>
    <w:sig w:usb0="00000003" w:usb1="00000000" w:usb2="00000000" w:usb3="00000000" w:csb0="00000001" w:csb1="00000000"/>
  </w:font>
  <w:font w:name="*Microsoft Sans Serif-10748-Ide">
    <w:altName w:val="Calibri"/>
    <w:panose1 w:val="00000000000000000000"/>
    <w:charset w:val="00"/>
    <w:family w:val="auto"/>
    <w:notTrueType/>
    <w:pitch w:val="default"/>
    <w:sig w:usb0="00000003" w:usb1="00000000" w:usb2="00000000" w:usb3="00000000" w:csb0="00000001" w:csb1="00000000"/>
  </w:font>
  <w:font w:name="*Arial-Bold-10747-Identity-H">
    <w:altName w:val="Calibri"/>
    <w:panose1 w:val="00000000000000000000"/>
    <w:charset w:val="00"/>
    <w:family w:val="auto"/>
    <w:notTrueType/>
    <w:pitch w:val="default"/>
    <w:sig w:usb0="00000003" w:usb1="00000000" w:usb2="00000000" w:usb3="00000000" w:csb0="00000001" w:csb1="00000000"/>
  </w:font>
  <w:font w:name="*Arial-BoldItalic-10746-Identit">
    <w:altName w:val="Calibri"/>
    <w:panose1 w:val="00000000000000000000"/>
    <w:charset w:val="00"/>
    <w:family w:val="auto"/>
    <w:notTrueType/>
    <w:pitch w:val="default"/>
    <w:sig w:usb0="00000003" w:usb1="00000000" w:usb2="00000000" w:usb3="00000000" w:csb0="00000001" w:csb1="00000000"/>
  </w:font>
  <w:font w:name="*Calibri-Bold-10888-Identity-H">
    <w:altName w:val="Calibri"/>
    <w:panose1 w:val="00000000000000000000"/>
    <w:charset w:val="00"/>
    <w:family w:val="auto"/>
    <w:notTrueType/>
    <w:pitch w:val="default"/>
    <w:sig w:usb0="00000003" w:usb1="00000000" w:usb2="00000000" w:usb3="00000000" w:csb0="00000001" w:csb1="00000000"/>
  </w:font>
  <w:font w:name="*Calibri-10886-Identity-H">
    <w:altName w:val="Calibri"/>
    <w:panose1 w:val="00000000000000000000"/>
    <w:charset w:val="00"/>
    <w:family w:val="auto"/>
    <w:notTrueType/>
    <w:pitch w:val="default"/>
    <w:sig w:usb0="00000003" w:usb1="00000000" w:usb2="00000000" w:usb3="00000000" w:csb0="00000001" w:csb1="00000000"/>
  </w:font>
  <w:font w:name="*Calibri-10887-Identity-H">
    <w:altName w:val="Calibri"/>
    <w:panose1 w:val="00000000000000000000"/>
    <w:charset w:val="00"/>
    <w:family w:val="auto"/>
    <w:notTrueType/>
    <w:pitch w:val="default"/>
    <w:sig w:usb0="00000003" w:usb1="00000000" w:usb2="00000000" w:usb3="00000000" w:csb0="00000001" w:csb1="00000000"/>
  </w:font>
  <w:font w:name="*Calibri-11237-Identity-H">
    <w:altName w:val="Calibri"/>
    <w:panose1 w:val="00000000000000000000"/>
    <w:charset w:val="00"/>
    <w:family w:val="auto"/>
    <w:notTrueType/>
    <w:pitch w:val="default"/>
    <w:sig w:usb0="00000003" w:usb1="00000000" w:usb2="00000000" w:usb3="00000000" w:csb0="00000001" w:csb1="00000000"/>
  </w:font>
  <w:font w:name="*Calibri-Bold-11238-Identity-H">
    <w:altName w:val="Calibri"/>
    <w:panose1 w:val="00000000000000000000"/>
    <w:charset w:val="00"/>
    <w:family w:val="auto"/>
    <w:notTrueType/>
    <w:pitch w:val="default"/>
    <w:sig w:usb0="00000003" w:usb1="00000000" w:usb2="00000000" w:usb3="00000000" w:csb0="00000001" w:csb1="00000000"/>
  </w:font>
  <w:font w:name="*Times New Roman-Italic-11234-I">
    <w:altName w:val="Calibri"/>
    <w:panose1 w:val="00000000000000000000"/>
    <w:charset w:val="00"/>
    <w:family w:val="auto"/>
    <w:notTrueType/>
    <w:pitch w:val="default"/>
    <w:sig w:usb0="00000003" w:usb1="00000000" w:usb2="00000000" w:usb3="00000000" w:csb0="00000001" w:csb1="00000000"/>
  </w:font>
  <w:font w:name="*Times New Roman-Bold-11233-Ide">
    <w:altName w:val="Calibri"/>
    <w:panose1 w:val="00000000000000000000"/>
    <w:charset w:val="00"/>
    <w:family w:val="auto"/>
    <w:notTrueType/>
    <w:pitch w:val="default"/>
    <w:sig w:usb0="00000003" w:usb1="00000000" w:usb2="00000000" w:usb3="00000000" w:csb0="00000001" w:csb1="00000000"/>
  </w:font>
  <w:font w:name="*Comic Sans MS-BoldItalic-11239">
    <w:altName w:val="Calibri"/>
    <w:panose1 w:val="00000000000000000000"/>
    <w:charset w:val="00"/>
    <w:family w:val="auto"/>
    <w:notTrueType/>
    <w:pitch w:val="default"/>
    <w:sig w:usb0="00000003" w:usb1="00000000" w:usb2="00000000" w:usb3="00000000" w:csb0="00000001" w:csb1="00000000"/>
  </w:font>
  <w:font w:name="*Calibri-BoldItalic-12274-Ident">
    <w:altName w:val="Calibri"/>
    <w:panose1 w:val="00000000000000000000"/>
    <w:charset w:val="00"/>
    <w:family w:val="auto"/>
    <w:notTrueType/>
    <w:pitch w:val="default"/>
    <w:sig w:usb0="00000003" w:usb1="00000000" w:usb2="00000000" w:usb3="00000000" w:csb0="00000001" w:csb1="00000000"/>
  </w:font>
  <w:font w:name="*Arial-Bold-12277-Identity-H">
    <w:altName w:val="Calibri"/>
    <w:panose1 w:val="00000000000000000000"/>
    <w:charset w:val="00"/>
    <w:family w:val="auto"/>
    <w:notTrueType/>
    <w:pitch w:val="default"/>
    <w:sig w:usb0="00000003" w:usb1="00000000" w:usb2="00000000" w:usb3="00000000" w:csb0="00000001" w:csb1="00000000"/>
  </w:font>
  <w:font w:name="*Calibri-Bold-12273-Identity-H">
    <w:altName w:val="Calibri"/>
    <w:panose1 w:val="00000000000000000000"/>
    <w:charset w:val="00"/>
    <w:family w:val="auto"/>
    <w:notTrueType/>
    <w:pitch w:val="default"/>
    <w:sig w:usb0="00000003" w:usb1="00000000" w:usb2="00000000" w:usb3="00000000" w:csb0="00000001" w:csb1="00000000"/>
  </w:font>
  <w:font w:name="*Calibri-12272-Identity-H">
    <w:altName w:val="Calibri"/>
    <w:panose1 w:val="00000000000000000000"/>
    <w:charset w:val="00"/>
    <w:family w:val="auto"/>
    <w:notTrueType/>
    <w:pitch w:val="default"/>
    <w:sig w:usb0="00000003" w:usb1="00000000" w:usb2="00000000" w:usb3="00000000" w:csb0="00000001" w:csb1="00000000"/>
  </w:font>
  <w:font w:name="*Times New Roman-Italic-12269-I">
    <w:altName w:val="Calibri"/>
    <w:panose1 w:val="00000000000000000000"/>
    <w:charset w:val="00"/>
    <w:family w:val="auto"/>
    <w:notTrueType/>
    <w:pitch w:val="default"/>
    <w:sig w:usb0="00000003" w:usb1="00000000" w:usb2="00000000" w:usb3="00000000" w:csb0="00000001" w:csb1="00000000"/>
  </w:font>
  <w:font w:name="*Calibri-Bold-12275-Identity-H">
    <w:altName w:val="Calibri"/>
    <w:panose1 w:val="00000000000000000000"/>
    <w:charset w:val="00"/>
    <w:family w:val="auto"/>
    <w:notTrueType/>
    <w:pitch w:val="default"/>
    <w:sig w:usb0="00000003" w:usb1="00000000" w:usb2="00000000" w:usb3="00000000" w:csb0="00000001" w:csb1="00000000"/>
  </w:font>
  <w:font w:name="*Comic Sans MS-12278-Identity-H">
    <w:altName w:val="Calibri"/>
    <w:panose1 w:val="00000000000000000000"/>
    <w:charset w:val="00"/>
    <w:family w:val="auto"/>
    <w:notTrueType/>
    <w:pitch w:val="default"/>
    <w:sig w:usb0="00000003" w:usb1="00000000" w:usb2="00000000" w:usb3="00000000" w:csb0="00000001" w:csb1="00000000"/>
  </w:font>
  <w:font w:name="*Arial-Bold-12276-Identity-H">
    <w:altName w:val="Calibri"/>
    <w:panose1 w:val="00000000000000000000"/>
    <w:charset w:val="00"/>
    <w:family w:val="auto"/>
    <w:notTrueType/>
    <w:pitch w:val="default"/>
    <w:sig w:usb0="00000003" w:usb1="00000000" w:usb2="00000000" w:usb3="00000000" w:csb0="00000001" w:csb1="00000000"/>
  </w:font>
  <w:font w:name="*Calibri-11779-Identity-H">
    <w:altName w:val="Calibri"/>
    <w:panose1 w:val="00000000000000000000"/>
    <w:charset w:val="00"/>
    <w:family w:val="auto"/>
    <w:notTrueType/>
    <w:pitch w:val="default"/>
    <w:sig w:usb0="00000003" w:usb1="00000000" w:usb2="00000000" w:usb3="00000000" w:csb0="00000001" w:csb1="00000000"/>
  </w:font>
  <w:font w:name="*Tahoma-BoldItalic-11781-Identi">
    <w:altName w:val="Calibri"/>
    <w:panose1 w:val="00000000000000000000"/>
    <w:charset w:val="00"/>
    <w:family w:val="auto"/>
    <w:notTrueType/>
    <w:pitch w:val="default"/>
    <w:sig w:usb0="00000003" w:usb1="00000000" w:usb2="00000000" w:usb3="00000000" w:csb0="00000001" w:csb1="00000000"/>
  </w:font>
  <w:font w:name="*Calibri-Bold-11780-Identity-H">
    <w:altName w:val="Calibri"/>
    <w:panose1 w:val="00000000000000000000"/>
    <w:charset w:val="00"/>
    <w:family w:val="auto"/>
    <w:notTrueType/>
    <w:pitch w:val="default"/>
    <w:sig w:usb0="00000003" w:usb1="00000000" w:usb2="00000000" w:usb3="00000000" w:csb0="00000001" w:csb1="00000000"/>
  </w:font>
  <w:font w:name="*Microsoft Sans Serif-11936-Ide">
    <w:altName w:val="Calibri"/>
    <w:panose1 w:val="00000000000000000000"/>
    <w:charset w:val="00"/>
    <w:family w:val="auto"/>
    <w:notTrueType/>
    <w:pitch w:val="default"/>
    <w:sig w:usb0="00000003" w:usb1="00000000" w:usb2="00000000" w:usb3="00000000" w:csb0="00000001" w:csb1="00000000"/>
  </w:font>
  <w:font w:name="*Comic Sans MS-BoldItalic-11935">
    <w:altName w:val="Calibri"/>
    <w:panose1 w:val="00000000000000000000"/>
    <w:charset w:val="00"/>
    <w:family w:val="auto"/>
    <w:notTrueType/>
    <w:pitch w:val="default"/>
    <w:sig w:usb0="00000003" w:usb1="00000000" w:usb2="00000000" w:usb3="00000000" w:csb0="00000001" w:csb1="00000000"/>
  </w:font>
  <w:font w:name="*Times New Roman-Bold-11930-Ide">
    <w:altName w:val="Calibri"/>
    <w:panose1 w:val="00000000000000000000"/>
    <w:charset w:val="00"/>
    <w:family w:val="auto"/>
    <w:notTrueType/>
    <w:pitch w:val="default"/>
    <w:sig w:usb0="00000003" w:usb1="00000000" w:usb2="00000000" w:usb3="00000000" w:csb0="00000001" w:csb1="00000000"/>
  </w:font>
  <w:font w:name="*Arial-Bold-11934-Identity-H">
    <w:altName w:val="Calibri"/>
    <w:panose1 w:val="00000000000000000000"/>
    <w:charset w:val="00"/>
    <w:family w:val="auto"/>
    <w:notTrueType/>
    <w:pitch w:val="default"/>
    <w:sig w:usb0="00000003" w:usb1="00000000" w:usb2="00000000" w:usb3="00000000" w:csb0="00000001" w:csb1="00000000"/>
  </w:font>
  <w:font w:name="*Times New Roman-Italic-11929-I">
    <w:altName w:val="Calibri"/>
    <w:panose1 w:val="00000000000000000000"/>
    <w:charset w:val="00"/>
    <w:family w:val="auto"/>
    <w:notTrueType/>
    <w:pitch w:val="default"/>
    <w:sig w:usb0="00000003" w:usb1="00000000" w:usb2="00000000" w:usb3="00000000" w:csb0="00000001" w:csb1="00000000"/>
  </w:font>
  <w:font w:name="*Arial-BoldItalic-12236-Identit">
    <w:altName w:val="Calibri"/>
    <w:panose1 w:val="00000000000000000000"/>
    <w:charset w:val="00"/>
    <w:family w:val="auto"/>
    <w:notTrueType/>
    <w:pitch w:val="default"/>
    <w:sig w:usb0="00000003" w:usb1="00000000" w:usb2="00000000" w:usb3="00000000" w:csb0="00000001" w:csb1="00000000"/>
  </w:font>
  <w:font w:name="*Comic Sans MS-Bold-12237-Ident">
    <w:altName w:val="Calibri"/>
    <w:panose1 w:val="00000000000000000000"/>
    <w:charset w:val="00"/>
    <w:family w:val="auto"/>
    <w:notTrueType/>
    <w:pitch w:val="default"/>
    <w:sig w:usb0="00000003" w:usb1="00000000" w:usb2="00000000" w:usb3="00000000" w:csb0="00000001" w:csb1="00000000"/>
  </w:font>
  <w:font w:name="*Microsoft Sans Serif-12238-Ide">
    <w:altName w:val="Calibri"/>
    <w:panose1 w:val="00000000000000000000"/>
    <w:charset w:val="00"/>
    <w:family w:val="auto"/>
    <w:notTrueType/>
    <w:pitch w:val="default"/>
    <w:sig w:usb0="00000003" w:usb1="00000000" w:usb2="00000000" w:usb3="00000000" w:csb0="00000001" w:csb1="00000000"/>
  </w:font>
  <w:font w:name="*Times New Roman-BoldItalic-122">
    <w:altName w:val="Calibri"/>
    <w:panose1 w:val="00000000000000000000"/>
    <w:charset w:val="00"/>
    <w:family w:val="auto"/>
    <w:notTrueType/>
    <w:pitch w:val="default"/>
    <w:sig w:usb0="00000003" w:usb1="00000000" w:usb2="00000000" w:usb3="00000000" w:csb0="00000001" w:csb1="00000000"/>
  </w:font>
  <w:font w:name="*Microsoft Sans Serif-11516-Ide">
    <w:altName w:val="Calibri"/>
    <w:panose1 w:val="00000000000000000000"/>
    <w:charset w:val="00"/>
    <w:family w:val="auto"/>
    <w:notTrueType/>
    <w:pitch w:val="default"/>
    <w:sig w:usb0="00000003" w:usb1="00000000" w:usb2="00000000" w:usb3="00000000" w:csb0="00000001" w:csb1="00000000"/>
  </w:font>
  <w:font w:name="*Calibri-11515-Identity-H">
    <w:altName w:val="Calibri"/>
    <w:panose1 w:val="00000000000000000000"/>
    <w:charset w:val="00"/>
    <w:family w:val="auto"/>
    <w:notTrueType/>
    <w:pitch w:val="default"/>
    <w:sig w:usb0="00000003" w:usb1="00000000" w:usb2="00000000" w:usb3="00000000" w:csb0="00000001" w:csb1="00000000"/>
  </w:font>
  <w:font w:name="*Calibri-BoldItalic-11513-Ident">
    <w:altName w:val="Calibri"/>
    <w:panose1 w:val="00000000000000000000"/>
    <w:charset w:val="00"/>
    <w:family w:val="auto"/>
    <w:notTrueType/>
    <w:pitch w:val="default"/>
    <w:sig w:usb0="00000003" w:usb1="00000000" w:usb2="00000000" w:usb3="00000000" w:csb0="00000001" w:csb1="00000000"/>
  </w:font>
  <w:font w:name="*Calibri-Bold-11512-Identity-H">
    <w:altName w:val="Calibri"/>
    <w:panose1 w:val="00000000000000000000"/>
    <w:charset w:val="00"/>
    <w:family w:val="auto"/>
    <w:notTrueType/>
    <w:pitch w:val="default"/>
    <w:sig w:usb0="00000003" w:usb1="00000000" w:usb2="00000000" w:usb3="00000000" w:csb0="00000001" w:csb1="00000000"/>
  </w:font>
  <w:font w:name="*Microsoft Sans Serif-Bold-1151">
    <w:altName w:val="Calibri"/>
    <w:panose1 w:val="00000000000000000000"/>
    <w:charset w:val="00"/>
    <w:family w:val="auto"/>
    <w:notTrueType/>
    <w:pitch w:val="default"/>
    <w:sig w:usb0="00000003" w:usb1="00000000" w:usb2="00000000" w:usb3="00000000" w:csb0="00000001" w:csb1="00000000"/>
  </w:font>
  <w:font w:name="*Calibri-Bold-11514-Identity-H">
    <w:altName w:val="Calibri"/>
    <w:panose1 w:val="00000000000000000000"/>
    <w:charset w:val="00"/>
    <w:family w:val="auto"/>
    <w:notTrueType/>
    <w:pitch w:val="default"/>
    <w:sig w:usb0="00000003" w:usb1="00000000" w:usb2="00000000" w:usb3="00000000" w:csb0="00000001" w:csb1="00000000"/>
  </w:font>
  <w:font w:name="*Microsoft Sans Serif-12512-Ide">
    <w:altName w:val="Calibri"/>
    <w:panose1 w:val="00000000000000000000"/>
    <w:charset w:val="00"/>
    <w:family w:val="auto"/>
    <w:notTrueType/>
    <w:pitch w:val="default"/>
    <w:sig w:usb0="00000003" w:usb1="00000000" w:usb2="00000000" w:usb3="00000000" w:csb0="00000001" w:csb1="00000000"/>
  </w:font>
  <w:font w:name="*Times New Roman-Italic-11508-I">
    <w:altName w:val="Calibri"/>
    <w:panose1 w:val="00000000000000000000"/>
    <w:charset w:val="00"/>
    <w:family w:val="auto"/>
    <w:notTrueType/>
    <w:pitch w:val="default"/>
    <w:sig w:usb0="00000003" w:usb1="00000000" w:usb2="00000000" w:usb3="00000000" w:csb0="00000001" w:csb1="00000000"/>
  </w:font>
  <w:font w:name="*Times New Roman-Italic-11509-I">
    <w:altName w:val="Calibri"/>
    <w:panose1 w:val="00000000000000000000"/>
    <w:charset w:val="00"/>
    <w:family w:val="auto"/>
    <w:notTrueType/>
    <w:pitch w:val="default"/>
    <w:sig w:usb0="00000003" w:usb1="00000000" w:usb2="00000000" w:usb3="00000000" w:csb0="00000001" w:csb1="00000000"/>
  </w:font>
  <w:font w:name="*Arial-BoldItalic-12509-Identit">
    <w:altName w:val="Calibri"/>
    <w:panose1 w:val="00000000000000000000"/>
    <w:charset w:val="00"/>
    <w:family w:val="auto"/>
    <w:notTrueType/>
    <w:pitch w:val="default"/>
    <w:sig w:usb0="00000003" w:usb1="00000000" w:usb2="00000000" w:usb3="00000000" w:csb0="00000001" w:csb1="00000000"/>
  </w:font>
  <w:font w:name="*Comic Sans MS-Bold-12511-Ident">
    <w:altName w:val="Calibri"/>
    <w:panose1 w:val="00000000000000000000"/>
    <w:charset w:val="00"/>
    <w:family w:val="auto"/>
    <w:notTrueType/>
    <w:pitch w:val="default"/>
    <w:sig w:usb0="00000003" w:usb1="00000000" w:usb2="00000000" w:usb3="00000000" w:csb0="00000001" w:csb1="00000000"/>
  </w:font>
  <w:font w:name="*Comic Sans MS-Bold-12510-Ident">
    <w:altName w:val="Calibri"/>
    <w:panose1 w:val="00000000000000000000"/>
    <w:charset w:val="00"/>
    <w:family w:val="auto"/>
    <w:notTrueType/>
    <w:pitch w:val="default"/>
    <w:sig w:usb0="00000003" w:usb1="00000000" w:usb2="00000000" w:usb3="00000000" w:csb0="00000001" w:csb1="00000000"/>
  </w:font>
  <w:font w:name="*Times New Roman-Italic-12506-I">
    <w:altName w:val="Calibri"/>
    <w:panose1 w:val="00000000000000000000"/>
    <w:charset w:val="00"/>
    <w:family w:val="auto"/>
    <w:notTrueType/>
    <w:pitch w:val="default"/>
    <w:sig w:usb0="00000003" w:usb1="00000000" w:usb2="00000000" w:usb3="00000000" w:csb0="00000001" w:csb1="00000000"/>
  </w:font>
  <w:font w:name="*Times New Roman-Italic-12505-I">
    <w:altName w:val="Calibri"/>
    <w:panose1 w:val="00000000000000000000"/>
    <w:charset w:val="00"/>
    <w:family w:val="auto"/>
    <w:notTrueType/>
    <w:pitch w:val="default"/>
    <w:sig w:usb0="00000003" w:usb1="00000000" w:usb2="00000000" w:usb3="00000000" w:csb0="00000001" w:csb1="00000000"/>
  </w:font>
  <w:font w:name="*Arial-10738-Identity-H">
    <w:altName w:val="Calibri"/>
    <w:panose1 w:val="00000000000000000000"/>
    <w:charset w:val="00"/>
    <w:family w:val="auto"/>
    <w:notTrueType/>
    <w:pitch w:val="default"/>
    <w:sig w:usb0="00000003" w:usb1="00000000" w:usb2="00000000" w:usb3="00000000" w:csb0="00000001" w:csb1="00000000"/>
  </w:font>
  <w:font w:name="*Arial-Bold-10739-Identity-H">
    <w:altName w:val="Calibri"/>
    <w:panose1 w:val="00000000000000000000"/>
    <w:charset w:val="00"/>
    <w:family w:val="auto"/>
    <w:notTrueType/>
    <w:pitch w:val="default"/>
    <w:sig w:usb0="00000003" w:usb1="00000000" w:usb2="00000000" w:usb3="00000000" w:csb0="00000001" w:csb1="00000000"/>
  </w:font>
  <w:font w:name="*Calibri-Bold-10737-Identity-H">
    <w:altName w:val="Calibri"/>
    <w:panose1 w:val="00000000000000000000"/>
    <w:charset w:val="00"/>
    <w:family w:val="auto"/>
    <w:notTrueType/>
    <w:pitch w:val="default"/>
    <w:sig w:usb0="00000003" w:usb1="00000000" w:usb2="00000000" w:usb3="00000000" w:csb0="00000001" w:csb1="00000000"/>
  </w:font>
  <w:font w:name="*Microsoft Sans Serif-Bold-1074">
    <w:altName w:val="Calibri"/>
    <w:panose1 w:val="00000000000000000000"/>
    <w:charset w:val="00"/>
    <w:family w:val="auto"/>
    <w:notTrueType/>
    <w:pitch w:val="default"/>
    <w:sig w:usb0="00000003" w:usb1="00000000" w:usb2="00000000" w:usb3="00000000" w:csb0="00000001" w:csb1="00000000"/>
  </w:font>
  <w:font w:name="*Arial-BoldItalic-10740-Identit">
    <w:altName w:val="Calibri"/>
    <w:panose1 w:val="00000000000000000000"/>
    <w:charset w:val="00"/>
    <w:family w:val="auto"/>
    <w:notTrueType/>
    <w:pitch w:val="default"/>
    <w:sig w:usb0="00000003" w:usb1="00000000" w:usb2="00000000" w:usb3="00000000" w:csb0="00000001" w:csb1="00000000"/>
  </w:font>
  <w:font w:name="*Arial-12250-Identity-H">
    <w:altName w:val="Calibri"/>
    <w:panose1 w:val="00000000000000000000"/>
    <w:charset w:val="00"/>
    <w:family w:val="auto"/>
    <w:notTrueType/>
    <w:pitch w:val="default"/>
    <w:sig w:usb0="00000003" w:usb1="00000000" w:usb2="00000000" w:usb3="00000000" w:csb0="00000001" w:csb1="00000000"/>
  </w:font>
  <w:font w:name="*Calibri-12248-Identity-H">
    <w:altName w:val="Calibri"/>
    <w:panose1 w:val="00000000000000000000"/>
    <w:charset w:val="00"/>
    <w:family w:val="auto"/>
    <w:notTrueType/>
    <w:pitch w:val="default"/>
    <w:sig w:usb0="00000003" w:usb1="00000000" w:usb2="00000000" w:usb3="00000000" w:csb0="00000001" w:csb1="00000000"/>
  </w:font>
  <w:font w:name="*Microsoft Sans Serif-Bold-1225">
    <w:altName w:val="Calibri"/>
    <w:panose1 w:val="00000000000000000000"/>
    <w:charset w:val="00"/>
    <w:family w:val="auto"/>
    <w:notTrueType/>
    <w:pitch w:val="default"/>
    <w:sig w:usb0="00000003" w:usb1="00000000" w:usb2="00000000" w:usb3="00000000" w:csb0="00000001" w:csb1="00000000"/>
  </w:font>
  <w:font w:name="*Calibri-Bold-12249-Identity-H">
    <w:altName w:val="Calibri"/>
    <w:panose1 w:val="00000000000000000000"/>
    <w:charset w:val="00"/>
    <w:family w:val="auto"/>
    <w:notTrueType/>
    <w:pitch w:val="default"/>
    <w:sig w:usb0="00000003" w:usb1="00000000" w:usb2="00000000" w:usb3="00000000" w:csb0="00000001" w:csb1="00000000"/>
  </w:font>
  <w:font w:name="*Calibri-BoldItalic-12247-Ident">
    <w:altName w:val="Calibri"/>
    <w:panose1 w:val="00000000000000000000"/>
    <w:charset w:val="00"/>
    <w:family w:val="auto"/>
    <w:notTrueType/>
    <w:pitch w:val="default"/>
    <w:sig w:usb0="00000003" w:usb1="00000000" w:usb2="00000000" w:usb3="00000000" w:csb0="00000001" w:csb1="00000000"/>
  </w:font>
  <w:font w:name="*Calibri-10666-Identity-H">
    <w:altName w:val="Calibri"/>
    <w:panose1 w:val="00000000000000000000"/>
    <w:charset w:val="00"/>
    <w:family w:val="auto"/>
    <w:notTrueType/>
    <w:pitch w:val="default"/>
    <w:sig w:usb0="00000003" w:usb1="00000000" w:usb2="00000000" w:usb3="00000000" w:csb0="00000001" w:csb1="00000000"/>
  </w:font>
  <w:font w:name="*Times New Roman-Italic-12244-I">
    <w:altName w:val="Calibri"/>
    <w:panose1 w:val="00000000000000000000"/>
    <w:charset w:val="00"/>
    <w:family w:val="auto"/>
    <w:notTrueType/>
    <w:pitch w:val="default"/>
    <w:sig w:usb0="00000003" w:usb1="00000000" w:usb2="00000000" w:usb3="00000000" w:csb0="00000001" w:csb1="00000000"/>
  </w:font>
  <w:font w:name="*Calibri-Bold-10667-Identity-H">
    <w:altName w:val="Calibri"/>
    <w:panose1 w:val="00000000000000000000"/>
    <w:charset w:val="00"/>
    <w:family w:val="auto"/>
    <w:notTrueType/>
    <w:pitch w:val="default"/>
    <w:sig w:usb0="00000003" w:usb1="00000000" w:usb2="00000000" w:usb3="00000000" w:csb0="00000001" w:csb1="00000000"/>
  </w:font>
  <w:font w:name="*Comic Sans MS-BoldItalic-10669">
    <w:altName w:val="Calibri"/>
    <w:panose1 w:val="00000000000000000000"/>
    <w:charset w:val="00"/>
    <w:family w:val="auto"/>
    <w:notTrueType/>
    <w:pitch w:val="default"/>
    <w:sig w:usb0="00000003" w:usb1="00000000" w:usb2="00000000" w:usb3="00000000" w:csb0="00000001" w:csb1="00000000"/>
  </w:font>
  <w:font w:name="*Arial-BoldItalic-10668-Identit">
    <w:altName w:val="Calibri"/>
    <w:panose1 w:val="00000000000000000000"/>
    <w:charset w:val="00"/>
    <w:family w:val="auto"/>
    <w:notTrueType/>
    <w:pitch w:val="default"/>
    <w:sig w:usb0="00000003" w:usb1="00000000" w:usb2="00000000" w:usb3="00000000" w:csb0="00000001" w:csb1="00000000"/>
  </w:font>
  <w:font w:name="*Tahoma-10671-Identity-H">
    <w:altName w:val="Calibri"/>
    <w:panose1 w:val="00000000000000000000"/>
    <w:charset w:val="00"/>
    <w:family w:val="auto"/>
    <w:notTrueType/>
    <w:pitch w:val="default"/>
    <w:sig w:usb0="00000003" w:usb1="00000000" w:usb2="00000000" w:usb3="00000000" w:csb0="00000001" w:csb1="00000000"/>
  </w:font>
  <w:font w:name="*Arial-9728-Identity-H">
    <w:altName w:val="Calibri"/>
    <w:panose1 w:val="00000000000000000000"/>
    <w:charset w:val="00"/>
    <w:family w:val="auto"/>
    <w:notTrueType/>
    <w:pitch w:val="default"/>
    <w:sig w:usb0="00000003" w:usb1="00000000" w:usb2="00000000" w:usb3="00000000" w:csb0="00000001" w:csb1="00000000"/>
  </w:font>
  <w:font w:name="*Microsoft Sans Serif-10880-Ide">
    <w:altName w:val="Calibri"/>
    <w:panose1 w:val="00000000000000000000"/>
    <w:charset w:val="00"/>
    <w:family w:val="auto"/>
    <w:notTrueType/>
    <w:pitch w:val="default"/>
    <w:sig w:usb0="00000003" w:usb1="00000000" w:usb2="00000000" w:usb3="00000000" w:csb0="00000001" w:csb1="00000000"/>
  </w:font>
  <w:font w:name="*Times New Roman-Italic-10874-I">
    <w:altName w:val="Calibri"/>
    <w:panose1 w:val="00000000000000000000"/>
    <w:charset w:val="00"/>
    <w:family w:val="auto"/>
    <w:notTrueType/>
    <w:pitch w:val="default"/>
    <w:sig w:usb0="00000003" w:usb1="00000000" w:usb2="00000000" w:usb3="00000000" w:csb0="00000001" w:csb1="00000000"/>
  </w:font>
  <w:font w:name="*Calibri-Bold-10878-Identity-H">
    <w:altName w:val="Calibri"/>
    <w:panose1 w:val="00000000000000000000"/>
    <w:charset w:val="00"/>
    <w:family w:val="auto"/>
    <w:notTrueType/>
    <w:pitch w:val="default"/>
    <w:sig w:usb0="00000003" w:usb1="00000000" w:usb2="00000000" w:usb3="00000000" w:csb0="00000001" w:csb1="00000000"/>
  </w:font>
  <w:font w:name="*Tahoma-BoldItalic-10881-Identi">
    <w:altName w:val="Calibri"/>
    <w:panose1 w:val="00000000000000000000"/>
    <w:charset w:val="00"/>
    <w:family w:val="auto"/>
    <w:notTrueType/>
    <w:pitch w:val="default"/>
    <w:sig w:usb0="00000003" w:usb1="00000000" w:usb2="00000000" w:usb3="00000000" w:csb0="00000001" w:csb1="00000000"/>
  </w:font>
  <w:font w:name="*Arial-Bold-10879-Identity-H">
    <w:altName w:val="Calibri"/>
    <w:panose1 w:val="00000000000000000000"/>
    <w:charset w:val="00"/>
    <w:family w:val="auto"/>
    <w:notTrueType/>
    <w:pitch w:val="default"/>
    <w:sig w:usb0="00000003" w:usb1="00000000" w:usb2="00000000" w:usb3="00000000" w:csb0="00000001" w:csb1="00000000"/>
  </w:font>
  <w:font w:name="*Times New Roman-BoldItalic-108">
    <w:altName w:val="Calibri"/>
    <w:panose1 w:val="00000000000000000000"/>
    <w:charset w:val="00"/>
    <w:family w:val="auto"/>
    <w:notTrueType/>
    <w:pitch w:val="default"/>
    <w:sig w:usb0="00000003" w:usb1="00000000" w:usb2="00000000" w:usb3="00000000" w:csb0="00000001" w:csb1="00000000"/>
  </w:font>
  <w:font w:name="*Times New Roman-Italic-10873-I">
    <w:altName w:val="Calibri"/>
    <w:panose1 w:val="00000000000000000000"/>
    <w:charset w:val="00"/>
    <w:family w:val="auto"/>
    <w:notTrueType/>
    <w:pitch w:val="default"/>
    <w:sig w:usb0="00000003" w:usb1="00000000" w:usb2="00000000" w:usb3="00000000" w:csb0="00000001" w:csb1="00000000"/>
  </w:font>
  <w:font w:name="*Microsoft Sans Serif-11678-Ide">
    <w:altName w:val="Calibri"/>
    <w:panose1 w:val="00000000000000000000"/>
    <w:charset w:val="00"/>
    <w:family w:val="auto"/>
    <w:notTrueType/>
    <w:pitch w:val="default"/>
    <w:sig w:usb0="00000003" w:usb1="00000000" w:usb2="00000000" w:usb3="00000000" w:csb0="00000001" w:csb1="00000000"/>
  </w:font>
  <w:font w:name="*Calibri-Bold-11675-Identity-H">
    <w:altName w:val="Calibri"/>
    <w:panose1 w:val="00000000000000000000"/>
    <w:charset w:val="00"/>
    <w:family w:val="auto"/>
    <w:notTrueType/>
    <w:pitch w:val="default"/>
    <w:sig w:usb0="00000003" w:usb1="00000000" w:usb2="00000000" w:usb3="00000000" w:csb0="00000001" w:csb1="00000000"/>
  </w:font>
  <w:font w:name="*Comic Sans MS-BoldItalic-11677">
    <w:altName w:val="Calibri"/>
    <w:panose1 w:val="00000000000000000000"/>
    <w:charset w:val="00"/>
    <w:family w:val="auto"/>
    <w:notTrueType/>
    <w:pitch w:val="default"/>
    <w:sig w:usb0="00000003" w:usb1="00000000" w:usb2="00000000" w:usb3="00000000" w:csb0="00000001" w:csb1="00000000"/>
  </w:font>
  <w:font w:name="*Times New Roman-Italic-11665-I">
    <w:altName w:val="Calibri"/>
    <w:panose1 w:val="00000000000000000000"/>
    <w:charset w:val="00"/>
    <w:family w:val="auto"/>
    <w:notTrueType/>
    <w:pitch w:val="default"/>
    <w:sig w:usb0="00000003" w:usb1="00000000" w:usb2="00000000" w:usb3="00000000" w:csb0="00000001" w:csb1="00000000"/>
  </w:font>
  <w:font w:name="*Calibri-11674-Identity-H">
    <w:altName w:val="Calibri"/>
    <w:panose1 w:val="00000000000000000000"/>
    <w:charset w:val="00"/>
    <w:family w:val="auto"/>
    <w:notTrueType/>
    <w:pitch w:val="default"/>
    <w:sig w:usb0="00000003" w:usb1="00000000" w:usb2="00000000" w:usb3="00000000" w:csb0="00000001" w:csb1="00000000"/>
  </w:font>
  <w:font w:name="*Arial-11678-Identity-H">
    <w:altName w:val="Calibri"/>
    <w:panose1 w:val="00000000000000000000"/>
    <w:charset w:val="00"/>
    <w:family w:val="auto"/>
    <w:notTrueType/>
    <w:pitch w:val="default"/>
    <w:sig w:usb0="00000003" w:usb1="00000000" w:usb2="00000000" w:usb3="00000000" w:csb0="00000001" w:csb1="00000000"/>
  </w:font>
  <w:font w:name="*Times New Roman-Italic-11672-I">
    <w:altName w:val="Calibri"/>
    <w:panose1 w:val="00000000000000000000"/>
    <w:charset w:val="00"/>
    <w:family w:val="auto"/>
    <w:notTrueType/>
    <w:pitch w:val="default"/>
    <w:sig w:usb0="00000003" w:usb1="00000000" w:usb2="00000000" w:usb3="00000000" w:csb0="00000001" w:csb1="00000000"/>
  </w:font>
  <w:font w:name="*Calibri-BoldItalic-11676-Ident">
    <w:altName w:val="Calibri"/>
    <w:panose1 w:val="00000000000000000000"/>
    <w:charset w:val="00"/>
    <w:family w:val="auto"/>
    <w:notTrueType/>
    <w:pitch w:val="default"/>
    <w:sig w:usb0="00000003" w:usb1="00000000" w:usb2="00000000" w:usb3="00000000" w:csb0="00000001" w:csb1="00000000"/>
  </w:font>
  <w:font w:name="*Times New Roman-BoldItalic-116">
    <w:altName w:val="Calibri"/>
    <w:panose1 w:val="00000000000000000000"/>
    <w:charset w:val="00"/>
    <w:family w:val="auto"/>
    <w:notTrueType/>
    <w:pitch w:val="default"/>
    <w:sig w:usb0="00000003" w:usb1="00000000" w:usb2="00000000" w:usb3="00000000" w:csb0="00000001" w:csb1="00000000"/>
  </w:font>
  <w:font w:name="*Calibri-Bold-11677-Identity-H">
    <w:altName w:val="Calibri"/>
    <w:panose1 w:val="00000000000000000000"/>
    <w:charset w:val="00"/>
    <w:family w:val="auto"/>
    <w:notTrueType/>
    <w:pitch w:val="default"/>
    <w:sig w:usb0="00000003" w:usb1="00000000" w:usb2="00000000" w:usb3="00000000" w:csb0="00000001" w:csb1="00000000"/>
  </w:font>
  <w:font w:name="*Calibri-BoldItalic-11678-Ident">
    <w:altName w:val="Calibri"/>
    <w:panose1 w:val="00000000000000000000"/>
    <w:charset w:val="00"/>
    <w:family w:val="auto"/>
    <w:notTrueType/>
    <w:pitch w:val="default"/>
    <w:sig w:usb0="00000003" w:usb1="00000000" w:usb2="00000000" w:usb3="00000000" w:csb0="00000001" w:csb1="00000000"/>
  </w:font>
  <w:font w:name="*Comic Sans MS-Bold-11681-Ident">
    <w:altName w:val="Calibri"/>
    <w:panose1 w:val="00000000000000000000"/>
    <w:charset w:val="00"/>
    <w:family w:val="auto"/>
    <w:notTrueType/>
    <w:pitch w:val="default"/>
    <w:sig w:usb0="00000003" w:usb1="00000000" w:usb2="00000000" w:usb3="00000000" w:csb0="00000001" w:csb1="00000000"/>
  </w:font>
  <w:font w:name="*Arial-11679-Identity-H">
    <w:altName w:val="Calibri"/>
    <w:panose1 w:val="00000000000000000000"/>
    <w:charset w:val="00"/>
    <w:family w:val="auto"/>
    <w:notTrueType/>
    <w:pitch w:val="default"/>
    <w:sig w:usb0="00000003" w:usb1="00000000" w:usb2="00000000" w:usb3="00000000" w:csb0="00000001" w:csb1="00000000"/>
  </w:font>
  <w:font w:name="*Verdana-11682-Identity-H">
    <w:altName w:val="Calibri"/>
    <w:panose1 w:val="00000000000000000000"/>
    <w:charset w:val="00"/>
    <w:family w:val="auto"/>
    <w:notTrueType/>
    <w:pitch w:val="default"/>
    <w:sig w:usb0="00000003" w:usb1="00000000" w:usb2="00000000" w:usb3="00000000" w:csb0="00000001" w:csb1="00000000"/>
  </w:font>
  <w:font w:name="*Arial-Bold-11680-Identity-H">
    <w:altName w:val="Calibri"/>
    <w:panose1 w:val="00000000000000000000"/>
    <w:charset w:val="00"/>
    <w:family w:val="auto"/>
    <w:notTrueType/>
    <w:pitch w:val="default"/>
    <w:sig w:usb0="00000003" w:usb1="00000000" w:usb2="00000000" w:usb3="00000000" w:csb0="00000001" w:csb1="00000000"/>
  </w:font>
  <w:font w:name="*Microsoft Sans Serif-Bold-1168">
    <w:altName w:val="Calibri"/>
    <w:panose1 w:val="00000000000000000000"/>
    <w:charset w:val="00"/>
    <w:family w:val="auto"/>
    <w:notTrueType/>
    <w:pitch w:val="default"/>
    <w:sig w:usb0="00000003" w:usb1="00000000" w:usb2="00000000" w:usb3="00000000" w:csb0="00000001" w:csb1="00000000"/>
  </w:font>
  <w:font w:name="*Arial-12045-Identity-H">
    <w:altName w:val="Calibri"/>
    <w:panose1 w:val="00000000000000000000"/>
    <w:charset w:val="00"/>
    <w:family w:val="auto"/>
    <w:notTrueType/>
    <w:pitch w:val="default"/>
    <w:sig w:usb0="00000003" w:usb1="00000000" w:usb2="00000000" w:usb3="00000000" w:csb0="00000001" w:csb1="00000000"/>
  </w:font>
  <w:font w:name="*Tahoma-BoldItalic-12830-Identi">
    <w:altName w:val="Calibri"/>
    <w:panose1 w:val="00000000000000000000"/>
    <w:charset w:val="00"/>
    <w:family w:val="auto"/>
    <w:notTrueType/>
    <w:pitch w:val="default"/>
    <w:sig w:usb0="00000003" w:usb1="00000000" w:usb2="00000000" w:usb3="00000000" w:csb0="00000001" w:csb1="00000000"/>
  </w:font>
  <w:font w:name="*Arial-Bold-12046-Identity-H">
    <w:altName w:val="Calibri"/>
    <w:panose1 w:val="00000000000000000000"/>
    <w:charset w:val="00"/>
    <w:family w:val="auto"/>
    <w:notTrueType/>
    <w:pitch w:val="default"/>
    <w:sig w:usb0="00000003" w:usb1="00000000" w:usb2="00000000" w:usb3="00000000" w:csb0="00000001" w:csb1="00000000"/>
  </w:font>
  <w:font w:name="*Times New Roman-BoldItalic-120">
    <w:altName w:val="Calibri"/>
    <w:panose1 w:val="00000000000000000000"/>
    <w:charset w:val="00"/>
    <w:family w:val="auto"/>
    <w:notTrueType/>
    <w:pitch w:val="default"/>
    <w:sig w:usb0="00000003" w:usb1="00000000" w:usb2="00000000" w:usb3="00000000" w:csb0="00000001" w:csb1="00000000"/>
  </w:font>
  <w:font w:name="*Times New Roman-Italic-12041-I">
    <w:altName w:val="Calibri"/>
    <w:panose1 w:val="00000000000000000000"/>
    <w:charset w:val="00"/>
    <w:family w:val="auto"/>
    <w:notTrueType/>
    <w:pitch w:val="default"/>
    <w:sig w:usb0="00000003" w:usb1="00000000" w:usb2="00000000" w:usb3="00000000" w:csb0="00000001" w:csb1="00000000"/>
  </w:font>
  <w:font w:name="*Calibri-12825-Identity-H">
    <w:altName w:val="Calibri"/>
    <w:panose1 w:val="00000000000000000000"/>
    <w:charset w:val="00"/>
    <w:family w:val="auto"/>
    <w:notTrueType/>
    <w:pitch w:val="default"/>
    <w:sig w:usb0="00000003" w:usb1="00000000" w:usb2="00000000" w:usb3="00000000" w:csb0="00000001" w:csb1="00000000"/>
  </w:font>
  <w:font w:name="*Comic Sans MS-Bold-12829-Ident">
    <w:altName w:val="Calibri"/>
    <w:panose1 w:val="00000000000000000000"/>
    <w:charset w:val="00"/>
    <w:family w:val="auto"/>
    <w:notTrueType/>
    <w:pitch w:val="default"/>
    <w:sig w:usb0="00000003" w:usb1="00000000" w:usb2="00000000" w:usb3="00000000" w:csb0="00000001" w:csb1="00000000"/>
  </w:font>
  <w:font w:name="*Calibri-12826-Identity-H">
    <w:altName w:val="Calibri"/>
    <w:panose1 w:val="00000000000000000000"/>
    <w:charset w:val="00"/>
    <w:family w:val="auto"/>
    <w:notTrueType/>
    <w:pitch w:val="default"/>
    <w:sig w:usb0="00000003" w:usb1="00000000" w:usb2="00000000" w:usb3="00000000" w:csb0="00000001" w:csb1="00000000"/>
  </w:font>
  <w:font w:name="*Arial-Bold-12828-Identity-H">
    <w:altName w:val="Calibri"/>
    <w:panose1 w:val="00000000000000000000"/>
    <w:charset w:val="00"/>
    <w:family w:val="auto"/>
    <w:notTrueType/>
    <w:pitch w:val="default"/>
    <w:sig w:usb0="00000003" w:usb1="00000000" w:usb2="00000000" w:usb3="00000000" w:csb0="00000001" w:csb1="00000000"/>
  </w:font>
  <w:font w:name="*Arial-Bold-12827-Identity-H">
    <w:altName w:val="Calibri"/>
    <w:panose1 w:val="00000000000000000000"/>
    <w:charset w:val="00"/>
    <w:family w:val="auto"/>
    <w:notTrueType/>
    <w:pitch w:val="default"/>
    <w:sig w:usb0="00000003" w:usb1="00000000" w:usb2="00000000" w:usb3="00000000" w:csb0="00000001" w:csb1="00000000"/>
  </w:font>
  <w:font w:name="*Microsoft Sans Serif-12171-Ide">
    <w:altName w:val="Calibri"/>
    <w:panose1 w:val="00000000000000000000"/>
    <w:charset w:val="00"/>
    <w:family w:val="auto"/>
    <w:notTrueType/>
    <w:pitch w:val="default"/>
    <w:sig w:usb0="00000003" w:usb1="00000000" w:usb2="00000000" w:usb3="00000000" w:csb0="00000001" w:csb1="00000000"/>
  </w:font>
  <w:font w:name="*Times New Roman-BoldItalic-128">
    <w:altName w:val="Calibri"/>
    <w:panose1 w:val="00000000000000000000"/>
    <w:charset w:val="00"/>
    <w:family w:val="auto"/>
    <w:notTrueType/>
    <w:pitch w:val="default"/>
    <w:sig w:usb0="00000003" w:usb1="00000000" w:usb2="00000000" w:usb3="00000000" w:csb0="00000001" w:csb1="00000000"/>
  </w:font>
  <w:font w:name="*Times New Roman-Italic-12821-I">
    <w:altName w:val="Calibri"/>
    <w:panose1 w:val="00000000000000000000"/>
    <w:charset w:val="00"/>
    <w:family w:val="auto"/>
    <w:notTrueType/>
    <w:pitch w:val="default"/>
    <w:sig w:usb0="00000003" w:usb1="00000000" w:usb2="00000000" w:usb3="00000000" w:csb0="00000001" w:csb1="00000000"/>
  </w:font>
  <w:font w:name="*Calibri-12168-Identity-H">
    <w:altName w:val="Calibri"/>
    <w:panose1 w:val="00000000000000000000"/>
    <w:charset w:val="00"/>
    <w:family w:val="auto"/>
    <w:notTrueType/>
    <w:pitch w:val="default"/>
    <w:sig w:usb0="00000003" w:usb1="00000000" w:usb2="00000000" w:usb3="00000000" w:csb0="00000001" w:csb1="00000000"/>
  </w:font>
  <w:font w:name="*Calibri-BoldItalic-12169-Ident">
    <w:altName w:val="Calibri"/>
    <w:panose1 w:val="00000000000000000000"/>
    <w:charset w:val="00"/>
    <w:family w:val="auto"/>
    <w:notTrueType/>
    <w:pitch w:val="default"/>
    <w:sig w:usb0="00000003" w:usb1="00000000" w:usb2="00000000" w:usb3="00000000" w:csb0="00000001" w:csb1="00000000"/>
  </w:font>
  <w:font w:name="*Arial-Bold-12170-Identity-H">
    <w:altName w:val="Calibri"/>
    <w:panose1 w:val="00000000000000000000"/>
    <w:charset w:val="00"/>
    <w:family w:val="auto"/>
    <w:notTrueType/>
    <w:pitch w:val="default"/>
    <w:sig w:usb0="00000003" w:usb1="00000000" w:usb2="00000000" w:usb3="00000000" w:csb0="00000001" w:csb1="00000000"/>
  </w:font>
  <w:font w:name="*Arial-Bold-11653-Identity-H">
    <w:altName w:val="Calibri"/>
    <w:panose1 w:val="00000000000000000000"/>
    <w:charset w:val="00"/>
    <w:family w:val="auto"/>
    <w:notTrueType/>
    <w:pitch w:val="default"/>
    <w:sig w:usb0="00000003" w:usb1="00000000" w:usb2="00000000" w:usb3="00000000" w:csb0="00000001" w:csb1="00000000"/>
  </w:font>
  <w:font w:name="*Calibri-BoldItalic-11652-Ident">
    <w:altName w:val="Calibri"/>
    <w:panose1 w:val="00000000000000000000"/>
    <w:charset w:val="00"/>
    <w:family w:val="auto"/>
    <w:notTrueType/>
    <w:pitch w:val="default"/>
    <w:sig w:usb0="00000003" w:usb1="00000000" w:usb2="00000000" w:usb3="00000000" w:csb0="00000001" w:csb1="00000000"/>
  </w:font>
  <w:font w:name="*Comic Sans MS-Bold-11654-Ident">
    <w:altName w:val="Calibri"/>
    <w:panose1 w:val="00000000000000000000"/>
    <w:charset w:val="00"/>
    <w:family w:val="auto"/>
    <w:notTrueType/>
    <w:pitch w:val="default"/>
    <w:sig w:usb0="00000003" w:usb1="00000000" w:usb2="00000000" w:usb3="00000000" w:csb0="00000001" w:csb1="00000000"/>
  </w:font>
  <w:font w:name="*Microsoft Sans Serif-11655-Ide">
    <w:altName w:val="Calibri"/>
    <w:panose1 w:val="00000000000000000000"/>
    <w:charset w:val="00"/>
    <w:family w:val="auto"/>
    <w:notTrueType/>
    <w:pitch w:val="default"/>
    <w:sig w:usb0="00000003" w:usb1="00000000" w:usb2="00000000" w:usb3="00000000" w:csb0="00000001" w:csb1="00000000"/>
  </w:font>
  <w:font w:name="*Microsoft Sans Serif-10038-Ide">
    <w:altName w:val="Calibri"/>
    <w:panose1 w:val="00000000000000000000"/>
    <w:charset w:val="00"/>
    <w:family w:val="auto"/>
    <w:notTrueType/>
    <w:pitch w:val="default"/>
    <w:sig w:usb0="00000003" w:usb1="00000000" w:usb2="00000000" w:usb3="00000000" w:csb0="00000001" w:csb1="00000000"/>
  </w:font>
  <w:font w:name="*Tahoma-10040-Identity-H">
    <w:altName w:val="Calibri"/>
    <w:panose1 w:val="00000000000000000000"/>
    <w:charset w:val="00"/>
    <w:family w:val="auto"/>
    <w:notTrueType/>
    <w:pitch w:val="default"/>
    <w:sig w:usb0="00000003" w:usb1="00000000" w:usb2="00000000" w:usb3="00000000" w:csb0="00000001" w:csb1="00000000"/>
  </w:font>
  <w:font w:name="*Times New Roman-Italic-10034-I">
    <w:altName w:val="Calibri"/>
    <w:panose1 w:val="00000000000000000000"/>
    <w:charset w:val="00"/>
    <w:family w:val="auto"/>
    <w:notTrueType/>
    <w:pitch w:val="default"/>
    <w:sig w:usb0="00000003" w:usb1="00000000" w:usb2="00000000" w:usb3="00000000" w:csb0="00000001" w:csb1="00000000"/>
  </w:font>
  <w:font w:name="*Microsoft Sans Serif-Bold-1003">
    <w:altName w:val="Calibri"/>
    <w:panose1 w:val="00000000000000000000"/>
    <w:charset w:val="00"/>
    <w:family w:val="auto"/>
    <w:notTrueType/>
    <w:pitch w:val="default"/>
    <w:sig w:usb0="00000003" w:usb1="00000000" w:usb2="00000000" w:usb3="00000000" w:csb0="00000001" w:csb1="00000000"/>
  </w:font>
  <w:font w:name="*Calibri-Bold-10037-Identity-H">
    <w:altName w:val="Calibri"/>
    <w:panose1 w:val="00000000000000000000"/>
    <w:charset w:val="00"/>
    <w:family w:val="auto"/>
    <w:notTrueType/>
    <w:pitch w:val="default"/>
    <w:sig w:usb0="00000003" w:usb1="00000000" w:usb2="00000000" w:usb3="00000000" w:csb0="00000001" w:csb1="00000000"/>
  </w:font>
  <w:font w:name="*Times New Roman-10033-Identity">
    <w:altName w:val="Calibri"/>
    <w:panose1 w:val="00000000000000000000"/>
    <w:charset w:val="00"/>
    <w:family w:val="auto"/>
    <w:notTrueType/>
    <w:pitch w:val="default"/>
    <w:sig w:usb0="00000003" w:usb1="00000000" w:usb2="00000000" w:usb3="00000000" w:csb0="00000001" w:csb1="00000000"/>
  </w:font>
  <w:font w:name="*Microsoft Sans Serif-11527-Ide">
    <w:altName w:val="Calibri"/>
    <w:panose1 w:val="00000000000000000000"/>
    <w:charset w:val="00"/>
    <w:family w:val="auto"/>
    <w:notTrueType/>
    <w:pitch w:val="default"/>
    <w:sig w:usb0="00000003" w:usb1="00000000" w:usb2="00000000" w:usb3="00000000" w:csb0="00000001" w:csb1="00000000"/>
  </w:font>
  <w:font w:name="*Calibri-11525-Identity-H">
    <w:altName w:val="Calibri"/>
    <w:panose1 w:val="00000000000000000000"/>
    <w:charset w:val="00"/>
    <w:family w:val="auto"/>
    <w:notTrueType/>
    <w:pitch w:val="default"/>
    <w:sig w:usb0="00000003" w:usb1="00000000" w:usb2="00000000" w:usb3="00000000" w:csb0="00000001" w:csb1="00000000"/>
  </w:font>
  <w:font w:name="*Times New Roman-Italic-11521-I">
    <w:altName w:val="Calibri"/>
    <w:panose1 w:val="00000000000000000000"/>
    <w:charset w:val="00"/>
    <w:family w:val="auto"/>
    <w:notTrueType/>
    <w:pitch w:val="default"/>
    <w:sig w:usb0="00000003" w:usb1="00000000" w:usb2="00000000" w:usb3="00000000" w:csb0="00000001" w:csb1="00000000"/>
  </w:font>
  <w:font w:name="*Comic Sans MS-Bold-11526-Ident">
    <w:altName w:val="Calibri"/>
    <w:panose1 w:val="00000000000000000000"/>
    <w:charset w:val="00"/>
    <w:family w:val="auto"/>
    <w:notTrueType/>
    <w:pitch w:val="default"/>
    <w:sig w:usb0="00000003" w:usb1="00000000" w:usb2="00000000" w:usb3="00000000" w:csb0="00000001" w:csb1="00000000"/>
  </w:font>
  <w:font w:name="*Calibri-11524-Identity-H">
    <w:altName w:val="Calibri"/>
    <w:panose1 w:val="00000000000000000000"/>
    <w:charset w:val="00"/>
    <w:family w:val="auto"/>
    <w:notTrueType/>
    <w:pitch w:val="default"/>
    <w:sig w:usb0="00000003" w:usb1="00000000" w:usb2="00000000" w:usb3="00000000" w:csb0="00000001" w:csb1="00000000"/>
  </w:font>
  <w:font w:name="*Calibri-Bold-10825-Identity-H">
    <w:altName w:val="Calibri"/>
    <w:panose1 w:val="00000000000000000000"/>
    <w:charset w:val="00"/>
    <w:family w:val="auto"/>
    <w:notTrueType/>
    <w:pitch w:val="default"/>
    <w:sig w:usb0="00000003" w:usb1="00000000" w:usb2="00000000" w:usb3="00000000" w:csb0="00000001" w:csb1="00000000"/>
  </w:font>
  <w:font w:name="*Microsoft Sans Serif-10826-Ide">
    <w:altName w:val="Calibri"/>
    <w:panose1 w:val="00000000000000000000"/>
    <w:charset w:val="00"/>
    <w:family w:val="auto"/>
    <w:notTrueType/>
    <w:pitch w:val="default"/>
    <w:sig w:usb0="00000003" w:usb1="00000000" w:usb2="00000000" w:usb3="00000000" w:csb0="00000001" w:csb1="00000000"/>
  </w:font>
  <w:font w:name="*Times New Roman-Italic-10821-I">
    <w:altName w:val="Calibri"/>
    <w:panose1 w:val="00000000000000000000"/>
    <w:charset w:val="00"/>
    <w:family w:val="auto"/>
    <w:notTrueType/>
    <w:pitch w:val="default"/>
    <w:sig w:usb0="00000003" w:usb1="00000000" w:usb2="00000000" w:usb3="00000000" w:csb0="00000001" w:csb1="00000000"/>
  </w:font>
  <w:font w:name="*Times New Roman-Italic-10820-I">
    <w:altName w:val="Calibri"/>
    <w:panose1 w:val="00000000000000000000"/>
    <w:charset w:val="00"/>
    <w:family w:val="auto"/>
    <w:notTrueType/>
    <w:pitch w:val="default"/>
    <w:sig w:usb0="00000003" w:usb1="00000000" w:usb2="00000000" w:usb3="00000000" w:csb0="00000001" w:csb1="00000000"/>
  </w:font>
  <w:font w:name="*Microsoft Sans Serif-12379-Ide">
    <w:altName w:val="Calibri"/>
    <w:panose1 w:val="00000000000000000000"/>
    <w:charset w:val="00"/>
    <w:family w:val="auto"/>
    <w:notTrueType/>
    <w:pitch w:val="default"/>
    <w:sig w:usb0="00000003" w:usb1="00000000" w:usb2="00000000" w:usb3="00000000" w:csb0="00000001" w:csb1="00000000"/>
  </w:font>
  <w:font w:name="*Calibri-12378-Identity-H">
    <w:altName w:val="Calibri"/>
    <w:panose1 w:val="00000000000000000000"/>
    <w:charset w:val="00"/>
    <w:family w:val="auto"/>
    <w:notTrueType/>
    <w:pitch w:val="default"/>
    <w:sig w:usb0="00000003" w:usb1="00000000" w:usb2="00000000" w:usb3="00000000" w:csb0="00000001" w:csb1="00000000"/>
  </w:font>
  <w:font w:name="*Times New Roman-Italic-12376-I">
    <w:altName w:val="Calibri"/>
    <w:panose1 w:val="00000000000000000000"/>
    <w:charset w:val="00"/>
    <w:family w:val="auto"/>
    <w:notTrueType/>
    <w:pitch w:val="default"/>
    <w:sig w:usb0="00000003" w:usb1="00000000" w:usb2="00000000" w:usb3="00000000" w:csb0="00000001" w:csb1="00000000"/>
  </w:font>
  <w:font w:name="*Microsoft Sans Serif-12185-Ide">
    <w:altName w:val="Calibri"/>
    <w:panose1 w:val="00000000000000000000"/>
    <w:charset w:val="00"/>
    <w:family w:val="auto"/>
    <w:notTrueType/>
    <w:pitch w:val="default"/>
    <w:sig w:usb0="00000003" w:usb1="00000000" w:usb2="00000000" w:usb3="00000000" w:csb0="00000001" w:csb1="00000000"/>
  </w:font>
  <w:font w:name="*Calibri-12183-Identity-H">
    <w:altName w:val="Calibri"/>
    <w:panose1 w:val="00000000000000000000"/>
    <w:charset w:val="00"/>
    <w:family w:val="auto"/>
    <w:notTrueType/>
    <w:pitch w:val="default"/>
    <w:sig w:usb0="00000003" w:usb1="00000000" w:usb2="00000000" w:usb3="00000000" w:csb0="00000001" w:csb1="00000000"/>
  </w:font>
  <w:font w:name="*Calibri-Bold-12184-Identity-H">
    <w:altName w:val="Calibri"/>
    <w:panose1 w:val="00000000000000000000"/>
    <w:charset w:val="00"/>
    <w:family w:val="auto"/>
    <w:notTrueType/>
    <w:pitch w:val="default"/>
    <w:sig w:usb0="00000003" w:usb1="00000000" w:usb2="00000000" w:usb3="00000000" w:csb0="00000001" w:csb1="00000000"/>
  </w:font>
  <w:font w:name="*Comic Sans MS-BoldItalic-12855">
    <w:altName w:val="Calibri"/>
    <w:panose1 w:val="00000000000000000000"/>
    <w:charset w:val="00"/>
    <w:family w:val="auto"/>
    <w:notTrueType/>
    <w:pitch w:val="default"/>
    <w:sig w:usb0="00000003" w:usb1="00000000" w:usb2="00000000" w:usb3="00000000" w:csb0="00000001" w:csb1="00000000"/>
  </w:font>
  <w:font w:name="*Calibri-Bold-12853-Identity-H">
    <w:altName w:val="Calibri"/>
    <w:panose1 w:val="00000000000000000000"/>
    <w:charset w:val="00"/>
    <w:family w:val="auto"/>
    <w:notTrueType/>
    <w:pitch w:val="default"/>
    <w:sig w:usb0="00000003" w:usb1="00000000" w:usb2="00000000" w:usb3="00000000" w:csb0="00000001" w:csb1="00000000"/>
  </w:font>
  <w:font w:name="*Calibri-12851-Identity-H">
    <w:altName w:val="Calibri"/>
    <w:panose1 w:val="00000000000000000000"/>
    <w:charset w:val="00"/>
    <w:family w:val="auto"/>
    <w:notTrueType/>
    <w:pitch w:val="default"/>
    <w:sig w:usb0="00000003" w:usb1="00000000" w:usb2="00000000" w:usb3="00000000" w:csb0="00000001" w:csb1="00000000"/>
  </w:font>
  <w:font w:name="*Comic Sans MS-12854-Identity-H">
    <w:altName w:val="Calibri"/>
    <w:panose1 w:val="00000000000000000000"/>
    <w:charset w:val="00"/>
    <w:family w:val="auto"/>
    <w:notTrueType/>
    <w:pitch w:val="default"/>
    <w:sig w:usb0="00000003" w:usb1="00000000" w:usb2="00000000" w:usb3="00000000" w:csb0="00000001" w:csb1="00000000"/>
  </w:font>
  <w:font w:name="*Calibri-12404-Identity-H">
    <w:altName w:val="Calibri"/>
    <w:panose1 w:val="00000000000000000000"/>
    <w:charset w:val="00"/>
    <w:family w:val="auto"/>
    <w:notTrueType/>
    <w:pitch w:val="default"/>
    <w:sig w:usb0="00000003" w:usb1="00000000" w:usb2="00000000" w:usb3="00000000" w:csb0="00000001" w:csb1="00000000"/>
  </w:font>
  <w:font w:name="*Calibri-12852-Identity-H">
    <w:altName w:val="Calibri"/>
    <w:panose1 w:val="00000000000000000000"/>
    <w:charset w:val="00"/>
    <w:family w:val="auto"/>
    <w:notTrueType/>
    <w:pitch w:val="default"/>
    <w:sig w:usb0="00000003" w:usb1="00000000" w:usb2="00000000" w:usb3="00000000" w:csb0="00000001" w:csb1="00000000"/>
  </w:font>
  <w:font w:name="*Calibri-12405-Identity-H">
    <w:altName w:val="Calibri"/>
    <w:panose1 w:val="00000000000000000000"/>
    <w:charset w:val="00"/>
    <w:family w:val="auto"/>
    <w:notTrueType/>
    <w:pitch w:val="default"/>
    <w:sig w:usb0="00000003" w:usb1="00000000" w:usb2="00000000" w:usb3="00000000" w:csb0="00000001" w:csb1="00000000"/>
  </w:font>
  <w:font w:name="*Comic Sans MS-BoldItalic-12408">
    <w:altName w:val="Calibri"/>
    <w:panose1 w:val="00000000000000000000"/>
    <w:charset w:val="00"/>
    <w:family w:val="auto"/>
    <w:notTrueType/>
    <w:pitch w:val="default"/>
    <w:sig w:usb0="00000003" w:usb1="00000000" w:usb2="00000000" w:usb3="00000000" w:csb0="00000001" w:csb1="00000000"/>
  </w:font>
  <w:font w:name="*Calibri-Bold-12406-Identity-H">
    <w:altName w:val="Calibri"/>
    <w:panose1 w:val="00000000000000000000"/>
    <w:charset w:val="00"/>
    <w:family w:val="auto"/>
    <w:notTrueType/>
    <w:pitch w:val="default"/>
    <w:sig w:usb0="00000003" w:usb1="00000000" w:usb2="00000000" w:usb3="00000000" w:csb0="00000001" w:csb1="00000000"/>
  </w:font>
  <w:font w:name="*Microsoft Sans Serif-Bold-1240">
    <w:altName w:val="Calibri"/>
    <w:panose1 w:val="00000000000000000000"/>
    <w:charset w:val="00"/>
    <w:family w:val="auto"/>
    <w:notTrueType/>
    <w:pitch w:val="default"/>
    <w:sig w:usb0="00000003" w:usb1="00000000" w:usb2="00000000" w:usb3="00000000" w:csb0="00000001" w:csb1="00000000"/>
  </w:font>
  <w:font w:name="*Arial-BoldItalic-12407-Identit">
    <w:altName w:val="Calibri"/>
    <w:panose1 w:val="00000000000000000000"/>
    <w:charset w:val="00"/>
    <w:family w:val="auto"/>
    <w:notTrueType/>
    <w:pitch w:val="default"/>
    <w:sig w:usb0="00000003" w:usb1="00000000" w:usb2="00000000" w:usb3="00000000" w:csb0="00000001" w:csb1="00000000"/>
  </w:font>
  <w:font w:name="*Times New Roman-Italic-12401-I">
    <w:altName w:val="Calibri"/>
    <w:panose1 w:val="00000000000000000000"/>
    <w:charset w:val="00"/>
    <w:family w:val="auto"/>
    <w:notTrueType/>
    <w:pitch w:val="default"/>
    <w:sig w:usb0="00000003" w:usb1="00000000" w:usb2="00000000" w:usb3="00000000" w:csb0="00000001" w:csb1="00000000"/>
  </w:font>
  <w:font w:name="*Microsoft Sans Serif-9811-Iden">
    <w:altName w:val="Calibri"/>
    <w:panose1 w:val="00000000000000000000"/>
    <w:charset w:val="00"/>
    <w:family w:val="auto"/>
    <w:notTrueType/>
    <w:pitch w:val="default"/>
    <w:sig w:usb0="00000003" w:usb1="00000000" w:usb2="00000000" w:usb3="00000000" w:csb0="00000001" w:csb1="00000000"/>
  </w:font>
  <w:font w:name="*Times New Roman-Italic-12400-I">
    <w:altName w:val="Calibri"/>
    <w:panose1 w:val="00000000000000000000"/>
    <w:charset w:val="00"/>
    <w:family w:val="auto"/>
    <w:notTrueType/>
    <w:pitch w:val="default"/>
    <w:sig w:usb0="00000003" w:usb1="00000000" w:usb2="00000000" w:usb3="00000000" w:csb0="00000001" w:csb1="00000000"/>
  </w:font>
  <w:font w:name="*Calibri-BoldItalic-9810-Identi">
    <w:altName w:val="Calibri"/>
    <w:panose1 w:val="00000000000000000000"/>
    <w:charset w:val="00"/>
    <w:family w:val="auto"/>
    <w:notTrueType/>
    <w:pitch w:val="default"/>
    <w:sig w:usb0="00000003" w:usb1="00000000" w:usb2="00000000" w:usb3="00000000" w:csb0="00000001" w:csb1="00000000"/>
  </w:font>
  <w:font w:name="*Microsoft Sans Serif-Bold-9812">
    <w:altName w:val="Calibri"/>
    <w:panose1 w:val="00000000000000000000"/>
    <w:charset w:val="00"/>
    <w:family w:val="auto"/>
    <w:notTrueType/>
    <w:pitch w:val="default"/>
    <w:sig w:usb0="00000003" w:usb1="00000000" w:usb2="00000000" w:usb3="00000000" w:csb0="00000001" w:csb1="00000000"/>
  </w:font>
  <w:font w:name="*Microsoft Sans Serif-10510-Ide">
    <w:altName w:val="Calibri"/>
    <w:panose1 w:val="00000000000000000000"/>
    <w:charset w:val="00"/>
    <w:family w:val="auto"/>
    <w:notTrueType/>
    <w:pitch w:val="default"/>
    <w:sig w:usb0="00000003" w:usb1="00000000" w:usb2="00000000" w:usb3="00000000" w:csb0="00000001" w:csb1="00000000"/>
  </w:font>
  <w:font w:name="*Tahoma-10511-Identity-H">
    <w:altName w:val="Calibri"/>
    <w:panose1 w:val="00000000000000000000"/>
    <w:charset w:val="00"/>
    <w:family w:val="auto"/>
    <w:notTrueType/>
    <w:pitch w:val="default"/>
    <w:sig w:usb0="00000003" w:usb1="00000000" w:usb2="00000000" w:usb3="00000000" w:csb0="00000001" w:csb1="00000000"/>
  </w:font>
  <w:font w:name="*Verdana-Bold-10509-Identity-H">
    <w:altName w:val="Calibri"/>
    <w:panose1 w:val="00000000000000000000"/>
    <w:charset w:val="00"/>
    <w:family w:val="auto"/>
    <w:notTrueType/>
    <w:pitch w:val="default"/>
    <w:sig w:usb0="00000003" w:usb1="00000000" w:usb2="00000000" w:usb3="00000000" w:csb0="00000001" w:csb1="00000000"/>
  </w:font>
  <w:font w:name="*Microsoft Sans Serif-10482-Ide">
    <w:altName w:val="Calibri"/>
    <w:panose1 w:val="00000000000000000000"/>
    <w:charset w:val="00"/>
    <w:family w:val="auto"/>
    <w:notTrueType/>
    <w:pitch w:val="default"/>
    <w:sig w:usb0="00000003" w:usb1="00000000" w:usb2="00000000" w:usb3="00000000" w:csb0="00000001" w:csb1="00000000"/>
  </w:font>
  <w:font w:name="*Arial-10478-Identity-H">
    <w:altName w:val="Calibri"/>
    <w:panose1 w:val="00000000000000000000"/>
    <w:charset w:val="00"/>
    <w:family w:val="auto"/>
    <w:notTrueType/>
    <w:pitch w:val="default"/>
    <w:sig w:usb0="00000003" w:usb1="00000000" w:usb2="00000000" w:usb3="00000000" w:csb0="00000001" w:csb1="00000000"/>
  </w:font>
  <w:font w:name="*Comic Sans MS-10480-Identity-H">
    <w:altName w:val="Calibri"/>
    <w:panose1 w:val="00000000000000000000"/>
    <w:charset w:val="00"/>
    <w:family w:val="auto"/>
    <w:notTrueType/>
    <w:pitch w:val="default"/>
    <w:sig w:usb0="00000003" w:usb1="00000000" w:usb2="00000000" w:usb3="00000000" w:csb0="00000001" w:csb1="00000000"/>
  </w:font>
  <w:font w:name="*Arial-Bold-10479-Identity-H">
    <w:altName w:val="Calibri"/>
    <w:panose1 w:val="00000000000000000000"/>
    <w:charset w:val="00"/>
    <w:family w:val="auto"/>
    <w:notTrueType/>
    <w:pitch w:val="default"/>
    <w:sig w:usb0="00000003" w:usb1="00000000" w:usb2="00000000" w:usb3="00000000" w:csb0="00000001" w:csb1="00000000"/>
  </w:font>
  <w:font w:name="*Tahoma-BoldItalic-10482-Identi">
    <w:altName w:val="Calibri"/>
    <w:panose1 w:val="00000000000000000000"/>
    <w:charset w:val="00"/>
    <w:family w:val="auto"/>
    <w:notTrueType/>
    <w:pitch w:val="default"/>
    <w:sig w:usb0="00000003" w:usb1="00000000" w:usb2="00000000" w:usb3="00000000" w:csb0="00000001" w:csb1="00000000"/>
  </w:font>
  <w:font w:name="*Microsoft Sans Serif-12003-Ide">
    <w:altName w:val="Calibri"/>
    <w:panose1 w:val="00000000000000000000"/>
    <w:charset w:val="00"/>
    <w:family w:val="auto"/>
    <w:notTrueType/>
    <w:pitch w:val="default"/>
    <w:sig w:usb0="00000003" w:usb1="00000000" w:usb2="00000000" w:usb3="00000000" w:csb0="00000001" w:csb1="00000000"/>
  </w:font>
  <w:font w:name="*Calibri-12000-Identity-H">
    <w:altName w:val="Calibri"/>
    <w:panose1 w:val="00000000000000000000"/>
    <w:charset w:val="00"/>
    <w:family w:val="auto"/>
    <w:notTrueType/>
    <w:pitch w:val="default"/>
    <w:sig w:usb0="00000003" w:usb1="00000000" w:usb2="00000000" w:usb3="00000000" w:csb0="00000001" w:csb1="00000000"/>
  </w:font>
  <w:font w:name="*Calibri-11999-Identity-H">
    <w:altName w:val="Calibri"/>
    <w:panose1 w:val="00000000000000000000"/>
    <w:charset w:val="00"/>
    <w:family w:val="auto"/>
    <w:notTrueType/>
    <w:pitch w:val="default"/>
    <w:sig w:usb0="00000003" w:usb1="00000000" w:usb2="00000000" w:usb3="00000000" w:csb0="00000001" w:csb1="00000000"/>
  </w:font>
  <w:font w:name="*Arial-Bold-12001-Identity-H">
    <w:altName w:val="Calibri"/>
    <w:panose1 w:val="00000000000000000000"/>
    <w:charset w:val="00"/>
    <w:family w:val="auto"/>
    <w:notTrueType/>
    <w:pitch w:val="default"/>
    <w:sig w:usb0="00000003" w:usb1="00000000" w:usb2="00000000" w:usb3="00000000" w:csb0="00000001" w:csb1="00000000"/>
  </w:font>
  <w:font w:name="*Arial-BoldItalic-12002-Identit">
    <w:altName w:val="Calibri"/>
    <w:panose1 w:val="00000000000000000000"/>
    <w:charset w:val="00"/>
    <w:family w:val="auto"/>
    <w:notTrueType/>
    <w:pitch w:val="default"/>
    <w:sig w:usb0="00000003" w:usb1="00000000" w:usb2="00000000" w:usb3="00000000" w:csb0="00000001" w:csb1="00000000"/>
  </w:font>
  <w:font w:name="*Arial-11768-Identity-H">
    <w:altName w:val="Calibri"/>
    <w:panose1 w:val="00000000000000000000"/>
    <w:charset w:val="00"/>
    <w:family w:val="auto"/>
    <w:notTrueType/>
    <w:pitch w:val="default"/>
    <w:sig w:usb0="00000003" w:usb1="00000000" w:usb2="00000000" w:usb3="00000000" w:csb0="00000001" w:csb1="00000000"/>
  </w:font>
  <w:font w:name="*Times New Roman-Italic-11766-I">
    <w:altName w:val="Calibri"/>
    <w:panose1 w:val="00000000000000000000"/>
    <w:charset w:val="00"/>
    <w:family w:val="auto"/>
    <w:notTrueType/>
    <w:pitch w:val="default"/>
    <w:sig w:usb0="00000003" w:usb1="00000000" w:usb2="00000000" w:usb3="00000000" w:csb0="00000001" w:csb1="00000000"/>
  </w:font>
  <w:font w:name="*Arial-BoldItalic-11769-Identit">
    <w:altName w:val="Calibri"/>
    <w:panose1 w:val="00000000000000000000"/>
    <w:charset w:val="00"/>
    <w:family w:val="auto"/>
    <w:notTrueType/>
    <w:pitch w:val="default"/>
    <w:sig w:usb0="00000003" w:usb1="00000000" w:usb2="00000000" w:usb3="00000000" w:csb0="00000001" w:csb1="00000000"/>
  </w:font>
  <w:font w:name="*Comic Sans MS-Bold-11770-Ident">
    <w:altName w:val="Calibri"/>
    <w:panose1 w:val="00000000000000000000"/>
    <w:charset w:val="00"/>
    <w:family w:val="auto"/>
    <w:notTrueType/>
    <w:pitch w:val="default"/>
    <w:sig w:usb0="00000003" w:usb1="00000000" w:usb2="00000000" w:usb3="00000000" w:csb0="00000001" w:csb1="00000000"/>
  </w:font>
  <w:font w:name="*Arial-12550-Identity-H">
    <w:altName w:val="Calibri"/>
    <w:panose1 w:val="00000000000000000000"/>
    <w:charset w:val="00"/>
    <w:family w:val="auto"/>
    <w:notTrueType/>
    <w:pitch w:val="default"/>
    <w:sig w:usb0="00000003" w:usb1="00000000" w:usb2="00000000" w:usb3="00000000" w:csb0="00000001" w:csb1="00000000"/>
  </w:font>
  <w:font w:name="*Calibri-12549-Identity-H">
    <w:altName w:val="Calibri"/>
    <w:panose1 w:val="00000000000000000000"/>
    <w:charset w:val="00"/>
    <w:family w:val="auto"/>
    <w:notTrueType/>
    <w:pitch w:val="default"/>
    <w:sig w:usb0="00000003" w:usb1="00000000" w:usb2="00000000" w:usb3="00000000" w:csb0="00000001" w:csb1="00000000"/>
  </w:font>
  <w:font w:name="*Microsoft Sans Serif-12186-Ide">
    <w:altName w:val="Calibri"/>
    <w:panose1 w:val="00000000000000000000"/>
    <w:charset w:val="00"/>
    <w:family w:val="auto"/>
    <w:notTrueType/>
    <w:pitch w:val="default"/>
    <w:sig w:usb0="00000003" w:usb1="00000000" w:usb2="00000000" w:usb3="00000000" w:csb0="00000001" w:csb1="00000000"/>
  </w:font>
  <w:font w:name="*Times New Roman-Italic-12182-I">
    <w:altName w:val="Calibri"/>
    <w:panose1 w:val="00000000000000000000"/>
    <w:charset w:val="00"/>
    <w:family w:val="auto"/>
    <w:notTrueType/>
    <w:pitch w:val="default"/>
    <w:sig w:usb0="00000003" w:usb1="00000000" w:usb2="00000000" w:usb3="00000000" w:csb0="00000001" w:csb1="00000000"/>
  </w:font>
  <w:font w:name="*Microsoft Sans Serif-12292-Ide">
    <w:altName w:val="Calibri"/>
    <w:panose1 w:val="00000000000000000000"/>
    <w:charset w:val="00"/>
    <w:family w:val="auto"/>
    <w:notTrueType/>
    <w:pitch w:val="default"/>
    <w:sig w:usb0="00000003" w:usb1="00000000" w:usb2="00000000" w:usb3="00000000" w:csb0="00000001" w:csb1="00000000"/>
  </w:font>
  <w:font w:name="*Comic Sans MS-BoldItalic-12291">
    <w:altName w:val="Calibri"/>
    <w:panose1 w:val="00000000000000000000"/>
    <w:charset w:val="00"/>
    <w:family w:val="auto"/>
    <w:notTrueType/>
    <w:pitch w:val="default"/>
    <w:sig w:usb0="00000003" w:usb1="00000000" w:usb2="00000000" w:usb3="00000000" w:csb0="00000001" w:csb1="00000000"/>
  </w:font>
  <w:font w:name="*Microsoft Sans Serif-Bold-1229">
    <w:altName w:val="Calibri"/>
    <w:panose1 w:val="00000000000000000000"/>
    <w:charset w:val="00"/>
    <w:family w:val="auto"/>
    <w:notTrueType/>
    <w:pitch w:val="default"/>
    <w:sig w:usb0="00000003" w:usb1="00000000" w:usb2="00000000" w:usb3="00000000" w:csb0="00000001" w:csb1="00000000"/>
  </w:font>
  <w:font w:name="*Calibri-13768-Identity-H">
    <w:altName w:val="Calibri"/>
    <w:panose1 w:val="00000000000000000000"/>
    <w:charset w:val="00"/>
    <w:family w:val="auto"/>
    <w:notTrueType/>
    <w:pitch w:val="default"/>
    <w:sig w:usb0="00000003" w:usb1="00000000" w:usb2="00000000" w:usb3="00000000" w:csb0="00000001" w:csb1="00000000"/>
  </w:font>
  <w:font w:name="*Times New Roman-Italic-12286-I">
    <w:altName w:val="Calibri"/>
    <w:panose1 w:val="00000000000000000000"/>
    <w:charset w:val="00"/>
    <w:family w:val="auto"/>
    <w:notTrueType/>
    <w:pitch w:val="default"/>
    <w:sig w:usb0="00000003" w:usb1="00000000" w:usb2="00000000" w:usb3="00000000" w:csb0="00000001" w:csb1="00000000"/>
  </w:font>
  <w:font w:name="*Calibri-BoldItalic-13769-Ident">
    <w:altName w:val="Calibri"/>
    <w:panose1 w:val="00000000000000000000"/>
    <w:charset w:val="00"/>
    <w:family w:val="auto"/>
    <w:notTrueType/>
    <w:pitch w:val="default"/>
    <w:sig w:usb0="00000003" w:usb1="00000000" w:usb2="00000000" w:usb3="00000000" w:csb0="00000001" w:csb1="00000000"/>
  </w:font>
  <w:font w:name="*Calibri-Bold-13770-Identity-H">
    <w:altName w:val="Calibri"/>
    <w:panose1 w:val="00000000000000000000"/>
    <w:charset w:val="00"/>
    <w:family w:val="auto"/>
    <w:notTrueType/>
    <w:pitch w:val="default"/>
    <w:sig w:usb0="00000003" w:usb1="00000000" w:usb2="00000000" w:usb3="00000000" w:csb0="00000001" w:csb1="00000000"/>
  </w:font>
  <w:font w:name="*Microsoft Sans Serif-11191-Ide">
    <w:altName w:val="Calibri"/>
    <w:panose1 w:val="00000000000000000000"/>
    <w:charset w:val="00"/>
    <w:family w:val="auto"/>
    <w:notTrueType/>
    <w:pitch w:val="default"/>
    <w:sig w:usb0="00000003" w:usb1="00000000" w:usb2="00000000" w:usb3="00000000" w:csb0="00000001" w:csb1="00000000"/>
  </w:font>
  <w:font w:name="*Microsoft Sans Serif-Italic-13">
    <w:altName w:val="Calibri"/>
    <w:panose1 w:val="00000000000000000000"/>
    <w:charset w:val="00"/>
    <w:family w:val="auto"/>
    <w:notTrueType/>
    <w:pitch w:val="default"/>
    <w:sig w:usb0="00000003" w:usb1="00000000" w:usb2="00000000" w:usb3="00000000" w:csb0="00000001" w:csb1="00000000"/>
  </w:font>
  <w:font w:name="*Tahoma-11192-Identity-H">
    <w:altName w:val="Calibri"/>
    <w:panose1 w:val="00000000000000000000"/>
    <w:charset w:val="00"/>
    <w:family w:val="auto"/>
    <w:notTrueType/>
    <w:pitch w:val="default"/>
    <w:sig w:usb0="00000003" w:usb1="00000000" w:usb2="00000000" w:usb3="00000000" w:csb0="00000001" w:csb1="00000000"/>
  </w:font>
  <w:font w:name="*Times New Roman-Italic-11186-I">
    <w:altName w:val="Calibri"/>
    <w:panose1 w:val="00000000000000000000"/>
    <w:charset w:val="00"/>
    <w:family w:val="auto"/>
    <w:notTrueType/>
    <w:pitch w:val="default"/>
    <w:sig w:usb0="00000003" w:usb1="00000000" w:usb2="00000000" w:usb3="00000000" w:csb0="00000001" w:csb1="00000000"/>
  </w:font>
  <w:font w:name="*Calibri-Bold-11189-Identity-H">
    <w:altName w:val="Calibri"/>
    <w:panose1 w:val="00000000000000000000"/>
    <w:charset w:val="00"/>
    <w:family w:val="auto"/>
    <w:notTrueType/>
    <w:pitch w:val="default"/>
    <w:sig w:usb0="00000003" w:usb1="00000000" w:usb2="00000000" w:usb3="00000000" w:csb0="00000001" w:csb1="00000000"/>
  </w:font>
  <w:font w:name="*Calibri-Bold-12724-Identity-H">
    <w:altName w:val="Calibri"/>
    <w:panose1 w:val="00000000000000000000"/>
    <w:charset w:val="00"/>
    <w:family w:val="auto"/>
    <w:notTrueType/>
    <w:pitch w:val="default"/>
    <w:sig w:usb0="00000003" w:usb1="00000000" w:usb2="00000000" w:usb3="00000000" w:csb0="00000001" w:csb1="00000000"/>
  </w:font>
  <w:font w:name="*Arial-Bold-12727-Identity-H">
    <w:altName w:val="Calibri"/>
    <w:panose1 w:val="00000000000000000000"/>
    <w:charset w:val="00"/>
    <w:family w:val="auto"/>
    <w:notTrueType/>
    <w:pitch w:val="default"/>
    <w:sig w:usb0="00000003" w:usb1="00000000" w:usb2="00000000" w:usb3="00000000" w:csb0="00000001" w:csb1="00000000"/>
  </w:font>
  <w:font w:name="*Calibri-BoldItalic-12725-Ident">
    <w:altName w:val="Calibri"/>
    <w:panose1 w:val="00000000000000000000"/>
    <w:charset w:val="00"/>
    <w:family w:val="auto"/>
    <w:notTrueType/>
    <w:pitch w:val="default"/>
    <w:sig w:usb0="00000003" w:usb1="00000000" w:usb2="00000000" w:usb3="00000000" w:csb0="00000001" w:csb1="00000000"/>
  </w:font>
  <w:font w:name="*Courier New-12728-Identity-H">
    <w:altName w:val="Calibri"/>
    <w:panose1 w:val="00000000000000000000"/>
    <w:charset w:val="00"/>
    <w:family w:val="auto"/>
    <w:notTrueType/>
    <w:pitch w:val="default"/>
    <w:sig w:usb0="00000003" w:usb1="00000000" w:usb2="00000000" w:usb3="00000000" w:csb0="00000001" w:csb1="00000000"/>
  </w:font>
  <w:font w:name="*Tahoma-12730-Identity-H">
    <w:altName w:val="Calibri"/>
    <w:panose1 w:val="00000000000000000000"/>
    <w:charset w:val="00"/>
    <w:family w:val="auto"/>
    <w:notTrueType/>
    <w:pitch w:val="default"/>
    <w:sig w:usb0="00000003" w:usb1="00000000" w:usb2="00000000" w:usb3="00000000" w:csb0="00000001" w:csb1="00000000"/>
  </w:font>
  <w:font w:name="*Verdana-12729-Identity-H">
    <w:altName w:val="Calibri"/>
    <w:panose1 w:val="00000000000000000000"/>
    <w:charset w:val="00"/>
    <w:family w:val="auto"/>
    <w:notTrueType/>
    <w:pitch w:val="default"/>
    <w:sig w:usb0="00000003" w:usb1="00000000" w:usb2="00000000" w:usb3="00000000" w:csb0="00000001" w:csb1="00000000"/>
  </w:font>
  <w:font w:name="*Calibri-Bold-12726-Identity-H">
    <w:altName w:val="Calibri"/>
    <w:panose1 w:val="00000000000000000000"/>
    <w:charset w:val="00"/>
    <w:family w:val="auto"/>
    <w:notTrueType/>
    <w:pitch w:val="default"/>
    <w:sig w:usb0="00000003" w:usb1="00000000" w:usb2="00000000" w:usb3="00000000" w:csb0="00000001" w:csb1="00000000"/>
  </w:font>
  <w:font w:name="*Microsoft Sans Serif-11827-Ide">
    <w:altName w:val="Calibri"/>
    <w:panose1 w:val="00000000000000000000"/>
    <w:charset w:val="00"/>
    <w:family w:val="auto"/>
    <w:notTrueType/>
    <w:pitch w:val="default"/>
    <w:sig w:usb0="00000003" w:usb1="00000000" w:usb2="00000000" w:usb3="00000000" w:csb0="00000001" w:csb1="00000000"/>
  </w:font>
  <w:font w:name="*Times New Roman-Italic-11824-I">
    <w:altName w:val="Calibri"/>
    <w:panose1 w:val="00000000000000000000"/>
    <w:charset w:val="00"/>
    <w:family w:val="auto"/>
    <w:notTrueType/>
    <w:pitch w:val="default"/>
    <w:sig w:usb0="00000003" w:usb1="00000000" w:usb2="00000000" w:usb3="00000000" w:csb0="00000001" w:csb1="00000000"/>
  </w:font>
  <w:font w:name="*Arial-13453-Identity-H">
    <w:altName w:val="Calibri"/>
    <w:panose1 w:val="00000000000000000000"/>
    <w:charset w:val="00"/>
    <w:family w:val="auto"/>
    <w:notTrueType/>
    <w:pitch w:val="default"/>
    <w:sig w:usb0="00000003" w:usb1="00000000" w:usb2="00000000" w:usb3="00000000" w:csb0="00000001" w:csb1="00000000"/>
  </w:font>
  <w:font w:name="*Arial-BoldItalic-13454-Identit">
    <w:altName w:val="Calibri"/>
    <w:panose1 w:val="00000000000000000000"/>
    <w:charset w:val="00"/>
    <w:family w:val="auto"/>
    <w:notTrueType/>
    <w:pitch w:val="default"/>
    <w:sig w:usb0="00000003" w:usb1="00000000" w:usb2="00000000" w:usb3="00000000" w:csb0="00000001" w:csb1="00000000"/>
  </w:font>
  <w:font w:name="*Microsoft Sans Serif-Bold-1345">
    <w:altName w:val="Calibri"/>
    <w:panose1 w:val="00000000000000000000"/>
    <w:charset w:val="00"/>
    <w:family w:val="auto"/>
    <w:notTrueType/>
    <w:pitch w:val="default"/>
    <w:sig w:usb0="00000003" w:usb1="00000000" w:usb2="00000000" w:usb3="00000000" w:csb0="00000001" w:csb1="00000000"/>
  </w:font>
  <w:font w:name="*Times New Roman-Italic-13449-I">
    <w:altName w:val="Calibri"/>
    <w:panose1 w:val="00000000000000000000"/>
    <w:charset w:val="00"/>
    <w:family w:val="auto"/>
    <w:notTrueType/>
    <w:pitch w:val="default"/>
    <w:sig w:usb0="00000003" w:usb1="00000000" w:usb2="00000000" w:usb3="00000000" w:csb0="00000001" w:csb1="00000000"/>
  </w:font>
  <w:font w:name="*Arial-11588-Identity-H">
    <w:altName w:val="Calibri"/>
    <w:panose1 w:val="00000000000000000000"/>
    <w:charset w:val="00"/>
    <w:family w:val="auto"/>
    <w:notTrueType/>
    <w:pitch w:val="default"/>
    <w:sig w:usb0="00000003" w:usb1="00000000" w:usb2="00000000" w:usb3="00000000" w:csb0="00000001" w:csb1="00000000"/>
  </w:font>
  <w:font w:name="*Arial-Bold-11590-Identity-H">
    <w:altName w:val="Calibri"/>
    <w:panose1 w:val="00000000000000000000"/>
    <w:charset w:val="00"/>
    <w:family w:val="auto"/>
    <w:notTrueType/>
    <w:pitch w:val="default"/>
    <w:sig w:usb0="00000003" w:usb1="00000000" w:usb2="00000000" w:usb3="00000000" w:csb0="00000001" w:csb1="00000000"/>
  </w:font>
  <w:font w:name="*Arial-BoldItalic-11591-Identit">
    <w:altName w:val="Calibri"/>
    <w:panose1 w:val="00000000000000000000"/>
    <w:charset w:val="00"/>
    <w:family w:val="auto"/>
    <w:notTrueType/>
    <w:pitch w:val="default"/>
    <w:sig w:usb0="00000003" w:usb1="00000000" w:usb2="00000000" w:usb3="00000000" w:csb0="00000001" w:csb1="00000000"/>
  </w:font>
  <w:font w:name="*Arial-11589-Identity-H">
    <w:altName w:val="Calibri"/>
    <w:panose1 w:val="00000000000000000000"/>
    <w:charset w:val="00"/>
    <w:family w:val="auto"/>
    <w:notTrueType/>
    <w:pitch w:val="default"/>
    <w:sig w:usb0="00000003" w:usb1="00000000" w:usb2="00000000" w:usb3="00000000" w:csb0="00000001" w:csb1="00000000"/>
  </w:font>
  <w:font w:name="*Microsoft Sans Serif-Bold-1159">
    <w:altName w:val="Calibri"/>
    <w:panose1 w:val="00000000000000000000"/>
    <w:charset w:val="00"/>
    <w:family w:val="auto"/>
    <w:notTrueType/>
    <w:pitch w:val="default"/>
    <w:sig w:usb0="00000003" w:usb1="00000000" w:usb2="00000000" w:usb3="00000000" w:csb0="00000001" w:csb1="00000000"/>
  </w:font>
  <w:font w:name="*Calibri-12847-Identity-H">
    <w:altName w:val="Calibri"/>
    <w:panose1 w:val="00000000000000000000"/>
    <w:charset w:val="00"/>
    <w:family w:val="auto"/>
    <w:notTrueType/>
    <w:pitch w:val="default"/>
    <w:sig w:usb0="00000003" w:usb1="00000000" w:usb2="00000000" w:usb3="00000000" w:csb0="00000001" w:csb1="00000000"/>
  </w:font>
  <w:font w:name="*Calibri-10983-Identity-H">
    <w:altName w:val="Calibri"/>
    <w:panose1 w:val="00000000000000000000"/>
    <w:charset w:val="00"/>
    <w:family w:val="auto"/>
    <w:notTrueType/>
    <w:pitch w:val="default"/>
    <w:sig w:usb0="00000003" w:usb1="00000000" w:usb2="00000000" w:usb3="00000000" w:csb0="00000001" w:csb1="00000000"/>
  </w:font>
  <w:font w:name="*Tahoma-12849-Identity-H">
    <w:altName w:val="Calibri"/>
    <w:panose1 w:val="00000000000000000000"/>
    <w:charset w:val="00"/>
    <w:family w:val="auto"/>
    <w:notTrueType/>
    <w:pitch w:val="default"/>
    <w:sig w:usb0="00000003" w:usb1="00000000" w:usb2="00000000" w:usb3="00000000" w:csb0="00000001" w:csb1="00000000"/>
  </w:font>
  <w:font w:name="*Times New Roman-Italic-10980-I">
    <w:altName w:val="Calibri"/>
    <w:panose1 w:val="00000000000000000000"/>
    <w:charset w:val="00"/>
    <w:family w:val="auto"/>
    <w:notTrueType/>
    <w:pitch w:val="default"/>
    <w:sig w:usb0="00000003" w:usb1="00000000" w:usb2="00000000" w:usb3="00000000" w:csb0="00000001" w:csb1="00000000"/>
  </w:font>
  <w:font w:name="*Times New Roman-10979-Identity">
    <w:altName w:val="Calibri"/>
    <w:panose1 w:val="00000000000000000000"/>
    <w:charset w:val="00"/>
    <w:family w:val="auto"/>
    <w:notTrueType/>
    <w:pitch w:val="default"/>
    <w:sig w:usb0="00000003" w:usb1="00000000" w:usb2="00000000" w:usb3="00000000" w:csb0="00000001" w:csb1="00000000"/>
  </w:font>
  <w:font w:name="*Arial-Bold-10984-Identity-H">
    <w:altName w:val="Calibri"/>
    <w:panose1 w:val="00000000000000000000"/>
    <w:charset w:val="00"/>
    <w:family w:val="auto"/>
    <w:notTrueType/>
    <w:pitch w:val="default"/>
    <w:sig w:usb0="00000003" w:usb1="00000000" w:usb2="00000000" w:usb3="00000000" w:csb0="00000001" w:csb1="00000000"/>
  </w:font>
  <w:font w:name="*Microsoft Sans Serif-12034-Ide">
    <w:altName w:val="Calibri"/>
    <w:panose1 w:val="00000000000000000000"/>
    <w:charset w:val="00"/>
    <w:family w:val="auto"/>
    <w:notTrueType/>
    <w:pitch w:val="default"/>
    <w:sig w:usb0="00000003" w:usb1="00000000" w:usb2="00000000" w:usb3="00000000" w:csb0="00000001" w:csb1="00000000"/>
  </w:font>
  <w:font w:name="*Calibri-Bold-12032-Identity-H">
    <w:altName w:val="Calibri"/>
    <w:panose1 w:val="00000000000000000000"/>
    <w:charset w:val="00"/>
    <w:family w:val="auto"/>
    <w:notTrueType/>
    <w:pitch w:val="default"/>
    <w:sig w:usb0="00000003" w:usb1="00000000" w:usb2="00000000" w:usb3="00000000" w:csb0="00000001" w:csb1="00000000"/>
  </w:font>
  <w:font w:name="*Calibri-12031-Identity-H">
    <w:altName w:val="Calibri"/>
    <w:panose1 w:val="00000000000000000000"/>
    <w:charset w:val="00"/>
    <w:family w:val="auto"/>
    <w:notTrueType/>
    <w:pitch w:val="default"/>
    <w:sig w:usb0="00000003" w:usb1="00000000" w:usb2="00000000" w:usb3="00000000" w:csb0="00000001" w:csb1="00000000"/>
  </w:font>
  <w:font w:name="*Microsoft Sans Serif-13213-Ide">
    <w:altName w:val="Calibri"/>
    <w:panose1 w:val="00000000000000000000"/>
    <w:charset w:val="00"/>
    <w:family w:val="auto"/>
    <w:notTrueType/>
    <w:pitch w:val="default"/>
    <w:sig w:usb0="00000003" w:usb1="00000000" w:usb2="00000000" w:usb3="00000000" w:csb0="00000001" w:csb1="00000000"/>
  </w:font>
  <w:font w:name="*Times New Roman-Italic-13210-I">
    <w:altName w:val="Calibri"/>
    <w:panose1 w:val="00000000000000000000"/>
    <w:charset w:val="00"/>
    <w:family w:val="auto"/>
    <w:notTrueType/>
    <w:pitch w:val="default"/>
    <w:sig w:usb0="00000003" w:usb1="00000000" w:usb2="00000000" w:usb3="00000000" w:csb0="00000001" w:csb1="00000000"/>
  </w:font>
  <w:font w:name="*Microsoft Sans Serif-11233-Ide">
    <w:altName w:val="Calibri"/>
    <w:panose1 w:val="00000000000000000000"/>
    <w:charset w:val="00"/>
    <w:family w:val="auto"/>
    <w:notTrueType/>
    <w:pitch w:val="default"/>
    <w:sig w:usb0="00000003" w:usb1="00000000" w:usb2="00000000" w:usb3="00000000" w:csb0="00000001" w:csb1="00000000"/>
  </w:font>
  <w:font w:name="*Tahoma-11235-Identity-H">
    <w:altName w:val="Calibri"/>
    <w:panose1 w:val="00000000000000000000"/>
    <w:charset w:val="00"/>
    <w:family w:val="auto"/>
    <w:notTrueType/>
    <w:pitch w:val="default"/>
    <w:sig w:usb0="00000003" w:usb1="00000000" w:usb2="00000000" w:usb3="00000000" w:csb0="00000001" w:csb1="00000000"/>
  </w:font>
  <w:font w:name="*Microsoft Sans Serif-11860-Ide">
    <w:altName w:val="Calibri"/>
    <w:panose1 w:val="00000000000000000000"/>
    <w:charset w:val="00"/>
    <w:family w:val="auto"/>
    <w:notTrueType/>
    <w:pitch w:val="default"/>
    <w:sig w:usb0="00000003" w:usb1="00000000" w:usb2="00000000" w:usb3="00000000" w:csb0="00000001" w:csb1="00000000"/>
  </w:font>
  <w:font w:name="*Times New Roman-Italic-11853-I">
    <w:altName w:val="Calibri"/>
    <w:panose1 w:val="00000000000000000000"/>
    <w:charset w:val="00"/>
    <w:family w:val="auto"/>
    <w:notTrueType/>
    <w:pitch w:val="default"/>
    <w:sig w:usb0="00000003" w:usb1="00000000" w:usb2="00000000" w:usb3="00000000" w:csb0="00000001" w:csb1="00000000"/>
  </w:font>
  <w:font w:name="*Calibri-Bold-11857-Identity-H">
    <w:altName w:val="Calibri"/>
    <w:panose1 w:val="00000000000000000000"/>
    <w:charset w:val="00"/>
    <w:family w:val="auto"/>
    <w:notTrueType/>
    <w:pitch w:val="default"/>
    <w:sig w:usb0="00000003" w:usb1="00000000" w:usb2="00000000" w:usb3="00000000" w:csb0="00000001" w:csb1="00000000"/>
  </w:font>
  <w:font w:name="*Verdana-Bold-11859-Identity-H">
    <w:altName w:val="Calibri"/>
    <w:panose1 w:val="00000000000000000000"/>
    <w:charset w:val="00"/>
    <w:family w:val="auto"/>
    <w:notTrueType/>
    <w:pitch w:val="default"/>
    <w:sig w:usb0="00000003" w:usb1="00000000" w:usb2="00000000" w:usb3="00000000" w:csb0="00000001" w:csb1="00000000"/>
  </w:font>
  <w:font w:name="*Arial-BoldItalic-11858-Identit">
    <w:altName w:val="Calibri"/>
    <w:panose1 w:val="00000000000000000000"/>
    <w:charset w:val="00"/>
    <w:family w:val="auto"/>
    <w:notTrueType/>
    <w:pitch w:val="default"/>
    <w:sig w:usb0="00000003" w:usb1="00000000" w:usb2="00000000" w:usb3="00000000" w:csb0="00000001" w:csb1="00000000"/>
  </w:font>
  <w:font w:name="*Calibri-Bold-11816-Identity-H">
    <w:altName w:val="Calibri"/>
    <w:panose1 w:val="00000000000000000000"/>
    <w:charset w:val="00"/>
    <w:family w:val="auto"/>
    <w:notTrueType/>
    <w:pitch w:val="default"/>
    <w:sig w:usb0="00000003" w:usb1="00000000" w:usb2="00000000" w:usb3="00000000" w:csb0="00000001" w:csb1="00000000"/>
  </w:font>
  <w:font w:name="*Comic Sans MS-BoldItalic-11817">
    <w:altName w:val="Calibri"/>
    <w:panose1 w:val="00000000000000000000"/>
    <w:charset w:val="00"/>
    <w:family w:val="auto"/>
    <w:notTrueType/>
    <w:pitch w:val="default"/>
    <w:sig w:usb0="00000003" w:usb1="00000000" w:usb2="00000000" w:usb3="00000000" w:csb0="00000001" w:csb1="00000000"/>
  </w:font>
  <w:font w:name="*Microsoft Sans Serif-11818-Ide">
    <w:altName w:val="Calibri"/>
    <w:panose1 w:val="00000000000000000000"/>
    <w:charset w:val="00"/>
    <w:family w:val="auto"/>
    <w:notTrueType/>
    <w:pitch w:val="default"/>
    <w:sig w:usb0="00000003" w:usb1="00000000" w:usb2="00000000" w:usb3="00000000" w:csb0="00000001" w:csb1="00000000"/>
  </w:font>
  <w:font w:name="*Microsoft Sans Serif-10376-Ide">
    <w:altName w:val="Calibri"/>
    <w:panose1 w:val="00000000000000000000"/>
    <w:charset w:val="00"/>
    <w:family w:val="auto"/>
    <w:notTrueType/>
    <w:pitch w:val="default"/>
    <w:sig w:usb0="00000003" w:usb1="00000000" w:usb2="00000000" w:usb3="00000000" w:csb0="00000001" w:csb1="00000000"/>
  </w:font>
  <w:font w:name="*Microsoft Sans Serif-Bold-1037">
    <w:altName w:val="Calibri"/>
    <w:panose1 w:val="00000000000000000000"/>
    <w:charset w:val="00"/>
    <w:family w:val="auto"/>
    <w:notTrueType/>
    <w:pitch w:val="default"/>
    <w:sig w:usb0="00000003" w:usb1="00000000" w:usb2="00000000" w:usb3="00000000" w:csb0="00000001" w:csb1="00000000"/>
  </w:font>
  <w:font w:name="*Calibri-BoldItalic-10374-Ident">
    <w:altName w:val="Calibri"/>
    <w:panose1 w:val="00000000000000000000"/>
    <w:charset w:val="00"/>
    <w:family w:val="auto"/>
    <w:notTrueType/>
    <w:pitch w:val="default"/>
    <w:sig w:usb0="00000003" w:usb1="00000000" w:usb2="00000000" w:usb3="00000000" w:csb0="00000001" w:csb1="00000000"/>
  </w:font>
  <w:font w:name="*Arial-Bold-10375-Identity-H">
    <w:altName w:val="Calibri"/>
    <w:panose1 w:val="00000000000000000000"/>
    <w:charset w:val="00"/>
    <w:family w:val="auto"/>
    <w:notTrueType/>
    <w:pitch w:val="default"/>
    <w:sig w:usb0="00000003" w:usb1="00000000" w:usb2="00000000" w:usb3="00000000" w:csb0="00000001" w:csb1="00000000"/>
  </w:font>
  <w:font w:name="*Arial-11122-Identity-H">
    <w:altName w:val="Calibri"/>
    <w:panose1 w:val="00000000000000000000"/>
    <w:charset w:val="00"/>
    <w:family w:val="auto"/>
    <w:notTrueType/>
    <w:pitch w:val="default"/>
    <w:sig w:usb0="00000003" w:usb1="00000000" w:usb2="00000000" w:usb3="00000000" w:csb0="00000001" w:csb1="00000000"/>
  </w:font>
  <w:font w:name="*Calibri-Bold-11121-Identity-H">
    <w:altName w:val="Calibri"/>
    <w:panose1 w:val="00000000000000000000"/>
    <w:charset w:val="00"/>
    <w:family w:val="auto"/>
    <w:notTrueType/>
    <w:pitch w:val="default"/>
    <w:sig w:usb0="00000003" w:usb1="00000000" w:usb2="00000000" w:usb3="00000000" w:csb0="00000001" w:csb1="00000000"/>
  </w:font>
  <w:font w:name="*Microsoft Sans Serif-Bold-1112">
    <w:altName w:val="Calibri"/>
    <w:panose1 w:val="00000000000000000000"/>
    <w:charset w:val="00"/>
    <w:family w:val="auto"/>
    <w:notTrueType/>
    <w:pitch w:val="default"/>
    <w:sig w:usb0="00000003" w:usb1="00000000" w:usb2="00000000" w:usb3="00000000" w:csb0="00000001" w:csb1="00000000"/>
  </w:font>
  <w:font w:name="*Times New Roman-Italic-11118-I">
    <w:altName w:val="Calibri"/>
    <w:panose1 w:val="00000000000000000000"/>
    <w:charset w:val="00"/>
    <w:family w:val="auto"/>
    <w:notTrueType/>
    <w:pitch w:val="default"/>
    <w:sig w:usb0="00000003" w:usb1="00000000" w:usb2="00000000" w:usb3="00000000" w:csb0="00000001" w:csb1="00000000"/>
  </w:font>
  <w:font w:name="*Times New Roman-Italic-11117-I">
    <w:altName w:val="Calibri"/>
    <w:panose1 w:val="00000000000000000000"/>
    <w:charset w:val="00"/>
    <w:family w:val="auto"/>
    <w:notTrueType/>
    <w:pitch w:val="default"/>
    <w:sig w:usb0="00000003" w:usb1="00000000" w:usb2="00000000" w:usb3="00000000" w:csb0="00000001" w:csb1="00000000"/>
  </w:font>
  <w:font w:name="*Microsoft Sans Serif-10999-Ide">
    <w:altName w:val="Calibri"/>
    <w:panose1 w:val="00000000000000000000"/>
    <w:charset w:val="00"/>
    <w:family w:val="auto"/>
    <w:notTrueType/>
    <w:pitch w:val="default"/>
    <w:sig w:usb0="00000003" w:usb1="00000000" w:usb2="00000000" w:usb3="00000000" w:csb0="00000001" w:csb1="00000000"/>
  </w:font>
  <w:font w:name="*Times New Roman-10995-Identity">
    <w:altName w:val="Calibri"/>
    <w:panose1 w:val="00000000000000000000"/>
    <w:charset w:val="00"/>
    <w:family w:val="auto"/>
    <w:notTrueType/>
    <w:pitch w:val="default"/>
    <w:sig w:usb0="00000003" w:usb1="00000000" w:usb2="00000000" w:usb3="00000000" w:csb0="00000001" w:csb1="00000000"/>
  </w:font>
  <w:font w:name="*Arial-Bold-10997-Identity-H">
    <w:altName w:val="Calibri"/>
    <w:panose1 w:val="00000000000000000000"/>
    <w:charset w:val="00"/>
    <w:family w:val="auto"/>
    <w:notTrueType/>
    <w:pitch w:val="default"/>
    <w:sig w:usb0="00000003" w:usb1="00000000" w:usb2="00000000" w:usb3="00000000" w:csb0="00000001" w:csb1="00000000"/>
  </w:font>
  <w:font w:name="*Comic Sans MS-BoldItalic-10998">
    <w:altName w:val="Calibri"/>
    <w:panose1 w:val="00000000000000000000"/>
    <w:charset w:val="00"/>
    <w:family w:val="auto"/>
    <w:notTrueType/>
    <w:pitch w:val="default"/>
    <w:sig w:usb0="00000003" w:usb1="00000000" w:usb2="00000000" w:usb3="00000000" w:csb0="00000001" w:csb1="00000000"/>
  </w:font>
  <w:font w:name="*Calibri-10992-Identity-H">
    <w:altName w:val="Calibri"/>
    <w:panose1 w:val="00000000000000000000"/>
    <w:charset w:val="00"/>
    <w:family w:val="auto"/>
    <w:notTrueType/>
    <w:pitch w:val="default"/>
    <w:sig w:usb0="00000003" w:usb1="00000000" w:usb2="00000000" w:usb3="00000000" w:csb0="00000001" w:csb1="00000000"/>
  </w:font>
  <w:font w:name="*Calibri-Bold-10993-Identity-H">
    <w:altName w:val="Calibri"/>
    <w:panose1 w:val="00000000000000000000"/>
    <w:charset w:val="00"/>
    <w:family w:val="auto"/>
    <w:notTrueType/>
    <w:pitch w:val="default"/>
    <w:sig w:usb0="00000003" w:usb1="00000000" w:usb2="00000000" w:usb3="00000000" w:csb0="00000001" w:csb1="00000000"/>
  </w:font>
  <w:font w:name="*Calibri-Bold-11689-Identity-H">
    <w:altName w:val="Calibri"/>
    <w:panose1 w:val="00000000000000000000"/>
    <w:charset w:val="00"/>
    <w:family w:val="auto"/>
    <w:notTrueType/>
    <w:pitch w:val="default"/>
    <w:sig w:usb0="00000003" w:usb1="00000000" w:usb2="00000000" w:usb3="00000000" w:csb0="00000001" w:csb1="00000000"/>
  </w:font>
  <w:font w:name="*Arial-11690-Identity-H">
    <w:altName w:val="Calibri"/>
    <w:panose1 w:val="00000000000000000000"/>
    <w:charset w:val="00"/>
    <w:family w:val="auto"/>
    <w:notTrueType/>
    <w:pitch w:val="default"/>
    <w:sig w:usb0="00000003" w:usb1="00000000" w:usb2="00000000" w:usb3="00000000" w:csb0="00000001" w:csb1="00000000"/>
  </w:font>
  <w:font w:name="*Arial-BoldItalic-11691-Identit">
    <w:altName w:val="Calibri"/>
    <w:panose1 w:val="00000000000000000000"/>
    <w:charset w:val="00"/>
    <w:family w:val="auto"/>
    <w:notTrueType/>
    <w:pitch w:val="default"/>
    <w:sig w:usb0="00000003" w:usb1="00000000" w:usb2="00000000" w:usb3="00000000" w:csb0="00000001" w:csb1="00000000"/>
  </w:font>
  <w:font w:name="*Times New Roman-Italic-11686-I">
    <w:altName w:val="Calibri"/>
    <w:panose1 w:val="00000000000000000000"/>
    <w:charset w:val="00"/>
    <w:family w:val="auto"/>
    <w:notTrueType/>
    <w:pitch w:val="default"/>
    <w:sig w:usb0="00000003" w:usb1="00000000" w:usb2="00000000" w:usb3="00000000" w:csb0="00000001" w:csb1="00000000"/>
  </w:font>
  <w:font w:name="*Comic Sans MS-Bold-7246-Identi">
    <w:altName w:val="Calibri"/>
    <w:panose1 w:val="00000000000000000000"/>
    <w:charset w:val="00"/>
    <w:family w:val="auto"/>
    <w:notTrueType/>
    <w:pitch w:val="default"/>
    <w:sig w:usb0="00000003" w:usb1="00000000" w:usb2="00000000" w:usb3="00000000" w:csb0="00000001" w:csb1="00000000"/>
  </w:font>
  <w:font w:name="*Arial-7245-Identity-H">
    <w:altName w:val="Calibri"/>
    <w:panose1 w:val="00000000000000000000"/>
    <w:charset w:val="00"/>
    <w:family w:val="auto"/>
    <w:notTrueType/>
    <w:pitch w:val="default"/>
    <w:sig w:usb0="00000003" w:usb1="00000000" w:usb2="00000000" w:usb3="00000000" w:csb0="00000001" w:csb1="00000000"/>
  </w:font>
  <w:font w:name="TrebuchetMS-Italic">
    <w:altName w:val="Calibri"/>
    <w:panose1 w:val="00000000000000000000"/>
    <w:charset w:val="00"/>
    <w:family w:val="swiss"/>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ArialNarrow-BoldItalic">
    <w:altName w:val="Arial"/>
    <w:panose1 w:val="00000000000000000000"/>
    <w:charset w:val="00"/>
    <w:family w:val="swiss"/>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 w:name="Tahoma-Bold">
    <w:altName w:val="Tahoma"/>
    <w:panose1 w:val="00000000000000000000"/>
    <w:charset w:val="00"/>
    <w:family w:val="swiss"/>
    <w:notTrueType/>
    <w:pitch w:val="default"/>
    <w:sig w:usb0="00000003" w:usb1="00000000" w:usb2="00000000" w:usb3="00000000" w:csb0="00000001" w:csb1="00000000"/>
  </w:font>
  <w:font w:name="*Arial-Bold-6549-Identity-H">
    <w:altName w:val="Calibri"/>
    <w:panose1 w:val="00000000000000000000"/>
    <w:charset w:val="00"/>
    <w:family w:val="auto"/>
    <w:notTrueType/>
    <w:pitch w:val="default"/>
    <w:sig w:usb0="00000003" w:usb1="00000000" w:usb2="00000000" w:usb3="00000000" w:csb0="00000001" w:csb1="00000000"/>
  </w:font>
  <w:font w:name="*Arial-6548-Identity-H">
    <w:altName w:val="Calibri"/>
    <w:panose1 w:val="00000000000000000000"/>
    <w:charset w:val="00"/>
    <w:family w:val="auto"/>
    <w:notTrueType/>
    <w:pitch w:val="default"/>
    <w:sig w:usb0="00000003" w:usb1="00000000" w:usb2="00000000" w:usb3="00000000" w:csb0="00000001" w:csb1="00000000"/>
  </w:font>
  <w:font w:name="*Arial-Bold-7200-Identity-H">
    <w:altName w:val="Calibri"/>
    <w:panose1 w:val="00000000000000000000"/>
    <w:charset w:val="00"/>
    <w:family w:val="auto"/>
    <w:notTrueType/>
    <w:pitch w:val="default"/>
    <w:sig w:usb0="00000003" w:usb1="00000000" w:usb2="00000000" w:usb3="00000000" w:csb0="00000001" w:csb1="00000000"/>
  </w:font>
  <w:font w:name="*Arial-7199-Identity-H">
    <w:altName w:val="Calibri"/>
    <w:panose1 w:val="00000000000000000000"/>
    <w:charset w:val="00"/>
    <w:family w:val="auto"/>
    <w:notTrueType/>
    <w:pitch w:val="default"/>
    <w:sig w:usb0="00000003" w:usb1="00000000" w:usb2="00000000" w:usb3="00000000" w:csb0="00000001" w:csb1="00000000"/>
  </w:font>
  <w:font w:name="*Microsoft Sans Serif-7201-Iden">
    <w:altName w:val="Calibri"/>
    <w:panose1 w:val="00000000000000000000"/>
    <w:charset w:val="00"/>
    <w:family w:val="auto"/>
    <w:notTrueType/>
    <w:pitch w:val="default"/>
    <w:sig w:usb0="00000003" w:usb1="00000000" w:usb2="00000000" w:usb3="00000000" w:csb0="00000001" w:csb1="00000000"/>
  </w:font>
  <w:font w:name="*Arial-7378-Identity-H">
    <w:altName w:val="Calibri"/>
    <w:panose1 w:val="00000000000000000000"/>
    <w:charset w:val="00"/>
    <w:family w:val="auto"/>
    <w:notTrueType/>
    <w:pitch w:val="default"/>
    <w:sig w:usb0="00000003" w:usb1="00000000" w:usb2="00000000" w:usb3="00000000" w:csb0="00000001" w:csb1="00000000"/>
  </w:font>
  <w:font w:name="*Arial-7150-Identity-H">
    <w:altName w:val="Calibri"/>
    <w:panose1 w:val="00000000000000000000"/>
    <w:charset w:val="00"/>
    <w:family w:val="auto"/>
    <w:notTrueType/>
    <w:pitch w:val="default"/>
    <w:sig w:usb0="00000003" w:usb1="00000000" w:usb2="00000000" w:usb3="00000000" w:csb0="00000001" w:csb1="00000000"/>
  </w:font>
  <w:font w:name="*Arial-6865-Identity-H">
    <w:altName w:val="Calibri"/>
    <w:panose1 w:val="00000000000000000000"/>
    <w:charset w:val="00"/>
    <w:family w:val="auto"/>
    <w:notTrueType/>
    <w:pitch w:val="default"/>
    <w:sig w:usb0="00000003" w:usb1="00000000" w:usb2="00000000" w:usb3="00000000" w:csb0="00000001" w:csb1="00000000"/>
  </w:font>
  <w:font w:name="*Arial-6824-Identity-H">
    <w:altName w:val="Calibri"/>
    <w:panose1 w:val="00000000000000000000"/>
    <w:charset w:val="00"/>
    <w:family w:val="auto"/>
    <w:notTrueType/>
    <w:pitch w:val="default"/>
    <w:sig w:usb0="00000003" w:usb1="00000000" w:usb2="00000000" w:usb3="00000000" w:csb0="00000001" w:csb1="00000000"/>
  </w:font>
  <w:font w:name="*Arial-Bold-6825-Identity-H">
    <w:altName w:val="Calibri"/>
    <w:panose1 w:val="00000000000000000000"/>
    <w:charset w:val="00"/>
    <w:family w:val="auto"/>
    <w:notTrueType/>
    <w:pitch w:val="default"/>
    <w:sig w:usb0="00000003" w:usb1="00000000" w:usb2="00000000" w:usb3="00000000" w:csb0="00000001" w:csb1="00000000"/>
  </w:font>
  <w:font w:name="*Arial-7712-Identity-H">
    <w:altName w:val="Calibri"/>
    <w:panose1 w:val="00000000000000000000"/>
    <w:charset w:val="00"/>
    <w:family w:val="auto"/>
    <w:notTrueType/>
    <w:pitch w:val="default"/>
    <w:sig w:usb0="00000003" w:usb1="00000000" w:usb2="00000000" w:usb3="00000000" w:csb0="00000001" w:csb1="00000000"/>
  </w:font>
  <w:font w:name="*Arial-6741-Identity-H">
    <w:altName w:val="Calibri"/>
    <w:panose1 w:val="00000000000000000000"/>
    <w:charset w:val="00"/>
    <w:family w:val="auto"/>
    <w:notTrueType/>
    <w:pitch w:val="default"/>
    <w:sig w:usb0="00000003" w:usb1="00000000" w:usb2="00000000" w:usb3="00000000" w:csb0="00000001" w:csb1="00000000"/>
  </w:font>
  <w:font w:name="*Arial-Bold-6742-Identity-H">
    <w:altName w:val="Calibri"/>
    <w:panose1 w:val="00000000000000000000"/>
    <w:charset w:val="00"/>
    <w:family w:val="auto"/>
    <w:notTrueType/>
    <w:pitch w:val="default"/>
    <w:sig w:usb0="00000003" w:usb1="00000000" w:usb2="00000000" w:usb3="00000000" w:csb0="00000001" w:csb1="00000000"/>
  </w:font>
  <w:font w:name="*Microsoft Sans Serif-Bold-4374">
    <w:altName w:val="Calibri"/>
    <w:panose1 w:val="00000000000000000000"/>
    <w:charset w:val="00"/>
    <w:family w:val="auto"/>
    <w:notTrueType/>
    <w:pitch w:val="default"/>
    <w:sig w:usb0="00000003" w:usb1="00000000" w:usb2="00000000" w:usb3="00000000" w:csb0="00000001" w:csb1="00000000"/>
  </w:font>
  <w:font w:name="*Arial-Bold-8139-Identity-H">
    <w:altName w:val="Calibri"/>
    <w:panose1 w:val="00000000000000000000"/>
    <w:charset w:val="00"/>
    <w:family w:val="auto"/>
    <w:notTrueType/>
    <w:pitch w:val="default"/>
    <w:sig w:usb0="00000003" w:usb1="00000000" w:usb2="00000000" w:usb3="00000000" w:csb0="00000001" w:csb1="00000000"/>
  </w:font>
  <w:font w:name="*Arial-8140-Identity-H">
    <w:altName w:val="Calibri"/>
    <w:panose1 w:val="00000000000000000000"/>
    <w:charset w:val="00"/>
    <w:family w:val="auto"/>
    <w:notTrueType/>
    <w:pitch w:val="default"/>
    <w:sig w:usb0="00000003" w:usb1="00000000" w:usb2="00000000" w:usb3="00000000" w:csb0="00000001" w:csb1="00000000"/>
  </w:font>
  <w:font w:name="*Arial-8129-Identity-H">
    <w:altName w:val="Calibri"/>
    <w:panose1 w:val="00000000000000000000"/>
    <w:charset w:val="00"/>
    <w:family w:val="auto"/>
    <w:notTrueType/>
    <w:pitch w:val="default"/>
    <w:sig w:usb0="00000003" w:usb1="00000000" w:usb2="00000000" w:usb3="00000000" w:csb0="00000001" w:csb1="00000000"/>
  </w:font>
  <w:font w:name="*Arial-Bold-8130-Identity-H">
    <w:altName w:val="Calibri"/>
    <w:panose1 w:val="00000000000000000000"/>
    <w:charset w:val="00"/>
    <w:family w:val="auto"/>
    <w:notTrueType/>
    <w:pitch w:val="default"/>
    <w:sig w:usb0="00000003" w:usb1="00000000" w:usb2="00000000" w:usb3="00000000" w:csb0="00000001" w:csb1="00000000"/>
  </w:font>
  <w:font w:name="*Arial-8130-Identity-H">
    <w:altName w:val="Calibri"/>
    <w:panose1 w:val="00000000000000000000"/>
    <w:charset w:val="00"/>
    <w:family w:val="auto"/>
    <w:notTrueType/>
    <w:pitch w:val="default"/>
    <w:sig w:usb0="00000003" w:usb1="00000000" w:usb2="00000000" w:usb3="00000000" w:csb0="00000001" w:csb1="00000000"/>
  </w:font>
  <w:font w:name="*Arial-9157-Identity-H">
    <w:altName w:val="Calibri"/>
    <w:panose1 w:val="00000000000000000000"/>
    <w:charset w:val="00"/>
    <w:family w:val="auto"/>
    <w:notTrueType/>
    <w:pitch w:val="default"/>
    <w:sig w:usb0="00000003" w:usb1="00000000" w:usb2="00000000" w:usb3="00000000" w:csb0="00000001" w:csb1="00000000"/>
  </w:font>
  <w:font w:name="*Arial-Italic-9159-Identity-H">
    <w:altName w:val="Calibri"/>
    <w:panose1 w:val="00000000000000000000"/>
    <w:charset w:val="00"/>
    <w:family w:val="auto"/>
    <w:notTrueType/>
    <w:pitch w:val="default"/>
    <w:sig w:usb0="00000003" w:usb1="00000000" w:usb2="00000000" w:usb3="00000000" w:csb0="00000001" w:csb1="00000000"/>
  </w:font>
  <w:font w:name="*Microsoft Sans Serif-Italic-91">
    <w:altName w:val="Calibri"/>
    <w:panose1 w:val="00000000000000000000"/>
    <w:charset w:val="00"/>
    <w:family w:val="auto"/>
    <w:notTrueType/>
    <w:pitch w:val="default"/>
    <w:sig w:usb0="00000003" w:usb1="00000000" w:usb2="00000000" w:usb3="00000000" w:csb0="00000001" w:csb1="00000000"/>
  </w:font>
  <w:font w:name="*Arial-Bold-9158-Identity-H">
    <w:altName w:val="Calibri"/>
    <w:panose1 w:val="00000000000000000000"/>
    <w:charset w:val="00"/>
    <w:family w:val="auto"/>
    <w:notTrueType/>
    <w:pitch w:val="default"/>
    <w:sig w:usb0="00000003" w:usb1="00000000" w:usb2="00000000" w:usb3="00000000" w:csb0="00000001" w:csb1="00000000"/>
  </w:font>
  <w:font w:name="*Arial-7819-Identity-H">
    <w:altName w:val="Calibri"/>
    <w:panose1 w:val="00000000000000000000"/>
    <w:charset w:val="00"/>
    <w:family w:val="auto"/>
    <w:notTrueType/>
    <w:pitch w:val="default"/>
    <w:sig w:usb0="00000003" w:usb1="00000000" w:usb2="00000000" w:usb3="00000000" w:csb0="00000001" w:csb1="00000000"/>
  </w:font>
  <w:font w:name="*Arial-8411-Identity-H">
    <w:altName w:val="Calibri"/>
    <w:panose1 w:val="00000000000000000000"/>
    <w:charset w:val="00"/>
    <w:family w:val="auto"/>
    <w:notTrueType/>
    <w:pitch w:val="default"/>
    <w:sig w:usb0="00000003" w:usb1="00000000" w:usb2="00000000" w:usb3="00000000" w:csb0="00000001" w:csb1="00000000"/>
  </w:font>
  <w:font w:name="*Arial-Bold-8412-Identity-H">
    <w:altName w:val="Calibri"/>
    <w:panose1 w:val="00000000000000000000"/>
    <w:charset w:val="00"/>
    <w:family w:val="auto"/>
    <w:notTrueType/>
    <w:pitch w:val="default"/>
    <w:sig w:usb0="00000003" w:usb1="00000000" w:usb2="00000000" w:usb3="00000000" w:csb0="00000001" w:csb1="00000000"/>
  </w:font>
  <w:font w:name="*Verdana-Bold-8197-Identity-H">
    <w:altName w:val="Calibri"/>
    <w:panose1 w:val="00000000000000000000"/>
    <w:charset w:val="00"/>
    <w:family w:val="auto"/>
    <w:notTrueType/>
    <w:pitch w:val="default"/>
    <w:sig w:usb0="00000003" w:usb1="00000000" w:usb2="00000000" w:usb3="00000000" w:csb0="00000001" w:csb1="00000000"/>
  </w:font>
  <w:font w:name="*Tahoma-8198-Identity-H">
    <w:altName w:val="Calibri"/>
    <w:panose1 w:val="00000000000000000000"/>
    <w:charset w:val="00"/>
    <w:family w:val="auto"/>
    <w:notTrueType/>
    <w:pitch w:val="default"/>
    <w:sig w:usb0="00000003" w:usb1="00000000" w:usb2="00000000" w:usb3="00000000" w:csb0="00000001" w:csb1="00000000"/>
  </w:font>
  <w:font w:name="*Verdana-Bold-8196-Identity-H">
    <w:altName w:val="Calibri"/>
    <w:panose1 w:val="00000000000000000000"/>
    <w:charset w:val="00"/>
    <w:family w:val="auto"/>
    <w:notTrueType/>
    <w:pitch w:val="default"/>
    <w:sig w:usb0="00000003" w:usb1="00000000" w:usb2="00000000" w:usb3="00000000" w:csb0="00000001" w:csb1="00000000"/>
  </w:font>
  <w:font w:name="*Verdana-6289-Identity-H">
    <w:altName w:val="Calibri"/>
    <w:panose1 w:val="00000000000000000000"/>
    <w:charset w:val="00"/>
    <w:family w:val="auto"/>
    <w:notTrueType/>
    <w:pitch w:val="default"/>
    <w:sig w:usb0="00000003" w:usb1="00000000" w:usb2="00000000" w:usb3="00000000" w:csb0="00000001" w:csb1="00000000"/>
  </w:font>
  <w:font w:name="*Verdana-Bold-6290-Identity-H">
    <w:altName w:val="Calibri"/>
    <w:panose1 w:val="00000000000000000000"/>
    <w:charset w:val="00"/>
    <w:family w:val="auto"/>
    <w:notTrueType/>
    <w:pitch w:val="default"/>
    <w:sig w:usb0="00000003" w:usb1="00000000" w:usb2="00000000" w:usb3="00000000" w:csb0="00000001" w:csb1="00000000"/>
  </w:font>
  <w:font w:name="*Calibri-7455-Identity-H">
    <w:altName w:val="Calibri"/>
    <w:panose1 w:val="00000000000000000000"/>
    <w:charset w:val="00"/>
    <w:family w:val="auto"/>
    <w:notTrueType/>
    <w:pitch w:val="default"/>
    <w:sig w:usb0="00000003" w:usb1="00000000" w:usb2="00000000" w:usb3="00000000" w:csb0="00000001" w:csb1="00000000"/>
  </w:font>
  <w:font w:name="*Verdana-Bold-7457-Identity-H">
    <w:altName w:val="Calibri"/>
    <w:panose1 w:val="00000000000000000000"/>
    <w:charset w:val="00"/>
    <w:family w:val="auto"/>
    <w:notTrueType/>
    <w:pitch w:val="default"/>
    <w:sig w:usb0="00000003" w:usb1="00000000" w:usb2="00000000" w:usb3="00000000" w:csb0="00000001" w:csb1="00000000"/>
  </w:font>
  <w:font w:name="*Verdana-7520-Identity-H">
    <w:altName w:val="Calibri"/>
    <w:panose1 w:val="00000000000000000000"/>
    <w:charset w:val="00"/>
    <w:family w:val="auto"/>
    <w:notTrueType/>
    <w:pitch w:val="default"/>
    <w:sig w:usb0="00000003" w:usb1="00000000" w:usb2="00000000" w:usb3="00000000" w:csb0="00000001" w:csb1="00000000"/>
  </w:font>
  <w:font w:name="*Verdana-7420-Identity-H">
    <w:altName w:val="Calibri"/>
    <w:panose1 w:val="00000000000000000000"/>
    <w:charset w:val="00"/>
    <w:family w:val="auto"/>
    <w:notTrueType/>
    <w:pitch w:val="default"/>
    <w:sig w:usb0="00000003" w:usb1="00000000" w:usb2="00000000" w:usb3="00000000" w:csb0="00000001" w:csb1="00000000"/>
  </w:font>
  <w:font w:name="*Verdana-Italic-7521-Identity-H">
    <w:altName w:val="Calibri"/>
    <w:panose1 w:val="00000000000000000000"/>
    <w:charset w:val="00"/>
    <w:family w:val="auto"/>
    <w:notTrueType/>
    <w:pitch w:val="default"/>
    <w:sig w:usb0="00000003" w:usb1="00000000" w:usb2="00000000" w:usb3="00000000" w:csb0="00000001" w:csb1="00000000"/>
  </w:font>
  <w:font w:name="*Calibri-Italic-7418-Identity-H">
    <w:altName w:val="Calibri"/>
    <w:panose1 w:val="00000000000000000000"/>
    <w:charset w:val="00"/>
    <w:family w:val="auto"/>
    <w:notTrueType/>
    <w:pitch w:val="default"/>
    <w:sig w:usb0="00000003" w:usb1="00000000" w:usb2="00000000" w:usb3="00000000" w:csb0="00000001" w:csb1="00000000"/>
  </w:font>
  <w:font w:name="*Verdana-7067-Identity-H">
    <w:altName w:val="Calibri"/>
    <w:panose1 w:val="00000000000000000000"/>
    <w:charset w:val="00"/>
    <w:family w:val="auto"/>
    <w:notTrueType/>
    <w:pitch w:val="default"/>
    <w:sig w:usb0="00000003" w:usb1="00000000" w:usb2="00000000" w:usb3="00000000" w:csb0="00000001" w:csb1="00000000"/>
  </w:font>
  <w:font w:name="*Verdana-Bold-7069-Identity-H">
    <w:altName w:val="Calibri"/>
    <w:panose1 w:val="00000000000000000000"/>
    <w:charset w:val="00"/>
    <w:family w:val="auto"/>
    <w:notTrueType/>
    <w:pitch w:val="default"/>
    <w:sig w:usb0="00000003" w:usb1="00000000" w:usb2="00000000" w:usb3="00000000" w:csb0="00000001" w:csb1="00000000"/>
  </w:font>
  <w:font w:name="*Verdana-Italic-7068-Identity-H">
    <w:altName w:val="Calibri"/>
    <w:panose1 w:val="00000000000000000000"/>
    <w:charset w:val="00"/>
    <w:family w:val="auto"/>
    <w:notTrueType/>
    <w:pitch w:val="default"/>
    <w:sig w:usb0="00000003" w:usb1="00000000" w:usb2="00000000" w:usb3="00000000" w:csb0="00000001" w:csb1="00000000"/>
  </w:font>
  <w:font w:name="*Verdana-7186-Identity-H">
    <w:altName w:val="Calibri"/>
    <w:panose1 w:val="00000000000000000000"/>
    <w:charset w:val="00"/>
    <w:family w:val="auto"/>
    <w:notTrueType/>
    <w:pitch w:val="default"/>
    <w:sig w:usb0="00000003" w:usb1="00000000" w:usb2="00000000" w:usb3="00000000" w:csb0="00000001" w:csb1="00000000"/>
  </w:font>
  <w:font w:name="*Verdana-Bold-7188-Identity-H">
    <w:altName w:val="Calibri"/>
    <w:panose1 w:val="00000000000000000000"/>
    <w:charset w:val="00"/>
    <w:family w:val="auto"/>
    <w:notTrueType/>
    <w:pitch w:val="default"/>
    <w:sig w:usb0="00000003" w:usb1="00000000" w:usb2="00000000" w:usb3="00000000" w:csb0="00000001" w:csb1="00000000"/>
  </w:font>
  <w:font w:name="*Verdana-Italic-7187-Identity-H">
    <w:altName w:val="Calibri"/>
    <w:panose1 w:val="00000000000000000000"/>
    <w:charset w:val="00"/>
    <w:family w:val="auto"/>
    <w:notTrueType/>
    <w:pitch w:val="default"/>
    <w:sig w:usb0="00000003" w:usb1="00000000" w:usb2="00000000" w:usb3="00000000" w:csb0="00000001" w:csb1="00000000"/>
  </w:font>
  <w:font w:name="*Verdana-7131-Identity-H">
    <w:altName w:val="Calibri"/>
    <w:panose1 w:val="00000000000000000000"/>
    <w:charset w:val="00"/>
    <w:family w:val="auto"/>
    <w:notTrueType/>
    <w:pitch w:val="default"/>
    <w:sig w:usb0="00000003" w:usb1="00000000" w:usb2="00000000" w:usb3="00000000" w:csb0="00000001" w:csb1="00000000"/>
  </w:font>
  <w:font w:name="*Verdana-Bold-7133-Identity-H">
    <w:altName w:val="Calibri"/>
    <w:panose1 w:val="00000000000000000000"/>
    <w:charset w:val="00"/>
    <w:family w:val="auto"/>
    <w:notTrueType/>
    <w:pitch w:val="default"/>
    <w:sig w:usb0="00000003" w:usb1="00000000" w:usb2="00000000" w:usb3="00000000" w:csb0="00000001" w:csb1="00000000"/>
  </w:font>
  <w:font w:name="*Verdana-Italic-7132-Identity-H">
    <w:altName w:val="Calibri"/>
    <w:panose1 w:val="00000000000000000000"/>
    <w:charset w:val="00"/>
    <w:family w:val="auto"/>
    <w:notTrueType/>
    <w:pitch w:val="default"/>
    <w:sig w:usb0="00000003" w:usb1="00000000" w:usb2="00000000" w:usb3="00000000" w:csb0="00000001" w:csb1="00000000"/>
  </w:font>
  <w:font w:name="*Calibri-8649-Identity-H">
    <w:altName w:val="Calibri"/>
    <w:panose1 w:val="00000000000000000000"/>
    <w:charset w:val="00"/>
    <w:family w:val="auto"/>
    <w:notTrueType/>
    <w:pitch w:val="default"/>
    <w:sig w:usb0="00000003" w:usb1="00000000" w:usb2="00000000" w:usb3="00000000" w:csb0="00000001" w:csb1="00000000"/>
  </w:font>
  <w:font w:name="*Verdana-Italic-8652-Identity-H">
    <w:altName w:val="Calibri"/>
    <w:panose1 w:val="00000000000000000000"/>
    <w:charset w:val="00"/>
    <w:family w:val="auto"/>
    <w:notTrueType/>
    <w:pitch w:val="default"/>
    <w:sig w:usb0="00000003" w:usb1="00000000" w:usb2="00000000" w:usb3="00000000" w:csb0="00000001" w:csb1="00000000"/>
  </w:font>
  <w:font w:name="*Verdana-Bold-8651-Identity-H">
    <w:altName w:val="Calibri"/>
    <w:panose1 w:val="00000000000000000000"/>
    <w:charset w:val="00"/>
    <w:family w:val="auto"/>
    <w:notTrueType/>
    <w:pitch w:val="default"/>
    <w:sig w:usb0="00000003" w:usb1="00000000" w:usb2="00000000" w:usb3="00000000" w:csb0="00000001" w:csb1="00000000"/>
  </w:font>
  <w:font w:name="*Tahoma-Bold-8653-Identity-H">
    <w:altName w:val="Calibri"/>
    <w:panose1 w:val="00000000000000000000"/>
    <w:charset w:val="00"/>
    <w:family w:val="auto"/>
    <w:notTrueType/>
    <w:pitch w:val="default"/>
    <w:sig w:usb0="00000003" w:usb1="00000000" w:usb2="00000000" w:usb3="00000000" w:csb0="00000001" w:csb1="00000000"/>
  </w:font>
  <w:font w:name="*Verdana-8125-Identity-H">
    <w:altName w:val="Calibri"/>
    <w:panose1 w:val="00000000000000000000"/>
    <w:charset w:val="00"/>
    <w:family w:val="auto"/>
    <w:notTrueType/>
    <w:pitch w:val="default"/>
    <w:sig w:usb0="00000003" w:usb1="00000000" w:usb2="00000000" w:usb3="00000000" w:csb0="00000001" w:csb1="00000000"/>
  </w:font>
  <w:font w:name="*Tahoma-Bold-8129-Identity-H">
    <w:altName w:val="Calibri"/>
    <w:panose1 w:val="00000000000000000000"/>
    <w:charset w:val="00"/>
    <w:family w:val="auto"/>
    <w:notTrueType/>
    <w:pitch w:val="default"/>
    <w:sig w:usb0="00000003" w:usb1="00000000" w:usb2="00000000" w:usb3="00000000" w:csb0="00000001" w:csb1="00000000"/>
  </w:font>
  <w:font w:name="*Tahoma-Bold-8128-Identity-H">
    <w:altName w:val="Calibri"/>
    <w:panose1 w:val="00000000000000000000"/>
    <w:charset w:val="00"/>
    <w:family w:val="auto"/>
    <w:notTrueType/>
    <w:pitch w:val="default"/>
    <w:sig w:usb0="00000003" w:usb1="00000000" w:usb2="00000000" w:usb3="00000000" w:csb0="00000001" w:csb1="00000000"/>
  </w:font>
  <w:font w:name="*Verdana-Italic-8126-Identity-H">
    <w:altName w:val="Calibri"/>
    <w:panose1 w:val="00000000000000000000"/>
    <w:charset w:val="00"/>
    <w:family w:val="auto"/>
    <w:notTrueType/>
    <w:pitch w:val="default"/>
    <w:sig w:usb0="00000003" w:usb1="00000000" w:usb2="00000000" w:usb3="00000000" w:csb0="00000001" w:csb1="00000000"/>
  </w:font>
  <w:font w:name="*Verdana-8783-Identity-H">
    <w:altName w:val="Calibri"/>
    <w:panose1 w:val="00000000000000000000"/>
    <w:charset w:val="00"/>
    <w:family w:val="auto"/>
    <w:notTrueType/>
    <w:pitch w:val="default"/>
    <w:sig w:usb0="00000003" w:usb1="00000000" w:usb2="00000000" w:usb3="00000000" w:csb0="00000001" w:csb1="00000000"/>
  </w:font>
  <w:font w:name="*Verdana-Italic-8784-Identity-H">
    <w:altName w:val="Calibri"/>
    <w:panose1 w:val="00000000000000000000"/>
    <w:charset w:val="00"/>
    <w:family w:val="auto"/>
    <w:notTrueType/>
    <w:pitch w:val="default"/>
    <w:sig w:usb0="00000003" w:usb1="00000000" w:usb2="00000000" w:usb3="00000000" w:csb0="00000001" w:csb1="00000000"/>
  </w:font>
  <w:font w:name="*Verdana-Bold-8786-Identity-H">
    <w:altName w:val="Calibri"/>
    <w:panose1 w:val="00000000000000000000"/>
    <w:charset w:val="00"/>
    <w:family w:val="auto"/>
    <w:notTrueType/>
    <w:pitch w:val="default"/>
    <w:sig w:usb0="00000003" w:usb1="00000000" w:usb2="00000000" w:usb3="00000000" w:csb0="00000001" w:csb1="00000000"/>
  </w:font>
  <w:font w:name="*Verdana-Bold-8785-Identity-H">
    <w:altName w:val="Calibri"/>
    <w:panose1 w:val="00000000000000000000"/>
    <w:charset w:val="00"/>
    <w:family w:val="auto"/>
    <w:notTrueType/>
    <w:pitch w:val="default"/>
    <w:sig w:usb0="00000003" w:usb1="00000000" w:usb2="00000000" w:usb3="00000000" w:csb0="00000001" w:csb1="00000000"/>
  </w:font>
  <w:font w:name="*Verdana-8509-Identity-H">
    <w:altName w:val="Calibri"/>
    <w:panose1 w:val="00000000000000000000"/>
    <w:charset w:val="00"/>
    <w:family w:val="auto"/>
    <w:notTrueType/>
    <w:pitch w:val="default"/>
    <w:sig w:usb0="00000003" w:usb1="00000000" w:usb2="00000000" w:usb3="00000000" w:csb0="00000001" w:csb1="00000000"/>
  </w:font>
  <w:font w:name="*Verdana-Bold-8511-Identity-H">
    <w:altName w:val="Calibri"/>
    <w:panose1 w:val="00000000000000000000"/>
    <w:charset w:val="00"/>
    <w:family w:val="auto"/>
    <w:notTrueType/>
    <w:pitch w:val="default"/>
    <w:sig w:usb0="00000003" w:usb1="00000000" w:usb2="00000000" w:usb3="00000000" w:csb0="00000001" w:csb1="00000000"/>
  </w:font>
  <w:font w:name="*Verdana-Italic-8510-Identity-H">
    <w:altName w:val="Calibri"/>
    <w:panose1 w:val="00000000000000000000"/>
    <w:charset w:val="00"/>
    <w:family w:val="auto"/>
    <w:notTrueType/>
    <w:pitch w:val="default"/>
    <w:sig w:usb0="00000003" w:usb1="00000000" w:usb2="00000000" w:usb3="00000000" w:csb0="00000001" w:csb1="00000000"/>
  </w:font>
  <w:font w:name="*Calibri-Italic-8507-Identity-H">
    <w:altName w:val="Calibri"/>
    <w:panose1 w:val="00000000000000000000"/>
    <w:charset w:val="00"/>
    <w:family w:val="auto"/>
    <w:notTrueType/>
    <w:pitch w:val="default"/>
    <w:sig w:usb0="00000003" w:usb1="00000000" w:usb2="00000000" w:usb3="00000000" w:csb0="00000001" w:csb1="00000000"/>
  </w:font>
  <w:font w:name="*Tahoma-7682-Identity-H">
    <w:altName w:val="Calibri"/>
    <w:panose1 w:val="00000000000000000000"/>
    <w:charset w:val="00"/>
    <w:family w:val="auto"/>
    <w:notTrueType/>
    <w:pitch w:val="default"/>
    <w:sig w:usb0="00000003" w:usb1="00000000" w:usb2="00000000" w:usb3="00000000" w:csb0="00000001" w:csb1="00000000"/>
  </w:font>
  <w:font w:name="*Verdana-Italic-7680-Identity-H">
    <w:altName w:val="Calibri"/>
    <w:panose1 w:val="00000000000000000000"/>
    <w:charset w:val="00"/>
    <w:family w:val="auto"/>
    <w:notTrueType/>
    <w:pitch w:val="default"/>
    <w:sig w:usb0="00000003" w:usb1="00000000" w:usb2="00000000" w:usb3="00000000" w:csb0="00000001" w:csb1="00000000"/>
  </w:font>
  <w:font w:name="*Verdana-BoldItalic-7681-Identi">
    <w:altName w:val="Calibri"/>
    <w:panose1 w:val="00000000000000000000"/>
    <w:charset w:val="00"/>
    <w:family w:val="auto"/>
    <w:notTrueType/>
    <w:pitch w:val="default"/>
    <w:sig w:usb0="00000003" w:usb1="00000000" w:usb2="00000000" w:usb3="00000000" w:csb0="00000001" w:csb1="00000000"/>
  </w:font>
  <w:font w:name="*Times New Roman-BoldItalic-767">
    <w:altName w:val="Calibri"/>
    <w:panose1 w:val="00000000000000000000"/>
    <w:charset w:val="00"/>
    <w:family w:val="auto"/>
    <w:notTrueType/>
    <w:pitch w:val="default"/>
    <w:sig w:usb0="00000003" w:usb1="00000000" w:usb2="00000000" w:usb3="00000000" w:csb0="00000001" w:csb1="00000000"/>
  </w:font>
  <w:font w:name="*Verdana-Italic-7679-Identity-H">
    <w:altName w:val="Calibri"/>
    <w:panose1 w:val="00000000000000000000"/>
    <w:charset w:val="00"/>
    <w:family w:val="auto"/>
    <w:notTrueType/>
    <w:pitch w:val="default"/>
    <w:sig w:usb0="00000003" w:usb1="00000000" w:usb2="00000000" w:usb3="00000000" w:csb0="00000001" w:csb1="00000000"/>
  </w:font>
  <w:font w:name="*Tahoma-Italic-7683-Identity-H">
    <w:altName w:val="Calibri"/>
    <w:panose1 w:val="00000000000000000000"/>
    <w:charset w:val="00"/>
    <w:family w:val="auto"/>
    <w:notTrueType/>
    <w:pitch w:val="default"/>
    <w:sig w:usb0="00000003" w:usb1="00000000" w:usb2="00000000" w:usb3="00000000" w:csb0="00000001" w:csb1="00000000"/>
  </w:font>
  <w:font w:name="*Times New Roman-Italic-7671-Id">
    <w:altName w:val="Calibri"/>
    <w:panose1 w:val="00000000000000000000"/>
    <w:charset w:val="00"/>
    <w:family w:val="auto"/>
    <w:notTrueType/>
    <w:pitch w:val="default"/>
    <w:sig w:usb0="00000003" w:usb1="00000000" w:usb2="00000000" w:usb3="00000000" w:csb0="00000001" w:csb1="00000000"/>
  </w:font>
  <w:font w:name="*Times New Roman-Bold-7674-Iden">
    <w:altName w:val="Calibri"/>
    <w:panose1 w:val="00000000000000000000"/>
    <w:charset w:val="00"/>
    <w:family w:val="auto"/>
    <w:notTrueType/>
    <w:pitch w:val="default"/>
    <w:sig w:usb0="00000003" w:usb1="00000000" w:usb2="00000000" w:usb3="00000000" w:csb0="00000001" w:csb1="00000000"/>
  </w:font>
  <w:font w:name="*Times New Roman-Bold-7673-Iden">
    <w:altName w:val="Calibri"/>
    <w:panose1 w:val="00000000000000000000"/>
    <w:charset w:val="00"/>
    <w:family w:val="auto"/>
    <w:notTrueType/>
    <w:pitch w:val="default"/>
    <w:sig w:usb0="00000003" w:usb1="00000000" w:usb2="00000000" w:usb3="00000000" w:csb0="00000001" w:csb1="00000000"/>
  </w:font>
  <w:font w:name="*Tahoma-7267-Identity-H">
    <w:altName w:val="Calibri"/>
    <w:panose1 w:val="00000000000000000000"/>
    <w:charset w:val="00"/>
    <w:family w:val="auto"/>
    <w:notTrueType/>
    <w:pitch w:val="default"/>
    <w:sig w:usb0="00000003" w:usb1="00000000" w:usb2="00000000" w:usb3="00000000" w:csb0="00000001" w:csb1="00000000"/>
  </w:font>
  <w:font w:name="*Verdana-Bold-7678-Identity-H">
    <w:altName w:val="Calibri"/>
    <w:panose1 w:val="00000000000000000000"/>
    <w:charset w:val="00"/>
    <w:family w:val="auto"/>
    <w:notTrueType/>
    <w:pitch w:val="default"/>
    <w:sig w:usb0="00000003" w:usb1="00000000" w:usb2="00000000" w:usb3="00000000" w:csb0="00000001" w:csb1="00000000"/>
  </w:font>
  <w:font w:name="*Verdana-Bold-7677-Identity-H">
    <w:altName w:val="Calibri"/>
    <w:panose1 w:val="00000000000000000000"/>
    <w:charset w:val="00"/>
    <w:family w:val="auto"/>
    <w:notTrueType/>
    <w:pitch w:val="default"/>
    <w:sig w:usb0="00000003" w:usb1="00000000" w:usb2="00000000" w:usb3="00000000" w:csb0="00000001" w:csb1="00000000"/>
  </w:font>
  <w:font w:name="*Verdana-Italic-7266-Identity-H">
    <w:altName w:val="Calibri"/>
    <w:panose1 w:val="00000000000000000000"/>
    <w:charset w:val="00"/>
    <w:family w:val="auto"/>
    <w:notTrueType/>
    <w:pitch w:val="default"/>
    <w:sig w:usb0="00000003" w:usb1="00000000" w:usb2="00000000" w:usb3="00000000" w:csb0="00000001" w:csb1="00000000"/>
  </w:font>
  <w:font w:name="*Tahoma-Bold-5316-Identity-H">
    <w:altName w:val="Calibri"/>
    <w:panose1 w:val="00000000000000000000"/>
    <w:charset w:val="00"/>
    <w:family w:val="auto"/>
    <w:notTrueType/>
    <w:pitch w:val="default"/>
    <w:sig w:usb0="00000003" w:usb1="00000000" w:usb2="00000000" w:usb3="00000000" w:csb0="00000001" w:csb1="00000000"/>
  </w:font>
  <w:font w:name="*Verdana-Bold-5314-Identity-H">
    <w:altName w:val="Calibri"/>
    <w:panose1 w:val="00000000000000000000"/>
    <w:charset w:val="00"/>
    <w:family w:val="auto"/>
    <w:notTrueType/>
    <w:pitch w:val="default"/>
    <w:sig w:usb0="00000003" w:usb1="00000000" w:usb2="00000000" w:usb3="00000000" w:csb0="00000001" w:csb1="00000000"/>
  </w:font>
  <w:font w:name="*Verdana-5313-Identity-H">
    <w:altName w:val="Calibri"/>
    <w:panose1 w:val="00000000000000000000"/>
    <w:charset w:val="00"/>
    <w:family w:val="auto"/>
    <w:notTrueType/>
    <w:pitch w:val="default"/>
    <w:sig w:usb0="00000003" w:usb1="00000000" w:usb2="00000000" w:usb3="00000000" w:csb0="00000001" w:csb1="00000000"/>
  </w:font>
  <w:font w:name="*Arial-Bold-5311-Identity-H">
    <w:altName w:val="Calibri"/>
    <w:panose1 w:val="00000000000000000000"/>
    <w:charset w:val="00"/>
    <w:family w:val="auto"/>
    <w:notTrueType/>
    <w:pitch w:val="default"/>
    <w:sig w:usb0="00000003" w:usb1="00000000" w:usb2="00000000" w:usb3="00000000" w:csb0="00000001" w:csb1="00000000"/>
  </w:font>
  <w:font w:name="*Verdana-5315-Identity-H">
    <w:altName w:val="Calibri"/>
    <w:panose1 w:val="00000000000000000000"/>
    <w:charset w:val="00"/>
    <w:family w:val="auto"/>
    <w:notTrueType/>
    <w:pitch w:val="default"/>
    <w:sig w:usb0="00000003" w:usb1="00000000" w:usb2="00000000" w:usb3="00000000" w:csb0="00000001" w:csb1="00000000"/>
  </w:font>
  <w:font w:name="*Verdana-Bold-2839-Identity-H">
    <w:altName w:val="Calibri"/>
    <w:panose1 w:val="00000000000000000000"/>
    <w:charset w:val="00"/>
    <w:family w:val="auto"/>
    <w:notTrueType/>
    <w:pitch w:val="default"/>
    <w:sig w:usb0="00000003" w:usb1="00000000" w:usb2="00000000" w:usb3="00000000" w:csb0="00000001" w:csb1="00000000"/>
  </w:font>
  <w:font w:name="*Verdana-2840-Identity-H">
    <w:altName w:val="Calibri"/>
    <w:panose1 w:val="00000000000000000000"/>
    <w:charset w:val="00"/>
    <w:family w:val="auto"/>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Calibri-Bold-7941-Identity-H">
    <w:altName w:val="Calibri"/>
    <w:panose1 w:val="00000000000000000000"/>
    <w:charset w:val="00"/>
    <w:family w:val="auto"/>
    <w:notTrueType/>
    <w:pitch w:val="default"/>
    <w:sig w:usb0="00000003" w:usb1="00000000" w:usb2="00000000" w:usb3="00000000" w:csb0="00000001" w:csb1="00000000"/>
  </w:font>
  <w:font w:name="*Courier New-7943-Identity-H">
    <w:altName w:val="Calibri"/>
    <w:panose1 w:val="00000000000000000000"/>
    <w:charset w:val="00"/>
    <w:family w:val="auto"/>
    <w:notTrueType/>
    <w:pitch w:val="default"/>
    <w:sig w:usb0="00000003" w:usb1="00000000" w:usb2="00000000" w:usb3="00000000" w:csb0="00000001" w:csb1="00000000"/>
  </w:font>
  <w:font w:name="*Calibri-10445-Identity-H">
    <w:altName w:val="Calibri"/>
    <w:panose1 w:val="00000000000000000000"/>
    <w:charset w:val="00"/>
    <w:family w:val="auto"/>
    <w:notTrueType/>
    <w:pitch w:val="default"/>
    <w:sig w:usb0="00000003" w:usb1="00000000" w:usb2="00000000" w:usb3="00000000" w:csb0="00000001" w:csb1="00000000"/>
  </w:font>
  <w:font w:name="*Arial-10447-Identity-H">
    <w:altName w:val="Calibri"/>
    <w:panose1 w:val="00000000000000000000"/>
    <w:charset w:val="00"/>
    <w:family w:val="auto"/>
    <w:notTrueType/>
    <w:pitch w:val="default"/>
    <w:sig w:usb0="00000003" w:usb1="00000000" w:usb2="00000000" w:usb3="00000000" w:csb0="00000001" w:csb1="00000000"/>
  </w:font>
  <w:font w:name="*Arial-10448-Identity-H">
    <w:altName w:val="Calibri"/>
    <w:panose1 w:val="00000000000000000000"/>
    <w:charset w:val="00"/>
    <w:family w:val="auto"/>
    <w:notTrueType/>
    <w:pitch w:val="default"/>
    <w:sig w:usb0="00000003" w:usb1="00000000" w:usb2="00000000" w:usb3="00000000" w:csb0="00000001" w:csb1="00000000"/>
  </w:font>
  <w:font w:name="*Arial-Italic-9779-Identity-H">
    <w:altName w:val="Calibri"/>
    <w:panose1 w:val="00000000000000000000"/>
    <w:charset w:val="00"/>
    <w:family w:val="auto"/>
    <w:notTrueType/>
    <w:pitch w:val="default"/>
    <w:sig w:usb0="00000003" w:usb1="00000000" w:usb2="00000000" w:usb3="00000000" w:csb0="00000001" w:csb1="00000000"/>
  </w:font>
  <w:font w:name="*Calibri-9777-Identity-H">
    <w:altName w:val="Calibri"/>
    <w:panose1 w:val="00000000000000000000"/>
    <w:charset w:val="00"/>
    <w:family w:val="auto"/>
    <w:notTrueType/>
    <w:pitch w:val="default"/>
    <w:sig w:usb0="00000003" w:usb1="00000000" w:usb2="00000000" w:usb3="00000000" w:csb0="00000001" w:csb1="00000000"/>
  </w:font>
  <w:font w:name="*Comic Sans MS-Italic-9781-Iden">
    <w:altName w:val="Calibri"/>
    <w:panose1 w:val="00000000000000000000"/>
    <w:charset w:val="00"/>
    <w:family w:val="auto"/>
    <w:notTrueType/>
    <w:pitch w:val="default"/>
    <w:sig w:usb0="00000003" w:usb1="00000000" w:usb2="00000000" w:usb3="00000000" w:csb0="00000001" w:csb1="00000000"/>
  </w:font>
  <w:font w:name="*Microsoft Sans Serif-Italic-97">
    <w:altName w:val="Calibri"/>
    <w:panose1 w:val="00000000000000000000"/>
    <w:charset w:val="00"/>
    <w:family w:val="auto"/>
    <w:notTrueType/>
    <w:pitch w:val="default"/>
    <w:sig w:usb0="00000003" w:usb1="00000000" w:usb2="00000000" w:usb3="00000000" w:csb0="00000001" w:csb1="00000000"/>
  </w:font>
  <w:font w:name="*Times New Roman-Italic-9774-Id">
    <w:altName w:val="Calibri"/>
    <w:panose1 w:val="00000000000000000000"/>
    <w:charset w:val="00"/>
    <w:family w:val="auto"/>
    <w:notTrueType/>
    <w:pitch w:val="default"/>
    <w:sig w:usb0="00000003" w:usb1="00000000" w:usb2="00000000" w:usb3="00000000" w:csb0="00000001" w:csb1="00000000"/>
  </w:font>
  <w:font w:name="*Tahoma-Italic-9786-Identity-H">
    <w:altName w:val="Calibri"/>
    <w:panose1 w:val="00000000000000000000"/>
    <w:charset w:val="00"/>
    <w:family w:val="auto"/>
    <w:notTrueType/>
    <w:pitch w:val="default"/>
    <w:sig w:usb0="00000003" w:usb1="00000000" w:usb2="00000000" w:usb3="00000000" w:csb0="00000001" w:csb1="00000000"/>
  </w:font>
  <w:font w:name="*Verdana-9782-Identity-H">
    <w:altName w:val="Calibri"/>
    <w:panose1 w:val="00000000000000000000"/>
    <w:charset w:val="00"/>
    <w:family w:val="auto"/>
    <w:notTrueType/>
    <w:pitch w:val="default"/>
    <w:sig w:usb0="00000003" w:usb1="00000000" w:usb2="00000000" w:usb3="00000000" w:csb0="00000001" w:csb1="00000000"/>
  </w:font>
  <w:font w:name="*Calibri-Bold-9778-Identity-H">
    <w:altName w:val="Calibri"/>
    <w:panose1 w:val="00000000000000000000"/>
    <w:charset w:val="00"/>
    <w:family w:val="auto"/>
    <w:notTrueType/>
    <w:pitch w:val="default"/>
    <w:sig w:usb0="00000003" w:usb1="00000000" w:usb2="00000000" w:usb3="00000000" w:csb0="00000001" w:csb1="00000000"/>
  </w:font>
  <w:font w:name="*Arial-10104-Identity-H">
    <w:altName w:val="Calibri"/>
    <w:panose1 w:val="00000000000000000000"/>
    <w:charset w:val="00"/>
    <w:family w:val="auto"/>
    <w:notTrueType/>
    <w:pitch w:val="default"/>
    <w:sig w:usb0="00000003" w:usb1="00000000" w:usb2="00000000" w:usb3="00000000" w:csb0="00000001" w:csb1="00000000"/>
  </w:font>
  <w:font w:name="*Times New Roman-Italic-10101-I">
    <w:altName w:val="Calibri"/>
    <w:panose1 w:val="00000000000000000000"/>
    <w:charset w:val="00"/>
    <w:family w:val="auto"/>
    <w:notTrueType/>
    <w:pitch w:val="default"/>
    <w:sig w:usb0="00000003" w:usb1="00000000" w:usb2="00000000" w:usb3="00000000" w:csb0="00000001" w:csb1="00000000"/>
  </w:font>
  <w:font w:name="*Times New Roman-Italic-10099-I">
    <w:altName w:val="Calibri"/>
    <w:panose1 w:val="00000000000000000000"/>
    <w:charset w:val="00"/>
    <w:family w:val="auto"/>
    <w:notTrueType/>
    <w:pitch w:val="default"/>
    <w:sig w:usb0="00000003" w:usb1="00000000" w:usb2="00000000" w:usb3="00000000" w:csb0="00000001" w:csb1="00000000"/>
  </w:font>
  <w:font w:name="*Times New Roman-Italic-10100-I">
    <w:altName w:val="Calibri"/>
    <w:panose1 w:val="00000000000000000000"/>
    <w:charset w:val="00"/>
    <w:family w:val="auto"/>
    <w:notTrueType/>
    <w:pitch w:val="default"/>
    <w:sig w:usb0="00000003" w:usb1="00000000" w:usb2="00000000" w:usb3="00000000" w:csb0="00000001" w:csb1="00000000"/>
  </w:font>
  <w:font w:name="*Calibri-10103-Identity-H">
    <w:altName w:val="Calibri"/>
    <w:panose1 w:val="00000000000000000000"/>
    <w:charset w:val="00"/>
    <w:family w:val="auto"/>
    <w:notTrueType/>
    <w:pitch w:val="default"/>
    <w:sig w:usb0="00000003" w:usb1="00000000" w:usb2="00000000" w:usb3="00000000" w:csb0="00000001" w:csb1="00000000"/>
  </w:font>
  <w:font w:name="*Times New Roman-10098-Identity">
    <w:altName w:val="Calibri"/>
    <w:panose1 w:val="00000000000000000000"/>
    <w:charset w:val="00"/>
    <w:family w:val="auto"/>
    <w:notTrueType/>
    <w:pitch w:val="default"/>
    <w:sig w:usb0="00000003" w:usb1="00000000" w:usb2="00000000" w:usb3="00000000" w:csb0="00000001" w:csb1="00000000"/>
  </w:font>
  <w:font w:name="*Times New Roman-10097-Identity">
    <w:altName w:val="Calibri"/>
    <w:panose1 w:val="00000000000000000000"/>
    <w:charset w:val="00"/>
    <w:family w:val="auto"/>
    <w:notTrueType/>
    <w:pitch w:val="default"/>
    <w:sig w:usb0="00000003" w:usb1="00000000" w:usb2="00000000" w:usb3="00000000" w:csb0="00000001" w:csb1="00000000"/>
  </w:font>
  <w:font w:name="*Calibri-11053-Identity-H">
    <w:altName w:val="Calibri"/>
    <w:panose1 w:val="00000000000000000000"/>
    <w:charset w:val="00"/>
    <w:family w:val="auto"/>
    <w:notTrueType/>
    <w:pitch w:val="default"/>
    <w:sig w:usb0="00000003" w:usb1="00000000" w:usb2="00000000" w:usb3="00000000" w:csb0="00000001" w:csb1="00000000"/>
  </w:font>
  <w:font w:name="*Times New Roman-11050-Identity">
    <w:altName w:val="Calibri"/>
    <w:panose1 w:val="00000000000000000000"/>
    <w:charset w:val="00"/>
    <w:family w:val="auto"/>
    <w:notTrueType/>
    <w:pitch w:val="default"/>
    <w:sig w:usb0="00000003" w:usb1="00000000" w:usb2="00000000" w:usb3="00000000" w:csb0="00000001" w:csb1="00000000"/>
  </w:font>
  <w:font w:name="*Times New Roman-11049-Identity">
    <w:altName w:val="Calibri"/>
    <w:panose1 w:val="00000000000000000000"/>
    <w:charset w:val="00"/>
    <w:family w:val="auto"/>
    <w:notTrueType/>
    <w:pitch w:val="default"/>
    <w:sig w:usb0="00000003" w:usb1="00000000" w:usb2="00000000" w:usb3="00000000" w:csb0="00000001" w:csb1="00000000"/>
  </w:font>
  <w:font w:name="*Calibri-10110-Identity-H">
    <w:altName w:val="Calibri"/>
    <w:panose1 w:val="00000000000000000000"/>
    <w:charset w:val="00"/>
    <w:family w:val="auto"/>
    <w:notTrueType/>
    <w:pitch w:val="default"/>
    <w:sig w:usb0="00000003" w:usb1="00000000" w:usb2="00000000" w:usb3="00000000" w:csb0="00000001" w:csb1="00000000"/>
  </w:font>
  <w:font w:name="*Arial-10112-Identity-H">
    <w:altName w:val="Calibri"/>
    <w:panose1 w:val="00000000000000000000"/>
    <w:charset w:val="00"/>
    <w:family w:val="auto"/>
    <w:notTrueType/>
    <w:pitch w:val="default"/>
    <w:sig w:usb0="00000003" w:usb1="00000000" w:usb2="00000000" w:usb3="00000000" w:csb0="00000001" w:csb1="00000000"/>
  </w:font>
  <w:font w:name="*Times New Roman-Italic-10108-I">
    <w:altName w:val="Calibri"/>
    <w:panose1 w:val="00000000000000000000"/>
    <w:charset w:val="00"/>
    <w:family w:val="auto"/>
    <w:notTrueType/>
    <w:pitch w:val="default"/>
    <w:sig w:usb0="00000003" w:usb1="00000000" w:usb2="00000000" w:usb3="00000000" w:csb0="00000001" w:csb1="00000000"/>
  </w:font>
  <w:font w:name="*Times New Roman-Italic-10109-I">
    <w:altName w:val="Calibri"/>
    <w:panose1 w:val="00000000000000000000"/>
    <w:charset w:val="00"/>
    <w:family w:val="auto"/>
    <w:notTrueType/>
    <w:pitch w:val="default"/>
    <w:sig w:usb0="00000003" w:usb1="00000000" w:usb2="00000000" w:usb3="00000000" w:csb0="00000001" w:csb1="00000000"/>
  </w:font>
  <w:font w:name="*Times New Roman-10107-Identity">
    <w:altName w:val="Calibri"/>
    <w:panose1 w:val="00000000000000000000"/>
    <w:charset w:val="00"/>
    <w:family w:val="auto"/>
    <w:notTrueType/>
    <w:pitch w:val="default"/>
    <w:sig w:usb0="00000003" w:usb1="00000000" w:usb2="00000000" w:usb3="00000000" w:csb0="00000001" w:csb1="00000000"/>
  </w:font>
  <w:font w:name="*Times New Roman-10106-Identity">
    <w:altName w:val="Calibri"/>
    <w:panose1 w:val="00000000000000000000"/>
    <w:charset w:val="00"/>
    <w:family w:val="auto"/>
    <w:notTrueType/>
    <w:pitch w:val="default"/>
    <w:sig w:usb0="00000003" w:usb1="00000000" w:usb2="00000000" w:usb3="00000000" w:csb0="00000001" w:csb1="00000000"/>
  </w:font>
  <w:font w:name="*Calibri-7597-Identity-H">
    <w:altName w:val="Calibri"/>
    <w:panose1 w:val="00000000000000000000"/>
    <w:charset w:val="00"/>
    <w:family w:val="auto"/>
    <w:notTrueType/>
    <w:pitch w:val="default"/>
    <w:sig w:usb0="00000003" w:usb1="00000000" w:usb2="00000000" w:usb3="00000000" w:csb0="00000001" w:csb1="00000000"/>
  </w:font>
  <w:font w:name="*Verdana-7602-Identity-H">
    <w:altName w:val="Calibri"/>
    <w:panose1 w:val="00000000000000000000"/>
    <w:charset w:val="00"/>
    <w:family w:val="auto"/>
    <w:notTrueType/>
    <w:pitch w:val="default"/>
    <w:sig w:usb0="00000003" w:usb1="00000000" w:usb2="00000000" w:usb3="00000000" w:csb0="00000001" w:csb1="00000000"/>
  </w:font>
  <w:font w:name="*Calibri-7599-Identity-H">
    <w:altName w:val="Calibri"/>
    <w:panose1 w:val="00000000000000000000"/>
    <w:charset w:val="00"/>
    <w:family w:val="auto"/>
    <w:notTrueType/>
    <w:pitch w:val="default"/>
    <w:sig w:usb0="00000003" w:usb1="00000000" w:usb2="00000000" w:usb3="00000000" w:csb0="00000001" w:csb1="00000000"/>
  </w:font>
  <w:font w:name="*Calibri-Bold-7598-Identity-H">
    <w:altName w:val="Calibri"/>
    <w:panose1 w:val="00000000000000000000"/>
    <w:charset w:val="00"/>
    <w:family w:val="auto"/>
    <w:notTrueType/>
    <w:pitch w:val="default"/>
    <w:sig w:usb0="00000003" w:usb1="00000000" w:usb2="00000000" w:usb3="00000000" w:csb0="00000001" w:csb1="00000000"/>
  </w:font>
  <w:font w:name="*Calibri-7864-Identity-H">
    <w:altName w:val="Calibri"/>
    <w:panose1 w:val="00000000000000000000"/>
    <w:charset w:val="00"/>
    <w:family w:val="auto"/>
    <w:notTrueType/>
    <w:pitch w:val="default"/>
    <w:sig w:usb0="00000003" w:usb1="00000000" w:usb2="00000000" w:usb3="00000000" w:csb0="00000001" w:csb1="00000000"/>
  </w:font>
  <w:font w:name="*Calibri-7865-Identity-H">
    <w:altName w:val="Calibri"/>
    <w:panose1 w:val="00000000000000000000"/>
    <w:charset w:val="00"/>
    <w:family w:val="auto"/>
    <w:notTrueType/>
    <w:pitch w:val="default"/>
    <w:sig w:usb0="00000003" w:usb1="00000000" w:usb2="00000000" w:usb3="00000000" w:csb0="00000001" w:csb1="00000000"/>
  </w:font>
  <w:font w:name="*Microsoft Sans Serif-8687-Iden">
    <w:altName w:val="Calibri"/>
    <w:panose1 w:val="00000000000000000000"/>
    <w:charset w:val="00"/>
    <w:family w:val="auto"/>
    <w:notTrueType/>
    <w:pitch w:val="default"/>
    <w:sig w:usb0="00000003" w:usb1="00000000" w:usb2="00000000" w:usb3="00000000" w:csb0="00000001" w:csb1="00000000"/>
  </w:font>
  <w:font w:name="*Microsoft Sans Serif-8689-Iden">
    <w:altName w:val="Calibri"/>
    <w:panose1 w:val="00000000000000000000"/>
    <w:charset w:val="00"/>
    <w:family w:val="auto"/>
    <w:notTrueType/>
    <w:pitch w:val="default"/>
    <w:sig w:usb0="00000003" w:usb1="00000000" w:usb2="00000000" w:usb3="00000000" w:csb0="00000001" w:csb1="00000000"/>
  </w:font>
  <w:font w:name="*Microsoft Sans Serif-8688-Iden">
    <w:altName w:val="Calibri"/>
    <w:panose1 w:val="00000000000000000000"/>
    <w:charset w:val="00"/>
    <w:family w:val="auto"/>
    <w:notTrueType/>
    <w:pitch w:val="default"/>
    <w:sig w:usb0="00000003" w:usb1="00000000" w:usb2="00000000" w:usb3="00000000" w:csb0="00000001" w:csb1="00000000"/>
  </w:font>
  <w:font w:name="*Arial-8648-Identity-H">
    <w:altName w:val="Calibri"/>
    <w:panose1 w:val="00000000000000000000"/>
    <w:charset w:val="00"/>
    <w:family w:val="auto"/>
    <w:notTrueType/>
    <w:pitch w:val="default"/>
    <w:sig w:usb0="00000003" w:usb1="00000000" w:usb2="00000000" w:usb3="00000000" w:csb0="00000001" w:csb1="00000000"/>
  </w:font>
  <w:font w:name="*Microsoft Sans Serif-Italic-86">
    <w:altName w:val="Calibri"/>
    <w:panose1 w:val="00000000000000000000"/>
    <w:charset w:val="00"/>
    <w:family w:val="auto"/>
    <w:notTrueType/>
    <w:pitch w:val="default"/>
    <w:sig w:usb0="00000003" w:usb1="00000000" w:usb2="00000000" w:usb3="00000000" w:csb0="00000001" w:csb1="00000000"/>
  </w:font>
  <w:font w:name="*Courier New-7540-Identity-H">
    <w:altName w:val="Calibri"/>
    <w:panose1 w:val="00000000000000000000"/>
    <w:charset w:val="00"/>
    <w:family w:val="auto"/>
    <w:notTrueType/>
    <w:pitch w:val="default"/>
    <w:sig w:usb0="00000003" w:usb1="00000000" w:usb2="00000000" w:usb3="00000000" w:csb0="00000001" w:csb1="00000000"/>
  </w:font>
  <w:font w:name="*Calibri-8559-Identity-H">
    <w:altName w:val="Calibri"/>
    <w:panose1 w:val="00000000000000000000"/>
    <w:charset w:val="00"/>
    <w:family w:val="auto"/>
    <w:notTrueType/>
    <w:pitch w:val="default"/>
    <w:sig w:usb0="00000003" w:usb1="00000000" w:usb2="00000000" w:usb3="00000000" w:csb0="00000001" w:csb1="00000000"/>
  </w:font>
  <w:font w:name="*Courier New-7673-Identity-H">
    <w:altName w:val="Calibri"/>
    <w:panose1 w:val="00000000000000000000"/>
    <w:charset w:val="00"/>
    <w:family w:val="auto"/>
    <w:notTrueType/>
    <w:pitch w:val="default"/>
    <w:sig w:usb0="00000003" w:usb1="00000000" w:usb2="00000000" w:usb3="00000000" w:csb0="00000001" w:csb1="00000000"/>
  </w:font>
  <w:font w:name="*Calibri-Bold-7671-Identity-H">
    <w:altName w:val="Calibri"/>
    <w:panose1 w:val="00000000000000000000"/>
    <w:charset w:val="00"/>
    <w:family w:val="auto"/>
    <w:notTrueType/>
    <w:pitch w:val="default"/>
    <w:sig w:usb0="00000003" w:usb1="00000000" w:usb2="00000000" w:usb3="00000000" w:csb0="00000001" w:csb1="00000000"/>
  </w:font>
  <w:font w:name="*Verdana-7674-Identity-H">
    <w:altName w:val="Calibri"/>
    <w:panose1 w:val="00000000000000000000"/>
    <w:charset w:val="00"/>
    <w:family w:val="auto"/>
    <w:notTrueType/>
    <w:pitch w:val="default"/>
    <w:sig w:usb0="00000003" w:usb1="00000000" w:usb2="00000000" w:usb3="00000000" w:csb0="00000001" w:csb1="00000000"/>
  </w:font>
  <w:font w:name="*Microsoft Sans Serif-Bold-7053">
    <w:altName w:val="Calibri"/>
    <w:panose1 w:val="00000000000000000000"/>
    <w:charset w:val="00"/>
    <w:family w:val="auto"/>
    <w:notTrueType/>
    <w:pitch w:val="default"/>
    <w:sig w:usb0="00000003" w:usb1="00000000" w:usb2="00000000" w:usb3="00000000" w:csb0="00000001" w:csb1="00000000"/>
  </w:font>
  <w:font w:name="*Courier New-7051-Identity-H">
    <w:altName w:val="Calibri"/>
    <w:panose1 w:val="00000000000000000000"/>
    <w:charset w:val="00"/>
    <w:family w:val="auto"/>
    <w:notTrueType/>
    <w:pitch w:val="default"/>
    <w:sig w:usb0="00000003" w:usb1="00000000" w:usb2="00000000" w:usb3="00000000" w:csb0="00000001" w:csb1="00000000"/>
  </w:font>
  <w:font w:name="*Calibri-9143-Identity-H">
    <w:altName w:val="Calibri"/>
    <w:panose1 w:val="00000000000000000000"/>
    <w:charset w:val="00"/>
    <w:family w:val="auto"/>
    <w:notTrueType/>
    <w:pitch w:val="default"/>
    <w:sig w:usb0="00000003" w:usb1="00000000" w:usb2="00000000" w:usb3="00000000" w:csb0="00000001" w:csb1="00000000"/>
  </w:font>
  <w:font w:name="*Times New Roman-9141-Identity-">
    <w:altName w:val="Calibri"/>
    <w:panose1 w:val="00000000000000000000"/>
    <w:charset w:val="00"/>
    <w:family w:val="auto"/>
    <w:notTrueType/>
    <w:pitch w:val="default"/>
    <w:sig w:usb0="00000003" w:usb1="00000000" w:usb2="00000000" w:usb3="00000000" w:csb0="00000001" w:csb1="00000000"/>
  </w:font>
  <w:font w:name="*Comic Sans MS-Bold-9146-Identi">
    <w:altName w:val="Calibri"/>
    <w:panose1 w:val="00000000000000000000"/>
    <w:charset w:val="00"/>
    <w:family w:val="auto"/>
    <w:notTrueType/>
    <w:pitch w:val="default"/>
    <w:sig w:usb0="00000003" w:usb1="00000000" w:usb2="00000000" w:usb3="00000000" w:csb0="00000001" w:csb1="00000000"/>
  </w:font>
  <w:font w:name="*Courier New-9145-Identity-H">
    <w:altName w:val="Calibri"/>
    <w:panose1 w:val="00000000000000000000"/>
    <w:charset w:val="00"/>
    <w:family w:val="auto"/>
    <w:notTrueType/>
    <w:pitch w:val="default"/>
    <w:sig w:usb0="00000003" w:usb1="00000000" w:usb2="00000000" w:usb3="00000000" w:csb0="00000001" w:csb1="00000000"/>
  </w:font>
  <w:font w:name="*Verdana-9147-Identity-H">
    <w:altName w:val="Calibri"/>
    <w:panose1 w:val="00000000000000000000"/>
    <w:charset w:val="00"/>
    <w:family w:val="auto"/>
    <w:notTrueType/>
    <w:pitch w:val="default"/>
    <w:sig w:usb0="00000003" w:usb1="00000000" w:usb2="00000000" w:usb3="00000000" w:csb0="00000001" w:csb1="00000000"/>
  </w:font>
  <w:font w:name="*Calibri-9889-Identity-H">
    <w:altName w:val="Calibri"/>
    <w:panose1 w:val="00000000000000000000"/>
    <w:charset w:val="00"/>
    <w:family w:val="auto"/>
    <w:notTrueType/>
    <w:pitch w:val="default"/>
    <w:sig w:usb0="00000003" w:usb1="00000000" w:usb2="00000000" w:usb3="00000000" w:csb0="00000001" w:csb1="00000000"/>
  </w:font>
  <w:font w:name="*Verdana-Bold-9891-Identity-H">
    <w:altName w:val="Calibri"/>
    <w:panose1 w:val="00000000000000000000"/>
    <w:charset w:val="00"/>
    <w:family w:val="auto"/>
    <w:notTrueType/>
    <w:pitch w:val="default"/>
    <w:sig w:usb0="00000003" w:usb1="00000000" w:usb2="00000000" w:usb3="00000000" w:csb0="00000001" w:csb1="00000000"/>
  </w:font>
  <w:font w:name="*Times New Roman-Italic-9886-Id">
    <w:altName w:val="Calibri"/>
    <w:panose1 w:val="00000000000000000000"/>
    <w:charset w:val="00"/>
    <w:family w:val="auto"/>
    <w:notTrueType/>
    <w:pitch w:val="default"/>
    <w:sig w:usb0="00000003" w:usb1="00000000" w:usb2="00000000" w:usb3="00000000" w:csb0="00000001" w:csb1="00000000"/>
  </w:font>
  <w:font w:name="*Times New Roman-Italic-9887-Id">
    <w:altName w:val="Calibri"/>
    <w:panose1 w:val="00000000000000000000"/>
    <w:charset w:val="00"/>
    <w:family w:val="auto"/>
    <w:notTrueType/>
    <w:pitch w:val="default"/>
    <w:sig w:usb0="00000003" w:usb1="00000000" w:usb2="00000000" w:usb3="00000000" w:csb0="00000001" w:csb1="00000000"/>
  </w:font>
  <w:font w:name="*Microsoft Sans Serif-Italic-98">
    <w:altName w:val="Calibri"/>
    <w:panose1 w:val="00000000000000000000"/>
    <w:charset w:val="00"/>
    <w:family w:val="auto"/>
    <w:notTrueType/>
    <w:pitch w:val="default"/>
    <w:sig w:usb0="00000003" w:usb1="00000000" w:usb2="00000000" w:usb3="00000000" w:csb0="00000001" w:csb1="00000000"/>
  </w:font>
  <w:font w:name="*Calibri-9888-Identity-H">
    <w:altName w:val="Calibri"/>
    <w:panose1 w:val="00000000000000000000"/>
    <w:charset w:val="00"/>
    <w:family w:val="auto"/>
    <w:notTrueType/>
    <w:pitch w:val="default"/>
    <w:sig w:usb0="00000003" w:usb1="00000000" w:usb2="00000000" w:usb3="00000000" w:csb0="00000001" w:csb1="00000000"/>
  </w:font>
  <w:font w:name="*Arial-9890-Identity-H">
    <w:altName w:val="Calibri"/>
    <w:panose1 w:val="00000000000000000000"/>
    <w:charset w:val="00"/>
    <w:family w:val="auto"/>
    <w:notTrueType/>
    <w:pitch w:val="default"/>
    <w:sig w:usb0="00000003" w:usb1="00000000" w:usb2="00000000" w:usb3="00000000" w:csb0="00000001" w:csb1="00000000"/>
  </w:font>
  <w:font w:name="*Arial-Italic-10078-Identity-H">
    <w:altName w:val="Calibri"/>
    <w:panose1 w:val="00000000000000000000"/>
    <w:charset w:val="00"/>
    <w:family w:val="auto"/>
    <w:notTrueType/>
    <w:pitch w:val="default"/>
    <w:sig w:usb0="00000003" w:usb1="00000000" w:usb2="00000000" w:usb3="00000000" w:csb0="00000001" w:csb1="00000000"/>
  </w:font>
  <w:font w:name="*Verdana-10079-Identity-H">
    <w:altName w:val="Calibri"/>
    <w:panose1 w:val="00000000000000000000"/>
    <w:charset w:val="00"/>
    <w:family w:val="auto"/>
    <w:notTrueType/>
    <w:pitch w:val="default"/>
    <w:sig w:usb0="00000003" w:usb1="00000000" w:usb2="00000000" w:usb3="00000000" w:csb0="00000001" w:csb1="00000000"/>
  </w:font>
  <w:font w:name="*Calibri-10075-Identity-H">
    <w:altName w:val="Calibri"/>
    <w:panose1 w:val="00000000000000000000"/>
    <w:charset w:val="00"/>
    <w:family w:val="auto"/>
    <w:notTrueType/>
    <w:pitch w:val="default"/>
    <w:sig w:usb0="00000003" w:usb1="00000000" w:usb2="00000000" w:usb3="00000000" w:csb0="00000001" w:csb1="00000000"/>
  </w:font>
  <w:font w:name="*Times New Roman-10074-Identity">
    <w:altName w:val="Calibri"/>
    <w:panose1 w:val="00000000000000000000"/>
    <w:charset w:val="00"/>
    <w:family w:val="auto"/>
    <w:notTrueType/>
    <w:pitch w:val="default"/>
    <w:sig w:usb0="00000003" w:usb1="00000000" w:usb2="00000000" w:usb3="00000000" w:csb0="00000001" w:csb1="00000000"/>
  </w:font>
  <w:font w:name="*Microsoft Sans Serif-Italic-96">
    <w:altName w:val="Calibri"/>
    <w:panose1 w:val="00000000000000000000"/>
    <w:charset w:val="00"/>
    <w:family w:val="auto"/>
    <w:notTrueType/>
    <w:pitch w:val="default"/>
    <w:sig w:usb0="00000003" w:usb1="00000000" w:usb2="00000000" w:usb3="00000000" w:csb0="00000001" w:csb1="00000000"/>
  </w:font>
  <w:font w:name="*Times New Roman-9618-Identity-">
    <w:altName w:val="Calibri"/>
    <w:panose1 w:val="00000000000000000000"/>
    <w:charset w:val="00"/>
    <w:family w:val="auto"/>
    <w:notTrueType/>
    <w:pitch w:val="default"/>
    <w:sig w:usb0="00000003" w:usb1="00000000" w:usb2="00000000" w:usb3="00000000" w:csb0="00000001" w:csb1="00000000"/>
  </w:font>
  <w:font w:name="*Verdana-9620-Identity-H">
    <w:altName w:val="Calibri"/>
    <w:panose1 w:val="00000000000000000000"/>
    <w:charset w:val="00"/>
    <w:family w:val="auto"/>
    <w:notTrueType/>
    <w:pitch w:val="default"/>
    <w:sig w:usb0="00000003" w:usb1="00000000" w:usb2="00000000" w:usb3="00000000" w:csb0="00000001" w:csb1="00000000"/>
  </w:font>
  <w:font w:name="*Arial-9619-Identity-H">
    <w:altName w:val="Calibri"/>
    <w:panose1 w:val="00000000000000000000"/>
    <w:charset w:val="00"/>
    <w:family w:val="auto"/>
    <w:notTrueType/>
    <w:pitch w:val="default"/>
    <w:sig w:usb0="00000003" w:usb1="00000000" w:usb2="00000000" w:usb3="00000000" w:csb0="00000001" w:csb1="00000000"/>
  </w:font>
  <w:font w:name="*Calibri-10207-Identity-H">
    <w:altName w:val="Calibri"/>
    <w:panose1 w:val="00000000000000000000"/>
    <w:charset w:val="00"/>
    <w:family w:val="auto"/>
    <w:notTrueType/>
    <w:pitch w:val="default"/>
    <w:sig w:usb0="00000003" w:usb1="00000000" w:usb2="00000000" w:usb3="00000000" w:csb0="00000001" w:csb1="00000000"/>
  </w:font>
  <w:font w:name="*Calibri-10339-Identity-H">
    <w:altName w:val="Calibri"/>
    <w:panose1 w:val="00000000000000000000"/>
    <w:charset w:val="00"/>
    <w:family w:val="auto"/>
    <w:notTrueType/>
    <w:pitch w:val="default"/>
    <w:sig w:usb0="00000003" w:usb1="00000000" w:usb2="00000000" w:usb3="00000000" w:csb0="00000001" w:csb1="00000000"/>
  </w:font>
  <w:font w:name="*Arial-10341-Identity-H">
    <w:altName w:val="Calibri"/>
    <w:panose1 w:val="00000000000000000000"/>
    <w:charset w:val="00"/>
    <w:family w:val="auto"/>
    <w:notTrueType/>
    <w:pitch w:val="default"/>
    <w:sig w:usb0="00000003" w:usb1="00000000" w:usb2="00000000" w:usb3="00000000" w:csb0="00000001" w:csb1="00000000"/>
  </w:font>
  <w:font w:name="*Times New Roman-10337-Identity">
    <w:altName w:val="Calibri"/>
    <w:panose1 w:val="00000000000000000000"/>
    <w:charset w:val="00"/>
    <w:family w:val="auto"/>
    <w:notTrueType/>
    <w:pitch w:val="default"/>
    <w:sig w:usb0="00000003" w:usb1="00000000" w:usb2="00000000" w:usb3="00000000" w:csb0="00000001" w:csb1="00000000"/>
  </w:font>
  <w:font w:name="*Times New Roman-Italic-10338-I">
    <w:altName w:val="Calibri"/>
    <w:panose1 w:val="00000000000000000000"/>
    <w:charset w:val="00"/>
    <w:family w:val="auto"/>
    <w:notTrueType/>
    <w:pitch w:val="default"/>
    <w:sig w:usb0="00000003" w:usb1="00000000" w:usb2="00000000" w:usb3="00000000" w:csb0="00000001" w:csb1="00000000"/>
  </w:font>
  <w:font w:name="*Arial-9628-Identity-H">
    <w:altName w:val="Calibri"/>
    <w:panose1 w:val="00000000000000000000"/>
    <w:charset w:val="00"/>
    <w:family w:val="auto"/>
    <w:notTrueType/>
    <w:pitch w:val="default"/>
    <w:sig w:usb0="00000003" w:usb1="00000000" w:usb2="00000000" w:usb3="00000000" w:csb0="00000001" w:csb1="00000000"/>
  </w:font>
  <w:font w:name="*Times New Roman-Italic-9625-Id">
    <w:altName w:val="Calibri"/>
    <w:panose1 w:val="00000000000000000000"/>
    <w:charset w:val="00"/>
    <w:family w:val="auto"/>
    <w:notTrueType/>
    <w:pitch w:val="default"/>
    <w:sig w:usb0="00000003" w:usb1="00000000" w:usb2="00000000" w:usb3="00000000" w:csb0="00000001" w:csb1="00000000"/>
  </w:font>
  <w:font w:name="*Microsoft Sans Serif-9629-Iden">
    <w:altName w:val="Calibri"/>
    <w:panose1 w:val="00000000000000000000"/>
    <w:charset w:val="00"/>
    <w:family w:val="auto"/>
    <w:notTrueType/>
    <w:pitch w:val="default"/>
    <w:sig w:usb0="00000003" w:usb1="00000000" w:usb2="00000000" w:usb3="00000000" w:csb0="00000001" w:csb1="00000000"/>
  </w:font>
  <w:font w:name="*Calibri-Bold-9626-Identity-H">
    <w:altName w:val="Calibri"/>
    <w:panose1 w:val="00000000000000000000"/>
    <w:charset w:val="00"/>
    <w:family w:val="auto"/>
    <w:notTrueType/>
    <w:pitch w:val="default"/>
    <w:sig w:usb0="00000003" w:usb1="00000000" w:usb2="00000000" w:usb3="00000000" w:csb0="00000001" w:csb1="00000000"/>
  </w:font>
  <w:font w:name="*Arial-7976-Identity-H">
    <w:altName w:val="Calibri"/>
    <w:panose1 w:val="00000000000000000000"/>
    <w:charset w:val="00"/>
    <w:family w:val="auto"/>
    <w:notTrueType/>
    <w:pitch w:val="default"/>
    <w:sig w:usb0="00000003" w:usb1="00000000" w:usb2="00000000" w:usb3="00000000" w:csb0="00000001" w:csb1="00000000"/>
  </w:font>
  <w:font w:name="*Courier New-8482-Identity-H">
    <w:altName w:val="Calibri"/>
    <w:panose1 w:val="00000000000000000000"/>
    <w:charset w:val="00"/>
    <w:family w:val="auto"/>
    <w:notTrueType/>
    <w:pitch w:val="default"/>
    <w:sig w:usb0="00000003" w:usb1="00000000" w:usb2="00000000" w:usb3="00000000" w:csb0="00000001" w:csb1="00000000"/>
  </w:font>
  <w:font w:name="*Times New Roman-Italic-8480-Id">
    <w:altName w:val="Calibri"/>
    <w:panose1 w:val="00000000000000000000"/>
    <w:charset w:val="00"/>
    <w:family w:val="auto"/>
    <w:notTrueType/>
    <w:pitch w:val="default"/>
    <w:sig w:usb0="00000003" w:usb1="00000000" w:usb2="00000000" w:usb3="00000000" w:csb0="00000001" w:csb1="00000000"/>
  </w:font>
  <w:font w:name="*Verdana-8483-Identity-H">
    <w:altName w:val="Calibri"/>
    <w:panose1 w:val="00000000000000000000"/>
    <w:charset w:val="00"/>
    <w:family w:val="auto"/>
    <w:notTrueType/>
    <w:pitch w:val="default"/>
    <w:sig w:usb0="00000003" w:usb1="00000000" w:usb2="00000000" w:usb3="00000000" w:csb0="00000001" w:csb1="00000000"/>
  </w:font>
  <w:font w:name="*Arial-7247-Identity-H">
    <w:altName w:val="Calibri"/>
    <w:panose1 w:val="00000000000000000000"/>
    <w:charset w:val="00"/>
    <w:family w:val="auto"/>
    <w:notTrueType/>
    <w:pitch w:val="default"/>
    <w:sig w:usb0="00000003" w:usb1="00000000" w:usb2="00000000" w:usb3="00000000" w:csb0="00000001" w:csb1="00000000"/>
  </w:font>
  <w:font w:name="*Calibri-Bold-7246-Identity-H">
    <w:altName w:val="Calibri"/>
    <w:panose1 w:val="00000000000000000000"/>
    <w:charset w:val="00"/>
    <w:family w:val="auto"/>
    <w:notTrueType/>
    <w:pitch w:val="default"/>
    <w:sig w:usb0="00000003" w:usb1="00000000" w:usb2="00000000" w:usb3="00000000" w:csb0="00000001" w:csb1="00000000"/>
  </w:font>
  <w:font w:name="*Arial-7260-Identity-H">
    <w:altName w:val="Calibri"/>
    <w:panose1 w:val="00000000000000000000"/>
    <w:charset w:val="00"/>
    <w:family w:val="auto"/>
    <w:notTrueType/>
    <w:pitch w:val="default"/>
    <w:sig w:usb0="00000003" w:usb1="00000000" w:usb2="00000000" w:usb3="00000000" w:csb0="00000001" w:csb1="00000000"/>
  </w:font>
  <w:font w:name="*Arial-Bold-8668-Identity-H">
    <w:altName w:val="Calibri"/>
    <w:panose1 w:val="00000000000000000000"/>
    <w:charset w:val="00"/>
    <w:family w:val="auto"/>
    <w:notTrueType/>
    <w:pitch w:val="default"/>
    <w:sig w:usb0="00000003" w:usb1="00000000" w:usb2="00000000" w:usb3="00000000" w:csb0="00000001" w:csb1="00000000"/>
  </w:font>
  <w:font w:name="*Microsoft Sans Serif-8671-Iden">
    <w:altName w:val="Calibri"/>
    <w:panose1 w:val="00000000000000000000"/>
    <w:charset w:val="00"/>
    <w:family w:val="auto"/>
    <w:notTrueType/>
    <w:pitch w:val="default"/>
    <w:sig w:usb0="00000003" w:usb1="00000000" w:usb2="00000000" w:usb3="00000000" w:csb0="00000001" w:csb1="00000000"/>
  </w:font>
  <w:font w:name="*Calibri-12230-Identity-H">
    <w:altName w:val="Calibri"/>
    <w:panose1 w:val="00000000000000000000"/>
    <w:charset w:val="00"/>
    <w:family w:val="auto"/>
    <w:notTrueType/>
    <w:pitch w:val="default"/>
    <w:sig w:usb0="00000003" w:usb1="00000000" w:usb2="00000000" w:usb3="00000000" w:csb0="00000001" w:csb1="00000000"/>
  </w:font>
  <w:font w:name="*Calibri-Bold-12231-Identity-H">
    <w:altName w:val="Calibri"/>
    <w:panose1 w:val="00000000000000000000"/>
    <w:charset w:val="00"/>
    <w:family w:val="auto"/>
    <w:notTrueType/>
    <w:pitch w:val="default"/>
    <w:sig w:usb0="00000003" w:usb1="00000000" w:usb2="00000000" w:usb3="00000000" w:csb0="00000001" w:csb1="00000000"/>
  </w:font>
  <w:font w:name="*Arial-12234-Identity-H">
    <w:altName w:val="Calibri"/>
    <w:panose1 w:val="00000000000000000000"/>
    <w:charset w:val="00"/>
    <w:family w:val="auto"/>
    <w:notTrueType/>
    <w:pitch w:val="default"/>
    <w:sig w:usb0="00000003" w:usb1="00000000" w:usb2="00000000" w:usb3="00000000" w:csb0="00000001" w:csb1="00000000"/>
  </w:font>
  <w:font w:name="*Microsoft Sans Serif-12236-Ide">
    <w:altName w:val="Calibri"/>
    <w:panose1 w:val="00000000000000000000"/>
    <w:charset w:val="00"/>
    <w:family w:val="auto"/>
    <w:notTrueType/>
    <w:pitch w:val="default"/>
    <w:sig w:usb0="00000003" w:usb1="00000000" w:usb2="00000000" w:usb3="00000000" w:csb0="00000001" w:csb1="00000000"/>
  </w:font>
  <w:font w:name="*Microsoft Sans Serif-Italic-12">
    <w:altName w:val="Calibri"/>
    <w:panose1 w:val="00000000000000000000"/>
    <w:charset w:val="00"/>
    <w:family w:val="auto"/>
    <w:notTrueType/>
    <w:pitch w:val="default"/>
    <w:sig w:usb0="00000003" w:usb1="00000000" w:usb2="00000000" w:usb3="00000000" w:csb0="00000001" w:csb1="00000000"/>
  </w:font>
  <w:font w:name="*Arial-12233-Identity-H">
    <w:altName w:val="Calibri"/>
    <w:panose1 w:val="00000000000000000000"/>
    <w:charset w:val="00"/>
    <w:family w:val="auto"/>
    <w:notTrueType/>
    <w:pitch w:val="default"/>
    <w:sig w:usb0="00000003" w:usb1="00000000" w:usb2="00000000" w:usb3="00000000" w:csb0="00000001" w:csb1="00000000"/>
  </w:font>
  <w:font w:name="*Tahoma-Italic-13421-Identity-H">
    <w:altName w:val="Calibri"/>
    <w:panose1 w:val="00000000000000000000"/>
    <w:charset w:val="00"/>
    <w:family w:val="auto"/>
    <w:notTrueType/>
    <w:pitch w:val="default"/>
    <w:sig w:usb0="00000003" w:usb1="00000000" w:usb2="00000000" w:usb3="00000000" w:csb0="00000001" w:csb1="00000000"/>
  </w:font>
  <w:font w:name="*Times New Roman-12228-Identity">
    <w:altName w:val="Calibri"/>
    <w:panose1 w:val="00000000000000000000"/>
    <w:charset w:val="00"/>
    <w:family w:val="auto"/>
    <w:notTrueType/>
    <w:pitch w:val="default"/>
    <w:sig w:usb0="00000003" w:usb1="00000000" w:usb2="00000000" w:usb3="00000000" w:csb0="00000001" w:csb1="00000000"/>
  </w:font>
  <w:font w:name="*Times New Roman-12227-Identity">
    <w:altName w:val="Calibri"/>
    <w:panose1 w:val="00000000000000000000"/>
    <w:charset w:val="00"/>
    <w:family w:val="auto"/>
    <w:notTrueType/>
    <w:pitch w:val="default"/>
    <w:sig w:usb0="00000003" w:usb1="00000000" w:usb2="00000000" w:usb3="00000000" w:csb0="00000001" w:csb1="00000000"/>
  </w:font>
  <w:font w:name="*Verdana-13418-Identity-H">
    <w:altName w:val="Calibri"/>
    <w:panose1 w:val="00000000000000000000"/>
    <w:charset w:val="00"/>
    <w:family w:val="auto"/>
    <w:notTrueType/>
    <w:pitch w:val="default"/>
    <w:sig w:usb0="00000003" w:usb1="00000000" w:usb2="00000000" w:usb3="00000000" w:csb0="00000001" w:csb1="00000000"/>
  </w:font>
  <w:font w:name="*Times New Roman-13415-Identity">
    <w:altName w:val="Calibri"/>
    <w:panose1 w:val="00000000000000000000"/>
    <w:charset w:val="00"/>
    <w:family w:val="auto"/>
    <w:notTrueType/>
    <w:pitch w:val="default"/>
    <w:sig w:usb0="00000003" w:usb1="00000000" w:usb2="00000000" w:usb3="00000000" w:csb0="00000001" w:csb1="00000000"/>
  </w:font>
  <w:font w:name="*Microsoft Sans Serif-11079-Ide">
    <w:altName w:val="Calibri"/>
    <w:panose1 w:val="00000000000000000000"/>
    <w:charset w:val="00"/>
    <w:family w:val="auto"/>
    <w:notTrueType/>
    <w:pitch w:val="default"/>
    <w:sig w:usb0="00000003" w:usb1="00000000" w:usb2="00000000" w:usb3="00000000" w:csb0="00000001" w:csb1="00000000"/>
  </w:font>
  <w:font w:name="*Times New Roman-11071-Identity">
    <w:altName w:val="Calibri"/>
    <w:panose1 w:val="00000000000000000000"/>
    <w:charset w:val="00"/>
    <w:family w:val="auto"/>
    <w:notTrueType/>
    <w:pitch w:val="default"/>
    <w:sig w:usb0="00000003" w:usb1="00000000" w:usb2="00000000" w:usb3="00000000" w:csb0="00000001" w:csb1="00000000"/>
  </w:font>
  <w:font w:name="*Calibri-11077-Identity-H">
    <w:altName w:val="Calibri"/>
    <w:panose1 w:val="00000000000000000000"/>
    <w:charset w:val="00"/>
    <w:family w:val="auto"/>
    <w:notTrueType/>
    <w:pitch w:val="default"/>
    <w:sig w:usb0="00000003" w:usb1="00000000" w:usb2="00000000" w:usb3="00000000" w:csb0="00000001" w:csb1="00000000"/>
  </w:font>
  <w:font w:name="*Microsoft Sans Serif-6255-Iden">
    <w:altName w:val="Calibri"/>
    <w:panose1 w:val="00000000000000000000"/>
    <w:charset w:val="00"/>
    <w:family w:val="auto"/>
    <w:notTrueType/>
    <w:pitch w:val="default"/>
    <w:sig w:usb0="00000003" w:usb1="00000000" w:usb2="00000000" w:usb3="00000000" w:csb0="00000001" w:csb1="00000000"/>
  </w:font>
  <w:font w:name="*Arial-Bold-6254-Identity-H">
    <w:altName w:val="Calibri"/>
    <w:panose1 w:val="00000000000000000000"/>
    <w:charset w:val="00"/>
    <w:family w:val="auto"/>
    <w:notTrueType/>
    <w:pitch w:val="default"/>
    <w:sig w:usb0="00000003" w:usb1="00000000" w:usb2="00000000" w:usb3="00000000" w:csb0="00000001" w:csb1="00000000"/>
  </w:font>
  <w:font w:name="*Arial-Bold-5435-Identity-H">
    <w:altName w:val="Calibri"/>
    <w:panose1 w:val="00000000000000000000"/>
    <w:charset w:val="00"/>
    <w:family w:val="auto"/>
    <w:notTrueType/>
    <w:pitch w:val="default"/>
    <w:sig w:usb0="00000003" w:usb1="00000000" w:usb2="00000000" w:usb3="00000000" w:csb0="00000001" w:csb1="00000000"/>
  </w:font>
  <w:font w:name="*Arial-5433-Identity-H">
    <w:altName w:val="Calibri"/>
    <w:panose1 w:val="00000000000000000000"/>
    <w:charset w:val="00"/>
    <w:family w:val="auto"/>
    <w:notTrueType/>
    <w:pitch w:val="default"/>
    <w:sig w:usb0="00000003" w:usb1="00000000" w:usb2="00000000" w:usb3="00000000" w:csb0="00000001" w:csb1="00000000"/>
  </w:font>
  <w:font w:name="*Arial-Bold-5434-Identity-H">
    <w:altName w:val="Calibri"/>
    <w:panose1 w:val="00000000000000000000"/>
    <w:charset w:val="00"/>
    <w:family w:val="auto"/>
    <w:notTrueType/>
    <w:pitch w:val="default"/>
    <w:sig w:usb0="00000003" w:usb1="00000000" w:usb2="00000000" w:usb3="00000000" w:csb0="00000001" w:csb1="00000000"/>
  </w:font>
  <w:font w:name="*Microsoft Sans Serif-Bold-5436">
    <w:altName w:val="Calibri"/>
    <w:panose1 w:val="00000000000000000000"/>
    <w:charset w:val="00"/>
    <w:family w:val="auto"/>
    <w:notTrueType/>
    <w:pitch w:val="default"/>
    <w:sig w:usb0="00000003" w:usb1="00000000" w:usb2="00000000" w:usb3="00000000" w:csb0="00000001" w:csb1="00000000"/>
  </w:font>
  <w:font w:name="*Arial-5282-Identity-H">
    <w:altName w:val="Calibri"/>
    <w:panose1 w:val="00000000000000000000"/>
    <w:charset w:val="00"/>
    <w:family w:val="auto"/>
    <w:notTrueType/>
    <w:pitch w:val="default"/>
    <w:sig w:usb0="00000003" w:usb1="00000000" w:usb2="00000000" w:usb3="00000000" w:csb0="00000001" w:csb1="00000000"/>
  </w:font>
  <w:font w:name="*Microsoft Sans Serif-Bold-5284">
    <w:altName w:val="Calibri"/>
    <w:panose1 w:val="00000000000000000000"/>
    <w:charset w:val="00"/>
    <w:family w:val="auto"/>
    <w:notTrueType/>
    <w:pitch w:val="default"/>
    <w:sig w:usb0="00000003" w:usb1="00000000" w:usb2="00000000" w:usb3="00000000" w:csb0="00000001" w:csb1="00000000"/>
  </w:font>
  <w:font w:name="*Arial-Bold-5283-Identity-H">
    <w:altName w:val="Calibri"/>
    <w:panose1 w:val="00000000000000000000"/>
    <w:charset w:val="00"/>
    <w:family w:val="auto"/>
    <w:notTrueType/>
    <w:pitch w:val="default"/>
    <w:sig w:usb0="00000003" w:usb1="00000000" w:usb2="00000000" w:usb3="00000000" w:csb0="00000001" w:csb1="00000000"/>
  </w:font>
  <w:font w:name="*Arial-5106-Identity-H">
    <w:altName w:val="Calibri"/>
    <w:panose1 w:val="00000000000000000000"/>
    <w:charset w:val="00"/>
    <w:family w:val="auto"/>
    <w:notTrueType/>
    <w:pitch w:val="default"/>
    <w:sig w:usb0="00000003" w:usb1="00000000" w:usb2="00000000" w:usb3="00000000" w:csb0="00000001" w:csb1="00000000"/>
  </w:font>
  <w:font w:name="*Arial-5588-Identity-H">
    <w:altName w:val="Calibri"/>
    <w:panose1 w:val="00000000000000000000"/>
    <w:charset w:val="00"/>
    <w:family w:val="auto"/>
    <w:notTrueType/>
    <w:pitch w:val="default"/>
    <w:sig w:usb0="00000003" w:usb1="00000000" w:usb2="00000000" w:usb3="00000000" w:csb0="00000001" w:csb1="00000000"/>
  </w:font>
  <w:font w:name="*Arial-Bold-6107-Identity-H">
    <w:altName w:val="Calibri"/>
    <w:panose1 w:val="00000000000000000000"/>
    <w:charset w:val="00"/>
    <w:family w:val="auto"/>
    <w:notTrueType/>
    <w:pitch w:val="default"/>
    <w:sig w:usb0="00000003" w:usb1="00000000" w:usb2="00000000" w:usb3="00000000" w:csb0="00000001" w:csb1="00000000"/>
  </w:font>
  <w:font w:name="*Microsoft Sans Serif-6108-Iden">
    <w:altName w:val="Calibri"/>
    <w:panose1 w:val="00000000000000000000"/>
    <w:charset w:val="00"/>
    <w:family w:val="auto"/>
    <w:notTrueType/>
    <w:pitch w:val="default"/>
    <w:sig w:usb0="00000003" w:usb1="00000000" w:usb2="00000000" w:usb3="00000000" w:csb0="00000001" w:csb1="00000000"/>
  </w:font>
  <w:font w:name="*Arial-6105-Identity-H">
    <w:altName w:val="Calibri"/>
    <w:panose1 w:val="00000000000000000000"/>
    <w:charset w:val="00"/>
    <w:family w:val="auto"/>
    <w:notTrueType/>
    <w:pitch w:val="default"/>
    <w:sig w:usb0="00000003" w:usb1="00000000" w:usb2="00000000" w:usb3="00000000" w:csb0="00000001" w:csb1="00000000"/>
  </w:font>
  <w:font w:name="*Arial-Bold-6106-Identity-H">
    <w:altName w:val="Calibri"/>
    <w:panose1 w:val="00000000000000000000"/>
    <w:charset w:val="00"/>
    <w:family w:val="auto"/>
    <w:notTrueType/>
    <w:pitch w:val="default"/>
    <w:sig w:usb0="00000003" w:usb1="00000000" w:usb2="00000000" w:usb3="00000000" w:csb0="00000001" w:csb1="00000000"/>
  </w:font>
  <w:font w:name="*Arial-5918-Identity-H">
    <w:altName w:val="Calibri"/>
    <w:panose1 w:val="00000000000000000000"/>
    <w:charset w:val="00"/>
    <w:family w:val="auto"/>
    <w:notTrueType/>
    <w:pitch w:val="default"/>
    <w:sig w:usb0="00000003" w:usb1="00000000" w:usb2="00000000" w:usb3="00000000" w:csb0="00000001" w:csb1="00000000"/>
  </w:font>
  <w:font w:name="*Arial-5811-Identity-H">
    <w:altName w:val="Calibri"/>
    <w:panose1 w:val="00000000000000000000"/>
    <w:charset w:val="00"/>
    <w:family w:val="auto"/>
    <w:notTrueType/>
    <w:pitch w:val="default"/>
    <w:sig w:usb0="00000003" w:usb1="00000000" w:usb2="00000000" w:usb3="00000000" w:csb0="00000001" w:csb1="00000000"/>
  </w:font>
  <w:font w:name="*Microsoft Sans Serif-7877-Iden">
    <w:altName w:val="Calibri"/>
    <w:panose1 w:val="00000000000000000000"/>
    <w:charset w:val="00"/>
    <w:family w:val="auto"/>
    <w:notTrueType/>
    <w:pitch w:val="default"/>
    <w:sig w:usb0="00000003" w:usb1="00000000" w:usb2="00000000" w:usb3="00000000" w:csb0="00000001" w:csb1="00000000"/>
  </w:font>
  <w:font w:name="*Times New Roman-Italic-7872-Id">
    <w:altName w:val="Calibri"/>
    <w:panose1 w:val="00000000000000000000"/>
    <w:charset w:val="00"/>
    <w:family w:val="auto"/>
    <w:notTrueType/>
    <w:pitch w:val="default"/>
    <w:sig w:usb0="00000003" w:usb1="00000000" w:usb2="00000000" w:usb3="00000000" w:csb0="00000001" w:csb1="00000000"/>
  </w:font>
  <w:font w:name="*Arial-Italic-7874-Identity-H">
    <w:altName w:val="Calibri"/>
    <w:panose1 w:val="00000000000000000000"/>
    <w:charset w:val="00"/>
    <w:family w:val="auto"/>
    <w:notTrueType/>
    <w:pitch w:val="default"/>
    <w:sig w:usb0="00000003" w:usb1="00000000" w:usb2="00000000" w:usb3="00000000" w:csb0="00000001" w:csb1="00000000"/>
  </w:font>
  <w:font w:name="*Arial-7873-Identity-H">
    <w:altName w:val="Calibri"/>
    <w:panose1 w:val="00000000000000000000"/>
    <w:charset w:val="00"/>
    <w:family w:val="auto"/>
    <w:notTrueType/>
    <w:pitch w:val="default"/>
    <w:sig w:usb0="00000003" w:usb1="00000000" w:usb2="00000000" w:usb3="00000000" w:csb0="00000001" w:csb1="00000000"/>
  </w:font>
  <w:font w:name="*Microsoft Sans Serif-Bold-7875">
    <w:altName w:val="Calibri"/>
    <w:panose1 w:val="00000000000000000000"/>
    <w:charset w:val="00"/>
    <w:family w:val="auto"/>
    <w:notTrueType/>
    <w:pitch w:val="default"/>
    <w:sig w:usb0="00000003" w:usb1="00000000" w:usb2="00000000" w:usb3="00000000" w:csb0="00000001" w:csb1="00000000"/>
  </w:font>
  <w:font w:name="*Arial-6504-Identity-H">
    <w:altName w:val="Calibri"/>
    <w:panose1 w:val="00000000000000000000"/>
    <w:charset w:val="00"/>
    <w:family w:val="auto"/>
    <w:notTrueType/>
    <w:pitch w:val="default"/>
    <w:sig w:usb0="00000003" w:usb1="00000000" w:usb2="00000000" w:usb3="00000000" w:csb0="00000001" w:csb1="00000000"/>
  </w:font>
  <w:font w:name="*Arial-Italic-6505-Identity-H">
    <w:altName w:val="Calibri"/>
    <w:panose1 w:val="00000000000000000000"/>
    <w:charset w:val="00"/>
    <w:family w:val="auto"/>
    <w:notTrueType/>
    <w:pitch w:val="default"/>
    <w:sig w:usb0="00000003" w:usb1="00000000" w:usb2="00000000" w:usb3="00000000" w:csb0="00000001" w:csb1="00000000"/>
  </w:font>
  <w:font w:name="*Arial-4340-Identity-H">
    <w:altName w:val="Calibri"/>
    <w:panose1 w:val="00000000000000000000"/>
    <w:charset w:val="00"/>
    <w:family w:val="auto"/>
    <w:notTrueType/>
    <w:pitch w:val="default"/>
    <w:sig w:usb0="00000003" w:usb1="00000000" w:usb2="00000000" w:usb3="00000000" w:csb0="00000001" w:csb1="00000000"/>
  </w:font>
  <w:font w:name="*Arial-Bold-4341-Identity-H">
    <w:altName w:val="Calibri"/>
    <w:panose1 w:val="00000000000000000000"/>
    <w:charset w:val="00"/>
    <w:family w:val="auto"/>
    <w:notTrueType/>
    <w:pitch w:val="default"/>
    <w:sig w:usb0="00000003" w:usb1="00000000" w:usb2="00000000" w:usb3="00000000" w:csb0="00000001" w:csb1="00000000"/>
  </w:font>
  <w:font w:name="*Arial-5921-Identity-H">
    <w:altName w:val="Calibri"/>
    <w:panose1 w:val="00000000000000000000"/>
    <w:charset w:val="00"/>
    <w:family w:val="auto"/>
    <w:notTrueType/>
    <w:pitch w:val="default"/>
    <w:sig w:usb0="00000003" w:usb1="00000000" w:usb2="00000000" w:usb3="00000000" w:csb0="00000001" w:csb1="00000000"/>
  </w:font>
  <w:font w:name="*Arial-Italic-5922-Identity-H">
    <w:altName w:val="Calibri"/>
    <w:panose1 w:val="00000000000000000000"/>
    <w:charset w:val="00"/>
    <w:family w:val="auto"/>
    <w:notTrueType/>
    <w:pitch w:val="default"/>
    <w:sig w:usb0="00000003" w:usb1="00000000" w:usb2="00000000" w:usb3="00000000" w:csb0="00000001" w:csb1="00000000"/>
  </w:font>
  <w:font w:name="*Arial-Bold-5082-Identity-H">
    <w:altName w:val="Calibri"/>
    <w:panose1 w:val="00000000000000000000"/>
    <w:charset w:val="00"/>
    <w:family w:val="auto"/>
    <w:notTrueType/>
    <w:pitch w:val="default"/>
    <w:sig w:usb0="00000003" w:usb1="00000000" w:usb2="00000000" w:usb3="00000000" w:csb0="00000001" w:csb1="00000000"/>
  </w:font>
  <w:font w:name="*Arial-5083-Identity-H">
    <w:altName w:val="Calibri"/>
    <w:panose1 w:val="00000000000000000000"/>
    <w:charset w:val="00"/>
    <w:family w:val="auto"/>
    <w:notTrueType/>
    <w:pitch w:val="default"/>
    <w:sig w:usb0="00000003" w:usb1="00000000" w:usb2="00000000" w:usb3="00000000" w:csb0="00000001" w:csb1="00000000"/>
  </w:font>
  <w:font w:name="*Arial-5081-Identity-H">
    <w:altName w:val="Calibri"/>
    <w:panose1 w:val="00000000000000000000"/>
    <w:charset w:val="00"/>
    <w:family w:val="auto"/>
    <w:notTrueType/>
    <w:pitch w:val="default"/>
    <w:sig w:usb0="00000003" w:usb1="00000000" w:usb2="00000000" w:usb3="00000000" w:csb0="00000001" w:csb1="00000000"/>
  </w:font>
  <w:font w:name="*Arial-6098-Identity-H">
    <w:altName w:val="Calibri"/>
    <w:panose1 w:val="00000000000000000000"/>
    <w:charset w:val="00"/>
    <w:family w:val="auto"/>
    <w:notTrueType/>
    <w:pitch w:val="default"/>
    <w:sig w:usb0="00000003" w:usb1="00000000" w:usb2="00000000" w:usb3="00000000" w:csb0="00000001" w:csb1="00000000"/>
  </w:font>
  <w:font w:name="*Arial-Italic-6099-Identity-H">
    <w:altName w:val="Calibri"/>
    <w:panose1 w:val="00000000000000000000"/>
    <w:charset w:val="00"/>
    <w:family w:val="auto"/>
    <w:notTrueType/>
    <w:pitch w:val="default"/>
    <w:sig w:usb0="00000003" w:usb1="00000000" w:usb2="00000000" w:usb3="00000000" w:csb0="00000001" w:csb1="00000000"/>
  </w:font>
  <w:font w:name="*Times New Roman-Italic-6097-Id">
    <w:altName w:val="Calibri"/>
    <w:panose1 w:val="00000000000000000000"/>
    <w:charset w:val="00"/>
    <w:family w:val="auto"/>
    <w:notTrueType/>
    <w:pitch w:val="default"/>
    <w:sig w:usb0="00000003" w:usb1="00000000" w:usb2="00000000" w:usb3="00000000" w:csb0="00000001" w:csb1="00000000"/>
  </w:font>
  <w:font w:name="*Arial-5531-Identity-H">
    <w:altName w:val="Calibri"/>
    <w:panose1 w:val="00000000000000000000"/>
    <w:charset w:val="00"/>
    <w:family w:val="auto"/>
    <w:notTrueType/>
    <w:pitch w:val="default"/>
    <w:sig w:usb0="00000003" w:usb1="00000000" w:usb2="00000000" w:usb3="00000000" w:csb0="00000001" w:csb1="00000000"/>
  </w:font>
  <w:font w:name="*Arial-Italic-5532-Identity-H">
    <w:altName w:val="Calibri"/>
    <w:panose1 w:val="00000000000000000000"/>
    <w:charset w:val="00"/>
    <w:family w:val="auto"/>
    <w:notTrueType/>
    <w:pitch w:val="default"/>
    <w:sig w:usb0="00000003" w:usb1="00000000" w:usb2="00000000" w:usb3="00000000" w:csb0="00000001" w:csb1="00000000"/>
  </w:font>
  <w:font w:name="*Times New Roman-Italic-5529-Id">
    <w:altName w:val="Calibri"/>
    <w:panose1 w:val="00000000000000000000"/>
    <w:charset w:val="00"/>
    <w:family w:val="auto"/>
    <w:notTrueType/>
    <w:pitch w:val="default"/>
    <w:sig w:usb0="00000003" w:usb1="00000000" w:usb2="00000000" w:usb3="00000000" w:csb0="00000001" w:csb1="00000000"/>
  </w:font>
  <w:font w:name="*Arial-5719-Identity-H">
    <w:altName w:val="Calibri"/>
    <w:panose1 w:val="00000000000000000000"/>
    <w:charset w:val="00"/>
    <w:family w:val="auto"/>
    <w:notTrueType/>
    <w:pitch w:val="default"/>
    <w:sig w:usb0="00000003" w:usb1="00000000" w:usb2="00000000" w:usb3="00000000" w:csb0="00000001" w:csb1="00000000"/>
  </w:font>
  <w:font w:name="*Arial-5255-Identity-H">
    <w:altName w:val="Calibri"/>
    <w:panose1 w:val="00000000000000000000"/>
    <w:charset w:val="00"/>
    <w:family w:val="auto"/>
    <w:notTrueType/>
    <w:pitch w:val="default"/>
    <w:sig w:usb0="00000003" w:usb1="00000000" w:usb2="00000000" w:usb3="00000000" w:csb0="00000001" w:csb1="00000000"/>
  </w:font>
  <w:font w:name="*Arial-Bold-4838-Identity-H">
    <w:altName w:val="Calibri"/>
    <w:panose1 w:val="00000000000000000000"/>
    <w:charset w:val="00"/>
    <w:family w:val="auto"/>
    <w:notTrueType/>
    <w:pitch w:val="default"/>
    <w:sig w:usb0="00000003" w:usb1="00000000" w:usb2="00000000" w:usb3="00000000" w:csb0="00000001" w:csb1="00000000"/>
  </w:font>
  <w:font w:name="*Arial-4837-Identity-H">
    <w:altName w:val="Calibri"/>
    <w:panose1 w:val="00000000000000000000"/>
    <w:charset w:val="00"/>
    <w:family w:val="auto"/>
    <w:notTrueType/>
    <w:pitch w:val="default"/>
    <w:sig w:usb0="00000003" w:usb1="00000000" w:usb2="00000000" w:usb3="00000000" w:csb0="00000001" w:csb1="00000000"/>
  </w:font>
  <w:font w:name="*Arial-5917-Identity-H">
    <w:altName w:val="Calibri"/>
    <w:panose1 w:val="00000000000000000000"/>
    <w:charset w:val="00"/>
    <w:family w:val="auto"/>
    <w:notTrueType/>
    <w:pitch w:val="default"/>
    <w:sig w:usb0="00000003" w:usb1="00000000" w:usb2="00000000" w:usb3="00000000" w:csb0="00000001" w:csb1="00000000"/>
  </w:font>
  <w:font w:name="*Arial-Bold-5918-Identity-H">
    <w:altName w:val="Calibri"/>
    <w:panose1 w:val="00000000000000000000"/>
    <w:charset w:val="00"/>
    <w:family w:val="auto"/>
    <w:notTrueType/>
    <w:pitch w:val="default"/>
    <w:sig w:usb0="00000003" w:usb1="00000000" w:usb2="00000000" w:usb3="00000000" w:csb0="00000001" w:csb1="00000000"/>
  </w:font>
  <w:font w:name="*Arial-4016-Identity-H">
    <w:altName w:val="Calibri"/>
    <w:panose1 w:val="00000000000000000000"/>
    <w:charset w:val="00"/>
    <w:family w:val="auto"/>
    <w:notTrueType/>
    <w:pitch w:val="default"/>
    <w:sig w:usb0="00000003" w:usb1="00000000" w:usb2="00000000" w:usb3="00000000" w:csb0="00000001" w:csb1="00000000"/>
  </w:font>
  <w:font w:name="*Arial-6038-Identity-H">
    <w:altName w:val="Calibri"/>
    <w:panose1 w:val="00000000000000000000"/>
    <w:charset w:val="00"/>
    <w:family w:val="auto"/>
    <w:notTrueType/>
    <w:pitch w:val="default"/>
    <w:sig w:usb0="00000003" w:usb1="00000000" w:usb2="00000000" w:usb3="00000000" w:csb0="00000001" w:csb1="00000000"/>
  </w:font>
  <w:font w:name="*Arial-Bold-6153-Identity-H">
    <w:altName w:val="Calibri"/>
    <w:panose1 w:val="00000000000000000000"/>
    <w:charset w:val="00"/>
    <w:family w:val="auto"/>
    <w:notTrueType/>
    <w:pitch w:val="default"/>
    <w:sig w:usb0="00000003" w:usb1="00000000" w:usb2="00000000" w:usb3="00000000" w:csb0="00000001" w:csb1="00000000"/>
  </w:font>
  <w:font w:name="*Arial-6150-Identity-H">
    <w:altName w:val="Calibri"/>
    <w:panose1 w:val="00000000000000000000"/>
    <w:charset w:val="00"/>
    <w:family w:val="auto"/>
    <w:notTrueType/>
    <w:pitch w:val="default"/>
    <w:sig w:usb0="00000003" w:usb1="00000000" w:usb2="00000000" w:usb3="00000000" w:csb0="00000001" w:csb1="00000000"/>
  </w:font>
  <w:font w:name="*Arial-Italic-6152-Identity-H">
    <w:altName w:val="Calibri"/>
    <w:panose1 w:val="00000000000000000000"/>
    <w:charset w:val="00"/>
    <w:family w:val="auto"/>
    <w:notTrueType/>
    <w:pitch w:val="default"/>
    <w:sig w:usb0="00000003" w:usb1="00000000" w:usb2="00000000" w:usb3="00000000" w:csb0="00000001" w:csb1="00000000"/>
  </w:font>
  <w:font w:name="*Arial-Bold-6151-Identity-H">
    <w:altName w:val="Calibri"/>
    <w:panose1 w:val="00000000000000000000"/>
    <w:charset w:val="00"/>
    <w:family w:val="auto"/>
    <w:notTrueType/>
    <w:pitch w:val="default"/>
    <w:sig w:usb0="00000003" w:usb1="00000000" w:usb2="00000000" w:usb3="00000000" w:csb0="00000001" w:csb1="00000000"/>
  </w:font>
  <w:font w:name="*Microsoft Sans Serif-Bold-6154">
    <w:altName w:val="Calibri"/>
    <w:panose1 w:val="00000000000000000000"/>
    <w:charset w:val="00"/>
    <w:family w:val="auto"/>
    <w:notTrueType/>
    <w:pitch w:val="default"/>
    <w:sig w:usb0="00000003" w:usb1="00000000" w:usb2="00000000" w:usb3="00000000" w:csb0="00000001" w:csb1="00000000"/>
  </w:font>
  <w:font w:name="*Arial-5288-Identity-H">
    <w:altName w:val="Calibri"/>
    <w:panose1 w:val="00000000000000000000"/>
    <w:charset w:val="00"/>
    <w:family w:val="auto"/>
    <w:notTrueType/>
    <w:pitch w:val="default"/>
    <w:sig w:usb0="00000003" w:usb1="00000000" w:usb2="00000000" w:usb3="00000000" w:csb0="00000001" w:csb1="00000000"/>
  </w:font>
  <w:font w:name="*Arial-Bold-5289-Identity-H">
    <w:altName w:val="Calibri"/>
    <w:panose1 w:val="00000000000000000000"/>
    <w:charset w:val="00"/>
    <w:family w:val="auto"/>
    <w:notTrueType/>
    <w:pitch w:val="default"/>
    <w:sig w:usb0="00000003" w:usb1="00000000" w:usb2="00000000" w:usb3="00000000" w:csb0="00000001" w:csb1="00000000"/>
  </w:font>
  <w:font w:name="*Arial-5827-Identity-H">
    <w:altName w:val="Calibri"/>
    <w:panose1 w:val="00000000000000000000"/>
    <w:charset w:val="00"/>
    <w:family w:val="auto"/>
    <w:notTrueType/>
    <w:pitch w:val="default"/>
    <w:sig w:usb0="00000003" w:usb1="00000000" w:usb2="00000000" w:usb3="00000000" w:csb0="00000001" w:csb1="00000000"/>
  </w:font>
  <w:font w:name="*Arial-Italic-5828-Identity-H">
    <w:altName w:val="Calibri"/>
    <w:panose1 w:val="00000000000000000000"/>
    <w:charset w:val="00"/>
    <w:family w:val="auto"/>
    <w:notTrueType/>
    <w:pitch w:val="default"/>
    <w:sig w:usb0="00000003" w:usb1="00000000" w:usb2="00000000" w:usb3="00000000" w:csb0="00000001" w:csb1="00000000"/>
  </w:font>
  <w:font w:name="*Arial-5694-Identity-H">
    <w:altName w:val="Calibri"/>
    <w:panose1 w:val="00000000000000000000"/>
    <w:charset w:val="00"/>
    <w:family w:val="auto"/>
    <w:notTrueType/>
    <w:pitch w:val="default"/>
    <w:sig w:usb0="00000003" w:usb1="00000000" w:usb2="00000000" w:usb3="00000000" w:csb0="00000001" w:csb1="00000000"/>
  </w:font>
  <w:font w:name="*Arial-5873-Identity-H">
    <w:altName w:val="Calibri"/>
    <w:panose1 w:val="00000000000000000000"/>
    <w:charset w:val="00"/>
    <w:family w:val="auto"/>
    <w:notTrueType/>
    <w:pitch w:val="default"/>
    <w:sig w:usb0="00000003" w:usb1="00000000" w:usb2="00000000" w:usb3="00000000" w:csb0="00000001" w:csb1="00000000"/>
  </w:font>
  <w:font w:name="*Arial-Bold-5874-Identity-H">
    <w:altName w:val="Calibri"/>
    <w:panose1 w:val="00000000000000000000"/>
    <w:charset w:val="00"/>
    <w:family w:val="auto"/>
    <w:notTrueType/>
    <w:pitch w:val="default"/>
    <w:sig w:usb0="00000003" w:usb1="00000000" w:usb2="00000000" w:usb3="00000000" w:csb0="00000001" w:csb1="00000000"/>
  </w:font>
  <w:font w:name="*Arial-5935-Identity-H">
    <w:altName w:val="Calibri"/>
    <w:panose1 w:val="00000000000000000000"/>
    <w:charset w:val="00"/>
    <w:family w:val="auto"/>
    <w:notTrueType/>
    <w:pitch w:val="default"/>
    <w:sig w:usb0="00000003" w:usb1="00000000" w:usb2="00000000" w:usb3="00000000" w:csb0="00000001" w:csb1="00000000"/>
  </w:font>
  <w:font w:name="*Arial-5851-Identity-H">
    <w:altName w:val="Calibri"/>
    <w:panose1 w:val="00000000000000000000"/>
    <w:charset w:val="00"/>
    <w:family w:val="auto"/>
    <w:notTrueType/>
    <w:pitch w:val="default"/>
    <w:sig w:usb0="00000003" w:usb1="00000000" w:usb2="00000000" w:usb3="00000000" w:csb0="00000001" w:csb1="00000000"/>
  </w:font>
  <w:font w:name="*Arial-5617-Identity-H">
    <w:altName w:val="Calibri"/>
    <w:panose1 w:val="00000000000000000000"/>
    <w:charset w:val="00"/>
    <w:family w:val="auto"/>
    <w:notTrueType/>
    <w:pitch w:val="default"/>
    <w:sig w:usb0="00000003" w:usb1="00000000" w:usb2="00000000" w:usb3="00000000" w:csb0="00000001" w:csb1="00000000"/>
  </w:font>
  <w:font w:name="*Arial-Italic-5852-Identity-H">
    <w:altName w:val="Calibri"/>
    <w:panose1 w:val="00000000000000000000"/>
    <w:charset w:val="00"/>
    <w:family w:val="auto"/>
    <w:notTrueType/>
    <w:pitch w:val="default"/>
    <w:sig w:usb0="00000003" w:usb1="00000000" w:usb2="00000000" w:usb3="00000000" w:csb0="00000001" w:csb1="00000000"/>
  </w:font>
  <w:font w:name="*Arial-Italic-5619-Identity-H">
    <w:altName w:val="Calibri"/>
    <w:panose1 w:val="00000000000000000000"/>
    <w:charset w:val="00"/>
    <w:family w:val="auto"/>
    <w:notTrueType/>
    <w:pitch w:val="default"/>
    <w:sig w:usb0="00000003" w:usb1="00000000" w:usb2="00000000" w:usb3="00000000" w:csb0="00000001" w:csb1="00000000"/>
  </w:font>
  <w:font w:name="*Arial-5618-Identity-H">
    <w:altName w:val="Calibri"/>
    <w:panose1 w:val="00000000000000000000"/>
    <w:charset w:val="00"/>
    <w:family w:val="auto"/>
    <w:notTrueType/>
    <w:pitch w:val="default"/>
    <w:sig w:usb0="00000003" w:usb1="00000000" w:usb2="00000000" w:usb3="00000000" w:csb0="00000001" w:csb1="00000000"/>
  </w:font>
  <w:font w:name="*Arial-6416-Identity-H">
    <w:altName w:val="Calibri"/>
    <w:panose1 w:val="00000000000000000000"/>
    <w:charset w:val="00"/>
    <w:family w:val="auto"/>
    <w:notTrueType/>
    <w:pitch w:val="default"/>
    <w:sig w:usb0="00000003" w:usb1="00000000" w:usb2="00000000" w:usb3="00000000" w:csb0="00000001" w:csb1="00000000"/>
  </w:font>
  <w:font w:name="*Arial-Italic-6418-Identity-H">
    <w:altName w:val="Calibri"/>
    <w:panose1 w:val="00000000000000000000"/>
    <w:charset w:val="00"/>
    <w:family w:val="auto"/>
    <w:notTrueType/>
    <w:pitch w:val="default"/>
    <w:sig w:usb0="00000003" w:usb1="00000000" w:usb2="00000000" w:usb3="00000000" w:csb0="00000001" w:csb1="00000000"/>
  </w:font>
  <w:font w:name="*Arial-Bold-6417-Identity-H">
    <w:altName w:val="Calibri"/>
    <w:panose1 w:val="00000000000000000000"/>
    <w:charset w:val="00"/>
    <w:family w:val="auto"/>
    <w:notTrueType/>
    <w:pitch w:val="default"/>
    <w:sig w:usb0="00000003" w:usb1="00000000" w:usb2="00000000" w:usb3="00000000" w:csb0="00000001" w:csb1="00000000"/>
  </w:font>
  <w:font w:name="*Arial-Bold-4997-Identity-H">
    <w:altName w:val="Calibri"/>
    <w:panose1 w:val="00000000000000000000"/>
    <w:charset w:val="00"/>
    <w:family w:val="auto"/>
    <w:notTrueType/>
    <w:pitch w:val="default"/>
    <w:sig w:usb0="00000003" w:usb1="00000000" w:usb2="00000000" w:usb3="00000000" w:csb0="00000001" w:csb1="00000000"/>
  </w:font>
  <w:font w:name="*Arial-4996-Identity-H">
    <w:altName w:val="Calibri"/>
    <w:panose1 w:val="00000000000000000000"/>
    <w:charset w:val="00"/>
    <w:family w:val="auto"/>
    <w:notTrueType/>
    <w:pitch w:val="default"/>
    <w:sig w:usb0="00000003" w:usb1="00000000" w:usb2="00000000" w:usb3="00000000" w:csb0="00000001" w:csb1="00000000"/>
  </w:font>
  <w:font w:name="*Arial-6055-Identity-H">
    <w:altName w:val="Calibri"/>
    <w:panose1 w:val="00000000000000000000"/>
    <w:charset w:val="00"/>
    <w:family w:val="auto"/>
    <w:notTrueType/>
    <w:pitch w:val="default"/>
    <w:sig w:usb0="00000003" w:usb1="00000000" w:usb2="00000000" w:usb3="00000000" w:csb0="00000001" w:csb1="00000000"/>
  </w:font>
  <w:font w:name="*Arial-Italic-6056-Identity-H">
    <w:altName w:val="Calibri"/>
    <w:panose1 w:val="00000000000000000000"/>
    <w:charset w:val="00"/>
    <w:family w:val="auto"/>
    <w:notTrueType/>
    <w:pitch w:val="default"/>
    <w:sig w:usb0="00000003" w:usb1="00000000" w:usb2="00000000" w:usb3="00000000" w:csb0="00000001" w:csb1="00000000"/>
  </w:font>
  <w:font w:name="*Arial-Bold-5995-Identity-H">
    <w:altName w:val="Calibri"/>
    <w:panose1 w:val="00000000000000000000"/>
    <w:charset w:val="00"/>
    <w:family w:val="auto"/>
    <w:notTrueType/>
    <w:pitch w:val="default"/>
    <w:sig w:usb0="00000003" w:usb1="00000000" w:usb2="00000000" w:usb3="00000000" w:csb0="00000001" w:csb1="00000000"/>
  </w:font>
  <w:font w:name="*Arial-5993-Identity-H">
    <w:altName w:val="Calibri"/>
    <w:panose1 w:val="00000000000000000000"/>
    <w:charset w:val="00"/>
    <w:family w:val="auto"/>
    <w:notTrueType/>
    <w:pitch w:val="default"/>
    <w:sig w:usb0="00000003" w:usb1="00000000" w:usb2="00000000" w:usb3="00000000" w:csb0="00000001" w:csb1="00000000"/>
  </w:font>
  <w:font w:name="*Arial-6059-Identity-H">
    <w:altName w:val="Calibri"/>
    <w:panose1 w:val="00000000000000000000"/>
    <w:charset w:val="00"/>
    <w:family w:val="auto"/>
    <w:notTrueType/>
    <w:pitch w:val="default"/>
    <w:sig w:usb0="00000003" w:usb1="00000000" w:usb2="00000000" w:usb3="00000000" w:csb0="00000001" w:csb1="00000000"/>
  </w:font>
  <w:font w:name="*Arial-Italic-5994-Identity-H">
    <w:altName w:val="Calibri"/>
    <w:panose1 w:val="00000000000000000000"/>
    <w:charset w:val="00"/>
    <w:family w:val="auto"/>
    <w:notTrueType/>
    <w:pitch w:val="default"/>
    <w:sig w:usb0="00000003" w:usb1="00000000" w:usb2="00000000" w:usb3="00000000" w:csb0="00000001" w:csb1="00000000"/>
  </w:font>
  <w:font w:name="*Arial-Italic-6060-Identity-H">
    <w:altName w:val="Calibri"/>
    <w:panose1 w:val="00000000000000000000"/>
    <w:charset w:val="00"/>
    <w:family w:val="auto"/>
    <w:notTrueType/>
    <w:pitch w:val="default"/>
    <w:sig w:usb0="00000003" w:usb1="00000000" w:usb2="00000000" w:usb3="00000000" w:csb0="00000001" w:csb1="00000000"/>
  </w:font>
  <w:font w:name="*Arial-6127-Identity-H">
    <w:altName w:val="Calibri"/>
    <w:panose1 w:val="00000000000000000000"/>
    <w:charset w:val="00"/>
    <w:family w:val="auto"/>
    <w:notTrueType/>
    <w:pitch w:val="default"/>
    <w:sig w:usb0="00000003" w:usb1="00000000" w:usb2="00000000" w:usb3="00000000" w:csb0="00000001" w:csb1="00000000"/>
  </w:font>
  <w:font w:name="*Arial-5810-Identity-H">
    <w:altName w:val="Calibri"/>
    <w:panose1 w:val="00000000000000000000"/>
    <w:charset w:val="00"/>
    <w:family w:val="auto"/>
    <w:notTrueType/>
    <w:pitch w:val="default"/>
    <w:sig w:usb0="00000003" w:usb1="00000000" w:usb2="00000000" w:usb3="00000000" w:csb0="00000001" w:csb1="00000000"/>
  </w:font>
  <w:font w:name="*Arial-Italic-5811-Identity-H">
    <w:altName w:val="Calibri"/>
    <w:panose1 w:val="00000000000000000000"/>
    <w:charset w:val="00"/>
    <w:family w:val="auto"/>
    <w:notTrueType/>
    <w:pitch w:val="default"/>
    <w:sig w:usb0="00000003" w:usb1="00000000" w:usb2="00000000" w:usb3="00000000" w:csb0="00000001" w:csb1="00000000"/>
  </w:font>
  <w:font w:name="*Arial-5850-Identity-H">
    <w:altName w:val="Calibri"/>
    <w:panose1 w:val="00000000000000000000"/>
    <w:charset w:val="00"/>
    <w:family w:val="auto"/>
    <w:notTrueType/>
    <w:pitch w:val="default"/>
    <w:sig w:usb0="00000003" w:usb1="00000000" w:usb2="00000000" w:usb3="00000000" w:csb0="00000001" w:csb1="00000000"/>
  </w:font>
  <w:font w:name="*Arial-Bold-4880-Identity-H">
    <w:altName w:val="Calibri"/>
    <w:panose1 w:val="00000000000000000000"/>
    <w:charset w:val="00"/>
    <w:family w:val="auto"/>
    <w:notTrueType/>
    <w:pitch w:val="default"/>
    <w:sig w:usb0="00000003" w:usb1="00000000" w:usb2="00000000" w:usb3="00000000" w:csb0="00000001" w:csb1="00000000"/>
  </w:font>
  <w:font w:name="*Arial-4881-Identity-H">
    <w:altName w:val="Calibri"/>
    <w:panose1 w:val="00000000000000000000"/>
    <w:charset w:val="00"/>
    <w:family w:val="auto"/>
    <w:notTrueType/>
    <w:pitch w:val="default"/>
    <w:sig w:usb0="00000003" w:usb1="00000000" w:usb2="00000000" w:usb3="00000000" w:csb0="00000001" w:csb1="00000000"/>
  </w:font>
  <w:font w:name="*Microsoft Sans Serif-4882-Iden">
    <w:altName w:val="Calibri"/>
    <w:panose1 w:val="00000000000000000000"/>
    <w:charset w:val="00"/>
    <w:family w:val="auto"/>
    <w:notTrueType/>
    <w:pitch w:val="default"/>
    <w:sig w:usb0="00000003" w:usb1="00000000" w:usb2="00000000" w:usb3="00000000" w:csb0="00000001" w:csb1="00000000"/>
  </w:font>
  <w:font w:name="*Arial-6203-Identity-H">
    <w:altName w:val="Calibri"/>
    <w:panose1 w:val="00000000000000000000"/>
    <w:charset w:val="00"/>
    <w:family w:val="auto"/>
    <w:notTrueType/>
    <w:pitch w:val="default"/>
    <w:sig w:usb0="00000003" w:usb1="00000000" w:usb2="00000000" w:usb3="00000000" w:csb0="00000001" w:csb1="00000000"/>
  </w:font>
  <w:font w:name="*Microsoft Sans Serif-Italic-62">
    <w:altName w:val="Calibri"/>
    <w:panose1 w:val="00000000000000000000"/>
    <w:charset w:val="00"/>
    <w:family w:val="auto"/>
    <w:notTrueType/>
    <w:pitch w:val="default"/>
    <w:sig w:usb0="00000003" w:usb1="00000000" w:usb2="00000000" w:usb3="00000000" w:csb0="00000001" w:csb1="00000000"/>
  </w:font>
  <w:font w:name="*Arial-Bold-6204-Identity-H">
    <w:altName w:val="Calibri"/>
    <w:panose1 w:val="00000000000000000000"/>
    <w:charset w:val="00"/>
    <w:family w:val="auto"/>
    <w:notTrueType/>
    <w:pitch w:val="default"/>
    <w:sig w:usb0="00000003" w:usb1="00000000" w:usb2="00000000" w:usb3="00000000" w:csb0="00000001" w:csb1="00000000"/>
  </w:font>
  <w:font w:name="*Arial-5209-Identity-H">
    <w:altName w:val="Calibri"/>
    <w:panose1 w:val="00000000000000000000"/>
    <w:charset w:val="00"/>
    <w:family w:val="auto"/>
    <w:notTrueType/>
    <w:pitch w:val="default"/>
    <w:sig w:usb0="00000003" w:usb1="00000000" w:usb2="00000000" w:usb3="00000000" w:csb0="00000001" w:csb1="00000000"/>
  </w:font>
  <w:font w:name="*Arial-Bold-5689-Identity-H">
    <w:altName w:val="Calibri"/>
    <w:panose1 w:val="00000000000000000000"/>
    <w:charset w:val="00"/>
    <w:family w:val="auto"/>
    <w:notTrueType/>
    <w:pitch w:val="default"/>
    <w:sig w:usb0="00000003" w:usb1="00000000" w:usb2="00000000" w:usb3="00000000" w:csb0="00000001" w:csb1="00000000"/>
  </w:font>
  <w:font w:name="*Arial-5687-Identity-H">
    <w:altName w:val="Calibri"/>
    <w:panose1 w:val="00000000000000000000"/>
    <w:charset w:val="00"/>
    <w:family w:val="auto"/>
    <w:notTrueType/>
    <w:pitch w:val="default"/>
    <w:sig w:usb0="00000003" w:usb1="00000000" w:usb2="00000000" w:usb3="00000000" w:csb0="00000001" w:csb1="00000000"/>
  </w:font>
  <w:font w:name="*Arial-Bold-5688-Identity-H">
    <w:altName w:val="Calibri"/>
    <w:panose1 w:val="00000000000000000000"/>
    <w:charset w:val="00"/>
    <w:family w:val="auto"/>
    <w:notTrueType/>
    <w:pitch w:val="default"/>
    <w:sig w:usb0="00000003" w:usb1="00000000" w:usb2="00000000" w:usb3="00000000" w:csb0="00000001" w:csb1="00000000"/>
  </w:font>
  <w:font w:name="*Microsoft Sans Serif-Bold-5690">
    <w:altName w:val="Calibri"/>
    <w:panose1 w:val="00000000000000000000"/>
    <w:charset w:val="00"/>
    <w:family w:val="auto"/>
    <w:notTrueType/>
    <w:pitch w:val="default"/>
    <w:sig w:usb0="00000003" w:usb1="00000000" w:usb2="00000000" w:usb3="00000000" w:csb0="00000001" w:csb1="00000000"/>
  </w:font>
  <w:font w:name="*Arial-5285-Identity-H">
    <w:altName w:val="Calibri"/>
    <w:panose1 w:val="00000000000000000000"/>
    <w:charset w:val="00"/>
    <w:family w:val="auto"/>
    <w:notTrueType/>
    <w:pitch w:val="default"/>
    <w:sig w:usb0="00000003" w:usb1="00000000" w:usb2="00000000" w:usb3="00000000" w:csb0="00000001" w:csb1="00000000"/>
  </w:font>
  <w:font w:name="*Microsoft Sans Serif-Bold-5288">
    <w:altName w:val="Calibri"/>
    <w:panose1 w:val="00000000000000000000"/>
    <w:charset w:val="00"/>
    <w:family w:val="auto"/>
    <w:notTrueType/>
    <w:pitch w:val="default"/>
    <w:sig w:usb0="00000003" w:usb1="00000000" w:usb2="00000000" w:usb3="00000000" w:csb0="00000001" w:csb1="00000000"/>
  </w:font>
  <w:font w:name="*Arial-Bold-5286-Identity-H">
    <w:altName w:val="Calibri"/>
    <w:panose1 w:val="00000000000000000000"/>
    <w:charset w:val="00"/>
    <w:family w:val="auto"/>
    <w:notTrueType/>
    <w:pitch w:val="default"/>
    <w:sig w:usb0="00000003" w:usb1="00000000" w:usb2="00000000" w:usb3="00000000" w:csb0="00000001" w:csb1="00000000"/>
  </w:font>
  <w:font w:name="*Arial-5221-Identity-H">
    <w:altName w:val="Calibri"/>
    <w:panose1 w:val="00000000000000000000"/>
    <w:charset w:val="00"/>
    <w:family w:val="auto"/>
    <w:notTrueType/>
    <w:pitch w:val="default"/>
    <w:sig w:usb0="00000003" w:usb1="00000000" w:usb2="00000000" w:usb3="00000000" w:csb0="00000001" w:csb1="00000000"/>
  </w:font>
  <w:font w:name="*Arial-5532-Identity-H">
    <w:altName w:val="Calibri"/>
    <w:panose1 w:val="00000000000000000000"/>
    <w:charset w:val="00"/>
    <w:family w:val="auto"/>
    <w:notTrueType/>
    <w:pitch w:val="default"/>
    <w:sig w:usb0="00000003" w:usb1="00000000" w:usb2="00000000" w:usb3="00000000" w:csb0="00000001" w:csb1="00000000"/>
  </w:font>
  <w:font w:name="*Arial-Bold-5533-Identity-H">
    <w:altName w:val="Calibri"/>
    <w:panose1 w:val="00000000000000000000"/>
    <w:charset w:val="00"/>
    <w:family w:val="auto"/>
    <w:notTrueType/>
    <w:pitch w:val="default"/>
    <w:sig w:usb0="00000003" w:usb1="00000000" w:usb2="00000000" w:usb3="00000000" w:csb0="00000001" w:csb1="00000000"/>
  </w:font>
  <w:font w:name="*Arial-Bold-6183-Identity-H">
    <w:altName w:val="Calibri"/>
    <w:panose1 w:val="00000000000000000000"/>
    <w:charset w:val="00"/>
    <w:family w:val="auto"/>
    <w:notTrueType/>
    <w:pitch w:val="default"/>
    <w:sig w:usb0="00000003" w:usb1="00000000" w:usb2="00000000" w:usb3="00000000" w:csb0="00000001" w:csb1="00000000"/>
  </w:font>
  <w:font w:name="*Arial-6184-Identity-H">
    <w:altName w:val="Calibri"/>
    <w:panose1 w:val="00000000000000000000"/>
    <w:charset w:val="00"/>
    <w:family w:val="auto"/>
    <w:notTrueType/>
    <w:pitch w:val="default"/>
    <w:sig w:usb0="00000003" w:usb1="00000000" w:usb2="00000000" w:usb3="00000000" w:csb0="00000001" w:csb1="00000000"/>
  </w:font>
  <w:font w:name="*Arial-6182-Identity-H">
    <w:altName w:val="Calibri"/>
    <w:panose1 w:val="00000000000000000000"/>
    <w:charset w:val="00"/>
    <w:family w:val="auto"/>
    <w:notTrueType/>
    <w:pitch w:val="default"/>
    <w:sig w:usb0="00000003" w:usb1="00000000" w:usb2="00000000" w:usb3="00000000" w:csb0="00000001" w:csb1="00000000"/>
  </w:font>
  <w:font w:name="*Microsoft Sans Serif-Bold-6185">
    <w:altName w:val="Calibri"/>
    <w:panose1 w:val="00000000000000000000"/>
    <w:charset w:val="00"/>
    <w:family w:val="auto"/>
    <w:notTrueType/>
    <w:pitch w:val="default"/>
    <w:sig w:usb0="00000003" w:usb1="00000000" w:usb2="00000000" w:usb3="00000000" w:csb0="00000001" w:csb1="00000000"/>
  </w:font>
  <w:font w:name="*Arial-5868-Identity-H">
    <w:altName w:val="Calibri"/>
    <w:panose1 w:val="00000000000000000000"/>
    <w:charset w:val="00"/>
    <w:family w:val="auto"/>
    <w:notTrueType/>
    <w:pitch w:val="default"/>
    <w:sig w:usb0="00000003" w:usb1="00000000" w:usb2="00000000" w:usb3="00000000" w:csb0="00000001" w:csb1="00000000"/>
  </w:font>
  <w:font w:name="*Arial-5430-Identity-H">
    <w:altName w:val="Calibri"/>
    <w:panose1 w:val="00000000000000000000"/>
    <w:charset w:val="00"/>
    <w:family w:val="auto"/>
    <w:notTrueType/>
    <w:pitch w:val="default"/>
    <w:sig w:usb0="00000003" w:usb1="00000000" w:usb2="00000000" w:usb3="00000000" w:csb0="00000001" w:csb1="00000000"/>
  </w:font>
  <w:font w:name="*Arial-8099-Identity-H">
    <w:altName w:val="Calibri"/>
    <w:panose1 w:val="00000000000000000000"/>
    <w:charset w:val="00"/>
    <w:family w:val="auto"/>
    <w:notTrueType/>
    <w:pitch w:val="default"/>
    <w:sig w:usb0="00000003" w:usb1="00000000" w:usb2="00000000" w:usb3="00000000" w:csb0="00000001" w:csb1="00000000"/>
  </w:font>
  <w:font w:name="*Times New Roman-Italic-8095-Id">
    <w:altName w:val="Calibri"/>
    <w:panose1 w:val="00000000000000000000"/>
    <w:charset w:val="00"/>
    <w:family w:val="auto"/>
    <w:notTrueType/>
    <w:pitch w:val="default"/>
    <w:sig w:usb0="00000003" w:usb1="00000000" w:usb2="00000000" w:usb3="00000000" w:csb0="00000001" w:csb1="00000000"/>
  </w:font>
  <w:font w:name="*Arial-Italic-8100-Identity-H">
    <w:altName w:val="Calibri"/>
    <w:panose1 w:val="00000000000000000000"/>
    <w:charset w:val="00"/>
    <w:family w:val="auto"/>
    <w:notTrueType/>
    <w:pitch w:val="default"/>
    <w:sig w:usb0="00000003" w:usb1="00000000" w:usb2="00000000" w:usb3="00000000" w:csb0="00000001" w:csb1="00000000"/>
  </w:font>
  <w:font w:name="*Arial-8097-Identity-H">
    <w:altName w:val="Calibri"/>
    <w:panose1 w:val="00000000000000000000"/>
    <w:charset w:val="00"/>
    <w:family w:val="auto"/>
    <w:notTrueType/>
    <w:pitch w:val="default"/>
    <w:sig w:usb0="00000003" w:usb1="00000000" w:usb2="00000000" w:usb3="00000000" w:csb0="00000001" w:csb1="00000000"/>
  </w:font>
  <w:font w:name="*Arial-6475-Identity-H">
    <w:altName w:val="Calibri"/>
    <w:panose1 w:val="00000000000000000000"/>
    <w:charset w:val="00"/>
    <w:family w:val="auto"/>
    <w:notTrueType/>
    <w:pitch w:val="default"/>
    <w:sig w:usb0="00000003" w:usb1="00000000" w:usb2="00000000" w:usb3="00000000" w:csb0="00000001" w:csb1="00000000"/>
  </w:font>
  <w:font w:name="*Arial-Italic-6476-Identity-H">
    <w:altName w:val="Calibri"/>
    <w:panose1 w:val="00000000000000000000"/>
    <w:charset w:val="00"/>
    <w:family w:val="auto"/>
    <w:notTrueType/>
    <w:pitch w:val="default"/>
    <w:sig w:usb0="00000003" w:usb1="00000000" w:usb2="00000000" w:usb3="00000000" w:csb0="00000001" w:csb1="00000000"/>
  </w:font>
  <w:font w:name="*Arial-4256-Identity-H">
    <w:altName w:val="Calibri"/>
    <w:panose1 w:val="00000000000000000000"/>
    <w:charset w:val="00"/>
    <w:family w:val="auto"/>
    <w:notTrueType/>
    <w:pitch w:val="default"/>
    <w:sig w:usb0="00000003" w:usb1="00000000" w:usb2="00000000" w:usb3="00000000" w:csb0="00000001" w:csb1="00000000"/>
  </w:font>
  <w:font w:name="*Arial-Bold-4257-Identity-H">
    <w:altName w:val="Calibri"/>
    <w:panose1 w:val="00000000000000000000"/>
    <w:charset w:val="00"/>
    <w:family w:val="auto"/>
    <w:notTrueType/>
    <w:pitch w:val="default"/>
    <w:sig w:usb0="00000003" w:usb1="00000000" w:usb2="00000000" w:usb3="00000000" w:csb0="00000001" w:csb1="00000000"/>
  </w:font>
  <w:font w:name="*Arial-6470-Identity-H">
    <w:altName w:val="Calibri"/>
    <w:panose1 w:val="00000000000000000000"/>
    <w:charset w:val="00"/>
    <w:family w:val="auto"/>
    <w:notTrueType/>
    <w:pitch w:val="default"/>
    <w:sig w:usb0="00000003" w:usb1="00000000" w:usb2="00000000" w:usb3="00000000" w:csb0="00000001" w:csb1="00000000"/>
  </w:font>
  <w:font w:name="*Arial-Italic-6471-Identity-H">
    <w:altName w:val="Calibri"/>
    <w:panose1 w:val="00000000000000000000"/>
    <w:charset w:val="00"/>
    <w:family w:val="auto"/>
    <w:notTrueType/>
    <w:pitch w:val="default"/>
    <w:sig w:usb0="00000003" w:usb1="00000000" w:usb2="00000000" w:usb3="00000000" w:csb0="00000001" w:csb1="00000000"/>
  </w:font>
  <w:font w:name="*Arial-Bold-5478-Identity-H">
    <w:altName w:val="Calibri"/>
    <w:panose1 w:val="00000000000000000000"/>
    <w:charset w:val="00"/>
    <w:family w:val="auto"/>
    <w:notTrueType/>
    <w:pitch w:val="default"/>
    <w:sig w:usb0="00000003" w:usb1="00000000" w:usb2="00000000" w:usb3="00000000" w:csb0="00000001" w:csb1="00000000"/>
  </w:font>
  <w:font w:name="*Arial-5479-Identity-H">
    <w:altName w:val="Calibri"/>
    <w:panose1 w:val="00000000000000000000"/>
    <w:charset w:val="00"/>
    <w:family w:val="auto"/>
    <w:notTrueType/>
    <w:pitch w:val="default"/>
    <w:sig w:usb0="00000003" w:usb1="00000000" w:usb2="00000000" w:usb3="00000000" w:csb0="00000001" w:csb1="00000000"/>
  </w:font>
  <w:font w:name="*Arial-5477-Identity-H">
    <w:altName w:val="Calibri"/>
    <w:panose1 w:val="00000000000000000000"/>
    <w:charset w:val="00"/>
    <w:family w:val="auto"/>
    <w:notTrueType/>
    <w:pitch w:val="default"/>
    <w:sig w:usb0="00000003" w:usb1="00000000" w:usb2="00000000" w:usb3="00000000" w:csb0="00000001" w:csb1="00000000"/>
  </w:font>
  <w:font w:name="*Arial-5157-Identity-H">
    <w:altName w:val="Calibri"/>
    <w:panose1 w:val="00000000000000000000"/>
    <w:charset w:val="00"/>
    <w:family w:val="auto"/>
    <w:notTrueType/>
    <w:pitch w:val="default"/>
    <w:sig w:usb0="00000003" w:usb1="00000000" w:usb2="00000000" w:usb3="00000000" w:csb0="00000001" w:csb1="00000000"/>
  </w:font>
  <w:font w:name="*Arial-6041-Identity-H">
    <w:altName w:val="Calibri"/>
    <w:panose1 w:val="00000000000000000000"/>
    <w:charset w:val="00"/>
    <w:family w:val="auto"/>
    <w:notTrueType/>
    <w:pitch w:val="default"/>
    <w:sig w:usb0="00000003" w:usb1="00000000" w:usb2="00000000" w:usb3="00000000" w:csb0="00000001" w:csb1="00000000"/>
  </w:font>
  <w:font w:name="*Arial-5608-Identity-H">
    <w:altName w:val="Calibri"/>
    <w:panose1 w:val="00000000000000000000"/>
    <w:charset w:val="00"/>
    <w:family w:val="auto"/>
    <w:notTrueType/>
    <w:pitch w:val="default"/>
    <w:sig w:usb0="00000003" w:usb1="00000000" w:usb2="00000000" w:usb3="00000000" w:csb0="00000001" w:csb1="00000000"/>
  </w:font>
  <w:font w:name="*Arial-Bold-5609-Identity-H">
    <w:altName w:val="Calibri"/>
    <w:panose1 w:val="00000000000000000000"/>
    <w:charset w:val="00"/>
    <w:family w:val="auto"/>
    <w:notTrueType/>
    <w:pitch w:val="default"/>
    <w:sig w:usb0="00000003" w:usb1="00000000" w:usb2="00000000" w:usb3="00000000" w:csb0="00000001" w:csb1="00000000"/>
  </w:font>
  <w:font w:name="*Arial-5103-Identity-H">
    <w:altName w:val="Calibri"/>
    <w:panose1 w:val="00000000000000000000"/>
    <w:charset w:val="00"/>
    <w:family w:val="auto"/>
    <w:notTrueType/>
    <w:pitch w:val="default"/>
    <w:sig w:usb0="00000003" w:usb1="00000000" w:usb2="00000000" w:usb3="00000000" w:csb0="00000001" w:csb1="00000000"/>
  </w:font>
  <w:font w:name="*Arial-5196-Identity-H">
    <w:altName w:val="Calibri"/>
    <w:panose1 w:val="00000000000000000000"/>
    <w:charset w:val="00"/>
    <w:family w:val="auto"/>
    <w:notTrueType/>
    <w:pitch w:val="default"/>
    <w:sig w:usb0="00000003" w:usb1="00000000" w:usb2="00000000" w:usb3="00000000" w:csb0="00000001" w:csb1="00000000"/>
  </w:font>
  <w:font w:name="*Arial-Bold-5197-Identity-H">
    <w:altName w:val="Calibri"/>
    <w:panose1 w:val="00000000000000000000"/>
    <w:charset w:val="00"/>
    <w:family w:val="auto"/>
    <w:notTrueType/>
    <w:pitch w:val="default"/>
    <w:sig w:usb0="00000003" w:usb1="00000000" w:usb2="00000000" w:usb3="00000000" w:csb0="00000001" w:csb1="00000000"/>
  </w:font>
  <w:font w:name="*Arial-3814-Identity-H">
    <w:altName w:val="Calibri"/>
    <w:panose1 w:val="00000000000000000000"/>
    <w:charset w:val="00"/>
    <w:family w:val="auto"/>
    <w:notTrueType/>
    <w:pitch w:val="default"/>
    <w:sig w:usb0="00000003" w:usb1="00000000" w:usb2="00000000" w:usb3="00000000" w:csb0="00000001" w:csb1="00000000"/>
  </w:font>
  <w:font w:name="*Arial-5476-Identity-H">
    <w:altName w:val="Calibri"/>
    <w:panose1 w:val="00000000000000000000"/>
    <w:charset w:val="00"/>
    <w:family w:val="auto"/>
    <w:notTrueType/>
    <w:pitch w:val="default"/>
    <w:sig w:usb0="00000003" w:usb1="00000000" w:usb2="00000000" w:usb3="00000000" w:csb0="00000001" w:csb1="00000000"/>
  </w:font>
  <w:font w:name="*Microsoft Sans Serif-Bold-5479">
    <w:altName w:val="Calibri"/>
    <w:panose1 w:val="00000000000000000000"/>
    <w:charset w:val="00"/>
    <w:family w:val="auto"/>
    <w:notTrueType/>
    <w:pitch w:val="default"/>
    <w:sig w:usb0="00000003" w:usb1="00000000" w:usb2="00000000" w:usb3="00000000" w:csb0="00000001" w:csb1="00000000"/>
  </w:font>
  <w:font w:name="*Arial-Bold-5477-Identity-H">
    <w:altName w:val="Calibri"/>
    <w:panose1 w:val="00000000000000000000"/>
    <w:charset w:val="00"/>
    <w:family w:val="auto"/>
    <w:notTrueType/>
    <w:pitch w:val="default"/>
    <w:sig w:usb0="00000003" w:usb1="00000000" w:usb2="00000000" w:usb3="00000000" w:csb0="00000001" w:csb1="00000000"/>
  </w:font>
  <w:font w:name="*Arial-5068-Identity-H">
    <w:altName w:val="Calibri"/>
    <w:panose1 w:val="00000000000000000000"/>
    <w:charset w:val="00"/>
    <w:family w:val="auto"/>
    <w:notTrueType/>
    <w:pitch w:val="default"/>
    <w:sig w:usb0="00000003" w:usb1="00000000" w:usb2="00000000" w:usb3="00000000" w:csb0="00000001" w:csb1="00000000"/>
  </w:font>
  <w:font w:name="*Arial-Bold-5070-Identity-H">
    <w:altName w:val="Calibri"/>
    <w:panose1 w:val="00000000000000000000"/>
    <w:charset w:val="00"/>
    <w:family w:val="auto"/>
    <w:notTrueType/>
    <w:pitch w:val="default"/>
    <w:sig w:usb0="00000003" w:usb1="00000000" w:usb2="00000000" w:usb3="00000000" w:csb0="00000001" w:csb1="00000000"/>
  </w:font>
  <w:font w:name="*Arial-Bold-5069-Identity-H">
    <w:altName w:val="Calibri"/>
    <w:panose1 w:val="00000000000000000000"/>
    <w:charset w:val="00"/>
    <w:family w:val="auto"/>
    <w:notTrueType/>
    <w:pitch w:val="default"/>
    <w:sig w:usb0="00000003" w:usb1="00000000" w:usb2="00000000" w:usb3="00000000" w:csb0="00000001" w:csb1="00000000"/>
  </w:font>
  <w:font w:name="*Arial-5077-Identity-H">
    <w:altName w:val="Calibri"/>
    <w:panose1 w:val="00000000000000000000"/>
    <w:charset w:val="00"/>
    <w:family w:val="auto"/>
    <w:notTrueType/>
    <w:pitch w:val="default"/>
    <w:sig w:usb0="00000003" w:usb1="00000000" w:usb2="00000000" w:usb3="00000000" w:csb0="00000001" w:csb1="00000000"/>
  </w:font>
  <w:font w:name="*Arial-5386-Identity-H">
    <w:altName w:val="Calibri"/>
    <w:panose1 w:val="00000000000000000000"/>
    <w:charset w:val="00"/>
    <w:family w:val="auto"/>
    <w:notTrueType/>
    <w:pitch w:val="default"/>
    <w:sig w:usb0="00000003" w:usb1="00000000" w:usb2="00000000" w:usb3="00000000" w:csb0="00000001" w:csb1="00000000"/>
  </w:font>
  <w:font w:name="*Arial-Bold-6124-Identity-H">
    <w:altName w:val="Calibri"/>
    <w:panose1 w:val="00000000000000000000"/>
    <w:charset w:val="00"/>
    <w:family w:val="auto"/>
    <w:notTrueType/>
    <w:pitch w:val="default"/>
    <w:sig w:usb0="00000003" w:usb1="00000000" w:usb2="00000000" w:usb3="00000000" w:csb0="00000001" w:csb1="00000000"/>
  </w:font>
  <w:font w:name="*Arial-6125-Identity-H">
    <w:altName w:val="Calibri"/>
    <w:panose1 w:val="00000000000000000000"/>
    <w:charset w:val="00"/>
    <w:family w:val="auto"/>
    <w:notTrueType/>
    <w:pitch w:val="default"/>
    <w:sig w:usb0="00000003" w:usb1="00000000" w:usb2="00000000" w:usb3="00000000" w:csb0="00000001" w:csb1="00000000"/>
  </w:font>
  <w:font w:name="*Arial-6123-Identity-H">
    <w:altName w:val="Calibri"/>
    <w:panose1 w:val="00000000000000000000"/>
    <w:charset w:val="00"/>
    <w:family w:val="auto"/>
    <w:notTrueType/>
    <w:pitch w:val="default"/>
    <w:sig w:usb0="00000003" w:usb1="00000000" w:usb2="00000000" w:usb3="00000000" w:csb0="00000001" w:csb1="00000000"/>
  </w:font>
  <w:font w:name="*Microsoft Sans Serif-Bold-6126">
    <w:altName w:val="Calibri"/>
    <w:panose1 w:val="00000000000000000000"/>
    <w:charset w:val="00"/>
    <w:family w:val="auto"/>
    <w:notTrueType/>
    <w:pitch w:val="default"/>
    <w:sig w:usb0="00000003" w:usb1="00000000" w:usb2="00000000" w:usb3="00000000" w:csb0="00000001" w:csb1="00000000"/>
  </w:font>
  <w:font w:name="*Arial-5823-Identity-H">
    <w:altName w:val="Calibri"/>
    <w:panose1 w:val="00000000000000000000"/>
    <w:charset w:val="00"/>
    <w:family w:val="auto"/>
    <w:notTrueType/>
    <w:pitch w:val="default"/>
    <w:sig w:usb0="00000003" w:usb1="00000000" w:usb2="00000000" w:usb3="00000000" w:csb0="00000001" w:csb1="00000000"/>
  </w:font>
  <w:font w:name="*Arial-5592-Identity-H">
    <w:altName w:val="Calibri"/>
    <w:panose1 w:val="00000000000000000000"/>
    <w:charset w:val="00"/>
    <w:family w:val="auto"/>
    <w:notTrueType/>
    <w:pitch w:val="default"/>
    <w:sig w:usb0="00000003" w:usb1="00000000" w:usb2="00000000" w:usb3="00000000" w:csb0="00000001" w:csb1="00000000"/>
  </w:font>
  <w:font w:name="*Arial-7831-Identity-H">
    <w:altName w:val="Calibri"/>
    <w:panose1 w:val="00000000000000000000"/>
    <w:charset w:val="00"/>
    <w:family w:val="auto"/>
    <w:notTrueType/>
    <w:pitch w:val="default"/>
    <w:sig w:usb0="00000003" w:usb1="00000000" w:usb2="00000000" w:usb3="00000000" w:csb0="00000001" w:csb1="00000000"/>
  </w:font>
  <w:font w:name="*Times New Roman-Italic-7829-Id">
    <w:altName w:val="Calibri"/>
    <w:panose1 w:val="00000000000000000000"/>
    <w:charset w:val="00"/>
    <w:family w:val="auto"/>
    <w:notTrueType/>
    <w:pitch w:val="default"/>
    <w:sig w:usb0="00000003" w:usb1="00000000" w:usb2="00000000" w:usb3="00000000" w:csb0="00000001" w:csb1="00000000"/>
  </w:font>
  <w:font w:name="*Arial-Italic-7832-Identity-H">
    <w:altName w:val="Calibri"/>
    <w:panose1 w:val="00000000000000000000"/>
    <w:charset w:val="00"/>
    <w:family w:val="auto"/>
    <w:notTrueType/>
    <w:pitch w:val="default"/>
    <w:sig w:usb0="00000003" w:usb1="00000000" w:usb2="00000000" w:usb3="00000000" w:csb0="00000001" w:csb1="00000000"/>
  </w:font>
  <w:font w:name="*Arial-7830-Identity-H">
    <w:altName w:val="Calibri"/>
    <w:panose1 w:val="00000000000000000000"/>
    <w:charset w:val="00"/>
    <w:family w:val="auto"/>
    <w:notTrueType/>
    <w:pitch w:val="default"/>
    <w:sig w:usb0="00000003" w:usb1="00000000" w:usb2="00000000" w:usb3="00000000" w:csb0="00000001" w:csb1="00000000"/>
  </w:font>
  <w:font w:name="*Arial-6197-Identity-H">
    <w:altName w:val="Calibri"/>
    <w:panose1 w:val="00000000000000000000"/>
    <w:charset w:val="00"/>
    <w:family w:val="auto"/>
    <w:notTrueType/>
    <w:pitch w:val="default"/>
    <w:sig w:usb0="00000003" w:usb1="00000000" w:usb2="00000000" w:usb3="00000000" w:csb0="00000001" w:csb1="00000000"/>
  </w:font>
  <w:font w:name="*Arial-Italic-6198-Identity-H">
    <w:altName w:val="Calibri"/>
    <w:panose1 w:val="00000000000000000000"/>
    <w:charset w:val="00"/>
    <w:family w:val="auto"/>
    <w:notTrueType/>
    <w:pitch w:val="default"/>
    <w:sig w:usb0="00000003" w:usb1="00000000" w:usb2="00000000" w:usb3="00000000" w:csb0="00000001" w:csb1="00000000"/>
  </w:font>
  <w:font w:name="*Arial-6344-Identity-H">
    <w:altName w:val="Calibri"/>
    <w:panose1 w:val="00000000000000000000"/>
    <w:charset w:val="00"/>
    <w:family w:val="auto"/>
    <w:notTrueType/>
    <w:pitch w:val="default"/>
    <w:sig w:usb0="00000003" w:usb1="00000000" w:usb2="00000000" w:usb3="00000000" w:csb0="00000001" w:csb1="00000000"/>
  </w:font>
  <w:font w:name="*Arial-Italic-6346-Identity-H">
    <w:altName w:val="Calibri"/>
    <w:panose1 w:val="00000000000000000000"/>
    <w:charset w:val="00"/>
    <w:family w:val="auto"/>
    <w:notTrueType/>
    <w:pitch w:val="default"/>
    <w:sig w:usb0="00000003" w:usb1="00000000" w:usb2="00000000" w:usb3="00000000" w:csb0="00000001" w:csb1="00000000"/>
  </w:font>
  <w:font w:name="*Arial-Bold-6345-Identity-H">
    <w:altName w:val="Calibri"/>
    <w:panose1 w:val="00000000000000000000"/>
    <w:charset w:val="00"/>
    <w:family w:val="auto"/>
    <w:notTrueType/>
    <w:pitch w:val="default"/>
    <w:sig w:usb0="00000003" w:usb1="00000000" w:usb2="00000000" w:usb3="00000000" w:csb0="00000001" w:csb1="00000000"/>
  </w:font>
  <w:font w:name="*Arial-Bold-6070-Identity-H">
    <w:altName w:val="Calibri"/>
    <w:panose1 w:val="00000000000000000000"/>
    <w:charset w:val="00"/>
    <w:family w:val="auto"/>
    <w:notTrueType/>
    <w:pitch w:val="default"/>
    <w:sig w:usb0="00000003" w:usb1="00000000" w:usb2="00000000" w:usb3="00000000" w:csb0="00000001" w:csb1="00000000"/>
  </w:font>
  <w:font w:name="*Arial-6068-Identity-H">
    <w:altName w:val="Calibri"/>
    <w:panose1 w:val="00000000000000000000"/>
    <w:charset w:val="00"/>
    <w:family w:val="auto"/>
    <w:notTrueType/>
    <w:pitch w:val="default"/>
    <w:sig w:usb0="00000003" w:usb1="00000000" w:usb2="00000000" w:usb3="00000000" w:csb0="00000001" w:csb1="00000000"/>
  </w:font>
  <w:font w:name="*Arial-6071-Identity-H">
    <w:altName w:val="Calibri"/>
    <w:panose1 w:val="00000000000000000000"/>
    <w:charset w:val="00"/>
    <w:family w:val="auto"/>
    <w:notTrueType/>
    <w:pitch w:val="default"/>
    <w:sig w:usb0="00000003" w:usb1="00000000" w:usb2="00000000" w:usb3="00000000" w:csb0="00000001" w:csb1="00000000"/>
  </w:font>
  <w:font w:name="*Microsoft Sans Serif-6072-Iden">
    <w:altName w:val="Calibri"/>
    <w:panose1 w:val="00000000000000000000"/>
    <w:charset w:val="00"/>
    <w:family w:val="auto"/>
    <w:notTrueType/>
    <w:pitch w:val="default"/>
    <w:sig w:usb0="00000003" w:usb1="00000000" w:usb2="00000000" w:usb3="00000000" w:csb0="00000001" w:csb1="00000000"/>
  </w:font>
  <w:font w:name="*Arial-Italic-6069-Identity-H">
    <w:altName w:val="Calibri"/>
    <w:panose1 w:val="00000000000000000000"/>
    <w:charset w:val="00"/>
    <w:family w:val="auto"/>
    <w:notTrueType/>
    <w:pitch w:val="default"/>
    <w:sig w:usb0="00000003" w:usb1="00000000" w:usb2="00000000" w:usb3="00000000" w:csb0="00000001" w:csb1="00000000"/>
  </w:font>
  <w:font w:name="*Arial-4677-Identity-H">
    <w:altName w:val="Calibri"/>
    <w:panose1 w:val="00000000000000000000"/>
    <w:charset w:val="00"/>
    <w:family w:val="auto"/>
    <w:notTrueType/>
    <w:pitch w:val="default"/>
    <w:sig w:usb0="00000003" w:usb1="00000000" w:usb2="00000000" w:usb3="00000000" w:csb0="00000001" w:csb1="00000000"/>
  </w:font>
  <w:font w:name="*Arial-Bold-4678-Identity-H">
    <w:altName w:val="Calibri"/>
    <w:panose1 w:val="00000000000000000000"/>
    <w:charset w:val="00"/>
    <w:family w:val="auto"/>
    <w:notTrueType/>
    <w:pitch w:val="default"/>
    <w:sig w:usb0="00000003" w:usb1="00000000" w:usb2="00000000" w:usb3="00000000" w:csb0="00000001" w:csb1="00000000"/>
  </w:font>
  <w:font w:name="*Arial-5955-Identity-H">
    <w:altName w:val="Calibri"/>
    <w:panose1 w:val="00000000000000000000"/>
    <w:charset w:val="00"/>
    <w:family w:val="auto"/>
    <w:notTrueType/>
    <w:pitch w:val="default"/>
    <w:sig w:usb0="00000003" w:usb1="00000000" w:usb2="00000000" w:usb3="00000000" w:csb0="00000001" w:csb1="00000000"/>
  </w:font>
  <w:font w:name="*Arial-5528-Identity-H">
    <w:altName w:val="Calibri"/>
    <w:panose1 w:val="00000000000000000000"/>
    <w:charset w:val="00"/>
    <w:family w:val="auto"/>
    <w:notTrueType/>
    <w:pitch w:val="default"/>
    <w:sig w:usb0="00000003" w:usb1="00000000" w:usb2="00000000" w:usb3="00000000" w:csb0="00000001" w:csb1="00000000"/>
  </w:font>
  <w:font w:name="*Arial-Italic-5529-Identity-H">
    <w:altName w:val="Calibri"/>
    <w:panose1 w:val="00000000000000000000"/>
    <w:charset w:val="00"/>
    <w:family w:val="auto"/>
    <w:notTrueType/>
    <w:pitch w:val="default"/>
    <w:sig w:usb0="00000003" w:usb1="00000000" w:usb2="00000000" w:usb3="00000000" w:csb0="00000001" w:csb1="00000000"/>
  </w:font>
  <w:font w:name="*Arial-5349-Identity-H">
    <w:altName w:val="Calibri"/>
    <w:panose1 w:val="00000000000000000000"/>
    <w:charset w:val="00"/>
    <w:family w:val="auto"/>
    <w:notTrueType/>
    <w:pitch w:val="default"/>
    <w:sig w:usb0="00000003" w:usb1="00000000" w:usb2="00000000" w:usb3="00000000" w:csb0="00000001" w:csb1="00000000"/>
  </w:font>
  <w:font w:name="*Arial-5347-Identity-H">
    <w:altName w:val="Calibri"/>
    <w:panose1 w:val="00000000000000000000"/>
    <w:charset w:val="00"/>
    <w:family w:val="auto"/>
    <w:notTrueType/>
    <w:pitch w:val="default"/>
    <w:sig w:usb0="00000003" w:usb1="00000000" w:usb2="00000000" w:usb3="00000000" w:csb0="00000001" w:csb1="00000000"/>
  </w:font>
  <w:font w:name="*Microsoft Sans Serif-4439-Iden">
    <w:altName w:val="Calibri"/>
    <w:panose1 w:val="00000000000000000000"/>
    <w:charset w:val="00"/>
    <w:family w:val="auto"/>
    <w:notTrueType/>
    <w:pitch w:val="default"/>
    <w:sig w:usb0="00000003" w:usb1="00000000" w:usb2="00000000" w:usb3="00000000" w:csb0="00000001" w:csb1="00000000"/>
  </w:font>
  <w:font w:name="*Arial-Bold-4437-Identity-H">
    <w:altName w:val="Calibri"/>
    <w:panose1 w:val="00000000000000000000"/>
    <w:charset w:val="00"/>
    <w:family w:val="auto"/>
    <w:notTrueType/>
    <w:pitch w:val="default"/>
    <w:sig w:usb0="00000003" w:usb1="00000000" w:usb2="00000000" w:usb3="00000000" w:csb0="00000001" w:csb1="00000000"/>
  </w:font>
  <w:font w:name="*Arial-5830-Identity-H">
    <w:altName w:val="Calibri"/>
    <w:panose1 w:val="00000000000000000000"/>
    <w:charset w:val="00"/>
    <w:family w:val="auto"/>
    <w:notTrueType/>
    <w:pitch w:val="default"/>
    <w:sig w:usb0="00000003" w:usb1="00000000" w:usb2="00000000" w:usb3="00000000" w:csb0="00000001" w:csb1="00000000"/>
  </w:font>
  <w:font w:name="*Arial-4183-Identity-H">
    <w:altName w:val="Calibri"/>
    <w:panose1 w:val="00000000000000000000"/>
    <w:charset w:val="00"/>
    <w:family w:val="auto"/>
    <w:notTrueType/>
    <w:pitch w:val="default"/>
    <w:sig w:usb0="00000003" w:usb1="00000000" w:usb2="00000000" w:usb3="00000000" w:csb0="00000001" w:csb1="00000000"/>
  </w:font>
  <w:font w:name="*Arial-Bold-4184-Identity-H">
    <w:altName w:val="Calibri"/>
    <w:panose1 w:val="00000000000000000000"/>
    <w:charset w:val="00"/>
    <w:family w:val="auto"/>
    <w:notTrueType/>
    <w:pitch w:val="default"/>
    <w:sig w:usb0="00000003" w:usb1="00000000" w:usb2="00000000" w:usb3="00000000" w:csb0="00000001" w:csb1="00000000"/>
  </w:font>
  <w:font w:name="*Arial-Bold-5504-Identity-H">
    <w:altName w:val="Calibri"/>
    <w:panose1 w:val="00000000000000000000"/>
    <w:charset w:val="00"/>
    <w:family w:val="auto"/>
    <w:notTrueType/>
    <w:pitch w:val="default"/>
    <w:sig w:usb0="00000003" w:usb1="00000000" w:usb2="00000000" w:usb3="00000000" w:csb0="00000001" w:csb1="00000000"/>
  </w:font>
  <w:font w:name="*Arial-5502-Identity-H">
    <w:altName w:val="Calibri"/>
    <w:panose1 w:val="00000000000000000000"/>
    <w:charset w:val="00"/>
    <w:family w:val="auto"/>
    <w:notTrueType/>
    <w:pitch w:val="default"/>
    <w:sig w:usb0="00000003" w:usb1="00000000" w:usb2="00000000" w:usb3="00000000" w:csb0="00000001" w:csb1="00000000"/>
  </w:font>
  <w:font w:name="*Arial-Bold-5503-Identity-H">
    <w:altName w:val="Calibri"/>
    <w:panose1 w:val="00000000000000000000"/>
    <w:charset w:val="00"/>
    <w:family w:val="auto"/>
    <w:notTrueType/>
    <w:pitch w:val="default"/>
    <w:sig w:usb0="00000003" w:usb1="00000000" w:usb2="00000000" w:usb3="00000000" w:csb0="00000001" w:csb1="00000000"/>
  </w:font>
  <w:font w:name="*Arial-5287-Identity-H">
    <w:altName w:val="Calibri"/>
    <w:panose1 w:val="00000000000000000000"/>
    <w:charset w:val="00"/>
    <w:family w:val="auto"/>
    <w:notTrueType/>
    <w:pitch w:val="default"/>
    <w:sig w:usb0="00000003" w:usb1="00000000" w:usb2="00000000" w:usb3="00000000" w:csb0="00000001" w:csb1="00000000"/>
  </w:font>
  <w:font w:name="*Microsoft Sans Serif-Bold-5289">
    <w:altName w:val="Calibri"/>
    <w:panose1 w:val="00000000000000000000"/>
    <w:charset w:val="00"/>
    <w:family w:val="auto"/>
    <w:notTrueType/>
    <w:pitch w:val="default"/>
    <w:sig w:usb0="00000003" w:usb1="00000000" w:usb2="00000000" w:usb3="00000000" w:csb0="00000001" w:csb1="00000000"/>
  </w:font>
  <w:font w:name="*Arial-Bold-5288-Identity-H">
    <w:altName w:val="Calibri"/>
    <w:panose1 w:val="00000000000000000000"/>
    <w:charset w:val="00"/>
    <w:family w:val="auto"/>
    <w:notTrueType/>
    <w:pitch w:val="default"/>
    <w:sig w:usb0="00000003" w:usb1="00000000" w:usb2="00000000" w:usb3="00000000" w:csb0="00000001" w:csb1="00000000"/>
  </w:font>
  <w:font w:name="*Arial-5158-Identity-H">
    <w:altName w:val="Calibri"/>
    <w:panose1 w:val="00000000000000000000"/>
    <w:charset w:val="00"/>
    <w:family w:val="auto"/>
    <w:notTrueType/>
    <w:pitch w:val="default"/>
    <w:sig w:usb0="00000003" w:usb1="00000000" w:usb2="00000000" w:usb3="00000000" w:csb0="00000001" w:csb1="00000000"/>
  </w:font>
  <w:font w:name="*Arial-5302-Identity-H">
    <w:altName w:val="Calibri"/>
    <w:panose1 w:val="00000000000000000000"/>
    <w:charset w:val="00"/>
    <w:family w:val="auto"/>
    <w:notTrueType/>
    <w:pitch w:val="default"/>
    <w:sig w:usb0="00000003" w:usb1="00000000" w:usb2="00000000" w:usb3="00000000" w:csb0="00000001" w:csb1="00000000"/>
  </w:font>
  <w:font w:name="*Arial-Bold-6237-Identity-H">
    <w:altName w:val="Calibri"/>
    <w:panose1 w:val="00000000000000000000"/>
    <w:charset w:val="00"/>
    <w:family w:val="auto"/>
    <w:notTrueType/>
    <w:pitch w:val="default"/>
    <w:sig w:usb0="00000003" w:usb1="00000000" w:usb2="00000000" w:usb3="00000000" w:csb0="00000001" w:csb1="00000000"/>
  </w:font>
  <w:font w:name="*Arial-6238-Identity-H">
    <w:altName w:val="Calibri"/>
    <w:panose1 w:val="00000000000000000000"/>
    <w:charset w:val="00"/>
    <w:family w:val="auto"/>
    <w:notTrueType/>
    <w:pitch w:val="default"/>
    <w:sig w:usb0="00000003" w:usb1="00000000" w:usb2="00000000" w:usb3="00000000" w:csb0="00000001" w:csb1="00000000"/>
  </w:font>
  <w:font w:name="*Arial-6236-Identity-H">
    <w:altName w:val="Calibri"/>
    <w:panose1 w:val="00000000000000000000"/>
    <w:charset w:val="00"/>
    <w:family w:val="auto"/>
    <w:notTrueType/>
    <w:pitch w:val="default"/>
    <w:sig w:usb0="00000003" w:usb1="00000000" w:usb2="00000000" w:usb3="00000000" w:csb0="00000001" w:csb1="00000000"/>
  </w:font>
  <w:font w:name="*Arial-5790-Identity-H">
    <w:altName w:val="Calibri"/>
    <w:panose1 w:val="00000000000000000000"/>
    <w:charset w:val="00"/>
    <w:family w:val="auto"/>
    <w:notTrueType/>
    <w:pitch w:val="default"/>
    <w:sig w:usb0="00000003" w:usb1="00000000" w:usb2="00000000" w:usb3="00000000" w:csb0="00000001" w:csb1="00000000"/>
  </w:font>
  <w:font w:name="*Arial-5789-Identity-H">
    <w:altName w:val="Calibri"/>
    <w:panose1 w:val="00000000000000000000"/>
    <w:charset w:val="00"/>
    <w:family w:val="auto"/>
    <w:notTrueType/>
    <w:pitch w:val="default"/>
    <w:sig w:usb0="00000003" w:usb1="00000000" w:usb2="00000000" w:usb3="00000000" w:csb0="00000001" w:csb1="00000000"/>
  </w:font>
  <w:font w:name="*Arial-5652-Identity-H">
    <w:altName w:val="Calibri"/>
    <w:panose1 w:val="00000000000000000000"/>
    <w:charset w:val="00"/>
    <w:family w:val="auto"/>
    <w:notTrueType/>
    <w:pitch w:val="default"/>
    <w:sig w:usb0="00000003" w:usb1="00000000" w:usb2="00000000" w:usb3="00000000" w:csb0="00000001" w:csb1="00000000"/>
  </w:font>
  <w:font w:name="*Arial-5651-Identity-H">
    <w:altName w:val="Calibri"/>
    <w:panose1 w:val="00000000000000000000"/>
    <w:charset w:val="00"/>
    <w:family w:val="auto"/>
    <w:notTrueType/>
    <w:pitch w:val="default"/>
    <w:sig w:usb0="00000003" w:usb1="00000000" w:usb2="00000000" w:usb3="00000000" w:csb0="00000001" w:csb1="00000000"/>
  </w:font>
  <w:font w:name="*Arial-8155-Identity-H">
    <w:altName w:val="Calibri"/>
    <w:panose1 w:val="00000000000000000000"/>
    <w:charset w:val="00"/>
    <w:family w:val="auto"/>
    <w:notTrueType/>
    <w:pitch w:val="default"/>
    <w:sig w:usb0="00000003" w:usb1="00000000" w:usb2="00000000" w:usb3="00000000" w:csb0="00000001" w:csb1="00000000"/>
  </w:font>
  <w:font w:name="*Times New Roman-Italic-8148-Id">
    <w:altName w:val="Calibri"/>
    <w:panose1 w:val="00000000000000000000"/>
    <w:charset w:val="00"/>
    <w:family w:val="auto"/>
    <w:notTrueType/>
    <w:pitch w:val="default"/>
    <w:sig w:usb0="00000003" w:usb1="00000000" w:usb2="00000000" w:usb3="00000000" w:csb0="00000001" w:csb1="00000000"/>
  </w:font>
  <w:font w:name="*Arial-Italic-8156-Identity-H">
    <w:altName w:val="Calibri"/>
    <w:panose1 w:val="00000000000000000000"/>
    <w:charset w:val="00"/>
    <w:family w:val="auto"/>
    <w:notTrueType/>
    <w:pitch w:val="default"/>
    <w:sig w:usb0="00000003" w:usb1="00000000" w:usb2="00000000" w:usb3="00000000" w:csb0="00000001" w:csb1="00000000"/>
  </w:font>
  <w:font w:name="*Arial-8154-Identity-H">
    <w:altName w:val="Calibri"/>
    <w:panose1 w:val="00000000000000000000"/>
    <w:charset w:val="00"/>
    <w:family w:val="auto"/>
    <w:notTrueType/>
    <w:pitch w:val="default"/>
    <w:sig w:usb0="00000003" w:usb1="00000000" w:usb2="00000000" w:usb3="00000000" w:csb0="00000001" w:csb1="00000000"/>
  </w:font>
  <w:font w:name="*Arial-6510-Identity-H">
    <w:altName w:val="Calibri"/>
    <w:panose1 w:val="00000000000000000000"/>
    <w:charset w:val="00"/>
    <w:family w:val="auto"/>
    <w:notTrueType/>
    <w:pitch w:val="default"/>
    <w:sig w:usb0="00000003" w:usb1="00000000" w:usb2="00000000" w:usb3="00000000" w:csb0="00000001" w:csb1="00000000"/>
  </w:font>
  <w:font w:name="*Arial-Italic-6511-Identity-H">
    <w:altName w:val="Calibri"/>
    <w:panose1 w:val="00000000000000000000"/>
    <w:charset w:val="00"/>
    <w:family w:val="auto"/>
    <w:notTrueType/>
    <w:pitch w:val="default"/>
    <w:sig w:usb0="00000003" w:usb1="00000000" w:usb2="00000000" w:usb3="00000000" w:csb0="00000001" w:csb1="00000000"/>
  </w:font>
  <w:font w:name="*Arial-7019-Identity-H">
    <w:altName w:val="Calibri"/>
    <w:panose1 w:val="00000000000000000000"/>
    <w:charset w:val="00"/>
    <w:family w:val="auto"/>
    <w:notTrueType/>
    <w:pitch w:val="default"/>
    <w:sig w:usb0="00000003" w:usb1="00000000" w:usb2="00000000" w:usb3="00000000" w:csb0="00000001" w:csb1="00000000"/>
  </w:font>
  <w:font w:name="*Arial-Italic-7020-Identity-H">
    <w:altName w:val="Calibri"/>
    <w:panose1 w:val="00000000000000000000"/>
    <w:charset w:val="00"/>
    <w:family w:val="auto"/>
    <w:notTrueType/>
    <w:pitch w:val="default"/>
    <w:sig w:usb0="00000003" w:usb1="00000000" w:usb2="00000000" w:usb3="00000000" w:csb0="00000001" w:csb1="00000000"/>
  </w:font>
  <w:font w:name="*Microsoft Sans Serif-Italic-70">
    <w:altName w:val="Calibri"/>
    <w:panose1 w:val="00000000000000000000"/>
    <w:charset w:val="00"/>
    <w:family w:val="auto"/>
    <w:notTrueType/>
    <w:pitch w:val="default"/>
    <w:sig w:usb0="00000003" w:usb1="00000000" w:usb2="00000000" w:usb3="00000000" w:csb0="00000001" w:csb1="00000000"/>
  </w:font>
  <w:font w:name="*Arial-Bold-4460-Identity-H">
    <w:altName w:val="Calibri"/>
    <w:panose1 w:val="00000000000000000000"/>
    <w:charset w:val="00"/>
    <w:family w:val="auto"/>
    <w:notTrueType/>
    <w:pitch w:val="default"/>
    <w:sig w:usb0="00000003" w:usb1="00000000" w:usb2="00000000" w:usb3="00000000" w:csb0="00000001" w:csb1="00000000"/>
  </w:font>
  <w:font w:name="*Arial-4459-Identity-H">
    <w:altName w:val="Calibri"/>
    <w:panose1 w:val="00000000000000000000"/>
    <w:charset w:val="00"/>
    <w:family w:val="auto"/>
    <w:notTrueType/>
    <w:pitch w:val="default"/>
    <w:sig w:usb0="00000003" w:usb1="00000000" w:usb2="00000000" w:usb3="00000000" w:csb0="00000001" w:csb1="00000000"/>
  </w:font>
  <w:font w:name="*Arial-6135-Identity-H">
    <w:altName w:val="Calibri"/>
    <w:panose1 w:val="00000000000000000000"/>
    <w:charset w:val="00"/>
    <w:family w:val="auto"/>
    <w:notTrueType/>
    <w:pitch w:val="default"/>
    <w:sig w:usb0="00000003" w:usb1="00000000" w:usb2="00000000" w:usb3="00000000" w:csb0="00000001" w:csb1="00000000"/>
  </w:font>
  <w:font w:name="*Arial-Italic-6137-Identity-H">
    <w:altName w:val="Calibri"/>
    <w:panose1 w:val="00000000000000000000"/>
    <w:charset w:val="00"/>
    <w:family w:val="auto"/>
    <w:notTrueType/>
    <w:pitch w:val="default"/>
    <w:sig w:usb0="00000003" w:usb1="00000000" w:usb2="00000000" w:usb3="00000000" w:csb0="00000001" w:csb1="00000000"/>
  </w:font>
  <w:font w:name="*Arial-Bold-6136-Identity-H">
    <w:altName w:val="Calibri"/>
    <w:panose1 w:val="00000000000000000000"/>
    <w:charset w:val="00"/>
    <w:family w:val="auto"/>
    <w:notTrueType/>
    <w:pitch w:val="default"/>
    <w:sig w:usb0="00000003" w:usb1="00000000" w:usb2="00000000" w:usb3="00000000" w:csb0="00000001" w:csb1="00000000"/>
  </w:font>
  <w:font w:name="*Arial-5166-Identity-H">
    <w:altName w:val="Calibri"/>
    <w:panose1 w:val="00000000000000000000"/>
    <w:charset w:val="00"/>
    <w:family w:val="auto"/>
    <w:notTrueType/>
    <w:pitch w:val="default"/>
    <w:sig w:usb0="00000003" w:usb1="00000000" w:usb2="00000000" w:usb3="00000000" w:csb0="00000001" w:csb1="00000000"/>
  </w:font>
  <w:font w:name="*Arial-6402-Identity-H">
    <w:altName w:val="Calibri"/>
    <w:panose1 w:val="00000000000000000000"/>
    <w:charset w:val="00"/>
    <w:family w:val="auto"/>
    <w:notTrueType/>
    <w:pitch w:val="default"/>
    <w:sig w:usb0="00000003" w:usb1="00000000" w:usb2="00000000" w:usb3="00000000" w:csb0="00000001" w:csb1="00000000"/>
  </w:font>
  <w:font w:name="*Arial-Italic-6403-Identity-H">
    <w:altName w:val="Calibri"/>
    <w:panose1 w:val="00000000000000000000"/>
    <w:charset w:val="00"/>
    <w:family w:val="auto"/>
    <w:notTrueType/>
    <w:pitch w:val="default"/>
    <w:sig w:usb0="00000003" w:usb1="00000000" w:usb2="00000000" w:usb3="00000000" w:csb0="00000001" w:csb1="00000000"/>
  </w:font>
  <w:font w:name="*Arial-7008-Identity-H">
    <w:altName w:val="Calibri"/>
    <w:panose1 w:val="00000000000000000000"/>
    <w:charset w:val="00"/>
    <w:family w:val="auto"/>
    <w:notTrueType/>
    <w:pitch w:val="default"/>
    <w:sig w:usb0="00000003" w:usb1="00000000" w:usb2="00000000" w:usb3="00000000" w:csb0="00000001" w:csb1="00000000"/>
  </w:font>
  <w:font w:name="*Arial-Italic-7009-Identity-H">
    <w:altName w:val="Calibri"/>
    <w:panose1 w:val="00000000000000000000"/>
    <w:charset w:val="00"/>
    <w:family w:val="auto"/>
    <w:notTrueType/>
    <w:pitch w:val="default"/>
    <w:sig w:usb0="00000003" w:usb1="00000000" w:usb2="00000000" w:usb3="00000000" w:csb0="00000001" w:csb1="00000000"/>
  </w:font>
  <w:font w:name="*Arial-6771-Identity-H">
    <w:altName w:val="Calibri"/>
    <w:panose1 w:val="00000000000000000000"/>
    <w:charset w:val="00"/>
    <w:family w:val="auto"/>
    <w:notTrueType/>
    <w:pitch w:val="default"/>
    <w:sig w:usb0="00000003" w:usb1="00000000" w:usb2="00000000" w:usb3="00000000" w:csb0="00000001" w:csb1="00000000"/>
  </w:font>
  <w:font w:name="*Arial-Italic-6772-Identity-H">
    <w:altName w:val="Calibri"/>
    <w:panose1 w:val="00000000000000000000"/>
    <w:charset w:val="00"/>
    <w:family w:val="auto"/>
    <w:notTrueType/>
    <w:pitch w:val="default"/>
    <w:sig w:usb0="00000003" w:usb1="00000000" w:usb2="00000000" w:usb3="00000000" w:csb0="00000001" w:csb1="00000000"/>
  </w:font>
  <w:font w:name="*Calibri-6769-Identity-H">
    <w:altName w:val="Calibri"/>
    <w:panose1 w:val="00000000000000000000"/>
    <w:charset w:val="00"/>
    <w:family w:val="auto"/>
    <w:notTrueType/>
    <w:pitch w:val="default"/>
    <w:sig w:usb0="00000003" w:usb1="00000000" w:usb2="00000000" w:usb3="00000000" w:csb0="00000001" w:csb1="00000000"/>
  </w:font>
  <w:font w:name="*Arial-5755-Identity-H">
    <w:altName w:val="Calibri"/>
    <w:panose1 w:val="00000000000000000000"/>
    <w:charset w:val="00"/>
    <w:family w:val="auto"/>
    <w:notTrueType/>
    <w:pitch w:val="default"/>
    <w:sig w:usb0="00000003" w:usb1="00000000" w:usb2="00000000" w:usb3="00000000" w:csb0="00000001" w:csb1="00000000"/>
  </w:font>
  <w:font w:name="*Arial-Italic-5757-Identity-H">
    <w:altName w:val="Calibri"/>
    <w:panose1 w:val="00000000000000000000"/>
    <w:charset w:val="00"/>
    <w:family w:val="auto"/>
    <w:notTrueType/>
    <w:pitch w:val="default"/>
    <w:sig w:usb0="00000003" w:usb1="00000000" w:usb2="00000000" w:usb3="00000000" w:csb0="00000001" w:csb1="00000000"/>
  </w:font>
  <w:font w:name="*Arial-Bold-5756-Identity-H">
    <w:altName w:val="Calibri"/>
    <w:panose1 w:val="00000000000000000000"/>
    <w:charset w:val="00"/>
    <w:family w:val="auto"/>
    <w:notTrueType/>
    <w:pitch w:val="default"/>
    <w:sig w:usb0="00000003" w:usb1="00000000" w:usb2="00000000" w:usb3="00000000" w:csb0="00000001" w:csb1="00000000"/>
  </w:font>
  <w:font w:name="*Arial-5019-Identity-H">
    <w:altName w:val="Calibri"/>
    <w:panose1 w:val="00000000000000000000"/>
    <w:charset w:val="00"/>
    <w:family w:val="auto"/>
    <w:notTrueType/>
    <w:pitch w:val="default"/>
    <w:sig w:usb0="00000003" w:usb1="00000000" w:usb2="00000000" w:usb3="00000000" w:csb0="00000001" w:csb1="00000000"/>
  </w:font>
  <w:font w:name="*Arial-5190-Identity-H">
    <w:altName w:val="Calibri"/>
    <w:panose1 w:val="00000000000000000000"/>
    <w:charset w:val="00"/>
    <w:family w:val="auto"/>
    <w:notTrueType/>
    <w:pitch w:val="default"/>
    <w:sig w:usb0="00000003" w:usb1="00000000" w:usb2="00000000" w:usb3="00000000" w:csb0="00000001" w:csb1="00000000"/>
  </w:font>
  <w:font w:name="*Arial-5188-Identity-H">
    <w:altName w:val="Calibri"/>
    <w:panose1 w:val="00000000000000000000"/>
    <w:charset w:val="00"/>
    <w:family w:val="auto"/>
    <w:notTrueType/>
    <w:pitch w:val="default"/>
    <w:sig w:usb0="00000003" w:usb1="00000000" w:usb2="00000000" w:usb3="00000000" w:csb0="00000001" w:csb1="00000000"/>
  </w:font>
  <w:font w:name="*Arial-Bold-5189-Identity-H">
    <w:altName w:val="Calibri"/>
    <w:panose1 w:val="00000000000000000000"/>
    <w:charset w:val="00"/>
    <w:family w:val="auto"/>
    <w:notTrueType/>
    <w:pitch w:val="default"/>
    <w:sig w:usb0="00000003" w:usb1="00000000" w:usb2="00000000" w:usb3="00000000" w:csb0="00000001" w:csb1="00000000"/>
  </w:font>
  <w:font w:name="*Arial-3734-Identity-H">
    <w:altName w:val="Calibri"/>
    <w:panose1 w:val="00000000000000000000"/>
    <w:charset w:val="00"/>
    <w:family w:val="auto"/>
    <w:notTrueType/>
    <w:pitch w:val="default"/>
    <w:sig w:usb0="00000003" w:usb1="00000000" w:usb2="00000000" w:usb3="00000000" w:csb0="00000001" w:csb1="00000000"/>
  </w:font>
  <w:font w:name="*Arial-Bold-5672-Identity-H">
    <w:altName w:val="Calibri"/>
    <w:panose1 w:val="00000000000000000000"/>
    <w:charset w:val="00"/>
    <w:family w:val="auto"/>
    <w:notTrueType/>
    <w:pitch w:val="default"/>
    <w:sig w:usb0="00000003" w:usb1="00000000" w:usb2="00000000" w:usb3="00000000" w:csb0="00000001" w:csb1="00000000"/>
  </w:font>
  <w:font w:name="*Arial-5670-Identity-H">
    <w:altName w:val="Calibri"/>
    <w:panose1 w:val="00000000000000000000"/>
    <w:charset w:val="00"/>
    <w:family w:val="auto"/>
    <w:notTrueType/>
    <w:pitch w:val="default"/>
    <w:sig w:usb0="00000003" w:usb1="00000000" w:usb2="00000000" w:usb3="00000000" w:csb0="00000001" w:csb1="00000000"/>
  </w:font>
  <w:font w:name="*Arial-Bold-5671-Identity-H">
    <w:altName w:val="Calibri"/>
    <w:panose1 w:val="00000000000000000000"/>
    <w:charset w:val="00"/>
    <w:family w:val="auto"/>
    <w:notTrueType/>
    <w:pitch w:val="default"/>
    <w:sig w:usb0="00000003" w:usb1="00000000" w:usb2="00000000" w:usb3="00000000" w:csb0="00000001" w:csb1="00000000"/>
  </w:font>
  <w:font w:name="*Microsoft Sans Serif-Bold-5674">
    <w:altName w:val="Calibri"/>
    <w:panose1 w:val="00000000000000000000"/>
    <w:charset w:val="00"/>
    <w:family w:val="auto"/>
    <w:notTrueType/>
    <w:pitch w:val="default"/>
    <w:sig w:usb0="00000003" w:usb1="00000000" w:usb2="00000000" w:usb3="00000000" w:csb0="00000001" w:csb1="00000000"/>
  </w:font>
  <w:font w:name="*Arial-5249-Identity-H">
    <w:altName w:val="Calibri"/>
    <w:panose1 w:val="00000000000000000000"/>
    <w:charset w:val="00"/>
    <w:family w:val="auto"/>
    <w:notTrueType/>
    <w:pitch w:val="default"/>
    <w:sig w:usb0="00000003" w:usb1="00000000" w:usb2="00000000" w:usb3="00000000" w:csb0="00000001" w:csb1="00000000"/>
  </w:font>
  <w:font w:name="*Microsoft Sans Serif-Bold-5251">
    <w:altName w:val="Calibri"/>
    <w:panose1 w:val="00000000000000000000"/>
    <w:charset w:val="00"/>
    <w:family w:val="auto"/>
    <w:notTrueType/>
    <w:pitch w:val="default"/>
    <w:sig w:usb0="00000003" w:usb1="00000000" w:usb2="00000000" w:usb3="00000000" w:csb0="00000001" w:csb1="00000000"/>
  </w:font>
  <w:font w:name="*Arial-Bold-5250-Identity-H">
    <w:altName w:val="Calibri"/>
    <w:panose1 w:val="00000000000000000000"/>
    <w:charset w:val="00"/>
    <w:family w:val="auto"/>
    <w:notTrueType/>
    <w:pitch w:val="default"/>
    <w:sig w:usb0="00000003" w:usb1="00000000" w:usb2="00000000" w:usb3="00000000" w:csb0="00000001" w:csb1="00000000"/>
  </w:font>
  <w:font w:name="*Arial-5258-Identity-H">
    <w:altName w:val="Calibri"/>
    <w:panose1 w:val="00000000000000000000"/>
    <w:charset w:val="00"/>
    <w:family w:val="auto"/>
    <w:notTrueType/>
    <w:pitch w:val="default"/>
    <w:sig w:usb0="00000003" w:usb1="00000000" w:usb2="00000000" w:usb3="00000000" w:csb0="00000001" w:csb1="00000000"/>
  </w:font>
  <w:font w:name="*Arial-Bold-6179-Identity-H">
    <w:altName w:val="Calibri"/>
    <w:panose1 w:val="00000000000000000000"/>
    <w:charset w:val="00"/>
    <w:family w:val="auto"/>
    <w:notTrueType/>
    <w:pitch w:val="default"/>
    <w:sig w:usb0="00000003" w:usb1="00000000" w:usb2="00000000" w:usb3="00000000" w:csb0="00000001" w:csb1="00000000"/>
  </w:font>
  <w:font w:name="*Arial-6178-Identity-H">
    <w:altName w:val="Calibri"/>
    <w:panose1 w:val="00000000000000000000"/>
    <w:charset w:val="00"/>
    <w:family w:val="auto"/>
    <w:notTrueType/>
    <w:pitch w:val="default"/>
    <w:sig w:usb0="00000003" w:usb1="00000000" w:usb2="00000000" w:usb3="00000000" w:csb0="00000001" w:csb1="00000000"/>
  </w:font>
  <w:font w:name="*Microsoft Sans Serif-Bold-6180">
    <w:altName w:val="Calibri"/>
    <w:panose1 w:val="00000000000000000000"/>
    <w:charset w:val="00"/>
    <w:family w:val="auto"/>
    <w:notTrueType/>
    <w:pitch w:val="default"/>
    <w:sig w:usb0="00000003" w:usb1="00000000" w:usb2="00000000" w:usb3="00000000" w:csb0="00000001" w:csb1="00000000"/>
  </w:font>
  <w:font w:name="*Arial-5843-Identity-H">
    <w:altName w:val="Calibri"/>
    <w:panose1 w:val="00000000000000000000"/>
    <w:charset w:val="00"/>
    <w:family w:val="auto"/>
    <w:notTrueType/>
    <w:pitch w:val="default"/>
    <w:sig w:usb0="00000003" w:usb1="00000000" w:usb2="00000000" w:usb3="00000000" w:csb0="00000001" w:csb1="00000000"/>
  </w:font>
  <w:font w:name="*Arial-5764-Identity-H">
    <w:altName w:val="Calibri"/>
    <w:panose1 w:val="00000000000000000000"/>
    <w:charset w:val="00"/>
    <w:family w:val="auto"/>
    <w:notTrueType/>
    <w:pitch w:val="default"/>
    <w:sig w:usb0="00000003" w:usb1="00000000" w:usb2="00000000" w:usb3="00000000" w:csb0="00000001" w:csb1="00000000"/>
  </w:font>
  <w:font w:name="*Arial-5763-Identity-H">
    <w:altName w:val="Calibri"/>
    <w:panose1 w:val="00000000000000000000"/>
    <w:charset w:val="00"/>
    <w:family w:val="auto"/>
    <w:notTrueType/>
    <w:pitch w:val="default"/>
    <w:sig w:usb0="00000003" w:usb1="00000000" w:usb2="00000000" w:usb3="00000000" w:csb0="00000001" w:csb1="00000000"/>
  </w:font>
  <w:font w:name="*Arial-7621-Identity-H">
    <w:altName w:val="Calibri"/>
    <w:panose1 w:val="00000000000000000000"/>
    <w:charset w:val="00"/>
    <w:family w:val="auto"/>
    <w:notTrueType/>
    <w:pitch w:val="default"/>
    <w:sig w:usb0="00000003" w:usb1="00000000" w:usb2="00000000" w:usb3="00000000" w:csb0="00000001" w:csb1="00000000"/>
  </w:font>
  <w:font w:name="*Times New Roman-Italic-7618-Id">
    <w:altName w:val="Calibri"/>
    <w:panose1 w:val="00000000000000000000"/>
    <w:charset w:val="00"/>
    <w:family w:val="auto"/>
    <w:notTrueType/>
    <w:pitch w:val="default"/>
    <w:sig w:usb0="00000003" w:usb1="00000000" w:usb2="00000000" w:usb3="00000000" w:csb0="00000001" w:csb1="00000000"/>
  </w:font>
  <w:font w:name="*Arial-Italic-7622-Identity-H">
    <w:altName w:val="Calibri"/>
    <w:panose1 w:val="00000000000000000000"/>
    <w:charset w:val="00"/>
    <w:family w:val="auto"/>
    <w:notTrueType/>
    <w:pitch w:val="default"/>
    <w:sig w:usb0="00000003" w:usb1="00000000" w:usb2="00000000" w:usb3="00000000" w:csb0="00000001" w:csb1="00000000"/>
  </w:font>
  <w:font w:name="*Arial-7620-Identity-H">
    <w:altName w:val="Calibri"/>
    <w:panose1 w:val="00000000000000000000"/>
    <w:charset w:val="00"/>
    <w:family w:val="auto"/>
    <w:notTrueType/>
    <w:pitch w:val="default"/>
    <w:sig w:usb0="00000003" w:usb1="00000000" w:usb2="00000000" w:usb3="00000000" w:csb0="00000001" w:csb1="00000000"/>
  </w:font>
  <w:font w:name="*Arial-6343-Identity-H">
    <w:altName w:val="Calibri"/>
    <w:panose1 w:val="00000000000000000000"/>
    <w:charset w:val="00"/>
    <w:family w:val="auto"/>
    <w:notTrueType/>
    <w:pitch w:val="default"/>
    <w:sig w:usb0="00000003" w:usb1="00000000" w:usb2="00000000" w:usb3="00000000" w:csb0="00000001" w:csb1="00000000"/>
  </w:font>
  <w:font w:name="*Arial-Italic-6344-Identity-H">
    <w:altName w:val="Calibri"/>
    <w:panose1 w:val="00000000000000000000"/>
    <w:charset w:val="00"/>
    <w:family w:val="auto"/>
    <w:notTrueType/>
    <w:pitch w:val="default"/>
    <w:sig w:usb0="00000003" w:usb1="00000000" w:usb2="00000000" w:usb3="00000000" w:csb0="00000001" w:csb1="00000000"/>
  </w:font>
  <w:font w:name="*Arial-4406-Identity-H">
    <w:altName w:val="Calibri"/>
    <w:panose1 w:val="00000000000000000000"/>
    <w:charset w:val="00"/>
    <w:family w:val="auto"/>
    <w:notTrueType/>
    <w:pitch w:val="default"/>
    <w:sig w:usb0="00000003" w:usb1="00000000" w:usb2="00000000" w:usb3="00000000" w:csb0="00000001" w:csb1="00000000"/>
  </w:font>
  <w:font w:name="*Arial-4404-Identity-H">
    <w:altName w:val="Calibri"/>
    <w:panose1 w:val="00000000000000000000"/>
    <w:charset w:val="00"/>
    <w:family w:val="auto"/>
    <w:notTrueType/>
    <w:pitch w:val="default"/>
    <w:sig w:usb0="00000003" w:usb1="00000000" w:usb2="00000000" w:usb3="00000000" w:csb0="00000001" w:csb1="00000000"/>
  </w:font>
  <w:font w:name="*Arial-Bold-4405-Identity-H">
    <w:altName w:val="Calibri"/>
    <w:panose1 w:val="00000000000000000000"/>
    <w:charset w:val="00"/>
    <w:family w:val="auto"/>
    <w:notTrueType/>
    <w:pitch w:val="default"/>
    <w:sig w:usb0="00000003" w:usb1="00000000" w:usb2="00000000" w:usb3="00000000" w:csb0="00000001" w:csb1="00000000"/>
  </w:font>
  <w:font w:name="*Arial-5879-Identity-H">
    <w:altName w:val="Calibri"/>
    <w:panose1 w:val="00000000000000000000"/>
    <w:charset w:val="00"/>
    <w:family w:val="auto"/>
    <w:notTrueType/>
    <w:pitch w:val="default"/>
    <w:sig w:usb0="00000003" w:usb1="00000000" w:usb2="00000000" w:usb3="00000000" w:csb0="00000001" w:csb1="00000000"/>
  </w:font>
  <w:font w:name="*Microsoft Sans Serif-5882-Iden">
    <w:altName w:val="Calibri"/>
    <w:panose1 w:val="00000000000000000000"/>
    <w:charset w:val="00"/>
    <w:family w:val="auto"/>
    <w:notTrueType/>
    <w:pitch w:val="default"/>
    <w:sig w:usb0="00000003" w:usb1="00000000" w:usb2="00000000" w:usb3="00000000" w:csb0="00000001" w:csb1="00000000"/>
  </w:font>
  <w:font w:name="*Arial-Italic-5880-Identity-H">
    <w:altName w:val="Calibri"/>
    <w:panose1 w:val="00000000000000000000"/>
    <w:charset w:val="00"/>
    <w:family w:val="auto"/>
    <w:notTrueType/>
    <w:pitch w:val="default"/>
    <w:sig w:usb0="00000003" w:usb1="00000000" w:usb2="00000000" w:usb3="00000000" w:csb0="00000001" w:csb1="00000000"/>
  </w:font>
  <w:font w:name="*Arial-5410-Identity-H">
    <w:altName w:val="Calibri"/>
    <w:panose1 w:val="00000000000000000000"/>
    <w:charset w:val="00"/>
    <w:family w:val="auto"/>
    <w:notTrueType/>
    <w:pitch w:val="default"/>
    <w:sig w:usb0="00000003" w:usb1="00000000" w:usb2="00000000" w:usb3="00000000" w:csb0="00000001" w:csb1="00000000"/>
  </w:font>
  <w:font w:name="*Arial-Bold-5411-Identity-H">
    <w:altName w:val="Calibri"/>
    <w:panose1 w:val="00000000000000000000"/>
    <w:charset w:val="00"/>
    <w:family w:val="auto"/>
    <w:notTrueType/>
    <w:pitch w:val="default"/>
    <w:sig w:usb0="00000003" w:usb1="00000000" w:usb2="00000000" w:usb3="00000000" w:csb0="00000001" w:csb1="00000000"/>
  </w:font>
  <w:font w:name="*Arial-6054-Identity-H">
    <w:altName w:val="Calibri"/>
    <w:panose1 w:val="00000000000000000000"/>
    <w:charset w:val="00"/>
    <w:family w:val="auto"/>
    <w:notTrueType/>
    <w:pitch w:val="default"/>
    <w:sig w:usb0="00000003" w:usb1="00000000" w:usb2="00000000" w:usb3="00000000" w:csb0="00000001" w:csb1="00000000"/>
  </w:font>
  <w:font w:name="*Arial-4805-Identity-H">
    <w:altName w:val="Calibri"/>
    <w:panose1 w:val="00000000000000000000"/>
    <w:charset w:val="00"/>
    <w:family w:val="auto"/>
    <w:notTrueType/>
    <w:pitch w:val="default"/>
    <w:sig w:usb0="00000003" w:usb1="00000000" w:usb2="00000000" w:usb3="00000000" w:csb0="00000001" w:csb1="00000000"/>
  </w:font>
  <w:font w:name="*Arial-Italic-6055-Identity-H">
    <w:altName w:val="Calibri"/>
    <w:panose1 w:val="00000000000000000000"/>
    <w:charset w:val="00"/>
    <w:family w:val="auto"/>
    <w:notTrueType/>
    <w:pitch w:val="default"/>
    <w:sig w:usb0="00000003" w:usb1="00000000" w:usb2="00000000" w:usb3="00000000" w:csb0="00000001" w:csb1="00000000"/>
  </w:font>
  <w:font w:name="*Microsoft Sans Serif-4807-Iden">
    <w:altName w:val="Calibri"/>
    <w:panose1 w:val="00000000000000000000"/>
    <w:charset w:val="00"/>
    <w:family w:val="auto"/>
    <w:notTrueType/>
    <w:pitch w:val="default"/>
    <w:sig w:usb0="00000003" w:usb1="00000000" w:usb2="00000000" w:usb3="00000000" w:csb0="00000001" w:csb1="00000000"/>
  </w:font>
  <w:font w:name="*Arial-5727-Identity-H">
    <w:altName w:val="Calibri"/>
    <w:panose1 w:val="00000000000000000000"/>
    <w:charset w:val="00"/>
    <w:family w:val="auto"/>
    <w:notTrueType/>
    <w:pitch w:val="default"/>
    <w:sig w:usb0="00000003" w:usb1="00000000" w:usb2="00000000" w:usb3="00000000" w:csb0="00000001" w:csb1="00000000"/>
  </w:font>
  <w:font w:name="*Arial-5725-Identity-H">
    <w:altName w:val="Calibri"/>
    <w:panose1 w:val="00000000000000000000"/>
    <w:charset w:val="00"/>
    <w:family w:val="auto"/>
    <w:notTrueType/>
    <w:pitch w:val="default"/>
    <w:sig w:usb0="00000003" w:usb1="00000000" w:usb2="00000000" w:usb3="00000000" w:csb0="00000001" w:csb1="00000000"/>
  </w:font>
  <w:font w:name="*Arial-Italic-5726-Identity-H">
    <w:altName w:val="Calibri"/>
    <w:panose1 w:val="00000000000000000000"/>
    <w:charset w:val="00"/>
    <w:family w:val="auto"/>
    <w:notTrueType/>
    <w:pitch w:val="default"/>
    <w:sig w:usb0="00000003" w:usb1="00000000" w:usb2="00000000" w:usb3="00000000" w:csb0="00000001" w:csb1="00000000"/>
  </w:font>
  <w:font w:name="*Arial-Bold-5078-Identity-H">
    <w:altName w:val="Calibri"/>
    <w:panose1 w:val="00000000000000000000"/>
    <w:charset w:val="00"/>
    <w:family w:val="auto"/>
    <w:notTrueType/>
    <w:pitch w:val="default"/>
    <w:sig w:usb0="00000003" w:usb1="00000000" w:usb2="00000000" w:usb3="00000000" w:csb0="00000001" w:csb1="00000000"/>
  </w:font>
  <w:font w:name="*Arial-6102-Identity-H">
    <w:altName w:val="Calibri"/>
    <w:panose1 w:val="00000000000000000000"/>
    <w:charset w:val="00"/>
    <w:family w:val="auto"/>
    <w:notTrueType/>
    <w:pitch w:val="default"/>
    <w:sig w:usb0="00000003" w:usb1="00000000" w:usb2="00000000" w:usb3="00000000" w:csb0="00000001" w:csb1="00000000"/>
  </w:font>
  <w:font w:name="*Arial-Bold-6104-Identity-H">
    <w:altName w:val="Calibri"/>
    <w:panose1 w:val="00000000000000000000"/>
    <w:charset w:val="00"/>
    <w:family w:val="auto"/>
    <w:notTrueType/>
    <w:pitch w:val="default"/>
    <w:sig w:usb0="00000003" w:usb1="00000000" w:usb2="00000000" w:usb3="00000000" w:csb0="00000001" w:csb1="00000000"/>
  </w:font>
  <w:font w:name="*Arial-Bold-6103-Identity-H">
    <w:altName w:val="Calibri"/>
    <w:panose1 w:val="00000000000000000000"/>
    <w:charset w:val="00"/>
    <w:family w:val="auto"/>
    <w:notTrueType/>
    <w:pitch w:val="default"/>
    <w:sig w:usb0="00000003" w:usb1="00000000" w:usb2="00000000" w:usb3="00000000" w:csb0="00000001" w:csb1="00000000"/>
  </w:font>
  <w:font w:name="*Arial-5122-Identity-H">
    <w:altName w:val="Calibri"/>
    <w:panose1 w:val="00000000000000000000"/>
    <w:charset w:val="00"/>
    <w:family w:val="auto"/>
    <w:notTrueType/>
    <w:pitch w:val="default"/>
    <w:sig w:usb0="00000003" w:usb1="00000000" w:usb2="00000000" w:usb3="00000000" w:csb0="00000001" w:csb1="00000000"/>
  </w:font>
  <w:font w:name="*Arial-Bold-5436-Identity-H">
    <w:altName w:val="Calibri"/>
    <w:panose1 w:val="00000000000000000000"/>
    <w:charset w:val="00"/>
    <w:family w:val="auto"/>
    <w:notTrueType/>
    <w:pitch w:val="default"/>
    <w:sig w:usb0="00000003" w:usb1="00000000" w:usb2="00000000" w:usb3="00000000" w:csb0="00000001" w:csb1="00000000"/>
  </w:font>
  <w:font w:name="*Arial-5434-Identity-H">
    <w:altName w:val="Calibri"/>
    <w:panose1 w:val="00000000000000000000"/>
    <w:charset w:val="00"/>
    <w:family w:val="auto"/>
    <w:notTrueType/>
    <w:pitch w:val="default"/>
    <w:sig w:usb0="00000003" w:usb1="00000000" w:usb2="00000000" w:usb3="00000000" w:csb0="00000001" w:csb1="00000000"/>
  </w:font>
  <w:font w:name="*Arial-5139-Identity-H">
    <w:altName w:val="Calibri"/>
    <w:panose1 w:val="00000000000000000000"/>
    <w:charset w:val="00"/>
    <w:family w:val="auto"/>
    <w:notTrueType/>
    <w:pitch w:val="default"/>
    <w:sig w:usb0="00000003" w:usb1="00000000" w:usb2="00000000" w:usb3="00000000" w:csb0="00000001" w:csb1="00000000"/>
  </w:font>
  <w:font w:name="*Arial-Bold-5141-Identity-H">
    <w:altName w:val="Calibri"/>
    <w:panose1 w:val="00000000000000000000"/>
    <w:charset w:val="00"/>
    <w:family w:val="auto"/>
    <w:notTrueType/>
    <w:pitch w:val="default"/>
    <w:sig w:usb0="00000003" w:usb1="00000000" w:usb2="00000000" w:usb3="00000000" w:csb0="00000001" w:csb1="00000000"/>
  </w:font>
  <w:font w:name="*Arial-Bold-5140-Identity-H">
    <w:altName w:val="Calibri"/>
    <w:panose1 w:val="00000000000000000000"/>
    <w:charset w:val="00"/>
    <w:family w:val="auto"/>
    <w:notTrueType/>
    <w:pitch w:val="default"/>
    <w:sig w:usb0="00000003" w:usb1="00000000" w:usb2="00000000" w:usb3="00000000" w:csb0="00000001" w:csb1="00000000"/>
  </w:font>
  <w:font w:name="*Arial-5241-Identity-H">
    <w:altName w:val="Calibri"/>
    <w:panose1 w:val="00000000000000000000"/>
    <w:charset w:val="00"/>
    <w:family w:val="auto"/>
    <w:notTrueType/>
    <w:pitch w:val="default"/>
    <w:sig w:usb0="00000003" w:usb1="00000000" w:usb2="00000000" w:usb3="00000000" w:csb0="00000001" w:csb1="00000000"/>
  </w:font>
  <w:font w:name="*Arial-5247-Identity-H">
    <w:altName w:val="Calibri"/>
    <w:panose1 w:val="00000000000000000000"/>
    <w:charset w:val="00"/>
    <w:family w:val="auto"/>
    <w:notTrueType/>
    <w:pitch w:val="default"/>
    <w:sig w:usb0="00000003" w:usb1="00000000" w:usb2="00000000" w:usb3="00000000" w:csb0="00000001" w:csb1="00000000"/>
  </w:font>
  <w:font w:name="*Arial-6269-Identity-H">
    <w:altName w:val="Calibri"/>
    <w:panose1 w:val="00000000000000000000"/>
    <w:charset w:val="00"/>
    <w:family w:val="auto"/>
    <w:notTrueType/>
    <w:pitch w:val="default"/>
    <w:sig w:usb0="00000003" w:usb1="00000000" w:usb2="00000000" w:usb3="00000000" w:csb0="00000001" w:csb1="00000000"/>
  </w:font>
  <w:font w:name="*Arial-6266-Identity-H">
    <w:altName w:val="Calibri"/>
    <w:panose1 w:val="00000000000000000000"/>
    <w:charset w:val="00"/>
    <w:family w:val="auto"/>
    <w:notTrueType/>
    <w:pitch w:val="default"/>
    <w:sig w:usb0="00000003" w:usb1="00000000" w:usb2="00000000" w:usb3="00000000" w:csb0="00000001" w:csb1="00000000"/>
  </w:font>
  <w:font w:name="*Arial-Bold-6268-Identity-H">
    <w:altName w:val="Calibri"/>
    <w:panose1 w:val="00000000000000000000"/>
    <w:charset w:val="00"/>
    <w:family w:val="auto"/>
    <w:notTrueType/>
    <w:pitch w:val="default"/>
    <w:sig w:usb0="00000003" w:usb1="00000000" w:usb2="00000000" w:usb3="00000000" w:csb0="00000001" w:csb1="00000000"/>
  </w:font>
  <w:font w:name="*Arial-Bold-6267-Identity-H">
    <w:altName w:val="Calibri"/>
    <w:panose1 w:val="00000000000000000000"/>
    <w:charset w:val="00"/>
    <w:family w:val="auto"/>
    <w:notTrueType/>
    <w:pitch w:val="default"/>
    <w:sig w:usb0="00000003" w:usb1="00000000" w:usb2="00000000" w:usb3="00000000" w:csb0="00000001" w:csb1="00000000"/>
  </w:font>
  <w:font w:name="*Arial-5829-Identity-H">
    <w:altName w:val="Calibri"/>
    <w:panose1 w:val="00000000000000000000"/>
    <w:charset w:val="00"/>
    <w:family w:val="auto"/>
    <w:notTrueType/>
    <w:pitch w:val="default"/>
    <w:sig w:usb0="00000003" w:usb1="00000000" w:usb2="00000000" w:usb3="00000000" w:csb0="00000001" w:csb1="00000000"/>
  </w:font>
  <w:font w:name="*Arial-5809-Identity-H">
    <w:altName w:val="Calibri"/>
    <w:panose1 w:val="00000000000000000000"/>
    <w:charset w:val="00"/>
    <w:family w:val="auto"/>
    <w:notTrueType/>
    <w:pitch w:val="default"/>
    <w:sig w:usb0="00000003" w:usb1="00000000" w:usb2="00000000" w:usb3="00000000" w:csb0="00000001" w:csb1="00000000"/>
  </w:font>
  <w:font w:name="*Arial-5808-Identity-H">
    <w:altName w:val="Calibri"/>
    <w:panose1 w:val="00000000000000000000"/>
    <w:charset w:val="00"/>
    <w:family w:val="auto"/>
    <w:notTrueType/>
    <w:pitch w:val="default"/>
    <w:sig w:usb0="00000003" w:usb1="00000000" w:usb2="00000000" w:usb3="00000000" w:csb0="00000001" w:csb1="00000000"/>
  </w:font>
  <w:font w:name="*Arial-7921-Identity-H">
    <w:altName w:val="Calibri"/>
    <w:panose1 w:val="00000000000000000000"/>
    <w:charset w:val="00"/>
    <w:family w:val="auto"/>
    <w:notTrueType/>
    <w:pitch w:val="default"/>
    <w:sig w:usb0="00000003" w:usb1="00000000" w:usb2="00000000" w:usb3="00000000" w:csb0="00000001" w:csb1="00000000"/>
  </w:font>
  <w:font w:name="*Times New Roman-Italic-7919-Id">
    <w:altName w:val="Calibri"/>
    <w:panose1 w:val="00000000000000000000"/>
    <w:charset w:val="00"/>
    <w:family w:val="auto"/>
    <w:notTrueType/>
    <w:pitch w:val="default"/>
    <w:sig w:usb0="00000003" w:usb1="00000000" w:usb2="00000000" w:usb3="00000000" w:csb0="00000001" w:csb1="00000000"/>
  </w:font>
  <w:font w:name="*Arial-Italic-7922-Identity-H">
    <w:altName w:val="Calibri"/>
    <w:panose1 w:val="00000000000000000000"/>
    <w:charset w:val="00"/>
    <w:family w:val="auto"/>
    <w:notTrueType/>
    <w:pitch w:val="default"/>
    <w:sig w:usb0="00000003" w:usb1="00000000" w:usb2="00000000" w:usb3="00000000" w:csb0="00000001" w:csb1="00000000"/>
  </w:font>
  <w:font w:name="*Arial-7920-Identity-H">
    <w:altName w:val="Calibri"/>
    <w:panose1 w:val="00000000000000000000"/>
    <w:charset w:val="00"/>
    <w:family w:val="auto"/>
    <w:notTrueType/>
    <w:pitch w:val="default"/>
    <w:sig w:usb0="00000003" w:usb1="00000000" w:usb2="00000000" w:usb3="00000000" w:csb0="00000001" w:csb1="00000000"/>
  </w:font>
  <w:font w:name="*Arial-6654-Identity-H">
    <w:altName w:val="Calibri"/>
    <w:panose1 w:val="00000000000000000000"/>
    <w:charset w:val="00"/>
    <w:family w:val="auto"/>
    <w:notTrueType/>
    <w:pitch w:val="default"/>
    <w:sig w:usb0="00000003" w:usb1="00000000" w:usb2="00000000" w:usb3="00000000" w:csb0="00000001" w:csb1="00000000"/>
  </w:font>
  <w:font w:name="*Arial-Italic-6655-Identity-H">
    <w:altName w:val="Calibri"/>
    <w:panose1 w:val="00000000000000000000"/>
    <w:charset w:val="00"/>
    <w:family w:val="auto"/>
    <w:notTrueType/>
    <w:pitch w:val="default"/>
    <w:sig w:usb0="00000003" w:usb1="00000000" w:usb2="00000000" w:usb3="00000000" w:csb0="00000001" w:csb1="00000000"/>
  </w:font>
  <w:font w:name="*Arial-4288-Identity-H">
    <w:altName w:val="Calibri"/>
    <w:panose1 w:val="00000000000000000000"/>
    <w:charset w:val="00"/>
    <w:family w:val="auto"/>
    <w:notTrueType/>
    <w:pitch w:val="default"/>
    <w:sig w:usb0="00000003" w:usb1="00000000" w:usb2="00000000" w:usb3="00000000" w:csb0="00000001" w:csb1="00000000"/>
  </w:font>
  <w:font w:name="*Arial-4286-Identity-H">
    <w:altName w:val="Calibri"/>
    <w:panose1 w:val="00000000000000000000"/>
    <w:charset w:val="00"/>
    <w:family w:val="auto"/>
    <w:notTrueType/>
    <w:pitch w:val="default"/>
    <w:sig w:usb0="00000003" w:usb1="00000000" w:usb2="00000000" w:usb3="00000000" w:csb0="00000001" w:csb1="00000000"/>
  </w:font>
  <w:font w:name="*Arial-Bold-4287-Identity-H">
    <w:altName w:val="Calibri"/>
    <w:panose1 w:val="00000000000000000000"/>
    <w:charset w:val="00"/>
    <w:family w:val="auto"/>
    <w:notTrueType/>
    <w:pitch w:val="default"/>
    <w:sig w:usb0="00000003" w:usb1="00000000" w:usb2="00000000" w:usb3="00000000" w:csb0="00000001" w:csb1="00000000"/>
  </w:font>
  <w:font w:name="*Microsoft Sans Serif-6346-Iden">
    <w:altName w:val="Calibri"/>
    <w:panose1 w:val="00000000000000000000"/>
    <w:charset w:val="00"/>
    <w:family w:val="auto"/>
    <w:notTrueType/>
    <w:pitch w:val="default"/>
    <w:sig w:usb0="00000003" w:usb1="00000000" w:usb2="00000000" w:usb3="00000000" w:csb0="00000001" w:csb1="00000000"/>
  </w:font>
  <w:font w:name="*Arial-Bold-4832-Identity-H">
    <w:altName w:val="Calibri"/>
    <w:panose1 w:val="00000000000000000000"/>
    <w:charset w:val="00"/>
    <w:family w:val="auto"/>
    <w:notTrueType/>
    <w:pitch w:val="default"/>
    <w:sig w:usb0="00000003" w:usb1="00000000" w:usb2="00000000" w:usb3="00000000" w:csb0="00000001" w:csb1="00000000"/>
  </w:font>
  <w:font w:name="*Arial-4831-Identity-H">
    <w:altName w:val="Calibri"/>
    <w:panose1 w:val="00000000000000000000"/>
    <w:charset w:val="00"/>
    <w:family w:val="auto"/>
    <w:notTrueType/>
    <w:pitch w:val="default"/>
    <w:sig w:usb0="00000003" w:usb1="00000000" w:usb2="00000000" w:usb3="00000000" w:csb0="00000001" w:csb1="00000000"/>
  </w:font>
  <w:font w:name="*Arial-5526-Identity-H">
    <w:altName w:val="Calibri"/>
    <w:panose1 w:val="00000000000000000000"/>
    <w:charset w:val="00"/>
    <w:family w:val="auto"/>
    <w:notTrueType/>
    <w:pitch w:val="default"/>
    <w:sig w:usb0="00000003" w:usb1="00000000" w:usb2="00000000" w:usb3="00000000" w:csb0="00000001" w:csb1="00000000"/>
  </w:font>
  <w:font w:name="*Arial-6972-Identity-H">
    <w:altName w:val="Calibri"/>
    <w:panose1 w:val="00000000000000000000"/>
    <w:charset w:val="00"/>
    <w:family w:val="auto"/>
    <w:notTrueType/>
    <w:pitch w:val="default"/>
    <w:sig w:usb0="00000003" w:usb1="00000000" w:usb2="00000000" w:usb3="00000000" w:csb0="00000001" w:csb1="00000000"/>
  </w:font>
  <w:font w:name="*Arial-Italic-6973-Identity-H">
    <w:altName w:val="Calibri"/>
    <w:panose1 w:val="00000000000000000000"/>
    <w:charset w:val="00"/>
    <w:family w:val="auto"/>
    <w:notTrueType/>
    <w:pitch w:val="default"/>
    <w:sig w:usb0="00000003" w:usb1="00000000" w:usb2="00000000" w:usb3="00000000" w:csb0="00000001" w:csb1="00000000"/>
  </w:font>
  <w:font w:name="*Microsoft Sans Serif-Italic-69">
    <w:altName w:val="Calibri"/>
    <w:panose1 w:val="00000000000000000000"/>
    <w:charset w:val="00"/>
    <w:family w:val="auto"/>
    <w:notTrueType/>
    <w:pitch w:val="default"/>
    <w:sig w:usb0="00000003" w:usb1="00000000" w:usb2="00000000" w:usb3="00000000" w:csb0="00000001" w:csb1="00000000"/>
  </w:font>
  <w:font w:name="*Calibri-5419-Identity-H">
    <w:altName w:val="Calibri"/>
    <w:panose1 w:val="00000000000000000000"/>
    <w:charset w:val="00"/>
    <w:family w:val="auto"/>
    <w:notTrueType/>
    <w:pitch w:val="default"/>
    <w:sig w:usb0="00000003" w:usb1="00000000" w:usb2="00000000" w:usb3="00000000" w:csb0="00000001" w:csb1="00000000"/>
  </w:font>
  <w:font w:name="*Arial-5420-Identity-H">
    <w:altName w:val="Calibri"/>
    <w:panose1 w:val="00000000000000000000"/>
    <w:charset w:val="00"/>
    <w:family w:val="auto"/>
    <w:notTrueType/>
    <w:pitch w:val="default"/>
    <w:sig w:usb0="00000003" w:usb1="00000000" w:usb2="00000000" w:usb3="00000000" w:csb0="00000001" w:csb1="00000000"/>
  </w:font>
  <w:font w:name="*Arial-5578-Identity-H">
    <w:altName w:val="Calibri"/>
    <w:panose1 w:val="00000000000000000000"/>
    <w:charset w:val="00"/>
    <w:family w:val="auto"/>
    <w:notTrueType/>
    <w:pitch w:val="default"/>
    <w:sig w:usb0="00000003" w:usb1="00000000" w:usb2="00000000" w:usb3="00000000" w:csb0="00000001" w:csb1="00000000"/>
  </w:font>
  <w:font w:name="*Arial-Italic-5579-Identity-H">
    <w:altName w:val="Calibri"/>
    <w:panose1 w:val="00000000000000000000"/>
    <w:charset w:val="00"/>
    <w:family w:val="auto"/>
    <w:notTrueType/>
    <w:pitch w:val="default"/>
    <w:sig w:usb0="00000003" w:usb1="00000000" w:usb2="00000000" w:usb3="00000000" w:csb0="00000001" w:csb1="00000000"/>
  </w:font>
  <w:font w:name="*Arial-4954-Identity-H">
    <w:altName w:val="Calibri"/>
    <w:panose1 w:val="00000000000000000000"/>
    <w:charset w:val="00"/>
    <w:family w:val="auto"/>
    <w:notTrueType/>
    <w:pitch w:val="default"/>
    <w:sig w:usb0="00000003" w:usb1="00000000" w:usb2="00000000" w:usb3="00000000" w:csb0="00000001" w:csb1="00000000"/>
  </w:font>
  <w:font w:name="*Arial-Bold-4955-Identity-H">
    <w:altName w:val="Calibri"/>
    <w:panose1 w:val="00000000000000000000"/>
    <w:charset w:val="00"/>
    <w:family w:val="auto"/>
    <w:notTrueType/>
    <w:pitch w:val="default"/>
    <w:sig w:usb0="00000003" w:usb1="00000000" w:usb2="00000000" w:usb3="00000000" w:csb0="00000001" w:csb1="00000000"/>
  </w:font>
  <w:font w:name="*Arial-5992-Identity-H">
    <w:altName w:val="Calibri"/>
    <w:panose1 w:val="00000000000000000000"/>
    <w:charset w:val="00"/>
    <w:family w:val="auto"/>
    <w:notTrueType/>
    <w:pitch w:val="default"/>
    <w:sig w:usb0="00000003" w:usb1="00000000" w:usb2="00000000" w:usb3="00000000" w:csb0="00000001" w:csb1="00000000"/>
  </w:font>
  <w:font w:name="*Arial-5990-Identity-H">
    <w:altName w:val="Calibri"/>
    <w:panose1 w:val="00000000000000000000"/>
    <w:charset w:val="00"/>
    <w:family w:val="auto"/>
    <w:notTrueType/>
    <w:pitch w:val="default"/>
    <w:sig w:usb0="00000003" w:usb1="00000000" w:usb2="00000000" w:usb3="00000000" w:csb0="00000001" w:csb1="00000000"/>
  </w:font>
  <w:font w:name="*Arial-Bold-5991-Identity-H">
    <w:altName w:val="Calibri"/>
    <w:panose1 w:val="00000000000000000000"/>
    <w:charset w:val="00"/>
    <w:family w:val="auto"/>
    <w:notTrueType/>
    <w:pitch w:val="default"/>
    <w:sig w:usb0="00000003" w:usb1="00000000" w:usb2="00000000" w:usb3="00000000" w:csb0="00000001" w:csb1="00000000"/>
  </w:font>
  <w:font w:name="*Arial-5218-Identity-H">
    <w:altName w:val="Calibri"/>
    <w:panose1 w:val="00000000000000000000"/>
    <w:charset w:val="00"/>
    <w:family w:val="auto"/>
    <w:notTrueType/>
    <w:pitch w:val="default"/>
    <w:sig w:usb0="00000003" w:usb1="00000000" w:usb2="00000000" w:usb3="00000000" w:csb0="00000001" w:csb1="00000000"/>
  </w:font>
  <w:font w:name="*Arial-Bold-5465-Identity-H">
    <w:altName w:val="Calibri"/>
    <w:panose1 w:val="00000000000000000000"/>
    <w:charset w:val="00"/>
    <w:family w:val="auto"/>
    <w:notTrueType/>
    <w:pitch w:val="default"/>
    <w:sig w:usb0="00000003" w:usb1="00000000" w:usb2="00000000" w:usb3="00000000" w:csb0="00000001" w:csb1="00000000"/>
  </w:font>
  <w:font w:name="*Arial-5463-Identity-H">
    <w:altName w:val="Calibri"/>
    <w:panose1 w:val="00000000000000000000"/>
    <w:charset w:val="00"/>
    <w:family w:val="auto"/>
    <w:notTrueType/>
    <w:pitch w:val="default"/>
    <w:sig w:usb0="00000003" w:usb1="00000000" w:usb2="00000000" w:usb3="00000000" w:csb0="00000001" w:csb1="00000000"/>
  </w:font>
  <w:font w:name="*Arial-Bold-5464-Identity-H">
    <w:altName w:val="Calibri"/>
    <w:panose1 w:val="00000000000000000000"/>
    <w:charset w:val="00"/>
    <w:family w:val="auto"/>
    <w:notTrueType/>
    <w:pitch w:val="default"/>
    <w:sig w:usb0="00000003" w:usb1="00000000" w:usb2="00000000" w:usb3="00000000" w:csb0="00000001" w:csb1="00000000"/>
  </w:font>
  <w:font w:name="*Microsoft Sans Serif-Bold-5466">
    <w:altName w:val="Calibri"/>
    <w:panose1 w:val="00000000000000000000"/>
    <w:charset w:val="00"/>
    <w:family w:val="auto"/>
    <w:notTrueType/>
    <w:pitch w:val="default"/>
    <w:sig w:usb0="00000003" w:usb1="00000000" w:usb2="00000000" w:usb3="00000000" w:csb0="00000001" w:csb1="00000000"/>
  </w:font>
  <w:font w:name="*Arial-5275-Identity-H">
    <w:altName w:val="Calibri"/>
    <w:panose1 w:val="00000000000000000000"/>
    <w:charset w:val="00"/>
    <w:family w:val="auto"/>
    <w:notTrueType/>
    <w:pitch w:val="default"/>
    <w:sig w:usb0="00000003" w:usb1="00000000" w:usb2="00000000" w:usb3="00000000" w:csb0="00000001" w:csb1="00000000"/>
  </w:font>
  <w:font w:name="*Microsoft Sans Serif-Bold-5277">
    <w:altName w:val="Calibri"/>
    <w:panose1 w:val="00000000000000000000"/>
    <w:charset w:val="00"/>
    <w:family w:val="auto"/>
    <w:notTrueType/>
    <w:pitch w:val="default"/>
    <w:sig w:usb0="00000003" w:usb1="00000000" w:usb2="00000000" w:usb3="00000000" w:csb0="00000001" w:csb1="00000000"/>
  </w:font>
  <w:font w:name="*Arial-Bold-5276-Identity-H">
    <w:altName w:val="Calibri"/>
    <w:panose1 w:val="00000000000000000000"/>
    <w:charset w:val="00"/>
    <w:family w:val="auto"/>
    <w:notTrueType/>
    <w:pitch w:val="default"/>
    <w:sig w:usb0="00000003" w:usb1="00000000" w:usb2="00000000" w:usb3="00000000" w:csb0="00000001" w:csb1="00000000"/>
  </w:font>
  <w:font w:name="*Microsoft Sans Serif-5100-Iden">
    <w:altName w:val="Calibri"/>
    <w:panose1 w:val="00000000000000000000"/>
    <w:charset w:val="00"/>
    <w:family w:val="auto"/>
    <w:notTrueType/>
    <w:pitch w:val="default"/>
    <w:sig w:usb0="00000003" w:usb1="00000000" w:usb2="00000000" w:usb3="00000000" w:csb0="00000001" w:csb1="00000000"/>
  </w:font>
  <w:font w:name="*Arial-5099-Identity-H">
    <w:altName w:val="Calibri"/>
    <w:panose1 w:val="00000000000000000000"/>
    <w:charset w:val="00"/>
    <w:family w:val="auto"/>
    <w:notTrueType/>
    <w:pitch w:val="default"/>
    <w:sig w:usb0="00000003" w:usb1="00000000" w:usb2="00000000" w:usb3="00000000" w:csb0="00000001" w:csb1="00000000"/>
  </w:font>
  <w:font w:name="*Microsoft Sans Serif-5420-Iden">
    <w:altName w:val="Calibri"/>
    <w:panose1 w:val="00000000000000000000"/>
    <w:charset w:val="00"/>
    <w:family w:val="auto"/>
    <w:notTrueType/>
    <w:pitch w:val="default"/>
    <w:sig w:usb0="00000003" w:usb1="00000000" w:usb2="00000000" w:usb3="00000000" w:csb0="00000001" w:csb1="00000000"/>
  </w:font>
  <w:font w:name="*Arial-5419-Identity-H">
    <w:altName w:val="Calibri"/>
    <w:panose1 w:val="00000000000000000000"/>
    <w:charset w:val="00"/>
    <w:family w:val="auto"/>
    <w:notTrueType/>
    <w:pitch w:val="default"/>
    <w:sig w:usb0="00000003" w:usb1="00000000" w:usb2="00000000" w:usb3="00000000" w:csb0="00000001" w:csb1="00000000"/>
  </w:font>
  <w:font w:name="*Minion Pro-6172-Identity-H">
    <w:altName w:val="Calibri"/>
    <w:panose1 w:val="00000000000000000000"/>
    <w:charset w:val="00"/>
    <w:family w:val="auto"/>
    <w:notTrueType/>
    <w:pitch w:val="default"/>
    <w:sig w:usb0="00000003" w:usb1="00000000" w:usb2="00000000" w:usb3="00000000" w:csb0="00000001" w:csb1="00000000"/>
  </w:font>
  <w:font w:name="*Arial-Bold-6170-Identity-H">
    <w:altName w:val="Calibri"/>
    <w:panose1 w:val="00000000000000000000"/>
    <w:charset w:val="00"/>
    <w:family w:val="auto"/>
    <w:notTrueType/>
    <w:pitch w:val="default"/>
    <w:sig w:usb0="00000003" w:usb1="00000000" w:usb2="00000000" w:usb3="00000000" w:csb0="00000001" w:csb1="00000000"/>
  </w:font>
  <w:font w:name="*Microsoft Sans Serif-6171-Iden">
    <w:altName w:val="Calibri"/>
    <w:panose1 w:val="00000000000000000000"/>
    <w:charset w:val="00"/>
    <w:family w:val="auto"/>
    <w:notTrueType/>
    <w:pitch w:val="default"/>
    <w:sig w:usb0="00000003" w:usb1="00000000" w:usb2="00000000" w:usb3="00000000" w:csb0="00000001" w:csb1="00000000"/>
  </w:font>
  <w:font w:name="*Arial-6169-Identity-H">
    <w:altName w:val="Calibri"/>
    <w:panose1 w:val="00000000000000000000"/>
    <w:charset w:val="00"/>
    <w:family w:val="auto"/>
    <w:notTrueType/>
    <w:pitch w:val="default"/>
    <w:sig w:usb0="00000003" w:usb1="00000000" w:usb2="00000000" w:usb3="00000000" w:csb0="00000001" w:csb1="00000000"/>
  </w:font>
  <w:font w:name="*Arial-5671-Identity-H">
    <w:altName w:val="Calibri"/>
    <w:panose1 w:val="00000000000000000000"/>
    <w:charset w:val="00"/>
    <w:family w:val="auto"/>
    <w:notTrueType/>
    <w:pitch w:val="default"/>
    <w:sig w:usb0="00000003" w:usb1="00000000" w:usb2="00000000" w:usb3="00000000" w:csb0="00000001" w:csb1="00000000"/>
  </w:font>
  <w:font w:name="*Calibri-5717-Identity-H">
    <w:altName w:val="Calibri"/>
    <w:panose1 w:val="00000000000000000000"/>
    <w:charset w:val="00"/>
    <w:family w:val="auto"/>
    <w:notTrueType/>
    <w:pitch w:val="default"/>
    <w:sig w:usb0="00000003" w:usb1="00000000" w:usb2="00000000" w:usb3="00000000" w:csb0="00000001" w:csb1="00000000"/>
  </w:font>
  <w:font w:name="*Arial-5718-Identity-H">
    <w:altName w:val="Calibri"/>
    <w:panose1 w:val="00000000000000000000"/>
    <w:charset w:val="00"/>
    <w:family w:val="auto"/>
    <w:notTrueType/>
    <w:pitch w:val="default"/>
    <w:sig w:usb0="00000003" w:usb1="00000000" w:usb2="00000000" w:usb3="00000000" w:csb0="00000001" w:csb1="00000000"/>
  </w:font>
  <w:font w:name="*Arial-8049-Identity-H">
    <w:altName w:val="Calibri"/>
    <w:panose1 w:val="00000000000000000000"/>
    <w:charset w:val="00"/>
    <w:family w:val="auto"/>
    <w:notTrueType/>
    <w:pitch w:val="default"/>
    <w:sig w:usb0="00000003" w:usb1="00000000" w:usb2="00000000" w:usb3="00000000" w:csb0="00000001" w:csb1="00000000"/>
  </w:font>
  <w:font w:name="*Times New Roman-Italic-8040-Id">
    <w:altName w:val="Calibri"/>
    <w:panose1 w:val="00000000000000000000"/>
    <w:charset w:val="00"/>
    <w:family w:val="auto"/>
    <w:notTrueType/>
    <w:pitch w:val="default"/>
    <w:sig w:usb0="00000003" w:usb1="00000000" w:usb2="00000000" w:usb3="00000000" w:csb0="00000001" w:csb1="00000000"/>
  </w:font>
  <w:font w:name="*Arial-Italic-8050-Identity-H">
    <w:altName w:val="Calibri"/>
    <w:panose1 w:val="00000000000000000000"/>
    <w:charset w:val="00"/>
    <w:family w:val="auto"/>
    <w:notTrueType/>
    <w:pitch w:val="default"/>
    <w:sig w:usb0="00000003" w:usb1="00000000" w:usb2="00000000" w:usb3="00000000" w:csb0="00000001" w:csb1="00000000"/>
  </w:font>
  <w:font w:name="*Arial-5559-Identity-H">
    <w:altName w:val="Calibri"/>
    <w:panose1 w:val="00000000000000000000"/>
    <w:charset w:val="00"/>
    <w:family w:val="auto"/>
    <w:notTrueType/>
    <w:pitch w:val="default"/>
    <w:sig w:usb0="00000003" w:usb1="00000000" w:usb2="00000000" w:usb3="00000000" w:csb0="00000001" w:csb1="00000000"/>
  </w:font>
  <w:font w:name="*Arial-5557-Identity-H">
    <w:altName w:val="Calibri"/>
    <w:panose1 w:val="00000000000000000000"/>
    <w:charset w:val="00"/>
    <w:family w:val="auto"/>
    <w:notTrueType/>
    <w:pitch w:val="default"/>
    <w:sig w:usb0="00000003" w:usb1="00000000" w:usb2="00000000" w:usb3="00000000" w:csb0="00000001" w:csb1="00000000"/>
  </w:font>
  <w:font w:name="*Arial-Italic-5558-Identity-H">
    <w:altName w:val="Calibri"/>
    <w:panose1 w:val="00000000000000000000"/>
    <w:charset w:val="00"/>
    <w:family w:val="auto"/>
    <w:notTrueType/>
    <w:pitch w:val="default"/>
    <w:sig w:usb0="00000003" w:usb1="00000000" w:usb2="00000000" w:usb3="00000000" w:csb0="00000001" w:csb1="00000000"/>
  </w:font>
  <w:font w:name="*Arial-4448-Identity-H">
    <w:altName w:val="Calibri"/>
    <w:panose1 w:val="00000000000000000000"/>
    <w:charset w:val="00"/>
    <w:family w:val="auto"/>
    <w:notTrueType/>
    <w:pitch w:val="default"/>
    <w:sig w:usb0="00000003" w:usb1="00000000" w:usb2="00000000" w:usb3="00000000" w:csb0="00000001" w:csb1="00000000"/>
  </w:font>
  <w:font w:name="*Arial-Bold-4449-Identity-H">
    <w:altName w:val="Calibri"/>
    <w:panose1 w:val="00000000000000000000"/>
    <w:charset w:val="00"/>
    <w:family w:val="auto"/>
    <w:notTrueType/>
    <w:pitch w:val="default"/>
    <w:sig w:usb0="00000003" w:usb1="00000000" w:usb2="00000000" w:usb3="00000000" w:csb0="00000001" w:csb1="00000000"/>
  </w:font>
  <w:font w:name="*Arial-5871-Identity-H">
    <w:altName w:val="Calibri"/>
    <w:panose1 w:val="00000000000000000000"/>
    <w:charset w:val="00"/>
    <w:family w:val="auto"/>
    <w:notTrueType/>
    <w:pitch w:val="default"/>
    <w:sig w:usb0="00000003" w:usb1="00000000" w:usb2="00000000" w:usb3="00000000" w:csb0="00000001" w:csb1="00000000"/>
  </w:font>
  <w:font w:name="*Microsoft Sans Serif-5874-Iden">
    <w:altName w:val="Calibri"/>
    <w:panose1 w:val="00000000000000000000"/>
    <w:charset w:val="00"/>
    <w:family w:val="auto"/>
    <w:notTrueType/>
    <w:pitch w:val="default"/>
    <w:sig w:usb0="00000003" w:usb1="00000000" w:usb2="00000000" w:usb3="00000000" w:csb0="00000001" w:csb1="00000000"/>
  </w:font>
  <w:font w:name="*Arial-Italic-5872-Identity-H">
    <w:altName w:val="Calibri"/>
    <w:panose1 w:val="00000000000000000000"/>
    <w:charset w:val="00"/>
    <w:family w:val="auto"/>
    <w:notTrueType/>
    <w:pitch w:val="default"/>
    <w:sig w:usb0="00000003" w:usb1="00000000" w:usb2="00000000" w:usb3="00000000" w:csb0="00000001" w:csb1="00000000"/>
  </w:font>
  <w:font w:name="*Calibri-4969-Identity-H">
    <w:altName w:val="Calibri"/>
    <w:panose1 w:val="00000000000000000000"/>
    <w:charset w:val="00"/>
    <w:family w:val="auto"/>
    <w:notTrueType/>
    <w:pitch w:val="default"/>
    <w:sig w:usb0="00000003" w:usb1="00000000" w:usb2="00000000" w:usb3="00000000" w:csb0="00000001" w:csb1="00000000"/>
  </w:font>
  <w:font w:name="*Arial-Bold-4971-Identity-H">
    <w:altName w:val="Calibri"/>
    <w:panose1 w:val="00000000000000000000"/>
    <w:charset w:val="00"/>
    <w:family w:val="auto"/>
    <w:notTrueType/>
    <w:pitch w:val="default"/>
    <w:sig w:usb0="00000003" w:usb1="00000000" w:usb2="00000000" w:usb3="00000000" w:csb0="00000001" w:csb1="00000000"/>
  </w:font>
  <w:font w:name="*Arial-4970-Identity-H">
    <w:altName w:val="Calibri"/>
    <w:panose1 w:val="00000000000000000000"/>
    <w:charset w:val="00"/>
    <w:family w:val="auto"/>
    <w:notTrueType/>
    <w:pitch w:val="default"/>
    <w:sig w:usb0="00000003" w:usb1="00000000" w:usb2="00000000" w:usb3="00000000" w:csb0="00000001" w:csb1="00000000"/>
  </w:font>
  <w:font w:name="*Arial-5239-Identity-H">
    <w:altName w:val="Calibri"/>
    <w:panose1 w:val="00000000000000000000"/>
    <w:charset w:val="00"/>
    <w:family w:val="auto"/>
    <w:notTrueType/>
    <w:pitch w:val="default"/>
    <w:sig w:usb0="00000003" w:usb1="00000000" w:usb2="00000000" w:usb3="00000000" w:csb0="00000001" w:csb1="00000000"/>
  </w:font>
  <w:font w:name="*Arial-5238-Identity-H">
    <w:altName w:val="Calibri"/>
    <w:panose1 w:val="00000000000000000000"/>
    <w:charset w:val="00"/>
    <w:family w:val="auto"/>
    <w:notTrueType/>
    <w:pitch w:val="default"/>
    <w:sig w:usb0="00000003" w:usb1="00000000" w:usb2="00000000" w:usb3="00000000" w:csb0="00000001" w:csb1="00000000"/>
  </w:font>
  <w:font w:name="*Arial-5454-Identity-H">
    <w:altName w:val="Calibri"/>
    <w:panose1 w:val="00000000000000000000"/>
    <w:charset w:val="00"/>
    <w:family w:val="auto"/>
    <w:notTrueType/>
    <w:pitch w:val="default"/>
    <w:sig w:usb0="00000003" w:usb1="00000000" w:usb2="00000000" w:usb3="00000000" w:csb0="00000001" w:csb1="00000000"/>
  </w:font>
  <w:font w:name="*Arial-4683-Identity-H">
    <w:altName w:val="Calibri"/>
    <w:panose1 w:val="00000000000000000000"/>
    <w:charset w:val="00"/>
    <w:family w:val="auto"/>
    <w:notTrueType/>
    <w:pitch w:val="default"/>
    <w:sig w:usb0="00000003" w:usb1="00000000" w:usb2="00000000" w:usb3="00000000" w:csb0="00000001" w:csb1="00000000"/>
  </w:font>
  <w:font w:name="*Arial-Bold-4684-Identity-H">
    <w:altName w:val="Calibri"/>
    <w:panose1 w:val="00000000000000000000"/>
    <w:charset w:val="00"/>
    <w:family w:val="auto"/>
    <w:notTrueType/>
    <w:pitch w:val="default"/>
    <w:sig w:usb0="00000003" w:usb1="00000000" w:usb2="00000000" w:usb3="00000000" w:csb0="00000001" w:csb1="00000000"/>
  </w:font>
  <w:font w:name="*Arial-5724-Identity-H">
    <w:altName w:val="Calibri"/>
    <w:panose1 w:val="00000000000000000000"/>
    <w:charset w:val="00"/>
    <w:family w:val="auto"/>
    <w:notTrueType/>
    <w:pitch w:val="default"/>
    <w:sig w:usb0="00000003" w:usb1="00000000" w:usb2="00000000" w:usb3="00000000" w:csb0="00000001" w:csb1="00000000"/>
  </w:font>
  <w:font w:name="*Arial-4045-Identity-H">
    <w:altName w:val="Calibri"/>
    <w:panose1 w:val="00000000000000000000"/>
    <w:charset w:val="00"/>
    <w:family w:val="auto"/>
    <w:notTrueType/>
    <w:pitch w:val="default"/>
    <w:sig w:usb0="00000003" w:usb1="00000000" w:usb2="00000000" w:usb3="00000000" w:csb0="00000001" w:csb1="00000000"/>
  </w:font>
  <w:font w:name="*Arial-Bold-4046-Identity-H">
    <w:altName w:val="Calibri"/>
    <w:panose1 w:val="00000000000000000000"/>
    <w:charset w:val="00"/>
    <w:family w:val="auto"/>
    <w:notTrueType/>
    <w:pitch w:val="default"/>
    <w:sig w:usb0="00000003" w:usb1="00000000" w:usb2="00000000" w:usb3="00000000" w:csb0="00000001" w:csb1="00000000"/>
  </w:font>
  <w:font w:name="*Arial-3788-Identity-H">
    <w:altName w:val="Calibri"/>
    <w:panose1 w:val="00000000000000000000"/>
    <w:charset w:val="00"/>
    <w:family w:val="auto"/>
    <w:notTrueType/>
    <w:pitch w:val="default"/>
    <w:sig w:usb0="00000003" w:usb1="00000000" w:usb2="00000000" w:usb3="00000000" w:csb0="00000001"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608CCC16BE48ACB753AD3BCC13F4BB"/>
      </w:placeholder>
      <w:temporary/>
      <w:showingPlcHdr/>
      <w15:appearance w15:val="hidden"/>
    </w:sdtPr>
    <w:sdtEnd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77EDCDD2">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2"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n9S+g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C5A51" w14:textId="41E21089" w:rsidR="007D2245" w:rsidRPr="002A15D3" w:rsidRDefault="007D2245" w:rsidP="00C46148">
    <w:pPr>
      <w:widowControl w:val="0"/>
      <w:autoSpaceDE w:val="0"/>
      <w:autoSpaceDN w:val="0"/>
      <w:adjustRightInd w:val="0"/>
      <w:ind w:left="-284" w:right="5436"/>
      <w:jc w:val="both"/>
      <w:rPr>
        <w:rFonts w:ascii="Maiandra GD" w:hAnsi="Maiandra GD"/>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Pr>
        <w:rFonts w:ascii="Abadi" w:hAnsi="Abadi"/>
        <w:sz w:val="12"/>
        <w:szCs w:val="12"/>
      </w:rPr>
      <w:t xml:space="preserve"> </w:t>
    </w:r>
    <w:r w:rsidRPr="002A15D3">
      <w:rPr>
        <w:rFonts w:ascii="Abadi" w:hAnsi="Abadi"/>
        <w:sz w:val="12"/>
        <w:szCs w:val="12"/>
      </w:rPr>
      <w:t xml:space="preserve">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 </w:t>
    </w:r>
  </w:p>
  <w:p w14:paraId="2C53A501" w14:textId="0226794A" w:rsidR="009E4F11" w:rsidRDefault="009E4F11" w:rsidP="007D2245">
    <w:pPr>
      <w:pStyle w:val="Piedepgina"/>
      <w:ind w:right="333"/>
    </w:pPr>
    <w:r>
      <w:rPr>
        <w:noProof/>
      </w:rPr>
      <mc:AlternateContent>
        <mc:Choice Requires="wpg">
          <w:drawing>
            <wp:anchor distT="0" distB="0" distL="114300" distR="114300" simplePos="0" relativeHeight="251658246" behindDoc="0" locked="0" layoutInCell="1" allowOverlap="1" wp14:anchorId="1907B10D" wp14:editId="1A875CBE">
              <wp:simplePos x="0" y="0"/>
              <wp:positionH relativeFrom="page">
                <wp:align>right</wp:align>
              </wp:positionH>
              <wp:positionV relativeFrom="bottomMargin">
                <wp:align>center</wp:align>
              </wp:positionV>
              <wp:extent cx="6172200" cy="282575"/>
              <wp:effectExtent l="0" t="0" r="0" b="3175"/>
              <wp:wrapNone/>
              <wp:docPr id="164" name="Grupo 164"/>
              <wp:cNvGraphicFramePr/>
              <a:graphic xmlns:a="http://schemas.openxmlformats.org/drawingml/2006/main">
                <a:graphicData uri="http://schemas.microsoft.com/office/word/2010/wordprocessingGroup">
                  <wpg:wgp>
                    <wpg:cNvGrpSpPr/>
                    <wpg:grpSpPr>
                      <a:xfrm>
                        <a:off x="0" y="0"/>
                        <a:ext cx="6172200" cy="282575"/>
                        <a:chOff x="0" y="0"/>
                        <a:chExt cx="6172200" cy="282575"/>
                      </a:xfrm>
                    </wpg:grpSpPr>
                    <wps:wsp>
                      <wps:cNvPr id="165" name="Rectángulo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Cuadro de texto 166"/>
                      <wps:cNvSpPr txBox="1"/>
                      <wps:spPr>
                        <a:xfrm>
                          <a:off x="0" y="9525"/>
                          <a:ext cx="59436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DD58E" w14:textId="78693992" w:rsidR="009E4F11" w:rsidRDefault="009E4F11">
                            <w:pPr>
                              <w:pStyle w:val="Piedepgina"/>
                              <w:jc w:val="right"/>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1907B10D" id="Grupo 164" o:spid="_x0000_s1034" style="position:absolute;margin-left:434.8pt;margin-top:0;width:486pt;height:22.25pt;z-index:251658246;mso-position-horizontal:right;mso-position-horizontal-relative:page;mso-position-vertical:center;mso-position-vertical-relative:bottom-margin-area" coordsize="61722,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">
              <v:rect id="Rectángulo 165" o:spid="_x0000_s1035"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Cuadro de texto 166" o:spid="_x0000_s1036" type="#_x0000_t202" style="position:absolute;top:95;width:5943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" filled="f" stroked="f" strokeweight=".5pt">
                <v:textbox style="mso-fit-shape-to-text:t" inset="0,,0">
                  <w:txbxContent>
                    <w:p w14:paraId="1FEDD58E" w14:textId="78693992" w:rsidR="009E4F11" w:rsidRDefault="009E4F11">
                      <w:pPr>
                        <w:pStyle w:val="Piedepgina"/>
                        <w:jc w:val="right"/>
                      </w:pPr>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BD2C04" w14:textId="77777777" w:rsidR="004023A6" w:rsidRDefault="004023A6">
      <w:r>
        <w:separator/>
      </w:r>
    </w:p>
  </w:footnote>
  <w:footnote w:type="continuationSeparator" w:id="0">
    <w:p w14:paraId="75D0CDBD" w14:textId="77777777" w:rsidR="004023A6" w:rsidRDefault="004023A6">
      <w:r>
        <w:continuationSeparator/>
      </w:r>
    </w:p>
  </w:footnote>
  <w:footnote w:type="continuationNotice" w:id="1">
    <w:p w14:paraId="37FF9F83" w14:textId="77777777" w:rsidR="004023A6" w:rsidRDefault="004023A6"/>
  </w:footnote>
  <w:footnote w:id="2">
    <w:p w14:paraId="6BE9EC30" w14:textId="26A2EEFF" w:rsidR="00454854" w:rsidRPr="006E3093" w:rsidRDefault="00454854">
      <w:pPr>
        <w:pStyle w:val="Textonotapie"/>
        <w:rPr>
          <w:rFonts w:ascii="Abadi" w:hAnsi="Abadi"/>
          <w:sz w:val="14"/>
          <w:szCs w:val="14"/>
        </w:rPr>
      </w:pPr>
      <w:r>
        <w:rPr>
          <w:rStyle w:val="Refdenotaalpie"/>
        </w:rPr>
        <w:footnoteRef/>
      </w:r>
      <w:r>
        <w:t xml:space="preserve"> </w:t>
      </w:r>
      <w:r w:rsidRPr="006E3093">
        <w:rPr>
          <w:rFonts w:ascii="Abadi" w:hAnsi="Abadi"/>
          <w:sz w:val="14"/>
          <w:szCs w:val="14"/>
        </w:rPr>
        <w:t>https://congresogto.s3.amazonaws.com/uploads/orden_archivo/archivo/24843/02_Acta_nu_mero_28_sesio_n_ordinaria_del_5_mayo_2022.pdf</w:t>
      </w:r>
    </w:p>
  </w:footnote>
  <w:footnote w:id="3">
    <w:p w14:paraId="56A85F2A" w14:textId="55191924" w:rsidR="00AD1010" w:rsidRPr="00AD1010" w:rsidRDefault="00AD1010">
      <w:pPr>
        <w:pStyle w:val="Textonotapie"/>
        <w:rPr>
          <w:rFonts w:ascii="Abadi" w:hAnsi="Abadi"/>
          <w:sz w:val="14"/>
          <w:szCs w:val="14"/>
        </w:rPr>
      </w:pPr>
      <w:r>
        <w:rPr>
          <w:rStyle w:val="Refdenotaalpie"/>
        </w:rPr>
        <w:footnoteRef/>
      </w:r>
      <w:r>
        <w:t xml:space="preserve"> </w:t>
      </w:r>
      <w:r w:rsidRPr="00AD1010">
        <w:rPr>
          <w:rFonts w:ascii="Abadi" w:hAnsi="Abadi"/>
          <w:sz w:val="14"/>
          <w:szCs w:val="14"/>
        </w:rPr>
        <w:t>https://congresogto.s3.amazonaws.com/uploads/orden_archivo/archivo/24844/03_Extracto_12_mayo_2022.pdf</w:t>
      </w:r>
    </w:p>
  </w:footnote>
  <w:footnote w:id="4">
    <w:p w14:paraId="2F1ED2B7" w14:textId="623021E4" w:rsidR="003A3660" w:rsidRPr="003A3660" w:rsidRDefault="003A3660">
      <w:pPr>
        <w:pStyle w:val="Textonotapie"/>
        <w:rPr>
          <w:rFonts w:ascii="Abadi" w:hAnsi="Abadi"/>
          <w:sz w:val="12"/>
          <w:szCs w:val="12"/>
        </w:rPr>
      </w:pPr>
      <w:r w:rsidRPr="003A3660">
        <w:rPr>
          <w:rStyle w:val="Refdenotaalpie"/>
          <w:rFonts w:ascii="Abadi" w:hAnsi="Abadi"/>
          <w:sz w:val="12"/>
          <w:szCs w:val="12"/>
        </w:rPr>
        <w:footnoteRef/>
      </w:r>
      <w:r w:rsidRPr="003A3660">
        <w:rPr>
          <w:rFonts w:ascii="Abadi" w:hAnsi="Abadi"/>
          <w:sz w:val="12"/>
          <w:szCs w:val="12"/>
        </w:rPr>
        <w:t xml:space="preserve"> </w:t>
      </w:r>
    </w:p>
  </w:footnote>
  <w:footnote w:id="5">
    <w:p w14:paraId="193E4E72" w14:textId="10F308C4" w:rsidR="00106724" w:rsidRPr="00106724" w:rsidRDefault="00106724">
      <w:pPr>
        <w:pStyle w:val="Textonotapie"/>
        <w:rPr>
          <w:rFonts w:ascii="Abadi" w:hAnsi="Abadi"/>
          <w:sz w:val="12"/>
          <w:szCs w:val="12"/>
        </w:rPr>
      </w:pPr>
      <w:r w:rsidRPr="00106724">
        <w:rPr>
          <w:rStyle w:val="Refdenotaalpie"/>
          <w:rFonts w:ascii="Abadi" w:hAnsi="Abadi"/>
          <w:sz w:val="12"/>
          <w:szCs w:val="12"/>
        </w:rPr>
        <w:footnoteRef/>
      </w:r>
      <w:r w:rsidRPr="00106724">
        <w:rPr>
          <w:rFonts w:ascii="Abadi" w:hAnsi="Abadi"/>
          <w:sz w:val="12"/>
          <w:szCs w:val="12"/>
        </w:rPr>
        <w:t xml:space="preserve"> https://www.bancomundial.org/es/topic/food-security</w:t>
      </w:r>
    </w:p>
  </w:footnote>
  <w:footnote w:id="6">
    <w:p w14:paraId="0D8CC206" w14:textId="07C3B078" w:rsidR="00106724" w:rsidRPr="00106724" w:rsidRDefault="00106724" w:rsidP="00106724">
      <w:pPr>
        <w:pStyle w:val="Textoindependiente"/>
        <w:kinsoku w:val="0"/>
        <w:overflowPunct w:val="0"/>
        <w:rPr>
          <w:rFonts w:ascii="Abadi" w:hAnsi="Abadi"/>
          <w:sz w:val="12"/>
          <w:szCs w:val="12"/>
        </w:rPr>
      </w:pPr>
      <w:r w:rsidRPr="00106724">
        <w:rPr>
          <w:rStyle w:val="Refdenotaalpie"/>
          <w:rFonts w:ascii="Abadi" w:hAnsi="Abadi"/>
          <w:sz w:val="12"/>
          <w:szCs w:val="12"/>
        </w:rPr>
        <w:footnoteRef/>
      </w:r>
      <w:r w:rsidRPr="00106724">
        <w:rPr>
          <w:rFonts w:ascii="Abadi" w:hAnsi="Abadi"/>
          <w:sz w:val="12"/>
          <w:szCs w:val="12"/>
        </w:rPr>
        <w:t xml:space="preserve"> </w:t>
      </w:r>
      <w:r w:rsidRPr="00106724">
        <w:rPr>
          <w:rFonts w:ascii="Abadi" w:hAnsi="Abadi"/>
          <w:spacing w:val="37"/>
          <w:sz w:val="12"/>
          <w:szCs w:val="12"/>
        </w:rPr>
        <w:t xml:space="preserve"> </w:t>
      </w:r>
      <w:r w:rsidRPr="00106724">
        <w:rPr>
          <w:rFonts w:ascii="Abadi" w:hAnsi="Abadi"/>
          <w:sz w:val="12"/>
          <w:szCs w:val="12"/>
        </w:rPr>
        <w:t>También</w:t>
      </w:r>
      <w:r w:rsidRPr="00106724">
        <w:rPr>
          <w:rFonts w:ascii="Abadi" w:hAnsi="Abadi"/>
          <w:spacing w:val="36"/>
          <w:sz w:val="12"/>
          <w:szCs w:val="12"/>
        </w:rPr>
        <w:t xml:space="preserve"> </w:t>
      </w:r>
      <w:r w:rsidRPr="00106724">
        <w:rPr>
          <w:rFonts w:ascii="Abadi" w:hAnsi="Abadi"/>
          <w:sz w:val="12"/>
          <w:szCs w:val="12"/>
        </w:rPr>
        <w:t>puede</w:t>
      </w:r>
      <w:r w:rsidRPr="00106724">
        <w:rPr>
          <w:rFonts w:ascii="Abadi" w:hAnsi="Abadi"/>
          <w:spacing w:val="34"/>
          <w:sz w:val="12"/>
          <w:szCs w:val="12"/>
        </w:rPr>
        <w:t xml:space="preserve"> </w:t>
      </w:r>
      <w:r w:rsidRPr="00106724">
        <w:rPr>
          <w:rFonts w:ascii="Abadi" w:hAnsi="Abadi"/>
          <w:sz w:val="12"/>
          <w:szCs w:val="12"/>
        </w:rPr>
        <w:t>ser</w:t>
      </w:r>
      <w:r w:rsidRPr="00106724">
        <w:rPr>
          <w:rFonts w:ascii="Abadi" w:hAnsi="Abadi"/>
          <w:spacing w:val="34"/>
          <w:sz w:val="12"/>
          <w:szCs w:val="12"/>
        </w:rPr>
        <w:t xml:space="preserve"> </w:t>
      </w:r>
      <w:r w:rsidRPr="00106724">
        <w:rPr>
          <w:rFonts w:ascii="Abadi" w:hAnsi="Abadi"/>
          <w:sz w:val="12"/>
          <w:szCs w:val="12"/>
        </w:rPr>
        <w:t>definida</w:t>
      </w:r>
      <w:r w:rsidRPr="00106724">
        <w:rPr>
          <w:rFonts w:ascii="Abadi" w:hAnsi="Abadi"/>
          <w:spacing w:val="35"/>
          <w:sz w:val="12"/>
          <w:szCs w:val="12"/>
        </w:rPr>
        <w:t xml:space="preserve"> </w:t>
      </w:r>
      <w:r w:rsidRPr="00106724">
        <w:rPr>
          <w:rFonts w:ascii="Abadi" w:hAnsi="Abadi"/>
          <w:sz w:val="12"/>
          <w:szCs w:val="12"/>
        </w:rPr>
        <w:t>como</w:t>
      </w:r>
      <w:r w:rsidRPr="00106724">
        <w:rPr>
          <w:rFonts w:ascii="Abadi" w:hAnsi="Abadi"/>
          <w:spacing w:val="35"/>
          <w:sz w:val="12"/>
          <w:szCs w:val="12"/>
        </w:rPr>
        <w:t xml:space="preserve"> </w:t>
      </w:r>
      <w:r w:rsidRPr="00106724">
        <w:rPr>
          <w:rFonts w:ascii="Abadi" w:hAnsi="Abadi"/>
          <w:sz w:val="12"/>
          <w:szCs w:val="12"/>
        </w:rPr>
        <w:t>sigue:</w:t>
      </w:r>
      <w:r w:rsidRPr="00106724">
        <w:rPr>
          <w:rFonts w:ascii="Abadi" w:hAnsi="Abadi"/>
          <w:spacing w:val="35"/>
          <w:sz w:val="12"/>
          <w:szCs w:val="12"/>
        </w:rPr>
        <w:t xml:space="preserve"> </w:t>
      </w:r>
      <w:r w:rsidRPr="00106724">
        <w:rPr>
          <w:rFonts w:ascii="Abadi" w:hAnsi="Abadi"/>
          <w:sz w:val="12"/>
          <w:szCs w:val="12"/>
        </w:rPr>
        <w:t>“Un</w:t>
      </w:r>
      <w:r w:rsidRPr="00106724">
        <w:rPr>
          <w:rFonts w:ascii="Abadi" w:hAnsi="Abadi"/>
          <w:spacing w:val="34"/>
          <w:sz w:val="12"/>
          <w:szCs w:val="12"/>
        </w:rPr>
        <w:t xml:space="preserve"> </w:t>
      </w:r>
      <w:r w:rsidRPr="00106724">
        <w:rPr>
          <w:rFonts w:ascii="Abadi" w:hAnsi="Abadi"/>
          <w:sz w:val="12"/>
          <w:szCs w:val="12"/>
        </w:rPr>
        <w:t>hogar</w:t>
      </w:r>
      <w:r w:rsidRPr="00106724">
        <w:rPr>
          <w:rFonts w:ascii="Abadi" w:hAnsi="Abadi"/>
          <w:spacing w:val="34"/>
          <w:sz w:val="12"/>
          <w:szCs w:val="12"/>
        </w:rPr>
        <w:t xml:space="preserve"> </w:t>
      </w:r>
      <w:r w:rsidRPr="00106724">
        <w:rPr>
          <w:rFonts w:ascii="Abadi" w:hAnsi="Abadi"/>
          <w:sz w:val="12"/>
          <w:szCs w:val="12"/>
        </w:rPr>
        <w:t>tiene</w:t>
      </w:r>
      <w:r w:rsidRPr="00106724">
        <w:rPr>
          <w:rFonts w:ascii="Abadi" w:hAnsi="Abadi"/>
          <w:spacing w:val="34"/>
          <w:sz w:val="12"/>
          <w:szCs w:val="12"/>
        </w:rPr>
        <w:t xml:space="preserve"> </w:t>
      </w:r>
      <w:r w:rsidRPr="00106724">
        <w:rPr>
          <w:rFonts w:ascii="Abadi" w:hAnsi="Abadi"/>
          <w:sz w:val="12"/>
          <w:szCs w:val="12"/>
        </w:rPr>
        <w:t>seguridad</w:t>
      </w:r>
      <w:r w:rsidRPr="00106724">
        <w:rPr>
          <w:rFonts w:ascii="Abadi" w:hAnsi="Abadi"/>
          <w:spacing w:val="38"/>
          <w:sz w:val="12"/>
          <w:szCs w:val="12"/>
        </w:rPr>
        <w:t xml:space="preserve"> </w:t>
      </w:r>
      <w:r w:rsidRPr="00106724">
        <w:rPr>
          <w:rFonts w:ascii="Abadi" w:hAnsi="Abadi"/>
          <w:sz w:val="12"/>
          <w:szCs w:val="12"/>
        </w:rPr>
        <w:t>alimentaria</w:t>
      </w:r>
      <w:r w:rsidRPr="00106724">
        <w:rPr>
          <w:rFonts w:ascii="Abadi" w:hAnsi="Abadi"/>
          <w:spacing w:val="34"/>
          <w:sz w:val="12"/>
          <w:szCs w:val="12"/>
        </w:rPr>
        <w:t xml:space="preserve"> </w:t>
      </w:r>
      <w:r w:rsidRPr="00106724">
        <w:rPr>
          <w:rFonts w:ascii="Abadi" w:hAnsi="Abadi"/>
          <w:sz w:val="12"/>
          <w:szCs w:val="12"/>
        </w:rPr>
        <w:t>cuando</w:t>
      </w:r>
      <w:r w:rsidRPr="00106724">
        <w:rPr>
          <w:rFonts w:ascii="Abadi" w:hAnsi="Abadi"/>
          <w:spacing w:val="36"/>
          <w:sz w:val="12"/>
          <w:szCs w:val="12"/>
        </w:rPr>
        <w:t xml:space="preserve"> </w:t>
      </w:r>
      <w:r w:rsidRPr="00106724">
        <w:rPr>
          <w:rFonts w:ascii="Abadi" w:hAnsi="Abadi"/>
          <w:sz w:val="12"/>
          <w:szCs w:val="12"/>
        </w:rPr>
        <w:t>tiene</w:t>
      </w:r>
    </w:p>
    <w:p w14:paraId="6BFC086A" w14:textId="77777777" w:rsidR="00106724" w:rsidRPr="00106724" w:rsidRDefault="00106724" w:rsidP="00106724">
      <w:pPr>
        <w:pStyle w:val="Textoindependiente"/>
        <w:kinsoku w:val="0"/>
        <w:overflowPunct w:val="0"/>
        <w:ind w:right="142"/>
        <w:rPr>
          <w:rFonts w:ascii="Abadi" w:hAnsi="Abadi"/>
          <w:sz w:val="12"/>
          <w:szCs w:val="12"/>
        </w:rPr>
      </w:pPr>
      <w:r w:rsidRPr="00106724">
        <w:rPr>
          <w:rFonts w:ascii="Abadi" w:hAnsi="Abadi"/>
          <w:sz w:val="12"/>
          <w:szCs w:val="12"/>
        </w:rPr>
        <w:t>acceso a la</w:t>
      </w:r>
      <w:r w:rsidRPr="00106724">
        <w:rPr>
          <w:rFonts w:ascii="Abadi" w:hAnsi="Abadi"/>
          <w:spacing w:val="-1"/>
          <w:sz w:val="12"/>
          <w:szCs w:val="12"/>
        </w:rPr>
        <w:t xml:space="preserve"> </w:t>
      </w:r>
      <w:r w:rsidRPr="00106724">
        <w:rPr>
          <w:rFonts w:ascii="Abadi" w:hAnsi="Abadi"/>
          <w:sz w:val="12"/>
          <w:szCs w:val="12"/>
        </w:rPr>
        <w:t>alimentación requerida para</w:t>
      </w:r>
      <w:r w:rsidRPr="00106724">
        <w:rPr>
          <w:rFonts w:ascii="Abadi" w:hAnsi="Abadi"/>
          <w:spacing w:val="-1"/>
          <w:sz w:val="12"/>
          <w:szCs w:val="12"/>
        </w:rPr>
        <w:t xml:space="preserve"> </w:t>
      </w:r>
      <w:r w:rsidRPr="00106724">
        <w:rPr>
          <w:rFonts w:ascii="Abadi" w:hAnsi="Abadi"/>
          <w:sz w:val="12"/>
          <w:szCs w:val="12"/>
        </w:rPr>
        <w:t>una</w:t>
      </w:r>
      <w:r w:rsidRPr="00106724">
        <w:rPr>
          <w:rFonts w:ascii="Abadi" w:hAnsi="Abadi"/>
          <w:spacing w:val="-1"/>
          <w:sz w:val="12"/>
          <w:szCs w:val="12"/>
        </w:rPr>
        <w:t xml:space="preserve"> </w:t>
      </w:r>
      <w:r w:rsidRPr="00106724">
        <w:rPr>
          <w:rFonts w:ascii="Abadi" w:hAnsi="Abadi"/>
          <w:sz w:val="12"/>
          <w:szCs w:val="12"/>
        </w:rPr>
        <w:t>vida saludable para</w:t>
      </w:r>
      <w:r w:rsidRPr="00106724">
        <w:rPr>
          <w:rFonts w:ascii="Abadi" w:hAnsi="Abadi"/>
          <w:spacing w:val="-1"/>
          <w:sz w:val="12"/>
          <w:szCs w:val="12"/>
        </w:rPr>
        <w:t xml:space="preserve"> </w:t>
      </w:r>
      <w:r w:rsidRPr="00106724">
        <w:rPr>
          <w:rFonts w:ascii="Abadi" w:hAnsi="Abadi"/>
          <w:sz w:val="12"/>
          <w:szCs w:val="12"/>
        </w:rPr>
        <w:t>todos sus</w:t>
      </w:r>
      <w:r>
        <w:t xml:space="preserve"> </w:t>
      </w:r>
      <w:r w:rsidRPr="00106724">
        <w:rPr>
          <w:rFonts w:ascii="Abadi" w:hAnsi="Abadi"/>
          <w:sz w:val="12"/>
          <w:szCs w:val="12"/>
        </w:rPr>
        <w:t>miembros (adecuada en términos</w:t>
      </w:r>
      <w:r w:rsidRPr="00106724">
        <w:rPr>
          <w:rFonts w:ascii="Abadi" w:hAnsi="Abadi"/>
          <w:spacing w:val="31"/>
          <w:sz w:val="12"/>
          <w:szCs w:val="12"/>
        </w:rPr>
        <w:t xml:space="preserve"> </w:t>
      </w:r>
      <w:r w:rsidRPr="00106724">
        <w:rPr>
          <w:rFonts w:ascii="Abadi" w:hAnsi="Abadi"/>
          <w:sz w:val="12"/>
          <w:szCs w:val="12"/>
        </w:rPr>
        <w:t>de</w:t>
      </w:r>
      <w:r w:rsidRPr="00106724">
        <w:rPr>
          <w:rFonts w:ascii="Abadi" w:hAnsi="Abadi"/>
          <w:spacing w:val="32"/>
          <w:sz w:val="12"/>
          <w:szCs w:val="12"/>
        </w:rPr>
        <w:t xml:space="preserve"> </w:t>
      </w:r>
      <w:r w:rsidRPr="00106724">
        <w:rPr>
          <w:rFonts w:ascii="Abadi" w:hAnsi="Abadi"/>
          <w:sz w:val="12"/>
          <w:szCs w:val="12"/>
        </w:rPr>
        <w:t>calidad,</w:t>
      </w:r>
      <w:r w:rsidRPr="00106724">
        <w:rPr>
          <w:rFonts w:ascii="Abadi" w:hAnsi="Abadi"/>
          <w:spacing w:val="35"/>
          <w:sz w:val="12"/>
          <w:szCs w:val="12"/>
        </w:rPr>
        <w:t xml:space="preserve"> </w:t>
      </w:r>
      <w:r w:rsidRPr="00106724">
        <w:rPr>
          <w:rFonts w:ascii="Abadi" w:hAnsi="Abadi"/>
          <w:sz w:val="12"/>
          <w:szCs w:val="12"/>
        </w:rPr>
        <w:t>cantidad</w:t>
      </w:r>
      <w:r w:rsidRPr="00106724">
        <w:rPr>
          <w:rFonts w:ascii="Abadi" w:hAnsi="Abadi"/>
          <w:spacing w:val="32"/>
          <w:sz w:val="12"/>
          <w:szCs w:val="12"/>
        </w:rPr>
        <w:t xml:space="preserve"> </w:t>
      </w:r>
      <w:r w:rsidRPr="00106724">
        <w:rPr>
          <w:rFonts w:ascii="Abadi" w:hAnsi="Abadi"/>
          <w:sz w:val="12"/>
          <w:szCs w:val="12"/>
        </w:rPr>
        <w:t>y</w:t>
      </w:r>
      <w:r w:rsidRPr="00106724">
        <w:rPr>
          <w:rFonts w:ascii="Abadi" w:hAnsi="Abadi"/>
          <w:spacing w:val="31"/>
          <w:sz w:val="12"/>
          <w:szCs w:val="12"/>
        </w:rPr>
        <w:t xml:space="preserve"> </w:t>
      </w:r>
      <w:r w:rsidRPr="00106724">
        <w:rPr>
          <w:rFonts w:ascii="Abadi" w:hAnsi="Abadi"/>
          <w:sz w:val="12"/>
          <w:szCs w:val="12"/>
        </w:rPr>
        <w:t>aceptable</w:t>
      </w:r>
      <w:r w:rsidRPr="00106724">
        <w:rPr>
          <w:rFonts w:ascii="Abadi" w:hAnsi="Abadi"/>
          <w:spacing w:val="34"/>
          <w:sz w:val="12"/>
          <w:szCs w:val="12"/>
        </w:rPr>
        <w:t xml:space="preserve"> </w:t>
      </w:r>
      <w:r w:rsidRPr="00106724">
        <w:rPr>
          <w:rFonts w:ascii="Abadi" w:hAnsi="Abadi"/>
          <w:sz w:val="12"/>
          <w:szCs w:val="12"/>
        </w:rPr>
        <w:t>culturalmente)</w:t>
      </w:r>
      <w:r w:rsidRPr="00106724">
        <w:rPr>
          <w:rFonts w:ascii="Abadi" w:hAnsi="Abadi"/>
          <w:spacing w:val="31"/>
          <w:sz w:val="12"/>
          <w:szCs w:val="12"/>
        </w:rPr>
        <w:t xml:space="preserve"> </w:t>
      </w:r>
      <w:r w:rsidRPr="00106724">
        <w:rPr>
          <w:rFonts w:ascii="Abadi" w:hAnsi="Abadi"/>
          <w:sz w:val="12"/>
          <w:szCs w:val="12"/>
        </w:rPr>
        <w:t>y</w:t>
      </w:r>
      <w:r w:rsidRPr="00106724">
        <w:rPr>
          <w:rFonts w:ascii="Abadi" w:hAnsi="Abadi"/>
          <w:spacing w:val="34"/>
          <w:sz w:val="12"/>
          <w:szCs w:val="12"/>
        </w:rPr>
        <w:t xml:space="preserve"> </w:t>
      </w:r>
      <w:r w:rsidRPr="00106724">
        <w:rPr>
          <w:rFonts w:ascii="Abadi" w:hAnsi="Abadi"/>
          <w:sz w:val="12"/>
          <w:szCs w:val="12"/>
        </w:rPr>
        <w:t>cuando</w:t>
      </w:r>
      <w:r w:rsidRPr="00106724">
        <w:rPr>
          <w:rFonts w:ascii="Abadi" w:hAnsi="Abadi"/>
          <w:spacing w:val="34"/>
          <w:sz w:val="12"/>
          <w:szCs w:val="12"/>
        </w:rPr>
        <w:t xml:space="preserve"> </w:t>
      </w:r>
      <w:r w:rsidRPr="00106724">
        <w:rPr>
          <w:rFonts w:ascii="Abadi" w:hAnsi="Abadi"/>
          <w:sz w:val="12"/>
          <w:szCs w:val="12"/>
        </w:rPr>
        <w:t>no</w:t>
      </w:r>
      <w:r w:rsidRPr="00106724">
        <w:rPr>
          <w:rFonts w:ascii="Abadi" w:hAnsi="Abadi"/>
          <w:spacing w:val="31"/>
          <w:sz w:val="12"/>
          <w:szCs w:val="12"/>
        </w:rPr>
        <w:t xml:space="preserve"> </w:t>
      </w:r>
      <w:r w:rsidRPr="00106724">
        <w:rPr>
          <w:rFonts w:ascii="Abadi" w:hAnsi="Abadi"/>
          <w:sz w:val="12"/>
          <w:szCs w:val="12"/>
        </w:rPr>
        <w:t>está</w:t>
      </w:r>
      <w:r w:rsidRPr="00106724">
        <w:rPr>
          <w:rFonts w:ascii="Abadi" w:hAnsi="Abadi"/>
          <w:spacing w:val="30"/>
          <w:sz w:val="12"/>
          <w:szCs w:val="12"/>
        </w:rPr>
        <w:t xml:space="preserve"> </w:t>
      </w:r>
      <w:r w:rsidRPr="00106724">
        <w:rPr>
          <w:rFonts w:ascii="Abadi" w:hAnsi="Abadi"/>
          <w:sz w:val="12"/>
          <w:szCs w:val="12"/>
        </w:rPr>
        <w:t>en</w:t>
      </w:r>
      <w:r w:rsidRPr="00106724">
        <w:rPr>
          <w:rFonts w:ascii="Abadi" w:hAnsi="Abadi"/>
          <w:spacing w:val="34"/>
          <w:sz w:val="12"/>
          <w:szCs w:val="12"/>
        </w:rPr>
        <w:t xml:space="preserve"> </w:t>
      </w:r>
      <w:r w:rsidRPr="00106724">
        <w:rPr>
          <w:rFonts w:ascii="Abadi" w:hAnsi="Abadi"/>
          <w:sz w:val="12"/>
          <w:szCs w:val="12"/>
        </w:rPr>
        <w:t>riesgo</w:t>
      </w:r>
      <w:r w:rsidRPr="00106724">
        <w:rPr>
          <w:rFonts w:ascii="Abadi" w:hAnsi="Abadi"/>
          <w:spacing w:val="32"/>
          <w:sz w:val="12"/>
          <w:szCs w:val="12"/>
        </w:rPr>
        <w:t xml:space="preserve"> </w:t>
      </w:r>
      <w:r w:rsidRPr="00106724">
        <w:rPr>
          <w:rFonts w:ascii="Abadi" w:hAnsi="Abadi"/>
          <w:sz w:val="12"/>
          <w:szCs w:val="12"/>
        </w:rPr>
        <w:t>de</w:t>
      </w:r>
      <w:r w:rsidRPr="00106724">
        <w:rPr>
          <w:rFonts w:ascii="Abadi" w:hAnsi="Abadi"/>
          <w:spacing w:val="30"/>
          <w:sz w:val="12"/>
          <w:szCs w:val="12"/>
        </w:rPr>
        <w:t xml:space="preserve"> </w:t>
      </w:r>
      <w:r w:rsidRPr="00106724">
        <w:rPr>
          <w:rFonts w:ascii="Abadi" w:hAnsi="Abadi"/>
          <w:sz w:val="12"/>
          <w:szCs w:val="12"/>
        </w:rPr>
        <w:t>perder</w:t>
      </w:r>
    </w:p>
    <w:p w14:paraId="3EDBB91A" w14:textId="77777777" w:rsidR="00106724" w:rsidRPr="00106724" w:rsidRDefault="00106724" w:rsidP="00106724">
      <w:pPr>
        <w:pStyle w:val="Textoindependiente"/>
        <w:kinsoku w:val="0"/>
        <w:overflowPunct w:val="0"/>
        <w:rPr>
          <w:rFonts w:ascii="Abadi" w:hAnsi="Abadi"/>
          <w:sz w:val="12"/>
          <w:szCs w:val="12"/>
        </w:rPr>
      </w:pPr>
      <w:r w:rsidRPr="00106724">
        <w:rPr>
          <w:rFonts w:ascii="Abadi" w:hAnsi="Abadi"/>
          <w:sz w:val="12"/>
          <w:szCs w:val="12"/>
        </w:rPr>
        <w:t>dicho acceso”. Cfr. Coneval.org.mx</w:t>
      </w:r>
    </w:p>
    <w:p w14:paraId="588BDEA0" w14:textId="0E58F82F" w:rsidR="00106724" w:rsidRPr="00106724" w:rsidRDefault="00106724">
      <w:pPr>
        <w:pStyle w:val="Textonotapie"/>
        <w:rPr>
          <w:rFonts w:ascii="Abadi" w:hAnsi="Abadi"/>
          <w:sz w:val="12"/>
          <w:szCs w:val="12"/>
        </w:rPr>
      </w:pPr>
    </w:p>
  </w:footnote>
  <w:footnote w:id="7">
    <w:p w14:paraId="53D65948" w14:textId="70DDD308" w:rsidR="00106724" w:rsidRPr="00106724" w:rsidRDefault="00106724">
      <w:pPr>
        <w:pStyle w:val="Textonotapie"/>
        <w:rPr>
          <w:rFonts w:ascii="Abadi" w:hAnsi="Abadi"/>
          <w:sz w:val="12"/>
          <w:szCs w:val="12"/>
        </w:rPr>
      </w:pPr>
      <w:r w:rsidRPr="00106724">
        <w:rPr>
          <w:rStyle w:val="Refdenotaalpie"/>
          <w:rFonts w:ascii="Abadi" w:hAnsi="Abadi"/>
          <w:sz w:val="12"/>
          <w:szCs w:val="12"/>
        </w:rPr>
        <w:footnoteRef/>
      </w:r>
      <w:r w:rsidRPr="00106724">
        <w:rPr>
          <w:rFonts w:ascii="Abadi" w:hAnsi="Abadi"/>
          <w:sz w:val="12"/>
          <w:szCs w:val="12"/>
        </w:rPr>
        <w:t xml:space="preserve"> https://www.fao.org/3/at772s/at772s.pdf</w:t>
      </w:r>
    </w:p>
  </w:footnote>
  <w:footnote w:id="8">
    <w:p w14:paraId="4C33B4BE" w14:textId="77777777" w:rsidR="00106724" w:rsidRPr="00106724" w:rsidRDefault="00106724" w:rsidP="00106724">
      <w:pPr>
        <w:autoSpaceDE w:val="0"/>
        <w:autoSpaceDN w:val="0"/>
        <w:adjustRightInd w:val="0"/>
        <w:rPr>
          <w:rFonts w:ascii="Abadi" w:hAnsi="Abadi"/>
          <w:sz w:val="12"/>
          <w:szCs w:val="12"/>
          <w:lang w:val="es-MX" w:eastAsia="es-MX"/>
        </w:rPr>
      </w:pPr>
      <w:r w:rsidRPr="00106724">
        <w:rPr>
          <w:rStyle w:val="Refdenotaalpie"/>
          <w:rFonts w:ascii="Abadi" w:hAnsi="Abadi"/>
          <w:sz w:val="12"/>
          <w:szCs w:val="12"/>
        </w:rPr>
        <w:footnoteRef/>
      </w:r>
      <w:r w:rsidRPr="00106724">
        <w:rPr>
          <w:rFonts w:ascii="Abadi" w:hAnsi="Abadi"/>
          <w:sz w:val="12"/>
          <w:szCs w:val="12"/>
        </w:rPr>
        <w:t xml:space="preserve"> </w:t>
      </w:r>
      <w:r w:rsidRPr="00106724">
        <w:rPr>
          <w:rFonts w:ascii="Abadi" w:hAnsi="Abadi"/>
          <w:sz w:val="12"/>
          <w:szCs w:val="12"/>
          <w:lang w:val="es-MX" w:eastAsia="es-MX"/>
        </w:rPr>
        <w:t>Cfr. Dimensiones de la seguridad alimentaria : Evaluación Estratégica de Nutrición y Abasto.</w:t>
      </w:r>
    </w:p>
    <w:p w14:paraId="76A9BA02" w14:textId="77777777" w:rsidR="00106724" w:rsidRPr="00106724" w:rsidRDefault="00106724" w:rsidP="00106724">
      <w:pPr>
        <w:autoSpaceDE w:val="0"/>
        <w:autoSpaceDN w:val="0"/>
        <w:adjustRightInd w:val="0"/>
        <w:rPr>
          <w:rFonts w:ascii="Abadi" w:hAnsi="Abadi"/>
          <w:sz w:val="12"/>
          <w:szCs w:val="12"/>
          <w:lang w:val="es-MX" w:eastAsia="es-MX"/>
        </w:rPr>
      </w:pPr>
      <w:r w:rsidRPr="00106724">
        <w:rPr>
          <w:rFonts w:ascii="Abadi" w:hAnsi="Abadi"/>
          <w:sz w:val="12"/>
          <w:szCs w:val="12"/>
          <w:lang w:val="es-MX" w:eastAsia="es-MX"/>
        </w:rPr>
        <w:t>Pp.10-15. Véase dimensiones_seguridad_alimentaria_final_web.pdf (coneval.org.mx) Consultado</w:t>
      </w:r>
    </w:p>
    <w:p w14:paraId="62D737CF" w14:textId="6851C886" w:rsidR="00106724" w:rsidRPr="00106724" w:rsidRDefault="00106724" w:rsidP="00106724">
      <w:pPr>
        <w:pStyle w:val="Textonotapie"/>
        <w:rPr>
          <w:rFonts w:ascii="Abadi" w:hAnsi="Abadi"/>
          <w:sz w:val="12"/>
          <w:szCs w:val="12"/>
        </w:rPr>
      </w:pPr>
      <w:r w:rsidRPr="00106724">
        <w:rPr>
          <w:rFonts w:ascii="Abadi" w:hAnsi="Abadi"/>
          <w:sz w:val="12"/>
          <w:szCs w:val="12"/>
          <w:lang w:eastAsia="es-MX"/>
        </w:rPr>
        <w:t>el 05 de mayo a las 21:15 horas.</w:t>
      </w:r>
    </w:p>
  </w:footnote>
  <w:footnote w:id="9">
    <w:p w14:paraId="37236ED1" w14:textId="77777777" w:rsidR="003B3767" w:rsidRPr="00360765" w:rsidRDefault="003B3767" w:rsidP="003B3767">
      <w:pPr>
        <w:autoSpaceDE w:val="0"/>
        <w:autoSpaceDN w:val="0"/>
        <w:adjustRightInd w:val="0"/>
        <w:rPr>
          <w:rFonts w:ascii="Abadi" w:hAnsi="Abadi" w:cs="ArialMT"/>
          <w:sz w:val="12"/>
          <w:szCs w:val="12"/>
          <w:lang w:val="es-MX" w:eastAsia="es-MX"/>
        </w:rPr>
      </w:pPr>
      <w:r w:rsidRPr="00360765">
        <w:rPr>
          <w:rStyle w:val="Refdenotaalpie"/>
          <w:rFonts w:ascii="Abadi" w:hAnsi="Abadi"/>
          <w:sz w:val="12"/>
          <w:szCs w:val="12"/>
        </w:rPr>
        <w:footnoteRef/>
      </w:r>
      <w:r w:rsidRPr="00360765">
        <w:rPr>
          <w:rFonts w:ascii="Abadi" w:hAnsi="Abadi"/>
          <w:sz w:val="12"/>
          <w:szCs w:val="12"/>
        </w:rPr>
        <w:t xml:space="preserve"> </w:t>
      </w:r>
      <w:r w:rsidRPr="00360765">
        <w:rPr>
          <w:rFonts w:ascii="Abadi" w:hAnsi="Abadi" w:cs="ArialMT"/>
          <w:sz w:val="12"/>
          <w:szCs w:val="12"/>
          <w:lang w:val="es-MX" w:eastAsia="es-MX"/>
        </w:rPr>
        <w:t>Rojina Villegas, Rafael. Derecho Civil Mexicano, Tomo IV, Sucesiones Volumen I, Cuarta Edición,</w:t>
      </w:r>
    </w:p>
    <w:p w14:paraId="55186EAA" w14:textId="655F1181" w:rsidR="003B3767" w:rsidRPr="00360765" w:rsidRDefault="003B3767" w:rsidP="003B3767">
      <w:pPr>
        <w:pStyle w:val="Textonotapie"/>
        <w:rPr>
          <w:rFonts w:ascii="Abadi" w:hAnsi="Abadi"/>
          <w:sz w:val="12"/>
          <w:szCs w:val="12"/>
        </w:rPr>
      </w:pPr>
      <w:r w:rsidRPr="00360765">
        <w:rPr>
          <w:rFonts w:ascii="Abadi" w:hAnsi="Abadi" w:cs="ArialMT"/>
          <w:sz w:val="12"/>
          <w:szCs w:val="12"/>
          <w:lang w:eastAsia="es-MX"/>
        </w:rPr>
        <w:t>1973, Cárdenas Editores. México. Págs. 13 y sig.</w:t>
      </w:r>
    </w:p>
  </w:footnote>
  <w:footnote w:id="10">
    <w:p w14:paraId="4E89F9AD" w14:textId="293E5107" w:rsidR="003B3767" w:rsidRPr="00360765" w:rsidRDefault="003B3767">
      <w:pPr>
        <w:pStyle w:val="Textonotapie"/>
        <w:rPr>
          <w:rFonts w:ascii="Abadi" w:hAnsi="Abadi"/>
          <w:sz w:val="12"/>
          <w:szCs w:val="12"/>
        </w:rPr>
      </w:pPr>
      <w:r w:rsidRPr="00360765">
        <w:rPr>
          <w:rStyle w:val="Refdenotaalpie"/>
          <w:rFonts w:ascii="Abadi" w:hAnsi="Abadi"/>
          <w:sz w:val="12"/>
          <w:szCs w:val="12"/>
        </w:rPr>
        <w:footnoteRef/>
      </w:r>
      <w:r w:rsidRPr="00360765">
        <w:rPr>
          <w:rFonts w:ascii="Abadi" w:hAnsi="Abadi"/>
          <w:sz w:val="12"/>
          <w:szCs w:val="12"/>
        </w:rPr>
        <w:t xml:space="preserve"> </w:t>
      </w:r>
      <w:r w:rsidRPr="00360765">
        <w:rPr>
          <w:rFonts w:ascii="Abadi" w:hAnsi="Abadi" w:cs="ArialMT"/>
          <w:sz w:val="12"/>
          <w:szCs w:val="12"/>
          <w:lang w:eastAsia="es-MX"/>
        </w:rPr>
        <w:t>Arce y Cervantes, José. De las Sucesiones. Editorial Porrúa, México, 1993. Págs. 1 y sig.</w:t>
      </w:r>
    </w:p>
  </w:footnote>
  <w:footnote w:id="11">
    <w:p w14:paraId="300ED5E1" w14:textId="7DE47029" w:rsidR="003B3767" w:rsidRPr="00360765" w:rsidRDefault="003B3767">
      <w:pPr>
        <w:pStyle w:val="Textonotapie"/>
        <w:rPr>
          <w:rFonts w:ascii="Abadi" w:hAnsi="Abadi"/>
          <w:sz w:val="12"/>
          <w:szCs w:val="12"/>
        </w:rPr>
      </w:pPr>
      <w:r w:rsidRPr="00360765">
        <w:rPr>
          <w:rStyle w:val="Refdenotaalpie"/>
          <w:rFonts w:ascii="Abadi" w:hAnsi="Abadi"/>
          <w:sz w:val="12"/>
          <w:szCs w:val="12"/>
        </w:rPr>
        <w:footnoteRef/>
      </w:r>
      <w:r w:rsidRPr="00360765">
        <w:rPr>
          <w:rFonts w:ascii="Abadi" w:hAnsi="Abadi"/>
          <w:sz w:val="12"/>
          <w:szCs w:val="12"/>
        </w:rPr>
        <w:t xml:space="preserve"> </w:t>
      </w:r>
    </w:p>
  </w:footnote>
  <w:footnote w:id="12">
    <w:p w14:paraId="48E41508" w14:textId="3C2538FF" w:rsidR="00733A9E" w:rsidRPr="00360765" w:rsidRDefault="00733A9E">
      <w:pPr>
        <w:pStyle w:val="Textonotapie"/>
        <w:rPr>
          <w:rFonts w:ascii="Abadi" w:hAnsi="Abadi"/>
          <w:sz w:val="12"/>
          <w:szCs w:val="12"/>
        </w:rPr>
      </w:pPr>
      <w:r w:rsidRPr="00360765">
        <w:rPr>
          <w:rStyle w:val="Refdenotaalpie"/>
          <w:rFonts w:ascii="Abadi" w:hAnsi="Abadi"/>
          <w:sz w:val="12"/>
          <w:szCs w:val="12"/>
        </w:rPr>
        <w:footnoteRef/>
      </w:r>
      <w:r w:rsidRPr="00360765">
        <w:rPr>
          <w:rFonts w:ascii="Abadi" w:hAnsi="Abadi"/>
          <w:sz w:val="12"/>
          <w:szCs w:val="12"/>
        </w:rPr>
        <w:t xml:space="preserve"> </w:t>
      </w:r>
      <w:r w:rsidRPr="00360765">
        <w:rPr>
          <w:rFonts w:ascii="Abadi" w:hAnsi="Abadi" w:cs="ArialMT"/>
          <w:sz w:val="12"/>
          <w:szCs w:val="12"/>
          <w:lang w:eastAsia="es-MX"/>
        </w:rPr>
        <w:t>Idem. Arce y Cervantes, Pág.7 y sig.</w:t>
      </w:r>
    </w:p>
  </w:footnote>
  <w:footnote w:id="13">
    <w:p w14:paraId="4F5A8E36" w14:textId="6E2B23AF" w:rsidR="00733A9E" w:rsidRPr="00360765" w:rsidRDefault="00733A9E">
      <w:pPr>
        <w:pStyle w:val="Textonotapie"/>
        <w:rPr>
          <w:rFonts w:ascii="Abadi" w:hAnsi="Abadi"/>
          <w:sz w:val="12"/>
          <w:szCs w:val="12"/>
        </w:rPr>
      </w:pPr>
      <w:r w:rsidRPr="00360765">
        <w:rPr>
          <w:rStyle w:val="Refdenotaalpie"/>
          <w:rFonts w:ascii="Abadi" w:hAnsi="Abadi"/>
          <w:sz w:val="12"/>
          <w:szCs w:val="12"/>
        </w:rPr>
        <w:footnoteRef/>
      </w:r>
      <w:r w:rsidRPr="00360765">
        <w:rPr>
          <w:rFonts w:ascii="Abadi" w:hAnsi="Abadi"/>
          <w:sz w:val="12"/>
          <w:szCs w:val="12"/>
        </w:rPr>
        <w:t xml:space="preserve"> </w:t>
      </w:r>
      <w:r w:rsidRPr="00360765">
        <w:rPr>
          <w:rFonts w:ascii="Abadi" w:hAnsi="Abadi" w:cs="ArialMT"/>
          <w:sz w:val="12"/>
          <w:szCs w:val="12"/>
          <w:lang w:eastAsia="es-MX"/>
        </w:rPr>
        <w:t>Idem. Código Civil.</w:t>
      </w:r>
    </w:p>
  </w:footnote>
  <w:footnote w:id="14">
    <w:p w14:paraId="5B3CE10D" w14:textId="26DE1E88" w:rsidR="00733A9E" w:rsidRPr="00360765" w:rsidRDefault="00733A9E">
      <w:pPr>
        <w:pStyle w:val="Textonotapie"/>
        <w:rPr>
          <w:rFonts w:ascii="Abadi" w:hAnsi="Abadi"/>
          <w:sz w:val="12"/>
          <w:szCs w:val="12"/>
        </w:rPr>
      </w:pPr>
      <w:r w:rsidRPr="00360765">
        <w:rPr>
          <w:rStyle w:val="Refdenotaalpie"/>
          <w:rFonts w:ascii="Abadi" w:hAnsi="Abadi"/>
          <w:sz w:val="12"/>
          <w:szCs w:val="12"/>
        </w:rPr>
        <w:footnoteRef/>
      </w:r>
      <w:r w:rsidRPr="00360765">
        <w:rPr>
          <w:rFonts w:ascii="Abadi" w:hAnsi="Abadi"/>
          <w:sz w:val="12"/>
          <w:szCs w:val="12"/>
        </w:rPr>
        <w:t xml:space="preserve"> </w:t>
      </w:r>
      <w:r w:rsidRPr="00360765">
        <w:rPr>
          <w:rFonts w:ascii="Abadi" w:hAnsi="Abadi" w:cs="Calibri"/>
          <w:sz w:val="12"/>
          <w:szCs w:val="12"/>
          <w:lang w:eastAsia="es-MX"/>
        </w:rPr>
        <w:t>Idem. Arce y Cervantes, Págs., 19 y sig.</w:t>
      </w:r>
    </w:p>
  </w:footnote>
  <w:footnote w:id="15">
    <w:p w14:paraId="4C5B02DF" w14:textId="72DE39CD" w:rsidR="00733A9E" w:rsidRPr="005B51F6" w:rsidRDefault="00733A9E">
      <w:pPr>
        <w:pStyle w:val="Textonotapie"/>
        <w:rPr>
          <w:rFonts w:ascii="Abadi" w:hAnsi="Abadi"/>
          <w:sz w:val="12"/>
          <w:szCs w:val="12"/>
        </w:rPr>
      </w:pPr>
      <w:r w:rsidRPr="005B51F6">
        <w:rPr>
          <w:rStyle w:val="Refdenotaalpie"/>
          <w:rFonts w:ascii="Abadi" w:hAnsi="Abadi"/>
          <w:sz w:val="12"/>
          <w:szCs w:val="12"/>
        </w:rPr>
        <w:footnoteRef/>
      </w:r>
      <w:r w:rsidRPr="005B51F6">
        <w:rPr>
          <w:rFonts w:ascii="Abadi" w:hAnsi="Abadi"/>
          <w:sz w:val="12"/>
          <w:szCs w:val="12"/>
        </w:rPr>
        <w:t xml:space="preserve"> </w:t>
      </w:r>
      <w:r w:rsidRPr="005B51F6">
        <w:rPr>
          <w:rFonts w:ascii="Abadi" w:hAnsi="Abadi" w:cs="ArialMT"/>
          <w:sz w:val="12"/>
          <w:szCs w:val="12"/>
          <w:lang w:eastAsia="es-MX"/>
        </w:rPr>
        <w:t>REFORMADOS, P.O. 12 DE MAYO DE 1974.</w:t>
      </w:r>
    </w:p>
  </w:footnote>
  <w:footnote w:id="16">
    <w:p w14:paraId="233C8A48" w14:textId="77777777" w:rsidR="00360765" w:rsidRPr="00360765" w:rsidRDefault="00360765" w:rsidP="00360765">
      <w:pPr>
        <w:autoSpaceDE w:val="0"/>
        <w:autoSpaceDN w:val="0"/>
        <w:adjustRightInd w:val="0"/>
        <w:rPr>
          <w:rFonts w:ascii="Abadi" w:hAnsi="Abadi" w:cs="ArialMT"/>
          <w:sz w:val="12"/>
          <w:szCs w:val="12"/>
          <w:lang w:val="es-MX" w:eastAsia="es-MX"/>
        </w:rPr>
      </w:pPr>
      <w:r w:rsidRPr="00360765">
        <w:rPr>
          <w:rStyle w:val="Refdenotaalpie"/>
          <w:rFonts w:ascii="Abadi" w:hAnsi="Abadi"/>
          <w:sz w:val="12"/>
          <w:szCs w:val="12"/>
        </w:rPr>
        <w:footnoteRef/>
      </w:r>
      <w:r w:rsidRPr="00360765">
        <w:rPr>
          <w:rFonts w:ascii="Abadi" w:hAnsi="Abadi"/>
          <w:sz w:val="12"/>
          <w:szCs w:val="12"/>
        </w:rPr>
        <w:t xml:space="preserve"> </w:t>
      </w:r>
      <w:r w:rsidRPr="00360765">
        <w:rPr>
          <w:rFonts w:ascii="Abadi" w:hAnsi="Abadi" w:cs="ArialMT"/>
          <w:sz w:val="12"/>
          <w:szCs w:val="12"/>
          <w:lang w:val="es-MX" w:eastAsia="es-MX"/>
        </w:rPr>
        <w:t>8Ley Orgánica de la Universidad de Guanajuato. Consultable en la liga:</w:t>
      </w:r>
    </w:p>
    <w:p w14:paraId="1EE85F0C" w14:textId="6491B91B" w:rsidR="00360765" w:rsidRPr="00360765" w:rsidRDefault="00360765" w:rsidP="00360765">
      <w:pPr>
        <w:pStyle w:val="Textonotapie"/>
        <w:rPr>
          <w:rFonts w:ascii="Abadi" w:hAnsi="Abadi"/>
          <w:sz w:val="12"/>
          <w:szCs w:val="12"/>
        </w:rPr>
      </w:pPr>
      <w:r w:rsidRPr="00360765">
        <w:rPr>
          <w:rFonts w:ascii="Abadi" w:hAnsi="Abadi" w:cs="ArialMT"/>
          <w:sz w:val="12"/>
          <w:szCs w:val="12"/>
          <w:lang w:eastAsia="es-MX"/>
        </w:rPr>
        <w:t>https://www.ugto.mx/images/reglamentacion/ley-organica-ug-2018-.pdf</w:t>
      </w:r>
    </w:p>
  </w:footnote>
  <w:footnote w:id="17">
    <w:p w14:paraId="0E606A99" w14:textId="50659667" w:rsidR="00360765" w:rsidRPr="005B51F6" w:rsidRDefault="00360765">
      <w:pPr>
        <w:pStyle w:val="Textonotapie"/>
        <w:rPr>
          <w:rFonts w:ascii="Abadi" w:hAnsi="Abadi"/>
          <w:sz w:val="12"/>
          <w:szCs w:val="12"/>
        </w:rPr>
      </w:pPr>
      <w:r w:rsidRPr="005B51F6">
        <w:rPr>
          <w:rStyle w:val="Refdenotaalpie"/>
          <w:rFonts w:ascii="Abadi" w:hAnsi="Abadi"/>
          <w:sz w:val="12"/>
          <w:szCs w:val="12"/>
        </w:rPr>
        <w:footnoteRef/>
      </w:r>
      <w:r w:rsidRPr="005B51F6">
        <w:rPr>
          <w:rFonts w:ascii="Abadi" w:hAnsi="Abadi"/>
          <w:sz w:val="12"/>
          <w:szCs w:val="12"/>
        </w:rPr>
        <w:t xml:space="preserve"> </w:t>
      </w:r>
    </w:p>
  </w:footnote>
  <w:footnote w:id="18">
    <w:p w14:paraId="19D3E753" w14:textId="033B8A89" w:rsidR="00360765" w:rsidRPr="005B51F6" w:rsidRDefault="00360765" w:rsidP="00360765">
      <w:pPr>
        <w:autoSpaceDE w:val="0"/>
        <w:autoSpaceDN w:val="0"/>
        <w:adjustRightInd w:val="0"/>
        <w:rPr>
          <w:rFonts w:ascii="Abadi" w:hAnsi="Abadi" w:cs="ArialMT"/>
          <w:sz w:val="12"/>
          <w:szCs w:val="12"/>
          <w:lang w:val="es-MX" w:eastAsia="es-MX"/>
        </w:rPr>
      </w:pPr>
      <w:r w:rsidRPr="005B51F6">
        <w:rPr>
          <w:rFonts w:ascii="Abadi" w:hAnsi="Abadi" w:cs="ArialMT"/>
          <w:sz w:val="12"/>
          <w:szCs w:val="12"/>
          <w:lang w:val="es-MX" w:eastAsia="es-MX"/>
        </w:rPr>
        <w:t>Reforma al artículo 1º constitucional, que a revolucionado al sistema de derechos humanos en este</w:t>
      </w:r>
    </w:p>
    <w:p w14:paraId="715E1A04" w14:textId="77777777" w:rsidR="00360765" w:rsidRPr="005B51F6" w:rsidRDefault="00360765" w:rsidP="00360765">
      <w:pPr>
        <w:autoSpaceDE w:val="0"/>
        <w:autoSpaceDN w:val="0"/>
        <w:adjustRightInd w:val="0"/>
        <w:rPr>
          <w:rFonts w:ascii="Abadi" w:hAnsi="Abadi" w:cs="ArialMT"/>
          <w:sz w:val="12"/>
          <w:szCs w:val="12"/>
          <w:lang w:val="es-MX" w:eastAsia="es-MX"/>
        </w:rPr>
      </w:pPr>
      <w:r w:rsidRPr="005B51F6">
        <w:rPr>
          <w:rFonts w:ascii="Abadi" w:hAnsi="Abadi" w:cs="ArialMT"/>
          <w:sz w:val="12"/>
          <w:szCs w:val="12"/>
          <w:lang w:val="es-MX" w:eastAsia="es-MX"/>
        </w:rPr>
        <w:t xml:space="preserve">país, al establecer los principios </w:t>
      </w:r>
      <w:r w:rsidRPr="005B51F6">
        <w:rPr>
          <w:rFonts w:ascii="Abadi" w:hAnsi="Abadi" w:cs="Arial-ItalicMT"/>
          <w:i/>
          <w:iCs/>
          <w:sz w:val="12"/>
          <w:szCs w:val="12"/>
          <w:lang w:val="es-MX" w:eastAsia="es-MX"/>
        </w:rPr>
        <w:t xml:space="preserve">pro homine </w:t>
      </w:r>
      <w:r w:rsidRPr="005B51F6">
        <w:rPr>
          <w:rFonts w:ascii="Abadi" w:hAnsi="Abadi" w:cs="ArialMT"/>
          <w:sz w:val="12"/>
          <w:szCs w:val="12"/>
          <w:lang w:val="es-MX" w:eastAsia="es-MX"/>
        </w:rPr>
        <w:t>y de interpretación conforme, que establece a todas las</w:t>
      </w:r>
    </w:p>
    <w:p w14:paraId="685A6916" w14:textId="4218F481" w:rsidR="00360765" w:rsidRDefault="00360765" w:rsidP="00360765">
      <w:pPr>
        <w:pStyle w:val="Textonotapie"/>
      </w:pPr>
      <w:r w:rsidRPr="005B51F6">
        <w:rPr>
          <w:rFonts w:ascii="Abadi" w:hAnsi="Abadi" w:cs="ArialMT"/>
          <w:sz w:val="12"/>
          <w:szCs w:val="12"/>
          <w:lang w:eastAsia="es-MX"/>
        </w:rPr>
        <w:t>autoridades de proteger, respetar, promover y garantizar los derechos humanos.</w:t>
      </w:r>
    </w:p>
  </w:footnote>
  <w:footnote w:id="19">
    <w:p w14:paraId="7C586894" w14:textId="77777777" w:rsidR="0016179A" w:rsidRPr="0016179A" w:rsidRDefault="0016179A" w:rsidP="0016179A">
      <w:pPr>
        <w:autoSpaceDE w:val="0"/>
        <w:autoSpaceDN w:val="0"/>
        <w:adjustRightInd w:val="0"/>
        <w:rPr>
          <w:rFonts w:ascii="Abadi" w:hAnsi="Abadi" w:cs="Arial"/>
          <w:color w:val="000000"/>
          <w:sz w:val="12"/>
          <w:szCs w:val="12"/>
          <w:lang w:val="es-MX" w:eastAsia="es-MX"/>
        </w:rPr>
      </w:pPr>
      <w:r w:rsidRPr="0016179A">
        <w:rPr>
          <w:rStyle w:val="Refdenotaalpie"/>
          <w:rFonts w:ascii="Abadi" w:hAnsi="Abadi"/>
          <w:sz w:val="12"/>
          <w:szCs w:val="12"/>
        </w:rPr>
        <w:footnoteRef/>
      </w:r>
      <w:r w:rsidRPr="0016179A">
        <w:rPr>
          <w:rFonts w:ascii="Abadi" w:hAnsi="Abadi"/>
          <w:sz w:val="12"/>
          <w:szCs w:val="12"/>
        </w:rPr>
        <w:t xml:space="preserve"> </w:t>
      </w:r>
      <w:r w:rsidRPr="0016179A">
        <w:rPr>
          <w:rFonts w:ascii="Abadi" w:hAnsi="Abadi" w:cs="Arial"/>
          <w:color w:val="000000"/>
          <w:sz w:val="12"/>
          <w:szCs w:val="12"/>
          <w:lang w:val="es-MX" w:eastAsia="es-MX"/>
        </w:rPr>
        <w:t>Giglia A. (1996). La democracia en la vida cotidiana. Dos casos de gestión de condominios en la</w:t>
      </w:r>
    </w:p>
    <w:p w14:paraId="66B0F225" w14:textId="77777777" w:rsidR="0016179A" w:rsidRPr="0016179A" w:rsidRDefault="0016179A" w:rsidP="0016179A">
      <w:pPr>
        <w:autoSpaceDE w:val="0"/>
        <w:autoSpaceDN w:val="0"/>
        <w:adjustRightInd w:val="0"/>
        <w:rPr>
          <w:rFonts w:ascii="Abadi" w:hAnsi="Abadi" w:cs="Arial"/>
          <w:color w:val="000000"/>
          <w:sz w:val="12"/>
          <w:szCs w:val="12"/>
          <w:lang w:val="es-MX" w:eastAsia="es-MX"/>
        </w:rPr>
      </w:pPr>
      <w:r w:rsidRPr="0016179A">
        <w:rPr>
          <w:rFonts w:ascii="Abadi" w:hAnsi="Abadi" w:cs="Arial"/>
          <w:color w:val="000000"/>
          <w:sz w:val="12"/>
          <w:szCs w:val="12"/>
          <w:lang w:val="es-MX" w:eastAsia="es-MX"/>
        </w:rPr>
        <w:t>Ciudad de México Alteridades, 0(11), 75-85. Recuperado de</w:t>
      </w:r>
    </w:p>
    <w:p w14:paraId="60BB51E9" w14:textId="2D46635D" w:rsidR="0016179A" w:rsidRPr="0016179A" w:rsidRDefault="0016179A" w:rsidP="0016179A">
      <w:pPr>
        <w:pStyle w:val="Textonotapie"/>
        <w:rPr>
          <w:rFonts w:ascii="Abadi" w:hAnsi="Abadi"/>
          <w:sz w:val="12"/>
          <w:szCs w:val="12"/>
        </w:rPr>
      </w:pPr>
      <w:r w:rsidRPr="0016179A">
        <w:rPr>
          <w:rFonts w:ascii="Abadi" w:hAnsi="Abadi" w:cs="Arial"/>
          <w:color w:val="0563C2"/>
          <w:sz w:val="12"/>
          <w:szCs w:val="12"/>
          <w:lang w:eastAsia="es-MX"/>
        </w:rPr>
        <w:t>https://alteridades.izt.uam.mx/index.php/Alte/article/view/555/55</w:t>
      </w:r>
    </w:p>
  </w:footnote>
  <w:footnote w:id="20">
    <w:p w14:paraId="2D8FB274" w14:textId="77777777" w:rsidR="0016179A" w:rsidRPr="0016179A" w:rsidRDefault="0016179A" w:rsidP="0016179A">
      <w:pPr>
        <w:autoSpaceDE w:val="0"/>
        <w:autoSpaceDN w:val="0"/>
        <w:adjustRightInd w:val="0"/>
        <w:rPr>
          <w:rFonts w:ascii="Abadi" w:hAnsi="Abadi" w:cs="Arial"/>
          <w:color w:val="000000"/>
          <w:sz w:val="12"/>
          <w:szCs w:val="12"/>
          <w:lang w:val="es-MX" w:eastAsia="es-MX"/>
        </w:rPr>
      </w:pPr>
      <w:r w:rsidRPr="0016179A">
        <w:rPr>
          <w:rFonts w:ascii="Abadi" w:hAnsi="Abadi" w:cs="Arial"/>
          <w:color w:val="000000"/>
          <w:sz w:val="12"/>
          <w:szCs w:val="12"/>
          <w:lang w:val="es-MX" w:eastAsia="es-MX"/>
        </w:rPr>
        <w:footnoteRef/>
      </w:r>
      <w:r w:rsidRPr="0016179A">
        <w:rPr>
          <w:rFonts w:ascii="Abadi" w:hAnsi="Abadi" w:cs="Arial"/>
          <w:color w:val="000000"/>
          <w:sz w:val="12"/>
          <w:szCs w:val="12"/>
          <w:lang w:val="es-MX" w:eastAsia="es-MX"/>
        </w:rPr>
        <w:t xml:space="preserve"> Ley de Propiedad en Condominio de Inmuebles para el Estado de Guanajuato. Art. II. Fracción</w:t>
      </w:r>
    </w:p>
    <w:p w14:paraId="494867E1" w14:textId="7CBDD4AB" w:rsidR="0016179A" w:rsidRPr="0016179A" w:rsidRDefault="0016179A" w:rsidP="0016179A">
      <w:pPr>
        <w:pStyle w:val="Textonotapie"/>
        <w:rPr>
          <w:rFonts w:ascii="Abadi" w:hAnsi="Abadi" w:cs="Arial"/>
          <w:color w:val="000000"/>
          <w:sz w:val="12"/>
          <w:szCs w:val="12"/>
          <w:lang w:eastAsia="es-MX"/>
        </w:rPr>
      </w:pPr>
      <w:r w:rsidRPr="0016179A">
        <w:rPr>
          <w:rFonts w:ascii="Abadi" w:hAnsi="Abadi" w:cs="Arial"/>
          <w:color w:val="000000"/>
          <w:sz w:val="12"/>
          <w:szCs w:val="12"/>
          <w:lang w:eastAsia="es-MX"/>
        </w:rPr>
        <w:t>VIII. (2022).</w:t>
      </w:r>
    </w:p>
  </w:footnote>
  <w:footnote w:id="21">
    <w:p w14:paraId="4600360F" w14:textId="6154BED4" w:rsidR="00FC3A31" w:rsidRPr="00DD6724" w:rsidRDefault="00FC3A31">
      <w:pPr>
        <w:pStyle w:val="Textonotapie"/>
        <w:rPr>
          <w:rFonts w:ascii="Abadi" w:hAnsi="Abadi"/>
          <w:sz w:val="12"/>
          <w:szCs w:val="12"/>
        </w:rPr>
      </w:pPr>
      <w:r w:rsidRPr="00DD6724">
        <w:rPr>
          <w:rStyle w:val="Refdenotaalpie"/>
          <w:rFonts w:ascii="Abadi" w:hAnsi="Abadi"/>
          <w:sz w:val="12"/>
          <w:szCs w:val="12"/>
        </w:rPr>
        <w:footnoteRef/>
      </w:r>
      <w:r w:rsidRPr="00DD6724">
        <w:rPr>
          <w:rFonts w:ascii="Abadi" w:hAnsi="Abadi"/>
          <w:sz w:val="12"/>
          <w:szCs w:val="12"/>
        </w:rPr>
        <w:t xml:space="preserve"> </w:t>
      </w:r>
      <w:r w:rsidRPr="00DD6724">
        <w:rPr>
          <w:rFonts w:ascii="Abadi" w:hAnsi="Abadi"/>
          <w:sz w:val="12"/>
          <w:szCs w:val="12"/>
          <w:lang w:eastAsia="es-MX"/>
        </w:rPr>
        <w:t>Ley de Propiedad en Condominio de Inmuebles para el Estado de Guanajuato. Art. 14. (2022).</w:t>
      </w:r>
    </w:p>
  </w:footnote>
  <w:footnote w:id="22">
    <w:p w14:paraId="10C2ABC9" w14:textId="77777777" w:rsidR="00FC3A31" w:rsidRPr="00DD6724" w:rsidRDefault="00FC3A31" w:rsidP="00FC3A31">
      <w:pPr>
        <w:autoSpaceDE w:val="0"/>
        <w:autoSpaceDN w:val="0"/>
        <w:adjustRightInd w:val="0"/>
        <w:rPr>
          <w:rFonts w:ascii="Abadi" w:hAnsi="Abadi"/>
          <w:color w:val="000000"/>
          <w:sz w:val="12"/>
          <w:szCs w:val="12"/>
          <w:lang w:val="es-MX" w:eastAsia="es-MX"/>
        </w:rPr>
      </w:pPr>
      <w:r w:rsidRPr="00DD6724">
        <w:rPr>
          <w:rStyle w:val="Refdenotaalpie"/>
          <w:rFonts w:ascii="Abadi" w:hAnsi="Abadi"/>
          <w:sz w:val="12"/>
          <w:szCs w:val="12"/>
        </w:rPr>
        <w:footnoteRef/>
      </w:r>
      <w:r w:rsidRPr="00DD6724">
        <w:rPr>
          <w:rFonts w:ascii="Abadi" w:hAnsi="Abadi"/>
          <w:sz w:val="12"/>
          <w:szCs w:val="12"/>
        </w:rPr>
        <w:t xml:space="preserve"> </w:t>
      </w:r>
      <w:r w:rsidRPr="00DD6724">
        <w:rPr>
          <w:rFonts w:ascii="Abadi" w:hAnsi="Abadi"/>
          <w:color w:val="000000"/>
          <w:sz w:val="12"/>
          <w:szCs w:val="12"/>
          <w:lang w:val="es-MX" w:eastAsia="es-MX"/>
        </w:rPr>
        <w:t>PROSOC. Necesario regular el servicio de hospedaje alternativo en aplicaciones. Consultado en:</w:t>
      </w:r>
    </w:p>
    <w:p w14:paraId="1744ECED" w14:textId="77777777" w:rsidR="00FC3A31" w:rsidRPr="00DD6724" w:rsidRDefault="00FC3A31" w:rsidP="00FC3A31">
      <w:pPr>
        <w:autoSpaceDE w:val="0"/>
        <w:autoSpaceDN w:val="0"/>
        <w:adjustRightInd w:val="0"/>
        <w:rPr>
          <w:rFonts w:ascii="Abadi" w:hAnsi="Abadi"/>
          <w:color w:val="0563C2"/>
          <w:sz w:val="12"/>
          <w:szCs w:val="12"/>
          <w:lang w:val="es-MX" w:eastAsia="es-MX"/>
        </w:rPr>
      </w:pPr>
      <w:r w:rsidRPr="00DD6724">
        <w:rPr>
          <w:rFonts w:ascii="Abadi" w:hAnsi="Abadi"/>
          <w:color w:val="0563C2"/>
          <w:sz w:val="12"/>
          <w:szCs w:val="12"/>
          <w:lang w:val="es-MX" w:eastAsia="es-MX"/>
        </w:rPr>
        <w:t>https://prosoc.cdmx.gob.mx/comunicacion/nota/necesario-regular-el-servicio-de-hospedaje-alternativo-enaplicaciones-</w:t>
      </w:r>
    </w:p>
    <w:p w14:paraId="23B113AE" w14:textId="4A420EB2" w:rsidR="00FC3A31" w:rsidRPr="00DD6724" w:rsidRDefault="00FC3A31" w:rsidP="00FC3A31">
      <w:pPr>
        <w:pStyle w:val="Textonotapie"/>
        <w:rPr>
          <w:rFonts w:ascii="Abadi" w:hAnsi="Abadi"/>
          <w:sz w:val="12"/>
          <w:szCs w:val="12"/>
        </w:rPr>
      </w:pPr>
      <w:r w:rsidRPr="00DD6724">
        <w:rPr>
          <w:rFonts w:ascii="Abadi" w:hAnsi="Abadi"/>
          <w:color w:val="0563C2"/>
          <w:sz w:val="12"/>
          <w:szCs w:val="12"/>
          <w:lang w:eastAsia="es-MX"/>
        </w:rPr>
        <w:t xml:space="preserve">prosoc </w:t>
      </w:r>
      <w:r w:rsidRPr="00DD6724">
        <w:rPr>
          <w:rFonts w:ascii="Abadi" w:hAnsi="Abadi"/>
          <w:color w:val="000000"/>
          <w:sz w:val="12"/>
          <w:szCs w:val="12"/>
          <w:lang w:eastAsia="es-MX"/>
        </w:rPr>
        <w:t>(01/05/22)</w:t>
      </w:r>
    </w:p>
  </w:footnote>
  <w:footnote w:id="23">
    <w:p w14:paraId="73695744" w14:textId="77777777" w:rsidR="00FC3A31" w:rsidRPr="00DD6724" w:rsidRDefault="00FC3A31" w:rsidP="00FC3A31">
      <w:pPr>
        <w:autoSpaceDE w:val="0"/>
        <w:autoSpaceDN w:val="0"/>
        <w:adjustRightInd w:val="0"/>
        <w:rPr>
          <w:rFonts w:ascii="Abadi" w:hAnsi="Abadi" w:cs="Arial"/>
          <w:color w:val="000000"/>
          <w:sz w:val="12"/>
          <w:szCs w:val="12"/>
          <w:lang w:val="es-MX" w:eastAsia="es-MX"/>
        </w:rPr>
      </w:pPr>
      <w:r w:rsidRPr="00DD6724">
        <w:rPr>
          <w:rStyle w:val="Refdenotaalpie"/>
          <w:rFonts w:ascii="Abadi" w:hAnsi="Abadi"/>
          <w:sz w:val="12"/>
          <w:szCs w:val="12"/>
        </w:rPr>
        <w:footnoteRef/>
      </w:r>
      <w:r w:rsidRPr="00DD6724">
        <w:rPr>
          <w:rFonts w:ascii="Abadi" w:hAnsi="Abadi"/>
          <w:sz w:val="12"/>
          <w:szCs w:val="12"/>
        </w:rPr>
        <w:t xml:space="preserve"> </w:t>
      </w:r>
      <w:r w:rsidRPr="00DD6724">
        <w:rPr>
          <w:rFonts w:ascii="Abadi" w:hAnsi="Abadi" w:cs="Arial"/>
          <w:color w:val="000000"/>
          <w:sz w:val="12"/>
          <w:szCs w:val="12"/>
          <w:lang w:val="es-MX" w:eastAsia="es-MX"/>
        </w:rPr>
        <w:t>Giglia A. (1996). La democracia en la vida cotidiana. Dos casos de gestión de condominios en la</w:t>
      </w:r>
    </w:p>
    <w:p w14:paraId="2B45B61A" w14:textId="77777777" w:rsidR="00FC3A31" w:rsidRPr="00DD6724" w:rsidRDefault="00FC3A31" w:rsidP="00FC3A31">
      <w:pPr>
        <w:autoSpaceDE w:val="0"/>
        <w:autoSpaceDN w:val="0"/>
        <w:adjustRightInd w:val="0"/>
        <w:rPr>
          <w:rFonts w:ascii="Abadi" w:hAnsi="Abadi" w:cs="Arial"/>
          <w:color w:val="000000"/>
          <w:sz w:val="12"/>
          <w:szCs w:val="12"/>
          <w:lang w:val="es-MX" w:eastAsia="es-MX"/>
        </w:rPr>
      </w:pPr>
      <w:r w:rsidRPr="00DD6724">
        <w:rPr>
          <w:rFonts w:ascii="Abadi" w:hAnsi="Abadi" w:cs="Arial"/>
          <w:color w:val="000000"/>
          <w:sz w:val="12"/>
          <w:szCs w:val="12"/>
          <w:lang w:val="es-MX" w:eastAsia="es-MX"/>
        </w:rPr>
        <w:t>Ciudad de México Alteridades, 0(11), 75-85. Recuperado de</w:t>
      </w:r>
    </w:p>
    <w:p w14:paraId="58A4BBBC" w14:textId="2C67DA97" w:rsidR="00FC3A31" w:rsidRPr="00DD6724" w:rsidRDefault="00FC3A31" w:rsidP="00FC3A31">
      <w:pPr>
        <w:pStyle w:val="Textonotapie"/>
        <w:rPr>
          <w:rFonts w:ascii="Abadi" w:hAnsi="Abadi"/>
          <w:sz w:val="12"/>
          <w:szCs w:val="12"/>
        </w:rPr>
      </w:pPr>
      <w:r w:rsidRPr="00DD6724">
        <w:rPr>
          <w:rFonts w:ascii="Abadi" w:hAnsi="Abadi" w:cs="Arial"/>
          <w:color w:val="0563C2"/>
          <w:sz w:val="12"/>
          <w:szCs w:val="12"/>
          <w:lang w:eastAsia="es-MX"/>
        </w:rPr>
        <w:t>https://alteridades.izt.uam.mx/index.php/Alte/article/view/555/553</w:t>
      </w:r>
    </w:p>
  </w:footnote>
  <w:footnote w:id="24">
    <w:p w14:paraId="0E09B912" w14:textId="601399E1" w:rsidR="002356D6" w:rsidRPr="002356D6" w:rsidRDefault="002356D6">
      <w:pPr>
        <w:pStyle w:val="Textonotapie"/>
        <w:rPr>
          <w:rFonts w:ascii="Abadi" w:hAnsi="Abadi"/>
          <w:sz w:val="12"/>
          <w:szCs w:val="12"/>
        </w:rPr>
      </w:pPr>
      <w:r w:rsidRPr="002356D6">
        <w:rPr>
          <w:rStyle w:val="Refdenotaalpie"/>
          <w:rFonts w:ascii="Abadi" w:hAnsi="Abadi"/>
          <w:sz w:val="12"/>
          <w:szCs w:val="12"/>
        </w:rPr>
        <w:footnoteRef/>
      </w:r>
      <w:r w:rsidRPr="002356D6">
        <w:rPr>
          <w:rFonts w:ascii="Abadi" w:hAnsi="Abadi"/>
          <w:sz w:val="12"/>
          <w:szCs w:val="12"/>
        </w:rPr>
        <w:t xml:space="preserve"> </w:t>
      </w:r>
      <w:r w:rsidRPr="002356D6">
        <w:rPr>
          <w:rFonts w:ascii="Abadi" w:hAnsi="Abadi" w:cs="Calibri"/>
          <w:sz w:val="12"/>
          <w:szCs w:val="12"/>
          <w:lang w:eastAsia="es-MX"/>
        </w:rPr>
        <w:t>Consúltese: https://www.oas.org/es/CIDH/jsForm/?File=/es/cidh/prensa/comunicados/2022/097.asp</w:t>
      </w:r>
    </w:p>
  </w:footnote>
  <w:footnote w:id="25">
    <w:p w14:paraId="2A665152" w14:textId="58360817" w:rsidR="00BC2F10" w:rsidRPr="00BC2F10" w:rsidRDefault="00BC2F10">
      <w:pPr>
        <w:pStyle w:val="Textonotapie"/>
        <w:rPr>
          <w:rFonts w:ascii="Abadi" w:hAnsi="Abadi"/>
          <w:sz w:val="12"/>
          <w:szCs w:val="12"/>
        </w:rPr>
      </w:pPr>
      <w:r w:rsidRPr="00BC2F10">
        <w:rPr>
          <w:rFonts w:ascii="Abadi" w:hAnsi="Abadi"/>
          <w:sz w:val="12"/>
          <w:szCs w:val="12"/>
        </w:rPr>
        <w:footnoteRef/>
      </w:r>
      <w:r w:rsidRPr="00BC2F10">
        <w:rPr>
          <w:rFonts w:ascii="Abadi" w:hAnsi="Abadi"/>
          <w:sz w:val="12"/>
          <w:szCs w:val="12"/>
        </w:rPr>
        <w:t xml:space="preserve"> https://www.jornada.com.mx/notas/2022/01/20/politica/se-ha-reducido-30-la-incidencia-delictiva-sspc/</w:t>
      </w:r>
    </w:p>
  </w:footnote>
  <w:footnote w:id="26">
    <w:p w14:paraId="02018AE8" w14:textId="1CDE155D" w:rsidR="00BC2F10" w:rsidRPr="00BC2F10" w:rsidRDefault="00BC2F10">
      <w:pPr>
        <w:pStyle w:val="Textonotapie"/>
        <w:rPr>
          <w:rFonts w:ascii="Abadi" w:hAnsi="Abadi"/>
          <w:sz w:val="12"/>
          <w:szCs w:val="12"/>
        </w:rPr>
      </w:pPr>
      <w:r w:rsidRPr="00BC2F10">
        <w:rPr>
          <w:rStyle w:val="Refdenotaalpie"/>
          <w:rFonts w:ascii="Abadi" w:hAnsi="Abadi"/>
          <w:sz w:val="12"/>
          <w:szCs w:val="12"/>
        </w:rPr>
        <w:footnoteRef/>
      </w:r>
      <w:r w:rsidRPr="00BC2F10">
        <w:rPr>
          <w:rFonts w:ascii="Abadi" w:hAnsi="Abadi"/>
          <w:sz w:val="12"/>
          <w:szCs w:val="12"/>
        </w:rPr>
        <w:t xml:space="preserve"> https://www.sinembargo.mx/22-03-2022/4146533</w:t>
      </w:r>
    </w:p>
  </w:footnote>
  <w:footnote w:id="27">
    <w:p w14:paraId="117DB6EF" w14:textId="1AF9CECD" w:rsidR="00BC2F10" w:rsidRPr="00BC2F10" w:rsidRDefault="00BC2F10">
      <w:pPr>
        <w:pStyle w:val="Textonotapie"/>
        <w:rPr>
          <w:rFonts w:ascii="Abadi" w:hAnsi="Abadi"/>
          <w:sz w:val="12"/>
          <w:szCs w:val="12"/>
        </w:rPr>
      </w:pPr>
      <w:r w:rsidRPr="00BC2F10">
        <w:rPr>
          <w:rStyle w:val="Refdenotaalpie"/>
          <w:rFonts w:ascii="Abadi" w:hAnsi="Abadi"/>
          <w:sz w:val="12"/>
          <w:szCs w:val="12"/>
        </w:rPr>
        <w:footnoteRef/>
      </w:r>
      <w:r w:rsidRPr="00BC2F10">
        <w:rPr>
          <w:rFonts w:ascii="Abadi" w:hAnsi="Abadi"/>
          <w:sz w:val="12"/>
          <w:szCs w:val="12"/>
        </w:rPr>
        <w:t xml:space="preserve"> https://periodicocorreo.com.mx/patrullas-de-lujo-en-guanajuato-sirvieron-solo-para-la-foto/</w:t>
      </w:r>
    </w:p>
  </w:footnote>
  <w:footnote w:id="28">
    <w:p w14:paraId="076EC844" w14:textId="4BE845BF" w:rsidR="00BC2F10" w:rsidRPr="00BC2F10" w:rsidRDefault="00BC2F10">
      <w:pPr>
        <w:pStyle w:val="Textonotapie"/>
        <w:rPr>
          <w:rFonts w:ascii="Abadi" w:hAnsi="Abadi"/>
          <w:sz w:val="12"/>
          <w:szCs w:val="12"/>
        </w:rPr>
      </w:pPr>
      <w:r w:rsidRPr="00BC2F10">
        <w:rPr>
          <w:rStyle w:val="Refdenotaalpie"/>
          <w:rFonts w:ascii="Abadi" w:hAnsi="Abadi"/>
          <w:sz w:val="12"/>
          <w:szCs w:val="12"/>
        </w:rPr>
        <w:footnoteRef/>
      </w:r>
      <w:r w:rsidRPr="00BC2F10">
        <w:rPr>
          <w:rFonts w:ascii="Abadi" w:hAnsi="Abadi"/>
          <w:sz w:val="12"/>
          <w:szCs w:val="12"/>
        </w:rPr>
        <w:t xml:space="preserve"> https://poplab.mx/article/DASDEGUARDARDomingo24deabrilde2022</w:t>
      </w:r>
    </w:p>
  </w:footnote>
  <w:footnote w:id="29">
    <w:p w14:paraId="46FA9C52" w14:textId="77777777" w:rsidR="0063009F" w:rsidRPr="0063009F" w:rsidRDefault="0063009F" w:rsidP="0063009F">
      <w:pPr>
        <w:autoSpaceDE w:val="0"/>
        <w:autoSpaceDN w:val="0"/>
        <w:adjustRightInd w:val="0"/>
        <w:rPr>
          <w:rFonts w:ascii="Abadi" w:hAnsi="Abadi" w:cs="*Arial-7873-Identity-H"/>
          <w:color w:val="1B1A21"/>
          <w:sz w:val="12"/>
          <w:szCs w:val="12"/>
          <w:lang w:val="es-MX" w:eastAsia="es-MX"/>
        </w:rPr>
      </w:pPr>
      <w:r w:rsidRPr="0063009F">
        <w:rPr>
          <w:rStyle w:val="Refdenotaalpie"/>
          <w:rFonts w:ascii="Abadi" w:hAnsi="Abadi"/>
          <w:sz w:val="12"/>
          <w:szCs w:val="12"/>
        </w:rPr>
        <w:footnoteRef/>
      </w:r>
      <w:r w:rsidRPr="0063009F">
        <w:rPr>
          <w:rFonts w:ascii="Abadi" w:hAnsi="Abadi"/>
          <w:sz w:val="12"/>
          <w:szCs w:val="12"/>
        </w:rPr>
        <w:t xml:space="preserve"> </w:t>
      </w:r>
      <w:r w:rsidRPr="0063009F">
        <w:rPr>
          <w:rFonts w:ascii="Abadi" w:hAnsi="Abadi" w:cs="*Arial-7873-Identity-H"/>
          <w:color w:val="1B1A21"/>
          <w:sz w:val="12"/>
          <w:szCs w:val="12"/>
          <w:lang w:val="es-MX" w:eastAsia="es-MX"/>
        </w:rPr>
        <w:t xml:space="preserve">Diccionario Jurídico Mexicano, Instituto de Investigaciones Jurídicas de la </w:t>
      </w:r>
      <w:r w:rsidRPr="0063009F">
        <w:rPr>
          <w:rFonts w:ascii="Abadi" w:hAnsi="Abadi" w:cs="*Microsoft Sans Serif-Bold-7875"/>
          <w:b/>
          <w:bCs/>
          <w:color w:val="1B1A21"/>
          <w:sz w:val="12"/>
          <w:szCs w:val="12"/>
          <w:lang w:val="es-MX" w:eastAsia="es-MX"/>
        </w:rPr>
        <w:t xml:space="preserve">UNAM, </w:t>
      </w:r>
      <w:r w:rsidRPr="0063009F">
        <w:rPr>
          <w:rFonts w:ascii="Abadi" w:hAnsi="Abadi" w:cs="*Arial-7873-Identity-H"/>
          <w:color w:val="1B1A21"/>
          <w:sz w:val="12"/>
          <w:szCs w:val="12"/>
          <w:lang w:val="es-MX" w:eastAsia="es-MX"/>
        </w:rPr>
        <w:t>disponible en:</w:t>
      </w:r>
    </w:p>
    <w:p w14:paraId="15A65288" w14:textId="174BBDCC" w:rsidR="0063009F" w:rsidRDefault="0063009F" w:rsidP="0063009F">
      <w:pPr>
        <w:pStyle w:val="Textonotapie"/>
      </w:pPr>
      <w:r w:rsidRPr="0063009F">
        <w:rPr>
          <w:rFonts w:ascii="Abadi" w:hAnsi="Abadi" w:cs="*Arial-7873-Identity-H"/>
          <w:color w:val="195289"/>
          <w:sz w:val="12"/>
          <w:szCs w:val="12"/>
          <w:lang w:eastAsia="es-MX"/>
        </w:rPr>
        <w:t>https</w:t>
      </w:r>
      <w:r w:rsidRPr="0063009F">
        <w:rPr>
          <w:rFonts w:ascii="Abadi" w:hAnsi="Abadi" w:cs="*Arial-7873-Identity-H"/>
          <w:color w:val="274867"/>
          <w:sz w:val="12"/>
          <w:szCs w:val="12"/>
          <w:lang w:eastAsia="es-MX"/>
        </w:rPr>
        <w:t>:</w:t>
      </w:r>
      <w:r w:rsidRPr="0063009F">
        <w:rPr>
          <w:rFonts w:ascii="Abadi" w:hAnsi="Abadi" w:cs="*Arial-7873-Identity-H"/>
          <w:color w:val="195289"/>
          <w:sz w:val="12"/>
          <w:szCs w:val="12"/>
          <w:lang w:eastAsia="es-MX"/>
        </w:rPr>
        <w:t>//archivos. ju</w:t>
      </w:r>
      <w:r w:rsidRPr="0063009F">
        <w:rPr>
          <w:rFonts w:ascii="Abadi" w:hAnsi="Abadi" w:cs="*Arial-7873-Identity-H"/>
          <w:color w:val="126298"/>
          <w:sz w:val="12"/>
          <w:szCs w:val="12"/>
          <w:lang w:eastAsia="es-MX"/>
        </w:rPr>
        <w:t>r</w:t>
      </w:r>
      <w:r w:rsidRPr="0063009F">
        <w:rPr>
          <w:rFonts w:ascii="Abadi" w:hAnsi="Abadi" w:cs="*Arial-7873-Identity-H"/>
          <w:color w:val="195289"/>
          <w:sz w:val="12"/>
          <w:szCs w:val="12"/>
          <w:lang w:eastAsia="es-MX"/>
        </w:rPr>
        <w:t>ídicas</w:t>
      </w:r>
      <w:r w:rsidRPr="0063009F">
        <w:rPr>
          <w:rFonts w:ascii="Abadi" w:hAnsi="Abadi" w:cs="*Arial-7873-Identity-H"/>
          <w:color w:val="274867"/>
          <w:sz w:val="12"/>
          <w:szCs w:val="12"/>
          <w:lang w:eastAsia="es-MX"/>
        </w:rPr>
        <w:t xml:space="preserve">. </w:t>
      </w:r>
      <w:r w:rsidRPr="0063009F">
        <w:rPr>
          <w:rFonts w:ascii="Abadi" w:hAnsi="Abadi" w:cs="*Arial-7873-Identity-H"/>
          <w:color w:val="195289"/>
          <w:sz w:val="12"/>
          <w:szCs w:val="12"/>
          <w:lang w:eastAsia="es-MX"/>
        </w:rPr>
        <w:t>unam</w:t>
      </w:r>
      <w:r w:rsidRPr="0063009F">
        <w:rPr>
          <w:rFonts w:ascii="Abadi" w:hAnsi="Abadi" w:cs="*Arial-7873-Identity-H"/>
          <w:color w:val="274867"/>
          <w:sz w:val="12"/>
          <w:szCs w:val="12"/>
          <w:lang w:eastAsia="es-MX"/>
        </w:rPr>
        <w:t xml:space="preserve">. </w:t>
      </w:r>
      <w:r w:rsidRPr="0063009F">
        <w:rPr>
          <w:rFonts w:ascii="Abadi" w:hAnsi="Abadi" w:cs="*Arial-7873-Identity-H"/>
          <w:color w:val="195289"/>
          <w:sz w:val="12"/>
          <w:szCs w:val="12"/>
          <w:lang w:eastAsia="es-MX"/>
        </w:rPr>
        <w:t>mx/www/bjv/libros/3/</w:t>
      </w:r>
      <w:r w:rsidRPr="0063009F">
        <w:rPr>
          <w:rFonts w:ascii="Abadi" w:hAnsi="Abadi" w:cs="*Arial-7873-Identity-H"/>
          <w:color w:val="0E51A5"/>
          <w:sz w:val="12"/>
          <w:szCs w:val="12"/>
          <w:lang w:eastAsia="es-MX"/>
        </w:rPr>
        <w:t>1</w:t>
      </w:r>
      <w:r w:rsidRPr="0063009F">
        <w:rPr>
          <w:rFonts w:ascii="Abadi" w:hAnsi="Abadi" w:cs="*Arial-7873-Identity-H"/>
          <w:color w:val="195289"/>
          <w:sz w:val="12"/>
          <w:szCs w:val="12"/>
          <w:lang w:eastAsia="es-MX"/>
        </w:rPr>
        <w:t>175/6</w:t>
      </w:r>
      <w:r w:rsidRPr="0063009F">
        <w:rPr>
          <w:rFonts w:ascii="Abadi" w:hAnsi="Abadi" w:cs="*Arial-7873-Identity-H"/>
          <w:color w:val="274867"/>
          <w:sz w:val="12"/>
          <w:szCs w:val="12"/>
          <w:lang w:eastAsia="es-MX"/>
        </w:rPr>
        <w:t xml:space="preserve">. </w:t>
      </w:r>
      <w:r w:rsidRPr="0063009F">
        <w:rPr>
          <w:rFonts w:ascii="Abadi" w:hAnsi="Abadi" w:cs="*Arial-7873-Identity-H"/>
          <w:color w:val="195289"/>
          <w:sz w:val="12"/>
          <w:szCs w:val="12"/>
          <w:lang w:eastAsia="es-MX"/>
        </w:rPr>
        <w:t>pdf</w:t>
      </w:r>
    </w:p>
  </w:footnote>
  <w:footnote w:id="30">
    <w:p w14:paraId="104721A0" w14:textId="77777777" w:rsidR="001A0572" w:rsidRPr="001A0572" w:rsidRDefault="001A0572" w:rsidP="001A0572">
      <w:pPr>
        <w:autoSpaceDE w:val="0"/>
        <w:autoSpaceDN w:val="0"/>
        <w:adjustRightInd w:val="0"/>
        <w:rPr>
          <w:rFonts w:ascii="Abadi" w:hAnsi="Abadi" w:cs="*Arial-8097-Identity-H"/>
          <w:color w:val="1A1920"/>
          <w:sz w:val="12"/>
          <w:szCs w:val="12"/>
          <w:lang w:val="es-MX" w:eastAsia="es-MX"/>
        </w:rPr>
      </w:pPr>
      <w:r w:rsidRPr="001A0572">
        <w:rPr>
          <w:rStyle w:val="Refdenotaalpie"/>
          <w:rFonts w:ascii="Abadi" w:hAnsi="Abadi"/>
          <w:sz w:val="12"/>
          <w:szCs w:val="12"/>
        </w:rPr>
        <w:footnoteRef/>
      </w:r>
      <w:r w:rsidRPr="001A0572">
        <w:rPr>
          <w:rFonts w:ascii="Abadi" w:hAnsi="Abadi"/>
          <w:sz w:val="12"/>
          <w:szCs w:val="12"/>
        </w:rPr>
        <w:t xml:space="preserve"> </w:t>
      </w:r>
      <w:r w:rsidRPr="001A0572">
        <w:rPr>
          <w:rFonts w:ascii="Abadi" w:hAnsi="Abadi" w:cs="*Arial-8097-Identity-H"/>
          <w:color w:val="1A1920"/>
          <w:sz w:val="12"/>
          <w:szCs w:val="12"/>
          <w:lang w:val="es-MX" w:eastAsia="es-MX"/>
        </w:rPr>
        <w:t>Diccionario Jurídico Mexicano, Instituto de Investigaciones Jurídicas de la UNAM, disponible en:</w:t>
      </w:r>
    </w:p>
    <w:p w14:paraId="6824932C" w14:textId="13E1A2E3" w:rsidR="001A0572" w:rsidRPr="001A0572" w:rsidRDefault="001A0572" w:rsidP="001A0572">
      <w:pPr>
        <w:pStyle w:val="Textonotapie"/>
        <w:rPr>
          <w:rFonts w:ascii="Abadi" w:hAnsi="Abadi"/>
          <w:sz w:val="12"/>
          <w:szCs w:val="12"/>
        </w:rPr>
      </w:pPr>
      <w:r w:rsidRPr="001A0572">
        <w:rPr>
          <w:rFonts w:ascii="Abadi" w:hAnsi="Abadi" w:cs="*Arial-8097-Identity-H"/>
          <w:color w:val="1A5189"/>
          <w:sz w:val="12"/>
          <w:szCs w:val="12"/>
          <w:lang w:eastAsia="es-MX"/>
        </w:rPr>
        <w:t>https://archivos</w:t>
      </w:r>
      <w:r w:rsidRPr="001A0572">
        <w:rPr>
          <w:rFonts w:ascii="Abadi" w:hAnsi="Abadi" w:cs="*Arial-8097-Identity-H"/>
          <w:color w:val="293A69"/>
          <w:sz w:val="12"/>
          <w:szCs w:val="12"/>
          <w:lang w:eastAsia="es-MX"/>
        </w:rPr>
        <w:t xml:space="preserve">. </w:t>
      </w:r>
      <w:r w:rsidRPr="001A0572">
        <w:rPr>
          <w:rFonts w:ascii="Abadi" w:hAnsi="Abadi" w:cs="*Arial-8097-Identity-H"/>
          <w:color w:val="1A5189"/>
          <w:sz w:val="12"/>
          <w:szCs w:val="12"/>
          <w:lang w:eastAsia="es-MX"/>
        </w:rPr>
        <w:t>juridicas</w:t>
      </w:r>
      <w:r w:rsidRPr="001A0572">
        <w:rPr>
          <w:rFonts w:ascii="Abadi" w:hAnsi="Abadi" w:cs="*Arial-8097-Identity-H"/>
          <w:color w:val="293A69"/>
          <w:sz w:val="12"/>
          <w:szCs w:val="12"/>
          <w:lang w:eastAsia="es-MX"/>
        </w:rPr>
        <w:t xml:space="preserve">. </w:t>
      </w:r>
      <w:r w:rsidRPr="001A0572">
        <w:rPr>
          <w:rFonts w:ascii="Abadi" w:hAnsi="Abadi" w:cs="*Arial-8097-Identity-H"/>
          <w:color w:val="1A5189"/>
          <w:sz w:val="12"/>
          <w:szCs w:val="12"/>
          <w:lang w:eastAsia="es-MX"/>
        </w:rPr>
        <w:t>unam. m</w:t>
      </w:r>
      <w:r w:rsidRPr="001A0572">
        <w:rPr>
          <w:rFonts w:ascii="Abadi" w:hAnsi="Abadi" w:cs="*Arial-8097-Identity-H"/>
          <w:color w:val="17649C"/>
          <w:sz w:val="12"/>
          <w:szCs w:val="12"/>
          <w:lang w:eastAsia="es-MX"/>
        </w:rPr>
        <w:t>x</w:t>
      </w:r>
      <w:r w:rsidRPr="001A0572">
        <w:rPr>
          <w:rFonts w:ascii="Abadi" w:hAnsi="Abadi" w:cs="*Arial-8097-Identity-H"/>
          <w:color w:val="1A5189"/>
          <w:sz w:val="12"/>
          <w:szCs w:val="12"/>
          <w:lang w:eastAsia="es-MX"/>
        </w:rPr>
        <w:t>/</w:t>
      </w:r>
      <w:r w:rsidRPr="001A0572">
        <w:rPr>
          <w:rFonts w:ascii="Abadi" w:hAnsi="Abadi" w:cs="*Arial-8097-Identity-H"/>
          <w:color w:val="17649C"/>
          <w:sz w:val="12"/>
          <w:szCs w:val="12"/>
          <w:lang w:eastAsia="es-MX"/>
        </w:rPr>
        <w:t>www</w:t>
      </w:r>
      <w:r w:rsidRPr="001A0572">
        <w:rPr>
          <w:rFonts w:ascii="Abadi" w:hAnsi="Abadi" w:cs="*Arial-8097-Identity-H"/>
          <w:color w:val="1A5189"/>
          <w:sz w:val="12"/>
          <w:szCs w:val="12"/>
          <w:lang w:eastAsia="es-MX"/>
        </w:rPr>
        <w:t>/bjv/libros/3/1175/6</w:t>
      </w:r>
      <w:r w:rsidRPr="001A0572">
        <w:rPr>
          <w:rFonts w:ascii="Abadi" w:hAnsi="Abadi" w:cs="*Arial-8097-Identity-H"/>
          <w:color w:val="293A69"/>
          <w:sz w:val="12"/>
          <w:szCs w:val="12"/>
          <w:lang w:eastAsia="es-MX"/>
        </w:rPr>
        <w:t xml:space="preserve">. </w:t>
      </w:r>
      <w:r w:rsidRPr="001A0572">
        <w:rPr>
          <w:rFonts w:ascii="Abadi" w:hAnsi="Abadi" w:cs="*Arial-8097-Identity-H"/>
          <w:color w:val="1A5189"/>
          <w:sz w:val="12"/>
          <w:szCs w:val="12"/>
          <w:lang w:eastAsia="es-MX"/>
        </w:rPr>
        <w:t>pdf</w:t>
      </w:r>
    </w:p>
  </w:footnote>
  <w:footnote w:id="31">
    <w:p w14:paraId="4243B86A" w14:textId="77777777" w:rsidR="001E4341" w:rsidRPr="001E4341" w:rsidRDefault="001E4341" w:rsidP="001E4341">
      <w:pPr>
        <w:autoSpaceDE w:val="0"/>
        <w:autoSpaceDN w:val="0"/>
        <w:adjustRightInd w:val="0"/>
        <w:rPr>
          <w:rFonts w:ascii="Abadi" w:hAnsi="Abadi" w:cs="*Arial-7830-Identity-H"/>
          <w:color w:val="1A1920"/>
          <w:sz w:val="12"/>
          <w:szCs w:val="12"/>
          <w:lang w:val="es-MX" w:eastAsia="es-MX"/>
        </w:rPr>
      </w:pPr>
      <w:r w:rsidRPr="001E4341">
        <w:rPr>
          <w:rStyle w:val="Refdenotaalpie"/>
          <w:rFonts w:ascii="Abadi" w:hAnsi="Abadi"/>
          <w:sz w:val="12"/>
          <w:szCs w:val="12"/>
        </w:rPr>
        <w:footnoteRef/>
      </w:r>
      <w:r w:rsidRPr="001E4341">
        <w:rPr>
          <w:rFonts w:ascii="Abadi" w:hAnsi="Abadi"/>
          <w:sz w:val="12"/>
          <w:szCs w:val="12"/>
        </w:rPr>
        <w:t xml:space="preserve"> </w:t>
      </w:r>
      <w:r w:rsidRPr="001E4341">
        <w:rPr>
          <w:rFonts w:ascii="Abadi" w:hAnsi="Abadi" w:cs="*Arial-7830-Identity-H"/>
          <w:color w:val="1A1920"/>
          <w:sz w:val="12"/>
          <w:szCs w:val="12"/>
          <w:lang w:val="es-MX" w:eastAsia="es-MX"/>
        </w:rPr>
        <w:t>Diccionario Jurídico Mexicano, Instituto de Investigaciones Jurídicas de la UNAM, disponible en:</w:t>
      </w:r>
    </w:p>
    <w:p w14:paraId="6F61303D" w14:textId="3B068703" w:rsidR="001E4341" w:rsidRPr="001E4341" w:rsidRDefault="001E4341" w:rsidP="001E4341">
      <w:pPr>
        <w:pStyle w:val="Textonotapie"/>
        <w:rPr>
          <w:rFonts w:ascii="Abadi" w:hAnsi="Abadi"/>
          <w:sz w:val="12"/>
          <w:szCs w:val="12"/>
        </w:rPr>
      </w:pPr>
      <w:r w:rsidRPr="001E4341">
        <w:rPr>
          <w:rFonts w:ascii="Abadi" w:hAnsi="Abadi" w:cs="*Arial-7830-Identity-H"/>
          <w:color w:val="185089"/>
          <w:sz w:val="12"/>
          <w:szCs w:val="12"/>
          <w:lang w:eastAsia="es-MX"/>
        </w:rPr>
        <w:t>https</w:t>
      </w:r>
      <w:r w:rsidRPr="001E4341">
        <w:rPr>
          <w:rFonts w:ascii="Abadi" w:hAnsi="Abadi" w:cs="*Arial-7830-Identity-H"/>
          <w:color w:val="2A4270"/>
          <w:sz w:val="12"/>
          <w:szCs w:val="12"/>
          <w:lang w:eastAsia="es-MX"/>
        </w:rPr>
        <w:t>:</w:t>
      </w:r>
      <w:r w:rsidRPr="001E4341">
        <w:rPr>
          <w:rFonts w:ascii="Abadi" w:hAnsi="Abadi" w:cs="*Arial-7830-Identity-H"/>
          <w:color w:val="185089"/>
          <w:sz w:val="12"/>
          <w:szCs w:val="12"/>
          <w:lang w:eastAsia="es-MX"/>
        </w:rPr>
        <w:t>//archivos</w:t>
      </w:r>
      <w:r w:rsidRPr="001E4341">
        <w:rPr>
          <w:rFonts w:ascii="Abadi" w:hAnsi="Abadi" w:cs="*Arial-7830-Identity-H"/>
          <w:color w:val="2A4270"/>
          <w:sz w:val="12"/>
          <w:szCs w:val="12"/>
          <w:lang w:eastAsia="es-MX"/>
        </w:rPr>
        <w:t>.</w:t>
      </w:r>
      <w:r w:rsidRPr="001E4341">
        <w:rPr>
          <w:rFonts w:ascii="Abadi" w:hAnsi="Abadi" w:cs="*Arial-7830-Identity-H"/>
          <w:color w:val="185089"/>
          <w:sz w:val="12"/>
          <w:szCs w:val="12"/>
          <w:lang w:eastAsia="es-MX"/>
        </w:rPr>
        <w:t>jurid</w:t>
      </w:r>
      <w:r w:rsidRPr="001E4341">
        <w:rPr>
          <w:rFonts w:ascii="Abadi" w:hAnsi="Abadi" w:cs="*Arial-7830-Identity-H"/>
          <w:color w:val="185870"/>
          <w:sz w:val="12"/>
          <w:szCs w:val="12"/>
          <w:lang w:eastAsia="es-MX"/>
        </w:rPr>
        <w:t>i</w:t>
      </w:r>
      <w:r w:rsidRPr="001E4341">
        <w:rPr>
          <w:rFonts w:ascii="Abadi" w:hAnsi="Abadi" w:cs="*Arial-7830-Identity-H"/>
          <w:color w:val="185089"/>
          <w:sz w:val="12"/>
          <w:szCs w:val="12"/>
          <w:lang w:eastAsia="es-MX"/>
        </w:rPr>
        <w:t>cas.unam</w:t>
      </w:r>
      <w:r w:rsidRPr="001E4341">
        <w:rPr>
          <w:rFonts w:ascii="Abadi" w:hAnsi="Abadi" w:cs="*Arial-7830-Identity-H"/>
          <w:color w:val="243850"/>
          <w:sz w:val="12"/>
          <w:szCs w:val="12"/>
          <w:lang w:eastAsia="es-MX"/>
        </w:rPr>
        <w:t>.</w:t>
      </w:r>
      <w:r w:rsidRPr="001E4341">
        <w:rPr>
          <w:rFonts w:ascii="Abadi" w:hAnsi="Abadi" w:cs="*Arial-7830-Identity-H"/>
          <w:color w:val="185089"/>
          <w:sz w:val="12"/>
          <w:szCs w:val="12"/>
          <w:lang w:eastAsia="es-MX"/>
        </w:rPr>
        <w:t>mx/</w:t>
      </w:r>
      <w:r w:rsidRPr="001E4341">
        <w:rPr>
          <w:rFonts w:ascii="Abadi" w:hAnsi="Abadi" w:cs="*Arial-7830-Identity-H"/>
          <w:color w:val="156398"/>
          <w:sz w:val="12"/>
          <w:szCs w:val="12"/>
          <w:lang w:eastAsia="es-MX"/>
        </w:rPr>
        <w:t>www</w:t>
      </w:r>
      <w:r w:rsidRPr="001E4341">
        <w:rPr>
          <w:rFonts w:ascii="Abadi" w:hAnsi="Abadi" w:cs="*Arial-7830-Identity-H"/>
          <w:color w:val="185089"/>
          <w:sz w:val="12"/>
          <w:szCs w:val="12"/>
          <w:lang w:eastAsia="es-MX"/>
        </w:rPr>
        <w:t>/bjv/libros/3/1175/6</w:t>
      </w:r>
      <w:r w:rsidRPr="001E4341">
        <w:rPr>
          <w:rFonts w:ascii="Abadi" w:hAnsi="Abadi" w:cs="*Arial-7830-Identity-H"/>
          <w:color w:val="285054"/>
          <w:sz w:val="12"/>
          <w:szCs w:val="12"/>
          <w:lang w:eastAsia="es-MX"/>
        </w:rPr>
        <w:t>.</w:t>
      </w:r>
      <w:r w:rsidRPr="001E4341">
        <w:rPr>
          <w:rFonts w:ascii="Abadi" w:hAnsi="Abadi" w:cs="*Arial-7830-Identity-H"/>
          <w:color w:val="185089"/>
          <w:sz w:val="12"/>
          <w:szCs w:val="12"/>
          <w:lang w:eastAsia="es-MX"/>
        </w:rPr>
        <w:t>pdf</w:t>
      </w:r>
    </w:p>
  </w:footnote>
  <w:footnote w:id="32">
    <w:p w14:paraId="2A24C799" w14:textId="77777777" w:rsidR="00C62622" w:rsidRPr="00C62622" w:rsidRDefault="00C62622" w:rsidP="00C62622">
      <w:pPr>
        <w:autoSpaceDE w:val="0"/>
        <w:autoSpaceDN w:val="0"/>
        <w:adjustRightInd w:val="0"/>
        <w:rPr>
          <w:rFonts w:ascii="Abadi" w:hAnsi="Abadi" w:cs="*Arial-8154-Identity-H"/>
          <w:color w:val="17161C"/>
          <w:sz w:val="12"/>
          <w:szCs w:val="12"/>
          <w:lang w:val="es-MX" w:eastAsia="es-MX"/>
        </w:rPr>
      </w:pPr>
      <w:r w:rsidRPr="00C62622">
        <w:rPr>
          <w:rStyle w:val="Refdenotaalpie"/>
          <w:rFonts w:ascii="Abadi" w:hAnsi="Abadi"/>
          <w:sz w:val="12"/>
          <w:szCs w:val="12"/>
        </w:rPr>
        <w:footnoteRef/>
      </w:r>
      <w:r w:rsidRPr="00C62622">
        <w:rPr>
          <w:rFonts w:ascii="Abadi" w:hAnsi="Abadi"/>
          <w:sz w:val="12"/>
          <w:szCs w:val="12"/>
        </w:rPr>
        <w:t xml:space="preserve"> </w:t>
      </w:r>
      <w:r w:rsidRPr="00C62622">
        <w:rPr>
          <w:rFonts w:ascii="Abadi" w:hAnsi="Abadi" w:cs="*Arial-8154-Identity-H"/>
          <w:color w:val="17161C"/>
          <w:sz w:val="12"/>
          <w:szCs w:val="12"/>
          <w:lang w:val="es-MX" w:eastAsia="es-MX"/>
        </w:rPr>
        <w:t>Diccionario Jurídico Mexicano, Instituto de Investigaciones Jurídicas de la UNAM, disponible en:</w:t>
      </w:r>
    </w:p>
    <w:p w14:paraId="2B49334B" w14:textId="600A023C" w:rsidR="00C62622" w:rsidRPr="00C62622" w:rsidRDefault="00C62622" w:rsidP="00C62622">
      <w:pPr>
        <w:pStyle w:val="Textonotapie"/>
        <w:rPr>
          <w:rFonts w:ascii="Abadi" w:hAnsi="Abadi"/>
          <w:sz w:val="12"/>
          <w:szCs w:val="12"/>
        </w:rPr>
      </w:pPr>
      <w:r w:rsidRPr="00C62622">
        <w:rPr>
          <w:rFonts w:ascii="Abadi" w:hAnsi="Abadi" w:cs="*Arial-8154-Identity-H"/>
          <w:color w:val="114D86"/>
          <w:sz w:val="12"/>
          <w:szCs w:val="12"/>
          <w:lang w:eastAsia="es-MX"/>
        </w:rPr>
        <w:t>https</w:t>
      </w:r>
      <w:r w:rsidRPr="00C62622">
        <w:rPr>
          <w:rFonts w:ascii="Abadi" w:hAnsi="Abadi" w:cs="*Arial-8154-Identity-H"/>
          <w:color w:val="0F3E6F"/>
          <w:sz w:val="12"/>
          <w:szCs w:val="12"/>
          <w:lang w:eastAsia="es-MX"/>
        </w:rPr>
        <w:t>:</w:t>
      </w:r>
      <w:r w:rsidRPr="00C62622">
        <w:rPr>
          <w:rFonts w:ascii="Abadi" w:hAnsi="Abadi" w:cs="*Arial-8154-Identity-H"/>
          <w:color w:val="114D86"/>
          <w:sz w:val="12"/>
          <w:szCs w:val="12"/>
          <w:lang w:eastAsia="es-MX"/>
        </w:rPr>
        <w:t>//archivos</w:t>
      </w:r>
      <w:r w:rsidRPr="00C62622">
        <w:rPr>
          <w:rFonts w:ascii="Abadi" w:hAnsi="Abadi" w:cs="*Arial-8154-Identity-H"/>
          <w:color w:val="0F3E6F"/>
          <w:sz w:val="12"/>
          <w:szCs w:val="12"/>
          <w:lang w:eastAsia="es-MX"/>
        </w:rPr>
        <w:t xml:space="preserve">. </w:t>
      </w:r>
      <w:r w:rsidRPr="00C62622">
        <w:rPr>
          <w:rFonts w:ascii="Abadi" w:hAnsi="Abadi" w:cs="*Arial-8154-Identity-H"/>
          <w:color w:val="114D86"/>
          <w:sz w:val="12"/>
          <w:szCs w:val="12"/>
          <w:lang w:eastAsia="es-MX"/>
        </w:rPr>
        <w:t>juridicas</w:t>
      </w:r>
      <w:r w:rsidRPr="00C62622">
        <w:rPr>
          <w:rFonts w:ascii="Abadi" w:hAnsi="Abadi" w:cs="*Arial-8154-Identity-H"/>
          <w:color w:val="0F3E6F"/>
          <w:sz w:val="12"/>
          <w:szCs w:val="12"/>
          <w:lang w:eastAsia="es-MX"/>
        </w:rPr>
        <w:t xml:space="preserve">. </w:t>
      </w:r>
      <w:r w:rsidRPr="00C62622">
        <w:rPr>
          <w:rFonts w:ascii="Abadi" w:hAnsi="Abadi" w:cs="*Arial-8154-Identity-H"/>
          <w:color w:val="0B529B"/>
          <w:sz w:val="12"/>
          <w:szCs w:val="12"/>
          <w:lang w:eastAsia="es-MX"/>
        </w:rPr>
        <w:t>u</w:t>
      </w:r>
      <w:r w:rsidRPr="00C62622">
        <w:rPr>
          <w:rFonts w:ascii="Abadi" w:hAnsi="Abadi" w:cs="*Arial-8154-Identity-H"/>
          <w:color w:val="114D86"/>
          <w:sz w:val="12"/>
          <w:szCs w:val="12"/>
          <w:lang w:eastAsia="es-MX"/>
        </w:rPr>
        <w:t>nam</w:t>
      </w:r>
      <w:r w:rsidRPr="00C62622">
        <w:rPr>
          <w:rFonts w:ascii="Abadi" w:hAnsi="Abadi" w:cs="*Arial-8154-Identity-H"/>
          <w:color w:val="0F3E6F"/>
          <w:sz w:val="12"/>
          <w:szCs w:val="12"/>
          <w:lang w:eastAsia="es-MX"/>
        </w:rPr>
        <w:t xml:space="preserve">. </w:t>
      </w:r>
      <w:r w:rsidRPr="00C62622">
        <w:rPr>
          <w:rFonts w:ascii="Abadi" w:hAnsi="Abadi" w:cs="*Arial-8154-Identity-H"/>
          <w:color w:val="114D86"/>
          <w:sz w:val="12"/>
          <w:szCs w:val="12"/>
          <w:lang w:eastAsia="es-MX"/>
        </w:rPr>
        <w:t>mx/</w:t>
      </w:r>
      <w:r w:rsidRPr="00C62622">
        <w:rPr>
          <w:rFonts w:ascii="Abadi" w:hAnsi="Abadi" w:cs="*Arial-8154-Identity-H"/>
          <w:color w:val="0B529B"/>
          <w:sz w:val="12"/>
          <w:szCs w:val="12"/>
          <w:lang w:eastAsia="es-MX"/>
        </w:rPr>
        <w:t>w</w:t>
      </w:r>
      <w:r w:rsidRPr="00C62622">
        <w:rPr>
          <w:rFonts w:ascii="Abadi" w:hAnsi="Abadi" w:cs="*Arial-8154-Identity-H"/>
          <w:color w:val="114D86"/>
          <w:sz w:val="12"/>
          <w:szCs w:val="12"/>
          <w:lang w:eastAsia="es-MX"/>
        </w:rPr>
        <w:t>ww/bjv/</w:t>
      </w:r>
      <w:r w:rsidRPr="00C62622">
        <w:rPr>
          <w:rFonts w:ascii="Abadi" w:hAnsi="Abadi" w:cs="*Arial-8154-Identity-H"/>
          <w:color w:val="0B529B"/>
          <w:sz w:val="12"/>
          <w:szCs w:val="12"/>
          <w:lang w:eastAsia="es-MX"/>
        </w:rPr>
        <w:t>l</w:t>
      </w:r>
      <w:r w:rsidRPr="00C62622">
        <w:rPr>
          <w:rFonts w:ascii="Abadi" w:hAnsi="Abadi" w:cs="*Arial-8154-Identity-H"/>
          <w:color w:val="114D86"/>
          <w:sz w:val="12"/>
          <w:szCs w:val="12"/>
          <w:lang w:eastAsia="es-MX"/>
        </w:rPr>
        <w:t>ibros/3</w:t>
      </w:r>
      <w:r w:rsidRPr="00C62622">
        <w:rPr>
          <w:rFonts w:ascii="Abadi" w:hAnsi="Abadi" w:cs="*Arial-8154-Identity-H"/>
          <w:color w:val="0F3E6F"/>
          <w:sz w:val="12"/>
          <w:szCs w:val="12"/>
          <w:lang w:eastAsia="es-MX"/>
        </w:rPr>
        <w:t>/</w:t>
      </w:r>
      <w:r w:rsidRPr="00C62622">
        <w:rPr>
          <w:rFonts w:ascii="Abadi" w:hAnsi="Abadi" w:cs="*Arial-8154-Identity-H"/>
          <w:color w:val="114D86"/>
          <w:sz w:val="12"/>
          <w:szCs w:val="12"/>
          <w:lang w:eastAsia="es-MX"/>
        </w:rPr>
        <w:t>1175</w:t>
      </w:r>
      <w:r w:rsidRPr="00C62622">
        <w:rPr>
          <w:rFonts w:ascii="Abadi" w:hAnsi="Abadi" w:cs="*Arial-8154-Identity-H"/>
          <w:color w:val="0F3E6F"/>
          <w:sz w:val="12"/>
          <w:szCs w:val="12"/>
          <w:lang w:eastAsia="es-MX"/>
        </w:rPr>
        <w:t>/</w:t>
      </w:r>
      <w:r w:rsidRPr="00C62622">
        <w:rPr>
          <w:rFonts w:ascii="Abadi" w:hAnsi="Abadi" w:cs="*Arial-8154-Identity-H"/>
          <w:color w:val="114D86"/>
          <w:sz w:val="12"/>
          <w:szCs w:val="12"/>
          <w:lang w:eastAsia="es-MX"/>
        </w:rPr>
        <w:t>6</w:t>
      </w:r>
      <w:r w:rsidRPr="00C62622">
        <w:rPr>
          <w:rFonts w:ascii="Abadi" w:hAnsi="Abadi" w:cs="*Arial-8154-Identity-H"/>
          <w:color w:val="142458"/>
          <w:sz w:val="12"/>
          <w:szCs w:val="12"/>
          <w:lang w:eastAsia="es-MX"/>
        </w:rPr>
        <w:t xml:space="preserve">. </w:t>
      </w:r>
      <w:r w:rsidRPr="00C62622">
        <w:rPr>
          <w:rFonts w:ascii="Abadi" w:hAnsi="Abadi" w:cs="*Arial-8154-Identity-H"/>
          <w:color w:val="114D86"/>
          <w:sz w:val="12"/>
          <w:szCs w:val="12"/>
          <w:lang w:eastAsia="es-MX"/>
        </w:rPr>
        <w:t>pdf</w:t>
      </w:r>
    </w:p>
  </w:footnote>
  <w:footnote w:id="33">
    <w:p w14:paraId="0985A314" w14:textId="77777777" w:rsidR="00600B0C" w:rsidRPr="00600B0C" w:rsidRDefault="00600B0C" w:rsidP="00600B0C">
      <w:pPr>
        <w:autoSpaceDE w:val="0"/>
        <w:autoSpaceDN w:val="0"/>
        <w:adjustRightInd w:val="0"/>
        <w:rPr>
          <w:rFonts w:ascii="Abadi" w:hAnsi="Abadi" w:cs="*Arial-7620-Identity-H"/>
          <w:color w:val="17161C"/>
          <w:sz w:val="12"/>
          <w:szCs w:val="12"/>
          <w:lang w:val="es-MX" w:eastAsia="es-MX"/>
        </w:rPr>
      </w:pPr>
      <w:r w:rsidRPr="00600B0C">
        <w:rPr>
          <w:rStyle w:val="Refdenotaalpie"/>
          <w:rFonts w:ascii="Abadi" w:hAnsi="Abadi"/>
          <w:sz w:val="12"/>
          <w:szCs w:val="12"/>
        </w:rPr>
        <w:footnoteRef/>
      </w:r>
      <w:r w:rsidRPr="00600B0C">
        <w:rPr>
          <w:rFonts w:ascii="Abadi" w:hAnsi="Abadi"/>
          <w:sz w:val="12"/>
          <w:szCs w:val="12"/>
        </w:rPr>
        <w:t xml:space="preserve"> </w:t>
      </w:r>
      <w:r w:rsidRPr="00600B0C">
        <w:rPr>
          <w:rFonts w:ascii="Abadi" w:hAnsi="Abadi" w:cs="*Arial-7620-Identity-H"/>
          <w:color w:val="17161C"/>
          <w:sz w:val="12"/>
          <w:szCs w:val="12"/>
          <w:lang w:val="es-MX" w:eastAsia="es-MX"/>
        </w:rPr>
        <w:t>Diccionario Jurídico Mexicano, Instituto de Investigaciones Jurídicas de la UNAM, disponible en:</w:t>
      </w:r>
    </w:p>
    <w:p w14:paraId="3E9FB43C" w14:textId="66CDE984" w:rsidR="00600B0C" w:rsidRPr="00600B0C" w:rsidRDefault="00600B0C" w:rsidP="00600B0C">
      <w:pPr>
        <w:pStyle w:val="Textonotapie"/>
        <w:rPr>
          <w:rFonts w:ascii="Abadi" w:hAnsi="Abadi"/>
          <w:sz w:val="12"/>
          <w:szCs w:val="12"/>
        </w:rPr>
      </w:pPr>
      <w:r w:rsidRPr="00600B0C">
        <w:rPr>
          <w:rFonts w:ascii="Abadi" w:hAnsi="Abadi" w:cs="*Arial-7620-Identity-H"/>
          <w:color w:val="124E83"/>
          <w:sz w:val="12"/>
          <w:szCs w:val="12"/>
          <w:lang w:eastAsia="es-MX"/>
        </w:rPr>
        <w:t>https://archivos. juridicas</w:t>
      </w:r>
      <w:r w:rsidRPr="00600B0C">
        <w:rPr>
          <w:rFonts w:ascii="Abadi" w:hAnsi="Abadi" w:cs="*Arial-7620-Identity-H"/>
          <w:color w:val="16363A"/>
          <w:sz w:val="12"/>
          <w:szCs w:val="12"/>
          <w:lang w:eastAsia="es-MX"/>
        </w:rPr>
        <w:t xml:space="preserve">. </w:t>
      </w:r>
      <w:r w:rsidRPr="00600B0C">
        <w:rPr>
          <w:rFonts w:ascii="Abadi" w:hAnsi="Abadi" w:cs="*Arial-7620-Identity-H"/>
          <w:color w:val="0F6098"/>
          <w:sz w:val="12"/>
          <w:szCs w:val="12"/>
          <w:lang w:eastAsia="es-MX"/>
        </w:rPr>
        <w:t>u</w:t>
      </w:r>
      <w:r w:rsidRPr="00600B0C">
        <w:rPr>
          <w:rFonts w:ascii="Abadi" w:hAnsi="Abadi" w:cs="*Arial-7620-Identity-H"/>
          <w:color w:val="124E83"/>
          <w:sz w:val="12"/>
          <w:szCs w:val="12"/>
          <w:lang w:eastAsia="es-MX"/>
        </w:rPr>
        <w:t>nam</w:t>
      </w:r>
      <w:r w:rsidRPr="00600B0C">
        <w:rPr>
          <w:rFonts w:ascii="Abadi" w:hAnsi="Abadi" w:cs="*Arial-7620-Identity-H"/>
          <w:color w:val="20445C"/>
          <w:sz w:val="12"/>
          <w:szCs w:val="12"/>
          <w:lang w:eastAsia="es-MX"/>
        </w:rPr>
        <w:t xml:space="preserve">. </w:t>
      </w:r>
      <w:r w:rsidRPr="00600B0C">
        <w:rPr>
          <w:rFonts w:ascii="Abadi" w:hAnsi="Abadi" w:cs="*Arial-7620-Identity-H"/>
          <w:color w:val="124E83"/>
          <w:sz w:val="12"/>
          <w:szCs w:val="12"/>
          <w:lang w:eastAsia="es-MX"/>
        </w:rPr>
        <w:t>mx/</w:t>
      </w:r>
      <w:r w:rsidRPr="00600B0C">
        <w:rPr>
          <w:rFonts w:ascii="Abadi" w:hAnsi="Abadi" w:cs="*Arial-7620-Identity-H"/>
          <w:color w:val="0F6098"/>
          <w:sz w:val="12"/>
          <w:szCs w:val="12"/>
          <w:lang w:eastAsia="es-MX"/>
        </w:rPr>
        <w:t>www</w:t>
      </w:r>
      <w:r w:rsidRPr="00600B0C">
        <w:rPr>
          <w:rFonts w:ascii="Abadi" w:hAnsi="Abadi" w:cs="*Arial-7620-Identity-H"/>
          <w:color w:val="124E83"/>
          <w:sz w:val="12"/>
          <w:szCs w:val="12"/>
          <w:lang w:eastAsia="es-MX"/>
        </w:rPr>
        <w:t>/bjv/libros/3/1175/6</w:t>
      </w:r>
      <w:r w:rsidRPr="00600B0C">
        <w:rPr>
          <w:rFonts w:ascii="Abadi" w:hAnsi="Abadi" w:cs="*Arial-7620-Identity-H"/>
          <w:color w:val="16363A"/>
          <w:sz w:val="12"/>
          <w:szCs w:val="12"/>
          <w:lang w:eastAsia="es-MX"/>
        </w:rPr>
        <w:t xml:space="preserve">. </w:t>
      </w:r>
      <w:r w:rsidRPr="00600B0C">
        <w:rPr>
          <w:rFonts w:ascii="Abadi" w:hAnsi="Abadi" w:cs="*Arial-7620-Identity-H"/>
          <w:color w:val="124E83"/>
          <w:sz w:val="12"/>
          <w:szCs w:val="12"/>
          <w:lang w:eastAsia="es-MX"/>
        </w:rPr>
        <w:t>pdf</w:t>
      </w:r>
    </w:p>
  </w:footnote>
  <w:footnote w:id="34">
    <w:p w14:paraId="4943B086" w14:textId="77777777" w:rsidR="00BC6307" w:rsidRPr="00BC6307" w:rsidRDefault="00BC6307" w:rsidP="00BC6307">
      <w:pPr>
        <w:autoSpaceDE w:val="0"/>
        <w:autoSpaceDN w:val="0"/>
        <w:adjustRightInd w:val="0"/>
        <w:rPr>
          <w:rFonts w:ascii="Abadi" w:hAnsi="Abadi" w:cs="*Arial-7920-Identity-H"/>
          <w:color w:val="17151C"/>
          <w:sz w:val="12"/>
          <w:szCs w:val="12"/>
          <w:lang w:val="es-MX" w:eastAsia="es-MX"/>
        </w:rPr>
      </w:pPr>
      <w:r w:rsidRPr="00BC6307">
        <w:rPr>
          <w:rStyle w:val="Refdenotaalpie"/>
          <w:rFonts w:ascii="Abadi" w:hAnsi="Abadi"/>
          <w:sz w:val="12"/>
          <w:szCs w:val="12"/>
        </w:rPr>
        <w:footnoteRef/>
      </w:r>
      <w:r w:rsidRPr="00BC6307">
        <w:rPr>
          <w:rFonts w:ascii="Abadi" w:hAnsi="Abadi"/>
          <w:sz w:val="12"/>
          <w:szCs w:val="12"/>
        </w:rPr>
        <w:t xml:space="preserve"> </w:t>
      </w:r>
      <w:r w:rsidRPr="00BC6307">
        <w:rPr>
          <w:rFonts w:ascii="Abadi" w:hAnsi="Abadi" w:cs="*Arial-7920-Identity-H"/>
          <w:color w:val="17151C"/>
          <w:sz w:val="12"/>
          <w:szCs w:val="12"/>
          <w:lang w:val="es-MX" w:eastAsia="es-MX"/>
        </w:rPr>
        <w:t>Diccionario Jurídico Mexicano, Instituto de Investigaciones Jurídicas de la UNAM, disponible en:</w:t>
      </w:r>
    </w:p>
    <w:p w14:paraId="5DABBF04" w14:textId="44D7CE09" w:rsidR="00BC6307" w:rsidRPr="00BC6307" w:rsidRDefault="00BC6307" w:rsidP="00BC6307">
      <w:pPr>
        <w:pStyle w:val="Textonotapie"/>
        <w:rPr>
          <w:rFonts w:ascii="Abadi" w:hAnsi="Abadi"/>
          <w:sz w:val="12"/>
          <w:szCs w:val="12"/>
        </w:rPr>
      </w:pPr>
      <w:r w:rsidRPr="00BC6307">
        <w:rPr>
          <w:rFonts w:ascii="Abadi" w:hAnsi="Abadi" w:cs="*Arial-7920-Identity-H"/>
          <w:color w:val="10508D"/>
          <w:sz w:val="12"/>
          <w:szCs w:val="12"/>
          <w:lang w:eastAsia="es-MX"/>
        </w:rPr>
        <w:t>h</w:t>
      </w:r>
      <w:r w:rsidRPr="00BC6307">
        <w:rPr>
          <w:rFonts w:ascii="Abadi" w:hAnsi="Abadi" w:cs="*Arial-7920-Identity-H"/>
          <w:color w:val="0C61A4"/>
          <w:sz w:val="12"/>
          <w:szCs w:val="12"/>
          <w:lang w:eastAsia="es-MX"/>
        </w:rPr>
        <w:t>tt</w:t>
      </w:r>
      <w:r w:rsidRPr="00BC6307">
        <w:rPr>
          <w:rFonts w:ascii="Abadi" w:hAnsi="Abadi" w:cs="*Arial-7920-Identity-H"/>
          <w:color w:val="10508D"/>
          <w:sz w:val="12"/>
          <w:szCs w:val="12"/>
          <w:lang w:eastAsia="es-MX"/>
        </w:rPr>
        <w:t>ps</w:t>
      </w:r>
      <w:r w:rsidRPr="00BC6307">
        <w:rPr>
          <w:rFonts w:ascii="Abadi" w:hAnsi="Abadi" w:cs="*Arial-7920-Identity-H"/>
          <w:color w:val="1E3C6C"/>
          <w:sz w:val="12"/>
          <w:szCs w:val="12"/>
          <w:lang w:eastAsia="es-MX"/>
        </w:rPr>
        <w:t>:</w:t>
      </w:r>
      <w:r w:rsidRPr="00BC6307">
        <w:rPr>
          <w:rFonts w:ascii="Abadi" w:hAnsi="Abadi" w:cs="*Arial-7920-Identity-H"/>
          <w:color w:val="10508D"/>
          <w:sz w:val="12"/>
          <w:szCs w:val="12"/>
          <w:lang w:eastAsia="es-MX"/>
        </w:rPr>
        <w:t>//archivos</w:t>
      </w:r>
      <w:r w:rsidRPr="00BC6307">
        <w:rPr>
          <w:rFonts w:ascii="Abadi" w:hAnsi="Abadi" w:cs="*Arial-7920-Identity-H"/>
          <w:color w:val="123C52"/>
          <w:sz w:val="12"/>
          <w:szCs w:val="12"/>
          <w:lang w:eastAsia="es-MX"/>
        </w:rPr>
        <w:t>.</w:t>
      </w:r>
      <w:r w:rsidRPr="00BC6307">
        <w:rPr>
          <w:rFonts w:ascii="Abadi" w:hAnsi="Abadi" w:cs="*Arial-7920-Identity-H"/>
          <w:color w:val="10508D"/>
          <w:sz w:val="12"/>
          <w:szCs w:val="12"/>
          <w:lang w:eastAsia="es-MX"/>
        </w:rPr>
        <w:t>juridicas</w:t>
      </w:r>
      <w:r w:rsidRPr="00BC6307">
        <w:rPr>
          <w:rFonts w:ascii="Abadi" w:hAnsi="Abadi" w:cs="*Arial-7920-Identity-H"/>
          <w:color w:val="1E3C6C"/>
          <w:sz w:val="12"/>
          <w:szCs w:val="12"/>
          <w:lang w:eastAsia="es-MX"/>
        </w:rPr>
        <w:t>.</w:t>
      </w:r>
      <w:r w:rsidRPr="00BC6307">
        <w:rPr>
          <w:rFonts w:ascii="Abadi" w:hAnsi="Abadi" w:cs="*Arial-7920-Identity-H"/>
          <w:color w:val="10508D"/>
          <w:sz w:val="12"/>
          <w:szCs w:val="12"/>
          <w:lang w:eastAsia="es-MX"/>
        </w:rPr>
        <w:t>unam</w:t>
      </w:r>
      <w:r w:rsidRPr="00BC6307">
        <w:rPr>
          <w:rFonts w:ascii="Abadi" w:hAnsi="Abadi" w:cs="*Arial-7920-Identity-H"/>
          <w:color w:val="1E3C6C"/>
          <w:sz w:val="12"/>
          <w:szCs w:val="12"/>
          <w:lang w:eastAsia="es-MX"/>
        </w:rPr>
        <w:t>.</w:t>
      </w:r>
      <w:r w:rsidRPr="00BC6307">
        <w:rPr>
          <w:rFonts w:ascii="Abadi" w:hAnsi="Abadi" w:cs="*Arial-7920-Identity-H"/>
          <w:color w:val="10508D"/>
          <w:sz w:val="12"/>
          <w:szCs w:val="12"/>
          <w:lang w:eastAsia="es-MX"/>
        </w:rPr>
        <w:t>mx/www/bjv/libros/3/1175</w:t>
      </w:r>
      <w:r w:rsidRPr="00BC6307">
        <w:rPr>
          <w:rFonts w:ascii="Abadi" w:hAnsi="Abadi" w:cs="*Arial-7920-Identity-H"/>
          <w:color w:val="1E3C6C"/>
          <w:sz w:val="12"/>
          <w:szCs w:val="12"/>
          <w:lang w:eastAsia="es-MX"/>
        </w:rPr>
        <w:t>/</w:t>
      </w:r>
      <w:r w:rsidRPr="00BC6307">
        <w:rPr>
          <w:rFonts w:ascii="Abadi" w:hAnsi="Abadi" w:cs="*Arial-7920-Identity-H"/>
          <w:color w:val="10508D"/>
          <w:sz w:val="12"/>
          <w:szCs w:val="12"/>
          <w:lang w:eastAsia="es-MX"/>
        </w:rPr>
        <w:t>6</w:t>
      </w:r>
      <w:r w:rsidRPr="00BC6307">
        <w:rPr>
          <w:rFonts w:ascii="Abadi" w:hAnsi="Abadi" w:cs="*Arial-7920-Identity-H"/>
          <w:color w:val="123C52"/>
          <w:sz w:val="12"/>
          <w:szCs w:val="12"/>
          <w:lang w:eastAsia="es-MX"/>
        </w:rPr>
        <w:t>.</w:t>
      </w:r>
      <w:r w:rsidRPr="00BC6307">
        <w:rPr>
          <w:rFonts w:ascii="Abadi" w:hAnsi="Abadi" w:cs="*Arial-7920-Identity-H"/>
          <w:color w:val="10508D"/>
          <w:sz w:val="12"/>
          <w:szCs w:val="12"/>
          <w:lang w:eastAsia="es-MX"/>
        </w:rPr>
        <w:t>pdf</w:t>
      </w:r>
    </w:p>
  </w:footnote>
  <w:footnote w:id="35">
    <w:p w14:paraId="1E18A67C" w14:textId="4E9ACCB9" w:rsidR="002000AC" w:rsidRPr="002B20F5" w:rsidRDefault="002000AC" w:rsidP="002000AC">
      <w:pPr>
        <w:pStyle w:val="Textonotapie"/>
        <w:rPr>
          <w:sz w:val="12"/>
          <w:szCs w:val="12"/>
        </w:rPr>
      </w:pPr>
      <w:r w:rsidRPr="002000AC">
        <w:rPr>
          <w:rStyle w:val="Refdenotaalpie"/>
          <w:rFonts w:ascii="Abadi" w:hAnsi="Abadi"/>
          <w:sz w:val="16"/>
          <w:szCs w:val="16"/>
        </w:rPr>
        <w:footnoteRef/>
      </w:r>
      <w:r>
        <w:t xml:space="preserve"> </w:t>
      </w:r>
      <w:r w:rsidRPr="002B20F5">
        <w:rPr>
          <w:sz w:val="12"/>
          <w:szCs w:val="12"/>
        </w:rPr>
        <w:t>(Duración</w:t>
      </w:r>
      <w:r>
        <w:rPr>
          <w:sz w:val="12"/>
          <w:szCs w:val="12"/>
        </w:rPr>
        <w:t xml:space="preserve"> de la sesión</w:t>
      </w:r>
      <w:r w:rsidRPr="002B20F5">
        <w:rPr>
          <w:sz w:val="12"/>
          <w:szCs w:val="12"/>
        </w:rPr>
        <w:t xml:space="preserve">) </w:t>
      </w:r>
      <w:r w:rsidR="008D43C2">
        <w:rPr>
          <w:sz w:val="12"/>
          <w:szCs w:val="12"/>
        </w:rPr>
        <w:t>cuatro horas</w:t>
      </w:r>
      <w:r>
        <w:rPr>
          <w:sz w:val="12"/>
          <w:szCs w:val="12"/>
        </w:rPr>
        <w:t xml:space="preserve"> con </w:t>
      </w:r>
      <w:r w:rsidR="00705371">
        <w:rPr>
          <w:sz w:val="12"/>
          <w:szCs w:val="12"/>
        </w:rPr>
        <w:t>treinta</w:t>
      </w:r>
      <w:r w:rsidR="008D43C2">
        <w:rPr>
          <w:sz w:val="12"/>
          <w:szCs w:val="12"/>
        </w:rPr>
        <w:t xml:space="preserve"> y </w:t>
      </w:r>
      <w:r w:rsidR="000C0E78">
        <w:rPr>
          <w:sz w:val="12"/>
          <w:szCs w:val="12"/>
        </w:rPr>
        <w:t>siete</w:t>
      </w:r>
      <w:r w:rsidR="008D43C2">
        <w:rPr>
          <w:sz w:val="12"/>
          <w:szCs w:val="12"/>
        </w:rPr>
        <w:t xml:space="preserve"> </w:t>
      </w:r>
      <w:r w:rsidRPr="002B20F5">
        <w:rPr>
          <w:sz w:val="12"/>
          <w:szCs w:val="12"/>
        </w:rPr>
        <w:t>minutos.</w:t>
      </w:r>
    </w:p>
    <w:p w14:paraId="62148095" w14:textId="32B7B1A6" w:rsidR="002000AC" w:rsidRDefault="002000AC">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7BA8BFB9">
          <wp:simplePos x="0" y="0"/>
          <wp:positionH relativeFrom="column">
            <wp:posOffset>2482215</wp:posOffset>
          </wp:positionH>
          <wp:positionV relativeFrom="paragraph">
            <wp:posOffset>-134620</wp:posOffset>
          </wp:positionV>
          <wp:extent cx="638175" cy="266615"/>
          <wp:effectExtent l="0" t="0" r="0" b="0"/>
          <wp:wrapNone/>
          <wp:docPr id="32" name="Imagen 3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0" behindDoc="1" locked="0" layoutInCell="0" allowOverlap="1" wp14:anchorId="5668BDCF" wp14:editId="13D00D6D">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30" type="#_x0000_t202" style="position:absolute;left:0;text-align:left;margin-left:-16.4pt;margin-top:316.05pt;width:498.75pt;height:54.75pt;rotation:-45;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43A0B559" w:rsidR="004F5E0C" w:rsidRDefault="003815CD" w:rsidP="000100EA">
    <w:pPr>
      <w:pStyle w:val="Encabezado"/>
      <w:pBdr>
        <w:bottom w:val="single" w:sz="4" w:space="1" w:color="auto"/>
      </w:pBdr>
      <w:tabs>
        <w:tab w:val="clear" w:pos="4419"/>
        <w:tab w:val="clear" w:pos="8838"/>
        <w:tab w:val="left" w:pos="4111"/>
        <w:tab w:val="left" w:pos="5775"/>
        <w:tab w:val="right" w:pos="8789"/>
      </w:tabs>
      <w:jc w:val="center"/>
      <w:rPr>
        <w:rFonts w:ascii="Trebuchet MS" w:hAnsi="Trebuchet MS"/>
        <w:sz w:val="19"/>
      </w:rPr>
    </w:pPr>
    <w:r w:rsidRPr="00CF28D9">
      <w:rPr>
        <w:noProof/>
        <w:lang w:val="es-MX" w:eastAsia="es-MX"/>
      </w:rPr>
      <w:drawing>
        <wp:anchor distT="0" distB="0" distL="114300" distR="114300" simplePos="0" relativeHeight="251670537" behindDoc="1" locked="0" layoutInCell="1" allowOverlap="1" wp14:anchorId="0759FDEA" wp14:editId="41A2A505">
          <wp:simplePos x="0" y="0"/>
          <wp:positionH relativeFrom="page">
            <wp:align>center</wp:align>
          </wp:positionH>
          <wp:positionV relativeFrom="paragraph">
            <wp:posOffset>1704340</wp:posOffset>
          </wp:positionV>
          <wp:extent cx="4800600" cy="4307840"/>
          <wp:effectExtent l="0" t="0" r="0" b="0"/>
          <wp:wrapNone/>
          <wp:docPr id="16" name="Imagen 16"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7AD9" w:rsidRPr="00410AA5">
      <w:rPr>
        <w:noProof/>
        <w:sz w:val="19"/>
        <w:shd w:val="clear" w:color="auto" w:fill="D9D9D9" w:themeFill="background1" w:themeFillShade="D9"/>
      </w:rPr>
      <w:drawing>
        <wp:anchor distT="0" distB="0" distL="114300" distR="114300" simplePos="0" relativeHeight="251658249" behindDoc="0" locked="0" layoutInCell="1" allowOverlap="1" wp14:anchorId="10EB3789" wp14:editId="5FF7E1DD">
          <wp:simplePos x="0" y="0"/>
          <wp:positionH relativeFrom="column">
            <wp:posOffset>2759710</wp:posOffset>
          </wp:positionH>
          <wp:positionV relativeFrom="paragraph">
            <wp:posOffset>-167640</wp:posOffset>
          </wp:positionV>
          <wp:extent cx="729575" cy="304800"/>
          <wp:effectExtent l="0" t="0" r="0" b="0"/>
          <wp:wrapNone/>
          <wp:docPr id="30" name="Imagen 3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729575" cy="304800"/>
                  </a:xfrm>
                  <a:prstGeom prst="rect">
                    <a:avLst/>
                  </a:prstGeom>
                </pic:spPr>
              </pic:pic>
            </a:graphicData>
          </a:graphic>
          <wp14:sizeRelH relativeFrom="margin">
            <wp14:pctWidth>0</wp14:pctWidth>
          </wp14:sizeRelH>
          <wp14:sizeRelV relativeFrom="margin">
            <wp14:pctHeight>0</wp14:pctHeight>
          </wp14:sizeRelV>
        </wp:anchor>
      </w:drawing>
    </w:r>
    <w:r w:rsidR="003E547F" w:rsidRPr="00410AA5">
      <w:rPr>
        <w:noProof/>
        <w:sz w:val="19"/>
        <w:shd w:val="clear" w:color="auto" w:fill="D9D9D9" w:themeFill="background1" w:themeFillShade="D9"/>
      </w:rPr>
      <mc:AlternateContent>
        <mc:Choice Requires="wps">
          <w:drawing>
            <wp:anchor distT="0" distB="0" distL="114300" distR="114300" simplePos="0" relativeHeight="251658241" behindDoc="1" locked="0" layoutInCell="0" allowOverlap="1" wp14:anchorId="5668BDCF" wp14:editId="554C0BB4">
              <wp:simplePos x="0" y="0"/>
              <wp:positionH relativeFrom="margin">
                <wp:posOffset>-737870</wp:posOffset>
              </wp:positionH>
              <wp:positionV relativeFrom="page">
                <wp:align>top</wp:align>
              </wp:positionV>
              <wp:extent cx="6334125" cy="695325"/>
              <wp:effectExtent l="0" t="0" r="0" b="0"/>
              <wp:wrapNone/>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7B3DC54" w14:textId="31EF0D1D" w:rsidR="003E547F" w:rsidRDefault="003E547F" w:rsidP="003E547F">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8" o:spid="_x0000_s1031" type="#_x0000_t202" style="position:absolute;left:0;text-align:left;margin-left:-58.1pt;margin-top:0;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" o:allowincell="f" filled="f" stroked="f">
              <v:stroke joinstyle="round"/>
              <o:lock v:ext="edit" shapetype="t"/>
              <v:textbox style="mso-fit-shape-to-text:t">
                <w:txbxContent>
                  <w:p w14:paraId="27B3DC54" w14:textId="31EF0D1D" w:rsidR="003E547F" w:rsidRDefault="003E547F" w:rsidP="003E547F">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page"/>
            </v:shape>
          </w:pict>
        </mc:Fallback>
      </mc:AlternateContent>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6200E0">
      <w:rPr>
        <w:rFonts w:ascii="Maiandra GD" w:hAnsi="Maiandra GD"/>
        <w:i/>
        <w:iCs/>
        <w:sz w:val="16"/>
        <w:szCs w:val="16"/>
        <w:shd w:val="clear" w:color="auto" w:fill="D9D9D9" w:themeFill="background1" w:themeFillShade="D9"/>
      </w:rPr>
      <w:t>Ordinaria</w:t>
    </w:r>
    <w:r w:rsidR="00361B7B">
      <w:rPr>
        <w:rFonts w:ascii="Maiandra GD" w:hAnsi="Maiandra GD"/>
        <w:i/>
        <w:iCs/>
        <w:sz w:val="16"/>
        <w:szCs w:val="16"/>
        <w:shd w:val="clear" w:color="auto" w:fill="D9D9D9" w:themeFill="background1" w:themeFillShade="D9"/>
      </w:rPr>
      <w:t xml:space="preserve"> </w:t>
    </w:r>
    <w:r w:rsidR="009235BD">
      <w:rPr>
        <w:rFonts w:ascii="Maiandra GD" w:hAnsi="Maiandra GD"/>
        <w:i/>
        <w:iCs/>
        <w:sz w:val="16"/>
        <w:szCs w:val="16"/>
        <w:shd w:val="clear" w:color="auto" w:fill="D9D9D9" w:themeFill="background1" w:themeFillShade="D9"/>
      </w:rPr>
      <w:t>12</w:t>
    </w:r>
    <w:r w:rsidR="00B27AD9">
      <w:rPr>
        <w:rFonts w:ascii="Maiandra GD" w:hAnsi="Maiandra GD"/>
        <w:i/>
        <w:iCs/>
        <w:sz w:val="16"/>
        <w:szCs w:val="16"/>
        <w:shd w:val="clear" w:color="auto" w:fill="D9D9D9" w:themeFill="background1" w:themeFillShade="D9"/>
      </w:rPr>
      <w:t xml:space="preserve"> </w:t>
    </w:r>
    <w:r w:rsidR="00726605">
      <w:rPr>
        <w:rFonts w:ascii="Maiandra GD" w:hAnsi="Maiandra GD"/>
        <w:i/>
        <w:iCs/>
        <w:sz w:val="16"/>
        <w:szCs w:val="16"/>
        <w:shd w:val="clear" w:color="auto" w:fill="D9D9D9" w:themeFill="background1" w:themeFillShade="D9"/>
      </w:rPr>
      <w:t>de</w:t>
    </w:r>
    <w:r w:rsidR="00F90542">
      <w:rPr>
        <w:rFonts w:ascii="Maiandra GD" w:hAnsi="Maiandra GD"/>
        <w:i/>
        <w:iCs/>
        <w:sz w:val="16"/>
        <w:szCs w:val="16"/>
        <w:shd w:val="clear" w:color="auto" w:fill="D9D9D9" w:themeFill="background1" w:themeFillShade="D9"/>
      </w:rPr>
      <w:t xml:space="preserve"> </w:t>
    </w:r>
    <w:r w:rsidR="009235BD">
      <w:rPr>
        <w:rFonts w:ascii="Maiandra GD" w:hAnsi="Maiandra GD"/>
        <w:i/>
        <w:iCs/>
        <w:sz w:val="16"/>
        <w:szCs w:val="16"/>
        <w:shd w:val="clear" w:color="auto" w:fill="D9D9D9" w:themeFill="background1" w:themeFillShade="D9"/>
      </w:rPr>
      <w:t xml:space="preserve">mayo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22</w:t>
    </w:r>
    <w:r w:rsidR="004F5E0C">
      <w:rPr>
        <w:rFonts w:ascii="Maiandra GD" w:hAnsi="Maiandra GD"/>
        <w:i/>
        <w:iCs/>
        <w:sz w:val="16"/>
        <w:szCs w:val="16"/>
      </w:rPr>
      <w:tab/>
    </w:r>
    <w:r w:rsidR="004F5E0C">
      <w:rPr>
        <w:sz w:val="19"/>
      </w:rPr>
      <w:tab/>
    </w:r>
    <w:r w:rsidR="000100EA">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13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390"/>
      <w:gridCol w:w="7748"/>
    </w:tblGrid>
    <w:tr w:rsidR="004F5E0C" w14:paraId="05C301D3" w14:textId="77777777" w:rsidTr="003A3660">
      <w:trPr>
        <w:trHeight w:val="1787"/>
      </w:trPr>
      <w:tc>
        <w:tcPr>
          <w:tcW w:w="2390" w:type="dxa"/>
          <w:shd w:val="clear" w:color="auto" w:fill="FFFFFF"/>
        </w:tcPr>
        <w:p w14:paraId="01CF98B8" w14:textId="777AB8BD" w:rsidR="004F5E0C" w:rsidRPr="006F4511" w:rsidRDefault="00765AF6" w:rsidP="00AA08D1">
          <w:pPr>
            <w:pStyle w:val="Encabezado"/>
            <w:rPr>
              <w:b/>
              <w:u w:val="single"/>
            </w:rPr>
          </w:pPr>
          <w:r>
            <w:rPr>
              <w:noProof/>
            </w:rPr>
            <w:drawing>
              <wp:anchor distT="0" distB="0" distL="114300" distR="114300" simplePos="0" relativeHeight="251658248" behindDoc="1" locked="0" layoutInCell="1" allowOverlap="1" wp14:anchorId="6307C06D" wp14:editId="1D14A627">
                <wp:simplePos x="0" y="0"/>
                <wp:positionH relativeFrom="margin">
                  <wp:posOffset>-41275</wp:posOffset>
                </wp:positionH>
                <wp:positionV relativeFrom="paragraph">
                  <wp:posOffset>271780</wp:posOffset>
                </wp:positionV>
                <wp:extent cx="1421429" cy="590550"/>
                <wp:effectExtent l="0" t="0" r="7620" b="0"/>
                <wp:wrapTight wrapText="bothSides">
                  <wp:wrapPolygon edited="0">
                    <wp:start x="0" y="0"/>
                    <wp:lineTo x="0" y="20903"/>
                    <wp:lineTo x="21426" y="20903"/>
                    <wp:lineTo x="21426"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21728" cy="5906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06CE" w:rsidRPr="006F4511">
            <w:rPr>
              <w:b/>
              <w:u w:val="single"/>
            </w:rPr>
            <w:t xml:space="preserve"> </w:t>
          </w:r>
        </w:p>
        <w:p w14:paraId="14227EC6" w14:textId="282A26FF" w:rsidR="004F5E0C" w:rsidRDefault="004F5E0C" w:rsidP="00AA08D1">
          <w:pPr>
            <w:pStyle w:val="Encabezado"/>
            <w:tabs>
              <w:tab w:val="clear" w:pos="4419"/>
            </w:tabs>
            <w:jc w:val="center"/>
            <w:rPr>
              <w:sz w:val="19"/>
            </w:rPr>
          </w:pPr>
        </w:p>
        <w:p w14:paraId="0A6620B1" w14:textId="77777777" w:rsidR="004F5E0C" w:rsidRPr="006D45D3" w:rsidRDefault="004F5E0C" w:rsidP="00AA08D1">
          <w:pPr>
            <w:pStyle w:val="Encabezado"/>
            <w:tabs>
              <w:tab w:val="clear" w:pos="4419"/>
            </w:tabs>
            <w:jc w:val="center"/>
            <w:rPr>
              <w:sz w:val="19"/>
            </w:rPr>
          </w:pPr>
        </w:p>
      </w:tc>
      <w:tc>
        <w:tcPr>
          <w:tcW w:w="7748" w:type="dxa"/>
          <w:shd w:val="clear" w:color="auto" w:fill="FFFFFF"/>
          <w:vAlign w:val="center"/>
        </w:tcPr>
        <w:p w14:paraId="394742E4" w14:textId="7700AB2B" w:rsidR="00964E3C"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4" behindDoc="0" locked="0" layoutInCell="1" allowOverlap="1" wp14:anchorId="0D3CB943" wp14:editId="40F84E21">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3" type="#_x0000_t202" style="position:absolute;left:0;text-align:left;margin-left:.35pt;margin-top:-43.75pt;width:378.9pt;height:4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jl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k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Ec0I5W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D20971">
            <w:rPr>
              <w:rFonts w:ascii="Maiandra GD" w:hAnsi="Maiandra GD"/>
              <w:b/>
              <w:i/>
              <w:sz w:val="16"/>
              <w:szCs w:val="16"/>
            </w:rPr>
            <w:t xml:space="preserve">CÁMARA DE DIPUTADOS </w:t>
          </w:r>
          <w:r w:rsidR="00964E3C">
            <w:rPr>
              <w:rFonts w:ascii="Maiandra GD" w:hAnsi="Maiandra GD"/>
              <w:b/>
              <w:i/>
              <w:sz w:val="16"/>
              <w:szCs w:val="16"/>
            </w:rPr>
            <w:t xml:space="preserve">DEL </w:t>
          </w:r>
          <w:r w:rsidR="00964E3C" w:rsidRPr="008217CF">
            <w:rPr>
              <w:rFonts w:ascii="Maiandra GD" w:hAnsi="Maiandra GD"/>
              <w:b/>
              <w:i/>
              <w:sz w:val="16"/>
              <w:szCs w:val="16"/>
            </w:rPr>
            <w:t>CONGRESO DEL ESTADO DE GUANAJUATO</w:t>
          </w:r>
          <w:r w:rsidR="00964E3C">
            <w:rPr>
              <w:rFonts w:ascii="Maiandra GD" w:hAnsi="Maiandra GD"/>
              <w:b/>
              <w:i/>
              <w:sz w:val="16"/>
              <w:szCs w:val="16"/>
            </w:rPr>
            <w:t xml:space="preserve"> </w:t>
          </w:r>
        </w:p>
        <w:p w14:paraId="3A5C1CB7" w14:textId="0B9ACAF2" w:rsidR="004F5E0C" w:rsidRDefault="00964E3C"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 xml:space="preserve">DE LA </w:t>
          </w:r>
          <w:r w:rsidR="00294491">
            <w:rPr>
              <w:rFonts w:ascii="Maiandra GD" w:hAnsi="Maiandra GD"/>
              <w:b/>
              <w:i/>
              <w:sz w:val="16"/>
              <w:szCs w:val="16"/>
            </w:rPr>
            <w:t>SEXAGÉSIMA QUINTA LEGISLATURA</w:t>
          </w:r>
          <w:r w:rsidR="00521F34">
            <w:rPr>
              <w:rFonts w:ascii="Maiandra GD" w:hAnsi="Maiandra GD"/>
              <w:b/>
              <w:i/>
              <w:sz w:val="16"/>
              <w:szCs w:val="16"/>
            </w:rPr>
            <w:t xml:space="preserve"> </w:t>
          </w:r>
        </w:p>
        <w:p w14:paraId="1F87C0B4" w14:textId="77777777" w:rsidR="00064037" w:rsidRPr="00064037" w:rsidRDefault="00064037" w:rsidP="00BB6CF0">
          <w:pPr>
            <w:pStyle w:val="Encabezado"/>
            <w:tabs>
              <w:tab w:val="clear" w:pos="4419"/>
            </w:tabs>
            <w:spacing w:before="40"/>
            <w:jc w:val="center"/>
            <w:rPr>
              <w:rFonts w:ascii="Maiandra GD" w:hAnsi="Maiandra GD"/>
              <w:b/>
              <w:i/>
              <w:sz w:val="2"/>
              <w:szCs w:val="2"/>
            </w:rPr>
          </w:pPr>
        </w:p>
        <w:p w14:paraId="0974B764" w14:textId="77777777" w:rsidR="00064037" w:rsidRPr="00DB6DE2" w:rsidRDefault="00064037" w:rsidP="00BB6CF0">
          <w:pPr>
            <w:pStyle w:val="Encabezado"/>
            <w:tabs>
              <w:tab w:val="clear" w:pos="4419"/>
            </w:tabs>
            <w:spacing w:before="40"/>
            <w:jc w:val="center"/>
            <w:rPr>
              <w:rFonts w:ascii="Maiandra GD" w:hAnsi="Maiandra GD"/>
              <w:b/>
              <w:i/>
              <w:sz w:val="4"/>
              <w:szCs w:val="4"/>
            </w:rPr>
          </w:pPr>
        </w:p>
        <w:p w14:paraId="6BB3FB15" w14:textId="0CCF42E1" w:rsidR="00294491" w:rsidRPr="008008F6" w:rsidRDefault="00294491" w:rsidP="00294491">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ORDINARIA</w:t>
          </w:r>
          <w:r w:rsidR="00064037">
            <w:rPr>
              <w:rFonts w:ascii="Maiandra GD" w:hAnsi="Maiandra GD"/>
              <w:b/>
              <w:i/>
              <w:sz w:val="16"/>
              <w:szCs w:val="16"/>
            </w:rPr>
            <w:t xml:space="preserve"> -</w:t>
          </w:r>
          <w:r w:rsidRPr="008008F6">
            <w:rPr>
              <w:rFonts w:ascii="Maiandra GD" w:hAnsi="Maiandra GD"/>
              <w:b/>
              <w:i/>
              <w:sz w:val="16"/>
              <w:szCs w:val="16"/>
            </w:rPr>
            <w:t>PRIMER AÑO DE EJERCICIO CONSTITUCIONAL</w:t>
          </w:r>
          <w:r w:rsidR="00064037">
            <w:rPr>
              <w:rFonts w:ascii="Maiandra GD" w:hAnsi="Maiandra GD"/>
              <w:b/>
              <w:i/>
              <w:sz w:val="16"/>
              <w:szCs w:val="16"/>
            </w:rPr>
            <w:t>-</w:t>
          </w:r>
          <w:r>
            <w:rPr>
              <w:rFonts w:ascii="Maiandra GD" w:hAnsi="Maiandra GD"/>
              <w:b/>
              <w:i/>
              <w:sz w:val="16"/>
              <w:szCs w:val="16"/>
            </w:rPr>
            <w:t>SEGUNDO PERIODO ORDINARIO</w:t>
          </w:r>
        </w:p>
        <w:p w14:paraId="68A5B38E" w14:textId="77777777" w:rsidR="00064037" w:rsidRPr="00064037" w:rsidRDefault="00064037" w:rsidP="00AC738C">
          <w:pPr>
            <w:pStyle w:val="Encabezado"/>
            <w:tabs>
              <w:tab w:val="clear" w:pos="4419"/>
            </w:tabs>
            <w:spacing w:before="40"/>
            <w:jc w:val="center"/>
            <w:rPr>
              <w:rFonts w:ascii="Maiandra GD" w:hAnsi="Maiandra GD"/>
              <w:b/>
              <w:i/>
              <w:sz w:val="2"/>
              <w:szCs w:val="2"/>
            </w:rPr>
          </w:pPr>
        </w:p>
        <w:p w14:paraId="77CCC589" w14:textId="62B97FFC" w:rsidR="004F5E0C" w:rsidRPr="00064037" w:rsidRDefault="004F5E0C" w:rsidP="00294491">
          <w:pPr>
            <w:pStyle w:val="Encabezado"/>
            <w:tabs>
              <w:tab w:val="clear" w:pos="4419"/>
            </w:tabs>
            <w:spacing w:before="40"/>
            <w:rPr>
              <w:rFonts w:ascii="Trebuchet MS" w:hAnsi="Trebuchet MS"/>
              <w:b/>
              <w:bCs/>
              <w:i/>
              <w:iCs/>
              <w:color w:val="FFFFFF"/>
              <w:sz w:val="14"/>
              <w:szCs w:val="14"/>
            </w:rPr>
          </w:pPr>
          <w:r w:rsidRPr="00064037">
            <w:rPr>
              <w:rFonts w:ascii="Maiandra GD" w:hAnsi="Maiandra GD"/>
              <w:b/>
              <w:i/>
              <w:sz w:val="14"/>
              <w:szCs w:val="14"/>
              <w:shd w:val="clear" w:color="auto" w:fill="D9D9D9" w:themeFill="background1" w:themeFillShade="D9"/>
            </w:rPr>
            <w:t>GUANAJUATO, GTO.,</w:t>
          </w:r>
          <w:r w:rsidR="0008481B" w:rsidRPr="00064037">
            <w:rPr>
              <w:rFonts w:ascii="Maiandra GD" w:hAnsi="Maiandra GD"/>
              <w:b/>
              <w:i/>
              <w:sz w:val="14"/>
              <w:szCs w:val="14"/>
              <w:shd w:val="clear" w:color="auto" w:fill="D9D9D9" w:themeFill="background1" w:themeFillShade="D9"/>
            </w:rPr>
            <w:t xml:space="preserve"> </w:t>
          </w:r>
          <w:r w:rsidR="00732C07">
            <w:rPr>
              <w:rFonts w:ascii="Maiandra GD" w:hAnsi="Maiandra GD"/>
              <w:b/>
              <w:i/>
              <w:sz w:val="14"/>
              <w:szCs w:val="14"/>
              <w:shd w:val="clear" w:color="auto" w:fill="D9D9D9" w:themeFill="background1" w:themeFillShade="D9"/>
            </w:rPr>
            <w:t>12</w:t>
          </w:r>
          <w:r w:rsidR="000B1FB3">
            <w:rPr>
              <w:rFonts w:ascii="Maiandra GD" w:hAnsi="Maiandra GD"/>
              <w:b/>
              <w:i/>
              <w:sz w:val="14"/>
              <w:szCs w:val="14"/>
              <w:shd w:val="clear" w:color="auto" w:fill="D9D9D9" w:themeFill="background1" w:themeFillShade="D9"/>
            </w:rPr>
            <w:t xml:space="preserve"> </w:t>
          </w:r>
          <w:r w:rsidR="00736CD3" w:rsidRPr="00064037">
            <w:rPr>
              <w:rFonts w:ascii="Maiandra GD" w:hAnsi="Maiandra GD"/>
              <w:b/>
              <w:i/>
              <w:sz w:val="14"/>
              <w:szCs w:val="14"/>
              <w:shd w:val="clear" w:color="auto" w:fill="D9D9D9" w:themeFill="background1" w:themeFillShade="D9"/>
            </w:rPr>
            <w:t xml:space="preserve">DE </w:t>
          </w:r>
          <w:r w:rsidR="00732C07">
            <w:rPr>
              <w:rFonts w:ascii="Maiandra GD" w:hAnsi="Maiandra GD"/>
              <w:b/>
              <w:i/>
              <w:sz w:val="14"/>
              <w:szCs w:val="14"/>
              <w:shd w:val="clear" w:color="auto" w:fill="D9D9D9" w:themeFill="background1" w:themeFillShade="D9"/>
            </w:rPr>
            <w:t>MAYO</w:t>
          </w:r>
          <w:r w:rsidR="00D20971">
            <w:rPr>
              <w:rFonts w:ascii="Maiandra GD" w:hAnsi="Maiandra GD"/>
              <w:b/>
              <w:i/>
              <w:sz w:val="14"/>
              <w:szCs w:val="14"/>
              <w:shd w:val="clear" w:color="auto" w:fill="D9D9D9" w:themeFill="background1" w:themeFillShade="D9"/>
            </w:rPr>
            <w:t xml:space="preserve"> </w:t>
          </w:r>
          <w:r w:rsidRPr="00064037">
            <w:rPr>
              <w:rFonts w:ascii="Maiandra GD" w:hAnsi="Maiandra GD"/>
              <w:b/>
              <w:i/>
              <w:sz w:val="14"/>
              <w:szCs w:val="14"/>
              <w:shd w:val="clear" w:color="auto" w:fill="D9D9D9" w:themeFill="background1" w:themeFillShade="D9"/>
            </w:rPr>
            <w:t>DE 20</w:t>
          </w:r>
          <w:r w:rsidR="00BE665D" w:rsidRPr="00064037">
            <w:rPr>
              <w:rFonts w:ascii="Maiandra GD" w:hAnsi="Maiandra GD"/>
              <w:b/>
              <w:i/>
              <w:sz w:val="14"/>
              <w:szCs w:val="14"/>
              <w:shd w:val="clear" w:color="auto" w:fill="D9D9D9" w:themeFill="background1" w:themeFillShade="D9"/>
            </w:rPr>
            <w:t>2</w:t>
          </w:r>
          <w:r w:rsidR="009930B9" w:rsidRPr="00064037">
            <w:rPr>
              <w:rFonts w:ascii="Maiandra GD" w:hAnsi="Maiandra GD"/>
              <w:b/>
              <w:i/>
              <w:sz w:val="14"/>
              <w:szCs w:val="14"/>
              <w:shd w:val="clear" w:color="auto" w:fill="D9D9D9" w:themeFill="background1" w:themeFillShade="D9"/>
            </w:rPr>
            <w:t>2</w:t>
          </w:r>
          <w:r w:rsidR="00294491" w:rsidRPr="00064037">
            <w:rPr>
              <w:rFonts w:ascii="Maiandra GD" w:hAnsi="Maiandra GD"/>
              <w:b/>
              <w:i/>
              <w:sz w:val="14"/>
              <w:szCs w:val="14"/>
              <w:shd w:val="clear" w:color="auto" w:fill="D9D9D9" w:themeFill="background1" w:themeFillShade="D9"/>
            </w:rPr>
            <w:t xml:space="preserve">                   </w:t>
          </w:r>
          <w:r w:rsidR="00064037" w:rsidRP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w:t>
          </w:r>
          <w:r w:rsid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w:t>
          </w:r>
          <w:r w:rsidR="00064037" w:rsidRPr="00064037">
            <w:rPr>
              <w:rFonts w:ascii="Maiandra GD" w:hAnsi="Maiandra GD"/>
              <w:b/>
              <w:i/>
              <w:sz w:val="14"/>
              <w:szCs w:val="14"/>
              <w:shd w:val="clear" w:color="auto" w:fill="D9D9D9" w:themeFill="background1" w:themeFillShade="D9"/>
            </w:rPr>
            <w:t xml:space="preserve">   </w:t>
          </w:r>
          <w:r w:rsidR="00294491" w:rsidRPr="00064037">
            <w:rPr>
              <w:rFonts w:ascii="Maiandra GD" w:hAnsi="Maiandra GD"/>
              <w:b/>
              <w:i/>
              <w:sz w:val="14"/>
              <w:szCs w:val="14"/>
              <w:shd w:val="clear" w:color="auto" w:fill="D9D9D9" w:themeFill="background1" w:themeFillShade="D9"/>
            </w:rPr>
            <w:t xml:space="preserve">    SESIÓN NÚMERO (</w:t>
          </w:r>
          <w:r w:rsidR="000B1FB3">
            <w:rPr>
              <w:rFonts w:ascii="Maiandra GD" w:hAnsi="Maiandra GD"/>
              <w:b/>
              <w:i/>
              <w:sz w:val="14"/>
              <w:szCs w:val="14"/>
              <w:shd w:val="clear" w:color="auto" w:fill="D9D9D9" w:themeFill="background1" w:themeFillShade="D9"/>
            </w:rPr>
            <w:t>3</w:t>
          </w:r>
          <w:r w:rsidR="00732C07">
            <w:rPr>
              <w:rFonts w:ascii="Maiandra GD" w:hAnsi="Maiandra GD"/>
              <w:b/>
              <w:i/>
              <w:sz w:val="14"/>
              <w:szCs w:val="14"/>
              <w:shd w:val="clear" w:color="auto" w:fill="D9D9D9" w:themeFill="background1" w:themeFillShade="D9"/>
            </w:rPr>
            <w:t>4</w:t>
          </w:r>
          <w:r w:rsidR="00294491" w:rsidRPr="00064037">
            <w:rPr>
              <w:rFonts w:ascii="Maiandra GD" w:hAnsi="Maiandra GD"/>
              <w:b/>
              <w:i/>
              <w:sz w:val="14"/>
              <w:szCs w:val="14"/>
              <w:shd w:val="clear" w:color="auto" w:fill="D9D9D9" w:themeFill="background1" w:themeFillShade="D9"/>
            </w:rPr>
            <w:t>)</w:t>
          </w:r>
        </w:p>
      </w:tc>
    </w:tr>
  </w:tbl>
  <w:p w14:paraId="2529A23E" w14:textId="256D366A" w:rsidR="004F5E0C" w:rsidRPr="006416C3" w:rsidRDefault="003815CD" w:rsidP="006328F9">
    <w:pPr>
      <w:pStyle w:val="Encabezado"/>
    </w:pPr>
    <w:r w:rsidRPr="00CF28D9">
      <w:rPr>
        <w:noProof/>
        <w:lang w:val="es-MX" w:eastAsia="es-MX"/>
      </w:rPr>
      <w:drawing>
        <wp:anchor distT="0" distB="0" distL="114300" distR="114300" simplePos="0" relativeHeight="251668489" behindDoc="1" locked="0" layoutInCell="1" allowOverlap="1" wp14:anchorId="69CD3C73" wp14:editId="70DBD4AF">
          <wp:simplePos x="0" y="0"/>
          <wp:positionH relativeFrom="margin">
            <wp:posOffset>285750</wp:posOffset>
          </wp:positionH>
          <wp:positionV relativeFrom="paragraph">
            <wp:posOffset>2703195</wp:posOffset>
          </wp:positionV>
          <wp:extent cx="4800600" cy="4307840"/>
          <wp:effectExtent l="0" t="0" r="0" b="0"/>
          <wp:wrapNone/>
          <wp:docPr id="129" name="Imagen 129"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4819"/>
        </w:tabs>
        <w:ind w:left="4819"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265019BC"/>
    <w:lvl w:ilvl="0">
      <w:start w:val="1"/>
      <w:numFmt w:val="decimal"/>
      <w:lvlText w:val="%1."/>
      <w:lvlJc w:val="left"/>
      <w:pPr>
        <w:ind w:left="852" w:hanging="346"/>
      </w:pPr>
      <w:rPr>
        <w:rFonts w:ascii="Arial" w:eastAsiaTheme="minorHAnsi" w:hAnsi="Arial" w:cs="Arial"/>
        <w:spacing w:val="-1"/>
        <w:w w:val="95"/>
        <w:position w:val="1"/>
      </w:rPr>
    </w:lvl>
    <w:lvl w:ilvl="1">
      <w:numFmt w:val="bullet"/>
      <w:lvlText w:val="•"/>
      <w:lvlJc w:val="left"/>
      <w:pPr>
        <w:ind w:left="1680" w:hanging="346"/>
      </w:pPr>
    </w:lvl>
    <w:lvl w:ilvl="2">
      <w:numFmt w:val="bullet"/>
      <w:lvlText w:val="•"/>
      <w:lvlJc w:val="left"/>
      <w:pPr>
        <w:ind w:left="2500" w:hanging="346"/>
      </w:pPr>
    </w:lvl>
    <w:lvl w:ilvl="3">
      <w:numFmt w:val="bullet"/>
      <w:lvlText w:val="•"/>
      <w:lvlJc w:val="left"/>
      <w:pPr>
        <w:ind w:left="3320" w:hanging="346"/>
      </w:pPr>
    </w:lvl>
    <w:lvl w:ilvl="4">
      <w:numFmt w:val="bullet"/>
      <w:lvlText w:val="•"/>
      <w:lvlJc w:val="left"/>
      <w:pPr>
        <w:ind w:left="4140" w:hanging="346"/>
      </w:pPr>
    </w:lvl>
    <w:lvl w:ilvl="5">
      <w:numFmt w:val="bullet"/>
      <w:lvlText w:val="•"/>
      <w:lvlJc w:val="left"/>
      <w:pPr>
        <w:ind w:left="4960" w:hanging="346"/>
      </w:pPr>
    </w:lvl>
    <w:lvl w:ilvl="6">
      <w:numFmt w:val="bullet"/>
      <w:lvlText w:val="•"/>
      <w:lvlJc w:val="left"/>
      <w:pPr>
        <w:ind w:left="5780" w:hanging="346"/>
      </w:pPr>
    </w:lvl>
    <w:lvl w:ilvl="7">
      <w:numFmt w:val="bullet"/>
      <w:lvlText w:val="•"/>
      <w:lvlJc w:val="left"/>
      <w:pPr>
        <w:ind w:left="6600" w:hanging="346"/>
      </w:pPr>
    </w:lvl>
    <w:lvl w:ilvl="8">
      <w:numFmt w:val="bullet"/>
      <w:lvlText w:val="•"/>
      <w:lvlJc w:val="left"/>
      <w:pPr>
        <w:ind w:left="7420" w:hanging="346"/>
      </w:pPr>
    </w:lvl>
  </w:abstractNum>
  <w:abstractNum w:abstractNumId="3" w15:restartNumberingAfterBreak="0">
    <w:nsid w:val="002B2181"/>
    <w:multiLevelType w:val="hybridMultilevel"/>
    <w:tmpl w:val="9FD41B2E"/>
    <w:lvl w:ilvl="0" w:tplc="F4609DFA">
      <w:start w:val="1"/>
      <w:numFmt w:val="upperRoman"/>
      <w:lvlText w:val="%1."/>
      <w:lvlJc w:val="right"/>
      <w:pPr>
        <w:ind w:left="720" w:hanging="360"/>
      </w:pPr>
      <w:rPr>
        <w:rFonts w:hint="default"/>
        <w:b/>
        <w:i w:val="0"/>
      </w:rPr>
    </w:lvl>
    <w:lvl w:ilvl="1" w:tplc="FEEA233C">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0B430DA"/>
    <w:multiLevelType w:val="multilevel"/>
    <w:tmpl w:val="D61A5BD2"/>
    <w:lvl w:ilvl="0">
      <w:start w:val="3"/>
      <w:numFmt w:val="bullet"/>
      <w:pStyle w:val="Estilo1"/>
      <w:lvlText w:val="-"/>
      <w:lvlJc w:val="left"/>
      <w:pPr>
        <w:ind w:left="2848" w:hanging="579"/>
      </w:pPr>
      <w:rPr>
        <w:rFonts w:ascii="Times New Roman" w:hAnsi="Times New Roman" w:cs="Times New Roman" w:hint="default"/>
        <w:b/>
        <w:bCs w:val="0"/>
        <w:i/>
        <w:iCs w:val="0"/>
        <w:spacing w:val="0"/>
        <w:w w:val="100"/>
        <w:sz w:val="28"/>
        <w:szCs w:val="28"/>
      </w:rPr>
    </w:lvl>
    <w:lvl w:ilvl="1">
      <w:numFmt w:val="bullet"/>
      <w:lvlText w:val="•"/>
      <w:lvlJc w:val="left"/>
      <w:pPr>
        <w:ind w:left="3742" w:hanging="579"/>
      </w:pPr>
    </w:lvl>
    <w:lvl w:ilvl="2">
      <w:numFmt w:val="bullet"/>
      <w:lvlText w:val="•"/>
      <w:lvlJc w:val="left"/>
      <w:pPr>
        <w:ind w:left="4630" w:hanging="579"/>
      </w:pPr>
    </w:lvl>
    <w:lvl w:ilvl="3">
      <w:numFmt w:val="bullet"/>
      <w:lvlText w:val="•"/>
      <w:lvlJc w:val="left"/>
      <w:pPr>
        <w:ind w:left="5518" w:hanging="579"/>
      </w:pPr>
    </w:lvl>
    <w:lvl w:ilvl="4">
      <w:numFmt w:val="bullet"/>
      <w:lvlText w:val="•"/>
      <w:lvlJc w:val="left"/>
      <w:pPr>
        <w:ind w:left="6406" w:hanging="579"/>
      </w:pPr>
    </w:lvl>
    <w:lvl w:ilvl="5">
      <w:numFmt w:val="bullet"/>
      <w:lvlText w:val="•"/>
      <w:lvlJc w:val="left"/>
      <w:pPr>
        <w:ind w:left="7294" w:hanging="579"/>
      </w:pPr>
    </w:lvl>
    <w:lvl w:ilvl="6">
      <w:numFmt w:val="bullet"/>
      <w:lvlText w:val="•"/>
      <w:lvlJc w:val="left"/>
      <w:pPr>
        <w:ind w:left="8182" w:hanging="579"/>
      </w:pPr>
    </w:lvl>
    <w:lvl w:ilvl="7">
      <w:numFmt w:val="bullet"/>
      <w:lvlText w:val="•"/>
      <w:lvlJc w:val="left"/>
      <w:pPr>
        <w:ind w:left="9070" w:hanging="579"/>
      </w:pPr>
    </w:lvl>
    <w:lvl w:ilvl="8">
      <w:numFmt w:val="bullet"/>
      <w:lvlText w:val="•"/>
      <w:lvlJc w:val="left"/>
      <w:pPr>
        <w:ind w:left="9958" w:hanging="579"/>
      </w:pPr>
    </w:lvl>
  </w:abstractNum>
  <w:abstractNum w:abstractNumId="5" w15:restartNumberingAfterBreak="0">
    <w:nsid w:val="01A079E3"/>
    <w:multiLevelType w:val="hybridMultilevel"/>
    <w:tmpl w:val="6A6292B2"/>
    <w:lvl w:ilvl="0" w:tplc="2968C88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1E4336A"/>
    <w:multiLevelType w:val="hybridMultilevel"/>
    <w:tmpl w:val="5B5C3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33666E4"/>
    <w:multiLevelType w:val="hybridMultilevel"/>
    <w:tmpl w:val="0518D6D6"/>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8402551"/>
    <w:multiLevelType w:val="hybridMultilevel"/>
    <w:tmpl w:val="C1F8F64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B212DBD"/>
    <w:multiLevelType w:val="hybridMultilevel"/>
    <w:tmpl w:val="16121676"/>
    <w:lvl w:ilvl="0" w:tplc="125822CA">
      <w:start w:val="10"/>
      <w:numFmt w:val="bullet"/>
      <w:lvlText w:val="-"/>
      <w:lvlJc w:val="left"/>
      <w:pPr>
        <w:ind w:left="1065" w:hanging="360"/>
      </w:pPr>
      <w:rPr>
        <w:rFonts w:ascii="Calibri" w:eastAsiaTheme="minorHAnsi" w:hAnsi="Calibri" w:cs="Calibri" w:hint="default"/>
        <w:b w:val="0"/>
      </w:rPr>
    </w:lvl>
    <w:lvl w:ilvl="1" w:tplc="080A0003" w:tentative="1">
      <w:start w:val="1"/>
      <w:numFmt w:val="bullet"/>
      <w:lvlText w:val="o"/>
      <w:lvlJc w:val="left"/>
      <w:pPr>
        <w:ind w:left="1785" w:hanging="360"/>
      </w:pPr>
      <w:rPr>
        <w:rFonts w:ascii="Courier New" w:hAnsi="Courier New" w:cs="Courier New" w:hint="default"/>
      </w:rPr>
    </w:lvl>
    <w:lvl w:ilvl="2" w:tplc="080A0005" w:tentative="1">
      <w:start w:val="1"/>
      <w:numFmt w:val="bullet"/>
      <w:lvlText w:val=""/>
      <w:lvlJc w:val="left"/>
      <w:pPr>
        <w:ind w:left="2505" w:hanging="360"/>
      </w:pPr>
      <w:rPr>
        <w:rFonts w:ascii="Wingdings" w:hAnsi="Wingdings" w:hint="default"/>
      </w:rPr>
    </w:lvl>
    <w:lvl w:ilvl="3" w:tplc="080A0001" w:tentative="1">
      <w:start w:val="1"/>
      <w:numFmt w:val="bullet"/>
      <w:lvlText w:val=""/>
      <w:lvlJc w:val="left"/>
      <w:pPr>
        <w:ind w:left="3225" w:hanging="360"/>
      </w:pPr>
      <w:rPr>
        <w:rFonts w:ascii="Symbol" w:hAnsi="Symbol" w:hint="default"/>
      </w:rPr>
    </w:lvl>
    <w:lvl w:ilvl="4" w:tplc="080A0003" w:tentative="1">
      <w:start w:val="1"/>
      <w:numFmt w:val="bullet"/>
      <w:lvlText w:val="o"/>
      <w:lvlJc w:val="left"/>
      <w:pPr>
        <w:ind w:left="3945" w:hanging="360"/>
      </w:pPr>
      <w:rPr>
        <w:rFonts w:ascii="Courier New" w:hAnsi="Courier New" w:cs="Courier New" w:hint="default"/>
      </w:rPr>
    </w:lvl>
    <w:lvl w:ilvl="5" w:tplc="080A0005" w:tentative="1">
      <w:start w:val="1"/>
      <w:numFmt w:val="bullet"/>
      <w:lvlText w:val=""/>
      <w:lvlJc w:val="left"/>
      <w:pPr>
        <w:ind w:left="4665" w:hanging="360"/>
      </w:pPr>
      <w:rPr>
        <w:rFonts w:ascii="Wingdings" w:hAnsi="Wingdings" w:hint="default"/>
      </w:rPr>
    </w:lvl>
    <w:lvl w:ilvl="6" w:tplc="080A0001" w:tentative="1">
      <w:start w:val="1"/>
      <w:numFmt w:val="bullet"/>
      <w:lvlText w:val=""/>
      <w:lvlJc w:val="left"/>
      <w:pPr>
        <w:ind w:left="5385" w:hanging="360"/>
      </w:pPr>
      <w:rPr>
        <w:rFonts w:ascii="Symbol" w:hAnsi="Symbol" w:hint="default"/>
      </w:rPr>
    </w:lvl>
    <w:lvl w:ilvl="7" w:tplc="080A0003" w:tentative="1">
      <w:start w:val="1"/>
      <w:numFmt w:val="bullet"/>
      <w:lvlText w:val="o"/>
      <w:lvlJc w:val="left"/>
      <w:pPr>
        <w:ind w:left="6105" w:hanging="360"/>
      </w:pPr>
      <w:rPr>
        <w:rFonts w:ascii="Courier New" w:hAnsi="Courier New" w:cs="Courier New" w:hint="default"/>
      </w:rPr>
    </w:lvl>
    <w:lvl w:ilvl="8" w:tplc="080A0005" w:tentative="1">
      <w:start w:val="1"/>
      <w:numFmt w:val="bullet"/>
      <w:lvlText w:val=""/>
      <w:lvlJc w:val="left"/>
      <w:pPr>
        <w:ind w:left="6825" w:hanging="360"/>
      </w:pPr>
      <w:rPr>
        <w:rFonts w:ascii="Wingdings" w:hAnsi="Wingdings" w:hint="default"/>
      </w:rPr>
    </w:lvl>
  </w:abstractNum>
  <w:abstractNum w:abstractNumId="10" w15:restartNumberingAfterBreak="0">
    <w:nsid w:val="0C1521DA"/>
    <w:multiLevelType w:val="hybridMultilevel"/>
    <w:tmpl w:val="AAB43ACA"/>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C8463F3"/>
    <w:multiLevelType w:val="hybridMultilevel"/>
    <w:tmpl w:val="384E88A4"/>
    <w:lvl w:ilvl="0" w:tplc="F4609DFA">
      <w:start w:val="1"/>
      <w:numFmt w:val="upperRoman"/>
      <w:lvlText w:val="%1."/>
      <w:lvlJc w:val="right"/>
      <w:pPr>
        <w:ind w:left="720" w:hanging="360"/>
      </w:pPr>
      <w:rPr>
        <w:rFonts w:hint="default"/>
        <w:b/>
        <w:i w:val="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FDC25B7"/>
    <w:multiLevelType w:val="hybridMultilevel"/>
    <w:tmpl w:val="242277A0"/>
    <w:lvl w:ilvl="0" w:tplc="F4609DFA">
      <w:start w:val="1"/>
      <w:numFmt w:val="upperRoman"/>
      <w:lvlText w:val="%1."/>
      <w:lvlJc w:val="right"/>
      <w:pPr>
        <w:ind w:left="862" w:hanging="360"/>
      </w:pPr>
      <w:rPr>
        <w:rFonts w:hint="default"/>
        <w:b/>
        <w:i w:val="0"/>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13" w15:restartNumberingAfterBreak="0">
    <w:nsid w:val="10C50FD7"/>
    <w:multiLevelType w:val="hybridMultilevel"/>
    <w:tmpl w:val="9C5C1E4E"/>
    <w:lvl w:ilvl="0" w:tplc="488C9DA6">
      <w:start w:val="1"/>
      <w:numFmt w:val="upperRoman"/>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3C17ABC"/>
    <w:multiLevelType w:val="hybridMultilevel"/>
    <w:tmpl w:val="C2CE14A8"/>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4DC0010"/>
    <w:multiLevelType w:val="hybridMultilevel"/>
    <w:tmpl w:val="4D1A3E8C"/>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1444A0"/>
    <w:multiLevelType w:val="hybridMultilevel"/>
    <w:tmpl w:val="F35A5034"/>
    <w:lvl w:ilvl="0" w:tplc="488C9DA6">
      <w:start w:val="1"/>
      <w:numFmt w:val="upperRoman"/>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B9A2B8C"/>
    <w:multiLevelType w:val="hybridMultilevel"/>
    <w:tmpl w:val="A98CD700"/>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F8C6AA8"/>
    <w:multiLevelType w:val="hybridMultilevel"/>
    <w:tmpl w:val="F914323A"/>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B7E47C1"/>
    <w:multiLevelType w:val="hybridMultilevel"/>
    <w:tmpl w:val="DC14ACA0"/>
    <w:lvl w:ilvl="0" w:tplc="F4609DFA">
      <w:start w:val="1"/>
      <w:numFmt w:val="upperRoman"/>
      <w:lvlText w:val="%1."/>
      <w:lvlJc w:val="right"/>
      <w:pPr>
        <w:ind w:left="720" w:hanging="360"/>
      </w:pPr>
      <w:rPr>
        <w:rFonts w:hint="default"/>
        <w:b/>
        <w:i w:val="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FA621D7"/>
    <w:multiLevelType w:val="hybridMultilevel"/>
    <w:tmpl w:val="CD50EC4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0086DF8"/>
    <w:multiLevelType w:val="hybridMultilevel"/>
    <w:tmpl w:val="3B34C07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0352735"/>
    <w:multiLevelType w:val="hybridMultilevel"/>
    <w:tmpl w:val="CD7C870A"/>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30987152"/>
    <w:multiLevelType w:val="hybridMultilevel"/>
    <w:tmpl w:val="4754C28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0B269B1"/>
    <w:multiLevelType w:val="hybridMultilevel"/>
    <w:tmpl w:val="D3DA0ECC"/>
    <w:lvl w:ilvl="0" w:tplc="488C9DA6">
      <w:start w:val="1"/>
      <w:numFmt w:val="upperRoman"/>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32786568"/>
    <w:multiLevelType w:val="hybridMultilevel"/>
    <w:tmpl w:val="3F5E7B0E"/>
    <w:lvl w:ilvl="0" w:tplc="080A000F">
      <w:start w:val="1"/>
      <w:numFmt w:val="decimal"/>
      <w:lvlText w:val="%1."/>
      <w:lvlJc w:val="lef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27" w15:restartNumberingAfterBreak="0">
    <w:nsid w:val="338662A5"/>
    <w:multiLevelType w:val="hybridMultilevel"/>
    <w:tmpl w:val="58E6DC00"/>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348478E5"/>
    <w:multiLevelType w:val="hybridMultilevel"/>
    <w:tmpl w:val="CA12BF8C"/>
    <w:lvl w:ilvl="0" w:tplc="F1304586">
      <w:start w:val="1"/>
      <w:numFmt w:val="lowerLetter"/>
      <w:lvlText w:val="%1)"/>
      <w:lvlJc w:val="left"/>
      <w:pPr>
        <w:ind w:left="720"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54E284E"/>
    <w:multiLevelType w:val="hybridMultilevel"/>
    <w:tmpl w:val="CC5C5B1A"/>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6EB23FA"/>
    <w:multiLevelType w:val="hybridMultilevel"/>
    <w:tmpl w:val="DF429496"/>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AFA4113"/>
    <w:multiLevelType w:val="hybridMultilevel"/>
    <w:tmpl w:val="0C64BB08"/>
    <w:lvl w:ilvl="0" w:tplc="3E0A6436">
      <w:start w:val="1"/>
      <w:numFmt w:val="bullet"/>
      <w:lvlText w:val="-"/>
      <w:lvlJc w:val="left"/>
      <w:pPr>
        <w:ind w:left="1069" w:hanging="360"/>
      </w:pPr>
      <w:rPr>
        <w:rFonts w:ascii="Abadi" w:eastAsia="Times New Roman" w:hAnsi="Abadi" w:cs="Times New Roman" w:hint="default"/>
      </w:rPr>
    </w:lvl>
    <w:lvl w:ilvl="1" w:tplc="080A0003">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32" w15:restartNumberingAfterBreak="0">
    <w:nsid w:val="3D50594E"/>
    <w:multiLevelType w:val="hybridMultilevel"/>
    <w:tmpl w:val="8BB2C870"/>
    <w:lvl w:ilvl="0" w:tplc="488C9DA6">
      <w:start w:val="1"/>
      <w:numFmt w:val="upperRoman"/>
      <w:lvlText w:val="%1."/>
      <w:lvlJc w:val="left"/>
      <w:pPr>
        <w:ind w:left="1440" w:hanging="360"/>
      </w:pPr>
      <w:rPr>
        <w:rFonts w:hint="default"/>
        <w:b/>
        <w:i w:val="0"/>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3" w15:restartNumberingAfterBreak="0">
    <w:nsid w:val="3E58691E"/>
    <w:multiLevelType w:val="hybridMultilevel"/>
    <w:tmpl w:val="DC18471C"/>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3E586EBA"/>
    <w:multiLevelType w:val="hybridMultilevel"/>
    <w:tmpl w:val="4D18271E"/>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415C2CA8"/>
    <w:multiLevelType w:val="hybridMultilevel"/>
    <w:tmpl w:val="CF50ED1A"/>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43E747E5"/>
    <w:multiLevelType w:val="hybridMultilevel"/>
    <w:tmpl w:val="9ED02D5E"/>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4476133D"/>
    <w:multiLevelType w:val="hybridMultilevel"/>
    <w:tmpl w:val="6AD8558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4594015D"/>
    <w:multiLevelType w:val="hybridMultilevel"/>
    <w:tmpl w:val="0652E9DE"/>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4EC6446E"/>
    <w:multiLevelType w:val="hybridMultilevel"/>
    <w:tmpl w:val="061CA686"/>
    <w:lvl w:ilvl="0" w:tplc="F1304586">
      <w:start w:val="1"/>
      <w:numFmt w:val="lowerLetter"/>
      <w:lvlText w:val="%1)"/>
      <w:lvlJc w:val="left"/>
      <w:pPr>
        <w:ind w:left="720" w:hanging="360"/>
      </w:pPr>
      <w:rPr>
        <w:rFonts w:hint="default"/>
        <w:b/>
        <w:i w:val="0"/>
      </w:rPr>
    </w:lvl>
    <w:lvl w:ilvl="1" w:tplc="06E84092">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516B3311"/>
    <w:multiLevelType w:val="hybridMultilevel"/>
    <w:tmpl w:val="835E0E64"/>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541E3D4E"/>
    <w:multiLevelType w:val="hybridMultilevel"/>
    <w:tmpl w:val="18281BF8"/>
    <w:lvl w:ilvl="0" w:tplc="FA52D8E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55567AE8"/>
    <w:multiLevelType w:val="hybridMultilevel"/>
    <w:tmpl w:val="EC1C8118"/>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5605377A"/>
    <w:multiLevelType w:val="hybridMultilevel"/>
    <w:tmpl w:val="1996CF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563C0073"/>
    <w:multiLevelType w:val="hybridMultilevel"/>
    <w:tmpl w:val="F0BA92B0"/>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5787286E"/>
    <w:multiLevelType w:val="hybridMultilevel"/>
    <w:tmpl w:val="8CD8B4D8"/>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5A2C1A1E"/>
    <w:multiLevelType w:val="hybridMultilevel"/>
    <w:tmpl w:val="3E9AE8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5CA168D2"/>
    <w:multiLevelType w:val="hybridMultilevel"/>
    <w:tmpl w:val="2AF21548"/>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5DD6337C"/>
    <w:multiLevelType w:val="hybridMultilevel"/>
    <w:tmpl w:val="C584ED04"/>
    <w:lvl w:ilvl="0" w:tplc="F4609DFA">
      <w:start w:val="1"/>
      <w:numFmt w:val="upperRoman"/>
      <w:lvlText w:val="%1."/>
      <w:lvlJc w:val="right"/>
      <w:pPr>
        <w:ind w:left="720" w:hanging="360"/>
      </w:pPr>
      <w:rPr>
        <w:rFonts w:hint="default"/>
        <w:b/>
        <w:i w:val="0"/>
      </w:rPr>
    </w:lvl>
    <w:lvl w:ilvl="1" w:tplc="6CD46480">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5FF454AA"/>
    <w:multiLevelType w:val="hybridMultilevel"/>
    <w:tmpl w:val="AD2E61BA"/>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618C7F47"/>
    <w:multiLevelType w:val="hybridMultilevel"/>
    <w:tmpl w:val="06AC5788"/>
    <w:lvl w:ilvl="0" w:tplc="B49C590E">
      <w:numFmt w:val="bullet"/>
      <w:lvlText w:val="-"/>
      <w:lvlJc w:val="left"/>
      <w:pPr>
        <w:ind w:left="720" w:hanging="360"/>
      </w:pPr>
      <w:rPr>
        <w:rFonts w:ascii="Abadi" w:eastAsia="Times New Roman"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621A3E33"/>
    <w:multiLevelType w:val="hybridMultilevel"/>
    <w:tmpl w:val="EDA6C314"/>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6512285D"/>
    <w:multiLevelType w:val="hybridMultilevel"/>
    <w:tmpl w:val="C55282D0"/>
    <w:lvl w:ilvl="0" w:tplc="488C9DA6">
      <w:start w:val="1"/>
      <w:numFmt w:val="upperRoman"/>
      <w:lvlText w:val="%1."/>
      <w:lvlJc w:val="left"/>
      <w:pPr>
        <w:ind w:left="720" w:hanging="360"/>
      </w:pPr>
      <w:rPr>
        <w:rFonts w:hint="default"/>
        <w:b/>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6D2B5784"/>
    <w:multiLevelType w:val="hybridMultilevel"/>
    <w:tmpl w:val="4BCC403A"/>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6D727525"/>
    <w:multiLevelType w:val="hybridMultilevel"/>
    <w:tmpl w:val="9FCA9222"/>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6E8E17DA"/>
    <w:multiLevelType w:val="hybridMultilevel"/>
    <w:tmpl w:val="39EEB436"/>
    <w:lvl w:ilvl="0" w:tplc="4D541BB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6FE6277B"/>
    <w:multiLevelType w:val="hybridMultilevel"/>
    <w:tmpl w:val="9F029086"/>
    <w:lvl w:ilvl="0" w:tplc="488C9DA6">
      <w:start w:val="1"/>
      <w:numFmt w:val="upperRoman"/>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736957CA"/>
    <w:multiLevelType w:val="hybridMultilevel"/>
    <w:tmpl w:val="55B80C14"/>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736F32CF"/>
    <w:multiLevelType w:val="hybridMultilevel"/>
    <w:tmpl w:val="62B07502"/>
    <w:lvl w:ilvl="0" w:tplc="F4609DFA">
      <w:start w:val="1"/>
      <w:numFmt w:val="upperRoman"/>
      <w:lvlText w:val="%1."/>
      <w:lvlJc w:val="right"/>
      <w:pPr>
        <w:ind w:left="720" w:hanging="360"/>
      </w:pPr>
      <w:rPr>
        <w:rFonts w:hint="default"/>
        <w:b/>
        <w:i w:val="0"/>
      </w:rPr>
    </w:lvl>
    <w:lvl w:ilvl="1" w:tplc="5EE25EDC">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15:restartNumberingAfterBreak="0">
    <w:nsid w:val="774C7921"/>
    <w:multiLevelType w:val="hybridMultilevel"/>
    <w:tmpl w:val="8FD41DE4"/>
    <w:lvl w:ilvl="0" w:tplc="488C9DA6">
      <w:start w:val="1"/>
      <w:numFmt w:val="upperRoman"/>
      <w:lvlText w:val="%1."/>
      <w:lvlJc w:val="left"/>
      <w:pPr>
        <w:ind w:left="720" w:hanging="360"/>
      </w:pPr>
      <w:rPr>
        <w:rFonts w:hint="default"/>
        <w:b/>
        <w:i w:val="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776A5D8A"/>
    <w:multiLevelType w:val="hybridMultilevel"/>
    <w:tmpl w:val="952AF50E"/>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77B950AD"/>
    <w:multiLevelType w:val="hybridMultilevel"/>
    <w:tmpl w:val="80E66116"/>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792A1D45"/>
    <w:multiLevelType w:val="hybridMultilevel"/>
    <w:tmpl w:val="0390EE6A"/>
    <w:lvl w:ilvl="0" w:tplc="488C9DA6">
      <w:start w:val="1"/>
      <w:numFmt w:val="upperRoman"/>
      <w:lvlText w:val="%1."/>
      <w:lvlJc w:val="left"/>
      <w:pPr>
        <w:ind w:left="720" w:hanging="360"/>
      </w:pPr>
      <w:rPr>
        <w:rFonts w:hint="default"/>
        <w:b/>
        <w:i w:val="0"/>
      </w:rPr>
    </w:lvl>
    <w:lvl w:ilvl="1" w:tplc="EA7C3F70">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795B6128"/>
    <w:multiLevelType w:val="hybridMultilevel"/>
    <w:tmpl w:val="231EBCB6"/>
    <w:lvl w:ilvl="0" w:tplc="488C9DA6">
      <w:start w:val="1"/>
      <w:numFmt w:val="upperRoman"/>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798659DA"/>
    <w:multiLevelType w:val="hybridMultilevel"/>
    <w:tmpl w:val="A74C9C28"/>
    <w:lvl w:ilvl="0" w:tplc="31980962">
      <w:start w:val="1"/>
      <w:numFmt w:val="bullet"/>
      <w:lvlText w:val=""/>
      <w:lvlJc w:val="righ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79F61505"/>
    <w:multiLevelType w:val="hybridMultilevel"/>
    <w:tmpl w:val="1C4CF794"/>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7BE25FE2"/>
    <w:multiLevelType w:val="hybridMultilevel"/>
    <w:tmpl w:val="6EA8A9B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7CFD3B47"/>
    <w:multiLevelType w:val="hybridMultilevel"/>
    <w:tmpl w:val="8EB41C68"/>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7DE3481A"/>
    <w:multiLevelType w:val="hybridMultilevel"/>
    <w:tmpl w:val="9BFE02A2"/>
    <w:lvl w:ilvl="0" w:tplc="488C9DA6">
      <w:start w:val="1"/>
      <w:numFmt w:val="upperRoman"/>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7DF74BDA"/>
    <w:multiLevelType w:val="hybridMultilevel"/>
    <w:tmpl w:val="6DE20D04"/>
    <w:lvl w:ilvl="0" w:tplc="F4609DFA">
      <w:start w:val="1"/>
      <w:numFmt w:val="upperRoman"/>
      <w:lvlText w:val="%1."/>
      <w:lvlJc w:val="right"/>
      <w:pPr>
        <w:ind w:left="720" w:hanging="360"/>
      </w:pPr>
      <w:rPr>
        <w:rFonts w:hint="default"/>
        <w:b/>
        <w:i w:val="0"/>
      </w:rPr>
    </w:lvl>
    <w:lvl w:ilvl="1" w:tplc="C9DA35E0">
      <w:start w:val="1"/>
      <w:numFmt w:val="decimal"/>
      <w:lvlText w:val="%2)"/>
      <w:lvlJc w:val="left"/>
      <w:pPr>
        <w:ind w:left="1440" w:hanging="360"/>
      </w:pPr>
      <w:rPr>
        <w:rFonts w:cs="*Microsoft Sans Serif-Bold-1218"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7E2A719E"/>
    <w:multiLevelType w:val="hybridMultilevel"/>
    <w:tmpl w:val="3698B8E8"/>
    <w:lvl w:ilvl="0" w:tplc="488C9DA6">
      <w:start w:val="1"/>
      <w:numFmt w:val="upperRoman"/>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15:restartNumberingAfterBreak="0">
    <w:nsid w:val="7EB35E44"/>
    <w:multiLevelType w:val="hybridMultilevel"/>
    <w:tmpl w:val="2912148A"/>
    <w:lvl w:ilvl="0" w:tplc="F4609DFA">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7EBA01A0"/>
    <w:multiLevelType w:val="hybridMultilevel"/>
    <w:tmpl w:val="FE326348"/>
    <w:lvl w:ilvl="0" w:tplc="F1304586">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010183793">
    <w:abstractNumId w:val="1"/>
  </w:num>
  <w:num w:numId="2" w16cid:durableId="734397279">
    <w:abstractNumId w:val="0"/>
  </w:num>
  <w:num w:numId="3" w16cid:durableId="1180310721">
    <w:abstractNumId w:val="4"/>
  </w:num>
  <w:num w:numId="4" w16cid:durableId="1606963842">
    <w:abstractNumId w:val="31"/>
  </w:num>
  <w:num w:numId="5" w16cid:durableId="1330256012">
    <w:abstractNumId w:val="50"/>
  </w:num>
  <w:num w:numId="6" w16cid:durableId="384335194">
    <w:abstractNumId w:val="21"/>
  </w:num>
  <w:num w:numId="7" w16cid:durableId="971401873">
    <w:abstractNumId w:val="66"/>
  </w:num>
  <w:num w:numId="8" w16cid:durableId="1086924246">
    <w:abstractNumId w:val="20"/>
  </w:num>
  <w:num w:numId="9" w16cid:durableId="1050960970">
    <w:abstractNumId w:val="37"/>
  </w:num>
  <w:num w:numId="10" w16cid:durableId="897783269">
    <w:abstractNumId w:val="26"/>
  </w:num>
  <w:num w:numId="11" w16cid:durableId="191311793">
    <w:abstractNumId w:val="63"/>
  </w:num>
  <w:num w:numId="12" w16cid:durableId="1319305821">
    <w:abstractNumId w:val="68"/>
  </w:num>
  <w:num w:numId="13" w16cid:durableId="1326206569">
    <w:abstractNumId w:val="25"/>
  </w:num>
  <w:num w:numId="14" w16cid:durableId="1254777084">
    <w:abstractNumId w:val="62"/>
  </w:num>
  <w:num w:numId="15" w16cid:durableId="11418842">
    <w:abstractNumId w:val="59"/>
  </w:num>
  <w:num w:numId="16" w16cid:durableId="736434508">
    <w:abstractNumId w:val="16"/>
  </w:num>
  <w:num w:numId="17" w16cid:durableId="500395721">
    <w:abstractNumId w:val="13"/>
  </w:num>
  <w:num w:numId="18" w16cid:durableId="1990358975">
    <w:abstractNumId w:val="52"/>
  </w:num>
  <w:num w:numId="19" w16cid:durableId="930435314">
    <w:abstractNumId w:val="70"/>
  </w:num>
  <w:num w:numId="20" w16cid:durableId="550265225">
    <w:abstractNumId w:val="56"/>
  </w:num>
  <w:num w:numId="21" w16cid:durableId="295992180">
    <w:abstractNumId w:val="48"/>
  </w:num>
  <w:num w:numId="22" w16cid:durableId="1842961992">
    <w:abstractNumId w:val="24"/>
  </w:num>
  <w:num w:numId="23" w16cid:durableId="848638615">
    <w:abstractNumId w:val="12"/>
  </w:num>
  <w:num w:numId="24" w16cid:durableId="1990749791">
    <w:abstractNumId w:val="30"/>
  </w:num>
  <w:num w:numId="25" w16cid:durableId="1972199561">
    <w:abstractNumId w:val="47"/>
  </w:num>
  <w:num w:numId="26" w16cid:durableId="1020669990">
    <w:abstractNumId w:val="44"/>
  </w:num>
  <w:num w:numId="27" w16cid:durableId="1754475347">
    <w:abstractNumId w:val="58"/>
  </w:num>
  <w:num w:numId="28" w16cid:durableId="1097169655">
    <w:abstractNumId w:val="39"/>
  </w:num>
  <w:num w:numId="29" w16cid:durableId="985938247">
    <w:abstractNumId w:val="72"/>
  </w:num>
  <w:num w:numId="30" w16cid:durableId="430703497">
    <w:abstractNumId w:val="34"/>
  </w:num>
  <w:num w:numId="31" w16cid:durableId="1204515643">
    <w:abstractNumId w:val="49"/>
  </w:num>
  <w:num w:numId="32" w16cid:durableId="6445361">
    <w:abstractNumId w:val="53"/>
  </w:num>
  <w:num w:numId="33" w16cid:durableId="35352012">
    <w:abstractNumId w:val="42"/>
  </w:num>
  <w:num w:numId="34" w16cid:durableId="2106151868">
    <w:abstractNumId w:val="27"/>
  </w:num>
  <w:num w:numId="35" w16cid:durableId="754667496">
    <w:abstractNumId w:val="71"/>
  </w:num>
  <w:num w:numId="36" w16cid:durableId="795951767">
    <w:abstractNumId w:val="69"/>
  </w:num>
  <w:num w:numId="37" w16cid:durableId="1264217989">
    <w:abstractNumId w:val="36"/>
  </w:num>
  <w:num w:numId="38" w16cid:durableId="228461417">
    <w:abstractNumId w:val="7"/>
  </w:num>
  <w:num w:numId="39" w16cid:durableId="2132087567">
    <w:abstractNumId w:val="11"/>
  </w:num>
  <w:num w:numId="40" w16cid:durableId="1654406422">
    <w:abstractNumId w:val="51"/>
  </w:num>
  <w:num w:numId="41" w16cid:durableId="1109278540">
    <w:abstractNumId w:val="57"/>
  </w:num>
  <w:num w:numId="42" w16cid:durableId="56436154">
    <w:abstractNumId w:val="28"/>
  </w:num>
  <w:num w:numId="43" w16cid:durableId="333922295">
    <w:abstractNumId w:val="67"/>
  </w:num>
  <w:num w:numId="44" w16cid:durableId="647369149">
    <w:abstractNumId w:val="65"/>
  </w:num>
  <w:num w:numId="45" w16cid:durableId="581069891">
    <w:abstractNumId w:val="40"/>
  </w:num>
  <w:num w:numId="46" w16cid:durableId="84377264">
    <w:abstractNumId w:val="14"/>
  </w:num>
  <w:num w:numId="47" w16cid:durableId="2110350405">
    <w:abstractNumId w:val="38"/>
  </w:num>
  <w:num w:numId="48" w16cid:durableId="1683824302">
    <w:abstractNumId w:val="3"/>
  </w:num>
  <w:num w:numId="49" w16cid:durableId="892540711">
    <w:abstractNumId w:val="17"/>
  </w:num>
  <w:num w:numId="50" w16cid:durableId="1476146165">
    <w:abstractNumId w:val="54"/>
  </w:num>
  <w:num w:numId="51" w16cid:durableId="2136866837">
    <w:abstractNumId w:val="19"/>
  </w:num>
  <w:num w:numId="52" w16cid:durableId="1616912461">
    <w:abstractNumId w:val="23"/>
  </w:num>
  <w:num w:numId="53" w16cid:durableId="727997062">
    <w:abstractNumId w:val="10"/>
  </w:num>
  <w:num w:numId="54" w16cid:durableId="1826782178">
    <w:abstractNumId w:val="35"/>
  </w:num>
  <w:num w:numId="55" w16cid:durableId="1705016047">
    <w:abstractNumId w:val="15"/>
  </w:num>
  <w:num w:numId="56" w16cid:durableId="1843204620">
    <w:abstractNumId w:val="45"/>
  </w:num>
  <w:num w:numId="57" w16cid:durableId="411319393">
    <w:abstractNumId w:val="61"/>
  </w:num>
  <w:num w:numId="58" w16cid:durableId="168954225">
    <w:abstractNumId w:val="33"/>
  </w:num>
  <w:num w:numId="59" w16cid:durableId="1411125138">
    <w:abstractNumId w:val="64"/>
  </w:num>
  <w:num w:numId="60" w16cid:durableId="412435538">
    <w:abstractNumId w:val="29"/>
  </w:num>
  <w:num w:numId="61" w16cid:durableId="1400982915">
    <w:abstractNumId w:val="32"/>
  </w:num>
  <w:num w:numId="62" w16cid:durableId="1323854251">
    <w:abstractNumId w:val="18"/>
  </w:num>
  <w:num w:numId="63" w16cid:durableId="605383083">
    <w:abstractNumId w:val="60"/>
  </w:num>
  <w:num w:numId="64" w16cid:durableId="1637954146">
    <w:abstractNumId w:val="6"/>
  </w:num>
  <w:num w:numId="65" w16cid:durableId="491455154">
    <w:abstractNumId w:val="8"/>
  </w:num>
  <w:num w:numId="66" w16cid:durableId="1415056611">
    <w:abstractNumId w:val="55"/>
  </w:num>
  <w:num w:numId="67" w16cid:durableId="532377417">
    <w:abstractNumId w:val="46"/>
  </w:num>
  <w:num w:numId="68" w16cid:durableId="180362620">
    <w:abstractNumId w:val="43"/>
  </w:num>
  <w:num w:numId="69" w16cid:durableId="1924407612">
    <w:abstractNumId w:val="5"/>
  </w:num>
  <w:num w:numId="70" w16cid:durableId="492643699">
    <w:abstractNumId w:val="22"/>
  </w:num>
  <w:num w:numId="71" w16cid:durableId="1807236325">
    <w:abstractNumId w:val="41"/>
  </w:num>
  <w:num w:numId="72" w16cid:durableId="807432380">
    <w:abstractNumId w:val="9"/>
  </w:num>
  <w:num w:numId="73" w16cid:durableId="1037967282">
    <w:abstractNumId w:val="2"/>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pos w:val="beneathText"/>
    <w:numStart w:val="2"/>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2E"/>
    <w:rsid w:val="00000586"/>
    <w:rsid w:val="000009FA"/>
    <w:rsid w:val="00000DE3"/>
    <w:rsid w:val="000010EF"/>
    <w:rsid w:val="0000112F"/>
    <w:rsid w:val="000018C3"/>
    <w:rsid w:val="00001912"/>
    <w:rsid w:val="00001BF8"/>
    <w:rsid w:val="00002075"/>
    <w:rsid w:val="000023F3"/>
    <w:rsid w:val="00002972"/>
    <w:rsid w:val="00002BD8"/>
    <w:rsid w:val="00003161"/>
    <w:rsid w:val="00004026"/>
    <w:rsid w:val="00004089"/>
    <w:rsid w:val="0000408F"/>
    <w:rsid w:val="00004140"/>
    <w:rsid w:val="00004748"/>
    <w:rsid w:val="00004757"/>
    <w:rsid w:val="0000527F"/>
    <w:rsid w:val="00005727"/>
    <w:rsid w:val="000061BF"/>
    <w:rsid w:val="000061DD"/>
    <w:rsid w:val="000063A4"/>
    <w:rsid w:val="00006750"/>
    <w:rsid w:val="000069C8"/>
    <w:rsid w:val="00007255"/>
    <w:rsid w:val="000079E9"/>
    <w:rsid w:val="00007C41"/>
    <w:rsid w:val="00007DD2"/>
    <w:rsid w:val="000100EA"/>
    <w:rsid w:val="00010693"/>
    <w:rsid w:val="000111CC"/>
    <w:rsid w:val="00011764"/>
    <w:rsid w:val="0001233C"/>
    <w:rsid w:val="00012DBE"/>
    <w:rsid w:val="00012E15"/>
    <w:rsid w:val="00013190"/>
    <w:rsid w:val="00013277"/>
    <w:rsid w:val="00013387"/>
    <w:rsid w:val="0001369A"/>
    <w:rsid w:val="000138A6"/>
    <w:rsid w:val="00013A30"/>
    <w:rsid w:val="00013D2B"/>
    <w:rsid w:val="00013E53"/>
    <w:rsid w:val="00013F88"/>
    <w:rsid w:val="00014895"/>
    <w:rsid w:val="00014989"/>
    <w:rsid w:val="00014EE5"/>
    <w:rsid w:val="000154FF"/>
    <w:rsid w:val="000163F4"/>
    <w:rsid w:val="00016BD0"/>
    <w:rsid w:val="00016CEF"/>
    <w:rsid w:val="00016EAE"/>
    <w:rsid w:val="0001709A"/>
    <w:rsid w:val="000170EA"/>
    <w:rsid w:val="0001720F"/>
    <w:rsid w:val="00017588"/>
    <w:rsid w:val="0001791A"/>
    <w:rsid w:val="000203DA"/>
    <w:rsid w:val="00020655"/>
    <w:rsid w:val="00020878"/>
    <w:rsid w:val="00020B80"/>
    <w:rsid w:val="00020CA4"/>
    <w:rsid w:val="000210A8"/>
    <w:rsid w:val="00021360"/>
    <w:rsid w:val="00021919"/>
    <w:rsid w:val="00022BCC"/>
    <w:rsid w:val="0002303B"/>
    <w:rsid w:val="000235E3"/>
    <w:rsid w:val="00023733"/>
    <w:rsid w:val="00023CE0"/>
    <w:rsid w:val="000245C6"/>
    <w:rsid w:val="000246AD"/>
    <w:rsid w:val="00024D21"/>
    <w:rsid w:val="00025069"/>
    <w:rsid w:val="000253F4"/>
    <w:rsid w:val="00025580"/>
    <w:rsid w:val="000265C0"/>
    <w:rsid w:val="00026D98"/>
    <w:rsid w:val="00027E37"/>
    <w:rsid w:val="0003082D"/>
    <w:rsid w:val="00030A87"/>
    <w:rsid w:val="00030B29"/>
    <w:rsid w:val="00031106"/>
    <w:rsid w:val="000312B8"/>
    <w:rsid w:val="0003132E"/>
    <w:rsid w:val="0003175C"/>
    <w:rsid w:val="000318C7"/>
    <w:rsid w:val="00031DD9"/>
    <w:rsid w:val="00031ECE"/>
    <w:rsid w:val="00032DD3"/>
    <w:rsid w:val="00032E93"/>
    <w:rsid w:val="00032EEE"/>
    <w:rsid w:val="000330C5"/>
    <w:rsid w:val="00033619"/>
    <w:rsid w:val="00033718"/>
    <w:rsid w:val="00033AA5"/>
    <w:rsid w:val="00033BF5"/>
    <w:rsid w:val="00033C18"/>
    <w:rsid w:val="00033F83"/>
    <w:rsid w:val="00034515"/>
    <w:rsid w:val="000350B8"/>
    <w:rsid w:val="000354CB"/>
    <w:rsid w:val="00035855"/>
    <w:rsid w:val="00035A74"/>
    <w:rsid w:val="00035AB1"/>
    <w:rsid w:val="00036257"/>
    <w:rsid w:val="00036D0E"/>
    <w:rsid w:val="00036F03"/>
    <w:rsid w:val="00037084"/>
    <w:rsid w:val="00037172"/>
    <w:rsid w:val="000378C9"/>
    <w:rsid w:val="0004003B"/>
    <w:rsid w:val="00040606"/>
    <w:rsid w:val="00041958"/>
    <w:rsid w:val="0004195B"/>
    <w:rsid w:val="00041A21"/>
    <w:rsid w:val="00041FB3"/>
    <w:rsid w:val="0004223C"/>
    <w:rsid w:val="00042990"/>
    <w:rsid w:val="00042B38"/>
    <w:rsid w:val="00042C3F"/>
    <w:rsid w:val="0004339B"/>
    <w:rsid w:val="000435E9"/>
    <w:rsid w:val="0004396B"/>
    <w:rsid w:val="00045711"/>
    <w:rsid w:val="000457C0"/>
    <w:rsid w:val="00045BDD"/>
    <w:rsid w:val="00046716"/>
    <w:rsid w:val="00046E77"/>
    <w:rsid w:val="00046ED3"/>
    <w:rsid w:val="000470CD"/>
    <w:rsid w:val="0004721A"/>
    <w:rsid w:val="00050267"/>
    <w:rsid w:val="0005034A"/>
    <w:rsid w:val="0005035E"/>
    <w:rsid w:val="00050744"/>
    <w:rsid w:val="0005076C"/>
    <w:rsid w:val="00050B0F"/>
    <w:rsid w:val="00050CD6"/>
    <w:rsid w:val="00051177"/>
    <w:rsid w:val="00052157"/>
    <w:rsid w:val="00052891"/>
    <w:rsid w:val="000528FE"/>
    <w:rsid w:val="000530C4"/>
    <w:rsid w:val="0005386D"/>
    <w:rsid w:val="00054000"/>
    <w:rsid w:val="00054773"/>
    <w:rsid w:val="00055513"/>
    <w:rsid w:val="00055DAF"/>
    <w:rsid w:val="00055EB0"/>
    <w:rsid w:val="0005635F"/>
    <w:rsid w:val="00056932"/>
    <w:rsid w:val="00056BB2"/>
    <w:rsid w:val="0005720C"/>
    <w:rsid w:val="00060548"/>
    <w:rsid w:val="00060684"/>
    <w:rsid w:val="00061223"/>
    <w:rsid w:val="000618D6"/>
    <w:rsid w:val="0006290A"/>
    <w:rsid w:val="00062A07"/>
    <w:rsid w:val="00063620"/>
    <w:rsid w:val="00063CD9"/>
    <w:rsid w:val="00064037"/>
    <w:rsid w:val="0006442B"/>
    <w:rsid w:val="00064C68"/>
    <w:rsid w:val="00064D13"/>
    <w:rsid w:val="00065B35"/>
    <w:rsid w:val="00065CAB"/>
    <w:rsid w:val="00065D3E"/>
    <w:rsid w:val="0006615F"/>
    <w:rsid w:val="0006627E"/>
    <w:rsid w:val="00066309"/>
    <w:rsid w:val="00066A85"/>
    <w:rsid w:val="00067505"/>
    <w:rsid w:val="0006764A"/>
    <w:rsid w:val="00067B5B"/>
    <w:rsid w:val="00067B91"/>
    <w:rsid w:val="0007142D"/>
    <w:rsid w:val="0007176D"/>
    <w:rsid w:val="000717BC"/>
    <w:rsid w:val="00071DA9"/>
    <w:rsid w:val="00072253"/>
    <w:rsid w:val="00072834"/>
    <w:rsid w:val="000728B5"/>
    <w:rsid w:val="0007291B"/>
    <w:rsid w:val="00072DC6"/>
    <w:rsid w:val="00073545"/>
    <w:rsid w:val="00073CE1"/>
    <w:rsid w:val="00074402"/>
    <w:rsid w:val="00074774"/>
    <w:rsid w:val="000751C6"/>
    <w:rsid w:val="00075690"/>
    <w:rsid w:val="00075E4E"/>
    <w:rsid w:val="00076ACC"/>
    <w:rsid w:val="00076ACE"/>
    <w:rsid w:val="0007702A"/>
    <w:rsid w:val="00077039"/>
    <w:rsid w:val="000771F5"/>
    <w:rsid w:val="000778D6"/>
    <w:rsid w:val="0007796D"/>
    <w:rsid w:val="00077D3D"/>
    <w:rsid w:val="00077F7E"/>
    <w:rsid w:val="000801EE"/>
    <w:rsid w:val="000803DC"/>
    <w:rsid w:val="000819DE"/>
    <w:rsid w:val="00081FFF"/>
    <w:rsid w:val="000820AB"/>
    <w:rsid w:val="000822B4"/>
    <w:rsid w:val="00082D95"/>
    <w:rsid w:val="000835A7"/>
    <w:rsid w:val="00083693"/>
    <w:rsid w:val="00083BAB"/>
    <w:rsid w:val="00084029"/>
    <w:rsid w:val="00084181"/>
    <w:rsid w:val="0008481B"/>
    <w:rsid w:val="00084968"/>
    <w:rsid w:val="00084B0D"/>
    <w:rsid w:val="00084E2A"/>
    <w:rsid w:val="00085EE6"/>
    <w:rsid w:val="000863BC"/>
    <w:rsid w:val="00086A4F"/>
    <w:rsid w:val="00086C4A"/>
    <w:rsid w:val="00086CE0"/>
    <w:rsid w:val="00086E37"/>
    <w:rsid w:val="0008711C"/>
    <w:rsid w:val="000901E8"/>
    <w:rsid w:val="0009033B"/>
    <w:rsid w:val="000907C5"/>
    <w:rsid w:val="00090B60"/>
    <w:rsid w:val="00090DD0"/>
    <w:rsid w:val="0009114F"/>
    <w:rsid w:val="00091260"/>
    <w:rsid w:val="0009127F"/>
    <w:rsid w:val="000914B5"/>
    <w:rsid w:val="00091BB2"/>
    <w:rsid w:val="00091CED"/>
    <w:rsid w:val="00091D53"/>
    <w:rsid w:val="00092151"/>
    <w:rsid w:val="00092A21"/>
    <w:rsid w:val="00092C7D"/>
    <w:rsid w:val="00093297"/>
    <w:rsid w:val="000933F1"/>
    <w:rsid w:val="0009349F"/>
    <w:rsid w:val="00093696"/>
    <w:rsid w:val="0009387D"/>
    <w:rsid w:val="000938F4"/>
    <w:rsid w:val="00093CBC"/>
    <w:rsid w:val="00094102"/>
    <w:rsid w:val="0009496F"/>
    <w:rsid w:val="000949F0"/>
    <w:rsid w:val="000949FA"/>
    <w:rsid w:val="0009562F"/>
    <w:rsid w:val="000957CB"/>
    <w:rsid w:val="000959BB"/>
    <w:rsid w:val="00095ABF"/>
    <w:rsid w:val="00095AC4"/>
    <w:rsid w:val="00095BAD"/>
    <w:rsid w:val="00095CFA"/>
    <w:rsid w:val="00095E06"/>
    <w:rsid w:val="00095E21"/>
    <w:rsid w:val="0009633F"/>
    <w:rsid w:val="000963B8"/>
    <w:rsid w:val="00096649"/>
    <w:rsid w:val="00096829"/>
    <w:rsid w:val="00097391"/>
    <w:rsid w:val="00097670"/>
    <w:rsid w:val="00097B2E"/>
    <w:rsid w:val="00097DF8"/>
    <w:rsid w:val="000A0157"/>
    <w:rsid w:val="000A02A7"/>
    <w:rsid w:val="000A031A"/>
    <w:rsid w:val="000A038D"/>
    <w:rsid w:val="000A0845"/>
    <w:rsid w:val="000A08B2"/>
    <w:rsid w:val="000A0B61"/>
    <w:rsid w:val="000A255E"/>
    <w:rsid w:val="000A274F"/>
    <w:rsid w:val="000A341A"/>
    <w:rsid w:val="000A3ACD"/>
    <w:rsid w:val="000A403D"/>
    <w:rsid w:val="000A45D9"/>
    <w:rsid w:val="000A4FA2"/>
    <w:rsid w:val="000A54C5"/>
    <w:rsid w:val="000A5518"/>
    <w:rsid w:val="000A5527"/>
    <w:rsid w:val="000A59C8"/>
    <w:rsid w:val="000A5C63"/>
    <w:rsid w:val="000A5C65"/>
    <w:rsid w:val="000A60B3"/>
    <w:rsid w:val="000A71D7"/>
    <w:rsid w:val="000A7498"/>
    <w:rsid w:val="000A7908"/>
    <w:rsid w:val="000B0813"/>
    <w:rsid w:val="000B0A11"/>
    <w:rsid w:val="000B0CCE"/>
    <w:rsid w:val="000B1232"/>
    <w:rsid w:val="000B13DD"/>
    <w:rsid w:val="000B1622"/>
    <w:rsid w:val="000B1B93"/>
    <w:rsid w:val="000B1EE4"/>
    <w:rsid w:val="000B1F09"/>
    <w:rsid w:val="000B1FB3"/>
    <w:rsid w:val="000B32C8"/>
    <w:rsid w:val="000B38C7"/>
    <w:rsid w:val="000B3957"/>
    <w:rsid w:val="000B3D97"/>
    <w:rsid w:val="000B41F6"/>
    <w:rsid w:val="000B438A"/>
    <w:rsid w:val="000B4474"/>
    <w:rsid w:val="000B4668"/>
    <w:rsid w:val="000B4EED"/>
    <w:rsid w:val="000B5568"/>
    <w:rsid w:val="000B599F"/>
    <w:rsid w:val="000B65CD"/>
    <w:rsid w:val="000B702F"/>
    <w:rsid w:val="000B70BB"/>
    <w:rsid w:val="000B76A1"/>
    <w:rsid w:val="000B7AD2"/>
    <w:rsid w:val="000C05D4"/>
    <w:rsid w:val="000C0B30"/>
    <w:rsid w:val="000C0E78"/>
    <w:rsid w:val="000C117B"/>
    <w:rsid w:val="000C12F2"/>
    <w:rsid w:val="000C1823"/>
    <w:rsid w:val="000C19E0"/>
    <w:rsid w:val="000C1BE1"/>
    <w:rsid w:val="000C1EA0"/>
    <w:rsid w:val="000C20B3"/>
    <w:rsid w:val="000C33B7"/>
    <w:rsid w:val="000C3B63"/>
    <w:rsid w:val="000C40AB"/>
    <w:rsid w:val="000C47FA"/>
    <w:rsid w:val="000C5012"/>
    <w:rsid w:val="000C5236"/>
    <w:rsid w:val="000C529E"/>
    <w:rsid w:val="000C5370"/>
    <w:rsid w:val="000C5AFF"/>
    <w:rsid w:val="000C6AA9"/>
    <w:rsid w:val="000C6D9E"/>
    <w:rsid w:val="000C6EF7"/>
    <w:rsid w:val="000C7E2D"/>
    <w:rsid w:val="000C7EB6"/>
    <w:rsid w:val="000D016F"/>
    <w:rsid w:val="000D0552"/>
    <w:rsid w:val="000D06C9"/>
    <w:rsid w:val="000D06CD"/>
    <w:rsid w:val="000D0DA2"/>
    <w:rsid w:val="000D0EAE"/>
    <w:rsid w:val="000D1160"/>
    <w:rsid w:val="000D11AE"/>
    <w:rsid w:val="000D11FF"/>
    <w:rsid w:val="000D148D"/>
    <w:rsid w:val="000D1744"/>
    <w:rsid w:val="000D1AEC"/>
    <w:rsid w:val="000D24C8"/>
    <w:rsid w:val="000D3958"/>
    <w:rsid w:val="000D42E3"/>
    <w:rsid w:val="000D451A"/>
    <w:rsid w:val="000D47ED"/>
    <w:rsid w:val="000D4890"/>
    <w:rsid w:val="000D4B5E"/>
    <w:rsid w:val="000D5224"/>
    <w:rsid w:val="000D56D8"/>
    <w:rsid w:val="000D587B"/>
    <w:rsid w:val="000D5FAC"/>
    <w:rsid w:val="000D62E7"/>
    <w:rsid w:val="000D634C"/>
    <w:rsid w:val="000D67C6"/>
    <w:rsid w:val="000D67C8"/>
    <w:rsid w:val="000D6810"/>
    <w:rsid w:val="000D6B03"/>
    <w:rsid w:val="000D6C19"/>
    <w:rsid w:val="000D7347"/>
    <w:rsid w:val="000D7872"/>
    <w:rsid w:val="000D7879"/>
    <w:rsid w:val="000D79AD"/>
    <w:rsid w:val="000D7E11"/>
    <w:rsid w:val="000E0C42"/>
    <w:rsid w:val="000E28BD"/>
    <w:rsid w:val="000E299F"/>
    <w:rsid w:val="000E2CF7"/>
    <w:rsid w:val="000E2FB8"/>
    <w:rsid w:val="000E3375"/>
    <w:rsid w:val="000E3444"/>
    <w:rsid w:val="000E368C"/>
    <w:rsid w:val="000E3736"/>
    <w:rsid w:val="000E424F"/>
    <w:rsid w:val="000E4D60"/>
    <w:rsid w:val="000E4D9F"/>
    <w:rsid w:val="000E5098"/>
    <w:rsid w:val="000E5CA9"/>
    <w:rsid w:val="000E65E0"/>
    <w:rsid w:val="000E6687"/>
    <w:rsid w:val="000E6B15"/>
    <w:rsid w:val="000E6BA2"/>
    <w:rsid w:val="000E6C12"/>
    <w:rsid w:val="000E7B4A"/>
    <w:rsid w:val="000E7EE1"/>
    <w:rsid w:val="000F0371"/>
    <w:rsid w:val="000F0B89"/>
    <w:rsid w:val="000F0C86"/>
    <w:rsid w:val="000F1974"/>
    <w:rsid w:val="000F19CD"/>
    <w:rsid w:val="000F2403"/>
    <w:rsid w:val="000F2476"/>
    <w:rsid w:val="000F2934"/>
    <w:rsid w:val="000F2BE5"/>
    <w:rsid w:val="000F2D6C"/>
    <w:rsid w:val="000F2F7F"/>
    <w:rsid w:val="000F3114"/>
    <w:rsid w:val="000F3192"/>
    <w:rsid w:val="000F337D"/>
    <w:rsid w:val="000F3765"/>
    <w:rsid w:val="000F3DCE"/>
    <w:rsid w:val="000F41A0"/>
    <w:rsid w:val="000F4A56"/>
    <w:rsid w:val="000F4B2B"/>
    <w:rsid w:val="000F5219"/>
    <w:rsid w:val="000F54D6"/>
    <w:rsid w:val="000F569E"/>
    <w:rsid w:val="000F604D"/>
    <w:rsid w:val="000F6A7A"/>
    <w:rsid w:val="000F6C23"/>
    <w:rsid w:val="000F6D56"/>
    <w:rsid w:val="000F7389"/>
    <w:rsid w:val="000F7938"/>
    <w:rsid w:val="00100D50"/>
    <w:rsid w:val="00100EA2"/>
    <w:rsid w:val="0010140E"/>
    <w:rsid w:val="0010178D"/>
    <w:rsid w:val="00101A6C"/>
    <w:rsid w:val="00101B20"/>
    <w:rsid w:val="00101CC8"/>
    <w:rsid w:val="00101DCC"/>
    <w:rsid w:val="00101DD0"/>
    <w:rsid w:val="0010387D"/>
    <w:rsid w:val="00103BA3"/>
    <w:rsid w:val="00103C2B"/>
    <w:rsid w:val="0010408D"/>
    <w:rsid w:val="001040DC"/>
    <w:rsid w:val="00104189"/>
    <w:rsid w:val="001043A1"/>
    <w:rsid w:val="00104E76"/>
    <w:rsid w:val="00104E8E"/>
    <w:rsid w:val="001051E9"/>
    <w:rsid w:val="00105243"/>
    <w:rsid w:val="00105572"/>
    <w:rsid w:val="001055E5"/>
    <w:rsid w:val="001058C4"/>
    <w:rsid w:val="00105B1F"/>
    <w:rsid w:val="00106197"/>
    <w:rsid w:val="00106724"/>
    <w:rsid w:val="00106F77"/>
    <w:rsid w:val="00106FFD"/>
    <w:rsid w:val="0010703F"/>
    <w:rsid w:val="00107908"/>
    <w:rsid w:val="001079D5"/>
    <w:rsid w:val="00107C1C"/>
    <w:rsid w:val="00107F57"/>
    <w:rsid w:val="001101EA"/>
    <w:rsid w:val="001107A2"/>
    <w:rsid w:val="001108E4"/>
    <w:rsid w:val="00110FBC"/>
    <w:rsid w:val="00111459"/>
    <w:rsid w:val="001118CC"/>
    <w:rsid w:val="00111940"/>
    <w:rsid w:val="00111E96"/>
    <w:rsid w:val="00111ED1"/>
    <w:rsid w:val="00112338"/>
    <w:rsid w:val="00113124"/>
    <w:rsid w:val="00113D9C"/>
    <w:rsid w:val="00113E81"/>
    <w:rsid w:val="0011453E"/>
    <w:rsid w:val="001148A9"/>
    <w:rsid w:val="00114A9E"/>
    <w:rsid w:val="0011503D"/>
    <w:rsid w:val="001151CE"/>
    <w:rsid w:val="00115487"/>
    <w:rsid w:val="00115D6B"/>
    <w:rsid w:val="00115F57"/>
    <w:rsid w:val="00115F88"/>
    <w:rsid w:val="001163DE"/>
    <w:rsid w:val="00116AB3"/>
    <w:rsid w:val="00116D91"/>
    <w:rsid w:val="00117276"/>
    <w:rsid w:val="00117BC9"/>
    <w:rsid w:val="0012024E"/>
    <w:rsid w:val="0012046E"/>
    <w:rsid w:val="001208C5"/>
    <w:rsid w:val="00121931"/>
    <w:rsid w:val="0012242F"/>
    <w:rsid w:val="00122DAD"/>
    <w:rsid w:val="00122F73"/>
    <w:rsid w:val="0012318A"/>
    <w:rsid w:val="00123A3D"/>
    <w:rsid w:val="00124298"/>
    <w:rsid w:val="001243F6"/>
    <w:rsid w:val="00124536"/>
    <w:rsid w:val="00125650"/>
    <w:rsid w:val="0012568F"/>
    <w:rsid w:val="00125A89"/>
    <w:rsid w:val="00125AEC"/>
    <w:rsid w:val="00126030"/>
    <w:rsid w:val="001267D6"/>
    <w:rsid w:val="00126BD5"/>
    <w:rsid w:val="00127016"/>
    <w:rsid w:val="001270AF"/>
    <w:rsid w:val="00127545"/>
    <w:rsid w:val="0013080F"/>
    <w:rsid w:val="001317DB"/>
    <w:rsid w:val="00131B7D"/>
    <w:rsid w:val="001322D6"/>
    <w:rsid w:val="001326D7"/>
    <w:rsid w:val="001326DD"/>
    <w:rsid w:val="00132ED1"/>
    <w:rsid w:val="00132FAE"/>
    <w:rsid w:val="00132FC8"/>
    <w:rsid w:val="001335ED"/>
    <w:rsid w:val="001339D7"/>
    <w:rsid w:val="00133B77"/>
    <w:rsid w:val="00133E37"/>
    <w:rsid w:val="00134F25"/>
    <w:rsid w:val="00135490"/>
    <w:rsid w:val="00135A3A"/>
    <w:rsid w:val="00135DFD"/>
    <w:rsid w:val="00135E64"/>
    <w:rsid w:val="00136653"/>
    <w:rsid w:val="00136A14"/>
    <w:rsid w:val="00137F22"/>
    <w:rsid w:val="00137F83"/>
    <w:rsid w:val="00140251"/>
    <w:rsid w:val="001403B3"/>
    <w:rsid w:val="00140474"/>
    <w:rsid w:val="00140569"/>
    <w:rsid w:val="001407CA"/>
    <w:rsid w:val="00140964"/>
    <w:rsid w:val="00141553"/>
    <w:rsid w:val="00141B42"/>
    <w:rsid w:val="00141BD1"/>
    <w:rsid w:val="00141D15"/>
    <w:rsid w:val="001420C4"/>
    <w:rsid w:val="00142969"/>
    <w:rsid w:val="00142FA3"/>
    <w:rsid w:val="0014373A"/>
    <w:rsid w:val="00143CA6"/>
    <w:rsid w:val="00143DC0"/>
    <w:rsid w:val="00143EE3"/>
    <w:rsid w:val="00144145"/>
    <w:rsid w:val="001441B0"/>
    <w:rsid w:val="001441CF"/>
    <w:rsid w:val="0014433E"/>
    <w:rsid w:val="00144531"/>
    <w:rsid w:val="00144545"/>
    <w:rsid w:val="001450AD"/>
    <w:rsid w:val="001458B9"/>
    <w:rsid w:val="00146BC7"/>
    <w:rsid w:val="00146DFB"/>
    <w:rsid w:val="001470B0"/>
    <w:rsid w:val="0014779C"/>
    <w:rsid w:val="0014797E"/>
    <w:rsid w:val="00147D56"/>
    <w:rsid w:val="00147EAA"/>
    <w:rsid w:val="00147F6B"/>
    <w:rsid w:val="00150135"/>
    <w:rsid w:val="00150142"/>
    <w:rsid w:val="00150228"/>
    <w:rsid w:val="00150443"/>
    <w:rsid w:val="00150CF0"/>
    <w:rsid w:val="001518F4"/>
    <w:rsid w:val="00151969"/>
    <w:rsid w:val="00151B79"/>
    <w:rsid w:val="001520A5"/>
    <w:rsid w:val="0015217B"/>
    <w:rsid w:val="001521C5"/>
    <w:rsid w:val="0015272D"/>
    <w:rsid w:val="00152795"/>
    <w:rsid w:val="00152B59"/>
    <w:rsid w:val="00152BB6"/>
    <w:rsid w:val="00152BE9"/>
    <w:rsid w:val="00152D1A"/>
    <w:rsid w:val="00152D7D"/>
    <w:rsid w:val="00152F98"/>
    <w:rsid w:val="001530F6"/>
    <w:rsid w:val="00153C4D"/>
    <w:rsid w:val="00153FBE"/>
    <w:rsid w:val="0015418E"/>
    <w:rsid w:val="001541DE"/>
    <w:rsid w:val="00154F0A"/>
    <w:rsid w:val="00155159"/>
    <w:rsid w:val="00155337"/>
    <w:rsid w:val="001554CF"/>
    <w:rsid w:val="001555A1"/>
    <w:rsid w:val="00155833"/>
    <w:rsid w:val="001559FD"/>
    <w:rsid w:val="00155BB5"/>
    <w:rsid w:val="00155C58"/>
    <w:rsid w:val="00156A09"/>
    <w:rsid w:val="00156A10"/>
    <w:rsid w:val="00156A8A"/>
    <w:rsid w:val="00157976"/>
    <w:rsid w:val="00160819"/>
    <w:rsid w:val="00160F93"/>
    <w:rsid w:val="0016179A"/>
    <w:rsid w:val="0016192A"/>
    <w:rsid w:val="00161F13"/>
    <w:rsid w:val="00162574"/>
    <w:rsid w:val="0016290C"/>
    <w:rsid w:val="00162C8D"/>
    <w:rsid w:val="00162CE6"/>
    <w:rsid w:val="00162E7A"/>
    <w:rsid w:val="00163703"/>
    <w:rsid w:val="001637E3"/>
    <w:rsid w:val="00163C6B"/>
    <w:rsid w:val="00163DA6"/>
    <w:rsid w:val="001642F6"/>
    <w:rsid w:val="001646DF"/>
    <w:rsid w:val="0016480B"/>
    <w:rsid w:val="00164BEA"/>
    <w:rsid w:val="001653BF"/>
    <w:rsid w:val="001653E1"/>
    <w:rsid w:val="001654E3"/>
    <w:rsid w:val="00165910"/>
    <w:rsid w:val="00165B2A"/>
    <w:rsid w:val="00165CF8"/>
    <w:rsid w:val="00165FFB"/>
    <w:rsid w:val="00166258"/>
    <w:rsid w:val="001666F2"/>
    <w:rsid w:val="001673FC"/>
    <w:rsid w:val="0016754D"/>
    <w:rsid w:val="00167E31"/>
    <w:rsid w:val="00167E7B"/>
    <w:rsid w:val="00170279"/>
    <w:rsid w:val="0017072F"/>
    <w:rsid w:val="00170953"/>
    <w:rsid w:val="00170AE4"/>
    <w:rsid w:val="00171ADE"/>
    <w:rsid w:val="00171BBE"/>
    <w:rsid w:val="00171EE9"/>
    <w:rsid w:val="00172802"/>
    <w:rsid w:val="00172C20"/>
    <w:rsid w:val="0017303B"/>
    <w:rsid w:val="001738BF"/>
    <w:rsid w:val="00173948"/>
    <w:rsid w:val="00173C1B"/>
    <w:rsid w:val="00173C8D"/>
    <w:rsid w:val="00173D40"/>
    <w:rsid w:val="001743F5"/>
    <w:rsid w:val="00174DB9"/>
    <w:rsid w:val="00174EDE"/>
    <w:rsid w:val="001753D3"/>
    <w:rsid w:val="00175984"/>
    <w:rsid w:val="00175ACE"/>
    <w:rsid w:val="001761F5"/>
    <w:rsid w:val="00176A55"/>
    <w:rsid w:val="001773E8"/>
    <w:rsid w:val="00177565"/>
    <w:rsid w:val="0017768D"/>
    <w:rsid w:val="00177851"/>
    <w:rsid w:val="00177898"/>
    <w:rsid w:val="001779A0"/>
    <w:rsid w:val="0018021F"/>
    <w:rsid w:val="00180C76"/>
    <w:rsid w:val="001813C6"/>
    <w:rsid w:val="00181439"/>
    <w:rsid w:val="00181582"/>
    <w:rsid w:val="00181642"/>
    <w:rsid w:val="001816CA"/>
    <w:rsid w:val="00181A95"/>
    <w:rsid w:val="001821C5"/>
    <w:rsid w:val="001821FD"/>
    <w:rsid w:val="00182269"/>
    <w:rsid w:val="00182545"/>
    <w:rsid w:val="001832DB"/>
    <w:rsid w:val="00183430"/>
    <w:rsid w:val="001839E1"/>
    <w:rsid w:val="00183AB2"/>
    <w:rsid w:val="00183D21"/>
    <w:rsid w:val="00184027"/>
    <w:rsid w:val="0018414D"/>
    <w:rsid w:val="00184442"/>
    <w:rsid w:val="00184959"/>
    <w:rsid w:val="00184BAD"/>
    <w:rsid w:val="00185322"/>
    <w:rsid w:val="0018553B"/>
    <w:rsid w:val="00186133"/>
    <w:rsid w:val="001861B8"/>
    <w:rsid w:val="0018695B"/>
    <w:rsid w:val="00187810"/>
    <w:rsid w:val="00187897"/>
    <w:rsid w:val="00187FCE"/>
    <w:rsid w:val="001919F5"/>
    <w:rsid w:val="0019269C"/>
    <w:rsid w:val="00192AC5"/>
    <w:rsid w:val="00192BDC"/>
    <w:rsid w:val="00192E95"/>
    <w:rsid w:val="00192ECD"/>
    <w:rsid w:val="00193093"/>
    <w:rsid w:val="00193138"/>
    <w:rsid w:val="001931EB"/>
    <w:rsid w:val="00193363"/>
    <w:rsid w:val="00193DD4"/>
    <w:rsid w:val="00194543"/>
    <w:rsid w:val="00194809"/>
    <w:rsid w:val="0019494C"/>
    <w:rsid w:val="00194C97"/>
    <w:rsid w:val="00194CA3"/>
    <w:rsid w:val="0019588E"/>
    <w:rsid w:val="00195CC0"/>
    <w:rsid w:val="00196483"/>
    <w:rsid w:val="001965BD"/>
    <w:rsid w:val="00197DE6"/>
    <w:rsid w:val="00197F3C"/>
    <w:rsid w:val="001A0572"/>
    <w:rsid w:val="001A0DF7"/>
    <w:rsid w:val="001A1791"/>
    <w:rsid w:val="001A1BF9"/>
    <w:rsid w:val="001A1E1A"/>
    <w:rsid w:val="001A1EE6"/>
    <w:rsid w:val="001A22A8"/>
    <w:rsid w:val="001A234C"/>
    <w:rsid w:val="001A25DB"/>
    <w:rsid w:val="001A27F9"/>
    <w:rsid w:val="001A291A"/>
    <w:rsid w:val="001A2C88"/>
    <w:rsid w:val="001A2F41"/>
    <w:rsid w:val="001A316B"/>
    <w:rsid w:val="001A3611"/>
    <w:rsid w:val="001A377B"/>
    <w:rsid w:val="001A3E40"/>
    <w:rsid w:val="001A42ED"/>
    <w:rsid w:val="001A467D"/>
    <w:rsid w:val="001A4ADF"/>
    <w:rsid w:val="001A4B67"/>
    <w:rsid w:val="001A5A56"/>
    <w:rsid w:val="001A5AE6"/>
    <w:rsid w:val="001A5B28"/>
    <w:rsid w:val="001A5D13"/>
    <w:rsid w:val="001A5E0A"/>
    <w:rsid w:val="001A615D"/>
    <w:rsid w:val="001A6D46"/>
    <w:rsid w:val="001A6EFF"/>
    <w:rsid w:val="001A724D"/>
    <w:rsid w:val="001A745E"/>
    <w:rsid w:val="001A7650"/>
    <w:rsid w:val="001A77A8"/>
    <w:rsid w:val="001A791D"/>
    <w:rsid w:val="001A7B66"/>
    <w:rsid w:val="001A7FDD"/>
    <w:rsid w:val="001B1904"/>
    <w:rsid w:val="001B1F19"/>
    <w:rsid w:val="001B2892"/>
    <w:rsid w:val="001B2A18"/>
    <w:rsid w:val="001B2F4A"/>
    <w:rsid w:val="001B313A"/>
    <w:rsid w:val="001B32FC"/>
    <w:rsid w:val="001B368B"/>
    <w:rsid w:val="001B39D7"/>
    <w:rsid w:val="001B3A4D"/>
    <w:rsid w:val="001B455F"/>
    <w:rsid w:val="001B4967"/>
    <w:rsid w:val="001B4E86"/>
    <w:rsid w:val="001B50E9"/>
    <w:rsid w:val="001B5132"/>
    <w:rsid w:val="001B53C9"/>
    <w:rsid w:val="001B5422"/>
    <w:rsid w:val="001B59D9"/>
    <w:rsid w:val="001B5E77"/>
    <w:rsid w:val="001B5FF2"/>
    <w:rsid w:val="001B66EE"/>
    <w:rsid w:val="001B6840"/>
    <w:rsid w:val="001B6D45"/>
    <w:rsid w:val="001B70B5"/>
    <w:rsid w:val="001B725D"/>
    <w:rsid w:val="001B7C0D"/>
    <w:rsid w:val="001C0EE5"/>
    <w:rsid w:val="001C1193"/>
    <w:rsid w:val="001C1682"/>
    <w:rsid w:val="001C1815"/>
    <w:rsid w:val="001C1F8F"/>
    <w:rsid w:val="001C2CBE"/>
    <w:rsid w:val="001C2ECC"/>
    <w:rsid w:val="001C3CEF"/>
    <w:rsid w:val="001C3CF8"/>
    <w:rsid w:val="001C401C"/>
    <w:rsid w:val="001C4C12"/>
    <w:rsid w:val="001C4E23"/>
    <w:rsid w:val="001C514D"/>
    <w:rsid w:val="001C56B5"/>
    <w:rsid w:val="001C56ED"/>
    <w:rsid w:val="001C5AAE"/>
    <w:rsid w:val="001C6241"/>
    <w:rsid w:val="001C6F96"/>
    <w:rsid w:val="001C7126"/>
    <w:rsid w:val="001C7580"/>
    <w:rsid w:val="001C79D1"/>
    <w:rsid w:val="001C7A6A"/>
    <w:rsid w:val="001D0D95"/>
    <w:rsid w:val="001D12A6"/>
    <w:rsid w:val="001D1637"/>
    <w:rsid w:val="001D16A8"/>
    <w:rsid w:val="001D2609"/>
    <w:rsid w:val="001D26CF"/>
    <w:rsid w:val="001D26FF"/>
    <w:rsid w:val="001D2921"/>
    <w:rsid w:val="001D2A5D"/>
    <w:rsid w:val="001D3336"/>
    <w:rsid w:val="001D3805"/>
    <w:rsid w:val="001D3847"/>
    <w:rsid w:val="001D3A0A"/>
    <w:rsid w:val="001D4715"/>
    <w:rsid w:val="001D4973"/>
    <w:rsid w:val="001D4EDC"/>
    <w:rsid w:val="001D5609"/>
    <w:rsid w:val="001D58C2"/>
    <w:rsid w:val="001D5AF5"/>
    <w:rsid w:val="001D65BD"/>
    <w:rsid w:val="001D6B7D"/>
    <w:rsid w:val="001D6C47"/>
    <w:rsid w:val="001D7086"/>
    <w:rsid w:val="001D7556"/>
    <w:rsid w:val="001D7767"/>
    <w:rsid w:val="001D7901"/>
    <w:rsid w:val="001D7A45"/>
    <w:rsid w:val="001D7BBF"/>
    <w:rsid w:val="001D7BC1"/>
    <w:rsid w:val="001D7CF5"/>
    <w:rsid w:val="001D7EF0"/>
    <w:rsid w:val="001E0691"/>
    <w:rsid w:val="001E07D6"/>
    <w:rsid w:val="001E08E0"/>
    <w:rsid w:val="001E0ECC"/>
    <w:rsid w:val="001E12BB"/>
    <w:rsid w:val="001E161D"/>
    <w:rsid w:val="001E21E5"/>
    <w:rsid w:val="001E2A4A"/>
    <w:rsid w:val="001E2E72"/>
    <w:rsid w:val="001E321F"/>
    <w:rsid w:val="001E4341"/>
    <w:rsid w:val="001E44D3"/>
    <w:rsid w:val="001E46BB"/>
    <w:rsid w:val="001E48C7"/>
    <w:rsid w:val="001E4FA8"/>
    <w:rsid w:val="001E5849"/>
    <w:rsid w:val="001E649A"/>
    <w:rsid w:val="001E6654"/>
    <w:rsid w:val="001E6AFB"/>
    <w:rsid w:val="001E731A"/>
    <w:rsid w:val="001E77B0"/>
    <w:rsid w:val="001E7B30"/>
    <w:rsid w:val="001E7C02"/>
    <w:rsid w:val="001E7DF3"/>
    <w:rsid w:val="001E7EAA"/>
    <w:rsid w:val="001E7FD8"/>
    <w:rsid w:val="001F0B93"/>
    <w:rsid w:val="001F1079"/>
    <w:rsid w:val="001F1722"/>
    <w:rsid w:val="001F1A1F"/>
    <w:rsid w:val="001F1C64"/>
    <w:rsid w:val="001F1D99"/>
    <w:rsid w:val="001F2620"/>
    <w:rsid w:val="001F290C"/>
    <w:rsid w:val="001F2B97"/>
    <w:rsid w:val="001F2BC3"/>
    <w:rsid w:val="001F2DF3"/>
    <w:rsid w:val="001F3A8E"/>
    <w:rsid w:val="001F3AEC"/>
    <w:rsid w:val="001F3BB8"/>
    <w:rsid w:val="001F403B"/>
    <w:rsid w:val="001F4177"/>
    <w:rsid w:val="001F42A2"/>
    <w:rsid w:val="001F4342"/>
    <w:rsid w:val="001F441A"/>
    <w:rsid w:val="001F463B"/>
    <w:rsid w:val="001F49E2"/>
    <w:rsid w:val="001F5101"/>
    <w:rsid w:val="001F553E"/>
    <w:rsid w:val="001F5617"/>
    <w:rsid w:val="001F5733"/>
    <w:rsid w:val="001F5C14"/>
    <w:rsid w:val="001F5DFF"/>
    <w:rsid w:val="001F5F58"/>
    <w:rsid w:val="001F606A"/>
    <w:rsid w:val="001F68B4"/>
    <w:rsid w:val="001F694F"/>
    <w:rsid w:val="001F6F71"/>
    <w:rsid w:val="001F6FD3"/>
    <w:rsid w:val="001F7140"/>
    <w:rsid w:val="001F7CB5"/>
    <w:rsid w:val="002000AC"/>
    <w:rsid w:val="002001D5"/>
    <w:rsid w:val="0020023E"/>
    <w:rsid w:val="00200542"/>
    <w:rsid w:val="00200A99"/>
    <w:rsid w:val="00200D26"/>
    <w:rsid w:val="00201064"/>
    <w:rsid w:val="0020124B"/>
    <w:rsid w:val="0020135B"/>
    <w:rsid w:val="002018ED"/>
    <w:rsid w:val="00201948"/>
    <w:rsid w:val="00201A46"/>
    <w:rsid w:val="002020D0"/>
    <w:rsid w:val="00202259"/>
    <w:rsid w:val="002025AB"/>
    <w:rsid w:val="002029A4"/>
    <w:rsid w:val="00202B13"/>
    <w:rsid w:val="002032B1"/>
    <w:rsid w:val="0020378E"/>
    <w:rsid w:val="00203FF4"/>
    <w:rsid w:val="00204399"/>
    <w:rsid w:val="002043CE"/>
    <w:rsid w:val="002047ED"/>
    <w:rsid w:val="0020499A"/>
    <w:rsid w:val="00205ABC"/>
    <w:rsid w:val="00205E43"/>
    <w:rsid w:val="00205F3B"/>
    <w:rsid w:val="002062CE"/>
    <w:rsid w:val="0020668A"/>
    <w:rsid w:val="0020687A"/>
    <w:rsid w:val="00206A09"/>
    <w:rsid w:val="00206F2E"/>
    <w:rsid w:val="0020765E"/>
    <w:rsid w:val="00207781"/>
    <w:rsid w:val="002077B9"/>
    <w:rsid w:val="00207EAB"/>
    <w:rsid w:val="00207F3D"/>
    <w:rsid w:val="00210B2E"/>
    <w:rsid w:val="00210C68"/>
    <w:rsid w:val="00210D49"/>
    <w:rsid w:val="00210E2A"/>
    <w:rsid w:val="00211279"/>
    <w:rsid w:val="00211F75"/>
    <w:rsid w:val="0021218A"/>
    <w:rsid w:val="0021218E"/>
    <w:rsid w:val="002122C6"/>
    <w:rsid w:val="0021270C"/>
    <w:rsid w:val="00212C9C"/>
    <w:rsid w:val="00212F90"/>
    <w:rsid w:val="002135BF"/>
    <w:rsid w:val="00213626"/>
    <w:rsid w:val="00213965"/>
    <w:rsid w:val="00213C33"/>
    <w:rsid w:val="00213C8D"/>
    <w:rsid w:val="00213E39"/>
    <w:rsid w:val="002143C1"/>
    <w:rsid w:val="00214A29"/>
    <w:rsid w:val="00214D8D"/>
    <w:rsid w:val="00214F4E"/>
    <w:rsid w:val="0021563C"/>
    <w:rsid w:val="0021600B"/>
    <w:rsid w:val="00216FAA"/>
    <w:rsid w:val="00217180"/>
    <w:rsid w:val="002171CF"/>
    <w:rsid w:val="00217FC2"/>
    <w:rsid w:val="00220805"/>
    <w:rsid w:val="00220FA5"/>
    <w:rsid w:val="00221650"/>
    <w:rsid w:val="00221BB3"/>
    <w:rsid w:val="00221DCA"/>
    <w:rsid w:val="00222E15"/>
    <w:rsid w:val="00222FD7"/>
    <w:rsid w:val="00223907"/>
    <w:rsid w:val="0022398B"/>
    <w:rsid w:val="00223AAB"/>
    <w:rsid w:val="00223B11"/>
    <w:rsid w:val="00223FD1"/>
    <w:rsid w:val="002243D0"/>
    <w:rsid w:val="00224A41"/>
    <w:rsid w:val="0022514A"/>
    <w:rsid w:val="002252DB"/>
    <w:rsid w:val="00225BD3"/>
    <w:rsid w:val="00225C26"/>
    <w:rsid w:val="00225FC2"/>
    <w:rsid w:val="00227081"/>
    <w:rsid w:val="002279DF"/>
    <w:rsid w:val="00227CDC"/>
    <w:rsid w:val="00230615"/>
    <w:rsid w:val="00230C39"/>
    <w:rsid w:val="0023170A"/>
    <w:rsid w:val="00231AF7"/>
    <w:rsid w:val="00231ECB"/>
    <w:rsid w:val="0023230F"/>
    <w:rsid w:val="002324A2"/>
    <w:rsid w:val="00232516"/>
    <w:rsid w:val="002327CB"/>
    <w:rsid w:val="002329FC"/>
    <w:rsid w:val="002339B6"/>
    <w:rsid w:val="00234279"/>
    <w:rsid w:val="0023479F"/>
    <w:rsid w:val="00234A29"/>
    <w:rsid w:val="00234A76"/>
    <w:rsid w:val="00235527"/>
    <w:rsid w:val="0023562B"/>
    <w:rsid w:val="002356D6"/>
    <w:rsid w:val="00235CFC"/>
    <w:rsid w:val="00235D99"/>
    <w:rsid w:val="00235F90"/>
    <w:rsid w:val="0023636E"/>
    <w:rsid w:val="002363F7"/>
    <w:rsid w:val="00236711"/>
    <w:rsid w:val="0023694A"/>
    <w:rsid w:val="00236D38"/>
    <w:rsid w:val="00236DC7"/>
    <w:rsid w:val="00237480"/>
    <w:rsid w:val="0023750C"/>
    <w:rsid w:val="00237AAB"/>
    <w:rsid w:val="00237B89"/>
    <w:rsid w:val="00237F75"/>
    <w:rsid w:val="00240643"/>
    <w:rsid w:val="002412E3"/>
    <w:rsid w:val="0024136F"/>
    <w:rsid w:val="002417AE"/>
    <w:rsid w:val="00242C15"/>
    <w:rsid w:val="00244690"/>
    <w:rsid w:val="0024470E"/>
    <w:rsid w:val="00244F41"/>
    <w:rsid w:val="00244FBC"/>
    <w:rsid w:val="00245547"/>
    <w:rsid w:val="0024555C"/>
    <w:rsid w:val="002461FB"/>
    <w:rsid w:val="002462CC"/>
    <w:rsid w:val="0024639D"/>
    <w:rsid w:val="002463F1"/>
    <w:rsid w:val="002467BB"/>
    <w:rsid w:val="002470A8"/>
    <w:rsid w:val="0024726D"/>
    <w:rsid w:val="002472D6"/>
    <w:rsid w:val="0024733C"/>
    <w:rsid w:val="0024756A"/>
    <w:rsid w:val="0025003A"/>
    <w:rsid w:val="002501A6"/>
    <w:rsid w:val="00250CEC"/>
    <w:rsid w:val="00250FF5"/>
    <w:rsid w:val="002514CB"/>
    <w:rsid w:val="0025200D"/>
    <w:rsid w:val="0025218F"/>
    <w:rsid w:val="002523DC"/>
    <w:rsid w:val="0025293D"/>
    <w:rsid w:val="00253021"/>
    <w:rsid w:val="0025315E"/>
    <w:rsid w:val="00253336"/>
    <w:rsid w:val="002541FC"/>
    <w:rsid w:val="002542B5"/>
    <w:rsid w:val="00254A4C"/>
    <w:rsid w:val="0025512D"/>
    <w:rsid w:val="0025525F"/>
    <w:rsid w:val="00255D7F"/>
    <w:rsid w:val="00256060"/>
    <w:rsid w:val="00256362"/>
    <w:rsid w:val="00256463"/>
    <w:rsid w:val="002566FC"/>
    <w:rsid w:val="00256BA7"/>
    <w:rsid w:val="00256EB0"/>
    <w:rsid w:val="00256F05"/>
    <w:rsid w:val="00256F39"/>
    <w:rsid w:val="00257080"/>
    <w:rsid w:val="0025711E"/>
    <w:rsid w:val="0025758C"/>
    <w:rsid w:val="00260577"/>
    <w:rsid w:val="00260633"/>
    <w:rsid w:val="00261082"/>
    <w:rsid w:val="002613D4"/>
    <w:rsid w:val="00261EA1"/>
    <w:rsid w:val="0026282B"/>
    <w:rsid w:val="00262B81"/>
    <w:rsid w:val="0026363A"/>
    <w:rsid w:val="00263FA3"/>
    <w:rsid w:val="00263FD0"/>
    <w:rsid w:val="00264640"/>
    <w:rsid w:val="002647A1"/>
    <w:rsid w:val="00264C9B"/>
    <w:rsid w:val="00264E83"/>
    <w:rsid w:val="00265498"/>
    <w:rsid w:val="002655F8"/>
    <w:rsid w:val="00266965"/>
    <w:rsid w:val="002670D1"/>
    <w:rsid w:val="00267BC9"/>
    <w:rsid w:val="002702E3"/>
    <w:rsid w:val="00270427"/>
    <w:rsid w:val="0027072C"/>
    <w:rsid w:val="00270915"/>
    <w:rsid w:val="00270D94"/>
    <w:rsid w:val="002714B2"/>
    <w:rsid w:val="00271A54"/>
    <w:rsid w:val="00272002"/>
    <w:rsid w:val="0027220C"/>
    <w:rsid w:val="0027226F"/>
    <w:rsid w:val="00272F9E"/>
    <w:rsid w:val="0027314E"/>
    <w:rsid w:val="002735F6"/>
    <w:rsid w:val="00274391"/>
    <w:rsid w:val="00274562"/>
    <w:rsid w:val="00274695"/>
    <w:rsid w:val="00274B7E"/>
    <w:rsid w:val="00274E61"/>
    <w:rsid w:val="00276527"/>
    <w:rsid w:val="002765A9"/>
    <w:rsid w:val="0027663F"/>
    <w:rsid w:val="002768E9"/>
    <w:rsid w:val="00276B0A"/>
    <w:rsid w:val="0027738B"/>
    <w:rsid w:val="0027745B"/>
    <w:rsid w:val="00277C93"/>
    <w:rsid w:val="00277E1B"/>
    <w:rsid w:val="002802F4"/>
    <w:rsid w:val="00280AE5"/>
    <w:rsid w:val="00281C99"/>
    <w:rsid w:val="00282826"/>
    <w:rsid w:val="0028294A"/>
    <w:rsid w:val="002835DD"/>
    <w:rsid w:val="00283B2C"/>
    <w:rsid w:val="00283E92"/>
    <w:rsid w:val="00284206"/>
    <w:rsid w:val="00284C3A"/>
    <w:rsid w:val="00285358"/>
    <w:rsid w:val="0028535D"/>
    <w:rsid w:val="0028536F"/>
    <w:rsid w:val="00285534"/>
    <w:rsid w:val="00285A05"/>
    <w:rsid w:val="002861C5"/>
    <w:rsid w:val="00286491"/>
    <w:rsid w:val="00286826"/>
    <w:rsid w:val="00286B0A"/>
    <w:rsid w:val="002873B1"/>
    <w:rsid w:val="002873D7"/>
    <w:rsid w:val="002874BE"/>
    <w:rsid w:val="002874DB"/>
    <w:rsid w:val="00287583"/>
    <w:rsid w:val="00287896"/>
    <w:rsid w:val="00287A48"/>
    <w:rsid w:val="00287DCF"/>
    <w:rsid w:val="00287F6C"/>
    <w:rsid w:val="0029065A"/>
    <w:rsid w:val="00291151"/>
    <w:rsid w:val="0029140F"/>
    <w:rsid w:val="00291754"/>
    <w:rsid w:val="00291920"/>
    <w:rsid w:val="00291D59"/>
    <w:rsid w:val="00291F89"/>
    <w:rsid w:val="002923A8"/>
    <w:rsid w:val="002924EB"/>
    <w:rsid w:val="002927DC"/>
    <w:rsid w:val="00292B6B"/>
    <w:rsid w:val="00293591"/>
    <w:rsid w:val="002936A7"/>
    <w:rsid w:val="0029371D"/>
    <w:rsid w:val="00293879"/>
    <w:rsid w:val="00293893"/>
    <w:rsid w:val="00293DD9"/>
    <w:rsid w:val="00293E3B"/>
    <w:rsid w:val="00293FE0"/>
    <w:rsid w:val="00294343"/>
    <w:rsid w:val="00294491"/>
    <w:rsid w:val="00294B07"/>
    <w:rsid w:val="00294DDA"/>
    <w:rsid w:val="002953BD"/>
    <w:rsid w:val="00295650"/>
    <w:rsid w:val="00295916"/>
    <w:rsid w:val="002960F2"/>
    <w:rsid w:val="002966E9"/>
    <w:rsid w:val="00296B17"/>
    <w:rsid w:val="0029757D"/>
    <w:rsid w:val="002A0167"/>
    <w:rsid w:val="002A084A"/>
    <w:rsid w:val="002A0F10"/>
    <w:rsid w:val="002A107D"/>
    <w:rsid w:val="002A15D3"/>
    <w:rsid w:val="002A1EC9"/>
    <w:rsid w:val="002A2E3E"/>
    <w:rsid w:val="002A2E76"/>
    <w:rsid w:val="002A397F"/>
    <w:rsid w:val="002A3BC6"/>
    <w:rsid w:val="002A403A"/>
    <w:rsid w:val="002A425E"/>
    <w:rsid w:val="002A4304"/>
    <w:rsid w:val="002A4735"/>
    <w:rsid w:val="002A4CD5"/>
    <w:rsid w:val="002A50B9"/>
    <w:rsid w:val="002A5307"/>
    <w:rsid w:val="002A56E9"/>
    <w:rsid w:val="002A5C96"/>
    <w:rsid w:val="002A5E81"/>
    <w:rsid w:val="002A61AB"/>
    <w:rsid w:val="002A7563"/>
    <w:rsid w:val="002A7BCB"/>
    <w:rsid w:val="002B0388"/>
    <w:rsid w:val="002B0CBC"/>
    <w:rsid w:val="002B0E38"/>
    <w:rsid w:val="002B1381"/>
    <w:rsid w:val="002B148D"/>
    <w:rsid w:val="002B1538"/>
    <w:rsid w:val="002B16AE"/>
    <w:rsid w:val="002B2057"/>
    <w:rsid w:val="002B20F5"/>
    <w:rsid w:val="002B298E"/>
    <w:rsid w:val="002B2FDF"/>
    <w:rsid w:val="002B353A"/>
    <w:rsid w:val="002B364E"/>
    <w:rsid w:val="002B3688"/>
    <w:rsid w:val="002B3855"/>
    <w:rsid w:val="002B3906"/>
    <w:rsid w:val="002B4018"/>
    <w:rsid w:val="002B4436"/>
    <w:rsid w:val="002B4515"/>
    <w:rsid w:val="002B4BA8"/>
    <w:rsid w:val="002B4DB4"/>
    <w:rsid w:val="002B4E05"/>
    <w:rsid w:val="002B5132"/>
    <w:rsid w:val="002B5A0F"/>
    <w:rsid w:val="002B6195"/>
    <w:rsid w:val="002B626D"/>
    <w:rsid w:val="002B62E8"/>
    <w:rsid w:val="002B66E5"/>
    <w:rsid w:val="002B6734"/>
    <w:rsid w:val="002B6A1B"/>
    <w:rsid w:val="002B6E9F"/>
    <w:rsid w:val="002B7145"/>
    <w:rsid w:val="002B7212"/>
    <w:rsid w:val="002B766F"/>
    <w:rsid w:val="002B78FC"/>
    <w:rsid w:val="002B790B"/>
    <w:rsid w:val="002B7A32"/>
    <w:rsid w:val="002B7AAC"/>
    <w:rsid w:val="002C0169"/>
    <w:rsid w:val="002C06D5"/>
    <w:rsid w:val="002C084E"/>
    <w:rsid w:val="002C0A60"/>
    <w:rsid w:val="002C0DC4"/>
    <w:rsid w:val="002C1DA1"/>
    <w:rsid w:val="002C2225"/>
    <w:rsid w:val="002C2D80"/>
    <w:rsid w:val="002C2DDC"/>
    <w:rsid w:val="002C3016"/>
    <w:rsid w:val="002C32A4"/>
    <w:rsid w:val="002C330B"/>
    <w:rsid w:val="002C350F"/>
    <w:rsid w:val="002C4E06"/>
    <w:rsid w:val="002C4E9E"/>
    <w:rsid w:val="002C5331"/>
    <w:rsid w:val="002C55E8"/>
    <w:rsid w:val="002C5989"/>
    <w:rsid w:val="002C5A2E"/>
    <w:rsid w:val="002C5A39"/>
    <w:rsid w:val="002C5C55"/>
    <w:rsid w:val="002C5CB5"/>
    <w:rsid w:val="002C5FE0"/>
    <w:rsid w:val="002C62F7"/>
    <w:rsid w:val="002C6DD5"/>
    <w:rsid w:val="002C71F7"/>
    <w:rsid w:val="002C7882"/>
    <w:rsid w:val="002C7FBA"/>
    <w:rsid w:val="002C7FEB"/>
    <w:rsid w:val="002D018E"/>
    <w:rsid w:val="002D0536"/>
    <w:rsid w:val="002D06EC"/>
    <w:rsid w:val="002D0BF9"/>
    <w:rsid w:val="002D1176"/>
    <w:rsid w:val="002D1626"/>
    <w:rsid w:val="002D1767"/>
    <w:rsid w:val="002D18FC"/>
    <w:rsid w:val="002D1C85"/>
    <w:rsid w:val="002D1C8F"/>
    <w:rsid w:val="002D1E9D"/>
    <w:rsid w:val="002D226E"/>
    <w:rsid w:val="002D24DF"/>
    <w:rsid w:val="002D2A55"/>
    <w:rsid w:val="002D2A62"/>
    <w:rsid w:val="002D2D0C"/>
    <w:rsid w:val="002D3C86"/>
    <w:rsid w:val="002D3EF7"/>
    <w:rsid w:val="002D40C5"/>
    <w:rsid w:val="002D4249"/>
    <w:rsid w:val="002D4987"/>
    <w:rsid w:val="002D4DEE"/>
    <w:rsid w:val="002D56B3"/>
    <w:rsid w:val="002D5BA6"/>
    <w:rsid w:val="002D6281"/>
    <w:rsid w:val="002D633A"/>
    <w:rsid w:val="002D64D8"/>
    <w:rsid w:val="002D65EA"/>
    <w:rsid w:val="002D69E0"/>
    <w:rsid w:val="002D6A77"/>
    <w:rsid w:val="002D6A8A"/>
    <w:rsid w:val="002D6C0F"/>
    <w:rsid w:val="002D7884"/>
    <w:rsid w:val="002D7E8F"/>
    <w:rsid w:val="002E0A3F"/>
    <w:rsid w:val="002E1736"/>
    <w:rsid w:val="002E197E"/>
    <w:rsid w:val="002E1A3C"/>
    <w:rsid w:val="002E1B27"/>
    <w:rsid w:val="002E20C6"/>
    <w:rsid w:val="002E261F"/>
    <w:rsid w:val="002E274E"/>
    <w:rsid w:val="002E3098"/>
    <w:rsid w:val="002E3207"/>
    <w:rsid w:val="002E36C7"/>
    <w:rsid w:val="002E37D7"/>
    <w:rsid w:val="002E3A48"/>
    <w:rsid w:val="002E3AB7"/>
    <w:rsid w:val="002E3CA5"/>
    <w:rsid w:val="002E3CFB"/>
    <w:rsid w:val="002E4C82"/>
    <w:rsid w:val="002E4EC1"/>
    <w:rsid w:val="002E5045"/>
    <w:rsid w:val="002E5314"/>
    <w:rsid w:val="002E562F"/>
    <w:rsid w:val="002E5DA9"/>
    <w:rsid w:val="002E6281"/>
    <w:rsid w:val="002E6733"/>
    <w:rsid w:val="002E6B2E"/>
    <w:rsid w:val="002E6EAB"/>
    <w:rsid w:val="002E6F44"/>
    <w:rsid w:val="002E6FC1"/>
    <w:rsid w:val="002E7015"/>
    <w:rsid w:val="002E742D"/>
    <w:rsid w:val="002E7E82"/>
    <w:rsid w:val="002F14AC"/>
    <w:rsid w:val="002F18F3"/>
    <w:rsid w:val="002F197B"/>
    <w:rsid w:val="002F1CEE"/>
    <w:rsid w:val="002F260D"/>
    <w:rsid w:val="002F3250"/>
    <w:rsid w:val="002F35D9"/>
    <w:rsid w:val="002F38DF"/>
    <w:rsid w:val="002F39C3"/>
    <w:rsid w:val="002F3B9C"/>
    <w:rsid w:val="002F51C6"/>
    <w:rsid w:val="002F52F3"/>
    <w:rsid w:val="002F6389"/>
    <w:rsid w:val="002F64F7"/>
    <w:rsid w:val="002F66C0"/>
    <w:rsid w:val="002F6AFF"/>
    <w:rsid w:val="002F6C15"/>
    <w:rsid w:val="002F6E4D"/>
    <w:rsid w:val="002F6FD0"/>
    <w:rsid w:val="002F7A82"/>
    <w:rsid w:val="00300270"/>
    <w:rsid w:val="00300619"/>
    <w:rsid w:val="003009B6"/>
    <w:rsid w:val="00300E56"/>
    <w:rsid w:val="00300EED"/>
    <w:rsid w:val="0030146A"/>
    <w:rsid w:val="003024F8"/>
    <w:rsid w:val="00302957"/>
    <w:rsid w:val="003029CD"/>
    <w:rsid w:val="00302BE7"/>
    <w:rsid w:val="00302FD2"/>
    <w:rsid w:val="00303909"/>
    <w:rsid w:val="00303F43"/>
    <w:rsid w:val="003048AC"/>
    <w:rsid w:val="00305075"/>
    <w:rsid w:val="00305411"/>
    <w:rsid w:val="0030568E"/>
    <w:rsid w:val="00305B48"/>
    <w:rsid w:val="00306BE8"/>
    <w:rsid w:val="00306C38"/>
    <w:rsid w:val="00306D71"/>
    <w:rsid w:val="00307482"/>
    <w:rsid w:val="00307B42"/>
    <w:rsid w:val="00307D01"/>
    <w:rsid w:val="00307D50"/>
    <w:rsid w:val="00310095"/>
    <w:rsid w:val="003100D9"/>
    <w:rsid w:val="00310AC2"/>
    <w:rsid w:val="00311079"/>
    <w:rsid w:val="00311152"/>
    <w:rsid w:val="00311275"/>
    <w:rsid w:val="00311370"/>
    <w:rsid w:val="00311644"/>
    <w:rsid w:val="00311C54"/>
    <w:rsid w:val="003120FC"/>
    <w:rsid w:val="0031334A"/>
    <w:rsid w:val="0031367B"/>
    <w:rsid w:val="003137CD"/>
    <w:rsid w:val="00313B1E"/>
    <w:rsid w:val="00313B80"/>
    <w:rsid w:val="00313CE6"/>
    <w:rsid w:val="00313E40"/>
    <w:rsid w:val="00314586"/>
    <w:rsid w:val="003148BD"/>
    <w:rsid w:val="00314D2D"/>
    <w:rsid w:val="00314F43"/>
    <w:rsid w:val="00315205"/>
    <w:rsid w:val="003157EC"/>
    <w:rsid w:val="003161DF"/>
    <w:rsid w:val="003163C1"/>
    <w:rsid w:val="00316885"/>
    <w:rsid w:val="00316932"/>
    <w:rsid w:val="00317054"/>
    <w:rsid w:val="00317065"/>
    <w:rsid w:val="003171DA"/>
    <w:rsid w:val="003172B8"/>
    <w:rsid w:val="00317449"/>
    <w:rsid w:val="003174EA"/>
    <w:rsid w:val="003175DB"/>
    <w:rsid w:val="00317B38"/>
    <w:rsid w:val="003200D3"/>
    <w:rsid w:val="00320372"/>
    <w:rsid w:val="00320CF7"/>
    <w:rsid w:val="00321177"/>
    <w:rsid w:val="00321666"/>
    <w:rsid w:val="00321C91"/>
    <w:rsid w:val="00322266"/>
    <w:rsid w:val="00322E3F"/>
    <w:rsid w:val="00323D21"/>
    <w:rsid w:val="00323F10"/>
    <w:rsid w:val="0032492E"/>
    <w:rsid w:val="00324B5A"/>
    <w:rsid w:val="003250BF"/>
    <w:rsid w:val="00325397"/>
    <w:rsid w:val="003253A6"/>
    <w:rsid w:val="003255FE"/>
    <w:rsid w:val="00325839"/>
    <w:rsid w:val="0032617D"/>
    <w:rsid w:val="0032620A"/>
    <w:rsid w:val="00326735"/>
    <w:rsid w:val="00326BFE"/>
    <w:rsid w:val="00326E9E"/>
    <w:rsid w:val="00327964"/>
    <w:rsid w:val="00327B02"/>
    <w:rsid w:val="003300D2"/>
    <w:rsid w:val="003302A3"/>
    <w:rsid w:val="003306A2"/>
    <w:rsid w:val="003307FF"/>
    <w:rsid w:val="0033089A"/>
    <w:rsid w:val="00330C91"/>
    <w:rsid w:val="00331262"/>
    <w:rsid w:val="003313ED"/>
    <w:rsid w:val="003314F2"/>
    <w:rsid w:val="00331570"/>
    <w:rsid w:val="00331AE3"/>
    <w:rsid w:val="00331EBB"/>
    <w:rsid w:val="00331F3D"/>
    <w:rsid w:val="00332882"/>
    <w:rsid w:val="003328A8"/>
    <w:rsid w:val="00332C35"/>
    <w:rsid w:val="00332F31"/>
    <w:rsid w:val="00332FA0"/>
    <w:rsid w:val="00333236"/>
    <w:rsid w:val="003341AF"/>
    <w:rsid w:val="00334502"/>
    <w:rsid w:val="00334692"/>
    <w:rsid w:val="00334941"/>
    <w:rsid w:val="00334ACE"/>
    <w:rsid w:val="00335273"/>
    <w:rsid w:val="003354DE"/>
    <w:rsid w:val="00335F23"/>
    <w:rsid w:val="003360B9"/>
    <w:rsid w:val="003364C0"/>
    <w:rsid w:val="00336780"/>
    <w:rsid w:val="003367F1"/>
    <w:rsid w:val="00337A20"/>
    <w:rsid w:val="00337B85"/>
    <w:rsid w:val="00337E48"/>
    <w:rsid w:val="00340061"/>
    <w:rsid w:val="0034075A"/>
    <w:rsid w:val="003407AD"/>
    <w:rsid w:val="00340865"/>
    <w:rsid w:val="00340DD8"/>
    <w:rsid w:val="00341265"/>
    <w:rsid w:val="00342234"/>
    <w:rsid w:val="003423A6"/>
    <w:rsid w:val="003425F1"/>
    <w:rsid w:val="00342751"/>
    <w:rsid w:val="00342801"/>
    <w:rsid w:val="00342A64"/>
    <w:rsid w:val="00342E32"/>
    <w:rsid w:val="00342F30"/>
    <w:rsid w:val="0034327B"/>
    <w:rsid w:val="0034340C"/>
    <w:rsid w:val="003436F6"/>
    <w:rsid w:val="003439F5"/>
    <w:rsid w:val="00343AF2"/>
    <w:rsid w:val="003444D7"/>
    <w:rsid w:val="003448E2"/>
    <w:rsid w:val="003452E2"/>
    <w:rsid w:val="003456C5"/>
    <w:rsid w:val="0034574E"/>
    <w:rsid w:val="00345762"/>
    <w:rsid w:val="0034620C"/>
    <w:rsid w:val="0034666F"/>
    <w:rsid w:val="00346C36"/>
    <w:rsid w:val="00346DCE"/>
    <w:rsid w:val="00347305"/>
    <w:rsid w:val="00347670"/>
    <w:rsid w:val="00347ED0"/>
    <w:rsid w:val="00347FE4"/>
    <w:rsid w:val="00350C4B"/>
    <w:rsid w:val="00350ED0"/>
    <w:rsid w:val="00351159"/>
    <w:rsid w:val="003515A7"/>
    <w:rsid w:val="003515CD"/>
    <w:rsid w:val="00351D81"/>
    <w:rsid w:val="00351DBA"/>
    <w:rsid w:val="00352192"/>
    <w:rsid w:val="003522CE"/>
    <w:rsid w:val="003523B9"/>
    <w:rsid w:val="0035263B"/>
    <w:rsid w:val="00352C44"/>
    <w:rsid w:val="00352E67"/>
    <w:rsid w:val="0035324F"/>
    <w:rsid w:val="003535F6"/>
    <w:rsid w:val="00353C71"/>
    <w:rsid w:val="00353F4D"/>
    <w:rsid w:val="003542CE"/>
    <w:rsid w:val="0035437F"/>
    <w:rsid w:val="003549C6"/>
    <w:rsid w:val="00354AF2"/>
    <w:rsid w:val="00354B5D"/>
    <w:rsid w:val="0035583E"/>
    <w:rsid w:val="00355D3C"/>
    <w:rsid w:val="00355EF1"/>
    <w:rsid w:val="00356A67"/>
    <w:rsid w:val="00356DB7"/>
    <w:rsid w:val="00356DDB"/>
    <w:rsid w:val="00356E88"/>
    <w:rsid w:val="0035710D"/>
    <w:rsid w:val="0035778E"/>
    <w:rsid w:val="00357AF7"/>
    <w:rsid w:val="00357C29"/>
    <w:rsid w:val="00357D15"/>
    <w:rsid w:val="003600D1"/>
    <w:rsid w:val="00360158"/>
    <w:rsid w:val="0036031B"/>
    <w:rsid w:val="00360622"/>
    <w:rsid w:val="0036070C"/>
    <w:rsid w:val="00360765"/>
    <w:rsid w:val="00360B43"/>
    <w:rsid w:val="00360F46"/>
    <w:rsid w:val="003616E4"/>
    <w:rsid w:val="00361A6E"/>
    <w:rsid w:val="00361B4E"/>
    <w:rsid w:val="00361B7B"/>
    <w:rsid w:val="00362052"/>
    <w:rsid w:val="003620E5"/>
    <w:rsid w:val="003621CF"/>
    <w:rsid w:val="0036230B"/>
    <w:rsid w:val="00363703"/>
    <w:rsid w:val="003637D6"/>
    <w:rsid w:val="00363B73"/>
    <w:rsid w:val="00364279"/>
    <w:rsid w:val="00364390"/>
    <w:rsid w:val="00365222"/>
    <w:rsid w:val="00366322"/>
    <w:rsid w:val="00366883"/>
    <w:rsid w:val="0036699F"/>
    <w:rsid w:val="00366FFB"/>
    <w:rsid w:val="00367365"/>
    <w:rsid w:val="003673F4"/>
    <w:rsid w:val="00367987"/>
    <w:rsid w:val="00367D06"/>
    <w:rsid w:val="00367F3E"/>
    <w:rsid w:val="00370774"/>
    <w:rsid w:val="0037087E"/>
    <w:rsid w:val="00370AA0"/>
    <w:rsid w:val="00370AF3"/>
    <w:rsid w:val="00370D7F"/>
    <w:rsid w:val="0037103E"/>
    <w:rsid w:val="003717B1"/>
    <w:rsid w:val="003717C4"/>
    <w:rsid w:val="003719AB"/>
    <w:rsid w:val="00371BA5"/>
    <w:rsid w:val="00371DB7"/>
    <w:rsid w:val="00372181"/>
    <w:rsid w:val="0037264F"/>
    <w:rsid w:val="00373852"/>
    <w:rsid w:val="0037389E"/>
    <w:rsid w:val="00373EEC"/>
    <w:rsid w:val="003743F9"/>
    <w:rsid w:val="00374593"/>
    <w:rsid w:val="003746E1"/>
    <w:rsid w:val="0037493D"/>
    <w:rsid w:val="00374C1A"/>
    <w:rsid w:val="00374E55"/>
    <w:rsid w:val="00374F45"/>
    <w:rsid w:val="003750ED"/>
    <w:rsid w:val="003754F2"/>
    <w:rsid w:val="00375805"/>
    <w:rsid w:val="003759DA"/>
    <w:rsid w:val="00375BCF"/>
    <w:rsid w:val="00375DF9"/>
    <w:rsid w:val="00375F4E"/>
    <w:rsid w:val="00375FC9"/>
    <w:rsid w:val="0037605B"/>
    <w:rsid w:val="00376692"/>
    <w:rsid w:val="00376725"/>
    <w:rsid w:val="00376889"/>
    <w:rsid w:val="00377665"/>
    <w:rsid w:val="003802E0"/>
    <w:rsid w:val="0038057E"/>
    <w:rsid w:val="00380BB2"/>
    <w:rsid w:val="003815CD"/>
    <w:rsid w:val="00381F3E"/>
    <w:rsid w:val="00381F70"/>
    <w:rsid w:val="003823AB"/>
    <w:rsid w:val="00382B5E"/>
    <w:rsid w:val="003830F2"/>
    <w:rsid w:val="00383147"/>
    <w:rsid w:val="00383E46"/>
    <w:rsid w:val="00383F39"/>
    <w:rsid w:val="00384002"/>
    <w:rsid w:val="0038472F"/>
    <w:rsid w:val="003851CF"/>
    <w:rsid w:val="003854C1"/>
    <w:rsid w:val="003860EF"/>
    <w:rsid w:val="00386AF2"/>
    <w:rsid w:val="00386E66"/>
    <w:rsid w:val="00387083"/>
    <w:rsid w:val="0038730F"/>
    <w:rsid w:val="0038752E"/>
    <w:rsid w:val="0038793F"/>
    <w:rsid w:val="00387F82"/>
    <w:rsid w:val="00387FCA"/>
    <w:rsid w:val="00387FE6"/>
    <w:rsid w:val="003906E9"/>
    <w:rsid w:val="00390734"/>
    <w:rsid w:val="00391184"/>
    <w:rsid w:val="00391454"/>
    <w:rsid w:val="00391521"/>
    <w:rsid w:val="00391770"/>
    <w:rsid w:val="003926C9"/>
    <w:rsid w:val="0039284B"/>
    <w:rsid w:val="00392ADD"/>
    <w:rsid w:val="00393506"/>
    <w:rsid w:val="00393B0F"/>
    <w:rsid w:val="00394BBE"/>
    <w:rsid w:val="00394F2D"/>
    <w:rsid w:val="0039513F"/>
    <w:rsid w:val="0039535A"/>
    <w:rsid w:val="00395B5D"/>
    <w:rsid w:val="00395DD6"/>
    <w:rsid w:val="00396B2C"/>
    <w:rsid w:val="00396CE0"/>
    <w:rsid w:val="00397100"/>
    <w:rsid w:val="003977A6"/>
    <w:rsid w:val="003977EA"/>
    <w:rsid w:val="00397A67"/>
    <w:rsid w:val="00397F05"/>
    <w:rsid w:val="003A024F"/>
    <w:rsid w:val="003A0901"/>
    <w:rsid w:val="003A0B92"/>
    <w:rsid w:val="003A0CA4"/>
    <w:rsid w:val="003A1253"/>
    <w:rsid w:val="003A17EB"/>
    <w:rsid w:val="003A1876"/>
    <w:rsid w:val="003A2091"/>
    <w:rsid w:val="003A20BF"/>
    <w:rsid w:val="003A2776"/>
    <w:rsid w:val="003A2CD4"/>
    <w:rsid w:val="003A31E7"/>
    <w:rsid w:val="003A35C0"/>
    <w:rsid w:val="003A3660"/>
    <w:rsid w:val="003A3AD3"/>
    <w:rsid w:val="003A45B6"/>
    <w:rsid w:val="003A48DB"/>
    <w:rsid w:val="003A48F8"/>
    <w:rsid w:val="003A4BE9"/>
    <w:rsid w:val="003A58F3"/>
    <w:rsid w:val="003A5F44"/>
    <w:rsid w:val="003A67BF"/>
    <w:rsid w:val="003A67E6"/>
    <w:rsid w:val="003A683C"/>
    <w:rsid w:val="003A6BE2"/>
    <w:rsid w:val="003A6E26"/>
    <w:rsid w:val="003A70D0"/>
    <w:rsid w:val="003A70DA"/>
    <w:rsid w:val="003A7A11"/>
    <w:rsid w:val="003B09C4"/>
    <w:rsid w:val="003B0A8C"/>
    <w:rsid w:val="003B0AFE"/>
    <w:rsid w:val="003B0C0D"/>
    <w:rsid w:val="003B0F58"/>
    <w:rsid w:val="003B169C"/>
    <w:rsid w:val="003B1975"/>
    <w:rsid w:val="003B1DE0"/>
    <w:rsid w:val="003B2164"/>
    <w:rsid w:val="003B227F"/>
    <w:rsid w:val="003B24F3"/>
    <w:rsid w:val="003B30EF"/>
    <w:rsid w:val="003B3767"/>
    <w:rsid w:val="003B394A"/>
    <w:rsid w:val="003B3C94"/>
    <w:rsid w:val="003B3E72"/>
    <w:rsid w:val="003B3F78"/>
    <w:rsid w:val="003B42BB"/>
    <w:rsid w:val="003B479B"/>
    <w:rsid w:val="003B4B11"/>
    <w:rsid w:val="003B5552"/>
    <w:rsid w:val="003B56BD"/>
    <w:rsid w:val="003B5849"/>
    <w:rsid w:val="003B59BA"/>
    <w:rsid w:val="003B5BFF"/>
    <w:rsid w:val="003B5E9B"/>
    <w:rsid w:val="003B60BC"/>
    <w:rsid w:val="003B673C"/>
    <w:rsid w:val="003B6BE6"/>
    <w:rsid w:val="003B6C2D"/>
    <w:rsid w:val="003B6EAB"/>
    <w:rsid w:val="003B73FF"/>
    <w:rsid w:val="003B779E"/>
    <w:rsid w:val="003C0B40"/>
    <w:rsid w:val="003C0ECE"/>
    <w:rsid w:val="003C1141"/>
    <w:rsid w:val="003C15E5"/>
    <w:rsid w:val="003C15EA"/>
    <w:rsid w:val="003C1A3E"/>
    <w:rsid w:val="003C2358"/>
    <w:rsid w:val="003C2626"/>
    <w:rsid w:val="003C2867"/>
    <w:rsid w:val="003C382A"/>
    <w:rsid w:val="003C3AA3"/>
    <w:rsid w:val="003C3E20"/>
    <w:rsid w:val="003C5176"/>
    <w:rsid w:val="003C518B"/>
    <w:rsid w:val="003C5FC0"/>
    <w:rsid w:val="003C6397"/>
    <w:rsid w:val="003C657E"/>
    <w:rsid w:val="003C6843"/>
    <w:rsid w:val="003C685F"/>
    <w:rsid w:val="003C6D61"/>
    <w:rsid w:val="003C6F1F"/>
    <w:rsid w:val="003C766F"/>
    <w:rsid w:val="003C7A10"/>
    <w:rsid w:val="003C7FD1"/>
    <w:rsid w:val="003D0974"/>
    <w:rsid w:val="003D0E2A"/>
    <w:rsid w:val="003D179D"/>
    <w:rsid w:val="003D20B7"/>
    <w:rsid w:val="003D3B08"/>
    <w:rsid w:val="003D3D74"/>
    <w:rsid w:val="003D4340"/>
    <w:rsid w:val="003D4C19"/>
    <w:rsid w:val="003D4CEE"/>
    <w:rsid w:val="003D515A"/>
    <w:rsid w:val="003D5DB8"/>
    <w:rsid w:val="003D601F"/>
    <w:rsid w:val="003D61F4"/>
    <w:rsid w:val="003D63C1"/>
    <w:rsid w:val="003D6980"/>
    <w:rsid w:val="003D7662"/>
    <w:rsid w:val="003D76F0"/>
    <w:rsid w:val="003D7CF9"/>
    <w:rsid w:val="003E02D6"/>
    <w:rsid w:val="003E0743"/>
    <w:rsid w:val="003E086F"/>
    <w:rsid w:val="003E0AC7"/>
    <w:rsid w:val="003E0C75"/>
    <w:rsid w:val="003E1029"/>
    <w:rsid w:val="003E11EA"/>
    <w:rsid w:val="003E194D"/>
    <w:rsid w:val="003E2161"/>
    <w:rsid w:val="003E2349"/>
    <w:rsid w:val="003E2418"/>
    <w:rsid w:val="003E242C"/>
    <w:rsid w:val="003E2564"/>
    <w:rsid w:val="003E34AC"/>
    <w:rsid w:val="003E3D5B"/>
    <w:rsid w:val="003E424A"/>
    <w:rsid w:val="003E466D"/>
    <w:rsid w:val="003E4C45"/>
    <w:rsid w:val="003E4DCA"/>
    <w:rsid w:val="003E5142"/>
    <w:rsid w:val="003E547F"/>
    <w:rsid w:val="003E561E"/>
    <w:rsid w:val="003E581D"/>
    <w:rsid w:val="003E5D50"/>
    <w:rsid w:val="003E60B2"/>
    <w:rsid w:val="003E68E0"/>
    <w:rsid w:val="003E74D8"/>
    <w:rsid w:val="003E7942"/>
    <w:rsid w:val="003F010D"/>
    <w:rsid w:val="003F06D7"/>
    <w:rsid w:val="003F0FF4"/>
    <w:rsid w:val="003F20EB"/>
    <w:rsid w:val="003F218A"/>
    <w:rsid w:val="003F221A"/>
    <w:rsid w:val="003F23D1"/>
    <w:rsid w:val="003F270A"/>
    <w:rsid w:val="003F3014"/>
    <w:rsid w:val="003F3E0C"/>
    <w:rsid w:val="003F429A"/>
    <w:rsid w:val="003F4752"/>
    <w:rsid w:val="003F477D"/>
    <w:rsid w:val="003F48A1"/>
    <w:rsid w:val="003F4F0B"/>
    <w:rsid w:val="003F4F1F"/>
    <w:rsid w:val="003F508C"/>
    <w:rsid w:val="003F5143"/>
    <w:rsid w:val="003F5638"/>
    <w:rsid w:val="003F573F"/>
    <w:rsid w:val="003F5810"/>
    <w:rsid w:val="003F586F"/>
    <w:rsid w:val="003F59BF"/>
    <w:rsid w:val="003F5D8D"/>
    <w:rsid w:val="003F67A0"/>
    <w:rsid w:val="003F70B7"/>
    <w:rsid w:val="003F7132"/>
    <w:rsid w:val="003F74CB"/>
    <w:rsid w:val="003F77B5"/>
    <w:rsid w:val="003F7C70"/>
    <w:rsid w:val="00400020"/>
    <w:rsid w:val="004001A8"/>
    <w:rsid w:val="0040066F"/>
    <w:rsid w:val="004008E0"/>
    <w:rsid w:val="00400E13"/>
    <w:rsid w:val="00400F2C"/>
    <w:rsid w:val="00401003"/>
    <w:rsid w:val="0040149C"/>
    <w:rsid w:val="004021D9"/>
    <w:rsid w:val="004022DF"/>
    <w:rsid w:val="004023A6"/>
    <w:rsid w:val="0040243B"/>
    <w:rsid w:val="0040309C"/>
    <w:rsid w:val="00403965"/>
    <w:rsid w:val="00403ED0"/>
    <w:rsid w:val="0040403B"/>
    <w:rsid w:val="00404044"/>
    <w:rsid w:val="00404684"/>
    <w:rsid w:val="00404704"/>
    <w:rsid w:val="00404A6F"/>
    <w:rsid w:val="00404C1C"/>
    <w:rsid w:val="00404C3C"/>
    <w:rsid w:val="00404CB0"/>
    <w:rsid w:val="004055CA"/>
    <w:rsid w:val="0040578D"/>
    <w:rsid w:val="00405883"/>
    <w:rsid w:val="004059CD"/>
    <w:rsid w:val="004062CF"/>
    <w:rsid w:val="0040635F"/>
    <w:rsid w:val="00406BF5"/>
    <w:rsid w:val="0040706D"/>
    <w:rsid w:val="0040711A"/>
    <w:rsid w:val="00407B68"/>
    <w:rsid w:val="004100B5"/>
    <w:rsid w:val="00410481"/>
    <w:rsid w:val="004105EE"/>
    <w:rsid w:val="004106E8"/>
    <w:rsid w:val="00410AA5"/>
    <w:rsid w:val="00410D52"/>
    <w:rsid w:val="004117B0"/>
    <w:rsid w:val="004117D7"/>
    <w:rsid w:val="00411981"/>
    <w:rsid w:val="004119B8"/>
    <w:rsid w:val="00412045"/>
    <w:rsid w:val="00414291"/>
    <w:rsid w:val="00414340"/>
    <w:rsid w:val="00414702"/>
    <w:rsid w:val="0041473F"/>
    <w:rsid w:val="00414EA5"/>
    <w:rsid w:val="0041560B"/>
    <w:rsid w:val="0041596E"/>
    <w:rsid w:val="00416242"/>
    <w:rsid w:val="0041662A"/>
    <w:rsid w:val="004167F1"/>
    <w:rsid w:val="00416CC6"/>
    <w:rsid w:val="00416CE1"/>
    <w:rsid w:val="004171E4"/>
    <w:rsid w:val="00417F27"/>
    <w:rsid w:val="004203C6"/>
    <w:rsid w:val="0042096B"/>
    <w:rsid w:val="00420A38"/>
    <w:rsid w:val="004212FB"/>
    <w:rsid w:val="004216F7"/>
    <w:rsid w:val="00421FAB"/>
    <w:rsid w:val="004222B5"/>
    <w:rsid w:val="004225F5"/>
    <w:rsid w:val="004227E4"/>
    <w:rsid w:val="00422CEE"/>
    <w:rsid w:val="004231A4"/>
    <w:rsid w:val="004233AB"/>
    <w:rsid w:val="00423FDF"/>
    <w:rsid w:val="004241A6"/>
    <w:rsid w:val="00424382"/>
    <w:rsid w:val="004244B5"/>
    <w:rsid w:val="004248FA"/>
    <w:rsid w:val="0042497A"/>
    <w:rsid w:val="004251B3"/>
    <w:rsid w:val="0042546A"/>
    <w:rsid w:val="00425565"/>
    <w:rsid w:val="0042560A"/>
    <w:rsid w:val="004261AC"/>
    <w:rsid w:val="004262A4"/>
    <w:rsid w:val="00426315"/>
    <w:rsid w:val="00426496"/>
    <w:rsid w:val="004266C4"/>
    <w:rsid w:val="00426919"/>
    <w:rsid w:val="00426C8D"/>
    <w:rsid w:val="00426ED5"/>
    <w:rsid w:val="00426F89"/>
    <w:rsid w:val="00427187"/>
    <w:rsid w:val="004275DB"/>
    <w:rsid w:val="004277E2"/>
    <w:rsid w:val="00427897"/>
    <w:rsid w:val="00427C15"/>
    <w:rsid w:val="00430250"/>
    <w:rsid w:val="00430267"/>
    <w:rsid w:val="0043036F"/>
    <w:rsid w:val="00430665"/>
    <w:rsid w:val="004307F3"/>
    <w:rsid w:val="00430D0F"/>
    <w:rsid w:val="00430DBA"/>
    <w:rsid w:val="00430DC4"/>
    <w:rsid w:val="00431E31"/>
    <w:rsid w:val="004321D9"/>
    <w:rsid w:val="00432317"/>
    <w:rsid w:val="004337E2"/>
    <w:rsid w:val="00433B54"/>
    <w:rsid w:val="00434C40"/>
    <w:rsid w:val="00434F41"/>
    <w:rsid w:val="0043505A"/>
    <w:rsid w:val="0043533A"/>
    <w:rsid w:val="00435C00"/>
    <w:rsid w:val="00435ECA"/>
    <w:rsid w:val="00436744"/>
    <w:rsid w:val="00437217"/>
    <w:rsid w:val="004373F1"/>
    <w:rsid w:val="004374CA"/>
    <w:rsid w:val="004379CF"/>
    <w:rsid w:val="00437A40"/>
    <w:rsid w:val="00437E7B"/>
    <w:rsid w:val="00440A9E"/>
    <w:rsid w:val="00440F55"/>
    <w:rsid w:val="00440FB7"/>
    <w:rsid w:val="0044103D"/>
    <w:rsid w:val="004410D1"/>
    <w:rsid w:val="004412E4"/>
    <w:rsid w:val="004415C4"/>
    <w:rsid w:val="00441A68"/>
    <w:rsid w:val="00441D70"/>
    <w:rsid w:val="00441E2C"/>
    <w:rsid w:val="00442004"/>
    <w:rsid w:val="00442882"/>
    <w:rsid w:val="00442CB0"/>
    <w:rsid w:val="00443882"/>
    <w:rsid w:val="00443B1E"/>
    <w:rsid w:val="00443B7E"/>
    <w:rsid w:val="00443F7D"/>
    <w:rsid w:val="00444230"/>
    <w:rsid w:val="004442E9"/>
    <w:rsid w:val="00444893"/>
    <w:rsid w:val="00444A1B"/>
    <w:rsid w:val="00444DEA"/>
    <w:rsid w:val="00445BDD"/>
    <w:rsid w:val="0044640D"/>
    <w:rsid w:val="00446AF5"/>
    <w:rsid w:val="00446BC7"/>
    <w:rsid w:val="004470AB"/>
    <w:rsid w:val="004474FB"/>
    <w:rsid w:val="00447955"/>
    <w:rsid w:val="00447AC8"/>
    <w:rsid w:val="00447CEE"/>
    <w:rsid w:val="00447DB7"/>
    <w:rsid w:val="00447F26"/>
    <w:rsid w:val="00450904"/>
    <w:rsid w:val="00450959"/>
    <w:rsid w:val="00450DAC"/>
    <w:rsid w:val="004514D6"/>
    <w:rsid w:val="00451BCC"/>
    <w:rsid w:val="0045202C"/>
    <w:rsid w:val="00452192"/>
    <w:rsid w:val="004525F7"/>
    <w:rsid w:val="004529CA"/>
    <w:rsid w:val="00452ACD"/>
    <w:rsid w:val="00452FCF"/>
    <w:rsid w:val="00453620"/>
    <w:rsid w:val="004537BB"/>
    <w:rsid w:val="00453BA5"/>
    <w:rsid w:val="00453DBF"/>
    <w:rsid w:val="00453DF2"/>
    <w:rsid w:val="00453F9D"/>
    <w:rsid w:val="00454264"/>
    <w:rsid w:val="00454854"/>
    <w:rsid w:val="00454C4A"/>
    <w:rsid w:val="00454D44"/>
    <w:rsid w:val="0045515F"/>
    <w:rsid w:val="004554E6"/>
    <w:rsid w:val="004556DC"/>
    <w:rsid w:val="00455806"/>
    <w:rsid w:val="00455C14"/>
    <w:rsid w:val="00456009"/>
    <w:rsid w:val="0045606B"/>
    <w:rsid w:val="00456247"/>
    <w:rsid w:val="0045676B"/>
    <w:rsid w:val="00456902"/>
    <w:rsid w:val="0045691F"/>
    <w:rsid w:val="00456970"/>
    <w:rsid w:val="00456A6A"/>
    <w:rsid w:val="00456D8E"/>
    <w:rsid w:val="00456DCB"/>
    <w:rsid w:val="00456DCE"/>
    <w:rsid w:val="00457726"/>
    <w:rsid w:val="00460C81"/>
    <w:rsid w:val="00461080"/>
    <w:rsid w:val="004610E4"/>
    <w:rsid w:val="00461733"/>
    <w:rsid w:val="00461B69"/>
    <w:rsid w:val="004620E3"/>
    <w:rsid w:val="00462497"/>
    <w:rsid w:val="0046251E"/>
    <w:rsid w:val="0046288F"/>
    <w:rsid w:val="00463627"/>
    <w:rsid w:val="0046430D"/>
    <w:rsid w:val="00464403"/>
    <w:rsid w:val="00464A34"/>
    <w:rsid w:val="00464B2A"/>
    <w:rsid w:val="00464D40"/>
    <w:rsid w:val="0046537B"/>
    <w:rsid w:val="004659F9"/>
    <w:rsid w:val="00465BFA"/>
    <w:rsid w:val="00466780"/>
    <w:rsid w:val="0046689F"/>
    <w:rsid w:val="00467168"/>
    <w:rsid w:val="004674BD"/>
    <w:rsid w:val="00467EDB"/>
    <w:rsid w:val="00470FFD"/>
    <w:rsid w:val="0047162A"/>
    <w:rsid w:val="004719BB"/>
    <w:rsid w:val="00471CF0"/>
    <w:rsid w:val="0047219F"/>
    <w:rsid w:val="004724C2"/>
    <w:rsid w:val="00472540"/>
    <w:rsid w:val="00472669"/>
    <w:rsid w:val="0047282E"/>
    <w:rsid w:val="00472E65"/>
    <w:rsid w:val="00472E89"/>
    <w:rsid w:val="004731AF"/>
    <w:rsid w:val="00473AF7"/>
    <w:rsid w:val="00473CC9"/>
    <w:rsid w:val="00474953"/>
    <w:rsid w:val="00474C54"/>
    <w:rsid w:val="00474ED1"/>
    <w:rsid w:val="00475428"/>
    <w:rsid w:val="00475B99"/>
    <w:rsid w:val="00475E02"/>
    <w:rsid w:val="00475E8E"/>
    <w:rsid w:val="00475F00"/>
    <w:rsid w:val="00475F0F"/>
    <w:rsid w:val="00476558"/>
    <w:rsid w:val="0047760E"/>
    <w:rsid w:val="004777C4"/>
    <w:rsid w:val="00477C09"/>
    <w:rsid w:val="00477D6C"/>
    <w:rsid w:val="00480404"/>
    <w:rsid w:val="00480609"/>
    <w:rsid w:val="0048060B"/>
    <w:rsid w:val="00480655"/>
    <w:rsid w:val="00480B1E"/>
    <w:rsid w:val="00481409"/>
    <w:rsid w:val="00481F8E"/>
    <w:rsid w:val="004824E8"/>
    <w:rsid w:val="00482BD4"/>
    <w:rsid w:val="0048365F"/>
    <w:rsid w:val="00484336"/>
    <w:rsid w:val="0048493D"/>
    <w:rsid w:val="00484B95"/>
    <w:rsid w:val="00484F5C"/>
    <w:rsid w:val="0048545D"/>
    <w:rsid w:val="00485AA2"/>
    <w:rsid w:val="00485FCA"/>
    <w:rsid w:val="004862DE"/>
    <w:rsid w:val="0048679C"/>
    <w:rsid w:val="00486859"/>
    <w:rsid w:val="0048733C"/>
    <w:rsid w:val="004873E7"/>
    <w:rsid w:val="004874EA"/>
    <w:rsid w:val="004878F4"/>
    <w:rsid w:val="00487BEB"/>
    <w:rsid w:val="004900E4"/>
    <w:rsid w:val="004905F8"/>
    <w:rsid w:val="00491282"/>
    <w:rsid w:val="004913C1"/>
    <w:rsid w:val="00491437"/>
    <w:rsid w:val="00491627"/>
    <w:rsid w:val="00491C30"/>
    <w:rsid w:val="00491CB5"/>
    <w:rsid w:val="00491FCE"/>
    <w:rsid w:val="004920D0"/>
    <w:rsid w:val="004929B5"/>
    <w:rsid w:val="00492C0A"/>
    <w:rsid w:val="00492C25"/>
    <w:rsid w:val="00492E07"/>
    <w:rsid w:val="00493140"/>
    <w:rsid w:val="004932FD"/>
    <w:rsid w:val="0049336B"/>
    <w:rsid w:val="004934F6"/>
    <w:rsid w:val="00493C89"/>
    <w:rsid w:val="004943DE"/>
    <w:rsid w:val="00494B09"/>
    <w:rsid w:val="00494E9B"/>
    <w:rsid w:val="00495587"/>
    <w:rsid w:val="00495760"/>
    <w:rsid w:val="00495C0E"/>
    <w:rsid w:val="0049650A"/>
    <w:rsid w:val="00496910"/>
    <w:rsid w:val="004970B7"/>
    <w:rsid w:val="0049717A"/>
    <w:rsid w:val="00497640"/>
    <w:rsid w:val="004A00E1"/>
    <w:rsid w:val="004A05FD"/>
    <w:rsid w:val="004A119A"/>
    <w:rsid w:val="004A12DF"/>
    <w:rsid w:val="004A165C"/>
    <w:rsid w:val="004A19F3"/>
    <w:rsid w:val="004A1D01"/>
    <w:rsid w:val="004A1F9C"/>
    <w:rsid w:val="004A2081"/>
    <w:rsid w:val="004A2879"/>
    <w:rsid w:val="004A28CA"/>
    <w:rsid w:val="004A2FAC"/>
    <w:rsid w:val="004A304C"/>
    <w:rsid w:val="004A35B7"/>
    <w:rsid w:val="004A4281"/>
    <w:rsid w:val="004A44AA"/>
    <w:rsid w:val="004A499E"/>
    <w:rsid w:val="004A4BAD"/>
    <w:rsid w:val="004A4BD1"/>
    <w:rsid w:val="004A4E1E"/>
    <w:rsid w:val="004A5025"/>
    <w:rsid w:val="004A5330"/>
    <w:rsid w:val="004A5ACE"/>
    <w:rsid w:val="004A6934"/>
    <w:rsid w:val="004A695B"/>
    <w:rsid w:val="004A6EF7"/>
    <w:rsid w:val="004A6F8D"/>
    <w:rsid w:val="004A7FE3"/>
    <w:rsid w:val="004B0159"/>
    <w:rsid w:val="004B0C34"/>
    <w:rsid w:val="004B12AF"/>
    <w:rsid w:val="004B1329"/>
    <w:rsid w:val="004B1467"/>
    <w:rsid w:val="004B1822"/>
    <w:rsid w:val="004B1A60"/>
    <w:rsid w:val="004B2111"/>
    <w:rsid w:val="004B266A"/>
    <w:rsid w:val="004B2843"/>
    <w:rsid w:val="004B290A"/>
    <w:rsid w:val="004B296E"/>
    <w:rsid w:val="004B35F0"/>
    <w:rsid w:val="004B36BC"/>
    <w:rsid w:val="004B3729"/>
    <w:rsid w:val="004B43F1"/>
    <w:rsid w:val="004B4720"/>
    <w:rsid w:val="004B496F"/>
    <w:rsid w:val="004B4A44"/>
    <w:rsid w:val="004B53AB"/>
    <w:rsid w:val="004B62AD"/>
    <w:rsid w:val="004B64C0"/>
    <w:rsid w:val="004B6924"/>
    <w:rsid w:val="004B6999"/>
    <w:rsid w:val="004B6D8D"/>
    <w:rsid w:val="004B7734"/>
    <w:rsid w:val="004B7B4F"/>
    <w:rsid w:val="004C0129"/>
    <w:rsid w:val="004C0433"/>
    <w:rsid w:val="004C04C6"/>
    <w:rsid w:val="004C07C2"/>
    <w:rsid w:val="004C0F3B"/>
    <w:rsid w:val="004C1025"/>
    <w:rsid w:val="004C10B7"/>
    <w:rsid w:val="004C13DD"/>
    <w:rsid w:val="004C180E"/>
    <w:rsid w:val="004C1F09"/>
    <w:rsid w:val="004C28CC"/>
    <w:rsid w:val="004C298C"/>
    <w:rsid w:val="004C2B5E"/>
    <w:rsid w:val="004C2E64"/>
    <w:rsid w:val="004C31E5"/>
    <w:rsid w:val="004C34F9"/>
    <w:rsid w:val="004C3A23"/>
    <w:rsid w:val="004C3B7E"/>
    <w:rsid w:val="004C423D"/>
    <w:rsid w:val="004C4314"/>
    <w:rsid w:val="004C43C2"/>
    <w:rsid w:val="004C4D3F"/>
    <w:rsid w:val="004C50EB"/>
    <w:rsid w:val="004C587D"/>
    <w:rsid w:val="004C5B5D"/>
    <w:rsid w:val="004C6A66"/>
    <w:rsid w:val="004C6B9D"/>
    <w:rsid w:val="004C7561"/>
    <w:rsid w:val="004C79F9"/>
    <w:rsid w:val="004C7A60"/>
    <w:rsid w:val="004C7E55"/>
    <w:rsid w:val="004C7E62"/>
    <w:rsid w:val="004D1144"/>
    <w:rsid w:val="004D133C"/>
    <w:rsid w:val="004D14DD"/>
    <w:rsid w:val="004D14FE"/>
    <w:rsid w:val="004D192E"/>
    <w:rsid w:val="004D1AA5"/>
    <w:rsid w:val="004D2542"/>
    <w:rsid w:val="004D273B"/>
    <w:rsid w:val="004D303B"/>
    <w:rsid w:val="004D3295"/>
    <w:rsid w:val="004D33DC"/>
    <w:rsid w:val="004D3800"/>
    <w:rsid w:val="004D3CBE"/>
    <w:rsid w:val="004D4408"/>
    <w:rsid w:val="004D49A7"/>
    <w:rsid w:val="004D4B61"/>
    <w:rsid w:val="004D4CDC"/>
    <w:rsid w:val="004D54BC"/>
    <w:rsid w:val="004D5AC4"/>
    <w:rsid w:val="004D5C1A"/>
    <w:rsid w:val="004D5E5D"/>
    <w:rsid w:val="004D6350"/>
    <w:rsid w:val="004D6C18"/>
    <w:rsid w:val="004D6D6D"/>
    <w:rsid w:val="004D6FDF"/>
    <w:rsid w:val="004D722C"/>
    <w:rsid w:val="004D755B"/>
    <w:rsid w:val="004D7D6F"/>
    <w:rsid w:val="004D7EA8"/>
    <w:rsid w:val="004E053A"/>
    <w:rsid w:val="004E0567"/>
    <w:rsid w:val="004E0B32"/>
    <w:rsid w:val="004E0DAF"/>
    <w:rsid w:val="004E121E"/>
    <w:rsid w:val="004E14EB"/>
    <w:rsid w:val="004E16B1"/>
    <w:rsid w:val="004E2063"/>
    <w:rsid w:val="004E228F"/>
    <w:rsid w:val="004E24F3"/>
    <w:rsid w:val="004E2548"/>
    <w:rsid w:val="004E2706"/>
    <w:rsid w:val="004E282D"/>
    <w:rsid w:val="004E2B7B"/>
    <w:rsid w:val="004E2DE5"/>
    <w:rsid w:val="004E2EF5"/>
    <w:rsid w:val="004E341B"/>
    <w:rsid w:val="004E34B3"/>
    <w:rsid w:val="004E37BC"/>
    <w:rsid w:val="004E4569"/>
    <w:rsid w:val="004E46BB"/>
    <w:rsid w:val="004E4872"/>
    <w:rsid w:val="004E4F30"/>
    <w:rsid w:val="004E53F9"/>
    <w:rsid w:val="004E5445"/>
    <w:rsid w:val="004E5507"/>
    <w:rsid w:val="004E580A"/>
    <w:rsid w:val="004E587F"/>
    <w:rsid w:val="004E5D12"/>
    <w:rsid w:val="004E67EB"/>
    <w:rsid w:val="004E6ACE"/>
    <w:rsid w:val="004E6B6F"/>
    <w:rsid w:val="004E6C29"/>
    <w:rsid w:val="004F04E0"/>
    <w:rsid w:val="004F081F"/>
    <w:rsid w:val="004F0985"/>
    <w:rsid w:val="004F0F2E"/>
    <w:rsid w:val="004F14BA"/>
    <w:rsid w:val="004F14F4"/>
    <w:rsid w:val="004F18C0"/>
    <w:rsid w:val="004F1A6C"/>
    <w:rsid w:val="004F2110"/>
    <w:rsid w:val="004F23A7"/>
    <w:rsid w:val="004F2904"/>
    <w:rsid w:val="004F2A7A"/>
    <w:rsid w:val="004F2D84"/>
    <w:rsid w:val="004F2DB6"/>
    <w:rsid w:val="004F3213"/>
    <w:rsid w:val="004F329A"/>
    <w:rsid w:val="004F331B"/>
    <w:rsid w:val="004F36CB"/>
    <w:rsid w:val="004F37B4"/>
    <w:rsid w:val="004F3F9D"/>
    <w:rsid w:val="004F4008"/>
    <w:rsid w:val="004F4CDF"/>
    <w:rsid w:val="004F4E2A"/>
    <w:rsid w:val="004F5271"/>
    <w:rsid w:val="004F56C2"/>
    <w:rsid w:val="004F5E0C"/>
    <w:rsid w:val="004F66CD"/>
    <w:rsid w:val="004F679C"/>
    <w:rsid w:val="004F67AA"/>
    <w:rsid w:val="004F6833"/>
    <w:rsid w:val="004F6917"/>
    <w:rsid w:val="004F7286"/>
    <w:rsid w:val="004F77B6"/>
    <w:rsid w:val="00500766"/>
    <w:rsid w:val="0050077D"/>
    <w:rsid w:val="005011DA"/>
    <w:rsid w:val="0050125A"/>
    <w:rsid w:val="005014ED"/>
    <w:rsid w:val="00501B23"/>
    <w:rsid w:val="00501F98"/>
    <w:rsid w:val="00502BC8"/>
    <w:rsid w:val="00502E9F"/>
    <w:rsid w:val="00502FFF"/>
    <w:rsid w:val="00503BFB"/>
    <w:rsid w:val="00505092"/>
    <w:rsid w:val="00505500"/>
    <w:rsid w:val="005065A4"/>
    <w:rsid w:val="00506EB1"/>
    <w:rsid w:val="00506FD9"/>
    <w:rsid w:val="00510138"/>
    <w:rsid w:val="005101A7"/>
    <w:rsid w:val="00510F69"/>
    <w:rsid w:val="00510FA9"/>
    <w:rsid w:val="0051265A"/>
    <w:rsid w:val="00512C00"/>
    <w:rsid w:val="00513156"/>
    <w:rsid w:val="00513475"/>
    <w:rsid w:val="005138EF"/>
    <w:rsid w:val="005140D3"/>
    <w:rsid w:val="005144E6"/>
    <w:rsid w:val="00514614"/>
    <w:rsid w:val="005152E9"/>
    <w:rsid w:val="005159BB"/>
    <w:rsid w:val="00515C3A"/>
    <w:rsid w:val="0051651B"/>
    <w:rsid w:val="00516CB3"/>
    <w:rsid w:val="00517019"/>
    <w:rsid w:val="0051763B"/>
    <w:rsid w:val="00517F9E"/>
    <w:rsid w:val="00517FC9"/>
    <w:rsid w:val="005209A4"/>
    <w:rsid w:val="00520A65"/>
    <w:rsid w:val="00520F5A"/>
    <w:rsid w:val="005212B2"/>
    <w:rsid w:val="00521480"/>
    <w:rsid w:val="0052185F"/>
    <w:rsid w:val="00521F34"/>
    <w:rsid w:val="0052200C"/>
    <w:rsid w:val="0052205A"/>
    <w:rsid w:val="005220D8"/>
    <w:rsid w:val="005225DF"/>
    <w:rsid w:val="0052281D"/>
    <w:rsid w:val="005232B3"/>
    <w:rsid w:val="00523F90"/>
    <w:rsid w:val="00524241"/>
    <w:rsid w:val="005248DA"/>
    <w:rsid w:val="005249AB"/>
    <w:rsid w:val="00524BC7"/>
    <w:rsid w:val="00524C70"/>
    <w:rsid w:val="00524DFA"/>
    <w:rsid w:val="0052531F"/>
    <w:rsid w:val="005255E6"/>
    <w:rsid w:val="00525751"/>
    <w:rsid w:val="005257CA"/>
    <w:rsid w:val="005258E9"/>
    <w:rsid w:val="0052598F"/>
    <w:rsid w:val="00525E12"/>
    <w:rsid w:val="005266F3"/>
    <w:rsid w:val="005268AC"/>
    <w:rsid w:val="00526B6B"/>
    <w:rsid w:val="00526D16"/>
    <w:rsid w:val="005271C4"/>
    <w:rsid w:val="0052723A"/>
    <w:rsid w:val="00527269"/>
    <w:rsid w:val="00527A8F"/>
    <w:rsid w:val="005302D6"/>
    <w:rsid w:val="00530F5D"/>
    <w:rsid w:val="005310AF"/>
    <w:rsid w:val="0053123F"/>
    <w:rsid w:val="00531267"/>
    <w:rsid w:val="005314A8"/>
    <w:rsid w:val="00531773"/>
    <w:rsid w:val="005318C7"/>
    <w:rsid w:val="00531958"/>
    <w:rsid w:val="00531E91"/>
    <w:rsid w:val="00531E9C"/>
    <w:rsid w:val="00532355"/>
    <w:rsid w:val="0053246A"/>
    <w:rsid w:val="005326F2"/>
    <w:rsid w:val="00532AC1"/>
    <w:rsid w:val="00532B7B"/>
    <w:rsid w:val="00532DAC"/>
    <w:rsid w:val="00532FCF"/>
    <w:rsid w:val="0053333C"/>
    <w:rsid w:val="00533759"/>
    <w:rsid w:val="005337AC"/>
    <w:rsid w:val="005337D3"/>
    <w:rsid w:val="00533CCC"/>
    <w:rsid w:val="00533D22"/>
    <w:rsid w:val="00534E8B"/>
    <w:rsid w:val="00534F24"/>
    <w:rsid w:val="00535419"/>
    <w:rsid w:val="00535962"/>
    <w:rsid w:val="005359B8"/>
    <w:rsid w:val="00535B2F"/>
    <w:rsid w:val="00535E85"/>
    <w:rsid w:val="00535F9E"/>
    <w:rsid w:val="005360F1"/>
    <w:rsid w:val="00536332"/>
    <w:rsid w:val="0053663D"/>
    <w:rsid w:val="005367C2"/>
    <w:rsid w:val="00537082"/>
    <w:rsid w:val="0053728C"/>
    <w:rsid w:val="0053776E"/>
    <w:rsid w:val="0053778B"/>
    <w:rsid w:val="0053790B"/>
    <w:rsid w:val="005401BB"/>
    <w:rsid w:val="00540645"/>
    <w:rsid w:val="00540EA5"/>
    <w:rsid w:val="00540FEA"/>
    <w:rsid w:val="00542CE4"/>
    <w:rsid w:val="005439F0"/>
    <w:rsid w:val="00544381"/>
    <w:rsid w:val="00544C73"/>
    <w:rsid w:val="005452D7"/>
    <w:rsid w:val="005453C7"/>
    <w:rsid w:val="00545535"/>
    <w:rsid w:val="00545576"/>
    <w:rsid w:val="0054596E"/>
    <w:rsid w:val="00545B0C"/>
    <w:rsid w:val="00545DA0"/>
    <w:rsid w:val="00546E8C"/>
    <w:rsid w:val="0054784E"/>
    <w:rsid w:val="005504D2"/>
    <w:rsid w:val="005507F5"/>
    <w:rsid w:val="00550996"/>
    <w:rsid w:val="00551354"/>
    <w:rsid w:val="005513AE"/>
    <w:rsid w:val="005514C4"/>
    <w:rsid w:val="005515B3"/>
    <w:rsid w:val="00551897"/>
    <w:rsid w:val="005521F4"/>
    <w:rsid w:val="00552308"/>
    <w:rsid w:val="0055248F"/>
    <w:rsid w:val="00552A3C"/>
    <w:rsid w:val="0055338F"/>
    <w:rsid w:val="00553633"/>
    <w:rsid w:val="005539A3"/>
    <w:rsid w:val="00553C9E"/>
    <w:rsid w:val="00553D89"/>
    <w:rsid w:val="00554022"/>
    <w:rsid w:val="00554037"/>
    <w:rsid w:val="0055474A"/>
    <w:rsid w:val="0055486C"/>
    <w:rsid w:val="00554E14"/>
    <w:rsid w:val="00555164"/>
    <w:rsid w:val="00555194"/>
    <w:rsid w:val="0055567C"/>
    <w:rsid w:val="00555970"/>
    <w:rsid w:val="00555C92"/>
    <w:rsid w:val="00555D6C"/>
    <w:rsid w:val="005563DF"/>
    <w:rsid w:val="005576B3"/>
    <w:rsid w:val="0055793E"/>
    <w:rsid w:val="00557AD3"/>
    <w:rsid w:val="00560055"/>
    <w:rsid w:val="00561481"/>
    <w:rsid w:val="00561521"/>
    <w:rsid w:val="00561CA2"/>
    <w:rsid w:val="00561E18"/>
    <w:rsid w:val="00561EA1"/>
    <w:rsid w:val="00562091"/>
    <w:rsid w:val="00562484"/>
    <w:rsid w:val="00562855"/>
    <w:rsid w:val="00562AC4"/>
    <w:rsid w:val="00562CE2"/>
    <w:rsid w:val="00562D9C"/>
    <w:rsid w:val="005630F2"/>
    <w:rsid w:val="00563911"/>
    <w:rsid w:val="00564300"/>
    <w:rsid w:val="00564990"/>
    <w:rsid w:val="00564C4D"/>
    <w:rsid w:val="00564D04"/>
    <w:rsid w:val="00564E3E"/>
    <w:rsid w:val="00564F5E"/>
    <w:rsid w:val="005651B2"/>
    <w:rsid w:val="0056537E"/>
    <w:rsid w:val="0056575E"/>
    <w:rsid w:val="00565A66"/>
    <w:rsid w:val="00565CAB"/>
    <w:rsid w:val="0056673C"/>
    <w:rsid w:val="00566939"/>
    <w:rsid w:val="00566C44"/>
    <w:rsid w:val="00566E50"/>
    <w:rsid w:val="00567048"/>
    <w:rsid w:val="00567193"/>
    <w:rsid w:val="0056780D"/>
    <w:rsid w:val="005678ED"/>
    <w:rsid w:val="00570367"/>
    <w:rsid w:val="00570948"/>
    <w:rsid w:val="00571148"/>
    <w:rsid w:val="0057155D"/>
    <w:rsid w:val="005725AA"/>
    <w:rsid w:val="00572638"/>
    <w:rsid w:val="0057271B"/>
    <w:rsid w:val="00572F2A"/>
    <w:rsid w:val="0057320C"/>
    <w:rsid w:val="005738FF"/>
    <w:rsid w:val="005739F3"/>
    <w:rsid w:val="0057417F"/>
    <w:rsid w:val="005743CD"/>
    <w:rsid w:val="00574416"/>
    <w:rsid w:val="00574A06"/>
    <w:rsid w:val="00574B96"/>
    <w:rsid w:val="00575916"/>
    <w:rsid w:val="00575D7E"/>
    <w:rsid w:val="005766C8"/>
    <w:rsid w:val="005769F0"/>
    <w:rsid w:val="00576B99"/>
    <w:rsid w:val="00577B30"/>
    <w:rsid w:val="00577C2B"/>
    <w:rsid w:val="005805AA"/>
    <w:rsid w:val="00581413"/>
    <w:rsid w:val="00581975"/>
    <w:rsid w:val="00581A27"/>
    <w:rsid w:val="005823E7"/>
    <w:rsid w:val="00582555"/>
    <w:rsid w:val="00582868"/>
    <w:rsid w:val="005839A6"/>
    <w:rsid w:val="00584007"/>
    <w:rsid w:val="005847FA"/>
    <w:rsid w:val="00584D92"/>
    <w:rsid w:val="00585705"/>
    <w:rsid w:val="0058586F"/>
    <w:rsid w:val="00585D4F"/>
    <w:rsid w:val="00586DDE"/>
    <w:rsid w:val="00586FA9"/>
    <w:rsid w:val="0058709A"/>
    <w:rsid w:val="0058717A"/>
    <w:rsid w:val="00587595"/>
    <w:rsid w:val="005904BC"/>
    <w:rsid w:val="005904C1"/>
    <w:rsid w:val="00590731"/>
    <w:rsid w:val="00590A24"/>
    <w:rsid w:val="00590C9F"/>
    <w:rsid w:val="005912A7"/>
    <w:rsid w:val="00591340"/>
    <w:rsid w:val="0059158F"/>
    <w:rsid w:val="00591768"/>
    <w:rsid w:val="00591819"/>
    <w:rsid w:val="005918EC"/>
    <w:rsid w:val="00591B8E"/>
    <w:rsid w:val="00592756"/>
    <w:rsid w:val="0059325E"/>
    <w:rsid w:val="00593784"/>
    <w:rsid w:val="00593F92"/>
    <w:rsid w:val="0059476F"/>
    <w:rsid w:val="0059494C"/>
    <w:rsid w:val="00594A4F"/>
    <w:rsid w:val="00594CA4"/>
    <w:rsid w:val="00594F14"/>
    <w:rsid w:val="005954FC"/>
    <w:rsid w:val="005956EF"/>
    <w:rsid w:val="00595872"/>
    <w:rsid w:val="00595AA4"/>
    <w:rsid w:val="00595C6F"/>
    <w:rsid w:val="005960A5"/>
    <w:rsid w:val="005960F3"/>
    <w:rsid w:val="00596261"/>
    <w:rsid w:val="00596766"/>
    <w:rsid w:val="00596AF6"/>
    <w:rsid w:val="00596FDE"/>
    <w:rsid w:val="00597120"/>
    <w:rsid w:val="0059776E"/>
    <w:rsid w:val="00597AC2"/>
    <w:rsid w:val="00597C1A"/>
    <w:rsid w:val="005A012C"/>
    <w:rsid w:val="005A01AA"/>
    <w:rsid w:val="005A08C8"/>
    <w:rsid w:val="005A1C9F"/>
    <w:rsid w:val="005A2126"/>
    <w:rsid w:val="005A2A32"/>
    <w:rsid w:val="005A2B80"/>
    <w:rsid w:val="005A2E9F"/>
    <w:rsid w:val="005A36C5"/>
    <w:rsid w:val="005A3BD1"/>
    <w:rsid w:val="005A3FA2"/>
    <w:rsid w:val="005A4186"/>
    <w:rsid w:val="005A4500"/>
    <w:rsid w:val="005A473C"/>
    <w:rsid w:val="005A4AA0"/>
    <w:rsid w:val="005A578D"/>
    <w:rsid w:val="005A5857"/>
    <w:rsid w:val="005A5E5A"/>
    <w:rsid w:val="005A676B"/>
    <w:rsid w:val="005A68C9"/>
    <w:rsid w:val="005A6E33"/>
    <w:rsid w:val="005B0D35"/>
    <w:rsid w:val="005B115B"/>
    <w:rsid w:val="005B1208"/>
    <w:rsid w:val="005B16F3"/>
    <w:rsid w:val="005B171A"/>
    <w:rsid w:val="005B1C6B"/>
    <w:rsid w:val="005B2472"/>
    <w:rsid w:val="005B2B02"/>
    <w:rsid w:val="005B2D4E"/>
    <w:rsid w:val="005B344D"/>
    <w:rsid w:val="005B385B"/>
    <w:rsid w:val="005B4FA2"/>
    <w:rsid w:val="005B51F6"/>
    <w:rsid w:val="005B55BD"/>
    <w:rsid w:val="005B5897"/>
    <w:rsid w:val="005B7182"/>
    <w:rsid w:val="005B7457"/>
    <w:rsid w:val="005B747D"/>
    <w:rsid w:val="005B7864"/>
    <w:rsid w:val="005B7A4A"/>
    <w:rsid w:val="005B7C13"/>
    <w:rsid w:val="005C03AE"/>
    <w:rsid w:val="005C0758"/>
    <w:rsid w:val="005C0973"/>
    <w:rsid w:val="005C09CB"/>
    <w:rsid w:val="005C0B24"/>
    <w:rsid w:val="005C0E00"/>
    <w:rsid w:val="005C106B"/>
    <w:rsid w:val="005C11E4"/>
    <w:rsid w:val="005C1368"/>
    <w:rsid w:val="005C178E"/>
    <w:rsid w:val="005C19A6"/>
    <w:rsid w:val="005C1AC2"/>
    <w:rsid w:val="005C1DA2"/>
    <w:rsid w:val="005C1FB0"/>
    <w:rsid w:val="005C2088"/>
    <w:rsid w:val="005C3167"/>
    <w:rsid w:val="005C35F6"/>
    <w:rsid w:val="005C45A2"/>
    <w:rsid w:val="005C4690"/>
    <w:rsid w:val="005C4B0B"/>
    <w:rsid w:val="005C50EF"/>
    <w:rsid w:val="005C5CDD"/>
    <w:rsid w:val="005C5E73"/>
    <w:rsid w:val="005C6595"/>
    <w:rsid w:val="005C6814"/>
    <w:rsid w:val="005C6BCC"/>
    <w:rsid w:val="005C6D39"/>
    <w:rsid w:val="005C6EBB"/>
    <w:rsid w:val="005C7687"/>
    <w:rsid w:val="005C7922"/>
    <w:rsid w:val="005C79C0"/>
    <w:rsid w:val="005D0008"/>
    <w:rsid w:val="005D02A1"/>
    <w:rsid w:val="005D0781"/>
    <w:rsid w:val="005D08A4"/>
    <w:rsid w:val="005D1265"/>
    <w:rsid w:val="005D1399"/>
    <w:rsid w:val="005D178B"/>
    <w:rsid w:val="005D1982"/>
    <w:rsid w:val="005D1E50"/>
    <w:rsid w:val="005D2D6D"/>
    <w:rsid w:val="005D2EB0"/>
    <w:rsid w:val="005D302E"/>
    <w:rsid w:val="005D320F"/>
    <w:rsid w:val="005D33DC"/>
    <w:rsid w:val="005D3462"/>
    <w:rsid w:val="005D3609"/>
    <w:rsid w:val="005D3A68"/>
    <w:rsid w:val="005D3E0A"/>
    <w:rsid w:val="005D43B8"/>
    <w:rsid w:val="005D52F6"/>
    <w:rsid w:val="005D565A"/>
    <w:rsid w:val="005D61E4"/>
    <w:rsid w:val="005D6261"/>
    <w:rsid w:val="005D648C"/>
    <w:rsid w:val="005D651B"/>
    <w:rsid w:val="005D6B3C"/>
    <w:rsid w:val="005D6EC2"/>
    <w:rsid w:val="005D7331"/>
    <w:rsid w:val="005D7374"/>
    <w:rsid w:val="005D741B"/>
    <w:rsid w:val="005D75F9"/>
    <w:rsid w:val="005D774D"/>
    <w:rsid w:val="005D7CEF"/>
    <w:rsid w:val="005E01E3"/>
    <w:rsid w:val="005E0CD1"/>
    <w:rsid w:val="005E0F0E"/>
    <w:rsid w:val="005E122E"/>
    <w:rsid w:val="005E2151"/>
    <w:rsid w:val="005E2251"/>
    <w:rsid w:val="005E229D"/>
    <w:rsid w:val="005E25DF"/>
    <w:rsid w:val="005E2755"/>
    <w:rsid w:val="005E28C5"/>
    <w:rsid w:val="005E2977"/>
    <w:rsid w:val="005E2A6A"/>
    <w:rsid w:val="005E3370"/>
    <w:rsid w:val="005E39D3"/>
    <w:rsid w:val="005E3A46"/>
    <w:rsid w:val="005E4289"/>
    <w:rsid w:val="005E443A"/>
    <w:rsid w:val="005E467D"/>
    <w:rsid w:val="005E50E7"/>
    <w:rsid w:val="005E523F"/>
    <w:rsid w:val="005E52C8"/>
    <w:rsid w:val="005E5D6E"/>
    <w:rsid w:val="005E5F18"/>
    <w:rsid w:val="005E5FA8"/>
    <w:rsid w:val="005E602A"/>
    <w:rsid w:val="005E6879"/>
    <w:rsid w:val="005E6D6A"/>
    <w:rsid w:val="005E78E0"/>
    <w:rsid w:val="005F0032"/>
    <w:rsid w:val="005F04F3"/>
    <w:rsid w:val="005F089C"/>
    <w:rsid w:val="005F08A3"/>
    <w:rsid w:val="005F11ED"/>
    <w:rsid w:val="005F1E92"/>
    <w:rsid w:val="005F1EC9"/>
    <w:rsid w:val="005F219D"/>
    <w:rsid w:val="005F21F2"/>
    <w:rsid w:val="005F23D2"/>
    <w:rsid w:val="005F350F"/>
    <w:rsid w:val="005F36D2"/>
    <w:rsid w:val="005F3700"/>
    <w:rsid w:val="005F3EC8"/>
    <w:rsid w:val="005F44CB"/>
    <w:rsid w:val="005F4A23"/>
    <w:rsid w:val="005F4F8A"/>
    <w:rsid w:val="005F57D0"/>
    <w:rsid w:val="005F5C67"/>
    <w:rsid w:val="005F61FE"/>
    <w:rsid w:val="005F65A4"/>
    <w:rsid w:val="005F732A"/>
    <w:rsid w:val="005F735C"/>
    <w:rsid w:val="005F74AF"/>
    <w:rsid w:val="00600557"/>
    <w:rsid w:val="00600779"/>
    <w:rsid w:val="006009E8"/>
    <w:rsid w:val="00600B0C"/>
    <w:rsid w:val="00601063"/>
    <w:rsid w:val="006011E6"/>
    <w:rsid w:val="00602189"/>
    <w:rsid w:val="00603005"/>
    <w:rsid w:val="0060321E"/>
    <w:rsid w:val="006032E5"/>
    <w:rsid w:val="006033AC"/>
    <w:rsid w:val="00604044"/>
    <w:rsid w:val="00604B22"/>
    <w:rsid w:val="00604C4B"/>
    <w:rsid w:val="006053A4"/>
    <w:rsid w:val="006054C0"/>
    <w:rsid w:val="006055FE"/>
    <w:rsid w:val="0060564C"/>
    <w:rsid w:val="006057EB"/>
    <w:rsid w:val="0060608A"/>
    <w:rsid w:val="00606117"/>
    <w:rsid w:val="00606470"/>
    <w:rsid w:val="0060679C"/>
    <w:rsid w:val="00606994"/>
    <w:rsid w:val="00606D6D"/>
    <w:rsid w:val="00606F50"/>
    <w:rsid w:val="0060705B"/>
    <w:rsid w:val="00607641"/>
    <w:rsid w:val="00607A05"/>
    <w:rsid w:val="00607A55"/>
    <w:rsid w:val="00607AA9"/>
    <w:rsid w:val="00607C7D"/>
    <w:rsid w:val="00607ED9"/>
    <w:rsid w:val="0061014B"/>
    <w:rsid w:val="006103C3"/>
    <w:rsid w:val="00611036"/>
    <w:rsid w:val="0061173F"/>
    <w:rsid w:val="0061188F"/>
    <w:rsid w:val="00611C8B"/>
    <w:rsid w:val="00611E68"/>
    <w:rsid w:val="00612460"/>
    <w:rsid w:val="00612737"/>
    <w:rsid w:val="00612A42"/>
    <w:rsid w:val="00613615"/>
    <w:rsid w:val="00613F5A"/>
    <w:rsid w:val="006145CD"/>
    <w:rsid w:val="006146ED"/>
    <w:rsid w:val="006151C0"/>
    <w:rsid w:val="00615EB6"/>
    <w:rsid w:val="00616111"/>
    <w:rsid w:val="00616D41"/>
    <w:rsid w:val="00617482"/>
    <w:rsid w:val="006174AC"/>
    <w:rsid w:val="006175B3"/>
    <w:rsid w:val="0061772A"/>
    <w:rsid w:val="0061773F"/>
    <w:rsid w:val="00617856"/>
    <w:rsid w:val="00617AEB"/>
    <w:rsid w:val="00617CFA"/>
    <w:rsid w:val="006200E0"/>
    <w:rsid w:val="0062018D"/>
    <w:rsid w:val="00620443"/>
    <w:rsid w:val="006204D7"/>
    <w:rsid w:val="006205AD"/>
    <w:rsid w:val="006205C2"/>
    <w:rsid w:val="006206B9"/>
    <w:rsid w:val="006209F1"/>
    <w:rsid w:val="00621252"/>
    <w:rsid w:val="0062162A"/>
    <w:rsid w:val="0062178B"/>
    <w:rsid w:val="00621A00"/>
    <w:rsid w:val="00621BFC"/>
    <w:rsid w:val="00621E24"/>
    <w:rsid w:val="00622587"/>
    <w:rsid w:val="00622763"/>
    <w:rsid w:val="00622C3A"/>
    <w:rsid w:val="00623468"/>
    <w:rsid w:val="006234DC"/>
    <w:rsid w:val="006244DC"/>
    <w:rsid w:val="0062489C"/>
    <w:rsid w:val="006248B0"/>
    <w:rsid w:val="00624EF2"/>
    <w:rsid w:val="00625421"/>
    <w:rsid w:val="00626299"/>
    <w:rsid w:val="006263D9"/>
    <w:rsid w:val="006264CA"/>
    <w:rsid w:val="0062752A"/>
    <w:rsid w:val="006279D2"/>
    <w:rsid w:val="00627BAB"/>
    <w:rsid w:val="00627F98"/>
    <w:rsid w:val="0063009F"/>
    <w:rsid w:val="00630DAD"/>
    <w:rsid w:val="00630F59"/>
    <w:rsid w:val="0063133F"/>
    <w:rsid w:val="00631997"/>
    <w:rsid w:val="006319D9"/>
    <w:rsid w:val="0063247A"/>
    <w:rsid w:val="006328A0"/>
    <w:rsid w:val="006328F9"/>
    <w:rsid w:val="00632DBF"/>
    <w:rsid w:val="00632ECB"/>
    <w:rsid w:val="00633E12"/>
    <w:rsid w:val="00633F66"/>
    <w:rsid w:val="0063465A"/>
    <w:rsid w:val="00634740"/>
    <w:rsid w:val="006349AC"/>
    <w:rsid w:val="00634DDB"/>
    <w:rsid w:val="00634F1D"/>
    <w:rsid w:val="006357B2"/>
    <w:rsid w:val="0063653F"/>
    <w:rsid w:val="00636999"/>
    <w:rsid w:val="00637016"/>
    <w:rsid w:val="0063739B"/>
    <w:rsid w:val="00637845"/>
    <w:rsid w:val="00637F4C"/>
    <w:rsid w:val="00640CB4"/>
    <w:rsid w:val="006414CB"/>
    <w:rsid w:val="0064157F"/>
    <w:rsid w:val="006416C3"/>
    <w:rsid w:val="006423FF"/>
    <w:rsid w:val="00642743"/>
    <w:rsid w:val="006428FE"/>
    <w:rsid w:val="00642EED"/>
    <w:rsid w:val="0064347E"/>
    <w:rsid w:val="006435B5"/>
    <w:rsid w:val="0064432B"/>
    <w:rsid w:val="00644346"/>
    <w:rsid w:val="00644522"/>
    <w:rsid w:val="00644681"/>
    <w:rsid w:val="00644947"/>
    <w:rsid w:val="00644964"/>
    <w:rsid w:val="00644CDE"/>
    <w:rsid w:val="00644FE2"/>
    <w:rsid w:val="006451AF"/>
    <w:rsid w:val="006454C1"/>
    <w:rsid w:val="006454C9"/>
    <w:rsid w:val="00645939"/>
    <w:rsid w:val="00645C7A"/>
    <w:rsid w:val="00645D10"/>
    <w:rsid w:val="006461D6"/>
    <w:rsid w:val="0064648F"/>
    <w:rsid w:val="0064692B"/>
    <w:rsid w:val="00646D51"/>
    <w:rsid w:val="00647074"/>
    <w:rsid w:val="006470DE"/>
    <w:rsid w:val="0064780B"/>
    <w:rsid w:val="00647B7F"/>
    <w:rsid w:val="00650238"/>
    <w:rsid w:val="00650F27"/>
    <w:rsid w:val="0065142A"/>
    <w:rsid w:val="00651CA2"/>
    <w:rsid w:val="00651D2D"/>
    <w:rsid w:val="00651EDB"/>
    <w:rsid w:val="00651F76"/>
    <w:rsid w:val="00652966"/>
    <w:rsid w:val="00652DE3"/>
    <w:rsid w:val="0065327C"/>
    <w:rsid w:val="00654214"/>
    <w:rsid w:val="006543FC"/>
    <w:rsid w:val="006546B7"/>
    <w:rsid w:val="0065485A"/>
    <w:rsid w:val="00654F37"/>
    <w:rsid w:val="00654FAA"/>
    <w:rsid w:val="0065522D"/>
    <w:rsid w:val="006557B0"/>
    <w:rsid w:val="00655A96"/>
    <w:rsid w:val="00655B0E"/>
    <w:rsid w:val="00655D96"/>
    <w:rsid w:val="0065631A"/>
    <w:rsid w:val="00656EE0"/>
    <w:rsid w:val="00657D6C"/>
    <w:rsid w:val="0066004B"/>
    <w:rsid w:val="006600EF"/>
    <w:rsid w:val="00660223"/>
    <w:rsid w:val="00660279"/>
    <w:rsid w:val="00660F84"/>
    <w:rsid w:val="006611BD"/>
    <w:rsid w:val="0066125B"/>
    <w:rsid w:val="006615A5"/>
    <w:rsid w:val="00661E55"/>
    <w:rsid w:val="0066249B"/>
    <w:rsid w:val="0066269B"/>
    <w:rsid w:val="006630AD"/>
    <w:rsid w:val="0066313B"/>
    <w:rsid w:val="00663304"/>
    <w:rsid w:val="0066330F"/>
    <w:rsid w:val="00663345"/>
    <w:rsid w:val="00663B11"/>
    <w:rsid w:val="00663E0E"/>
    <w:rsid w:val="0066418E"/>
    <w:rsid w:val="0066481F"/>
    <w:rsid w:val="00665189"/>
    <w:rsid w:val="00665524"/>
    <w:rsid w:val="0066598F"/>
    <w:rsid w:val="006659C2"/>
    <w:rsid w:val="00665C47"/>
    <w:rsid w:val="00666025"/>
    <w:rsid w:val="0066686A"/>
    <w:rsid w:val="00666C6D"/>
    <w:rsid w:val="00667334"/>
    <w:rsid w:val="006677B1"/>
    <w:rsid w:val="00667CA7"/>
    <w:rsid w:val="00667CF7"/>
    <w:rsid w:val="00670240"/>
    <w:rsid w:val="00670544"/>
    <w:rsid w:val="006709A8"/>
    <w:rsid w:val="00671849"/>
    <w:rsid w:val="00671FEF"/>
    <w:rsid w:val="0067206C"/>
    <w:rsid w:val="006723CF"/>
    <w:rsid w:val="00672421"/>
    <w:rsid w:val="00672779"/>
    <w:rsid w:val="00672F99"/>
    <w:rsid w:val="00673009"/>
    <w:rsid w:val="006730A6"/>
    <w:rsid w:val="006731AD"/>
    <w:rsid w:val="006731BF"/>
    <w:rsid w:val="006742E0"/>
    <w:rsid w:val="006744A6"/>
    <w:rsid w:val="006749C9"/>
    <w:rsid w:val="006754E1"/>
    <w:rsid w:val="006756F3"/>
    <w:rsid w:val="006758C9"/>
    <w:rsid w:val="00675939"/>
    <w:rsid w:val="00675F2E"/>
    <w:rsid w:val="00676CA0"/>
    <w:rsid w:val="00676D8C"/>
    <w:rsid w:val="00676E41"/>
    <w:rsid w:val="00676ED6"/>
    <w:rsid w:val="006779BC"/>
    <w:rsid w:val="00677A1B"/>
    <w:rsid w:val="00677AB8"/>
    <w:rsid w:val="00677C88"/>
    <w:rsid w:val="00677EB3"/>
    <w:rsid w:val="006801B7"/>
    <w:rsid w:val="0068063A"/>
    <w:rsid w:val="00680EB2"/>
    <w:rsid w:val="00680F24"/>
    <w:rsid w:val="00680F7F"/>
    <w:rsid w:val="0068103B"/>
    <w:rsid w:val="00681550"/>
    <w:rsid w:val="0068163F"/>
    <w:rsid w:val="00681892"/>
    <w:rsid w:val="0068222F"/>
    <w:rsid w:val="00682558"/>
    <w:rsid w:val="006825E2"/>
    <w:rsid w:val="006827A1"/>
    <w:rsid w:val="006828DB"/>
    <w:rsid w:val="006829BD"/>
    <w:rsid w:val="0068360E"/>
    <w:rsid w:val="006837E5"/>
    <w:rsid w:val="00683970"/>
    <w:rsid w:val="00683AA4"/>
    <w:rsid w:val="00683D6B"/>
    <w:rsid w:val="006845DC"/>
    <w:rsid w:val="006849E3"/>
    <w:rsid w:val="00684C5F"/>
    <w:rsid w:val="006855CC"/>
    <w:rsid w:val="00685CC1"/>
    <w:rsid w:val="00685F1F"/>
    <w:rsid w:val="00686008"/>
    <w:rsid w:val="0068606C"/>
    <w:rsid w:val="00686574"/>
    <w:rsid w:val="00686741"/>
    <w:rsid w:val="006867C5"/>
    <w:rsid w:val="0068680C"/>
    <w:rsid w:val="006868AE"/>
    <w:rsid w:val="00686DEB"/>
    <w:rsid w:val="00686E37"/>
    <w:rsid w:val="00686F34"/>
    <w:rsid w:val="0069030A"/>
    <w:rsid w:val="0069068F"/>
    <w:rsid w:val="00690840"/>
    <w:rsid w:val="00690A6F"/>
    <w:rsid w:val="006912F4"/>
    <w:rsid w:val="00692372"/>
    <w:rsid w:val="006924DE"/>
    <w:rsid w:val="0069318E"/>
    <w:rsid w:val="00693982"/>
    <w:rsid w:val="006946E5"/>
    <w:rsid w:val="0069475F"/>
    <w:rsid w:val="006949ED"/>
    <w:rsid w:val="00694B1B"/>
    <w:rsid w:val="00694B63"/>
    <w:rsid w:val="00694C82"/>
    <w:rsid w:val="00694CEB"/>
    <w:rsid w:val="00694E0F"/>
    <w:rsid w:val="00694EDC"/>
    <w:rsid w:val="00695A92"/>
    <w:rsid w:val="00695C02"/>
    <w:rsid w:val="00695D43"/>
    <w:rsid w:val="00696073"/>
    <w:rsid w:val="006961FA"/>
    <w:rsid w:val="0069640E"/>
    <w:rsid w:val="0069689F"/>
    <w:rsid w:val="006969A8"/>
    <w:rsid w:val="00696ECB"/>
    <w:rsid w:val="0069730F"/>
    <w:rsid w:val="00697EBC"/>
    <w:rsid w:val="006A010C"/>
    <w:rsid w:val="006A094F"/>
    <w:rsid w:val="006A0C95"/>
    <w:rsid w:val="006A0DCF"/>
    <w:rsid w:val="006A0EDD"/>
    <w:rsid w:val="006A1601"/>
    <w:rsid w:val="006A17F7"/>
    <w:rsid w:val="006A1845"/>
    <w:rsid w:val="006A1938"/>
    <w:rsid w:val="006A1CA5"/>
    <w:rsid w:val="006A208F"/>
    <w:rsid w:val="006A285B"/>
    <w:rsid w:val="006A2AE1"/>
    <w:rsid w:val="006A3466"/>
    <w:rsid w:val="006A3AC0"/>
    <w:rsid w:val="006A3D5B"/>
    <w:rsid w:val="006A41A7"/>
    <w:rsid w:val="006A4285"/>
    <w:rsid w:val="006A4B0D"/>
    <w:rsid w:val="006A4ECC"/>
    <w:rsid w:val="006A4F41"/>
    <w:rsid w:val="006A5414"/>
    <w:rsid w:val="006A5467"/>
    <w:rsid w:val="006A57B1"/>
    <w:rsid w:val="006A587D"/>
    <w:rsid w:val="006A5A9D"/>
    <w:rsid w:val="006A5E0A"/>
    <w:rsid w:val="006A6AB8"/>
    <w:rsid w:val="006A6ABE"/>
    <w:rsid w:val="006A7E56"/>
    <w:rsid w:val="006B04E2"/>
    <w:rsid w:val="006B04F7"/>
    <w:rsid w:val="006B0676"/>
    <w:rsid w:val="006B0942"/>
    <w:rsid w:val="006B0C9B"/>
    <w:rsid w:val="006B0E64"/>
    <w:rsid w:val="006B0FE4"/>
    <w:rsid w:val="006B1043"/>
    <w:rsid w:val="006B113F"/>
    <w:rsid w:val="006B1C28"/>
    <w:rsid w:val="006B1C45"/>
    <w:rsid w:val="006B1CC5"/>
    <w:rsid w:val="006B1D27"/>
    <w:rsid w:val="006B1DF4"/>
    <w:rsid w:val="006B2106"/>
    <w:rsid w:val="006B21DB"/>
    <w:rsid w:val="006B223B"/>
    <w:rsid w:val="006B2A48"/>
    <w:rsid w:val="006B2AE9"/>
    <w:rsid w:val="006B2D82"/>
    <w:rsid w:val="006B2E66"/>
    <w:rsid w:val="006B346D"/>
    <w:rsid w:val="006B3471"/>
    <w:rsid w:val="006B3AE9"/>
    <w:rsid w:val="006B3B5D"/>
    <w:rsid w:val="006B3FD1"/>
    <w:rsid w:val="006B4465"/>
    <w:rsid w:val="006B4D43"/>
    <w:rsid w:val="006B54CA"/>
    <w:rsid w:val="006B5884"/>
    <w:rsid w:val="006B5B4E"/>
    <w:rsid w:val="006B5E23"/>
    <w:rsid w:val="006B5F71"/>
    <w:rsid w:val="006B661F"/>
    <w:rsid w:val="006B66A2"/>
    <w:rsid w:val="006B66E0"/>
    <w:rsid w:val="006B6F59"/>
    <w:rsid w:val="006B71B0"/>
    <w:rsid w:val="006B7D15"/>
    <w:rsid w:val="006B7E91"/>
    <w:rsid w:val="006B7FED"/>
    <w:rsid w:val="006C0189"/>
    <w:rsid w:val="006C05A6"/>
    <w:rsid w:val="006C0788"/>
    <w:rsid w:val="006C0A0E"/>
    <w:rsid w:val="006C0B06"/>
    <w:rsid w:val="006C0CAA"/>
    <w:rsid w:val="006C175C"/>
    <w:rsid w:val="006C2174"/>
    <w:rsid w:val="006C2233"/>
    <w:rsid w:val="006C2474"/>
    <w:rsid w:val="006C24E5"/>
    <w:rsid w:val="006C26DF"/>
    <w:rsid w:val="006C29BF"/>
    <w:rsid w:val="006C2B5B"/>
    <w:rsid w:val="006C2C71"/>
    <w:rsid w:val="006C2C97"/>
    <w:rsid w:val="006C2D94"/>
    <w:rsid w:val="006C3A03"/>
    <w:rsid w:val="006C3FB5"/>
    <w:rsid w:val="006C41C6"/>
    <w:rsid w:val="006C440D"/>
    <w:rsid w:val="006C4737"/>
    <w:rsid w:val="006C4A12"/>
    <w:rsid w:val="006C5438"/>
    <w:rsid w:val="006C5478"/>
    <w:rsid w:val="006C5E04"/>
    <w:rsid w:val="006C60B5"/>
    <w:rsid w:val="006C652C"/>
    <w:rsid w:val="006C683F"/>
    <w:rsid w:val="006C6C5D"/>
    <w:rsid w:val="006C6EB4"/>
    <w:rsid w:val="006C728A"/>
    <w:rsid w:val="006C7B34"/>
    <w:rsid w:val="006D0286"/>
    <w:rsid w:val="006D058C"/>
    <w:rsid w:val="006D0828"/>
    <w:rsid w:val="006D0B64"/>
    <w:rsid w:val="006D0F8F"/>
    <w:rsid w:val="006D0F9C"/>
    <w:rsid w:val="006D1062"/>
    <w:rsid w:val="006D13BA"/>
    <w:rsid w:val="006D2644"/>
    <w:rsid w:val="006D2716"/>
    <w:rsid w:val="006D2962"/>
    <w:rsid w:val="006D2989"/>
    <w:rsid w:val="006D2AEF"/>
    <w:rsid w:val="006D3176"/>
    <w:rsid w:val="006D329E"/>
    <w:rsid w:val="006D3593"/>
    <w:rsid w:val="006D3E26"/>
    <w:rsid w:val="006D442B"/>
    <w:rsid w:val="006D4598"/>
    <w:rsid w:val="006D45D3"/>
    <w:rsid w:val="006D4EF1"/>
    <w:rsid w:val="006D509D"/>
    <w:rsid w:val="006D52CC"/>
    <w:rsid w:val="006D5C91"/>
    <w:rsid w:val="006D6099"/>
    <w:rsid w:val="006D60CB"/>
    <w:rsid w:val="006D6DA1"/>
    <w:rsid w:val="006D7460"/>
    <w:rsid w:val="006D7483"/>
    <w:rsid w:val="006D7BF9"/>
    <w:rsid w:val="006D7BFE"/>
    <w:rsid w:val="006E05D7"/>
    <w:rsid w:val="006E0A76"/>
    <w:rsid w:val="006E0DF6"/>
    <w:rsid w:val="006E10F9"/>
    <w:rsid w:val="006E16A1"/>
    <w:rsid w:val="006E186F"/>
    <w:rsid w:val="006E1C84"/>
    <w:rsid w:val="006E1F5D"/>
    <w:rsid w:val="006E23A2"/>
    <w:rsid w:val="006E255A"/>
    <w:rsid w:val="006E28CD"/>
    <w:rsid w:val="006E2A1A"/>
    <w:rsid w:val="006E2BCA"/>
    <w:rsid w:val="006E3093"/>
    <w:rsid w:val="006E33F3"/>
    <w:rsid w:val="006E3A2F"/>
    <w:rsid w:val="006E5C44"/>
    <w:rsid w:val="006E6AF4"/>
    <w:rsid w:val="006E6F30"/>
    <w:rsid w:val="006E7B7A"/>
    <w:rsid w:val="006E7FD7"/>
    <w:rsid w:val="006F0364"/>
    <w:rsid w:val="006F0406"/>
    <w:rsid w:val="006F041B"/>
    <w:rsid w:val="006F0F65"/>
    <w:rsid w:val="006F1451"/>
    <w:rsid w:val="006F17BE"/>
    <w:rsid w:val="006F1CCA"/>
    <w:rsid w:val="006F201B"/>
    <w:rsid w:val="006F2715"/>
    <w:rsid w:val="006F2A81"/>
    <w:rsid w:val="006F2CB2"/>
    <w:rsid w:val="006F2E46"/>
    <w:rsid w:val="006F3002"/>
    <w:rsid w:val="006F3124"/>
    <w:rsid w:val="006F351C"/>
    <w:rsid w:val="006F3961"/>
    <w:rsid w:val="006F39C1"/>
    <w:rsid w:val="006F3D32"/>
    <w:rsid w:val="006F444C"/>
    <w:rsid w:val="006F4EE5"/>
    <w:rsid w:val="006F509F"/>
    <w:rsid w:val="006F5D6A"/>
    <w:rsid w:val="006F606E"/>
    <w:rsid w:val="006F60EA"/>
    <w:rsid w:val="006F6AE6"/>
    <w:rsid w:val="006F6B9B"/>
    <w:rsid w:val="006F6E7E"/>
    <w:rsid w:val="006F6F1C"/>
    <w:rsid w:val="006F77C5"/>
    <w:rsid w:val="006F7D9A"/>
    <w:rsid w:val="007003DB"/>
    <w:rsid w:val="0070070F"/>
    <w:rsid w:val="00700B49"/>
    <w:rsid w:val="00700BC7"/>
    <w:rsid w:val="00700FDB"/>
    <w:rsid w:val="0070167D"/>
    <w:rsid w:val="00701700"/>
    <w:rsid w:val="00702601"/>
    <w:rsid w:val="007027F5"/>
    <w:rsid w:val="00702C11"/>
    <w:rsid w:val="007033A7"/>
    <w:rsid w:val="0070430E"/>
    <w:rsid w:val="00704632"/>
    <w:rsid w:val="00704B6B"/>
    <w:rsid w:val="00704C27"/>
    <w:rsid w:val="00705180"/>
    <w:rsid w:val="00705371"/>
    <w:rsid w:val="007060EE"/>
    <w:rsid w:val="00706958"/>
    <w:rsid w:val="00706AD5"/>
    <w:rsid w:val="00706E53"/>
    <w:rsid w:val="00707093"/>
    <w:rsid w:val="007072F6"/>
    <w:rsid w:val="007075AE"/>
    <w:rsid w:val="00707704"/>
    <w:rsid w:val="00707BBE"/>
    <w:rsid w:val="0071033D"/>
    <w:rsid w:val="00711102"/>
    <w:rsid w:val="007112C2"/>
    <w:rsid w:val="00711CB3"/>
    <w:rsid w:val="007121F9"/>
    <w:rsid w:val="007124BB"/>
    <w:rsid w:val="00712A05"/>
    <w:rsid w:val="00712BA1"/>
    <w:rsid w:val="0071346A"/>
    <w:rsid w:val="00713AEF"/>
    <w:rsid w:val="007141DD"/>
    <w:rsid w:val="00714786"/>
    <w:rsid w:val="00714D8C"/>
    <w:rsid w:val="00715341"/>
    <w:rsid w:val="0071543D"/>
    <w:rsid w:val="00715463"/>
    <w:rsid w:val="00715A17"/>
    <w:rsid w:val="00715C40"/>
    <w:rsid w:val="00715E52"/>
    <w:rsid w:val="00715F00"/>
    <w:rsid w:val="00716002"/>
    <w:rsid w:val="0071647A"/>
    <w:rsid w:val="007166BA"/>
    <w:rsid w:val="0071691D"/>
    <w:rsid w:val="0071699A"/>
    <w:rsid w:val="00716D2A"/>
    <w:rsid w:val="00716D39"/>
    <w:rsid w:val="00717120"/>
    <w:rsid w:val="007174C1"/>
    <w:rsid w:val="007175BB"/>
    <w:rsid w:val="007178CD"/>
    <w:rsid w:val="0071797D"/>
    <w:rsid w:val="0071798E"/>
    <w:rsid w:val="0072026E"/>
    <w:rsid w:val="00720296"/>
    <w:rsid w:val="0072062D"/>
    <w:rsid w:val="007206C0"/>
    <w:rsid w:val="00720F7F"/>
    <w:rsid w:val="00721100"/>
    <w:rsid w:val="007213AF"/>
    <w:rsid w:val="00721527"/>
    <w:rsid w:val="00721551"/>
    <w:rsid w:val="00721B9C"/>
    <w:rsid w:val="007228B0"/>
    <w:rsid w:val="007229DD"/>
    <w:rsid w:val="00722EF1"/>
    <w:rsid w:val="0072314E"/>
    <w:rsid w:val="00723BBB"/>
    <w:rsid w:val="00724831"/>
    <w:rsid w:val="00724EA0"/>
    <w:rsid w:val="007256AE"/>
    <w:rsid w:val="00725BD3"/>
    <w:rsid w:val="00725C65"/>
    <w:rsid w:val="00725D5E"/>
    <w:rsid w:val="00726605"/>
    <w:rsid w:val="007271E8"/>
    <w:rsid w:val="0072737B"/>
    <w:rsid w:val="00727697"/>
    <w:rsid w:val="007276DB"/>
    <w:rsid w:val="007277A6"/>
    <w:rsid w:val="00727831"/>
    <w:rsid w:val="00730BA9"/>
    <w:rsid w:val="00731465"/>
    <w:rsid w:val="00731769"/>
    <w:rsid w:val="00732C07"/>
    <w:rsid w:val="00732C31"/>
    <w:rsid w:val="00732DEE"/>
    <w:rsid w:val="00732E52"/>
    <w:rsid w:val="00732F3C"/>
    <w:rsid w:val="0073355B"/>
    <w:rsid w:val="00733560"/>
    <w:rsid w:val="00733720"/>
    <w:rsid w:val="00733875"/>
    <w:rsid w:val="00733A9E"/>
    <w:rsid w:val="00734115"/>
    <w:rsid w:val="007342A9"/>
    <w:rsid w:val="0073454F"/>
    <w:rsid w:val="00734886"/>
    <w:rsid w:val="00734A1A"/>
    <w:rsid w:val="00734C51"/>
    <w:rsid w:val="007354A2"/>
    <w:rsid w:val="007355CE"/>
    <w:rsid w:val="0073564B"/>
    <w:rsid w:val="007356D4"/>
    <w:rsid w:val="00735FB5"/>
    <w:rsid w:val="00736961"/>
    <w:rsid w:val="00736B83"/>
    <w:rsid w:val="00736CD3"/>
    <w:rsid w:val="00736D2D"/>
    <w:rsid w:val="00736F5D"/>
    <w:rsid w:val="0073736D"/>
    <w:rsid w:val="007374D0"/>
    <w:rsid w:val="00737953"/>
    <w:rsid w:val="0074043A"/>
    <w:rsid w:val="00740EB7"/>
    <w:rsid w:val="00741051"/>
    <w:rsid w:val="00741097"/>
    <w:rsid w:val="0074186A"/>
    <w:rsid w:val="00742768"/>
    <w:rsid w:val="0074295A"/>
    <w:rsid w:val="00742A35"/>
    <w:rsid w:val="00742E0F"/>
    <w:rsid w:val="00743304"/>
    <w:rsid w:val="00743449"/>
    <w:rsid w:val="0074364E"/>
    <w:rsid w:val="0074370E"/>
    <w:rsid w:val="0074379E"/>
    <w:rsid w:val="00744254"/>
    <w:rsid w:val="0074453E"/>
    <w:rsid w:val="00744804"/>
    <w:rsid w:val="007449E6"/>
    <w:rsid w:val="00744A69"/>
    <w:rsid w:val="00744CFB"/>
    <w:rsid w:val="00744FCA"/>
    <w:rsid w:val="00745707"/>
    <w:rsid w:val="00745A37"/>
    <w:rsid w:val="00745A61"/>
    <w:rsid w:val="00745E1B"/>
    <w:rsid w:val="00745E50"/>
    <w:rsid w:val="0074609C"/>
    <w:rsid w:val="00746268"/>
    <w:rsid w:val="00746765"/>
    <w:rsid w:val="00746D74"/>
    <w:rsid w:val="007470B8"/>
    <w:rsid w:val="00747533"/>
    <w:rsid w:val="00747A0A"/>
    <w:rsid w:val="00747ACE"/>
    <w:rsid w:val="00747E77"/>
    <w:rsid w:val="0075033C"/>
    <w:rsid w:val="007505B0"/>
    <w:rsid w:val="007508E3"/>
    <w:rsid w:val="007509AA"/>
    <w:rsid w:val="007509C8"/>
    <w:rsid w:val="00750F69"/>
    <w:rsid w:val="00751719"/>
    <w:rsid w:val="0075189C"/>
    <w:rsid w:val="0075223D"/>
    <w:rsid w:val="00752519"/>
    <w:rsid w:val="007525F6"/>
    <w:rsid w:val="007526F5"/>
    <w:rsid w:val="00752D32"/>
    <w:rsid w:val="00752FB0"/>
    <w:rsid w:val="007543FA"/>
    <w:rsid w:val="007545E8"/>
    <w:rsid w:val="00754E98"/>
    <w:rsid w:val="00755325"/>
    <w:rsid w:val="0075570F"/>
    <w:rsid w:val="00755D0B"/>
    <w:rsid w:val="0075636F"/>
    <w:rsid w:val="007567CB"/>
    <w:rsid w:val="00757AB7"/>
    <w:rsid w:val="00760465"/>
    <w:rsid w:val="007611EE"/>
    <w:rsid w:val="0076135E"/>
    <w:rsid w:val="007615C1"/>
    <w:rsid w:val="00761BAD"/>
    <w:rsid w:val="00761DAF"/>
    <w:rsid w:val="0076268E"/>
    <w:rsid w:val="00763024"/>
    <w:rsid w:val="00763A2D"/>
    <w:rsid w:val="00763E5B"/>
    <w:rsid w:val="007640BB"/>
    <w:rsid w:val="007648CF"/>
    <w:rsid w:val="00764A43"/>
    <w:rsid w:val="007652BD"/>
    <w:rsid w:val="00765AF6"/>
    <w:rsid w:val="0076657E"/>
    <w:rsid w:val="0076680E"/>
    <w:rsid w:val="00766C6C"/>
    <w:rsid w:val="007670CE"/>
    <w:rsid w:val="00770411"/>
    <w:rsid w:val="00770516"/>
    <w:rsid w:val="0077128C"/>
    <w:rsid w:val="00771333"/>
    <w:rsid w:val="0077133D"/>
    <w:rsid w:val="0077162F"/>
    <w:rsid w:val="00771C8D"/>
    <w:rsid w:val="00771DCC"/>
    <w:rsid w:val="007722E2"/>
    <w:rsid w:val="007725AD"/>
    <w:rsid w:val="007728C4"/>
    <w:rsid w:val="00772CB2"/>
    <w:rsid w:val="00772E50"/>
    <w:rsid w:val="00772FF1"/>
    <w:rsid w:val="0077300D"/>
    <w:rsid w:val="00773060"/>
    <w:rsid w:val="0077365C"/>
    <w:rsid w:val="00773745"/>
    <w:rsid w:val="00773ED5"/>
    <w:rsid w:val="007744CE"/>
    <w:rsid w:val="00774E10"/>
    <w:rsid w:val="00774F6D"/>
    <w:rsid w:val="007752D4"/>
    <w:rsid w:val="007753CC"/>
    <w:rsid w:val="007755A0"/>
    <w:rsid w:val="00775742"/>
    <w:rsid w:val="00775D77"/>
    <w:rsid w:val="00776825"/>
    <w:rsid w:val="007770C9"/>
    <w:rsid w:val="00777F35"/>
    <w:rsid w:val="00780077"/>
    <w:rsid w:val="00780419"/>
    <w:rsid w:val="007805F2"/>
    <w:rsid w:val="00780DAB"/>
    <w:rsid w:val="00781E4F"/>
    <w:rsid w:val="007825FC"/>
    <w:rsid w:val="00782B58"/>
    <w:rsid w:val="0078309E"/>
    <w:rsid w:val="00783676"/>
    <w:rsid w:val="0078382E"/>
    <w:rsid w:val="00783B09"/>
    <w:rsid w:val="00784C64"/>
    <w:rsid w:val="00784FF2"/>
    <w:rsid w:val="00785082"/>
    <w:rsid w:val="007857FB"/>
    <w:rsid w:val="00785806"/>
    <w:rsid w:val="00785A39"/>
    <w:rsid w:val="00786128"/>
    <w:rsid w:val="0078623A"/>
    <w:rsid w:val="00786573"/>
    <w:rsid w:val="00786D12"/>
    <w:rsid w:val="00787413"/>
    <w:rsid w:val="007877B8"/>
    <w:rsid w:val="00787D3A"/>
    <w:rsid w:val="00787D55"/>
    <w:rsid w:val="00787E7B"/>
    <w:rsid w:val="00787EC8"/>
    <w:rsid w:val="00787F80"/>
    <w:rsid w:val="007900AF"/>
    <w:rsid w:val="00790269"/>
    <w:rsid w:val="007905EE"/>
    <w:rsid w:val="00790AC0"/>
    <w:rsid w:val="00790B29"/>
    <w:rsid w:val="00790CE6"/>
    <w:rsid w:val="00790F9C"/>
    <w:rsid w:val="00790FB5"/>
    <w:rsid w:val="00791264"/>
    <w:rsid w:val="00791738"/>
    <w:rsid w:val="00791C0A"/>
    <w:rsid w:val="00791CD5"/>
    <w:rsid w:val="00792351"/>
    <w:rsid w:val="00792978"/>
    <w:rsid w:val="00792C1A"/>
    <w:rsid w:val="00792D68"/>
    <w:rsid w:val="00793011"/>
    <w:rsid w:val="0079352D"/>
    <w:rsid w:val="007936F2"/>
    <w:rsid w:val="00793A34"/>
    <w:rsid w:val="00793E24"/>
    <w:rsid w:val="00793E99"/>
    <w:rsid w:val="00793ECE"/>
    <w:rsid w:val="00794221"/>
    <w:rsid w:val="007942AE"/>
    <w:rsid w:val="00795357"/>
    <w:rsid w:val="00795546"/>
    <w:rsid w:val="00795C0D"/>
    <w:rsid w:val="0079612D"/>
    <w:rsid w:val="007964EC"/>
    <w:rsid w:val="00796E08"/>
    <w:rsid w:val="00796E96"/>
    <w:rsid w:val="00797141"/>
    <w:rsid w:val="00797342"/>
    <w:rsid w:val="0079745C"/>
    <w:rsid w:val="00797913"/>
    <w:rsid w:val="007979B0"/>
    <w:rsid w:val="00797AF1"/>
    <w:rsid w:val="00797DC4"/>
    <w:rsid w:val="007A048C"/>
    <w:rsid w:val="007A08A0"/>
    <w:rsid w:val="007A0EB8"/>
    <w:rsid w:val="007A0FE5"/>
    <w:rsid w:val="007A154A"/>
    <w:rsid w:val="007A1707"/>
    <w:rsid w:val="007A1C6A"/>
    <w:rsid w:val="007A1EF6"/>
    <w:rsid w:val="007A216D"/>
    <w:rsid w:val="007A232A"/>
    <w:rsid w:val="007A264D"/>
    <w:rsid w:val="007A4583"/>
    <w:rsid w:val="007A4CC0"/>
    <w:rsid w:val="007A56CB"/>
    <w:rsid w:val="007A5AA0"/>
    <w:rsid w:val="007A5D5F"/>
    <w:rsid w:val="007A5FC2"/>
    <w:rsid w:val="007A6236"/>
    <w:rsid w:val="007A6C9C"/>
    <w:rsid w:val="007A7441"/>
    <w:rsid w:val="007B0718"/>
    <w:rsid w:val="007B07F7"/>
    <w:rsid w:val="007B0AA6"/>
    <w:rsid w:val="007B0BF7"/>
    <w:rsid w:val="007B0BFC"/>
    <w:rsid w:val="007B0D3A"/>
    <w:rsid w:val="007B0DB2"/>
    <w:rsid w:val="007B1583"/>
    <w:rsid w:val="007B19DB"/>
    <w:rsid w:val="007B1D72"/>
    <w:rsid w:val="007B2170"/>
    <w:rsid w:val="007B2794"/>
    <w:rsid w:val="007B33B8"/>
    <w:rsid w:val="007B35C2"/>
    <w:rsid w:val="007B42E6"/>
    <w:rsid w:val="007B44EB"/>
    <w:rsid w:val="007B4AB4"/>
    <w:rsid w:val="007B5436"/>
    <w:rsid w:val="007B54E6"/>
    <w:rsid w:val="007B5525"/>
    <w:rsid w:val="007B56F8"/>
    <w:rsid w:val="007B58DC"/>
    <w:rsid w:val="007B5B2B"/>
    <w:rsid w:val="007B5C8F"/>
    <w:rsid w:val="007B62A3"/>
    <w:rsid w:val="007B6438"/>
    <w:rsid w:val="007B6898"/>
    <w:rsid w:val="007B6DA8"/>
    <w:rsid w:val="007B6DFF"/>
    <w:rsid w:val="007B6FEA"/>
    <w:rsid w:val="007B7AFE"/>
    <w:rsid w:val="007B7DB9"/>
    <w:rsid w:val="007B7E06"/>
    <w:rsid w:val="007C00F4"/>
    <w:rsid w:val="007C0568"/>
    <w:rsid w:val="007C088D"/>
    <w:rsid w:val="007C0A28"/>
    <w:rsid w:val="007C134F"/>
    <w:rsid w:val="007C1D2C"/>
    <w:rsid w:val="007C1F10"/>
    <w:rsid w:val="007C238E"/>
    <w:rsid w:val="007C2445"/>
    <w:rsid w:val="007C3452"/>
    <w:rsid w:val="007C3BC4"/>
    <w:rsid w:val="007C3EA8"/>
    <w:rsid w:val="007C43F4"/>
    <w:rsid w:val="007C450B"/>
    <w:rsid w:val="007C45BC"/>
    <w:rsid w:val="007C48F4"/>
    <w:rsid w:val="007C4C6F"/>
    <w:rsid w:val="007C508E"/>
    <w:rsid w:val="007C54BD"/>
    <w:rsid w:val="007C5A2F"/>
    <w:rsid w:val="007C657F"/>
    <w:rsid w:val="007C6680"/>
    <w:rsid w:val="007C6747"/>
    <w:rsid w:val="007C6BD1"/>
    <w:rsid w:val="007C6CC4"/>
    <w:rsid w:val="007C70F4"/>
    <w:rsid w:val="007C71BF"/>
    <w:rsid w:val="007C7304"/>
    <w:rsid w:val="007C78CC"/>
    <w:rsid w:val="007D0075"/>
    <w:rsid w:val="007D123E"/>
    <w:rsid w:val="007D16EB"/>
    <w:rsid w:val="007D1C02"/>
    <w:rsid w:val="007D1DD2"/>
    <w:rsid w:val="007D2245"/>
    <w:rsid w:val="007D26A0"/>
    <w:rsid w:val="007D27D6"/>
    <w:rsid w:val="007D299B"/>
    <w:rsid w:val="007D2D02"/>
    <w:rsid w:val="007D313D"/>
    <w:rsid w:val="007D325C"/>
    <w:rsid w:val="007D3524"/>
    <w:rsid w:val="007D423C"/>
    <w:rsid w:val="007D4C54"/>
    <w:rsid w:val="007D4C6F"/>
    <w:rsid w:val="007D4EA6"/>
    <w:rsid w:val="007D5890"/>
    <w:rsid w:val="007D6025"/>
    <w:rsid w:val="007D6205"/>
    <w:rsid w:val="007D71F3"/>
    <w:rsid w:val="007D7CF2"/>
    <w:rsid w:val="007E0066"/>
    <w:rsid w:val="007E09D1"/>
    <w:rsid w:val="007E0D6A"/>
    <w:rsid w:val="007E13CC"/>
    <w:rsid w:val="007E17F6"/>
    <w:rsid w:val="007E1C9B"/>
    <w:rsid w:val="007E2081"/>
    <w:rsid w:val="007E2089"/>
    <w:rsid w:val="007E220E"/>
    <w:rsid w:val="007E23A7"/>
    <w:rsid w:val="007E2828"/>
    <w:rsid w:val="007E2DFF"/>
    <w:rsid w:val="007E2FBA"/>
    <w:rsid w:val="007E30D6"/>
    <w:rsid w:val="007E3716"/>
    <w:rsid w:val="007E375B"/>
    <w:rsid w:val="007E37D0"/>
    <w:rsid w:val="007E39EB"/>
    <w:rsid w:val="007E3BAF"/>
    <w:rsid w:val="007E3D20"/>
    <w:rsid w:val="007E44BA"/>
    <w:rsid w:val="007E44BD"/>
    <w:rsid w:val="007E4DD3"/>
    <w:rsid w:val="007E4F49"/>
    <w:rsid w:val="007E59A3"/>
    <w:rsid w:val="007E5AFA"/>
    <w:rsid w:val="007E61CA"/>
    <w:rsid w:val="007E66E6"/>
    <w:rsid w:val="007E6873"/>
    <w:rsid w:val="007E6996"/>
    <w:rsid w:val="007E6E6D"/>
    <w:rsid w:val="007E73B7"/>
    <w:rsid w:val="007E73FA"/>
    <w:rsid w:val="007E7B06"/>
    <w:rsid w:val="007F0175"/>
    <w:rsid w:val="007F042B"/>
    <w:rsid w:val="007F0609"/>
    <w:rsid w:val="007F0F76"/>
    <w:rsid w:val="007F13AB"/>
    <w:rsid w:val="007F16C6"/>
    <w:rsid w:val="007F1CF4"/>
    <w:rsid w:val="007F1D57"/>
    <w:rsid w:val="007F1DB8"/>
    <w:rsid w:val="007F2188"/>
    <w:rsid w:val="007F293F"/>
    <w:rsid w:val="007F2B22"/>
    <w:rsid w:val="007F33E0"/>
    <w:rsid w:val="007F33E9"/>
    <w:rsid w:val="007F38F5"/>
    <w:rsid w:val="007F3AAF"/>
    <w:rsid w:val="007F3AD5"/>
    <w:rsid w:val="007F4966"/>
    <w:rsid w:val="007F498A"/>
    <w:rsid w:val="007F5312"/>
    <w:rsid w:val="007F54E1"/>
    <w:rsid w:val="007F5CEB"/>
    <w:rsid w:val="007F64CE"/>
    <w:rsid w:val="007F6541"/>
    <w:rsid w:val="007F6A4D"/>
    <w:rsid w:val="007F6E49"/>
    <w:rsid w:val="007F7F2D"/>
    <w:rsid w:val="00800288"/>
    <w:rsid w:val="00801858"/>
    <w:rsid w:val="00801C18"/>
    <w:rsid w:val="00801EBE"/>
    <w:rsid w:val="00802472"/>
    <w:rsid w:val="008027B5"/>
    <w:rsid w:val="00802C4F"/>
    <w:rsid w:val="008033FE"/>
    <w:rsid w:val="008043EC"/>
    <w:rsid w:val="008045E4"/>
    <w:rsid w:val="008048FE"/>
    <w:rsid w:val="00804E44"/>
    <w:rsid w:val="00804F49"/>
    <w:rsid w:val="0080525C"/>
    <w:rsid w:val="00805777"/>
    <w:rsid w:val="00806127"/>
    <w:rsid w:val="008062A1"/>
    <w:rsid w:val="00806918"/>
    <w:rsid w:val="00806B04"/>
    <w:rsid w:val="00806B63"/>
    <w:rsid w:val="00807D4C"/>
    <w:rsid w:val="0081016A"/>
    <w:rsid w:val="0081018F"/>
    <w:rsid w:val="008108DD"/>
    <w:rsid w:val="00811C3F"/>
    <w:rsid w:val="00811C61"/>
    <w:rsid w:val="00811DB7"/>
    <w:rsid w:val="00812201"/>
    <w:rsid w:val="0081260F"/>
    <w:rsid w:val="00813198"/>
    <w:rsid w:val="008132FB"/>
    <w:rsid w:val="00813554"/>
    <w:rsid w:val="008136F3"/>
    <w:rsid w:val="00813E15"/>
    <w:rsid w:val="00814CE9"/>
    <w:rsid w:val="00815858"/>
    <w:rsid w:val="00815BB8"/>
    <w:rsid w:val="00815CAC"/>
    <w:rsid w:val="00815E26"/>
    <w:rsid w:val="00816489"/>
    <w:rsid w:val="008165F9"/>
    <w:rsid w:val="0081681C"/>
    <w:rsid w:val="00816E21"/>
    <w:rsid w:val="00817621"/>
    <w:rsid w:val="00820049"/>
    <w:rsid w:val="00820174"/>
    <w:rsid w:val="00820F46"/>
    <w:rsid w:val="0082102F"/>
    <w:rsid w:val="00821640"/>
    <w:rsid w:val="008217CF"/>
    <w:rsid w:val="00821A5C"/>
    <w:rsid w:val="00821D2F"/>
    <w:rsid w:val="00821E4A"/>
    <w:rsid w:val="00822158"/>
    <w:rsid w:val="008222C0"/>
    <w:rsid w:val="00822527"/>
    <w:rsid w:val="00822991"/>
    <w:rsid w:val="00822FDF"/>
    <w:rsid w:val="00822FFB"/>
    <w:rsid w:val="00823477"/>
    <w:rsid w:val="00823579"/>
    <w:rsid w:val="008238A6"/>
    <w:rsid w:val="00823DD1"/>
    <w:rsid w:val="00824BD9"/>
    <w:rsid w:val="0082634B"/>
    <w:rsid w:val="008269C4"/>
    <w:rsid w:val="00826E71"/>
    <w:rsid w:val="00826EDB"/>
    <w:rsid w:val="00827AF6"/>
    <w:rsid w:val="00827D37"/>
    <w:rsid w:val="00827DC4"/>
    <w:rsid w:val="00827ECD"/>
    <w:rsid w:val="00827F83"/>
    <w:rsid w:val="008306A7"/>
    <w:rsid w:val="0083101B"/>
    <w:rsid w:val="0083141D"/>
    <w:rsid w:val="00831639"/>
    <w:rsid w:val="00831A43"/>
    <w:rsid w:val="00831C9D"/>
    <w:rsid w:val="00831D6D"/>
    <w:rsid w:val="00832023"/>
    <w:rsid w:val="0083202D"/>
    <w:rsid w:val="008321AA"/>
    <w:rsid w:val="00832C5B"/>
    <w:rsid w:val="0083333A"/>
    <w:rsid w:val="00833488"/>
    <w:rsid w:val="008336F9"/>
    <w:rsid w:val="00833A67"/>
    <w:rsid w:val="00834AA9"/>
    <w:rsid w:val="0083505C"/>
    <w:rsid w:val="0083517F"/>
    <w:rsid w:val="0083565F"/>
    <w:rsid w:val="008356F0"/>
    <w:rsid w:val="008360DD"/>
    <w:rsid w:val="00836611"/>
    <w:rsid w:val="00836980"/>
    <w:rsid w:val="00836D10"/>
    <w:rsid w:val="00836DFB"/>
    <w:rsid w:val="008374D7"/>
    <w:rsid w:val="008374F8"/>
    <w:rsid w:val="00837709"/>
    <w:rsid w:val="00837C19"/>
    <w:rsid w:val="008400BF"/>
    <w:rsid w:val="00840514"/>
    <w:rsid w:val="0084091D"/>
    <w:rsid w:val="008409D0"/>
    <w:rsid w:val="00840B47"/>
    <w:rsid w:val="00840D4B"/>
    <w:rsid w:val="00841462"/>
    <w:rsid w:val="008414B6"/>
    <w:rsid w:val="008425B9"/>
    <w:rsid w:val="008429AF"/>
    <w:rsid w:val="00842A48"/>
    <w:rsid w:val="00842F53"/>
    <w:rsid w:val="00843756"/>
    <w:rsid w:val="00843DFC"/>
    <w:rsid w:val="00844061"/>
    <w:rsid w:val="00844161"/>
    <w:rsid w:val="008443A4"/>
    <w:rsid w:val="0084481A"/>
    <w:rsid w:val="00844A37"/>
    <w:rsid w:val="00844FDB"/>
    <w:rsid w:val="008454F0"/>
    <w:rsid w:val="00845532"/>
    <w:rsid w:val="00845DFE"/>
    <w:rsid w:val="00846352"/>
    <w:rsid w:val="0084692A"/>
    <w:rsid w:val="00846A33"/>
    <w:rsid w:val="00846AE3"/>
    <w:rsid w:val="00847333"/>
    <w:rsid w:val="00847EB6"/>
    <w:rsid w:val="00850E0E"/>
    <w:rsid w:val="008512F4"/>
    <w:rsid w:val="00851A93"/>
    <w:rsid w:val="00851C7B"/>
    <w:rsid w:val="00853CB7"/>
    <w:rsid w:val="00854016"/>
    <w:rsid w:val="00854315"/>
    <w:rsid w:val="00854622"/>
    <w:rsid w:val="0085470E"/>
    <w:rsid w:val="00854A60"/>
    <w:rsid w:val="00854E0A"/>
    <w:rsid w:val="008556A7"/>
    <w:rsid w:val="00855739"/>
    <w:rsid w:val="00855B84"/>
    <w:rsid w:val="00856268"/>
    <w:rsid w:val="0085669E"/>
    <w:rsid w:val="008568E5"/>
    <w:rsid w:val="00856B03"/>
    <w:rsid w:val="00856BCF"/>
    <w:rsid w:val="008570DB"/>
    <w:rsid w:val="0085757D"/>
    <w:rsid w:val="00860160"/>
    <w:rsid w:val="00860BE1"/>
    <w:rsid w:val="00861457"/>
    <w:rsid w:val="008614B6"/>
    <w:rsid w:val="00861938"/>
    <w:rsid w:val="0086252E"/>
    <w:rsid w:val="00863B52"/>
    <w:rsid w:val="008644B4"/>
    <w:rsid w:val="008644FE"/>
    <w:rsid w:val="008646B5"/>
    <w:rsid w:val="008648A0"/>
    <w:rsid w:val="0086492B"/>
    <w:rsid w:val="00864BA7"/>
    <w:rsid w:val="00864BED"/>
    <w:rsid w:val="00864CB4"/>
    <w:rsid w:val="00865BE4"/>
    <w:rsid w:val="00865D3E"/>
    <w:rsid w:val="0086668C"/>
    <w:rsid w:val="008666A0"/>
    <w:rsid w:val="00867D54"/>
    <w:rsid w:val="008702F8"/>
    <w:rsid w:val="008707C1"/>
    <w:rsid w:val="00870FD3"/>
    <w:rsid w:val="008711EC"/>
    <w:rsid w:val="00871397"/>
    <w:rsid w:val="008717BC"/>
    <w:rsid w:val="0087188F"/>
    <w:rsid w:val="00871898"/>
    <w:rsid w:val="00871B71"/>
    <w:rsid w:val="00871C6B"/>
    <w:rsid w:val="00872483"/>
    <w:rsid w:val="00872807"/>
    <w:rsid w:val="00872D65"/>
    <w:rsid w:val="008735C9"/>
    <w:rsid w:val="008737ED"/>
    <w:rsid w:val="0087391A"/>
    <w:rsid w:val="00873ADD"/>
    <w:rsid w:val="00873CDD"/>
    <w:rsid w:val="0087430C"/>
    <w:rsid w:val="008744C4"/>
    <w:rsid w:val="00874A2A"/>
    <w:rsid w:val="00874D11"/>
    <w:rsid w:val="00875161"/>
    <w:rsid w:val="00875380"/>
    <w:rsid w:val="00875569"/>
    <w:rsid w:val="00875934"/>
    <w:rsid w:val="00875AA3"/>
    <w:rsid w:val="00875C51"/>
    <w:rsid w:val="0087633C"/>
    <w:rsid w:val="00877713"/>
    <w:rsid w:val="00877FBA"/>
    <w:rsid w:val="0088039F"/>
    <w:rsid w:val="00880651"/>
    <w:rsid w:val="00880AFE"/>
    <w:rsid w:val="00880B81"/>
    <w:rsid w:val="00881344"/>
    <w:rsid w:val="00881431"/>
    <w:rsid w:val="00881DED"/>
    <w:rsid w:val="008820DB"/>
    <w:rsid w:val="0088254F"/>
    <w:rsid w:val="00882AE2"/>
    <w:rsid w:val="00882DD6"/>
    <w:rsid w:val="008836DA"/>
    <w:rsid w:val="00884150"/>
    <w:rsid w:val="008841A9"/>
    <w:rsid w:val="008841B7"/>
    <w:rsid w:val="00884491"/>
    <w:rsid w:val="008845CA"/>
    <w:rsid w:val="00884EB2"/>
    <w:rsid w:val="008852AD"/>
    <w:rsid w:val="008853D9"/>
    <w:rsid w:val="00885999"/>
    <w:rsid w:val="00885C2F"/>
    <w:rsid w:val="00886DDE"/>
    <w:rsid w:val="00886F4D"/>
    <w:rsid w:val="008874E5"/>
    <w:rsid w:val="0088759F"/>
    <w:rsid w:val="008877A1"/>
    <w:rsid w:val="00887EFA"/>
    <w:rsid w:val="0089087A"/>
    <w:rsid w:val="00890C25"/>
    <w:rsid w:val="00890D36"/>
    <w:rsid w:val="00891594"/>
    <w:rsid w:val="00891A8E"/>
    <w:rsid w:val="008921C2"/>
    <w:rsid w:val="008926AE"/>
    <w:rsid w:val="0089271C"/>
    <w:rsid w:val="00892B30"/>
    <w:rsid w:val="00892EBB"/>
    <w:rsid w:val="00893E4E"/>
    <w:rsid w:val="00893ECF"/>
    <w:rsid w:val="00893FB1"/>
    <w:rsid w:val="0089422F"/>
    <w:rsid w:val="00894350"/>
    <w:rsid w:val="00894658"/>
    <w:rsid w:val="0089557A"/>
    <w:rsid w:val="008957E3"/>
    <w:rsid w:val="00895F06"/>
    <w:rsid w:val="008965CF"/>
    <w:rsid w:val="00896824"/>
    <w:rsid w:val="00896C2E"/>
    <w:rsid w:val="0089719D"/>
    <w:rsid w:val="00897263"/>
    <w:rsid w:val="00897752"/>
    <w:rsid w:val="00897FD8"/>
    <w:rsid w:val="008A0395"/>
    <w:rsid w:val="008A05BD"/>
    <w:rsid w:val="008A0619"/>
    <w:rsid w:val="008A0948"/>
    <w:rsid w:val="008A0FAD"/>
    <w:rsid w:val="008A11A0"/>
    <w:rsid w:val="008A16EB"/>
    <w:rsid w:val="008A187F"/>
    <w:rsid w:val="008A1E15"/>
    <w:rsid w:val="008A29C7"/>
    <w:rsid w:val="008A3087"/>
    <w:rsid w:val="008A3D18"/>
    <w:rsid w:val="008A442C"/>
    <w:rsid w:val="008A4508"/>
    <w:rsid w:val="008A4731"/>
    <w:rsid w:val="008A47BD"/>
    <w:rsid w:val="008A4BFA"/>
    <w:rsid w:val="008A4C31"/>
    <w:rsid w:val="008A50B7"/>
    <w:rsid w:val="008A5268"/>
    <w:rsid w:val="008A551F"/>
    <w:rsid w:val="008A571D"/>
    <w:rsid w:val="008A6121"/>
    <w:rsid w:val="008A6303"/>
    <w:rsid w:val="008A66D7"/>
    <w:rsid w:val="008A6B3E"/>
    <w:rsid w:val="008A6B82"/>
    <w:rsid w:val="008A6BBD"/>
    <w:rsid w:val="008A6ED3"/>
    <w:rsid w:val="008A7800"/>
    <w:rsid w:val="008B03F9"/>
    <w:rsid w:val="008B0633"/>
    <w:rsid w:val="008B186C"/>
    <w:rsid w:val="008B1CC6"/>
    <w:rsid w:val="008B21D5"/>
    <w:rsid w:val="008B254F"/>
    <w:rsid w:val="008B283C"/>
    <w:rsid w:val="008B3450"/>
    <w:rsid w:val="008B3557"/>
    <w:rsid w:val="008B3987"/>
    <w:rsid w:val="008B3DB3"/>
    <w:rsid w:val="008B3E38"/>
    <w:rsid w:val="008B3F68"/>
    <w:rsid w:val="008B451C"/>
    <w:rsid w:val="008B4C35"/>
    <w:rsid w:val="008B54B6"/>
    <w:rsid w:val="008B56B9"/>
    <w:rsid w:val="008B58F0"/>
    <w:rsid w:val="008B62C4"/>
    <w:rsid w:val="008B67EB"/>
    <w:rsid w:val="008B6A4B"/>
    <w:rsid w:val="008B6D3D"/>
    <w:rsid w:val="008B6D50"/>
    <w:rsid w:val="008B761E"/>
    <w:rsid w:val="008C0599"/>
    <w:rsid w:val="008C0D20"/>
    <w:rsid w:val="008C1061"/>
    <w:rsid w:val="008C171A"/>
    <w:rsid w:val="008C180C"/>
    <w:rsid w:val="008C1CB2"/>
    <w:rsid w:val="008C2127"/>
    <w:rsid w:val="008C2CA5"/>
    <w:rsid w:val="008C2E3D"/>
    <w:rsid w:val="008C2F6F"/>
    <w:rsid w:val="008C3544"/>
    <w:rsid w:val="008C374C"/>
    <w:rsid w:val="008C3B7F"/>
    <w:rsid w:val="008C3F35"/>
    <w:rsid w:val="008C4B00"/>
    <w:rsid w:val="008C4C4E"/>
    <w:rsid w:val="008C4CB0"/>
    <w:rsid w:val="008C4FCD"/>
    <w:rsid w:val="008C5827"/>
    <w:rsid w:val="008C5865"/>
    <w:rsid w:val="008C5AA6"/>
    <w:rsid w:val="008C5FE0"/>
    <w:rsid w:val="008C675D"/>
    <w:rsid w:val="008C6981"/>
    <w:rsid w:val="008C6D8D"/>
    <w:rsid w:val="008C73EB"/>
    <w:rsid w:val="008C7641"/>
    <w:rsid w:val="008C769F"/>
    <w:rsid w:val="008C7C53"/>
    <w:rsid w:val="008D10CB"/>
    <w:rsid w:val="008D10E1"/>
    <w:rsid w:val="008D257E"/>
    <w:rsid w:val="008D2B91"/>
    <w:rsid w:val="008D300B"/>
    <w:rsid w:val="008D3083"/>
    <w:rsid w:val="008D3561"/>
    <w:rsid w:val="008D382A"/>
    <w:rsid w:val="008D39E9"/>
    <w:rsid w:val="008D3F4E"/>
    <w:rsid w:val="008D42C5"/>
    <w:rsid w:val="008D43C2"/>
    <w:rsid w:val="008D4552"/>
    <w:rsid w:val="008D504D"/>
    <w:rsid w:val="008D515E"/>
    <w:rsid w:val="008D52BE"/>
    <w:rsid w:val="008D531D"/>
    <w:rsid w:val="008D5628"/>
    <w:rsid w:val="008D5A9D"/>
    <w:rsid w:val="008D5E12"/>
    <w:rsid w:val="008D65B2"/>
    <w:rsid w:val="008D6A8B"/>
    <w:rsid w:val="008D6B07"/>
    <w:rsid w:val="008D7034"/>
    <w:rsid w:val="008D76DB"/>
    <w:rsid w:val="008D77EB"/>
    <w:rsid w:val="008D7EBF"/>
    <w:rsid w:val="008D7F2A"/>
    <w:rsid w:val="008E0BEB"/>
    <w:rsid w:val="008E1C25"/>
    <w:rsid w:val="008E2120"/>
    <w:rsid w:val="008E2292"/>
    <w:rsid w:val="008E327C"/>
    <w:rsid w:val="008E3AF9"/>
    <w:rsid w:val="008E3D0A"/>
    <w:rsid w:val="008E4155"/>
    <w:rsid w:val="008E418D"/>
    <w:rsid w:val="008E43F8"/>
    <w:rsid w:val="008E4B88"/>
    <w:rsid w:val="008E4D18"/>
    <w:rsid w:val="008E502F"/>
    <w:rsid w:val="008E55DB"/>
    <w:rsid w:val="008E586F"/>
    <w:rsid w:val="008E59C1"/>
    <w:rsid w:val="008E5ED0"/>
    <w:rsid w:val="008E6041"/>
    <w:rsid w:val="008E6214"/>
    <w:rsid w:val="008E6475"/>
    <w:rsid w:val="008E7E14"/>
    <w:rsid w:val="008F07E1"/>
    <w:rsid w:val="008F0857"/>
    <w:rsid w:val="008F0C47"/>
    <w:rsid w:val="008F116A"/>
    <w:rsid w:val="008F1250"/>
    <w:rsid w:val="008F1298"/>
    <w:rsid w:val="008F1F1B"/>
    <w:rsid w:val="008F215E"/>
    <w:rsid w:val="008F24A9"/>
    <w:rsid w:val="008F26E9"/>
    <w:rsid w:val="008F2AD0"/>
    <w:rsid w:val="008F3E99"/>
    <w:rsid w:val="008F41A0"/>
    <w:rsid w:val="008F5179"/>
    <w:rsid w:val="008F564E"/>
    <w:rsid w:val="008F5926"/>
    <w:rsid w:val="008F5955"/>
    <w:rsid w:val="008F5A13"/>
    <w:rsid w:val="008F6491"/>
    <w:rsid w:val="008F6511"/>
    <w:rsid w:val="008F676E"/>
    <w:rsid w:val="008F6F11"/>
    <w:rsid w:val="008F713E"/>
    <w:rsid w:val="008F78A1"/>
    <w:rsid w:val="009001E3"/>
    <w:rsid w:val="00900978"/>
    <w:rsid w:val="009009B5"/>
    <w:rsid w:val="00900C4C"/>
    <w:rsid w:val="00900EBE"/>
    <w:rsid w:val="00900EF9"/>
    <w:rsid w:val="00901400"/>
    <w:rsid w:val="009018FC"/>
    <w:rsid w:val="00901C39"/>
    <w:rsid w:val="00901C50"/>
    <w:rsid w:val="00901FD4"/>
    <w:rsid w:val="00901FF8"/>
    <w:rsid w:val="009021AE"/>
    <w:rsid w:val="009027C8"/>
    <w:rsid w:val="00903D7F"/>
    <w:rsid w:val="00903DFD"/>
    <w:rsid w:val="009041A6"/>
    <w:rsid w:val="009054F6"/>
    <w:rsid w:val="00905B60"/>
    <w:rsid w:val="00906CEF"/>
    <w:rsid w:val="0091012E"/>
    <w:rsid w:val="009105BC"/>
    <w:rsid w:val="0091063D"/>
    <w:rsid w:val="009108F4"/>
    <w:rsid w:val="00910C9D"/>
    <w:rsid w:val="009119AF"/>
    <w:rsid w:val="00912A97"/>
    <w:rsid w:val="00912BFA"/>
    <w:rsid w:val="00913148"/>
    <w:rsid w:val="009132B9"/>
    <w:rsid w:val="00913B6B"/>
    <w:rsid w:val="00913E4F"/>
    <w:rsid w:val="00913F78"/>
    <w:rsid w:val="009145B0"/>
    <w:rsid w:val="00914E2F"/>
    <w:rsid w:val="00914ED5"/>
    <w:rsid w:val="009152C3"/>
    <w:rsid w:val="00915F8C"/>
    <w:rsid w:val="00916466"/>
    <w:rsid w:val="009165D2"/>
    <w:rsid w:val="009168C3"/>
    <w:rsid w:val="00917298"/>
    <w:rsid w:val="00917DD1"/>
    <w:rsid w:val="00920BB1"/>
    <w:rsid w:val="00920CA9"/>
    <w:rsid w:val="00920D0D"/>
    <w:rsid w:val="0092121F"/>
    <w:rsid w:val="00921243"/>
    <w:rsid w:val="009216A1"/>
    <w:rsid w:val="0092171C"/>
    <w:rsid w:val="00921D67"/>
    <w:rsid w:val="00922C51"/>
    <w:rsid w:val="00922D45"/>
    <w:rsid w:val="00923159"/>
    <w:rsid w:val="00923365"/>
    <w:rsid w:val="00923415"/>
    <w:rsid w:val="009235BD"/>
    <w:rsid w:val="00924492"/>
    <w:rsid w:val="0092519D"/>
    <w:rsid w:val="00925C04"/>
    <w:rsid w:val="00926176"/>
    <w:rsid w:val="0092621F"/>
    <w:rsid w:val="00926550"/>
    <w:rsid w:val="00926554"/>
    <w:rsid w:val="00926771"/>
    <w:rsid w:val="00926F5F"/>
    <w:rsid w:val="00927A7C"/>
    <w:rsid w:val="00927AD1"/>
    <w:rsid w:val="00927BF3"/>
    <w:rsid w:val="00927ED1"/>
    <w:rsid w:val="00930620"/>
    <w:rsid w:val="009307F2"/>
    <w:rsid w:val="00930C58"/>
    <w:rsid w:val="00931F59"/>
    <w:rsid w:val="009329E7"/>
    <w:rsid w:val="00933054"/>
    <w:rsid w:val="00933149"/>
    <w:rsid w:val="0093393C"/>
    <w:rsid w:val="00933BCA"/>
    <w:rsid w:val="00934376"/>
    <w:rsid w:val="00934674"/>
    <w:rsid w:val="009349F7"/>
    <w:rsid w:val="009355A8"/>
    <w:rsid w:val="00935EFA"/>
    <w:rsid w:val="009364DD"/>
    <w:rsid w:val="00936C7C"/>
    <w:rsid w:val="009373EB"/>
    <w:rsid w:val="00937B29"/>
    <w:rsid w:val="00937B3A"/>
    <w:rsid w:val="00937DB9"/>
    <w:rsid w:val="00937DDE"/>
    <w:rsid w:val="00940434"/>
    <w:rsid w:val="00940499"/>
    <w:rsid w:val="0094085C"/>
    <w:rsid w:val="00940D82"/>
    <w:rsid w:val="00940F0E"/>
    <w:rsid w:val="00941202"/>
    <w:rsid w:val="00941329"/>
    <w:rsid w:val="0094182E"/>
    <w:rsid w:val="00942502"/>
    <w:rsid w:val="00942589"/>
    <w:rsid w:val="0094282C"/>
    <w:rsid w:val="009429F0"/>
    <w:rsid w:val="00942C54"/>
    <w:rsid w:val="009430D8"/>
    <w:rsid w:val="009430E6"/>
    <w:rsid w:val="0094339D"/>
    <w:rsid w:val="00943D90"/>
    <w:rsid w:val="00943F52"/>
    <w:rsid w:val="00944EBA"/>
    <w:rsid w:val="009452C0"/>
    <w:rsid w:val="00945438"/>
    <w:rsid w:val="009455EB"/>
    <w:rsid w:val="00945756"/>
    <w:rsid w:val="00945A90"/>
    <w:rsid w:val="009461B7"/>
    <w:rsid w:val="009468D8"/>
    <w:rsid w:val="00946C8A"/>
    <w:rsid w:val="00946EF8"/>
    <w:rsid w:val="0094719C"/>
    <w:rsid w:val="0094753A"/>
    <w:rsid w:val="00947723"/>
    <w:rsid w:val="0095017A"/>
    <w:rsid w:val="00950514"/>
    <w:rsid w:val="0095089C"/>
    <w:rsid w:val="00950BAA"/>
    <w:rsid w:val="009511F9"/>
    <w:rsid w:val="0095197D"/>
    <w:rsid w:val="00951E8F"/>
    <w:rsid w:val="00951EC3"/>
    <w:rsid w:val="00951F6D"/>
    <w:rsid w:val="00952201"/>
    <w:rsid w:val="00952E8E"/>
    <w:rsid w:val="009537D3"/>
    <w:rsid w:val="0095412C"/>
    <w:rsid w:val="0095461A"/>
    <w:rsid w:val="0095464D"/>
    <w:rsid w:val="0095477A"/>
    <w:rsid w:val="00954B4A"/>
    <w:rsid w:val="00954BAC"/>
    <w:rsid w:val="00954EBA"/>
    <w:rsid w:val="00955461"/>
    <w:rsid w:val="00955647"/>
    <w:rsid w:val="00955831"/>
    <w:rsid w:val="00956198"/>
    <w:rsid w:val="00956611"/>
    <w:rsid w:val="00956776"/>
    <w:rsid w:val="009567C9"/>
    <w:rsid w:val="00956AAB"/>
    <w:rsid w:val="009571EE"/>
    <w:rsid w:val="009604F9"/>
    <w:rsid w:val="00960C16"/>
    <w:rsid w:val="009610F0"/>
    <w:rsid w:val="009618A3"/>
    <w:rsid w:val="00961ADB"/>
    <w:rsid w:val="00961F24"/>
    <w:rsid w:val="00962E89"/>
    <w:rsid w:val="00962F7F"/>
    <w:rsid w:val="00962FAC"/>
    <w:rsid w:val="00963106"/>
    <w:rsid w:val="0096391E"/>
    <w:rsid w:val="00963B1D"/>
    <w:rsid w:val="00963E70"/>
    <w:rsid w:val="009642D6"/>
    <w:rsid w:val="009644FD"/>
    <w:rsid w:val="00964DB7"/>
    <w:rsid w:val="00964E0E"/>
    <w:rsid w:val="00964E3C"/>
    <w:rsid w:val="00964FAE"/>
    <w:rsid w:val="00964FEF"/>
    <w:rsid w:val="00965370"/>
    <w:rsid w:val="009662C2"/>
    <w:rsid w:val="00966C30"/>
    <w:rsid w:val="00966FB6"/>
    <w:rsid w:val="0096719B"/>
    <w:rsid w:val="00967618"/>
    <w:rsid w:val="00967EE0"/>
    <w:rsid w:val="009709B7"/>
    <w:rsid w:val="00970CF9"/>
    <w:rsid w:val="009717C1"/>
    <w:rsid w:val="00971BB4"/>
    <w:rsid w:val="00971CCD"/>
    <w:rsid w:val="00971F11"/>
    <w:rsid w:val="009720BA"/>
    <w:rsid w:val="0097273D"/>
    <w:rsid w:val="00972748"/>
    <w:rsid w:val="00972E33"/>
    <w:rsid w:val="0097339C"/>
    <w:rsid w:val="0097363C"/>
    <w:rsid w:val="00973A30"/>
    <w:rsid w:val="00973AE6"/>
    <w:rsid w:val="00973E73"/>
    <w:rsid w:val="00974300"/>
    <w:rsid w:val="0097494C"/>
    <w:rsid w:val="00974B85"/>
    <w:rsid w:val="00975782"/>
    <w:rsid w:val="00975F8B"/>
    <w:rsid w:val="009765C9"/>
    <w:rsid w:val="0097692E"/>
    <w:rsid w:val="00976C90"/>
    <w:rsid w:val="009772FA"/>
    <w:rsid w:val="00977BA4"/>
    <w:rsid w:val="00982677"/>
    <w:rsid w:val="0098275E"/>
    <w:rsid w:val="00982E60"/>
    <w:rsid w:val="00982EF6"/>
    <w:rsid w:val="00983B74"/>
    <w:rsid w:val="009842EE"/>
    <w:rsid w:val="0098453E"/>
    <w:rsid w:val="00984C5E"/>
    <w:rsid w:val="009858A8"/>
    <w:rsid w:val="00985D83"/>
    <w:rsid w:val="00985D8D"/>
    <w:rsid w:val="0098607B"/>
    <w:rsid w:val="009865B5"/>
    <w:rsid w:val="00986E10"/>
    <w:rsid w:val="00986F8C"/>
    <w:rsid w:val="00987314"/>
    <w:rsid w:val="00987780"/>
    <w:rsid w:val="00987C56"/>
    <w:rsid w:val="00987D0F"/>
    <w:rsid w:val="00990420"/>
    <w:rsid w:val="009906D5"/>
    <w:rsid w:val="009906FB"/>
    <w:rsid w:val="0099080B"/>
    <w:rsid w:val="00990878"/>
    <w:rsid w:val="00990925"/>
    <w:rsid w:val="00990C9F"/>
    <w:rsid w:val="00990DEE"/>
    <w:rsid w:val="0099132B"/>
    <w:rsid w:val="0099142D"/>
    <w:rsid w:val="009915D2"/>
    <w:rsid w:val="009916F5"/>
    <w:rsid w:val="0099206D"/>
    <w:rsid w:val="009921AC"/>
    <w:rsid w:val="0099285B"/>
    <w:rsid w:val="00992CE5"/>
    <w:rsid w:val="00992EA7"/>
    <w:rsid w:val="00992F8E"/>
    <w:rsid w:val="009930B9"/>
    <w:rsid w:val="00993328"/>
    <w:rsid w:val="00993C8B"/>
    <w:rsid w:val="00993E31"/>
    <w:rsid w:val="00993E61"/>
    <w:rsid w:val="00994309"/>
    <w:rsid w:val="00994516"/>
    <w:rsid w:val="00994E34"/>
    <w:rsid w:val="00994FA8"/>
    <w:rsid w:val="0099508F"/>
    <w:rsid w:val="00995278"/>
    <w:rsid w:val="00995360"/>
    <w:rsid w:val="00995408"/>
    <w:rsid w:val="00995525"/>
    <w:rsid w:val="00995F39"/>
    <w:rsid w:val="00996239"/>
    <w:rsid w:val="00996295"/>
    <w:rsid w:val="0099641E"/>
    <w:rsid w:val="00996D57"/>
    <w:rsid w:val="00996F96"/>
    <w:rsid w:val="00997415"/>
    <w:rsid w:val="009977F2"/>
    <w:rsid w:val="00997837"/>
    <w:rsid w:val="00997FA5"/>
    <w:rsid w:val="009A0DF2"/>
    <w:rsid w:val="009A184D"/>
    <w:rsid w:val="009A1F1C"/>
    <w:rsid w:val="009A1FC7"/>
    <w:rsid w:val="009A2433"/>
    <w:rsid w:val="009A2457"/>
    <w:rsid w:val="009A2621"/>
    <w:rsid w:val="009A2AF8"/>
    <w:rsid w:val="009A347E"/>
    <w:rsid w:val="009A3951"/>
    <w:rsid w:val="009A3E55"/>
    <w:rsid w:val="009A4379"/>
    <w:rsid w:val="009A44F9"/>
    <w:rsid w:val="009A4BAE"/>
    <w:rsid w:val="009A4E1C"/>
    <w:rsid w:val="009A4F10"/>
    <w:rsid w:val="009A5735"/>
    <w:rsid w:val="009A5E03"/>
    <w:rsid w:val="009A6119"/>
    <w:rsid w:val="009A6550"/>
    <w:rsid w:val="009A6693"/>
    <w:rsid w:val="009A6BD8"/>
    <w:rsid w:val="009A7307"/>
    <w:rsid w:val="009A7596"/>
    <w:rsid w:val="009B04EE"/>
    <w:rsid w:val="009B0728"/>
    <w:rsid w:val="009B0E23"/>
    <w:rsid w:val="009B0E7A"/>
    <w:rsid w:val="009B16EC"/>
    <w:rsid w:val="009B17EE"/>
    <w:rsid w:val="009B194B"/>
    <w:rsid w:val="009B1A21"/>
    <w:rsid w:val="009B1BF6"/>
    <w:rsid w:val="009B1C98"/>
    <w:rsid w:val="009B1E4C"/>
    <w:rsid w:val="009B2270"/>
    <w:rsid w:val="009B23C6"/>
    <w:rsid w:val="009B23D3"/>
    <w:rsid w:val="009B2E77"/>
    <w:rsid w:val="009B327C"/>
    <w:rsid w:val="009B328D"/>
    <w:rsid w:val="009B372F"/>
    <w:rsid w:val="009B3740"/>
    <w:rsid w:val="009B44C3"/>
    <w:rsid w:val="009B457B"/>
    <w:rsid w:val="009B4840"/>
    <w:rsid w:val="009B4888"/>
    <w:rsid w:val="009B5106"/>
    <w:rsid w:val="009B53F5"/>
    <w:rsid w:val="009B54EB"/>
    <w:rsid w:val="009B5910"/>
    <w:rsid w:val="009B628D"/>
    <w:rsid w:val="009B679C"/>
    <w:rsid w:val="009B73B2"/>
    <w:rsid w:val="009B79B7"/>
    <w:rsid w:val="009C01BD"/>
    <w:rsid w:val="009C0845"/>
    <w:rsid w:val="009C0C7B"/>
    <w:rsid w:val="009C0E17"/>
    <w:rsid w:val="009C21C6"/>
    <w:rsid w:val="009C22E5"/>
    <w:rsid w:val="009C25AE"/>
    <w:rsid w:val="009C2C86"/>
    <w:rsid w:val="009C2D3E"/>
    <w:rsid w:val="009C2E8F"/>
    <w:rsid w:val="009C300B"/>
    <w:rsid w:val="009C31F1"/>
    <w:rsid w:val="009C3379"/>
    <w:rsid w:val="009C36A7"/>
    <w:rsid w:val="009C3B73"/>
    <w:rsid w:val="009C437E"/>
    <w:rsid w:val="009C4506"/>
    <w:rsid w:val="009C4508"/>
    <w:rsid w:val="009C4630"/>
    <w:rsid w:val="009C4670"/>
    <w:rsid w:val="009C538E"/>
    <w:rsid w:val="009C5783"/>
    <w:rsid w:val="009C5796"/>
    <w:rsid w:val="009C59F7"/>
    <w:rsid w:val="009C67EF"/>
    <w:rsid w:val="009C7571"/>
    <w:rsid w:val="009C7845"/>
    <w:rsid w:val="009D06D3"/>
    <w:rsid w:val="009D0DBD"/>
    <w:rsid w:val="009D0DD3"/>
    <w:rsid w:val="009D1108"/>
    <w:rsid w:val="009D1580"/>
    <w:rsid w:val="009D1766"/>
    <w:rsid w:val="009D1831"/>
    <w:rsid w:val="009D1838"/>
    <w:rsid w:val="009D21DE"/>
    <w:rsid w:val="009D25B1"/>
    <w:rsid w:val="009D2A44"/>
    <w:rsid w:val="009D3489"/>
    <w:rsid w:val="009D3AFC"/>
    <w:rsid w:val="009D42CE"/>
    <w:rsid w:val="009D435D"/>
    <w:rsid w:val="009D45B4"/>
    <w:rsid w:val="009D4DD7"/>
    <w:rsid w:val="009D4F64"/>
    <w:rsid w:val="009D536D"/>
    <w:rsid w:val="009D544C"/>
    <w:rsid w:val="009D6E6D"/>
    <w:rsid w:val="009D76A0"/>
    <w:rsid w:val="009D7A07"/>
    <w:rsid w:val="009E00A1"/>
    <w:rsid w:val="009E10E7"/>
    <w:rsid w:val="009E10FC"/>
    <w:rsid w:val="009E1849"/>
    <w:rsid w:val="009E25CE"/>
    <w:rsid w:val="009E29AD"/>
    <w:rsid w:val="009E2A44"/>
    <w:rsid w:val="009E2D2E"/>
    <w:rsid w:val="009E304E"/>
    <w:rsid w:val="009E3429"/>
    <w:rsid w:val="009E3788"/>
    <w:rsid w:val="009E3C47"/>
    <w:rsid w:val="009E3EDC"/>
    <w:rsid w:val="009E406D"/>
    <w:rsid w:val="009E45FF"/>
    <w:rsid w:val="009E4F11"/>
    <w:rsid w:val="009E5D79"/>
    <w:rsid w:val="009E61F5"/>
    <w:rsid w:val="009E70B4"/>
    <w:rsid w:val="009E7267"/>
    <w:rsid w:val="009E7CF6"/>
    <w:rsid w:val="009E7FEC"/>
    <w:rsid w:val="009F054C"/>
    <w:rsid w:val="009F15D4"/>
    <w:rsid w:val="009F1F3A"/>
    <w:rsid w:val="009F22BF"/>
    <w:rsid w:val="009F2C5D"/>
    <w:rsid w:val="009F2D46"/>
    <w:rsid w:val="009F37F9"/>
    <w:rsid w:val="009F395C"/>
    <w:rsid w:val="009F3F7C"/>
    <w:rsid w:val="009F43EC"/>
    <w:rsid w:val="009F442B"/>
    <w:rsid w:val="009F44EA"/>
    <w:rsid w:val="009F4A94"/>
    <w:rsid w:val="009F4D34"/>
    <w:rsid w:val="009F4FF5"/>
    <w:rsid w:val="009F52AD"/>
    <w:rsid w:val="009F56C3"/>
    <w:rsid w:val="009F5B18"/>
    <w:rsid w:val="009F5DC3"/>
    <w:rsid w:val="009F6474"/>
    <w:rsid w:val="009F648A"/>
    <w:rsid w:val="009F670F"/>
    <w:rsid w:val="009F758E"/>
    <w:rsid w:val="009F75AD"/>
    <w:rsid w:val="009F768D"/>
    <w:rsid w:val="009F7768"/>
    <w:rsid w:val="009F786F"/>
    <w:rsid w:val="009F7FE2"/>
    <w:rsid w:val="00A0085C"/>
    <w:rsid w:val="00A0087E"/>
    <w:rsid w:val="00A00C9D"/>
    <w:rsid w:val="00A00CDB"/>
    <w:rsid w:val="00A00DF8"/>
    <w:rsid w:val="00A0104B"/>
    <w:rsid w:val="00A012E9"/>
    <w:rsid w:val="00A01ED5"/>
    <w:rsid w:val="00A0235B"/>
    <w:rsid w:val="00A0278B"/>
    <w:rsid w:val="00A02AFB"/>
    <w:rsid w:val="00A02E14"/>
    <w:rsid w:val="00A02FB2"/>
    <w:rsid w:val="00A03203"/>
    <w:rsid w:val="00A03871"/>
    <w:rsid w:val="00A039D2"/>
    <w:rsid w:val="00A040A8"/>
    <w:rsid w:val="00A043B9"/>
    <w:rsid w:val="00A046CE"/>
    <w:rsid w:val="00A04B53"/>
    <w:rsid w:val="00A07207"/>
    <w:rsid w:val="00A07F96"/>
    <w:rsid w:val="00A10797"/>
    <w:rsid w:val="00A10A96"/>
    <w:rsid w:val="00A10F43"/>
    <w:rsid w:val="00A11000"/>
    <w:rsid w:val="00A1116A"/>
    <w:rsid w:val="00A11215"/>
    <w:rsid w:val="00A113FD"/>
    <w:rsid w:val="00A11D16"/>
    <w:rsid w:val="00A11E83"/>
    <w:rsid w:val="00A11EA1"/>
    <w:rsid w:val="00A12915"/>
    <w:rsid w:val="00A12C75"/>
    <w:rsid w:val="00A133D2"/>
    <w:rsid w:val="00A137EC"/>
    <w:rsid w:val="00A137ED"/>
    <w:rsid w:val="00A13BD8"/>
    <w:rsid w:val="00A13BE8"/>
    <w:rsid w:val="00A143E5"/>
    <w:rsid w:val="00A14405"/>
    <w:rsid w:val="00A14895"/>
    <w:rsid w:val="00A14B2F"/>
    <w:rsid w:val="00A15242"/>
    <w:rsid w:val="00A15A4B"/>
    <w:rsid w:val="00A15CC7"/>
    <w:rsid w:val="00A15E5F"/>
    <w:rsid w:val="00A16263"/>
    <w:rsid w:val="00A16747"/>
    <w:rsid w:val="00A16B69"/>
    <w:rsid w:val="00A16E2F"/>
    <w:rsid w:val="00A17214"/>
    <w:rsid w:val="00A1752D"/>
    <w:rsid w:val="00A1791A"/>
    <w:rsid w:val="00A17C20"/>
    <w:rsid w:val="00A20900"/>
    <w:rsid w:val="00A20BC0"/>
    <w:rsid w:val="00A21A4F"/>
    <w:rsid w:val="00A22093"/>
    <w:rsid w:val="00A2312C"/>
    <w:rsid w:val="00A2335B"/>
    <w:rsid w:val="00A234B3"/>
    <w:rsid w:val="00A23517"/>
    <w:rsid w:val="00A245B3"/>
    <w:rsid w:val="00A24CFF"/>
    <w:rsid w:val="00A25390"/>
    <w:rsid w:val="00A25CCD"/>
    <w:rsid w:val="00A26871"/>
    <w:rsid w:val="00A26F6C"/>
    <w:rsid w:val="00A27F29"/>
    <w:rsid w:val="00A3006B"/>
    <w:rsid w:val="00A30589"/>
    <w:rsid w:val="00A3091A"/>
    <w:rsid w:val="00A31C63"/>
    <w:rsid w:val="00A324EC"/>
    <w:rsid w:val="00A3260D"/>
    <w:rsid w:val="00A32864"/>
    <w:rsid w:val="00A33203"/>
    <w:rsid w:val="00A33512"/>
    <w:rsid w:val="00A3374D"/>
    <w:rsid w:val="00A33E12"/>
    <w:rsid w:val="00A33E18"/>
    <w:rsid w:val="00A3400E"/>
    <w:rsid w:val="00A343DE"/>
    <w:rsid w:val="00A34494"/>
    <w:rsid w:val="00A348D2"/>
    <w:rsid w:val="00A354D5"/>
    <w:rsid w:val="00A35A72"/>
    <w:rsid w:val="00A35D1E"/>
    <w:rsid w:val="00A35F2A"/>
    <w:rsid w:val="00A36212"/>
    <w:rsid w:val="00A3628C"/>
    <w:rsid w:val="00A363D4"/>
    <w:rsid w:val="00A36602"/>
    <w:rsid w:val="00A3693B"/>
    <w:rsid w:val="00A36EB1"/>
    <w:rsid w:val="00A372B4"/>
    <w:rsid w:val="00A373E7"/>
    <w:rsid w:val="00A37493"/>
    <w:rsid w:val="00A37599"/>
    <w:rsid w:val="00A3791E"/>
    <w:rsid w:val="00A40002"/>
    <w:rsid w:val="00A401C3"/>
    <w:rsid w:val="00A4034A"/>
    <w:rsid w:val="00A40582"/>
    <w:rsid w:val="00A4058B"/>
    <w:rsid w:val="00A40734"/>
    <w:rsid w:val="00A40FA4"/>
    <w:rsid w:val="00A4107D"/>
    <w:rsid w:val="00A41AD4"/>
    <w:rsid w:val="00A41D80"/>
    <w:rsid w:val="00A4247F"/>
    <w:rsid w:val="00A42C90"/>
    <w:rsid w:val="00A42E4E"/>
    <w:rsid w:val="00A4341A"/>
    <w:rsid w:val="00A43460"/>
    <w:rsid w:val="00A4359B"/>
    <w:rsid w:val="00A4369D"/>
    <w:rsid w:val="00A43E96"/>
    <w:rsid w:val="00A43FBA"/>
    <w:rsid w:val="00A4415D"/>
    <w:rsid w:val="00A447F8"/>
    <w:rsid w:val="00A44D8F"/>
    <w:rsid w:val="00A457AC"/>
    <w:rsid w:val="00A457DD"/>
    <w:rsid w:val="00A46418"/>
    <w:rsid w:val="00A465F9"/>
    <w:rsid w:val="00A466F3"/>
    <w:rsid w:val="00A46CC4"/>
    <w:rsid w:val="00A46D79"/>
    <w:rsid w:val="00A46EB5"/>
    <w:rsid w:val="00A4706E"/>
    <w:rsid w:val="00A471ED"/>
    <w:rsid w:val="00A47F23"/>
    <w:rsid w:val="00A504CB"/>
    <w:rsid w:val="00A5074E"/>
    <w:rsid w:val="00A5099F"/>
    <w:rsid w:val="00A50A6A"/>
    <w:rsid w:val="00A51885"/>
    <w:rsid w:val="00A528F1"/>
    <w:rsid w:val="00A5306B"/>
    <w:rsid w:val="00A533E0"/>
    <w:rsid w:val="00A53598"/>
    <w:rsid w:val="00A53A6A"/>
    <w:rsid w:val="00A53D80"/>
    <w:rsid w:val="00A54219"/>
    <w:rsid w:val="00A54979"/>
    <w:rsid w:val="00A5515B"/>
    <w:rsid w:val="00A555ED"/>
    <w:rsid w:val="00A5593A"/>
    <w:rsid w:val="00A55BE9"/>
    <w:rsid w:val="00A55C69"/>
    <w:rsid w:val="00A55E44"/>
    <w:rsid w:val="00A56270"/>
    <w:rsid w:val="00A56930"/>
    <w:rsid w:val="00A56A7A"/>
    <w:rsid w:val="00A5761E"/>
    <w:rsid w:val="00A57D6F"/>
    <w:rsid w:val="00A57E7A"/>
    <w:rsid w:val="00A60217"/>
    <w:rsid w:val="00A6057A"/>
    <w:rsid w:val="00A60C25"/>
    <w:rsid w:val="00A60E7A"/>
    <w:rsid w:val="00A61719"/>
    <w:rsid w:val="00A61CAD"/>
    <w:rsid w:val="00A61F6A"/>
    <w:rsid w:val="00A61FD0"/>
    <w:rsid w:val="00A620DB"/>
    <w:rsid w:val="00A62CA9"/>
    <w:rsid w:val="00A630B5"/>
    <w:rsid w:val="00A63174"/>
    <w:rsid w:val="00A638AA"/>
    <w:rsid w:val="00A63A0B"/>
    <w:rsid w:val="00A63C8E"/>
    <w:rsid w:val="00A63CF8"/>
    <w:rsid w:val="00A6435F"/>
    <w:rsid w:val="00A64EF5"/>
    <w:rsid w:val="00A650F5"/>
    <w:rsid w:val="00A65574"/>
    <w:rsid w:val="00A65622"/>
    <w:rsid w:val="00A65858"/>
    <w:rsid w:val="00A65890"/>
    <w:rsid w:val="00A65928"/>
    <w:rsid w:val="00A65ABB"/>
    <w:rsid w:val="00A65BBC"/>
    <w:rsid w:val="00A660C6"/>
    <w:rsid w:val="00A6621F"/>
    <w:rsid w:val="00A6680F"/>
    <w:rsid w:val="00A668AB"/>
    <w:rsid w:val="00A66BA4"/>
    <w:rsid w:val="00A66DBF"/>
    <w:rsid w:val="00A67D86"/>
    <w:rsid w:val="00A7012C"/>
    <w:rsid w:val="00A701AF"/>
    <w:rsid w:val="00A701CE"/>
    <w:rsid w:val="00A7083C"/>
    <w:rsid w:val="00A70E4A"/>
    <w:rsid w:val="00A714B9"/>
    <w:rsid w:val="00A71624"/>
    <w:rsid w:val="00A717F5"/>
    <w:rsid w:val="00A71BFE"/>
    <w:rsid w:val="00A71CFB"/>
    <w:rsid w:val="00A720CD"/>
    <w:rsid w:val="00A7278A"/>
    <w:rsid w:val="00A72A7F"/>
    <w:rsid w:val="00A731FB"/>
    <w:rsid w:val="00A73B9E"/>
    <w:rsid w:val="00A73C2B"/>
    <w:rsid w:val="00A73C56"/>
    <w:rsid w:val="00A7403F"/>
    <w:rsid w:val="00A742DD"/>
    <w:rsid w:val="00A7471E"/>
    <w:rsid w:val="00A7489A"/>
    <w:rsid w:val="00A750ED"/>
    <w:rsid w:val="00A75F5E"/>
    <w:rsid w:val="00A75F7E"/>
    <w:rsid w:val="00A75FF7"/>
    <w:rsid w:val="00A7698E"/>
    <w:rsid w:val="00A76D03"/>
    <w:rsid w:val="00A771FC"/>
    <w:rsid w:val="00A778B1"/>
    <w:rsid w:val="00A778B5"/>
    <w:rsid w:val="00A802FE"/>
    <w:rsid w:val="00A803F1"/>
    <w:rsid w:val="00A8040A"/>
    <w:rsid w:val="00A80D39"/>
    <w:rsid w:val="00A81109"/>
    <w:rsid w:val="00A81207"/>
    <w:rsid w:val="00A81746"/>
    <w:rsid w:val="00A81CF1"/>
    <w:rsid w:val="00A82283"/>
    <w:rsid w:val="00A82AFE"/>
    <w:rsid w:val="00A831DE"/>
    <w:rsid w:val="00A834A0"/>
    <w:rsid w:val="00A83589"/>
    <w:rsid w:val="00A83E57"/>
    <w:rsid w:val="00A840FE"/>
    <w:rsid w:val="00A84232"/>
    <w:rsid w:val="00A85262"/>
    <w:rsid w:val="00A85585"/>
    <w:rsid w:val="00A85770"/>
    <w:rsid w:val="00A85D48"/>
    <w:rsid w:val="00A85D75"/>
    <w:rsid w:val="00A85E34"/>
    <w:rsid w:val="00A85E6D"/>
    <w:rsid w:val="00A86046"/>
    <w:rsid w:val="00A86A05"/>
    <w:rsid w:val="00A86D5D"/>
    <w:rsid w:val="00A86E23"/>
    <w:rsid w:val="00A86FEA"/>
    <w:rsid w:val="00A870D9"/>
    <w:rsid w:val="00A87329"/>
    <w:rsid w:val="00A873C4"/>
    <w:rsid w:val="00A87596"/>
    <w:rsid w:val="00A87DFB"/>
    <w:rsid w:val="00A90860"/>
    <w:rsid w:val="00A909F7"/>
    <w:rsid w:val="00A90B78"/>
    <w:rsid w:val="00A914E2"/>
    <w:rsid w:val="00A91728"/>
    <w:rsid w:val="00A91D1E"/>
    <w:rsid w:val="00A91E27"/>
    <w:rsid w:val="00A91F96"/>
    <w:rsid w:val="00A92103"/>
    <w:rsid w:val="00A925F9"/>
    <w:rsid w:val="00A926C4"/>
    <w:rsid w:val="00A92A7E"/>
    <w:rsid w:val="00A92B4A"/>
    <w:rsid w:val="00A930D7"/>
    <w:rsid w:val="00A93B5B"/>
    <w:rsid w:val="00A93B81"/>
    <w:rsid w:val="00A9443C"/>
    <w:rsid w:val="00A9464E"/>
    <w:rsid w:val="00A95356"/>
    <w:rsid w:val="00A95397"/>
    <w:rsid w:val="00A9596E"/>
    <w:rsid w:val="00A95A85"/>
    <w:rsid w:val="00A95CB3"/>
    <w:rsid w:val="00A95E30"/>
    <w:rsid w:val="00A95F29"/>
    <w:rsid w:val="00A96F34"/>
    <w:rsid w:val="00A973C9"/>
    <w:rsid w:val="00A97487"/>
    <w:rsid w:val="00A974E1"/>
    <w:rsid w:val="00A974FA"/>
    <w:rsid w:val="00AA032A"/>
    <w:rsid w:val="00AA08D1"/>
    <w:rsid w:val="00AA0920"/>
    <w:rsid w:val="00AA0A06"/>
    <w:rsid w:val="00AA0B99"/>
    <w:rsid w:val="00AA10A1"/>
    <w:rsid w:val="00AA117F"/>
    <w:rsid w:val="00AA1716"/>
    <w:rsid w:val="00AA17FE"/>
    <w:rsid w:val="00AA21D2"/>
    <w:rsid w:val="00AA247E"/>
    <w:rsid w:val="00AA29E3"/>
    <w:rsid w:val="00AA2D13"/>
    <w:rsid w:val="00AA38DD"/>
    <w:rsid w:val="00AA3A03"/>
    <w:rsid w:val="00AA4005"/>
    <w:rsid w:val="00AA41BC"/>
    <w:rsid w:val="00AA46AD"/>
    <w:rsid w:val="00AA478F"/>
    <w:rsid w:val="00AA4AFB"/>
    <w:rsid w:val="00AA5339"/>
    <w:rsid w:val="00AA5467"/>
    <w:rsid w:val="00AA591E"/>
    <w:rsid w:val="00AA608E"/>
    <w:rsid w:val="00AA65D3"/>
    <w:rsid w:val="00AA6850"/>
    <w:rsid w:val="00AA7747"/>
    <w:rsid w:val="00AA7A4D"/>
    <w:rsid w:val="00AB03EC"/>
    <w:rsid w:val="00AB07FC"/>
    <w:rsid w:val="00AB1831"/>
    <w:rsid w:val="00AB29CD"/>
    <w:rsid w:val="00AB2A15"/>
    <w:rsid w:val="00AB2E6C"/>
    <w:rsid w:val="00AB31A4"/>
    <w:rsid w:val="00AB3A54"/>
    <w:rsid w:val="00AB3C9B"/>
    <w:rsid w:val="00AB416A"/>
    <w:rsid w:val="00AB479D"/>
    <w:rsid w:val="00AB5340"/>
    <w:rsid w:val="00AB5418"/>
    <w:rsid w:val="00AB5FC6"/>
    <w:rsid w:val="00AB6185"/>
    <w:rsid w:val="00AB6262"/>
    <w:rsid w:val="00AB65A6"/>
    <w:rsid w:val="00AB665A"/>
    <w:rsid w:val="00AB6B2C"/>
    <w:rsid w:val="00AB6CF2"/>
    <w:rsid w:val="00AB6F03"/>
    <w:rsid w:val="00AB70B7"/>
    <w:rsid w:val="00AB7A18"/>
    <w:rsid w:val="00AB7E01"/>
    <w:rsid w:val="00AC0661"/>
    <w:rsid w:val="00AC07D7"/>
    <w:rsid w:val="00AC145E"/>
    <w:rsid w:val="00AC18E9"/>
    <w:rsid w:val="00AC1EE8"/>
    <w:rsid w:val="00AC1EFF"/>
    <w:rsid w:val="00AC1F41"/>
    <w:rsid w:val="00AC22C4"/>
    <w:rsid w:val="00AC28A3"/>
    <w:rsid w:val="00AC29DE"/>
    <w:rsid w:val="00AC2FC0"/>
    <w:rsid w:val="00AC3409"/>
    <w:rsid w:val="00AC36B5"/>
    <w:rsid w:val="00AC392A"/>
    <w:rsid w:val="00AC48E6"/>
    <w:rsid w:val="00AC4DAA"/>
    <w:rsid w:val="00AC5679"/>
    <w:rsid w:val="00AC5805"/>
    <w:rsid w:val="00AC5AA0"/>
    <w:rsid w:val="00AC62ED"/>
    <w:rsid w:val="00AC6CE0"/>
    <w:rsid w:val="00AC6DE3"/>
    <w:rsid w:val="00AC711A"/>
    <w:rsid w:val="00AC7234"/>
    <w:rsid w:val="00AC738C"/>
    <w:rsid w:val="00AC78D1"/>
    <w:rsid w:val="00AC79B6"/>
    <w:rsid w:val="00AC7E94"/>
    <w:rsid w:val="00AD0220"/>
    <w:rsid w:val="00AD03D7"/>
    <w:rsid w:val="00AD05EA"/>
    <w:rsid w:val="00AD0F51"/>
    <w:rsid w:val="00AD1010"/>
    <w:rsid w:val="00AD11B1"/>
    <w:rsid w:val="00AD17AD"/>
    <w:rsid w:val="00AD1E6D"/>
    <w:rsid w:val="00AD1F0E"/>
    <w:rsid w:val="00AD1F76"/>
    <w:rsid w:val="00AD2541"/>
    <w:rsid w:val="00AD2752"/>
    <w:rsid w:val="00AD29F1"/>
    <w:rsid w:val="00AD2E61"/>
    <w:rsid w:val="00AD2F8C"/>
    <w:rsid w:val="00AD31FC"/>
    <w:rsid w:val="00AD320D"/>
    <w:rsid w:val="00AD3540"/>
    <w:rsid w:val="00AD374D"/>
    <w:rsid w:val="00AD3A0D"/>
    <w:rsid w:val="00AD452E"/>
    <w:rsid w:val="00AD5477"/>
    <w:rsid w:val="00AD5A11"/>
    <w:rsid w:val="00AD62D5"/>
    <w:rsid w:val="00AD66B8"/>
    <w:rsid w:val="00AD6959"/>
    <w:rsid w:val="00AD6C23"/>
    <w:rsid w:val="00AD6F50"/>
    <w:rsid w:val="00AD6F82"/>
    <w:rsid w:val="00AD7E6D"/>
    <w:rsid w:val="00AE0535"/>
    <w:rsid w:val="00AE0BC5"/>
    <w:rsid w:val="00AE14E9"/>
    <w:rsid w:val="00AE196A"/>
    <w:rsid w:val="00AE1B0C"/>
    <w:rsid w:val="00AE1CDD"/>
    <w:rsid w:val="00AE25A9"/>
    <w:rsid w:val="00AE39A7"/>
    <w:rsid w:val="00AE3C04"/>
    <w:rsid w:val="00AE4310"/>
    <w:rsid w:val="00AE4517"/>
    <w:rsid w:val="00AE4D20"/>
    <w:rsid w:val="00AE4D4D"/>
    <w:rsid w:val="00AE5035"/>
    <w:rsid w:val="00AE5343"/>
    <w:rsid w:val="00AE5380"/>
    <w:rsid w:val="00AE565B"/>
    <w:rsid w:val="00AE56F7"/>
    <w:rsid w:val="00AE5855"/>
    <w:rsid w:val="00AE5B1D"/>
    <w:rsid w:val="00AE5B23"/>
    <w:rsid w:val="00AE5D68"/>
    <w:rsid w:val="00AE6369"/>
    <w:rsid w:val="00AE6DBE"/>
    <w:rsid w:val="00AE70E5"/>
    <w:rsid w:val="00AE7314"/>
    <w:rsid w:val="00AE7B1E"/>
    <w:rsid w:val="00AE7E39"/>
    <w:rsid w:val="00AF00B9"/>
    <w:rsid w:val="00AF089B"/>
    <w:rsid w:val="00AF0959"/>
    <w:rsid w:val="00AF121D"/>
    <w:rsid w:val="00AF14E4"/>
    <w:rsid w:val="00AF155C"/>
    <w:rsid w:val="00AF1605"/>
    <w:rsid w:val="00AF17C3"/>
    <w:rsid w:val="00AF18F6"/>
    <w:rsid w:val="00AF19C5"/>
    <w:rsid w:val="00AF1D11"/>
    <w:rsid w:val="00AF231C"/>
    <w:rsid w:val="00AF25B0"/>
    <w:rsid w:val="00AF26C8"/>
    <w:rsid w:val="00AF273E"/>
    <w:rsid w:val="00AF27F8"/>
    <w:rsid w:val="00AF2B75"/>
    <w:rsid w:val="00AF2F11"/>
    <w:rsid w:val="00AF305A"/>
    <w:rsid w:val="00AF3D1B"/>
    <w:rsid w:val="00AF462C"/>
    <w:rsid w:val="00AF468E"/>
    <w:rsid w:val="00AF47DC"/>
    <w:rsid w:val="00AF4EB6"/>
    <w:rsid w:val="00AF4FAE"/>
    <w:rsid w:val="00AF537E"/>
    <w:rsid w:val="00AF556B"/>
    <w:rsid w:val="00AF5602"/>
    <w:rsid w:val="00AF56EC"/>
    <w:rsid w:val="00AF5702"/>
    <w:rsid w:val="00AF58AF"/>
    <w:rsid w:val="00AF598A"/>
    <w:rsid w:val="00AF6079"/>
    <w:rsid w:val="00AF6195"/>
    <w:rsid w:val="00AF69F8"/>
    <w:rsid w:val="00AF6FE0"/>
    <w:rsid w:val="00AF7A74"/>
    <w:rsid w:val="00AF7DA9"/>
    <w:rsid w:val="00AF7DC1"/>
    <w:rsid w:val="00AF7EB8"/>
    <w:rsid w:val="00B000F3"/>
    <w:rsid w:val="00B004CE"/>
    <w:rsid w:val="00B005A2"/>
    <w:rsid w:val="00B00A03"/>
    <w:rsid w:val="00B00D5A"/>
    <w:rsid w:val="00B00E8F"/>
    <w:rsid w:val="00B01013"/>
    <w:rsid w:val="00B01B4F"/>
    <w:rsid w:val="00B01DAB"/>
    <w:rsid w:val="00B02600"/>
    <w:rsid w:val="00B02D19"/>
    <w:rsid w:val="00B02D6C"/>
    <w:rsid w:val="00B02DA3"/>
    <w:rsid w:val="00B02EC9"/>
    <w:rsid w:val="00B02EF5"/>
    <w:rsid w:val="00B03713"/>
    <w:rsid w:val="00B0382D"/>
    <w:rsid w:val="00B03B23"/>
    <w:rsid w:val="00B03D24"/>
    <w:rsid w:val="00B04A31"/>
    <w:rsid w:val="00B04AFD"/>
    <w:rsid w:val="00B04D0C"/>
    <w:rsid w:val="00B04ECD"/>
    <w:rsid w:val="00B0502B"/>
    <w:rsid w:val="00B060F0"/>
    <w:rsid w:val="00B0621C"/>
    <w:rsid w:val="00B06234"/>
    <w:rsid w:val="00B06418"/>
    <w:rsid w:val="00B077B1"/>
    <w:rsid w:val="00B079CC"/>
    <w:rsid w:val="00B07C0B"/>
    <w:rsid w:val="00B101B0"/>
    <w:rsid w:val="00B1047B"/>
    <w:rsid w:val="00B1084A"/>
    <w:rsid w:val="00B10942"/>
    <w:rsid w:val="00B11774"/>
    <w:rsid w:val="00B11C1B"/>
    <w:rsid w:val="00B11D50"/>
    <w:rsid w:val="00B12736"/>
    <w:rsid w:val="00B12CC6"/>
    <w:rsid w:val="00B13043"/>
    <w:rsid w:val="00B133B4"/>
    <w:rsid w:val="00B13912"/>
    <w:rsid w:val="00B13BBE"/>
    <w:rsid w:val="00B140E9"/>
    <w:rsid w:val="00B141B7"/>
    <w:rsid w:val="00B14FA5"/>
    <w:rsid w:val="00B150AD"/>
    <w:rsid w:val="00B151EF"/>
    <w:rsid w:val="00B15228"/>
    <w:rsid w:val="00B157B2"/>
    <w:rsid w:val="00B15957"/>
    <w:rsid w:val="00B15B63"/>
    <w:rsid w:val="00B15E64"/>
    <w:rsid w:val="00B16294"/>
    <w:rsid w:val="00B16431"/>
    <w:rsid w:val="00B16457"/>
    <w:rsid w:val="00B16CBE"/>
    <w:rsid w:val="00B17E55"/>
    <w:rsid w:val="00B17EFD"/>
    <w:rsid w:val="00B205D1"/>
    <w:rsid w:val="00B206C6"/>
    <w:rsid w:val="00B20EB3"/>
    <w:rsid w:val="00B20ECE"/>
    <w:rsid w:val="00B20F52"/>
    <w:rsid w:val="00B2182D"/>
    <w:rsid w:val="00B21C78"/>
    <w:rsid w:val="00B21ECE"/>
    <w:rsid w:val="00B22AD4"/>
    <w:rsid w:val="00B22E80"/>
    <w:rsid w:val="00B2405E"/>
    <w:rsid w:val="00B243E4"/>
    <w:rsid w:val="00B244F8"/>
    <w:rsid w:val="00B25871"/>
    <w:rsid w:val="00B259E0"/>
    <w:rsid w:val="00B25EE2"/>
    <w:rsid w:val="00B26C21"/>
    <w:rsid w:val="00B26D25"/>
    <w:rsid w:val="00B272C0"/>
    <w:rsid w:val="00B27A69"/>
    <w:rsid w:val="00B27AD9"/>
    <w:rsid w:val="00B30AA8"/>
    <w:rsid w:val="00B30D12"/>
    <w:rsid w:val="00B31366"/>
    <w:rsid w:val="00B31EE9"/>
    <w:rsid w:val="00B31F9A"/>
    <w:rsid w:val="00B32C52"/>
    <w:rsid w:val="00B32D4D"/>
    <w:rsid w:val="00B33174"/>
    <w:rsid w:val="00B332BD"/>
    <w:rsid w:val="00B339DE"/>
    <w:rsid w:val="00B33F0D"/>
    <w:rsid w:val="00B33F6F"/>
    <w:rsid w:val="00B34267"/>
    <w:rsid w:val="00B346A3"/>
    <w:rsid w:val="00B34880"/>
    <w:rsid w:val="00B34F8B"/>
    <w:rsid w:val="00B35035"/>
    <w:rsid w:val="00B3514F"/>
    <w:rsid w:val="00B35198"/>
    <w:rsid w:val="00B352E4"/>
    <w:rsid w:val="00B357C8"/>
    <w:rsid w:val="00B35BFB"/>
    <w:rsid w:val="00B36267"/>
    <w:rsid w:val="00B37C9D"/>
    <w:rsid w:val="00B406C8"/>
    <w:rsid w:val="00B40D5F"/>
    <w:rsid w:val="00B41516"/>
    <w:rsid w:val="00B41A97"/>
    <w:rsid w:val="00B41B11"/>
    <w:rsid w:val="00B41E8E"/>
    <w:rsid w:val="00B421B8"/>
    <w:rsid w:val="00B4227C"/>
    <w:rsid w:val="00B42D1F"/>
    <w:rsid w:val="00B4349D"/>
    <w:rsid w:val="00B43F92"/>
    <w:rsid w:val="00B4498A"/>
    <w:rsid w:val="00B46162"/>
    <w:rsid w:val="00B4664F"/>
    <w:rsid w:val="00B46CC6"/>
    <w:rsid w:val="00B47597"/>
    <w:rsid w:val="00B509D2"/>
    <w:rsid w:val="00B50D3D"/>
    <w:rsid w:val="00B50E12"/>
    <w:rsid w:val="00B51CF7"/>
    <w:rsid w:val="00B52137"/>
    <w:rsid w:val="00B521B3"/>
    <w:rsid w:val="00B523AF"/>
    <w:rsid w:val="00B52704"/>
    <w:rsid w:val="00B53016"/>
    <w:rsid w:val="00B530CB"/>
    <w:rsid w:val="00B53155"/>
    <w:rsid w:val="00B536BD"/>
    <w:rsid w:val="00B53731"/>
    <w:rsid w:val="00B53D19"/>
    <w:rsid w:val="00B5436B"/>
    <w:rsid w:val="00B544C9"/>
    <w:rsid w:val="00B54886"/>
    <w:rsid w:val="00B54ACD"/>
    <w:rsid w:val="00B54CA7"/>
    <w:rsid w:val="00B56339"/>
    <w:rsid w:val="00B567BB"/>
    <w:rsid w:val="00B56A75"/>
    <w:rsid w:val="00B56AA0"/>
    <w:rsid w:val="00B56AD9"/>
    <w:rsid w:val="00B57272"/>
    <w:rsid w:val="00B5744F"/>
    <w:rsid w:val="00B57641"/>
    <w:rsid w:val="00B57725"/>
    <w:rsid w:val="00B57E41"/>
    <w:rsid w:val="00B60165"/>
    <w:rsid w:val="00B60377"/>
    <w:rsid w:val="00B6065A"/>
    <w:rsid w:val="00B60F2C"/>
    <w:rsid w:val="00B61090"/>
    <w:rsid w:val="00B610DC"/>
    <w:rsid w:val="00B6178F"/>
    <w:rsid w:val="00B61C48"/>
    <w:rsid w:val="00B624BB"/>
    <w:rsid w:val="00B628C7"/>
    <w:rsid w:val="00B62FAC"/>
    <w:rsid w:val="00B62FDF"/>
    <w:rsid w:val="00B6355D"/>
    <w:rsid w:val="00B64216"/>
    <w:rsid w:val="00B64647"/>
    <w:rsid w:val="00B65391"/>
    <w:rsid w:val="00B65680"/>
    <w:rsid w:val="00B66BC4"/>
    <w:rsid w:val="00B66F49"/>
    <w:rsid w:val="00B67413"/>
    <w:rsid w:val="00B676FA"/>
    <w:rsid w:val="00B677AA"/>
    <w:rsid w:val="00B67E56"/>
    <w:rsid w:val="00B67FA0"/>
    <w:rsid w:val="00B70BFA"/>
    <w:rsid w:val="00B70F4D"/>
    <w:rsid w:val="00B70FF4"/>
    <w:rsid w:val="00B71088"/>
    <w:rsid w:val="00B711A7"/>
    <w:rsid w:val="00B712D7"/>
    <w:rsid w:val="00B71300"/>
    <w:rsid w:val="00B71687"/>
    <w:rsid w:val="00B71698"/>
    <w:rsid w:val="00B7175A"/>
    <w:rsid w:val="00B719C6"/>
    <w:rsid w:val="00B71EF4"/>
    <w:rsid w:val="00B72391"/>
    <w:rsid w:val="00B7240F"/>
    <w:rsid w:val="00B726A5"/>
    <w:rsid w:val="00B73011"/>
    <w:rsid w:val="00B73096"/>
    <w:rsid w:val="00B731B7"/>
    <w:rsid w:val="00B73A60"/>
    <w:rsid w:val="00B73C10"/>
    <w:rsid w:val="00B73D82"/>
    <w:rsid w:val="00B73F7C"/>
    <w:rsid w:val="00B74A31"/>
    <w:rsid w:val="00B74E10"/>
    <w:rsid w:val="00B74F7A"/>
    <w:rsid w:val="00B7511A"/>
    <w:rsid w:val="00B754B7"/>
    <w:rsid w:val="00B764A8"/>
    <w:rsid w:val="00B76885"/>
    <w:rsid w:val="00B77225"/>
    <w:rsid w:val="00B7726B"/>
    <w:rsid w:val="00B77EEE"/>
    <w:rsid w:val="00B80B6A"/>
    <w:rsid w:val="00B80CD7"/>
    <w:rsid w:val="00B80F7E"/>
    <w:rsid w:val="00B8106A"/>
    <w:rsid w:val="00B81777"/>
    <w:rsid w:val="00B81A31"/>
    <w:rsid w:val="00B81D0F"/>
    <w:rsid w:val="00B81F8F"/>
    <w:rsid w:val="00B8209A"/>
    <w:rsid w:val="00B822CE"/>
    <w:rsid w:val="00B828E4"/>
    <w:rsid w:val="00B82FB1"/>
    <w:rsid w:val="00B8309A"/>
    <w:rsid w:val="00B83300"/>
    <w:rsid w:val="00B83585"/>
    <w:rsid w:val="00B83B2E"/>
    <w:rsid w:val="00B83CBD"/>
    <w:rsid w:val="00B844C4"/>
    <w:rsid w:val="00B848F7"/>
    <w:rsid w:val="00B84F76"/>
    <w:rsid w:val="00B8554E"/>
    <w:rsid w:val="00B855A4"/>
    <w:rsid w:val="00B85D7C"/>
    <w:rsid w:val="00B868D2"/>
    <w:rsid w:val="00B86B5B"/>
    <w:rsid w:val="00B87609"/>
    <w:rsid w:val="00B87A74"/>
    <w:rsid w:val="00B87CD6"/>
    <w:rsid w:val="00B90534"/>
    <w:rsid w:val="00B9107B"/>
    <w:rsid w:val="00B91A6F"/>
    <w:rsid w:val="00B91B41"/>
    <w:rsid w:val="00B91E51"/>
    <w:rsid w:val="00B922DB"/>
    <w:rsid w:val="00B926AC"/>
    <w:rsid w:val="00B928A6"/>
    <w:rsid w:val="00B93354"/>
    <w:rsid w:val="00B93357"/>
    <w:rsid w:val="00B939F6"/>
    <w:rsid w:val="00B93C38"/>
    <w:rsid w:val="00B93D44"/>
    <w:rsid w:val="00B93E02"/>
    <w:rsid w:val="00B940AC"/>
    <w:rsid w:val="00B943B3"/>
    <w:rsid w:val="00B94768"/>
    <w:rsid w:val="00B94A50"/>
    <w:rsid w:val="00B94D60"/>
    <w:rsid w:val="00B94E95"/>
    <w:rsid w:val="00B95029"/>
    <w:rsid w:val="00B9506A"/>
    <w:rsid w:val="00B95300"/>
    <w:rsid w:val="00B95879"/>
    <w:rsid w:val="00B95920"/>
    <w:rsid w:val="00B95E76"/>
    <w:rsid w:val="00B96388"/>
    <w:rsid w:val="00B96707"/>
    <w:rsid w:val="00B97C12"/>
    <w:rsid w:val="00BA017E"/>
    <w:rsid w:val="00BA0B1D"/>
    <w:rsid w:val="00BA14ED"/>
    <w:rsid w:val="00BA1D51"/>
    <w:rsid w:val="00BA1FF9"/>
    <w:rsid w:val="00BA21CA"/>
    <w:rsid w:val="00BA2A6D"/>
    <w:rsid w:val="00BA2CA3"/>
    <w:rsid w:val="00BA2F9C"/>
    <w:rsid w:val="00BA36CE"/>
    <w:rsid w:val="00BA36E4"/>
    <w:rsid w:val="00BA3D6B"/>
    <w:rsid w:val="00BA3ECC"/>
    <w:rsid w:val="00BA42AB"/>
    <w:rsid w:val="00BA4369"/>
    <w:rsid w:val="00BA4476"/>
    <w:rsid w:val="00BA49C1"/>
    <w:rsid w:val="00BA4A9E"/>
    <w:rsid w:val="00BA50F2"/>
    <w:rsid w:val="00BA5246"/>
    <w:rsid w:val="00BA538A"/>
    <w:rsid w:val="00BA593C"/>
    <w:rsid w:val="00BA5958"/>
    <w:rsid w:val="00BA6795"/>
    <w:rsid w:val="00BA688A"/>
    <w:rsid w:val="00BA779D"/>
    <w:rsid w:val="00BB001C"/>
    <w:rsid w:val="00BB00DB"/>
    <w:rsid w:val="00BB0409"/>
    <w:rsid w:val="00BB041F"/>
    <w:rsid w:val="00BB045D"/>
    <w:rsid w:val="00BB09A5"/>
    <w:rsid w:val="00BB0E88"/>
    <w:rsid w:val="00BB1505"/>
    <w:rsid w:val="00BB1882"/>
    <w:rsid w:val="00BB20D7"/>
    <w:rsid w:val="00BB23FF"/>
    <w:rsid w:val="00BB2BD7"/>
    <w:rsid w:val="00BB4131"/>
    <w:rsid w:val="00BB4687"/>
    <w:rsid w:val="00BB51A0"/>
    <w:rsid w:val="00BB5525"/>
    <w:rsid w:val="00BB5920"/>
    <w:rsid w:val="00BB65A4"/>
    <w:rsid w:val="00BB66BD"/>
    <w:rsid w:val="00BB6801"/>
    <w:rsid w:val="00BB69A7"/>
    <w:rsid w:val="00BB6C70"/>
    <w:rsid w:val="00BB6CF0"/>
    <w:rsid w:val="00BB6FA1"/>
    <w:rsid w:val="00BB71B2"/>
    <w:rsid w:val="00BB7A57"/>
    <w:rsid w:val="00BC03B0"/>
    <w:rsid w:val="00BC0E8F"/>
    <w:rsid w:val="00BC1A7D"/>
    <w:rsid w:val="00BC21AA"/>
    <w:rsid w:val="00BC2358"/>
    <w:rsid w:val="00BC242E"/>
    <w:rsid w:val="00BC25B9"/>
    <w:rsid w:val="00BC267F"/>
    <w:rsid w:val="00BC2F10"/>
    <w:rsid w:val="00BC3091"/>
    <w:rsid w:val="00BC3F48"/>
    <w:rsid w:val="00BC4038"/>
    <w:rsid w:val="00BC440B"/>
    <w:rsid w:val="00BC460E"/>
    <w:rsid w:val="00BC476A"/>
    <w:rsid w:val="00BC57FC"/>
    <w:rsid w:val="00BC59CB"/>
    <w:rsid w:val="00BC6307"/>
    <w:rsid w:val="00BC642C"/>
    <w:rsid w:val="00BC6894"/>
    <w:rsid w:val="00BC69AC"/>
    <w:rsid w:val="00BC6B8E"/>
    <w:rsid w:val="00BC7DCD"/>
    <w:rsid w:val="00BD056D"/>
    <w:rsid w:val="00BD1098"/>
    <w:rsid w:val="00BD12B3"/>
    <w:rsid w:val="00BD16D0"/>
    <w:rsid w:val="00BD1E02"/>
    <w:rsid w:val="00BD20BF"/>
    <w:rsid w:val="00BD2F39"/>
    <w:rsid w:val="00BD30C3"/>
    <w:rsid w:val="00BD328F"/>
    <w:rsid w:val="00BD3828"/>
    <w:rsid w:val="00BD3D35"/>
    <w:rsid w:val="00BD42FF"/>
    <w:rsid w:val="00BD480A"/>
    <w:rsid w:val="00BD489C"/>
    <w:rsid w:val="00BD4A6A"/>
    <w:rsid w:val="00BD4C73"/>
    <w:rsid w:val="00BD5220"/>
    <w:rsid w:val="00BD55A7"/>
    <w:rsid w:val="00BD5940"/>
    <w:rsid w:val="00BD5B28"/>
    <w:rsid w:val="00BD5E78"/>
    <w:rsid w:val="00BD66A1"/>
    <w:rsid w:val="00BD693F"/>
    <w:rsid w:val="00BD6E18"/>
    <w:rsid w:val="00BD7913"/>
    <w:rsid w:val="00BE0350"/>
    <w:rsid w:val="00BE042E"/>
    <w:rsid w:val="00BE0B77"/>
    <w:rsid w:val="00BE0FF7"/>
    <w:rsid w:val="00BE115D"/>
    <w:rsid w:val="00BE126C"/>
    <w:rsid w:val="00BE193A"/>
    <w:rsid w:val="00BE1D29"/>
    <w:rsid w:val="00BE1D6F"/>
    <w:rsid w:val="00BE1EBA"/>
    <w:rsid w:val="00BE2794"/>
    <w:rsid w:val="00BE2AA5"/>
    <w:rsid w:val="00BE3F9B"/>
    <w:rsid w:val="00BE4253"/>
    <w:rsid w:val="00BE4A90"/>
    <w:rsid w:val="00BE5A77"/>
    <w:rsid w:val="00BE5BA6"/>
    <w:rsid w:val="00BE5F79"/>
    <w:rsid w:val="00BE665D"/>
    <w:rsid w:val="00BE677E"/>
    <w:rsid w:val="00BE690C"/>
    <w:rsid w:val="00BE6CE3"/>
    <w:rsid w:val="00BE6D89"/>
    <w:rsid w:val="00BE7DCB"/>
    <w:rsid w:val="00BF02AC"/>
    <w:rsid w:val="00BF0323"/>
    <w:rsid w:val="00BF0461"/>
    <w:rsid w:val="00BF0CD0"/>
    <w:rsid w:val="00BF11E3"/>
    <w:rsid w:val="00BF1FDD"/>
    <w:rsid w:val="00BF263B"/>
    <w:rsid w:val="00BF26BA"/>
    <w:rsid w:val="00BF2716"/>
    <w:rsid w:val="00BF33A3"/>
    <w:rsid w:val="00BF34B5"/>
    <w:rsid w:val="00BF35FB"/>
    <w:rsid w:val="00BF3647"/>
    <w:rsid w:val="00BF3BE9"/>
    <w:rsid w:val="00BF3C7B"/>
    <w:rsid w:val="00BF4072"/>
    <w:rsid w:val="00BF441D"/>
    <w:rsid w:val="00BF4561"/>
    <w:rsid w:val="00BF45AD"/>
    <w:rsid w:val="00BF4775"/>
    <w:rsid w:val="00BF5B89"/>
    <w:rsid w:val="00BF6077"/>
    <w:rsid w:val="00BF631B"/>
    <w:rsid w:val="00BF7DE4"/>
    <w:rsid w:val="00BF7EE3"/>
    <w:rsid w:val="00C0023F"/>
    <w:rsid w:val="00C004C4"/>
    <w:rsid w:val="00C0060B"/>
    <w:rsid w:val="00C0080C"/>
    <w:rsid w:val="00C0132B"/>
    <w:rsid w:val="00C0132D"/>
    <w:rsid w:val="00C0174F"/>
    <w:rsid w:val="00C0213F"/>
    <w:rsid w:val="00C0235B"/>
    <w:rsid w:val="00C02389"/>
    <w:rsid w:val="00C027C5"/>
    <w:rsid w:val="00C02B19"/>
    <w:rsid w:val="00C0307E"/>
    <w:rsid w:val="00C03E8A"/>
    <w:rsid w:val="00C03EDC"/>
    <w:rsid w:val="00C0425F"/>
    <w:rsid w:val="00C04468"/>
    <w:rsid w:val="00C054AC"/>
    <w:rsid w:val="00C05562"/>
    <w:rsid w:val="00C06173"/>
    <w:rsid w:val="00C063E7"/>
    <w:rsid w:val="00C06638"/>
    <w:rsid w:val="00C066C6"/>
    <w:rsid w:val="00C06B9C"/>
    <w:rsid w:val="00C073AE"/>
    <w:rsid w:val="00C074CF"/>
    <w:rsid w:val="00C076B5"/>
    <w:rsid w:val="00C07A74"/>
    <w:rsid w:val="00C07C01"/>
    <w:rsid w:val="00C07E7F"/>
    <w:rsid w:val="00C07EC1"/>
    <w:rsid w:val="00C07FCB"/>
    <w:rsid w:val="00C10207"/>
    <w:rsid w:val="00C1118B"/>
    <w:rsid w:val="00C113F6"/>
    <w:rsid w:val="00C117A0"/>
    <w:rsid w:val="00C11A46"/>
    <w:rsid w:val="00C11BB8"/>
    <w:rsid w:val="00C11F5D"/>
    <w:rsid w:val="00C12CE5"/>
    <w:rsid w:val="00C13681"/>
    <w:rsid w:val="00C13BE6"/>
    <w:rsid w:val="00C14CD0"/>
    <w:rsid w:val="00C153BC"/>
    <w:rsid w:val="00C155E7"/>
    <w:rsid w:val="00C156FA"/>
    <w:rsid w:val="00C15A7C"/>
    <w:rsid w:val="00C15B16"/>
    <w:rsid w:val="00C15B28"/>
    <w:rsid w:val="00C16209"/>
    <w:rsid w:val="00C170D1"/>
    <w:rsid w:val="00C17405"/>
    <w:rsid w:val="00C17EB0"/>
    <w:rsid w:val="00C20291"/>
    <w:rsid w:val="00C205B4"/>
    <w:rsid w:val="00C20DAF"/>
    <w:rsid w:val="00C21421"/>
    <w:rsid w:val="00C2149D"/>
    <w:rsid w:val="00C216CA"/>
    <w:rsid w:val="00C21763"/>
    <w:rsid w:val="00C221C7"/>
    <w:rsid w:val="00C228CA"/>
    <w:rsid w:val="00C229F6"/>
    <w:rsid w:val="00C22D1E"/>
    <w:rsid w:val="00C23341"/>
    <w:rsid w:val="00C23970"/>
    <w:rsid w:val="00C23979"/>
    <w:rsid w:val="00C23BD7"/>
    <w:rsid w:val="00C240BE"/>
    <w:rsid w:val="00C24575"/>
    <w:rsid w:val="00C24AB8"/>
    <w:rsid w:val="00C24BFC"/>
    <w:rsid w:val="00C251D5"/>
    <w:rsid w:val="00C26140"/>
    <w:rsid w:val="00C266EE"/>
    <w:rsid w:val="00C26B6A"/>
    <w:rsid w:val="00C26CBF"/>
    <w:rsid w:val="00C26CCA"/>
    <w:rsid w:val="00C27168"/>
    <w:rsid w:val="00C27F1F"/>
    <w:rsid w:val="00C3088B"/>
    <w:rsid w:val="00C3089C"/>
    <w:rsid w:val="00C30B27"/>
    <w:rsid w:val="00C30E4F"/>
    <w:rsid w:val="00C30E9B"/>
    <w:rsid w:val="00C318BD"/>
    <w:rsid w:val="00C3191C"/>
    <w:rsid w:val="00C31BB0"/>
    <w:rsid w:val="00C31E82"/>
    <w:rsid w:val="00C31FDE"/>
    <w:rsid w:val="00C32780"/>
    <w:rsid w:val="00C32916"/>
    <w:rsid w:val="00C32A02"/>
    <w:rsid w:val="00C32A58"/>
    <w:rsid w:val="00C32B18"/>
    <w:rsid w:val="00C331A8"/>
    <w:rsid w:val="00C33496"/>
    <w:rsid w:val="00C33BF6"/>
    <w:rsid w:val="00C33DBE"/>
    <w:rsid w:val="00C34228"/>
    <w:rsid w:val="00C348A2"/>
    <w:rsid w:val="00C34ABA"/>
    <w:rsid w:val="00C34E2D"/>
    <w:rsid w:val="00C351C4"/>
    <w:rsid w:val="00C351F7"/>
    <w:rsid w:val="00C35B7F"/>
    <w:rsid w:val="00C35BE1"/>
    <w:rsid w:val="00C35C74"/>
    <w:rsid w:val="00C36101"/>
    <w:rsid w:val="00C36142"/>
    <w:rsid w:val="00C3616C"/>
    <w:rsid w:val="00C36410"/>
    <w:rsid w:val="00C36420"/>
    <w:rsid w:val="00C36A22"/>
    <w:rsid w:val="00C36CC4"/>
    <w:rsid w:val="00C36E1F"/>
    <w:rsid w:val="00C371D8"/>
    <w:rsid w:val="00C37775"/>
    <w:rsid w:val="00C37835"/>
    <w:rsid w:val="00C402B4"/>
    <w:rsid w:val="00C40F2A"/>
    <w:rsid w:val="00C411A8"/>
    <w:rsid w:val="00C4123F"/>
    <w:rsid w:val="00C41473"/>
    <w:rsid w:val="00C414F7"/>
    <w:rsid w:val="00C41E19"/>
    <w:rsid w:val="00C41F57"/>
    <w:rsid w:val="00C42551"/>
    <w:rsid w:val="00C429BE"/>
    <w:rsid w:val="00C43498"/>
    <w:rsid w:val="00C43A17"/>
    <w:rsid w:val="00C43D3D"/>
    <w:rsid w:val="00C43E7B"/>
    <w:rsid w:val="00C44BBB"/>
    <w:rsid w:val="00C44BC2"/>
    <w:rsid w:val="00C45078"/>
    <w:rsid w:val="00C450B4"/>
    <w:rsid w:val="00C450B5"/>
    <w:rsid w:val="00C451BB"/>
    <w:rsid w:val="00C451C7"/>
    <w:rsid w:val="00C45556"/>
    <w:rsid w:val="00C46148"/>
    <w:rsid w:val="00C462FD"/>
    <w:rsid w:val="00C46560"/>
    <w:rsid w:val="00C46BE5"/>
    <w:rsid w:val="00C46CCA"/>
    <w:rsid w:val="00C470D3"/>
    <w:rsid w:val="00C47FF2"/>
    <w:rsid w:val="00C5015C"/>
    <w:rsid w:val="00C50326"/>
    <w:rsid w:val="00C50727"/>
    <w:rsid w:val="00C50AD5"/>
    <w:rsid w:val="00C50C29"/>
    <w:rsid w:val="00C51369"/>
    <w:rsid w:val="00C5158D"/>
    <w:rsid w:val="00C51757"/>
    <w:rsid w:val="00C5186A"/>
    <w:rsid w:val="00C51A49"/>
    <w:rsid w:val="00C51F43"/>
    <w:rsid w:val="00C5227B"/>
    <w:rsid w:val="00C525B3"/>
    <w:rsid w:val="00C5266A"/>
    <w:rsid w:val="00C52735"/>
    <w:rsid w:val="00C529C5"/>
    <w:rsid w:val="00C52E2B"/>
    <w:rsid w:val="00C52FDA"/>
    <w:rsid w:val="00C53C05"/>
    <w:rsid w:val="00C54578"/>
    <w:rsid w:val="00C545B9"/>
    <w:rsid w:val="00C5507D"/>
    <w:rsid w:val="00C552B0"/>
    <w:rsid w:val="00C5534E"/>
    <w:rsid w:val="00C556C0"/>
    <w:rsid w:val="00C558F8"/>
    <w:rsid w:val="00C55CB0"/>
    <w:rsid w:val="00C55D94"/>
    <w:rsid w:val="00C55E0D"/>
    <w:rsid w:val="00C56080"/>
    <w:rsid w:val="00C5643F"/>
    <w:rsid w:val="00C565B0"/>
    <w:rsid w:val="00C56B70"/>
    <w:rsid w:val="00C5754F"/>
    <w:rsid w:val="00C6026B"/>
    <w:rsid w:val="00C60462"/>
    <w:rsid w:val="00C6070D"/>
    <w:rsid w:val="00C60ACB"/>
    <w:rsid w:val="00C610AA"/>
    <w:rsid w:val="00C61233"/>
    <w:rsid w:val="00C62622"/>
    <w:rsid w:val="00C63007"/>
    <w:rsid w:val="00C634A3"/>
    <w:rsid w:val="00C6368A"/>
    <w:rsid w:val="00C638C0"/>
    <w:rsid w:val="00C63903"/>
    <w:rsid w:val="00C64084"/>
    <w:rsid w:val="00C641F0"/>
    <w:rsid w:val="00C6465A"/>
    <w:rsid w:val="00C6491C"/>
    <w:rsid w:val="00C64E3A"/>
    <w:rsid w:val="00C6504E"/>
    <w:rsid w:val="00C65588"/>
    <w:rsid w:val="00C65780"/>
    <w:rsid w:val="00C65BC8"/>
    <w:rsid w:val="00C65BD1"/>
    <w:rsid w:val="00C65C16"/>
    <w:rsid w:val="00C65DFC"/>
    <w:rsid w:val="00C65F20"/>
    <w:rsid w:val="00C66461"/>
    <w:rsid w:val="00C66477"/>
    <w:rsid w:val="00C6797B"/>
    <w:rsid w:val="00C67A1B"/>
    <w:rsid w:val="00C67B6D"/>
    <w:rsid w:val="00C700B7"/>
    <w:rsid w:val="00C700D4"/>
    <w:rsid w:val="00C70EF3"/>
    <w:rsid w:val="00C710B0"/>
    <w:rsid w:val="00C719F5"/>
    <w:rsid w:val="00C71DF7"/>
    <w:rsid w:val="00C735CC"/>
    <w:rsid w:val="00C73B13"/>
    <w:rsid w:val="00C73D07"/>
    <w:rsid w:val="00C73DB9"/>
    <w:rsid w:val="00C74069"/>
    <w:rsid w:val="00C7452A"/>
    <w:rsid w:val="00C74614"/>
    <w:rsid w:val="00C7464C"/>
    <w:rsid w:val="00C746BC"/>
    <w:rsid w:val="00C746E9"/>
    <w:rsid w:val="00C76354"/>
    <w:rsid w:val="00C76434"/>
    <w:rsid w:val="00C76BBE"/>
    <w:rsid w:val="00C770FB"/>
    <w:rsid w:val="00C77200"/>
    <w:rsid w:val="00C7735C"/>
    <w:rsid w:val="00C7763A"/>
    <w:rsid w:val="00C77D88"/>
    <w:rsid w:val="00C77FB3"/>
    <w:rsid w:val="00C8016A"/>
    <w:rsid w:val="00C80AAF"/>
    <w:rsid w:val="00C80C24"/>
    <w:rsid w:val="00C80D80"/>
    <w:rsid w:val="00C81307"/>
    <w:rsid w:val="00C81BEC"/>
    <w:rsid w:val="00C81F3A"/>
    <w:rsid w:val="00C824E7"/>
    <w:rsid w:val="00C82776"/>
    <w:rsid w:val="00C827D5"/>
    <w:rsid w:val="00C82AE0"/>
    <w:rsid w:val="00C835D9"/>
    <w:rsid w:val="00C8378F"/>
    <w:rsid w:val="00C83863"/>
    <w:rsid w:val="00C838F3"/>
    <w:rsid w:val="00C84090"/>
    <w:rsid w:val="00C84243"/>
    <w:rsid w:val="00C85270"/>
    <w:rsid w:val="00C852C5"/>
    <w:rsid w:val="00C8567B"/>
    <w:rsid w:val="00C8591D"/>
    <w:rsid w:val="00C862CB"/>
    <w:rsid w:val="00C86566"/>
    <w:rsid w:val="00C86B0C"/>
    <w:rsid w:val="00C86F92"/>
    <w:rsid w:val="00C87556"/>
    <w:rsid w:val="00C87878"/>
    <w:rsid w:val="00C87948"/>
    <w:rsid w:val="00C87A9A"/>
    <w:rsid w:val="00C90057"/>
    <w:rsid w:val="00C9027C"/>
    <w:rsid w:val="00C905EF"/>
    <w:rsid w:val="00C90CD0"/>
    <w:rsid w:val="00C90D1C"/>
    <w:rsid w:val="00C90DC3"/>
    <w:rsid w:val="00C90DD1"/>
    <w:rsid w:val="00C9153C"/>
    <w:rsid w:val="00C91BCF"/>
    <w:rsid w:val="00C91BF9"/>
    <w:rsid w:val="00C91FB0"/>
    <w:rsid w:val="00C92A1F"/>
    <w:rsid w:val="00C92C1E"/>
    <w:rsid w:val="00C92E2F"/>
    <w:rsid w:val="00C92F14"/>
    <w:rsid w:val="00C92F62"/>
    <w:rsid w:val="00C93143"/>
    <w:rsid w:val="00C93448"/>
    <w:rsid w:val="00C9375B"/>
    <w:rsid w:val="00C93F20"/>
    <w:rsid w:val="00C93F74"/>
    <w:rsid w:val="00C94FA6"/>
    <w:rsid w:val="00C9524D"/>
    <w:rsid w:val="00C95336"/>
    <w:rsid w:val="00C95E69"/>
    <w:rsid w:val="00C96133"/>
    <w:rsid w:val="00C962AC"/>
    <w:rsid w:val="00C967A0"/>
    <w:rsid w:val="00C975F1"/>
    <w:rsid w:val="00C976C7"/>
    <w:rsid w:val="00C97705"/>
    <w:rsid w:val="00C97DC2"/>
    <w:rsid w:val="00CA060B"/>
    <w:rsid w:val="00CA06E8"/>
    <w:rsid w:val="00CA10A7"/>
    <w:rsid w:val="00CA1189"/>
    <w:rsid w:val="00CA122B"/>
    <w:rsid w:val="00CA1515"/>
    <w:rsid w:val="00CA1677"/>
    <w:rsid w:val="00CA1909"/>
    <w:rsid w:val="00CA1F0A"/>
    <w:rsid w:val="00CA2ADD"/>
    <w:rsid w:val="00CA2B3C"/>
    <w:rsid w:val="00CA3559"/>
    <w:rsid w:val="00CA3AD2"/>
    <w:rsid w:val="00CA3D8C"/>
    <w:rsid w:val="00CA4985"/>
    <w:rsid w:val="00CA508D"/>
    <w:rsid w:val="00CA53CF"/>
    <w:rsid w:val="00CA5422"/>
    <w:rsid w:val="00CA569F"/>
    <w:rsid w:val="00CA572B"/>
    <w:rsid w:val="00CA66C2"/>
    <w:rsid w:val="00CA6895"/>
    <w:rsid w:val="00CA6FF7"/>
    <w:rsid w:val="00CA7AF7"/>
    <w:rsid w:val="00CA7B22"/>
    <w:rsid w:val="00CA7D02"/>
    <w:rsid w:val="00CA7D99"/>
    <w:rsid w:val="00CB01A9"/>
    <w:rsid w:val="00CB01C5"/>
    <w:rsid w:val="00CB0445"/>
    <w:rsid w:val="00CB064D"/>
    <w:rsid w:val="00CB0670"/>
    <w:rsid w:val="00CB0DFB"/>
    <w:rsid w:val="00CB1019"/>
    <w:rsid w:val="00CB19CF"/>
    <w:rsid w:val="00CB2E53"/>
    <w:rsid w:val="00CB379E"/>
    <w:rsid w:val="00CB3ABC"/>
    <w:rsid w:val="00CB42F6"/>
    <w:rsid w:val="00CB48E6"/>
    <w:rsid w:val="00CB55BE"/>
    <w:rsid w:val="00CB56FA"/>
    <w:rsid w:val="00CB5B91"/>
    <w:rsid w:val="00CB6658"/>
    <w:rsid w:val="00CB6F35"/>
    <w:rsid w:val="00CB7444"/>
    <w:rsid w:val="00CB749B"/>
    <w:rsid w:val="00CB790A"/>
    <w:rsid w:val="00CB7C44"/>
    <w:rsid w:val="00CB7D4F"/>
    <w:rsid w:val="00CC04CF"/>
    <w:rsid w:val="00CC15A7"/>
    <w:rsid w:val="00CC193A"/>
    <w:rsid w:val="00CC1B50"/>
    <w:rsid w:val="00CC29D2"/>
    <w:rsid w:val="00CC2B1A"/>
    <w:rsid w:val="00CC2FD4"/>
    <w:rsid w:val="00CC34F3"/>
    <w:rsid w:val="00CC35A2"/>
    <w:rsid w:val="00CC387C"/>
    <w:rsid w:val="00CC3CC7"/>
    <w:rsid w:val="00CC4261"/>
    <w:rsid w:val="00CC42FB"/>
    <w:rsid w:val="00CC4B5C"/>
    <w:rsid w:val="00CC4B80"/>
    <w:rsid w:val="00CC4CA7"/>
    <w:rsid w:val="00CC57CD"/>
    <w:rsid w:val="00CC6316"/>
    <w:rsid w:val="00CC6717"/>
    <w:rsid w:val="00CC6E6B"/>
    <w:rsid w:val="00CC7612"/>
    <w:rsid w:val="00CC7D59"/>
    <w:rsid w:val="00CC7EE6"/>
    <w:rsid w:val="00CD0258"/>
    <w:rsid w:val="00CD0B44"/>
    <w:rsid w:val="00CD0CB0"/>
    <w:rsid w:val="00CD18A1"/>
    <w:rsid w:val="00CD1A11"/>
    <w:rsid w:val="00CD1DC4"/>
    <w:rsid w:val="00CD2109"/>
    <w:rsid w:val="00CD2EEB"/>
    <w:rsid w:val="00CD2FFB"/>
    <w:rsid w:val="00CD32A0"/>
    <w:rsid w:val="00CD3588"/>
    <w:rsid w:val="00CD3D5D"/>
    <w:rsid w:val="00CD3D98"/>
    <w:rsid w:val="00CD41E9"/>
    <w:rsid w:val="00CD4932"/>
    <w:rsid w:val="00CD560F"/>
    <w:rsid w:val="00CD5910"/>
    <w:rsid w:val="00CD5A96"/>
    <w:rsid w:val="00CD5C6D"/>
    <w:rsid w:val="00CD5D98"/>
    <w:rsid w:val="00CD5E95"/>
    <w:rsid w:val="00CD72CF"/>
    <w:rsid w:val="00CD75BB"/>
    <w:rsid w:val="00CD7757"/>
    <w:rsid w:val="00CD7C1D"/>
    <w:rsid w:val="00CE0387"/>
    <w:rsid w:val="00CE08A2"/>
    <w:rsid w:val="00CE0BC2"/>
    <w:rsid w:val="00CE158D"/>
    <w:rsid w:val="00CE1E37"/>
    <w:rsid w:val="00CE23D4"/>
    <w:rsid w:val="00CE26F8"/>
    <w:rsid w:val="00CE28C2"/>
    <w:rsid w:val="00CE2B29"/>
    <w:rsid w:val="00CE2C61"/>
    <w:rsid w:val="00CE2E73"/>
    <w:rsid w:val="00CE325A"/>
    <w:rsid w:val="00CE3679"/>
    <w:rsid w:val="00CE388D"/>
    <w:rsid w:val="00CE3AD5"/>
    <w:rsid w:val="00CE4077"/>
    <w:rsid w:val="00CE4147"/>
    <w:rsid w:val="00CE4257"/>
    <w:rsid w:val="00CE43D2"/>
    <w:rsid w:val="00CE4402"/>
    <w:rsid w:val="00CE45BB"/>
    <w:rsid w:val="00CE47DF"/>
    <w:rsid w:val="00CE49E9"/>
    <w:rsid w:val="00CE4BFD"/>
    <w:rsid w:val="00CE4C9A"/>
    <w:rsid w:val="00CE525E"/>
    <w:rsid w:val="00CE52CA"/>
    <w:rsid w:val="00CE53C4"/>
    <w:rsid w:val="00CE56A1"/>
    <w:rsid w:val="00CE5D86"/>
    <w:rsid w:val="00CE6D35"/>
    <w:rsid w:val="00CE7254"/>
    <w:rsid w:val="00CE7773"/>
    <w:rsid w:val="00CE791F"/>
    <w:rsid w:val="00CE7B5C"/>
    <w:rsid w:val="00CE7D31"/>
    <w:rsid w:val="00CE7F55"/>
    <w:rsid w:val="00CF015B"/>
    <w:rsid w:val="00CF0794"/>
    <w:rsid w:val="00CF081D"/>
    <w:rsid w:val="00CF1729"/>
    <w:rsid w:val="00CF1A19"/>
    <w:rsid w:val="00CF1ADF"/>
    <w:rsid w:val="00CF1CC7"/>
    <w:rsid w:val="00CF2B01"/>
    <w:rsid w:val="00CF2B49"/>
    <w:rsid w:val="00CF2CFF"/>
    <w:rsid w:val="00CF3374"/>
    <w:rsid w:val="00CF3925"/>
    <w:rsid w:val="00CF438C"/>
    <w:rsid w:val="00CF4BE8"/>
    <w:rsid w:val="00CF4F71"/>
    <w:rsid w:val="00CF5044"/>
    <w:rsid w:val="00CF594E"/>
    <w:rsid w:val="00CF638C"/>
    <w:rsid w:val="00CF66BA"/>
    <w:rsid w:val="00CF6C36"/>
    <w:rsid w:val="00CF77FB"/>
    <w:rsid w:val="00CF7A3D"/>
    <w:rsid w:val="00CF7FCB"/>
    <w:rsid w:val="00D00602"/>
    <w:rsid w:val="00D007E1"/>
    <w:rsid w:val="00D00B33"/>
    <w:rsid w:val="00D00B38"/>
    <w:rsid w:val="00D01004"/>
    <w:rsid w:val="00D01031"/>
    <w:rsid w:val="00D0103F"/>
    <w:rsid w:val="00D026B2"/>
    <w:rsid w:val="00D027A5"/>
    <w:rsid w:val="00D02BC1"/>
    <w:rsid w:val="00D02BD8"/>
    <w:rsid w:val="00D02FF8"/>
    <w:rsid w:val="00D030E4"/>
    <w:rsid w:val="00D034BA"/>
    <w:rsid w:val="00D037F3"/>
    <w:rsid w:val="00D03A00"/>
    <w:rsid w:val="00D047CB"/>
    <w:rsid w:val="00D04C25"/>
    <w:rsid w:val="00D0659F"/>
    <w:rsid w:val="00D069EB"/>
    <w:rsid w:val="00D06B6C"/>
    <w:rsid w:val="00D06FAB"/>
    <w:rsid w:val="00D07145"/>
    <w:rsid w:val="00D071E5"/>
    <w:rsid w:val="00D07255"/>
    <w:rsid w:val="00D07A4D"/>
    <w:rsid w:val="00D07DF5"/>
    <w:rsid w:val="00D10583"/>
    <w:rsid w:val="00D10F8F"/>
    <w:rsid w:val="00D11081"/>
    <w:rsid w:val="00D112BF"/>
    <w:rsid w:val="00D1144F"/>
    <w:rsid w:val="00D1148B"/>
    <w:rsid w:val="00D115AD"/>
    <w:rsid w:val="00D11627"/>
    <w:rsid w:val="00D118F1"/>
    <w:rsid w:val="00D11FD5"/>
    <w:rsid w:val="00D12534"/>
    <w:rsid w:val="00D1300D"/>
    <w:rsid w:val="00D13050"/>
    <w:rsid w:val="00D1333E"/>
    <w:rsid w:val="00D13605"/>
    <w:rsid w:val="00D137D3"/>
    <w:rsid w:val="00D13FBE"/>
    <w:rsid w:val="00D14029"/>
    <w:rsid w:val="00D14401"/>
    <w:rsid w:val="00D14B7F"/>
    <w:rsid w:val="00D15079"/>
    <w:rsid w:val="00D15203"/>
    <w:rsid w:val="00D156E4"/>
    <w:rsid w:val="00D1598B"/>
    <w:rsid w:val="00D15E81"/>
    <w:rsid w:val="00D16435"/>
    <w:rsid w:val="00D166A0"/>
    <w:rsid w:val="00D16AC6"/>
    <w:rsid w:val="00D16D2B"/>
    <w:rsid w:val="00D16DAD"/>
    <w:rsid w:val="00D17167"/>
    <w:rsid w:val="00D17591"/>
    <w:rsid w:val="00D17842"/>
    <w:rsid w:val="00D17B83"/>
    <w:rsid w:val="00D17C88"/>
    <w:rsid w:val="00D201D9"/>
    <w:rsid w:val="00D2023A"/>
    <w:rsid w:val="00D20342"/>
    <w:rsid w:val="00D20971"/>
    <w:rsid w:val="00D20A6D"/>
    <w:rsid w:val="00D20AB1"/>
    <w:rsid w:val="00D20E7E"/>
    <w:rsid w:val="00D21082"/>
    <w:rsid w:val="00D215B5"/>
    <w:rsid w:val="00D21866"/>
    <w:rsid w:val="00D21AAE"/>
    <w:rsid w:val="00D21FCA"/>
    <w:rsid w:val="00D2221C"/>
    <w:rsid w:val="00D226C1"/>
    <w:rsid w:val="00D2282F"/>
    <w:rsid w:val="00D2286B"/>
    <w:rsid w:val="00D234F9"/>
    <w:rsid w:val="00D23E7F"/>
    <w:rsid w:val="00D24129"/>
    <w:rsid w:val="00D2450E"/>
    <w:rsid w:val="00D24BD4"/>
    <w:rsid w:val="00D25033"/>
    <w:rsid w:val="00D252DB"/>
    <w:rsid w:val="00D25D0F"/>
    <w:rsid w:val="00D26093"/>
    <w:rsid w:val="00D26209"/>
    <w:rsid w:val="00D26364"/>
    <w:rsid w:val="00D26603"/>
    <w:rsid w:val="00D2734B"/>
    <w:rsid w:val="00D27BDA"/>
    <w:rsid w:val="00D27CAC"/>
    <w:rsid w:val="00D301B0"/>
    <w:rsid w:val="00D3043B"/>
    <w:rsid w:val="00D30930"/>
    <w:rsid w:val="00D30BE0"/>
    <w:rsid w:val="00D31600"/>
    <w:rsid w:val="00D32170"/>
    <w:rsid w:val="00D32197"/>
    <w:rsid w:val="00D323DA"/>
    <w:rsid w:val="00D328FE"/>
    <w:rsid w:val="00D331E1"/>
    <w:rsid w:val="00D34DC7"/>
    <w:rsid w:val="00D34E57"/>
    <w:rsid w:val="00D34EF8"/>
    <w:rsid w:val="00D352A8"/>
    <w:rsid w:val="00D35796"/>
    <w:rsid w:val="00D362F3"/>
    <w:rsid w:val="00D364B7"/>
    <w:rsid w:val="00D36A25"/>
    <w:rsid w:val="00D37117"/>
    <w:rsid w:val="00D37842"/>
    <w:rsid w:val="00D37A69"/>
    <w:rsid w:val="00D40A42"/>
    <w:rsid w:val="00D41457"/>
    <w:rsid w:val="00D416FC"/>
    <w:rsid w:val="00D417E3"/>
    <w:rsid w:val="00D429F3"/>
    <w:rsid w:val="00D42EF5"/>
    <w:rsid w:val="00D43D0C"/>
    <w:rsid w:val="00D43E26"/>
    <w:rsid w:val="00D441F2"/>
    <w:rsid w:val="00D44637"/>
    <w:rsid w:val="00D4476B"/>
    <w:rsid w:val="00D44D41"/>
    <w:rsid w:val="00D45016"/>
    <w:rsid w:val="00D4569A"/>
    <w:rsid w:val="00D45B4A"/>
    <w:rsid w:val="00D45D6F"/>
    <w:rsid w:val="00D45E8F"/>
    <w:rsid w:val="00D464BE"/>
    <w:rsid w:val="00D46A43"/>
    <w:rsid w:val="00D46EAE"/>
    <w:rsid w:val="00D4707E"/>
    <w:rsid w:val="00D47C86"/>
    <w:rsid w:val="00D47D97"/>
    <w:rsid w:val="00D501AF"/>
    <w:rsid w:val="00D5026A"/>
    <w:rsid w:val="00D506B8"/>
    <w:rsid w:val="00D50818"/>
    <w:rsid w:val="00D509FF"/>
    <w:rsid w:val="00D51011"/>
    <w:rsid w:val="00D51B6B"/>
    <w:rsid w:val="00D525CF"/>
    <w:rsid w:val="00D526BB"/>
    <w:rsid w:val="00D528CC"/>
    <w:rsid w:val="00D52C2C"/>
    <w:rsid w:val="00D53351"/>
    <w:rsid w:val="00D5360D"/>
    <w:rsid w:val="00D53957"/>
    <w:rsid w:val="00D53B60"/>
    <w:rsid w:val="00D54007"/>
    <w:rsid w:val="00D54412"/>
    <w:rsid w:val="00D54614"/>
    <w:rsid w:val="00D549C4"/>
    <w:rsid w:val="00D54CAC"/>
    <w:rsid w:val="00D54DC3"/>
    <w:rsid w:val="00D554DF"/>
    <w:rsid w:val="00D55701"/>
    <w:rsid w:val="00D55B71"/>
    <w:rsid w:val="00D55B7F"/>
    <w:rsid w:val="00D5678F"/>
    <w:rsid w:val="00D56E11"/>
    <w:rsid w:val="00D56EDF"/>
    <w:rsid w:val="00D57136"/>
    <w:rsid w:val="00D57263"/>
    <w:rsid w:val="00D57353"/>
    <w:rsid w:val="00D578E5"/>
    <w:rsid w:val="00D57A71"/>
    <w:rsid w:val="00D57AFA"/>
    <w:rsid w:val="00D57C80"/>
    <w:rsid w:val="00D60EAB"/>
    <w:rsid w:val="00D6143C"/>
    <w:rsid w:val="00D616E6"/>
    <w:rsid w:val="00D61704"/>
    <w:rsid w:val="00D618ED"/>
    <w:rsid w:val="00D61AF2"/>
    <w:rsid w:val="00D62740"/>
    <w:rsid w:val="00D6337B"/>
    <w:rsid w:val="00D636A1"/>
    <w:rsid w:val="00D63AEB"/>
    <w:rsid w:val="00D6476D"/>
    <w:rsid w:val="00D6579A"/>
    <w:rsid w:val="00D658A4"/>
    <w:rsid w:val="00D66107"/>
    <w:rsid w:val="00D6662D"/>
    <w:rsid w:val="00D6689E"/>
    <w:rsid w:val="00D66E99"/>
    <w:rsid w:val="00D6796C"/>
    <w:rsid w:val="00D67E00"/>
    <w:rsid w:val="00D67E6E"/>
    <w:rsid w:val="00D703F8"/>
    <w:rsid w:val="00D70B24"/>
    <w:rsid w:val="00D70D7F"/>
    <w:rsid w:val="00D718BE"/>
    <w:rsid w:val="00D719A6"/>
    <w:rsid w:val="00D721BD"/>
    <w:rsid w:val="00D723EE"/>
    <w:rsid w:val="00D72DD7"/>
    <w:rsid w:val="00D732CD"/>
    <w:rsid w:val="00D73760"/>
    <w:rsid w:val="00D73850"/>
    <w:rsid w:val="00D73A3E"/>
    <w:rsid w:val="00D73A76"/>
    <w:rsid w:val="00D73DF0"/>
    <w:rsid w:val="00D7422C"/>
    <w:rsid w:val="00D7442D"/>
    <w:rsid w:val="00D745E0"/>
    <w:rsid w:val="00D74BC2"/>
    <w:rsid w:val="00D75F5F"/>
    <w:rsid w:val="00D7609E"/>
    <w:rsid w:val="00D76324"/>
    <w:rsid w:val="00D76758"/>
    <w:rsid w:val="00D7761A"/>
    <w:rsid w:val="00D779E1"/>
    <w:rsid w:val="00D77A0A"/>
    <w:rsid w:val="00D77AB8"/>
    <w:rsid w:val="00D77BD8"/>
    <w:rsid w:val="00D77C74"/>
    <w:rsid w:val="00D77C84"/>
    <w:rsid w:val="00D800B2"/>
    <w:rsid w:val="00D800C2"/>
    <w:rsid w:val="00D800E6"/>
    <w:rsid w:val="00D8084E"/>
    <w:rsid w:val="00D8097C"/>
    <w:rsid w:val="00D80A90"/>
    <w:rsid w:val="00D80C2F"/>
    <w:rsid w:val="00D81986"/>
    <w:rsid w:val="00D81BEA"/>
    <w:rsid w:val="00D822D2"/>
    <w:rsid w:val="00D8307B"/>
    <w:rsid w:val="00D83787"/>
    <w:rsid w:val="00D8460C"/>
    <w:rsid w:val="00D84671"/>
    <w:rsid w:val="00D84DC4"/>
    <w:rsid w:val="00D85035"/>
    <w:rsid w:val="00D853E4"/>
    <w:rsid w:val="00D855CC"/>
    <w:rsid w:val="00D859EF"/>
    <w:rsid w:val="00D85C31"/>
    <w:rsid w:val="00D85D47"/>
    <w:rsid w:val="00D85E88"/>
    <w:rsid w:val="00D85EC0"/>
    <w:rsid w:val="00D8618E"/>
    <w:rsid w:val="00D8692A"/>
    <w:rsid w:val="00D869EC"/>
    <w:rsid w:val="00D86AF2"/>
    <w:rsid w:val="00D86FA4"/>
    <w:rsid w:val="00D870A0"/>
    <w:rsid w:val="00D87212"/>
    <w:rsid w:val="00D873E8"/>
    <w:rsid w:val="00D87B15"/>
    <w:rsid w:val="00D87C27"/>
    <w:rsid w:val="00D902F4"/>
    <w:rsid w:val="00D90370"/>
    <w:rsid w:val="00D9066A"/>
    <w:rsid w:val="00D90774"/>
    <w:rsid w:val="00D90A09"/>
    <w:rsid w:val="00D90B32"/>
    <w:rsid w:val="00D90C1D"/>
    <w:rsid w:val="00D90C65"/>
    <w:rsid w:val="00D90F98"/>
    <w:rsid w:val="00D9140A"/>
    <w:rsid w:val="00D91600"/>
    <w:rsid w:val="00D918BD"/>
    <w:rsid w:val="00D91EB4"/>
    <w:rsid w:val="00D92D8B"/>
    <w:rsid w:val="00D93081"/>
    <w:rsid w:val="00D93951"/>
    <w:rsid w:val="00D93EB8"/>
    <w:rsid w:val="00D94711"/>
    <w:rsid w:val="00D94ED8"/>
    <w:rsid w:val="00D95070"/>
    <w:rsid w:val="00D95472"/>
    <w:rsid w:val="00D956D0"/>
    <w:rsid w:val="00D957D0"/>
    <w:rsid w:val="00D95D60"/>
    <w:rsid w:val="00D95D92"/>
    <w:rsid w:val="00D95FE6"/>
    <w:rsid w:val="00D962AF"/>
    <w:rsid w:val="00D96585"/>
    <w:rsid w:val="00D9686F"/>
    <w:rsid w:val="00D96D4A"/>
    <w:rsid w:val="00D976F8"/>
    <w:rsid w:val="00D97C71"/>
    <w:rsid w:val="00DA0BB2"/>
    <w:rsid w:val="00DA18D9"/>
    <w:rsid w:val="00DA1C24"/>
    <w:rsid w:val="00DA1CE6"/>
    <w:rsid w:val="00DA24E5"/>
    <w:rsid w:val="00DA2D30"/>
    <w:rsid w:val="00DA311D"/>
    <w:rsid w:val="00DA3182"/>
    <w:rsid w:val="00DA39B5"/>
    <w:rsid w:val="00DA3F77"/>
    <w:rsid w:val="00DA40A3"/>
    <w:rsid w:val="00DA4251"/>
    <w:rsid w:val="00DA4A84"/>
    <w:rsid w:val="00DA4B17"/>
    <w:rsid w:val="00DA4BFD"/>
    <w:rsid w:val="00DA4F79"/>
    <w:rsid w:val="00DA502D"/>
    <w:rsid w:val="00DA5383"/>
    <w:rsid w:val="00DA5C8F"/>
    <w:rsid w:val="00DA67F1"/>
    <w:rsid w:val="00DA74CE"/>
    <w:rsid w:val="00DA7515"/>
    <w:rsid w:val="00DA7B09"/>
    <w:rsid w:val="00DA7CA5"/>
    <w:rsid w:val="00DB0854"/>
    <w:rsid w:val="00DB1769"/>
    <w:rsid w:val="00DB23FD"/>
    <w:rsid w:val="00DB274F"/>
    <w:rsid w:val="00DB281A"/>
    <w:rsid w:val="00DB2A61"/>
    <w:rsid w:val="00DB2AFC"/>
    <w:rsid w:val="00DB2C0E"/>
    <w:rsid w:val="00DB2EB5"/>
    <w:rsid w:val="00DB3D55"/>
    <w:rsid w:val="00DB3E32"/>
    <w:rsid w:val="00DB4217"/>
    <w:rsid w:val="00DB451E"/>
    <w:rsid w:val="00DB4D4E"/>
    <w:rsid w:val="00DB4E0E"/>
    <w:rsid w:val="00DB5367"/>
    <w:rsid w:val="00DB55DC"/>
    <w:rsid w:val="00DB5968"/>
    <w:rsid w:val="00DB5B0A"/>
    <w:rsid w:val="00DB6069"/>
    <w:rsid w:val="00DB63D8"/>
    <w:rsid w:val="00DB6C1D"/>
    <w:rsid w:val="00DB6DE2"/>
    <w:rsid w:val="00DB7407"/>
    <w:rsid w:val="00DB7558"/>
    <w:rsid w:val="00DB76FE"/>
    <w:rsid w:val="00DB7895"/>
    <w:rsid w:val="00DC0126"/>
    <w:rsid w:val="00DC0381"/>
    <w:rsid w:val="00DC0521"/>
    <w:rsid w:val="00DC056B"/>
    <w:rsid w:val="00DC079D"/>
    <w:rsid w:val="00DC0828"/>
    <w:rsid w:val="00DC1D38"/>
    <w:rsid w:val="00DC1EBF"/>
    <w:rsid w:val="00DC1F5E"/>
    <w:rsid w:val="00DC2084"/>
    <w:rsid w:val="00DC2124"/>
    <w:rsid w:val="00DC232D"/>
    <w:rsid w:val="00DC27F7"/>
    <w:rsid w:val="00DC35C6"/>
    <w:rsid w:val="00DC39E8"/>
    <w:rsid w:val="00DC3F71"/>
    <w:rsid w:val="00DC46CF"/>
    <w:rsid w:val="00DC46FC"/>
    <w:rsid w:val="00DC4844"/>
    <w:rsid w:val="00DC4C08"/>
    <w:rsid w:val="00DC4F16"/>
    <w:rsid w:val="00DC5166"/>
    <w:rsid w:val="00DC56E1"/>
    <w:rsid w:val="00DC651B"/>
    <w:rsid w:val="00DC6C14"/>
    <w:rsid w:val="00DC71D4"/>
    <w:rsid w:val="00DC7419"/>
    <w:rsid w:val="00DC78A3"/>
    <w:rsid w:val="00DC7D6A"/>
    <w:rsid w:val="00DC7FAA"/>
    <w:rsid w:val="00DC7FCD"/>
    <w:rsid w:val="00DD0042"/>
    <w:rsid w:val="00DD049E"/>
    <w:rsid w:val="00DD0889"/>
    <w:rsid w:val="00DD0C86"/>
    <w:rsid w:val="00DD0CE5"/>
    <w:rsid w:val="00DD102A"/>
    <w:rsid w:val="00DD1173"/>
    <w:rsid w:val="00DD1299"/>
    <w:rsid w:val="00DD12B9"/>
    <w:rsid w:val="00DD1FF8"/>
    <w:rsid w:val="00DD20A4"/>
    <w:rsid w:val="00DD25D2"/>
    <w:rsid w:val="00DD2747"/>
    <w:rsid w:val="00DD2826"/>
    <w:rsid w:val="00DD3236"/>
    <w:rsid w:val="00DD3289"/>
    <w:rsid w:val="00DD33D6"/>
    <w:rsid w:val="00DD3591"/>
    <w:rsid w:val="00DD37C9"/>
    <w:rsid w:val="00DD37D7"/>
    <w:rsid w:val="00DD42DD"/>
    <w:rsid w:val="00DD491C"/>
    <w:rsid w:val="00DD4F20"/>
    <w:rsid w:val="00DD5066"/>
    <w:rsid w:val="00DD55BF"/>
    <w:rsid w:val="00DD5966"/>
    <w:rsid w:val="00DD5AFA"/>
    <w:rsid w:val="00DD6094"/>
    <w:rsid w:val="00DD6724"/>
    <w:rsid w:val="00DD6802"/>
    <w:rsid w:val="00DD6BC5"/>
    <w:rsid w:val="00DD736F"/>
    <w:rsid w:val="00DE03C7"/>
    <w:rsid w:val="00DE04F4"/>
    <w:rsid w:val="00DE0563"/>
    <w:rsid w:val="00DE095D"/>
    <w:rsid w:val="00DE0A29"/>
    <w:rsid w:val="00DE0A88"/>
    <w:rsid w:val="00DE0B43"/>
    <w:rsid w:val="00DE0E16"/>
    <w:rsid w:val="00DE0E4E"/>
    <w:rsid w:val="00DE1015"/>
    <w:rsid w:val="00DE10A7"/>
    <w:rsid w:val="00DE142D"/>
    <w:rsid w:val="00DE1515"/>
    <w:rsid w:val="00DE1643"/>
    <w:rsid w:val="00DE1656"/>
    <w:rsid w:val="00DE185A"/>
    <w:rsid w:val="00DE1CFF"/>
    <w:rsid w:val="00DE2426"/>
    <w:rsid w:val="00DE280E"/>
    <w:rsid w:val="00DE3B94"/>
    <w:rsid w:val="00DE411C"/>
    <w:rsid w:val="00DE5355"/>
    <w:rsid w:val="00DE5376"/>
    <w:rsid w:val="00DE5AFC"/>
    <w:rsid w:val="00DE6461"/>
    <w:rsid w:val="00DE7F2E"/>
    <w:rsid w:val="00DF0151"/>
    <w:rsid w:val="00DF080A"/>
    <w:rsid w:val="00DF0D66"/>
    <w:rsid w:val="00DF1053"/>
    <w:rsid w:val="00DF1CF7"/>
    <w:rsid w:val="00DF1D55"/>
    <w:rsid w:val="00DF1FB0"/>
    <w:rsid w:val="00DF2665"/>
    <w:rsid w:val="00DF385D"/>
    <w:rsid w:val="00DF39F3"/>
    <w:rsid w:val="00DF3B61"/>
    <w:rsid w:val="00DF3D84"/>
    <w:rsid w:val="00DF4526"/>
    <w:rsid w:val="00DF4D38"/>
    <w:rsid w:val="00DF5401"/>
    <w:rsid w:val="00DF629E"/>
    <w:rsid w:val="00DF7064"/>
    <w:rsid w:val="00DF710A"/>
    <w:rsid w:val="00DF77CB"/>
    <w:rsid w:val="00DF7B4D"/>
    <w:rsid w:val="00DF7E46"/>
    <w:rsid w:val="00E000F7"/>
    <w:rsid w:val="00E0031E"/>
    <w:rsid w:val="00E012D2"/>
    <w:rsid w:val="00E0134A"/>
    <w:rsid w:val="00E0194C"/>
    <w:rsid w:val="00E0199C"/>
    <w:rsid w:val="00E0208E"/>
    <w:rsid w:val="00E025E1"/>
    <w:rsid w:val="00E02BB9"/>
    <w:rsid w:val="00E0313B"/>
    <w:rsid w:val="00E03320"/>
    <w:rsid w:val="00E036D2"/>
    <w:rsid w:val="00E043E5"/>
    <w:rsid w:val="00E04ABF"/>
    <w:rsid w:val="00E04BE1"/>
    <w:rsid w:val="00E0546C"/>
    <w:rsid w:val="00E05699"/>
    <w:rsid w:val="00E057A8"/>
    <w:rsid w:val="00E06123"/>
    <w:rsid w:val="00E06891"/>
    <w:rsid w:val="00E06907"/>
    <w:rsid w:val="00E06AE1"/>
    <w:rsid w:val="00E07339"/>
    <w:rsid w:val="00E07372"/>
    <w:rsid w:val="00E079C4"/>
    <w:rsid w:val="00E07E9B"/>
    <w:rsid w:val="00E101CF"/>
    <w:rsid w:val="00E10383"/>
    <w:rsid w:val="00E10B76"/>
    <w:rsid w:val="00E10C45"/>
    <w:rsid w:val="00E10EF4"/>
    <w:rsid w:val="00E11038"/>
    <w:rsid w:val="00E11770"/>
    <w:rsid w:val="00E118DB"/>
    <w:rsid w:val="00E1199D"/>
    <w:rsid w:val="00E11B57"/>
    <w:rsid w:val="00E11B60"/>
    <w:rsid w:val="00E11B62"/>
    <w:rsid w:val="00E11DA1"/>
    <w:rsid w:val="00E11DF1"/>
    <w:rsid w:val="00E11FBE"/>
    <w:rsid w:val="00E120B5"/>
    <w:rsid w:val="00E126BA"/>
    <w:rsid w:val="00E12977"/>
    <w:rsid w:val="00E12ABA"/>
    <w:rsid w:val="00E12F2B"/>
    <w:rsid w:val="00E1330A"/>
    <w:rsid w:val="00E13806"/>
    <w:rsid w:val="00E13D1D"/>
    <w:rsid w:val="00E144DD"/>
    <w:rsid w:val="00E145F5"/>
    <w:rsid w:val="00E14975"/>
    <w:rsid w:val="00E14DDD"/>
    <w:rsid w:val="00E14FD7"/>
    <w:rsid w:val="00E1540A"/>
    <w:rsid w:val="00E154EE"/>
    <w:rsid w:val="00E15BE0"/>
    <w:rsid w:val="00E15D0B"/>
    <w:rsid w:val="00E15F86"/>
    <w:rsid w:val="00E16029"/>
    <w:rsid w:val="00E160AE"/>
    <w:rsid w:val="00E161F1"/>
    <w:rsid w:val="00E1630F"/>
    <w:rsid w:val="00E166A0"/>
    <w:rsid w:val="00E1697B"/>
    <w:rsid w:val="00E16D75"/>
    <w:rsid w:val="00E174D6"/>
    <w:rsid w:val="00E175B9"/>
    <w:rsid w:val="00E20024"/>
    <w:rsid w:val="00E201E2"/>
    <w:rsid w:val="00E20629"/>
    <w:rsid w:val="00E20BC9"/>
    <w:rsid w:val="00E21565"/>
    <w:rsid w:val="00E215D8"/>
    <w:rsid w:val="00E21A3B"/>
    <w:rsid w:val="00E22047"/>
    <w:rsid w:val="00E22A22"/>
    <w:rsid w:val="00E22D31"/>
    <w:rsid w:val="00E23765"/>
    <w:rsid w:val="00E2392A"/>
    <w:rsid w:val="00E23BC6"/>
    <w:rsid w:val="00E2414D"/>
    <w:rsid w:val="00E24210"/>
    <w:rsid w:val="00E242DB"/>
    <w:rsid w:val="00E243CB"/>
    <w:rsid w:val="00E24894"/>
    <w:rsid w:val="00E25028"/>
    <w:rsid w:val="00E25051"/>
    <w:rsid w:val="00E25244"/>
    <w:rsid w:val="00E25988"/>
    <w:rsid w:val="00E26678"/>
    <w:rsid w:val="00E26A60"/>
    <w:rsid w:val="00E26B1E"/>
    <w:rsid w:val="00E27443"/>
    <w:rsid w:val="00E27AD4"/>
    <w:rsid w:val="00E27CD3"/>
    <w:rsid w:val="00E27FB4"/>
    <w:rsid w:val="00E308F8"/>
    <w:rsid w:val="00E3141A"/>
    <w:rsid w:val="00E31D3D"/>
    <w:rsid w:val="00E3239E"/>
    <w:rsid w:val="00E32587"/>
    <w:rsid w:val="00E32A79"/>
    <w:rsid w:val="00E32CA2"/>
    <w:rsid w:val="00E32DFC"/>
    <w:rsid w:val="00E330F6"/>
    <w:rsid w:val="00E33235"/>
    <w:rsid w:val="00E33882"/>
    <w:rsid w:val="00E3475C"/>
    <w:rsid w:val="00E34970"/>
    <w:rsid w:val="00E34A5F"/>
    <w:rsid w:val="00E34DCD"/>
    <w:rsid w:val="00E359BC"/>
    <w:rsid w:val="00E35D03"/>
    <w:rsid w:val="00E35D3B"/>
    <w:rsid w:val="00E36065"/>
    <w:rsid w:val="00E36796"/>
    <w:rsid w:val="00E367CA"/>
    <w:rsid w:val="00E3691F"/>
    <w:rsid w:val="00E36BB5"/>
    <w:rsid w:val="00E3708D"/>
    <w:rsid w:val="00E37576"/>
    <w:rsid w:val="00E3794A"/>
    <w:rsid w:val="00E4015E"/>
    <w:rsid w:val="00E403A4"/>
    <w:rsid w:val="00E409AA"/>
    <w:rsid w:val="00E40B75"/>
    <w:rsid w:val="00E40D4D"/>
    <w:rsid w:val="00E40D9E"/>
    <w:rsid w:val="00E40FF4"/>
    <w:rsid w:val="00E416E5"/>
    <w:rsid w:val="00E41DE5"/>
    <w:rsid w:val="00E41F00"/>
    <w:rsid w:val="00E4201A"/>
    <w:rsid w:val="00E4201B"/>
    <w:rsid w:val="00E42C61"/>
    <w:rsid w:val="00E432E1"/>
    <w:rsid w:val="00E43C4B"/>
    <w:rsid w:val="00E43C63"/>
    <w:rsid w:val="00E44421"/>
    <w:rsid w:val="00E4512E"/>
    <w:rsid w:val="00E4524D"/>
    <w:rsid w:val="00E45322"/>
    <w:rsid w:val="00E45802"/>
    <w:rsid w:val="00E45C15"/>
    <w:rsid w:val="00E45F67"/>
    <w:rsid w:val="00E45FC1"/>
    <w:rsid w:val="00E46051"/>
    <w:rsid w:val="00E460E1"/>
    <w:rsid w:val="00E4620C"/>
    <w:rsid w:val="00E462AA"/>
    <w:rsid w:val="00E466AE"/>
    <w:rsid w:val="00E46DA6"/>
    <w:rsid w:val="00E471D6"/>
    <w:rsid w:val="00E4796C"/>
    <w:rsid w:val="00E5007D"/>
    <w:rsid w:val="00E506E1"/>
    <w:rsid w:val="00E50F74"/>
    <w:rsid w:val="00E51138"/>
    <w:rsid w:val="00E51919"/>
    <w:rsid w:val="00E51DA5"/>
    <w:rsid w:val="00E52439"/>
    <w:rsid w:val="00E52A9C"/>
    <w:rsid w:val="00E52C18"/>
    <w:rsid w:val="00E53545"/>
    <w:rsid w:val="00E5366B"/>
    <w:rsid w:val="00E53B6C"/>
    <w:rsid w:val="00E53F90"/>
    <w:rsid w:val="00E5432F"/>
    <w:rsid w:val="00E54370"/>
    <w:rsid w:val="00E548FD"/>
    <w:rsid w:val="00E54E90"/>
    <w:rsid w:val="00E55684"/>
    <w:rsid w:val="00E55805"/>
    <w:rsid w:val="00E55B69"/>
    <w:rsid w:val="00E5678E"/>
    <w:rsid w:val="00E5692A"/>
    <w:rsid w:val="00E56BCE"/>
    <w:rsid w:val="00E56D9A"/>
    <w:rsid w:val="00E56FFE"/>
    <w:rsid w:val="00E60769"/>
    <w:rsid w:val="00E61235"/>
    <w:rsid w:val="00E61448"/>
    <w:rsid w:val="00E618B3"/>
    <w:rsid w:val="00E61CDC"/>
    <w:rsid w:val="00E61F75"/>
    <w:rsid w:val="00E625B6"/>
    <w:rsid w:val="00E6269B"/>
    <w:rsid w:val="00E6299D"/>
    <w:rsid w:val="00E62E58"/>
    <w:rsid w:val="00E63089"/>
    <w:rsid w:val="00E63CAC"/>
    <w:rsid w:val="00E645AF"/>
    <w:rsid w:val="00E64A61"/>
    <w:rsid w:val="00E6592B"/>
    <w:rsid w:val="00E659CD"/>
    <w:rsid w:val="00E65B6D"/>
    <w:rsid w:val="00E666E1"/>
    <w:rsid w:val="00E67202"/>
    <w:rsid w:val="00E674F9"/>
    <w:rsid w:val="00E675BC"/>
    <w:rsid w:val="00E7021D"/>
    <w:rsid w:val="00E706CE"/>
    <w:rsid w:val="00E70724"/>
    <w:rsid w:val="00E70798"/>
    <w:rsid w:val="00E708A7"/>
    <w:rsid w:val="00E716CD"/>
    <w:rsid w:val="00E7260A"/>
    <w:rsid w:val="00E72A81"/>
    <w:rsid w:val="00E72AF5"/>
    <w:rsid w:val="00E72E73"/>
    <w:rsid w:val="00E72FF3"/>
    <w:rsid w:val="00E732AC"/>
    <w:rsid w:val="00E733F8"/>
    <w:rsid w:val="00E7391E"/>
    <w:rsid w:val="00E73BE4"/>
    <w:rsid w:val="00E73ECD"/>
    <w:rsid w:val="00E740CB"/>
    <w:rsid w:val="00E744BC"/>
    <w:rsid w:val="00E745B7"/>
    <w:rsid w:val="00E745D2"/>
    <w:rsid w:val="00E74ED1"/>
    <w:rsid w:val="00E7548B"/>
    <w:rsid w:val="00E758E9"/>
    <w:rsid w:val="00E75DBE"/>
    <w:rsid w:val="00E7612A"/>
    <w:rsid w:val="00E76486"/>
    <w:rsid w:val="00E76625"/>
    <w:rsid w:val="00E76CF8"/>
    <w:rsid w:val="00E77341"/>
    <w:rsid w:val="00E7767F"/>
    <w:rsid w:val="00E777B2"/>
    <w:rsid w:val="00E77DD9"/>
    <w:rsid w:val="00E8028C"/>
    <w:rsid w:val="00E8033C"/>
    <w:rsid w:val="00E80B1D"/>
    <w:rsid w:val="00E80DFE"/>
    <w:rsid w:val="00E80FC6"/>
    <w:rsid w:val="00E8142D"/>
    <w:rsid w:val="00E8154A"/>
    <w:rsid w:val="00E81CDF"/>
    <w:rsid w:val="00E8215F"/>
    <w:rsid w:val="00E8265F"/>
    <w:rsid w:val="00E82B2A"/>
    <w:rsid w:val="00E82DF9"/>
    <w:rsid w:val="00E8375C"/>
    <w:rsid w:val="00E83C92"/>
    <w:rsid w:val="00E84B8F"/>
    <w:rsid w:val="00E84C4F"/>
    <w:rsid w:val="00E84D71"/>
    <w:rsid w:val="00E84EB0"/>
    <w:rsid w:val="00E851B2"/>
    <w:rsid w:val="00E853C9"/>
    <w:rsid w:val="00E8553B"/>
    <w:rsid w:val="00E85D74"/>
    <w:rsid w:val="00E86715"/>
    <w:rsid w:val="00E86AD2"/>
    <w:rsid w:val="00E86CC0"/>
    <w:rsid w:val="00E8717D"/>
    <w:rsid w:val="00E8750E"/>
    <w:rsid w:val="00E878B5"/>
    <w:rsid w:val="00E879FE"/>
    <w:rsid w:val="00E87A55"/>
    <w:rsid w:val="00E87A79"/>
    <w:rsid w:val="00E87D63"/>
    <w:rsid w:val="00E90072"/>
    <w:rsid w:val="00E9051D"/>
    <w:rsid w:val="00E908E2"/>
    <w:rsid w:val="00E90939"/>
    <w:rsid w:val="00E9194E"/>
    <w:rsid w:val="00E920C4"/>
    <w:rsid w:val="00E921F8"/>
    <w:rsid w:val="00E92D48"/>
    <w:rsid w:val="00E92DA2"/>
    <w:rsid w:val="00E931E7"/>
    <w:rsid w:val="00E9321E"/>
    <w:rsid w:val="00E93438"/>
    <w:rsid w:val="00E934A0"/>
    <w:rsid w:val="00E9360D"/>
    <w:rsid w:val="00E938BD"/>
    <w:rsid w:val="00E93C63"/>
    <w:rsid w:val="00E93C76"/>
    <w:rsid w:val="00E93E2D"/>
    <w:rsid w:val="00E9412C"/>
    <w:rsid w:val="00E9419A"/>
    <w:rsid w:val="00E94B1C"/>
    <w:rsid w:val="00E95366"/>
    <w:rsid w:val="00E95645"/>
    <w:rsid w:val="00E95683"/>
    <w:rsid w:val="00E958B5"/>
    <w:rsid w:val="00E95AA4"/>
    <w:rsid w:val="00E96611"/>
    <w:rsid w:val="00E9682E"/>
    <w:rsid w:val="00E96F83"/>
    <w:rsid w:val="00E974BF"/>
    <w:rsid w:val="00E97617"/>
    <w:rsid w:val="00E977F4"/>
    <w:rsid w:val="00E97889"/>
    <w:rsid w:val="00E97A5E"/>
    <w:rsid w:val="00E97C90"/>
    <w:rsid w:val="00E97DE6"/>
    <w:rsid w:val="00EA0012"/>
    <w:rsid w:val="00EA0041"/>
    <w:rsid w:val="00EA004D"/>
    <w:rsid w:val="00EA0051"/>
    <w:rsid w:val="00EA066B"/>
    <w:rsid w:val="00EA0FD7"/>
    <w:rsid w:val="00EA1850"/>
    <w:rsid w:val="00EA2A02"/>
    <w:rsid w:val="00EA2ECF"/>
    <w:rsid w:val="00EA31C6"/>
    <w:rsid w:val="00EA35B4"/>
    <w:rsid w:val="00EA3AEE"/>
    <w:rsid w:val="00EA3D1F"/>
    <w:rsid w:val="00EA4277"/>
    <w:rsid w:val="00EA4CC0"/>
    <w:rsid w:val="00EA4ED4"/>
    <w:rsid w:val="00EA587F"/>
    <w:rsid w:val="00EA6008"/>
    <w:rsid w:val="00EA64A8"/>
    <w:rsid w:val="00EA66A2"/>
    <w:rsid w:val="00EA6731"/>
    <w:rsid w:val="00EA6DE4"/>
    <w:rsid w:val="00EA7B89"/>
    <w:rsid w:val="00EB05BF"/>
    <w:rsid w:val="00EB0848"/>
    <w:rsid w:val="00EB0925"/>
    <w:rsid w:val="00EB0C9C"/>
    <w:rsid w:val="00EB120C"/>
    <w:rsid w:val="00EB15E8"/>
    <w:rsid w:val="00EB1817"/>
    <w:rsid w:val="00EB1AF6"/>
    <w:rsid w:val="00EB1F07"/>
    <w:rsid w:val="00EB2094"/>
    <w:rsid w:val="00EB2168"/>
    <w:rsid w:val="00EB23D2"/>
    <w:rsid w:val="00EB24D5"/>
    <w:rsid w:val="00EB27C8"/>
    <w:rsid w:val="00EB31A7"/>
    <w:rsid w:val="00EB31AE"/>
    <w:rsid w:val="00EB3502"/>
    <w:rsid w:val="00EB3551"/>
    <w:rsid w:val="00EB3EE6"/>
    <w:rsid w:val="00EB403E"/>
    <w:rsid w:val="00EB4B3B"/>
    <w:rsid w:val="00EB4B4E"/>
    <w:rsid w:val="00EB4D50"/>
    <w:rsid w:val="00EB55CD"/>
    <w:rsid w:val="00EB585D"/>
    <w:rsid w:val="00EB5869"/>
    <w:rsid w:val="00EB5A49"/>
    <w:rsid w:val="00EB5CAD"/>
    <w:rsid w:val="00EB6085"/>
    <w:rsid w:val="00EB61F0"/>
    <w:rsid w:val="00EB62F1"/>
    <w:rsid w:val="00EB6300"/>
    <w:rsid w:val="00EB6345"/>
    <w:rsid w:val="00EB6E78"/>
    <w:rsid w:val="00EB7007"/>
    <w:rsid w:val="00EC1960"/>
    <w:rsid w:val="00EC1CF3"/>
    <w:rsid w:val="00EC1D33"/>
    <w:rsid w:val="00EC2473"/>
    <w:rsid w:val="00EC2665"/>
    <w:rsid w:val="00EC29B1"/>
    <w:rsid w:val="00EC2C64"/>
    <w:rsid w:val="00EC2EA9"/>
    <w:rsid w:val="00EC308C"/>
    <w:rsid w:val="00EC33B1"/>
    <w:rsid w:val="00EC37B3"/>
    <w:rsid w:val="00EC3C3A"/>
    <w:rsid w:val="00EC43BB"/>
    <w:rsid w:val="00EC4502"/>
    <w:rsid w:val="00EC45CA"/>
    <w:rsid w:val="00EC48B9"/>
    <w:rsid w:val="00EC4CC6"/>
    <w:rsid w:val="00EC4FAF"/>
    <w:rsid w:val="00EC5087"/>
    <w:rsid w:val="00EC5834"/>
    <w:rsid w:val="00EC6509"/>
    <w:rsid w:val="00EC65E5"/>
    <w:rsid w:val="00EC69DF"/>
    <w:rsid w:val="00EC6B7C"/>
    <w:rsid w:val="00EC6C7D"/>
    <w:rsid w:val="00EC720F"/>
    <w:rsid w:val="00EC72EE"/>
    <w:rsid w:val="00EC7437"/>
    <w:rsid w:val="00EC74CF"/>
    <w:rsid w:val="00ED02AC"/>
    <w:rsid w:val="00ED083B"/>
    <w:rsid w:val="00ED08E8"/>
    <w:rsid w:val="00ED0E38"/>
    <w:rsid w:val="00ED1A68"/>
    <w:rsid w:val="00ED1DE5"/>
    <w:rsid w:val="00ED1FFF"/>
    <w:rsid w:val="00ED2747"/>
    <w:rsid w:val="00ED2811"/>
    <w:rsid w:val="00ED2A10"/>
    <w:rsid w:val="00ED325B"/>
    <w:rsid w:val="00ED3505"/>
    <w:rsid w:val="00ED38FA"/>
    <w:rsid w:val="00ED3937"/>
    <w:rsid w:val="00ED3B09"/>
    <w:rsid w:val="00ED3DF2"/>
    <w:rsid w:val="00ED3F2E"/>
    <w:rsid w:val="00ED446F"/>
    <w:rsid w:val="00ED49A1"/>
    <w:rsid w:val="00ED4ACB"/>
    <w:rsid w:val="00ED4DF5"/>
    <w:rsid w:val="00ED5556"/>
    <w:rsid w:val="00ED5941"/>
    <w:rsid w:val="00ED623D"/>
    <w:rsid w:val="00ED6257"/>
    <w:rsid w:val="00ED63F2"/>
    <w:rsid w:val="00ED6878"/>
    <w:rsid w:val="00ED70A9"/>
    <w:rsid w:val="00ED75FD"/>
    <w:rsid w:val="00EE020C"/>
    <w:rsid w:val="00EE0553"/>
    <w:rsid w:val="00EE055C"/>
    <w:rsid w:val="00EE0581"/>
    <w:rsid w:val="00EE0D06"/>
    <w:rsid w:val="00EE117B"/>
    <w:rsid w:val="00EE144E"/>
    <w:rsid w:val="00EE14D2"/>
    <w:rsid w:val="00EE2730"/>
    <w:rsid w:val="00EE27E7"/>
    <w:rsid w:val="00EE2994"/>
    <w:rsid w:val="00EE29AA"/>
    <w:rsid w:val="00EE2F14"/>
    <w:rsid w:val="00EE304D"/>
    <w:rsid w:val="00EE31DD"/>
    <w:rsid w:val="00EE336B"/>
    <w:rsid w:val="00EE343C"/>
    <w:rsid w:val="00EE4301"/>
    <w:rsid w:val="00EE4399"/>
    <w:rsid w:val="00EE4A48"/>
    <w:rsid w:val="00EE4F60"/>
    <w:rsid w:val="00EE57C5"/>
    <w:rsid w:val="00EE63A5"/>
    <w:rsid w:val="00EE6582"/>
    <w:rsid w:val="00EE67C7"/>
    <w:rsid w:val="00EE6A90"/>
    <w:rsid w:val="00EE6AAA"/>
    <w:rsid w:val="00EE70C4"/>
    <w:rsid w:val="00EE72F1"/>
    <w:rsid w:val="00EE7378"/>
    <w:rsid w:val="00EF0586"/>
    <w:rsid w:val="00EF0B60"/>
    <w:rsid w:val="00EF0D67"/>
    <w:rsid w:val="00EF0EB2"/>
    <w:rsid w:val="00EF1BBE"/>
    <w:rsid w:val="00EF1E98"/>
    <w:rsid w:val="00EF215C"/>
    <w:rsid w:val="00EF2AD8"/>
    <w:rsid w:val="00EF2B03"/>
    <w:rsid w:val="00EF2B3D"/>
    <w:rsid w:val="00EF2EA5"/>
    <w:rsid w:val="00EF44DE"/>
    <w:rsid w:val="00EF46BE"/>
    <w:rsid w:val="00EF4C1A"/>
    <w:rsid w:val="00EF505D"/>
    <w:rsid w:val="00EF55C3"/>
    <w:rsid w:val="00EF59FC"/>
    <w:rsid w:val="00EF5C9B"/>
    <w:rsid w:val="00EF693F"/>
    <w:rsid w:val="00EF6F07"/>
    <w:rsid w:val="00EF7348"/>
    <w:rsid w:val="00EF7B4E"/>
    <w:rsid w:val="00EF7D10"/>
    <w:rsid w:val="00EF7D5C"/>
    <w:rsid w:val="00EF7EC1"/>
    <w:rsid w:val="00F000D4"/>
    <w:rsid w:val="00F000DF"/>
    <w:rsid w:val="00F00130"/>
    <w:rsid w:val="00F00312"/>
    <w:rsid w:val="00F00680"/>
    <w:rsid w:val="00F009E8"/>
    <w:rsid w:val="00F00AF6"/>
    <w:rsid w:val="00F0120B"/>
    <w:rsid w:val="00F01A68"/>
    <w:rsid w:val="00F01C4B"/>
    <w:rsid w:val="00F01C5B"/>
    <w:rsid w:val="00F01E62"/>
    <w:rsid w:val="00F02AB4"/>
    <w:rsid w:val="00F035BF"/>
    <w:rsid w:val="00F037C4"/>
    <w:rsid w:val="00F03954"/>
    <w:rsid w:val="00F03F06"/>
    <w:rsid w:val="00F03F2B"/>
    <w:rsid w:val="00F0413A"/>
    <w:rsid w:val="00F0428A"/>
    <w:rsid w:val="00F0476E"/>
    <w:rsid w:val="00F04E79"/>
    <w:rsid w:val="00F04E9C"/>
    <w:rsid w:val="00F05478"/>
    <w:rsid w:val="00F05789"/>
    <w:rsid w:val="00F06607"/>
    <w:rsid w:val="00F06B13"/>
    <w:rsid w:val="00F06BCF"/>
    <w:rsid w:val="00F075EA"/>
    <w:rsid w:val="00F0791B"/>
    <w:rsid w:val="00F07BC0"/>
    <w:rsid w:val="00F07C38"/>
    <w:rsid w:val="00F07D89"/>
    <w:rsid w:val="00F10192"/>
    <w:rsid w:val="00F1144A"/>
    <w:rsid w:val="00F1169F"/>
    <w:rsid w:val="00F11AB4"/>
    <w:rsid w:val="00F123B7"/>
    <w:rsid w:val="00F12B7C"/>
    <w:rsid w:val="00F12D85"/>
    <w:rsid w:val="00F12EFB"/>
    <w:rsid w:val="00F13ABC"/>
    <w:rsid w:val="00F13C12"/>
    <w:rsid w:val="00F13C56"/>
    <w:rsid w:val="00F13D01"/>
    <w:rsid w:val="00F14117"/>
    <w:rsid w:val="00F151F0"/>
    <w:rsid w:val="00F152F7"/>
    <w:rsid w:val="00F15977"/>
    <w:rsid w:val="00F15A4B"/>
    <w:rsid w:val="00F15C6E"/>
    <w:rsid w:val="00F15DA0"/>
    <w:rsid w:val="00F16031"/>
    <w:rsid w:val="00F168D9"/>
    <w:rsid w:val="00F16C91"/>
    <w:rsid w:val="00F16D8F"/>
    <w:rsid w:val="00F16DB9"/>
    <w:rsid w:val="00F16E17"/>
    <w:rsid w:val="00F179C2"/>
    <w:rsid w:val="00F17B62"/>
    <w:rsid w:val="00F17E2F"/>
    <w:rsid w:val="00F203C6"/>
    <w:rsid w:val="00F2066F"/>
    <w:rsid w:val="00F20FE0"/>
    <w:rsid w:val="00F211BF"/>
    <w:rsid w:val="00F214D3"/>
    <w:rsid w:val="00F217DC"/>
    <w:rsid w:val="00F2201D"/>
    <w:rsid w:val="00F222FF"/>
    <w:rsid w:val="00F2244A"/>
    <w:rsid w:val="00F2246E"/>
    <w:rsid w:val="00F2291A"/>
    <w:rsid w:val="00F22EA3"/>
    <w:rsid w:val="00F235C1"/>
    <w:rsid w:val="00F23A8A"/>
    <w:rsid w:val="00F23B1B"/>
    <w:rsid w:val="00F252A5"/>
    <w:rsid w:val="00F25444"/>
    <w:rsid w:val="00F26980"/>
    <w:rsid w:val="00F2786B"/>
    <w:rsid w:val="00F2797E"/>
    <w:rsid w:val="00F27A78"/>
    <w:rsid w:val="00F30089"/>
    <w:rsid w:val="00F30206"/>
    <w:rsid w:val="00F30222"/>
    <w:rsid w:val="00F31084"/>
    <w:rsid w:val="00F315E2"/>
    <w:rsid w:val="00F316C8"/>
    <w:rsid w:val="00F318FB"/>
    <w:rsid w:val="00F31ADD"/>
    <w:rsid w:val="00F32017"/>
    <w:rsid w:val="00F32228"/>
    <w:rsid w:val="00F32804"/>
    <w:rsid w:val="00F328C7"/>
    <w:rsid w:val="00F32DBD"/>
    <w:rsid w:val="00F334EA"/>
    <w:rsid w:val="00F334EE"/>
    <w:rsid w:val="00F3358E"/>
    <w:rsid w:val="00F33A81"/>
    <w:rsid w:val="00F33B16"/>
    <w:rsid w:val="00F33B5B"/>
    <w:rsid w:val="00F34269"/>
    <w:rsid w:val="00F34866"/>
    <w:rsid w:val="00F34AC4"/>
    <w:rsid w:val="00F350A3"/>
    <w:rsid w:val="00F3553F"/>
    <w:rsid w:val="00F355B6"/>
    <w:rsid w:val="00F35A20"/>
    <w:rsid w:val="00F35F42"/>
    <w:rsid w:val="00F36030"/>
    <w:rsid w:val="00F360DD"/>
    <w:rsid w:val="00F366E6"/>
    <w:rsid w:val="00F3673F"/>
    <w:rsid w:val="00F36A5D"/>
    <w:rsid w:val="00F375F9"/>
    <w:rsid w:val="00F37E54"/>
    <w:rsid w:val="00F405F0"/>
    <w:rsid w:val="00F40EE0"/>
    <w:rsid w:val="00F41195"/>
    <w:rsid w:val="00F41979"/>
    <w:rsid w:val="00F419AD"/>
    <w:rsid w:val="00F422EB"/>
    <w:rsid w:val="00F42B5F"/>
    <w:rsid w:val="00F42BF6"/>
    <w:rsid w:val="00F42E1E"/>
    <w:rsid w:val="00F43155"/>
    <w:rsid w:val="00F439F6"/>
    <w:rsid w:val="00F44613"/>
    <w:rsid w:val="00F44870"/>
    <w:rsid w:val="00F448CD"/>
    <w:rsid w:val="00F4498C"/>
    <w:rsid w:val="00F452E7"/>
    <w:rsid w:val="00F45AD1"/>
    <w:rsid w:val="00F45AE3"/>
    <w:rsid w:val="00F45E45"/>
    <w:rsid w:val="00F46FC3"/>
    <w:rsid w:val="00F5067B"/>
    <w:rsid w:val="00F516CC"/>
    <w:rsid w:val="00F5187A"/>
    <w:rsid w:val="00F51B33"/>
    <w:rsid w:val="00F51F35"/>
    <w:rsid w:val="00F51FF8"/>
    <w:rsid w:val="00F523E6"/>
    <w:rsid w:val="00F52A3D"/>
    <w:rsid w:val="00F52BA8"/>
    <w:rsid w:val="00F52C40"/>
    <w:rsid w:val="00F52FA8"/>
    <w:rsid w:val="00F534B1"/>
    <w:rsid w:val="00F538A0"/>
    <w:rsid w:val="00F53982"/>
    <w:rsid w:val="00F5432D"/>
    <w:rsid w:val="00F54AA7"/>
    <w:rsid w:val="00F54B08"/>
    <w:rsid w:val="00F54BC8"/>
    <w:rsid w:val="00F550CD"/>
    <w:rsid w:val="00F5533E"/>
    <w:rsid w:val="00F55CDD"/>
    <w:rsid w:val="00F561E6"/>
    <w:rsid w:val="00F6061C"/>
    <w:rsid w:val="00F616A3"/>
    <w:rsid w:val="00F61C3C"/>
    <w:rsid w:val="00F61DE9"/>
    <w:rsid w:val="00F6254E"/>
    <w:rsid w:val="00F6266A"/>
    <w:rsid w:val="00F62730"/>
    <w:rsid w:val="00F62E07"/>
    <w:rsid w:val="00F62F29"/>
    <w:rsid w:val="00F63979"/>
    <w:rsid w:val="00F644E5"/>
    <w:rsid w:val="00F65336"/>
    <w:rsid w:val="00F658C7"/>
    <w:rsid w:val="00F66C73"/>
    <w:rsid w:val="00F66F16"/>
    <w:rsid w:val="00F66F6D"/>
    <w:rsid w:val="00F67610"/>
    <w:rsid w:val="00F67F4A"/>
    <w:rsid w:val="00F70108"/>
    <w:rsid w:val="00F70373"/>
    <w:rsid w:val="00F708C5"/>
    <w:rsid w:val="00F71E85"/>
    <w:rsid w:val="00F72240"/>
    <w:rsid w:val="00F724B1"/>
    <w:rsid w:val="00F724B2"/>
    <w:rsid w:val="00F72934"/>
    <w:rsid w:val="00F72DF3"/>
    <w:rsid w:val="00F72FEB"/>
    <w:rsid w:val="00F73438"/>
    <w:rsid w:val="00F73768"/>
    <w:rsid w:val="00F73B06"/>
    <w:rsid w:val="00F74724"/>
    <w:rsid w:val="00F74869"/>
    <w:rsid w:val="00F7532F"/>
    <w:rsid w:val="00F754CC"/>
    <w:rsid w:val="00F755EB"/>
    <w:rsid w:val="00F75ACE"/>
    <w:rsid w:val="00F75FE7"/>
    <w:rsid w:val="00F76020"/>
    <w:rsid w:val="00F7616C"/>
    <w:rsid w:val="00F76328"/>
    <w:rsid w:val="00F772E7"/>
    <w:rsid w:val="00F77FC7"/>
    <w:rsid w:val="00F806A3"/>
    <w:rsid w:val="00F80AE0"/>
    <w:rsid w:val="00F80AE3"/>
    <w:rsid w:val="00F80B53"/>
    <w:rsid w:val="00F80F5B"/>
    <w:rsid w:val="00F8101A"/>
    <w:rsid w:val="00F81915"/>
    <w:rsid w:val="00F820BB"/>
    <w:rsid w:val="00F8253C"/>
    <w:rsid w:val="00F826FF"/>
    <w:rsid w:val="00F8282F"/>
    <w:rsid w:val="00F83266"/>
    <w:rsid w:val="00F83486"/>
    <w:rsid w:val="00F83B3A"/>
    <w:rsid w:val="00F84145"/>
    <w:rsid w:val="00F84363"/>
    <w:rsid w:val="00F84402"/>
    <w:rsid w:val="00F845B4"/>
    <w:rsid w:val="00F849A4"/>
    <w:rsid w:val="00F84EF5"/>
    <w:rsid w:val="00F8566B"/>
    <w:rsid w:val="00F85D6D"/>
    <w:rsid w:val="00F85DAB"/>
    <w:rsid w:val="00F862B6"/>
    <w:rsid w:val="00F87167"/>
    <w:rsid w:val="00F87364"/>
    <w:rsid w:val="00F90542"/>
    <w:rsid w:val="00F90ACC"/>
    <w:rsid w:val="00F90AED"/>
    <w:rsid w:val="00F90B78"/>
    <w:rsid w:val="00F91385"/>
    <w:rsid w:val="00F91515"/>
    <w:rsid w:val="00F91692"/>
    <w:rsid w:val="00F923A4"/>
    <w:rsid w:val="00F93065"/>
    <w:rsid w:val="00F933C7"/>
    <w:rsid w:val="00F9396F"/>
    <w:rsid w:val="00F93AC3"/>
    <w:rsid w:val="00F93C54"/>
    <w:rsid w:val="00F94067"/>
    <w:rsid w:val="00F94FE7"/>
    <w:rsid w:val="00F95833"/>
    <w:rsid w:val="00F95906"/>
    <w:rsid w:val="00F95AF2"/>
    <w:rsid w:val="00F95D92"/>
    <w:rsid w:val="00F966A9"/>
    <w:rsid w:val="00F96894"/>
    <w:rsid w:val="00F96953"/>
    <w:rsid w:val="00F96C87"/>
    <w:rsid w:val="00F96CD4"/>
    <w:rsid w:val="00F96D76"/>
    <w:rsid w:val="00F973D5"/>
    <w:rsid w:val="00F9794F"/>
    <w:rsid w:val="00FA01A6"/>
    <w:rsid w:val="00FA1003"/>
    <w:rsid w:val="00FA1421"/>
    <w:rsid w:val="00FA146D"/>
    <w:rsid w:val="00FA1924"/>
    <w:rsid w:val="00FA1B14"/>
    <w:rsid w:val="00FA1DDA"/>
    <w:rsid w:val="00FA1F79"/>
    <w:rsid w:val="00FA228F"/>
    <w:rsid w:val="00FA268C"/>
    <w:rsid w:val="00FA280D"/>
    <w:rsid w:val="00FA2A22"/>
    <w:rsid w:val="00FA2AC3"/>
    <w:rsid w:val="00FA2BEE"/>
    <w:rsid w:val="00FA2D61"/>
    <w:rsid w:val="00FA2E69"/>
    <w:rsid w:val="00FA2EFB"/>
    <w:rsid w:val="00FA307F"/>
    <w:rsid w:val="00FA322C"/>
    <w:rsid w:val="00FA3746"/>
    <w:rsid w:val="00FA3B0B"/>
    <w:rsid w:val="00FA3CB4"/>
    <w:rsid w:val="00FA3EB6"/>
    <w:rsid w:val="00FA40B3"/>
    <w:rsid w:val="00FA41F6"/>
    <w:rsid w:val="00FA4555"/>
    <w:rsid w:val="00FA4587"/>
    <w:rsid w:val="00FA4891"/>
    <w:rsid w:val="00FA4D64"/>
    <w:rsid w:val="00FA4EC4"/>
    <w:rsid w:val="00FA4F12"/>
    <w:rsid w:val="00FA51B2"/>
    <w:rsid w:val="00FA525D"/>
    <w:rsid w:val="00FA594F"/>
    <w:rsid w:val="00FA5C75"/>
    <w:rsid w:val="00FA5D95"/>
    <w:rsid w:val="00FA6445"/>
    <w:rsid w:val="00FA660C"/>
    <w:rsid w:val="00FA69F3"/>
    <w:rsid w:val="00FA7274"/>
    <w:rsid w:val="00FA75AF"/>
    <w:rsid w:val="00FA76AF"/>
    <w:rsid w:val="00FA7D5A"/>
    <w:rsid w:val="00FB0265"/>
    <w:rsid w:val="00FB0A38"/>
    <w:rsid w:val="00FB0D27"/>
    <w:rsid w:val="00FB0F95"/>
    <w:rsid w:val="00FB1817"/>
    <w:rsid w:val="00FB1959"/>
    <w:rsid w:val="00FB1B85"/>
    <w:rsid w:val="00FB1D0A"/>
    <w:rsid w:val="00FB1FDF"/>
    <w:rsid w:val="00FB2350"/>
    <w:rsid w:val="00FB2637"/>
    <w:rsid w:val="00FB26AE"/>
    <w:rsid w:val="00FB28FA"/>
    <w:rsid w:val="00FB3194"/>
    <w:rsid w:val="00FB3884"/>
    <w:rsid w:val="00FB3B27"/>
    <w:rsid w:val="00FB47BA"/>
    <w:rsid w:val="00FB51BD"/>
    <w:rsid w:val="00FB5EAB"/>
    <w:rsid w:val="00FB60CC"/>
    <w:rsid w:val="00FB630E"/>
    <w:rsid w:val="00FB6535"/>
    <w:rsid w:val="00FB6DB5"/>
    <w:rsid w:val="00FB7282"/>
    <w:rsid w:val="00FB75E4"/>
    <w:rsid w:val="00FB7EBF"/>
    <w:rsid w:val="00FC02F4"/>
    <w:rsid w:val="00FC08C4"/>
    <w:rsid w:val="00FC08CA"/>
    <w:rsid w:val="00FC0A57"/>
    <w:rsid w:val="00FC14E5"/>
    <w:rsid w:val="00FC18FE"/>
    <w:rsid w:val="00FC20C6"/>
    <w:rsid w:val="00FC2405"/>
    <w:rsid w:val="00FC277A"/>
    <w:rsid w:val="00FC3146"/>
    <w:rsid w:val="00FC31A1"/>
    <w:rsid w:val="00FC34CE"/>
    <w:rsid w:val="00FC3509"/>
    <w:rsid w:val="00FC3A31"/>
    <w:rsid w:val="00FC3BC2"/>
    <w:rsid w:val="00FC3F39"/>
    <w:rsid w:val="00FC492F"/>
    <w:rsid w:val="00FC4CBE"/>
    <w:rsid w:val="00FC5621"/>
    <w:rsid w:val="00FC57B6"/>
    <w:rsid w:val="00FC5910"/>
    <w:rsid w:val="00FC60EC"/>
    <w:rsid w:val="00FC6377"/>
    <w:rsid w:val="00FC663E"/>
    <w:rsid w:val="00FC69DE"/>
    <w:rsid w:val="00FC7120"/>
    <w:rsid w:val="00FC7DE1"/>
    <w:rsid w:val="00FC7EBB"/>
    <w:rsid w:val="00FD01B5"/>
    <w:rsid w:val="00FD0966"/>
    <w:rsid w:val="00FD0CC7"/>
    <w:rsid w:val="00FD1609"/>
    <w:rsid w:val="00FD1A3E"/>
    <w:rsid w:val="00FD1AE7"/>
    <w:rsid w:val="00FD1C78"/>
    <w:rsid w:val="00FD22C4"/>
    <w:rsid w:val="00FD25F0"/>
    <w:rsid w:val="00FD2C75"/>
    <w:rsid w:val="00FD314F"/>
    <w:rsid w:val="00FD31B1"/>
    <w:rsid w:val="00FD3C49"/>
    <w:rsid w:val="00FD3D48"/>
    <w:rsid w:val="00FD3F98"/>
    <w:rsid w:val="00FD3FA0"/>
    <w:rsid w:val="00FD445D"/>
    <w:rsid w:val="00FD513B"/>
    <w:rsid w:val="00FD529A"/>
    <w:rsid w:val="00FD52CC"/>
    <w:rsid w:val="00FD5355"/>
    <w:rsid w:val="00FD5465"/>
    <w:rsid w:val="00FD5649"/>
    <w:rsid w:val="00FD5BA6"/>
    <w:rsid w:val="00FD5ECF"/>
    <w:rsid w:val="00FD633F"/>
    <w:rsid w:val="00FD722E"/>
    <w:rsid w:val="00FD763C"/>
    <w:rsid w:val="00FD7BCB"/>
    <w:rsid w:val="00FD7CDB"/>
    <w:rsid w:val="00FD7D14"/>
    <w:rsid w:val="00FE01E6"/>
    <w:rsid w:val="00FE0250"/>
    <w:rsid w:val="00FE03F9"/>
    <w:rsid w:val="00FE24C9"/>
    <w:rsid w:val="00FE2518"/>
    <w:rsid w:val="00FE2A84"/>
    <w:rsid w:val="00FE2AA1"/>
    <w:rsid w:val="00FE2AA7"/>
    <w:rsid w:val="00FE2D33"/>
    <w:rsid w:val="00FE3B1D"/>
    <w:rsid w:val="00FE3D77"/>
    <w:rsid w:val="00FE492D"/>
    <w:rsid w:val="00FE496A"/>
    <w:rsid w:val="00FE4AD4"/>
    <w:rsid w:val="00FE4B45"/>
    <w:rsid w:val="00FE4BEB"/>
    <w:rsid w:val="00FE4DB6"/>
    <w:rsid w:val="00FE510D"/>
    <w:rsid w:val="00FE55EA"/>
    <w:rsid w:val="00FE5A4E"/>
    <w:rsid w:val="00FE5C19"/>
    <w:rsid w:val="00FE5CD1"/>
    <w:rsid w:val="00FE5E5E"/>
    <w:rsid w:val="00FE5EAF"/>
    <w:rsid w:val="00FE638E"/>
    <w:rsid w:val="00FE65D9"/>
    <w:rsid w:val="00FE6948"/>
    <w:rsid w:val="00FE6D1C"/>
    <w:rsid w:val="00FE71D5"/>
    <w:rsid w:val="00FE74DA"/>
    <w:rsid w:val="00FE7DB8"/>
    <w:rsid w:val="00FF02A1"/>
    <w:rsid w:val="00FF0429"/>
    <w:rsid w:val="00FF0952"/>
    <w:rsid w:val="00FF0D2D"/>
    <w:rsid w:val="00FF0E16"/>
    <w:rsid w:val="00FF1076"/>
    <w:rsid w:val="00FF160E"/>
    <w:rsid w:val="00FF17D0"/>
    <w:rsid w:val="00FF1A1B"/>
    <w:rsid w:val="00FF1D96"/>
    <w:rsid w:val="00FF21F8"/>
    <w:rsid w:val="00FF2667"/>
    <w:rsid w:val="00FF26C4"/>
    <w:rsid w:val="00FF2A98"/>
    <w:rsid w:val="00FF324E"/>
    <w:rsid w:val="00FF3DA9"/>
    <w:rsid w:val="00FF3E7D"/>
    <w:rsid w:val="00FF4013"/>
    <w:rsid w:val="00FF5265"/>
    <w:rsid w:val="00FF5549"/>
    <w:rsid w:val="00FF5C36"/>
    <w:rsid w:val="00FF6002"/>
    <w:rsid w:val="00FF6281"/>
    <w:rsid w:val="00FF6910"/>
    <w:rsid w:val="00FF6978"/>
    <w:rsid w:val="00FF70B9"/>
    <w:rsid w:val="00FF7363"/>
    <w:rsid w:val="00FF73E1"/>
    <w:rsid w:val="00FF74F6"/>
    <w:rsid w:val="00FF75DA"/>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B4DA188D-BCA5-4247-A0F2-DD5FF25DC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semiHidden/>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0"/>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styleId="Tablanormal1">
    <w:name w:val="Plain Table 1"/>
    <w:basedOn w:val="Tablanormal"/>
    <w:uiPriority w:val="41"/>
    <w:rsid w:val="00D1108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330C9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Car">
    <w:name w:val="Título Car"/>
    <w:basedOn w:val="Fuentedeprrafopredeter"/>
    <w:link w:val="Ttulo"/>
    <w:uiPriority w:val="1"/>
    <w:rsid w:val="00EF1BBE"/>
    <w:rPr>
      <w:b/>
      <w:bCs/>
      <w:sz w:val="24"/>
      <w:szCs w:val="24"/>
      <w:lang w:eastAsia="es-ES"/>
    </w:rPr>
  </w:style>
  <w:style w:type="character" w:styleId="Refdecomentario">
    <w:name w:val="annotation reference"/>
    <w:basedOn w:val="Fuentedeprrafopredeter"/>
    <w:semiHidden/>
    <w:unhideWhenUsed/>
    <w:rsid w:val="002B4515"/>
    <w:rPr>
      <w:sz w:val="16"/>
      <w:szCs w:val="16"/>
    </w:rPr>
  </w:style>
  <w:style w:type="table" w:customStyle="1" w:styleId="TableNormal1">
    <w:name w:val="Table Normal1"/>
    <w:uiPriority w:val="2"/>
    <w:semiHidden/>
    <w:unhideWhenUsed/>
    <w:qFormat/>
    <w:rsid w:val="0004571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4817994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footer" Target="footer3.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1.png"/><Relationship Id="rId5" Type="http://schemas.openxmlformats.org/officeDocument/2006/relationships/numbering" Target="numbering.xml"/><Relationship Id="rId61" Type="http://schemas.openxmlformats.org/officeDocument/2006/relationships/image" Target="media/image48.png"/><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6.pn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image" Target="media/image58.jpeg"/><Relationship Id="rId2" Type="http://schemas.openxmlformats.org/officeDocument/2006/relationships/customXml" Target="../customXml/item2.xml"/><Relationship Id="rId29" Type="http://schemas.openxmlformats.org/officeDocument/2006/relationships/image" Target="media/image16.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altName w:val="Abadi"/>
    <w:charset w:val="00"/>
    <w:family w:val="swiss"/>
    <w:pitch w:val="variable"/>
    <w:sig w:usb0="8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Microsoft Sans Serif-Bold-1218">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ItalicMT">
    <w:altName w:val="Arial"/>
    <w:panose1 w:val="00000000000000000000"/>
    <w:charset w:val="00"/>
    <w:family w:val="swiss"/>
    <w:notTrueType/>
    <w:pitch w:val="default"/>
    <w:sig w:usb0="00000003" w:usb1="00000000" w:usb2="00000000" w:usb3="00000000" w:csb0="00000001" w:csb1="00000000"/>
  </w:font>
  <w:font w:name="Calibri-Italic">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TrebuchetMS-Bold">
    <w:altName w:val="Calibri"/>
    <w:panose1 w:val="00000000000000000000"/>
    <w:charset w:val="00"/>
    <w:family w:val="swiss"/>
    <w:notTrueType/>
    <w:pitch w:val="default"/>
    <w:sig w:usb0="00000003" w:usb1="00000000" w:usb2="00000000" w:usb3="00000000" w:csb0="00000001" w:csb1="00000000"/>
  </w:font>
  <w:font w:name="TrebuchetMS">
    <w:altName w:val="Calibri"/>
    <w:panose1 w:val="00000000000000000000"/>
    <w:charset w:val="00"/>
    <w:family w:val="swiss"/>
    <w:notTrueType/>
    <w:pitch w:val="default"/>
    <w:sig w:usb0="00000003" w:usb1="00000000" w:usb2="00000000" w:usb3="00000000" w:csb0="00000001" w:csb1="00000000"/>
  </w:font>
  <w:font w:name="*Calibri-Bold-13698-Identity-H">
    <w:altName w:val="Calibri"/>
    <w:panose1 w:val="00000000000000000000"/>
    <w:charset w:val="00"/>
    <w:family w:val="auto"/>
    <w:notTrueType/>
    <w:pitch w:val="default"/>
    <w:sig w:usb0="00000003" w:usb1="00000000" w:usb2="00000000" w:usb3="00000000" w:csb0="00000001" w:csb1="00000000"/>
  </w:font>
  <w:font w:name="*Arial-13703-Identity-H">
    <w:altName w:val="Calibri"/>
    <w:panose1 w:val="00000000000000000000"/>
    <w:charset w:val="00"/>
    <w:family w:val="auto"/>
    <w:notTrueType/>
    <w:pitch w:val="default"/>
    <w:sig w:usb0="00000003" w:usb1="00000000" w:usb2="00000000" w:usb3="00000000" w:csb0="00000001" w:csb1="00000000"/>
  </w:font>
  <w:font w:name="*Calibri-12049-Identity-H">
    <w:altName w:val="Calibri"/>
    <w:panose1 w:val="00000000000000000000"/>
    <w:charset w:val="00"/>
    <w:family w:val="auto"/>
    <w:notTrueType/>
    <w:pitch w:val="default"/>
    <w:sig w:usb0="00000003" w:usb1="00000000" w:usb2="00000000" w:usb3="00000000" w:csb0="00000001" w:csb1="00000000"/>
  </w:font>
  <w:font w:name="*Times New Roman-Italic-13688-I">
    <w:altName w:val="Calibri"/>
    <w:panose1 w:val="00000000000000000000"/>
    <w:charset w:val="00"/>
    <w:family w:val="auto"/>
    <w:notTrueType/>
    <w:pitch w:val="default"/>
    <w:sig w:usb0="00000003" w:usb1="00000000" w:usb2="00000000" w:usb3="00000000" w:csb0="00000001" w:csb1="00000000"/>
  </w:font>
  <w:font w:name="*Calibri-12050-Identity-H">
    <w:altName w:val="Calibri"/>
    <w:panose1 w:val="00000000000000000000"/>
    <w:charset w:val="00"/>
    <w:family w:val="auto"/>
    <w:notTrueType/>
    <w:pitch w:val="default"/>
    <w:sig w:usb0="00000003" w:usb1="00000000" w:usb2="00000000" w:usb3="00000000" w:csb0="00000001" w:csb1="00000000"/>
  </w:font>
  <w:font w:name="*Microsoft Sans Serif-12594-Ide">
    <w:altName w:val="Calibri"/>
    <w:panose1 w:val="00000000000000000000"/>
    <w:charset w:val="00"/>
    <w:family w:val="auto"/>
    <w:notTrueType/>
    <w:pitch w:val="default"/>
    <w:sig w:usb0="00000003" w:usb1="00000000" w:usb2="00000000" w:usb3="00000000" w:csb0="00000001" w:csb1="00000000"/>
  </w:font>
  <w:font w:name="*Courier New-BoldItalic-12592-I">
    <w:altName w:val="Calibri"/>
    <w:panose1 w:val="00000000000000000000"/>
    <w:charset w:val="00"/>
    <w:family w:val="auto"/>
    <w:notTrueType/>
    <w:pitch w:val="default"/>
    <w:sig w:usb0="00000003" w:usb1="00000000" w:usb2="00000000" w:usb3="00000000" w:csb0="00000001" w:csb1="00000000"/>
  </w:font>
  <w:font w:name="*Arial-11045-Identity-H">
    <w:altName w:val="Calibri"/>
    <w:panose1 w:val="00000000000000000000"/>
    <w:charset w:val="00"/>
    <w:family w:val="auto"/>
    <w:notTrueType/>
    <w:pitch w:val="default"/>
    <w:sig w:usb0="00000003" w:usb1="00000000" w:usb2="00000000" w:usb3="00000000" w:csb0="00000001" w:csb1="00000000"/>
  </w:font>
  <w:font w:name="*Microsoft Sans Serif-Italic-11">
    <w:altName w:val="Calibri"/>
    <w:panose1 w:val="00000000000000000000"/>
    <w:charset w:val="00"/>
    <w:family w:val="auto"/>
    <w:notTrueType/>
    <w:pitch w:val="default"/>
    <w:sig w:usb0="00000003" w:usb1="00000000" w:usb2="00000000" w:usb3="00000000" w:csb0="00000001" w:csb1="00000000"/>
  </w:font>
  <w:font w:name="*Calibri-11044-Identity-H">
    <w:altName w:val="Calibri"/>
    <w:panose1 w:val="00000000000000000000"/>
    <w:charset w:val="00"/>
    <w:family w:val="auto"/>
    <w:notTrueType/>
    <w:pitch w:val="default"/>
    <w:sig w:usb0="00000003" w:usb1="00000000" w:usb2="00000000" w:usb3="00000000" w:csb0="00000001" w:csb1="00000000"/>
  </w:font>
  <w:font w:name="*Microsoft Sans Serif-13496-Ide">
    <w:altName w:val="Calibri"/>
    <w:panose1 w:val="00000000000000000000"/>
    <w:charset w:val="00"/>
    <w:family w:val="auto"/>
    <w:notTrueType/>
    <w:pitch w:val="default"/>
    <w:sig w:usb0="00000003" w:usb1="00000000" w:usb2="00000000" w:usb3="00000000" w:csb0="00000001" w:csb1="00000000"/>
  </w:font>
  <w:font w:name="*Calibri-13495-Identity-H">
    <w:altName w:val="Calibri"/>
    <w:panose1 w:val="00000000000000000000"/>
    <w:charset w:val="00"/>
    <w:family w:val="auto"/>
    <w:notTrueType/>
    <w:pitch w:val="default"/>
    <w:sig w:usb0="00000003" w:usb1="00000000" w:usb2="00000000" w:usb3="00000000" w:csb0="00000001" w:csb1="00000000"/>
  </w:font>
  <w:font w:name="*Calibri-12654-Identity-H">
    <w:altName w:val="Calibri"/>
    <w:panose1 w:val="00000000000000000000"/>
    <w:charset w:val="00"/>
    <w:family w:val="auto"/>
    <w:notTrueType/>
    <w:pitch w:val="default"/>
    <w:sig w:usb0="00000003" w:usb1="00000000" w:usb2="00000000" w:usb3="00000000" w:csb0="00000001" w:csb1="00000000"/>
  </w:font>
  <w:font w:name="*Arial-11140-Identity-H">
    <w:altName w:val="Calibri"/>
    <w:panose1 w:val="00000000000000000000"/>
    <w:charset w:val="00"/>
    <w:family w:val="auto"/>
    <w:notTrueType/>
    <w:pitch w:val="default"/>
    <w:sig w:usb0="00000003" w:usb1="00000000" w:usb2="00000000" w:usb3="00000000" w:csb0="00000001" w:csb1="00000000"/>
  </w:font>
  <w:font w:name="*Calibri-11139-Identity-H">
    <w:altName w:val="Calibri"/>
    <w:panose1 w:val="00000000000000000000"/>
    <w:charset w:val="00"/>
    <w:family w:val="auto"/>
    <w:notTrueType/>
    <w:pitch w:val="default"/>
    <w:sig w:usb0="00000003" w:usb1="00000000" w:usb2="00000000" w:usb3="00000000" w:csb0="00000001" w:csb1="00000000"/>
  </w:font>
  <w:font w:name="*Times New Roman-Italic-11137-I">
    <w:altName w:val="Calibri"/>
    <w:panose1 w:val="00000000000000000000"/>
    <w:charset w:val="00"/>
    <w:family w:val="auto"/>
    <w:notTrueType/>
    <w:pitch w:val="default"/>
    <w:sig w:usb0="00000003" w:usb1="00000000" w:usb2="00000000" w:usb3="00000000" w:csb0="00000001" w:csb1="00000000"/>
  </w:font>
  <w:font w:name="*Calibri-11534-Identity-H">
    <w:altName w:val="Calibri"/>
    <w:panose1 w:val="00000000000000000000"/>
    <w:charset w:val="00"/>
    <w:family w:val="auto"/>
    <w:notTrueType/>
    <w:pitch w:val="default"/>
    <w:sig w:usb0="00000003" w:usb1="00000000" w:usb2="00000000" w:usb3="00000000" w:csb0="00000001" w:csb1="00000000"/>
  </w:font>
  <w:font w:name="*Calibri-11535-Identity-H">
    <w:altName w:val="Calibri"/>
    <w:panose1 w:val="00000000000000000000"/>
    <w:charset w:val="00"/>
    <w:family w:val="auto"/>
    <w:notTrueType/>
    <w:pitch w:val="default"/>
    <w:sig w:usb0="00000003" w:usb1="00000000" w:usb2="00000000" w:usb3="00000000" w:csb0="00000001" w:csb1="00000000"/>
  </w:font>
  <w:font w:name="*Times New Roman-Italic-11531-I">
    <w:altName w:val="Calibri"/>
    <w:panose1 w:val="00000000000000000000"/>
    <w:charset w:val="00"/>
    <w:family w:val="auto"/>
    <w:notTrueType/>
    <w:pitch w:val="default"/>
    <w:sig w:usb0="00000003" w:usb1="00000000" w:usb2="00000000" w:usb3="00000000" w:csb0="00000001" w:csb1="00000000"/>
  </w:font>
  <w:font w:name="*Microsoft Sans Serif-12347-Ide">
    <w:altName w:val="Calibri"/>
    <w:panose1 w:val="00000000000000000000"/>
    <w:charset w:val="00"/>
    <w:family w:val="auto"/>
    <w:notTrueType/>
    <w:pitch w:val="default"/>
    <w:sig w:usb0="00000003" w:usb1="00000000" w:usb2="00000000" w:usb3="00000000" w:csb0="00000001" w:csb1="00000000"/>
  </w:font>
  <w:font w:name="*Times New Roman-Italic-12343-I">
    <w:altName w:val="Calibri"/>
    <w:panose1 w:val="00000000000000000000"/>
    <w:charset w:val="00"/>
    <w:family w:val="auto"/>
    <w:notTrueType/>
    <w:pitch w:val="default"/>
    <w:sig w:usb0="00000003" w:usb1="00000000" w:usb2="00000000" w:usb3="00000000" w:csb0="00000001" w:csb1="00000000"/>
  </w:font>
  <w:font w:name="*Microsoft Sans Serif-11357-Ide">
    <w:altName w:val="Calibri"/>
    <w:panose1 w:val="00000000000000000000"/>
    <w:charset w:val="00"/>
    <w:family w:val="auto"/>
    <w:notTrueType/>
    <w:pitch w:val="default"/>
    <w:sig w:usb0="00000003" w:usb1="00000000" w:usb2="00000000" w:usb3="00000000" w:csb0="00000001" w:csb1="00000000"/>
  </w:font>
  <w:font w:name="*Calibri-11356-Identity-H">
    <w:altName w:val="Calibri"/>
    <w:panose1 w:val="00000000000000000000"/>
    <w:charset w:val="00"/>
    <w:family w:val="auto"/>
    <w:notTrueType/>
    <w:pitch w:val="default"/>
    <w:sig w:usb0="00000003" w:usb1="00000000" w:usb2="00000000" w:usb3="00000000" w:csb0="00000001" w:csb1="00000000"/>
  </w:font>
  <w:font w:name="*Microsoft Sans Serif-10611-Ide">
    <w:altName w:val="Calibri"/>
    <w:panose1 w:val="00000000000000000000"/>
    <w:charset w:val="00"/>
    <w:family w:val="auto"/>
    <w:notTrueType/>
    <w:pitch w:val="default"/>
    <w:sig w:usb0="00000003" w:usb1="00000000" w:usb2="00000000" w:usb3="00000000" w:csb0="00000001" w:csb1="00000000"/>
  </w:font>
  <w:font w:name="*Arial-10610-Identity-H">
    <w:altName w:val="Calibri"/>
    <w:panose1 w:val="00000000000000000000"/>
    <w:charset w:val="00"/>
    <w:family w:val="auto"/>
    <w:notTrueType/>
    <w:pitch w:val="default"/>
    <w:sig w:usb0="00000003" w:usb1="00000000" w:usb2="00000000" w:usb3="00000000" w:csb0="00000001" w:csb1="00000000"/>
  </w:font>
  <w:font w:name="*Times New Roman-Italic-10606-I">
    <w:altName w:val="Calibri"/>
    <w:panose1 w:val="00000000000000000000"/>
    <w:charset w:val="00"/>
    <w:family w:val="auto"/>
    <w:notTrueType/>
    <w:pitch w:val="default"/>
    <w:sig w:usb0="00000003" w:usb1="00000000" w:usb2="00000000" w:usb3="00000000" w:csb0="00000001" w:csb1="00000000"/>
  </w:font>
  <w:font w:name="*Times New Roman-Italic-10607-I">
    <w:altName w:val="Calibri"/>
    <w:panose1 w:val="00000000000000000000"/>
    <w:charset w:val="00"/>
    <w:family w:val="auto"/>
    <w:notTrueType/>
    <w:pitch w:val="default"/>
    <w:sig w:usb0="00000003" w:usb1="00000000" w:usb2="00000000" w:usb3="00000000" w:csb0="00000001" w:csb1="00000000"/>
  </w:font>
  <w:font w:name="*Microsoft Sans Serif-11450-Ide">
    <w:altName w:val="Calibri"/>
    <w:panose1 w:val="00000000000000000000"/>
    <w:charset w:val="00"/>
    <w:family w:val="auto"/>
    <w:notTrueType/>
    <w:pitch w:val="default"/>
    <w:sig w:usb0="00000003" w:usb1="00000000" w:usb2="00000000" w:usb3="00000000" w:csb0="00000001" w:csb1="00000000"/>
  </w:font>
  <w:font w:name="*Calibri-Bold-11449-Identity-H">
    <w:altName w:val="Calibri"/>
    <w:panose1 w:val="00000000000000000000"/>
    <w:charset w:val="00"/>
    <w:family w:val="auto"/>
    <w:notTrueType/>
    <w:pitch w:val="default"/>
    <w:sig w:usb0="00000003" w:usb1="00000000" w:usb2="00000000" w:usb3="00000000" w:csb0="00000001" w:csb1="00000000"/>
  </w:font>
  <w:font w:name="*Times New Roman-Italic-11446-I">
    <w:altName w:val="Calibri"/>
    <w:panose1 w:val="00000000000000000000"/>
    <w:charset w:val="00"/>
    <w:family w:val="auto"/>
    <w:notTrueType/>
    <w:pitch w:val="default"/>
    <w:sig w:usb0="00000003" w:usb1="00000000" w:usb2="00000000" w:usb3="00000000" w:csb0="00000001" w:csb1="00000000"/>
  </w:font>
  <w:font w:name="*Calibri-10248-Identity-H">
    <w:altName w:val="Calibri"/>
    <w:panose1 w:val="00000000000000000000"/>
    <w:charset w:val="00"/>
    <w:family w:val="auto"/>
    <w:notTrueType/>
    <w:pitch w:val="default"/>
    <w:sig w:usb0="00000003" w:usb1="00000000" w:usb2="00000000" w:usb3="00000000" w:csb0="00000001" w:csb1="00000000"/>
  </w:font>
  <w:font w:name="*Calibri-Bold-10250-Identity-H">
    <w:altName w:val="Calibri"/>
    <w:panose1 w:val="00000000000000000000"/>
    <w:charset w:val="00"/>
    <w:family w:val="auto"/>
    <w:notTrueType/>
    <w:pitch w:val="default"/>
    <w:sig w:usb0="00000003" w:usb1="00000000" w:usb2="00000000" w:usb3="00000000" w:csb0="00000001" w:csb1="00000000"/>
  </w:font>
  <w:font w:name="*Arial-Bold-10251-Identity-H">
    <w:altName w:val="Calibri"/>
    <w:panose1 w:val="00000000000000000000"/>
    <w:charset w:val="00"/>
    <w:family w:val="auto"/>
    <w:notTrueType/>
    <w:pitch w:val="default"/>
    <w:sig w:usb0="00000003" w:usb1="00000000" w:usb2="00000000" w:usb3="00000000" w:csb0="00000001" w:csb1="00000000"/>
  </w:font>
  <w:font w:name="*Calibri-BoldItalic-10249-Ident">
    <w:altName w:val="Calibri"/>
    <w:panose1 w:val="00000000000000000000"/>
    <w:charset w:val="00"/>
    <w:family w:val="auto"/>
    <w:notTrueType/>
    <w:pitch w:val="default"/>
    <w:sig w:usb0="00000003" w:usb1="00000000" w:usb2="00000000" w:usb3="00000000" w:csb0="00000001" w:csb1="00000000"/>
  </w:font>
  <w:font w:name="*Comic Sans MS-Bold-10252-Ident">
    <w:altName w:val="Calibri"/>
    <w:panose1 w:val="00000000000000000000"/>
    <w:charset w:val="00"/>
    <w:family w:val="auto"/>
    <w:notTrueType/>
    <w:pitch w:val="default"/>
    <w:sig w:usb0="00000003" w:usb1="00000000" w:usb2="00000000" w:usb3="00000000" w:csb0="00000001" w:csb1="00000000"/>
  </w:font>
  <w:font w:name="*Verdana-Bold-12126-Identity-H">
    <w:altName w:val="Calibri"/>
    <w:panose1 w:val="00000000000000000000"/>
    <w:charset w:val="00"/>
    <w:family w:val="auto"/>
    <w:notTrueType/>
    <w:pitch w:val="default"/>
    <w:sig w:usb0="00000003" w:usb1="00000000" w:usb2="00000000" w:usb3="00000000" w:csb0="00000001" w:csb1="00000000"/>
  </w:font>
  <w:font w:name="*Arial-BoldItalic-12124-Identit">
    <w:altName w:val="Calibri"/>
    <w:panose1 w:val="00000000000000000000"/>
    <w:charset w:val="00"/>
    <w:family w:val="auto"/>
    <w:notTrueType/>
    <w:pitch w:val="default"/>
    <w:sig w:usb0="00000003" w:usb1="00000000" w:usb2="00000000" w:usb3="00000000" w:csb0="00000001" w:csb1="00000000"/>
  </w:font>
  <w:font w:name="*Microsoft Sans Serif-Bold-1212">
    <w:altName w:val="Calibri"/>
    <w:panose1 w:val="00000000000000000000"/>
    <w:charset w:val="00"/>
    <w:family w:val="auto"/>
    <w:notTrueType/>
    <w:pitch w:val="default"/>
    <w:sig w:usb0="00000003" w:usb1="00000000" w:usb2="00000000" w:usb3="00000000" w:csb0="00000001" w:csb1="00000000"/>
  </w:font>
  <w:font w:name="*Calibri-12123-Identity-H">
    <w:altName w:val="Calibri"/>
    <w:panose1 w:val="00000000000000000000"/>
    <w:charset w:val="00"/>
    <w:family w:val="auto"/>
    <w:notTrueType/>
    <w:pitch w:val="default"/>
    <w:sig w:usb0="00000003" w:usb1="00000000" w:usb2="00000000" w:usb3="00000000" w:csb0="00000001" w:csb1="00000000"/>
  </w:font>
  <w:font w:name="*Arial-BoldItalic-12125-Identit">
    <w:altName w:val="Calibri"/>
    <w:panose1 w:val="00000000000000000000"/>
    <w:charset w:val="00"/>
    <w:family w:val="auto"/>
    <w:notTrueType/>
    <w:pitch w:val="default"/>
    <w:sig w:usb0="00000003" w:usb1="00000000" w:usb2="00000000" w:usb3="00000000" w:csb0="00000001" w:csb1="00000000"/>
  </w:font>
  <w:font w:name="*Calibri-13160-Identity-H">
    <w:altName w:val="Calibri"/>
    <w:panose1 w:val="00000000000000000000"/>
    <w:charset w:val="00"/>
    <w:family w:val="auto"/>
    <w:notTrueType/>
    <w:pitch w:val="default"/>
    <w:sig w:usb0="00000003" w:usb1="00000000" w:usb2="00000000" w:usb3="00000000" w:csb0="00000001" w:csb1="00000000"/>
  </w:font>
  <w:font w:name="*Arial-13164-Identity-H">
    <w:altName w:val="Calibri"/>
    <w:panose1 w:val="00000000000000000000"/>
    <w:charset w:val="00"/>
    <w:family w:val="auto"/>
    <w:notTrueType/>
    <w:pitch w:val="default"/>
    <w:sig w:usb0="00000003" w:usb1="00000000" w:usb2="00000000" w:usb3="00000000" w:csb0="00000001" w:csb1="00000000"/>
  </w:font>
  <w:font w:name="*Times New Roman-Italic-13157-I">
    <w:altName w:val="Calibri"/>
    <w:panose1 w:val="00000000000000000000"/>
    <w:charset w:val="00"/>
    <w:family w:val="auto"/>
    <w:notTrueType/>
    <w:pitch w:val="default"/>
    <w:sig w:usb0="00000003" w:usb1="00000000" w:usb2="00000000" w:usb3="00000000" w:csb0="00000001" w:csb1="00000000"/>
  </w:font>
  <w:font w:name="*Arial-BoldItalic-13163-Identit">
    <w:altName w:val="Calibri"/>
    <w:panose1 w:val="00000000000000000000"/>
    <w:charset w:val="00"/>
    <w:family w:val="auto"/>
    <w:notTrueType/>
    <w:pitch w:val="default"/>
    <w:sig w:usb0="00000003" w:usb1="00000000" w:usb2="00000000" w:usb3="00000000" w:csb0="00000001" w:csb1="00000000"/>
  </w:font>
  <w:font w:name="*Calibri-Bold-13162-Identity-H">
    <w:altName w:val="Calibri"/>
    <w:panose1 w:val="00000000000000000000"/>
    <w:charset w:val="00"/>
    <w:family w:val="auto"/>
    <w:notTrueType/>
    <w:pitch w:val="default"/>
    <w:sig w:usb0="00000003" w:usb1="00000000" w:usb2="00000000" w:usb3="00000000" w:csb0="00000001" w:csb1="00000000"/>
  </w:font>
  <w:font w:name="*Calibri-Bold-13161-Identity-H">
    <w:altName w:val="Calibri"/>
    <w:panose1 w:val="00000000000000000000"/>
    <w:charset w:val="00"/>
    <w:family w:val="auto"/>
    <w:notTrueType/>
    <w:pitch w:val="default"/>
    <w:sig w:usb0="00000003" w:usb1="00000000" w:usb2="00000000" w:usb3="00000000" w:csb0="00000001" w:csb1="00000000"/>
  </w:font>
  <w:font w:name="*Times New Roman-Italic-13156-I">
    <w:altName w:val="Calibri"/>
    <w:panose1 w:val="00000000000000000000"/>
    <w:charset w:val="00"/>
    <w:family w:val="auto"/>
    <w:notTrueType/>
    <w:pitch w:val="default"/>
    <w:sig w:usb0="00000003" w:usb1="00000000" w:usb2="00000000" w:usb3="00000000" w:csb0="00000001" w:csb1="00000000"/>
  </w:font>
  <w:font w:name="*Calibri-BoldItalic-11634-Ident">
    <w:altName w:val="Calibri"/>
    <w:panose1 w:val="00000000000000000000"/>
    <w:charset w:val="00"/>
    <w:family w:val="auto"/>
    <w:notTrueType/>
    <w:pitch w:val="default"/>
    <w:sig w:usb0="00000003" w:usb1="00000000" w:usb2="00000000" w:usb3="00000000" w:csb0="00000001" w:csb1="00000000"/>
  </w:font>
  <w:font w:name="*Calibri-Bold-11633-Identity-H">
    <w:altName w:val="Calibri"/>
    <w:panose1 w:val="00000000000000000000"/>
    <w:charset w:val="00"/>
    <w:family w:val="auto"/>
    <w:notTrueType/>
    <w:pitch w:val="default"/>
    <w:sig w:usb0="00000003" w:usb1="00000000" w:usb2="00000000" w:usb3="00000000" w:csb0="00000001" w:csb1="00000000"/>
  </w:font>
  <w:font w:name="*Calibri-11632-Identity-H">
    <w:altName w:val="Calibri"/>
    <w:panose1 w:val="00000000000000000000"/>
    <w:charset w:val="00"/>
    <w:family w:val="auto"/>
    <w:notTrueType/>
    <w:pitch w:val="default"/>
    <w:sig w:usb0="00000003" w:usb1="00000000" w:usb2="00000000" w:usb3="00000000" w:csb0="00000001" w:csb1="00000000"/>
  </w:font>
  <w:font w:name="*Times New Roman-11629-Identity">
    <w:altName w:val="Calibri"/>
    <w:panose1 w:val="00000000000000000000"/>
    <w:charset w:val="00"/>
    <w:family w:val="auto"/>
    <w:notTrueType/>
    <w:pitch w:val="default"/>
    <w:sig w:usb0="00000003" w:usb1="00000000" w:usb2="00000000" w:usb3="00000000" w:csb0="00000001" w:csb1="00000000"/>
  </w:font>
  <w:font w:name="*Verdana-11635-Identity-H">
    <w:altName w:val="Calibri"/>
    <w:panose1 w:val="00000000000000000000"/>
    <w:charset w:val="00"/>
    <w:family w:val="auto"/>
    <w:notTrueType/>
    <w:pitch w:val="default"/>
    <w:sig w:usb0="00000003" w:usb1="00000000" w:usb2="00000000" w:usb3="00000000" w:csb0="00000001" w:csb1="00000000"/>
  </w:font>
  <w:font w:name="*Tahoma-11636-Identity-H">
    <w:altName w:val="Calibri"/>
    <w:panose1 w:val="00000000000000000000"/>
    <w:charset w:val="00"/>
    <w:family w:val="auto"/>
    <w:notTrueType/>
    <w:pitch w:val="default"/>
    <w:sig w:usb0="00000003" w:usb1="00000000" w:usb2="00000000" w:usb3="00000000" w:csb0="00000001" w:csb1="00000000"/>
  </w:font>
  <w:font w:name="*Calibri-12071-Identity-H">
    <w:altName w:val="Calibri"/>
    <w:panose1 w:val="00000000000000000000"/>
    <w:charset w:val="00"/>
    <w:family w:val="auto"/>
    <w:notTrueType/>
    <w:pitch w:val="default"/>
    <w:sig w:usb0="00000003" w:usb1="00000000" w:usb2="00000000" w:usb3="00000000" w:csb0="00000001" w:csb1="00000000"/>
  </w:font>
  <w:font w:name="*Times New Roman-12068-Identity">
    <w:altName w:val="Calibri"/>
    <w:panose1 w:val="00000000000000000000"/>
    <w:charset w:val="00"/>
    <w:family w:val="auto"/>
    <w:notTrueType/>
    <w:pitch w:val="default"/>
    <w:sig w:usb0="00000003" w:usb1="00000000" w:usb2="00000000" w:usb3="00000000" w:csb0="00000001" w:csb1="00000000"/>
  </w:font>
  <w:font w:name="*Arial-BoldItalic-12073-Identit">
    <w:altName w:val="Calibri"/>
    <w:panose1 w:val="00000000000000000000"/>
    <w:charset w:val="00"/>
    <w:family w:val="auto"/>
    <w:notTrueType/>
    <w:pitch w:val="default"/>
    <w:sig w:usb0="00000003" w:usb1="00000000" w:usb2="00000000" w:usb3="00000000" w:csb0="00000001" w:csb1="00000000"/>
  </w:font>
  <w:font w:name="*Calibri-Bold-12072-Identity-H">
    <w:altName w:val="Calibri"/>
    <w:panose1 w:val="00000000000000000000"/>
    <w:charset w:val="00"/>
    <w:family w:val="auto"/>
    <w:notTrueType/>
    <w:pitch w:val="default"/>
    <w:sig w:usb0="00000003" w:usb1="00000000" w:usb2="00000000" w:usb3="00000000" w:csb0="00000001" w:csb1="00000000"/>
  </w:font>
  <w:font w:name="*Times New Roman-Italic-12067-I">
    <w:altName w:val="Calibri"/>
    <w:panose1 w:val="00000000000000000000"/>
    <w:charset w:val="00"/>
    <w:family w:val="auto"/>
    <w:notTrueType/>
    <w:pitch w:val="default"/>
    <w:sig w:usb0="00000003" w:usb1="00000000" w:usb2="00000000" w:usb3="00000000" w:csb0="00000001" w:csb1="00000000"/>
  </w:font>
  <w:font w:name="*Comic Sans MS-Bold-11585-Ident">
    <w:altName w:val="Calibri"/>
    <w:panose1 w:val="00000000000000000000"/>
    <w:charset w:val="00"/>
    <w:family w:val="auto"/>
    <w:notTrueType/>
    <w:pitch w:val="default"/>
    <w:sig w:usb0="00000003" w:usb1="00000000" w:usb2="00000000" w:usb3="00000000" w:csb0="00000001" w:csb1="00000000"/>
  </w:font>
  <w:font w:name="*Microsoft Sans Serif-11586-Ide">
    <w:altName w:val="Calibri"/>
    <w:panose1 w:val="00000000000000000000"/>
    <w:charset w:val="00"/>
    <w:family w:val="auto"/>
    <w:notTrueType/>
    <w:pitch w:val="default"/>
    <w:sig w:usb0="00000003" w:usb1="00000000" w:usb2="00000000" w:usb3="00000000" w:csb0="00000001" w:csb1="00000000"/>
  </w:font>
  <w:font w:name="*Microsoft Sans Serif-Bold-1158">
    <w:altName w:val="Calibri"/>
    <w:panose1 w:val="00000000000000000000"/>
    <w:charset w:val="00"/>
    <w:family w:val="auto"/>
    <w:notTrueType/>
    <w:pitch w:val="default"/>
    <w:sig w:usb0="00000003" w:usb1="00000000" w:usb2="00000000" w:usb3="00000000" w:csb0="00000001" w:csb1="00000000"/>
  </w:font>
  <w:font w:name="*Arial-Italic-11584-Identity-H">
    <w:altName w:val="Calibri"/>
    <w:panose1 w:val="00000000000000000000"/>
    <w:charset w:val="00"/>
    <w:family w:val="auto"/>
    <w:notTrueType/>
    <w:pitch w:val="default"/>
    <w:sig w:usb0="00000003" w:usb1="00000000" w:usb2="00000000" w:usb3="00000000" w:csb0="00000001" w:csb1="00000000"/>
  </w:font>
  <w:font w:name="*Microsoft Sans Serif-11538-Ide">
    <w:altName w:val="Calibri"/>
    <w:panose1 w:val="00000000000000000000"/>
    <w:charset w:val="00"/>
    <w:family w:val="auto"/>
    <w:notTrueType/>
    <w:pitch w:val="default"/>
    <w:sig w:usb0="00000003" w:usb1="00000000" w:usb2="00000000" w:usb3="00000000" w:csb0="00000001" w:csb1="00000000"/>
  </w:font>
  <w:font w:name="*Times New Roman-Italic-11532-I">
    <w:altName w:val="Calibri"/>
    <w:panose1 w:val="00000000000000000000"/>
    <w:charset w:val="00"/>
    <w:family w:val="auto"/>
    <w:notTrueType/>
    <w:pitch w:val="default"/>
    <w:sig w:usb0="00000003" w:usb1="00000000" w:usb2="00000000" w:usb3="00000000" w:csb0="00000001" w:csb1="00000000"/>
  </w:font>
  <w:font w:name="*Calibri-11536-Identity-H">
    <w:altName w:val="Calibri"/>
    <w:panose1 w:val="00000000000000000000"/>
    <w:charset w:val="00"/>
    <w:family w:val="auto"/>
    <w:notTrueType/>
    <w:pitch w:val="default"/>
    <w:sig w:usb0="00000003" w:usb1="00000000" w:usb2="00000000" w:usb3="00000000" w:csb0="00000001" w:csb1="00000000"/>
  </w:font>
  <w:font w:name="*Arial-Bold-11537-Identity-H">
    <w:altName w:val="Calibri"/>
    <w:panose1 w:val="00000000000000000000"/>
    <w:charset w:val="00"/>
    <w:family w:val="auto"/>
    <w:notTrueType/>
    <w:pitch w:val="default"/>
    <w:sig w:usb0="00000003" w:usb1="00000000" w:usb2="00000000" w:usb3="00000000" w:csb0="00000001" w:csb1="00000000"/>
  </w:font>
  <w:font w:name="*Times New Roman-11533-Identity">
    <w:altName w:val="Calibri"/>
    <w:panose1 w:val="00000000000000000000"/>
    <w:charset w:val="00"/>
    <w:family w:val="auto"/>
    <w:notTrueType/>
    <w:pitch w:val="default"/>
    <w:sig w:usb0="00000003" w:usb1="00000000" w:usb2="00000000" w:usb3="00000000" w:csb0="00000001" w:csb1="00000000"/>
  </w:font>
  <w:font w:name="*Calibri-Bold-11153-Identity-H">
    <w:altName w:val="Calibri"/>
    <w:panose1 w:val="00000000000000000000"/>
    <w:charset w:val="00"/>
    <w:family w:val="auto"/>
    <w:notTrueType/>
    <w:pitch w:val="default"/>
    <w:sig w:usb0="00000003" w:usb1="00000000" w:usb2="00000000" w:usb3="00000000" w:csb0="00000001" w:csb1="00000000"/>
  </w:font>
  <w:font w:name="*Arial-11154-Identity-H">
    <w:altName w:val="Calibri"/>
    <w:panose1 w:val="00000000000000000000"/>
    <w:charset w:val="00"/>
    <w:family w:val="auto"/>
    <w:notTrueType/>
    <w:pitch w:val="default"/>
    <w:sig w:usb0="00000003" w:usb1="00000000" w:usb2="00000000" w:usb3="00000000" w:csb0="00000001" w:csb1="00000000"/>
  </w:font>
  <w:font w:name="*Calibri-Bold-11763-Identity-H">
    <w:altName w:val="Calibri"/>
    <w:panose1 w:val="00000000000000000000"/>
    <w:charset w:val="00"/>
    <w:family w:val="auto"/>
    <w:notTrueType/>
    <w:pitch w:val="default"/>
    <w:sig w:usb0="00000003" w:usb1="00000000" w:usb2="00000000" w:usb3="00000000" w:csb0="00000001" w:csb1="00000000"/>
  </w:font>
  <w:font w:name="*Microsoft Sans Serif-11765-Ide">
    <w:altName w:val="Calibri"/>
    <w:panose1 w:val="00000000000000000000"/>
    <w:charset w:val="00"/>
    <w:family w:val="auto"/>
    <w:notTrueType/>
    <w:pitch w:val="default"/>
    <w:sig w:usb0="00000003" w:usb1="00000000" w:usb2="00000000" w:usb3="00000000" w:csb0="00000001" w:csb1="00000000"/>
  </w:font>
  <w:font w:name="*Calibri-11764-Identity-H">
    <w:altName w:val="Calibri"/>
    <w:panose1 w:val="00000000000000000000"/>
    <w:charset w:val="00"/>
    <w:family w:val="auto"/>
    <w:notTrueType/>
    <w:pitch w:val="default"/>
    <w:sig w:usb0="00000003" w:usb1="00000000" w:usb2="00000000" w:usb3="00000000" w:csb0="00000001" w:csb1="00000000"/>
  </w:font>
  <w:font w:name="*Microsoft Sans Serif-BoldItali">
    <w:altName w:val="Calibri"/>
    <w:panose1 w:val="00000000000000000000"/>
    <w:charset w:val="00"/>
    <w:family w:val="auto"/>
    <w:notTrueType/>
    <w:pitch w:val="default"/>
    <w:sig w:usb0="00000003" w:usb1="00000000" w:usb2="00000000" w:usb3="00000000" w:csb0="00000001" w:csb1="00000000"/>
  </w:font>
  <w:font w:name="*Arial-11727-Identity-H">
    <w:altName w:val="Calibri"/>
    <w:panose1 w:val="00000000000000000000"/>
    <w:charset w:val="00"/>
    <w:family w:val="auto"/>
    <w:notTrueType/>
    <w:pitch w:val="default"/>
    <w:sig w:usb0="00000003" w:usb1="00000000" w:usb2="00000000" w:usb3="00000000" w:csb0="00000001" w:csb1="00000000"/>
  </w:font>
  <w:font w:name="*Times New Roman-11760-Identity">
    <w:altName w:val="Calibri"/>
    <w:panose1 w:val="00000000000000000000"/>
    <w:charset w:val="00"/>
    <w:family w:val="auto"/>
    <w:notTrueType/>
    <w:pitch w:val="default"/>
    <w:sig w:usb0="00000003" w:usb1="00000000" w:usb2="00000000" w:usb3="00000000" w:csb0="00000001" w:csb1="00000000"/>
  </w:font>
  <w:font w:name="*Times New Roman-Italic-11722-I">
    <w:altName w:val="Calibri"/>
    <w:panose1 w:val="00000000000000000000"/>
    <w:charset w:val="00"/>
    <w:family w:val="auto"/>
    <w:notTrueType/>
    <w:pitch w:val="default"/>
    <w:sig w:usb0="00000003" w:usb1="00000000" w:usb2="00000000" w:usb3="00000000" w:csb0="00000001" w:csb1="00000000"/>
  </w:font>
  <w:font w:name="*Calibri-Bold-11726-Identity-H">
    <w:altName w:val="Calibri"/>
    <w:panose1 w:val="00000000000000000000"/>
    <w:charset w:val="00"/>
    <w:family w:val="auto"/>
    <w:notTrueType/>
    <w:pitch w:val="default"/>
    <w:sig w:usb0="00000003" w:usb1="00000000" w:usb2="00000000" w:usb3="00000000" w:csb0="00000001" w:csb1="00000000"/>
  </w:font>
  <w:font w:name="*Microsoft Sans Serif-11392-Ide">
    <w:altName w:val="Calibri"/>
    <w:panose1 w:val="00000000000000000000"/>
    <w:charset w:val="00"/>
    <w:family w:val="auto"/>
    <w:notTrueType/>
    <w:pitch w:val="default"/>
    <w:sig w:usb0="00000003" w:usb1="00000000" w:usb2="00000000" w:usb3="00000000" w:csb0="00000001" w:csb1="00000000"/>
  </w:font>
  <w:font w:name="*Times New Roman-11720-Identity">
    <w:altName w:val="Calibri"/>
    <w:panose1 w:val="00000000000000000000"/>
    <w:charset w:val="00"/>
    <w:family w:val="auto"/>
    <w:notTrueType/>
    <w:pitch w:val="default"/>
    <w:sig w:usb0="00000003" w:usb1="00000000" w:usb2="00000000" w:usb3="00000000" w:csb0="00000001" w:csb1="00000000"/>
  </w:font>
  <w:font w:name="*Calibri-11389-Identity-H">
    <w:altName w:val="Calibri"/>
    <w:panose1 w:val="00000000000000000000"/>
    <w:charset w:val="00"/>
    <w:family w:val="auto"/>
    <w:notTrueType/>
    <w:pitch w:val="default"/>
    <w:sig w:usb0="00000003" w:usb1="00000000" w:usb2="00000000" w:usb3="00000000" w:csb0="00000001" w:csb1="00000000"/>
  </w:font>
  <w:font w:name="*Times New Roman-Italic-11386-I">
    <w:altName w:val="Calibri"/>
    <w:panose1 w:val="00000000000000000000"/>
    <w:charset w:val="00"/>
    <w:family w:val="auto"/>
    <w:notTrueType/>
    <w:pitch w:val="default"/>
    <w:sig w:usb0="00000003" w:usb1="00000000" w:usb2="00000000" w:usb3="00000000" w:csb0="00000001" w:csb1="00000000"/>
  </w:font>
  <w:font w:name="*Arial-Bold-11390-Identity-H">
    <w:altName w:val="Calibri"/>
    <w:panose1 w:val="00000000000000000000"/>
    <w:charset w:val="00"/>
    <w:family w:val="auto"/>
    <w:notTrueType/>
    <w:pitch w:val="default"/>
    <w:sig w:usb0="00000003" w:usb1="00000000" w:usb2="00000000" w:usb3="00000000" w:csb0="00000001" w:csb1="00000000"/>
  </w:font>
  <w:font w:name="*Arial-BoldItalic-11391-Identit">
    <w:altName w:val="Calibri"/>
    <w:panose1 w:val="00000000000000000000"/>
    <w:charset w:val="00"/>
    <w:family w:val="auto"/>
    <w:notTrueType/>
    <w:pitch w:val="default"/>
    <w:sig w:usb0="00000003" w:usb1="00000000" w:usb2="00000000" w:usb3="00000000" w:csb0="00000001" w:csb1="00000000"/>
  </w:font>
  <w:font w:name="*Times New Roman-11385-Identity">
    <w:altName w:val="Calibri"/>
    <w:panose1 w:val="00000000000000000000"/>
    <w:charset w:val="00"/>
    <w:family w:val="auto"/>
    <w:notTrueType/>
    <w:pitch w:val="default"/>
    <w:sig w:usb0="00000003" w:usb1="00000000" w:usb2="00000000" w:usb3="00000000" w:csb0="00000001" w:csb1="00000000"/>
  </w:font>
  <w:font w:name="*Microsoft Sans Serif-11252-Ide">
    <w:altName w:val="Calibri"/>
    <w:panose1 w:val="00000000000000000000"/>
    <w:charset w:val="00"/>
    <w:family w:val="auto"/>
    <w:notTrueType/>
    <w:pitch w:val="default"/>
    <w:sig w:usb0="00000003" w:usb1="00000000" w:usb2="00000000" w:usb3="00000000" w:csb0="00000001" w:csb1="00000000"/>
  </w:font>
  <w:font w:name="*Arial-BoldItalic-11251-Identit">
    <w:altName w:val="Calibri"/>
    <w:panose1 w:val="00000000000000000000"/>
    <w:charset w:val="00"/>
    <w:family w:val="auto"/>
    <w:notTrueType/>
    <w:pitch w:val="default"/>
    <w:sig w:usb0="00000003" w:usb1="00000000" w:usb2="00000000" w:usb3="00000000" w:csb0="00000001" w:csb1="00000000"/>
  </w:font>
  <w:font w:name="*Arial-Bold-11250-Identity-H">
    <w:altName w:val="Calibri"/>
    <w:panose1 w:val="00000000000000000000"/>
    <w:charset w:val="00"/>
    <w:family w:val="auto"/>
    <w:notTrueType/>
    <w:pitch w:val="default"/>
    <w:sig w:usb0="00000003" w:usb1="00000000" w:usb2="00000000" w:usb3="00000000" w:csb0="00000001" w:csb1="00000000"/>
  </w:font>
  <w:font w:name="*Times New Roman-Italic-11247-I">
    <w:altName w:val="Calibri"/>
    <w:panose1 w:val="00000000000000000000"/>
    <w:charset w:val="00"/>
    <w:family w:val="auto"/>
    <w:notTrueType/>
    <w:pitch w:val="default"/>
    <w:sig w:usb0="00000003" w:usb1="00000000" w:usb2="00000000" w:usb3="00000000" w:csb0="00000001" w:csb1="00000000"/>
  </w:font>
  <w:font w:name="*Times New Roman-BoldItalic-112">
    <w:altName w:val="Calibri"/>
    <w:panose1 w:val="00000000000000000000"/>
    <w:charset w:val="00"/>
    <w:family w:val="auto"/>
    <w:notTrueType/>
    <w:pitch w:val="default"/>
    <w:sig w:usb0="00000003" w:usb1="00000000" w:usb2="00000000" w:usb3="00000000" w:csb0="00000001" w:csb1="00000000"/>
  </w:font>
  <w:font w:name="*Tahoma-BoldItalic-11253-Identi">
    <w:altName w:val="Calibri"/>
    <w:panose1 w:val="00000000000000000000"/>
    <w:charset w:val="00"/>
    <w:family w:val="auto"/>
    <w:notTrueType/>
    <w:pitch w:val="default"/>
    <w:sig w:usb0="00000003" w:usb1="00000000" w:usb2="00000000" w:usb3="00000000" w:csb0="00000001" w:csb1="00000000"/>
  </w:font>
  <w:font w:name="*Microsoft Sans Serif-11626-Ide">
    <w:altName w:val="Calibri"/>
    <w:panose1 w:val="00000000000000000000"/>
    <w:charset w:val="00"/>
    <w:family w:val="auto"/>
    <w:notTrueType/>
    <w:pitch w:val="default"/>
    <w:sig w:usb0="00000003" w:usb1="00000000" w:usb2="00000000" w:usb3="00000000" w:csb0="00000001" w:csb1="00000000"/>
  </w:font>
  <w:font w:name="*Comic Sans MS-Bold-11625-Ident">
    <w:altName w:val="Calibri"/>
    <w:panose1 w:val="00000000000000000000"/>
    <w:charset w:val="00"/>
    <w:family w:val="auto"/>
    <w:notTrueType/>
    <w:pitch w:val="default"/>
    <w:sig w:usb0="00000003" w:usb1="00000000" w:usb2="00000000" w:usb3="00000000" w:csb0="00000001" w:csb1="00000000"/>
  </w:font>
  <w:font w:name="*Calibri-BoldItalic-11639-Ident">
    <w:altName w:val="Calibri"/>
    <w:panose1 w:val="00000000000000000000"/>
    <w:charset w:val="00"/>
    <w:family w:val="auto"/>
    <w:notTrueType/>
    <w:pitch w:val="default"/>
    <w:sig w:usb0="00000003" w:usb1="00000000" w:usb2="00000000" w:usb3="00000000" w:csb0="00000001" w:csb1="00000000"/>
  </w:font>
  <w:font w:name="*Microsoft Sans Serif-Bold-1164">
    <w:altName w:val="Calibri"/>
    <w:panose1 w:val="00000000000000000000"/>
    <w:charset w:val="00"/>
    <w:family w:val="auto"/>
    <w:notTrueType/>
    <w:pitch w:val="default"/>
    <w:sig w:usb0="00000003" w:usb1="00000000" w:usb2="00000000" w:usb3="00000000" w:csb0="00000001" w:csb1="00000000"/>
  </w:font>
  <w:font w:name="*Calibri-11637-Identity-H">
    <w:altName w:val="Calibri"/>
    <w:panose1 w:val="00000000000000000000"/>
    <w:charset w:val="00"/>
    <w:family w:val="auto"/>
    <w:notTrueType/>
    <w:pitch w:val="default"/>
    <w:sig w:usb0="00000003" w:usb1="00000000" w:usb2="00000000" w:usb3="00000000" w:csb0="00000001" w:csb1="00000000"/>
  </w:font>
  <w:font w:name="*Times New Roman-11634-Identity">
    <w:altName w:val="Calibri"/>
    <w:panose1 w:val="00000000000000000000"/>
    <w:charset w:val="00"/>
    <w:family w:val="auto"/>
    <w:notTrueType/>
    <w:pitch w:val="default"/>
    <w:sig w:usb0="00000003" w:usb1="00000000" w:usb2="00000000" w:usb3="00000000" w:csb0="00000001" w:csb1="00000000"/>
  </w:font>
  <w:font w:name="*Arial-12084-Identity-H">
    <w:altName w:val="Calibri"/>
    <w:panose1 w:val="00000000000000000000"/>
    <w:charset w:val="00"/>
    <w:family w:val="auto"/>
    <w:notTrueType/>
    <w:pitch w:val="default"/>
    <w:sig w:usb0="00000003" w:usb1="00000000" w:usb2="00000000" w:usb3="00000000" w:csb0="00000001" w:csb1="00000000"/>
  </w:font>
  <w:font w:name="*Arial-12085-Identity-H">
    <w:altName w:val="Calibri"/>
    <w:panose1 w:val="00000000000000000000"/>
    <w:charset w:val="00"/>
    <w:family w:val="auto"/>
    <w:notTrueType/>
    <w:pitch w:val="default"/>
    <w:sig w:usb0="00000003" w:usb1="00000000" w:usb2="00000000" w:usb3="00000000" w:csb0="00000001" w:csb1="00000000"/>
  </w:font>
  <w:font w:name="*Times New Roman-Italic-12081-I">
    <w:altName w:val="Calibri"/>
    <w:panose1 w:val="00000000000000000000"/>
    <w:charset w:val="00"/>
    <w:family w:val="auto"/>
    <w:notTrueType/>
    <w:pitch w:val="default"/>
    <w:sig w:usb0="00000003" w:usb1="00000000" w:usb2="00000000" w:usb3="00000000" w:csb0="00000001" w:csb1="00000000"/>
  </w:font>
  <w:font w:name="*Times New Roman-Italic-12080-I">
    <w:altName w:val="Calibri"/>
    <w:panose1 w:val="00000000000000000000"/>
    <w:charset w:val="00"/>
    <w:family w:val="auto"/>
    <w:notTrueType/>
    <w:pitch w:val="default"/>
    <w:sig w:usb0="00000003" w:usb1="00000000" w:usb2="00000000" w:usb3="00000000" w:csb0="00000001" w:csb1="00000000"/>
  </w:font>
  <w:font w:name="*Times New Roman-12079-Identity">
    <w:altName w:val="Calibri"/>
    <w:panose1 w:val="00000000000000000000"/>
    <w:charset w:val="00"/>
    <w:family w:val="auto"/>
    <w:notTrueType/>
    <w:pitch w:val="default"/>
    <w:sig w:usb0="00000003" w:usb1="00000000" w:usb2="00000000" w:usb3="00000000" w:csb0="00000001" w:csb1="00000000"/>
  </w:font>
  <w:font w:name="*Calibri-11770-Identity-H">
    <w:altName w:val="Calibri"/>
    <w:panose1 w:val="00000000000000000000"/>
    <w:charset w:val="00"/>
    <w:family w:val="auto"/>
    <w:notTrueType/>
    <w:pitch w:val="default"/>
    <w:sig w:usb0="00000003" w:usb1="00000000" w:usb2="00000000" w:usb3="00000000" w:csb0="00000001" w:csb1="00000000"/>
  </w:font>
  <w:font w:name="*Calibri-11772-Identity-H">
    <w:altName w:val="Calibri"/>
    <w:panose1 w:val="00000000000000000000"/>
    <w:charset w:val="00"/>
    <w:family w:val="auto"/>
    <w:notTrueType/>
    <w:pitch w:val="default"/>
    <w:sig w:usb0="00000003" w:usb1="00000000" w:usb2="00000000" w:usb3="00000000" w:csb0="00000001" w:csb1="00000000"/>
  </w:font>
  <w:font w:name="*Microsoft Sans Serif-12130-Ide">
    <w:altName w:val="Calibri"/>
    <w:panose1 w:val="00000000000000000000"/>
    <w:charset w:val="00"/>
    <w:family w:val="auto"/>
    <w:notTrueType/>
    <w:pitch w:val="default"/>
    <w:sig w:usb0="00000003" w:usb1="00000000" w:usb2="00000000" w:usb3="00000000" w:csb0="00000001" w:csb1="00000000"/>
  </w:font>
  <w:font w:name="*Tahoma-12131-Identity-H">
    <w:altName w:val="Calibri"/>
    <w:panose1 w:val="00000000000000000000"/>
    <w:charset w:val="00"/>
    <w:family w:val="auto"/>
    <w:notTrueType/>
    <w:pitch w:val="default"/>
    <w:sig w:usb0="00000003" w:usb1="00000000" w:usb2="00000000" w:usb3="00000000" w:csb0="00000001" w:csb1="00000000"/>
  </w:font>
  <w:font w:name="*Calibri-Bold-12128-Identity-H">
    <w:altName w:val="Calibri"/>
    <w:panose1 w:val="00000000000000000000"/>
    <w:charset w:val="00"/>
    <w:family w:val="auto"/>
    <w:notTrueType/>
    <w:pitch w:val="default"/>
    <w:sig w:usb0="00000003" w:usb1="00000000" w:usb2="00000000" w:usb3="00000000" w:csb0="00000001" w:csb1="00000000"/>
  </w:font>
  <w:font w:name="*Calibri-11645-Identity-H">
    <w:altName w:val="Calibri"/>
    <w:panose1 w:val="00000000000000000000"/>
    <w:charset w:val="00"/>
    <w:family w:val="auto"/>
    <w:notTrueType/>
    <w:pitch w:val="default"/>
    <w:sig w:usb0="00000003" w:usb1="00000000" w:usb2="00000000" w:usb3="00000000" w:csb0="00000001" w:csb1="00000000"/>
  </w:font>
  <w:font w:name="*Calibri-11646-Identity-H">
    <w:altName w:val="Calibri"/>
    <w:panose1 w:val="00000000000000000000"/>
    <w:charset w:val="00"/>
    <w:family w:val="auto"/>
    <w:notTrueType/>
    <w:pitch w:val="default"/>
    <w:sig w:usb0="00000003" w:usb1="00000000" w:usb2="00000000" w:usb3="00000000" w:csb0="00000001" w:csb1="00000000"/>
  </w:font>
  <w:font w:name="*Calibri-Bold-11647-Identity-H">
    <w:altName w:val="Calibri"/>
    <w:panose1 w:val="00000000000000000000"/>
    <w:charset w:val="00"/>
    <w:family w:val="auto"/>
    <w:notTrueType/>
    <w:pitch w:val="default"/>
    <w:sig w:usb0="00000003" w:usb1="00000000" w:usb2="00000000" w:usb3="00000000" w:csb0="00000001" w:csb1="00000000"/>
  </w:font>
  <w:font w:name="*Calibri-Bold-10230-Identity-H">
    <w:altName w:val="Calibri"/>
    <w:panose1 w:val="00000000000000000000"/>
    <w:charset w:val="00"/>
    <w:family w:val="auto"/>
    <w:notTrueType/>
    <w:pitch w:val="default"/>
    <w:sig w:usb0="00000003" w:usb1="00000000" w:usb2="00000000" w:usb3="00000000" w:csb0="00000001" w:csb1="00000000"/>
  </w:font>
  <w:font w:name="*Microsoft Sans Serif-10231-Ide">
    <w:altName w:val="Calibri"/>
    <w:panose1 w:val="00000000000000000000"/>
    <w:charset w:val="00"/>
    <w:family w:val="auto"/>
    <w:notTrueType/>
    <w:pitch w:val="default"/>
    <w:sig w:usb0="00000003" w:usb1="00000000" w:usb2="00000000" w:usb3="00000000" w:csb0="00000001" w:csb1="00000000"/>
  </w:font>
  <w:font w:name="*Times New Roman-Italic-10227-I">
    <w:altName w:val="Calibri"/>
    <w:panose1 w:val="00000000000000000000"/>
    <w:charset w:val="00"/>
    <w:family w:val="auto"/>
    <w:notTrueType/>
    <w:pitch w:val="default"/>
    <w:sig w:usb0="00000003" w:usb1="00000000" w:usb2="00000000" w:usb3="00000000" w:csb0="00000001" w:csb1="00000000"/>
  </w:font>
  <w:font w:name="*Microsoft Sans Serif-11342-Ide">
    <w:altName w:val="Calibri"/>
    <w:panose1 w:val="00000000000000000000"/>
    <w:charset w:val="00"/>
    <w:family w:val="auto"/>
    <w:notTrueType/>
    <w:pitch w:val="default"/>
    <w:sig w:usb0="00000003" w:usb1="00000000" w:usb2="00000000" w:usb3="00000000" w:csb0="00000001" w:csb1="00000000"/>
  </w:font>
  <w:font w:name="*Calibri-11338-Identity-H">
    <w:altName w:val="Calibri"/>
    <w:panose1 w:val="00000000000000000000"/>
    <w:charset w:val="00"/>
    <w:family w:val="auto"/>
    <w:notTrueType/>
    <w:pitch w:val="default"/>
    <w:sig w:usb0="00000003" w:usb1="00000000" w:usb2="00000000" w:usb3="00000000" w:csb0="00000001" w:csb1="00000000"/>
  </w:font>
  <w:font w:name="*Microsoft Sans Serif-11343-Ide">
    <w:altName w:val="Calibri"/>
    <w:panose1 w:val="00000000000000000000"/>
    <w:charset w:val="00"/>
    <w:family w:val="auto"/>
    <w:notTrueType/>
    <w:pitch w:val="default"/>
    <w:sig w:usb0="00000003" w:usb1="00000000" w:usb2="00000000" w:usb3="00000000" w:csb0="00000001" w:csb1="00000000"/>
  </w:font>
  <w:font w:name="*Comic Sans MS-BoldItalic-11341">
    <w:altName w:val="Calibri"/>
    <w:panose1 w:val="00000000000000000000"/>
    <w:charset w:val="00"/>
    <w:family w:val="auto"/>
    <w:notTrueType/>
    <w:pitch w:val="default"/>
    <w:sig w:usb0="00000003" w:usb1="00000000" w:usb2="00000000" w:usb3="00000000" w:csb0="00000001" w:csb1="00000000"/>
  </w:font>
  <w:font w:name="*Arial-Bold-11340-Identity-H">
    <w:altName w:val="Calibri"/>
    <w:panose1 w:val="00000000000000000000"/>
    <w:charset w:val="00"/>
    <w:family w:val="auto"/>
    <w:notTrueType/>
    <w:pitch w:val="default"/>
    <w:sig w:usb0="00000003" w:usb1="00000000" w:usb2="00000000" w:usb3="00000000" w:csb0="00000001" w:csb1="00000000"/>
  </w:font>
  <w:font w:name="*Microsoft Sans Serif-12540-Ide">
    <w:altName w:val="Calibri"/>
    <w:panose1 w:val="00000000000000000000"/>
    <w:charset w:val="00"/>
    <w:family w:val="auto"/>
    <w:notTrueType/>
    <w:pitch w:val="default"/>
    <w:sig w:usb0="00000003" w:usb1="00000000" w:usb2="00000000" w:usb3="00000000" w:csb0="00000001" w:csb1="00000000"/>
  </w:font>
  <w:font w:name="*Times New Roman-Italic-12536-I">
    <w:altName w:val="Calibri"/>
    <w:panose1 w:val="00000000000000000000"/>
    <w:charset w:val="00"/>
    <w:family w:val="auto"/>
    <w:notTrueType/>
    <w:pitch w:val="default"/>
    <w:sig w:usb0="00000003" w:usb1="00000000" w:usb2="00000000" w:usb3="00000000" w:csb0="00000001" w:csb1="00000000"/>
  </w:font>
  <w:font w:name="*Calibri-11961-Identity-H">
    <w:altName w:val="Calibri"/>
    <w:panose1 w:val="00000000000000000000"/>
    <w:charset w:val="00"/>
    <w:family w:val="auto"/>
    <w:notTrueType/>
    <w:pitch w:val="default"/>
    <w:sig w:usb0="00000003" w:usb1="00000000" w:usb2="00000000" w:usb3="00000000" w:csb0="00000001" w:csb1="00000000"/>
  </w:font>
  <w:font w:name="*Times New Roman-Italic-11957-I">
    <w:altName w:val="Calibri"/>
    <w:panose1 w:val="00000000000000000000"/>
    <w:charset w:val="00"/>
    <w:family w:val="auto"/>
    <w:notTrueType/>
    <w:pitch w:val="default"/>
    <w:sig w:usb0="00000003" w:usb1="00000000" w:usb2="00000000" w:usb3="00000000" w:csb0="00000001" w:csb1="00000000"/>
  </w:font>
  <w:font w:name="*Times New Roman-Italic-11958-I">
    <w:altName w:val="Calibri"/>
    <w:panose1 w:val="00000000000000000000"/>
    <w:charset w:val="00"/>
    <w:family w:val="auto"/>
    <w:notTrueType/>
    <w:pitch w:val="default"/>
    <w:sig w:usb0="00000003" w:usb1="00000000" w:usb2="00000000" w:usb3="00000000" w:csb0="00000001" w:csb1="00000000"/>
  </w:font>
  <w:font w:name="*Calibri-11963-Identity-H">
    <w:altName w:val="Calibri"/>
    <w:panose1 w:val="00000000000000000000"/>
    <w:charset w:val="00"/>
    <w:family w:val="auto"/>
    <w:notTrueType/>
    <w:pitch w:val="default"/>
    <w:sig w:usb0="00000003" w:usb1="00000000" w:usb2="00000000" w:usb3="00000000" w:csb0="00000001" w:csb1="00000000"/>
  </w:font>
  <w:font w:name="*Microsoft Sans Serif-11873-Ide">
    <w:altName w:val="Calibri"/>
    <w:panose1 w:val="00000000000000000000"/>
    <w:charset w:val="00"/>
    <w:family w:val="auto"/>
    <w:notTrueType/>
    <w:pitch w:val="default"/>
    <w:sig w:usb0="00000003" w:usb1="00000000" w:usb2="00000000" w:usb3="00000000" w:csb0="00000001" w:csb1="00000000"/>
  </w:font>
  <w:font w:name="*Times New Roman-Italic-11868-I">
    <w:altName w:val="Calibri"/>
    <w:panose1 w:val="00000000000000000000"/>
    <w:charset w:val="00"/>
    <w:family w:val="auto"/>
    <w:notTrueType/>
    <w:pitch w:val="default"/>
    <w:sig w:usb0="00000003" w:usb1="00000000" w:usb2="00000000" w:usb3="00000000" w:csb0="00000001" w:csb1="00000000"/>
  </w:font>
  <w:font w:name="*Arial-11551-Identity-H">
    <w:altName w:val="Calibri"/>
    <w:panose1 w:val="00000000000000000000"/>
    <w:charset w:val="00"/>
    <w:family w:val="auto"/>
    <w:notTrueType/>
    <w:pitch w:val="default"/>
    <w:sig w:usb0="00000003" w:usb1="00000000" w:usb2="00000000" w:usb3="00000000" w:csb0="00000001" w:csb1="00000000"/>
  </w:font>
  <w:font w:name="*Calibri-Bold-11550-Identity-H">
    <w:altName w:val="Calibri"/>
    <w:panose1 w:val="00000000000000000000"/>
    <w:charset w:val="00"/>
    <w:family w:val="auto"/>
    <w:notTrueType/>
    <w:pitch w:val="default"/>
    <w:sig w:usb0="00000003" w:usb1="00000000" w:usb2="00000000" w:usb3="00000000" w:csb0="00000001" w:csb1="00000000"/>
  </w:font>
  <w:font w:name="*Arial-BoldItalic-11552-Identit">
    <w:altName w:val="Calibri"/>
    <w:panose1 w:val="00000000000000000000"/>
    <w:charset w:val="00"/>
    <w:family w:val="auto"/>
    <w:notTrueType/>
    <w:pitch w:val="default"/>
    <w:sig w:usb0="00000003" w:usb1="00000000" w:usb2="00000000" w:usb3="00000000" w:csb0="00000001" w:csb1="00000000"/>
  </w:font>
  <w:font w:name="*Calibri-Bold-11549-Identity-H">
    <w:altName w:val="Calibri"/>
    <w:panose1 w:val="00000000000000000000"/>
    <w:charset w:val="00"/>
    <w:family w:val="auto"/>
    <w:notTrueType/>
    <w:pitch w:val="default"/>
    <w:sig w:usb0="00000003" w:usb1="00000000" w:usb2="00000000" w:usb3="00000000" w:csb0="00000001" w:csb1="00000000"/>
  </w:font>
  <w:font w:name="*Times New Roman-BoldItalic-115">
    <w:altName w:val="Calibri"/>
    <w:panose1 w:val="00000000000000000000"/>
    <w:charset w:val="00"/>
    <w:family w:val="auto"/>
    <w:notTrueType/>
    <w:pitch w:val="default"/>
    <w:sig w:usb0="00000003" w:usb1="00000000" w:usb2="00000000" w:usb3="00000000" w:csb0="00000001" w:csb1="00000000"/>
  </w:font>
  <w:font w:name="*Calibri-11548-Identity-H">
    <w:altName w:val="Calibri"/>
    <w:panose1 w:val="00000000000000000000"/>
    <w:charset w:val="00"/>
    <w:family w:val="auto"/>
    <w:notTrueType/>
    <w:pitch w:val="default"/>
    <w:sig w:usb0="00000003" w:usb1="00000000" w:usb2="00000000" w:usb3="00000000" w:csb0="00000001" w:csb1="00000000"/>
  </w:font>
  <w:font w:name="*Arial-11571-Identity-H">
    <w:altName w:val="Calibri"/>
    <w:panose1 w:val="00000000000000000000"/>
    <w:charset w:val="00"/>
    <w:family w:val="auto"/>
    <w:notTrueType/>
    <w:pitch w:val="default"/>
    <w:sig w:usb0="00000003" w:usb1="00000000" w:usb2="00000000" w:usb3="00000000" w:csb0="00000001" w:csb1="00000000"/>
  </w:font>
  <w:font w:name="*Times New Roman-Italic-11569-I">
    <w:altName w:val="Calibri"/>
    <w:panose1 w:val="00000000000000000000"/>
    <w:charset w:val="00"/>
    <w:family w:val="auto"/>
    <w:notTrueType/>
    <w:pitch w:val="default"/>
    <w:sig w:usb0="00000003" w:usb1="00000000" w:usb2="00000000" w:usb3="00000000" w:csb0="00000001" w:csb1="00000000"/>
  </w:font>
  <w:font w:name="*Microsoft Sans Serif-Bold-1157">
    <w:altName w:val="Calibri"/>
    <w:panose1 w:val="00000000000000000000"/>
    <w:charset w:val="00"/>
    <w:family w:val="auto"/>
    <w:notTrueType/>
    <w:pitch w:val="default"/>
    <w:sig w:usb0="00000003" w:usb1="00000000" w:usb2="00000000" w:usb3="00000000" w:csb0="00000001" w:csb1="00000000"/>
  </w:font>
  <w:font w:name="*Calibri-12028-Identity-H">
    <w:altName w:val="Calibri"/>
    <w:panose1 w:val="00000000000000000000"/>
    <w:charset w:val="00"/>
    <w:family w:val="auto"/>
    <w:notTrueType/>
    <w:pitch w:val="default"/>
    <w:sig w:usb0="00000003" w:usb1="00000000" w:usb2="00000000" w:usb3="00000000" w:csb0="00000001" w:csb1="00000000"/>
  </w:font>
  <w:font w:name="*Times New Roman-Italic-12025-I">
    <w:altName w:val="Calibri"/>
    <w:panose1 w:val="00000000000000000000"/>
    <w:charset w:val="00"/>
    <w:family w:val="auto"/>
    <w:notTrueType/>
    <w:pitch w:val="default"/>
    <w:sig w:usb0="00000003" w:usb1="00000000" w:usb2="00000000" w:usb3="00000000" w:csb0="00000001" w:csb1="00000000"/>
  </w:font>
  <w:font w:name="*Tahoma-12031-Identity-H">
    <w:altName w:val="Calibri"/>
    <w:panose1 w:val="00000000000000000000"/>
    <w:charset w:val="00"/>
    <w:family w:val="auto"/>
    <w:notTrueType/>
    <w:pitch w:val="default"/>
    <w:sig w:usb0="00000003" w:usb1="00000000" w:usb2="00000000" w:usb3="00000000" w:csb0="00000001" w:csb1="00000000"/>
  </w:font>
  <w:font w:name="*Tahoma-BoldItalic-12032-Identi">
    <w:altName w:val="Calibri"/>
    <w:panose1 w:val="00000000000000000000"/>
    <w:charset w:val="00"/>
    <w:family w:val="auto"/>
    <w:notTrueType/>
    <w:pitch w:val="default"/>
    <w:sig w:usb0="00000003" w:usb1="00000000" w:usb2="00000000" w:usb3="00000000" w:csb0="00000001" w:csb1="00000000"/>
  </w:font>
  <w:font w:name="*Arial-Bold-12029-Identity-H">
    <w:altName w:val="Calibri"/>
    <w:panose1 w:val="00000000000000000000"/>
    <w:charset w:val="00"/>
    <w:family w:val="auto"/>
    <w:notTrueType/>
    <w:pitch w:val="default"/>
    <w:sig w:usb0="00000003" w:usb1="00000000" w:usb2="00000000" w:usb3="00000000" w:csb0="00000001" w:csb1="00000000"/>
  </w:font>
  <w:font w:name="*Microsoft Sans Serif-Bold-1203">
    <w:altName w:val="Calibri"/>
    <w:panose1 w:val="00000000000000000000"/>
    <w:charset w:val="00"/>
    <w:family w:val="auto"/>
    <w:notTrueType/>
    <w:pitch w:val="default"/>
    <w:sig w:usb0="00000003" w:usb1="00000000" w:usb2="00000000" w:usb3="00000000" w:csb0="00000001" w:csb1="00000000"/>
  </w:font>
  <w:font w:name="*Microsoft Sans Serif-11829-Ide">
    <w:altName w:val="Calibri"/>
    <w:panose1 w:val="00000000000000000000"/>
    <w:charset w:val="00"/>
    <w:family w:val="auto"/>
    <w:notTrueType/>
    <w:pitch w:val="default"/>
    <w:sig w:usb0="00000003" w:usb1="00000000" w:usb2="00000000" w:usb3="00000000" w:csb0="00000001" w:csb1="00000000"/>
  </w:font>
  <w:font w:name="*Calibri-Bold-11828-Identity-H">
    <w:altName w:val="Calibri"/>
    <w:panose1 w:val="00000000000000000000"/>
    <w:charset w:val="00"/>
    <w:family w:val="auto"/>
    <w:notTrueType/>
    <w:pitch w:val="default"/>
    <w:sig w:usb0="00000003" w:usb1="00000000" w:usb2="00000000" w:usb3="00000000" w:csb0="00000001" w:csb1="00000000"/>
  </w:font>
  <w:font w:name="*Times New Roman-Italic-11822-I">
    <w:altName w:val="Calibri"/>
    <w:panose1 w:val="00000000000000000000"/>
    <w:charset w:val="00"/>
    <w:family w:val="auto"/>
    <w:notTrueType/>
    <w:pitch w:val="default"/>
    <w:sig w:usb0="00000003" w:usb1="00000000" w:usb2="00000000" w:usb3="00000000" w:csb0="00000001" w:csb1="00000000"/>
  </w:font>
  <w:font w:name="*Calibri-BoldItalic-11827-Ident">
    <w:altName w:val="Calibri"/>
    <w:panose1 w:val="00000000000000000000"/>
    <w:charset w:val="00"/>
    <w:family w:val="auto"/>
    <w:notTrueType/>
    <w:pitch w:val="default"/>
    <w:sig w:usb0="00000003" w:usb1="00000000" w:usb2="00000000" w:usb3="00000000" w:csb0="00000001" w:csb1="00000000"/>
  </w:font>
  <w:font w:name="*Calibri-Bold-11826-Identity-H">
    <w:altName w:val="Calibri"/>
    <w:panose1 w:val="00000000000000000000"/>
    <w:charset w:val="00"/>
    <w:family w:val="auto"/>
    <w:notTrueType/>
    <w:pitch w:val="default"/>
    <w:sig w:usb0="00000003" w:usb1="00000000" w:usb2="00000000" w:usb3="00000000" w:csb0="00000001" w:csb1="00000000"/>
  </w:font>
  <w:font w:name="*Microsoft Sans Serif-11830-Ide">
    <w:altName w:val="Calibri"/>
    <w:panose1 w:val="00000000000000000000"/>
    <w:charset w:val="00"/>
    <w:family w:val="auto"/>
    <w:notTrueType/>
    <w:pitch w:val="default"/>
    <w:sig w:usb0="00000003" w:usb1="00000000" w:usb2="00000000" w:usb3="00000000" w:csb0="00000001" w:csb1="00000000"/>
  </w:font>
  <w:font w:name="*Tahoma-BoldItalic-11831-Identi">
    <w:altName w:val="Calibri"/>
    <w:panose1 w:val="00000000000000000000"/>
    <w:charset w:val="00"/>
    <w:family w:val="auto"/>
    <w:notTrueType/>
    <w:pitch w:val="default"/>
    <w:sig w:usb0="00000003" w:usb1="00000000" w:usb2="00000000" w:usb3="00000000" w:csb0="00000001" w:csb1="00000000"/>
  </w:font>
  <w:font w:name="*Times New Roman-Italic-11823-I">
    <w:altName w:val="Calibri"/>
    <w:panose1 w:val="00000000000000000000"/>
    <w:charset w:val="00"/>
    <w:family w:val="auto"/>
    <w:notTrueType/>
    <w:pitch w:val="default"/>
    <w:sig w:usb0="00000003" w:usb1="00000000" w:usb2="00000000" w:usb3="00000000" w:csb0="00000001" w:csb1="00000000"/>
  </w:font>
  <w:font w:name="*Microsoft Sans Serif-12479-Ide">
    <w:altName w:val="Calibri"/>
    <w:panose1 w:val="00000000000000000000"/>
    <w:charset w:val="00"/>
    <w:family w:val="auto"/>
    <w:notTrueType/>
    <w:pitch w:val="default"/>
    <w:sig w:usb0="00000003" w:usb1="00000000" w:usb2="00000000" w:usb3="00000000" w:csb0="00000001" w:csb1="00000000"/>
  </w:font>
  <w:font w:name="*Tahoma-BoldItalic-12480-Identi">
    <w:altName w:val="Calibri"/>
    <w:panose1 w:val="00000000000000000000"/>
    <w:charset w:val="00"/>
    <w:family w:val="auto"/>
    <w:notTrueType/>
    <w:pitch w:val="default"/>
    <w:sig w:usb0="00000003" w:usb1="00000000" w:usb2="00000000" w:usb3="00000000" w:csb0="00000001" w:csb1="00000000"/>
  </w:font>
  <w:font w:name="*Verdana-Bold-12478-Identity-H">
    <w:altName w:val="Calibri"/>
    <w:panose1 w:val="00000000000000000000"/>
    <w:charset w:val="00"/>
    <w:family w:val="auto"/>
    <w:notTrueType/>
    <w:pitch w:val="default"/>
    <w:sig w:usb0="00000003" w:usb1="00000000" w:usb2="00000000" w:usb3="00000000" w:csb0="00000001" w:csb1="00000000"/>
  </w:font>
  <w:font w:name="*Times New Roman-Italic-12474-I">
    <w:altName w:val="Calibri"/>
    <w:panose1 w:val="00000000000000000000"/>
    <w:charset w:val="00"/>
    <w:family w:val="auto"/>
    <w:notTrueType/>
    <w:pitch w:val="default"/>
    <w:sig w:usb0="00000003" w:usb1="00000000" w:usb2="00000000" w:usb3="00000000" w:csb0="00000001" w:csb1="00000000"/>
  </w:font>
  <w:font w:name="*Arial-BoldItalic-12477-Identit">
    <w:altName w:val="Calibri"/>
    <w:panose1 w:val="00000000000000000000"/>
    <w:charset w:val="00"/>
    <w:family w:val="auto"/>
    <w:notTrueType/>
    <w:pitch w:val="default"/>
    <w:sig w:usb0="00000003" w:usb1="00000000" w:usb2="00000000" w:usb3="00000000" w:csb0="00000001" w:csb1="00000000"/>
  </w:font>
  <w:font w:name="*Arial-11263-Identity-H">
    <w:altName w:val="Calibri"/>
    <w:panose1 w:val="00000000000000000000"/>
    <w:charset w:val="00"/>
    <w:family w:val="auto"/>
    <w:notTrueType/>
    <w:pitch w:val="default"/>
    <w:sig w:usb0="00000003" w:usb1="00000000" w:usb2="00000000" w:usb3="00000000" w:csb0="00000001" w:csb1="00000000"/>
  </w:font>
  <w:font w:name="*Times New Roman-Italic-11258-I">
    <w:altName w:val="Calibri"/>
    <w:panose1 w:val="00000000000000000000"/>
    <w:charset w:val="00"/>
    <w:family w:val="auto"/>
    <w:notTrueType/>
    <w:pitch w:val="default"/>
    <w:sig w:usb0="00000003" w:usb1="00000000" w:usb2="00000000" w:usb3="00000000" w:csb0="00000001" w:csb1="00000000"/>
  </w:font>
  <w:font w:name="*Calibri-Bold-11261-Identity-H">
    <w:altName w:val="Calibri"/>
    <w:panose1 w:val="00000000000000000000"/>
    <w:charset w:val="00"/>
    <w:family w:val="auto"/>
    <w:notTrueType/>
    <w:pitch w:val="default"/>
    <w:sig w:usb0="00000003" w:usb1="00000000" w:usb2="00000000" w:usb3="00000000" w:csb0="00000001" w:csb1="00000000"/>
  </w:font>
  <w:font w:name="*Calibri-Bold-11262-Identity-H">
    <w:altName w:val="Calibri"/>
    <w:panose1 w:val="00000000000000000000"/>
    <w:charset w:val="00"/>
    <w:family w:val="auto"/>
    <w:notTrueType/>
    <w:pitch w:val="default"/>
    <w:sig w:usb0="00000003" w:usb1="00000000" w:usb2="00000000" w:usb3="00000000" w:csb0="00000001" w:csb1="00000000"/>
  </w:font>
  <w:font w:name="*Calibri-11451-Identity-H">
    <w:altName w:val="Calibri"/>
    <w:panose1 w:val="00000000000000000000"/>
    <w:charset w:val="00"/>
    <w:family w:val="auto"/>
    <w:notTrueType/>
    <w:pitch w:val="default"/>
    <w:sig w:usb0="00000003" w:usb1="00000000" w:usb2="00000000" w:usb3="00000000" w:csb0="00000001" w:csb1="00000000"/>
  </w:font>
  <w:font w:name="*Calibri-11450-Identity-H">
    <w:altName w:val="Calibri"/>
    <w:panose1 w:val="00000000000000000000"/>
    <w:charset w:val="00"/>
    <w:family w:val="auto"/>
    <w:notTrueType/>
    <w:pitch w:val="default"/>
    <w:sig w:usb0="00000003" w:usb1="00000000" w:usb2="00000000" w:usb3="00000000" w:csb0="00000001" w:csb1="00000000"/>
  </w:font>
  <w:font w:name="*Calibri-11454-Identity-H">
    <w:altName w:val="Calibri"/>
    <w:panose1 w:val="00000000000000000000"/>
    <w:charset w:val="00"/>
    <w:family w:val="auto"/>
    <w:notTrueType/>
    <w:pitch w:val="default"/>
    <w:sig w:usb0="00000003" w:usb1="00000000" w:usb2="00000000" w:usb3="00000000" w:csb0="00000001" w:csb1="00000000"/>
  </w:font>
  <w:font w:name="*Microsoft Sans Serif-12140-Ide">
    <w:altName w:val="Calibri"/>
    <w:panose1 w:val="00000000000000000000"/>
    <w:charset w:val="00"/>
    <w:family w:val="auto"/>
    <w:notTrueType/>
    <w:pitch w:val="default"/>
    <w:sig w:usb0="00000003" w:usb1="00000000" w:usb2="00000000" w:usb3="00000000" w:csb0="00000001" w:csb1="00000000"/>
  </w:font>
  <w:font w:name="*Arial-BoldItalic-12138-Identit">
    <w:altName w:val="Calibri"/>
    <w:panose1 w:val="00000000000000000000"/>
    <w:charset w:val="00"/>
    <w:family w:val="auto"/>
    <w:notTrueType/>
    <w:pitch w:val="default"/>
    <w:sig w:usb0="00000003" w:usb1="00000000" w:usb2="00000000" w:usb3="00000000" w:csb0="00000001" w:csb1="00000000"/>
  </w:font>
  <w:font w:name="*Comic Sans MS-Bold-12139-Ident">
    <w:altName w:val="Calibri"/>
    <w:panose1 w:val="00000000000000000000"/>
    <w:charset w:val="00"/>
    <w:family w:val="auto"/>
    <w:notTrueType/>
    <w:pitch w:val="default"/>
    <w:sig w:usb0="00000003" w:usb1="00000000" w:usb2="00000000" w:usb3="00000000" w:csb0="00000001" w:csb1="00000000"/>
  </w:font>
  <w:font w:name="*Times New Roman-Italic-12133-I">
    <w:altName w:val="Calibri"/>
    <w:panose1 w:val="00000000000000000000"/>
    <w:charset w:val="00"/>
    <w:family w:val="auto"/>
    <w:notTrueType/>
    <w:pitch w:val="default"/>
    <w:sig w:usb0="00000003" w:usb1="00000000" w:usb2="00000000" w:usb3="00000000" w:csb0="00000001" w:csb1="00000000"/>
  </w:font>
  <w:font w:name="*Times New Roman-BoldItalic-121">
    <w:altName w:val="Calibri"/>
    <w:panose1 w:val="00000000000000000000"/>
    <w:charset w:val="00"/>
    <w:family w:val="auto"/>
    <w:notTrueType/>
    <w:pitch w:val="default"/>
    <w:sig w:usb0="00000003" w:usb1="00000000" w:usb2="00000000" w:usb3="00000000" w:csb0="00000001" w:csb1="00000000"/>
  </w:font>
  <w:font w:name="*Calibri-Bold-10357-Identity-H">
    <w:altName w:val="Calibri"/>
    <w:panose1 w:val="00000000000000000000"/>
    <w:charset w:val="00"/>
    <w:family w:val="auto"/>
    <w:notTrueType/>
    <w:pitch w:val="default"/>
    <w:sig w:usb0="00000003" w:usb1="00000000" w:usb2="00000000" w:usb3="00000000" w:csb0="00000001" w:csb1="00000000"/>
  </w:font>
  <w:font w:name="*Microsoft Sans Serif-Bold-1036">
    <w:altName w:val="Calibri"/>
    <w:panose1 w:val="00000000000000000000"/>
    <w:charset w:val="00"/>
    <w:family w:val="auto"/>
    <w:notTrueType/>
    <w:pitch w:val="default"/>
    <w:sig w:usb0="00000003" w:usb1="00000000" w:usb2="00000000" w:usb3="00000000" w:csb0="00000001" w:csb1="00000000"/>
  </w:font>
  <w:font w:name="*Verdana-BoldItalic-10359-Ident">
    <w:altName w:val="Calibri"/>
    <w:panose1 w:val="00000000000000000000"/>
    <w:charset w:val="00"/>
    <w:family w:val="auto"/>
    <w:notTrueType/>
    <w:pitch w:val="default"/>
    <w:sig w:usb0="00000003" w:usb1="00000000" w:usb2="00000000" w:usb3="00000000" w:csb0="00000001" w:csb1="00000000"/>
  </w:font>
  <w:font w:name="*Arial-10358-Identity-H">
    <w:altName w:val="Calibri"/>
    <w:panose1 w:val="00000000000000000000"/>
    <w:charset w:val="00"/>
    <w:family w:val="auto"/>
    <w:notTrueType/>
    <w:pitch w:val="default"/>
    <w:sig w:usb0="00000003" w:usb1="00000000" w:usb2="00000000" w:usb3="00000000" w:csb0="00000001" w:csb1="00000000"/>
  </w:font>
  <w:font w:name="*Microsoft Sans Serif-Italic-10">
    <w:altName w:val="Calibri"/>
    <w:panose1 w:val="00000000000000000000"/>
    <w:charset w:val="00"/>
    <w:family w:val="auto"/>
    <w:notTrueType/>
    <w:pitch w:val="default"/>
    <w:sig w:usb0="00000003" w:usb1="00000000" w:usb2="00000000" w:usb3="00000000" w:csb0="00000001" w:csb1="00000000"/>
  </w:font>
  <w:font w:name="*Microsoft Sans Serif-10748-Ide">
    <w:altName w:val="Calibri"/>
    <w:panose1 w:val="00000000000000000000"/>
    <w:charset w:val="00"/>
    <w:family w:val="auto"/>
    <w:notTrueType/>
    <w:pitch w:val="default"/>
    <w:sig w:usb0="00000003" w:usb1="00000000" w:usb2="00000000" w:usb3="00000000" w:csb0="00000001" w:csb1="00000000"/>
  </w:font>
  <w:font w:name="*Arial-Bold-10747-Identity-H">
    <w:altName w:val="Calibri"/>
    <w:panose1 w:val="00000000000000000000"/>
    <w:charset w:val="00"/>
    <w:family w:val="auto"/>
    <w:notTrueType/>
    <w:pitch w:val="default"/>
    <w:sig w:usb0="00000003" w:usb1="00000000" w:usb2="00000000" w:usb3="00000000" w:csb0="00000001" w:csb1="00000000"/>
  </w:font>
  <w:font w:name="*Arial-BoldItalic-10746-Identit">
    <w:altName w:val="Calibri"/>
    <w:panose1 w:val="00000000000000000000"/>
    <w:charset w:val="00"/>
    <w:family w:val="auto"/>
    <w:notTrueType/>
    <w:pitch w:val="default"/>
    <w:sig w:usb0="00000003" w:usb1="00000000" w:usb2="00000000" w:usb3="00000000" w:csb0="00000001" w:csb1="00000000"/>
  </w:font>
  <w:font w:name="*Calibri-Bold-10888-Identity-H">
    <w:altName w:val="Calibri"/>
    <w:panose1 w:val="00000000000000000000"/>
    <w:charset w:val="00"/>
    <w:family w:val="auto"/>
    <w:notTrueType/>
    <w:pitch w:val="default"/>
    <w:sig w:usb0="00000003" w:usb1="00000000" w:usb2="00000000" w:usb3="00000000" w:csb0="00000001" w:csb1="00000000"/>
  </w:font>
  <w:font w:name="*Calibri-10886-Identity-H">
    <w:altName w:val="Calibri"/>
    <w:panose1 w:val="00000000000000000000"/>
    <w:charset w:val="00"/>
    <w:family w:val="auto"/>
    <w:notTrueType/>
    <w:pitch w:val="default"/>
    <w:sig w:usb0="00000003" w:usb1="00000000" w:usb2="00000000" w:usb3="00000000" w:csb0="00000001" w:csb1="00000000"/>
  </w:font>
  <w:font w:name="*Calibri-10887-Identity-H">
    <w:altName w:val="Calibri"/>
    <w:panose1 w:val="00000000000000000000"/>
    <w:charset w:val="00"/>
    <w:family w:val="auto"/>
    <w:notTrueType/>
    <w:pitch w:val="default"/>
    <w:sig w:usb0="00000003" w:usb1="00000000" w:usb2="00000000" w:usb3="00000000" w:csb0="00000001" w:csb1="00000000"/>
  </w:font>
  <w:font w:name="*Calibri-11237-Identity-H">
    <w:altName w:val="Calibri"/>
    <w:panose1 w:val="00000000000000000000"/>
    <w:charset w:val="00"/>
    <w:family w:val="auto"/>
    <w:notTrueType/>
    <w:pitch w:val="default"/>
    <w:sig w:usb0="00000003" w:usb1="00000000" w:usb2="00000000" w:usb3="00000000" w:csb0="00000001" w:csb1="00000000"/>
  </w:font>
  <w:font w:name="*Calibri-Bold-11238-Identity-H">
    <w:altName w:val="Calibri"/>
    <w:panose1 w:val="00000000000000000000"/>
    <w:charset w:val="00"/>
    <w:family w:val="auto"/>
    <w:notTrueType/>
    <w:pitch w:val="default"/>
    <w:sig w:usb0="00000003" w:usb1="00000000" w:usb2="00000000" w:usb3="00000000" w:csb0="00000001" w:csb1="00000000"/>
  </w:font>
  <w:font w:name="*Times New Roman-Italic-11234-I">
    <w:altName w:val="Calibri"/>
    <w:panose1 w:val="00000000000000000000"/>
    <w:charset w:val="00"/>
    <w:family w:val="auto"/>
    <w:notTrueType/>
    <w:pitch w:val="default"/>
    <w:sig w:usb0="00000003" w:usb1="00000000" w:usb2="00000000" w:usb3="00000000" w:csb0="00000001" w:csb1="00000000"/>
  </w:font>
  <w:font w:name="*Times New Roman-Bold-11233-Ide">
    <w:altName w:val="Calibri"/>
    <w:panose1 w:val="00000000000000000000"/>
    <w:charset w:val="00"/>
    <w:family w:val="auto"/>
    <w:notTrueType/>
    <w:pitch w:val="default"/>
    <w:sig w:usb0="00000003" w:usb1="00000000" w:usb2="00000000" w:usb3="00000000" w:csb0="00000001" w:csb1="00000000"/>
  </w:font>
  <w:font w:name="*Comic Sans MS-BoldItalic-11239">
    <w:altName w:val="Calibri"/>
    <w:panose1 w:val="00000000000000000000"/>
    <w:charset w:val="00"/>
    <w:family w:val="auto"/>
    <w:notTrueType/>
    <w:pitch w:val="default"/>
    <w:sig w:usb0="00000003" w:usb1="00000000" w:usb2="00000000" w:usb3="00000000" w:csb0="00000001" w:csb1="00000000"/>
  </w:font>
  <w:font w:name="*Calibri-BoldItalic-12274-Ident">
    <w:altName w:val="Calibri"/>
    <w:panose1 w:val="00000000000000000000"/>
    <w:charset w:val="00"/>
    <w:family w:val="auto"/>
    <w:notTrueType/>
    <w:pitch w:val="default"/>
    <w:sig w:usb0="00000003" w:usb1="00000000" w:usb2="00000000" w:usb3="00000000" w:csb0="00000001" w:csb1="00000000"/>
  </w:font>
  <w:font w:name="*Arial-Bold-12277-Identity-H">
    <w:altName w:val="Calibri"/>
    <w:panose1 w:val="00000000000000000000"/>
    <w:charset w:val="00"/>
    <w:family w:val="auto"/>
    <w:notTrueType/>
    <w:pitch w:val="default"/>
    <w:sig w:usb0="00000003" w:usb1="00000000" w:usb2="00000000" w:usb3="00000000" w:csb0="00000001" w:csb1="00000000"/>
  </w:font>
  <w:font w:name="*Calibri-Bold-12273-Identity-H">
    <w:altName w:val="Calibri"/>
    <w:panose1 w:val="00000000000000000000"/>
    <w:charset w:val="00"/>
    <w:family w:val="auto"/>
    <w:notTrueType/>
    <w:pitch w:val="default"/>
    <w:sig w:usb0="00000003" w:usb1="00000000" w:usb2="00000000" w:usb3="00000000" w:csb0="00000001" w:csb1="00000000"/>
  </w:font>
  <w:font w:name="*Calibri-12272-Identity-H">
    <w:altName w:val="Calibri"/>
    <w:panose1 w:val="00000000000000000000"/>
    <w:charset w:val="00"/>
    <w:family w:val="auto"/>
    <w:notTrueType/>
    <w:pitch w:val="default"/>
    <w:sig w:usb0="00000003" w:usb1="00000000" w:usb2="00000000" w:usb3="00000000" w:csb0="00000001" w:csb1="00000000"/>
  </w:font>
  <w:font w:name="*Times New Roman-Italic-12269-I">
    <w:altName w:val="Calibri"/>
    <w:panose1 w:val="00000000000000000000"/>
    <w:charset w:val="00"/>
    <w:family w:val="auto"/>
    <w:notTrueType/>
    <w:pitch w:val="default"/>
    <w:sig w:usb0="00000003" w:usb1="00000000" w:usb2="00000000" w:usb3="00000000" w:csb0="00000001" w:csb1="00000000"/>
  </w:font>
  <w:font w:name="*Calibri-Bold-12275-Identity-H">
    <w:altName w:val="Calibri"/>
    <w:panose1 w:val="00000000000000000000"/>
    <w:charset w:val="00"/>
    <w:family w:val="auto"/>
    <w:notTrueType/>
    <w:pitch w:val="default"/>
    <w:sig w:usb0="00000003" w:usb1="00000000" w:usb2="00000000" w:usb3="00000000" w:csb0="00000001" w:csb1="00000000"/>
  </w:font>
  <w:font w:name="*Comic Sans MS-12278-Identity-H">
    <w:altName w:val="Calibri"/>
    <w:panose1 w:val="00000000000000000000"/>
    <w:charset w:val="00"/>
    <w:family w:val="auto"/>
    <w:notTrueType/>
    <w:pitch w:val="default"/>
    <w:sig w:usb0="00000003" w:usb1="00000000" w:usb2="00000000" w:usb3="00000000" w:csb0="00000001" w:csb1="00000000"/>
  </w:font>
  <w:font w:name="*Arial-Bold-12276-Identity-H">
    <w:altName w:val="Calibri"/>
    <w:panose1 w:val="00000000000000000000"/>
    <w:charset w:val="00"/>
    <w:family w:val="auto"/>
    <w:notTrueType/>
    <w:pitch w:val="default"/>
    <w:sig w:usb0="00000003" w:usb1="00000000" w:usb2="00000000" w:usb3="00000000" w:csb0="00000001" w:csb1="00000000"/>
  </w:font>
  <w:font w:name="*Calibri-11779-Identity-H">
    <w:altName w:val="Calibri"/>
    <w:panose1 w:val="00000000000000000000"/>
    <w:charset w:val="00"/>
    <w:family w:val="auto"/>
    <w:notTrueType/>
    <w:pitch w:val="default"/>
    <w:sig w:usb0="00000003" w:usb1="00000000" w:usb2="00000000" w:usb3="00000000" w:csb0="00000001" w:csb1="00000000"/>
  </w:font>
  <w:font w:name="*Tahoma-BoldItalic-11781-Identi">
    <w:altName w:val="Calibri"/>
    <w:panose1 w:val="00000000000000000000"/>
    <w:charset w:val="00"/>
    <w:family w:val="auto"/>
    <w:notTrueType/>
    <w:pitch w:val="default"/>
    <w:sig w:usb0="00000003" w:usb1="00000000" w:usb2="00000000" w:usb3="00000000" w:csb0="00000001" w:csb1="00000000"/>
  </w:font>
  <w:font w:name="*Calibri-Bold-11780-Identity-H">
    <w:altName w:val="Calibri"/>
    <w:panose1 w:val="00000000000000000000"/>
    <w:charset w:val="00"/>
    <w:family w:val="auto"/>
    <w:notTrueType/>
    <w:pitch w:val="default"/>
    <w:sig w:usb0="00000003" w:usb1="00000000" w:usb2="00000000" w:usb3="00000000" w:csb0="00000001" w:csb1="00000000"/>
  </w:font>
  <w:font w:name="*Microsoft Sans Serif-11936-Ide">
    <w:altName w:val="Calibri"/>
    <w:panose1 w:val="00000000000000000000"/>
    <w:charset w:val="00"/>
    <w:family w:val="auto"/>
    <w:notTrueType/>
    <w:pitch w:val="default"/>
    <w:sig w:usb0="00000003" w:usb1="00000000" w:usb2="00000000" w:usb3="00000000" w:csb0="00000001" w:csb1="00000000"/>
  </w:font>
  <w:font w:name="*Comic Sans MS-BoldItalic-11935">
    <w:altName w:val="Calibri"/>
    <w:panose1 w:val="00000000000000000000"/>
    <w:charset w:val="00"/>
    <w:family w:val="auto"/>
    <w:notTrueType/>
    <w:pitch w:val="default"/>
    <w:sig w:usb0="00000003" w:usb1="00000000" w:usb2="00000000" w:usb3="00000000" w:csb0="00000001" w:csb1="00000000"/>
  </w:font>
  <w:font w:name="*Times New Roman-Bold-11930-Ide">
    <w:altName w:val="Calibri"/>
    <w:panose1 w:val="00000000000000000000"/>
    <w:charset w:val="00"/>
    <w:family w:val="auto"/>
    <w:notTrueType/>
    <w:pitch w:val="default"/>
    <w:sig w:usb0="00000003" w:usb1="00000000" w:usb2="00000000" w:usb3="00000000" w:csb0="00000001" w:csb1="00000000"/>
  </w:font>
  <w:font w:name="*Arial-Bold-11934-Identity-H">
    <w:altName w:val="Calibri"/>
    <w:panose1 w:val="00000000000000000000"/>
    <w:charset w:val="00"/>
    <w:family w:val="auto"/>
    <w:notTrueType/>
    <w:pitch w:val="default"/>
    <w:sig w:usb0="00000003" w:usb1="00000000" w:usb2="00000000" w:usb3="00000000" w:csb0="00000001" w:csb1="00000000"/>
  </w:font>
  <w:font w:name="*Times New Roman-Italic-11929-I">
    <w:altName w:val="Calibri"/>
    <w:panose1 w:val="00000000000000000000"/>
    <w:charset w:val="00"/>
    <w:family w:val="auto"/>
    <w:notTrueType/>
    <w:pitch w:val="default"/>
    <w:sig w:usb0="00000003" w:usb1="00000000" w:usb2="00000000" w:usb3="00000000" w:csb0="00000001" w:csb1="00000000"/>
  </w:font>
  <w:font w:name="*Arial-BoldItalic-12236-Identit">
    <w:altName w:val="Calibri"/>
    <w:panose1 w:val="00000000000000000000"/>
    <w:charset w:val="00"/>
    <w:family w:val="auto"/>
    <w:notTrueType/>
    <w:pitch w:val="default"/>
    <w:sig w:usb0="00000003" w:usb1="00000000" w:usb2="00000000" w:usb3="00000000" w:csb0="00000001" w:csb1="00000000"/>
  </w:font>
  <w:font w:name="*Comic Sans MS-Bold-12237-Ident">
    <w:altName w:val="Calibri"/>
    <w:panose1 w:val="00000000000000000000"/>
    <w:charset w:val="00"/>
    <w:family w:val="auto"/>
    <w:notTrueType/>
    <w:pitch w:val="default"/>
    <w:sig w:usb0="00000003" w:usb1="00000000" w:usb2="00000000" w:usb3="00000000" w:csb0="00000001" w:csb1="00000000"/>
  </w:font>
  <w:font w:name="*Microsoft Sans Serif-12238-Ide">
    <w:altName w:val="Calibri"/>
    <w:panose1 w:val="00000000000000000000"/>
    <w:charset w:val="00"/>
    <w:family w:val="auto"/>
    <w:notTrueType/>
    <w:pitch w:val="default"/>
    <w:sig w:usb0="00000003" w:usb1="00000000" w:usb2="00000000" w:usb3="00000000" w:csb0="00000001" w:csb1="00000000"/>
  </w:font>
  <w:font w:name="*Times New Roman-BoldItalic-122">
    <w:altName w:val="Calibri"/>
    <w:panose1 w:val="00000000000000000000"/>
    <w:charset w:val="00"/>
    <w:family w:val="auto"/>
    <w:notTrueType/>
    <w:pitch w:val="default"/>
    <w:sig w:usb0="00000003" w:usb1="00000000" w:usb2="00000000" w:usb3="00000000" w:csb0="00000001" w:csb1="00000000"/>
  </w:font>
  <w:font w:name="*Microsoft Sans Serif-11516-Ide">
    <w:altName w:val="Calibri"/>
    <w:panose1 w:val="00000000000000000000"/>
    <w:charset w:val="00"/>
    <w:family w:val="auto"/>
    <w:notTrueType/>
    <w:pitch w:val="default"/>
    <w:sig w:usb0="00000003" w:usb1="00000000" w:usb2="00000000" w:usb3="00000000" w:csb0="00000001" w:csb1="00000000"/>
  </w:font>
  <w:font w:name="*Calibri-11515-Identity-H">
    <w:altName w:val="Calibri"/>
    <w:panose1 w:val="00000000000000000000"/>
    <w:charset w:val="00"/>
    <w:family w:val="auto"/>
    <w:notTrueType/>
    <w:pitch w:val="default"/>
    <w:sig w:usb0="00000003" w:usb1="00000000" w:usb2="00000000" w:usb3="00000000" w:csb0="00000001" w:csb1="00000000"/>
  </w:font>
  <w:font w:name="*Calibri-BoldItalic-11513-Ident">
    <w:altName w:val="Calibri"/>
    <w:panose1 w:val="00000000000000000000"/>
    <w:charset w:val="00"/>
    <w:family w:val="auto"/>
    <w:notTrueType/>
    <w:pitch w:val="default"/>
    <w:sig w:usb0="00000003" w:usb1="00000000" w:usb2="00000000" w:usb3="00000000" w:csb0="00000001" w:csb1="00000000"/>
  </w:font>
  <w:font w:name="*Calibri-Bold-11512-Identity-H">
    <w:altName w:val="Calibri"/>
    <w:panose1 w:val="00000000000000000000"/>
    <w:charset w:val="00"/>
    <w:family w:val="auto"/>
    <w:notTrueType/>
    <w:pitch w:val="default"/>
    <w:sig w:usb0="00000003" w:usb1="00000000" w:usb2="00000000" w:usb3="00000000" w:csb0="00000001" w:csb1="00000000"/>
  </w:font>
  <w:font w:name="*Microsoft Sans Serif-Bold-1151">
    <w:altName w:val="Calibri"/>
    <w:panose1 w:val="00000000000000000000"/>
    <w:charset w:val="00"/>
    <w:family w:val="auto"/>
    <w:notTrueType/>
    <w:pitch w:val="default"/>
    <w:sig w:usb0="00000003" w:usb1="00000000" w:usb2="00000000" w:usb3="00000000" w:csb0="00000001" w:csb1="00000000"/>
  </w:font>
  <w:font w:name="*Calibri-Bold-11514-Identity-H">
    <w:altName w:val="Calibri"/>
    <w:panose1 w:val="00000000000000000000"/>
    <w:charset w:val="00"/>
    <w:family w:val="auto"/>
    <w:notTrueType/>
    <w:pitch w:val="default"/>
    <w:sig w:usb0="00000003" w:usb1="00000000" w:usb2="00000000" w:usb3="00000000" w:csb0="00000001" w:csb1="00000000"/>
  </w:font>
  <w:font w:name="*Microsoft Sans Serif-12512-Ide">
    <w:altName w:val="Calibri"/>
    <w:panose1 w:val="00000000000000000000"/>
    <w:charset w:val="00"/>
    <w:family w:val="auto"/>
    <w:notTrueType/>
    <w:pitch w:val="default"/>
    <w:sig w:usb0="00000003" w:usb1="00000000" w:usb2="00000000" w:usb3="00000000" w:csb0="00000001" w:csb1="00000000"/>
  </w:font>
  <w:font w:name="*Times New Roman-Italic-11508-I">
    <w:altName w:val="Calibri"/>
    <w:panose1 w:val="00000000000000000000"/>
    <w:charset w:val="00"/>
    <w:family w:val="auto"/>
    <w:notTrueType/>
    <w:pitch w:val="default"/>
    <w:sig w:usb0="00000003" w:usb1="00000000" w:usb2="00000000" w:usb3="00000000" w:csb0="00000001" w:csb1="00000000"/>
  </w:font>
  <w:font w:name="*Times New Roman-Italic-11509-I">
    <w:altName w:val="Calibri"/>
    <w:panose1 w:val="00000000000000000000"/>
    <w:charset w:val="00"/>
    <w:family w:val="auto"/>
    <w:notTrueType/>
    <w:pitch w:val="default"/>
    <w:sig w:usb0="00000003" w:usb1="00000000" w:usb2="00000000" w:usb3="00000000" w:csb0="00000001" w:csb1="00000000"/>
  </w:font>
  <w:font w:name="*Arial-BoldItalic-12509-Identit">
    <w:altName w:val="Calibri"/>
    <w:panose1 w:val="00000000000000000000"/>
    <w:charset w:val="00"/>
    <w:family w:val="auto"/>
    <w:notTrueType/>
    <w:pitch w:val="default"/>
    <w:sig w:usb0="00000003" w:usb1="00000000" w:usb2="00000000" w:usb3="00000000" w:csb0="00000001" w:csb1="00000000"/>
  </w:font>
  <w:font w:name="*Comic Sans MS-Bold-12511-Ident">
    <w:altName w:val="Calibri"/>
    <w:panose1 w:val="00000000000000000000"/>
    <w:charset w:val="00"/>
    <w:family w:val="auto"/>
    <w:notTrueType/>
    <w:pitch w:val="default"/>
    <w:sig w:usb0="00000003" w:usb1="00000000" w:usb2="00000000" w:usb3="00000000" w:csb0="00000001" w:csb1="00000000"/>
  </w:font>
  <w:font w:name="*Comic Sans MS-Bold-12510-Ident">
    <w:altName w:val="Calibri"/>
    <w:panose1 w:val="00000000000000000000"/>
    <w:charset w:val="00"/>
    <w:family w:val="auto"/>
    <w:notTrueType/>
    <w:pitch w:val="default"/>
    <w:sig w:usb0="00000003" w:usb1="00000000" w:usb2="00000000" w:usb3="00000000" w:csb0="00000001" w:csb1="00000000"/>
  </w:font>
  <w:font w:name="*Times New Roman-Italic-12506-I">
    <w:altName w:val="Calibri"/>
    <w:panose1 w:val="00000000000000000000"/>
    <w:charset w:val="00"/>
    <w:family w:val="auto"/>
    <w:notTrueType/>
    <w:pitch w:val="default"/>
    <w:sig w:usb0="00000003" w:usb1="00000000" w:usb2="00000000" w:usb3="00000000" w:csb0="00000001" w:csb1="00000000"/>
  </w:font>
  <w:font w:name="*Times New Roman-Italic-12505-I">
    <w:altName w:val="Calibri"/>
    <w:panose1 w:val="00000000000000000000"/>
    <w:charset w:val="00"/>
    <w:family w:val="auto"/>
    <w:notTrueType/>
    <w:pitch w:val="default"/>
    <w:sig w:usb0="00000003" w:usb1="00000000" w:usb2="00000000" w:usb3="00000000" w:csb0="00000001" w:csb1="00000000"/>
  </w:font>
  <w:font w:name="*Arial-10738-Identity-H">
    <w:altName w:val="Calibri"/>
    <w:panose1 w:val="00000000000000000000"/>
    <w:charset w:val="00"/>
    <w:family w:val="auto"/>
    <w:notTrueType/>
    <w:pitch w:val="default"/>
    <w:sig w:usb0="00000003" w:usb1="00000000" w:usb2="00000000" w:usb3="00000000" w:csb0="00000001" w:csb1="00000000"/>
  </w:font>
  <w:font w:name="*Arial-Bold-10739-Identity-H">
    <w:altName w:val="Calibri"/>
    <w:panose1 w:val="00000000000000000000"/>
    <w:charset w:val="00"/>
    <w:family w:val="auto"/>
    <w:notTrueType/>
    <w:pitch w:val="default"/>
    <w:sig w:usb0="00000003" w:usb1="00000000" w:usb2="00000000" w:usb3="00000000" w:csb0="00000001" w:csb1="00000000"/>
  </w:font>
  <w:font w:name="*Calibri-Bold-10737-Identity-H">
    <w:altName w:val="Calibri"/>
    <w:panose1 w:val="00000000000000000000"/>
    <w:charset w:val="00"/>
    <w:family w:val="auto"/>
    <w:notTrueType/>
    <w:pitch w:val="default"/>
    <w:sig w:usb0="00000003" w:usb1="00000000" w:usb2="00000000" w:usb3="00000000" w:csb0="00000001" w:csb1="00000000"/>
  </w:font>
  <w:font w:name="*Microsoft Sans Serif-Bold-1074">
    <w:altName w:val="Calibri"/>
    <w:panose1 w:val="00000000000000000000"/>
    <w:charset w:val="00"/>
    <w:family w:val="auto"/>
    <w:notTrueType/>
    <w:pitch w:val="default"/>
    <w:sig w:usb0="00000003" w:usb1="00000000" w:usb2="00000000" w:usb3="00000000" w:csb0="00000001" w:csb1="00000000"/>
  </w:font>
  <w:font w:name="*Arial-BoldItalic-10740-Identit">
    <w:altName w:val="Calibri"/>
    <w:panose1 w:val="00000000000000000000"/>
    <w:charset w:val="00"/>
    <w:family w:val="auto"/>
    <w:notTrueType/>
    <w:pitch w:val="default"/>
    <w:sig w:usb0="00000003" w:usb1="00000000" w:usb2="00000000" w:usb3="00000000" w:csb0="00000001" w:csb1="00000000"/>
  </w:font>
  <w:font w:name="*Arial-12250-Identity-H">
    <w:altName w:val="Calibri"/>
    <w:panose1 w:val="00000000000000000000"/>
    <w:charset w:val="00"/>
    <w:family w:val="auto"/>
    <w:notTrueType/>
    <w:pitch w:val="default"/>
    <w:sig w:usb0="00000003" w:usb1="00000000" w:usb2="00000000" w:usb3="00000000" w:csb0="00000001" w:csb1="00000000"/>
  </w:font>
  <w:font w:name="*Calibri-12248-Identity-H">
    <w:altName w:val="Calibri"/>
    <w:panose1 w:val="00000000000000000000"/>
    <w:charset w:val="00"/>
    <w:family w:val="auto"/>
    <w:notTrueType/>
    <w:pitch w:val="default"/>
    <w:sig w:usb0="00000003" w:usb1="00000000" w:usb2="00000000" w:usb3="00000000" w:csb0="00000001" w:csb1="00000000"/>
  </w:font>
  <w:font w:name="*Microsoft Sans Serif-Bold-1225">
    <w:altName w:val="Calibri"/>
    <w:panose1 w:val="00000000000000000000"/>
    <w:charset w:val="00"/>
    <w:family w:val="auto"/>
    <w:notTrueType/>
    <w:pitch w:val="default"/>
    <w:sig w:usb0="00000003" w:usb1="00000000" w:usb2="00000000" w:usb3="00000000" w:csb0="00000001" w:csb1="00000000"/>
  </w:font>
  <w:font w:name="*Calibri-Bold-12249-Identity-H">
    <w:altName w:val="Calibri"/>
    <w:panose1 w:val="00000000000000000000"/>
    <w:charset w:val="00"/>
    <w:family w:val="auto"/>
    <w:notTrueType/>
    <w:pitch w:val="default"/>
    <w:sig w:usb0="00000003" w:usb1="00000000" w:usb2="00000000" w:usb3="00000000" w:csb0="00000001" w:csb1="00000000"/>
  </w:font>
  <w:font w:name="*Calibri-BoldItalic-12247-Ident">
    <w:altName w:val="Calibri"/>
    <w:panose1 w:val="00000000000000000000"/>
    <w:charset w:val="00"/>
    <w:family w:val="auto"/>
    <w:notTrueType/>
    <w:pitch w:val="default"/>
    <w:sig w:usb0="00000003" w:usb1="00000000" w:usb2="00000000" w:usb3="00000000" w:csb0="00000001" w:csb1="00000000"/>
  </w:font>
  <w:font w:name="*Calibri-10666-Identity-H">
    <w:altName w:val="Calibri"/>
    <w:panose1 w:val="00000000000000000000"/>
    <w:charset w:val="00"/>
    <w:family w:val="auto"/>
    <w:notTrueType/>
    <w:pitch w:val="default"/>
    <w:sig w:usb0="00000003" w:usb1="00000000" w:usb2="00000000" w:usb3="00000000" w:csb0="00000001" w:csb1="00000000"/>
  </w:font>
  <w:font w:name="*Times New Roman-Italic-12244-I">
    <w:altName w:val="Calibri"/>
    <w:panose1 w:val="00000000000000000000"/>
    <w:charset w:val="00"/>
    <w:family w:val="auto"/>
    <w:notTrueType/>
    <w:pitch w:val="default"/>
    <w:sig w:usb0="00000003" w:usb1="00000000" w:usb2="00000000" w:usb3="00000000" w:csb0="00000001" w:csb1="00000000"/>
  </w:font>
  <w:font w:name="*Calibri-Bold-10667-Identity-H">
    <w:altName w:val="Calibri"/>
    <w:panose1 w:val="00000000000000000000"/>
    <w:charset w:val="00"/>
    <w:family w:val="auto"/>
    <w:notTrueType/>
    <w:pitch w:val="default"/>
    <w:sig w:usb0="00000003" w:usb1="00000000" w:usb2="00000000" w:usb3="00000000" w:csb0="00000001" w:csb1="00000000"/>
  </w:font>
  <w:font w:name="*Comic Sans MS-BoldItalic-10669">
    <w:altName w:val="Calibri"/>
    <w:panose1 w:val="00000000000000000000"/>
    <w:charset w:val="00"/>
    <w:family w:val="auto"/>
    <w:notTrueType/>
    <w:pitch w:val="default"/>
    <w:sig w:usb0="00000003" w:usb1="00000000" w:usb2="00000000" w:usb3="00000000" w:csb0="00000001" w:csb1="00000000"/>
  </w:font>
  <w:font w:name="*Arial-BoldItalic-10668-Identit">
    <w:altName w:val="Calibri"/>
    <w:panose1 w:val="00000000000000000000"/>
    <w:charset w:val="00"/>
    <w:family w:val="auto"/>
    <w:notTrueType/>
    <w:pitch w:val="default"/>
    <w:sig w:usb0="00000003" w:usb1="00000000" w:usb2="00000000" w:usb3="00000000" w:csb0="00000001" w:csb1="00000000"/>
  </w:font>
  <w:font w:name="*Tahoma-10671-Identity-H">
    <w:altName w:val="Calibri"/>
    <w:panose1 w:val="00000000000000000000"/>
    <w:charset w:val="00"/>
    <w:family w:val="auto"/>
    <w:notTrueType/>
    <w:pitch w:val="default"/>
    <w:sig w:usb0="00000003" w:usb1="00000000" w:usb2="00000000" w:usb3="00000000" w:csb0="00000001" w:csb1="00000000"/>
  </w:font>
  <w:font w:name="*Arial-9728-Identity-H">
    <w:altName w:val="Calibri"/>
    <w:panose1 w:val="00000000000000000000"/>
    <w:charset w:val="00"/>
    <w:family w:val="auto"/>
    <w:notTrueType/>
    <w:pitch w:val="default"/>
    <w:sig w:usb0="00000003" w:usb1="00000000" w:usb2="00000000" w:usb3="00000000" w:csb0="00000001" w:csb1="00000000"/>
  </w:font>
  <w:font w:name="*Microsoft Sans Serif-10880-Ide">
    <w:altName w:val="Calibri"/>
    <w:panose1 w:val="00000000000000000000"/>
    <w:charset w:val="00"/>
    <w:family w:val="auto"/>
    <w:notTrueType/>
    <w:pitch w:val="default"/>
    <w:sig w:usb0="00000003" w:usb1="00000000" w:usb2="00000000" w:usb3="00000000" w:csb0="00000001" w:csb1="00000000"/>
  </w:font>
  <w:font w:name="*Times New Roman-Italic-10874-I">
    <w:altName w:val="Calibri"/>
    <w:panose1 w:val="00000000000000000000"/>
    <w:charset w:val="00"/>
    <w:family w:val="auto"/>
    <w:notTrueType/>
    <w:pitch w:val="default"/>
    <w:sig w:usb0="00000003" w:usb1="00000000" w:usb2="00000000" w:usb3="00000000" w:csb0="00000001" w:csb1="00000000"/>
  </w:font>
  <w:font w:name="*Calibri-Bold-10878-Identity-H">
    <w:altName w:val="Calibri"/>
    <w:panose1 w:val="00000000000000000000"/>
    <w:charset w:val="00"/>
    <w:family w:val="auto"/>
    <w:notTrueType/>
    <w:pitch w:val="default"/>
    <w:sig w:usb0="00000003" w:usb1="00000000" w:usb2="00000000" w:usb3="00000000" w:csb0="00000001" w:csb1="00000000"/>
  </w:font>
  <w:font w:name="*Tahoma-BoldItalic-10881-Identi">
    <w:altName w:val="Calibri"/>
    <w:panose1 w:val="00000000000000000000"/>
    <w:charset w:val="00"/>
    <w:family w:val="auto"/>
    <w:notTrueType/>
    <w:pitch w:val="default"/>
    <w:sig w:usb0="00000003" w:usb1="00000000" w:usb2="00000000" w:usb3="00000000" w:csb0="00000001" w:csb1="00000000"/>
  </w:font>
  <w:font w:name="*Arial-Bold-10879-Identity-H">
    <w:altName w:val="Calibri"/>
    <w:panose1 w:val="00000000000000000000"/>
    <w:charset w:val="00"/>
    <w:family w:val="auto"/>
    <w:notTrueType/>
    <w:pitch w:val="default"/>
    <w:sig w:usb0="00000003" w:usb1="00000000" w:usb2="00000000" w:usb3="00000000" w:csb0="00000001" w:csb1="00000000"/>
  </w:font>
  <w:font w:name="*Times New Roman-BoldItalic-108">
    <w:altName w:val="Calibri"/>
    <w:panose1 w:val="00000000000000000000"/>
    <w:charset w:val="00"/>
    <w:family w:val="auto"/>
    <w:notTrueType/>
    <w:pitch w:val="default"/>
    <w:sig w:usb0="00000003" w:usb1="00000000" w:usb2="00000000" w:usb3="00000000" w:csb0="00000001" w:csb1="00000000"/>
  </w:font>
  <w:font w:name="*Times New Roman-Italic-10873-I">
    <w:altName w:val="Calibri"/>
    <w:panose1 w:val="00000000000000000000"/>
    <w:charset w:val="00"/>
    <w:family w:val="auto"/>
    <w:notTrueType/>
    <w:pitch w:val="default"/>
    <w:sig w:usb0="00000003" w:usb1="00000000" w:usb2="00000000" w:usb3="00000000" w:csb0="00000001" w:csb1="00000000"/>
  </w:font>
  <w:font w:name="*Microsoft Sans Serif-11678-Ide">
    <w:altName w:val="Calibri"/>
    <w:panose1 w:val="00000000000000000000"/>
    <w:charset w:val="00"/>
    <w:family w:val="auto"/>
    <w:notTrueType/>
    <w:pitch w:val="default"/>
    <w:sig w:usb0="00000003" w:usb1="00000000" w:usb2="00000000" w:usb3="00000000" w:csb0="00000001" w:csb1="00000000"/>
  </w:font>
  <w:font w:name="*Calibri-Bold-11675-Identity-H">
    <w:altName w:val="Calibri"/>
    <w:panose1 w:val="00000000000000000000"/>
    <w:charset w:val="00"/>
    <w:family w:val="auto"/>
    <w:notTrueType/>
    <w:pitch w:val="default"/>
    <w:sig w:usb0="00000003" w:usb1="00000000" w:usb2="00000000" w:usb3="00000000" w:csb0="00000001" w:csb1="00000000"/>
  </w:font>
  <w:font w:name="*Comic Sans MS-BoldItalic-11677">
    <w:altName w:val="Calibri"/>
    <w:panose1 w:val="00000000000000000000"/>
    <w:charset w:val="00"/>
    <w:family w:val="auto"/>
    <w:notTrueType/>
    <w:pitch w:val="default"/>
    <w:sig w:usb0="00000003" w:usb1="00000000" w:usb2="00000000" w:usb3="00000000" w:csb0="00000001" w:csb1="00000000"/>
  </w:font>
  <w:font w:name="*Times New Roman-Italic-11665-I">
    <w:altName w:val="Calibri"/>
    <w:panose1 w:val="00000000000000000000"/>
    <w:charset w:val="00"/>
    <w:family w:val="auto"/>
    <w:notTrueType/>
    <w:pitch w:val="default"/>
    <w:sig w:usb0="00000003" w:usb1="00000000" w:usb2="00000000" w:usb3="00000000" w:csb0="00000001" w:csb1="00000000"/>
  </w:font>
  <w:font w:name="*Calibri-11674-Identity-H">
    <w:altName w:val="Calibri"/>
    <w:panose1 w:val="00000000000000000000"/>
    <w:charset w:val="00"/>
    <w:family w:val="auto"/>
    <w:notTrueType/>
    <w:pitch w:val="default"/>
    <w:sig w:usb0="00000003" w:usb1="00000000" w:usb2="00000000" w:usb3="00000000" w:csb0="00000001" w:csb1="00000000"/>
  </w:font>
  <w:font w:name="*Arial-11678-Identity-H">
    <w:altName w:val="Calibri"/>
    <w:panose1 w:val="00000000000000000000"/>
    <w:charset w:val="00"/>
    <w:family w:val="auto"/>
    <w:notTrueType/>
    <w:pitch w:val="default"/>
    <w:sig w:usb0="00000003" w:usb1="00000000" w:usb2="00000000" w:usb3="00000000" w:csb0="00000001" w:csb1="00000000"/>
  </w:font>
  <w:font w:name="*Times New Roman-Italic-11672-I">
    <w:altName w:val="Calibri"/>
    <w:panose1 w:val="00000000000000000000"/>
    <w:charset w:val="00"/>
    <w:family w:val="auto"/>
    <w:notTrueType/>
    <w:pitch w:val="default"/>
    <w:sig w:usb0="00000003" w:usb1="00000000" w:usb2="00000000" w:usb3="00000000" w:csb0="00000001" w:csb1="00000000"/>
  </w:font>
  <w:font w:name="*Calibri-BoldItalic-11676-Ident">
    <w:altName w:val="Calibri"/>
    <w:panose1 w:val="00000000000000000000"/>
    <w:charset w:val="00"/>
    <w:family w:val="auto"/>
    <w:notTrueType/>
    <w:pitch w:val="default"/>
    <w:sig w:usb0="00000003" w:usb1="00000000" w:usb2="00000000" w:usb3="00000000" w:csb0="00000001" w:csb1="00000000"/>
  </w:font>
  <w:font w:name="*Times New Roman-BoldItalic-116">
    <w:altName w:val="Calibri"/>
    <w:panose1 w:val="00000000000000000000"/>
    <w:charset w:val="00"/>
    <w:family w:val="auto"/>
    <w:notTrueType/>
    <w:pitch w:val="default"/>
    <w:sig w:usb0="00000003" w:usb1="00000000" w:usb2="00000000" w:usb3="00000000" w:csb0="00000001" w:csb1="00000000"/>
  </w:font>
  <w:font w:name="*Calibri-Bold-11677-Identity-H">
    <w:altName w:val="Calibri"/>
    <w:panose1 w:val="00000000000000000000"/>
    <w:charset w:val="00"/>
    <w:family w:val="auto"/>
    <w:notTrueType/>
    <w:pitch w:val="default"/>
    <w:sig w:usb0="00000003" w:usb1="00000000" w:usb2="00000000" w:usb3="00000000" w:csb0="00000001" w:csb1="00000000"/>
  </w:font>
  <w:font w:name="*Calibri-BoldItalic-11678-Ident">
    <w:altName w:val="Calibri"/>
    <w:panose1 w:val="00000000000000000000"/>
    <w:charset w:val="00"/>
    <w:family w:val="auto"/>
    <w:notTrueType/>
    <w:pitch w:val="default"/>
    <w:sig w:usb0="00000003" w:usb1="00000000" w:usb2="00000000" w:usb3="00000000" w:csb0="00000001" w:csb1="00000000"/>
  </w:font>
  <w:font w:name="*Comic Sans MS-Bold-11681-Ident">
    <w:altName w:val="Calibri"/>
    <w:panose1 w:val="00000000000000000000"/>
    <w:charset w:val="00"/>
    <w:family w:val="auto"/>
    <w:notTrueType/>
    <w:pitch w:val="default"/>
    <w:sig w:usb0="00000003" w:usb1="00000000" w:usb2="00000000" w:usb3="00000000" w:csb0="00000001" w:csb1="00000000"/>
  </w:font>
  <w:font w:name="*Arial-11679-Identity-H">
    <w:altName w:val="Calibri"/>
    <w:panose1 w:val="00000000000000000000"/>
    <w:charset w:val="00"/>
    <w:family w:val="auto"/>
    <w:notTrueType/>
    <w:pitch w:val="default"/>
    <w:sig w:usb0="00000003" w:usb1="00000000" w:usb2="00000000" w:usb3="00000000" w:csb0="00000001" w:csb1="00000000"/>
  </w:font>
  <w:font w:name="*Verdana-11682-Identity-H">
    <w:altName w:val="Calibri"/>
    <w:panose1 w:val="00000000000000000000"/>
    <w:charset w:val="00"/>
    <w:family w:val="auto"/>
    <w:notTrueType/>
    <w:pitch w:val="default"/>
    <w:sig w:usb0="00000003" w:usb1="00000000" w:usb2="00000000" w:usb3="00000000" w:csb0="00000001" w:csb1="00000000"/>
  </w:font>
  <w:font w:name="*Arial-Bold-11680-Identity-H">
    <w:altName w:val="Calibri"/>
    <w:panose1 w:val="00000000000000000000"/>
    <w:charset w:val="00"/>
    <w:family w:val="auto"/>
    <w:notTrueType/>
    <w:pitch w:val="default"/>
    <w:sig w:usb0="00000003" w:usb1="00000000" w:usb2="00000000" w:usb3="00000000" w:csb0="00000001" w:csb1="00000000"/>
  </w:font>
  <w:font w:name="*Microsoft Sans Serif-Bold-1168">
    <w:altName w:val="Calibri"/>
    <w:panose1 w:val="00000000000000000000"/>
    <w:charset w:val="00"/>
    <w:family w:val="auto"/>
    <w:notTrueType/>
    <w:pitch w:val="default"/>
    <w:sig w:usb0="00000003" w:usb1="00000000" w:usb2="00000000" w:usb3="00000000" w:csb0="00000001" w:csb1="00000000"/>
  </w:font>
  <w:font w:name="*Arial-12045-Identity-H">
    <w:altName w:val="Calibri"/>
    <w:panose1 w:val="00000000000000000000"/>
    <w:charset w:val="00"/>
    <w:family w:val="auto"/>
    <w:notTrueType/>
    <w:pitch w:val="default"/>
    <w:sig w:usb0="00000003" w:usb1="00000000" w:usb2="00000000" w:usb3="00000000" w:csb0="00000001" w:csb1="00000000"/>
  </w:font>
  <w:font w:name="*Tahoma-BoldItalic-12830-Identi">
    <w:altName w:val="Calibri"/>
    <w:panose1 w:val="00000000000000000000"/>
    <w:charset w:val="00"/>
    <w:family w:val="auto"/>
    <w:notTrueType/>
    <w:pitch w:val="default"/>
    <w:sig w:usb0="00000003" w:usb1="00000000" w:usb2="00000000" w:usb3="00000000" w:csb0="00000001" w:csb1="00000000"/>
  </w:font>
  <w:font w:name="*Arial-Bold-12046-Identity-H">
    <w:altName w:val="Calibri"/>
    <w:panose1 w:val="00000000000000000000"/>
    <w:charset w:val="00"/>
    <w:family w:val="auto"/>
    <w:notTrueType/>
    <w:pitch w:val="default"/>
    <w:sig w:usb0="00000003" w:usb1="00000000" w:usb2="00000000" w:usb3="00000000" w:csb0="00000001" w:csb1="00000000"/>
  </w:font>
  <w:font w:name="*Times New Roman-BoldItalic-120">
    <w:altName w:val="Calibri"/>
    <w:panose1 w:val="00000000000000000000"/>
    <w:charset w:val="00"/>
    <w:family w:val="auto"/>
    <w:notTrueType/>
    <w:pitch w:val="default"/>
    <w:sig w:usb0="00000003" w:usb1="00000000" w:usb2="00000000" w:usb3="00000000" w:csb0="00000001" w:csb1="00000000"/>
  </w:font>
  <w:font w:name="*Times New Roman-Italic-12041-I">
    <w:altName w:val="Calibri"/>
    <w:panose1 w:val="00000000000000000000"/>
    <w:charset w:val="00"/>
    <w:family w:val="auto"/>
    <w:notTrueType/>
    <w:pitch w:val="default"/>
    <w:sig w:usb0="00000003" w:usb1="00000000" w:usb2="00000000" w:usb3="00000000" w:csb0="00000001" w:csb1="00000000"/>
  </w:font>
  <w:font w:name="*Calibri-12825-Identity-H">
    <w:altName w:val="Calibri"/>
    <w:panose1 w:val="00000000000000000000"/>
    <w:charset w:val="00"/>
    <w:family w:val="auto"/>
    <w:notTrueType/>
    <w:pitch w:val="default"/>
    <w:sig w:usb0="00000003" w:usb1="00000000" w:usb2="00000000" w:usb3="00000000" w:csb0="00000001" w:csb1="00000000"/>
  </w:font>
  <w:font w:name="*Comic Sans MS-Bold-12829-Ident">
    <w:altName w:val="Calibri"/>
    <w:panose1 w:val="00000000000000000000"/>
    <w:charset w:val="00"/>
    <w:family w:val="auto"/>
    <w:notTrueType/>
    <w:pitch w:val="default"/>
    <w:sig w:usb0="00000003" w:usb1="00000000" w:usb2="00000000" w:usb3="00000000" w:csb0="00000001" w:csb1="00000000"/>
  </w:font>
  <w:font w:name="*Calibri-12826-Identity-H">
    <w:altName w:val="Calibri"/>
    <w:panose1 w:val="00000000000000000000"/>
    <w:charset w:val="00"/>
    <w:family w:val="auto"/>
    <w:notTrueType/>
    <w:pitch w:val="default"/>
    <w:sig w:usb0="00000003" w:usb1="00000000" w:usb2="00000000" w:usb3="00000000" w:csb0="00000001" w:csb1="00000000"/>
  </w:font>
  <w:font w:name="*Arial-Bold-12828-Identity-H">
    <w:altName w:val="Calibri"/>
    <w:panose1 w:val="00000000000000000000"/>
    <w:charset w:val="00"/>
    <w:family w:val="auto"/>
    <w:notTrueType/>
    <w:pitch w:val="default"/>
    <w:sig w:usb0="00000003" w:usb1="00000000" w:usb2="00000000" w:usb3="00000000" w:csb0="00000001" w:csb1="00000000"/>
  </w:font>
  <w:font w:name="*Arial-Bold-12827-Identity-H">
    <w:altName w:val="Calibri"/>
    <w:panose1 w:val="00000000000000000000"/>
    <w:charset w:val="00"/>
    <w:family w:val="auto"/>
    <w:notTrueType/>
    <w:pitch w:val="default"/>
    <w:sig w:usb0="00000003" w:usb1="00000000" w:usb2="00000000" w:usb3="00000000" w:csb0="00000001" w:csb1="00000000"/>
  </w:font>
  <w:font w:name="*Microsoft Sans Serif-12171-Ide">
    <w:altName w:val="Calibri"/>
    <w:panose1 w:val="00000000000000000000"/>
    <w:charset w:val="00"/>
    <w:family w:val="auto"/>
    <w:notTrueType/>
    <w:pitch w:val="default"/>
    <w:sig w:usb0="00000003" w:usb1="00000000" w:usb2="00000000" w:usb3="00000000" w:csb0="00000001" w:csb1="00000000"/>
  </w:font>
  <w:font w:name="*Times New Roman-BoldItalic-128">
    <w:altName w:val="Calibri"/>
    <w:panose1 w:val="00000000000000000000"/>
    <w:charset w:val="00"/>
    <w:family w:val="auto"/>
    <w:notTrueType/>
    <w:pitch w:val="default"/>
    <w:sig w:usb0="00000003" w:usb1="00000000" w:usb2="00000000" w:usb3="00000000" w:csb0="00000001" w:csb1="00000000"/>
  </w:font>
  <w:font w:name="*Times New Roman-Italic-12821-I">
    <w:altName w:val="Calibri"/>
    <w:panose1 w:val="00000000000000000000"/>
    <w:charset w:val="00"/>
    <w:family w:val="auto"/>
    <w:notTrueType/>
    <w:pitch w:val="default"/>
    <w:sig w:usb0="00000003" w:usb1="00000000" w:usb2="00000000" w:usb3="00000000" w:csb0="00000001" w:csb1="00000000"/>
  </w:font>
  <w:font w:name="*Calibri-12168-Identity-H">
    <w:altName w:val="Calibri"/>
    <w:panose1 w:val="00000000000000000000"/>
    <w:charset w:val="00"/>
    <w:family w:val="auto"/>
    <w:notTrueType/>
    <w:pitch w:val="default"/>
    <w:sig w:usb0="00000003" w:usb1="00000000" w:usb2="00000000" w:usb3="00000000" w:csb0="00000001" w:csb1="00000000"/>
  </w:font>
  <w:font w:name="*Calibri-BoldItalic-12169-Ident">
    <w:altName w:val="Calibri"/>
    <w:panose1 w:val="00000000000000000000"/>
    <w:charset w:val="00"/>
    <w:family w:val="auto"/>
    <w:notTrueType/>
    <w:pitch w:val="default"/>
    <w:sig w:usb0="00000003" w:usb1="00000000" w:usb2="00000000" w:usb3="00000000" w:csb0="00000001" w:csb1="00000000"/>
  </w:font>
  <w:font w:name="*Arial-Bold-12170-Identity-H">
    <w:altName w:val="Calibri"/>
    <w:panose1 w:val="00000000000000000000"/>
    <w:charset w:val="00"/>
    <w:family w:val="auto"/>
    <w:notTrueType/>
    <w:pitch w:val="default"/>
    <w:sig w:usb0="00000003" w:usb1="00000000" w:usb2="00000000" w:usb3="00000000" w:csb0="00000001" w:csb1="00000000"/>
  </w:font>
  <w:font w:name="*Arial-Bold-11653-Identity-H">
    <w:altName w:val="Calibri"/>
    <w:panose1 w:val="00000000000000000000"/>
    <w:charset w:val="00"/>
    <w:family w:val="auto"/>
    <w:notTrueType/>
    <w:pitch w:val="default"/>
    <w:sig w:usb0="00000003" w:usb1="00000000" w:usb2="00000000" w:usb3="00000000" w:csb0="00000001" w:csb1="00000000"/>
  </w:font>
  <w:font w:name="*Calibri-BoldItalic-11652-Ident">
    <w:altName w:val="Calibri"/>
    <w:panose1 w:val="00000000000000000000"/>
    <w:charset w:val="00"/>
    <w:family w:val="auto"/>
    <w:notTrueType/>
    <w:pitch w:val="default"/>
    <w:sig w:usb0="00000003" w:usb1="00000000" w:usb2="00000000" w:usb3="00000000" w:csb0="00000001" w:csb1="00000000"/>
  </w:font>
  <w:font w:name="*Comic Sans MS-Bold-11654-Ident">
    <w:altName w:val="Calibri"/>
    <w:panose1 w:val="00000000000000000000"/>
    <w:charset w:val="00"/>
    <w:family w:val="auto"/>
    <w:notTrueType/>
    <w:pitch w:val="default"/>
    <w:sig w:usb0="00000003" w:usb1="00000000" w:usb2="00000000" w:usb3="00000000" w:csb0="00000001" w:csb1="00000000"/>
  </w:font>
  <w:font w:name="*Microsoft Sans Serif-11655-Ide">
    <w:altName w:val="Calibri"/>
    <w:panose1 w:val="00000000000000000000"/>
    <w:charset w:val="00"/>
    <w:family w:val="auto"/>
    <w:notTrueType/>
    <w:pitch w:val="default"/>
    <w:sig w:usb0="00000003" w:usb1="00000000" w:usb2="00000000" w:usb3="00000000" w:csb0="00000001" w:csb1="00000000"/>
  </w:font>
  <w:font w:name="*Microsoft Sans Serif-10038-Ide">
    <w:altName w:val="Calibri"/>
    <w:panose1 w:val="00000000000000000000"/>
    <w:charset w:val="00"/>
    <w:family w:val="auto"/>
    <w:notTrueType/>
    <w:pitch w:val="default"/>
    <w:sig w:usb0="00000003" w:usb1="00000000" w:usb2="00000000" w:usb3="00000000" w:csb0="00000001" w:csb1="00000000"/>
  </w:font>
  <w:font w:name="*Tahoma-10040-Identity-H">
    <w:altName w:val="Calibri"/>
    <w:panose1 w:val="00000000000000000000"/>
    <w:charset w:val="00"/>
    <w:family w:val="auto"/>
    <w:notTrueType/>
    <w:pitch w:val="default"/>
    <w:sig w:usb0="00000003" w:usb1="00000000" w:usb2="00000000" w:usb3="00000000" w:csb0="00000001" w:csb1="00000000"/>
  </w:font>
  <w:font w:name="*Times New Roman-Italic-10034-I">
    <w:altName w:val="Calibri"/>
    <w:panose1 w:val="00000000000000000000"/>
    <w:charset w:val="00"/>
    <w:family w:val="auto"/>
    <w:notTrueType/>
    <w:pitch w:val="default"/>
    <w:sig w:usb0="00000003" w:usb1="00000000" w:usb2="00000000" w:usb3="00000000" w:csb0="00000001" w:csb1="00000000"/>
  </w:font>
  <w:font w:name="*Microsoft Sans Serif-Bold-1003">
    <w:altName w:val="Calibri"/>
    <w:panose1 w:val="00000000000000000000"/>
    <w:charset w:val="00"/>
    <w:family w:val="auto"/>
    <w:notTrueType/>
    <w:pitch w:val="default"/>
    <w:sig w:usb0="00000003" w:usb1="00000000" w:usb2="00000000" w:usb3="00000000" w:csb0="00000001" w:csb1="00000000"/>
  </w:font>
  <w:font w:name="*Calibri-Bold-10037-Identity-H">
    <w:altName w:val="Calibri"/>
    <w:panose1 w:val="00000000000000000000"/>
    <w:charset w:val="00"/>
    <w:family w:val="auto"/>
    <w:notTrueType/>
    <w:pitch w:val="default"/>
    <w:sig w:usb0="00000003" w:usb1="00000000" w:usb2="00000000" w:usb3="00000000" w:csb0="00000001" w:csb1="00000000"/>
  </w:font>
  <w:font w:name="*Times New Roman-10033-Identity">
    <w:altName w:val="Calibri"/>
    <w:panose1 w:val="00000000000000000000"/>
    <w:charset w:val="00"/>
    <w:family w:val="auto"/>
    <w:notTrueType/>
    <w:pitch w:val="default"/>
    <w:sig w:usb0="00000003" w:usb1="00000000" w:usb2="00000000" w:usb3="00000000" w:csb0="00000001" w:csb1="00000000"/>
  </w:font>
  <w:font w:name="*Microsoft Sans Serif-11527-Ide">
    <w:altName w:val="Calibri"/>
    <w:panose1 w:val="00000000000000000000"/>
    <w:charset w:val="00"/>
    <w:family w:val="auto"/>
    <w:notTrueType/>
    <w:pitch w:val="default"/>
    <w:sig w:usb0="00000003" w:usb1="00000000" w:usb2="00000000" w:usb3="00000000" w:csb0="00000001" w:csb1="00000000"/>
  </w:font>
  <w:font w:name="*Calibri-11525-Identity-H">
    <w:altName w:val="Calibri"/>
    <w:panose1 w:val="00000000000000000000"/>
    <w:charset w:val="00"/>
    <w:family w:val="auto"/>
    <w:notTrueType/>
    <w:pitch w:val="default"/>
    <w:sig w:usb0="00000003" w:usb1="00000000" w:usb2="00000000" w:usb3="00000000" w:csb0="00000001" w:csb1="00000000"/>
  </w:font>
  <w:font w:name="*Times New Roman-Italic-11521-I">
    <w:altName w:val="Calibri"/>
    <w:panose1 w:val="00000000000000000000"/>
    <w:charset w:val="00"/>
    <w:family w:val="auto"/>
    <w:notTrueType/>
    <w:pitch w:val="default"/>
    <w:sig w:usb0="00000003" w:usb1="00000000" w:usb2="00000000" w:usb3="00000000" w:csb0="00000001" w:csb1="00000000"/>
  </w:font>
  <w:font w:name="*Comic Sans MS-Bold-11526-Ident">
    <w:altName w:val="Calibri"/>
    <w:panose1 w:val="00000000000000000000"/>
    <w:charset w:val="00"/>
    <w:family w:val="auto"/>
    <w:notTrueType/>
    <w:pitch w:val="default"/>
    <w:sig w:usb0="00000003" w:usb1="00000000" w:usb2="00000000" w:usb3="00000000" w:csb0="00000001" w:csb1="00000000"/>
  </w:font>
  <w:font w:name="*Calibri-11524-Identity-H">
    <w:altName w:val="Calibri"/>
    <w:panose1 w:val="00000000000000000000"/>
    <w:charset w:val="00"/>
    <w:family w:val="auto"/>
    <w:notTrueType/>
    <w:pitch w:val="default"/>
    <w:sig w:usb0="00000003" w:usb1="00000000" w:usb2="00000000" w:usb3="00000000" w:csb0="00000001" w:csb1="00000000"/>
  </w:font>
  <w:font w:name="*Calibri-Bold-10825-Identity-H">
    <w:altName w:val="Calibri"/>
    <w:panose1 w:val="00000000000000000000"/>
    <w:charset w:val="00"/>
    <w:family w:val="auto"/>
    <w:notTrueType/>
    <w:pitch w:val="default"/>
    <w:sig w:usb0="00000003" w:usb1="00000000" w:usb2="00000000" w:usb3="00000000" w:csb0="00000001" w:csb1="00000000"/>
  </w:font>
  <w:font w:name="*Microsoft Sans Serif-10826-Ide">
    <w:altName w:val="Calibri"/>
    <w:panose1 w:val="00000000000000000000"/>
    <w:charset w:val="00"/>
    <w:family w:val="auto"/>
    <w:notTrueType/>
    <w:pitch w:val="default"/>
    <w:sig w:usb0="00000003" w:usb1="00000000" w:usb2="00000000" w:usb3="00000000" w:csb0="00000001" w:csb1="00000000"/>
  </w:font>
  <w:font w:name="*Times New Roman-Italic-10821-I">
    <w:altName w:val="Calibri"/>
    <w:panose1 w:val="00000000000000000000"/>
    <w:charset w:val="00"/>
    <w:family w:val="auto"/>
    <w:notTrueType/>
    <w:pitch w:val="default"/>
    <w:sig w:usb0="00000003" w:usb1="00000000" w:usb2="00000000" w:usb3="00000000" w:csb0="00000001" w:csb1="00000000"/>
  </w:font>
  <w:font w:name="*Times New Roman-Italic-10820-I">
    <w:altName w:val="Calibri"/>
    <w:panose1 w:val="00000000000000000000"/>
    <w:charset w:val="00"/>
    <w:family w:val="auto"/>
    <w:notTrueType/>
    <w:pitch w:val="default"/>
    <w:sig w:usb0="00000003" w:usb1="00000000" w:usb2="00000000" w:usb3="00000000" w:csb0="00000001" w:csb1="00000000"/>
  </w:font>
  <w:font w:name="*Microsoft Sans Serif-12379-Ide">
    <w:altName w:val="Calibri"/>
    <w:panose1 w:val="00000000000000000000"/>
    <w:charset w:val="00"/>
    <w:family w:val="auto"/>
    <w:notTrueType/>
    <w:pitch w:val="default"/>
    <w:sig w:usb0="00000003" w:usb1="00000000" w:usb2="00000000" w:usb3="00000000" w:csb0="00000001" w:csb1="00000000"/>
  </w:font>
  <w:font w:name="*Calibri-12378-Identity-H">
    <w:altName w:val="Calibri"/>
    <w:panose1 w:val="00000000000000000000"/>
    <w:charset w:val="00"/>
    <w:family w:val="auto"/>
    <w:notTrueType/>
    <w:pitch w:val="default"/>
    <w:sig w:usb0="00000003" w:usb1="00000000" w:usb2="00000000" w:usb3="00000000" w:csb0="00000001" w:csb1="00000000"/>
  </w:font>
  <w:font w:name="*Times New Roman-Italic-12376-I">
    <w:altName w:val="Calibri"/>
    <w:panose1 w:val="00000000000000000000"/>
    <w:charset w:val="00"/>
    <w:family w:val="auto"/>
    <w:notTrueType/>
    <w:pitch w:val="default"/>
    <w:sig w:usb0="00000003" w:usb1="00000000" w:usb2="00000000" w:usb3="00000000" w:csb0="00000001" w:csb1="00000000"/>
  </w:font>
  <w:font w:name="*Microsoft Sans Serif-12185-Ide">
    <w:altName w:val="Calibri"/>
    <w:panose1 w:val="00000000000000000000"/>
    <w:charset w:val="00"/>
    <w:family w:val="auto"/>
    <w:notTrueType/>
    <w:pitch w:val="default"/>
    <w:sig w:usb0="00000003" w:usb1="00000000" w:usb2="00000000" w:usb3="00000000" w:csb0="00000001" w:csb1="00000000"/>
  </w:font>
  <w:font w:name="*Calibri-12183-Identity-H">
    <w:altName w:val="Calibri"/>
    <w:panose1 w:val="00000000000000000000"/>
    <w:charset w:val="00"/>
    <w:family w:val="auto"/>
    <w:notTrueType/>
    <w:pitch w:val="default"/>
    <w:sig w:usb0="00000003" w:usb1="00000000" w:usb2="00000000" w:usb3="00000000" w:csb0="00000001" w:csb1="00000000"/>
  </w:font>
  <w:font w:name="*Calibri-Bold-12184-Identity-H">
    <w:altName w:val="Calibri"/>
    <w:panose1 w:val="00000000000000000000"/>
    <w:charset w:val="00"/>
    <w:family w:val="auto"/>
    <w:notTrueType/>
    <w:pitch w:val="default"/>
    <w:sig w:usb0="00000003" w:usb1="00000000" w:usb2="00000000" w:usb3="00000000" w:csb0="00000001" w:csb1="00000000"/>
  </w:font>
  <w:font w:name="*Comic Sans MS-BoldItalic-12855">
    <w:altName w:val="Calibri"/>
    <w:panose1 w:val="00000000000000000000"/>
    <w:charset w:val="00"/>
    <w:family w:val="auto"/>
    <w:notTrueType/>
    <w:pitch w:val="default"/>
    <w:sig w:usb0="00000003" w:usb1="00000000" w:usb2="00000000" w:usb3="00000000" w:csb0="00000001" w:csb1="00000000"/>
  </w:font>
  <w:font w:name="*Calibri-Bold-12853-Identity-H">
    <w:altName w:val="Calibri"/>
    <w:panose1 w:val="00000000000000000000"/>
    <w:charset w:val="00"/>
    <w:family w:val="auto"/>
    <w:notTrueType/>
    <w:pitch w:val="default"/>
    <w:sig w:usb0="00000003" w:usb1="00000000" w:usb2="00000000" w:usb3="00000000" w:csb0="00000001" w:csb1="00000000"/>
  </w:font>
  <w:font w:name="*Calibri-12851-Identity-H">
    <w:altName w:val="Calibri"/>
    <w:panose1 w:val="00000000000000000000"/>
    <w:charset w:val="00"/>
    <w:family w:val="auto"/>
    <w:notTrueType/>
    <w:pitch w:val="default"/>
    <w:sig w:usb0="00000003" w:usb1="00000000" w:usb2="00000000" w:usb3="00000000" w:csb0="00000001" w:csb1="00000000"/>
  </w:font>
  <w:font w:name="*Comic Sans MS-12854-Identity-H">
    <w:altName w:val="Calibri"/>
    <w:panose1 w:val="00000000000000000000"/>
    <w:charset w:val="00"/>
    <w:family w:val="auto"/>
    <w:notTrueType/>
    <w:pitch w:val="default"/>
    <w:sig w:usb0="00000003" w:usb1="00000000" w:usb2="00000000" w:usb3="00000000" w:csb0="00000001" w:csb1="00000000"/>
  </w:font>
  <w:font w:name="*Calibri-12404-Identity-H">
    <w:altName w:val="Calibri"/>
    <w:panose1 w:val="00000000000000000000"/>
    <w:charset w:val="00"/>
    <w:family w:val="auto"/>
    <w:notTrueType/>
    <w:pitch w:val="default"/>
    <w:sig w:usb0="00000003" w:usb1="00000000" w:usb2="00000000" w:usb3="00000000" w:csb0="00000001" w:csb1="00000000"/>
  </w:font>
  <w:font w:name="*Calibri-12852-Identity-H">
    <w:altName w:val="Calibri"/>
    <w:panose1 w:val="00000000000000000000"/>
    <w:charset w:val="00"/>
    <w:family w:val="auto"/>
    <w:notTrueType/>
    <w:pitch w:val="default"/>
    <w:sig w:usb0="00000003" w:usb1="00000000" w:usb2="00000000" w:usb3="00000000" w:csb0="00000001" w:csb1="00000000"/>
  </w:font>
  <w:font w:name="*Calibri-12405-Identity-H">
    <w:altName w:val="Calibri"/>
    <w:panose1 w:val="00000000000000000000"/>
    <w:charset w:val="00"/>
    <w:family w:val="auto"/>
    <w:notTrueType/>
    <w:pitch w:val="default"/>
    <w:sig w:usb0="00000003" w:usb1="00000000" w:usb2="00000000" w:usb3="00000000" w:csb0="00000001" w:csb1="00000000"/>
  </w:font>
  <w:font w:name="*Comic Sans MS-BoldItalic-12408">
    <w:altName w:val="Calibri"/>
    <w:panose1 w:val="00000000000000000000"/>
    <w:charset w:val="00"/>
    <w:family w:val="auto"/>
    <w:notTrueType/>
    <w:pitch w:val="default"/>
    <w:sig w:usb0="00000003" w:usb1="00000000" w:usb2="00000000" w:usb3="00000000" w:csb0="00000001" w:csb1="00000000"/>
  </w:font>
  <w:font w:name="*Calibri-Bold-12406-Identity-H">
    <w:altName w:val="Calibri"/>
    <w:panose1 w:val="00000000000000000000"/>
    <w:charset w:val="00"/>
    <w:family w:val="auto"/>
    <w:notTrueType/>
    <w:pitch w:val="default"/>
    <w:sig w:usb0="00000003" w:usb1="00000000" w:usb2="00000000" w:usb3="00000000" w:csb0="00000001" w:csb1="00000000"/>
  </w:font>
  <w:font w:name="*Microsoft Sans Serif-Bold-1240">
    <w:altName w:val="Calibri"/>
    <w:panose1 w:val="00000000000000000000"/>
    <w:charset w:val="00"/>
    <w:family w:val="auto"/>
    <w:notTrueType/>
    <w:pitch w:val="default"/>
    <w:sig w:usb0="00000003" w:usb1="00000000" w:usb2="00000000" w:usb3="00000000" w:csb0="00000001" w:csb1="00000000"/>
  </w:font>
  <w:font w:name="*Arial-BoldItalic-12407-Identit">
    <w:altName w:val="Calibri"/>
    <w:panose1 w:val="00000000000000000000"/>
    <w:charset w:val="00"/>
    <w:family w:val="auto"/>
    <w:notTrueType/>
    <w:pitch w:val="default"/>
    <w:sig w:usb0="00000003" w:usb1="00000000" w:usb2="00000000" w:usb3="00000000" w:csb0="00000001" w:csb1="00000000"/>
  </w:font>
  <w:font w:name="*Times New Roman-Italic-12401-I">
    <w:altName w:val="Calibri"/>
    <w:panose1 w:val="00000000000000000000"/>
    <w:charset w:val="00"/>
    <w:family w:val="auto"/>
    <w:notTrueType/>
    <w:pitch w:val="default"/>
    <w:sig w:usb0="00000003" w:usb1="00000000" w:usb2="00000000" w:usb3="00000000" w:csb0="00000001" w:csb1="00000000"/>
  </w:font>
  <w:font w:name="*Microsoft Sans Serif-9811-Iden">
    <w:altName w:val="Calibri"/>
    <w:panose1 w:val="00000000000000000000"/>
    <w:charset w:val="00"/>
    <w:family w:val="auto"/>
    <w:notTrueType/>
    <w:pitch w:val="default"/>
    <w:sig w:usb0="00000003" w:usb1="00000000" w:usb2="00000000" w:usb3="00000000" w:csb0="00000001" w:csb1="00000000"/>
  </w:font>
  <w:font w:name="*Times New Roman-Italic-12400-I">
    <w:altName w:val="Calibri"/>
    <w:panose1 w:val="00000000000000000000"/>
    <w:charset w:val="00"/>
    <w:family w:val="auto"/>
    <w:notTrueType/>
    <w:pitch w:val="default"/>
    <w:sig w:usb0="00000003" w:usb1="00000000" w:usb2="00000000" w:usb3="00000000" w:csb0="00000001" w:csb1="00000000"/>
  </w:font>
  <w:font w:name="*Calibri-BoldItalic-9810-Identi">
    <w:altName w:val="Calibri"/>
    <w:panose1 w:val="00000000000000000000"/>
    <w:charset w:val="00"/>
    <w:family w:val="auto"/>
    <w:notTrueType/>
    <w:pitch w:val="default"/>
    <w:sig w:usb0="00000003" w:usb1="00000000" w:usb2="00000000" w:usb3="00000000" w:csb0="00000001" w:csb1="00000000"/>
  </w:font>
  <w:font w:name="*Microsoft Sans Serif-Bold-9812">
    <w:altName w:val="Calibri"/>
    <w:panose1 w:val="00000000000000000000"/>
    <w:charset w:val="00"/>
    <w:family w:val="auto"/>
    <w:notTrueType/>
    <w:pitch w:val="default"/>
    <w:sig w:usb0="00000003" w:usb1="00000000" w:usb2="00000000" w:usb3="00000000" w:csb0="00000001" w:csb1="00000000"/>
  </w:font>
  <w:font w:name="*Microsoft Sans Serif-10510-Ide">
    <w:altName w:val="Calibri"/>
    <w:panose1 w:val="00000000000000000000"/>
    <w:charset w:val="00"/>
    <w:family w:val="auto"/>
    <w:notTrueType/>
    <w:pitch w:val="default"/>
    <w:sig w:usb0="00000003" w:usb1="00000000" w:usb2="00000000" w:usb3="00000000" w:csb0="00000001" w:csb1="00000000"/>
  </w:font>
  <w:font w:name="*Tahoma-10511-Identity-H">
    <w:altName w:val="Calibri"/>
    <w:panose1 w:val="00000000000000000000"/>
    <w:charset w:val="00"/>
    <w:family w:val="auto"/>
    <w:notTrueType/>
    <w:pitch w:val="default"/>
    <w:sig w:usb0="00000003" w:usb1="00000000" w:usb2="00000000" w:usb3="00000000" w:csb0="00000001" w:csb1="00000000"/>
  </w:font>
  <w:font w:name="*Verdana-Bold-10509-Identity-H">
    <w:altName w:val="Calibri"/>
    <w:panose1 w:val="00000000000000000000"/>
    <w:charset w:val="00"/>
    <w:family w:val="auto"/>
    <w:notTrueType/>
    <w:pitch w:val="default"/>
    <w:sig w:usb0="00000003" w:usb1="00000000" w:usb2="00000000" w:usb3="00000000" w:csb0="00000001" w:csb1="00000000"/>
  </w:font>
  <w:font w:name="*Microsoft Sans Serif-10482-Ide">
    <w:altName w:val="Calibri"/>
    <w:panose1 w:val="00000000000000000000"/>
    <w:charset w:val="00"/>
    <w:family w:val="auto"/>
    <w:notTrueType/>
    <w:pitch w:val="default"/>
    <w:sig w:usb0="00000003" w:usb1="00000000" w:usb2="00000000" w:usb3="00000000" w:csb0="00000001" w:csb1="00000000"/>
  </w:font>
  <w:font w:name="*Arial-10478-Identity-H">
    <w:altName w:val="Calibri"/>
    <w:panose1 w:val="00000000000000000000"/>
    <w:charset w:val="00"/>
    <w:family w:val="auto"/>
    <w:notTrueType/>
    <w:pitch w:val="default"/>
    <w:sig w:usb0="00000003" w:usb1="00000000" w:usb2="00000000" w:usb3="00000000" w:csb0="00000001" w:csb1="00000000"/>
  </w:font>
  <w:font w:name="*Comic Sans MS-10480-Identity-H">
    <w:altName w:val="Calibri"/>
    <w:panose1 w:val="00000000000000000000"/>
    <w:charset w:val="00"/>
    <w:family w:val="auto"/>
    <w:notTrueType/>
    <w:pitch w:val="default"/>
    <w:sig w:usb0="00000003" w:usb1="00000000" w:usb2="00000000" w:usb3="00000000" w:csb0="00000001" w:csb1="00000000"/>
  </w:font>
  <w:font w:name="*Arial-Bold-10479-Identity-H">
    <w:altName w:val="Calibri"/>
    <w:panose1 w:val="00000000000000000000"/>
    <w:charset w:val="00"/>
    <w:family w:val="auto"/>
    <w:notTrueType/>
    <w:pitch w:val="default"/>
    <w:sig w:usb0="00000003" w:usb1="00000000" w:usb2="00000000" w:usb3="00000000" w:csb0="00000001" w:csb1="00000000"/>
  </w:font>
  <w:font w:name="*Tahoma-BoldItalic-10482-Identi">
    <w:altName w:val="Calibri"/>
    <w:panose1 w:val="00000000000000000000"/>
    <w:charset w:val="00"/>
    <w:family w:val="auto"/>
    <w:notTrueType/>
    <w:pitch w:val="default"/>
    <w:sig w:usb0="00000003" w:usb1="00000000" w:usb2="00000000" w:usb3="00000000" w:csb0="00000001" w:csb1="00000000"/>
  </w:font>
  <w:font w:name="*Microsoft Sans Serif-12003-Ide">
    <w:altName w:val="Calibri"/>
    <w:panose1 w:val="00000000000000000000"/>
    <w:charset w:val="00"/>
    <w:family w:val="auto"/>
    <w:notTrueType/>
    <w:pitch w:val="default"/>
    <w:sig w:usb0="00000003" w:usb1="00000000" w:usb2="00000000" w:usb3="00000000" w:csb0="00000001" w:csb1="00000000"/>
  </w:font>
  <w:font w:name="*Calibri-12000-Identity-H">
    <w:altName w:val="Calibri"/>
    <w:panose1 w:val="00000000000000000000"/>
    <w:charset w:val="00"/>
    <w:family w:val="auto"/>
    <w:notTrueType/>
    <w:pitch w:val="default"/>
    <w:sig w:usb0="00000003" w:usb1="00000000" w:usb2="00000000" w:usb3="00000000" w:csb0="00000001" w:csb1="00000000"/>
  </w:font>
  <w:font w:name="*Calibri-11999-Identity-H">
    <w:altName w:val="Calibri"/>
    <w:panose1 w:val="00000000000000000000"/>
    <w:charset w:val="00"/>
    <w:family w:val="auto"/>
    <w:notTrueType/>
    <w:pitch w:val="default"/>
    <w:sig w:usb0="00000003" w:usb1="00000000" w:usb2="00000000" w:usb3="00000000" w:csb0="00000001" w:csb1="00000000"/>
  </w:font>
  <w:font w:name="*Arial-Bold-12001-Identity-H">
    <w:altName w:val="Calibri"/>
    <w:panose1 w:val="00000000000000000000"/>
    <w:charset w:val="00"/>
    <w:family w:val="auto"/>
    <w:notTrueType/>
    <w:pitch w:val="default"/>
    <w:sig w:usb0="00000003" w:usb1="00000000" w:usb2="00000000" w:usb3="00000000" w:csb0="00000001" w:csb1="00000000"/>
  </w:font>
  <w:font w:name="*Arial-BoldItalic-12002-Identit">
    <w:altName w:val="Calibri"/>
    <w:panose1 w:val="00000000000000000000"/>
    <w:charset w:val="00"/>
    <w:family w:val="auto"/>
    <w:notTrueType/>
    <w:pitch w:val="default"/>
    <w:sig w:usb0="00000003" w:usb1="00000000" w:usb2="00000000" w:usb3="00000000" w:csb0="00000001" w:csb1="00000000"/>
  </w:font>
  <w:font w:name="*Arial-11768-Identity-H">
    <w:altName w:val="Calibri"/>
    <w:panose1 w:val="00000000000000000000"/>
    <w:charset w:val="00"/>
    <w:family w:val="auto"/>
    <w:notTrueType/>
    <w:pitch w:val="default"/>
    <w:sig w:usb0="00000003" w:usb1="00000000" w:usb2="00000000" w:usb3="00000000" w:csb0="00000001" w:csb1="00000000"/>
  </w:font>
  <w:font w:name="*Times New Roman-Italic-11766-I">
    <w:altName w:val="Calibri"/>
    <w:panose1 w:val="00000000000000000000"/>
    <w:charset w:val="00"/>
    <w:family w:val="auto"/>
    <w:notTrueType/>
    <w:pitch w:val="default"/>
    <w:sig w:usb0="00000003" w:usb1="00000000" w:usb2="00000000" w:usb3="00000000" w:csb0="00000001" w:csb1="00000000"/>
  </w:font>
  <w:font w:name="*Arial-BoldItalic-11769-Identit">
    <w:altName w:val="Calibri"/>
    <w:panose1 w:val="00000000000000000000"/>
    <w:charset w:val="00"/>
    <w:family w:val="auto"/>
    <w:notTrueType/>
    <w:pitch w:val="default"/>
    <w:sig w:usb0="00000003" w:usb1="00000000" w:usb2="00000000" w:usb3="00000000" w:csb0="00000001" w:csb1="00000000"/>
  </w:font>
  <w:font w:name="*Comic Sans MS-Bold-11770-Ident">
    <w:altName w:val="Calibri"/>
    <w:panose1 w:val="00000000000000000000"/>
    <w:charset w:val="00"/>
    <w:family w:val="auto"/>
    <w:notTrueType/>
    <w:pitch w:val="default"/>
    <w:sig w:usb0="00000003" w:usb1="00000000" w:usb2="00000000" w:usb3="00000000" w:csb0="00000001" w:csb1="00000000"/>
  </w:font>
  <w:font w:name="*Arial-12550-Identity-H">
    <w:altName w:val="Calibri"/>
    <w:panose1 w:val="00000000000000000000"/>
    <w:charset w:val="00"/>
    <w:family w:val="auto"/>
    <w:notTrueType/>
    <w:pitch w:val="default"/>
    <w:sig w:usb0="00000003" w:usb1="00000000" w:usb2="00000000" w:usb3="00000000" w:csb0="00000001" w:csb1="00000000"/>
  </w:font>
  <w:font w:name="*Calibri-12549-Identity-H">
    <w:altName w:val="Calibri"/>
    <w:panose1 w:val="00000000000000000000"/>
    <w:charset w:val="00"/>
    <w:family w:val="auto"/>
    <w:notTrueType/>
    <w:pitch w:val="default"/>
    <w:sig w:usb0="00000003" w:usb1="00000000" w:usb2="00000000" w:usb3="00000000" w:csb0="00000001" w:csb1="00000000"/>
  </w:font>
  <w:font w:name="*Microsoft Sans Serif-12186-Ide">
    <w:altName w:val="Calibri"/>
    <w:panose1 w:val="00000000000000000000"/>
    <w:charset w:val="00"/>
    <w:family w:val="auto"/>
    <w:notTrueType/>
    <w:pitch w:val="default"/>
    <w:sig w:usb0="00000003" w:usb1="00000000" w:usb2="00000000" w:usb3="00000000" w:csb0="00000001" w:csb1="00000000"/>
  </w:font>
  <w:font w:name="*Times New Roman-Italic-12182-I">
    <w:altName w:val="Calibri"/>
    <w:panose1 w:val="00000000000000000000"/>
    <w:charset w:val="00"/>
    <w:family w:val="auto"/>
    <w:notTrueType/>
    <w:pitch w:val="default"/>
    <w:sig w:usb0="00000003" w:usb1="00000000" w:usb2="00000000" w:usb3="00000000" w:csb0="00000001" w:csb1="00000000"/>
  </w:font>
  <w:font w:name="*Microsoft Sans Serif-12292-Ide">
    <w:altName w:val="Calibri"/>
    <w:panose1 w:val="00000000000000000000"/>
    <w:charset w:val="00"/>
    <w:family w:val="auto"/>
    <w:notTrueType/>
    <w:pitch w:val="default"/>
    <w:sig w:usb0="00000003" w:usb1="00000000" w:usb2="00000000" w:usb3="00000000" w:csb0="00000001" w:csb1="00000000"/>
  </w:font>
  <w:font w:name="*Comic Sans MS-BoldItalic-12291">
    <w:altName w:val="Calibri"/>
    <w:panose1 w:val="00000000000000000000"/>
    <w:charset w:val="00"/>
    <w:family w:val="auto"/>
    <w:notTrueType/>
    <w:pitch w:val="default"/>
    <w:sig w:usb0="00000003" w:usb1="00000000" w:usb2="00000000" w:usb3="00000000" w:csb0="00000001" w:csb1="00000000"/>
  </w:font>
  <w:font w:name="*Microsoft Sans Serif-Bold-1229">
    <w:altName w:val="Calibri"/>
    <w:panose1 w:val="00000000000000000000"/>
    <w:charset w:val="00"/>
    <w:family w:val="auto"/>
    <w:notTrueType/>
    <w:pitch w:val="default"/>
    <w:sig w:usb0="00000003" w:usb1="00000000" w:usb2="00000000" w:usb3="00000000" w:csb0="00000001" w:csb1="00000000"/>
  </w:font>
  <w:font w:name="*Calibri-13768-Identity-H">
    <w:altName w:val="Calibri"/>
    <w:panose1 w:val="00000000000000000000"/>
    <w:charset w:val="00"/>
    <w:family w:val="auto"/>
    <w:notTrueType/>
    <w:pitch w:val="default"/>
    <w:sig w:usb0="00000003" w:usb1="00000000" w:usb2="00000000" w:usb3="00000000" w:csb0="00000001" w:csb1="00000000"/>
  </w:font>
  <w:font w:name="*Times New Roman-Italic-12286-I">
    <w:altName w:val="Calibri"/>
    <w:panose1 w:val="00000000000000000000"/>
    <w:charset w:val="00"/>
    <w:family w:val="auto"/>
    <w:notTrueType/>
    <w:pitch w:val="default"/>
    <w:sig w:usb0="00000003" w:usb1="00000000" w:usb2="00000000" w:usb3="00000000" w:csb0="00000001" w:csb1="00000000"/>
  </w:font>
  <w:font w:name="*Calibri-BoldItalic-13769-Ident">
    <w:altName w:val="Calibri"/>
    <w:panose1 w:val="00000000000000000000"/>
    <w:charset w:val="00"/>
    <w:family w:val="auto"/>
    <w:notTrueType/>
    <w:pitch w:val="default"/>
    <w:sig w:usb0="00000003" w:usb1="00000000" w:usb2="00000000" w:usb3="00000000" w:csb0="00000001" w:csb1="00000000"/>
  </w:font>
  <w:font w:name="*Calibri-Bold-13770-Identity-H">
    <w:altName w:val="Calibri"/>
    <w:panose1 w:val="00000000000000000000"/>
    <w:charset w:val="00"/>
    <w:family w:val="auto"/>
    <w:notTrueType/>
    <w:pitch w:val="default"/>
    <w:sig w:usb0="00000003" w:usb1="00000000" w:usb2="00000000" w:usb3="00000000" w:csb0="00000001" w:csb1="00000000"/>
  </w:font>
  <w:font w:name="*Microsoft Sans Serif-11191-Ide">
    <w:altName w:val="Calibri"/>
    <w:panose1 w:val="00000000000000000000"/>
    <w:charset w:val="00"/>
    <w:family w:val="auto"/>
    <w:notTrueType/>
    <w:pitch w:val="default"/>
    <w:sig w:usb0="00000003" w:usb1="00000000" w:usb2="00000000" w:usb3="00000000" w:csb0="00000001" w:csb1="00000000"/>
  </w:font>
  <w:font w:name="*Microsoft Sans Serif-Italic-13">
    <w:altName w:val="Calibri"/>
    <w:panose1 w:val="00000000000000000000"/>
    <w:charset w:val="00"/>
    <w:family w:val="auto"/>
    <w:notTrueType/>
    <w:pitch w:val="default"/>
    <w:sig w:usb0="00000003" w:usb1="00000000" w:usb2="00000000" w:usb3="00000000" w:csb0="00000001" w:csb1="00000000"/>
  </w:font>
  <w:font w:name="*Tahoma-11192-Identity-H">
    <w:altName w:val="Calibri"/>
    <w:panose1 w:val="00000000000000000000"/>
    <w:charset w:val="00"/>
    <w:family w:val="auto"/>
    <w:notTrueType/>
    <w:pitch w:val="default"/>
    <w:sig w:usb0="00000003" w:usb1="00000000" w:usb2="00000000" w:usb3="00000000" w:csb0="00000001" w:csb1="00000000"/>
  </w:font>
  <w:font w:name="*Times New Roman-Italic-11186-I">
    <w:altName w:val="Calibri"/>
    <w:panose1 w:val="00000000000000000000"/>
    <w:charset w:val="00"/>
    <w:family w:val="auto"/>
    <w:notTrueType/>
    <w:pitch w:val="default"/>
    <w:sig w:usb0="00000003" w:usb1="00000000" w:usb2="00000000" w:usb3="00000000" w:csb0="00000001" w:csb1="00000000"/>
  </w:font>
  <w:font w:name="*Calibri-Bold-11189-Identity-H">
    <w:altName w:val="Calibri"/>
    <w:panose1 w:val="00000000000000000000"/>
    <w:charset w:val="00"/>
    <w:family w:val="auto"/>
    <w:notTrueType/>
    <w:pitch w:val="default"/>
    <w:sig w:usb0="00000003" w:usb1="00000000" w:usb2="00000000" w:usb3="00000000" w:csb0="00000001" w:csb1="00000000"/>
  </w:font>
  <w:font w:name="*Calibri-Bold-12724-Identity-H">
    <w:altName w:val="Calibri"/>
    <w:panose1 w:val="00000000000000000000"/>
    <w:charset w:val="00"/>
    <w:family w:val="auto"/>
    <w:notTrueType/>
    <w:pitch w:val="default"/>
    <w:sig w:usb0="00000003" w:usb1="00000000" w:usb2="00000000" w:usb3="00000000" w:csb0="00000001" w:csb1="00000000"/>
  </w:font>
  <w:font w:name="*Arial-Bold-12727-Identity-H">
    <w:altName w:val="Calibri"/>
    <w:panose1 w:val="00000000000000000000"/>
    <w:charset w:val="00"/>
    <w:family w:val="auto"/>
    <w:notTrueType/>
    <w:pitch w:val="default"/>
    <w:sig w:usb0="00000003" w:usb1="00000000" w:usb2="00000000" w:usb3="00000000" w:csb0="00000001" w:csb1="00000000"/>
  </w:font>
  <w:font w:name="*Calibri-BoldItalic-12725-Ident">
    <w:altName w:val="Calibri"/>
    <w:panose1 w:val="00000000000000000000"/>
    <w:charset w:val="00"/>
    <w:family w:val="auto"/>
    <w:notTrueType/>
    <w:pitch w:val="default"/>
    <w:sig w:usb0="00000003" w:usb1="00000000" w:usb2="00000000" w:usb3="00000000" w:csb0="00000001" w:csb1="00000000"/>
  </w:font>
  <w:font w:name="*Courier New-12728-Identity-H">
    <w:altName w:val="Calibri"/>
    <w:panose1 w:val="00000000000000000000"/>
    <w:charset w:val="00"/>
    <w:family w:val="auto"/>
    <w:notTrueType/>
    <w:pitch w:val="default"/>
    <w:sig w:usb0="00000003" w:usb1="00000000" w:usb2="00000000" w:usb3="00000000" w:csb0="00000001" w:csb1="00000000"/>
  </w:font>
  <w:font w:name="*Tahoma-12730-Identity-H">
    <w:altName w:val="Calibri"/>
    <w:panose1 w:val="00000000000000000000"/>
    <w:charset w:val="00"/>
    <w:family w:val="auto"/>
    <w:notTrueType/>
    <w:pitch w:val="default"/>
    <w:sig w:usb0="00000003" w:usb1="00000000" w:usb2="00000000" w:usb3="00000000" w:csb0="00000001" w:csb1="00000000"/>
  </w:font>
  <w:font w:name="*Verdana-12729-Identity-H">
    <w:altName w:val="Calibri"/>
    <w:panose1 w:val="00000000000000000000"/>
    <w:charset w:val="00"/>
    <w:family w:val="auto"/>
    <w:notTrueType/>
    <w:pitch w:val="default"/>
    <w:sig w:usb0="00000003" w:usb1="00000000" w:usb2="00000000" w:usb3="00000000" w:csb0="00000001" w:csb1="00000000"/>
  </w:font>
  <w:font w:name="*Calibri-Bold-12726-Identity-H">
    <w:altName w:val="Calibri"/>
    <w:panose1 w:val="00000000000000000000"/>
    <w:charset w:val="00"/>
    <w:family w:val="auto"/>
    <w:notTrueType/>
    <w:pitch w:val="default"/>
    <w:sig w:usb0="00000003" w:usb1="00000000" w:usb2="00000000" w:usb3="00000000" w:csb0="00000001" w:csb1="00000000"/>
  </w:font>
  <w:font w:name="*Microsoft Sans Serif-11827-Ide">
    <w:altName w:val="Calibri"/>
    <w:panose1 w:val="00000000000000000000"/>
    <w:charset w:val="00"/>
    <w:family w:val="auto"/>
    <w:notTrueType/>
    <w:pitch w:val="default"/>
    <w:sig w:usb0="00000003" w:usb1="00000000" w:usb2="00000000" w:usb3="00000000" w:csb0="00000001" w:csb1="00000000"/>
  </w:font>
  <w:font w:name="*Times New Roman-Italic-11824-I">
    <w:altName w:val="Calibri"/>
    <w:panose1 w:val="00000000000000000000"/>
    <w:charset w:val="00"/>
    <w:family w:val="auto"/>
    <w:notTrueType/>
    <w:pitch w:val="default"/>
    <w:sig w:usb0="00000003" w:usb1="00000000" w:usb2="00000000" w:usb3="00000000" w:csb0="00000001" w:csb1="00000000"/>
  </w:font>
  <w:font w:name="*Arial-13453-Identity-H">
    <w:altName w:val="Calibri"/>
    <w:panose1 w:val="00000000000000000000"/>
    <w:charset w:val="00"/>
    <w:family w:val="auto"/>
    <w:notTrueType/>
    <w:pitch w:val="default"/>
    <w:sig w:usb0="00000003" w:usb1="00000000" w:usb2="00000000" w:usb3="00000000" w:csb0="00000001" w:csb1="00000000"/>
  </w:font>
  <w:font w:name="*Arial-BoldItalic-13454-Identit">
    <w:altName w:val="Calibri"/>
    <w:panose1 w:val="00000000000000000000"/>
    <w:charset w:val="00"/>
    <w:family w:val="auto"/>
    <w:notTrueType/>
    <w:pitch w:val="default"/>
    <w:sig w:usb0="00000003" w:usb1="00000000" w:usb2="00000000" w:usb3="00000000" w:csb0="00000001" w:csb1="00000000"/>
  </w:font>
  <w:font w:name="*Microsoft Sans Serif-Bold-1345">
    <w:altName w:val="Calibri"/>
    <w:panose1 w:val="00000000000000000000"/>
    <w:charset w:val="00"/>
    <w:family w:val="auto"/>
    <w:notTrueType/>
    <w:pitch w:val="default"/>
    <w:sig w:usb0="00000003" w:usb1="00000000" w:usb2="00000000" w:usb3="00000000" w:csb0="00000001" w:csb1="00000000"/>
  </w:font>
  <w:font w:name="*Times New Roman-Italic-13449-I">
    <w:altName w:val="Calibri"/>
    <w:panose1 w:val="00000000000000000000"/>
    <w:charset w:val="00"/>
    <w:family w:val="auto"/>
    <w:notTrueType/>
    <w:pitch w:val="default"/>
    <w:sig w:usb0="00000003" w:usb1="00000000" w:usb2="00000000" w:usb3="00000000" w:csb0="00000001" w:csb1="00000000"/>
  </w:font>
  <w:font w:name="*Arial-11588-Identity-H">
    <w:altName w:val="Calibri"/>
    <w:panose1 w:val="00000000000000000000"/>
    <w:charset w:val="00"/>
    <w:family w:val="auto"/>
    <w:notTrueType/>
    <w:pitch w:val="default"/>
    <w:sig w:usb0="00000003" w:usb1="00000000" w:usb2="00000000" w:usb3="00000000" w:csb0="00000001" w:csb1="00000000"/>
  </w:font>
  <w:font w:name="*Arial-Bold-11590-Identity-H">
    <w:altName w:val="Calibri"/>
    <w:panose1 w:val="00000000000000000000"/>
    <w:charset w:val="00"/>
    <w:family w:val="auto"/>
    <w:notTrueType/>
    <w:pitch w:val="default"/>
    <w:sig w:usb0="00000003" w:usb1="00000000" w:usb2="00000000" w:usb3="00000000" w:csb0="00000001" w:csb1="00000000"/>
  </w:font>
  <w:font w:name="*Arial-BoldItalic-11591-Identit">
    <w:altName w:val="Calibri"/>
    <w:panose1 w:val="00000000000000000000"/>
    <w:charset w:val="00"/>
    <w:family w:val="auto"/>
    <w:notTrueType/>
    <w:pitch w:val="default"/>
    <w:sig w:usb0="00000003" w:usb1="00000000" w:usb2="00000000" w:usb3="00000000" w:csb0="00000001" w:csb1="00000000"/>
  </w:font>
  <w:font w:name="*Arial-11589-Identity-H">
    <w:altName w:val="Calibri"/>
    <w:panose1 w:val="00000000000000000000"/>
    <w:charset w:val="00"/>
    <w:family w:val="auto"/>
    <w:notTrueType/>
    <w:pitch w:val="default"/>
    <w:sig w:usb0="00000003" w:usb1="00000000" w:usb2="00000000" w:usb3="00000000" w:csb0="00000001" w:csb1="00000000"/>
  </w:font>
  <w:font w:name="*Microsoft Sans Serif-Bold-1159">
    <w:altName w:val="Calibri"/>
    <w:panose1 w:val="00000000000000000000"/>
    <w:charset w:val="00"/>
    <w:family w:val="auto"/>
    <w:notTrueType/>
    <w:pitch w:val="default"/>
    <w:sig w:usb0="00000003" w:usb1="00000000" w:usb2="00000000" w:usb3="00000000" w:csb0="00000001" w:csb1="00000000"/>
  </w:font>
  <w:font w:name="*Calibri-12847-Identity-H">
    <w:altName w:val="Calibri"/>
    <w:panose1 w:val="00000000000000000000"/>
    <w:charset w:val="00"/>
    <w:family w:val="auto"/>
    <w:notTrueType/>
    <w:pitch w:val="default"/>
    <w:sig w:usb0="00000003" w:usb1="00000000" w:usb2="00000000" w:usb3="00000000" w:csb0="00000001" w:csb1="00000000"/>
  </w:font>
  <w:font w:name="*Calibri-10983-Identity-H">
    <w:altName w:val="Calibri"/>
    <w:panose1 w:val="00000000000000000000"/>
    <w:charset w:val="00"/>
    <w:family w:val="auto"/>
    <w:notTrueType/>
    <w:pitch w:val="default"/>
    <w:sig w:usb0="00000003" w:usb1="00000000" w:usb2="00000000" w:usb3="00000000" w:csb0="00000001" w:csb1="00000000"/>
  </w:font>
  <w:font w:name="*Tahoma-12849-Identity-H">
    <w:altName w:val="Calibri"/>
    <w:panose1 w:val="00000000000000000000"/>
    <w:charset w:val="00"/>
    <w:family w:val="auto"/>
    <w:notTrueType/>
    <w:pitch w:val="default"/>
    <w:sig w:usb0="00000003" w:usb1="00000000" w:usb2="00000000" w:usb3="00000000" w:csb0="00000001" w:csb1="00000000"/>
  </w:font>
  <w:font w:name="*Times New Roman-Italic-10980-I">
    <w:altName w:val="Calibri"/>
    <w:panose1 w:val="00000000000000000000"/>
    <w:charset w:val="00"/>
    <w:family w:val="auto"/>
    <w:notTrueType/>
    <w:pitch w:val="default"/>
    <w:sig w:usb0="00000003" w:usb1="00000000" w:usb2="00000000" w:usb3="00000000" w:csb0="00000001" w:csb1="00000000"/>
  </w:font>
  <w:font w:name="*Times New Roman-10979-Identity">
    <w:altName w:val="Calibri"/>
    <w:panose1 w:val="00000000000000000000"/>
    <w:charset w:val="00"/>
    <w:family w:val="auto"/>
    <w:notTrueType/>
    <w:pitch w:val="default"/>
    <w:sig w:usb0="00000003" w:usb1="00000000" w:usb2="00000000" w:usb3="00000000" w:csb0="00000001" w:csb1="00000000"/>
  </w:font>
  <w:font w:name="*Arial-Bold-10984-Identity-H">
    <w:altName w:val="Calibri"/>
    <w:panose1 w:val="00000000000000000000"/>
    <w:charset w:val="00"/>
    <w:family w:val="auto"/>
    <w:notTrueType/>
    <w:pitch w:val="default"/>
    <w:sig w:usb0="00000003" w:usb1="00000000" w:usb2="00000000" w:usb3="00000000" w:csb0="00000001" w:csb1="00000000"/>
  </w:font>
  <w:font w:name="*Microsoft Sans Serif-12034-Ide">
    <w:altName w:val="Calibri"/>
    <w:panose1 w:val="00000000000000000000"/>
    <w:charset w:val="00"/>
    <w:family w:val="auto"/>
    <w:notTrueType/>
    <w:pitch w:val="default"/>
    <w:sig w:usb0="00000003" w:usb1="00000000" w:usb2="00000000" w:usb3="00000000" w:csb0="00000001" w:csb1="00000000"/>
  </w:font>
  <w:font w:name="*Calibri-Bold-12032-Identity-H">
    <w:altName w:val="Calibri"/>
    <w:panose1 w:val="00000000000000000000"/>
    <w:charset w:val="00"/>
    <w:family w:val="auto"/>
    <w:notTrueType/>
    <w:pitch w:val="default"/>
    <w:sig w:usb0="00000003" w:usb1="00000000" w:usb2="00000000" w:usb3="00000000" w:csb0="00000001" w:csb1="00000000"/>
  </w:font>
  <w:font w:name="*Calibri-12031-Identity-H">
    <w:altName w:val="Calibri"/>
    <w:panose1 w:val="00000000000000000000"/>
    <w:charset w:val="00"/>
    <w:family w:val="auto"/>
    <w:notTrueType/>
    <w:pitch w:val="default"/>
    <w:sig w:usb0="00000003" w:usb1="00000000" w:usb2="00000000" w:usb3="00000000" w:csb0="00000001" w:csb1="00000000"/>
  </w:font>
  <w:font w:name="*Microsoft Sans Serif-13213-Ide">
    <w:altName w:val="Calibri"/>
    <w:panose1 w:val="00000000000000000000"/>
    <w:charset w:val="00"/>
    <w:family w:val="auto"/>
    <w:notTrueType/>
    <w:pitch w:val="default"/>
    <w:sig w:usb0="00000003" w:usb1="00000000" w:usb2="00000000" w:usb3="00000000" w:csb0="00000001" w:csb1="00000000"/>
  </w:font>
  <w:font w:name="*Times New Roman-Italic-13210-I">
    <w:altName w:val="Calibri"/>
    <w:panose1 w:val="00000000000000000000"/>
    <w:charset w:val="00"/>
    <w:family w:val="auto"/>
    <w:notTrueType/>
    <w:pitch w:val="default"/>
    <w:sig w:usb0="00000003" w:usb1="00000000" w:usb2="00000000" w:usb3="00000000" w:csb0="00000001" w:csb1="00000000"/>
  </w:font>
  <w:font w:name="*Microsoft Sans Serif-11233-Ide">
    <w:altName w:val="Calibri"/>
    <w:panose1 w:val="00000000000000000000"/>
    <w:charset w:val="00"/>
    <w:family w:val="auto"/>
    <w:notTrueType/>
    <w:pitch w:val="default"/>
    <w:sig w:usb0="00000003" w:usb1="00000000" w:usb2="00000000" w:usb3="00000000" w:csb0="00000001" w:csb1="00000000"/>
  </w:font>
  <w:font w:name="*Tahoma-11235-Identity-H">
    <w:altName w:val="Calibri"/>
    <w:panose1 w:val="00000000000000000000"/>
    <w:charset w:val="00"/>
    <w:family w:val="auto"/>
    <w:notTrueType/>
    <w:pitch w:val="default"/>
    <w:sig w:usb0="00000003" w:usb1="00000000" w:usb2="00000000" w:usb3="00000000" w:csb0="00000001" w:csb1="00000000"/>
  </w:font>
  <w:font w:name="*Microsoft Sans Serif-11860-Ide">
    <w:altName w:val="Calibri"/>
    <w:panose1 w:val="00000000000000000000"/>
    <w:charset w:val="00"/>
    <w:family w:val="auto"/>
    <w:notTrueType/>
    <w:pitch w:val="default"/>
    <w:sig w:usb0="00000003" w:usb1="00000000" w:usb2="00000000" w:usb3="00000000" w:csb0="00000001" w:csb1="00000000"/>
  </w:font>
  <w:font w:name="*Times New Roman-Italic-11853-I">
    <w:altName w:val="Calibri"/>
    <w:panose1 w:val="00000000000000000000"/>
    <w:charset w:val="00"/>
    <w:family w:val="auto"/>
    <w:notTrueType/>
    <w:pitch w:val="default"/>
    <w:sig w:usb0="00000003" w:usb1="00000000" w:usb2="00000000" w:usb3="00000000" w:csb0="00000001" w:csb1="00000000"/>
  </w:font>
  <w:font w:name="*Calibri-Bold-11857-Identity-H">
    <w:altName w:val="Calibri"/>
    <w:panose1 w:val="00000000000000000000"/>
    <w:charset w:val="00"/>
    <w:family w:val="auto"/>
    <w:notTrueType/>
    <w:pitch w:val="default"/>
    <w:sig w:usb0="00000003" w:usb1="00000000" w:usb2="00000000" w:usb3="00000000" w:csb0="00000001" w:csb1="00000000"/>
  </w:font>
  <w:font w:name="*Verdana-Bold-11859-Identity-H">
    <w:altName w:val="Calibri"/>
    <w:panose1 w:val="00000000000000000000"/>
    <w:charset w:val="00"/>
    <w:family w:val="auto"/>
    <w:notTrueType/>
    <w:pitch w:val="default"/>
    <w:sig w:usb0="00000003" w:usb1="00000000" w:usb2="00000000" w:usb3="00000000" w:csb0="00000001" w:csb1="00000000"/>
  </w:font>
  <w:font w:name="*Arial-BoldItalic-11858-Identit">
    <w:altName w:val="Calibri"/>
    <w:panose1 w:val="00000000000000000000"/>
    <w:charset w:val="00"/>
    <w:family w:val="auto"/>
    <w:notTrueType/>
    <w:pitch w:val="default"/>
    <w:sig w:usb0="00000003" w:usb1="00000000" w:usb2="00000000" w:usb3="00000000" w:csb0="00000001" w:csb1="00000000"/>
  </w:font>
  <w:font w:name="*Calibri-Bold-11816-Identity-H">
    <w:altName w:val="Calibri"/>
    <w:panose1 w:val="00000000000000000000"/>
    <w:charset w:val="00"/>
    <w:family w:val="auto"/>
    <w:notTrueType/>
    <w:pitch w:val="default"/>
    <w:sig w:usb0="00000003" w:usb1="00000000" w:usb2="00000000" w:usb3="00000000" w:csb0="00000001" w:csb1="00000000"/>
  </w:font>
  <w:font w:name="*Comic Sans MS-BoldItalic-11817">
    <w:altName w:val="Calibri"/>
    <w:panose1 w:val="00000000000000000000"/>
    <w:charset w:val="00"/>
    <w:family w:val="auto"/>
    <w:notTrueType/>
    <w:pitch w:val="default"/>
    <w:sig w:usb0="00000003" w:usb1="00000000" w:usb2="00000000" w:usb3="00000000" w:csb0="00000001" w:csb1="00000000"/>
  </w:font>
  <w:font w:name="*Microsoft Sans Serif-11818-Ide">
    <w:altName w:val="Calibri"/>
    <w:panose1 w:val="00000000000000000000"/>
    <w:charset w:val="00"/>
    <w:family w:val="auto"/>
    <w:notTrueType/>
    <w:pitch w:val="default"/>
    <w:sig w:usb0="00000003" w:usb1="00000000" w:usb2="00000000" w:usb3="00000000" w:csb0="00000001" w:csb1="00000000"/>
  </w:font>
  <w:font w:name="*Microsoft Sans Serif-10376-Ide">
    <w:altName w:val="Calibri"/>
    <w:panose1 w:val="00000000000000000000"/>
    <w:charset w:val="00"/>
    <w:family w:val="auto"/>
    <w:notTrueType/>
    <w:pitch w:val="default"/>
    <w:sig w:usb0="00000003" w:usb1="00000000" w:usb2="00000000" w:usb3="00000000" w:csb0="00000001" w:csb1="00000000"/>
  </w:font>
  <w:font w:name="*Microsoft Sans Serif-Bold-1037">
    <w:altName w:val="Calibri"/>
    <w:panose1 w:val="00000000000000000000"/>
    <w:charset w:val="00"/>
    <w:family w:val="auto"/>
    <w:notTrueType/>
    <w:pitch w:val="default"/>
    <w:sig w:usb0="00000003" w:usb1="00000000" w:usb2="00000000" w:usb3="00000000" w:csb0="00000001" w:csb1="00000000"/>
  </w:font>
  <w:font w:name="*Calibri-BoldItalic-10374-Ident">
    <w:altName w:val="Calibri"/>
    <w:panose1 w:val="00000000000000000000"/>
    <w:charset w:val="00"/>
    <w:family w:val="auto"/>
    <w:notTrueType/>
    <w:pitch w:val="default"/>
    <w:sig w:usb0="00000003" w:usb1="00000000" w:usb2="00000000" w:usb3="00000000" w:csb0="00000001" w:csb1="00000000"/>
  </w:font>
  <w:font w:name="*Arial-Bold-10375-Identity-H">
    <w:altName w:val="Calibri"/>
    <w:panose1 w:val="00000000000000000000"/>
    <w:charset w:val="00"/>
    <w:family w:val="auto"/>
    <w:notTrueType/>
    <w:pitch w:val="default"/>
    <w:sig w:usb0="00000003" w:usb1="00000000" w:usb2="00000000" w:usb3="00000000" w:csb0="00000001" w:csb1="00000000"/>
  </w:font>
  <w:font w:name="*Arial-11122-Identity-H">
    <w:altName w:val="Calibri"/>
    <w:panose1 w:val="00000000000000000000"/>
    <w:charset w:val="00"/>
    <w:family w:val="auto"/>
    <w:notTrueType/>
    <w:pitch w:val="default"/>
    <w:sig w:usb0="00000003" w:usb1="00000000" w:usb2="00000000" w:usb3="00000000" w:csb0="00000001" w:csb1="00000000"/>
  </w:font>
  <w:font w:name="*Calibri-Bold-11121-Identity-H">
    <w:altName w:val="Calibri"/>
    <w:panose1 w:val="00000000000000000000"/>
    <w:charset w:val="00"/>
    <w:family w:val="auto"/>
    <w:notTrueType/>
    <w:pitch w:val="default"/>
    <w:sig w:usb0="00000003" w:usb1="00000000" w:usb2="00000000" w:usb3="00000000" w:csb0="00000001" w:csb1="00000000"/>
  </w:font>
  <w:font w:name="*Microsoft Sans Serif-Bold-1112">
    <w:altName w:val="Calibri"/>
    <w:panose1 w:val="00000000000000000000"/>
    <w:charset w:val="00"/>
    <w:family w:val="auto"/>
    <w:notTrueType/>
    <w:pitch w:val="default"/>
    <w:sig w:usb0="00000003" w:usb1="00000000" w:usb2="00000000" w:usb3="00000000" w:csb0="00000001" w:csb1="00000000"/>
  </w:font>
  <w:font w:name="*Times New Roman-Italic-11118-I">
    <w:altName w:val="Calibri"/>
    <w:panose1 w:val="00000000000000000000"/>
    <w:charset w:val="00"/>
    <w:family w:val="auto"/>
    <w:notTrueType/>
    <w:pitch w:val="default"/>
    <w:sig w:usb0="00000003" w:usb1="00000000" w:usb2="00000000" w:usb3="00000000" w:csb0="00000001" w:csb1="00000000"/>
  </w:font>
  <w:font w:name="*Times New Roman-Italic-11117-I">
    <w:altName w:val="Calibri"/>
    <w:panose1 w:val="00000000000000000000"/>
    <w:charset w:val="00"/>
    <w:family w:val="auto"/>
    <w:notTrueType/>
    <w:pitch w:val="default"/>
    <w:sig w:usb0="00000003" w:usb1="00000000" w:usb2="00000000" w:usb3="00000000" w:csb0="00000001" w:csb1="00000000"/>
  </w:font>
  <w:font w:name="*Microsoft Sans Serif-10999-Ide">
    <w:altName w:val="Calibri"/>
    <w:panose1 w:val="00000000000000000000"/>
    <w:charset w:val="00"/>
    <w:family w:val="auto"/>
    <w:notTrueType/>
    <w:pitch w:val="default"/>
    <w:sig w:usb0="00000003" w:usb1="00000000" w:usb2="00000000" w:usb3="00000000" w:csb0="00000001" w:csb1="00000000"/>
  </w:font>
  <w:font w:name="*Times New Roman-10995-Identity">
    <w:altName w:val="Calibri"/>
    <w:panose1 w:val="00000000000000000000"/>
    <w:charset w:val="00"/>
    <w:family w:val="auto"/>
    <w:notTrueType/>
    <w:pitch w:val="default"/>
    <w:sig w:usb0="00000003" w:usb1="00000000" w:usb2="00000000" w:usb3="00000000" w:csb0="00000001" w:csb1="00000000"/>
  </w:font>
  <w:font w:name="*Arial-Bold-10997-Identity-H">
    <w:altName w:val="Calibri"/>
    <w:panose1 w:val="00000000000000000000"/>
    <w:charset w:val="00"/>
    <w:family w:val="auto"/>
    <w:notTrueType/>
    <w:pitch w:val="default"/>
    <w:sig w:usb0="00000003" w:usb1="00000000" w:usb2="00000000" w:usb3="00000000" w:csb0="00000001" w:csb1="00000000"/>
  </w:font>
  <w:font w:name="*Comic Sans MS-BoldItalic-10998">
    <w:altName w:val="Calibri"/>
    <w:panose1 w:val="00000000000000000000"/>
    <w:charset w:val="00"/>
    <w:family w:val="auto"/>
    <w:notTrueType/>
    <w:pitch w:val="default"/>
    <w:sig w:usb0="00000003" w:usb1="00000000" w:usb2="00000000" w:usb3="00000000" w:csb0="00000001" w:csb1="00000000"/>
  </w:font>
  <w:font w:name="*Calibri-10992-Identity-H">
    <w:altName w:val="Calibri"/>
    <w:panose1 w:val="00000000000000000000"/>
    <w:charset w:val="00"/>
    <w:family w:val="auto"/>
    <w:notTrueType/>
    <w:pitch w:val="default"/>
    <w:sig w:usb0="00000003" w:usb1="00000000" w:usb2="00000000" w:usb3="00000000" w:csb0="00000001" w:csb1="00000000"/>
  </w:font>
  <w:font w:name="*Calibri-Bold-10993-Identity-H">
    <w:altName w:val="Calibri"/>
    <w:panose1 w:val="00000000000000000000"/>
    <w:charset w:val="00"/>
    <w:family w:val="auto"/>
    <w:notTrueType/>
    <w:pitch w:val="default"/>
    <w:sig w:usb0="00000003" w:usb1="00000000" w:usb2="00000000" w:usb3="00000000" w:csb0="00000001" w:csb1="00000000"/>
  </w:font>
  <w:font w:name="*Calibri-Bold-11689-Identity-H">
    <w:altName w:val="Calibri"/>
    <w:panose1 w:val="00000000000000000000"/>
    <w:charset w:val="00"/>
    <w:family w:val="auto"/>
    <w:notTrueType/>
    <w:pitch w:val="default"/>
    <w:sig w:usb0="00000003" w:usb1="00000000" w:usb2="00000000" w:usb3="00000000" w:csb0="00000001" w:csb1="00000000"/>
  </w:font>
  <w:font w:name="*Arial-11690-Identity-H">
    <w:altName w:val="Calibri"/>
    <w:panose1 w:val="00000000000000000000"/>
    <w:charset w:val="00"/>
    <w:family w:val="auto"/>
    <w:notTrueType/>
    <w:pitch w:val="default"/>
    <w:sig w:usb0="00000003" w:usb1="00000000" w:usb2="00000000" w:usb3="00000000" w:csb0="00000001" w:csb1="00000000"/>
  </w:font>
  <w:font w:name="*Arial-BoldItalic-11691-Identit">
    <w:altName w:val="Calibri"/>
    <w:panose1 w:val="00000000000000000000"/>
    <w:charset w:val="00"/>
    <w:family w:val="auto"/>
    <w:notTrueType/>
    <w:pitch w:val="default"/>
    <w:sig w:usb0="00000003" w:usb1="00000000" w:usb2="00000000" w:usb3="00000000" w:csb0="00000001" w:csb1="00000000"/>
  </w:font>
  <w:font w:name="*Times New Roman-Italic-11686-I">
    <w:altName w:val="Calibri"/>
    <w:panose1 w:val="00000000000000000000"/>
    <w:charset w:val="00"/>
    <w:family w:val="auto"/>
    <w:notTrueType/>
    <w:pitch w:val="default"/>
    <w:sig w:usb0="00000003" w:usb1="00000000" w:usb2="00000000" w:usb3="00000000" w:csb0="00000001" w:csb1="00000000"/>
  </w:font>
  <w:font w:name="*Comic Sans MS-Bold-7246-Identi">
    <w:altName w:val="Calibri"/>
    <w:panose1 w:val="00000000000000000000"/>
    <w:charset w:val="00"/>
    <w:family w:val="auto"/>
    <w:notTrueType/>
    <w:pitch w:val="default"/>
    <w:sig w:usb0="00000003" w:usb1="00000000" w:usb2="00000000" w:usb3="00000000" w:csb0="00000001" w:csb1="00000000"/>
  </w:font>
  <w:font w:name="*Arial-7245-Identity-H">
    <w:altName w:val="Calibri"/>
    <w:panose1 w:val="00000000000000000000"/>
    <w:charset w:val="00"/>
    <w:family w:val="auto"/>
    <w:notTrueType/>
    <w:pitch w:val="default"/>
    <w:sig w:usb0="00000003" w:usb1="00000000" w:usb2="00000000" w:usb3="00000000" w:csb0="00000001" w:csb1="00000000"/>
  </w:font>
  <w:font w:name="TrebuchetMS-Italic">
    <w:altName w:val="Calibri"/>
    <w:panose1 w:val="00000000000000000000"/>
    <w:charset w:val="00"/>
    <w:family w:val="swiss"/>
    <w:notTrueType/>
    <w:pitch w:val="default"/>
    <w:sig w:usb0="00000003" w:usb1="00000000" w:usb2="00000000" w:usb3="00000000" w:csb0="00000001" w:csb1="00000000"/>
  </w:font>
  <w:font w:name="Arial-BoldItalicMT">
    <w:altName w:val="Arial"/>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ArialNarrow-BoldItalic">
    <w:altName w:val="Arial"/>
    <w:panose1 w:val="00000000000000000000"/>
    <w:charset w:val="00"/>
    <w:family w:val="swiss"/>
    <w:notTrueType/>
    <w:pitch w:val="default"/>
    <w:sig w:usb0="00000003" w:usb1="00000000" w:usb2="00000000" w:usb3="00000000" w:csb0="00000001" w:csb1="00000000"/>
  </w:font>
  <w:font w:name="ArialNarrow-Italic">
    <w:altName w:val="Arial"/>
    <w:panose1 w:val="00000000000000000000"/>
    <w:charset w:val="00"/>
    <w:family w:val="swiss"/>
    <w:notTrueType/>
    <w:pitch w:val="default"/>
    <w:sig w:usb0="00000003" w:usb1="00000000" w:usb2="00000000" w:usb3="00000000" w:csb0="00000001" w:csb1="00000000"/>
  </w:font>
  <w:font w:name="Tahoma-Bold">
    <w:altName w:val="Tahoma"/>
    <w:panose1 w:val="00000000000000000000"/>
    <w:charset w:val="00"/>
    <w:family w:val="swiss"/>
    <w:notTrueType/>
    <w:pitch w:val="default"/>
    <w:sig w:usb0="00000003" w:usb1="00000000" w:usb2="00000000" w:usb3="00000000" w:csb0="00000001" w:csb1="00000000"/>
  </w:font>
  <w:font w:name="*Arial-Bold-6549-Identity-H">
    <w:altName w:val="Calibri"/>
    <w:panose1 w:val="00000000000000000000"/>
    <w:charset w:val="00"/>
    <w:family w:val="auto"/>
    <w:notTrueType/>
    <w:pitch w:val="default"/>
    <w:sig w:usb0="00000003" w:usb1="00000000" w:usb2="00000000" w:usb3="00000000" w:csb0="00000001" w:csb1="00000000"/>
  </w:font>
  <w:font w:name="*Arial-6548-Identity-H">
    <w:altName w:val="Calibri"/>
    <w:panose1 w:val="00000000000000000000"/>
    <w:charset w:val="00"/>
    <w:family w:val="auto"/>
    <w:notTrueType/>
    <w:pitch w:val="default"/>
    <w:sig w:usb0="00000003" w:usb1="00000000" w:usb2="00000000" w:usb3="00000000" w:csb0="00000001" w:csb1="00000000"/>
  </w:font>
  <w:font w:name="*Arial-Bold-7200-Identity-H">
    <w:altName w:val="Calibri"/>
    <w:panose1 w:val="00000000000000000000"/>
    <w:charset w:val="00"/>
    <w:family w:val="auto"/>
    <w:notTrueType/>
    <w:pitch w:val="default"/>
    <w:sig w:usb0="00000003" w:usb1="00000000" w:usb2="00000000" w:usb3="00000000" w:csb0="00000001" w:csb1="00000000"/>
  </w:font>
  <w:font w:name="*Arial-7199-Identity-H">
    <w:altName w:val="Calibri"/>
    <w:panose1 w:val="00000000000000000000"/>
    <w:charset w:val="00"/>
    <w:family w:val="auto"/>
    <w:notTrueType/>
    <w:pitch w:val="default"/>
    <w:sig w:usb0="00000003" w:usb1="00000000" w:usb2="00000000" w:usb3="00000000" w:csb0="00000001" w:csb1="00000000"/>
  </w:font>
  <w:font w:name="*Microsoft Sans Serif-7201-Iden">
    <w:altName w:val="Calibri"/>
    <w:panose1 w:val="00000000000000000000"/>
    <w:charset w:val="00"/>
    <w:family w:val="auto"/>
    <w:notTrueType/>
    <w:pitch w:val="default"/>
    <w:sig w:usb0="00000003" w:usb1="00000000" w:usb2="00000000" w:usb3="00000000" w:csb0="00000001" w:csb1="00000000"/>
  </w:font>
  <w:font w:name="*Arial-7378-Identity-H">
    <w:altName w:val="Calibri"/>
    <w:panose1 w:val="00000000000000000000"/>
    <w:charset w:val="00"/>
    <w:family w:val="auto"/>
    <w:notTrueType/>
    <w:pitch w:val="default"/>
    <w:sig w:usb0="00000003" w:usb1="00000000" w:usb2="00000000" w:usb3="00000000" w:csb0="00000001" w:csb1="00000000"/>
  </w:font>
  <w:font w:name="*Arial-7150-Identity-H">
    <w:altName w:val="Calibri"/>
    <w:panose1 w:val="00000000000000000000"/>
    <w:charset w:val="00"/>
    <w:family w:val="auto"/>
    <w:notTrueType/>
    <w:pitch w:val="default"/>
    <w:sig w:usb0="00000003" w:usb1="00000000" w:usb2="00000000" w:usb3="00000000" w:csb0="00000001" w:csb1="00000000"/>
  </w:font>
  <w:font w:name="*Arial-6865-Identity-H">
    <w:altName w:val="Calibri"/>
    <w:panose1 w:val="00000000000000000000"/>
    <w:charset w:val="00"/>
    <w:family w:val="auto"/>
    <w:notTrueType/>
    <w:pitch w:val="default"/>
    <w:sig w:usb0="00000003" w:usb1="00000000" w:usb2="00000000" w:usb3="00000000" w:csb0="00000001" w:csb1="00000000"/>
  </w:font>
  <w:font w:name="*Arial-6824-Identity-H">
    <w:altName w:val="Calibri"/>
    <w:panose1 w:val="00000000000000000000"/>
    <w:charset w:val="00"/>
    <w:family w:val="auto"/>
    <w:notTrueType/>
    <w:pitch w:val="default"/>
    <w:sig w:usb0="00000003" w:usb1="00000000" w:usb2="00000000" w:usb3="00000000" w:csb0="00000001" w:csb1="00000000"/>
  </w:font>
  <w:font w:name="*Arial-Bold-6825-Identity-H">
    <w:altName w:val="Calibri"/>
    <w:panose1 w:val="00000000000000000000"/>
    <w:charset w:val="00"/>
    <w:family w:val="auto"/>
    <w:notTrueType/>
    <w:pitch w:val="default"/>
    <w:sig w:usb0="00000003" w:usb1="00000000" w:usb2="00000000" w:usb3="00000000" w:csb0="00000001" w:csb1="00000000"/>
  </w:font>
  <w:font w:name="*Arial-7712-Identity-H">
    <w:altName w:val="Calibri"/>
    <w:panose1 w:val="00000000000000000000"/>
    <w:charset w:val="00"/>
    <w:family w:val="auto"/>
    <w:notTrueType/>
    <w:pitch w:val="default"/>
    <w:sig w:usb0="00000003" w:usb1="00000000" w:usb2="00000000" w:usb3="00000000" w:csb0="00000001" w:csb1="00000000"/>
  </w:font>
  <w:font w:name="*Arial-6741-Identity-H">
    <w:altName w:val="Calibri"/>
    <w:panose1 w:val="00000000000000000000"/>
    <w:charset w:val="00"/>
    <w:family w:val="auto"/>
    <w:notTrueType/>
    <w:pitch w:val="default"/>
    <w:sig w:usb0="00000003" w:usb1="00000000" w:usb2="00000000" w:usb3="00000000" w:csb0="00000001" w:csb1="00000000"/>
  </w:font>
  <w:font w:name="*Arial-Bold-6742-Identity-H">
    <w:altName w:val="Calibri"/>
    <w:panose1 w:val="00000000000000000000"/>
    <w:charset w:val="00"/>
    <w:family w:val="auto"/>
    <w:notTrueType/>
    <w:pitch w:val="default"/>
    <w:sig w:usb0="00000003" w:usb1="00000000" w:usb2="00000000" w:usb3="00000000" w:csb0="00000001" w:csb1="00000000"/>
  </w:font>
  <w:font w:name="*Microsoft Sans Serif-Bold-4374">
    <w:altName w:val="Calibri"/>
    <w:panose1 w:val="00000000000000000000"/>
    <w:charset w:val="00"/>
    <w:family w:val="auto"/>
    <w:notTrueType/>
    <w:pitch w:val="default"/>
    <w:sig w:usb0="00000003" w:usb1="00000000" w:usb2="00000000" w:usb3="00000000" w:csb0="00000001" w:csb1="00000000"/>
  </w:font>
  <w:font w:name="*Arial-Bold-8139-Identity-H">
    <w:altName w:val="Calibri"/>
    <w:panose1 w:val="00000000000000000000"/>
    <w:charset w:val="00"/>
    <w:family w:val="auto"/>
    <w:notTrueType/>
    <w:pitch w:val="default"/>
    <w:sig w:usb0="00000003" w:usb1="00000000" w:usb2="00000000" w:usb3="00000000" w:csb0="00000001" w:csb1="00000000"/>
  </w:font>
  <w:font w:name="*Arial-8140-Identity-H">
    <w:altName w:val="Calibri"/>
    <w:panose1 w:val="00000000000000000000"/>
    <w:charset w:val="00"/>
    <w:family w:val="auto"/>
    <w:notTrueType/>
    <w:pitch w:val="default"/>
    <w:sig w:usb0="00000003" w:usb1="00000000" w:usb2="00000000" w:usb3="00000000" w:csb0="00000001" w:csb1="00000000"/>
  </w:font>
  <w:font w:name="*Arial-8129-Identity-H">
    <w:altName w:val="Calibri"/>
    <w:panose1 w:val="00000000000000000000"/>
    <w:charset w:val="00"/>
    <w:family w:val="auto"/>
    <w:notTrueType/>
    <w:pitch w:val="default"/>
    <w:sig w:usb0="00000003" w:usb1="00000000" w:usb2="00000000" w:usb3="00000000" w:csb0="00000001" w:csb1="00000000"/>
  </w:font>
  <w:font w:name="*Arial-Bold-8130-Identity-H">
    <w:altName w:val="Calibri"/>
    <w:panose1 w:val="00000000000000000000"/>
    <w:charset w:val="00"/>
    <w:family w:val="auto"/>
    <w:notTrueType/>
    <w:pitch w:val="default"/>
    <w:sig w:usb0="00000003" w:usb1="00000000" w:usb2="00000000" w:usb3="00000000" w:csb0="00000001" w:csb1="00000000"/>
  </w:font>
  <w:font w:name="*Arial-8130-Identity-H">
    <w:altName w:val="Calibri"/>
    <w:panose1 w:val="00000000000000000000"/>
    <w:charset w:val="00"/>
    <w:family w:val="auto"/>
    <w:notTrueType/>
    <w:pitch w:val="default"/>
    <w:sig w:usb0="00000003" w:usb1="00000000" w:usb2="00000000" w:usb3="00000000" w:csb0="00000001" w:csb1="00000000"/>
  </w:font>
  <w:font w:name="*Arial-9157-Identity-H">
    <w:altName w:val="Calibri"/>
    <w:panose1 w:val="00000000000000000000"/>
    <w:charset w:val="00"/>
    <w:family w:val="auto"/>
    <w:notTrueType/>
    <w:pitch w:val="default"/>
    <w:sig w:usb0="00000003" w:usb1="00000000" w:usb2="00000000" w:usb3="00000000" w:csb0="00000001" w:csb1="00000000"/>
  </w:font>
  <w:font w:name="*Arial-Italic-9159-Identity-H">
    <w:altName w:val="Calibri"/>
    <w:panose1 w:val="00000000000000000000"/>
    <w:charset w:val="00"/>
    <w:family w:val="auto"/>
    <w:notTrueType/>
    <w:pitch w:val="default"/>
    <w:sig w:usb0="00000003" w:usb1="00000000" w:usb2="00000000" w:usb3="00000000" w:csb0="00000001" w:csb1="00000000"/>
  </w:font>
  <w:font w:name="*Microsoft Sans Serif-Italic-91">
    <w:altName w:val="Calibri"/>
    <w:panose1 w:val="00000000000000000000"/>
    <w:charset w:val="00"/>
    <w:family w:val="auto"/>
    <w:notTrueType/>
    <w:pitch w:val="default"/>
    <w:sig w:usb0="00000003" w:usb1="00000000" w:usb2="00000000" w:usb3="00000000" w:csb0="00000001" w:csb1="00000000"/>
  </w:font>
  <w:font w:name="*Arial-Bold-9158-Identity-H">
    <w:altName w:val="Calibri"/>
    <w:panose1 w:val="00000000000000000000"/>
    <w:charset w:val="00"/>
    <w:family w:val="auto"/>
    <w:notTrueType/>
    <w:pitch w:val="default"/>
    <w:sig w:usb0="00000003" w:usb1="00000000" w:usb2="00000000" w:usb3="00000000" w:csb0="00000001" w:csb1="00000000"/>
  </w:font>
  <w:font w:name="*Arial-7819-Identity-H">
    <w:altName w:val="Calibri"/>
    <w:panose1 w:val="00000000000000000000"/>
    <w:charset w:val="00"/>
    <w:family w:val="auto"/>
    <w:notTrueType/>
    <w:pitch w:val="default"/>
    <w:sig w:usb0="00000003" w:usb1="00000000" w:usb2="00000000" w:usb3="00000000" w:csb0="00000001" w:csb1="00000000"/>
  </w:font>
  <w:font w:name="*Arial-8411-Identity-H">
    <w:altName w:val="Calibri"/>
    <w:panose1 w:val="00000000000000000000"/>
    <w:charset w:val="00"/>
    <w:family w:val="auto"/>
    <w:notTrueType/>
    <w:pitch w:val="default"/>
    <w:sig w:usb0="00000003" w:usb1="00000000" w:usb2="00000000" w:usb3="00000000" w:csb0="00000001" w:csb1="00000000"/>
  </w:font>
  <w:font w:name="*Arial-Bold-8412-Identity-H">
    <w:altName w:val="Calibri"/>
    <w:panose1 w:val="00000000000000000000"/>
    <w:charset w:val="00"/>
    <w:family w:val="auto"/>
    <w:notTrueType/>
    <w:pitch w:val="default"/>
    <w:sig w:usb0="00000003" w:usb1="00000000" w:usb2="00000000" w:usb3="00000000" w:csb0="00000001" w:csb1="00000000"/>
  </w:font>
  <w:font w:name="*Verdana-Bold-8197-Identity-H">
    <w:altName w:val="Calibri"/>
    <w:panose1 w:val="00000000000000000000"/>
    <w:charset w:val="00"/>
    <w:family w:val="auto"/>
    <w:notTrueType/>
    <w:pitch w:val="default"/>
    <w:sig w:usb0="00000003" w:usb1="00000000" w:usb2="00000000" w:usb3="00000000" w:csb0="00000001" w:csb1="00000000"/>
  </w:font>
  <w:font w:name="*Tahoma-8198-Identity-H">
    <w:altName w:val="Calibri"/>
    <w:panose1 w:val="00000000000000000000"/>
    <w:charset w:val="00"/>
    <w:family w:val="auto"/>
    <w:notTrueType/>
    <w:pitch w:val="default"/>
    <w:sig w:usb0="00000003" w:usb1="00000000" w:usb2="00000000" w:usb3="00000000" w:csb0="00000001" w:csb1="00000000"/>
  </w:font>
  <w:font w:name="*Verdana-Bold-8196-Identity-H">
    <w:altName w:val="Calibri"/>
    <w:panose1 w:val="00000000000000000000"/>
    <w:charset w:val="00"/>
    <w:family w:val="auto"/>
    <w:notTrueType/>
    <w:pitch w:val="default"/>
    <w:sig w:usb0="00000003" w:usb1="00000000" w:usb2="00000000" w:usb3="00000000" w:csb0="00000001" w:csb1="00000000"/>
  </w:font>
  <w:font w:name="*Verdana-6289-Identity-H">
    <w:altName w:val="Calibri"/>
    <w:panose1 w:val="00000000000000000000"/>
    <w:charset w:val="00"/>
    <w:family w:val="auto"/>
    <w:notTrueType/>
    <w:pitch w:val="default"/>
    <w:sig w:usb0="00000003" w:usb1="00000000" w:usb2="00000000" w:usb3="00000000" w:csb0="00000001" w:csb1="00000000"/>
  </w:font>
  <w:font w:name="*Verdana-Bold-6290-Identity-H">
    <w:altName w:val="Calibri"/>
    <w:panose1 w:val="00000000000000000000"/>
    <w:charset w:val="00"/>
    <w:family w:val="auto"/>
    <w:notTrueType/>
    <w:pitch w:val="default"/>
    <w:sig w:usb0="00000003" w:usb1="00000000" w:usb2="00000000" w:usb3="00000000" w:csb0="00000001" w:csb1="00000000"/>
  </w:font>
  <w:font w:name="*Calibri-7455-Identity-H">
    <w:altName w:val="Calibri"/>
    <w:panose1 w:val="00000000000000000000"/>
    <w:charset w:val="00"/>
    <w:family w:val="auto"/>
    <w:notTrueType/>
    <w:pitch w:val="default"/>
    <w:sig w:usb0="00000003" w:usb1="00000000" w:usb2="00000000" w:usb3="00000000" w:csb0="00000001" w:csb1="00000000"/>
  </w:font>
  <w:font w:name="*Verdana-Bold-7457-Identity-H">
    <w:altName w:val="Calibri"/>
    <w:panose1 w:val="00000000000000000000"/>
    <w:charset w:val="00"/>
    <w:family w:val="auto"/>
    <w:notTrueType/>
    <w:pitch w:val="default"/>
    <w:sig w:usb0="00000003" w:usb1="00000000" w:usb2="00000000" w:usb3="00000000" w:csb0="00000001" w:csb1="00000000"/>
  </w:font>
  <w:font w:name="*Verdana-7520-Identity-H">
    <w:altName w:val="Calibri"/>
    <w:panose1 w:val="00000000000000000000"/>
    <w:charset w:val="00"/>
    <w:family w:val="auto"/>
    <w:notTrueType/>
    <w:pitch w:val="default"/>
    <w:sig w:usb0="00000003" w:usb1="00000000" w:usb2="00000000" w:usb3="00000000" w:csb0="00000001" w:csb1="00000000"/>
  </w:font>
  <w:font w:name="*Verdana-7420-Identity-H">
    <w:altName w:val="Calibri"/>
    <w:panose1 w:val="00000000000000000000"/>
    <w:charset w:val="00"/>
    <w:family w:val="auto"/>
    <w:notTrueType/>
    <w:pitch w:val="default"/>
    <w:sig w:usb0="00000003" w:usb1="00000000" w:usb2="00000000" w:usb3="00000000" w:csb0="00000001" w:csb1="00000000"/>
  </w:font>
  <w:font w:name="*Verdana-Italic-7521-Identity-H">
    <w:altName w:val="Calibri"/>
    <w:panose1 w:val="00000000000000000000"/>
    <w:charset w:val="00"/>
    <w:family w:val="auto"/>
    <w:notTrueType/>
    <w:pitch w:val="default"/>
    <w:sig w:usb0="00000003" w:usb1="00000000" w:usb2="00000000" w:usb3="00000000" w:csb0="00000001" w:csb1="00000000"/>
  </w:font>
  <w:font w:name="*Calibri-Italic-7418-Identity-H">
    <w:altName w:val="Calibri"/>
    <w:panose1 w:val="00000000000000000000"/>
    <w:charset w:val="00"/>
    <w:family w:val="auto"/>
    <w:notTrueType/>
    <w:pitch w:val="default"/>
    <w:sig w:usb0="00000003" w:usb1="00000000" w:usb2="00000000" w:usb3="00000000" w:csb0="00000001" w:csb1="00000000"/>
  </w:font>
  <w:font w:name="*Verdana-7067-Identity-H">
    <w:altName w:val="Calibri"/>
    <w:panose1 w:val="00000000000000000000"/>
    <w:charset w:val="00"/>
    <w:family w:val="auto"/>
    <w:notTrueType/>
    <w:pitch w:val="default"/>
    <w:sig w:usb0="00000003" w:usb1="00000000" w:usb2="00000000" w:usb3="00000000" w:csb0="00000001" w:csb1="00000000"/>
  </w:font>
  <w:font w:name="*Verdana-Bold-7069-Identity-H">
    <w:altName w:val="Calibri"/>
    <w:panose1 w:val="00000000000000000000"/>
    <w:charset w:val="00"/>
    <w:family w:val="auto"/>
    <w:notTrueType/>
    <w:pitch w:val="default"/>
    <w:sig w:usb0="00000003" w:usb1="00000000" w:usb2="00000000" w:usb3="00000000" w:csb0="00000001" w:csb1="00000000"/>
  </w:font>
  <w:font w:name="*Verdana-Italic-7068-Identity-H">
    <w:altName w:val="Calibri"/>
    <w:panose1 w:val="00000000000000000000"/>
    <w:charset w:val="00"/>
    <w:family w:val="auto"/>
    <w:notTrueType/>
    <w:pitch w:val="default"/>
    <w:sig w:usb0="00000003" w:usb1="00000000" w:usb2="00000000" w:usb3="00000000" w:csb0="00000001" w:csb1="00000000"/>
  </w:font>
  <w:font w:name="*Verdana-7186-Identity-H">
    <w:altName w:val="Calibri"/>
    <w:panose1 w:val="00000000000000000000"/>
    <w:charset w:val="00"/>
    <w:family w:val="auto"/>
    <w:notTrueType/>
    <w:pitch w:val="default"/>
    <w:sig w:usb0="00000003" w:usb1="00000000" w:usb2="00000000" w:usb3="00000000" w:csb0="00000001" w:csb1="00000000"/>
  </w:font>
  <w:font w:name="*Verdana-Bold-7188-Identity-H">
    <w:altName w:val="Calibri"/>
    <w:panose1 w:val="00000000000000000000"/>
    <w:charset w:val="00"/>
    <w:family w:val="auto"/>
    <w:notTrueType/>
    <w:pitch w:val="default"/>
    <w:sig w:usb0="00000003" w:usb1="00000000" w:usb2="00000000" w:usb3="00000000" w:csb0="00000001" w:csb1="00000000"/>
  </w:font>
  <w:font w:name="*Verdana-Italic-7187-Identity-H">
    <w:altName w:val="Calibri"/>
    <w:panose1 w:val="00000000000000000000"/>
    <w:charset w:val="00"/>
    <w:family w:val="auto"/>
    <w:notTrueType/>
    <w:pitch w:val="default"/>
    <w:sig w:usb0="00000003" w:usb1="00000000" w:usb2="00000000" w:usb3="00000000" w:csb0="00000001" w:csb1="00000000"/>
  </w:font>
  <w:font w:name="*Verdana-7131-Identity-H">
    <w:altName w:val="Calibri"/>
    <w:panose1 w:val="00000000000000000000"/>
    <w:charset w:val="00"/>
    <w:family w:val="auto"/>
    <w:notTrueType/>
    <w:pitch w:val="default"/>
    <w:sig w:usb0="00000003" w:usb1="00000000" w:usb2="00000000" w:usb3="00000000" w:csb0="00000001" w:csb1="00000000"/>
  </w:font>
  <w:font w:name="*Verdana-Bold-7133-Identity-H">
    <w:altName w:val="Calibri"/>
    <w:panose1 w:val="00000000000000000000"/>
    <w:charset w:val="00"/>
    <w:family w:val="auto"/>
    <w:notTrueType/>
    <w:pitch w:val="default"/>
    <w:sig w:usb0="00000003" w:usb1="00000000" w:usb2="00000000" w:usb3="00000000" w:csb0="00000001" w:csb1="00000000"/>
  </w:font>
  <w:font w:name="*Verdana-Italic-7132-Identity-H">
    <w:altName w:val="Calibri"/>
    <w:panose1 w:val="00000000000000000000"/>
    <w:charset w:val="00"/>
    <w:family w:val="auto"/>
    <w:notTrueType/>
    <w:pitch w:val="default"/>
    <w:sig w:usb0="00000003" w:usb1="00000000" w:usb2="00000000" w:usb3="00000000" w:csb0="00000001" w:csb1="00000000"/>
  </w:font>
  <w:font w:name="*Calibri-8649-Identity-H">
    <w:altName w:val="Calibri"/>
    <w:panose1 w:val="00000000000000000000"/>
    <w:charset w:val="00"/>
    <w:family w:val="auto"/>
    <w:notTrueType/>
    <w:pitch w:val="default"/>
    <w:sig w:usb0="00000003" w:usb1="00000000" w:usb2="00000000" w:usb3="00000000" w:csb0="00000001" w:csb1="00000000"/>
  </w:font>
  <w:font w:name="*Verdana-Italic-8652-Identity-H">
    <w:altName w:val="Calibri"/>
    <w:panose1 w:val="00000000000000000000"/>
    <w:charset w:val="00"/>
    <w:family w:val="auto"/>
    <w:notTrueType/>
    <w:pitch w:val="default"/>
    <w:sig w:usb0="00000003" w:usb1="00000000" w:usb2="00000000" w:usb3="00000000" w:csb0="00000001" w:csb1="00000000"/>
  </w:font>
  <w:font w:name="*Verdana-Bold-8651-Identity-H">
    <w:altName w:val="Calibri"/>
    <w:panose1 w:val="00000000000000000000"/>
    <w:charset w:val="00"/>
    <w:family w:val="auto"/>
    <w:notTrueType/>
    <w:pitch w:val="default"/>
    <w:sig w:usb0="00000003" w:usb1="00000000" w:usb2="00000000" w:usb3="00000000" w:csb0="00000001" w:csb1="00000000"/>
  </w:font>
  <w:font w:name="*Tahoma-Bold-8653-Identity-H">
    <w:altName w:val="Calibri"/>
    <w:panose1 w:val="00000000000000000000"/>
    <w:charset w:val="00"/>
    <w:family w:val="auto"/>
    <w:notTrueType/>
    <w:pitch w:val="default"/>
    <w:sig w:usb0="00000003" w:usb1="00000000" w:usb2="00000000" w:usb3="00000000" w:csb0="00000001" w:csb1="00000000"/>
  </w:font>
  <w:font w:name="*Verdana-8125-Identity-H">
    <w:altName w:val="Calibri"/>
    <w:panose1 w:val="00000000000000000000"/>
    <w:charset w:val="00"/>
    <w:family w:val="auto"/>
    <w:notTrueType/>
    <w:pitch w:val="default"/>
    <w:sig w:usb0="00000003" w:usb1="00000000" w:usb2="00000000" w:usb3="00000000" w:csb0="00000001" w:csb1="00000000"/>
  </w:font>
  <w:font w:name="*Tahoma-Bold-8129-Identity-H">
    <w:altName w:val="Calibri"/>
    <w:panose1 w:val="00000000000000000000"/>
    <w:charset w:val="00"/>
    <w:family w:val="auto"/>
    <w:notTrueType/>
    <w:pitch w:val="default"/>
    <w:sig w:usb0="00000003" w:usb1="00000000" w:usb2="00000000" w:usb3="00000000" w:csb0="00000001" w:csb1="00000000"/>
  </w:font>
  <w:font w:name="*Tahoma-Bold-8128-Identity-H">
    <w:altName w:val="Calibri"/>
    <w:panose1 w:val="00000000000000000000"/>
    <w:charset w:val="00"/>
    <w:family w:val="auto"/>
    <w:notTrueType/>
    <w:pitch w:val="default"/>
    <w:sig w:usb0="00000003" w:usb1="00000000" w:usb2="00000000" w:usb3="00000000" w:csb0="00000001" w:csb1="00000000"/>
  </w:font>
  <w:font w:name="*Verdana-Italic-8126-Identity-H">
    <w:altName w:val="Calibri"/>
    <w:panose1 w:val="00000000000000000000"/>
    <w:charset w:val="00"/>
    <w:family w:val="auto"/>
    <w:notTrueType/>
    <w:pitch w:val="default"/>
    <w:sig w:usb0="00000003" w:usb1="00000000" w:usb2="00000000" w:usb3="00000000" w:csb0="00000001" w:csb1="00000000"/>
  </w:font>
  <w:font w:name="*Verdana-8783-Identity-H">
    <w:altName w:val="Calibri"/>
    <w:panose1 w:val="00000000000000000000"/>
    <w:charset w:val="00"/>
    <w:family w:val="auto"/>
    <w:notTrueType/>
    <w:pitch w:val="default"/>
    <w:sig w:usb0="00000003" w:usb1="00000000" w:usb2="00000000" w:usb3="00000000" w:csb0="00000001" w:csb1="00000000"/>
  </w:font>
  <w:font w:name="*Verdana-Italic-8784-Identity-H">
    <w:altName w:val="Calibri"/>
    <w:panose1 w:val="00000000000000000000"/>
    <w:charset w:val="00"/>
    <w:family w:val="auto"/>
    <w:notTrueType/>
    <w:pitch w:val="default"/>
    <w:sig w:usb0="00000003" w:usb1="00000000" w:usb2="00000000" w:usb3="00000000" w:csb0="00000001" w:csb1="00000000"/>
  </w:font>
  <w:font w:name="*Verdana-Bold-8786-Identity-H">
    <w:altName w:val="Calibri"/>
    <w:panose1 w:val="00000000000000000000"/>
    <w:charset w:val="00"/>
    <w:family w:val="auto"/>
    <w:notTrueType/>
    <w:pitch w:val="default"/>
    <w:sig w:usb0="00000003" w:usb1="00000000" w:usb2="00000000" w:usb3="00000000" w:csb0="00000001" w:csb1="00000000"/>
  </w:font>
  <w:font w:name="*Verdana-Bold-8785-Identity-H">
    <w:altName w:val="Calibri"/>
    <w:panose1 w:val="00000000000000000000"/>
    <w:charset w:val="00"/>
    <w:family w:val="auto"/>
    <w:notTrueType/>
    <w:pitch w:val="default"/>
    <w:sig w:usb0="00000003" w:usb1="00000000" w:usb2="00000000" w:usb3="00000000" w:csb0="00000001" w:csb1="00000000"/>
  </w:font>
  <w:font w:name="*Verdana-8509-Identity-H">
    <w:altName w:val="Calibri"/>
    <w:panose1 w:val="00000000000000000000"/>
    <w:charset w:val="00"/>
    <w:family w:val="auto"/>
    <w:notTrueType/>
    <w:pitch w:val="default"/>
    <w:sig w:usb0="00000003" w:usb1="00000000" w:usb2="00000000" w:usb3="00000000" w:csb0="00000001" w:csb1="00000000"/>
  </w:font>
  <w:font w:name="*Verdana-Bold-8511-Identity-H">
    <w:altName w:val="Calibri"/>
    <w:panose1 w:val="00000000000000000000"/>
    <w:charset w:val="00"/>
    <w:family w:val="auto"/>
    <w:notTrueType/>
    <w:pitch w:val="default"/>
    <w:sig w:usb0="00000003" w:usb1="00000000" w:usb2="00000000" w:usb3="00000000" w:csb0="00000001" w:csb1="00000000"/>
  </w:font>
  <w:font w:name="*Verdana-Italic-8510-Identity-H">
    <w:altName w:val="Calibri"/>
    <w:panose1 w:val="00000000000000000000"/>
    <w:charset w:val="00"/>
    <w:family w:val="auto"/>
    <w:notTrueType/>
    <w:pitch w:val="default"/>
    <w:sig w:usb0="00000003" w:usb1="00000000" w:usb2="00000000" w:usb3="00000000" w:csb0="00000001" w:csb1="00000000"/>
  </w:font>
  <w:font w:name="*Calibri-Italic-8507-Identity-H">
    <w:altName w:val="Calibri"/>
    <w:panose1 w:val="00000000000000000000"/>
    <w:charset w:val="00"/>
    <w:family w:val="auto"/>
    <w:notTrueType/>
    <w:pitch w:val="default"/>
    <w:sig w:usb0="00000003" w:usb1="00000000" w:usb2="00000000" w:usb3="00000000" w:csb0="00000001" w:csb1="00000000"/>
  </w:font>
  <w:font w:name="*Tahoma-7682-Identity-H">
    <w:altName w:val="Calibri"/>
    <w:panose1 w:val="00000000000000000000"/>
    <w:charset w:val="00"/>
    <w:family w:val="auto"/>
    <w:notTrueType/>
    <w:pitch w:val="default"/>
    <w:sig w:usb0="00000003" w:usb1="00000000" w:usb2="00000000" w:usb3="00000000" w:csb0="00000001" w:csb1="00000000"/>
  </w:font>
  <w:font w:name="*Verdana-Italic-7680-Identity-H">
    <w:altName w:val="Calibri"/>
    <w:panose1 w:val="00000000000000000000"/>
    <w:charset w:val="00"/>
    <w:family w:val="auto"/>
    <w:notTrueType/>
    <w:pitch w:val="default"/>
    <w:sig w:usb0="00000003" w:usb1="00000000" w:usb2="00000000" w:usb3="00000000" w:csb0="00000001" w:csb1="00000000"/>
  </w:font>
  <w:font w:name="*Verdana-BoldItalic-7681-Identi">
    <w:altName w:val="Calibri"/>
    <w:panose1 w:val="00000000000000000000"/>
    <w:charset w:val="00"/>
    <w:family w:val="auto"/>
    <w:notTrueType/>
    <w:pitch w:val="default"/>
    <w:sig w:usb0="00000003" w:usb1="00000000" w:usb2="00000000" w:usb3="00000000" w:csb0="00000001" w:csb1="00000000"/>
  </w:font>
  <w:font w:name="*Times New Roman-BoldItalic-767">
    <w:altName w:val="Calibri"/>
    <w:panose1 w:val="00000000000000000000"/>
    <w:charset w:val="00"/>
    <w:family w:val="auto"/>
    <w:notTrueType/>
    <w:pitch w:val="default"/>
    <w:sig w:usb0="00000003" w:usb1="00000000" w:usb2="00000000" w:usb3="00000000" w:csb0="00000001" w:csb1="00000000"/>
  </w:font>
  <w:font w:name="*Verdana-Italic-7679-Identity-H">
    <w:altName w:val="Calibri"/>
    <w:panose1 w:val="00000000000000000000"/>
    <w:charset w:val="00"/>
    <w:family w:val="auto"/>
    <w:notTrueType/>
    <w:pitch w:val="default"/>
    <w:sig w:usb0="00000003" w:usb1="00000000" w:usb2="00000000" w:usb3="00000000" w:csb0="00000001" w:csb1="00000000"/>
  </w:font>
  <w:font w:name="*Tahoma-Italic-7683-Identity-H">
    <w:altName w:val="Calibri"/>
    <w:panose1 w:val="00000000000000000000"/>
    <w:charset w:val="00"/>
    <w:family w:val="auto"/>
    <w:notTrueType/>
    <w:pitch w:val="default"/>
    <w:sig w:usb0="00000003" w:usb1="00000000" w:usb2="00000000" w:usb3="00000000" w:csb0="00000001" w:csb1="00000000"/>
  </w:font>
  <w:font w:name="*Times New Roman-Italic-7671-Id">
    <w:altName w:val="Calibri"/>
    <w:panose1 w:val="00000000000000000000"/>
    <w:charset w:val="00"/>
    <w:family w:val="auto"/>
    <w:notTrueType/>
    <w:pitch w:val="default"/>
    <w:sig w:usb0="00000003" w:usb1="00000000" w:usb2="00000000" w:usb3="00000000" w:csb0="00000001" w:csb1="00000000"/>
  </w:font>
  <w:font w:name="*Times New Roman-Bold-7674-Iden">
    <w:altName w:val="Calibri"/>
    <w:panose1 w:val="00000000000000000000"/>
    <w:charset w:val="00"/>
    <w:family w:val="auto"/>
    <w:notTrueType/>
    <w:pitch w:val="default"/>
    <w:sig w:usb0="00000003" w:usb1="00000000" w:usb2="00000000" w:usb3="00000000" w:csb0="00000001" w:csb1="00000000"/>
  </w:font>
  <w:font w:name="*Times New Roman-Bold-7673-Iden">
    <w:altName w:val="Calibri"/>
    <w:panose1 w:val="00000000000000000000"/>
    <w:charset w:val="00"/>
    <w:family w:val="auto"/>
    <w:notTrueType/>
    <w:pitch w:val="default"/>
    <w:sig w:usb0="00000003" w:usb1="00000000" w:usb2="00000000" w:usb3="00000000" w:csb0="00000001" w:csb1="00000000"/>
  </w:font>
  <w:font w:name="*Tahoma-7267-Identity-H">
    <w:altName w:val="Calibri"/>
    <w:panose1 w:val="00000000000000000000"/>
    <w:charset w:val="00"/>
    <w:family w:val="auto"/>
    <w:notTrueType/>
    <w:pitch w:val="default"/>
    <w:sig w:usb0="00000003" w:usb1="00000000" w:usb2="00000000" w:usb3="00000000" w:csb0="00000001" w:csb1="00000000"/>
  </w:font>
  <w:font w:name="*Verdana-Bold-7678-Identity-H">
    <w:altName w:val="Calibri"/>
    <w:panose1 w:val="00000000000000000000"/>
    <w:charset w:val="00"/>
    <w:family w:val="auto"/>
    <w:notTrueType/>
    <w:pitch w:val="default"/>
    <w:sig w:usb0="00000003" w:usb1="00000000" w:usb2="00000000" w:usb3="00000000" w:csb0="00000001" w:csb1="00000000"/>
  </w:font>
  <w:font w:name="*Verdana-Bold-7677-Identity-H">
    <w:altName w:val="Calibri"/>
    <w:panose1 w:val="00000000000000000000"/>
    <w:charset w:val="00"/>
    <w:family w:val="auto"/>
    <w:notTrueType/>
    <w:pitch w:val="default"/>
    <w:sig w:usb0="00000003" w:usb1="00000000" w:usb2="00000000" w:usb3="00000000" w:csb0="00000001" w:csb1="00000000"/>
  </w:font>
  <w:font w:name="*Verdana-Italic-7266-Identity-H">
    <w:altName w:val="Calibri"/>
    <w:panose1 w:val="00000000000000000000"/>
    <w:charset w:val="00"/>
    <w:family w:val="auto"/>
    <w:notTrueType/>
    <w:pitch w:val="default"/>
    <w:sig w:usb0="00000003" w:usb1="00000000" w:usb2="00000000" w:usb3="00000000" w:csb0="00000001" w:csb1="00000000"/>
  </w:font>
  <w:font w:name="*Tahoma-Bold-5316-Identity-H">
    <w:altName w:val="Calibri"/>
    <w:panose1 w:val="00000000000000000000"/>
    <w:charset w:val="00"/>
    <w:family w:val="auto"/>
    <w:notTrueType/>
    <w:pitch w:val="default"/>
    <w:sig w:usb0="00000003" w:usb1="00000000" w:usb2="00000000" w:usb3="00000000" w:csb0="00000001" w:csb1="00000000"/>
  </w:font>
  <w:font w:name="*Verdana-Bold-5314-Identity-H">
    <w:altName w:val="Calibri"/>
    <w:panose1 w:val="00000000000000000000"/>
    <w:charset w:val="00"/>
    <w:family w:val="auto"/>
    <w:notTrueType/>
    <w:pitch w:val="default"/>
    <w:sig w:usb0="00000003" w:usb1="00000000" w:usb2="00000000" w:usb3="00000000" w:csb0="00000001" w:csb1="00000000"/>
  </w:font>
  <w:font w:name="*Verdana-5313-Identity-H">
    <w:altName w:val="Calibri"/>
    <w:panose1 w:val="00000000000000000000"/>
    <w:charset w:val="00"/>
    <w:family w:val="auto"/>
    <w:notTrueType/>
    <w:pitch w:val="default"/>
    <w:sig w:usb0="00000003" w:usb1="00000000" w:usb2="00000000" w:usb3="00000000" w:csb0="00000001" w:csb1="00000000"/>
  </w:font>
  <w:font w:name="*Arial-Bold-5311-Identity-H">
    <w:altName w:val="Calibri"/>
    <w:panose1 w:val="00000000000000000000"/>
    <w:charset w:val="00"/>
    <w:family w:val="auto"/>
    <w:notTrueType/>
    <w:pitch w:val="default"/>
    <w:sig w:usb0="00000003" w:usb1="00000000" w:usb2="00000000" w:usb3="00000000" w:csb0="00000001" w:csb1="00000000"/>
  </w:font>
  <w:font w:name="*Verdana-5315-Identity-H">
    <w:altName w:val="Calibri"/>
    <w:panose1 w:val="00000000000000000000"/>
    <w:charset w:val="00"/>
    <w:family w:val="auto"/>
    <w:notTrueType/>
    <w:pitch w:val="default"/>
    <w:sig w:usb0="00000003" w:usb1="00000000" w:usb2="00000000" w:usb3="00000000" w:csb0="00000001" w:csb1="00000000"/>
  </w:font>
  <w:font w:name="*Verdana-Bold-2839-Identity-H">
    <w:altName w:val="Calibri"/>
    <w:panose1 w:val="00000000000000000000"/>
    <w:charset w:val="00"/>
    <w:family w:val="auto"/>
    <w:notTrueType/>
    <w:pitch w:val="default"/>
    <w:sig w:usb0="00000003" w:usb1="00000000" w:usb2="00000000" w:usb3="00000000" w:csb0="00000001" w:csb1="00000000"/>
  </w:font>
  <w:font w:name="*Verdana-2840-Identity-H">
    <w:altName w:val="Calibri"/>
    <w:panose1 w:val="00000000000000000000"/>
    <w:charset w:val="00"/>
    <w:family w:val="auto"/>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Calibri-Bold-7941-Identity-H">
    <w:altName w:val="Calibri"/>
    <w:panose1 w:val="00000000000000000000"/>
    <w:charset w:val="00"/>
    <w:family w:val="auto"/>
    <w:notTrueType/>
    <w:pitch w:val="default"/>
    <w:sig w:usb0="00000003" w:usb1="00000000" w:usb2="00000000" w:usb3="00000000" w:csb0="00000001" w:csb1="00000000"/>
  </w:font>
  <w:font w:name="*Courier New-7943-Identity-H">
    <w:altName w:val="Calibri"/>
    <w:panose1 w:val="00000000000000000000"/>
    <w:charset w:val="00"/>
    <w:family w:val="auto"/>
    <w:notTrueType/>
    <w:pitch w:val="default"/>
    <w:sig w:usb0="00000003" w:usb1="00000000" w:usb2="00000000" w:usb3="00000000" w:csb0="00000001" w:csb1="00000000"/>
  </w:font>
  <w:font w:name="*Calibri-10445-Identity-H">
    <w:altName w:val="Calibri"/>
    <w:panose1 w:val="00000000000000000000"/>
    <w:charset w:val="00"/>
    <w:family w:val="auto"/>
    <w:notTrueType/>
    <w:pitch w:val="default"/>
    <w:sig w:usb0="00000003" w:usb1="00000000" w:usb2="00000000" w:usb3="00000000" w:csb0="00000001" w:csb1="00000000"/>
  </w:font>
  <w:font w:name="*Arial-10447-Identity-H">
    <w:altName w:val="Calibri"/>
    <w:panose1 w:val="00000000000000000000"/>
    <w:charset w:val="00"/>
    <w:family w:val="auto"/>
    <w:notTrueType/>
    <w:pitch w:val="default"/>
    <w:sig w:usb0="00000003" w:usb1="00000000" w:usb2="00000000" w:usb3="00000000" w:csb0="00000001" w:csb1="00000000"/>
  </w:font>
  <w:font w:name="*Arial-10448-Identity-H">
    <w:altName w:val="Calibri"/>
    <w:panose1 w:val="00000000000000000000"/>
    <w:charset w:val="00"/>
    <w:family w:val="auto"/>
    <w:notTrueType/>
    <w:pitch w:val="default"/>
    <w:sig w:usb0="00000003" w:usb1="00000000" w:usb2="00000000" w:usb3="00000000" w:csb0="00000001" w:csb1="00000000"/>
  </w:font>
  <w:font w:name="*Arial-Italic-9779-Identity-H">
    <w:altName w:val="Calibri"/>
    <w:panose1 w:val="00000000000000000000"/>
    <w:charset w:val="00"/>
    <w:family w:val="auto"/>
    <w:notTrueType/>
    <w:pitch w:val="default"/>
    <w:sig w:usb0="00000003" w:usb1="00000000" w:usb2="00000000" w:usb3="00000000" w:csb0="00000001" w:csb1="00000000"/>
  </w:font>
  <w:font w:name="*Calibri-9777-Identity-H">
    <w:altName w:val="Calibri"/>
    <w:panose1 w:val="00000000000000000000"/>
    <w:charset w:val="00"/>
    <w:family w:val="auto"/>
    <w:notTrueType/>
    <w:pitch w:val="default"/>
    <w:sig w:usb0="00000003" w:usb1="00000000" w:usb2="00000000" w:usb3="00000000" w:csb0="00000001" w:csb1="00000000"/>
  </w:font>
  <w:font w:name="*Comic Sans MS-Italic-9781-Iden">
    <w:altName w:val="Calibri"/>
    <w:panose1 w:val="00000000000000000000"/>
    <w:charset w:val="00"/>
    <w:family w:val="auto"/>
    <w:notTrueType/>
    <w:pitch w:val="default"/>
    <w:sig w:usb0="00000003" w:usb1="00000000" w:usb2="00000000" w:usb3="00000000" w:csb0="00000001" w:csb1="00000000"/>
  </w:font>
  <w:font w:name="*Microsoft Sans Serif-Italic-97">
    <w:altName w:val="Calibri"/>
    <w:panose1 w:val="00000000000000000000"/>
    <w:charset w:val="00"/>
    <w:family w:val="auto"/>
    <w:notTrueType/>
    <w:pitch w:val="default"/>
    <w:sig w:usb0="00000003" w:usb1="00000000" w:usb2="00000000" w:usb3="00000000" w:csb0="00000001" w:csb1="00000000"/>
  </w:font>
  <w:font w:name="*Times New Roman-Italic-9774-Id">
    <w:altName w:val="Calibri"/>
    <w:panose1 w:val="00000000000000000000"/>
    <w:charset w:val="00"/>
    <w:family w:val="auto"/>
    <w:notTrueType/>
    <w:pitch w:val="default"/>
    <w:sig w:usb0="00000003" w:usb1="00000000" w:usb2="00000000" w:usb3="00000000" w:csb0="00000001" w:csb1="00000000"/>
  </w:font>
  <w:font w:name="*Tahoma-Italic-9786-Identity-H">
    <w:altName w:val="Calibri"/>
    <w:panose1 w:val="00000000000000000000"/>
    <w:charset w:val="00"/>
    <w:family w:val="auto"/>
    <w:notTrueType/>
    <w:pitch w:val="default"/>
    <w:sig w:usb0="00000003" w:usb1="00000000" w:usb2="00000000" w:usb3="00000000" w:csb0="00000001" w:csb1="00000000"/>
  </w:font>
  <w:font w:name="*Verdana-9782-Identity-H">
    <w:altName w:val="Calibri"/>
    <w:panose1 w:val="00000000000000000000"/>
    <w:charset w:val="00"/>
    <w:family w:val="auto"/>
    <w:notTrueType/>
    <w:pitch w:val="default"/>
    <w:sig w:usb0="00000003" w:usb1="00000000" w:usb2="00000000" w:usb3="00000000" w:csb0="00000001" w:csb1="00000000"/>
  </w:font>
  <w:font w:name="*Calibri-Bold-9778-Identity-H">
    <w:altName w:val="Calibri"/>
    <w:panose1 w:val="00000000000000000000"/>
    <w:charset w:val="00"/>
    <w:family w:val="auto"/>
    <w:notTrueType/>
    <w:pitch w:val="default"/>
    <w:sig w:usb0="00000003" w:usb1="00000000" w:usb2="00000000" w:usb3="00000000" w:csb0="00000001" w:csb1="00000000"/>
  </w:font>
  <w:font w:name="*Arial-10104-Identity-H">
    <w:altName w:val="Calibri"/>
    <w:panose1 w:val="00000000000000000000"/>
    <w:charset w:val="00"/>
    <w:family w:val="auto"/>
    <w:notTrueType/>
    <w:pitch w:val="default"/>
    <w:sig w:usb0="00000003" w:usb1="00000000" w:usb2="00000000" w:usb3="00000000" w:csb0="00000001" w:csb1="00000000"/>
  </w:font>
  <w:font w:name="*Times New Roman-Italic-10101-I">
    <w:altName w:val="Calibri"/>
    <w:panose1 w:val="00000000000000000000"/>
    <w:charset w:val="00"/>
    <w:family w:val="auto"/>
    <w:notTrueType/>
    <w:pitch w:val="default"/>
    <w:sig w:usb0="00000003" w:usb1="00000000" w:usb2="00000000" w:usb3="00000000" w:csb0="00000001" w:csb1="00000000"/>
  </w:font>
  <w:font w:name="*Times New Roman-Italic-10099-I">
    <w:altName w:val="Calibri"/>
    <w:panose1 w:val="00000000000000000000"/>
    <w:charset w:val="00"/>
    <w:family w:val="auto"/>
    <w:notTrueType/>
    <w:pitch w:val="default"/>
    <w:sig w:usb0="00000003" w:usb1="00000000" w:usb2="00000000" w:usb3="00000000" w:csb0="00000001" w:csb1="00000000"/>
  </w:font>
  <w:font w:name="*Times New Roman-Italic-10100-I">
    <w:altName w:val="Calibri"/>
    <w:panose1 w:val="00000000000000000000"/>
    <w:charset w:val="00"/>
    <w:family w:val="auto"/>
    <w:notTrueType/>
    <w:pitch w:val="default"/>
    <w:sig w:usb0="00000003" w:usb1="00000000" w:usb2="00000000" w:usb3="00000000" w:csb0="00000001" w:csb1="00000000"/>
  </w:font>
  <w:font w:name="*Calibri-10103-Identity-H">
    <w:altName w:val="Calibri"/>
    <w:panose1 w:val="00000000000000000000"/>
    <w:charset w:val="00"/>
    <w:family w:val="auto"/>
    <w:notTrueType/>
    <w:pitch w:val="default"/>
    <w:sig w:usb0="00000003" w:usb1="00000000" w:usb2="00000000" w:usb3="00000000" w:csb0="00000001" w:csb1="00000000"/>
  </w:font>
  <w:font w:name="*Times New Roman-10098-Identity">
    <w:altName w:val="Calibri"/>
    <w:panose1 w:val="00000000000000000000"/>
    <w:charset w:val="00"/>
    <w:family w:val="auto"/>
    <w:notTrueType/>
    <w:pitch w:val="default"/>
    <w:sig w:usb0="00000003" w:usb1="00000000" w:usb2="00000000" w:usb3="00000000" w:csb0="00000001" w:csb1="00000000"/>
  </w:font>
  <w:font w:name="*Times New Roman-10097-Identity">
    <w:altName w:val="Calibri"/>
    <w:panose1 w:val="00000000000000000000"/>
    <w:charset w:val="00"/>
    <w:family w:val="auto"/>
    <w:notTrueType/>
    <w:pitch w:val="default"/>
    <w:sig w:usb0="00000003" w:usb1="00000000" w:usb2="00000000" w:usb3="00000000" w:csb0="00000001" w:csb1="00000000"/>
  </w:font>
  <w:font w:name="*Calibri-11053-Identity-H">
    <w:altName w:val="Calibri"/>
    <w:panose1 w:val="00000000000000000000"/>
    <w:charset w:val="00"/>
    <w:family w:val="auto"/>
    <w:notTrueType/>
    <w:pitch w:val="default"/>
    <w:sig w:usb0="00000003" w:usb1="00000000" w:usb2="00000000" w:usb3="00000000" w:csb0="00000001" w:csb1="00000000"/>
  </w:font>
  <w:font w:name="*Times New Roman-11050-Identity">
    <w:altName w:val="Calibri"/>
    <w:panose1 w:val="00000000000000000000"/>
    <w:charset w:val="00"/>
    <w:family w:val="auto"/>
    <w:notTrueType/>
    <w:pitch w:val="default"/>
    <w:sig w:usb0="00000003" w:usb1="00000000" w:usb2="00000000" w:usb3="00000000" w:csb0="00000001" w:csb1="00000000"/>
  </w:font>
  <w:font w:name="*Times New Roman-11049-Identity">
    <w:altName w:val="Calibri"/>
    <w:panose1 w:val="00000000000000000000"/>
    <w:charset w:val="00"/>
    <w:family w:val="auto"/>
    <w:notTrueType/>
    <w:pitch w:val="default"/>
    <w:sig w:usb0="00000003" w:usb1="00000000" w:usb2="00000000" w:usb3="00000000" w:csb0="00000001" w:csb1="00000000"/>
  </w:font>
  <w:font w:name="*Calibri-10110-Identity-H">
    <w:altName w:val="Calibri"/>
    <w:panose1 w:val="00000000000000000000"/>
    <w:charset w:val="00"/>
    <w:family w:val="auto"/>
    <w:notTrueType/>
    <w:pitch w:val="default"/>
    <w:sig w:usb0="00000003" w:usb1="00000000" w:usb2="00000000" w:usb3="00000000" w:csb0="00000001" w:csb1="00000000"/>
  </w:font>
  <w:font w:name="*Arial-10112-Identity-H">
    <w:altName w:val="Calibri"/>
    <w:panose1 w:val="00000000000000000000"/>
    <w:charset w:val="00"/>
    <w:family w:val="auto"/>
    <w:notTrueType/>
    <w:pitch w:val="default"/>
    <w:sig w:usb0="00000003" w:usb1="00000000" w:usb2="00000000" w:usb3="00000000" w:csb0="00000001" w:csb1="00000000"/>
  </w:font>
  <w:font w:name="*Times New Roman-Italic-10108-I">
    <w:altName w:val="Calibri"/>
    <w:panose1 w:val="00000000000000000000"/>
    <w:charset w:val="00"/>
    <w:family w:val="auto"/>
    <w:notTrueType/>
    <w:pitch w:val="default"/>
    <w:sig w:usb0="00000003" w:usb1="00000000" w:usb2="00000000" w:usb3="00000000" w:csb0="00000001" w:csb1="00000000"/>
  </w:font>
  <w:font w:name="*Times New Roman-Italic-10109-I">
    <w:altName w:val="Calibri"/>
    <w:panose1 w:val="00000000000000000000"/>
    <w:charset w:val="00"/>
    <w:family w:val="auto"/>
    <w:notTrueType/>
    <w:pitch w:val="default"/>
    <w:sig w:usb0="00000003" w:usb1="00000000" w:usb2="00000000" w:usb3="00000000" w:csb0="00000001" w:csb1="00000000"/>
  </w:font>
  <w:font w:name="*Times New Roman-10107-Identity">
    <w:altName w:val="Calibri"/>
    <w:panose1 w:val="00000000000000000000"/>
    <w:charset w:val="00"/>
    <w:family w:val="auto"/>
    <w:notTrueType/>
    <w:pitch w:val="default"/>
    <w:sig w:usb0="00000003" w:usb1="00000000" w:usb2="00000000" w:usb3="00000000" w:csb0="00000001" w:csb1="00000000"/>
  </w:font>
  <w:font w:name="*Times New Roman-10106-Identity">
    <w:altName w:val="Calibri"/>
    <w:panose1 w:val="00000000000000000000"/>
    <w:charset w:val="00"/>
    <w:family w:val="auto"/>
    <w:notTrueType/>
    <w:pitch w:val="default"/>
    <w:sig w:usb0="00000003" w:usb1="00000000" w:usb2="00000000" w:usb3="00000000" w:csb0="00000001" w:csb1="00000000"/>
  </w:font>
  <w:font w:name="*Calibri-7597-Identity-H">
    <w:altName w:val="Calibri"/>
    <w:panose1 w:val="00000000000000000000"/>
    <w:charset w:val="00"/>
    <w:family w:val="auto"/>
    <w:notTrueType/>
    <w:pitch w:val="default"/>
    <w:sig w:usb0="00000003" w:usb1="00000000" w:usb2="00000000" w:usb3="00000000" w:csb0="00000001" w:csb1="00000000"/>
  </w:font>
  <w:font w:name="*Verdana-7602-Identity-H">
    <w:altName w:val="Calibri"/>
    <w:panose1 w:val="00000000000000000000"/>
    <w:charset w:val="00"/>
    <w:family w:val="auto"/>
    <w:notTrueType/>
    <w:pitch w:val="default"/>
    <w:sig w:usb0="00000003" w:usb1="00000000" w:usb2="00000000" w:usb3="00000000" w:csb0="00000001" w:csb1="00000000"/>
  </w:font>
  <w:font w:name="*Calibri-7599-Identity-H">
    <w:altName w:val="Calibri"/>
    <w:panose1 w:val="00000000000000000000"/>
    <w:charset w:val="00"/>
    <w:family w:val="auto"/>
    <w:notTrueType/>
    <w:pitch w:val="default"/>
    <w:sig w:usb0="00000003" w:usb1="00000000" w:usb2="00000000" w:usb3="00000000" w:csb0="00000001" w:csb1="00000000"/>
  </w:font>
  <w:font w:name="*Calibri-Bold-7598-Identity-H">
    <w:altName w:val="Calibri"/>
    <w:panose1 w:val="00000000000000000000"/>
    <w:charset w:val="00"/>
    <w:family w:val="auto"/>
    <w:notTrueType/>
    <w:pitch w:val="default"/>
    <w:sig w:usb0="00000003" w:usb1="00000000" w:usb2="00000000" w:usb3="00000000" w:csb0="00000001" w:csb1="00000000"/>
  </w:font>
  <w:font w:name="*Calibri-7864-Identity-H">
    <w:altName w:val="Calibri"/>
    <w:panose1 w:val="00000000000000000000"/>
    <w:charset w:val="00"/>
    <w:family w:val="auto"/>
    <w:notTrueType/>
    <w:pitch w:val="default"/>
    <w:sig w:usb0="00000003" w:usb1="00000000" w:usb2="00000000" w:usb3="00000000" w:csb0="00000001" w:csb1="00000000"/>
  </w:font>
  <w:font w:name="*Calibri-7865-Identity-H">
    <w:altName w:val="Calibri"/>
    <w:panose1 w:val="00000000000000000000"/>
    <w:charset w:val="00"/>
    <w:family w:val="auto"/>
    <w:notTrueType/>
    <w:pitch w:val="default"/>
    <w:sig w:usb0="00000003" w:usb1="00000000" w:usb2="00000000" w:usb3="00000000" w:csb0="00000001" w:csb1="00000000"/>
  </w:font>
  <w:font w:name="*Microsoft Sans Serif-8687-Iden">
    <w:altName w:val="Calibri"/>
    <w:panose1 w:val="00000000000000000000"/>
    <w:charset w:val="00"/>
    <w:family w:val="auto"/>
    <w:notTrueType/>
    <w:pitch w:val="default"/>
    <w:sig w:usb0="00000003" w:usb1="00000000" w:usb2="00000000" w:usb3="00000000" w:csb0="00000001" w:csb1="00000000"/>
  </w:font>
  <w:font w:name="*Microsoft Sans Serif-8689-Iden">
    <w:altName w:val="Calibri"/>
    <w:panose1 w:val="00000000000000000000"/>
    <w:charset w:val="00"/>
    <w:family w:val="auto"/>
    <w:notTrueType/>
    <w:pitch w:val="default"/>
    <w:sig w:usb0="00000003" w:usb1="00000000" w:usb2="00000000" w:usb3="00000000" w:csb0="00000001" w:csb1="00000000"/>
  </w:font>
  <w:font w:name="*Microsoft Sans Serif-8688-Iden">
    <w:altName w:val="Calibri"/>
    <w:panose1 w:val="00000000000000000000"/>
    <w:charset w:val="00"/>
    <w:family w:val="auto"/>
    <w:notTrueType/>
    <w:pitch w:val="default"/>
    <w:sig w:usb0="00000003" w:usb1="00000000" w:usb2="00000000" w:usb3="00000000" w:csb0="00000001" w:csb1="00000000"/>
  </w:font>
  <w:font w:name="*Arial-8648-Identity-H">
    <w:altName w:val="Calibri"/>
    <w:panose1 w:val="00000000000000000000"/>
    <w:charset w:val="00"/>
    <w:family w:val="auto"/>
    <w:notTrueType/>
    <w:pitch w:val="default"/>
    <w:sig w:usb0="00000003" w:usb1="00000000" w:usb2="00000000" w:usb3="00000000" w:csb0="00000001" w:csb1="00000000"/>
  </w:font>
  <w:font w:name="*Microsoft Sans Serif-Italic-86">
    <w:altName w:val="Calibri"/>
    <w:panose1 w:val="00000000000000000000"/>
    <w:charset w:val="00"/>
    <w:family w:val="auto"/>
    <w:notTrueType/>
    <w:pitch w:val="default"/>
    <w:sig w:usb0="00000003" w:usb1="00000000" w:usb2="00000000" w:usb3="00000000" w:csb0="00000001" w:csb1="00000000"/>
  </w:font>
  <w:font w:name="*Courier New-7540-Identity-H">
    <w:altName w:val="Calibri"/>
    <w:panose1 w:val="00000000000000000000"/>
    <w:charset w:val="00"/>
    <w:family w:val="auto"/>
    <w:notTrueType/>
    <w:pitch w:val="default"/>
    <w:sig w:usb0="00000003" w:usb1="00000000" w:usb2="00000000" w:usb3="00000000" w:csb0="00000001" w:csb1="00000000"/>
  </w:font>
  <w:font w:name="*Calibri-8559-Identity-H">
    <w:altName w:val="Calibri"/>
    <w:panose1 w:val="00000000000000000000"/>
    <w:charset w:val="00"/>
    <w:family w:val="auto"/>
    <w:notTrueType/>
    <w:pitch w:val="default"/>
    <w:sig w:usb0="00000003" w:usb1="00000000" w:usb2="00000000" w:usb3="00000000" w:csb0="00000001" w:csb1="00000000"/>
  </w:font>
  <w:font w:name="*Courier New-7673-Identity-H">
    <w:altName w:val="Calibri"/>
    <w:panose1 w:val="00000000000000000000"/>
    <w:charset w:val="00"/>
    <w:family w:val="auto"/>
    <w:notTrueType/>
    <w:pitch w:val="default"/>
    <w:sig w:usb0="00000003" w:usb1="00000000" w:usb2="00000000" w:usb3="00000000" w:csb0="00000001" w:csb1="00000000"/>
  </w:font>
  <w:font w:name="*Calibri-Bold-7671-Identity-H">
    <w:altName w:val="Calibri"/>
    <w:panose1 w:val="00000000000000000000"/>
    <w:charset w:val="00"/>
    <w:family w:val="auto"/>
    <w:notTrueType/>
    <w:pitch w:val="default"/>
    <w:sig w:usb0="00000003" w:usb1="00000000" w:usb2="00000000" w:usb3="00000000" w:csb0="00000001" w:csb1="00000000"/>
  </w:font>
  <w:font w:name="*Verdana-7674-Identity-H">
    <w:altName w:val="Calibri"/>
    <w:panose1 w:val="00000000000000000000"/>
    <w:charset w:val="00"/>
    <w:family w:val="auto"/>
    <w:notTrueType/>
    <w:pitch w:val="default"/>
    <w:sig w:usb0="00000003" w:usb1="00000000" w:usb2="00000000" w:usb3="00000000" w:csb0="00000001" w:csb1="00000000"/>
  </w:font>
  <w:font w:name="*Microsoft Sans Serif-Bold-7053">
    <w:altName w:val="Calibri"/>
    <w:panose1 w:val="00000000000000000000"/>
    <w:charset w:val="00"/>
    <w:family w:val="auto"/>
    <w:notTrueType/>
    <w:pitch w:val="default"/>
    <w:sig w:usb0="00000003" w:usb1="00000000" w:usb2="00000000" w:usb3="00000000" w:csb0="00000001" w:csb1="00000000"/>
  </w:font>
  <w:font w:name="*Courier New-7051-Identity-H">
    <w:altName w:val="Calibri"/>
    <w:panose1 w:val="00000000000000000000"/>
    <w:charset w:val="00"/>
    <w:family w:val="auto"/>
    <w:notTrueType/>
    <w:pitch w:val="default"/>
    <w:sig w:usb0="00000003" w:usb1="00000000" w:usb2="00000000" w:usb3="00000000" w:csb0="00000001" w:csb1="00000000"/>
  </w:font>
  <w:font w:name="*Calibri-9143-Identity-H">
    <w:altName w:val="Calibri"/>
    <w:panose1 w:val="00000000000000000000"/>
    <w:charset w:val="00"/>
    <w:family w:val="auto"/>
    <w:notTrueType/>
    <w:pitch w:val="default"/>
    <w:sig w:usb0="00000003" w:usb1="00000000" w:usb2="00000000" w:usb3="00000000" w:csb0="00000001" w:csb1="00000000"/>
  </w:font>
  <w:font w:name="*Times New Roman-9141-Identity-">
    <w:altName w:val="Calibri"/>
    <w:panose1 w:val="00000000000000000000"/>
    <w:charset w:val="00"/>
    <w:family w:val="auto"/>
    <w:notTrueType/>
    <w:pitch w:val="default"/>
    <w:sig w:usb0="00000003" w:usb1="00000000" w:usb2="00000000" w:usb3="00000000" w:csb0="00000001" w:csb1="00000000"/>
  </w:font>
  <w:font w:name="*Comic Sans MS-Bold-9146-Identi">
    <w:altName w:val="Calibri"/>
    <w:panose1 w:val="00000000000000000000"/>
    <w:charset w:val="00"/>
    <w:family w:val="auto"/>
    <w:notTrueType/>
    <w:pitch w:val="default"/>
    <w:sig w:usb0="00000003" w:usb1="00000000" w:usb2="00000000" w:usb3="00000000" w:csb0="00000001" w:csb1="00000000"/>
  </w:font>
  <w:font w:name="*Courier New-9145-Identity-H">
    <w:altName w:val="Calibri"/>
    <w:panose1 w:val="00000000000000000000"/>
    <w:charset w:val="00"/>
    <w:family w:val="auto"/>
    <w:notTrueType/>
    <w:pitch w:val="default"/>
    <w:sig w:usb0="00000003" w:usb1="00000000" w:usb2="00000000" w:usb3="00000000" w:csb0="00000001" w:csb1="00000000"/>
  </w:font>
  <w:font w:name="*Verdana-9147-Identity-H">
    <w:altName w:val="Calibri"/>
    <w:panose1 w:val="00000000000000000000"/>
    <w:charset w:val="00"/>
    <w:family w:val="auto"/>
    <w:notTrueType/>
    <w:pitch w:val="default"/>
    <w:sig w:usb0="00000003" w:usb1="00000000" w:usb2="00000000" w:usb3="00000000" w:csb0="00000001" w:csb1="00000000"/>
  </w:font>
  <w:font w:name="*Calibri-9889-Identity-H">
    <w:altName w:val="Calibri"/>
    <w:panose1 w:val="00000000000000000000"/>
    <w:charset w:val="00"/>
    <w:family w:val="auto"/>
    <w:notTrueType/>
    <w:pitch w:val="default"/>
    <w:sig w:usb0="00000003" w:usb1="00000000" w:usb2="00000000" w:usb3="00000000" w:csb0="00000001" w:csb1="00000000"/>
  </w:font>
  <w:font w:name="*Verdana-Bold-9891-Identity-H">
    <w:altName w:val="Calibri"/>
    <w:panose1 w:val="00000000000000000000"/>
    <w:charset w:val="00"/>
    <w:family w:val="auto"/>
    <w:notTrueType/>
    <w:pitch w:val="default"/>
    <w:sig w:usb0="00000003" w:usb1="00000000" w:usb2="00000000" w:usb3="00000000" w:csb0="00000001" w:csb1="00000000"/>
  </w:font>
  <w:font w:name="*Times New Roman-Italic-9886-Id">
    <w:altName w:val="Calibri"/>
    <w:panose1 w:val="00000000000000000000"/>
    <w:charset w:val="00"/>
    <w:family w:val="auto"/>
    <w:notTrueType/>
    <w:pitch w:val="default"/>
    <w:sig w:usb0="00000003" w:usb1="00000000" w:usb2="00000000" w:usb3="00000000" w:csb0="00000001" w:csb1="00000000"/>
  </w:font>
  <w:font w:name="*Times New Roman-Italic-9887-Id">
    <w:altName w:val="Calibri"/>
    <w:panose1 w:val="00000000000000000000"/>
    <w:charset w:val="00"/>
    <w:family w:val="auto"/>
    <w:notTrueType/>
    <w:pitch w:val="default"/>
    <w:sig w:usb0="00000003" w:usb1="00000000" w:usb2="00000000" w:usb3="00000000" w:csb0="00000001" w:csb1="00000000"/>
  </w:font>
  <w:font w:name="*Microsoft Sans Serif-Italic-98">
    <w:altName w:val="Calibri"/>
    <w:panose1 w:val="00000000000000000000"/>
    <w:charset w:val="00"/>
    <w:family w:val="auto"/>
    <w:notTrueType/>
    <w:pitch w:val="default"/>
    <w:sig w:usb0="00000003" w:usb1="00000000" w:usb2="00000000" w:usb3="00000000" w:csb0="00000001" w:csb1="00000000"/>
  </w:font>
  <w:font w:name="*Calibri-9888-Identity-H">
    <w:altName w:val="Calibri"/>
    <w:panose1 w:val="00000000000000000000"/>
    <w:charset w:val="00"/>
    <w:family w:val="auto"/>
    <w:notTrueType/>
    <w:pitch w:val="default"/>
    <w:sig w:usb0="00000003" w:usb1="00000000" w:usb2="00000000" w:usb3="00000000" w:csb0="00000001" w:csb1="00000000"/>
  </w:font>
  <w:font w:name="*Arial-9890-Identity-H">
    <w:altName w:val="Calibri"/>
    <w:panose1 w:val="00000000000000000000"/>
    <w:charset w:val="00"/>
    <w:family w:val="auto"/>
    <w:notTrueType/>
    <w:pitch w:val="default"/>
    <w:sig w:usb0="00000003" w:usb1="00000000" w:usb2="00000000" w:usb3="00000000" w:csb0="00000001" w:csb1="00000000"/>
  </w:font>
  <w:font w:name="*Arial-Italic-10078-Identity-H">
    <w:altName w:val="Calibri"/>
    <w:panose1 w:val="00000000000000000000"/>
    <w:charset w:val="00"/>
    <w:family w:val="auto"/>
    <w:notTrueType/>
    <w:pitch w:val="default"/>
    <w:sig w:usb0="00000003" w:usb1="00000000" w:usb2="00000000" w:usb3="00000000" w:csb0="00000001" w:csb1="00000000"/>
  </w:font>
  <w:font w:name="*Verdana-10079-Identity-H">
    <w:altName w:val="Calibri"/>
    <w:panose1 w:val="00000000000000000000"/>
    <w:charset w:val="00"/>
    <w:family w:val="auto"/>
    <w:notTrueType/>
    <w:pitch w:val="default"/>
    <w:sig w:usb0="00000003" w:usb1="00000000" w:usb2="00000000" w:usb3="00000000" w:csb0="00000001" w:csb1="00000000"/>
  </w:font>
  <w:font w:name="*Calibri-10075-Identity-H">
    <w:altName w:val="Calibri"/>
    <w:panose1 w:val="00000000000000000000"/>
    <w:charset w:val="00"/>
    <w:family w:val="auto"/>
    <w:notTrueType/>
    <w:pitch w:val="default"/>
    <w:sig w:usb0="00000003" w:usb1="00000000" w:usb2="00000000" w:usb3="00000000" w:csb0="00000001" w:csb1="00000000"/>
  </w:font>
  <w:font w:name="*Times New Roman-10074-Identity">
    <w:altName w:val="Calibri"/>
    <w:panose1 w:val="00000000000000000000"/>
    <w:charset w:val="00"/>
    <w:family w:val="auto"/>
    <w:notTrueType/>
    <w:pitch w:val="default"/>
    <w:sig w:usb0="00000003" w:usb1="00000000" w:usb2="00000000" w:usb3="00000000" w:csb0="00000001" w:csb1="00000000"/>
  </w:font>
  <w:font w:name="*Microsoft Sans Serif-Italic-96">
    <w:altName w:val="Calibri"/>
    <w:panose1 w:val="00000000000000000000"/>
    <w:charset w:val="00"/>
    <w:family w:val="auto"/>
    <w:notTrueType/>
    <w:pitch w:val="default"/>
    <w:sig w:usb0="00000003" w:usb1="00000000" w:usb2="00000000" w:usb3="00000000" w:csb0="00000001" w:csb1="00000000"/>
  </w:font>
  <w:font w:name="*Times New Roman-9618-Identity-">
    <w:altName w:val="Calibri"/>
    <w:panose1 w:val="00000000000000000000"/>
    <w:charset w:val="00"/>
    <w:family w:val="auto"/>
    <w:notTrueType/>
    <w:pitch w:val="default"/>
    <w:sig w:usb0="00000003" w:usb1="00000000" w:usb2="00000000" w:usb3="00000000" w:csb0="00000001" w:csb1="00000000"/>
  </w:font>
  <w:font w:name="*Verdana-9620-Identity-H">
    <w:altName w:val="Calibri"/>
    <w:panose1 w:val="00000000000000000000"/>
    <w:charset w:val="00"/>
    <w:family w:val="auto"/>
    <w:notTrueType/>
    <w:pitch w:val="default"/>
    <w:sig w:usb0="00000003" w:usb1="00000000" w:usb2="00000000" w:usb3="00000000" w:csb0="00000001" w:csb1="00000000"/>
  </w:font>
  <w:font w:name="*Arial-9619-Identity-H">
    <w:altName w:val="Calibri"/>
    <w:panose1 w:val="00000000000000000000"/>
    <w:charset w:val="00"/>
    <w:family w:val="auto"/>
    <w:notTrueType/>
    <w:pitch w:val="default"/>
    <w:sig w:usb0="00000003" w:usb1="00000000" w:usb2="00000000" w:usb3="00000000" w:csb0="00000001" w:csb1="00000000"/>
  </w:font>
  <w:font w:name="*Calibri-10207-Identity-H">
    <w:altName w:val="Calibri"/>
    <w:panose1 w:val="00000000000000000000"/>
    <w:charset w:val="00"/>
    <w:family w:val="auto"/>
    <w:notTrueType/>
    <w:pitch w:val="default"/>
    <w:sig w:usb0="00000003" w:usb1="00000000" w:usb2="00000000" w:usb3="00000000" w:csb0="00000001" w:csb1="00000000"/>
  </w:font>
  <w:font w:name="*Calibri-10339-Identity-H">
    <w:altName w:val="Calibri"/>
    <w:panose1 w:val="00000000000000000000"/>
    <w:charset w:val="00"/>
    <w:family w:val="auto"/>
    <w:notTrueType/>
    <w:pitch w:val="default"/>
    <w:sig w:usb0="00000003" w:usb1="00000000" w:usb2="00000000" w:usb3="00000000" w:csb0="00000001" w:csb1="00000000"/>
  </w:font>
  <w:font w:name="*Arial-10341-Identity-H">
    <w:altName w:val="Calibri"/>
    <w:panose1 w:val="00000000000000000000"/>
    <w:charset w:val="00"/>
    <w:family w:val="auto"/>
    <w:notTrueType/>
    <w:pitch w:val="default"/>
    <w:sig w:usb0="00000003" w:usb1="00000000" w:usb2="00000000" w:usb3="00000000" w:csb0="00000001" w:csb1="00000000"/>
  </w:font>
  <w:font w:name="*Times New Roman-10337-Identity">
    <w:altName w:val="Calibri"/>
    <w:panose1 w:val="00000000000000000000"/>
    <w:charset w:val="00"/>
    <w:family w:val="auto"/>
    <w:notTrueType/>
    <w:pitch w:val="default"/>
    <w:sig w:usb0="00000003" w:usb1="00000000" w:usb2="00000000" w:usb3="00000000" w:csb0="00000001" w:csb1="00000000"/>
  </w:font>
  <w:font w:name="*Times New Roman-Italic-10338-I">
    <w:altName w:val="Calibri"/>
    <w:panose1 w:val="00000000000000000000"/>
    <w:charset w:val="00"/>
    <w:family w:val="auto"/>
    <w:notTrueType/>
    <w:pitch w:val="default"/>
    <w:sig w:usb0="00000003" w:usb1="00000000" w:usb2="00000000" w:usb3="00000000" w:csb0="00000001" w:csb1="00000000"/>
  </w:font>
  <w:font w:name="*Arial-9628-Identity-H">
    <w:altName w:val="Calibri"/>
    <w:panose1 w:val="00000000000000000000"/>
    <w:charset w:val="00"/>
    <w:family w:val="auto"/>
    <w:notTrueType/>
    <w:pitch w:val="default"/>
    <w:sig w:usb0="00000003" w:usb1="00000000" w:usb2="00000000" w:usb3="00000000" w:csb0="00000001" w:csb1="00000000"/>
  </w:font>
  <w:font w:name="*Times New Roman-Italic-9625-Id">
    <w:altName w:val="Calibri"/>
    <w:panose1 w:val="00000000000000000000"/>
    <w:charset w:val="00"/>
    <w:family w:val="auto"/>
    <w:notTrueType/>
    <w:pitch w:val="default"/>
    <w:sig w:usb0="00000003" w:usb1="00000000" w:usb2="00000000" w:usb3="00000000" w:csb0="00000001" w:csb1="00000000"/>
  </w:font>
  <w:font w:name="*Microsoft Sans Serif-9629-Iden">
    <w:altName w:val="Calibri"/>
    <w:panose1 w:val="00000000000000000000"/>
    <w:charset w:val="00"/>
    <w:family w:val="auto"/>
    <w:notTrueType/>
    <w:pitch w:val="default"/>
    <w:sig w:usb0="00000003" w:usb1="00000000" w:usb2="00000000" w:usb3="00000000" w:csb0="00000001" w:csb1="00000000"/>
  </w:font>
  <w:font w:name="*Calibri-Bold-9626-Identity-H">
    <w:altName w:val="Calibri"/>
    <w:panose1 w:val="00000000000000000000"/>
    <w:charset w:val="00"/>
    <w:family w:val="auto"/>
    <w:notTrueType/>
    <w:pitch w:val="default"/>
    <w:sig w:usb0="00000003" w:usb1="00000000" w:usb2="00000000" w:usb3="00000000" w:csb0="00000001" w:csb1="00000000"/>
  </w:font>
  <w:font w:name="*Arial-7976-Identity-H">
    <w:altName w:val="Calibri"/>
    <w:panose1 w:val="00000000000000000000"/>
    <w:charset w:val="00"/>
    <w:family w:val="auto"/>
    <w:notTrueType/>
    <w:pitch w:val="default"/>
    <w:sig w:usb0="00000003" w:usb1="00000000" w:usb2="00000000" w:usb3="00000000" w:csb0="00000001" w:csb1="00000000"/>
  </w:font>
  <w:font w:name="*Courier New-8482-Identity-H">
    <w:altName w:val="Calibri"/>
    <w:panose1 w:val="00000000000000000000"/>
    <w:charset w:val="00"/>
    <w:family w:val="auto"/>
    <w:notTrueType/>
    <w:pitch w:val="default"/>
    <w:sig w:usb0="00000003" w:usb1="00000000" w:usb2="00000000" w:usb3="00000000" w:csb0="00000001" w:csb1="00000000"/>
  </w:font>
  <w:font w:name="*Times New Roman-Italic-8480-Id">
    <w:altName w:val="Calibri"/>
    <w:panose1 w:val="00000000000000000000"/>
    <w:charset w:val="00"/>
    <w:family w:val="auto"/>
    <w:notTrueType/>
    <w:pitch w:val="default"/>
    <w:sig w:usb0="00000003" w:usb1="00000000" w:usb2="00000000" w:usb3="00000000" w:csb0="00000001" w:csb1="00000000"/>
  </w:font>
  <w:font w:name="*Verdana-8483-Identity-H">
    <w:altName w:val="Calibri"/>
    <w:panose1 w:val="00000000000000000000"/>
    <w:charset w:val="00"/>
    <w:family w:val="auto"/>
    <w:notTrueType/>
    <w:pitch w:val="default"/>
    <w:sig w:usb0="00000003" w:usb1="00000000" w:usb2="00000000" w:usb3="00000000" w:csb0="00000001" w:csb1="00000000"/>
  </w:font>
  <w:font w:name="*Arial-7247-Identity-H">
    <w:altName w:val="Calibri"/>
    <w:panose1 w:val="00000000000000000000"/>
    <w:charset w:val="00"/>
    <w:family w:val="auto"/>
    <w:notTrueType/>
    <w:pitch w:val="default"/>
    <w:sig w:usb0="00000003" w:usb1="00000000" w:usb2="00000000" w:usb3="00000000" w:csb0="00000001" w:csb1="00000000"/>
  </w:font>
  <w:font w:name="*Calibri-Bold-7246-Identity-H">
    <w:altName w:val="Calibri"/>
    <w:panose1 w:val="00000000000000000000"/>
    <w:charset w:val="00"/>
    <w:family w:val="auto"/>
    <w:notTrueType/>
    <w:pitch w:val="default"/>
    <w:sig w:usb0="00000003" w:usb1="00000000" w:usb2="00000000" w:usb3="00000000" w:csb0="00000001" w:csb1="00000000"/>
  </w:font>
  <w:font w:name="*Arial-7260-Identity-H">
    <w:altName w:val="Calibri"/>
    <w:panose1 w:val="00000000000000000000"/>
    <w:charset w:val="00"/>
    <w:family w:val="auto"/>
    <w:notTrueType/>
    <w:pitch w:val="default"/>
    <w:sig w:usb0="00000003" w:usb1="00000000" w:usb2="00000000" w:usb3="00000000" w:csb0="00000001" w:csb1="00000000"/>
  </w:font>
  <w:font w:name="*Arial-Bold-8668-Identity-H">
    <w:altName w:val="Calibri"/>
    <w:panose1 w:val="00000000000000000000"/>
    <w:charset w:val="00"/>
    <w:family w:val="auto"/>
    <w:notTrueType/>
    <w:pitch w:val="default"/>
    <w:sig w:usb0="00000003" w:usb1="00000000" w:usb2="00000000" w:usb3="00000000" w:csb0="00000001" w:csb1="00000000"/>
  </w:font>
  <w:font w:name="*Microsoft Sans Serif-8671-Iden">
    <w:altName w:val="Calibri"/>
    <w:panose1 w:val="00000000000000000000"/>
    <w:charset w:val="00"/>
    <w:family w:val="auto"/>
    <w:notTrueType/>
    <w:pitch w:val="default"/>
    <w:sig w:usb0="00000003" w:usb1="00000000" w:usb2="00000000" w:usb3="00000000" w:csb0="00000001" w:csb1="00000000"/>
  </w:font>
  <w:font w:name="*Calibri-12230-Identity-H">
    <w:altName w:val="Calibri"/>
    <w:panose1 w:val="00000000000000000000"/>
    <w:charset w:val="00"/>
    <w:family w:val="auto"/>
    <w:notTrueType/>
    <w:pitch w:val="default"/>
    <w:sig w:usb0="00000003" w:usb1="00000000" w:usb2="00000000" w:usb3="00000000" w:csb0="00000001" w:csb1="00000000"/>
  </w:font>
  <w:font w:name="*Calibri-Bold-12231-Identity-H">
    <w:altName w:val="Calibri"/>
    <w:panose1 w:val="00000000000000000000"/>
    <w:charset w:val="00"/>
    <w:family w:val="auto"/>
    <w:notTrueType/>
    <w:pitch w:val="default"/>
    <w:sig w:usb0="00000003" w:usb1="00000000" w:usb2="00000000" w:usb3="00000000" w:csb0="00000001" w:csb1="00000000"/>
  </w:font>
  <w:font w:name="*Arial-12234-Identity-H">
    <w:altName w:val="Calibri"/>
    <w:panose1 w:val="00000000000000000000"/>
    <w:charset w:val="00"/>
    <w:family w:val="auto"/>
    <w:notTrueType/>
    <w:pitch w:val="default"/>
    <w:sig w:usb0="00000003" w:usb1="00000000" w:usb2="00000000" w:usb3="00000000" w:csb0="00000001" w:csb1="00000000"/>
  </w:font>
  <w:font w:name="*Microsoft Sans Serif-12236-Ide">
    <w:altName w:val="Calibri"/>
    <w:panose1 w:val="00000000000000000000"/>
    <w:charset w:val="00"/>
    <w:family w:val="auto"/>
    <w:notTrueType/>
    <w:pitch w:val="default"/>
    <w:sig w:usb0="00000003" w:usb1="00000000" w:usb2="00000000" w:usb3="00000000" w:csb0="00000001" w:csb1="00000000"/>
  </w:font>
  <w:font w:name="*Microsoft Sans Serif-Italic-12">
    <w:altName w:val="Calibri"/>
    <w:panose1 w:val="00000000000000000000"/>
    <w:charset w:val="00"/>
    <w:family w:val="auto"/>
    <w:notTrueType/>
    <w:pitch w:val="default"/>
    <w:sig w:usb0="00000003" w:usb1="00000000" w:usb2="00000000" w:usb3="00000000" w:csb0="00000001" w:csb1="00000000"/>
  </w:font>
  <w:font w:name="*Arial-12233-Identity-H">
    <w:altName w:val="Calibri"/>
    <w:panose1 w:val="00000000000000000000"/>
    <w:charset w:val="00"/>
    <w:family w:val="auto"/>
    <w:notTrueType/>
    <w:pitch w:val="default"/>
    <w:sig w:usb0="00000003" w:usb1="00000000" w:usb2="00000000" w:usb3="00000000" w:csb0="00000001" w:csb1="00000000"/>
  </w:font>
  <w:font w:name="*Tahoma-Italic-13421-Identity-H">
    <w:altName w:val="Calibri"/>
    <w:panose1 w:val="00000000000000000000"/>
    <w:charset w:val="00"/>
    <w:family w:val="auto"/>
    <w:notTrueType/>
    <w:pitch w:val="default"/>
    <w:sig w:usb0="00000003" w:usb1="00000000" w:usb2="00000000" w:usb3="00000000" w:csb0="00000001" w:csb1="00000000"/>
  </w:font>
  <w:font w:name="*Times New Roman-12228-Identity">
    <w:altName w:val="Calibri"/>
    <w:panose1 w:val="00000000000000000000"/>
    <w:charset w:val="00"/>
    <w:family w:val="auto"/>
    <w:notTrueType/>
    <w:pitch w:val="default"/>
    <w:sig w:usb0="00000003" w:usb1="00000000" w:usb2="00000000" w:usb3="00000000" w:csb0="00000001" w:csb1="00000000"/>
  </w:font>
  <w:font w:name="*Times New Roman-12227-Identity">
    <w:altName w:val="Calibri"/>
    <w:panose1 w:val="00000000000000000000"/>
    <w:charset w:val="00"/>
    <w:family w:val="auto"/>
    <w:notTrueType/>
    <w:pitch w:val="default"/>
    <w:sig w:usb0="00000003" w:usb1="00000000" w:usb2="00000000" w:usb3="00000000" w:csb0="00000001" w:csb1="00000000"/>
  </w:font>
  <w:font w:name="*Verdana-13418-Identity-H">
    <w:altName w:val="Calibri"/>
    <w:panose1 w:val="00000000000000000000"/>
    <w:charset w:val="00"/>
    <w:family w:val="auto"/>
    <w:notTrueType/>
    <w:pitch w:val="default"/>
    <w:sig w:usb0="00000003" w:usb1="00000000" w:usb2="00000000" w:usb3="00000000" w:csb0="00000001" w:csb1="00000000"/>
  </w:font>
  <w:font w:name="*Times New Roman-13415-Identity">
    <w:altName w:val="Calibri"/>
    <w:panose1 w:val="00000000000000000000"/>
    <w:charset w:val="00"/>
    <w:family w:val="auto"/>
    <w:notTrueType/>
    <w:pitch w:val="default"/>
    <w:sig w:usb0="00000003" w:usb1="00000000" w:usb2="00000000" w:usb3="00000000" w:csb0="00000001" w:csb1="00000000"/>
  </w:font>
  <w:font w:name="*Microsoft Sans Serif-11079-Ide">
    <w:altName w:val="Calibri"/>
    <w:panose1 w:val="00000000000000000000"/>
    <w:charset w:val="00"/>
    <w:family w:val="auto"/>
    <w:notTrueType/>
    <w:pitch w:val="default"/>
    <w:sig w:usb0="00000003" w:usb1="00000000" w:usb2="00000000" w:usb3="00000000" w:csb0="00000001" w:csb1="00000000"/>
  </w:font>
  <w:font w:name="*Times New Roman-11071-Identity">
    <w:altName w:val="Calibri"/>
    <w:panose1 w:val="00000000000000000000"/>
    <w:charset w:val="00"/>
    <w:family w:val="auto"/>
    <w:notTrueType/>
    <w:pitch w:val="default"/>
    <w:sig w:usb0="00000003" w:usb1="00000000" w:usb2="00000000" w:usb3="00000000" w:csb0="00000001" w:csb1="00000000"/>
  </w:font>
  <w:font w:name="*Calibri-11077-Identity-H">
    <w:altName w:val="Calibri"/>
    <w:panose1 w:val="00000000000000000000"/>
    <w:charset w:val="00"/>
    <w:family w:val="auto"/>
    <w:notTrueType/>
    <w:pitch w:val="default"/>
    <w:sig w:usb0="00000003" w:usb1="00000000" w:usb2="00000000" w:usb3="00000000" w:csb0="00000001" w:csb1="00000000"/>
  </w:font>
  <w:font w:name="*Microsoft Sans Serif-6255-Iden">
    <w:altName w:val="Calibri"/>
    <w:panose1 w:val="00000000000000000000"/>
    <w:charset w:val="00"/>
    <w:family w:val="auto"/>
    <w:notTrueType/>
    <w:pitch w:val="default"/>
    <w:sig w:usb0="00000003" w:usb1="00000000" w:usb2="00000000" w:usb3="00000000" w:csb0="00000001" w:csb1="00000000"/>
  </w:font>
  <w:font w:name="*Arial-Bold-6254-Identity-H">
    <w:altName w:val="Calibri"/>
    <w:panose1 w:val="00000000000000000000"/>
    <w:charset w:val="00"/>
    <w:family w:val="auto"/>
    <w:notTrueType/>
    <w:pitch w:val="default"/>
    <w:sig w:usb0="00000003" w:usb1="00000000" w:usb2="00000000" w:usb3="00000000" w:csb0="00000001" w:csb1="00000000"/>
  </w:font>
  <w:font w:name="*Arial-Bold-5435-Identity-H">
    <w:altName w:val="Calibri"/>
    <w:panose1 w:val="00000000000000000000"/>
    <w:charset w:val="00"/>
    <w:family w:val="auto"/>
    <w:notTrueType/>
    <w:pitch w:val="default"/>
    <w:sig w:usb0="00000003" w:usb1="00000000" w:usb2="00000000" w:usb3="00000000" w:csb0="00000001" w:csb1="00000000"/>
  </w:font>
  <w:font w:name="*Arial-5433-Identity-H">
    <w:altName w:val="Calibri"/>
    <w:panose1 w:val="00000000000000000000"/>
    <w:charset w:val="00"/>
    <w:family w:val="auto"/>
    <w:notTrueType/>
    <w:pitch w:val="default"/>
    <w:sig w:usb0="00000003" w:usb1="00000000" w:usb2="00000000" w:usb3="00000000" w:csb0="00000001" w:csb1="00000000"/>
  </w:font>
  <w:font w:name="*Arial-Bold-5434-Identity-H">
    <w:altName w:val="Calibri"/>
    <w:panose1 w:val="00000000000000000000"/>
    <w:charset w:val="00"/>
    <w:family w:val="auto"/>
    <w:notTrueType/>
    <w:pitch w:val="default"/>
    <w:sig w:usb0="00000003" w:usb1="00000000" w:usb2="00000000" w:usb3="00000000" w:csb0="00000001" w:csb1="00000000"/>
  </w:font>
  <w:font w:name="*Microsoft Sans Serif-Bold-5436">
    <w:altName w:val="Calibri"/>
    <w:panose1 w:val="00000000000000000000"/>
    <w:charset w:val="00"/>
    <w:family w:val="auto"/>
    <w:notTrueType/>
    <w:pitch w:val="default"/>
    <w:sig w:usb0="00000003" w:usb1="00000000" w:usb2="00000000" w:usb3="00000000" w:csb0="00000001" w:csb1="00000000"/>
  </w:font>
  <w:font w:name="*Arial-5282-Identity-H">
    <w:altName w:val="Calibri"/>
    <w:panose1 w:val="00000000000000000000"/>
    <w:charset w:val="00"/>
    <w:family w:val="auto"/>
    <w:notTrueType/>
    <w:pitch w:val="default"/>
    <w:sig w:usb0="00000003" w:usb1="00000000" w:usb2="00000000" w:usb3="00000000" w:csb0="00000001" w:csb1="00000000"/>
  </w:font>
  <w:font w:name="*Microsoft Sans Serif-Bold-5284">
    <w:altName w:val="Calibri"/>
    <w:panose1 w:val="00000000000000000000"/>
    <w:charset w:val="00"/>
    <w:family w:val="auto"/>
    <w:notTrueType/>
    <w:pitch w:val="default"/>
    <w:sig w:usb0="00000003" w:usb1="00000000" w:usb2="00000000" w:usb3="00000000" w:csb0="00000001" w:csb1="00000000"/>
  </w:font>
  <w:font w:name="*Arial-Bold-5283-Identity-H">
    <w:altName w:val="Calibri"/>
    <w:panose1 w:val="00000000000000000000"/>
    <w:charset w:val="00"/>
    <w:family w:val="auto"/>
    <w:notTrueType/>
    <w:pitch w:val="default"/>
    <w:sig w:usb0="00000003" w:usb1="00000000" w:usb2="00000000" w:usb3="00000000" w:csb0="00000001" w:csb1="00000000"/>
  </w:font>
  <w:font w:name="*Arial-5106-Identity-H">
    <w:altName w:val="Calibri"/>
    <w:panose1 w:val="00000000000000000000"/>
    <w:charset w:val="00"/>
    <w:family w:val="auto"/>
    <w:notTrueType/>
    <w:pitch w:val="default"/>
    <w:sig w:usb0="00000003" w:usb1="00000000" w:usb2="00000000" w:usb3="00000000" w:csb0="00000001" w:csb1="00000000"/>
  </w:font>
  <w:font w:name="*Arial-5588-Identity-H">
    <w:altName w:val="Calibri"/>
    <w:panose1 w:val="00000000000000000000"/>
    <w:charset w:val="00"/>
    <w:family w:val="auto"/>
    <w:notTrueType/>
    <w:pitch w:val="default"/>
    <w:sig w:usb0="00000003" w:usb1="00000000" w:usb2="00000000" w:usb3="00000000" w:csb0="00000001" w:csb1="00000000"/>
  </w:font>
  <w:font w:name="*Arial-Bold-6107-Identity-H">
    <w:altName w:val="Calibri"/>
    <w:panose1 w:val="00000000000000000000"/>
    <w:charset w:val="00"/>
    <w:family w:val="auto"/>
    <w:notTrueType/>
    <w:pitch w:val="default"/>
    <w:sig w:usb0="00000003" w:usb1="00000000" w:usb2="00000000" w:usb3="00000000" w:csb0="00000001" w:csb1="00000000"/>
  </w:font>
  <w:font w:name="*Microsoft Sans Serif-6108-Iden">
    <w:altName w:val="Calibri"/>
    <w:panose1 w:val="00000000000000000000"/>
    <w:charset w:val="00"/>
    <w:family w:val="auto"/>
    <w:notTrueType/>
    <w:pitch w:val="default"/>
    <w:sig w:usb0="00000003" w:usb1="00000000" w:usb2="00000000" w:usb3="00000000" w:csb0="00000001" w:csb1="00000000"/>
  </w:font>
  <w:font w:name="*Arial-6105-Identity-H">
    <w:altName w:val="Calibri"/>
    <w:panose1 w:val="00000000000000000000"/>
    <w:charset w:val="00"/>
    <w:family w:val="auto"/>
    <w:notTrueType/>
    <w:pitch w:val="default"/>
    <w:sig w:usb0="00000003" w:usb1="00000000" w:usb2="00000000" w:usb3="00000000" w:csb0="00000001" w:csb1="00000000"/>
  </w:font>
  <w:font w:name="*Arial-Bold-6106-Identity-H">
    <w:altName w:val="Calibri"/>
    <w:panose1 w:val="00000000000000000000"/>
    <w:charset w:val="00"/>
    <w:family w:val="auto"/>
    <w:notTrueType/>
    <w:pitch w:val="default"/>
    <w:sig w:usb0="00000003" w:usb1="00000000" w:usb2="00000000" w:usb3="00000000" w:csb0="00000001" w:csb1="00000000"/>
  </w:font>
  <w:font w:name="*Arial-5918-Identity-H">
    <w:altName w:val="Calibri"/>
    <w:panose1 w:val="00000000000000000000"/>
    <w:charset w:val="00"/>
    <w:family w:val="auto"/>
    <w:notTrueType/>
    <w:pitch w:val="default"/>
    <w:sig w:usb0="00000003" w:usb1="00000000" w:usb2="00000000" w:usb3="00000000" w:csb0="00000001" w:csb1="00000000"/>
  </w:font>
  <w:font w:name="*Arial-5811-Identity-H">
    <w:altName w:val="Calibri"/>
    <w:panose1 w:val="00000000000000000000"/>
    <w:charset w:val="00"/>
    <w:family w:val="auto"/>
    <w:notTrueType/>
    <w:pitch w:val="default"/>
    <w:sig w:usb0="00000003" w:usb1="00000000" w:usb2="00000000" w:usb3="00000000" w:csb0="00000001" w:csb1="00000000"/>
  </w:font>
  <w:font w:name="*Microsoft Sans Serif-7877-Iden">
    <w:altName w:val="Calibri"/>
    <w:panose1 w:val="00000000000000000000"/>
    <w:charset w:val="00"/>
    <w:family w:val="auto"/>
    <w:notTrueType/>
    <w:pitch w:val="default"/>
    <w:sig w:usb0="00000003" w:usb1="00000000" w:usb2="00000000" w:usb3="00000000" w:csb0="00000001" w:csb1="00000000"/>
  </w:font>
  <w:font w:name="*Times New Roman-Italic-7872-Id">
    <w:altName w:val="Calibri"/>
    <w:panose1 w:val="00000000000000000000"/>
    <w:charset w:val="00"/>
    <w:family w:val="auto"/>
    <w:notTrueType/>
    <w:pitch w:val="default"/>
    <w:sig w:usb0="00000003" w:usb1="00000000" w:usb2="00000000" w:usb3="00000000" w:csb0="00000001" w:csb1="00000000"/>
  </w:font>
  <w:font w:name="*Arial-Italic-7874-Identity-H">
    <w:altName w:val="Calibri"/>
    <w:panose1 w:val="00000000000000000000"/>
    <w:charset w:val="00"/>
    <w:family w:val="auto"/>
    <w:notTrueType/>
    <w:pitch w:val="default"/>
    <w:sig w:usb0="00000003" w:usb1="00000000" w:usb2="00000000" w:usb3="00000000" w:csb0="00000001" w:csb1="00000000"/>
  </w:font>
  <w:font w:name="*Arial-7873-Identity-H">
    <w:altName w:val="Calibri"/>
    <w:panose1 w:val="00000000000000000000"/>
    <w:charset w:val="00"/>
    <w:family w:val="auto"/>
    <w:notTrueType/>
    <w:pitch w:val="default"/>
    <w:sig w:usb0="00000003" w:usb1="00000000" w:usb2="00000000" w:usb3="00000000" w:csb0="00000001" w:csb1="00000000"/>
  </w:font>
  <w:font w:name="*Microsoft Sans Serif-Bold-7875">
    <w:altName w:val="Calibri"/>
    <w:panose1 w:val="00000000000000000000"/>
    <w:charset w:val="00"/>
    <w:family w:val="auto"/>
    <w:notTrueType/>
    <w:pitch w:val="default"/>
    <w:sig w:usb0="00000003" w:usb1="00000000" w:usb2="00000000" w:usb3="00000000" w:csb0="00000001" w:csb1="00000000"/>
  </w:font>
  <w:font w:name="*Arial-6504-Identity-H">
    <w:altName w:val="Calibri"/>
    <w:panose1 w:val="00000000000000000000"/>
    <w:charset w:val="00"/>
    <w:family w:val="auto"/>
    <w:notTrueType/>
    <w:pitch w:val="default"/>
    <w:sig w:usb0="00000003" w:usb1="00000000" w:usb2="00000000" w:usb3="00000000" w:csb0="00000001" w:csb1="00000000"/>
  </w:font>
  <w:font w:name="*Arial-Italic-6505-Identity-H">
    <w:altName w:val="Calibri"/>
    <w:panose1 w:val="00000000000000000000"/>
    <w:charset w:val="00"/>
    <w:family w:val="auto"/>
    <w:notTrueType/>
    <w:pitch w:val="default"/>
    <w:sig w:usb0="00000003" w:usb1="00000000" w:usb2="00000000" w:usb3="00000000" w:csb0="00000001" w:csb1="00000000"/>
  </w:font>
  <w:font w:name="*Arial-4340-Identity-H">
    <w:altName w:val="Calibri"/>
    <w:panose1 w:val="00000000000000000000"/>
    <w:charset w:val="00"/>
    <w:family w:val="auto"/>
    <w:notTrueType/>
    <w:pitch w:val="default"/>
    <w:sig w:usb0="00000003" w:usb1="00000000" w:usb2="00000000" w:usb3="00000000" w:csb0="00000001" w:csb1="00000000"/>
  </w:font>
  <w:font w:name="*Arial-Bold-4341-Identity-H">
    <w:altName w:val="Calibri"/>
    <w:panose1 w:val="00000000000000000000"/>
    <w:charset w:val="00"/>
    <w:family w:val="auto"/>
    <w:notTrueType/>
    <w:pitch w:val="default"/>
    <w:sig w:usb0="00000003" w:usb1="00000000" w:usb2="00000000" w:usb3="00000000" w:csb0="00000001" w:csb1="00000000"/>
  </w:font>
  <w:font w:name="*Arial-5921-Identity-H">
    <w:altName w:val="Calibri"/>
    <w:panose1 w:val="00000000000000000000"/>
    <w:charset w:val="00"/>
    <w:family w:val="auto"/>
    <w:notTrueType/>
    <w:pitch w:val="default"/>
    <w:sig w:usb0="00000003" w:usb1="00000000" w:usb2="00000000" w:usb3="00000000" w:csb0="00000001" w:csb1="00000000"/>
  </w:font>
  <w:font w:name="*Arial-Italic-5922-Identity-H">
    <w:altName w:val="Calibri"/>
    <w:panose1 w:val="00000000000000000000"/>
    <w:charset w:val="00"/>
    <w:family w:val="auto"/>
    <w:notTrueType/>
    <w:pitch w:val="default"/>
    <w:sig w:usb0="00000003" w:usb1="00000000" w:usb2="00000000" w:usb3="00000000" w:csb0="00000001" w:csb1="00000000"/>
  </w:font>
  <w:font w:name="*Arial-Bold-5082-Identity-H">
    <w:altName w:val="Calibri"/>
    <w:panose1 w:val="00000000000000000000"/>
    <w:charset w:val="00"/>
    <w:family w:val="auto"/>
    <w:notTrueType/>
    <w:pitch w:val="default"/>
    <w:sig w:usb0="00000003" w:usb1="00000000" w:usb2="00000000" w:usb3="00000000" w:csb0="00000001" w:csb1="00000000"/>
  </w:font>
  <w:font w:name="*Arial-5083-Identity-H">
    <w:altName w:val="Calibri"/>
    <w:panose1 w:val="00000000000000000000"/>
    <w:charset w:val="00"/>
    <w:family w:val="auto"/>
    <w:notTrueType/>
    <w:pitch w:val="default"/>
    <w:sig w:usb0="00000003" w:usb1="00000000" w:usb2="00000000" w:usb3="00000000" w:csb0="00000001" w:csb1="00000000"/>
  </w:font>
  <w:font w:name="*Arial-5081-Identity-H">
    <w:altName w:val="Calibri"/>
    <w:panose1 w:val="00000000000000000000"/>
    <w:charset w:val="00"/>
    <w:family w:val="auto"/>
    <w:notTrueType/>
    <w:pitch w:val="default"/>
    <w:sig w:usb0="00000003" w:usb1="00000000" w:usb2="00000000" w:usb3="00000000" w:csb0="00000001" w:csb1="00000000"/>
  </w:font>
  <w:font w:name="*Arial-6098-Identity-H">
    <w:altName w:val="Calibri"/>
    <w:panose1 w:val="00000000000000000000"/>
    <w:charset w:val="00"/>
    <w:family w:val="auto"/>
    <w:notTrueType/>
    <w:pitch w:val="default"/>
    <w:sig w:usb0="00000003" w:usb1="00000000" w:usb2="00000000" w:usb3="00000000" w:csb0="00000001" w:csb1="00000000"/>
  </w:font>
  <w:font w:name="*Arial-Italic-6099-Identity-H">
    <w:altName w:val="Calibri"/>
    <w:panose1 w:val="00000000000000000000"/>
    <w:charset w:val="00"/>
    <w:family w:val="auto"/>
    <w:notTrueType/>
    <w:pitch w:val="default"/>
    <w:sig w:usb0="00000003" w:usb1="00000000" w:usb2="00000000" w:usb3="00000000" w:csb0="00000001" w:csb1="00000000"/>
  </w:font>
  <w:font w:name="*Times New Roman-Italic-6097-Id">
    <w:altName w:val="Calibri"/>
    <w:panose1 w:val="00000000000000000000"/>
    <w:charset w:val="00"/>
    <w:family w:val="auto"/>
    <w:notTrueType/>
    <w:pitch w:val="default"/>
    <w:sig w:usb0="00000003" w:usb1="00000000" w:usb2="00000000" w:usb3="00000000" w:csb0="00000001" w:csb1="00000000"/>
  </w:font>
  <w:font w:name="*Arial-5531-Identity-H">
    <w:altName w:val="Calibri"/>
    <w:panose1 w:val="00000000000000000000"/>
    <w:charset w:val="00"/>
    <w:family w:val="auto"/>
    <w:notTrueType/>
    <w:pitch w:val="default"/>
    <w:sig w:usb0="00000003" w:usb1="00000000" w:usb2="00000000" w:usb3="00000000" w:csb0="00000001" w:csb1="00000000"/>
  </w:font>
  <w:font w:name="*Arial-Italic-5532-Identity-H">
    <w:altName w:val="Calibri"/>
    <w:panose1 w:val="00000000000000000000"/>
    <w:charset w:val="00"/>
    <w:family w:val="auto"/>
    <w:notTrueType/>
    <w:pitch w:val="default"/>
    <w:sig w:usb0="00000003" w:usb1="00000000" w:usb2="00000000" w:usb3="00000000" w:csb0="00000001" w:csb1="00000000"/>
  </w:font>
  <w:font w:name="*Times New Roman-Italic-5529-Id">
    <w:altName w:val="Calibri"/>
    <w:panose1 w:val="00000000000000000000"/>
    <w:charset w:val="00"/>
    <w:family w:val="auto"/>
    <w:notTrueType/>
    <w:pitch w:val="default"/>
    <w:sig w:usb0="00000003" w:usb1="00000000" w:usb2="00000000" w:usb3="00000000" w:csb0="00000001" w:csb1="00000000"/>
  </w:font>
  <w:font w:name="*Arial-5719-Identity-H">
    <w:altName w:val="Calibri"/>
    <w:panose1 w:val="00000000000000000000"/>
    <w:charset w:val="00"/>
    <w:family w:val="auto"/>
    <w:notTrueType/>
    <w:pitch w:val="default"/>
    <w:sig w:usb0="00000003" w:usb1="00000000" w:usb2="00000000" w:usb3="00000000" w:csb0="00000001" w:csb1="00000000"/>
  </w:font>
  <w:font w:name="*Arial-5255-Identity-H">
    <w:altName w:val="Calibri"/>
    <w:panose1 w:val="00000000000000000000"/>
    <w:charset w:val="00"/>
    <w:family w:val="auto"/>
    <w:notTrueType/>
    <w:pitch w:val="default"/>
    <w:sig w:usb0="00000003" w:usb1="00000000" w:usb2="00000000" w:usb3="00000000" w:csb0="00000001" w:csb1="00000000"/>
  </w:font>
  <w:font w:name="*Arial-Bold-4838-Identity-H">
    <w:altName w:val="Calibri"/>
    <w:panose1 w:val="00000000000000000000"/>
    <w:charset w:val="00"/>
    <w:family w:val="auto"/>
    <w:notTrueType/>
    <w:pitch w:val="default"/>
    <w:sig w:usb0="00000003" w:usb1="00000000" w:usb2="00000000" w:usb3="00000000" w:csb0="00000001" w:csb1="00000000"/>
  </w:font>
  <w:font w:name="*Arial-4837-Identity-H">
    <w:altName w:val="Calibri"/>
    <w:panose1 w:val="00000000000000000000"/>
    <w:charset w:val="00"/>
    <w:family w:val="auto"/>
    <w:notTrueType/>
    <w:pitch w:val="default"/>
    <w:sig w:usb0="00000003" w:usb1="00000000" w:usb2="00000000" w:usb3="00000000" w:csb0="00000001" w:csb1="00000000"/>
  </w:font>
  <w:font w:name="*Arial-5917-Identity-H">
    <w:altName w:val="Calibri"/>
    <w:panose1 w:val="00000000000000000000"/>
    <w:charset w:val="00"/>
    <w:family w:val="auto"/>
    <w:notTrueType/>
    <w:pitch w:val="default"/>
    <w:sig w:usb0="00000003" w:usb1="00000000" w:usb2="00000000" w:usb3="00000000" w:csb0="00000001" w:csb1="00000000"/>
  </w:font>
  <w:font w:name="*Arial-Bold-5918-Identity-H">
    <w:altName w:val="Calibri"/>
    <w:panose1 w:val="00000000000000000000"/>
    <w:charset w:val="00"/>
    <w:family w:val="auto"/>
    <w:notTrueType/>
    <w:pitch w:val="default"/>
    <w:sig w:usb0="00000003" w:usb1="00000000" w:usb2="00000000" w:usb3="00000000" w:csb0="00000001" w:csb1="00000000"/>
  </w:font>
  <w:font w:name="*Arial-4016-Identity-H">
    <w:altName w:val="Calibri"/>
    <w:panose1 w:val="00000000000000000000"/>
    <w:charset w:val="00"/>
    <w:family w:val="auto"/>
    <w:notTrueType/>
    <w:pitch w:val="default"/>
    <w:sig w:usb0="00000003" w:usb1="00000000" w:usb2="00000000" w:usb3="00000000" w:csb0="00000001" w:csb1="00000000"/>
  </w:font>
  <w:font w:name="*Arial-6038-Identity-H">
    <w:altName w:val="Calibri"/>
    <w:panose1 w:val="00000000000000000000"/>
    <w:charset w:val="00"/>
    <w:family w:val="auto"/>
    <w:notTrueType/>
    <w:pitch w:val="default"/>
    <w:sig w:usb0="00000003" w:usb1="00000000" w:usb2="00000000" w:usb3="00000000" w:csb0="00000001" w:csb1="00000000"/>
  </w:font>
  <w:font w:name="*Arial-Bold-6153-Identity-H">
    <w:altName w:val="Calibri"/>
    <w:panose1 w:val="00000000000000000000"/>
    <w:charset w:val="00"/>
    <w:family w:val="auto"/>
    <w:notTrueType/>
    <w:pitch w:val="default"/>
    <w:sig w:usb0="00000003" w:usb1="00000000" w:usb2="00000000" w:usb3="00000000" w:csb0="00000001" w:csb1="00000000"/>
  </w:font>
  <w:font w:name="*Arial-6150-Identity-H">
    <w:altName w:val="Calibri"/>
    <w:panose1 w:val="00000000000000000000"/>
    <w:charset w:val="00"/>
    <w:family w:val="auto"/>
    <w:notTrueType/>
    <w:pitch w:val="default"/>
    <w:sig w:usb0="00000003" w:usb1="00000000" w:usb2="00000000" w:usb3="00000000" w:csb0="00000001" w:csb1="00000000"/>
  </w:font>
  <w:font w:name="*Arial-Italic-6152-Identity-H">
    <w:altName w:val="Calibri"/>
    <w:panose1 w:val="00000000000000000000"/>
    <w:charset w:val="00"/>
    <w:family w:val="auto"/>
    <w:notTrueType/>
    <w:pitch w:val="default"/>
    <w:sig w:usb0="00000003" w:usb1="00000000" w:usb2="00000000" w:usb3="00000000" w:csb0="00000001" w:csb1="00000000"/>
  </w:font>
  <w:font w:name="*Arial-Bold-6151-Identity-H">
    <w:altName w:val="Calibri"/>
    <w:panose1 w:val="00000000000000000000"/>
    <w:charset w:val="00"/>
    <w:family w:val="auto"/>
    <w:notTrueType/>
    <w:pitch w:val="default"/>
    <w:sig w:usb0="00000003" w:usb1="00000000" w:usb2="00000000" w:usb3="00000000" w:csb0="00000001" w:csb1="00000000"/>
  </w:font>
  <w:font w:name="*Microsoft Sans Serif-Bold-6154">
    <w:altName w:val="Calibri"/>
    <w:panose1 w:val="00000000000000000000"/>
    <w:charset w:val="00"/>
    <w:family w:val="auto"/>
    <w:notTrueType/>
    <w:pitch w:val="default"/>
    <w:sig w:usb0="00000003" w:usb1="00000000" w:usb2="00000000" w:usb3="00000000" w:csb0="00000001" w:csb1="00000000"/>
  </w:font>
  <w:font w:name="*Arial-5288-Identity-H">
    <w:altName w:val="Calibri"/>
    <w:panose1 w:val="00000000000000000000"/>
    <w:charset w:val="00"/>
    <w:family w:val="auto"/>
    <w:notTrueType/>
    <w:pitch w:val="default"/>
    <w:sig w:usb0="00000003" w:usb1="00000000" w:usb2="00000000" w:usb3="00000000" w:csb0="00000001" w:csb1="00000000"/>
  </w:font>
  <w:font w:name="*Arial-Bold-5289-Identity-H">
    <w:altName w:val="Calibri"/>
    <w:panose1 w:val="00000000000000000000"/>
    <w:charset w:val="00"/>
    <w:family w:val="auto"/>
    <w:notTrueType/>
    <w:pitch w:val="default"/>
    <w:sig w:usb0="00000003" w:usb1="00000000" w:usb2="00000000" w:usb3="00000000" w:csb0="00000001" w:csb1="00000000"/>
  </w:font>
  <w:font w:name="*Arial-5827-Identity-H">
    <w:altName w:val="Calibri"/>
    <w:panose1 w:val="00000000000000000000"/>
    <w:charset w:val="00"/>
    <w:family w:val="auto"/>
    <w:notTrueType/>
    <w:pitch w:val="default"/>
    <w:sig w:usb0="00000003" w:usb1="00000000" w:usb2="00000000" w:usb3="00000000" w:csb0="00000001" w:csb1="00000000"/>
  </w:font>
  <w:font w:name="*Arial-Italic-5828-Identity-H">
    <w:altName w:val="Calibri"/>
    <w:panose1 w:val="00000000000000000000"/>
    <w:charset w:val="00"/>
    <w:family w:val="auto"/>
    <w:notTrueType/>
    <w:pitch w:val="default"/>
    <w:sig w:usb0="00000003" w:usb1="00000000" w:usb2="00000000" w:usb3="00000000" w:csb0="00000001" w:csb1="00000000"/>
  </w:font>
  <w:font w:name="*Arial-5694-Identity-H">
    <w:altName w:val="Calibri"/>
    <w:panose1 w:val="00000000000000000000"/>
    <w:charset w:val="00"/>
    <w:family w:val="auto"/>
    <w:notTrueType/>
    <w:pitch w:val="default"/>
    <w:sig w:usb0="00000003" w:usb1="00000000" w:usb2="00000000" w:usb3="00000000" w:csb0="00000001" w:csb1="00000000"/>
  </w:font>
  <w:font w:name="*Arial-5873-Identity-H">
    <w:altName w:val="Calibri"/>
    <w:panose1 w:val="00000000000000000000"/>
    <w:charset w:val="00"/>
    <w:family w:val="auto"/>
    <w:notTrueType/>
    <w:pitch w:val="default"/>
    <w:sig w:usb0="00000003" w:usb1="00000000" w:usb2="00000000" w:usb3="00000000" w:csb0="00000001" w:csb1="00000000"/>
  </w:font>
  <w:font w:name="*Arial-Bold-5874-Identity-H">
    <w:altName w:val="Calibri"/>
    <w:panose1 w:val="00000000000000000000"/>
    <w:charset w:val="00"/>
    <w:family w:val="auto"/>
    <w:notTrueType/>
    <w:pitch w:val="default"/>
    <w:sig w:usb0="00000003" w:usb1="00000000" w:usb2="00000000" w:usb3="00000000" w:csb0="00000001" w:csb1="00000000"/>
  </w:font>
  <w:font w:name="*Arial-5935-Identity-H">
    <w:altName w:val="Calibri"/>
    <w:panose1 w:val="00000000000000000000"/>
    <w:charset w:val="00"/>
    <w:family w:val="auto"/>
    <w:notTrueType/>
    <w:pitch w:val="default"/>
    <w:sig w:usb0="00000003" w:usb1="00000000" w:usb2="00000000" w:usb3="00000000" w:csb0="00000001" w:csb1="00000000"/>
  </w:font>
  <w:font w:name="*Arial-5851-Identity-H">
    <w:altName w:val="Calibri"/>
    <w:panose1 w:val="00000000000000000000"/>
    <w:charset w:val="00"/>
    <w:family w:val="auto"/>
    <w:notTrueType/>
    <w:pitch w:val="default"/>
    <w:sig w:usb0="00000003" w:usb1="00000000" w:usb2="00000000" w:usb3="00000000" w:csb0="00000001" w:csb1="00000000"/>
  </w:font>
  <w:font w:name="*Arial-5617-Identity-H">
    <w:altName w:val="Calibri"/>
    <w:panose1 w:val="00000000000000000000"/>
    <w:charset w:val="00"/>
    <w:family w:val="auto"/>
    <w:notTrueType/>
    <w:pitch w:val="default"/>
    <w:sig w:usb0="00000003" w:usb1="00000000" w:usb2="00000000" w:usb3="00000000" w:csb0="00000001" w:csb1="00000000"/>
  </w:font>
  <w:font w:name="*Arial-Italic-5852-Identity-H">
    <w:altName w:val="Calibri"/>
    <w:panose1 w:val="00000000000000000000"/>
    <w:charset w:val="00"/>
    <w:family w:val="auto"/>
    <w:notTrueType/>
    <w:pitch w:val="default"/>
    <w:sig w:usb0="00000003" w:usb1="00000000" w:usb2="00000000" w:usb3="00000000" w:csb0="00000001" w:csb1="00000000"/>
  </w:font>
  <w:font w:name="*Arial-Italic-5619-Identity-H">
    <w:altName w:val="Calibri"/>
    <w:panose1 w:val="00000000000000000000"/>
    <w:charset w:val="00"/>
    <w:family w:val="auto"/>
    <w:notTrueType/>
    <w:pitch w:val="default"/>
    <w:sig w:usb0="00000003" w:usb1="00000000" w:usb2="00000000" w:usb3="00000000" w:csb0="00000001" w:csb1="00000000"/>
  </w:font>
  <w:font w:name="*Arial-5618-Identity-H">
    <w:altName w:val="Calibri"/>
    <w:panose1 w:val="00000000000000000000"/>
    <w:charset w:val="00"/>
    <w:family w:val="auto"/>
    <w:notTrueType/>
    <w:pitch w:val="default"/>
    <w:sig w:usb0="00000003" w:usb1="00000000" w:usb2="00000000" w:usb3="00000000" w:csb0="00000001" w:csb1="00000000"/>
  </w:font>
  <w:font w:name="*Arial-6416-Identity-H">
    <w:altName w:val="Calibri"/>
    <w:panose1 w:val="00000000000000000000"/>
    <w:charset w:val="00"/>
    <w:family w:val="auto"/>
    <w:notTrueType/>
    <w:pitch w:val="default"/>
    <w:sig w:usb0="00000003" w:usb1="00000000" w:usb2="00000000" w:usb3="00000000" w:csb0="00000001" w:csb1="00000000"/>
  </w:font>
  <w:font w:name="*Arial-Italic-6418-Identity-H">
    <w:altName w:val="Calibri"/>
    <w:panose1 w:val="00000000000000000000"/>
    <w:charset w:val="00"/>
    <w:family w:val="auto"/>
    <w:notTrueType/>
    <w:pitch w:val="default"/>
    <w:sig w:usb0="00000003" w:usb1="00000000" w:usb2="00000000" w:usb3="00000000" w:csb0="00000001" w:csb1="00000000"/>
  </w:font>
  <w:font w:name="*Arial-Bold-6417-Identity-H">
    <w:altName w:val="Calibri"/>
    <w:panose1 w:val="00000000000000000000"/>
    <w:charset w:val="00"/>
    <w:family w:val="auto"/>
    <w:notTrueType/>
    <w:pitch w:val="default"/>
    <w:sig w:usb0="00000003" w:usb1="00000000" w:usb2="00000000" w:usb3="00000000" w:csb0="00000001" w:csb1="00000000"/>
  </w:font>
  <w:font w:name="*Arial-Bold-4997-Identity-H">
    <w:altName w:val="Calibri"/>
    <w:panose1 w:val="00000000000000000000"/>
    <w:charset w:val="00"/>
    <w:family w:val="auto"/>
    <w:notTrueType/>
    <w:pitch w:val="default"/>
    <w:sig w:usb0="00000003" w:usb1="00000000" w:usb2="00000000" w:usb3="00000000" w:csb0="00000001" w:csb1="00000000"/>
  </w:font>
  <w:font w:name="*Arial-4996-Identity-H">
    <w:altName w:val="Calibri"/>
    <w:panose1 w:val="00000000000000000000"/>
    <w:charset w:val="00"/>
    <w:family w:val="auto"/>
    <w:notTrueType/>
    <w:pitch w:val="default"/>
    <w:sig w:usb0="00000003" w:usb1="00000000" w:usb2="00000000" w:usb3="00000000" w:csb0="00000001" w:csb1="00000000"/>
  </w:font>
  <w:font w:name="*Arial-6055-Identity-H">
    <w:altName w:val="Calibri"/>
    <w:panose1 w:val="00000000000000000000"/>
    <w:charset w:val="00"/>
    <w:family w:val="auto"/>
    <w:notTrueType/>
    <w:pitch w:val="default"/>
    <w:sig w:usb0="00000003" w:usb1="00000000" w:usb2="00000000" w:usb3="00000000" w:csb0="00000001" w:csb1="00000000"/>
  </w:font>
  <w:font w:name="*Arial-Italic-6056-Identity-H">
    <w:altName w:val="Calibri"/>
    <w:panose1 w:val="00000000000000000000"/>
    <w:charset w:val="00"/>
    <w:family w:val="auto"/>
    <w:notTrueType/>
    <w:pitch w:val="default"/>
    <w:sig w:usb0="00000003" w:usb1="00000000" w:usb2="00000000" w:usb3="00000000" w:csb0="00000001" w:csb1="00000000"/>
  </w:font>
  <w:font w:name="*Arial-Bold-5995-Identity-H">
    <w:altName w:val="Calibri"/>
    <w:panose1 w:val="00000000000000000000"/>
    <w:charset w:val="00"/>
    <w:family w:val="auto"/>
    <w:notTrueType/>
    <w:pitch w:val="default"/>
    <w:sig w:usb0="00000003" w:usb1="00000000" w:usb2="00000000" w:usb3="00000000" w:csb0="00000001" w:csb1="00000000"/>
  </w:font>
  <w:font w:name="*Arial-5993-Identity-H">
    <w:altName w:val="Calibri"/>
    <w:panose1 w:val="00000000000000000000"/>
    <w:charset w:val="00"/>
    <w:family w:val="auto"/>
    <w:notTrueType/>
    <w:pitch w:val="default"/>
    <w:sig w:usb0="00000003" w:usb1="00000000" w:usb2="00000000" w:usb3="00000000" w:csb0="00000001" w:csb1="00000000"/>
  </w:font>
  <w:font w:name="*Arial-6059-Identity-H">
    <w:altName w:val="Calibri"/>
    <w:panose1 w:val="00000000000000000000"/>
    <w:charset w:val="00"/>
    <w:family w:val="auto"/>
    <w:notTrueType/>
    <w:pitch w:val="default"/>
    <w:sig w:usb0="00000003" w:usb1="00000000" w:usb2="00000000" w:usb3="00000000" w:csb0="00000001" w:csb1="00000000"/>
  </w:font>
  <w:font w:name="*Arial-Italic-5994-Identity-H">
    <w:altName w:val="Calibri"/>
    <w:panose1 w:val="00000000000000000000"/>
    <w:charset w:val="00"/>
    <w:family w:val="auto"/>
    <w:notTrueType/>
    <w:pitch w:val="default"/>
    <w:sig w:usb0="00000003" w:usb1="00000000" w:usb2="00000000" w:usb3="00000000" w:csb0="00000001" w:csb1="00000000"/>
  </w:font>
  <w:font w:name="*Arial-Italic-6060-Identity-H">
    <w:altName w:val="Calibri"/>
    <w:panose1 w:val="00000000000000000000"/>
    <w:charset w:val="00"/>
    <w:family w:val="auto"/>
    <w:notTrueType/>
    <w:pitch w:val="default"/>
    <w:sig w:usb0="00000003" w:usb1="00000000" w:usb2="00000000" w:usb3="00000000" w:csb0="00000001" w:csb1="00000000"/>
  </w:font>
  <w:font w:name="*Arial-6127-Identity-H">
    <w:altName w:val="Calibri"/>
    <w:panose1 w:val="00000000000000000000"/>
    <w:charset w:val="00"/>
    <w:family w:val="auto"/>
    <w:notTrueType/>
    <w:pitch w:val="default"/>
    <w:sig w:usb0="00000003" w:usb1="00000000" w:usb2="00000000" w:usb3="00000000" w:csb0="00000001" w:csb1="00000000"/>
  </w:font>
  <w:font w:name="*Arial-5810-Identity-H">
    <w:altName w:val="Calibri"/>
    <w:panose1 w:val="00000000000000000000"/>
    <w:charset w:val="00"/>
    <w:family w:val="auto"/>
    <w:notTrueType/>
    <w:pitch w:val="default"/>
    <w:sig w:usb0="00000003" w:usb1="00000000" w:usb2="00000000" w:usb3="00000000" w:csb0="00000001" w:csb1="00000000"/>
  </w:font>
  <w:font w:name="*Arial-Italic-5811-Identity-H">
    <w:altName w:val="Calibri"/>
    <w:panose1 w:val="00000000000000000000"/>
    <w:charset w:val="00"/>
    <w:family w:val="auto"/>
    <w:notTrueType/>
    <w:pitch w:val="default"/>
    <w:sig w:usb0="00000003" w:usb1="00000000" w:usb2="00000000" w:usb3="00000000" w:csb0="00000001" w:csb1="00000000"/>
  </w:font>
  <w:font w:name="*Arial-5850-Identity-H">
    <w:altName w:val="Calibri"/>
    <w:panose1 w:val="00000000000000000000"/>
    <w:charset w:val="00"/>
    <w:family w:val="auto"/>
    <w:notTrueType/>
    <w:pitch w:val="default"/>
    <w:sig w:usb0="00000003" w:usb1="00000000" w:usb2="00000000" w:usb3="00000000" w:csb0="00000001" w:csb1="00000000"/>
  </w:font>
  <w:font w:name="*Arial-Bold-4880-Identity-H">
    <w:altName w:val="Calibri"/>
    <w:panose1 w:val="00000000000000000000"/>
    <w:charset w:val="00"/>
    <w:family w:val="auto"/>
    <w:notTrueType/>
    <w:pitch w:val="default"/>
    <w:sig w:usb0="00000003" w:usb1="00000000" w:usb2="00000000" w:usb3="00000000" w:csb0="00000001" w:csb1="00000000"/>
  </w:font>
  <w:font w:name="*Arial-4881-Identity-H">
    <w:altName w:val="Calibri"/>
    <w:panose1 w:val="00000000000000000000"/>
    <w:charset w:val="00"/>
    <w:family w:val="auto"/>
    <w:notTrueType/>
    <w:pitch w:val="default"/>
    <w:sig w:usb0="00000003" w:usb1="00000000" w:usb2="00000000" w:usb3="00000000" w:csb0="00000001" w:csb1="00000000"/>
  </w:font>
  <w:font w:name="*Microsoft Sans Serif-4882-Iden">
    <w:altName w:val="Calibri"/>
    <w:panose1 w:val="00000000000000000000"/>
    <w:charset w:val="00"/>
    <w:family w:val="auto"/>
    <w:notTrueType/>
    <w:pitch w:val="default"/>
    <w:sig w:usb0="00000003" w:usb1="00000000" w:usb2="00000000" w:usb3="00000000" w:csb0="00000001" w:csb1="00000000"/>
  </w:font>
  <w:font w:name="*Arial-6203-Identity-H">
    <w:altName w:val="Calibri"/>
    <w:panose1 w:val="00000000000000000000"/>
    <w:charset w:val="00"/>
    <w:family w:val="auto"/>
    <w:notTrueType/>
    <w:pitch w:val="default"/>
    <w:sig w:usb0="00000003" w:usb1="00000000" w:usb2="00000000" w:usb3="00000000" w:csb0="00000001" w:csb1="00000000"/>
  </w:font>
  <w:font w:name="*Microsoft Sans Serif-Italic-62">
    <w:altName w:val="Calibri"/>
    <w:panose1 w:val="00000000000000000000"/>
    <w:charset w:val="00"/>
    <w:family w:val="auto"/>
    <w:notTrueType/>
    <w:pitch w:val="default"/>
    <w:sig w:usb0="00000003" w:usb1="00000000" w:usb2="00000000" w:usb3="00000000" w:csb0="00000001" w:csb1="00000000"/>
  </w:font>
  <w:font w:name="*Arial-Bold-6204-Identity-H">
    <w:altName w:val="Calibri"/>
    <w:panose1 w:val="00000000000000000000"/>
    <w:charset w:val="00"/>
    <w:family w:val="auto"/>
    <w:notTrueType/>
    <w:pitch w:val="default"/>
    <w:sig w:usb0="00000003" w:usb1="00000000" w:usb2="00000000" w:usb3="00000000" w:csb0="00000001" w:csb1="00000000"/>
  </w:font>
  <w:font w:name="*Arial-5209-Identity-H">
    <w:altName w:val="Calibri"/>
    <w:panose1 w:val="00000000000000000000"/>
    <w:charset w:val="00"/>
    <w:family w:val="auto"/>
    <w:notTrueType/>
    <w:pitch w:val="default"/>
    <w:sig w:usb0="00000003" w:usb1="00000000" w:usb2="00000000" w:usb3="00000000" w:csb0="00000001" w:csb1="00000000"/>
  </w:font>
  <w:font w:name="*Arial-Bold-5689-Identity-H">
    <w:altName w:val="Calibri"/>
    <w:panose1 w:val="00000000000000000000"/>
    <w:charset w:val="00"/>
    <w:family w:val="auto"/>
    <w:notTrueType/>
    <w:pitch w:val="default"/>
    <w:sig w:usb0="00000003" w:usb1="00000000" w:usb2="00000000" w:usb3="00000000" w:csb0="00000001" w:csb1="00000000"/>
  </w:font>
  <w:font w:name="*Arial-5687-Identity-H">
    <w:altName w:val="Calibri"/>
    <w:panose1 w:val="00000000000000000000"/>
    <w:charset w:val="00"/>
    <w:family w:val="auto"/>
    <w:notTrueType/>
    <w:pitch w:val="default"/>
    <w:sig w:usb0="00000003" w:usb1="00000000" w:usb2="00000000" w:usb3="00000000" w:csb0="00000001" w:csb1="00000000"/>
  </w:font>
  <w:font w:name="*Arial-Bold-5688-Identity-H">
    <w:altName w:val="Calibri"/>
    <w:panose1 w:val="00000000000000000000"/>
    <w:charset w:val="00"/>
    <w:family w:val="auto"/>
    <w:notTrueType/>
    <w:pitch w:val="default"/>
    <w:sig w:usb0="00000003" w:usb1="00000000" w:usb2="00000000" w:usb3="00000000" w:csb0="00000001" w:csb1="00000000"/>
  </w:font>
  <w:font w:name="*Microsoft Sans Serif-Bold-5690">
    <w:altName w:val="Calibri"/>
    <w:panose1 w:val="00000000000000000000"/>
    <w:charset w:val="00"/>
    <w:family w:val="auto"/>
    <w:notTrueType/>
    <w:pitch w:val="default"/>
    <w:sig w:usb0="00000003" w:usb1="00000000" w:usb2="00000000" w:usb3="00000000" w:csb0="00000001" w:csb1="00000000"/>
  </w:font>
  <w:font w:name="*Arial-5285-Identity-H">
    <w:altName w:val="Calibri"/>
    <w:panose1 w:val="00000000000000000000"/>
    <w:charset w:val="00"/>
    <w:family w:val="auto"/>
    <w:notTrueType/>
    <w:pitch w:val="default"/>
    <w:sig w:usb0="00000003" w:usb1="00000000" w:usb2="00000000" w:usb3="00000000" w:csb0="00000001" w:csb1="00000000"/>
  </w:font>
  <w:font w:name="*Microsoft Sans Serif-Bold-5288">
    <w:altName w:val="Calibri"/>
    <w:panose1 w:val="00000000000000000000"/>
    <w:charset w:val="00"/>
    <w:family w:val="auto"/>
    <w:notTrueType/>
    <w:pitch w:val="default"/>
    <w:sig w:usb0="00000003" w:usb1="00000000" w:usb2="00000000" w:usb3="00000000" w:csb0="00000001" w:csb1="00000000"/>
  </w:font>
  <w:font w:name="*Arial-Bold-5286-Identity-H">
    <w:altName w:val="Calibri"/>
    <w:panose1 w:val="00000000000000000000"/>
    <w:charset w:val="00"/>
    <w:family w:val="auto"/>
    <w:notTrueType/>
    <w:pitch w:val="default"/>
    <w:sig w:usb0="00000003" w:usb1="00000000" w:usb2="00000000" w:usb3="00000000" w:csb0="00000001" w:csb1="00000000"/>
  </w:font>
  <w:font w:name="*Arial-5221-Identity-H">
    <w:altName w:val="Calibri"/>
    <w:panose1 w:val="00000000000000000000"/>
    <w:charset w:val="00"/>
    <w:family w:val="auto"/>
    <w:notTrueType/>
    <w:pitch w:val="default"/>
    <w:sig w:usb0="00000003" w:usb1="00000000" w:usb2="00000000" w:usb3="00000000" w:csb0="00000001" w:csb1="00000000"/>
  </w:font>
  <w:font w:name="*Arial-5532-Identity-H">
    <w:altName w:val="Calibri"/>
    <w:panose1 w:val="00000000000000000000"/>
    <w:charset w:val="00"/>
    <w:family w:val="auto"/>
    <w:notTrueType/>
    <w:pitch w:val="default"/>
    <w:sig w:usb0="00000003" w:usb1="00000000" w:usb2="00000000" w:usb3="00000000" w:csb0="00000001" w:csb1="00000000"/>
  </w:font>
  <w:font w:name="*Arial-Bold-5533-Identity-H">
    <w:altName w:val="Calibri"/>
    <w:panose1 w:val="00000000000000000000"/>
    <w:charset w:val="00"/>
    <w:family w:val="auto"/>
    <w:notTrueType/>
    <w:pitch w:val="default"/>
    <w:sig w:usb0="00000003" w:usb1="00000000" w:usb2="00000000" w:usb3="00000000" w:csb0="00000001" w:csb1="00000000"/>
  </w:font>
  <w:font w:name="*Arial-Bold-6183-Identity-H">
    <w:altName w:val="Calibri"/>
    <w:panose1 w:val="00000000000000000000"/>
    <w:charset w:val="00"/>
    <w:family w:val="auto"/>
    <w:notTrueType/>
    <w:pitch w:val="default"/>
    <w:sig w:usb0="00000003" w:usb1="00000000" w:usb2="00000000" w:usb3="00000000" w:csb0="00000001" w:csb1="00000000"/>
  </w:font>
  <w:font w:name="*Arial-6184-Identity-H">
    <w:altName w:val="Calibri"/>
    <w:panose1 w:val="00000000000000000000"/>
    <w:charset w:val="00"/>
    <w:family w:val="auto"/>
    <w:notTrueType/>
    <w:pitch w:val="default"/>
    <w:sig w:usb0="00000003" w:usb1="00000000" w:usb2="00000000" w:usb3="00000000" w:csb0="00000001" w:csb1="00000000"/>
  </w:font>
  <w:font w:name="*Arial-6182-Identity-H">
    <w:altName w:val="Calibri"/>
    <w:panose1 w:val="00000000000000000000"/>
    <w:charset w:val="00"/>
    <w:family w:val="auto"/>
    <w:notTrueType/>
    <w:pitch w:val="default"/>
    <w:sig w:usb0="00000003" w:usb1="00000000" w:usb2="00000000" w:usb3="00000000" w:csb0="00000001" w:csb1="00000000"/>
  </w:font>
  <w:font w:name="*Microsoft Sans Serif-Bold-6185">
    <w:altName w:val="Calibri"/>
    <w:panose1 w:val="00000000000000000000"/>
    <w:charset w:val="00"/>
    <w:family w:val="auto"/>
    <w:notTrueType/>
    <w:pitch w:val="default"/>
    <w:sig w:usb0="00000003" w:usb1="00000000" w:usb2="00000000" w:usb3="00000000" w:csb0="00000001" w:csb1="00000000"/>
  </w:font>
  <w:font w:name="*Arial-5868-Identity-H">
    <w:altName w:val="Calibri"/>
    <w:panose1 w:val="00000000000000000000"/>
    <w:charset w:val="00"/>
    <w:family w:val="auto"/>
    <w:notTrueType/>
    <w:pitch w:val="default"/>
    <w:sig w:usb0="00000003" w:usb1="00000000" w:usb2="00000000" w:usb3="00000000" w:csb0="00000001" w:csb1="00000000"/>
  </w:font>
  <w:font w:name="*Arial-5430-Identity-H">
    <w:altName w:val="Calibri"/>
    <w:panose1 w:val="00000000000000000000"/>
    <w:charset w:val="00"/>
    <w:family w:val="auto"/>
    <w:notTrueType/>
    <w:pitch w:val="default"/>
    <w:sig w:usb0="00000003" w:usb1="00000000" w:usb2="00000000" w:usb3="00000000" w:csb0="00000001" w:csb1="00000000"/>
  </w:font>
  <w:font w:name="*Arial-8099-Identity-H">
    <w:altName w:val="Calibri"/>
    <w:panose1 w:val="00000000000000000000"/>
    <w:charset w:val="00"/>
    <w:family w:val="auto"/>
    <w:notTrueType/>
    <w:pitch w:val="default"/>
    <w:sig w:usb0="00000003" w:usb1="00000000" w:usb2="00000000" w:usb3="00000000" w:csb0="00000001" w:csb1="00000000"/>
  </w:font>
  <w:font w:name="*Times New Roman-Italic-8095-Id">
    <w:altName w:val="Calibri"/>
    <w:panose1 w:val="00000000000000000000"/>
    <w:charset w:val="00"/>
    <w:family w:val="auto"/>
    <w:notTrueType/>
    <w:pitch w:val="default"/>
    <w:sig w:usb0="00000003" w:usb1="00000000" w:usb2="00000000" w:usb3="00000000" w:csb0="00000001" w:csb1="00000000"/>
  </w:font>
  <w:font w:name="*Arial-Italic-8100-Identity-H">
    <w:altName w:val="Calibri"/>
    <w:panose1 w:val="00000000000000000000"/>
    <w:charset w:val="00"/>
    <w:family w:val="auto"/>
    <w:notTrueType/>
    <w:pitch w:val="default"/>
    <w:sig w:usb0="00000003" w:usb1="00000000" w:usb2="00000000" w:usb3="00000000" w:csb0="00000001" w:csb1="00000000"/>
  </w:font>
  <w:font w:name="*Arial-8097-Identity-H">
    <w:altName w:val="Calibri"/>
    <w:panose1 w:val="00000000000000000000"/>
    <w:charset w:val="00"/>
    <w:family w:val="auto"/>
    <w:notTrueType/>
    <w:pitch w:val="default"/>
    <w:sig w:usb0="00000003" w:usb1="00000000" w:usb2="00000000" w:usb3="00000000" w:csb0="00000001" w:csb1="00000000"/>
  </w:font>
  <w:font w:name="*Arial-6475-Identity-H">
    <w:altName w:val="Calibri"/>
    <w:panose1 w:val="00000000000000000000"/>
    <w:charset w:val="00"/>
    <w:family w:val="auto"/>
    <w:notTrueType/>
    <w:pitch w:val="default"/>
    <w:sig w:usb0="00000003" w:usb1="00000000" w:usb2="00000000" w:usb3="00000000" w:csb0="00000001" w:csb1="00000000"/>
  </w:font>
  <w:font w:name="*Arial-Italic-6476-Identity-H">
    <w:altName w:val="Calibri"/>
    <w:panose1 w:val="00000000000000000000"/>
    <w:charset w:val="00"/>
    <w:family w:val="auto"/>
    <w:notTrueType/>
    <w:pitch w:val="default"/>
    <w:sig w:usb0="00000003" w:usb1="00000000" w:usb2="00000000" w:usb3="00000000" w:csb0="00000001" w:csb1="00000000"/>
  </w:font>
  <w:font w:name="*Arial-4256-Identity-H">
    <w:altName w:val="Calibri"/>
    <w:panose1 w:val="00000000000000000000"/>
    <w:charset w:val="00"/>
    <w:family w:val="auto"/>
    <w:notTrueType/>
    <w:pitch w:val="default"/>
    <w:sig w:usb0="00000003" w:usb1="00000000" w:usb2="00000000" w:usb3="00000000" w:csb0="00000001" w:csb1="00000000"/>
  </w:font>
  <w:font w:name="*Arial-Bold-4257-Identity-H">
    <w:altName w:val="Calibri"/>
    <w:panose1 w:val="00000000000000000000"/>
    <w:charset w:val="00"/>
    <w:family w:val="auto"/>
    <w:notTrueType/>
    <w:pitch w:val="default"/>
    <w:sig w:usb0="00000003" w:usb1="00000000" w:usb2="00000000" w:usb3="00000000" w:csb0="00000001" w:csb1="00000000"/>
  </w:font>
  <w:font w:name="*Arial-6470-Identity-H">
    <w:altName w:val="Calibri"/>
    <w:panose1 w:val="00000000000000000000"/>
    <w:charset w:val="00"/>
    <w:family w:val="auto"/>
    <w:notTrueType/>
    <w:pitch w:val="default"/>
    <w:sig w:usb0="00000003" w:usb1="00000000" w:usb2="00000000" w:usb3="00000000" w:csb0="00000001" w:csb1="00000000"/>
  </w:font>
  <w:font w:name="*Arial-Italic-6471-Identity-H">
    <w:altName w:val="Calibri"/>
    <w:panose1 w:val="00000000000000000000"/>
    <w:charset w:val="00"/>
    <w:family w:val="auto"/>
    <w:notTrueType/>
    <w:pitch w:val="default"/>
    <w:sig w:usb0="00000003" w:usb1="00000000" w:usb2="00000000" w:usb3="00000000" w:csb0="00000001" w:csb1="00000000"/>
  </w:font>
  <w:font w:name="*Arial-Bold-5478-Identity-H">
    <w:altName w:val="Calibri"/>
    <w:panose1 w:val="00000000000000000000"/>
    <w:charset w:val="00"/>
    <w:family w:val="auto"/>
    <w:notTrueType/>
    <w:pitch w:val="default"/>
    <w:sig w:usb0="00000003" w:usb1="00000000" w:usb2="00000000" w:usb3="00000000" w:csb0="00000001" w:csb1="00000000"/>
  </w:font>
  <w:font w:name="*Arial-5479-Identity-H">
    <w:altName w:val="Calibri"/>
    <w:panose1 w:val="00000000000000000000"/>
    <w:charset w:val="00"/>
    <w:family w:val="auto"/>
    <w:notTrueType/>
    <w:pitch w:val="default"/>
    <w:sig w:usb0="00000003" w:usb1="00000000" w:usb2="00000000" w:usb3="00000000" w:csb0="00000001" w:csb1="00000000"/>
  </w:font>
  <w:font w:name="*Arial-5477-Identity-H">
    <w:altName w:val="Calibri"/>
    <w:panose1 w:val="00000000000000000000"/>
    <w:charset w:val="00"/>
    <w:family w:val="auto"/>
    <w:notTrueType/>
    <w:pitch w:val="default"/>
    <w:sig w:usb0="00000003" w:usb1="00000000" w:usb2="00000000" w:usb3="00000000" w:csb0="00000001" w:csb1="00000000"/>
  </w:font>
  <w:font w:name="*Arial-5157-Identity-H">
    <w:altName w:val="Calibri"/>
    <w:panose1 w:val="00000000000000000000"/>
    <w:charset w:val="00"/>
    <w:family w:val="auto"/>
    <w:notTrueType/>
    <w:pitch w:val="default"/>
    <w:sig w:usb0="00000003" w:usb1="00000000" w:usb2="00000000" w:usb3="00000000" w:csb0="00000001" w:csb1="00000000"/>
  </w:font>
  <w:font w:name="*Arial-6041-Identity-H">
    <w:altName w:val="Calibri"/>
    <w:panose1 w:val="00000000000000000000"/>
    <w:charset w:val="00"/>
    <w:family w:val="auto"/>
    <w:notTrueType/>
    <w:pitch w:val="default"/>
    <w:sig w:usb0="00000003" w:usb1="00000000" w:usb2="00000000" w:usb3="00000000" w:csb0="00000001" w:csb1="00000000"/>
  </w:font>
  <w:font w:name="*Arial-5608-Identity-H">
    <w:altName w:val="Calibri"/>
    <w:panose1 w:val="00000000000000000000"/>
    <w:charset w:val="00"/>
    <w:family w:val="auto"/>
    <w:notTrueType/>
    <w:pitch w:val="default"/>
    <w:sig w:usb0="00000003" w:usb1="00000000" w:usb2="00000000" w:usb3="00000000" w:csb0="00000001" w:csb1="00000000"/>
  </w:font>
  <w:font w:name="*Arial-Bold-5609-Identity-H">
    <w:altName w:val="Calibri"/>
    <w:panose1 w:val="00000000000000000000"/>
    <w:charset w:val="00"/>
    <w:family w:val="auto"/>
    <w:notTrueType/>
    <w:pitch w:val="default"/>
    <w:sig w:usb0="00000003" w:usb1="00000000" w:usb2="00000000" w:usb3="00000000" w:csb0="00000001" w:csb1="00000000"/>
  </w:font>
  <w:font w:name="*Arial-5103-Identity-H">
    <w:altName w:val="Calibri"/>
    <w:panose1 w:val="00000000000000000000"/>
    <w:charset w:val="00"/>
    <w:family w:val="auto"/>
    <w:notTrueType/>
    <w:pitch w:val="default"/>
    <w:sig w:usb0="00000003" w:usb1="00000000" w:usb2="00000000" w:usb3="00000000" w:csb0="00000001" w:csb1="00000000"/>
  </w:font>
  <w:font w:name="*Arial-5196-Identity-H">
    <w:altName w:val="Calibri"/>
    <w:panose1 w:val="00000000000000000000"/>
    <w:charset w:val="00"/>
    <w:family w:val="auto"/>
    <w:notTrueType/>
    <w:pitch w:val="default"/>
    <w:sig w:usb0="00000003" w:usb1="00000000" w:usb2="00000000" w:usb3="00000000" w:csb0="00000001" w:csb1="00000000"/>
  </w:font>
  <w:font w:name="*Arial-Bold-5197-Identity-H">
    <w:altName w:val="Calibri"/>
    <w:panose1 w:val="00000000000000000000"/>
    <w:charset w:val="00"/>
    <w:family w:val="auto"/>
    <w:notTrueType/>
    <w:pitch w:val="default"/>
    <w:sig w:usb0="00000003" w:usb1="00000000" w:usb2="00000000" w:usb3="00000000" w:csb0="00000001" w:csb1="00000000"/>
  </w:font>
  <w:font w:name="*Arial-3814-Identity-H">
    <w:altName w:val="Calibri"/>
    <w:panose1 w:val="00000000000000000000"/>
    <w:charset w:val="00"/>
    <w:family w:val="auto"/>
    <w:notTrueType/>
    <w:pitch w:val="default"/>
    <w:sig w:usb0="00000003" w:usb1="00000000" w:usb2="00000000" w:usb3="00000000" w:csb0="00000001" w:csb1="00000000"/>
  </w:font>
  <w:font w:name="*Arial-5476-Identity-H">
    <w:altName w:val="Calibri"/>
    <w:panose1 w:val="00000000000000000000"/>
    <w:charset w:val="00"/>
    <w:family w:val="auto"/>
    <w:notTrueType/>
    <w:pitch w:val="default"/>
    <w:sig w:usb0="00000003" w:usb1="00000000" w:usb2="00000000" w:usb3="00000000" w:csb0="00000001" w:csb1="00000000"/>
  </w:font>
  <w:font w:name="*Microsoft Sans Serif-Bold-5479">
    <w:altName w:val="Calibri"/>
    <w:panose1 w:val="00000000000000000000"/>
    <w:charset w:val="00"/>
    <w:family w:val="auto"/>
    <w:notTrueType/>
    <w:pitch w:val="default"/>
    <w:sig w:usb0="00000003" w:usb1="00000000" w:usb2="00000000" w:usb3="00000000" w:csb0="00000001" w:csb1="00000000"/>
  </w:font>
  <w:font w:name="*Arial-Bold-5477-Identity-H">
    <w:altName w:val="Calibri"/>
    <w:panose1 w:val="00000000000000000000"/>
    <w:charset w:val="00"/>
    <w:family w:val="auto"/>
    <w:notTrueType/>
    <w:pitch w:val="default"/>
    <w:sig w:usb0="00000003" w:usb1="00000000" w:usb2="00000000" w:usb3="00000000" w:csb0="00000001" w:csb1="00000000"/>
  </w:font>
  <w:font w:name="*Arial-5068-Identity-H">
    <w:altName w:val="Calibri"/>
    <w:panose1 w:val="00000000000000000000"/>
    <w:charset w:val="00"/>
    <w:family w:val="auto"/>
    <w:notTrueType/>
    <w:pitch w:val="default"/>
    <w:sig w:usb0="00000003" w:usb1="00000000" w:usb2="00000000" w:usb3="00000000" w:csb0="00000001" w:csb1="00000000"/>
  </w:font>
  <w:font w:name="*Arial-Bold-5070-Identity-H">
    <w:altName w:val="Calibri"/>
    <w:panose1 w:val="00000000000000000000"/>
    <w:charset w:val="00"/>
    <w:family w:val="auto"/>
    <w:notTrueType/>
    <w:pitch w:val="default"/>
    <w:sig w:usb0="00000003" w:usb1="00000000" w:usb2="00000000" w:usb3="00000000" w:csb0="00000001" w:csb1="00000000"/>
  </w:font>
  <w:font w:name="*Arial-Bold-5069-Identity-H">
    <w:altName w:val="Calibri"/>
    <w:panose1 w:val="00000000000000000000"/>
    <w:charset w:val="00"/>
    <w:family w:val="auto"/>
    <w:notTrueType/>
    <w:pitch w:val="default"/>
    <w:sig w:usb0="00000003" w:usb1="00000000" w:usb2="00000000" w:usb3="00000000" w:csb0="00000001" w:csb1="00000000"/>
  </w:font>
  <w:font w:name="*Arial-5077-Identity-H">
    <w:altName w:val="Calibri"/>
    <w:panose1 w:val="00000000000000000000"/>
    <w:charset w:val="00"/>
    <w:family w:val="auto"/>
    <w:notTrueType/>
    <w:pitch w:val="default"/>
    <w:sig w:usb0="00000003" w:usb1="00000000" w:usb2="00000000" w:usb3="00000000" w:csb0="00000001" w:csb1="00000000"/>
  </w:font>
  <w:font w:name="*Arial-5386-Identity-H">
    <w:altName w:val="Calibri"/>
    <w:panose1 w:val="00000000000000000000"/>
    <w:charset w:val="00"/>
    <w:family w:val="auto"/>
    <w:notTrueType/>
    <w:pitch w:val="default"/>
    <w:sig w:usb0="00000003" w:usb1="00000000" w:usb2="00000000" w:usb3="00000000" w:csb0="00000001" w:csb1="00000000"/>
  </w:font>
  <w:font w:name="*Arial-Bold-6124-Identity-H">
    <w:altName w:val="Calibri"/>
    <w:panose1 w:val="00000000000000000000"/>
    <w:charset w:val="00"/>
    <w:family w:val="auto"/>
    <w:notTrueType/>
    <w:pitch w:val="default"/>
    <w:sig w:usb0="00000003" w:usb1="00000000" w:usb2="00000000" w:usb3="00000000" w:csb0="00000001" w:csb1="00000000"/>
  </w:font>
  <w:font w:name="*Arial-6125-Identity-H">
    <w:altName w:val="Calibri"/>
    <w:panose1 w:val="00000000000000000000"/>
    <w:charset w:val="00"/>
    <w:family w:val="auto"/>
    <w:notTrueType/>
    <w:pitch w:val="default"/>
    <w:sig w:usb0="00000003" w:usb1="00000000" w:usb2="00000000" w:usb3="00000000" w:csb0="00000001" w:csb1="00000000"/>
  </w:font>
  <w:font w:name="*Arial-6123-Identity-H">
    <w:altName w:val="Calibri"/>
    <w:panose1 w:val="00000000000000000000"/>
    <w:charset w:val="00"/>
    <w:family w:val="auto"/>
    <w:notTrueType/>
    <w:pitch w:val="default"/>
    <w:sig w:usb0="00000003" w:usb1="00000000" w:usb2="00000000" w:usb3="00000000" w:csb0="00000001" w:csb1="00000000"/>
  </w:font>
  <w:font w:name="*Microsoft Sans Serif-Bold-6126">
    <w:altName w:val="Calibri"/>
    <w:panose1 w:val="00000000000000000000"/>
    <w:charset w:val="00"/>
    <w:family w:val="auto"/>
    <w:notTrueType/>
    <w:pitch w:val="default"/>
    <w:sig w:usb0="00000003" w:usb1="00000000" w:usb2="00000000" w:usb3="00000000" w:csb0="00000001" w:csb1="00000000"/>
  </w:font>
  <w:font w:name="*Arial-5823-Identity-H">
    <w:altName w:val="Calibri"/>
    <w:panose1 w:val="00000000000000000000"/>
    <w:charset w:val="00"/>
    <w:family w:val="auto"/>
    <w:notTrueType/>
    <w:pitch w:val="default"/>
    <w:sig w:usb0="00000003" w:usb1="00000000" w:usb2="00000000" w:usb3="00000000" w:csb0="00000001" w:csb1="00000000"/>
  </w:font>
  <w:font w:name="*Arial-5592-Identity-H">
    <w:altName w:val="Calibri"/>
    <w:panose1 w:val="00000000000000000000"/>
    <w:charset w:val="00"/>
    <w:family w:val="auto"/>
    <w:notTrueType/>
    <w:pitch w:val="default"/>
    <w:sig w:usb0="00000003" w:usb1="00000000" w:usb2="00000000" w:usb3="00000000" w:csb0="00000001" w:csb1="00000000"/>
  </w:font>
  <w:font w:name="*Arial-7831-Identity-H">
    <w:altName w:val="Calibri"/>
    <w:panose1 w:val="00000000000000000000"/>
    <w:charset w:val="00"/>
    <w:family w:val="auto"/>
    <w:notTrueType/>
    <w:pitch w:val="default"/>
    <w:sig w:usb0="00000003" w:usb1="00000000" w:usb2="00000000" w:usb3="00000000" w:csb0="00000001" w:csb1="00000000"/>
  </w:font>
  <w:font w:name="*Times New Roman-Italic-7829-Id">
    <w:altName w:val="Calibri"/>
    <w:panose1 w:val="00000000000000000000"/>
    <w:charset w:val="00"/>
    <w:family w:val="auto"/>
    <w:notTrueType/>
    <w:pitch w:val="default"/>
    <w:sig w:usb0="00000003" w:usb1="00000000" w:usb2="00000000" w:usb3="00000000" w:csb0="00000001" w:csb1="00000000"/>
  </w:font>
  <w:font w:name="*Arial-Italic-7832-Identity-H">
    <w:altName w:val="Calibri"/>
    <w:panose1 w:val="00000000000000000000"/>
    <w:charset w:val="00"/>
    <w:family w:val="auto"/>
    <w:notTrueType/>
    <w:pitch w:val="default"/>
    <w:sig w:usb0="00000003" w:usb1="00000000" w:usb2="00000000" w:usb3="00000000" w:csb0="00000001" w:csb1="00000000"/>
  </w:font>
  <w:font w:name="*Arial-7830-Identity-H">
    <w:altName w:val="Calibri"/>
    <w:panose1 w:val="00000000000000000000"/>
    <w:charset w:val="00"/>
    <w:family w:val="auto"/>
    <w:notTrueType/>
    <w:pitch w:val="default"/>
    <w:sig w:usb0="00000003" w:usb1="00000000" w:usb2="00000000" w:usb3="00000000" w:csb0="00000001" w:csb1="00000000"/>
  </w:font>
  <w:font w:name="*Arial-6197-Identity-H">
    <w:altName w:val="Calibri"/>
    <w:panose1 w:val="00000000000000000000"/>
    <w:charset w:val="00"/>
    <w:family w:val="auto"/>
    <w:notTrueType/>
    <w:pitch w:val="default"/>
    <w:sig w:usb0="00000003" w:usb1="00000000" w:usb2="00000000" w:usb3="00000000" w:csb0="00000001" w:csb1="00000000"/>
  </w:font>
  <w:font w:name="*Arial-Italic-6198-Identity-H">
    <w:altName w:val="Calibri"/>
    <w:panose1 w:val="00000000000000000000"/>
    <w:charset w:val="00"/>
    <w:family w:val="auto"/>
    <w:notTrueType/>
    <w:pitch w:val="default"/>
    <w:sig w:usb0="00000003" w:usb1="00000000" w:usb2="00000000" w:usb3="00000000" w:csb0="00000001" w:csb1="00000000"/>
  </w:font>
  <w:font w:name="*Arial-6344-Identity-H">
    <w:altName w:val="Calibri"/>
    <w:panose1 w:val="00000000000000000000"/>
    <w:charset w:val="00"/>
    <w:family w:val="auto"/>
    <w:notTrueType/>
    <w:pitch w:val="default"/>
    <w:sig w:usb0="00000003" w:usb1="00000000" w:usb2="00000000" w:usb3="00000000" w:csb0="00000001" w:csb1="00000000"/>
  </w:font>
  <w:font w:name="*Arial-Italic-6346-Identity-H">
    <w:altName w:val="Calibri"/>
    <w:panose1 w:val="00000000000000000000"/>
    <w:charset w:val="00"/>
    <w:family w:val="auto"/>
    <w:notTrueType/>
    <w:pitch w:val="default"/>
    <w:sig w:usb0="00000003" w:usb1="00000000" w:usb2="00000000" w:usb3="00000000" w:csb0="00000001" w:csb1="00000000"/>
  </w:font>
  <w:font w:name="*Arial-Bold-6345-Identity-H">
    <w:altName w:val="Calibri"/>
    <w:panose1 w:val="00000000000000000000"/>
    <w:charset w:val="00"/>
    <w:family w:val="auto"/>
    <w:notTrueType/>
    <w:pitch w:val="default"/>
    <w:sig w:usb0="00000003" w:usb1="00000000" w:usb2="00000000" w:usb3="00000000" w:csb0="00000001" w:csb1="00000000"/>
  </w:font>
  <w:font w:name="*Arial-Bold-6070-Identity-H">
    <w:altName w:val="Calibri"/>
    <w:panose1 w:val="00000000000000000000"/>
    <w:charset w:val="00"/>
    <w:family w:val="auto"/>
    <w:notTrueType/>
    <w:pitch w:val="default"/>
    <w:sig w:usb0="00000003" w:usb1="00000000" w:usb2="00000000" w:usb3="00000000" w:csb0="00000001" w:csb1="00000000"/>
  </w:font>
  <w:font w:name="*Arial-6068-Identity-H">
    <w:altName w:val="Calibri"/>
    <w:panose1 w:val="00000000000000000000"/>
    <w:charset w:val="00"/>
    <w:family w:val="auto"/>
    <w:notTrueType/>
    <w:pitch w:val="default"/>
    <w:sig w:usb0="00000003" w:usb1="00000000" w:usb2="00000000" w:usb3="00000000" w:csb0="00000001" w:csb1="00000000"/>
  </w:font>
  <w:font w:name="*Arial-6071-Identity-H">
    <w:altName w:val="Calibri"/>
    <w:panose1 w:val="00000000000000000000"/>
    <w:charset w:val="00"/>
    <w:family w:val="auto"/>
    <w:notTrueType/>
    <w:pitch w:val="default"/>
    <w:sig w:usb0="00000003" w:usb1="00000000" w:usb2="00000000" w:usb3="00000000" w:csb0="00000001" w:csb1="00000000"/>
  </w:font>
  <w:font w:name="*Microsoft Sans Serif-6072-Iden">
    <w:altName w:val="Calibri"/>
    <w:panose1 w:val="00000000000000000000"/>
    <w:charset w:val="00"/>
    <w:family w:val="auto"/>
    <w:notTrueType/>
    <w:pitch w:val="default"/>
    <w:sig w:usb0="00000003" w:usb1="00000000" w:usb2="00000000" w:usb3="00000000" w:csb0="00000001" w:csb1="00000000"/>
  </w:font>
  <w:font w:name="*Arial-Italic-6069-Identity-H">
    <w:altName w:val="Calibri"/>
    <w:panose1 w:val="00000000000000000000"/>
    <w:charset w:val="00"/>
    <w:family w:val="auto"/>
    <w:notTrueType/>
    <w:pitch w:val="default"/>
    <w:sig w:usb0="00000003" w:usb1="00000000" w:usb2="00000000" w:usb3="00000000" w:csb0="00000001" w:csb1="00000000"/>
  </w:font>
  <w:font w:name="*Arial-4677-Identity-H">
    <w:altName w:val="Calibri"/>
    <w:panose1 w:val="00000000000000000000"/>
    <w:charset w:val="00"/>
    <w:family w:val="auto"/>
    <w:notTrueType/>
    <w:pitch w:val="default"/>
    <w:sig w:usb0="00000003" w:usb1="00000000" w:usb2="00000000" w:usb3="00000000" w:csb0="00000001" w:csb1="00000000"/>
  </w:font>
  <w:font w:name="*Arial-Bold-4678-Identity-H">
    <w:altName w:val="Calibri"/>
    <w:panose1 w:val="00000000000000000000"/>
    <w:charset w:val="00"/>
    <w:family w:val="auto"/>
    <w:notTrueType/>
    <w:pitch w:val="default"/>
    <w:sig w:usb0="00000003" w:usb1="00000000" w:usb2="00000000" w:usb3="00000000" w:csb0="00000001" w:csb1="00000000"/>
  </w:font>
  <w:font w:name="*Arial-5955-Identity-H">
    <w:altName w:val="Calibri"/>
    <w:panose1 w:val="00000000000000000000"/>
    <w:charset w:val="00"/>
    <w:family w:val="auto"/>
    <w:notTrueType/>
    <w:pitch w:val="default"/>
    <w:sig w:usb0="00000003" w:usb1="00000000" w:usb2="00000000" w:usb3="00000000" w:csb0="00000001" w:csb1="00000000"/>
  </w:font>
  <w:font w:name="*Arial-5528-Identity-H">
    <w:altName w:val="Calibri"/>
    <w:panose1 w:val="00000000000000000000"/>
    <w:charset w:val="00"/>
    <w:family w:val="auto"/>
    <w:notTrueType/>
    <w:pitch w:val="default"/>
    <w:sig w:usb0="00000003" w:usb1="00000000" w:usb2="00000000" w:usb3="00000000" w:csb0="00000001" w:csb1="00000000"/>
  </w:font>
  <w:font w:name="*Arial-Italic-5529-Identity-H">
    <w:altName w:val="Calibri"/>
    <w:panose1 w:val="00000000000000000000"/>
    <w:charset w:val="00"/>
    <w:family w:val="auto"/>
    <w:notTrueType/>
    <w:pitch w:val="default"/>
    <w:sig w:usb0="00000003" w:usb1="00000000" w:usb2="00000000" w:usb3="00000000" w:csb0="00000001" w:csb1="00000000"/>
  </w:font>
  <w:font w:name="*Arial-5349-Identity-H">
    <w:altName w:val="Calibri"/>
    <w:panose1 w:val="00000000000000000000"/>
    <w:charset w:val="00"/>
    <w:family w:val="auto"/>
    <w:notTrueType/>
    <w:pitch w:val="default"/>
    <w:sig w:usb0="00000003" w:usb1="00000000" w:usb2="00000000" w:usb3="00000000" w:csb0="00000001" w:csb1="00000000"/>
  </w:font>
  <w:font w:name="*Arial-5347-Identity-H">
    <w:altName w:val="Calibri"/>
    <w:panose1 w:val="00000000000000000000"/>
    <w:charset w:val="00"/>
    <w:family w:val="auto"/>
    <w:notTrueType/>
    <w:pitch w:val="default"/>
    <w:sig w:usb0="00000003" w:usb1="00000000" w:usb2="00000000" w:usb3="00000000" w:csb0="00000001" w:csb1="00000000"/>
  </w:font>
  <w:font w:name="*Microsoft Sans Serif-4439-Iden">
    <w:altName w:val="Calibri"/>
    <w:panose1 w:val="00000000000000000000"/>
    <w:charset w:val="00"/>
    <w:family w:val="auto"/>
    <w:notTrueType/>
    <w:pitch w:val="default"/>
    <w:sig w:usb0="00000003" w:usb1="00000000" w:usb2="00000000" w:usb3="00000000" w:csb0="00000001" w:csb1="00000000"/>
  </w:font>
  <w:font w:name="*Arial-Bold-4437-Identity-H">
    <w:altName w:val="Calibri"/>
    <w:panose1 w:val="00000000000000000000"/>
    <w:charset w:val="00"/>
    <w:family w:val="auto"/>
    <w:notTrueType/>
    <w:pitch w:val="default"/>
    <w:sig w:usb0="00000003" w:usb1="00000000" w:usb2="00000000" w:usb3="00000000" w:csb0="00000001" w:csb1="00000000"/>
  </w:font>
  <w:font w:name="*Arial-5830-Identity-H">
    <w:altName w:val="Calibri"/>
    <w:panose1 w:val="00000000000000000000"/>
    <w:charset w:val="00"/>
    <w:family w:val="auto"/>
    <w:notTrueType/>
    <w:pitch w:val="default"/>
    <w:sig w:usb0="00000003" w:usb1="00000000" w:usb2="00000000" w:usb3="00000000" w:csb0="00000001" w:csb1="00000000"/>
  </w:font>
  <w:font w:name="*Arial-4183-Identity-H">
    <w:altName w:val="Calibri"/>
    <w:panose1 w:val="00000000000000000000"/>
    <w:charset w:val="00"/>
    <w:family w:val="auto"/>
    <w:notTrueType/>
    <w:pitch w:val="default"/>
    <w:sig w:usb0="00000003" w:usb1="00000000" w:usb2="00000000" w:usb3="00000000" w:csb0="00000001" w:csb1="00000000"/>
  </w:font>
  <w:font w:name="*Arial-Bold-4184-Identity-H">
    <w:altName w:val="Calibri"/>
    <w:panose1 w:val="00000000000000000000"/>
    <w:charset w:val="00"/>
    <w:family w:val="auto"/>
    <w:notTrueType/>
    <w:pitch w:val="default"/>
    <w:sig w:usb0="00000003" w:usb1="00000000" w:usb2="00000000" w:usb3="00000000" w:csb0="00000001" w:csb1="00000000"/>
  </w:font>
  <w:font w:name="*Arial-Bold-5504-Identity-H">
    <w:altName w:val="Calibri"/>
    <w:panose1 w:val="00000000000000000000"/>
    <w:charset w:val="00"/>
    <w:family w:val="auto"/>
    <w:notTrueType/>
    <w:pitch w:val="default"/>
    <w:sig w:usb0="00000003" w:usb1="00000000" w:usb2="00000000" w:usb3="00000000" w:csb0="00000001" w:csb1="00000000"/>
  </w:font>
  <w:font w:name="*Arial-5502-Identity-H">
    <w:altName w:val="Calibri"/>
    <w:panose1 w:val="00000000000000000000"/>
    <w:charset w:val="00"/>
    <w:family w:val="auto"/>
    <w:notTrueType/>
    <w:pitch w:val="default"/>
    <w:sig w:usb0="00000003" w:usb1="00000000" w:usb2="00000000" w:usb3="00000000" w:csb0="00000001" w:csb1="00000000"/>
  </w:font>
  <w:font w:name="*Arial-Bold-5503-Identity-H">
    <w:altName w:val="Calibri"/>
    <w:panose1 w:val="00000000000000000000"/>
    <w:charset w:val="00"/>
    <w:family w:val="auto"/>
    <w:notTrueType/>
    <w:pitch w:val="default"/>
    <w:sig w:usb0="00000003" w:usb1="00000000" w:usb2="00000000" w:usb3="00000000" w:csb0="00000001" w:csb1="00000000"/>
  </w:font>
  <w:font w:name="*Arial-5287-Identity-H">
    <w:altName w:val="Calibri"/>
    <w:panose1 w:val="00000000000000000000"/>
    <w:charset w:val="00"/>
    <w:family w:val="auto"/>
    <w:notTrueType/>
    <w:pitch w:val="default"/>
    <w:sig w:usb0="00000003" w:usb1="00000000" w:usb2="00000000" w:usb3="00000000" w:csb0="00000001" w:csb1="00000000"/>
  </w:font>
  <w:font w:name="*Microsoft Sans Serif-Bold-5289">
    <w:altName w:val="Calibri"/>
    <w:panose1 w:val="00000000000000000000"/>
    <w:charset w:val="00"/>
    <w:family w:val="auto"/>
    <w:notTrueType/>
    <w:pitch w:val="default"/>
    <w:sig w:usb0="00000003" w:usb1="00000000" w:usb2="00000000" w:usb3="00000000" w:csb0="00000001" w:csb1="00000000"/>
  </w:font>
  <w:font w:name="*Arial-Bold-5288-Identity-H">
    <w:altName w:val="Calibri"/>
    <w:panose1 w:val="00000000000000000000"/>
    <w:charset w:val="00"/>
    <w:family w:val="auto"/>
    <w:notTrueType/>
    <w:pitch w:val="default"/>
    <w:sig w:usb0="00000003" w:usb1="00000000" w:usb2="00000000" w:usb3="00000000" w:csb0="00000001" w:csb1="00000000"/>
  </w:font>
  <w:font w:name="*Arial-5158-Identity-H">
    <w:altName w:val="Calibri"/>
    <w:panose1 w:val="00000000000000000000"/>
    <w:charset w:val="00"/>
    <w:family w:val="auto"/>
    <w:notTrueType/>
    <w:pitch w:val="default"/>
    <w:sig w:usb0="00000003" w:usb1="00000000" w:usb2="00000000" w:usb3="00000000" w:csb0="00000001" w:csb1="00000000"/>
  </w:font>
  <w:font w:name="*Arial-5302-Identity-H">
    <w:altName w:val="Calibri"/>
    <w:panose1 w:val="00000000000000000000"/>
    <w:charset w:val="00"/>
    <w:family w:val="auto"/>
    <w:notTrueType/>
    <w:pitch w:val="default"/>
    <w:sig w:usb0="00000003" w:usb1="00000000" w:usb2="00000000" w:usb3="00000000" w:csb0="00000001" w:csb1="00000000"/>
  </w:font>
  <w:font w:name="*Arial-Bold-6237-Identity-H">
    <w:altName w:val="Calibri"/>
    <w:panose1 w:val="00000000000000000000"/>
    <w:charset w:val="00"/>
    <w:family w:val="auto"/>
    <w:notTrueType/>
    <w:pitch w:val="default"/>
    <w:sig w:usb0="00000003" w:usb1="00000000" w:usb2="00000000" w:usb3="00000000" w:csb0="00000001" w:csb1="00000000"/>
  </w:font>
  <w:font w:name="*Arial-6238-Identity-H">
    <w:altName w:val="Calibri"/>
    <w:panose1 w:val="00000000000000000000"/>
    <w:charset w:val="00"/>
    <w:family w:val="auto"/>
    <w:notTrueType/>
    <w:pitch w:val="default"/>
    <w:sig w:usb0="00000003" w:usb1="00000000" w:usb2="00000000" w:usb3="00000000" w:csb0="00000001" w:csb1="00000000"/>
  </w:font>
  <w:font w:name="*Arial-6236-Identity-H">
    <w:altName w:val="Calibri"/>
    <w:panose1 w:val="00000000000000000000"/>
    <w:charset w:val="00"/>
    <w:family w:val="auto"/>
    <w:notTrueType/>
    <w:pitch w:val="default"/>
    <w:sig w:usb0="00000003" w:usb1="00000000" w:usb2="00000000" w:usb3="00000000" w:csb0="00000001" w:csb1="00000000"/>
  </w:font>
  <w:font w:name="*Arial-5790-Identity-H">
    <w:altName w:val="Calibri"/>
    <w:panose1 w:val="00000000000000000000"/>
    <w:charset w:val="00"/>
    <w:family w:val="auto"/>
    <w:notTrueType/>
    <w:pitch w:val="default"/>
    <w:sig w:usb0="00000003" w:usb1="00000000" w:usb2="00000000" w:usb3="00000000" w:csb0="00000001" w:csb1="00000000"/>
  </w:font>
  <w:font w:name="*Arial-5789-Identity-H">
    <w:altName w:val="Calibri"/>
    <w:panose1 w:val="00000000000000000000"/>
    <w:charset w:val="00"/>
    <w:family w:val="auto"/>
    <w:notTrueType/>
    <w:pitch w:val="default"/>
    <w:sig w:usb0="00000003" w:usb1="00000000" w:usb2="00000000" w:usb3="00000000" w:csb0="00000001" w:csb1="00000000"/>
  </w:font>
  <w:font w:name="*Arial-5652-Identity-H">
    <w:altName w:val="Calibri"/>
    <w:panose1 w:val="00000000000000000000"/>
    <w:charset w:val="00"/>
    <w:family w:val="auto"/>
    <w:notTrueType/>
    <w:pitch w:val="default"/>
    <w:sig w:usb0="00000003" w:usb1="00000000" w:usb2="00000000" w:usb3="00000000" w:csb0="00000001" w:csb1="00000000"/>
  </w:font>
  <w:font w:name="*Arial-5651-Identity-H">
    <w:altName w:val="Calibri"/>
    <w:panose1 w:val="00000000000000000000"/>
    <w:charset w:val="00"/>
    <w:family w:val="auto"/>
    <w:notTrueType/>
    <w:pitch w:val="default"/>
    <w:sig w:usb0="00000003" w:usb1="00000000" w:usb2="00000000" w:usb3="00000000" w:csb0="00000001" w:csb1="00000000"/>
  </w:font>
  <w:font w:name="*Arial-8155-Identity-H">
    <w:altName w:val="Calibri"/>
    <w:panose1 w:val="00000000000000000000"/>
    <w:charset w:val="00"/>
    <w:family w:val="auto"/>
    <w:notTrueType/>
    <w:pitch w:val="default"/>
    <w:sig w:usb0="00000003" w:usb1="00000000" w:usb2="00000000" w:usb3="00000000" w:csb0="00000001" w:csb1="00000000"/>
  </w:font>
  <w:font w:name="*Times New Roman-Italic-8148-Id">
    <w:altName w:val="Calibri"/>
    <w:panose1 w:val="00000000000000000000"/>
    <w:charset w:val="00"/>
    <w:family w:val="auto"/>
    <w:notTrueType/>
    <w:pitch w:val="default"/>
    <w:sig w:usb0="00000003" w:usb1="00000000" w:usb2="00000000" w:usb3="00000000" w:csb0="00000001" w:csb1="00000000"/>
  </w:font>
  <w:font w:name="*Arial-Italic-8156-Identity-H">
    <w:altName w:val="Calibri"/>
    <w:panose1 w:val="00000000000000000000"/>
    <w:charset w:val="00"/>
    <w:family w:val="auto"/>
    <w:notTrueType/>
    <w:pitch w:val="default"/>
    <w:sig w:usb0="00000003" w:usb1="00000000" w:usb2="00000000" w:usb3="00000000" w:csb0="00000001" w:csb1="00000000"/>
  </w:font>
  <w:font w:name="*Arial-8154-Identity-H">
    <w:altName w:val="Calibri"/>
    <w:panose1 w:val="00000000000000000000"/>
    <w:charset w:val="00"/>
    <w:family w:val="auto"/>
    <w:notTrueType/>
    <w:pitch w:val="default"/>
    <w:sig w:usb0="00000003" w:usb1="00000000" w:usb2="00000000" w:usb3="00000000" w:csb0="00000001" w:csb1="00000000"/>
  </w:font>
  <w:font w:name="*Arial-6510-Identity-H">
    <w:altName w:val="Calibri"/>
    <w:panose1 w:val="00000000000000000000"/>
    <w:charset w:val="00"/>
    <w:family w:val="auto"/>
    <w:notTrueType/>
    <w:pitch w:val="default"/>
    <w:sig w:usb0="00000003" w:usb1="00000000" w:usb2="00000000" w:usb3="00000000" w:csb0="00000001" w:csb1="00000000"/>
  </w:font>
  <w:font w:name="*Arial-Italic-6511-Identity-H">
    <w:altName w:val="Calibri"/>
    <w:panose1 w:val="00000000000000000000"/>
    <w:charset w:val="00"/>
    <w:family w:val="auto"/>
    <w:notTrueType/>
    <w:pitch w:val="default"/>
    <w:sig w:usb0="00000003" w:usb1="00000000" w:usb2="00000000" w:usb3="00000000" w:csb0="00000001" w:csb1="00000000"/>
  </w:font>
  <w:font w:name="*Arial-7019-Identity-H">
    <w:altName w:val="Calibri"/>
    <w:panose1 w:val="00000000000000000000"/>
    <w:charset w:val="00"/>
    <w:family w:val="auto"/>
    <w:notTrueType/>
    <w:pitch w:val="default"/>
    <w:sig w:usb0="00000003" w:usb1="00000000" w:usb2="00000000" w:usb3="00000000" w:csb0="00000001" w:csb1="00000000"/>
  </w:font>
  <w:font w:name="*Arial-Italic-7020-Identity-H">
    <w:altName w:val="Calibri"/>
    <w:panose1 w:val="00000000000000000000"/>
    <w:charset w:val="00"/>
    <w:family w:val="auto"/>
    <w:notTrueType/>
    <w:pitch w:val="default"/>
    <w:sig w:usb0="00000003" w:usb1="00000000" w:usb2="00000000" w:usb3="00000000" w:csb0="00000001" w:csb1="00000000"/>
  </w:font>
  <w:font w:name="*Microsoft Sans Serif-Italic-70">
    <w:altName w:val="Calibri"/>
    <w:panose1 w:val="00000000000000000000"/>
    <w:charset w:val="00"/>
    <w:family w:val="auto"/>
    <w:notTrueType/>
    <w:pitch w:val="default"/>
    <w:sig w:usb0="00000003" w:usb1="00000000" w:usb2="00000000" w:usb3="00000000" w:csb0="00000001" w:csb1="00000000"/>
  </w:font>
  <w:font w:name="*Arial-Bold-4460-Identity-H">
    <w:altName w:val="Calibri"/>
    <w:panose1 w:val="00000000000000000000"/>
    <w:charset w:val="00"/>
    <w:family w:val="auto"/>
    <w:notTrueType/>
    <w:pitch w:val="default"/>
    <w:sig w:usb0="00000003" w:usb1="00000000" w:usb2="00000000" w:usb3="00000000" w:csb0="00000001" w:csb1="00000000"/>
  </w:font>
  <w:font w:name="*Arial-4459-Identity-H">
    <w:altName w:val="Calibri"/>
    <w:panose1 w:val="00000000000000000000"/>
    <w:charset w:val="00"/>
    <w:family w:val="auto"/>
    <w:notTrueType/>
    <w:pitch w:val="default"/>
    <w:sig w:usb0="00000003" w:usb1="00000000" w:usb2="00000000" w:usb3="00000000" w:csb0="00000001" w:csb1="00000000"/>
  </w:font>
  <w:font w:name="*Arial-6135-Identity-H">
    <w:altName w:val="Calibri"/>
    <w:panose1 w:val="00000000000000000000"/>
    <w:charset w:val="00"/>
    <w:family w:val="auto"/>
    <w:notTrueType/>
    <w:pitch w:val="default"/>
    <w:sig w:usb0="00000003" w:usb1="00000000" w:usb2="00000000" w:usb3="00000000" w:csb0="00000001" w:csb1="00000000"/>
  </w:font>
  <w:font w:name="*Arial-Italic-6137-Identity-H">
    <w:altName w:val="Calibri"/>
    <w:panose1 w:val="00000000000000000000"/>
    <w:charset w:val="00"/>
    <w:family w:val="auto"/>
    <w:notTrueType/>
    <w:pitch w:val="default"/>
    <w:sig w:usb0="00000003" w:usb1="00000000" w:usb2="00000000" w:usb3="00000000" w:csb0="00000001" w:csb1="00000000"/>
  </w:font>
  <w:font w:name="*Arial-Bold-6136-Identity-H">
    <w:altName w:val="Calibri"/>
    <w:panose1 w:val="00000000000000000000"/>
    <w:charset w:val="00"/>
    <w:family w:val="auto"/>
    <w:notTrueType/>
    <w:pitch w:val="default"/>
    <w:sig w:usb0="00000003" w:usb1="00000000" w:usb2="00000000" w:usb3="00000000" w:csb0="00000001" w:csb1="00000000"/>
  </w:font>
  <w:font w:name="*Arial-5166-Identity-H">
    <w:altName w:val="Calibri"/>
    <w:panose1 w:val="00000000000000000000"/>
    <w:charset w:val="00"/>
    <w:family w:val="auto"/>
    <w:notTrueType/>
    <w:pitch w:val="default"/>
    <w:sig w:usb0="00000003" w:usb1="00000000" w:usb2="00000000" w:usb3="00000000" w:csb0="00000001" w:csb1="00000000"/>
  </w:font>
  <w:font w:name="*Arial-6402-Identity-H">
    <w:altName w:val="Calibri"/>
    <w:panose1 w:val="00000000000000000000"/>
    <w:charset w:val="00"/>
    <w:family w:val="auto"/>
    <w:notTrueType/>
    <w:pitch w:val="default"/>
    <w:sig w:usb0="00000003" w:usb1="00000000" w:usb2="00000000" w:usb3="00000000" w:csb0="00000001" w:csb1="00000000"/>
  </w:font>
  <w:font w:name="*Arial-Italic-6403-Identity-H">
    <w:altName w:val="Calibri"/>
    <w:panose1 w:val="00000000000000000000"/>
    <w:charset w:val="00"/>
    <w:family w:val="auto"/>
    <w:notTrueType/>
    <w:pitch w:val="default"/>
    <w:sig w:usb0="00000003" w:usb1="00000000" w:usb2="00000000" w:usb3="00000000" w:csb0="00000001" w:csb1="00000000"/>
  </w:font>
  <w:font w:name="*Arial-7008-Identity-H">
    <w:altName w:val="Calibri"/>
    <w:panose1 w:val="00000000000000000000"/>
    <w:charset w:val="00"/>
    <w:family w:val="auto"/>
    <w:notTrueType/>
    <w:pitch w:val="default"/>
    <w:sig w:usb0="00000003" w:usb1="00000000" w:usb2="00000000" w:usb3="00000000" w:csb0="00000001" w:csb1="00000000"/>
  </w:font>
  <w:font w:name="*Arial-Italic-7009-Identity-H">
    <w:altName w:val="Calibri"/>
    <w:panose1 w:val="00000000000000000000"/>
    <w:charset w:val="00"/>
    <w:family w:val="auto"/>
    <w:notTrueType/>
    <w:pitch w:val="default"/>
    <w:sig w:usb0="00000003" w:usb1="00000000" w:usb2="00000000" w:usb3="00000000" w:csb0="00000001" w:csb1="00000000"/>
  </w:font>
  <w:font w:name="*Arial-6771-Identity-H">
    <w:altName w:val="Calibri"/>
    <w:panose1 w:val="00000000000000000000"/>
    <w:charset w:val="00"/>
    <w:family w:val="auto"/>
    <w:notTrueType/>
    <w:pitch w:val="default"/>
    <w:sig w:usb0="00000003" w:usb1="00000000" w:usb2="00000000" w:usb3="00000000" w:csb0="00000001" w:csb1="00000000"/>
  </w:font>
  <w:font w:name="*Arial-Italic-6772-Identity-H">
    <w:altName w:val="Calibri"/>
    <w:panose1 w:val="00000000000000000000"/>
    <w:charset w:val="00"/>
    <w:family w:val="auto"/>
    <w:notTrueType/>
    <w:pitch w:val="default"/>
    <w:sig w:usb0="00000003" w:usb1="00000000" w:usb2="00000000" w:usb3="00000000" w:csb0="00000001" w:csb1="00000000"/>
  </w:font>
  <w:font w:name="*Calibri-6769-Identity-H">
    <w:altName w:val="Calibri"/>
    <w:panose1 w:val="00000000000000000000"/>
    <w:charset w:val="00"/>
    <w:family w:val="auto"/>
    <w:notTrueType/>
    <w:pitch w:val="default"/>
    <w:sig w:usb0="00000003" w:usb1="00000000" w:usb2="00000000" w:usb3="00000000" w:csb0="00000001" w:csb1="00000000"/>
  </w:font>
  <w:font w:name="*Arial-5755-Identity-H">
    <w:altName w:val="Calibri"/>
    <w:panose1 w:val="00000000000000000000"/>
    <w:charset w:val="00"/>
    <w:family w:val="auto"/>
    <w:notTrueType/>
    <w:pitch w:val="default"/>
    <w:sig w:usb0="00000003" w:usb1="00000000" w:usb2="00000000" w:usb3="00000000" w:csb0="00000001" w:csb1="00000000"/>
  </w:font>
  <w:font w:name="*Arial-Italic-5757-Identity-H">
    <w:altName w:val="Calibri"/>
    <w:panose1 w:val="00000000000000000000"/>
    <w:charset w:val="00"/>
    <w:family w:val="auto"/>
    <w:notTrueType/>
    <w:pitch w:val="default"/>
    <w:sig w:usb0="00000003" w:usb1="00000000" w:usb2="00000000" w:usb3="00000000" w:csb0="00000001" w:csb1="00000000"/>
  </w:font>
  <w:font w:name="*Arial-Bold-5756-Identity-H">
    <w:altName w:val="Calibri"/>
    <w:panose1 w:val="00000000000000000000"/>
    <w:charset w:val="00"/>
    <w:family w:val="auto"/>
    <w:notTrueType/>
    <w:pitch w:val="default"/>
    <w:sig w:usb0="00000003" w:usb1="00000000" w:usb2="00000000" w:usb3="00000000" w:csb0="00000001" w:csb1="00000000"/>
  </w:font>
  <w:font w:name="*Arial-5019-Identity-H">
    <w:altName w:val="Calibri"/>
    <w:panose1 w:val="00000000000000000000"/>
    <w:charset w:val="00"/>
    <w:family w:val="auto"/>
    <w:notTrueType/>
    <w:pitch w:val="default"/>
    <w:sig w:usb0="00000003" w:usb1="00000000" w:usb2="00000000" w:usb3="00000000" w:csb0="00000001" w:csb1="00000000"/>
  </w:font>
  <w:font w:name="*Arial-5190-Identity-H">
    <w:altName w:val="Calibri"/>
    <w:panose1 w:val="00000000000000000000"/>
    <w:charset w:val="00"/>
    <w:family w:val="auto"/>
    <w:notTrueType/>
    <w:pitch w:val="default"/>
    <w:sig w:usb0="00000003" w:usb1="00000000" w:usb2="00000000" w:usb3="00000000" w:csb0="00000001" w:csb1="00000000"/>
  </w:font>
  <w:font w:name="*Arial-5188-Identity-H">
    <w:altName w:val="Calibri"/>
    <w:panose1 w:val="00000000000000000000"/>
    <w:charset w:val="00"/>
    <w:family w:val="auto"/>
    <w:notTrueType/>
    <w:pitch w:val="default"/>
    <w:sig w:usb0="00000003" w:usb1="00000000" w:usb2="00000000" w:usb3="00000000" w:csb0="00000001" w:csb1="00000000"/>
  </w:font>
  <w:font w:name="*Arial-Bold-5189-Identity-H">
    <w:altName w:val="Calibri"/>
    <w:panose1 w:val="00000000000000000000"/>
    <w:charset w:val="00"/>
    <w:family w:val="auto"/>
    <w:notTrueType/>
    <w:pitch w:val="default"/>
    <w:sig w:usb0="00000003" w:usb1="00000000" w:usb2="00000000" w:usb3="00000000" w:csb0="00000001" w:csb1="00000000"/>
  </w:font>
  <w:font w:name="*Arial-3734-Identity-H">
    <w:altName w:val="Calibri"/>
    <w:panose1 w:val="00000000000000000000"/>
    <w:charset w:val="00"/>
    <w:family w:val="auto"/>
    <w:notTrueType/>
    <w:pitch w:val="default"/>
    <w:sig w:usb0="00000003" w:usb1="00000000" w:usb2="00000000" w:usb3="00000000" w:csb0="00000001" w:csb1="00000000"/>
  </w:font>
  <w:font w:name="*Arial-Bold-5672-Identity-H">
    <w:altName w:val="Calibri"/>
    <w:panose1 w:val="00000000000000000000"/>
    <w:charset w:val="00"/>
    <w:family w:val="auto"/>
    <w:notTrueType/>
    <w:pitch w:val="default"/>
    <w:sig w:usb0="00000003" w:usb1="00000000" w:usb2="00000000" w:usb3="00000000" w:csb0="00000001" w:csb1="00000000"/>
  </w:font>
  <w:font w:name="*Arial-5670-Identity-H">
    <w:altName w:val="Calibri"/>
    <w:panose1 w:val="00000000000000000000"/>
    <w:charset w:val="00"/>
    <w:family w:val="auto"/>
    <w:notTrueType/>
    <w:pitch w:val="default"/>
    <w:sig w:usb0="00000003" w:usb1="00000000" w:usb2="00000000" w:usb3="00000000" w:csb0="00000001" w:csb1="00000000"/>
  </w:font>
  <w:font w:name="*Arial-Bold-5671-Identity-H">
    <w:altName w:val="Calibri"/>
    <w:panose1 w:val="00000000000000000000"/>
    <w:charset w:val="00"/>
    <w:family w:val="auto"/>
    <w:notTrueType/>
    <w:pitch w:val="default"/>
    <w:sig w:usb0="00000003" w:usb1="00000000" w:usb2="00000000" w:usb3="00000000" w:csb0="00000001" w:csb1="00000000"/>
  </w:font>
  <w:font w:name="*Microsoft Sans Serif-Bold-5674">
    <w:altName w:val="Calibri"/>
    <w:panose1 w:val="00000000000000000000"/>
    <w:charset w:val="00"/>
    <w:family w:val="auto"/>
    <w:notTrueType/>
    <w:pitch w:val="default"/>
    <w:sig w:usb0="00000003" w:usb1="00000000" w:usb2="00000000" w:usb3="00000000" w:csb0="00000001" w:csb1="00000000"/>
  </w:font>
  <w:font w:name="*Arial-5249-Identity-H">
    <w:altName w:val="Calibri"/>
    <w:panose1 w:val="00000000000000000000"/>
    <w:charset w:val="00"/>
    <w:family w:val="auto"/>
    <w:notTrueType/>
    <w:pitch w:val="default"/>
    <w:sig w:usb0="00000003" w:usb1="00000000" w:usb2="00000000" w:usb3="00000000" w:csb0="00000001" w:csb1="00000000"/>
  </w:font>
  <w:font w:name="*Microsoft Sans Serif-Bold-5251">
    <w:altName w:val="Calibri"/>
    <w:panose1 w:val="00000000000000000000"/>
    <w:charset w:val="00"/>
    <w:family w:val="auto"/>
    <w:notTrueType/>
    <w:pitch w:val="default"/>
    <w:sig w:usb0="00000003" w:usb1="00000000" w:usb2="00000000" w:usb3="00000000" w:csb0="00000001" w:csb1="00000000"/>
  </w:font>
  <w:font w:name="*Arial-Bold-5250-Identity-H">
    <w:altName w:val="Calibri"/>
    <w:panose1 w:val="00000000000000000000"/>
    <w:charset w:val="00"/>
    <w:family w:val="auto"/>
    <w:notTrueType/>
    <w:pitch w:val="default"/>
    <w:sig w:usb0="00000003" w:usb1="00000000" w:usb2="00000000" w:usb3="00000000" w:csb0="00000001" w:csb1="00000000"/>
  </w:font>
  <w:font w:name="*Arial-5258-Identity-H">
    <w:altName w:val="Calibri"/>
    <w:panose1 w:val="00000000000000000000"/>
    <w:charset w:val="00"/>
    <w:family w:val="auto"/>
    <w:notTrueType/>
    <w:pitch w:val="default"/>
    <w:sig w:usb0="00000003" w:usb1="00000000" w:usb2="00000000" w:usb3="00000000" w:csb0="00000001" w:csb1="00000000"/>
  </w:font>
  <w:font w:name="*Arial-Bold-6179-Identity-H">
    <w:altName w:val="Calibri"/>
    <w:panose1 w:val="00000000000000000000"/>
    <w:charset w:val="00"/>
    <w:family w:val="auto"/>
    <w:notTrueType/>
    <w:pitch w:val="default"/>
    <w:sig w:usb0="00000003" w:usb1="00000000" w:usb2="00000000" w:usb3="00000000" w:csb0="00000001" w:csb1="00000000"/>
  </w:font>
  <w:font w:name="*Arial-6178-Identity-H">
    <w:altName w:val="Calibri"/>
    <w:panose1 w:val="00000000000000000000"/>
    <w:charset w:val="00"/>
    <w:family w:val="auto"/>
    <w:notTrueType/>
    <w:pitch w:val="default"/>
    <w:sig w:usb0="00000003" w:usb1="00000000" w:usb2="00000000" w:usb3="00000000" w:csb0="00000001" w:csb1="00000000"/>
  </w:font>
  <w:font w:name="*Microsoft Sans Serif-Bold-6180">
    <w:altName w:val="Calibri"/>
    <w:panose1 w:val="00000000000000000000"/>
    <w:charset w:val="00"/>
    <w:family w:val="auto"/>
    <w:notTrueType/>
    <w:pitch w:val="default"/>
    <w:sig w:usb0="00000003" w:usb1="00000000" w:usb2="00000000" w:usb3="00000000" w:csb0="00000001" w:csb1="00000000"/>
  </w:font>
  <w:font w:name="*Arial-5843-Identity-H">
    <w:altName w:val="Calibri"/>
    <w:panose1 w:val="00000000000000000000"/>
    <w:charset w:val="00"/>
    <w:family w:val="auto"/>
    <w:notTrueType/>
    <w:pitch w:val="default"/>
    <w:sig w:usb0="00000003" w:usb1="00000000" w:usb2="00000000" w:usb3="00000000" w:csb0="00000001" w:csb1="00000000"/>
  </w:font>
  <w:font w:name="*Arial-5764-Identity-H">
    <w:altName w:val="Calibri"/>
    <w:panose1 w:val="00000000000000000000"/>
    <w:charset w:val="00"/>
    <w:family w:val="auto"/>
    <w:notTrueType/>
    <w:pitch w:val="default"/>
    <w:sig w:usb0="00000003" w:usb1="00000000" w:usb2="00000000" w:usb3="00000000" w:csb0="00000001" w:csb1="00000000"/>
  </w:font>
  <w:font w:name="*Arial-5763-Identity-H">
    <w:altName w:val="Calibri"/>
    <w:panose1 w:val="00000000000000000000"/>
    <w:charset w:val="00"/>
    <w:family w:val="auto"/>
    <w:notTrueType/>
    <w:pitch w:val="default"/>
    <w:sig w:usb0="00000003" w:usb1="00000000" w:usb2="00000000" w:usb3="00000000" w:csb0="00000001" w:csb1="00000000"/>
  </w:font>
  <w:font w:name="*Arial-7621-Identity-H">
    <w:altName w:val="Calibri"/>
    <w:panose1 w:val="00000000000000000000"/>
    <w:charset w:val="00"/>
    <w:family w:val="auto"/>
    <w:notTrueType/>
    <w:pitch w:val="default"/>
    <w:sig w:usb0="00000003" w:usb1="00000000" w:usb2="00000000" w:usb3="00000000" w:csb0="00000001" w:csb1="00000000"/>
  </w:font>
  <w:font w:name="*Times New Roman-Italic-7618-Id">
    <w:altName w:val="Calibri"/>
    <w:panose1 w:val="00000000000000000000"/>
    <w:charset w:val="00"/>
    <w:family w:val="auto"/>
    <w:notTrueType/>
    <w:pitch w:val="default"/>
    <w:sig w:usb0="00000003" w:usb1="00000000" w:usb2="00000000" w:usb3="00000000" w:csb0="00000001" w:csb1="00000000"/>
  </w:font>
  <w:font w:name="*Arial-Italic-7622-Identity-H">
    <w:altName w:val="Calibri"/>
    <w:panose1 w:val="00000000000000000000"/>
    <w:charset w:val="00"/>
    <w:family w:val="auto"/>
    <w:notTrueType/>
    <w:pitch w:val="default"/>
    <w:sig w:usb0="00000003" w:usb1="00000000" w:usb2="00000000" w:usb3="00000000" w:csb0="00000001" w:csb1="00000000"/>
  </w:font>
  <w:font w:name="*Arial-7620-Identity-H">
    <w:altName w:val="Calibri"/>
    <w:panose1 w:val="00000000000000000000"/>
    <w:charset w:val="00"/>
    <w:family w:val="auto"/>
    <w:notTrueType/>
    <w:pitch w:val="default"/>
    <w:sig w:usb0="00000003" w:usb1="00000000" w:usb2="00000000" w:usb3="00000000" w:csb0="00000001" w:csb1="00000000"/>
  </w:font>
  <w:font w:name="*Arial-6343-Identity-H">
    <w:altName w:val="Calibri"/>
    <w:panose1 w:val="00000000000000000000"/>
    <w:charset w:val="00"/>
    <w:family w:val="auto"/>
    <w:notTrueType/>
    <w:pitch w:val="default"/>
    <w:sig w:usb0="00000003" w:usb1="00000000" w:usb2="00000000" w:usb3="00000000" w:csb0="00000001" w:csb1="00000000"/>
  </w:font>
  <w:font w:name="*Arial-Italic-6344-Identity-H">
    <w:altName w:val="Calibri"/>
    <w:panose1 w:val="00000000000000000000"/>
    <w:charset w:val="00"/>
    <w:family w:val="auto"/>
    <w:notTrueType/>
    <w:pitch w:val="default"/>
    <w:sig w:usb0="00000003" w:usb1="00000000" w:usb2="00000000" w:usb3="00000000" w:csb0="00000001" w:csb1="00000000"/>
  </w:font>
  <w:font w:name="*Arial-4406-Identity-H">
    <w:altName w:val="Calibri"/>
    <w:panose1 w:val="00000000000000000000"/>
    <w:charset w:val="00"/>
    <w:family w:val="auto"/>
    <w:notTrueType/>
    <w:pitch w:val="default"/>
    <w:sig w:usb0="00000003" w:usb1="00000000" w:usb2="00000000" w:usb3="00000000" w:csb0="00000001" w:csb1="00000000"/>
  </w:font>
  <w:font w:name="*Arial-4404-Identity-H">
    <w:altName w:val="Calibri"/>
    <w:panose1 w:val="00000000000000000000"/>
    <w:charset w:val="00"/>
    <w:family w:val="auto"/>
    <w:notTrueType/>
    <w:pitch w:val="default"/>
    <w:sig w:usb0="00000003" w:usb1="00000000" w:usb2="00000000" w:usb3="00000000" w:csb0="00000001" w:csb1="00000000"/>
  </w:font>
  <w:font w:name="*Arial-Bold-4405-Identity-H">
    <w:altName w:val="Calibri"/>
    <w:panose1 w:val="00000000000000000000"/>
    <w:charset w:val="00"/>
    <w:family w:val="auto"/>
    <w:notTrueType/>
    <w:pitch w:val="default"/>
    <w:sig w:usb0="00000003" w:usb1="00000000" w:usb2="00000000" w:usb3="00000000" w:csb0="00000001" w:csb1="00000000"/>
  </w:font>
  <w:font w:name="*Arial-5879-Identity-H">
    <w:altName w:val="Calibri"/>
    <w:panose1 w:val="00000000000000000000"/>
    <w:charset w:val="00"/>
    <w:family w:val="auto"/>
    <w:notTrueType/>
    <w:pitch w:val="default"/>
    <w:sig w:usb0="00000003" w:usb1="00000000" w:usb2="00000000" w:usb3="00000000" w:csb0="00000001" w:csb1="00000000"/>
  </w:font>
  <w:font w:name="*Microsoft Sans Serif-5882-Iden">
    <w:altName w:val="Calibri"/>
    <w:panose1 w:val="00000000000000000000"/>
    <w:charset w:val="00"/>
    <w:family w:val="auto"/>
    <w:notTrueType/>
    <w:pitch w:val="default"/>
    <w:sig w:usb0="00000003" w:usb1="00000000" w:usb2="00000000" w:usb3="00000000" w:csb0="00000001" w:csb1="00000000"/>
  </w:font>
  <w:font w:name="*Arial-Italic-5880-Identity-H">
    <w:altName w:val="Calibri"/>
    <w:panose1 w:val="00000000000000000000"/>
    <w:charset w:val="00"/>
    <w:family w:val="auto"/>
    <w:notTrueType/>
    <w:pitch w:val="default"/>
    <w:sig w:usb0="00000003" w:usb1="00000000" w:usb2="00000000" w:usb3="00000000" w:csb0="00000001" w:csb1="00000000"/>
  </w:font>
  <w:font w:name="*Arial-5410-Identity-H">
    <w:altName w:val="Calibri"/>
    <w:panose1 w:val="00000000000000000000"/>
    <w:charset w:val="00"/>
    <w:family w:val="auto"/>
    <w:notTrueType/>
    <w:pitch w:val="default"/>
    <w:sig w:usb0="00000003" w:usb1="00000000" w:usb2="00000000" w:usb3="00000000" w:csb0="00000001" w:csb1="00000000"/>
  </w:font>
  <w:font w:name="*Arial-Bold-5411-Identity-H">
    <w:altName w:val="Calibri"/>
    <w:panose1 w:val="00000000000000000000"/>
    <w:charset w:val="00"/>
    <w:family w:val="auto"/>
    <w:notTrueType/>
    <w:pitch w:val="default"/>
    <w:sig w:usb0="00000003" w:usb1="00000000" w:usb2="00000000" w:usb3="00000000" w:csb0="00000001" w:csb1="00000000"/>
  </w:font>
  <w:font w:name="*Arial-6054-Identity-H">
    <w:altName w:val="Calibri"/>
    <w:panose1 w:val="00000000000000000000"/>
    <w:charset w:val="00"/>
    <w:family w:val="auto"/>
    <w:notTrueType/>
    <w:pitch w:val="default"/>
    <w:sig w:usb0="00000003" w:usb1="00000000" w:usb2="00000000" w:usb3="00000000" w:csb0="00000001" w:csb1="00000000"/>
  </w:font>
  <w:font w:name="*Arial-4805-Identity-H">
    <w:altName w:val="Calibri"/>
    <w:panose1 w:val="00000000000000000000"/>
    <w:charset w:val="00"/>
    <w:family w:val="auto"/>
    <w:notTrueType/>
    <w:pitch w:val="default"/>
    <w:sig w:usb0="00000003" w:usb1="00000000" w:usb2="00000000" w:usb3="00000000" w:csb0="00000001" w:csb1="00000000"/>
  </w:font>
  <w:font w:name="*Arial-Italic-6055-Identity-H">
    <w:altName w:val="Calibri"/>
    <w:panose1 w:val="00000000000000000000"/>
    <w:charset w:val="00"/>
    <w:family w:val="auto"/>
    <w:notTrueType/>
    <w:pitch w:val="default"/>
    <w:sig w:usb0="00000003" w:usb1="00000000" w:usb2="00000000" w:usb3="00000000" w:csb0="00000001" w:csb1="00000000"/>
  </w:font>
  <w:font w:name="*Microsoft Sans Serif-4807-Iden">
    <w:altName w:val="Calibri"/>
    <w:panose1 w:val="00000000000000000000"/>
    <w:charset w:val="00"/>
    <w:family w:val="auto"/>
    <w:notTrueType/>
    <w:pitch w:val="default"/>
    <w:sig w:usb0="00000003" w:usb1="00000000" w:usb2="00000000" w:usb3="00000000" w:csb0="00000001" w:csb1="00000000"/>
  </w:font>
  <w:font w:name="*Arial-5727-Identity-H">
    <w:altName w:val="Calibri"/>
    <w:panose1 w:val="00000000000000000000"/>
    <w:charset w:val="00"/>
    <w:family w:val="auto"/>
    <w:notTrueType/>
    <w:pitch w:val="default"/>
    <w:sig w:usb0="00000003" w:usb1="00000000" w:usb2="00000000" w:usb3="00000000" w:csb0="00000001" w:csb1="00000000"/>
  </w:font>
  <w:font w:name="*Arial-5725-Identity-H">
    <w:altName w:val="Calibri"/>
    <w:panose1 w:val="00000000000000000000"/>
    <w:charset w:val="00"/>
    <w:family w:val="auto"/>
    <w:notTrueType/>
    <w:pitch w:val="default"/>
    <w:sig w:usb0="00000003" w:usb1="00000000" w:usb2="00000000" w:usb3="00000000" w:csb0="00000001" w:csb1="00000000"/>
  </w:font>
  <w:font w:name="*Arial-Italic-5726-Identity-H">
    <w:altName w:val="Calibri"/>
    <w:panose1 w:val="00000000000000000000"/>
    <w:charset w:val="00"/>
    <w:family w:val="auto"/>
    <w:notTrueType/>
    <w:pitch w:val="default"/>
    <w:sig w:usb0="00000003" w:usb1="00000000" w:usb2="00000000" w:usb3="00000000" w:csb0="00000001" w:csb1="00000000"/>
  </w:font>
  <w:font w:name="*Arial-Bold-5078-Identity-H">
    <w:altName w:val="Calibri"/>
    <w:panose1 w:val="00000000000000000000"/>
    <w:charset w:val="00"/>
    <w:family w:val="auto"/>
    <w:notTrueType/>
    <w:pitch w:val="default"/>
    <w:sig w:usb0="00000003" w:usb1="00000000" w:usb2="00000000" w:usb3="00000000" w:csb0="00000001" w:csb1="00000000"/>
  </w:font>
  <w:font w:name="*Arial-6102-Identity-H">
    <w:altName w:val="Calibri"/>
    <w:panose1 w:val="00000000000000000000"/>
    <w:charset w:val="00"/>
    <w:family w:val="auto"/>
    <w:notTrueType/>
    <w:pitch w:val="default"/>
    <w:sig w:usb0="00000003" w:usb1="00000000" w:usb2="00000000" w:usb3="00000000" w:csb0="00000001" w:csb1="00000000"/>
  </w:font>
  <w:font w:name="*Arial-Bold-6104-Identity-H">
    <w:altName w:val="Calibri"/>
    <w:panose1 w:val="00000000000000000000"/>
    <w:charset w:val="00"/>
    <w:family w:val="auto"/>
    <w:notTrueType/>
    <w:pitch w:val="default"/>
    <w:sig w:usb0="00000003" w:usb1="00000000" w:usb2="00000000" w:usb3="00000000" w:csb0="00000001" w:csb1="00000000"/>
  </w:font>
  <w:font w:name="*Arial-Bold-6103-Identity-H">
    <w:altName w:val="Calibri"/>
    <w:panose1 w:val="00000000000000000000"/>
    <w:charset w:val="00"/>
    <w:family w:val="auto"/>
    <w:notTrueType/>
    <w:pitch w:val="default"/>
    <w:sig w:usb0="00000003" w:usb1="00000000" w:usb2="00000000" w:usb3="00000000" w:csb0="00000001" w:csb1="00000000"/>
  </w:font>
  <w:font w:name="*Arial-5122-Identity-H">
    <w:altName w:val="Calibri"/>
    <w:panose1 w:val="00000000000000000000"/>
    <w:charset w:val="00"/>
    <w:family w:val="auto"/>
    <w:notTrueType/>
    <w:pitch w:val="default"/>
    <w:sig w:usb0="00000003" w:usb1="00000000" w:usb2="00000000" w:usb3="00000000" w:csb0="00000001" w:csb1="00000000"/>
  </w:font>
  <w:font w:name="*Arial-Bold-5436-Identity-H">
    <w:altName w:val="Calibri"/>
    <w:panose1 w:val="00000000000000000000"/>
    <w:charset w:val="00"/>
    <w:family w:val="auto"/>
    <w:notTrueType/>
    <w:pitch w:val="default"/>
    <w:sig w:usb0="00000003" w:usb1="00000000" w:usb2="00000000" w:usb3="00000000" w:csb0="00000001" w:csb1="00000000"/>
  </w:font>
  <w:font w:name="*Arial-5434-Identity-H">
    <w:altName w:val="Calibri"/>
    <w:panose1 w:val="00000000000000000000"/>
    <w:charset w:val="00"/>
    <w:family w:val="auto"/>
    <w:notTrueType/>
    <w:pitch w:val="default"/>
    <w:sig w:usb0="00000003" w:usb1="00000000" w:usb2="00000000" w:usb3="00000000" w:csb0="00000001" w:csb1="00000000"/>
  </w:font>
  <w:font w:name="*Arial-5139-Identity-H">
    <w:altName w:val="Calibri"/>
    <w:panose1 w:val="00000000000000000000"/>
    <w:charset w:val="00"/>
    <w:family w:val="auto"/>
    <w:notTrueType/>
    <w:pitch w:val="default"/>
    <w:sig w:usb0="00000003" w:usb1="00000000" w:usb2="00000000" w:usb3="00000000" w:csb0="00000001" w:csb1="00000000"/>
  </w:font>
  <w:font w:name="*Arial-Bold-5141-Identity-H">
    <w:altName w:val="Calibri"/>
    <w:panose1 w:val="00000000000000000000"/>
    <w:charset w:val="00"/>
    <w:family w:val="auto"/>
    <w:notTrueType/>
    <w:pitch w:val="default"/>
    <w:sig w:usb0="00000003" w:usb1="00000000" w:usb2="00000000" w:usb3="00000000" w:csb0="00000001" w:csb1="00000000"/>
  </w:font>
  <w:font w:name="*Arial-Bold-5140-Identity-H">
    <w:altName w:val="Calibri"/>
    <w:panose1 w:val="00000000000000000000"/>
    <w:charset w:val="00"/>
    <w:family w:val="auto"/>
    <w:notTrueType/>
    <w:pitch w:val="default"/>
    <w:sig w:usb0="00000003" w:usb1="00000000" w:usb2="00000000" w:usb3="00000000" w:csb0="00000001" w:csb1="00000000"/>
  </w:font>
  <w:font w:name="*Arial-5241-Identity-H">
    <w:altName w:val="Calibri"/>
    <w:panose1 w:val="00000000000000000000"/>
    <w:charset w:val="00"/>
    <w:family w:val="auto"/>
    <w:notTrueType/>
    <w:pitch w:val="default"/>
    <w:sig w:usb0="00000003" w:usb1="00000000" w:usb2="00000000" w:usb3="00000000" w:csb0="00000001" w:csb1="00000000"/>
  </w:font>
  <w:font w:name="*Arial-5247-Identity-H">
    <w:altName w:val="Calibri"/>
    <w:panose1 w:val="00000000000000000000"/>
    <w:charset w:val="00"/>
    <w:family w:val="auto"/>
    <w:notTrueType/>
    <w:pitch w:val="default"/>
    <w:sig w:usb0="00000003" w:usb1="00000000" w:usb2="00000000" w:usb3="00000000" w:csb0="00000001" w:csb1="00000000"/>
  </w:font>
  <w:font w:name="*Arial-6269-Identity-H">
    <w:altName w:val="Calibri"/>
    <w:panose1 w:val="00000000000000000000"/>
    <w:charset w:val="00"/>
    <w:family w:val="auto"/>
    <w:notTrueType/>
    <w:pitch w:val="default"/>
    <w:sig w:usb0="00000003" w:usb1="00000000" w:usb2="00000000" w:usb3="00000000" w:csb0="00000001" w:csb1="00000000"/>
  </w:font>
  <w:font w:name="*Arial-6266-Identity-H">
    <w:altName w:val="Calibri"/>
    <w:panose1 w:val="00000000000000000000"/>
    <w:charset w:val="00"/>
    <w:family w:val="auto"/>
    <w:notTrueType/>
    <w:pitch w:val="default"/>
    <w:sig w:usb0="00000003" w:usb1="00000000" w:usb2="00000000" w:usb3="00000000" w:csb0="00000001" w:csb1="00000000"/>
  </w:font>
  <w:font w:name="*Arial-Bold-6268-Identity-H">
    <w:altName w:val="Calibri"/>
    <w:panose1 w:val="00000000000000000000"/>
    <w:charset w:val="00"/>
    <w:family w:val="auto"/>
    <w:notTrueType/>
    <w:pitch w:val="default"/>
    <w:sig w:usb0="00000003" w:usb1="00000000" w:usb2="00000000" w:usb3="00000000" w:csb0="00000001" w:csb1="00000000"/>
  </w:font>
  <w:font w:name="*Arial-Bold-6267-Identity-H">
    <w:altName w:val="Calibri"/>
    <w:panose1 w:val="00000000000000000000"/>
    <w:charset w:val="00"/>
    <w:family w:val="auto"/>
    <w:notTrueType/>
    <w:pitch w:val="default"/>
    <w:sig w:usb0="00000003" w:usb1="00000000" w:usb2="00000000" w:usb3="00000000" w:csb0="00000001" w:csb1="00000000"/>
  </w:font>
  <w:font w:name="*Arial-5829-Identity-H">
    <w:altName w:val="Calibri"/>
    <w:panose1 w:val="00000000000000000000"/>
    <w:charset w:val="00"/>
    <w:family w:val="auto"/>
    <w:notTrueType/>
    <w:pitch w:val="default"/>
    <w:sig w:usb0="00000003" w:usb1="00000000" w:usb2="00000000" w:usb3="00000000" w:csb0="00000001" w:csb1="00000000"/>
  </w:font>
  <w:font w:name="*Arial-5809-Identity-H">
    <w:altName w:val="Calibri"/>
    <w:panose1 w:val="00000000000000000000"/>
    <w:charset w:val="00"/>
    <w:family w:val="auto"/>
    <w:notTrueType/>
    <w:pitch w:val="default"/>
    <w:sig w:usb0="00000003" w:usb1="00000000" w:usb2="00000000" w:usb3="00000000" w:csb0="00000001" w:csb1="00000000"/>
  </w:font>
  <w:font w:name="*Arial-5808-Identity-H">
    <w:altName w:val="Calibri"/>
    <w:panose1 w:val="00000000000000000000"/>
    <w:charset w:val="00"/>
    <w:family w:val="auto"/>
    <w:notTrueType/>
    <w:pitch w:val="default"/>
    <w:sig w:usb0="00000003" w:usb1="00000000" w:usb2="00000000" w:usb3="00000000" w:csb0="00000001" w:csb1="00000000"/>
  </w:font>
  <w:font w:name="*Arial-7921-Identity-H">
    <w:altName w:val="Calibri"/>
    <w:panose1 w:val="00000000000000000000"/>
    <w:charset w:val="00"/>
    <w:family w:val="auto"/>
    <w:notTrueType/>
    <w:pitch w:val="default"/>
    <w:sig w:usb0="00000003" w:usb1="00000000" w:usb2="00000000" w:usb3="00000000" w:csb0="00000001" w:csb1="00000000"/>
  </w:font>
  <w:font w:name="*Times New Roman-Italic-7919-Id">
    <w:altName w:val="Calibri"/>
    <w:panose1 w:val="00000000000000000000"/>
    <w:charset w:val="00"/>
    <w:family w:val="auto"/>
    <w:notTrueType/>
    <w:pitch w:val="default"/>
    <w:sig w:usb0="00000003" w:usb1="00000000" w:usb2="00000000" w:usb3="00000000" w:csb0="00000001" w:csb1="00000000"/>
  </w:font>
  <w:font w:name="*Arial-Italic-7922-Identity-H">
    <w:altName w:val="Calibri"/>
    <w:panose1 w:val="00000000000000000000"/>
    <w:charset w:val="00"/>
    <w:family w:val="auto"/>
    <w:notTrueType/>
    <w:pitch w:val="default"/>
    <w:sig w:usb0="00000003" w:usb1="00000000" w:usb2="00000000" w:usb3="00000000" w:csb0="00000001" w:csb1="00000000"/>
  </w:font>
  <w:font w:name="*Arial-7920-Identity-H">
    <w:altName w:val="Calibri"/>
    <w:panose1 w:val="00000000000000000000"/>
    <w:charset w:val="00"/>
    <w:family w:val="auto"/>
    <w:notTrueType/>
    <w:pitch w:val="default"/>
    <w:sig w:usb0="00000003" w:usb1="00000000" w:usb2="00000000" w:usb3="00000000" w:csb0="00000001" w:csb1="00000000"/>
  </w:font>
  <w:font w:name="*Arial-6654-Identity-H">
    <w:altName w:val="Calibri"/>
    <w:panose1 w:val="00000000000000000000"/>
    <w:charset w:val="00"/>
    <w:family w:val="auto"/>
    <w:notTrueType/>
    <w:pitch w:val="default"/>
    <w:sig w:usb0="00000003" w:usb1="00000000" w:usb2="00000000" w:usb3="00000000" w:csb0="00000001" w:csb1="00000000"/>
  </w:font>
  <w:font w:name="*Arial-Italic-6655-Identity-H">
    <w:altName w:val="Calibri"/>
    <w:panose1 w:val="00000000000000000000"/>
    <w:charset w:val="00"/>
    <w:family w:val="auto"/>
    <w:notTrueType/>
    <w:pitch w:val="default"/>
    <w:sig w:usb0="00000003" w:usb1="00000000" w:usb2="00000000" w:usb3="00000000" w:csb0="00000001" w:csb1="00000000"/>
  </w:font>
  <w:font w:name="*Arial-4288-Identity-H">
    <w:altName w:val="Calibri"/>
    <w:panose1 w:val="00000000000000000000"/>
    <w:charset w:val="00"/>
    <w:family w:val="auto"/>
    <w:notTrueType/>
    <w:pitch w:val="default"/>
    <w:sig w:usb0="00000003" w:usb1="00000000" w:usb2="00000000" w:usb3="00000000" w:csb0="00000001" w:csb1="00000000"/>
  </w:font>
  <w:font w:name="*Arial-4286-Identity-H">
    <w:altName w:val="Calibri"/>
    <w:panose1 w:val="00000000000000000000"/>
    <w:charset w:val="00"/>
    <w:family w:val="auto"/>
    <w:notTrueType/>
    <w:pitch w:val="default"/>
    <w:sig w:usb0="00000003" w:usb1="00000000" w:usb2="00000000" w:usb3="00000000" w:csb0="00000001" w:csb1="00000000"/>
  </w:font>
  <w:font w:name="*Arial-Bold-4287-Identity-H">
    <w:altName w:val="Calibri"/>
    <w:panose1 w:val="00000000000000000000"/>
    <w:charset w:val="00"/>
    <w:family w:val="auto"/>
    <w:notTrueType/>
    <w:pitch w:val="default"/>
    <w:sig w:usb0="00000003" w:usb1="00000000" w:usb2="00000000" w:usb3="00000000" w:csb0="00000001" w:csb1="00000000"/>
  </w:font>
  <w:font w:name="*Microsoft Sans Serif-6346-Iden">
    <w:altName w:val="Calibri"/>
    <w:panose1 w:val="00000000000000000000"/>
    <w:charset w:val="00"/>
    <w:family w:val="auto"/>
    <w:notTrueType/>
    <w:pitch w:val="default"/>
    <w:sig w:usb0="00000003" w:usb1="00000000" w:usb2="00000000" w:usb3="00000000" w:csb0="00000001" w:csb1="00000000"/>
  </w:font>
  <w:font w:name="*Arial-Bold-4832-Identity-H">
    <w:altName w:val="Calibri"/>
    <w:panose1 w:val="00000000000000000000"/>
    <w:charset w:val="00"/>
    <w:family w:val="auto"/>
    <w:notTrueType/>
    <w:pitch w:val="default"/>
    <w:sig w:usb0="00000003" w:usb1="00000000" w:usb2="00000000" w:usb3="00000000" w:csb0="00000001" w:csb1="00000000"/>
  </w:font>
  <w:font w:name="*Arial-4831-Identity-H">
    <w:altName w:val="Calibri"/>
    <w:panose1 w:val="00000000000000000000"/>
    <w:charset w:val="00"/>
    <w:family w:val="auto"/>
    <w:notTrueType/>
    <w:pitch w:val="default"/>
    <w:sig w:usb0="00000003" w:usb1="00000000" w:usb2="00000000" w:usb3="00000000" w:csb0="00000001" w:csb1="00000000"/>
  </w:font>
  <w:font w:name="*Arial-5526-Identity-H">
    <w:altName w:val="Calibri"/>
    <w:panose1 w:val="00000000000000000000"/>
    <w:charset w:val="00"/>
    <w:family w:val="auto"/>
    <w:notTrueType/>
    <w:pitch w:val="default"/>
    <w:sig w:usb0="00000003" w:usb1="00000000" w:usb2="00000000" w:usb3="00000000" w:csb0="00000001" w:csb1="00000000"/>
  </w:font>
  <w:font w:name="*Arial-6972-Identity-H">
    <w:altName w:val="Calibri"/>
    <w:panose1 w:val="00000000000000000000"/>
    <w:charset w:val="00"/>
    <w:family w:val="auto"/>
    <w:notTrueType/>
    <w:pitch w:val="default"/>
    <w:sig w:usb0="00000003" w:usb1="00000000" w:usb2="00000000" w:usb3="00000000" w:csb0="00000001" w:csb1="00000000"/>
  </w:font>
  <w:font w:name="*Arial-Italic-6973-Identity-H">
    <w:altName w:val="Calibri"/>
    <w:panose1 w:val="00000000000000000000"/>
    <w:charset w:val="00"/>
    <w:family w:val="auto"/>
    <w:notTrueType/>
    <w:pitch w:val="default"/>
    <w:sig w:usb0="00000003" w:usb1="00000000" w:usb2="00000000" w:usb3="00000000" w:csb0="00000001" w:csb1="00000000"/>
  </w:font>
  <w:font w:name="*Microsoft Sans Serif-Italic-69">
    <w:altName w:val="Calibri"/>
    <w:panose1 w:val="00000000000000000000"/>
    <w:charset w:val="00"/>
    <w:family w:val="auto"/>
    <w:notTrueType/>
    <w:pitch w:val="default"/>
    <w:sig w:usb0="00000003" w:usb1="00000000" w:usb2="00000000" w:usb3="00000000" w:csb0="00000001" w:csb1="00000000"/>
  </w:font>
  <w:font w:name="*Calibri-5419-Identity-H">
    <w:altName w:val="Calibri"/>
    <w:panose1 w:val="00000000000000000000"/>
    <w:charset w:val="00"/>
    <w:family w:val="auto"/>
    <w:notTrueType/>
    <w:pitch w:val="default"/>
    <w:sig w:usb0="00000003" w:usb1="00000000" w:usb2="00000000" w:usb3="00000000" w:csb0="00000001" w:csb1="00000000"/>
  </w:font>
  <w:font w:name="*Arial-5420-Identity-H">
    <w:altName w:val="Calibri"/>
    <w:panose1 w:val="00000000000000000000"/>
    <w:charset w:val="00"/>
    <w:family w:val="auto"/>
    <w:notTrueType/>
    <w:pitch w:val="default"/>
    <w:sig w:usb0="00000003" w:usb1="00000000" w:usb2="00000000" w:usb3="00000000" w:csb0="00000001" w:csb1="00000000"/>
  </w:font>
  <w:font w:name="*Arial-5578-Identity-H">
    <w:altName w:val="Calibri"/>
    <w:panose1 w:val="00000000000000000000"/>
    <w:charset w:val="00"/>
    <w:family w:val="auto"/>
    <w:notTrueType/>
    <w:pitch w:val="default"/>
    <w:sig w:usb0="00000003" w:usb1="00000000" w:usb2="00000000" w:usb3="00000000" w:csb0="00000001" w:csb1="00000000"/>
  </w:font>
  <w:font w:name="*Arial-Italic-5579-Identity-H">
    <w:altName w:val="Calibri"/>
    <w:panose1 w:val="00000000000000000000"/>
    <w:charset w:val="00"/>
    <w:family w:val="auto"/>
    <w:notTrueType/>
    <w:pitch w:val="default"/>
    <w:sig w:usb0="00000003" w:usb1="00000000" w:usb2="00000000" w:usb3="00000000" w:csb0="00000001" w:csb1="00000000"/>
  </w:font>
  <w:font w:name="*Arial-4954-Identity-H">
    <w:altName w:val="Calibri"/>
    <w:panose1 w:val="00000000000000000000"/>
    <w:charset w:val="00"/>
    <w:family w:val="auto"/>
    <w:notTrueType/>
    <w:pitch w:val="default"/>
    <w:sig w:usb0="00000003" w:usb1="00000000" w:usb2="00000000" w:usb3="00000000" w:csb0="00000001" w:csb1="00000000"/>
  </w:font>
  <w:font w:name="*Arial-Bold-4955-Identity-H">
    <w:altName w:val="Calibri"/>
    <w:panose1 w:val="00000000000000000000"/>
    <w:charset w:val="00"/>
    <w:family w:val="auto"/>
    <w:notTrueType/>
    <w:pitch w:val="default"/>
    <w:sig w:usb0="00000003" w:usb1="00000000" w:usb2="00000000" w:usb3="00000000" w:csb0="00000001" w:csb1="00000000"/>
  </w:font>
  <w:font w:name="*Arial-5992-Identity-H">
    <w:altName w:val="Calibri"/>
    <w:panose1 w:val="00000000000000000000"/>
    <w:charset w:val="00"/>
    <w:family w:val="auto"/>
    <w:notTrueType/>
    <w:pitch w:val="default"/>
    <w:sig w:usb0="00000003" w:usb1="00000000" w:usb2="00000000" w:usb3="00000000" w:csb0="00000001" w:csb1="00000000"/>
  </w:font>
  <w:font w:name="*Arial-5990-Identity-H">
    <w:altName w:val="Calibri"/>
    <w:panose1 w:val="00000000000000000000"/>
    <w:charset w:val="00"/>
    <w:family w:val="auto"/>
    <w:notTrueType/>
    <w:pitch w:val="default"/>
    <w:sig w:usb0="00000003" w:usb1="00000000" w:usb2="00000000" w:usb3="00000000" w:csb0="00000001" w:csb1="00000000"/>
  </w:font>
  <w:font w:name="*Arial-Bold-5991-Identity-H">
    <w:altName w:val="Calibri"/>
    <w:panose1 w:val="00000000000000000000"/>
    <w:charset w:val="00"/>
    <w:family w:val="auto"/>
    <w:notTrueType/>
    <w:pitch w:val="default"/>
    <w:sig w:usb0="00000003" w:usb1="00000000" w:usb2="00000000" w:usb3="00000000" w:csb0="00000001" w:csb1="00000000"/>
  </w:font>
  <w:font w:name="*Arial-5218-Identity-H">
    <w:altName w:val="Calibri"/>
    <w:panose1 w:val="00000000000000000000"/>
    <w:charset w:val="00"/>
    <w:family w:val="auto"/>
    <w:notTrueType/>
    <w:pitch w:val="default"/>
    <w:sig w:usb0="00000003" w:usb1="00000000" w:usb2="00000000" w:usb3="00000000" w:csb0="00000001" w:csb1="00000000"/>
  </w:font>
  <w:font w:name="*Arial-Bold-5465-Identity-H">
    <w:altName w:val="Calibri"/>
    <w:panose1 w:val="00000000000000000000"/>
    <w:charset w:val="00"/>
    <w:family w:val="auto"/>
    <w:notTrueType/>
    <w:pitch w:val="default"/>
    <w:sig w:usb0="00000003" w:usb1="00000000" w:usb2="00000000" w:usb3="00000000" w:csb0="00000001" w:csb1="00000000"/>
  </w:font>
  <w:font w:name="*Arial-5463-Identity-H">
    <w:altName w:val="Calibri"/>
    <w:panose1 w:val="00000000000000000000"/>
    <w:charset w:val="00"/>
    <w:family w:val="auto"/>
    <w:notTrueType/>
    <w:pitch w:val="default"/>
    <w:sig w:usb0="00000003" w:usb1="00000000" w:usb2="00000000" w:usb3="00000000" w:csb0="00000001" w:csb1="00000000"/>
  </w:font>
  <w:font w:name="*Arial-Bold-5464-Identity-H">
    <w:altName w:val="Calibri"/>
    <w:panose1 w:val="00000000000000000000"/>
    <w:charset w:val="00"/>
    <w:family w:val="auto"/>
    <w:notTrueType/>
    <w:pitch w:val="default"/>
    <w:sig w:usb0="00000003" w:usb1="00000000" w:usb2="00000000" w:usb3="00000000" w:csb0="00000001" w:csb1="00000000"/>
  </w:font>
  <w:font w:name="*Microsoft Sans Serif-Bold-5466">
    <w:altName w:val="Calibri"/>
    <w:panose1 w:val="00000000000000000000"/>
    <w:charset w:val="00"/>
    <w:family w:val="auto"/>
    <w:notTrueType/>
    <w:pitch w:val="default"/>
    <w:sig w:usb0="00000003" w:usb1="00000000" w:usb2="00000000" w:usb3="00000000" w:csb0="00000001" w:csb1="00000000"/>
  </w:font>
  <w:font w:name="*Arial-5275-Identity-H">
    <w:altName w:val="Calibri"/>
    <w:panose1 w:val="00000000000000000000"/>
    <w:charset w:val="00"/>
    <w:family w:val="auto"/>
    <w:notTrueType/>
    <w:pitch w:val="default"/>
    <w:sig w:usb0="00000003" w:usb1="00000000" w:usb2="00000000" w:usb3="00000000" w:csb0="00000001" w:csb1="00000000"/>
  </w:font>
  <w:font w:name="*Microsoft Sans Serif-Bold-5277">
    <w:altName w:val="Calibri"/>
    <w:panose1 w:val="00000000000000000000"/>
    <w:charset w:val="00"/>
    <w:family w:val="auto"/>
    <w:notTrueType/>
    <w:pitch w:val="default"/>
    <w:sig w:usb0="00000003" w:usb1="00000000" w:usb2="00000000" w:usb3="00000000" w:csb0="00000001" w:csb1="00000000"/>
  </w:font>
  <w:font w:name="*Arial-Bold-5276-Identity-H">
    <w:altName w:val="Calibri"/>
    <w:panose1 w:val="00000000000000000000"/>
    <w:charset w:val="00"/>
    <w:family w:val="auto"/>
    <w:notTrueType/>
    <w:pitch w:val="default"/>
    <w:sig w:usb0="00000003" w:usb1="00000000" w:usb2="00000000" w:usb3="00000000" w:csb0="00000001" w:csb1="00000000"/>
  </w:font>
  <w:font w:name="*Microsoft Sans Serif-5100-Iden">
    <w:altName w:val="Calibri"/>
    <w:panose1 w:val="00000000000000000000"/>
    <w:charset w:val="00"/>
    <w:family w:val="auto"/>
    <w:notTrueType/>
    <w:pitch w:val="default"/>
    <w:sig w:usb0="00000003" w:usb1="00000000" w:usb2="00000000" w:usb3="00000000" w:csb0="00000001" w:csb1="00000000"/>
  </w:font>
  <w:font w:name="*Arial-5099-Identity-H">
    <w:altName w:val="Calibri"/>
    <w:panose1 w:val="00000000000000000000"/>
    <w:charset w:val="00"/>
    <w:family w:val="auto"/>
    <w:notTrueType/>
    <w:pitch w:val="default"/>
    <w:sig w:usb0="00000003" w:usb1="00000000" w:usb2="00000000" w:usb3="00000000" w:csb0="00000001" w:csb1="00000000"/>
  </w:font>
  <w:font w:name="*Microsoft Sans Serif-5420-Iden">
    <w:altName w:val="Calibri"/>
    <w:panose1 w:val="00000000000000000000"/>
    <w:charset w:val="00"/>
    <w:family w:val="auto"/>
    <w:notTrueType/>
    <w:pitch w:val="default"/>
    <w:sig w:usb0="00000003" w:usb1="00000000" w:usb2="00000000" w:usb3="00000000" w:csb0="00000001" w:csb1="00000000"/>
  </w:font>
  <w:font w:name="*Arial-5419-Identity-H">
    <w:altName w:val="Calibri"/>
    <w:panose1 w:val="00000000000000000000"/>
    <w:charset w:val="00"/>
    <w:family w:val="auto"/>
    <w:notTrueType/>
    <w:pitch w:val="default"/>
    <w:sig w:usb0="00000003" w:usb1="00000000" w:usb2="00000000" w:usb3="00000000" w:csb0="00000001" w:csb1="00000000"/>
  </w:font>
  <w:font w:name="*Minion Pro-6172-Identity-H">
    <w:altName w:val="Calibri"/>
    <w:panose1 w:val="00000000000000000000"/>
    <w:charset w:val="00"/>
    <w:family w:val="auto"/>
    <w:notTrueType/>
    <w:pitch w:val="default"/>
    <w:sig w:usb0="00000003" w:usb1="00000000" w:usb2="00000000" w:usb3="00000000" w:csb0="00000001" w:csb1="00000000"/>
  </w:font>
  <w:font w:name="*Arial-Bold-6170-Identity-H">
    <w:altName w:val="Calibri"/>
    <w:panose1 w:val="00000000000000000000"/>
    <w:charset w:val="00"/>
    <w:family w:val="auto"/>
    <w:notTrueType/>
    <w:pitch w:val="default"/>
    <w:sig w:usb0="00000003" w:usb1="00000000" w:usb2="00000000" w:usb3="00000000" w:csb0="00000001" w:csb1="00000000"/>
  </w:font>
  <w:font w:name="*Microsoft Sans Serif-6171-Iden">
    <w:altName w:val="Calibri"/>
    <w:panose1 w:val="00000000000000000000"/>
    <w:charset w:val="00"/>
    <w:family w:val="auto"/>
    <w:notTrueType/>
    <w:pitch w:val="default"/>
    <w:sig w:usb0="00000003" w:usb1="00000000" w:usb2="00000000" w:usb3="00000000" w:csb0="00000001" w:csb1="00000000"/>
  </w:font>
  <w:font w:name="*Arial-6169-Identity-H">
    <w:altName w:val="Calibri"/>
    <w:panose1 w:val="00000000000000000000"/>
    <w:charset w:val="00"/>
    <w:family w:val="auto"/>
    <w:notTrueType/>
    <w:pitch w:val="default"/>
    <w:sig w:usb0="00000003" w:usb1="00000000" w:usb2="00000000" w:usb3="00000000" w:csb0="00000001" w:csb1="00000000"/>
  </w:font>
  <w:font w:name="*Arial-5671-Identity-H">
    <w:altName w:val="Calibri"/>
    <w:panose1 w:val="00000000000000000000"/>
    <w:charset w:val="00"/>
    <w:family w:val="auto"/>
    <w:notTrueType/>
    <w:pitch w:val="default"/>
    <w:sig w:usb0="00000003" w:usb1="00000000" w:usb2="00000000" w:usb3="00000000" w:csb0="00000001" w:csb1="00000000"/>
  </w:font>
  <w:font w:name="*Calibri-5717-Identity-H">
    <w:altName w:val="Calibri"/>
    <w:panose1 w:val="00000000000000000000"/>
    <w:charset w:val="00"/>
    <w:family w:val="auto"/>
    <w:notTrueType/>
    <w:pitch w:val="default"/>
    <w:sig w:usb0="00000003" w:usb1="00000000" w:usb2="00000000" w:usb3="00000000" w:csb0="00000001" w:csb1="00000000"/>
  </w:font>
  <w:font w:name="*Arial-5718-Identity-H">
    <w:altName w:val="Calibri"/>
    <w:panose1 w:val="00000000000000000000"/>
    <w:charset w:val="00"/>
    <w:family w:val="auto"/>
    <w:notTrueType/>
    <w:pitch w:val="default"/>
    <w:sig w:usb0="00000003" w:usb1="00000000" w:usb2="00000000" w:usb3="00000000" w:csb0="00000001" w:csb1="00000000"/>
  </w:font>
  <w:font w:name="*Arial-8049-Identity-H">
    <w:altName w:val="Calibri"/>
    <w:panose1 w:val="00000000000000000000"/>
    <w:charset w:val="00"/>
    <w:family w:val="auto"/>
    <w:notTrueType/>
    <w:pitch w:val="default"/>
    <w:sig w:usb0="00000003" w:usb1="00000000" w:usb2="00000000" w:usb3="00000000" w:csb0="00000001" w:csb1="00000000"/>
  </w:font>
  <w:font w:name="*Times New Roman-Italic-8040-Id">
    <w:altName w:val="Calibri"/>
    <w:panose1 w:val="00000000000000000000"/>
    <w:charset w:val="00"/>
    <w:family w:val="auto"/>
    <w:notTrueType/>
    <w:pitch w:val="default"/>
    <w:sig w:usb0="00000003" w:usb1="00000000" w:usb2="00000000" w:usb3="00000000" w:csb0="00000001" w:csb1="00000000"/>
  </w:font>
  <w:font w:name="*Arial-Italic-8050-Identity-H">
    <w:altName w:val="Calibri"/>
    <w:panose1 w:val="00000000000000000000"/>
    <w:charset w:val="00"/>
    <w:family w:val="auto"/>
    <w:notTrueType/>
    <w:pitch w:val="default"/>
    <w:sig w:usb0="00000003" w:usb1="00000000" w:usb2="00000000" w:usb3="00000000" w:csb0="00000001" w:csb1="00000000"/>
  </w:font>
  <w:font w:name="*Arial-5559-Identity-H">
    <w:altName w:val="Calibri"/>
    <w:panose1 w:val="00000000000000000000"/>
    <w:charset w:val="00"/>
    <w:family w:val="auto"/>
    <w:notTrueType/>
    <w:pitch w:val="default"/>
    <w:sig w:usb0="00000003" w:usb1="00000000" w:usb2="00000000" w:usb3="00000000" w:csb0="00000001" w:csb1="00000000"/>
  </w:font>
  <w:font w:name="*Arial-5557-Identity-H">
    <w:altName w:val="Calibri"/>
    <w:panose1 w:val="00000000000000000000"/>
    <w:charset w:val="00"/>
    <w:family w:val="auto"/>
    <w:notTrueType/>
    <w:pitch w:val="default"/>
    <w:sig w:usb0="00000003" w:usb1="00000000" w:usb2="00000000" w:usb3="00000000" w:csb0="00000001" w:csb1="00000000"/>
  </w:font>
  <w:font w:name="*Arial-Italic-5558-Identity-H">
    <w:altName w:val="Calibri"/>
    <w:panose1 w:val="00000000000000000000"/>
    <w:charset w:val="00"/>
    <w:family w:val="auto"/>
    <w:notTrueType/>
    <w:pitch w:val="default"/>
    <w:sig w:usb0="00000003" w:usb1="00000000" w:usb2="00000000" w:usb3="00000000" w:csb0="00000001" w:csb1="00000000"/>
  </w:font>
  <w:font w:name="*Arial-4448-Identity-H">
    <w:altName w:val="Calibri"/>
    <w:panose1 w:val="00000000000000000000"/>
    <w:charset w:val="00"/>
    <w:family w:val="auto"/>
    <w:notTrueType/>
    <w:pitch w:val="default"/>
    <w:sig w:usb0="00000003" w:usb1="00000000" w:usb2="00000000" w:usb3="00000000" w:csb0="00000001" w:csb1="00000000"/>
  </w:font>
  <w:font w:name="*Arial-Bold-4449-Identity-H">
    <w:altName w:val="Calibri"/>
    <w:panose1 w:val="00000000000000000000"/>
    <w:charset w:val="00"/>
    <w:family w:val="auto"/>
    <w:notTrueType/>
    <w:pitch w:val="default"/>
    <w:sig w:usb0="00000003" w:usb1="00000000" w:usb2="00000000" w:usb3="00000000" w:csb0="00000001" w:csb1="00000000"/>
  </w:font>
  <w:font w:name="*Arial-5871-Identity-H">
    <w:altName w:val="Calibri"/>
    <w:panose1 w:val="00000000000000000000"/>
    <w:charset w:val="00"/>
    <w:family w:val="auto"/>
    <w:notTrueType/>
    <w:pitch w:val="default"/>
    <w:sig w:usb0="00000003" w:usb1="00000000" w:usb2="00000000" w:usb3="00000000" w:csb0="00000001" w:csb1="00000000"/>
  </w:font>
  <w:font w:name="*Microsoft Sans Serif-5874-Iden">
    <w:altName w:val="Calibri"/>
    <w:panose1 w:val="00000000000000000000"/>
    <w:charset w:val="00"/>
    <w:family w:val="auto"/>
    <w:notTrueType/>
    <w:pitch w:val="default"/>
    <w:sig w:usb0="00000003" w:usb1="00000000" w:usb2="00000000" w:usb3="00000000" w:csb0="00000001" w:csb1="00000000"/>
  </w:font>
  <w:font w:name="*Arial-Italic-5872-Identity-H">
    <w:altName w:val="Calibri"/>
    <w:panose1 w:val="00000000000000000000"/>
    <w:charset w:val="00"/>
    <w:family w:val="auto"/>
    <w:notTrueType/>
    <w:pitch w:val="default"/>
    <w:sig w:usb0="00000003" w:usb1="00000000" w:usb2="00000000" w:usb3="00000000" w:csb0="00000001" w:csb1="00000000"/>
  </w:font>
  <w:font w:name="*Calibri-4969-Identity-H">
    <w:altName w:val="Calibri"/>
    <w:panose1 w:val="00000000000000000000"/>
    <w:charset w:val="00"/>
    <w:family w:val="auto"/>
    <w:notTrueType/>
    <w:pitch w:val="default"/>
    <w:sig w:usb0="00000003" w:usb1="00000000" w:usb2="00000000" w:usb3="00000000" w:csb0="00000001" w:csb1="00000000"/>
  </w:font>
  <w:font w:name="*Arial-Bold-4971-Identity-H">
    <w:altName w:val="Calibri"/>
    <w:panose1 w:val="00000000000000000000"/>
    <w:charset w:val="00"/>
    <w:family w:val="auto"/>
    <w:notTrueType/>
    <w:pitch w:val="default"/>
    <w:sig w:usb0="00000003" w:usb1="00000000" w:usb2="00000000" w:usb3="00000000" w:csb0="00000001" w:csb1="00000000"/>
  </w:font>
  <w:font w:name="*Arial-4970-Identity-H">
    <w:altName w:val="Calibri"/>
    <w:panose1 w:val="00000000000000000000"/>
    <w:charset w:val="00"/>
    <w:family w:val="auto"/>
    <w:notTrueType/>
    <w:pitch w:val="default"/>
    <w:sig w:usb0="00000003" w:usb1="00000000" w:usb2="00000000" w:usb3="00000000" w:csb0="00000001" w:csb1="00000000"/>
  </w:font>
  <w:font w:name="*Arial-5239-Identity-H">
    <w:altName w:val="Calibri"/>
    <w:panose1 w:val="00000000000000000000"/>
    <w:charset w:val="00"/>
    <w:family w:val="auto"/>
    <w:notTrueType/>
    <w:pitch w:val="default"/>
    <w:sig w:usb0="00000003" w:usb1="00000000" w:usb2="00000000" w:usb3="00000000" w:csb0="00000001" w:csb1="00000000"/>
  </w:font>
  <w:font w:name="*Arial-5238-Identity-H">
    <w:altName w:val="Calibri"/>
    <w:panose1 w:val="00000000000000000000"/>
    <w:charset w:val="00"/>
    <w:family w:val="auto"/>
    <w:notTrueType/>
    <w:pitch w:val="default"/>
    <w:sig w:usb0="00000003" w:usb1="00000000" w:usb2="00000000" w:usb3="00000000" w:csb0="00000001" w:csb1="00000000"/>
  </w:font>
  <w:font w:name="*Arial-5454-Identity-H">
    <w:altName w:val="Calibri"/>
    <w:panose1 w:val="00000000000000000000"/>
    <w:charset w:val="00"/>
    <w:family w:val="auto"/>
    <w:notTrueType/>
    <w:pitch w:val="default"/>
    <w:sig w:usb0="00000003" w:usb1="00000000" w:usb2="00000000" w:usb3="00000000" w:csb0="00000001" w:csb1="00000000"/>
  </w:font>
  <w:font w:name="*Arial-4683-Identity-H">
    <w:altName w:val="Calibri"/>
    <w:panose1 w:val="00000000000000000000"/>
    <w:charset w:val="00"/>
    <w:family w:val="auto"/>
    <w:notTrueType/>
    <w:pitch w:val="default"/>
    <w:sig w:usb0="00000003" w:usb1="00000000" w:usb2="00000000" w:usb3="00000000" w:csb0="00000001" w:csb1="00000000"/>
  </w:font>
  <w:font w:name="*Arial-Bold-4684-Identity-H">
    <w:altName w:val="Calibri"/>
    <w:panose1 w:val="00000000000000000000"/>
    <w:charset w:val="00"/>
    <w:family w:val="auto"/>
    <w:notTrueType/>
    <w:pitch w:val="default"/>
    <w:sig w:usb0="00000003" w:usb1="00000000" w:usb2="00000000" w:usb3="00000000" w:csb0="00000001" w:csb1="00000000"/>
  </w:font>
  <w:font w:name="*Arial-5724-Identity-H">
    <w:altName w:val="Calibri"/>
    <w:panose1 w:val="00000000000000000000"/>
    <w:charset w:val="00"/>
    <w:family w:val="auto"/>
    <w:notTrueType/>
    <w:pitch w:val="default"/>
    <w:sig w:usb0="00000003" w:usb1="00000000" w:usb2="00000000" w:usb3="00000000" w:csb0="00000001" w:csb1="00000000"/>
  </w:font>
  <w:font w:name="*Arial-4045-Identity-H">
    <w:altName w:val="Calibri"/>
    <w:panose1 w:val="00000000000000000000"/>
    <w:charset w:val="00"/>
    <w:family w:val="auto"/>
    <w:notTrueType/>
    <w:pitch w:val="default"/>
    <w:sig w:usb0="00000003" w:usb1="00000000" w:usb2="00000000" w:usb3="00000000" w:csb0="00000001" w:csb1="00000000"/>
  </w:font>
  <w:font w:name="*Arial-Bold-4046-Identity-H">
    <w:altName w:val="Calibri"/>
    <w:panose1 w:val="00000000000000000000"/>
    <w:charset w:val="00"/>
    <w:family w:val="auto"/>
    <w:notTrueType/>
    <w:pitch w:val="default"/>
    <w:sig w:usb0="00000003" w:usb1="00000000" w:usb2="00000000" w:usb3="00000000" w:csb0="00000001" w:csb1="00000000"/>
  </w:font>
  <w:font w:name="*Arial-3788-Identity-H">
    <w:altName w:val="Calibri"/>
    <w:panose1 w:val="00000000000000000000"/>
    <w:charset w:val="00"/>
    <w:family w:val="auto"/>
    <w:notTrueType/>
    <w:pitch w:val="default"/>
    <w:sig w:usb0="00000003" w:usb1="00000000" w:usb2="00000000" w:usb3="00000000" w:csb0="00000001" w:csb1="00000000"/>
  </w:font>
  <w:font w:name="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14C42"/>
    <w:rsid w:val="00073EF3"/>
    <w:rsid w:val="000A47EC"/>
    <w:rsid w:val="000C69DF"/>
    <w:rsid w:val="000D6363"/>
    <w:rsid w:val="00140319"/>
    <w:rsid w:val="00172CF3"/>
    <w:rsid w:val="00186280"/>
    <w:rsid w:val="001A500B"/>
    <w:rsid w:val="001C53C5"/>
    <w:rsid w:val="001F00F7"/>
    <w:rsid w:val="00206EF9"/>
    <w:rsid w:val="002A0763"/>
    <w:rsid w:val="0034760A"/>
    <w:rsid w:val="00377DC6"/>
    <w:rsid w:val="003B7DD5"/>
    <w:rsid w:val="003C492F"/>
    <w:rsid w:val="003C6D8F"/>
    <w:rsid w:val="003F724D"/>
    <w:rsid w:val="004573F4"/>
    <w:rsid w:val="004C4E7F"/>
    <w:rsid w:val="005368BD"/>
    <w:rsid w:val="0053705C"/>
    <w:rsid w:val="005A137A"/>
    <w:rsid w:val="00650F4F"/>
    <w:rsid w:val="00664844"/>
    <w:rsid w:val="006920A6"/>
    <w:rsid w:val="006C62A2"/>
    <w:rsid w:val="006D4305"/>
    <w:rsid w:val="006E0508"/>
    <w:rsid w:val="00701706"/>
    <w:rsid w:val="00744C19"/>
    <w:rsid w:val="00783E95"/>
    <w:rsid w:val="00800B87"/>
    <w:rsid w:val="00810CC8"/>
    <w:rsid w:val="008158BE"/>
    <w:rsid w:val="00816CDC"/>
    <w:rsid w:val="008B080C"/>
    <w:rsid w:val="008D4924"/>
    <w:rsid w:val="009050A3"/>
    <w:rsid w:val="009212C4"/>
    <w:rsid w:val="009E353E"/>
    <w:rsid w:val="009E5DFE"/>
    <w:rsid w:val="00AA468D"/>
    <w:rsid w:val="00AD3760"/>
    <w:rsid w:val="00B6798B"/>
    <w:rsid w:val="00B74A1A"/>
    <w:rsid w:val="00BD60DF"/>
    <w:rsid w:val="00BE7105"/>
    <w:rsid w:val="00C14A8E"/>
    <w:rsid w:val="00C343FB"/>
    <w:rsid w:val="00C81A41"/>
    <w:rsid w:val="00CD6266"/>
    <w:rsid w:val="00CF3271"/>
    <w:rsid w:val="00CF3AC7"/>
    <w:rsid w:val="00D0533C"/>
    <w:rsid w:val="00D058A6"/>
    <w:rsid w:val="00D21C21"/>
    <w:rsid w:val="00D4602E"/>
    <w:rsid w:val="00DA6C87"/>
    <w:rsid w:val="00E367E1"/>
    <w:rsid w:val="00E405EA"/>
    <w:rsid w:val="00E50304"/>
    <w:rsid w:val="00E6566D"/>
    <w:rsid w:val="00EC156F"/>
    <w:rsid w:val="00EF4ACF"/>
    <w:rsid w:val="00F3459E"/>
    <w:rsid w:val="00F43827"/>
    <w:rsid w:val="00F502B0"/>
    <w:rsid w:val="00F8771F"/>
    <w:rsid w:val="00FA6CAD"/>
    <w:rsid w:val="00FC69FF"/>
    <w:rsid w:val="00FC7A72"/>
    <w:rsid w:val="00FD59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E2F546EF7DAC34DB691300278981828" ma:contentTypeVersion="13" ma:contentTypeDescription="Create a new document." ma:contentTypeScope="" ma:versionID="f757bdf2f6724d000e08da4adcdd20b4">
  <xsd:schema xmlns:xsd="http://www.w3.org/2001/XMLSchema" xmlns:xs="http://www.w3.org/2001/XMLSchema" xmlns:p="http://schemas.microsoft.com/office/2006/metadata/properties" xmlns:ns3="e4cbaefe-6814-4875-8675-15c5825136e7" xmlns:ns4="81e10172-0d17-40c7-a1cb-6ddad6d2522d" targetNamespace="http://schemas.microsoft.com/office/2006/metadata/properties" ma:root="true" ma:fieldsID="03cbad9b5e1586441730cdaba2bdf3c9" ns3:_="" ns4:_="">
    <xsd:import namespace="e4cbaefe-6814-4875-8675-15c5825136e7"/>
    <xsd:import namespace="81e10172-0d17-40c7-a1cb-6ddad6d2522d"/>
    <xsd:element name="properties">
      <xsd:complexType>
        <xsd:sequence>
          <xsd:element name="documentManagement">
            <xsd:complexType>
              <xsd:all>
                <xsd:element ref="ns3:MediaServiceMetadata" minOccurs="0"/>
                <xsd:element ref="ns3:MediaServiceFastMetadata"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cbaefe-6814-4875-8675-15c5825136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Length (seconds)"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e10172-0d17-40c7-a1cb-6ddad6d2522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02AD662-DD31-46AA-87A8-7D5F07B639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cbaefe-6814-4875-8675-15c5825136e7"/>
    <ds:schemaRef ds:uri="81e10172-0d17-40c7-a1cb-6ddad6d252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customXml/itemProps3.xml><?xml version="1.0" encoding="utf-8"?>
<ds:datastoreItem xmlns:ds="http://schemas.openxmlformats.org/officeDocument/2006/customXml" ds:itemID="{85A3B6B5-B80A-455F-B6FE-BB63C51D6F9E}">
  <ds:schemaRefs>
    <ds:schemaRef ds:uri="http://schemas.microsoft.com/sharepoint/v3/contenttype/forms"/>
  </ds:schemaRefs>
</ds:datastoreItem>
</file>

<file path=customXml/itemProps4.xml><?xml version="1.0" encoding="utf-8"?>
<ds:datastoreItem xmlns:ds="http://schemas.openxmlformats.org/officeDocument/2006/customXml" ds:itemID="{EA238442-0884-4235-869E-9027AAAB779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619</TotalTime>
  <Pages>5</Pages>
  <Words>156617</Words>
  <Characters>861398</Characters>
  <Application>Microsoft Office Word</Application>
  <DocSecurity>0</DocSecurity>
  <Lines>7178</Lines>
  <Paragraphs>2031</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1015984</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Marysol Vizguerra Olmos</dc:creator>
  <cp:keywords/>
  <dc:description/>
  <cp:lastModifiedBy>Marysol Vizguerra Olmos</cp:lastModifiedBy>
  <cp:revision>207</cp:revision>
  <cp:lastPrinted>2022-02-02T23:51:00Z</cp:lastPrinted>
  <dcterms:created xsi:type="dcterms:W3CDTF">2022-06-16T17:45:00Z</dcterms:created>
  <dcterms:modified xsi:type="dcterms:W3CDTF">2022-07-14T16:23:00Z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0x0101009E2F546EF7DAC34DB691300278981828</vt:lpwstr>
  </property>
</Properties>
</file>